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2.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2.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hAnsi="Times New Roman" w:cs="Times New Roman"/>
          <w:sz w:val="24"/>
          <w:szCs w:val="24"/>
          <w:lang w:val="sr-Cyrl-RS"/>
        </w:rPr>
        <w:id w:val="-1502815176"/>
        <w:docPartObj>
          <w:docPartGallery w:val="Cover Pages"/>
          <w:docPartUnique/>
        </w:docPartObj>
      </w:sdtPr>
      <w:sdtEndPr/>
      <w:sdtContent>
        <w:p w14:paraId="4B338E22" w14:textId="1B8F8A0E" w:rsidR="003641CB" w:rsidRPr="000F0299" w:rsidRDefault="003641CB" w:rsidP="00244E7C">
          <w:pPr>
            <w:pStyle w:val="Bullet1"/>
            <w:rPr>
              <w:lang w:val="sr-Cyrl-RS"/>
            </w:rPr>
          </w:pPr>
        </w:p>
        <w:p w14:paraId="4E3A8B6B" w14:textId="050B3434" w:rsidR="003641CB" w:rsidRPr="000F0299" w:rsidRDefault="003641CB" w:rsidP="003641CB">
          <w:pPr>
            <w:pStyle w:val="NoSpacing"/>
            <w:spacing w:before="24" w:after="24"/>
            <w:rPr>
              <w:caps/>
              <w:color w:val="1F4E79" w:themeColor="accent5" w:themeShade="80"/>
              <w:sz w:val="28"/>
              <w:szCs w:val="28"/>
              <w:lang w:val="sr-Cyrl-RS"/>
            </w:rPr>
          </w:pPr>
        </w:p>
        <w:p w14:paraId="6DCD1093" w14:textId="5EDF61A2" w:rsidR="005219EE" w:rsidRPr="000F0299" w:rsidRDefault="005219EE" w:rsidP="004B3EDF">
          <w:pPr>
            <w:pStyle w:val="NoSpacing"/>
            <w:spacing w:after="100" w:afterAutospacing="1" w:line="240" w:lineRule="atLeast"/>
            <w:jc w:val="center"/>
            <w:rPr>
              <w:rFonts w:ascii="Times New Roman" w:eastAsiaTheme="minorHAnsi" w:hAnsi="Times New Roman" w:cs="Times New Roman"/>
              <w:sz w:val="36"/>
              <w:szCs w:val="36"/>
              <w:lang w:val="sr-Cyrl-RS"/>
            </w:rPr>
          </w:pPr>
          <w:r w:rsidRPr="000F0299">
            <w:rPr>
              <w:rFonts w:ascii="Times New Roman" w:eastAsiaTheme="minorHAnsi" w:hAnsi="Times New Roman"/>
              <w:sz w:val="36"/>
              <w:szCs w:val="36"/>
              <w:lang w:val="sr-Cyrl-RS"/>
            </w:rPr>
            <w:t>РЕПУБЛИКА СРБИЈА</w:t>
          </w:r>
        </w:p>
        <w:p w14:paraId="6F01D32E" w14:textId="77777777" w:rsidR="005219EE" w:rsidRPr="000F0299" w:rsidRDefault="005219EE" w:rsidP="005219EE">
          <w:pPr>
            <w:pStyle w:val="NoSpacing"/>
            <w:spacing w:after="62" w:afterAutospacing="1" w:line="240" w:lineRule="atLeast"/>
            <w:jc w:val="center"/>
            <w:rPr>
              <w:rFonts w:ascii="Times New Roman" w:eastAsia="Times New Roman" w:hAnsi="Times New Roman"/>
              <w:noProof/>
              <w:sz w:val="24"/>
              <w:szCs w:val="24"/>
              <w:lang w:val="sr-Cyrl-RS"/>
            </w:rPr>
          </w:pPr>
        </w:p>
        <w:p w14:paraId="340F8E9D" w14:textId="77777777" w:rsidR="005219EE" w:rsidRPr="000F0299" w:rsidRDefault="005219EE" w:rsidP="005219EE">
          <w:pPr>
            <w:pStyle w:val="NoSpacing"/>
            <w:spacing w:before="297"/>
            <w:jc w:val="center"/>
            <w:rPr>
              <w:rFonts w:ascii="Times New Roman" w:hAnsi="Times New Roman"/>
              <w:noProof/>
              <w:sz w:val="24"/>
              <w:szCs w:val="24"/>
              <w:lang w:val="sr-Cyrl-RS"/>
            </w:rPr>
          </w:pPr>
        </w:p>
        <w:p w14:paraId="53DEDD19" w14:textId="77777777" w:rsidR="005219EE" w:rsidRPr="000F0299" w:rsidRDefault="005219EE" w:rsidP="005219EE">
          <w:pPr>
            <w:pStyle w:val="NoSpacing"/>
            <w:spacing w:before="297"/>
            <w:jc w:val="center"/>
            <w:rPr>
              <w:rFonts w:ascii="Times New Roman" w:hAnsi="Times New Roman"/>
              <w:noProof/>
              <w:sz w:val="24"/>
              <w:szCs w:val="24"/>
              <w:lang w:val="sr-Cyrl-RS"/>
            </w:rPr>
          </w:pPr>
        </w:p>
        <w:p w14:paraId="27D4ED89" w14:textId="77777777" w:rsidR="005219EE" w:rsidRPr="000F0299" w:rsidRDefault="005219EE" w:rsidP="005219EE">
          <w:pPr>
            <w:pStyle w:val="NoSpacing"/>
            <w:spacing w:before="297"/>
            <w:jc w:val="center"/>
            <w:rPr>
              <w:rFonts w:ascii="Times New Roman" w:hAnsi="Times New Roman"/>
              <w:noProof/>
              <w:sz w:val="24"/>
              <w:szCs w:val="24"/>
              <w:lang w:val="sr-Cyrl-RS"/>
            </w:rPr>
          </w:pPr>
        </w:p>
        <w:p w14:paraId="2EA9785D" w14:textId="77777777" w:rsidR="005219EE" w:rsidRPr="000F0299" w:rsidRDefault="005219EE" w:rsidP="005219EE">
          <w:pPr>
            <w:pStyle w:val="NoSpacing"/>
            <w:spacing w:before="297"/>
            <w:jc w:val="center"/>
            <w:rPr>
              <w:rFonts w:ascii="Times New Roman" w:hAnsi="Times New Roman"/>
              <w:noProof/>
              <w:sz w:val="24"/>
              <w:szCs w:val="24"/>
              <w:lang w:val="sr-Cyrl-RS"/>
            </w:rPr>
          </w:pPr>
        </w:p>
        <w:p w14:paraId="367B4839" w14:textId="77777777" w:rsidR="005219EE" w:rsidRPr="000F0299" w:rsidRDefault="005219EE" w:rsidP="005219EE">
          <w:pPr>
            <w:pStyle w:val="NoSpacing"/>
            <w:spacing w:after="62" w:afterAutospacing="1" w:line="240" w:lineRule="atLeast"/>
            <w:jc w:val="center"/>
            <w:rPr>
              <w:rFonts w:ascii="Times New Roman" w:eastAsiaTheme="minorHAnsi" w:hAnsi="Times New Roman"/>
              <w:sz w:val="24"/>
              <w:szCs w:val="24"/>
              <w:lang w:val="sr-Cyrl-RS"/>
            </w:rPr>
          </w:pPr>
        </w:p>
        <w:p w14:paraId="6DA7FE5C" w14:textId="5F2B4ABD" w:rsidR="005219EE" w:rsidRPr="000F0299" w:rsidRDefault="0037189F" w:rsidP="00AA0B58">
          <w:pPr>
            <w:pStyle w:val="NoSpacing"/>
            <w:spacing w:after="100" w:afterAutospacing="1" w:line="240" w:lineRule="atLeast"/>
            <w:jc w:val="center"/>
            <w:rPr>
              <w:rFonts w:ascii="Times New Roman" w:eastAsiaTheme="minorHAnsi" w:hAnsi="Times New Roman"/>
              <w:b/>
              <w:bCs/>
              <w:sz w:val="32"/>
              <w:szCs w:val="32"/>
              <w:lang w:val="sr-Cyrl-RS"/>
            </w:rPr>
          </w:pPr>
          <w:r w:rsidRPr="000F0299">
            <w:rPr>
              <w:rFonts w:ascii="Times New Roman" w:eastAsiaTheme="minorHAnsi" w:hAnsi="Times New Roman"/>
              <w:b/>
              <w:bCs/>
              <w:sz w:val="32"/>
              <w:szCs w:val="32"/>
              <w:lang w:val="sr-Cyrl-RS"/>
            </w:rPr>
            <w:t>ПРЕДЛОГ</w:t>
          </w:r>
        </w:p>
        <w:p w14:paraId="328E94A4" w14:textId="0C61FEA3" w:rsidR="005219EE" w:rsidRPr="000F0299" w:rsidRDefault="005219EE" w:rsidP="005219EE">
          <w:pPr>
            <w:pStyle w:val="NoSpacing"/>
            <w:spacing w:after="62" w:afterAutospacing="1" w:line="240" w:lineRule="atLeast"/>
            <w:jc w:val="center"/>
            <w:rPr>
              <w:rFonts w:ascii="Times New Roman" w:eastAsiaTheme="minorHAnsi" w:hAnsi="Times New Roman"/>
              <w:b/>
              <w:bCs/>
              <w:sz w:val="32"/>
              <w:szCs w:val="32"/>
              <w:lang w:val="sr-Cyrl-RS"/>
            </w:rPr>
          </w:pPr>
          <w:r w:rsidRPr="000F0299">
            <w:rPr>
              <w:rFonts w:ascii="Times New Roman" w:eastAsiaTheme="minorHAnsi" w:hAnsi="Times New Roman"/>
              <w:b/>
              <w:bCs/>
              <w:sz w:val="32"/>
              <w:szCs w:val="32"/>
              <w:lang w:val="sr-Cyrl-RS"/>
            </w:rPr>
            <w:t>СТРАТЕГИЈЕ РЕФОРМЕ ЈАВНЕ УПРАВЕ У РЕПУБЛИЦИ СРБИЈИ ЗА ПЕРИОД ОД 2021. ДО 2030. ГОДИНЕ</w:t>
          </w:r>
        </w:p>
        <w:p w14:paraId="22E91A91" w14:textId="77777777" w:rsidR="005219EE" w:rsidRPr="000F0299" w:rsidRDefault="005219EE" w:rsidP="005219EE">
          <w:pPr>
            <w:pStyle w:val="NoSpacing"/>
            <w:spacing w:after="62" w:afterAutospacing="1" w:line="240" w:lineRule="atLeast"/>
            <w:jc w:val="center"/>
            <w:rPr>
              <w:rFonts w:ascii="Times New Roman" w:eastAsiaTheme="minorHAnsi" w:hAnsi="Times New Roman"/>
              <w:sz w:val="24"/>
              <w:szCs w:val="24"/>
              <w:lang w:val="sr-Cyrl-RS"/>
            </w:rPr>
          </w:pPr>
        </w:p>
        <w:p w14:paraId="63ACEEFC" w14:textId="77777777" w:rsidR="005219EE" w:rsidRPr="000F0299" w:rsidRDefault="005219EE" w:rsidP="005219EE">
          <w:pPr>
            <w:pStyle w:val="NoSpacing"/>
            <w:spacing w:after="62" w:afterAutospacing="1" w:line="240" w:lineRule="atLeast"/>
            <w:jc w:val="center"/>
            <w:rPr>
              <w:rFonts w:ascii="Times New Roman" w:eastAsiaTheme="minorHAnsi" w:hAnsi="Times New Roman"/>
              <w:sz w:val="24"/>
              <w:szCs w:val="24"/>
              <w:lang w:val="sr-Cyrl-RS"/>
            </w:rPr>
          </w:pPr>
        </w:p>
        <w:p w14:paraId="7C59303B" w14:textId="77777777" w:rsidR="005219EE" w:rsidRPr="000F0299" w:rsidRDefault="005219EE" w:rsidP="005219EE">
          <w:pPr>
            <w:pStyle w:val="NoSpacing"/>
            <w:spacing w:after="62" w:afterAutospacing="1" w:line="240" w:lineRule="atLeast"/>
            <w:jc w:val="center"/>
            <w:rPr>
              <w:rFonts w:ascii="Times New Roman" w:eastAsiaTheme="minorHAnsi" w:hAnsi="Times New Roman"/>
              <w:sz w:val="24"/>
              <w:szCs w:val="24"/>
              <w:lang w:val="sr-Cyrl-RS"/>
            </w:rPr>
          </w:pPr>
        </w:p>
        <w:p w14:paraId="049C3CDA" w14:textId="77777777" w:rsidR="005219EE" w:rsidRPr="000F0299" w:rsidRDefault="005219EE" w:rsidP="005219EE">
          <w:pPr>
            <w:pStyle w:val="NoSpacing"/>
            <w:spacing w:after="62" w:afterAutospacing="1" w:line="240" w:lineRule="atLeast"/>
            <w:jc w:val="center"/>
            <w:rPr>
              <w:rFonts w:ascii="Times New Roman" w:eastAsiaTheme="minorHAnsi" w:hAnsi="Times New Roman"/>
              <w:sz w:val="24"/>
              <w:szCs w:val="24"/>
              <w:lang w:val="sr-Cyrl-RS"/>
            </w:rPr>
          </w:pPr>
        </w:p>
        <w:p w14:paraId="78D71C95" w14:textId="77777777" w:rsidR="005219EE" w:rsidRPr="000F0299" w:rsidRDefault="005219EE" w:rsidP="005219EE">
          <w:pPr>
            <w:pStyle w:val="NoSpacing"/>
            <w:spacing w:after="62" w:afterAutospacing="1" w:line="240" w:lineRule="atLeast"/>
            <w:jc w:val="center"/>
            <w:rPr>
              <w:rFonts w:ascii="Times New Roman" w:eastAsiaTheme="minorHAnsi" w:hAnsi="Times New Roman"/>
              <w:sz w:val="24"/>
              <w:szCs w:val="24"/>
              <w:lang w:val="sr-Cyrl-RS"/>
            </w:rPr>
          </w:pPr>
        </w:p>
        <w:p w14:paraId="6F707278" w14:textId="77777777" w:rsidR="005219EE" w:rsidRPr="000F0299" w:rsidRDefault="005219EE" w:rsidP="005219EE">
          <w:pPr>
            <w:pStyle w:val="NoSpacing"/>
            <w:spacing w:after="62" w:afterAutospacing="1" w:line="240" w:lineRule="atLeast"/>
            <w:jc w:val="center"/>
            <w:rPr>
              <w:rFonts w:ascii="Times New Roman" w:eastAsiaTheme="minorHAnsi" w:hAnsi="Times New Roman"/>
              <w:sz w:val="24"/>
              <w:szCs w:val="24"/>
              <w:lang w:val="sr-Cyrl-RS"/>
            </w:rPr>
          </w:pPr>
        </w:p>
        <w:p w14:paraId="47E446A0" w14:textId="77777777" w:rsidR="005219EE" w:rsidRPr="000F0299" w:rsidRDefault="005219EE" w:rsidP="005219EE">
          <w:pPr>
            <w:pStyle w:val="NoSpacing"/>
            <w:spacing w:after="62" w:afterAutospacing="1" w:line="240" w:lineRule="atLeast"/>
            <w:jc w:val="center"/>
            <w:rPr>
              <w:rFonts w:ascii="Times New Roman" w:eastAsiaTheme="minorHAnsi" w:hAnsi="Times New Roman"/>
              <w:sz w:val="24"/>
              <w:szCs w:val="24"/>
              <w:lang w:val="sr-Cyrl-RS"/>
            </w:rPr>
          </w:pPr>
        </w:p>
        <w:p w14:paraId="1B764AA9" w14:textId="77777777" w:rsidR="005219EE" w:rsidRPr="000F0299" w:rsidRDefault="005219EE" w:rsidP="005219EE">
          <w:pPr>
            <w:pStyle w:val="NoSpacing"/>
            <w:spacing w:after="62" w:afterAutospacing="1" w:line="240" w:lineRule="atLeast"/>
            <w:jc w:val="center"/>
            <w:rPr>
              <w:rFonts w:ascii="Times New Roman" w:eastAsiaTheme="minorHAnsi" w:hAnsi="Times New Roman"/>
              <w:sz w:val="24"/>
              <w:szCs w:val="24"/>
              <w:lang w:val="sr-Cyrl-RS"/>
            </w:rPr>
          </w:pPr>
        </w:p>
        <w:p w14:paraId="241AE367" w14:textId="77777777" w:rsidR="005219EE" w:rsidRPr="000F0299" w:rsidRDefault="005219EE" w:rsidP="005219EE">
          <w:pPr>
            <w:pStyle w:val="NoSpacing"/>
            <w:spacing w:after="62" w:afterAutospacing="1" w:line="240" w:lineRule="atLeast"/>
            <w:jc w:val="center"/>
            <w:rPr>
              <w:rFonts w:ascii="Times New Roman" w:eastAsiaTheme="minorHAnsi" w:hAnsi="Times New Roman"/>
              <w:sz w:val="24"/>
              <w:szCs w:val="24"/>
              <w:lang w:val="sr-Cyrl-RS"/>
            </w:rPr>
          </w:pPr>
        </w:p>
        <w:p w14:paraId="3692AE20" w14:textId="77777777" w:rsidR="005219EE" w:rsidRPr="000F0299" w:rsidRDefault="005219EE" w:rsidP="005219EE">
          <w:pPr>
            <w:pStyle w:val="NoSpacing"/>
            <w:spacing w:after="62" w:afterAutospacing="1" w:line="240" w:lineRule="atLeast"/>
            <w:jc w:val="center"/>
            <w:rPr>
              <w:rFonts w:ascii="Times New Roman" w:eastAsiaTheme="minorHAnsi" w:hAnsi="Times New Roman"/>
              <w:sz w:val="24"/>
              <w:szCs w:val="24"/>
              <w:lang w:val="sr-Cyrl-RS"/>
            </w:rPr>
          </w:pPr>
        </w:p>
        <w:p w14:paraId="4D4115A5" w14:textId="77777777" w:rsidR="005219EE" w:rsidRPr="000F0299" w:rsidRDefault="005219EE" w:rsidP="00244E7C"/>
        <w:p w14:paraId="6C46226D" w14:textId="77777777" w:rsidR="005219EE" w:rsidRPr="000F0299" w:rsidRDefault="005219EE" w:rsidP="00244E7C"/>
        <w:p w14:paraId="53EA0A14" w14:textId="06C56D90" w:rsidR="005219EE" w:rsidRPr="000F0299" w:rsidRDefault="005219EE" w:rsidP="006C3F49">
          <w:pPr>
            <w:jc w:val="right"/>
          </w:pPr>
          <w:r w:rsidRPr="000F0299">
            <w:t>Београд, новембар 2020. године</w:t>
          </w:r>
        </w:p>
        <w:p w14:paraId="5F08F398" w14:textId="77777777" w:rsidR="005A41CA" w:rsidRPr="000F0299" w:rsidRDefault="005A41CA" w:rsidP="00244E7C"/>
        <w:p w14:paraId="57BEF041" w14:textId="77777777" w:rsidR="005A41CA" w:rsidRPr="000F0299" w:rsidRDefault="005A41CA" w:rsidP="00244E7C">
          <w:pPr>
            <w:sectPr w:rsidR="005A41CA" w:rsidRPr="000F0299" w:rsidSect="009E6E95">
              <w:pgSz w:w="11906" w:h="16838"/>
              <w:pgMar w:top="1440" w:right="1440" w:bottom="1440" w:left="1440" w:header="708" w:footer="708" w:gutter="0"/>
              <w:cols w:space="708"/>
              <w:docGrid w:linePitch="360"/>
            </w:sectPr>
          </w:pPr>
        </w:p>
        <w:p w14:paraId="5D680642" w14:textId="77777777" w:rsidR="00D94B8C" w:rsidRPr="000F0299" w:rsidRDefault="00F47F65" w:rsidP="00D94B8C"/>
      </w:sdtContent>
    </w:sdt>
    <w:p w14:paraId="1F896D64" w14:textId="522E8318" w:rsidR="003B4615" w:rsidRPr="000F0299" w:rsidRDefault="003641CB" w:rsidP="00D94B8C">
      <w:r w:rsidRPr="000F0299">
        <w:rPr>
          <w:b/>
          <w:bCs/>
          <w:color w:val="2F5496" w:themeColor="accent1" w:themeShade="BF"/>
          <w:sz w:val="32"/>
          <w:szCs w:val="32"/>
        </w:rPr>
        <w:t>С</w:t>
      </w:r>
      <w:r w:rsidR="00D4266E" w:rsidRPr="000F0299">
        <w:rPr>
          <w:b/>
          <w:bCs/>
          <w:color w:val="2F5496" w:themeColor="accent1" w:themeShade="BF"/>
          <w:sz w:val="32"/>
          <w:szCs w:val="32"/>
        </w:rPr>
        <w:t>адржај</w:t>
      </w:r>
    </w:p>
    <w:sdt>
      <w:sdtPr>
        <w:rPr>
          <w:rFonts w:eastAsiaTheme="minorHAnsi"/>
          <w:noProof w:val="0"/>
          <w:sz w:val="24"/>
          <w:szCs w:val="24"/>
          <w:lang w:val="sr-Cyrl-RS"/>
        </w:rPr>
        <w:id w:val="-405990477"/>
        <w:docPartObj>
          <w:docPartGallery w:val="Table of Contents"/>
          <w:docPartUnique/>
        </w:docPartObj>
      </w:sdtPr>
      <w:sdtEndPr>
        <w:rPr>
          <w:rFonts w:eastAsia="DejaVu Sans Mono"/>
        </w:rPr>
      </w:sdtEndPr>
      <w:sdtContent>
        <w:p w14:paraId="55A78DBA" w14:textId="4075104C" w:rsidR="00500F9D" w:rsidRPr="000F0299" w:rsidRDefault="00500F9D" w:rsidP="00F64BC5">
          <w:pPr>
            <w:pStyle w:val="FootnoteText"/>
            <w:rPr>
              <w:lang w:val="sr-Cyrl-RS"/>
            </w:rPr>
          </w:pPr>
        </w:p>
        <w:p w14:paraId="76ED6368" w14:textId="0E7D73F8" w:rsidR="00BB48C1" w:rsidRDefault="00500F9D">
          <w:pPr>
            <w:pStyle w:val="TOC1"/>
            <w:rPr>
              <w:rFonts w:asciiTheme="minorHAnsi" w:eastAsiaTheme="minorEastAsia" w:hAnsiTheme="minorHAnsi" w:cstheme="minorBidi"/>
              <w:noProof/>
              <w:kern w:val="0"/>
              <w:sz w:val="22"/>
              <w:szCs w:val="22"/>
              <w:lang w:val="en-GB" w:eastAsia="en-GB" w:bidi="ar-SA"/>
            </w:rPr>
          </w:pPr>
          <w:r w:rsidRPr="000F0299">
            <w:rPr>
              <w:lang w:val="sr-Cyrl-RS"/>
            </w:rPr>
            <w:fldChar w:fldCharType="begin"/>
          </w:r>
          <w:r w:rsidRPr="000F0299">
            <w:rPr>
              <w:lang w:val="sr-Cyrl-RS"/>
            </w:rPr>
            <w:instrText xml:space="preserve"> TOC \o "1-3" \h \z \u </w:instrText>
          </w:r>
          <w:r w:rsidRPr="000F0299">
            <w:rPr>
              <w:lang w:val="sr-Cyrl-RS"/>
            </w:rPr>
            <w:fldChar w:fldCharType="separate"/>
          </w:r>
          <w:hyperlink w:anchor="_Toc57661444" w:history="1">
            <w:r w:rsidR="00BB48C1" w:rsidRPr="00FE728B">
              <w:rPr>
                <w:rStyle w:val="Hyperlink"/>
                <w:noProof/>
                <w:lang w:val="sr-Cyrl-RS"/>
              </w:rPr>
              <w:t>Стратешки оквир и разлози за доношење нове стратегије</w:t>
            </w:r>
            <w:r w:rsidR="00BB48C1">
              <w:rPr>
                <w:noProof/>
                <w:webHidden/>
              </w:rPr>
              <w:tab/>
            </w:r>
            <w:r w:rsidR="00BB48C1">
              <w:rPr>
                <w:noProof/>
                <w:webHidden/>
              </w:rPr>
              <w:fldChar w:fldCharType="begin"/>
            </w:r>
            <w:r w:rsidR="00BB48C1">
              <w:rPr>
                <w:noProof/>
                <w:webHidden/>
              </w:rPr>
              <w:instrText xml:space="preserve"> PAGEREF _Toc57661444 \h </w:instrText>
            </w:r>
            <w:r w:rsidR="00BB48C1">
              <w:rPr>
                <w:noProof/>
                <w:webHidden/>
              </w:rPr>
            </w:r>
            <w:r w:rsidR="00BB48C1">
              <w:rPr>
                <w:noProof/>
                <w:webHidden/>
              </w:rPr>
              <w:fldChar w:fldCharType="separate"/>
            </w:r>
            <w:r w:rsidR="00BB48C1">
              <w:rPr>
                <w:noProof/>
                <w:webHidden/>
              </w:rPr>
              <w:t>1</w:t>
            </w:r>
            <w:r w:rsidR="00BB48C1">
              <w:rPr>
                <w:noProof/>
                <w:webHidden/>
              </w:rPr>
              <w:fldChar w:fldCharType="end"/>
            </w:r>
          </w:hyperlink>
        </w:p>
        <w:p w14:paraId="0C0B7190" w14:textId="2C838835"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45" w:history="1">
            <w:r w:rsidR="00BB48C1" w:rsidRPr="00FE728B">
              <w:rPr>
                <w:rStyle w:val="Hyperlink"/>
                <w:noProof/>
                <w:lang w:val="sr-Cyrl-RS"/>
              </w:rPr>
              <w:t>Кључни резултати и изазови у претходном периоду</w:t>
            </w:r>
            <w:r w:rsidR="00BB48C1">
              <w:rPr>
                <w:noProof/>
                <w:webHidden/>
              </w:rPr>
              <w:tab/>
            </w:r>
            <w:r w:rsidR="00BB48C1">
              <w:rPr>
                <w:noProof/>
                <w:webHidden/>
              </w:rPr>
              <w:fldChar w:fldCharType="begin"/>
            </w:r>
            <w:r w:rsidR="00BB48C1">
              <w:rPr>
                <w:noProof/>
                <w:webHidden/>
              </w:rPr>
              <w:instrText xml:space="preserve"> PAGEREF _Toc57661445 \h </w:instrText>
            </w:r>
            <w:r w:rsidR="00BB48C1">
              <w:rPr>
                <w:noProof/>
                <w:webHidden/>
              </w:rPr>
            </w:r>
            <w:r w:rsidR="00BB48C1">
              <w:rPr>
                <w:noProof/>
                <w:webHidden/>
              </w:rPr>
              <w:fldChar w:fldCharType="separate"/>
            </w:r>
            <w:r w:rsidR="00BB48C1">
              <w:rPr>
                <w:noProof/>
                <w:webHidden/>
              </w:rPr>
              <w:t>3</w:t>
            </w:r>
            <w:r w:rsidR="00BB48C1">
              <w:rPr>
                <w:noProof/>
                <w:webHidden/>
              </w:rPr>
              <w:fldChar w:fldCharType="end"/>
            </w:r>
          </w:hyperlink>
        </w:p>
        <w:p w14:paraId="2E1060A1" w14:textId="11DB580B" w:rsidR="00BB48C1" w:rsidRDefault="00F47F65">
          <w:pPr>
            <w:pStyle w:val="TOC1"/>
            <w:rPr>
              <w:rFonts w:asciiTheme="minorHAnsi" w:eastAsiaTheme="minorEastAsia" w:hAnsiTheme="minorHAnsi" w:cstheme="minorBidi"/>
              <w:noProof/>
              <w:kern w:val="0"/>
              <w:sz w:val="22"/>
              <w:szCs w:val="22"/>
              <w:lang w:val="en-GB" w:eastAsia="en-GB" w:bidi="ar-SA"/>
            </w:rPr>
          </w:pPr>
          <w:hyperlink w:anchor="_Toc57661446" w:history="1">
            <w:r w:rsidR="00BB48C1" w:rsidRPr="00FE728B">
              <w:rPr>
                <w:rStyle w:val="Hyperlink"/>
                <w:noProof/>
                <w:lang w:val="sr-Cyrl-RS"/>
              </w:rPr>
              <w:t>Визија и општи циљ</w:t>
            </w:r>
            <w:r w:rsidR="00BB48C1">
              <w:rPr>
                <w:noProof/>
                <w:webHidden/>
              </w:rPr>
              <w:tab/>
            </w:r>
            <w:r w:rsidR="00BB48C1">
              <w:rPr>
                <w:noProof/>
                <w:webHidden/>
              </w:rPr>
              <w:fldChar w:fldCharType="begin"/>
            </w:r>
            <w:r w:rsidR="00BB48C1">
              <w:rPr>
                <w:noProof/>
                <w:webHidden/>
              </w:rPr>
              <w:instrText xml:space="preserve"> PAGEREF _Toc57661446 \h </w:instrText>
            </w:r>
            <w:r w:rsidR="00BB48C1">
              <w:rPr>
                <w:noProof/>
                <w:webHidden/>
              </w:rPr>
            </w:r>
            <w:r w:rsidR="00BB48C1">
              <w:rPr>
                <w:noProof/>
                <w:webHidden/>
              </w:rPr>
              <w:fldChar w:fldCharType="separate"/>
            </w:r>
            <w:r w:rsidR="00BB48C1">
              <w:rPr>
                <w:noProof/>
                <w:webHidden/>
              </w:rPr>
              <w:t>5</w:t>
            </w:r>
            <w:r w:rsidR="00BB48C1">
              <w:rPr>
                <w:noProof/>
                <w:webHidden/>
              </w:rPr>
              <w:fldChar w:fldCharType="end"/>
            </w:r>
          </w:hyperlink>
        </w:p>
        <w:p w14:paraId="4557C69F" w14:textId="70F64D60" w:rsidR="00BB48C1" w:rsidRDefault="00F47F65">
          <w:pPr>
            <w:pStyle w:val="TOC1"/>
            <w:rPr>
              <w:rFonts w:asciiTheme="minorHAnsi" w:eastAsiaTheme="minorEastAsia" w:hAnsiTheme="minorHAnsi" w:cstheme="minorBidi"/>
              <w:noProof/>
              <w:kern w:val="0"/>
              <w:sz w:val="22"/>
              <w:szCs w:val="22"/>
              <w:lang w:val="en-GB" w:eastAsia="en-GB" w:bidi="ar-SA"/>
            </w:rPr>
          </w:pPr>
          <w:hyperlink w:anchor="_Toc57661447" w:history="1">
            <w:r w:rsidR="00BB48C1" w:rsidRPr="00FE728B">
              <w:rPr>
                <w:rStyle w:val="Hyperlink"/>
                <w:noProof/>
                <w:lang w:val="sr-Cyrl-RS"/>
              </w:rPr>
              <w:t>Тематске области</w:t>
            </w:r>
            <w:r w:rsidR="00BB48C1">
              <w:rPr>
                <w:noProof/>
                <w:webHidden/>
              </w:rPr>
              <w:tab/>
            </w:r>
            <w:r w:rsidR="00BB48C1">
              <w:rPr>
                <w:noProof/>
                <w:webHidden/>
              </w:rPr>
              <w:fldChar w:fldCharType="begin"/>
            </w:r>
            <w:r w:rsidR="00BB48C1">
              <w:rPr>
                <w:noProof/>
                <w:webHidden/>
              </w:rPr>
              <w:instrText xml:space="preserve"> PAGEREF _Toc57661447 \h </w:instrText>
            </w:r>
            <w:r w:rsidR="00BB48C1">
              <w:rPr>
                <w:noProof/>
                <w:webHidden/>
              </w:rPr>
            </w:r>
            <w:r w:rsidR="00BB48C1">
              <w:rPr>
                <w:noProof/>
                <w:webHidden/>
              </w:rPr>
              <w:fldChar w:fldCharType="separate"/>
            </w:r>
            <w:r w:rsidR="00BB48C1">
              <w:rPr>
                <w:noProof/>
                <w:webHidden/>
              </w:rPr>
              <w:t>7</w:t>
            </w:r>
            <w:r w:rsidR="00BB48C1">
              <w:rPr>
                <w:noProof/>
                <w:webHidden/>
              </w:rPr>
              <w:fldChar w:fldCharType="end"/>
            </w:r>
          </w:hyperlink>
        </w:p>
        <w:p w14:paraId="536B9C33" w14:textId="614B4C74"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48" w:history="1">
            <w:r w:rsidR="00BB48C1" w:rsidRPr="00FE728B">
              <w:rPr>
                <w:rStyle w:val="Hyperlink"/>
                <w:noProof/>
                <w:lang w:val="sr-Cyrl-RS"/>
              </w:rPr>
              <w:t>Ι. Планирање и координација јавних политика</w:t>
            </w:r>
            <w:r w:rsidR="00BB48C1">
              <w:rPr>
                <w:noProof/>
                <w:webHidden/>
              </w:rPr>
              <w:tab/>
            </w:r>
            <w:r w:rsidR="00BB48C1">
              <w:rPr>
                <w:noProof/>
                <w:webHidden/>
              </w:rPr>
              <w:fldChar w:fldCharType="begin"/>
            </w:r>
            <w:r w:rsidR="00BB48C1">
              <w:rPr>
                <w:noProof/>
                <w:webHidden/>
              </w:rPr>
              <w:instrText xml:space="preserve"> PAGEREF _Toc57661448 \h </w:instrText>
            </w:r>
            <w:r w:rsidR="00BB48C1">
              <w:rPr>
                <w:noProof/>
                <w:webHidden/>
              </w:rPr>
            </w:r>
            <w:r w:rsidR="00BB48C1">
              <w:rPr>
                <w:noProof/>
                <w:webHidden/>
              </w:rPr>
              <w:fldChar w:fldCharType="separate"/>
            </w:r>
            <w:r w:rsidR="00BB48C1">
              <w:rPr>
                <w:noProof/>
                <w:webHidden/>
              </w:rPr>
              <w:t>7</w:t>
            </w:r>
            <w:r w:rsidR="00BB48C1">
              <w:rPr>
                <w:noProof/>
                <w:webHidden/>
              </w:rPr>
              <w:fldChar w:fldCharType="end"/>
            </w:r>
          </w:hyperlink>
        </w:p>
        <w:p w14:paraId="62543395" w14:textId="69EC1681"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49" w:history="1">
            <w:r w:rsidR="00BB48C1" w:rsidRPr="00FE728B">
              <w:rPr>
                <w:rStyle w:val="Hyperlink"/>
                <w:noProof/>
                <w:lang w:val="sr-Cyrl-RS"/>
              </w:rPr>
              <w:t>Анализа стања</w:t>
            </w:r>
            <w:r w:rsidR="00BB48C1">
              <w:rPr>
                <w:noProof/>
                <w:webHidden/>
              </w:rPr>
              <w:tab/>
            </w:r>
            <w:r w:rsidR="00BB48C1">
              <w:rPr>
                <w:noProof/>
                <w:webHidden/>
              </w:rPr>
              <w:fldChar w:fldCharType="begin"/>
            </w:r>
            <w:r w:rsidR="00BB48C1">
              <w:rPr>
                <w:noProof/>
                <w:webHidden/>
              </w:rPr>
              <w:instrText xml:space="preserve"> PAGEREF _Toc57661449 \h </w:instrText>
            </w:r>
            <w:r w:rsidR="00BB48C1">
              <w:rPr>
                <w:noProof/>
                <w:webHidden/>
              </w:rPr>
            </w:r>
            <w:r w:rsidR="00BB48C1">
              <w:rPr>
                <w:noProof/>
                <w:webHidden/>
              </w:rPr>
              <w:fldChar w:fldCharType="separate"/>
            </w:r>
            <w:r w:rsidR="00BB48C1">
              <w:rPr>
                <w:noProof/>
                <w:webHidden/>
              </w:rPr>
              <w:t>7</w:t>
            </w:r>
            <w:r w:rsidR="00BB48C1">
              <w:rPr>
                <w:noProof/>
                <w:webHidden/>
              </w:rPr>
              <w:fldChar w:fldCharType="end"/>
            </w:r>
          </w:hyperlink>
        </w:p>
        <w:p w14:paraId="534BB9EA" w14:textId="5DA7E1A5"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50" w:history="1">
            <w:r w:rsidR="00BB48C1" w:rsidRPr="00FE728B">
              <w:rPr>
                <w:rStyle w:val="Hyperlink"/>
                <w:noProof/>
                <w:lang w:val="sr-Cyrl-RS"/>
              </w:rPr>
              <w:t>Посебан циљ и правци деловања</w:t>
            </w:r>
            <w:r w:rsidR="00BB48C1">
              <w:rPr>
                <w:noProof/>
                <w:webHidden/>
              </w:rPr>
              <w:tab/>
            </w:r>
            <w:r w:rsidR="00BB48C1">
              <w:rPr>
                <w:noProof/>
                <w:webHidden/>
              </w:rPr>
              <w:fldChar w:fldCharType="begin"/>
            </w:r>
            <w:r w:rsidR="00BB48C1">
              <w:rPr>
                <w:noProof/>
                <w:webHidden/>
              </w:rPr>
              <w:instrText xml:space="preserve"> PAGEREF _Toc57661450 \h </w:instrText>
            </w:r>
            <w:r w:rsidR="00BB48C1">
              <w:rPr>
                <w:noProof/>
                <w:webHidden/>
              </w:rPr>
            </w:r>
            <w:r w:rsidR="00BB48C1">
              <w:rPr>
                <w:noProof/>
                <w:webHidden/>
              </w:rPr>
              <w:fldChar w:fldCharType="separate"/>
            </w:r>
            <w:r w:rsidR="00BB48C1">
              <w:rPr>
                <w:noProof/>
                <w:webHidden/>
              </w:rPr>
              <w:t>8</w:t>
            </w:r>
            <w:r w:rsidR="00BB48C1">
              <w:rPr>
                <w:noProof/>
                <w:webHidden/>
              </w:rPr>
              <w:fldChar w:fldCharType="end"/>
            </w:r>
          </w:hyperlink>
        </w:p>
        <w:p w14:paraId="1B28173C" w14:textId="79CF9555"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51" w:history="1">
            <w:r w:rsidR="00BB48C1" w:rsidRPr="00FE728B">
              <w:rPr>
                <w:rStyle w:val="Hyperlink"/>
                <w:noProof/>
                <w:lang w:val="sr-Cyrl-RS"/>
              </w:rPr>
              <w:t>II. Управљање људским ресурсима у јавној управи</w:t>
            </w:r>
            <w:r w:rsidR="00BB48C1">
              <w:rPr>
                <w:noProof/>
                <w:webHidden/>
              </w:rPr>
              <w:tab/>
            </w:r>
            <w:r w:rsidR="00BB48C1">
              <w:rPr>
                <w:noProof/>
                <w:webHidden/>
              </w:rPr>
              <w:fldChar w:fldCharType="begin"/>
            </w:r>
            <w:r w:rsidR="00BB48C1">
              <w:rPr>
                <w:noProof/>
                <w:webHidden/>
              </w:rPr>
              <w:instrText xml:space="preserve"> PAGEREF _Toc57661451 \h </w:instrText>
            </w:r>
            <w:r w:rsidR="00BB48C1">
              <w:rPr>
                <w:noProof/>
                <w:webHidden/>
              </w:rPr>
            </w:r>
            <w:r w:rsidR="00BB48C1">
              <w:rPr>
                <w:noProof/>
                <w:webHidden/>
              </w:rPr>
              <w:fldChar w:fldCharType="separate"/>
            </w:r>
            <w:r w:rsidR="00BB48C1">
              <w:rPr>
                <w:noProof/>
                <w:webHidden/>
              </w:rPr>
              <w:t>9</w:t>
            </w:r>
            <w:r w:rsidR="00BB48C1">
              <w:rPr>
                <w:noProof/>
                <w:webHidden/>
              </w:rPr>
              <w:fldChar w:fldCharType="end"/>
            </w:r>
          </w:hyperlink>
        </w:p>
        <w:p w14:paraId="6C100860" w14:textId="4DC825C6"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52" w:history="1">
            <w:r w:rsidR="00BB48C1" w:rsidRPr="00FE728B">
              <w:rPr>
                <w:rStyle w:val="Hyperlink"/>
                <w:noProof/>
                <w:lang w:val="sr-Cyrl-RS"/>
              </w:rPr>
              <w:t>Анализа стања</w:t>
            </w:r>
            <w:r w:rsidR="00BB48C1">
              <w:rPr>
                <w:noProof/>
                <w:webHidden/>
              </w:rPr>
              <w:tab/>
            </w:r>
            <w:r w:rsidR="00BB48C1">
              <w:rPr>
                <w:noProof/>
                <w:webHidden/>
              </w:rPr>
              <w:fldChar w:fldCharType="begin"/>
            </w:r>
            <w:r w:rsidR="00BB48C1">
              <w:rPr>
                <w:noProof/>
                <w:webHidden/>
              </w:rPr>
              <w:instrText xml:space="preserve"> PAGEREF _Toc57661452 \h </w:instrText>
            </w:r>
            <w:r w:rsidR="00BB48C1">
              <w:rPr>
                <w:noProof/>
                <w:webHidden/>
              </w:rPr>
            </w:r>
            <w:r w:rsidR="00BB48C1">
              <w:rPr>
                <w:noProof/>
                <w:webHidden/>
              </w:rPr>
              <w:fldChar w:fldCharType="separate"/>
            </w:r>
            <w:r w:rsidR="00BB48C1">
              <w:rPr>
                <w:noProof/>
                <w:webHidden/>
              </w:rPr>
              <w:t>9</w:t>
            </w:r>
            <w:r w:rsidR="00BB48C1">
              <w:rPr>
                <w:noProof/>
                <w:webHidden/>
              </w:rPr>
              <w:fldChar w:fldCharType="end"/>
            </w:r>
          </w:hyperlink>
        </w:p>
        <w:p w14:paraId="3E1E31D4" w14:textId="44FAA392"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53" w:history="1">
            <w:r w:rsidR="00BB48C1" w:rsidRPr="00FE728B">
              <w:rPr>
                <w:rStyle w:val="Hyperlink"/>
                <w:noProof/>
                <w:lang w:val="sr-Cyrl-RS"/>
              </w:rPr>
              <w:t>Посебан циљ и правци деловања</w:t>
            </w:r>
            <w:r w:rsidR="00BB48C1">
              <w:rPr>
                <w:noProof/>
                <w:webHidden/>
              </w:rPr>
              <w:tab/>
            </w:r>
            <w:r w:rsidR="00BB48C1">
              <w:rPr>
                <w:noProof/>
                <w:webHidden/>
              </w:rPr>
              <w:fldChar w:fldCharType="begin"/>
            </w:r>
            <w:r w:rsidR="00BB48C1">
              <w:rPr>
                <w:noProof/>
                <w:webHidden/>
              </w:rPr>
              <w:instrText xml:space="preserve"> PAGEREF _Toc57661453 \h </w:instrText>
            </w:r>
            <w:r w:rsidR="00BB48C1">
              <w:rPr>
                <w:noProof/>
                <w:webHidden/>
              </w:rPr>
            </w:r>
            <w:r w:rsidR="00BB48C1">
              <w:rPr>
                <w:noProof/>
                <w:webHidden/>
              </w:rPr>
              <w:fldChar w:fldCharType="separate"/>
            </w:r>
            <w:r w:rsidR="00BB48C1">
              <w:rPr>
                <w:noProof/>
                <w:webHidden/>
              </w:rPr>
              <w:t>11</w:t>
            </w:r>
            <w:r w:rsidR="00BB48C1">
              <w:rPr>
                <w:noProof/>
                <w:webHidden/>
              </w:rPr>
              <w:fldChar w:fldCharType="end"/>
            </w:r>
          </w:hyperlink>
        </w:p>
        <w:p w14:paraId="276A5BAC" w14:textId="5800BD29"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54" w:history="1">
            <w:r w:rsidR="00BB48C1" w:rsidRPr="00FE728B">
              <w:rPr>
                <w:rStyle w:val="Hyperlink"/>
                <w:noProof/>
                <w:lang w:val="sr-Cyrl-RS"/>
              </w:rPr>
              <w:t>ΙII. Пружање услуга</w:t>
            </w:r>
            <w:r w:rsidR="00BB48C1">
              <w:rPr>
                <w:noProof/>
                <w:webHidden/>
              </w:rPr>
              <w:tab/>
            </w:r>
            <w:r w:rsidR="00BB48C1">
              <w:rPr>
                <w:noProof/>
                <w:webHidden/>
              </w:rPr>
              <w:fldChar w:fldCharType="begin"/>
            </w:r>
            <w:r w:rsidR="00BB48C1">
              <w:rPr>
                <w:noProof/>
                <w:webHidden/>
              </w:rPr>
              <w:instrText xml:space="preserve"> PAGEREF _Toc57661454 \h </w:instrText>
            </w:r>
            <w:r w:rsidR="00BB48C1">
              <w:rPr>
                <w:noProof/>
                <w:webHidden/>
              </w:rPr>
            </w:r>
            <w:r w:rsidR="00BB48C1">
              <w:rPr>
                <w:noProof/>
                <w:webHidden/>
              </w:rPr>
              <w:fldChar w:fldCharType="separate"/>
            </w:r>
            <w:r w:rsidR="00BB48C1">
              <w:rPr>
                <w:noProof/>
                <w:webHidden/>
              </w:rPr>
              <w:t>14</w:t>
            </w:r>
            <w:r w:rsidR="00BB48C1">
              <w:rPr>
                <w:noProof/>
                <w:webHidden/>
              </w:rPr>
              <w:fldChar w:fldCharType="end"/>
            </w:r>
          </w:hyperlink>
        </w:p>
        <w:p w14:paraId="364B9E2A" w14:textId="27AE0BE4"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55" w:history="1">
            <w:r w:rsidR="00BB48C1" w:rsidRPr="00FE728B">
              <w:rPr>
                <w:rStyle w:val="Hyperlink"/>
                <w:noProof/>
                <w:lang w:val="sr-Cyrl-RS"/>
              </w:rPr>
              <w:t>Анализа стања</w:t>
            </w:r>
            <w:r w:rsidR="00BB48C1">
              <w:rPr>
                <w:noProof/>
                <w:webHidden/>
              </w:rPr>
              <w:tab/>
            </w:r>
            <w:r w:rsidR="00BB48C1">
              <w:rPr>
                <w:noProof/>
                <w:webHidden/>
              </w:rPr>
              <w:fldChar w:fldCharType="begin"/>
            </w:r>
            <w:r w:rsidR="00BB48C1">
              <w:rPr>
                <w:noProof/>
                <w:webHidden/>
              </w:rPr>
              <w:instrText xml:space="preserve"> PAGEREF _Toc57661455 \h </w:instrText>
            </w:r>
            <w:r w:rsidR="00BB48C1">
              <w:rPr>
                <w:noProof/>
                <w:webHidden/>
              </w:rPr>
            </w:r>
            <w:r w:rsidR="00BB48C1">
              <w:rPr>
                <w:noProof/>
                <w:webHidden/>
              </w:rPr>
              <w:fldChar w:fldCharType="separate"/>
            </w:r>
            <w:r w:rsidR="00BB48C1">
              <w:rPr>
                <w:noProof/>
                <w:webHidden/>
              </w:rPr>
              <w:t>14</w:t>
            </w:r>
            <w:r w:rsidR="00BB48C1">
              <w:rPr>
                <w:noProof/>
                <w:webHidden/>
              </w:rPr>
              <w:fldChar w:fldCharType="end"/>
            </w:r>
          </w:hyperlink>
        </w:p>
        <w:p w14:paraId="0DFF9271" w14:textId="30F751E8"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56" w:history="1">
            <w:r w:rsidR="00BB48C1" w:rsidRPr="00FE728B">
              <w:rPr>
                <w:rStyle w:val="Hyperlink"/>
                <w:noProof/>
                <w:lang w:val="sr-Cyrl-RS"/>
              </w:rPr>
              <w:t>Посебан циљ и правци деловања</w:t>
            </w:r>
            <w:r w:rsidR="00BB48C1">
              <w:rPr>
                <w:noProof/>
                <w:webHidden/>
              </w:rPr>
              <w:tab/>
            </w:r>
            <w:r w:rsidR="00BB48C1">
              <w:rPr>
                <w:noProof/>
                <w:webHidden/>
              </w:rPr>
              <w:fldChar w:fldCharType="begin"/>
            </w:r>
            <w:r w:rsidR="00BB48C1">
              <w:rPr>
                <w:noProof/>
                <w:webHidden/>
              </w:rPr>
              <w:instrText xml:space="preserve"> PAGEREF _Toc57661456 \h </w:instrText>
            </w:r>
            <w:r w:rsidR="00BB48C1">
              <w:rPr>
                <w:noProof/>
                <w:webHidden/>
              </w:rPr>
            </w:r>
            <w:r w:rsidR="00BB48C1">
              <w:rPr>
                <w:noProof/>
                <w:webHidden/>
              </w:rPr>
              <w:fldChar w:fldCharType="separate"/>
            </w:r>
            <w:r w:rsidR="00BB48C1">
              <w:rPr>
                <w:noProof/>
                <w:webHidden/>
              </w:rPr>
              <w:t>15</w:t>
            </w:r>
            <w:r w:rsidR="00BB48C1">
              <w:rPr>
                <w:noProof/>
                <w:webHidden/>
              </w:rPr>
              <w:fldChar w:fldCharType="end"/>
            </w:r>
          </w:hyperlink>
        </w:p>
        <w:p w14:paraId="20A1C315" w14:textId="12CBEA4E"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57" w:history="1">
            <w:r w:rsidR="00BB48C1" w:rsidRPr="00FE728B">
              <w:rPr>
                <w:rStyle w:val="Hyperlink"/>
                <w:noProof/>
                <w:lang w:val="sr-Cyrl-RS"/>
              </w:rPr>
              <w:t>IV Одговорност и транспарентност у јавној управи</w:t>
            </w:r>
            <w:r w:rsidR="00BB48C1">
              <w:rPr>
                <w:noProof/>
                <w:webHidden/>
              </w:rPr>
              <w:tab/>
            </w:r>
            <w:r w:rsidR="00BB48C1">
              <w:rPr>
                <w:noProof/>
                <w:webHidden/>
              </w:rPr>
              <w:fldChar w:fldCharType="begin"/>
            </w:r>
            <w:r w:rsidR="00BB48C1">
              <w:rPr>
                <w:noProof/>
                <w:webHidden/>
              </w:rPr>
              <w:instrText xml:space="preserve"> PAGEREF _Toc57661457 \h </w:instrText>
            </w:r>
            <w:r w:rsidR="00BB48C1">
              <w:rPr>
                <w:noProof/>
                <w:webHidden/>
              </w:rPr>
            </w:r>
            <w:r w:rsidR="00BB48C1">
              <w:rPr>
                <w:noProof/>
                <w:webHidden/>
              </w:rPr>
              <w:fldChar w:fldCharType="separate"/>
            </w:r>
            <w:r w:rsidR="00BB48C1">
              <w:rPr>
                <w:noProof/>
                <w:webHidden/>
              </w:rPr>
              <w:t>17</w:t>
            </w:r>
            <w:r w:rsidR="00BB48C1">
              <w:rPr>
                <w:noProof/>
                <w:webHidden/>
              </w:rPr>
              <w:fldChar w:fldCharType="end"/>
            </w:r>
          </w:hyperlink>
        </w:p>
        <w:p w14:paraId="78C5C1C9" w14:textId="37E8A3B1"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58" w:history="1">
            <w:r w:rsidR="00BB48C1" w:rsidRPr="00FE728B">
              <w:rPr>
                <w:rStyle w:val="Hyperlink"/>
                <w:noProof/>
                <w:lang w:val="sr-Cyrl-RS"/>
              </w:rPr>
              <w:t>Анализа стања</w:t>
            </w:r>
            <w:r w:rsidR="00BB48C1">
              <w:rPr>
                <w:noProof/>
                <w:webHidden/>
              </w:rPr>
              <w:tab/>
            </w:r>
            <w:r w:rsidR="00BB48C1">
              <w:rPr>
                <w:noProof/>
                <w:webHidden/>
              </w:rPr>
              <w:fldChar w:fldCharType="begin"/>
            </w:r>
            <w:r w:rsidR="00BB48C1">
              <w:rPr>
                <w:noProof/>
                <w:webHidden/>
              </w:rPr>
              <w:instrText xml:space="preserve"> PAGEREF _Toc57661458 \h </w:instrText>
            </w:r>
            <w:r w:rsidR="00BB48C1">
              <w:rPr>
                <w:noProof/>
                <w:webHidden/>
              </w:rPr>
            </w:r>
            <w:r w:rsidR="00BB48C1">
              <w:rPr>
                <w:noProof/>
                <w:webHidden/>
              </w:rPr>
              <w:fldChar w:fldCharType="separate"/>
            </w:r>
            <w:r w:rsidR="00BB48C1">
              <w:rPr>
                <w:noProof/>
                <w:webHidden/>
              </w:rPr>
              <w:t>17</w:t>
            </w:r>
            <w:r w:rsidR="00BB48C1">
              <w:rPr>
                <w:noProof/>
                <w:webHidden/>
              </w:rPr>
              <w:fldChar w:fldCharType="end"/>
            </w:r>
          </w:hyperlink>
        </w:p>
        <w:p w14:paraId="55A82EF5" w14:textId="313B9D76"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59" w:history="1">
            <w:r w:rsidR="00BB48C1" w:rsidRPr="00FE728B">
              <w:rPr>
                <w:rStyle w:val="Hyperlink"/>
                <w:noProof/>
                <w:lang w:val="sr-Cyrl-RS"/>
              </w:rPr>
              <w:t>Посебан циљ и правци деловања</w:t>
            </w:r>
            <w:r w:rsidR="00BB48C1">
              <w:rPr>
                <w:noProof/>
                <w:webHidden/>
              </w:rPr>
              <w:tab/>
            </w:r>
            <w:r w:rsidR="00BB48C1">
              <w:rPr>
                <w:noProof/>
                <w:webHidden/>
              </w:rPr>
              <w:fldChar w:fldCharType="begin"/>
            </w:r>
            <w:r w:rsidR="00BB48C1">
              <w:rPr>
                <w:noProof/>
                <w:webHidden/>
              </w:rPr>
              <w:instrText xml:space="preserve"> PAGEREF _Toc57661459 \h </w:instrText>
            </w:r>
            <w:r w:rsidR="00BB48C1">
              <w:rPr>
                <w:noProof/>
                <w:webHidden/>
              </w:rPr>
            </w:r>
            <w:r w:rsidR="00BB48C1">
              <w:rPr>
                <w:noProof/>
                <w:webHidden/>
              </w:rPr>
              <w:fldChar w:fldCharType="separate"/>
            </w:r>
            <w:r w:rsidR="00BB48C1">
              <w:rPr>
                <w:noProof/>
                <w:webHidden/>
              </w:rPr>
              <w:t>18</w:t>
            </w:r>
            <w:r w:rsidR="00BB48C1">
              <w:rPr>
                <w:noProof/>
                <w:webHidden/>
              </w:rPr>
              <w:fldChar w:fldCharType="end"/>
            </w:r>
          </w:hyperlink>
        </w:p>
        <w:p w14:paraId="301E5F6C" w14:textId="630BA50B"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60" w:history="1">
            <w:r w:rsidR="00BB48C1" w:rsidRPr="00FE728B">
              <w:rPr>
                <w:rStyle w:val="Hyperlink"/>
                <w:noProof/>
                <w:lang w:val="sr-Cyrl-RS"/>
              </w:rPr>
              <w:t>V. Управљање јавним финансијама</w:t>
            </w:r>
            <w:r w:rsidR="00BB48C1">
              <w:rPr>
                <w:noProof/>
                <w:webHidden/>
              </w:rPr>
              <w:tab/>
            </w:r>
            <w:r w:rsidR="00BB48C1">
              <w:rPr>
                <w:noProof/>
                <w:webHidden/>
              </w:rPr>
              <w:fldChar w:fldCharType="begin"/>
            </w:r>
            <w:r w:rsidR="00BB48C1">
              <w:rPr>
                <w:noProof/>
                <w:webHidden/>
              </w:rPr>
              <w:instrText xml:space="preserve"> PAGEREF _Toc57661460 \h </w:instrText>
            </w:r>
            <w:r w:rsidR="00BB48C1">
              <w:rPr>
                <w:noProof/>
                <w:webHidden/>
              </w:rPr>
            </w:r>
            <w:r w:rsidR="00BB48C1">
              <w:rPr>
                <w:noProof/>
                <w:webHidden/>
              </w:rPr>
              <w:fldChar w:fldCharType="separate"/>
            </w:r>
            <w:r w:rsidR="00BB48C1">
              <w:rPr>
                <w:noProof/>
                <w:webHidden/>
              </w:rPr>
              <w:t>20</w:t>
            </w:r>
            <w:r w:rsidR="00BB48C1">
              <w:rPr>
                <w:noProof/>
                <w:webHidden/>
              </w:rPr>
              <w:fldChar w:fldCharType="end"/>
            </w:r>
          </w:hyperlink>
        </w:p>
        <w:p w14:paraId="183F73B9" w14:textId="0055A152"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61" w:history="1">
            <w:r w:rsidR="00BB48C1" w:rsidRPr="00FE728B">
              <w:rPr>
                <w:rStyle w:val="Hyperlink"/>
                <w:noProof/>
                <w:lang w:val="sr-Cyrl-RS"/>
              </w:rPr>
              <w:t>Анализа стања</w:t>
            </w:r>
            <w:r w:rsidR="00BB48C1">
              <w:rPr>
                <w:noProof/>
                <w:webHidden/>
              </w:rPr>
              <w:tab/>
            </w:r>
            <w:r w:rsidR="00BB48C1">
              <w:rPr>
                <w:noProof/>
                <w:webHidden/>
              </w:rPr>
              <w:fldChar w:fldCharType="begin"/>
            </w:r>
            <w:r w:rsidR="00BB48C1">
              <w:rPr>
                <w:noProof/>
                <w:webHidden/>
              </w:rPr>
              <w:instrText xml:space="preserve"> PAGEREF _Toc57661461 \h </w:instrText>
            </w:r>
            <w:r w:rsidR="00BB48C1">
              <w:rPr>
                <w:noProof/>
                <w:webHidden/>
              </w:rPr>
            </w:r>
            <w:r w:rsidR="00BB48C1">
              <w:rPr>
                <w:noProof/>
                <w:webHidden/>
              </w:rPr>
              <w:fldChar w:fldCharType="separate"/>
            </w:r>
            <w:r w:rsidR="00BB48C1">
              <w:rPr>
                <w:noProof/>
                <w:webHidden/>
              </w:rPr>
              <w:t>20</w:t>
            </w:r>
            <w:r w:rsidR="00BB48C1">
              <w:rPr>
                <w:noProof/>
                <w:webHidden/>
              </w:rPr>
              <w:fldChar w:fldCharType="end"/>
            </w:r>
          </w:hyperlink>
        </w:p>
        <w:p w14:paraId="5547509B" w14:textId="6E20D379"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62" w:history="1">
            <w:r w:rsidR="00BB48C1" w:rsidRPr="00FE728B">
              <w:rPr>
                <w:rStyle w:val="Hyperlink"/>
                <w:noProof/>
                <w:lang w:val="sr-Cyrl-RS"/>
              </w:rPr>
              <w:t>Посебан циљ и правци деловања</w:t>
            </w:r>
            <w:r w:rsidR="00BB48C1">
              <w:rPr>
                <w:noProof/>
                <w:webHidden/>
              </w:rPr>
              <w:tab/>
            </w:r>
            <w:r w:rsidR="00BB48C1">
              <w:rPr>
                <w:noProof/>
                <w:webHidden/>
              </w:rPr>
              <w:fldChar w:fldCharType="begin"/>
            </w:r>
            <w:r w:rsidR="00BB48C1">
              <w:rPr>
                <w:noProof/>
                <w:webHidden/>
              </w:rPr>
              <w:instrText xml:space="preserve"> PAGEREF _Toc57661462 \h </w:instrText>
            </w:r>
            <w:r w:rsidR="00BB48C1">
              <w:rPr>
                <w:noProof/>
                <w:webHidden/>
              </w:rPr>
            </w:r>
            <w:r w:rsidR="00BB48C1">
              <w:rPr>
                <w:noProof/>
                <w:webHidden/>
              </w:rPr>
              <w:fldChar w:fldCharType="separate"/>
            </w:r>
            <w:r w:rsidR="00BB48C1">
              <w:rPr>
                <w:noProof/>
                <w:webHidden/>
              </w:rPr>
              <w:t>21</w:t>
            </w:r>
            <w:r w:rsidR="00BB48C1">
              <w:rPr>
                <w:noProof/>
                <w:webHidden/>
              </w:rPr>
              <w:fldChar w:fldCharType="end"/>
            </w:r>
          </w:hyperlink>
        </w:p>
        <w:p w14:paraId="2BEC2054" w14:textId="28A31457"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63" w:history="1">
            <w:r w:rsidR="00BB48C1" w:rsidRPr="00FE728B">
              <w:rPr>
                <w:rStyle w:val="Hyperlink"/>
                <w:noProof/>
                <w:lang w:val="sr-Cyrl-RS"/>
              </w:rPr>
              <w:t>VI. Систем локалне самоуправе</w:t>
            </w:r>
            <w:r w:rsidR="00BB48C1">
              <w:rPr>
                <w:noProof/>
                <w:webHidden/>
              </w:rPr>
              <w:tab/>
            </w:r>
            <w:r w:rsidR="00BB48C1">
              <w:rPr>
                <w:noProof/>
                <w:webHidden/>
              </w:rPr>
              <w:fldChar w:fldCharType="begin"/>
            </w:r>
            <w:r w:rsidR="00BB48C1">
              <w:rPr>
                <w:noProof/>
                <w:webHidden/>
              </w:rPr>
              <w:instrText xml:space="preserve"> PAGEREF _Toc57661463 \h </w:instrText>
            </w:r>
            <w:r w:rsidR="00BB48C1">
              <w:rPr>
                <w:noProof/>
                <w:webHidden/>
              </w:rPr>
            </w:r>
            <w:r w:rsidR="00BB48C1">
              <w:rPr>
                <w:noProof/>
                <w:webHidden/>
              </w:rPr>
              <w:fldChar w:fldCharType="separate"/>
            </w:r>
            <w:r w:rsidR="00BB48C1">
              <w:rPr>
                <w:noProof/>
                <w:webHidden/>
              </w:rPr>
              <w:t>23</w:t>
            </w:r>
            <w:r w:rsidR="00BB48C1">
              <w:rPr>
                <w:noProof/>
                <w:webHidden/>
              </w:rPr>
              <w:fldChar w:fldCharType="end"/>
            </w:r>
          </w:hyperlink>
        </w:p>
        <w:p w14:paraId="1CA0FE13" w14:textId="246625C5"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64" w:history="1">
            <w:r w:rsidR="00BB48C1" w:rsidRPr="00FE728B">
              <w:rPr>
                <w:rStyle w:val="Hyperlink"/>
                <w:noProof/>
                <w:lang w:val="sr-Cyrl-RS"/>
              </w:rPr>
              <w:t>Анализа стања</w:t>
            </w:r>
            <w:r w:rsidR="00BB48C1">
              <w:rPr>
                <w:noProof/>
                <w:webHidden/>
              </w:rPr>
              <w:tab/>
            </w:r>
            <w:r w:rsidR="00BB48C1">
              <w:rPr>
                <w:noProof/>
                <w:webHidden/>
              </w:rPr>
              <w:fldChar w:fldCharType="begin"/>
            </w:r>
            <w:r w:rsidR="00BB48C1">
              <w:rPr>
                <w:noProof/>
                <w:webHidden/>
              </w:rPr>
              <w:instrText xml:space="preserve"> PAGEREF _Toc57661464 \h </w:instrText>
            </w:r>
            <w:r w:rsidR="00BB48C1">
              <w:rPr>
                <w:noProof/>
                <w:webHidden/>
              </w:rPr>
            </w:r>
            <w:r w:rsidR="00BB48C1">
              <w:rPr>
                <w:noProof/>
                <w:webHidden/>
              </w:rPr>
              <w:fldChar w:fldCharType="separate"/>
            </w:r>
            <w:r w:rsidR="00BB48C1">
              <w:rPr>
                <w:noProof/>
                <w:webHidden/>
              </w:rPr>
              <w:t>23</w:t>
            </w:r>
            <w:r w:rsidR="00BB48C1">
              <w:rPr>
                <w:noProof/>
                <w:webHidden/>
              </w:rPr>
              <w:fldChar w:fldCharType="end"/>
            </w:r>
          </w:hyperlink>
        </w:p>
        <w:p w14:paraId="673FE449" w14:textId="6C6D909B"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65" w:history="1">
            <w:r w:rsidR="00BB48C1" w:rsidRPr="00FE728B">
              <w:rPr>
                <w:rStyle w:val="Hyperlink"/>
                <w:noProof/>
                <w:lang w:val="sr-Cyrl-RS"/>
              </w:rPr>
              <w:t>Посебан циљ и правци деловања</w:t>
            </w:r>
            <w:r w:rsidR="00BB48C1">
              <w:rPr>
                <w:noProof/>
                <w:webHidden/>
              </w:rPr>
              <w:tab/>
            </w:r>
            <w:r w:rsidR="00BB48C1">
              <w:rPr>
                <w:noProof/>
                <w:webHidden/>
              </w:rPr>
              <w:fldChar w:fldCharType="begin"/>
            </w:r>
            <w:r w:rsidR="00BB48C1">
              <w:rPr>
                <w:noProof/>
                <w:webHidden/>
              </w:rPr>
              <w:instrText xml:space="preserve"> PAGEREF _Toc57661465 \h </w:instrText>
            </w:r>
            <w:r w:rsidR="00BB48C1">
              <w:rPr>
                <w:noProof/>
                <w:webHidden/>
              </w:rPr>
            </w:r>
            <w:r w:rsidR="00BB48C1">
              <w:rPr>
                <w:noProof/>
                <w:webHidden/>
              </w:rPr>
              <w:fldChar w:fldCharType="separate"/>
            </w:r>
            <w:r w:rsidR="00BB48C1">
              <w:rPr>
                <w:noProof/>
                <w:webHidden/>
              </w:rPr>
              <w:t>24</w:t>
            </w:r>
            <w:r w:rsidR="00BB48C1">
              <w:rPr>
                <w:noProof/>
                <w:webHidden/>
              </w:rPr>
              <w:fldChar w:fldCharType="end"/>
            </w:r>
          </w:hyperlink>
        </w:p>
        <w:p w14:paraId="1925A601" w14:textId="3E0D725A" w:rsidR="00BB48C1" w:rsidRDefault="00F47F65">
          <w:pPr>
            <w:pStyle w:val="TOC1"/>
            <w:rPr>
              <w:rFonts w:asciiTheme="minorHAnsi" w:eastAsiaTheme="minorEastAsia" w:hAnsiTheme="minorHAnsi" w:cstheme="minorBidi"/>
              <w:noProof/>
              <w:kern w:val="0"/>
              <w:sz w:val="22"/>
              <w:szCs w:val="22"/>
              <w:lang w:val="en-GB" w:eastAsia="en-GB" w:bidi="ar-SA"/>
            </w:rPr>
          </w:pPr>
          <w:hyperlink w:anchor="_Toc57661466" w:history="1">
            <w:r w:rsidR="00BB48C1" w:rsidRPr="00FE728B">
              <w:rPr>
                <w:rStyle w:val="Hyperlink"/>
                <w:noProof/>
                <w:lang w:val="sr-Cyrl-RS"/>
              </w:rPr>
              <w:t>Трошкови спровођења АП Стратегије РЈУ</w:t>
            </w:r>
            <w:r w:rsidR="00BB48C1">
              <w:rPr>
                <w:noProof/>
                <w:webHidden/>
              </w:rPr>
              <w:tab/>
            </w:r>
            <w:r w:rsidR="00BB48C1">
              <w:rPr>
                <w:noProof/>
                <w:webHidden/>
              </w:rPr>
              <w:fldChar w:fldCharType="begin"/>
            </w:r>
            <w:r w:rsidR="00BB48C1">
              <w:rPr>
                <w:noProof/>
                <w:webHidden/>
              </w:rPr>
              <w:instrText xml:space="preserve"> PAGEREF _Toc57661466 \h </w:instrText>
            </w:r>
            <w:r w:rsidR="00BB48C1">
              <w:rPr>
                <w:noProof/>
                <w:webHidden/>
              </w:rPr>
            </w:r>
            <w:r w:rsidR="00BB48C1">
              <w:rPr>
                <w:noProof/>
                <w:webHidden/>
              </w:rPr>
              <w:fldChar w:fldCharType="separate"/>
            </w:r>
            <w:r w:rsidR="00BB48C1">
              <w:rPr>
                <w:noProof/>
                <w:webHidden/>
              </w:rPr>
              <w:t>26</w:t>
            </w:r>
            <w:r w:rsidR="00BB48C1">
              <w:rPr>
                <w:noProof/>
                <w:webHidden/>
              </w:rPr>
              <w:fldChar w:fldCharType="end"/>
            </w:r>
          </w:hyperlink>
        </w:p>
        <w:p w14:paraId="545E33E7" w14:textId="5409CAA8" w:rsidR="00BB48C1" w:rsidRDefault="00F47F65">
          <w:pPr>
            <w:pStyle w:val="TOC1"/>
            <w:rPr>
              <w:rFonts w:asciiTheme="minorHAnsi" w:eastAsiaTheme="minorEastAsia" w:hAnsiTheme="minorHAnsi" w:cstheme="minorBidi"/>
              <w:noProof/>
              <w:kern w:val="0"/>
              <w:sz w:val="22"/>
              <w:szCs w:val="22"/>
              <w:lang w:val="en-GB" w:eastAsia="en-GB" w:bidi="ar-SA"/>
            </w:rPr>
          </w:pPr>
          <w:hyperlink w:anchor="_Toc57661467" w:history="1">
            <w:r w:rsidR="00BB48C1" w:rsidRPr="00FE728B">
              <w:rPr>
                <w:rStyle w:val="Hyperlink"/>
                <w:noProof/>
                <w:lang w:val="sr-Cyrl-RS"/>
              </w:rPr>
              <w:t>Институционални оквир – Координација, управљање и извештавање о резултатима</w:t>
            </w:r>
            <w:r w:rsidR="00BB48C1">
              <w:rPr>
                <w:noProof/>
                <w:webHidden/>
              </w:rPr>
              <w:tab/>
            </w:r>
            <w:r w:rsidR="00BB48C1">
              <w:rPr>
                <w:noProof/>
                <w:webHidden/>
              </w:rPr>
              <w:fldChar w:fldCharType="begin"/>
            </w:r>
            <w:r w:rsidR="00BB48C1">
              <w:rPr>
                <w:noProof/>
                <w:webHidden/>
              </w:rPr>
              <w:instrText xml:space="preserve"> PAGEREF _Toc57661467 \h </w:instrText>
            </w:r>
            <w:r w:rsidR="00BB48C1">
              <w:rPr>
                <w:noProof/>
                <w:webHidden/>
              </w:rPr>
            </w:r>
            <w:r w:rsidR="00BB48C1">
              <w:rPr>
                <w:noProof/>
                <w:webHidden/>
              </w:rPr>
              <w:fldChar w:fldCharType="separate"/>
            </w:r>
            <w:r w:rsidR="00BB48C1">
              <w:rPr>
                <w:noProof/>
                <w:webHidden/>
              </w:rPr>
              <w:t>31</w:t>
            </w:r>
            <w:r w:rsidR="00BB48C1">
              <w:rPr>
                <w:noProof/>
                <w:webHidden/>
              </w:rPr>
              <w:fldChar w:fldCharType="end"/>
            </w:r>
          </w:hyperlink>
        </w:p>
        <w:p w14:paraId="3CF9FFF5" w14:textId="6CBB5A09" w:rsidR="00BB48C1" w:rsidRDefault="00F47F65">
          <w:pPr>
            <w:pStyle w:val="TOC1"/>
            <w:rPr>
              <w:rFonts w:asciiTheme="minorHAnsi" w:eastAsiaTheme="minorEastAsia" w:hAnsiTheme="minorHAnsi" w:cstheme="minorBidi"/>
              <w:noProof/>
              <w:kern w:val="0"/>
              <w:sz w:val="22"/>
              <w:szCs w:val="22"/>
              <w:lang w:val="en-GB" w:eastAsia="en-GB" w:bidi="ar-SA"/>
            </w:rPr>
          </w:pPr>
          <w:hyperlink w:anchor="_Toc57661468" w:history="1">
            <w:r w:rsidR="00BB48C1" w:rsidRPr="00FE728B">
              <w:rPr>
                <w:rStyle w:val="Hyperlink"/>
                <w:noProof/>
                <w:lang w:val="sr-Cyrl-RS"/>
              </w:rPr>
              <w:t>Прилог 1: Стратешки оквир</w:t>
            </w:r>
            <w:r w:rsidR="00BB48C1">
              <w:rPr>
                <w:noProof/>
                <w:webHidden/>
              </w:rPr>
              <w:tab/>
            </w:r>
            <w:r w:rsidR="00BB48C1">
              <w:rPr>
                <w:noProof/>
                <w:webHidden/>
              </w:rPr>
              <w:fldChar w:fldCharType="begin"/>
            </w:r>
            <w:r w:rsidR="00BB48C1">
              <w:rPr>
                <w:noProof/>
                <w:webHidden/>
              </w:rPr>
              <w:instrText xml:space="preserve"> PAGEREF _Toc57661468 \h </w:instrText>
            </w:r>
            <w:r w:rsidR="00BB48C1">
              <w:rPr>
                <w:noProof/>
                <w:webHidden/>
              </w:rPr>
            </w:r>
            <w:r w:rsidR="00BB48C1">
              <w:rPr>
                <w:noProof/>
                <w:webHidden/>
              </w:rPr>
              <w:fldChar w:fldCharType="separate"/>
            </w:r>
            <w:r w:rsidR="00BB48C1">
              <w:rPr>
                <w:noProof/>
                <w:webHidden/>
              </w:rPr>
              <w:t>33</w:t>
            </w:r>
            <w:r w:rsidR="00BB48C1">
              <w:rPr>
                <w:noProof/>
                <w:webHidden/>
              </w:rPr>
              <w:fldChar w:fldCharType="end"/>
            </w:r>
          </w:hyperlink>
        </w:p>
        <w:p w14:paraId="5DDD2814" w14:textId="29B48C18" w:rsidR="00BB48C1" w:rsidRDefault="00F47F65">
          <w:pPr>
            <w:pStyle w:val="TOC1"/>
            <w:rPr>
              <w:rFonts w:asciiTheme="minorHAnsi" w:eastAsiaTheme="minorEastAsia" w:hAnsiTheme="minorHAnsi" w:cstheme="minorBidi"/>
              <w:noProof/>
              <w:kern w:val="0"/>
              <w:sz w:val="22"/>
              <w:szCs w:val="22"/>
              <w:lang w:val="en-GB" w:eastAsia="en-GB" w:bidi="ar-SA"/>
            </w:rPr>
          </w:pPr>
          <w:hyperlink w:anchor="_Toc57661469" w:history="1">
            <w:r w:rsidR="00BB48C1" w:rsidRPr="00FE728B">
              <w:rPr>
                <w:rStyle w:val="Hyperlink"/>
                <w:noProof/>
                <w:lang w:val="sr-Cyrl-RS"/>
              </w:rPr>
              <w:t>Прилог 2: Анализа ситуације по тематским областима са извештајем о спроведеној анализи ефеката опција и описом мера</w:t>
            </w:r>
            <w:r w:rsidR="00BB48C1">
              <w:rPr>
                <w:noProof/>
                <w:webHidden/>
              </w:rPr>
              <w:tab/>
            </w:r>
            <w:r w:rsidR="00BB48C1">
              <w:rPr>
                <w:noProof/>
                <w:webHidden/>
              </w:rPr>
              <w:fldChar w:fldCharType="begin"/>
            </w:r>
            <w:r w:rsidR="00BB48C1">
              <w:rPr>
                <w:noProof/>
                <w:webHidden/>
              </w:rPr>
              <w:instrText xml:space="preserve"> PAGEREF _Toc57661469 \h </w:instrText>
            </w:r>
            <w:r w:rsidR="00BB48C1">
              <w:rPr>
                <w:noProof/>
                <w:webHidden/>
              </w:rPr>
            </w:r>
            <w:r w:rsidR="00BB48C1">
              <w:rPr>
                <w:noProof/>
                <w:webHidden/>
              </w:rPr>
              <w:fldChar w:fldCharType="separate"/>
            </w:r>
            <w:r w:rsidR="00BB48C1">
              <w:rPr>
                <w:noProof/>
                <w:webHidden/>
              </w:rPr>
              <w:t>44</w:t>
            </w:r>
            <w:r w:rsidR="00BB48C1">
              <w:rPr>
                <w:noProof/>
                <w:webHidden/>
              </w:rPr>
              <w:fldChar w:fldCharType="end"/>
            </w:r>
          </w:hyperlink>
        </w:p>
        <w:p w14:paraId="08576B73" w14:textId="35FCA038"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70" w:history="1">
            <w:r w:rsidR="00BB48C1" w:rsidRPr="00FE728B">
              <w:rPr>
                <w:rStyle w:val="Hyperlink"/>
                <w:noProof/>
                <w:lang w:val="sr-Cyrl-RS"/>
              </w:rPr>
              <w:t>Дрво циљева за Стратегију РЈУ</w:t>
            </w:r>
            <w:r w:rsidR="00BB48C1">
              <w:rPr>
                <w:noProof/>
                <w:webHidden/>
              </w:rPr>
              <w:tab/>
            </w:r>
            <w:r w:rsidR="00BB48C1">
              <w:rPr>
                <w:noProof/>
                <w:webHidden/>
              </w:rPr>
              <w:fldChar w:fldCharType="begin"/>
            </w:r>
            <w:r w:rsidR="00BB48C1">
              <w:rPr>
                <w:noProof/>
                <w:webHidden/>
              </w:rPr>
              <w:instrText xml:space="preserve"> PAGEREF _Toc57661470 \h </w:instrText>
            </w:r>
            <w:r w:rsidR="00BB48C1">
              <w:rPr>
                <w:noProof/>
                <w:webHidden/>
              </w:rPr>
            </w:r>
            <w:r w:rsidR="00BB48C1">
              <w:rPr>
                <w:noProof/>
                <w:webHidden/>
              </w:rPr>
              <w:fldChar w:fldCharType="separate"/>
            </w:r>
            <w:r w:rsidR="00BB48C1">
              <w:rPr>
                <w:noProof/>
                <w:webHidden/>
              </w:rPr>
              <w:t>51</w:t>
            </w:r>
            <w:r w:rsidR="00BB48C1">
              <w:rPr>
                <w:noProof/>
                <w:webHidden/>
              </w:rPr>
              <w:fldChar w:fldCharType="end"/>
            </w:r>
          </w:hyperlink>
        </w:p>
        <w:p w14:paraId="1CC1C8A3" w14:textId="417C43B7"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71" w:history="1">
            <w:r w:rsidR="00BB48C1" w:rsidRPr="00FE728B">
              <w:rPr>
                <w:rStyle w:val="Hyperlink"/>
                <w:noProof/>
                <w:lang w:val="sr-Cyrl-RS"/>
              </w:rPr>
              <w:t>Показатељи исхода Стратегије РЈУ</w:t>
            </w:r>
            <w:r w:rsidR="00BB48C1">
              <w:rPr>
                <w:noProof/>
                <w:webHidden/>
              </w:rPr>
              <w:tab/>
            </w:r>
            <w:r w:rsidR="00BB48C1">
              <w:rPr>
                <w:noProof/>
                <w:webHidden/>
              </w:rPr>
              <w:fldChar w:fldCharType="begin"/>
            </w:r>
            <w:r w:rsidR="00BB48C1">
              <w:rPr>
                <w:noProof/>
                <w:webHidden/>
              </w:rPr>
              <w:instrText xml:space="preserve"> PAGEREF _Toc57661471 \h </w:instrText>
            </w:r>
            <w:r w:rsidR="00BB48C1">
              <w:rPr>
                <w:noProof/>
                <w:webHidden/>
              </w:rPr>
            </w:r>
            <w:r w:rsidR="00BB48C1">
              <w:rPr>
                <w:noProof/>
                <w:webHidden/>
              </w:rPr>
              <w:fldChar w:fldCharType="separate"/>
            </w:r>
            <w:r w:rsidR="00BB48C1">
              <w:rPr>
                <w:noProof/>
                <w:webHidden/>
              </w:rPr>
              <w:t>52</w:t>
            </w:r>
            <w:r w:rsidR="00BB48C1">
              <w:rPr>
                <w:noProof/>
                <w:webHidden/>
              </w:rPr>
              <w:fldChar w:fldCharType="end"/>
            </w:r>
          </w:hyperlink>
        </w:p>
        <w:p w14:paraId="513ACEFC" w14:textId="4AF32559"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72" w:history="1">
            <w:r w:rsidR="00BB48C1" w:rsidRPr="00FE728B">
              <w:rPr>
                <w:rStyle w:val="Hyperlink"/>
                <w:noProof/>
                <w:lang w:val="sr-Cyrl-RS"/>
              </w:rPr>
              <w:t>Трошкови спровођења Стратегије РЈУ</w:t>
            </w:r>
            <w:r w:rsidR="00BB48C1">
              <w:rPr>
                <w:noProof/>
                <w:webHidden/>
              </w:rPr>
              <w:tab/>
            </w:r>
            <w:r w:rsidR="00BB48C1">
              <w:rPr>
                <w:noProof/>
                <w:webHidden/>
              </w:rPr>
              <w:fldChar w:fldCharType="begin"/>
            </w:r>
            <w:r w:rsidR="00BB48C1">
              <w:rPr>
                <w:noProof/>
                <w:webHidden/>
              </w:rPr>
              <w:instrText xml:space="preserve"> PAGEREF _Toc57661472 \h </w:instrText>
            </w:r>
            <w:r w:rsidR="00BB48C1">
              <w:rPr>
                <w:noProof/>
                <w:webHidden/>
              </w:rPr>
            </w:r>
            <w:r w:rsidR="00BB48C1">
              <w:rPr>
                <w:noProof/>
                <w:webHidden/>
              </w:rPr>
              <w:fldChar w:fldCharType="separate"/>
            </w:r>
            <w:r w:rsidR="00BB48C1">
              <w:rPr>
                <w:noProof/>
                <w:webHidden/>
              </w:rPr>
              <w:t>54</w:t>
            </w:r>
            <w:r w:rsidR="00BB48C1">
              <w:rPr>
                <w:noProof/>
                <w:webHidden/>
              </w:rPr>
              <w:fldChar w:fldCharType="end"/>
            </w:r>
          </w:hyperlink>
        </w:p>
        <w:p w14:paraId="5823751C" w14:textId="7F9EF48D"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73" w:history="1">
            <w:r w:rsidR="00BB48C1" w:rsidRPr="00FE728B">
              <w:rPr>
                <w:rStyle w:val="Hyperlink"/>
                <w:noProof/>
                <w:lang w:val="sr-Cyrl-RS"/>
              </w:rPr>
              <w:t>Ι. Планирање и координација јавних политика</w:t>
            </w:r>
            <w:r w:rsidR="00BB48C1">
              <w:rPr>
                <w:noProof/>
                <w:webHidden/>
              </w:rPr>
              <w:tab/>
            </w:r>
            <w:r w:rsidR="00BB48C1">
              <w:rPr>
                <w:noProof/>
                <w:webHidden/>
              </w:rPr>
              <w:fldChar w:fldCharType="begin"/>
            </w:r>
            <w:r w:rsidR="00BB48C1">
              <w:rPr>
                <w:noProof/>
                <w:webHidden/>
              </w:rPr>
              <w:instrText xml:space="preserve"> PAGEREF _Toc57661473 \h </w:instrText>
            </w:r>
            <w:r w:rsidR="00BB48C1">
              <w:rPr>
                <w:noProof/>
                <w:webHidden/>
              </w:rPr>
            </w:r>
            <w:r w:rsidR="00BB48C1">
              <w:rPr>
                <w:noProof/>
                <w:webHidden/>
              </w:rPr>
              <w:fldChar w:fldCharType="separate"/>
            </w:r>
            <w:r w:rsidR="00BB48C1">
              <w:rPr>
                <w:noProof/>
                <w:webHidden/>
              </w:rPr>
              <w:t>60</w:t>
            </w:r>
            <w:r w:rsidR="00BB48C1">
              <w:rPr>
                <w:noProof/>
                <w:webHidden/>
              </w:rPr>
              <w:fldChar w:fldCharType="end"/>
            </w:r>
          </w:hyperlink>
        </w:p>
        <w:p w14:paraId="63508BA9" w14:textId="71E21360"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74" w:history="1">
            <w:r w:rsidR="00BB48C1" w:rsidRPr="00FE728B">
              <w:rPr>
                <w:rStyle w:val="Hyperlink"/>
                <w:noProof/>
                <w:lang w:val="sr-Cyrl-RS"/>
              </w:rPr>
              <w:t>Анализа стања</w:t>
            </w:r>
            <w:r w:rsidR="00BB48C1">
              <w:rPr>
                <w:noProof/>
                <w:webHidden/>
              </w:rPr>
              <w:tab/>
            </w:r>
            <w:r w:rsidR="00BB48C1">
              <w:rPr>
                <w:noProof/>
                <w:webHidden/>
              </w:rPr>
              <w:fldChar w:fldCharType="begin"/>
            </w:r>
            <w:r w:rsidR="00BB48C1">
              <w:rPr>
                <w:noProof/>
                <w:webHidden/>
              </w:rPr>
              <w:instrText xml:space="preserve"> PAGEREF _Toc57661474 \h </w:instrText>
            </w:r>
            <w:r w:rsidR="00BB48C1">
              <w:rPr>
                <w:noProof/>
                <w:webHidden/>
              </w:rPr>
            </w:r>
            <w:r w:rsidR="00BB48C1">
              <w:rPr>
                <w:noProof/>
                <w:webHidden/>
              </w:rPr>
              <w:fldChar w:fldCharType="separate"/>
            </w:r>
            <w:r w:rsidR="00BB48C1">
              <w:rPr>
                <w:noProof/>
                <w:webHidden/>
              </w:rPr>
              <w:t>60</w:t>
            </w:r>
            <w:r w:rsidR="00BB48C1">
              <w:rPr>
                <w:noProof/>
                <w:webHidden/>
              </w:rPr>
              <w:fldChar w:fldCharType="end"/>
            </w:r>
          </w:hyperlink>
        </w:p>
        <w:p w14:paraId="240AC017" w14:textId="2D4F33C3"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75" w:history="1">
            <w:r w:rsidR="00BB48C1" w:rsidRPr="00FE728B">
              <w:rPr>
                <w:rStyle w:val="Hyperlink"/>
                <w:noProof/>
                <w:lang w:val="sr-Cyrl-RS"/>
              </w:rPr>
              <w:t>Дрво проблема – Планирање и координација политика</w:t>
            </w:r>
            <w:r w:rsidR="00BB48C1">
              <w:rPr>
                <w:noProof/>
                <w:webHidden/>
              </w:rPr>
              <w:tab/>
            </w:r>
            <w:r w:rsidR="00BB48C1">
              <w:rPr>
                <w:noProof/>
                <w:webHidden/>
              </w:rPr>
              <w:fldChar w:fldCharType="begin"/>
            </w:r>
            <w:r w:rsidR="00BB48C1">
              <w:rPr>
                <w:noProof/>
                <w:webHidden/>
              </w:rPr>
              <w:instrText xml:space="preserve"> PAGEREF _Toc57661475 \h </w:instrText>
            </w:r>
            <w:r w:rsidR="00BB48C1">
              <w:rPr>
                <w:noProof/>
                <w:webHidden/>
              </w:rPr>
            </w:r>
            <w:r w:rsidR="00BB48C1">
              <w:rPr>
                <w:noProof/>
                <w:webHidden/>
              </w:rPr>
              <w:fldChar w:fldCharType="separate"/>
            </w:r>
            <w:r w:rsidR="00BB48C1">
              <w:rPr>
                <w:noProof/>
                <w:webHidden/>
              </w:rPr>
              <w:t>67</w:t>
            </w:r>
            <w:r w:rsidR="00BB48C1">
              <w:rPr>
                <w:noProof/>
                <w:webHidden/>
              </w:rPr>
              <w:fldChar w:fldCharType="end"/>
            </w:r>
          </w:hyperlink>
        </w:p>
        <w:p w14:paraId="4B780932" w14:textId="6602100C"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76" w:history="1">
            <w:r w:rsidR="00BB48C1" w:rsidRPr="00FE728B">
              <w:rPr>
                <w:rStyle w:val="Hyperlink"/>
                <w:noProof/>
                <w:lang w:val="sr-Cyrl-RS"/>
              </w:rPr>
              <w:t>Циљ и правци деловања</w:t>
            </w:r>
            <w:r w:rsidR="00BB48C1">
              <w:rPr>
                <w:noProof/>
                <w:webHidden/>
              </w:rPr>
              <w:tab/>
            </w:r>
            <w:r w:rsidR="00BB48C1">
              <w:rPr>
                <w:noProof/>
                <w:webHidden/>
              </w:rPr>
              <w:fldChar w:fldCharType="begin"/>
            </w:r>
            <w:r w:rsidR="00BB48C1">
              <w:rPr>
                <w:noProof/>
                <w:webHidden/>
              </w:rPr>
              <w:instrText xml:space="preserve"> PAGEREF _Toc57661476 \h </w:instrText>
            </w:r>
            <w:r w:rsidR="00BB48C1">
              <w:rPr>
                <w:noProof/>
                <w:webHidden/>
              </w:rPr>
            </w:r>
            <w:r w:rsidR="00BB48C1">
              <w:rPr>
                <w:noProof/>
                <w:webHidden/>
              </w:rPr>
              <w:fldChar w:fldCharType="separate"/>
            </w:r>
            <w:r w:rsidR="00BB48C1">
              <w:rPr>
                <w:noProof/>
                <w:webHidden/>
              </w:rPr>
              <w:t>68</w:t>
            </w:r>
            <w:r w:rsidR="00BB48C1">
              <w:rPr>
                <w:noProof/>
                <w:webHidden/>
              </w:rPr>
              <w:fldChar w:fldCharType="end"/>
            </w:r>
          </w:hyperlink>
        </w:p>
        <w:p w14:paraId="5705B102" w14:textId="327191D7"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77" w:history="1">
            <w:r w:rsidR="00BB48C1" w:rsidRPr="00FE728B">
              <w:rPr>
                <w:rStyle w:val="Hyperlink"/>
                <w:noProof/>
                <w:lang w:val="sr-Cyrl-RS"/>
              </w:rPr>
              <w:t>Правци деловања Програма за управљање јавним политикама и регулаторну реформу</w:t>
            </w:r>
            <w:r w:rsidR="00BB48C1">
              <w:rPr>
                <w:noProof/>
                <w:webHidden/>
              </w:rPr>
              <w:tab/>
            </w:r>
            <w:r w:rsidR="00BB48C1">
              <w:rPr>
                <w:noProof/>
                <w:webHidden/>
              </w:rPr>
              <w:fldChar w:fldCharType="begin"/>
            </w:r>
            <w:r w:rsidR="00BB48C1">
              <w:rPr>
                <w:noProof/>
                <w:webHidden/>
              </w:rPr>
              <w:instrText xml:space="preserve"> PAGEREF _Toc57661477 \h </w:instrText>
            </w:r>
            <w:r w:rsidR="00BB48C1">
              <w:rPr>
                <w:noProof/>
                <w:webHidden/>
              </w:rPr>
            </w:r>
            <w:r w:rsidR="00BB48C1">
              <w:rPr>
                <w:noProof/>
                <w:webHidden/>
              </w:rPr>
              <w:fldChar w:fldCharType="separate"/>
            </w:r>
            <w:r w:rsidR="00BB48C1">
              <w:rPr>
                <w:noProof/>
                <w:webHidden/>
              </w:rPr>
              <w:t>69</w:t>
            </w:r>
            <w:r w:rsidR="00BB48C1">
              <w:rPr>
                <w:noProof/>
                <w:webHidden/>
              </w:rPr>
              <w:fldChar w:fldCharType="end"/>
            </w:r>
          </w:hyperlink>
        </w:p>
        <w:p w14:paraId="10647E82" w14:textId="401D93C4"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78" w:history="1">
            <w:r w:rsidR="00BB48C1" w:rsidRPr="00FE728B">
              <w:rPr>
                <w:rStyle w:val="Hyperlink"/>
                <w:noProof/>
                <w:lang w:val="sr-Cyrl-RS"/>
              </w:rPr>
              <w:t>II. Управљање људским ресурсима у јавној управи</w:t>
            </w:r>
            <w:r w:rsidR="00BB48C1">
              <w:rPr>
                <w:noProof/>
                <w:webHidden/>
              </w:rPr>
              <w:tab/>
            </w:r>
            <w:r w:rsidR="00BB48C1">
              <w:rPr>
                <w:noProof/>
                <w:webHidden/>
              </w:rPr>
              <w:fldChar w:fldCharType="begin"/>
            </w:r>
            <w:r w:rsidR="00BB48C1">
              <w:rPr>
                <w:noProof/>
                <w:webHidden/>
              </w:rPr>
              <w:instrText xml:space="preserve"> PAGEREF _Toc57661478 \h </w:instrText>
            </w:r>
            <w:r w:rsidR="00BB48C1">
              <w:rPr>
                <w:noProof/>
                <w:webHidden/>
              </w:rPr>
            </w:r>
            <w:r w:rsidR="00BB48C1">
              <w:rPr>
                <w:noProof/>
                <w:webHidden/>
              </w:rPr>
              <w:fldChar w:fldCharType="separate"/>
            </w:r>
            <w:r w:rsidR="00BB48C1">
              <w:rPr>
                <w:noProof/>
                <w:webHidden/>
              </w:rPr>
              <w:t>70</w:t>
            </w:r>
            <w:r w:rsidR="00BB48C1">
              <w:rPr>
                <w:noProof/>
                <w:webHidden/>
              </w:rPr>
              <w:fldChar w:fldCharType="end"/>
            </w:r>
          </w:hyperlink>
        </w:p>
        <w:p w14:paraId="7A560076" w14:textId="18666FE8"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79" w:history="1">
            <w:r w:rsidR="00BB48C1" w:rsidRPr="00FE728B">
              <w:rPr>
                <w:rStyle w:val="Hyperlink"/>
                <w:noProof/>
                <w:lang w:val="sr-Cyrl-RS"/>
              </w:rPr>
              <w:t>Анализа стања</w:t>
            </w:r>
            <w:r w:rsidR="00BB48C1">
              <w:rPr>
                <w:noProof/>
                <w:webHidden/>
              </w:rPr>
              <w:tab/>
            </w:r>
            <w:r w:rsidR="00BB48C1">
              <w:rPr>
                <w:noProof/>
                <w:webHidden/>
              </w:rPr>
              <w:fldChar w:fldCharType="begin"/>
            </w:r>
            <w:r w:rsidR="00BB48C1">
              <w:rPr>
                <w:noProof/>
                <w:webHidden/>
              </w:rPr>
              <w:instrText xml:space="preserve"> PAGEREF _Toc57661479 \h </w:instrText>
            </w:r>
            <w:r w:rsidR="00BB48C1">
              <w:rPr>
                <w:noProof/>
                <w:webHidden/>
              </w:rPr>
            </w:r>
            <w:r w:rsidR="00BB48C1">
              <w:rPr>
                <w:noProof/>
                <w:webHidden/>
              </w:rPr>
              <w:fldChar w:fldCharType="separate"/>
            </w:r>
            <w:r w:rsidR="00BB48C1">
              <w:rPr>
                <w:noProof/>
                <w:webHidden/>
              </w:rPr>
              <w:t>70</w:t>
            </w:r>
            <w:r w:rsidR="00BB48C1">
              <w:rPr>
                <w:noProof/>
                <w:webHidden/>
              </w:rPr>
              <w:fldChar w:fldCharType="end"/>
            </w:r>
          </w:hyperlink>
        </w:p>
        <w:p w14:paraId="505CBAC2" w14:textId="63C78518"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80" w:history="1">
            <w:r w:rsidR="00BB48C1" w:rsidRPr="00FE728B">
              <w:rPr>
                <w:rStyle w:val="Hyperlink"/>
                <w:noProof/>
                <w:lang w:val="sr-Cyrl-RS"/>
              </w:rPr>
              <w:t>Дрво проблема - Управљање људским ресурсима</w:t>
            </w:r>
            <w:r w:rsidR="00BB48C1">
              <w:rPr>
                <w:noProof/>
                <w:webHidden/>
              </w:rPr>
              <w:tab/>
            </w:r>
            <w:r w:rsidR="00BB48C1">
              <w:rPr>
                <w:noProof/>
                <w:webHidden/>
              </w:rPr>
              <w:fldChar w:fldCharType="begin"/>
            </w:r>
            <w:r w:rsidR="00BB48C1">
              <w:rPr>
                <w:noProof/>
                <w:webHidden/>
              </w:rPr>
              <w:instrText xml:space="preserve"> PAGEREF _Toc57661480 \h </w:instrText>
            </w:r>
            <w:r w:rsidR="00BB48C1">
              <w:rPr>
                <w:noProof/>
                <w:webHidden/>
              </w:rPr>
            </w:r>
            <w:r w:rsidR="00BB48C1">
              <w:rPr>
                <w:noProof/>
                <w:webHidden/>
              </w:rPr>
              <w:fldChar w:fldCharType="separate"/>
            </w:r>
            <w:r w:rsidR="00BB48C1">
              <w:rPr>
                <w:noProof/>
                <w:webHidden/>
              </w:rPr>
              <w:t>109</w:t>
            </w:r>
            <w:r w:rsidR="00BB48C1">
              <w:rPr>
                <w:noProof/>
                <w:webHidden/>
              </w:rPr>
              <w:fldChar w:fldCharType="end"/>
            </w:r>
          </w:hyperlink>
        </w:p>
        <w:p w14:paraId="1075831D" w14:textId="5A974005"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81" w:history="1">
            <w:r w:rsidR="00BB48C1" w:rsidRPr="00FE728B">
              <w:rPr>
                <w:rStyle w:val="Hyperlink"/>
                <w:noProof/>
                <w:lang w:val="sr-Cyrl-RS"/>
              </w:rPr>
              <w:t>Циљ, анализа ефеката и мере</w:t>
            </w:r>
            <w:r w:rsidR="00BB48C1">
              <w:rPr>
                <w:noProof/>
                <w:webHidden/>
              </w:rPr>
              <w:tab/>
            </w:r>
            <w:r w:rsidR="00BB48C1">
              <w:rPr>
                <w:noProof/>
                <w:webHidden/>
              </w:rPr>
              <w:fldChar w:fldCharType="begin"/>
            </w:r>
            <w:r w:rsidR="00BB48C1">
              <w:rPr>
                <w:noProof/>
                <w:webHidden/>
              </w:rPr>
              <w:instrText xml:space="preserve"> PAGEREF _Toc57661481 \h </w:instrText>
            </w:r>
            <w:r w:rsidR="00BB48C1">
              <w:rPr>
                <w:noProof/>
                <w:webHidden/>
              </w:rPr>
            </w:r>
            <w:r w:rsidR="00BB48C1">
              <w:rPr>
                <w:noProof/>
                <w:webHidden/>
              </w:rPr>
              <w:fldChar w:fldCharType="separate"/>
            </w:r>
            <w:r w:rsidR="00BB48C1">
              <w:rPr>
                <w:noProof/>
                <w:webHidden/>
              </w:rPr>
              <w:t>110</w:t>
            </w:r>
            <w:r w:rsidR="00BB48C1">
              <w:rPr>
                <w:noProof/>
                <w:webHidden/>
              </w:rPr>
              <w:fldChar w:fldCharType="end"/>
            </w:r>
          </w:hyperlink>
        </w:p>
        <w:p w14:paraId="0733B2D3" w14:textId="6BE43420"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82" w:history="1">
            <w:r w:rsidR="00BB48C1" w:rsidRPr="00FE728B">
              <w:rPr>
                <w:rStyle w:val="Hyperlink"/>
                <w:noProof/>
                <w:lang w:val="sr-Cyrl-RS"/>
              </w:rPr>
              <w:t>Дрво циљева – управљање људским ресурсима у јавној управи</w:t>
            </w:r>
            <w:r w:rsidR="00BB48C1">
              <w:rPr>
                <w:noProof/>
                <w:webHidden/>
              </w:rPr>
              <w:tab/>
            </w:r>
            <w:r w:rsidR="00BB48C1">
              <w:rPr>
                <w:noProof/>
                <w:webHidden/>
              </w:rPr>
              <w:fldChar w:fldCharType="begin"/>
            </w:r>
            <w:r w:rsidR="00BB48C1">
              <w:rPr>
                <w:noProof/>
                <w:webHidden/>
              </w:rPr>
              <w:instrText xml:space="preserve"> PAGEREF _Toc57661482 \h </w:instrText>
            </w:r>
            <w:r w:rsidR="00BB48C1">
              <w:rPr>
                <w:noProof/>
                <w:webHidden/>
              </w:rPr>
            </w:r>
            <w:r w:rsidR="00BB48C1">
              <w:rPr>
                <w:noProof/>
                <w:webHidden/>
              </w:rPr>
              <w:fldChar w:fldCharType="separate"/>
            </w:r>
            <w:r w:rsidR="00BB48C1">
              <w:rPr>
                <w:noProof/>
                <w:webHidden/>
              </w:rPr>
              <w:t>127</w:t>
            </w:r>
            <w:r w:rsidR="00BB48C1">
              <w:rPr>
                <w:noProof/>
                <w:webHidden/>
              </w:rPr>
              <w:fldChar w:fldCharType="end"/>
            </w:r>
          </w:hyperlink>
        </w:p>
        <w:p w14:paraId="65600079" w14:textId="7C28EF37"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83" w:history="1">
            <w:r w:rsidR="00BB48C1" w:rsidRPr="00FE728B">
              <w:rPr>
                <w:rStyle w:val="Hyperlink"/>
                <w:noProof/>
                <w:lang w:val="sr-Cyrl-RS"/>
              </w:rPr>
              <w:t>ΙII. Пружање услуга</w:t>
            </w:r>
            <w:r w:rsidR="00BB48C1">
              <w:rPr>
                <w:noProof/>
                <w:webHidden/>
              </w:rPr>
              <w:tab/>
            </w:r>
            <w:r w:rsidR="00BB48C1">
              <w:rPr>
                <w:noProof/>
                <w:webHidden/>
              </w:rPr>
              <w:fldChar w:fldCharType="begin"/>
            </w:r>
            <w:r w:rsidR="00BB48C1">
              <w:rPr>
                <w:noProof/>
                <w:webHidden/>
              </w:rPr>
              <w:instrText xml:space="preserve"> PAGEREF _Toc57661483 \h </w:instrText>
            </w:r>
            <w:r w:rsidR="00BB48C1">
              <w:rPr>
                <w:noProof/>
                <w:webHidden/>
              </w:rPr>
            </w:r>
            <w:r w:rsidR="00BB48C1">
              <w:rPr>
                <w:noProof/>
                <w:webHidden/>
              </w:rPr>
              <w:fldChar w:fldCharType="separate"/>
            </w:r>
            <w:r w:rsidR="00BB48C1">
              <w:rPr>
                <w:noProof/>
                <w:webHidden/>
              </w:rPr>
              <w:t>128</w:t>
            </w:r>
            <w:r w:rsidR="00BB48C1">
              <w:rPr>
                <w:noProof/>
                <w:webHidden/>
              </w:rPr>
              <w:fldChar w:fldCharType="end"/>
            </w:r>
          </w:hyperlink>
        </w:p>
        <w:p w14:paraId="2EFF0829" w14:textId="397294D0"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84" w:history="1">
            <w:r w:rsidR="00BB48C1" w:rsidRPr="00FE728B">
              <w:rPr>
                <w:rStyle w:val="Hyperlink"/>
                <w:noProof/>
                <w:lang w:val="sr-Cyrl-RS"/>
              </w:rPr>
              <w:t>Анализа стања</w:t>
            </w:r>
            <w:r w:rsidR="00BB48C1">
              <w:rPr>
                <w:noProof/>
                <w:webHidden/>
              </w:rPr>
              <w:tab/>
            </w:r>
            <w:r w:rsidR="00BB48C1">
              <w:rPr>
                <w:noProof/>
                <w:webHidden/>
              </w:rPr>
              <w:fldChar w:fldCharType="begin"/>
            </w:r>
            <w:r w:rsidR="00BB48C1">
              <w:rPr>
                <w:noProof/>
                <w:webHidden/>
              </w:rPr>
              <w:instrText xml:space="preserve"> PAGEREF _Toc57661484 \h </w:instrText>
            </w:r>
            <w:r w:rsidR="00BB48C1">
              <w:rPr>
                <w:noProof/>
                <w:webHidden/>
              </w:rPr>
            </w:r>
            <w:r w:rsidR="00BB48C1">
              <w:rPr>
                <w:noProof/>
                <w:webHidden/>
              </w:rPr>
              <w:fldChar w:fldCharType="separate"/>
            </w:r>
            <w:r w:rsidR="00BB48C1">
              <w:rPr>
                <w:noProof/>
                <w:webHidden/>
              </w:rPr>
              <w:t>128</w:t>
            </w:r>
            <w:r w:rsidR="00BB48C1">
              <w:rPr>
                <w:noProof/>
                <w:webHidden/>
              </w:rPr>
              <w:fldChar w:fldCharType="end"/>
            </w:r>
          </w:hyperlink>
        </w:p>
        <w:p w14:paraId="08E8DD72" w14:textId="0C095254"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85" w:history="1">
            <w:r w:rsidR="00BB48C1" w:rsidRPr="00FE728B">
              <w:rPr>
                <w:rStyle w:val="Hyperlink"/>
                <w:noProof/>
                <w:lang w:val="sr-Cyrl-RS"/>
              </w:rPr>
              <w:t>Дрво проблема – Пружање услуга</w:t>
            </w:r>
            <w:r w:rsidR="00BB48C1">
              <w:rPr>
                <w:noProof/>
                <w:webHidden/>
              </w:rPr>
              <w:tab/>
            </w:r>
            <w:r w:rsidR="00BB48C1">
              <w:rPr>
                <w:noProof/>
                <w:webHidden/>
              </w:rPr>
              <w:fldChar w:fldCharType="begin"/>
            </w:r>
            <w:r w:rsidR="00BB48C1">
              <w:rPr>
                <w:noProof/>
                <w:webHidden/>
              </w:rPr>
              <w:instrText xml:space="preserve"> PAGEREF _Toc57661485 \h </w:instrText>
            </w:r>
            <w:r w:rsidR="00BB48C1">
              <w:rPr>
                <w:noProof/>
                <w:webHidden/>
              </w:rPr>
            </w:r>
            <w:r w:rsidR="00BB48C1">
              <w:rPr>
                <w:noProof/>
                <w:webHidden/>
              </w:rPr>
              <w:fldChar w:fldCharType="separate"/>
            </w:r>
            <w:r w:rsidR="00BB48C1">
              <w:rPr>
                <w:noProof/>
                <w:webHidden/>
              </w:rPr>
              <w:t>140</w:t>
            </w:r>
            <w:r w:rsidR="00BB48C1">
              <w:rPr>
                <w:noProof/>
                <w:webHidden/>
              </w:rPr>
              <w:fldChar w:fldCharType="end"/>
            </w:r>
          </w:hyperlink>
        </w:p>
        <w:p w14:paraId="68841C01" w14:textId="749038C3"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86" w:history="1">
            <w:r w:rsidR="00BB48C1" w:rsidRPr="00FE728B">
              <w:rPr>
                <w:rStyle w:val="Hyperlink"/>
                <w:noProof/>
                <w:lang w:val="sr-Cyrl-RS" w:eastAsia="de-DE"/>
              </w:rPr>
              <w:t xml:space="preserve">Циљ, </w:t>
            </w:r>
            <w:r w:rsidR="00BB48C1" w:rsidRPr="00FE728B">
              <w:rPr>
                <w:rStyle w:val="Hyperlink"/>
                <w:noProof/>
                <w:lang w:val="sr-Cyrl-RS"/>
              </w:rPr>
              <w:t>анализа</w:t>
            </w:r>
            <w:r w:rsidR="00BB48C1" w:rsidRPr="00FE728B">
              <w:rPr>
                <w:rStyle w:val="Hyperlink"/>
                <w:noProof/>
                <w:lang w:val="sr-Cyrl-RS" w:eastAsia="de-DE"/>
              </w:rPr>
              <w:t xml:space="preserve"> ефеката и мере</w:t>
            </w:r>
            <w:r w:rsidR="00BB48C1">
              <w:rPr>
                <w:noProof/>
                <w:webHidden/>
              </w:rPr>
              <w:tab/>
            </w:r>
            <w:r w:rsidR="00BB48C1">
              <w:rPr>
                <w:noProof/>
                <w:webHidden/>
              </w:rPr>
              <w:fldChar w:fldCharType="begin"/>
            </w:r>
            <w:r w:rsidR="00BB48C1">
              <w:rPr>
                <w:noProof/>
                <w:webHidden/>
              </w:rPr>
              <w:instrText xml:space="preserve"> PAGEREF _Toc57661486 \h </w:instrText>
            </w:r>
            <w:r w:rsidR="00BB48C1">
              <w:rPr>
                <w:noProof/>
                <w:webHidden/>
              </w:rPr>
            </w:r>
            <w:r w:rsidR="00BB48C1">
              <w:rPr>
                <w:noProof/>
                <w:webHidden/>
              </w:rPr>
              <w:fldChar w:fldCharType="separate"/>
            </w:r>
            <w:r w:rsidR="00BB48C1">
              <w:rPr>
                <w:noProof/>
                <w:webHidden/>
              </w:rPr>
              <w:t>141</w:t>
            </w:r>
            <w:r w:rsidR="00BB48C1">
              <w:rPr>
                <w:noProof/>
                <w:webHidden/>
              </w:rPr>
              <w:fldChar w:fldCharType="end"/>
            </w:r>
          </w:hyperlink>
        </w:p>
        <w:p w14:paraId="2F33380B" w14:textId="33AB61C4"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87" w:history="1">
            <w:r w:rsidR="00BB48C1" w:rsidRPr="00FE728B">
              <w:rPr>
                <w:rStyle w:val="Hyperlink"/>
                <w:rFonts w:eastAsiaTheme="minorHAnsi"/>
                <w:noProof/>
                <w:lang w:val="sr-Cyrl-RS" w:eastAsia="en-US"/>
              </w:rPr>
              <w:t>Дрво циљева – Пружање услуга</w:t>
            </w:r>
            <w:r w:rsidR="00BB48C1">
              <w:rPr>
                <w:noProof/>
                <w:webHidden/>
              </w:rPr>
              <w:tab/>
            </w:r>
            <w:r w:rsidR="00BB48C1">
              <w:rPr>
                <w:noProof/>
                <w:webHidden/>
              </w:rPr>
              <w:fldChar w:fldCharType="begin"/>
            </w:r>
            <w:r w:rsidR="00BB48C1">
              <w:rPr>
                <w:noProof/>
                <w:webHidden/>
              </w:rPr>
              <w:instrText xml:space="preserve"> PAGEREF _Toc57661487 \h </w:instrText>
            </w:r>
            <w:r w:rsidR="00BB48C1">
              <w:rPr>
                <w:noProof/>
                <w:webHidden/>
              </w:rPr>
            </w:r>
            <w:r w:rsidR="00BB48C1">
              <w:rPr>
                <w:noProof/>
                <w:webHidden/>
              </w:rPr>
              <w:fldChar w:fldCharType="separate"/>
            </w:r>
            <w:r w:rsidR="00BB48C1">
              <w:rPr>
                <w:noProof/>
                <w:webHidden/>
              </w:rPr>
              <w:t>151</w:t>
            </w:r>
            <w:r w:rsidR="00BB48C1">
              <w:rPr>
                <w:noProof/>
                <w:webHidden/>
              </w:rPr>
              <w:fldChar w:fldCharType="end"/>
            </w:r>
          </w:hyperlink>
        </w:p>
        <w:p w14:paraId="5AF9C421" w14:textId="02DF66F8"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88" w:history="1">
            <w:r w:rsidR="00BB48C1" w:rsidRPr="00FE728B">
              <w:rPr>
                <w:rStyle w:val="Hyperlink"/>
                <w:noProof/>
                <w:lang w:val="sr-Cyrl-RS"/>
              </w:rPr>
              <w:t>IV Одговорност и транспарентност у јавној управи</w:t>
            </w:r>
            <w:r w:rsidR="00BB48C1">
              <w:rPr>
                <w:noProof/>
                <w:webHidden/>
              </w:rPr>
              <w:tab/>
            </w:r>
            <w:r w:rsidR="00BB48C1">
              <w:rPr>
                <w:noProof/>
                <w:webHidden/>
              </w:rPr>
              <w:fldChar w:fldCharType="begin"/>
            </w:r>
            <w:r w:rsidR="00BB48C1">
              <w:rPr>
                <w:noProof/>
                <w:webHidden/>
              </w:rPr>
              <w:instrText xml:space="preserve"> PAGEREF _Toc57661488 \h </w:instrText>
            </w:r>
            <w:r w:rsidR="00BB48C1">
              <w:rPr>
                <w:noProof/>
                <w:webHidden/>
              </w:rPr>
            </w:r>
            <w:r w:rsidR="00BB48C1">
              <w:rPr>
                <w:noProof/>
                <w:webHidden/>
              </w:rPr>
              <w:fldChar w:fldCharType="separate"/>
            </w:r>
            <w:r w:rsidR="00BB48C1">
              <w:rPr>
                <w:noProof/>
                <w:webHidden/>
              </w:rPr>
              <w:t>152</w:t>
            </w:r>
            <w:r w:rsidR="00BB48C1">
              <w:rPr>
                <w:noProof/>
                <w:webHidden/>
              </w:rPr>
              <w:fldChar w:fldCharType="end"/>
            </w:r>
          </w:hyperlink>
        </w:p>
        <w:p w14:paraId="3AE6006D" w14:textId="7C5DC8C1"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89" w:history="1">
            <w:r w:rsidR="00BB48C1" w:rsidRPr="00FE728B">
              <w:rPr>
                <w:rStyle w:val="Hyperlink"/>
                <w:i/>
                <w:iCs/>
                <w:noProof/>
                <w:lang w:val="sr-Cyrl-RS"/>
              </w:rPr>
              <w:t>Анализа стања</w:t>
            </w:r>
            <w:r w:rsidR="00BB48C1">
              <w:rPr>
                <w:noProof/>
                <w:webHidden/>
              </w:rPr>
              <w:tab/>
            </w:r>
            <w:r w:rsidR="00BB48C1">
              <w:rPr>
                <w:noProof/>
                <w:webHidden/>
              </w:rPr>
              <w:fldChar w:fldCharType="begin"/>
            </w:r>
            <w:r w:rsidR="00BB48C1">
              <w:rPr>
                <w:noProof/>
                <w:webHidden/>
              </w:rPr>
              <w:instrText xml:space="preserve"> PAGEREF _Toc57661489 \h </w:instrText>
            </w:r>
            <w:r w:rsidR="00BB48C1">
              <w:rPr>
                <w:noProof/>
                <w:webHidden/>
              </w:rPr>
            </w:r>
            <w:r w:rsidR="00BB48C1">
              <w:rPr>
                <w:noProof/>
                <w:webHidden/>
              </w:rPr>
              <w:fldChar w:fldCharType="separate"/>
            </w:r>
            <w:r w:rsidR="00BB48C1">
              <w:rPr>
                <w:noProof/>
                <w:webHidden/>
              </w:rPr>
              <w:t>152</w:t>
            </w:r>
            <w:r w:rsidR="00BB48C1">
              <w:rPr>
                <w:noProof/>
                <w:webHidden/>
              </w:rPr>
              <w:fldChar w:fldCharType="end"/>
            </w:r>
          </w:hyperlink>
        </w:p>
        <w:p w14:paraId="24AB38A8" w14:textId="02863856"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90" w:history="1">
            <w:r w:rsidR="00BB48C1" w:rsidRPr="00FE728B">
              <w:rPr>
                <w:rStyle w:val="Hyperlink"/>
                <w:noProof/>
                <w:lang w:val="sr-Cyrl-RS"/>
              </w:rPr>
              <w:t>Дрво проблема – Одговорност и транспарентност у јавној управи</w:t>
            </w:r>
            <w:r w:rsidR="00BB48C1" w:rsidRPr="00FE728B">
              <w:rPr>
                <w:rStyle w:val="Hyperlink"/>
                <w:rFonts w:ascii="Verdana" w:eastAsia="Times New Roman" w:hAnsi="Verdana"/>
                <w:b/>
                <w:noProof/>
                <w:spacing w:val="-50"/>
                <w:position w:val="-2"/>
                <w:lang w:val="sr-Cyrl-RS" w:eastAsia="en-US"/>
              </w:rPr>
              <w:t xml:space="preserve"> </w:t>
            </w:r>
            <w:r w:rsidR="00BB48C1">
              <w:rPr>
                <w:noProof/>
                <w:webHidden/>
              </w:rPr>
              <w:tab/>
            </w:r>
            <w:r w:rsidR="00BB48C1">
              <w:rPr>
                <w:noProof/>
                <w:webHidden/>
              </w:rPr>
              <w:fldChar w:fldCharType="begin"/>
            </w:r>
            <w:r w:rsidR="00BB48C1">
              <w:rPr>
                <w:noProof/>
                <w:webHidden/>
              </w:rPr>
              <w:instrText xml:space="preserve"> PAGEREF _Toc57661490 \h </w:instrText>
            </w:r>
            <w:r w:rsidR="00BB48C1">
              <w:rPr>
                <w:noProof/>
                <w:webHidden/>
              </w:rPr>
            </w:r>
            <w:r w:rsidR="00BB48C1">
              <w:rPr>
                <w:noProof/>
                <w:webHidden/>
              </w:rPr>
              <w:fldChar w:fldCharType="separate"/>
            </w:r>
            <w:r w:rsidR="00BB48C1">
              <w:rPr>
                <w:noProof/>
                <w:webHidden/>
              </w:rPr>
              <w:t>163</w:t>
            </w:r>
            <w:r w:rsidR="00BB48C1">
              <w:rPr>
                <w:noProof/>
                <w:webHidden/>
              </w:rPr>
              <w:fldChar w:fldCharType="end"/>
            </w:r>
          </w:hyperlink>
        </w:p>
        <w:p w14:paraId="57A93D73" w14:textId="7E6F0633"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91" w:history="1">
            <w:r w:rsidR="00BB48C1" w:rsidRPr="00FE728B">
              <w:rPr>
                <w:rStyle w:val="Hyperlink"/>
                <w:noProof/>
                <w:lang w:val="sr-Cyrl-RS"/>
              </w:rPr>
              <w:t>Циљ, анализа ефеката и мере</w:t>
            </w:r>
            <w:r w:rsidR="00BB48C1">
              <w:rPr>
                <w:noProof/>
                <w:webHidden/>
              </w:rPr>
              <w:tab/>
            </w:r>
            <w:r w:rsidR="00BB48C1">
              <w:rPr>
                <w:noProof/>
                <w:webHidden/>
              </w:rPr>
              <w:fldChar w:fldCharType="begin"/>
            </w:r>
            <w:r w:rsidR="00BB48C1">
              <w:rPr>
                <w:noProof/>
                <w:webHidden/>
              </w:rPr>
              <w:instrText xml:space="preserve"> PAGEREF _Toc57661491 \h </w:instrText>
            </w:r>
            <w:r w:rsidR="00BB48C1">
              <w:rPr>
                <w:noProof/>
                <w:webHidden/>
              </w:rPr>
            </w:r>
            <w:r w:rsidR="00BB48C1">
              <w:rPr>
                <w:noProof/>
                <w:webHidden/>
              </w:rPr>
              <w:fldChar w:fldCharType="separate"/>
            </w:r>
            <w:r w:rsidR="00BB48C1">
              <w:rPr>
                <w:noProof/>
                <w:webHidden/>
              </w:rPr>
              <w:t>164</w:t>
            </w:r>
            <w:r w:rsidR="00BB48C1">
              <w:rPr>
                <w:noProof/>
                <w:webHidden/>
              </w:rPr>
              <w:fldChar w:fldCharType="end"/>
            </w:r>
          </w:hyperlink>
        </w:p>
        <w:p w14:paraId="12A75C5E" w14:textId="334C052D"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92" w:history="1">
            <w:r w:rsidR="00BB48C1" w:rsidRPr="00FE728B">
              <w:rPr>
                <w:rStyle w:val="Hyperlink"/>
                <w:noProof/>
                <w:lang w:val="sr-Cyrl-RS"/>
              </w:rPr>
              <w:t>Дрво циљева – Одговорност и транспарентност у јавној управи</w:t>
            </w:r>
            <w:r w:rsidR="00BB48C1">
              <w:rPr>
                <w:noProof/>
                <w:webHidden/>
              </w:rPr>
              <w:tab/>
            </w:r>
            <w:r w:rsidR="00BB48C1">
              <w:rPr>
                <w:noProof/>
                <w:webHidden/>
              </w:rPr>
              <w:fldChar w:fldCharType="begin"/>
            </w:r>
            <w:r w:rsidR="00BB48C1">
              <w:rPr>
                <w:noProof/>
                <w:webHidden/>
              </w:rPr>
              <w:instrText xml:space="preserve"> PAGEREF _Toc57661492 \h </w:instrText>
            </w:r>
            <w:r w:rsidR="00BB48C1">
              <w:rPr>
                <w:noProof/>
                <w:webHidden/>
              </w:rPr>
            </w:r>
            <w:r w:rsidR="00BB48C1">
              <w:rPr>
                <w:noProof/>
                <w:webHidden/>
              </w:rPr>
              <w:fldChar w:fldCharType="separate"/>
            </w:r>
            <w:r w:rsidR="00BB48C1">
              <w:rPr>
                <w:noProof/>
                <w:webHidden/>
              </w:rPr>
              <w:t>174</w:t>
            </w:r>
            <w:r w:rsidR="00BB48C1">
              <w:rPr>
                <w:noProof/>
                <w:webHidden/>
              </w:rPr>
              <w:fldChar w:fldCharType="end"/>
            </w:r>
          </w:hyperlink>
        </w:p>
        <w:p w14:paraId="398F31BB" w14:textId="1561CC31"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93" w:history="1">
            <w:r w:rsidR="00BB48C1" w:rsidRPr="00FE728B">
              <w:rPr>
                <w:rStyle w:val="Hyperlink"/>
                <w:noProof/>
                <w:lang w:val="sr-Cyrl-RS"/>
              </w:rPr>
              <w:t>V. Управљање јавним финансијама</w:t>
            </w:r>
            <w:r w:rsidR="00BB48C1">
              <w:rPr>
                <w:noProof/>
                <w:webHidden/>
              </w:rPr>
              <w:tab/>
            </w:r>
            <w:r w:rsidR="00BB48C1">
              <w:rPr>
                <w:noProof/>
                <w:webHidden/>
              </w:rPr>
              <w:fldChar w:fldCharType="begin"/>
            </w:r>
            <w:r w:rsidR="00BB48C1">
              <w:rPr>
                <w:noProof/>
                <w:webHidden/>
              </w:rPr>
              <w:instrText xml:space="preserve"> PAGEREF _Toc57661493 \h </w:instrText>
            </w:r>
            <w:r w:rsidR="00BB48C1">
              <w:rPr>
                <w:noProof/>
                <w:webHidden/>
              </w:rPr>
            </w:r>
            <w:r w:rsidR="00BB48C1">
              <w:rPr>
                <w:noProof/>
                <w:webHidden/>
              </w:rPr>
              <w:fldChar w:fldCharType="separate"/>
            </w:r>
            <w:r w:rsidR="00BB48C1">
              <w:rPr>
                <w:noProof/>
                <w:webHidden/>
              </w:rPr>
              <w:t>175</w:t>
            </w:r>
            <w:r w:rsidR="00BB48C1">
              <w:rPr>
                <w:noProof/>
                <w:webHidden/>
              </w:rPr>
              <w:fldChar w:fldCharType="end"/>
            </w:r>
          </w:hyperlink>
        </w:p>
        <w:p w14:paraId="45739386" w14:textId="774C6F09"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94" w:history="1">
            <w:r w:rsidR="00BB48C1" w:rsidRPr="00FE728B">
              <w:rPr>
                <w:rStyle w:val="Hyperlink"/>
                <w:i/>
                <w:iCs/>
                <w:noProof/>
                <w:lang w:val="sr-Cyrl-RS"/>
              </w:rPr>
              <w:t>Анализа стања</w:t>
            </w:r>
            <w:r w:rsidR="00BB48C1">
              <w:rPr>
                <w:noProof/>
                <w:webHidden/>
              </w:rPr>
              <w:tab/>
            </w:r>
            <w:r w:rsidR="00BB48C1">
              <w:rPr>
                <w:noProof/>
                <w:webHidden/>
              </w:rPr>
              <w:fldChar w:fldCharType="begin"/>
            </w:r>
            <w:r w:rsidR="00BB48C1">
              <w:rPr>
                <w:noProof/>
                <w:webHidden/>
              </w:rPr>
              <w:instrText xml:space="preserve"> PAGEREF _Toc57661494 \h </w:instrText>
            </w:r>
            <w:r w:rsidR="00BB48C1">
              <w:rPr>
                <w:noProof/>
                <w:webHidden/>
              </w:rPr>
            </w:r>
            <w:r w:rsidR="00BB48C1">
              <w:rPr>
                <w:noProof/>
                <w:webHidden/>
              </w:rPr>
              <w:fldChar w:fldCharType="separate"/>
            </w:r>
            <w:r w:rsidR="00BB48C1">
              <w:rPr>
                <w:noProof/>
                <w:webHidden/>
              </w:rPr>
              <w:t>175</w:t>
            </w:r>
            <w:r w:rsidR="00BB48C1">
              <w:rPr>
                <w:noProof/>
                <w:webHidden/>
              </w:rPr>
              <w:fldChar w:fldCharType="end"/>
            </w:r>
          </w:hyperlink>
        </w:p>
        <w:p w14:paraId="7DEF452E" w14:textId="5F911BEF"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95" w:history="1">
            <w:r w:rsidR="00BB48C1" w:rsidRPr="00FE728B">
              <w:rPr>
                <w:rStyle w:val="Hyperlink"/>
                <w:noProof/>
                <w:lang w:val="sr-Cyrl-RS"/>
              </w:rPr>
              <w:t>Дрво проблема – Управљање јавним финансијама</w:t>
            </w:r>
            <w:r w:rsidR="00BB48C1">
              <w:rPr>
                <w:noProof/>
                <w:webHidden/>
              </w:rPr>
              <w:tab/>
            </w:r>
            <w:r w:rsidR="00BB48C1">
              <w:rPr>
                <w:noProof/>
                <w:webHidden/>
              </w:rPr>
              <w:fldChar w:fldCharType="begin"/>
            </w:r>
            <w:r w:rsidR="00BB48C1">
              <w:rPr>
                <w:noProof/>
                <w:webHidden/>
              </w:rPr>
              <w:instrText xml:space="preserve"> PAGEREF _Toc57661495 \h </w:instrText>
            </w:r>
            <w:r w:rsidR="00BB48C1">
              <w:rPr>
                <w:noProof/>
                <w:webHidden/>
              </w:rPr>
            </w:r>
            <w:r w:rsidR="00BB48C1">
              <w:rPr>
                <w:noProof/>
                <w:webHidden/>
              </w:rPr>
              <w:fldChar w:fldCharType="separate"/>
            </w:r>
            <w:r w:rsidR="00BB48C1">
              <w:rPr>
                <w:noProof/>
                <w:webHidden/>
              </w:rPr>
              <w:t>183</w:t>
            </w:r>
            <w:r w:rsidR="00BB48C1">
              <w:rPr>
                <w:noProof/>
                <w:webHidden/>
              </w:rPr>
              <w:fldChar w:fldCharType="end"/>
            </w:r>
          </w:hyperlink>
        </w:p>
        <w:p w14:paraId="5F3DFD2E" w14:textId="11091CAF"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96" w:history="1">
            <w:r w:rsidR="00BB48C1" w:rsidRPr="00FE728B">
              <w:rPr>
                <w:rStyle w:val="Hyperlink"/>
                <w:noProof/>
                <w:lang w:val="sr-Cyrl-RS"/>
              </w:rPr>
              <w:t>Циљ и правци деловања</w:t>
            </w:r>
            <w:r w:rsidR="00BB48C1">
              <w:rPr>
                <w:noProof/>
                <w:webHidden/>
              </w:rPr>
              <w:tab/>
            </w:r>
            <w:r w:rsidR="00BB48C1">
              <w:rPr>
                <w:noProof/>
                <w:webHidden/>
              </w:rPr>
              <w:fldChar w:fldCharType="begin"/>
            </w:r>
            <w:r w:rsidR="00BB48C1">
              <w:rPr>
                <w:noProof/>
                <w:webHidden/>
              </w:rPr>
              <w:instrText xml:space="preserve"> PAGEREF _Toc57661496 \h </w:instrText>
            </w:r>
            <w:r w:rsidR="00BB48C1">
              <w:rPr>
                <w:noProof/>
                <w:webHidden/>
              </w:rPr>
            </w:r>
            <w:r w:rsidR="00BB48C1">
              <w:rPr>
                <w:noProof/>
                <w:webHidden/>
              </w:rPr>
              <w:fldChar w:fldCharType="separate"/>
            </w:r>
            <w:r w:rsidR="00BB48C1">
              <w:rPr>
                <w:noProof/>
                <w:webHidden/>
              </w:rPr>
              <w:t>184</w:t>
            </w:r>
            <w:r w:rsidR="00BB48C1">
              <w:rPr>
                <w:noProof/>
                <w:webHidden/>
              </w:rPr>
              <w:fldChar w:fldCharType="end"/>
            </w:r>
          </w:hyperlink>
        </w:p>
        <w:p w14:paraId="6826B722" w14:textId="04B01D79"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97" w:history="1">
            <w:r w:rsidR="00BB48C1" w:rsidRPr="00FE728B">
              <w:rPr>
                <w:rStyle w:val="Hyperlink"/>
                <w:noProof/>
                <w:lang w:val="sr-Cyrl-RS"/>
              </w:rPr>
              <w:t>Правци деловања Програма реформе управљања јавним финансијама</w:t>
            </w:r>
            <w:r w:rsidR="00BB48C1">
              <w:rPr>
                <w:noProof/>
                <w:webHidden/>
              </w:rPr>
              <w:tab/>
            </w:r>
            <w:r w:rsidR="00BB48C1">
              <w:rPr>
                <w:noProof/>
                <w:webHidden/>
              </w:rPr>
              <w:fldChar w:fldCharType="begin"/>
            </w:r>
            <w:r w:rsidR="00BB48C1">
              <w:rPr>
                <w:noProof/>
                <w:webHidden/>
              </w:rPr>
              <w:instrText xml:space="preserve"> PAGEREF _Toc57661497 \h </w:instrText>
            </w:r>
            <w:r w:rsidR="00BB48C1">
              <w:rPr>
                <w:noProof/>
                <w:webHidden/>
              </w:rPr>
            </w:r>
            <w:r w:rsidR="00BB48C1">
              <w:rPr>
                <w:noProof/>
                <w:webHidden/>
              </w:rPr>
              <w:fldChar w:fldCharType="separate"/>
            </w:r>
            <w:r w:rsidR="00BB48C1">
              <w:rPr>
                <w:noProof/>
                <w:webHidden/>
              </w:rPr>
              <w:t>187</w:t>
            </w:r>
            <w:r w:rsidR="00BB48C1">
              <w:rPr>
                <w:noProof/>
                <w:webHidden/>
              </w:rPr>
              <w:fldChar w:fldCharType="end"/>
            </w:r>
          </w:hyperlink>
        </w:p>
        <w:p w14:paraId="304C82FF" w14:textId="361531B6"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498" w:history="1">
            <w:r w:rsidR="00BB48C1" w:rsidRPr="00FE728B">
              <w:rPr>
                <w:rStyle w:val="Hyperlink"/>
                <w:noProof/>
                <w:lang w:val="sr-Cyrl-RS"/>
              </w:rPr>
              <w:t>VI. Систем локалне самоуправе</w:t>
            </w:r>
            <w:r w:rsidR="00BB48C1">
              <w:rPr>
                <w:noProof/>
                <w:webHidden/>
              </w:rPr>
              <w:tab/>
            </w:r>
            <w:r w:rsidR="00BB48C1">
              <w:rPr>
                <w:noProof/>
                <w:webHidden/>
              </w:rPr>
              <w:fldChar w:fldCharType="begin"/>
            </w:r>
            <w:r w:rsidR="00BB48C1">
              <w:rPr>
                <w:noProof/>
                <w:webHidden/>
              </w:rPr>
              <w:instrText xml:space="preserve"> PAGEREF _Toc57661498 \h </w:instrText>
            </w:r>
            <w:r w:rsidR="00BB48C1">
              <w:rPr>
                <w:noProof/>
                <w:webHidden/>
              </w:rPr>
            </w:r>
            <w:r w:rsidR="00BB48C1">
              <w:rPr>
                <w:noProof/>
                <w:webHidden/>
              </w:rPr>
              <w:fldChar w:fldCharType="separate"/>
            </w:r>
            <w:r w:rsidR="00BB48C1">
              <w:rPr>
                <w:noProof/>
                <w:webHidden/>
              </w:rPr>
              <w:t>188</w:t>
            </w:r>
            <w:r w:rsidR="00BB48C1">
              <w:rPr>
                <w:noProof/>
                <w:webHidden/>
              </w:rPr>
              <w:fldChar w:fldCharType="end"/>
            </w:r>
          </w:hyperlink>
        </w:p>
        <w:p w14:paraId="024A3CD8" w14:textId="28B8DC65"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499" w:history="1">
            <w:r w:rsidR="00BB48C1" w:rsidRPr="00FE728B">
              <w:rPr>
                <w:rStyle w:val="Hyperlink"/>
                <w:noProof/>
                <w:lang w:val="sr-Cyrl-RS"/>
              </w:rPr>
              <w:t>Анализа стања</w:t>
            </w:r>
            <w:r w:rsidR="00BB48C1">
              <w:rPr>
                <w:noProof/>
                <w:webHidden/>
              </w:rPr>
              <w:tab/>
            </w:r>
            <w:r w:rsidR="00BB48C1">
              <w:rPr>
                <w:noProof/>
                <w:webHidden/>
              </w:rPr>
              <w:fldChar w:fldCharType="begin"/>
            </w:r>
            <w:r w:rsidR="00BB48C1">
              <w:rPr>
                <w:noProof/>
                <w:webHidden/>
              </w:rPr>
              <w:instrText xml:space="preserve"> PAGEREF _Toc57661499 \h </w:instrText>
            </w:r>
            <w:r w:rsidR="00BB48C1">
              <w:rPr>
                <w:noProof/>
                <w:webHidden/>
              </w:rPr>
            </w:r>
            <w:r w:rsidR="00BB48C1">
              <w:rPr>
                <w:noProof/>
                <w:webHidden/>
              </w:rPr>
              <w:fldChar w:fldCharType="separate"/>
            </w:r>
            <w:r w:rsidR="00BB48C1">
              <w:rPr>
                <w:noProof/>
                <w:webHidden/>
              </w:rPr>
              <w:t>188</w:t>
            </w:r>
            <w:r w:rsidR="00BB48C1">
              <w:rPr>
                <w:noProof/>
                <w:webHidden/>
              </w:rPr>
              <w:fldChar w:fldCharType="end"/>
            </w:r>
          </w:hyperlink>
        </w:p>
        <w:p w14:paraId="750CD387" w14:textId="57B818AF"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500" w:history="1">
            <w:r w:rsidR="00BB48C1" w:rsidRPr="00FE728B">
              <w:rPr>
                <w:rStyle w:val="Hyperlink"/>
                <w:noProof/>
                <w:lang w:val="sr-Cyrl-RS"/>
              </w:rPr>
              <w:t>Дрво проблема – Систем локалне самоуправе</w:t>
            </w:r>
            <w:r w:rsidR="00BB48C1">
              <w:rPr>
                <w:noProof/>
                <w:webHidden/>
              </w:rPr>
              <w:tab/>
            </w:r>
            <w:r w:rsidR="00BB48C1">
              <w:rPr>
                <w:noProof/>
                <w:webHidden/>
              </w:rPr>
              <w:fldChar w:fldCharType="begin"/>
            </w:r>
            <w:r w:rsidR="00BB48C1">
              <w:rPr>
                <w:noProof/>
                <w:webHidden/>
              </w:rPr>
              <w:instrText xml:space="preserve"> PAGEREF _Toc57661500 \h </w:instrText>
            </w:r>
            <w:r w:rsidR="00BB48C1">
              <w:rPr>
                <w:noProof/>
                <w:webHidden/>
              </w:rPr>
            </w:r>
            <w:r w:rsidR="00BB48C1">
              <w:rPr>
                <w:noProof/>
                <w:webHidden/>
              </w:rPr>
              <w:fldChar w:fldCharType="separate"/>
            </w:r>
            <w:r w:rsidR="00BB48C1">
              <w:rPr>
                <w:noProof/>
                <w:webHidden/>
              </w:rPr>
              <w:t>196</w:t>
            </w:r>
            <w:r w:rsidR="00BB48C1">
              <w:rPr>
                <w:noProof/>
                <w:webHidden/>
              </w:rPr>
              <w:fldChar w:fldCharType="end"/>
            </w:r>
          </w:hyperlink>
        </w:p>
        <w:p w14:paraId="081BD091" w14:textId="2CAB5C89"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501" w:history="1">
            <w:r w:rsidR="00BB48C1" w:rsidRPr="00FE728B">
              <w:rPr>
                <w:rStyle w:val="Hyperlink"/>
                <w:noProof/>
                <w:lang w:val="sr-Cyrl-RS"/>
              </w:rPr>
              <w:t>Циљ и правци деловања</w:t>
            </w:r>
            <w:r w:rsidR="00BB48C1">
              <w:rPr>
                <w:noProof/>
                <w:webHidden/>
              </w:rPr>
              <w:tab/>
            </w:r>
            <w:r w:rsidR="00BB48C1">
              <w:rPr>
                <w:noProof/>
                <w:webHidden/>
              </w:rPr>
              <w:fldChar w:fldCharType="begin"/>
            </w:r>
            <w:r w:rsidR="00BB48C1">
              <w:rPr>
                <w:noProof/>
                <w:webHidden/>
              </w:rPr>
              <w:instrText xml:space="preserve"> PAGEREF _Toc57661501 \h </w:instrText>
            </w:r>
            <w:r w:rsidR="00BB48C1">
              <w:rPr>
                <w:noProof/>
                <w:webHidden/>
              </w:rPr>
            </w:r>
            <w:r w:rsidR="00BB48C1">
              <w:rPr>
                <w:noProof/>
                <w:webHidden/>
              </w:rPr>
              <w:fldChar w:fldCharType="separate"/>
            </w:r>
            <w:r w:rsidR="00BB48C1">
              <w:rPr>
                <w:noProof/>
                <w:webHidden/>
              </w:rPr>
              <w:t>197</w:t>
            </w:r>
            <w:r w:rsidR="00BB48C1">
              <w:rPr>
                <w:noProof/>
                <w:webHidden/>
              </w:rPr>
              <w:fldChar w:fldCharType="end"/>
            </w:r>
          </w:hyperlink>
        </w:p>
        <w:p w14:paraId="2E1D1215" w14:textId="7EBC6CF0"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502" w:history="1">
            <w:r w:rsidR="00BB48C1" w:rsidRPr="00FE728B">
              <w:rPr>
                <w:rStyle w:val="Hyperlink"/>
                <w:noProof/>
                <w:lang w:val="sr-Cyrl-RS"/>
              </w:rPr>
              <w:t>Правци деловања политика – Систем локалне самоуправе</w:t>
            </w:r>
            <w:r w:rsidR="00BB48C1">
              <w:rPr>
                <w:noProof/>
                <w:webHidden/>
              </w:rPr>
              <w:tab/>
            </w:r>
            <w:r w:rsidR="00BB48C1">
              <w:rPr>
                <w:noProof/>
                <w:webHidden/>
              </w:rPr>
              <w:fldChar w:fldCharType="begin"/>
            </w:r>
            <w:r w:rsidR="00BB48C1">
              <w:rPr>
                <w:noProof/>
                <w:webHidden/>
              </w:rPr>
              <w:instrText xml:space="preserve"> PAGEREF _Toc57661502 \h </w:instrText>
            </w:r>
            <w:r w:rsidR="00BB48C1">
              <w:rPr>
                <w:noProof/>
                <w:webHidden/>
              </w:rPr>
            </w:r>
            <w:r w:rsidR="00BB48C1">
              <w:rPr>
                <w:noProof/>
                <w:webHidden/>
              </w:rPr>
              <w:fldChar w:fldCharType="separate"/>
            </w:r>
            <w:r w:rsidR="00BB48C1">
              <w:rPr>
                <w:noProof/>
                <w:webHidden/>
              </w:rPr>
              <w:t>201</w:t>
            </w:r>
            <w:r w:rsidR="00BB48C1">
              <w:rPr>
                <w:noProof/>
                <w:webHidden/>
              </w:rPr>
              <w:fldChar w:fldCharType="end"/>
            </w:r>
          </w:hyperlink>
        </w:p>
        <w:p w14:paraId="2C4B8D71" w14:textId="67D28721" w:rsidR="00BB48C1" w:rsidRDefault="00F47F65">
          <w:pPr>
            <w:pStyle w:val="TOC1"/>
            <w:rPr>
              <w:rFonts w:asciiTheme="minorHAnsi" w:eastAsiaTheme="minorEastAsia" w:hAnsiTheme="minorHAnsi" w:cstheme="minorBidi"/>
              <w:noProof/>
              <w:kern w:val="0"/>
              <w:sz w:val="22"/>
              <w:szCs w:val="22"/>
              <w:lang w:val="en-GB" w:eastAsia="en-GB" w:bidi="ar-SA"/>
            </w:rPr>
          </w:pPr>
          <w:hyperlink w:anchor="_Toc57661503" w:history="1">
            <w:r w:rsidR="00BB48C1" w:rsidRPr="00FE728B">
              <w:rPr>
                <w:rStyle w:val="Hyperlink"/>
                <w:noProof/>
                <w:lang w:val="sr-Cyrl-RS"/>
              </w:rPr>
              <w:t>Прилог 3: Процес припреме стратегије и опис консултативног процеса</w:t>
            </w:r>
            <w:r w:rsidR="00BB48C1">
              <w:rPr>
                <w:noProof/>
                <w:webHidden/>
              </w:rPr>
              <w:tab/>
            </w:r>
            <w:r w:rsidR="00BB48C1">
              <w:rPr>
                <w:noProof/>
                <w:webHidden/>
              </w:rPr>
              <w:fldChar w:fldCharType="begin"/>
            </w:r>
            <w:r w:rsidR="00BB48C1">
              <w:rPr>
                <w:noProof/>
                <w:webHidden/>
              </w:rPr>
              <w:instrText xml:space="preserve"> PAGEREF _Toc57661503 \h </w:instrText>
            </w:r>
            <w:r w:rsidR="00BB48C1">
              <w:rPr>
                <w:noProof/>
                <w:webHidden/>
              </w:rPr>
            </w:r>
            <w:r w:rsidR="00BB48C1">
              <w:rPr>
                <w:noProof/>
                <w:webHidden/>
              </w:rPr>
              <w:fldChar w:fldCharType="separate"/>
            </w:r>
            <w:r w:rsidR="00BB48C1">
              <w:rPr>
                <w:noProof/>
                <w:webHidden/>
              </w:rPr>
              <w:t>202</w:t>
            </w:r>
            <w:r w:rsidR="00BB48C1">
              <w:rPr>
                <w:noProof/>
                <w:webHidden/>
              </w:rPr>
              <w:fldChar w:fldCharType="end"/>
            </w:r>
          </w:hyperlink>
        </w:p>
        <w:p w14:paraId="697DEB69" w14:textId="4FA0742C" w:rsidR="00BB48C1" w:rsidRDefault="00F47F65">
          <w:pPr>
            <w:pStyle w:val="TOC1"/>
            <w:rPr>
              <w:rFonts w:asciiTheme="minorHAnsi" w:eastAsiaTheme="minorEastAsia" w:hAnsiTheme="minorHAnsi" w:cstheme="minorBidi"/>
              <w:noProof/>
              <w:kern w:val="0"/>
              <w:sz w:val="22"/>
              <w:szCs w:val="22"/>
              <w:lang w:val="en-GB" w:eastAsia="en-GB" w:bidi="ar-SA"/>
            </w:rPr>
          </w:pPr>
          <w:hyperlink w:anchor="_Toc57661504" w:history="1">
            <w:r w:rsidR="00BB48C1" w:rsidRPr="00FE728B">
              <w:rPr>
                <w:rStyle w:val="Hyperlink"/>
                <w:noProof/>
                <w:lang w:val="sr-Cyrl-RS"/>
              </w:rPr>
              <w:t>Прилог 4: Координација, управљање и извештавање о спровођењу РЈУ</w:t>
            </w:r>
            <w:r w:rsidR="00BB48C1">
              <w:rPr>
                <w:noProof/>
                <w:webHidden/>
              </w:rPr>
              <w:tab/>
            </w:r>
            <w:r w:rsidR="00BB48C1">
              <w:rPr>
                <w:noProof/>
                <w:webHidden/>
              </w:rPr>
              <w:fldChar w:fldCharType="begin"/>
            </w:r>
            <w:r w:rsidR="00BB48C1">
              <w:rPr>
                <w:noProof/>
                <w:webHidden/>
              </w:rPr>
              <w:instrText xml:space="preserve"> PAGEREF _Toc57661504 \h </w:instrText>
            </w:r>
            <w:r w:rsidR="00BB48C1">
              <w:rPr>
                <w:noProof/>
                <w:webHidden/>
              </w:rPr>
            </w:r>
            <w:r w:rsidR="00BB48C1">
              <w:rPr>
                <w:noProof/>
                <w:webHidden/>
              </w:rPr>
              <w:fldChar w:fldCharType="separate"/>
            </w:r>
            <w:r w:rsidR="00BB48C1">
              <w:rPr>
                <w:noProof/>
                <w:webHidden/>
              </w:rPr>
              <w:t>207</w:t>
            </w:r>
            <w:r w:rsidR="00BB48C1">
              <w:rPr>
                <w:noProof/>
                <w:webHidden/>
              </w:rPr>
              <w:fldChar w:fldCharType="end"/>
            </w:r>
          </w:hyperlink>
        </w:p>
        <w:p w14:paraId="1EBD004D" w14:textId="435A85C6"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505" w:history="1">
            <w:r w:rsidR="00BB48C1" w:rsidRPr="00FE728B">
              <w:rPr>
                <w:rStyle w:val="Hyperlink"/>
                <w:noProof/>
                <w:lang w:val="sr-Cyrl-RS"/>
              </w:rPr>
              <w:t>Координација и управљање РЈУ</w:t>
            </w:r>
            <w:r w:rsidR="00BB48C1">
              <w:rPr>
                <w:noProof/>
                <w:webHidden/>
              </w:rPr>
              <w:tab/>
            </w:r>
            <w:r w:rsidR="00BB48C1">
              <w:rPr>
                <w:noProof/>
                <w:webHidden/>
              </w:rPr>
              <w:fldChar w:fldCharType="begin"/>
            </w:r>
            <w:r w:rsidR="00BB48C1">
              <w:rPr>
                <w:noProof/>
                <w:webHidden/>
              </w:rPr>
              <w:instrText xml:space="preserve"> PAGEREF _Toc57661505 \h </w:instrText>
            </w:r>
            <w:r w:rsidR="00BB48C1">
              <w:rPr>
                <w:noProof/>
                <w:webHidden/>
              </w:rPr>
            </w:r>
            <w:r w:rsidR="00BB48C1">
              <w:rPr>
                <w:noProof/>
                <w:webHidden/>
              </w:rPr>
              <w:fldChar w:fldCharType="separate"/>
            </w:r>
            <w:r w:rsidR="00BB48C1">
              <w:rPr>
                <w:noProof/>
                <w:webHidden/>
              </w:rPr>
              <w:t>207</w:t>
            </w:r>
            <w:r w:rsidR="00BB48C1">
              <w:rPr>
                <w:noProof/>
                <w:webHidden/>
              </w:rPr>
              <w:fldChar w:fldCharType="end"/>
            </w:r>
          </w:hyperlink>
        </w:p>
        <w:p w14:paraId="53C145B1" w14:textId="4B8D75C2"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506" w:history="1">
            <w:r w:rsidR="00BB48C1" w:rsidRPr="00FE728B">
              <w:rPr>
                <w:rStyle w:val="Hyperlink"/>
                <w:noProof/>
                <w:lang w:val="sr-Cyrl-RS"/>
              </w:rPr>
              <w:t>Праћење и извештавање</w:t>
            </w:r>
            <w:r w:rsidR="00BB48C1">
              <w:rPr>
                <w:noProof/>
                <w:webHidden/>
              </w:rPr>
              <w:tab/>
            </w:r>
            <w:r w:rsidR="00BB48C1">
              <w:rPr>
                <w:noProof/>
                <w:webHidden/>
              </w:rPr>
              <w:fldChar w:fldCharType="begin"/>
            </w:r>
            <w:r w:rsidR="00BB48C1">
              <w:rPr>
                <w:noProof/>
                <w:webHidden/>
              </w:rPr>
              <w:instrText xml:space="preserve"> PAGEREF _Toc57661506 \h </w:instrText>
            </w:r>
            <w:r w:rsidR="00BB48C1">
              <w:rPr>
                <w:noProof/>
                <w:webHidden/>
              </w:rPr>
            </w:r>
            <w:r w:rsidR="00BB48C1">
              <w:rPr>
                <w:noProof/>
                <w:webHidden/>
              </w:rPr>
              <w:fldChar w:fldCharType="separate"/>
            </w:r>
            <w:r w:rsidR="00BB48C1">
              <w:rPr>
                <w:noProof/>
                <w:webHidden/>
              </w:rPr>
              <w:t>213</w:t>
            </w:r>
            <w:r w:rsidR="00BB48C1">
              <w:rPr>
                <w:noProof/>
                <w:webHidden/>
              </w:rPr>
              <w:fldChar w:fldCharType="end"/>
            </w:r>
          </w:hyperlink>
        </w:p>
        <w:p w14:paraId="389B6839" w14:textId="3D9400ED"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507" w:history="1">
            <w:r w:rsidR="00BB48C1" w:rsidRPr="00FE728B">
              <w:rPr>
                <w:rStyle w:val="Hyperlink"/>
                <w:noProof/>
                <w:lang w:val="sr-Cyrl-RS"/>
              </w:rPr>
              <w:t xml:space="preserve">Обрасци и алати за </w:t>
            </w:r>
            <w:r w:rsidR="00BB48C1" w:rsidRPr="00FE728B">
              <w:rPr>
                <w:rStyle w:val="Hyperlink"/>
                <w:rFonts w:eastAsia="Times New Roman"/>
                <w:noProof/>
                <w:lang w:val="sr-Cyrl-RS" w:eastAsia="de-DE"/>
              </w:rPr>
              <w:t xml:space="preserve">прикупљање података и </w:t>
            </w:r>
            <w:r w:rsidR="00BB48C1" w:rsidRPr="00FE728B">
              <w:rPr>
                <w:rStyle w:val="Hyperlink"/>
                <w:noProof/>
                <w:lang w:val="sr-Cyrl-RS"/>
              </w:rPr>
              <w:t>извештавање</w:t>
            </w:r>
            <w:r w:rsidR="00BB48C1">
              <w:rPr>
                <w:noProof/>
                <w:webHidden/>
              </w:rPr>
              <w:tab/>
            </w:r>
            <w:r w:rsidR="00BB48C1">
              <w:rPr>
                <w:noProof/>
                <w:webHidden/>
              </w:rPr>
              <w:fldChar w:fldCharType="begin"/>
            </w:r>
            <w:r w:rsidR="00BB48C1">
              <w:rPr>
                <w:noProof/>
                <w:webHidden/>
              </w:rPr>
              <w:instrText xml:space="preserve"> PAGEREF _Toc57661507 \h </w:instrText>
            </w:r>
            <w:r w:rsidR="00BB48C1">
              <w:rPr>
                <w:noProof/>
                <w:webHidden/>
              </w:rPr>
            </w:r>
            <w:r w:rsidR="00BB48C1">
              <w:rPr>
                <w:noProof/>
                <w:webHidden/>
              </w:rPr>
              <w:fldChar w:fldCharType="separate"/>
            </w:r>
            <w:r w:rsidR="00BB48C1">
              <w:rPr>
                <w:noProof/>
                <w:webHidden/>
              </w:rPr>
              <w:t>213</w:t>
            </w:r>
            <w:r w:rsidR="00BB48C1">
              <w:rPr>
                <w:noProof/>
                <w:webHidden/>
              </w:rPr>
              <w:fldChar w:fldCharType="end"/>
            </w:r>
          </w:hyperlink>
        </w:p>
        <w:p w14:paraId="3CFA3324" w14:textId="72076285"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508" w:history="1">
            <w:r w:rsidR="00BB48C1" w:rsidRPr="00FE728B">
              <w:rPr>
                <w:rStyle w:val="Hyperlink"/>
                <w:rFonts w:eastAsia="Times New Roman"/>
                <w:noProof/>
                <w:lang w:val="sr-Cyrl-RS" w:eastAsia="de-DE"/>
              </w:rPr>
              <w:t xml:space="preserve">Учесници и календар </w:t>
            </w:r>
            <w:r w:rsidR="00BB48C1" w:rsidRPr="00FE728B">
              <w:rPr>
                <w:rStyle w:val="Hyperlink"/>
                <w:noProof/>
                <w:lang w:val="sr-Cyrl-RS"/>
              </w:rPr>
              <w:t>прикупљања</w:t>
            </w:r>
            <w:r w:rsidR="00BB48C1" w:rsidRPr="00FE728B">
              <w:rPr>
                <w:rStyle w:val="Hyperlink"/>
                <w:rFonts w:eastAsia="Times New Roman"/>
                <w:noProof/>
                <w:lang w:val="sr-Cyrl-RS" w:eastAsia="de-DE"/>
              </w:rPr>
              <w:t xml:space="preserve"> података и извештавања</w:t>
            </w:r>
            <w:r w:rsidR="00BB48C1">
              <w:rPr>
                <w:noProof/>
                <w:webHidden/>
              </w:rPr>
              <w:tab/>
            </w:r>
            <w:r w:rsidR="00BB48C1">
              <w:rPr>
                <w:noProof/>
                <w:webHidden/>
              </w:rPr>
              <w:fldChar w:fldCharType="begin"/>
            </w:r>
            <w:r w:rsidR="00BB48C1">
              <w:rPr>
                <w:noProof/>
                <w:webHidden/>
              </w:rPr>
              <w:instrText xml:space="preserve"> PAGEREF _Toc57661508 \h </w:instrText>
            </w:r>
            <w:r w:rsidR="00BB48C1">
              <w:rPr>
                <w:noProof/>
                <w:webHidden/>
              </w:rPr>
            </w:r>
            <w:r w:rsidR="00BB48C1">
              <w:rPr>
                <w:noProof/>
                <w:webHidden/>
              </w:rPr>
              <w:fldChar w:fldCharType="separate"/>
            </w:r>
            <w:r w:rsidR="00BB48C1">
              <w:rPr>
                <w:noProof/>
                <w:webHidden/>
              </w:rPr>
              <w:t>214</w:t>
            </w:r>
            <w:r w:rsidR="00BB48C1">
              <w:rPr>
                <w:noProof/>
                <w:webHidden/>
              </w:rPr>
              <w:fldChar w:fldCharType="end"/>
            </w:r>
          </w:hyperlink>
        </w:p>
        <w:p w14:paraId="6588BD26" w14:textId="7E89C848"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509" w:history="1">
            <w:r w:rsidR="00BB48C1" w:rsidRPr="00FE728B">
              <w:rPr>
                <w:rStyle w:val="Hyperlink"/>
                <w:noProof/>
                <w:lang w:val="sr-Cyrl-RS"/>
              </w:rPr>
              <w:t>Вредновање учинка</w:t>
            </w:r>
            <w:r w:rsidR="00BB48C1">
              <w:rPr>
                <w:noProof/>
                <w:webHidden/>
              </w:rPr>
              <w:tab/>
            </w:r>
            <w:r w:rsidR="00BB48C1">
              <w:rPr>
                <w:noProof/>
                <w:webHidden/>
              </w:rPr>
              <w:fldChar w:fldCharType="begin"/>
            </w:r>
            <w:r w:rsidR="00BB48C1">
              <w:rPr>
                <w:noProof/>
                <w:webHidden/>
              </w:rPr>
              <w:instrText xml:space="preserve"> PAGEREF _Toc57661509 \h </w:instrText>
            </w:r>
            <w:r w:rsidR="00BB48C1">
              <w:rPr>
                <w:noProof/>
                <w:webHidden/>
              </w:rPr>
            </w:r>
            <w:r w:rsidR="00BB48C1">
              <w:rPr>
                <w:noProof/>
                <w:webHidden/>
              </w:rPr>
              <w:fldChar w:fldCharType="separate"/>
            </w:r>
            <w:r w:rsidR="00BB48C1">
              <w:rPr>
                <w:noProof/>
                <w:webHidden/>
              </w:rPr>
              <w:t>217</w:t>
            </w:r>
            <w:r w:rsidR="00BB48C1">
              <w:rPr>
                <w:noProof/>
                <w:webHidden/>
              </w:rPr>
              <w:fldChar w:fldCharType="end"/>
            </w:r>
          </w:hyperlink>
        </w:p>
        <w:p w14:paraId="49CD492C" w14:textId="4A766D1F" w:rsidR="00BB48C1" w:rsidRDefault="00F47F65">
          <w:pPr>
            <w:pStyle w:val="TOC1"/>
            <w:rPr>
              <w:rFonts w:asciiTheme="minorHAnsi" w:eastAsiaTheme="minorEastAsia" w:hAnsiTheme="minorHAnsi" w:cstheme="minorBidi"/>
              <w:noProof/>
              <w:kern w:val="0"/>
              <w:sz w:val="22"/>
              <w:szCs w:val="22"/>
              <w:lang w:val="en-GB" w:eastAsia="en-GB" w:bidi="ar-SA"/>
            </w:rPr>
          </w:pPr>
          <w:hyperlink w:anchor="_Toc57661510" w:history="1">
            <w:r w:rsidR="00BB48C1" w:rsidRPr="00FE728B">
              <w:rPr>
                <w:rStyle w:val="Hyperlink"/>
                <w:noProof/>
                <w:lang w:val="sr-Cyrl-RS"/>
              </w:rPr>
              <w:t>Прилог 5: Анализа ризика</w:t>
            </w:r>
            <w:r w:rsidR="00BB48C1">
              <w:rPr>
                <w:noProof/>
                <w:webHidden/>
              </w:rPr>
              <w:tab/>
            </w:r>
            <w:r w:rsidR="00BB48C1">
              <w:rPr>
                <w:noProof/>
                <w:webHidden/>
              </w:rPr>
              <w:fldChar w:fldCharType="begin"/>
            </w:r>
            <w:r w:rsidR="00BB48C1">
              <w:rPr>
                <w:noProof/>
                <w:webHidden/>
              </w:rPr>
              <w:instrText xml:space="preserve"> PAGEREF _Toc57661510 \h </w:instrText>
            </w:r>
            <w:r w:rsidR="00BB48C1">
              <w:rPr>
                <w:noProof/>
                <w:webHidden/>
              </w:rPr>
            </w:r>
            <w:r w:rsidR="00BB48C1">
              <w:rPr>
                <w:noProof/>
                <w:webHidden/>
              </w:rPr>
              <w:fldChar w:fldCharType="separate"/>
            </w:r>
            <w:r w:rsidR="00BB48C1">
              <w:rPr>
                <w:noProof/>
                <w:webHidden/>
              </w:rPr>
              <w:t>218</w:t>
            </w:r>
            <w:r w:rsidR="00BB48C1">
              <w:rPr>
                <w:noProof/>
                <w:webHidden/>
              </w:rPr>
              <w:fldChar w:fldCharType="end"/>
            </w:r>
          </w:hyperlink>
        </w:p>
        <w:p w14:paraId="637D0C2D" w14:textId="4717A3C4" w:rsidR="00BB48C1" w:rsidRDefault="00F47F65">
          <w:pPr>
            <w:pStyle w:val="TOC1"/>
            <w:rPr>
              <w:rFonts w:asciiTheme="minorHAnsi" w:eastAsiaTheme="minorEastAsia" w:hAnsiTheme="minorHAnsi" w:cstheme="minorBidi"/>
              <w:noProof/>
              <w:kern w:val="0"/>
              <w:sz w:val="22"/>
              <w:szCs w:val="22"/>
              <w:lang w:val="en-GB" w:eastAsia="en-GB" w:bidi="ar-SA"/>
            </w:rPr>
          </w:pPr>
          <w:hyperlink w:anchor="_Toc57661511" w:history="1">
            <w:r w:rsidR="00BB48C1" w:rsidRPr="00FE728B">
              <w:rPr>
                <w:rStyle w:val="Hyperlink"/>
                <w:noProof/>
                <w:lang w:val="sr-Cyrl-RS"/>
              </w:rPr>
              <w:t>Прилог 6: Пасош показатеља</w:t>
            </w:r>
            <w:r w:rsidR="00BB48C1">
              <w:rPr>
                <w:noProof/>
                <w:webHidden/>
              </w:rPr>
              <w:tab/>
            </w:r>
            <w:r w:rsidR="00BB48C1">
              <w:rPr>
                <w:noProof/>
                <w:webHidden/>
              </w:rPr>
              <w:fldChar w:fldCharType="begin"/>
            </w:r>
            <w:r w:rsidR="00BB48C1">
              <w:rPr>
                <w:noProof/>
                <w:webHidden/>
              </w:rPr>
              <w:instrText xml:space="preserve"> PAGEREF _Toc57661511 \h </w:instrText>
            </w:r>
            <w:r w:rsidR="00BB48C1">
              <w:rPr>
                <w:noProof/>
                <w:webHidden/>
              </w:rPr>
            </w:r>
            <w:r w:rsidR="00BB48C1">
              <w:rPr>
                <w:noProof/>
                <w:webHidden/>
              </w:rPr>
              <w:fldChar w:fldCharType="separate"/>
            </w:r>
            <w:r w:rsidR="00BB48C1">
              <w:rPr>
                <w:noProof/>
                <w:webHidden/>
              </w:rPr>
              <w:t>235</w:t>
            </w:r>
            <w:r w:rsidR="00BB48C1">
              <w:rPr>
                <w:noProof/>
                <w:webHidden/>
              </w:rPr>
              <w:fldChar w:fldCharType="end"/>
            </w:r>
          </w:hyperlink>
        </w:p>
        <w:p w14:paraId="4F490977" w14:textId="2007667A"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512" w:history="1">
            <w:r w:rsidR="00BB48C1" w:rsidRPr="00FE728B">
              <w:rPr>
                <w:rStyle w:val="Hyperlink"/>
                <w:noProof/>
                <w:lang w:val="sr-Cyrl-RS"/>
              </w:rPr>
              <w:t>Показатељи учинка за општи циљ Стратегије РЈУ у Републици Србији</w:t>
            </w:r>
            <w:r w:rsidR="00BB48C1">
              <w:rPr>
                <w:noProof/>
                <w:webHidden/>
              </w:rPr>
              <w:tab/>
            </w:r>
            <w:r w:rsidR="00BB48C1">
              <w:rPr>
                <w:noProof/>
                <w:webHidden/>
              </w:rPr>
              <w:fldChar w:fldCharType="begin"/>
            </w:r>
            <w:r w:rsidR="00BB48C1">
              <w:rPr>
                <w:noProof/>
                <w:webHidden/>
              </w:rPr>
              <w:instrText xml:space="preserve"> PAGEREF _Toc57661512 \h </w:instrText>
            </w:r>
            <w:r w:rsidR="00BB48C1">
              <w:rPr>
                <w:noProof/>
                <w:webHidden/>
              </w:rPr>
            </w:r>
            <w:r w:rsidR="00BB48C1">
              <w:rPr>
                <w:noProof/>
                <w:webHidden/>
              </w:rPr>
              <w:fldChar w:fldCharType="separate"/>
            </w:r>
            <w:r w:rsidR="00BB48C1">
              <w:rPr>
                <w:noProof/>
                <w:webHidden/>
              </w:rPr>
              <w:t>237</w:t>
            </w:r>
            <w:r w:rsidR="00BB48C1">
              <w:rPr>
                <w:noProof/>
                <w:webHidden/>
              </w:rPr>
              <w:fldChar w:fldCharType="end"/>
            </w:r>
          </w:hyperlink>
        </w:p>
        <w:p w14:paraId="3FFD0262" w14:textId="53BA3AD9"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513" w:history="1">
            <w:r w:rsidR="00BB48C1" w:rsidRPr="00FE728B">
              <w:rPr>
                <w:rStyle w:val="Hyperlink"/>
                <w:noProof/>
                <w:lang w:val="sr-Cyrl-RS"/>
              </w:rPr>
              <w:t>Показатељи учинака - Планирање и координација јавних политика</w:t>
            </w:r>
            <w:r w:rsidR="00BB48C1">
              <w:rPr>
                <w:noProof/>
                <w:webHidden/>
              </w:rPr>
              <w:tab/>
            </w:r>
            <w:r w:rsidR="00BB48C1">
              <w:rPr>
                <w:noProof/>
                <w:webHidden/>
              </w:rPr>
              <w:fldChar w:fldCharType="begin"/>
            </w:r>
            <w:r w:rsidR="00BB48C1">
              <w:rPr>
                <w:noProof/>
                <w:webHidden/>
              </w:rPr>
              <w:instrText xml:space="preserve"> PAGEREF _Toc57661513 \h </w:instrText>
            </w:r>
            <w:r w:rsidR="00BB48C1">
              <w:rPr>
                <w:noProof/>
                <w:webHidden/>
              </w:rPr>
            </w:r>
            <w:r w:rsidR="00BB48C1">
              <w:rPr>
                <w:noProof/>
                <w:webHidden/>
              </w:rPr>
              <w:fldChar w:fldCharType="separate"/>
            </w:r>
            <w:r w:rsidR="00BB48C1">
              <w:rPr>
                <w:noProof/>
                <w:webHidden/>
              </w:rPr>
              <w:t>240</w:t>
            </w:r>
            <w:r w:rsidR="00BB48C1">
              <w:rPr>
                <w:noProof/>
                <w:webHidden/>
              </w:rPr>
              <w:fldChar w:fldCharType="end"/>
            </w:r>
          </w:hyperlink>
        </w:p>
        <w:p w14:paraId="68512F82" w14:textId="64AFA383"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514" w:history="1">
            <w:r w:rsidR="00BB48C1" w:rsidRPr="00FE728B">
              <w:rPr>
                <w:rStyle w:val="Hyperlink"/>
                <w:rFonts w:eastAsiaTheme="minorHAnsi"/>
                <w:noProof/>
                <w:lang w:val="sr-Cyrl-RS" w:eastAsia="en-US"/>
              </w:rPr>
              <w:t>Посебан циљ 1.1:</w:t>
            </w:r>
            <w:r w:rsidR="00BB48C1" w:rsidRPr="00FE728B">
              <w:rPr>
                <w:rStyle w:val="Hyperlink"/>
                <w:rFonts w:eastAsiaTheme="minorHAnsi"/>
                <w:b/>
                <w:bCs/>
                <w:noProof/>
                <w:lang w:val="sr-Cyrl-RS" w:eastAsia="en-US"/>
              </w:rPr>
              <w:t xml:space="preserve"> </w:t>
            </w:r>
            <w:r w:rsidR="00BB48C1" w:rsidRPr="00FE728B">
              <w:rPr>
                <w:rStyle w:val="Hyperlink"/>
                <w:rFonts w:eastAsiaTheme="minorHAnsi"/>
                <w:noProof/>
                <w:lang w:val="sr-Cyrl-RS" w:eastAsia="en-US"/>
              </w:rPr>
              <w:t>Побољшан квалитет јавних политика и прописа</w:t>
            </w:r>
            <w:r w:rsidR="00BB48C1">
              <w:rPr>
                <w:noProof/>
                <w:webHidden/>
              </w:rPr>
              <w:tab/>
            </w:r>
            <w:r w:rsidR="00BB48C1">
              <w:rPr>
                <w:noProof/>
                <w:webHidden/>
              </w:rPr>
              <w:fldChar w:fldCharType="begin"/>
            </w:r>
            <w:r w:rsidR="00BB48C1">
              <w:rPr>
                <w:noProof/>
                <w:webHidden/>
              </w:rPr>
              <w:instrText xml:space="preserve"> PAGEREF _Toc57661514 \h </w:instrText>
            </w:r>
            <w:r w:rsidR="00BB48C1">
              <w:rPr>
                <w:noProof/>
                <w:webHidden/>
              </w:rPr>
            </w:r>
            <w:r w:rsidR="00BB48C1">
              <w:rPr>
                <w:noProof/>
                <w:webHidden/>
              </w:rPr>
              <w:fldChar w:fldCharType="separate"/>
            </w:r>
            <w:r w:rsidR="00BB48C1">
              <w:rPr>
                <w:noProof/>
                <w:webHidden/>
              </w:rPr>
              <w:t>240</w:t>
            </w:r>
            <w:r w:rsidR="00BB48C1">
              <w:rPr>
                <w:noProof/>
                <w:webHidden/>
              </w:rPr>
              <w:fldChar w:fldCharType="end"/>
            </w:r>
          </w:hyperlink>
        </w:p>
        <w:p w14:paraId="0D987A20" w14:textId="00AC8745"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515" w:history="1">
            <w:r w:rsidR="00BB48C1" w:rsidRPr="00FE728B">
              <w:rPr>
                <w:rStyle w:val="Hyperlink"/>
                <w:noProof/>
                <w:lang w:val="sr-Cyrl-RS"/>
              </w:rPr>
              <w:t>Показатељи учинака - Управљање људским ресурсима</w:t>
            </w:r>
            <w:r w:rsidR="00BB48C1">
              <w:rPr>
                <w:noProof/>
                <w:webHidden/>
              </w:rPr>
              <w:tab/>
            </w:r>
            <w:r w:rsidR="00BB48C1">
              <w:rPr>
                <w:noProof/>
                <w:webHidden/>
              </w:rPr>
              <w:fldChar w:fldCharType="begin"/>
            </w:r>
            <w:r w:rsidR="00BB48C1">
              <w:rPr>
                <w:noProof/>
                <w:webHidden/>
              </w:rPr>
              <w:instrText xml:space="preserve"> PAGEREF _Toc57661515 \h </w:instrText>
            </w:r>
            <w:r w:rsidR="00BB48C1">
              <w:rPr>
                <w:noProof/>
                <w:webHidden/>
              </w:rPr>
            </w:r>
            <w:r w:rsidR="00BB48C1">
              <w:rPr>
                <w:noProof/>
                <w:webHidden/>
              </w:rPr>
              <w:fldChar w:fldCharType="separate"/>
            </w:r>
            <w:r w:rsidR="00BB48C1">
              <w:rPr>
                <w:noProof/>
                <w:webHidden/>
              </w:rPr>
              <w:t>241</w:t>
            </w:r>
            <w:r w:rsidR="00BB48C1">
              <w:rPr>
                <w:noProof/>
                <w:webHidden/>
              </w:rPr>
              <w:fldChar w:fldCharType="end"/>
            </w:r>
          </w:hyperlink>
        </w:p>
        <w:p w14:paraId="2D91E6AE" w14:textId="225A6E22"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516" w:history="1">
            <w:r w:rsidR="00BB48C1" w:rsidRPr="00FE728B">
              <w:rPr>
                <w:rStyle w:val="Hyperlink"/>
                <w:noProof/>
                <w:lang w:val="sr-Cyrl-RS"/>
              </w:rPr>
              <w:t>Посебан циљ 2.1: Унапређен процес регрутације у јавној управи</w:t>
            </w:r>
            <w:r w:rsidR="00BB48C1">
              <w:rPr>
                <w:noProof/>
                <w:webHidden/>
              </w:rPr>
              <w:tab/>
            </w:r>
            <w:r w:rsidR="00BB48C1">
              <w:rPr>
                <w:noProof/>
                <w:webHidden/>
              </w:rPr>
              <w:fldChar w:fldCharType="begin"/>
            </w:r>
            <w:r w:rsidR="00BB48C1">
              <w:rPr>
                <w:noProof/>
                <w:webHidden/>
              </w:rPr>
              <w:instrText xml:space="preserve"> PAGEREF _Toc57661516 \h </w:instrText>
            </w:r>
            <w:r w:rsidR="00BB48C1">
              <w:rPr>
                <w:noProof/>
                <w:webHidden/>
              </w:rPr>
            </w:r>
            <w:r w:rsidR="00BB48C1">
              <w:rPr>
                <w:noProof/>
                <w:webHidden/>
              </w:rPr>
              <w:fldChar w:fldCharType="separate"/>
            </w:r>
            <w:r w:rsidR="00BB48C1">
              <w:rPr>
                <w:noProof/>
                <w:webHidden/>
              </w:rPr>
              <w:t>241</w:t>
            </w:r>
            <w:r w:rsidR="00BB48C1">
              <w:rPr>
                <w:noProof/>
                <w:webHidden/>
              </w:rPr>
              <w:fldChar w:fldCharType="end"/>
            </w:r>
          </w:hyperlink>
        </w:p>
        <w:p w14:paraId="514B7EDF" w14:textId="3FF7A392"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517" w:history="1">
            <w:r w:rsidR="00BB48C1" w:rsidRPr="00FE728B">
              <w:rPr>
                <w:rStyle w:val="Hyperlink"/>
                <w:noProof/>
                <w:lang w:val="sr-Cyrl-RS"/>
              </w:rPr>
              <w:t>Посебан циљ 2.2 Ефикасан систем управљања каријером примењен у пракси</w:t>
            </w:r>
            <w:r w:rsidR="00BB48C1">
              <w:rPr>
                <w:noProof/>
                <w:webHidden/>
              </w:rPr>
              <w:tab/>
            </w:r>
            <w:r w:rsidR="00BB48C1">
              <w:rPr>
                <w:noProof/>
                <w:webHidden/>
              </w:rPr>
              <w:fldChar w:fldCharType="begin"/>
            </w:r>
            <w:r w:rsidR="00BB48C1">
              <w:rPr>
                <w:noProof/>
                <w:webHidden/>
              </w:rPr>
              <w:instrText xml:space="preserve"> PAGEREF _Toc57661517 \h </w:instrText>
            </w:r>
            <w:r w:rsidR="00BB48C1">
              <w:rPr>
                <w:noProof/>
                <w:webHidden/>
              </w:rPr>
            </w:r>
            <w:r w:rsidR="00BB48C1">
              <w:rPr>
                <w:noProof/>
                <w:webHidden/>
              </w:rPr>
              <w:fldChar w:fldCharType="separate"/>
            </w:r>
            <w:r w:rsidR="00BB48C1">
              <w:rPr>
                <w:noProof/>
                <w:webHidden/>
              </w:rPr>
              <w:t>245</w:t>
            </w:r>
            <w:r w:rsidR="00BB48C1">
              <w:rPr>
                <w:noProof/>
                <w:webHidden/>
              </w:rPr>
              <w:fldChar w:fldCharType="end"/>
            </w:r>
          </w:hyperlink>
        </w:p>
        <w:p w14:paraId="584F0CCC" w14:textId="01B220C9"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518" w:history="1">
            <w:r w:rsidR="00BB48C1" w:rsidRPr="00FE728B">
              <w:rPr>
                <w:rStyle w:val="Hyperlink"/>
                <w:rFonts w:eastAsiaTheme="minorHAnsi"/>
                <w:noProof/>
                <w:lang w:val="sr-Cyrl-RS" w:eastAsia="en-US"/>
              </w:rPr>
              <w:t>Посебан циљ 2.3: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w:t>
            </w:r>
            <w:r w:rsidR="00BB48C1">
              <w:rPr>
                <w:noProof/>
                <w:webHidden/>
              </w:rPr>
              <w:tab/>
            </w:r>
            <w:r w:rsidR="00BB48C1">
              <w:rPr>
                <w:noProof/>
                <w:webHidden/>
              </w:rPr>
              <w:fldChar w:fldCharType="begin"/>
            </w:r>
            <w:r w:rsidR="00BB48C1">
              <w:rPr>
                <w:noProof/>
                <w:webHidden/>
              </w:rPr>
              <w:instrText xml:space="preserve"> PAGEREF _Toc57661518 \h </w:instrText>
            </w:r>
            <w:r w:rsidR="00BB48C1">
              <w:rPr>
                <w:noProof/>
                <w:webHidden/>
              </w:rPr>
            </w:r>
            <w:r w:rsidR="00BB48C1">
              <w:rPr>
                <w:noProof/>
                <w:webHidden/>
              </w:rPr>
              <w:fldChar w:fldCharType="separate"/>
            </w:r>
            <w:r w:rsidR="00BB48C1">
              <w:rPr>
                <w:noProof/>
                <w:webHidden/>
              </w:rPr>
              <w:t>250</w:t>
            </w:r>
            <w:r w:rsidR="00BB48C1">
              <w:rPr>
                <w:noProof/>
                <w:webHidden/>
              </w:rPr>
              <w:fldChar w:fldCharType="end"/>
            </w:r>
          </w:hyperlink>
        </w:p>
        <w:p w14:paraId="6BAADB81" w14:textId="29FEB5AE"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519" w:history="1">
            <w:r w:rsidR="00BB48C1" w:rsidRPr="00FE728B">
              <w:rPr>
                <w:rStyle w:val="Hyperlink"/>
                <w:noProof/>
                <w:lang w:val="sr-Cyrl-RS"/>
              </w:rPr>
              <w:t>Показатељи учинака - Пружање услуга</w:t>
            </w:r>
            <w:r w:rsidR="00BB48C1">
              <w:rPr>
                <w:noProof/>
                <w:webHidden/>
              </w:rPr>
              <w:tab/>
            </w:r>
            <w:r w:rsidR="00BB48C1">
              <w:rPr>
                <w:noProof/>
                <w:webHidden/>
              </w:rPr>
              <w:fldChar w:fldCharType="begin"/>
            </w:r>
            <w:r w:rsidR="00BB48C1">
              <w:rPr>
                <w:noProof/>
                <w:webHidden/>
              </w:rPr>
              <w:instrText xml:space="preserve"> PAGEREF _Toc57661519 \h </w:instrText>
            </w:r>
            <w:r w:rsidR="00BB48C1">
              <w:rPr>
                <w:noProof/>
                <w:webHidden/>
              </w:rPr>
            </w:r>
            <w:r w:rsidR="00BB48C1">
              <w:rPr>
                <w:noProof/>
                <w:webHidden/>
              </w:rPr>
              <w:fldChar w:fldCharType="separate"/>
            </w:r>
            <w:r w:rsidR="00BB48C1">
              <w:rPr>
                <w:noProof/>
                <w:webHidden/>
              </w:rPr>
              <w:t>259</w:t>
            </w:r>
            <w:r w:rsidR="00BB48C1">
              <w:rPr>
                <w:noProof/>
                <w:webHidden/>
              </w:rPr>
              <w:fldChar w:fldCharType="end"/>
            </w:r>
          </w:hyperlink>
        </w:p>
        <w:p w14:paraId="14B3C533" w14:textId="2B9E4BD4"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520" w:history="1">
            <w:r w:rsidR="00BB48C1" w:rsidRPr="00FE728B">
              <w:rPr>
                <w:rStyle w:val="Hyperlink"/>
                <w:noProof/>
                <w:lang w:val="sr-Cyrl-RS" w:eastAsia="en-US"/>
              </w:rPr>
              <w:t>Посебан циљ 3.1: Јавна управа на ефикасан и иновативан начин пружа услуге које одговарају на потребе крајњих корисника и унапређују њихово корисничко искуство</w:t>
            </w:r>
            <w:r w:rsidR="00BB48C1">
              <w:rPr>
                <w:noProof/>
                <w:webHidden/>
              </w:rPr>
              <w:tab/>
            </w:r>
            <w:r w:rsidR="00BB48C1">
              <w:rPr>
                <w:noProof/>
                <w:webHidden/>
              </w:rPr>
              <w:fldChar w:fldCharType="begin"/>
            </w:r>
            <w:r w:rsidR="00BB48C1">
              <w:rPr>
                <w:noProof/>
                <w:webHidden/>
              </w:rPr>
              <w:instrText xml:space="preserve"> PAGEREF _Toc57661520 \h </w:instrText>
            </w:r>
            <w:r w:rsidR="00BB48C1">
              <w:rPr>
                <w:noProof/>
                <w:webHidden/>
              </w:rPr>
            </w:r>
            <w:r w:rsidR="00BB48C1">
              <w:rPr>
                <w:noProof/>
                <w:webHidden/>
              </w:rPr>
              <w:fldChar w:fldCharType="separate"/>
            </w:r>
            <w:r w:rsidR="00BB48C1">
              <w:rPr>
                <w:noProof/>
                <w:webHidden/>
              </w:rPr>
              <w:t>259</w:t>
            </w:r>
            <w:r w:rsidR="00BB48C1">
              <w:rPr>
                <w:noProof/>
                <w:webHidden/>
              </w:rPr>
              <w:fldChar w:fldCharType="end"/>
            </w:r>
          </w:hyperlink>
        </w:p>
        <w:p w14:paraId="4FA0E734" w14:textId="224F9F25"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521" w:history="1">
            <w:r w:rsidR="00BB48C1" w:rsidRPr="00FE728B">
              <w:rPr>
                <w:rStyle w:val="Hyperlink"/>
                <w:noProof/>
                <w:lang w:val="sr-Cyrl-RS"/>
              </w:rPr>
              <w:t>Показатељи учинака - Транспарентност и одговорност</w:t>
            </w:r>
            <w:r w:rsidR="00BB48C1">
              <w:rPr>
                <w:noProof/>
                <w:webHidden/>
              </w:rPr>
              <w:tab/>
            </w:r>
            <w:r w:rsidR="00BB48C1">
              <w:rPr>
                <w:noProof/>
                <w:webHidden/>
              </w:rPr>
              <w:fldChar w:fldCharType="begin"/>
            </w:r>
            <w:r w:rsidR="00BB48C1">
              <w:rPr>
                <w:noProof/>
                <w:webHidden/>
              </w:rPr>
              <w:instrText xml:space="preserve"> PAGEREF _Toc57661521 \h </w:instrText>
            </w:r>
            <w:r w:rsidR="00BB48C1">
              <w:rPr>
                <w:noProof/>
                <w:webHidden/>
              </w:rPr>
            </w:r>
            <w:r w:rsidR="00BB48C1">
              <w:rPr>
                <w:noProof/>
                <w:webHidden/>
              </w:rPr>
              <w:fldChar w:fldCharType="separate"/>
            </w:r>
            <w:r w:rsidR="00BB48C1">
              <w:rPr>
                <w:noProof/>
                <w:webHidden/>
              </w:rPr>
              <w:t>264</w:t>
            </w:r>
            <w:r w:rsidR="00BB48C1">
              <w:rPr>
                <w:noProof/>
                <w:webHidden/>
              </w:rPr>
              <w:fldChar w:fldCharType="end"/>
            </w:r>
          </w:hyperlink>
        </w:p>
        <w:p w14:paraId="6AD2A023" w14:textId="48BADBCA"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522" w:history="1">
            <w:r w:rsidR="00BB48C1" w:rsidRPr="00FE728B">
              <w:rPr>
                <w:rStyle w:val="Hyperlink"/>
                <w:noProof/>
                <w:lang w:val="sr-Cyrl-RS"/>
              </w:rPr>
              <w:t>Посебан циљ 4.1: Унапређен ниво одговорности и транспарентност на свим нивоима власти</w:t>
            </w:r>
            <w:r w:rsidR="00BB48C1">
              <w:rPr>
                <w:noProof/>
                <w:webHidden/>
              </w:rPr>
              <w:tab/>
            </w:r>
            <w:r w:rsidR="00BB48C1">
              <w:rPr>
                <w:noProof/>
                <w:webHidden/>
              </w:rPr>
              <w:fldChar w:fldCharType="begin"/>
            </w:r>
            <w:r w:rsidR="00BB48C1">
              <w:rPr>
                <w:noProof/>
                <w:webHidden/>
              </w:rPr>
              <w:instrText xml:space="preserve"> PAGEREF _Toc57661522 \h </w:instrText>
            </w:r>
            <w:r w:rsidR="00BB48C1">
              <w:rPr>
                <w:noProof/>
                <w:webHidden/>
              </w:rPr>
            </w:r>
            <w:r w:rsidR="00BB48C1">
              <w:rPr>
                <w:noProof/>
                <w:webHidden/>
              </w:rPr>
              <w:fldChar w:fldCharType="separate"/>
            </w:r>
            <w:r w:rsidR="00BB48C1">
              <w:rPr>
                <w:noProof/>
                <w:webHidden/>
              </w:rPr>
              <w:t>264</w:t>
            </w:r>
            <w:r w:rsidR="00BB48C1">
              <w:rPr>
                <w:noProof/>
                <w:webHidden/>
              </w:rPr>
              <w:fldChar w:fldCharType="end"/>
            </w:r>
          </w:hyperlink>
        </w:p>
        <w:p w14:paraId="2D564E49" w14:textId="7988CAC0"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523" w:history="1">
            <w:r w:rsidR="00BB48C1" w:rsidRPr="00FE728B">
              <w:rPr>
                <w:rStyle w:val="Hyperlink"/>
                <w:noProof/>
                <w:lang w:val="sr-Cyrl-RS"/>
              </w:rPr>
              <w:t>Показатељи учинака - Управљање јавним финансијама</w:t>
            </w:r>
            <w:r w:rsidR="00BB48C1">
              <w:rPr>
                <w:noProof/>
                <w:webHidden/>
              </w:rPr>
              <w:tab/>
            </w:r>
            <w:r w:rsidR="00BB48C1">
              <w:rPr>
                <w:noProof/>
                <w:webHidden/>
              </w:rPr>
              <w:fldChar w:fldCharType="begin"/>
            </w:r>
            <w:r w:rsidR="00BB48C1">
              <w:rPr>
                <w:noProof/>
                <w:webHidden/>
              </w:rPr>
              <w:instrText xml:space="preserve"> PAGEREF _Toc57661523 \h </w:instrText>
            </w:r>
            <w:r w:rsidR="00BB48C1">
              <w:rPr>
                <w:noProof/>
                <w:webHidden/>
              </w:rPr>
            </w:r>
            <w:r w:rsidR="00BB48C1">
              <w:rPr>
                <w:noProof/>
                <w:webHidden/>
              </w:rPr>
              <w:fldChar w:fldCharType="separate"/>
            </w:r>
            <w:r w:rsidR="00BB48C1">
              <w:rPr>
                <w:noProof/>
                <w:webHidden/>
              </w:rPr>
              <w:t>273</w:t>
            </w:r>
            <w:r w:rsidR="00BB48C1">
              <w:rPr>
                <w:noProof/>
                <w:webHidden/>
              </w:rPr>
              <w:fldChar w:fldCharType="end"/>
            </w:r>
          </w:hyperlink>
        </w:p>
        <w:p w14:paraId="63060BD4" w14:textId="7CBCFFE7"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524" w:history="1">
            <w:r w:rsidR="00BB48C1" w:rsidRPr="00FE728B">
              <w:rPr>
                <w:rStyle w:val="Hyperlink"/>
                <w:noProof/>
                <w:lang w:val="sr-Cyrl-RS"/>
              </w:rPr>
              <w:t>Посебан циљ 5.1: Остваривање одрживог буџета са стабилним јавним дугом у односу на БДП уз помоћ бољег финансијског управљања и контроле, процеса ревизије и повезивања буџетског планирања са политикама и приоритетима Владе</w:t>
            </w:r>
            <w:r w:rsidR="00BB48C1">
              <w:rPr>
                <w:noProof/>
                <w:webHidden/>
              </w:rPr>
              <w:tab/>
            </w:r>
            <w:r w:rsidR="00BB48C1">
              <w:rPr>
                <w:noProof/>
                <w:webHidden/>
              </w:rPr>
              <w:fldChar w:fldCharType="begin"/>
            </w:r>
            <w:r w:rsidR="00BB48C1">
              <w:rPr>
                <w:noProof/>
                <w:webHidden/>
              </w:rPr>
              <w:instrText xml:space="preserve"> PAGEREF _Toc57661524 \h </w:instrText>
            </w:r>
            <w:r w:rsidR="00BB48C1">
              <w:rPr>
                <w:noProof/>
                <w:webHidden/>
              </w:rPr>
            </w:r>
            <w:r w:rsidR="00BB48C1">
              <w:rPr>
                <w:noProof/>
                <w:webHidden/>
              </w:rPr>
              <w:fldChar w:fldCharType="separate"/>
            </w:r>
            <w:r w:rsidR="00BB48C1">
              <w:rPr>
                <w:noProof/>
                <w:webHidden/>
              </w:rPr>
              <w:t>273</w:t>
            </w:r>
            <w:r w:rsidR="00BB48C1">
              <w:rPr>
                <w:noProof/>
                <w:webHidden/>
              </w:rPr>
              <w:fldChar w:fldCharType="end"/>
            </w:r>
          </w:hyperlink>
        </w:p>
        <w:p w14:paraId="7A009E87" w14:textId="75E9FDDA" w:rsidR="00BB48C1" w:rsidRDefault="00F47F65">
          <w:pPr>
            <w:pStyle w:val="TOC2"/>
            <w:rPr>
              <w:rFonts w:asciiTheme="minorHAnsi" w:eastAsiaTheme="minorEastAsia" w:hAnsiTheme="minorHAnsi" w:cstheme="minorBidi"/>
              <w:noProof/>
              <w:kern w:val="0"/>
              <w:sz w:val="22"/>
              <w:szCs w:val="22"/>
              <w:lang w:val="en-GB" w:eastAsia="en-GB" w:bidi="ar-SA"/>
            </w:rPr>
          </w:pPr>
          <w:hyperlink w:anchor="_Toc57661525" w:history="1">
            <w:r w:rsidR="00BB48C1" w:rsidRPr="00FE728B">
              <w:rPr>
                <w:rStyle w:val="Hyperlink"/>
                <w:noProof/>
                <w:lang w:val="sr-Cyrl-RS"/>
              </w:rPr>
              <w:t>Показатељи учинака - Систем локалне самоуправе</w:t>
            </w:r>
            <w:r w:rsidR="00BB48C1">
              <w:rPr>
                <w:noProof/>
                <w:webHidden/>
              </w:rPr>
              <w:tab/>
            </w:r>
            <w:r w:rsidR="00BB48C1">
              <w:rPr>
                <w:noProof/>
                <w:webHidden/>
              </w:rPr>
              <w:fldChar w:fldCharType="begin"/>
            </w:r>
            <w:r w:rsidR="00BB48C1">
              <w:rPr>
                <w:noProof/>
                <w:webHidden/>
              </w:rPr>
              <w:instrText xml:space="preserve"> PAGEREF _Toc57661525 \h </w:instrText>
            </w:r>
            <w:r w:rsidR="00BB48C1">
              <w:rPr>
                <w:noProof/>
                <w:webHidden/>
              </w:rPr>
            </w:r>
            <w:r w:rsidR="00BB48C1">
              <w:rPr>
                <w:noProof/>
                <w:webHidden/>
              </w:rPr>
              <w:fldChar w:fldCharType="separate"/>
            </w:r>
            <w:r w:rsidR="00BB48C1">
              <w:rPr>
                <w:noProof/>
                <w:webHidden/>
              </w:rPr>
              <w:t>275</w:t>
            </w:r>
            <w:r w:rsidR="00BB48C1">
              <w:rPr>
                <w:noProof/>
                <w:webHidden/>
              </w:rPr>
              <w:fldChar w:fldCharType="end"/>
            </w:r>
          </w:hyperlink>
        </w:p>
        <w:p w14:paraId="04CE8B12" w14:textId="3D4B268F" w:rsidR="00BB48C1" w:rsidRDefault="00F47F65">
          <w:pPr>
            <w:pStyle w:val="TOC3"/>
            <w:tabs>
              <w:tab w:val="right" w:leader="dot" w:pos="9016"/>
            </w:tabs>
            <w:rPr>
              <w:rFonts w:asciiTheme="minorHAnsi" w:eastAsiaTheme="minorEastAsia" w:hAnsiTheme="minorHAnsi" w:cstheme="minorBidi"/>
              <w:noProof/>
              <w:kern w:val="0"/>
              <w:sz w:val="22"/>
              <w:szCs w:val="22"/>
              <w:lang w:val="en-GB" w:eastAsia="en-GB" w:bidi="ar-SA"/>
            </w:rPr>
          </w:pPr>
          <w:hyperlink w:anchor="_Toc57661526" w:history="1">
            <w:r w:rsidR="00BB48C1" w:rsidRPr="00FE728B">
              <w:rPr>
                <w:rStyle w:val="Hyperlink"/>
                <w:rFonts w:eastAsiaTheme="minorHAnsi"/>
                <w:bCs/>
                <w:noProof/>
                <w:lang w:val="sr-Cyrl-RS"/>
              </w:rPr>
              <w:t xml:space="preserve">Посебан циљ 5.1: </w:t>
            </w:r>
            <w:r w:rsidR="00BB48C1" w:rsidRPr="00FE728B">
              <w:rPr>
                <w:rStyle w:val="Hyperlink"/>
                <w:rFonts w:eastAsiaTheme="minorHAnsi"/>
                <w:noProof/>
                <w:lang w:val="sr-Cyrl-RS"/>
              </w:rPr>
              <w:t>Успостављање система локалне самоуправе који омогућава ефикасно и одрживо остваривање права грађана на локалну самоуправу</w:t>
            </w:r>
            <w:r w:rsidR="00BB48C1">
              <w:rPr>
                <w:noProof/>
                <w:webHidden/>
              </w:rPr>
              <w:tab/>
            </w:r>
            <w:r w:rsidR="00BB48C1">
              <w:rPr>
                <w:noProof/>
                <w:webHidden/>
              </w:rPr>
              <w:fldChar w:fldCharType="begin"/>
            </w:r>
            <w:r w:rsidR="00BB48C1">
              <w:rPr>
                <w:noProof/>
                <w:webHidden/>
              </w:rPr>
              <w:instrText xml:space="preserve"> PAGEREF _Toc57661526 \h </w:instrText>
            </w:r>
            <w:r w:rsidR="00BB48C1">
              <w:rPr>
                <w:noProof/>
                <w:webHidden/>
              </w:rPr>
            </w:r>
            <w:r w:rsidR="00BB48C1">
              <w:rPr>
                <w:noProof/>
                <w:webHidden/>
              </w:rPr>
              <w:fldChar w:fldCharType="separate"/>
            </w:r>
            <w:r w:rsidR="00BB48C1">
              <w:rPr>
                <w:noProof/>
                <w:webHidden/>
              </w:rPr>
              <w:t>275</w:t>
            </w:r>
            <w:r w:rsidR="00BB48C1">
              <w:rPr>
                <w:noProof/>
                <w:webHidden/>
              </w:rPr>
              <w:fldChar w:fldCharType="end"/>
            </w:r>
          </w:hyperlink>
        </w:p>
        <w:p w14:paraId="02B9E5EB" w14:textId="70D85572" w:rsidR="00BB48C1" w:rsidRDefault="00F47F65">
          <w:pPr>
            <w:pStyle w:val="TOC1"/>
            <w:rPr>
              <w:rFonts w:asciiTheme="minorHAnsi" w:eastAsiaTheme="minorEastAsia" w:hAnsiTheme="minorHAnsi" w:cstheme="minorBidi"/>
              <w:noProof/>
              <w:kern w:val="0"/>
              <w:sz w:val="22"/>
              <w:szCs w:val="22"/>
              <w:lang w:val="en-GB" w:eastAsia="en-GB" w:bidi="ar-SA"/>
            </w:rPr>
          </w:pPr>
          <w:hyperlink w:anchor="_Toc57661527" w:history="1">
            <w:r w:rsidR="00BB48C1" w:rsidRPr="00FE728B">
              <w:rPr>
                <w:rStyle w:val="Hyperlink"/>
                <w:noProof/>
                <w:lang w:val="sr-Cyrl-RS"/>
              </w:rPr>
              <w:t>Прилог 7: Попис аката</w:t>
            </w:r>
            <w:r w:rsidR="00BB48C1">
              <w:rPr>
                <w:noProof/>
                <w:webHidden/>
              </w:rPr>
              <w:tab/>
            </w:r>
            <w:r w:rsidR="00BB48C1">
              <w:rPr>
                <w:noProof/>
                <w:webHidden/>
              </w:rPr>
              <w:fldChar w:fldCharType="begin"/>
            </w:r>
            <w:r w:rsidR="00BB48C1">
              <w:rPr>
                <w:noProof/>
                <w:webHidden/>
              </w:rPr>
              <w:instrText xml:space="preserve"> PAGEREF _Toc57661527 \h </w:instrText>
            </w:r>
            <w:r w:rsidR="00BB48C1">
              <w:rPr>
                <w:noProof/>
                <w:webHidden/>
              </w:rPr>
            </w:r>
            <w:r w:rsidR="00BB48C1">
              <w:rPr>
                <w:noProof/>
                <w:webHidden/>
              </w:rPr>
              <w:fldChar w:fldCharType="separate"/>
            </w:r>
            <w:r w:rsidR="00BB48C1">
              <w:rPr>
                <w:noProof/>
                <w:webHidden/>
              </w:rPr>
              <w:t>280</w:t>
            </w:r>
            <w:r w:rsidR="00BB48C1">
              <w:rPr>
                <w:noProof/>
                <w:webHidden/>
              </w:rPr>
              <w:fldChar w:fldCharType="end"/>
            </w:r>
          </w:hyperlink>
        </w:p>
        <w:p w14:paraId="30B61A93" w14:textId="40FE4958" w:rsidR="00BB48C1" w:rsidRDefault="00F47F65">
          <w:pPr>
            <w:pStyle w:val="TOC1"/>
            <w:rPr>
              <w:rFonts w:asciiTheme="minorHAnsi" w:eastAsiaTheme="minorEastAsia" w:hAnsiTheme="minorHAnsi" w:cstheme="minorBidi"/>
              <w:noProof/>
              <w:kern w:val="0"/>
              <w:sz w:val="22"/>
              <w:szCs w:val="22"/>
              <w:lang w:val="en-GB" w:eastAsia="en-GB" w:bidi="ar-SA"/>
            </w:rPr>
          </w:pPr>
          <w:hyperlink w:anchor="_Toc57661528" w:history="1">
            <w:r w:rsidR="00BB48C1" w:rsidRPr="00FE728B">
              <w:rPr>
                <w:rStyle w:val="Hyperlink"/>
                <w:noProof/>
                <w:lang w:val="sr-Cyrl-RS"/>
              </w:rPr>
              <w:t>Прилог 8: Комуникациони оквир</w:t>
            </w:r>
            <w:r w:rsidR="00BB48C1">
              <w:rPr>
                <w:noProof/>
                <w:webHidden/>
              </w:rPr>
              <w:tab/>
            </w:r>
            <w:r w:rsidR="00BB48C1">
              <w:rPr>
                <w:noProof/>
                <w:webHidden/>
              </w:rPr>
              <w:fldChar w:fldCharType="begin"/>
            </w:r>
            <w:r w:rsidR="00BB48C1">
              <w:rPr>
                <w:noProof/>
                <w:webHidden/>
              </w:rPr>
              <w:instrText xml:space="preserve"> PAGEREF _Toc57661528 \h </w:instrText>
            </w:r>
            <w:r w:rsidR="00BB48C1">
              <w:rPr>
                <w:noProof/>
                <w:webHidden/>
              </w:rPr>
            </w:r>
            <w:r w:rsidR="00BB48C1">
              <w:rPr>
                <w:noProof/>
                <w:webHidden/>
              </w:rPr>
              <w:fldChar w:fldCharType="separate"/>
            </w:r>
            <w:r w:rsidR="00BB48C1">
              <w:rPr>
                <w:noProof/>
                <w:webHidden/>
              </w:rPr>
              <w:t>281</w:t>
            </w:r>
            <w:r w:rsidR="00BB48C1">
              <w:rPr>
                <w:noProof/>
                <w:webHidden/>
              </w:rPr>
              <w:fldChar w:fldCharType="end"/>
            </w:r>
          </w:hyperlink>
        </w:p>
        <w:p w14:paraId="77947608" w14:textId="552647B4" w:rsidR="00111D23" w:rsidRPr="000F0299" w:rsidRDefault="00500F9D" w:rsidP="00244E7C">
          <w:r w:rsidRPr="000F0299">
            <w:rPr>
              <w:noProof/>
            </w:rPr>
            <w:fldChar w:fldCharType="end"/>
          </w:r>
        </w:p>
      </w:sdtContent>
    </w:sdt>
    <w:p w14:paraId="757DF002" w14:textId="773000EB" w:rsidR="00111D23" w:rsidRPr="000F0299" w:rsidRDefault="00111D23" w:rsidP="00772172">
      <w:pPr>
        <w:rPr>
          <w:color w:val="4472C4" w:themeColor="accent1"/>
          <w:sz w:val="40"/>
          <w:szCs w:val="40"/>
        </w:rPr>
      </w:pPr>
      <w:r w:rsidRPr="000F0299">
        <w:rPr>
          <w:color w:val="4472C4" w:themeColor="accent1"/>
          <w:sz w:val="40"/>
          <w:szCs w:val="40"/>
        </w:rPr>
        <w:t>Л</w:t>
      </w:r>
      <w:r w:rsidR="000716BB" w:rsidRPr="000F0299">
        <w:rPr>
          <w:color w:val="4472C4" w:themeColor="accent1"/>
          <w:sz w:val="40"/>
          <w:szCs w:val="40"/>
        </w:rPr>
        <w:t>иста графикона, слика и табела</w:t>
      </w:r>
    </w:p>
    <w:p w14:paraId="3D2AA567" w14:textId="020E82EA" w:rsidR="00CF10A0" w:rsidRDefault="00C70A6E">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r w:rsidRPr="000F0299">
        <w:rPr>
          <w:sz w:val="24"/>
          <w:szCs w:val="24"/>
          <w:lang w:val="sr-Cyrl-RS"/>
        </w:rPr>
        <w:fldChar w:fldCharType="begin"/>
      </w:r>
      <w:r w:rsidRPr="000F0299">
        <w:rPr>
          <w:sz w:val="24"/>
          <w:szCs w:val="24"/>
          <w:lang w:val="sr-Cyrl-RS"/>
        </w:rPr>
        <w:instrText xml:space="preserve"> TOC \h \z \c "Графикон" </w:instrText>
      </w:r>
      <w:r w:rsidRPr="000F0299">
        <w:rPr>
          <w:sz w:val="24"/>
          <w:szCs w:val="24"/>
          <w:lang w:val="sr-Cyrl-RS"/>
        </w:rPr>
        <w:fldChar w:fldCharType="separate"/>
      </w:r>
      <w:hyperlink w:anchor="_Toc57665337" w:history="1">
        <w:r w:rsidR="00CF10A0" w:rsidRPr="00002886">
          <w:rPr>
            <w:rStyle w:val="Hyperlink"/>
            <w:noProof/>
            <w:lang w:val="sr-Cyrl-RS"/>
          </w:rPr>
          <w:t>Графикон 1 Однос обезбеђених/условно обезбеђених и необезбеђених средстава</w:t>
        </w:r>
        <w:r w:rsidR="00CF10A0">
          <w:rPr>
            <w:noProof/>
            <w:webHidden/>
          </w:rPr>
          <w:tab/>
        </w:r>
        <w:r w:rsidR="00CF10A0">
          <w:rPr>
            <w:noProof/>
            <w:webHidden/>
          </w:rPr>
          <w:fldChar w:fldCharType="begin"/>
        </w:r>
        <w:r w:rsidR="00CF10A0">
          <w:rPr>
            <w:noProof/>
            <w:webHidden/>
          </w:rPr>
          <w:instrText xml:space="preserve"> PAGEREF _Toc57665337 \h </w:instrText>
        </w:r>
        <w:r w:rsidR="00CF10A0">
          <w:rPr>
            <w:noProof/>
            <w:webHidden/>
          </w:rPr>
        </w:r>
        <w:r w:rsidR="00CF10A0">
          <w:rPr>
            <w:noProof/>
            <w:webHidden/>
          </w:rPr>
          <w:fldChar w:fldCharType="separate"/>
        </w:r>
        <w:r w:rsidR="00CF10A0">
          <w:rPr>
            <w:noProof/>
            <w:webHidden/>
          </w:rPr>
          <w:t>26</w:t>
        </w:r>
        <w:r w:rsidR="00CF10A0">
          <w:rPr>
            <w:noProof/>
            <w:webHidden/>
          </w:rPr>
          <w:fldChar w:fldCharType="end"/>
        </w:r>
      </w:hyperlink>
    </w:p>
    <w:p w14:paraId="28182D5F" w14:textId="44E6B3C2"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38" w:history="1">
        <w:r w:rsidR="00CF10A0" w:rsidRPr="00002886">
          <w:rPr>
            <w:rStyle w:val="Hyperlink"/>
            <w:noProof/>
            <w:lang w:val="sr-Cyrl-RS"/>
          </w:rPr>
          <w:t>Графикон 2 Однос обезбеђених/условно обезбеђених средстава из буџета и донаторске подршке</w:t>
        </w:r>
        <w:r w:rsidR="00CF10A0">
          <w:rPr>
            <w:noProof/>
            <w:webHidden/>
          </w:rPr>
          <w:tab/>
        </w:r>
        <w:r w:rsidR="00CF10A0">
          <w:rPr>
            <w:noProof/>
            <w:webHidden/>
          </w:rPr>
          <w:fldChar w:fldCharType="begin"/>
        </w:r>
        <w:r w:rsidR="00CF10A0">
          <w:rPr>
            <w:noProof/>
            <w:webHidden/>
          </w:rPr>
          <w:instrText xml:space="preserve"> PAGEREF _Toc57665338 \h </w:instrText>
        </w:r>
        <w:r w:rsidR="00CF10A0">
          <w:rPr>
            <w:noProof/>
            <w:webHidden/>
          </w:rPr>
        </w:r>
        <w:r w:rsidR="00CF10A0">
          <w:rPr>
            <w:noProof/>
            <w:webHidden/>
          </w:rPr>
          <w:fldChar w:fldCharType="separate"/>
        </w:r>
        <w:r w:rsidR="00CF10A0">
          <w:rPr>
            <w:noProof/>
            <w:webHidden/>
          </w:rPr>
          <w:t>26</w:t>
        </w:r>
        <w:r w:rsidR="00CF10A0">
          <w:rPr>
            <w:noProof/>
            <w:webHidden/>
          </w:rPr>
          <w:fldChar w:fldCharType="end"/>
        </w:r>
      </w:hyperlink>
    </w:p>
    <w:p w14:paraId="42915DE5" w14:textId="7DF12DD7"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39" w:history="1">
        <w:r w:rsidR="00CF10A0" w:rsidRPr="00002886">
          <w:rPr>
            <w:rStyle w:val="Hyperlink"/>
            <w:noProof/>
            <w:lang w:val="sr-Cyrl-RS"/>
          </w:rPr>
          <w:t>Графикон 3 Однос необезбеђених средстава из буџета и донаторске подршке</w:t>
        </w:r>
        <w:r w:rsidR="00CF10A0">
          <w:rPr>
            <w:noProof/>
            <w:webHidden/>
          </w:rPr>
          <w:tab/>
        </w:r>
        <w:r w:rsidR="00CF10A0">
          <w:rPr>
            <w:noProof/>
            <w:webHidden/>
          </w:rPr>
          <w:fldChar w:fldCharType="begin"/>
        </w:r>
        <w:r w:rsidR="00CF10A0">
          <w:rPr>
            <w:noProof/>
            <w:webHidden/>
          </w:rPr>
          <w:instrText xml:space="preserve"> PAGEREF _Toc57665339 \h </w:instrText>
        </w:r>
        <w:r w:rsidR="00CF10A0">
          <w:rPr>
            <w:noProof/>
            <w:webHidden/>
          </w:rPr>
        </w:r>
        <w:r w:rsidR="00CF10A0">
          <w:rPr>
            <w:noProof/>
            <w:webHidden/>
          </w:rPr>
          <w:fldChar w:fldCharType="separate"/>
        </w:r>
        <w:r w:rsidR="00CF10A0">
          <w:rPr>
            <w:noProof/>
            <w:webHidden/>
          </w:rPr>
          <w:t>27</w:t>
        </w:r>
        <w:r w:rsidR="00CF10A0">
          <w:rPr>
            <w:noProof/>
            <w:webHidden/>
          </w:rPr>
          <w:fldChar w:fldCharType="end"/>
        </w:r>
      </w:hyperlink>
    </w:p>
    <w:p w14:paraId="5DCBDF80" w14:textId="6069AD3A"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40" w:history="1">
        <w:r w:rsidR="00CF10A0" w:rsidRPr="00002886">
          <w:rPr>
            <w:rStyle w:val="Hyperlink"/>
            <w:noProof/>
            <w:lang w:val="sr-Cyrl-RS"/>
          </w:rPr>
          <w:t xml:space="preserve">Графикон 4 </w:t>
        </w:r>
        <w:r w:rsidR="00CF10A0" w:rsidRPr="00002886">
          <w:rPr>
            <w:rStyle w:val="Hyperlink"/>
            <w:noProof/>
            <w:lang w:val="en-GB"/>
          </w:rPr>
          <w:t>O</w:t>
        </w:r>
        <w:r w:rsidR="00CF10A0" w:rsidRPr="00002886">
          <w:rPr>
            <w:rStyle w:val="Hyperlink"/>
            <w:noProof/>
            <w:lang w:val="sr-Cyrl-RS"/>
          </w:rPr>
          <w:t>днос буџетских средстава и донаторске подршке</w:t>
        </w:r>
        <w:r w:rsidR="00CF10A0">
          <w:rPr>
            <w:noProof/>
            <w:webHidden/>
          </w:rPr>
          <w:tab/>
        </w:r>
        <w:r w:rsidR="00CF10A0">
          <w:rPr>
            <w:noProof/>
            <w:webHidden/>
          </w:rPr>
          <w:fldChar w:fldCharType="begin"/>
        </w:r>
        <w:r w:rsidR="00CF10A0">
          <w:rPr>
            <w:noProof/>
            <w:webHidden/>
          </w:rPr>
          <w:instrText xml:space="preserve"> PAGEREF _Toc57665340 \h </w:instrText>
        </w:r>
        <w:r w:rsidR="00CF10A0">
          <w:rPr>
            <w:noProof/>
            <w:webHidden/>
          </w:rPr>
        </w:r>
        <w:r w:rsidR="00CF10A0">
          <w:rPr>
            <w:noProof/>
            <w:webHidden/>
          </w:rPr>
          <w:fldChar w:fldCharType="separate"/>
        </w:r>
        <w:r w:rsidR="00CF10A0">
          <w:rPr>
            <w:noProof/>
            <w:webHidden/>
          </w:rPr>
          <w:t>27</w:t>
        </w:r>
        <w:r w:rsidR="00CF10A0">
          <w:rPr>
            <w:noProof/>
            <w:webHidden/>
          </w:rPr>
          <w:fldChar w:fldCharType="end"/>
        </w:r>
      </w:hyperlink>
    </w:p>
    <w:p w14:paraId="714A0C03" w14:textId="53DC9738"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41" w:history="1">
        <w:r w:rsidR="00CF10A0" w:rsidRPr="00002886">
          <w:rPr>
            <w:rStyle w:val="Hyperlink"/>
            <w:noProof/>
            <w:lang w:val="sr-Cyrl-RS"/>
          </w:rPr>
          <w:t>Графикон 5 Процењени трошкови по посебним циљевима</w:t>
        </w:r>
        <w:r w:rsidR="00CF10A0">
          <w:rPr>
            <w:noProof/>
            <w:webHidden/>
          </w:rPr>
          <w:tab/>
        </w:r>
        <w:r w:rsidR="00CF10A0">
          <w:rPr>
            <w:noProof/>
            <w:webHidden/>
          </w:rPr>
          <w:fldChar w:fldCharType="begin"/>
        </w:r>
        <w:r w:rsidR="00CF10A0">
          <w:rPr>
            <w:noProof/>
            <w:webHidden/>
          </w:rPr>
          <w:instrText xml:space="preserve"> PAGEREF _Toc57665341 \h </w:instrText>
        </w:r>
        <w:r w:rsidR="00CF10A0">
          <w:rPr>
            <w:noProof/>
            <w:webHidden/>
          </w:rPr>
        </w:r>
        <w:r w:rsidR="00CF10A0">
          <w:rPr>
            <w:noProof/>
            <w:webHidden/>
          </w:rPr>
          <w:fldChar w:fldCharType="separate"/>
        </w:r>
        <w:r w:rsidR="00CF10A0">
          <w:rPr>
            <w:noProof/>
            <w:webHidden/>
          </w:rPr>
          <w:t>28</w:t>
        </w:r>
        <w:r w:rsidR="00CF10A0">
          <w:rPr>
            <w:noProof/>
            <w:webHidden/>
          </w:rPr>
          <w:fldChar w:fldCharType="end"/>
        </w:r>
      </w:hyperlink>
    </w:p>
    <w:p w14:paraId="40BBB91D" w14:textId="75D4AB3F"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42" w:history="1">
        <w:r w:rsidR="00CF10A0" w:rsidRPr="00002886">
          <w:rPr>
            <w:rStyle w:val="Hyperlink"/>
            <w:noProof/>
            <w:lang w:val="sr-Cyrl-RS"/>
          </w:rPr>
          <w:t>Графикон 6 Извор финансирања посебних циљева</w:t>
        </w:r>
        <w:r w:rsidR="00CF10A0">
          <w:rPr>
            <w:noProof/>
            <w:webHidden/>
          </w:rPr>
          <w:tab/>
        </w:r>
        <w:r w:rsidR="00CF10A0">
          <w:rPr>
            <w:noProof/>
            <w:webHidden/>
          </w:rPr>
          <w:fldChar w:fldCharType="begin"/>
        </w:r>
        <w:r w:rsidR="00CF10A0">
          <w:rPr>
            <w:noProof/>
            <w:webHidden/>
          </w:rPr>
          <w:instrText xml:space="preserve"> PAGEREF _Toc57665342 \h </w:instrText>
        </w:r>
        <w:r w:rsidR="00CF10A0">
          <w:rPr>
            <w:noProof/>
            <w:webHidden/>
          </w:rPr>
        </w:r>
        <w:r w:rsidR="00CF10A0">
          <w:rPr>
            <w:noProof/>
            <w:webHidden/>
          </w:rPr>
          <w:fldChar w:fldCharType="separate"/>
        </w:r>
        <w:r w:rsidR="00CF10A0">
          <w:rPr>
            <w:noProof/>
            <w:webHidden/>
          </w:rPr>
          <w:t>28</w:t>
        </w:r>
        <w:r w:rsidR="00CF10A0">
          <w:rPr>
            <w:noProof/>
            <w:webHidden/>
          </w:rPr>
          <w:fldChar w:fldCharType="end"/>
        </w:r>
      </w:hyperlink>
    </w:p>
    <w:p w14:paraId="7CB96845" w14:textId="17061A7F"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43" w:history="1">
        <w:r w:rsidR="00CF10A0" w:rsidRPr="00002886">
          <w:rPr>
            <w:rStyle w:val="Hyperlink"/>
            <w:noProof/>
            <w:lang w:val="sr-Cyrl-RS"/>
          </w:rPr>
          <w:t>Графикон 7 Обезбеђена средства по посебним циљева</w:t>
        </w:r>
        <w:r w:rsidR="00CF10A0">
          <w:rPr>
            <w:noProof/>
            <w:webHidden/>
          </w:rPr>
          <w:tab/>
        </w:r>
        <w:r w:rsidR="00CF10A0">
          <w:rPr>
            <w:noProof/>
            <w:webHidden/>
          </w:rPr>
          <w:fldChar w:fldCharType="begin"/>
        </w:r>
        <w:r w:rsidR="00CF10A0">
          <w:rPr>
            <w:noProof/>
            <w:webHidden/>
          </w:rPr>
          <w:instrText xml:space="preserve"> PAGEREF _Toc57665343 \h </w:instrText>
        </w:r>
        <w:r w:rsidR="00CF10A0">
          <w:rPr>
            <w:noProof/>
            <w:webHidden/>
          </w:rPr>
        </w:r>
        <w:r w:rsidR="00CF10A0">
          <w:rPr>
            <w:noProof/>
            <w:webHidden/>
          </w:rPr>
          <w:fldChar w:fldCharType="separate"/>
        </w:r>
        <w:r w:rsidR="00CF10A0">
          <w:rPr>
            <w:noProof/>
            <w:webHidden/>
          </w:rPr>
          <w:t>29</w:t>
        </w:r>
        <w:r w:rsidR="00CF10A0">
          <w:rPr>
            <w:noProof/>
            <w:webHidden/>
          </w:rPr>
          <w:fldChar w:fldCharType="end"/>
        </w:r>
      </w:hyperlink>
    </w:p>
    <w:p w14:paraId="6FE21DFE" w14:textId="4B44C452"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44" w:history="1">
        <w:r w:rsidR="00CF10A0" w:rsidRPr="00002886">
          <w:rPr>
            <w:rStyle w:val="Hyperlink"/>
            <w:noProof/>
            <w:lang w:val="sr-Cyrl-RS"/>
          </w:rPr>
          <w:t>Графикон 8 Необезбеђена средства по посебним циљевима и изворима</w:t>
        </w:r>
        <w:r w:rsidR="00CF10A0">
          <w:rPr>
            <w:noProof/>
            <w:webHidden/>
          </w:rPr>
          <w:tab/>
        </w:r>
        <w:r w:rsidR="00CF10A0">
          <w:rPr>
            <w:noProof/>
            <w:webHidden/>
          </w:rPr>
          <w:fldChar w:fldCharType="begin"/>
        </w:r>
        <w:r w:rsidR="00CF10A0">
          <w:rPr>
            <w:noProof/>
            <w:webHidden/>
          </w:rPr>
          <w:instrText xml:space="preserve"> PAGEREF _Toc57665344 \h </w:instrText>
        </w:r>
        <w:r w:rsidR="00CF10A0">
          <w:rPr>
            <w:noProof/>
            <w:webHidden/>
          </w:rPr>
        </w:r>
        <w:r w:rsidR="00CF10A0">
          <w:rPr>
            <w:noProof/>
            <w:webHidden/>
          </w:rPr>
          <w:fldChar w:fldCharType="separate"/>
        </w:r>
        <w:r w:rsidR="00CF10A0">
          <w:rPr>
            <w:noProof/>
            <w:webHidden/>
          </w:rPr>
          <w:t>30</w:t>
        </w:r>
        <w:r w:rsidR="00CF10A0">
          <w:rPr>
            <w:noProof/>
            <w:webHidden/>
          </w:rPr>
          <w:fldChar w:fldCharType="end"/>
        </w:r>
      </w:hyperlink>
    </w:p>
    <w:p w14:paraId="50A58E16" w14:textId="214B36F2"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45" w:history="1">
        <w:r w:rsidR="00CF10A0" w:rsidRPr="00002886">
          <w:rPr>
            <w:rStyle w:val="Hyperlink"/>
            <w:noProof/>
            <w:lang w:val="sr-Cyrl-RS"/>
          </w:rPr>
          <w:t>Графикон 9 Перцепција резултата према ,,Балкан барометру“</w:t>
        </w:r>
        <w:r w:rsidR="00CF10A0">
          <w:rPr>
            <w:noProof/>
            <w:webHidden/>
          </w:rPr>
          <w:tab/>
        </w:r>
        <w:r w:rsidR="00CF10A0">
          <w:rPr>
            <w:noProof/>
            <w:webHidden/>
          </w:rPr>
          <w:fldChar w:fldCharType="begin"/>
        </w:r>
        <w:r w:rsidR="00CF10A0">
          <w:rPr>
            <w:noProof/>
            <w:webHidden/>
          </w:rPr>
          <w:instrText xml:space="preserve"> PAGEREF _Toc57665345 \h </w:instrText>
        </w:r>
        <w:r w:rsidR="00CF10A0">
          <w:rPr>
            <w:noProof/>
            <w:webHidden/>
          </w:rPr>
        </w:r>
        <w:r w:rsidR="00CF10A0">
          <w:rPr>
            <w:noProof/>
            <w:webHidden/>
          </w:rPr>
          <w:fldChar w:fldCharType="separate"/>
        </w:r>
        <w:r w:rsidR="00CF10A0">
          <w:rPr>
            <w:noProof/>
            <w:webHidden/>
          </w:rPr>
          <w:t>40</w:t>
        </w:r>
        <w:r w:rsidR="00CF10A0">
          <w:rPr>
            <w:noProof/>
            <w:webHidden/>
          </w:rPr>
          <w:fldChar w:fldCharType="end"/>
        </w:r>
      </w:hyperlink>
    </w:p>
    <w:p w14:paraId="7A48C2B9" w14:textId="35105D83"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8" w:anchor="_Toc57665346" w:history="1">
        <w:r w:rsidR="00CF10A0" w:rsidRPr="00002886">
          <w:rPr>
            <w:rStyle w:val="Hyperlink"/>
            <w:noProof/>
          </w:rPr>
          <w:t>Графикон 10 Обједињено „дрво циљева” Стратегије РЈУ</w:t>
        </w:r>
        <w:r w:rsidR="00CF10A0">
          <w:rPr>
            <w:noProof/>
            <w:webHidden/>
          </w:rPr>
          <w:tab/>
        </w:r>
        <w:r w:rsidR="00CF10A0">
          <w:rPr>
            <w:noProof/>
            <w:webHidden/>
          </w:rPr>
          <w:fldChar w:fldCharType="begin"/>
        </w:r>
        <w:r w:rsidR="00CF10A0">
          <w:rPr>
            <w:noProof/>
            <w:webHidden/>
          </w:rPr>
          <w:instrText xml:space="preserve"> PAGEREF _Toc57665346 \h </w:instrText>
        </w:r>
        <w:r w:rsidR="00CF10A0">
          <w:rPr>
            <w:noProof/>
            <w:webHidden/>
          </w:rPr>
        </w:r>
        <w:r w:rsidR="00CF10A0">
          <w:rPr>
            <w:noProof/>
            <w:webHidden/>
          </w:rPr>
          <w:fldChar w:fldCharType="separate"/>
        </w:r>
        <w:r w:rsidR="00CF10A0">
          <w:rPr>
            <w:noProof/>
            <w:webHidden/>
          </w:rPr>
          <w:t>51</w:t>
        </w:r>
        <w:r w:rsidR="00CF10A0">
          <w:rPr>
            <w:noProof/>
            <w:webHidden/>
          </w:rPr>
          <w:fldChar w:fldCharType="end"/>
        </w:r>
      </w:hyperlink>
    </w:p>
    <w:p w14:paraId="54632027" w14:textId="50897EB4"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9" w:anchor="_Toc57665347" w:history="1">
        <w:r w:rsidR="00CF10A0" w:rsidRPr="00002886">
          <w:rPr>
            <w:rStyle w:val="Hyperlink"/>
            <w:noProof/>
          </w:rPr>
          <w:t>Графикон 11 Дрво проблема – Планирање и координација политика</w:t>
        </w:r>
        <w:r w:rsidR="00CF10A0">
          <w:rPr>
            <w:noProof/>
            <w:webHidden/>
          </w:rPr>
          <w:tab/>
        </w:r>
        <w:r w:rsidR="00CF10A0">
          <w:rPr>
            <w:noProof/>
            <w:webHidden/>
          </w:rPr>
          <w:fldChar w:fldCharType="begin"/>
        </w:r>
        <w:r w:rsidR="00CF10A0">
          <w:rPr>
            <w:noProof/>
            <w:webHidden/>
          </w:rPr>
          <w:instrText xml:space="preserve"> PAGEREF _Toc57665347 \h </w:instrText>
        </w:r>
        <w:r w:rsidR="00CF10A0">
          <w:rPr>
            <w:noProof/>
            <w:webHidden/>
          </w:rPr>
        </w:r>
        <w:r w:rsidR="00CF10A0">
          <w:rPr>
            <w:noProof/>
            <w:webHidden/>
          </w:rPr>
          <w:fldChar w:fldCharType="separate"/>
        </w:r>
        <w:r w:rsidR="00CF10A0">
          <w:rPr>
            <w:noProof/>
            <w:webHidden/>
          </w:rPr>
          <w:t>67</w:t>
        </w:r>
        <w:r w:rsidR="00CF10A0">
          <w:rPr>
            <w:noProof/>
            <w:webHidden/>
          </w:rPr>
          <w:fldChar w:fldCharType="end"/>
        </w:r>
      </w:hyperlink>
    </w:p>
    <w:p w14:paraId="79D55633" w14:textId="53935AF2"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10" w:anchor="_Toc57665348" w:history="1">
        <w:r w:rsidR="00CF10A0" w:rsidRPr="00002886">
          <w:rPr>
            <w:rStyle w:val="Hyperlink"/>
            <w:noProof/>
          </w:rPr>
          <w:t>Графикон 12 Правци деловања Програма за управљање јавним политикама и регулаторну реформу</w:t>
        </w:r>
        <w:r w:rsidR="00CF10A0">
          <w:rPr>
            <w:noProof/>
            <w:webHidden/>
          </w:rPr>
          <w:tab/>
        </w:r>
        <w:r w:rsidR="00CF10A0">
          <w:rPr>
            <w:noProof/>
            <w:webHidden/>
          </w:rPr>
          <w:fldChar w:fldCharType="begin"/>
        </w:r>
        <w:r w:rsidR="00CF10A0">
          <w:rPr>
            <w:noProof/>
            <w:webHidden/>
          </w:rPr>
          <w:instrText xml:space="preserve"> PAGEREF _Toc57665348 \h </w:instrText>
        </w:r>
        <w:r w:rsidR="00CF10A0">
          <w:rPr>
            <w:noProof/>
            <w:webHidden/>
          </w:rPr>
        </w:r>
        <w:r w:rsidR="00CF10A0">
          <w:rPr>
            <w:noProof/>
            <w:webHidden/>
          </w:rPr>
          <w:fldChar w:fldCharType="separate"/>
        </w:r>
        <w:r w:rsidR="00CF10A0">
          <w:rPr>
            <w:noProof/>
            <w:webHidden/>
          </w:rPr>
          <w:t>69</w:t>
        </w:r>
        <w:r w:rsidR="00CF10A0">
          <w:rPr>
            <w:noProof/>
            <w:webHidden/>
          </w:rPr>
          <w:fldChar w:fldCharType="end"/>
        </w:r>
      </w:hyperlink>
    </w:p>
    <w:p w14:paraId="0858E129" w14:textId="6682C69D"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49" w:history="1">
        <w:r w:rsidR="00CF10A0" w:rsidRPr="00002886">
          <w:rPr>
            <w:rStyle w:val="Hyperlink"/>
            <w:noProof/>
            <w:lang w:val="sr-Cyrl-RS"/>
          </w:rPr>
          <w:t>Графикон 13</w:t>
        </w:r>
        <w:r w:rsidR="00CF10A0" w:rsidRPr="00002886">
          <w:rPr>
            <w:rStyle w:val="Hyperlink"/>
            <w:noProof/>
            <w:lang w:val="sr-Cyrl-RS" w:eastAsia="en-US"/>
          </w:rPr>
          <w:t xml:space="preserve"> Заступљеност ПФК по радним местима</w:t>
        </w:r>
        <w:r w:rsidR="00CF10A0">
          <w:rPr>
            <w:noProof/>
            <w:webHidden/>
          </w:rPr>
          <w:tab/>
        </w:r>
        <w:r w:rsidR="00CF10A0">
          <w:rPr>
            <w:noProof/>
            <w:webHidden/>
          </w:rPr>
          <w:fldChar w:fldCharType="begin"/>
        </w:r>
        <w:r w:rsidR="00CF10A0">
          <w:rPr>
            <w:noProof/>
            <w:webHidden/>
          </w:rPr>
          <w:instrText xml:space="preserve"> PAGEREF _Toc57665349 \h </w:instrText>
        </w:r>
        <w:r w:rsidR="00CF10A0">
          <w:rPr>
            <w:noProof/>
            <w:webHidden/>
          </w:rPr>
        </w:r>
        <w:r w:rsidR="00CF10A0">
          <w:rPr>
            <w:noProof/>
            <w:webHidden/>
          </w:rPr>
          <w:fldChar w:fldCharType="separate"/>
        </w:r>
        <w:r w:rsidR="00CF10A0">
          <w:rPr>
            <w:noProof/>
            <w:webHidden/>
          </w:rPr>
          <w:t>84</w:t>
        </w:r>
        <w:r w:rsidR="00CF10A0">
          <w:rPr>
            <w:noProof/>
            <w:webHidden/>
          </w:rPr>
          <w:fldChar w:fldCharType="end"/>
        </w:r>
      </w:hyperlink>
    </w:p>
    <w:p w14:paraId="54C29478" w14:textId="52C9B863"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11" w:anchor="_Toc57665350" w:history="1">
        <w:r w:rsidR="00CF10A0" w:rsidRPr="00002886">
          <w:rPr>
            <w:rStyle w:val="Hyperlink"/>
            <w:noProof/>
          </w:rPr>
          <w:t>Графикон 14 Проценат смањења запослених на неодређено време у јавном сектору од децембра 2014 до децембра 2019. године</w:t>
        </w:r>
        <w:r w:rsidR="00CF10A0">
          <w:rPr>
            <w:noProof/>
            <w:webHidden/>
          </w:rPr>
          <w:tab/>
        </w:r>
        <w:r w:rsidR="00CF10A0">
          <w:rPr>
            <w:noProof/>
            <w:webHidden/>
          </w:rPr>
          <w:fldChar w:fldCharType="begin"/>
        </w:r>
        <w:r w:rsidR="00CF10A0">
          <w:rPr>
            <w:noProof/>
            <w:webHidden/>
          </w:rPr>
          <w:instrText xml:space="preserve"> PAGEREF _Toc57665350 \h </w:instrText>
        </w:r>
        <w:r w:rsidR="00CF10A0">
          <w:rPr>
            <w:noProof/>
            <w:webHidden/>
          </w:rPr>
        </w:r>
        <w:r w:rsidR="00CF10A0">
          <w:rPr>
            <w:noProof/>
            <w:webHidden/>
          </w:rPr>
          <w:fldChar w:fldCharType="separate"/>
        </w:r>
        <w:r w:rsidR="00CF10A0">
          <w:rPr>
            <w:noProof/>
            <w:webHidden/>
          </w:rPr>
          <w:t>87</w:t>
        </w:r>
        <w:r w:rsidR="00CF10A0">
          <w:rPr>
            <w:noProof/>
            <w:webHidden/>
          </w:rPr>
          <w:fldChar w:fldCharType="end"/>
        </w:r>
      </w:hyperlink>
    </w:p>
    <w:p w14:paraId="47C6B0BC" w14:textId="12130923"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12" w:anchor="_Toc57665351" w:history="1">
        <w:r w:rsidR="00CF10A0" w:rsidRPr="00002886">
          <w:rPr>
            <w:rStyle w:val="Hyperlink"/>
            <w:noProof/>
          </w:rPr>
          <w:t>Графикон 15 Преглед налаза индекса за УЉР у вези са припремом и усвајањем кадровског плана</w:t>
        </w:r>
        <w:r w:rsidR="00CF10A0">
          <w:rPr>
            <w:noProof/>
            <w:webHidden/>
          </w:rPr>
          <w:tab/>
        </w:r>
        <w:r w:rsidR="00CF10A0">
          <w:rPr>
            <w:noProof/>
            <w:webHidden/>
          </w:rPr>
          <w:fldChar w:fldCharType="begin"/>
        </w:r>
        <w:r w:rsidR="00CF10A0">
          <w:rPr>
            <w:noProof/>
            <w:webHidden/>
          </w:rPr>
          <w:instrText xml:space="preserve"> PAGEREF _Toc57665351 \h </w:instrText>
        </w:r>
        <w:r w:rsidR="00CF10A0">
          <w:rPr>
            <w:noProof/>
            <w:webHidden/>
          </w:rPr>
        </w:r>
        <w:r w:rsidR="00CF10A0">
          <w:rPr>
            <w:noProof/>
            <w:webHidden/>
          </w:rPr>
          <w:fldChar w:fldCharType="separate"/>
        </w:r>
        <w:r w:rsidR="00CF10A0">
          <w:rPr>
            <w:noProof/>
            <w:webHidden/>
          </w:rPr>
          <w:t>89</w:t>
        </w:r>
        <w:r w:rsidR="00CF10A0">
          <w:rPr>
            <w:noProof/>
            <w:webHidden/>
          </w:rPr>
          <w:fldChar w:fldCharType="end"/>
        </w:r>
      </w:hyperlink>
    </w:p>
    <w:p w14:paraId="2C7700C7" w14:textId="1E65BBDE"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13" w:anchor="_Toc57665352" w:history="1">
        <w:r w:rsidR="00CF10A0" w:rsidRPr="00002886">
          <w:rPr>
            <w:rStyle w:val="Hyperlink"/>
            <w:noProof/>
          </w:rPr>
          <w:t>Графикон 16 Однос успешних и неуспешних кандидата на јавним конкурсима</w:t>
        </w:r>
        <w:r w:rsidR="00CF10A0">
          <w:rPr>
            <w:noProof/>
            <w:webHidden/>
          </w:rPr>
          <w:tab/>
        </w:r>
        <w:r w:rsidR="00CF10A0">
          <w:rPr>
            <w:noProof/>
            <w:webHidden/>
          </w:rPr>
          <w:fldChar w:fldCharType="begin"/>
        </w:r>
        <w:r w:rsidR="00CF10A0">
          <w:rPr>
            <w:noProof/>
            <w:webHidden/>
          </w:rPr>
          <w:instrText xml:space="preserve"> PAGEREF _Toc57665352 \h </w:instrText>
        </w:r>
        <w:r w:rsidR="00CF10A0">
          <w:rPr>
            <w:noProof/>
            <w:webHidden/>
          </w:rPr>
        </w:r>
        <w:r w:rsidR="00CF10A0">
          <w:rPr>
            <w:noProof/>
            <w:webHidden/>
          </w:rPr>
          <w:fldChar w:fldCharType="separate"/>
        </w:r>
        <w:r w:rsidR="00CF10A0">
          <w:rPr>
            <w:noProof/>
            <w:webHidden/>
          </w:rPr>
          <w:t>92</w:t>
        </w:r>
        <w:r w:rsidR="00CF10A0">
          <w:rPr>
            <w:noProof/>
            <w:webHidden/>
          </w:rPr>
          <w:fldChar w:fldCharType="end"/>
        </w:r>
      </w:hyperlink>
    </w:p>
    <w:p w14:paraId="6C659C05" w14:textId="3A2EB2F5"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14" w:anchor="_Toc57665353" w:history="1">
        <w:r w:rsidR="00CF10A0" w:rsidRPr="00002886">
          <w:rPr>
            <w:rStyle w:val="Hyperlink"/>
            <w:noProof/>
          </w:rPr>
          <w:t>Графикон 17</w:t>
        </w:r>
        <w:r w:rsidR="00CF10A0" w:rsidRPr="00002886">
          <w:rPr>
            <w:rStyle w:val="Hyperlink"/>
            <w:noProof/>
            <w:lang w:val="sr-Cyrl-RS"/>
          </w:rPr>
          <w:t xml:space="preserve"> Однос броја слободних радних места, пристиглих пријава и успешних кандидата</w:t>
        </w:r>
        <w:r w:rsidR="00CF10A0">
          <w:rPr>
            <w:noProof/>
            <w:webHidden/>
          </w:rPr>
          <w:tab/>
        </w:r>
        <w:r w:rsidR="00CF10A0">
          <w:rPr>
            <w:noProof/>
            <w:webHidden/>
          </w:rPr>
          <w:fldChar w:fldCharType="begin"/>
        </w:r>
        <w:r w:rsidR="00CF10A0">
          <w:rPr>
            <w:noProof/>
            <w:webHidden/>
          </w:rPr>
          <w:instrText xml:space="preserve"> PAGEREF _Toc57665353 \h </w:instrText>
        </w:r>
        <w:r w:rsidR="00CF10A0">
          <w:rPr>
            <w:noProof/>
            <w:webHidden/>
          </w:rPr>
        </w:r>
        <w:r w:rsidR="00CF10A0">
          <w:rPr>
            <w:noProof/>
            <w:webHidden/>
          </w:rPr>
          <w:fldChar w:fldCharType="separate"/>
        </w:r>
        <w:r w:rsidR="00CF10A0">
          <w:rPr>
            <w:noProof/>
            <w:webHidden/>
          </w:rPr>
          <w:t>92</w:t>
        </w:r>
        <w:r w:rsidR="00CF10A0">
          <w:rPr>
            <w:noProof/>
            <w:webHidden/>
          </w:rPr>
          <w:fldChar w:fldCharType="end"/>
        </w:r>
      </w:hyperlink>
    </w:p>
    <w:p w14:paraId="111F61D5" w14:textId="2A92D6DC"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15" w:anchor="_Toc57665354" w:history="1">
        <w:r w:rsidR="00CF10A0" w:rsidRPr="00002886">
          <w:rPr>
            <w:rStyle w:val="Hyperlink"/>
            <w:noProof/>
          </w:rPr>
          <w:t>Графикон 18 Преглед жалби на резултате изборног поступка</w:t>
        </w:r>
        <w:r w:rsidR="00CF10A0">
          <w:rPr>
            <w:noProof/>
            <w:webHidden/>
          </w:rPr>
          <w:tab/>
        </w:r>
        <w:r w:rsidR="00CF10A0">
          <w:rPr>
            <w:noProof/>
            <w:webHidden/>
          </w:rPr>
          <w:fldChar w:fldCharType="begin"/>
        </w:r>
        <w:r w:rsidR="00CF10A0">
          <w:rPr>
            <w:noProof/>
            <w:webHidden/>
          </w:rPr>
          <w:instrText xml:space="preserve"> PAGEREF _Toc57665354 \h </w:instrText>
        </w:r>
        <w:r w:rsidR="00CF10A0">
          <w:rPr>
            <w:noProof/>
            <w:webHidden/>
          </w:rPr>
        </w:r>
        <w:r w:rsidR="00CF10A0">
          <w:rPr>
            <w:noProof/>
            <w:webHidden/>
          </w:rPr>
          <w:fldChar w:fldCharType="separate"/>
        </w:r>
        <w:r w:rsidR="00CF10A0">
          <w:rPr>
            <w:noProof/>
            <w:webHidden/>
          </w:rPr>
          <w:t>93</w:t>
        </w:r>
        <w:r w:rsidR="00CF10A0">
          <w:rPr>
            <w:noProof/>
            <w:webHidden/>
          </w:rPr>
          <w:fldChar w:fldCharType="end"/>
        </w:r>
      </w:hyperlink>
    </w:p>
    <w:p w14:paraId="7BF8DF26" w14:textId="29F2AF7E"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16" w:anchor="_Toc57665355" w:history="1">
        <w:r w:rsidR="00CF10A0" w:rsidRPr="00002886">
          <w:rPr>
            <w:rStyle w:val="Hyperlink"/>
            <w:noProof/>
          </w:rPr>
          <w:t>Графикон 19 Однос запослених на одређено, неодређено време и ван радног односа у ОДУ</w:t>
        </w:r>
        <w:r w:rsidR="00CF10A0">
          <w:rPr>
            <w:noProof/>
            <w:webHidden/>
          </w:rPr>
          <w:tab/>
        </w:r>
        <w:r w:rsidR="00CF10A0">
          <w:rPr>
            <w:noProof/>
            <w:webHidden/>
          </w:rPr>
          <w:fldChar w:fldCharType="begin"/>
        </w:r>
        <w:r w:rsidR="00CF10A0">
          <w:rPr>
            <w:noProof/>
            <w:webHidden/>
          </w:rPr>
          <w:instrText xml:space="preserve"> PAGEREF _Toc57665355 \h </w:instrText>
        </w:r>
        <w:r w:rsidR="00CF10A0">
          <w:rPr>
            <w:noProof/>
            <w:webHidden/>
          </w:rPr>
        </w:r>
        <w:r w:rsidR="00CF10A0">
          <w:rPr>
            <w:noProof/>
            <w:webHidden/>
          </w:rPr>
          <w:fldChar w:fldCharType="separate"/>
        </w:r>
        <w:r w:rsidR="00CF10A0">
          <w:rPr>
            <w:noProof/>
            <w:webHidden/>
          </w:rPr>
          <w:t>94</w:t>
        </w:r>
        <w:r w:rsidR="00CF10A0">
          <w:rPr>
            <w:noProof/>
            <w:webHidden/>
          </w:rPr>
          <w:fldChar w:fldCharType="end"/>
        </w:r>
      </w:hyperlink>
    </w:p>
    <w:p w14:paraId="1595AC8B" w14:textId="42CAB65A"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17" w:anchor="_Toc57665356" w:history="1">
        <w:r w:rsidR="00CF10A0" w:rsidRPr="00002886">
          <w:rPr>
            <w:rStyle w:val="Hyperlink"/>
            <w:noProof/>
          </w:rPr>
          <w:t>Графикон 20 Сарадња у поступку попуњавања радних места</w:t>
        </w:r>
        <w:r w:rsidR="00CF10A0">
          <w:rPr>
            <w:noProof/>
            <w:webHidden/>
          </w:rPr>
          <w:tab/>
        </w:r>
        <w:r w:rsidR="00CF10A0">
          <w:rPr>
            <w:noProof/>
            <w:webHidden/>
          </w:rPr>
          <w:fldChar w:fldCharType="begin"/>
        </w:r>
        <w:r w:rsidR="00CF10A0">
          <w:rPr>
            <w:noProof/>
            <w:webHidden/>
          </w:rPr>
          <w:instrText xml:space="preserve"> PAGEREF _Toc57665356 \h </w:instrText>
        </w:r>
        <w:r w:rsidR="00CF10A0">
          <w:rPr>
            <w:noProof/>
            <w:webHidden/>
          </w:rPr>
        </w:r>
        <w:r w:rsidR="00CF10A0">
          <w:rPr>
            <w:noProof/>
            <w:webHidden/>
          </w:rPr>
          <w:fldChar w:fldCharType="separate"/>
        </w:r>
        <w:r w:rsidR="00CF10A0">
          <w:rPr>
            <w:noProof/>
            <w:webHidden/>
          </w:rPr>
          <w:t>97</w:t>
        </w:r>
        <w:r w:rsidR="00CF10A0">
          <w:rPr>
            <w:noProof/>
            <w:webHidden/>
          </w:rPr>
          <w:fldChar w:fldCharType="end"/>
        </w:r>
      </w:hyperlink>
    </w:p>
    <w:p w14:paraId="2A090E2A" w14:textId="4DA1B964"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18" w:anchor="_Toc57665357" w:history="1">
        <w:r w:rsidR="00CF10A0" w:rsidRPr="00002886">
          <w:rPr>
            <w:rStyle w:val="Hyperlink"/>
            <w:noProof/>
          </w:rPr>
          <w:t>Графикон 21 Припрема и анализа претходних описа послова</w:t>
        </w:r>
        <w:r w:rsidR="00CF10A0">
          <w:rPr>
            <w:noProof/>
            <w:webHidden/>
          </w:rPr>
          <w:tab/>
        </w:r>
        <w:r w:rsidR="00CF10A0">
          <w:rPr>
            <w:noProof/>
            <w:webHidden/>
          </w:rPr>
          <w:fldChar w:fldCharType="begin"/>
        </w:r>
        <w:r w:rsidR="00CF10A0">
          <w:rPr>
            <w:noProof/>
            <w:webHidden/>
          </w:rPr>
          <w:instrText xml:space="preserve"> PAGEREF _Toc57665357 \h </w:instrText>
        </w:r>
        <w:r w:rsidR="00CF10A0">
          <w:rPr>
            <w:noProof/>
            <w:webHidden/>
          </w:rPr>
        </w:r>
        <w:r w:rsidR="00CF10A0">
          <w:rPr>
            <w:noProof/>
            <w:webHidden/>
          </w:rPr>
          <w:fldChar w:fldCharType="separate"/>
        </w:r>
        <w:r w:rsidR="00CF10A0">
          <w:rPr>
            <w:noProof/>
            <w:webHidden/>
          </w:rPr>
          <w:t>97</w:t>
        </w:r>
        <w:r w:rsidR="00CF10A0">
          <w:rPr>
            <w:noProof/>
            <w:webHidden/>
          </w:rPr>
          <w:fldChar w:fldCharType="end"/>
        </w:r>
      </w:hyperlink>
    </w:p>
    <w:p w14:paraId="3871278B" w14:textId="012BEF35"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58" w:history="1">
        <w:r w:rsidR="00CF10A0" w:rsidRPr="00002886">
          <w:rPr>
            <w:rStyle w:val="Hyperlink"/>
            <w:noProof/>
            <w:lang w:val="sr-Cyrl-RS"/>
          </w:rPr>
          <w:t>Графикон 22 Преглед програма обука НАЈУ према броју области и тематских целина стручног усавршавања</w:t>
        </w:r>
        <w:r w:rsidR="00CF10A0">
          <w:rPr>
            <w:noProof/>
            <w:webHidden/>
          </w:rPr>
          <w:tab/>
        </w:r>
        <w:r w:rsidR="00CF10A0">
          <w:rPr>
            <w:noProof/>
            <w:webHidden/>
          </w:rPr>
          <w:fldChar w:fldCharType="begin"/>
        </w:r>
        <w:r w:rsidR="00CF10A0">
          <w:rPr>
            <w:noProof/>
            <w:webHidden/>
          </w:rPr>
          <w:instrText xml:space="preserve"> PAGEREF _Toc57665358 \h </w:instrText>
        </w:r>
        <w:r w:rsidR="00CF10A0">
          <w:rPr>
            <w:noProof/>
            <w:webHidden/>
          </w:rPr>
        </w:r>
        <w:r w:rsidR="00CF10A0">
          <w:rPr>
            <w:noProof/>
            <w:webHidden/>
          </w:rPr>
          <w:fldChar w:fldCharType="separate"/>
        </w:r>
        <w:r w:rsidR="00CF10A0">
          <w:rPr>
            <w:noProof/>
            <w:webHidden/>
          </w:rPr>
          <w:t>103</w:t>
        </w:r>
        <w:r w:rsidR="00CF10A0">
          <w:rPr>
            <w:noProof/>
            <w:webHidden/>
          </w:rPr>
          <w:fldChar w:fldCharType="end"/>
        </w:r>
      </w:hyperlink>
    </w:p>
    <w:p w14:paraId="6806C181" w14:textId="0AEFC4E5"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59" w:history="1">
        <w:r w:rsidR="00CF10A0" w:rsidRPr="00002886">
          <w:rPr>
            <w:rStyle w:val="Hyperlink"/>
            <w:noProof/>
            <w:lang w:val="sr-Cyrl-RS"/>
          </w:rPr>
          <w:t>Графикон 23 Реализација програма обуке у НАЈУ за 2020. години</w:t>
        </w:r>
        <w:r w:rsidR="00CF10A0">
          <w:rPr>
            <w:noProof/>
            <w:webHidden/>
          </w:rPr>
          <w:tab/>
        </w:r>
        <w:r w:rsidR="00CF10A0">
          <w:rPr>
            <w:noProof/>
            <w:webHidden/>
          </w:rPr>
          <w:fldChar w:fldCharType="begin"/>
        </w:r>
        <w:r w:rsidR="00CF10A0">
          <w:rPr>
            <w:noProof/>
            <w:webHidden/>
          </w:rPr>
          <w:instrText xml:space="preserve"> PAGEREF _Toc57665359 \h </w:instrText>
        </w:r>
        <w:r w:rsidR="00CF10A0">
          <w:rPr>
            <w:noProof/>
            <w:webHidden/>
          </w:rPr>
        </w:r>
        <w:r w:rsidR="00CF10A0">
          <w:rPr>
            <w:noProof/>
            <w:webHidden/>
          </w:rPr>
          <w:fldChar w:fldCharType="separate"/>
        </w:r>
        <w:r w:rsidR="00CF10A0">
          <w:rPr>
            <w:noProof/>
            <w:webHidden/>
          </w:rPr>
          <w:t>104</w:t>
        </w:r>
        <w:r w:rsidR="00CF10A0">
          <w:rPr>
            <w:noProof/>
            <w:webHidden/>
          </w:rPr>
          <w:fldChar w:fldCharType="end"/>
        </w:r>
      </w:hyperlink>
    </w:p>
    <w:p w14:paraId="663A730A" w14:textId="19505B64"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60" w:history="1">
        <w:r w:rsidR="00CF10A0" w:rsidRPr="00002886">
          <w:rPr>
            <w:rStyle w:val="Hyperlink"/>
            <w:noProof/>
            <w:lang w:val="sr-Cyrl-RS"/>
          </w:rPr>
          <w:t>Графикон 24 Број чланова Мреже контакт особа у јавној управи</w:t>
        </w:r>
        <w:r w:rsidR="00CF10A0">
          <w:rPr>
            <w:noProof/>
            <w:webHidden/>
          </w:rPr>
          <w:tab/>
        </w:r>
        <w:r w:rsidR="00CF10A0">
          <w:rPr>
            <w:noProof/>
            <w:webHidden/>
          </w:rPr>
          <w:fldChar w:fldCharType="begin"/>
        </w:r>
        <w:r w:rsidR="00CF10A0">
          <w:rPr>
            <w:noProof/>
            <w:webHidden/>
          </w:rPr>
          <w:instrText xml:space="preserve"> PAGEREF _Toc57665360 \h </w:instrText>
        </w:r>
        <w:r w:rsidR="00CF10A0">
          <w:rPr>
            <w:noProof/>
            <w:webHidden/>
          </w:rPr>
        </w:r>
        <w:r w:rsidR="00CF10A0">
          <w:rPr>
            <w:noProof/>
            <w:webHidden/>
          </w:rPr>
          <w:fldChar w:fldCharType="separate"/>
        </w:r>
        <w:r w:rsidR="00CF10A0">
          <w:rPr>
            <w:noProof/>
            <w:webHidden/>
          </w:rPr>
          <w:t>105</w:t>
        </w:r>
        <w:r w:rsidR="00CF10A0">
          <w:rPr>
            <w:noProof/>
            <w:webHidden/>
          </w:rPr>
          <w:fldChar w:fldCharType="end"/>
        </w:r>
      </w:hyperlink>
    </w:p>
    <w:p w14:paraId="6B5C262A" w14:textId="0A8BF81D"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61" w:history="1">
        <w:r w:rsidR="00CF10A0" w:rsidRPr="00002886">
          <w:rPr>
            <w:rStyle w:val="Hyperlink"/>
            <w:noProof/>
            <w:lang w:val="sr-Cyrl-RS"/>
          </w:rPr>
          <w:t>Графикон 25 Број кандидата који су положили државни стручни испит у последњих 10 година</w:t>
        </w:r>
        <w:r w:rsidR="00CF10A0">
          <w:rPr>
            <w:noProof/>
            <w:webHidden/>
          </w:rPr>
          <w:tab/>
        </w:r>
        <w:r w:rsidR="00CF10A0">
          <w:rPr>
            <w:noProof/>
            <w:webHidden/>
          </w:rPr>
          <w:fldChar w:fldCharType="begin"/>
        </w:r>
        <w:r w:rsidR="00CF10A0">
          <w:rPr>
            <w:noProof/>
            <w:webHidden/>
          </w:rPr>
          <w:instrText xml:space="preserve"> PAGEREF _Toc57665361 \h </w:instrText>
        </w:r>
        <w:r w:rsidR="00CF10A0">
          <w:rPr>
            <w:noProof/>
            <w:webHidden/>
          </w:rPr>
        </w:r>
        <w:r w:rsidR="00CF10A0">
          <w:rPr>
            <w:noProof/>
            <w:webHidden/>
          </w:rPr>
          <w:fldChar w:fldCharType="separate"/>
        </w:r>
        <w:r w:rsidR="00CF10A0">
          <w:rPr>
            <w:noProof/>
            <w:webHidden/>
          </w:rPr>
          <w:t>107</w:t>
        </w:r>
        <w:r w:rsidR="00CF10A0">
          <w:rPr>
            <w:noProof/>
            <w:webHidden/>
          </w:rPr>
          <w:fldChar w:fldCharType="end"/>
        </w:r>
      </w:hyperlink>
    </w:p>
    <w:p w14:paraId="493109CD" w14:textId="7E6C17C0"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19" w:anchor="_Toc57665362" w:history="1">
        <w:r w:rsidR="00CF10A0" w:rsidRPr="00002886">
          <w:rPr>
            <w:rStyle w:val="Hyperlink"/>
            <w:noProof/>
          </w:rPr>
          <w:t>Графикон 26</w:t>
        </w:r>
        <w:r w:rsidR="00CF10A0" w:rsidRPr="00002886">
          <w:rPr>
            <w:rStyle w:val="Hyperlink"/>
            <w:noProof/>
            <w:lang w:val="sr-Cyrl-RS"/>
          </w:rPr>
          <w:t xml:space="preserve"> Дрво проблема - Управљање људским ресурсима</w:t>
        </w:r>
        <w:r w:rsidR="00CF10A0">
          <w:rPr>
            <w:noProof/>
            <w:webHidden/>
          </w:rPr>
          <w:tab/>
        </w:r>
        <w:r w:rsidR="00CF10A0">
          <w:rPr>
            <w:noProof/>
            <w:webHidden/>
          </w:rPr>
          <w:fldChar w:fldCharType="begin"/>
        </w:r>
        <w:r w:rsidR="00CF10A0">
          <w:rPr>
            <w:noProof/>
            <w:webHidden/>
          </w:rPr>
          <w:instrText xml:space="preserve"> PAGEREF _Toc57665362 \h </w:instrText>
        </w:r>
        <w:r w:rsidR="00CF10A0">
          <w:rPr>
            <w:noProof/>
            <w:webHidden/>
          </w:rPr>
        </w:r>
        <w:r w:rsidR="00CF10A0">
          <w:rPr>
            <w:noProof/>
            <w:webHidden/>
          </w:rPr>
          <w:fldChar w:fldCharType="separate"/>
        </w:r>
        <w:r w:rsidR="00CF10A0">
          <w:rPr>
            <w:noProof/>
            <w:webHidden/>
          </w:rPr>
          <w:t>109</w:t>
        </w:r>
        <w:r w:rsidR="00CF10A0">
          <w:rPr>
            <w:noProof/>
            <w:webHidden/>
          </w:rPr>
          <w:fldChar w:fldCharType="end"/>
        </w:r>
      </w:hyperlink>
    </w:p>
    <w:p w14:paraId="7951D0B7" w14:textId="2B8EA0D8"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20" w:anchor="_Toc57665363" w:history="1">
        <w:r w:rsidR="00CF10A0" w:rsidRPr="00002886">
          <w:rPr>
            <w:rStyle w:val="Hyperlink"/>
            <w:noProof/>
          </w:rPr>
          <w:t xml:space="preserve">Графикон 27 Дрво циљева – </w:t>
        </w:r>
        <w:r w:rsidR="00CF10A0" w:rsidRPr="00002886">
          <w:rPr>
            <w:rStyle w:val="Hyperlink"/>
            <w:noProof/>
            <w:lang w:val="sr-Cyrl-RS"/>
          </w:rPr>
          <w:t>У</w:t>
        </w:r>
        <w:r w:rsidR="00CF10A0" w:rsidRPr="00002886">
          <w:rPr>
            <w:rStyle w:val="Hyperlink"/>
            <w:noProof/>
          </w:rPr>
          <w:t>прављање људским ресурсима у јавној управи</w:t>
        </w:r>
        <w:r w:rsidR="00CF10A0">
          <w:rPr>
            <w:noProof/>
            <w:webHidden/>
          </w:rPr>
          <w:tab/>
        </w:r>
        <w:r w:rsidR="00CF10A0">
          <w:rPr>
            <w:noProof/>
            <w:webHidden/>
          </w:rPr>
          <w:fldChar w:fldCharType="begin"/>
        </w:r>
        <w:r w:rsidR="00CF10A0">
          <w:rPr>
            <w:noProof/>
            <w:webHidden/>
          </w:rPr>
          <w:instrText xml:space="preserve"> PAGEREF _Toc57665363 \h </w:instrText>
        </w:r>
        <w:r w:rsidR="00CF10A0">
          <w:rPr>
            <w:noProof/>
            <w:webHidden/>
          </w:rPr>
        </w:r>
        <w:r w:rsidR="00CF10A0">
          <w:rPr>
            <w:noProof/>
            <w:webHidden/>
          </w:rPr>
          <w:fldChar w:fldCharType="separate"/>
        </w:r>
        <w:r w:rsidR="00CF10A0">
          <w:rPr>
            <w:noProof/>
            <w:webHidden/>
          </w:rPr>
          <w:t>127</w:t>
        </w:r>
        <w:r w:rsidR="00CF10A0">
          <w:rPr>
            <w:noProof/>
            <w:webHidden/>
          </w:rPr>
          <w:fldChar w:fldCharType="end"/>
        </w:r>
      </w:hyperlink>
    </w:p>
    <w:p w14:paraId="52C0F51D" w14:textId="724E128A"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21" w:anchor="_Toc57665364" w:history="1">
        <w:r w:rsidR="00CF10A0" w:rsidRPr="00002886">
          <w:rPr>
            <w:rStyle w:val="Hyperlink"/>
            <w:noProof/>
          </w:rPr>
          <w:t>Графикон 28 Дрво проблема – Пружање услуга</w:t>
        </w:r>
        <w:r w:rsidR="00CF10A0">
          <w:rPr>
            <w:noProof/>
            <w:webHidden/>
          </w:rPr>
          <w:tab/>
        </w:r>
        <w:r w:rsidR="00CF10A0">
          <w:rPr>
            <w:noProof/>
            <w:webHidden/>
          </w:rPr>
          <w:fldChar w:fldCharType="begin"/>
        </w:r>
        <w:r w:rsidR="00CF10A0">
          <w:rPr>
            <w:noProof/>
            <w:webHidden/>
          </w:rPr>
          <w:instrText xml:space="preserve"> PAGEREF _Toc57665364 \h </w:instrText>
        </w:r>
        <w:r w:rsidR="00CF10A0">
          <w:rPr>
            <w:noProof/>
            <w:webHidden/>
          </w:rPr>
        </w:r>
        <w:r w:rsidR="00CF10A0">
          <w:rPr>
            <w:noProof/>
            <w:webHidden/>
          </w:rPr>
          <w:fldChar w:fldCharType="separate"/>
        </w:r>
        <w:r w:rsidR="00CF10A0">
          <w:rPr>
            <w:noProof/>
            <w:webHidden/>
          </w:rPr>
          <w:t>140</w:t>
        </w:r>
        <w:r w:rsidR="00CF10A0">
          <w:rPr>
            <w:noProof/>
            <w:webHidden/>
          </w:rPr>
          <w:fldChar w:fldCharType="end"/>
        </w:r>
      </w:hyperlink>
    </w:p>
    <w:p w14:paraId="4F884475" w14:textId="2BCCF93B"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22" w:anchor="_Toc57665365" w:history="1">
        <w:r w:rsidR="00CF10A0" w:rsidRPr="00002886">
          <w:rPr>
            <w:rStyle w:val="Hyperlink"/>
            <w:noProof/>
          </w:rPr>
          <w:t xml:space="preserve">Графикон 29 </w:t>
        </w:r>
        <w:r w:rsidR="00CF10A0" w:rsidRPr="00002886">
          <w:rPr>
            <w:rStyle w:val="Hyperlink"/>
            <w:noProof/>
            <w:lang w:val="sr-Cyrl-RS"/>
          </w:rPr>
          <w:t>Дрво циљева Пружање услуга</w:t>
        </w:r>
        <w:r w:rsidR="00CF10A0">
          <w:rPr>
            <w:noProof/>
            <w:webHidden/>
          </w:rPr>
          <w:tab/>
        </w:r>
        <w:r w:rsidR="00CF10A0">
          <w:rPr>
            <w:noProof/>
            <w:webHidden/>
          </w:rPr>
          <w:fldChar w:fldCharType="begin"/>
        </w:r>
        <w:r w:rsidR="00CF10A0">
          <w:rPr>
            <w:noProof/>
            <w:webHidden/>
          </w:rPr>
          <w:instrText xml:space="preserve"> PAGEREF _Toc57665365 \h </w:instrText>
        </w:r>
        <w:r w:rsidR="00CF10A0">
          <w:rPr>
            <w:noProof/>
            <w:webHidden/>
          </w:rPr>
        </w:r>
        <w:r w:rsidR="00CF10A0">
          <w:rPr>
            <w:noProof/>
            <w:webHidden/>
          </w:rPr>
          <w:fldChar w:fldCharType="separate"/>
        </w:r>
        <w:r w:rsidR="00CF10A0">
          <w:rPr>
            <w:noProof/>
            <w:webHidden/>
          </w:rPr>
          <w:t>151</w:t>
        </w:r>
        <w:r w:rsidR="00CF10A0">
          <w:rPr>
            <w:noProof/>
            <w:webHidden/>
          </w:rPr>
          <w:fldChar w:fldCharType="end"/>
        </w:r>
      </w:hyperlink>
    </w:p>
    <w:p w14:paraId="39B71E10" w14:textId="72B47AAE"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23" w:anchor="_Toc57665366" w:history="1">
        <w:r w:rsidR="00CF10A0" w:rsidRPr="00002886">
          <w:rPr>
            <w:rStyle w:val="Hyperlink"/>
            <w:noProof/>
          </w:rPr>
          <w:t>Графикон 30 Дрво проблема – Одговорност и транспарентност у јавној управи</w:t>
        </w:r>
        <w:r w:rsidR="00CF10A0">
          <w:rPr>
            <w:noProof/>
            <w:webHidden/>
          </w:rPr>
          <w:tab/>
        </w:r>
        <w:r w:rsidR="00CF10A0">
          <w:rPr>
            <w:noProof/>
            <w:webHidden/>
          </w:rPr>
          <w:fldChar w:fldCharType="begin"/>
        </w:r>
        <w:r w:rsidR="00CF10A0">
          <w:rPr>
            <w:noProof/>
            <w:webHidden/>
          </w:rPr>
          <w:instrText xml:space="preserve"> PAGEREF _Toc57665366 \h </w:instrText>
        </w:r>
        <w:r w:rsidR="00CF10A0">
          <w:rPr>
            <w:noProof/>
            <w:webHidden/>
          </w:rPr>
        </w:r>
        <w:r w:rsidR="00CF10A0">
          <w:rPr>
            <w:noProof/>
            <w:webHidden/>
          </w:rPr>
          <w:fldChar w:fldCharType="separate"/>
        </w:r>
        <w:r w:rsidR="00CF10A0">
          <w:rPr>
            <w:noProof/>
            <w:webHidden/>
          </w:rPr>
          <w:t>163</w:t>
        </w:r>
        <w:r w:rsidR="00CF10A0">
          <w:rPr>
            <w:noProof/>
            <w:webHidden/>
          </w:rPr>
          <w:fldChar w:fldCharType="end"/>
        </w:r>
      </w:hyperlink>
    </w:p>
    <w:p w14:paraId="41091252" w14:textId="3FE95B08"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24" w:anchor="_Toc57665367" w:history="1">
        <w:r w:rsidR="00CF10A0" w:rsidRPr="00002886">
          <w:rPr>
            <w:rStyle w:val="Hyperlink"/>
            <w:noProof/>
          </w:rPr>
          <w:t>Графикон 31 Дрво циљева – Одговорност и транспарентност у јавној управи</w:t>
        </w:r>
        <w:r w:rsidR="00CF10A0">
          <w:rPr>
            <w:noProof/>
            <w:webHidden/>
          </w:rPr>
          <w:tab/>
        </w:r>
        <w:r w:rsidR="00CF10A0">
          <w:rPr>
            <w:noProof/>
            <w:webHidden/>
          </w:rPr>
          <w:fldChar w:fldCharType="begin"/>
        </w:r>
        <w:r w:rsidR="00CF10A0">
          <w:rPr>
            <w:noProof/>
            <w:webHidden/>
          </w:rPr>
          <w:instrText xml:space="preserve"> PAGEREF _Toc57665367 \h </w:instrText>
        </w:r>
        <w:r w:rsidR="00CF10A0">
          <w:rPr>
            <w:noProof/>
            <w:webHidden/>
          </w:rPr>
        </w:r>
        <w:r w:rsidR="00CF10A0">
          <w:rPr>
            <w:noProof/>
            <w:webHidden/>
          </w:rPr>
          <w:fldChar w:fldCharType="separate"/>
        </w:r>
        <w:r w:rsidR="00CF10A0">
          <w:rPr>
            <w:noProof/>
            <w:webHidden/>
          </w:rPr>
          <w:t>174</w:t>
        </w:r>
        <w:r w:rsidR="00CF10A0">
          <w:rPr>
            <w:noProof/>
            <w:webHidden/>
          </w:rPr>
          <w:fldChar w:fldCharType="end"/>
        </w:r>
      </w:hyperlink>
    </w:p>
    <w:p w14:paraId="1410AAB5" w14:textId="61711754"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25" w:anchor="_Toc57665368" w:history="1">
        <w:r w:rsidR="00CF10A0" w:rsidRPr="00002886">
          <w:rPr>
            <w:rStyle w:val="Hyperlink"/>
            <w:noProof/>
          </w:rPr>
          <w:t xml:space="preserve">Графикон 32 Дрво проблема – </w:t>
        </w:r>
        <w:r w:rsidR="00CF10A0" w:rsidRPr="00002886">
          <w:rPr>
            <w:rStyle w:val="Hyperlink"/>
            <w:noProof/>
            <w:lang w:val="sr-Cyrl-RS"/>
          </w:rPr>
          <w:t>У</w:t>
        </w:r>
        <w:r w:rsidR="00CF10A0" w:rsidRPr="00002886">
          <w:rPr>
            <w:rStyle w:val="Hyperlink"/>
            <w:noProof/>
          </w:rPr>
          <w:t>прављање јавним финансијама</w:t>
        </w:r>
        <w:r w:rsidR="00CF10A0">
          <w:rPr>
            <w:noProof/>
            <w:webHidden/>
          </w:rPr>
          <w:tab/>
        </w:r>
        <w:r w:rsidR="00CF10A0">
          <w:rPr>
            <w:noProof/>
            <w:webHidden/>
          </w:rPr>
          <w:fldChar w:fldCharType="begin"/>
        </w:r>
        <w:r w:rsidR="00CF10A0">
          <w:rPr>
            <w:noProof/>
            <w:webHidden/>
          </w:rPr>
          <w:instrText xml:space="preserve"> PAGEREF _Toc57665368 \h </w:instrText>
        </w:r>
        <w:r w:rsidR="00CF10A0">
          <w:rPr>
            <w:noProof/>
            <w:webHidden/>
          </w:rPr>
        </w:r>
        <w:r w:rsidR="00CF10A0">
          <w:rPr>
            <w:noProof/>
            <w:webHidden/>
          </w:rPr>
          <w:fldChar w:fldCharType="separate"/>
        </w:r>
        <w:r w:rsidR="00CF10A0">
          <w:rPr>
            <w:noProof/>
            <w:webHidden/>
          </w:rPr>
          <w:t>183</w:t>
        </w:r>
        <w:r w:rsidR="00CF10A0">
          <w:rPr>
            <w:noProof/>
            <w:webHidden/>
          </w:rPr>
          <w:fldChar w:fldCharType="end"/>
        </w:r>
      </w:hyperlink>
    </w:p>
    <w:p w14:paraId="5E71B034" w14:textId="259722AA"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26" w:anchor="_Toc57665369" w:history="1">
        <w:r w:rsidR="00CF10A0" w:rsidRPr="00002886">
          <w:rPr>
            <w:rStyle w:val="Hyperlink"/>
            <w:noProof/>
          </w:rPr>
          <w:t>Графикон 33 Правци деловања Програма реформе управљања јавним финансијама</w:t>
        </w:r>
        <w:r w:rsidR="00CF10A0">
          <w:rPr>
            <w:noProof/>
            <w:webHidden/>
          </w:rPr>
          <w:tab/>
        </w:r>
        <w:r w:rsidR="00CF10A0">
          <w:rPr>
            <w:noProof/>
            <w:webHidden/>
          </w:rPr>
          <w:fldChar w:fldCharType="begin"/>
        </w:r>
        <w:r w:rsidR="00CF10A0">
          <w:rPr>
            <w:noProof/>
            <w:webHidden/>
          </w:rPr>
          <w:instrText xml:space="preserve"> PAGEREF _Toc57665369 \h </w:instrText>
        </w:r>
        <w:r w:rsidR="00CF10A0">
          <w:rPr>
            <w:noProof/>
            <w:webHidden/>
          </w:rPr>
        </w:r>
        <w:r w:rsidR="00CF10A0">
          <w:rPr>
            <w:noProof/>
            <w:webHidden/>
          </w:rPr>
          <w:fldChar w:fldCharType="separate"/>
        </w:r>
        <w:r w:rsidR="00CF10A0">
          <w:rPr>
            <w:noProof/>
            <w:webHidden/>
          </w:rPr>
          <w:t>187</w:t>
        </w:r>
        <w:r w:rsidR="00CF10A0">
          <w:rPr>
            <w:noProof/>
            <w:webHidden/>
          </w:rPr>
          <w:fldChar w:fldCharType="end"/>
        </w:r>
      </w:hyperlink>
    </w:p>
    <w:p w14:paraId="4A819B8C" w14:textId="75E80C46"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27" w:anchor="_Toc57665370" w:history="1">
        <w:r w:rsidR="00CF10A0" w:rsidRPr="00002886">
          <w:rPr>
            <w:rStyle w:val="Hyperlink"/>
            <w:noProof/>
          </w:rPr>
          <w:t>Графикон 34 Дрво проблема – Систем локалне самоуправе</w:t>
        </w:r>
        <w:r w:rsidR="00CF10A0">
          <w:rPr>
            <w:noProof/>
            <w:webHidden/>
          </w:rPr>
          <w:tab/>
        </w:r>
        <w:r w:rsidR="00CF10A0">
          <w:rPr>
            <w:noProof/>
            <w:webHidden/>
          </w:rPr>
          <w:fldChar w:fldCharType="begin"/>
        </w:r>
        <w:r w:rsidR="00CF10A0">
          <w:rPr>
            <w:noProof/>
            <w:webHidden/>
          </w:rPr>
          <w:instrText xml:space="preserve"> PAGEREF _Toc57665370 \h </w:instrText>
        </w:r>
        <w:r w:rsidR="00CF10A0">
          <w:rPr>
            <w:noProof/>
            <w:webHidden/>
          </w:rPr>
        </w:r>
        <w:r w:rsidR="00CF10A0">
          <w:rPr>
            <w:noProof/>
            <w:webHidden/>
          </w:rPr>
          <w:fldChar w:fldCharType="separate"/>
        </w:r>
        <w:r w:rsidR="00CF10A0">
          <w:rPr>
            <w:noProof/>
            <w:webHidden/>
          </w:rPr>
          <w:t>196</w:t>
        </w:r>
        <w:r w:rsidR="00CF10A0">
          <w:rPr>
            <w:noProof/>
            <w:webHidden/>
          </w:rPr>
          <w:fldChar w:fldCharType="end"/>
        </w:r>
      </w:hyperlink>
    </w:p>
    <w:p w14:paraId="69392FD6" w14:textId="3EA26E70"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28" w:anchor="_Toc57665371" w:history="1">
        <w:r w:rsidR="00CF10A0" w:rsidRPr="00002886">
          <w:rPr>
            <w:rStyle w:val="Hyperlink"/>
            <w:noProof/>
          </w:rPr>
          <w:t>Графикон 35 Правци деловања политика – Систем локалне самоуправе</w:t>
        </w:r>
        <w:r w:rsidR="00CF10A0">
          <w:rPr>
            <w:noProof/>
            <w:webHidden/>
          </w:rPr>
          <w:tab/>
        </w:r>
        <w:r w:rsidR="00CF10A0">
          <w:rPr>
            <w:noProof/>
            <w:webHidden/>
          </w:rPr>
          <w:fldChar w:fldCharType="begin"/>
        </w:r>
        <w:r w:rsidR="00CF10A0">
          <w:rPr>
            <w:noProof/>
            <w:webHidden/>
          </w:rPr>
          <w:instrText xml:space="preserve"> PAGEREF _Toc57665371 \h </w:instrText>
        </w:r>
        <w:r w:rsidR="00CF10A0">
          <w:rPr>
            <w:noProof/>
            <w:webHidden/>
          </w:rPr>
        </w:r>
        <w:r w:rsidR="00CF10A0">
          <w:rPr>
            <w:noProof/>
            <w:webHidden/>
          </w:rPr>
          <w:fldChar w:fldCharType="separate"/>
        </w:r>
        <w:r w:rsidR="00CF10A0">
          <w:rPr>
            <w:noProof/>
            <w:webHidden/>
          </w:rPr>
          <w:t>201</w:t>
        </w:r>
        <w:r w:rsidR="00CF10A0">
          <w:rPr>
            <w:noProof/>
            <w:webHidden/>
          </w:rPr>
          <w:fldChar w:fldCharType="end"/>
        </w:r>
      </w:hyperlink>
    </w:p>
    <w:p w14:paraId="51ED06BF" w14:textId="10275B69"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29" w:anchor="_Toc57665372" w:history="1">
        <w:r w:rsidR="00CF10A0" w:rsidRPr="00002886">
          <w:rPr>
            <w:rStyle w:val="Hyperlink"/>
            <w:noProof/>
          </w:rPr>
          <w:t>Графикон 36 Учесници и улоге у систему координације праћења и извештавања о спровођењу Стратегије РЈУ</w:t>
        </w:r>
        <w:r w:rsidR="00CF10A0">
          <w:rPr>
            <w:noProof/>
            <w:webHidden/>
          </w:rPr>
          <w:tab/>
        </w:r>
        <w:r w:rsidR="00CF10A0">
          <w:rPr>
            <w:noProof/>
            <w:webHidden/>
          </w:rPr>
          <w:fldChar w:fldCharType="begin"/>
        </w:r>
        <w:r w:rsidR="00CF10A0">
          <w:rPr>
            <w:noProof/>
            <w:webHidden/>
          </w:rPr>
          <w:instrText xml:space="preserve"> PAGEREF _Toc57665372 \h </w:instrText>
        </w:r>
        <w:r w:rsidR="00CF10A0">
          <w:rPr>
            <w:noProof/>
            <w:webHidden/>
          </w:rPr>
        </w:r>
        <w:r w:rsidR="00CF10A0">
          <w:rPr>
            <w:noProof/>
            <w:webHidden/>
          </w:rPr>
          <w:fldChar w:fldCharType="separate"/>
        </w:r>
        <w:r w:rsidR="00CF10A0">
          <w:rPr>
            <w:noProof/>
            <w:webHidden/>
          </w:rPr>
          <w:t>217</w:t>
        </w:r>
        <w:r w:rsidR="00CF10A0">
          <w:rPr>
            <w:noProof/>
            <w:webHidden/>
          </w:rPr>
          <w:fldChar w:fldCharType="end"/>
        </w:r>
      </w:hyperlink>
    </w:p>
    <w:p w14:paraId="407D33D1" w14:textId="517CD600" w:rsidR="008C0483" w:rsidRDefault="00C70A6E" w:rsidP="00D4266E">
      <w:pPr>
        <w:rPr>
          <w:noProof/>
        </w:rPr>
      </w:pPr>
      <w:r w:rsidRPr="000F0299">
        <w:fldChar w:fldCharType="end"/>
      </w:r>
      <w:r w:rsidR="006876AE" w:rsidRPr="000F0299">
        <w:fldChar w:fldCharType="begin"/>
      </w:r>
      <w:r w:rsidR="006876AE" w:rsidRPr="000F0299">
        <w:instrText xml:space="preserve"> TOC \h \z \c "Слика" </w:instrText>
      </w:r>
      <w:r w:rsidR="006876AE" w:rsidRPr="000F0299">
        <w:fldChar w:fldCharType="separate"/>
      </w:r>
    </w:p>
    <w:p w14:paraId="1E39B504" w14:textId="5240ABE1" w:rsidR="008C0483"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564499" w:history="1">
        <w:r w:rsidR="008C0483" w:rsidRPr="00F96DE9">
          <w:rPr>
            <w:rStyle w:val="Hyperlink"/>
            <w:noProof/>
            <w:lang w:val="sr-Cyrl-RS"/>
          </w:rPr>
          <w:t>Слика 1 Плански оквир и документи у области реформе јавне управе</w:t>
        </w:r>
        <w:r w:rsidR="008C0483">
          <w:rPr>
            <w:noProof/>
            <w:webHidden/>
          </w:rPr>
          <w:tab/>
        </w:r>
        <w:r w:rsidR="008C0483">
          <w:rPr>
            <w:noProof/>
            <w:webHidden/>
          </w:rPr>
          <w:fldChar w:fldCharType="begin"/>
        </w:r>
        <w:r w:rsidR="008C0483">
          <w:rPr>
            <w:noProof/>
            <w:webHidden/>
          </w:rPr>
          <w:instrText xml:space="preserve"> PAGEREF _Toc57564499 \h </w:instrText>
        </w:r>
        <w:r w:rsidR="008C0483">
          <w:rPr>
            <w:noProof/>
            <w:webHidden/>
          </w:rPr>
        </w:r>
        <w:r w:rsidR="008C0483">
          <w:rPr>
            <w:noProof/>
            <w:webHidden/>
          </w:rPr>
          <w:fldChar w:fldCharType="separate"/>
        </w:r>
        <w:r w:rsidR="008C0483">
          <w:rPr>
            <w:noProof/>
            <w:webHidden/>
          </w:rPr>
          <w:t>1</w:t>
        </w:r>
        <w:r w:rsidR="008C0483">
          <w:rPr>
            <w:noProof/>
            <w:webHidden/>
          </w:rPr>
          <w:fldChar w:fldCharType="end"/>
        </w:r>
      </w:hyperlink>
    </w:p>
    <w:p w14:paraId="26E216FF" w14:textId="107A6E5B" w:rsidR="008C0483"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564500" w:history="1">
        <w:r w:rsidR="008C0483" w:rsidRPr="00F96DE9">
          <w:rPr>
            <w:rStyle w:val="Hyperlink"/>
            <w:noProof/>
            <w:lang w:val="sr-Cyrl-RS"/>
          </w:rPr>
          <w:t>Слика 2 Институционални оквир</w:t>
        </w:r>
        <w:r w:rsidR="008C0483">
          <w:rPr>
            <w:noProof/>
            <w:webHidden/>
          </w:rPr>
          <w:tab/>
        </w:r>
        <w:r w:rsidR="008C0483">
          <w:rPr>
            <w:noProof/>
            <w:webHidden/>
          </w:rPr>
          <w:fldChar w:fldCharType="begin"/>
        </w:r>
        <w:r w:rsidR="008C0483">
          <w:rPr>
            <w:noProof/>
            <w:webHidden/>
          </w:rPr>
          <w:instrText xml:space="preserve"> PAGEREF _Toc57564500 \h </w:instrText>
        </w:r>
        <w:r w:rsidR="008C0483">
          <w:rPr>
            <w:noProof/>
            <w:webHidden/>
          </w:rPr>
        </w:r>
        <w:r w:rsidR="008C0483">
          <w:rPr>
            <w:noProof/>
            <w:webHidden/>
          </w:rPr>
          <w:fldChar w:fldCharType="separate"/>
        </w:r>
        <w:r w:rsidR="008C0483">
          <w:rPr>
            <w:noProof/>
            <w:webHidden/>
          </w:rPr>
          <w:t>32</w:t>
        </w:r>
        <w:r w:rsidR="008C0483">
          <w:rPr>
            <w:noProof/>
            <w:webHidden/>
          </w:rPr>
          <w:fldChar w:fldCharType="end"/>
        </w:r>
      </w:hyperlink>
    </w:p>
    <w:p w14:paraId="4A99057C" w14:textId="693E374F" w:rsidR="008C0483"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564501" w:history="1">
        <w:r w:rsidR="008C0483" w:rsidRPr="00F96DE9">
          <w:rPr>
            <w:rStyle w:val="Hyperlink"/>
            <w:noProof/>
            <w:lang w:val="sr-Cyrl-RS"/>
          </w:rPr>
          <w:t>Слика 3 ДЈП по Стратегији РЈУ од 2014. године</w:t>
        </w:r>
        <w:r w:rsidR="008C0483">
          <w:rPr>
            <w:noProof/>
            <w:webHidden/>
          </w:rPr>
          <w:tab/>
        </w:r>
        <w:r w:rsidR="008C0483">
          <w:rPr>
            <w:noProof/>
            <w:webHidden/>
          </w:rPr>
          <w:fldChar w:fldCharType="begin"/>
        </w:r>
        <w:r w:rsidR="008C0483">
          <w:rPr>
            <w:noProof/>
            <w:webHidden/>
          </w:rPr>
          <w:instrText xml:space="preserve"> PAGEREF _Toc57564501 \h </w:instrText>
        </w:r>
        <w:r w:rsidR="008C0483">
          <w:rPr>
            <w:noProof/>
            <w:webHidden/>
          </w:rPr>
        </w:r>
        <w:r w:rsidR="008C0483">
          <w:rPr>
            <w:noProof/>
            <w:webHidden/>
          </w:rPr>
          <w:fldChar w:fldCharType="separate"/>
        </w:r>
        <w:r w:rsidR="008C0483">
          <w:rPr>
            <w:noProof/>
            <w:webHidden/>
          </w:rPr>
          <w:t>40</w:t>
        </w:r>
        <w:r w:rsidR="008C0483">
          <w:rPr>
            <w:noProof/>
            <w:webHidden/>
          </w:rPr>
          <w:fldChar w:fldCharType="end"/>
        </w:r>
      </w:hyperlink>
    </w:p>
    <w:p w14:paraId="6B743F82" w14:textId="0AA8F24C" w:rsidR="008C0483"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564502" w:history="1">
        <w:r w:rsidR="008C0483" w:rsidRPr="00F96DE9">
          <w:rPr>
            <w:rStyle w:val="Hyperlink"/>
            <w:noProof/>
            <w:lang w:val="sr-Cyrl-RS"/>
          </w:rPr>
          <w:t>Слика 4 Процес израде Стратегије РЈУ и консултација</w:t>
        </w:r>
        <w:r w:rsidR="008C0483">
          <w:rPr>
            <w:noProof/>
            <w:webHidden/>
          </w:rPr>
          <w:tab/>
        </w:r>
        <w:r w:rsidR="008C0483">
          <w:rPr>
            <w:noProof/>
            <w:webHidden/>
          </w:rPr>
          <w:fldChar w:fldCharType="begin"/>
        </w:r>
        <w:r w:rsidR="008C0483">
          <w:rPr>
            <w:noProof/>
            <w:webHidden/>
          </w:rPr>
          <w:instrText xml:space="preserve"> PAGEREF _Toc57564502 \h </w:instrText>
        </w:r>
        <w:r w:rsidR="008C0483">
          <w:rPr>
            <w:noProof/>
            <w:webHidden/>
          </w:rPr>
        </w:r>
        <w:r w:rsidR="008C0483">
          <w:rPr>
            <w:noProof/>
            <w:webHidden/>
          </w:rPr>
          <w:fldChar w:fldCharType="separate"/>
        </w:r>
        <w:r w:rsidR="008C0483">
          <w:rPr>
            <w:noProof/>
            <w:webHidden/>
          </w:rPr>
          <w:t>205</w:t>
        </w:r>
        <w:r w:rsidR="008C0483">
          <w:rPr>
            <w:noProof/>
            <w:webHidden/>
          </w:rPr>
          <w:fldChar w:fldCharType="end"/>
        </w:r>
      </w:hyperlink>
    </w:p>
    <w:p w14:paraId="65B559C8" w14:textId="2440B9E8" w:rsidR="008C0483"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r:id="rId30" w:anchor="_Toc57564503" w:history="1">
        <w:r w:rsidR="008C0483" w:rsidRPr="00F96DE9">
          <w:rPr>
            <w:rStyle w:val="Hyperlink"/>
            <w:noProof/>
            <w:lang w:val="sr-Cyrl-RS"/>
          </w:rPr>
          <w:t>Слика 5 Процес извештавања о спровођењу Стратегије РЈУ</w:t>
        </w:r>
        <w:r w:rsidR="008C0483">
          <w:rPr>
            <w:noProof/>
            <w:webHidden/>
          </w:rPr>
          <w:tab/>
        </w:r>
        <w:r w:rsidR="008C0483">
          <w:rPr>
            <w:noProof/>
            <w:webHidden/>
          </w:rPr>
          <w:fldChar w:fldCharType="begin"/>
        </w:r>
        <w:r w:rsidR="008C0483">
          <w:rPr>
            <w:noProof/>
            <w:webHidden/>
          </w:rPr>
          <w:instrText xml:space="preserve"> PAGEREF _Toc57564503 \h </w:instrText>
        </w:r>
        <w:r w:rsidR="008C0483">
          <w:rPr>
            <w:noProof/>
            <w:webHidden/>
          </w:rPr>
        </w:r>
        <w:r w:rsidR="008C0483">
          <w:rPr>
            <w:noProof/>
            <w:webHidden/>
          </w:rPr>
          <w:fldChar w:fldCharType="separate"/>
        </w:r>
        <w:r w:rsidR="008C0483">
          <w:rPr>
            <w:noProof/>
            <w:webHidden/>
          </w:rPr>
          <w:t>216</w:t>
        </w:r>
        <w:r w:rsidR="008C0483">
          <w:rPr>
            <w:noProof/>
            <w:webHidden/>
          </w:rPr>
          <w:fldChar w:fldCharType="end"/>
        </w:r>
      </w:hyperlink>
    </w:p>
    <w:p w14:paraId="45A4AE22" w14:textId="77777777" w:rsidR="00CF10A0" w:rsidRDefault="006876AE" w:rsidP="00244E7C">
      <w:pPr>
        <w:rPr>
          <w:noProof/>
        </w:rPr>
      </w:pPr>
      <w:r w:rsidRPr="000F0299">
        <w:fldChar w:fldCharType="end"/>
      </w:r>
      <w:r w:rsidR="008B6676" w:rsidRPr="000F0299">
        <w:fldChar w:fldCharType="begin"/>
      </w:r>
      <w:r w:rsidR="008B6676" w:rsidRPr="000F0299">
        <w:instrText xml:space="preserve"> TOC \h \z \c "Табела" </w:instrText>
      </w:r>
      <w:r w:rsidR="008B6676" w:rsidRPr="000F0299">
        <w:fldChar w:fldCharType="separate"/>
      </w:r>
    </w:p>
    <w:p w14:paraId="59B91ADA" w14:textId="05206DF6"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73" w:history="1">
        <w:r w:rsidR="00CF10A0" w:rsidRPr="00DF0697">
          <w:rPr>
            <w:rStyle w:val="Hyperlink"/>
            <w:noProof/>
            <w:lang w:val="sr-Cyrl-RS"/>
          </w:rPr>
          <w:t>Табела 1 Мапирани важећи и будући ДЈП и други плански документи за област РЈУ</w:t>
        </w:r>
        <w:r w:rsidR="00CF10A0">
          <w:rPr>
            <w:noProof/>
            <w:webHidden/>
          </w:rPr>
          <w:tab/>
        </w:r>
        <w:r w:rsidR="00CF10A0">
          <w:rPr>
            <w:noProof/>
            <w:webHidden/>
          </w:rPr>
          <w:fldChar w:fldCharType="begin"/>
        </w:r>
        <w:r w:rsidR="00CF10A0">
          <w:rPr>
            <w:noProof/>
            <w:webHidden/>
          </w:rPr>
          <w:instrText xml:space="preserve"> PAGEREF _Toc57665373 \h </w:instrText>
        </w:r>
        <w:r w:rsidR="00CF10A0">
          <w:rPr>
            <w:noProof/>
            <w:webHidden/>
          </w:rPr>
        </w:r>
        <w:r w:rsidR="00CF10A0">
          <w:rPr>
            <w:noProof/>
            <w:webHidden/>
          </w:rPr>
          <w:fldChar w:fldCharType="separate"/>
        </w:r>
        <w:r w:rsidR="00CF10A0">
          <w:rPr>
            <w:noProof/>
            <w:webHidden/>
          </w:rPr>
          <w:t>2</w:t>
        </w:r>
        <w:r w:rsidR="00CF10A0">
          <w:rPr>
            <w:noProof/>
            <w:webHidden/>
          </w:rPr>
          <w:fldChar w:fldCharType="end"/>
        </w:r>
      </w:hyperlink>
    </w:p>
    <w:p w14:paraId="2D48087E" w14:textId="23001A81"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74" w:history="1">
        <w:r w:rsidR="00CF10A0" w:rsidRPr="00DF0697">
          <w:rPr>
            <w:rStyle w:val="Hyperlink"/>
            <w:noProof/>
            <w:lang w:val="sr-Cyrl-RS"/>
          </w:rPr>
          <w:t>Табела 2 SWOT Матрица</w:t>
        </w:r>
        <w:r w:rsidR="00CF10A0">
          <w:rPr>
            <w:noProof/>
            <w:webHidden/>
          </w:rPr>
          <w:tab/>
        </w:r>
        <w:r w:rsidR="00CF10A0">
          <w:rPr>
            <w:noProof/>
            <w:webHidden/>
          </w:rPr>
          <w:fldChar w:fldCharType="begin"/>
        </w:r>
        <w:r w:rsidR="00CF10A0">
          <w:rPr>
            <w:noProof/>
            <w:webHidden/>
          </w:rPr>
          <w:instrText xml:space="preserve"> PAGEREF _Toc57665374 \h </w:instrText>
        </w:r>
        <w:r w:rsidR="00CF10A0">
          <w:rPr>
            <w:noProof/>
            <w:webHidden/>
          </w:rPr>
        </w:r>
        <w:r w:rsidR="00CF10A0">
          <w:rPr>
            <w:noProof/>
            <w:webHidden/>
          </w:rPr>
          <w:fldChar w:fldCharType="separate"/>
        </w:r>
        <w:r w:rsidR="00CF10A0">
          <w:rPr>
            <w:noProof/>
            <w:webHidden/>
          </w:rPr>
          <w:t>45</w:t>
        </w:r>
        <w:r w:rsidR="00CF10A0">
          <w:rPr>
            <w:noProof/>
            <w:webHidden/>
          </w:rPr>
          <w:fldChar w:fldCharType="end"/>
        </w:r>
      </w:hyperlink>
    </w:p>
    <w:p w14:paraId="3F7AA7CF" w14:textId="5BF00954"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75" w:history="1">
        <w:r w:rsidR="00CF10A0" w:rsidRPr="00DF0697">
          <w:rPr>
            <w:rStyle w:val="Hyperlink"/>
            <w:noProof/>
            <w:lang w:val="sr-Cyrl-RS"/>
          </w:rPr>
          <w:t>Табела 3 Показатељи исхода за Стратегију РЈУ</w:t>
        </w:r>
        <w:r w:rsidR="00CF10A0">
          <w:rPr>
            <w:noProof/>
            <w:webHidden/>
          </w:rPr>
          <w:tab/>
        </w:r>
        <w:r w:rsidR="00CF10A0">
          <w:rPr>
            <w:noProof/>
            <w:webHidden/>
          </w:rPr>
          <w:fldChar w:fldCharType="begin"/>
        </w:r>
        <w:r w:rsidR="00CF10A0">
          <w:rPr>
            <w:noProof/>
            <w:webHidden/>
          </w:rPr>
          <w:instrText xml:space="preserve"> PAGEREF _Toc57665375 \h </w:instrText>
        </w:r>
        <w:r w:rsidR="00CF10A0">
          <w:rPr>
            <w:noProof/>
            <w:webHidden/>
          </w:rPr>
        </w:r>
        <w:r w:rsidR="00CF10A0">
          <w:rPr>
            <w:noProof/>
            <w:webHidden/>
          </w:rPr>
          <w:fldChar w:fldCharType="separate"/>
        </w:r>
        <w:r w:rsidR="00CF10A0">
          <w:rPr>
            <w:noProof/>
            <w:webHidden/>
          </w:rPr>
          <w:t>52</w:t>
        </w:r>
        <w:r w:rsidR="00CF10A0">
          <w:rPr>
            <w:noProof/>
            <w:webHidden/>
          </w:rPr>
          <w:fldChar w:fldCharType="end"/>
        </w:r>
      </w:hyperlink>
    </w:p>
    <w:p w14:paraId="5F848877" w14:textId="14BC1F64"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76" w:history="1">
        <w:r w:rsidR="00CF10A0" w:rsidRPr="00DF0697">
          <w:rPr>
            <w:rStyle w:val="Hyperlink"/>
            <w:noProof/>
            <w:lang w:val="sr-Cyrl-RS"/>
          </w:rPr>
          <w:t>Табела 4 Трошкови за спровођење Стратегије РЈУ за период 2021-2025</w:t>
        </w:r>
        <w:r w:rsidR="00CF10A0">
          <w:rPr>
            <w:noProof/>
            <w:webHidden/>
          </w:rPr>
          <w:tab/>
        </w:r>
        <w:r w:rsidR="00CF10A0">
          <w:rPr>
            <w:noProof/>
            <w:webHidden/>
          </w:rPr>
          <w:fldChar w:fldCharType="begin"/>
        </w:r>
        <w:r w:rsidR="00CF10A0">
          <w:rPr>
            <w:noProof/>
            <w:webHidden/>
          </w:rPr>
          <w:instrText xml:space="preserve"> PAGEREF _Toc57665376 \h </w:instrText>
        </w:r>
        <w:r w:rsidR="00CF10A0">
          <w:rPr>
            <w:noProof/>
            <w:webHidden/>
          </w:rPr>
        </w:r>
        <w:r w:rsidR="00CF10A0">
          <w:rPr>
            <w:noProof/>
            <w:webHidden/>
          </w:rPr>
          <w:fldChar w:fldCharType="separate"/>
        </w:r>
        <w:r w:rsidR="00CF10A0">
          <w:rPr>
            <w:noProof/>
            <w:webHidden/>
          </w:rPr>
          <w:t>54</w:t>
        </w:r>
        <w:r w:rsidR="00CF10A0">
          <w:rPr>
            <w:noProof/>
            <w:webHidden/>
          </w:rPr>
          <w:fldChar w:fldCharType="end"/>
        </w:r>
      </w:hyperlink>
    </w:p>
    <w:p w14:paraId="7A741604" w14:textId="77C4F8DD"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77" w:history="1">
        <w:r w:rsidR="00CF10A0" w:rsidRPr="00DF0697">
          <w:rPr>
            <w:rStyle w:val="Hyperlink"/>
            <w:noProof/>
            <w:lang w:val="sr-Cyrl-RS"/>
          </w:rPr>
          <w:t>Табела 5 Табела за одабир опције за циљ 2.2.</w:t>
        </w:r>
        <w:r w:rsidR="00CF10A0">
          <w:rPr>
            <w:noProof/>
            <w:webHidden/>
          </w:rPr>
          <w:tab/>
        </w:r>
        <w:r w:rsidR="00CF10A0">
          <w:rPr>
            <w:noProof/>
            <w:webHidden/>
          </w:rPr>
          <w:fldChar w:fldCharType="begin"/>
        </w:r>
        <w:r w:rsidR="00CF10A0">
          <w:rPr>
            <w:noProof/>
            <w:webHidden/>
          </w:rPr>
          <w:instrText xml:space="preserve"> PAGEREF _Toc57665377 \h </w:instrText>
        </w:r>
        <w:r w:rsidR="00CF10A0">
          <w:rPr>
            <w:noProof/>
            <w:webHidden/>
          </w:rPr>
        </w:r>
        <w:r w:rsidR="00CF10A0">
          <w:rPr>
            <w:noProof/>
            <w:webHidden/>
          </w:rPr>
          <w:fldChar w:fldCharType="separate"/>
        </w:r>
        <w:r w:rsidR="00CF10A0">
          <w:rPr>
            <w:noProof/>
            <w:webHidden/>
          </w:rPr>
          <w:t>118</w:t>
        </w:r>
        <w:r w:rsidR="00CF10A0">
          <w:rPr>
            <w:noProof/>
            <w:webHidden/>
          </w:rPr>
          <w:fldChar w:fldCharType="end"/>
        </w:r>
      </w:hyperlink>
    </w:p>
    <w:p w14:paraId="527DA105" w14:textId="793612E3"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78" w:history="1">
        <w:r w:rsidR="00CF10A0" w:rsidRPr="00DF0697">
          <w:rPr>
            <w:rStyle w:val="Hyperlink"/>
            <w:noProof/>
          </w:rPr>
          <w:t>Табела 6 Прорачун трошкова за опције</w:t>
        </w:r>
        <w:r w:rsidR="00CF10A0">
          <w:rPr>
            <w:noProof/>
            <w:webHidden/>
          </w:rPr>
          <w:tab/>
        </w:r>
        <w:r w:rsidR="00CF10A0">
          <w:rPr>
            <w:noProof/>
            <w:webHidden/>
          </w:rPr>
          <w:fldChar w:fldCharType="begin"/>
        </w:r>
        <w:r w:rsidR="00CF10A0">
          <w:rPr>
            <w:noProof/>
            <w:webHidden/>
          </w:rPr>
          <w:instrText xml:space="preserve"> PAGEREF _Toc57665378 \h </w:instrText>
        </w:r>
        <w:r w:rsidR="00CF10A0">
          <w:rPr>
            <w:noProof/>
            <w:webHidden/>
          </w:rPr>
        </w:r>
        <w:r w:rsidR="00CF10A0">
          <w:rPr>
            <w:noProof/>
            <w:webHidden/>
          </w:rPr>
          <w:fldChar w:fldCharType="separate"/>
        </w:r>
        <w:r w:rsidR="00CF10A0">
          <w:rPr>
            <w:noProof/>
            <w:webHidden/>
          </w:rPr>
          <w:t>147</w:t>
        </w:r>
        <w:r w:rsidR="00CF10A0">
          <w:rPr>
            <w:noProof/>
            <w:webHidden/>
          </w:rPr>
          <w:fldChar w:fldCharType="end"/>
        </w:r>
      </w:hyperlink>
    </w:p>
    <w:p w14:paraId="3897298A" w14:textId="79433F4C"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79" w:history="1">
        <w:r w:rsidR="00CF10A0" w:rsidRPr="00DF0697">
          <w:rPr>
            <w:rStyle w:val="Hyperlink"/>
            <w:noProof/>
          </w:rPr>
          <w:t>Табела 7 Табела за одабир опције за циљ 3.1.</w:t>
        </w:r>
        <w:r w:rsidR="00CF10A0">
          <w:rPr>
            <w:noProof/>
            <w:webHidden/>
          </w:rPr>
          <w:tab/>
        </w:r>
        <w:r w:rsidR="00CF10A0">
          <w:rPr>
            <w:noProof/>
            <w:webHidden/>
          </w:rPr>
          <w:fldChar w:fldCharType="begin"/>
        </w:r>
        <w:r w:rsidR="00CF10A0">
          <w:rPr>
            <w:noProof/>
            <w:webHidden/>
          </w:rPr>
          <w:instrText xml:space="preserve"> PAGEREF _Toc57665379 \h </w:instrText>
        </w:r>
        <w:r w:rsidR="00CF10A0">
          <w:rPr>
            <w:noProof/>
            <w:webHidden/>
          </w:rPr>
        </w:r>
        <w:r w:rsidR="00CF10A0">
          <w:rPr>
            <w:noProof/>
            <w:webHidden/>
          </w:rPr>
          <w:fldChar w:fldCharType="separate"/>
        </w:r>
        <w:r w:rsidR="00CF10A0">
          <w:rPr>
            <w:noProof/>
            <w:webHidden/>
          </w:rPr>
          <w:t>148</w:t>
        </w:r>
        <w:r w:rsidR="00CF10A0">
          <w:rPr>
            <w:noProof/>
            <w:webHidden/>
          </w:rPr>
          <w:fldChar w:fldCharType="end"/>
        </w:r>
      </w:hyperlink>
    </w:p>
    <w:p w14:paraId="1A215C1E" w14:textId="0E8AC0D2"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80" w:history="1">
        <w:r w:rsidR="00CF10A0" w:rsidRPr="00DF0697">
          <w:rPr>
            <w:rStyle w:val="Hyperlink"/>
            <w:noProof/>
            <w:lang w:val="sr-Cyrl-RS"/>
          </w:rPr>
          <w:t>Табела 8. Табела за одабир опције за циљ 4.1.</w:t>
        </w:r>
        <w:r w:rsidR="00CF10A0">
          <w:rPr>
            <w:noProof/>
            <w:webHidden/>
          </w:rPr>
          <w:tab/>
        </w:r>
        <w:r w:rsidR="00CF10A0">
          <w:rPr>
            <w:noProof/>
            <w:webHidden/>
          </w:rPr>
          <w:fldChar w:fldCharType="begin"/>
        </w:r>
        <w:r w:rsidR="00CF10A0">
          <w:rPr>
            <w:noProof/>
            <w:webHidden/>
          </w:rPr>
          <w:instrText xml:space="preserve"> PAGEREF _Toc57665380 \h </w:instrText>
        </w:r>
        <w:r w:rsidR="00CF10A0">
          <w:rPr>
            <w:noProof/>
            <w:webHidden/>
          </w:rPr>
        </w:r>
        <w:r w:rsidR="00CF10A0">
          <w:rPr>
            <w:noProof/>
            <w:webHidden/>
          </w:rPr>
          <w:fldChar w:fldCharType="separate"/>
        </w:r>
        <w:r w:rsidR="00CF10A0">
          <w:rPr>
            <w:noProof/>
            <w:webHidden/>
          </w:rPr>
          <w:t>169</w:t>
        </w:r>
        <w:r w:rsidR="00CF10A0">
          <w:rPr>
            <w:noProof/>
            <w:webHidden/>
          </w:rPr>
          <w:fldChar w:fldCharType="end"/>
        </w:r>
      </w:hyperlink>
    </w:p>
    <w:p w14:paraId="0CD79B3B" w14:textId="6D082507" w:rsidR="00CF10A0" w:rsidRDefault="00F47F65">
      <w:pPr>
        <w:pStyle w:val="TableofFigures"/>
        <w:tabs>
          <w:tab w:val="right" w:leader="dot" w:pos="9016"/>
        </w:tabs>
        <w:rPr>
          <w:rFonts w:asciiTheme="minorHAnsi" w:eastAsiaTheme="minorEastAsia" w:hAnsiTheme="minorHAnsi" w:cstheme="minorBidi"/>
          <w:i w:val="0"/>
          <w:iCs w:val="0"/>
          <w:noProof/>
          <w:kern w:val="0"/>
          <w:sz w:val="22"/>
          <w:szCs w:val="22"/>
          <w:lang w:val="en-GB" w:eastAsia="en-GB" w:bidi="ar-SA"/>
        </w:rPr>
      </w:pPr>
      <w:hyperlink w:anchor="_Toc57665381" w:history="1">
        <w:r w:rsidR="00CF10A0" w:rsidRPr="00DF0697">
          <w:rPr>
            <w:rStyle w:val="Hyperlink"/>
            <w:noProof/>
            <w:lang w:val="sr-Cyrl-RS"/>
          </w:rPr>
          <w:t>Табела 9 Анализа ризика</w:t>
        </w:r>
        <w:r w:rsidR="00CF10A0">
          <w:rPr>
            <w:noProof/>
            <w:webHidden/>
          </w:rPr>
          <w:tab/>
        </w:r>
        <w:r w:rsidR="00CF10A0">
          <w:rPr>
            <w:noProof/>
            <w:webHidden/>
          </w:rPr>
          <w:fldChar w:fldCharType="begin"/>
        </w:r>
        <w:r w:rsidR="00CF10A0">
          <w:rPr>
            <w:noProof/>
            <w:webHidden/>
          </w:rPr>
          <w:instrText xml:space="preserve"> PAGEREF _Toc57665381 \h </w:instrText>
        </w:r>
        <w:r w:rsidR="00CF10A0">
          <w:rPr>
            <w:noProof/>
            <w:webHidden/>
          </w:rPr>
        </w:r>
        <w:r w:rsidR="00CF10A0">
          <w:rPr>
            <w:noProof/>
            <w:webHidden/>
          </w:rPr>
          <w:fldChar w:fldCharType="separate"/>
        </w:r>
        <w:r w:rsidR="00CF10A0">
          <w:rPr>
            <w:noProof/>
            <w:webHidden/>
          </w:rPr>
          <w:t>219</w:t>
        </w:r>
        <w:r w:rsidR="00CF10A0">
          <w:rPr>
            <w:noProof/>
            <w:webHidden/>
          </w:rPr>
          <w:fldChar w:fldCharType="end"/>
        </w:r>
      </w:hyperlink>
    </w:p>
    <w:p w14:paraId="63A3B690" w14:textId="3A9479F1" w:rsidR="006876AE" w:rsidRPr="000F0299" w:rsidRDefault="008B6676" w:rsidP="00244E7C">
      <w:r w:rsidRPr="000F0299">
        <w:fldChar w:fldCharType="end"/>
      </w:r>
    </w:p>
    <w:p w14:paraId="48B62366" w14:textId="77777777" w:rsidR="0037189F" w:rsidRPr="000F0299" w:rsidRDefault="0037189F" w:rsidP="00244E7C"/>
    <w:p w14:paraId="5B55197A" w14:textId="1BC2DFE5" w:rsidR="00CF10A0" w:rsidRDefault="00CF10A0" w:rsidP="00CF10A0">
      <w:pPr>
        <w:jc w:val="center"/>
      </w:pPr>
    </w:p>
    <w:p w14:paraId="1E14281D" w14:textId="46B0A514" w:rsidR="0037189F" w:rsidRPr="00CF10A0" w:rsidRDefault="00CF10A0" w:rsidP="00CF10A0">
      <w:pPr>
        <w:tabs>
          <w:tab w:val="center" w:pos="4691"/>
        </w:tabs>
        <w:sectPr w:rsidR="0037189F" w:rsidRPr="00CF10A0" w:rsidSect="009E6E95">
          <w:footerReference w:type="default" r:id="rId31"/>
          <w:pgSz w:w="11906" w:h="16838"/>
          <w:pgMar w:top="1440" w:right="1440" w:bottom="1440" w:left="1440" w:header="708" w:footer="708" w:gutter="0"/>
          <w:cols w:space="708"/>
          <w:docGrid w:linePitch="360"/>
        </w:sectPr>
      </w:pPr>
      <w:r>
        <w:tab/>
      </w:r>
    </w:p>
    <w:p w14:paraId="49512797" w14:textId="083B75D4" w:rsidR="00052FDA" w:rsidRPr="000F0299" w:rsidRDefault="00924645" w:rsidP="009E6E95">
      <w:pPr>
        <w:rPr>
          <w:b/>
          <w:bCs/>
          <w:color w:val="2F5496" w:themeColor="accent1" w:themeShade="BF"/>
          <w:sz w:val="40"/>
          <w:szCs w:val="40"/>
        </w:rPr>
      </w:pPr>
      <w:r w:rsidRPr="000F0299">
        <w:rPr>
          <w:b/>
          <w:bCs/>
          <w:color w:val="2F5496" w:themeColor="accent1" w:themeShade="BF"/>
          <w:sz w:val="40"/>
          <w:szCs w:val="40"/>
        </w:rPr>
        <w:t>Листа скраћеница</w:t>
      </w:r>
    </w:p>
    <w:p w14:paraId="6C23FAB0" w14:textId="77777777" w:rsidR="009E6E95" w:rsidRPr="000F0299" w:rsidRDefault="009E6E95" w:rsidP="009E6E95"/>
    <w:tbl>
      <w:tblPr>
        <w:tblW w:w="0" w:type="auto"/>
        <w:tblInd w:w="108"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000" w:firstRow="0" w:lastRow="0" w:firstColumn="0" w:lastColumn="0" w:noHBand="0" w:noVBand="0"/>
      </w:tblPr>
      <w:tblGrid>
        <w:gridCol w:w="1197"/>
        <w:gridCol w:w="7757"/>
      </w:tblGrid>
      <w:tr w:rsidR="00D4266E" w:rsidRPr="000F0299" w14:paraId="17339FBC" w14:textId="77777777" w:rsidTr="00D4266E">
        <w:tc>
          <w:tcPr>
            <w:tcW w:w="1197" w:type="dxa"/>
            <w:shd w:val="clear" w:color="auto" w:fill="auto"/>
          </w:tcPr>
          <w:p w14:paraId="0FE46C5C"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АП</w:t>
            </w:r>
          </w:p>
        </w:tc>
        <w:tc>
          <w:tcPr>
            <w:tcW w:w="7757" w:type="dxa"/>
            <w:shd w:val="clear" w:color="auto" w:fill="auto"/>
          </w:tcPr>
          <w:p w14:paraId="491DCC4E"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Акциони план</w:t>
            </w:r>
          </w:p>
        </w:tc>
      </w:tr>
      <w:tr w:rsidR="00D4266E" w:rsidRPr="000F0299" w14:paraId="1B76B10B" w14:textId="77777777" w:rsidTr="00D4266E">
        <w:tc>
          <w:tcPr>
            <w:tcW w:w="1197" w:type="dxa"/>
            <w:shd w:val="clear" w:color="auto" w:fill="auto"/>
          </w:tcPr>
          <w:p w14:paraId="3283A925"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АПСПВ</w:t>
            </w:r>
          </w:p>
        </w:tc>
        <w:tc>
          <w:tcPr>
            <w:tcW w:w="7757" w:type="dxa"/>
            <w:shd w:val="clear" w:color="auto" w:fill="auto"/>
          </w:tcPr>
          <w:p w14:paraId="7FFCAC9B"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Акциони план за спровођење Програма Владе</w:t>
            </w:r>
          </w:p>
        </w:tc>
      </w:tr>
      <w:tr w:rsidR="00D4266E" w:rsidRPr="000F0299" w14:paraId="7CA60593" w14:textId="77777777" w:rsidTr="00D4266E">
        <w:tc>
          <w:tcPr>
            <w:tcW w:w="1197" w:type="dxa"/>
            <w:shd w:val="clear" w:color="auto" w:fill="auto"/>
          </w:tcPr>
          <w:p w14:paraId="4C493B1E"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БДП</w:t>
            </w:r>
          </w:p>
        </w:tc>
        <w:tc>
          <w:tcPr>
            <w:tcW w:w="7757" w:type="dxa"/>
            <w:shd w:val="clear" w:color="auto" w:fill="auto"/>
          </w:tcPr>
          <w:p w14:paraId="306DBADA"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Бруто домаћи производ</w:t>
            </w:r>
          </w:p>
        </w:tc>
      </w:tr>
      <w:tr w:rsidR="00D4266E" w:rsidRPr="000F0299" w14:paraId="6F639766" w14:textId="77777777" w:rsidTr="00D4266E">
        <w:tc>
          <w:tcPr>
            <w:tcW w:w="1197" w:type="dxa"/>
            <w:shd w:val="clear" w:color="auto" w:fill="auto"/>
          </w:tcPr>
          <w:p w14:paraId="0830C414"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ГИЗ</w:t>
            </w:r>
          </w:p>
        </w:tc>
        <w:tc>
          <w:tcPr>
            <w:tcW w:w="7757" w:type="dxa"/>
            <w:shd w:val="clear" w:color="auto" w:fill="auto"/>
          </w:tcPr>
          <w:p w14:paraId="51DEE77D"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Немачка организација за међународну сарадњу</w:t>
            </w:r>
          </w:p>
        </w:tc>
      </w:tr>
      <w:tr w:rsidR="00D4266E" w:rsidRPr="000F0299" w14:paraId="6F306B60" w14:textId="77777777" w:rsidTr="00D4266E">
        <w:tc>
          <w:tcPr>
            <w:tcW w:w="1197" w:type="dxa"/>
            <w:shd w:val="clear" w:color="auto" w:fill="auto"/>
          </w:tcPr>
          <w:p w14:paraId="5AB420F5"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ДЈП</w:t>
            </w:r>
          </w:p>
        </w:tc>
        <w:tc>
          <w:tcPr>
            <w:tcW w:w="7757" w:type="dxa"/>
            <w:shd w:val="clear" w:color="auto" w:fill="auto"/>
          </w:tcPr>
          <w:p w14:paraId="4B614F6A"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Документ јавне политике</w:t>
            </w:r>
          </w:p>
        </w:tc>
      </w:tr>
      <w:tr w:rsidR="00D4266E" w:rsidRPr="000F0299" w14:paraId="1CAE3577" w14:textId="77777777" w:rsidTr="00D4266E">
        <w:tc>
          <w:tcPr>
            <w:tcW w:w="1197" w:type="dxa"/>
            <w:shd w:val="clear" w:color="auto" w:fill="auto"/>
          </w:tcPr>
          <w:p w14:paraId="2F9421DC"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ДРИ</w:t>
            </w:r>
          </w:p>
        </w:tc>
        <w:tc>
          <w:tcPr>
            <w:tcW w:w="7757" w:type="dxa"/>
            <w:shd w:val="clear" w:color="auto" w:fill="auto"/>
          </w:tcPr>
          <w:p w14:paraId="60E3C29F"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Државна ревизорска институција</w:t>
            </w:r>
          </w:p>
        </w:tc>
      </w:tr>
      <w:tr w:rsidR="00D4266E" w:rsidRPr="000F0299" w14:paraId="3298471F" w14:textId="77777777" w:rsidTr="00D4266E">
        <w:tc>
          <w:tcPr>
            <w:tcW w:w="1197" w:type="dxa"/>
            <w:shd w:val="clear" w:color="auto" w:fill="auto"/>
          </w:tcPr>
          <w:p w14:paraId="6245D8B1"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ДСП</w:t>
            </w:r>
          </w:p>
        </w:tc>
        <w:tc>
          <w:tcPr>
            <w:tcW w:w="7757" w:type="dxa"/>
            <w:shd w:val="clear" w:color="auto" w:fill="auto"/>
          </w:tcPr>
          <w:p w14:paraId="2C96DC90"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Државни службеник на положају</w:t>
            </w:r>
          </w:p>
        </w:tc>
      </w:tr>
      <w:tr w:rsidR="00D4266E" w:rsidRPr="000F0299" w14:paraId="3602E2DC" w14:textId="77777777" w:rsidTr="00D4266E">
        <w:tc>
          <w:tcPr>
            <w:tcW w:w="1197" w:type="dxa"/>
            <w:shd w:val="clear" w:color="auto" w:fill="auto"/>
          </w:tcPr>
          <w:p w14:paraId="16ED3CB1"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ЕК</w:t>
            </w:r>
          </w:p>
        </w:tc>
        <w:tc>
          <w:tcPr>
            <w:tcW w:w="7757" w:type="dxa"/>
            <w:shd w:val="clear" w:color="auto" w:fill="auto"/>
          </w:tcPr>
          <w:p w14:paraId="263E1045"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Европска комисија</w:t>
            </w:r>
          </w:p>
        </w:tc>
      </w:tr>
      <w:tr w:rsidR="00D4266E" w:rsidRPr="000F0299" w14:paraId="319FDED3" w14:textId="77777777" w:rsidTr="00D4266E">
        <w:tc>
          <w:tcPr>
            <w:tcW w:w="1197" w:type="dxa"/>
            <w:shd w:val="clear" w:color="auto" w:fill="auto"/>
          </w:tcPr>
          <w:p w14:paraId="27C5E9D1"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ЕУ</w:t>
            </w:r>
          </w:p>
        </w:tc>
        <w:tc>
          <w:tcPr>
            <w:tcW w:w="7757" w:type="dxa"/>
            <w:shd w:val="clear" w:color="auto" w:fill="auto"/>
          </w:tcPr>
          <w:p w14:paraId="6EA7ACDF"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Европска унија</w:t>
            </w:r>
          </w:p>
        </w:tc>
      </w:tr>
      <w:tr w:rsidR="00D4266E" w:rsidRPr="000F0299" w14:paraId="5E280ADB" w14:textId="77777777" w:rsidTr="00D4266E">
        <w:tc>
          <w:tcPr>
            <w:tcW w:w="1197" w:type="dxa"/>
            <w:shd w:val="clear" w:color="auto" w:fill="auto"/>
          </w:tcPr>
          <w:p w14:paraId="5D340936"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ЗБС</w:t>
            </w:r>
          </w:p>
        </w:tc>
        <w:tc>
          <w:tcPr>
            <w:tcW w:w="7757" w:type="dxa"/>
            <w:shd w:val="clear" w:color="auto" w:fill="auto"/>
          </w:tcPr>
          <w:p w14:paraId="30523E2D"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 xml:space="preserve">Закон о буџетском систему </w:t>
            </w:r>
          </w:p>
        </w:tc>
      </w:tr>
      <w:tr w:rsidR="00D4266E" w:rsidRPr="000F0299" w14:paraId="53327E39" w14:textId="77777777" w:rsidTr="00D4266E">
        <w:tc>
          <w:tcPr>
            <w:tcW w:w="1197" w:type="dxa"/>
            <w:shd w:val="clear" w:color="auto" w:fill="auto"/>
          </w:tcPr>
          <w:p w14:paraId="41354A7A"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ЗПС</w:t>
            </w:r>
          </w:p>
        </w:tc>
        <w:tc>
          <w:tcPr>
            <w:tcW w:w="7757" w:type="dxa"/>
            <w:shd w:val="clear" w:color="auto" w:fill="auto"/>
          </w:tcPr>
          <w:p w14:paraId="3476F8C5"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Закон о планском систему</w:t>
            </w:r>
          </w:p>
        </w:tc>
      </w:tr>
      <w:tr w:rsidR="00D4266E" w:rsidRPr="000F0299" w14:paraId="5A4B5315" w14:textId="77777777" w:rsidTr="00D4266E">
        <w:tc>
          <w:tcPr>
            <w:tcW w:w="1197" w:type="dxa"/>
            <w:shd w:val="clear" w:color="auto" w:fill="auto"/>
          </w:tcPr>
          <w:p w14:paraId="532136AF"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ИКТ</w:t>
            </w:r>
          </w:p>
        </w:tc>
        <w:tc>
          <w:tcPr>
            <w:tcW w:w="7757" w:type="dxa"/>
            <w:shd w:val="clear" w:color="auto" w:fill="auto"/>
          </w:tcPr>
          <w:p w14:paraId="3C3BB995"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Информационо-комуникационе технологије</w:t>
            </w:r>
          </w:p>
        </w:tc>
      </w:tr>
      <w:tr w:rsidR="00D4266E" w:rsidRPr="000F0299" w14:paraId="762D7F74" w14:textId="77777777" w:rsidTr="00D4266E">
        <w:tc>
          <w:tcPr>
            <w:tcW w:w="1197" w:type="dxa"/>
            <w:shd w:val="clear" w:color="auto" w:fill="auto"/>
          </w:tcPr>
          <w:p w14:paraId="16BF312F" w14:textId="33EB4563" w:rsidR="00D4266E" w:rsidRPr="00B774F7" w:rsidRDefault="00AA6340" w:rsidP="00D4266E">
            <w:pPr>
              <w:suppressAutoHyphens w:val="0"/>
              <w:autoSpaceDN/>
              <w:spacing w:before="84" w:beforeAutospacing="1" w:after="84" w:afterAutospacing="1"/>
              <w:ind w:firstLine="0"/>
              <w:textAlignment w:val="auto"/>
              <w:rPr>
                <w:rFonts w:eastAsia="Times New Roman"/>
                <w:kern w:val="0"/>
                <w:lang w:eastAsia="de-DE" w:bidi="ar-SA"/>
              </w:rPr>
            </w:pPr>
            <w:r w:rsidRPr="00B774F7">
              <w:rPr>
                <w:rFonts w:eastAsia="Times New Roman"/>
                <w:i/>
                <w:kern w:val="0"/>
                <w:lang w:eastAsia="de-DE" w:bidi="ar-SA"/>
              </w:rPr>
              <w:t>IPA</w:t>
            </w:r>
          </w:p>
        </w:tc>
        <w:tc>
          <w:tcPr>
            <w:tcW w:w="7757" w:type="dxa"/>
            <w:shd w:val="clear" w:color="auto" w:fill="auto"/>
          </w:tcPr>
          <w:p w14:paraId="3FCEA8C6" w14:textId="77777777" w:rsidR="00D4266E" w:rsidRPr="00B774F7"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B774F7">
              <w:rPr>
                <w:rFonts w:eastAsia="Times New Roman"/>
                <w:kern w:val="0"/>
                <w:lang w:eastAsia="de-DE" w:bidi="ar-SA"/>
              </w:rPr>
              <w:t>Инструмент за претприступну помоћ ЕУ</w:t>
            </w:r>
          </w:p>
        </w:tc>
      </w:tr>
      <w:tr w:rsidR="00D4266E" w:rsidRPr="000F0299" w14:paraId="5B44F197" w14:textId="77777777" w:rsidTr="00D4266E">
        <w:tc>
          <w:tcPr>
            <w:tcW w:w="1197" w:type="dxa"/>
            <w:shd w:val="clear" w:color="auto" w:fill="auto"/>
          </w:tcPr>
          <w:p w14:paraId="4A7F88F0"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ИТР</w:t>
            </w:r>
          </w:p>
        </w:tc>
        <w:tc>
          <w:tcPr>
            <w:tcW w:w="7757" w:type="dxa"/>
            <w:shd w:val="clear" w:color="auto" w:fill="auto"/>
          </w:tcPr>
          <w:p w14:paraId="19B54C83"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Интерно тржиште рада</w:t>
            </w:r>
          </w:p>
        </w:tc>
      </w:tr>
      <w:tr w:rsidR="00D4266E" w:rsidRPr="000F0299" w14:paraId="0EF46A5B" w14:textId="77777777" w:rsidTr="00D4266E">
        <w:tc>
          <w:tcPr>
            <w:tcW w:w="1197" w:type="dxa"/>
            <w:shd w:val="clear" w:color="auto" w:fill="auto"/>
          </w:tcPr>
          <w:p w14:paraId="7EF509F0"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ИФКЈ</w:t>
            </w:r>
          </w:p>
        </w:tc>
        <w:tc>
          <w:tcPr>
            <w:tcW w:w="7757" w:type="dxa"/>
            <w:shd w:val="clear" w:color="auto" w:fill="auto"/>
          </w:tcPr>
          <w:p w14:paraId="198B4575"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 xml:space="preserve">Интерна финансијска контрола у јавном сектору </w:t>
            </w:r>
          </w:p>
        </w:tc>
      </w:tr>
      <w:tr w:rsidR="00D4266E" w:rsidRPr="000F0299" w14:paraId="40D2A3FD" w14:textId="77777777" w:rsidTr="00D4266E">
        <w:tc>
          <w:tcPr>
            <w:tcW w:w="1197" w:type="dxa"/>
            <w:shd w:val="clear" w:color="auto" w:fill="auto"/>
          </w:tcPr>
          <w:p w14:paraId="51A0D829"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ЈИС</w:t>
            </w:r>
          </w:p>
        </w:tc>
        <w:tc>
          <w:tcPr>
            <w:tcW w:w="7757" w:type="dxa"/>
            <w:shd w:val="clear" w:color="auto" w:fill="auto"/>
          </w:tcPr>
          <w:p w14:paraId="22917217"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Јединствени информациони систем за планирање и координацију јавних политика</w:t>
            </w:r>
          </w:p>
        </w:tc>
      </w:tr>
      <w:tr w:rsidR="00D4266E" w:rsidRPr="000F0299" w14:paraId="1A67B975" w14:textId="77777777" w:rsidTr="00D4266E">
        <w:tc>
          <w:tcPr>
            <w:tcW w:w="1197" w:type="dxa"/>
            <w:shd w:val="clear" w:color="auto" w:fill="auto"/>
          </w:tcPr>
          <w:p w14:paraId="6BE9ED42"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ЈЛС</w:t>
            </w:r>
          </w:p>
        </w:tc>
        <w:tc>
          <w:tcPr>
            <w:tcW w:w="7757" w:type="dxa"/>
            <w:shd w:val="clear" w:color="auto" w:fill="auto"/>
          </w:tcPr>
          <w:p w14:paraId="084000B4"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Јединица локалне самоуправе</w:t>
            </w:r>
          </w:p>
        </w:tc>
      </w:tr>
      <w:tr w:rsidR="00D4266E" w:rsidRPr="000F0299" w14:paraId="664FAE00" w14:textId="77777777" w:rsidTr="00D4266E">
        <w:tc>
          <w:tcPr>
            <w:tcW w:w="1197" w:type="dxa"/>
            <w:shd w:val="clear" w:color="auto" w:fill="auto"/>
          </w:tcPr>
          <w:p w14:paraId="18427C99"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ЈУМ</w:t>
            </w:r>
          </w:p>
        </w:tc>
        <w:tc>
          <w:tcPr>
            <w:tcW w:w="7757" w:type="dxa"/>
            <w:shd w:val="clear" w:color="auto" w:fill="auto"/>
          </w:tcPr>
          <w:p w14:paraId="49B2AACF"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Јединствена управна места</w:t>
            </w:r>
          </w:p>
        </w:tc>
      </w:tr>
      <w:tr w:rsidR="008F36EC" w:rsidRPr="000F0299" w14:paraId="3DB725E0" w14:textId="77777777" w:rsidTr="00D4266E">
        <w:tc>
          <w:tcPr>
            <w:tcW w:w="1197" w:type="dxa"/>
            <w:shd w:val="clear" w:color="auto" w:fill="auto"/>
          </w:tcPr>
          <w:p w14:paraId="16ECD560" w14:textId="66A07F43" w:rsidR="008F36EC" w:rsidRPr="008F36EC" w:rsidRDefault="008F36EC" w:rsidP="00D4266E">
            <w:pPr>
              <w:suppressAutoHyphens w:val="0"/>
              <w:autoSpaceDN/>
              <w:spacing w:before="84" w:beforeAutospacing="1" w:after="84" w:afterAutospacing="1"/>
              <w:ind w:firstLine="0"/>
              <w:textAlignment w:val="auto"/>
              <w:rPr>
                <w:rFonts w:eastAsia="Times New Roman"/>
                <w:kern w:val="0"/>
                <w:lang w:eastAsia="de-DE" w:bidi="ar-SA"/>
              </w:rPr>
            </w:pPr>
            <w:r>
              <w:rPr>
                <w:rFonts w:eastAsia="Times New Roman"/>
                <w:kern w:val="0"/>
                <w:lang w:eastAsia="de-DE" w:bidi="ar-SA"/>
              </w:rPr>
              <w:t>КИТЕУ</w:t>
            </w:r>
          </w:p>
        </w:tc>
        <w:tc>
          <w:tcPr>
            <w:tcW w:w="7757" w:type="dxa"/>
            <w:shd w:val="clear" w:color="auto" w:fill="auto"/>
          </w:tcPr>
          <w:p w14:paraId="16C27960" w14:textId="5B212A09" w:rsidR="008F36EC" w:rsidRPr="000F0299" w:rsidRDefault="008F36EC" w:rsidP="00D4266E">
            <w:pPr>
              <w:suppressAutoHyphens w:val="0"/>
              <w:autoSpaceDN/>
              <w:spacing w:before="84" w:beforeAutospacing="1" w:after="84" w:afterAutospacing="1"/>
              <w:ind w:firstLine="0"/>
              <w:textAlignment w:val="auto"/>
              <w:rPr>
                <w:rFonts w:eastAsia="Times New Roman"/>
                <w:kern w:val="0"/>
                <w:lang w:eastAsia="de-DE" w:bidi="ar-SA"/>
              </w:rPr>
            </w:pPr>
            <w:r>
              <w:rPr>
                <w:rFonts w:eastAsia="Times New Roman"/>
                <w:kern w:val="0"/>
                <w:lang w:eastAsia="de-DE" w:bidi="ar-SA"/>
              </w:rPr>
              <w:t>Канцеларија за информациону технологију и електронску управу</w:t>
            </w:r>
          </w:p>
        </w:tc>
      </w:tr>
      <w:tr w:rsidR="00D4266E" w:rsidRPr="000F0299" w14:paraId="795B63DF" w14:textId="77777777" w:rsidTr="00D4266E">
        <w:tc>
          <w:tcPr>
            <w:tcW w:w="1197" w:type="dxa"/>
            <w:shd w:val="clear" w:color="auto" w:fill="auto"/>
          </w:tcPr>
          <w:p w14:paraId="19D317EF"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ЛС</w:t>
            </w:r>
          </w:p>
        </w:tc>
        <w:tc>
          <w:tcPr>
            <w:tcW w:w="7757" w:type="dxa"/>
            <w:shd w:val="clear" w:color="auto" w:fill="auto"/>
          </w:tcPr>
          <w:p w14:paraId="5249EECF"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Локална самоуправа</w:t>
            </w:r>
          </w:p>
        </w:tc>
      </w:tr>
      <w:tr w:rsidR="00D4266E" w:rsidRPr="000F0299" w14:paraId="2BA9BCF2" w14:textId="77777777" w:rsidTr="00D4266E">
        <w:tc>
          <w:tcPr>
            <w:tcW w:w="1197" w:type="dxa"/>
            <w:shd w:val="clear" w:color="auto" w:fill="auto"/>
          </w:tcPr>
          <w:p w14:paraId="421358B3"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МДУЛС</w:t>
            </w:r>
          </w:p>
        </w:tc>
        <w:tc>
          <w:tcPr>
            <w:tcW w:w="7757" w:type="dxa"/>
            <w:shd w:val="clear" w:color="auto" w:fill="auto"/>
          </w:tcPr>
          <w:p w14:paraId="7B3E9A13"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Министарство државне управе и локалне самоуправе</w:t>
            </w:r>
          </w:p>
        </w:tc>
      </w:tr>
      <w:tr w:rsidR="00D4266E" w:rsidRPr="000F0299" w14:paraId="6FA1E895" w14:textId="77777777" w:rsidTr="00D4266E">
        <w:tc>
          <w:tcPr>
            <w:tcW w:w="1197" w:type="dxa"/>
            <w:shd w:val="clear" w:color="auto" w:fill="auto"/>
          </w:tcPr>
          <w:p w14:paraId="29C25513"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МЕИ</w:t>
            </w:r>
          </w:p>
        </w:tc>
        <w:tc>
          <w:tcPr>
            <w:tcW w:w="7757" w:type="dxa"/>
            <w:shd w:val="clear" w:color="auto" w:fill="auto"/>
          </w:tcPr>
          <w:p w14:paraId="1F46867B"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Министарство за европске интеграције</w:t>
            </w:r>
          </w:p>
        </w:tc>
      </w:tr>
      <w:tr w:rsidR="00D4266E" w:rsidRPr="000F0299" w14:paraId="1FEF7681" w14:textId="77777777" w:rsidTr="00D4266E">
        <w:tc>
          <w:tcPr>
            <w:tcW w:w="1197" w:type="dxa"/>
            <w:shd w:val="clear" w:color="auto" w:fill="auto"/>
          </w:tcPr>
          <w:p w14:paraId="31649C68"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ММФ</w:t>
            </w:r>
          </w:p>
        </w:tc>
        <w:tc>
          <w:tcPr>
            <w:tcW w:w="7757" w:type="dxa"/>
            <w:shd w:val="clear" w:color="auto" w:fill="auto"/>
          </w:tcPr>
          <w:p w14:paraId="7BD11A6B"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Међународни монетарни фонд</w:t>
            </w:r>
          </w:p>
        </w:tc>
      </w:tr>
      <w:tr w:rsidR="00D4266E" w:rsidRPr="000F0299" w14:paraId="76083261" w14:textId="77777777" w:rsidTr="00D4266E">
        <w:tc>
          <w:tcPr>
            <w:tcW w:w="1197" w:type="dxa"/>
            <w:shd w:val="clear" w:color="auto" w:fill="auto"/>
          </w:tcPr>
          <w:p w14:paraId="40A2019D"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МПГ</w:t>
            </w:r>
          </w:p>
        </w:tc>
        <w:tc>
          <w:tcPr>
            <w:tcW w:w="7757" w:type="dxa"/>
            <w:shd w:val="clear" w:color="auto" w:fill="auto"/>
          </w:tcPr>
          <w:p w14:paraId="2224BA34"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Међуминистарска пројектна група</w:t>
            </w:r>
          </w:p>
        </w:tc>
      </w:tr>
      <w:tr w:rsidR="00D4266E" w:rsidRPr="000F0299" w14:paraId="2FEF397E" w14:textId="77777777" w:rsidTr="00D4266E">
        <w:tc>
          <w:tcPr>
            <w:tcW w:w="1197" w:type="dxa"/>
            <w:shd w:val="clear" w:color="auto" w:fill="auto"/>
          </w:tcPr>
          <w:p w14:paraId="3381BD1B"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МРЗСП</w:t>
            </w:r>
          </w:p>
        </w:tc>
        <w:tc>
          <w:tcPr>
            <w:tcW w:w="7757" w:type="dxa"/>
            <w:shd w:val="clear" w:color="auto" w:fill="auto"/>
          </w:tcPr>
          <w:p w14:paraId="1340970B"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Министарство за рад, запошљавање, борачка и социјална питања</w:t>
            </w:r>
          </w:p>
        </w:tc>
      </w:tr>
      <w:tr w:rsidR="00D4266E" w:rsidRPr="000F0299" w14:paraId="6F8BC78C" w14:textId="77777777" w:rsidTr="00D4266E">
        <w:tc>
          <w:tcPr>
            <w:tcW w:w="1197" w:type="dxa"/>
            <w:shd w:val="clear" w:color="auto" w:fill="auto"/>
          </w:tcPr>
          <w:p w14:paraId="077D6EF8"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МУП</w:t>
            </w:r>
          </w:p>
        </w:tc>
        <w:tc>
          <w:tcPr>
            <w:tcW w:w="7757" w:type="dxa"/>
            <w:shd w:val="clear" w:color="auto" w:fill="auto"/>
          </w:tcPr>
          <w:p w14:paraId="7216CB8D"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Министарство унутрашњих послова</w:t>
            </w:r>
          </w:p>
        </w:tc>
      </w:tr>
      <w:tr w:rsidR="00D4266E" w:rsidRPr="000F0299" w14:paraId="08660C2D" w14:textId="77777777" w:rsidTr="00D4266E">
        <w:tc>
          <w:tcPr>
            <w:tcW w:w="1197" w:type="dxa"/>
            <w:shd w:val="clear" w:color="auto" w:fill="auto"/>
          </w:tcPr>
          <w:p w14:paraId="60733247"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МФин</w:t>
            </w:r>
          </w:p>
        </w:tc>
        <w:tc>
          <w:tcPr>
            <w:tcW w:w="7757" w:type="dxa"/>
            <w:shd w:val="clear" w:color="auto" w:fill="auto"/>
          </w:tcPr>
          <w:p w14:paraId="3E5CC7B4"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Министарство финансија</w:t>
            </w:r>
          </w:p>
        </w:tc>
      </w:tr>
      <w:tr w:rsidR="00D4266E" w:rsidRPr="000F0299" w14:paraId="5B9369E2" w14:textId="77777777" w:rsidTr="00D4266E">
        <w:tc>
          <w:tcPr>
            <w:tcW w:w="1197" w:type="dxa"/>
            <w:shd w:val="clear" w:color="auto" w:fill="auto"/>
          </w:tcPr>
          <w:p w14:paraId="4DEDCE46"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НАД</w:t>
            </w:r>
          </w:p>
        </w:tc>
        <w:tc>
          <w:tcPr>
            <w:tcW w:w="7757" w:type="dxa"/>
            <w:shd w:val="clear" w:color="auto" w:fill="auto"/>
          </w:tcPr>
          <w:p w14:paraId="370F288D"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Национални приоритети за међународну помоћ</w:t>
            </w:r>
          </w:p>
        </w:tc>
      </w:tr>
      <w:tr w:rsidR="00D4266E" w:rsidRPr="000F0299" w14:paraId="507A06C8" w14:textId="77777777" w:rsidTr="00D4266E">
        <w:tc>
          <w:tcPr>
            <w:tcW w:w="1197" w:type="dxa"/>
            <w:shd w:val="clear" w:color="auto" w:fill="auto"/>
          </w:tcPr>
          <w:p w14:paraId="4151F9F0"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НАЈУ</w:t>
            </w:r>
          </w:p>
        </w:tc>
        <w:tc>
          <w:tcPr>
            <w:tcW w:w="7757" w:type="dxa"/>
            <w:shd w:val="clear" w:color="auto" w:fill="auto"/>
          </w:tcPr>
          <w:p w14:paraId="00EE492D"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Национална академија за јавну управу</w:t>
            </w:r>
          </w:p>
        </w:tc>
      </w:tr>
      <w:tr w:rsidR="00D4266E" w:rsidRPr="000F0299" w14:paraId="45836D33" w14:textId="77777777" w:rsidTr="00D4266E">
        <w:tc>
          <w:tcPr>
            <w:tcW w:w="1197" w:type="dxa"/>
            <w:shd w:val="clear" w:color="auto" w:fill="auto"/>
          </w:tcPr>
          <w:p w14:paraId="746312C7"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НВО</w:t>
            </w:r>
          </w:p>
        </w:tc>
        <w:tc>
          <w:tcPr>
            <w:tcW w:w="7757" w:type="dxa"/>
            <w:shd w:val="clear" w:color="auto" w:fill="auto"/>
          </w:tcPr>
          <w:p w14:paraId="17D445B8"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Невладина организација</w:t>
            </w:r>
          </w:p>
        </w:tc>
      </w:tr>
      <w:tr w:rsidR="00D4266E" w:rsidRPr="000F0299" w14:paraId="61977B68" w14:textId="77777777" w:rsidTr="00D4266E">
        <w:tc>
          <w:tcPr>
            <w:tcW w:w="1197" w:type="dxa"/>
            <w:shd w:val="clear" w:color="auto" w:fill="auto"/>
          </w:tcPr>
          <w:p w14:paraId="5E0110B2"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НСЗ</w:t>
            </w:r>
          </w:p>
        </w:tc>
        <w:tc>
          <w:tcPr>
            <w:tcW w:w="7757" w:type="dxa"/>
            <w:shd w:val="clear" w:color="auto" w:fill="auto"/>
          </w:tcPr>
          <w:p w14:paraId="69EA6E54"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Национална служба за запошљавање</w:t>
            </w:r>
          </w:p>
        </w:tc>
      </w:tr>
      <w:tr w:rsidR="00D4266E" w:rsidRPr="000F0299" w14:paraId="45DE5C5B" w14:textId="77777777" w:rsidTr="00D4266E">
        <w:tc>
          <w:tcPr>
            <w:tcW w:w="1197" w:type="dxa"/>
            <w:shd w:val="clear" w:color="auto" w:fill="auto"/>
          </w:tcPr>
          <w:p w14:paraId="0B663E65"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ОДУ</w:t>
            </w:r>
          </w:p>
        </w:tc>
        <w:tc>
          <w:tcPr>
            <w:tcW w:w="7757" w:type="dxa"/>
            <w:shd w:val="clear" w:color="auto" w:fill="auto"/>
          </w:tcPr>
          <w:p w14:paraId="6C745499"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Органи државне управе</w:t>
            </w:r>
          </w:p>
        </w:tc>
      </w:tr>
      <w:tr w:rsidR="00D4266E" w:rsidRPr="000F0299" w14:paraId="701A4C6C" w14:textId="77777777" w:rsidTr="00D4266E">
        <w:tc>
          <w:tcPr>
            <w:tcW w:w="1197" w:type="dxa"/>
            <w:shd w:val="clear" w:color="auto" w:fill="auto"/>
          </w:tcPr>
          <w:p w14:paraId="7E89E2C0" w14:textId="6E9DA1B2" w:rsidR="00D4266E" w:rsidRPr="00B774F7" w:rsidRDefault="00D67573" w:rsidP="00D4266E">
            <w:pPr>
              <w:suppressAutoHyphens w:val="0"/>
              <w:autoSpaceDN/>
              <w:spacing w:before="84" w:beforeAutospacing="1" w:after="84" w:afterAutospacing="1"/>
              <w:ind w:firstLine="0"/>
              <w:textAlignment w:val="auto"/>
              <w:rPr>
                <w:rFonts w:eastAsia="Times New Roman"/>
                <w:i/>
                <w:iCs/>
                <w:kern w:val="0"/>
                <w:lang w:val="en-GB" w:eastAsia="de-DE" w:bidi="ar-SA"/>
              </w:rPr>
            </w:pPr>
            <w:r w:rsidRPr="00B774F7">
              <w:rPr>
                <w:rFonts w:eastAsia="Times New Roman"/>
                <w:i/>
                <w:iCs/>
                <w:kern w:val="0"/>
                <w:lang w:val="en-GB" w:eastAsia="de-DE" w:bidi="ar-SA"/>
              </w:rPr>
              <w:t>OECD</w:t>
            </w:r>
          </w:p>
        </w:tc>
        <w:tc>
          <w:tcPr>
            <w:tcW w:w="7757" w:type="dxa"/>
            <w:shd w:val="clear" w:color="auto" w:fill="auto"/>
          </w:tcPr>
          <w:p w14:paraId="0ACCDBD6"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B774F7">
              <w:rPr>
                <w:rFonts w:eastAsia="Times New Roman"/>
                <w:kern w:val="0"/>
                <w:lang w:eastAsia="de-DE" w:bidi="ar-SA"/>
              </w:rPr>
              <w:t>Организација за економску сарадњу и развој</w:t>
            </w:r>
          </w:p>
        </w:tc>
      </w:tr>
      <w:tr w:rsidR="00D4266E" w:rsidRPr="000F0299" w14:paraId="4BA9CB59" w14:textId="77777777" w:rsidTr="00D4266E">
        <w:tc>
          <w:tcPr>
            <w:tcW w:w="1197" w:type="dxa"/>
            <w:shd w:val="clear" w:color="auto" w:fill="auto"/>
          </w:tcPr>
          <w:p w14:paraId="3BF2C777"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ОЦД</w:t>
            </w:r>
          </w:p>
        </w:tc>
        <w:tc>
          <w:tcPr>
            <w:tcW w:w="7757" w:type="dxa"/>
            <w:shd w:val="clear" w:color="auto" w:fill="auto"/>
          </w:tcPr>
          <w:p w14:paraId="6BDB005C"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Организација цивилног друштва</w:t>
            </w:r>
          </w:p>
        </w:tc>
      </w:tr>
      <w:tr w:rsidR="00D4266E" w:rsidRPr="000F0299" w14:paraId="4D4B342B" w14:textId="77777777" w:rsidTr="00D4266E">
        <w:tc>
          <w:tcPr>
            <w:tcW w:w="1197" w:type="dxa"/>
            <w:shd w:val="clear" w:color="auto" w:fill="auto"/>
          </w:tcPr>
          <w:p w14:paraId="4BEAEDF9"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ПЕФА</w:t>
            </w:r>
          </w:p>
        </w:tc>
        <w:tc>
          <w:tcPr>
            <w:tcW w:w="7757" w:type="dxa"/>
            <w:shd w:val="clear" w:color="auto" w:fill="auto"/>
          </w:tcPr>
          <w:p w14:paraId="0EB83EBB"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Процена јавних расхода и јавних финансија</w:t>
            </w:r>
          </w:p>
        </w:tc>
      </w:tr>
      <w:tr w:rsidR="00D4266E" w:rsidRPr="000F0299" w14:paraId="6303823C" w14:textId="77777777" w:rsidTr="00D4266E">
        <w:tc>
          <w:tcPr>
            <w:tcW w:w="1197" w:type="dxa"/>
            <w:shd w:val="clear" w:color="auto" w:fill="auto"/>
          </w:tcPr>
          <w:p w14:paraId="591D4437"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ПУ</w:t>
            </w:r>
          </w:p>
        </w:tc>
        <w:tc>
          <w:tcPr>
            <w:tcW w:w="7757" w:type="dxa"/>
            <w:shd w:val="clear" w:color="auto" w:fill="auto"/>
          </w:tcPr>
          <w:p w14:paraId="52CECFB7"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Пореска управа</w:t>
            </w:r>
          </w:p>
        </w:tc>
      </w:tr>
      <w:tr w:rsidR="00D4266E" w:rsidRPr="000F0299" w14:paraId="5B15F254" w14:textId="77777777" w:rsidTr="00D4266E">
        <w:tc>
          <w:tcPr>
            <w:tcW w:w="1197" w:type="dxa"/>
            <w:shd w:val="clear" w:color="auto" w:fill="auto"/>
          </w:tcPr>
          <w:p w14:paraId="18A82113"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ПРУЈФ</w:t>
            </w:r>
          </w:p>
        </w:tc>
        <w:tc>
          <w:tcPr>
            <w:tcW w:w="7757" w:type="dxa"/>
            <w:shd w:val="clear" w:color="auto" w:fill="auto"/>
          </w:tcPr>
          <w:p w14:paraId="05099140"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Програм реформе управљања јавним финансијама</w:t>
            </w:r>
          </w:p>
        </w:tc>
      </w:tr>
      <w:tr w:rsidR="00D4266E" w:rsidRPr="000F0299" w14:paraId="3FFBD3B6" w14:textId="77777777" w:rsidTr="00D4266E">
        <w:tc>
          <w:tcPr>
            <w:tcW w:w="1197" w:type="dxa"/>
            <w:shd w:val="clear" w:color="auto" w:fill="auto"/>
          </w:tcPr>
          <w:p w14:paraId="73FE758D"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РГЗ</w:t>
            </w:r>
          </w:p>
        </w:tc>
        <w:tc>
          <w:tcPr>
            <w:tcW w:w="7757" w:type="dxa"/>
            <w:shd w:val="clear" w:color="auto" w:fill="auto"/>
          </w:tcPr>
          <w:p w14:paraId="03F097CA"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Републички геодетски завод</w:t>
            </w:r>
          </w:p>
        </w:tc>
      </w:tr>
      <w:tr w:rsidR="00D4266E" w:rsidRPr="000F0299" w14:paraId="3B579E7E" w14:textId="77777777" w:rsidTr="00D4266E">
        <w:tc>
          <w:tcPr>
            <w:tcW w:w="1197" w:type="dxa"/>
            <w:shd w:val="clear" w:color="auto" w:fill="auto"/>
          </w:tcPr>
          <w:p w14:paraId="3AF5B0DA"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 xml:space="preserve">РЈУ </w:t>
            </w:r>
          </w:p>
        </w:tc>
        <w:tc>
          <w:tcPr>
            <w:tcW w:w="7757" w:type="dxa"/>
            <w:shd w:val="clear" w:color="auto" w:fill="auto"/>
          </w:tcPr>
          <w:p w14:paraId="7E8E7CD3"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Реформа јавне управе</w:t>
            </w:r>
          </w:p>
        </w:tc>
      </w:tr>
      <w:tr w:rsidR="00D4266E" w:rsidRPr="000F0299" w14:paraId="4F3CCC34" w14:textId="77777777" w:rsidTr="00D4266E">
        <w:tc>
          <w:tcPr>
            <w:tcW w:w="1197" w:type="dxa"/>
            <w:shd w:val="clear" w:color="auto" w:fill="auto"/>
          </w:tcPr>
          <w:p w14:paraId="2B681AB8"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РСЈП</w:t>
            </w:r>
          </w:p>
        </w:tc>
        <w:tc>
          <w:tcPr>
            <w:tcW w:w="7757" w:type="dxa"/>
            <w:shd w:val="clear" w:color="auto" w:fill="auto"/>
          </w:tcPr>
          <w:p w14:paraId="53D5E19B"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Републички секретаријат за јавне политике</w:t>
            </w:r>
          </w:p>
        </w:tc>
      </w:tr>
      <w:tr w:rsidR="00D4266E" w:rsidRPr="000F0299" w14:paraId="366853F6" w14:textId="77777777" w:rsidTr="00D4266E">
        <w:tc>
          <w:tcPr>
            <w:tcW w:w="1197" w:type="dxa"/>
            <w:shd w:val="clear" w:color="auto" w:fill="auto"/>
          </w:tcPr>
          <w:p w14:paraId="6A72B903"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РФПИО</w:t>
            </w:r>
          </w:p>
        </w:tc>
        <w:tc>
          <w:tcPr>
            <w:tcW w:w="7757" w:type="dxa"/>
            <w:shd w:val="clear" w:color="auto" w:fill="auto"/>
          </w:tcPr>
          <w:p w14:paraId="4E3084ED" w14:textId="50E1F1E8"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Републички фонд за пензијско и инвалидско осигурање</w:t>
            </w:r>
          </w:p>
        </w:tc>
      </w:tr>
      <w:tr w:rsidR="00D4266E" w:rsidRPr="000F0299" w14:paraId="0816CAC4" w14:textId="77777777" w:rsidTr="00D4266E">
        <w:tc>
          <w:tcPr>
            <w:tcW w:w="1197" w:type="dxa"/>
            <w:shd w:val="clear" w:color="auto" w:fill="auto"/>
          </w:tcPr>
          <w:p w14:paraId="5B69D25E"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СБС</w:t>
            </w:r>
          </w:p>
        </w:tc>
        <w:tc>
          <w:tcPr>
            <w:tcW w:w="7757" w:type="dxa"/>
            <w:shd w:val="clear" w:color="auto" w:fill="auto"/>
          </w:tcPr>
          <w:p w14:paraId="05B83D5D"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Секторска буџетска подршка ЕУ</w:t>
            </w:r>
          </w:p>
        </w:tc>
      </w:tr>
      <w:tr w:rsidR="00D4266E" w:rsidRPr="000F0299" w14:paraId="0B764CEF" w14:textId="77777777" w:rsidTr="00D4266E">
        <w:trPr>
          <w:trHeight w:val="59"/>
        </w:trPr>
        <w:tc>
          <w:tcPr>
            <w:tcW w:w="1197" w:type="dxa"/>
          </w:tcPr>
          <w:p w14:paraId="6D6D7A99" w14:textId="1036B3FA" w:rsidR="00D4266E" w:rsidRPr="00B774F7" w:rsidRDefault="0070535D" w:rsidP="00D4266E">
            <w:pPr>
              <w:suppressAutoHyphens w:val="0"/>
              <w:autoSpaceDN/>
              <w:spacing w:before="84" w:beforeAutospacing="1" w:after="84" w:afterAutospacing="1"/>
              <w:ind w:firstLine="0"/>
              <w:textAlignment w:val="auto"/>
              <w:rPr>
                <w:rFonts w:eastAsia="Times New Roman"/>
                <w:kern w:val="0"/>
                <w:lang w:eastAsia="de-DE" w:bidi="ar-SA"/>
              </w:rPr>
            </w:pPr>
            <w:r w:rsidRPr="00B774F7">
              <w:rPr>
                <w:rFonts w:eastAsia="Times New Roman"/>
                <w:i/>
                <w:kern w:val="0"/>
                <w:lang w:eastAsia="de-DE" w:bidi="ar-SA"/>
              </w:rPr>
              <w:t>SIGMA</w:t>
            </w:r>
          </w:p>
        </w:tc>
        <w:tc>
          <w:tcPr>
            <w:tcW w:w="7757" w:type="dxa"/>
          </w:tcPr>
          <w:p w14:paraId="1C051EAB" w14:textId="77777777" w:rsidR="00D4266E" w:rsidRPr="00B774F7" w:rsidRDefault="00D4266E" w:rsidP="00D4266E">
            <w:pPr>
              <w:suppressAutoHyphens w:val="0"/>
              <w:autoSpaceDN/>
              <w:spacing w:before="84" w:beforeAutospacing="1" w:after="84" w:afterAutospacing="1"/>
              <w:ind w:firstLine="0"/>
              <w:textAlignment w:val="auto"/>
              <w:rPr>
                <w:rFonts w:eastAsia="Times New Roman"/>
                <w:b/>
                <w:bCs/>
                <w:kern w:val="0"/>
                <w:lang w:eastAsia="de-DE" w:bidi="ar-SA"/>
              </w:rPr>
            </w:pPr>
            <w:r w:rsidRPr="00B774F7">
              <w:rPr>
                <w:rFonts w:eastAsiaTheme="minorEastAsia"/>
                <w:kern w:val="0"/>
                <w:lang w:eastAsia="de-DE" w:bidi="ar-SA"/>
              </w:rPr>
              <w:t>Програм подршке унапређењу у владавини и управљању при ОЕЦД</w:t>
            </w:r>
          </w:p>
        </w:tc>
      </w:tr>
      <w:tr w:rsidR="00D4266E" w:rsidRPr="000F0299" w14:paraId="647FB7E6" w14:textId="77777777" w:rsidTr="00D4266E">
        <w:trPr>
          <w:trHeight w:val="59"/>
        </w:trPr>
        <w:tc>
          <w:tcPr>
            <w:tcW w:w="1197" w:type="dxa"/>
          </w:tcPr>
          <w:p w14:paraId="547212E3"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СКГО</w:t>
            </w:r>
          </w:p>
        </w:tc>
        <w:tc>
          <w:tcPr>
            <w:tcW w:w="7757" w:type="dxa"/>
          </w:tcPr>
          <w:p w14:paraId="374B72CB"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Стална конференција градова и општина</w:t>
            </w:r>
          </w:p>
        </w:tc>
      </w:tr>
      <w:tr w:rsidR="00D4266E" w:rsidRPr="000F0299" w14:paraId="3C91A00A" w14:textId="77777777" w:rsidTr="00D4266E">
        <w:trPr>
          <w:trHeight w:val="59"/>
        </w:trPr>
        <w:tc>
          <w:tcPr>
            <w:tcW w:w="1197" w:type="dxa"/>
          </w:tcPr>
          <w:p w14:paraId="12BEF0D0"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 xml:space="preserve">СКИП </w:t>
            </w:r>
          </w:p>
        </w:tc>
        <w:tc>
          <w:tcPr>
            <w:tcW w:w="7757" w:type="dxa"/>
          </w:tcPr>
          <w:p w14:paraId="42291183"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 xml:space="preserve">Српско-корејски информатичко приступни </w:t>
            </w:r>
          </w:p>
        </w:tc>
      </w:tr>
      <w:tr w:rsidR="00D4266E" w:rsidRPr="000F0299" w14:paraId="59E25F0A" w14:textId="77777777" w:rsidTr="00D4266E">
        <w:trPr>
          <w:trHeight w:val="59"/>
        </w:trPr>
        <w:tc>
          <w:tcPr>
            <w:tcW w:w="1197" w:type="dxa"/>
          </w:tcPr>
          <w:p w14:paraId="39B5641E"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СУК</w:t>
            </w:r>
          </w:p>
        </w:tc>
        <w:tc>
          <w:tcPr>
            <w:tcW w:w="7757" w:type="dxa"/>
          </w:tcPr>
          <w:p w14:paraId="7ECEAD7C"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Служба за управљање кадровима</w:t>
            </w:r>
          </w:p>
        </w:tc>
      </w:tr>
      <w:tr w:rsidR="00D4266E" w:rsidRPr="000F0299" w14:paraId="3EF7C9B0" w14:textId="77777777" w:rsidTr="00D4266E">
        <w:trPr>
          <w:trHeight w:val="59"/>
        </w:trPr>
        <w:tc>
          <w:tcPr>
            <w:tcW w:w="1197" w:type="dxa"/>
          </w:tcPr>
          <w:p w14:paraId="5C64D92C"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УЈФ</w:t>
            </w:r>
          </w:p>
        </w:tc>
        <w:tc>
          <w:tcPr>
            <w:tcW w:w="7757" w:type="dxa"/>
          </w:tcPr>
          <w:p w14:paraId="23EC6552"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Управљање јавним финансијама</w:t>
            </w:r>
          </w:p>
        </w:tc>
      </w:tr>
      <w:tr w:rsidR="00D4266E" w:rsidRPr="000F0299" w14:paraId="1A4F6D25" w14:textId="77777777" w:rsidTr="00D4266E">
        <w:trPr>
          <w:trHeight w:val="59"/>
        </w:trPr>
        <w:tc>
          <w:tcPr>
            <w:tcW w:w="1197" w:type="dxa"/>
          </w:tcPr>
          <w:p w14:paraId="4301490B"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УЉР</w:t>
            </w:r>
          </w:p>
        </w:tc>
        <w:tc>
          <w:tcPr>
            <w:tcW w:w="7757" w:type="dxa"/>
          </w:tcPr>
          <w:p w14:paraId="235BF840"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Управљање људским ресурсима</w:t>
            </w:r>
          </w:p>
        </w:tc>
      </w:tr>
      <w:tr w:rsidR="00D4266E" w:rsidRPr="000F0299" w14:paraId="4099056B" w14:textId="77777777" w:rsidTr="00D4266E">
        <w:trPr>
          <w:trHeight w:val="59"/>
        </w:trPr>
        <w:tc>
          <w:tcPr>
            <w:tcW w:w="1197" w:type="dxa"/>
          </w:tcPr>
          <w:p w14:paraId="741AD943"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ФУК</w:t>
            </w:r>
            <w:r w:rsidRPr="000F0299">
              <w:rPr>
                <w:rFonts w:eastAsia="Times New Roman"/>
                <w:kern w:val="0"/>
                <w:lang w:eastAsia="de-DE" w:bidi="ar-SA"/>
              </w:rPr>
              <w:tab/>
            </w:r>
          </w:p>
        </w:tc>
        <w:tc>
          <w:tcPr>
            <w:tcW w:w="7757" w:type="dxa"/>
          </w:tcPr>
          <w:p w14:paraId="450DE1B7"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Финансијско управљање и контрола</w:t>
            </w:r>
          </w:p>
        </w:tc>
      </w:tr>
      <w:tr w:rsidR="00D4266E" w:rsidRPr="000F0299" w14:paraId="14B121E2" w14:textId="77777777" w:rsidTr="00D4266E">
        <w:trPr>
          <w:trHeight w:val="59"/>
        </w:trPr>
        <w:tc>
          <w:tcPr>
            <w:tcW w:w="1197" w:type="dxa"/>
          </w:tcPr>
          <w:p w14:paraId="4971AED7"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ЦЈХ</w:t>
            </w:r>
          </w:p>
        </w:tc>
        <w:tc>
          <w:tcPr>
            <w:tcW w:w="7757" w:type="dxa"/>
          </w:tcPr>
          <w:p w14:paraId="294D4732"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Централна јединица за хармонизацију</w:t>
            </w:r>
          </w:p>
        </w:tc>
      </w:tr>
      <w:tr w:rsidR="00D4266E" w:rsidRPr="000F0299" w14:paraId="5555FF94" w14:textId="77777777" w:rsidTr="00D4266E">
        <w:trPr>
          <w:trHeight w:val="59"/>
        </w:trPr>
        <w:tc>
          <w:tcPr>
            <w:tcW w:w="1197" w:type="dxa"/>
          </w:tcPr>
          <w:p w14:paraId="6A6D90F9"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ЦОР</w:t>
            </w:r>
          </w:p>
        </w:tc>
        <w:tc>
          <w:tcPr>
            <w:tcW w:w="7757" w:type="dxa"/>
          </w:tcPr>
          <w:p w14:paraId="085F914E"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Циљеви одрживог развоја</w:t>
            </w:r>
          </w:p>
        </w:tc>
      </w:tr>
      <w:tr w:rsidR="00D4266E" w:rsidRPr="000F0299" w14:paraId="62DE0106" w14:textId="77777777" w:rsidTr="00D4266E">
        <w:trPr>
          <w:trHeight w:val="59"/>
        </w:trPr>
        <w:tc>
          <w:tcPr>
            <w:tcW w:w="1197" w:type="dxa"/>
          </w:tcPr>
          <w:p w14:paraId="5F3AAAFA"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i/>
                <w:iCs/>
                <w:kern w:val="0"/>
                <w:lang w:eastAsia="de-DE" w:bidi="ar-SA"/>
              </w:rPr>
            </w:pPr>
            <w:r w:rsidRPr="000F0299">
              <w:rPr>
                <w:rFonts w:eastAsia="Times New Roman"/>
                <w:i/>
                <w:iCs/>
                <w:kern w:val="0"/>
                <w:lang w:eastAsia="de-DE" w:bidi="ar-SA"/>
              </w:rPr>
              <w:t>CAF</w:t>
            </w:r>
          </w:p>
        </w:tc>
        <w:tc>
          <w:tcPr>
            <w:tcW w:w="7757" w:type="dxa"/>
          </w:tcPr>
          <w:p w14:paraId="68BE2D55"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r w:rsidRPr="000F0299">
              <w:rPr>
                <w:rFonts w:eastAsia="Times New Roman"/>
                <w:kern w:val="0"/>
                <w:lang w:eastAsia="de-DE" w:bidi="ar-SA"/>
              </w:rPr>
              <w:t>Заједнички оквир за самопроцену (управљање квалитетом)</w:t>
            </w:r>
          </w:p>
        </w:tc>
      </w:tr>
      <w:tr w:rsidR="00D4266E" w:rsidRPr="000F0299" w14:paraId="564F0908" w14:textId="77777777" w:rsidTr="00D4266E">
        <w:trPr>
          <w:trHeight w:val="59"/>
        </w:trPr>
        <w:tc>
          <w:tcPr>
            <w:tcW w:w="1197" w:type="dxa"/>
          </w:tcPr>
          <w:p w14:paraId="79DA39A3"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p>
        </w:tc>
        <w:tc>
          <w:tcPr>
            <w:tcW w:w="7757" w:type="dxa"/>
          </w:tcPr>
          <w:p w14:paraId="43E22916" w14:textId="77777777" w:rsidR="00D4266E" w:rsidRPr="000F0299" w:rsidRDefault="00D4266E" w:rsidP="00D4266E">
            <w:pPr>
              <w:suppressAutoHyphens w:val="0"/>
              <w:autoSpaceDN/>
              <w:spacing w:before="84" w:beforeAutospacing="1" w:after="84" w:afterAutospacing="1"/>
              <w:ind w:firstLine="0"/>
              <w:textAlignment w:val="auto"/>
              <w:rPr>
                <w:rFonts w:eastAsia="Times New Roman"/>
                <w:kern w:val="0"/>
                <w:lang w:eastAsia="de-DE" w:bidi="ar-SA"/>
              </w:rPr>
            </w:pPr>
          </w:p>
        </w:tc>
      </w:tr>
    </w:tbl>
    <w:p w14:paraId="0A5B0351" w14:textId="5402CA58" w:rsidR="003641CB" w:rsidRPr="000F0299" w:rsidRDefault="003641CB" w:rsidP="00244E7C"/>
    <w:p w14:paraId="0A1983DD" w14:textId="77777777" w:rsidR="00D4266E" w:rsidRPr="000F0299" w:rsidRDefault="00D4266E" w:rsidP="00244E7C"/>
    <w:p w14:paraId="28D2C6AA" w14:textId="77777777" w:rsidR="0037189F" w:rsidRPr="000F0299" w:rsidRDefault="0037189F" w:rsidP="00244E7C">
      <w:pPr>
        <w:sectPr w:rsidR="0037189F" w:rsidRPr="000F0299">
          <w:footerReference w:type="default" r:id="rId32"/>
          <w:pgSz w:w="11906" w:h="16838"/>
          <w:pgMar w:top="1417" w:right="1417" w:bottom="1134" w:left="1417" w:header="708" w:footer="708" w:gutter="0"/>
          <w:cols w:space="708"/>
          <w:docGrid w:linePitch="360"/>
        </w:sectPr>
      </w:pPr>
    </w:p>
    <w:p w14:paraId="191CBBB2" w14:textId="72AE9FA9" w:rsidR="00AC2236" w:rsidRPr="000F0299" w:rsidRDefault="00924645" w:rsidP="007A0CC3">
      <w:pPr>
        <w:pStyle w:val="Heading1"/>
        <w:rPr>
          <w:lang w:val="sr-Cyrl-RS"/>
        </w:rPr>
      </w:pPr>
      <w:bookmarkStart w:id="1" w:name="_Toc40613442"/>
      <w:bookmarkStart w:id="2" w:name="_Toc57661444"/>
      <w:r w:rsidRPr="000F0299">
        <w:rPr>
          <w:lang w:val="sr-Cyrl-RS"/>
        </w:rPr>
        <w:t>Стратешки оквир и разлози за доношење нове стратегије</w:t>
      </w:r>
      <w:bookmarkEnd w:id="1"/>
      <w:bookmarkEnd w:id="2"/>
    </w:p>
    <w:p w14:paraId="274FCF0C" w14:textId="77777777" w:rsidR="00462036" w:rsidRPr="00462036" w:rsidRDefault="00462036" w:rsidP="00462036">
      <w:pPr>
        <w:suppressAutoHyphens w:val="0"/>
        <w:autoSpaceDN/>
        <w:spacing w:before="0" w:after="120"/>
        <w:textAlignment w:val="auto"/>
        <w:rPr>
          <w:rFonts w:eastAsia="Times New Roman"/>
          <w:b/>
          <w:kern w:val="0"/>
          <w:lang w:eastAsia="en-GB" w:bidi="ar-SA"/>
        </w:rPr>
      </w:pPr>
      <w:r w:rsidRPr="00462036">
        <w:rPr>
          <w:rFonts w:eastAsiaTheme="minorHAnsi"/>
          <w:kern w:val="0"/>
          <w:lang w:eastAsia="en-US" w:bidi="ar-SA"/>
        </w:rPr>
        <w:t>С</w:t>
      </w:r>
      <w:r w:rsidRPr="00462036">
        <w:rPr>
          <w:rFonts w:eastAsiaTheme="minorHAnsi"/>
          <w:kern w:val="0"/>
          <w:lang w:val="sr-Cyrl-CS" w:eastAsia="en-US" w:bidi="ar-SA"/>
        </w:rPr>
        <w:t>тратегија реформе јавне управе у Републици Србији (у даљем тексту:</w:t>
      </w:r>
      <w:r w:rsidRPr="00462036">
        <w:rPr>
          <w:rFonts w:eastAsiaTheme="minorHAnsi"/>
          <w:kern w:val="0"/>
          <w:lang w:val="sr-Latn-RS" w:eastAsia="en-US" w:bidi="ar-SA"/>
        </w:rPr>
        <w:t xml:space="preserve"> </w:t>
      </w:r>
      <w:r w:rsidRPr="00462036">
        <w:rPr>
          <w:rFonts w:eastAsiaTheme="minorHAnsi"/>
          <w:kern w:val="0"/>
          <w:lang w:eastAsia="en-US" w:bidi="ar-SA"/>
        </w:rPr>
        <w:t xml:space="preserve">Стратегија </w:t>
      </w:r>
      <w:r w:rsidRPr="00462036">
        <w:rPr>
          <w:rFonts w:eastAsiaTheme="minorHAnsi"/>
          <w:kern w:val="0"/>
          <w:lang w:val="sr-Cyrl-CS" w:eastAsia="en-US" w:bidi="ar-SA"/>
        </w:rPr>
        <w:t xml:space="preserve">РЈУ из 2014) </w:t>
      </w:r>
      <w:r w:rsidRPr="00462036">
        <w:rPr>
          <w:rFonts w:eastAsiaTheme="minorHAnsi"/>
          <w:kern w:val="0"/>
          <w:lang w:eastAsia="en-US" w:bidi="ar-SA"/>
        </w:rPr>
        <w:t>донета</w:t>
      </w:r>
      <w:r w:rsidRPr="00462036">
        <w:rPr>
          <w:rFonts w:eastAsiaTheme="minorHAnsi"/>
          <w:kern w:val="0"/>
          <w:lang w:val="sr-Cyrl-CS" w:eastAsia="en-US" w:bidi="ar-SA"/>
        </w:rPr>
        <w:t xml:space="preserve"> је 24. јануара 2014. године и </w:t>
      </w:r>
      <w:r w:rsidRPr="00462036">
        <w:rPr>
          <w:rFonts w:eastAsiaTheme="minorHAnsi"/>
          <w:kern w:val="0"/>
          <w:lang w:eastAsia="en-US" w:bidi="ar-SA"/>
        </w:rPr>
        <w:t xml:space="preserve">разрађена </w:t>
      </w:r>
      <w:r w:rsidRPr="00462036">
        <w:rPr>
          <w:rFonts w:eastAsiaTheme="minorHAnsi"/>
          <w:kern w:val="0"/>
          <w:lang w:val="sr-Cyrl-CS" w:eastAsia="en-US" w:bidi="ar-SA"/>
        </w:rPr>
        <w:t>је кроз два акциона плана – за период 2015–2017. и за период 2018–2020. године.</w:t>
      </w:r>
      <w:r w:rsidRPr="00462036">
        <w:rPr>
          <w:rFonts w:eastAsiaTheme="minorHAnsi"/>
          <w:kern w:val="0"/>
          <w:lang w:val="sr-Latn-RS" w:eastAsia="en-US" w:bidi="ar-SA"/>
        </w:rPr>
        <w:t xml:space="preserve"> </w:t>
      </w:r>
      <w:r w:rsidRPr="00462036">
        <w:rPr>
          <w:rFonts w:eastAsiaTheme="minorHAnsi"/>
          <w:kern w:val="0"/>
          <w:lang w:eastAsia="en-US" w:bidi="ar-SA"/>
        </w:rPr>
        <w:t>Након спроведене прве екстерне евалуације</w:t>
      </w:r>
      <w:r w:rsidRPr="00462036">
        <w:rPr>
          <w:rFonts w:eastAsia="Times New Roman"/>
          <w:b/>
          <w:kern w:val="0"/>
          <w:vertAlign w:val="superscript"/>
          <w:lang w:val="sr-Cyrl-CS" w:eastAsia="en-GB" w:bidi="ar-SA"/>
        </w:rPr>
        <w:t xml:space="preserve"> </w:t>
      </w:r>
      <w:r w:rsidRPr="00462036">
        <w:rPr>
          <w:rFonts w:eastAsiaTheme="minorHAnsi"/>
          <w:kern w:val="0"/>
          <w:lang w:eastAsia="en-US" w:bidi="ar-SA"/>
        </w:rPr>
        <w:t xml:space="preserve">Стратегије РЈУ из 2014, Савет за реформу јавне управе је </w:t>
      </w:r>
      <w:hyperlink r:id="rId33" w:history="1">
        <w:r w:rsidRPr="00462036">
          <w:rPr>
            <w:rFonts w:eastAsiaTheme="minorHAnsi"/>
            <w:color w:val="0563C1" w:themeColor="hyperlink"/>
            <w:kern w:val="0"/>
            <w:u w:val="single"/>
            <w:lang w:eastAsia="en-US" w:bidi="ar-SA"/>
          </w:rPr>
          <w:t>Закључком</w:t>
        </w:r>
      </w:hyperlink>
      <w:r w:rsidRPr="00462036">
        <w:rPr>
          <w:rFonts w:eastAsiaTheme="minorHAnsi"/>
          <w:kern w:val="0"/>
          <w:lang w:eastAsia="en-US" w:bidi="ar-SA"/>
        </w:rPr>
        <w:t xml:space="preserve"> подржао налазе и препоруке те евалуације </w:t>
      </w:r>
      <w:r w:rsidRPr="00462036">
        <w:rPr>
          <w:rFonts w:eastAsia="Times New Roman"/>
          <w:kern w:val="0"/>
          <w:lang w:eastAsia="en-GB" w:bidi="ar-SA"/>
        </w:rPr>
        <w:t>и покренуо процес израде Стратегије реформе јавне управе за период од 2021. до 2030. године (у даљем тексту: Стратегија РЈУ), усредсређене на политику пружања услуга, управљање људским ресурсима (у даљем тексту: УЉР) и управљање капацитетима, као и унапређење координације у спровођењу и праћењу реформе јавне управе, уз даље усклађивање свих документа јавних политика у области реформе јавне управе</w:t>
      </w:r>
      <w:r w:rsidRPr="00462036">
        <w:rPr>
          <w:rFonts w:eastAsia="Times New Roman"/>
          <w:b/>
          <w:kern w:val="0"/>
          <w:lang w:eastAsia="en-GB" w:bidi="ar-SA"/>
        </w:rPr>
        <w:t xml:space="preserve">. </w:t>
      </w:r>
    </w:p>
    <w:p w14:paraId="7C7FD4F3" w14:textId="03B063B7" w:rsidR="00462036" w:rsidRPr="00964DB6" w:rsidRDefault="00462036" w:rsidP="00964DB6">
      <w:pPr>
        <w:suppressAutoHyphens w:val="0"/>
        <w:autoSpaceDN/>
        <w:spacing w:after="120"/>
        <w:textAlignment w:val="auto"/>
        <w:rPr>
          <w:rFonts w:eastAsia="Times New Roman"/>
          <w:kern w:val="0"/>
          <w:lang w:eastAsia="en-US" w:bidi="ar-SA"/>
        </w:rPr>
      </w:pPr>
      <w:r w:rsidRPr="00462036">
        <w:rPr>
          <w:rFonts w:eastAsia="Times New Roman"/>
          <w:kern w:val="0"/>
          <w:lang w:eastAsia="en-GB" w:bidi="ar-SA"/>
        </w:rPr>
        <w:t>У складу са чланом 32. Закона о планском систему Републике Србије (у даљем тексту: ЗПС) у августу 2019. године јавно је објављен почетак израде Стратегије РЈУ и покренут је званичан процес консултација</w:t>
      </w:r>
      <w:r w:rsidRPr="00462036">
        <w:rPr>
          <w:rFonts w:eastAsia="Times New Roman"/>
          <w:b/>
          <w:kern w:val="0"/>
          <w:lang w:eastAsia="en-GB" w:bidi="ar-SA"/>
        </w:rPr>
        <w:t xml:space="preserve"> </w:t>
      </w:r>
      <w:r w:rsidRPr="00462036">
        <w:rPr>
          <w:rFonts w:eastAsia="Times New Roman"/>
          <w:kern w:val="0"/>
          <w:lang w:eastAsia="en-GB" w:bidi="ar-SA"/>
        </w:rPr>
        <w:t xml:space="preserve">(консултације су постојале и раније, више у </w:t>
      </w:r>
      <w:hyperlink w:anchor="_ИНСТИТУЦИОНАЛНИ_ОКВИР_–" w:history="1">
        <w:r w:rsidRPr="002F1B51">
          <w:rPr>
            <w:rStyle w:val="Hyperlink"/>
            <w:rFonts w:eastAsia="Times New Roman"/>
            <w:kern w:val="0"/>
            <w:lang w:eastAsia="en-GB" w:bidi="ar-SA"/>
          </w:rPr>
          <w:t xml:space="preserve">Прилогу 3: </w:t>
        </w:r>
        <w:r w:rsidRPr="002F1B51">
          <w:rPr>
            <w:rStyle w:val="Hyperlink"/>
            <w:rFonts w:eastAsia="Times New Roman"/>
            <w:kern w:val="0"/>
            <w:lang w:eastAsia="en-US" w:bidi="ar-SA"/>
          </w:rPr>
          <w:t>Процес припреме Стратегије и опис консултативног процеса</w:t>
        </w:r>
      </w:hyperlink>
      <w:r w:rsidRPr="00462036">
        <w:rPr>
          <w:rFonts w:eastAsia="Times New Roman"/>
          <w:kern w:val="0"/>
          <w:lang w:eastAsia="en-US" w:bidi="ar-SA"/>
        </w:rPr>
        <w:t>)</w:t>
      </w:r>
      <w:r w:rsidRPr="00462036">
        <w:rPr>
          <w:rFonts w:eastAsia="Times New Roman"/>
          <w:kern w:val="0"/>
          <w:lang w:eastAsia="en-GB" w:bidi="ar-SA"/>
        </w:rPr>
        <w:t xml:space="preserve">. Објављен је и јавни позив за учешће удружења грађана у раду </w:t>
      </w:r>
      <w:r w:rsidRPr="00462036">
        <w:rPr>
          <w:rFonts w:eastAsia="Times New Roman"/>
          <w:bCs/>
          <w:kern w:val="0"/>
          <w:lang w:eastAsia="en-GB" w:bidi="ar-SA"/>
        </w:rPr>
        <w:t xml:space="preserve">Посебне радне групе за израду </w:t>
      </w:r>
      <w:r w:rsidRPr="00462036">
        <w:rPr>
          <w:rFonts w:eastAsia="Times New Roman"/>
          <w:kern w:val="0"/>
          <w:lang w:eastAsia="en-GB" w:bidi="en-US"/>
        </w:rPr>
        <w:t>Стратегије РЈУ за период након 2021. године (у даљем тексту: Посебна радна група),</w:t>
      </w:r>
      <w:r w:rsidRPr="00462036">
        <w:rPr>
          <w:rFonts w:eastAsia="Times New Roman"/>
          <w:kern w:val="0"/>
          <w:vertAlign w:val="superscript"/>
          <w:lang w:eastAsia="en-GB" w:bidi="ar-SA"/>
        </w:rPr>
        <w:t xml:space="preserve"> </w:t>
      </w:r>
      <w:r w:rsidRPr="00462036">
        <w:rPr>
          <w:rFonts w:eastAsia="Times New Roman"/>
          <w:kern w:val="0"/>
          <w:lang w:eastAsia="en-GB" w:bidi="ar-SA"/>
        </w:rPr>
        <w:t>на основу кога су представници шест организација цивилног друштва</w:t>
      </w:r>
      <w:r w:rsidRPr="00462036">
        <w:rPr>
          <w:rFonts w:eastAsia="Times New Roman"/>
          <w:kern w:val="0"/>
          <w:vertAlign w:val="superscript"/>
          <w:lang w:eastAsia="en-GB" w:bidi="ar-SA"/>
        </w:rPr>
        <w:t xml:space="preserve"> </w:t>
      </w:r>
      <w:r w:rsidRPr="00462036">
        <w:rPr>
          <w:rFonts w:eastAsia="Times New Roman"/>
          <w:kern w:val="0"/>
          <w:lang w:eastAsia="en-GB" w:bidi="ar-SA"/>
        </w:rPr>
        <w:t xml:space="preserve">укључени као равноправни чланови у њен рад. </w:t>
      </w:r>
      <w:r w:rsidRPr="00462036">
        <w:rPr>
          <w:rFonts w:eastAsia="Times New Roman"/>
          <w:kern w:val="0"/>
          <w:lang w:eastAsia="en-US" w:bidi="ar-SA"/>
        </w:rPr>
        <w:t xml:space="preserve">У раду Посебне радне групе је учествовао, према </w:t>
      </w:r>
      <w:r w:rsidRPr="00964DB6">
        <w:rPr>
          <w:rFonts w:eastAsia="Times New Roman"/>
          <w:kern w:val="0"/>
          <w:lang w:eastAsia="en-US" w:bidi="ar-SA"/>
        </w:rPr>
        <w:t>Решењу</w:t>
      </w:r>
      <w:r w:rsidR="00964DB6" w:rsidRPr="00964DB6">
        <w:t xml:space="preserve"> </w:t>
      </w:r>
      <w:r w:rsidR="00964DB6" w:rsidRPr="00964DB6">
        <w:rPr>
          <w:rFonts w:eastAsia="Times New Roman"/>
          <w:kern w:val="0"/>
          <w:lang w:eastAsia="en-US" w:bidi="ar-SA"/>
        </w:rPr>
        <w:t>о образовању Посебне радне групе за израду Стратегије реформе јавне управе за период након 2021. године</w:t>
      </w:r>
      <w:r w:rsidRPr="00462036">
        <w:rPr>
          <w:rFonts w:eastAsia="Times New Roman"/>
          <w:kern w:val="0"/>
          <w:lang w:eastAsia="en-US" w:bidi="ar-SA"/>
        </w:rPr>
        <w:t xml:space="preserve">, 121 представник државних органа, укључујући независне државне органе, удружења грађана, Привредну комору Републике Србије и Сталну конференцију градова и општина (у даљем тексту: СКГО). Све време у раду и званичној преписци Посебне радне групе учествовали су представници Делегације ЕУ у Републици Србији и </w:t>
      </w:r>
      <w:r w:rsidRPr="00462036">
        <w:rPr>
          <w:rFonts w:eastAsia="Times New Roman"/>
          <w:i/>
          <w:kern w:val="0"/>
          <w:lang w:val="de-DE" w:eastAsia="en-US" w:bidi="ar-SA"/>
        </w:rPr>
        <w:t>SIGMA</w:t>
      </w:r>
      <w:r w:rsidRPr="00462036">
        <w:rPr>
          <w:rFonts w:eastAsia="Times New Roman"/>
          <w:i/>
          <w:kern w:val="0"/>
          <w:lang w:eastAsia="en-US" w:bidi="ar-SA"/>
        </w:rPr>
        <w:t>/</w:t>
      </w:r>
      <w:r w:rsidRPr="00462036">
        <w:rPr>
          <w:rFonts w:eastAsia="Times New Roman"/>
          <w:i/>
          <w:kern w:val="0"/>
          <w:lang w:val="de-DE" w:eastAsia="en-US" w:bidi="ar-SA"/>
        </w:rPr>
        <w:t>OECD</w:t>
      </w:r>
      <w:r w:rsidRPr="00462036">
        <w:rPr>
          <w:rFonts w:eastAsia="Times New Roman"/>
          <w:kern w:val="0"/>
          <w:lang w:eastAsia="en-US" w:bidi="ar-SA"/>
        </w:rPr>
        <w:t xml:space="preserve"> и она је остала отворена за учешће других заинтересованих страна (нпр. „Транспарентност Србија” није учествовала у Јавном позиву, али је постала учесник на састанцима Посебне радне групе након што је изразила интересовање, као и </w:t>
      </w:r>
      <w:r w:rsidRPr="00462036">
        <w:rPr>
          <w:rFonts w:eastAsia="Times New Roman"/>
          <w:i/>
          <w:kern w:val="0"/>
          <w:lang w:val="de-DE" w:eastAsia="en-US" w:bidi="ar-SA"/>
        </w:rPr>
        <w:t>UNDP</w:t>
      </w:r>
      <w:r w:rsidRPr="00462036">
        <w:rPr>
          <w:rFonts w:eastAsia="Times New Roman"/>
          <w:kern w:val="0"/>
          <w:lang w:eastAsia="en-US" w:bidi="ar-SA"/>
        </w:rPr>
        <w:t>). Одржано је више од 5</w:t>
      </w:r>
      <w:r w:rsidR="00674B08" w:rsidRPr="00876FFE">
        <w:rPr>
          <w:rFonts w:eastAsia="Times New Roman"/>
          <w:kern w:val="0"/>
          <w:lang w:eastAsia="en-US" w:bidi="ar-SA"/>
        </w:rPr>
        <w:t>7</w:t>
      </w:r>
      <w:r w:rsidRPr="00462036">
        <w:rPr>
          <w:rFonts w:eastAsia="Times New Roman"/>
          <w:kern w:val="0"/>
          <w:lang w:eastAsia="en-US" w:bidi="ar-SA"/>
        </w:rPr>
        <w:t xml:space="preserve"> званичних састанака радних група по тематским областима у току годину дана припреме и велики број појединачних састанака са различитим заинтересованим странама.</w:t>
      </w:r>
    </w:p>
    <w:p w14:paraId="7E066DBB" w14:textId="77777777" w:rsidR="00462036" w:rsidRPr="00462036" w:rsidRDefault="00462036" w:rsidP="00462036">
      <w:pPr>
        <w:suppressAutoHyphens w:val="0"/>
        <w:autoSpaceDN/>
        <w:spacing w:before="0" w:after="120"/>
        <w:textAlignment w:val="auto"/>
        <w:rPr>
          <w:rFonts w:eastAsia="Times New Roman"/>
          <w:b/>
          <w:kern w:val="0"/>
          <w:lang w:eastAsia="en-GB" w:bidi="ar-SA"/>
        </w:rPr>
      </w:pPr>
      <w:r w:rsidRPr="00462036">
        <w:rPr>
          <w:rFonts w:eastAsia="Times New Roman"/>
          <w:kern w:val="0"/>
          <w:lang w:eastAsia="en-GB" w:bidi="ar-SA"/>
        </w:rPr>
        <w:t>У циљу додатног усклађивања Стратегије РЈУ са европским Принципима јавне управе, као и олакшаног процеса националног и ЕУ праћења напретка у области реформе јавне управе (у даљем тексту: РЈУ), структура</w:t>
      </w:r>
      <w:r w:rsidRPr="00462036">
        <w:rPr>
          <w:rFonts w:eastAsia="Times New Roman"/>
          <w:b/>
          <w:kern w:val="0"/>
          <w:lang w:eastAsia="en-GB" w:bidi="ar-SA"/>
        </w:rPr>
        <w:t xml:space="preserve"> </w:t>
      </w:r>
      <w:r w:rsidRPr="00462036">
        <w:rPr>
          <w:rFonts w:eastAsia="Times New Roman"/>
          <w:kern w:val="0"/>
          <w:lang w:eastAsia="en-GB" w:bidi="ar-SA"/>
        </w:rPr>
        <w:t>Стратегије РЈУ и рад радних подгрупа прати</w:t>
      </w:r>
      <w:r w:rsidRPr="00462036">
        <w:rPr>
          <w:rFonts w:eastAsia="Times New Roman"/>
          <w:b/>
          <w:kern w:val="0"/>
          <w:lang w:eastAsia="en-GB" w:bidi="ar-SA"/>
        </w:rPr>
        <w:t xml:space="preserve"> </w:t>
      </w:r>
      <w:r w:rsidRPr="00462036">
        <w:rPr>
          <w:rFonts w:eastAsia="Times New Roman"/>
          <w:kern w:val="0"/>
          <w:lang w:eastAsia="en-GB" w:bidi="ar-SA"/>
        </w:rPr>
        <w:t>тематске области Принципа јавне управе ЕУ/</w:t>
      </w:r>
      <w:r w:rsidRPr="00462036">
        <w:rPr>
          <w:rFonts w:eastAsia="Times New Roman"/>
          <w:i/>
          <w:kern w:val="0"/>
          <w:lang w:eastAsia="en-GB" w:bidi="ar-SA"/>
        </w:rPr>
        <w:t>ОЕ</w:t>
      </w:r>
      <w:r w:rsidRPr="00462036">
        <w:rPr>
          <w:rFonts w:eastAsia="Times New Roman"/>
          <w:i/>
          <w:kern w:val="0"/>
          <w:lang w:val="sr-Latn-RS" w:eastAsia="en-GB" w:bidi="ar-SA"/>
        </w:rPr>
        <w:t>CD</w:t>
      </w:r>
      <w:r w:rsidRPr="00462036">
        <w:rPr>
          <w:rFonts w:eastAsia="Times New Roman"/>
          <w:kern w:val="0"/>
          <w:lang w:eastAsia="en-GB" w:bidi="ar-SA"/>
        </w:rPr>
        <w:t>, уз додатну област реформе система локалне самоуправе</w:t>
      </w:r>
      <w:r w:rsidRPr="00462036">
        <w:rPr>
          <w:rFonts w:eastAsia="Times New Roman"/>
          <w:b/>
          <w:kern w:val="0"/>
          <w:lang w:eastAsia="en-GB" w:bidi="ar-SA"/>
        </w:rPr>
        <w:t xml:space="preserve"> </w:t>
      </w:r>
      <w:r w:rsidRPr="00462036">
        <w:rPr>
          <w:rFonts w:eastAsia="Times New Roman"/>
          <w:kern w:val="0"/>
          <w:lang w:eastAsia="en-GB" w:bidi="ar-SA"/>
        </w:rPr>
        <w:t>као приоритетне области у наредних десет година.</w:t>
      </w:r>
    </w:p>
    <w:p w14:paraId="314B1086" w14:textId="77777777" w:rsidR="00FB0E7C" w:rsidRPr="000F0299" w:rsidRDefault="00CE52CB" w:rsidP="00FB0E7C">
      <w:pPr>
        <w:keepNext/>
        <w:ind w:firstLine="0"/>
      </w:pPr>
      <w:r w:rsidRPr="000F0299">
        <w:rPr>
          <w:noProof/>
          <w:lang w:val="en-US" w:eastAsia="en-US" w:bidi="ar-SA"/>
        </w:rPr>
        <w:drawing>
          <wp:inline distT="0" distB="0" distL="0" distR="0" wp14:anchorId="1191D7F7" wp14:editId="4CEEBD12">
            <wp:extent cx="5725124" cy="1752600"/>
            <wp:effectExtent l="0" t="0" r="9525"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8314" cy="1762760"/>
                    </a:xfrm>
                    <a:prstGeom prst="rect">
                      <a:avLst/>
                    </a:prstGeom>
                    <a:noFill/>
                  </pic:spPr>
                </pic:pic>
              </a:graphicData>
            </a:graphic>
          </wp:inline>
        </w:drawing>
      </w:r>
    </w:p>
    <w:p w14:paraId="04957D35" w14:textId="3A401716" w:rsidR="00E6492A" w:rsidRPr="005C7060" w:rsidRDefault="00FB0E7C" w:rsidP="00FB0E7C">
      <w:pPr>
        <w:pStyle w:val="Caption"/>
        <w:rPr>
          <w:i w:val="0"/>
          <w:iCs w:val="0"/>
          <w:lang w:val="sr-Cyrl-RS"/>
        </w:rPr>
      </w:pPr>
      <w:bookmarkStart w:id="3" w:name="_Toc57564499"/>
      <w:r w:rsidRPr="005C7060">
        <w:rPr>
          <w:i w:val="0"/>
          <w:iCs w:val="0"/>
          <w:lang w:val="sr-Cyrl-RS"/>
        </w:rPr>
        <w:t xml:space="preserve">Слика </w:t>
      </w:r>
      <w:r w:rsidRPr="005C7060">
        <w:rPr>
          <w:i w:val="0"/>
          <w:iCs w:val="0"/>
          <w:lang w:val="sr-Cyrl-RS"/>
        </w:rPr>
        <w:fldChar w:fldCharType="begin"/>
      </w:r>
      <w:r w:rsidRPr="005C7060">
        <w:rPr>
          <w:i w:val="0"/>
          <w:iCs w:val="0"/>
          <w:lang w:val="sr-Cyrl-RS"/>
        </w:rPr>
        <w:instrText xml:space="preserve"> SEQ Слика \* ARABIC </w:instrText>
      </w:r>
      <w:r w:rsidRPr="005C7060">
        <w:rPr>
          <w:i w:val="0"/>
          <w:iCs w:val="0"/>
          <w:lang w:val="sr-Cyrl-RS"/>
        </w:rPr>
        <w:fldChar w:fldCharType="separate"/>
      </w:r>
      <w:r w:rsidR="000A2E5A" w:rsidRPr="005C7060">
        <w:rPr>
          <w:i w:val="0"/>
          <w:iCs w:val="0"/>
          <w:noProof/>
          <w:lang w:val="sr-Cyrl-RS"/>
        </w:rPr>
        <w:t>1</w:t>
      </w:r>
      <w:r w:rsidRPr="005C7060">
        <w:rPr>
          <w:i w:val="0"/>
          <w:iCs w:val="0"/>
          <w:lang w:val="sr-Cyrl-RS"/>
        </w:rPr>
        <w:fldChar w:fldCharType="end"/>
      </w:r>
      <w:r w:rsidRPr="005C7060">
        <w:rPr>
          <w:i w:val="0"/>
          <w:iCs w:val="0"/>
          <w:lang w:val="sr-Cyrl-RS"/>
        </w:rPr>
        <w:t xml:space="preserve"> Плански оквир и документи у области реформе јавне управе</w:t>
      </w:r>
      <w:bookmarkEnd w:id="3"/>
    </w:p>
    <w:p w14:paraId="71653DBD" w14:textId="35C09ED3" w:rsidR="00462036" w:rsidRPr="00462036" w:rsidRDefault="00462036" w:rsidP="00462036">
      <w:pPr>
        <w:suppressAutoHyphens w:val="0"/>
        <w:autoSpaceDN/>
        <w:spacing w:before="0" w:after="120"/>
        <w:textAlignment w:val="auto"/>
        <w:rPr>
          <w:rFonts w:eastAsia="Times New Roman"/>
          <w:kern w:val="0"/>
          <w:lang w:eastAsia="en-GB" w:bidi="ar-SA"/>
        </w:rPr>
      </w:pPr>
      <w:r w:rsidRPr="00462036">
        <w:rPr>
          <w:rFonts w:eastAsiaTheme="minorHAnsi"/>
          <w:kern w:val="0"/>
          <w:lang w:eastAsia="en-US" w:bidi="ar-SA"/>
        </w:rPr>
        <w:t>Ова стратегија се као кровни документ развијала</w:t>
      </w:r>
      <w:r w:rsidRPr="00462036">
        <w:rPr>
          <w:rFonts w:eastAsia="Times New Roman"/>
          <w:kern w:val="0"/>
          <w:lang w:eastAsia="en-GB" w:bidi="ar-SA"/>
        </w:rPr>
        <w:t xml:space="preserve"> паралелно са три хијера</w:t>
      </w:r>
      <w:r w:rsidR="005C6E93">
        <w:rPr>
          <w:rFonts w:eastAsia="Times New Roman"/>
          <w:kern w:val="0"/>
          <w:lang w:eastAsia="en-GB" w:bidi="ar-SA"/>
        </w:rPr>
        <w:t>р</w:t>
      </w:r>
      <w:r w:rsidRPr="00462036">
        <w:rPr>
          <w:rFonts w:eastAsia="Times New Roman"/>
          <w:kern w:val="0"/>
          <w:lang w:eastAsia="en-GB" w:bidi="ar-SA"/>
        </w:rPr>
        <w:t xml:space="preserve">хијски нижа документа јавних политика, тј. програмима у области планирања и координације јавних политика у области управљања јавним финансијама (у даљем тексту: УЈФ) и у области система локалне самоуправе, док су области УЉР, пружања услуга и одговорности и транспарентности разрађене кроз Акциони план за спровођење Стратегије реформе јавне управе за период од 2021. до 2030. године (у даљем тексту: Акциони план Стратегије РЈУ). </w:t>
      </w:r>
    </w:p>
    <w:p w14:paraId="6EBBC91C" w14:textId="07011791" w:rsidR="00E22FCF" w:rsidRPr="000F0299" w:rsidRDefault="00462036" w:rsidP="00244E7C">
      <w:pPr>
        <w:rPr>
          <w:lang w:eastAsia="en-GB"/>
        </w:rPr>
      </w:pPr>
      <w:r w:rsidRPr="00462036">
        <w:rPr>
          <w:lang w:eastAsia="en-GB"/>
        </w:rPr>
        <w:t xml:space="preserve">У области УЉР овом стратегијом престају да важе две стратегије у области стручног усавршавања на централном и локалном нивоу, а област интерне ревизије, финансијског управљања и контроле постаје саставни део Програма за реформу јавних финансија, тј. не доноси се посебан документ јавне политике (стратегија), што је у складу са анализом ефеката утврђеном у ЗПС и намером да се побољша и смањи број докумената јавне политике. За План приоритетних активности за смањење административних терета у Републици Србији „Стоп бирократији” предвиђено је да након што му истекне трајање, буде обухваћен </w:t>
      </w:r>
      <w:bookmarkStart w:id="4" w:name="_Hlk57505556"/>
      <w:r w:rsidRPr="00462036">
        <w:rPr>
          <w:lang w:eastAsia="en-GB"/>
        </w:rPr>
        <w:t>Програмом за поједностављење административних поступака и регулативе „е-Папир” (у даљем тексту: Програм „е-Папир”).</w:t>
      </w:r>
      <w:bookmarkEnd w:id="4"/>
      <w:r w:rsidRPr="00462036">
        <w:rPr>
          <w:lang w:eastAsia="en-GB"/>
        </w:rPr>
        <w:t xml:space="preserve"> Програм за развој електронске управе престаје да се планира као посебан документ јавне политике, већ се израђује као оперативни план којим се планирају посебне активности и ресурси неопходни за њихово остварење за одређени период</w:t>
      </w:r>
      <w:r>
        <w:rPr>
          <w:lang w:eastAsia="en-GB"/>
        </w:rPr>
        <w:t>.</w:t>
      </w:r>
    </w:p>
    <w:p w14:paraId="0B57FC0E" w14:textId="3999C5EA" w:rsidR="00462036" w:rsidRPr="00462036" w:rsidRDefault="00462036" w:rsidP="00462036">
      <w:pPr>
        <w:suppressAutoHyphens w:val="0"/>
        <w:autoSpaceDN/>
        <w:spacing w:before="0" w:after="120"/>
        <w:textAlignment w:val="auto"/>
        <w:rPr>
          <w:rFonts w:eastAsia="Times New Roman"/>
          <w:kern w:val="0"/>
          <w:lang w:eastAsia="en-GB" w:bidi="ar-SA"/>
        </w:rPr>
      </w:pPr>
      <w:r w:rsidRPr="00462036">
        <w:rPr>
          <w:rFonts w:eastAsia="Times New Roman"/>
          <w:kern w:val="0"/>
          <w:lang w:eastAsia="en-GB" w:bidi="ar-SA"/>
        </w:rPr>
        <w:t>Како је РЈУ један од предуслова за успешно спроведен процес ев</w:t>
      </w:r>
      <w:r w:rsidR="005C6E93">
        <w:rPr>
          <w:rFonts w:eastAsia="Times New Roman"/>
          <w:kern w:val="0"/>
          <w:lang w:eastAsia="en-GB" w:bidi="ar-SA"/>
        </w:rPr>
        <w:t>р</w:t>
      </w:r>
      <w:r w:rsidRPr="00462036">
        <w:rPr>
          <w:rFonts w:eastAsia="Times New Roman"/>
          <w:kern w:val="0"/>
          <w:lang w:eastAsia="en-GB" w:bidi="ar-SA"/>
        </w:rPr>
        <w:t>опских интеграција, ова стратегија је израђена тако да јој је структура у складу са оквиром којим ЕУ мери напредак држава кандидата у области РЈУ, али и тако да дефинише конкретне одговоре на интерно мапиране изазове за наредни период.</w:t>
      </w:r>
    </w:p>
    <w:p w14:paraId="6B9F5932" w14:textId="20A0E571" w:rsidR="00E6492A" w:rsidRPr="00462036" w:rsidRDefault="00E6492A" w:rsidP="00E6492A">
      <w:pPr>
        <w:pStyle w:val="Caption"/>
        <w:keepNext/>
        <w:rPr>
          <w:i w:val="0"/>
          <w:iCs w:val="0"/>
          <w:lang w:val="sr-Cyrl-RS"/>
        </w:rPr>
      </w:pPr>
      <w:bookmarkStart w:id="5" w:name="_Toc57665373"/>
      <w:r w:rsidRPr="00964DB6">
        <w:rPr>
          <w:i w:val="0"/>
          <w:iCs w:val="0"/>
          <w:lang w:val="sr-Cyrl-RS"/>
        </w:rPr>
        <w:t xml:space="preserve">Табела </w:t>
      </w:r>
      <w:r w:rsidRPr="00964DB6">
        <w:rPr>
          <w:i w:val="0"/>
          <w:iCs w:val="0"/>
          <w:lang w:val="sr-Cyrl-RS"/>
        </w:rPr>
        <w:fldChar w:fldCharType="begin"/>
      </w:r>
      <w:r w:rsidRPr="00964DB6">
        <w:rPr>
          <w:i w:val="0"/>
          <w:iCs w:val="0"/>
          <w:lang w:val="sr-Cyrl-RS"/>
        </w:rPr>
        <w:instrText xml:space="preserve"> SEQ Табела \* ARABIC </w:instrText>
      </w:r>
      <w:r w:rsidRPr="00964DB6">
        <w:rPr>
          <w:i w:val="0"/>
          <w:iCs w:val="0"/>
          <w:lang w:val="sr-Cyrl-RS"/>
        </w:rPr>
        <w:fldChar w:fldCharType="separate"/>
      </w:r>
      <w:r w:rsidR="00772172" w:rsidRPr="00964DB6">
        <w:rPr>
          <w:i w:val="0"/>
          <w:iCs w:val="0"/>
          <w:noProof/>
          <w:lang w:val="sr-Cyrl-RS"/>
        </w:rPr>
        <w:t>1</w:t>
      </w:r>
      <w:r w:rsidRPr="00964DB6">
        <w:rPr>
          <w:i w:val="0"/>
          <w:iCs w:val="0"/>
          <w:lang w:val="sr-Cyrl-RS"/>
        </w:rPr>
        <w:fldChar w:fldCharType="end"/>
      </w:r>
      <w:r w:rsidRPr="00964DB6">
        <w:rPr>
          <w:i w:val="0"/>
          <w:iCs w:val="0"/>
          <w:lang w:val="sr-Cyrl-RS"/>
        </w:rPr>
        <w:t xml:space="preserve"> </w:t>
      </w:r>
      <w:r w:rsidR="00772172" w:rsidRPr="00964DB6">
        <w:rPr>
          <w:i w:val="0"/>
          <w:iCs w:val="0"/>
          <w:lang w:val="sr-Cyrl-RS"/>
        </w:rPr>
        <w:t>М</w:t>
      </w:r>
      <w:r w:rsidRPr="00964DB6">
        <w:rPr>
          <w:i w:val="0"/>
          <w:iCs w:val="0"/>
          <w:lang w:val="sr-Cyrl-RS"/>
        </w:rPr>
        <w:t xml:space="preserve">апирани важећи и будући </w:t>
      </w:r>
      <w:r w:rsidR="00772172" w:rsidRPr="00964DB6">
        <w:rPr>
          <w:i w:val="0"/>
          <w:iCs w:val="0"/>
          <w:lang w:val="sr-Cyrl-RS"/>
        </w:rPr>
        <w:t>ДЈП</w:t>
      </w:r>
      <w:r w:rsidRPr="00964DB6">
        <w:rPr>
          <w:i w:val="0"/>
          <w:iCs w:val="0"/>
          <w:lang w:val="sr-Cyrl-RS"/>
        </w:rPr>
        <w:t xml:space="preserve"> и други </w:t>
      </w:r>
      <w:r w:rsidR="00772172" w:rsidRPr="00964DB6">
        <w:rPr>
          <w:i w:val="0"/>
          <w:iCs w:val="0"/>
          <w:lang w:val="sr-Cyrl-RS"/>
        </w:rPr>
        <w:t xml:space="preserve">плански </w:t>
      </w:r>
      <w:r w:rsidR="000F0299" w:rsidRPr="00964DB6">
        <w:rPr>
          <w:i w:val="0"/>
          <w:iCs w:val="0"/>
          <w:lang w:val="sr-Cyrl-RS"/>
        </w:rPr>
        <w:t>документи</w:t>
      </w:r>
      <w:r w:rsidRPr="00964DB6">
        <w:rPr>
          <w:i w:val="0"/>
          <w:iCs w:val="0"/>
          <w:lang w:val="sr-Cyrl-RS"/>
        </w:rPr>
        <w:t xml:space="preserve"> за област РЈУ</w:t>
      </w:r>
      <w:bookmarkEnd w:id="5"/>
    </w:p>
    <w:tbl>
      <w:tblPr>
        <w:tblStyle w:val="TableGrid16"/>
        <w:tblW w:w="8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814"/>
        <w:gridCol w:w="4745"/>
        <w:gridCol w:w="2232"/>
      </w:tblGrid>
      <w:tr w:rsidR="00BA5F61" w:rsidRPr="000F0299" w14:paraId="5F7E2FCC" w14:textId="77777777" w:rsidTr="002F1B51">
        <w:trPr>
          <w:trHeight w:val="419"/>
        </w:trPr>
        <w:tc>
          <w:tcPr>
            <w:tcW w:w="1814" w:type="dxa"/>
            <w:tcBorders>
              <w:bottom w:val="single" w:sz="4" w:space="0" w:color="C5C2C2"/>
            </w:tcBorders>
            <w:vAlign w:val="center"/>
          </w:tcPr>
          <w:p w14:paraId="7F5DF6E7" w14:textId="77777777" w:rsidR="00BA5F61" w:rsidRPr="000F0299" w:rsidRDefault="00BA5F61" w:rsidP="002234A7">
            <w:pPr>
              <w:spacing w:before="0" w:after="0"/>
              <w:ind w:firstLine="0"/>
              <w:jc w:val="left"/>
              <w:rPr>
                <w:b/>
                <w:bCs/>
                <w:sz w:val="20"/>
                <w:szCs w:val="20"/>
              </w:rPr>
            </w:pPr>
            <w:r w:rsidRPr="000F0299">
              <w:rPr>
                <w:b/>
                <w:bCs/>
                <w:sz w:val="20"/>
                <w:szCs w:val="20"/>
              </w:rPr>
              <w:t>Тематске област</w:t>
            </w:r>
          </w:p>
        </w:tc>
        <w:tc>
          <w:tcPr>
            <w:tcW w:w="4745" w:type="dxa"/>
            <w:tcBorders>
              <w:bottom w:val="single" w:sz="4" w:space="0" w:color="C5C2C2"/>
            </w:tcBorders>
            <w:vAlign w:val="center"/>
          </w:tcPr>
          <w:p w14:paraId="52D60B7B" w14:textId="3B1760B8" w:rsidR="00BA5F61" w:rsidRPr="000F0299" w:rsidRDefault="00BA5F61" w:rsidP="002234A7">
            <w:pPr>
              <w:spacing w:before="0" w:after="0"/>
              <w:ind w:firstLine="0"/>
              <w:jc w:val="left"/>
              <w:rPr>
                <w:b/>
                <w:bCs/>
                <w:sz w:val="20"/>
                <w:szCs w:val="20"/>
              </w:rPr>
            </w:pPr>
            <w:r w:rsidRPr="000F0299">
              <w:rPr>
                <w:b/>
                <w:bCs/>
                <w:sz w:val="20"/>
                <w:szCs w:val="20"/>
              </w:rPr>
              <w:t>Постојећ</w:t>
            </w:r>
            <w:r w:rsidR="00103C54" w:rsidRPr="000F0299">
              <w:rPr>
                <w:b/>
                <w:bCs/>
                <w:sz w:val="20"/>
                <w:szCs w:val="20"/>
              </w:rPr>
              <w:t>и</w:t>
            </w:r>
            <w:r w:rsidRPr="000F0299">
              <w:rPr>
                <w:b/>
                <w:bCs/>
                <w:sz w:val="20"/>
                <w:szCs w:val="20"/>
              </w:rPr>
              <w:t xml:space="preserve"> планск</w:t>
            </w:r>
            <w:r w:rsidR="00103C54" w:rsidRPr="000F0299">
              <w:rPr>
                <w:b/>
                <w:bCs/>
                <w:sz w:val="20"/>
                <w:szCs w:val="20"/>
              </w:rPr>
              <w:t>и</w:t>
            </w:r>
            <w:r w:rsidRPr="000F0299">
              <w:rPr>
                <w:b/>
                <w:bCs/>
                <w:sz w:val="20"/>
                <w:szCs w:val="20"/>
              </w:rPr>
              <w:t xml:space="preserve"> документ</w:t>
            </w:r>
            <w:r w:rsidR="00103C54" w:rsidRPr="000F0299">
              <w:rPr>
                <w:b/>
                <w:bCs/>
                <w:sz w:val="20"/>
                <w:szCs w:val="20"/>
              </w:rPr>
              <w:t>и</w:t>
            </w:r>
          </w:p>
        </w:tc>
        <w:tc>
          <w:tcPr>
            <w:tcW w:w="2232" w:type="dxa"/>
            <w:tcBorders>
              <w:bottom w:val="single" w:sz="4" w:space="0" w:color="C5C2C2"/>
            </w:tcBorders>
            <w:vAlign w:val="center"/>
          </w:tcPr>
          <w:p w14:paraId="7883486B" w14:textId="77777777" w:rsidR="00BA5F61" w:rsidRPr="000F0299" w:rsidRDefault="00BA5F61" w:rsidP="002234A7">
            <w:pPr>
              <w:spacing w:before="0" w:after="0"/>
              <w:ind w:firstLine="0"/>
              <w:jc w:val="left"/>
              <w:rPr>
                <w:b/>
                <w:bCs/>
                <w:sz w:val="20"/>
                <w:szCs w:val="20"/>
              </w:rPr>
            </w:pPr>
            <w:r w:rsidRPr="000F0299">
              <w:rPr>
                <w:b/>
                <w:bCs/>
                <w:sz w:val="20"/>
                <w:szCs w:val="20"/>
              </w:rPr>
              <w:t>Будућа планска документа</w:t>
            </w:r>
          </w:p>
        </w:tc>
      </w:tr>
      <w:tr w:rsidR="00BA5F61" w:rsidRPr="000F0299" w14:paraId="65E35757" w14:textId="77777777" w:rsidTr="002F1B51">
        <w:trPr>
          <w:trHeight w:val="679"/>
        </w:trPr>
        <w:tc>
          <w:tcPr>
            <w:tcW w:w="1814" w:type="dxa"/>
            <w:tcBorders>
              <w:top w:val="single" w:sz="4" w:space="0" w:color="C5C2C2"/>
              <w:bottom w:val="single" w:sz="4" w:space="0" w:color="C5C2C2"/>
            </w:tcBorders>
            <w:shd w:val="clear" w:color="auto" w:fill="EBEBEB"/>
            <w:vAlign w:val="center"/>
          </w:tcPr>
          <w:p w14:paraId="06FC99ED" w14:textId="77777777" w:rsidR="00BA5F61" w:rsidRPr="000F0299" w:rsidRDefault="00BA5F61" w:rsidP="00BA5F61">
            <w:pPr>
              <w:spacing w:before="0"/>
              <w:ind w:firstLine="0"/>
              <w:jc w:val="left"/>
              <w:rPr>
                <w:sz w:val="20"/>
                <w:szCs w:val="20"/>
              </w:rPr>
            </w:pPr>
            <w:r w:rsidRPr="000F0299">
              <w:rPr>
                <w:rFonts w:eastAsia="Gill Sans MT"/>
                <w:b/>
                <w:bCs/>
                <w:kern w:val="0"/>
                <w:sz w:val="20"/>
                <w:szCs w:val="20"/>
                <w:lang w:eastAsia="en-US" w:bidi="ar-SA"/>
              </w:rPr>
              <w:t>Планирање и координација политика</w:t>
            </w:r>
          </w:p>
        </w:tc>
        <w:tc>
          <w:tcPr>
            <w:tcW w:w="4745" w:type="dxa"/>
            <w:tcBorders>
              <w:top w:val="single" w:sz="4" w:space="0" w:color="C5C2C2"/>
              <w:bottom w:val="single" w:sz="4" w:space="0" w:color="C5C2C2"/>
            </w:tcBorders>
            <w:vAlign w:val="center"/>
          </w:tcPr>
          <w:p w14:paraId="23A9D365" w14:textId="77777777" w:rsidR="00BA5F61" w:rsidRPr="000F0299" w:rsidRDefault="00BA5F61" w:rsidP="00BA5F61">
            <w:pPr>
              <w:suppressAutoHyphens w:val="0"/>
              <w:autoSpaceDN/>
              <w:spacing w:before="0"/>
              <w:ind w:firstLine="0"/>
              <w:textAlignment w:val="auto"/>
              <w:rPr>
                <w:rFonts w:eastAsia="Gill Sans MT"/>
                <w:kern w:val="0"/>
                <w:sz w:val="20"/>
                <w:szCs w:val="20"/>
                <w:lang w:eastAsia="en-US" w:bidi="ar-SA"/>
              </w:rPr>
            </w:pPr>
            <w:r w:rsidRPr="000F0299">
              <w:rPr>
                <w:rFonts w:eastAsia="Gill Sans MT"/>
                <w:kern w:val="0"/>
                <w:sz w:val="20"/>
                <w:szCs w:val="20"/>
                <w:lang w:eastAsia="en-US" w:bidi="ar-SA"/>
              </w:rPr>
              <w:t>Стратегија регулаторне реформе и унапређења система УЈП 2016-2020</w:t>
            </w:r>
          </w:p>
        </w:tc>
        <w:tc>
          <w:tcPr>
            <w:tcW w:w="2232" w:type="dxa"/>
            <w:tcBorders>
              <w:top w:val="single" w:sz="4" w:space="0" w:color="C5C2C2"/>
              <w:bottom w:val="single" w:sz="4" w:space="0" w:color="C5C2C2"/>
            </w:tcBorders>
            <w:shd w:val="clear" w:color="auto" w:fill="F2F2F2"/>
            <w:vAlign w:val="center"/>
          </w:tcPr>
          <w:p w14:paraId="451F894E" w14:textId="77777777" w:rsidR="00BA5F61" w:rsidRPr="000F0299" w:rsidRDefault="00BA5F61" w:rsidP="00BA5F61">
            <w:pPr>
              <w:spacing w:before="0"/>
              <w:ind w:firstLine="0"/>
              <w:jc w:val="left"/>
              <w:rPr>
                <w:sz w:val="20"/>
                <w:szCs w:val="20"/>
              </w:rPr>
            </w:pPr>
            <w:r w:rsidRPr="000F0299">
              <w:rPr>
                <w:kern w:val="24"/>
                <w:sz w:val="20"/>
                <w:szCs w:val="20"/>
              </w:rPr>
              <w:t>Будући Програм регулаторне реформе и УЈП</w:t>
            </w:r>
          </w:p>
        </w:tc>
      </w:tr>
      <w:tr w:rsidR="00BA5F61" w:rsidRPr="000F0299" w14:paraId="3011CA78" w14:textId="77777777" w:rsidTr="002F1B51">
        <w:trPr>
          <w:trHeight w:val="737"/>
        </w:trPr>
        <w:tc>
          <w:tcPr>
            <w:tcW w:w="1814" w:type="dxa"/>
            <w:tcBorders>
              <w:top w:val="single" w:sz="4" w:space="0" w:color="C5C2C2"/>
              <w:bottom w:val="single" w:sz="4" w:space="0" w:color="C5C2C2"/>
            </w:tcBorders>
            <w:shd w:val="clear" w:color="auto" w:fill="D9D9D9"/>
            <w:vAlign w:val="center"/>
          </w:tcPr>
          <w:p w14:paraId="5D9A94EC" w14:textId="77777777" w:rsidR="00BA5F61" w:rsidRPr="000F0299" w:rsidRDefault="00BA5F61" w:rsidP="00BA5F61">
            <w:pPr>
              <w:spacing w:before="0"/>
              <w:ind w:firstLine="0"/>
              <w:jc w:val="left"/>
              <w:rPr>
                <w:sz w:val="20"/>
                <w:szCs w:val="20"/>
              </w:rPr>
            </w:pPr>
            <w:r w:rsidRPr="000F0299">
              <w:rPr>
                <w:rFonts w:eastAsia="Gill Sans MT"/>
                <w:b/>
                <w:bCs/>
                <w:kern w:val="0"/>
                <w:sz w:val="20"/>
                <w:szCs w:val="20"/>
                <w:lang w:eastAsia="en-US" w:bidi="ar-SA"/>
              </w:rPr>
              <w:t>Управљање људским ресурсима</w:t>
            </w:r>
          </w:p>
        </w:tc>
        <w:tc>
          <w:tcPr>
            <w:tcW w:w="4745" w:type="dxa"/>
            <w:tcBorders>
              <w:top w:val="single" w:sz="4" w:space="0" w:color="C5C2C2"/>
              <w:bottom w:val="single" w:sz="4" w:space="0" w:color="C5C2C2"/>
            </w:tcBorders>
            <w:vAlign w:val="center"/>
          </w:tcPr>
          <w:p w14:paraId="0E50064B" w14:textId="77777777" w:rsidR="00BA5F61" w:rsidRPr="002F1B51" w:rsidRDefault="00BA5F61" w:rsidP="00BA5F61">
            <w:pPr>
              <w:suppressAutoHyphens w:val="0"/>
              <w:autoSpaceDN/>
              <w:spacing w:before="0"/>
              <w:ind w:firstLine="0"/>
              <w:textAlignment w:val="auto"/>
              <w:rPr>
                <w:rFonts w:eastAsia="Gill Sans MT"/>
                <w:kern w:val="0"/>
                <w:sz w:val="20"/>
                <w:szCs w:val="20"/>
                <w:vertAlign w:val="superscript"/>
                <w:lang w:eastAsia="en-US" w:bidi="ar-SA"/>
              </w:rPr>
            </w:pPr>
            <w:r w:rsidRPr="000F0299">
              <w:rPr>
                <w:rFonts w:eastAsia="Gill Sans MT"/>
                <w:kern w:val="0"/>
                <w:sz w:val="20"/>
                <w:szCs w:val="20"/>
                <w:lang w:eastAsia="en-US" w:bidi="ar-SA"/>
              </w:rPr>
              <w:t>Стратегија стручног усавршавања државних службеника у РС*</w:t>
            </w:r>
          </w:p>
          <w:p w14:paraId="2F0E1595" w14:textId="77777777" w:rsidR="00BA5F61" w:rsidRPr="000F0299" w:rsidRDefault="00BA5F61" w:rsidP="00BA5F61">
            <w:pPr>
              <w:suppressAutoHyphens w:val="0"/>
              <w:autoSpaceDN/>
              <w:spacing w:before="0"/>
              <w:ind w:firstLine="0"/>
              <w:textAlignment w:val="auto"/>
              <w:rPr>
                <w:rFonts w:eastAsia="Gill Sans MT"/>
                <w:kern w:val="0"/>
                <w:sz w:val="20"/>
                <w:szCs w:val="20"/>
                <w:lang w:eastAsia="en-US" w:bidi="ar-SA"/>
              </w:rPr>
            </w:pPr>
            <w:r w:rsidRPr="000F0299">
              <w:rPr>
                <w:rFonts w:eastAsia="Gill Sans MT"/>
                <w:kern w:val="0"/>
                <w:sz w:val="20"/>
                <w:szCs w:val="20"/>
                <w:lang w:eastAsia="en-US" w:bidi="ar-SA"/>
              </w:rPr>
              <w:t>Стратегија стручног усавршавања запослених у ЈЛС*</w:t>
            </w:r>
          </w:p>
        </w:tc>
        <w:tc>
          <w:tcPr>
            <w:tcW w:w="2232" w:type="dxa"/>
            <w:tcBorders>
              <w:top w:val="single" w:sz="4" w:space="0" w:color="C5C2C2"/>
              <w:bottom w:val="single" w:sz="4" w:space="0" w:color="C5C2C2"/>
            </w:tcBorders>
            <w:vAlign w:val="center"/>
          </w:tcPr>
          <w:p w14:paraId="4A5EC0A8" w14:textId="77777777" w:rsidR="00BA5F61" w:rsidRPr="000F0299" w:rsidRDefault="00BA5F61" w:rsidP="00BA5F61">
            <w:pPr>
              <w:spacing w:before="0"/>
              <w:ind w:firstLine="0"/>
              <w:jc w:val="left"/>
              <w:rPr>
                <w:sz w:val="20"/>
                <w:szCs w:val="20"/>
              </w:rPr>
            </w:pPr>
          </w:p>
        </w:tc>
      </w:tr>
      <w:tr w:rsidR="00BA5F61" w:rsidRPr="000F0299" w14:paraId="68E3AB96" w14:textId="77777777" w:rsidTr="002F1B51">
        <w:trPr>
          <w:trHeight w:val="1416"/>
        </w:trPr>
        <w:tc>
          <w:tcPr>
            <w:tcW w:w="1814" w:type="dxa"/>
            <w:tcBorders>
              <w:top w:val="single" w:sz="4" w:space="0" w:color="C5C2C2"/>
              <w:bottom w:val="single" w:sz="4" w:space="0" w:color="C5C2C2"/>
            </w:tcBorders>
            <w:shd w:val="clear" w:color="auto" w:fill="E0EFF5"/>
            <w:vAlign w:val="center"/>
          </w:tcPr>
          <w:p w14:paraId="3591247A" w14:textId="77777777" w:rsidR="00BA5F61" w:rsidRPr="000F0299" w:rsidRDefault="00BA5F61" w:rsidP="00BA5F61">
            <w:pPr>
              <w:spacing w:before="0"/>
              <w:ind w:firstLine="0"/>
              <w:jc w:val="left"/>
              <w:rPr>
                <w:sz w:val="20"/>
                <w:szCs w:val="20"/>
              </w:rPr>
            </w:pPr>
            <w:r w:rsidRPr="000F0299">
              <w:rPr>
                <w:rFonts w:eastAsia="Gill Sans MT"/>
                <w:b/>
                <w:bCs/>
                <w:kern w:val="0"/>
                <w:sz w:val="20"/>
                <w:szCs w:val="20"/>
                <w:lang w:eastAsia="en-US" w:bidi="ar-SA"/>
              </w:rPr>
              <w:t>Пружање јавних услуга</w:t>
            </w:r>
          </w:p>
        </w:tc>
        <w:tc>
          <w:tcPr>
            <w:tcW w:w="4745" w:type="dxa"/>
            <w:tcBorders>
              <w:top w:val="single" w:sz="4" w:space="0" w:color="C5C2C2"/>
              <w:bottom w:val="single" w:sz="4" w:space="0" w:color="C5C2C2"/>
            </w:tcBorders>
            <w:vAlign w:val="center"/>
          </w:tcPr>
          <w:p w14:paraId="1C312FB8" w14:textId="77777777" w:rsidR="00BA5F61" w:rsidRPr="000F0299" w:rsidRDefault="00BA5F61" w:rsidP="00BA5F61">
            <w:pPr>
              <w:suppressAutoHyphens w:val="0"/>
              <w:autoSpaceDN/>
              <w:spacing w:before="0"/>
              <w:ind w:firstLine="0"/>
              <w:textAlignment w:val="auto"/>
              <w:rPr>
                <w:rFonts w:eastAsia="Gill Sans MT"/>
                <w:kern w:val="0"/>
                <w:sz w:val="20"/>
                <w:szCs w:val="20"/>
                <w:lang w:eastAsia="en-US" w:bidi="ar-SA"/>
              </w:rPr>
            </w:pPr>
            <w:r w:rsidRPr="000F0299">
              <w:rPr>
                <w:rFonts w:eastAsia="Gill Sans MT"/>
                <w:kern w:val="0"/>
                <w:sz w:val="20"/>
                <w:szCs w:val="20"/>
                <w:lang w:eastAsia="en-US" w:bidi="ar-SA"/>
              </w:rPr>
              <w:t>План приоритетних активности за смањење административних терета за 2019-2021 (Стоп бирократији)</w:t>
            </w:r>
          </w:p>
          <w:p w14:paraId="26005FB1" w14:textId="77777777" w:rsidR="00BA5F61" w:rsidRPr="000F0299" w:rsidRDefault="00BA5F61" w:rsidP="00BA5F61">
            <w:pPr>
              <w:suppressAutoHyphens w:val="0"/>
              <w:autoSpaceDN/>
              <w:spacing w:before="0"/>
              <w:ind w:firstLine="0"/>
              <w:textAlignment w:val="auto"/>
              <w:rPr>
                <w:rFonts w:eastAsia="Gill Sans MT"/>
                <w:kern w:val="0"/>
                <w:sz w:val="20"/>
                <w:szCs w:val="20"/>
                <w:lang w:eastAsia="en-US" w:bidi="ar-SA"/>
              </w:rPr>
            </w:pPr>
            <w:r w:rsidRPr="000F0299">
              <w:rPr>
                <w:rFonts w:eastAsia="Gill Sans MT"/>
                <w:kern w:val="0"/>
                <w:sz w:val="20"/>
                <w:szCs w:val="20"/>
                <w:lang w:eastAsia="en-US" w:bidi="ar-SA"/>
              </w:rPr>
              <w:t>Програм за развој е управе 2020-2022</w:t>
            </w:r>
          </w:p>
          <w:p w14:paraId="7763C577" w14:textId="77777777" w:rsidR="00BA5F61" w:rsidRPr="000F0299" w:rsidRDefault="00BA5F61" w:rsidP="00BA5F61">
            <w:pPr>
              <w:suppressAutoHyphens w:val="0"/>
              <w:autoSpaceDN/>
              <w:spacing w:before="0"/>
              <w:ind w:firstLine="0"/>
              <w:textAlignment w:val="auto"/>
              <w:rPr>
                <w:sz w:val="20"/>
                <w:szCs w:val="20"/>
              </w:rPr>
            </w:pPr>
            <w:r w:rsidRPr="000F0299">
              <w:rPr>
                <w:rFonts w:eastAsia="Gill Sans MT"/>
                <w:kern w:val="0"/>
                <w:sz w:val="20"/>
                <w:szCs w:val="20"/>
                <w:lang w:eastAsia="en-US" w:bidi="ar-SA"/>
              </w:rPr>
              <w:t>Програм за поједностављење административних поступака „е-Папир“ 2019-2021</w:t>
            </w:r>
          </w:p>
        </w:tc>
        <w:tc>
          <w:tcPr>
            <w:tcW w:w="2232" w:type="dxa"/>
            <w:tcBorders>
              <w:top w:val="single" w:sz="4" w:space="0" w:color="C5C2C2"/>
              <w:bottom w:val="single" w:sz="4" w:space="0" w:color="C5C2C2"/>
            </w:tcBorders>
            <w:vAlign w:val="center"/>
          </w:tcPr>
          <w:p w14:paraId="499B60F6" w14:textId="77777777" w:rsidR="00BA5F61" w:rsidRPr="000F0299" w:rsidRDefault="00BA5F61" w:rsidP="00BA5F61">
            <w:pPr>
              <w:spacing w:before="0"/>
              <w:ind w:firstLine="0"/>
              <w:jc w:val="left"/>
              <w:rPr>
                <w:sz w:val="20"/>
                <w:szCs w:val="20"/>
              </w:rPr>
            </w:pPr>
          </w:p>
        </w:tc>
      </w:tr>
      <w:tr w:rsidR="00BA5F61" w:rsidRPr="000F0299" w14:paraId="010899DD" w14:textId="77777777" w:rsidTr="002F1B51">
        <w:trPr>
          <w:trHeight w:val="703"/>
        </w:trPr>
        <w:tc>
          <w:tcPr>
            <w:tcW w:w="1814" w:type="dxa"/>
            <w:tcBorders>
              <w:top w:val="single" w:sz="4" w:space="0" w:color="C5C2C2"/>
              <w:bottom w:val="single" w:sz="4" w:space="0" w:color="C5C2C2"/>
            </w:tcBorders>
            <w:shd w:val="clear" w:color="auto" w:fill="D5DEEE"/>
            <w:vAlign w:val="center"/>
          </w:tcPr>
          <w:p w14:paraId="013A7AC1" w14:textId="77777777" w:rsidR="00BA5F61" w:rsidRPr="000F0299" w:rsidRDefault="00BA5F61" w:rsidP="00BA5F61">
            <w:pPr>
              <w:spacing w:before="0"/>
              <w:ind w:firstLine="0"/>
              <w:jc w:val="left"/>
              <w:rPr>
                <w:rFonts w:eastAsia="Gill Sans MT"/>
                <w:b/>
                <w:bCs/>
                <w:kern w:val="0"/>
                <w:sz w:val="20"/>
                <w:szCs w:val="20"/>
                <w:lang w:eastAsia="en-US" w:bidi="ar-SA"/>
              </w:rPr>
            </w:pPr>
            <w:r w:rsidRPr="000F0299">
              <w:rPr>
                <w:rFonts w:eastAsia="Gill Sans MT"/>
                <w:b/>
                <w:bCs/>
                <w:kern w:val="0"/>
                <w:sz w:val="20"/>
                <w:szCs w:val="20"/>
                <w:lang w:eastAsia="en-US" w:bidi="ar-SA"/>
              </w:rPr>
              <w:t>Одговорност и транспарентност</w:t>
            </w:r>
          </w:p>
        </w:tc>
        <w:tc>
          <w:tcPr>
            <w:tcW w:w="4745" w:type="dxa"/>
            <w:tcBorders>
              <w:top w:val="single" w:sz="4" w:space="0" w:color="C5C2C2"/>
              <w:bottom w:val="single" w:sz="4" w:space="0" w:color="C5C2C2"/>
            </w:tcBorders>
            <w:vAlign w:val="center"/>
          </w:tcPr>
          <w:p w14:paraId="4E84CECA" w14:textId="77777777" w:rsidR="00BA5F61" w:rsidRPr="000F0299" w:rsidRDefault="00BA5F61" w:rsidP="00BA5F61">
            <w:pPr>
              <w:suppressAutoHyphens w:val="0"/>
              <w:autoSpaceDN/>
              <w:spacing w:before="0"/>
              <w:ind w:firstLine="0"/>
              <w:textAlignment w:val="auto"/>
              <w:rPr>
                <w:rFonts w:eastAsia="Gill Sans MT"/>
                <w:kern w:val="0"/>
                <w:sz w:val="20"/>
                <w:szCs w:val="20"/>
                <w:lang w:eastAsia="en-US" w:bidi="ar-SA"/>
              </w:rPr>
            </w:pPr>
            <w:r w:rsidRPr="000F0299">
              <w:rPr>
                <w:rFonts w:eastAsia="Gill Sans MT"/>
                <w:kern w:val="0"/>
                <w:sz w:val="20"/>
                <w:szCs w:val="20"/>
                <w:lang w:eastAsia="en-US" w:bidi="ar-SA"/>
              </w:rPr>
              <w:t>Побочни документи јавних политика:</w:t>
            </w:r>
          </w:p>
          <w:p w14:paraId="57FDF3CC" w14:textId="77777777" w:rsidR="00BA5F61" w:rsidRPr="000F0299" w:rsidRDefault="00BA5F61" w:rsidP="00E62A1A">
            <w:pPr>
              <w:numPr>
                <w:ilvl w:val="0"/>
                <w:numId w:val="53"/>
              </w:numPr>
              <w:suppressAutoHyphens w:val="0"/>
              <w:autoSpaceDN/>
              <w:spacing w:before="0"/>
              <w:ind w:left="222" w:hanging="218"/>
              <w:contextualSpacing/>
              <w:textAlignment w:val="auto"/>
              <w:rPr>
                <w:rFonts w:eastAsia="Gill Sans MT" w:cs="Mangal"/>
                <w:kern w:val="0"/>
                <w:sz w:val="20"/>
                <w:szCs w:val="20"/>
                <w:lang w:eastAsia="en-US" w:bidi="ar-SA"/>
              </w:rPr>
            </w:pPr>
            <w:r w:rsidRPr="000F0299">
              <w:rPr>
                <w:rFonts w:eastAsia="Gill Sans MT" w:cs="Mangal"/>
                <w:kern w:val="0"/>
                <w:sz w:val="20"/>
                <w:szCs w:val="20"/>
                <w:lang w:eastAsia="en-US" w:bidi="ar-SA"/>
              </w:rPr>
              <w:t>АП за Поглавље 23</w:t>
            </w:r>
          </w:p>
          <w:p w14:paraId="447EBFD6" w14:textId="77777777" w:rsidR="00BA5F61" w:rsidRPr="000F0299" w:rsidRDefault="00BA5F61" w:rsidP="00E62A1A">
            <w:pPr>
              <w:numPr>
                <w:ilvl w:val="0"/>
                <w:numId w:val="53"/>
              </w:numPr>
              <w:spacing w:before="0"/>
              <w:ind w:left="222" w:hanging="218"/>
              <w:contextualSpacing/>
              <w:jc w:val="left"/>
              <w:rPr>
                <w:sz w:val="20"/>
                <w:szCs w:val="20"/>
              </w:rPr>
            </w:pPr>
            <w:r w:rsidRPr="000F0299">
              <w:rPr>
                <w:rFonts w:eastAsia="Gill Sans MT" w:cs="Mangal"/>
                <w:kern w:val="0"/>
                <w:sz w:val="20"/>
                <w:szCs w:val="20"/>
                <w:lang w:eastAsia="en-US" w:bidi="ar-SA"/>
              </w:rPr>
              <w:t>АП за спровођење ОГП</w:t>
            </w:r>
          </w:p>
        </w:tc>
        <w:tc>
          <w:tcPr>
            <w:tcW w:w="2232" w:type="dxa"/>
            <w:tcBorders>
              <w:top w:val="single" w:sz="4" w:space="0" w:color="C5C2C2"/>
              <w:bottom w:val="single" w:sz="4" w:space="0" w:color="C5C2C2"/>
            </w:tcBorders>
            <w:vAlign w:val="center"/>
          </w:tcPr>
          <w:p w14:paraId="4D924FB4" w14:textId="77777777" w:rsidR="00BA5F61" w:rsidRPr="000F0299" w:rsidRDefault="00BA5F61" w:rsidP="00BA5F61">
            <w:pPr>
              <w:spacing w:before="0"/>
              <w:ind w:firstLine="0"/>
              <w:jc w:val="left"/>
              <w:rPr>
                <w:sz w:val="20"/>
                <w:szCs w:val="20"/>
              </w:rPr>
            </w:pPr>
          </w:p>
        </w:tc>
      </w:tr>
      <w:tr w:rsidR="00BA5F61" w:rsidRPr="000F0299" w14:paraId="6337AB7F" w14:textId="77777777" w:rsidTr="002F1B51">
        <w:trPr>
          <w:trHeight w:val="1006"/>
        </w:trPr>
        <w:tc>
          <w:tcPr>
            <w:tcW w:w="1814" w:type="dxa"/>
            <w:tcBorders>
              <w:top w:val="single" w:sz="4" w:space="0" w:color="C5C2C2"/>
              <w:bottom w:val="single" w:sz="4" w:space="0" w:color="C5C2C2"/>
            </w:tcBorders>
            <w:shd w:val="clear" w:color="auto" w:fill="839DCC"/>
            <w:vAlign w:val="center"/>
          </w:tcPr>
          <w:p w14:paraId="42037539" w14:textId="77777777" w:rsidR="00BA5F61" w:rsidRPr="000F0299" w:rsidRDefault="00BA5F61" w:rsidP="00BA5F61">
            <w:pPr>
              <w:spacing w:before="0"/>
              <w:ind w:firstLine="0"/>
              <w:jc w:val="left"/>
              <w:rPr>
                <w:rFonts w:eastAsia="Gill Sans MT"/>
                <w:b/>
                <w:bCs/>
                <w:kern w:val="0"/>
                <w:sz w:val="20"/>
                <w:szCs w:val="20"/>
                <w:lang w:eastAsia="en-US" w:bidi="ar-SA"/>
              </w:rPr>
            </w:pPr>
            <w:r w:rsidRPr="000F0299">
              <w:rPr>
                <w:rFonts w:eastAsia="Gill Sans MT"/>
                <w:b/>
                <w:bCs/>
                <w:kern w:val="0"/>
                <w:sz w:val="20"/>
                <w:szCs w:val="20"/>
                <w:lang w:eastAsia="en-US" w:bidi="ar-SA"/>
              </w:rPr>
              <w:t>Управљање јавним финансијама</w:t>
            </w:r>
          </w:p>
        </w:tc>
        <w:tc>
          <w:tcPr>
            <w:tcW w:w="4745" w:type="dxa"/>
            <w:tcBorders>
              <w:top w:val="single" w:sz="4" w:space="0" w:color="C5C2C2"/>
              <w:bottom w:val="single" w:sz="4" w:space="0" w:color="C5C2C2"/>
            </w:tcBorders>
            <w:vAlign w:val="center"/>
          </w:tcPr>
          <w:p w14:paraId="19B4DF8E" w14:textId="77777777" w:rsidR="00BA5F61" w:rsidRPr="000F0299" w:rsidRDefault="00BA5F61" w:rsidP="00BA5F61">
            <w:pPr>
              <w:suppressAutoHyphens w:val="0"/>
              <w:autoSpaceDN/>
              <w:spacing w:before="0"/>
              <w:ind w:firstLine="0"/>
              <w:textAlignment w:val="auto"/>
              <w:rPr>
                <w:rFonts w:eastAsia="Gill Sans MT"/>
                <w:kern w:val="0"/>
                <w:sz w:val="20"/>
                <w:szCs w:val="20"/>
                <w:lang w:eastAsia="en-US" w:bidi="ar-SA"/>
              </w:rPr>
            </w:pPr>
            <w:r w:rsidRPr="000F0299">
              <w:rPr>
                <w:rFonts w:eastAsia="Gill Sans MT"/>
                <w:kern w:val="0"/>
                <w:sz w:val="20"/>
                <w:szCs w:val="20"/>
                <w:lang w:eastAsia="en-US" w:bidi="ar-SA"/>
              </w:rPr>
              <w:t>Програм РУЈФ 2016-2020</w:t>
            </w:r>
          </w:p>
          <w:p w14:paraId="4AF11357" w14:textId="77777777" w:rsidR="00BA5F61" w:rsidRPr="000F0299" w:rsidRDefault="00BA5F61" w:rsidP="00BA5F61">
            <w:pPr>
              <w:suppressAutoHyphens w:val="0"/>
              <w:autoSpaceDN/>
              <w:spacing w:before="0"/>
              <w:ind w:firstLine="0"/>
              <w:textAlignment w:val="auto"/>
              <w:rPr>
                <w:rFonts w:eastAsia="Gill Sans MT"/>
                <w:kern w:val="0"/>
                <w:sz w:val="20"/>
                <w:szCs w:val="20"/>
                <w:lang w:eastAsia="en-US" w:bidi="ar-SA"/>
              </w:rPr>
            </w:pPr>
            <w:r w:rsidRPr="000F0299">
              <w:rPr>
                <w:rFonts w:eastAsia="Gill Sans MT"/>
                <w:kern w:val="0"/>
                <w:sz w:val="20"/>
                <w:szCs w:val="20"/>
                <w:lang w:eastAsia="en-US" w:bidi="ar-SA"/>
              </w:rPr>
              <w:t>Стратегија развоја интерне финансијске контроле у јавном сектору за 2017-2020**</w:t>
            </w:r>
          </w:p>
          <w:p w14:paraId="1D7FD8C2" w14:textId="77777777" w:rsidR="00BA5F61" w:rsidRPr="000F0299" w:rsidRDefault="00BA5F61" w:rsidP="00BA5F61">
            <w:pPr>
              <w:suppressAutoHyphens w:val="0"/>
              <w:autoSpaceDN/>
              <w:spacing w:before="0"/>
              <w:ind w:firstLine="0"/>
              <w:textAlignment w:val="auto"/>
              <w:rPr>
                <w:rFonts w:eastAsia="Gill Sans MT"/>
                <w:kern w:val="0"/>
                <w:sz w:val="20"/>
                <w:szCs w:val="20"/>
                <w:lang w:eastAsia="en-US" w:bidi="ar-SA"/>
              </w:rPr>
            </w:pPr>
            <w:r w:rsidRPr="000F0299">
              <w:rPr>
                <w:rFonts w:eastAsia="Gill Sans MT"/>
                <w:kern w:val="0"/>
                <w:sz w:val="20"/>
                <w:szCs w:val="20"/>
                <w:lang w:eastAsia="en-US" w:bidi="ar-SA"/>
              </w:rPr>
              <w:t>Стратегија развоја јавних набавки 2019-2023</w:t>
            </w:r>
          </w:p>
        </w:tc>
        <w:tc>
          <w:tcPr>
            <w:tcW w:w="2232" w:type="dxa"/>
            <w:tcBorders>
              <w:top w:val="single" w:sz="4" w:space="0" w:color="C5C2C2"/>
              <w:bottom w:val="single" w:sz="4" w:space="0" w:color="C5C2C2"/>
            </w:tcBorders>
            <w:shd w:val="clear" w:color="auto" w:fill="A6B9DA"/>
          </w:tcPr>
          <w:p w14:paraId="4CAB5062" w14:textId="77777777" w:rsidR="00BA5F61" w:rsidRPr="000F0299" w:rsidRDefault="00BA5F61" w:rsidP="00BA5F61">
            <w:pPr>
              <w:spacing w:before="0"/>
              <w:ind w:firstLine="0"/>
              <w:jc w:val="left"/>
              <w:rPr>
                <w:sz w:val="20"/>
                <w:szCs w:val="20"/>
              </w:rPr>
            </w:pPr>
            <w:r w:rsidRPr="000F0299">
              <w:rPr>
                <w:sz w:val="20"/>
                <w:szCs w:val="20"/>
              </w:rPr>
              <w:t>Будући Програм РУЈФ</w:t>
            </w:r>
          </w:p>
        </w:tc>
      </w:tr>
      <w:tr w:rsidR="00BA5F61" w:rsidRPr="000F0299" w14:paraId="3B7FCAE1" w14:textId="77777777" w:rsidTr="002F1B51">
        <w:trPr>
          <w:trHeight w:val="469"/>
        </w:trPr>
        <w:tc>
          <w:tcPr>
            <w:tcW w:w="1814" w:type="dxa"/>
            <w:tcBorders>
              <w:top w:val="single" w:sz="4" w:space="0" w:color="C5C2C2"/>
              <w:bottom w:val="single" w:sz="4" w:space="0" w:color="C5C2C2"/>
            </w:tcBorders>
            <w:shd w:val="clear" w:color="auto" w:fill="6C7781"/>
            <w:vAlign w:val="center"/>
          </w:tcPr>
          <w:p w14:paraId="69BB168E" w14:textId="77777777" w:rsidR="00BA5F61" w:rsidRPr="000F0299" w:rsidRDefault="00BA5F61" w:rsidP="00BA5F61">
            <w:pPr>
              <w:spacing w:before="0"/>
              <w:ind w:firstLine="0"/>
              <w:jc w:val="left"/>
              <w:rPr>
                <w:sz w:val="20"/>
                <w:szCs w:val="20"/>
              </w:rPr>
            </w:pPr>
            <w:r w:rsidRPr="000F0299">
              <w:rPr>
                <w:rFonts w:eastAsia="Gill Sans MT"/>
                <w:b/>
                <w:bCs/>
                <w:color w:val="FFFFFF"/>
                <w:kern w:val="0"/>
                <w:sz w:val="20"/>
                <w:szCs w:val="20"/>
                <w:lang w:eastAsia="en-US" w:bidi="ar-SA"/>
              </w:rPr>
              <w:t>Локална самоуправа</w:t>
            </w:r>
          </w:p>
        </w:tc>
        <w:tc>
          <w:tcPr>
            <w:tcW w:w="4745" w:type="dxa"/>
            <w:tcBorders>
              <w:top w:val="single" w:sz="4" w:space="0" w:color="C5C2C2"/>
              <w:bottom w:val="single" w:sz="4" w:space="0" w:color="C5C2C2"/>
            </w:tcBorders>
            <w:vAlign w:val="center"/>
          </w:tcPr>
          <w:p w14:paraId="495D233F" w14:textId="77777777" w:rsidR="00BA5F61" w:rsidRPr="000F0299" w:rsidRDefault="00BA5F61" w:rsidP="00BA5F61">
            <w:pPr>
              <w:spacing w:before="0"/>
              <w:ind w:firstLine="0"/>
              <w:jc w:val="left"/>
              <w:rPr>
                <w:sz w:val="20"/>
                <w:szCs w:val="20"/>
              </w:rPr>
            </w:pPr>
          </w:p>
        </w:tc>
        <w:tc>
          <w:tcPr>
            <w:tcW w:w="2232" w:type="dxa"/>
            <w:tcBorders>
              <w:top w:val="single" w:sz="4" w:space="0" w:color="C5C2C2"/>
              <w:bottom w:val="single" w:sz="4" w:space="0" w:color="C5C2C2"/>
            </w:tcBorders>
            <w:shd w:val="clear" w:color="auto" w:fill="777E99"/>
          </w:tcPr>
          <w:p w14:paraId="151E03AD" w14:textId="77777777" w:rsidR="00BA5F61" w:rsidRPr="000F0299" w:rsidRDefault="00BA5F61" w:rsidP="00BA5F61">
            <w:pPr>
              <w:spacing w:before="0"/>
              <w:ind w:firstLine="0"/>
              <w:jc w:val="left"/>
              <w:rPr>
                <w:sz w:val="20"/>
                <w:szCs w:val="20"/>
              </w:rPr>
            </w:pPr>
            <w:r w:rsidRPr="000F0299">
              <w:rPr>
                <w:rFonts w:eastAsia="Gill Sans MT"/>
                <w:color w:val="FFFFFF"/>
                <w:kern w:val="0"/>
                <w:sz w:val="20"/>
                <w:szCs w:val="20"/>
                <w:lang w:eastAsia="en-US" w:bidi="ar-SA"/>
              </w:rPr>
              <w:t xml:space="preserve">Будући Програм реформе система ЛС </w:t>
            </w:r>
          </w:p>
        </w:tc>
      </w:tr>
    </w:tbl>
    <w:p w14:paraId="6550899B" w14:textId="77777777" w:rsidR="00E706E9" w:rsidRPr="000F0299" w:rsidRDefault="00E706E9" w:rsidP="002234A7">
      <w:pPr>
        <w:pStyle w:val="FootnoteText"/>
        <w:rPr>
          <w:rFonts w:eastAsia="Gill Sans MT"/>
          <w:lang w:val="sr-Cyrl-RS" w:eastAsia="en-US" w:bidi="ar-SA"/>
        </w:rPr>
      </w:pPr>
      <w:r w:rsidRPr="000F0299">
        <w:rPr>
          <w:rFonts w:eastAsia="Gill Sans MT"/>
          <w:lang w:val="sr-Cyrl-RS" w:eastAsia="en-US" w:bidi="ar-SA"/>
        </w:rPr>
        <w:t>* Престаје да важи са новом Стратегијом РЈУ)</w:t>
      </w:r>
    </w:p>
    <w:p w14:paraId="067EBBD6" w14:textId="46F8B677" w:rsidR="00E706E9" w:rsidRPr="000F0299" w:rsidRDefault="00E706E9" w:rsidP="002234A7">
      <w:pPr>
        <w:pStyle w:val="FootnoteText"/>
        <w:rPr>
          <w:rFonts w:eastAsia="Gill Sans MT"/>
          <w:lang w:val="sr-Cyrl-RS" w:eastAsia="en-US" w:bidi="ar-SA"/>
        </w:rPr>
      </w:pPr>
      <w:r w:rsidRPr="000F0299">
        <w:rPr>
          <w:rFonts w:eastAsia="Gill Sans MT"/>
          <w:lang w:val="sr-Cyrl-RS" w:eastAsia="en-US" w:bidi="ar-SA"/>
        </w:rPr>
        <w:t>** Престаје да важи са новим ПФМ</w:t>
      </w:r>
      <w:r w:rsidRPr="000F0299">
        <w:rPr>
          <w:rFonts w:eastAsia="Gill Sans MT"/>
          <w:lang w:val="sr-Cyrl-RS" w:eastAsia="en-US" w:bidi="ar-SA"/>
        </w:rPr>
        <w:br w:type="page"/>
      </w:r>
    </w:p>
    <w:p w14:paraId="61CDE3B6" w14:textId="67FFC40A" w:rsidR="00E22FCF" w:rsidRPr="000F0299" w:rsidRDefault="00E706E9" w:rsidP="00DA36E1">
      <w:pPr>
        <w:pStyle w:val="Heading2"/>
        <w:rPr>
          <w:lang w:val="sr-Cyrl-RS"/>
        </w:rPr>
      </w:pPr>
      <w:bookmarkStart w:id="6" w:name="_Toc57661445"/>
      <w:r w:rsidRPr="000F0299">
        <w:rPr>
          <w:lang w:val="sr-Cyrl-RS"/>
        </w:rPr>
        <w:t>Кључни резултати и изазови у претходном периоду</w:t>
      </w:r>
      <w:bookmarkEnd w:id="6"/>
    </w:p>
    <w:p w14:paraId="5F006EA1" w14:textId="7646E6BB" w:rsidR="007858AD" w:rsidRPr="007858AD" w:rsidRDefault="007858AD" w:rsidP="00660D8E">
      <w:pPr>
        <w:suppressAutoHyphens w:val="0"/>
        <w:autoSpaceDN/>
        <w:textAlignment w:val="auto"/>
        <w:rPr>
          <w:rFonts w:eastAsia="Times New Roman"/>
          <w:kern w:val="0"/>
          <w:lang w:eastAsia="en-US" w:bidi="ar-SA"/>
        </w:rPr>
      </w:pPr>
      <w:r w:rsidRPr="007858AD">
        <w:rPr>
          <w:rFonts w:eastAsiaTheme="minorHAnsi"/>
          <w:kern w:val="0"/>
          <w:lang w:eastAsia="en-US" w:bidi="ar-SA"/>
        </w:rPr>
        <w:t xml:space="preserve">У претходном периоду се кроз реформске активности настојало да се </w:t>
      </w:r>
      <w:r w:rsidRPr="007858AD">
        <w:rPr>
          <w:rFonts w:eastAsiaTheme="minorHAnsi"/>
          <w:b/>
          <w:bCs/>
          <w:kern w:val="0"/>
          <w:lang w:eastAsia="en-US" w:bidi="ar-SA"/>
        </w:rPr>
        <w:t>јавна управа приближи потребама грађана</w:t>
      </w:r>
      <w:r w:rsidRPr="007858AD">
        <w:rPr>
          <w:rFonts w:eastAsiaTheme="minorHAnsi"/>
          <w:b/>
          <w:kern w:val="0"/>
          <w:lang w:eastAsia="en-US" w:bidi="ar-SA"/>
        </w:rPr>
        <w:t xml:space="preserve">, </w:t>
      </w:r>
      <w:r w:rsidRPr="007858AD">
        <w:rPr>
          <w:rFonts w:eastAsiaTheme="minorHAnsi"/>
          <w:kern w:val="0"/>
          <w:lang w:eastAsia="en-US" w:bidi="ar-SA"/>
        </w:rPr>
        <w:t xml:space="preserve">што је допринело бољим резултатима на локалном нивоу (отварање </w:t>
      </w:r>
      <w:r w:rsidRPr="007858AD">
        <w:rPr>
          <w:rFonts w:eastAsiaTheme="minorHAnsi"/>
          <w:kern w:val="0"/>
          <w:lang w:val="uz-Cyrl-UZ" w:eastAsia="en-US" w:bidi="ar-SA"/>
        </w:rPr>
        <w:t>јединствен</w:t>
      </w:r>
      <w:r w:rsidRPr="007858AD">
        <w:rPr>
          <w:rFonts w:eastAsiaTheme="minorHAnsi"/>
          <w:kern w:val="0"/>
          <w:lang w:eastAsia="en-US" w:bidi="ar-SA"/>
        </w:rPr>
        <w:t>их</w:t>
      </w:r>
      <w:r w:rsidRPr="007858AD">
        <w:rPr>
          <w:rFonts w:eastAsiaTheme="minorHAnsi"/>
          <w:kern w:val="0"/>
          <w:lang w:val="uz-Cyrl-UZ" w:eastAsia="en-US" w:bidi="ar-SA"/>
        </w:rPr>
        <w:t xml:space="preserve"> управн</w:t>
      </w:r>
      <w:r w:rsidRPr="007858AD">
        <w:rPr>
          <w:rFonts w:eastAsiaTheme="minorHAnsi"/>
          <w:kern w:val="0"/>
          <w:lang w:eastAsia="en-US" w:bidi="ar-SA"/>
        </w:rPr>
        <w:t>их</w:t>
      </w:r>
      <w:r w:rsidRPr="007858AD">
        <w:rPr>
          <w:rFonts w:eastAsiaTheme="minorHAnsi"/>
          <w:kern w:val="0"/>
          <w:lang w:val="uz-Cyrl-UZ" w:eastAsia="en-US" w:bidi="ar-SA"/>
        </w:rPr>
        <w:t xml:space="preserve"> места,</w:t>
      </w:r>
      <w:r w:rsidRPr="007858AD">
        <w:rPr>
          <w:rFonts w:eastAsiaTheme="minorHAnsi"/>
          <w:kern w:val="0"/>
          <w:lang w:eastAsia="en-US" w:bidi="ar-SA"/>
        </w:rPr>
        <w:t xml:space="preserve"> међуопштинска сарадња, отварање података, стабилност јавних финансија, дигитализација услуга, боља </w:t>
      </w:r>
      <w:r w:rsidRPr="007858AD">
        <w:rPr>
          <w:rFonts w:eastAsia="Times New Roman"/>
          <w:kern w:val="0"/>
          <w:lang w:val="sr-Cyrl-CS" w:eastAsia="en-GB" w:bidi="ar-SA"/>
        </w:rPr>
        <w:t xml:space="preserve">координација инспекција, увођење програмског буџета, </w:t>
      </w:r>
      <w:r w:rsidRPr="007858AD">
        <w:rPr>
          <w:rFonts w:eastAsia="Times New Roman"/>
          <w:kern w:val="0"/>
          <w:lang w:eastAsia="en-GB" w:bidi="ar-SA"/>
        </w:rPr>
        <w:t xml:space="preserve">родно одговорног буџетирања, увођење </w:t>
      </w:r>
      <w:r w:rsidRPr="007858AD">
        <w:rPr>
          <w:rFonts w:eastAsia="Times New Roman"/>
          <w:kern w:val="0"/>
          <w:lang w:val="sr-Cyrl-CS" w:eastAsia="en-GB" w:bidi="ar-SA"/>
        </w:rPr>
        <w:t xml:space="preserve">средњорочног планирања, уређивање нормативног оквира планирања јавних политика </w:t>
      </w:r>
      <w:r w:rsidRPr="007858AD">
        <w:rPr>
          <w:rFonts w:eastAsia="Times New Roman"/>
          <w:kern w:val="0"/>
          <w:lang w:eastAsia="en-GB" w:bidi="ar-SA"/>
        </w:rPr>
        <w:t xml:space="preserve">итд.). На </w:t>
      </w:r>
      <w:r w:rsidRPr="007858AD">
        <w:rPr>
          <w:rFonts w:eastAsiaTheme="minorHAnsi"/>
          <w:kern w:val="0"/>
          <w:lang w:val="uz-Cyrl-UZ" w:eastAsia="en-US" w:bidi="ar-SA"/>
        </w:rPr>
        <w:t>тенденцију раста остварених резултата спровођења С</w:t>
      </w:r>
      <w:r w:rsidR="00C32EBA" w:rsidRPr="007858AD">
        <w:rPr>
          <w:rFonts w:eastAsiaTheme="minorHAnsi"/>
          <w:kern w:val="0"/>
          <w:lang w:val="uz-Cyrl-UZ" w:eastAsia="en-US" w:bidi="ar-SA"/>
        </w:rPr>
        <w:t>тратегија</w:t>
      </w:r>
      <w:r w:rsidRPr="007858AD">
        <w:rPr>
          <w:rFonts w:eastAsiaTheme="minorHAnsi"/>
          <w:kern w:val="0"/>
          <w:lang w:val="uz-Cyrl-UZ" w:eastAsia="en-US" w:bidi="ar-SA"/>
        </w:rPr>
        <w:t xml:space="preserve"> РЈУ из 2014. указују годишњи извештаји о њеном спровођењу у периоду 2018</w:t>
      </w:r>
      <w:r w:rsidRPr="007858AD">
        <w:rPr>
          <w:rFonts w:eastAsiaTheme="minorHAnsi"/>
          <w:kern w:val="0"/>
          <w:lang w:val="sr-Cyrl-CS" w:eastAsia="en-US" w:bidi="ar-SA"/>
        </w:rPr>
        <w:t>–</w:t>
      </w:r>
      <w:r w:rsidRPr="007858AD">
        <w:rPr>
          <w:rFonts w:eastAsiaTheme="minorHAnsi"/>
          <w:kern w:val="0"/>
          <w:lang w:val="uz-Cyrl-UZ" w:eastAsia="en-US" w:bidi="ar-SA"/>
        </w:rPr>
        <w:t>2020. (57% резултата у 2019. години, 46% резултата у 2018. години, 23% резултата за период 2015</w:t>
      </w:r>
      <w:r w:rsidRPr="007858AD">
        <w:rPr>
          <w:rFonts w:eastAsiaTheme="minorHAnsi"/>
          <w:kern w:val="0"/>
          <w:lang w:val="sr-Cyrl-CS" w:eastAsia="en-US" w:bidi="ar-SA"/>
        </w:rPr>
        <w:t>–</w:t>
      </w:r>
      <w:r w:rsidRPr="007858AD">
        <w:rPr>
          <w:rFonts w:eastAsiaTheme="minorHAnsi"/>
          <w:kern w:val="0"/>
          <w:lang w:val="uz-Cyrl-UZ" w:eastAsia="en-US" w:bidi="ar-SA"/>
        </w:rPr>
        <w:t xml:space="preserve">2017), иако је стопа остварења резултата на половини од укупног броја зацртаних резултата услед </w:t>
      </w:r>
      <w:r w:rsidRPr="007858AD">
        <w:rPr>
          <w:rFonts w:eastAsia="Times New Roman"/>
          <w:kern w:val="0"/>
          <w:lang w:eastAsia="en-US" w:bidi="ar-SA"/>
        </w:rPr>
        <w:t>недостатка капацитета за спровођење промена, преамбициозних планова и недовољно ефикасне координације.</w:t>
      </w:r>
    </w:p>
    <w:p w14:paraId="1A45F102" w14:textId="7790FB5C" w:rsidR="00E22FCF" w:rsidRPr="000F0299" w:rsidRDefault="00E22FCF" w:rsidP="00244E7C">
      <w:pPr>
        <w:rPr>
          <w:lang w:eastAsia="en-GB"/>
        </w:rPr>
      </w:pPr>
      <w:r w:rsidRPr="000F0299">
        <w:t xml:space="preserve">Спровођењем </w:t>
      </w:r>
      <w:r w:rsidRPr="000F0299">
        <w:rPr>
          <w:b/>
        </w:rPr>
        <w:t xml:space="preserve">мера фискалне </w:t>
      </w:r>
      <w:r w:rsidR="000F0299" w:rsidRPr="000F0299">
        <w:rPr>
          <w:b/>
        </w:rPr>
        <w:t>консолидације</w:t>
      </w:r>
      <w:r w:rsidR="00C32EBA">
        <w:t xml:space="preserve"> </w:t>
      </w:r>
      <w:r w:rsidRPr="000F0299">
        <w:t>осигуран</w:t>
      </w:r>
      <w:r w:rsidR="00C32EBA">
        <w:t xml:space="preserve"> је </w:t>
      </w:r>
      <w:r w:rsidRPr="000F0299">
        <w:rPr>
          <w:b/>
        </w:rPr>
        <w:t>фискални оквир за реформе у различитим секторима</w:t>
      </w:r>
      <w:r w:rsidRPr="000F0299">
        <w:t>.</w:t>
      </w:r>
      <w:r w:rsidRPr="000F0299">
        <w:rPr>
          <w:lang w:eastAsia="en-GB"/>
        </w:rPr>
        <w:t xml:space="preserve"> На тај начин успостављено је стабилно економско окружење уз стабилне јавне финансије које су довеле до побољшаног кредитног рејтинга и позитивне оцене </w:t>
      </w:r>
      <w:r w:rsidR="00C32EBA">
        <w:rPr>
          <w:lang w:eastAsia="en-GB"/>
        </w:rPr>
        <w:t xml:space="preserve">које су дале </w:t>
      </w:r>
      <w:r w:rsidRPr="000F0299">
        <w:rPr>
          <w:lang w:eastAsia="en-GB"/>
        </w:rPr>
        <w:t>св</w:t>
      </w:r>
      <w:r w:rsidR="00C32EBA">
        <w:rPr>
          <w:lang w:eastAsia="en-GB"/>
        </w:rPr>
        <w:t>е</w:t>
      </w:r>
      <w:r w:rsidRPr="000F0299">
        <w:rPr>
          <w:lang w:eastAsia="en-GB"/>
        </w:rPr>
        <w:t xml:space="preserve"> релевантн</w:t>
      </w:r>
      <w:r w:rsidR="00C32EBA">
        <w:rPr>
          <w:lang w:eastAsia="en-GB"/>
        </w:rPr>
        <w:t>е</w:t>
      </w:r>
      <w:r w:rsidRPr="000F0299">
        <w:rPr>
          <w:lang w:eastAsia="en-GB"/>
        </w:rPr>
        <w:t xml:space="preserve"> међународн</w:t>
      </w:r>
      <w:r w:rsidR="00C32EBA">
        <w:rPr>
          <w:lang w:eastAsia="en-GB"/>
        </w:rPr>
        <w:t>е</w:t>
      </w:r>
      <w:r w:rsidRPr="000F0299">
        <w:rPr>
          <w:lang w:eastAsia="en-GB"/>
        </w:rPr>
        <w:t xml:space="preserve"> финансијск</w:t>
      </w:r>
      <w:r w:rsidR="00C32EBA">
        <w:rPr>
          <w:lang w:eastAsia="en-GB"/>
        </w:rPr>
        <w:t>е</w:t>
      </w:r>
      <w:r w:rsidRPr="000F0299">
        <w:rPr>
          <w:lang w:eastAsia="en-GB"/>
        </w:rPr>
        <w:t xml:space="preserve"> институциј</w:t>
      </w:r>
      <w:r w:rsidR="00C32EBA">
        <w:rPr>
          <w:lang w:eastAsia="en-GB"/>
        </w:rPr>
        <w:t>е</w:t>
      </w:r>
      <w:r w:rsidRPr="000F0299">
        <w:rPr>
          <w:lang w:eastAsia="en-GB"/>
        </w:rPr>
        <w:t>.</w:t>
      </w:r>
    </w:p>
    <w:p w14:paraId="083B9CDE" w14:textId="21B11152" w:rsidR="00E22FCF" w:rsidRPr="000F0299" w:rsidRDefault="00C32EBA" w:rsidP="00244E7C">
      <w:r w:rsidRPr="00E22FCF">
        <w:rPr>
          <w:lang w:val="ru-RU"/>
        </w:rPr>
        <w:t>Поред значајних резултата у области фискалне стабилности, рационализације</w:t>
      </w:r>
      <w:r>
        <w:rPr>
          <w:lang w:val="ru-RU"/>
        </w:rPr>
        <w:t xml:space="preserve"> и </w:t>
      </w:r>
      <w:r w:rsidRPr="00E22FCF">
        <w:rPr>
          <w:lang w:val="ru-RU"/>
        </w:rPr>
        <w:t>дигитализације, започет</w:t>
      </w:r>
      <w:r>
        <w:rPr>
          <w:lang w:val="ru-RU"/>
        </w:rPr>
        <w:t xml:space="preserve">о </w:t>
      </w:r>
      <w:r w:rsidRPr="00E22FCF">
        <w:rPr>
          <w:lang w:val="ru-RU"/>
        </w:rPr>
        <w:t xml:space="preserve">је </w:t>
      </w:r>
      <w:r>
        <w:rPr>
          <w:lang w:val="ru-RU"/>
        </w:rPr>
        <w:t>спровођење</w:t>
      </w:r>
      <w:r w:rsidRPr="00E22FCF">
        <w:rPr>
          <w:lang w:val="ru-RU"/>
        </w:rPr>
        <w:t xml:space="preserve"> З</w:t>
      </w:r>
      <w:r>
        <w:rPr>
          <w:lang w:val="ru-RU"/>
        </w:rPr>
        <w:t>ПС</w:t>
      </w:r>
      <w:r>
        <w:t xml:space="preserve"> </w:t>
      </w:r>
      <w:r w:rsidRPr="00E22FCF">
        <w:rPr>
          <w:lang w:val="ru-RU"/>
        </w:rPr>
        <w:t xml:space="preserve">и </w:t>
      </w:r>
      <w:r w:rsidRPr="00C32EBA">
        <w:rPr>
          <w:b/>
          <w:lang w:val="ru-RU"/>
        </w:rPr>
        <w:t>уређење система планирања јавних политика</w:t>
      </w:r>
      <w:r w:rsidRPr="00E22FCF">
        <w:rPr>
          <w:b/>
          <w:lang w:val="ru-RU"/>
        </w:rPr>
        <w:t>,</w:t>
      </w:r>
      <w:r w:rsidRPr="00E22FCF">
        <w:rPr>
          <w:lang w:val="ru-RU"/>
        </w:rPr>
        <w:t xml:space="preserve"> као и </w:t>
      </w:r>
      <w:r>
        <w:rPr>
          <w:lang w:val="ru-RU"/>
        </w:rPr>
        <w:t>спровођење</w:t>
      </w:r>
      <w:r w:rsidRPr="00E22FCF">
        <w:rPr>
          <w:lang w:val="ru-RU"/>
        </w:rPr>
        <w:t xml:space="preserve"> измена Закона о државним службеницима уз </w:t>
      </w:r>
      <w:r w:rsidRPr="00E22FCF">
        <w:rPr>
          <w:bCs/>
          <w:lang w:val="ru-RU"/>
        </w:rPr>
        <w:t xml:space="preserve">увођење </w:t>
      </w:r>
      <w:r w:rsidRPr="00C32EBA">
        <w:rPr>
          <w:b/>
          <w:lang w:val="ru-RU"/>
        </w:rPr>
        <w:t xml:space="preserve">компетенција </w:t>
      </w:r>
      <w:r w:rsidRPr="00E22FCF">
        <w:rPr>
          <w:bCs/>
          <w:lang w:val="ru-RU"/>
        </w:rPr>
        <w:t>и даљу професионализацију државних службеника</w:t>
      </w:r>
      <w:r w:rsidRPr="00E22FCF">
        <w:rPr>
          <w:lang w:val="ru-RU"/>
        </w:rPr>
        <w:t xml:space="preserve">. Законски предуслови за </w:t>
      </w:r>
      <w:r w:rsidRPr="00E22FCF">
        <w:rPr>
          <w:bCs/>
          <w:lang w:val="ru-RU"/>
        </w:rPr>
        <w:t>веће укључивање грађана у послове управе</w:t>
      </w:r>
      <w:r w:rsidRPr="00E22FCF">
        <w:rPr>
          <w:lang w:val="ru-RU"/>
        </w:rPr>
        <w:t xml:space="preserve"> омогућени су изменама Закона о локалн</w:t>
      </w:r>
      <w:r w:rsidRPr="00E22FCF">
        <w:t>oј</w:t>
      </w:r>
      <w:r w:rsidRPr="00E22FCF">
        <w:rPr>
          <w:lang w:val="ru-RU"/>
        </w:rPr>
        <w:t xml:space="preserve"> самоуправи, З</w:t>
      </w:r>
      <w:r>
        <w:rPr>
          <w:lang w:val="ru-RU"/>
        </w:rPr>
        <w:t>ПС</w:t>
      </w:r>
      <w:r w:rsidRPr="00E22FCF">
        <w:rPr>
          <w:lang w:val="ru-RU"/>
        </w:rPr>
        <w:t xml:space="preserve"> и из</w:t>
      </w:r>
      <w:r>
        <w:rPr>
          <w:lang w:val="ru-RU"/>
        </w:rPr>
        <w:t xml:space="preserve">менама Закона о државној управи </w:t>
      </w:r>
      <w:r w:rsidRPr="00E22FCF">
        <w:rPr>
          <w:lang w:val="ru-RU"/>
        </w:rPr>
        <w:t>којима су уведене обавезне јавне консултације у најранијим фазама процеса доношења нових закона и докумената јавних политика</w:t>
      </w:r>
    </w:p>
    <w:p w14:paraId="5BC955BA" w14:textId="77777777" w:rsidR="00C32EBA" w:rsidRPr="00C32EBA" w:rsidRDefault="00C32EBA" w:rsidP="00D324C8">
      <w:pPr>
        <w:rPr>
          <w:lang w:eastAsia="en-GB"/>
        </w:rPr>
      </w:pPr>
      <w:r w:rsidRPr="00C32EBA">
        <w:rPr>
          <w:lang w:eastAsia="en-GB"/>
        </w:rPr>
        <w:t xml:space="preserve">Кроз </w:t>
      </w:r>
      <w:r w:rsidRPr="00C32EBA">
        <w:rPr>
          <w:b/>
          <w:bCs/>
          <w:lang w:eastAsia="en-GB"/>
        </w:rPr>
        <w:t>дигитализацију и развој електронске управе</w:t>
      </w:r>
      <w:r w:rsidRPr="00C32EBA">
        <w:rPr>
          <w:lang w:eastAsia="en-GB"/>
        </w:rPr>
        <w:t xml:space="preserve"> остварени су значајни резултати </w:t>
      </w:r>
      <w:r w:rsidRPr="00C32EBA">
        <w:rPr>
          <w:b/>
          <w:bCs/>
          <w:lang w:eastAsia="en-GB"/>
        </w:rPr>
        <w:t>померањем фокуса од управе као регулатора ка управи као сервису оријентисаном ка грађанима</w:t>
      </w:r>
      <w:r w:rsidRPr="00C32EBA">
        <w:rPr>
          <w:lang w:eastAsia="en-GB"/>
        </w:rPr>
        <w:t>, што се најбоље може видети кроз отворене центре за контакт</w:t>
      </w:r>
      <w:r w:rsidRPr="00C32EBA">
        <w:rPr>
          <w:lang w:val="ru-RU" w:eastAsia="en-GB"/>
        </w:rPr>
        <w:t xml:space="preserve"> </w:t>
      </w:r>
      <w:r w:rsidRPr="00C32EBA">
        <w:rPr>
          <w:lang w:val="en-GB" w:eastAsia="en-GB"/>
        </w:rPr>
        <w:t>G</w:t>
      </w:r>
      <w:r w:rsidRPr="00C32EBA">
        <w:rPr>
          <w:lang w:eastAsia="en-GB"/>
        </w:rPr>
        <w:t>2</w:t>
      </w:r>
      <w:r w:rsidRPr="00C32EBA">
        <w:rPr>
          <w:lang w:val="en-GB" w:eastAsia="en-GB"/>
        </w:rPr>
        <w:t>G</w:t>
      </w:r>
      <w:r w:rsidRPr="00C32EBA">
        <w:rPr>
          <w:lang w:eastAsia="en-GB"/>
        </w:rPr>
        <w:t xml:space="preserve"> и </w:t>
      </w:r>
      <w:r w:rsidRPr="00C32EBA">
        <w:rPr>
          <w:lang w:val="en-GB" w:eastAsia="en-GB"/>
        </w:rPr>
        <w:t>G</w:t>
      </w:r>
      <w:r w:rsidRPr="00C32EBA">
        <w:rPr>
          <w:lang w:eastAsia="en-GB"/>
        </w:rPr>
        <w:t>2</w:t>
      </w:r>
      <w:r w:rsidRPr="00C32EBA">
        <w:rPr>
          <w:lang w:val="en-GB" w:eastAsia="en-GB"/>
        </w:rPr>
        <w:t>C</w:t>
      </w:r>
      <w:r w:rsidRPr="00C32EBA">
        <w:rPr>
          <w:lang w:eastAsia="en-GB"/>
        </w:rPr>
        <w:t xml:space="preserve">, измењене веб-портале Владе и органа државне управе, размену података без размене докумената (е-ЗУП), као и отварање бесплатног информатичко-приступног центра за грађане и управу – Српско-корејског информатичког приступног центра (СКИП центра). Оснивањем Канцеларије за информационе технологије и електронску управу (КИТЕУ) извршена је институционализација у циљу побољшања електронске управе. Требало би истаћи све већи број корисника е-услуга и е-корисника на е-порталу (е-ЗУП, Бебо, добро дошла на свет, е-вртић, Регистрација возила, е-странац, JИС ЛПА, е-упис, </w:t>
      </w:r>
      <w:hyperlink r:id="rId35" w:history="1">
        <w:r w:rsidRPr="00C32EBA">
          <w:rPr>
            <w:lang w:eastAsia="en-GB"/>
          </w:rPr>
          <w:t>е-заказивање за PCR тестирање</w:t>
        </w:r>
      </w:hyperlink>
      <w:r w:rsidRPr="00C32EBA">
        <w:rPr>
          <w:lang w:eastAsia="en-GB"/>
        </w:rPr>
        <w:t xml:space="preserve">, </w:t>
      </w:r>
      <w:hyperlink r:id="rId36" w:history="1">
        <w:r w:rsidRPr="00C32EBA">
          <w:rPr>
            <w:lang w:eastAsia="en-GB"/>
          </w:rPr>
          <w:t xml:space="preserve">е-сандуче, </w:t>
        </w:r>
      </w:hyperlink>
      <w:hyperlink r:id="rId37" w:history="1">
        <w:r w:rsidRPr="00C32EBA">
          <w:rPr>
            <w:lang w:eastAsia="en-GB"/>
          </w:rPr>
          <w:t>апликација за електронско потписивање</w:t>
        </w:r>
      </w:hyperlink>
      <w:r w:rsidRPr="00C32EBA">
        <w:rPr>
          <w:lang w:eastAsia="en-GB"/>
        </w:rPr>
        <w:t xml:space="preserve"> итд.), као и већи број дата сетова и органа на Порталу отворених података. Успостављање Државног дата центра допринело је бржем развоју е-управе. У њему је смештена информационо-комуникациона инфраструктура Републике Србије и омогућено пружање државног рачунарства „у облаку” (дељење података преко мреже). Истовремено, избегнут је проблем обезбеђивања додатног простора и одржавања опреме. Да би се унапредиле процедуре и целокупан рад е-управе, Влада је изградњу додатног Државног дата центра у Крагујевцу означила као пројекат од значаја, отворен не само за државну управу већ и за привредне и друге субјекте. </w:t>
      </w:r>
    </w:p>
    <w:p w14:paraId="291E41DA" w14:textId="581273F0" w:rsidR="00E22FCF" w:rsidRPr="000F0299" w:rsidRDefault="00D324C8" w:rsidP="00D324C8">
      <w:pPr>
        <w:rPr>
          <w:lang w:eastAsia="en-GB"/>
        </w:rPr>
      </w:pPr>
      <w:r w:rsidRPr="00D324C8">
        <w:rPr>
          <w:lang w:eastAsia="en-GB"/>
        </w:rPr>
        <w:t xml:space="preserve">Брз одговор на кризу изазвану </w:t>
      </w:r>
      <w:r w:rsidR="00164787">
        <w:rPr>
          <w:lang w:eastAsia="en-GB"/>
        </w:rPr>
        <w:t>пандемијом</w:t>
      </w:r>
      <w:r w:rsidRPr="00D324C8">
        <w:rPr>
          <w:lang w:eastAsia="en-GB"/>
        </w:rPr>
        <w:t xml:space="preserve"> ковид-19 представља најбољи показатељ досадашњег спровођења реформи јавне управе и спремности на суочавање</w:t>
      </w:r>
      <w:r w:rsidR="00E22FCF" w:rsidRPr="000F0299">
        <w:rPr>
          <w:lang w:eastAsia="en-GB"/>
        </w:rPr>
        <w:t xml:space="preserve">. </w:t>
      </w:r>
      <w:r w:rsidRPr="00E22FCF">
        <w:rPr>
          <w:rFonts w:eastAsia="Times New Roman"/>
          <w:lang w:eastAsia="en-GB"/>
        </w:rPr>
        <w:t>На почетку кризе развијен је централни национални портал</w:t>
      </w:r>
      <w:r w:rsidRPr="00E22FCF">
        <w:rPr>
          <w:color w:val="000000" w:themeColor="text1"/>
          <w:lang w:val="uz-Cyrl-UZ"/>
        </w:rPr>
        <w:t xml:space="preserve"> </w:t>
      </w:r>
      <w:hyperlink r:id="rId38" w:history="1">
        <w:r w:rsidRPr="008F5665">
          <w:rPr>
            <w:color w:val="0563C1" w:themeColor="hyperlink"/>
            <w:u w:val="single"/>
          </w:rPr>
          <w:t>www.</w:t>
        </w:r>
        <w:r w:rsidRPr="008F5665">
          <w:rPr>
            <w:color w:val="0563C1" w:themeColor="hyperlink"/>
            <w:u w:val="single"/>
            <w:lang w:val="uz-Cyrl-UZ"/>
          </w:rPr>
          <w:t>covid19.rs</w:t>
        </w:r>
      </w:hyperlink>
      <w:r w:rsidRPr="00E22FCF">
        <w:rPr>
          <w:color w:val="000000" w:themeColor="text1"/>
        </w:rPr>
        <w:t xml:space="preserve"> </w:t>
      </w:r>
      <w:r w:rsidRPr="00E22FCF">
        <w:rPr>
          <w:color w:val="000000" w:themeColor="text1"/>
          <w:lang w:val="uz-Cyrl-UZ"/>
        </w:rPr>
        <w:t xml:space="preserve">са свим кључним информацијама о развоју епидемије у земљи, као и портал </w:t>
      </w:r>
      <w:hyperlink r:id="rId39" w:history="1">
        <w:r w:rsidRPr="008F5665">
          <w:rPr>
            <w:color w:val="0563C1" w:themeColor="hyperlink"/>
            <w:u w:val="single"/>
          </w:rPr>
          <w:t>www.covid19.data.gov.rs</w:t>
        </w:r>
      </w:hyperlink>
      <w:r w:rsidRPr="008F5665">
        <w:rPr>
          <w:color w:val="0563C1" w:themeColor="hyperlink"/>
          <w:u w:val="single"/>
        </w:rPr>
        <w:t xml:space="preserve"> </w:t>
      </w:r>
      <w:r w:rsidRPr="00E22FCF">
        <w:rPr>
          <w:rFonts w:eastAsia="Times New Roman"/>
          <w:lang w:eastAsia="en-GB"/>
        </w:rPr>
        <w:t xml:space="preserve">о броју грађана у самоизолацији, </w:t>
      </w:r>
      <w:r w:rsidR="00164787">
        <w:rPr>
          <w:rFonts w:eastAsia="Times New Roman"/>
          <w:lang w:eastAsia="en-GB"/>
        </w:rPr>
        <w:t xml:space="preserve">оболелих од </w:t>
      </w:r>
      <w:r>
        <w:t>к</w:t>
      </w:r>
      <w:r w:rsidRPr="00E22FCF">
        <w:t>овид-19</w:t>
      </w:r>
      <w:r w:rsidRPr="00E22FCF">
        <w:rPr>
          <w:rFonts w:eastAsia="Times New Roman"/>
          <w:lang w:eastAsia="en-GB"/>
        </w:rPr>
        <w:t>, тестираним, хоспитализованим и преминулим на територији Р</w:t>
      </w:r>
      <w:r>
        <w:rPr>
          <w:rFonts w:eastAsia="Times New Roman"/>
          <w:lang w:eastAsia="en-GB"/>
        </w:rPr>
        <w:t xml:space="preserve">епублике </w:t>
      </w:r>
      <w:r w:rsidRPr="00E22FCF">
        <w:rPr>
          <w:rFonts w:eastAsia="Times New Roman"/>
          <w:lang w:eastAsia="en-GB"/>
        </w:rPr>
        <w:t>С</w:t>
      </w:r>
      <w:r>
        <w:rPr>
          <w:rFonts w:eastAsia="Times New Roman"/>
          <w:lang w:eastAsia="en-GB"/>
        </w:rPr>
        <w:t>рбије</w:t>
      </w:r>
      <w:r w:rsidRPr="00E22FCF">
        <w:rPr>
          <w:rFonts w:eastAsia="Times New Roman"/>
          <w:lang w:eastAsia="en-GB"/>
        </w:rPr>
        <w:t xml:space="preserve">. Покренуте су иновативне иницијативе: </w:t>
      </w:r>
      <w:r>
        <w:rPr>
          <w:rFonts w:eastAsia="Times New Roman"/>
          <w:lang w:eastAsia="en-GB"/>
        </w:rPr>
        <w:t>„</w:t>
      </w:r>
      <w:r w:rsidRPr="00E22FCF">
        <w:rPr>
          <w:rFonts w:eastAsia="Times New Roman"/>
          <w:lang w:eastAsia="en-GB"/>
        </w:rPr>
        <w:t>Буди волонтер</w:t>
      </w:r>
      <w:r>
        <w:rPr>
          <w:rFonts w:eastAsia="Times New Roman"/>
          <w:lang w:eastAsia="en-GB"/>
        </w:rPr>
        <w:t>”</w:t>
      </w:r>
      <w:r w:rsidRPr="00E22FCF">
        <w:rPr>
          <w:rFonts w:eastAsia="Times New Roman"/>
          <w:lang w:eastAsia="en-GB"/>
        </w:rPr>
        <w:t xml:space="preserve"> и </w:t>
      </w:r>
      <w:r>
        <w:rPr>
          <w:rFonts w:eastAsia="Times New Roman"/>
          <w:lang w:eastAsia="en-GB"/>
        </w:rPr>
        <w:t>„</w:t>
      </w:r>
      <w:r w:rsidRPr="00E22FCF">
        <w:rPr>
          <w:rFonts w:eastAsia="Times New Roman"/>
          <w:lang w:eastAsia="en-GB"/>
        </w:rPr>
        <w:t xml:space="preserve">Информације о </w:t>
      </w:r>
      <w:r>
        <w:rPr>
          <w:rFonts w:eastAsia="Times New Roman"/>
          <w:lang w:eastAsia="en-GB"/>
        </w:rPr>
        <w:t>вирусу к</w:t>
      </w:r>
      <w:r w:rsidRPr="00E22FCF">
        <w:rPr>
          <w:rFonts w:eastAsia="Times New Roman"/>
          <w:lang w:eastAsia="en-GB"/>
        </w:rPr>
        <w:t>овид</w:t>
      </w:r>
      <w:r>
        <w:rPr>
          <w:rFonts w:eastAsia="Times New Roman"/>
          <w:lang w:eastAsia="en-GB"/>
        </w:rPr>
        <w:t>-</w:t>
      </w:r>
      <w:r w:rsidRPr="00E22FCF">
        <w:rPr>
          <w:rFonts w:eastAsia="Times New Roman"/>
          <w:lang w:eastAsia="en-GB"/>
        </w:rPr>
        <w:t>19</w:t>
      </w:r>
      <w:r>
        <w:rPr>
          <w:rFonts w:eastAsia="Times New Roman"/>
          <w:lang w:eastAsia="en-GB"/>
        </w:rPr>
        <w:t>”</w:t>
      </w:r>
      <w:r w:rsidRPr="00E22FCF">
        <w:rPr>
          <w:rFonts w:eastAsia="Times New Roman"/>
          <w:lang w:eastAsia="en-GB"/>
        </w:rPr>
        <w:t xml:space="preserve"> (сајт за објављивање најновијих информација релевантних за пандемију); апликација за подношење захтева за добијање дозволе за кретање у време забране кретања; </w:t>
      </w:r>
      <w:r>
        <w:rPr>
          <w:rFonts w:eastAsia="Times New Roman"/>
          <w:lang w:eastAsia="en-GB"/>
        </w:rPr>
        <w:t>„</w:t>
      </w:r>
      <w:r w:rsidRPr="00E22FCF">
        <w:rPr>
          <w:rFonts w:eastAsia="Times New Roman"/>
          <w:lang w:eastAsia="en-GB"/>
        </w:rPr>
        <w:t>Дигитална солидарност</w:t>
      </w:r>
      <w:r>
        <w:rPr>
          <w:rFonts w:eastAsia="Times New Roman"/>
          <w:lang w:eastAsia="en-GB"/>
        </w:rPr>
        <w:t>”</w:t>
      </w:r>
      <w:r w:rsidRPr="00E22FCF">
        <w:rPr>
          <w:rFonts w:eastAsia="Times New Roman"/>
          <w:lang w:eastAsia="en-GB"/>
        </w:rPr>
        <w:t xml:space="preserve">; </w:t>
      </w:r>
      <w:r w:rsidRPr="00806D0A">
        <w:rPr>
          <w:i/>
          <w:color w:val="000000" w:themeColor="text1"/>
          <w:lang w:val="uz-Cyrl-UZ"/>
        </w:rPr>
        <w:t>PCR</w:t>
      </w:r>
      <w:r w:rsidRPr="00E22FCF">
        <w:rPr>
          <w:color w:val="000000" w:themeColor="text1"/>
          <w:lang w:val="uz-Cyrl-UZ"/>
        </w:rPr>
        <w:t xml:space="preserve"> тестирање на лични захтев, као и услуга е-обавештења о резултима </w:t>
      </w:r>
      <w:r w:rsidRPr="00806D0A">
        <w:rPr>
          <w:i/>
          <w:color w:val="000000" w:themeColor="text1"/>
          <w:lang w:val="uz-Cyrl-UZ"/>
        </w:rPr>
        <w:t>PCR</w:t>
      </w:r>
      <w:r w:rsidRPr="00E22FCF">
        <w:rPr>
          <w:color w:val="000000" w:themeColor="text1"/>
          <w:lang w:val="uz-Cyrl-UZ"/>
        </w:rPr>
        <w:t xml:space="preserve"> теста</w:t>
      </w:r>
      <w:r>
        <w:rPr>
          <w:color w:val="000000" w:themeColor="text1"/>
          <w:lang w:val="uz-Cyrl-UZ"/>
        </w:rPr>
        <w:t xml:space="preserve"> и</w:t>
      </w:r>
      <w:r w:rsidRPr="00E22FCF">
        <w:rPr>
          <w:color w:val="000000" w:themeColor="text1"/>
          <w:lang w:val="uz-Cyrl-UZ"/>
        </w:rPr>
        <w:t xml:space="preserve"> </w:t>
      </w:r>
      <w:r w:rsidRPr="00E22FCF">
        <w:rPr>
          <w:rFonts w:eastAsia="Times New Roman"/>
          <w:lang w:eastAsia="en-GB"/>
        </w:rPr>
        <w:t xml:space="preserve">услуга на </w:t>
      </w:r>
      <w:r>
        <w:rPr>
          <w:rFonts w:eastAsia="Times New Roman"/>
          <w:lang w:eastAsia="en-GB"/>
        </w:rPr>
        <w:t>В</w:t>
      </w:r>
      <w:r w:rsidRPr="00E22FCF">
        <w:rPr>
          <w:rFonts w:eastAsia="Times New Roman"/>
          <w:lang w:eastAsia="en-GB"/>
        </w:rPr>
        <w:t xml:space="preserve">ајберу која пружа све неопходне информације у вези са пандемијом. У циљу ублажавања негативних последица пандемије на раст сиве економије Влада је основала јединствени </w:t>
      </w:r>
      <w:r w:rsidRPr="00671605">
        <w:t>Координациона комисија за инспекцијски надзор</w:t>
      </w:r>
      <w:r>
        <w:t xml:space="preserve"> </w:t>
      </w:r>
      <w:hyperlink r:id="rId40" w:history="1">
        <w:r w:rsidRPr="008F5665">
          <w:rPr>
            <w:color w:val="0563C1" w:themeColor="hyperlink"/>
            <w:u w:val="single"/>
          </w:rPr>
          <w:t>www.inspektor.gov.rs</w:t>
        </w:r>
      </w:hyperlink>
      <w:r w:rsidRPr="008F5665">
        <w:rPr>
          <w:color w:val="0563C1" w:themeColor="hyperlink"/>
          <w:u w:val="single"/>
        </w:rPr>
        <w:t>.</w:t>
      </w:r>
      <w:r w:rsidRPr="00E22FCF">
        <w:t xml:space="preserve"> </w:t>
      </w:r>
      <w:r w:rsidRPr="00E22FCF">
        <w:rPr>
          <w:rFonts w:eastAsia="Times New Roman"/>
          <w:lang w:eastAsia="en-GB"/>
        </w:rPr>
        <w:t>Контакт центар је повезан са свим локалним самоуправама</w:t>
      </w:r>
      <w:r>
        <w:rPr>
          <w:rFonts w:eastAsia="Times New Roman"/>
          <w:lang w:eastAsia="en-GB"/>
        </w:rPr>
        <w:t>,</w:t>
      </w:r>
      <w:r w:rsidRPr="00E22FCF">
        <w:rPr>
          <w:rFonts w:eastAsia="Times New Roman"/>
          <w:lang w:eastAsia="en-GB"/>
        </w:rPr>
        <w:t xml:space="preserve"> чиме је омогућено да </w:t>
      </w:r>
      <w:r w:rsidRPr="00E22FCF">
        <w:t>пријаве грађана и привреде које нису у надлежности републичких инспекција буду прослеђене надлежним локалним инспекцијама.</w:t>
      </w:r>
      <w:r w:rsidRPr="00E22FCF">
        <w:rPr>
          <w:rFonts w:eastAsia="Times New Roman"/>
          <w:lang w:eastAsia="en-GB"/>
        </w:rPr>
        <w:t xml:space="preserve"> Република Србија је одговорила на изазове и у области образовања обезбедивши да се школска година у време пандемије успешно заврши уз употребу интернет платформе за онлајн учење:</w:t>
      </w:r>
      <w:r w:rsidRPr="00E22FCF">
        <w:rPr>
          <w:shd w:val="clear" w:color="auto" w:fill="FFFFFF"/>
          <w:lang w:val="en-GB"/>
        </w:rPr>
        <w:t> </w:t>
      </w:r>
      <w:hyperlink r:id="rId41" w:history="1">
        <w:r w:rsidRPr="008F5665">
          <w:rPr>
            <w:color w:val="0563C1" w:themeColor="hyperlink"/>
            <w:u w:val="single"/>
          </w:rPr>
          <w:t>https://mojaskola.rtsplaneta.rs/</w:t>
        </w:r>
      </w:hyperlink>
      <w:r>
        <w:rPr>
          <w:color w:val="0563C1" w:themeColor="hyperlink"/>
          <w:u w:val="single"/>
        </w:rPr>
        <w:t>.</w:t>
      </w:r>
    </w:p>
    <w:p w14:paraId="08D11826" w14:textId="4514A5E8" w:rsidR="00E22FCF" w:rsidRPr="000F0299" w:rsidRDefault="00D324C8" w:rsidP="00244E7C">
      <w:pPr>
        <w:rPr>
          <w:lang w:eastAsia="en-GB"/>
        </w:rPr>
      </w:pPr>
      <w:r w:rsidRPr="00E22FCF">
        <w:rPr>
          <w:rFonts w:eastAsia="Times New Roman"/>
          <w:lang w:eastAsia="en-GB"/>
        </w:rPr>
        <w:t>Важан допринос одговору Републике Србије на изазове у вези с пандемијом дало је и коришћење отворених података, као једног од резултата досадашњег процеса реформе јавне управе. Тако је Портал отворених података обогаћен новим отвореним скуповима података који се односе на пандемију</w:t>
      </w:r>
      <w:r>
        <w:rPr>
          <w:rFonts w:eastAsia="Times New Roman"/>
          <w:lang w:eastAsia="en-GB"/>
        </w:rPr>
        <w:t>,</w:t>
      </w:r>
      <w:r w:rsidRPr="00E22FCF">
        <w:rPr>
          <w:rFonts w:eastAsia="Times New Roman"/>
          <w:lang w:eastAsia="en-GB"/>
        </w:rPr>
        <w:t xml:space="preserve"> као што су: Регистар установа примарне здравствене заштите посвећен </w:t>
      </w:r>
      <w:r w:rsidR="00164787">
        <w:rPr>
          <w:rFonts w:eastAsia="Times New Roman"/>
          <w:lang w:eastAsia="en-GB"/>
        </w:rPr>
        <w:t>пандемији</w:t>
      </w:r>
      <w:r>
        <w:rPr>
          <w:rFonts w:eastAsia="Times New Roman"/>
          <w:lang w:eastAsia="en-GB"/>
        </w:rPr>
        <w:t xml:space="preserve"> к</w:t>
      </w:r>
      <w:r w:rsidRPr="00E22FCF">
        <w:rPr>
          <w:rFonts w:eastAsia="Times New Roman"/>
          <w:lang w:eastAsia="en-GB"/>
        </w:rPr>
        <w:t xml:space="preserve">овид-19, Извештај о подацима о особама </w:t>
      </w:r>
      <w:r w:rsidR="00AC60BF">
        <w:rPr>
          <w:rFonts w:eastAsia="Times New Roman"/>
          <w:lang w:eastAsia="en-GB"/>
        </w:rPr>
        <w:t>оболелих од</w:t>
      </w:r>
      <w:r>
        <w:rPr>
          <w:rFonts w:eastAsia="Times New Roman"/>
          <w:lang w:eastAsia="en-GB"/>
        </w:rPr>
        <w:t xml:space="preserve"> к</w:t>
      </w:r>
      <w:r w:rsidRPr="00E22FCF">
        <w:rPr>
          <w:rFonts w:eastAsia="Times New Roman"/>
          <w:lang w:eastAsia="en-GB"/>
        </w:rPr>
        <w:t xml:space="preserve">овид-19, Епидемиолошки извештаји о </w:t>
      </w:r>
      <w:r w:rsidR="00AC60BF">
        <w:rPr>
          <w:rFonts w:eastAsia="Times New Roman"/>
          <w:lang w:eastAsia="en-GB"/>
        </w:rPr>
        <w:t xml:space="preserve">пандемији </w:t>
      </w:r>
      <w:r>
        <w:rPr>
          <w:rFonts w:eastAsia="Times New Roman"/>
          <w:lang w:eastAsia="en-GB"/>
        </w:rPr>
        <w:t>к</w:t>
      </w:r>
      <w:r w:rsidRPr="00E22FCF">
        <w:rPr>
          <w:rFonts w:eastAsia="Times New Roman"/>
          <w:lang w:eastAsia="en-GB"/>
        </w:rPr>
        <w:t>овид-19, Регистар</w:t>
      </w:r>
      <w:r>
        <w:rPr>
          <w:rFonts w:eastAsia="Times New Roman"/>
          <w:lang w:eastAsia="en-GB"/>
        </w:rPr>
        <w:t xml:space="preserve"> </w:t>
      </w:r>
      <w:r w:rsidRPr="00E22FCF">
        <w:rPr>
          <w:rFonts w:eastAsia="Times New Roman"/>
          <w:lang w:eastAsia="en-GB"/>
        </w:rPr>
        <w:t>продавница за снабдевање грађана старијих од 65 година</w:t>
      </w:r>
      <w:r>
        <w:rPr>
          <w:rFonts w:eastAsia="Times New Roman"/>
          <w:lang w:eastAsia="en-GB"/>
        </w:rPr>
        <w:t>.</w:t>
      </w:r>
    </w:p>
    <w:p w14:paraId="58981603" w14:textId="56F6AD3B" w:rsidR="00E22FCF" w:rsidRPr="000F0299" w:rsidRDefault="00D324C8" w:rsidP="00244E7C">
      <w:r w:rsidRPr="00D324C8">
        <w:t xml:space="preserve">Ситуација узрокована пандемијом ковид-19 отворила је питање постојања адекватне ИТ структуре која може да подржи рад у новонасталој ситуацији. Посебан изазов је представљало ублажавање ефеката рационализације броја запослених, а да се при томе не наруши постојећи квалитет рада јавне управе због чега се у појединим областима нагласак стављао на дигитализацију и е-управу. С обзиром да је Програм модернизације и оптимизације управе обухватио два процеса – процес рационализације у функцији фискалне консолидације и процес оптимизације и модернизације управе, индикативно је да су та два захтевна процеса била преамбициозно планирана тако да је тај поступак и даље у фази спровођења. </w:t>
      </w:r>
    </w:p>
    <w:p w14:paraId="5D91515F" w14:textId="2BD2A81E" w:rsidR="00E22FCF" w:rsidRPr="000F0299" w:rsidRDefault="00F926EA" w:rsidP="00244E7C">
      <w:pPr>
        <w:rPr>
          <w:b/>
        </w:rPr>
      </w:pPr>
      <w:r w:rsidRPr="00F926EA">
        <w:rPr>
          <w:rFonts w:eastAsia="Times New Roman"/>
          <w:lang w:eastAsia="en-GB"/>
        </w:rPr>
        <w:t>Национални извештаји о праћењу мапирали су као највеће изазове за наредни период поједностављење процеса и поступака пре њихове дигитализације, баланс одговарајућих административних капацитета и оптимизоване јавне управе, професионалну управу, управу као ефикасан сервис грађана, смањење административних трошкова, недостатак јединствене политике услуга.</w:t>
      </w:r>
    </w:p>
    <w:p w14:paraId="325A93B0" w14:textId="14ABC7C4" w:rsidR="00E22FCF" w:rsidRPr="000F0299" w:rsidRDefault="00E22FCF" w:rsidP="00244E7C">
      <w:bookmarkStart w:id="7" w:name="_Toc45013946"/>
      <w:r w:rsidRPr="000F0299">
        <w:br w:type="page"/>
      </w:r>
    </w:p>
    <w:p w14:paraId="57E096BC" w14:textId="20E65D60" w:rsidR="00E22FCF" w:rsidRPr="000F0299" w:rsidRDefault="00E22FCF" w:rsidP="007A0CC3">
      <w:pPr>
        <w:pStyle w:val="Heading1"/>
        <w:rPr>
          <w:lang w:val="sr-Cyrl-RS"/>
        </w:rPr>
      </w:pPr>
      <w:bookmarkStart w:id="8" w:name="_Toc57661446"/>
      <w:r w:rsidRPr="000F0299">
        <w:rPr>
          <w:lang w:val="sr-Cyrl-RS"/>
        </w:rPr>
        <w:t>В</w:t>
      </w:r>
      <w:r w:rsidR="00E706E9" w:rsidRPr="000F0299">
        <w:rPr>
          <w:lang w:val="sr-Cyrl-RS"/>
        </w:rPr>
        <w:t>изија</w:t>
      </w:r>
      <w:r w:rsidRPr="000F0299">
        <w:rPr>
          <w:lang w:val="sr-Cyrl-RS"/>
        </w:rPr>
        <w:t xml:space="preserve"> </w:t>
      </w:r>
      <w:r w:rsidR="00E706E9" w:rsidRPr="000F0299">
        <w:rPr>
          <w:lang w:val="sr-Cyrl-RS"/>
        </w:rPr>
        <w:t>и</w:t>
      </w:r>
      <w:r w:rsidRPr="000F0299">
        <w:rPr>
          <w:lang w:val="sr-Cyrl-RS"/>
        </w:rPr>
        <w:t xml:space="preserve"> </w:t>
      </w:r>
      <w:r w:rsidR="00E706E9" w:rsidRPr="000F0299">
        <w:rPr>
          <w:lang w:val="sr-Cyrl-RS"/>
        </w:rPr>
        <w:t>општи циљ</w:t>
      </w:r>
      <w:bookmarkEnd w:id="7"/>
      <w:bookmarkEnd w:id="8"/>
    </w:p>
    <w:p w14:paraId="4A8346C5" w14:textId="6AC060EB" w:rsidR="00E22FCF" w:rsidRPr="00F926EA" w:rsidRDefault="00F926EA" w:rsidP="00F926EA">
      <w:pPr>
        <w:suppressAutoHyphens w:val="0"/>
        <w:autoSpaceDN/>
        <w:spacing w:before="0" w:after="120"/>
        <w:textAlignment w:val="auto"/>
        <w:rPr>
          <w:rFonts w:eastAsia="Times New Roman"/>
          <w:kern w:val="0"/>
          <w:lang w:eastAsia="en-GB" w:bidi="ar-SA"/>
        </w:rPr>
      </w:pPr>
      <w:r w:rsidRPr="00F926EA">
        <w:rPr>
          <w:rFonts w:eastAsia="Times New Roman"/>
          <w:kern w:val="0"/>
          <w:lang w:eastAsia="en-GB" w:bidi="ar-SA"/>
        </w:rPr>
        <w:t>Ова стратегија се надовезује на резултате постигнуте у периоду од 2014. до 2020. године, а процес њене припреме искоришћен је за поновно разматрање праваца и изазова с којима се управа суочила у претходном периоду.</w:t>
      </w:r>
      <w:r w:rsidR="00D80281" w:rsidRPr="000F0299">
        <w:rPr>
          <w:rFonts w:ascii="Arial Narrow" w:hAnsi="Arial Narrow" w:cstheme="minorHAnsi"/>
          <w:noProof/>
          <w:lang w:val="en-US" w:eastAsia="en-US" w:bidi="ar-SA"/>
        </w:rPr>
        <w:drawing>
          <wp:anchor distT="0" distB="0" distL="114300" distR="114300" simplePos="0" relativeHeight="251414016" behindDoc="0" locked="0" layoutInCell="1" allowOverlap="1" wp14:anchorId="5ACA08A6" wp14:editId="5B74A6E1">
            <wp:simplePos x="0" y="0"/>
            <wp:positionH relativeFrom="margin">
              <wp:align>right</wp:align>
            </wp:positionH>
            <wp:positionV relativeFrom="margin">
              <wp:posOffset>457200</wp:posOffset>
            </wp:positionV>
            <wp:extent cx="2147570" cy="858520"/>
            <wp:effectExtent l="0" t="0" r="5080" b="0"/>
            <wp:wrapSquare wrapText="bothSides"/>
            <wp:docPr id="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2" cstate="print">
                      <a:extLst>
                        <a:ext uri="{28A0092B-C50C-407E-A947-70E740481C1C}">
                          <a14:useLocalDpi xmlns:a14="http://schemas.microsoft.com/office/drawing/2010/main" val="0"/>
                        </a:ext>
                      </a:extLst>
                    </a:blip>
                    <a:srcRect l="28812" t="31419" r="40742" b="46931"/>
                    <a:stretch/>
                  </pic:blipFill>
                  <pic:spPr>
                    <a:xfrm>
                      <a:off x="0" y="0"/>
                      <a:ext cx="2147570" cy="858520"/>
                    </a:xfrm>
                    <a:prstGeom prst="rect">
                      <a:avLst/>
                    </a:prstGeom>
                  </pic:spPr>
                </pic:pic>
              </a:graphicData>
            </a:graphic>
          </wp:anchor>
        </w:drawing>
      </w:r>
    </w:p>
    <w:p w14:paraId="293EDC51" w14:textId="62F102BB" w:rsidR="00E22FCF" w:rsidRPr="00F926EA" w:rsidRDefault="00F926EA" w:rsidP="00F926EA">
      <w:pPr>
        <w:rPr>
          <w:lang w:val="uz-Cyrl-UZ" w:eastAsia="en-GB"/>
        </w:rPr>
      </w:pPr>
      <w:r w:rsidRPr="00F926EA">
        <w:rPr>
          <w:lang w:val="uz-Cyrl-UZ" w:eastAsia="en-GB"/>
        </w:rPr>
        <w:t xml:space="preserve">„Управа по мери свих нас” постоји од 2015. године као процес померања </w:t>
      </w:r>
      <w:r w:rsidRPr="00F926EA">
        <w:rPr>
          <w:lang w:eastAsia="en-GB"/>
        </w:rPr>
        <w:t xml:space="preserve">фокуса од управе као регулатора ка управи као сервису оријентисаном ка грађанима и другим крајњим корисницима. Овом стратегијом </w:t>
      </w:r>
      <w:r w:rsidRPr="00F926EA">
        <w:rPr>
          <w:lang w:val="uz-Cyrl-UZ" w:eastAsia="en-GB"/>
        </w:rPr>
        <w:t xml:space="preserve">„Управа по мери свих нас” </w:t>
      </w:r>
      <w:r w:rsidRPr="00F926EA">
        <w:rPr>
          <w:lang w:eastAsia="en-GB"/>
        </w:rPr>
        <w:t>поставља се као визија и покушај да се у десетогодишњем периоду успостави:</w:t>
      </w:r>
    </w:p>
    <w:p w14:paraId="6B96E6B7" w14:textId="2783A492" w:rsidR="00E22FCF" w:rsidRPr="000F0299" w:rsidRDefault="00F926EA" w:rsidP="00E62A1A">
      <w:pPr>
        <w:pStyle w:val="ListParagraph"/>
        <w:numPr>
          <w:ilvl w:val="0"/>
          <w:numId w:val="51"/>
        </w:numPr>
        <w:ind w:left="709"/>
      </w:pPr>
      <w:r>
        <w:t>Управа по мери грађана и привреде – ефикасна, одговорна, транспарентна јавна управа која грађанима и привреди пружа квалитетне и лако доступне услуге;</w:t>
      </w:r>
    </w:p>
    <w:p w14:paraId="171DEBC6" w14:textId="41B3FC88" w:rsidR="00E22FCF" w:rsidRPr="000F0299" w:rsidRDefault="00F926EA" w:rsidP="00E62A1A">
      <w:pPr>
        <w:pStyle w:val="ListParagraph"/>
        <w:numPr>
          <w:ilvl w:val="0"/>
          <w:numId w:val="51"/>
        </w:numPr>
        <w:ind w:left="709"/>
      </w:pPr>
      <w:r>
        <w:t>Управа по мери државних службеника – деполитизована и професионална и делотворна државна управа</w:t>
      </w:r>
      <w:r w:rsidRPr="000F0299">
        <w:t xml:space="preserve"> </w:t>
      </w:r>
    </w:p>
    <w:p w14:paraId="10B26B6A" w14:textId="408EE70C" w:rsidR="00F926EA" w:rsidRPr="000F0299" w:rsidRDefault="000A2297" w:rsidP="00E62A1A">
      <w:pPr>
        <w:pStyle w:val="ListParagraph"/>
        <w:numPr>
          <w:ilvl w:val="0"/>
          <w:numId w:val="51"/>
        </w:numPr>
        <w:ind w:left="709"/>
      </w:pPr>
      <w:r>
        <w:t xml:space="preserve">Управа која је носилац промена и реформи, као и пуноправног чланства Европске уније – рад јавне управе се заснива на европским вредностима и доприноси циљевима одрживог развоја, владавини права, социјалној кохезији и добробити друштва у целини. </w:t>
      </w:r>
    </w:p>
    <w:p w14:paraId="59464308" w14:textId="3A1759D6" w:rsidR="00E22FCF" w:rsidRPr="000F0299" w:rsidRDefault="00E22FCF" w:rsidP="00244E7C">
      <w:r w:rsidRPr="000F0299">
        <w:t>Циљеви, мере и активности, утврђене у свакој од тематских области дефинисаних Стратегијом РЈУ 2021–2030. године, треба да допринесу побољшању правног и организационог оквира, капацитетима институција и службеника, као и омогућавање стварања организационе културе окренуте грађанима.</w:t>
      </w:r>
    </w:p>
    <w:p w14:paraId="778680D0" w14:textId="7A9534BB" w:rsidR="00E22FCF" w:rsidRPr="000F0299" w:rsidRDefault="00E22FCF" w:rsidP="00244E7C">
      <w:bookmarkStart w:id="9" w:name="_Hlk57290043"/>
      <w:r w:rsidRPr="000F0299">
        <w:t>Процес реформе јавне управе ће</w:t>
      </w:r>
      <w:r w:rsidR="00561CFD" w:rsidRPr="00E22FCF">
        <w:rPr>
          <w:lang w:val="uz-Cyrl-UZ"/>
        </w:rPr>
        <w:t xml:space="preserve"> се заснивати на начелима деполитизације, професионализације, развој</w:t>
      </w:r>
      <w:r w:rsidR="00561CFD">
        <w:rPr>
          <w:lang w:val="uz-Cyrl-UZ"/>
        </w:rPr>
        <w:t>а</w:t>
      </w:r>
      <w:r w:rsidR="00561CFD" w:rsidRPr="00E22FCF">
        <w:rPr>
          <w:lang w:val="uz-Cyrl-UZ"/>
        </w:rPr>
        <w:t xml:space="preserve"> људских ресурса у управи и њихових компетенција, модернизације и дигитализације, отворености ка променама и иновацијама, поузданости и предвид</w:t>
      </w:r>
      <w:r w:rsidR="00561CFD">
        <w:rPr>
          <w:lang w:val="uz-Cyrl-UZ"/>
        </w:rPr>
        <w:t>љ</w:t>
      </w:r>
      <w:r w:rsidR="00561CFD" w:rsidRPr="00E22FCF">
        <w:rPr>
          <w:lang w:val="uz-Cyrl-UZ"/>
        </w:rPr>
        <w:t>ивости (правне сигурности), отворености, транспарентности и партиципативности, одговорности, ефикасности, делотворности (окренутости ка резултатима), децентрализације, друштвене одговорности, доследности у примени и спровођењу реформи</w:t>
      </w:r>
      <w:r w:rsidR="006F6F97" w:rsidRPr="00531E12">
        <w:t xml:space="preserve">. </w:t>
      </w:r>
      <w:bookmarkEnd w:id="9"/>
    </w:p>
    <w:p w14:paraId="7E08B5E0" w14:textId="0C8F84EF" w:rsidR="00E22FCF" w:rsidRPr="000F0299" w:rsidRDefault="00E22FCF" w:rsidP="00244E7C">
      <w:pPr>
        <w:rPr>
          <w:b/>
          <w:bCs/>
        </w:rPr>
      </w:pPr>
      <w:r w:rsidRPr="000F0299">
        <w:rPr>
          <w:b/>
          <w:bCs/>
        </w:rPr>
        <w:t>Општи циљ</w:t>
      </w:r>
      <w:r w:rsidRPr="000F0299">
        <w:t xml:space="preserve"> који је неопходно постићи </w:t>
      </w:r>
      <w:r w:rsidR="00561CFD">
        <w:rPr>
          <w:lang w:val="uz-Cyrl-UZ"/>
        </w:rPr>
        <w:t xml:space="preserve">овом </w:t>
      </w:r>
      <w:r w:rsidR="00561CFD" w:rsidRPr="00561CFD">
        <w:rPr>
          <w:b/>
          <w:bCs/>
          <w:lang w:val="uz-Cyrl-UZ"/>
        </w:rPr>
        <w:t>стратегијом</w:t>
      </w:r>
      <w:r w:rsidR="00561CFD" w:rsidRPr="00561CFD">
        <w:rPr>
          <w:rFonts w:eastAsia="Times New Roman"/>
          <w:b/>
          <w:bCs/>
          <w:lang w:eastAsia="en-GB"/>
        </w:rPr>
        <w:t xml:space="preserve"> јесте </w:t>
      </w:r>
      <w:r w:rsidR="00561CFD" w:rsidRPr="00561CFD">
        <w:rPr>
          <w:b/>
          <w:bCs/>
          <w:lang w:val="sr-Cyrl-CS"/>
        </w:rPr>
        <w:t xml:space="preserve">даље побољшање рада јавне управе и квалитета креирања јавних политика у складу са европским </w:t>
      </w:r>
      <w:r w:rsidR="00561CFD" w:rsidRPr="00561CFD">
        <w:rPr>
          <w:b/>
          <w:bCs/>
        </w:rPr>
        <w:t>П</w:t>
      </w:r>
      <w:r w:rsidR="00561CFD" w:rsidRPr="00561CFD">
        <w:rPr>
          <w:b/>
          <w:bCs/>
          <w:lang w:val="sr-Cyrl-CS"/>
        </w:rPr>
        <w:t>ринципима јавне управе и обезбеђивање високог квалитета услуга грађанима и привредним субјектима, као и професионалне јавне управе која ће значајно допринети економској стабилности и повећању животног стандарда</w:t>
      </w:r>
      <w:r w:rsidR="00561CFD" w:rsidRPr="008F36EC">
        <w:t>.</w:t>
      </w:r>
    </w:p>
    <w:p w14:paraId="39AE66D0" w14:textId="004A47E4" w:rsidR="00BB094F" w:rsidRPr="000F0299" w:rsidRDefault="00BB094F">
      <w:pPr>
        <w:suppressAutoHyphens w:val="0"/>
        <w:autoSpaceDN/>
        <w:spacing w:before="0" w:after="160" w:line="259" w:lineRule="auto"/>
        <w:ind w:firstLine="0"/>
        <w:jc w:val="left"/>
        <w:textAlignment w:val="auto"/>
      </w:pPr>
      <w:bookmarkStart w:id="10" w:name="_Toc40611703"/>
      <w:r w:rsidRPr="000F0299">
        <w:br w:type="page"/>
      </w:r>
    </w:p>
    <w:p w14:paraId="21B390A0" w14:textId="4674BE42" w:rsidR="00176A6B" w:rsidRPr="000F0299" w:rsidRDefault="00176A6B" w:rsidP="00BB094F">
      <w:pPr>
        <w:suppressAutoHyphens w:val="0"/>
        <w:autoSpaceDN/>
        <w:spacing w:before="0" w:after="160" w:line="259" w:lineRule="auto"/>
        <w:textAlignment w:val="auto"/>
      </w:pPr>
    </w:p>
    <w:bookmarkEnd w:id="10"/>
    <w:tbl>
      <w:tblPr>
        <w:tblW w:w="5000" w:type="pct"/>
        <w:tblInd w:w="119" w:type="dxa"/>
        <w:shd w:val="clear" w:color="auto" w:fill="E7E6E6" w:themeFill="background2"/>
        <w:tblLook w:val="00A0" w:firstRow="1" w:lastRow="0" w:firstColumn="1" w:lastColumn="0" w:noHBand="0" w:noVBand="0"/>
      </w:tblPr>
      <w:tblGrid>
        <w:gridCol w:w="342"/>
        <w:gridCol w:w="4592"/>
        <w:gridCol w:w="1857"/>
        <w:gridCol w:w="1857"/>
        <w:gridCol w:w="332"/>
      </w:tblGrid>
      <w:tr w:rsidR="00BB094F" w:rsidRPr="000F0299" w14:paraId="69C570D7" w14:textId="77777777" w:rsidTr="002234A7">
        <w:trPr>
          <w:trHeight w:val="20"/>
        </w:trPr>
        <w:tc>
          <w:tcPr>
            <w:tcW w:w="190" w:type="pct"/>
            <w:tcBorders>
              <w:top w:val="single" w:sz="18" w:space="0" w:color="C00000"/>
              <w:left w:val="single" w:sz="18" w:space="0" w:color="C00000"/>
            </w:tcBorders>
            <w:shd w:val="clear" w:color="auto" w:fill="F2F2F2" w:themeFill="background1" w:themeFillShade="F2"/>
          </w:tcPr>
          <w:p w14:paraId="1601EC2C" w14:textId="1952910A" w:rsidR="00BB094F" w:rsidRPr="000F0299" w:rsidRDefault="00BB094F" w:rsidP="00445217">
            <w:pPr>
              <w:spacing w:before="0"/>
              <w:ind w:firstLine="0"/>
              <w:rPr>
                <w:b/>
                <w:bCs/>
                <w:sz w:val="16"/>
                <w:szCs w:val="16"/>
              </w:rPr>
            </w:pPr>
          </w:p>
        </w:tc>
        <w:tc>
          <w:tcPr>
            <w:tcW w:w="2557" w:type="pct"/>
            <w:tcBorders>
              <w:top w:val="single" w:sz="18" w:space="0" w:color="C00000"/>
            </w:tcBorders>
            <w:shd w:val="clear" w:color="auto" w:fill="F2F2F2" w:themeFill="background1" w:themeFillShade="F2"/>
          </w:tcPr>
          <w:p w14:paraId="62CE0895" w14:textId="77777777" w:rsidR="00BB094F" w:rsidRPr="000F0299" w:rsidRDefault="00BB094F" w:rsidP="00445217">
            <w:pPr>
              <w:spacing w:before="0"/>
              <w:ind w:firstLine="0"/>
              <w:rPr>
                <w:b/>
                <w:bCs/>
                <w:sz w:val="16"/>
                <w:szCs w:val="16"/>
              </w:rPr>
            </w:pPr>
          </w:p>
        </w:tc>
        <w:tc>
          <w:tcPr>
            <w:tcW w:w="1034" w:type="pct"/>
            <w:tcBorders>
              <w:top w:val="single" w:sz="18" w:space="0" w:color="C00000"/>
            </w:tcBorders>
            <w:shd w:val="clear" w:color="auto" w:fill="F2F2F2" w:themeFill="background1" w:themeFillShade="F2"/>
            <w:vAlign w:val="center"/>
          </w:tcPr>
          <w:p w14:paraId="152C299A" w14:textId="77777777" w:rsidR="00BB094F" w:rsidRPr="000F0299" w:rsidRDefault="00BB094F" w:rsidP="00445217">
            <w:pPr>
              <w:spacing w:before="0"/>
              <w:ind w:firstLine="0"/>
              <w:jc w:val="center"/>
              <w:rPr>
                <w:b/>
                <w:bCs/>
                <w:sz w:val="16"/>
                <w:szCs w:val="16"/>
              </w:rPr>
            </w:pPr>
          </w:p>
        </w:tc>
        <w:tc>
          <w:tcPr>
            <w:tcW w:w="1034" w:type="pct"/>
            <w:tcBorders>
              <w:top w:val="single" w:sz="18" w:space="0" w:color="C00000"/>
            </w:tcBorders>
            <w:shd w:val="clear" w:color="auto" w:fill="F2F2F2" w:themeFill="background1" w:themeFillShade="F2"/>
            <w:vAlign w:val="center"/>
          </w:tcPr>
          <w:p w14:paraId="19C243F3" w14:textId="77777777" w:rsidR="00BB094F" w:rsidRPr="000F0299" w:rsidRDefault="00BB094F" w:rsidP="00445217">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F2F2F2" w:themeFill="background1" w:themeFillShade="F2"/>
          </w:tcPr>
          <w:p w14:paraId="4CB57E91" w14:textId="77777777" w:rsidR="00BB094F" w:rsidRPr="000F0299" w:rsidRDefault="00BB094F" w:rsidP="00445217">
            <w:pPr>
              <w:spacing w:before="0"/>
              <w:ind w:firstLine="0"/>
              <w:jc w:val="center"/>
              <w:rPr>
                <w:b/>
                <w:bCs/>
                <w:sz w:val="16"/>
                <w:szCs w:val="16"/>
              </w:rPr>
            </w:pPr>
          </w:p>
        </w:tc>
      </w:tr>
      <w:tr w:rsidR="00BB094F" w:rsidRPr="000F0299" w14:paraId="344EA152" w14:textId="77777777" w:rsidTr="002234A7">
        <w:trPr>
          <w:trHeight w:val="490"/>
        </w:trPr>
        <w:tc>
          <w:tcPr>
            <w:tcW w:w="190" w:type="pct"/>
            <w:tcBorders>
              <w:left w:val="single" w:sz="18" w:space="0" w:color="C00000"/>
            </w:tcBorders>
            <w:shd w:val="clear" w:color="auto" w:fill="F2F2F2" w:themeFill="background1" w:themeFillShade="F2"/>
          </w:tcPr>
          <w:p w14:paraId="5686E516" w14:textId="77777777" w:rsidR="00BB094F" w:rsidRPr="000F0299" w:rsidRDefault="00BB094F" w:rsidP="00445217">
            <w:pPr>
              <w:spacing w:before="0"/>
              <w:ind w:firstLine="0"/>
              <w:rPr>
                <w:b/>
                <w:bCs/>
              </w:rPr>
            </w:pPr>
          </w:p>
        </w:tc>
        <w:tc>
          <w:tcPr>
            <w:tcW w:w="2557" w:type="pct"/>
            <w:tcBorders>
              <w:left w:val="nil"/>
              <w:bottom w:val="single" w:sz="18" w:space="0" w:color="C00000"/>
              <w:right w:val="single" w:sz="18" w:space="0" w:color="FFFFFF" w:themeColor="background1"/>
            </w:tcBorders>
            <w:shd w:val="clear" w:color="auto" w:fill="F2F2F2" w:themeFill="background1" w:themeFillShade="F2"/>
          </w:tcPr>
          <w:p w14:paraId="100F55EF" w14:textId="77777777" w:rsidR="00BB094F" w:rsidRPr="000F0299" w:rsidRDefault="00BB094F" w:rsidP="00445217">
            <w:pPr>
              <w:spacing w:before="0"/>
              <w:ind w:firstLine="0"/>
              <w:rPr>
                <w:b/>
                <w:bCs/>
              </w:rPr>
            </w:pPr>
            <w:r w:rsidRPr="000F0299">
              <w:rPr>
                <w:b/>
                <w:bCs/>
              </w:rPr>
              <w:t>Показатељи (ниво утицаја)</w:t>
            </w:r>
          </w:p>
        </w:tc>
        <w:tc>
          <w:tcPr>
            <w:tcW w:w="1034"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37607C9A" w14:textId="77777777" w:rsidR="00BB094F" w:rsidRPr="000F0299" w:rsidRDefault="00BB094F" w:rsidP="00445217">
            <w:pPr>
              <w:spacing w:before="0"/>
              <w:ind w:firstLine="0"/>
              <w:jc w:val="center"/>
              <w:rPr>
                <w:b/>
                <w:bCs/>
              </w:rPr>
            </w:pPr>
            <w:r w:rsidRPr="000F0299">
              <w:rPr>
                <w:b/>
                <w:bCs/>
              </w:rPr>
              <w:t>ПВ</w:t>
            </w:r>
          </w:p>
        </w:tc>
        <w:tc>
          <w:tcPr>
            <w:tcW w:w="1034" w:type="pct"/>
            <w:tcBorders>
              <w:left w:val="single" w:sz="18" w:space="0" w:color="FFFFFF" w:themeColor="background1"/>
              <w:bottom w:val="single" w:sz="18" w:space="0" w:color="C00000"/>
            </w:tcBorders>
            <w:shd w:val="clear" w:color="auto" w:fill="F2F2F2" w:themeFill="background1" w:themeFillShade="F2"/>
            <w:vAlign w:val="center"/>
          </w:tcPr>
          <w:p w14:paraId="084B9355" w14:textId="1C624FB1" w:rsidR="00BB094F" w:rsidRPr="000F0299" w:rsidRDefault="00BB094F" w:rsidP="00445217">
            <w:pPr>
              <w:spacing w:before="0"/>
              <w:ind w:firstLine="0"/>
              <w:jc w:val="center"/>
              <w:rPr>
                <w:b/>
                <w:bCs/>
              </w:rPr>
            </w:pPr>
            <w:r w:rsidRPr="000F0299">
              <w:rPr>
                <w:b/>
                <w:bCs/>
              </w:rPr>
              <w:t>ЦВ</w:t>
            </w:r>
          </w:p>
        </w:tc>
        <w:tc>
          <w:tcPr>
            <w:tcW w:w="185" w:type="pct"/>
            <w:tcBorders>
              <w:right w:val="single" w:sz="18" w:space="0" w:color="C00000"/>
            </w:tcBorders>
            <w:shd w:val="clear" w:color="auto" w:fill="F2F2F2" w:themeFill="background1" w:themeFillShade="F2"/>
          </w:tcPr>
          <w:p w14:paraId="565FCD2A" w14:textId="77777777" w:rsidR="00BB094F" w:rsidRPr="000F0299" w:rsidRDefault="00BB094F" w:rsidP="00445217">
            <w:pPr>
              <w:spacing w:before="0"/>
              <w:ind w:firstLine="0"/>
              <w:jc w:val="center"/>
              <w:rPr>
                <w:b/>
                <w:bCs/>
              </w:rPr>
            </w:pPr>
          </w:p>
        </w:tc>
      </w:tr>
      <w:tr w:rsidR="00BB094F" w:rsidRPr="000F0299" w14:paraId="21C5FE44" w14:textId="77777777" w:rsidTr="008F36EC">
        <w:trPr>
          <w:trHeight w:val="1277"/>
        </w:trPr>
        <w:tc>
          <w:tcPr>
            <w:tcW w:w="190" w:type="pct"/>
            <w:tcBorders>
              <w:left w:val="single" w:sz="18" w:space="0" w:color="C00000"/>
            </w:tcBorders>
            <w:shd w:val="clear" w:color="auto" w:fill="F2F2F2" w:themeFill="background1" w:themeFillShade="F2"/>
          </w:tcPr>
          <w:p w14:paraId="478F9131" w14:textId="77777777" w:rsidR="00BB094F" w:rsidRPr="000F0299" w:rsidRDefault="00BB094F" w:rsidP="00445217">
            <w:pPr>
              <w:spacing w:before="0"/>
              <w:ind w:firstLine="0"/>
            </w:pPr>
          </w:p>
        </w:tc>
        <w:tc>
          <w:tcPr>
            <w:tcW w:w="2557"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69C1ECCD" w14:textId="77777777" w:rsidR="00BB094F" w:rsidRPr="000F0299" w:rsidRDefault="00BB094F" w:rsidP="00445217">
            <w:pPr>
              <w:spacing w:before="0"/>
              <w:ind w:firstLine="0"/>
            </w:pPr>
            <w:r w:rsidRPr="000F0299">
              <w:t>Делотворност власти (Светска банка) – перцентилни ранг (0–100)</w:t>
            </w:r>
          </w:p>
        </w:tc>
        <w:tc>
          <w:tcPr>
            <w:tcW w:w="1034"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4FA652CF" w14:textId="37419F45" w:rsidR="00BB094F" w:rsidRPr="000F0299" w:rsidRDefault="00BB094F" w:rsidP="00445217">
            <w:pPr>
              <w:spacing w:before="0"/>
              <w:ind w:firstLine="0"/>
            </w:pPr>
            <w:r w:rsidRPr="000F0299">
              <w:t>(2019): 53.</w:t>
            </w:r>
            <w:r w:rsidR="003616D6" w:rsidRPr="000F0299">
              <w:t>3</w:t>
            </w:r>
            <w:r w:rsidRPr="000F0299">
              <w:t>7</w:t>
            </w:r>
          </w:p>
        </w:tc>
        <w:tc>
          <w:tcPr>
            <w:tcW w:w="1034"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104EE827" w14:textId="04E5786F" w:rsidR="00BB094F" w:rsidRPr="000F0299" w:rsidRDefault="00BB094F" w:rsidP="00445217">
            <w:pPr>
              <w:spacing w:before="0"/>
              <w:ind w:firstLine="0"/>
            </w:pPr>
            <w:r w:rsidRPr="000F0299">
              <w:t>(2020):</w:t>
            </w:r>
            <w:r w:rsidRPr="000F0299">
              <w:rPr>
                <w:i/>
              </w:rPr>
              <w:t xml:space="preserve"> </w:t>
            </w:r>
            <w:r w:rsidRPr="000F0299">
              <w:t>53–56</w:t>
            </w:r>
          </w:p>
          <w:p w14:paraId="5B1EB753" w14:textId="247AD343" w:rsidR="00BB094F" w:rsidRPr="000F0299" w:rsidRDefault="00BB094F" w:rsidP="00445217">
            <w:pPr>
              <w:spacing w:before="0"/>
              <w:ind w:firstLine="0"/>
            </w:pPr>
            <w:r w:rsidRPr="000F0299">
              <w:t>(2025): 60–63</w:t>
            </w:r>
          </w:p>
          <w:p w14:paraId="446BD15B" w14:textId="77777777" w:rsidR="00BB094F" w:rsidRPr="000F0299" w:rsidRDefault="00BB094F" w:rsidP="00445217">
            <w:pPr>
              <w:spacing w:before="0"/>
              <w:ind w:firstLine="0"/>
            </w:pPr>
            <w:r w:rsidRPr="000F0299">
              <w:t>(2030): 60–63</w:t>
            </w:r>
          </w:p>
        </w:tc>
        <w:tc>
          <w:tcPr>
            <w:tcW w:w="185" w:type="pct"/>
            <w:tcBorders>
              <w:right w:val="single" w:sz="18" w:space="0" w:color="C00000"/>
            </w:tcBorders>
            <w:shd w:val="clear" w:color="auto" w:fill="F2F2F2" w:themeFill="background1" w:themeFillShade="F2"/>
          </w:tcPr>
          <w:p w14:paraId="774B609A" w14:textId="77777777" w:rsidR="00BB094F" w:rsidRPr="000F0299" w:rsidRDefault="00BB094F" w:rsidP="00445217">
            <w:pPr>
              <w:spacing w:before="0"/>
              <w:ind w:firstLine="0"/>
            </w:pPr>
          </w:p>
        </w:tc>
      </w:tr>
      <w:tr w:rsidR="00BB094F" w:rsidRPr="000F0299" w14:paraId="5E81BB01" w14:textId="77777777" w:rsidTr="008F36EC">
        <w:trPr>
          <w:trHeight w:val="1224"/>
        </w:trPr>
        <w:tc>
          <w:tcPr>
            <w:tcW w:w="190" w:type="pct"/>
            <w:tcBorders>
              <w:left w:val="single" w:sz="18" w:space="0" w:color="C00000"/>
            </w:tcBorders>
            <w:shd w:val="clear" w:color="auto" w:fill="F2F2F2" w:themeFill="background1" w:themeFillShade="F2"/>
          </w:tcPr>
          <w:p w14:paraId="43B8362B" w14:textId="77777777" w:rsidR="00BB094F" w:rsidRPr="000F0299" w:rsidRDefault="00BB094F" w:rsidP="00445217">
            <w:pPr>
              <w:spacing w:before="0"/>
              <w:ind w:firstLine="0"/>
            </w:pPr>
          </w:p>
        </w:tc>
        <w:tc>
          <w:tcPr>
            <w:tcW w:w="2557"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0D02E3B2" w14:textId="77777777" w:rsidR="00BB094F" w:rsidRPr="000F0299" w:rsidRDefault="00BB094F" w:rsidP="00445217">
            <w:pPr>
              <w:spacing w:before="0"/>
              <w:ind w:firstLine="0"/>
              <w:rPr>
                <w:rFonts w:eastAsia="Times New Roman"/>
                <w:color w:val="222222"/>
              </w:rPr>
            </w:pPr>
            <w:r w:rsidRPr="000F0299">
              <w:t>Степен задовољства грађана и привреде пруженим услугама јавне управе</w:t>
            </w:r>
            <w:r w:rsidRPr="000F0299">
              <w:rPr>
                <w:rFonts w:eastAsia="Times New Roman"/>
                <w:color w:val="222222"/>
              </w:rPr>
              <w:t xml:space="preserve"> (синтезни показатељ на основу одабраних података Балкан Барометар)</w:t>
            </w:r>
          </w:p>
        </w:tc>
        <w:tc>
          <w:tcPr>
            <w:tcW w:w="1034"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42E5CF7F" w14:textId="77777777" w:rsidR="00BB094F" w:rsidRPr="000F0299" w:rsidRDefault="00BB094F" w:rsidP="00445217">
            <w:pPr>
              <w:spacing w:before="0"/>
              <w:ind w:firstLine="0"/>
            </w:pPr>
            <w:r w:rsidRPr="000F0299">
              <w:t>(2020): 4</w:t>
            </w:r>
          </w:p>
        </w:tc>
        <w:tc>
          <w:tcPr>
            <w:tcW w:w="1034"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67029A9E" w14:textId="78F23B29" w:rsidR="00BB094F" w:rsidRPr="000F0299" w:rsidRDefault="00BB094F" w:rsidP="00445217">
            <w:pPr>
              <w:spacing w:before="0"/>
              <w:ind w:firstLine="0"/>
            </w:pPr>
            <w:r w:rsidRPr="000F0299">
              <w:t xml:space="preserve">(2025): 6.5 </w:t>
            </w:r>
          </w:p>
          <w:p w14:paraId="69F29F73" w14:textId="77777777" w:rsidR="00BB094F" w:rsidRPr="000F0299" w:rsidRDefault="00BB094F" w:rsidP="00445217">
            <w:pPr>
              <w:spacing w:before="0"/>
              <w:ind w:firstLine="0"/>
            </w:pPr>
            <w:r w:rsidRPr="000F0299">
              <w:t>(2030): 9</w:t>
            </w:r>
          </w:p>
        </w:tc>
        <w:tc>
          <w:tcPr>
            <w:tcW w:w="185" w:type="pct"/>
            <w:tcBorders>
              <w:right w:val="single" w:sz="18" w:space="0" w:color="C00000"/>
            </w:tcBorders>
            <w:shd w:val="clear" w:color="auto" w:fill="F2F2F2" w:themeFill="background1" w:themeFillShade="F2"/>
          </w:tcPr>
          <w:p w14:paraId="1BDBE8E1" w14:textId="77777777" w:rsidR="00BB094F" w:rsidRPr="000F0299" w:rsidRDefault="00BB094F" w:rsidP="00445217">
            <w:pPr>
              <w:spacing w:before="0"/>
              <w:ind w:firstLine="0"/>
            </w:pPr>
          </w:p>
        </w:tc>
      </w:tr>
      <w:tr w:rsidR="00BB094F" w:rsidRPr="000F0299" w14:paraId="09C019ED" w14:textId="77777777" w:rsidTr="002234A7">
        <w:trPr>
          <w:trHeight w:val="340"/>
        </w:trPr>
        <w:tc>
          <w:tcPr>
            <w:tcW w:w="190" w:type="pct"/>
            <w:tcBorders>
              <w:left w:val="single" w:sz="18" w:space="0" w:color="C00000"/>
              <w:bottom w:val="single" w:sz="18" w:space="0" w:color="C00000"/>
            </w:tcBorders>
            <w:shd w:val="clear" w:color="auto" w:fill="F2F2F2" w:themeFill="background1" w:themeFillShade="F2"/>
          </w:tcPr>
          <w:p w14:paraId="31F00934" w14:textId="77777777" w:rsidR="00BB094F" w:rsidRPr="000F0299" w:rsidRDefault="00BB094F" w:rsidP="00445217">
            <w:pPr>
              <w:spacing w:before="0"/>
              <w:ind w:firstLine="0"/>
              <w:rPr>
                <w:sz w:val="16"/>
                <w:szCs w:val="16"/>
              </w:rPr>
            </w:pPr>
          </w:p>
        </w:tc>
        <w:tc>
          <w:tcPr>
            <w:tcW w:w="2557" w:type="pct"/>
            <w:tcBorders>
              <w:top w:val="single" w:sz="18" w:space="0" w:color="FFFFFF" w:themeColor="background1"/>
              <w:bottom w:val="single" w:sz="18" w:space="0" w:color="C00000"/>
            </w:tcBorders>
            <w:shd w:val="clear" w:color="auto" w:fill="F2F2F2" w:themeFill="background1" w:themeFillShade="F2"/>
          </w:tcPr>
          <w:p w14:paraId="609DE2AF" w14:textId="77777777" w:rsidR="00BB094F" w:rsidRPr="000F0299" w:rsidRDefault="00BB094F" w:rsidP="00445217">
            <w:pPr>
              <w:spacing w:before="0"/>
              <w:ind w:firstLine="0"/>
              <w:rPr>
                <w:sz w:val="16"/>
                <w:szCs w:val="16"/>
              </w:rPr>
            </w:pPr>
          </w:p>
        </w:tc>
        <w:tc>
          <w:tcPr>
            <w:tcW w:w="1034" w:type="pct"/>
            <w:tcBorders>
              <w:top w:val="single" w:sz="18" w:space="0" w:color="FFFFFF" w:themeColor="background1"/>
              <w:bottom w:val="single" w:sz="18" w:space="0" w:color="C00000"/>
            </w:tcBorders>
            <w:shd w:val="clear" w:color="auto" w:fill="F2F2F2" w:themeFill="background1" w:themeFillShade="F2"/>
          </w:tcPr>
          <w:p w14:paraId="240E48C4" w14:textId="77777777" w:rsidR="00BB094F" w:rsidRPr="000F0299" w:rsidRDefault="00BB094F" w:rsidP="00445217">
            <w:pPr>
              <w:spacing w:before="0"/>
              <w:ind w:firstLine="0"/>
              <w:rPr>
                <w:sz w:val="16"/>
                <w:szCs w:val="16"/>
              </w:rPr>
            </w:pPr>
          </w:p>
        </w:tc>
        <w:tc>
          <w:tcPr>
            <w:tcW w:w="1034" w:type="pct"/>
            <w:tcBorders>
              <w:top w:val="single" w:sz="18" w:space="0" w:color="FFFFFF" w:themeColor="background1"/>
              <w:bottom w:val="single" w:sz="18" w:space="0" w:color="C00000"/>
            </w:tcBorders>
            <w:shd w:val="clear" w:color="auto" w:fill="F2F2F2" w:themeFill="background1" w:themeFillShade="F2"/>
          </w:tcPr>
          <w:p w14:paraId="4AF87131" w14:textId="77777777" w:rsidR="00BB094F" w:rsidRPr="000F0299" w:rsidRDefault="00BB094F" w:rsidP="00445217">
            <w:pPr>
              <w:spacing w:before="0"/>
              <w:ind w:firstLine="0"/>
              <w:rPr>
                <w:sz w:val="16"/>
                <w:szCs w:val="16"/>
              </w:rPr>
            </w:pPr>
          </w:p>
        </w:tc>
        <w:tc>
          <w:tcPr>
            <w:tcW w:w="185" w:type="pct"/>
            <w:tcBorders>
              <w:bottom w:val="single" w:sz="18" w:space="0" w:color="C00000"/>
              <w:right w:val="single" w:sz="18" w:space="0" w:color="C00000"/>
            </w:tcBorders>
            <w:shd w:val="clear" w:color="auto" w:fill="F2F2F2" w:themeFill="background1" w:themeFillShade="F2"/>
          </w:tcPr>
          <w:p w14:paraId="381B48AE" w14:textId="77777777" w:rsidR="00BB094F" w:rsidRPr="000F0299" w:rsidRDefault="00BB094F" w:rsidP="00445217">
            <w:pPr>
              <w:spacing w:before="0"/>
              <w:ind w:firstLine="0"/>
              <w:rPr>
                <w:sz w:val="16"/>
                <w:szCs w:val="16"/>
              </w:rPr>
            </w:pPr>
          </w:p>
        </w:tc>
      </w:tr>
    </w:tbl>
    <w:p w14:paraId="004F0705" w14:textId="77777777" w:rsidR="000716BB" w:rsidRPr="000F0299" w:rsidRDefault="000716BB" w:rsidP="00244E7C"/>
    <w:p w14:paraId="4EE46055" w14:textId="2A508781" w:rsidR="002061AD" w:rsidRPr="000F0299" w:rsidRDefault="002061AD">
      <w:pPr>
        <w:suppressAutoHyphens w:val="0"/>
        <w:autoSpaceDN/>
        <w:spacing w:before="0" w:after="160" w:line="259" w:lineRule="auto"/>
        <w:ind w:firstLine="0"/>
        <w:jc w:val="left"/>
        <w:textAlignment w:val="auto"/>
        <w:rPr>
          <w:rFonts w:eastAsiaTheme="majorEastAsia" w:cstheme="majorBidi"/>
          <w:color w:val="2F5496" w:themeColor="accent1" w:themeShade="BF"/>
          <w:sz w:val="40"/>
          <w:szCs w:val="32"/>
        </w:rPr>
      </w:pPr>
      <w:bookmarkStart w:id="11" w:name="_Toc56725069"/>
      <w:bookmarkStart w:id="12" w:name="_Toc45013980"/>
      <w:r w:rsidRPr="000F0299">
        <w:br w:type="page"/>
      </w:r>
    </w:p>
    <w:p w14:paraId="355FDAD0" w14:textId="6C725A8B" w:rsidR="006C0FCF" w:rsidRPr="000F0299" w:rsidRDefault="00725146" w:rsidP="007A0CC3">
      <w:pPr>
        <w:pStyle w:val="Heading1"/>
        <w:rPr>
          <w:lang w:val="sr-Cyrl-RS"/>
        </w:rPr>
      </w:pPr>
      <w:bookmarkStart w:id="13" w:name="_Toc57661447"/>
      <w:r w:rsidRPr="000F0299">
        <w:rPr>
          <w:lang w:val="sr-Cyrl-RS"/>
        </w:rPr>
        <w:t>Тематске области</w:t>
      </w:r>
      <w:bookmarkEnd w:id="13"/>
      <w:r w:rsidRPr="000F0299">
        <w:rPr>
          <w:lang w:val="sr-Cyrl-RS"/>
        </w:rPr>
        <w:t xml:space="preserve"> </w:t>
      </w:r>
      <w:bookmarkEnd w:id="11"/>
    </w:p>
    <w:p w14:paraId="395A29D7" w14:textId="15B8E23A" w:rsidR="006C0FCF" w:rsidRPr="000F0299" w:rsidRDefault="006C0FCF" w:rsidP="003D3BC5">
      <w:pPr>
        <w:pStyle w:val="Heading2"/>
        <w:rPr>
          <w:lang w:val="sr-Cyrl-RS"/>
        </w:rPr>
      </w:pPr>
      <w:bookmarkStart w:id="14" w:name="_Toc45013948"/>
      <w:bookmarkStart w:id="15" w:name="_Toc56725070"/>
      <w:bookmarkStart w:id="16" w:name="_Toc57661448"/>
      <w:r w:rsidRPr="000F0299">
        <w:rPr>
          <w:lang w:val="sr-Cyrl-RS"/>
        </w:rPr>
        <w:t xml:space="preserve">Ι. </w:t>
      </w:r>
      <w:r w:rsidR="00E706E9" w:rsidRPr="000F0299">
        <w:rPr>
          <w:lang w:val="sr-Cyrl-RS"/>
        </w:rPr>
        <w:t>Планирање и координација јавних политика</w:t>
      </w:r>
      <w:bookmarkEnd w:id="14"/>
      <w:bookmarkEnd w:id="15"/>
      <w:bookmarkEnd w:id="16"/>
    </w:p>
    <w:bookmarkStart w:id="17" w:name="_Toc45013949"/>
    <w:p w14:paraId="5303F37F" w14:textId="491C353E" w:rsidR="006C0FCF" w:rsidRPr="000F0299" w:rsidRDefault="006C0FCF" w:rsidP="00725146">
      <w:pPr>
        <w:pStyle w:val="Heading3"/>
        <w:rPr>
          <w:lang w:val="sr-Cyrl-RS"/>
        </w:rPr>
      </w:pPr>
      <w:r w:rsidRPr="000F0299">
        <w:rPr>
          <w:lang w:val="sr-Cyrl-RS"/>
        </w:rPr>
        <w:fldChar w:fldCharType="begin"/>
      </w:r>
      <w:r w:rsidRPr="000F0299">
        <w:rPr>
          <w:lang w:val="sr-Cyrl-RS"/>
        </w:rPr>
        <w:instrText xml:space="preserve"> HYPERLINK  \l "_АНАЛИЗА_СТАЊА" </w:instrText>
      </w:r>
      <w:r w:rsidRPr="000F0299">
        <w:rPr>
          <w:lang w:val="sr-Cyrl-RS"/>
        </w:rPr>
        <w:fldChar w:fldCharType="separate"/>
      </w:r>
      <w:bookmarkStart w:id="18" w:name="_Toc57661449"/>
      <w:bookmarkStart w:id="19" w:name="_Toc56725071"/>
      <w:r w:rsidR="00E706E9" w:rsidRPr="000F0299">
        <w:rPr>
          <w:rStyle w:val="Hyperlink"/>
          <w:color w:val="4472C4" w:themeColor="accent1"/>
          <w:u w:val="none"/>
          <w:lang w:val="sr-Cyrl-RS"/>
        </w:rPr>
        <w:t>Анализа стања</w:t>
      </w:r>
      <w:bookmarkEnd w:id="17"/>
      <w:bookmarkEnd w:id="18"/>
      <w:bookmarkEnd w:id="19"/>
      <w:r w:rsidRPr="000F0299">
        <w:rPr>
          <w:lang w:val="sr-Cyrl-RS"/>
        </w:rPr>
        <w:fldChar w:fldCharType="end"/>
      </w:r>
    </w:p>
    <w:p w14:paraId="59A13989" w14:textId="027114CA" w:rsidR="006C0FCF" w:rsidRPr="000F0299" w:rsidRDefault="007A15DD" w:rsidP="003616D6">
      <w:r w:rsidRPr="00E22FCF">
        <w:t xml:space="preserve">Стратешки оквир за реформу система управљања јавним политикама и регулаторну реформу утврђен је кроз два </w:t>
      </w:r>
      <w:r>
        <w:t xml:space="preserve">стратешка </w:t>
      </w:r>
      <w:r w:rsidRPr="00E22FCF">
        <w:t>документа јавних политика</w:t>
      </w:r>
      <w:r>
        <w:t xml:space="preserve"> –</w:t>
      </w:r>
      <w:r w:rsidRPr="00E22FCF">
        <w:t xml:space="preserve"> </w:t>
      </w:r>
      <w:r>
        <w:t>Стратегија РЈУ из 2014.</w:t>
      </w:r>
      <w:r w:rsidRPr="00E22FCF">
        <w:t xml:space="preserve"> (Посебан циљ 1. Унапређење организационих и функционалних подсистема јавне управе</w:t>
      </w:r>
      <w:r w:rsidRPr="00E22FCF">
        <w:rPr>
          <w:iCs/>
        </w:rPr>
        <w:t xml:space="preserve">) и </w:t>
      </w:r>
      <w:r w:rsidRPr="00E22FCF">
        <w:t>Стратегију регулаторне реформе и унапређења система управљања јавним политикама и Програм „</w:t>
      </w:r>
      <w:r>
        <w:t>е</w:t>
      </w:r>
      <w:r w:rsidRPr="00E22FCF">
        <w:t>-</w:t>
      </w:r>
      <w:r>
        <w:t>П</w:t>
      </w:r>
      <w:r w:rsidRPr="00E22FCF">
        <w:t>апир” за период 2019–2021. године</w:t>
      </w:r>
      <w:r w:rsidR="006C0FCF" w:rsidRPr="000F0299">
        <w:t xml:space="preserve">. </w:t>
      </w:r>
    </w:p>
    <w:p w14:paraId="192913EA" w14:textId="655B76B1" w:rsidR="006C0FCF" w:rsidRPr="000F0299" w:rsidRDefault="007A15DD" w:rsidP="00244E7C">
      <w:r w:rsidRPr="00E22FCF">
        <w:t xml:space="preserve">Институционални оквир за управљање јавним политикама успостављен је оснивањем Републичког секретаријата за јавне политике (у даљем тексту: РСЈП), док је нормативни оквир заокружен доношењем ЗПС и подзаконских аката </w:t>
      </w:r>
      <w:r>
        <w:t xml:space="preserve">за његово спровођење, </w:t>
      </w:r>
      <w:r w:rsidRPr="00E22FCF">
        <w:t xml:space="preserve">чиме је први пут постављен кохерентан оквир за развојно планирање, планирање јавних политика и средњорочно планирање. Међутим, квалитет стратешког планирања се и даље оцењује као слаб због чега је потребно посветити пажњу </w:t>
      </w:r>
      <w:r w:rsidRPr="00E22FCF">
        <w:rPr>
          <w:bCs/>
        </w:rPr>
        <w:t>анализи ефеката докумената јавних политика и прописа</w:t>
      </w:r>
      <w:r w:rsidRPr="00E22FCF">
        <w:t xml:space="preserve">, посебно </w:t>
      </w:r>
      <w:r w:rsidRPr="00E22FCF">
        <w:rPr>
          <w:bCs/>
        </w:rPr>
        <w:t xml:space="preserve">анализи </w:t>
      </w:r>
      <w:r>
        <w:rPr>
          <w:bCs/>
        </w:rPr>
        <w:t xml:space="preserve">њихових </w:t>
      </w:r>
      <w:r w:rsidRPr="00E22FCF">
        <w:rPr>
          <w:bCs/>
        </w:rPr>
        <w:t>финансијских ефеката</w:t>
      </w:r>
      <w:r w:rsidRPr="00E22FCF">
        <w:t xml:space="preserve">, као и </w:t>
      </w:r>
      <w:r w:rsidRPr="00E22FCF">
        <w:rPr>
          <w:bCs/>
        </w:rPr>
        <w:t>праћењу њиховог спровођења</w:t>
      </w:r>
      <w:r w:rsidRPr="00E22FCF">
        <w:t>. Приметна је и неусклађеност између хијерархијски виших и нижих докумената јавних политика</w:t>
      </w:r>
      <w:r>
        <w:t>,</w:t>
      </w:r>
      <w:r w:rsidRPr="00E22FCF">
        <w:t xml:space="preserve"> што отежава приоритизацију изазова и њихово адекватно превазилажење</w:t>
      </w:r>
      <w:r w:rsidR="006C0FCF" w:rsidRPr="000F0299">
        <w:t>.</w:t>
      </w:r>
    </w:p>
    <w:p w14:paraId="57EDB500" w14:textId="24D1BE58" w:rsidR="006C0FCF" w:rsidRPr="000F0299" w:rsidRDefault="007A15DD" w:rsidP="00244E7C">
      <w:r w:rsidRPr="00E22FCF">
        <w:t>Додатни изазов представља питање људских капацитета, развоја потребних алата и изградња вештина кроз обуке. То би подразумевало институционализацију организационо-аналитичких јединица за стратешко планирање и већи број спроведених обука за повећање аналитичких вештина државних службеника. Средњорочно планирање, као нова обавеза коју ЗПС уводи успоставља непосредну везу између планираних јавних политика и буџета. С об</w:t>
      </w:r>
      <w:r>
        <w:t>з</w:t>
      </w:r>
      <w:r w:rsidRPr="00E22FCF">
        <w:t xml:space="preserve">иром да је у питању нова пракса, неопходно је да се у наредном периоду интензивирају обуке у </w:t>
      </w:r>
      <w:r>
        <w:t>т</w:t>
      </w:r>
      <w:r w:rsidRPr="00E22FCF">
        <w:t>ој области како би државни службеници стекли неопходна знања и рутину у њиховој припреми</w:t>
      </w:r>
      <w:r w:rsidR="006C0FCF" w:rsidRPr="000F0299">
        <w:t>.</w:t>
      </w:r>
    </w:p>
    <w:p w14:paraId="5545954B" w14:textId="7AEEC2F0" w:rsidR="006C0FCF" w:rsidRPr="000F0299" w:rsidRDefault="007A15DD" w:rsidP="00244E7C">
      <w:r w:rsidRPr="00E22FCF">
        <w:t xml:space="preserve">Као одговор на уочене недостатке, током 2019. и 2020. године у оквиру комплементарне подршке за реформу јавне управе </w:t>
      </w:r>
      <w:r>
        <w:t>урађена</w:t>
      </w:r>
      <w:r w:rsidRPr="00E22FCF">
        <w:t xml:space="preserve"> је анализа потреба за обуком у области управљања јавним политикама, израђени су приручници</w:t>
      </w:r>
      <w:r w:rsidRPr="00E22FCF">
        <w:rPr>
          <w:vertAlign w:val="superscript"/>
        </w:rPr>
        <w:t xml:space="preserve"> </w:t>
      </w:r>
      <w:r w:rsidRPr="00E22FCF">
        <w:t>и модули обуке који обухватају целокупан циклус управљања јавни</w:t>
      </w:r>
      <w:r>
        <w:t>м</w:t>
      </w:r>
      <w:r w:rsidRPr="00E22FCF">
        <w:t xml:space="preserve"> политика</w:t>
      </w:r>
      <w:r>
        <w:t>ма</w:t>
      </w:r>
      <w:r w:rsidRPr="00E22FCF">
        <w:t>. Успостављен је Јединствени информациони систем за планирање, праћење спровођења, координацију јавних политика и извештавање (у даљем тексту: ЈИС)</w:t>
      </w:r>
      <w:r>
        <w:t>,</w:t>
      </w:r>
      <w:r w:rsidRPr="00E22FCF">
        <w:t xml:space="preserve"> чији ће ефекти на кохерентност докумената јавних политика бити видљиви у наредним годинама, као и Аналитички сервис јединица локалне самоуправе</w:t>
      </w:r>
      <w:r>
        <w:t>,</w:t>
      </w:r>
      <w:r w:rsidRPr="00E22FCF">
        <w:t xml:space="preserve"> који би требало да помогне у изради планова развоја </w:t>
      </w:r>
      <w:r>
        <w:t>јединица локалне самоуправе (у даљем тексту: ЈЛС).</w:t>
      </w:r>
    </w:p>
    <w:p w14:paraId="697D4558" w14:textId="4E8C0395" w:rsidR="006C0FCF" w:rsidRPr="000F0299" w:rsidRDefault="007A15DD" w:rsidP="00244E7C">
      <w:r w:rsidRPr="00E22FCF">
        <w:t xml:space="preserve">Квалитет процеса израде прописа посебно је унапређен у домену анализе ефеката и учешћа јавности. Упркос томе, законодавни процес није системски преиспитан, нити је настављено са укидањем сувишних прописа, које је започето током спровођења прве регулаторне реформе. У пракси постоји проблем са </w:t>
      </w:r>
      <w:r w:rsidRPr="00E22FCF">
        <w:rPr>
          <w:bCs/>
        </w:rPr>
        <w:t xml:space="preserve">кашњењем припреме и </w:t>
      </w:r>
      <w:r>
        <w:rPr>
          <w:bCs/>
        </w:rPr>
        <w:t>доношења</w:t>
      </w:r>
      <w:r w:rsidRPr="00E22FCF">
        <w:rPr>
          <w:bCs/>
        </w:rPr>
        <w:t xml:space="preserve"> подзаконских аката</w:t>
      </w:r>
      <w:r w:rsidRPr="00E22FCF">
        <w:t xml:space="preserve">, као и међусобног усаглашавања закона </w:t>
      </w:r>
      <w:r>
        <w:t xml:space="preserve">након што </w:t>
      </w:r>
      <w:r w:rsidRPr="00E22FCF">
        <w:t xml:space="preserve">Скупштина </w:t>
      </w:r>
      <w:r>
        <w:t>донесе</w:t>
      </w:r>
      <w:r w:rsidRPr="00E22FCF">
        <w:t xml:space="preserve"> основни </w:t>
      </w:r>
      <w:r>
        <w:t>з</w:t>
      </w:r>
      <w:r w:rsidRPr="00E22FCF">
        <w:t>акон</w:t>
      </w:r>
      <w:r>
        <w:t>.</w:t>
      </w:r>
    </w:p>
    <w:p w14:paraId="20A70ACC" w14:textId="7EC3DB52" w:rsidR="006C0FCF" w:rsidRPr="000F0299" w:rsidRDefault="006C0FCF" w:rsidP="00244E7C">
      <w:r w:rsidRPr="000F0299">
        <w:t xml:space="preserve">С обзиром на то да се у оквиру овог циља паралелно израђује хијерархијски нижи документ, тј. </w:t>
      </w:r>
      <w:r w:rsidRPr="000F0299">
        <w:rPr>
          <w:b/>
        </w:rPr>
        <w:t>Програм регулаторне реформе и управљања јавним политикама</w:t>
      </w:r>
      <w:r w:rsidRPr="000F0299">
        <w:t xml:space="preserve">, </w:t>
      </w:r>
      <w:r w:rsidR="007A15DD">
        <w:t>ова с</w:t>
      </w:r>
      <w:r w:rsidR="007A15DD" w:rsidRPr="00E22FCF">
        <w:t>тратегија не</w:t>
      </w:r>
      <w:r w:rsidR="007A15DD">
        <w:t xml:space="preserve"> разрађује </w:t>
      </w:r>
      <w:r w:rsidR="007A15DD" w:rsidRPr="00E22FCF">
        <w:t xml:space="preserve">посебно мере које доприносе остваривању </w:t>
      </w:r>
      <w:r w:rsidR="007A15DD">
        <w:t>тог п</w:t>
      </w:r>
      <w:r w:rsidR="007A15DD" w:rsidRPr="00E22FCF">
        <w:t>осебног циља</w:t>
      </w:r>
      <w:r w:rsidR="007A15DD">
        <w:t>,</w:t>
      </w:r>
      <w:r w:rsidR="007A15DD" w:rsidRPr="00E22FCF">
        <w:t xml:space="preserve"> већ описно да</w:t>
      </w:r>
      <w:r w:rsidR="007A15DD">
        <w:t>је</w:t>
      </w:r>
      <w:r w:rsidR="007A15DD" w:rsidRPr="00E22FCF">
        <w:t xml:space="preserve"> правац деловања на основу којег ће се утврђивати </w:t>
      </w:r>
      <w:r w:rsidR="007A15DD">
        <w:t>п</w:t>
      </w:r>
      <w:r w:rsidR="007A15DD" w:rsidRPr="00E22FCF">
        <w:t xml:space="preserve">осебни циљеви </w:t>
      </w:r>
      <w:r w:rsidR="007A15DD">
        <w:t>тог п</w:t>
      </w:r>
      <w:r w:rsidR="007A15DD" w:rsidRPr="00E22FCF">
        <w:t xml:space="preserve">рограма и разрађивати мере </w:t>
      </w:r>
      <w:r w:rsidR="007A15DD">
        <w:t>за њихово остваривање.</w:t>
      </w:r>
    </w:p>
    <w:p w14:paraId="4355F7EB" w14:textId="54F0BFFA" w:rsidR="006C0FCF" w:rsidRPr="000F0299" w:rsidRDefault="00E706E9" w:rsidP="00725146">
      <w:pPr>
        <w:pStyle w:val="Heading3"/>
        <w:rPr>
          <w:lang w:val="sr-Cyrl-RS"/>
        </w:rPr>
      </w:pPr>
      <w:bookmarkStart w:id="20" w:name="_Toc56725072"/>
      <w:bookmarkStart w:id="21" w:name="_Toc57661450"/>
      <w:r w:rsidRPr="000F0299">
        <w:rPr>
          <w:rStyle w:val="Hyperlink"/>
          <w:color w:val="4472C4" w:themeColor="accent1"/>
          <w:u w:val="none"/>
          <w:lang w:val="sr-Cyrl-RS"/>
        </w:rPr>
        <w:t>Посебан циљ и правци деловања</w:t>
      </w:r>
      <w:bookmarkEnd w:id="20"/>
      <w:bookmarkEnd w:id="21"/>
    </w:p>
    <w:p w14:paraId="5414DAF8" w14:textId="2CC70C04" w:rsidR="006C0FCF" w:rsidRPr="000F0299" w:rsidRDefault="007A15DD" w:rsidP="00244E7C">
      <w:pPr>
        <w:rPr>
          <w:lang w:eastAsia="de-DE"/>
        </w:rPr>
      </w:pPr>
      <w:r w:rsidRPr="00E22FCF">
        <w:rPr>
          <w:rFonts w:eastAsia="Times New Roman"/>
          <w:bCs/>
          <w:iCs/>
          <w:lang w:eastAsia="de-DE"/>
        </w:rPr>
        <w:t xml:space="preserve">Дугорочни правци деловања усмерени су на то да пословно окружење у Републици Србији постане конкурентније, а јавна управа следи европске принципе добре јавне управе као резултат промишљеног (реалнoг и заснованoг на чињеницама) и широко прихваћеног (транспарентног, инклузивног, добро комуницираног) процеса планирања </w:t>
      </w:r>
      <w:r>
        <w:rPr>
          <w:rFonts w:eastAsia="Times New Roman"/>
          <w:bCs/>
          <w:iCs/>
          <w:lang w:eastAsia="de-DE"/>
        </w:rPr>
        <w:t xml:space="preserve">докумената </w:t>
      </w:r>
      <w:r w:rsidRPr="00E22FCF">
        <w:rPr>
          <w:rFonts w:eastAsia="Times New Roman"/>
          <w:bCs/>
          <w:iCs/>
          <w:lang w:eastAsia="de-DE"/>
        </w:rPr>
        <w:t>јавних политика</w:t>
      </w:r>
      <w:r>
        <w:rPr>
          <w:rFonts w:eastAsia="Times New Roman"/>
          <w:bCs/>
          <w:iCs/>
          <w:lang w:eastAsia="de-DE"/>
        </w:rPr>
        <w:t xml:space="preserve"> и</w:t>
      </w:r>
      <w:r w:rsidRPr="00E22FCF">
        <w:rPr>
          <w:rFonts w:eastAsia="Times New Roman"/>
          <w:bCs/>
          <w:iCs/>
          <w:lang w:eastAsia="de-DE"/>
        </w:rPr>
        <w:t xml:space="preserve"> прописа и њиховог доследног спровођења</w:t>
      </w:r>
      <w:r>
        <w:rPr>
          <w:rFonts w:eastAsia="Times New Roman"/>
          <w:bCs/>
          <w:iCs/>
          <w:lang w:eastAsia="de-DE"/>
        </w:rPr>
        <w:t>.</w:t>
      </w:r>
    </w:p>
    <w:p w14:paraId="4BB577AA" w14:textId="2ABD4FA5" w:rsidR="00BB094F" w:rsidRPr="000F0299" w:rsidRDefault="00965F45" w:rsidP="00BB094F">
      <w:pPr>
        <w:rPr>
          <w:rFonts w:eastAsia="Calibri"/>
        </w:rPr>
      </w:pPr>
      <w:r w:rsidRPr="00965F45">
        <w:rPr>
          <w:rFonts w:eastAsiaTheme="minorHAnsi"/>
          <w:bCs/>
          <w:iCs/>
          <w:kern w:val="0"/>
          <w:lang w:eastAsia="en-US" w:bidi="ar-SA"/>
        </w:rPr>
        <w:t>Посебан циљ ове стратегије 1.1. Унапређен квалитет докумената јавних политика и прописа разрадиће се кроз четири посебна циља Програма</w:t>
      </w:r>
      <w:r w:rsidRPr="00965F45" w:rsidDel="00C614A4">
        <w:rPr>
          <w:rFonts w:eastAsiaTheme="minorHAnsi"/>
          <w:bCs/>
          <w:iCs/>
          <w:kern w:val="0"/>
          <w:lang w:eastAsia="en-US" w:bidi="ar-SA"/>
        </w:rPr>
        <w:t xml:space="preserve"> </w:t>
      </w:r>
      <w:r w:rsidRPr="00965F45">
        <w:rPr>
          <w:rFonts w:eastAsiaTheme="minorHAnsi"/>
          <w:bCs/>
          <w:iCs/>
          <w:kern w:val="0"/>
          <w:lang w:eastAsia="en-US" w:bidi="ar-SA"/>
        </w:rPr>
        <w:t>за управљање јавним политикама и регулаторну реформу</w:t>
      </w:r>
      <w:r w:rsidRPr="00965F45">
        <w:rPr>
          <w:rFonts w:eastAsiaTheme="minorHAnsi"/>
          <w:bCs/>
          <w:iCs/>
          <w:kern w:val="0"/>
          <w:lang w:val="sr-Latn-RS" w:eastAsia="en-US" w:bidi="ar-SA"/>
        </w:rPr>
        <w:t>,</w:t>
      </w:r>
      <w:r w:rsidRPr="00965F45">
        <w:rPr>
          <w:rFonts w:eastAsiaTheme="minorHAnsi"/>
          <w:bCs/>
          <w:iCs/>
          <w:kern w:val="0"/>
          <w:lang w:eastAsia="en-US" w:bidi="ar-SA"/>
        </w:rPr>
        <w:t xml:space="preserve"> који ће даље бити разређени кроз мере за постизање циљева и спровођење активности у оквиру акционог плана. Циљеви се односе на </w:t>
      </w:r>
      <w:r w:rsidRPr="00965F45">
        <w:rPr>
          <w:rFonts w:eastAsia="Calibri"/>
          <w:iCs/>
          <w:kern w:val="0"/>
          <w:lang w:eastAsia="en-US" w:bidi="ar-SA"/>
        </w:rPr>
        <w:t>регулаторну реформу са акцентом на побољшању квалитета прописа, унапређење аналитичких вештина и алата за квалитетно креирање прописа и докумената јавних политика и планирања на свим нивоима власти, даљи развој алата за координацију јавних политика и повећање учешћа свих циљних група и заинтересованих страна при изради докумената јавних политика и прописа</w:t>
      </w:r>
      <w:r w:rsidR="006C0FCF" w:rsidRPr="000F0299">
        <w:rPr>
          <w:rFonts w:eastAsia="Calibri"/>
        </w:rPr>
        <w:t>.</w:t>
      </w:r>
    </w:p>
    <w:tbl>
      <w:tblPr>
        <w:tblW w:w="5000" w:type="pct"/>
        <w:shd w:val="clear" w:color="auto" w:fill="E7E6E6" w:themeFill="background2"/>
        <w:tblLook w:val="00A0" w:firstRow="1" w:lastRow="0" w:firstColumn="1" w:lastColumn="0" w:noHBand="0" w:noVBand="0"/>
      </w:tblPr>
      <w:tblGrid>
        <w:gridCol w:w="342"/>
        <w:gridCol w:w="4592"/>
        <w:gridCol w:w="1857"/>
        <w:gridCol w:w="1857"/>
        <w:gridCol w:w="332"/>
      </w:tblGrid>
      <w:tr w:rsidR="0044461C" w:rsidRPr="000F0299" w14:paraId="70FE86AA" w14:textId="77777777" w:rsidTr="00965F45">
        <w:trPr>
          <w:trHeight w:val="20"/>
        </w:trPr>
        <w:tc>
          <w:tcPr>
            <w:tcW w:w="190" w:type="pct"/>
            <w:tcBorders>
              <w:top w:val="single" w:sz="18" w:space="0" w:color="C00000"/>
              <w:left w:val="single" w:sz="18" w:space="0" w:color="C00000"/>
            </w:tcBorders>
            <w:shd w:val="clear" w:color="auto" w:fill="F2F2F2" w:themeFill="background1" w:themeFillShade="F2"/>
          </w:tcPr>
          <w:p w14:paraId="575D68CC" w14:textId="77777777" w:rsidR="0044461C" w:rsidRPr="000F0299" w:rsidRDefault="0044461C" w:rsidP="005822B0">
            <w:pPr>
              <w:spacing w:before="0"/>
              <w:ind w:firstLine="0"/>
              <w:rPr>
                <w:b/>
                <w:bCs/>
                <w:sz w:val="16"/>
                <w:szCs w:val="16"/>
              </w:rPr>
            </w:pPr>
          </w:p>
        </w:tc>
        <w:tc>
          <w:tcPr>
            <w:tcW w:w="2557" w:type="pct"/>
            <w:tcBorders>
              <w:top w:val="single" w:sz="18" w:space="0" w:color="C00000"/>
            </w:tcBorders>
            <w:shd w:val="clear" w:color="auto" w:fill="F2F2F2" w:themeFill="background1" w:themeFillShade="F2"/>
          </w:tcPr>
          <w:p w14:paraId="358A3765" w14:textId="77777777" w:rsidR="0044461C" w:rsidRPr="000F0299" w:rsidRDefault="0044461C" w:rsidP="005822B0">
            <w:pPr>
              <w:spacing w:before="0"/>
              <w:ind w:firstLine="0"/>
              <w:rPr>
                <w:b/>
                <w:bCs/>
                <w:sz w:val="16"/>
                <w:szCs w:val="16"/>
              </w:rPr>
            </w:pPr>
          </w:p>
        </w:tc>
        <w:tc>
          <w:tcPr>
            <w:tcW w:w="1034" w:type="pct"/>
            <w:tcBorders>
              <w:top w:val="single" w:sz="18" w:space="0" w:color="C00000"/>
            </w:tcBorders>
            <w:shd w:val="clear" w:color="auto" w:fill="F2F2F2" w:themeFill="background1" w:themeFillShade="F2"/>
            <w:vAlign w:val="center"/>
          </w:tcPr>
          <w:p w14:paraId="127BFD01" w14:textId="77777777" w:rsidR="0044461C" w:rsidRPr="000F0299" w:rsidRDefault="0044461C" w:rsidP="005822B0">
            <w:pPr>
              <w:spacing w:before="0"/>
              <w:ind w:firstLine="0"/>
              <w:jc w:val="center"/>
              <w:rPr>
                <w:b/>
                <w:bCs/>
                <w:sz w:val="16"/>
                <w:szCs w:val="16"/>
              </w:rPr>
            </w:pPr>
          </w:p>
        </w:tc>
        <w:tc>
          <w:tcPr>
            <w:tcW w:w="1034" w:type="pct"/>
            <w:tcBorders>
              <w:top w:val="single" w:sz="18" w:space="0" w:color="C00000"/>
            </w:tcBorders>
            <w:shd w:val="clear" w:color="auto" w:fill="F2F2F2" w:themeFill="background1" w:themeFillShade="F2"/>
            <w:vAlign w:val="center"/>
          </w:tcPr>
          <w:p w14:paraId="277580AD" w14:textId="77777777" w:rsidR="0044461C" w:rsidRPr="000F0299" w:rsidRDefault="0044461C" w:rsidP="005822B0">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F2F2F2" w:themeFill="background1" w:themeFillShade="F2"/>
          </w:tcPr>
          <w:p w14:paraId="61D6300E" w14:textId="77777777" w:rsidR="0044461C" w:rsidRPr="000F0299" w:rsidRDefault="0044461C" w:rsidP="005822B0">
            <w:pPr>
              <w:spacing w:before="0"/>
              <w:ind w:firstLine="0"/>
              <w:jc w:val="center"/>
              <w:rPr>
                <w:b/>
                <w:bCs/>
                <w:sz w:val="16"/>
                <w:szCs w:val="16"/>
              </w:rPr>
            </w:pPr>
          </w:p>
        </w:tc>
      </w:tr>
      <w:tr w:rsidR="0044461C" w:rsidRPr="000F0299" w14:paraId="3611BC72" w14:textId="77777777" w:rsidTr="00965F45">
        <w:trPr>
          <w:trHeight w:val="490"/>
        </w:trPr>
        <w:tc>
          <w:tcPr>
            <w:tcW w:w="190" w:type="pct"/>
            <w:tcBorders>
              <w:left w:val="single" w:sz="18" w:space="0" w:color="C00000"/>
            </w:tcBorders>
            <w:shd w:val="clear" w:color="auto" w:fill="F2F2F2" w:themeFill="background1" w:themeFillShade="F2"/>
          </w:tcPr>
          <w:p w14:paraId="6F811214" w14:textId="77777777" w:rsidR="0044461C" w:rsidRPr="000F0299" w:rsidRDefault="0044461C" w:rsidP="005822B0">
            <w:pPr>
              <w:spacing w:before="0"/>
              <w:ind w:firstLine="0"/>
              <w:rPr>
                <w:b/>
                <w:bCs/>
              </w:rPr>
            </w:pPr>
          </w:p>
        </w:tc>
        <w:tc>
          <w:tcPr>
            <w:tcW w:w="2557" w:type="pct"/>
            <w:tcBorders>
              <w:left w:val="nil"/>
              <w:bottom w:val="single" w:sz="18" w:space="0" w:color="C00000"/>
              <w:right w:val="single" w:sz="18" w:space="0" w:color="FFFFFF" w:themeColor="background1"/>
            </w:tcBorders>
            <w:shd w:val="clear" w:color="auto" w:fill="F2F2F2" w:themeFill="background1" w:themeFillShade="F2"/>
          </w:tcPr>
          <w:p w14:paraId="459F7FE1" w14:textId="3770E92C" w:rsidR="0044461C" w:rsidRPr="000F0299" w:rsidRDefault="0044461C" w:rsidP="005822B0">
            <w:pPr>
              <w:spacing w:before="0"/>
              <w:ind w:firstLine="0"/>
              <w:rPr>
                <w:b/>
                <w:bCs/>
              </w:rPr>
            </w:pPr>
            <w:r w:rsidRPr="000F0299">
              <w:rPr>
                <w:b/>
                <w:bCs/>
              </w:rPr>
              <w:t>Показатељ исхода</w:t>
            </w:r>
          </w:p>
        </w:tc>
        <w:tc>
          <w:tcPr>
            <w:tcW w:w="1034"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12F9A2E6" w14:textId="77777777" w:rsidR="0044461C" w:rsidRPr="000F0299" w:rsidRDefault="0044461C" w:rsidP="005822B0">
            <w:pPr>
              <w:spacing w:before="0"/>
              <w:ind w:firstLine="0"/>
              <w:jc w:val="center"/>
              <w:rPr>
                <w:b/>
                <w:bCs/>
              </w:rPr>
            </w:pPr>
            <w:r w:rsidRPr="000F0299">
              <w:rPr>
                <w:b/>
                <w:bCs/>
              </w:rPr>
              <w:t>ПВ</w:t>
            </w:r>
          </w:p>
        </w:tc>
        <w:tc>
          <w:tcPr>
            <w:tcW w:w="1034" w:type="pct"/>
            <w:tcBorders>
              <w:left w:val="single" w:sz="18" w:space="0" w:color="FFFFFF" w:themeColor="background1"/>
              <w:bottom w:val="single" w:sz="18" w:space="0" w:color="C00000"/>
            </w:tcBorders>
            <w:shd w:val="clear" w:color="auto" w:fill="F2F2F2" w:themeFill="background1" w:themeFillShade="F2"/>
            <w:vAlign w:val="center"/>
          </w:tcPr>
          <w:p w14:paraId="0BB6FAE2" w14:textId="5E8DA30F" w:rsidR="0044461C" w:rsidRPr="000F0299" w:rsidRDefault="0044461C" w:rsidP="005822B0">
            <w:pPr>
              <w:spacing w:before="0"/>
              <w:ind w:firstLine="0"/>
              <w:jc w:val="center"/>
              <w:rPr>
                <w:b/>
                <w:bCs/>
              </w:rPr>
            </w:pPr>
            <w:r w:rsidRPr="000F0299">
              <w:rPr>
                <w:b/>
                <w:bCs/>
              </w:rPr>
              <w:t>ЦВ</w:t>
            </w:r>
          </w:p>
        </w:tc>
        <w:tc>
          <w:tcPr>
            <w:tcW w:w="185" w:type="pct"/>
            <w:tcBorders>
              <w:right w:val="single" w:sz="18" w:space="0" w:color="C00000"/>
            </w:tcBorders>
            <w:shd w:val="clear" w:color="auto" w:fill="F2F2F2" w:themeFill="background1" w:themeFillShade="F2"/>
          </w:tcPr>
          <w:p w14:paraId="05C372A4" w14:textId="77777777" w:rsidR="0044461C" w:rsidRPr="000F0299" w:rsidRDefault="0044461C" w:rsidP="005822B0">
            <w:pPr>
              <w:spacing w:before="0"/>
              <w:ind w:firstLine="0"/>
              <w:jc w:val="center"/>
              <w:rPr>
                <w:b/>
                <w:bCs/>
              </w:rPr>
            </w:pPr>
          </w:p>
        </w:tc>
      </w:tr>
      <w:tr w:rsidR="0044461C" w:rsidRPr="000F0299" w14:paraId="7D29BFB5" w14:textId="77777777" w:rsidTr="00965F45">
        <w:trPr>
          <w:trHeight w:val="1082"/>
        </w:trPr>
        <w:tc>
          <w:tcPr>
            <w:tcW w:w="190" w:type="pct"/>
            <w:tcBorders>
              <w:left w:val="single" w:sz="18" w:space="0" w:color="C00000"/>
            </w:tcBorders>
            <w:shd w:val="clear" w:color="auto" w:fill="F2F2F2" w:themeFill="background1" w:themeFillShade="F2"/>
          </w:tcPr>
          <w:p w14:paraId="61772419" w14:textId="77777777" w:rsidR="0044461C" w:rsidRPr="000F0299" w:rsidRDefault="0044461C" w:rsidP="005822B0">
            <w:pPr>
              <w:spacing w:before="0"/>
              <w:ind w:firstLine="0"/>
            </w:pPr>
          </w:p>
        </w:tc>
        <w:tc>
          <w:tcPr>
            <w:tcW w:w="2557"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32B0C63F" w14:textId="2015BD1F" w:rsidR="0044461C" w:rsidRPr="000F0299" w:rsidRDefault="0044461C" w:rsidP="005822B0">
            <w:pPr>
              <w:spacing w:before="0"/>
              <w:ind w:firstLine="0"/>
            </w:pPr>
            <w:r w:rsidRPr="000F0299">
              <w:t>Индикатор квалитета прописа (</w:t>
            </w:r>
            <w:r w:rsidRPr="00D67573">
              <w:rPr>
                <w:i/>
                <w:iCs/>
              </w:rPr>
              <w:t>Regulatory quality</w:t>
            </w:r>
            <w:r w:rsidRPr="000F0299">
              <w:t xml:space="preserve">) – ранг </w:t>
            </w:r>
            <w:r w:rsidR="00EB58E8" w:rsidRPr="000F0299">
              <w:t>С</w:t>
            </w:r>
            <w:r w:rsidRPr="000F0299">
              <w:t>ветске банке</w:t>
            </w:r>
          </w:p>
        </w:tc>
        <w:tc>
          <w:tcPr>
            <w:tcW w:w="1034"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42B23FB2" w14:textId="15B35977" w:rsidR="0044461C" w:rsidRPr="000F0299" w:rsidRDefault="0044461C" w:rsidP="005822B0">
            <w:pPr>
              <w:spacing w:before="0"/>
              <w:ind w:firstLine="0"/>
            </w:pPr>
            <w:r w:rsidRPr="000F0299">
              <w:t>(2019) 60.10</w:t>
            </w:r>
          </w:p>
        </w:tc>
        <w:tc>
          <w:tcPr>
            <w:tcW w:w="1034"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4D1D8494" w14:textId="278C4E9E" w:rsidR="0044461C" w:rsidRPr="000F0299" w:rsidRDefault="0044461C" w:rsidP="005822B0">
            <w:pPr>
              <w:spacing w:before="0"/>
              <w:ind w:firstLine="0"/>
            </w:pPr>
            <w:r w:rsidRPr="000F0299">
              <w:t>(2021):</w:t>
            </w:r>
            <w:r w:rsidR="00EB58E8" w:rsidRPr="000F0299">
              <w:t>61</w:t>
            </w:r>
          </w:p>
          <w:p w14:paraId="24A4A052" w14:textId="3CEBE921" w:rsidR="0044461C" w:rsidRPr="000F0299" w:rsidRDefault="0044461C" w:rsidP="005822B0">
            <w:pPr>
              <w:spacing w:before="0"/>
              <w:ind w:firstLine="0"/>
            </w:pPr>
            <w:r w:rsidRPr="000F0299">
              <w:t xml:space="preserve">(2022): </w:t>
            </w:r>
            <w:r w:rsidR="00EB58E8" w:rsidRPr="000F0299">
              <w:t>62</w:t>
            </w:r>
          </w:p>
          <w:p w14:paraId="265F5263" w14:textId="32A8C226" w:rsidR="0044461C" w:rsidRPr="000F0299" w:rsidRDefault="0044461C" w:rsidP="005822B0">
            <w:pPr>
              <w:spacing w:before="0"/>
              <w:ind w:firstLine="0"/>
            </w:pPr>
            <w:r w:rsidRPr="000F0299">
              <w:t xml:space="preserve">(2023): </w:t>
            </w:r>
            <w:r w:rsidR="00EB58E8" w:rsidRPr="000F0299">
              <w:t>63</w:t>
            </w:r>
          </w:p>
          <w:p w14:paraId="7873E760" w14:textId="5749C582" w:rsidR="0044461C" w:rsidRPr="000F0299" w:rsidRDefault="0044461C" w:rsidP="005822B0">
            <w:pPr>
              <w:spacing w:before="0"/>
              <w:ind w:firstLine="0"/>
            </w:pPr>
            <w:r w:rsidRPr="000F0299">
              <w:t xml:space="preserve">(2024): </w:t>
            </w:r>
            <w:r w:rsidR="00EB58E8" w:rsidRPr="000F0299">
              <w:t>64</w:t>
            </w:r>
          </w:p>
          <w:p w14:paraId="647D80C6" w14:textId="7B13D5A4" w:rsidR="0044461C" w:rsidRPr="000F0299" w:rsidRDefault="0044461C" w:rsidP="005822B0">
            <w:pPr>
              <w:spacing w:before="0"/>
              <w:ind w:firstLine="0"/>
            </w:pPr>
            <w:r w:rsidRPr="000F0299">
              <w:t>(2025): 65</w:t>
            </w:r>
          </w:p>
          <w:p w14:paraId="22667632" w14:textId="16F7A2D8" w:rsidR="0044461C" w:rsidRPr="000F0299" w:rsidRDefault="0044461C" w:rsidP="005822B0">
            <w:pPr>
              <w:spacing w:before="0"/>
              <w:ind w:firstLine="0"/>
            </w:pPr>
            <w:r w:rsidRPr="000F0299">
              <w:t xml:space="preserve">(2027): </w:t>
            </w:r>
            <w:r w:rsidR="00EB58E8" w:rsidRPr="000F0299">
              <w:t>66</w:t>
            </w:r>
          </w:p>
          <w:p w14:paraId="3DC20C83" w14:textId="6B2F6C2C" w:rsidR="0044461C" w:rsidRPr="000F0299" w:rsidRDefault="0044461C" w:rsidP="005822B0">
            <w:pPr>
              <w:spacing w:before="0"/>
              <w:ind w:firstLine="0"/>
            </w:pPr>
            <w:r w:rsidRPr="000F0299">
              <w:t>(2030): 70</w:t>
            </w:r>
          </w:p>
        </w:tc>
        <w:tc>
          <w:tcPr>
            <w:tcW w:w="185" w:type="pct"/>
            <w:tcBorders>
              <w:right w:val="single" w:sz="18" w:space="0" w:color="C00000"/>
            </w:tcBorders>
            <w:shd w:val="clear" w:color="auto" w:fill="F2F2F2" w:themeFill="background1" w:themeFillShade="F2"/>
          </w:tcPr>
          <w:p w14:paraId="5866DC99" w14:textId="77777777" w:rsidR="0044461C" w:rsidRPr="000F0299" w:rsidRDefault="0044461C" w:rsidP="005822B0">
            <w:pPr>
              <w:spacing w:before="0"/>
              <w:ind w:firstLine="0"/>
            </w:pPr>
          </w:p>
        </w:tc>
      </w:tr>
      <w:tr w:rsidR="0044461C" w:rsidRPr="000F0299" w14:paraId="712E6427" w14:textId="77777777" w:rsidTr="00965F45">
        <w:trPr>
          <w:trHeight w:val="340"/>
        </w:trPr>
        <w:tc>
          <w:tcPr>
            <w:tcW w:w="190" w:type="pct"/>
            <w:tcBorders>
              <w:left w:val="single" w:sz="18" w:space="0" w:color="C00000"/>
              <w:bottom w:val="single" w:sz="18" w:space="0" w:color="C00000"/>
            </w:tcBorders>
            <w:shd w:val="clear" w:color="auto" w:fill="F2F2F2" w:themeFill="background1" w:themeFillShade="F2"/>
          </w:tcPr>
          <w:p w14:paraId="20D35104" w14:textId="77777777" w:rsidR="0044461C" w:rsidRPr="000F0299" w:rsidRDefault="0044461C" w:rsidP="005822B0">
            <w:pPr>
              <w:spacing w:before="0"/>
              <w:ind w:firstLine="0"/>
              <w:rPr>
                <w:sz w:val="16"/>
                <w:szCs w:val="16"/>
              </w:rPr>
            </w:pPr>
          </w:p>
        </w:tc>
        <w:tc>
          <w:tcPr>
            <w:tcW w:w="2557" w:type="pct"/>
            <w:tcBorders>
              <w:bottom w:val="single" w:sz="18" w:space="0" w:color="C00000"/>
            </w:tcBorders>
            <w:shd w:val="clear" w:color="auto" w:fill="F2F2F2" w:themeFill="background1" w:themeFillShade="F2"/>
          </w:tcPr>
          <w:p w14:paraId="65D7BA14" w14:textId="77777777" w:rsidR="0044461C" w:rsidRPr="000F0299" w:rsidRDefault="0044461C" w:rsidP="005822B0">
            <w:pPr>
              <w:spacing w:before="0"/>
              <w:ind w:firstLine="0"/>
              <w:rPr>
                <w:sz w:val="16"/>
                <w:szCs w:val="16"/>
              </w:rPr>
            </w:pPr>
          </w:p>
        </w:tc>
        <w:tc>
          <w:tcPr>
            <w:tcW w:w="1034" w:type="pct"/>
            <w:tcBorders>
              <w:bottom w:val="single" w:sz="18" w:space="0" w:color="C00000"/>
            </w:tcBorders>
            <w:shd w:val="clear" w:color="auto" w:fill="F2F2F2" w:themeFill="background1" w:themeFillShade="F2"/>
          </w:tcPr>
          <w:p w14:paraId="200A70E0" w14:textId="77777777" w:rsidR="0044461C" w:rsidRPr="000F0299" w:rsidRDefault="0044461C" w:rsidP="005822B0">
            <w:pPr>
              <w:spacing w:before="0"/>
              <w:ind w:firstLine="0"/>
              <w:rPr>
                <w:sz w:val="16"/>
                <w:szCs w:val="16"/>
              </w:rPr>
            </w:pPr>
          </w:p>
        </w:tc>
        <w:tc>
          <w:tcPr>
            <w:tcW w:w="1034" w:type="pct"/>
            <w:tcBorders>
              <w:bottom w:val="single" w:sz="18" w:space="0" w:color="C00000"/>
            </w:tcBorders>
            <w:shd w:val="clear" w:color="auto" w:fill="F2F2F2" w:themeFill="background1" w:themeFillShade="F2"/>
          </w:tcPr>
          <w:p w14:paraId="4A686DA7" w14:textId="77777777" w:rsidR="0044461C" w:rsidRPr="000F0299" w:rsidRDefault="0044461C" w:rsidP="005822B0">
            <w:pPr>
              <w:spacing w:before="0"/>
              <w:ind w:firstLine="0"/>
              <w:rPr>
                <w:sz w:val="16"/>
                <w:szCs w:val="16"/>
              </w:rPr>
            </w:pPr>
          </w:p>
        </w:tc>
        <w:tc>
          <w:tcPr>
            <w:tcW w:w="185" w:type="pct"/>
            <w:tcBorders>
              <w:bottom w:val="single" w:sz="18" w:space="0" w:color="C00000"/>
              <w:right w:val="single" w:sz="18" w:space="0" w:color="C00000"/>
            </w:tcBorders>
            <w:shd w:val="clear" w:color="auto" w:fill="F2F2F2" w:themeFill="background1" w:themeFillShade="F2"/>
          </w:tcPr>
          <w:p w14:paraId="23438ABE" w14:textId="77777777" w:rsidR="0044461C" w:rsidRPr="000F0299" w:rsidRDefault="0044461C" w:rsidP="005822B0">
            <w:pPr>
              <w:spacing w:before="0"/>
              <w:ind w:firstLine="0"/>
              <w:rPr>
                <w:sz w:val="16"/>
                <w:szCs w:val="16"/>
              </w:rPr>
            </w:pPr>
          </w:p>
        </w:tc>
      </w:tr>
    </w:tbl>
    <w:p w14:paraId="233C322B" w14:textId="5E2D08AC" w:rsidR="008751D9" w:rsidRPr="000F0299" w:rsidRDefault="00965F45" w:rsidP="00725146">
      <w:pPr>
        <w:ind w:firstLine="0"/>
        <w:rPr>
          <w:rFonts w:eastAsia="Calibri"/>
        </w:rPr>
      </w:pPr>
      <w:r w:rsidRPr="00965F45">
        <w:rPr>
          <w:rFonts w:eastAsiaTheme="minorHAnsi"/>
          <w:b/>
          <w:bCs/>
          <w:iCs/>
          <w:kern w:val="0"/>
          <w:lang w:eastAsia="en-US" w:bidi="ar-SA"/>
        </w:rPr>
        <w:t>Напомена</w:t>
      </w:r>
      <w:r w:rsidRPr="00965F45">
        <w:rPr>
          <w:rFonts w:eastAsiaTheme="minorHAnsi"/>
          <w:bCs/>
          <w:iCs/>
          <w:kern w:val="0"/>
          <w:lang w:eastAsia="en-US" w:bidi="ar-SA"/>
        </w:rPr>
        <w:t xml:space="preserve">: Извор наведених докумената јавних политика и прописа дати су у </w:t>
      </w:r>
      <w:hyperlink w:anchor="_Ι._Планирање_и" w:history="1">
        <w:r w:rsidRPr="00965F45">
          <w:rPr>
            <w:rStyle w:val="Hyperlink"/>
            <w:rFonts w:eastAsiaTheme="minorHAnsi"/>
            <w:bCs/>
            <w:iCs/>
            <w:kern w:val="0"/>
            <w:lang w:eastAsia="en-US" w:bidi="ar-SA"/>
          </w:rPr>
          <w:t>Прилогу 2</w:t>
        </w:r>
      </w:hyperlink>
      <w:r w:rsidRPr="00965F45">
        <w:rPr>
          <w:rFonts w:eastAsiaTheme="minorHAnsi"/>
          <w:bCs/>
          <w:iCs/>
          <w:kern w:val="0"/>
          <w:lang w:eastAsia="en-US" w:bidi="ar-SA"/>
        </w:rPr>
        <w:t xml:space="preserve"> у којем је приказана и детаљна анализа за тематску област Планирање и координација политика</w:t>
      </w:r>
    </w:p>
    <w:p w14:paraId="5A57C62C" w14:textId="77777777" w:rsidR="008751D9" w:rsidRPr="000F0299" w:rsidRDefault="008751D9">
      <w:pPr>
        <w:suppressAutoHyphens w:val="0"/>
        <w:autoSpaceDN/>
        <w:spacing w:before="0" w:after="160" w:line="259" w:lineRule="auto"/>
        <w:ind w:firstLine="0"/>
        <w:jc w:val="left"/>
        <w:textAlignment w:val="auto"/>
        <w:rPr>
          <w:rFonts w:eastAsia="Calibri"/>
        </w:rPr>
      </w:pPr>
      <w:r w:rsidRPr="000F0299">
        <w:rPr>
          <w:rFonts w:eastAsia="Calibri"/>
        </w:rPr>
        <w:br w:type="page"/>
      </w:r>
    </w:p>
    <w:p w14:paraId="1C5B209A" w14:textId="51873524" w:rsidR="006C0FCF" w:rsidRPr="000F0299" w:rsidRDefault="006C0FCF" w:rsidP="003D3BC5">
      <w:pPr>
        <w:pStyle w:val="Heading2"/>
        <w:rPr>
          <w:rStyle w:val="Heading2Char"/>
          <w:lang w:val="sr-Cyrl-RS"/>
        </w:rPr>
      </w:pPr>
      <w:bookmarkStart w:id="22" w:name="_Toc56725073"/>
      <w:bookmarkStart w:id="23" w:name="_Toc57661451"/>
      <w:r w:rsidRPr="000F0299">
        <w:rPr>
          <w:lang w:val="sr-Cyrl-RS"/>
        </w:rPr>
        <w:t xml:space="preserve">II. </w:t>
      </w:r>
      <w:r w:rsidR="00E706E9" w:rsidRPr="000F0299">
        <w:rPr>
          <w:rStyle w:val="Heading2Char"/>
          <w:lang w:val="sr-Cyrl-RS"/>
        </w:rPr>
        <w:t>Управљање људским ресурсима у јавној управи</w:t>
      </w:r>
      <w:bookmarkEnd w:id="22"/>
      <w:bookmarkEnd w:id="23"/>
    </w:p>
    <w:p w14:paraId="6EFE7C8C" w14:textId="3E078A5D" w:rsidR="006C0FCF" w:rsidRPr="000F0299" w:rsidRDefault="00E706E9" w:rsidP="00725146">
      <w:pPr>
        <w:pStyle w:val="Heading3"/>
        <w:rPr>
          <w:lang w:val="sr-Cyrl-RS"/>
        </w:rPr>
      </w:pPr>
      <w:bookmarkStart w:id="24" w:name="_Toc56725074"/>
      <w:bookmarkStart w:id="25" w:name="_Toc57661452"/>
      <w:r w:rsidRPr="000F0299">
        <w:rPr>
          <w:lang w:val="sr-Cyrl-RS"/>
        </w:rPr>
        <w:t>Анализа стања</w:t>
      </w:r>
      <w:bookmarkEnd w:id="24"/>
      <w:bookmarkEnd w:id="25"/>
    </w:p>
    <w:p w14:paraId="33FD0770" w14:textId="15E1C445" w:rsidR="006C0FCF" w:rsidRPr="000F0299" w:rsidRDefault="00965F45" w:rsidP="00244E7C">
      <w:pPr>
        <w:rPr>
          <w:color w:val="000000"/>
        </w:rPr>
      </w:pPr>
      <w:r w:rsidRPr="00E22FCF">
        <w:t xml:space="preserve">Нормативни оквир за државнослужбенички систем, у смислу делокруга, радно-правног статуса и принципа </w:t>
      </w:r>
      <w:r>
        <w:t>УЉР</w:t>
      </w:r>
      <w:r w:rsidRPr="00E22FCF">
        <w:t xml:space="preserve"> успостављен је Законом о државним службеницима, Законом о платама државних службеника и намештеника, Законом о буџетском систему и законима о буџету који се доносе за сваку календарску годину, као и пратећим подзаконским актима, док је радноправни статус запослених у </w:t>
      </w:r>
      <w:r>
        <w:t xml:space="preserve">АП </w:t>
      </w:r>
      <w:r w:rsidRPr="00E22FCF">
        <w:t xml:space="preserve">и </w:t>
      </w:r>
      <w:r>
        <w:t xml:space="preserve">ЈЛС </w:t>
      </w:r>
      <w:r w:rsidRPr="00E22FCF">
        <w:t>уређен</w:t>
      </w:r>
      <w:r>
        <w:t xml:space="preserve"> </w:t>
      </w:r>
      <w:r w:rsidRPr="00E22FCF">
        <w:t xml:space="preserve">Законом о запосленима у аутономним покрајинама и јединицама локалне самоуправе, Законом о платама у државним органима и јавним службама, подзаконским актима и посебним колективним уговорима. За разлику од претходно наведеног, </w:t>
      </w:r>
      <w:r w:rsidRPr="00E22FCF">
        <w:rPr>
          <w:shd w:val="clear" w:color="auto" w:fill="FFFFFF"/>
        </w:rPr>
        <w:t xml:space="preserve">стручни и регулаторни послови у јавним агенцијама </w:t>
      </w:r>
      <w:r w:rsidRPr="00E22FCF">
        <w:t xml:space="preserve">уређени су општим прописима о раду и Законом о јавним агенцијама. </w:t>
      </w:r>
      <w:r w:rsidRPr="00E22FCF">
        <w:rPr>
          <w:shd w:val="clear" w:color="auto" w:fill="FFFFFF"/>
        </w:rPr>
        <w:t>Такође, јавној агенцији могу се посебним законом као јавно овлашћење поверити одређени послови државне управе</w:t>
      </w:r>
      <w:r>
        <w:rPr>
          <w:shd w:val="clear" w:color="auto" w:fill="FFFFFF"/>
        </w:rPr>
        <w:t>,</w:t>
      </w:r>
      <w:r w:rsidRPr="00E22FCF">
        <w:rPr>
          <w:shd w:val="clear" w:color="auto" w:fill="FFFFFF"/>
        </w:rPr>
        <w:t xml:space="preserve"> док је</w:t>
      </w:r>
      <w:r w:rsidRPr="00E22FCF">
        <w:t xml:space="preserve"> послодавац запослених у јавним агенцијама сама агенција која има својство правног лица, за разлику од државних службеника и службеника у </w:t>
      </w:r>
      <w:r>
        <w:t xml:space="preserve">АП </w:t>
      </w:r>
      <w:r w:rsidRPr="00E22FCF">
        <w:t xml:space="preserve">и </w:t>
      </w:r>
      <w:r>
        <w:t>ЈЛС</w:t>
      </w:r>
      <w:r w:rsidRPr="00E22FCF">
        <w:t xml:space="preserve"> којима је послодавац </w:t>
      </w:r>
      <w:r>
        <w:t xml:space="preserve">Република Србија, АП </w:t>
      </w:r>
      <w:r w:rsidRPr="00E22FCF">
        <w:t>и</w:t>
      </w:r>
      <w:r>
        <w:t>ли</w:t>
      </w:r>
      <w:r w:rsidRPr="00E22FCF">
        <w:t xml:space="preserve"> </w:t>
      </w:r>
      <w:r>
        <w:t>ЈЛС</w:t>
      </w:r>
      <w:r w:rsidRPr="00E22FCF">
        <w:t>. Значајне промене донете су Законом о запосленима у јавним службама</w:t>
      </w:r>
      <w:r>
        <w:t>,</w:t>
      </w:r>
      <w:r w:rsidRPr="00E22FCF">
        <w:t xml:space="preserve"> који је </w:t>
      </w:r>
      <w:r>
        <w:t>донет</w:t>
      </w:r>
      <w:r w:rsidRPr="00E22FCF">
        <w:t xml:space="preserve"> 2017. године, првенствено у вези са организацијом послова у актима о систематизацији и дефинисању радних места у установама које се усклађују са </w:t>
      </w:r>
      <w:r>
        <w:t xml:space="preserve">усвојеним </w:t>
      </w:r>
      <w:r w:rsidRPr="00E22FCF">
        <w:t xml:space="preserve">Каталогом радних места у јавним службама и другим организацијама у јавном сектору, који представља предуслов за реформу система плата, чији је правни оквир </w:t>
      </w:r>
      <w:r w:rsidRPr="00E22FCF">
        <w:rPr>
          <w:rFonts w:eastAsia="Times New Roman"/>
          <w:kern w:val="2"/>
        </w:rPr>
        <w:t>одређен одредбама Закона о платама државних службеника и намештеника, Законом о буџету, као и Уредбом о накнади трошкова и отпремнини државних службеника и намештеника</w:t>
      </w:r>
      <w:r>
        <w:rPr>
          <w:rFonts w:eastAsia="Times New Roman"/>
          <w:kern w:val="2"/>
        </w:rPr>
        <w:t>.</w:t>
      </w:r>
    </w:p>
    <w:p w14:paraId="0D1321D7" w14:textId="317897F0" w:rsidR="006C0FCF" w:rsidRPr="000F0299" w:rsidRDefault="0026273E" w:rsidP="00244E7C">
      <w:pPr>
        <w:rPr>
          <w:bCs/>
        </w:rPr>
      </w:pPr>
      <w:r w:rsidRPr="00E22FCF">
        <w:rPr>
          <w:color w:val="000000"/>
          <w:lang w:val="uz-Cyrl-UZ"/>
        </w:rPr>
        <w:t xml:space="preserve">У складу са </w:t>
      </w:r>
      <w:r>
        <w:rPr>
          <w:color w:val="000000"/>
          <w:lang w:val="uz-Cyrl-UZ"/>
        </w:rPr>
        <w:t>Стратегијом РЈУ</w:t>
      </w:r>
      <w:r w:rsidRPr="00E22FCF">
        <w:rPr>
          <w:color w:val="000000"/>
          <w:lang w:val="uz-Cyrl-UZ"/>
        </w:rPr>
        <w:t xml:space="preserve"> </w:t>
      </w:r>
      <w:r>
        <w:rPr>
          <w:color w:val="000000"/>
          <w:lang w:val="uz-Cyrl-UZ"/>
        </w:rPr>
        <w:t xml:space="preserve">из 2014. </w:t>
      </w:r>
      <w:r w:rsidRPr="00E22FCF">
        <w:rPr>
          <w:color w:val="000000"/>
          <w:lang w:val="uz-Cyrl-UZ"/>
        </w:rPr>
        <w:t>и горе</w:t>
      </w:r>
      <w:r>
        <w:rPr>
          <w:color w:val="000000"/>
          <w:lang w:val="uz-Cyrl-UZ"/>
        </w:rPr>
        <w:t xml:space="preserve"> </w:t>
      </w:r>
      <w:r w:rsidRPr="00E22FCF">
        <w:rPr>
          <w:color w:val="000000"/>
          <w:lang w:val="uz-Cyrl-UZ"/>
        </w:rPr>
        <w:t xml:space="preserve">наведеним чињеницама, у области </w:t>
      </w:r>
      <w:r>
        <w:rPr>
          <w:color w:val="000000"/>
          <w:lang w:val="uz-Cyrl-UZ"/>
        </w:rPr>
        <w:t>УЉР</w:t>
      </w:r>
      <w:r w:rsidRPr="00E22FCF">
        <w:rPr>
          <w:color w:val="000000"/>
          <w:lang w:val="uz-Cyrl-UZ"/>
        </w:rPr>
        <w:t xml:space="preserve"> евидентно је унапређен нормативни оквир који уређује службенички систем, а који се заснива на систему компетенција, унапређењу система запошљавања и јачању конкурсног поступка. Уведен је потпуно нов модел вредновања радне успешности у циљу даље професионализације државних службеника и вредновања радне успешности организационих јединица</w:t>
      </w:r>
      <w:r w:rsidRPr="00E22FCF">
        <w:rPr>
          <w:color w:val="000000"/>
        </w:rPr>
        <w:t xml:space="preserve">. </w:t>
      </w:r>
      <w:r w:rsidRPr="00E22FCF">
        <w:rPr>
          <w:bCs/>
          <w:color w:val="000000"/>
        </w:rPr>
        <w:t>У оквиру С</w:t>
      </w:r>
      <w:r>
        <w:rPr>
          <w:bCs/>
          <w:color w:val="000000"/>
        </w:rPr>
        <w:t xml:space="preserve">лужбе за управљање кадровима (у даљем тексту: СУК) успостављен је </w:t>
      </w:r>
      <w:r w:rsidRPr="00E22FCF">
        <w:rPr>
          <w:bCs/>
          <w:color w:val="000000"/>
        </w:rPr>
        <w:t>средин</w:t>
      </w:r>
      <w:r>
        <w:rPr>
          <w:bCs/>
          <w:color w:val="000000"/>
        </w:rPr>
        <w:t>ом</w:t>
      </w:r>
      <w:r w:rsidRPr="00E22FCF">
        <w:rPr>
          <w:bCs/>
          <w:color w:val="000000"/>
        </w:rPr>
        <w:t xml:space="preserve"> 2018. године Центар за управљање каријером државних службеника</w:t>
      </w:r>
      <w:r>
        <w:rPr>
          <w:bCs/>
          <w:color w:val="000000"/>
        </w:rPr>
        <w:t>,</w:t>
      </w:r>
      <w:r w:rsidRPr="00E22FCF">
        <w:rPr>
          <w:bCs/>
          <w:color w:val="000000"/>
        </w:rPr>
        <w:t xml:space="preserve"> где се обављају послови процене и </w:t>
      </w:r>
      <w:r w:rsidRPr="00E22FCF">
        <w:rPr>
          <w:color w:val="000000"/>
        </w:rPr>
        <w:t>развоја компетенција за потребе каријерног развоја</w:t>
      </w:r>
      <w:r w:rsidR="006C0FCF" w:rsidRPr="000F0299">
        <w:rPr>
          <w:bCs/>
        </w:rPr>
        <w:t>.</w:t>
      </w:r>
    </w:p>
    <w:p w14:paraId="3205F9E4" w14:textId="188215B3" w:rsidR="006C0FCF" w:rsidRPr="000F0299" w:rsidRDefault="0026273E" w:rsidP="00244E7C">
      <w:r w:rsidRPr="00E22FCF">
        <w:rPr>
          <w:bCs/>
          <w:color w:val="000000"/>
        </w:rPr>
        <w:t xml:space="preserve">Као пример добро спроведених реформских процеса у овој области наводи се Министарство унутрашњих послова, које је доношењем </w:t>
      </w:r>
      <w:r w:rsidRPr="00E22FCF">
        <w:t>Стратегије развоја М</w:t>
      </w:r>
      <w:r>
        <w:t xml:space="preserve">инистарства унутрашњих послова </w:t>
      </w:r>
      <w:r w:rsidRPr="00E22FCF">
        <w:t>за период 2018</w:t>
      </w:r>
      <w:r>
        <w:t>–</w:t>
      </w:r>
      <w:r w:rsidRPr="00E22FCF">
        <w:t xml:space="preserve">2023. године, </w:t>
      </w:r>
      <w:r w:rsidRPr="00E22FCF">
        <w:rPr>
          <w:bCs/>
          <w:color w:val="000000"/>
        </w:rPr>
        <w:t>издвојен као</w:t>
      </w:r>
      <w:r w:rsidRPr="00E22FCF">
        <w:t xml:space="preserve"> први орган у државној управи где су компетенције постале критеријум на основу кога се врши </w:t>
      </w:r>
      <w:r>
        <w:t>избор</w:t>
      </w:r>
      <w:r w:rsidRPr="00E22FCF">
        <w:t>, оцењивање, развој и напредовање запослених</w:t>
      </w:r>
      <w:r w:rsidR="006C0FCF" w:rsidRPr="000F0299">
        <w:t>.</w:t>
      </w:r>
    </w:p>
    <w:p w14:paraId="2A506FEE" w14:textId="1D7FF00A" w:rsidR="006C0FCF" w:rsidRPr="000F0299" w:rsidRDefault="0026273E" w:rsidP="00244E7C">
      <w:r w:rsidRPr="00E22FCF">
        <w:rPr>
          <w:color w:val="000000"/>
        </w:rPr>
        <w:t>П</w:t>
      </w:r>
      <w:r w:rsidRPr="00E22FCF">
        <w:rPr>
          <w:color w:val="000000"/>
          <w:lang w:val="uz-Cyrl-UZ"/>
        </w:rPr>
        <w:t>осебна пажња у претходном периоду посвећена је реформи стручног усавршавања у јавној управи успостављањем законодавног оквира и оснивањем Националне академије за јавну управу (у даљем тексту: НАЈУ)</w:t>
      </w:r>
      <w:r>
        <w:rPr>
          <w:color w:val="000000"/>
          <w:lang w:val="uz-Cyrl-UZ"/>
        </w:rPr>
        <w:t>,</w:t>
      </w:r>
      <w:r w:rsidRPr="00E22FCF">
        <w:rPr>
          <w:color w:val="000000"/>
          <w:lang w:val="uz-Cyrl-UZ"/>
        </w:rPr>
        <w:t xml:space="preserve"> чиме је обезбеђен једнак приступ праву на стручно усавршавање свим запосленима у јавној управи. </w:t>
      </w:r>
      <w:r w:rsidRPr="00E22FCF">
        <w:rPr>
          <w:bCs/>
          <w:color w:val="000000"/>
        </w:rPr>
        <w:t>Развијени су нови осавремењени општи програми обуке и по први пут програми обуке руководилаца</w:t>
      </w:r>
      <w:r>
        <w:rPr>
          <w:bCs/>
          <w:color w:val="000000"/>
        </w:rPr>
        <w:t>,</w:t>
      </w:r>
      <w:r w:rsidRPr="00E22FCF">
        <w:rPr>
          <w:bCs/>
          <w:color w:val="000000"/>
        </w:rPr>
        <w:t xml:space="preserve"> како за државне служб</w:t>
      </w:r>
      <w:r w:rsidR="005C6E93">
        <w:rPr>
          <w:bCs/>
          <w:color w:val="000000"/>
        </w:rPr>
        <w:t>е</w:t>
      </w:r>
      <w:r w:rsidRPr="00E22FCF">
        <w:rPr>
          <w:bCs/>
          <w:color w:val="000000"/>
        </w:rPr>
        <w:t xml:space="preserve">нике, тако и за службенике у </w:t>
      </w:r>
      <w:r>
        <w:rPr>
          <w:bCs/>
          <w:color w:val="000000"/>
        </w:rPr>
        <w:t>ЈЛС</w:t>
      </w:r>
      <w:r w:rsidRPr="00E22FCF">
        <w:rPr>
          <w:bCs/>
          <w:color w:val="000000"/>
        </w:rPr>
        <w:t xml:space="preserve">. </w:t>
      </w:r>
      <w:r w:rsidRPr="00E22FCF">
        <w:rPr>
          <w:color w:val="000000"/>
          <w:lang w:val="uz-Cyrl-UZ"/>
        </w:rPr>
        <w:t xml:space="preserve">Област стручног усавршавања представља и један од </w:t>
      </w:r>
      <w:r w:rsidRPr="00E22FCF">
        <w:t>предуслова за управљањ</w:t>
      </w:r>
      <w:r>
        <w:t>е</w:t>
      </w:r>
      <w:r w:rsidRPr="00E22FCF">
        <w:t xml:space="preserve"> учинком базиран</w:t>
      </w:r>
      <w:r>
        <w:t>им</w:t>
      </w:r>
      <w:r w:rsidRPr="00E22FCF">
        <w:t xml:space="preserve"> на компетенцијама. Поред НАЈУ, институционални оквир за </w:t>
      </w:r>
      <w:r>
        <w:t>УЉР</w:t>
      </w:r>
      <w:r w:rsidRPr="00E22FCF">
        <w:t xml:space="preserve"> употпуњен је делокругом рада М</w:t>
      </w:r>
      <w:r>
        <w:t>инистарства државне управе и локалне самоуправе (у даљем тексту: МДУЛС)</w:t>
      </w:r>
      <w:r w:rsidRPr="00E22FCF">
        <w:t xml:space="preserve">, Управног инспектората, Министарства финансија, </w:t>
      </w:r>
      <w:r>
        <w:t>СУК-а</w:t>
      </w:r>
      <w:r w:rsidRPr="00E22FCF">
        <w:t>, Високог службеничког савета, Министарства за европске интеграције, Жалбене комисије Владе, Генералног секретаријата Владе</w:t>
      </w:r>
      <w:r>
        <w:t>,</w:t>
      </w:r>
      <w:r w:rsidRPr="00E22FCF">
        <w:t xml:space="preserve"> као и Савета за реформу јавне управе (као координационог механизма Владе)</w:t>
      </w:r>
      <w:r>
        <w:t>.</w:t>
      </w:r>
    </w:p>
    <w:p w14:paraId="6AE2B79A" w14:textId="62BB88D8" w:rsidR="006C0FCF" w:rsidRPr="000F0299" w:rsidRDefault="0026273E" w:rsidP="00244E7C">
      <w:pPr>
        <w:rPr>
          <w:bCs/>
        </w:rPr>
      </w:pPr>
      <w:r w:rsidRPr="00E22FCF">
        <w:t xml:space="preserve">На основу анализе </w:t>
      </w:r>
      <w:r>
        <w:t>из</w:t>
      </w:r>
      <w:r w:rsidRPr="00E22FCF">
        <w:t xml:space="preserve"> мај</w:t>
      </w:r>
      <w:r>
        <w:t>а</w:t>
      </w:r>
      <w:r w:rsidRPr="00E22FCF">
        <w:t xml:space="preserve"> 2020. године као посеб</w:t>
      </w:r>
      <w:r>
        <w:t>а</w:t>
      </w:r>
      <w:r w:rsidRPr="00E22FCF">
        <w:t xml:space="preserve">н резултат издваја се примена оквира компетенција у оквиру којег је 91% органа државне управе ускладило своје акте о систематизацији са </w:t>
      </w:r>
      <w:r>
        <w:t xml:space="preserve">донетим </w:t>
      </w:r>
      <w:r w:rsidRPr="00E22FCF">
        <w:t>оквиром компетенција, док то није урадило седам органа (9%)</w:t>
      </w:r>
      <w:r>
        <w:t>,</w:t>
      </w:r>
      <w:r w:rsidRPr="00E22FCF">
        <w:t xml:space="preserve"> што указује на потребу </w:t>
      </w:r>
      <w:r>
        <w:t xml:space="preserve">да се </w:t>
      </w:r>
      <w:r w:rsidRPr="00E22FCF">
        <w:t xml:space="preserve">континуирано </w:t>
      </w:r>
      <w:r>
        <w:t xml:space="preserve">побољшава </w:t>
      </w:r>
      <w:r w:rsidRPr="00E22FCF">
        <w:t>програм обука и јача капацитет аналитичара посла и руководилаца за правилно одређивање компетенција.</w:t>
      </w:r>
      <w:r w:rsidRPr="00E22FCF">
        <w:rPr>
          <w:rFonts w:eastAsia="Times New Roman"/>
        </w:rPr>
        <w:t xml:space="preserve"> </w:t>
      </w:r>
      <w:r w:rsidRPr="00E22FCF">
        <w:rPr>
          <w:rFonts w:eastAsia="Calibri"/>
        </w:rPr>
        <w:t xml:space="preserve">Значајан помак је остварен и у вези са </w:t>
      </w:r>
      <w:r w:rsidRPr="00E22FCF">
        <w:rPr>
          <w:bCs/>
        </w:rPr>
        <w:t>дигитализацијом процеса у стручном усавршавању у оквиру Централне евиденције програма стручног усавршавања у јавној управи која</w:t>
      </w:r>
      <w:r>
        <w:rPr>
          <w:bCs/>
        </w:rPr>
        <w:t xml:space="preserve"> </w:t>
      </w:r>
      <w:r w:rsidRPr="00E22FCF">
        <w:rPr>
          <w:bCs/>
        </w:rPr>
        <w:t xml:space="preserve">је надограђена </w:t>
      </w:r>
      <w:r w:rsidRPr="00E22FCF">
        <w:t xml:space="preserve">платформом </w:t>
      </w:r>
      <w:r w:rsidRPr="00E22FCF">
        <w:rPr>
          <w:bCs/>
        </w:rPr>
        <w:t>за учење на даљину</w:t>
      </w:r>
      <w:r w:rsidRPr="00E22FCF">
        <w:t xml:space="preserve"> </w:t>
      </w:r>
      <w:r w:rsidRPr="00806D0A">
        <w:rPr>
          <w:i/>
        </w:rPr>
        <w:t>LMS</w:t>
      </w:r>
      <w:r w:rsidRPr="00E22FCF">
        <w:t xml:space="preserve"> (</w:t>
      </w:r>
      <w:r w:rsidRPr="00806D0A">
        <w:rPr>
          <w:i/>
        </w:rPr>
        <w:t>learning management system</w:t>
      </w:r>
      <w:r w:rsidRPr="00E22FCF">
        <w:t xml:space="preserve">), али и </w:t>
      </w:r>
      <w:r w:rsidRPr="00E22FCF">
        <w:rPr>
          <w:bCs/>
        </w:rPr>
        <w:t>савременим облицима учења, попут менторства, коучинга и електронског учења</w:t>
      </w:r>
      <w:r w:rsidR="006C0FCF" w:rsidRPr="000F0299">
        <w:rPr>
          <w:bCs/>
        </w:rPr>
        <w:t>.</w:t>
      </w:r>
    </w:p>
    <w:p w14:paraId="16AA8D5A" w14:textId="5A11D2BC" w:rsidR="006C0FCF" w:rsidRPr="000F0299" w:rsidRDefault="0026273E" w:rsidP="00244E7C">
      <w:r w:rsidRPr="00E22FCF">
        <w:rPr>
          <w:rFonts w:eastAsia="Times New Roman"/>
          <w:lang w:val="sr-Cyrl-CS"/>
        </w:rPr>
        <w:t>Кључни изазов у овој области представља задржавање квалитетн</w:t>
      </w:r>
      <w:r>
        <w:rPr>
          <w:rFonts w:eastAsia="Times New Roman"/>
          <w:lang w:val="sr-Cyrl-CS"/>
        </w:rPr>
        <w:t>ог</w:t>
      </w:r>
      <w:r w:rsidRPr="00E22FCF">
        <w:rPr>
          <w:rFonts w:eastAsia="Times New Roman"/>
          <w:lang w:val="sr-Cyrl-CS"/>
        </w:rPr>
        <w:t xml:space="preserve"> кадра на одговарајућим радним местима у складу са компетенцијама због чега је </w:t>
      </w:r>
      <w:r w:rsidRPr="00E22FCF">
        <w:rPr>
          <w:color w:val="000000"/>
        </w:rPr>
        <w:t>С</w:t>
      </w:r>
      <w:r>
        <w:rPr>
          <w:color w:val="000000"/>
        </w:rPr>
        <w:t>УК</w:t>
      </w:r>
      <w:r w:rsidRPr="00E22FCF">
        <w:rPr>
          <w:color w:val="000000"/>
        </w:rPr>
        <w:t xml:space="preserve"> доне</w:t>
      </w:r>
      <w:r>
        <w:rPr>
          <w:color w:val="000000"/>
        </w:rPr>
        <w:t>о</w:t>
      </w:r>
      <w:r w:rsidRPr="00E22FCF">
        <w:rPr>
          <w:color w:val="000000"/>
        </w:rPr>
        <w:t xml:space="preserve"> Упутство за методологију за праћење стања у вези са одливом кадрова из органа државне управе које нуди могућности превентивног деловања, односно правовременог реаговања на незадовољство запослених и предузимање мера за њихово задржавање. Такође, </w:t>
      </w:r>
      <w:r>
        <w:rPr>
          <w:color w:val="000000"/>
        </w:rPr>
        <w:t xml:space="preserve">да би се </w:t>
      </w:r>
      <w:r w:rsidRPr="00E22FCF">
        <w:rPr>
          <w:bCs/>
          <w:color w:val="000000"/>
        </w:rPr>
        <w:t>задржа</w:t>
      </w:r>
      <w:r>
        <w:rPr>
          <w:bCs/>
          <w:color w:val="000000"/>
        </w:rPr>
        <w:t>о</w:t>
      </w:r>
      <w:r w:rsidRPr="00E22FCF">
        <w:rPr>
          <w:bCs/>
          <w:color w:val="000000"/>
        </w:rPr>
        <w:t xml:space="preserve"> кад</w:t>
      </w:r>
      <w:r>
        <w:rPr>
          <w:bCs/>
          <w:color w:val="000000"/>
        </w:rPr>
        <w:t>а</w:t>
      </w:r>
      <w:r w:rsidRPr="00E22FCF">
        <w:rPr>
          <w:bCs/>
          <w:color w:val="000000"/>
        </w:rPr>
        <w:t>р</w:t>
      </w:r>
      <w:r>
        <w:rPr>
          <w:bCs/>
          <w:color w:val="000000"/>
        </w:rPr>
        <w:t>,</w:t>
      </w:r>
      <w:r w:rsidRPr="00E22FCF">
        <w:rPr>
          <w:color w:val="000000"/>
        </w:rPr>
        <w:t xml:space="preserve"> успостављено је интерно тржиште рада</w:t>
      </w:r>
      <w:r>
        <w:rPr>
          <w:color w:val="000000"/>
        </w:rPr>
        <w:t>,</w:t>
      </w:r>
      <w:r w:rsidRPr="00E22FCF">
        <w:rPr>
          <w:color w:val="000000"/>
        </w:rPr>
        <w:t xml:space="preserve"> којим треба да се обезбеди већи обим мобилности запослених на одговарајућа радна места у државној управи у складу са </w:t>
      </w:r>
      <w:r>
        <w:rPr>
          <w:color w:val="000000"/>
        </w:rPr>
        <w:t xml:space="preserve">њиховим </w:t>
      </w:r>
      <w:r w:rsidRPr="00E22FCF">
        <w:rPr>
          <w:color w:val="000000"/>
        </w:rPr>
        <w:t xml:space="preserve">компетенцијама. </w:t>
      </w:r>
      <w:r w:rsidRPr="00E22FCF">
        <w:rPr>
          <w:bCs/>
        </w:rPr>
        <w:t xml:space="preserve">Додатни изазов је што се кадровски планови, као кључни инструмент за планирање људских ресурса, не </w:t>
      </w:r>
      <w:r>
        <w:rPr>
          <w:bCs/>
        </w:rPr>
        <w:t>усвајају</w:t>
      </w:r>
      <w:r w:rsidRPr="00E22FCF">
        <w:rPr>
          <w:bCs/>
        </w:rPr>
        <w:t xml:space="preserve"> од увођења мера фискалне консолидације. </w:t>
      </w:r>
      <w:r w:rsidRPr="00E22FCF">
        <w:rPr>
          <w:rFonts w:eastAsia="Times New Roman"/>
        </w:rPr>
        <w:t>Недостаје системски приступ анализи организационе структуре органа и постојећих описа послова, тј. не успоставља се однос између планираних и постојећих послова, односно потребн</w:t>
      </w:r>
      <w:r>
        <w:rPr>
          <w:rFonts w:eastAsia="Times New Roman"/>
        </w:rPr>
        <w:t>ог</w:t>
      </w:r>
      <w:r w:rsidRPr="00E22FCF">
        <w:rPr>
          <w:rFonts w:eastAsia="Times New Roman"/>
        </w:rPr>
        <w:t xml:space="preserve"> кадра и њ</w:t>
      </w:r>
      <w:r>
        <w:rPr>
          <w:rFonts w:eastAsia="Times New Roman"/>
        </w:rPr>
        <w:t>егових</w:t>
      </w:r>
      <w:r w:rsidRPr="00E22FCF">
        <w:rPr>
          <w:rFonts w:eastAsia="Times New Roman"/>
        </w:rPr>
        <w:t xml:space="preserve"> знања и вештина.</w:t>
      </w:r>
      <w:r w:rsidRPr="00E22FCF">
        <w:rPr>
          <w:bCs/>
        </w:rPr>
        <w:t xml:space="preserve"> С обзиром на тако успостављен систем </w:t>
      </w:r>
      <w:r w:rsidRPr="00E22FCF">
        <w:rPr>
          <w:bCs/>
          <w:color w:val="000000"/>
        </w:rPr>
        <w:t xml:space="preserve">започето је са изградњом новог </w:t>
      </w:r>
      <w:r>
        <w:rPr>
          <w:bCs/>
          <w:color w:val="000000"/>
        </w:rPr>
        <w:t xml:space="preserve">ИТ </w:t>
      </w:r>
      <w:r w:rsidRPr="00E22FCF">
        <w:rPr>
          <w:bCs/>
          <w:color w:val="000000"/>
        </w:rPr>
        <w:t>система</w:t>
      </w:r>
      <w:r>
        <w:rPr>
          <w:bCs/>
          <w:color w:val="000000"/>
        </w:rPr>
        <w:t xml:space="preserve">, </w:t>
      </w:r>
      <w:r w:rsidRPr="00E22FCF">
        <w:rPr>
          <w:bCs/>
          <w:color w:val="000000"/>
        </w:rPr>
        <w:t>кој</w:t>
      </w:r>
      <w:r>
        <w:rPr>
          <w:bCs/>
          <w:color w:val="000000"/>
        </w:rPr>
        <w:t>ем</w:t>
      </w:r>
      <w:r w:rsidR="007D3CC9">
        <w:rPr>
          <w:bCs/>
          <w:color w:val="000000"/>
        </w:rPr>
        <w:t>.</w:t>
      </w:r>
    </w:p>
    <w:p w14:paraId="4230F234" w14:textId="453E298B" w:rsidR="006C0FCF" w:rsidRPr="000F0299" w:rsidRDefault="0026273E" w:rsidP="00244E7C">
      <w:r>
        <w:t xml:space="preserve">Да би се </w:t>
      </w:r>
      <w:r w:rsidRPr="00E22FCF">
        <w:t>адекватно одговор</w:t>
      </w:r>
      <w:r>
        <w:t>ило</w:t>
      </w:r>
      <w:r w:rsidRPr="00E22FCF">
        <w:t xml:space="preserve"> на изазове, а </w:t>
      </w:r>
      <w:r>
        <w:t>да</w:t>
      </w:r>
      <w:r w:rsidRPr="00E22FCF">
        <w:t xml:space="preserve"> би се обезбедила свеобухватност у овој области, </w:t>
      </w:r>
      <w:r>
        <w:t>УЉР</w:t>
      </w:r>
      <w:r w:rsidRPr="00E22FCF">
        <w:t xml:space="preserve"> у јавној управи обухват</w:t>
      </w:r>
      <w:r>
        <w:t>и</w:t>
      </w:r>
      <w:r w:rsidRPr="00E22FCF">
        <w:t>ће три заокружене целине</w:t>
      </w:r>
      <w:r>
        <w:t>,</w:t>
      </w:r>
      <w:r w:rsidRPr="00E22FCF">
        <w:t xml:space="preserve"> и то: 1) унапређен процес регрутације у јавној управи, 2) ефикасан систем управљања каријером примењен у пракси </w:t>
      </w:r>
      <w:r w:rsidRPr="00E22FCF">
        <w:rPr>
          <w:rFonts w:eastAsia="Times New Roman"/>
          <w:lang w:eastAsia="de-DE"/>
        </w:rPr>
        <w:t xml:space="preserve">и 3) </w:t>
      </w:r>
      <w:r w:rsidRPr="00E22FCF">
        <w:t xml:space="preserve">развијен и </w:t>
      </w:r>
      <w:r>
        <w:t>примењен</w:t>
      </w:r>
      <w:r w:rsidRPr="00E22FCF">
        <w:t xml:space="preserve"> функционалан и иновативан систем стручног усавршавања и стручних испита у јавној управи заснован на анализи потреба </w:t>
      </w:r>
      <w:r>
        <w:t xml:space="preserve">за унапређењем </w:t>
      </w:r>
      <w:r w:rsidRPr="00E22FCF">
        <w:t>компетенциј</w:t>
      </w:r>
      <w:r>
        <w:t>а</w:t>
      </w:r>
      <w:r w:rsidRPr="00E22FCF">
        <w:t>, односно знањ</w:t>
      </w:r>
      <w:r>
        <w:t>а,</w:t>
      </w:r>
      <w:r w:rsidRPr="00E22FCF">
        <w:t xml:space="preserve"> вештин</w:t>
      </w:r>
      <w:r>
        <w:t>а</w:t>
      </w:r>
      <w:r w:rsidRPr="00E22FCF">
        <w:t xml:space="preserve"> и способности запослених у јавној управи</w:t>
      </w:r>
      <w:r>
        <w:t>.</w:t>
      </w:r>
    </w:p>
    <w:p w14:paraId="39430954" w14:textId="5BC9AFCF" w:rsidR="005822B0" w:rsidRPr="000F0299" w:rsidRDefault="005822B0">
      <w:pPr>
        <w:suppressAutoHyphens w:val="0"/>
        <w:autoSpaceDN/>
        <w:spacing w:before="0" w:after="160" w:line="259" w:lineRule="auto"/>
        <w:ind w:firstLine="0"/>
        <w:jc w:val="left"/>
        <w:textAlignment w:val="auto"/>
      </w:pPr>
      <w:r w:rsidRPr="000F0299">
        <w:br w:type="page"/>
      </w:r>
    </w:p>
    <w:p w14:paraId="6AC89C5D" w14:textId="290B7E13" w:rsidR="006C0FCF" w:rsidRPr="000F0299" w:rsidRDefault="00E706E9" w:rsidP="003616D6">
      <w:pPr>
        <w:pStyle w:val="Heading3"/>
        <w:rPr>
          <w:lang w:val="sr-Cyrl-RS"/>
        </w:rPr>
      </w:pPr>
      <w:bookmarkStart w:id="26" w:name="_Toc56725075"/>
      <w:bookmarkStart w:id="27" w:name="_Toc57661453"/>
      <w:r w:rsidRPr="000F0299">
        <w:rPr>
          <w:rStyle w:val="Hyperlink"/>
          <w:color w:val="4472C4" w:themeColor="accent1"/>
          <w:u w:val="none"/>
          <w:lang w:val="sr-Cyrl-RS"/>
        </w:rPr>
        <w:t>Посебан циљ и правци деловања</w:t>
      </w:r>
      <w:bookmarkEnd w:id="26"/>
      <w:bookmarkEnd w:id="27"/>
    </w:p>
    <w:p w14:paraId="2D239612" w14:textId="6A437526" w:rsidR="006C0FCF" w:rsidRPr="000F0299" w:rsidRDefault="0026273E" w:rsidP="00244E7C">
      <w:r w:rsidRPr="00E22FCF">
        <w:t>У наредних десет година правац реформи биће усмерен на добро вођену, професионалну, мотивисану и ефикасну јавн</w:t>
      </w:r>
      <w:r>
        <w:t>у</w:t>
      </w:r>
      <w:r w:rsidRPr="00E22FCF">
        <w:t xml:space="preserve"> управу, која је атрактиван послодавац, промовише заслуге и иновације, способна да спроведе циљеве државе и испуњава очекивања грађана</w:t>
      </w:r>
      <w:r>
        <w:t>.</w:t>
      </w:r>
    </w:p>
    <w:p w14:paraId="4940F4CC" w14:textId="3CDE67C3" w:rsidR="006C0FCF" w:rsidRPr="000F0299" w:rsidRDefault="0026273E" w:rsidP="005822B0">
      <w:pPr>
        <w:spacing w:after="0"/>
      </w:pPr>
      <w:r>
        <w:t>Да</w:t>
      </w:r>
      <w:r w:rsidRPr="00E22FCF">
        <w:t xml:space="preserve"> би се </w:t>
      </w:r>
      <w:r>
        <w:t xml:space="preserve">постигло да </w:t>
      </w:r>
      <w:r w:rsidRPr="00E22FCF">
        <w:t>јавн</w:t>
      </w:r>
      <w:r>
        <w:t>а</w:t>
      </w:r>
      <w:r w:rsidRPr="00E22FCF">
        <w:t xml:space="preserve"> управ</w:t>
      </w:r>
      <w:r>
        <w:t>а</w:t>
      </w:r>
      <w:r w:rsidRPr="00E22FCF">
        <w:t xml:space="preserve"> </w:t>
      </w:r>
      <w:r>
        <w:t xml:space="preserve">буде оријентисана </w:t>
      </w:r>
      <w:r w:rsidRPr="00E22FCF">
        <w:t>према грађанима</w:t>
      </w:r>
      <w:r>
        <w:t xml:space="preserve"> и</w:t>
      </w:r>
      <w:r w:rsidRPr="00E22FCF">
        <w:t xml:space="preserve"> истовремено подстицајна за запослене који остварују те интересе, циљ је обезбедити даљи развој службеничког система</w:t>
      </w:r>
      <w:r w:rsidR="006C0FCF" w:rsidRPr="000F0299">
        <w:t xml:space="preserve">: </w:t>
      </w:r>
    </w:p>
    <w:p w14:paraId="5BFC2228" w14:textId="5B321BCC" w:rsidR="006C0FCF" w:rsidRPr="000F0299" w:rsidRDefault="006C0FCF" w:rsidP="005822B0">
      <w:pPr>
        <w:spacing w:before="0"/>
      </w:pPr>
      <w:r w:rsidRPr="000F0299">
        <w:t>- Привлачењем и запошљавањем кадр</w:t>
      </w:r>
      <w:r w:rsidR="0026273E">
        <w:t>а</w:t>
      </w:r>
      <w:r w:rsidRPr="000F0299">
        <w:t xml:space="preserve"> са потребним компетенцијама (Посебан циљ 2.1.)</w:t>
      </w:r>
    </w:p>
    <w:p w14:paraId="72B72F85" w14:textId="77777777" w:rsidR="006C0FCF" w:rsidRPr="000F0299" w:rsidRDefault="006C0FCF" w:rsidP="00244E7C">
      <w:r w:rsidRPr="000F0299">
        <w:t>- Промовисањем и задржавањем компетентних и мотивисаних запослених који реализују своје каријерне циљеве у подстицајном окружењу (Посебан циљ 2.2).</w:t>
      </w:r>
    </w:p>
    <w:p w14:paraId="78A6FD18" w14:textId="77777777" w:rsidR="006C0FCF" w:rsidRPr="000F0299" w:rsidRDefault="006C0FCF" w:rsidP="00244E7C">
      <w:r w:rsidRPr="000F0299">
        <w:t>- Иновирањем система стручног усавршавања и стручних испита у јавној управи заснованих на анализи потреба за унапређењем компетенција, односно знања вештина и способности запослених у јавној управи  (Посебан циљ 2.3).</w:t>
      </w:r>
    </w:p>
    <w:p w14:paraId="2E1487D4" w14:textId="77777777" w:rsidR="006C0FCF" w:rsidRPr="000F0299" w:rsidRDefault="006C0FCF" w:rsidP="00244E7C">
      <w:pPr>
        <w:rPr>
          <w:b/>
          <w:bCs/>
        </w:rPr>
      </w:pPr>
      <w:r w:rsidRPr="000F0299">
        <w:rPr>
          <w:b/>
          <w:bCs/>
        </w:rPr>
        <w:t>Посебни циљ 2.1: Унапређен процес регрутације у јавној управи примењен у пракси</w:t>
      </w:r>
    </w:p>
    <w:p w14:paraId="54F7B6AB" w14:textId="6B6ADDEA" w:rsidR="00BB094F" w:rsidRPr="000F0299" w:rsidRDefault="0026273E" w:rsidP="00BB094F">
      <w:r w:rsidRPr="00E22FCF">
        <w:t>У оквиру овог циља очекује се да се до краја 2030. године државна управа сагледава као пожељ</w:t>
      </w:r>
      <w:r>
        <w:t>а</w:t>
      </w:r>
      <w:r w:rsidRPr="00E22FCF">
        <w:t>н послодавац</w:t>
      </w:r>
      <w:r>
        <w:t>,</w:t>
      </w:r>
      <w:r w:rsidRPr="00E22FCF">
        <w:t xml:space="preserve"> </w:t>
      </w:r>
      <w:r>
        <w:t xml:space="preserve">који </w:t>
      </w:r>
      <w:r w:rsidRPr="00E22FCF">
        <w:t>примењуј</w:t>
      </w:r>
      <w:r>
        <w:t>е</w:t>
      </w:r>
      <w:r w:rsidRPr="00E22FCF">
        <w:t xml:space="preserve"> транспарентне процедуре, бољ</w:t>
      </w:r>
      <w:r>
        <w:t>е</w:t>
      </w:r>
      <w:r w:rsidRPr="00E22FCF">
        <w:t xml:space="preserve"> идентифик</w:t>
      </w:r>
      <w:r>
        <w:t>ује</w:t>
      </w:r>
      <w:r w:rsidRPr="00E22FCF">
        <w:t xml:space="preserve"> потреб</w:t>
      </w:r>
      <w:r>
        <w:t>а</w:t>
      </w:r>
      <w:r w:rsidRPr="00E22FCF">
        <w:t>н кад</w:t>
      </w:r>
      <w:r>
        <w:t>а</w:t>
      </w:r>
      <w:r w:rsidRPr="00E22FCF">
        <w:t xml:space="preserve">р у државној управи, са одговарајућим компетенцијама потребним за рад, </w:t>
      </w:r>
      <w:r>
        <w:t xml:space="preserve">има </w:t>
      </w:r>
      <w:r w:rsidRPr="00E22FCF">
        <w:t xml:space="preserve">ефикасније процедуре запошљавања и одабир кандидата, као и избор лица на положају заснован на </w:t>
      </w:r>
      <w:r>
        <w:t xml:space="preserve">њиховим </w:t>
      </w:r>
      <w:r w:rsidRPr="00E22FCF">
        <w:t>заслугама</w:t>
      </w:r>
      <w:r w:rsidR="001B79FD">
        <w:t>.</w:t>
      </w:r>
    </w:p>
    <w:tbl>
      <w:tblPr>
        <w:tblW w:w="5000" w:type="pct"/>
        <w:shd w:val="clear" w:color="auto" w:fill="E7E6E6" w:themeFill="background2"/>
        <w:tblLook w:val="00A0" w:firstRow="1" w:lastRow="0" w:firstColumn="1" w:lastColumn="0" w:noHBand="0" w:noVBand="0"/>
      </w:tblPr>
      <w:tblGrid>
        <w:gridCol w:w="342"/>
        <w:gridCol w:w="4592"/>
        <w:gridCol w:w="1857"/>
        <w:gridCol w:w="1857"/>
        <w:gridCol w:w="332"/>
      </w:tblGrid>
      <w:tr w:rsidR="0044461C" w:rsidRPr="000F0299" w14:paraId="0B839267" w14:textId="77777777" w:rsidTr="00BB094F">
        <w:trPr>
          <w:trHeight w:val="20"/>
        </w:trPr>
        <w:tc>
          <w:tcPr>
            <w:tcW w:w="190" w:type="pct"/>
            <w:tcBorders>
              <w:top w:val="single" w:sz="18" w:space="0" w:color="C00000"/>
              <w:left w:val="single" w:sz="18" w:space="0" w:color="C00000"/>
            </w:tcBorders>
            <w:shd w:val="clear" w:color="auto" w:fill="F2F2F2" w:themeFill="background1" w:themeFillShade="F2"/>
          </w:tcPr>
          <w:p w14:paraId="580722E4" w14:textId="77777777" w:rsidR="0044461C" w:rsidRPr="000F0299" w:rsidRDefault="0044461C" w:rsidP="005822B0">
            <w:pPr>
              <w:spacing w:before="0"/>
              <w:ind w:firstLine="0"/>
              <w:rPr>
                <w:b/>
                <w:bCs/>
                <w:sz w:val="16"/>
                <w:szCs w:val="16"/>
              </w:rPr>
            </w:pPr>
          </w:p>
        </w:tc>
        <w:tc>
          <w:tcPr>
            <w:tcW w:w="2557" w:type="pct"/>
            <w:tcBorders>
              <w:top w:val="single" w:sz="18" w:space="0" w:color="C00000"/>
            </w:tcBorders>
            <w:shd w:val="clear" w:color="auto" w:fill="F2F2F2" w:themeFill="background1" w:themeFillShade="F2"/>
          </w:tcPr>
          <w:p w14:paraId="24D2736D" w14:textId="77777777" w:rsidR="0044461C" w:rsidRPr="000F0299" w:rsidRDefault="0044461C" w:rsidP="005822B0">
            <w:pPr>
              <w:spacing w:before="0"/>
              <w:ind w:firstLine="0"/>
              <w:rPr>
                <w:b/>
                <w:bCs/>
                <w:sz w:val="16"/>
                <w:szCs w:val="16"/>
              </w:rPr>
            </w:pPr>
          </w:p>
        </w:tc>
        <w:tc>
          <w:tcPr>
            <w:tcW w:w="1034" w:type="pct"/>
            <w:tcBorders>
              <w:top w:val="single" w:sz="18" w:space="0" w:color="C00000"/>
            </w:tcBorders>
            <w:shd w:val="clear" w:color="auto" w:fill="F2F2F2" w:themeFill="background1" w:themeFillShade="F2"/>
            <w:vAlign w:val="center"/>
          </w:tcPr>
          <w:p w14:paraId="38A2D3F8" w14:textId="77777777" w:rsidR="0044461C" w:rsidRPr="000F0299" w:rsidRDefault="0044461C" w:rsidP="005822B0">
            <w:pPr>
              <w:spacing w:before="0"/>
              <w:ind w:firstLine="0"/>
              <w:jc w:val="center"/>
              <w:rPr>
                <w:b/>
                <w:bCs/>
                <w:sz w:val="16"/>
                <w:szCs w:val="16"/>
              </w:rPr>
            </w:pPr>
          </w:p>
        </w:tc>
        <w:tc>
          <w:tcPr>
            <w:tcW w:w="1034" w:type="pct"/>
            <w:tcBorders>
              <w:top w:val="single" w:sz="18" w:space="0" w:color="C00000"/>
            </w:tcBorders>
            <w:shd w:val="clear" w:color="auto" w:fill="F2F2F2" w:themeFill="background1" w:themeFillShade="F2"/>
            <w:vAlign w:val="center"/>
          </w:tcPr>
          <w:p w14:paraId="04C2751C" w14:textId="77777777" w:rsidR="0044461C" w:rsidRPr="000F0299" w:rsidRDefault="0044461C" w:rsidP="005822B0">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F2F2F2" w:themeFill="background1" w:themeFillShade="F2"/>
          </w:tcPr>
          <w:p w14:paraId="33136E84" w14:textId="77777777" w:rsidR="0044461C" w:rsidRPr="000F0299" w:rsidRDefault="0044461C" w:rsidP="005822B0">
            <w:pPr>
              <w:spacing w:before="0"/>
              <w:ind w:firstLine="0"/>
              <w:jc w:val="center"/>
              <w:rPr>
                <w:b/>
                <w:bCs/>
                <w:sz w:val="16"/>
                <w:szCs w:val="16"/>
              </w:rPr>
            </w:pPr>
          </w:p>
        </w:tc>
      </w:tr>
      <w:tr w:rsidR="0044461C" w:rsidRPr="000F0299" w14:paraId="33AABA97" w14:textId="77777777" w:rsidTr="00BB094F">
        <w:trPr>
          <w:trHeight w:val="490"/>
        </w:trPr>
        <w:tc>
          <w:tcPr>
            <w:tcW w:w="190" w:type="pct"/>
            <w:tcBorders>
              <w:left w:val="single" w:sz="18" w:space="0" w:color="C00000"/>
            </w:tcBorders>
            <w:shd w:val="clear" w:color="auto" w:fill="F2F2F2" w:themeFill="background1" w:themeFillShade="F2"/>
          </w:tcPr>
          <w:p w14:paraId="519421BB" w14:textId="77777777" w:rsidR="0044461C" w:rsidRPr="000F0299" w:rsidRDefault="0044461C" w:rsidP="005822B0">
            <w:pPr>
              <w:spacing w:before="0"/>
              <w:ind w:firstLine="0"/>
              <w:rPr>
                <w:b/>
                <w:bCs/>
              </w:rPr>
            </w:pPr>
          </w:p>
        </w:tc>
        <w:tc>
          <w:tcPr>
            <w:tcW w:w="2557" w:type="pct"/>
            <w:tcBorders>
              <w:left w:val="nil"/>
              <w:bottom w:val="single" w:sz="18" w:space="0" w:color="C00000"/>
              <w:right w:val="single" w:sz="18" w:space="0" w:color="FFFFFF" w:themeColor="background1"/>
            </w:tcBorders>
            <w:shd w:val="clear" w:color="auto" w:fill="F2F2F2" w:themeFill="background1" w:themeFillShade="F2"/>
          </w:tcPr>
          <w:p w14:paraId="3ADED222" w14:textId="77777777" w:rsidR="0044461C" w:rsidRPr="000F0299" w:rsidRDefault="0044461C" w:rsidP="005822B0">
            <w:pPr>
              <w:spacing w:before="0"/>
              <w:ind w:firstLine="0"/>
              <w:rPr>
                <w:b/>
                <w:bCs/>
              </w:rPr>
            </w:pPr>
            <w:r w:rsidRPr="000F0299">
              <w:rPr>
                <w:b/>
                <w:bCs/>
              </w:rPr>
              <w:t>Показатељ исхода</w:t>
            </w:r>
          </w:p>
        </w:tc>
        <w:tc>
          <w:tcPr>
            <w:tcW w:w="1034"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11303BF8" w14:textId="77777777" w:rsidR="0044461C" w:rsidRPr="000F0299" w:rsidRDefault="0044461C" w:rsidP="005822B0">
            <w:pPr>
              <w:spacing w:before="0"/>
              <w:ind w:firstLine="0"/>
              <w:jc w:val="center"/>
              <w:rPr>
                <w:b/>
                <w:bCs/>
              </w:rPr>
            </w:pPr>
            <w:r w:rsidRPr="000F0299">
              <w:rPr>
                <w:b/>
                <w:bCs/>
              </w:rPr>
              <w:t>ПВ</w:t>
            </w:r>
          </w:p>
        </w:tc>
        <w:tc>
          <w:tcPr>
            <w:tcW w:w="1034" w:type="pct"/>
            <w:tcBorders>
              <w:left w:val="single" w:sz="18" w:space="0" w:color="FFFFFF" w:themeColor="background1"/>
              <w:bottom w:val="single" w:sz="18" w:space="0" w:color="C00000"/>
            </w:tcBorders>
            <w:shd w:val="clear" w:color="auto" w:fill="F2F2F2" w:themeFill="background1" w:themeFillShade="F2"/>
            <w:vAlign w:val="center"/>
          </w:tcPr>
          <w:p w14:paraId="03DFBEAE" w14:textId="3D92262A" w:rsidR="0044461C" w:rsidRPr="000F0299" w:rsidRDefault="0044461C" w:rsidP="005822B0">
            <w:pPr>
              <w:spacing w:before="0"/>
              <w:ind w:firstLine="0"/>
              <w:jc w:val="center"/>
              <w:rPr>
                <w:b/>
                <w:bCs/>
              </w:rPr>
            </w:pPr>
            <w:r w:rsidRPr="000F0299">
              <w:rPr>
                <w:b/>
                <w:bCs/>
              </w:rPr>
              <w:t>ЦВ</w:t>
            </w:r>
          </w:p>
        </w:tc>
        <w:tc>
          <w:tcPr>
            <w:tcW w:w="185" w:type="pct"/>
            <w:tcBorders>
              <w:right w:val="single" w:sz="18" w:space="0" w:color="C00000"/>
            </w:tcBorders>
            <w:shd w:val="clear" w:color="auto" w:fill="F2F2F2" w:themeFill="background1" w:themeFillShade="F2"/>
          </w:tcPr>
          <w:p w14:paraId="39A2BFF4" w14:textId="77777777" w:rsidR="0044461C" w:rsidRPr="000F0299" w:rsidRDefault="0044461C" w:rsidP="005822B0">
            <w:pPr>
              <w:spacing w:before="0"/>
              <w:ind w:firstLine="0"/>
              <w:jc w:val="center"/>
              <w:rPr>
                <w:b/>
                <w:bCs/>
              </w:rPr>
            </w:pPr>
          </w:p>
        </w:tc>
      </w:tr>
      <w:tr w:rsidR="0044461C" w:rsidRPr="000F0299" w14:paraId="6A598416" w14:textId="77777777" w:rsidTr="00BB094F">
        <w:trPr>
          <w:trHeight w:val="1082"/>
        </w:trPr>
        <w:tc>
          <w:tcPr>
            <w:tcW w:w="190" w:type="pct"/>
            <w:tcBorders>
              <w:left w:val="single" w:sz="18" w:space="0" w:color="C00000"/>
            </w:tcBorders>
            <w:shd w:val="clear" w:color="auto" w:fill="F2F2F2" w:themeFill="background1" w:themeFillShade="F2"/>
          </w:tcPr>
          <w:p w14:paraId="37C4FDEF" w14:textId="77777777" w:rsidR="0044461C" w:rsidRPr="000F0299" w:rsidRDefault="0044461C" w:rsidP="005822B0">
            <w:pPr>
              <w:spacing w:before="0"/>
              <w:ind w:firstLine="0"/>
            </w:pPr>
          </w:p>
        </w:tc>
        <w:tc>
          <w:tcPr>
            <w:tcW w:w="2557"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1B4E93D1" w14:textId="067CAE9E" w:rsidR="0044461C" w:rsidRPr="000F0299" w:rsidRDefault="0044461C" w:rsidP="005822B0">
            <w:pPr>
              <w:spacing w:before="0"/>
              <w:ind w:firstLine="0"/>
            </w:pPr>
            <w:r w:rsidRPr="000F0299">
              <w:t>Меритократија и ефикасност запошљавања државних службеника (</w:t>
            </w:r>
            <w:r w:rsidR="00615F5E" w:rsidRPr="00615F5E">
              <w:rPr>
                <w:i/>
                <w:iCs/>
                <w:lang w:val="en-GB"/>
              </w:rPr>
              <w:t>SIGMA</w:t>
            </w:r>
            <w:r w:rsidRPr="000F0299">
              <w:t xml:space="preserve"> принцип)</w:t>
            </w:r>
          </w:p>
        </w:tc>
        <w:tc>
          <w:tcPr>
            <w:tcW w:w="1034"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3089722C" w14:textId="01DBF23E" w:rsidR="0044461C" w:rsidRPr="000F0299" w:rsidRDefault="0044461C" w:rsidP="005822B0">
            <w:pPr>
              <w:spacing w:before="0"/>
              <w:ind w:firstLine="0"/>
            </w:pPr>
            <w:r w:rsidRPr="000F0299">
              <w:t>(2020): 3</w:t>
            </w:r>
          </w:p>
        </w:tc>
        <w:tc>
          <w:tcPr>
            <w:tcW w:w="1034"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75C98E53" w14:textId="1292EF36" w:rsidR="0044461C" w:rsidRPr="000F0299" w:rsidRDefault="0044461C" w:rsidP="005822B0">
            <w:pPr>
              <w:spacing w:before="0"/>
              <w:ind w:firstLine="0"/>
            </w:pPr>
            <w:r w:rsidRPr="000F0299">
              <w:t>(2021): 3</w:t>
            </w:r>
          </w:p>
          <w:p w14:paraId="29EF9913" w14:textId="48864B6D" w:rsidR="0044461C" w:rsidRPr="000F0299" w:rsidRDefault="0044461C" w:rsidP="005822B0">
            <w:pPr>
              <w:spacing w:before="0"/>
              <w:ind w:firstLine="0"/>
            </w:pPr>
            <w:r w:rsidRPr="000F0299">
              <w:t>(2022): 4</w:t>
            </w:r>
          </w:p>
          <w:p w14:paraId="63087F98" w14:textId="73FDA23B" w:rsidR="0044461C" w:rsidRPr="000F0299" w:rsidRDefault="0044461C" w:rsidP="005822B0">
            <w:pPr>
              <w:spacing w:before="0"/>
              <w:ind w:firstLine="0"/>
            </w:pPr>
            <w:r w:rsidRPr="000F0299">
              <w:t>(2023): 4</w:t>
            </w:r>
          </w:p>
          <w:p w14:paraId="6445A69F" w14:textId="53907E61" w:rsidR="0044461C" w:rsidRPr="000F0299" w:rsidRDefault="0044461C" w:rsidP="005822B0">
            <w:pPr>
              <w:spacing w:before="0"/>
              <w:ind w:firstLine="0"/>
            </w:pPr>
            <w:r w:rsidRPr="000F0299">
              <w:t>(2024): 4</w:t>
            </w:r>
          </w:p>
          <w:p w14:paraId="694D3F8E" w14:textId="78952815" w:rsidR="0044461C" w:rsidRPr="000F0299" w:rsidRDefault="0044461C" w:rsidP="005822B0">
            <w:pPr>
              <w:spacing w:before="0"/>
              <w:ind w:firstLine="0"/>
            </w:pPr>
            <w:r w:rsidRPr="000F0299">
              <w:t>(2025): 4</w:t>
            </w:r>
          </w:p>
          <w:p w14:paraId="5065F139" w14:textId="190A6A4B" w:rsidR="0044461C" w:rsidRPr="000F0299" w:rsidRDefault="0044461C" w:rsidP="00445217">
            <w:pPr>
              <w:spacing w:before="0"/>
              <w:ind w:firstLine="0"/>
            </w:pPr>
            <w:r w:rsidRPr="000F0299">
              <w:t>(2027): 5</w:t>
            </w:r>
          </w:p>
          <w:p w14:paraId="71E40746" w14:textId="2FD4DB01" w:rsidR="0044461C" w:rsidRPr="000F0299" w:rsidRDefault="0044461C" w:rsidP="005822B0">
            <w:pPr>
              <w:spacing w:before="0"/>
              <w:ind w:firstLine="0"/>
            </w:pPr>
            <w:r w:rsidRPr="000F0299">
              <w:t>(2030): 5</w:t>
            </w:r>
          </w:p>
        </w:tc>
        <w:tc>
          <w:tcPr>
            <w:tcW w:w="185" w:type="pct"/>
            <w:tcBorders>
              <w:right w:val="single" w:sz="18" w:space="0" w:color="C00000"/>
            </w:tcBorders>
            <w:shd w:val="clear" w:color="auto" w:fill="F2F2F2" w:themeFill="background1" w:themeFillShade="F2"/>
          </w:tcPr>
          <w:p w14:paraId="53F7F407" w14:textId="77777777" w:rsidR="0044461C" w:rsidRPr="000F0299" w:rsidRDefault="0044461C" w:rsidP="005822B0">
            <w:pPr>
              <w:spacing w:before="0"/>
              <w:ind w:firstLine="0"/>
            </w:pPr>
          </w:p>
        </w:tc>
      </w:tr>
      <w:tr w:rsidR="0044461C" w:rsidRPr="000F0299" w14:paraId="652151AA" w14:textId="77777777" w:rsidTr="00BB094F">
        <w:trPr>
          <w:trHeight w:val="340"/>
        </w:trPr>
        <w:tc>
          <w:tcPr>
            <w:tcW w:w="190" w:type="pct"/>
            <w:tcBorders>
              <w:left w:val="single" w:sz="18" w:space="0" w:color="C00000"/>
              <w:bottom w:val="single" w:sz="18" w:space="0" w:color="C00000"/>
            </w:tcBorders>
            <w:shd w:val="clear" w:color="auto" w:fill="F2F2F2" w:themeFill="background1" w:themeFillShade="F2"/>
          </w:tcPr>
          <w:p w14:paraId="072D2E24" w14:textId="77777777" w:rsidR="0044461C" w:rsidRPr="000F0299" w:rsidRDefault="0044461C" w:rsidP="005822B0">
            <w:pPr>
              <w:spacing w:before="0"/>
              <w:ind w:firstLine="0"/>
              <w:rPr>
                <w:sz w:val="16"/>
                <w:szCs w:val="16"/>
              </w:rPr>
            </w:pPr>
          </w:p>
        </w:tc>
        <w:tc>
          <w:tcPr>
            <w:tcW w:w="2557" w:type="pct"/>
            <w:tcBorders>
              <w:bottom w:val="single" w:sz="18" w:space="0" w:color="C00000"/>
            </w:tcBorders>
            <w:shd w:val="clear" w:color="auto" w:fill="F2F2F2" w:themeFill="background1" w:themeFillShade="F2"/>
          </w:tcPr>
          <w:p w14:paraId="6B4FCF00" w14:textId="77777777" w:rsidR="0044461C" w:rsidRPr="000F0299" w:rsidRDefault="0044461C" w:rsidP="005822B0">
            <w:pPr>
              <w:spacing w:before="0"/>
              <w:ind w:firstLine="0"/>
              <w:rPr>
                <w:sz w:val="16"/>
                <w:szCs w:val="16"/>
              </w:rPr>
            </w:pPr>
          </w:p>
        </w:tc>
        <w:tc>
          <w:tcPr>
            <w:tcW w:w="1034" w:type="pct"/>
            <w:tcBorders>
              <w:bottom w:val="single" w:sz="18" w:space="0" w:color="C00000"/>
            </w:tcBorders>
            <w:shd w:val="clear" w:color="auto" w:fill="F2F2F2" w:themeFill="background1" w:themeFillShade="F2"/>
          </w:tcPr>
          <w:p w14:paraId="6FC52E7B" w14:textId="77777777" w:rsidR="0044461C" w:rsidRPr="000F0299" w:rsidRDefault="0044461C" w:rsidP="005822B0">
            <w:pPr>
              <w:spacing w:before="0"/>
              <w:ind w:firstLine="0"/>
              <w:rPr>
                <w:sz w:val="16"/>
                <w:szCs w:val="16"/>
              </w:rPr>
            </w:pPr>
          </w:p>
        </w:tc>
        <w:tc>
          <w:tcPr>
            <w:tcW w:w="1034" w:type="pct"/>
            <w:tcBorders>
              <w:bottom w:val="single" w:sz="18" w:space="0" w:color="C00000"/>
            </w:tcBorders>
            <w:shd w:val="clear" w:color="auto" w:fill="F2F2F2" w:themeFill="background1" w:themeFillShade="F2"/>
          </w:tcPr>
          <w:p w14:paraId="42EF15AA" w14:textId="77777777" w:rsidR="0044461C" w:rsidRPr="000F0299" w:rsidRDefault="0044461C" w:rsidP="005822B0">
            <w:pPr>
              <w:spacing w:before="0"/>
              <w:ind w:firstLine="0"/>
              <w:rPr>
                <w:sz w:val="16"/>
                <w:szCs w:val="16"/>
              </w:rPr>
            </w:pPr>
          </w:p>
        </w:tc>
        <w:tc>
          <w:tcPr>
            <w:tcW w:w="185" w:type="pct"/>
            <w:tcBorders>
              <w:bottom w:val="single" w:sz="18" w:space="0" w:color="C00000"/>
              <w:right w:val="single" w:sz="18" w:space="0" w:color="C00000"/>
            </w:tcBorders>
            <w:shd w:val="clear" w:color="auto" w:fill="F2F2F2" w:themeFill="background1" w:themeFillShade="F2"/>
          </w:tcPr>
          <w:p w14:paraId="691EFEC9" w14:textId="77777777" w:rsidR="0044461C" w:rsidRPr="000F0299" w:rsidRDefault="0044461C" w:rsidP="005822B0">
            <w:pPr>
              <w:spacing w:before="0"/>
              <w:ind w:firstLine="0"/>
              <w:rPr>
                <w:sz w:val="16"/>
                <w:szCs w:val="16"/>
              </w:rPr>
            </w:pPr>
          </w:p>
        </w:tc>
      </w:tr>
    </w:tbl>
    <w:p w14:paraId="5636EDDB" w14:textId="3B52FD5F" w:rsidR="006C0FCF" w:rsidRPr="000F0299" w:rsidRDefault="00BB094F" w:rsidP="005822B0">
      <w:pPr>
        <w:spacing w:after="0"/>
      </w:pPr>
      <w:r w:rsidRPr="000F0299">
        <w:t xml:space="preserve">Да би се остварио </w:t>
      </w:r>
      <w:r w:rsidRPr="000F0299">
        <w:rPr>
          <w:b/>
          <w:bCs/>
        </w:rPr>
        <w:t xml:space="preserve">посебни циљ 2.1. </w:t>
      </w:r>
      <w:r w:rsidRPr="000F0299">
        <w:t>планира се спровођење следећих мера</w:t>
      </w:r>
      <w:r w:rsidR="006C0FCF" w:rsidRPr="000F0299">
        <w:t xml:space="preserve">: </w:t>
      </w:r>
    </w:p>
    <w:p w14:paraId="144FCC7E" w14:textId="6D394450" w:rsidR="006C0FCF" w:rsidRPr="000F0299" w:rsidRDefault="006C0FCF" w:rsidP="00E62A1A">
      <w:pPr>
        <w:pStyle w:val="ListParagraph"/>
        <w:numPr>
          <w:ilvl w:val="0"/>
          <w:numId w:val="27"/>
        </w:numPr>
        <w:spacing w:before="0"/>
      </w:pPr>
      <w:r w:rsidRPr="000F0299">
        <w:t>Унапређење кадровског планирања и промовисање државне управе као пожељног послодавца</w:t>
      </w:r>
      <w:r w:rsidR="001B79FD">
        <w:t>;</w:t>
      </w:r>
      <w:r w:rsidRPr="000F0299">
        <w:t xml:space="preserve"> </w:t>
      </w:r>
    </w:p>
    <w:p w14:paraId="5464C0C2" w14:textId="0F5E29EB" w:rsidR="006C0FCF" w:rsidRPr="000F0299" w:rsidRDefault="006C0FCF" w:rsidP="00E62A1A">
      <w:pPr>
        <w:pStyle w:val="ListParagraph"/>
        <w:numPr>
          <w:ilvl w:val="0"/>
          <w:numId w:val="27"/>
        </w:numPr>
      </w:pPr>
      <w:r w:rsidRPr="000F0299">
        <w:t>Унапређење процеса селекције и увођење новозапослених у посао</w:t>
      </w:r>
      <w:r w:rsidR="001B79FD">
        <w:t>;</w:t>
      </w:r>
    </w:p>
    <w:p w14:paraId="196F977E" w14:textId="3C1C13CE" w:rsidR="006C0FCF" w:rsidRPr="000F0299" w:rsidRDefault="006C0FCF" w:rsidP="00E62A1A">
      <w:pPr>
        <w:pStyle w:val="ListParagraph"/>
        <w:numPr>
          <w:ilvl w:val="0"/>
          <w:numId w:val="27"/>
        </w:numPr>
      </w:pPr>
      <w:r w:rsidRPr="000F0299">
        <w:t xml:space="preserve">Унапређење поступка попуњавања положаја заснованог на заслугама </w:t>
      </w:r>
    </w:p>
    <w:p w14:paraId="69138BD2" w14:textId="77777777" w:rsidR="006C0FCF" w:rsidRPr="000F0299" w:rsidRDefault="006C0FCF" w:rsidP="00244E7C">
      <w:pPr>
        <w:rPr>
          <w:b/>
          <w:bCs/>
        </w:rPr>
      </w:pPr>
      <w:r w:rsidRPr="000F0299">
        <w:rPr>
          <w:b/>
          <w:bCs/>
        </w:rPr>
        <w:t>Посебни циљ 2.2: Ефикасан систем управљања каријером примењен у пракси</w:t>
      </w:r>
    </w:p>
    <w:p w14:paraId="33E8627F" w14:textId="03B89747" w:rsidR="00BB094F" w:rsidRPr="000F0299" w:rsidRDefault="006C0FCF" w:rsidP="00BB094F">
      <w:r w:rsidRPr="000F0299">
        <w:t>До краја 2030. године у оквиру овог циља нагласак се ставља на привлачење и задржавање компетентних државних службеника</w:t>
      </w:r>
      <w:r w:rsidR="001B79FD">
        <w:t xml:space="preserve"> тако што ће се </w:t>
      </w:r>
      <w:r w:rsidR="001B79FD" w:rsidRPr="00E22FCF">
        <w:t>обезбе</w:t>
      </w:r>
      <w:r w:rsidR="001B79FD">
        <w:t>дити</w:t>
      </w:r>
      <w:r w:rsidR="001B79FD" w:rsidRPr="00E22FCF">
        <w:t xml:space="preserve"> услов</w:t>
      </w:r>
      <w:r w:rsidR="001B79FD">
        <w:t>и</w:t>
      </w:r>
      <w:r w:rsidR="001B79FD" w:rsidRPr="00E22FCF">
        <w:t xml:space="preserve"> за каријерни развој, иновације, јачу мотивацију и ширење мобилности. Радиће се на ефикасној функцији људских ресурса у државној управи и осигурању адекватног делегирања овлашћења у вези са </w:t>
      </w:r>
      <w:r w:rsidR="001B79FD">
        <w:t>УЉР</w:t>
      </w:r>
      <w:r w:rsidR="001B79FD" w:rsidRPr="00E22FCF">
        <w:t xml:space="preserve">, као и на професионализацији лица на положају ефикасном применом посебне политике за </w:t>
      </w:r>
      <w:r w:rsidR="001B79FD">
        <w:t>УЉР</w:t>
      </w:r>
      <w:r w:rsidR="001B79FD" w:rsidRPr="00E22FCF">
        <w:t xml:space="preserve"> за </w:t>
      </w:r>
      <w:r w:rsidR="001B79FD">
        <w:t>државне службенике на положају</w:t>
      </w:r>
      <w:r w:rsidRPr="000F0299">
        <w:t>.</w:t>
      </w:r>
    </w:p>
    <w:tbl>
      <w:tblPr>
        <w:tblW w:w="5000" w:type="pct"/>
        <w:shd w:val="clear" w:color="auto" w:fill="E7E6E6" w:themeFill="background2"/>
        <w:tblLook w:val="00A0" w:firstRow="1" w:lastRow="0" w:firstColumn="1" w:lastColumn="0" w:noHBand="0" w:noVBand="0"/>
      </w:tblPr>
      <w:tblGrid>
        <w:gridCol w:w="336"/>
        <w:gridCol w:w="4661"/>
        <w:gridCol w:w="1828"/>
        <w:gridCol w:w="1828"/>
        <w:gridCol w:w="327"/>
      </w:tblGrid>
      <w:tr w:rsidR="0044461C" w:rsidRPr="000F0299" w14:paraId="10D2622C" w14:textId="77777777" w:rsidTr="00BB094F">
        <w:trPr>
          <w:trHeight w:val="20"/>
        </w:trPr>
        <w:tc>
          <w:tcPr>
            <w:tcW w:w="187" w:type="pct"/>
            <w:tcBorders>
              <w:top w:val="single" w:sz="18" w:space="0" w:color="C00000"/>
              <w:left w:val="single" w:sz="18" w:space="0" w:color="C00000"/>
            </w:tcBorders>
            <w:shd w:val="clear" w:color="auto" w:fill="F2F2F2" w:themeFill="background1" w:themeFillShade="F2"/>
          </w:tcPr>
          <w:p w14:paraId="7AA240E5" w14:textId="77777777" w:rsidR="0044461C" w:rsidRPr="000F0299" w:rsidRDefault="0044461C" w:rsidP="005822B0">
            <w:pPr>
              <w:spacing w:before="0"/>
              <w:ind w:firstLine="0"/>
              <w:rPr>
                <w:b/>
                <w:bCs/>
                <w:sz w:val="16"/>
                <w:szCs w:val="16"/>
              </w:rPr>
            </w:pPr>
          </w:p>
        </w:tc>
        <w:tc>
          <w:tcPr>
            <w:tcW w:w="2595" w:type="pct"/>
            <w:tcBorders>
              <w:top w:val="single" w:sz="18" w:space="0" w:color="C00000"/>
            </w:tcBorders>
            <w:shd w:val="clear" w:color="auto" w:fill="F2F2F2" w:themeFill="background1" w:themeFillShade="F2"/>
          </w:tcPr>
          <w:p w14:paraId="3DA07F09" w14:textId="77777777" w:rsidR="0044461C" w:rsidRPr="000F0299" w:rsidRDefault="0044461C" w:rsidP="005822B0">
            <w:pPr>
              <w:spacing w:before="0"/>
              <w:ind w:firstLine="0"/>
              <w:rPr>
                <w:b/>
                <w:bCs/>
                <w:sz w:val="16"/>
                <w:szCs w:val="16"/>
              </w:rPr>
            </w:pPr>
          </w:p>
        </w:tc>
        <w:tc>
          <w:tcPr>
            <w:tcW w:w="1018" w:type="pct"/>
            <w:tcBorders>
              <w:top w:val="single" w:sz="18" w:space="0" w:color="C00000"/>
            </w:tcBorders>
            <w:shd w:val="clear" w:color="auto" w:fill="F2F2F2" w:themeFill="background1" w:themeFillShade="F2"/>
            <w:vAlign w:val="center"/>
          </w:tcPr>
          <w:p w14:paraId="51366132" w14:textId="77777777" w:rsidR="0044461C" w:rsidRPr="000F0299" w:rsidRDefault="0044461C" w:rsidP="005822B0">
            <w:pPr>
              <w:spacing w:before="0"/>
              <w:ind w:firstLine="0"/>
              <w:jc w:val="center"/>
              <w:rPr>
                <w:b/>
                <w:bCs/>
                <w:sz w:val="16"/>
                <w:szCs w:val="16"/>
              </w:rPr>
            </w:pPr>
          </w:p>
        </w:tc>
        <w:tc>
          <w:tcPr>
            <w:tcW w:w="1018" w:type="pct"/>
            <w:tcBorders>
              <w:top w:val="single" w:sz="18" w:space="0" w:color="C00000"/>
            </w:tcBorders>
            <w:shd w:val="clear" w:color="auto" w:fill="F2F2F2" w:themeFill="background1" w:themeFillShade="F2"/>
            <w:vAlign w:val="center"/>
          </w:tcPr>
          <w:p w14:paraId="42AA0CAD" w14:textId="77777777" w:rsidR="0044461C" w:rsidRPr="000F0299" w:rsidRDefault="0044461C" w:rsidP="005822B0">
            <w:pPr>
              <w:spacing w:before="0"/>
              <w:ind w:firstLine="0"/>
              <w:jc w:val="center"/>
              <w:rPr>
                <w:b/>
                <w:bCs/>
                <w:sz w:val="16"/>
                <w:szCs w:val="16"/>
              </w:rPr>
            </w:pPr>
          </w:p>
        </w:tc>
        <w:tc>
          <w:tcPr>
            <w:tcW w:w="182" w:type="pct"/>
            <w:tcBorders>
              <w:top w:val="single" w:sz="18" w:space="0" w:color="C00000"/>
              <w:right w:val="single" w:sz="18" w:space="0" w:color="C00000"/>
            </w:tcBorders>
            <w:shd w:val="clear" w:color="auto" w:fill="F2F2F2" w:themeFill="background1" w:themeFillShade="F2"/>
          </w:tcPr>
          <w:p w14:paraId="10B52829" w14:textId="77777777" w:rsidR="0044461C" w:rsidRPr="000F0299" w:rsidRDefault="0044461C" w:rsidP="005822B0">
            <w:pPr>
              <w:spacing w:before="0"/>
              <w:ind w:firstLine="0"/>
              <w:jc w:val="center"/>
              <w:rPr>
                <w:b/>
                <w:bCs/>
                <w:sz w:val="16"/>
                <w:szCs w:val="16"/>
              </w:rPr>
            </w:pPr>
          </w:p>
        </w:tc>
      </w:tr>
      <w:tr w:rsidR="0044461C" w:rsidRPr="000F0299" w14:paraId="20D4C3ED" w14:textId="77777777" w:rsidTr="00BB094F">
        <w:trPr>
          <w:trHeight w:val="490"/>
        </w:trPr>
        <w:tc>
          <w:tcPr>
            <w:tcW w:w="187" w:type="pct"/>
            <w:tcBorders>
              <w:left w:val="single" w:sz="18" w:space="0" w:color="C00000"/>
            </w:tcBorders>
            <w:shd w:val="clear" w:color="auto" w:fill="F2F2F2" w:themeFill="background1" w:themeFillShade="F2"/>
          </w:tcPr>
          <w:p w14:paraId="720CEB14" w14:textId="77777777" w:rsidR="0044461C" w:rsidRPr="000F0299" w:rsidRDefault="0044461C" w:rsidP="005822B0">
            <w:pPr>
              <w:spacing w:before="0"/>
              <w:ind w:firstLine="0"/>
              <w:rPr>
                <w:b/>
                <w:bCs/>
              </w:rPr>
            </w:pPr>
          </w:p>
        </w:tc>
        <w:tc>
          <w:tcPr>
            <w:tcW w:w="2595" w:type="pct"/>
            <w:tcBorders>
              <w:left w:val="nil"/>
              <w:bottom w:val="single" w:sz="18" w:space="0" w:color="C00000"/>
              <w:right w:val="single" w:sz="18" w:space="0" w:color="FFFFFF" w:themeColor="background1"/>
            </w:tcBorders>
            <w:shd w:val="clear" w:color="auto" w:fill="F2F2F2" w:themeFill="background1" w:themeFillShade="F2"/>
          </w:tcPr>
          <w:p w14:paraId="74A347D6" w14:textId="77777777" w:rsidR="0044461C" w:rsidRPr="000F0299" w:rsidRDefault="0044461C" w:rsidP="005822B0">
            <w:pPr>
              <w:spacing w:before="0"/>
              <w:ind w:firstLine="0"/>
              <w:rPr>
                <w:b/>
                <w:bCs/>
              </w:rPr>
            </w:pPr>
            <w:r w:rsidRPr="000F0299">
              <w:rPr>
                <w:b/>
                <w:bCs/>
              </w:rPr>
              <w:t>Показатељ исхода</w:t>
            </w:r>
          </w:p>
        </w:tc>
        <w:tc>
          <w:tcPr>
            <w:tcW w:w="1018"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3707DA66" w14:textId="77777777" w:rsidR="0044461C" w:rsidRPr="000F0299" w:rsidRDefault="0044461C" w:rsidP="005822B0">
            <w:pPr>
              <w:spacing w:before="0"/>
              <w:ind w:firstLine="0"/>
              <w:jc w:val="center"/>
              <w:rPr>
                <w:b/>
                <w:bCs/>
              </w:rPr>
            </w:pPr>
            <w:r w:rsidRPr="000F0299">
              <w:rPr>
                <w:b/>
                <w:bCs/>
              </w:rPr>
              <w:t>ПВ</w:t>
            </w:r>
          </w:p>
        </w:tc>
        <w:tc>
          <w:tcPr>
            <w:tcW w:w="1018" w:type="pct"/>
            <w:tcBorders>
              <w:left w:val="single" w:sz="18" w:space="0" w:color="FFFFFF" w:themeColor="background1"/>
              <w:bottom w:val="single" w:sz="18" w:space="0" w:color="C00000"/>
            </w:tcBorders>
            <w:shd w:val="clear" w:color="auto" w:fill="F2F2F2" w:themeFill="background1" w:themeFillShade="F2"/>
            <w:vAlign w:val="center"/>
          </w:tcPr>
          <w:p w14:paraId="46568078" w14:textId="38AA910E" w:rsidR="0044461C" w:rsidRPr="000F0299" w:rsidRDefault="0044461C" w:rsidP="005822B0">
            <w:pPr>
              <w:spacing w:before="0"/>
              <w:ind w:firstLine="0"/>
              <w:jc w:val="center"/>
              <w:rPr>
                <w:b/>
                <w:bCs/>
              </w:rPr>
            </w:pPr>
            <w:r w:rsidRPr="000F0299">
              <w:rPr>
                <w:b/>
                <w:bCs/>
              </w:rPr>
              <w:t>ЦВ</w:t>
            </w:r>
          </w:p>
        </w:tc>
        <w:tc>
          <w:tcPr>
            <w:tcW w:w="182" w:type="pct"/>
            <w:tcBorders>
              <w:right w:val="single" w:sz="18" w:space="0" w:color="C00000"/>
            </w:tcBorders>
            <w:shd w:val="clear" w:color="auto" w:fill="F2F2F2" w:themeFill="background1" w:themeFillShade="F2"/>
          </w:tcPr>
          <w:p w14:paraId="7F8B5F52" w14:textId="77777777" w:rsidR="0044461C" w:rsidRPr="000F0299" w:rsidRDefault="0044461C" w:rsidP="005822B0">
            <w:pPr>
              <w:spacing w:before="0"/>
              <w:ind w:firstLine="0"/>
              <w:jc w:val="center"/>
              <w:rPr>
                <w:b/>
                <w:bCs/>
              </w:rPr>
            </w:pPr>
          </w:p>
        </w:tc>
      </w:tr>
      <w:tr w:rsidR="0044461C" w:rsidRPr="000F0299" w14:paraId="2033343A" w14:textId="77777777" w:rsidTr="00BB094F">
        <w:trPr>
          <w:trHeight w:val="1082"/>
        </w:trPr>
        <w:tc>
          <w:tcPr>
            <w:tcW w:w="187" w:type="pct"/>
            <w:tcBorders>
              <w:left w:val="single" w:sz="18" w:space="0" w:color="C00000"/>
            </w:tcBorders>
            <w:shd w:val="clear" w:color="auto" w:fill="F2F2F2" w:themeFill="background1" w:themeFillShade="F2"/>
          </w:tcPr>
          <w:p w14:paraId="1D6D2DBF" w14:textId="77777777" w:rsidR="0044461C" w:rsidRPr="000F0299" w:rsidRDefault="0044461C" w:rsidP="005822B0">
            <w:pPr>
              <w:spacing w:before="0"/>
              <w:ind w:firstLine="0"/>
            </w:pPr>
          </w:p>
        </w:tc>
        <w:tc>
          <w:tcPr>
            <w:tcW w:w="2595"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0080B947" w14:textId="1641F4EE" w:rsidR="0044461C" w:rsidRPr="000F0299" w:rsidRDefault="0044461C" w:rsidP="005822B0">
            <w:pPr>
              <w:spacing w:before="0"/>
              <w:ind w:firstLine="0"/>
            </w:pPr>
            <w:r w:rsidRPr="000F0299">
              <w:t>Степен у ком је развијен систем за управљање каријером државних службеника</w:t>
            </w:r>
          </w:p>
        </w:tc>
        <w:tc>
          <w:tcPr>
            <w:tcW w:w="1018"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655097CE" w14:textId="63FB1DA3" w:rsidR="0044461C" w:rsidRPr="000F0299" w:rsidRDefault="0044461C" w:rsidP="005822B0">
            <w:pPr>
              <w:spacing w:before="0"/>
              <w:ind w:firstLine="0"/>
            </w:pPr>
            <w:r w:rsidRPr="000F0299">
              <w:t>(2020): 1</w:t>
            </w:r>
          </w:p>
        </w:tc>
        <w:tc>
          <w:tcPr>
            <w:tcW w:w="1018"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30785EAD" w14:textId="0B0F1439" w:rsidR="0044461C" w:rsidRPr="000F0299" w:rsidRDefault="0044461C" w:rsidP="005822B0">
            <w:pPr>
              <w:spacing w:before="0"/>
              <w:ind w:firstLine="0"/>
            </w:pPr>
            <w:r w:rsidRPr="000F0299">
              <w:t>(2021): 1</w:t>
            </w:r>
          </w:p>
          <w:p w14:paraId="14D4EC64" w14:textId="5577984C" w:rsidR="0044461C" w:rsidRPr="000F0299" w:rsidRDefault="0044461C" w:rsidP="005822B0">
            <w:pPr>
              <w:spacing w:before="0"/>
              <w:ind w:firstLine="0"/>
            </w:pPr>
            <w:r w:rsidRPr="000F0299">
              <w:t>(2022): 1</w:t>
            </w:r>
          </w:p>
          <w:p w14:paraId="477D6E20" w14:textId="1090DBA4" w:rsidR="0044461C" w:rsidRPr="000F0299" w:rsidRDefault="0044461C" w:rsidP="005822B0">
            <w:pPr>
              <w:spacing w:before="0"/>
              <w:ind w:firstLine="0"/>
            </w:pPr>
            <w:r w:rsidRPr="000F0299">
              <w:t>(2023): 2</w:t>
            </w:r>
          </w:p>
          <w:p w14:paraId="31F6AB80" w14:textId="5BFE412F" w:rsidR="0044461C" w:rsidRPr="000F0299" w:rsidRDefault="0044461C" w:rsidP="005822B0">
            <w:pPr>
              <w:spacing w:before="0"/>
              <w:ind w:firstLine="0"/>
            </w:pPr>
            <w:r w:rsidRPr="000F0299">
              <w:t>(2024): 3</w:t>
            </w:r>
          </w:p>
          <w:p w14:paraId="5F1E1A3A" w14:textId="77777777" w:rsidR="0044461C" w:rsidRPr="000F0299" w:rsidRDefault="0044461C" w:rsidP="005822B0">
            <w:pPr>
              <w:spacing w:before="0"/>
              <w:ind w:firstLine="0"/>
            </w:pPr>
            <w:r w:rsidRPr="000F0299">
              <w:t>(2025): 4</w:t>
            </w:r>
          </w:p>
          <w:p w14:paraId="20E0FCE9" w14:textId="558C37EB" w:rsidR="0044461C" w:rsidRPr="000F0299" w:rsidRDefault="0044461C" w:rsidP="005822B0">
            <w:pPr>
              <w:spacing w:before="0"/>
              <w:ind w:firstLine="0"/>
            </w:pPr>
            <w:r w:rsidRPr="000F0299">
              <w:t>(2027): 4</w:t>
            </w:r>
          </w:p>
          <w:p w14:paraId="72534850" w14:textId="59E26156" w:rsidR="0044461C" w:rsidRPr="000F0299" w:rsidRDefault="0044461C" w:rsidP="005822B0">
            <w:pPr>
              <w:spacing w:before="0"/>
              <w:ind w:firstLine="0"/>
            </w:pPr>
            <w:r w:rsidRPr="000F0299">
              <w:t>(2030): 4</w:t>
            </w:r>
          </w:p>
        </w:tc>
        <w:tc>
          <w:tcPr>
            <w:tcW w:w="182" w:type="pct"/>
            <w:tcBorders>
              <w:right w:val="single" w:sz="18" w:space="0" w:color="C00000"/>
            </w:tcBorders>
            <w:shd w:val="clear" w:color="auto" w:fill="F2F2F2" w:themeFill="background1" w:themeFillShade="F2"/>
          </w:tcPr>
          <w:p w14:paraId="000A24D2" w14:textId="77777777" w:rsidR="0044461C" w:rsidRPr="000F0299" w:rsidRDefault="0044461C" w:rsidP="005822B0">
            <w:pPr>
              <w:spacing w:before="0"/>
              <w:ind w:firstLine="0"/>
            </w:pPr>
          </w:p>
        </w:tc>
      </w:tr>
      <w:tr w:rsidR="0044461C" w:rsidRPr="000F0299" w14:paraId="66176F4C" w14:textId="77777777" w:rsidTr="00BB094F">
        <w:trPr>
          <w:trHeight w:val="340"/>
        </w:trPr>
        <w:tc>
          <w:tcPr>
            <w:tcW w:w="187" w:type="pct"/>
            <w:tcBorders>
              <w:left w:val="single" w:sz="18" w:space="0" w:color="C00000"/>
              <w:bottom w:val="single" w:sz="18" w:space="0" w:color="C00000"/>
            </w:tcBorders>
            <w:shd w:val="clear" w:color="auto" w:fill="F2F2F2" w:themeFill="background1" w:themeFillShade="F2"/>
          </w:tcPr>
          <w:p w14:paraId="676767CA" w14:textId="77777777" w:rsidR="0044461C" w:rsidRPr="000F0299" w:rsidRDefault="0044461C" w:rsidP="005822B0">
            <w:pPr>
              <w:spacing w:before="0"/>
              <w:ind w:firstLine="0"/>
              <w:rPr>
                <w:sz w:val="16"/>
                <w:szCs w:val="16"/>
              </w:rPr>
            </w:pPr>
          </w:p>
        </w:tc>
        <w:tc>
          <w:tcPr>
            <w:tcW w:w="2595" w:type="pct"/>
            <w:tcBorders>
              <w:bottom w:val="single" w:sz="18" w:space="0" w:color="C00000"/>
            </w:tcBorders>
            <w:shd w:val="clear" w:color="auto" w:fill="F2F2F2" w:themeFill="background1" w:themeFillShade="F2"/>
          </w:tcPr>
          <w:p w14:paraId="0505AC3E" w14:textId="77777777" w:rsidR="0044461C" w:rsidRPr="000F0299" w:rsidRDefault="0044461C" w:rsidP="005822B0">
            <w:pPr>
              <w:spacing w:before="0"/>
              <w:ind w:firstLine="0"/>
              <w:rPr>
                <w:sz w:val="16"/>
                <w:szCs w:val="16"/>
              </w:rPr>
            </w:pPr>
          </w:p>
        </w:tc>
        <w:tc>
          <w:tcPr>
            <w:tcW w:w="1018" w:type="pct"/>
            <w:tcBorders>
              <w:bottom w:val="single" w:sz="18" w:space="0" w:color="C00000"/>
            </w:tcBorders>
            <w:shd w:val="clear" w:color="auto" w:fill="F2F2F2" w:themeFill="background1" w:themeFillShade="F2"/>
          </w:tcPr>
          <w:p w14:paraId="45AD83AA" w14:textId="77777777" w:rsidR="0044461C" w:rsidRPr="000F0299" w:rsidRDefault="0044461C" w:rsidP="005822B0">
            <w:pPr>
              <w:spacing w:before="0"/>
              <w:ind w:firstLine="0"/>
              <w:rPr>
                <w:sz w:val="16"/>
                <w:szCs w:val="16"/>
              </w:rPr>
            </w:pPr>
          </w:p>
        </w:tc>
        <w:tc>
          <w:tcPr>
            <w:tcW w:w="1018" w:type="pct"/>
            <w:tcBorders>
              <w:bottom w:val="single" w:sz="18" w:space="0" w:color="C00000"/>
            </w:tcBorders>
            <w:shd w:val="clear" w:color="auto" w:fill="F2F2F2" w:themeFill="background1" w:themeFillShade="F2"/>
          </w:tcPr>
          <w:p w14:paraId="3596B2C5" w14:textId="77777777" w:rsidR="0044461C" w:rsidRPr="000F0299" w:rsidRDefault="0044461C" w:rsidP="005822B0">
            <w:pPr>
              <w:spacing w:before="0"/>
              <w:ind w:firstLine="0"/>
              <w:rPr>
                <w:sz w:val="16"/>
                <w:szCs w:val="16"/>
              </w:rPr>
            </w:pPr>
          </w:p>
        </w:tc>
        <w:tc>
          <w:tcPr>
            <w:tcW w:w="182" w:type="pct"/>
            <w:tcBorders>
              <w:bottom w:val="single" w:sz="18" w:space="0" w:color="C00000"/>
              <w:right w:val="single" w:sz="18" w:space="0" w:color="C00000"/>
            </w:tcBorders>
            <w:shd w:val="clear" w:color="auto" w:fill="F2F2F2" w:themeFill="background1" w:themeFillShade="F2"/>
          </w:tcPr>
          <w:p w14:paraId="715507C1" w14:textId="77777777" w:rsidR="0044461C" w:rsidRPr="000F0299" w:rsidRDefault="0044461C" w:rsidP="005822B0">
            <w:pPr>
              <w:spacing w:before="0"/>
              <w:ind w:firstLine="0"/>
              <w:rPr>
                <w:sz w:val="16"/>
                <w:szCs w:val="16"/>
              </w:rPr>
            </w:pPr>
          </w:p>
        </w:tc>
      </w:tr>
    </w:tbl>
    <w:p w14:paraId="55B3B778" w14:textId="7CE9F452" w:rsidR="006C0FCF" w:rsidRPr="000F0299" w:rsidRDefault="00BB094F" w:rsidP="005E21C5">
      <w:pPr>
        <w:spacing w:after="0"/>
      </w:pPr>
      <w:r w:rsidRPr="000F0299">
        <w:t xml:space="preserve">Остварење </w:t>
      </w:r>
      <w:r w:rsidRPr="000F0299">
        <w:rPr>
          <w:b/>
        </w:rPr>
        <w:t>посебног циља 2.2.</w:t>
      </w:r>
      <w:r w:rsidRPr="000F0299">
        <w:t xml:space="preserve"> </w:t>
      </w:r>
      <w:r w:rsidR="006C0FCF" w:rsidRPr="000F0299">
        <w:t xml:space="preserve">и успостављање ефикасног система управљања каријером постићи ће се спровођењем следећих мера: </w:t>
      </w:r>
    </w:p>
    <w:p w14:paraId="6A924ABC" w14:textId="47B927F2" w:rsidR="006C0FCF" w:rsidRPr="000F0299" w:rsidRDefault="002F1B51" w:rsidP="00E62A1A">
      <w:pPr>
        <w:pStyle w:val="ListParagraph"/>
        <w:numPr>
          <w:ilvl w:val="0"/>
          <w:numId w:val="26"/>
        </w:numPr>
        <w:spacing w:before="0" w:line="257" w:lineRule="auto"/>
        <w:ind w:left="714" w:hanging="357"/>
      </w:pPr>
      <w:r>
        <w:t>Р</w:t>
      </w:r>
      <w:r w:rsidR="006C0FCF" w:rsidRPr="000F0299">
        <w:t>азвој окружења за ефикасног, иновативног и мотивисаног државног службеника</w:t>
      </w:r>
      <w:r w:rsidR="005767A5">
        <w:t>;</w:t>
      </w:r>
    </w:p>
    <w:p w14:paraId="094A0DD4" w14:textId="63F80913" w:rsidR="006C0FCF" w:rsidRPr="000F0299" w:rsidRDefault="002F1B51" w:rsidP="00E62A1A">
      <w:pPr>
        <w:pStyle w:val="ListParagraph"/>
        <w:numPr>
          <w:ilvl w:val="0"/>
          <w:numId w:val="26"/>
        </w:numPr>
        <w:ind w:left="709"/>
      </w:pPr>
      <w:r>
        <w:t>Р</w:t>
      </w:r>
      <w:r w:rsidR="006C0FCF" w:rsidRPr="000F0299">
        <w:t>азвој институционалних и административних капацитета за управљање људским ресурсима</w:t>
      </w:r>
      <w:r w:rsidR="005767A5">
        <w:t>;</w:t>
      </w:r>
      <w:r w:rsidR="006C0FCF" w:rsidRPr="000F0299">
        <w:t xml:space="preserve"> </w:t>
      </w:r>
    </w:p>
    <w:p w14:paraId="79013755" w14:textId="187BFC63" w:rsidR="006C0FCF" w:rsidRPr="000F0299" w:rsidRDefault="002F1B51" w:rsidP="00E62A1A">
      <w:pPr>
        <w:pStyle w:val="ListParagraph"/>
        <w:numPr>
          <w:ilvl w:val="0"/>
          <w:numId w:val="26"/>
        </w:numPr>
        <w:ind w:left="709"/>
      </w:pPr>
      <w:r>
        <w:t>Ј</w:t>
      </w:r>
      <w:r w:rsidR="006C0FCF" w:rsidRPr="000F0299">
        <w:t>ачање професионализације лица на положају/руководилаца</w:t>
      </w:r>
      <w:r w:rsidR="005767A5">
        <w:t>.</w:t>
      </w:r>
    </w:p>
    <w:p w14:paraId="35C4B247" w14:textId="130D79EA" w:rsidR="006C0FCF" w:rsidRPr="008F36EC" w:rsidRDefault="006C0FCF" w:rsidP="00244E7C">
      <w:pPr>
        <w:rPr>
          <w:b/>
          <w:bCs/>
        </w:rPr>
      </w:pPr>
      <w:r w:rsidRPr="000F0299">
        <w:rPr>
          <w:b/>
          <w:bCs/>
        </w:rPr>
        <w:t xml:space="preserve">Посебни циљ 2.3: Развијен и </w:t>
      </w:r>
      <w:r w:rsidR="005767A5">
        <w:rPr>
          <w:b/>
          <w:bCs/>
        </w:rPr>
        <w:t xml:space="preserve">примењен </w:t>
      </w:r>
      <w:r w:rsidRPr="000F0299">
        <w:rPr>
          <w:b/>
          <w:bCs/>
        </w:rPr>
        <w:t>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w:t>
      </w:r>
      <w:r w:rsidR="005244C1" w:rsidRPr="008F36EC">
        <w:rPr>
          <w:b/>
          <w:bCs/>
        </w:rPr>
        <w:t>,</w:t>
      </w:r>
      <w:r w:rsidRPr="000F0299">
        <w:rPr>
          <w:b/>
          <w:bCs/>
        </w:rPr>
        <w:t xml:space="preserve"> вештина и способности запослених</w:t>
      </w:r>
    </w:p>
    <w:p w14:paraId="28F90759" w14:textId="376996C9" w:rsidR="006C0FCF" w:rsidRPr="000F0299" w:rsidRDefault="006C0FCF" w:rsidP="00244E7C">
      <w:r w:rsidRPr="000F0299">
        <w:t>Циљ обухвата даљу изградњу функционалног и иновативног система стручног усавршавања у свим деловима јавне управе и његово повезивање са областима које интерферирају концепту целоживотног учења и систему образовања. При томе, реформски процес се шири и на област стручних испита у систему државне управе у Републици Србији, која је до сада неоправдано била изван развојних процеса и унапређења која могу да допринесу пожељној компетентности запослених у јавној управи. Очекује се даљи процес осавремењивања програма обуке и њиховог прилагођавања потребама система коме су намењени и запослених у њему, као и стандардизације процеса.</w:t>
      </w:r>
    </w:p>
    <w:tbl>
      <w:tblPr>
        <w:tblW w:w="5000" w:type="pct"/>
        <w:shd w:val="clear" w:color="auto" w:fill="E7E6E6" w:themeFill="background2"/>
        <w:tblLook w:val="00A0" w:firstRow="1" w:lastRow="0" w:firstColumn="1" w:lastColumn="0" w:noHBand="0" w:noVBand="0"/>
      </w:tblPr>
      <w:tblGrid>
        <w:gridCol w:w="331"/>
        <w:gridCol w:w="4726"/>
        <w:gridCol w:w="1801"/>
        <w:gridCol w:w="1801"/>
        <w:gridCol w:w="321"/>
      </w:tblGrid>
      <w:tr w:rsidR="0044461C" w:rsidRPr="000F0299" w14:paraId="309CAB5F" w14:textId="77777777" w:rsidTr="0044461C">
        <w:trPr>
          <w:trHeight w:val="20"/>
        </w:trPr>
        <w:tc>
          <w:tcPr>
            <w:tcW w:w="184" w:type="pct"/>
            <w:tcBorders>
              <w:top w:val="single" w:sz="18" w:space="0" w:color="C00000"/>
              <w:left w:val="single" w:sz="18" w:space="0" w:color="C00000"/>
            </w:tcBorders>
            <w:shd w:val="clear" w:color="auto" w:fill="F2F2F2" w:themeFill="background1" w:themeFillShade="F2"/>
          </w:tcPr>
          <w:p w14:paraId="37EE823C" w14:textId="77777777" w:rsidR="0044461C" w:rsidRPr="000F0299" w:rsidRDefault="0044461C" w:rsidP="005822B0">
            <w:pPr>
              <w:spacing w:before="0"/>
              <w:ind w:firstLine="0"/>
              <w:rPr>
                <w:b/>
                <w:bCs/>
                <w:sz w:val="16"/>
                <w:szCs w:val="16"/>
              </w:rPr>
            </w:pPr>
          </w:p>
        </w:tc>
        <w:tc>
          <w:tcPr>
            <w:tcW w:w="2631" w:type="pct"/>
            <w:tcBorders>
              <w:top w:val="single" w:sz="18" w:space="0" w:color="C00000"/>
            </w:tcBorders>
            <w:shd w:val="clear" w:color="auto" w:fill="F2F2F2" w:themeFill="background1" w:themeFillShade="F2"/>
          </w:tcPr>
          <w:p w14:paraId="54071621" w14:textId="77777777" w:rsidR="0044461C" w:rsidRPr="000F0299" w:rsidRDefault="0044461C" w:rsidP="005822B0">
            <w:pPr>
              <w:spacing w:before="0"/>
              <w:ind w:firstLine="0"/>
              <w:rPr>
                <w:b/>
                <w:bCs/>
                <w:sz w:val="16"/>
                <w:szCs w:val="16"/>
              </w:rPr>
            </w:pPr>
          </w:p>
        </w:tc>
        <w:tc>
          <w:tcPr>
            <w:tcW w:w="1003" w:type="pct"/>
            <w:tcBorders>
              <w:top w:val="single" w:sz="18" w:space="0" w:color="C00000"/>
            </w:tcBorders>
            <w:shd w:val="clear" w:color="auto" w:fill="F2F2F2" w:themeFill="background1" w:themeFillShade="F2"/>
            <w:vAlign w:val="center"/>
          </w:tcPr>
          <w:p w14:paraId="2EE8E421" w14:textId="77777777" w:rsidR="0044461C" w:rsidRPr="000F0299" w:rsidRDefault="0044461C" w:rsidP="005822B0">
            <w:pPr>
              <w:spacing w:before="0"/>
              <w:ind w:firstLine="0"/>
              <w:jc w:val="center"/>
              <w:rPr>
                <w:b/>
                <w:bCs/>
                <w:sz w:val="16"/>
                <w:szCs w:val="16"/>
              </w:rPr>
            </w:pPr>
          </w:p>
        </w:tc>
        <w:tc>
          <w:tcPr>
            <w:tcW w:w="1003" w:type="pct"/>
            <w:tcBorders>
              <w:top w:val="single" w:sz="18" w:space="0" w:color="C00000"/>
            </w:tcBorders>
            <w:shd w:val="clear" w:color="auto" w:fill="F2F2F2" w:themeFill="background1" w:themeFillShade="F2"/>
            <w:vAlign w:val="center"/>
          </w:tcPr>
          <w:p w14:paraId="7353B7F2" w14:textId="77777777" w:rsidR="0044461C" w:rsidRPr="000F0299" w:rsidRDefault="0044461C" w:rsidP="005822B0">
            <w:pPr>
              <w:spacing w:before="0"/>
              <w:ind w:firstLine="0"/>
              <w:jc w:val="center"/>
              <w:rPr>
                <w:b/>
                <w:bCs/>
                <w:sz w:val="16"/>
                <w:szCs w:val="16"/>
              </w:rPr>
            </w:pPr>
          </w:p>
        </w:tc>
        <w:tc>
          <w:tcPr>
            <w:tcW w:w="179" w:type="pct"/>
            <w:tcBorders>
              <w:top w:val="single" w:sz="18" w:space="0" w:color="C00000"/>
              <w:right w:val="single" w:sz="18" w:space="0" w:color="C00000"/>
            </w:tcBorders>
            <w:shd w:val="clear" w:color="auto" w:fill="F2F2F2" w:themeFill="background1" w:themeFillShade="F2"/>
          </w:tcPr>
          <w:p w14:paraId="6DC4C3E9" w14:textId="77777777" w:rsidR="0044461C" w:rsidRPr="000F0299" w:rsidRDefault="0044461C" w:rsidP="005822B0">
            <w:pPr>
              <w:spacing w:before="0"/>
              <w:ind w:firstLine="0"/>
              <w:jc w:val="center"/>
              <w:rPr>
                <w:b/>
                <w:bCs/>
                <w:sz w:val="16"/>
                <w:szCs w:val="16"/>
              </w:rPr>
            </w:pPr>
          </w:p>
        </w:tc>
      </w:tr>
      <w:tr w:rsidR="0044461C" w:rsidRPr="000F0299" w14:paraId="68D4266E" w14:textId="77777777" w:rsidTr="005822B0">
        <w:trPr>
          <w:trHeight w:val="339"/>
        </w:trPr>
        <w:tc>
          <w:tcPr>
            <w:tcW w:w="184" w:type="pct"/>
            <w:tcBorders>
              <w:left w:val="single" w:sz="18" w:space="0" w:color="C00000"/>
            </w:tcBorders>
            <w:shd w:val="clear" w:color="auto" w:fill="F2F2F2" w:themeFill="background1" w:themeFillShade="F2"/>
          </w:tcPr>
          <w:p w14:paraId="05671A61" w14:textId="77777777" w:rsidR="0044461C" w:rsidRPr="000F0299" w:rsidRDefault="0044461C" w:rsidP="005822B0">
            <w:pPr>
              <w:spacing w:before="0" w:after="0"/>
              <w:ind w:firstLine="0"/>
              <w:rPr>
                <w:b/>
                <w:bCs/>
              </w:rPr>
            </w:pPr>
          </w:p>
        </w:tc>
        <w:tc>
          <w:tcPr>
            <w:tcW w:w="2631" w:type="pct"/>
            <w:tcBorders>
              <w:left w:val="nil"/>
              <w:bottom w:val="single" w:sz="18" w:space="0" w:color="C00000"/>
              <w:right w:val="single" w:sz="18" w:space="0" w:color="FFFFFF" w:themeColor="background1"/>
            </w:tcBorders>
            <w:shd w:val="clear" w:color="auto" w:fill="F2F2F2" w:themeFill="background1" w:themeFillShade="F2"/>
          </w:tcPr>
          <w:p w14:paraId="5F6BBDEC" w14:textId="77777777" w:rsidR="0044461C" w:rsidRPr="000F0299" w:rsidRDefault="0044461C" w:rsidP="005822B0">
            <w:pPr>
              <w:spacing w:before="0" w:after="0"/>
              <w:ind w:firstLine="0"/>
              <w:rPr>
                <w:b/>
                <w:bCs/>
              </w:rPr>
            </w:pPr>
            <w:r w:rsidRPr="000F0299">
              <w:rPr>
                <w:b/>
                <w:bCs/>
              </w:rPr>
              <w:t>Показатељ исхода</w:t>
            </w:r>
          </w:p>
        </w:tc>
        <w:tc>
          <w:tcPr>
            <w:tcW w:w="1003"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4361F9E6" w14:textId="77777777" w:rsidR="0044461C" w:rsidRPr="000F0299" w:rsidRDefault="0044461C" w:rsidP="005822B0">
            <w:pPr>
              <w:spacing w:before="0" w:after="0"/>
              <w:ind w:firstLine="0"/>
              <w:jc w:val="center"/>
              <w:rPr>
                <w:b/>
                <w:bCs/>
              </w:rPr>
            </w:pPr>
            <w:r w:rsidRPr="000F0299">
              <w:rPr>
                <w:b/>
                <w:bCs/>
              </w:rPr>
              <w:t>ПВ</w:t>
            </w:r>
          </w:p>
        </w:tc>
        <w:tc>
          <w:tcPr>
            <w:tcW w:w="1003" w:type="pct"/>
            <w:tcBorders>
              <w:left w:val="single" w:sz="18" w:space="0" w:color="FFFFFF" w:themeColor="background1"/>
              <w:bottom w:val="single" w:sz="18" w:space="0" w:color="C00000"/>
            </w:tcBorders>
            <w:shd w:val="clear" w:color="auto" w:fill="F2F2F2" w:themeFill="background1" w:themeFillShade="F2"/>
            <w:vAlign w:val="center"/>
          </w:tcPr>
          <w:p w14:paraId="061F3657" w14:textId="05761338" w:rsidR="0044461C" w:rsidRPr="000F0299" w:rsidRDefault="0044461C" w:rsidP="005822B0">
            <w:pPr>
              <w:spacing w:before="0" w:after="0"/>
              <w:ind w:firstLine="0"/>
              <w:jc w:val="center"/>
              <w:rPr>
                <w:b/>
                <w:bCs/>
              </w:rPr>
            </w:pPr>
            <w:r w:rsidRPr="000F0299">
              <w:rPr>
                <w:b/>
                <w:bCs/>
              </w:rPr>
              <w:t>ЦВ</w:t>
            </w:r>
          </w:p>
        </w:tc>
        <w:tc>
          <w:tcPr>
            <w:tcW w:w="179" w:type="pct"/>
            <w:tcBorders>
              <w:right w:val="single" w:sz="18" w:space="0" w:color="C00000"/>
            </w:tcBorders>
            <w:shd w:val="clear" w:color="auto" w:fill="F2F2F2" w:themeFill="background1" w:themeFillShade="F2"/>
          </w:tcPr>
          <w:p w14:paraId="76745B01" w14:textId="77777777" w:rsidR="0044461C" w:rsidRPr="000F0299" w:rsidRDefault="0044461C" w:rsidP="005822B0">
            <w:pPr>
              <w:spacing w:before="0" w:after="0"/>
              <w:ind w:firstLine="0"/>
              <w:jc w:val="center"/>
              <w:rPr>
                <w:b/>
                <w:bCs/>
              </w:rPr>
            </w:pPr>
          </w:p>
        </w:tc>
      </w:tr>
      <w:tr w:rsidR="0044461C" w:rsidRPr="000F0299" w14:paraId="2A47BB60" w14:textId="77777777" w:rsidTr="005822B0">
        <w:trPr>
          <w:trHeight w:val="381"/>
        </w:trPr>
        <w:tc>
          <w:tcPr>
            <w:tcW w:w="184" w:type="pct"/>
            <w:tcBorders>
              <w:left w:val="single" w:sz="18" w:space="0" w:color="C00000"/>
            </w:tcBorders>
            <w:shd w:val="clear" w:color="auto" w:fill="F2F2F2" w:themeFill="background1" w:themeFillShade="F2"/>
          </w:tcPr>
          <w:p w14:paraId="2DD3278C" w14:textId="77777777" w:rsidR="0044461C" w:rsidRPr="000F0299" w:rsidRDefault="0044461C" w:rsidP="005822B0">
            <w:pPr>
              <w:spacing w:before="0"/>
              <w:ind w:firstLine="0"/>
            </w:pPr>
          </w:p>
        </w:tc>
        <w:tc>
          <w:tcPr>
            <w:tcW w:w="2631"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18A0FAAE" w14:textId="7324469A" w:rsidR="0044461C" w:rsidRPr="000F0299" w:rsidRDefault="0044461C" w:rsidP="005822B0">
            <w:pPr>
              <w:spacing w:before="0"/>
              <w:ind w:firstLine="0"/>
            </w:pPr>
            <w:r w:rsidRPr="000F0299">
              <w:t>Степен у ком се систем стручног усавршавања и стручних испита у јавној управи   нормативно и у пракси заснива на анализи потреба за унапређењем компетенција,</w:t>
            </w:r>
            <w:r w:rsidR="005244C1" w:rsidRPr="008F36EC">
              <w:t xml:space="preserve"> </w:t>
            </w:r>
            <w:r w:rsidRPr="000F0299">
              <w:t>односно квалификација запослених</w:t>
            </w:r>
          </w:p>
        </w:tc>
        <w:tc>
          <w:tcPr>
            <w:tcW w:w="1003"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72BDB05C" w14:textId="6A87812B" w:rsidR="0044461C" w:rsidRPr="000F0299" w:rsidRDefault="008F36EC" w:rsidP="005822B0">
            <w:pPr>
              <w:spacing w:before="0"/>
              <w:ind w:firstLine="0"/>
            </w:pPr>
            <w:r>
              <w:t>(2019): биће утврђено у децембру 2020.</w:t>
            </w:r>
          </w:p>
        </w:tc>
        <w:tc>
          <w:tcPr>
            <w:tcW w:w="1003"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60A614A9" w14:textId="3849C10F" w:rsidR="0044461C" w:rsidRPr="000F0299" w:rsidRDefault="0044461C" w:rsidP="005822B0">
            <w:pPr>
              <w:spacing w:before="0"/>
              <w:ind w:firstLine="0"/>
            </w:pPr>
            <w:r w:rsidRPr="000F0299">
              <w:t>(2021): 4</w:t>
            </w:r>
          </w:p>
          <w:p w14:paraId="5E7376ED" w14:textId="4FA73DF6" w:rsidR="0044461C" w:rsidRPr="000F0299" w:rsidRDefault="0044461C" w:rsidP="005822B0">
            <w:pPr>
              <w:spacing w:before="0"/>
              <w:ind w:firstLine="0"/>
            </w:pPr>
            <w:r w:rsidRPr="000F0299">
              <w:t>(2022): 4</w:t>
            </w:r>
          </w:p>
          <w:p w14:paraId="0EA652A5" w14:textId="652171CF" w:rsidR="0044461C" w:rsidRPr="000F0299" w:rsidRDefault="0044461C" w:rsidP="005822B0">
            <w:pPr>
              <w:spacing w:before="0"/>
              <w:ind w:firstLine="0"/>
            </w:pPr>
            <w:r w:rsidRPr="000F0299">
              <w:t>(2023): 4</w:t>
            </w:r>
          </w:p>
          <w:p w14:paraId="1DBD30AD" w14:textId="5840EBDA" w:rsidR="0044461C" w:rsidRPr="000F0299" w:rsidRDefault="0044461C" w:rsidP="005822B0">
            <w:pPr>
              <w:spacing w:before="0"/>
              <w:ind w:firstLine="0"/>
            </w:pPr>
            <w:r w:rsidRPr="000F0299">
              <w:t>(2024): 5</w:t>
            </w:r>
          </w:p>
          <w:p w14:paraId="7E01212E" w14:textId="48A20C64" w:rsidR="0044461C" w:rsidRPr="000F0299" w:rsidRDefault="0044461C" w:rsidP="005822B0">
            <w:pPr>
              <w:spacing w:before="0"/>
              <w:ind w:firstLine="0"/>
            </w:pPr>
            <w:r w:rsidRPr="000F0299">
              <w:t>(2025): 5</w:t>
            </w:r>
          </w:p>
          <w:p w14:paraId="0C62D4BB" w14:textId="34F722B0" w:rsidR="0044461C" w:rsidRPr="000F0299" w:rsidRDefault="0044461C" w:rsidP="005822B0">
            <w:pPr>
              <w:spacing w:before="0"/>
              <w:ind w:firstLine="0"/>
            </w:pPr>
            <w:r w:rsidRPr="000F0299">
              <w:t>(2027): 5</w:t>
            </w:r>
          </w:p>
          <w:p w14:paraId="4687B684" w14:textId="340C7F11" w:rsidR="0044461C" w:rsidRPr="000F0299" w:rsidRDefault="0044461C" w:rsidP="005822B0">
            <w:pPr>
              <w:spacing w:before="0"/>
              <w:ind w:firstLine="0"/>
            </w:pPr>
            <w:r w:rsidRPr="000F0299">
              <w:t>(2030): 5</w:t>
            </w:r>
          </w:p>
        </w:tc>
        <w:tc>
          <w:tcPr>
            <w:tcW w:w="179" w:type="pct"/>
            <w:tcBorders>
              <w:right w:val="single" w:sz="18" w:space="0" w:color="C00000"/>
            </w:tcBorders>
            <w:shd w:val="clear" w:color="auto" w:fill="F2F2F2" w:themeFill="background1" w:themeFillShade="F2"/>
          </w:tcPr>
          <w:p w14:paraId="5F71C2B6" w14:textId="77777777" w:rsidR="0044461C" w:rsidRPr="000F0299" w:rsidRDefault="0044461C" w:rsidP="005822B0">
            <w:pPr>
              <w:spacing w:before="0"/>
              <w:ind w:firstLine="0"/>
            </w:pPr>
          </w:p>
        </w:tc>
      </w:tr>
      <w:tr w:rsidR="0044461C" w:rsidRPr="000F0299" w14:paraId="6721AD35" w14:textId="77777777" w:rsidTr="0044461C">
        <w:trPr>
          <w:trHeight w:val="340"/>
        </w:trPr>
        <w:tc>
          <w:tcPr>
            <w:tcW w:w="184" w:type="pct"/>
            <w:tcBorders>
              <w:left w:val="single" w:sz="18" w:space="0" w:color="C00000"/>
              <w:bottom w:val="single" w:sz="18" w:space="0" w:color="C00000"/>
            </w:tcBorders>
            <w:shd w:val="clear" w:color="auto" w:fill="F2F2F2" w:themeFill="background1" w:themeFillShade="F2"/>
          </w:tcPr>
          <w:p w14:paraId="1CEC2400" w14:textId="77777777" w:rsidR="0044461C" w:rsidRPr="000F0299" w:rsidRDefault="0044461C" w:rsidP="005822B0">
            <w:pPr>
              <w:spacing w:before="0"/>
              <w:ind w:firstLine="0"/>
              <w:rPr>
                <w:sz w:val="16"/>
                <w:szCs w:val="16"/>
              </w:rPr>
            </w:pPr>
          </w:p>
        </w:tc>
        <w:tc>
          <w:tcPr>
            <w:tcW w:w="2631" w:type="pct"/>
            <w:tcBorders>
              <w:bottom w:val="single" w:sz="18" w:space="0" w:color="C00000"/>
            </w:tcBorders>
            <w:shd w:val="clear" w:color="auto" w:fill="F2F2F2" w:themeFill="background1" w:themeFillShade="F2"/>
          </w:tcPr>
          <w:p w14:paraId="2A2DCA79" w14:textId="77777777" w:rsidR="0044461C" w:rsidRPr="000F0299" w:rsidRDefault="0044461C" w:rsidP="005822B0">
            <w:pPr>
              <w:spacing w:before="0"/>
              <w:ind w:firstLine="0"/>
              <w:rPr>
                <w:sz w:val="16"/>
                <w:szCs w:val="16"/>
              </w:rPr>
            </w:pPr>
          </w:p>
        </w:tc>
        <w:tc>
          <w:tcPr>
            <w:tcW w:w="1003" w:type="pct"/>
            <w:tcBorders>
              <w:bottom w:val="single" w:sz="18" w:space="0" w:color="C00000"/>
            </w:tcBorders>
            <w:shd w:val="clear" w:color="auto" w:fill="F2F2F2" w:themeFill="background1" w:themeFillShade="F2"/>
          </w:tcPr>
          <w:p w14:paraId="39BD5FD2" w14:textId="77777777" w:rsidR="0044461C" w:rsidRPr="000F0299" w:rsidRDefault="0044461C" w:rsidP="005822B0">
            <w:pPr>
              <w:spacing w:before="0"/>
              <w:ind w:firstLine="0"/>
              <w:rPr>
                <w:sz w:val="16"/>
                <w:szCs w:val="16"/>
              </w:rPr>
            </w:pPr>
          </w:p>
        </w:tc>
        <w:tc>
          <w:tcPr>
            <w:tcW w:w="1003" w:type="pct"/>
            <w:tcBorders>
              <w:bottom w:val="single" w:sz="18" w:space="0" w:color="C00000"/>
            </w:tcBorders>
            <w:shd w:val="clear" w:color="auto" w:fill="F2F2F2" w:themeFill="background1" w:themeFillShade="F2"/>
          </w:tcPr>
          <w:p w14:paraId="1263F919" w14:textId="77777777" w:rsidR="0044461C" w:rsidRPr="000F0299" w:rsidRDefault="0044461C" w:rsidP="005822B0">
            <w:pPr>
              <w:spacing w:before="0"/>
              <w:ind w:firstLine="0"/>
              <w:rPr>
                <w:sz w:val="16"/>
                <w:szCs w:val="16"/>
              </w:rPr>
            </w:pPr>
          </w:p>
        </w:tc>
        <w:tc>
          <w:tcPr>
            <w:tcW w:w="179" w:type="pct"/>
            <w:tcBorders>
              <w:bottom w:val="single" w:sz="18" w:space="0" w:color="C00000"/>
              <w:right w:val="single" w:sz="18" w:space="0" w:color="C00000"/>
            </w:tcBorders>
            <w:shd w:val="clear" w:color="auto" w:fill="F2F2F2" w:themeFill="background1" w:themeFillShade="F2"/>
          </w:tcPr>
          <w:p w14:paraId="2057E610" w14:textId="77777777" w:rsidR="0044461C" w:rsidRPr="000F0299" w:rsidRDefault="0044461C" w:rsidP="005822B0">
            <w:pPr>
              <w:spacing w:before="0"/>
              <w:ind w:firstLine="0"/>
              <w:rPr>
                <w:sz w:val="16"/>
                <w:szCs w:val="16"/>
              </w:rPr>
            </w:pPr>
          </w:p>
        </w:tc>
      </w:tr>
    </w:tbl>
    <w:p w14:paraId="75FDBFEA" w14:textId="77777777" w:rsidR="002234A7" w:rsidRPr="000F0299" w:rsidRDefault="002234A7">
      <w:pPr>
        <w:suppressAutoHyphens w:val="0"/>
        <w:autoSpaceDN/>
        <w:spacing w:before="0" w:after="160" w:line="259" w:lineRule="auto"/>
        <w:ind w:firstLine="0"/>
        <w:jc w:val="left"/>
        <w:textAlignment w:val="auto"/>
        <w:rPr>
          <w:lang w:eastAsia="de-DE"/>
        </w:rPr>
      </w:pPr>
      <w:r w:rsidRPr="000F0299">
        <w:rPr>
          <w:lang w:eastAsia="de-DE"/>
        </w:rPr>
        <w:br w:type="page"/>
      </w:r>
    </w:p>
    <w:p w14:paraId="749BB15A" w14:textId="4FFE7E65" w:rsidR="006C0FCF" w:rsidRPr="000F0299" w:rsidRDefault="005244C1" w:rsidP="003616D6">
      <w:pPr>
        <w:spacing w:after="0"/>
        <w:rPr>
          <w:color w:val="000000"/>
          <w:kern w:val="24"/>
        </w:rPr>
      </w:pPr>
      <w:r>
        <w:rPr>
          <w:lang w:eastAsia="de-DE"/>
        </w:rPr>
        <w:t>Да</w:t>
      </w:r>
      <w:r w:rsidR="006C0FCF" w:rsidRPr="000F0299">
        <w:rPr>
          <w:lang w:eastAsia="de-DE"/>
        </w:rPr>
        <w:t xml:space="preserve"> би се остварио </w:t>
      </w:r>
      <w:r w:rsidR="00967988">
        <w:rPr>
          <w:b/>
          <w:bCs/>
          <w:lang w:eastAsia="de-DE"/>
        </w:rPr>
        <w:t>П</w:t>
      </w:r>
      <w:r w:rsidR="006C0FCF" w:rsidRPr="000F0299">
        <w:rPr>
          <w:b/>
          <w:bCs/>
          <w:lang w:eastAsia="de-DE"/>
        </w:rPr>
        <w:t>осебан циљ 2.3.</w:t>
      </w:r>
      <w:r w:rsidR="006C0FCF" w:rsidRPr="000F0299">
        <w:rPr>
          <w:lang w:eastAsia="de-DE"/>
        </w:rPr>
        <w:t xml:space="preserve"> предвиђено је </w:t>
      </w:r>
      <w:r>
        <w:rPr>
          <w:lang w:eastAsia="de-DE"/>
        </w:rPr>
        <w:t xml:space="preserve">да се </w:t>
      </w:r>
      <w:r w:rsidR="006C0FCF" w:rsidRPr="000F0299">
        <w:rPr>
          <w:lang w:eastAsia="de-DE"/>
        </w:rPr>
        <w:t>спров</w:t>
      </w:r>
      <w:r>
        <w:rPr>
          <w:lang w:eastAsia="de-DE"/>
        </w:rPr>
        <w:t>еду</w:t>
      </w:r>
      <w:r w:rsidR="006C0FCF" w:rsidRPr="000F0299">
        <w:rPr>
          <w:lang w:eastAsia="de-DE"/>
        </w:rPr>
        <w:t xml:space="preserve"> следећ</w:t>
      </w:r>
      <w:r>
        <w:rPr>
          <w:lang w:eastAsia="de-DE"/>
        </w:rPr>
        <w:t>е</w:t>
      </w:r>
      <w:r w:rsidR="006C0FCF" w:rsidRPr="000F0299">
        <w:rPr>
          <w:lang w:eastAsia="de-DE"/>
        </w:rPr>
        <w:t xml:space="preserve"> мер</w:t>
      </w:r>
      <w:r>
        <w:rPr>
          <w:lang w:eastAsia="de-DE"/>
        </w:rPr>
        <w:t>е</w:t>
      </w:r>
      <w:r w:rsidR="006C0FCF" w:rsidRPr="000F0299">
        <w:rPr>
          <w:lang w:eastAsia="de-DE"/>
        </w:rPr>
        <w:t>:</w:t>
      </w:r>
    </w:p>
    <w:p w14:paraId="079D6C13" w14:textId="5DB84490" w:rsidR="005244C1" w:rsidRPr="005244C1" w:rsidRDefault="002F1B51" w:rsidP="00E62A1A">
      <w:pPr>
        <w:pStyle w:val="ListParagraph"/>
        <w:numPr>
          <w:ilvl w:val="0"/>
          <w:numId w:val="52"/>
        </w:numPr>
        <w:spacing w:before="0" w:line="257" w:lineRule="auto"/>
        <w:ind w:left="714" w:hanging="357"/>
      </w:pPr>
      <w:r>
        <w:t>У</w:t>
      </w:r>
      <w:r w:rsidR="006C0FCF" w:rsidRPr="000F0299">
        <w:t xml:space="preserve">напређење јединственог система стручног усавршавања у државним органима и органима </w:t>
      </w:r>
      <w:r w:rsidR="005244C1">
        <w:t>ЈЛС</w:t>
      </w:r>
      <w:r w:rsidR="00537D7B">
        <w:t>;</w:t>
      </w:r>
      <w:r w:rsidR="005244C1" w:rsidRPr="005244C1">
        <w:t xml:space="preserve"> </w:t>
      </w:r>
    </w:p>
    <w:p w14:paraId="41654B5A" w14:textId="0197A92C" w:rsidR="005244C1" w:rsidRPr="005244C1" w:rsidRDefault="002F1B51" w:rsidP="00E62A1A">
      <w:pPr>
        <w:pStyle w:val="ListParagraph"/>
        <w:numPr>
          <w:ilvl w:val="0"/>
          <w:numId w:val="52"/>
        </w:numPr>
        <w:spacing w:before="0" w:line="257" w:lineRule="auto"/>
        <w:ind w:left="714" w:hanging="357"/>
      </w:pPr>
      <w:r>
        <w:t>У</w:t>
      </w:r>
      <w:r w:rsidR="005244C1" w:rsidRPr="005244C1">
        <w:t xml:space="preserve">напређење програма стручног усавршавања у државним органима и органима ЈЛС и начина њиховог организовања и спровођења; </w:t>
      </w:r>
    </w:p>
    <w:p w14:paraId="6608972E" w14:textId="1B60C475" w:rsidR="005244C1" w:rsidRPr="005244C1" w:rsidRDefault="002F1B51" w:rsidP="00E62A1A">
      <w:pPr>
        <w:pStyle w:val="ListParagraph"/>
        <w:numPr>
          <w:ilvl w:val="0"/>
          <w:numId w:val="52"/>
        </w:numPr>
        <w:spacing w:before="0" w:line="257" w:lineRule="auto"/>
        <w:ind w:left="714" w:hanging="357"/>
      </w:pPr>
      <w:r>
        <w:t>У</w:t>
      </w:r>
      <w:r w:rsidR="005244C1" w:rsidRPr="005244C1">
        <w:t xml:space="preserve">напређење нормативног оквира који уређује област стручног усавршавања у јавној управи; </w:t>
      </w:r>
    </w:p>
    <w:p w14:paraId="729CB798" w14:textId="2264DAD4" w:rsidR="005244C1" w:rsidRPr="005244C1" w:rsidRDefault="002F1B51" w:rsidP="00E62A1A">
      <w:pPr>
        <w:pStyle w:val="ListParagraph"/>
        <w:numPr>
          <w:ilvl w:val="0"/>
          <w:numId w:val="52"/>
        </w:numPr>
        <w:spacing w:before="0" w:line="257" w:lineRule="auto"/>
        <w:ind w:left="714" w:hanging="357"/>
      </w:pPr>
      <w:r>
        <w:t>У</w:t>
      </w:r>
      <w:r w:rsidR="005244C1" w:rsidRPr="005244C1">
        <w:t>спостављање стандардизације процеса и система квалитета у области стручног усавршавања у јавној управи, уз пуну примену ИКТ;</w:t>
      </w:r>
    </w:p>
    <w:p w14:paraId="013C340A" w14:textId="34B361D8" w:rsidR="005244C1" w:rsidRPr="005244C1" w:rsidRDefault="002F1B51" w:rsidP="00E62A1A">
      <w:pPr>
        <w:pStyle w:val="ListParagraph"/>
        <w:numPr>
          <w:ilvl w:val="0"/>
          <w:numId w:val="52"/>
        </w:numPr>
        <w:spacing w:before="0" w:line="257" w:lineRule="auto"/>
        <w:ind w:left="714" w:hanging="357"/>
      </w:pPr>
      <w:r>
        <w:t>У</w:t>
      </w:r>
      <w:r w:rsidR="005244C1" w:rsidRPr="005244C1">
        <w:t xml:space="preserve">спостављање система планирања и управљања процесом целоживотног стручног усавршавања у јавној управи (мастер план целоживотног стручног усавршавања); </w:t>
      </w:r>
    </w:p>
    <w:p w14:paraId="7DA513CF" w14:textId="78039B52" w:rsidR="005244C1" w:rsidRPr="005244C1" w:rsidRDefault="002F1B51" w:rsidP="00E62A1A">
      <w:pPr>
        <w:pStyle w:val="ListParagraph"/>
        <w:numPr>
          <w:ilvl w:val="0"/>
          <w:numId w:val="52"/>
        </w:numPr>
        <w:spacing w:before="0" w:line="257" w:lineRule="auto"/>
        <w:ind w:left="714" w:hanging="357"/>
      </w:pPr>
      <w:r>
        <w:t>У</w:t>
      </w:r>
      <w:r w:rsidR="005244C1" w:rsidRPr="005244C1">
        <w:t>спостављање инст</w:t>
      </w:r>
      <w:r w:rsidR="005C6E93">
        <w:t>р</w:t>
      </w:r>
      <w:r w:rsidR="005244C1" w:rsidRPr="005244C1">
        <w:t>умената сарадње институција у чијем су делокругу послови стручног усавршавања запослених у државним и другим органима;</w:t>
      </w:r>
    </w:p>
    <w:p w14:paraId="40F5E489" w14:textId="3B909010" w:rsidR="005244C1" w:rsidRPr="005244C1" w:rsidRDefault="002F1B51" w:rsidP="00E62A1A">
      <w:pPr>
        <w:pStyle w:val="ListParagraph"/>
        <w:numPr>
          <w:ilvl w:val="0"/>
          <w:numId w:val="52"/>
        </w:numPr>
        <w:spacing w:before="0" w:line="257" w:lineRule="auto"/>
        <w:ind w:left="714" w:hanging="357"/>
      </w:pPr>
      <w:r>
        <w:t>У</w:t>
      </w:r>
      <w:r w:rsidR="005244C1" w:rsidRPr="005244C1">
        <w:t>вођење јединствених мерила и стандарда у области стручних испита у систему државне управе;</w:t>
      </w:r>
    </w:p>
    <w:p w14:paraId="344D3636" w14:textId="1E2915E4" w:rsidR="005244C1" w:rsidRDefault="002F1B51" w:rsidP="00E62A1A">
      <w:pPr>
        <w:pStyle w:val="ListParagraph"/>
        <w:numPr>
          <w:ilvl w:val="0"/>
          <w:numId w:val="52"/>
        </w:numPr>
        <w:spacing w:before="0" w:line="257" w:lineRule="auto"/>
        <w:ind w:left="714" w:hanging="357"/>
      </w:pPr>
      <w:r>
        <w:t>Р</w:t>
      </w:r>
      <w:r w:rsidR="005244C1" w:rsidRPr="005244C1">
        <w:t>азвој сарадње са високошколским установама ради подршке у школовању, односно додатном образовању кадра за јавну управу.</w:t>
      </w:r>
    </w:p>
    <w:p w14:paraId="3F9F264F" w14:textId="0B38CB3E" w:rsidR="005856FA" w:rsidRPr="005244C1" w:rsidRDefault="005856FA" w:rsidP="005856FA">
      <w:pPr>
        <w:ind w:firstLine="0"/>
      </w:pPr>
      <w:r w:rsidRPr="00DD02B0">
        <w:rPr>
          <w:b/>
          <w:bCs/>
          <w:iCs/>
        </w:rPr>
        <w:t>Напомена</w:t>
      </w:r>
      <w:r w:rsidRPr="00DD02B0">
        <w:rPr>
          <w:bCs/>
          <w:iCs/>
        </w:rPr>
        <w:t xml:space="preserve">: Извор </w:t>
      </w:r>
      <w:r>
        <w:rPr>
          <w:bCs/>
          <w:iCs/>
        </w:rPr>
        <w:t>наведених</w:t>
      </w:r>
      <w:r w:rsidRPr="00DD02B0">
        <w:rPr>
          <w:bCs/>
          <w:iCs/>
        </w:rPr>
        <w:t xml:space="preserve"> докумената јавних политика и прописа дати су у </w:t>
      </w:r>
      <w:hyperlink w:anchor="_II._Управљање_људским" w:history="1">
        <w:r w:rsidRPr="005856FA">
          <w:rPr>
            <w:rStyle w:val="Hyperlink"/>
            <w:bCs/>
            <w:iCs/>
          </w:rPr>
          <w:t>Прилогу 2</w:t>
        </w:r>
      </w:hyperlink>
      <w:r w:rsidRPr="00DD02B0">
        <w:rPr>
          <w:bCs/>
          <w:iCs/>
        </w:rPr>
        <w:t xml:space="preserve"> у којем</w:t>
      </w:r>
      <w:r>
        <w:rPr>
          <w:bCs/>
          <w:iCs/>
        </w:rPr>
        <w:t xml:space="preserve"> је приказана и</w:t>
      </w:r>
      <w:r w:rsidRPr="00DD02B0">
        <w:rPr>
          <w:bCs/>
          <w:iCs/>
        </w:rPr>
        <w:t xml:space="preserve"> </w:t>
      </w:r>
      <w:r>
        <w:rPr>
          <w:bCs/>
          <w:iCs/>
        </w:rPr>
        <w:t>детаљна анализа</w:t>
      </w:r>
      <w:r w:rsidRPr="00DD02B0">
        <w:rPr>
          <w:bCs/>
          <w:iCs/>
        </w:rPr>
        <w:t xml:space="preserve"> за тематску област</w:t>
      </w:r>
      <w:r>
        <w:rPr>
          <w:bCs/>
          <w:iCs/>
        </w:rPr>
        <w:t xml:space="preserve"> Управљ</w:t>
      </w:r>
      <w:r w:rsidR="005C6E93">
        <w:rPr>
          <w:bCs/>
          <w:iCs/>
        </w:rPr>
        <w:t>а</w:t>
      </w:r>
      <w:r>
        <w:rPr>
          <w:bCs/>
          <w:iCs/>
        </w:rPr>
        <w:t>ње људским ресурсима</w:t>
      </w:r>
    </w:p>
    <w:p w14:paraId="04636ADA" w14:textId="0EB7D626" w:rsidR="00C57B4C" w:rsidRPr="000F0299" w:rsidRDefault="00C57B4C">
      <w:pPr>
        <w:suppressAutoHyphens w:val="0"/>
        <w:autoSpaceDN/>
        <w:spacing w:before="0" w:after="160" w:line="259" w:lineRule="auto"/>
        <w:ind w:firstLine="0"/>
        <w:jc w:val="left"/>
        <w:textAlignment w:val="auto"/>
      </w:pPr>
      <w:r w:rsidRPr="000F0299">
        <w:br w:type="page"/>
      </w:r>
    </w:p>
    <w:p w14:paraId="60F3F117" w14:textId="26F6A02E" w:rsidR="006C0FCF" w:rsidRPr="000F0299" w:rsidRDefault="006C0FCF" w:rsidP="003D3BC5">
      <w:pPr>
        <w:pStyle w:val="Heading2"/>
        <w:rPr>
          <w:lang w:val="sr-Cyrl-RS"/>
        </w:rPr>
      </w:pPr>
      <w:bookmarkStart w:id="28" w:name="_Toc56725076"/>
      <w:bookmarkStart w:id="29" w:name="_Toc57661454"/>
      <w:r w:rsidRPr="000F0299">
        <w:rPr>
          <w:lang w:val="sr-Cyrl-RS"/>
        </w:rPr>
        <w:t xml:space="preserve">ΙII. </w:t>
      </w:r>
      <w:r w:rsidR="00E706E9" w:rsidRPr="000F0299">
        <w:rPr>
          <w:lang w:val="sr-Cyrl-RS"/>
        </w:rPr>
        <w:t>Пружање услуга</w:t>
      </w:r>
      <w:bookmarkEnd w:id="28"/>
      <w:bookmarkEnd w:id="29"/>
      <w:r w:rsidRPr="000F0299">
        <w:rPr>
          <w:lang w:val="sr-Cyrl-RS"/>
        </w:rPr>
        <w:t xml:space="preserve"> </w:t>
      </w:r>
    </w:p>
    <w:p w14:paraId="0974EEA1" w14:textId="4273DEDC" w:rsidR="006C0FCF" w:rsidRPr="000F0299" w:rsidRDefault="00E706E9" w:rsidP="00725146">
      <w:pPr>
        <w:pStyle w:val="Heading3"/>
        <w:rPr>
          <w:lang w:val="sr-Cyrl-RS"/>
        </w:rPr>
      </w:pPr>
      <w:bookmarkStart w:id="30" w:name="_Toc56725077"/>
      <w:bookmarkStart w:id="31" w:name="_Toc57661455"/>
      <w:r w:rsidRPr="000F0299">
        <w:rPr>
          <w:lang w:val="sr-Cyrl-RS"/>
        </w:rPr>
        <w:t>Анализа стања</w:t>
      </w:r>
      <w:bookmarkEnd w:id="30"/>
      <w:bookmarkEnd w:id="31"/>
    </w:p>
    <w:p w14:paraId="7A75531D" w14:textId="77777777" w:rsidR="005856FA" w:rsidRPr="005856FA" w:rsidRDefault="005856FA" w:rsidP="005856FA">
      <w:pPr>
        <w:rPr>
          <w:bCs/>
          <w:noProof/>
        </w:rPr>
      </w:pPr>
      <w:r w:rsidRPr="005856FA">
        <w:rPr>
          <w:noProof/>
        </w:rPr>
        <w:t>Реформски процеси у овој области могу се груписати у два тока: развој е-управе, који се спроводи кроз Програм развоја електронске управе у Републици Србији за период 2020–2022. године и регулаторна реформа и поједностављење управних поступака (који се пре свега спроводи кроз Стратегију регулаторне реформе и унапређење система управљања јавним политикама за период 2016–2020. године и Програм „е-Папир” као наставак и надградња Плана приоритетних активности за смањење административних терета у Републици Србији „Стоп бирократији”). Ипак, политика пружања услуга се не спроводи кроз јединствену националну кровну политику</w:t>
      </w:r>
      <w:r w:rsidRPr="005856FA">
        <w:rPr>
          <w:bCs/>
          <w:noProof/>
        </w:rPr>
        <w:t>, нити је у потпуности успостављен јединствен механизам координације за сва документа јавних политика у области услуга.</w:t>
      </w:r>
    </w:p>
    <w:p w14:paraId="020267FD" w14:textId="77777777" w:rsidR="005856FA" w:rsidRPr="005856FA" w:rsidRDefault="005856FA" w:rsidP="005856FA">
      <w:pPr>
        <w:rPr>
          <w:noProof/>
        </w:rPr>
      </w:pPr>
      <w:r w:rsidRPr="005856FA">
        <w:rPr>
          <w:bCs/>
          <w:noProof/>
        </w:rPr>
        <w:t>У области РЈУ и пружања услуга Влада је у претходних неколико година утврдила развој електронске управе као један од својих приоритета.</w:t>
      </w:r>
      <w:r w:rsidRPr="005856FA">
        <w:rPr>
          <w:noProof/>
        </w:rPr>
        <w:t xml:space="preserve"> </w:t>
      </w:r>
      <w:r w:rsidRPr="005856FA">
        <w:rPr>
          <w:bCs/>
          <w:noProof/>
        </w:rPr>
        <w:t>У јуну 2020. године донет је Програм развоја електронске управе</w:t>
      </w:r>
      <w:r w:rsidRPr="005856FA">
        <w:rPr>
          <w:bCs/>
          <w:noProof/>
          <w:lang w:val="sr-Cyrl-CS"/>
        </w:rPr>
        <w:t xml:space="preserve"> за период од 2020–2022. године са Акционим планом за његово спровођење</w:t>
      </w:r>
      <w:r w:rsidRPr="005856FA">
        <w:rPr>
          <w:bCs/>
          <w:noProof/>
        </w:rPr>
        <w:t>, којим је, између осталог, планирано да се развије</w:t>
      </w:r>
      <w:r w:rsidRPr="005856FA">
        <w:rPr>
          <w:bCs/>
          <w:noProof/>
          <w:lang w:val="sr-Cyrl-CS"/>
        </w:rPr>
        <w:t xml:space="preserve"> 300 нових електронских услуга и сервиса за грађане и привреду у наредне две године и јачање целокупног система пружања услуга у Републици Србији. Република </w:t>
      </w:r>
      <w:r w:rsidRPr="005856FA">
        <w:rPr>
          <w:noProof/>
        </w:rPr>
        <w:t>Србија је прва земља у региону југоисточне Европе која је донела Стратегију развоја вештачке интелигенције 2020–2025. године.</w:t>
      </w:r>
    </w:p>
    <w:p w14:paraId="315C107B" w14:textId="77777777" w:rsidR="005856FA" w:rsidRPr="005856FA" w:rsidRDefault="005856FA" w:rsidP="005856FA">
      <w:pPr>
        <w:rPr>
          <w:noProof/>
        </w:rPr>
      </w:pPr>
      <w:r w:rsidRPr="005856FA">
        <w:rPr>
          <w:noProof/>
        </w:rPr>
        <w:t xml:space="preserve">Законом о електронској управи, који је усвојен 2018. године, утврђен је правни оквир за функционисање електронске управе у Републици Србији и усклађивање са европским прописима у том домену. Један од кључних резултата овог закона је успостављање интероперабилности база података између државних органа и размена података електронским путем (тренутно су интероперабилна 23 скупа података из осам институција и 321 владиног тела, а регистровано је преко 1,4 милиона размена података од јануара 2017, међутим, неки од кључних државних регистара, попут адресног регистра и регистра пословних јединица још нису интероперабилни, али је њихова интеграција у току). Закон је прописао обавезу да се у раду органа јавне управе употребљава ИКТ, како у управном поступању, тако и у комуникацији са грађанима, привредом и организацијама. Донети су и подзаконски акти, али је и даље потребно радити на заокруживању правног оквира у области е-управе. </w:t>
      </w:r>
    </w:p>
    <w:p w14:paraId="330D5A0D" w14:textId="40633372" w:rsidR="006C0FCF" w:rsidRPr="005856FA" w:rsidRDefault="005856FA" w:rsidP="005856FA">
      <w:pPr>
        <w:rPr>
          <w:noProof/>
        </w:rPr>
      </w:pPr>
      <w:r w:rsidRPr="005856FA">
        <w:rPr>
          <w:bCs/>
          <w:noProof/>
        </w:rPr>
        <w:t>Плански оквир за поједностављење поступака, односно услуга постављен је Стратегијом регулаторне реформе и унапређења система управљања јавним политикама за период 2016–2020. године и Програмом „е-Папир”</w:t>
      </w:r>
      <w:r w:rsidRPr="005856FA">
        <w:rPr>
          <w:noProof/>
        </w:rPr>
        <w:t xml:space="preserve">, као и пратећим методологијама које се користе у операционализацији поједностављења, оптимизације и укидања непотребних управних поступака, односно услуга. </w:t>
      </w:r>
      <w:r w:rsidRPr="005856FA">
        <w:rPr>
          <w:bCs/>
          <w:noProof/>
        </w:rPr>
        <w:t>Координацију поједностављења, оптимизације, укидања и дигитализације поступака, односно услуга координише РСЈП уз блиску сарадњу са КИТЕУ и другим органима у</w:t>
      </w:r>
      <w:r w:rsidRPr="005856FA">
        <w:rPr>
          <w:noProof/>
        </w:rPr>
        <w:t xml:space="preserve"> чијој надлежности је вођење управних поступака.</w:t>
      </w:r>
    </w:p>
    <w:p w14:paraId="1606716A" w14:textId="77777777" w:rsidR="005856FA" w:rsidRPr="005856FA" w:rsidRDefault="005856FA" w:rsidP="005856FA">
      <w:pPr>
        <w:rPr>
          <w:noProof/>
        </w:rPr>
      </w:pPr>
      <w:r w:rsidRPr="005856FA">
        <w:rPr>
          <w:bCs/>
          <w:noProof/>
        </w:rPr>
        <w:t>Правни оквир за поједностављење управних поступака постављен је Законом о општем управном поступку и њиме је по први пут уведен појам „јединствено управно место” – на ком странке могу да добију више информација и услуга на једном месту</w:t>
      </w:r>
      <w:r w:rsidR="006C0FCF" w:rsidRPr="000F0299">
        <w:rPr>
          <w:noProof/>
        </w:rPr>
        <w:t xml:space="preserve">, </w:t>
      </w:r>
      <w:r w:rsidRPr="005856FA">
        <w:rPr>
          <w:noProof/>
        </w:rPr>
        <w:t>било да се ради о електронском (Портал е-управа) или физичком месту, али још увек није донет подзаконски акт којим би се уредили услови и критеријуми за успостављање јединствених управних места. Тим законом наглашен</w:t>
      </w:r>
      <w:r w:rsidRPr="005856FA">
        <w:rPr>
          <w:noProof/>
          <w:lang w:val="sr-Latn-RS"/>
        </w:rPr>
        <w:t xml:space="preserve">a </w:t>
      </w:r>
      <w:r w:rsidRPr="005856FA">
        <w:rPr>
          <w:noProof/>
        </w:rPr>
        <w:t>је обавезност размене података из службених евиденција између органа управе као један од битних услова за остваривање начела економичности и делотворности рада јавне управе и њеног претварања у стваран сервис грађана. Нагласак је дат на размену података, а не на размену докумената органа управе. Усаглашавање секторских прописа са тим законом касни, а капацитети МДУЛС да врше надзор над његовом применом нису довољни.</w:t>
      </w:r>
    </w:p>
    <w:p w14:paraId="1039AA08" w14:textId="77777777" w:rsidR="005856FA" w:rsidRPr="005856FA" w:rsidRDefault="005856FA" w:rsidP="005856FA">
      <w:pPr>
        <w:rPr>
          <w:bCs/>
          <w:noProof/>
        </w:rPr>
      </w:pPr>
      <w:r w:rsidRPr="005856FA">
        <w:rPr>
          <w:noProof/>
        </w:rPr>
        <w:t xml:space="preserve">Институционално, у претходном периоду стратешко планирање и нормативни послови у области е-управе додељени су МДУЛС, а 2017. године формирана је Канцеларија за информационе технологије и електронску управу као служба Владе, уз додатну подршку стручних тимова Владе. Почетком 2018. године основан је и Владин Координациони савет за развој електронске управе, чији је задатак да усклађује активности на изради и спровођењу стратешких аката из области развоја и функционисања е-управе, као и да прати стање, потребе, развој и примену стандарда код увођења система електронске управе. </w:t>
      </w:r>
      <w:r w:rsidRPr="005856FA">
        <w:rPr>
          <w:bCs/>
          <w:noProof/>
        </w:rPr>
        <w:t>Влада је 2019. године образовала и Координационо тело за праћење спровођења Програма „е-Папир” за период 2019–2021. године.</w:t>
      </w:r>
    </w:p>
    <w:p w14:paraId="0F3CA311" w14:textId="77777777" w:rsidR="005856FA" w:rsidRPr="005856FA" w:rsidRDefault="005856FA" w:rsidP="005856FA">
      <w:pPr>
        <w:rPr>
          <w:noProof/>
        </w:rPr>
      </w:pPr>
      <w:r w:rsidRPr="005856FA">
        <w:rPr>
          <w:bCs/>
          <w:noProof/>
        </w:rPr>
        <w:t xml:space="preserve">Ипак, </w:t>
      </w:r>
      <w:r w:rsidRPr="005856FA">
        <w:rPr>
          <w:noProof/>
        </w:rPr>
        <w:t>у систему државне управе тренутно не постоји орган који има искључиву надлежност</w:t>
      </w:r>
      <w:r w:rsidRPr="005856FA">
        <w:rPr>
          <w:bCs/>
          <w:noProof/>
        </w:rPr>
        <w:t xml:space="preserve"> </w:t>
      </w:r>
      <w:r w:rsidRPr="005856FA">
        <w:rPr>
          <w:noProof/>
        </w:rPr>
        <w:t>за формулисање политике у области пружања услуга</w:t>
      </w:r>
      <w:r w:rsidRPr="005856FA">
        <w:rPr>
          <w:bCs/>
          <w:noProof/>
        </w:rPr>
        <w:t>. Побољшања у тој области у највећем броју случајева спроводе засебно појединачни органи државне управе, који велики део активности спроводе самостално,</w:t>
      </w:r>
      <w:r w:rsidRPr="005856FA">
        <w:rPr>
          <w:noProof/>
        </w:rPr>
        <w:t xml:space="preserve"> </w:t>
      </w:r>
      <w:r w:rsidRPr="005856FA">
        <w:rPr>
          <w:bCs/>
          <w:noProof/>
        </w:rPr>
        <w:t>без централне координације, са изузетком Програма „е-Папир”. Додатно, нису успостављени механизми контроле квалитета административних услуга које су пружили органи државне управе.</w:t>
      </w:r>
    </w:p>
    <w:p w14:paraId="1956820F" w14:textId="594BB198" w:rsidR="006C0FCF" w:rsidRPr="000F0299" w:rsidRDefault="005856FA" w:rsidP="005856FA">
      <w:pPr>
        <w:rPr>
          <w:noProof/>
        </w:rPr>
      </w:pPr>
      <w:r w:rsidRPr="005856FA">
        <w:rPr>
          <w:noProof/>
        </w:rPr>
        <w:t>Кључни изазов у овој области представља незадовољавајући квалитет пружених услуга крајњим корисницима, неуједначена приступачност услугама, пракса поступања јавне управе, као и недовољно доступне и јасне информације о услугама. Додатно, релативно високи трошкови пружања услуга неповољно утичу на инвестиције и обим запошљавања. Недовољна искоришћеност потенцијала које отворени подаци нуде за побољшање процеса рада одражава се на нижу иновативност предузећа и стартапова у развоју нових услуга и производа, квалитет јавних услуга и уштеде у јавној управи. С тим у вези неопходна је целовита усмереност на сам процес пружања услуге и задовољство крајњег корисника процесом и услугом, али и успостављен јединствен систем за праћење, вредновање и извештавање о квалитету пружених јавних услуга како би се обезбедио висок квалитет и информисала јавност. Додатни изазов представља чињеница да Закон о министарствима није утврдио ниједну институцију која се на стандардизован начин бави политиком пружања услуга, тј. координацијом и контролом квалитета</w:t>
      </w:r>
      <w:r w:rsidR="006C0FCF" w:rsidRPr="000F0299">
        <w:t>.</w:t>
      </w:r>
    </w:p>
    <w:p w14:paraId="26C8461A" w14:textId="663BF1D0" w:rsidR="006C0FCF" w:rsidRPr="000F0299" w:rsidRDefault="00E706E9" w:rsidP="00725146">
      <w:pPr>
        <w:pStyle w:val="Heading3"/>
        <w:rPr>
          <w:lang w:val="sr-Cyrl-RS"/>
        </w:rPr>
      </w:pPr>
      <w:bookmarkStart w:id="32" w:name="_Toc56725078"/>
      <w:bookmarkStart w:id="33" w:name="_Toc57661456"/>
      <w:r w:rsidRPr="000F0299">
        <w:rPr>
          <w:lang w:val="sr-Cyrl-RS"/>
        </w:rPr>
        <w:t>Посебан циљ и правци деловања</w:t>
      </w:r>
      <w:bookmarkEnd w:id="32"/>
      <w:bookmarkEnd w:id="33"/>
    </w:p>
    <w:p w14:paraId="52470116" w14:textId="77777777" w:rsidR="005856FA" w:rsidRPr="005856FA" w:rsidRDefault="005856FA" w:rsidP="005856FA">
      <w:pPr>
        <w:rPr>
          <w:color w:val="222222"/>
          <w:lang w:eastAsia="de-DE"/>
        </w:rPr>
      </w:pPr>
      <w:r w:rsidRPr="005856FA">
        <w:rPr>
          <w:color w:val="222222"/>
          <w:lang w:eastAsia="de-DE"/>
        </w:rPr>
        <w:t xml:space="preserve">Фокус реформи у области пружања услуга до 2030. године јесте стварање прилагодљиве јавне управе која у кратком року, уз разумне трошкове пружа интегрисане кориснички оријентисане услуге, посебно водећи рачуна о мањинским и угроженим друштвеним групама. </w:t>
      </w:r>
    </w:p>
    <w:p w14:paraId="20B2B328" w14:textId="1CD9CB50" w:rsidR="005856FA" w:rsidRPr="005856FA" w:rsidRDefault="005856FA" w:rsidP="005856FA">
      <w:pPr>
        <w:rPr>
          <w:color w:val="222222"/>
          <w:lang w:eastAsia="de-DE"/>
        </w:rPr>
      </w:pPr>
      <w:r w:rsidRPr="005856FA">
        <w:rPr>
          <w:color w:val="222222"/>
          <w:lang w:eastAsia="de-DE"/>
        </w:rPr>
        <w:t>За то је потребно успоставити систем за ра</w:t>
      </w:r>
      <w:r w:rsidR="005C6E93">
        <w:rPr>
          <w:color w:val="222222"/>
          <w:lang w:eastAsia="de-DE"/>
        </w:rPr>
        <w:t>з</w:t>
      </w:r>
      <w:r w:rsidRPr="005856FA">
        <w:rPr>
          <w:color w:val="222222"/>
          <w:lang w:eastAsia="de-DE"/>
        </w:rPr>
        <w:t>вој нових, кориснички оријентисаних услуга и оптимизацију постојећих услуга тако што ће се континуирано укључивати шира друштвена заједница у процес развоја услуга и употребљавати иновативни алати, а следећи вредности ЕУ и примењујући њене стандарде у тој области. Ефикасно пружање квалитетних услуга ће зависити и од капацитета јавне управе да ефикасно искористи велике сетове података, вештачку интелигенцију и блокчејн технологију како би брзо идентификовала просторе за оптимизацију постојећих и развој нових услуга, као и за унапређење интерних позадинских процеса у пружању услуга.</w:t>
      </w:r>
    </w:p>
    <w:p w14:paraId="028FBE08" w14:textId="77777777" w:rsidR="005856FA" w:rsidRPr="005856FA" w:rsidRDefault="005856FA" w:rsidP="005856FA">
      <w:pPr>
        <w:rPr>
          <w:color w:val="222222"/>
          <w:lang w:eastAsia="de-DE"/>
        </w:rPr>
      </w:pPr>
      <w:r w:rsidRPr="005856FA">
        <w:rPr>
          <w:color w:val="222222"/>
          <w:lang w:eastAsia="de-DE"/>
        </w:rPr>
        <w:t>Намера је да се овом стратегијом системски успостави оквир развоја, управљања и контроле политике пружања услугама, уз активно укључивање крајњих корисника у развој нових и оптимизацију постојећих услуга како би оне у највећој могућој мери биле усклађене са њиховим потребама. Да би се остварило и омогућило временски и трошковно ефикасно пружање услуга, потребно је оснажити људске и техничко-технолошке капацитете за пружање услуга и успоставити ефикасан систем контроле и обезбеђивања квалитета пружених услуга уз сталну проверу задовољства крајњих корисника.</w:t>
      </w:r>
    </w:p>
    <w:p w14:paraId="17CADA5A" w14:textId="7F6C1F9E" w:rsidR="00BA512D" w:rsidRPr="000F0299" w:rsidRDefault="00BA512D" w:rsidP="00BA512D">
      <w:pPr>
        <w:rPr>
          <w:b/>
          <w:bCs/>
          <w:lang w:eastAsia="de-DE"/>
        </w:rPr>
      </w:pPr>
      <w:r w:rsidRPr="000F0299">
        <w:rPr>
          <w:b/>
          <w:bCs/>
          <w:color w:val="222222"/>
          <w:lang w:eastAsia="de-DE"/>
        </w:rPr>
        <w:t xml:space="preserve">Посебан циљ 3.1. </w:t>
      </w:r>
      <w:r w:rsidRPr="000F0299">
        <w:rPr>
          <w:b/>
          <w:bCs/>
          <w:lang w:eastAsia="de-DE"/>
        </w:rPr>
        <w:t>Јавна управа на ефикасан и иновативан начин пружа услуге које одговарају на потребе крајњих корисника и унапређују њихово корисничко искуство</w:t>
      </w:r>
    </w:p>
    <w:tbl>
      <w:tblPr>
        <w:tblW w:w="5000" w:type="pct"/>
        <w:shd w:val="clear" w:color="auto" w:fill="E7E6E6" w:themeFill="background2"/>
        <w:tblLook w:val="00A0" w:firstRow="1" w:lastRow="0" w:firstColumn="1" w:lastColumn="0" w:noHBand="0" w:noVBand="0"/>
      </w:tblPr>
      <w:tblGrid>
        <w:gridCol w:w="327"/>
        <w:gridCol w:w="3111"/>
        <w:gridCol w:w="3448"/>
        <w:gridCol w:w="1776"/>
        <w:gridCol w:w="318"/>
      </w:tblGrid>
      <w:tr w:rsidR="0044461C" w:rsidRPr="000F0299" w14:paraId="3F5DFD8F" w14:textId="77777777" w:rsidTr="0044461C">
        <w:trPr>
          <w:trHeight w:val="20"/>
        </w:trPr>
        <w:tc>
          <w:tcPr>
            <w:tcW w:w="182" w:type="pct"/>
            <w:tcBorders>
              <w:top w:val="single" w:sz="18" w:space="0" w:color="C00000"/>
              <w:left w:val="single" w:sz="18" w:space="0" w:color="C00000"/>
            </w:tcBorders>
            <w:shd w:val="clear" w:color="auto" w:fill="F2F2F2" w:themeFill="background1" w:themeFillShade="F2"/>
          </w:tcPr>
          <w:p w14:paraId="5A19C402" w14:textId="77777777" w:rsidR="0044461C" w:rsidRPr="000F0299" w:rsidRDefault="0044461C" w:rsidP="005822B0">
            <w:pPr>
              <w:spacing w:before="0"/>
              <w:ind w:firstLine="0"/>
              <w:rPr>
                <w:b/>
                <w:bCs/>
                <w:sz w:val="16"/>
                <w:szCs w:val="16"/>
              </w:rPr>
            </w:pPr>
          </w:p>
        </w:tc>
        <w:tc>
          <w:tcPr>
            <w:tcW w:w="1732" w:type="pct"/>
            <w:tcBorders>
              <w:top w:val="single" w:sz="18" w:space="0" w:color="C00000"/>
            </w:tcBorders>
            <w:shd w:val="clear" w:color="auto" w:fill="F2F2F2" w:themeFill="background1" w:themeFillShade="F2"/>
          </w:tcPr>
          <w:p w14:paraId="29815BEA" w14:textId="77777777" w:rsidR="0044461C" w:rsidRPr="000F0299" w:rsidRDefault="0044461C" w:rsidP="005822B0">
            <w:pPr>
              <w:spacing w:before="0"/>
              <w:ind w:firstLine="0"/>
              <w:rPr>
                <w:b/>
                <w:bCs/>
                <w:sz w:val="16"/>
                <w:szCs w:val="16"/>
              </w:rPr>
            </w:pPr>
          </w:p>
        </w:tc>
        <w:tc>
          <w:tcPr>
            <w:tcW w:w="1920" w:type="pct"/>
            <w:tcBorders>
              <w:top w:val="single" w:sz="18" w:space="0" w:color="C00000"/>
            </w:tcBorders>
            <w:shd w:val="clear" w:color="auto" w:fill="F2F2F2" w:themeFill="background1" w:themeFillShade="F2"/>
            <w:vAlign w:val="center"/>
          </w:tcPr>
          <w:p w14:paraId="62AFFC05" w14:textId="77777777" w:rsidR="0044461C" w:rsidRPr="000F0299" w:rsidRDefault="0044461C" w:rsidP="005822B0">
            <w:pPr>
              <w:spacing w:before="0"/>
              <w:ind w:firstLine="0"/>
              <w:jc w:val="center"/>
              <w:rPr>
                <w:b/>
                <w:bCs/>
                <w:sz w:val="16"/>
                <w:szCs w:val="16"/>
              </w:rPr>
            </w:pPr>
          </w:p>
        </w:tc>
        <w:tc>
          <w:tcPr>
            <w:tcW w:w="989" w:type="pct"/>
            <w:tcBorders>
              <w:top w:val="single" w:sz="18" w:space="0" w:color="C00000"/>
            </w:tcBorders>
            <w:shd w:val="clear" w:color="auto" w:fill="F2F2F2" w:themeFill="background1" w:themeFillShade="F2"/>
            <w:vAlign w:val="center"/>
          </w:tcPr>
          <w:p w14:paraId="6155EC15" w14:textId="77777777" w:rsidR="0044461C" w:rsidRPr="000F0299" w:rsidRDefault="0044461C" w:rsidP="005822B0">
            <w:pPr>
              <w:spacing w:before="0"/>
              <w:ind w:firstLine="0"/>
              <w:jc w:val="center"/>
              <w:rPr>
                <w:b/>
                <w:bCs/>
                <w:sz w:val="16"/>
                <w:szCs w:val="16"/>
              </w:rPr>
            </w:pPr>
          </w:p>
        </w:tc>
        <w:tc>
          <w:tcPr>
            <w:tcW w:w="177" w:type="pct"/>
            <w:tcBorders>
              <w:top w:val="single" w:sz="18" w:space="0" w:color="C00000"/>
              <w:right w:val="single" w:sz="18" w:space="0" w:color="C00000"/>
            </w:tcBorders>
            <w:shd w:val="clear" w:color="auto" w:fill="F2F2F2" w:themeFill="background1" w:themeFillShade="F2"/>
          </w:tcPr>
          <w:p w14:paraId="384EBAB8" w14:textId="77777777" w:rsidR="0044461C" w:rsidRPr="000F0299" w:rsidRDefault="0044461C" w:rsidP="005822B0">
            <w:pPr>
              <w:spacing w:before="0"/>
              <w:ind w:firstLine="0"/>
              <w:jc w:val="center"/>
              <w:rPr>
                <w:b/>
                <w:bCs/>
                <w:sz w:val="16"/>
                <w:szCs w:val="16"/>
              </w:rPr>
            </w:pPr>
          </w:p>
        </w:tc>
      </w:tr>
      <w:tr w:rsidR="0044461C" w:rsidRPr="000F0299" w14:paraId="7865AB01" w14:textId="77777777" w:rsidTr="0044461C">
        <w:trPr>
          <w:trHeight w:val="490"/>
        </w:trPr>
        <w:tc>
          <w:tcPr>
            <w:tcW w:w="182" w:type="pct"/>
            <w:tcBorders>
              <w:left w:val="single" w:sz="18" w:space="0" w:color="C00000"/>
            </w:tcBorders>
            <w:shd w:val="clear" w:color="auto" w:fill="F2F2F2" w:themeFill="background1" w:themeFillShade="F2"/>
          </w:tcPr>
          <w:p w14:paraId="13D53330" w14:textId="77777777" w:rsidR="0044461C" w:rsidRPr="000F0299" w:rsidRDefault="0044461C" w:rsidP="005822B0">
            <w:pPr>
              <w:spacing w:before="0"/>
              <w:ind w:firstLine="0"/>
              <w:rPr>
                <w:b/>
                <w:bCs/>
              </w:rPr>
            </w:pPr>
          </w:p>
        </w:tc>
        <w:tc>
          <w:tcPr>
            <w:tcW w:w="1732" w:type="pct"/>
            <w:tcBorders>
              <w:left w:val="nil"/>
              <w:bottom w:val="single" w:sz="18" w:space="0" w:color="C00000"/>
              <w:right w:val="single" w:sz="18" w:space="0" w:color="FFFFFF" w:themeColor="background1"/>
            </w:tcBorders>
            <w:shd w:val="clear" w:color="auto" w:fill="F2F2F2" w:themeFill="background1" w:themeFillShade="F2"/>
          </w:tcPr>
          <w:p w14:paraId="751982EA" w14:textId="77777777" w:rsidR="0044461C" w:rsidRPr="000F0299" w:rsidRDefault="0044461C" w:rsidP="005822B0">
            <w:pPr>
              <w:spacing w:before="0"/>
              <w:ind w:firstLine="0"/>
              <w:rPr>
                <w:b/>
                <w:bCs/>
              </w:rPr>
            </w:pPr>
            <w:r w:rsidRPr="000F0299">
              <w:rPr>
                <w:b/>
                <w:bCs/>
              </w:rPr>
              <w:t>Показатељ исхода</w:t>
            </w:r>
          </w:p>
        </w:tc>
        <w:tc>
          <w:tcPr>
            <w:tcW w:w="1920"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6EC039F9" w14:textId="77777777" w:rsidR="0044461C" w:rsidRPr="000F0299" w:rsidRDefault="0044461C" w:rsidP="005822B0">
            <w:pPr>
              <w:spacing w:before="0"/>
              <w:ind w:firstLine="0"/>
              <w:jc w:val="center"/>
              <w:rPr>
                <w:b/>
                <w:bCs/>
              </w:rPr>
            </w:pPr>
            <w:r w:rsidRPr="000F0299">
              <w:rPr>
                <w:b/>
                <w:bCs/>
              </w:rPr>
              <w:t>ПВ</w:t>
            </w:r>
          </w:p>
        </w:tc>
        <w:tc>
          <w:tcPr>
            <w:tcW w:w="989" w:type="pct"/>
            <w:tcBorders>
              <w:left w:val="single" w:sz="18" w:space="0" w:color="FFFFFF" w:themeColor="background1"/>
              <w:bottom w:val="single" w:sz="18" w:space="0" w:color="C00000"/>
            </w:tcBorders>
            <w:shd w:val="clear" w:color="auto" w:fill="F2F2F2" w:themeFill="background1" w:themeFillShade="F2"/>
            <w:vAlign w:val="center"/>
          </w:tcPr>
          <w:p w14:paraId="5A60355D" w14:textId="3A3E6B18" w:rsidR="0044461C" w:rsidRPr="000F0299" w:rsidRDefault="0044461C" w:rsidP="005822B0">
            <w:pPr>
              <w:spacing w:before="0"/>
              <w:ind w:firstLine="0"/>
              <w:jc w:val="center"/>
              <w:rPr>
                <w:b/>
                <w:bCs/>
              </w:rPr>
            </w:pPr>
            <w:r w:rsidRPr="000F0299">
              <w:rPr>
                <w:b/>
                <w:bCs/>
              </w:rPr>
              <w:t>ЦВ</w:t>
            </w:r>
          </w:p>
        </w:tc>
        <w:tc>
          <w:tcPr>
            <w:tcW w:w="177" w:type="pct"/>
            <w:tcBorders>
              <w:right w:val="single" w:sz="18" w:space="0" w:color="C00000"/>
            </w:tcBorders>
            <w:shd w:val="clear" w:color="auto" w:fill="F2F2F2" w:themeFill="background1" w:themeFillShade="F2"/>
          </w:tcPr>
          <w:p w14:paraId="37EC1EC8" w14:textId="77777777" w:rsidR="0044461C" w:rsidRPr="000F0299" w:rsidRDefault="0044461C" w:rsidP="005822B0">
            <w:pPr>
              <w:spacing w:before="0"/>
              <w:ind w:firstLine="0"/>
              <w:jc w:val="center"/>
              <w:rPr>
                <w:b/>
                <w:bCs/>
              </w:rPr>
            </w:pPr>
          </w:p>
        </w:tc>
      </w:tr>
      <w:tr w:rsidR="0044461C" w:rsidRPr="000F0299" w14:paraId="62C6B971" w14:textId="77777777" w:rsidTr="0044461C">
        <w:trPr>
          <w:trHeight w:val="1082"/>
        </w:trPr>
        <w:tc>
          <w:tcPr>
            <w:tcW w:w="182" w:type="pct"/>
            <w:tcBorders>
              <w:left w:val="single" w:sz="18" w:space="0" w:color="C00000"/>
            </w:tcBorders>
            <w:shd w:val="clear" w:color="auto" w:fill="F2F2F2" w:themeFill="background1" w:themeFillShade="F2"/>
          </w:tcPr>
          <w:p w14:paraId="6F5E4916" w14:textId="77777777" w:rsidR="0044461C" w:rsidRPr="000F0299" w:rsidRDefault="0044461C" w:rsidP="005822B0">
            <w:pPr>
              <w:spacing w:before="0"/>
              <w:ind w:firstLine="0"/>
            </w:pPr>
          </w:p>
        </w:tc>
        <w:tc>
          <w:tcPr>
            <w:tcW w:w="1732"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0F26B76C" w14:textId="4488E0FF" w:rsidR="0044461C" w:rsidRPr="000F0299" w:rsidRDefault="0044461C" w:rsidP="005822B0">
            <w:pPr>
              <w:spacing w:before="0"/>
              <w:ind w:firstLine="0"/>
            </w:pPr>
            <w:r w:rsidRPr="000F0299">
              <w:t xml:space="preserve">Просечна оцена </w:t>
            </w:r>
            <w:r w:rsidR="00615F5E" w:rsidRPr="00615F5E">
              <w:rPr>
                <w:i/>
                <w:iCs/>
                <w:lang w:val="en-GB"/>
              </w:rPr>
              <w:t>SIGMA</w:t>
            </w:r>
            <w:r w:rsidR="00615F5E" w:rsidRPr="00B774F7">
              <w:t xml:space="preserve"> </w:t>
            </w:r>
            <w:r w:rsidRPr="000F0299">
              <w:t>Извештаја о праћењу у области пружања услуга за сва четири стуба мерења</w:t>
            </w:r>
          </w:p>
        </w:tc>
        <w:tc>
          <w:tcPr>
            <w:tcW w:w="1920"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B576966" w14:textId="77777777" w:rsidR="0044461C" w:rsidRPr="000F0299" w:rsidRDefault="0044461C" w:rsidP="005822B0">
            <w:pPr>
              <w:spacing w:before="0"/>
              <w:ind w:firstLine="0"/>
            </w:pPr>
            <w:r w:rsidRPr="000F0299">
              <w:t>(2019): 3</w:t>
            </w:r>
          </w:p>
        </w:tc>
        <w:tc>
          <w:tcPr>
            <w:tcW w:w="989"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394F05B7" w14:textId="6B01970F" w:rsidR="0044461C" w:rsidRPr="000F0299" w:rsidRDefault="0044461C" w:rsidP="005822B0">
            <w:pPr>
              <w:spacing w:before="0"/>
              <w:ind w:firstLine="0"/>
            </w:pPr>
            <w:r w:rsidRPr="000F0299">
              <w:t>(2021): 3,5</w:t>
            </w:r>
          </w:p>
          <w:p w14:paraId="279B1FCA" w14:textId="3476BA90" w:rsidR="0044461C" w:rsidRPr="000F0299" w:rsidRDefault="0044461C" w:rsidP="005822B0">
            <w:pPr>
              <w:spacing w:before="0"/>
              <w:ind w:firstLine="0"/>
            </w:pPr>
            <w:r w:rsidRPr="000F0299">
              <w:t>(2022): 3,5</w:t>
            </w:r>
          </w:p>
          <w:p w14:paraId="051F47DA" w14:textId="2D64F887" w:rsidR="0044461C" w:rsidRPr="000F0299" w:rsidRDefault="0044461C" w:rsidP="00445217">
            <w:pPr>
              <w:spacing w:before="0"/>
              <w:ind w:firstLine="0"/>
            </w:pPr>
            <w:r w:rsidRPr="000F0299">
              <w:t>(2023): 4</w:t>
            </w:r>
          </w:p>
          <w:p w14:paraId="1C1423E7" w14:textId="2E19BB71" w:rsidR="0044461C" w:rsidRPr="000F0299" w:rsidRDefault="0044461C" w:rsidP="005822B0">
            <w:pPr>
              <w:spacing w:before="0"/>
              <w:ind w:firstLine="0"/>
            </w:pPr>
            <w:r w:rsidRPr="000F0299">
              <w:t>(2024): 4</w:t>
            </w:r>
          </w:p>
          <w:p w14:paraId="4BB2271D" w14:textId="00DB884E" w:rsidR="0044461C" w:rsidRPr="000F0299" w:rsidRDefault="0044461C" w:rsidP="005822B0">
            <w:pPr>
              <w:spacing w:before="0"/>
              <w:ind w:firstLine="0"/>
            </w:pPr>
            <w:r w:rsidRPr="000F0299">
              <w:t>(2025): 4,5</w:t>
            </w:r>
          </w:p>
          <w:p w14:paraId="0C936758" w14:textId="77777777" w:rsidR="0044461C" w:rsidRPr="000F0299" w:rsidRDefault="0044461C" w:rsidP="005822B0">
            <w:pPr>
              <w:spacing w:before="0"/>
              <w:ind w:firstLine="0"/>
            </w:pPr>
            <w:r w:rsidRPr="000F0299">
              <w:t>(2027): 5</w:t>
            </w:r>
          </w:p>
          <w:p w14:paraId="0DF04C5A" w14:textId="77777777" w:rsidR="0044461C" w:rsidRPr="000F0299" w:rsidRDefault="0044461C" w:rsidP="005822B0">
            <w:pPr>
              <w:spacing w:before="0"/>
              <w:ind w:firstLine="0"/>
            </w:pPr>
            <w:r w:rsidRPr="000F0299">
              <w:t>(2030): 5</w:t>
            </w:r>
          </w:p>
        </w:tc>
        <w:tc>
          <w:tcPr>
            <w:tcW w:w="177" w:type="pct"/>
            <w:tcBorders>
              <w:right w:val="single" w:sz="18" w:space="0" w:color="C00000"/>
            </w:tcBorders>
            <w:shd w:val="clear" w:color="auto" w:fill="F2F2F2" w:themeFill="background1" w:themeFillShade="F2"/>
          </w:tcPr>
          <w:p w14:paraId="56ADC0B5" w14:textId="77777777" w:rsidR="0044461C" w:rsidRPr="000F0299" w:rsidRDefault="0044461C" w:rsidP="005822B0">
            <w:pPr>
              <w:spacing w:before="0"/>
              <w:ind w:firstLine="0"/>
            </w:pPr>
          </w:p>
        </w:tc>
      </w:tr>
      <w:tr w:rsidR="0044461C" w:rsidRPr="000F0299" w14:paraId="5D7B0BBB" w14:textId="77777777" w:rsidTr="0044461C">
        <w:trPr>
          <w:trHeight w:val="381"/>
        </w:trPr>
        <w:tc>
          <w:tcPr>
            <w:tcW w:w="182" w:type="pct"/>
            <w:tcBorders>
              <w:left w:val="single" w:sz="18" w:space="0" w:color="C00000"/>
            </w:tcBorders>
            <w:shd w:val="clear" w:color="auto" w:fill="F2F2F2" w:themeFill="background1" w:themeFillShade="F2"/>
          </w:tcPr>
          <w:p w14:paraId="594F46B2" w14:textId="77777777" w:rsidR="0044461C" w:rsidRPr="000F0299" w:rsidRDefault="0044461C" w:rsidP="005822B0">
            <w:pPr>
              <w:spacing w:before="0"/>
              <w:ind w:firstLine="0"/>
            </w:pPr>
          </w:p>
        </w:tc>
        <w:tc>
          <w:tcPr>
            <w:tcW w:w="1732"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51580849" w14:textId="1468965F" w:rsidR="0044461C" w:rsidRPr="000F0299" w:rsidRDefault="0044461C" w:rsidP="005822B0">
            <w:pPr>
              <w:spacing w:before="0"/>
              <w:ind w:firstLine="0"/>
            </w:pPr>
            <w:r w:rsidRPr="000F0299">
              <w:t>Удео административног оптерећења грађана и привреде у БДП-у</w:t>
            </w:r>
          </w:p>
        </w:tc>
        <w:tc>
          <w:tcPr>
            <w:tcW w:w="192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3942A865" w14:textId="5E7E86B9" w:rsidR="0044461C" w:rsidRPr="000F0299" w:rsidRDefault="0044461C" w:rsidP="005822B0">
            <w:pPr>
              <w:spacing w:before="0"/>
              <w:ind w:firstLine="0"/>
            </w:pPr>
            <w:r w:rsidRPr="000F0299">
              <w:t>(2016): 3,26%</w:t>
            </w:r>
          </w:p>
        </w:tc>
        <w:tc>
          <w:tcPr>
            <w:tcW w:w="989"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1FF77734" w14:textId="487623D0" w:rsidR="0044461C" w:rsidRPr="000F0299" w:rsidRDefault="0044461C" w:rsidP="005822B0">
            <w:pPr>
              <w:spacing w:before="0"/>
              <w:ind w:firstLine="0"/>
            </w:pPr>
            <w:r w:rsidRPr="000F0299">
              <w:t>(2021): 3,00%</w:t>
            </w:r>
          </w:p>
          <w:p w14:paraId="73A4C44E" w14:textId="7E6D8B46" w:rsidR="0044461C" w:rsidRPr="000F0299" w:rsidRDefault="0044461C" w:rsidP="005822B0">
            <w:pPr>
              <w:spacing w:before="0"/>
              <w:ind w:firstLine="0"/>
            </w:pPr>
            <w:r w:rsidRPr="000F0299">
              <w:t>(2022): 2,75%</w:t>
            </w:r>
          </w:p>
          <w:p w14:paraId="130BC9F1" w14:textId="64C5CC5D" w:rsidR="0044461C" w:rsidRPr="000F0299" w:rsidRDefault="0044461C" w:rsidP="005822B0">
            <w:pPr>
              <w:spacing w:before="0"/>
              <w:ind w:firstLine="0"/>
            </w:pPr>
            <w:r w:rsidRPr="000F0299">
              <w:t>(2023): 2,62%</w:t>
            </w:r>
          </w:p>
          <w:p w14:paraId="464EE1B7" w14:textId="61828735" w:rsidR="0044461C" w:rsidRPr="000F0299" w:rsidRDefault="0044461C" w:rsidP="005822B0">
            <w:pPr>
              <w:spacing w:before="0"/>
              <w:ind w:firstLine="0"/>
            </w:pPr>
            <w:r w:rsidRPr="000F0299">
              <w:t>(2024): 2,50%</w:t>
            </w:r>
          </w:p>
          <w:p w14:paraId="5B36080A" w14:textId="67E12D63" w:rsidR="0044461C" w:rsidRPr="000F0299" w:rsidRDefault="0044461C" w:rsidP="005822B0">
            <w:pPr>
              <w:spacing w:before="0"/>
              <w:ind w:firstLine="0"/>
            </w:pPr>
            <w:r w:rsidRPr="000F0299">
              <w:t>(2025): 2,50%</w:t>
            </w:r>
          </w:p>
          <w:p w14:paraId="42DF4A50" w14:textId="76925985" w:rsidR="0044461C" w:rsidRPr="000F0299" w:rsidRDefault="0044461C" w:rsidP="005822B0">
            <w:pPr>
              <w:spacing w:before="0"/>
              <w:ind w:firstLine="0"/>
            </w:pPr>
            <w:r w:rsidRPr="000F0299">
              <w:t>(2027): 2,35%</w:t>
            </w:r>
          </w:p>
          <w:p w14:paraId="1CEF7FA7" w14:textId="4ABF899E" w:rsidR="0044461C" w:rsidRPr="000F0299" w:rsidRDefault="0044461C" w:rsidP="005822B0">
            <w:pPr>
              <w:spacing w:before="0"/>
              <w:ind w:firstLine="0"/>
            </w:pPr>
            <w:r w:rsidRPr="000F0299">
              <w:t>(2030): 2,20%</w:t>
            </w:r>
          </w:p>
        </w:tc>
        <w:tc>
          <w:tcPr>
            <w:tcW w:w="177" w:type="pct"/>
            <w:tcBorders>
              <w:right w:val="single" w:sz="18" w:space="0" w:color="C00000"/>
            </w:tcBorders>
            <w:shd w:val="clear" w:color="auto" w:fill="F2F2F2" w:themeFill="background1" w:themeFillShade="F2"/>
          </w:tcPr>
          <w:p w14:paraId="2B00EC6E" w14:textId="77777777" w:rsidR="0044461C" w:rsidRPr="000F0299" w:rsidRDefault="0044461C" w:rsidP="005822B0">
            <w:pPr>
              <w:spacing w:before="0"/>
              <w:ind w:firstLine="0"/>
            </w:pPr>
          </w:p>
        </w:tc>
      </w:tr>
      <w:tr w:rsidR="0044461C" w:rsidRPr="000F0299" w14:paraId="5C07AC44" w14:textId="77777777" w:rsidTr="0044461C">
        <w:trPr>
          <w:trHeight w:val="340"/>
        </w:trPr>
        <w:tc>
          <w:tcPr>
            <w:tcW w:w="182" w:type="pct"/>
            <w:tcBorders>
              <w:left w:val="single" w:sz="18" w:space="0" w:color="C00000"/>
              <w:bottom w:val="single" w:sz="18" w:space="0" w:color="C00000"/>
            </w:tcBorders>
            <w:shd w:val="clear" w:color="auto" w:fill="F2F2F2" w:themeFill="background1" w:themeFillShade="F2"/>
          </w:tcPr>
          <w:p w14:paraId="7CC50E25" w14:textId="77777777" w:rsidR="0044461C" w:rsidRPr="000F0299" w:rsidRDefault="0044461C" w:rsidP="005822B0">
            <w:pPr>
              <w:spacing w:before="0"/>
              <w:ind w:firstLine="0"/>
              <w:rPr>
                <w:sz w:val="16"/>
                <w:szCs w:val="16"/>
              </w:rPr>
            </w:pPr>
          </w:p>
        </w:tc>
        <w:tc>
          <w:tcPr>
            <w:tcW w:w="1732" w:type="pct"/>
            <w:tcBorders>
              <w:bottom w:val="single" w:sz="18" w:space="0" w:color="C00000"/>
            </w:tcBorders>
            <w:shd w:val="clear" w:color="auto" w:fill="F2F2F2" w:themeFill="background1" w:themeFillShade="F2"/>
          </w:tcPr>
          <w:p w14:paraId="2EBCA970" w14:textId="77777777" w:rsidR="0044461C" w:rsidRPr="000F0299" w:rsidRDefault="0044461C" w:rsidP="005822B0">
            <w:pPr>
              <w:spacing w:before="0"/>
              <w:ind w:firstLine="0"/>
              <w:rPr>
                <w:sz w:val="16"/>
                <w:szCs w:val="16"/>
              </w:rPr>
            </w:pPr>
          </w:p>
        </w:tc>
        <w:tc>
          <w:tcPr>
            <w:tcW w:w="1920" w:type="pct"/>
            <w:tcBorders>
              <w:bottom w:val="single" w:sz="18" w:space="0" w:color="C00000"/>
            </w:tcBorders>
            <w:shd w:val="clear" w:color="auto" w:fill="F2F2F2" w:themeFill="background1" w:themeFillShade="F2"/>
          </w:tcPr>
          <w:p w14:paraId="16BCFB3E" w14:textId="77777777" w:rsidR="0044461C" w:rsidRPr="000F0299" w:rsidRDefault="0044461C" w:rsidP="005822B0">
            <w:pPr>
              <w:spacing w:before="0"/>
              <w:ind w:firstLine="0"/>
              <w:rPr>
                <w:sz w:val="16"/>
                <w:szCs w:val="16"/>
              </w:rPr>
            </w:pPr>
          </w:p>
        </w:tc>
        <w:tc>
          <w:tcPr>
            <w:tcW w:w="989" w:type="pct"/>
            <w:tcBorders>
              <w:bottom w:val="single" w:sz="18" w:space="0" w:color="C00000"/>
            </w:tcBorders>
            <w:shd w:val="clear" w:color="auto" w:fill="F2F2F2" w:themeFill="background1" w:themeFillShade="F2"/>
          </w:tcPr>
          <w:p w14:paraId="5A6B4ACD" w14:textId="77777777" w:rsidR="0044461C" w:rsidRPr="000F0299" w:rsidRDefault="0044461C" w:rsidP="005822B0">
            <w:pPr>
              <w:spacing w:before="0"/>
              <w:ind w:firstLine="0"/>
              <w:rPr>
                <w:sz w:val="16"/>
                <w:szCs w:val="16"/>
              </w:rPr>
            </w:pPr>
          </w:p>
        </w:tc>
        <w:tc>
          <w:tcPr>
            <w:tcW w:w="177" w:type="pct"/>
            <w:tcBorders>
              <w:bottom w:val="single" w:sz="18" w:space="0" w:color="C00000"/>
              <w:right w:val="single" w:sz="18" w:space="0" w:color="C00000"/>
            </w:tcBorders>
            <w:shd w:val="clear" w:color="auto" w:fill="F2F2F2" w:themeFill="background1" w:themeFillShade="F2"/>
          </w:tcPr>
          <w:p w14:paraId="6121780E" w14:textId="77777777" w:rsidR="0044461C" w:rsidRPr="000F0299" w:rsidRDefault="0044461C" w:rsidP="005822B0">
            <w:pPr>
              <w:spacing w:before="0"/>
              <w:ind w:firstLine="0"/>
              <w:rPr>
                <w:sz w:val="16"/>
                <w:szCs w:val="16"/>
              </w:rPr>
            </w:pPr>
          </w:p>
        </w:tc>
      </w:tr>
    </w:tbl>
    <w:p w14:paraId="5311E31D" w14:textId="25354444" w:rsidR="006C0FCF" w:rsidRPr="000F0299" w:rsidRDefault="006C0FCF" w:rsidP="003616D6">
      <w:pPr>
        <w:spacing w:after="0"/>
        <w:rPr>
          <w:rFonts w:ascii="Arial Narrow" w:hAnsi="Arial Narrow" w:cstheme="minorHAnsi"/>
          <w:lang w:eastAsia="de-DE"/>
        </w:rPr>
      </w:pPr>
      <w:r w:rsidRPr="000F0299">
        <w:rPr>
          <w:color w:val="222222"/>
          <w:lang w:eastAsia="de-DE"/>
        </w:rPr>
        <w:t xml:space="preserve">Како би се остварио </w:t>
      </w:r>
      <w:r w:rsidR="00967988">
        <w:rPr>
          <w:b/>
          <w:bCs/>
          <w:color w:val="222222"/>
          <w:lang w:eastAsia="de-DE"/>
        </w:rPr>
        <w:t>П</w:t>
      </w:r>
      <w:r w:rsidRPr="000F0299">
        <w:rPr>
          <w:b/>
          <w:bCs/>
          <w:color w:val="222222"/>
          <w:lang w:eastAsia="de-DE"/>
        </w:rPr>
        <w:t xml:space="preserve">осебан циљ 3.1. </w:t>
      </w:r>
      <w:r w:rsidRPr="000F0299">
        <w:rPr>
          <w:color w:val="222222"/>
          <w:lang w:eastAsia="de-DE"/>
        </w:rPr>
        <w:t xml:space="preserve">предвиђено је спровођење следећих мера: </w:t>
      </w:r>
    </w:p>
    <w:p w14:paraId="06295220" w14:textId="77777777" w:rsidR="005E21C5" w:rsidRDefault="006C0FCF" w:rsidP="00E62A1A">
      <w:pPr>
        <w:pStyle w:val="ListParagraph"/>
        <w:numPr>
          <w:ilvl w:val="0"/>
          <w:numId w:val="25"/>
        </w:numPr>
        <w:spacing w:before="0" w:line="257" w:lineRule="auto"/>
        <w:ind w:left="714" w:hanging="357"/>
      </w:pPr>
      <w:r w:rsidRPr="000F0299">
        <w:t>Унапређење развоја кориснички орјентисаних услуга кроз унапређење процеса развоја и оптимизацију постојећих услуга</w:t>
      </w:r>
      <w:r w:rsidR="00C07375">
        <w:t>;</w:t>
      </w:r>
      <w:r w:rsidRPr="000F0299">
        <w:t xml:space="preserve"> </w:t>
      </w:r>
    </w:p>
    <w:p w14:paraId="640C3BA5" w14:textId="77777777" w:rsidR="005E21C5" w:rsidRDefault="006C0FCF" w:rsidP="00E62A1A">
      <w:pPr>
        <w:pStyle w:val="ListParagraph"/>
        <w:numPr>
          <w:ilvl w:val="0"/>
          <w:numId w:val="25"/>
        </w:numPr>
        <w:spacing w:before="0" w:line="257" w:lineRule="auto"/>
        <w:ind w:left="714" w:hanging="357"/>
      </w:pPr>
      <w:r w:rsidRPr="000F0299">
        <w:t xml:space="preserve">Повећање људских и техничко-технолошких капацитета јавне управе за пружање кориснички орјентисаних </w:t>
      </w:r>
      <w:r w:rsidRPr="00C07375">
        <w:t>услуга</w:t>
      </w:r>
      <w:r w:rsidR="00C07375" w:rsidRPr="00C07375">
        <w:t>;</w:t>
      </w:r>
      <w:r w:rsidRPr="00C07375">
        <w:t xml:space="preserve"> </w:t>
      </w:r>
    </w:p>
    <w:p w14:paraId="557D0406" w14:textId="4E77C6A3" w:rsidR="006C0FCF" w:rsidRDefault="006C0FCF" w:rsidP="00E62A1A">
      <w:pPr>
        <w:pStyle w:val="ListParagraph"/>
        <w:numPr>
          <w:ilvl w:val="0"/>
          <w:numId w:val="25"/>
        </w:numPr>
        <w:spacing w:before="0" w:line="257" w:lineRule="auto"/>
        <w:ind w:left="714" w:hanging="357"/>
      </w:pPr>
      <w:r w:rsidRPr="00C07375">
        <w:t>Унапређен систем контроле и обезбеђења квалитета</w:t>
      </w:r>
      <w:r w:rsidRPr="000F0299">
        <w:t xml:space="preserve"> услуга.</w:t>
      </w:r>
    </w:p>
    <w:p w14:paraId="7CC8BE31" w14:textId="239C2703" w:rsidR="00C07375" w:rsidRPr="000F0299" w:rsidRDefault="00C07375" w:rsidP="00C07375">
      <w:pPr>
        <w:ind w:left="357" w:firstLine="0"/>
      </w:pPr>
      <w:r w:rsidRPr="00C07375">
        <w:t xml:space="preserve">Напомена: Извор наведених докумената јавних политика и прописа дати су у </w:t>
      </w:r>
      <w:hyperlink w:anchor="_ΙII._Пружање_услуга" w:history="1">
        <w:r w:rsidRPr="00C07375">
          <w:rPr>
            <w:rStyle w:val="Hyperlink"/>
          </w:rPr>
          <w:t>Прилогу 2</w:t>
        </w:r>
      </w:hyperlink>
      <w:r w:rsidRPr="00C07375">
        <w:t xml:space="preserve"> у којем је приказана и детаљна анализа за тематску област Пружање услуга.</w:t>
      </w:r>
    </w:p>
    <w:p w14:paraId="1C6CC06D" w14:textId="3C1E0DA1" w:rsidR="008751D9" w:rsidRPr="000F0299" w:rsidRDefault="008751D9">
      <w:pPr>
        <w:suppressAutoHyphens w:val="0"/>
        <w:autoSpaceDN/>
        <w:spacing w:before="0" w:after="160" w:line="259" w:lineRule="auto"/>
        <w:ind w:firstLine="0"/>
        <w:jc w:val="left"/>
        <w:textAlignment w:val="auto"/>
      </w:pPr>
      <w:r w:rsidRPr="000F0299">
        <w:br w:type="page"/>
      </w:r>
    </w:p>
    <w:p w14:paraId="38103691" w14:textId="68E935E5" w:rsidR="006C0FCF" w:rsidRPr="000F0299" w:rsidRDefault="006C0FCF" w:rsidP="003D3BC5">
      <w:pPr>
        <w:pStyle w:val="Heading2"/>
        <w:rPr>
          <w:lang w:val="sr-Cyrl-RS"/>
        </w:rPr>
      </w:pPr>
      <w:bookmarkStart w:id="34" w:name="_Toc45013962"/>
      <w:bookmarkStart w:id="35" w:name="_Toc56725079"/>
      <w:bookmarkStart w:id="36" w:name="_Toc57661457"/>
      <w:bookmarkStart w:id="37" w:name="_Toc45013968"/>
      <w:r w:rsidRPr="000F0299">
        <w:rPr>
          <w:lang w:val="sr-Cyrl-RS"/>
        </w:rPr>
        <w:t xml:space="preserve">IV </w:t>
      </w:r>
      <w:r w:rsidR="00BA512D" w:rsidRPr="000F0299">
        <w:rPr>
          <w:lang w:val="sr-Cyrl-RS"/>
        </w:rPr>
        <w:t>О</w:t>
      </w:r>
      <w:r w:rsidR="00E706E9" w:rsidRPr="000F0299">
        <w:rPr>
          <w:lang w:val="sr-Cyrl-RS"/>
        </w:rPr>
        <w:t>дговорност и транспарентност у јавној управи</w:t>
      </w:r>
      <w:bookmarkEnd w:id="34"/>
      <w:bookmarkEnd w:id="35"/>
      <w:bookmarkEnd w:id="36"/>
    </w:p>
    <w:p w14:paraId="610A3117" w14:textId="342C75F2" w:rsidR="006C0FCF" w:rsidRPr="000F0299" w:rsidRDefault="00E706E9" w:rsidP="00725146">
      <w:pPr>
        <w:pStyle w:val="Heading3"/>
        <w:rPr>
          <w:lang w:val="sr-Cyrl-RS"/>
        </w:rPr>
      </w:pPr>
      <w:bookmarkStart w:id="38" w:name="_Toc56725080"/>
      <w:bookmarkStart w:id="39" w:name="_Toc57661458"/>
      <w:r w:rsidRPr="000F0299">
        <w:rPr>
          <w:lang w:val="sr-Cyrl-RS"/>
        </w:rPr>
        <w:t>Анализа стања</w:t>
      </w:r>
      <w:bookmarkEnd w:id="38"/>
      <w:bookmarkEnd w:id="39"/>
    </w:p>
    <w:p w14:paraId="2CE82695" w14:textId="77777777" w:rsidR="007D3CC9" w:rsidRPr="007D3CC9" w:rsidRDefault="007D3CC9" w:rsidP="007D3CC9">
      <w:pPr>
        <w:rPr>
          <w:iCs/>
          <w:lang w:val="uz-Cyrl-UZ"/>
        </w:rPr>
      </w:pPr>
      <w:r w:rsidRPr="007D3CC9">
        <w:rPr>
          <w:lang w:val="uz-Cyrl-UZ"/>
        </w:rPr>
        <w:t xml:space="preserve">Анализа </w:t>
      </w:r>
      <w:r w:rsidRPr="007D3CC9">
        <w:t xml:space="preserve">стања </w:t>
      </w:r>
      <w:r w:rsidRPr="007D3CC9">
        <w:rPr>
          <w:lang w:val="uz-Cyrl-UZ"/>
        </w:rPr>
        <w:t xml:space="preserve">у области одговорности и транспарентности у јавној управи ослања се у највећој мери на налазе из </w:t>
      </w:r>
      <w:r w:rsidRPr="007D3CC9">
        <w:rPr>
          <w:i/>
          <w:lang w:val="uz-Cyrl-UZ"/>
        </w:rPr>
        <w:t>ОЕ</w:t>
      </w:r>
      <w:r w:rsidRPr="007D3CC9">
        <w:rPr>
          <w:i/>
          <w:lang w:val="sr-Latn-RS"/>
        </w:rPr>
        <w:t>CD</w:t>
      </w:r>
      <w:r w:rsidRPr="007D3CC9">
        <w:rPr>
          <w:i/>
          <w:lang w:val="uz-Cyrl-UZ"/>
        </w:rPr>
        <w:t>/</w:t>
      </w:r>
      <w:r w:rsidRPr="007D3CC9">
        <w:rPr>
          <w:i/>
          <w:lang w:val="sr-Latn-RS"/>
        </w:rPr>
        <w:t>SIGMA</w:t>
      </w:r>
      <w:r w:rsidRPr="007D3CC9">
        <w:rPr>
          <w:lang w:val="uz-Cyrl-UZ"/>
        </w:rPr>
        <w:t xml:space="preserve"> извештаја о праћењу реформе јавне управе у Републици Србији из 2015. и 2017. године,</w:t>
      </w:r>
      <w:r w:rsidRPr="007D3CC9">
        <w:rPr>
          <w:vertAlign w:val="superscript"/>
          <w:lang w:val="uz-Cyrl-UZ"/>
        </w:rPr>
        <w:t xml:space="preserve"> </w:t>
      </w:r>
      <w:r w:rsidRPr="007D3CC9">
        <w:rPr>
          <w:lang w:val="uz-Cyrl-UZ"/>
        </w:rPr>
        <w:t>као и</w:t>
      </w:r>
      <w:r w:rsidRPr="007D3CC9">
        <w:t xml:space="preserve"> из </w:t>
      </w:r>
      <w:r w:rsidRPr="007D3CC9">
        <w:rPr>
          <w:lang w:val="uz-Cyrl-UZ"/>
        </w:rPr>
        <w:t xml:space="preserve">годишњих извештаја о </w:t>
      </w:r>
      <w:r w:rsidRPr="007D3CC9">
        <w:rPr>
          <w:bCs/>
          <w:lang w:val="uz-Cyrl-UZ"/>
        </w:rPr>
        <w:t>напретку Републике Србије у процесу придруживања Европској унији.</w:t>
      </w:r>
      <w:r w:rsidRPr="007D3CC9">
        <w:rPr>
          <w:bCs/>
        </w:rPr>
        <w:t xml:space="preserve"> </w:t>
      </w:r>
      <w:r w:rsidRPr="007D3CC9">
        <w:t xml:space="preserve">С друге стране, </w:t>
      </w:r>
      <w:r w:rsidRPr="007D3CC9">
        <w:rPr>
          <w:iCs/>
        </w:rPr>
        <w:t>д</w:t>
      </w:r>
      <w:r w:rsidRPr="007D3CC9">
        <w:rPr>
          <w:iCs/>
          <w:lang w:val="uz-Cyrl-UZ"/>
        </w:rPr>
        <w:t xml:space="preserve">ео </w:t>
      </w:r>
      <w:r w:rsidRPr="007D3CC9">
        <w:rPr>
          <w:iCs/>
        </w:rPr>
        <w:t xml:space="preserve">ове тематске области </w:t>
      </w:r>
      <w:r w:rsidRPr="007D3CC9">
        <w:rPr>
          <w:iCs/>
          <w:lang w:val="uz-Cyrl-UZ"/>
        </w:rPr>
        <w:t>прати се посебно кроз Ревидирани акциони план за Преговарачко поглавље 23 и Стратегију развоја правосуђа за период 2020–2025. и Програм реформе управљања јавним финансијама.</w:t>
      </w:r>
    </w:p>
    <w:p w14:paraId="611CDE25" w14:textId="6A5981F8" w:rsidR="007D3CC9" w:rsidRPr="007D3CC9" w:rsidRDefault="007D3CC9" w:rsidP="007D3CC9">
      <w:r w:rsidRPr="007D3CC9">
        <w:rPr>
          <w:lang w:val="ru-RU"/>
        </w:rPr>
        <w:t xml:space="preserve">Управљачка одговорност је утврђена у Закону о буџетском систему, а додатно разрађена </w:t>
      </w:r>
      <w:r w:rsidRPr="007D3CC9">
        <w:rPr>
          <w:bCs/>
          <w:lang w:val="uz-Cyrl-UZ"/>
        </w:rPr>
        <w:t>Правилником о финансијском управљању о контроли и</w:t>
      </w:r>
      <w:r w:rsidRPr="007D3CC9">
        <w:rPr>
          <w:lang w:val="ru-RU"/>
        </w:rPr>
        <w:t xml:space="preserve"> методолошким смерницама које је израдила Централна јединица за хармонизацију. </w:t>
      </w:r>
      <w:r w:rsidRPr="007D3CC9">
        <w:t xml:space="preserve">Додатно, </w:t>
      </w:r>
      <w:r w:rsidRPr="007D3CC9">
        <w:rPr>
          <w:lang w:val="ru-RU"/>
        </w:rPr>
        <w:t xml:space="preserve">ЗПС проширује управљачку одговорност на креирање јавних политика (вертикална компонента), уводи мерљиве показатеље и праћење спровођења планских документа. Међутим, и поред тога, </w:t>
      </w:r>
      <w:r w:rsidRPr="007D3CC9">
        <w:t>један од највећих изазова у овој области тиче се организације управљања на централном нивоу који указује на потребу да се у органима јавне управе у</w:t>
      </w:r>
      <w:r w:rsidR="005C6E93">
        <w:t>с</w:t>
      </w:r>
      <w:r w:rsidRPr="007D3CC9">
        <w:t>постави хоризонтално</w:t>
      </w:r>
      <w:r w:rsidRPr="007D3CC9">
        <w:rPr>
          <w:bCs/>
        </w:rPr>
        <w:t xml:space="preserve"> и вертикално управљање оријентисано на управљање према учинку,</w:t>
      </w:r>
      <w:r w:rsidRPr="007D3CC9">
        <w:t xml:space="preserve"> као и довољно развијен принцип поделе одговорности и механизми извештавања између „политичког” и „стручног” дела органа јавне управе.</w:t>
      </w:r>
    </w:p>
    <w:p w14:paraId="1CB49CC2" w14:textId="77777777" w:rsidR="007D3CC9" w:rsidRPr="007D3CC9" w:rsidRDefault="007D3CC9" w:rsidP="007D3CC9">
      <w:pPr>
        <w:rPr>
          <w:lang w:val="ru-RU"/>
        </w:rPr>
      </w:pPr>
      <w:r w:rsidRPr="007D3CC9">
        <w:rPr>
          <w:bCs/>
          <w:lang w:val="ru-RU"/>
        </w:rPr>
        <w:t>Доступни подаци указују да</w:t>
      </w:r>
      <w:r w:rsidRPr="007D3CC9">
        <w:rPr>
          <w:lang w:val="ru-RU"/>
        </w:rPr>
        <w:t xml:space="preserve"> се </w:t>
      </w:r>
      <w:r w:rsidRPr="007D3CC9">
        <w:rPr>
          <w:bCs/>
          <w:lang w:val="ru-RU"/>
        </w:rPr>
        <w:t>у органима јавне управе неадекватно управља ризицима од корупције и да се препоруке независних државних органа за побољшање</w:t>
      </w:r>
      <w:r>
        <w:rPr>
          <w:bCs/>
          <w:lang w:val="ru-RU"/>
        </w:rPr>
        <w:t xml:space="preserve"> </w:t>
      </w:r>
      <w:r w:rsidRPr="007D3CC9">
        <w:rPr>
          <w:bCs/>
          <w:lang w:val="ru-RU"/>
        </w:rPr>
        <w:t xml:space="preserve">организације, ефикасности и ефективности рада органа јавне управе не користе у довољној мери. Имајући то у виду, уочено је да је неопходно додатно уредити и систематизовати обавезе органа јавне управе које су значајне за област </w:t>
      </w:r>
      <w:r w:rsidRPr="007D3CC9">
        <w:rPr>
          <w:lang w:val="ru-RU"/>
        </w:rPr>
        <w:t>спречавања корупције</w:t>
      </w:r>
      <w:r w:rsidRPr="007D3CC9">
        <w:rPr>
          <w:bCs/>
          <w:lang w:val="ru-RU"/>
        </w:rPr>
        <w:t xml:space="preserve">, </w:t>
      </w:r>
      <w:r w:rsidRPr="007D3CC9">
        <w:rPr>
          <w:lang w:val="ru-RU"/>
        </w:rPr>
        <w:t>јачања интегритета и идентификације неправилности и превара</w:t>
      </w:r>
      <w:r w:rsidRPr="007D3CC9">
        <w:rPr>
          <w:bCs/>
          <w:lang w:val="ru-RU"/>
        </w:rPr>
        <w:t>.</w:t>
      </w:r>
    </w:p>
    <w:p w14:paraId="57EE6DD5" w14:textId="61CF8391" w:rsidR="007D3CC9" w:rsidRPr="007D3CC9" w:rsidRDefault="007D3CC9" w:rsidP="007D3CC9">
      <w:pPr>
        <w:rPr>
          <w:bCs/>
        </w:rPr>
      </w:pPr>
      <w:r w:rsidRPr="007D3CC9">
        <w:t>Законодавни и институционални оквир за област транспарентности и јавности рада</w:t>
      </w:r>
      <w:r w:rsidRPr="007D3CC9">
        <w:rPr>
          <w:lang w:val="sr-Latn-RS"/>
        </w:rPr>
        <w:t xml:space="preserve"> </w:t>
      </w:r>
      <w:r w:rsidRPr="007D3CC9">
        <w:t>у великој мери је унапређен доношењ</w:t>
      </w:r>
      <w:r w:rsidR="005C6E93">
        <w:t>е</w:t>
      </w:r>
      <w:r w:rsidRPr="007D3CC9">
        <w:t>м ЗПС, али и успостављ</w:t>
      </w:r>
      <w:r w:rsidR="005C6E93">
        <w:t>а</w:t>
      </w:r>
      <w:r w:rsidRPr="007D3CC9">
        <w:t xml:space="preserve">њем Портала отворених података, који представља централно место где су обједињени отворени подаци јавних институција и стављени на располагање грађанима, приватном и невладином сектору. </w:t>
      </w:r>
      <w:r w:rsidRPr="007D3CC9">
        <w:rPr>
          <w:bCs/>
        </w:rPr>
        <w:t>Важно је напоменути и да је уведена обавеза да се објави почетак припреме докумената јавних политика и нацрта закона, одржавања консултација и јавних расправа. Увођење обавезе значајно утиче на повећање транспарент</w:t>
      </w:r>
      <w:r w:rsidR="002A7AD0">
        <w:rPr>
          <w:bCs/>
        </w:rPr>
        <w:t>но</w:t>
      </w:r>
      <w:r w:rsidRPr="007D3CC9">
        <w:rPr>
          <w:bCs/>
        </w:rPr>
        <w:t>сти у процесу израде докумената јавних политика и закона. Међутим, потребно је да се ажурније објављују подаци, како на проактиван, тако и на реактиван начин. Додатни изазов представља недовољан број података који су објављени у машински читљивом формату, који омогућава бржу и лакшу претрагу, анализу и употребу.</w:t>
      </w:r>
    </w:p>
    <w:p w14:paraId="70F861ED" w14:textId="77777777" w:rsidR="007D3CC9" w:rsidRPr="007D3CC9" w:rsidRDefault="007D3CC9" w:rsidP="007D3CC9">
      <w:r w:rsidRPr="007D3CC9">
        <w:t>У току је спровођење трећег Акционог плана за спровођење иницијативе Партнерство за отворену управу за период 2018–2020. године и припрема четвртог Акционог плана за период 2020–2022. године, који садржи конкретне мере за повећање транспарентности рада јавне управе, учешћа јавности у одлучивању, као и за отварање података.</w:t>
      </w:r>
    </w:p>
    <w:p w14:paraId="2B06B1FD" w14:textId="03D1A5A8" w:rsidR="006C0FCF" w:rsidRPr="000F0299" w:rsidRDefault="007D3CC9" w:rsidP="007D3CC9">
      <w:r w:rsidRPr="007D3CC9">
        <w:t>Један од заједничких узрока проблема у области одговорности и транспарентности односи се на неадекватно разматрање извештаја независних државних органа у Народној скупштини. Имајући то у виду, потребно је додатно развити механизме за спровођење и извештавање јавности о спровођењу препорука Народне скупштине које се тичу побољшања стања у областима из надлежности независних државних органа</w:t>
      </w:r>
      <w:r w:rsidR="006C0FCF" w:rsidRPr="000F0299">
        <w:t>.</w:t>
      </w:r>
    </w:p>
    <w:p w14:paraId="493338B2" w14:textId="2449B409" w:rsidR="006C0FCF" w:rsidRPr="000F0299" w:rsidRDefault="007D3CC9" w:rsidP="00244E7C">
      <w:r w:rsidRPr="007D3CC9">
        <w:rPr>
          <w:lang w:val="ru-RU"/>
        </w:rPr>
        <w:t>Полазећи од комплексности области и чињенице да постоје и други стратешки документи који се односе на њене одређене аспекте</w:t>
      </w:r>
      <w:r w:rsidRPr="007D3CC9">
        <w:t xml:space="preserve">, ова </w:t>
      </w:r>
      <w:r w:rsidRPr="007D3CC9">
        <w:rPr>
          <w:lang w:val="ru-RU"/>
        </w:rPr>
        <w:t xml:space="preserve">стратегија </w:t>
      </w:r>
      <w:r w:rsidRPr="007D3CC9">
        <w:t>је у овом делу усредсређена на принципе ЕУ/</w:t>
      </w:r>
      <w:r w:rsidRPr="007D3CC9">
        <w:rPr>
          <w:i/>
        </w:rPr>
        <w:t>OECD</w:t>
      </w:r>
      <w:r w:rsidRPr="007D3CC9">
        <w:t xml:space="preserve"> који се тичу 1) рационалности и адекватности целокупне организације централне власти и управљачке одговорности, 2) права на приступ информацијама од јавног значаја и 3) постојање функционалних механизама за заштиту права грађана на добру управу и заштиту јавног интереса</w:t>
      </w:r>
      <w:r w:rsidR="006C0FCF" w:rsidRPr="000F0299">
        <w:t>.</w:t>
      </w:r>
    </w:p>
    <w:p w14:paraId="4D12DB48" w14:textId="4493B3DD" w:rsidR="006C0FCF" w:rsidRPr="000F0299" w:rsidRDefault="00E706E9" w:rsidP="00725146">
      <w:pPr>
        <w:pStyle w:val="Heading3"/>
        <w:rPr>
          <w:lang w:val="sr-Cyrl-RS"/>
        </w:rPr>
      </w:pPr>
      <w:bookmarkStart w:id="40" w:name="_Toc56725081"/>
      <w:bookmarkStart w:id="41" w:name="_Toc57661459"/>
      <w:bookmarkStart w:id="42" w:name="_Toc45013966"/>
      <w:r w:rsidRPr="000F0299">
        <w:rPr>
          <w:lang w:val="sr-Cyrl-RS"/>
        </w:rPr>
        <w:t>Посебан циљ и правци деловања</w:t>
      </w:r>
      <w:bookmarkEnd w:id="40"/>
      <w:bookmarkEnd w:id="41"/>
      <w:r w:rsidR="006C0FCF" w:rsidRPr="000F0299" w:rsidDel="002658A9">
        <w:rPr>
          <w:lang w:val="sr-Cyrl-RS"/>
        </w:rPr>
        <w:t xml:space="preserve"> </w:t>
      </w:r>
      <w:bookmarkEnd w:id="42"/>
    </w:p>
    <w:p w14:paraId="5D6316EA" w14:textId="77777777" w:rsidR="007D3CC9" w:rsidRPr="007D3CC9" w:rsidRDefault="007D3CC9" w:rsidP="007D3CC9">
      <w:pPr>
        <w:rPr>
          <w:lang w:val="ru-RU"/>
        </w:rPr>
      </w:pPr>
      <w:r w:rsidRPr="007D3CC9">
        <w:rPr>
          <w:lang w:val="ru-RU"/>
        </w:rPr>
        <w:t xml:space="preserve">Циљ Стратегије РЈУ у овој области обухвата стварање јавне управе у коју грађани имају поверења у погледу непристрасног, професионалног обављања јавних послова и у којој су успостављени ефикасни системи надзора и праћења рада, који омогућавају управљање према учинку и обезбеђују делотворност у раду. </w:t>
      </w:r>
    </w:p>
    <w:p w14:paraId="27D13939" w14:textId="4AF39C2F" w:rsidR="006C0FCF" w:rsidRPr="005E21C5" w:rsidRDefault="007D3CC9" w:rsidP="005E21C5">
      <w:pPr>
        <w:rPr>
          <w:lang w:val="ru-RU"/>
        </w:rPr>
      </w:pPr>
      <w:r w:rsidRPr="007D3CC9">
        <w:rPr>
          <w:b/>
          <w:bCs/>
          <w:lang w:val="ru-RU"/>
        </w:rPr>
        <w:t>Посебан циљ 4.1.</w:t>
      </w:r>
      <w:r w:rsidRPr="007D3CC9">
        <w:rPr>
          <w:b/>
          <w:bCs/>
          <w:iCs/>
        </w:rPr>
        <w:t xml:space="preserve"> Унапређен ниво одговорности и транспарентност на свим нивоима власти</w:t>
      </w:r>
      <w:r w:rsidRPr="007D3CC9">
        <w:rPr>
          <w:lang w:val="ru-RU"/>
        </w:rPr>
        <w:t xml:space="preserve"> треба да омогући и да се успостави ефикаснија етичка инфраструктура у јавној управи, са одрживим капацитетима, као и да се смањи интезитет ризика за настанак корупције и неетичког понашања на најмању могућу меру. Нагласак ће бити стављен и на редовно објављивање отворених података и информисање јавности о свим аспектима рада јавне управе како би се грађанима омогућило да прате и утичу на њен рад, укључујући извештаје о остварености циљева из докумената јавних политика</w:t>
      </w:r>
      <w:r w:rsidR="005E21C5">
        <w:rPr>
          <w:lang w:val="ru-RU"/>
        </w:rPr>
        <w:t>.</w:t>
      </w:r>
    </w:p>
    <w:tbl>
      <w:tblPr>
        <w:tblW w:w="5000" w:type="pct"/>
        <w:shd w:val="clear" w:color="auto" w:fill="E7E6E6" w:themeFill="background2"/>
        <w:tblLook w:val="00A0" w:firstRow="1" w:lastRow="0" w:firstColumn="1" w:lastColumn="0" w:noHBand="0" w:noVBand="0"/>
      </w:tblPr>
      <w:tblGrid>
        <w:gridCol w:w="342"/>
        <w:gridCol w:w="4592"/>
        <w:gridCol w:w="1857"/>
        <w:gridCol w:w="1857"/>
        <w:gridCol w:w="332"/>
      </w:tblGrid>
      <w:tr w:rsidR="0044461C" w:rsidRPr="000F0299" w14:paraId="0530D0C7" w14:textId="77777777" w:rsidTr="005128AA">
        <w:trPr>
          <w:trHeight w:val="174"/>
        </w:trPr>
        <w:tc>
          <w:tcPr>
            <w:tcW w:w="190" w:type="pct"/>
            <w:tcBorders>
              <w:top w:val="single" w:sz="18" w:space="0" w:color="C00000"/>
              <w:left w:val="single" w:sz="18" w:space="0" w:color="C00000"/>
            </w:tcBorders>
            <w:shd w:val="clear" w:color="auto" w:fill="F2F2F2" w:themeFill="background1" w:themeFillShade="F2"/>
          </w:tcPr>
          <w:p w14:paraId="7A44766B" w14:textId="77777777" w:rsidR="0044461C" w:rsidRPr="000F0299" w:rsidRDefault="0044461C" w:rsidP="005822B0">
            <w:pPr>
              <w:spacing w:before="0"/>
              <w:ind w:firstLine="0"/>
              <w:rPr>
                <w:b/>
                <w:bCs/>
                <w:sz w:val="16"/>
                <w:szCs w:val="16"/>
              </w:rPr>
            </w:pPr>
          </w:p>
        </w:tc>
        <w:tc>
          <w:tcPr>
            <w:tcW w:w="2557" w:type="pct"/>
            <w:tcBorders>
              <w:top w:val="single" w:sz="18" w:space="0" w:color="C00000"/>
            </w:tcBorders>
            <w:shd w:val="clear" w:color="auto" w:fill="F2F2F2" w:themeFill="background1" w:themeFillShade="F2"/>
          </w:tcPr>
          <w:p w14:paraId="2F7FCD99" w14:textId="77777777" w:rsidR="0044461C" w:rsidRPr="000F0299" w:rsidRDefault="0044461C" w:rsidP="005822B0">
            <w:pPr>
              <w:pStyle w:val="FootnoteText"/>
              <w:spacing w:after="60"/>
              <w:rPr>
                <w:lang w:val="sr-Cyrl-RS"/>
              </w:rPr>
            </w:pPr>
          </w:p>
        </w:tc>
        <w:tc>
          <w:tcPr>
            <w:tcW w:w="1034" w:type="pct"/>
            <w:tcBorders>
              <w:top w:val="single" w:sz="18" w:space="0" w:color="C00000"/>
            </w:tcBorders>
            <w:shd w:val="clear" w:color="auto" w:fill="F2F2F2" w:themeFill="background1" w:themeFillShade="F2"/>
            <w:vAlign w:val="center"/>
          </w:tcPr>
          <w:p w14:paraId="54FF419E" w14:textId="77777777" w:rsidR="0044461C" w:rsidRPr="000F0299" w:rsidRDefault="0044461C" w:rsidP="005822B0">
            <w:pPr>
              <w:spacing w:before="0"/>
              <w:ind w:firstLine="0"/>
              <w:jc w:val="center"/>
              <w:rPr>
                <w:b/>
                <w:bCs/>
                <w:sz w:val="16"/>
                <w:szCs w:val="16"/>
              </w:rPr>
            </w:pPr>
          </w:p>
        </w:tc>
        <w:tc>
          <w:tcPr>
            <w:tcW w:w="1034" w:type="pct"/>
            <w:tcBorders>
              <w:top w:val="single" w:sz="18" w:space="0" w:color="C00000"/>
            </w:tcBorders>
            <w:shd w:val="clear" w:color="auto" w:fill="F2F2F2" w:themeFill="background1" w:themeFillShade="F2"/>
            <w:vAlign w:val="center"/>
          </w:tcPr>
          <w:p w14:paraId="15C87BED" w14:textId="77777777" w:rsidR="0044461C" w:rsidRPr="000F0299" w:rsidRDefault="0044461C" w:rsidP="005822B0">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F2F2F2" w:themeFill="background1" w:themeFillShade="F2"/>
          </w:tcPr>
          <w:p w14:paraId="4746E0F4" w14:textId="77777777" w:rsidR="0044461C" w:rsidRPr="000F0299" w:rsidRDefault="0044461C" w:rsidP="005822B0">
            <w:pPr>
              <w:spacing w:before="0"/>
              <w:ind w:firstLine="0"/>
              <w:jc w:val="center"/>
              <w:rPr>
                <w:b/>
                <w:bCs/>
                <w:sz w:val="16"/>
                <w:szCs w:val="16"/>
              </w:rPr>
            </w:pPr>
          </w:p>
        </w:tc>
      </w:tr>
      <w:tr w:rsidR="0044461C" w:rsidRPr="000F0299" w14:paraId="67117C09" w14:textId="77777777" w:rsidTr="00BA512D">
        <w:trPr>
          <w:trHeight w:val="490"/>
        </w:trPr>
        <w:tc>
          <w:tcPr>
            <w:tcW w:w="190" w:type="pct"/>
            <w:tcBorders>
              <w:left w:val="single" w:sz="18" w:space="0" w:color="C00000"/>
            </w:tcBorders>
            <w:shd w:val="clear" w:color="auto" w:fill="F2F2F2" w:themeFill="background1" w:themeFillShade="F2"/>
          </w:tcPr>
          <w:p w14:paraId="3CC6177E" w14:textId="77777777" w:rsidR="0044461C" w:rsidRPr="000F0299" w:rsidRDefault="0044461C" w:rsidP="005822B0">
            <w:pPr>
              <w:spacing w:before="0"/>
              <w:ind w:firstLine="0"/>
              <w:rPr>
                <w:b/>
                <w:bCs/>
              </w:rPr>
            </w:pPr>
          </w:p>
        </w:tc>
        <w:tc>
          <w:tcPr>
            <w:tcW w:w="2557" w:type="pct"/>
            <w:tcBorders>
              <w:left w:val="nil"/>
              <w:bottom w:val="single" w:sz="18" w:space="0" w:color="C00000"/>
              <w:right w:val="single" w:sz="18" w:space="0" w:color="FFFFFF" w:themeColor="background1"/>
            </w:tcBorders>
            <w:shd w:val="clear" w:color="auto" w:fill="F2F2F2" w:themeFill="background1" w:themeFillShade="F2"/>
          </w:tcPr>
          <w:p w14:paraId="16801544" w14:textId="77777777" w:rsidR="0044461C" w:rsidRPr="000F0299" w:rsidRDefault="0044461C" w:rsidP="005822B0">
            <w:pPr>
              <w:spacing w:before="0"/>
              <w:ind w:firstLine="0"/>
              <w:rPr>
                <w:b/>
                <w:bCs/>
              </w:rPr>
            </w:pPr>
            <w:r w:rsidRPr="000F0299">
              <w:rPr>
                <w:b/>
                <w:bCs/>
              </w:rPr>
              <w:t>Показатељ исхода</w:t>
            </w:r>
          </w:p>
        </w:tc>
        <w:tc>
          <w:tcPr>
            <w:tcW w:w="1034"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4ABC9909" w14:textId="77777777" w:rsidR="0044461C" w:rsidRPr="000F0299" w:rsidRDefault="0044461C" w:rsidP="005822B0">
            <w:pPr>
              <w:spacing w:before="0"/>
              <w:ind w:firstLine="0"/>
              <w:jc w:val="center"/>
              <w:rPr>
                <w:b/>
                <w:bCs/>
              </w:rPr>
            </w:pPr>
            <w:r w:rsidRPr="000F0299">
              <w:rPr>
                <w:b/>
                <w:bCs/>
              </w:rPr>
              <w:t>ПВ</w:t>
            </w:r>
          </w:p>
        </w:tc>
        <w:tc>
          <w:tcPr>
            <w:tcW w:w="1034" w:type="pct"/>
            <w:tcBorders>
              <w:left w:val="single" w:sz="18" w:space="0" w:color="FFFFFF" w:themeColor="background1"/>
              <w:bottom w:val="single" w:sz="18" w:space="0" w:color="C00000"/>
            </w:tcBorders>
            <w:shd w:val="clear" w:color="auto" w:fill="F2F2F2" w:themeFill="background1" w:themeFillShade="F2"/>
            <w:vAlign w:val="center"/>
          </w:tcPr>
          <w:p w14:paraId="1C61B105" w14:textId="11072081" w:rsidR="0044461C" w:rsidRPr="000F0299" w:rsidRDefault="0044461C" w:rsidP="005822B0">
            <w:pPr>
              <w:spacing w:before="0"/>
              <w:ind w:firstLine="0"/>
              <w:jc w:val="center"/>
              <w:rPr>
                <w:b/>
                <w:bCs/>
              </w:rPr>
            </w:pPr>
            <w:r w:rsidRPr="000F0299">
              <w:rPr>
                <w:b/>
                <w:bCs/>
              </w:rPr>
              <w:t>ЦВ</w:t>
            </w:r>
          </w:p>
        </w:tc>
        <w:tc>
          <w:tcPr>
            <w:tcW w:w="185" w:type="pct"/>
            <w:tcBorders>
              <w:right w:val="single" w:sz="18" w:space="0" w:color="C00000"/>
            </w:tcBorders>
            <w:shd w:val="clear" w:color="auto" w:fill="F2F2F2" w:themeFill="background1" w:themeFillShade="F2"/>
          </w:tcPr>
          <w:p w14:paraId="6AD0CB3B" w14:textId="77777777" w:rsidR="0044461C" w:rsidRPr="000F0299" w:rsidRDefault="0044461C" w:rsidP="005822B0">
            <w:pPr>
              <w:spacing w:before="0"/>
              <w:ind w:firstLine="0"/>
              <w:jc w:val="center"/>
              <w:rPr>
                <w:b/>
                <w:bCs/>
              </w:rPr>
            </w:pPr>
          </w:p>
        </w:tc>
      </w:tr>
      <w:tr w:rsidR="0044461C" w:rsidRPr="000F0299" w14:paraId="43F36042" w14:textId="77777777" w:rsidTr="00BA512D">
        <w:trPr>
          <w:trHeight w:val="1082"/>
        </w:trPr>
        <w:tc>
          <w:tcPr>
            <w:tcW w:w="190" w:type="pct"/>
            <w:tcBorders>
              <w:left w:val="single" w:sz="18" w:space="0" w:color="C00000"/>
            </w:tcBorders>
            <w:shd w:val="clear" w:color="auto" w:fill="F2F2F2" w:themeFill="background1" w:themeFillShade="F2"/>
          </w:tcPr>
          <w:p w14:paraId="24D04ACD" w14:textId="77777777" w:rsidR="0044461C" w:rsidRPr="000F0299" w:rsidRDefault="0044461C" w:rsidP="005822B0">
            <w:pPr>
              <w:spacing w:before="0"/>
              <w:ind w:firstLine="0"/>
            </w:pPr>
          </w:p>
        </w:tc>
        <w:tc>
          <w:tcPr>
            <w:tcW w:w="2557"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65D252AB" w14:textId="26528110" w:rsidR="0044461C" w:rsidRPr="000F0299" w:rsidRDefault="0044461C" w:rsidP="005822B0">
            <w:pPr>
              <w:spacing w:before="0"/>
              <w:ind w:firstLine="0"/>
            </w:pPr>
            <w:r w:rsidRPr="000F0299">
              <w:t xml:space="preserve">Годишња процена ЕК о напретку у области одговорности   </w:t>
            </w:r>
          </w:p>
        </w:tc>
        <w:tc>
          <w:tcPr>
            <w:tcW w:w="1034"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0BA4CCD" w14:textId="4F06A5CD" w:rsidR="0044461C" w:rsidRPr="000F0299" w:rsidRDefault="0044461C" w:rsidP="005822B0">
            <w:pPr>
              <w:spacing w:before="0"/>
              <w:ind w:firstLine="0"/>
            </w:pPr>
            <w:r w:rsidRPr="000F0299">
              <w:t>(2020): не</w:t>
            </w:r>
          </w:p>
        </w:tc>
        <w:tc>
          <w:tcPr>
            <w:tcW w:w="1034"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133F5620" w14:textId="75D958D6" w:rsidR="0044461C" w:rsidRPr="000F0299" w:rsidRDefault="0044461C" w:rsidP="005822B0">
            <w:pPr>
              <w:spacing w:before="0"/>
              <w:ind w:firstLine="0"/>
            </w:pPr>
            <w:r w:rsidRPr="000F0299">
              <w:t>(2021): не</w:t>
            </w:r>
          </w:p>
          <w:p w14:paraId="7FD7B754" w14:textId="3F34806F" w:rsidR="0044461C" w:rsidRPr="000F0299" w:rsidRDefault="0044461C" w:rsidP="005822B0">
            <w:pPr>
              <w:spacing w:before="0"/>
              <w:ind w:firstLine="0"/>
            </w:pPr>
            <w:r w:rsidRPr="000F0299">
              <w:t>(2022): да</w:t>
            </w:r>
          </w:p>
          <w:p w14:paraId="11A10A14" w14:textId="616558B7" w:rsidR="0044461C" w:rsidRPr="000F0299" w:rsidRDefault="0044461C" w:rsidP="005822B0">
            <w:pPr>
              <w:spacing w:before="0"/>
              <w:ind w:firstLine="0"/>
            </w:pPr>
            <w:r w:rsidRPr="000F0299">
              <w:t>(2023): да</w:t>
            </w:r>
          </w:p>
          <w:p w14:paraId="6A0C5EC8" w14:textId="1F867F27" w:rsidR="0044461C" w:rsidRPr="000F0299" w:rsidRDefault="0044461C" w:rsidP="005822B0">
            <w:pPr>
              <w:spacing w:before="0"/>
              <w:ind w:firstLine="0"/>
            </w:pPr>
            <w:r w:rsidRPr="000F0299">
              <w:t>(2024): да</w:t>
            </w:r>
          </w:p>
          <w:p w14:paraId="779CFD5D" w14:textId="50082BB7" w:rsidR="0044461C" w:rsidRPr="000F0299" w:rsidRDefault="0044461C" w:rsidP="00445217">
            <w:pPr>
              <w:spacing w:before="0"/>
              <w:ind w:firstLine="0"/>
            </w:pPr>
            <w:r w:rsidRPr="000F0299">
              <w:t>(2025): да</w:t>
            </w:r>
          </w:p>
          <w:p w14:paraId="5CB0C967" w14:textId="665B6B8E" w:rsidR="0044461C" w:rsidRPr="000F0299" w:rsidRDefault="0044461C" w:rsidP="005822B0">
            <w:pPr>
              <w:spacing w:before="0"/>
              <w:ind w:firstLine="0"/>
            </w:pPr>
            <w:r w:rsidRPr="000F0299">
              <w:t>(2027): -</w:t>
            </w:r>
          </w:p>
          <w:p w14:paraId="052B4E90" w14:textId="398AF79F" w:rsidR="0044461C" w:rsidRPr="000F0299" w:rsidRDefault="0044461C" w:rsidP="005822B0">
            <w:pPr>
              <w:spacing w:before="0"/>
              <w:ind w:firstLine="0"/>
            </w:pPr>
            <w:r w:rsidRPr="000F0299">
              <w:t>(2030): -</w:t>
            </w:r>
          </w:p>
        </w:tc>
        <w:tc>
          <w:tcPr>
            <w:tcW w:w="185" w:type="pct"/>
            <w:tcBorders>
              <w:right w:val="single" w:sz="18" w:space="0" w:color="C00000"/>
            </w:tcBorders>
            <w:shd w:val="clear" w:color="auto" w:fill="F2F2F2" w:themeFill="background1" w:themeFillShade="F2"/>
          </w:tcPr>
          <w:p w14:paraId="69718B21" w14:textId="77777777" w:rsidR="0044461C" w:rsidRPr="000F0299" w:rsidRDefault="0044461C" w:rsidP="005822B0">
            <w:pPr>
              <w:spacing w:before="0"/>
              <w:ind w:firstLine="0"/>
            </w:pPr>
          </w:p>
        </w:tc>
      </w:tr>
      <w:tr w:rsidR="0044461C" w:rsidRPr="000F0299" w14:paraId="7BAF54F6" w14:textId="77777777" w:rsidTr="00BA512D">
        <w:trPr>
          <w:trHeight w:val="381"/>
        </w:trPr>
        <w:tc>
          <w:tcPr>
            <w:tcW w:w="190" w:type="pct"/>
            <w:tcBorders>
              <w:left w:val="single" w:sz="18" w:space="0" w:color="C00000"/>
            </w:tcBorders>
            <w:shd w:val="clear" w:color="auto" w:fill="F2F2F2" w:themeFill="background1" w:themeFillShade="F2"/>
          </w:tcPr>
          <w:p w14:paraId="6AC093B3" w14:textId="77777777" w:rsidR="0044461C" w:rsidRPr="000F0299" w:rsidRDefault="0044461C" w:rsidP="005822B0">
            <w:pPr>
              <w:spacing w:before="0"/>
              <w:ind w:firstLine="0"/>
            </w:pPr>
          </w:p>
        </w:tc>
        <w:tc>
          <w:tcPr>
            <w:tcW w:w="2557"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78EF1E0E" w14:textId="3055DBE3" w:rsidR="0044461C" w:rsidRPr="000F0299" w:rsidRDefault="00615F5E" w:rsidP="005822B0">
            <w:pPr>
              <w:spacing w:before="0"/>
              <w:ind w:firstLine="0"/>
            </w:pPr>
            <w:r w:rsidRPr="00615F5E">
              <w:rPr>
                <w:i/>
                <w:iCs/>
                <w:lang w:val="en-GB"/>
              </w:rPr>
              <w:t>SIGMA</w:t>
            </w:r>
            <w:r w:rsidR="005E21C5">
              <w:t xml:space="preserve"> </w:t>
            </w:r>
            <w:r w:rsidR="0044461C" w:rsidRPr="000F0299">
              <w:t>показатељ: Приступ информацијама од јавног значаја</w:t>
            </w:r>
          </w:p>
        </w:tc>
        <w:tc>
          <w:tcPr>
            <w:tcW w:w="1034"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0860EBBC" w14:textId="255F59FB" w:rsidR="0044461C" w:rsidRPr="000F0299" w:rsidRDefault="0044461C" w:rsidP="005822B0">
            <w:pPr>
              <w:spacing w:before="0"/>
              <w:ind w:firstLine="0"/>
            </w:pPr>
            <w:r w:rsidRPr="000F0299">
              <w:t>(2017): 21/30 (4)</w:t>
            </w:r>
          </w:p>
        </w:tc>
        <w:tc>
          <w:tcPr>
            <w:tcW w:w="1034"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39966EEE" w14:textId="77777777" w:rsidR="0044461C" w:rsidRPr="000F0299" w:rsidRDefault="0044461C" w:rsidP="005822B0">
            <w:pPr>
              <w:spacing w:before="0"/>
              <w:ind w:firstLine="0"/>
            </w:pPr>
            <w:r w:rsidRPr="000F0299">
              <w:t>(2021): -</w:t>
            </w:r>
          </w:p>
          <w:p w14:paraId="294116E8" w14:textId="3B47C08B" w:rsidR="0044461C" w:rsidRPr="000F0299" w:rsidRDefault="0044461C" w:rsidP="005822B0">
            <w:pPr>
              <w:spacing w:before="0"/>
              <w:ind w:firstLine="0"/>
            </w:pPr>
            <w:r w:rsidRPr="000F0299">
              <w:t>(2022): -</w:t>
            </w:r>
          </w:p>
          <w:p w14:paraId="41188D36" w14:textId="4AB25E26" w:rsidR="0044461C" w:rsidRPr="000F0299" w:rsidRDefault="0044461C" w:rsidP="005822B0">
            <w:pPr>
              <w:spacing w:before="0"/>
              <w:ind w:firstLine="0"/>
            </w:pPr>
            <w:r w:rsidRPr="000F0299">
              <w:t>(2023): -</w:t>
            </w:r>
          </w:p>
          <w:p w14:paraId="65EE33AC" w14:textId="37D2C6D9" w:rsidR="0044461C" w:rsidRPr="000F0299" w:rsidRDefault="0044461C" w:rsidP="005822B0">
            <w:pPr>
              <w:spacing w:before="0"/>
              <w:ind w:firstLine="0"/>
            </w:pPr>
            <w:r w:rsidRPr="000F0299">
              <w:t>(2024): -</w:t>
            </w:r>
          </w:p>
          <w:p w14:paraId="7E412C44" w14:textId="0D70FE64" w:rsidR="0044461C" w:rsidRPr="000F0299" w:rsidRDefault="0044461C" w:rsidP="005822B0">
            <w:pPr>
              <w:spacing w:before="0"/>
              <w:ind w:firstLine="0"/>
            </w:pPr>
            <w:r w:rsidRPr="000F0299">
              <w:t>(2025): 30/30 (5)</w:t>
            </w:r>
          </w:p>
          <w:p w14:paraId="254C244A" w14:textId="09B9E54C" w:rsidR="0044461C" w:rsidRPr="000F0299" w:rsidRDefault="0044461C" w:rsidP="005822B0">
            <w:pPr>
              <w:spacing w:before="0"/>
              <w:ind w:firstLine="0"/>
            </w:pPr>
            <w:r w:rsidRPr="000F0299">
              <w:t>(2027): -</w:t>
            </w:r>
          </w:p>
          <w:p w14:paraId="751900D3" w14:textId="44B0099A" w:rsidR="0044461C" w:rsidRPr="000F0299" w:rsidRDefault="0044461C" w:rsidP="005822B0">
            <w:pPr>
              <w:spacing w:before="0"/>
              <w:ind w:firstLine="0"/>
            </w:pPr>
            <w:r w:rsidRPr="000F0299">
              <w:t>(2030): -</w:t>
            </w:r>
          </w:p>
        </w:tc>
        <w:tc>
          <w:tcPr>
            <w:tcW w:w="185" w:type="pct"/>
            <w:tcBorders>
              <w:right w:val="single" w:sz="18" w:space="0" w:color="C00000"/>
            </w:tcBorders>
            <w:shd w:val="clear" w:color="auto" w:fill="F2F2F2" w:themeFill="background1" w:themeFillShade="F2"/>
          </w:tcPr>
          <w:p w14:paraId="5B41859A" w14:textId="77777777" w:rsidR="0044461C" w:rsidRPr="000F0299" w:rsidRDefault="0044461C" w:rsidP="005822B0">
            <w:pPr>
              <w:spacing w:before="0"/>
              <w:ind w:firstLine="0"/>
            </w:pPr>
          </w:p>
        </w:tc>
      </w:tr>
      <w:tr w:rsidR="0044461C" w:rsidRPr="000F0299" w14:paraId="041CD1F4" w14:textId="77777777" w:rsidTr="002234A7">
        <w:trPr>
          <w:trHeight w:val="240"/>
        </w:trPr>
        <w:tc>
          <w:tcPr>
            <w:tcW w:w="190" w:type="pct"/>
            <w:tcBorders>
              <w:left w:val="single" w:sz="18" w:space="0" w:color="C00000"/>
              <w:bottom w:val="single" w:sz="18" w:space="0" w:color="C00000"/>
            </w:tcBorders>
            <w:shd w:val="clear" w:color="auto" w:fill="F2F2F2" w:themeFill="background1" w:themeFillShade="F2"/>
          </w:tcPr>
          <w:p w14:paraId="105B506A" w14:textId="77777777" w:rsidR="0044461C" w:rsidRPr="000F0299" w:rsidRDefault="0044461C" w:rsidP="005822B0">
            <w:pPr>
              <w:spacing w:before="0"/>
              <w:ind w:firstLine="0"/>
              <w:rPr>
                <w:sz w:val="16"/>
                <w:szCs w:val="16"/>
              </w:rPr>
            </w:pPr>
          </w:p>
        </w:tc>
        <w:tc>
          <w:tcPr>
            <w:tcW w:w="2557" w:type="pct"/>
            <w:tcBorders>
              <w:bottom w:val="single" w:sz="18" w:space="0" w:color="C00000"/>
            </w:tcBorders>
            <w:shd w:val="clear" w:color="auto" w:fill="F2F2F2" w:themeFill="background1" w:themeFillShade="F2"/>
          </w:tcPr>
          <w:p w14:paraId="1A28AD7B" w14:textId="77777777" w:rsidR="0044461C" w:rsidRPr="000F0299" w:rsidRDefault="0044461C" w:rsidP="005822B0">
            <w:pPr>
              <w:spacing w:before="0"/>
              <w:ind w:firstLine="0"/>
              <w:rPr>
                <w:sz w:val="16"/>
                <w:szCs w:val="16"/>
              </w:rPr>
            </w:pPr>
          </w:p>
        </w:tc>
        <w:tc>
          <w:tcPr>
            <w:tcW w:w="1034" w:type="pct"/>
            <w:tcBorders>
              <w:bottom w:val="single" w:sz="18" w:space="0" w:color="C00000"/>
            </w:tcBorders>
            <w:shd w:val="clear" w:color="auto" w:fill="F2F2F2" w:themeFill="background1" w:themeFillShade="F2"/>
          </w:tcPr>
          <w:p w14:paraId="2593F94A" w14:textId="77777777" w:rsidR="0044461C" w:rsidRPr="000F0299" w:rsidRDefault="0044461C" w:rsidP="005822B0">
            <w:pPr>
              <w:spacing w:before="0"/>
              <w:ind w:firstLine="0"/>
              <w:rPr>
                <w:sz w:val="16"/>
                <w:szCs w:val="16"/>
              </w:rPr>
            </w:pPr>
          </w:p>
        </w:tc>
        <w:tc>
          <w:tcPr>
            <w:tcW w:w="1034" w:type="pct"/>
            <w:tcBorders>
              <w:bottom w:val="single" w:sz="18" w:space="0" w:color="C00000"/>
            </w:tcBorders>
            <w:shd w:val="clear" w:color="auto" w:fill="F2F2F2" w:themeFill="background1" w:themeFillShade="F2"/>
          </w:tcPr>
          <w:p w14:paraId="0328ADCD" w14:textId="77777777" w:rsidR="0044461C" w:rsidRPr="000F0299" w:rsidRDefault="0044461C" w:rsidP="005822B0">
            <w:pPr>
              <w:spacing w:before="0"/>
              <w:ind w:firstLine="0"/>
              <w:rPr>
                <w:sz w:val="16"/>
                <w:szCs w:val="16"/>
              </w:rPr>
            </w:pPr>
          </w:p>
        </w:tc>
        <w:tc>
          <w:tcPr>
            <w:tcW w:w="185" w:type="pct"/>
            <w:tcBorders>
              <w:bottom w:val="single" w:sz="18" w:space="0" w:color="C00000"/>
              <w:right w:val="single" w:sz="18" w:space="0" w:color="C00000"/>
            </w:tcBorders>
            <w:shd w:val="clear" w:color="auto" w:fill="F2F2F2" w:themeFill="background1" w:themeFillShade="F2"/>
          </w:tcPr>
          <w:p w14:paraId="4AA05655" w14:textId="77777777" w:rsidR="0044461C" w:rsidRPr="000F0299" w:rsidRDefault="0044461C" w:rsidP="005822B0">
            <w:pPr>
              <w:spacing w:before="0"/>
              <w:ind w:firstLine="0"/>
              <w:rPr>
                <w:sz w:val="16"/>
                <w:szCs w:val="16"/>
              </w:rPr>
            </w:pPr>
          </w:p>
        </w:tc>
      </w:tr>
    </w:tbl>
    <w:p w14:paraId="4B560178" w14:textId="68A76FCE" w:rsidR="00BA512D" w:rsidRPr="000F0299" w:rsidRDefault="00BA512D" w:rsidP="00BA512D">
      <w:pPr>
        <w:spacing w:after="0"/>
        <w:rPr>
          <w:color w:val="2F5496" w:themeColor="accent1" w:themeShade="BF"/>
          <w:lang w:eastAsia="de-DE"/>
        </w:rPr>
      </w:pPr>
      <w:bookmarkStart w:id="43" w:name="_Toc56725082"/>
      <w:r w:rsidRPr="000F0299">
        <w:rPr>
          <w:lang w:eastAsia="de-DE"/>
        </w:rPr>
        <w:t xml:space="preserve">Како би се остварио </w:t>
      </w:r>
      <w:r w:rsidRPr="000F0299">
        <w:rPr>
          <w:b/>
          <w:lang w:eastAsia="de-DE"/>
        </w:rPr>
        <w:t>посебан циљ 4.1.</w:t>
      </w:r>
      <w:r w:rsidRPr="000F0299">
        <w:rPr>
          <w:lang w:eastAsia="de-DE"/>
        </w:rPr>
        <w:t xml:space="preserve"> предвиђено је спровођење следећих мера:</w:t>
      </w:r>
    </w:p>
    <w:p w14:paraId="3D833EF2" w14:textId="71984144" w:rsidR="00BA512D" w:rsidRPr="000F0299" w:rsidRDefault="00BA512D" w:rsidP="00E62A1A">
      <w:pPr>
        <w:pStyle w:val="ListParagraph"/>
        <w:numPr>
          <w:ilvl w:val="0"/>
          <w:numId w:val="24"/>
        </w:numPr>
        <w:spacing w:before="0" w:line="257" w:lineRule="auto"/>
        <w:ind w:left="714" w:hanging="357"/>
      </w:pPr>
      <w:r w:rsidRPr="000F0299">
        <w:t>Успостављање системских решења за управљачку одговорност у органима јавне управе (повећање аутономије)</w:t>
      </w:r>
      <w:r w:rsidR="005E21C5">
        <w:t>;</w:t>
      </w:r>
      <w:r w:rsidRPr="000F0299">
        <w:t xml:space="preserve"> </w:t>
      </w:r>
    </w:p>
    <w:p w14:paraId="6F12A865" w14:textId="34D515A1" w:rsidR="00BA512D" w:rsidRPr="000F0299" w:rsidRDefault="00BA512D" w:rsidP="00E62A1A">
      <w:pPr>
        <w:pStyle w:val="ListParagraph"/>
        <w:numPr>
          <w:ilvl w:val="0"/>
          <w:numId w:val="24"/>
        </w:numPr>
      </w:pPr>
      <w:r w:rsidRPr="000F0299">
        <w:t>Унапређење вертикалног и хоризонталног система контроле и праћења рада у јавној управи (Успостављање механизма за управљање према учинку органа јавне управе)</w:t>
      </w:r>
      <w:r w:rsidR="005E21C5">
        <w:t>;</w:t>
      </w:r>
    </w:p>
    <w:p w14:paraId="39D32CC5" w14:textId="2B09A303" w:rsidR="00BA512D" w:rsidRPr="000F0299" w:rsidRDefault="00BA512D" w:rsidP="00E62A1A">
      <w:pPr>
        <w:pStyle w:val="ListParagraph"/>
        <w:numPr>
          <w:ilvl w:val="0"/>
          <w:numId w:val="24"/>
        </w:numPr>
        <w:rPr>
          <w:bCs/>
        </w:rPr>
      </w:pPr>
      <w:r w:rsidRPr="000F0299">
        <w:t xml:space="preserve">Јачање </w:t>
      </w:r>
      <w:r w:rsidR="0096333F" w:rsidRPr="000F0299">
        <w:t>интегритета</w:t>
      </w:r>
      <w:r w:rsidRPr="000F0299">
        <w:t xml:space="preserve"> и етичких стандарда у јавној управи</w:t>
      </w:r>
      <w:r w:rsidR="005E21C5">
        <w:t>;</w:t>
      </w:r>
    </w:p>
    <w:p w14:paraId="196AA9FF" w14:textId="2BBF66EF" w:rsidR="002234A7" w:rsidRPr="000F0299" w:rsidRDefault="00BA512D" w:rsidP="00E62A1A">
      <w:pPr>
        <w:pStyle w:val="ListParagraph"/>
        <w:numPr>
          <w:ilvl w:val="0"/>
          <w:numId w:val="24"/>
        </w:numPr>
      </w:pPr>
      <w:r w:rsidRPr="000F0299">
        <w:t>Унапређење проактивног објављивања података у поседу органа јавне управе</w:t>
      </w:r>
      <w:r w:rsidR="005E21C5">
        <w:t>;</w:t>
      </w:r>
    </w:p>
    <w:p w14:paraId="73B9C50D" w14:textId="10936A07" w:rsidR="005E21C5" w:rsidRDefault="00BA512D" w:rsidP="00E62A1A">
      <w:pPr>
        <w:pStyle w:val="ListParagraph"/>
        <w:numPr>
          <w:ilvl w:val="0"/>
          <w:numId w:val="24"/>
        </w:numPr>
      </w:pPr>
      <w:r w:rsidRPr="000F0299">
        <w:t>Унапређење реактивне транспарентности, поступања по прописима из делокруга рада независних државних органа, односно по препорукама независних државних органа.</w:t>
      </w:r>
    </w:p>
    <w:p w14:paraId="02573F07" w14:textId="2B2D3F78" w:rsidR="001A478D" w:rsidRDefault="001A478D" w:rsidP="001A478D">
      <w:pPr>
        <w:ind w:left="357" w:firstLine="0"/>
      </w:pPr>
      <w:r w:rsidRPr="001A478D">
        <w:t xml:space="preserve">Напомена: Извор наведених докумената јавних политика и прописа дати су у </w:t>
      </w:r>
      <w:hyperlink w:anchor="_IV_Одговорност_и" w:history="1">
        <w:r w:rsidRPr="001A478D">
          <w:rPr>
            <w:rStyle w:val="Hyperlink"/>
          </w:rPr>
          <w:t>Прилогу 2</w:t>
        </w:r>
      </w:hyperlink>
      <w:r w:rsidRPr="001A478D">
        <w:t xml:space="preserve"> у којем је приказана и детаљна анализа за тематску област Одговорност и транспарентност</w:t>
      </w:r>
      <w:r>
        <w:t>.</w:t>
      </w:r>
    </w:p>
    <w:p w14:paraId="573CD774" w14:textId="68DCA52E" w:rsidR="002234A7" w:rsidRPr="000F0299" w:rsidRDefault="002234A7" w:rsidP="00E62A1A">
      <w:pPr>
        <w:pStyle w:val="ListParagraph"/>
        <w:numPr>
          <w:ilvl w:val="0"/>
          <w:numId w:val="24"/>
        </w:numPr>
      </w:pPr>
      <w:r w:rsidRPr="000F0299">
        <w:br w:type="page"/>
      </w:r>
    </w:p>
    <w:p w14:paraId="208D0D7C" w14:textId="55C57DB6" w:rsidR="006C0FCF" w:rsidRPr="000F0299" w:rsidRDefault="006C0FCF" w:rsidP="003D3BC5">
      <w:pPr>
        <w:pStyle w:val="Heading2"/>
        <w:rPr>
          <w:lang w:val="sr-Cyrl-RS"/>
        </w:rPr>
      </w:pPr>
      <w:bookmarkStart w:id="44" w:name="_Toc57661460"/>
      <w:r w:rsidRPr="000F0299">
        <w:rPr>
          <w:lang w:val="sr-Cyrl-RS"/>
        </w:rPr>
        <w:t xml:space="preserve">V. </w:t>
      </w:r>
      <w:r w:rsidR="00E706E9" w:rsidRPr="000F0299">
        <w:rPr>
          <w:lang w:val="sr-Cyrl-RS"/>
        </w:rPr>
        <w:t>Управљање јавним финансијама</w:t>
      </w:r>
      <w:bookmarkEnd w:id="37"/>
      <w:bookmarkEnd w:id="43"/>
      <w:bookmarkEnd w:id="44"/>
    </w:p>
    <w:p w14:paraId="5E4B165A" w14:textId="4BB8E2EC" w:rsidR="006C0FCF" w:rsidRPr="000F0299" w:rsidRDefault="00E706E9" w:rsidP="00725146">
      <w:pPr>
        <w:pStyle w:val="Heading3"/>
        <w:rPr>
          <w:lang w:val="sr-Cyrl-RS"/>
        </w:rPr>
      </w:pPr>
      <w:bookmarkStart w:id="45" w:name="_Toc56725083"/>
      <w:bookmarkStart w:id="46" w:name="_Toc57661461"/>
      <w:r w:rsidRPr="000F0299">
        <w:rPr>
          <w:lang w:val="sr-Cyrl-RS"/>
        </w:rPr>
        <w:t>Анализа стања</w:t>
      </w:r>
      <w:bookmarkEnd w:id="45"/>
      <w:bookmarkEnd w:id="46"/>
    </w:p>
    <w:p w14:paraId="56C44792" w14:textId="085BA512" w:rsidR="001A478D" w:rsidRPr="001A478D" w:rsidRDefault="001A478D" w:rsidP="001A478D">
      <w:pPr>
        <w:rPr>
          <w:lang w:val="uz-Cyrl-UZ"/>
        </w:rPr>
      </w:pPr>
      <w:r w:rsidRPr="001A478D">
        <w:rPr>
          <w:lang w:val="uz-Cyrl-UZ"/>
        </w:rPr>
        <w:t>Стратешки оквир за реформу УЈФ дефинишу Стратегија РЈУ и Програм реформи управљања јавним финансијама (у даљем тексту: ПРУЈФ). Иако не постоји као посебно преговарачко поглавље, области УЈФ су значајно садржане</w:t>
      </w:r>
      <w:r w:rsidRPr="001A478D" w:rsidDel="004F7CC7">
        <w:rPr>
          <w:lang w:val="uz-Cyrl-UZ"/>
        </w:rPr>
        <w:t xml:space="preserve"> </w:t>
      </w:r>
      <w:r w:rsidRPr="001A478D">
        <w:rPr>
          <w:lang w:val="sr"/>
        </w:rPr>
        <w:t xml:space="preserve">у </w:t>
      </w:r>
      <w:r w:rsidRPr="001A478D">
        <w:rPr>
          <w:lang w:val="uz-Cyrl-UZ"/>
        </w:rPr>
        <w:t xml:space="preserve">седам преговарачких поглавља од којих је пет отворено. Стратегија РЈУ из 2014. обухвата области планирања буџета, управљања јавним набавкама и финансијске контроле, које су детаљно разрађене и кроз ПРУЈФ 2016–2020 заједно са одрживим фискалним и буџетским оквиром, извршењем буџета, финансијским, извештавањем и </w:t>
      </w:r>
      <w:r w:rsidRPr="001A478D">
        <w:rPr>
          <w:lang w:val="sr"/>
        </w:rPr>
        <w:t>екстерним</w:t>
      </w:r>
      <w:r w:rsidRPr="001A478D">
        <w:rPr>
          <w:lang w:val="uz-Cyrl-UZ"/>
        </w:rPr>
        <w:t xml:space="preserve"> надзором јавних средстава. У 2019. години усвојен је Ревидирани програм реформи управљања јавним финансијама 2016-2020 </w:t>
      </w:r>
      <w:r w:rsidRPr="001A478D">
        <w:t>за период од јул</w:t>
      </w:r>
      <w:r w:rsidRPr="001A478D">
        <w:rPr>
          <w:lang w:val="sr-Latn-RS"/>
        </w:rPr>
        <w:t>a</w:t>
      </w:r>
      <w:r w:rsidRPr="001A478D">
        <w:t xml:space="preserve"> 2019. до децембра 2020. године</w:t>
      </w:r>
      <w:r w:rsidRPr="001A478D">
        <w:rPr>
          <w:lang w:val="uz-Cyrl-UZ"/>
        </w:rPr>
        <w:t xml:space="preserve">. (у даљем тексу: Ревидирани ПРУЈФ) и акциони план за његово спровођење. Програму развоја јавних набавки за период 2019–2023. године циљ је повећање ефикасности и транспарентности и смањење неправилности јавних набавки, у складу са oпштим циљем ПРУЈФ. </w:t>
      </w:r>
    </w:p>
    <w:p w14:paraId="42FA9563" w14:textId="77777777" w:rsidR="001A478D" w:rsidRPr="001A478D" w:rsidRDefault="001A478D" w:rsidP="001A478D">
      <w:r w:rsidRPr="001A478D">
        <w:rPr>
          <w:lang w:val="uz-Cyrl-UZ"/>
        </w:rPr>
        <w:t>Доношењем ЗПС успостављен је адекватан законски оквир који систематски регулише усклађивање планског система и буџетског планирања, као основе за јачање веза</w:t>
      </w:r>
      <w:r w:rsidRPr="001A478D">
        <w:rPr>
          <w:bCs/>
          <w:lang w:val="uz-Cyrl-UZ"/>
        </w:rPr>
        <w:t xml:space="preserve"> између буџета и стратешких приоритета и планова</w:t>
      </w:r>
      <w:r w:rsidRPr="001A478D">
        <w:rPr>
          <w:lang w:val="uz-Cyrl-UZ"/>
        </w:rPr>
        <w:t>.</w:t>
      </w:r>
      <w:r w:rsidRPr="001A478D">
        <w:rPr>
          <w:bCs/>
          <w:lang w:val="uz-Cyrl-UZ"/>
        </w:rPr>
        <w:t xml:space="preserve"> </w:t>
      </w:r>
      <w:r w:rsidRPr="001A478D">
        <w:rPr>
          <w:lang w:val="uz-Cyrl-UZ"/>
        </w:rPr>
        <w:t xml:space="preserve">Доношењем </w:t>
      </w:r>
      <w:r w:rsidRPr="001A478D" w:rsidDel="00C25E13">
        <w:rPr>
          <w:lang w:val="uz-Cyrl-UZ"/>
        </w:rPr>
        <w:t xml:space="preserve">Уредбе о </w:t>
      </w:r>
      <w:r w:rsidRPr="001A478D">
        <w:rPr>
          <w:lang w:val="uz-Cyrl-UZ"/>
        </w:rPr>
        <w:t>управљању капиталним пројектима</w:t>
      </w:r>
      <w:r w:rsidRPr="001A478D">
        <w:t xml:space="preserve"> у</w:t>
      </w:r>
      <w:r w:rsidRPr="001A478D">
        <w:rPr>
          <w:lang w:val="uz-Cyrl-UZ"/>
        </w:rPr>
        <w:t>спостављен је законодавни оквир за пуну интеграцију планирања и вредновања капиталних пројеката у процес буџетског планирања. Донет је Закон о јавним набавкама, којим се подстиче учешће малих и средњих предузећа у поступцима јавних набавки, као и ефикаснија заштита права у тим поступцима. Закон о буџетском систему ће бити допуњен током усаглашавања са ЕУ регулативом да би се побољшали регулаторни капацитети за очување фискалне стабилности.</w:t>
      </w:r>
    </w:p>
    <w:p w14:paraId="103B713B" w14:textId="0D30384C" w:rsidR="001A478D" w:rsidRPr="001A478D" w:rsidRDefault="001A478D" w:rsidP="001A478D">
      <w:r w:rsidRPr="001A478D">
        <w:rPr>
          <w:lang w:val="uz-Cyrl-UZ"/>
        </w:rPr>
        <w:t xml:space="preserve">Унапређење кредибилитета макроекономских пројекција и реалистичније планирање прихода и расхода значајно су допринели побољшању фискалних перформанси. Транспарентности буџета допринело је повећање усклађености програмских структура буџетских корисника са Упутством за израду програмског буџета (од 61% у 2016. до 87% у 2019. години). Значајно су побољшани и ИТ капацитети Министарства финансија кроз развој нових и унапређење постојећих информационих система. Трансформација Пореске управе у наредној фази подразумева да се анализира правни оквир и створе технички предуслови како би се </w:t>
      </w:r>
      <w:r w:rsidRPr="001A478D">
        <w:rPr>
          <w:lang w:val="sr"/>
        </w:rPr>
        <w:t>откл</w:t>
      </w:r>
      <w:r w:rsidRPr="001A478D">
        <w:t>онила</w:t>
      </w:r>
      <w:r w:rsidRPr="001A478D">
        <w:rPr>
          <w:lang w:val="uz-Cyrl-UZ"/>
        </w:rPr>
        <w:t xml:space="preserve"> ограничења за модернизацију њених</w:t>
      </w:r>
      <w:r w:rsidR="006C0FCF" w:rsidRPr="000F0299">
        <w:t xml:space="preserve"> пословних процеса. </w:t>
      </w:r>
      <w:r w:rsidRPr="001A478D">
        <w:rPr>
          <w:lang w:val="uz-Cyrl-UZ"/>
        </w:rPr>
        <w:t>Важан изазов за Управу царина јесте успостављање аутоматизованог извозног и увозног система и систем</w:t>
      </w:r>
      <w:r w:rsidRPr="001A478D">
        <w:rPr>
          <w:lang w:val="sr"/>
        </w:rPr>
        <w:t>а</w:t>
      </w:r>
      <w:r w:rsidRPr="001A478D">
        <w:rPr>
          <w:lang w:val="uz-Cyrl-UZ"/>
        </w:rPr>
        <w:t xml:space="preserve"> управљања царинским одлукама, који представљају предуслове за приступање ЕУ. Институционална структура јавних набавки је ојачана, али још није успостављен потпуно функционалан систем е-набавки. Спровођење </w:t>
      </w:r>
      <w:r w:rsidRPr="001A478D">
        <w:rPr>
          <w:bCs/>
          <w:lang w:val="uz-Cyrl-UZ"/>
        </w:rPr>
        <w:t>реформе рачуноводства је тек у почетној</w:t>
      </w:r>
      <w:r w:rsidRPr="001A478D">
        <w:rPr>
          <w:lang w:val="uz-Cyrl-UZ"/>
        </w:rPr>
        <w:t xml:space="preserve"> </w:t>
      </w:r>
      <w:r w:rsidRPr="001A478D">
        <w:rPr>
          <w:bCs/>
          <w:lang w:val="uz-Cyrl-UZ"/>
        </w:rPr>
        <w:t xml:space="preserve">фази, </w:t>
      </w:r>
      <w:r w:rsidRPr="001A478D">
        <w:rPr>
          <w:bCs/>
          <w:lang w:val="sr"/>
        </w:rPr>
        <w:t xml:space="preserve">у којој је потребно </w:t>
      </w:r>
      <w:r w:rsidRPr="001A478D">
        <w:rPr>
          <w:lang w:val="uz-Cyrl-UZ"/>
        </w:rPr>
        <w:t xml:space="preserve">ојачати систем готовинског рачуноводства у складу са </w:t>
      </w:r>
      <w:r w:rsidRPr="001A478D">
        <w:rPr>
          <w:i/>
          <w:iCs/>
          <w:lang w:val="uz-Cyrl-UZ"/>
        </w:rPr>
        <w:t xml:space="preserve">IPSAS </w:t>
      </w:r>
      <w:r w:rsidRPr="001A478D">
        <w:rPr>
          <w:lang w:val="uz-Cyrl-UZ"/>
        </w:rPr>
        <w:t>стандардима</w:t>
      </w:r>
      <w:r w:rsidRPr="001A478D">
        <w:rPr>
          <w:bCs/>
          <w:lang w:val="uz-Cyrl-UZ"/>
        </w:rPr>
        <w:t xml:space="preserve">. </w:t>
      </w:r>
      <w:r w:rsidRPr="001A478D">
        <w:rPr>
          <w:bCs/>
          <w:lang w:val="sr"/>
        </w:rPr>
        <w:t>Капацитети</w:t>
      </w:r>
      <w:r w:rsidRPr="001A478D">
        <w:rPr>
          <w:bCs/>
        </w:rPr>
        <w:t xml:space="preserve"> </w:t>
      </w:r>
      <w:r w:rsidRPr="001A478D">
        <w:t xml:space="preserve">Одељења за сузбијање неправилности и превара у поступању са финансијским средствима Европске уније </w:t>
      </w:r>
      <w:r w:rsidRPr="001A478D">
        <w:rPr>
          <w:bCs/>
          <w:lang w:val="sr"/>
        </w:rPr>
        <w:t>буџетске инспекције су ојачани унапређењем правног оквира и методолошк</w:t>
      </w:r>
      <w:r w:rsidRPr="001A478D">
        <w:rPr>
          <w:bCs/>
        </w:rPr>
        <w:t>ог</w:t>
      </w:r>
      <w:r w:rsidRPr="001A478D">
        <w:rPr>
          <w:bCs/>
          <w:lang w:val="sr"/>
        </w:rPr>
        <w:t xml:space="preserve"> материјала. </w:t>
      </w:r>
      <w:r w:rsidRPr="001A478D">
        <w:rPr>
          <w:lang w:val="uz-Cyrl-UZ"/>
        </w:rPr>
        <w:t xml:space="preserve">Већина препорука из Извештаја о напретку из Поглавља 32 које се односе на област интерне финансијске контроле у јавном сектору је процесуирана, a </w:t>
      </w:r>
      <w:r w:rsidRPr="001A478D">
        <w:rPr>
          <w:lang w:val="sr"/>
        </w:rPr>
        <w:t>у наредном периоду је</w:t>
      </w:r>
      <w:r w:rsidRPr="001A478D">
        <w:rPr>
          <w:lang w:val="uz-Cyrl-UZ"/>
        </w:rPr>
        <w:t xml:space="preserve"> потребно да се процес трансфера основног програма обуке из Централне јединице за хармонизацију (у даљем тексу: ЦЈХ) у НАЈУ убрза како би се омогућило ЦЈХ да се усредсреди на праћење интерне финансијске контроле у јавном сектору. Државна ревизорска институција је наставила да повећава утицај свог ревизорског рада и да прати спровођење својих препорука у погледу ревизије. </w:t>
      </w:r>
    </w:p>
    <w:p w14:paraId="7F976323" w14:textId="20B22F71" w:rsidR="006C0FCF" w:rsidRPr="001A478D" w:rsidRDefault="001A478D" w:rsidP="001A478D">
      <w:pPr>
        <w:rPr>
          <w:lang w:val="uz-Cyrl-UZ"/>
        </w:rPr>
      </w:pPr>
      <w:r w:rsidRPr="001A478D">
        <w:rPr>
          <w:lang w:val="uz-Cyrl-UZ"/>
        </w:rPr>
        <w:t>На основу анализе учинка Ревидираног ПРУЈФ која је заснована на показатељима, закључно са јулом 2020. године у потпуности је спроведено 44% свих планираних активности, 40% је делимично спроведено и 16% није спроведено. Спровођење ПРУЈФ допринело је стабилизацији јавних финансија и побољшању макроекономских перформанси. Ниво јавног дуга био је у стабилној силазној путањи – са 71,2% у 2015. на 52,9% на крају 2019. године, док је за седам година стопа незапослености смањена за више од 50%. Упркос напретку, дошло је и до одређених застоја у спровођењу активности ПРУЈФ. Разлози за то су различити и углавном су техничке природе.</w:t>
      </w:r>
      <w:r w:rsidRPr="001A478D" w:rsidDel="00271B26">
        <w:rPr>
          <w:lang w:val="uz-Cyrl-UZ"/>
        </w:rPr>
        <w:t xml:space="preserve"> </w:t>
      </w:r>
      <w:r w:rsidRPr="001A478D">
        <w:rPr>
          <w:lang w:val="uz-Cyrl-UZ"/>
        </w:rPr>
        <w:t>Недостатак административних капацитета због ограниченог запошљавања новог кадра, као и одлазак стручњака, идентификовани су као огроман изазов и том изазову ће бити посвећена нарочита пажња у новом ПРУЈФ</w:t>
      </w:r>
      <w:r w:rsidR="006C0FCF" w:rsidRPr="000F0299">
        <w:t>.</w:t>
      </w:r>
    </w:p>
    <w:p w14:paraId="6DC33A43" w14:textId="1BD091A1" w:rsidR="006C0FCF" w:rsidRPr="000F0299" w:rsidRDefault="001A478D" w:rsidP="00244E7C">
      <w:r w:rsidRPr="001A478D">
        <w:rPr>
          <w:lang w:val="uz-Cyrl-UZ"/>
        </w:rPr>
        <w:t>Пошто се за постизање овог циља планира израда хијерархијски нижег документа, тј. ПРУЈФ, ова стратегија неће разрађивати мере које доприносе остваривању тог циља, већ ће описно дати правац деловања на основу којег ће се утврђивати посебни циљеви ПРУЈФ и разрађивати мере за њихово остваривање</w:t>
      </w:r>
      <w:r w:rsidR="006C0FCF" w:rsidRPr="000F0299">
        <w:t>.</w:t>
      </w:r>
    </w:p>
    <w:p w14:paraId="759F029D" w14:textId="417311B0" w:rsidR="006C0FCF" w:rsidRPr="000F0299" w:rsidRDefault="00E706E9" w:rsidP="00725146">
      <w:pPr>
        <w:pStyle w:val="Heading3"/>
        <w:rPr>
          <w:lang w:val="sr-Cyrl-RS"/>
        </w:rPr>
      </w:pPr>
      <w:bookmarkStart w:id="47" w:name="_Toc45013972"/>
      <w:bookmarkStart w:id="48" w:name="_Toc56725084"/>
      <w:bookmarkStart w:id="49" w:name="_Toc57661462"/>
      <w:r w:rsidRPr="000F0299">
        <w:rPr>
          <w:lang w:val="sr-Cyrl-RS"/>
        </w:rPr>
        <w:t>Посебан циљ и правци деловања</w:t>
      </w:r>
      <w:bookmarkEnd w:id="47"/>
      <w:bookmarkEnd w:id="48"/>
      <w:bookmarkEnd w:id="49"/>
      <w:r w:rsidR="006C0FCF" w:rsidRPr="000F0299">
        <w:rPr>
          <w:lang w:val="sr-Cyrl-RS"/>
        </w:rPr>
        <w:t xml:space="preserve"> </w:t>
      </w:r>
    </w:p>
    <w:p w14:paraId="7E5FADF6" w14:textId="77777777" w:rsidR="00276586" w:rsidRPr="00276586" w:rsidRDefault="00276586" w:rsidP="00276586">
      <w:pPr>
        <w:rPr>
          <w:bCs/>
          <w:lang w:val="uz-Cyrl-UZ" w:eastAsia="de-DE"/>
        </w:rPr>
      </w:pPr>
      <w:r w:rsidRPr="00276586">
        <w:rPr>
          <w:bCs/>
          <w:lang w:val="uz-Cyrl-UZ" w:eastAsia="de-DE"/>
        </w:rPr>
        <w:t>У наредном десетогодишњем периоду циљ је да Република Србија управља својим јавним финансијама на начин који обезбеђује фискалну и макроекономску стабилност, делотворно финансирање приоритета националних политика, транспарентност јавних финансија и ефикасну контролу над јавним трошењем.</w:t>
      </w:r>
    </w:p>
    <w:p w14:paraId="1F6156CA" w14:textId="37A1AE8E" w:rsidR="006C0FCF" w:rsidRPr="000F0299" w:rsidRDefault="00276586" w:rsidP="00276586">
      <w:pPr>
        <w:rPr>
          <w:lang w:eastAsia="de-DE"/>
        </w:rPr>
      </w:pPr>
      <w:r w:rsidRPr="00276586">
        <w:rPr>
          <w:bCs/>
          <w:lang w:val="uz-Cyrl-UZ" w:eastAsia="de-DE"/>
        </w:rPr>
        <w:t>ПРУЈФ у наредном периоду треба да допринесе остваривању боље балансираног и одрживог буџета, уз смањење нивоа јавног дуга, као и јачању финансијског управљања и контроле и унапређење процеса ревизорске контроле. ПРУЈФ прати буџетски циклус у целини како би извршење буџета било повезано на најбољи могући начин са различитим политикама Владе, а тиме доприноси и повећању транспарентности тих процеса. Укрaткo, ПРУЈФ прeдстaвљa изрaз oпрeдeљeнoсти Влaдe дa спрoвeдe свeoбухвaтан скуп мeђусoбнo пoвeзaних и врeмeнски усклaђeних рeфoрми у oблaсти упрaвљaњa jaвним финaнсиjaмa у нajширeм смислу, кojима је циљ пoвeћaњe oдгoвoрнoсти, oбeзбeђивaњe дoбрoг финaнсиjскoг упрaвљaњa и дoбрe упрaвe крoз пoбoљшaњe eфикaснoсти и дeлoтвoрнoсти упрaвљaњa jaвним рeсурсимa у Рeпублици Србиjи кaкo би сe утaбao пут зa нeсмeтaн прeлaзaк у jaвни aдминистрaтивни oквир EУ</w:t>
      </w:r>
      <w:r w:rsidR="006C0FCF" w:rsidRPr="000F0299">
        <w:rPr>
          <w:lang w:eastAsia="de-DE"/>
        </w:rPr>
        <w:t>.</w:t>
      </w:r>
    </w:p>
    <w:p w14:paraId="7A4F5CAD" w14:textId="3718933E" w:rsidR="00BA512D" w:rsidRPr="000F0299" w:rsidRDefault="00BA512D" w:rsidP="00BA512D">
      <w:pPr>
        <w:rPr>
          <w:lang w:eastAsia="de-DE"/>
        </w:rPr>
      </w:pPr>
      <w:r w:rsidRPr="000F0299">
        <w:rPr>
          <w:b/>
          <w:lang w:eastAsia="de-DE"/>
        </w:rPr>
        <w:t xml:space="preserve">Посебан циљ 5.1. Остваривање одрживог буџета са стабилним јавним дугом у односу на БДП уз помоћ бољег финансијског управљања и контроле, процеса ревизије и </w:t>
      </w:r>
      <w:r w:rsidR="00787985" w:rsidRPr="000F0299">
        <w:rPr>
          <w:b/>
          <w:lang w:eastAsia="de-DE"/>
        </w:rPr>
        <w:t>повезивања</w:t>
      </w:r>
      <w:r w:rsidRPr="000F0299">
        <w:rPr>
          <w:b/>
          <w:lang w:eastAsia="de-DE"/>
        </w:rPr>
        <w:t xml:space="preserve"> буџетског планирања са политикама и приоритетима Владе</w:t>
      </w:r>
      <w:r w:rsidRPr="000F0299">
        <w:rPr>
          <w:bCs/>
          <w:lang w:eastAsia="de-DE"/>
        </w:rPr>
        <w:t>.</w:t>
      </w:r>
    </w:p>
    <w:tbl>
      <w:tblPr>
        <w:tblW w:w="5000" w:type="pct"/>
        <w:shd w:val="clear" w:color="auto" w:fill="E7E6E6" w:themeFill="background2"/>
        <w:tblLook w:val="00A0" w:firstRow="1" w:lastRow="0" w:firstColumn="1" w:lastColumn="0" w:noHBand="0" w:noVBand="0"/>
      </w:tblPr>
      <w:tblGrid>
        <w:gridCol w:w="336"/>
        <w:gridCol w:w="4661"/>
        <w:gridCol w:w="1828"/>
        <w:gridCol w:w="1828"/>
        <w:gridCol w:w="327"/>
      </w:tblGrid>
      <w:tr w:rsidR="00BA512D" w:rsidRPr="000F0299" w14:paraId="06DE1169" w14:textId="77777777" w:rsidTr="00D321E8">
        <w:trPr>
          <w:trHeight w:val="20"/>
        </w:trPr>
        <w:tc>
          <w:tcPr>
            <w:tcW w:w="187" w:type="pct"/>
            <w:tcBorders>
              <w:top w:val="single" w:sz="18" w:space="0" w:color="C00000"/>
              <w:left w:val="single" w:sz="18" w:space="0" w:color="C00000"/>
            </w:tcBorders>
            <w:shd w:val="clear" w:color="auto" w:fill="F2F2F2" w:themeFill="background1" w:themeFillShade="F2"/>
          </w:tcPr>
          <w:p w14:paraId="4FD62ED7" w14:textId="77777777" w:rsidR="00BA512D" w:rsidRPr="000F0299" w:rsidRDefault="00BA512D" w:rsidP="00D321E8">
            <w:pPr>
              <w:spacing w:before="0"/>
              <w:ind w:firstLine="0"/>
              <w:rPr>
                <w:b/>
                <w:bCs/>
                <w:sz w:val="16"/>
                <w:szCs w:val="16"/>
              </w:rPr>
            </w:pPr>
          </w:p>
        </w:tc>
        <w:tc>
          <w:tcPr>
            <w:tcW w:w="2595" w:type="pct"/>
            <w:tcBorders>
              <w:top w:val="single" w:sz="18" w:space="0" w:color="C00000"/>
            </w:tcBorders>
            <w:shd w:val="clear" w:color="auto" w:fill="F2F2F2" w:themeFill="background1" w:themeFillShade="F2"/>
          </w:tcPr>
          <w:p w14:paraId="66CFBE6D" w14:textId="77777777" w:rsidR="00BA512D" w:rsidRPr="000F0299" w:rsidRDefault="00BA512D" w:rsidP="00D321E8">
            <w:pPr>
              <w:spacing w:before="0"/>
              <w:ind w:firstLine="0"/>
              <w:rPr>
                <w:b/>
                <w:bCs/>
                <w:sz w:val="16"/>
                <w:szCs w:val="16"/>
              </w:rPr>
            </w:pPr>
          </w:p>
        </w:tc>
        <w:tc>
          <w:tcPr>
            <w:tcW w:w="1018" w:type="pct"/>
            <w:tcBorders>
              <w:top w:val="single" w:sz="18" w:space="0" w:color="C00000"/>
            </w:tcBorders>
            <w:shd w:val="clear" w:color="auto" w:fill="F2F2F2" w:themeFill="background1" w:themeFillShade="F2"/>
            <w:vAlign w:val="center"/>
          </w:tcPr>
          <w:p w14:paraId="4AC95103" w14:textId="77777777" w:rsidR="00BA512D" w:rsidRPr="000F0299" w:rsidRDefault="00BA512D" w:rsidP="00D321E8">
            <w:pPr>
              <w:spacing w:before="0"/>
              <w:ind w:firstLine="0"/>
              <w:jc w:val="center"/>
              <w:rPr>
                <w:b/>
                <w:bCs/>
                <w:sz w:val="16"/>
                <w:szCs w:val="16"/>
              </w:rPr>
            </w:pPr>
          </w:p>
        </w:tc>
        <w:tc>
          <w:tcPr>
            <w:tcW w:w="1018" w:type="pct"/>
            <w:tcBorders>
              <w:top w:val="single" w:sz="18" w:space="0" w:color="C00000"/>
            </w:tcBorders>
            <w:shd w:val="clear" w:color="auto" w:fill="F2F2F2" w:themeFill="background1" w:themeFillShade="F2"/>
            <w:vAlign w:val="center"/>
          </w:tcPr>
          <w:p w14:paraId="2835ABC5" w14:textId="77777777" w:rsidR="00BA512D" w:rsidRPr="000F0299" w:rsidRDefault="00BA512D" w:rsidP="00D321E8">
            <w:pPr>
              <w:spacing w:before="0"/>
              <w:ind w:firstLine="0"/>
              <w:jc w:val="center"/>
              <w:rPr>
                <w:b/>
                <w:bCs/>
                <w:sz w:val="16"/>
                <w:szCs w:val="16"/>
              </w:rPr>
            </w:pPr>
          </w:p>
        </w:tc>
        <w:tc>
          <w:tcPr>
            <w:tcW w:w="182" w:type="pct"/>
            <w:tcBorders>
              <w:top w:val="single" w:sz="18" w:space="0" w:color="C00000"/>
              <w:right w:val="single" w:sz="18" w:space="0" w:color="C00000"/>
            </w:tcBorders>
            <w:shd w:val="clear" w:color="auto" w:fill="F2F2F2" w:themeFill="background1" w:themeFillShade="F2"/>
          </w:tcPr>
          <w:p w14:paraId="2E0B6994" w14:textId="77777777" w:rsidR="00BA512D" w:rsidRPr="000F0299" w:rsidRDefault="00BA512D" w:rsidP="00D321E8">
            <w:pPr>
              <w:spacing w:before="0"/>
              <w:ind w:firstLine="0"/>
              <w:jc w:val="center"/>
              <w:rPr>
                <w:b/>
                <w:bCs/>
                <w:sz w:val="16"/>
                <w:szCs w:val="16"/>
              </w:rPr>
            </w:pPr>
          </w:p>
        </w:tc>
      </w:tr>
      <w:tr w:rsidR="00BA512D" w:rsidRPr="000F0299" w14:paraId="05DDDB51" w14:textId="77777777" w:rsidTr="00D321E8">
        <w:trPr>
          <w:trHeight w:val="490"/>
        </w:trPr>
        <w:tc>
          <w:tcPr>
            <w:tcW w:w="187" w:type="pct"/>
            <w:tcBorders>
              <w:left w:val="single" w:sz="18" w:space="0" w:color="C00000"/>
            </w:tcBorders>
            <w:shd w:val="clear" w:color="auto" w:fill="F2F2F2" w:themeFill="background1" w:themeFillShade="F2"/>
          </w:tcPr>
          <w:p w14:paraId="104E96EE" w14:textId="77777777" w:rsidR="00BA512D" w:rsidRPr="000F0299" w:rsidRDefault="00BA512D" w:rsidP="00D321E8">
            <w:pPr>
              <w:spacing w:before="0"/>
              <w:ind w:firstLine="0"/>
              <w:rPr>
                <w:b/>
                <w:bCs/>
              </w:rPr>
            </w:pPr>
          </w:p>
        </w:tc>
        <w:tc>
          <w:tcPr>
            <w:tcW w:w="2595" w:type="pct"/>
            <w:tcBorders>
              <w:left w:val="nil"/>
              <w:bottom w:val="single" w:sz="18" w:space="0" w:color="C00000"/>
              <w:right w:val="single" w:sz="18" w:space="0" w:color="FFFFFF" w:themeColor="background1"/>
            </w:tcBorders>
            <w:shd w:val="clear" w:color="auto" w:fill="F2F2F2" w:themeFill="background1" w:themeFillShade="F2"/>
          </w:tcPr>
          <w:p w14:paraId="3200DB43" w14:textId="77777777" w:rsidR="00BA512D" w:rsidRPr="000F0299" w:rsidRDefault="00BA512D" w:rsidP="00D321E8">
            <w:pPr>
              <w:spacing w:before="0"/>
              <w:ind w:firstLine="0"/>
              <w:rPr>
                <w:b/>
                <w:bCs/>
              </w:rPr>
            </w:pPr>
            <w:r w:rsidRPr="000F0299">
              <w:rPr>
                <w:b/>
                <w:bCs/>
              </w:rPr>
              <w:t>Показатељ исхода</w:t>
            </w:r>
          </w:p>
        </w:tc>
        <w:tc>
          <w:tcPr>
            <w:tcW w:w="1018"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65E87905" w14:textId="77777777" w:rsidR="00BA512D" w:rsidRPr="000F0299" w:rsidRDefault="00BA512D" w:rsidP="00D321E8">
            <w:pPr>
              <w:spacing w:before="0"/>
              <w:ind w:firstLine="0"/>
              <w:jc w:val="center"/>
              <w:rPr>
                <w:b/>
                <w:bCs/>
              </w:rPr>
            </w:pPr>
            <w:r w:rsidRPr="000F0299">
              <w:rPr>
                <w:b/>
                <w:bCs/>
              </w:rPr>
              <w:t>ПВ</w:t>
            </w:r>
          </w:p>
        </w:tc>
        <w:tc>
          <w:tcPr>
            <w:tcW w:w="1018" w:type="pct"/>
            <w:tcBorders>
              <w:left w:val="single" w:sz="18" w:space="0" w:color="FFFFFF" w:themeColor="background1"/>
              <w:bottom w:val="single" w:sz="18" w:space="0" w:color="C00000"/>
            </w:tcBorders>
            <w:shd w:val="clear" w:color="auto" w:fill="F2F2F2" w:themeFill="background1" w:themeFillShade="F2"/>
            <w:vAlign w:val="center"/>
          </w:tcPr>
          <w:p w14:paraId="2277B34C" w14:textId="77777777" w:rsidR="00BA512D" w:rsidRPr="000F0299" w:rsidRDefault="00BA512D" w:rsidP="00D321E8">
            <w:pPr>
              <w:spacing w:before="0"/>
              <w:ind w:firstLine="0"/>
              <w:jc w:val="center"/>
              <w:rPr>
                <w:b/>
                <w:bCs/>
              </w:rPr>
            </w:pPr>
            <w:r w:rsidRPr="000F0299">
              <w:rPr>
                <w:b/>
                <w:bCs/>
              </w:rPr>
              <w:t>ЦВ</w:t>
            </w:r>
          </w:p>
        </w:tc>
        <w:tc>
          <w:tcPr>
            <w:tcW w:w="182" w:type="pct"/>
            <w:tcBorders>
              <w:right w:val="single" w:sz="18" w:space="0" w:color="C00000"/>
            </w:tcBorders>
            <w:shd w:val="clear" w:color="auto" w:fill="F2F2F2" w:themeFill="background1" w:themeFillShade="F2"/>
          </w:tcPr>
          <w:p w14:paraId="65263576" w14:textId="77777777" w:rsidR="00BA512D" w:rsidRPr="000F0299" w:rsidRDefault="00BA512D" w:rsidP="00D321E8">
            <w:pPr>
              <w:spacing w:before="0"/>
              <w:ind w:firstLine="0"/>
              <w:jc w:val="center"/>
              <w:rPr>
                <w:b/>
                <w:bCs/>
              </w:rPr>
            </w:pPr>
          </w:p>
        </w:tc>
      </w:tr>
      <w:tr w:rsidR="00BA512D" w:rsidRPr="000F0299" w14:paraId="6998343C" w14:textId="77777777" w:rsidTr="00D321E8">
        <w:trPr>
          <w:trHeight w:val="1082"/>
        </w:trPr>
        <w:tc>
          <w:tcPr>
            <w:tcW w:w="187" w:type="pct"/>
            <w:tcBorders>
              <w:left w:val="single" w:sz="18" w:space="0" w:color="C00000"/>
            </w:tcBorders>
            <w:shd w:val="clear" w:color="auto" w:fill="F2F2F2" w:themeFill="background1" w:themeFillShade="F2"/>
          </w:tcPr>
          <w:p w14:paraId="2B337809" w14:textId="77777777" w:rsidR="00BA512D" w:rsidRPr="000F0299" w:rsidRDefault="00BA512D" w:rsidP="00D321E8">
            <w:pPr>
              <w:spacing w:before="0"/>
              <w:ind w:firstLine="0"/>
            </w:pPr>
          </w:p>
        </w:tc>
        <w:tc>
          <w:tcPr>
            <w:tcW w:w="2595"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7090C14A" w14:textId="77777777" w:rsidR="00BA512D" w:rsidRPr="000F0299" w:rsidRDefault="00BA512D" w:rsidP="00D321E8">
            <w:pPr>
              <w:spacing w:before="0"/>
              <w:ind w:firstLine="0"/>
            </w:pPr>
            <w:r w:rsidRPr="000F0299">
              <w:t>Реални раст бруто домаћег производа (БДП)</w:t>
            </w:r>
          </w:p>
        </w:tc>
        <w:tc>
          <w:tcPr>
            <w:tcW w:w="1018"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7C5433C8" w14:textId="77777777" w:rsidR="00BA512D" w:rsidRPr="000F0299" w:rsidRDefault="00BA512D" w:rsidP="00D321E8">
            <w:pPr>
              <w:spacing w:before="0"/>
              <w:ind w:firstLine="0"/>
            </w:pPr>
            <w:r w:rsidRPr="000F0299">
              <w:t>(2019): 4,2%е</w:t>
            </w:r>
          </w:p>
        </w:tc>
        <w:tc>
          <w:tcPr>
            <w:tcW w:w="1018"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45538242" w14:textId="77777777" w:rsidR="00BA512D" w:rsidRPr="000F0299" w:rsidRDefault="00BA512D" w:rsidP="00D321E8">
            <w:pPr>
              <w:spacing w:before="0"/>
              <w:ind w:firstLine="0"/>
            </w:pPr>
            <w:r w:rsidRPr="000F0299">
              <w:t>(2021): -2,5%</w:t>
            </w:r>
          </w:p>
          <w:p w14:paraId="2FB8E888" w14:textId="77777777" w:rsidR="00BA512D" w:rsidRPr="000F0299" w:rsidRDefault="00BA512D" w:rsidP="00D321E8">
            <w:pPr>
              <w:spacing w:before="0"/>
              <w:ind w:firstLine="0"/>
            </w:pPr>
            <w:r w:rsidRPr="000F0299">
              <w:t>(2022): 4,0%</w:t>
            </w:r>
          </w:p>
          <w:p w14:paraId="63BD78FA" w14:textId="77777777" w:rsidR="00BA512D" w:rsidRPr="000F0299" w:rsidRDefault="00BA512D" w:rsidP="00D321E8">
            <w:pPr>
              <w:spacing w:before="0"/>
              <w:ind w:firstLine="0"/>
            </w:pPr>
            <w:r w:rsidRPr="000F0299">
              <w:t>(2023): -</w:t>
            </w:r>
          </w:p>
          <w:p w14:paraId="76D70B46" w14:textId="77777777" w:rsidR="00BA512D" w:rsidRPr="000F0299" w:rsidRDefault="00BA512D" w:rsidP="00D321E8">
            <w:pPr>
              <w:spacing w:before="0"/>
              <w:ind w:firstLine="0"/>
            </w:pPr>
            <w:r w:rsidRPr="000F0299">
              <w:t>(2024): -</w:t>
            </w:r>
          </w:p>
          <w:p w14:paraId="32D87152" w14:textId="77777777" w:rsidR="00BA512D" w:rsidRPr="000F0299" w:rsidRDefault="00BA512D" w:rsidP="00D321E8">
            <w:pPr>
              <w:spacing w:before="0"/>
              <w:ind w:firstLine="0"/>
            </w:pPr>
            <w:r w:rsidRPr="000F0299">
              <w:t>(2025): -</w:t>
            </w:r>
          </w:p>
          <w:p w14:paraId="3480180D" w14:textId="77777777" w:rsidR="00BA512D" w:rsidRPr="000F0299" w:rsidRDefault="00BA512D" w:rsidP="00D321E8">
            <w:pPr>
              <w:spacing w:before="0"/>
              <w:ind w:firstLine="0"/>
            </w:pPr>
            <w:r w:rsidRPr="000F0299">
              <w:t>(2027): -</w:t>
            </w:r>
          </w:p>
          <w:p w14:paraId="31278C95" w14:textId="77777777" w:rsidR="00BA512D" w:rsidRPr="000F0299" w:rsidRDefault="00BA512D" w:rsidP="00D321E8">
            <w:pPr>
              <w:spacing w:before="0"/>
              <w:ind w:firstLine="0"/>
            </w:pPr>
            <w:r w:rsidRPr="000F0299">
              <w:t>(2030): -</w:t>
            </w:r>
          </w:p>
        </w:tc>
        <w:tc>
          <w:tcPr>
            <w:tcW w:w="182" w:type="pct"/>
            <w:tcBorders>
              <w:right w:val="single" w:sz="18" w:space="0" w:color="C00000"/>
            </w:tcBorders>
            <w:shd w:val="clear" w:color="auto" w:fill="F2F2F2" w:themeFill="background1" w:themeFillShade="F2"/>
          </w:tcPr>
          <w:p w14:paraId="5548EC25" w14:textId="77777777" w:rsidR="00BA512D" w:rsidRPr="000F0299" w:rsidRDefault="00BA512D" w:rsidP="00D321E8">
            <w:pPr>
              <w:spacing w:before="0"/>
              <w:ind w:firstLine="0"/>
            </w:pPr>
          </w:p>
        </w:tc>
      </w:tr>
      <w:tr w:rsidR="00BA512D" w:rsidRPr="000F0299" w14:paraId="3A804F37" w14:textId="77777777" w:rsidTr="00D321E8">
        <w:trPr>
          <w:trHeight w:val="381"/>
        </w:trPr>
        <w:tc>
          <w:tcPr>
            <w:tcW w:w="187" w:type="pct"/>
            <w:tcBorders>
              <w:left w:val="single" w:sz="18" w:space="0" w:color="C00000"/>
            </w:tcBorders>
            <w:shd w:val="clear" w:color="auto" w:fill="F2F2F2" w:themeFill="background1" w:themeFillShade="F2"/>
          </w:tcPr>
          <w:p w14:paraId="0F18D81D" w14:textId="77777777" w:rsidR="00BA512D" w:rsidRPr="000F0299" w:rsidRDefault="00BA512D" w:rsidP="00D321E8">
            <w:pPr>
              <w:spacing w:before="0"/>
              <w:ind w:firstLine="0"/>
            </w:pPr>
          </w:p>
        </w:tc>
        <w:tc>
          <w:tcPr>
            <w:tcW w:w="2595"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47277CBE" w14:textId="77777777" w:rsidR="00BA512D" w:rsidRPr="000F0299" w:rsidRDefault="00BA512D" w:rsidP="00D321E8">
            <w:pPr>
              <w:spacing w:before="0"/>
              <w:ind w:firstLine="0"/>
            </w:pPr>
            <w:r w:rsidRPr="000F0299">
              <w:t>Учешће дуга опште државе у БДП</w:t>
            </w:r>
          </w:p>
        </w:tc>
        <w:tc>
          <w:tcPr>
            <w:tcW w:w="101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0E9654E" w14:textId="77777777" w:rsidR="00BA512D" w:rsidRPr="000F0299" w:rsidRDefault="00BA512D" w:rsidP="00D321E8">
            <w:pPr>
              <w:spacing w:before="0"/>
              <w:ind w:firstLine="0"/>
            </w:pPr>
            <w:r w:rsidRPr="000F0299">
              <w:t>(2019): 52,9%</w:t>
            </w:r>
          </w:p>
        </w:tc>
        <w:tc>
          <w:tcPr>
            <w:tcW w:w="1018"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24E04AD6" w14:textId="77777777" w:rsidR="00BA512D" w:rsidRPr="000F0299" w:rsidRDefault="00BA512D" w:rsidP="00D321E8">
            <w:pPr>
              <w:spacing w:before="0"/>
              <w:ind w:firstLine="0"/>
            </w:pPr>
            <w:r w:rsidRPr="000F0299">
              <w:t>(2021): -</w:t>
            </w:r>
          </w:p>
          <w:p w14:paraId="4BA3C3FD" w14:textId="77777777" w:rsidR="00BA512D" w:rsidRPr="000F0299" w:rsidRDefault="00BA512D" w:rsidP="00D321E8">
            <w:pPr>
              <w:spacing w:before="0"/>
              <w:ind w:firstLine="0"/>
            </w:pPr>
            <w:r w:rsidRPr="000F0299">
              <w:t>(2022): -</w:t>
            </w:r>
          </w:p>
          <w:p w14:paraId="64A2AF5A" w14:textId="77777777" w:rsidR="00BA512D" w:rsidRPr="000F0299" w:rsidRDefault="00BA512D" w:rsidP="00D321E8">
            <w:pPr>
              <w:spacing w:before="0"/>
              <w:ind w:firstLine="0"/>
            </w:pPr>
            <w:r w:rsidRPr="000F0299">
              <w:t>(2023): 56%</w:t>
            </w:r>
          </w:p>
          <w:p w14:paraId="502E05DB" w14:textId="77777777" w:rsidR="00BA512D" w:rsidRPr="000F0299" w:rsidRDefault="00BA512D" w:rsidP="00D321E8">
            <w:pPr>
              <w:spacing w:before="0"/>
              <w:ind w:firstLine="0"/>
            </w:pPr>
            <w:r w:rsidRPr="000F0299">
              <w:t>(2024): 52%</w:t>
            </w:r>
          </w:p>
          <w:p w14:paraId="10A38D8F" w14:textId="77777777" w:rsidR="00BA512D" w:rsidRPr="000F0299" w:rsidRDefault="00BA512D" w:rsidP="00D321E8">
            <w:pPr>
              <w:spacing w:before="0"/>
              <w:ind w:firstLine="0"/>
            </w:pPr>
            <w:r w:rsidRPr="000F0299">
              <w:t>(2025): -</w:t>
            </w:r>
          </w:p>
          <w:p w14:paraId="6D7A691C" w14:textId="77777777" w:rsidR="00BA512D" w:rsidRPr="000F0299" w:rsidRDefault="00BA512D" w:rsidP="00D321E8">
            <w:pPr>
              <w:spacing w:before="0"/>
              <w:ind w:firstLine="0"/>
            </w:pPr>
            <w:r w:rsidRPr="000F0299">
              <w:t>(2027): -</w:t>
            </w:r>
          </w:p>
          <w:p w14:paraId="0C1F3FED" w14:textId="77777777" w:rsidR="00BA512D" w:rsidRPr="000F0299" w:rsidRDefault="00BA512D" w:rsidP="00D321E8">
            <w:pPr>
              <w:spacing w:before="0"/>
              <w:ind w:firstLine="0"/>
            </w:pPr>
            <w:r w:rsidRPr="000F0299">
              <w:t>(2030): -</w:t>
            </w:r>
          </w:p>
        </w:tc>
        <w:tc>
          <w:tcPr>
            <w:tcW w:w="182" w:type="pct"/>
            <w:tcBorders>
              <w:right w:val="single" w:sz="18" w:space="0" w:color="C00000"/>
            </w:tcBorders>
            <w:shd w:val="clear" w:color="auto" w:fill="F2F2F2" w:themeFill="background1" w:themeFillShade="F2"/>
          </w:tcPr>
          <w:p w14:paraId="25E4182D" w14:textId="77777777" w:rsidR="00BA512D" w:rsidRPr="000F0299" w:rsidRDefault="00BA512D" w:rsidP="00D321E8">
            <w:pPr>
              <w:spacing w:before="0"/>
              <w:ind w:firstLine="0"/>
            </w:pPr>
          </w:p>
        </w:tc>
      </w:tr>
      <w:tr w:rsidR="00BA512D" w:rsidRPr="000F0299" w14:paraId="4C641AED" w14:textId="77777777" w:rsidTr="00D321E8">
        <w:trPr>
          <w:trHeight w:val="340"/>
        </w:trPr>
        <w:tc>
          <w:tcPr>
            <w:tcW w:w="187" w:type="pct"/>
            <w:tcBorders>
              <w:left w:val="single" w:sz="18" w:space="0" w:color="C00000"/>
              <w:bottom w:val="single" w:sz="18" w:space="0" w:color="C00000"/>
            </w:tcBorders>
            <w:shd w:val="clear" w:color="auto" w:fill="F2F2F2" w:themeFill="background1" w:themeFillShade="F2"/>
          </w:tcPr>
          <w:p w14:paraId="676BB4CA" w14:textId="77777777" w:rsidR="00BA512D" w:rsidRPr="000F0299" w:rsidRDefault="00BA512D" w:rsidP="00D321E8">
            <w:pPr>
              <w:spacing w:before="0"/>
              <w:ind w:firstLine="0"/>
              <w:rPr>
                <w:sz w:val="16"/>
                <w:szCs w:val="16"/>
              </w:rPr>
            </w:pPr>
          </w:p>
        </w:tc>
        <w:tc>
          <w:tcPr>
            <w:tcW w:w="2595" w:type="pct"/>
            <w:tcBorders>
              <w:bottom w:val="single" w:sz="18" w:space="0" w:color="C00000"/>
            </w:tcBorders>
            <w:shd w:val="clear" w:color="auto" w:fill="F2F2F2" w:themeFill="background1" w:themeFillShade="F2"/>
          </w:tcPr>
          <w:p w14:paraId="2A0391FC" w14:textId="77777777" w:rsidR="00BA512D" w:rsidRPr="000F0299" w:rsidRDefault="00BA512D" w:rsidP="00D321E8">
            <w:pPr>
              <w:spacing w:before="0"/>
              <w:ind w:firstLine="0"/>
              <w:rPr>
                <w:sz w:val="16"/>
                <w:szCs w:val="16"/>
              </w:rPr>
            </w:pPr>
          </w:p>
        </w:tc>
        <w:tc>
          <w:tcPr>
            <w:tcW w:w="1018" w:type="pct"/>
            <w:tcBorders>
              <w:bottom w:val="single" w:sz="18" w:space="0" w:color="C00000"/>
            </w:tcBorders>
            <w:shd w:val="clear" w:color="auto" w:fill="F2F2F2" w:themeFill="background1" w:themeFillShade="F2"/>
          </w:tcPr>
          <w:p w14:paraId="660439E6" w14:textId="77777777" w:rsidR="00BA512D" w:rsidRPr="000F0299" w:rsidRDefault="00BA512D" w:rsidP="00D321E8">
            <w:pPr>
              <w:spacing w:before="0"/>
              <w:ind w:firstLine="0"/>
              <w:rPr>
                <w:sz w:val="16"/>
                <w:szCs w:val="16"/>
              </w:rPr>
            </w:pPr>
          </w:p>
        </w:tc>
        <w:tc>
          <w:tcPr>
            <w:tcW w:w="1018" w:type="pct"/>
            <w:tcBorders>
              <w:bottom w:val="single" w:sz="18" w:space="0" w:color="C00000"/>
            </w:tcBorders>
            <w:shd w:val="clear" w:color="auto" w:fill="F2F2F2" w:themeFill="background1" w:themeFillShade="F2"/>
          </w:tcPr>
          <w:p w14:paraId="4B2E2617" w14:textId="77777777" w:rsidR="00BA512D" w:rsidRPr="000F0299" w:rsidRDefault="00BA512D" w:rsidP="00D321E8">
            <w:pPr>
              <w:spacing w:before="0"/>
              <w:ind w:firstLine="0"/>
              <w:rPr>
                <w:sz w:val="16"/>
                <w:szCs w:val="16"/>
              </w:rPr>
            </w:pPr>
          </w:p>
        </w:tc>
        <w:tc>
          <w:tcPr>
            <w:tcW w:w="182" w:type="pct"/>
            <w:tcBorders>
              <w:bottom w:val="single" w:sz="18" w:space="0" w:color="C00000"/>
              <w:right w:val="single" w:sz="18" w:space="0" w:color="C00000"/>
            </w:tcBorders>
            <w:shd w:val="clear" w:color="auto" w:fill="F2F2F2" w:themeFill="background1" w:themeFillShade="F2"/>
          </w:tcPr>
          <w:p w14:paraId="44780BA9" w14:textId="77777777" w:rsidR="00BA512D" w:rsidRPr="000F0299" w:rsidRDefault="00BA512D" w:rsidP="00D321E8">
            <w:pPr>
              <w:spacing w:before="0"/>
              <w:ind w:firstLine="0"/>
              <w:rPr>
                <w:sz w:val="16"/>
                <w:szCs w:val="16"/>
              </w:rPr>
            </w:pPr>
          </w:p>
        </w:tc>
      </w:tr>
    </w:tbl>
    <w:p w14:paraId="19990369" w14:textId="4FADD2FF" w:rsidR="008751D9" w:rsidRDefault="00BA512D" w:rsidP="00276586">
      <w:pPr>
        <w:spacing w:after="0"/>
        <w:rPr>
          <w:lang w:eastAsia="de-DE"/>
        </w:rPr>
      </w:pPr>
      <w:r w:rsidRPr="000F0299">
        <w:rPr>
          <w:lang w:eastAsia="de-DE"/>
        </w:rPr>
        <w:t xml:space="preserve">Како би се остварио </w:t>
      </w:r>
      <w:r w:rsidRPr="000F0299">
        <w:rPr>
          <w:b/>
          <w:lang w:eastAsia="de-DE"/>
        </w:rPr>
        <w:t>посебан циљ 5.1.</w:t>
      </w:r>
      <w:r w:rsidRPr="000F0299">
        <w:rPr>
          <w:lang w:eastAsia="de-DE"/>
        </w:rPr>
        <w:t xml:space="preserve"> кључни правци деловања политика усмерени су на побољшања програмског буџетирања, средњорочног планирања и планирања јавних инвестиција, ефикаснијег и делотворнијег извршења буџета и извештавања, унапређење система интерне финансијске контроле и контроле јавних средстава уз ефикасан екстерни надзор јавних финансија.</w:t>
      </w:r>
    </w:p>
    <w:p w14:paraId="16E99287" w14:textId="144B40D7" w:rsidR="005822B0" w:rsidRPr="00276586" w:rsidRDefault="00276586" w:rsidP="00276586">
      <w:pPr>
        <w:spacing w:after="0"/>
        <w:ind w:left="357" w:firstLine="0"/>
        <w:rPr>
          <w:bCs/>
          <w:iCs/>
          <w:lang w:eastAsia="de-DE"/>
        </w:rPr>
      </w:pPr>
      <w:r w:rsidRPr="00276586">
        <w:rPr>
          <w:b/>
          <w:bCs/>
          <w:iCs/>
          <w:lang w:eastAsia="de-DE"/>
        </w:rPr>
        <w:t>Напомена</w:t>
      </w:r>
      <w:r w:rsidRPr="00276586">
        <w:rPr>
          <w:bCs/>
          <w:iCs/>
          <w:lang w:eastAsia="de-DE"/>
        </w:rPr>
        <w:t xml:space="preserve">: Извор наведених докумената јавних политика и прописа дати су у </w:t>
      </w:r>
      <w:hyperlink w:anchor="_V._Управљање_јавним" w:history="1">
        <w:r w:rsidRPr="00276586">
          <w:rPr>
            <w:rStyle w:val="Hyperlink"/>
            <w:bCs/>
            <w:iCs/>
            <w:lang w:eastAsia="de-DE"/>
          </w:rPr>
          <w:t>Прилогу 2</w:t>
        </w:r>
      </w:hyperlink>
      <w:r w:rsidRPr="00276586">
        <w:rPr>
          <w:bCs/>
          <w:iCs/>
          <w:lang w:eastAsia="de-DE"/>
        </w:rPr>
        <w:t xml:space="preserve"> у којем је приказана и детаљна анализа за тематску област Управљање јавним финансијама.</w:t>
      </w:r>
      <w:bookmarkStart w:id="50" w:name="_Toc56725085"/>
    </w:p>
    <w:p w14:paraId="0476D8EE" w14:textId="77777777" w:rsidR="005822B0" w:rsidRPr="000F0299" w:rsidRDefault="005822B0">
      <w:pPr>
        <w:suppressAutoHyphens w:val="0"/>
        <w:autoSpaceDN/>
        <w:spacing w:before="0" w:after="160" w:line="259" w:lineRule="auto"/>
        <w:ind w:firstLine="0"/>
        <w:jc w:val="left"/>
        <w:textAlignment w:val="auto"/>
        <w:rPr>
          <w:rFonts w:eastAsiaTheme="majorEastAsia" w:cstheme="majorBidi"/>
          <w:color w:val="2F5496" w:themeColor="accent1" w:themeShade="BF"/>
          <w:sz w:val="32"/>
          <w:szCs w:val="26"/>
        </w:rPr>
      </w:pPr>
      <w:r w:rsidRPr="000F0299">
        <w:br w:type="page"/>
      </w:r>
    </w:p>
    <w:p w14:paraId="06C90D79" w14:textId="0B13EFF7" w:rsidR="006C0FCF" w:rsidRPr="000F0299" w:rsidRDefault="006C0FCF" w:rsidP="003D3BC5">
      <w:pPr>
        <w:pStyle w:val="Heading2"/>
        <w:rPr>
          <w:lang w:val="sr-Cyrl-RS"/>
        </w:rPr>
      </w:pPr>
      <w:bookmarkStart w:id="51" w:name="_Toc57661463"/>
      <w:r w:rsidRPr="000F0299">
        <w:rPr>
          <w:lang w:val="sr-Cyrl-RS"/>
        </w:rPr>
        <w:t xml:space="preserve">VI. </w:t>
      </w:r>
      <w:r w:rsidR="00E706E9" w:rsidRPr="000F0299">
        <w:rPr>
          <w:lang w:val="sr-Cyrl-RS"/>
        </w:rPr>
        <w:t>Систем локалне самоуправе</w:t>
      </w:r>
      <w:bookmarkEnd w:id="50"/>
      <w:bookmarkEnd w:id="51"/>
    </w:p>
    <w:p w14:paraId="6A169985" w14:textId="36DD2821" w:rsidR="006C0FCF" w:rsidRPr="000F0299" w:rsidRDefault="00E706E9" w:rsidP="00725146">
      <w:pPr>
        <w:pStyle w:val="Heading3"/>
        <w:rPr>
          <w:lang w:val="sr-Cyrl-RS"/>
        </w:rPr>
      </w:pPr>
      <w:bookmarkStart w:id="52" w:name="_Toc56725086"/>
      <w:bookmarkStart w:id="53" w:name="_Toc57661464"/>
      <w:r w:rsidRPr="000F0299">
        <w:rPr>
          <w:lang w:val="sr-Cyrl-RS"/>
        </w:rPr>
        <w:t>Анализа стања</w:t>
      </w:r>
      <w:bookmarkEnd w:id="52"/>
      <w:bookmarkEnd w:id="53"/>
    </w:p>
    <w:p w14:paraId="5C241CB6" w14:textId="77777777" w:rsidR="001C664B" w:rsidRPr="001C664B" w:rsidRDefault="001C664B" w:rsidP="001C664B">
      <w:r w:rsidRPr="001C664B">
        <w:t>Општи оквир ове области чини Устав Републике Србије, Закон о локалној самоуправи,</w:t>
      </w:r>
      <w:r w:rsidRPr="001C664B">
        <w:rPr>
          <w:vertAlign w:val="superscript"/>
        </w:rPr>
        <w:t xml:space="preserve"> </w:t>
      </w:r>
      <w:r w:rsidRPr="001C664B">
        <w:t xml:space="preserve">Стратегија РЈУ из 2014, као и Европска повеља о локалној самоуправи. Поред ове кровне Стратегија РЈУ, правац решавања дају и други документи јавних политика, попут Стратегије регулаторне реформе и управљања јавним политикама, ПРУЈФ, Стратегија стручног усавршавања у јединицама локалне самоуправе, Стратегије јавних набавки, Програма „е-Папир” и других. У току је припрема Програма за реформу система локалне самоуправе у Републици Србији, који треба да утврди циљеве и мере за осигурање даље децентрализације, функционалнију расподелу послова и надлежности и интензивнији развој положаја и организације локалне самоуправе у систему јавне власти. </w:t>
      </w:r>
    </w:p>
    <w:p w14:paraId="706E5625" w14:textId="77777777" w:rsidR="001C664B" w:rsidRPr="001C664B" w:rsidRDefault="001C664B" w:rsidP="001C664B">
      <w:r w:rsidRPr="001C664B">
        <w:rPr>
          <w:bCs/>
        </w:rPr>
        <w:t>Један од системских изазова за реформу система локалне самоуправе јесте асиметрична децентрализација. Услед монотипног (</w:t>
      </w:r>
      <w:r w:rsidRPr="001C664B">
        <w:t>једнообразног) система локалне самоуправе</w:t>
      </w:r>
      <w:r w:rsidRPr="001C664B">
        <w:rPr>
          <w:bCs/>
        </w:rPr>
        <w:t xml:space="preserve"> постоји </w:t>
      </w:r>
      <w:r w:rsidRPr="001C664B">
        <w:t>несразмера између величине ЈЛС и послова који су јој додељени</w:t>
      </w:r>
      <w:r w:rsidRPr="001C664B">
        <w:rPr>
          <w:bCs/>
        </w:rPr>
        <w:t>. Како би се решио проблем у начину додељивања нових послова локалној самоуправи,</w:t>
      </w:r>
      <w:r w:rsidRPr="001C664B">
        <w:t xml:space="preserve"> </w:t>
      </w:r>
      <w:r w:rsidRPr="001C664B">
        <w:rPr>
          <w:bCs/>
        </w:rPr>
        <w:t xml:space="preserve">МДУЛС је припремио и објавио Јединствени попис послова на локалном нивоу власти. Међутим, додељивање послова ЈЛС и ефикасно управно поступање </w:t>
      </w:r>
      <w:r w:rsidRPr="001C664B">
        <w:t xml:space="preserve">није праћено обезбеђењем потребних финансијских, кадровских и других ресурса. Такође, </w:t>
      </w:r>
      <w:r w:rsidRPr="001C664B">
        <w:rPr>
          <w:bCs/>
        </w:rPr>
        <w:t>надзор над спровођењем поверених послова није континуиран нити довољно развијен, а инспекцијски надзор ретко има превентивни и саветодавни карактер.</w:t>
      </w:r>
      <w:r w:rsidRPr="001C664B">
        <w:t xml:space="preserve"> </w:t>
      </w:r>
    </w:p>
    <w:p w14:paraId="53EBB616" w14:textId="77777777" w:rsidR="001C664B" w:rsidRPr="001C664B" w:rsidRDefault="001C664B" w:rsidP="001C664B">
      <w:r w:rsidRPr="001C664B">
        <w:t>Пуна примена ЗПС-а и ЈИС-а је велики изазов за локалну самоуправу у области планирања и координације. МДУЛС је у сарадњи са РСЈП-ом покренуо нови аналитички сервис за ЈЛС, који треба да обезбеди обједињене и упоредиве друштвено-економске податке о ЈЛС из више важних база података.</w:t>
      </w:r>
    </w:p>
    <w:p w14:paraId="14B55285" w14:textId="77777777" w:rsidR="001C664B" w:rsidRPr="001C664B" w:rsidRDefault="001C664B" w:rsidP="001C664B">
      <w:pPr>
        <w:rPr>
          <w:bCs/>
        </w:rPr>
      </w:pPr>
      <w:r w:rsidRPr="001C664B">
        <w:t xml:space="preserve">Због измена у систему финансирања и стагнантног раста учешћа укупних примања ЈЛС у БДП-у отежано је дугорочно планирање, нарочито планирање капиталних улагања, што неповољно утиче на стабилност и предвидљивост финансирања ЈЛС. </w:t>
      </w:r>
      <w:r w:rsidRPr="001C664B">
        <w:rPr>
          <w:bCs/>
        </w:rPr>
        <w:t xml:space="preserve">Неуједначени организациони и управни капацитети, као и недостатак адекватних људских, техничких и финансијских ресурса у ЈЛС представља значајан проблем у ефикасности управног поступања. </w:t>
      </w:r>
    </w:p>
    <w:p w14:paraId="0078EC21" w14:textId="0B1A4195" w:rsidR="006C0FCF" w:rsidRPr="000F0299" w:rsidRDefault="001C664B" w:rsidP="001C664B">
      <w:r w:rsidRPr="001C664B">
        <w:t>У области УЉР, а нарочито стручног усавршавања на локалном нивоу, кључни резултати се огледају у оснивању Савета за стручно усавршавање запослених у јединицама локалне самоуправе, НАЈУ и мрежи за управљање кадровима коју је успостави</w:t>
      </w:r>
      <w:r>
        <w:t>о</w:t>
      </w:r>
      <w:r w:rsidRPr="001C664B">
        <w:t xml:space="preserve"> СКГО</w:t>
      </w:r>
      <w:r w:rsidR="006C0FCF" w:rsidRPr="000F0299">
        <w:t>.</w:t>
      </w:r>
    </w:p>
    <w:p w14:paraId="4627BB71" w14:textId="01A4FF5D" w:rsidR="006C0FCF" w:rsidRPr="000F0299" w:rsidRDefault="001C664B" w:rsidP="00615118">
      <w:r w:rsidRPr="001C664B">
        <w:t>Пошто се за постизање овог циља планира израда хијерархијски нижег документа, тј. Програма реформе система локалне самоуправе, ова стратегија неће разрађивати мере које доприносе остваривању Посебног циља 6.1, већ ће описно дати правац деловања на основу којег ће се утврђивати посебни циљеви Програма реформе система локалне самоуправе и разрађивати мере за њихово остваривање</w:t>
      </w:r>
      <w:r w:rsidR="006C0FCF" w:rsidRPr="000F0299">
        <w:t>.</w:t>
      </w:r>
    </w:p>
    <w:p w14:paraId="1074E892" w14:textId="700AD937" w:rsidR="005822B0" w:rsidRPr="000F0299" w:rsidRDefault="005822B0">
      <w:pPr>
        <w:suppressAutoHyphens w:val="0"/>
        <w:autoSpaceDN/>
        <w:spacing w:before="0" w:after="160" w:line="259" w:lineRule="auto"/>
        <w:ind w:firstLine="0"/>
        <w:jc w:val="left"/>
        <w:textAlignment w:val="auto"/>
      </w:pPr>
      <w:r w:rsidRPr="000F0299">
        <w:br w:type="page"/>
      </w:r>
    </w:p>
    <w:p w14:paraId="7D4EB1AB" w14:textId="499FE142" w:rsidR="006C0FCF" w:rsidRPr="000F0299" w:rsidRDefault="00E706E9" w:rsidP="00725146">
      <w:pPr>
        <w:pStyle w:val="Heading3"/>
        <w:rPr>
          <w:lang w:val="sr-Cyrl-RS"/>
        </w:rPr>
      </w:pPr>
      <w:bookmarkStart w:id="54" w:name="_Toc56725087"/>
      <w:bookmarkStart w:id="55" w:name="_Toc57661465"/>
      <w:r w:rsidRPr="000F0299">
        <w:rPr>
          <w:lang w:val="sr-Cyrl-RS"/>
        </w:rPr>
        <w:t>Посебан циљ и правци деловања</w:t>
      </w:r>
      <w:bookmarkEnd w:id="54"/>
      <w:bookmarkEnd w:id="55"/>
      <w:r w:rsidR="006C0FCF" w:rsidRPr="000F0299" w:rsidDel="002658A9">
        <w:rPr>
          <w:lang w:val="sr-Cyrl-RS"/>
        </w:rPr>
        <w:t xml:space="preserve"> </w:t>
      </w:r>
    </w:p>
    <w:p w14:paraId="4245089E" w14:textId="77777777" w:rsidR="001C664B" w:rsidRPr="001C664B" w:rsidRDefault="001C664B" w:rsidP="001C664B">
      <w:pPr>
        <w:rPr>
          <w:lang w:val="uz-Cyrl-UZ" w:eastAsia="en-GB"/>
        </w:rPr>
      </w:pPr>
      <w:r w:rsidRPr="001C664B">
        <w:rPr>
          <w:lang w:eastAsia="en-GB"/>
        </w:rPr>
        <w:t xml:space="preserve">Циљ је изградња </w:t>
      </w:r>
      <w:r w:rsidRPr="001C664B">
        <w:rPr>
          <w:lang w:val="uz-Cyrl-UZ" w:eastAsia="en-GB"/>
        </w:rPr>
        <w:t>модерне, професионалне и ефикасне</w:t>
      </w:r>
      <w:r w:rsidRPr="001C664B">
        <w:rPr>
          <w:lang w:eastAsia="en-GB"/>
        </w:rPr>
        <w:t xml:space="preserve"> локалне самоуправе која је способна</w:t>
      </w:r>
      <w:r w:rsidRPr="001C664B">
        <w:rPr>
          <w:lang w:val="uz-Cyrl-UZ" w:eastAsia="en-GB"/>
        </w:rPr>
        <w:t xml:space="preserve"> да пружа квалитетне јавне услуге грађанима и привреди</w:t>
      </w:r>
      <w:r w:rsidRPr="001C664B">
        <w:rPr>
          <w:lang w:eastAsia="en-GB"/>
        </w:rPr>
        <w:t xml:space="preserve">, </w:t>
      </w:r>
      <w:r w:rsidRPr="001C664B">
        <w:rPr>
          <w:lang w:val="uz-Cyrl-UZ" w:eastAsia="en-GB"/>
        </w:rPr>
        <w:t xml:space="preserve">да примењује </w:t>
      </w:r>
      <w:r w:rsidRPr="001C664B">
        <w:rPr>
          <w:lang w:eastAsia="en-GB"/>
        </w:rPr>
        <w:t>начела</w:t>
      </w:r>
      <w:r w:rsidRPr="001C664B">
        <w:rPr>
          <w:lang w:val="uz-Cyrl-UZ" w:eastAsia="en-GB"/>
        </w:rPr>
        <w:t xml:space="preserve"> доброг управљања у свом раду</w:t>
      </w:r>
      <w:r w:rsidRPr="001C664B">
        <w:rPr>
          <w:lang w:eastAsia="en-GB"/>
        </w:rPr>
        <w:t xml:space="preserve"> и</w:t>
      </w:r>
      <w:r w:rsidRPr="001C664B">
        <w:rPr>
          <w:lang w:val="uz-Cyrl-UZ" w:eastAsia="en-GB"/>
        </w:rPr>
        <w:t xml:space="preserve"> </w:t>
      </w:r>
      <w:r w:rsidRPr="001C664B">
        <w:rPr>
          <w:lang w:eastAsia="en-GB"/>
        </w:rPr>
        <w:t>да</w:t>
      </w:r>
      <w:r w:rsidRPr="001C664B">
        <w:rPr>
          <w:lang w:val="uz-Cyrl-UZ" w:eastAsia="en-GB"/>
        </w:rPr>
        <w:t xml:space="preserve"> својим деловањем унапређује квалитет живота грађана и доприноси равномерном развоју Републике Србије. </w:t>
      </w:r>
    </w:p>
    <w:p w14:paraId="3CADEE0A" w14:textId="08BE01DF" w:rsidR="006C0FCF" w:rsidRPr="000F0299" w:rsidRDefault="001C664B" w:rsidP="001C664B">
      <w:pPr>
        <w:rPr>
          <w:lang w:eastAsia="en-GB"/>
        </w:rPr>
      </w:pPr>
      <w:r w:rsidRPr="001C664B">
        <w:rPr>
          <w:lang w:eastAsia="en-GB"/>
        </w:rPr>
        <w:t xml:space="preserve">Нов и унапређен систем </w:t>
      </w:r>
      <w:r w:rsidRPr="001C664B">
        <w:rPr>
          <w:lang w:val="uz-Cyrl-UZ" w:eastAsia="en-GB"/>
        </w:rPr>
        <w:t>локалн</w:t>
      </w:r>
      <w:r w:rsidRPr="001C664B">
        <w:rPr>
          <w:lang w:eastAsia="en-GB"/>
        </w:rPr>
        <w:t>е</w:t>
      </w:r>
      <w:r w:rsidRPr="001C664B">
        <w:rPr>
          <w:lang w:val="uz-Cyrl-UZ" w:eastAsia="en-GB"/>
        </w:rPr>
        <w:t xml:space="preserve"> самоуправ</w:t>
      </w:r>
      <w:r w:rsidRPr="001C664B">
        <w:rPr>
          <w:lang w:eastAsia="en-GB"/>
        </w:rPr>
        <w:t>е</w:t>
      </w:r>
      <w:r w:rsidRPr="001C664B">
        <w:rPr>
          <w:lang w:val="uz-Cyrl-UZ" w:eastAsia="en-GB"/>
        </w:rPr>
        <w:t xml:space="preserve"> </w:t>
      </w:r>
      <w:r w:rsidRPr="001C664B">
        <w:rPr>
          <w:lang w:eastAsia="en-GB"/>
        </w:rPr>
        <w:t>подразумева редефинисање положаја и значаја локалне самоуправе и примену принципа супсидијарности у управљању јавним пословима,</w:t>
      </w:r>
      <w:r w:rsidRPr="001C664B">
        <w:rPr>
          <w:lang w:val="uz-Cyrl-UZ" w:eastAsia="en-GB"/>
        </w:rPr>
        <w:t xml:space="preserve"> </w:t>
      </w:r>
      <w:r w:rsidRPr="001C664B">
        <w:rPr>
          <w:lang w:eastAsia="en-GB"/>
        </w:rPr>
        <w:t xml:space="preserve">пуно </w:t>
      </w:r>
      <w:r w:rsidRPr="001C664B">
        <w:rPr>
          <w:lang w:val="uz-Cyrl-UZ" w:eastAsia="en-GB"/>
        </w:rPr>
        <w:t>учешћ</w:t>
      </w:r>
      <w:r w:rsidRPr="001C664B">
        <w:rPr>
          <w:lang w:eastAsia="en-GB"/>
        </w:rPr>
        <w:t>е</w:t>
      </w:r>
      <w:r w:rsidRPr="001C664B">
        <w:rPr>
          <w:lang w:val="uz-Cyrl-UZ" w:eastAsia="en-GB"/>
        </w:rPr>
        <w:t xml:space="preserve"> грађана</w:t>
      </w:r>
      <w:r w:rsidRPr="001C664B">
        <w:rPr>
          <w:lang w:eastAsia="en-GB"/>
        </w:rPr>
        <w:t xml:space="preserve"> и локалне заједнице</w:t>
      </w:r>
      <w:r w:rsidRPr="001C664B">
        <w:rPr>
          <w:lang w:val="uz-Cyrl-UZ" w:eastAsia="en-GB"/>
        </w:rPr>
        <w:t xml:space="preserve"> у процесу доношења одлука на локалном нивоу</w:t>
      </w:r>
      <w:r w:rsidRPr="001C664B">
        <w:rPr>
          <w:lang w:eastAsia="en-GB"/>
        </w:rPr>
        <w:t>, даљи развој</w:t>
      </w:r>
      <w:r w:rsidRPr="001C664B">
        <w:rPr>
          <w:lang w:val="uz-Cyrl-UZ" w:eastAsia="en-GB"/>
        </w:rPr>
        <w:t xml:space="preserve"> капацитета локалне самоуправе и реформисање</w:t>
      </w:r>
      <w:r w:rsidRPr="001C664B">
        <w:rPr>
          <w:lang w:eastAsia="en-GB"/>
        </w:rPr>
        <w:t xml:space="preserve"> и побољшање</w:t>
      </w:r>
      <w:r w:rsidRPr="001C664B">
        <w:rPr>
          <w:lang w:val="uz-Cyrl-UZ" w:eastAsia="en-GB"/>
        </w:rPr>
        <w:t xml:space="preserve"> </w:t>
      </w:r>
      <w:r w:rsidRPr="001C664B">
        <w:rPr>
          <w:lang w:eastAsia="en-GB"/>
        </w:rPr>
        <w:t xml:space="preserve">њене </w:t>
      </w:r>
      <w:r w:rsidRPr="001C664B">
        <w:rPr>
          <w:lang w:val="uz-Cyrl-UZ" w:eastAsia="en-GB"/>
        </w:rPr>
        <w:t xml:space="preserve">организације </w:t>
      </w:r>
      <w:r w:rsidRPr="001C664B">
        <w:rPr>
          <w:lang w:eastAsia="en-GB"/>
        </w:rPr>
        <w:t>у складу са</w:t>
      </w:r>
      <w:r w:rsidRPr="001C664B">
        <w:rPr>
          <w:lang w:val="uz-Cyrl-UZ" w:eastAsia="en-GB"/>
        </w:rPr>
        <w:t xml:space="preserve"> потребама локалне заједнице,</w:t>
      </w:r>
      <w:r w:rsidRPr="001C664B">
        <w:rPr>
          <w:lang w:eastAsia="en-GB"/>
        </w:rPr>
        <w:t xml:space="preserve"> стабилан и </w:t>
      </w:r>
      <w:r w:rsidRPr="001C664B">
        <w:rPr>
          <w:lang w:val="uz-Cyrl-UZ" w:eastAsia="en-GB"/>
        </w:rPr>
        <w:t>одржив систе</w:t>
      </w:r>
      <w:r w:rsidRPr="001C664B">
        <w:rPr>
          <w:lang w:eastAsia="en-GB"/>
        </w:rPr>
        <w:t>м</w:t>
      </w:r>
      <w:r w:rsidRPr="001C664B">
        <w:rPr>
          <w:lang w:val="uz-Cyrl-UZ" w:eastAsia="en-GB"/>
        </w:rPr>
        <w:t xml:space="preserve"> финансирањ</w:t>
      </w:r>
      <w:r w:rsidRPr="001C664B">
        <w:rPr>
          <w:lang w:eastAsia="en-GB"/>
        </w:rPr>
        <w:t xml:space="preserve">а локалне самоуправе који обезбеђује предвидљивост и довољност прихода локалне самоуправе, дугорочно планирање локалног развоја и </w:t>
      </w:r>
      <w:r w:rsidRPr="001C664B">
        <w:rPr>
          <w:lang w:val="uz-Cyrl-UZ" w:eastAsia="en-GB"/>
        </w:rPr>
        <w:t>подстицање локалног економског развоја,</w:t>
      </w:r>
      <w:r w:rsidRPr="001C664B">
        <w:rPr>
          <w:lang w:eastAsia="en-GB"/>
        </w:rPr>
        <w:t xml:space="preserve"> наставак реформе ефикасности рада локалне управе и локалних јавних служби и јачање квалитета и доступности њихових услуга према грађанима и привреди, унапређење </w:t>
      </w:r>
      <w:r w:rsidRPr="001C664B">
        <w:rPr>
          <w:lang w:val="uz-Cyrl-UZ" w:eastAsia="en-GB"/>
        </w:rPr>
        <w:t>међуопштинск</w:t>
      </w:r>
      <w:r w:rsidRPr="001C664B">
        <w:rPr>
          <w:lang w:eastAsia="en-GB"/>
        </w:rPr>
        <w:t>е</w:t>
      </w:r>
      <w:r w:rsidRPr="001C664B">
        <w:rPr>
          <w:lang w:val="uz-Cyrl-UZ" w:eastAsia="en-GB"/>
        </w:rPr>
        <w:t xml:space="preserve"> сарадњ</w:t>
      </w:r>
      <w:r w:rsidRPr="001C664B">
        <w:rPr>
          <w:lang w:eastAsia="en-GB"/>
        </w:rPr>
        <w:t>е</w:t>
      </w:r>
      <w:r w:rsidRPr="001C664B">
        <w:rPr>
          <w:lang w:val="uz-Cyrl-UZ" w:eastAsia="en-GB"/>
        </w:rPr>
        <w:t xml:space="preserve"> и међусобних односа </w:t>
      </w:r>
      <w:r w:rsidRPr="001C664B">
        <w:rPr>
          <w:lang w:eastAsia="en-GB"/>
        </w:rPr>
        <w:t>различитих нивоа јавне</w:t>
      </w:r>
      <w:r w:rsidRPr="001C664B">
        <w:rPr>
          <w:lang w:val="uz-Cyrl-UZ" w:eastAsia="en-GB"/>
        </w:rPr>
        <w:t xml:space="preserve"> власти</w:t>
      </w:r>
      <w:r w:rsidRPr="001C664B">
        <w:rPr>
          <w:lang w:eastAsia="en-GB"/>
        </w:rPr>
        <w:t xml:space="preserve"> у заједничком управљању јавним пословима и развоју Републике Србије.</w:t>
      </w:r>
    </w:p>
    <w:p w14:paraId="56F01035" w14:textId="77777777" w:rsidR="00BA512D" w:rsidRPr="000F0299" w:rsidRDefault="00BA512D" w:rsidP="00BA512D">
      <w:pPr>
        <w:rPr>
          <w:b/>
          <w:bCs/>
        </w:rPr>
      </w:pPr>
      <w:r w:rsidRPr="000F0299">
        <w:rPr>
          <w:b/>
          <w:bCs/>
          <w:lang w:eastAsia="de-DE"/>
        </w:rPr>
        <w:t>Посебни циљ 6.1.</w:t>
      </w:r>
      <w:r w:rsidRPr="000F0299">
        <w:rPr>
          <w:b/>
          <w:bCs/>
          <w:color w:val="2F5496" w:themeColor="accent1" w:themeShade="BF"/>
          <w:lang w:eastAsia="de-DE"/>
        </w:rPr>
        <w:t xml:space="preserve"> </w:t>
      </w:r>
      <w:r w:rsidRPr="000F0299">
        <w:rPr>
          <w:b/>
          <w:bCs/>
          <w:lang w:eastAsia="de-DE"/>
        </w:rPr>
        <w:t>Успостављен систем локалне самоуправе који омогућава делотворно и одрживо остваривање права грађана на локалну самоуправу</w:t>
      </w:r>
    </w:p>
    <w:tbl>
      <w:tblPr>
        <w:tblW w:w="5097" w:type="pct"/>
        <w:shd w:val="clear" w:color="auto" w:fill="E7E6E6" w:themeFill="background2"/>
        <w:tblLook w:val="00A0" w:firstRow="1" w:lastRow="0" w:firstColumn="1" w:lastColumn="0" w:noHBand="0" w:noVBand="0"/>
      </w:tblPr>
      <w:tblGrid>
        <w:gridCol w:w="340"/>
        <w:gridCol w:w="4883"/>
        <w:gridCol w:w="1754"/>
        <w:gridCol w:w="1847"/>
        <w:gridCol w:w="330"/>
      </w:tblGrid>
      <w:tr w:rsidR="00BA512D" w:rsidRPr="000F0299" w14:paraId="2F6AE700" w14:textId="77777777" w:rsidTr="00D321E8">
        <w:trPr>
          <w:trHeight w:val="20"/>
        </w:trPr>
        <w:tc>
          <w:tcPr>
            <w:tcW w:w="186" w:type="pct"/>
            <w:tcBorders>
              <w:top w:val="single" w:sz="18" w:space="0" w:color="C00000"/>
              <w:left w:val="single" w:sz="18" w:space="0" w:color="C00000"/>
            </w:tcBorders>
            <w:shd w:val="clear" w:color="auto" w:fill="F2F2F2" w:themeFill="background1" w:themeFillShade="F2"/>
          </w:tcPr>
          <w:p w14:paraId="52AAA834" w14:textId="77777777" w:rsidR="00BA512D" w:rsidRPr="000F0299" w:rsidRDefault="00BA512D" w:rsidP="00D321E8">
            <w:pPr>
              <w:spacing w:before="0"/>
              <w:ind w:firstLine="0"/>
              <w:rPr>
                <w:b/>
                <w:bCs/>
                <w:sz w:val="16"/>
                <w:szCs w:val="16"/>
              </w:rPr>
            </w:pPr>
          </w:p>
        </w:tc>
        <w:tc>
          <w:tcPr>
            <w:tcW w:w="2667" w:type="pct"/>
            <w:tcBorders>
              <w:top w:val="single" w:sz="18" w:space="0" w:color="C00000"/>
            </w:tcBorders>
            <w:shd w:val="clear" w:color="auto" w:fill="F2F2F2" w:themeFill="background1" w:themeFillShade="F2"/>
          </w:tcPr>
          <w:p w14:paraId="7803C2C1" w14:textId="77777777" w:rsidR="00BA512D" w:rsidRPr="000F0299" w:rsidRDefault="00BA512D" w:rsidP="00D321E8">
            <w:pPr>
              <w:spacing w:before="0"/>
              <w:ind w:firstLine="0"/>
              <w:rPr>
                <w:b/>
                <w:bCs/>
                <w:sz w:val="16"/>
                <w:szCs w:val="16"/>
              </w:rPr>
            </w:pPr>
          </w:p>
        </w:tc>
        <w:tc>
          <w:tcPr>
            <w:tcW w:w="958" w:type="pct"/>
            <w:tcBorders>
              <w:top w:val="single" w:sz="18" w:space="0" w:color="C00000"/>
            </w:tcBorders>
            <w:shd w:val="clear" w:color="auto" w:fill="F2F2F2" w:themeFill="background1" w:themeFillShade="F2"/>
            <w:vAlign w:val="center"/>
          </w:tcPr>
          <w:p w14:paraId="43536D95" w14:textId="77777777" w:rsidR="00BA512D" w:rsidRPr="000F0299" w:rsidRDefault="00BA512D" w:rsidP="00D321E8">
            <w:pPr>
              <w:spacing w:before="0"/>
              <w:ind w:firstLine="0"/>
              <w:jc w:val="center"/>
              <w:rPr>
                <w:b/>
                <w:bCs/>
                <w:sz w:val="16"/>
                <w:szCs w:val="16"/>
              </w:rPr>
            </w:pPr>
          </w:p>
        </w:tc>
        <w:tc>
          <w:tcPr>
            <w:tcW w:w="1009" w:type="pct"/>
            <w:tcBorders>
              <w:top w:val="single" w:sz="18" w:space="0" w:color="C00000"/>
            </w:tcBorders>
            <w:shd w:val="clear" w:color="auto" w:fill="F2F2F2" w:themeFill="background1" w:themeFillShade="F2"/>
            <w:vAlign w:val="center"/>
          </w:tcPr>
          <w:p w14:paraId="729FD68D" w14:textId="77777777" w:rsidR="00BA512D" w:rsidRPr="000F0299" w:rsidRDefault="00BA512D" w:rsidP="00D321E8">
            <w:pPr>
              <w:spacing w:before="0"/>
              <w:ind w:firstLine="0"/>
              <w:jc w:val="center"/>
              <w:rPr>
                <w:b/>
                <w:bCs/>
                <w:sz w:val="16"/>
                <w:szCs w:val="16"/>
              </w:rPr>
            </w:pPr>
          </w:p>
        </w:tc>
        <w:tc>
          <w:tcPr>
            <w:tcW w:w="180" w:type="pct"/>
            <w:tcBorders>
              <w:top w:val="single" w:sz="18" w:space="0" w:color="C00000"/>
              <w:right w:val="single" w:sz="18" w:space="0" w:color="C00000"/>
            </w:tcBorders>
            <w:shd w:val="clear" w:color="auto" w:fill="F2F2F2" w:themeFill="background1" w:themeFillShade="F2"/>
          </w:tcPr>
          <w:p w14:paraId="78F6CEDD" w14:textId="77777777" w:rsidR="00BA512D" w:rsidRPr="000F0299" w:rsidRDefault="00BA512D" w:rsidP="00D321E8">
            <w:pPr>
              <w:spacing w:before="0"/>
              <w:ind w:firstLine="0"/>
              <w:jc w:val="center"/>
              <w:rPr>
                <w:b/>
                <w:bCs/>
                <w:sz w:val="16"/>
                <w:szCs w:val="16"/>
              </w:rPr>
            </w:pPr>
          </w:p>
        </w:tc>
      </w:tr>
      <w:tr w:rsidR="00BA512D" w:rsidRPr="000F0299" w14:paraId="12AA9F8F" w14:textId="77777777" w:rsidTr="00D321E8">
        <w:trPr>
          <w:trHeight w:val="490"/>
        </w:trPr>
        <w:tc>
          <w:tcPr>
            <w:tcW w:w="186" w:type="pct"/>
            <w:tcBorders>
              <w:left w:val="single" w:sz="18" w:space="0" w:color="C00000"/>
            </w:tcBorders>
            <w:shd w:val="clear" w:color="auto" w:fill="F2F2F2" w:themeFill="background1" w:themeFillShade="F2"/>
          </w:tcPr>
          <w:p w14:paraId="332CC870" w14:textId="77777777" w:rsidR="00BA512D" w:rsidRPr="000F0299" w:rsidRDefault="00BA512D" w:rsidP="00D321E8">
            <w:pPr>
              <w:spacing w:before="0"/>
              <w:ind w:firstLine="0"/>
              <w:rPr>
                <w:b/>
                <w:bCs/>
              </w:rPr>
            </w:pPr>
          </w:p>
        </w:tc>
        <w:tc>
          <w:tcPr>
            <w:tcW w:w="2667" w:type="pct"/>
            <w:tcBorders>
              <w:left w:val="nil"/>
              <w:bottom w:val="single" w:sz="18" w:space="0" w:color="C00000"/>
              <w:right w:val="single" w:sz="18" w:space="0" w:color="FFFFFF" w:themeColor="background1"/>
            </w:tcBorders>
            <w:shd w:val="clear" w:color="auto" w:fill="F2F2F2" w:themeFill="background1" w:themeFillShade="F2"/>
          </w:tcPr>
          <w:p w14:paraId="58123792" w14:textId="77777777" w:rsidR="00BA512D" w:rsidRPr="000F0299" w:rsidRDefault="00BA512D" w:rsidP="00D321E8">
            <w:pPr>
              <w:spacing w:before="0"/>
              <w:ind w:firstLine="0"/>
              <w:rPr>
                <w:b/>
                <w:bCs/>
              </w:rPr>
            </w:pPr>
            <w:r w:rsidRPr="000F0299">
              <w:rPr>
                <w:b/>
                <w:bCs/>
              </w:rPr>
              <w:t>Показатељ исхода</w:t>
            </w:r>
          </w:p>
        </w:tc>
        <w:tc>
          <w:tcPr>
            <w:tcW w:w="958"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4DEAAF6F" w14:textId="77777777" w:rsidR="00BA512D" w:rsidRPr="000F0299" w:rsidRDefault="00BA512D" w:rsidP="00D321E8">
            <w:pPr>
              <w:spacing w:before="0"/>
              <w:ind w:firstLine="0"/>
              <w:jc w:val="center"/>
              <w:rPr>
                <w:b/>
                <w:bCs/>
              </w:rPr>
            </w:pPr>
            <w:r w:rsidRPr="000F0299">
              <w:rPr>
                <w:b/>
                <w:bCs/>
              </w:rPr>
              <w:t>ПВ</w:t>
            </w:r>
          </w:p>
        </w:tc>
        <w:tc>
          <w:tcPr>
            <w:tcW w:w="1009" w:type="pct"/>
            <w:tcBorders>
              <w:left w:val="single" w:sz="18" w:space="0" w:color="FFFFFF" w:themeColor="background1"/>
              <w:bottom w:val="single" w:sz="18" w:space="0" w:color="C00000"/>
            </w:tcBorders>
            <w:shd w:val="clear" w:color="auto" w:fill="F2F2F2" w:themeFill="background1" w:themeFillShade="F2"/>
            <w:vAlign w:val="center"/>
          </w:tcPr>
          <w:p w14:paraId="3F591588" w14:textId="77777777" w:rsidR="00BA512D" w:rsidRPr="000F0299" w:rsidRDefault="00BA512D" w:rsidP="00D321E8">
            <w:pPr>
              <w:spacing w:before="0"/>
              <w:ind w:firstLine="0"/>
              <w:jc w:val="center"/>
              <w:rPr>
                <w:b/>
                <w:bCs/>
              </w:rPr>
            </w:pPr>
            <w:r w:rsidRPr="000F0299">
              <w:rPr>
                <w:b/>
                <w:bCs/>
              </w:rPr>
              <w:t>ЦВ</w:t>
            </w:r>
          </w:p>
        </w:tc>
        <w:tc>
          <w:tcPr>
            <w:tcW w:w="180" w:type="pct"/>
            <w:tcBorders>
              <w:right w:val="single" w:sz="18" w:space="0" w:color="C00000"/>
            </w:tcBorders>
            <w:shd w:val="clear" w:color="auto" w:fill="F2F2F2" w:themeFill="background1" w:themeFillShade="F2"/>
          </w:tcPr>
          <w:p w14:paraId="579BE4F0" w14:textId="77777777" w:rsidR="00BA512D" w:rsidRPr="000F0299" w:rsidRDefault="00BA512D" w:rsidP="00D321E8">
            <w:pPr>
              <w:spacing w:before="0"/>
              <w:ind w:firstLine="0"/>
              <w:jc w:val="center"/>
              <w:rPr>
                <w:b/>
                <w:bCs/>
              </w:rPr>
            </w:pPr>
          </w:p>
        </w:tc>
      </w:tr>
      <w:tr w:rsidR="00BA512D" w:rsidRPr="000F0299" w14:paraId="54697BC4" w14:textId="77777777" w:rsidTr="00D321E8">
        <w:trPr>
          <w:trHeight w:val="1082"/>
        </w:trPr>
        <w:tc>
          <w:tcPr>
            <w:tcW w:w="186" w:type="pct"/>
            <w:tcBorders>
              <w:left w:val="single" w:sz="18" w:space="0" w:color="C00000"/>
            </w:tcBorders>
            <w:shd w:val="clear" w:color="auto" w:fill="F2F2F2" w:themeFill="background1" w:themeFillShade="F2"/>
          </w:tcPr>
          <w:p w14:paraId="36B7F8A8" w14:textId="77777777" w:rsidR="00BA512D" w:rsidRPr="000F0299" w:rsidRDefault="00BA512D" w:rsidP="00D321E8">
            <w:pPr>
              <w:spacing w:before="0"/>
              <w:ind w:firstLine="0"/>
            </w:pPr>
          </w:p>
        </w:tc>
        <w:tc>
          <w:tcPr>
            <w:tcW w:w="2667"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4ACB185A" w14:textId="77777777" w:rsidR="00BA512D" w:rsidRPr="000F0299" w:rsidRDefault="00BA512D" w:rsidP="00D321E8">
            <w:pPr>
              <w:spacing w:before="0"/>
              <w:ind w:firstLine="0"/>
            </w:pPr>
            <w:r w:rsidRPr="000F0299">
              <w:t xml:space="preserve">Усаглашеност система локалне самоуправе са кључним принципима Европске повеље о локалној самоуправи  </w:t>
            </w:r>
          </w:p>
        </w:tc>
        <w:tc>
          <w:tcPr>
            <w:tcW w:w="958"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6C720DEF" w14:textId="77777777" w:rsidR="00BA512D" w:rsidRPr="000F0299" w:rsidRDefault="00BA512D" w:rsidP="00D321E8">
            <w:pPr>
              <w:spacing w:before="0"/>
              <w:ind w:firstLine="0"/>
            </w:pPr>
            <w:r w:rsidRPr="000F0299">
              <w:t>(2019): 3</w:t>
            </w:r>
          </w:p>
        </w:tc>
        <w:tc>
          <w:tcPr>
            <w:tcW w:w="1009"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6E8D7079" w14:textId="77777777" w:rsidR="00BA512D" w:rsidRPr="000F0299" w:rsidRDefault="00BA512D" w:rsidP="00D321E8">
            <w:pPr>
              <w:spacing w:before="0"/>
              <w:ind w:firstLine="0"/>
            </w:pPr>
            <w:r w:rsidRPr="000F0299">
              <w:t>(2021): -</w:t>
            </w:r>
          </w:p>
          <w:p w14:paraId="4320CC77" w14:textId="77777777" w:rsidR="00BA512D" w:rsidRPr="000F0299" w:rsidRDefault="00BA512D" w:rsidP="00D321E8">
            <w:pPr>
              <w:spacing w:before="0"/>
              <w:ind w:firstLine="0"/>
            </w:pPr>
            <w:r w:rsidRPr="000F0299">
              <w:t>(2022): -</w:t>
            </w:r>
          </w:p>
          <w:p w14:paraId="5C50CA78" w14:textId="77777777" w:rsidR="00BA512D" w:rsidRPr="000F0299" w:rsidRDefault="00BA512D" w:rsidP="00D321E8">
            <w:pPr>
              <w:spacing w:before="0"/>
              <w:ind w:firstLine="0"/>
            </w:pPr>
            <w:r w:rsidRPr="000F0299">
              <w:t>(2023): -</w:t>
            </w:r>
          </w:p>
          <w:p w14:paraId="2274443F" w14:textId="0EF395DE" w:rsidR="00BA512D" w:rsidRPr="000F0299" w:rsidRDefault="00BA512D" w:rsidP="00D321E8">
            <w:pPr>
              <w:spacing w:before="0"/>
              <w:ind w:firstLine="0"/>
            </w:pPr>
            <w:r w:rsidRPr="000F0299">
              <w:t>(2024): 4</w:t>
            </w:r>
          </w:p>
          <w:p w14:paraId="616AF8E1" w14:textId="77777777" w:rsidR="00BA512D" w:rsidRPr="000F0299" w:rsidRDefault="00BA512D" w:rsidP="00D321E8">
            <w:pPr>
              <w:spacing w:before="0"/>
              <w:ind w:firstLine="0"/>
            </w:pPr>
            <w:r w:rsidRPr="000F0299">
              <w:t>(2025): -</w:t>
            </w:r>
          </w:p>
          <w:p w14:paraId="5FDAC154" w14:textId="1D44134B" w:rsidR="00BA512D" w:rsidRPr="000F0299" w:rsidRDefault="00BA512D" w:rsidP="00D321E8">
            <w:pPr>
              <w:spacing w:before="0"/>
              <w:ind w:firstLine="0"/>
            </w:pPr>
            <w:r w:rsidRPr="000F0299">
              <w:t>(2027): 5</w:t>
            </w:r>
          </w:p>
          <w:p w14:paraId="66379B70" w14:textId="6B7B944A" w:rsidR="00BA512D" w:rsidRPr="000F0299" w:rsidRDefault="00BA512D" w:rsidP="00D321E8">
            <w:pPr>
              <w:spacing w:before="0"/>
              <w:ind w:firstLine="0"/>
            </w:pPr>
            <w:r w:rsidRPr="000F0299">
              <w:t>(2030): 5</w:t>
            </w:r>
          </w:p>
        </w:tc>
        <w:tc>
          <w:tcPr>
            <w:tcW w:w="180" w:type="pct"/>
            <w:tcBorders>
              <w:right w:val="single" w:sz="18" w:space="0" w:color="C00000"/>
            </w:tcBorders>
            <w:shd w:val="clear" w:color="auto" w:fill="F2F2F2" w:themeFill="background1" w:themeFillShade="F2"/>
          </w:tcPr>
          <w:p w14:paraId="7E53156A" w14:textId="77777777" w:rsidR="00BA512D" w:rsidRPr="000F0299" w:rsidRDefault="00BA512D" w:rsidP="00D321E8">
            <w:pPr>
              <w:spacing w:before="0"/>
              <w:ind w:firstLine="0"/>
            </w:pPr>
          </w:p>
        </w:tc>
      </w:tr>
      <w:tr w:rsidR="00BA512D" w:rsidRPr="000F0299" w14:paraId="3B11DE3E" w14:textId="77777777" w:rsidTr="00D321E8">
        <w:trPr>
          <w:trHeight w:val="381"/>
        </w:trPr>
        <w:tc>
          <w:tcPr>
            <w:tcW w:w="186" w:type="pct"/>
            <w:tcBorders>
              <w:left w:val="single" w:sz="18" w:space="0" w:color="C00000"/>
            </w:tcBorders>
            <w:shd w:val="clear" w:color="auto" w:fill="F2F2F2" w:themeFill="background1" w:themeFillShade="F2"/>
          </w:tcPr>
          <w:p w14:paraId="6DBDFC92" w14:textId="77777777" w:rsidR="00BA512D" w:rsidRPr="000F0299" w:rsidRDefault="00BA512D" w:rsidP="00D321E8">
            <w:pPr>
              <w:spacing w:before="0"/>
              <w:ind w:firstLine="0"/>
            </w:pPr>
          </w:p>
        </w:tc>
        <w:tc>
          <w:tcPr>
            <w:tcW w:w="2667"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2C8F5C3C" w14:textId="77777777" w:rsidR="00BA512D" w:rsidRPr="000F0299" w:rsidRDefault="00BA512D" w:rsidP="00D321E8">
            <w:pPr>
              <w:spacing w:before="0"/>
              <w:ind w:firstLine="0"/>
            </w:pPr>
            <w:r w:rsidRPr="000F0299">
              <w:t>Удео расхода ЛС и консолидованим јавним расходима у РС</w:t>
            </w:r>
          </w:p>
        </w:tc>
        <w:tc>
          <w:tcPr>
            <w:tcW w:w="95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12D2328E" w14:textId="77777777" w:rsidR="00BA512D" w:rsidRPr="000F0299" w:rsidRDefault="00BA512D" w:rsidP="00D321E8">
            <w:pPr>
              <w:spacing w:before="0"/>
              <w:ind w:firstLine="0"/>
            </w:pPr>
            <w:r w:rsidRPr="000F0299">
              <w:t>(2019): 14,75%</w:t>
            </w:r>
          </w:p>
        </w:tc>
        <w:tc>
          <w:tcPr>
            <w:tcW w:w="1009"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24EA3360" w14:textId="77777777" w:rsidR="00BA512D" w:rsidRPr="000F0299" w:rsidRDefault="00BA512D" w:rsidP="00D321E8">
            <w:pPr>
              <w:spacing w:before="0"/>
              <w:ind w:firstLine="0"/>
            </w:pPr>
            <w:r w:rsidRPr="000F0299">
              <w:t xml:space="preserve">(2021): </w:t>
            </w:r>
            <w:r w:rsidRPr="000F0299">
              <w:rPr>
                <w:color w:val="000000" w:themeColor="text1"/>
              </w:rPr>
              <w:t>14.80%</w:t>
            </w:r>
          </w:p>
          <w:p w14:paraId="47C1AFC8" w14:textId="77777777" w:rsidR="00BA512D" w:rsidRPr="000F0299" w:rsidRDefault="00BA512D" w:rsidP="00D321E8">
            <w:pPr>
              <w:spacing w:before="0"/>
              <w:ind w:firstLine="0"/>
            </w:pPr>
            <w:r w:rsidRPr="000F0299">
              <w:t xml:space="preserve">(2022): </w:t>
            </w:r>
            <w:r w:rsidRPr="000F0299">
              <w:rPr>
                <w:color w:val="000000" w:themeColor="text1"/>
              </w:rPr>
              <w:t>14.90%</w:t>
            </w:r>
          </w:p>
          <w:p w14:paraId="6C81778D" w14:textId="77777777" w:rsidR="00BA512D" w:rsidRPr="000F0299" w:rsidRDefault="00BA512D" w:rsidP="00D321E8">
            <w:pPr>
              <w:spacing w:before="0"/>
              <w:ind w:firstLine="0"/>
            </w:pPr>
            <w:r w:rsidRPr="000F0299">
              <w:t xml:space="preserve">(2023): </w:t>
            </w:r>
            <w:r w:rsidRPr="000F0299">
              <w:rPr>
                <w:color w:val="000000" w:themeColor="text1"/>
              </w:rPr>
              <w:t>15.25%</w:t>
            </w:r>
          </w:p>
          <w:p w14:paraId="3DD44BA4" w14:textId="77777777" w:rsidR="00BA512D" w:rsidRPr="000F0299" w:rsidRDefault="00BA512D" w:rsidP="00D321E8">
            <w:pPr>
              <w:spacing w:before="0"/>
              <w:ind w:firstLine="0"/>
            </w:pPr>
            <w:r w:rsidRPr="000F0299">
              <w:t xml:space="preserve">(2024): </w:t>
            </w:r>
            <w:r w:rsidRPr="000F0299">
              <w:rPr>
                <w:color w:val="000000" w:themeColor="text1"/>
              </w:rPr>
              <w:t>15.50%</w:t>
            </w:r>
          </w:p>
          <w:p w14:paraId="1466B051" w14:textId="77777777" w:rsidR="00BA512D" w:rsidRPr="000F0299" w:rsidRDefault="00BA512D" w:rsidP="00D321E8">
            <w:pPr>
              <w:spacing w:before="0"/>
              <w:ind w:firstLine="0"/>
            </w:pPr>
            <w:r w:rsidRPr="000F0299">
              <w:t xml:space="preserve">(2025): </w:t>
            </w:r>
            <w:r w:rsidRPr="000F0299">
              <w:rPr>
                <w:color w:val="000000" w:themeColor="text1"/>
              </w:rPr>
              <w:t>16.00%</w:t>
            </w:r>
          </w:p>
          <w:p w14:paraId="4286CFD1" w14:textId="77777777" w:rsidR="00BA512D" w:rsidRPr="000F0299" w:rsidRDefault="00BA512D" w:rsidP="00D321E8">
            <w:pPr>
              <w:spacing w:before="0"/>
              <w:ind w:firstLine="0"/>
            </w:pPr>
            <w:r w:rsidRPr="000F0299">
              <w:t xml:space="preserve">(2027): </w:t>
            </w:r>
            <w:r w:rsidRPr="000F0299">
              <w:rPr>
                <w:color w:val="000000" w:themeColor="text1"/>
              </w:rPr>
              <w:t>17.0%</w:t>
            </w:r>
          </w:p>
          <w:p w14:paraId="48DF6E33" w14:textId="77777777" w:rsidR="00BA512D" w:rsidRPr="000F0299" w:rsidRDefault="00BA512D" w:rsidP="00D321E8">
            <w:pPr>
              <w:spacing w:before="0"/>
              <w:ind w:firstLine="0"/>
            </w:pPr>
            <w:r w:rsidRPr="000F0299">
              <w:t>(2030): 18%</w:t>
            </w:r>
          </w:p>
        </w:tc>
        <w:tc>
          <w:tcPr>
            <w:tcW w:w="180" w:type="pct"/>
            <w:tcBorders>
              <w:right w:val="single" w:sz="18" w:space="0" w:color="C00000"/>
            </w:tcBorders>
            <w:shd w:val="clear" w:color="auto" w:fill="F2F2F2" w:themeFill="background1" w:themeFillShade="F2"/>
          </w:tcPr>
          <w:p w14:paraId="3E937C3C" w14:textId="77777777" w:rsidR="00BA512D" w:rsidRPr="000F0299" w:rsidRDefault="00BA512D" w:rsidP="00D321E8">
            <w:pPr>
              <w:spacing w:before="0"/>
              <w:ind w:firstLine="0"/>
            </w:pPr>
          </w:p>
        </w:tc>
      </w:tr>
      <w:tr w:rsidR="00BA512D" w:rsidRPr="000F0299" w14:paraId="1B94D86E" w14:textId="77777777" w:rsidTr="00D321E8">
        <w:trPr>
          <w:trHeight w:val="381"/>
        </w:trPr>
        <w:tc>
          <w:tcPr>
            <w:tcW w:w="186" w:type="pct"/>
            <w:tcBorders>
              <w:left w:val="single" w:sz="18" w:space="0" w:color="C00000"/>
            </w:tcBorders>
            <w:shd w:val="clear" w:color="auto" w:fill="F2F2F2" w:themeFill="background1" w:themeFillShade="F2"/>
          </w:tcPr>
          <w:p w14:paraId="3787BF33" w14:textId="77777777" w:rsidR="00BA512D" w:rsidRPr="000F0299" w:rsidRDefault="00BA512D" w:rsidP="00D321E8">
            <w:pPr>
              <w:spacing w:before="0"/>
              <w:ind w:firstLine="0"/>
            </w:pPr>
          </w:p>
        </w:tc>
        <w:tc>
          <w:tcPr>
            <w:tcW w:w="2667"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6DBED6B9" w14:textId="77777777" w:rsidR="00BA512D" w:rsidRPr="000F0299" w:rsidRDefault="00BA512D" w:rsidP="00D321E8">
            <w:pPr>
              <w:spacing w:before="0"/>
              <w:ind w:firstLine="0"/>
            </w:pPr>
            <w:r w:rsidRPr="000F0299">
              <w:t>Капацитет ЈЛС за спровођење начела доброг управљања</w:t>
            </w:r>
          </w:p>
        </w:tc>
        <w:tc>
          <w:tcPr>
            <w:tcW w:w="95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4D40772F" w14:textId="77777777" w:rsidR="00BA512D" w:rsidRPr="000F0299" w:rsidRDefault="00BA512D" w:rsidP="00D321E8">
            <w:pPr>
              <w:spacing w:before="0"/>
              <w:ind w:firstLine="0"/>
            </w:pPr>
            <w:r w:rsidRPr="000F0299">
              <w:t>(2019): 39%</w:t>
            </w:r>
          </w:p>
        </w:tc>
        <w:tc>
          <w:tcPr>
            <w:tcW w:w="1009"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3D292934" w14:textId="77777777" w:rsidR="00BA512D" w:rsidRPr="000F0299" w:rsidRDefault="00BA512D" w:rsidP="00D321E8">
            <w:pPr>
              <w:spacing w:before="0"/>
              <w:ind w:firstLine="0"/>
            </w:pPr>
            <w:r w:rsidRPr="000F0299">
              <w:t>(2021): +10%</w:t>
            </w:r>
          </w:p>
          <w:p w14:paraId="6F1E95A4" w14:textId="77777777" w:rsidR="00BA512D" w:rsidRPr="000F0299" w:rsidRDefault="00BA512D" w:rsidP="00D321E8">
            <w:pPr>
              <w:spacing w:before="0"/>
              <w:ind w:firstLine="0"/>
            </w:pPr>
            <w:r w:rsidRPr="000F0299">
              <w:t>(2022): -</w:t>
            </w:r>
          </w:p>
          <w:p w14:paraId="035FA80C" w14:textId="77777777" w:rsidR="00BA512D" w:rsidRPr="000F0299" w:rsidRDefault="00BA512D" w:rsidP="00D321E8">
            <w:pPr>
              <w:spacing w:before="0"/>
              <w:ind w:firstLine="0"/>
            </w:pPr>
            <w:r w:rsidRPr="000F0299">
              <w:t>(2023): +20%</w:t>
            </w:r>
          </w:p>
          <w:p w14:paraId="07BE8464" w14:textId="77777777" w:rsidR="00BA512D" w:rsidRPr="000F0299" w:rsidRDefault="00BA512D" w:rsidP="00D321E8">
            <w:pPr>
              <w:spacing w:before="0"/>
              <w:ind w:firstLine="0"/>
            </w:pPr>
            <w:r w:rsidRPr="000F0299">
              <w:t>(2024): +40%</w:t>
            </w:r>
          </w:p>
          <w:p w14:paraId="32E9B45D" w14:textId="77777777" w:rsidR="00BA512D" w:rsidRPr="000F0299" w:rsidRDefault="00BA512D" w:rsidP="00D321E8">
            <w:pPr>
              <w:spacing w:before="0"/>
              <w:ind w:firstLine="0"/>
            </w:pPr>
            <w:r w:rsidRPr="000F0299">
              <w:t>(2025): -</w:t>
            </w:r>
          </w:p>
          <w:p w14:paraId="4AB92AED" w14:textId="77777777" w:rsidR="00BA512D" w:rsidRPr="000F0299" w:rsidRDefault="00BA512D" w:rsidP="00D321E8">
            <w:pPr>
              <w:spacing w:before="0"/>
              <w:ind w:firstLine="0"/>
            </w:pPr>
            <w:r w:rsidRPr="000F0299">
              <w:t>(2027): +60%</w:t>
            </w:r>
          </w:p>
          <w:p w14:paraId="3CB0A974" w14:textId="77777777" w:rsidR="00BA512D" w:rsidRPr="000F0299" w:rsidRDefault="00BA512D" w:rsidP="00D321E8">
            <w:pPr>
              <w:spacing w:before="0"/>
              <w:ind w:firstLine="0"/>
            </w:pPr>
            <w:r w:rsidRPr="000F0299">
              <w:t>(2030): +100%</w:t>
            </w:r>
          </w:p>
        </w:tc>
        <w:tc>
          <w:tcPr>
            <w:tcW w:w="180" w:type="pct"/>
            <w:tcBorders>
              <w:right w:val="single" w:sz="18" w:space="0" w:color="C00000"/>
            </w:tcBorders>
            <w:shd w:val="clear" w:color="auto" w:fill="F2F2F2" w:themeFill="background1" w:themeFillShade="F2"/>
          </w:tcPr>
          <w:p w14:paraId="60619B6F" w14:textId="77777777" w:rsidR="00BA512D" w:rsidRPr="000F0299" w:rsidRDefault="00BA512D" w:rsidP="00D321E8">
            <w:pPr>
              <w:spacing w:before="0"/>
              <w:ind w:firstLine="0"/>
            </w:pPr>
          </w:p>
        </w:tc>
      </w:tr>
      <w:tr w:rsidR="00BA512D" w:rsidRPr="000F0299" w14:paraId="2917B85A" w14:textId="77777777" w:rsidTr="00D321E8">
        <w:trPr>
          <w:trHeight w:val="381"/>
        </w:trPr>
        <w:tc>
          <w:tcPr>
            <w:tcW w:w="186" w:type="pct"/>
            <w:tcBorders>
              <w:left w:val="single" w:sz="18" w:space="0" w:color="C00000"/>
            </w:tcBorders>
            <w:shd w:val="clear" w:color="auto" w:fill="F2F2F2" w:themeFill="background1" w:themeFillShade="F2"/>
          </w:tcPr>
          <w:p w14:paraId="383FA50A" w14:textId="77777777" w:rsidR="00BA512D" w:rsidRPr="000F0299" w:rsidRDefault="00BA512D" w:rsidP="00D321E8">
            <w:pPr>
              <w:spacing w:before="0"/>
              <w:ind w:firstLine="0"/>
            </w:pPr>
          </w:p>
        </w:tc>
        <w:tc>
          <w:tcPr>
            <w:tcW w:w="2667"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7CAB497F" w14:textId="77777777" w:rsidR="00BA512D" w:rsidRPr="000F0299" w:rsidRDefault="00BA512D" w:rsidP="00D321E8">
            <w:pPr>
              <w:spacing w:before="0"/>
              <w:ind w:firstLine="0"/>
            </w:pPr>
            <w:r w:rsidRPr="000F0299">
              <w:t>Капацитет ЈЛС за УЉР у локалној управи</w:t>
            </w:r>
          </w:p>
        </w:tc>
        <w:tc>
          <w:tcPr>
            <w:tcW w:w="95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22F774F" w14:textId="77777777" w:rsidR="00BA512D" w:rsidRPr="000F0299" w:rsidRDefault="00BA512D" w:rsidP="00D321E8">
            <w:pPr>
              <w:spacing w:before="0"/>
              <w:ind w:firstLine="0"/>
            </w:pPr>
            <w:r w:rsidRPr="000F0299">
              <w:t>(2020): 51%</w:t>
            </w:r>
          </w:p>
        </w:tc>
        <w:tc>
          <w:tcPr>
            <w:tcW w:w="1009"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0200FA61" w14:textId="77777777" w:rsidR="00BA512D" w:rsidRPr="000F0299" w:rsidRDefault="00BA512D" w:rsidP="00D321E8">
            <w:pPr>
              <w:spacing w:before="0"/>
              <w:ind w:firstLine="0"/>
            </w:pPr>
            <w:r w:rsidRPr="000F0299">
              <w:t>(2021): +10%</w:t>
            </w:r>
          </w:p>
          <w:p w14:paraId="7A920532" w14:textId="77777777" w:rsidR="00BA512D" w:rsidRPr="000F0299" w:rsidRDefault="00BA512D" w:rsidP="00D321E8">
            <w:pPr>
              <w:spacing w:before="0"/>
              <w:ind w:firstLine="0"/>
            </w:pPr>
            <w:r w:rsidRPr="000F0299">
              <w:t>(2022): -</w:t>
            </w:r>
          </w:p>
          <w:p w14:paraId="4EDE4494" w14:textId="77777777" w:rsidR="00BA512D" w:rsidRPr="000F0299" w:rsidRDefault="00BA512D" w:rsidP="00D321E8">
            <w:pPr>
              <w:spacing w:before="0"/>
              <w:ind w:firstLine="0"/>
            </w:pPr>
            <w:r w:rsidRPr="000F0299">
              <w:t>(2023): +30%</w:t>
            </w:r>
          </w:p>
          <w:p w14:paraId="3FF9C472" w14:textId="77777777" w:rsidR="00BA512D" w:rsidRPr="000F0299" w:rsidRDefault="00BA512D" w:rsidP="00D321E8">
            <w:pPr>
              <w:spacing w:before="0"/>
              <w:ind w:firstLine="0"/>
            </w:pPr>
            <w:r w:rsidRPr="000F0299">
              <w:t>(2024): -</w:t>
            </w:r>
          </w:p>
          <w:p w14:paraId="6BF22BB8" w14:textId="77777777" w:rsidR="00BA512D" w:rsidRPr="000F0299" w:rsidRDefault="00BA512D" w:rsidP="00D321E8">
            <w:pPr>
              <w:spacing w:before="0"/>
              <w:ind w:firstLine="0"/>
            </w:pPr>
            <w:r w:rsidRPr="000F0299">
              <w:t>(2025): +35%</w:t>
            </w:r>
          </w:p>
          <w:p w14:paraId="448417AC" w14:textId="77777777" w:rsidR="00BA512D" w:rsidRPr="000F0299" w:rsidRDefault="00BA512D" w:rsidP="00D321E8">
            <w:pPr>
              <w:spacing w:before="0"/>
              <w:ind w:firstLine="0"/>
            </w:pPr>
            <w:r w:rsidRPr="000F0299">
              <w:t>(2027): +45%</w:t>
            </w:r>
          </w:p>
          <w:p w14:paraId="1A8CF5A2" w14:textId="77777777" w:rsidR="00BA512D" w:rsidRPr="000F0299" w:rsidRDefault="00BA512D" w:rsidP="00D321E8">
            <w:pPr>
              <w:spacing w:before="0"/>
              <w:ind w:firstLine="0"/>
            </w:pPr>
            <w:r w:rsidRPr="000F0299">
              <w:t>(2030): +50%</w:t>
            </w:r>
          </w:p>
        </w:tc>
        <w:tc>
          <w:tcPr>
            <w:tcW w:w="180" w:type="pct"/>
            <w:tcBorders>
              <w:right w:val="single" w:sz="18" w:space="0" w:color="C00000"/>
            </w:tcBorders>
            <w:shd w:val="clear" w:color="auto" w:fill="F2F2F2" w:themeFill="background1" w:themeFillShade="F2"/>
          </w:tcPr>
          <w:p w14:paraId="2CB7FAA8" w14:textId="77777777" w:rsidR="00BA512D" w:rsidRPr="000F0299" w:rsidRDefault="00BA512D" w:rsidP="00D321E8">
            <w:pPr>
              <w:spacing w:before="0"/>
              <w:ind w:firstLine="0"/>
            </w:pPr>
          </w:p>
        </w:tc>
      </w:tr>
      <w:tr w:rsidR="00BA512D" w:rsidRPr="000F0299" w14:paraId="2A21D3F3" w14:textId="77777777" w:rsidTr="00D321E8">
        <w:trPr>
          <w:trHeight w:val="381"/>
        </w:trPr>
        <w:tc>
          <w:tcPr>
            <w:tcW w:w="186" w:type="pct"/>
            <w:tcBorders>
              <w:left w:val="single" w:sz="18" w:space="0" w:color="C00000"/>
            </w:tcBorders>
            <w:shd w:val="clear" w:color="auto" w:fill="F2F2F2" w:themeFill="background1" w:themeFillShade="F2"/>
          </w:tcPr>
          <w:p w14:paraId="0E082CD0" w14:textId="77777777" w:rsidR="00BA512D" w:rsidRPr="000F0299" w:rsidRDefault="00BA512D" w:rsidP="00D321E8">
            <w:pPr>
              <w:spacing w:before="0"/>
              <w:ind w:firstLine="0"/>
            </w:pPr>
          </w:p>
        </w:tc>
        <w:tc>
          <w:tcPr>
            <w:tcW w:w="2667"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6AABF26A" w14:textId="77777777" w:rsidR="00BA512D" w:rsidRPr="000F0299" w:rsidRDefault="00BA512D" w:rsidP="00D321E8">
            <w:pPr>
              <w:spacing w:before="0"/>
              <w:ind w:firstLine="0"/>
            </w:pPr>
            <w:r w:rsidRPr="000F0299">
              <w:t>Доступност и квалитет спровођења приоритетних јавних услуга ЛС</w:t>
            </w:r>
          </w:p>
        </w:tc>
        <w:tc>
          <w:tcPr>
            <w:tcW w:w="95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617FB7F4" w14:textId="77777777" w:rsidR="00BA512D" w:rsidRPr="000F0299" w:rsidRDefault="00BA512D" w:rsidP="00D321E8">
            <w:pPr>
              <w:spacing w:before="0"/>
              <w:ind w:firstLine="0"/>
            </w:pPr>
            <w:r w:rsidRPr="000F0299">
              <w:t>(2022): Израђен индекс</w:t>
            </w:r>
          </w:p>
        </w:tc>
        <w:tc>
          <w:tcPr>
            <w:tcW w:w="1009"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7BC0F79C" w14:textId="77777777" w:rsidR="00BA512D" w:rsidRPr="000F0299" w:rsidRDefault="00BA512D" w:rsidP="00D321E8">
            <w:pPr>
              <w:spacing w:before="0"/>
              <w:ind w:firstLine="0"/>
            </w:pPr>
            <w:r w:rsidRPr="000F0299">
              <w:t>(2021): -</w:t>
            </w:r>
          </w:p>
          <w:p w14:paraId="34E8120F" w14:textId="77777777" w:rsidR="00BA512D" w:rsidRPr="000F0299" w:rsidRDefault="00BA512D" w:rsidP="00D321E8">
            <w:pPr>
              <w:spacing w:before="0"/>
              <w:ind w:firstLine="0"/>
            </w:pPr>
            <w:r w:rsidRPr="000F0299">
              <w:t>(2022): Израђен  индекс</w:t>
            </w:r>
          </w:p>
          <w:p w14:paraId="4609A2FD" w14:textId="77777777" w:rsidR="00BA512D" w:rsidRPr="000F0299" w:rsidRDefault="00BA512D" w:rsidP="00D321E8">
            <w:pPr>
              <w:spacing w:before="0"/>
              <w:ind w:firstLine="0"/>
            </w:pPr>
            <w:r w:rsidRPr="000F0299">
              <w:t>(2023): -</w:t>
            </w:r>
          </w:p>
          <w:p w14:paraId="7ABEA012" w14:textId="77777777" w:rsidR="00BA512D" w:rsidRPr="000F0299" w:rsidRDefault="00BA512D" w:rsidP="00D321E8">
            <w:pPr>
              <w:spacing w:before="0"/>
              <w:ind w:firstLine="0"/>
            </w:pPr>
            <w:r w:rsidRPr="000F0299">
              <w:t>(2024): -</w:t>
            </w:r>
          </w:p>
          <w:p w14:paraId="7E0FBC69" w14:textId="77777777" w:rsidR="00BA512D" w:rsidRPr="000F0299" w:rsidRDefault="00BA512D" w:rsidP="00D321E8">
            <w:pPr>
              <w:spacing w:before="0"/>
              <w:ind w:firstLine="0"/>
            </w:pPr>
            <w:r w:rsidRPr="000F0299">
              <w:t>(2025): -</w:t>
            </w:r>
          </w:p>
          <w:p w14:paraId="3CBBFB4F" w14:textId="77777777" w:rsidR="00BA512D" w:rsidRPr="000F0299" w:rsidRDefault="00BA512D" w:rsidP="00D321E8">
            <w:pPr>
              <w:spacing w:before="0"/>
              <w:ind w:firstLine="0"/>
            </w:pPr>
            <w:r w:rsidRPr="000F0299">
              <w:t>(2027): -</w:t>
            </w:r>
          </w:p>
          <w:p w14:paraId="12A4E696" w14:textId="77777777" w:rsidR="00BA512D" w:rsidRPr="000F0299" w:rsidRDefault="00BA512D" w:rsidP="00D321E8">
            <w:pPr>
              <w:spacing w:before="0"/>
              <w:ind w:firstLine="0"/>
            </w:pPr>
            <w:r w:rsidRPr="000F0299">
              <w:t>(2030): Биће утврђено 2023. године</w:t>
            </w:r>
          </w:p>
        </w:tc>
        <w:tc>
          <w:tcPr>
            <w:tcW w:w="180" w:type="pct"/>
            <w:tcBorders>
              <w:right w:val="single" w:sz="18" w:space="0" w:color="C00000"/>
            </w:tcBorders>
            <w:shd w:val="clear" w:color="auto" w:fill="F2F2F2" w:themeFill="background1" w:themeFillShade="F2"/>
          </w:tcPr>
          <w:p w14:paraId="5B2EB6A6" w14:textId="77777777" w:rsidR="00BA512D" w:rsidRPr="000F0299" w:rsidRDefault="00BA512D" w:rsidP="00D321E8">
            <w:pPr>
              <w:spacing w:before="0"/>
              <w:ind w:firstLine="0"/>
            </w:pPr>
          </w:p>
        </w:tc>
      </w:tr>
      <w:tr w:rsidR="00BA512D" w:rsidRPr="000F0299" w14:paraId="26BA7B6A" w14:textId="77777777" w:rsidTr="00D321E8">
        <w:trPr>
          <w:trHeight w:val="340"/>
        </w:trPr>
        <w:tc>
          <w:tcPr>
            <w:tcW w:w="186" w:type="pct"/>
            <w:tcBorders>
              <w:left w:val="single" w:sz="18" w:space="0" w:color="C00000"/>
              <w:bottom w:val="single" w:sz="18" w:space="0" w:color="C00000"/>
            </w:tcBorders>
            <w:shd w:val="clear" w:color="auto" w:fill="F2F2F2" w:themeFill="background1" w:themeFillShade="F2"/>
          </w:tcPr>
          <w:p w14:paraId="6ECCDC5A" w14:textId="77777777" w:rsidR="00BA512D" w:rsidRPr="000F0299" w:rsidRDefault="00BA512D" w:rsidP="00D321E8">
            <w:pPr>
              <w:spacing w:before="0"/>
              <w:ind w:firstLine="0"/>
              <w:rPr>
                <w:sz w:val="16"/>
                <w:szCs w:val="16"/>
              </w:rPr>
            </w:pPr>
          </w:p>
        </w:tc>
        <w:tc>
          <w:tcPr>
            <w:tcW w:w="2667" w:type="pct"/>
            <w:tcBorders>
              <w:bottom w:val="single" w:sz="18" w:space="0" w:color="C00000"/>
            </w:tcBorders>
            <w:shd w:val="clear" w:color="auto" w:fill="F2F2F2" w:themeFill="background1" w:themeFillShade="F2"/>
          </w:tcPr>
          <w:p w14:paraId="442E690C" w14:textId="77777777" w:rsidR="00BA512D" w:rsidRPr="000F0299" w:rsidRDefault="00BA512D" w:rsidP="00D321E8">
            <w:pPr>
              <w:spacing w:before="0"/>
              <w:ind w:firstLine="0"/>
              <w:rPr>
                <w:sz w:val="16"/>
                <w:szCs w:val="16"/>
              </w:rPr>
            </w:pPr>
          </w:p>
        </w:tc>
        <w:tc>
          <w:tcPr>
            <w:tcW w:w="958" w:type="pct"/>
            <w:tcBorders>
              <w:bottom w:val="single" w:sz="18" w:space="0" w:color="C00000"/>
            </w:tcBorders>
            <w:shd w:val="clear" w:color="auto" w:fill="F2F2F2" w:themeFill="background1" w:themeFillShade="F2"/>
          </w:tcPr>
          <w:p w14:paraId="4380D10B" w14:textId="77777777" w:rsidR="00BA512D" w:rsidRPr="000F0299" w:rsidRDefault="00BA512D" w:rsidP="00D321E8">
            <w:pPr>
              <w:spacing w:before="0"/>
              <w:ind w:firstLine="0"/>
              <w:rPr>
                <w:sz w:val="16"/>
                <w:szCs w:val="16"/>
              </w:rPr>
            </w:pPr>
          </w:p>
        </w:tc>
        <w:tc>
          <w:tcPr>
            <w:tcW w:w="1009" w:type="pct"/>
            <w:tcBorders>
              <w:bottom w:val="single" w:sz="18" w:space="0" w:color="C00000"/>
            </w:tcBorders>
            <w:shd w:val="clear" w:color="auto" w:fill="F2F2F2" w:themeFill="background1" w:themeFillShade="F2"/>
          </w:tcPr>
          <w:p w14:paraId="3FE06B1D" w14:textId="77777777" w:rsidR="00BA512D" w:rsidRPr="000F0299" w:rsidRDefault="00BA512D" w:rsidP="00D321E8">
            <w:pPr>
              <w:spacing w:before="0"/>
              <w:ind w:firstLine="0"/>
              <w:rPr>
                <w:sz w:val="16"/>
                <w:szCs w:val="16"/>
              </w:rPr>
            </w:pPr>
          </w:p>
        </w:tc>
        <w:tc>
          <w:tcPr>
            <w:tcW w:w="180" w:type="pct"/>
            <w:tcBorders>
              <w:bottom w:val="single" w:sz="18" w:space="0" w:color="C00000"/>
              <w:right w:val="single" w:sz="18" w:space="0" w:color="C00000"/>
            </w:tcBorders>
            <w:shd w:val="clear" w:color="auto" w:fill="F2F2F2" w:themeFill="background1" w:themeFillShade="F2"/>
          </w:tcPr>
          <w:p w14:paraId="1F7A0264" w14:textId="77777777" w:rsidR="00BA512D" w:rsidRPr="000F0299" w:rsidRDefault="00BA512D" w:rsidP="00D321E8">
            <w:pPr>
              <w:spacing w:before="0"/>
              <w:ind w:firstLine="0"/>
              <w:rPr>
                <w:sz w:val="16"/>
                <w:szCs w:val="16"/>
              </w:rPr>
            </w:pPr>
          </w:p>
        </w:tc>
      </w:tr>
    </w:tbl>
    <w:p w14:paraId="0E8606DC" w14:textId="78CDBC8B" w:rsidR="009F3A55" w:rsidRDefault="001C664B" w:rsidP="001C664B">
      <w:pPr>
        <w:spacing w:after="0"/>
        <w:rPr>
          <w:bCs/>
          <w:iCs/>
        </w:rPr>
      </w:pPr>
      <w:r w:rsidRPr="001C664B">
        <w:rPr>
          <w:lang w:eastAsia="de-DE"/>
        </w:rPr>
        <w:t xml:space="preserve">Да би се остварио </w:t>
      </w:r>
      <w:r w:rsidR="00DA1E06" w:rsidRPr="000F0299">
        <w:rPr>
          <w:b/>
          <w:lang w:eastAsia="de-DE"/>
        </w:rPr>
        <w:t>п</w:t>
      </w:r>
      <w:r w:rsidR="00BA512D" w:rsidRPr="000F0299">
        <w:rPr>
          <w:b/>
          <w:lang w:eastAsia="de-DE"/>
        </w:rPr>
        <w:t>осебни циљ 6.1.</w:t>
      </w:r>
      <w:r w:rsidR="00BA512D" w:rsidRPr="000F0299">
        <w:rPr>
          <w:lang w:eastAsia="de-DE"/>
        </w:rPr>
        <w:t xml:space="preserve"> </w:t>
      </w:r>
      <w:r w:rsidRPr="001C664B">
        <w:rPr>
          <w:lang w:eastAsia="de-DE"/>
        </w:rPr>
        <w:t>очекивано деловање политике кроз Програм реформе система локалне самоуправе одвија се у четири правца који треба да воде планираним исходима његовог спровођења. Они ће бити усмерени на</w:t>
      </w:r>
      <w:r w:rsidRPr="001C664B">
        <w:rPr>
          <w:bCs/>
          <w:lang w:eastAsia="de-DE"/>
        </w:rPr>
        <w:t xml:space="preserve"> унапређење положаја и одговорности локалне самоуправе</w:t>
      </w:r>
      <w:r w:rsidRPr="001C664B">
        <w:rPr>
          <w:lang w:eastAsia="de-DE"/>
        </w:rPr>
        <w:t>,</w:t>
      </w:r>
      <w:r w:rsidRPr="001C664B">
        <w:rPr>
          <w:bCs/>
          <w:lang w:eastAsia="de-DE"/>
        </w:rPr>
        <w:t xml:space="preserve"> система финансирања који омогућава адекватно и предвидиво финансирање локалне самоуправе, организације и капацитета локалне самоуправе и квалитета и доступности управних, комуналних и услуга јавних установа локалне самоуправе свим корисницима</w:t>
      </w:r>
      <w:r w:rsidR="00BA512D" w:rsidRPr="000F0299">
        <w:rPr>
          <w:bCs/>
          <w:iCs/>
        </w:rPr>
        <w:t>.</w:t>
      </w:r>
    </w:p>
    <w:p w14:paraId="07C71D8E" w14:textId="2F51BB89" w:rsidR="001C664B" w:rsidRPr="001C664B" w:rsidRDefault="001C664B" w:rsidP="001C664B">
      <w:pPr>
        <w:spacing w:after="0"/>
        <w:ind w:left="357" w:firstLine="0"/>
        <w:rPr>
          <w:bCs/>
          <w:iCs/>
        </w:rPr>
      </w:pPr>
      <w:r w:rsidRPr="001C664B">
        <w:rPr>
          <w:b/>
          <w:bCs/>
          <w:iCs/>
        </w:rPr>
        <w:t>Напомена</w:t>
      </w:r>
      <w:r w:rsidRPr="001C664B">
        <w:rPr>
          <w:bCs/>
          <w:iCs/>
        </w:rPr>
        <w:t xml:space="preserve">: Извор наведених докумената јавних политика и прописа дати су у </w:t>
      </w:r>
      <w:hyperlink w:anchor="_VI._Систем_локалне" w:history="1">
        <w:r w:rsidRPr="001C664B">
          <w:rPr>
            <w:rStyle w:val="Hyperlink"/>
            <w:bCs/>
            <w:iCs/>
          </w:rPr>
          <w:t>Прилогу 2</w:t>
        </w:r>
      </w:hyperlink>
      <w:r w:rsidRPr="001C664B">
        <w:rPr>
          <w:bCs/>
          <w:iCs/>
        </w:rPr>
        <w:t xml:space="preserve"> у којем је приказана и детаљна анализа за тематску област</w:t>
      </w:r>
      <w:r>
        <w:rPr>
          <w:bCs/>
          <w:iCs/>
        </w:rPr>
        <w:t xml:space="preserve"> Систем локалне самоуправе</w:t>
      </w:r>
      <w:r w:rsidRPr="001C664B">
        <w:rPr>
          <w:bCs/>
          <w:iCs/>
        </w:rPr>
        <w:t>.</w:t>
      </w:r>
    </w:p>
    <w:p w14:paraId="19196910" w14:textId="77777777" w:rsidR="009F3A55" w:rsidRPr="000F0299" w:rsidRDefault="009F3A55" w:rsidP="00244E7C"/>
    <w:p w14:paraId="73121FE8" w14:textId="77777777" w:rsidR="00A12642" w:rsidRPr="000F0299" w:rsidRDefault="00A12642" w:rsidP="00244E7C">
      <w:pPr>
        <w:sectPr w:rsidR="00A12642" w:rsidRPr="000F0299" w:rsidSect="00D77F70">
          <w:headerReference w:type="default" r:id="rId43"/>
          <w:footerReference w:type="default" r:id="rId44"/>
          <w:pgSz w:w="11906" w:h="16838"/>
          <w:pgMar w:top="1440" w:right="1440" w:bottom="1276" w:left="1440" w:header="708" w:footer="708" w:gutter="0"/>
          <w:pgNumType w:start="1"/>
          <w:cols w:space="708"/>
          <w:docGrid w:linePitch="360"/>
        </w:sectPr>
      </w:pPr>
    </w:p>
    <w:p w14:paraId="6285892C" w14:textId="5DCFBAAE" w:rsidR="00AD595E" w:rsidRPr="000F0299" w:rsidRDefault="001C30B7" w:rsidP="007A0CC3">
      <w:pPr>
        <w:pStyle w:val="Heading1"/>
        <w:rPr>
          <w:lang w:val="sr-Cyrl-RS"/>
        </w:rPr>
      </w:pPr>
      <w:bookmarkStart w:id="56" w:name="_Toc57661466"/>
      <w:r w:rsidRPr="000F0299">
        <w:rPr>
          <w:lang w:val="sr-Cyrl-RS"/>
        </w:rPr>
        <w:t>Трошкови спровођења АП С</w:t>
      </w:r>
      <w:r w:rsidR="00D370E9">
        <w:rPr>
          <w:lang w:val="sr-Cyrl-RS"/>
        </w:rPr>
        <w:t xml:space="preserve">тратегије </w:t>
      </w:r>
      <w:r w:rsidRPr="000F0299">
        <w:rPr>
          <w:lang w:val="sr-Cyrl-RS"/>
        </w:rPr>
        <w:t>РЈУ</w:t>
      </w:r>
      <w:bookmarkEnd w:id="56"/>
    </w:p>
    <w:p w14:paraId="19488458" w14:textId="66FF1CBF" w:rsidR="00AA0B58" w:rsidRPr="000F0299" w:rsidRDefault="00AA0B58" w:rsidP="00B46F2F">
      <w:r w:rsidRPr="000F0299">
        <w:t>Сви приказани износи дати су</w:t>
      </w:r>
      <w:r w:rsidR="005128AA" w:rsidRPr="000F0299">
        <w:t xml:space="preserve"> </w:t>
      </w:r>
      <w:r w:rsidRPr="000F0299">
        <w:t>у хиљадама РСД.</w:t>
      </w:r>
    </w:p>
    <w:p w14:paraId="5D972E47" w14:textId="57A52ED7" w:rsidR="00B46F2F" w:rsidRPr="000F0299" w:rsidRDefault="00B46F2F" w:rsidP="00B46F2F">
      <w:r w:rsidRPr="000F0299">
        <w:t>График</w:t>
      </w:r>
      <w:r w:rsidR="006C481F">
        <w:t>он 1</w:t>
      </w:r>
      <w:r w:rsidRPr="000F0299">
        <w:t xml:space="preserve"> приказује однос </w:t>
      </w:r>
      <w:r w:rsidR="00787985" w:rsidRPr="000F0299">
        <w:t>укупно</w:t>
      </w:r>
      <w:r w:rsidRPr="000F0299">
        <w:t xml:space="preserve"> </w:t>
      </w:r>
      <w:r w:rsidR="005274C3" w:rsidRPr="005274C3">
        <w:t>обезбеђених/условно обезбеђених и необезбеђених средстава у односу на укупне процењене трошкове</w:t>
      </w:r>
      <w:r w:rsidRPr="000F0299">
        <w:t>.</w:t>
      </w:r>
      <w:r w:rsidR="006C481F">
        <w:rPr>
          <w:rStyle w:val="FootnoteReference"/>
        </w:rPr>
        <w:footnoteReference w:id="1"/>
      </w:r>
    </w:p>
    <w:p w14:paraId="4C413360" w14:textId="33BEDBED" w:rsidR="006423D2" w:rsidRPr="000F0299" w:rsidRDefault="00C87E78" w:rsidP="006423D2">
      <w:pPr>
        <w:keepNext/>
      </w:pPr>
      <w:r>
        <w:rPr>
          <w:noProof/>
          <w:lang w:val="en-US" w:eastAsia="en-US" w:bidi="ar-SA"/>
        </w:rPr>
        <w:drawing>
          <wp:inline distT="0" distB="0" distL="0" distR="0" wp14:anchorId="3C07DC4E" wp14:editId="149B6193">
            <wp:extent cx="4889498" cy="2758017"/>
            <wp:effectExtent l="0" t="0" r="6985" b="4445"/>
            <wp:docPr id="120" name="Chart 120">
              <a:extLst xmlns:a="http://schemas.openxmlformats.org/drawingml/2006/main">
                <a:ext uri="{FF2B5EF4-FFF2-40B4-BE49-F238E27FC236}">
                  <a16:creationId xmlns:a16="http://schemas.microsoft.com/office/drawing/2014/main" id="{6564EB25-E648-4E36-934A-CD8F5C8B1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587F35" w14:textId="1A906CE3" w:rsidR="00B46F2F" w:rsidRPr="001C664B" w:rsidRDefault="006423D2" w:rsidP="00592528">
      <w:pPr>
        <w:pStyle w:val="Caption"/>
        <w:rPr>
          <w:i w:val="0"/>
          <w:iCs w:val="0"/>
          <w:lang w:val="sr-Cyrl-RS"/>
        </w:rPr>
      </w:pPr>
      <w:bookmarkStart w:id="57" w:name="_Toc57665337"/>
      <w:r w:rsidRPr="001C664B">
        <w:rPr>
          <w:i w:val="0"/>
          <w:iCs w:val="0"/>
          <w:lang w:val="sr-Cyrl-RS"/>
        </w:rPr>
        <w:t xml:space="preserve">Графикон </w:t>
      </w:r>
      <w:r w:rsidRPr="001C664B">
        <w:rPr>
          <w:i w:val="0"/>
          <w:iCs w:val="0"/>
          <w:lang w:val="sr-Cyrl-RS"/>
        </w:rPr>
        <w:fldChar w:fldCharType="begin"/>
      </w:r>
      <w:r w:rsidRPr="001C664B">
        <w:rPr>
          <w:i w:val="0"/>
          <w:iCs w:val="0"/>
          <w:lang w:val="sr-Cyrl-RS"/>
        </w:rPr>
        <w:instrText xml:space="preserve"> SEQ Графикон \* ARABIC </w:instrText>
      </w:r>
      <w:r w:rsidRPr="001C664B">
        <w:rPr>
          <w:i w:val="0"/>
          <w:iCs w:val="0"/>
          <w:lang w:val="sr-Cyrl-RS"/>
        </w:rPr>
        <w:fldChar w:fldCharType="separate"/>
      </w:r>
      <w:r w:rsidR="00BB48C1">
        <w:rPr>
          <w:i w:val="0"/>
          <w:iCs w:val="0"/>
          <w:noProof/>
          <w:lang w:val="sr-Cyrl-RS"/>
        </w:rPr>
        <w:t>1</w:t>
      </w:r>
      <w:r w:rsidRPr="001C664B">
        <w:rPr>
          <w:i w:val="0"/>
          <w:iCs w:val="0"/>
          <w:lang w:val="sr-Cyrl-RS"/>
        </w:rPr>
        <w:fldChar w:fldCharType="end"/>
      </w:r>
      <w:r w:rsidRPr="001C664B">
        <w:rPr>
          <w:i w:val="0"/>
          <w:iCs w:val="0"/>
          <w:lang w:val="sr-Cyrl-RS"/>
        </w:rPr>
        <w:t xml:space="preserve"> Однос обезбеђених</w:t>
      </w:r>
      <w:r w:rsidR="005274C3" w:rsidRPr="00B774F7">
        <w:rPr>
          <w:i w:val="0"/>
          <w:iCs w:val="0"/>
          <w:lang w:val="sr-Cyrl-RS"/>
        </w:rPr>
        <w:t>/</w:t>
      </w:r>
      <w:r w:rsidR="005274C3">
        <w:rPr>
          <w:i w:val="0"/>
          <w:iCs w:val="0"/>
          <w:lang w:val="sr-Cyrl-RS"/>
        </w:rPr>
        <w:t>условно обезбеђених</w:t>
      </w:r>
      <w:r w:rsidRPr="001C664B">
        <w:rPr>
          <w:i w:val="0"/>
          <w:iCs w:val="0"/>
          <w:lang w:val="sr-Cyrl-RS"/>
        </w:rPr>
        <w:t xml:space="preserve"> и необезбеђених средстава</w:t>
      </w:r>
      <w:bookmarkEnd w:id="57"/>
      <w:r w:rsidRPr="001C664B">
        <w:rPr>
          <w:i w:val="0"/>
          <w:iCs w:val="0"/>
          <w:lang w:val="sr-Cyrl-RS"/>
        </w:rPr>
        <w:t xml:space="preserve"> </w:t>
      </w:r>
    </w:p>
    <w:tbl>
      <w:tblPr>
        <w:tblStyle w:val="PlainTable3"/>
        <w:tblW w:w="4170" w:type="dxa"/>
        <w:tblLook w:val="0680" w:firstRow="0" w:lastRow="0" w:firstColumn="1" w:lastColumn="0" w:noHBand="1" w:noVBand="1"/>
      </w:tblPr>
      <w:tblGrid>
        <w:gridCol w:w="2694"/>
        <w:gridCol w:w="1476"/>
      </w:tblGrid>
      <w:tr w:rsidR="0020383F" w:rsidRPr="000F0299" w14:paraId="5A168CF8" w14:textId="77777777" w:rsidTr="00C93D29">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A4541C5" w14:textId="4824E707" w:rsidR="0020383F" w:rsidRPr="000F0299" w:rsidRDefault="0020383F" w:rsidP="0020383F">
            <w:pPr>
              <w:suppressAutoHyphens w:val="0"/>
              <w:autoSpaceDN/>
              <w:spacing w:before="0" w:after="0"/>
              <w:ind w:firstLine="0"/>
              <w:jc w:val="left"/>
              <w:textAlignment w:val="auto"/>
              <w:rPr>
                <w:rFonts w:eastAsia="Times New Roman"/>
                <w:b w:val="0"/>
                <w:bCs w:val="0"/>
                <w:color w:val="000000"/>
                <w:kern w:val="0"/>
                <w:lang w:eastAsia="sr-Cyrl-RS" w:bidi="ar-SA"/>
              </w:rPr>
            </w:pPr>
            <w:r w:rsidRPr="000F0299">
              <w:rPr>
                <w:rFonts w:eastAsia="Times New Roman"/>
                <w:b w:val="0"/>
                <w:bCs w:val="0"/>
                <w:caps w:val="0"/>
                <w:color w:val="000000"/>
                <w:kern w:val="0"/>
                <w:lang w:eastAsia="sr-Cyrl-RS" w:bidi="ar-SA"/>
              </w:rPr>
              <w:t>Обезбеђена средства</w:t>
            </w:r>
          </w:p>
        </w:tc>
        <w:tc>
          <w:tcPr>
            <w:tcW w:w="1476" w:type="dxa"/>
            <w:noWrap/>
            <w:hideMark/>
          </w:tcPr>
          <w:p w14:paraId="7DF9253D" w14:textId="7F7061BD" w:rsidR="0020383F" w:rsidRPr="000F0299" w:rsidRDefault="0020383F" w:rsidP="0020383F">
            <w:pPr>
              <w:suppressAutoHyphens w:val="0"/>
              <w:autoSpaceDN/>
              <w:spacing w:before="0" w:after="0"/>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lang w:eastAsia="sr-Cyrl-RS" w:bidi="ar-SA"/>
              </w:rPr>
            </w:pPr>
            <w:r w:rsidRPr="00DE69F1">
              <w:t>89</w:t>
            </w:r>
            <w:r w:rsidR="00876FFE">
              <w:rPr>
                <w:lang w:val="en-GB"/>
              </w:rPr>
              <w:t>0</w:t>
            </w:r>
            <w:r w:rsidRPr="00DE69F1">
              <w:t>,</w:t>
            </w:r>
            <w:r w:rsidR="00876FFE">
              <w:rPr>
                <w:lang w:val="en-GB"/>
              </w:rPr>
              <w:t>6</w:t>
            </w:r>
            <w:r w:rsidRPr="00DE69F1">
              <w:t>56.80</w:t>
            </w:r>
          </w:p>
        </w:tc>
      </w:tr>
      <w:tr w:rsidR="0020383F" w:rsidRPr="000F0299" w14:paraId="31D92199" w14:textId="77777777" w:rsidTr="00C93D29">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E2AF105" w14:textId="1A5BF8A6" w:rsidR="0020383F" w:rsidRPr="000F0299" w:rsidRDefault="0020383F" w:rsidP="0020383F">
            <w:pPr>
              <w:suppressAutoHyphens w:val="0"/>
              <w:autoSpaceDN/>
              <w:spacing w:before="0" w:after="0"/>
              <w:ind w:firstLine="0"/>
              <w:jc w:val="left"/>
              <w:textAlignment w:val="auto"/>
              <w:rPr>
                <w:rFonts w:eastAsia="Times New Roman"/>
                <w:b w:val="0"/>
                <w:bCs w:val="0"/>
                <w:color w:val="000000"/>
                <w:kern w:val="0"/>
                <w:lang w:eastAsia="sr-Cyrl-RS" w:bidi="ar-SA"/>
              </w:rPr>
            </w:pPr>
            <w:r>
              <w:rPr>
                <w:rFonts w:eastAsia="Times New Roman"/>
                <w:b w:val="0"/>
                <w:bCs w:val="0"/>
                <w:caps w:val="0"/>
                <w:color w:val="000000"/>
                <w:kern w:val="0"/>
                <w:lang w:eastAsia="sr-Cyrl-RS" w:bidi="ar-SA"/>
              </w:rPr>
              <w:t>Условно обезбеђена</w:t>
            </w:r>
          </w:p>
        </w:tc>
        <w:tc>
          <w:tcPr>
            <w:tcW w:w="1476" w:type="dxa"/>
            <w:noWrap/>
            <w:hideMark/>
          </w:tcPr>
          <w:p w14:paraId="406D0803" w14:textId="581DBF15" w:rsidR="0020383F" w:rsidRPr="000F0299" w:rsidRDefault="0020383F" w:rsidP="0020383F">
            <w:pPr>
              <w:suppressAutoHyphens w:val="0"/>
              <w:autoSpaceDN/>
              <w:spacing w:before="0" w:after="0"/>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lang w:eastAsia="sr-Cyrl-RS" w:bidi="ar-SA"/>
              </w:rPr>
            </w:pPr>
            <w:r w:rsidRPr="00DE69F1">
              <w:t>50,083.35</w:t>
            </w:r>
          </w:p>
        </w:tc>
      </w:tr>
      <w:tr w:rsidR="0020383F" w:rsidRPr="000F0299" w14:paraId="30F2FD26" w14:textId="77777777" w:rsidTr="00C93D29">
        <w:trPr>
          <w:trHeight w:val="288"/>
        </w:trPr>
        <w:tc>
          <w:tcPr>
            <w:cnfStyle w:val="001000000000" w:firstRow="0" w:lastRow="0" w:firstColumn="1" w:lastColumn="0" w:oddVBand="0" w:evenVBand="0" w:oddHBand="0" w:evenHBand="0" w:firstRowFirstColumn="0" w:firstRowLastColumn="0" w:lastRowFirstColumn="0" w:lastRowLastColumn="0"/>
            <w:tcW w:w="2694" w:type="dxa"/>
            <w:noWrap/>
          </w:tcPr>
          <w:p w14:paraId="1071633E" w14:textId="31B7B949" w:rsidR="0020383F" w:rsidRPr="000F0299" w:rsidRDefault="0020383F" w:rsidP="0020383F">
            <w:pPr>
              <w:suppressAutoHyphens w:val="0"/>
              <w:autoSpaceDN/>
              <w:spacing w:before="0" w:after="0"/>
              <w:ind w:firstLine="0"/>
              <w:jc w:val="left"/>
              <w:textAlignment w:val="auto"/>
              <w:rPr>
                <w:rFonts w:eastAsia="Times New Roman"/>
                <w:color w:val="000000"/>
                <w:kern w:val="0"/>
                <w:lang w:eastAsia="sr-Cyrl-RS" w:bidi="ar-SA"/>
              </w:rPr>
            </w:pPr>
            <w:r w:rsidRPr="000F0299">
              <w:rPr>
                <w:rFonts w:eastAsia="Times New Roman"/>
                <w:b w:val="0"/>
                <w:bCs w:val="0"/>
                <w:caps w:val="0"/>
                <w:color w:val="000000"/>
                <w:kern w:val="0"/>
                <w:lang w:eastAsia="sr-Cyrl-RS" w:bidi="ar-SA"/>
              </w:rPr>
              <w:t>Необезбеђена средства</w:t>
            </w:r>
          </w:p>
        </w:tc>
        <w:tc>
          <w:tcPr>
            <w:tcW w:w="1476" w:type="dxa"/>
            <w:noWrap/>
          </w:tcPr>
          <w:p w14:paraId="68F8EEEE" w14:textId="540BFC3F" w:rsidR="0020383F" w:rsidRPr="000F0299" w:rsidRDefault="0020383F" w:rsidP="0020383F">
            <w:pPr>
              <w:suppressAutoHyphens w:val="0"/>
              <w:autoSpaceDN/>
              <w:spacing w:before="0" w:after="0"/>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lang w:eastAsia="sr-Cyrl-RS" w:bidi="ar-SA"/>
              </w:rPr>
            </w:pPr>
            <w:r w:rsidRPr="00DE69F1">
              <w:t>1,05</w:t>
            </w:r>
            <w:r w:rsidR="00876FFE">
              <w:rPr>
                <w:lang w:val="en-GB"/>
              </w:rPr>
              <w:t>5</w:t>
            </w:r>
            <w:r w:rsidRPr="00DE69F1">
              <w:t>,</w:t>
            </w:r>
            <w:r w:rsidR="00876FFE">
              <w:rPr>
                <w:lang w:val="en-GB"/>
              </w:rPr>
              <w:t>3</w:t>
            </w:r>
            <w:r w:rsidRPr="00DE69F1">
              <w:t>30.58</w:t>
            </w:r>
          </w:p>
        </w:tc>
      </w:tr>
      <w:tr w:rsidR="0020383F" w:rsidRPr="0020383F" w14:paraId="76066002" w14:textId="77777777" w:rsidTr="00C93D29">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1EAC17F" w14:textId="489C3838" w:rsidR="0020383F" w:rsidRPr="000F0299" w:rsidRDefault="0020383F" w:rsidP="0020383F">
            <w:pPr>
              <w:suppressAutoHyphens w:val="0"/>
              <w:autoSpaceDN/>
              <w:spacing w:before="0" w:after="0"/>
              <w:ind w:firstLine="0"/>
              <w:jc w:val="right"/>
              <w:textAlignment w:val="auto"/>
              <w:rPr>
                <w:rFonts w:eastAsia="Times New Roman"/>
                <w:color w:val="000000"/>
                <w:kern w:val="0"/>
                <w:lang w:eastAsia="sr-Cyrl-RS" w:bidi="ar-SA"/>
              </w:rPr>
            </w:pPr>
            <w:r>
              <w:rPr>
                <w:rFonts w:eastAsia="Times New Roman"/>
                <w:color w:val="000000"/>
                <w:kern w:val="0"/>
                <w:lang w:eastAsia="sr-Cyrl-RS" w:bidi="ar-SA"/>
              </w:rPr>
              <w:t>У</w:t>
            </w:r>
            <w:r>
              <w:rPr>
                <w:rFonts w:eastAsia="Times New Roman"/>
                <w:caps w:val="0"/>
                <w:color w:val="000000"/>
                <w:kern w:val="0"/>
                <w:lang w:eastAsia="sr-Cyrl-RS" w:bidi="ar-SA"/>
              </w:rPr>
              <w:t>купно</w:t>
            </w:r>
          </w:p>
        </w:tc>
        <w:tc>
          <w:tcPr>
            <w:tcW w:w="1476" w:type="dxa"/>
            <w:noWrap/>
            <w:hideMark/>
          </w:tcPr>
          <w:p w14:paraId="560E19F3" w14:textId="56FD8FD1" w:rsidR="0020383F" w:rsidRPr="0020383F" w:rsidRDefault="0020383F" w:rsidP="0020383F">
            <w:pPr>
              <w:suppressAutoHyphens w:val="0"/>
              <w:autoSpaceDN/>
              <w:spacing w:before="0" w:after="0"/>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b/>
                <w:bCs/>
                <w:color w:val="000000"/>
                <w:kern w:val="0"/>
                <w:lang w:eastAsia="sr-Cyrl-RS" w:bidi="ar-SA"/>
              </w:rPr>
            </w:pPr>
            <w:r w:rsidRPr="0020383F">
              <w:rPr>
                <w:b/>
                <w:bCs/>
              </w:rPr>
              <w:t>1,996,070.72</w:t>
            </w:r>
          </w:p>
        </w:tc>
      </w:tr>
    </w:tbl>
    <w:p w14:paraId="3EE3E7E7" w14:textId="77777777" w:rsidR="005128AA" w:rsidRPr="000F0299" w:rsidRDefault="005128AA" w:rsidP="006423D2">
      <w:pPr>
        <w:ind w:firstLine="0"/>
      </w:pPr>
    </w:p>
    <w:p w14:paraId="2577DE00" w14:textId="08326241" w:rsidR="007A4499" w:rsidRPr="000F0299" w:rsidRDefault="007A4499" w:rsidP="00C57B4C">
      <w:r w:rsidRPr="000F0299">
        <w:t>График</w:t>
      </w:r>
      <w:r w:rsidR="006C481F">
        <w:t>он 2</w:t>
      </w:r>
      <w:r w:rsidRPr="000F0299">
        <w:t xml:space="preserve"> приказује </w:t>
      </w:r>
      <w:r w:rsidR="00DD5A48">
        <w:t xml:space="preserve">однос између </w:t>
      </w:r>
      <w:r w:rsidR="008513A1" w:rsidRPr="008513A1">
        <w:t>извор</w:t>
      </w:r>
      <w:r w:rsidR="00DD5A48">
        <w:t>а</w:t>
      </w:r>
      <w:r w:rsidR="008513A1" w:rsidRPr="008513A1">
        <w:t xml:space="preserve"> финансирања обезбеђених</w:t>
      </w:r>
      <w:r w:rsidR="008C0483">
        <w:t xml:space="preserve"> и </w:t>
      </w:r>
      <w:r w:rsidR="008513A1" w:rsidRPr="008513A1">
        <w:t>условно обезбеђених средстава</w:t>
      </w:r>
      <w:r w:rsidR="006C481F">
        <w:t>.</w:t>
      </w:r>
      <w:r w:rsidR="008513A1" w:rsidRPr="008513A1">
        <w:t xml:space="preserve"> </w:t>
      </w:r>
    </w:p>
    <w:p w14:paraId="2ED33160" w14:textId="5FB6CBE5" w:rsidR="006423D2" w:rsidRPr="000F0299" w:rsidRDefault="00C87E78" w:rsidP="006423D2">
      <w:pPr>
        <w:keepNext/>
      </w:pPr>
      <w:r>
        <w:rPr>
          <w:noProof/>
          <w:lang w:val="en-US" w:eastAsia="en-US" w:bidi="ar-SA"/>
        </w:rPr>
        <w:drawing>
          <wp:inline distT="0" distB="0" distL="0" distR="0" wp14:anchorId="02B8F307" wp14:editId="0C4FF710">
            <wp:extent cx="4741333" cy="2743200"/>
            <wp:effectExtent l="0" t="0" r="2540" b="0"/>
            <wp:docPr id="129" name="Chart 129">
              <a:extLst xmlns:a="http://schemas.openxmlformats.org/drawingml/2006/main">
                <a:ext uri="{FF2B5EF4-FFF2-40B4-BE49-F238E27FC236}">
                  <a16:creationId xmlns:a16="http://schemas.microsoft.com/office/drawing/2014/main" id="{AAC2FEBC-410A-4AFE-BCEC-B66089A38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2273A6D" w14:textId="31C56969" w:rsidR="007A4499" w:rsidRPr="0091541B" w:rsidRDefault="006423D2" w:rsidP="006423D2">
      <w:pPr>
        <w:pStyle w:val="Caption"/>
        <w:rPr>
          <w:i w:val="0"/>
          <w:iCs w:val="0"/>
          <w:lang w:val="sr-Cyrl-RS"/>
        </w:rPr>
      </w:pPr>
      <w:bookmarkStart w:id="58" w:name="_Toc57665338"/>
      <w:r w:rsidRPr="0091541B">
        <w:rPr>
          <w:i w:val="0"/>
          <w:iCs w:val="0"/>
          <w:lang w:val="sr-Cyrl-RS"/>
        </w:rPr>
        <w:t xml:space="preserve">Графикон </w:t>
      </w:r>
      <w:r w:rsidRPr="0091541B">
        <w:rPr>
          <w:i w:val="0"/>
          <w:iCs w:val="0"/>
          <w:lang w:val="sr-Cyrl-RS"/>
        </w:rPr>
        <w:fldChar w:fldCharType="begin"/>
      </w:r>
      <w:r w:rsidRPr="0091541B">
        <w:rPr>
          <w:i w:val="0"/>
          <w:iCs w:val="0"/>
          <w:lang w:val="sr-Cyrl-RS"/>
        </w:rPr>
        <w:instrText xml:space="preserve"> SEQ Графикон \* ARABIC </w:instrText>
      </w:r>
      <w:r w:rsidRPr="0091541B">
        <w:rPr>
          <w:i w:val="0"/>
          <w:iCs w:val="0"/>
          <w:lang w:val="sr-Cyrl-RS"/>
        </w:rPr>
        <w:fldChar w:fldCharType="separate"/>
      </w:r>
      <w:r w:rsidR="00BB48C1">
        <w:rPr>
          <w:i w:val="0"/>
          <w:iCs w:val="0"/>
          <w:noProof/>
          <w:lang w:val="sr-Cyrl-RS"/>
        </w:rPr>
        <w:t>2</w:t>
      </w:r>
      <w:r w:rsidRPr="0091541B">
        <w:rPr>
          <w:i w:val="0"/>
          <w:iCs w:val="0"/>
          <w:lang w:val="sr-Cyrl-RS"/>
        </w:rPr>
        <w:fldChar w:fldCharType="end"/>
      </w:r>
      <w:r w:rsidRPr="0091541B">
        <w:rPr>
          <w:i w:val="0"/>
          <w:iCs w:val="0"/>
          <w:lang w:val="sr-Cyrl-RS"/>
        </w:rPr>
        <w:t xml:space="preserve"> Однос обезбеђених</w:t>
      </w:r>
      <w:r w:rsidR="008513A1">
        <w:rPr>
          <w:i w:val="0"/>
          <w:iCs w:val="0"/>
          <w:lang w:val="sr-Cyrl-RS"/>
        </w:rPr>
        <w:t>/условно обезбеђених</w:t>
      </w:r>
      <w:r w:rsidRPr="0091541B">
        <w:rPr>
          <w:i w:val="0"/>
          <w:iCs w:val="0"/>
          <w:lang w:val="sr-Cyrl-RS"/>
        </w:rPr>
        <w:t xml:space="preserve"> средстава из буџета и </w:t>
      </w:r>
      <w:r w:rsidR="008513A1">
        <w:rPr>
          <w:i w:val="0"/>
          <w:iCs w:val="0"/>
          <w:lang w:val="sr-Cyrl-RS"/>
        </w:rPr>
        <w:t>донаторске подршке</w:t>
      </w:r>
      <w:bookmarkEnd w:id="58"/>
    </w:p>
    <w:tbl>
      <w:tblPr>
        <w:tblStyle w:val="PlainTable31"/>
        <w:tblW w:w="0" w:type="auto"/>
        <w:tblLook w:val="0680" w:firstRow="0" w:lastRow="0" w:firstColumn="1" w:lastColumn="0" w:noHBand="1" w:noVBand="1"/>
      </w:tblPr>
      <w:tblGrid>
        <w:gridCol w:w="2552"/>
        <w:gridCol w:w="1654"/>
      </w:tblGrid>
      <w:tr w:rsidR="008513A1" w:rsidRPr="000F0299" w14:paraId="2B2289F3" w14:textId="77777777" w:rsidTr="00C93D29">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2EE1DD5" w14:textId="77777777" w:rsidR="008513A1" w:rsidRPr="000F0299" w:rsidRDefault="008513A1" w:rsidP="008513A1">
            <w:pPr>
              <w:suppressAutoHyphens w:val="0"/>
              <w:autoSpaceDN/>
              <w:spacing w:before="0" w:after="0"/>
              <w:ind w:firstLine="0"/>
              <w:jc w:val="left"/>
              <w:textAlignment w:val="auto"/>
              <w:rPr>
                <w:rFonts w:eastAsia="Times New Roman"/>
                <w:b w:val="0"/>
                <w:bCs w:val="0"/>
                <w:caps w:val="0"/>
                <w:color w:val="000000"/>
                <w:kern w:val="0"/>
                <w:lang w:eastAsia="sr-Cyrl-RS" w:bidi="ar-SA"/>
              </w:rPr>
            </w:pPr>
            <w:r w:rsidRPr="000F0299">
              <w:rPr>
                <w:rFonts w:eastAsia="Times New Roman"/>
                <w:b w:val="0"/>
                <w:bCs w:val="0"/>
                <w:caps w:val="0"/>
                <w:color w:val="000000"/>
                <w:kern w:val="0"/>
                <w:lang w:eastAsia="sr-Cyrl-RS" w:bidi="ar-SA"/>
              </w:rPr>
              <w:t>Буџет РС</w:t>
            </w:r>
          </w:p>
        </w:tc>
        <w:tc>
          <w:tcPr>
            <w:tcW w:w="1654" w:type="dxa"/>
            <w:noWrap/>
            <w:hideMark/>
          </w:tcPr>
          <w:p w14:paraId="13FB4F6B" w14:textId="79770F84" w:rsidR="008513A1" w:rsidRPr="000F0299" w:rsidRDefault="008513A1" w:rsidP="00BB3335">
            <w:pPr>
              <w:spacing w:before="0" w:after="0"/>
              <w:jc w:val="right"/>
              <w:cnfStyle w:val="000000000000" w:firstRow="0" w:lastRow="0" w:firstColumn="0" w:lastColumn="0" w:oddVBand="0" w:evenVBand="0" w:oddHBand="0" w:evenHBand="0" w:firstRowFirstColumn="0" w:firstRowLastColumn="0" w:lastRowFirstColumn="0" w:lastRowLastColumn="0"/>
            </w:pPr>
            <w:r w:rsidRPr="006F4BF0">
              <w:t>176,733.35</w:t>
            </w:r>
          </w:p>
        </w:tc>
      </w:tr>
      <w:tr w:rsidR="008513A1" w:rsidRPr="000F0299" w14:paraId="1A052853" w14:textId="77777777" w:rsidTr="00C93D29">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712ED17" w14:textId="480E061B" w:rsidR="008513A1" w:rsidRPr="000F0299" w:rsidRDefault="008513A1" w:rsidP="008513A1">
            <w:pPr>
              <w:spacing w:before="0" w:after="0"/>
              <w:ind w:firstLine="0"/>
              <w:rPr>
                <w:b w:val="0"/>
                <w:bCs w:val="0"/>
              </w:rPr>
            </w:pPr>
            <w:r>
              <w:rPr>
                <w:b w:val="0"/>
                <w:bCs w:val="0"/>
                <w:caps w:val="0"/>
              </w:rPr>
              <w:t xml:space="preserve">Донаторска </w:t>
            </w:r>
            <w:r w:rsidRPr="000F0299">
              <w:rPr>
                <w:b w:val="0"/>
                <w:bCs w:val="0"/>
                <w:caps w:val="0"/>
              </w:rPr>
              <w:t>подршка</w:t>
            </w:r>
          </w:p>
        </w:tc>
        <w:tc>
          <w:tcPr>
            <w:tcW w:w="1654" w:type="dxa"/>
            <w:noWrap/>
            <w:hideMark/>
          </w:tcPr>
          <w:p w14:paraId="5C1E85F0" w14:textId="1CF6924D" w:rsidR="008513A1" w:rsidRPr="000F0299" w:rsidRDefault="008513A1" w:rsidP="00BB3335">
            <w:pPr>
              <w:spacing w:before="0" w:after="0"/>
              <w:jc w:val="right"/>
              <w:cnfStyle w:val="000000000000" w:firstRow="0" w:lastRow="0" w:firstColumn="0" w:lastColumn="0" w:oddVBand="0" w:evenVBand="0" w:oddHBand="0" w:evenHBand="0" w:firstRowFirstColumn="0" w:firstRowLastColumn="0" w:lastRowFirstColumn="0" w:lastRowLastColumn="0"/>
            </w:pPr>
            <w:r w:rsidRPr="006F4BF0">
              <w:t>76</w:t>
            </w:r>
            <w:r w:rsidR="00876FFE">
              <w:rPr>
                <w:lang w:val="en-GB"/>
              </w:rPr>
              <w:t>4</w:t>
            </w:r>
            <w:r w:rsidRPr="006F4BF0">
              <w:t>,</w:t>
            </w:r>
            <w:r w:rsidR="00876FFE">
              <w:rPr>
                <w:lang w:val="en-GB"/>
              </w:rPr>
              <w:t>0</w:t>
            </w:r>
            <w:r w:rsidRPr="006F4BF0">
              <w:t>06.80</w:t>
            </w:r>
          </w:p>
        </w:tc>
      </w:tr>
      <w:tr w:rsidR="008513A1" w:rsidRPr="0020383F" w14:paraId="4FABAEC5" w14:textId="77777777" w:rsidTr="00C93D29">
        <w:trPr>
          <w:trHeight w:val="28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2E8AD5A" w14:textId="7BD75C0B" w:rsidR="008513A1" w:rsidRPr="000F0299" w:rsidRDefault="008513A1" w:rsidP="008513A1">
            <w:pPr>
              <w:spacing w:before="0" w:after="0"/>
              <w:jc w:val="right"/>
            </w:pPr>
            <w:r>
              <w:rPr>
                <w:caps w:val="0"/>
              </w:rPr>
              <w:t>Укупно</w:t>
            </w:r>
          </w:p>
        </w:tc>
        <w:tc>
          <w:tcPr>
            <w:tcW w:w="1654" w:type="dxa"/>
            <w:noWrap/>
            <w:hideMark/>
          </w:tcPr>
          <w:p w14:paraId="434F2E30" w14:textId="2897230F" w:rsidR="008513A1" w:rsidRPr="0020383F" w:rsidRDefault="008513A1" w:rsidP="00BB3335">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0383F">
              <w:rPr>
                <w:b/>
                <w:bCs/>
              </w:rPr>
              <w:t>94</w:t>
            </w:r>
            <w:r w:rsidR="00876FFE">
              <w:rPr>
                <w:b/>
                <w:bCs/>
                <w:lang w:val="en-GB"/>
              </w:rPr>
              <w:t>0</w:t>
            </w:r>
            <w:r w:rsidRPr="0020383F">
              <w:rPr>
                <w:b/>
                <w:bCs/>
              </w:rPr>
              <w:t>,</w:t>
            </w:r>
            <w:r w:rsidR="00876FFE">
              <w:rPr>
                <w:b/>
                <w:bCs/>
                <w:lang w:val="en-GB"/>
              </w:rPr>
              <w:t>7</w:t>
            </w:r>
            <w:r w:rsidRPr="0020383F">
              <w:rPr>
                <w:b/>
                <w:bCs/>
              </w:rPr>
              <w:t>40.14</w:t>
            </w:r>
          </w:p>
        </w:tc>
      </w:tr>
    </w:tbl>
    <w:p w14:paraId="6796B01D" w14:textId="77777777" w:rsidR="0088671F" w:rsidRDefault="0088671F" w:rsidP="00C57B4C"/>
    <w:p w14:paraId="7FFDC77D" w14:textId="5988A937" w:rsidR="007A4499" w:rsidRPr="000F0299" w:rsidRDefault="007A4499" w:rsidP="00C57B4C">
      <w:r w:rsidRPr="000F0299">
        <w:t>График</w:t>
      </w:r>
      <w:r w:rsidR="006C481F">
        <w:t>он 3</w:t>
      </w:r>
      <w:r w:rsidRPr="000F0299">
        <w:t xml:space="preserve"> приказује однос између извора финансирања необезбеђених средст</w:t>
      </w:r>
      <w:r w:rsidR="0088671F">
        <w:t>ава.</w:t>
      </w:r>
    </w:p>
    <w:p w14:paraId="71EF99EC" w14:textId="47F9F9DC" w:rsidR="006423D2" w:rsidRPr="000F0299" w:rsidRDefault="00C87E78" w:rsidP="006423D2">
      <w:pPr>
        <w:keepNext/>
      </w:pPr>
      <w:r>
        <w:rPr>
          <w:noProof/>
          <w:lang w:val="en-US" w:eastAsia="en-US" w:bidi="ar-SA"/>
        </w:rPr>
        <w:drawing>
          <wp:inline distT="0" distB="0" distL="0" distR="0" wp14:anchorId="5BF34B2E" wp14:editId="1F9810E2">
            <wp:extent cx="4741333" cy="2743200"/>
            <wp:effectExtent l="0" t="0" r="2540" b="0"/>
            <wp:docPr id="398" name="Chart 398">
              <a:extLst xmlns:a="http://schemas.openxmlformats.org/drawingml/2006/main">
                <a:ext uri="{FF2B5EF4-FFF2-40B4-BE49-F238E27FC236}">
                  <a16:creationId xmlns:a16="http://schemas.microsoft.com/office/drawing/2014/main" id="{AE72804B-3ACA-4D47-AACA-2E1BC2EE08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4B19377" w14:textId="223D07A6" w:rsidR="007A4499" w:rsidRPr="0091541B" w:rsidRDefault="006423D2" w:rsidP="006423D2">
      <w:pPr>
        <w:pStyle w:val="Caption"/>
        <w:rPr>
          <w:i w:val="0"/>
          <w:iCs w:val="0"/>
          <w:lang w:val="sr-Cyrl-RS"/>
        </w:rPr>
      </w:pPr>
      <w:bookmarkStart w:id="59" w:name="_Toc57665339"/>
      <w:r w:rsidRPr="0091541B">
        <w:rPr>
          <w:i w:val="0"/>
          <w:iCs w:val="0"/>
          <w:lang w:val="sr-Cyrl-RS"/>
        </w:rPr>
        <w:t xml:space="preserve">Графикон </w:t>
      </w:r>
      <w:r w:rsidRPr="0091541B">
        <w:rPr>
          <w:i w:val="0"/>
          <w:iCs w:val="0"/>
          <w:lang w:val="sr-Cyrl-RS"/>
        </w:rPr>
        <w:fldChar w:fldCharType="begin"/>
      </w:r>
      <w:r w:rsidRPr="0091541B">
        <w:rPr>
          <w:i w:val="0"/>
          <w:iCs w:val="0"/>
          <w:lang w:val="sr-Cyrl-RS"/>
        </w:rPr>
        <w:instrText xml:space="preserve"> SEQ Графикон \* ARABIC </w:instrText>
      </w:r>
      <w:r w:rsidRPr="0091541B">
        <w:rPr>
          <w:i w:val="0"/>
          <w:iCs w:val="0"/>
          <w:lang w:val="sr-Cyrl-RS"/>
        </w:rPr>
        <w:fldChar w:fldCharType="separate"/>
      </w:r>
      <w:r w:rsidR="00BB48C1">
        <w:rPr>
          <w:i w:val="0"/>
          <w:iCs w:val="0"/>
          <w:noProof/>
          <w:lang w:val="sr-Cyrl-RS"/>
        </w:rPr>
        <w:t>3</w:t>
      </w:r>
      <w:r w:rsidRPr="0091541B">
        <w:rPr>
          <w:i w:val="0"/>
          <w:iCs w:val="0"/>
          <w:lang w:val="sr-Cyrl-RS"/>
        </w:rPr>
        <w:fldChar w:fldCharType="end"/>
      </w:r>
      <w:r w:rsidR="0091541B">
        <w:rPr>
          <w:i w:val="0"/>
          <w:iCs w:val="0"/>
          <w:lang w:val="sr-Cyrl-RS"/>
        </w:rPr>
        <w:t xml:space="preserve"> </w:t>
      </w:r>
      <w:r w:rsidRPr="0091541B">
        <w:rPr>
          <w:i w:val="0"/>
          <w:iCs w:val="0"/>
          <w:lang w:val="sr-Cyrl-RS"/>
        </w:rPr>
        <w:t xml:space="preserve">Однос необезбеђених средстава из буџета </w:t>
      </w:r>
      <w:r w:rsidR="00DD5A48">
        <w:rPr>
          <w:i w:val="0"/>
          <w:iCs w:val="0"/>
          <w:lang w:val="sr-Cyrl-RS"/>
        </w:rPr>
        <w:t>и донаторске подршке</w:t>
      </w:r>
      <w:bookmarkEnd w:id="59"/>
    </w:p>
    <w:tbl>
      <w:tblPr>
        <w:tblStyle w:val="PlainTable31"/>
        <w:tblW w:w="0" w:type="auto"/>
        <w:tblLook w:val="0680" w:firstRow="0" w:lastRow="0" w:firstColumn="1" w:lastColumn="0" w:noHBand="1" w:noVBand="1"/>
      </w:tblPr>
      <w:tblGrid>
        <w:gridCol w:w="2694"/>
        <w:gridCol w:w="1834"/>
      </w:tblGrid>
      <w:tr w:rsidR="0020383F" w:rsidRPr="000F0299" w14:paraId="65FF718B" w14:textId="77777777" w:rsidTr="00F4089D">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2D4A792" w14:textId="6E09F028" w:rsidR="0020383F" w:rsidRPr="000F0299" w:rsidRDefault="0020383F" w:rsidP="0020383F">
            <w:pPr>
              <w:spacing w:before="0" w:after="0"/>
              <w:rPr>
                <w:b w:val="0"/>
                <w:bCs w:val="0"/>
              </w:rPr>
            </w:pPr>
            <w:r w:rsidRPr="000F0299">
              <w:rPr>
                <w:b w:val="0"/>
                <w:bCs w:val="0"/>
                <w:caps w:val="0"/>
              </w:rPr>
              <w:t>Буџет РС</w:t>
            </w:r>
          </w:p>
        </w:tc>
        <w:tc>
          <w:tcPr>
            <w:tcW w:w="1834" w:type="dxa"/>
            <w:noWrap/>
            <w:hideMark/>
          </w:tcPr>
          <w:p w14:paraId="632D9023" w14:textId="612314DA" w:rsidR="0020383F" w:rsidRPr="000F0299" w:rsidRDefault="0020383F" w:rsidP="00BB3335">
            <w:pPr>
              <w:spacing w:before="0" w:after="0"/>
              <w:jc w:val="right"/>
              <w:cnfStyle w:val="000000000000" w:firstRow="0" w:lastRow="0" w:firstColumn="0" w:lastColumn="0" w:oddVBand="0" w:evenVBand="0" w:oddHBand="0" w:evenHBand="0" w:firstRowFirstColumn="0" w:firstRowLastColumn="0" w:lastRowFirstColumn="0" w:lastRowLastColumn="0"/>
            </w:pPr>
            <w:r w:rsidRPr="0022708A">
              <w:t>962,222.91</w:t>
            </w:r>
          </w:p>
        </w:tc>
      </w:tr>
      <w:tr w:rsidR="0020383F" w:rsidRPr="000F0299" w14:paraId="3EA8CEB5" w14:textId="77777777" w:rsidTr="00F4089D">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3B3D1BE" w14:textId="50E790D9" w:rsidR="0020383F" w:rsidRPr="000F0299" w:rsidRDefault="0020383F" w:rsidP="0020383F">
            <w:pPr>
              <w:spacing w:before="0" w:after="0"/>
              <w:rPr>
                <w:b w:val="0"/>
                <w:bCs w:val="0"/>
              </w:rPr>
            </w:pPr>
            <w:r>
              <w:rPr>
                <w:b w:val="0"/>
                <w:bCs w:val="0"/>
                <w:caps w:val="0"/>
              </w:rPr>
              <w:t>Донаторска</w:t>
            </w:r>
            <w:r w:rsidRPr="000F0299">
              <w:rPr>
                <w:b w:val="0"/>
                <w:bCs w:val="0"/>
                <w:caps w:val="0"/>
              </w:rPr>
              <w:t xml:space="preserve"> подршка</w:t>
            </w:r>
          </w:p>
        </w:tc>
        <w:tc>
          <w:tcPr>
            <w:tcW w:w="1834" w:type="dxa"/>
            <w:noWrap/>
            <w:hideMark/>
          </w:tcPr>
          <w:p w14:paraId="74821D3E" w14:textId="070EC0B3" w:rsidR="0020383F" w:rsidRPr="000F0299" w:rsidRDefault="0020383F" w:rsidP="00BB3335">
            <w:pPr>
              <w:spacing w:before="0" w:after="0"/>
              <w:jc w:val="right"/>
              <w:cnfStyle w:val="000000000000" w:firstRow="0" w:lastRow="0" w:firstColumn="0" w:lastColumn="0" w:oddVBand="0" w:evenVBand="0" w:oddHBand="0" w:evenHBand="0" w:firstRowFirstColumn="0" w:firstRowLastColumn="0" w:lastRowFirstColumn="0" w:lastRowLastColumn="0"/>
            </w:pPr>
            <w:r w:rsidRPr="0022708A">
              <w:t>9</w:t>
            </w:r>
            <w:r w:rsidR="00876FFE">
              <w:rPr>
                <w:lang w:val="en-GB"/>
              </w:rPr>
              <w:t>3</w:t>
            </w:r>
            <w:r w:rsidRPr="0022708A">
              <w:t>,</w:t>
            </w:r>
            <w:r w:rsidR="00876FFE">
              <w:rPr>
                <w:lang w:val="en-GB"/>
              </w:rPr>
              <w:t>1</w:t>
            </w:r>
            <w:r w:rsidRPr="0022708A">
              <w:t>07.67</w:t>
            </w:r>
          </w:p>
        </w:tc>
      </w:tr>
      <w:tr w:rsidR="0020383F" w:rsidRPr="000F0299" w14:paraId="5237B0CC" w14:textId="77777777" w:rsidTr="00F4089D">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D0EC0E8" w14:textId="145D54E7" w:rsidR="0020383F" w:rsidRPr="000F0299" w:rsidRDefault="0020383F" w:rsidP="0020383F">
            <w:pPr>
              <w:spacing w:before="0" w:after="0"/>
              <w:jc w:val="right"/>
            </w:pPr>
            <w:r>
              <w:rPr>
                <w:caps w:val="0"/>
              </w:rPr>
              <w:t>Укупно</w:t>
            </w:r>
          </w:p>
        </w:tc>
        <w:tc>
          <w:tcPr>
            <w:tcW w:w="1834" w:type="dxa"/>
            <w:noWrap/>
            <w:hideMark/>
          </w:tcPr>
          <w:p w14:paraId="6A0B653C" w14:textId="69515D56" w:rsidR="0020383F" w:rsidRPr="0020383F" w:rsidRDefault="0020383F" w:rsidP="00BB3335">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0383F">
              <w:rPr>
                <w:b/>
                <w:bCs/>
              </w:rPr>
              <w:t>1,05</w:t>
            </w:r>
            <w:r w:rsidR="00876FFE">
              <w:rPr>
                <w:b/>
                <w:bCs/>
                <w:lang w:val="en-GB"/>
              </w:rPr>
              <w:t>5</w:t>
            </w:r>
            <w:r w:rsidRPr="0020383F">
              <w:rPr>
                <w:b/>
                <w:bCs/>
              </w:rPr>
              <w:t>,</w:t>
            </w:r>
            <w:r w:rsidR="00876FFE">
              <w:rPr>
                <w:b/>
                <w:bCs/>
                <w:lang w:val="en-GB"/>
              </w:rPr>
              <w:t>3</w:t>
            </w:r>
            <w:r w:rsidRPr="0020383F">
              <w:rPr>
                <w:b/>
                <w:bCs/>
              </w:rPr>
              <w:t>30.58</w:t>
            </w:r>
          </w:p>
        </w:tc>
      </w:tr>
    </w:tbl>
    <w:p w14:paraId="626FB737" w14:textId="77777777" w:rsidR="00C93D29" w:rsidRPr="000F0299" w:rsidRDefault="00C93D29" w:rsidP="00C57B4C"/>
    <w:p w14:paraId="792174D8" w14:textId="3310C309" w:rsidR="00B46F2F" w:rsidRPr="000F0299" w:rsidRDefault="00B46F2F" w:rsidP="00C57B4C">
      <w:r w:rsidRPr="000F0299">
        <w:t>График</w:t>
      </w:r>
      <w:r w:rsidR="006C481F">
        <w:t>он 4</w:t>
      </w:r>
      <w:r w:rsidRPr="000F0299">
        <w:t xml:space="preserve"> приказује </w:t>
      </w:r>
      <w:r w:rsidR="00E94691" w:rsidRPr="00E94691">
        <w:t xml:space="preserve">однос између буџетских средстава и донаторске подршке у укупним процењеним трошковима (укључујући и обезбеђена/условно обезбеђена и необезбеђена средства) </w:t>
      </w:r>
    </w:p>
    <w:p w14:paraId="3BFBAC1D" w14:textId="5049B9AB" w:rsidR="006423D2" w:rsidRPr="000F0299" w:rsidRDefault="00C87E78" w:rsidP="006423D2">
      <w:pPr>
        <w:keepNext/>
      </w:pPr>
      <w:r>
        <w:rPr>
          <w:noProof/>
          <w:lang w:val="en-US" w:eastAsia="en-US" w:bidi="ar-SA"/>
        </w:rPr>
        <w:drawing>
          <wp:inline distT="0" distB="0" distL="0" distR="0" wp14:anchorId="3764B63B" wp14:editId="2DAFB87F">
            <wp:extent cx="4741333" cy="2743200"/>
            <wp:effectExtent l="0" t="0" r="2540" b="0"/>
            <wp:docPr id="404" name="Chart 404">
              <a:extLst xmlns:a="http://schemas.openxmlformats.org/drawingml/2006/main">
                <a:ext uri="{FF2B5EF4-FFF2-40B4-BE49-F238E27FC236}">
                  <a16:creationId xmlns:a16="http://schemas.microsoft.com/office/drawing/2014/main" id="{182A5F4E-1B69-463C-925C-C2AC36A6F7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E79CD9" w14:textId="5C77BE0F" w:rsidR="00B46F2F" w:rsidRPr="0091541B" w:rsidRDefault="006423D2" w:rsidP="006423D2">
      <w:pPr>
        <w:pStyle w:val="Caption"/>
        <w:rPr>
          <w:i w:val="0"/>
          <w:iCs w:val="0"/>
          <w:lang w:val="sr-Cyrl-RS"/>
        </w:rPr>
      </w:pPr>
      <w:bookmarkStart w:id="60" w:name="_Toc57665340"/>
      <w:r w:rsidRPr="0091541B">
        <w:rPr>
          <w:i w:val="0"/>
          <w:iCs w:val="0"/>
          <w:lang w:val="sr-Cyrl-RS"/>
        </w:rPr>
        <w:t xml:space="preserve">Графикон </w:t>
      </w:r>
      <w:r w:rsidRPr="0091541B">
        <w:rPr>
          <w:i w:val="0"/>
          <w:iCs w:val="0"/>
          <w:lang w:val="sr-Cyrl-RS"/>
        </w:rPr>
        <w:fldChar w:fldCharType="begin"/>
      </w:r>
      <w:r w:rsidRPr="0091541B">
        <w:rPr>
          <w:i w:val="0"/>
          <w:iCs w:val="0"/>
          <w:lang w:val="sr-Cyrl-RS"/>
        </w:rPr>
        <w:instrText xml:space="preserve"> SEQ Графикон \* ARABIC </w:instrText>
      </w:r>
      <w:r w:rsidRPr="0091541B">
        <w:rPr>
          <w:i w:val="0"/>
          <w:iCs w:val="0"/>
          <w:lang w:val="sr-Cyrl-RS"/>
        </w:rPr>
        <w:fldChar w:fldCharType="separate"/>
      </w:r>
      <w:r w:rsidR="00BB48C1">
        <w:rPr>
          <w:i w:val="0"/>
          <w:iCs w:val="0"/>
          <w:noProof/>
          <w:lang w:val="sr-Cyrl-RS"/>
        </w:rPr>
        <w:t>4</w:t>
      </w:r>
      <w:r w:rsidRPr="0091541B">
        <w:rPr>
          <w:i w:val="0"/>
          <w:iCs w:val="0"/>
          <w:lang w:val="sr-Cyrl-RS"/>
        </w:rPr>
        <w:fldChar w:fldCharType="end"/>
      </w:r>
      <w:r w:rsidRPr="0091541B">
        <w:rPr>
          <w:i w:val="0"/>
          <w:iCs w:val="0"/>
          <w:lang w:val="sr-Cyrl-RS"/>
        </w:rPr>
        <w:t xml:space="preserve"> </w:t>
      </w:r>
      <w:r w:rsidR="006632B6">
        <w:rPr>
          <w:i w:val="0"/>
          <w:iCs w:val="0"/>
          <w:lang w:val="en-GB"/>
        </w:rPr>
        <w:t>O</w:t>
      </w:r>
      <w:r w:rsidRPr="0091541B">
        <w:rPr>
          <w:i w:val="0"/>
          <w:iCs w:val="0"/>
          <w:lang w:val="sr-Cyrl-RS"/>
        </w:rPr>
        <w:t xml:space="preserve">днос буџетских средстава и </w:t>
      </w:r>
      <w:r w:rsidR="0020383F">
        <w:rPr>
          <w:i w:val="0"/>
          <w:iCs w:val="0"/>
          <w:lang w:val="sr-Cyrl-RS"/>
        </w:rPr>
        <w:t>донаторске</w:t>
      </w:r>
      <w:r w:rsidRPr="0091541B">
        <w:rPr>
          <w:i w:val="0"/>
          <w:iCs w:val="0"/>
          <w:lang w:val="sr-Cyrl-RS"/>
        </w:rPr>
        <w:t xml:space="preserve"> подршке</w:t>
      </w:r>
      <w:bookmarkEnd w:id="60"/>
    </w:p>
    <w:tbl>
      <w:tblPr>
        <w:tblStyle w:val="PlainTable31"/>
        <w:tblW w:w="0" w:type="auto"/>
        <w:tblLook w:val="0680" w:firstRow="0" w:lastRow="0" w:firstColumn="1" w:lastColumn="0" w:noHBand="1" w:noVBand="1"/>
      </w:tblPr>
      <w:tblGrid>
        <w:gridCol w:w="2694"/>
        <w:gridCol w:w="1834"/>
      </w:tblGrid>
      <w:tr w:rsidR="00610613" w:rsidRPr="000F0299" w14:paraId="782CF6E8" w14:textId="77777777" w:rsidTr="00C93D29">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774BC5F" w14:textId="0A76A573" w:rsidR="00610613" w:rsidRPr="000F0299" w:rsidRDefault="00610613" w:rsidP="00610613">
            <w:pPr>
              <w:spacing w:before="0" w:after="0"/>
              <w:rPr>
                <w:b w:val="0"/>
                <w:bCs w:val="0"/>
              </w:rPr>
            </w:pPr>
            <w:r w:rsidRPr="000F0299">
              <w:rPr>
                <w:b w:val="0"/>
                <w:bCs w:val="0"/>
                <w:caps w:val="0"/>
              </w:rPr>
              <w:t>Буџет РС</w:t>
            </w:r>
          </w:p>
        </w:tc>
        <w:tc>
          <w:tcPr>
            <w:tcW w:w="1834" w:type="dxa"/>
            <w:noWrap/>
            <w:hideMark/>
          </w:tcPr>
          <w:p w14:paraId="146B6C78" w14:textId="717F8F70" w:rsidR="00610613" w:rsidRPr="000F0299" w:rsidRDefault="00610613" w:rsidP="00610613">
            <w:pPr>
              <w:spacing w:before="0" w:after="0"/>
              <w:cnfStyle w:val="000000000000" w:firstRow="0" w:lastRow="0" w:firstColumn="0" w:lastColumn="0" w:oddVBand="0" w:evenVBand="0" w:oddHBand="0" w:evenHBand="0" w:firstRowFirstColumn="0" w:firstRowLastColumn="0" w:lastRowFirstColumn="0" w:lastRowLastColumn="0"/>
            </w:pPr>
            <w:r w:rsidRPr="00802321">
              <w:t>1,138,956.26</w:t>
            </w:r>
          </w:p>
        </w:tc>
      </w:tr>
      <w:tr w:rsidR="00610613" w:rsidRPr="000F0299" w14:paraId="67A36310" w14:textId="77777777" w:rsidTr="00C93D29">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0090EC6" w14:textId="46F38B85" w:rsidR="00610613" w:rsidRPr="000F0299" w:rsidRDefault="00610613" w:rsidP="00610613">
            <w:pPr>
              <w:spacing w:before="0" w:after="0"/>
              <w:rPr>
                <w:b w:val="0"/>
                <w:bCs w:val="0"/>
              </w:rPr>
            </w:pPr>
            <w:r>
              <w:rPr>
                <w:b w:val="0"/>
                <w:bCs w:val="0"/>
                <w:caps w:val="0"/>
              </w:rPr>
              <w:t>Донаторск</w:t>
            </w:r>
            <w:r w:rsidRPr="000F0299">
              <w:rPr>
                <w:b w:val="0"/>
                <w:bCs w:val="0"/>
                <w:caps w:val="0"/>
              </w:rPr>
              <w:t>а подршка</w:t>
            </w:r>
          </w:p>
        </w:tc>
        <w:tc>
          <w:tcPr>
            <w:tcW w:w="1834" w:type="dxa"/>
            <w:noWrap/>
            <w:hideMark/>
          </w:tcPr>
          <w:p w14:paraId="2688C2BC" w14:textId="5A70D6C0" w:rsidR="00610613" w:rsidRPr="000F0299" w:rsidRDefault="00610613" w:rsidP="00BB3335">
            <w:pPr>
              <w:spacing w:before="0" w:after="0"/>
              <w:jc w:val="right"/>
              <w:cnfStyle w:val="000000000000" w:firstRow="0" w:lastRow="0" w:firstColumn="0" w:lastColumn="0" w:oddVBand="0" w:evenVBand="0" w:oddHBand="0" w:evenHBand="0" w:firstRowFirstColumn="0" w:firstRowLastColumn="0" w:lastRowFirstColumn="0" w:lastRowLastColumn="0"/>
            </w:pPr>
            <w:r w:rsidRPr="00802321">
              <w:t>857,114.46</w:t>
            </w:r>
          </w:p>
        </w:tc>
      </w:tr>
      <w:tr w:rsidR="00610613" w:rsidRPr="00610613" w14:paraId="59A9859D" w14:textId="77777777" w:rsidTr="00C93D29">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21C4292" w14:textId="1D7B5B7F" w:rsidR="00610613" w:rsidRPr="000F0299" w:rsidRDefault="00610613" w:rsidP="00610613">
            <w:pPr>
              <w:spacing w:before="0" w:after="0"/>
              <w:jc w:val="right"/>
            </w:pPr>
            <w:r>
              <w:rPr>
                <w:caps w:val="0"/>
              </w:rPr>
              <w:t>Укупно</w:t>
            </w:r>
          </w:p>
        </w:tc>
        <w:tc>
          <w:tcPr>
            <w:tcW w:w="1834" w:type="dxa"/>
            <w:noWrap/>
            <w:hideMark/>
          </w:tcPr>
          <w:p w14:paraId="113281C8" w14:textId="235DC56A" w:rsidR="00610613" w:rsidRPr="00610613" w:rsidRDefault="00610613" w:rsidP="00610613">
            <w:pPr>
              <w:spacing w:before="0" w:after="0"/>
              <w:cnfStyle w:val="000000000000" w:firstRow="0" w:lastRow="0" w:firstColumn="0" w:lastColumn="0" w:oddVBand="0" w:evenVBand="0" w:oddHBand="0" w:evenHBand="0" w:firstRowFirstColumn="0" w:firstRowLastColumn="0" w:lastRowFirstColumn="0" w:lastRowLastColumn="0"/>
              <w:rPr>
                <w:b/>
                <w:bCs/>
              </w:rPr>
            </w:pPr>
            <w:r w:rsidRPr="00610613">
              <w:rPr>
                <w:b/>
                <w:bCs/>
              </w:rPr>
              <w:t>1,996,070.72</w:t>
            </w:r>
          </w:p>
        </w:tc>
      </w:tr>
    </w:tbl>
    <w:p w14:paraId="39095786" w14:textId="2516ECAA" w:rsidR="00B46F2F" w:rsidRPr="000F0299" w:rsidRDefault="00B46F2F" w:rsidP="006C481F">
      <w:pPr>
        <w:ind w:firstLine="0"/>
      </w:pPr>
    </w:p>
    <w:p w14:paraId="4A644DCA" w14:textId="6BFAFF3E" w:rsidR="00B902D9" w:rsidRPr="000F0299" w:rsidRDefault="00B902D9" w:rsidP="00B902D9">
      <w:r w:rsidRPr="000F0299">
        <w:t>График</w:t>
      </w:r>
      <w:r w:rsidR="0088671F">
        <w:t>он 5</w:t>
      </w:r>
      <w:r w:rsidRPr="000F0299">
        <w:t xml:space="preserve"> приказује </w:t>
      </w:r>
      <w:r w:rsidR="00CE604A">
        <w:t>процењене трошкове по</w:t>
      </w:r>
      <w:r w:rsidR="006E092F">
        <w:t xml:space="preserve"> посебни</w:t>
      </w:r>
      <w:r w:rsidR="00CE604A">
        <w:t>м</w:t>
      </w:r>
      <w:r w:rsidR="006E092F">
        <w:t xml:space="preserve"> циљев</w:t>
      </w:r>
      <w:r w:rsidR="00CE604A">
        <w:t>има</w:t>
      </w:r>
      <w:r w:rsidR="006E092F">
        <w:t xml:space="preserve"> АП Стратегије РЈУ</w:t>
      </w:r>
    </w:p>
    <w:p w14:paraId="050929E9" w14:textId="1EDB3E99" w:rsidR="00B902D9" w:rsidRPr="000F0299" w:rsidRDefault="00C87E78" w:rsidP="00B902D9">
      <w:pPr>
        <w:keepNext/>
      </w:pPr>
      <w:r>
        <w:rPr>
          <w:noProof/>
          <w:lang w:val="en-US" w:eastAsia="en-US" w:bidi="ar-SA"/>
        </w:rPr>
        <w:drawing>
          <wp:inline distT="0" distB="0" distL="0" distR="0" wp14:anchorId="5BFD4960" wp14:editId="1EF4C0E4">
            <wp:extent cx="4656667" cy="2743200"/>
            <wp:effectExtent l="0" t="0" r="0" b="0"/>
            <wp:docPr id="406" name="Chart 406">
              <a:extLst xmlns:a="http://schemas.openxmlformats.org/drawingml/2006/main">
                <a:ext uri="{FF2B5EF4-FFF2-40B4-BE49-F238E27FC236}">
                  <a16:creationId xmlns:a16="http://schemas.microsoft.com/office/drawing/2014/main" id="{3822DB90-0E05-4F20-BA33-C6A5EBAC4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B9975DC" w14:textId="322E4440" w:rsidR="00B902D9" w:rsidRPr="00B774F7" w:rsidRDefault="00574552" w:rsidP="006632B6">
      <w:pPr>
        <w:pStyle w:val="Caption"/>
        <w:rPr>
          <w:i w:val="0"/>
          <w:iCs w:val="0"/>
          <w:lang w:val="sr-Cyrl-RS"/>
        </w:rPr>
      </w:pPr>
      <w:bookmarkStart w:id="61" w:name="_Toc57665341"/>
      <w:r w:rsidRPr="00B774F7">
        <w:rPr>
          <w:i w:val="0"/>
          <w:iCs w:val="0"/>
          <w:lang w:val="sr-Cyrl-RS"/>
        </w:rPr>
        <w:t xml:space="preserve">Графикон </w:t>
      </w:r>
      <w:r w:rsidRPr="006632B6">
        <w:rPr>
          <w:i w:val="0"/>
          <w:iCs w:val="0"/>
        </w:rPr>
        <w:fldChar w:fldCharType="begin"/>
      </w:r>
      <w:r w:rsidRPr="00B774F7">
        <w:rPr>
          <w:i w:val="0"/>
          <w:iCs w:val="0"/>
          <w:lang w:val="sr-Cyrl-RS"/>
        </w:rPr>
        <w:instrText xml:space="preserve"> </w:instrText>
      </w:r>
      <w:r w:rsidRPr="006632B6">
        <w:rPr>
          <w:i w:val="0"/>
          <w:iCs w:val="0"/>
        </w:rPr>
        <w:instrText>SEQ</w:instrText>
      </w:r>
      <w:r w:rsidRPr="00B774F7">
        <w:rPr>
          <w:i w:val="0"/>
          <w:iCs w:val="0"/>
          <w:lang w:val="sr-Cyrl-RS"/>
        </w:rPr>
        <w:instrText xml:space="preserve"> Графикон \* </w:instrText>
      </w:r>
      <w:r w:rsidRPr="006632B6">
        <w:rPr>
          <w:i w:val="0"/>
          <w:iCs w:val="0"/>
        </w:rPr>
        <w:instrText>ARABIC</w:instrText>
      </w:r>
      <w:r w:rsidRPr="00B774F7">
        <w:rPr>
          <w:i w:val="0"/>
          <w:iCs w:val="0"/>
          <w:lang w:val="sr-Cyrl-RS"/>
        </w:rPr>
        <w:instrText xml:space="preserve"> </w:instrText>
      </w:r>
      <w:r w:rsidRPr="006632B6">
        <w:rPr>
          <w:i w:val="0"/>
          <w:iCs w:val="0"/>
        </w:rPr>
        <w:fldChar w:fldCharType="separate"/>
      </w:r>
      <w:r w:rsidR="00BB48C1" w:rsidRPr="004546E7">
        <w:rPr>
          <w:i w:val="0"/>
          <w:iCs w:val="0"/>
          <w:noProof/>
          <w:lang w:val="sr-Cyrl-RS"/>
        </w:rPr>
        <w:t>5</w:t>
      </w:r>
      <w:r w:rsidRPr="006632B6">
        <w:rPr>
          <w:i w:val="0"/>
          <w:iCs w:val="0"/>
        </w:rPr>
        <w:fldChar w:fldCharType="end"/>
      </w:r>
      <w:r w:rsidR="006632B6" w:rsidRPr="00B774F7">
        <w:rPr>
          <w:i w:val="0"/>
          <w:iCs w:val="0"/>
          <w:lang w:val="sr-Cyrl-RS"/>
        </w:rPr>
        <w:t xml:space="preserve"> Процењени трошкови по посебним циљевима</w:t>
      </w:r>
      <w:bookmarkEnd w:id="61"/>
    </w:p>
    <w:tbl>
      <w:tblPr>
        <w:tblStyle w:val="PlainTable31"/>
        <w:tblW w:w="0" w:type="auto"/>
        <w:tblLook w:val="0680" w:firstRow="0" w:lastRow="0" w:firstColumn="1" w:lastColumn="0" w:noHBand="1" w:noVBand="1"/>
      </w:tblPr>
      <w:tblGrid>
        <w:gridCol w:w="2448"/>
        <w:gridCol w:w="2151"/>
      </w:tblGrid>
      <w:tr w:rsidR="0020383F" w:rsidRPr="000F0299" w14:paraId="5003D172" w14:textId="77777777" w:rsidTr="004324A0">
        <w:trPr>
          <w:trHeight w:val="271"/>
        </w:trPr>
        <w:tc>
          <w:tcPr>
            <w:cnfStyle w:val="001000000000" w:firstRow="0" w:lastRow="0" w:firstColumn="1" w:lastColumn="0" w:oddVBand="0" w:evenVBand="0" w:oddHBand="0" w:evenHBand="0" w:firstRowFirstColumn="0" w:firstRowLastColumn="0" w:lastRowFirstColumn="0" w:lastRowLastColumn="0"/>
            <w:tcW w:w="2448" w:type="dxa"/>
            <w:noWrap/>
            <w:hideMark/>
          </w:tcPr>
          <w:p w14:paraId="3D6FC285" w14:textId="7C4D5916" w:rsidR="0020383F" w:rsidRPr="006632B6" w:rsidRDefault="0020383F" w:rsidP="0020383F">
            <w:pPr>
              <w:spacing w:before="0" w:after="0"/>
              <w:rPr>
                <w:b w:val="0"/>
                <w:bCs w:val="0"/>
              </w:rPr>
            </w:pPr>
            <w:bookmarkStart w:id="62" w:name="_Hlk57553699"/>
            <w:r w:rsidRPr="006632B6">
              <w:rPr>
                <w:b w:val="0"/>
                <w:bCs w:val="0"/>
                <w:caps w:val="0"/>
              </w:rPr>
              <w:t xml:space="preserve">Посебан циљ </w:t>
            </w:r>
            <w:r w:rsidRPr="006632B6">
              <w:rPr>
                <w:b w:val="0"/>
                <w:bCs w:val="0"/>
              </w:rPr>
              <w:t>2.1</w:t>
            </w:r>
          </w:p>
        </w:tc>
        <w:tc>
          <w:tcPr>
            <w:tcW w:w="2151" w:type="dxa"/>
            <w:noWrap/>
            <w:hideMark/>
          </w:tcPr>
          <w:p w14:paraId="03863DF7" w14:textId="3741045A" w:rsidR="0020383F" w:rsidRPr="000F0299" w:rsidRDefault="0020383F" w:rsidP="00BB3335">
            <w:pPr>
              <w:spacing w:before="0" w:after="0"/>
              <w:jc w:val="right"/>
              <w:cnfStyle w:val="000000000000" w:firstRow="0" w:lastRow="0" w:firstColumn="0" w:lastColumn="0" w:oddVBand="0" w:evenVBand="0" w:oddHBand="0" w:evenHBand="0" w:firstRowFirstColumn="0" w:firstRowLastColumn="0" w:lastRowFirstColumn="0" w:lastRowLastColumn="0"/>
            </w:pPr>
            <w:r w:rsidRPr="0051473E">
              <w:t xml:space="preserve"> 73,871.39 </w:t>
            </w:r>
          </w:p>
        </w:tc>
      </w:tr>
      <w:tr w:rsidR="0020383F" w:rsidRPr="000F0299" w14:paraId="270C14CA" w14:textId="77777777" w:rsidTr="004324A0">
        <w:trPr>
          <w:trHeight w:val="271"/>
        </w:trPr>
        <w:tc>
          <w:tcPr>
            <w:cnfStyle w:val="001000000000" w:firstRow="0" w:lastRow="0" w:firstColumn="1" w:lastColumn="0" w:oddVBand="0" w:evenVBand="0" w:oddHBand="0" w:evenHBand="0" w:firstRowFirstColumn="0" w:firstRowLastColumn="0" w:lastRowFirstColumn="0" w:lastRowLastColumn="0"/>
            <w:tcW w:w="2448" w:type="dxa"/>
            <w:noWrap/>
          </w:tcPr>
          <w:p w14:paraId="35A46F6F" w14:textId="36C4B706" w:rsidR="0020383F" w:rsidRPr="006632B6" w:rsidRDefault="0020383F" w:rsidP="0020383F">
            <w:pPr>
              <w:spacing w:before="0" w:after="0"/>
              <w:rPr>
                <w:b w:val="0"/>
                <w:bCs w:val="0"/>
                <w:caps w:val="0"/>
              </w:rPr>
            </w:pPr>
            <w:r>
              <w:rPr>
                <w:b w:val="0"/>
                <w:bCs w:val="0"/>
                <w:caps w:val="0"/>
              </w:rPr>
              <w:t>П</w:t>
            </w:r>
            <w:r w:rsidRPr="006632B6">
              <w:rPr>
                <w:b w:val="0"/>
                <w:bCs w:val="0"/>
                <w:caps w:val="0"/>
              </w:rPr>
              <w:t xml:space="preserve">осебан циљ </w:t>
            </w:r>
            <w:r w:rsidRPr="006632B6">
              <w:rPr>
                <w:b w:val="0"/>
                <w:bCs w:val="0"/>
              </w:rPr>
              <w:t>2.2</w:t>
            </w:r>
          </w:p>
        </w:tc>
        <w:tc>
          <w:tcPr>
            <w:tcW w:w="2151" w:type="dxa"/>
            <w:noWrap/>
          </w:tcPr>
          <w:p w14:paraId="0053B9D0" w14:textId="39266A93" w:rsidR="0020383F" w:rsidRPr="00A55B0C" w:rsidRDefault="0020383F" w:rsidP="00BB3335">
            <w:pPr>
              <w:spacing w:before="0" w:after="0"/>
              <w:jc w:val="right"/>
              <w:cnfStyle w:val="000000000000" w:firstRow="0" w:lastRow="0" w:firstColumn="0" w:lastColumn="0" w:oddVBand="0" w:evenVBand="0" w:oddHBand="0" w:evenHBand="0" w:firstRowFirstColumn="0" w:firstRowLastColumn="0" w:lastRowFirstColumn="0" w:lastRowLastColumn="0"/>
            </w:pPr>
            <w:r w:rsidRPr="0051473E">
              <w:t xml:space="preserve"> 343,586.10 </w:t>
            </w:r>
          </w:p>
        </w:tc>
      </w:tr>
      <w:tr w:rsidR="0020383F" w:rsidRPr="000F0299" w14:paraId="33FE1FC8" w14:textId="77777777" w:rsidTr="004324A0">
        <w:trPr>
          <w:trHeight w:val="271"/>
        </w:trPr>
        <w:tc>
          <w:tcPr>
            <w:cnfStyle w:val="001000000000" w:firstRow="0" w:lastRow="0" w:firstColumn="1" w:lastColumn="0" w:oddVBand="0" w:evenVBand="0" w:oddHBand="0" w:evenHBand="0" w:firstRowFirstColumn="0" w:firstRowLastColumn="0" w:lastRowFirstColumn="0" w:lastRowLastColumn="0"/>
            <w:tcW w:w="2448" w:type="dxa"/>
            <w:noWrap/>
          </w:tcPr>
          <w:p w14:paraId="62CE983C" w14:textId="02ED4856" w:rsidR="0020383F" w:rsidRPr="006632B6" w:rsidRDefault="0020383F" w:rsidP="0020383F">
            <w:pPr>
              <w:spacing w:before="0" w:after="0"/>
              <w:rPr>
                <w:b w:val="0"/>
                <w:bCs w:val="0"/>
                <w:caps w:val="0"/>
              </w:rPr>
            </w:pPr>
            <w:r>
              <w:rPr>
                <w:b w:val="0"/>
                <w:bCs w:val="0"/>
                <w:caps w:val="0"/>
              </w:rPr>
              <w:t>П</w:t>
            </w:r>
            <w:r w:rsidRPr="006632B6">
              <w:rPr>
                <w:b w:val="0"/>
                <w:bCs w:val="0"/>
                <w:caps w:val="0"/>
              </w:rPr>
              <w:t>осебан циљ</w:t>
            </w:r>
            <w:r w:rsidRPr="006632B6">
              <w:rPr>
                <w:b w:val="0"/>
                <w:bCs w:val="0"/>
              </w:rPr>
              <w:t xml:space="preserve"> 2.3</w:t>
            </w:r>
          </w:p>
        </w:tc>
        <w:tc>
          <w:tcPr>
            <w:tcW w:w="2151" w:type="dxa"/>
            <w:noWrap/>
          </w:tcPr>
          <w:p w14:paraId="2AB31A21" w14:textId="7306908D" w:rsidR="0020383F" w:rsidRPr="00A55B0C" w:rsidRDefault="0020383F" w:rsidP="00BB3335">
            <w:pPr>
              <w:spacing w:before="0" w:after="0"/>
              <w:jc w:val="right"/>
              <w:cnfStyle w:val="000000000000" w:firstRow="0" w:lastRow="0" w:firstColumn="0" w:lastColumn="0" w:oddVBand="0" w:evenVBand="0" w:oddHBand="0" w:evenHBand="0" w:firstRowFirstColumn="0" w:firstRowLastColumn="0" w:lastRowFirstColumn="0" w:lastRowLastColumn="0"/>
            </w:pPr>
            <w:r w:rsidRPr="0051473E">
              <w:t xml:space="preserve"> 422,122.66 </w:t>
            </w:r>
          </w:p>
        </w:tc>
      </w:tr>
      <w:tr w:rsidR="0020383F" w:rsidRPr="000F0299" w14:paraId="3E5F57CD" w14:textId="77777777" w:rsidTr="004324A0">
        <w:trPr>
          <w:trHeight w:val="271"/>
        </w:trPr>
        <w:tc>
          <w:tcPr>
            <w:cnfStyle w:val="001000000000" w:firstRow="0" w:lastRow="0" w:firstColumn="1" w:lastColumn="0" w:oddVBand="0" w:evenVBand="0" w:oddHBand="0" w:evenHBand="0" w:firstRowFirstColumn="0" w:firstRowLastColumn="0" w:lastRowFirstColumn="0" w:lastRowLastColumn="0"/>
            <w:tcW w:w="2448" w:type="dxa"/>
            <w:noWrap/>
          </w:tcPr>
          <w:p w14:paraId="73CCB5EC" w14:textId="2E2F74AD" w:rsidR="0020383F" w:rsidRPr="006632B6" w:rsidRDefault="0020383F" w:rsidP="0020383F">
            <w:pPr>
              <w:spacing w:before="0" w:after="0"/>
              <w:rPr>
                <w:b w:val="0"/>
                <w:bCs w:val="0"/>
                <w:caps w:val="0"/>
              </w:rPr>
            </w:pPr>
            <w:r>
              <w:rPr>
                <w:b w:val="0"/>
                <w:bCs w:val="0"/>
                <w:caps w:val="0"/>
              </w:rPr>
              <w:t>П</w:t>
            </w:r>
            <w:r w:rsidRPr="006632B6">
              <w:rPr>
                <w:b w:val="0"/>
                <w:bCs w:val="0"/>
                <w:caps w:val="0"/>
              </w:rPr>
              <w:t xml:space="preserve">осебан циљ </w:t>
            </w:r>
            <w:r w:rsidRPr="006632B6">
              <w:rPr>
                <w:b w:val="0"/>
                <w:bCs w:val="0"/>
              </w:rPr>
              <w:t>3.1</w:t>
            </w:r>
          </w:p>
        </w:tc>
        <w:tc>
          <w:tcPr>
            <w:tcW w:w="2151" w:type="dxa"/>
            <w:noWrap/>
          </w:tcPr>
          <w:p w14:paraId="0F6C0743" w14:textId="1C457DEF" w:rsidR="0020383F" w:rsidRPr="00A55B0C" w:rsidRDefault="0020383F" w:rsidP="00BB3335">
            <w:pPr>
              <w:spacing w:before="0" w:after="0"/>
              <w:jc w:val="right"/>
              <w:cnfStyle w:val="000000000000" w:firstRow="0" w:lastRow="0" w:firstColumn="0" w:lastColumn="0" w:oddVBand="0" w:evenVBand="0" w:oddHBand="0" w:evenHBand="0" w:firstRowFirstColumn="0" w:firstRowLastColumn="0" w:lastRowFirstColumn="0" w:lastRowLastColumn="0"/>
            </w:pPr>
            <w:r w:rsidRPr="0051473E">
              <w:t xml:space="preserve"> 814,095.72 </w:t>
            </w:r>
          </w:p>
        </w:tc>
      </w:tr>
      <w:tr w:rsidR="0020383F" w:rsidRPr="000F0299" w14:paraId="4282CD7F" w14:textId="77777777" w:rsidTr="004324A0">
        <w:trPr>
          <w:trHeight w:val="271"/>
        </w:trPr>
        <w:tc>
          <w:tcPr>
            <w:cnfStyle w:val="001000000000" w:firstRow="0" w:lastRow="0" w:firstColumn="1" w:lastColumn="0" w:oddVBand="0" w:evenVBand="0" w:oddHBand="0" w:evenHBand="0" w:firstRowFirstColumn="0" w:firstRowLastColumn="0" w:lastRowFirstColumn="0" w:lastRowLastColumn="0"/>
            <w:tcW w:w="2448" w:type="dxa"/>
            <w:noWrap/>
          </w:tcPr>
          <w:p w14:paraId="12DC2C64" w14:textId="358C0D59" w:rsidR="0020383F" w:rsidRPr="006632B6" w:rsidRDefault="0020383F" w:rsidP="0020383F">
            <w:pPr>
              <w:spacing w:before="0" w:after="0"/>
              <w:rPr>
                <w:b w:val="0"/>
                <w:bCs w:val="0"/>
                <w:caps w:val="0"/>
              </w:rPr>
            </w:pPr>
            <w:r>
              <w:rPr>
                <w:b w:val="0"/>
                <w:bCs w:val="0"/>
                <w:caps w:val="0"/>
              </w:rPr>
              <w:t>П</w:t>
            </w:r>
            <w:r w:rsidRPr="006632B6">
              <w:rPr>
                <w:b w:val="0"/>
                <w:bCs w:val="0"/>
                <w:caps w:val="0"/>
              </w:rPr>
              <w:t xml:space="preserve">осебан циљ </w:t>
            </w:r>
            <w:r w:rsidRPr="006632B6">
              <w:rPr>
                <w:b w:val="0"/>
                <w:bCs w:val="0"/>
              </w:rPr>
              <w:t>4.1</w:t>
            </w:r>
          </w:p>
        </w:tc>
        <w:tc>
          <w:tcPr>
            <w:tcW w:w="2151" w:type="dxa"/>
            <w:noWrap/>
          </w:tcPr>
          <w:p w14:paraId="239FBF83" w14:textId="76F3DD6B" w:rsidR="0020383F" w:rsidRPr="00A55B0C" w:rsidRDefault="0020383F" w:rsidP="00BB3335">
            <w:pPr>
              <w:spacing w:before="0" w:after="0"/>
              <w:jc w:val="right"/>
              <w:cnfStyle w:val="000000000000" w:firstRow="0" w:lastRow="0" w:firstColumn="0" w:lastColumn="0" w:oddVBand="0" w:evenVBand="0" w:oddHBand="0" w:evenHBand="0" w:firstRowFirstColumn="0" w:firstRowLastColumn="0" w:lastRowFirstColumn="0" w:lastRowLastColumn="0"/>
            </w:pPr>
            <w:r w:rsidRPr="0051473E">
              <w:t xml:space="preserve"> 181,694.81 </w:t>
            </w:r>
          </w:p>
        </w:tc>
      </w:tr>
      <w:tr w:rsidR="0020383F" w:rsidRPr="000F0299" w14:paraId="2B5F4CB1" w14:textId="77777777" w:rsidTr="004324A0">
        <w:trPr>
          <w:trHeight w:val="271"/>
        </w:trPr>
        <w:tc>
          <w:tcPr>
            <w:cnfStyle w:val="001000000000" w:firstRow="0" w:lastRow="0" w:firstColumn="1" w:lastColumn="0" w:oddVBand="0" w:evenVBand="0" w:oddHBand="0" w:evenHBand="0" w:firstRowFirstColumn="0" w:firstRowLastColumn="0" w:lastRowFirstColumn="0" w:lastRowLastColumn="0"/>
            <w:tcW w:w="2448" w:type="dxa"/>
            <w:noWrap/>
            <w:hideMark/>
          </w:tcPr>
          <w:p w14:paraId="3D86DC67" w14:textId="5BF3C1CF" w:rsidR="0020383F" w:rsidRPr="000F0299" w:rsidRDefault="0020383F" w:rsidP="0020383F">
            <w:pPr>
              <w:spacing w:before="0" w:after="0"/>
              <w:rPr>
                <w:b w:val="0"/>
                <w:bCs w:val="0"/>
              </w:rPr>
            </w:pPr>
            <w:r>
              <w:rPr>
                <w:b w:val="0"/>
                <w:bCs w:val="0"/>
                <w:caps w:val="0"/>
              </w:rPr>
              <w:t>О</w:t>
            </w:r>
            <w:r w:rsidRPr="004324A0">
              <w:rPr>
                <w:b w:val="0"/>
                <w:bCs w:val="0"/>
                <w:caps w:val="0"/>
              </w:rPr>
              <w:t>перативни план</w:t>
            </w:r>
          </w:p>
        </w:tc>
        <w:tc>
          <w:tcPr>
            <w:tcW w:w="2151" w:type="dxa"/>
            <w:noWrap/>
            <w:hideMark/>
          </w:tcPr>
          <w:p w14:paraId="79C23B06" w14:textId="1742CCB0" w:rsidR="0020383F" w:rsidRPr="000F0299" w:rsidRDefault="0020383F" w:rsidP="00BB3335">
            <w:pPr>
              <w:spacing w:before="0" w:after="0"/>
              <w:jc w:val="right"/>
              <w:cnfStyle w:val="000000000000" w:firstRow="0" w:lastRow="0" w:firstColumn="0" w:lastColumn="0" w:oddVBand="0" w:evenVBand="0" w:oddHBand="0" w:evenHBand="0" w:firstRowFirstColumn="0" w:firstRowLastColumn="0" w:lastRowFirstColumn="0" w:lastRowLastColumn="0"/>
            </w:pPr>
            <w:r w:rsidRPr="0051473E">
              <w:t xml:space="preserve"> 160,700.05 </w:t>
            </w:r>
          </w:p>
        </w:tc>
      </w:tr>
      <w:tr w:rsidR="0020383F" w:rsidRPr="000F0299" w14:paraId="113688E4" w14:textId="77777777" w:rsidTr="004324A0">
        <w:trPr>
          <w:trHeight w:val="271"/>
        </w:trPr>
        <w:tc>
          <w:tcPr>
            <w:cnfStyle w:val="001000000000" w:firstRow="0" w:lastRow="0" w:firstColumn="1" w:lastColumn="0" w:oddVBand="0" w:evenVBand="0" w:oddHBand="0" w:evenHBand="0" w:firstRowFirstColumn="0" w:firstRowLastColumn="0" w:lastRowFirstColumn="0" w:lastRowLastColumn="0"/>
            <w:tcW w:w="2448" w:type="dxa"/>
            <w:noWrap/>
            <w:hideMark/>
          </w:tcPr>
          <w:p w14:paraId="020DF15B" w14:textId="77777777" w:rsidR="0020383F" w:rsidRPr="000F0299" w:rsidRDefault="0020383F" w:rsidP="0020383F">
            <w:pPr>
              <w:spacing w:before="0" w:after="0"/>
              <w:jc w:val="right"/>
            </w:pPr>
            <w:r>
              <w:rPr>
                <w:caps w:val="0"/>
              </w:rPr>
              <w:t>Укупно</w:t>
            </w:r>
          </w:p>
        </w:tc>
        <w:tc>
          <w:tcPr>
            <w:tcW w:w="2151" w:type="dxa"/>
            <w:noWrap/>
            <w:hideMark/>
          </w:tcPr>
          <w:p w14:paraId="6BF0D55F" w14:textId="0FAFCA58" w:rsidR="0020383F" w:rsidRPr="0020383F" w:rsidRDefault="0020383F" w:rsidP="00BB3335">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0383F">
              <w:rPr>
                <w:b/>
                <w:bCs/>
              </w:rPr>
              <w:t xml:space="preserve"> 1,996,070.72 </w:t>
            </w:r>
          </w:p>
        </w:tc>
      </w:tr>
      <w:bookmarkEnd w:id="62"/>
    </w:tbl>
    <w:p w14:paraId="7A36A51F" w14:textId="77777777" w:rsidR="00B902D9" w:rsidRDefault="00B902D9" w:rsidP="00B902D9"/>
    <w:p w14:paraId="419ACA16" w14:textId="6E9976A0" w:rsidR="00CE604A" w:rsidRPr="000F0299" w:rsidRDefault="00CE604A" w:rsidP="00CE604A">
      <w:r w:rsidRPr="000F0299">
        <w:t>График</w:t>
      </w:r>
      <w:r w:rsidR="0088671F">
        <w:t>он 6</w:t>
      </w:r>
      <w:r w:rsidRPr="000F0299">
        <w:t xml:space="preserve"> приказује </w:t>
      </w:r>
      <w:r>
        <w:t>изворе финансирања посебних циљева АП Стратегије РЈУ</w:t>
      </w:r>
    </w:p>
    <w:p w14:paraId="6A478CA0" w14:textId="100436D1" w:rsidR="00CE604A" w:rsidRPr="000F0299" w:rsidRDefault="00C87E78" w:rsidP="00CE604A">
      <w:pPr>
        <w:keepNext/>
      </w:pPr>
      <w:r>
        <w:rPr>
          <w:noProof/>
          <w:lang w:val="en-US" w:eastAsia="en-US" w:bidi="ar-SA"/>
        </w:rPr>
        <w:drawing>
          <wp:inline distT="0" distB="0" distL="0" distR="0" wp14:anchorId="0CB7B41D" wp14:editId="3E3948C1">
            <wp:extent cx="5143500" cy="3028950"/>
            <wp:effectExtent l="0" t="0" r="0" b="0"/>
            <wp:docPr id="408" name="Chart 408">
              <a:extLst xmlns:a="http://schemas.openxmlformats.org/drawingml/2006/main">
                <a:ext uri="{FF2B5EF4-FFF2-40B4-BE49-F238E27FC236}">
                  <a16:creationId xmlns:a16="http://schemas.microsoft.com/office/drawing/2014/main" id="{80270C8F-2D73-4299-B13B-094DA6D08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5EABFC6" w14:textId="1B9982E5" w:rsidR="00CE604A" w:rsidRPr="0091541B" w:rsidRDefault="00CE604A" w:rsidP="00CE604A">
      <w:pPr>
        <w:pStyle w:val="Caption"/>
        <w:rPr>
          <w:i w:val="0"/>
          <w:iCs w:val="0"/>
          <w:lang w:val="sr-Cyrl-RS"/>
        </w:rPr>
      </w:pPr>
      <w:bookmarkStart w:id="63" w:name="_Toc57665342"/>
      <w:r w:rsidRPr="0091541B">
        <w:rPr>
          <w:i w:val="0"/>
          <w:iCs w:val="0"/>
          <w:lang w:val="sr-Cyrl-RS"/>
        </w:rPr>
        <w:t xml:space="preserve">Графикон </w:t>
      </w:r>
      <w:r w:rsidRPr="0091541B">
        <w:rPr>
          <w:i w:val="0"/>
          <w:iCs w:val="0"/>
          <w:lang w:val="sr-Cyrl-RS"/>
        </w:rPr>
        <w:fldChar w:fldCharType="begin"/>
      </w:r>
      <w:r w:rsidRPr="0091541B">
        <w:rPr>
          <w:i w:val="0"/>
          <w:iCs w:val="0"/>
          <w:lang w:val="sr-Cyrl-RS"/>
        </w:rPr>
        <w:instrText xml:space="preserve"> SEQ Графикон \* ARABIC </w:instrText>
      </w:r>
      <w:r w:rsidRPr="0091541B">
        <w:rPr>
          <w:i w:val="0"/>
          <w:iCs w:val="0"/>
          <w:lang w:val="sr-Cyrl-RS"/>
        </w:rPr>
        <w:fldChar w:fldCharType="separate"/>
      </w:r>
      <w:r w:rsidR="00BB48C1">
        <w:rPr>
          <w:i w:val="0"/>
          <w:iCs w:val="0"/>
          <w:noProof/>
          <w:lang w:val="sr-Cyrl-RS"/>
        </w:rPr>
        <w:t>6</w:t>
      </w:r>
      <w:r w:rsidRPr="0091541B">
        <w:rPr>
          <w:i w:val="0"/>
          <w:iCs w:val="0"/>
          <w:lang w:val="sr-Cyrl-RS"/>
        </w:rPr>
        <w:fldChar w:fldCharType="end"/>
      </w:r>
      <w:r w:rsidRPr="0091541B">
        <w:rPr>
          <w:i w:val="0"/>
          <w:iCs w:val="0"/>
          <w:lang w:val="sr-Cyrl-RS"/>
        </w:rPr>
        <w:t xml:space="preserve"> </w:t>
      </w:r>
      <w:r>
        <w:rPr>
          <w:i w:val="0"/>
          <w:iCs w:val="0"/>
          <w:lang w:val="sr-Cyrl-RS"/>
        </w:rPr>
        <w:t>Извор финансирања посебних циљева</w:t>
      </w:r>
      <w:bookmarkEnd w:id="63"/>
    </w:p>
    <w:tbl>
      <w:tblPr>
        <w:tblStyle w:val="PlainTable31"/>
        <w:tblW w:w="0" w:type="auto"/>
        <w:tblBorders>
          <w:insideV w:val="single" w:sz="4" w:space="0" w:color="auto"/>
        </w:tblBorders>
        <w:tblLook w:val="0680" w:firstRow="0" w:lastRow="0" w:firstColumn="1" w:lastColumn="0" w:noHBand="1" w:noVBand="1"/>
      </w:tblPr>
      <w:tblGrid>
        <w:gridCol w:w="2417"/>
        <w:gridCol w:w="1836"/>
        <w:gridCol w:w="3684"/>
      </w:tblGrid>
      <w:tr w:rsidR="004324A0" w:rsidRPr="000F0299" w14:paraId="31B6BE36" w14:textId="32B4F71D" w:rsidTr="006900B1">
        <w:trPr>
          <w:trHeight w:val="256"/>
        </w:trPr>
        <w:tc>
          <w:tcPr>
            <w:cnfStyle w:val="001000000000" w:firstRow="0" w:lastRow="0" w:firstColumn="1" w:lastColumn="0" w:oddVBand="0" w:evenVBand="0" w:oddHBand="0" w:evenHBand="0" w:firstRowFirstColumn="0" w:firstRowLastColumn="0" w:lastRowFirstColumn="0" w:lastRowLastColumn="0"/>
            <w:tcW w:w="2417" w:type="dxa"/>
            <w:tcBorders>
              <w:right w:val="none" w:sz="0" w:space="0" w:color="auto"/>
            </w:tcBorders>
            <w:noWrap/>
            <w:hideMark/>
          </w:tcPr>
          <w:p w14:paraId="29CBED1E" w14:textId="4F6252C9" w:rsidR="004324A0" w:rsidRPr="000F0299" w:rsidRDefault="004324A0" w:rsidP="004324A0">
            <w:pPr>
              <w:spacing w:before="0" w:after="0"/>
              <w:rPr>
                <w:b w:val="0"/>
                <w:bCs w:val="0"/>
              </w:rPr>
            </w:pPr>
          </w:p>
        </w:tc>
        <w:tc>
          <w:tcPr>
            <w:tcW w:w="1836" w:type="dxa"/>
            <w:noWrap/>
            <w:hideMark/>
          </w:tcPr>
          <w:p w14:paraId="0F5457BE" w14:textId="1227A796" w:rsidR="004324A0" w:rsidRPr="000F0299" w:rsidRDefault="004324A0" w:rsidP="00EE5DFF">
            <w:pPr>
              <w:spacing w:before="0" w:after="0"/>
              <w:jc w:val="center"/>
              <w:cnfStyle w:val="000000000000" w:firstRow="0" w:lastRow="0" w:firstColumn="0" w:lastColumn="0" w:oddVBand="0" w:evenVBand="0" w:oddHBand="0" w:evenHBand="0" w:firstRowFirstColumn="0" w:firstRowLastColumn="0" w:lastRowFirstColumn="0" w:lastRowLastColumn="0"/>
            </w:pPr>
            <w:r w:rsidRPr="00305A89">
              <w:t>Буџет РС</w:t>
            </w:r>
          </w:p>
        </w:tc>
        <w:tc>
          <w:tcPr>
            <w:tcW w:w="3684" w:type="dxa"/>
          </w:tcPr>
          <w:p w14:paraId="6378F4CA" w14:textId="4FEA8958" w:rsidR="004324A0" w:rsidRPr="00610613" w:rsidRDefault="004324A0" w:rsidP="00EE5DFF">
            <w:pPr>
              <w:spacing w:before="0" w:after="0"/>
              <w:ind w:firstLine="0"/>
              <w:jc w:val="center"/>
              <w:cnfStyle w:val="000000000000" w:firstRow="0" w:lastRow="0" w:firstColumn="0" w:lastColumn="0" w:oddVBand="0" w:evenVBand="0" w:oddHBand="0" w:evenHBand="0" w:firstRowFirstColumn="0" w:firstRowLastColumn="0" w:lastRowFirstColumn="0" w:lastRowLastColumn="0"/>
              <w:rPr>
                <w:lang w:val="en-GB"/>
              </w:rPr>
            </w:pPr>
            <w:r w:rsidRPr="00305A89">
              <w:t xml:space="preserve">Донаторска </w:t>
            </w:r>
            <w:r w:rsidR="006900B1">
              <w:t>подршка</w:t>
            </w:r>
          </w:p>
        </w:tc>
      </w:tr>
      <w:tr w:rsidR="00610613" w:rsidRPr="000F0299" w14:paraId="5E455887" w14:textId="77777777" w:rsidTr="006900B1">
        <w:trPr>
          <w:trHeight w:val="256"/>
        </w:trPr>
        <w:tc>
          <w:tcPr>
            <w:cnfStyle w:val="001000000000" w:firstRow="0" w:lastRow="0" w:firstColumn="1" w:lastColumn="0" w:oddVBand="0" w:evenVBand="0" w:oddHBand="0" w:evenHBand="0" w:firstRowFirstColumn="0" w:firstRowLastColumn="0" w:lastRowFirstColumn="0" w:lastRowLastColumn="0"/>
            <w:tcW w:w="2417" w:type="dxa"/>
            <w:tcBorders>
              <w:right w:val="none" w:sz="0" w:space="0" w:color="auto"/>
            </w:tcBorders>
            <w:noWrap/>
          </w:tcPr>
          <w:p w14:paraId="7D0C86E0" w14:textId="19905D28" w:rsidR="00610613" w:rsidRPr="000F0299" w:rsidRDefault="00610613" w:rsidP="00610613">
            <w:pPr>
              <w:spacing w:before="0" w:after="0"/>
              <w:rPr>
                <w:b w:val="0"/>
                <w:bCs w:val="0"/>
                <w:caps w:val="0"/>
              </w:rPr>
            </w:pPr>
            <w:r w:rsidRPr="006632B6">
              <w:rPr>
                <w:b w:val="0"/>
                <w:bCs w:val="0"/>
                <w:caps w:val="0"/>
              </w:rPr>
              <w:t xml:space="preserve">Посебан циљ </w:t>
            </w:r>
            <w:r w:rsidRPr="006632B6">
              <w:rPr>
                <w:b w:val="0"/>
                <w:bCs w:val="0"/>
              </w:rPr>
              <w:t>2.1</w:t>
            </w:r>
          </w:p>
        </w:tc>
        <w:tc>
          <w:tcPr>
            <w:tcW w:w="1836" w:type="dxa"/>
            <w:noWrap/>
          </w:tcPr>
          <w:p w14:paraId="649F293F" w14:textId="2E319208" w:rsidR="00610613" w:rsidRPr="00A55B0C"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pPr>
            <w:r w:rsidRPr="009C2F58">
              <w:t>3,330.25</w:t>
            </w:r>
          </w:p>
        </w:tc>
        <w:tc>
          <w:tcPr>
            <w:tcW w:w="3684" w:type="dxa"/>
          </w:tcPr>
          <w:p w14:paraId="48FE490D" w14:textId="4F7C9DAC" w:rsidR="00610613" w:rsidRPr="00A55B0C"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pPr>
            <w:r w:rsidRPr="009C2F58">
              <w:t>70,541.14</w:t>
            </w:r>
          </w:p>
        </w:tc>
      </w:tr>
      <w:tr w:rsidR="00610613" w:rsidRPr="000F0299" w14:paraId="5E39B78C" w14:textId="77777777" w:rsidTr="006900B1">
        <w:trPr>
          <w:trHeight w:val="256"/>
        </w:trPr>
        <w:tc>
          <w:tcPr>
            <w:cnfStyle w:val="001000000000" w:firstRow="0" w:lastRow="0" w:firstColumn="1" w:lastColumn="0" w:oddVBand="0" w:evenVBand="0" w:oddHBand="0" w:evenHBand="0" w:firstRowFirstColumn="0" w:firstRowLastColumn="0" w:lastRowFirstColumn="0" w:lastRowLastColumn="0"/>
            <w:tcW w:w="2417" w:type="dxa"/>
            <w:tcBorders>
              <w:right w:val="none" w:sz="0" w:space="0" w:color="auto"/>
            </w:tcBorders>
            <w:noWrap/>
          </w:tcPr>
          <w:p w14:paraId="4CF03B40" w14:textId="52528259" w:rsidR="00610613" w:rsidRPr="000F0299" w:rsidRDefault="00610613" w:rsidP="00610613">
            <w:pPr>
              <w:spacing w:before="0" w:after="0"/>
              <w:rPr>
                <w:b w:val="0"/>
                <w:bCs w:val="0"/>
                <w:caps w:val="0"/>
              </w:rPr>
            </w:pPr>
            <w:r>
              <w:rPr>
                <w:b w:val="0"/>
                <w:bCs w:val="0"/>
                <w:caps w:val="0"/>
              </w:rPr>
              <w:t>П</w:t>
            </w:r>
            <w:r w:rsidRPr="006632B6">
              <w:rPr>
                <w:b w:val="0"/>
                <w:bCs w:val="0"/>
                <w:caps w:val="0"/>
              </w:rPr>
              <w:t xml:space="preserve">осебан циљ </w:t>
            </w:r>
            <w:r w:rsidRPr="006632B6">
              <w:rPr>
                <w:b w:val="0"/>
                <w:bCs w:val="0"/>
              </w:rPr>
              <w:t>2.2</w:t>
            </w:r>
          </w:p>
        </w:tc>
        <w:tc>
          <w:tcPr>
            <w:tcW w:w="1836" w:type="dxa"/>
            <w:noWrap/>
          </w:tcPr>
          <w:p w14:paraId="371DF0CD" w14:textId="405C7E6B" w:rsidR="00610613" w:rsidRPr="00A55B0C"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pPr>
            <w:r w:rsidRPr="009C2F58">
              <w:t>215,004.00</w:t>
            </w:r>
          </w:p>
        </w:tc>
        <w:tc>
          <w:tcPr>
            <w:tcW w:w="3684" w:type="dxa"/>
          </w:tcPr>
          <w:p w14:paraId="12ABA731" w14:textId="11E29F46" w:rsidR="00610613" w:rsidRPr="00A55B0C"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pPr>
            <w:r w:rsidRPr="009C2F58">
              <w:t>128,582.10</w:t>
            </w:r>
          </w:p>
        </w:tc>
      </w:tr>
      <w:tr w:rsidR="00610613" w:rsidRPr="000F0299" w14:paraId="7BFC97C0" w14:textId="77777777" w:rsidTr="006900B1">
        <w:trPr>
          <w:trHeight w:val="256"/>
        </w:trPr>
        <w:tc>
          <w:tcPr>
            <w:cnfStyle w:val="001000000000" w:firstRow="0" w:lastRow="0" w:firstColumn="1" w:lastColumn="0" w:oddVBand="0" w:evenVBand="0" w:oddHBand="0" w:evenHBand="0" w:firstRowFirstColumn="0" w:firstRowLastColumn="0" w:lastRowFirstColumn="0" w:lastRowLastColumn="0"/>
            <w:tcW w:w="2417" w:type="dxa"/>
            <w:tcBorders>
              <w:right w:val="none" w:sz="0" w:space="0" w:color="auto"/>
            </w:tcBorders>
            <w:noWrap/>
          </w:tcPr>
          <w:p w14:paraId="078C4C0D" w14:textId="425F80BA" w:rsidR="00610613" w:rsidRPr="000F0299" w:rsidRDefault="00610613" w:rsidP="00610613">
            <w:pPr>
              <w:spacing w:before="0" w:after="0"/>
              <w:rPr>
                <w:b w:val="0"/>
                <w:bCs w:val="0"/>
                <w:caps w:val="0"/>
              </w:rPr>
            </w:pPr>
            <w:r>
              <w:rPr>
                <w:b w:val="0"/>
                <w:bCs w:val="0"/>
                <w:caps w:val="0"/>
              </w:rPr>
              <w:t>П</w:t>
            </w:r>
            <w:r w:rsidRPr="006632B6">
              <w:rPr>
                <w:b w:val="0"/>
                <w:bCs w:val="0"/>
                <w:caps w:val="0"/>
              </w:rPr>
              <w:t>осебан циљ</w:t>
            </w:r>
            <w:r w:rsidRPr="006632B6">
              <w:rPr>
                <w:b w:val="0"/>
                <w:bCs w:val="0"/>
              </w:rPr>
              <w:t xml:space="preserve"> 2.3</w:t>
            </w:r>
          </w:p>
        </w:tc>
        <w:tc>
          <w:tcPr>
            <w:tcW w:w="1836" w:type="dxa"/>
            <w:noWrap/>
          </w:tcPr>
          <w:p w14:paraId="2C4E52C2" w14:textId="6243F7F7" w:rsidR="00610613" w:rsidRPr="00A55B0C"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pPr>
            <w:r w:rsidRPr="009C2F58">
              <w:t>275,441.31</w:t>
            </w:r>
          </w:p>
        </w:tc>
        <w:tc>
          <w:tcPr>
            <w:tcW w:w="3684" w:type="dxa"/>
          </w:tcPr>
          <w:p w14:paraId="53C9B39E" w14:textId="024CD920" w:rsidR="00610613" w:rsidRPr="00A55B0C"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pPr>
            <w:r w:rsidRPr="009C2F58">
              <w:t>146,681.35</w:t>
            </w:r>
          </w:p>
        </w:tc>
      </w:tr>
      <w:tr w:rsidR="00610613" w:rsidRPr="000F0299" w14:paraId="5DB9486A" w14:textId="77777777" w:rsidTr="006900B1">
        <w:trPr>
          <w:trHeight w:val="256"/>
        </w:trPr>
        <w:tc>
          <w:tcPr>
            <w:cnfStyle w:val="001000000000" w:firstRow="0" w:lastRow="0" w:firstColumn="1" w:lastColumn="0" w:oddVBand="0" w:evenVBand="0" w:oddHBand="0" w:evenHBand="0" w:firstRowFirstColumn="0" w:firstRowLastColumn="0" w:lastRowFirstColumn="0" w:lastRowLastColumn="0"/>
            <w:tcW w:w="2417" w:type="dxa"/>
            <w:tcBorders>
              <w:right w:val="none" w:sz="0" w:space="0" w:color="auto"/>
            </w:tcBorders>
            <w:noWrap/>
          </w:tcPr>
          <w:p w14:paraId="17ADEBCA" w14:textId="64DA24BA" w:rsidR="00610613" w:rsidRPr="000F0299" w:rsidRDefault="00610613" w:rsidP="00610613">
            <w:pPr>
              <w:spacing w:before="0" w:after="0"/>
              <w:rPr>
                <w:b w:val="0"/>
                <w:bCs w:val="0"/>
                <w:caps w:val="0"/>
              </w:rPr>
            </w:pPr>
            <w:r>
              <w:rPr>
                <w:b w:val="0"/>
                <w:bCs w:val="0"/>
                <w:caps w:val="0"/>
              </w:rPr>
              <w:t>П</w:t>
            </w:r>
            <w:r w:rsidRPr="006632B6">
              <w:rPr>
                <w:b w:val="0"/>
                <w:bCs w:val="0"/>
                <w:caps w:val="0"/>
              </w:rPr>
              <w:t xml:space="preserve">осебан циљ </w:t>
            </w:r>
            <w:r w:rsidRPr="006632B6">
              <w:rPr>
                <w:b w:val="0"/>
                <w:bCs w:val="0"/>
              </w:rPr>
              <w:t>3.1</w:t>
            </w:r>
          </w:p>
        </w:tc>
        <w:tc>
          <w:tcPr>
            <w:tcW w:w="1836" w:type="dxa"/>
            <w:noWrap/>
          </w:tcPr>
          <w:p w14:paraId="063B4FC5" w14:textId="7CFEE207" w:rsidR="00610613" w:rsidRPr="00A55B0C"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pPr>
            <w:r w:rsidRPr="009C2F58">
              <w:t>445,100.77</w:t>
            </w:r>
          </w:p>
        </w:tc>
        <w:tc>
          <w:tcPr>
            <w:tcW w:w="3684" w:type="dxa"/>
          </w:tcPr>
          <w:p w14:paraId="2C6FF290" w14:textId="72926FE4" w:rsidR="00610613" w:rsidRPr="00A55B0C"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pPr>
            <w:r w:rsidRPr="009C2F58">
              <w:t>368,994.95</w:t>
            </w:r>
          </w:p>
        </w:tc>
      </w:tr>
      <w:tr w:rsidR="00610613" w:rsidRPr="000F0299" w14:paraId="702447F4" w14:textId="3253E0BF" w:rsidTr="006900B1">
        <w:trPr>
          <w:trHeight w:val="256"/>
        </w:trPr>
        <w:tc>
          <w:tcPr>
            <w:cnfStyle w:val="001000000000" w:firstRow="0" w:lastRow="0" w:firstColumn="1" w:lastColumn="0" w:oddVBand="0" w:evenVBand="0" w:oddHBand="0" w:evenHBand="0" w:firstRowFirstColumn="0" w:firstRowLastColumn="0" w:lastRowFirstColumn="0" w:lastRowLastColumn="0"/>
            <w:tcW w:w="2417" w:type="dxa"/>
            <w:tcBorders>
              <w:right w:val="none" w:sz="0" w:space="0" w:color="auto"/>
            </w:tcBorders>
            <w:noWrap/>
            <w:hideMark/>
          </w:tcPr>
          <w:p w14:paraId="4AABDB35" w14:textId="1FFAFB7F" w:rsidR="00610613" w:rsidRPr="000F0299" w:rsidRDefault="00610613" w:rsidP="00610613">
            <w:pPr>
              <w:spacing w:before="0" w:after="0"/>
              <w:rPr>
                <w:b w:val="0"/>
                <w:bCs w:val="0"/>
              </w:rPr>
            </w:pPr>
            <w:r>
              <w:rPr>
                <w:b w:val="0"/>
                <w:bCs w:val="0"/>
                <w:caps w:val="0"/>
              </w:rPr>
              <w:t>П</w:t>
            </w:r>
            <w:r w:rsidRPr="006632B6">
              <w:rPr>
                <w:b w:val="0"/>
                <w:bCs w:val="0"/>
                <w:caps w:val="0"/>
              </w:rPr>
              <w:t xml:space="preserve">осебан циљ </w:t>
            </w:r>
            <w:r w:rsidRPr="006632B6">
              <w:rPr>
                <w:b w:val="0"/>
                <w:bCs w:val="0"/>
              </w:rPr>
              <w:t>4.1</w:t>
            </w:r>
          </w:p>
        </w:tc>
        <w:tc>
          <w:tcPr>
            <w:tcW w:w="1836" w:type="dxa"/>
            <w:noWrap/>
            <w:hideMark/>
          </w:tcPr>
          <w:p w14:paraId="3E0565EF" w14:textId="58F29F1B" w:rsidR="00610613" w:rsidRPr="000F0299"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pPr>
            <w:r w:rsidRPr="009C2F58">
              <w:t>148,684.76</w:t>
            </w:r>
          </w:p>
        </w:tc>
        <w:tc>
          <w:tcPr>
            <w:tcW w:w="3684" w:type="dxa"/>
          </w:tcPr>
          <w:p w14:paraId="56E1C06C" w14:textId="0859C34B" w:rsidR="00610613" w:rsidRPr="00A55B0C"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pPr>
            <w:r w:rsidRPr="009C2F58">
              <w:t>33,010.05</w:t>
            </w:r>
          </w:p>
        </w:tc>
      </w:tr>
      <w:tr w:rsidR="00610613" w:rsidRPr="000F0299" w14:paraId="103A5078" w14:textId="2D9FE28D" w:rsidTr="006900B1">
        <w:trPr>
          <w:trHeight w:val="256"/>
        </w:trPr>
        <w:tc>
          <w:tcPr>
            <w:cnfStyle w:val="001000000000" w:firstRow="0" w:lastRow="0" w:firstColumn="1" w:lastColumn="0" w:oddVBand="0" w:evenVBand="0" w:oddHBand="0" w:evenHBand="0" w:firstRowFirstColumn="0" w:firstRowLastColumn="0" w:lastRowFirstColumn="0" w:lastRowLastColumn="0"/>
            <w:tcW w:w="2417" w:type="dxa"/>
            <w:tcBorders>
              <w:right w:val="none" w:sz="0" w:space="0" w:color="auto"/>
            </w:tcBorders>
            <w:noWrap/>
            <w:hideMark/>
          </w:tcPr>
          <w:p w14:paraId="3AE95C71" w14:textId="57CE3A94" w:rsidR="00610613" w:rsidRPr="000F0299" w:rsidRDefault="00610613" w:rsidP="00610613">
            <w:pPr>
              <w:spacing w:before="0" w:after="0"/>
            </w:pPr>
            <w:r>
              <w:rPr>
                <w:b w:val="0"/>
                <w:bCs w:val="0"/>
                <w:caps w:val="0"/>
              </w:rPr>
              <w:t>О</w:t>
            </w:r>
            <w:r w:rsidRPr="004324A0">
              <w:rPr>
                <w:b w:val="0"/>
                <w:bCs w:val="0"/>
                <w:caps w:val="0"/>
              </w:rPr>
              <w:t>перативни план</w:t>
            </w:r>
          </w:p>
        </w:tc>
        <w:tc>
          <w:tcPr>
            <w:tcW w:w="1836" w:type="dxa"/>
            <w:noWrap/>
          </w:tcPr>
          <w:p w14:paraId="258C3E2F" w14:textId="4F5967FC" w:rsidR="00610613" w:rsidRPr="00E94691"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9C2F58">
              <w:t>51,395.17</w:t>
            </w:r>
          </w:p>
        </w:tc>
        <w:tc>
          <w:tcPr>
            <w:tcW w:w="3684" w:type="dxa"/>
          </w:tcPr>
          <w:p w14:paraId="69C3039A" w14:textId="27378D92" w:rsidR="00610613" w:rsidRPr="00E94691"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9C2F58">
              <w:t>109,304.88</w:t>
            </w:r>
          </w:p>
        </w:tc>
      </w:tr>
      <w:tr w:rsidR="00610613" w:rsidRPr="000F0299" w14:paraId="3EE76F1E" w14:textId="77777777" w:rsidTr="006900B1">
        <w:trPr>
          <w:trHeight w:val="256"/>
        </w:trPr>
        <w:tc>
          <w:tcPr>
            <w:cnfStyle w:val="001000000000" w:firstRow="0" w:lastRow="0" w:firstColumn="1" w:lastColumn="0" w:oddVBand="0" w:evenVBand="0" w:oddHBand="0" w:evenHBand="0" w:firstRowFirstColumn="0" w:firstRowLastColumn="0" w:lastRowFirstColumn="0" w:lastRowLastColumn="0"/>
            <w:tcW w:w="2417" w:type="dxa"/>
            <w:tcBorders>
              <w:right w:val="none" w:sz="0" w:space="0" w:color="auto"/>
            </w:tcBorders>
            <w:noWrap/>
          </w:tcPr>
          <w:p w14:paraId="675F0776" w14:textId="4F9E94BC" w:rsidR="00610613" w:rsidRDefault="00610613" w:rsidP="00610613">
            <w:pPr>
              <w:spacing w:before="0" w:after="0"/>
              <w:jc w:val="right"/>
              <w:rPr>
                <w:b w:val="0"/>
                <w:bCs w:val="0"/>
                <w:caps w:val="0"/>
              </w:rPr>
            </w:pPr>
            <w:r>
              <w:rPr>
                <w:caps w:val="0"/>
              </w:rPr>
              <w:t>Укупно</w:t>
            </w:r>
          </w:p>
        </w:tc>
        <w:tc>
          <w:tcPr>
            <w:tcW w:w="1836" w:type="dxa"/>
            <w:noWrap/>
          </w:tcPr>
          <w:p w14:paraId="43AE191A" w14:textId="1AEBC0C8" w:rsidR="00610613" w:rsidRPr="00610613"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10613">
              <w:rPr>
                <w:b/>
                <w:bCs/>
              </w:rPr>
              <w:t>1,138,956.26</w:t>
            </w:r>
          </w:p>
        </w:tc>
        <w:tc>
          <w:tcPr>
            <w:tcW w:w="3684" w:type="dxa"/>
          </w:tcPr>
          <w:p w14:paraId="0905CF1E" w14:textId="3FE59B29" w:rsidR="00610613" w:rsidRPr="00610613" w:rsidRDefault="00610613" w:rsidP="00EE5DFF">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10613">
              <w:rPr>
                <w:b/>
                <w:bCs/>
              </w:rPr>
              <w:t>857,114.46</w:t>
            </w:r>
          </w:p>
        </w:tc>
      </w:tr>
    </w:tbl>
    <w:p w14:paraId="4257CF05" w14:textId="77777777" w:rsidR="006900B1" w:rsidRDefault="006900B1" w:rsidP="00B902D9"/>
    <w:p w14:paraId="4EEA2E89" w14:textId="4A725C0E" w:rsidR="002E2802" w:rsidRPr="000F0299" w:rsidRDefault="002E2802" w:rsidP="002E2802">
      <w:r w:rsidRPr="000F0299">
        <w:t>График</w:t>
      </w:r>
      <w:r w:rsidR="0088671F">
        <w:t>он 7</w:t>
      </w:r>
      <w:r w:rsidRPr="000F0299">
        <w:t xml:space="preserve"> приказује </w:t>
      </w:r>
      <w:r>
        <w:t>обезбеђен</w:t>
      </w:r>
      <w:r w:rsidR="008C0483">
        <w:t>а</w:t>
      </w:r>
      <w:r w:rsidR="006C481F" w:rsidRPr="006C481F">
        <w:t>/условно обезбеђена средства по посебним циљевима и изворима</w:t>
      </w:r>
      <w:r>
        <w:t xml:space="preserve"> средства </w:t>
      </w:r>
    </w:p>
    <w:p w14:paraId="343FE1BB" w14:textId="77777777" w:rsidR="00154A8D" w:rsidRDefault="000B39E3" w:rsidP="002E2802">
      <w:pPr>
        <w:keepNext/>
      </w:pPr>
      <w:r>
        <w:rPr>
          <w:noProof/>
          <w:lang w:val="en-US" w:eastAsia="en-US" w:bidi="ar-SA"/>
        </w:rPr>
        <w:drawing>
          <wp:anchor distT="0" distB="0" distL="114300" distR="114300" simplePos="0" relativeHeight="252177920" behindDoc="0" locked="0" layoutInCell="1" allowOverlap="1" wp14:anchorId="09B5EFA0" wp14:editId="35AED576">
            <wp:simplePos x="1123950" y="895350"/>
            <wp:positionH relativeFrom="column">
              <wp:align>left</wp:align>
            </wp:positionH>
            <wp:positionV relativeFrom="paragraph">
              <wp:align>top</wp:align>
            </wp:positionV>
            <wp:extent cx="4904317" cy="2958040"/>
            <wp:effectExtent l="0" t="0" r="0" b="0"/>
            <wp:wrapSquare wrapText="bothSides"/>
            <wp:docPr id="389" name="Chart 389">
              <a:extLst xmlns:a="http://schemas.openxmlformats.org/drawingml/2006/main">
                <a:ext uri="{FF2B5EF4-FFF2-40B4-BE49-F238E27FC236}">
                  <a16:creationId xmlns:a16="http://schemas.microsoft.com/office/drawing/2014/main" id="{5BB43448-9934-4D1D-8A2E-1371CD1EC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1922C0F0" w14:textId="77777777" w:rsidR="00154A8D" w:rsidRPr="00154A8D" w:rsidRDefault="00154A8D" w:rsidP="00154A8D"/>
    <w:p w14:paraId="5DA4F90D" w14:textId="77777777" w:rsidR="00154A8D" w:rsidRPr="00154A8D" w:rsidRDefault="00154A8D" w:rsidP="00154A8D"/>
    <w:p w14:paraId="3DED030B" w14:textId="77777777" w:rsidR="00154A8D" w:rsidRPr="00154A8D" w:rsidRDefault="00154A8D" w:rsidP="00154A8D"/>
    <w:p w14:paraId="09082D31" w14:textId="1CF35412" w:rsidR="002E2802" w:rsidRPr="000F0299" w:rsidRDefault="00154A8D" w:rsidP="002E2802">
      <w:pPr>
        <w:keepNext/>
      </w:pPr>
      <w:r>
        <w:br w:type="textWrapping" w:clear="all"/>
      </w:r>
    </w:p>
    <w:p w14:paraId="1575BF47" w14:textId="23C30E29" w:rsidR="00A44A29" w:rsidRDefault="00A44A29" w:rsidP="00A44A29">
      <w:pPr>
        <w:pStyle w:val="Caption"/>
        <w:keepNext/>
        <w:rPr>
          <w:i w:val="0"/>
          <w:iCs w:val="0"/>
          <w:lang w:val="sr-Cyrl-RS"/>
        </w:rPr>
      </w:pPr>
      <w:bookmarkStart w:id="64" w:name="_Toc57665343"/>
      <w:r w:rsidRPr="00B774F7">
        <w:rPr>
          <w:i w:val="0"/>
          <w:iCs w:val="0"/>
          <w:lang w:val="sr-Cyrl-RS"/>
        </w:rPr>
        <w:t xml:space="preserve">Графикон </w:t>
      </w:r>
      <w:r w:rsidRPr="00A44A29">
        <w:rPr>
          <w:i w:val="0"/>
          <w:iCs w:val="0"/>
        </w:rPr>
        <w:fldChar w:fldCharType="begin"/>
      </w:r>
      <w:r w:rsidRPr="00B774F7">
        <w:rPr>
          <w:i w:val="0"/>
          <w:iCs w:val="0"/>
          <w:lang w:val="sr-Cyrl-RS"/>
        </w:rPr>
        <w:instrText xml:space="preserve"> </w:instrText>
      </w:r>
      <w:r w:rsidRPr="00A44A29">
        <w:rPr>
          <w:i w:val="0"/>
          <w:iCs w:val="0"/>
        </w:rPr>
        <w:instrText>SEQ</w:instrText>
      </w:r>
      <w:r w:rsidRPr="00B774F7">
        <w:rPr>
          <w:i w:val="0"/>
          <w:iCs w:val="0"/>
          <w:lang w:val="sr-Cyrl-RS"/>
        </w:rPr>
        <w:instrText xml:space="preserve"> Графикон \* </w:instrText>
      </w:r>
      <w:r w:rsidRPr="00A44A29">
        <w:rPr>
          <w:i w:val="0"/>
          <w:iCs w:val="0"/>
        </w:rPr>
        <w:instrText>ARABIC</w:instrText>
      </w:r>
      <w:r w:rsidRPr="00B774F7">
        <w:rPr>
          <w:i w:val="0"/>
          <w:iCs w:val="0"/>
          <w:lang w:val="sr-Cyrl-RS"/>
        </w:rPr>
        <w:instrText xml:space="preserve"> </w:instrText>
      </w:r>
      <w:r w:rsidRPr="00A44A29">
        <w:rPr>
          <w:i w:val="0"/>
          <w:iCs w:val="0"/>
        </w:rPr>
        <w:fldChar w:fldCharType="separate"/>
      </w:r>
      <w:r w:rsidR="00BB48C1" w:rsidRPr="004546E7">
        <w:rPr>
          <w:i w:val="0"/>
          <w:iCs w:val="0"/>
          <w:noProof/>
          <w:lang w:val="sr-Cyrl-RS"/>
        </w:rPr>
        <w:t>7</w:t>
      </w:r>
      <w:r w:rsidRPr="00A44A29">
        <w:rPr>
          <w:i w:val="0"/>
          <w:iCs w:val="0"/>
        </w:rPr>
        <w:fldChar w:fldCharType="end"/>
      </w:r>
      <w:r w:rsidRPr="00A44A29">
        <w:rPr>
          <w:i w:val="0"/>
          <w:iCs w:val="0"/>
          <w:lang w:val="sr-Cyrl-RS"/>
        </w:rPr>
        <w:t xml:space="preserve"> Обезбеђена средства по посебним циљева</w:t>
      </w:r>
      <w:bookmarkEnd w:id="64"/>
      <w:r w:rsidRPr="00A44A29">
        <w:rPr>
          <w:i w:val="0"/>
          <w:iCs w:val="0"/>
          <w:lang w:val="sr-Cyrl-RS"/>
        </w:rPr>
        <w:t xml:space="preserve"> </w:t>
      </w:r>
    </w:p>
    <w:p w14:paraId="22DFC956" w14:textId="77777777" w:rsidR="0020383F" w:rsidRPr="0020383F" w:rsidRDefault="0020383F" w:rsidP="0020383F"/>
    <w:tbl>
      <w:tblPr>
        <w:tblStyle w:val="PlainTable31"/>
        <w:tblpPr w:leftFromText="180" w:rightFromText="180" w:vertAnchor="text" w:tblpY="1"/>
        <w:tblOverlap w:val="never"/>
        <w:tblW w:w="0" w:type="auto"/>
        <w:tblBorders>
          <w:insideV w:val="single" w:sz="4" w:space="0" w:color="auto"/>
        </w:tblBorders>
        <w:tblLook w:val="0680" w:firstRow="0" w:lastRow="0" w:firstColumn="1" w:lastColumn="0" w:noHBand="1" w:noVBand="1"/>
      </w:tblPr>
      <w:tblGrid>
        <w:gridCol w:w="2417"/>
        <w:gridCol w:w="1836"/>
        <w:gridCol w:w="3684"/>
      </w:tblGrid>
      <w:tr w:rsidR="002E2802" w:rsidRPr="000F0299" w14:paraId="4643A57B" w14:textId="77777777" w:rsidTr="00154A8D">
        <w:trPr>
          <w:trHeight w:val="256"/>
        </w:trPr>
        <w:tc>
          <w:tcPr>
            <w:cnfStyle w:val="001000000000" w:firstRow="0" w:lastRow="0" w:firstColumn="1" w:lastColumn="0" w:oddVBand="0" w:evenVBand="0" w:oddHBand="0" w:evenHBand="0" w:firstRowFirstColumn="0" w:firstRowLastColumn="0" w:lastRowFirstColumn="0" w:lastRowLastColumn="0"/>
            <w:tcW w:w="2417" w:type="dxa"/>
            <w:noWrap/>
            <w:hideMark/>
          </w:tcPr>
          <w:p w14:paraId="1F3862DF" w14:textId="77777777" w:rsidR="002E2802" w:rsidRPr="000F0299" w:rsidRDefault="002E2802" w:rsidP="00154A8D">
            <w:pPr>
              <w:spacing w:before="0" w:after="0"/>
              <w:rPr>
                <w:b w:val="0"/>
                <w:bCs w:val="0"/>
              </w:rPr>
            </w:pPr>
          </w:p>
        </w:tc>
        <w:tc>
          <w:tcPr>
            <w:tcW w:w="1836" w:type="dxa"/>
            <w:noWrap/>
            <w:hideMark/>
          </w:tcPr>
          <w:p w14:paraId="5135CC0B" w14:textId="77777777" w:rsidR="002E2802" w:rsidRPr="000F0299" w:rsidRDefault="002E2802" w:rsidP="00154A8D">
            <w:pPr>
              <w:spacing w:before="0" w:after="0"/>
              <w:jc w:val="center"/>
              <w:cnfStyle w:val="000000000000" w:firstRow="0" w:lastRow="0" w:firstColumn="0" w:lastColumn="0" w:oddVBand="0" w:evenVBand="0" w:oddHBand="0" w:evenHBand="0" w:firstRowFirstColumn="0" w:firstRowLastColumn="0" w:lastRowFirstColumn="0" w:lastRowLastColumn="0"/>
            </w:pPr>
            <w:r w:rsidRPr="00305A89">
              <w:t>Буџет РС</w:t>
            </w:r>
          </w:p>
        </w:tc>
        <w:tc>
          <w:tcPr>
            <w:tcW w:w="3684" w:type="dxa"/>
          </w:tcPr>
          <w:p w14:paraId="17E1A355" w14:textId="77777777" w:rsidR="002E2802" w:rsidRPr="00A55B0C" w:rsidRDefault="002E2802" w:rsidP="00154A8D">
            <w:pPr>
              <w:spacing w:before="0" w:after="0"/>
              <w:ind w:firstLine="0"/>
              <w:jc w:val="center"/>
              <w:cnfStyle w:val="000000000000" w:firstRow="0" w:lastRow="0" w:firstColumn="0" w:lastColumn="0" w:oddVBand="0" w:evenVBand="0" w:oddHBand="0" w:evenHBand="0" w:firstRowFirstColumn="0" w:firstRowLastColumn="0" w:lastRowFirstColumn="0" w:lastRowLastColumn="0"/>
            </w:pPr>
            <w:r w:rsidRPr="00305A89">
              <w:t xml:space="preserve">Донаторска </w:t>
            </w:r>
            <w:r>
              <w:t>подршка</w:t>
            </w:r>
          </w:p>
        </w:tc>
      </w:tr>
      <w:tr w:rsidR="00B52320" w:rsidRPr="000F0299" w14:paraId="311084C4" w14:textId="77777777" w:rsidTr="00154A8D">
        <w:trPr>
          <w:trHeight w:val="256"/>
        </w:trPr>
        <w:tc>
          <w:tcPr>
            <w:cnfStyle w:val="001000000000" w:firstRow="0" w:lastRow="0" w:firstColumn="1" w:lastColumn="0" w:oddVBand="0" w:evenVBand="0" w:oddHBand="0" w:evenHBand="0" w:firstRowFirstColumn="0" w:firstRowLastColumn="0" w:lastRowFirstColumn="0" w:lastRowLastColumn="0"/>
            <w:tcW w:w="2417" w:type="dxa"/>
            <w:noWrap/>
          </w:tcPr>
          <w:p w14:paraId="2C3042F7" w14:textId="77777777" w:rsidR="00B52320" w:rsidRPr="000F0299" w:rsidRDefault="00B52320" w:rsidP="00154A8D">
            <w:pPr>
              <w:spacing w:before="0" w:after="0"/>
              <w:rPr>
                <w:b w:val="0"/>
                <w:bCs w:val="0"/>
                <w:caps w:val="0"/>
              </w:rPr>
            </w:pPr>
            <w:r w:rsidRPr="006632B6">
              <w:rPr>
                <w:b w:val="0"/>
                <w:bCs w:val="0"/>
                <w:caps w:val="0"/>
              </w:rPr>
              <w:t xml:space="preserve">Посебан циљ </w:t>
            </w:r>
            <w:r w:rsidRPr="006632B6">
              <w:rPr>
                <w:b w:val="0"/>
                <w:bCs w:val="0"/>
              </w:rPr>
              <w:t>2.1</w:t>
            </w:r>
          </w:p>
        </w:tc>
        <w:tc>
          <w:tcPr>
            <w:tcW w:w="1836" w:type="dxa"/>
            <w:noWrap/>
          </w:tcPr>
          <w:p w14:paraId="5285CB0E" w14:textId="26814893" w:rsidR="00B52320" w:rsidRPr="00A55B0C"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pPr>
            <w:r w:rsidRPr="008C33B3">
              <w:t>650.00</w:t>
            </w:r>
          </w:p>
        </w:tc>
        <w:tc>
          <w:tcPr>
            <w:tcW w:w="3684" w:type="dxa"/>
          </w:tcPr>
          <w:p w14:paraId="71CBC34E" w14:textId="094A4747" w:rsidR="00B52320" w:rsidRPr="00A55B0C"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pPr>
            <w:r w:rsidRPr="008C33B3">
              <w:t>33,452.30</w:t>
            </w:r>
          </w:p>
        </w:tc>
      </w:tr>
      <w:tr w:rsidR="00B52320" w:rsidRPr="000F0299" w14:paraId="0CF4FC31" w14:textId="77777777" w:rsidTr="00154A8D">
        <w:trPr>
          <w:trHeight w:val="256"/>
        </w:trPr>
        <w:tc>
          <w:tcPr>
            <w:cnfStyle w:val="001000000000" w:firstRow="0" w:lastRow="0" w:firstColumn="1" w:lastColumn="0" w:oddVBand="0" w:evenVBand="0" w:oddHBand="0" w:evenHBand="0" w:firstRowFirstColumn="0" w:firstRowLastColumn="0" w:lastRowFirstColumn="0" w:lastRowLastColumn="0"/>
            <w:tcW w:w="2417" w:type="dxa"/>
            <w:noWrap/>
          </w:tcPr>
          <w:p w14:paraId="61C22FBD" w14:textId="77777777" w:rsidR="00B52320" w:rsidRPr="000F0299" w:rsidRDefault="00B52320" w:rsidP="00154A8D">
            <w:pPr>
              <w:spacing w:before="0" w:after="0"/>
              <w:rPr>
                <w:b w:val="0"/>
                <w:bCs w:val="0"/>
                <w:caps w:val="0"/>
              </w:rPr>
            </w:pPr>
            <w:r>
              <w:rPr>
                <w:b w:val="0"/>
                <w:bCs w:val="0"/>
                <w:caps w:val="0"/>
              </w:rPr>
              <w:t>П</w:t>
            </w:r>
            <w:r w:rsidRPr="006632B6">
              <w:rPr>
                <w:b w:val="0"/>
                <w:bCs w:val="0"/>
                <w:caps w:val="0"/>
              </w:rPr>
              <w:t xml:space="preserve">осебан циљ </w:t>
            </w:r>
            <w:r w:rsidRPr="006632B6">
              <w:rPr>
                <w:b w:val="0"/>
                <w:bCs w:val="0"/>
              </w:rPr>
              <w:t>2.2</w:t>
            </w:r>
          </w:p>
        </w:tc>
        <w:tc>
          <w:tcPr>
            <w:tcW w:w="1836" w:type="dxa"/>
            <w:noWrap/>
          </w:tcPr>
          <w:p w14:paraId="71AE4C02" w14:textId="046F2049" w:rsidR="00B52320" w:rsidRPr="00A55B0C"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pPr>
            <w:r w:rsidRPr="008C33B3">
              <w:t>6,000.00</w:t>
            </w:r>
          </w:p>
        </w:tc>
        <w:tc>
          <w:tcPr>
            <w:tcW w:w="3684" w:type="dxa"/>
          </w:tcPr>
          <w:p w14:paraId="46A6ED93" w14:textId="6C82541B" w:rsidR="00B52320" w:rsidRPr="00A55B0C"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pPr>
            <w:r w:rsidRPr="008C33B3">
              <w:t>8</w:t>
            </w:r>
            <w:r w:rsidR="00EE5DFF">
              <w:rPr>
                <w:lang w:val="en-GB"/>
              </w:rPr>
              <w:t>2</w:t>
            </w:r>
            <w:r w:rsidRPr="008C33B3">
              <w:t>,</w:t>
            </w:r>
            <w:r w:rsidR="00EE5DFF">
              <w:rPr>
                <w:lang w:val="en-GB"/>
              </w:rPr>
              <w:t>2</w:t>
            </w:r>
            <w:r w:rsidRPr="008C33B3">
              <w:t>08.10</w:t>
            </w:r>
          </w:p>
        </w:tc>
      </w:tr>
      <w:tr w:rsidR="00B52320" w:rsidRPr="000F0299" w14:paraId="28196D0F" w14:textId="77777777" w:rsidTr="00154A8D">
        <w:trPr>
          <w:trHeight w:val="256"/>
        </w:trPr>
        <w:tc>
          <w:tcPr>
            <w:cnfStyle w:val="001000000000" w:firstRow="0" w:lastRow="0" w:firstColumn="1" w:lastColumn="0" w:oddVBand="0" w:evenVBand="0" w:oddHBand="0" w:evenHBand="0" w:firstRowFirstColumn="0" w:firstRowLastColumn="0" w:lastRowFirstColumn="0" w:lastRowLastColumn="0"/>
            <w:tcW w:w="2417" w:type="dxa"/>
            <w:noWrap/>
          </w:tcPr>
          <w:p w14:paraId="2D7BAAD6" w14:textId="77777777" w:rsidR="00B52320" w:rsidRPr="000F0299" w:rsidRDefault="00B52320" w:rsidP="00154A8D">
            <w:pPr>
              <w:spacing w:before="0" w:after="0"/>
              <w:rPr>
                <w:b w:val="0"/>
                <w:bCs w:val="0"/>
                <w:caps w:val="0"/>
              </w:rPr>
            </w:pPr>
            <w:r>
              <w:rPr>
                <w:b w:val="0"/>
                <w:bCs w:val="0"/>
                <w:caps w:val="0"/>
              </w:rPr>
              <w:t>П</w:t>
            </w:r>
            <w:r w:rsidRPr="006632B6">
              <w:rPr>
                <w:b w:val="0"/>
                <w:bCs w:val="0"/>
                <w:caps w:val="0"/>
              </w:rPr>
              <w:t>осебан циљ</w:t>
            </w:r>
            <w:r w:rsidRPr="006632B6">
              <w:rPr>
                <w:b w:val="0"/>
                <w:bCs w:val="0"/>
              </w:rPr>
              <w:t xml:space="preserve"> 2.3</w:t>
            </w:r>
          </w:p>
        </w:tc>
        <w:tc>
          <w:tcPr>
            <w:tcW w:w="1836" w:type="dxa"/>
            <w:noWrap/>
          </w:tcPr>
          <w:p w14:paraId="7C558EB5" w14:textId="08D14FAB" w:rsidR="00B52320" w:rsidRPr="00A55B0C"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pPr>
            <w:r w:rsidRPr="008C33B3">
              <w:t>13,730.66</w:t>
            </w:r>
          </w:p>
        </w:tc>
        <w:tc>
          <w:tcPr>
            <w:tcW w:w="3684" w:type="dxa"/>
          </w:tcPr>
          <w:p w14:paraId="7950B414" w14:textId="0D200C5A" w:rsidR="00B52320" w:rsidRPr="00A55B0C"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pPr>
            <w:r w:rsidRPr="008C33B3">
              <w:t>146,681.35</w:t>
            </w:r>
          </w:p>
        </w:tc>
      </w:tr>
      <w:tr w:rsidR="00B52320" w:rsidRPr="000F0299" w14:paraId="52D18AD7" w14:textId="77777777" w:rsidTr="00154A8D">
        <w:trPr>
          <w:trHeight w:val="256"/>
        </w:trPr>
        <w:tc>
          <w:tcPr>
            <w:cnfStyle w:val="001000000000" w:firstRow="0" w:lastRow="0" w:firstColumn="1" w:lastColumn="0" w:oddVBand="0" w:evenVBand="0" w:oddHBand="0" w:evenHBand="0" w:firstRowFirstColumn="0" w:firstRowLastColumn="0" w:lastRowFirstColumn="0" w:lastRowLastColumn="0"/>
            <w:tcW w:w="2417" w:type="dxa"/>
            <w:noWrap/>
          </w:tcPr>
          <w:p w14:paraId="7279B3C9" w14:textId="77777777" w:rsidR="00B52320" w:rsidRPr="000F0299" w:rsidRDefault="00B52320" w:rsidP="00154A8D">
            <w:pPr>
              <w:spacing w:before="0" w:after="0"/>
              <w:rPr>
                <w:b w:val="0"/>
                <w:bCs w:val="0"/>
                <w:caps w:val="0"/>
              </w:rPr>
            </w:pPr>
            <w:r>
              <w:rPr>
                <w:b w:val="0"/>
                <w:bCs w:val="0"/>
                <w:caps w:val="0"/>
              </w:rPr>
              <w:t>П</w:t>
            </w:r>
            <w:r w:rsidRPr="006632B6">
              <w:rPr>
                <w:b w:val="0"/>
                <w:bCs w:val="0"/>
                <w:caps w:val="0"/>
              </w:rPr>
              <w:t xml:space="preserve">осебан циљ </w:t>
            </w:r>
            <w:r w:rsidRPr="006632B6">
              <w:rPr>
                <w:b w:val="0"/>
                <w:bCs w:val="0"/>
              </w:rPr>
              <w:t>3.1</w:t>
            </w:r>
          </w:p>
        </w:tc>
        <w:tc>
          <w:tcPr>
            <w:tcW w:w="1836" w:type="dxa"/>
            <w:noWrap/>
          </w:tcPr>
          <w:p w14:paraId="41F30FF8" w14:textId="43181602" w:rsidR="00B52320" w:rsidRPr="00A55B0C"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pPr>
            <w:r w:rsidRPr="008C33B3">
              <w:t>120,000.00</w:t>
            </w:r>
          </w:p>
        </w:tc>
        <w:tc>
          <w:tcPr>
            <w:tcW w:w="3684" w:type="dxa"/>
          </w:tcPr>
          <w:p w14:paraId="24B870F1" w14:textId="42A640FF" w:rsidR="00B52320" w:rsidRPr="00A55B0C"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pPr>
            <w:r w:rsidRPr="008C33B3">
              <w:t>368,994.95</w:t>
            </w:r>
          </w:p>
        </w:tc>
      </w:tr>
      <w:tr w:rsidR="00B52320" w:rsidRPr="000F0299" w14:paraId="38F6ABC0" w14:textId="77777777" w:rsidTr="00154A8D">
        <w:trPr>
          <w:trHeight w:val="256"/>
        </w:trPr>
        <w:tc>
          <w:tcPr>
            <w:cnfStyle w:val="001000000000" w:firstRow="0" w:lastRow="0" w:firstColumn="1" w:lastColumn="0" w:oddVBand="0" w:evenVBand="0" w:oddHBand="0" w:evenHBand="0" w:firstRowFirstColumn="0" w:firstRowLastColumn="0" w:lastRowFirstColumn="0" w:lastRowLastColumn="0"/>
            <w:tcW w:w="2417" w:type="dxa"/>
            <w:noWrap/>
            <w:hideMark/>
          </w:tcPr>
          <w:p w14:paraId="4BC84A46" w14:textId="77777777" w:rsidR="00B52320" w:rsidRPr="000F0299" w:rsidRDefault="00B52320" w:rsidP="00154A8D">
            <w:pPr>
              <w:spacing w:before="0" w:after="0"/>
              <w:rPr>
                <w:b w:val="0"/>
                <w:bCs w:val="0"/>
              </w:rPr>
            </w:pPr>
            <w:r>
              <w:rPr>
                <w:b w:val="0"/>
                <w:bCs w:val="0"/>
                <w:caps w:val="0"/>
              </w:rPr>
              <w:t>П</w:t>
            </w:r>
            <w:r w:rsidRPr="006632B6">
              <w:rPr>
                <w:b w:val="0"/>
                <w:bCs w:val="0"/>
                <w:caps w:val="0"/>
              </w:rPr>
              <w:t xml:space="preserve">осебан циљ </w:t>
            </w:r>
            <w:r w:rsidRPr="006632B6">
              <w:rPr>
                <w:b w:val="0"/>
                <w:bCs w:val="0"/>
              </w:rPr>
              <w:t>4.1</w:t>
            </w:r>
          </w:p>
        </w:tc>
        <w:tc>
          <w:tcPr>
            <w:tcW w:w="1836" w:type="dxa"/>
            <w:noWrap/>
            <w:hideMark/>
          </w:tcPr>
          <w:p w14:paraId="5DD6360C" w14:textId="6019A96B" w:rsidR="00B52320" w:rsidRPr="000F0299"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pPr>
            <w:r w:rsidRPr="008C33B3">
              <w:t>0.00</w:t>
            </w:r>
          </w:p>
        </w:tc>
        <w:tc>
          <w:tcPr>
            <w:tcW w:w="3684" w:type="dxa"/>
          </w:tcPr>
          <w:p w14:paraId="7DE4434C" w14:textId="3BA6DC95" w:rsidR="00B52320" w:rsidRPr="00A55B0C"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pPr>
            <w:r w:rsidRPr="008C33B3">
              <w:t>23,365.22</w:t>
            </w:r>
          </w:p>
        </w:tc>
      </w:tr>
      <w:tr w:rsidR="00B52320" w:rsidRPr="000F0299" w14:paraId="7B3C09BF" w14:textId="77777777" w:rsidTr="00154A8D">
        <w:trPr>
          <w:trHeight w:val="256"/>
        </w:trPr>
        <w:tc>
          <w:tcPr>
            <w:cnfStyle w:val="001000000000" w:firstRow="0" w:lastRow="0" w:firstColumn="1" w:lastColumn="0" w:oddVBand="0" w:evenVBand="0" w:oddHBand="0" w:evenHBand="0" w:firstRowFirstColumn="0" w:firstRowLastColumn="0" w:lastRowFirstColumn="0" w:lastRowLastColumn="0"/>
            <w:tcW w:w="2417" w:type="dxa"/>
            <w:noWrap/>
            <w:hideMark/>
          </w:tcPr>
          <w:p w14:paraId="6A27C960" w14:textId="77777777" w:rsidR="00B52320" w:rsidRPr="000F0299" w:rsidRDefault="00B52320" w:rsidP="00154A8D">
            <w:pPr>
              <w:spacing w:before="0" w:after="0"/>
            </w:pPr>
            <w:r>
              <w:rPr>
                <w:b w:val="0"/>
                <w:bCs w:val="0"/>
                <w:caps w:val="0"/>
              </w:rPr>
              <w:t>О</w:t>
            </w:r>
            <w:r w:rsidRPr="004324A0">
              <w:rPr>
                <w:b w:val="0"/>
                <w:bCs w:val="0"/>
                <w:caps w:val="0"/>
              </w:rPr>
              <w:t>перативни план</w:t>
            </w:r>
          </w:p>
        </w:tc>
        <w:tc>
          <w:tcPr>
            <w:tcW w:w="1836" w:type="dxa"/>
            <w:noWrap/>
          </w:tcPr>
          <w:p w14:paraId="136565E8" w14:textId="591EDBE3" w:rsidR="00B52320" w:rsidRPr="00E94691"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8C33B3">
              <w:t>36,352.69</w:t>
            </w:r>
          </w:p>
        </w:tc>
        <w:tc>
          <w:tcPr>
            <w:tcW w:w="3684" w:type="dxa"/>
          </w:tcPr>
          <w:p w14:paraId="34033CB0" w14:textId="17498C02" w:rsidR="00B52320" w:rsidRPr="00E94691"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8C33B3">
              <w:t>109,304.88</w:t>
            </w:r>
          </w:p>
        </w:tc>
      </w:tr>
      <w:tr w:rsidR="00B52320" w:rsidRPr="000F0299" w14:paraId="749B17C2" w14:textId="77777777" w:rsidTr="00154A8D">
        <w:trPr>
          <w:trHeight w:val="256"/>
        </w:trPr>
        <w:tc>
          <w:tcPr>
            <w:cnfStyle w:val="001000000000" w:firstRow="0" w:lastRow="0" w:firstColumn="1" w:lastColumn="0" w:oddVBand="0" w:evenVBand="0" w:oddHBand="0" w:evenHBand="0" w:firstRowFirstColumn="0" w:firstRowLastColumn="0" w:lastRowFirstColumn="0" w:lastRowLastColumn="0"/>
            <w:tcW w:w="2417" w:type="dxa"/>
            <w:tcBorders>
              <w:right w:val="none" w:sz="0" w:space="0" w:color="auto"/>
            </w:tcBorders>
            <w:noWrap/>
          </w:tcPr>
          <w:p w14:paraId="494ECE1C" w14:textId="77777777" w:rsidR="00B52320" w:rsidRDefault="00B52320" w:rsidP="00154A8D">
            <w:pPr>
              <w:spacing w:before="0" w:after="0"/>
              <w:jc w:val="right"/>
              <w:rPr>
                <w:b w:val="0"/>
                <w:bCs w:val="0"/>
                <w:caps w:val="0"/>
              </w:rPr>
            </w:pPr>
            <w:r>
              <w:rPr>
                <w:caps w:val="0"/>
              </w:rPr>
              <w:t>Укупно</w:t>
            </w:r>
          </w:p>
        </w:tc>
        <w:tc>
          <w:tcPr>
            <w:tcW w:w="1836" w:type="dxa"/>
            <w:noWrap/>
          </w:tcPr>
          <w:p w14:paraId="6F45ED66" w14:textId="68F0A5A4" w:rsidR="00B52320" w:rsidRPr="0020383F"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0383F">
              <w:rPr>
                <w:b/>
                <w:bCs/>
              </w:rPr>
              <w:t>176,733.35</w:t>
            </w:r>
          </w:p>
        </w:tc>
        <w:tc>
          <w:tcPr>
            <w:tcW w:w="3684" w:type="dxa"/>
          </w:tcPr>
          <w:p w14:paraId="68B14B1A" w14:textId="2DA034A7" w:rsidR="00B52320" w:rsidRPr="0020383F" w:rsidRDefault="00B52320" w:rsidP="00154A8D">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0383F">
              <w:rPr>
                <w:b/>
                <w:bCs/>
              </w:rPr>
              <w:t>76</w:t>
            </w:r>
            <w:r w:rsidR="00EE5DFF">
              <w:rPr>
                <w:b/>
                <w:bCs/>
                <w:lang w:val="en-GB"/>
              </w:rPr>
              <w:t>4</w:t>
            </w:r>
            <w:r w:rsidRPr="0020383F">
              <w:rPr>
                <w:b/>
                <w:bCs/>
              </w:rPr>
              <w:t>,</w:t>
            </w:r>
            <w:r w:rsidR="00EE5DFF">
              <w:rPr>
                <w:b/>
                <w:bCs/>
                <w:lang w:val="en-GB"/>
              </w:rPr>
              <w:t>00</w:t>
            </w:r>
            <w:r w:rsidRPr="0020383F">
              <w:rPr>
                <w:b/>
                <w:bCs/>
              </w:rPr>
              <w:t>6.80</w:t>
            </w:r>
          </w:p>
        </w:tc>
      </w:tr>
    </w:tbl>
    <w:p w14:paraId="017D9168" w14:textId="77777777" w:rsidR="00154A8D" w:rsidRDefault="00154A8D" w:rsidP="0088671F">
      <w:pPr>
        <w:ind w:firstLine="0"/>
      </w:pPr>
    </w:p>
    <w:p w14:paraId="61999F80" w14:textId="6A77657E" w:rsidR="0088671F" w:rsidRDefault="00154A8D" w:rsidP="0088671F">
      <w:pPr>
        <w:ind w:firstLine="0"/>
      </w:pPr>
      <w:r>
        <w:br w:type="textWrapping" w:clear="all"/>
      </w:r>
    </w:p>
    <w:p w14:paraId="71A91588" w14:textId="0F948FED" w:rsidR="002E2802" w:rsidRPr="000F0299" w:rsidRDefault="002E2802" w:rsidP="002E2802">
      <w:r w:rsidRPr="000F0299">
        <w:t>График</w:t>
      </w:r>
      <w:r w:rsidR="0088671F">
        <w:t>он 8</w:t>
      </w:r>
      <w:r w:rsidRPr="000F0299">
        <w:t xml:space="preserve"> приказује </w:t>
      </w:r>
      <w:r w:rsidR="006C481F">
        <w:t>не</w:t>
      </w:r>
      <w:r>
        <w:t>обезбеђена средства по посебним циљева АП Стратегије РЈУ</w:t>
      </w:r>
    </w:p>
    <w:p w14:paraId="7EABFD49" w14:textId="1EE45711" w:rsidR="002E2802" w:rsidRPr="000F0299" w:rsidRDefault="00DB0212" w:rsidP="002E2802">
      <w:pPr>
        <w:keepNext/>
      </w:pPr>
      <w:r>
        <w:rPr>
          <w:noProof/>
          <w:lang w:val="en-US" w:eastAsia="en-US" w:bidi="ar-SA"/>
        </w:rPr>
        <w:drawing>
          <wp:inline distT="0" distB="0" distL="0" distR="0" wp14:anchorId="38ECFC38" wp14:editId="40FBA7F4">
            <wp:extent cx="5435599" cy="3137957"/>
            <wp:effectExtent l="0" t="0" r="0" b="5715"/>
            <wp:docPr id="397" name="Chart 397">
              <a:extLst xmlns:a="http://schemas.openxmlformats.org/drawingml/2006/main">
                <a:ext uri="{FF2B5EF4-FFF2-40B4-BE49-F238E27FC236}">
                  <a16:creationId xmlns:a16="http://schemas.microsoft.com/office/drawing/2014/main" id="{7CF7CAE9-A0D0-4AC2-B5E0-BFC49A5C6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25E0AA0" w14:textId="1117D335" w:rsidR="00A44A29" w:rsidRPr="00A44A29" w:rsidRDefault="00A44A29" w:rsidP="00A44A29">
      <w:pPr>
        <w:pStyle w:val="Caption"/>
        <w:rPr>
          <w:i w:val="0"/>
          <w:iCs w:val="0"/>
          <w:lang w:val="sr-Cyrl-RS"/>
        </w:rPr>
      </w:pPr>
      <w:bookmarkStart w:id="65" w:name="_Toc57665344"/>
      <w:r w:rsidRPr="00B774F7">
        <w:rPr>
          <w:i w:val="0"/>
          <w:iCs w:val="0"/>
          <w:lang w:val="sr-Cyrl-RS"/>
        </w:rPr>
        <w:t xml:space="preserve">Графикон </w:t>
      </w:r>
      <w:r w:rsidRPr="00A44A29">
        <w:rPr>
          <w:i w:val="0"/>
          <w:iCs w:val="0"/>
        </w:rPr>
        <w:fldChar w:fldCharType="begin"/>
      </w:r>
      <w:r w:rsidRPr="00B774F7">
        <w:rPr>
          <w:i w:val="0"/>
          <w:iCs w:val="0"/>
          <w:lang w:val="sr-Cyrl-RS"/>
        </w:rPr>
        <w:instrText xml:space="preserve"> </w:instrText>
      </w:r>
      <w:r w:rsidRPr="00A44A29">
        <w:rPr>
          <w:i w:val="0"/>
          <w:iCs w:val="0"/>
        </w:rPr>
        <w:instrText>SEQ</w:instrText>
      </w:r>
      <w:r w:rsidRPr="00B774F7">
        <w:rPr>
          <w:i w:val="0"/>
          <w:iCs w:val="0"/>
          <w:lang w:val="sr-Cyrl-RS"/>
        </w:rPr>
        <w:instrText xml:space="preserve"> Графикон \* </w:instrText>
      </w:r>
      <w:r w:rsidRPr="00A44A29">
        <w:rPr>
          <w:i w:val="0"/>
          <w:iCs w:val="0"/>
        </w:rPr>
        <w:instrText>ARABIC</w:instrText>
      </w:r>
      <w:r w:rsidRPr="00B774F7">
        <w:rPr>
          <w:i w:val="0"/>
          <w:iCs w:val="0"/>
          <w:lang w:val="sr-Cyrl-RS"/>
        </w:rPr>
        <w:instrText xml:space="preserve"> </w:instrText>
      </w:r>
      <w:r w:rsidRPr="00A44A29">
        <w:rPr>
          <w:i w:val="0"/>
          <w:iCs w:val="0"/>
        </w:rPr>
        <w:fldChar w:fldCharType="separate"/>
      </w:r>
      <w:r w:rsidR="00BB48C1" w:rsidRPr="004546E7">
        <w:rPr>
          <w:i w:val="0"/>
          <w:iCs w:val="0"/>
          <w:noProof/>
          <w:lang w:val="sr-Cyrl-RS"/>
        </w:rPr>
        <w:t>8</w:t>
      </w:r>
      <w:r w:rsidRPr="00A44A29">
        <w:rPr>
          <w:i w:val="0"/>
          <w:iCs w:val="0"/>
        </w:rPr>
        <w:fldChar w:fldCharType="end"/>
      </w:r>
      <w:r w:rsidRPr="00B774F7">
        <w:rPr>
          <w:i w:val="0"/>
          <w:iCs w:val="0"/>
          <w:lang w:val="sr-Cyrl-RS"/>
        </w:rPr>
        <w:t xml:space="preserve"> Необезбеђена средства по посебним циљев</w:t>
      </w:r>
      <w:r>
        <w:rPr>
          <w:i w:val="0"/>
          <w:iCs w:val="0"/>
          <w:lang w:val="sr-Cyrl-RS"/>
        </w:rPr>
        <w:t>има и изворима</w:t>
      </w:r>
      <w:bookmarkEnd w:id="65"/>
    </w:p>
    <w:tbl>
      <w:tblPr>
        <w:tblStyle w:val="PlainTable31"/>
        <w:tblW w:w="0" w:type="auto"/>
        <w:tblBorders>
          <w:insideV w:val="single" w:sz="4" w:space="0" w:color="auto"/>
        </w:tblBorders>
        <w:tblLook w:val="0680" w:firstRow="0" w:lastRow="0" w:firstColumn="1" w:lastColumn="0" w:noHBand="1" w:noVBand="1"/>
      </w:tblPr>
      <w:tblGrid>
        <w:gridCol w:w="2417"/>
        <w:gridCol w:w="1836"/>
        <w:gridCol w:w="3684"/>
      </w:tblGrid>
      <w:tr w:rsidR="002E2802" w:rsidRPr="000F0299" w14:paraId="457CB146" w14:textId="77777777" w:rsidTr="00952BF5">
        <w:trPr>
          <w:trHeight w:val="256"/>
        </w:trPr>
        <w:tc>
          <w:tcPr>
            <w:cnfStyle w:val="001000000000" w:firstRow="0" w:lastRow="0" w:firstColumn="1" w:lastColumn="0" w:oddVBand="0" w:evenVBand="0" w:oddHBand="0" w:evenHBand="0" w:firstRowFirstColumn="0" w:firstRowLastColumn="0" w:lastRowFirstColumn="0" w:lastRowLastColumn="0"/>
            <w:tcW w:w="2417" w:type="dxa"/>
            <w:noWrap/>
            <w:hideMark/>
          </w:tcPr>
          <w:p w14:paraId="31AC6732" w14:textId="77777777" w:rsidR="002E2802" w:rsidRPr="000F0299" w:rsidRDefault="002E2802" w:rsidP="00952BF5">
            <w:pPr>
              <w:spacing w:before="0" w:after="0"/>
              <w:rPr>
                <w:b w:val="0"/>
                <w:bCs w:val="0"/>
              </w:rPr>
            </w:pPr>
          </w:p>
        </w:tc>
        <w:tc>
          <w:tcPr>
            <w:tcW w:w="1836" w:type="dxa"/>
            <w:noWrap/>
            <w:hideMark/>
          </w:tcPr>
          <w:p w14:paraId="3DFFCA1F" w14:textId="77777777" w:rsidR="002E2802" w:rsidRPr="000F0299" w:rsidRDefault="002E2802" w:rsidP="00BC284C">
            <w:pPr>
              <w:spacing w:before="0" w:after="0"/>
              <w:jc w:val="center"/>
              <w:cnfStyle w:val="000000000000" w:firstRow="0" w:lastRow="0" w:firstColumn="0" w:lastColumn="0" w:oddVBand="0" w:evenVBand="0" w:oddHBand="0" w:evenHBand="0" w:firstRowFirstColumn="0" w:firstRowLastColumn="0" w:lastRowFirstColumn="0" w:lastRowLastColumn="0"/>
            </w:pPr>
            <w:r w:rsidRPr="00305A89">
              <w:t>Буџет РС</w:t>
            </w:r>
          </w:p>
        </w:tc>
        <w:tc>
          <w:tcPr>
            <w:tcW w:w="3684" w:type="dxa"/>
          </w:tcPr>
          <w:p w14:paraId="18F9E2C0" w14:textId="77777777" w:rsidR="002E2802" w:rsidRPr="00A55B0C" w:rsidRDefault="002E2802" w:rsidP="00BC284C">
            <w:pPr>
              <w:spacing w:before="0" w:after="0"/>
              <w:ind w:firstLine="0"/>
              <w:jc w:val="center"/>
              <w:cnfStyle w:val="000000000000" w:firstRow="0" w:lastRow="0" w:firstColumn="0" w:lastColumn="0" w:oddVBand="0" w:evenVBand="0" w:oddHBand="0" w:evenHBand="0" w:firstRowFirstColumn="0" w:firstRowLastColumn="0" w:lastRowFirstColumn="0" w:lastRowLastColumn="0"/>
            </w:pPr>
            <w:r w:rsidRPr="00305A89">
              <w:t xml:space="preserve">Донаторска </w:t>
            </w:r>
            <w:r>
              <w:t>подршка</w:t>
            </w:r>
          </w:p>
        </w:tc>
      </w:tr>
      <w:tr w:rsidR="00B52320" w:rsidRPr="000F0299" w14:paraId="50763204" w14:textId="77777777" w:rsidTr="00952BF5">
        <w:trPr>
          <w:trHeight w:val="256"/>
        </w:trPr>
        <w:tc>
          <w:tcPr>
            <w:cnfStyle w:val="001000000000" w:firstRow="0" w:lastRow="0" w:firstColumn="1" w:lastColumn="0" w:oddVBand="0" w:evenVBand="0" w:oddHBand="0" w:evenHBand="0" w:firstRowFirstColumn="0" w:firstRowLastColumn="0" w:lastRowFirstColumn="0" w:lastRowLastColumn="0"/>
            <w:tcW w:w="2417" w:type="dxa"/>
            <w:noWrap/>
          </w:tcPr>
          <w:p w14:paraId="5BA995E2" w14:textId="77777777" w:rsidR="00B52320" w:rsidRPr="000F0299" w:rsidRDefault="00B52320" w:rsidP="00B52320">
            <w:pPr>
              <w:spacing w:before="0" w:after="0"/>
              <w:rPr>
                <w:b w:val="0"/>
                <w:bCs w:val="0"/>
                <w:caps w:val="0"/>
              </w:rPr>
            </w:pPr>
            <w:r w:rsidRPr="006632B6">
              <w:rPr>
                <w:b w:val="0"/>
                <w:bCs w:val="0"/>
                <w:caps w:val="0"/>
              </w:rPr>
              <w:t xml:space="preserve">Посебан циљ </w:t>
            </w:r>
            <w:r w:rsidRPr="006632B6">
              <w:rPr>
                <w:b w:val="0"/>
                <w:bCs w:val="0"/>
              </w:rPr>
              <w:t>2.1</w:t>
            </w:r>
          </w:p>
        </w:tc>
        <w:tc>
          <w:tcPr>
            <w:tcW w:w="1836" w:type="dxa"/>
            <w:noWrap/>
          </w:tcPr>
          <w:p w14:paraId="13E7D592" w14:textId="5A2D55F2" w:rsidR="00B52320" w:rsidRPr="00A55B0C"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pPr>
            <w:r w:rsidRPr="00F00912">
              <w:t>2,680.25</w:t>
            </w:r>
          </w:p>
        </w:tc>
        <w:tc>
          <w:tcPr>
            <w:tcW w:w="3684" w:type="dxa"/>
          </w:tcPr>
          <w:p w14:paraId="3FF90D0B" w14:textId="78ECC0A9" w:rsidR="00B52320" w:rsidRPr="00A55B0C"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pPr>
            <w:r w:rsidRPr="00F00912">
              <w:t>37,088.84</w:t>
            </w:r>
          </w:p>
        </w:tc>
      </w:tr>
      <w:tr w:rsidR="00B52320" w:rsidRPr="000F0299" w14:paraId="1C4A40D5" w14:textId="77777777" w:rsidTr="00952BF5">
        <w:trPr>
          <w:trHeight w:val="256"/>
        </w:trPr>
        <w:tc>
          <w:tcPr>
            <w:cnfStyle w:val="001000000000" w:firstRow="0" w:lastRow="0" w:firstColumn="1" w:lastColumn="0" w:oddVBand="0" w:evenVBand="0" w:oddHBand="0" w:evenHBand="0" w:firstRowFirstColumn="0" w:firstRowLastColumn="0" w:lastRowFirstColumn="0" w:lastRowLastColumn="0"/>
            <w:tcW w:w="2417" w:type="dxa"/>
            <w:noWrap/>
          </w:tcPr>
          <w:p w14:paraId="6169A72E" w14:textId="77777777" w:rsidR="00B52320" w:rsidRPr="000F0299" w:rsidRDefault="00B52320" w:rsidP="00B52320">
            <w:pPr>
              <w:spacing w:before="0" w:after="0"/>
              <w:rPr>
                <w:b w:val="0"/>
                <w:bCs w:val="0"/>
                <w:caps w:val="0"/>
              </w:rPr>
            </w:pPr>
            <w:r>
              <w:rPr>
                <w:b w:val="0"/>
                <w:bCs w:val="0"/>
                <w:caps w:val="0"/>
              </w:rPr>
              <w:t>П</w:t>
            </w:r>
            <w:r w:rsidRPr="006632B6">
              <w:rPr>
                <w:b w:val="0"/>
                <w:bCs w:val="0"/>
                <w:caps w:val="0"/>
              </w:rPr>
              <w:t xml:space="preserve">осебан циљ </w:t>
            </w:r>
            <w:r w:rsidRPr="006632B6">
              <w:rPr>
                <w:b w:val="0"/>
                <w:bCs w:val="0"/>
              </w:rPr>
              <w:t>2.2</w:t>
            </w:r>
          </w:p>
        </w:tc>
        <w:tc>
          <w:tcPr>
            <w:tcW w:w="1836" w:type="dxa"/>
            <w:noWrap/>
          </w:tcPr>
          <w:p w14:paraId="2D3F86D9" w14:textId="245242EA" w:rsidR="00B52320" w:rsidRPr="00A55B0C"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pPr>
            <w:r w:rsidRPr="00F00912">
              <w:t>209,004.00</w:t>
            </w:r>
          </w:p>
        </w:tc>
        <w:tc>
          <w:tcPr>
            <w:tcW w:w="3684" w:type="dxa"/>
          </w:tcPr>
          <w:p w14:paraId="79250553" w14:textId="1082B18C" w:rsidR="00B52320" w:rsidRPr="00A55B0C"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pPr>
            <w:r w:rsidRPr="00F00912">
              <w:t>4</w:t>
            </w:r>
            <w:r w:rsidR="00BC284C">
              <w:rPr>
                <w:lang w:val="en-GB"/>
              </w:rPr>
              <w:t>6</w:t>
            </w:r>
            <w:r w:rsidRPr="00F00912">
              <w:t>,</w:t>
            </w:r>
            <w:r w:rsidR="00BC284C">
              <w:rPr>
                <w:lang w:val="en-GB"/>
              </w:rPr>
              <w:t>3</w:t>
            </w:r>
            <w:r w:rsidRPr="00F00912">
              <w:t>74.00</w:t>
            </w:r>
          </w:p>
        </w:tc>
      </w:tr>
      <w:tr w:rsidR="00B52320" w:rsidRPr="000F0299" w14:paraId="4BB96368" w14:textId="77777777" w:rsidTr="00952BF5">
        <w:trPr>
          <w:trHeight w:val="256"/>
        </w:trPr>
        <w:tc>
          <w:tcPr>
            <w:cnfStyle w:val="001000000000" w:firstRow="0" w:lastRow="0" w:firstColumn="1" w:lastColumn="0" w:oddVBand="0" w:evenVBand="0" w:oddHBand="0" w:evenHBand="0" w:firstRowFirstColumn="0" w:firstRowLastColumn="0" w:lastRowFirstColumn="0" w:lastRowLastColumn="0"/>
            <w:tcW w:w="2417" w:type="dxa"/>
            <w:noWrap/>
          </w:tcPr>
          <w:p w14:paraId="67A5F2A2" w14:textId="77777777" w:rsidR="00B52320" w:rsidRPr="000F0299" w:rsidRDefault="00B52320" w:rsidP="00B52320">
            <w:pPr>
              <w:spacing w:before="0" w:after="0"/>
              <w:rPr>
                <w:b w:val="0"/>
                <w:bCs w:val="0"/>
                <w:caps w:val="0"/>
              </w:rPr>
            </w:pPr>
            <w:r>
              <w:rPr>
                <w:b w:val="0"/>
                <w:bCs w:val="0"/>
                <w:caps w:val="0"/>
              </w:rPr>
              <w:t>П</w:t>
            </w:r>
            <w:r w:rsidRPr="006632B6">
              <w:rPr>
                <w:b w:val="0"/>
                <w:bCs w:val="0"/>
                <w:caps w:val="0"/>
              </w:rPr>
              <w:t>осебан циљ</w:t>
            </w:r>
            <w:r w:rsidRPr="006632B6">
              <w:rPr>
                <w:b w:val="0"/>
                <w:bCs w:val="0"/>
              </w:rPr>
              <w:t xml:space="preserve"> 2.3</w:t>
            </w:r>
          </w:p>
        </w:tc>
        <w:tc>
          <w:tcPr>
            <w:tcW w:w="1836" w:type="dxa"/>
            <w:noWrap/>
          </w:tcPr>
          <w:p w14:paraId="645A2716" w14:textId="6B6349DD" w:rsidR="00B52320" w:rsidRPr="00A55B0C"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pPr>
            <w:r w:rsidRPr="00F00912">
              <w:t>261,710.66</w:t>
            </w:r>
          </w:p>
        </w:tc>
        <w:tc>
          <w:tcPr>
            <w:tcW w:w="3684" w:type="dxa"/>
          </w:tcPr>
          <w:p w14:paraId="719A68F5" w14:textId="6387B9B2" w:rsidR="00B52320" w:rsidRPr="00A55B0C"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pPr>
            <w:r w:rsidRPr="00F00912">
              <w:t>0.00</w:t>
            </w:r>
          </w:p>
        </w:tc>
      </w:tr>
      <w:tr w:rsidR="00B52320" w:rsidRPr="000F0299" w14:paraId="72FB5E11" w14:textId="77777777" w:rsidTr="00952BF5">
        <w:trPr>
          <w:trHeight w:val="256"/>
        </w:trPr>
        <w:tc>
          <w:tcPr>
            <w:cnfStyle w:val="001000000000" w:firstRow="0" w:lastRow="0" w:firstColumn="1" w:lastColumn="0" w:oddVBand="0" w:evenVBand="0" w:oddHBand="0" w:evenHBand="0" w:firstRowFirstColumn="0" w:firstRowLastColumn="0" w:lastRowFirstColumn="0" w:lastRowLastColumn="0"/>
            <w:tcW w:w="2417" w:type="dxa"/>
            <w:noWrap/>
          </w:tcPr>
          <w:p w14:paraId="222775E8" w14:textId="77777777" w:rsidR="00B52320" w:rsidRPr="000F0299" w:rsidRDefault="00B52320" w:rsidP="00B52320">
            <w:pPr>
              <w:spacing w:before="0" w:after="0"/>
              <w:rPr>
                <w:b w:val="0"/>
                <w:bCs w:val="0"/>
                <w:caps w:val="0"/>
              </w:rPr>
            </w:pPr>
            <w:r>
              <w:rPr>
                <w:b w:val="0"/>
                <w:bCs w:val="0"/>
                <w:caps w:val="0"/>
              </w:rPr>
              <w:t>П</w:t>
            </w:r>
            <w:r w:rsidRPr="006632B6">
              <w:rPr>
                <w:b w:val="0"/>
                <w:bCs w:val="0"/>
                <w:caps w:val="0"/>
              </w:rPr>
              <w:t xml:space="preserve">осебан циљ </w:t>
            </w:r>
            <w:r w:rsidRPr="006632B6">
              <w:rPr>
                <w:b w:val="0"/>
                <w:bCs w:val="0"/>
              </w:rPr>
              <w:t>3.1</w:t>
            </w:r>
          </w:p>
        </w:tc>
        <w:tc>
          <w:tcPr>
            <w:tcW w:w="1836" w:type="dxa"/>
            <w:noWrap/>
          </w:tcPr>
          <w:p w14:paraId="5EE3190D" w14:textId="3A36CAFD" w:rsidR="00B52320" w:rsidRPr="00A55B0C"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pPr>
            <w:r w:rsidRPr="00F00912">
              <w:t>325,100.77</w:t>
            </w:r>
          </w:p>
        </w:tc>
        <w:tc>
          <w:tcPr>
            <w:tcW w:w="3684" w:type="dxa"/>
          </w:tcPr>
          <w:p w14:paraId="4944E469" w14:textId="61AABFD4" w:rsidR="00B52320" w:rsidRPr="00A55B0C"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pPr>
            <w:r w:rsidRPr="00F00912">
              <w:t>0.00</w:t>
            </w:r>
          </w:p>
        </w:tc>
      </w:tr>
      <w:tr w:rsidR="00B52320" w:rsidRPr="000F0299" w14:paraId="551ADFA7" w14:textId="77777777" w:rsidTr="00952BF5">
        <w:trPr>
          <w:trHeight w:val="256"/>
        </w:trPr>
        <w:tc>
          <w:tcPr>
            <w:cnfStyle w:val="001000000000" w:firstRow="0" w:lastRow="0" w:firstColumn="1" w:lastColumn="0" w:oddVBand="0" w:evenVBand="0" w:oddHBand="0" w:evenHBand="0" w:firstRowFirstColumn="0" w:firstRowLastColumn="0" w:lastRowFirstColumn="0" w:lastRowLastColumn="0"/>
            <w:tcW w:w="2417" w:type="dxa"/>
            <w:noWrap/>
            <w:hideMark/>
          </w:tcPr>
          <w:p w14:paraId="3054AEC8" w14:textId="77777777" w:rsidR="00B52320" w:rsidRPr="000F0299" w:rsidRDefault="00B52320" w:rsidP="00B52320">
            <w:pPr>
              <w:spacing w:before="0" w:after="0"/>
              <w:rPr>
                <w:b w:val="0"/>
                <w:bCs w:val="0"/>
              </w:rPr>
            </w:pPr>
            <w:r>
              <w:rPr>
                <w:b w:val="0"/>
                <w:bCs w:val="0"/>
                <w:caps w:val="0"/>
              </w:rPr>
              <w:t>П</w:t>
            </w:r>
            <w:r w:rsidRPr="006632B6">
              <w:rPr>
                <w:b w:val="0"/>
                <w:bCs w:val="0"/>
                <w:caps w:val="0"/>
              </w:rPr>
              <w:t xml:space="preserve">осебан циљ </w:t>
            </w:r>
            <w:r w:rsidRPr="006632B6">
              <w:rPr>
                <w:b w:val="0"/>
                <w:bCs w:val="0"/>
              </w:rPr>
              <w:t>4.1</w:t>
            </w:r>
          </w:p>
        </w:tc>
        <w:tc>
          <w:tcPr>
            <w:tcW w:w="1836" w:type="dxa"/>
            <w:noWrap/>
            <w:hideMark/>
          </w:tcPr>
          <w:p w14:paraId="3BC20B31" w14:textId="5B6543A6" w:rsidR="00B52320" w:rsidRPr="000F0299"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pPr>
            <w:r w:rsidRPr="00F00912">
              <w:t>148,684.76</w:t>
            </w:r>
          </w:p>
        </w:tc>
        <w:tc>
          <w:tcPr>
            <w:tcW w:w="3684" w:type="dxa"/>
          </w:tcPr>
          <w:p w14:paraId="1E343D28" w14:textId="14CB7990" w:rsidR="00B52320" w:rsidRPr="00A55B0C"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pPr>
            <w:r w:rsidRPr="00F00912">
              <w:t>9,644.83</w:t>
            </w:r>
          </w:p>
        </w:tc>
      </w:tr>
      <w:tr w:rsidR="00B52320" w:rsidRPr="000F0299" w14:paraId="15932937" w14:textId="77777777" w:rsidTr="00952BF5">
        <w:trPr>
          <w:trHeight w:val="256"/>
        </w:trPr>
        <w:tc>
          <w:tcPr>
            <w:cnfStyle w:val="001000000000" w:firstRow="0" w:lastRow="0" w:firstColumn="1" w:lastColumn="0" w:oddVBand="0" w:evenVBand="0" w:oddHBand="0" w:evenHBand="0" w:firstRowFirstColumn="0" w:firstRowLastColumn="0" w:lastRowFirstColumn="0" w:lastRowLastColumn="0"/>
            <w:tcW w:w="2417" w:type="dxa"/>
            <w:noWrap/>
            <w:hideMark/>
          </w:tcPr>
          <w:p w14:paraId="0302E562" w14:textId="77777777" w:rsidR="00B52320" w:rsidRPr="000F0299" w:rsidRDefault="00B52320" w:rsidP="00B52320">
            <w:pPr>
              <w:spacing w:before="0" w:after="0"/>
            </w:pPr>
            <w:r>
              <w:rPr>
                <w:b w:val="0"/>
                <w:bCs w:val="0"/>
                <w:caps w:val="0"/>
              </w:rPr>
              <w:t>О</w:t>
            </w:r>
            <w:r w:rsidRPr="004324A0">
              <w:rPr>
                <w:b w:val="0"/>
                <w:bCs w:val="0"/>
                <w:caps w:val="0"/>
              </w:rPr>
              <w:t>перативни план</w:t>
            </w:r>
          </w:p>
        </w:tc>
        <w:tc>
          <w:tcPr>
            <w:tcW w:w="1836" w:type="dxa"/>
            <w:noWrap/>
          </w:tcPr>
          <w:p w14:paraId="2126A0AB" w14:textId="619E9346" w:rsidR="00B52320" w:rsidRPr="00E94691"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00912">
              <w:t>15,042.48</w:t>
            </w:r>
          </w:p>
        </w:tc>
        <w:tc>
          <w:tcPr>
            <w:tcW w:w="3684" w:type="dxa"/>
          </w:tcPr>
          <w:p w14:paraId="61EE7F36" w14:textId="53977448" w:rsidR="00B52320" w:rsidRPr="00E94691"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00912">
              <w:t>0.00</w:t>
            </w:r>
          </w:p>
        </w:tc>
      </w:tr>
      <w:tr w:rsidR="00B52320" w:rsidRPr="000F0299" w14:paraId="57CC1E6E" w14:textId="77777777" w:rsidTr="00952BF5">
        <w:trPr>
          <w:trHeight w:val="256"/>
        </w:trPr>
        <w:tc>
          <w:tcPr>
            <w:cnfStyle w:val="001000000000" w:firstRow="0" w:lastRow="0" w:firstColumn="1" w:lastColumn="0" w:oddVBand="0" w:evenVBand="0" w:oddHBand="0" w:evenHBand="0" w:firstRowFirstColumn="0" w:firstRowLastColumn="0" w:lastRowFirstColumn="0" w:lastRowLastColumn="0"/>
            <w:tcW w:w="2417" w:type="dxa"/>
            <w:tcBorders>
              <w:right w:val="none" w:sz="0" w:space="0" w:color="auto"/>
            </w:tcBorders>
            <w:noWrap/>
          </w:tcPr>
          <w:p w14:paraId="49A0DA5A" w14:textId="77777777" w:rsidR="00B52320" w:rsidRDefault="00B52320" w:rsidP="00B52320">
            <w:pPr>
              <w:spacing w:before="0" w:after="0"/>
              <w:jc w:val="right"/>
              <w:rPr>
                <w:b w:val="0"/>
                <w:bCs w:val="0"/>
                <w:caps w:val="0"/>
              </w:rPr>
            </w:pPr>
            <w:r>
              <w:rPr>
                <w:caps w:val="0"/>
              </w:rPr>
              <w:t>Укупно</w:t>
            </w:r>
          </w:p>
        </w:tc>
        <w:tc>
          <w:tcPr>
            <w:tcW w:w="1836" w:type="dxa"/>
            <w:noWrap/>
          </w:tcPr>
          <w:p w14:paraId="3AE59174" w14:textId="76077698" w:rsidR="00B52320" w:rsidRPr="00B52320"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B52320">
              <w:rPr>
                <w:b/>
                <w:bCs/>
              </w:rPr>
              <w:t>962,222.91</w:t>
            </w:r>
          </w:p>
        </w:tc>
        <w:tc>
          <w:tcPr>
            <w:tcW w:w="3684" w:type="dxa"/>
          </w:tcPr>
          <w:p w14:paraId="1409D20E" w14:textId="7744E658" w:rsidR="00B52320" w:rsidRPr="00B52320" w:rsidRDefault="00B52320" w:rsidP="00BC284C">
            <w:pPr>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B52320">
              <w:rPr>
                <w:b/>
                <w:bCs/>
              </w:rPr>
              <w:t>9</w:t>
            </w:r>
            <w:r w:rsidR="00BC284C">
              <w:rPr>
                <w:b/>
                <w:bCs/>
                <w:lang w:val="en-GB"/>
              </w:rPr>
              <w:t>3</w:t>
            </w:r>
            <w:r w:rsidRPr="00B52320">
              <w:rPr>
                <w:b/>
                <w:bCs/>
              </w:rPr>
              <w:t>,</w:t>
            </w:r>
            <w:r w:rsidR="00BC284C">
              <w:rPr>
                <w:b/>
                <w:bCs/>
                <w:lang w:val="en-GB"/>
              </w:rPr>
              <w:t>1</w:t>
            </w:r>
            <w:r w:rsidRPr="00B52320">
              <w:rPr>
                <w:b/>
                <w:bCs/>
              </w:rPr>
              <w:t>07.67</w:t>
            </w:r>
          </w:p>
        </w:tc>
      </w:tr>
    </w:tbl>
    <w:p w14:paraId="134AC500" w14:textId="77777777" w:rsidR="00B46F2F" w:rsidRPr="000F0299" w:rsidRDefault="00B46F2F" w:rsidP="00C57B4C">
      <w:pPr>
        <w:sectPr w:rsidR="00B46F2F" w:rsidRPr="000F0299" w:rsidSect="00B46F2F">
          <w:headerReference w:type="default" r:id="rId53"/>
          <w:footerReference w:type="default" r:id="rId54"/>
          <w:pgSz w:w="11906" w:h="16838" w:code="9"/>
          <w:pgMar w:top="1417" w:right="1417" w:bottom="1134" w:left="1417" w:header="708" w:footer="855" w:gutter="0"/>
          <w:cols w:space="708"/>
          <w:docGrid w:linePitch="360"/>
        </w:sectPr>
      </w:pPr>
    </w:p>
    <w:p w14:paraId="0DC34BF2" w14:textId="46AE21F1" w:rsidR="00E22FCF" w:rsidRPr="000F0299" w:rsidRDefault="00910A03" w:rsidP="007A0CC3">
      <w:pPr>
        <w:pStyle w:val="Heading1"/>
        <w:rPr>
          <w:lang w:val="sr-Cyrl-RS"/>
        </w:rPr>
      </w:pPr>
      <w:bookmarkStart w:id="66" w:name="_Институционални_оквир_–_1"/>
      <w:bookmarkStart w:id="67" w:name="_Toc57661467"/>
      <w:bookmarkEnd w:id="66"/>
      <w:r w:rsidRPr="000F0299">
        <w:rPr>
          <w:lang w:val="sr-Cyrl-RS"/>
        </w:rPr>
        <w:t xml:space="preserve">Институционални оквир </w:t>
      </w:r>
      <w:r w:rsidR="00E22FCF" w:rsidRPr="000F0299">
        <w:rPr>
          <w:lang w:val="sr-Cyrl-RS"/>
        </w:rPr>
        <w:t>– Координација, управљање и извештавање о резултатима</w:t>
      </w:r>
      <w:bookmarkEnd w:id="12"/>
      <w:bookmarkEnd w:id="67"/>
    </w:p>
    <w:p w14:paraId="1845411B" w14:textId="5390FB0A" w:rsidR="00E22FCF" w:rsidRPr="000F0299" w:rsidRDefault="0091541B" w:rsidP="00244E7C">
      <w:r w:rsidRPr="0091541B">
        <w:rPr>
          <w:lang w:val="uz-Cyrl-UZ"/>
        </w:rPr>
        <w:t xml:space="preserve">У области </w:t>
      </w:r>
      <w:r w:rsidRPr="0091541B">
        <w:rPr>
          <w:b/>
          <w:bCs/>
          <w:lang w:val="uz-Cyrl-UZ"/>
        </w:rPr>
        <w:t>координације, управљања и праћења примене Стратегије РЈУ из 2014</w:t>
      </w:r>
      <w:r w:rsidRPr="0091541B">
        <w:rPr>
          <w:lang w:val="uz-Cyrl-UZ"/>
        </w:rPr>
        <w:t xml:space="preserve">. </w:t>
      </w:r>
      <w:r w:rsidRPr="0091541B">
        <w:t xml:space="preserve">успостављена је тростепена </w:t>
      </w:r>
      <w:r w:rsidRPr="0091541B">
        <w:rPr>
          <w:lang w:val="uz-Cyrl-UZ"/>
        </w:rPr>
        <w:t xml:space="preserve">институционална и организациона структура (надлежно министарсво као оперативни ниво кординације, Међуминистарска пројектна група (у даљем тексту: МПГ) као административни, интерресорски ниво координације и као спона са организацијама цивилног друштва и локалном самоуправом и Савет за реформу јавне управе као радно тело Владе и централно стратешко и политичко тело за управљање процеом реформе јавне управе са председником Владе на челу). Кључни изазов је што таква структурна поставка </w:t>
      </w:r>
      <w:r w:rsidRPr="0091541B">
        <w:rPr>
          <w:bCs/>
          <w:lang w:bidi="uz-Cyrl-UZ"/>
        </w:rPr>
        <w:t xml:space="preserve">није довела до управљања ризицима, </w:t>
      </w:r>
      <w:r w:rsidRPr="0091541B">
        <w:rPr>
          <w:bCs/>
        </w:rPr>
        <w:t>при чему је додатни изазов то што постоје паралелни нивои координације за остале ниже у хијерархији документе јавних политика</w:t>
      </w:r>
      <w:r w:rsidR="00E22FCF" w:rsidRPr="000F0299">
        <w:t>.</w:t>
      </w:r>
    </w:p>
    <w:p w14:paraId="73E206E4" w14:textId="34DBA57E" w:rsidR="00111D23" w:rsidRDefault="0091541B" w:rsidP="0091541B">
      <w:r w:rsidRPr="0091541B">
        <w:t>Стратегија РЈУ предвиђа да се задржи тростепена струк</w:t>
      </w:r>
      <w:r w:rsidR="000C7FA0">
        <w:t xml:space="preserve">тура, тако да политички ниво – Савет за РЈУ </w:t>
      </w:r>
      <w:r w:rsidRPr="0091541B">
        <w:t xml:space="preserve">постаје </w:t>
      </w:r>
      <w:r w:rsidRPr="000C7FA0">
        <w:t>јединствен за све документе јавних политика ниже у хијерархији у области реформе јавне управе, административни ниво</w:t>
      </w:r>
      <w:r w:rsidR="000C7FA0" w:rsidRPr="000C7FA0">
        <w:t xml:space="preserve"> </w:t>
      </w:r>
      <w:r w:rsidR="000C7FA0">
        <w:t xml:space="preserve">– </w:t>
      </w:r>
      <w:r w:rsidR="000C7FA0" w:rsidRPr="000C7FA0">
        <w:t>Међуминистарска пројектна група буде организована кроз кровну и подгрупе које прате тематске области Стратегије РЈУ;</w:t>
      </w:r>
      <w:r w:rsidRPr="000C7FA0">
        <w:t xml:space="preserve"> </w:t>
      </w:r>
      <w:r w:rsidR="000C7FA0">
        <w:t xml:space="preserve">а </w:t>
      </w:r>
      <w:r w:rsidRPr="000C7FA0">
        <w:t>оперативни ниво координације представља МДУЛС</w:t>
      </w:r>
      <w:r w:rsidR="00785C41">
        <w:t xml:space="preserve">, у складу са </w:t>
      </w:r>
      <w:r w:rsidR="00016285">
        <w:t xml:space="preserve">делокругом утврђеним </w:t>
      </w:r>
      <w:r w:rsidR="00785C41">
        <w:t>Законом о министарствима</w:t>
      </w:r>
      <w:r w:rsidR="000C7FA0">
        <w:t>.</w:t>
      </w:r>
    </w:p>
    <w:p w14:paraId="32477EA6" w14:textId="77777777" w:rsidR="000C7FA0" w:rsidRPr="000F0299" w:rsidRDefault="000C7FA0" w:rsidP="0091541B"/>
    <w:p w14:paraId="76DE3C10" w14:textId="3C05F0C8" w:rsidR="005128AA" w:rsidRPr="000F0299" w:rsidRDefault="00101633" w:rsidP="005128AA">
      <w:pPr>
        <w:keepNext/>
        <w:ind w:firstLine="0"/>
        <w:jc w:val="center"/>
      </w:pPr>
      <w:r w:rsidRPr="000F0299">
        <w:rPr>
          <w:noProof/>
          <w:lang w:val="en-US" w:eastAsia="en-US" w:bidi="ar-SA"/>
        </w:rPr>
        <mc:AlternateContent>
          <mc:Choice Requires="wps">
            <w:drawing>
              <wp:anchor distT="0" distB="0" distL="114300" distR="114300" simplePos="0" relativeHeight="251417088" behindDoc="0" locked="0" layoutInCell="1" allowOverlap="1" wp14:anchorId="16225B00" wp14:editId="57D72869">
                <wp:simplePos x="0" y="0"/>
                <wp:positionH relativeFrom="column">
                  <wp:posOffset>3916680</wp:posOffset>
                </wp:positionH>
                <wp:positionV relativeFrom="paragraph">
                  <wp:posOffset>1705610</wp:posOffset>
                </wp:positionV>
                <wp:extent cx="140335" cy="212725"/>
                <wp:effectExtent l="0" t="0" r="0" b="0"/>
                <wp:wrapNone/>
                <wp:docPr id="180" name="Arrow: Up 74"/>
                <wp:cNvGraphicFramePr/>
                <a:graphic xmlns:a="http://schemas.openxmlformats.org/drawingml/2006/main">
                  <a:graphicData uri="http://schemas.microsoft.com/office/word/2010/wordprocessingShape">
                    <wps:wsp>
                      <wps:cNvSpPr/>
                      <wps:spPr>
                        <a:xfrm>
                          <a:off x="0" y="0"/>
                          <a:ext cx="140335" cy="212725"/>
                        </a:xfrm>
                        <a:prstGeom prst="upArrow">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BB12E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4" o:spid="_x0000_s1026" type="#_x0000_t68" style="position:absolute;margin-left:308.4pt;margin-top:134.3pt;width:11.05pt;height:16.75pt;z-index:25141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" adj="7125" fillcolor="white [3212]" stroked="f" strokeweight="1pt"/>
            </w:pict>
          </mc:Fallback>
        </mc:AlternateContent>
      </w:r>
      <w:r w:rsidRPr="000F0299">
        <w:rPr>
          <w:noProof/>
          <w:lang w:val="en-US" w:eastAsia="en-US" w:bidi="ar-SA"/>
        </w:rPr>
        <mc:AlternateContent>
          <mc:Choice Requires="wps">
            <w:drawing>
              <wp:anchor distT="0" distB="0" distL="114300" distR="114300" simplePos="0" relativeHeight="251418112" behindDoc="0" locked="0" layoutInCell="1" allowOverlap="1" wp14:anchorId="67D315BB" wp14:editId="0A71E5F6">
                <wp:simplePos x="0" y="0"/>
                <wp:positionH relativeFrom="margin">
                  <wp:posOffset>2744470</wp:posOffset>
                </wp:positionH>
                <wp:positionV relativeFrom="paragraph">
                  <wp:posOffset>1094740</wp:posOffset>
                </wp:positionV>
                <wp:extent cx="136525" cy="184150"/>
                <wp:effectExtent l="0" t="0" r="0" b="6350"/>
                <wp:wrapNone/>
                <wp:docPr id="179" name="Arrow: Up 75"/>
                <wp:cNvGraphicFramePr/>
                <a:graphic xmlns:a="http://schemas.openxmlformats.org/drawingml/2006/main">
                  <a:graphicData uri="http://schemas.microsoft.com/office/word/2010/wordprocessingShape">
                    <wps:wsp>
                      <wps:cNvSpPr/>
                      <wps:spPr>
                        <a:xfrm>
                          <a:off x="0" y="0"/>
                          <a:ext cx="136525" cy="184150"/>
                        </a:xfrm>
                        <a:prstGeom prst="upArrow">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C19E5" id="Arrow: Up 75" o:spid="_x0000_s1026" type="#_x0000_t68" style="position:absolute;margin-left:216.1pt;margin-top:86.2pt;width:10.75pt;height:14.5pt;z-index:25141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" adj="8007" fillcolor="white [3212]" stroked="f" strokeweight="1pt">
                <w10:wrap anchorx="margin"/>
              </v:shape>
            </w:pict>
          </mc:Fallback>
        </mc:AlternateContent>
      </w:r>
      <w:r w:rsidRPr="000F0299">
        <w:rPr>
          <w:noProof/>
          <w:lang w:val="en-US" w:eastAsia="en-US" w:bidi="ar-SA"/>
        </w:rPr>
        <mc:AlternateContent>
          <mc:Choice Requires="wps">
            <w:drawing>
              <wp:anchor distT="0" distB="0" distL="114300" distR="114300" simplePos="0" relativeHeight="251416064" behindDoc="0" locked="0" layoutInCell="1" allowOverlap="1" wp14:anchorId="784AC7E4" wp14:editId="7B3BEDFC">
                <wp:simplePos x="0" y="0"/>
                <wp:positionH relativeFrom="margin">
                  <wp:posOffset>2754630</wp:posOffset>
                </wp:positionH>
                <wp:positionV relativeFrom="paragraph">
                  <wp:posOffset>1713230</wp:posOffset>
                </wp:positionV>
                <wp:extent cx="140335" cy="212725"/>
                <wp:effectExtent l="0" t="0" r="0" b="0"/>
                <wp:wrapNone/>
                <wp:docPr id="386" name="Arrow: Up 73"/>
                <wp:cNvGraphicFramePr/>
                <a:graphic xmlns:a="http://schemas.openxmlformats.org/drawingml/2006/main">
                  <a:graphicData uri="http://schemas.microsoft.com/office/word/2010/wordprocessingShape">
                    <wps:wsp>
                      <wps:cNvSpPr/>
                      <wps:spPr>
                        <a:xfrm>
                          <a:off x="0" y="0"/>
                          <a:ext cx="140335" cy="212725"/>
                        </a:xfrm>
                        <a:prstGeom prst="upArrow">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43C8B" id="Arrow: Up 73" o:spid="_x0000_s1026" type="#_x0000_t68" style="position:absolute;margin-left:216.9pt;margin-top:134.9pt;width:11.05pt;height:16.75pt;z-index:25141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" adj="7125" fillcolor="white [3212]" stroked="f" strokeweight="1pt">
                <w10:wrap anchorx="margin"/>
              </v:shape>
            </w:pict>
          </mc:Fallback>
        </mc:AlternateContent>
      </w:r>
      <w:r w:rsidRPr="000F0299">
        <w:rPr>
          <w:noProof/>
          <w:lang w:val="en-US" w:eastAsia="en-US" w:bidi="ar-SA"/>
        </w:rPr>
        <mc:AlternateContent>
          <mc:Choice Requires="wps">
            <w:drawing>
              <wp:anchor distT="0" distB="0" distL="114300" distR="114300" simplePos="0" relativeHeight="251415040" behindDoc="0" locked="0" layoutInCell="1" allowOverlap="1" wp14:anchorId="18822D47" wp14:editId="239C2747">
                <wp:simplePos x="0" y="0"/>
                <wp:positionH relativeFrom="column">
                  <wp:posOffset>1621155</wp:posOffset>
                </wp:positionH>
                <wp:positionV relativeFrom="paragraph">
                  <wp:posOffset>1712595</wp:posOffset>
                </wp:positionV>
                <wp:extent cx="140335" cy="212725"/>
                <wp:effectExtent l="0" t="0" r="0" b="0"/>
                <wp:wrapNone/>
                <wp:docPr id="388" name="Arrow: Up 72"/>
                <wp:cNvGraphicFramePr/>
                <a:graphic xmlns:a="http://schemas.openxmlformats.org/drawingml/2006/main">
                  <a:graphicData uri="http://schemas.microsoft.com/office/word/2010/wordprocessingShape">
                    <wps:wsp>
                      <wps:cNvSpPr/>
                      <wps:spPr>
                        <a:xfrm>
                          <a:off x="0" y="0"/>
                          <a:ext cx="140335" cy="212725"/>
                        </a:xfrm>
                        <a:prstGeom prst="upArrow">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F0A56" id="Arrow: Up 72" o:spid="_x0000_s1026" type="#_x0000_t68" style="position:absolute;margin-left:127.65pt;margin-top:134.85pt;width:11.05pt;height:16.75pt;z-index:25141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" adj="7125" fillcolor="white [3212]" stroked="f" strokeweight="1pt"/>
            </w:pict>
          </mc:Fallback>
        </mc:AlternateContent>
      </w:r>
      <w:r w:rsidR="00B26B84" w:rsidRPr="000F0299">
        <w:rPr>
          <w:noProof/>
          <w:lang w:val="en-US" w:eastAsia="en-US" w:bidi="ar-SA"/>
        </w:rPr>
        <mc:AlternateContent>
          <mc:Choice Requires="wps">
            <w:drawing>
              <wp:anchor distT="0" distB="0" distL="114300" distR="114300" simplePos="0" relativeHeight="251421184" behindDoc="0" locked="0" layoutInCell="1" allowOverlap="1" wp14:anchorId="7C18DE05" wp14:editId="4AF2FE26">
                <wp:simplePos x="0" y="0"/>
                <wp:positionH relativeFrom="column">
                  <wp:posOffset>878840</wp:posOffset>
                </wp:positionH>
                <wp:positionV relativeFrom="paragraph">
                  <wp:posOffset>1927860</wp:posOffset>
                </wp:positionV>
                <wp:extent cx="3818467" cy="311150"/>
                <wp:effectExtent l="0" t="0" r="0" b="0"/>
                <wp:wrapNone/>
                <wp:docPr id="178" name="Rectangle: Rounded Corners 71"/>
                <wp:cNvGraphicFramePr/>
                <a:graphic xmlns:a="http://schemas.openxmlformats.org/drawingml/2006/main">
                  <a:graphicData uri="http://schemas.microsoft.com/office/word/2010/wordprocessingShape">
                    <wps:wsp>
                      <wps:cNvSpPr/>
                      <wps:spPr>
                        <a:xfrm>
                          <a:off x="0" y="0"/>
                          <a:ext cx="3818467" cy="311150"/>
                        </a:xfrm>
                        <a:prstGeom prst="roundRect">
                          <a:avLst/>
                        </a:prstGeom>
                        <a:solidFill>
                          <a:schemeClr val="accent1">
                            <a:lumMod val="75000"/>
                          </a:schemeClr>
                        </a:solidFill>
                        <a:ln w="19050" cap="flat" cmpd="sng" algn="ctr">
                          <a:noFill/>
                          <a:prstDash val="solid"/>
                          <a:miter lim="800000"/>
                        </a:ln>
                        <a:effectLst/>
                      </wps:spPr>
                      <wps:txbx>
                        <w:txbxContent>
                          <w:p w14:paraId="755FB260" w14:textId="77777777" w:rsidR="00876FFE" w:rsidRPr="00AF42A7" w:rsidRDefault="00876FFE" w:rsidP="00126665">
                            <w:pPr>
                              <w:spacing w:before="0"/>
                              <w:rPr>
                                <w:color w:val="FFFFFF" w:themeColor="background1"/>
                                <w:sz w:val="22"/>
                                <w:szCs w:val="22"/>
                              </w:rPr>
                            </w:pPr>
                            <w:r w:rsidRPr="00AF42A7">
                              <w:rPr>
                                <w:color w:val="FFFFFF" w:themeColor="background1"/>
                                <w:sz w:val="22"/>
                                <w:szCs w:val="22"/>
                              </w:rPr>
                              <w:t>Носиоци активности – министарства и остали органи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18DE05" id="Rectangle: Rounded Corners 71" o:spid="_x0000_s1026" style="position:absolute;left:0;text-align:left;margin-left:69.2pt;margin-top:151.8pt;width:300.65pt;height:24.5pt;z-index:25142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" fillcolor="#2f5496 [2404]" stroked="f" strokeweight="1.5pt">
                <v:stroke joinstyle="miter"/>
                <v:textbox>
                  <w:txbxContent>
                    <w:p w14:paraId="755FB260" w14:textId="77777777" w:rsidR="00876FFE" w:rsidRPr="00AF42A7" w:rsidRDefault="00876FFE" w:rsidP="00126665">
                      <w:pPr>
                        <w:spacing w:before="0"/>
                        <w:rPr>
                          <w:color w:val="FFFFFF" w:themeColor="background1"/>
                          <w:sz w:val="22"/>
                          <w:szCs w:val="22"/>
                        </w:rPr>
                      </w:pPr>
                      <w:r w:rsidRPr="00AF42A7">
                        <w:rPr>
                          <w:color w:val="FFFFFF" w:themeColor="background1"/>
                          <w:sz w:val="22"/>
                          <w:szCs w:val="22"/>
                        </w:rPr>
                        <w:t>Носиоци активности – министарства и остали органи</w:t>
                      </w:r>
                    </w:p>
                  </w:txbxContent>
                </v:textbox>
              </v:roundrect>
            </w:pict>
          </mc:Fallback>
        </mc:AlternateContent>
      </w:r>
      <w:r w:rsidR="00E22FCF" w:rsidRPr="000F0299">
        <w:rPr>
          <w:noProof/>
          <w:lang w:val="en-US" w:eastAsia="en-US" w:bidi="ar-SA"/>
        </w:rPr>
        <w:drawing>
          <wp:inline distT="0" distB="0" distL="0" distR="0" wp14:anchorId="59E68AD4" wp14:editId="6B510AB8">
            <wp:extent cx="5133975" cy="2800350"/>
            <wp:effectExtent l="152400" t="0" r="0" b="19050"/>
            <wp:docPr id="391" name="Diagram 3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76781F33" w14:textId="4EE8AFCC" w:rsidR="00E22FCF" w:rsidRPr="0091541B" w:rsidRDefault="005128AA" w:rsidP="005128AA">
      <w:pPr>
        <w:pStyle w:val="Caption"/>
        <w:rPr>
          <w:i w:val="0"/>
          <w:iCs w:val="0"/>
          <w:lang w:val="sr-Cyrl-RS"/>
        </w:rPr>
      </w:pPr>
      <w:bookmarkStart w:id="68" w:name="_Toc57564500"/>
      <w:r w:rsidRPr="008C0483">
        <w:rPr>
          <w:i w:val="0"/>
          <w:iCs w:val="0"/>
          <w:lang w:val="sr-Cyrl-RS"/>
        </w:rPr>
        <w:t xml:space="preserve">Слика </w:t>
      </w:r>
      <w:r w:rsidRPr="008C0483">
        <w:rPr>
          <w:i w:val="0"/>
          <w:iCs w:val="0"/>
          <w:lang w:val="sr-Cyrl-RS"/>
        </w:rPr>
        <w:fldChar w:fldCharType="begin"/>
      </w:r>
      <w:r w:rsidRPr="008C0483">
        <w:rPr>
          <w:i w:val="0"/>
          <w:iCs w:val="0"/>
          <w:lang w:val="sr-Cyrl-RS"/>
        </w:rPr>
        <w:instrText xml:space="preserve"> SEQ Слика \* ARABIC </w:instrText>
      </w:r>
      <w:r w:rsidRPr="008C0483">
        <w:rPr>
          <w:i w:val="0"/>
          <w:iCs w:val="0"/>
          <w:lang w:val="sr-Cyrl-RS"/>
        </w:rPr>
        <w:fldChar w:fldCharType="separate"/>
      </w:r>
      <w:r w:rsidR="000A2E5A" w:rsidRPr="008C0483">
        <w:rPr>
          <w:i w:val="0"/>
          <w:iCs w:val="0"/>
          <w:noProof/>
          <w:lang w:val="sr-Cyrl-RS"/>
        </w:rPr>
        <w:t>2</w:t>
      </w:r>
      <w:r w:rsidRPr="008C0483">
        <w:rPr>
          <w:i w:val="0"/>
          <w:iCs w:val="0"/>
          <w:lang w:val="sr-Cyrl-RS"/>
        </w:rPr>
        <w:fldChar w:fldCharType="end"/>
      </w:r>
      <w:r w:rsidRPr="008C0483">
        <w:rPr>
          <w:i w:val="0"/>
          <w:iCs w:val="0"/>
          <w:lang w:val="sr-Cyrl-RS"/>
        </w:rPr>
        <w:t xml:space="preserve"> Институционални оквир</w:t>
      </w:r>
      <w:bookmarkEnd w:id="68"/>
    </w:p>
    <w:p w14:paraId="5835A459" w14:textId="77777777" w:rsidR="0091541B" w:rsidRPr="0091541B" w:rsidRDefault="0091541B" w:rsidP="004E7AFD">
      <w:pPr>
        <w:rPr>
          <w:lang w:val="sr-Cyrl-CS"/>
        </w:rPr>
      </w:pPr>
      <w:r w:rsidRPr="0091541B">
        <w:t xml:space="preserve">Што се тиче праћења, извештавања и евалуације, постоји континуитет у области реформе јавне управе, од почетка доношења Стратегије РЈУ, извештаји о праћењу редовно се прикупљају и објављују на сајту МДУЛС-а: </w:t>
      </w:r>
      <w:hyperlink r:id="rId60" w:history="1">
        <w:r w:rsidRPr="0091541B">
          <w:rPr>
            <w:rStyle w:val="Hyperlink"/>
            <w:lang w:val="uz-Cyrl-UZ"/>
          </w:rPr>
          <w:t>http</w:t>
        </w:r>
        <w:r w:rsidRPr="0091541B">
          <w:rPr>
            <w:rStyle w:val="Hyperlink"/>
          </w:rPr>
          <w:t>://</w:t>
        </w:r>
        <w:r w:rsidRPr="0091541B">
          <w:rPr>
            <w:rStyle w:val="Hyperlink"/>
            <w:lang w:val="uz-Cyrl-UZ"/>
          </w:rPr>
          <w:t>mduls</w:t>
        </w:r>
        <w:r w:rsidRPr="0091541B">
          <w:rPr>
            <w:rStyle w:val="Hyperlink"/>
          </w:rPr>
          <w:t>.</w:t>
        </w:r>
        <w:r w:rsidRPr="0091541B">
          <w:rPr>
            <w:rStyle w:val="Hyperlink"/>
            <w:lang w:val="uz-Cyrl-UZ"/>
          </w:rPr>
          <w:t>gov</w:t>
        </w:r>
        <w:r w:rsidRPr="0091541B">
          <w:rPr>
            <w:rStyle w:val="Hyperlink"/>
          </w:rPr>
          <w:t>.</w:t>
        </w:r>
        <w:r w:rsidRPr="0091541B">
          <w:rPr>
            <w:rStyle w:val="Hyperlink"/>
            <w:lang w:val="uz-Cyrl-UZ"/>
          </w:rPr>
          <w:t>rs</w:t>
        </w:r>
        <w:r w:rsidRPr="0091541B">
          <w:rPr>
            <w:rStyle w:val="Hyperlink"/>
          </w:rPr>
          <w:t>/</w:t>
        </w:r>
        <w:r w:rsidRPr="0091541B">
          <w:rPr>
            <w:rStyle w:val="Hyperlink"/>
            <w:lang w:val="uz-Cyrl-UZ"/>
          </w:rPr>
          <w:t>uprava</w:t>
        </w:r>
        <w:r w:rsidRPr="0091541B">
          <w:rPr>
            <w:rStyle w:val="Hyperlink"/>
          </w:rPr>
          <w:t>-</w:t>
        </w:r>
        <w:r w:rsidRPr="0091541B">
          <w:rPr>
            <w:rStyle w:val="Hyperlink"/>
            <w:lang w:val="uz-Cyrl-UZ"/>
          </w:rPr>
          <w:t>po</w:t>
        </w:r>
        <w:r w:rsidRPr="0091541B">
          <w:rPr>
            <w:rStyle w:val="Hyperlink"/>
          </w:rPr>
          <w:t>-</w:t>
        </w:r>
        <w:r w:rsidRPr="0091541B">
          <w:rPr>
            <w:rStyle w:val="Hyperlink"/>
            <w:lang w:val="uz-Cyrl-UZ"/>
          </w:rPr>
          <w:t>meri</w:t>
        </w:r>
        <w:r w:rsidRPr="0091541B">
          <w:rPr>
            <w:rStyle w:val="Hyperlink"/>
          </w:rPr>
          <w:t>-</w:t>
        </w:r>
        <w:r w:rsidRPr="0091541B">
          <w:rPr>
            <w:rStyle w:val="Hyperlink"/>
            <w:lang w:val="uz-Cyrl-UZ"/>
          </w:rPr>
          <w:t>svih</w:t>
        </w:r>
        <w:r w:rsidRPr="0091541B">
          <w:rPr>
            <w:rStyle w:val="Hyperlink"/>
          </w:rPr>
          <w:t>-</w:t>
        </w:r>
        <w:r w:rsidRPr="0091541B">
          <w:rPr>
            <w:rStyle w:val="Hyperlink"/>
            <w:lang w:val="uz-Cyrl-UZ"/>
          </w:rPr>
          <w:t>nas</w:t>
        </w:r>
        <w:r w:rsidRPr="0091541B">
          <w:rPr>
            <w:rStyle w:val="Hyperlink"/>
          </w:rPr>
          <w:t>/</w:t>
        </w:r>
        <w:r w:rsidRPr="0091541B">
          <w:rPr>
            <w:rStyle w:val="Hyperlink"/>
            <w:lang w:val="uz-Cyrl-UZ"/>
          </w:rPr>
          <w:t>strateska</w:t>
        </w:r>
        <w:r w:rsidRPr="0091541B">
          <w:rPr>
            <w:rStyle w:val="Hyperlink"/>
          </w:rPr>
          <w:t>-</w:t>
        </w:r>
        <w:r w:rsidRPr="0091541B">
          <w:rPr>
            <w:rStyle w:val="Hyperlink"/>
            <w:lang w:val="uz-Cyrl-UZ"/>
          </w:rPr>
          <w:t>dokumenta</w:t>
        </w:r>
        <w:r w:rsidRPr="0091541B">
          <w:rPr>
            <w:rStyle w:val="Hyperlink"/>
          </w:rPr>
          <w:t>/</w:t>
        </w:r>
      </w:hyperlink>
      <w:r w:rsidRPr="0091541B">
        <w:t xml:space="preserve"> и </w:t>
      </w:r>
      <w:hyperlink r:id="rId61" w:history="1">
        <w:r w:rsidRPr="0091541B">
          <w:rPr>
            <w:rStyle w:val="Hyperlink"/>
            <w:lang w:val="uz-Cyrl-UZ"/>
          </w:rPr>
          <w:t>http</w:t>
        </w:r>
        <w:r w:rsidRPr="0091541B">
          <w:rPr>
            <w:rStyle w:val="Hyperlink"/>
          </w:rPr>
          <w:t>://</w:t>
        </w:r>
        <w:r w:rsidRPr="0091541B">
          <w:rPr>
            <w:rStyle w:val="Hyperlink"/>
            <w:lang w:val="uz-Cyrl-UZ"/>
          </w:rPr>
          <w:t>mduls</w:t>
        </w:r>
        <w:r w:rsidRPr="0091541B">
          <w:rPr>
            <w:rStyle w:val="Hyperlink"/>
          </w:rPr>
          <w:t>.</w:t>
        </w:r>
        <w:r w:rsidRPr="0091541B">
          <w:rPr>
            <w:rStyle w:val="Hyperlink"/>
            <w:lang w:val="uz-Cyrl-UZ"/>
          </w:rPr>
          <w:t>gov</w:t>
        </w:r>
        <w:r w:rsidRPr="0091541B">
          <w:rPr>
            <w:rStyle w:val="Hyperlink"/>
          </w:rPr>
          <w:t>.</w:t>
        </w:r>
        <w:r w:rsidRPr="0091541B">
          <w:rPr>
            <w:rStyle w:val="Hyperlink"/>
            <w:lang w:val="uz-Cyrl-UZ"/>
          </w:rPr>
          <w:t>rs</w:t>
        </w:r>
        <w:r w:rsidRPr="0091541B">
          <w:rPr>
            <w:rStyle w:val="Hyperlink"/>
          </w:rPr>
          <w:t>/</w:t>
        </w:r>
        <w:r w:rsidRPr="0091541B">
          <w:rPr>
            <w:rStyle w:val="Hyperlink"/>
            <w:lang w:val="uz-Cyrl-UZ"/>
          </w:rPr>
          <w:t>en</w:t>
        </w:r>
        <w:r w:rsidRPr="0091541B">
          <w:rPr>
            <w:rStyle w:val="Hyperlink"/>
          </w:rPr>
          <w:t>/</w:t>
        </w:r>
        <w:r w:rsidRPr="0091541B">
          <w:rPr>
            <w:rStyle w:val="Hyperlink"/>
            <w:lang w:val="uz-Cyrl-UZ"/>
          </w:rPr>
          <w:t>public</w:t>
        </w:r>
        <w:r w:rsidRPr="0091541B">
          <w:rPr>
            <w:rStyle w:val="Hyperlink"/>
          </w:rPr>
          <w:t>-</w:t>
        </w:r>
        <w:r w:rsidRPr="0091541B">
          <w:rPr>
            <w:rStyle w:val="Hyperlink"/>
            <w:lang w:val="uz-Cyrl-UZ"/>
          </w:rPr>
          <w:t>administration</w:t>
        </w:r>
        <w:r w:rsidRPr="0091541B">
          <w:rPr>
            <w:rStyle w:val="Hyperlink"/>
          </w:rPr>
          <w:t>-</w:t>
        </w:r>
        <w:r w:rsidRPr="0091541B">
          <w:rPr>
            <w:rStyle w:val="Hyperlink"/>
            <w:lang w:val="uz-Cyrl-UZ"/>
          </w:rPr>
          <w:t>reform</w:t>
        </w:r>
        <w:r w:rsidRPr="0091541B">
          <w:rPr>
            <w:rStyle w:val="Hyperlink"/>
          </w:rPr>
          <w:t>/</w:t>
        </w:r>
      </w:hyperlink>
      <w:r w:rsidRPr="0091541B">
        <w:t>.</w:t>
      </w:r>
      <w:r w:rsidRPr="0091541B">
        <w:rPr>
          <w:lang w:val="sr-Cyrl-CS"/>
        </w:rPr>
        <w:t xml:space="preserve"> Постоје утврђени рокови за прикупљање и обраду података и објављивање извештаја, као и израђен сајт за праћење реформе јавне управе </w:t>
      </w:r>
      <w:hyperlink r:id="rId62" w:history="1">
        <w:r w:rsidRPr="0091541B">
          <w:rPr>
            <w:rStyle w:val="Hyperlink"/>
            <w:lang w:val="uz-Cyrl-UZ"/>
          </w:rPr>
          <w:t>https://monitoring.mduls.gov.rs/</w:t>
        </w:r>
      </w:hyperlink>
      <w:r w:rsidRPr="0091541B">
        <w:rPr>
          <w:lang w:val="uz-Cyrl-UZ"/>
        </w:rPr>
        <w:t xml:space="preserve"> уз интерни систем за прикупљање података ЈИС, којим руководи РСЈП</w:t>
      </w:r>
      <w:r w:rsidRPr="0091541B">
        <w:rPr>
          <w:lang w:val="sr-Cyrl-CS"/>
        </w:rPr>
        <w:t xml:space="preserve">. </w:t>
      </w:r>
    </w:p>
    <w:p w14:paraId="0D4B5B5D" w14:textId="46D28BD9" w:rsidR="00E22FCF" w:rsidRPr="000F0299" w:rsidRDefault="0091541B" w:rsidP="004E7AFD">
      <w:pPr>
        <w:rPr>
          <w:lang w:eastAsia="de-DE"/>
        </w:rPr>
      </w:pPr>
      <w:r w:rsidRPr="0091541B">
        <w:t xml:space="preserve">Праћење спровођења и извештавање о резултатима спровођења Стратегије РЈУ вршиће се у складу са ЗПС и подзаконским актима којима је уређена обавезна садржина </w:t>
      </w:r>
      <w:r w:rsidR="00E22FCF" w:rsidRPr="000F0299">
        <w:rPr>
          <w:rFonts w:eastAsia="Times New Roman"/>
          <w:lang w:eastAsia="de-DE"/>
        </w:rPr>
        <w:t>извештаја</w:t>
      </w:r>
      <w:r w:rsidR="00E22FCF" w:rsidRPr="000F0299">
        <w:rPr>
          <w:lang w:eastAsia="de-DE"/>
        </w:rPr>
        <w:t>, информациони систем у ко</w:t>
      </w:r>
      <w:r>
        <w:rPr>
          <w:lang w:eastAsia="de-DE"/>
        </w:rPr>
        <w:t>ји</w:t>
      </w:r>
      <w:r w:rsidR="00E22FCF" w:rsidRPr="000F0299">
        <w:rPr>
          <w:lang w:eastAsia="de-DE"/>
        </w:rPr>
        <w:t xml:space="preserve"> се уносе подаци (ЈИС), начин на који се извештава и координира прикупљање података. </w:t>
      </w:r>
    </w:p>
    <w:p w14:paraId="70304F52" w14:textId="77777777" w:rsidR="0091541B" w:rsidRPr="0091541B" w:rsidRDefault="0091541B" w:rsidP="004E7AFD">
      <w:r w:rsidRPr="0091541B">
        <w:t>Имајући у виду да је Стратегија РЈУ кровни документ јавне политике за област планирања јавне управе у Републици Србији и да обухвата шест тематских области од којих су три</w:t>
      </w:r>
      <w:r w:rsidRPr="0091541B">
        <w:rPr>
          <w:lang w:val="sr-Latn-RS"/>
        </w:rPr>
        <w:t xml:space="preserve"> </w:t>
      </w:r>
      <w:r w:rsidRPr="0091541B">
        <w:t xml:space="preserve">разрађене кроз посебне програме, а три непосредно кроз Акциони план Стратегије РЈУ, праћење реформе јавне управе заснива се на праћењу спровођења не само Акционог плана Стратегије РЈУ већ и на праћењу спровођења свих докумената јавних политика нижих у хијерархији (три програма у области: регулаторне реформе, система локалне самоуправе и управљања јавним финансијама). </w:t>
      </w:r>
    </w:p>
    <w:p w14:paraId="205DF811" w14:textId="79C7F141" w:rsidR="003641CB" w:rsidRDefault="0091541B" w:rsidP="0091541B">
      <w:r w:rsidRPr="0091541B">
        <w:t xml:space="preserve">Да би се </w:t>
      </w:r>
      <w:r w:rsidRPr="0091541B">
        <w:rPr>
          <w:lang w:val="uz-Cyrl-UZ"/>
        </w:rPr>
        <w:t xml:space="preserve">вредновао учинак, преиспитао правац и фокус реформе и могуће измене и допуне, предвиђене су две интерим евалуације (2023. и 2027) и </w:t>
      </w:r>
      <w:r w:rsidRPr="0091541B">
        <w:rPr>
          <w:i/>
          <w:iCs/>
          <w:lang w:val="uz-Cyrl-UZ"/>
        </w:rPr>
        <w:t>ex post</w:t>
      </w:r>
      <w:r w:rsidRPr="0091541B">
        <w:rPr>
          <w:lang w:val="uz-Cyrl-UZ"/>
        </w:rPr>
        <w:t xml:space="preserve"> анализа ефеката по завршетку спровођења Стратегије РЈУ. Вредновање учинка, а нарочито прва интерим евалуација користиће се за могућу ревизију Акционог плана Стратегије РЈУ 2021–2025, као и за израду наредног акционог плана</w:t>
      </w:r>
      <w:r w:rsidR="00E22FCF" w:rsidRPr="000F0299">
        <w:t xml:space="preserve">. </w:t>
      </w:r>
    </w:p>
    <w:p w14:paraId="067F30BF" w14:textId="211BD369" w:rsidR="0076639F" w:rsidRPr="000F0299" w:rsidRDefault="0076639F" w:rsidP="0091541B">
      <w:r w:rsidRPr="0076639F">
        <w:rPr>
          <w:b/>
          <w:bCs/>
          <w:iCs/>
        </w:rPr>
        <w:t>Напомена</w:t>
      </w:r>
      <w:r w:rsidRPr="0076639F">
        <w:rPr>
          <w:bCs/>
          <w:iCs/>
        </w:rPr>
        <w:t xml:space="preserve">: Детаљан приказ оквира за праћење и извештавање </w:t>
      </w:r>
      <w:r w:rsidR="004E7AFD">
        <w:rPr>
          <w:bCs/>
          <w:iCs/>
        </w:rPr>
        <w:t xml:space="preserve">налази се </w:t>
      </w:r>
      <w:r w:rsidRPr="0076639F">
        <w:rPr>
          <w:bCs/>
          <w:iCs/>
        </w:rPr>
        <w:t xml:space="preserve">у </w:t>
      </w:r>
      <w:hyperlink w:anchor="_Праћење_и_извештавање" w:history="1">
        <w:r w:rsidRPr="0076639F">
          <w:rPr>
            <w:rStyle w:val="Hyperlink"/>
            <w:bCs/>
            <w:iCs/>
          </w:rPr>
          <w:t>Прилогу 4</w:t>
        </w:r>
      </w:hyperlink>
      <w:r w:rsidR="00537D7B">
        <w:rPr>
          <w:rStyle w:val="Hyperlink"/>
          <w:bCs/>
          <w:iCs/>
        </w:rPr>
        <w:t>.</w:t>
      </w:r>
    </w:p>
    <w:p w14:paraId="15794ABB" w14:textId="69349CAE" w:rsidR="00AC2236" w:rsidRPr="000F0299" w:rsidRDefault="003641CB" w:rsidP="00244E7C">
      <w:r w:rsidRPr="000F0299">
        <w:br w:type="page"/>
      </w:r>
      <w:bookmarkStart w:id="69" w:name="_Toc40182227"/>
      <w:bookmarkStart w:id="70" w:name="_Toc40183044"/>
      <w:bookmarkStart w:id="71" w:name="_Toc45013944"/>
      <w:bookmarkStart w:id="72" w:name="_Toc40182226"/>
      <w:bookmarkStart w:id="73" w:name="_Toc40183043"/>
      <w:bookmarkStart w:id="74" w:name="_Toc45013943"/>
    </w:p>
    <w:p w14:paraId="5A8B1D21" w14:textId="609BF260" w:rsidR="003641CB" w:rsidRPr="000F0299" w:rsidRDefault="00910A03" w:rsidP="007A0CC3">
      <w:pPr>
        <w:pStyle w:val="Heading1"/>
        <w:rPr>
          <w:lang w:val="sr-Cyrl-RS"/>
        </w:rPr>
      </w:pPr>
      <w:bookmarkStart w:id="75" w:name="_Toc57661468"/>
      <w:r w:rsidRPr="000F0299">
        <w:rPr>
          <w:rFonts w:cs="Times New Roman"/>
          <w:lang w:val="sr-Cyrl-RS"/>
        </w:rPr>
        <w:t xml:space="preserve">Прилог </w:t>
      </w:r>
      <w:r w:rsidR="003641CB" w:rsidRPr="000F0299">
        <w:rPr>
          <w:rFonts w:cs="Times New Roman"/>
          <w:lang w:val="sr-Cyrl-RS"/>
        </w:rPr>
        <w:t xml:space="preserve">1: </w:t>
      </w:r>
      <w:r w:rsidRPr="000F0299">
        <w:rPr>
          <w:lang w:val="sr-Cyrl-RS"/>
        </w:rPr>
        <w:t>Стратешки оквир</w:t>
      </w:r>
      <w:bookmarkEnd w:id="75"/>
      <w:r w:rsidR="003641CB" w:rsidRPr="000F0299">
        <w:rPr>
          <w:lang w:val="sr-Cyrl-RS"/>
        </w:rPr>
        <w:t xml:space="preserve"> </w:t>
      </w:r>
      <w:bookmarkEnd w:id="69"/>
      <w:bookmarkEnd w:id="70"/>
      <w:bookmarkEnd w:id="71"/>
    </w:p>
    <w:bookmarkEnd w:id="72"/>
    <w:bookmarkEnd w:id="73"/>
    <w:bookmarkEnd w:id="74"/>
    <w:p w14:paraId="5AA03282" w14:textId="3ED856A4" w:rsidR="00EC3C69" w:rsidRPr="00EC3C69" w:rsidRDefault="00EC3C69" w:rsidP="00EC3C69">
      <w:pPr>
        <w:rPr>
          <w:lang w:val="sr-Cyrl-CS"/>
        </w:rPr>
      </w:pPr>
      <w:r w:rsidRPr="00EC3C69">
        <w:rPr>
          <w:lang w:val="uz-Cyrl-UZ"/>
        </w:rPr>
        <w:t>Стратегија РЈУ</w:t>
      </w:r>
      <w:r w:rsidRPr="00EC3C69">
        <w:rPr>
          <w:lang w:val="sr-Cyrl-CS"/>
        </w:rPr>
        <w:t xml:space="preserve"> из 2014 </w:t>
      </w:r>
      <w:r w:rsidRPr="00EC3C69">
        <w:rPr>
          <w:lang w:val="uz-Cyrl-UZ"/>
        </w:rPr>
        <w:t>донета</w:t>
      </w:r>
      <w:r w:rsidRPr="00EC3C69">
        <w:rPr>
          <w:lang w:val="sr-Cyrl-CS"/>
        </w:rPr>
        <w:t xml:space="preserve"> је 24. јануара 2014. године („Службени гласник РС”, </w:t>
      </w:r>
      <w:r w:rsidR="00E92E01">
        <w:rPr>
          <w:lang w:val="sr-Cyrl-CS"/>
        </w:rPr>
        <w:t>број</w:t>
      </w:r>
      <w:r w:rsidRPr="00EC3C69">
        <w:rPr>
          <w:lang w:val="sr-Cyrl-CS"/>
        </w:rPr>
        <w:t xml:space="preserve"> 9/14, 42/14 – исправка, 54/18) и </w:t>
      </w:r>
      <w:r w:rsidRPr="00EC3C69">
        <w:rPr>
          <w:lang w:val="uz-Cyrl-UZ"/>
        </w:rPr>
        <w:t xml:space="preserve">разрађена </w:t>
      </w:r>
      <w:r w:rsidRPr="00EC3C69">
        <w:rPr>
          <w:lang w:val="sr-Cyrl-CS"/>
        </w:rPr>
        <w:t xml:space="preserve">је кроз два акциона плана, за период 2015–2017. </w:t>
      </w:r>
      <w:r w:rsidRPr="00EC3C69">
        <w:rPr>
          <w:lang w:val="uz-Cyrl-UZ"/>
        </w:rPr>
        <w:t>(„</w:t>
      </w:r>
      <w:r w:rsidRPr="00EC3C69">
        <w:rPr>
          <w:lang w:val="sr-Cyrl-CS"/>
        </w:rPr>
        <w:t>Службени гласник РС”, број 31/15)</w:t>
      </w:r>
      <w:r w:rsidRPr="00EC3C69">
        <w:rPr>
          <w:vertAlign w:val="superscript"/>
          <w:lang w:val="sr-Cyrl-CS"/>
        </w:rPr>
        <w:footnoteReference w:id="2"/>
      </w:r>
      <w:r w:rsidRPr="00EC3C69">
        <w:rPr>
          <w:lang w:val="sr-Cyrl-CS"/>
        </w:rPr>
        <w:t xml:space="preserve"> и 2018–2020. </w:t>
      </w:r>
      <w:r w:rsidRPr="00EC3C69">
        <w:rPr>
          <w:lang w:val="uz-Cyrl-UZ"/>
        </w:rPr>
        <w:t>(„</w:t>
      </w:r>
      <w:r w:rsidRPr="00EC3C69">
        <w:rPr>
          <w:lang w:val="sr-Cyrl-CS"/>
        </w:rPr>
        <w:t>Службени гласник РС”, број 54/18)</w:t>
      </w:r>
      <w:r w:rsidRPr="00EC3C69">
        <w:rPr>
          <w:vertAlign w:val="superscript"/>
          <w:lang w:val="sr-Cyrl-CS"/>
        </w:rPr>
        <w:footnoteReference w:id="3"/>
      </w:r>
      <w:r w:rsidRPr="00EC3C69">
        <w:rPr>
          <w:lang w:val="sr-Cyrl-CS"/>
        </w:rPr>
        <w:t xml:space="preserve"> године. Стратегија РЈУ из 2014. је </w:t>
      </w:r>
      <w:r w:rsidRPr="00EC3C69">
        <w:rPr>
          <w:lang w:val="uz-Cyrl-UZ"/>
        </w:rPr>
        <w:t>п</w:t>
      </w:r>
      <w:r w:rsidRPr="00EC3C69">
        <w:rPr>
          <w:lang w:val="sr-Cyrl-CS"/>
        </w:rPr>
        <w:t>роширила започете реформск</w:t>
      </w:r>
      <w:r w:rsidRPr="00EC3C69">
        <w:rPr>
          <w:lang w:val="sr-Latn-RS"/>
        </w:rPr>
        <w:t>e</w:t>
      </w:r>
      <w:r w:rsidRPr="00EC3C69">
        <w:rPr>
          <w:lang w:val="sr-Cyrl-CS"/>
        </w:rPr>
        <w:t xml:space="preserve"> активности са реформе уже државне управе предвиђене у Стратегији реформе државне управе из 2004. године</w:t>
      </w:r>
      <w:r w:rsidRPr="00EC3C69">
        <w:rPr>
          <w:vertAlign w:val="superscript"/>
          <w:lang w:val="sr-Cyrl-CS"/>
        </w:rPr>
        <w:footnoteReference w:id="4"/>
      </w:r>
      <w:r w:rsidRPr="00EC3C69">
        <w:rPr>
          <w:lang w:val="sr-Cyrl-CS"/>
        </w:rPr>
        <w:t xml:space="preserve"> на реформу шире јавне управе, тако да данас обухвата готово пола милиона запослених, док је раније било обухваћено 28.000.</w:t>
      </w:r>
      <w:r w:rsidRPr="00EC3C69">
        <w:rPr>
          <w:vertAlign w:val="superscript"/>
          <w:lang w:val="sr-Cyrl-CS"/>
        </w:rPr>
        <w:footnoteReference w:id="5"/>
      </w:r>
      <w:r w:rsidRPr="00EC3C69">
        <w:rPr>
          <w:lang w:val="sr-Cyrl-CS"/>
        </w:rPr>
        <w:t xml:space="preserve"> </w:t>
      </w:r>
    </w:p>
    <w:p w14:paraId="4EBE959E" w14:textId="33818255" w:rsidR="00EC3C69" w:rsidRPr="00EC3C69" w:rsidRDefault="00EC3C69" w:rsidP="00EC3C69">
      <w:r w:rsidRPr="00EC3C69">
        <w:rPr>
          <w:lang w:val="uz-Cyrl-UZ"/>
        </w:rPr>
        <w:t xml:space="preserve">Циљеви </w:t>
      </w:r>
      <w:r w:rsidRPr="00EC3C69">
        <w:rPr>
          <w:lang w:val="sr-Cyrl-CS"/>
        </w:rPr>
        <w:t>Стратегије РЈУ</w:t>
      </w:r>
      <w:r w:rsidRPr="00EC3C69">
        <w:rPr>
          <w:lang w:val="uz-Cyrl-UZ"/>
        </w:rPr>
        <w:t xml:space="preserve"> из 2014. представљају приоритете Владе истакнуте у експозеу председника Владе</w:t>
      </w:r>
      <w:r w:rsidRPr="00EC3C69">
        <w:rPr>
          <w:vertAlign w:val="superscript"/>
          <w:lang w:val="uz-Cyrl-UZ"/>
        </w:rPr>
        <w:footnoteReference w:id="6"/>
      </w:r>
      <w:r w:rsidRPr="00EC3C69">
        <w:rPr>
          <w:lang w:val="uz-Cyrl-UZ"/>
        </w:rPr>
        <w:t xml:space="preserve"> (повећање ефикасности пружања јавних услуга, модернизација јавне управе, дигитализација</w:t>
      </w:r>
      <w:r w:rsidRPr="00EC3C69">
        <w:rPr>
          <w:lang w:val="sr-Cyrl-CS"/>
        </w:rPr>
        <w:t>,</w:t>
      </w:r>
      <w:r w:rsidRPr="00EC3C69">
        <w:rPr>
          <w:lang w:val="uz-Cyrl-UZ"/>
        </w:rPr>
        <w:t xml:space="preserve"> е-управа, отворени подаци, реформа система плата и др.) и даље су развијани кроз Акциони план за спровођење Програма Владе (у даљем тексту: АПСПВ), План рада Владе и Програмски буџет.</w:t>
      </w:r>
      <w:r w:rsidRPr="00EC3C69">
        <w:rPr>
          <w:vertAlign w:val="superscript"/>
          <w:lang w:val="sr-Cyrl-CS"/>
        </w:rPr>
        <w:footnoteReference w:id="7"/>
      </w:r>
      <w:r w:rsidRPr="00EC3C69">
        <w:rPr>
          <w:lang w:val="uz-Cyrl-UZ"/>
        </w:rPr>
        <w:t xml:space="preserve"> </w:t>
      </w:r>
      <w:r w:rsidRPr="00EC3C69">
        <w:t>Експозе председника Владе од 28. октобра 2020. подвлачи наставак реформи у циљу ефикасне и одговорне управе (Потпоглавље 3.7).</w:t>
      </w:r>
      <w:r w:rsidRPr="00EC3C69">
        <w:rPr>
          <w:vertAlign w:val="superscript"/>
        </w:rPr>
        <w:footnoteReference w:id="8"/>
      </w:r>
      <w:r w:rsidR="00BD6638" w:rsidRPr="00BD6638">
        <w:rPr>
          <w:noProof/>
          <w:lang w:val="uz-Cyrl-UZ" w:eastAsia="en-US" w:bidi="ar-SA"/>
        </w:rPr>
        <w:t xml:space="preserve"> </w:t>
      </w:r>
    </w:p>
    <w:p w14:paraId="085A8FDD" w14:textId="3C9477F8" w:rsidR="001E1141" w:rsidRDefault="00EC3C69" w:rsidP="00EC3C69">
      <w:pPr>
        <w:rPr>
          <w:lang w:val="uz-Cyrl-UZ"/>
        </w:rPr>
      </w:pPr>
      <w:r w:rsidRPr="00EC3C69">
        <w:rPr>
          <w:lang w:val="uz-Cyrl-UZ"/>
        </w:rPr>
        <w:t>Влада је одредила чланство у ЕУ као свој први стратешки спољно</w:t>
      </w:r>
      <w:r w:rsidR="00D579C3">
        <w:rPr>
          <w:lang w:val="uz-Cyrl-UZ"/>
        </w:rPr>
        <w:t xml:space="preserve"> </w:t>
      </w:r>
      <w:r w:rsidRPr="00EC3C69">
        <w:rPr>
          <w:lang w:val="uz-Cyrl-UZ"/>
        </w:rPr>
        <w:t xml:space="preserve">политички приоритет. </w:t>
      </w:r>
      <w:r w:rsidRPr="00EC3C69">
        <w:rPr>
          <w:b/>
          <w:bCs/>
          <w:lang w:val="uz-Cyrl-UZ"/>
        </w:rPr>
        <w:t>Република Србија има статус кандидата од 2012. године за стицање чланства у ЕУ.</w:t>
      </w:r>
      <w:r w:rsidR="00BD6638">
        <w:rPr>
          <w:b/>
          <w:bCs/>
          <w:lang w:val="uz-Cyrl-UZ"/>
        </w:rPr>
        <w:t xml:space="preserve"> </w:t>
      </w:r>
      <w:r w:rsidR="001C0914">
        <w:rPr>
          <w:rStyle w:val="FootnoteReference"/>
          <w:b/>
          <w:bCs/>
          <w:lang w:val="uz-Cyrl-UZ"/>
        </w:rPr>
        <w:footnoteReference w:id="9"/>
      </w:r>
      <w:r w:rsidR="00BD6638" w:rsidRPr="00EC3C69">
        <w:rPr>
          <w:lang w:val="uz-Cyrl-UZ"/>
        </w:rPr>
        <w:t xml:space="preserve"> </w:t>
      </w:r>
      <w:r w:rsidRPr="00EC3C69">
        <w:rPr>
          <w:lang w:val="uz-Cyrl-UZ"/>
        </w:rPr>
        <w:t>У</w:t>
      </w:r>
      <w:r w:rsidRPr="00EC3C69">
        <w:rPr>
          <w:lang w:val="sr-Cyrl-CS"/>
        </w:rPr>
        <w:t xml:space="preserve"> процесу европских интеграција, реформа јавне управе нема своје преговарачко</w:t>
      </w:r>
      <w:r>
        <w:rPr>
          <w:lang w:val="sr-Cyrl-CS"/>
        </w:rPr>
        <w:t xml:space="preserve"> поглавље</w:t>
      </w:r>
      <w:r w:rsidR="003641CB" w:rsidRPr="000F0299">
        <w:t xml:space="preserve">, </w:t>
      </w:r>
      <w:r w:rsidRPr="00EC3C69">
        <w:rPr>
          <w:lang w:val="sr-Cyrl-CS"/>
        </w:rPr>
        <w:t>већ представља, заједно са владавином права и економским управљање</w:t>
      </w:r>
      <w:r w:rsidRPr="00EC3C69">
        <w:rPr>
          <w:lang w:val="uz-Cyrl-UZ"/>
        </w:rPr>
        <w:t>м</w:t>
      </w:r>
      <w:r w:rsidRPr="00EC3C69">
        <w:rPr>
          <w:lang w:val="sr-Cyrl-CS"/>
        </w:rPr>
        <w:t xml:space="preserve">, један од </w:t>
      </w:r>
      <w:r w:rsidRPr="00EC3C69">
        <w:rPr>
          <w:lang w:val="uz-Cyrl-UZ"/>
        </w:rPr>
        <w:t>предуслова за процес приступања ЕУ.</w:t>
      </w:r>
      <w:r w:rsidRPr="00EC3C69">
        <w:rPr>
          <w:vertAlign w:val="superscript"/>
          <w:lang w:val="uz-Cyrl-UZ"/>
        </w:rPr>
        <w:footnoteReference w:id="10"/>
      </w:r>
      <w:r w:rsidRPr="00EC3C69">
        <w:rPr>
          <w:lang w:val="uz-Cyrl-UZ"/>
        </w:rPr>
        <w:t xml:space="preserve"> Другим речима, </w:t>
      </w:r>
      <w:r w:rsidRPr="00EC3C69">
        <w:rPr>
          <w:b/>
          <w:bCs/>
          <w:lang w:val="uz-Cyrl-UZ"/>
        </w:rPr>
        <w:t xml:space="preserve">без административног </w:t>
      </w:r>
      <w:r w:rsidR="00BD6638">
        <w:rPr>
          <w:b/>
          <w:bCs/>
          <w:lang w:val="uz-Cyrl-UZ"/>
        </w:rPr>
        <w:t>к</w:t>
      </w:r>
      <w:r w:rsidRPr="00EC3C69">
        <w:rPr>
          <w:b/>
          <w:bCs/>
          <w:lang w:val="uz-Cyrl-UZ"/>
        </w:rPr>
        <w:t xml:space="preserve">апацитета нема предуслова за спровођење реформи предвиђених преговарачким поглављима или капацитета да држава као чланица </w:t>
      </w:r>
      <w:r w:rsidR="00B433D4">
        <w:rPr>
          <w:noProof/>
          <w:lang w:val="en-US" w:eastAsia="en-US" w:bidi="ar-SA"/>
        </w:rPr>
        <mc:AlternateContent>
          <mc:Choice Requires="wps">
            <w:drawing>
              <wp:anchor distT="0" distB="0" distL="114300" distR="114300" simplePos="0" relativeHeight="252163584" behindDoc="0" locked="0" layoutInCell="1" allowOverlap="1" wp14:anchorId="045A593F" wp14:editId="5DD8E085">
                <wp:simplePos x="0" y="0"/>
                <wp:positionH relativeFrom="margin">
                  <wp:posOffset>0</wp:posOffset>
                </wp:positionH>
                <wp:positionV relativeFrom="paragraph">
                  <wp:posOffset>925830</wp:posOffset>
                </wp:positionV>
                <wp:extent cx="5801995" cy="6061710"/>
                <wp:effectExtent l="0" t="0" r="27305" b="15240"/>
                <wp:wrapThrough wrapText="bothSides">
                  <wp:wrapPolygon edited="0">
                    <wp:start x="2908" y="0"/>
                    <wp:lineTo x="2411" y="68"/>
                    <wp:lineTo x="780" y="882"/>
                    <wp:lineTo x="567" y="1426"/>
                    <wp:lineTo x="71" y="2172"/>
                    <wp:lineTo x="0" y="2851"/>
                    <wp:lineTo x="0" y="21586"/>
                    <wp:lineTo x="18865" y="21586"/>
                    <wp:lineTo x="19219" y="21586"/>
                    <wp:lineTo x="20709" y="20772"/>
                    <wp:lineTo x="21489" y="19550"/>
                    <wp:lineTo x="21631" y="18939"/>
                    <wp:lineTo x="21631" y="0"/>
                    <wp:lineTo x="2908" y="0"/>
                  </wp:wrapPolygon>
                </wp:wrapThrough>
                <wp:docPr id="118" name="Round Diagonal Corner Rectangle 118"/>
                <wp:cNvGraphicFramePr/>
                <a:graphic xmlns:a="http://schemas.openxmlformats.org/drawingml/2006/main">
                  <a:graphicData uri="http://schemas.microsoft.com/office/word/2010/wordprocessingShape">
                    <wps:wsp>
                      <wps:cNvSpPr/>
                      <wps:spPr>
                        <a:xfrm>
                          <a:off x="0" y="0"/>
                          <a:ext cx="5801995" cy="6061710"/>
                        </a:xfrm>
                        <a:prstGeom prst="round2DiagRect">
                          <a:avLst/>
                        </a:prstGeom>
                        <a:solidFill>
                          <a:schemeClr val="bg1">
                            <a:lumMod val="95000"/>
                          </a:schemeClr>
                        </a:solidFill>
                        <a:ln>
                          <a:solidFill>
                            <a:schemeClr val="bg1">
                              <a:lumMod val="85000"/>
                              <a:alpha val="87000"/>
                            </a:schemeClr>
                          </a:solidFill>
                        </a:ln>
                      </wps:spPr>
                      <wps:style>
                        <a:lnRef idx="2">
                          <a:schemeClr val="accent5"/>
                        </a:lnRef>
                        <a:fillRef idx="1">
                          <a:schemeClr val="lt1"/>
                        </a:fillRef>
                        <a:effectRef idx="0">
                          <a:schemeClr val="accent5"/>
                        </a:effectRef>
                        <a:fontRef idx="minor">
                          <a:schemeClr val="dk1"/>
                        </a:fontRef>
                      </wps:style>
                      <wps:txbx>
                        <w:txbxContent>
                          <w:p w14:paraId="6D327763" w14:textId="1636C83F" w:rsidR="00876FFE" w:rsidRPr="00B533E8" w:rsidRDefault="00876FFE" w:rsidP="001E1141">
                            <w:pPr>
                              <w:autoSpaceDE w:val="0"/>
                              <w:adjustRightInd w:val="0"/>
                              <w:spacing w:before="0"/>
                              <w:ind w:firstLine="360"/>
                              <w:rPr>
                                <w:i/>
                                <w:sz w:val="20"/>
                                <w:szCs w:val="20"/>
                                <w:lang w:val="sr-Latn-RS"/>
                              </w:rPr>
                            </w:pPr>
                            <w:r w:rsidRPr="002D31C6">
                              <w:rPr>
                                <w:sz w:val="20"/>
                                <w:szCs w:val="20"/>
                                <w:lang w:val="sr-Cyrl-CS"/>
                              </w:rPr>
                              <w:t xml:space="preserve">У складу са одредбама члана 72. став 4. Споразума о стабилизацији и придруживању, који је ступио на снагу 1. септембра 2013. године,  предвиђено је да ће се усклађивање националног законодавства са законодавством ЕУ остварити на основу посебног програма, договореног између ЕК и Републике Србије. Након добијања статуса државе кандидата за чланство у </w:t>
                            </w:r>
                            <w:r w:rsidRPr="002D31C6">
                              <w:rPr>
                                <w:sz w:val="20"/>
                                <w:szCs w:val="20"/>
                                <w:lang w:val="sr-Latn-RS"/>
                              </w:rPr>
                              <w:t>E</w:t>
                            </w:r>
                            <w:r w:rsidRPr="002D31C6">
                              <w:rPr>
                                <w:sz w:val="20"/>
                                <w:szCs w:val="20"/>
                              </w:rPr>
                              <w:t>У</w:t>
                            </w:r>
                            <w:r w:rsidRPr="002D31C6">
                              <w:rPr>
                                <w:sz w:val="20"/>
                                <w:szCs w:val="20"/>
                                <w:lang w:val="sr-Cyrl-CS"/>
                              </w:rPr>
                              <w:t xml:space="preserve"> 2012. године, Влада је 28. фебруара 2013. године усвојила Национални програм за усвајање правних тековина Европске уније (НПАА), као свеобухватни план усклађивања домаћег правног поретка са правним тековинама ЕУ, који садржи планове у погледу мера, активности и рокова у циљу остваривања потпуне усаглашености са захтевима из правних тековина ЕУ, што обухвата:  правилно преношење правних тековина ЕУ у национално право (</w:t>
                            </w:r>
                            <w:r>
                              <w:rPr>
                                <w:sz w:val="20"/>
                                <w:szCs w:val="20"/>
                                <w:lang w:val="sr-Cyrl-CS"/>
                              </w:rPr>
                              <w:t xml:space="preserve">енг. </w:t>
                            </w:r>
                            <w:r w:rsidRPr="002D31C6">
                              <w:rPr>
                                <w:i/>
                                <w:iCs/>
                                <w:sz w:val="20"/>
                                <w:szCs w:val="20"/>
                                <w:lang w:val="sr-Cyrl-CS"/>
                              </w:rPr>
                              <w:t>transposition</w:t>
                            </w:r>
                            <w:r w:rsidRPr="002D31C6">
                              <w:rPr>
                                <w:sz w:val="20"/>
                                <w:szCs w:val="20"/>
                                <w:lang w:val="sr-Cyrl-CS"/>
                              </w:rPr>
                              <w:t>), спровођење (</w:t>
                            </w:r>
                            <w:r>
                              <w:rPr>
                                <w:sz w:val="20"/>
                                <w:szCs w:val="20"/>
                                <w:lang w:val="sr-Cyrl-CS"/>
                              </w:rPr>
                              <w:t xml:space="preserve">енг. </w:t>
                            </w:r>
                            <w:r w:rsidRPr="002D31C6">
                              <w:rPr>
                                <w:i/>
                                <w:iCs/>
                                <w:sz w:val="20"/>
                                <w:szCs w:val="20"/>
                                <w:lang w:val="sr-Cyrl-CS"/>
                              </w:rPr>
                              <w:t>implementation</w:t>
                            </w:r>
                            <w:r w:rsidRPr="002D31C6">
                              <w:rPr>
                                <w:sz w:val="20"/>
                                <w:szCs w:val="20"/>
                                <w:lang w:val="sr-Cyrl-CS"/>
                              </w:rPr>
                              <w:t>) и делотворну и ефикасну примену (</w:t>
                            </w:r>
                            <w:r>
                              <w:rPr>
                                <w:sz w:val="20"/>
                                <w:szCs w:val="20"/>
                                <w:lang w:val="sr-Cyrl-CS"/>
                              </w:rPr>
                              <w:t xml:space="preserve">енг. </w:t>
                            </w:r>
                            <w:r w:rsidRPr="002D31C6">
                              <w:rPr>
                                <w:i/>
                                <w:iCs/>
                                <w:sz w:val="20"/>
                                <w:szCs w:val="20"/>
                                <w:lang w:val="sr-Cyrl-CS"/>
                              </w:rPr>
                              <w:t>enforcement</w:t>
                            </w:r>
                            <w:r w:rsidRPr="002D31C6">
                              <w:rPr>
                                <w:sz w:val="20"/>
                                <w:szCs w:val="20"/>
                                <w:lang w:val="sr-Cyrl-CS"/>
                              </w:rPr>
                              <w:t>) кроз одговарајућу</w:t>
                            </w:r>
                            <w:r w:rsidRPr="002D31C6">
                              <w:rPr>
                                <w:sz w:val="20"/>
                                <w:szCs w:val="20"/>
                                <w:lang w:val="sr-Latn-RS"/>
                              </w:rPr>
                              <w:t xml:space="preserve"> </w:t>
                            </w:r>
                            <w:r w:rsidRPr="002D31C6">
                              <w:rPr>
                                <w:sz w:val="20"/>
                                <w:szCs w:val="20"/>
                                <w:lang w:val="sr-Cyrl-CS"/>
                              </w:rPr>
                              <w:t xml:space="preserve">институционалну структуру. Документ је у складу са развојем процеса европских интеграција до сада био ревидиран у </w:t>
                            </w:r>
                            <w:r w:rsidRPr="002D31C6">
                              <w:rPr>
                                <w:sz w:val="20"/>
                                <w:szCs w:val="20"/>
                              </w:rPr>
                              <w:t>три</w:t>
                            </w:r>
                            <w:r w:rsidRPr="002D31C6">
                              <w:rPr>
                                <w:sz w:val="20"/>
                                <w:szCs w:val="20"/>
                                <w:lang w:val="sr-Cyrl-CS"/>
                              </w:rPr>
                              <w:t xml:space="preserve"> наврата. Прву ревизију НПАА Влада је усвојила са отварањем преговора о приступању 2014. године, док је друга ревизија усвојена након завршеног скрининга</w:t>
                            </w:r>
                            <w:r>
                              <w:rPr>
                                <w:sz w:val="20"/>
                                <w:szCs w:val="20"/>
                                <w:lang w:val="sr-Cyrl-CS"/>
                              </w:rPr>
                              <w:t xml:space="preserve"> –</w:t>
                            </w:r>
                            <w:r w:rsidRPr="002D31C6">
                              <w:rPr>
                                <w:sz w:val="20"/>
                                <w:szCs w:val="20"/>
                                <w:lang w:val="sr-Cyrl-CS"/>
                              </w:rPr>
                              <w:t xml:space="preserve"> током</w:t>
                            </w:r>
                            <w:r w:rsidRPr="002D31C6">
                              <w:rPr>
                                <w:i/>
                                <w:sz w:val="20"/>
                                <w:szCs w:val="20"/>
                                <w:lang w:val="sr-Cyrl-CS"/>
                              </w:rPr>
                              <w:t xml:space="preserve"> </w:t>
                            </w:r>
                            <w:r w:rsidRPr="002D31C6">
                              <w:rPr>
                                <w:sz w:val="20"/>
                                <w:szCs w:val="20"/>
                                <w:lang w:val="sr-Cyrl-CS"/>
                              </w:rPr>
                              <w:t xml:space="preserve">пријема извештаја о скринингу, припреме акционих планова за испуњавање мерила за отварање преговора у појединим поглављима и припреме преговарачких позиција – 2016. </w:t>
                            </w:r>
                            <w:r w:rsidRPr="002D31C6">
                              <w:rPr>
                                <w:sz w:val="20"/>
                                <w:szCs w:val="20"/>
                                <w:lang w:val="ru-RU"/>
                              </w:rPr>
                              <w:t>г</w:t>
                            </w:r>
                            <w:r w:rsidRPr="002D31C6">
                              <w:rPr>
                                <w:sz w:val="20"/>
                                <w:szCs w:val="20"/>
                                <w:lang w:val="sr-Cyrl-CS"/>
                              </w:rPr>
                              <w:t xml:space="preserve">одине. Трећа по реду ревизија НПАА је усвојена </w:t>
                            </w:r>
                            <w:r w:rsidRPr="002D31C6">
                              <w:rPr>
                                <w:sz w:val="20"/>
                                <w:szCs w:val="20"/>
                                <w:lang w:val="sr-Latn-RS"/>
                              </w:rPr>
                              <w:t xml:space="preserve">1. </w:t>
                            </w:r>
                            <w:r w:rsidRPr="002D31C6">
                              <w:rPr>
                                <w:sz w:val="20"/>
                                <w:szCs w:val="20"/>
                              </w:rPr>
                              <w:t>м</w:t>
                            </w:r>
                            <w:r w:rsidRPr="002D31C6">
                              <w:rPr>
                                <w:sz w:val="20"/>
                                <w:szCs w:val="20"/>
                                <w:lang w:val="sr-Latn-RS"/>
                              </w:rPr>
                              <w:t xml:space="preserve">арта </w:t>
                            </w:r>
                            <w:r w:rsidRPr="002D31C6">
                              <w:rPr>
                                <w:sz w:val="20"/>
                                <w:szCs w:val="20"/>
                                <w:lang w:val="sr-Cyrl-CS"/>
                              </w:rPr>
                              <w:t>2018. године, а организована је у условима након отварања и привременог затварања одређеног броја поглавља, а током интензивне припреме докумената из процеса преговора у ци</w:t>
                            </w:r>
                            <w:r>
                              <w:rPr>
                                <w:sz w:val="20"/>
                                <w:szCs w:val="20"/>
                                <w:lang w:val="sr-Cyrl-CS"/>
                              </w:rPr>
                              <w:t xml:space="preserve">љу даљег напретка у преговорима: </w:t>
                            </w:r>
                            <w:hyperlink r:id="rId63" w:history="1">
                              <w:r w:rsidRPr="00823576">
                                <w:rPr>
                                  <w:rStyle w:val="Hyperlink"/>
                                  <w:i/>
                                  <w:sz w:val="20"/>
                                  <w:szCs w:val="20"/>
                                  <w:lang w:val="sr-Latn-RS"/>
                                </w:rPr>
                                <w:t>https://www.mei.gov.rs/srp/dokumenta/nacionalna-dokumenta/npaa</w:t>
                              </w:r>
                            </w:hyperlink>
                            <w:r>
                              <w:rPr>
                                <w:i/>
                                <w:sz w:val="20"/>
                                <w:szCs w:val="20"/>
                                <w:lang w:val="sr-Latn-RS"/>
                              </w:rPr>
                              <w:t xml:space="preserve"> </w:t>
                            </w:r>
                          </w:p>
                          <w:p w14:paraId="441B0B3F" w14:textId="022FAB07" w:rsidR="00876FFE" w:rsidRPr="001E1141" w:rsidRDefault="00876FFE" w:rsidP="001E1141">
                            <w:pPr>
                              <w:ind w:right="-18" w:firstLine="360"/>
                              <w:rPr>
                                <w:b/>
                                <w:sz w:val="20"/>
                                <w:szCs w:val="20"/>
                              </w:rPr>
                            </w:pPr>
                            <w:r w:rsidRPr="00B533E8">
                              <w:rPr>
                                <w:sz w:val="20"/>
                                <w:szCs w:val="20"/>
                              </w:rPr>
                              <w:t>НПАА је конципиран на начин да, између осталог, буду сагледане потребе РС</w:t>
                            </w:r>
                            <w:r w:rsidRPr="002D31C6">
                              <w:rPr>
                                <w:sz w:val="20"/>
                                <w:szCs w:val="20"/>
                              </w:rPr>
                              <w:t xml:space="preserve"> у погледу </w:t>
                            </w:r>
                            <w:r w:rsidRPr="002D31C6">
                              <w:rPr>
                                <w:b/>
                                <w:sz w:val="20"/>
                                <w:szCs w:val="20"/>
                              </w:rPr>
                              <w:t>успостављања административног и институционалног оквира који би омогућио адекватну примену прописа у свим релеватним областима, као и да буду обезбеђени подаци за дугорочно планирање.</w:t>
                            </w:r>
                            <w:r w:rsidRPr="002D31C6">
                              <w:rPr>
                                <w:sz w:val="20"/>
                                <w:szCs w:val="20"/>
                              </w:rPr>
                              <w:t xml:space="preserve"> </w:t>
                            </w:r>
                            <w:r>
                              <w:rPr>
                                <w:b/>
                                <w:sz w:val="20"/>
                                <w:szCs w:val="20"/>
                              </w:rPr>
                              <w:t>Конкретни</w:t>
                            </w:r>
                            <w:r w:rsidRPr="001E1141">
                              <w:rPr>
                                <w:b/>
                                <w:sz w:val="20"/>
                                <w:szCs w:val="20"/>
                              </w:rPr>
                              <w:t xml:space="preserve"> административни капацитети који </w:t>
                            </w:r>
                            <w:r>
                              <w:rPr>
                                <w:b/>
                                <w:sz w:val="20"/>
                                <w:szCs w:val="20"/>
                              </w:rPr>
                              <w:t>су мапирани</w:t>
                            </w:r>
                            <w:r w:rsidRPr="001E1141">
                              <w:rPr>
                                <w:b/>
                                <w:sz w:val="20"/>
                                <w:szCs w:val="20"/>
                              </w:rPr>
                              <w:t xml:space="preserve"> кроз НПАА, с обзиром да постоје у оквиру тог документа, неће посебно бити предмет Стратегије РЈУ, као другог документа јавне политике РС.</w:t>
                            </w:r>
                          </w:p>
                          <w:p w14:paraId="559329A7" w14:textId="05F897A6" w:rsidR="00876FFE" w:rsidRPr="00B533E8" w:rsidRDefault="00876FFE" w:rsidP="001E1141">
                            <w:pPr>
                              <w:ind w:right="-18" w:firstLine="360"/>
                              <w:rPr>
                                <w:sz w:val="20"/>
                                <w:szCs w:val="20"/>
                                <w:lang w:val="sr-Latn-RS"/>
                              </w:rPr>
                            </w:pPr>
                            <w:r w:rsidRPr="002D31C6">
                              <w:rPr>
                                <w:sz w:val="20"/>
                                <w:szCs w:val="20"/>
                              </w:rPr>
                              <w:t xml:space="preserve">Спровођење НПАА, прати се кроз извештавање Владе о реализацији утврђених планова, на тромесечном нивоу. Почев од треће ревизије НПАА, редовни извештаји се односе како на реализацију планова у погледу преосталог потребног усаглашавања домаћег законодавног оквира са правним тековинама ЕУ, тако и мера и активности спроведених ради успостављања или јачања институционалне структуре и административних капацитета релевантног за преношење, спровођење и примену правних тековина ЕУ. Редовни извештаји о спровођењу НПАА предмет су разматрања и радних тела Народне скупштине </w:t>
                            </w:r>
                            <w:r>
                              <w:rPr>
                                <w:sz w:val="20"/>
                                <w:szCs w:val="20"/>
                              </w:rPr>
                              <w:t>РС</w:t>
                            </w:r>
                            <w:r w:rsidRPr="002D31C6">
                              <w:rPr>
                                <w:sz w:val="20"/>
                                <w:szCs w:val="20"/>
                              </w:rPr>
                              <w:t xml:space="preserve">. Извештаји се, у делу законодавних активности, припремају на основу информација садржаних у посебној </w:t>
                            </w:r>
                            <w:r w:rsidRPr="002D31C6">
                              <w:rPr>
                                <w:sz w:val="20"/>
                                <w:szCs w:val="20"/>
                                <w:lang w:val="sr-Latn-RS"/>
                              </w:rPr>
                              <w:t xml:space="preserve">софтверској </w:t>
                            </w:r>
                            <w:r w:rsidRPr="002D31C6">
                              <w:rPr>
                                <w:sz w:val="20"/>
                                <w:szCs w:val="20"/>
                              </w:rPr>
                              <w:t xml:space="preserve">апликацији која прати НПАА, док се у делу мера потребних за успостављање административних и институционалних капацитета потребних за спровођење правних тековина ЕУ </w:t>
                            </w:r>
                            <w:r>
                              <w:rPr>
                                <w:sz w:val="20"/>
                                <w:szCs w:val="20"/>
                              </w:rPr>
                              <w:t>–</w:t>
                            </w:r>
                            <w:r w:rsidRPr="002D31C6">
                              <w:rPr>
                                <w:sz w:val="20"/>
                                <w:szCs w:val="20"/>
                              </w:rPr>
                              <w:t xml:space="preserve"> извештаји базирају на прилозима надлежних преговарачких група.</w:t>
                            </w:r>
                            <w:r>
                              <w:rPr>
                                <w:sz w:val="20"/>
                                <w:szCs w:val="20"/>
                                <w:lang w:val="sr-Latn-R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5A593F" id="Round Diagonal Corner Rectangle 118" o:spid="_x0000_s1027" style="position:absolute;left:0;text-align:left;margin-left:0;margin-top:72.9pt;width:456.85pt;height:477.3pt;z-index:25216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01995,6061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" adj="-11796480,,5400" path="m967019,l5801995,r,l5801995,5094691v,534070,-432949,967019,-967019,967019l,6061710r,l,967019c,432949,432949,,967019,xe" fillcolor="#f2f2f2 [3052]" strokecolor="#d8d8d8 [2732]" strokeweight="1pt">
                <v:stroke opacity="57054f" joinstyle="miter"/>
                <v:formulas/>
                <v:path arrowok="t" o:connecttype="custom" o:connectlocs="967019,0;5801995,0;5801995,0;5801995,5094691;4834976,6061710;0,6061710;0,6061710;0,967019;967019,0" o:connectangles="0,0,0,0,0,0,0,0,0" textboxrect="0,0,5801995,6061710"/>
                <v:textbox inset="0,0,0,0">
                  <w:txbxContent>
                    <w:p w14:paraId="6D327763" w14:textId="1636C83F" w:rsidR="00876FFE" w:rsidRPr="00B533E8" w:rsidRDefault="00876FFE" w:rsidP="001E1141">
                      <w:pPr>
                        <w:autoSpaceDE w:val="0"/>
                        <w:adjustRightInd w:val="0"/>
                        <w:spacing w:before="0"/>
                        <w:ind w:firstLine="360"/>
                        <w:rPr>
                          <w:i/>
                          <w:sz w:val="20"/>
                          <w:szCs w:val="20"/>
                          <w:lang w:val="sr-Latn-RS"/>
                        </w:rPr>
                      </w:pPr>
                      <w:r w:rsidRPr="002D31C6">
                        <w:rPr>
                          <w:sz w:val="20"/>
                          <w:szCs w:val="20"/>
                          <w:lang w:val="sr-Cyrl-CS"/>
                        </w:rPr>
                        <w:t xml:space="preserve">У складу са одредбама члана 72. став 4. Споразума о стабилизацији и придруживању, који је ступио на снагу 1. септембра 2013. године,  предвиђено је да ће се усклађивање националног законодавства са законодавством ЕУ остварити на основу посебног програма, договореног између ЕК и Републике Србије. Након добијања статуса државе кандидата за чланство у </w:t>
                      </w:r>
                      <w:r w:rsidRPr="002D31C6">
                        <w:rPr>
                          <w:sz w:val="20"/>
                          <w:szCs w:val="20"/>
                          <w:lang w:val="sr-Latn-RS"/>
                        </w:rPr>
                        <w:t>E</w:t>
                      </w:r>
                      <w:r w:rsidRPr="002D31C6">
                        <w:rPr>
                          <w:sz w:val="20"/>
                          <w:szCs w:val="20"/>
                        </w:rPr>
                        <w:t>У</w:t>
                      </w:r>
                      <w:r w:rsidRPr="002D31C6">
                        <w:rPr>
                          <w:sz w:val="20"/>
                          <w:szCs w:val="20"/>
                          <w:lang w:val="sr-Cyrl-CS"/>
                        </w:rPr>
                        <w:t xml:space="preserve"> 2012. године, Влада је 28. фебруара 2013. године усвојила Национални програм за усвајање правних тековина Европске уније (НПАА), као свеобухватни план усклађивања домаћег правног поретка са правним тековинама ЕУ, који садржи планове у погледу мера, активности и рокова у циљу остваривања потпуне усаглашености са захтевима из правних тековина ЕУ, што обухвата:  правилно преношење правних тековина ЕУ у национално право (</w:t>
                      </w:r>
                      <w:r>
                        <w:rPr>
                          <w:sz w:val="20"/>
                          <w:szCs w:val="20"/>
                          <w:lang w:val="sr-Cyrl-CS"/>
                        </w:rPr>
                        <w:t xml:space="preserve">енг. </w:t>
                      </w:r>
                      <w:r w:rsidRPr="002D31C6">
                        <w:rPr>
                          <w:i/>
                          <w:iCs/>
                          <w:sz w:val="20"/>
                          <w:szCs w:val="20"/>
                          <w:lang w:val="sr-Cyrl-CS"/>
                        </w:rPr>
                        <w:t>transposition</w:t>
                      </w:r>
                      <w:r w:rsidRPr="002D31C6">
                        <w:rPr>
                          <w:sz w:val="20"/>
                          <w:szCs w:val="20"/>
                          <w:lang w:val="sr-Cyrl-CS"/>
                        </w:rPr>
                        <w:t>), спровођење (</w:t>
                      </w:r>
                      <w:r>
                        <w:rPr>
                          <w:sz w:val="20"/>
                          <w:szCs w:val="20"/>
                          <w:lang w:val="sr-Cyrl-CS"/>
                        </w:rPr>
                        <w:t xml:space="preserve">енг. </w:t>
                      </w:r>
                      <w:r w:rsidRPr="002D31C6">
                        <w:rPr>
                          <w:i/>
                          <w:iCs/>
                          <w:sz w:val="20"/>
                          <w:szCs w:val="20"/>
                          <w:lang w:val="sr-Cyrl-CS"/>
                        </w:rPr>
                        <w:t>implementation</w:t>
                      </w:r>
                      <w:r w:rsidRPr="002D31C6">
                        <w:rPr>
                          <w:sz w:val="20"/>
                          <w:szCs w:val="20"/>
                          <w:lang w:val="sr-Cyrl-CS"/>
                        </w:rPr>
                        <w:t>) и делотворну и ефикасну примену (</w:t>
                      </w:r>
                      <w:r>
                        <w:rPr>
                          <w:sz w:val="20"/>
                          <w:szCs w:val="20"/>
                          <w:lang w:val="sr-Cyrl-CS"/>
                        </w:rPr>
                        <w:t xml:space="preserve">енг. </w:t>
                      </w:r>
                      <w:r w:rsidRPr="002D31C6">
                        <w:rPr>
                          <w:i/>
                          <w:iCs/>
                          <w:sz w:val="20"/>
                          <w:szCs w:val="20"/>
                          <w:lang w:val="sr-Cyrl-CS"/>
                        </w:rPr>
                        <w:t>enforcement</w:t>
                      </w:r>
                      <w:r w:rsidRPr="002D31C6">
                        <w:rPr>
                          <w:sz w:val="20"/>
                          <w:szCs w:val="20"/>
                          <w:lang w:val="sr-Cyrl-CS"/>
                        </w:rPr>
                        <w:t>) кроз одговарајућу</w:t>
                      </w:r>
                      <w:r w:rsidRPr="002D31C6">
                        <w:rPr>
                          <w:sz w:val="20"/>
                          <w:szCs w:val="20"/>
                          <w:lang w:val="sr-Latn-RS"/>
                        </w:rPr>
                        <w:t xml:space="preserve"> </w:t>
                      </w:r>
                      <w:r w:rsidRPr="002D31C6">
                        <w:rPr>
                          <w:sz w:val="20"/>
                          <w:szCs w:val="20"/>
                          <w:lang w:val="sr-Cyrl-CS"/>
                        </w:rPr>
                        <w:t xml:space="preserve">институционалну структуру. Документ је у складу са развојем процеса европских интеграција до сада био ревидиран у </w:t>
                      </w:r>
                      <w:r w:rsidRPr="002D31C6">
                        <w:rPr>
                          <w:sz w:val="20"/>
                          <w:szCs w:val="20"/>
                        </w:rPr>
                        <w:t>три</w:t>
                      </w:r>
                      <w:r w:rsidRPr="002D31C6">
                        <w:rPr>
                          <w:sz w:val="20"/>
                          <w:szCs w:val="20"/>
                          <w:lang w:val="sr-Cyrl-CS"/>
                        </w:rPr>
                        <w:t xml:space="preserve"> наврата. Прву ревизију НПАА Влада је усвојила са отварањем преговора о приступању 2014. године, док је друга ревизија усвојена након завршеног скрининга</w:t>
                      </w:r>
                      <w:r>
                        <w:rPr>
                          <w:sz w:val="20"/>
                          <w:szCs w:val="20"/>
                          <w:lang w:val="sr-Cyrl-CS"/>
                        </w:rPr>
                        <w:t xml:space="preserve"> –</w:t>
                      </w:r>
                      <w:r w:rsidRPr="002D31C6">
                        <w:rPr>
                          <w:sz w:val="20"/>
                          <w:szCs w:val="20"/>
                          <w:lang w:val="sr-Cyrl-CS"/>
                        </w:rPr>
                        <w:t xml:space="preserve"> током</w:t>
                      </w:r>
                      <w:r w:rsidRPr="002D31C6">
                        <w:rPr>
                          <w:i/>
                          <w:sz w:val="20"/>
                          <w:szCs w:val="20"/>
                          <w:lang w:val="sr-Cyrl-CS"/>
                        </w:rPr>
                        <w:t xml:space="preserve"> </w:t>
                      </w:r>
                      <w:r w:rsidRPr="002D31C6">
                        <w:rPr>
                          <w:sz w:val="20"/>
                          <w:szCs w:val="20"/>
                          <w:lang w:val="sr-Cyrl-CS"/>
                        </w:rPr>
                        <w:t xml:space="preserve">пријема извештаја о скринингу, припреме акционих планова за испуњавање мерила за отварање преговора у појединим поглављима и припреме преговарачких позиција – 2016. </w:t>
                      </w:r>
                      <w:r w:rsidRPr="002D31C6">
                        <w:rPr>
                          <w:sz w:val="20"/>
                          <w:szCs w:val="20"/>
                          <w:lang w:val="ru-RU"/>
                        </w:rPr>
                        <w:t>г</w:t>
                      </w:r>
                      <w:r w:rsidRPr="002D31C6">
                        <w:rPr>
                          <w:sz w:val="20"/>
                          <w:szCs w:val="20"/>
                          <w:lang w:val="sr-Cyrl-CS"/>
                        </w:rPr>
                        <w:t xml:space="preserve">одине. Трећа по реду ревизија НПАА је усвојена </w:t>
                      </w:r>
                      <w:r w:rsidRPr="002D31C6">
                        <w:rPr>
                          <w:sz w:val="20"/>
                          <w:szCs w:val="20"/>
                          <w:lang w:val="sr-Latn-RS"/>
                        </w:rPr>
                        <w:t xml:space="preserve">1. </w:t>
                      </w:r>
                      <w:r w:rsidRPr="002D31C6">
                        <w:rPr>
                          <w:sz w:val="20"/>
                          <w:szCs w:val="20"/>
                        </w:rPr>
                        <w:t>м</w:t>
                      </w:r>
                      <w:r w:rsidRPr="002D31C6">
                        <w:rPr>
                          <w:sz w:val="20"/>
                          <w:szCs w:val="20"/>
                          <w:lang w:val="sr-Latn-RS"/>
                        </w:rPr>
                        <w:t xml:space="preserve">арта </w:t>
                      </w:r>
                      <w:r w:rsidRPr="002D31C6">
                        <w:rPr>
                          <w:sz w:val="20"/>
                          <w:szCs w:val="20"/>
                          <w:lang w:val="sr-Cyrl-CS"/>
                        </w:rPr>
                        <w:t>2018. године, а организована је у условима након отварања и привременог затварања одређеног броја поглавља, а током интензивне припреме докумената из процеса преговора у ци</w:t>
                      </w:r>
                      <w:r>
                        <w:rPr>
                          <w:sz w:val="20"/>
                          <w:szCs w:val="20"/>
                          <w:lang w:val="sr-Cyrl-CS"/>
                        </w:rPr>
                        <w:t xml:space="preserve">љу даљег напретка у преговорима: </w:t>
                      </w:r>
                      <w:r>
                        <w:fldChar w:fldCharType="begin"/>
                      </w:r>
                      <w:r>
                        <w:instrText xml:space="preserve"> HYPERLINK "https://www.mei.gov.rs/srp/dokumenta/nacionalna-dokumenta/npaa" </w:instrText>
                      </w:r>
                      <w:r>
                        <w:fldChar w:fldCharType="separate"/>
                      </w:r>
                      <w:r w:rsidRPr="00823576">
                        <w:rPr>
                          <w:rStyle w:val="Hyperlink"/>
                          <w:i/>
                          <w:sz w:val="20"/>
                          <w:szCs w:val="20"/>
                          <w:lang w:val="sr-Latn-RS"/>
                        </w:rPr>
                        <w:t>https://www.mei.gov.rs/srp/dokumenta/nacionalna-dokumenta/npaa</w:t>
                      </w:r>
                      <w:r>
                        <w:rPr>
                          <w:rStyle w:val="Hyperlink"/>
                          <w:i/>
                          <w:sz w:val="20"/>
                          <w:szCs w:val="20"/>
                          <w:lang w:val="sr-Latn-RS"/>
                        </w:rPr>
                        <w:fldChar w:fldCharType="end"/>
                      </w:r>
                      <w:r>
                        <w:rPr>
                          <w:i/>
                          <w:sz w:val="20"/>
                          <w:szCs w:val="20"/>
                          <w:lang w:val="sr-Latn-RS"/>
                        </w:rPr>
                        <w:t xml:space="preserve"> </w:t>
                      </w:r>
                    </w:p>
                    <w:p w14:paraId="441B0B3F" w14:textId="022FAB07" w:rsidR="00876FFE" w:rsidRPr="001E1141" w:rsidRDefault="00876FFE" w:rsidP="001E1141">
                      <w:pPr>
                        <w:ind w:right="-18" w:firstLine="360"/>
                        <w:rPr>
                          <w:b/>
                          <w:sz w:val="20"/>
                          <w:szCs w:val="20"/>
                        </w:rPr>
                      </w:pPr>
                      <w:r w:rsidRPr="00B533E8">
                        <w:rPr>
                          <w:sz w:val="20"/>
                          <w:szCs w:val="20"/>
                        </w:rPr>
                        <w:t>НПАА је конципиран на начин да, између осталог, буду сагледане потребе РС</w:t>
                      </w:r>
                      <w:r w:rsidRPr="002D31C6">
                        <w:rPr>
                          <w:sz w:val="20"/>
                          <w:szCs w:val="20"/>
                        </w:rPr>
                        <w:t xml:space="preserve"> у погледу </w:t>
                      </w:r>
                      <w:r w:rsidRPr="002D31C6">
                        <w:rPr>
                          <w:b/>
                          <w:sz w:val="20"/>
                          <w:szCs w:val="20"/>
                        </w:rPr>
                        <w:t>успостављања административног и институционалног оквира који би омогућио адекватну примену прописа у свим релеватним областима, као и да буду обезбеђени подаци за дугорочно планирање.</w:t>
                      </w:r>
                      <w:r w:rsidRPr="002D31C6">
                        <w:rPr>
                          <w:sz w:val="20"/>
                          <w:szCs w:val="20"/>
                        </w:rPr>
                        <w:t xml:space="preserve"> </w:t>
                      </w:r>
                      <w:r>
                        <w:rPr>
                          <w:b/>
                          <w:sz w:val="20"/>
                          <w:szCs w:val="20"/>
                        </w:rPr>
                        <w:t>Конкретни</w:t>
                      </w:r>
                      <w:r w:rsidRPr="001E1141">
                        <w:rPr>
                          <w:b/>
                          <w:sz w:val="20"/>
                          <w:szCs w:val="20"/>
                        </w:rPr>
                        <w:t xml:space="preserve"> административни капацитети који </w:t>
                      </w:r>
                      <w:r>
                        <w:rPr>
                          <w:b/>
                          <w:sz w:val="20"/>
                          <w:szCs w:val="20"/>
                        </w:rPr>
                        <w:t>су мапирани</w:t>
                      </w:r>
                      <w:r w:rsidRPr="001E1141">
                        <w:rPr>
                          <w:b/>
                          <w:sz w:val="20"/>
                          <w:szCs w:val="20"/>
                        </w:rPr>
                        <w:t xml:space="preserve"> кроз НПАА, с обзиром да постоје у оквиру тог документа, неће посебно бити предмет Стратегије РЈУ, као другог документа јавне политике РС.</w:t>
                      </w:r>
                    </w:p>
                    <w:p w14:paraId="559329A7" w14:textId="05F897A6" w:rsidR="00876FFE" w:rsidRPr="00B533E8" w:rsidRDefault="00876FFE" w:rsidP="001E1141">
                      <w:pPr>
                        <w:ind w:right="-18" w:firstLine="360"/>
                        <w:rPr>
                          <w:sz w:val="20"/>
                          <w:szCs w:val="20"/>
                          <w:lang w:val="sr-Latn-RS"/>
                        </w:rPr>
                      </w:pPr>
                      <w:r w:rsidRPr="002D31C6">
                        <w:rPr>
                          <w:sz w:val="20"/>
                          <w:szCs w:val="20"/>
                        </w:rPr>
                        <w:t xml:space="preserve">Спровођење НПАА, прати се кроз извештавање Владе о реализацији утврђених планова, на тромесечном нивоу. Почев од треће ревизије НПАА, редовни извештаји се односе како на реализацију планова у погледу преосталог потребног усаглашавања домаћег законодавног оквира са правним тековинама ЕУ, тако и мера и активности спроведених ради успостављања или јачања институционалне структуре и административних капацитета релевантног за преношење, спровођење и примену правних тековина ЕУ. Редовни извештаји о спровођењу НПАА предмет су разматрања и радних тела Народне скупштине </w:t>
                      </w:r>
                      <w:r>
                        <w:rPr>
                          <w:sz w:val="20"/>
                          <w:szCs w:val="20"/>
                        </w:rPr>
                        <w:t>РС</w:t>
                      </w:r>
                      <w:r w:rsidRPr="002D31C6">
                        <w:rPr>
                          <w:sz w:val="20"/>
                          <w:szCs w:val="20"/>
                        </w:rPr>
                        <w:t xml:space="preserve">. Извештаји се, у делу законодавних активности, припремају на основу информација садржаних у посебној </w:t>
                      </w:r>
                      <w:r w:rsidRPr="002D31C6">
                        <w:rPr>
                          <w:sz w:val="20"/>
                          <w:szCs w:val="20"/>
                          <w:lang w:val="sr-Latn-RS"/>
                        </w:rPr>
                        <w:t xml:space="preserve">софтверској </w:t>
                      </w:r>
                      <w:r w:rsidRPr="002D31C6">
                        <w:rPr>
                          <w:sz w:val="20"/>
                          <w:szCs w:val="20"/>
                        </w:rPr>
                        <w:t xml:space="preserve">апликацији која прати НПАА, док се у делу мера потребних за успостављање административних и институционалних капацитета потребних за спровођење правних тековина ЕУ </w:t>
                      </w:r>
                      <w:r>
                        <w:rPr>
                          <w:sz w:val="20"/>
                          <w:szCs w:val="20"/>
                        </w:rPr>
                        <w:t>–</w:t>
                      </w:r>
                      <w:r w:rsidRPr="002D31C6">
                        <w:rPr>
                          <w:sz w:val="20"/>
                          <w:szCs w:val="20"/>
                        </w:rPr>
                        <w:t xml:space="preserve"> извештаји базирају на прилозима надлежних преговарачких група.</w:t>
                      </w:r>
                      <w:r>
                        <w:rPr>
                          <w:sz w:val="20"/>
                          <w:szCs w:val="20"/>
                          <w:lang w:val="sr-Latn-RS"/>
                        </w:rPr>
                        <w:t xml:space="preserve"> </w:t>
                      </w:r>
                    </w:p>
                  </w:txbxContent>
                </v:textbox>
                <w10:wrap type="through" anchorx="margin"/>
              </v:shape>
            </w:pict>
          </mc:Fallback>
        </mc:AlternateContent>
      </w:r>
      <w:r w:rsidRPr="00EC3C69">
        <w:rPr>
          <w:b/>
          <w:bCs/>
          <w:lang w:val="uz-Cyrl-UZ"/>
        </w:rPr>
        <w:t>ЕУ преузме обавезе</w:t>
      </w:r>
      <w:r w:rsidRPr="00EC3C69">
        <w:rPr>
          <w:lang w:val="uz-Cyrl-UZ"/>
        </w:rPr>
        <w:t xml:space="preserve">. </w:t>
      </w:r>
    </w:p>
    <w:p w14:paraId="7A6F25F2" w14:textId="16685BBF" w:rsidR="00EC3C69" w:rsidRPr="00EC3C69" w:rsidRDefault="00EC3C69" w:rsidP="00EC3C69">
      <w:pPr>
        <w:rPr>
          <w:i/>
          <w:lang w:val="uz-Cyrl-UZ"/>
        </w:rPr>
      </w:pPr>
      <w:r w:rsidRPr="00EC3C69">
        <w:rPr>
          <w:lang w:val="uz-Cyrl-UZ"/>
        </w:rPr>
        <w:t>Пошто нема правних тековина у области реформе јавне управе</w:t>
      </w:r>
      <w:r w:rsidRPr="00EC3C69">
        <w:rPr>
          <w:iCs/>
          <w:lang w:val="uz-Cyrl-UZ"/>
        </w:rPr>
        <w:t xml:space="preserve">, Европска комисија (у даљем тексту: ЕК), у сарадњи са Организацијом за економску сарадњу и развој (у даљем тексту: </w:t>
      </w:r>
      <w:r w:rsidRPr="00EC3C69">
        <w:rPr>
          <w:i/>
          <w:iCs/>
          <w:lang w:val="uz-Cyrl-UZ"/>
        </w:rPr>
        <w:t>OECD</w:t>
      </w:r>
      <w:r w:rsidRPr="00EC3C69">
        <w:rPr>
          <w:iCs/>
          <w:lang w:val="uz-Cyrl-UZ"/>
        </w:rPr>
        <w:t xml:space="preserve">) </w:t>
      </w:r>
      <w:r w:rsidRPr="00EC3C69">
        <w:rPr>
          <w:lang w:val="uz-Cyrl-UZ"/>
        </w:rPr>
        <w:t xml:space="preserve">кроз заједничку иницијативу за подршку унапређења јавне управе (у даљем тексту: </w:t>
      </w:r>
      <w:r w:rsidRPr="00EC3C69">
        <w:rPr>
          <w:i/>
          <w:lang w:val="sr-Latn-RS"/>
        </w:rPr>
        <w:t>SIGMA</w:t>
      </w:r>
      <w:r w:rsidRPr="00EC3C69">
        <w:rPr>
          <w:lang w:val="uz-Cyrl-UZ"/>
        </w:rPr>
        <w:t>), 2014. године развила је мерљиве стандарде добре управе</w:t>
      </w:r>
      <w:r w:rsidRPr="00EC3C69">
        <w:rPr>
          <w:lang w:val="sr-Latn-RS"/>
        </w:rPr>
        <w:t xml:space="preserve"> </w:t>
      </w:r>
      <w:r w:rsidRPr="00EC3C69">
        <w:t>у</w:t>
      </w:r>
      <w:r w:rsidR="002A7AD0">
        <w:t xml:space="preserve"> </w:t>
      </w:r>
      <w:r w:rsidRPr="00EC3C69">
        <w:t>документу</w:t>
      </w:r>
      <w:r w:rsidRPr="00EC3C69">
        <w:rPr>
          <w:lang w:val="uz-Cyrl-UZ"/>
        </w:rPr>
        <w:t xml:space="preserve"> Принципи јавне управе</w:t>
      </w:r>
      <w:r w:rsidRPr="00EC3C69">
        <w:rPr>
          <w:vertAlign w:val="superscript"/>
          <w:lang w:val="uz-Cyrl-UZ"/>
        </w:rPr>
        <w:footnoteReference w:id="11"/>
      </w:r>
      <w:r w:rsidRPr="00EC3C69">
        <w:rPr>
          <w:lang w:val="uz-Cyrl-UZ"/>
        </w:rPr>
        <w:t xml:space="preserve"> који су од 1999.</w:t>
      </w:r>
      <w:r w:rsidRPr="00EC3C69">
        <w:rPr>
          <w:vertAlign w:val="superscript"/>
          <w:lang w:val="uz-Cyrl-UZ"/>
        </w:rPr>
        <w:footnoteReference w:id="12"/>
      </w:r>
      <w:r w:rsidRPr="00EC3C69">
        <w:rPr>
          <w:lang w:val="uz-Cyrl-UZ"/>
        </w:rPr>
        <w:t xml:space="preserve"> развијани као м</w:t>
      </w:r>
      <w:r w:rsidRPr="00EC3C69">
        <w:rPr>
          <w:lang w:val="ru-RU"/>
        </w:rPr>
        <w:t xml:space="preserve">еханизам за процењивање нивоа развијености административних капацитета одређене државе. </w:t>
      </w:r>
      <w:r w:rsidRPr="00EC3C69">
        <w:rPr>
          <w:lang w:val="sr-Cyrl-CS"/>
        </w:rPr>
        <w:t>Принципи омогућавају државама да се међусобно упоређују и садрже оквир за праћење на основу којег се редовно анализира напредак држава у области реформе јавне управе (стратешки оквир, израда и координација јавних политика, УЉР, одговорност, пружање услуга</w:t>
      </w:r>
      <w:r w:rsidRPr="00EC3C69">
        <w:rPr>
          <w:lang w:val="ru-RU"/>
        </w:rPr>
        <w:t xml:space="preserve">, </w:t>
      </w:r>
      <w:r w:rsidRPr="00EC3C69">
        <w:t>управљање</w:t>
      </w:r>
      <w:r w:rsidRPr="00EC3C69">
        <w:rPr>
          <w:lang w:val="ru-RU"/>
        </w:rPr>
        <w:t xml:space="preserve"> </w:t>
      </w:r>
      <w:r w:rsidRPr="00EC3C69">
        <w:rPr>
          <w:lang w:val="sr-Cyrl-CS"/>
        </w:rPr>
        <w:t>јавним финансијама</w:t>
      </w:r>
      <w:r w:rsidRPr="00EC3C69">
        <w:rPr>
          <w:lang w:val="ru-RU"/>
        </w:rPr>
        <w:t>)</w:t>
      </w:r>
      <w:r w:rsidRPr="00EC3C69">
        <w:rPr>
          <w:lang w:val="sr-Cyrl-CS"/>
        </w:rPr>
        <w:t>.</w:t>
      </w:r>
      <w:r w:rsidRPr="00EC3C69">
        <w:rPr>
          <w:lang w:val="uz-Cyrl-UZ"/>
        </w:rPr>
        <w:t xml:space="preserve"> </w:t>
      </w:r>
      <w:r w:rsidRPr="00EC3C69">
        <w:rPr>
          <w:lang w:val="sr-Cyrl-CS"/>
        </w:rPr>
        <w:t>Стратегиј</w:t>
      </w:r>
      <w:r w:rsidRPr="00EC3C69">
        <w:rPr>
          <w:lang w:val="uz-Cyrl-UZ"/>
        </w:rPr>
        <w:t>а</w:t>
      </w:r>
      <w:r w:rsidRPr="00EC3C69">
        <w:rPr>
          <w:lang w:val="sr-Cyrl-CS"/>
        </w:rPr>
        <w:t xml:space="preserve"> проширења ЕУ на земље западног Балкана из 2018. године</w:t>
      </w:r>
      <w:r w:rsidRPr="00EC3C69">
        <w:rPr>
          <w:lang w:val="uz-Cyrl-UZ"/>
        </w:rPr>
        <w:t xml:space="preserve"> поново наглашава три предуслова за приступање ЕУ, али и које </w:t>
      </w:r>
      <w:r w:rsidRPr="00EC3C69">
        <w:rPr>
          <w:bCs/>
          <w:lang w:val="uz-Cyrl-UZ"/>
        </w:rPr>
        <w:t xml:space="preserve">кораке треба да предузму Црна Гора и Република Србија да би могле завршити процес приступања у 2025. години. </w:t>
      </w:r>
      <w:r w:rsidRPr="00EC3C69">
        <w:rPr>
          <w:lang w:val="uz-Cyrl-UZ"/>
        </w:rPr>
        <w:t xml:space="preserve">Предуслов администратвиних капацитета </w:t>
      </w:r>
      <w:r w:rsidRPr="00EC3C69">
        <w:t>нарочито подвлачи</w:t>
      </w:r>
      <w:r w:rsidRPr="00EC3C69">
        <w:rPr>
          <w:lang w:val="uz-Cyrl-UZ"/>
        </w:rPr>
        <w:t xml:space="preserve"> нова методологијa проширења </w:t>
      </w:r>
      <w:r w:rsidRPr="00EC3C69">
        <w:t>уз</w:t>
      </w:r>
      <w:r w:rsidRPr="00EC3C69">
        <w:rPr>
          <w:lang w:val="uz-Cyrl-UZ"/>
        </w:rPr>
        <w:t xml:space="preserve"> потребу да постоји јасна мапа пута у области реформе јавне управе и осталих предуслова.</w:t>
      </w:r>
      <w:r w:rsidRPr="00EC3C69">
        <w:rPr>
          <w:vertAlign w:val="superscript"/>
        </w:rPr>
        <w:t xml:space="preserve"> </w:t>
      </w:r>
      <w:r w:rsidRPr="00EC3C69">
        <w:rPr>
          <w:vertAlign w:val="superscript"/>
        </w:rPr>
        <w:footnoteReference w:id="13"/>
      </w:r>
      <w:r w:rsidRPr="00EC3C69">
        <w:rPr>
          <w:lang w:val="uz-Cyrl-UZ"/>
        </w:rPr>
        <w:t xml:space="preserve"> </w:t>
      </w:r>
    </w:p>
    <w:p w14:paraId="150FBD5D" w14:textId="567A2610" w:rsidR="00EC3C69" w:rsidRPr="00EC3C69" w:rsidRDefault="00EC3C69" w:rsidP="00EC3C69">
      <w:pPr>
        <w:rPr>
          <w:bCs/>
          <w:lang w:val="sr-Cyrl-CS"/>
        </w:rPr>
      </w:pPr>
      <w:r w:rsidRPr="00EC3C69">
        <w:rPr>
          <w:lang w:val="uz-Cyrl-UZ"/>
        </w:rPr>
        <w:t>С</w:t>
      </w:r>
      <w:r w:rsidRPr="00EC3C69">
        <w:rPr>
          <w:lang w:val="sr-Cyrl-CS"/>
        </w:rPr>
        <w:t>тратешки фокус – да се постигне циљ реформе у унапред утврђ</w:t>
      </w:r>
      <w:r w:rsidR="002A7AD0">
        <w:rPr>
          <w:lang w:val="sr-Cyrl-CS"/>
        </w:rPr>
        <w:t>е</w:t>
      </w:r>
      <w:r w:rsidRPr="00EC3C69">
        <w:rPr>
          <w:lang w:val="sr-Cyrl-CS"/>
        </w:rPr>
        <w:t xml:space="preserve">ним секторима (промена од финансирања појединих пројеката до дефинисаних секторских реформи са већим значајем мерења учинка и постизањем ширих резултата реформе) </w:t>
      </w:r>
      <w:r w:rsidRPr="00EC3C69">
        <w:rPr>
          <w:lang w:val="uz-Cyrl-UZ"/>
        </w:rPr>
        <w:t>уведен је</w:t>
      </w:r>
      <w:r w:rsidRPr="00EC3C69">
        <w:rPr>
          <w:lang w:val="sr-Cyrl-CS"/>
        </w:rPr>
        <w:t xml:space="preserve"> Инструментом за претприступну помоћ – </w:t>
      </w:r>
      <w:r w:rsidR="00AA6340" w:rsidRPr="00AA6340">
        <w:rPr>
          <w:i/>
          <w:lang w:val="sr-Cyrl-CS"/>
        </w:rPr>
        <w:t>IPA</w:t>
      </w:r>
      <w:r w:rsidRPr="00EC3C69">
        <w:rPr>
          <w:lang w:val="sr-Cyrl-CS"/>
        </w:rPr>
        <w:t xml:space="preserve"> </w:t>
      </w:r>
      <w:r w:rsidRPr="00EC3C69">
        <w:rPr>
          <w:lang w:val="el-GR"/>
        </w:rPr>
        <w:t>ΙΙ</w:t>
      </w:r>
      <w:r w:rsidRPr="00EC3C69">
        <w:rPr>
          <w:lang w:val="sr-Cyrl-CS"/>
        </w:rPr>
        <w:t xml:space="preserve"> за период 2014–2020. године, односно кроз финансијску и техничку помоћ ЕУ и наставља се кроз планирање </w:t>
      </w:r>
      <w:r w:rsidR="00AA6340" w:rsidRPr="00AA6340">
        <w:rPr>
          <w:i/>
          <w:lang w:val="sr-Cyrl-CS"/>
        </w:rPr>
        <w:t>IPA</w:t>
      </w:r>
      <w:r w:rsidRPr="00EC3C69">
        <w:rPr>
          <w:lang w:val="sr-Cyrl-CS"/>
        </w:rPr>
        <w:t xml:space="preserve"> </w:t>
      </w:r>
      <w:r w:rsidRPr="00EC3C69">
        <w:rPr>
          <w:lang w:val="uz-Cyrl-UZ"/>
        </w:rPr>
        <w:t>III</w:t>
      </w:r>
      <w:r w:rsidRPr="00EC3C69">
        <w:rPr>
          <w:lang w:val="sr-Cyrl-CS"/>
        </w:rPr>
        <w:t>.</w:t>
      </w:r>
      <w:r w:rsidRPr="00EC3C69">
        <w:rPr>
          <w:vertAlign w:val="superscript"/>
          <w:lang w:val="sr-Cyrl-CS"/>
        </w:rPr>
        <w:footnoteReference w:id="14"/>
      </w:r>
      <w:r w:rsidRPr="00EC3C69">
        <w:rPr>
          <w:lang w:val="sr-Cyrl-CS"/>
        </w:rPr>
        <w:t xml:space="preserve"> Један од финансијских инструмената </w:t>
      </w:r>
      <w:r w:rsidR="00AA6340" w:rsidRPr="00AA6340">
        <w:rPr>
          <w:i/>
          <w:lang w:val="sr-Cyrl-CS"/>
        </w:rPr>
        <w:t>IPA</w:t>
      </w:r>
      <w:r w:rsidRPr="00EC3C69">
        <w:rPr>
          <w:lang w:val="sr-Cyrl-CS"/>
        </w:rPr>
        <w:t xml:space="preserve"> </w:t>
      </w:r>
      <w:r w:rsidRPr="00EC3C69">
        <w:rPr>
          <w:lang w:val="el-GR"/>
        </w:rPr>
        <w:t>ΙΙ</w:t>
      </w:r>
      <w:r w:rsidRPr="00EC3C69">
        <w:rPr>
          <w:lang w:val="sr-Cyrl-CS"/>
        </w:rPr>
        <w:t xml:space="preserve"> јесте Секторска буџетска подршка. Финансијски споразум за финансирање Секторског реформског уговора за сектор реформе јавне управе и јавних финансија, Република Србија је потписала 5. децембра 2016. године</w:t>
      </w:r>
      <w:r w:rsidRPr="00EC3C69">
        <w:rPr>
          <w:lang w:val="uz-Cyrl-UZ"/>
        </w:rPr>
        <w:t xml:space="preserve"> на 80 милиона евра, од чега 70 милиона представља директну подршку буџету, а 10 милиона је предвиђено за техничку подршку реформи јавне управе кроз четири пројекта подршке.</w:t>
      </w:r>
      <w:r w:rsidRPr="00EC3C69">
        <w:rPr>
          <w:vertAlign w:val="superscript"/>
          <w:lang w:val="uz-Cyrl-UZ"/>
        </w:rPr>
        <w:footnoteReference w:id="15"/>
      </w:r>
      <w:r w:rsidRPr="00EC3C69">
        <w:rPr>
          <w:lang w:val="uz-Cyrl-UZ"/>
        </w:rPr>
        <w:t xml:space="preserve"> Средства се исплаћују пошто се испуне претходно утврђени показатељи, по фиксним и варијабилним годишњим траншама. </w:t>
      </w:r>
      <w:r w:rsidRPr="00EC3C69">
        <w:rPr>
          <w:lang w:val="sr-Cyrl-CS"/>
        </w:rPr>
        <w:t>Након што је процењен остварени напредак, ЕУ је 30. октобра 2018. године одобрила исплату по првом финансијском захтеву по основу испуњења преузетих обавеза у износу од 30,5 милиона евра</w:t>
      </w:r>
      <w:r w:rsidRPr="00EC3C69">
        <w:rPr>
          <w:vertAlign w:val="superscript"/>
          <w:lang w:val="sr-Cyrl-CS"/>
        </w:rPr>
        <w:footnoteReference w:id="16"/>
      </w:r>
      <w:r w:rsidRPr="00EC3C69">
        <w:rPr>
          <w:lang w:val="sr-Cyrl-CS"/>
        </w:rPr>
        <w:t xml:space="preserve"> и 2019. године 13.250.000 евра</w:t>
      </w:r>
      <w:r w:rsidRPr="00EC3C69">
        <w:rPr>
          <w:vertAlign w:val="superscript"/>
          <w:lang w:val="sr-Cyrl-CS"/>
        </w:rPr>
        <w:footnoteReference w:id="17"/>
      </w:r>
      <w:r w:rsidRPr="00EC3C69">
        <w:rPr>
          <w:lang w:val="sr-Cyrl-CS"/>
        </w:rPr>
        <w:t xml:space="preserve"> од укупно планираних 70 милиона</w:t>
      </w:r>
      <w:r w:rsidRPr="00EC3C69">
        <w:rPr>
          <w:lang w:val="uz-Cyrl-UZ"/>
        </w:rPr>
        <w:t xml:space="preserve">, </w:t>
      </w:r>
      <w:r w:rsidRPr="00EC3C69">
        <w:t>а документација за исплату треће транше у износу од 8.250.000 евра је у 2020. години поднета и у фази је одобравања.</w:t>
      </w:r>
      <w:r w:rsidRPr="00EC3C69">
        <w:rPr>
          <w:lang w:val="sr-Cyrl-CS"/>
        </w:rPr>
        <w:t xml:space="preserve"> У истом периоду, 2016. године,</w:t>
      </w:r>
      <w:r w:rsidRPr="00EC3C69">
        <w:rPr>
          <w:lang w:val="uz-Cyrl-UZ"/>
        </w:rPr>
        <w:t xml:space="preserve"> потписан</w:t>
      </w:r>
      <w:r w:rsidRPr="00EC3C69">
        <w:rPr>
          <w:lang w:val="sr-Cyrl-CS"/>
        </w:rPr>
        <w:t xml:space="preserve"> је </w:t>
      </w:r>
      <w:r w:rsidRPr="00EC3C69">
        <w:rPr>
          <w:lang w:val="uz-Cyrl-UZ"/>
        </w:rPr>
        <w:t>Програм за резултате Светске банке за Републику Србију</w:t>
      </w:r>
      <w:r w:rsidRPr="00EC3C69">
        <w:rPr>
          <w:vertAlign w:val="superscript"/>
          <w:lang w:val="uz-Cyrl-UZ"/>
        </w:rPr>
        <w:footnoteReference w:id="18"/>
      </w:r>
      <w:r w:rsidRPr="00EC3C69">
        <w:rPr>
          <w:lang w:val="uz-Cyrl-UZ"/>
        </w:rPr>
        <w:t xml:space="preserve"> као споразум о зајму на износ </w:t>
      </w:r>
      <w:r w:rsidRPr="00EC3C69">
        <w:rPr>
          <w:bCs/>
          <w:lang w:val="sr-Cyrl-CS"/>
        </w:rPr>
        <w:t xml:space="preserve">69 милиона евра за модернизацију и оптимизацију јавне управе. </w:t>
      </w:r>
    </w:p>
    <w:p w14:paraId="17E0436C" w14:textId="5A9C7992" w:rsidR="00EC3C69" w:rsidRPr="00EC3C69" w:rsidRDefault="00EC3C69" w:rsidP="00EC3C69">
      <w:pPr>
        <w:rPr>
          <w:bCs/>
          <w:lang w:val="sr-Cyrl-CS"/>
        </w:rPr>
      </w:pPr>
      <w:r w:rsidRPr="00EC3C69">
        <w:rPr>
          <w:bCs/>
          <w:lang w:val="uz-Cyrl-UZ"/>
        </w:rPr>
        <w:t>Да би се очувао континуитет реформи, али и ускладио процес реформи јавне управе са међународним документима релевантним за ту област, као што су Циљеви одрживог развоја Уједињених нација</w:t>
      </w:r>
      <w:r w:rsidRPr="00EC3C69">
        <w:rPr>
          <w:bCs/>
          <w:vertAlign w:val="superscript"/>
          <w:lang w:val="uz-Cyrl-UZ"/>
        </w:rPr>
        <w:footnoteReference w:id="19"/>
      </w:r>
      <w:r w:rsidRPr="00EC3C69">
        <w:rPr>
          <w:bCs/>
          <w:lang w:val="uz-Cyrl-UZ"/>
        </w:rPr>
        <w:t xml:space="preserve"> до 2030. године, као и са проценом неопходних капацитета и финансијских ресурса до могућег приступања ЕУ 2025. године, приступљено је изради десетогодишње стратегије и визије реформе јавне управе са прецизнијим акционим планом и процењеним трошковима до 2025. године. Додатно, у</w:t>
      </w:r>
      <w:r w:rsidRPr="00EC3C69">
        <w:rPr>
          <w:bCs/>
        </w:rPr>
        <w:t xml:space="preserve">след ситуације са кризом у 2020. години изазваном </w:t>
      </w:r>
      <w:r w:rsidR="00164787">
        <w:rPr>
          <w:bCs/>
        </w:rPr>
        <w:t>пандемијом</w:t>
      </w:r>
      <w:r w:rsidRPr="00EC3C69">
        <w:rPr>
          <w:bCs/>
        </w:rPr>
        <w:t xml:space="preserve"> ковид-</w:t>
      </w:r>
      <w:r w:rsidRPr="00EC3C69">
        <w:rPr>
          <w:bCs/>
          <w:lang w:val="uz-Cyrl-UZ"/>
        </w:rPr>
        <w:t xml:space="preserve">19, </w:t>
      </w:r>
      <w:r w:rsidRPr="00EC3C69">
        <w:rPr>
          <w:bCs/>
        </w:rPr>
        <w:t xml:space="preserve">која је представљала и тест реалности </w:t>
      </w:r>
      <w:r w:rsidRPr="00EC3C69">
        <w:rPr>
          <w:bCs/>
          <w:lang w:val="uz-Cyrl-UZ"/>
        </w:rPr>
        <w:t xml:space="preserve">за досадашње резултате реформе </w:t>
      </w:r>
      <w:r w:rsidRPr="00EC3C69">
        <w:rPr>
          <w:bCs/>
        </w:rPr>
        <w:t>(види тематске области пружања услуга и УЉР), циљеви и активности Стратегија РЈУ из 2014. усклађивани су са потребама и изазовима који су наметнути кроз прилагођен рад управе (рад на даљину, бесконтактне услуге, отпорност и прилагодљивост управе).</w:t>
      </w:r>
    </w:p>
    <w:p w14:paraId="4EAA27BF" w14:textId="3FE0C9A5" w:rsidR="003641CB" w:rsidRPr="000F0299" w:rsidRDefault="00EC3C69" w:rsidP="00EC3C69">
      <w:pPr>
        <w:rPr>
          <w:bCs/>
        </w:rPr>
      </w:pPr>
      <w:r w:rsidRPr="00EC3C69">
        <w:rPr>
          <w:bCs/>
          <w:lang w:val="uz-Cyrl-UZ"/>
        </w:rPr>
        <w:t xml:space="preserve">Како се </w:t>
      </w:r>
      <w:r w:rsidRPr="00EC3C69">
        <w:rPr>
          <w:lang w:val="sr-Cyrl-CS"/>
        </w:rPr>
        <w:t xml:space="preserve">напредак држава у области </w:t>
      </w:r>
      <w:r w:rsidRPr="00EC3C69">
        <w:rPr>
          <w:lang w:val="uz-Cyrl-UZ"/>
        </w:rPr>
        <w:t xml:space="preserve">реформе јавне управе </w:t>
      </w:r>
      <w:r w:rsidRPr="00EC3C69">
        <w:rPr>
          <w:lang w:val="sr-Cyrl-CS"/>
        </w:rPr>
        <w:t xml:space="preserve">прати преко </w:t>
      </w:r>
      <w:r w:rsidRPr="00EC3C69">
        <w:t>П</w:t>
      </w:r>
      <w:r w:rsidRPr="00EC3C69">
        <w:rPr>
          <w:lang w:val="sr-Cyrl-CS"/>
        </w:rPr>
        <w:t>ринципа јавне управе ЕУ/</w:t>
      </w:r>
      <w:r w:rsidRPr="00EC3C69">
        <w:rPr>
          <w:i/>
          <w:lang w:val="sr-Cyrl-CS"/>
        </w:rPr>
        <w:t>OECD</w:t>
      </w:r>
      <w:r w:rsidRPr="00EC3C69">
        <w:rPr>
          <w:lang w:val="sr-Cyrl-CS"/>
        </w:rPr>
        <w:t xml:space="preserve">, Посебна радна група која је формирана за израду Стратегије РЈУ анализирала је досадашње резултате и изазове у оквиру тематских области, односно Принципа јавне управе на централном нивоу. Додатно је анализирана локална самоуправа кроз коју се Принципи преламају на локалном нивоу, али их </w:t>
      </w:r>
      <w:r w:rsidRPr="00EC3C69">
        <w:rPr>
          <w:i/>
          <w:lang w:val="sr-Cyrl-CS"/>
        </w:rPr>
        <w:t xml:space="preserve">ОЕCD/SIGMA </w:t>
      </w:r>
      <w:r w:rsidRPr="00EC3C69">
        <w:rPr>
          <w:lang w:val="sr-Cyrl-CS"/>
        </w:rPr>
        <w:t xml:space="preserve">не прати одвојено у својим извештајима. Другим речима, </w:t>
      </w:r>
      <w:r w:rsidRPr="00EC3C69">
        <w:t>Принципи</w:t>
      </w:r>
      <w:r w:rsidRPr="00EC3C69">
        <w:rPr>
          <w:lang w:val="sr-Cyrl-CS"/>
        </w:rPr>
        <w:t xml:space="preserve"> </w:t>
      </w:r>
      <w:r w:rsidRPr="00EC3C69">
        <w:t xml:space="preserve">јавне управе представљају оквир, а анализе су допринеле поновном разматрању праваца реформе јавне управе и успостављању јасне везе између актуелне ситуације, изазова на терену и циљева и мера постављених за наредни период. </w:t>
      </w:r>
      <w:r w:rsidRPr="00EC3C69">
        <w:rPr>
          <w:lang w:val="sr-Cyrl-CS"/>
        </w:rPr>
        <w:t xml:space="preserve">Анализе ситуација са анализом проблема представљали су основ за формулацију циљева и мера кроз све тематске области. </w:t>
      </w:r>
    </w:p>
    <w:p w14:paraId="2802B0FE" w14:textId="58F811DD" w:rsidR="00EC3C69" w:rsidRPr="00EC3C69" w:rsidRDefault="00EC3C69" w:rsidP="00EC3C69">
      <w:pPr>
        <w:rPr>
          <w:lang w:val="sr-Cyrl-CS"/>
        </w:rPr>
      </w:pPr>
      <w:r w:rsidRPr="00EC3C69">
        <w:rPr>
          <w:bCs/>
          <w:lang w:val="sr-Cyrl-CS"/>
        </w:rPr>
        <w:t xml:space="preserve">Први Принцип јавне управе, који се односи на стратешки оквир реформе јавне управе, указује на то да постоји оквир у Републици Србији, али и на потребу да се он побољша у извесним аспектима. </w:t>
      </w:r>
      <w:r w:rsidRPr="00EC3C69">
        <w:rPr>
          <w:lang w:val="sr-Cyrl-CS"/>
        </w:rPr>
        <w:t>Сви релевантни извештаји</w:t>
      </w:r>
      <w:r w:rsidRPr="00EC3C69">
        <w:rPr>
          <w:lang w:val="uz-Cyrl-UZ"/>
        </w:rPr>
        <w:t xml:space="preserve">, </w:t>
      </w:r>
      <w:r w:rsidRPr="00EC3C69">
        <w:rPr>
          <w:lang w:val="sr-Cyrl-CS"/>
        </w:rPr>
        <w:t>попут извештаја ЕК, извештаја</w:t>
      </w:r>
      <w:r w:rsidRPr="00EC3C69" w:rsidDel="00AC378D">
        <w:rPr>
          <w:lang w:val="sr-Cyrl-CS"/>
        </w:rPr>
        <w:t xml:space="preserve"> </w:t>
      </w:r>
      <w:r w:rsidRPr="00EC3C69">
        <w:rPr>
          <w:i/>
          <w:lang w:val="sr-Cyrl-CS"/>
        </w:rPr>
        <w:t xml:space="preserve">ОЕCD/SIGMA </w:t>
      </w:r>
      <w:r w:rsidRPr="00EC3C69">
        <w:rPr>
          <w:lang w:val="sr-Cyrl-CS"/>
        </w:rPr>
        <w:t>о праћењу, као и Екстерне евалуације Стратегије реформе јавне управе у Србији (у даљем тексту: Извештај о екстерној евалуацији)</w:t>
      </w:r>
      <w:r w:rsidRPr="00EC3C69">
        <w:rPr>
          <w:lang w:val="uz-Cyrl-UZ"/>
        </w:rPr>
        <w:t>,</w:t>
      </w:r>
      <w:r w:rsidRPr="00EC3C69">
        <w:rPr>
          <w:lang w:val="sr-Cyrl-CS"/>
        </w:rPr>
        <w:t xml:space="preserve"> који су процењивали да ли постоји и какав је квалитет стратешког оквира реформе јавне управе</w:t>
      </w:r>
      <w:r w:rsidRPr="00EC3C69">
        <w:rPr>
          <w:lang w:val="uz-Cyrl-UZ"/>
        </w:rPr>
        <w:t xml:space="preserve"> </w:t>
      </w:r>
      <w:r w:rsidRPr="00EC3C69">
        <w:rPr>
          <w:lang w:val="sr-Cyrl-CS"/>
        </w:rPr>
        <w:t xml:space="preserve">констатовали су да стратешки оквир реформе јавне управе у Републици Србији постоји (максимална оцена </w:t>
      </w:r>
      <w:r w:rsidRPr="00EC3C69">
        <w:rPr>
          <w:iCs/>
          <w:lang w:val="sr-Cyrl-CS"/>
        </w:rPr>
        <w:t>5</w:t>
      </w:r>
      <w:r w:rsidRPr="00EC3C69">
        <w:rPr>
          <w:lang w:val="sr-Cyrl-CS"/>
        </w:rPr>
        <w:t xml:space="preserve"> на скали 0</w:t>
      </w:r>
      <w:r w:rsidRPr="00EC3C69">
        <w:rPr>
          <w:lang w:val="uz-Cyrl-UZ"/>
        </w:rPr>
        <w:t>–</w:t>
      </w:r>
      <w:r w:rsidRPr="00EC3C69">
        <w:rPr>
          <w:lang w:val="sr-Cyrl-CS"/>
        </w:rPr>
        <w:t xml:space="preserve">5 за комплетност стратешког оквира у </w:t>
      </w:r>
      <w:r w:rsidRPr="00EC3C69">
        <w:rPr>
          <w:i/>
          <w:lang w:val="sr-Cyrl-CS"/>
        </w:rPr>
        <w:t xml:space="preserve">ОЕCD/SIGMA </w:t>
      </w:r>
      <w:r w:rsidRPr="00EC3C69">
        <w:rPr>
          <w:lang w:val="sr-Cyrl-CS"/>
        </w:rPr>
        <w:t>Мониторинг извештају за Р</w:t>
      </w:r>
      <w:r w:rsidRPr="00EC3C69">
        <w:rPr>
          <w:lang w:val="uz-Cyrl-UZ"/>
        </w:rPr>
        <w:t xml:space="preserve">епублику </w:t>
      </w:r>
      <w:r w:rsidRPr="00EC3C69">
        <w:rPr>
          <w:lang w:val="sr-Cyrl-CS"/>
        </w:rPr>
        <w:t>Србију за 2017. годину),</w:t>
      </w:r>
      <w:r w:rsidRPr="00EC3C69">
        <w:rPr>
          <w:vertAlign w:val="superscript"/>
          <w:lang w:val="sr-Cyrl-CS"/>
        </w:rPr>
        <w:footnoteReference w:id="20"/>
      </w:r>
      <w:r w:rsidRPr="00EC3C69">
        <w:rPr>
          <w:lang w:val="sr-Cyrl-CS"/>
        </w:rPr>
        <w:t xml:space="preserve"> да се константно побољшава,</w:t>
      </w:r>
      <w:r w:rsidRPr="00EC3C69">
        <w:rPr>
          <w:vertAlign w:val="superscript"/>
          <w:lang w:val="sr-Cyrl-CS"/>
        </w:rPr>
        <w:footnoteReference w:id="21"/>
      </w:r>
      <w:r w:rsidRPr="00EC3C69">
        <w:rPr>
          <w:lang w:val="sr-Cyrl-CS"/>
        </w:rPr>
        <w:t xml:space="preserve"> да постоји оперативни оквир за праћење и извештавање, али да је неопходно ускладити Стратегију РЈУ са касније донетим ЗПС с обзиром да Стратегија РЈУ из 2014. није утврдила визију реформе, јасне циљеве са мерљивим показатељима, трајање документа или рокове за поједине циљеве. као и да су и даље актуелни изазови као што су ефикасна координација реформе, капацитети за спровођење реформе, велики број докумената јавних политика и недовољна видљивост постигнутих резултата реформе.</w:t>
      </w:r>
    </w:p>
    <w:p w14:paraId="1F90D370" w14:textId="3E26B5FC" w:rsidR="003641CB" w:rsidRPr="00EC3C69" w:rsidRDefault="00EC3C69" w:rsidP="00EC3C69">
      <w:pPr>
        <w:rPr>
          <w:lang w:val="ru-RU"/>
        </w:rPr>
      </w:pPr>
      <w:r w:rsidRPr="00EC3C69">
        <w:rPr>
          <w:lang w:val="ru-RU"/>
        </w:rPr>
        <w:t>Први циљ Извештаја о екстерној евалуацији</w:t>
      </w:r>
      <w:r w:rsidRPr="00EC3C69">
        <w:rPr>
          <w:vertAlign w:val="superscript"/>
          <w:lang w:val="ru-RU"/>
        </w:rPr>
        <w:footnoteReference w:id="22"/>
      </w:r>
      <w:r w:rsidRPr="00EC3C69">
        <w:rPr>
          <w:lang w:val="ru-RU"/>
        </w:rPr>
        <w:t xml:space="preserve"> односио се на процену</w:t>
      </w:r>
      <w:r w:rsidRPr="00EC3C69">
        <w:rPr>
          <w:lang w:val="sr-Cyrl-CS"/>
        </w:rPr>
        <w:t xml:space="preserve"> квалитета стратешког оквира реформе јавне управе. Резиме Извештаја о екстерној евалуацији указује на следеће:</w:t>
      </w:r>
    </w:p>
    <w:p w14:paraId="120C3CA4" w14:textId="6116FC30" w:rsidR="003641CB" w:rsidRPr="000F0299" w:rsidRDefault="003641CB" w:rsidP="00244E7C">
      <w:pPr>
        <w:rPr>
          <w:rFonts w:ascii="Arial Narrow" w:hAnsi="Arial Narrow" w:cstheme="minorHAnsi"/>
          <w:i/>
        </w:rPr>
      </w:pPr>
      <w:r w:rsidRPr="000F0299">
        <w:rPr>
          <w:i/>
        </w:rPr>
        <w:t>„</w:t>
      </w:r>
      <w:r w:rsidRPr="000F0299">
        <w:t xml:space="preserve">Свеукупно је утврђено да Стратегија и поред одређених </w:t>
      </w:r>
      <w:r w:rsidR="00787985" w:rsidRPr="000F0299">
        <w:t>ограничења</w:t>
      </w:r>
      <w:r w:rsidRPr="000F0299">
        <w:t xml:space="preserve"> као и два АП садрже високо релевантне циљеве и на адекватан начин одсликавају екстерну и интерну слику јавне управе у Србији, уз идентификацију кључних изазова и разумних начина да се на њих одговори у светлу потреба европских интеграција и добре управе. Такође се може закључити да се </w:t>
      </w:r>
      <w:r w:rsidRPr="000F0299">
        <w:rPr>
          <w:b/>
        </w:rPr>
        <w:t>квалитет докумената постепено повећавао</w:t>
      </w:r>
      <w:r w:rsidRPr="000F0299">
        <w:t xml:space="preserve">, што је довело до јасније формулисаних активности, осмишљавања мерљивих показатеља, и оперативног планирања које је у већој мери реалистично и реформски оријентисано. Осим тога, иако је израда Стратегије и првог АП за њено спровођење већ представљала </w:t>
      </w:r>
      <w:r w:rsidRPr="000F0299">
        <w:rPr>
          <w:b/>
        </w:rPr>
        <w:t>партиципаторни процес</w:t>
      </w:r>
      <w:r w:rsidRPr="000F0299">
        <w:t xml:space="preserve">, израда другог АП представља одличан пример континуиране укључености екстерних заинтересованих страна у процес израде, уз коришћење различитих метода укључивања. Таква унапређења представљају добре показатеље капацитета креатора стратешких докумената и њихове способности да уче и да се прилагођавају. Ипак, општи закључак је да је </w:t>
      </w:r>
      <w:r w:rsidRPr="000F0299">
        <w:rPr>
          <w:b/>
        </w:rPr>
        <w:t>тренутни стратешки оквир преамбициозан и није у потпуности усаглашен са ограниченим капацитетима управе</w:t>
      </w:r>
      <w:r w:rsidRPr="000F0299">
        <w:t xml:space="preserve"> у погледу спровођења реформских процеса. Иако су оба АП систематски коришћена да пробају успешно да реше читав низ недостатака у осмишљавању стратешких докумената, они су због своје природе били под ограничењима, а решење треба да буде</w:t>
      </w:r>
      <w:r w:rsidR="00787985">
        <w:t xml:space="preserve"> </w:t>
      </w:r>
      <w:r w:rsidRPr="000F0299">
        <w:t xml:space="preserve">у оквиру саме постојеће Стратегије. Сама Стратегија је према томе крајњи узрок ограниченог обима РЈУ у погледу начина на који је реформа осмишљена. Најкритичнији фактори у начину како је Стратегија осмишљена су: (а) </w:t>
      </w:r>
      <w:r w:rsidRPr="000F0299">
        <w:rPr>
          <w:b/>
        </w:rPr>
        <w:t>непостојање свеобухватне анализе</w:t>
      </w:r>
      <w:r w:rsidRPr="000F0299">
        <w:t xml:space="preserve"> основних проблема које Стратегија покушава да реши (па самим тим не даје јасно дефинисан концепт планираних реформи (укључујући јасну дефиницију опсега јавне управе и избор приоритетних проблема које треба решавати) као ни с тим повезана мерења на нивоу резултата; (б) што </w:t>
      </w:r>
      <w:r w:rsidRPr="000F0299">
        <w:rPr>
          <w:b/>
        </w:rPr>
        <w:t>не даје</w:t>
      </w:r>
      <w:r w:rsidRPr="000F0299">
        <w:t xml:space="preserve"> </w:t>
      </w:r>
      <w:r w:rsidRPr="000F0299">
        <w:rPr>
          <w:b/>
        </w:rPr>
        <w:t>јасан стратешки оквир за друга стратешка документа и односе хијерархије</w:t>
      </w:r>
      <w:r w:rsidRPr="000F0299">
        <w:t xml:space="preserve"> између докумената у вези са РЈУ, при чему неке кључне области РЈУ – а најважнија међу њима је свеукупна политика пружања услуга – не садрже јасно стратешко усмерење; (в) </w:t>
      </w:r>
      <w:r w:rsidRPr="000F0299">
        <w:rPr>
          <w:b/>
        </w:rPr>
        <w:t xml:space="preserve">није временски одређена, не садржи разматрање капацитета и ресурса </w:t>
      </w:r>
      <w:r w:rsidRPr="000F0299">
        <w:t xml:space="preserve">неопходних за спровођење, и </w:t>
      </w:r>
      <w:r w:rsidRPr="000F0299">
        <w:rPr>
          <w:b/>
        </w:rPr>
        <w:t>усредсређује се на продукте пре него на резултате;</w:t>
      </w:r>
      <w:r w:rsidRPr="000F0299">
        <w:t xml:space="preserve"> и (г) </w:t>
      </w:r>
      <w:r w:rsidRPr="000F0299">
        <w:rPr>
          <w:b/>
        </w:rPr>
        <w:t>не поседује дефинисане механизме управљања</w:t>
      </w:r>
      <w:r w:rsidRPr="000F0299">
        <w:t xml:space="preserve"> напретком и учинцима који би осигурали правовремено и делотворно праћење и спровођење.”</w:t>
      </w:r>
      <w:r w:rsidRPr="000F0299">
        <w:rPr>
          <w:rStyle w:val="FootnoteReference"/>
        </w:rPr>
        <w:footnoteReference w:id="23"/>
      </w:r>
      <w:r w:rsidRPr="000F0299">
        <w:rPr>
          <w:rFonts w:ascii="Arial Narrow" w:hAnsi="Arial Narrow" w:cstheme="minorHAnsi"/>
          <w:i/>
        </w:rPr>
        <w:t xml:space="preserve"> </w:t>
      </w:r>
    </w:p>
    <w:p w14:paraId="7A7F27F5" w14:textId="77777777" w:rsidR="003641CB" w:rsidRPr="000F0299" w:rsidRDefault="003641CB" w:rsidP="00244E7C">
      <w:r w:rsidRPr="000F0299">
        <w:t xml:space="preserve">Извештај о екстерној евалуацији додатно наводи: </w:t>
      </w:r>
    </w:p>
    <w:p w14:paraId="7B2CCDAC" w14:textId="19BAF5DE" w:rsidR="003641CB" w:rsidRPr="000F0299" w:rsidRDefault="003641CB" w:rsidP="00244E7C">
      <w:pPr>
        <w:rPr>
          <w:i/>
        </w:rPr>
      </w:pPr>
      <w:r w:rsidRPr="000F0299">
        <w:t xml:space="preserve">„Стратешки оквир за РЈУ је успостављен као свеобухватан оквир, међутим почев од 2017. године, Извештаји </w:t>
      </w:r>
      <w:r w:rsidR="0070535D" w:rsidRPr="0070535D">
        <w:rPr>
          <w:i/>
        </w:rPr>
        <w:t>SIGMA</w:t>
      </w:r>
      <w:r w:rsidRPr="000F0299">
        <w:t xml:space="preserve"> наводе да је квалитет планирања низак, посебно на нивоу оперативног планирања. Ова слабост је највећим делом последица</w:t>
      </w:r>
      <w:r w:rsidRPr="000F0299">
        <w:rPr>
          <w:b/>
        </w:rPr>
        <w:t xml:space="preserve"> преклапања и паралелизма између различитих планских активности </w:t>
      </w:r>
      <w:r w:rsidRPr="000F0299">
        <w:t>које предводе различите институције центра владе (ЦВ), нпр. Годишњи програм рада Владе који израђује Генерални секретаријат, Акциони план за спровођење Програма Владе који израђује Републички секретаријат за јавне политике. Осим тога, постоји тек врло ограничена веза између оперативног планирања и средњорочног планирања буџета, што је активност коју предводи М</w:t>
      </w:r>
      <w:r w:rsidR="002A7AD0">
        <w:t>инистарство финансија</w:t>
      </w:r>
      <w:r w:rsidRPr="000F0299">
        <w:t>. Неусклађеност између планских процеса често води мултипликацији сличних (или идентичних) информација у извештавању од стране запослених у ОДУ. Надаље, у случају РЈУ, постоји дуплирање система управљања документима. Такође, иако постоје институције задужене за осигурање система планирања на нивоу централне власти, координација политике сусреће се са изазовима у пракси услед формалних и процедуралних питања, пре него услед суштине, што за последицу има слабо стратешко планирање.”</w:t>
      </w:r>
      <w:r w:rsidRPr="000F0299">
        <w:rPr>
          <w:rStyle w:val="FootnoteReference"/>
          <w:iCs/>
        </w:rPr>
        <w:footnoteReference w:id="24"/>
      </w:r>
      <w:r w:rsidRPr="000F0299">
        <w:rPr>
          <w:i/>
        </w:rPr>
        <w:t xml:space="preserve"> </w:t>
      </w:r>
    </w:p>
    <w:p w14:paraId="00DB4071" w14:textId="39AEC6CD" w:rsidR="003641CB" w:rsidRPr="000F0299" w:rsidRDefault="003641CB" w:rsidP="00244E7C">
      <w:r w:rsidRPr="000F0299">
        <w:t xml:space="preserve">„У самој СРЈУ нема назнака о томе како (и </w:t>
      </w:r>
      <w:r w:rsidRPr="000F0299">
        <w:rPr>
          <w:b/>
        </w:rPr>
        <w:t>да ли) је спроведено утврђивање приоритета</w:t>
      </w:r>
      <w:r w:rsidRPr="000F0299">
        <w:t xml:space="preserve"> између међусобно супротстављених потреба реформе. С друге стране, до одређеног утврђивања приоритета унутар усвојене стратегије је ипак дошло услед фискалне консолидације и кроз АПСПВ (нпр. оптимизација, е-управа). Надаље, СРЈУ не даје свеобухватну дефиницију ЈУ, ни анализу заинтересованих страна, нити јасну поделу надлежности ОДУ и концепта делотворне координације. Поврх тога, </w:t>
      </w:r>
      <w:r w:rsidRPr="000F0299">
        <w:rPr>
          <w:b/>
        </w:rPr>
        <w:t>стратегија је формулисана више као академски документ него као документ јавне политике</w:t>
      </w:r>
      <w:r w:rsidRPr="000F0299">
        <w:t xml:space="preserve">, не бавећи се узроцима и не дефинишући СМАРТ елементе. Услед тога, СРЈУ не даје јасну дефиницију садржаја реформи, и не омогућава мерење учинка. У СРЈУ такође недостају показатељи, разматрање капацитета и ресурса неопходних за имплементацију, и усредсређена је више на ниво исхода (у облику „производа”) него на ниво резултата. Такође, СРЈУ није временски одређена. То су фактори који су допринели изазовима у имплементацији и праћењу, како ће касније у овом извештају бити приказано. Коначно, </w:t>
      </w:r>
      <w:r w:rsidRPr="000F0299">
        <w:rPr>
          <w:b/>
        </w:rPr>
        <w:t xml:space="preserve">постоји потреба да се Стратегија усклади са ЗПС и </w:t>
      </w:r>
      <w:r w:rsidR="0070535D" w:rsidRPr="0070535D">
        <w:rPr>
          <w:b/>
          <w:i/>
        </w:rPr>
        <w:t>SIGMA</w:t>
      </w:r>
      <w:r w:rsidRPr="000F0299">
        <w:rPr>
          <w:b/>
        </w:rPr>
        <w:t xml:space="preserve"> Принципима из 2017</w:t>
      </w:r>
      <w:r w:rsidRPr="000F0299">
        <w:t xml:space="preserve">, и да се </w:t>
      </w:r>
      <w:r w:rsidRPr="000F0299">
        <w:rPr>
          <w:b/>
        </w:rPr>
        <w:t>поново размотре циљеви у смислу остварених и потенцијално нових реформских тема.</w:t>
      </w:r>
      <w:r w:rsidRPr="000F0299">
        <w:t xml:space="preserve"> Нове теме, као што су јавне услуге или отворени подаци, али и е-управа без папира и друге шансе и циљеви за РЈУ као што су циљеви у вези са родном равноправношћу и климатским променама. Оба АП су осигурала континуитет циљева и мера РЈУ и такође додавала нове циљеве и мере (укључујући концепт родне равноправности). Међутим, слабости Стратегије су ограничиле ниво квалитета двају АП. Први АП је на иновативан начин увео СМАРТ елементе, али се на крају показало да је претерано амбициозан и тек у одређеној мери је омогућио делотворно праћење на нивоу резултата. Други АП је у већој мери усаглашен, са јасним линијама извештавања, и кориснијим подацима за праћење. АП 2018-2020 је у себе укључио одређени број неостварених циљева из АП 2015–2017. Други АП је скоро потпуно усаглашен са ЗПС, али свеукупна Стратегије није. Иако је родно неутрална, Стратегији недостаје анализа стања која обрађује питања рода и климатских промена као прожимајућа питања. Неке од главних тема РЈУ нису у довољној мери обрађене у СРЈУ и пратећим АП, на пример, управљање променама, комуникација, или напори за развој свеобухватне политике за пружање услуга. Такође, иако је то обухваћено ЗПС, за сада није утврђена политика о хијерархији стратешких докумената јавних политика.</w:t>
      </w:r>
    </w:p>
    <w:p w14:paraId="6FA0B9A6" w14:textId="77777777" w:rsidR="00907918" w:rsidRPr="00907918" w:rsidRDefault="00907918" w:rsidP="00907918">
      <w:pPr>
        <w:rPr>
          <w:iCs/>
          <w:lang w:val="sr-Cyrl-CS"/>
        </w:rPr>
      </w:pPr>
      <w:r w:rsidRPr="00907918">
        <w:rPr>
          <w:iCs/>
          <w:lang w:val="sr-Cyrl-CS"/>
        </w:rPr>
        <w:t xml:space="preserve">Циљеви Стратегије РЈУ </w:t>
      </w:r>
      <w:r w:rsidRPr="00907918">
        <w:rPr>
          <w:lang w:val="sr-Cyrl-CS"/>
        </w:rPr>
        <w:t xml:space="preserve">из 2014. </w:t>
      </w:r>
      <w:r w:rsidRPr="00907918">
        <w:rPr>
          <w:iCs/>
          <w:lang w:val="sr-Cyrl-CS"/>
        </w:rPr>
        <w:t>и пратећа два акциона плана су само у одређеној мери кореспондирали са капацитетима кључних заинтересованих страна које имплементирају стратегију. Са једне стране, имплементација Стратегије РЈУ је повећала укупан обим посла ЈУ. С друге стране, имплементација је углавном текла у условима постепеног смањења броја запослених и капацитета у ЈУ, и рационализације услед фискалне консолидације. У суштини, мање људи је требало да обави више посла. Осим тога, ниска стопа задржавања кадрова, слаба управљачка одговорност, и непостојање конкретних компетенција и вештина за нове задатке стајали су на путу одговарајућег упаривања капацитета за благовремено достизање постављених циљева. Укљученост заинтересованих страна у израду нацрта ова три документа се постепено повећавала. Израда Акционог Плана Стратегије РЈУ 2018–2020 је изузетно добар пример у погледу високог нивоа и широког спектра укључених заинтересованих страна, али и даље није постигнута пуна транспарентност процеса, као ни родни механизам.”</w:t>
      </w:r>
      <w:r w:rsidRPr="00907918">
        <w:rPr>
          <w:iCs/>
          <w:vertAlign w:val="superscript"/>
          <w:lang w:val="sr-Cyrl-CS"/>
        </w:rPr>
        <w:footnoteReference w:id="25"/>
      </w:r>
      <w:r w:rsidRPr="00907918">
        <w:rPr>
          <w:iCs/>
          <w:lang w:val="uz-Cyrl-UZ"/>
        </w:rPr>
        <w:t xml:space="preserve"> </w:t>
      </w:r>
    </w:p>
    <w:p w14:paraId="231180D8" w14:textId="68848784" w:rsidR="003641CB" w:rsidRDefault="00907918" w:rsidP="00907918">
      <w:pPr>
        <w:rPr>
          <w:lang w:val="sr-Cyrl-CS"/>
        </w:rPr>
      </w:pPr>
      <w:r w:rsidRPr="00907918">
        <w:rPr>
          <w:lang w:val="sr-Cyrl-CS"/>
        </w:rPr>
        <w:t xml:space="preserve">У складу са ЗПС, Стратегија РЈУ представља хијерархијски виши документ јавне политике за низ других докумената јавних политика. Чланом 54. </w:t>
      </w:r>
      <w:r w:rsidRPr="00907918">
        <w:rPr>
          <w:iCs/>
          <w:lang w:val="sr-Cyrl-CS"/>
        </w:rPr>
        <w:t xml:space="preserve">Уредбе </w:t>
      </w:r>
      <w:r w:rsidRPr="00907918">
        <w:rPr>
          <w:bCs/>
          <w:iCs/>
          <w:lang w:val="sr-Cyrl-CS"/>
        </w:rPr>
        <w:t>о методологији управљањ</w:t>
      </w:r>
      <w:r w:rsidRPr="00907918">
        <w:rPr>
          <w:bCs/>
          <w:iCs/>
          <w:lang w:val="sr-Latn-RS"/>
        </w:rPr>
        <w:t>a</w:t>
      </w:r>
      <w:r w:rsidRPr="00907918">
        <w:rPr>
          <w:bCs/>
          <w:iCs/>
          <w:lang w:val="sr-Cyrl-CS"/>
        </w:rPr>
        <w:t xml:space="preserve"> јавним политикама, анализи ефеката јавних политика и прописа и садржају појединачних докумената јавних политика </w:t>
      </w:r>
      <w:r w:rsidRPr="00907918">
        <w:rPr>
          <w:bCs/>
          <w:lang w:val="sr-Cyrl-CS"/>
        </w:rPr>
        <w:t>(</w:t>
      </w:r>
      <w:r w:rsidRPr="00907918">
        <w:rPr>
          <w:lang w:val="uz-Cyrl-UZ"/>
        </w:rPr>
        <w:t>,,</w:t>
      </w:r>
      <w:r w:rsidRPr="00907918">
        <w:rPr>
          <w:lang w:val="sr-Cyrl-CS"/>
        </w:rPr>
        <w:t>Службени гласник РС</w:t>
      </w:r>
      <w:r w:rsidRPr="00907918">
        <w:rPr>
          <w:lang w:val="uz-Cyrl-UZ"/>
        </w:rPr>
        <w:t>”</w:t>
      </w:r>
      <w:r w:rsidRPr="00907918">
        <w:rPr>
          <w:lang w:val="sr-Cyrl-CS"/>
        </w:rPr>
        <w:t>, број 8/19)</w:t>
      </w:r>
      <w:r w:rsidRPr="00907918">
        <w:rPr>
          <w:bCs/>
          <w:vertAlign w:val="superscript"/>
          <w:lang w:val="sr-Cyrl-CS"/>
        </w:rPr>
        <w:footnoteReference w:id="26"/>
      </w:r>
      <w:r w:rsidRPr="00907918">
        <w:rPr>
          <w:bCs/>
          <w:lang w:val="sr-Cyrl-CS"/>
        </w:rPr>
        <w:t xml:space="preserve"> (у даљем тексту: Уредба) предвиђено је да у</w:t>
      </w:r>
      <w:r w:rsidRPr="00907918">
        <w:rPr>
          <w:lang w:val="sr-Cyrl-CS"/>
        </w:rPr>
        <w:t>колико се документом јавне политике утврђују јавне политике з</w:t>
      </w:r>
      <w:r w:rsidRPr="00907918">
        <w:rPr>
          <w:lang w:val="sr-Latn-RS"/>
        </w:rPr>
        <w:t>a</w:t>
      </w:r>
      <w:r w:rsidRPr="00907918">
        <w:rPr>
          <w:lang w:val="sr-Cyrl-CS"/>
        </w:rPr>
        <w:t xml:space="preserve"> виш</w:t>
      </w:r>
      <w:r w:rsidRPr="00907918">
        <w:rPr>
          <w:lang w:val="sr-Latn-RS"/>
        </w:rPr>
        <w:t>e</w:t>
      </w:r>
      <w:r w:rsidRPr="00907918">
        <w:rPr>
          <w:lang w:val="sr-Cyrl-CS"/>
        </w:rPr>
        <w:t xml:space="preserve"> </w:t>
      </w:r>
      <w:r w:rsidRPr="00907918">
        <w:rPr>
          <w:lang w:val="sr-Latn-RS"/>
        </w:rPr>
        <w:t>o</w:t>
      </w:r>
      <w:r w:rsidRPr="00907918">
        <w:rPr>
          <w:lang w:val="sr-Cyrl-CS"/>
        </w:rPr>
        <w:t>бл</w:t>
      </w:r>
      <w:r w:rsidRPr="00907918">
        <w:rPr>
          <w:lang w:val="sr-Latn-RS"/>
        </w:rPr>
        <w:t>a</w:t>
      </w:r>
      <w:r w:rsidRPr="00907918">
        <w:rPr>
          <w:lang w:val="sr-Cyrl-CS"/>
        </w:rPr>
        <w:t>сти пл</w:t>
      </w:r>
      <w:r w:rsidRPr="00907918">
        <w:rPr>
          <w:lang w:val="sr-Latn-RS"/>
        </w:rPr>
        <w:t>a</w:t>
      </w:r>
      <w:r w:rsidRPr="00907918">
        <w:rPr>
          <w:lang w:val="sr-Cyrl-CS"/>
        </w:rPr>
        <w:t>нир</w:t>
      </w:r>
      <w:r w:rsidRPr="00907918">
        <w:rPr>
          <w:lang w:val="sr-Latn-RS"/>
        </w:rPr>
        <w:t>a</w:t>
      </w:r>
      <w:r w:rsidRPr="00907918">
        <w:rPr>
          <w:lang w:val="sr-Cyrl-CS"/>
        </w:rPr>
        <w:t>њ</w:t>
      </w:r>
      <w:r w:rsidRPr="00907918">
        <w:rPr>
          <w:lang w:val="sr-Latn-RS"/>
        </w:rPr>
        <w:t>a</w:t>
      </w:r>
      <w:r w:rsidRPr="00907918">
        <w:rPr>
          <w:lang w:val="sr-Cyrl-CS"/>
        </w:rPr>
        <w:t xml:space="preserve"> и спр</w:t>
      </w:r>
      <w:r w:rsidRPr="00907918">
        <w:rPr>
          <w:lang w:val="sr-Latn-RS"/>
        </w:rPr>
        <w:t>o</w:t>
      </w:r>
      <w:r w:rsidRPr="00907918">
        <w:rPr>
          <w:lang w:val="sr-Cyrl-CS"/>
        </w:rPr>
        <w:t>в</w:t>
      </w:r>
      <w:r w:rsidRPr="00907918">
        <w:rPr>
          <w:lang w:val="sr-Latn-RS"/>
        </w:rPr>
        <w:t>o</w:t>
      </w:r>
      <w:r w:rsidRPr="00907918">
        <w:rPr>
          <w:lang w:val="sr-Cyrl-CS"/>
        </w:rPr>
        <w:t>ђ</w:t>
      </w:r>
      <w:r w:rsidRPr="00907918">
        <w:rPr>
          <w:lang w:val="sr-Latn-RS"/>
        </w:rPr>
        <w:t>e</w:t>
      </w:r>
      <w:r w:rsidRPr="00907918">
        <w:rPr>
          <w:lang w:val="sr-Cyrl-CS"/>
        </w:rPr>
        <w:t>њ</w:t>
      </w:r>
      <w:r w:rsidRPr="00907918">
        <w:rPr>
          <w:lang w:val="sr-Latn-RS"/>
        </w:rPr>
        <w:t>a</w:t>
      </w:r>
      <w:r w:rsidRPr="00907918">
        <w:rPr>
          <w:lang w:val="sr-Cyrl-CS"/>
        </w:rPr>
        <w:t xml:space="preserve"> </w:t>
      </w:r>
      <w:r w:rsidRPr="00907918">
        <w:rPr>
          <w:lang w:val="sr-Latn-RS"/>
        </w:rPr>
        <w:t>ja</w:t>
      </w:r>
      <w:r w:rsidRPr="00907918">
        <w:rPr>
          <w:lang w:val="sr-Cyrl-CS"/>
        </w:rPr>
        <w:t>вних п</w:t>
      </w:r>
      <w:r w:rsidRPr="00907918">
        <w:rPr>
          <w:lang w:val="sr-Latn-RS"/>
        </w:rPr>
        <w:t>o</w:t>
      </w:r>
      <w:r w:rsidRPr="00907918">
        <w:rPr>
          <w:lang w:val="sr-Cyrl-CS"/>
        </w:rPr>
        <w:t>литик</w:t>
      </w:r>
      <w:r w:rsidRPr="00907918">
        <w:rPr>
          <w:lang w:val="sr-Latn-RS"/>
        </w:rPr>
        <w:t>a</w:t>
      </w:r>
      <w:r w:rsidRPr="00907918">
        <w:rPr>
          <w:lang w:val="sr-Cyrl-CS"/>
        </w:rPr>
        <w:t>, израђује се међусекторска стратегија. Једна од области планирања која је наведена у Уредби</w:t>
      </w:r>
      <w:r w:rsidRPr="00907918">
        <w:rPr>
          <w:vertAlign w:val="superscript"/>
          <w:lang w:val="sr-Cyrl-CS"/>
        </w:rPr>
        <w:footnoteReference w:id="27"/>
      </w:r>
      <w:r w:rsidRPr="00907918">
        <w:rPr>
          <w:vertAlign w:val="superscript"/>
          <w:lang w:val="sr-Cyrl-CS"/>
        </w:rPr>
        <w:t xml:space="preserve"> </w:t>
      </w:r>
      <w:r w:rsidRPr="00907918">
        <w:rPr>
          <w:lang w:val="sr-Cyrl-CS"/>
        </w:rPr>
        <w:t>јесте област јавне управе. Наводи се да су утврђене области планирања у директној вези са девет сектора</w:t>
      </w:r>
      <w:r>
        <w:t xml:space="preserve"> </w:t>
      </w:r>
      <w:r w:rsidRPr="00907918">
        <w:t xml:space="preserve">за </w:t>
      </w:r>
      <w:r w:rsidRPr="00907918">
        <w:rPr>
          <w:lang w:val="sr-Cyrl-CS"/>
        </w:rPr>
        <w:t xml:space="preserve">које је Влада утврдила да је потребно усвојити секторски приступ у процесу европских интеграција, које користи као полазну основу у планирању и спровођењу средстава ЕУ и координацији међународне развојне помоћи. Сличан приступ је имала и Стратегија РЈУ из 2014. као кровна стратегија реформе јавне управе, тако да су раније </w:t>
      </w:r>
      <w:r w:rsidRPr="00907918">
        <w:rPr>
          <w:iCs/>
          <w:lang w:val="sr-Cyrl-CS"/>
        </w:rPr>
        <w:t>з</w:t>
      </w:r>
      <w:r w:rsidRPr="00907918">
        <w:rPr>
          <w:lang w:val="sr-Cyrl-CS"/>
        </w:rPr>
        <w:t>а оба</w:t>
      </w:r>
      <w:r w:rsidRPr="00907918">
        <w:rPr>
          <w:lang w:val="uz-Cyrl-UZ"/>
        </w:rPr>
        <w:t xml:space="preserve"> акциона плана</w:t>
      </w:r>
      <w:r w:rsidRPr="00907918">
        <w:rPr>
          <w:i/>
          <w:iCs/>
          <w:lang w:val="sr-Cyrl-CS"/>
        </w:rPr>
        <w:t xml:space="preserve"> </w:t>
      </w:r>
      <w:r w:rsidRPr="00907918">
        <w:rPr>
          <w:iCs/>
          <w:lang w:val="sr-Cyrl-CS"/>
        </w:rPr>
        <w:t xml:space="preserve">за њено спровођење </w:t>
      </w:r>
      <w:r w:rsidRPr="00907918">
        <w:rPr>
          <w:lang w:val="sr-Cyrl-CS"/>
        </w:rPr>
        <w:t>утврђене две врсте</w:t>
      </w:r>
      <w:r w:rsidRPr="00907918">
        <w:rPr>
          <w:lang w:val="sr-Latn-RS"/>
        </w:rPr>
        <w:t xml:space="preserve"> </w:t>
      </w:r>
      <w:r w:rsidRPr="00907918">
        <w:rPr>
          <w:lang w:val="sr-Cyrl-CS"/>
        </w:rPr>
        <w:t xml:space="preserve">повезаних докумената јавних политика: подсекторске стратегије и побочне стратегије и акциони </w:t>
      </w:r>
      <w:r w:rsidR="009A46B6" w:rsidRPr="000F0299">
        <w:rPr>
          <w:noProof/>
          <w:lang w:val="en-US" w:eastAsia="en-US" w:bidi="ar-SA"/>
        </w:rPr>
        <w:drawing>
          <wp:anchor distT="0" distB="0" distL="114300" distR="114300" simplePos="0" relativeHeight="252164608" behindDoc="1" locked="0" layoutInCell="1" allowOverlap="1" wp14:anchorId="1B100418" wp14:editId="34581458">
            <wp:simplePos x="0" y="0"/>
            <wp:positionH relativeFrom="column">
              <wp:posOffset>8255</wp:posOffset>
            </wp:positionH>
            <wp:positionV relativeFrom="paragraph">
              <wp:posOffset>1776589</wp:posOffset>
            </wp:positionV>
            <wp:extent cx="5759450" cy="3215005"/>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3215005"/>
                    </a:xfrm>
                    <a:prstGeom prst="rect">
                      <a:avLst/>
                    </a:prstGeom>
                    <a:noFill/>
                  </pic:spPr>
                </pic:pic>
              </a:graphicData>
            </a:graphic>
          </wp:anchor>
        </w:drawing>
      </w:r>
      <w:r w:rsidRPr="00907918">
        <w:rPr>
          <w:lang w:val="sr-Cyrl-CS"/>
        </w:rPr>
        <w:t>планови.</w:t>
      </w:r>
      <w:r w:rsidRPr="00907918">
        <w:rPr>
          <w:vertAlign w:val="superscript"/>
          <w:lang w:val="uz-Cyrl-UZ"/>
        </w:rPr>
        <w:footnoteReference w:id="28"/>
      </w:r>
    </w:p>
    <w:p w14:paraId="18A92D44" w14:textId="77777777" w:rsidR="009A46B6" w:rsidRDefault="009A46B6" w:rsidP="009A46B6">
      <w:pPr>
        <w:pStyle w:val="Caption"/>
        <w:ind w:firstLine="0"/>
        <w:jc w:val="center"/>
        <w:rPr>
          <w:i w:val="0"/>
          <w:iCs w:val="0"/>
          <w:lang w:val="sr-Cyrl-RS"/>
        </w:rPr>
      </w:pPr>
      <w:bookmarkStart w:id="76" w:name="_Toc57564501"/>
    </w:p>
    <w:p w14:paraId="3C0151A3" w14:textId="623097AC" w:rsidR="009A46B6" w:rsidRPr="005C7060" w:rsidRDefault="009A46B6" w:rsidP="009A46B6">
      <w:pPr>
        <w:pStyle w:val="Caption"/>
        <w:ind w:firstLine="0"/>
        <w:jc w:val="center"/>
        <w:rPr>
          <w:i w:val="0"/>
          <w:iCs w:val="0"/>
          <w:lang w:val="sr-Cyrl-RS"/>
        </w:rPr>
      </w:pPr>
      <w:r w:rsidRPr="005C7060">
        <w:rPr>
          <w:i w:val="0"/>
          <w:iCs w:val="0"/>
          <w:lang w:val="sr-Cyrl-RS"/>
        </w:rPr>
        <w:t xml:space="preserve">Слика </w:t>
      </w:r>
      <w:r w:rsidRPr="005C7060">
        <w:rPr>
          <w:i w:val="0"/>
          <w:iCs w:val="0"/>
          <w:lang w:val="sr-Cyrl-RS"/>
        </w:rPr>
        <w:fldChar w:fldCharType="begin"/>
      </w:r>
      <w:r w:rsidRPr="005C7060">
        <w:rPr>
          <w:i w:val="0"/>
          <w:iCs w:val="0"/>
          <w:lang w:val="sr-Cyrl-RS"/>
        </w:rPr>
        <w:instrText xml:space="preserve"> SEQ Слика \* ARABIC </w:instrText>
      </w:r>
      <w:r w:rsidRPr="005C7060">
        <w:rPr>
          <w:i w:val="0"/>
          <w:iCs w:val="0"/>
          <w:lang w:val="sr-Cyrl-RS"/>
        </w:rPr>
        <w:fldChar w:fldCharType="separate"/>
      </w:r>
      <w:r w:rsidRPr="005C7060">
        <w:rPr>
          <w:i w:val="0"/>
          <w:iCs w:val="0"/>
          <w:noProof/>
          <w:lang w:val="sr-Cyrl-RS"/>
        </w:rPr>
        <w:t>3</w:t>
      </w:r>
      <w:r w:rsidRPr="005C7060">
        <w:rPr>
          <w:i w:val="0"/>
          <w:iCs w:val="0"/>
          <w:lang w:val="sr-Cyrl-RS"/>
        </w:rPr>
        <w:fldChar w:fldCharType="end"/>
      </w:r>
      <w:r w:rsidR="00187A3A">
        <w:rPr>
          <w:i w:val="0"/>
          <w:iCs w:val="0"/>
          <w:lang w:val="sr-Cyrl-RS"/>
        </w:rPr>
        <w:t>.</w:t>
      </w:r>
      <w:r w:rsidRPr="005C7060">
        <w:rPr>
          <w:i w:val="0"/>
          <w:iCs w:val="0"/>
          <w:lang w:val="sr-Cyrl-RS"/>
        </w:rPr>
        <w:t xml:space="preserve"> ДЈП по Стратегији РЈУ од 2014. године</w:t>
      </w:r>
      <w:bookmarkEnd w:id="76"/>
    </w:p>
    <w:p w14:paraId="23E22E82" w14:textId="77777777" w:rsidR="009A46B6" w:rsidRPr="009A46B6" w:rsidRDefault="009A46B6" w:rsidP="00907918"/>
    <w:p w14:paraId="024A6036" w14:textId="77777777" w:rsidR="00531E12" w:rsidRPr="00B774F7" w:rsidRDefault="00531E12" w:rsidP="00AA6340">
      <w:pPr>
        <w:pStyle w:val="Style1"/>
        <w:rPr>
          <w:lang w:val="sr-Cyrl-CS"/>
        </w:rPr>
      </w:pPr>
      <w:bookmarkStart w:id="77" w:name="_Hlk57497731"/>
      <w:r w:rsidRPr="00B774F7">
        <w:rPr>
          <w:lang w:val="sr-Cyrl-CS"/>
        </w:rPr>
        <w:t>Приказ упоредне праксе</w:t>
      </w:r>
    </w:p>
    <w:p w14:paraId="7A59974F" w14:textId="58C63937" w:rsidR="00531E12" w:rsidRPr="00531E12" w:rsidRDefault="00531E12" w:rsidP="00531E12">
      <w:r w:rsidRPr="00531E12">
        <w:t xml:space="preserve">Последњи доступни подаци о квалитету различитих аспеката стратешког оквира за РЈУ датирају из 2017. године у </w:t>
      </w:r>
      <w:r w:rsidR="0070535D" w:rsidRPr="0070535D">
        <w:rPr>
          <w:i/>
        </w:rPr>
        <w:t>SIGMA</w:t>
      </w:r>
      <w:r w:rsidRPr="00531E12">
        <w:t xml:space="preserve"> извештајима за појединачне државе Западног Балкана. Стратешки оквир РЈУ у Србији </w:t>
      </w:r>
      <w:r w:rsidR="00AA6340">
        <w:t xml:space="preserve">има </w:t>
      </w:r>
      <w:r w:rsidRPr="00531E12">
        <w:t>сличн</w:t>
      </w:r>
      <w:r w:rsidR="00AA6340">
        <w:t>е</w:t>
      </w:r>
      <w:r w:rsidRPr="00531E12">
        <w:t xml:space="preserve"> мањкавости као и остатак региона, нарочито у погледу минималног захтеваног садржаја докумената у стратешком оквиру, реформске оријентације планираних активности, слабог обухвата мерења исхода, процене трошкова и функционисања различитих видова управљања и координације. Црна Гора је постигла најбоље резултате у смислу квалитета стратешког оквира јер су сви документи били крајње реформски оријентисани са добро разрађеним показатељима на нивоу исхода и доследном и свеобухватном проценом трошкова. Остварила је 21 од максималних 23 поена за одговарајући показатељ, укључујући 7 од 7 поена за под-показатељ који мери заступљеност очекиваног садржаја у свим стратешким документима. Поређења ради, Србија је остварила 12 од максималних 23 поена, и само 3 од 7 за присуство минималног садржаја у документима јавних политика под РЈУ.</w:t>
      </w:r>
    </w:p>
    <w:p w14:paraId="5A0EAB89" w14:textId="048CC458" w:rsidR="00531E12" w:rsidRPr="00972CB0" w:rsidRDefault="00531E12" w:rsidP="00531E12">
      <w:r w:rsidRPr="00531E12">
        <w:t>Израдом АП С</w:t>
      </w:r>
      <w:r w:rsidR="00D370E9">
        <w:t xml:space="preserve">тратегије </w:t>
      </w:r>
      <w:r w:rsidRPr="00531E12">
        <w:t>РЈУ за 2018-2020. годину, ревизијом ПРУЈФ и израдом Програма за развој електронске управе 2020-2022, Србија је направила важан искорак у унапређењу стратешког оквира за наведене показатеље. Такође</w:t>
      </w:r>
      <w:r w:rsidR="00D370E9">
        <w:t xml:space="preserve">, </w:t>
      </w:r>
      <w:r w:rsidRPr="00531E12">
        <w:t xml:space="preserve">у </w:t>
      </w:r>
      <w:r w:rsidR="0070535D" w:rsidRPr="0070535D">
        <w:rPr>
          <w:i/>
        </w:rPr>
        <w:t>SIGMA</w:t>
      </w:r>
      <w:r w:rsidRPr="00531E12">
        <w:t xml:space="preserve"> процени 2017. године уочено </w:t>
      </w:r>
      <w:r w:rsidR="00D370E9">
        <w:t xml:space="preserve">је </w:t>
      </w:r>
      <w:r w:rsidRPr="00531E12">
        <w:t>да различити делови стратешког оквира за РЈУ неуравнотежено носе бодове за овај критеријум. Усвајањем ЗПС у 2018. години многи од идентификованих недостатака су смањени, или отклоњени што омогућава развој и спровођење усклађенијег оквира.</w:t>
      </w:r>
    </w:p>
    <w:p w14:paraId="5806F9C7" w14:textId="4675A618" w:rsidR="009A46B6" w:rsidRPr="000F0299" w:rsidRDefault="009A46B6" w:rsidP="009A46B6">
      <w:pPr>
        <w:keepNext/>
        <w:ind w:firstLine="0"/>
      </w:pPr>
      <w:bookmarkStart w:id="78" w:name="_Hlk56621896"/>
      <w:bookmarkEnd w:id="77"/>
    </w:p>
    <w:p w14:paraId="141850A7" w14:textId="66D8C1C1" w:rsidR="003641CB" w:rsidRDefault="003641CB" w:rsidP="00A260D9">
      <w:pPr>
        <w:pStyle w:val="Heading4"/>
        <w:rPr>
          <w:lang w:val="sr-Cyrl-RS"/>
        </w:rPr>
      </w:pPr>
      <w:bookmarkStart w:id="79" w:name="_Toc40182228"/>
      <w:bookmarkStart w:id="80" w:name="_Toc40183045"/>
      <w:bookmarkStart w:id="81" w:name="_Toc45013945"/>
      <w:bookmarkEnd w:id="78"/>
      <w:r w:rsidRPr="000F0299">
        <w:rPr>
          <w:lang w:val="sr-Cyrl-RS"/>
        </w:rPr>
        <w:t>Кључни резултати и изазови у претходном периоду</w:t>
      </w:r>
      <w:bookmarkEnd w:id="79"/>
      <w:bookmarkEnd w:id="80"/>
      <w:bookmarkEnd w:id="81"/>
    </w:p>
    <w:p w14:paraId="248E0832" w14:textId="77777777" w:rsidR="00374B1E" w:rsidRPr="00374B1E" w:rsidRDefault="00374B1E" w:rsidP="00374B1E">
      <w:pPr>
        <w:rPr>
          <w:lang w:eastAsia="en-US" w:bidi="ar-SA"/>
        </w:rPr>
      </w:pPr>
    </w:p>
    <w:p w14:paraId="675201ED" w14:textId="3E1212C2" w:rsidR="00907918" w:rsidRPr="00907918" w:rsidRDefault="00907918" w:rsidP="00907918">
      <w:pPr>
        <w:rPr>
          <w:bCs/>
          <w:lang w:val="sr-Cyrl-CS"/>
        </w:rPr>
      </w:pPr>
      <w:r w:rsidRPr="00907918">
        <w:rPr>
          <w:lang w:val="sr-Cyrl-CS"/>
        </w:rPr>
        <w:t>Резултати примене постојећег стратешког оквира постоје у многобројним областима које се тичу грађана и привреде (</w:t>
      </w:r>
      <w:r w:rsidRPr="00907918">
        <w:rPr>
          <w:b/>
          <w:lang w:val="sr-Cyrl-CS"/>
        </w:rPr>
        <w:t>боље координисан инспекцијски надзор</w:t>
      </w:r>
      <w:r w:rsidRPr="00907918">
        <w:rPr>
          <w:lang w:val="sr-Cyrl-CS"/>
        </w:rPr>
        <w:t xml:space="preserve">, </w:t>
      </w:r>
      <w:r w:rsidRPr="00907918">
        <w:rPr>
          <w:b/>
          <w:lang w:val="sr-Cyrl-CS"/>
        </w:rPr>
        <w:t>службена размена евиденција и увођење јединственог управног места, отварање података, јавне финансије, транспарент</w:t>
      </w:r>
      <w:r w:rsidR="002A7AD0">
        <w:rPr>
          <w:b/>
          <w:lang w:val="sr-Cyrl-CS"/>
        </w:rPr>
        <w:t>н</w:t>
      </w:r>
      <w:r w:rsidRPr="00907918">
        <w:rPr>
          <w:b/>
          <w:lang w:val="sr-Cyrl-CS"/>
        </w:rPr>
        <w:t>ији и инклузивнији процес планирања јавних политика и планирања родно сензитивног буџета, дигитализација</w:t>
      </w:r>
      <w:r w:rsidRPr="00907918">
        <w:rPr>
          <w:lang w:val="sr-Cyrl-CS"/>
        </w:rPr>
        <w:t xml:space="preserve"> </w:t>
      </w:r>
      <w:r w:rsidRPr="00907918">
        <w:rPr>
          <w:b/>
          <w:lang w:val="sr-Cyrl-CS"/>
        </w:rPr>
        <w:t>бројних услуга</w:t>
      </w:r>
      <w:r w:rsidRPr="00907918">
        <w:rPr>
          <w:lang w:val="sr-Cyrl-CS"/>
        </w:rPr>
        <w:t xml:space="preserve"> итд.),</w:t>
      </w:r>
      <w:r w:rsidRPr="00907918">
        <w:rPr>
          <w:vertAlign w:val="superscript"/>
          <w:lang w:val="sr-Cyrl-CS"/>
        </w:rPr>
        <w:footnoteReference w:id="29"/>
      </w:r>
      <w:r w:rsidRPr="00907918">
        <w:rPr>
          <w:lang w:val="sr-Cyrl-CS"/>
        </w:rPr>
        <w:t xml:space="preserve"> али стопа спровођења, иако бележи тренд раста, и даље остаје на половини од зацртаног (46% у 2018. години, 57% у 2019. години).</w:t>
      </w:r>
      <w:r w:rsidRPr="00907918">
        <w:rPr>
          <w:vertAlign w:val="superscript"/>
          <w:lang w:val="sr-Cyrl-CS"/>
        </w:rPr>
        <w:footnoteReference w:id="30"/>
      </w:r>
      <w:r w:rsidRPr="00907918">
        <w:rPr>
          <w:lang w:val="sr-Cyrl-CS"/>
        </w:rPr>
        <w:t xml:space="preserve"> Разлози </w:t>
      </w:r>
      <w:r w:rsidRPr="00907918">
        <w:rPr>
          <w:lang w:val="uz-Cyrl-UZ"/>
        </w:rPr>
        <w:t>и изазови</w:t>
      </w:r>
      <w:r w:rsidRPr="00907918">
        <w:rPr>
          <w:lang w:val="sr-Cyrl-CS"/>
        </w:rPr>
        <w:t xml:space="preserve"> мапирани кроз различита документа могу се сумирати кроз </w:t>
      </w:r>
      <w:r w:rsidRPr="00907918">
        <w:rPr>
          <w:b/>
          <w:lang w:val="sr-Cyrl-CS"/>
        </w:rPr>
        <w:t>недовољну видљивост</w:t>
      </w:r>
      <w:r w:rsidRPr="00907918">
        <w:rPr>
          <w:bCs/>
          <w:lang w:val="sr-Cyrl-CS"/>
        </w:rPr>
        <w:t xml:space="preserve">, </w:t>
      </w:r>
      <w:r w:rsidRPr="00907918">
        <w:rPr>
          <w:b/>
          <w:lang w:val="sr-Cyrl-CS"/>
        </w:rPr>
        <w:t>комуникацију и препознавање досегнутих резултата и последично мултиплицирање ефеката реформи</w:t>
      </w:r>
      <w:r w:rsidRPr="00907918">
        <w:rPr>
          <w:bCs/>
          <w:lang w:val="sr-Cyrl-CS"/>
        </w:rPr>
        <w:t>,</w:t>
      </w:r>
      <w:r w:rsidRPr="00907918">
        <w:rPr>
          <w:bCs/>
          <w:vertAlign w:val="superscript"/>
          <w:lang w:val="sr-Cyrl-CS"/>
        </w:rPr>
        <w:footnoteReference w:id="31"/>
      </w:r>
      <w:r w:rsidRPr="00907918">
        <w:rPr>
          <w:bCs/>
          <w:lang w:val="sr-Cyrl-CS"/>
        </w:rPr>
        <w:t xml:space="preserve"> али и </w:t>
      </w:r>
      <w:r w:rsidRPr="00907918">
        <w:rPr>
          <w:b/>
          <w:lang w:val="sr-Cyrl-CS"/>
        </w:rPr>
        <w:t xml:space="preserve">кроз недовољно ефикасно управљање и координацију у спровођењу и капацитете за планирање, координацију и планирање, </w:t>
      </w:r>
      <w:r w:rsidRPr="00907918">
        <w:rPr>
          <w:lang w:val="sr-Cyrl-CS"/>
        </w:rPr>
        <w:t>што се односи на реформисање управе унутар себе</w:t>
      </w:r>
      <w:r w:rsidRPr="00907918">
        <w:rPr>
          <w:bCs/>
          <w:lang w:val="sr-Cyrl-CS"/>
        </w:rPr>
        <w:t xml:space="preserve">. </w:t>
      </w:r>
    </w:p>
    <w:p w14:paraId="569CB8D4" w14:textId="2338FE58" w:rsidR="00374B1E" w:rsidRDefault="00907918" w:rsidP="00907918">
      <w:r w:rsidRPr="00907918">
        <w:rPr>
          <w:lang w:val="sr-Cyrl-CS"/>
        </w:rPr>
        <w:t xml:space="preserve">Перцепција резултата постоји и у сталном </w:t>
      </w:r>
      <w:r w:rsidRPr="00907918">
        <w:t>су</w:t>
      </w:r>
      <w:r w:rsidRPr="00907918">
        <w:rPr>
          <w:lang w:val="sr-Cyrl-CS"/>
        </w:rPr>
        <w:t xml:space="preserve"> расту, али постоји и простор за побољшање (види графиконе у наставку)</w:t>
      </w:r>
      <w:r w:rsidR="003641CB" w:rsidRPr="000F0299">
        <w:t>:</w:t>
      </w:r>
    </w:p>
    <w:p w14:paraId="5C8243F8" w14:textId="77777777" w:rsidR="00374B1E" w:rsidRDefault="00374B1E">
      <w:pPr>
        <w:suppressAutoHyphens w:val="0"/>
        <w:autoSpaceDN/>
        <w:spacing w:before="0" w:after="160" w:line="259" w:lineRule="auto"/>
        <w:ind w:firstLine="0"/>
        <w:jc w:val="left"/>
        <w:textAlignment w:val="auto"/>
      </w:pPr>
      <w:r>
        <w:br w:type="page"/>
      </w:r>
    </w:p>
    <w:tbl>
      <w:tblPr>
        <w:tblStyle w:val="TableGrid"/>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678"/>
      </w:tblGrid>
      <w:tr w:rsidR="00361074" w:rsidRPr="000F0299" w14:paraId="059426F1" w14:textId="77777777" w:rsidTr="00361074">
        <w:tc>
          <w:tcPr>
            <w:tcW w:w="4678" w:type="dxa"/>
          </w:tcPr>
          <w:p w14:paraId="3B940276" w14:textId="77777777" w:rsidR="00361074" w:rsidRPr="000F0299" w:rsidRDefault="00361074" w:rsidP="006423D2">
            <w:pPr>
              <w:spacing w:before="0" w:after="0"/>
              <w:ind w:firstLine="0"/>
              <w:rPr>
                <w:b/>
                <w:bCs/>
                <w:sz w:val="22"/>
                <w:szCs w:val="22"/>
              </w:rPr>
            </w:pPr>
            <w:r w:rsidRPr="000F0299">
              <w:rPr>
                <w:b/>
                <w:bCs/>
                <w:sz w:val="22"/>
                <w:szCs w:val="22"/>
              </w:rPr>
              <w:t>Информације из јавног сектора</w:t>
            </w:r>
          </w:p>
          <w:p w14:paraId="24E54800" w14:textId="77777777" w:rsidR="00361074" w:rsidRPr="000F0299" w:rsidRDefault="00361074" w:rsidP="006423D2">
            <w:pPr>
              <w:spacing w:before="0" w:after="0"/>
              <w:ind w:firstLine="0"/>
              <w:rPr>
                <w:sz w:val="22"/>
                <w:szCs w:val="22"/>
              </w:rPr>
            </w:pPr>
            <w:r w:rsidRPr="000F0299">
              <w:rPr>
                <w:sz w:val="22"/>
                <w:szCs w:val="22"/>
              </w:rPr>
              <w:t>Изабрана држава: Србија</w:t>
            </w:r>
          </w:p>
          <w:p w14:paraId="382F3346" w14:textId="7E917FBF" w:rsidR="00361074" w:rsidRPr="000F0299" w:rsidRDefault="00361074" w:rsidP="006423D2">
            <w:pPr>
              <w:spacing w:before="0" w:after="0"/>
              <w:ind w:firstLine="0"/>
              <w:rPr>
                <w:sz w:val="22"/>
                <w:szCs w:val="22"/>
              </w:rPr>
            </w:pPr>
            <w:r w:rsidRPr="000F0299">
              <w:rPr>
                <w:sz w:val="22"/>
                <w:szCs w:val="22"/>
              </w:rPr>
              <w:t>Изабране године: 5 од 5</w:t>
            </w:r>
          </w:p>
          <w:p w14:paraId="02F0AA97" w14:textId="2EDEC7E9" w:rsidR="00361074" w:rsidRPr="000F0299" w:rsidRDefault="00361074" w:rsidP="006423D2">
            <w:pPr>
              <w:spacing w:before="0" w:after="0"/>
              <w:ind w:firstLine="0"/>
              <w:rPr>
                <w:sz w:val="22"/>
                <w:szCs w:val="22"/>
              </w:rPr>
            </w:pPr>
            <w:r w:rsidRPr="000F0299">
              <w:rPr>
                <w:sz w:val="22"/>
                <w:szCs w:val="22"/>
              </w:rPr>
              <w:t>К 3.1 Како бисте оценили – Време потребно да се добије информација из јавног сектора (подаци које има јавна управа, као што су документи, регистри, записи и слично</w:t>
            </w:r>
          </w:p>
        </w:tc>
        <w:tc>
          <w:tcPr>
            <w:tcW w:w="4678" w:type="dxa"/>
          </w:tcPr>
          <w:p w14:paraId="544AE94C" w14:textId="77777777" w:rsidR="00361074" w:rsidRPr="000F0299" w:rsidRDefault="00361074" w:rsidP="007F0EFB">
            <w:pPr>
              <w:spacing w:before="0"/>
              <w:ind w:firstLine="0"/>
              <w:rPr>
                <w:sz w:val="22"/>
                <w:szCs w:val="22"/>
              </w:rPr>
            </w:pPr>
          </w:p>
          <w:p w14:paraId="38F8326C" w14:textId="77777777" w:rsidR="00361074" w:rsidRPr="000F0299" w:rsidRDefault="00361074" w:rsidP="006423D2">
            <w:pPr>
              <w:spacing w:before="0" w:after="0"/>
              <w:ind w:firstLine="0"/>
              <w:rPr>
                <w:sz w:val="22"/>
                <w:szCs w:val="22"/>
              </w:rPr>
            </w:pPr>
            <w:r w:rsidRPr="000F0299">
              <w:rPr>
                <w:sz w:val="22"/>
                <w:szCs w:val="22"/>
              </w:rPr>
              <w:t>Изабрана држава: Србија</w:t>
            </w:r>
          </w:p>
          <w:p w14:paraId="7C495B17" w14:textId="3746FB37" w:rsidR="00361074" w:rsidRPr="000F0299" w:rsidRDefault="00361074" w:rsidP="006423D2">
            <w:pPr>
              <w:spacing w:before="0" w:after="0"/>
              <w:ind w:firstLine="0"/>
              <w:rPr>
                <w:sz w:val="22"/>
                <w:szCs w:val="22"/>
              </w:rPr>
            </w:pPr>
            <w:r w:rsidRPr="000F0299">
              <w:rPr>
                <w:sz w:val="22"/>
                <w:szCs w:val="22"/>
              </w:rPr>
              <w:t>Изабране године: 5 од 5</w:t>
            </w:r>
          </w:p>
          <w:p w14:paraId="65CD070B" w14:textId="5FED110B" w:rsidR="00361074" w:rsidRPr="000F0299" w:rsidRDefault="00361074" w:rsidP="006423D2">
            <w:pPr>
              <w:spacing w:before="0" w:after="0"/>
              <w:ind w:firstLine="0"/>
              <w:rPr>
                <w:sz w:val="22"/>
                <w:szCs w:val="22"/>
              </w:rPr>
            </w:pPr>
            <w:r w:rsidRPr="000F0299">
              <w:rPr>
                <w:sz w:val="22"/>
                <w:szCs w:val="22"/>
              </w:rPr>
              <w:t>К 3.2 Како бисте оценили – Третман грађана у јавном сектору (у полицији, здравству, правосуђу, општинама и слично)</w:t>
            </w:r>
          </w:p>
        </w:tc>
      </w:tr>
      <w:tr w:rsidR="00361074" w:rsidRPr="000F0299" w14:paraId="24251A41" w14:textId="77777777" w:rsidTr="009E6E95">
        <w:trPr>
          <w:trHeight w:val="4792"/>
        </w:trPr>
        <w:tc>
          <w:tcPr>
            <w:tcW w:w="4678" w:type="dxa"/>
          </w:tcPr>
          <w:p w14:paraId="1FA68BEC" w14:textId="2ED1FC99" w:rsidR="00361074" w:rsidRPr="000F0299" w:rsidRDefault="00361074" w:rsidP="009E6E95">
            <w:pPr>
              <w:spacing w:before="0" w:after="0"/>
              <w:ind w:firstLine="0"/>
            </w:pPr>
            <w:r w:rsidRPr="000F0299">
              <w:rPr>
                <w:noProof/>
                <w:lang w:val="en-US" w:eastAsia="en-US" w:bidi="ar-SA"/>
              </w:rPr>
              <w:drawing>
                <wp:inline distT="0" distB="0" distL="0" distR="0" wp14:anchorId="48D449AE" wp14:editId="74F4A66B">
                  <wp:extent cx="2807970" cy="2988000"/>
                  <wp:effectExtent l="0" t="0" r="0" b="3175"/>
                  <wp:docPr id="574" name="Chart 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678" w:type="dxa"/>
          </w:tcPr>
          <w:p w14:paraId="40A2D206" w14:textId="77777777" w:rsidR="00361074" w:rsidRPr="000F0299" w:rsidRDefault="00361074" w:rsidP="009E6E95">
            <w:pPr>
              <w:spacing w:before="0" w:after="0"/>
              <w:ind w:firstLine="0"/>
            </w:pPr>
            <w:r w:rsidRPr="000F0299">
              <w:rPr>
                <w:noProof/>
                <w:lang w:val="en-US" w:eastAsia="en-US" w:bidi="ar-SA"/>
              </w:rPr>
              <w:drawing>
                <wp:inline distT="0" distB="0" distL="0" distR="0" wp14:anchorId="14487BC2" wp14:editId="68A15499">
                  <wp:extent cx="2808000" cy="2985135"/>
                  <wp:effectExtent l="0" t="0" r="0" b="5715"/>
                  <wp:docPr id="576" name="Chart 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352A231" w14:textId="07072779" w:rsidR="00C1128E" w:rsidRPr="000F0299" w:rsidRDefault="00C1128E" w:rsidP="007F0EFB">
            <w:pPr>
              <w:spacing w:before="0"/>
              <w:ind w:firstLine="0"/>
            </w:pPr>
          </w:p>
        </w:tc>
      </w:tr>
      <w:tr w:rsidR="007F0EFB" w:rsidRPr="000F0299" w14:paraId="4C661B35" w14:textId="77777777" w:rsidTr="00361074">
        <w:tc>
          <w:tcPr>
            <w:tcW w:w="4678" w:type="dxa"/>
          </w:tcPr>
          <w:p w14:paraId="35BAC00F" w14:textId="77777777" w:rsidR="007F0EFB" w:rsidRPr="000F0299" w:rsidRDefault="007F0EFB" w:rsidP="007F0EFB">
            <w:pPr>
              <w:spacing w:before="0"/>
              <w:ind w:firstLine="0"/>
              <w:rPr>
                <w:b/>
                <w:bCs/>
                <w:color w:val="404040" w:themeColor="text1" w:themeTint="BF"/>
                <w:spacing w:val="-8"/>
                <w:sz w:val="20"/>
                <w:szCs w:val="20"/>
              </w:rPr>
            </w:pPr>
            <w:r w:rsidRPr="000F0299">
              <w:rPr>
                <w:b/>
                <w:bCs/>
                <w:color w:val="404040" w:themeColor="text1" w:themeTint="BF"/>
                <w:spacing w:val="-8"/>
                <w:sz w:val="20"/>
                <w:szCs w:val="20"/>
              </w:rPr>
              <w:t>Време потребно да се добије услуга</w:t>
            </w:r>
          </w:p>
          <w:p w14:paraId="4F3CE037" w14:textId="77777777" w:rsidR="007F0EFB" w:rsidRPr="000F0299" w:rsidRDefault="007F0EFB" w:rsidP="007F0EFB">
            <w:pPr>
              <w:spacing w:before="0"/>
              <w:ind w:firstLine="0"/>
              <w:rPr>
                <w:color w:val="404040" w:themeColor="text1" w:themeTint="BF"/>
                <w:spacing w:val="-8"/>
                <w:sz w:val="20"/>
                <w:szCs w:val="20"/>
              </w:rPr>
            </w:pPr>
            <w:r w:rsidRPr="000F0299">
              <w:rPr>
                <w:color w:val="404040" w:themeColor="text1" w:themeTint="BF"/>
                <w:spacing w:val="-8"/>
                <w:sz w:val="20"/>
                <w:szCs w:val="20"/>
              </w:rPr>
              <w:t>Изабрана држава: Србија</w:t>
            </w:r>
          </w:p>
          <w:p w14:paraId="5866D458" w14:textId="1FDC73F3" w:rsidR="007F0EFB" w:rsidRPr="000F0299" w:rsidRDefault="007F0EFB" w:rsidP="007F0EFB">
            <w:pPr>
              <w:spacing w:before="0"/>
              <w:ind w:firstLine="0"/>
              <w:rPr>
                <w:color w:val="404040" w:themeColor="text1" w:themeTint="BF"/>
                <w:spacing w:val="-8"/>
                <w:sz w:val="20"/>
                <w:szCs w:val="20"/>
              </w:rPr>
            </w:pPr>
            <w:r w:rsidRPr="000F0299">
              <w:rPr>
                <w:color w:val="404040" w:themeColor="text1" w:themeTint="BF"/>
                <w:spacing w:val="-8"/>
                <w:sz w:val="20"/>
                <w:szCs w:val="20"/>
              </w:rPr>
              <w:t>Изабране године: 5 од 5</w:t>
            </w:r>
          </w:p>
          <w:p w14:paraId="54CEF871" w14:textId="0E0D00B7" w:rsidR="007F0EFB" w:rsidRPr="000F0299" w:rsidRDefault="007F0EFB" w:rsidP="007F0EFB">
            <w:pPr>
              <w:spacing w:before="0"/>
              <w:ind w:firstLine="0"/>
              <w:rPr>
                <w:color w:val="404040" w:themeColor="text1" w:themeTint="BF"/>
              </w:rPr>
            </w:pPr>
            <w:r w:rsidRPr="000F0299">
              <w:rPr>
                <w:color w:val="404040" w:themeColor="text1" w:themeTint="BF"/>
                <w:spacing w:val="-8"/>
                <w:sz w:val="20"/>
                <w:szCs w:val="20"/>
              </w:rPr>
              <w:t>К 3.3 Како бисте оценили</w:t>
            </w:r>
            <w:r w:rsidRPr="000F0299">
              <w:rPr>
                <w:color w:val="404040" w:themeColor="text1" w:themeTint="BF"/>
                <w:sz w:val="18"/>
                <w:szCs w:val="18"/>
              </w:rPr>
              <w:t xml:space="preserve"> –</w:t>
            </w:r>
            <w:r w:rsidRPr="000F0299">
              <w:rPr>
                <w:color w:val="404040" w:themeColor="text1" w:themeTint="BF"/>
              </w:rPr>
              <w:t xml:space="preserve"> </w:t>
            </w:r>
            <w:r w:rsidRPr="000F0299">
              <w:rPr>
                <w:color w:val="404040" w:themeColor="text1" w:themeTint="BF"/>
                <w:spacing w:val="-8"/>
                <w:sz w:val="20"/>
                <w:szCs w:val="20"/>
              </w:rPr>
              <w:t>Време потребно да се добије услуга у јавном сектору (у полицији, здравству, правосуђу, општинама и слично)</w:t>
            </w:r>
          </w:p>
        </w:tc>
        <w:tc>
          <w:tcPr>
            <w:tcW w:w="4678" w:type="dxa"/>
          </w:tcPr>
          <w:p w14:paraId="74016BBA" w14:textId="77777777" w:rsidR="007F0EFB" w:rsidRPr="000F0299" w:rsidRDefault="007F0EFB" w:rsidP="007F0EFB">
            <w:pPr>
              <w:spacing w:before="0"/>
              <w:ind w:firstLine="0"/>
              <w:rPr>
                <w:b/>
                <w:bCs/>
                <w:color w:val="404040" w:themeColor="text1" w:themeTint="BF"/>
                <w:spacing w:val="-8"/>
                <w:sz w:val="20"/>
                <w:szCs w:val="20"/>
              </w:rPr>
            </w:pPr>
            <w:r w:rsidRPr="000F0299">
              <w:rPr>
                <w:b/>
                <w:bCs/>
                <w:color w:val="404040" w:themeColor="text1" w:themeTint="BF"/>
                <w:spacing w:val="-8"/>
                <w:sz w:val="20"/>
                <w:szCs w:val="20"/>
              </w:rPr>
              <w:t>Услуге за пословање</w:t>
            </w:r>
          </w:p>
          <w:p w14:paraId="3F02C6BC" w14:textId="77777777" w:rsidR="007F0EFB" w:rsidRPr="000F0299" w:rsidRDefault="007F0EFB" w:rsidP="007F0EFB">
            <w:pPr>
              <w:spacing w:before="0"/>
              <w:ind w:firstLine="0"/>
              <w:rPr>
                <w:color w:val="404040" w:themeColor="text1" w:themeTint="BF"/>
                <w:spacing w:val="-8"/>
                <w:sz w:val="20"/>
                <w:szCs w:val="20"/>
              </w:rPr>
            </w:pPr>
            <w:r w:rsidRPr="000F0299">
              <w:rPr>
                <w:color w:val="404040" w:themeColor="text1" w:themeTint="BF"/>
                <w:spacing w:val="-8"/>
                <w:sz w:val="20"/>
                <w:szCs w:val="20"/>
              </w:rPr>
              <w:t>Изабрана држава: Србија</w:t>
            </w:r>
          </w:p>
          <w:p w14:paraId="2715D751" w14:textId="77777777" w:rsidR="007F0EFB" w:rsidRPr="000F0299" w:rsidRDefault="007F0EFB" w:rsidP="007F0EFB">
            <w:pPr>
              <w:spacing w:before="0"/>
              <w:ind w:firstLine="0"/>
              <w:rPr>
                <w:color w:val="404040" w:themeColor="text1" w:themeTint="BF"/>
                <w:spacing w:val="-8"/>
                <w:sz w:val="20"/>
                <w:szCs w:val="20"/>
              </w:rPr>
            </w:pPr>
            <w:r w:rsidRPr="000F0299">
              <w:rPr>
                <w:color w:val="404040" w:themeColor="text1" w:themeTint="BF"/>
                <w:spacing w:val="-8"/>
                <w:sz w:val="20"/>
                <w:szCs w:val="20"/>
              </w:rPr>
              <w:t xml:space="preserve"> Изабране године: 5 од 5</w:t>
            </w:r>
          </w:p>
          <w:p w14:paraId="231DE1A4" w14:textId="081E0E4A" w:rsidR="007F0EFB" w:rsidRPr="000F0299" w:rsidRDefault="007F0EFB" w:rsidP="00C1128E">
            <w:pPr>
              <w:spacing w:before="0"/>
              <w:ind w:firstLine="0"/>
              <w:rPr>
                <w:noProof/>
              </w:rPr>
            </w:pPr>
            <w:r w:rsidRPr="000F0299">
              <w:rPr>
                <w:color w:val="404040" w:themeColor="text1" w:themeTint="BF"/>
                <w:spacing w:val="-8"/>
                <w:sz w:val="20"/>
                <w:szCs w:val="20"/>
              </w:rPr>
              <w:t>Д 1.4.1 Колико сте задовољни јавним услугама за предузећа?</w:t>
            </w:r>
          </w:p>
        </w:tc>
      </w:tr>
      <w:tr w:rsidR="007F0EFB" w:rsidRPr="000F0299" w14:paraId="589475C4" w14:textId="77777777" w:rsidTr="00361074">
        <w:tc>
          <w:tcPr>
            <w:tcW w:w="4678" w:type="dxa"/>
          </w:tcPr>
          <w:p w14:paraId="239C610A" w14:textId="4185409A" w:rsidR="007F0EFB" w:rsidRPr="000F0299" w:rsidRDefault="007F0EFB" w:rsidP="007F0EFB">
            <w:pPr>
              <w:ind w:firstLine="0"/>
              <w:rPr>
                <w:b/>
                <w:bCs/>
                <w:color w:val="404040" w:themeColor="text1" w:themeTint="BF"/>
                <w:spacing w:val="-8"/>
                <w:sz w:val="20"/>
                <w:szCs w:val="20"/>
              </w:rPr>
            </w:pPr>
            <w:r w:rsidRPr="000F0299">
              <w:rPr>
                <w:noProof/>
                <w:lang w:val="en-US" w:eastAsia="en-US" w:bidi="ar-SA"/>
              </w:rPr>
              <w:drawing>
                <wp:inline distT="0" distB="0" distL="0" distR="0" wp14:anchorId="300C3DE5" wp14:editId="103769FF">
                  <wp:extent cx="2808000" cy="2916000"/>
                  <wp:effectExtent l="0" t="0" r="11430" b="17780"/>
                  <wp:docPr id="577" name="Chart 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678" w:type="dxa"/>
          </w:tcPr>
          <w:p w14:paraId="41439413" w14:textId="73BE3B59" w:rsidR="007F0EFB" w:rsidRPr="000F0299" w:rsidRDefault="007F0EFB" w:rsidP="007F0EFB">
            <w:pPr>
              <w:ind w:firstLine="0"/>
              <w:rPr>
                <w:b/>
                <w:bCs/>
                <w:color w:val="404040" w:themeColor="text1" w:themeTint="BF"/>
                <w:spacing w:val="-8"/>
                <w:sz w:val="20"/>
                <w:szCs w:val="20"/>
              </w:rPr>
            </w:pPr>
            <w:r w:rsidRPr="000F0299">
              <w:rPr>
                <w:noProof/>
                <w:lang w:val="en-US" w:eastAsia="en-US" w:bidi="ar-SA"/>
              </w:rPr>
              <w:drawing>
                <wp:inline distT="0" distB="0" distL="0" distR="0" wp14:anchorId="63F7C323" wp14:editId="38EA0B24">
                  <wp:extent cx="2808000" cy="2952000"/>
                  <wp:effectExtent l="0" t="0" r="11430" b="1270"/>
                  <wp:docPr id="583" name="Chart 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14:paraId="02680878" w14:textId="1E6B5189" w:rsidR="00A44A29" w:rsidRPr="00B774F7" w:rsidRDefault="00A44A29" w:rsidP="00A44A29">
      <w:pPr>
        <w:pStyle w:val="Caption"/>
        <w:rPr>
          <w:lang w:val="sr-Cyrl-RS"/>
        </w:rPr>
      </w:pPr>
      <w:bookmarkStart w:id="82" w:name="_Toc57665345"/>
      <w:bookmarkStart w:id="83" w:name="_Toc40611659"/>
      <w:r w:rsidRPr="00B774F7">
        <w:rPr>
          <w:i w:val="0"/>
          <w:iCs w:val="0"/>
          <w:lang w:val="sr-Cyrl-RS"/>
        </w:rPr>
        <w:t xml:space="preserve">Графикон </w:t>
      </w:r>
      <w:r w:rsidRPr="00A44A29">
        <w:rPr>
          <w:i w:val="0"/>
          <w:iCs w:val="0"/>
        </w:rPr>
        <w:fldChar w:fldCharType="begin"/>
      </w:r>
      <w:r w:rsidRPr="00B774F7">
        <w:rPr>
          <w:i w:val="0"/>
          <w:iCs w:val="0"/>
          <w:lang w:val="sr-Cyrl-RS"/>
        </w:rPr>
        <w:instrText xml:space="preserve"> </w:instrText>
      </w:r>
      <w:r w:rsidRPr="00A44A29">
        <w:rPr>
          <w:i w:val="0"/>
          <w:iCs w:val="0"/>
        </w:rPr>
        <w:instrText>SEQ</w:instrText>
      </w:r>
      <w:r w:rsidRPr="00B774F7">
        <w:rPr>
          <w:i w:val="0"/>
          <w:iCs w:val="0"/>
          <w:lang w:val="sr-Cyrl-RS"/>
        </w:rPr>
        <w:instrText xml:space="preserve"> Графикон \* </w:instrText>
      </w:r>
      <w:r w:rsidRPr="00A44A29">
        <w:rPr>
          <w:i w:val="0"/>
          <w:iCs w:val="0"/>
        </w:rPr>
        <w:instrText>ARABIC</w:instrText>
      </w:r>
      <w:r w:rsidRPr="00B774F7">
        <w:rPr>
          <w:i w:val="0"/>
          <w:iCs w:val="0"/>
          <w:lang w:val="sr-Cyrl-RS"/>
        </w:rPr>
        <w:instrText xml:space="preserve"> </w:instrText>
      </w:r>
      <w:r w:rsidRPr="00A44A29">
        <w:rPr>
          <w:i w:val="0"/>
          <w:iCs w:val="0"/>
        </w:rPr>
        <w:fldChar w:fldCharType="separate"/>
      </w:r>
      <w:r w:rsidR="00BB48C1" w:rsidRPr="004546E7">
        <w:rPr>
          <w:i w:val="0"/>
          <w:iCs w:val="0"/>
          <w:noProof/>
          <w:lang w:val="sr-Cyrl-RS"/>
        </w:rPr>
        <w:t>9</w:t>
      </w:r>
      <w:r w:rsidRPr="00A44A29">
        <w:rPr>
          <w:i w:val="0"/>
          <w:iCs w:val="0"/>
        </w:rPr>
        <w:fldChar w:fldCharType="end"/>
      </w:r>
      <w:r w:rsidRPr="00B774F7">
        <w:rPr>
          <w:i w:val="0"/>
          <w:iCs w:val="0"/>
          <w:lang w:val="sr-Cyrl-RS"/>
        </w:rPr>
        <w:t xml:space="preserve"> Перцепција резултата према ,,Балкан барометру“</w:t>
      </w:r>
      <w:bookmarkEnd w:id="82"/>
    </w:p>
    <w:p w14:paraId="5AE35494" w14:textId="03EBBD72" w:rsidR="009E6E95" w:rsidRPr="00EC3C52" w:rsidRDefault="009E6E95" w:rsidP="00A44A29">
      <w:pPr>
        <w:pStyle w:val="Caption"/>
        <w:rPr>
          <w:i w:val="0"/>
          <w:iCs w:val="0"/>
          <w:lang w:val="sr-Cyrl-RS"/>
        </w:rPr>
      </w:pPr>
      <w:r w:rsidRPr="00EC3C52">
        <w:rPr>
          <w:i w:val="0"/>
          <w:iCs w:val="0"/>
          <w:lang w:val="sr-Cyrl-RS"/>
        </w:rPr>
        <w:br w:type="page"/>
      </w:r>
    </w:p>
    <w:bookmarkEnd w:id="83"/>
    <w:p w14:paraId="6D93CC6E" w14:textId="77777777" w:rsidR="00907918" w:rsidRPr="00907918" w:rsidRDefault="00907918" w:rsidP="00F114A9">
      <w:pPr>
        <w:suppressAutoHyphens w:val="0"/>
        <w:autoSpaceDN/>
        <w:textAlignment w:val="auto"/>
        <w:rPr>
          <w:rFonts w:eastAsiaTheme="minorHAnsi"/>
          <w:kern w:val="0"/>
          <w:lang w:val="uz-Cyrl-UZ" w:eastAsia="en-US" w:bidi="ar-SA"/>
        </w:rPr>
      </w:pPr>
      <w:r w:rsidRPr="00907918">
        <w:rPr>
          <w:rFonts w:eastAsiaTheme="minorHAnsi"/>
          <w:b/>
          <w:kern w:val="0"/>
          <w:lang w:val="uz-Cyrl-UZ" w:eastAsia="en-US" w:bidi="ar-SA"/>
        </w:rPr>
        <w:t>Дигитализација и развој електронске управе</w:t>
      </w:r>
      <w:r w:rsidRPr="00907918">
        <w:rPr>
          <w:rFonts w:eastAsiaTheme="minorHAnsi"/>
          <w:kern w:val="0"/>
          <w:lang w:val="uz-Cyrl-UZ" w:eastAsia="en-US" w:bidi="ar-SA"/>
        </w:rPr>
        <w:t xml:space="preserve"> су значајни резултати у претходном периоду и представљају приоритете Владе.</w:t>
      </w:r>
      <w:r w:rsidRPr="00907918">
        <w:rPr>
          <w:rFonts w:eastAsiaTheme="minorHAnsi"/>
          <w:kern w:val="0"/>
          <w:vertAlign w:val="superscript"/>
          <w:lang w:val="uz-Cyrl-UZ" w:eastAsia="en-US" w:bidi="ar-SA"/>
        </w:rPr>
        <w:footnoteReference w:id="32"/>
      </w:r>
      <w:r w:rsidRPr="00907918">
        <w:rPr>
          <w:rFonts w:eastAsiaTheme="minorHAnsi"/>
          <w:kern w:val="0"/>
          <w:lang w:val="uz-Cyrl-UZ" w:eastAsia="en-US" w:bidi="ar-SA"/>
        </w:rPr>
        <w:t xml:space="preserve"> Као даљи ефекат дигитализације приметно је</w:t>
      </w:r>
      <w:r w:rsidRPr="00907918">
        <w:rPr>
          <w:rFonts w:eastAsiaTheme="minorHAnsi"/>
          <w:b/>
          <w:kern w:val="0"/>
          <w:lang w:val="uz-Cyrl-UZ" w:eastAsia="en-US" w:bidi="ar-SA"/>
        </w:rPr>
        <w:t xml:space="preserve"> померање фокуса од управе као регулатора ка управи као сервису</w:t>
      </w:r>
      <w:r w:rsidRPr="00907918">
        <w:rPr>
          <w:rFonts w:eastAsiaTheme="minorHAnsi"/>
          <w:bCs/>
          <w:kern w:val="0"/>
          <w:lang w:val="uz-Cyrl-UZ" w:eastAsia="en-US" w:bidi="ar-SA"/>
        </w:rPr>
        <w:t xml:space="preserve">. У претходном периоду отворени су контакт центри који омогућавају да се електронски размењују подаци између </w:t>
      </w:r>
      <w:bookmarkStart w:id="84" w:name="_Hlk40602448"/>
      <w:r w:rsidRPr="00907918">
        <w:rPr>
          <w:rFonts w:eastAsiaTheme="minorHAnsi"/>
          <w:bCs/>
          <w:kern w:val="0"/>
          <w:lang w:val="uz-Cyrl-UZ" w:eastAsia="en-US" w:bidi="ar-SA"/>
        </w:rPr>
        <w:t>државних органа и грађана (G2C) и државних органа и привредних субјеката (G2B), измењени су веб-портали Владе и органа државне управе како би били оријентисани ка грађанима. Такође отворени</w:t>
      </w:r>
      <w:r w:rsidRPr="00907918">
        <w:rPr>
          <w:rFonts w:eastAsiaTheme="minorHAnsi"/>
          <w:kern w:val="0"/>
          <w:lang w:val="uz-Cyrl-UZ" w:eastAsia="en-US" w:bidi="ar-SA"/>
        </w:rPr>
        <w:t xml:space="preserve"> су и успешно раде информатичко приступни центри за грађане и управу – Српско-корејски информатичко-приступни центар (СКИП центар)</w:t>
      </w:r>
      <w:bookmarkEnd w:id="84"/>
      <w:r w:rsidRPr="00907918">
        <w:rPr>
          <w:rFonts w:eastAsiaTheme="minorHAnsi"/>
          <w:kern w:val="0"/>
          <w:lang w:val="uz-Cyrl-UZ" w:eastAsia="en-US" w:bidi="ar-SA"/>
        </w:rPr>
        <w:t>.</w:t>
      </w:r>
      <w:r w:rsidRPr="00907918">
        <w:rPr>
          <w:rFonts w:eastAsiaTheme="minorHAnsi"/>
          <w:kern w:val="0"/>
          <w:vertAlign w:val="superscript"/>
          <w:lang w:val="uz-Cyrl-UZ" w:eastAsia="en-US" w:bidi="ar-SA"/>
        </w:rPr>
        <w:footnoteReference w:id="33"/>
      </w:r>
      <w:r w:rsidRPr="00907918">
        <w:rPr>
          <w:rFonts w:eastAsiaTheme="minorHAnsi"/>
          <w:kern w:val="0"/>
          <w:lang w:val="uz-Cyrl-UZ" w:eastAsia="en-US" w:bidi="ar-SA"/>
        </w:rPr>
        <w:t xml:space="preserve"> С друге стране, дигитализација је била мера за ублажавање ризика и изазова с којима се управа суочавала, попут мањка запослених, потребе да се у складу са анализама Светске банке „са мање учини више”</w:t>
      </w:r>
      <w:r w:rsidRPr="00907918">
        <w:rPr>
          <w:rFonts w:eastAsiaTheme="minorHAnsi"/>
          <w:kern w:val="0"/>
          <w:vertAlign w:val="superscript"/>
          <w:lang w:val="uz-Cyrl-UZ" w:eastAsia="en-US" w:bidi="ar-SA"/>
        </w:rPr>
        <w:footnoteReference w:id="34"/>
      </w:r>
      <w:r w:rsidRPr="00907918">
        <w:rPr>
          <w:rFonts w:eastAsiaTheme="minorHAnsi"/>
          <w:kern w:val="0"/>
          <w:lang w:val="uz-Cyrl-UZ" w:eastAsia="en-US" w:bidi="ar-SA"/>
        </w:rPr>
        <w:t xml:space="preserve"> или са изазовом недостатка квалитетних података за анализе или политике засноване на чињеницама.</w:t>
      </w:r>
    </w:p>
    <w:p w14:paraId="03E12795" w14:textId="77777777" w:rsidR="00F114A9" w:rsidRPr="00F114A9" w:rsidRDefault="00907918" w:rsidP="00F114A9">
      <w:pPr>
        <w:spacing w:before="60"/>
        <w:rPr>
          <w:bCs/>
          <w:lang w:val="uz-Cyrl-UZ"/>
        </w:rPr>
      </w:pPr>
      <w:r w:rsidRPr="00907918">
        <w:rPr>
          <w:rFonts w:eastAsiaTheme="minorHAnsi"/>
          <w:kern w:val="0"/>
          <w:lang w:val="uz-Cyrl-UZ" w:eastAsia="en-US" w:bidi="ar-SA"/>
        </w:rPr>
        <w:t>Додатну вредност реформе јавне управе представљају бројне активности које се односе на „постизање управе без папира” (на пример, мере 1.4; 4.1; 4.2; 4.3; 5.1. у</w:t>
      </w:r>
      <w:r w:rsidR="003641CB" w:rsidRPr="000F0299">
        <w:t xml:space="preserve"> </w:t>
      </w:r>
      <w:r w:rsidR="00F114A9" w:rsidRPr="00F114A9">
        <w:rPr>
          <w:lang w:val="uz-Cyrl-UZ"/>
        </w:rPr>
        <w:t xml:space="preserve">Акционом плану Стратегије РЈУ 2018–2020. године) као мера е-управе које додатно доприносе заштити животне средине, поред крајњег циља </w:t>
      </w:r>
      <w:r w:rsidR="00F114A9" w:rsidRPr="00F114A9">
        <w:rPr>
          <w:lang w:val="sr-Cyrl-CS"/>
        </w:rPr>
        <w:t>обезбеђивања високог квалитета услуга грађанима и привредним субјектима,</w:t>
      </w:r>
      <w:r w:rsidR="00F114A9" w:rsidRPr="00F114A9">
        <w:rPr>
          <w:vertAlign w:val="superscript"/>
          <w:lang w:val="sr-Cyrl-CS"/>
        </w:rPr>
        <w:footnoteReference w:id="35"/>
      </w:r>
      <w:r w:rsidR="00F114A9" w:rsidRPr="00F114A9">
        <w:rPr>
          <w:lang w:val="uz-Cyrl-UZ"/>
        </w:rPr>
        <w:t xml:space="preserve"> уз процене уштеда које се постижу дигитализацијом и поједностављењем поступака, попут </w:t>
      </w:r>
      <w:r w:rsidR="00F114A9" w:rsidRPr="00F114A9">
        <w:rPr>
          <w:bCs/>
          <w:lang w:val="uz-Cyrl-UZ"/>
        </w:rPr>
        <w:t>онлајн пријављивања деце у вртиће Београда („</w:t>
      </w:r>
      <w:r w:rsidR="00F114A9" w:rsidRPr="00F114A9">
        <w:rPr>
          <w:lang w:val="uz-Cyrl-UZ"/>
        </w:rPr>
        <w:t>Ова услуга допринеће уштедама у буџету Града Београда, из ког се годишње издвоји новац за штампање више од 35.000 папира за упис деце у вртиће”</w:t>
      </w:r>
      <w:r w:rsidR="00F114A9" w:rsidRPr="00F114A9">
        <w:rPr>
          <w:vertAlign w:val="superscript"/>
          <w:lang w:val="uz-Cyrl-UZ"/>
        </w:rPr>
        <w:footnoteReference w:id="36"/>
      </w:r>
      <w:r w:rsidR="00F114A9" w:rsidRPr="00F114A9">
        <w:rPr>
          <w:lang w:val="uz-Cyrl-UZ"/>
        </w:rPr>
        <w:t>)</w:t>
      </w:r>
      <w:r w:rsidR="00F114A9" w:rsidRPr="00F114A9">
        <w:rPr>
          <w:bCs/>
          <w:lang w:val="uz-Cyrl-UZ"/>
        </w:rPr>
        <w:t>, укидањем печата за привреду</w:t>
      </w:r>
      <w:r w:rsidR="00F114A9" w:rsidRPr="00F114A9">
        <w:rPr>
          <w:bCs/>
          <w:vertAlign w:val="superscript"/>
          <w:lang w:val="uz-Cyrl-UZ"/>
        </w:rPr>
        <w:footnoteReference w:id="37"/>
      </w:r>
      <w:r w:rsidR="00F114A9" w:rsidRPr="00F114A9">
        <w:rPr>
          <w:bCs/>
          <w:lang w:val="uz-Cyrl-UZ"/>
        </w:rPr>
        <w:t xml:space="preserve"> и слично.</w:t>
      </w:r>
    </w:p>
    <w:p w14:paraId="6FB832D4" w14:textId="77777777" w:rsidR="00F114A9" w:rsidRPr="00F114A9" w:rsidRDefault="00F114A9" w:rsidP="00F114A9">
      <w:pPr>
        <w:spacing w:before="60"/>
        <w:rPr>
          <w:i/>
          <w:lang w:val="sr-Cyrl-CS"/>
        </w:rPr>
      </w:pPr>
      <w:r w:rsidRPr="00F114A9">
        <w:rPr>
          <w:lang w:val="sr-Cyrl-CS"/>
        </w:rPr>
        <w:t xml:space="preserve">Спровођењем </w:t>
      </w:r>
      <w:r w:rsidRPr="00F114A9">
        <w:rPr>
          <w:b/>
          <w:lang w:val="sr-Cyrl-CS"/>
        </w:rPr>
        <w:t>мера фискалне конс</w:t>
      </w:r>
      <w:r w:rsidRPr="00F114A9">
        <w:rPr>
          <w:b/>
          <w:lang w:val="uz-Cyrl-UZ"/>
        </w:rPr>
        <w:t>o</w:t>
      </w:r>
      <w:r w:rsidRPr="00F114A9">
        <w:rPr>
          <w:b/>
          <w:lang w:val="sr-Cyrl-CS"/>
        </w:rPr>
        <w:t>лидације</w:t>
      </w:r>
      <w:r w:rsidRPr="00F114A9">
        <w:rPr>
          <w:lang w:val="sr-Cyrl-CS"/>
        </w:rPr>
        <w:t xml:space="preserve"> осигуран је </w:t>
      </w:r>
      <w:r w:rsidRPr="00F114A9">
        <w:rPr>
          <w:b/>
          <w:lang w:val="sr-Cyrl-CS"/>
        </w:rPr>
        <w:t>фискални оквир за реформе у различитим секторима</w:t>
      </w:r>
      <w:r w:rsidRPr="00F114A9">
        <w:rPr>
          <w:lang w:val="sr-Cyrl-CS"/>
        </w:rPr>
        <w:t>.</w:t>
      </w:r>
      <w:r w:rsidRPr="00F114A9">
        <w:rPr>
          <w:vertAlign w:val="superscript"/>
          <w:lang w:val="sr-Cyrl-CS"/>
        </w:rPr>
        <w:footnoteReference w:id="38"/>
      </w:r>
      <w:r w:rsidRPr="00F114A9">
        <w:rPr>
          <w:lang w:val="sr-Cyrl-CS"/>
        </w:rPr>
        <w:t xml:space="preserve"> Извештај о спровођењу Програма реформе управљања јавним финансијама 2016–2020. од децембра 2015. до јуна 2017. године, наводи:</w:t>
      </w:r>
      <w:r w:rsidRPr="00F114A9">
        <w:rPr>
          <w:iCs/>
          <w:lang w:val="sr-Cyrl-CS"/>
        </w:rPr>
        <w:t xml:space="preserve"> „Кроз мере фискалне консолидације и структурне реформе Влада Републике Србије успоставила је стабилне јавне финансије, као и стабилно економско окружење, које је потврђено кроз: 6 успешних ревизија стенд-бај аранжмана са ММФ-ом, побољшани кредитни рејтинг Републике Србије и позитивну оцену имплементираних реформи од стране свих релевантних међународних финансијских институција.</w:t>
      </w:r>
      <w:r w:rsidRPr="00F114A9">
        <w:rPr>
          <w:vertAlign w:val="superscript"/>
          <w:lang w:val="sr-Cyrl-CS"/>
        </w:rPr>
        <w:footnoteReference w:id="39"/>
      </w:r>
    </w:p>
    <w:p w14:paraId="0882D599" w14:textId="77777777" w:rsidR="00F114A9" w:rsidRPr="00F114A9" w:rsidRDefault="00F114A9" w:rsidP="00F114A9">
      <w:pPr>
        <w:spacing w:before="60"/>
        <w:rPr>
          <w:i/>
          <w:lang w:val="sr-Cyrl-CS"/>
        </w:rPr>
      </w:pPr>
      <w:r w:rsidRPr="00F114A9">
        <w:rPr>
          <w:iCs/>
          <w:lang w:val="sr-Cyrl-CS"/>
        </w:rPr>
        <w:t>Фискална консолидација заједно за ширим програмом повезаних структурних реформи, започета у октобру 2014. године, поставила је оквир и контекст за ПРУЈФ и његову имплементацију. Фискални дефицит смањен је са 6</w:t>
      </w:r>
      <w:r w:rsidRPr="00F114A9">
        <w:rPr>
          <w:iCs/>
          <w:lang w:val="uz-Cyrl-UZ"/>
        </w:rPr>
        <w:t>,</w:t>
      </w:r>
      <w:r w:rsidRPr="00F114A9">
        <w:rPr>
          <w:iCs/>
          <w:lang w:val="sr-Cyrl-CS"/>
        </w:rPr>
        <w:t>6% на крају 2014. године на 1</w:t>
      </w:r>
      <w:r w:rsidRPr="00F114A9">
        <w:rPr>
          <w:iCs/>
          <w:lang w:val="uz-Cyrl-UZ"/>
        </w:rPr>
        <w:t>,</w:t>
      </w:r>
      <w:r w:rsidRPr="00F114A9">
        <w:rPr>
          <w:iCs/>
          <w:lang w:val="sr-Cyrl-CS"/>
        </w:rPr>
        <w:t>3% у 2016. години, а током првих 8 месеци 2017. године забележен је суфицит од 1,7% годишњег БДП-а. Резултати су постигнути кроз добро избалансиран низ мера смањења трошкова и повећања прихода. У комбинацији са побољшаном инвестиционом климом и бољим кредитним рејтингом Србија је успела да привуче СДИ у износу од скоро 2 милијарде евра годишње, више него што износи дефицит текућег рачуна. Вишегодишње програмско буџетирање, уведено 2015. године за све буџетске кориснике сваке године се унапређује</w:t>
      </w:r>
      <w:r w:rsidRPr="00F114A9">
        <w:rPr>
          <w:i/>
          <w:lang w:val="sr-Cyrl-CS"/>
        </w:rPr>
        <w:t>...</w:t>
      </w:r>
      <w:r w:rsidRPr="00F114A9">
        <w:rPr>
          <w:lang w:val="sr-Cyrl-CS"/>
        </w:rPr>
        <w:t>”</w:t>
      </w:r>
      <w:r w:rsidRPr="00F114A9">
        <w:rPr>
          <w:vertAlign w:val="superscript"/>
          <w:lang w:val="sr-Cyrl-CS"/>
        </w:rPr>
        <w:footnoteReference w:id="40"/>
      </w:r>
    </w:p>
    <w:p w14:paraId="361C3D66" w14:textId="77777777" w:rsidR="00F114A9" w:rsidRPr="00F114A9" w:rsidRDefault="00F114A9" w:rsidP="00F114A9">
      <w:pPr>
        <w:rPr>
          <w:lang w:val="uz-Cyrl-UZ"/>
        </w:rPr>
      </w:pPr>
      <w:r w:rsidRPr="00F114A9">
        <w:rPr>
          <w:lang w:val="sr-Cyrl-CS"/>
        </w:rPr>
        <w:t xml:space="preserve">Поред наведених користи од програма фискалне консолидације треба напоменути да је у претходном периоду паралално спровођен програм побољшања јавне управе </w:t>
      </w:r>
      <w:r w:rsidRPr="00F114A9">
        <w:rPr>
          <w:lang w:val="uz-Cyrl-UZ"/>
        </w:rPr>
        <w:t xml:space="preserve">и </w:t>
      </w:r>
      <w:r w:rsidRPr="00F114A9">
        <w:rPr>
          <w:lang w:val="sr-Cyrl-CS"/>
        </w:rPr>
        <w:t>замрзавања запошљавања.</w:t>
      </w:r>
      <w:r w:rsidRPr="00F114A9">
        <w:rPr>
          <w:vertAlign w:val="superscript"/>
          <w:lang w:val="sr-Cyrl-CS"/>
        </w:rPr>
        <w:footnoteReference w:id="41"/>
      </w:r>
      <w:r w:rsidRPr="00F114A9">
        <w:rPr>
          <w:lang w:val="sr-Cyrl-CS"/>
        </w:rPr>
        <w:t xml:space="preserve"> </w:t>
      </w:r>
      <w:r w:rsidRPr="00F114A9">
        <w:rPr>
          <w:lang w:val="uz-Cyrl-UZ"/>
        </w:rPr>
        <w:t>Број запослених је смањен</w:t>
      </w:r>
      <w:r w:rsidRPr="00F114A9">
        <w:rPr>
          <w:lang w:val="sr-Cyrl-CS"/>
        </w:rPr>
        <w:t xml:space="preserve"> </w:t>
      </w:r>
      <w:r w:rsidRPr="00F114A9">
        <w:rPr>
          <w:lang w:val="uz-Cyrl-UZ"/>
        </w:rPr>
        <w:t>за 9,42% у периоду 2013–2019. године,</w:t>
      </w:r>
      <w:r w:rsidRPr="00F114A9">
        <w:rPr>
          <w:vertAlign w:val="superscript"/>
          <w:lang w:val="uz-Cyrl-UZ"/>
        </w:rPr>
        <w:footnoteReference w:id="42"/>
      </w:r>
      <w:r w:rsidRPr="00F114A9">
        <w:rPr>
          <w:lang w:val="uz-Cyrl-UZ"/>
        </w:rPr>
        <w:t xml:space="preserve"> али су анализе које су спроведене у истом периоду показале да „</w:t>
      </w:r>
      <w:r w:rsidRPr="00F114A9">
        <w:rPr>
          <w:iCs/>
          <w:lang w:val="uz-Cyrl-UZ"/>
        </w:rPr>
        <w:t>супротно очекивањима јавности, број запослених на нивоу опште државе по становнику у Републици Србији спада међу мање у Европи (седам запослених на 100 становника, наспрам просека нових чланица ЕУ који износи осам запослених на 100 становника)</w:t>
      </w:r>
      <w:r w:rsidRPr="00F114A9">
        <w:rPr>
          <w:lang w:val="uz-Cyrl-UZ"/>
        </w:rPr>
        <w:t>”.</w:t>
      </w:r>
      <w:r w:rsidRPr="00F114A9">
        <w:rPr>
          <w:vertAlign w:val="superscript"/>
          <w:lang w:val="uz-Cyrl-UZ"/>
        </w:rPr>
        <w:footnoteReference w:id="43"/>
      </w:r>
      <w:r w:rsidRPr="00F114A9">
        <w:rPr>
          <w:i/>
          <w:lang w:val="uz-Cyrl-UZ"/>
        </w:rPr>
        <w:t xml:space="preserve"> </w:t>
      </w:r>
      <w:r w:rsidRPr="00F114A9">
        <w:rPr>
          <w:lang w:val="uz-Cyrl-UZ"/>
        </w:rPr>
        <w:t>Истовремено, функционалне анализе Светске банке показале су да проблеми нису у броју колико у преклапању функција, непопуњеним упражњеним местима или у томе што на основним пословима и пословима подршке нису довољно добро распоређени запослени.</w:t>
      </w:r>
      <w:r w:rsidRPr="00F114A9">
        <w:rPr>
          <w:vertAlign w:val="superscript"/>
          <w:lang w:val="uz-Cyrl-UZ"/>
        </w:rPr>
        <w:footnoteReference w:id="44"/>
      </w:r>
      <w:r w:rsidRPr="00F114A9">
        <w:rPr>
          <w:lang w:val="uz-Cyrl-UZ"/>
        </w:rPr>
        <w:t xml:space="preserve"> Израђен је Акциони план за оптимизацију на основу препорука Светске банке,</w:t>
      </w:r>
      <w:r w:rsidRPr="00F114A9">
        <w:rPr>
          <w:vertAlign w:val="superscript"/>
          <w:lang w:val="uz-Cyrl-UZ"/>
        </w:rPr>
        <w:footnoteReference w:id="45"/>
      </w:r>
      <w:r w:rsidRPr="00F114A9">
        <w:rPr>
          <w:lang w:val="uz-Cyrl-UZ"/>
        </w:rPr>
        <w:t xml:space="preserve"> као и Анализа и смернице за обједињавање функција стратешког, оперативног и финансијског планирања и интерне контроле, са препорукама за измену прописа, Студија изводљивости за оптимизацију организационе структуре органа државне управе у службама Владе и стручним службама управних округа и Анализа стања у области управљања људским ресурсима са препорукама за задржавање кадрова,</w:t>
      </w:r>
      <w:r w:rsidRPr="00F114A9">
        <w:rPr>
          <w:vertAlign w:val="superscript"/>
          <w:lang w:val="uz-Cyrl-UZ"/>
        </w:rPr>
        <w:footnoteReference w:id="46"/>
      </w:r>
      <w:r w:rsidRPr="00F114A9">
        <w:rPr>
          <w:lang w:val="uz-Cyrl-UZ"/>
        </w:rPr>
        <w:t xml:space="preserve"> а све те документе је прихватио Савет за реформу јавне управе 2018. године и они су уграђени у стратешки оквир реформе јавне управе (Акциони План за спровођење Стратегије РЈУ), али</w:t>
      </w:r>
      <w:r w:rsidRPr="00F114A9">
        <w:rPr>
          <w:i/>
          <w:lang w:val="uz-Cyrl-UZ"/>
        </w:rPr>
        <w:t xml:space="preserve"> </w:t>
      </w:r>
      <w:r w:rsidRPr="00F114A9">
        <w:rPr>
          <w:lang w:val="uz-Cyrl-UZ"/>
        </w:rPr>
        <w:t xml:space="preserve">та реформа није спроведена у планираном року. </w:t>
      </w:r>
    </w:p>
    <w:p w14:paraId="7B493468" w14:textId="3EC219A2" w:rsidR="003641CB" w:rsidRPr="000F0299" w:rsidRDefault="00F114A9" w:rsidP="00F114A9">
      <w:r w:rsidRPr="00F114A9">
        <w:rPr>
          <w:b/>
          <w:lang w:val="sr-Cyrl-CS"/>
        </w:rPr>
        <w:t xml:space="preserve">Баланс одговарајућих административних капацитета, </w:t>
      </w:r>
      <w:r w:rsidRPr="00F114A9">
        <w:rPr>
          <w:lang w:val="sr-Cyrl-CS"/>
        </w:rPr>
        <w:t xml:space="preserve">што се подвлачи у свим </w:t>
      </w:r>
      <w:r w:rsidRPr="00F114A9">
        <w:rPr>
          <w:b/>
          <w:lang w:val="sr-Cyrl-CS"/>
        </w:rPr>
        <w:t xml:space="preserve">преговарачким </w:t>
      </w:r>
      <w:r w:rsidRPr="004F3884">
        <w:rPr>
          <w:b/>
          <w:lang w:val="sr-Cyrl-CS"/>
        </w:rPr>
        <w:t xml:space="preserve">поглављима, </w:t>
      </w:r>
      <w:r w:rsidR="004F3884" w:rsidRPr="004F3884">
        <w:rPr>
          <w:b/>
          <w:lang w:val="sr-Cyrl-CS"/>
        </w:rPr>
        <w:t>и</w:t>
      </w:r>
      <w:r w:rsidRPr="004F3884">
        <w:rPr>
          <w:b/>
          <w:lang w:val="sr-Cyrl-CS"/>
        </w:rPr>
        <w:t xml:space="preserve"> оптимизоване</w:t>
      </w:r>
      <w:r w:rsidRPr="00F114A9">
        <w:rPr>
          <w:b/>
          <w:lang w:val="sr-Cyrl-CS"/>
        </w:rPr>
        <w:t xml:space="preserve"> јавне управе</w:t>
      </w:r>
      <w:r w:rsidRPr="00F114A9">
        <w:rPr>
          <w:lang w:val="sr-Cyrl-CS"/>
        </w:rPr>
        <w:t xml:space="preserve">, </w:t>
      </w:r>
      <w:r w:rsidRPr="00F114A9">
        <w:rPr>
          <w:b/>
          <w:lang w:val="sr-Cyrl-CS"/>
        </w:rPr>
        <w:t>професионалне управе као ефикасног сервиса грађана и смањеног трошка за администрацију</w:t>
      </w:r>
      <w:r w:rsidRPr="00F114A9">
        <w:rPr>
          <w:lang w:val="sr-Cyrl-CS"/>
        </w:rPr>
        <w:t xml:space="preserve"> остају изазови и за наредни период реформи.</w:t>
      </w:r>
      <w:r w:rsidRPr="00F114A9">
        <w:rPr>
          <w:lang w:val="uz-Cyrl-UZ"/>
        </w:rPr>
        <w:t xml:space="preserve"> П</w:t>
      </w:r>
      <w:r w:rsidRPr="00F114A9">
        <w:rPr>
          <w:lang w:val="sr-Cyrl-CS"/>
        </w:rPr>
        <w:t>рви Акциони План за спровођење Стратегије РЈУ 2015–2017. године (у даљем тексту: АП Стратегије РЈУ</w:t>
      </w:r>
      <w:r w:rsidRPr="00F114A9">
        <w:rPr>
          <w:lang w:val="uz-Cyrl-UZ"/>
        </w:rPr>
        <w:t xml:space="preserve"> 2015–2017. године</w:t>
      </w:r>
      <w:r w:rsidRPr="00F114A9">
        <w:rPr>
          <w:lang w:val="sr-Cyrl-CS"/>
        </w:rPr>
        <w:t>) подвукао је следеће: „</w:t>
      </w:r>
      <w:r w:rsidRPr="00F114A9">
        <w:rPr>
          <w:iCs/>
          <w:lang w:val="sr-Cyrl-CS"/>
        </w:rPr>
        <w:t xml:space="preserve">Истовремено, у другој половини 2014. године најављено је далеко истакнутије место РЈУ у процесу приступања Републике Србије ЕУ. Први састанак Посебне групе за РЈУ одржан 23–24. октобра 2014. године јасно је указао на значај ове реформске области на путу Србије ка ЕУ, што је потом потврђено и у Стратегији проширења ЕУ за период 2014–2015, која РЈУ поставља као један од три стуба реформи на путу ка ЕУ, заједно са владавином права и економским управљањем. Коначна потврда новог приступа ЕУ у области РЈУ долази у форми ʼПринципа јавне управеʼ које је припремила и објавила ЕК у сарадњи са </w:t>
      </w:r>
      <w:r w:rsidR="0070535D" w:rsidRPr="0070535D">
        <w:rPr>
          <w:i/>
          <w:iCs/>
          <w:lang w:val="sr-Cyrl-CS"/>
        </w:rPr>
        <w:t>SIGMA</w:t>
      </w:r>
      <w:r w:rsidRPr="00F114A9">
        <w:rPr>
          <w:i/>
          <w:iCs/>
          <w:lang w:val="sr-Cyrl-CS"/>
        </w:rPr>
        <w:t xml:space="preserve"> </w:t>
      </w:r>
      <w:r w:rsidRPr="00F114A9">
        <w:rPr>
          <w:iCs/>
          <w:lang w:val="sr-Cyrl-CS"/>
        </w:rPr>
        <w:t>програмом при ОЕЦД.</w:t>
      </w:r>
      <w:r w:rsidRPr="00F114A9">
        <w:rPr>
          <w:lang w:val="sr-Cyrl-CS"/>
        </w:rPr>
        <w:t>”</w:t>
      </w:r>
      <w:r w:rsidRPr="00F114A9">
        <w:rPr>
          <w:vertAlign w:val="superscript"/>
          <w:lang w:val="sr-Cyrl-CS"/>
        </w:rPr>
        <w:footnoteReference w:id="47"/>
      </w:r>
      <w:r w:rsidRPr="00F114A9">
        <w:rPr>
          <w:lang w:val="sr-Cyrl-CS"/>
        </w:rPr>
        <w:t xml:space="preserve"> У истом периоду почела су да се отварају преговарачка поглавља, што указује на повећан обим посла и потребу за већим бројем државних службеника, за новим профилима и знањима који су неопходни у процесу приступања. С друге стране, поред тога што недостаје службеника и одговарајућег знања, један од изазова који се односи на оптерећеност једног дела управе огледа се у чињеници да управа више времена троши на свакодневне процесе, а да мање времена може да посвети реформским активностима „</w:t>
      </w:r>
      <w:r w:rsidRPr="00F114A9">
        <w:rPr>
          <w:i/>
          <w:iCs/>
          <w:lang w:val="sr-Cyrl-CS"/>
        </w:rPr>
        <w:t>[Р]</w:t>
      </w:r>
      <w:r w:rsidRPr="00F114A9">
        <w:rPr>
          <w:iCs/>
          <w:lang w:val="sr-Cyrl-CS"/>
        </w:rPr>
        <w:t>елативно (је) велики удео активности које нису оријентисане на реформе, садржане у акционим плановима: у просеку је у три документа само 69% активности оријентисано на реформе</w:t>
      </w:r>
      <w:r w:rsidR="003641CB" w:rsidRPr="000F0299">
        <w:rPr>
          <w:iCs/>
        </w:rPr>
        <w:t>. То значи да је скоро једна трећина од укупно 388 активности у тим плановима оријентисана на процесе или свакодневно пословање, а не на реформе</w:t>
      </w:r>
      <w:r w:rsidR="003641CB" w:rsidRPr="000F0299">
        <w:rPr>
          <w:i/>
        </w:rPr>
        <w:t>.</w:t>
      </w:r>
      <w:r w:rsidR="003641CB" w:rsidRPr="000F0299">
        <w:t>”</w:t>
      </w:r>
      <w:r w:rsidR="003641CB" w:rsidRPr="000F0299">
        <w:rPr>
          <w:rStyle w:val="FootnoteReference"/>
        </w:rPr>
        <w:footnoteReference w:id="48"/>
      </w:r>
    </w:p>
    <w:p w14:paraId="2CFAE773" w14:textId="2CB27672" w:rsidR="004F38A6" w:rsidRPr="000F0299" w:rsidRDefault="00F114A9" w:rsidP="00F114A9">
      <w:r w:rsidRPr="00F114A9">
        <w:t xml:space="preserve">Значајно је напоменути за стратешки оквир реформе јавне управе да је у претходном периоду </w:t>
      </w:r>
      <w:r w:rsidRPr="00F114A9">
        <w:rPr>
          <w:b/>
        </w:rPr>
        <w:t xml:space="preserve">успостављена координациона, управљачка структура, </w:t>
      </w:r>
      <w:r w:rsidRPr="00F114A9">
        <w:rPr>
          <w:b/>
          <w:lang w:val="uz-Cyrl-UZ"/>
        </w:rPr>
        <w:t>као и редовно праћење, извештавање и евалуација у области реформе јвне управе</w:t>
      </w:r>
      <w:r w:rsidRPr="00F114A9">
        <w:rPr>
          <w:lang w:val="uz-Cyrl-UZ"/>
        </w:rPr>
        <w:t xml:space="preserve"> </w:t>
      </w:r>
      <w:r w:rsidRPr="00F114A9">
        <w:t>(више у Поглављу</w:t>
      </w:r>
      <w:r w:rsidR="00CF4056">
        <w:t xml:space="preserve">: </w:t>
      </w:r>
      <w:hyperlink w:anchor="_Институционални_оквир_–_1" w:history="1">
        <w:r w:rsidR="00CF4056" w:rsidRPr="00CF4056">
          <w:rPr>
            <w:rStyle w:val="Hyperlink"/>
          </w:rPr>
          <w:t>Институционални оквир – Координација, управљање и извештавање о резултатима</w:t>
        </w:r>
      </w:hyperlink>
      <w:r w:rsidR="00CF4056">
        <w:t>;</w:t>
      </w:r>
      <w:r w:rsidRPr="00F114A9">
        <w:rPr>
          <w:lang w:val="uz-Cyrl-UZ"/>
        </w:rPr>
        <w:t xml:space="preserve"> односно да п</w:t>
      </w:r>
      <w:r w:rsidRPr="00F114A9">
        <w:rPr>
          <w:lang w:val="sr-Cyrl-CS"/>
        </w:rPr>
        <w:t xml:space="preserve">остоји континуитет у </w:t>
      </w:r>
      <w:r w:rsidRPr="00F114A9">
        <w:t xml:space="preserve">координацији и </w:t>
      </w:r>
      <w:r w:rsidRPr="00F114A9">
        <w:rPr>
          <w:lang w:val="sr-Cyrl-CS"/>
        </w:rPr>
        <w:t>праћењу</w:t>
      </w:r>
      <w:r w:rsidRPr="00F114A9">
        <w:t xml:space="preserve"> </w:t>
      </w:r>
      <w:r w:rsidRPr="00F114A9">
        <w:rPr>
          <w:lang w:val="sr-Cyrl-CS"/>
        </w:rPr>
        <w:t xml:space="preserve">реформи у области </w:t>
      </w:r>
      <w:r w:rsidRPr="00F114A9">
        <w:t>реформе јавне управе. Поред редовних извештаја, спроведена је спољна евалуација резултата постигнутих спровођењем Стратегије РЈУ из 2014, а налазе и препоруке Евалуације подржао је Савет за реформу јавне управе и донео Закључак којим се налаже да се прихвате препоруке и да МДУЛС и РСЈП, као надлежни органи покрену процес израде Стратегије РЈУ за период након 2021. године, која ће бити усредср</w:t>
      </w:r>
      <w:r w:rsidR="002A7AD0">
        <w:t>е</w:t>
      </w:r>
      <w:r w:rsidRPr="00F114A9">
        <w:t>ђ</w:t>
      </w:r>
      <w:r w:rsidR="002A7AD0">
        <w:t>е</w:t>
      </w:r>
      <w:r w:rsidRPr="00F114A9">
        <w:t>на на политику пружања услуга, УЉР и управљање капацитетима, као и унапређење координације у спровођењу и праћењу реформе јавне управе, уз даље усклађивање свих документа јавних политика у области  РЈУ. Појединачне препоруке су остале основа за посебне циљеве и мере које ће израдити Посебна радне групе за израду нове стратегије у области реформе јавне управе. Договорено је да се Стратегија изради по тематским областима Принципа јавне управе ЕУ/</w:t>
      </w:r>
      <w:r w:rsidRPr="00F114A9">
        <w:rPr>
          <w:i/>
        </w:rPr>
        <w:t>OECD</w:t>
      </w:r>
      <w:r w:rsidRPr="00F114A9">
        <w:t xml:space="preserve"> како би се процес више повезао са процесом ЕУ интеграција, односно како би се ускладио процес националног и ЕУ праћења напретка у овој области. Начин рада Посебне радне групе описан је у</w:t>
      </w:r>
      <w:r w:rsidR="00CF4056">
        <w:t xml:space="preserve"> </w:t>
      </w:r>
      <w:hyperlink w:anchor="_ИНСТИТУЦИОНАЛНИ_ОКВИР_–" w:history="1">
        <w:r w:rsidR="00CF4056" w:rsidRPr="00CF4056">
          <w:rPr>
            <w:rStyle w:val="Hyperlink"/>
          </w:rPr>
          <w:t>Прилогу 3: Процес припреме стратегије и опис консултативног процеса</w:t>
        </w:r>
      </w:hyperlink>
      <w:r w:rsidRPr="00F114A9">
        <w:t>, али оно што је важно истакнути јесте да је процес пратио циклус управљања јавним политикама уграђен у ЗПС, чије елементе прати и ова стратегија</w:t>
      </w:r>
      <w:r w:rsidR="00C1128E" w:rsidRPr="000F0299">
        <w:t>.</w:t>
      </w:r>
    </w:p>
    <w:p w14:paraId="36079D48" w14:textId="0EFD7840" w:rsidR="00D050B4" w:rsidRPr="000F0299" w:rsidRDefault="00D050B4" w:rsidP="00244E7C">
      <w:r w:rsidRPr="000F0299">
        <w:br w:type="page"/>
      </w:r>
    </w:p>
    <w:p w14:paraId="573E6322" w14:textId="533B6ECD" w:rsidR="00D050B4" w:rsidRPr="000F0299" w:rsidRDefault="00C116B3" w:rsidP="007A0CC3">
      <w:pPr>
        <w:pStyle w:val="Heading1"/>
        <w:rPr>
          <w:lang w:val="sr-Cyrl-RS"/>
        </w:rPr>
      </w:pPr>
      <w:bookmarkStart w:id="86" w:name="_Toc57661469"/>
      <w:r w:rsidRPr="000F0299">
        <w:rPr>
          <w:lang w:val="sr-Cyrl-RS"/>
        </w:rPr>
        <w:t xml:space="preserve">Прилог 2: Анализа ситуације по тематским областима са извештајем о </w:t>
      </w:r>
      <w:r w:rsidR="00787985" w:rsidRPr="000F0299">
        <w:rPr>
          <w:lang w:val="sr-Cyrl-RS"/>
        </w:rPr>
        <w:t>спроведеној</w:t>
      </w:r>
      <w:r w:rsidRPr="000F0299">
        <w:rPr>
          <w:lang w:val="sr-Cyrl-RS"/>
        </w:rPr>
        <w:t xml:space="preserve"> анализи ефеката опција и описом мера</w:t>
      </w:r>
      <w:bookmarkEnd w:id="86"/>
    </w:p>
    <w:p w14:paraId="6AF503FF" w14:textId="70D4CB0F" w:rsidR="00D050B4" w:rsidRPr="000F0299" w:rsidRDefault="00D050B4" w:rsidP="00244E7C">
      <w:r w:rsidRPr="000F0299">
        <w:t xml:space="preserve">На </w:t>
      </w:r>
      <w:r w:rsidR="00787985" w:rsidRPr="000F0299">
        <w:t>састанку</w:t>
      </w:r>
      <w:r w:rsidRPr="000F0299">
        <w:t xml:space="preserve"> </w:t>
      </w:r>
      <w:r w:rsidR="005521B1">
        <w:t>К</w:t>
      </w:r>
      <w:r w:rsidRPr="000F0299">
        <w:t xml:space="preserve">ровне радне групе чији су представници функционери и лица на положају, </w:t>
      </w:r>
      <w:r w:rsidR="005521B1">
        <w:t xml:space="preserve">дефинисан </w:t>
      </w:r>
      <w:r w:rsidRPr="000F0299">
        <w:t xml:space="preserve">је нов стратешки оквир реформе јавне управе, који </w:t>
      </w:r>
      <w:r w:rsidR="005521B1">
        <w:t xml:space="preserve">утврђује </w:t>
      </w:r>
      <w:r w:rsidRPr="000F0299">
        <w:t xml:space="preserve">обухват и структуру </w:t>
      </w:r>
      <w:r w:rsidR="005521B1">
        <w:t>ове с</w:t>
      </w:r>
      <w:r w:rsidRPr="000F0299">
        <w:t xml:space="preserve">тратегије. </w:t>
      </w:r>
      <w:r w:rsidR="005521B1">
        <w:t>Ова</w:t>
      </w:r>
      <w:r w:rsidRPr="000F0299">
        <w:t xml:space="preserve"> </w:t>
      </w:r>
      <w:r w:rsidR="005521B1">
        <w:t>с</w:t>
      </w:r>
      <w:r w:rsidRPr="000F0299">
        <w:t xml:space="preserve">тратегија садржи </w:t>
      </w:r>
      <w:r w:rsidR="005521B1">
        <w:t>шест</w:t>
      </w:r>
      <w:r w:rsidRPr="000F0299">
        <w:t xml:space="preserve"> тематских области </w:t>
      </w:r>
      <w:r w:rsidR="005521B1">
        <w:t>реформе јавне управе</w:t>
      </w:r>
      <w:r w:rsidRPr="000F0299">
        <w:t xml:space="preserve">: </w:t>
      </w:r>
    </w:p>
    <w:p w14:paraId="54A74E23" w14:textId="77777777" w:rsidR="00D050B4" w:rsidRPr="000F0299" w:rsidRDefault="00D050B4" w:rsidP="00244E7C">
      <w:pPr>
        <w:pStyle w:val="ListParagraph"/>
        <w:numPr>
          <w:ilvl w:val="0"/>
          <w:numId w:val="1"/>
        </w:numPr>
      </w:pPr>
      <w:r w:rsidRPr="000F0299">
        <w:t>Планирање и координација политика</w:t>
      </w:r>
    </w:p>
    <w:p w14:paraId="316D8256" w14:textId="77777777" w:rsidR="00D050B4" w:rsidRPr="000F0299" w:rsidRDefault="00D050B4" w:rsidP="00244E7C">
      <w:pPr>
        <w:pStyle w:val="ListParagraph"/>
        <w:numPr>
          <w:ilvl w:val="0"/>
          <w:numId w:val="1"/>
        </w:numPr>
      </w:pPr>
      <w:r w:rsidRPr="000F0299">
        <w:t>Управљање људским ресурсима</w:t>
      </w:r>
    </w:p>
    <w:p w14:paraId="512DED1D" w14:textId="77777777" w:rsidR="00D050B4" w:rsidRPr="000F0299" w:rsidRDefault="00D050B4" w:rsidP="00244E7C">
      <w:pPr>
        <w:pStyle w:val="ListParagraph"/>
        <w:numPr>
          <w:ilvl w:val="0"/>
          <w:numId w:val="1"/>
        </w:numPr>
      </w:pPr>
      <w:r w:rsidRPr="000F0299">
        <w:t>Пружање услуга</w:t>
      </w:r>
    </w:p>
    <w:p w14:paraId="69EE6380" w14:textId="77777777" w:rsidR="00D050B4" w:rsidRPr="000F0299" w:rsidRDefault="00D050B4" w:rsidP="00244E7C">
      <w:pPr>
        <w:pStyle w:val="ListParagraph"/>
        <w:numPr>
          <w:ilvl w:val="0"/>
          <w:numId w:val="1"/>
        </w:numPr>
      </w:pPr>
      <w:r w:rsidRPr="000F0299">
        <w:t>Одговорност и транспарентност</w:t>
      </w:r>
    </w:p>
    <w:p w14:paraId="796C09E7" w14:textId="77777777" w:rsidR="00D050B4" w:rsidRPr="000F0299" w:rsidRDefault="00D050B4" w:rsidP="00244E7C">
      <w:pPr>
        <w:pStyle w:val="ListParagraph"/>
        <w:numPr>
          <w:ilvl w:val="0"/>
          <w:numId w:val="1"/>
        </w:numPr>
      </w:pPr>
      <w:r w:rsidRPr="000F0299">
        <w:t>Управљање јавним финансијама</w:t>
      </w:r>
    </w:p>
    <w:p w14:paraId="40C4CC0B" w14:textId="77777777" w:rsidR="00D050B4" w:rsidRPr="000F0299" w:rsidRDefault="00D050B4" w:rsidP="00244E7C">
      <w:pPr>
        <w:pStyle w:val="ListParagraph"/>
        <w:numPr>
          <w:ilvl w:val="0"/>
          <w:numId w:val="1"/>
        </w:numPr>
      </w:pPr>
      <w:r w:rsidRPr="000F0299">
        <w:t>Систем локалне самоуправе</w:t>
      </w:r>
    </w:p>
    <w:p w14:paraId="0D7D3199" w14:textId="77777777" w:rsidR="005521B1" w:rsidRDefault="005521B1" w:rsidP="005521B1">
      <w:r>
        <w:t>Tри тематске области (управљање људским ресурсима, пружање услуга и одговорност и транспарентност) обрађене су детаљније и разрађене кроз Акциони план Стратегије РЈУ. У склопу ове стратегије разрађен је и оперативни план за координацију спровођења реформе јавне управе.</w:t>
      </w:r>
    </w:p>
    <w:p w14:paraId="16E45FF9" w14:textId="320DF4BA" w:rsidR="005521B1" w:rsidRDefault="005521B1" w:rsidP="005521B1">
      <w:r>
        <w:t>За наведене три области спроведена је и детаљна анализа ефеката и прорачун трошкова. Политика пружања услуга се по истеку Програма за развој е-управе (2022) обједињава кроз ову стратегију. Планирање и координација политика, управљање јавним финансијама и систем локалне самоуправе биће и у будућем планском циклусу разрађиване кроз конкретне прог</w:t>
      </w:r>
      <w:r w:rsidR="00241194">
        <w:t>р</w:t>
      </w:r>
      <w:r>
        <w:t>аме, па су за њих разрађ</w:t>
      </w:r>
      <w:r w:rsidR="002A7AD0">
        <w:t>е</w:t>
      </w:r>
      <w:r>
        <w:t>ни посебни циљеви и правци деловања, док се анализа ефеката опција и детаљна разрада мера спроводи кроз програме.</w:t>
      </w:r>
    </w:p>
    <w:p w14:paraId="52429F6F" w14:textId="77777777" w:rsidR="005521B1" w:rsidRDefault="005521B1" w:rsidP="005521B1">
      <w:r>
        <w:t>Резиме анализе стања за све тематске области приказан је збирно на SWOT матрици, док је детаљна анализа проблема са приказом упоредне праксе дата унутар сваке тематске области засебно.</w:t>
      </w:r>
    </w:p>
    <w:p w14:paraId="1D9C66A3" w14:textId="5A30FC5F" w:rsidR="00D050B4" w:rsidRPr="000F0299" w:rsidRDefault="005521B1" w:rsidP="005521B1">
      <w:r>
        <w:t xml:space="preserve">Као што је приказано на </w:t>
      </w:r>
      <w:r w:rsidRPr="00643DC4">
        <w:t>г</w:t>
      </w:r>
      <w:r w:rsidR="00643DC4" w:rsidRPr="00643DC4">
        <w:t>рафикону 10</w:t>
      </w:r>
      <w:r w:rsidRPr="00643DC4">
        <w:t xml:space="preserve">, </w:t>
      </w:r>
      <w:r>
        <w:t>ова стратегија обухвата осам посебних циљева, три за тематску област управљања људским ресурсима и по један посебан циљ за остале тематске области. Сви циљеви и мере, уколико су разрађиване у овој стратегији, описане су и за њих су дати показатељи и трошкови</w:t>
      </w:r>
      <w:r w:rsidR="00D050B4" w:rsidRPr="000F0299">
        <w:t>.</w:t>
      </w:r>
    </w:p>
    <w:p w14:paraId="141A34C3" w14:textId="77777777" w:rsidR="00D050B4" w:rsidRPr="000F0299" w:rsidRDefault="00D050B4" w:rsidP="00244E7C"/>
    <w:p w14:paraId="4C66E37F" w14:textId="77777777" w:rsidR="00D050B4" w:rsidRPr="000F0299" w:rsidRDefault="00D050B4" w:rsidP="00244E7C"/>
    <w:p w14:paraId="223263FE" w14:textId="77777777" w:rsidR="00D050B4" w:rsidRPr="000F0299" w:rsidRDefault="00D050B4" w:rsidP="00244E7C"/>
    <w:p w14:paraId="0232CD7C" w14:textId="77777777" w:rsidR="00D050B4" w:rsidRPr="000F0299" w:rsidRDefault="00D050B4" w:rsidP="00244E7C">
      <w:pPr>
        <w:rPr>
          <w:lang w:eastAsia="de-DE"/>
        </w:rPr>
        <w:sectPr w:rsidR="00D050B4" w:rsidRPr="000F0299" w:rsidSect="006F686E">
          <w:headerReference w:type="default" r:id="rId69"/>
          <w:footerReference w:type="default" r:id="rId70"/>
          <w:pgSz w:w="11906" w:h="16838"/>
          <w:pgMar w:top="1418" w:right="1418" w:bottom="1134" w:left="1418" w:header="709" w:footer="709" w:gutter="0"/>
          <w:cols w:space="708"/>
          <w:docGrid w:linePitch="360"/>
        </w:sectPr>
      </w:pPr>
      <w:r w:rsidRPr="000F0299">
        <w:rPr>
          <w:lang w:eastAsia="de-DE"/>
        </w:rPr>
        <w:tab/>
      </w:r>
    </w:p>
    <w:p w14:paraId="516E954E" w14:textId="4B87E6D4" w:rsidR="00A260D9" w:rsidRPr="00EC3C52" w:rsidRDefault="00A260D9" w:rsidP="00A260D9">
      <w:pPr>
        <w:pStyle w:val="Caption"/>
        <w:keepNext/>
        <w:rPr>
          <w:i w:val="0"/>
          <w:iCs w:val="0"/>
          <w:lang w:val="sr-Cyrl-RS"/>
        </w:rPr>
      </w:pPr>
      <w:bookmarkStart w:id="87" w:name="_Toc57665374"/>
      <w:r w:rsidRPr="00EC3C52">
        <w:rPr>
          <w:i w:val="0"/>
          <w:iCs w:val="0"/>
          <w:lang w:val="sr-Cyrl-RS"/>
        </w:rPr>
        <w:t xml:space="preserve">Табела </w:t>
      </w:r>
      <w:r w:rsidRPr="00EC3C52">
        <w:rPr>
          <w:i w:val="0"/>
          <w:iCs w:val="0"/>
          <w:lang w:val="sr-Cyrl-RS"/>
        </w:rPr>
        <w:fldChar w:fldCharType="begin"/>
      </w:r>
      <w:r w:rsidRPr="00EC3C52">
        <w:rPr>
          <w:i w:val="0"/>
          <w:iCs w:val="0"/>
          <w:lang w:val="sr-Cyrl-RS"/>
        </w:rPr>
        <w:instrText xml:space="preserve"> SEQ Табела \* ARABIC </w:instrText>
      </w:r>
      <w:r w:rsidRPr="00EC3C52">
        <w:rPr>
          <w:i w:val="0"/>
          <w:iCs w:val="0"/>
          <w:lang w:val="sr-Cyrl-RS"/>
        </w:rPr>
        <w:fldChar w:fldCharType="separate"/>
      </w:r>
      <w:r w:rsidR="00772172" w:rsidRPr="00EC3C52">
        <w:rPr>
          <w:i w:val="0"/>
          <w:iCs w:val="0"/>
          <w:noProof/>
          <w:lang w:val="sr-Cyrl-RS"/>
        </w:rPr>
        <w:t>2</w:t>
      </w:r>
      <w:r w:rsidRPr="00EC3C52">
        <w:rPr>
          <w:i w:val="0"/>
          <w:iCs w:val="0"/>
          <w:lang w:val="sr-Cyrl-RS"/>
        </w:rPr>
        <w:fldChar w:fldCharType="end"/>
      </w:r>
      <w:r w:rsidRPr="00EC3C52">
        <w:rPr>
          <w:i w:val="0"/>
          <w:iCs w:val="0"/>
          <w:lang w:val="sr-Cyrl-RS"/>
        </w:rPr>
        <w:t xml:space="preserve"> SWOT Матрица</w:t>
      </w:r>
      <w:bookmarkEnd w:id="87"/>
    </w:p>
    <w:tbl>
      <w:tblPr>
        <w:tblStyle w:val="TableGrid"/>
        <w:tblW w:w="1459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8"/>
        <w:gridCol w:w="7298"/>
      </w:tblGrid>
      <w:tr w:rsidR="00D050B4" w:rsidRPr="000F0299" w14:paraId="48462BCC" w14:textId="77777777" w:rsidTr="0051533D">
        <w:tc>
          <w:tcPr>
            <w:tcW w:w="14596" w:type="dxa"/>
            <w:gridSpan w:val="2"/>
            <w:shd w:val="clear" w:color="auto" w:fill="D9D9D9" w:themeFill="background1" w:themeFillShade="D9"/>
          </w:tcPr>
          <w:p w14:paraId="0966CFFF" w14:textId="77777777" w:rsidR="00D050B4" w:rsidRPr="000F0299" w:rsidRDefault="00D050B4" w:rsidP="0096115E">
            <w:pPr>
              <w:spacing w:after="0"/>
              <w:jc w:val="center"/>
              <w:rPr>
                <w:b/>
                <w:bCs/>
              </w:rPr>
            </w:pPr>
            <w:r w:rsidRPr="000F0299">
              <w:rPr>
                <w:b/>
                <w:bCs/>
              </w:rPr>
              <w:t>ПЛАНИРАЊЕ И КООРДИНАЦИЈА ПОЛИТИКА</w:t>
            </w:r>
          </w:p>
        </w:tc>
      </w:tr>
      <w:tr w:rsidR="0096115E" w:rsidRPr="000F0299" w14:paraId="64254697" w14:textId="77777777" w:rsidTr="0096115E">
        <w:trPr>
          <w:trHeight w:val="412"/>
        </w:trPr>
        <w:tc>
          <w:tcPr>
            <w:tcW w:w="7298" w:type="dxa"/>
          </w:tcPr>
          <w:p w14:paraId="422AD7B5" w14:textId="2F648444" w:rsidR="0096115E" w:rsidRPr="000F0299" w:rsidRDefault="0096115E" w:rsidP="0096115E">
            <w:pPr>
              <w:spacing w:after="0" w:line="276" w:lineRule="auto"/>
              <w:ind w:firstLine="0"/>
              <w:jc w:val="center"/>
            </w:pPr>
            <w:r w:rsidRPr="000F0299">
              <w:rPr>
                <w:b/>
                <w:bCs/>
                <w:color w:val="C00000"/>
              </w:rPr>
              <w:t>СНАГЕ</w:t>
            </w:r>
          </w:p>
        </w:tc>
        <w:tc>
          <w:tcPr>
            <w:tcW w:w="7298" w:type="dxa"/>
            <w:shd w:val="clear" w:color="auto" w:fill="FFFFFF" w:themeFill="background1"/>
          </w:tcPr>
          <w:p w14:paraId="00A20EFA" w14:textId="3E32F8B3" w:rsidR="0096115E" w:rsidRPr="000F0299" w:rsidRDefault="0096115E" w:rsidP="0096115E">
            <w:pPr>
              <w:spacing w:after="0" w:line="276" w:lineRule="auto"/>
              <w:ind w:firstLine="0"/>
              <w:jc w:val="center"/>
            </w:pPr>
            <w:r w:rsidRPr="000F0299">
              <w:rPr>
                <w:b/>
                <w:bCs/>
                <w:color w:val="C00000"/>
              </w:rPr>
              <w:t>СЛАБОСТИ</w:t>
            </w:r>
          </w:p>
        </w:tc>
      </w:tr>
      <w:tr w:rsidR="0096115E" w:rsidRPr="000F0299" w14:paraId="679EDCE8" w14:textId="77777777" w:rsidTr="0051533D">
        <w:trPr>
          <w:trHeight w:val="3776"/>
        </w:trPr>
        <w:tc>
          <w:tcPr>
            <w:tcW w:w="7298" w:type="dxa"/>
          </w:tcPr>
          <w:p w14:paraId="6D680514" w14:textId="77777777" w:rsidR="0096115E" w:rsidRPr="000F0299" w:rsidRDefault="0096115E" w:rsidP="00E62A1A">
            <w:pPr>
              <w:pStyle w:val="ListParagraph"/>
              <w:numPr>
                <w:ilvl w:val="0"/>
                <w:numId w:val="28"/>
              </w:numPr>
              <w:spacing w:before="0" w:after="0" w:line="240" w:lineRule="auto"/>
              <w:ind w:left="460"/>
            </w:pPr>
            <w:r w:rsidRPr="000F0299">
              <w:t>Постављен темељ правног и институционалног оквира планског система – усвајањем Закона о планском систему и две пратеће уредбе постављен је основ за изградњу кохерентног система планирања јавних политика у земљи</w:t>
            </w:r>
          </w:p>
          <w:p w14:paraId="71C8DE2C" w14:textId="77777777" w:rsidR="0096115E" w:rsidRPr="000F0299" w:rsidRDefault="0096115E" w:rsidP="00E62A1A">
            <w:pPr>
              <w:pStyle w:val="ListParagraph"/>
              <w:numPr>
                <w:ilvl w:val="0"/>
                <w:numId w:val="28"/>
              </w:numPr>
              <w:spacing w:before="0" w:after="0" w:line="240" w:lineRule="auto"/>
              <w:ind w:left="460"/>
            </w:pPr>
            <w:r w:rsidRPr="000F0299">
              <w:t>Јединствени информациони систем за планирање политика (ЈИС)</w:t>
            </w:r>
          </w:p>
          <w:p w14:paraId="7D4F557D" w14:textId="77777777" w:rsidR="0096115E" w:rsidRPr="000F0299" w:rsidRDefault="0096115E" w:rsidP="00E62A1A">
            <w:pPr>
              <w:pStyle w:val="ListParagraph"/>
              <w:numPr>
                <w:ilvl w:val="0"/>
                <w:numId w:val="28"/>
              </w:numPr>
              <w:spacing w:before="0" w:after="0" w:line="240" w:lineRule="auto"/>
              <w:ind w:left="460"/>
            </w:pPr>
            <w:r w:rsidRPr="000F0299">
              <w:t>Позитиван помак у квалитету прописа спровођењем анализе ефеката</w:t>
            </w:r>
          </w:p>
          <w:p w14:paraId="470B19DC" w14:textId="678F8635" w:rsidR="0096115E" w:rsidRPr="000F0299" w:rsidRDefault="0096115E" w:rsidP="00E62A1A">
            <w:pPr>
              <w:pStyle w:val="ListParagraph"/>
              <w:numPr>
                <w:ilvl w:val="0"/>
                <w:numId w:val="28"/>
              </w:numPr>
              <w:spacing w:before="0" w:after="0" w:line="240" w:lineRule="auto"/>
              <w:ind w:left="460"/>
            </w:pPr>
            <w:r w:rsidRPr="000F0299">
              <w:t>Експертиза која постоји у органима државне управе – у претходном периоду је у органима државне управе грађена експертизе за припрему јавних политика заснованих на подацима и анализама</w:t>
            </w:r>
          </w:p>
        </w:tc>
        <w:tc>
          <w:tcPr>
            <w:tcW w:w="7298" w:type="dxa"/>
            <w:shd w:val="clear" w:color="auto" w:fill="FFFFFF" w:themeFill="background1"/>
          </w:tcPr>
          <w:p w14:paraId="0AD308C4" w14:textId="59E8ADB9" w:rsidR="0096115E" w:rsidRPr="000F0299" w:rsidRDefault="0096115E" w:rsidP="00E62A1A">
            <w:pPr>
              <w:pStyle w:val="ListParagraph"/>
              <w:numPr>
                <w:ilvl w:val="0"/>
                <w:numId w:val="29"/>
              </w:numPr>
              <w:spacing w:before="0" w:after="0" w:line="240" w:lineRule="auto"/>
              <w:ind w:left="485"/>
            </w:pPr>
            <w:r w:rsidRPr="000F0299">
              <w:t xml:space="preserve">Недостајући аналитички капацитети у органима јавне управе, аналитичке јединице нису </w:t>
            </w:r>
            <w:r w:rsidR="00787985" w:rsidRPr="000F0299">
              <w:t>успостављене</w:t>
            </w:r>
          </w:p>
          <w:p w14:paraId="10EC69A9" w14:textId="77777777" w:rsidR="0096115E" w:rsidRPr="000F0299" w:rsidRDefault="0096115E" w:rsidP="00E62A1A">
            <w:pPr>
              <w:pStyle w:val="ListParagraph"/>
              <w:numPr>
                <w:ilvl w:val="0"/>
                <w:numId w:val="29"/>
              </w:numPr>
              <w:spacing w:before="0" w:after="0" w:line="240" w:lineRule="auto"/>
              <w:ind w:left="485"/>
              <w:rPr>
                <w:bCs/>
              </w:rPr>
            </w:pPr>
            <w:r w:rsidRPr="000F0299">
              <w:t>Неусклађеност планског оквира, с</w:t>
            </w:r>
            <w:r w:rsidRPr="000F0299">
              <w:rPr>
                <w:bCs/>
              </w:rPr>
              <w:t>лаб квалитет политика</w:t>
            </w:r>
          </w:p>
          <w:p w14:paraId="31900DC9" w14:textId="77777777" w:rsidR="0096115E" w:rsidRPr="000F0299" w:rsidRDefault="0096115E" w:rsidP="00E62A1A">
            <w:pPr>
              <w:pStyle w:val="ListParagraph"/>
              <w:numPr>
                <w:ilvl w:val="0"/>
                <w:numId w:val="29"/>
              </w:numPr>
              <w:spacing w:before="0" w:after="0" w:line="240" w:lineRule="auto"/>
              <w:ind w:left="485"/>
            </w:pPr>
            <w:r w:rsidRPr="000F0299">
              <w:t>Значајан број закона усваја се по хитном поступку</w:t>
            </w:r>
          </w:p>
          <w:p w14:paraId="69AB721F" w14:textId="77777777" w:rsidR="0096115E" w:rsidRPr="000F0299" w:rsidRDefault="0096115E" w:rsidP="00E62A1A">
            <w:pPr>
              <w:pStyle w:val="ListParagraph"/>
              <w:numPr>
                <w:ilvl w:val="0"/>
                <w:numId w:val="29"/>
              </w:numPr>
              <w:spacing w:before="0" w:after="0" w:line="240" w:lineRule="auto"/>
              <w:ind w:left="485"/>
            </w:pPr>
            <w:r w:rsidRPr="000F0299">
              <w:t>Несистематично прикупљање података и неадекватна употреба</w:t>
            </w:r>
          </w:p>
          <w:p w14:paraId="0A58A998" w14:textId="77777777" w:rsidR="0096115E" w:rsidRPr="000F0299" w:rsidRDefault="0096115E" w:rsidP="00E62A1A">
            <w:pPr>
              <w:pStyle w:val="ListParagraph"/>
              <w:numPr>
                <w:ilvl w:val="0"/>
                <w:numId w:val="29"/>
              </w:numPr>
              <w:spacing w:before="0" w:after="0" w:line="240" w:lineRule="auto"/>
              <w:ind w:left="485"/>
            </w:pPr>
            <w:r w:rsidRPr="000F0299">
              <w:t>Неизграђен систем мерења и евалуације резултата у јавној управи – државни службеници приликом припрема докумената јавних политика свој фокус и даље стављају на процесе уместо на исходе и утицаје јавних политика.</w:t>
            </w:r>
          </w:p>
          <w:p w14:paraId="12664021" w14:textId="71883435" w:rsidR="0096115E" w:rsidRPr="000F0299" w:rsidRDefault="0096115E" w:rsidP="00E62A1A">
            <w:pPr>
              <w:pStyle w:val="ListParagraph"/>
              <w:numPr>
                <w:ilvl w:val="0"/>
                <w:numId w:val="29"/>
              </w:numPr>
              <w:spacing w:before="0" w:after="0" w:line="240" w:lineRule="auto"/>
              <w:ind w:left="485"/>
            </w:pPr>
            <w:r w:rsidRPr="000F0299">
              <w:t xml:space="preserve">Неразвијена </w:t>
            </w:r>
            <w:r w:rsidR="00787985" w:rsidRPr="000F0299">
              <w:t>пракса</w:t>
            </w:r>
            <w:r w:rsidRPr="000F0299">
              <w:t xml:space="preserve"> системских и транспарентних консултација од самог почетка процеса припреме планских докумената и прописа</w:t>
            </w:r>
          </w:p>
          <w:p w14:paraId="38589B76" w14:textId="77777777" w:rsidR="0096115E" w:rsidRPr="000F0299" w:rsidRDefault="0096115E" w:rsidP="00E62A1A">
            <w:pPr>
              <w:pStyle w:val="ListParagraph"/>
              <w:numPr>
                <w:ilvl w:val="0"/>
                <w:numId w:val="29"/>
              </w:numPr>
              <w:spacing w:before="0" w:after="0" w:line="240" w:lineRule="auto"/>
              <w:ind w:left="485"/>
            </w:pPr>
            <w:r w:rsidRPr="000F0299">
              <w:t>Преамбициозно планирање</w:t>
            </w:r>
          </w:p>
          <w:p w14:paraId="0FEBE437" w14:textId="1F755135" w:rsidR="0096115E" w:rsidRPr="000F0299" w:rsidRDefault="0096115E" w:rsidP="00E62A1A">
            <w:pPr>
              <w:pStyle w:val="ListParagraph"/>
              <w:numPr>
                <w:ilvl w:val="0"/>
                <w:numId w:val="29"/>
              </w:numPr>
              <w:spacing w:before="0" w:after="0" w:line="240" w:lineRule="auto"/>
              <w:ind w:left="485"/>
            </w:pPr>
            <w:r w:rsidRPr="000F0299">
              <w:t xml:space="preserve">Спор темпо спровођења ЗПС у области </w:t>
            </w:r>
            <w:r w:rsidR="00B04863" w:rsidRPr="000F0299">
              <w:t>средњорочног</w:t>
            </w:r>
            <w:r w:rsidRPr="000F0299">
              <w:t xml:space="preserve"> планирања</w:t>
            </w:r>
          </w:p>
        </w:tc>
      </w:tr>
      <w:tr w:rsidR="0096115E" w:rsidRPr="000F0299" w14:paraId="1292318F" w14:textId="77777777" w:rsidTr="0096115E">
        <w:trPr>
          <w:trHeight w:val="436"/>
        </w:trPr>
        <w:tc>
          <w:tcPr>
            <w:tcW w:w="7298" w:type="dxa"/>
          </w:tcPr>
          <w:p w14:paraId="4F9EBC38" w14:textId="7CBC5292" w:rsidR="0096115E" w:rsidRPr="000F0299" w:rsidRDefault="0096115E" w:rsidP="0096115E">
            <w:pPr>
              <w:spacing w:after="0"/>
              <w:ind w:left="357" w:firstLine="0"/>
              <w:jc w:val="center"/>
            </w:pPr>
            <w:r w:rsidRPr="000F0299">
              <w:rPr>
                <w:b/>
                <w:bCs/>
                <w:color w:val="C00000"/>
              </w:rPr>
              <w:t>ШАНСЕ</w:t>
            </w:r>
          </w:p>
        </w:tc>
        <w:tc>
          <w:tcPr>
            <w:tcW w:w="7298" w:type="dxa"/>
            <w:shd w:val="clear" w:color="auto" w:fill="FFFFFF" w:themeFill="background1"/>
          </w:tcPr>
          <w:p w14:paraId="17A791D4" w14:textId="5FB8A58C" w:rsidR="0096115E" w:rsidRPr="000F0299" w:rsidRDefault="0096115E" w:rsidP="0096115E">
            <w:pPr>
              <w:spacing w:after="0"/>
              <w:ind w:left="357" w:firstLine="0"/>
              <w:jc w:val="center"/>
            </w:pPr>
            <w:r w:rsidRPr="000F0299">
              <w:rPr>
                <w:b/>
                <w:bCs/>
                <w:color w:val="C00000"/>
              </w:rPr>
              <w:t>ПРЕТЊЕ</w:t>
            </w:r>
          </w:p>
        </w:tc>
      </w:tr>
      <w:tr w:rsidR="0096115E" w:rsidRPr="000F0299" w14:paraId="64085D8C" w14:textId="77777777" w:rsidTr="0096115E">
        <w:tc>
          <w:tcPr>
            <w:tcW w:w="7298" w:type="dxa"/>
          </w:tcPr>
          <w:p w14:paraId="4DAB9B88" w14:textId="77777777" w:rsidR="0096115E" w:rsidRPr="000F0299" w:rsidRDefault="0096115E" w:rsidP="00E62A1A">
            <w:pPr>
              <w:pStyle w:val="ListParagraph"/>
              <w:numPr>
                <w:ilvl w:val="0"/>
                <w:numId w:val="40"/>
              </w:numPr>
              <w:spacing w:before="0" w:after="0" w:line="240" w:lineRule="auto"/>
              <w:ind w:left="460"/>
            </w:pPr>
            <w:r w:rsidRPr="000F0299">
              <w:t>Акциони план за спровођење програма Владе – механизам који је пилотиран 2014 - 2015. године, а у потпуности успостављен 2016. године представља модел који се може пресликати на рад целе државне управе.</w:t>
            </w:r>
          </w:p>
          <w:p w14:paraId="4B7A9004" w14:textId="77777777" w:rsidR="0096115E" w:rsidRPr="000F0299" w:rsidRDefault="0096115E" w:rsidP="00E62A1A">
            <w:pPr>
              <w:pStyle w:val="ListParagraph"/>
              <w:numPr>
                <w:ilvl w:val="0"/>
                <w:numId w:val="40"/>
              </w:numPr>
              <w:spacing w:before="0" w:after="0" w:line="240" w:lineRule="auto"/>
              <w:ind w:left="460"/>
            </w:pPr>
            <w:r w:rsidRPr="000F0299">
              <w:t>Имплементација средњорочног планирања</w:t>
            </w:r>
          </w:p>
          <w:p w14:paraId="37F3BA9A" w14:textId="77777777" w:rsidR="0096115E" w:rsidRPr="000F0299" w:rsidRDefault="0096115E" w:rsidP="00E62A1A">
            <w:pPr>
              <w:pStyle w:val="ListParagraph"/>
              <w:numPr>
                <w:ilvl w:val="0"/>
                <w:numId w:val="40"/>
              </w:numPr>
              <w:spacing w:before="0" w:after="0" w:line="240" w:lineRule="auto"/>
              <w:ind w:left="460"/>
            </w:pPr>
            <w:r w:rsidRPr="000F0299">
              <w:t>Пуна примена ЈИС-а и повезивање са ИТ системом за припрему буџета</w:t>
            </w:r>
          </w:p>
          <w:p w14:paraId="25EFAD7B" w14:textId="1C4A74EC" w:rsidR="0096115E" w:rsidRPr="000F0299" w:rsidRDefault="0096115E" w:rsidP="00E62A1A">
            <w:pPr>
              <w:pStyle w:val="ListParagraph"/>
              <w:numPr>
                <w:ilvl w:val="0"/>
                <w:numId w:val="28"/>
              </w:numPr>
              <w:spacing w:before="0" w:after="0" w:line="240" w:lineRule="auto"/>
              <w:ind w:left="460"/>
            </w:pPr>
            <w:r w:rsidRPr="000F0299">
              <w:t>Услов придруживања Европској унији – ЕУ је пред Србију као један од захтева поставила унапређење система планирања јавних политика</w:t>
            </w:r>
          </w:p>
        </w:tc>
        <w:tc>
          <w:tcPr>
            <w:tcW w:w="7298" w:type="dxa"/>
            <w:shd w:val="clear" w:color="auto" w:fill="FFFFFF" w:themeFill="background1"/>
          </w:tcPr>
          <w:p w14:paraId="6F744671" w14:textId="77777777" w:rsidR="0096115E" w:rsidRPr="000F0299" w:rsidRDefault="0096115E" w:rsidP="00E62A1A">
            <w:pPr>
              <w:pStyle w:val="ListParagraph"/>
              <w:numPr>
                <w:ilvl w:val="0"/>
                <w:numId w:val="41"/>
              </w:numPr>
              <w:spacing w:before="0" w:after="0" w:line="240" w:lineRule="auto"/>
              <w:ind w:left="485"/>
            </w:pPr>
            <w:r w:rsidRPr="000F0299">
              <w:t>Фокус државних службеника на испуњавање форме уместо суштине.</w:t>
            </w:r>
          </w:p>
          <w:p w14:paraId="5ABF4C8B" w14:textId="77777777" w:rsidR="0096115E" w:rsidRPr="000F0299" w:rsidRDefault="0096115E" w:rsidP="00E62A1A">
            <w:pPr>
              <w:pStyle w:val="ListParagraph"/>
              <w:numPr>
                <w:ilvl w:val="0"/>
                <w:numId w:val="41"/>
              </w:numPr>
              <w:spacing w:before="0" w:after="0" w:line="240" w:lineRule="auto"/>
              <w:ind w:left="485"/>
            </w:pPr>
            <w:r w:rsidRPr="000F0299">
              <w:t>Непридржавање Закона о планском систему</w:t>
            </w:r>
          </w:p>
          <w:p w14:paraId="76DEFFCD" w14:textId="77E8551F" w:rsidR="0096115E" w:rsidRPr="000F0299" w:rsidRDefault="0096115E" w:rsidP="00E62A1A">
            <w:pPr>
              <w:pStyle w:val="ListParagraph"/>
              <w:numPr>
                <w:ilvl w:val="0"/>
                <w:numId w:val="29"/>
              </w:numPr>
              <w:spacing w:before="0" w:after="0" w:line="240" w:lineRule="auto"/>
              <w:ind w:left="485"/>
            </w:pPr>
            <w:r w:rsidRPr="000F0299">
              <w:t>Недостатак финансијских средстава</w:t>
            </w:r>
          </w:p>
        </w:tc>
      </w:tr>
    </w:tbl>
    <w:p w14:paraId="4EA4B2BC" w14:textId="77777777" w:rsidR="0096115E" w:rsidRPr="000F0299" w:rsidRDefault="0096115E">
      <w:pPr>
        <w:suppressAutoHyphens w:val="0"/>
        <w:autoSpaceDN/>
        <w:spacing w:after="160" w:line="259" w:lineRule="auto"/>
        <w:ind w:firstLine="0"/>
        <w:jc w:val="left"/>
        <w:textAlignment w:val="auto"/>
      </w:pPr>
      <w:r w:rsidRPr="000F0299">
        <w:br w:type="page"/>
      </w:r>
    </w:p>
    <w:tbl>
      <w:tblPr>
        <w:tblStyle w:val="TableGrid"/>
        <w:tblW w:w="1459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8"/>
        <w:gridCol w:w="7298"/>
      </w:tblGrid>
      <w:tr w:rsidR="0096115E" w:rsidRPr="000F0299" w14:paraId="3B503AC1" w14:textId="77777777" w:rsidTr="0051533D">
        <w:tc>
          <w:tcPr>
            <w:tcW w:w="14596" w:type="dxa"/>
            <w:gridSpan w:val="2"/>
            <w:shd w:val="clear" w:color="auto" w:fill="BFBFBF" w:themeFill="background1" w:themeFillShade="BF"/>
          </w:tcPr>
          <w:p w14:paraId="62BE5859" w14:textId="77777777" w:rsidR="0096115E" w:rsidRPr="000F0299" w:rsidRDefault="0096115E" w:rsidP="009E2D21">
            <w:pPr>
              <w:spacing w:after="0"/>
              <w:jc w:val="center"/>
              <w:rPr>
                <w:b/>
                <w:bCs/>
              </w:rPr>
            </w:pPr>
            <w:r w:rsidRPr="000F0299">
              <w:rPr>
                <w:b/>
                <w:bCs/>
              </w:rPr>
              <w:t>УПРАВЉАЊЕ ЉУДСКИМ РЕСУРСИМА</w:t>
            </w:r>
          </w:p>
        </w:tc>
      </w:tr>
      <w:tr w:rsidR="009E2D21" w:rsidRPr="000F0299" w14:paraId="2D2E61DF" w14:textId="77777777" w:rsidTr="0051533D">
        <w:tc>
          <w:tcPr>
            <w:tcW w:w="7298" w:type="dxa"/>
          </w:tcPr>
          <w:p w14:paraId="608CCA10" w14:textId="7203D56F" w:rsidR="009E2D21" w:rsidRPr="000F0299" w:rsidRDefault="009E2D21" w:rsidP="009E2D21">
            <w:pPr>
              <w:spacing w:after="0"/>
              <w:ind w:left="357" w:firstLine="0"/>
              <w:jc w:val="center"/>
            </w:pPr>
            <w:r w:rsidRPr="000F0299">
              <w:rPr>
                <w:b/>
                <w:bCs/>
                <w:color w:val="C00000"/>
              </w:rPr>
              <w:t>СНАГЕ</w:t>
            </w:r>
          </w:p>
        </w:tc>
        <w:tc>
          <w:tcPr>
            <w:tcW w:w="7298" w:type="dxa"/>
            <w:shd w:val="clear" w:color="auto" w:fill="FFFFFF" w:themeFill="background1"/>
          </w:tcPr>
          <w:p w14:paraId="1430BF7A" w14:textId="181FFA50" w:rsidR="009E2D21" w:rsidRPr="000F0299" w:rsidRDefault="009E2D21" w:rsidP="009E2D21">
            <w:pPr>
              <w:spacing w:after="0"/>
              <w:ind w:left="357" w:firstLine="0"/>
              <w:jc w:val="center"/>
            </w:pPr>
            <w:r w:rsidRPr="000F0299">
              <w:rPr>
                <w:b/>
                <w:bCs/>
                <w:color w:val="C00000"/>
              </w:rPr>
              <w:t>СЛАБОСТИ</w:t>
            </w:r>
          </w:p>
        </w:tc>
      </w:tr>
      <w:tr w:rsidR="0096115E" w:rsidRPr="000F0299" w14:paraId="7C5216BE" w14:textId="77777777" w:rsidTr="0051533D">
        <w:tc>
          <w:tcPr>
            <w:tcW w:w="7298" w:type="dxa"/>
          </w:tcPr>
          <w:p w14:paraId="645CA3E4" w14:textId="77777777" w:rsidR="0096115E" w:rsidRPr="000F0299" w:rsidRDefault="0096115E" w:rsidP="00E62A1A">
            <w:pPr>
              <w:pStyle w:val="ListParagraph"/>
              <w:numPr>
                <w:ilvl w:val="0"/>
                <w:numId w:val="30"/>
              </w:numPr>
              <w:spacing w:before="0" w:after="0" w:line="240" w:lineRule="auto"/>
              <w:ind w:left="460"/>
            </w:pPr>
            <w:r w:rsidRPr="000F0299">
              <w:t>Досадашње искуство у спровођењу РЈУ, а посебно у управљању људским ресурсима (специфична знања)</w:t>
            </w:r>
          </w:p>
          <w:p w14:paraId="38B70568" w14:textId="77777777" w:rsidR="0096115E" w:rsidRPr="000F0299" w:rsidRDefault="0096115E" w:rsidP="00E62A1A">
            <w:pPr>
              <w:pStyle w:val="ListParagraph"/>
              <w:numPr>
                <w:ilvl w:val="0"/>
                <w:numId w:val="30"/>
              </w:numPr>
              <w:spacing w:before="0" w:after="0" w:line="240" w:lineRule="auto"/>
              <w:ind w:left="460"/>
            </w:pPr>
            <w:r w:rsidRPr="000F0299">
              <w:t>Законски оквир (Закон о систему плата, Закон о државним службеницима и пратеће уредбе, Закон о запосленим у АП и ЈЛС</w:t>
            </w:r>
          </w:p>
          <w:p w14:paraId="15C2DB73" w14:textId="77777777" w:rsidR="0096115E" w:rsidRPr="000F0299" w:rsidRDefault="0096115E" w:rsidP="00E62A1A">
            <w:pPr>
              <w:pStyle w:val="ListParagraph"/>
              <w:numPr>
                <w:ilvl w:val="0"/>
                <w:numId w:val="30"/>
              </w:numPr>
              <w:spacing w:before="0" w:after="0" w:line="240" w:lineRule="auto"/>
              <w:ind w:left="460"/>
            </w:pPr>
            <w:r w:rsidRPr="000F0299">
              <w:t>Нов институционални оквир за стручно усавршавање</w:t>
            </w:r>
          </w:p>
          <w:p w14:paraId="0CB7A554" w14:textId="77777777" w:rsidR="0096115E" w:rsidRPr="000F0299" w:rsidRDefault="0096115E" w:rsidP="00E62A1A">
            <w:pPr>
              <w:pStyle w:val="ListParagraph"/>
              <w:numPr>
                <w:ilvl w:val="0"/>
                <w:numId w:val="30"/>
              </w:numPr>
              <w:spacing w:before="0" w:after="0" w:line="240" w:lineRule="auto"/>
              <w:ind w:left="460"/>
            </w:pPr>
            <w:r w:rsidRPr="000F0299">
              <w:t>Уведен систем компетенција у државној управи</w:t>
            </w:r>
          </w:p>
          <w:p w14:paraId="6D6B7EBC" w14:textId="77777777" w:rsidR="0096115E" w:rsidRPr="000F0299" w:rsidRDefault="0096115E" w:rsidP="00E62A1A">
            <w:pPr>
              <w:pStyle w:val="ListParagraph"/>
              <w:numPr>
                <w:ilvl w:val="0"/>
                <w:numId w:val="30"/>
              </w:numPr>
              <w:spacing w:before="0" w:after="0" w:line="240" w:lineRule="auto"/>
              <w:ind w:left="460"/>
            </w:pPr>
            <w:r w:rsidRPr="000F0299">
              <w:t>Успостављене процедуре</w:t>
            </w:r>
          </w:p>
          <w:p w14:paraId="0FEAD196" w14:textId="4FE9E04A" w:rsidR="0096115E" w:rsidRPr="000F0299" w:rsidRDefault="0096115E" w:rsidP="00E62A1A">
            <w:pPr>
              <w:pStyle w:val="ListParagraph"/>
              <w:numPr>
                <w:ilvl w:val="0"/>
                <w:numId w:val="30"/>
              </w:numPr>
              <w:spacing w:before="0" w:after="0" w:line="240" w:lineRule="auto"/>
              <w:ind w:left="460"/>
            </w:pPr>
            <w:r w:rsidRPr="000F0299">
              <w:t>Омогућена већа мобилност преко интерног тржишта рада</w:t>
            </w:r>
          </w:p>
        </w:tc>
        <w:tc>
          <w:tcPr>
            <w:tcW w:w="7298" w:type="dxa"/>
            <w:shd w:val="clear" w:color="auto" w:fill="FFFFFF" w:themeFill="background1"/>
          </w:tcPr>
          <w:p w14:paraId="56DBC9EF" w14:textId="77777777" w:rsidR="0096115E" w:rsidRPr="000F0299" w:rsidRDefault="0096115E" w:rsidP="00E62A1A">
            <w:pPr>
              <w:pStyle w:val="ListParagraph"/>
              <w:numPr>
                <w:ilvl w:val="0"/>
                <w:numId w:val="31"/>
              </w:numPr>
              <w:spacing w:before="0" w:after="0" w:line="240" w:lineRule="auto"/>
              <w:ind w:left="485"/>
            </w:pPr>
            <w:r w:rsidRPr="000F0299">
              <w:t>Одсуство кадровских планова, „непланирање кадрова“, непопуњавање упражњених места, неажурне базе података</w:t>
            </w:r>
          </w:p>
          <w:p w14:paraId="24E24282" w14:textId="77777777" w:rsidR="0096115E" w:rsidRPr="000F0299" w:rsidRDefault="0096115E" w:rsidP="00E62A1A">
            <w:pPr>
              <w:pStyle w:val="ListParagraph"/>
              <w:numPr>
                <w:ilvl w:val="0"/>
                <w:numId w:val="31"/>
              </w:numPr>
              <w:spacing w:before="0" w:after="0" w:line="240" w:lineRule="auto"/>
              <w:ind w:left="485"/>
            </w:pPr>
            <w:r w:rsidRPr="000F0299">
              <w:t>Унутрашња организација и компетенције службеника нису усклађене са ЕУ захтевима , неразумевање нове улоге УЉР у државној управи</w:t>
            </w:r>
          </w:p>
          <w:p w14:paraId="70513650" w14:textId="77777777" w:rsidR="0096115E" w:rsidRPr="000F0299" w:rsidRDefault="0096115E" w:rsidP="00E62A1A">
            <w:pPr>
              <w:pStyle w:val="ListParagraph"/>
              <w:numPr>
                <w:ilvl w:val="0"/>
                <w:numId w:val="31"/>
              </w:numPr>
              <w:spacing w:before="0" w:after="0" w:line="240" w:lineRule="auto"/>
              <w:ind w:left="485"/>
            </w:pPr>
            <w:r w:rsidRPr="000F0299">
              <w:t>Недоречена надлежност и улога јединица за УЉР, преоптерећене УЉР процедуре</w:t>
            </w:r>
          </w:p>
          <w:p w14:paraId="26A0E232" w14:textId="77777777" w:rsidR="0096115E" w:rsidRPr="000F0299" w:rsidRDefault="0096115E" w:rsidP="00E62A1A">
            <w:pPr>
              <w:pStyle w:val="ListParagraph"/>
              <w:numPr>
                <w:ilvl w:val="0"/>
                <w:numId w:val="31"/>
              </w:numPr>
              <w:spacing w:before="0" w:after="0" w:line="240" w:lineRule="auto"/>
              <w:ind w:left="485"/>
            </w:pPr>
            <w:r w:rsidRPr="000F0299">
              <w:t>Одлив високо стручног кадра с искуством и недостатак мера у циљу задржавања кадра</w:t>
            </w:r>
          </w:p>
          <w:p w14:paraId="3FA9222C" w14:textId="1ADC079E" w:rsidR="0096115E" w:rsidRPr="000F0299" w:rsidRDefault="0096115E" w:rsidP="00E62A1A">
            <w:pPr>
              <w:pStyle w:val="ListParagraph"/>
              <w:numPr>
                <w:ilvl w:val="0"/>
                <w:numId w:val="31"/>
              </w:numPr>
              <w:spacing w:before="0" w:after="0" w:line="240" w:lineRule="auto"/>
              <w:ind w:left="485"/>
            </w:pPr>
            <w:r w:rsidRPr="000F0299">
              <w:t>Устаљена пракса „вд“ и рада ван радног односа, уз „outsource“ послова основне делатности</w:t>
            </w:r>
          </w:p>
          <w:p w14:paraId="49B4B5CC" w14:textId="77777777" w:rsidR="0096115E" w:rsidRPr="000F0299" w:rsidRDefault="0096115E" w:rsidP="00E62A1A">
            <w:pPr>
              <w:pStyle w:val="ListParagraph"/>
              <w:numPr>
                <w:ilvl w:val="0"/>
                <w:numId w:val="31"/>
              </w:numPr>
              <w:spacing w:before="0" w:after="0" w:line="240" w:lineRule="auto"/>
              <w:ind w:left="485"/>
            </w:pPr>
            <w:r w:rsidRPr="000F0299">
              <w:t>Систем стручног усавршавања у почетној фази са неадекватном акредитацијом реализатора за посебне програме</w:t>
            </w:r>
          </w:p>
          <w:p w14:paraId="351B2FE0" w14:textId="77777777" w:rsidR="0096115E" w:rsidRPr="000F0299" w:rsidRDefault="0096115E" w:rsidP="00E62A1A">
            <w:pPr>
              <w:pStyle w:val="ListParagraph"/>
              <w:numPr>
                <w:ilvl w:val="0"/>
                <w:numId w:val="31"/>
              </w:numPr>
              <w:spacing w:before="0" w:after="0" w:line="240" w:lineRule="auto"/>
              <w:ind w:left="485"/>
            </w:pPr>
            <w:r w:rsidRPr="000F0299">
              <w:t>Недовољно посебних програма</w:t>
            </w:r>
          </w:p>
          <w:p w14:paraId="3E77284E" w14:textId="6F086975" w:rsidR="0096115E" w:rsidRPr="000F0299" w:rsidRDefault="0096115E" w:rsidP="00E62A1A">
            <w:pPr>
              <w:pStyle w:val="ListParagraph"/>
              <w:numPr>
                <w:ilvl w:val="0"/>
                <w:numId w:val="31"/>
              </w:numPr>
              <w:spacing w:before="0" w:after="0" w:line="240" w:lineRule="auto"/>
              <w:ind w:left="485"/>
            </w:pPr>
            <w:r w:rsidRPr="000F0299">
              <w:t>Неадекватни услови за координацију обука на локалном нивоу</w:t>
            </w:r>
          </w:p>
        </w:tc>
      </w:tr>
      <w:tr w:rsidR="009E2D21" w:rsidRPr="000F0299" w14:paraId="471A22BB" w14:textId="77777777" w:rsidTr="0051533D">
        <w:tc>
          <w:tcPr>
            <w:tcW w:w="7298" w:type="dxa"/>
          </w:tcPr>
          <w:p w14:paraId="508066D7" w14:textId="389EF764" w:rsidR="009E2D21" w:rsidRPr="000F0299" w:rsidRDefault="009E2D21" w:rsidP="009E2D21">
            <w:pPr>
              <w:spacing w:before="0" w:after="0"/>
              <w:ind w:firstLine="0"/>
              <w:jc w:val="center"/>
            </w:pPr>
            <w:r w:rsidRPr="000F0299">
              <w:rPr>
                <w:b/>
                <w:bCs/>
                <w:color w:val="C00000"/>
              </w:rPr>
              <w:t>ШАНСЕ</w:t>
            </w:r>
          </w:p>
        </w:tc>
        <w:tc>
          <w:tcPr>
            <w:tcW w:w="7298" w:type="dxa"/>
            <w:shd w:val="clear" w:color="auto" w:fill="FFFFFF" w:themeFill="background1"/>
          </w:tcPr>
          <w:p w14:paraId="68F62C9B" w14:textId="45859823" w:rsidR="009E2D21" w:rsidRPr="000F0299" w:rsidRDefault="009E2D21" w:rsidP="009E2D21">
            <w:pPr>
              <w:spacing w:before="0" w:after="0"/>
              <w:ind w:firstLine="0"/>
              <w:jc w:val="center"/>
            </w:pPr>
            <w:r w:rsidRPr="000F0299">
              <w:rPr>
                <w:b/>
                <w:bCs/>
                <w:color w:val="C00000"/>
              </w:rPr>
              <w:t>ПРЕТЊЕ</w:t>
            </w:r>
          </w:p>
        </w:tc>
      </w:tr>
      <w:tr w:rsidR="009E2D21" w:rsidRPr="000F0299" w14:paraId="173DA0FC" w14:textId="77777777" w:rsidTr="0051533D">
        <w:tc>
          <w:tcPr>
            <w:tcW w:w="7298" w:type="dxa"/>
          </w:tcPr>
          <w:p w14:paraId="506547D6" w14:textId="77777777" w:rsidR="009E2D21" w:rsidRPr="000F0299" w:rsidRDefault="009E2D21" w:rsidP="00E62A1A">
            <w:pPr>
              <w:pStyle w:val="ListParagraph"/>
              <w:numPr>
                <w:ilvl w:val="0"/>
                <w:numId w:val="42"/>
              </w:numPr>
              <w:spacing w:before="0" w:after="0" w:line="240" w:lineRule="auto"/>
              <w:ind w:left="460"/>
            </w:pPr>
            <w:r w:rsidRPr="000F0299">
              <w:t>Европске интеграције</w:t>
            </w:r>
          </w:p>
          <w:p w14:paraId="5881CC9C" w14:textId="4C6B90DA" w:rsidR="009E2D21" w:rsidRPr="000F0299" w:rsidRDefault="00AA6340" w:rsidP="00E62A1A">
            <w:pPr>
              <w:pStyle w:val="ListParagraph"/>
              <w:numPr>
                <w:ilvl w:val="0"/>
                <w:numId w:val="42"/>
              </w:numPr>
              <w:spacing w:before="0" w:after="0" w:line="240" w:lineRule="auto"/>
              <w:ind w:left="460"/>
            </w:pPr>
            <w:r w:rsidRPr="00AA6340">
              <w:rPr>
                <w:i/>
              </w:rPr>
              <w:t>IPA</w:t>
            </w:r>
            <w:r w:rsidR="009E2D21" w:rsidRPr="000F0299">
              <w:t xml:space="preserve"> фондови, прелазак на структурне фондове; пројекти (ГИЗ, СЕ, ЕУ, ГГФ, СКГО...)</w:t>
            </w:r>
          </w:p>
          <w:p w14:paraId="06935DC8" w14:textId="77777777" w:rsidR="009E2D21" w:rsidRPr="000F0299" w:rsidRDefault="009E2D21" w:rsidP="00E62A1A">
            <w:pPr>
              <w:pStyle w:val="ListParagraph"/>
              <w:numPr>
                <w:ilvl w:val="0"/>
                <w:numId w:val="42"/>
              </w:numPr>
              <w:spacing w:before="0" w:after="0" w:line="240" w:lineRule="auto"/>
              <w:ind w:left="460"/>
            </w:pPr>
            <w:r w:rsidRPr="000F0299">
              <w:t>Јавна управа као пожељан послодавац</w:t>
            </w:r>
          </w:p>
          <w:p w14:paraId="5E8184B7" w14:textId="77777777" w:rsidR="009E2D21" w:rsidRPr="000F0299" w:rsidRDefault="009E2D21" w:rsidP="00E62A1A">
            <w:pPr>
              <w:pStyle w:val="ListParagraph"/>
              <w:numPr>
                <w:ilvl w:val="0"/>
                <w:numId w:val="42"/>
              </w:numPr>
              <w:spacing w:before="0" w:after="0" w:line="240" w:lineRule="auto"/>
              <w:ind w:left="460"/>
            </w:pPr>
            <w:r w:rsidRPr="000F0299">
              <w:t>Дигитализација и развој ИТ</w:t>
            </w:r>
          </w:p>
          <w:p w14:paraId="5F8CEEA0" w14:textId="29CD5020" w:rsidR="009E2D21" w:rsidRPr="000F0299" w:rsidRDefault="009E2D21" w:rsidP="00E62A1A">
            <w:pPr>
              <w:pStyle w:val="ListParagraph"/>
              <w:numPr>
                <w:ilvl w:val="0"/>
                <w:numId w:val="30"/>
              </w:numPr>
              <w:spacing w:before="0" w:after="0" w:line="240" w:lineRule="auto"/>
              <w:ind w:left="460"/>
            </w:pPr>
            <w:r w:rsidRPr="000F0299">
              <w:t>Е-управа, развој Е-обука</w:t>
            </w:r>
          </w:p>
        </w:tc>
        <w:tc>
          <w:tcPr>
            <w:tcW w:w="7298" w:type="dxa"/>
            <w:shd w:val="clear" w:color="auto" w:fill="FFFFFF" w:themeFill="background1"/>
          </w:tcPr>
          <w:p w14:paraId="4487A7D4" w14:textId="77777777" w:rsidR="009E2D21" w:rsidRPr="000F0299" w:rsidRDefault="009E2D21" w:rsidP="00E62A1A">
            <w:pPr>
              <w:pStyle w:val="ListParagraph"/>
              <w:numPr>
                <w:ilvl w:val="0"/>
                <w:numId w:val="43"/>
              </w:numPr>
              <w:spacing w:before="0" w:after="0" w:line="240" w:lineRule="auto"/>
              <w:ind w:left="485"/>
            </w:pPr>
            <w:r w:rsidRPr="000F0299">
              <w:t>Фискална консолидација, мере штедње, рационализација</w:t>
            </w:r>
          </w:p>
          <w:p w14:paraId="233E3F71" w14:textId="77777777" w:rsidR="009E2D21" w:rsidRPr="000F0299" w:rsidRDefault="009E2D21" w:rsidP="00E62A1A">
            <w:pPr>
              <w:pStyle w:val="ListParagraph"/>
              <w:numPr>
                <w:ilvl w:val="0"/>
                <w:numId w:val="43"/>
              </w:numPr>
              <w:spacing w:before="0" w:after="0" w:line="240" w:lineRule="auto"/>
              <w:ind w:left="485"/>
            </w:pPr>
            <w:r w:rsidRPr="000F0299">
              <w:t>Отпор према променама, негативан став према реформи и недоследна примена прописа</w:t>
            </w:r>
          </w:p>
          <w:p w14:paraId="26149A35" w14:textId="0F972276" w:rsidR="009E2D21" w:rsidRPr="000F0299" w:rsidRDefault="009E2D21" w:rsidP="00E62A1A">
            <w:pPr>
              <w:pStyle w:val="ListParagraph"/>
              <w:numPr>
                <w:ilvl w:val="0"/>
                <w:numId w:val="43"/>
              </w:numPr>
              <w:spacing w:before="0" w:after="0" w:line="240" w:lineRule="auto"/>
              <w:ind w:left="485"/>
            </w:pPr>
            <w:r w:rsidRPr="000F0299">
              <w:t xml:space="preserve">Ограничена </w:t>
            </w:r>
            <w:r w:rsidR="00B04863" w:rsidRPr="000F0299">
              <w:t>финансијска</w:t>
            </w:r>
            <w:r w:rsidRPr="000F0299">
              <w:t xml:space="preserve"> средства</w:t>
            </w:r>
          </w:p>
          <w:p w14:paraId="7F6CBA04" w14:textId="77777777" w:rsidR="009E2D21" w:rsidRPr="000F0299" w:rsidRDefault="009E2D21" w:rsidP="00E62A1A">
            <w:pPr>
              <w:pStyle w:val="ListParagraph"/>
              <w:numPr>
                <w:ilvl w:val="0"/>
                <w:numId w:val="43"/>
              </w:numPr>
              <w:spacing w:before="0" w:after="0" w:line="240" w:lineRule="auto"/>
              <w:ind w:left="485"/>
            </w:pPr>
            <w:r w:rsidRPr="000F0299">
              <w:t>Изборни циклус - блокада рада локалне самоуправе;</w:t>
            </w:r>
          </w:p>
          <w:p w14:paraId="092938B2" w14:textId="77777777" w:rsidR="009E2D21" w:rsidRPr="000F0299" w:rsidRDefault="009E2D21" w:rsidP="00E62A1A">
            <w:pPr>
              <w:pStyle w:val="ListParagraph"/>
              <w:numPr>
                <w:ilvl w:val="0"/>
                <w:numId w:val="43"/>
              </w:numPr>
              <w:spacing w:before="0" w:after="0" w:line="240" w:lineRule="auto"/>
              <w:ind w:left="485"/>
            </w:pPr>
            <w:r w:rsidRPr="000F0299">
              <w:t>Јавна управа као неконкурентан послодавац;</w:t>
            </w:r>
          </w:p>
          <w:p w14:paraId="3CAB6B3C" w14:textId="0D70C747" w:rsidR="009E2D21" w:rsidRPr="000F0299" w:rsidRDefault="009E2D21" w:rsidP="00E62A1A">
            <w:pPr>
              <w:pStyle w:val="ListParagraph"/>
              <w:numPr>
                <w:ilvl w:val="0"/>
                <w:numId w:val="31"/>
              </w:numPr>
              <w:spacing w:before="0" w:after="0" w:line="240" w:lineRule="auto"/>
              <w:ind w:left="485"/>
            </w:pPr>
            <w:r w:rsidRPr="000F0299">
              <w:t>Политички утицај на кадровску политику (у одређеним деловима управе);</w:t>
            </w:r>
          </w:p>
        </w:tc>
      </w:tr>
    </w:tbl>
    <w:p w14:paraId="24DB10A1" w14:textId="77777777" w:rsidR="009E2D21" w:rsidRPr="000F0299" w:rsidRDefault="009E2D21">
      <w:pPr>
        <w:suppressAutoHyphens w:val="0"/>
        <w:autoSpaceDN/>
        <w:spacing w:after="160" w:line="259" w:lineRule="auto"/>
        <w:ind w:firstLine="0"/>
        <w:jc w:val="left"/>
        <w:textAlignment w:val="auto"/>
      </w:pPr>
      <w:r w:rsidRPr="000F0299">
        <w:br w:type="page"/>
      </w:r>
    </w:p>
    <w:tbl>
      <w:tblPr>
        <w:tblStyle w:val="TableGrid"/>
        <w:tblW w:w="1459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8"/>
        <w:gridCol w:w="7298"/>
      </w:tblGrid>
      <w:tr w:rsidR="0096115E" w:rsidRPr="000F0299" w14:paraId="1C145C2E" w14:textId="77777777" w:rsidTr="0051533D">
        <w:tc>
          <w:tcPr>
            <w:tcW w:w="14596" w:type="dxa"/>
            <w:gridSpan w:val="2"/>
            <w:shd w:val="clear" w:color="auto" w:fill="DEEAF6" w:themeFill="accent5" w:themeFillTint="33"/>
          </w:tcPr>
          <w:p w14:paraId="20DEBD64" w14:textId="77777777" w:rsidR="0096115E" w:rsidRPr="000F0299" w:rsidRDefault="0096115E" w:rsidP="009E2D21">
            <w:pPr>
              <w:spacing w:after="0"/>
              <w:jc w:val="center"/>
              <w:rPr>
                <w:b/>
                <w:bCs/>
              </w:rPr>
            </w:pPr>
            <w:r w:rsidRPr="000F0299">
              <w:rPr>
                <w:b/>
                <w:bCs/>
              </w:rPr>
              <w:t>ПРУЖАЊЕ УСЛУГА</w:t>
            </w:r>
          </w:p>
        </w:tc>
      </w:tr>
      <w:tr w:rsidR="009E2D21" w:rsidRPr="000F0299" w14:paraId="02EB1293" w14:textId="77777777" w:rsidTr="009E2D21">
        <w:trPr>
          <w:trHeight w:val="458"/>
        </w:trPr>
        <w:tc>
          <w:tcPr>
            <w:tcW w:w="7298" w:type="dxa"/>
          </w:tcPr>
          <w:p w14:paraId="4D60D6D4" w14:textId="68947A80" w:rsidR="009E2D21" w:rsidRPr="000F0299" w:rsidRDefault="009E2D21" w:rsidP="009E2D21">
            <w:pPr>
              <w:spacing w:after="0"/>
              <w:ind w:firstLine="0"/>
              <w:jc w:val="center"/>
              <w:rPr>
                <w:noProof/>
              </w:rPr>
            </w:pPr>
            <w:r w:rsidRPr="000F0299">
              <w:rPr>
                <w:b/>
                <w:bCs/>
                <w:color w:val="C00000"/>
              </w:rPr>
              <w:t>СНАГЕ</w:t>
            </w:r>
          </w:p>
        </w:tc>
        <w:tc>
          <w:tcPr>
            <w:tcW w:w="7298" w:type="dxa"/>
            <w:shd w:val="clear" w:color="auto" w:fill="FFFFFF" w:themeFill="background1"/>
          </w:tcPr>
          <w:p w14:paraId="171E5D39" w14:textId="232C71F2" w:rsidR="009E2D21" w:rsidRPr="000F0299" w:rsidRDefault="009E2D21" w:rsidP="009E2D21">
            <w:pPr>
              <w:spacing w:after="0"/>
              <w:ind w:firstLine="0"/>
              <w:jc w:val="center"/>
              <w:rPr>
                <w:noProof/>
              </w:rPr>
            </w:pPr>
            <w:r w:rsidRPr="000F0299">
              <w:rPr>
                <w:b/>
                <w:bCs/>
                <w:color w:val="C00000"/>
              </w:rPr>
              <w:t>СЛАБОСТИ</w:t>
            </w:r>
          </w:p>
        </w:tc>
      </w:tr>
      <w:tr w:rsidR="0096115E" w:rsidRPr="000F0299" w14:paraId="362800C0" w14:textId="77777777" w:rsidTr="0051533D">
        <w:trPr>
          <w:trHeight w:val="1271"/>
        </w:trPr>
        <w:tc>
          <w:tcPr>
            <w:tcW w:w="7298" w:type="dxa"/>
          </w:tcPr>
          <w:p w14:paraId="50FFEE8A" w14:textId="02BF9E01" w:rsidR="0096115E" w:rsidRPr="000F0299" w:rsidRDefault="0096115E" w:rsidP="00E62A1A">
            <w:pPr>
              <w:pStyle w:val="ListParagraph"/>
              <w:numPr>
                <w:ilvl w:val="0"/>
                <w:numId w:val="32"/>
              </w:numPr>
              <w:spacing w:before="0" w:after="0" w:line="240" w:lineRule="auto"/>
              <w:ind w:left="460"/>
              <w:rPr>
                <w:noProof/>
              </w:rPr>
            </w:pPr>
            <w:r w:rsidRPr="000F0299">
              <w:rPr>
                <w:noProof/>
              </w:rPr>
              <w:t>Развијен правни оквир за развој електронске управе</w:t>
            </w:r>
          </w:p>
          <w:p w14:paraId="0C1D30DB" w14:textId="1C63CD93" w:rsidR="0096115E" w:rsidRPr="000F0299" w:rsidRDefault="0096115E" w:rsidP="00E62A1A">
            <w:pPr>
              <w:pStyle w:val="ListParagraph"/>
              <w:numPr>
                <w:ilvl w:val="0"/>
                <w:numId w:val="32"/>
              </w:numPr>
              <w:spacing w:before="0" w:after="0" w:line="240" w:lineRule="auto"/>
              <w:ind w:left="460"/>
              <w:rPr>
                <w:color w:val="000000" w:themeColor="text1"/>
              </w:rPr>
            </w:pPr>
            <w:r w:rsidRPr="000F0299">
              <w:rPr>
                <w:noProof/>
              </w:rPr>
              <w:t xml:space="preserve">Расте број органа на сервисној магистрали и </w:t>
            </w:r>
            <w:r w:rsidRPr="000F0299">
              <w:rPr>
                <w:color w:val="000000" w:themeColor="text1"/>
              </w:rPr>
              <w:t>корисника редизајнираног Портала е-управа</w:t>
            </w:r>
          </w:p>
          <w:p w14:paraId="3BD24962" w14:textId="40469AAA" w:rsidR="0096115E" w:rsidRPr="000F0299" w:rsidRDefault="0096115E" w:rsidP="00E62A1A">
            <w:pPr>
              <w:pStyle w:val="ListParagraph"/>
              <w:numPr>
                <w:ilvl w:val="0"/>
                <w:numId w:val="32"/>
              </w:numPr>
              <w:spacing w:before="0" w:after="0" w:line="240" w:lineRule="auto"/>
              <w:ind w:left="460"/>
              <w:rPr>
                <w:noProof/>
              </w:rPr>
            </w:pPr>
            <w:r w:rsidRPr="000F0299">
              <w:rPr>
                <w:noProof/>
              </w:rPr>
              <w:t>Развијен правни и стратешки оквир за поједностављење административних поступака и процедура</w:t>
            </w:r>
          </w:p>
          <w:p w14:paraId="6FA846CB" w14:textId="25B0CE30" w:rsidR="0096115E" w:rsidRPr="000F0299" w:rsidRDefault="0096115E" w:rsidP="00E62A1A">
            <w:pPr>
              <w:pStyle w:val="ListParagraph"/>
              <w:numPr>
                <w:ilvl w:val="0"/>
                <w:numId w:val="32"/>
              </w:numPr>
              <w:spacing w:before="0" w:after="0" w:line="240" w:lineRule="auto"/>
              <w:ind w:left="460"/>
              <w:rPr>
                <w:noProof/>
              </w:rPr>
            </w:pPr>
            <w:r w:rsidRPr="000F0299">
              <w:rPr>
                <w:noProof/>
              </w:rPr>
              <w:t>Акумулирана експертиза и искуство у појединим органима државне управе</w:t>
            </w:r>
          </w:p>
          <w:p w14:paraId="542102B0" w14:textId="7F7F6E8A" w:rsidR="0096115E" w:rsidRPr="000F0299" w:rsidRDefault="0096115E" w:rsidP="00E62A1A">
            <w:pPr>
              <w:pStyle w:val="ListParagraph"/>
              <w:numPr>
                <w:ilvl w:val="0"/>
                <w:numId w:val="32"/>
              </w:numPr>
              <w:spacing w:before="0" w:after="0" w:line="240" w:lineRule="auto"/>
              <w:ind w:left="460"/>
            </w:pPr>
            <w:r w:rsidRPr="000F0299">
              <w:rPr>
                <w:noProof/>
              </w:rPr>
              <w:t>Политичка подршка Владе</w:t>
            </w:r>
          </w:p>
        </w:tc>
        <w:tc>
          <w:tcPr>
            <w:tcW w:w="7298" w:type="dxa"/>
            <w:shd w:val="clear" w:color="auto" w:fill="FFFFFF" w:themeFill="background1"/>
          </w:tcPr>
          <w:p w14:paraId="5C71CB20" w14:textId="77777777" w:rsidR="0096115E" w:rsidRPr="000F0299" w:rsidRDefault="0096115E" w:rsidP="00E62A1A">
            <w:pPr>
              <w:pStyle w:val="ListParagraph"/>
              <w:numPr>
                <w:ilvl w:val="0"/>
                <w:numId w:val="33"/>
              </w:numPr>
              <w:spacing w:before="0" w:after="0" w:line="240" w:lineRule="auto"/>
              <w:ind w:left="485"/>
              <w:rPr>
                <w:noProof/>
              </w:rPr>
            </w:pPr>
            <w:r w:rsidRPr="000F0299">
              <w:rPr>
                <w:noProof/>
              </w:rPr>
              <w:t xml:space="preserve">Недостатак дефиниције шта је пружање услуга и политике у овој области </w:t>
            </w:r>
          </w:p>
          <w:p w14:paraId="2904DFCC" w14:textId="77777777" w:rsidR="0096115E" w:rsidRPr="000F0299" w:rsidRDefault="0096115E" w:rsidP="00E62A1A">
            <w:pPr>
              <w:pStyle w:val="ListParagraph"/>
              <w:numPr>
                <w:ilvl w:val="0"/>
                <w:numId w:val="33"/>
              </w:numPr>
              <w:spacing w:before="0" w:after="0" w:line="240" w:lineRule="auto"/>
              <w:ind w:left="485"/>
            </w:pPr>
            <w:r w:rsidRPr="000F0299">
              <w:rPr>
                <w:noProof/>
              </w:rPr>
              <w:t xml:space="preserve">Слаб квалитет пружених услуга, </w:t>
            </w:r>
            <w:r w:rsidRPr="000F0299">
              <w:t>неуједначена приступачност и пракса поступања јавне управе, високи трошкови обављања услуга</w:t>
            </w:r>
          </w:p>
          <w:p w14:paraId="759F6038" w14:textId="77777777" w:rsidR="0096115E" w:rsidRPr="000F0299" w:rsidRDefault="0096115E" w:rsidP="00E62A1A">
            <w:pPr>
              <w:pStyle w:val="ListParagraph"/>
              <w:numPr>
                <w:ilvl w:val="0"/>
                <w:numId w:val="33"/>
              </w:numPr>
              <w:spacing w:before="0" w:after="0" w:line="240" w:lineRule="auto"/>
              <w:ind w:left="485"/>
              <w:rPr>
                <w:noProof/>
              </w:rPr>
            </w:pPr>
            <w:r w:rsidRPr="000F0299">
              <w:rPr>
                <w:noProof/>
              </w:rPr>
              <w:t>Неизграђени капацитети, инерција државних службеника у обављању послова, неупућеност и инерција корисника услуга за коришћење унапређених услуга</w:t>
            </w:r>
          </w:p>
          <w:p w14:paraId="0A64C0EA" w14:textId="061CF8D7" w:rsidR="0096115E" w:rsidRPr="000F0299" w:rsidRDefault="0096115E" w:rsidP="00E62A1A">
            <w:pPr>
              <w:pStyle w:val="ListParagraph"/>
              <w:numPr>
                <w:ilvl w:val="0"/>
                <w:numId w:val="33"/>
              </w:numPr>
              <w:spacing w:before="0" w:after="0" w:line="240" w:lineRule="auto"/>
              <w:ind w:left="485"/>
              <w:rPr>
                <w:noProof/>
              </w:rPr>
            </w:pPr>
            <w:r w:rsidRPr="000F0299">
              <w:rPr>
                <w:noProof/>
              </w:rPr>
              <w:t>Непостоји систем за праћење, вредновање и извештавање о квалитету пружених јавних услуга</w:t>
            </w:r>
          </w:p>
          <w:p w14:paraId="09FF3186" w14:textId="77777777" w:rsidR="0096115E" w:rsidRPr="000F0299" w:rsidRDefault="0096115E" w:rsidP="00E62A1A">
            <w:pPr>
              <w:pStyle w:val="ListParagraph"/>
              <w:numPr>
                <w:ilvl w:val="0"/>
                <w:numId w:val="33"/>
              </w:numPr>
              <w:spacing w:before="0" w:after="0" w:line="240" w:lineRule="auto"/>
              <w:ind w:left="485"/>
              <w:rPr>
                <w:noProof/>
              </w:rPr>
            </w:pPr>
            <w:r w:rsidRPr="000F0299">
              <w:rPr>
                <w:noProof/>
              </w:rPr>
              <w:t>Сложена комуникација и координација између органа државне управе</w:t>
            </w:r>
          </w:p>
          <w:p w14:paraId="6038898F" w14:textId="77777777" w:rsidR="0096115E" w:rsidRPr="000F0299" w:rsidRDefault="0096115E" w:rsidP="00E62A1A">
            <w:pPr>
              <w:pStyle w:val="ListParagraph"/>
              <w:numPr>
                <w:ilvl w:val="0"/>
                <w:numId w:val="33"/>
              </w:numPr>
              <w:spacing w:before="0" w:after="0" w:line="240" w:lineRule="auto"/>
              <w:ind w:left="485"/>
              <w:rPr>
                <w:noProof/>
              </w:rPr>
            </w:pPr>
            <w:r w:rsidRPr="000F0299">
              <w:rPr>
                <w:noProof/>
              </w:rPr>
              <w:t>Неефикасна алокација ограничених ресурса за унапређење услуга</w:t>
            </w:r>
          </w:p>
          <w:p w14:paraId="1170F9B3" w14:textId="74021554" w:rsidR="0096115E" w:rsidRPr="000F0299" w:rsidRDefault="0096115E" w:rsidP="00E62A1A">
            <w:pPr>
              <w:pStyle w:val="ListParagraph"/>
              <w:numPr>
                <w:ilvl w:val="0"/>
                <w:numId w:val="33"/>
              </w:numPr>
              <w:spacing w:before="0" w:after="0" w:line="240" w:lineRule="auto"/>
              <w:ind w:left="485"/>
            </w:pPr>
            <w:r w:rsidRPr="000F0299">
              <w:rPr>
                <w:noProof/>
              </w:rPr>
              <w:t>Различити нивои квалитета и дигитализације најважнијих регистара</w:t>
            </w:r>
          </w:p>
        </w:tc>
      </w:tr>
      <w:tr w:rsidR="009E2D21" w:rsidRPr="000F0299" w14:paraId="3652D5BB" w14:textId="77777777" w:rsidTr="009E2D21">
        <w:trPr>
          <w:trHeight w:val="459"/>
        </w:trPr>
        <w:tc>
          <w:tcPr>
            <w:tcW w:w="7298" w:type="dxa"/>
          </w:tcPr>
          <w:p w14:paraId="176DCD58" w14:textId="1B5FD571" w:rsidR="009E2D21" w:rsidRPr="000F0299" w:rsidRDefault="009E2D21" w:rsidP="009E2D21">
            <w:pPr>
              <w:spacing w:after="0"/>
              <w:ind w:firstLine="0"/>
              <w:jc w:val="center"/>
              <w:rPr>
                <w:noProof/>
              </w:rPr>
            </w:pPr>
            <w:r w:rsidRPr="000F0299">
              <w:rPr>
                <w:b/>
                <w:bCs/>
                <w:color w:val="C00000"/>
              </w:rPr>
              <w:t>ШАНСЕ</w:t>
            </w:r>
          </w:p>
        </w:tc>
        <w:tc>
          <w:tcPr>
            <w:tcW w:w="7298" w:type="dxa"/>
            <w:shd w:val="clear" w:color="auto" w:fill="FFFFFF" w:themeFill="background1"/>
          </w:tcPr>
          <w:p w14:paraId="6A6B6D73" w14:textId="468C150F" w:rsidR="009E2D21" w:rsidRPr="000F0299" w:rsidRDefault="009E2D21" w:rsidP="009E2D21">
            <w:pPr>
              <w:spacing w:after="0"/>
              <w:ind w:firstLine="0"/>
              <w:jc w:val="center"/>
              <w:rPr>
                <w:noProof/>
              </w:rPr>
            </w:pPr>
            <w:r w:rsidRPr="000F0299">
              <w:rPr>
                <w:b/>
                <w:bCs/>
                <w:color w:val="C00000"/>
              </w:rPr>
              <w:t>ПРЕТЊЕ</w:t>
            </w:r>
          </w:p>
        </w:tc>
      </w:tr>
      <w:tr w:rsidR="009E2D21" w:rsidRPr="000F0299" w14:paraId="4E0C1271" w14:textId="77777777" w:rsidTr="0051533D">
        <w:trPr>
          <w:trHeight w:val="1271"/>
        </w:trPr>
        <w:tc>
          <w:tcPr>
            <w:tcW w:w="7298" w:type="dxa"/>
          </w:tcPr>
          <w:p w14:paraId="1139296B" w14:textId="77777777" w:rsidR="009E2D21" w:rsidRPr="000F0299" w:rsidRDefault="009E2D21" w:rsidP="00E62A1A">
            <w:pPr>
              <w:pStyle w:val="ListParagraph"/>
              <w:numPr>
                <w:ilvl w:val="0"/>
                <w:numId w:val="44"/>
              </w:numPr>
              <w:spacing w:before="0" w:after="0" w:line="240" w:lineRule="auto"/>
              <w:ind w:left="460"/>
              <w:rPr>
                <w:noProof/>
              </w:rPr>
            </w:pPr>
            <w:r w:rsidRPr="000F0299">
              <w:rPr>
                <w:noProof/>
              </w:rPr>
              <w:t xml:space="preserve">Интересовање донатора (посебно из ЕУ) за реформу јавне управе са посебним фокусом на пружање услуга грађанима и привреди, за шта је потребно </w:t>
            </w:r>
          </w:p>
          <w:p w14:paraId="58F6AF95" w14:textId="77777777" w:rsidR="009E2D21" w:rsidRPr="000F0299" w:rsidRDefault="009E2D21" w:rsidP="00E62A1A">
            <w:pPr>
              <w:pStyle w:val="ListParagraph"/>
              <w:numPr>
                <w:ilvl w:val="0"/>
                <w:numId w:val="44"/>
              </w:numPr>
              <w:spacing w:before="0" w:after="0" w:line="240" w:lineRule="auto"/>
              <w:ind w:left="460"/>
              <w:rPr>
                <w:noProof/>
              </w:rPr>
            </w:pPr>
            <w:r w:rsidRPr="000F0299">
              <w:rPr>
                <w:noProof/>
              </w:rPr>
              <w:t>Сарадња са партнерима из приватног сектора у унапређењу квалитета пружених услуга</w:t>
            </w:r>
          </w:p>
          <w:p w14:paraId="0C0B9E89" w14:textId="0ABACC6F" w:rsidR="009E2D21" w:rsidRPr="000F0299" w:rsidRDefault="009E2D21" w:rsidP="00E62A1A">
            <w:pPr>
              <w:pStyle w:val="ListParagraph"/>
              <w:numPr>
                <w:ilvl w:val="0"/>
                <w:numId w:val="32"/>
              </w:numPr>
              <w:spacing w:before="0" w:after="0" w:line="240" w:lineRule="auto"/>
              <w:ind w:left="460"/>
              <w:rPr>
                <w:noProof/>
              </w:rPr>
            </w:pPr>
            <w:r w:rsidRPr="000F0299">
              <w:rPr>
                <w:noProof/>
              </w:rPr>
              <w:t>Све већа дигитала писменост</w:t>
            </w:r>
          </w:p>
        </w:tc>
        <w:tc>
          <w:tcPr>
            <w:tcW w:w="7298" w:type="dxa"/>
            <w:shd w:val="clear" w:color="auto" w:fill="FFFFFF" w:themeFill="background1"/>
          </w:tcPr>
          <w:p w14:paraId="34CD964F" w14:textId="3B4187FB" w:rsidR="009E2D21" w:rsidRPr="000F0299" w:rsidRDefault="009E2D21" w:rsidP="00E62A1A">
            <w:pPr>
              <w:pStyle w:val="ListParagraph"/>
              <w:numPr>
                <w:ilvl w:val="0"/>
                <w:numId w:val="33"/>
              </w:numPr>
              <w:spacing w:before="0" w:after="0" w:line="240" w:lineRule="auto"/>
              <w:ind w:left="485"/>
              <w:rPr>
                <w:noProof/>
              </w:rPr>
            </w:pPr>
            <w:r w:rsidRPr="000F0299">
              <w:rPr>
                <w:noProof/>
              </w:rPr>
              <w:t>Политика фискалне консолидације која се одражава у недостајућим финансијским/људским ресурсима за спровођење реформских процеса</w:t>
            </w:r>
          </w:p>
        </w:tc>
      </w:tr>
    </w:tbl>
    <w:p w14:paraId="7626BF1A" w14:textId="6C9E41CE" w:rsidR="009E2D21" w:rsidRPr="000F0299" w:rsidRDefault="009E2D21"/>
    <w:p w14:paraId="0E4F70CD" w14:textId="77777777" w:rsidR="009E2D21" w:rsidRPr="000F0299" w:rsidRDefault="009E2D21">
      <w:pPr>
        <w:suppressAutoHyphens w:val="0"/>
        <w:autoSpaceDN/>
        <w:spacing w:after="160" w:line="259" w:lineRule="auto"/>
        <w:ind w:firstLine="0"/>
        <w:jc w:val="left"/>
        <w:textAlignment w:val="auto"/>
      </w:pPr>
      <w:r w:rsidRPr="000F0299">
        <w:br w:type="page"/>
      </w:r>
    </w:p>
    <w:p w14:paraId="3E2A0212" w14:textId="77777777" w:rsidR="009E2D21" w:rsidRPr="000F0299" w:rsidRDefault="009E2D21"/>
    <w:tbl>
      <w:tblPr>
        <w:tblStyle w:val="TableGrid"/>
        <w:tblW w:w="1459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8"/>
        <w:gridCol w:w="7298"/>
      </w:tblGrid>
      <w:tr w:rsidR="0096115E" w:rsidRPr="000F0299" w14:paraId="5155E3E8" w14:textId="77777777" w:rsidTr="0051533D">
        <w:tc>
          <w:tcPr>
            <w:tcW w:w="14596" w:type="dxa"/>
            <w:gridSpan w:val="2"/>
            <w:shd w:val="clear" w:color="auto" w:fill="D9E2F3" w:themeFill="accent1" w:themeFillTint="33"/>
          </w:tcPr>
          <w:p w14:paraId="14671323" w14:textId="77777777" w:rsidR="0096115E" w:rsidRPr="000F0299" w:rsidRDefault="0096115E" w:rsidP="009E2D21">
            <w:pPr>
              <w:spacing w:after="0"/>
              <w:jc w:val="center"/>
              <w:rPr>
                <w:b/>
                <w:bCs/>
              </w:rPr>
            </w:pPr>
            <w:r w:rsidRPr="000F0299">
              <w:rPr>
                <w:b/>
                <w:bCs/>
              </w:rPr>
              <w:t>ОДГОВОРНОСТ И ТРАНСПАРЕНТНОСТ</w:t>
            </w:r>
          </w:p>
        </w:tc>
      </w:tr>
      <w:tr w:rsidR="009E2D21" w:rsidRPr="000F0299" w14:paraId="6F8AC5AA" w14:textId="77777777" w:rsidTr="0051533D">
        <w:tc>
          <w:tcPr>
            <w:tcW w:w="7298" w:type="dxa"/>
          </w:tcPr>
          <w:p w14:paraId="6A6FE345" w14:textId="3B4D902F" w:rsidR="009E2D21" w:rsidRPr="000F0299" w:rsidRDefault="009E2D21" w:rsidP="009E2D21">
            <w:pPr>
              <w:spacing w:after="0"/>
              <w:ind w:firstLine="0"/>
              <w:jc w:val="center"/>
            </w:pPr>
            <w:r w:rsidRPr="000F0299">
              <w:rPr>
                <w:b/>
                <w:bCs/>
                <w:color w:val="C00000"/>
              </w:rPr>
              <w:t>СНАГЕ</w:t>
            </w:r>
          </w:p>
        </w:tc>
        <w:tc>
          <w:tcPr>
            <w:tcW w:w="7298" w:type="dxa"/>
            <w:shd w:val="clear" w:color="auto" w:fill="FFFFFF" w:themeFill="background1"/>
          </w:tcPr>
          <w:p w14:paraId="616EB7B7" w14:textId="29A11F8F" w:rsidR="009E2D21" w:rsidRPr="000F0299" w:rsidRDefault="009E2D21" w:rsidP="009E2D21">
            <w:pPr>
              <w:spacing w:after="0"/>
              <w:ind w:firstLine="0"/>
              <w:jc w:val="center"/>
            </w:pPr>
            <w:r w:rsidRPr="000F0299">
              <w:rPr>
                <w:b/>
                <w:bCs/>
                <w:color w:val="C00000"/>
              </w:rPr>
              <w:t>СЛАБОСТИ</w:t>
            </w:r>
          </w:p>
        </w:tc>
      </w:tr>
      <w:tr w:rsidR="0096115E" w:rsidRPr="000F0299" w14:paraId="258C8E8E" w14:textId="77777777" w:rsidTr="0051533D">
        <w:tc>
          <w:tcPr>
            <w:tcW w:w="7298" w:type="dxa"/>
          </w:tcPr>
          <w:p w14:paraId="005EAC3E" w14:textId="77777777" w:rsidR="0096115E" w:rsidRPr="000F0299" w:rsidRDefault="0096115E" w:rsidP="00E62A1A">
            <w:pPr>
              <w:pStyle w:val="ListParagraph"/>
              <w:numPr>
                <w:ilvl w:val="0"/>
                <w:numId w:val="34"/>
              </w:numPr>
              <w:spacing w:before="0" w:after="0" w:line="240" w:lineRule="auto"/>
              <w:ind w:left="460"/>
            </w:pPr>
            <w:r w:rsidRPr="000F0299">
              <w:t xml:space="preserve">Законски оквир (закони у области УЉР, Закон о планском систему) </w:t>
            </w:r>
          </w:p>
          <w:p w14:paraId="16CE2597" w14:textId="27A42B72" w:rsidR="0096115E" w:rsidRPr="000F0299" w:rsidRDefault="00B04863" w:rsidP="00E62A1A">
            <w:pPr>
              <w:pStyle w:val="ListParagraph"/>
              <w:numPr>
                <w:ilvl w:val="0"/>
                <w:numId w:val="34"/>
              </w:numPr>
              <w:spacing w:before="0" w:after="0" w:line="240" w:lineRule="auto"/>
              <w:ind w:left="460"/>
            </w:pPr>
            <w:r w:rsidRPr="000F0299">
              <w:t>Успостављање</w:t>
            </w:r>
            <w:r w:rsidR="0096115E" w:rsidRPr="000F0299">
              <w:t xml:space="preserve"> Портала отворених података</w:t>
            </w:r>
          </w:p>
          <w:p w14:paraId="1703CCE5" w14:textId="77777777" w:rsidR="0096115E" w:rsidRPr="000F0299" w:rsidRDefault="0096115E" w:rsidP="00E62A1A">
            <w:pPr>
              <w:pStyle w:val="ListParagraph"/>
              <w:numPr>
                <w:ilvl w:val="0"/>
                <w:numId w:val="34"/>
              </w:numPr>
              <w:spacing w:before="0" w:after="0" w:line="240" w:lineRule="auto"/>
              <w:ind w:left="460"/>
            </w:pPr>
            <w:r w:rsidRPr="000F0299">
              <w:t>Грађански водич кроз буџет Републике Србије</w:t>
            </w:r>
          </w:p>
          <w:p w14:paraId="67150BFA" w14:textId="07D83C18" w:rsidR="0096115E" w:rsidRPr="000F0299" w:rsidRDefault="0096115E" w:rsidP="00E62A1A">
            <w:pPr>
              <w:pStyle w:val="ListParagraph"/>
              <w:numPr>
                <w:ilvl w:val="0"/>
                <w:numId w:val="34"/>
              </w:numPr>
              <w:spacing w:before="0" w:after="0" w:line="240" w:lineRule="auto"/>
              <w:ind w:left="460"/>
            </w:pPr>
            <w:r w:rsidRPr="000F0299">
              <w:t>еЗУП, еИнспектор, еБеба и јединствени информациони систем локалне пореске управе</w:t>
            </w:r>
          </w:p>
        </w:tc>
        <w:tc>
          <w:tcPr>
            <w:tcW w:w="7298" w:type="dxa"/>
            <w:shd w:val="clear" w:color="auto" w:fill="FFFFFF" w:themeFill="background1"/>
          </w:tcPr>
          <w:p w14:paraId="65EF18A2" w14:textId="77777777" w:rsidR="0096115E" w:rsidRPr="000F0299" w:rsidRDefault="0096115E" w:rsidP="00E62A1A">
            <w:pPr>
              <w:pStyle w:val="ListParagraph"/>
              <w:numPr>
                <w:ilvl w:val="0"/>
                <w:numId w:val="35"/>
              </w:numPr>
              <w:spacing w:before="0" w:after="0" w:line="240" w:lineRule="auto"/>
              <w:ind w:left="485"/>
            </w:pPr>
            <w:r w:rsidRPr="000F0299">
              <w:t>Концентрација управљачке одговорности, без успостављених линија одговорности и извештавања</w:t>
            </w:r>
          </w:p>
          <w:p w14:paraId="7AC87A79" w14:textId="77777777" w:rsidR="0096115E" w:rsidRPr="000F0299" w:rsidRDefault="0096115E" w:rsidP="00E62A1A">
            <w:pPr>
              <w:pStyle w:val="ListParagraph"/>
              <w:numPr>
                <w:ilvl w:val="0"/>
                <w:numId w:val="35"/>
              </w:numPr>
              <w:spacing w:before="0" w:after="0" w:line="240" w:lineRule="auto"/>
              <w:ind w:left="485"/>
            </w:pPr>
            <w:r w:rsidRPr="000F0299">
              <w:t>Преклапања линија одговорности</w:t>
            </w:r>
          </w:p>
          <w:p w14:paraId="5AAA83C1" w14:textId="42B263E2" w:rsidR="0096115E" w:rsidRPr="000F0299" w:rsidRDefault="0096115E" w:rsidP="00E62A1A">
            <w:pPr>
              <w:pStyle w:val="ListParagraph"/>
              <w:numPr>
                <w:ilvl w:val="0"/>
                <w:numId w:val="35"/>
              </w:numPr>
              <w:spacing w:before="0" w:after="0" w:line="240" w:lineRule="auto"/>
              <w:ind w:left="485"/>
            </w:pPr>
            <w:r w:rsidRPr="000F0299">
              <w:t xml:space="preserve">Неадекватни акти о систематизацији и унутрашњој </w:t>
            </w:r>
            <w:r w:rsidR="00B04863" w:rsidRPr="000F0299">
              <w:t>организацији</w:t>
            </w:r>
          </w:p>
          <w:p w14:paraId="0EB4CAA5" w14:textId="75FC1FB9" w:rsidR="0096115E" w:rsidRPr="000F0299" w:rsidRDefault="0096115E" w:rsidP="00E62A1A">
            <w:pPr>
              <w:pStyle w:val="ListParagraph"/>
              <w:numPr>
                <w:ilvl w:val="0"/>
                <w:numId w:val="35"/>
              </w:numPr>
              <w:spacing w:before="0" w:after="0" w:line="240" w:lineRule="auto"/>
              <w:ind w:left="485"/>
            </w:pPr>
            <w:r w:rsidRPr="000F0299">
              <w:t xml:space="preserve">Слаба координација кључних институција у области одговорности и </w:t>
            </w:r>
            <w:r w:rsidR="00B04863" w:rsidRPr="000F0299">
              <w:t>транспарентности</w:t>
            </w:r>
          </w:p>
          <w:p w14:paraId="5698A1E1" w14:textId="77777777" w:rsidR="0096115E" w:rsidRPr="000F0299" w:rsidRDefault="0096115E" w:rsidP="00E62A1A">
            <w:pPr>
              <w:pStyle w:val="ListParagraph"/>
              <w:numPr>
                <w:ilvl w:val="0"/>
                <w:numId w:val="35"/>
              </w:numPr>
              <w:spacing w:before="0" w:after="0" w:line="240" w:lineRule="auto"/>
              <w:ind w:left="485"/>
            </w:pPr>
            <w:r w:rsidRPr="000F0299">
              <w:t>Слаба примена механизама значајних за спречавање корупције и јачање интегритета</w:t>
            </w:r>
          </w:p>
          <w:p w14:paraId="2D7967B6" w14:textId="3887207C" w:rsidR="0096115E" w:rsidRPr="000F0299" w:rsidRDefault="0096115E" w:rsidP="00E62A1A">
            <w:pPr>
              <w:pStyle w:val="ListParagraph"/>
              <w:numPr>
                <w:ilvl w:val="0"/>
                <w:numId w:val="35"/>
              </w:numPr>
              <w:spacing w:before="0" w:after="0" w:line="240" w:lineRule="auto"/>
              <w:ind w:left="485"/>
            </w:pPr>
            <w:r w:rsidRPr="000F0299">
              <w:t>Фокус државних службеника на испуњавање форме уместо суштине</w:t>
            </w:r>
          </w:p>
        </w:tc>
      </w:tr>
      <w:tr w:rsidR="009E2D21" w:rsidRPr="000F0299" w14:paraId="25B04E7F" w14:textId="77777777" w:rsidTr="0051533D">
        <w:tc>
          <w:tcPr>
            <w:tcW w:w="7298" w:type="dxa"/>
          </w:tcPr>
          <w:p w14:paraId="58CB3DF6" w14:textId="6E07990A" w:rsidR="009E2D21" w:rsidRPr="000F0299" w:rsidRDefault="009E2D21" w:rsidP="009E2D21">
            <w:pPr>
              <w:spacing w:after="0"/>
              <w:ind w:firstLine="0"/>
              <w:jc w:val="center"/>
            </w:pPr>
            <w:r w:rsidRPr="000F0299">
              <w:rPr>
                <w:b/>
                <w:bCs/>
                <w:color w:val="C00000"/>
              </w:rPr>
              <w:t>ШАНСЕ</w:t>
            </w:r>
          </w:p>
        </w:tc>
        <w:tc>
          <w:tcPr>
            <w:tcW w:w="7298" w:type="dxa"/>
            <w:shd w:val="clear" w:color="auto" w:fill="FFFFFF" w:themeFill="background1"/>
          </w:tcPr>
          <w:p w14:paraId="0814EC0C" w14:textId="3486FC42" w:rsidR="009E2D21" w:rsidRPr="000F0299" w:rsidRDefault="009E2D21" w:rsidP="009E2D21">
            <w:pPr>
              <w:spacing w:after="0"/>
              <w:ind w:firstLine="0"/>
              <w:jc w:val="center"/>
            </w:pPr>
            <w:r w:rsidRPr="000F0299">
              <w:rPr>
                <w:b/>
                <w:bCs/>
                <w:color w:val="C00000"/>
              </w:rPr>
              <w:t>ПРЕТЊЕ</w:t>
            </w:r>
          </w:p>
        </w:tc>
      </w:tr>
      <w:tr w:rsidR="009E2D21" w:rsidRPr="000F0299" w14:paraId="76EC699B" w14:textId="77777777" w:rsidTr="0051533D">
        <w:tc>
          <w:tcPr>
            <w:tcW w:w="7298" w:type="dxa"/>
          </w:tcPr>
          <w:p w14:paraId="2B463983" w14:textId="1234F234" w:rsidR="009E2D21" w:rsidRPr="000F0299" w:rsidRDefault="009E2D21" w:rsidP="00E62A1A">
            <w:pPr>
              <w:pStyle w:val="ListParagraph"/>
              <w:numPr>
                <w:ilvl w:val="0"/>
                <w:numId w:val="45"/>
              </w:numPr>
              <w:spacing w:before="0" w:after="0" w:line="240" w:lineRule="auto"/>
              <w:ind w:left="460"/>
            </w:pPr>
            <w:r w:rsidRPr="000F0299">
              <w:t xml:space="preserve">Промена аката о </w:t>
            </w:r>
            <w:r w:rsidR="00B04863" w:rsidRPr="000F0299">
              <w:t>систематизацији</w:t>
            </w:r>
            <w:r w:rsidRPr="000F0299">
              <w:t xml:space="preserve"> и унутрашњој организацији - како би се јасније дефинисале линије </w:t>
            </w:r>
            <w:r w:rsidR="00B04863" w:rsidRPr="000F0299">
              <w:t>одговорности</w:t>
            </w:r>
            <w:r w:rsidRPr="000F0299">
              <w:t xml:space="preserve"> и подношења извештаја, надлежности и овлашћења</w:t>
            </w:r>
          </w:p>
          <w:p w14:paraId="40191FA5" w14:textId="77777777" w:rsidR="009E2D21" w:rsidRPr="000F0299" w:rsidRDefault="009E2D21" w:rsidP="00E62A1A">
            <w:pPr>
              <w:pStyle w:val="ListParagraph"/>
              <w:numPr>
                <w:ilvl w:val="0"/>
                <w:numId w:val="45"/>
              </w:numPr>
              <w:spacing w:before="0" w:after="0" w:line="240" w:lineRule="auto"/>
              <w:ind w:left="460"/>
            </w:pPr>
            <w:r w:rsidRPr="000F0299">
              <w:t>Национална академија за јавну управу – могућност циљаних и сталних обука запослених, обуке руководилаца, on-line обуке</w:t>
            </w:r>
          </w:p>
          <w:p w14:paraId="1EDFDA9B" w14:textId="77777777" w:rsidR="009E2D21" w:rsidRPr="000F0299" w:rsidRDefault="009E2D21" w:rsidP="00E62A1A">
            <w:pPr>
              <w:pStyle w:val="ListParagraph"/>
              <w:numPr>
                <w:ilvl w:val="0"/>
                <w:numId w:val="45"/>
              </w:numPr>
              <w:spacing w:before="0" w:after="0" w:line="240" w:lineRule="auto"/>
              <w:ind w:left="460"/>
            </w:pPr>
            <w:r w:rsidRPr="000F0299">
              <w:t xml:space="preserve">Добар квалитет финансијског управљања- искуство које се може поделити с другим органима јавне управе, новелирани приручници о финансијском пословању и контроли  </w:t>
            </w:r>
          </w:p>
          <w:p w14:paraId="4FF9996B" w14:textId="0CD221BC" w:rsidR="009E2D21" w:rsidRPr="000F0299" w:rsidRDefault="009E2D21" w:rsidP="00E62A1A">
            <w:pPr>
              <w:pStyle w:val="ListParagraph"/>
              <w:numPr>
                <w:ilvl w:val="0"/>
                <w:numId w:val="34"/>
              </w:numPr>
              <w:spacing w:before="0" w:after="0" w:line="240" w:lineRule="auto"/>
              <w:ind w:left="460"/>
            </w:pPr>
            <w:r w:rsidRPr="000F0299">
              <w:t>Боље управљање ризицима – бољи резултати рада ,стварање регистара ризика</w:t>
            </w:r>
          </w:p>
        </w:tc>
        <w:tc>
          <w:tcPr>
            <w:tcW w:w="7298" w:type="dxa"/>
            <w:shd w:val="clear" w:color="auto" w:fill="FFFFFF" w:themeFill="background1"/>
          </w:tcPr>
          <w:p w14:paraId="7464F053" w14:textId="77777777" w:rsidR="009E2D21" w:rsidRPr="000F0299" w:rsidRDefault="009E2D21" w:rsidP="00E62A1A">
            <w:pPr>
              <w:pStyle w:val="ListParagraph"/>
              <w:numPr>
                <w:ilvl w:val="0"/>
                <w:numId w:val="45"/>
              </w:numPr>
              <w:spacing w:before="0" w:after="0" w:line="240" w:lineRule="auto"/>
              <w:ind w:left="485"/>
            </w:pPr>
            <w:r w:rsidRPr="000F0299">
              <w:t xml:space="preserve">Успоравање економског раста – пад фискалних прихода који може успорити спровођење реформе, </w:t>
            </w:r>
          </w:p>
          <w:p w14:paraId="5F64A7D9" w14:textId="77777777" w:rsidR="009E2D21" w:rsidRPr="000F0299" w:rsidRDefault="009E2D21" w:rsidP="00E62A1A">
            <w:pPr>
              <w:pStyle w:val="ListParagraph"/>
              <w:numPr>
                <w:ilvl w:val="0"/>
                <w:numId w:val="45"/>
              </w:numPr>
              <w:spacing w:before="0" w:after="0" w:line="240" w:lineRule="auto"/>
              <w:ind w:left="485"/>
            </w:pPr>
            <w:r w:rsidRPr="000F0299">
              <w:t>Недостатак политичке посвећености реформи јавне управе</w:t>
            </w:r>
          </w:p>
          <w:p w14:paraId="338807E0" w14:textId="77777777" w:rsidR="009E2D21" w:rsidRPr="000F0299" w:rsidRDefault="009E2D21" w:rsidP="00E62A1A">
            <w:pPr>
              <w:pStyle w:val="ListParagraph"/>
              <w:numPr>
                <w:ilvl w:val="0"/>
                <w:numId w:val="45"/>
              </w:numPr>
              <w:spacing w:before="0" w:after="0" w:line="240" w:lineRule="auto"/>
              <w:ind w:left="485"/>
            </w:pPr>
            <w:r w:rsidRPr="000F0299">
              <w:t>Одлив и флуктуација кадрова- плате нису једини мотив останка у државној служби , недостатак мотивисаних и компетентних службеника који би могли да преузму одговорност</w:t>
            </w:r>
          </w:p>
          <w:p w14:paraId="04A2E044" w14:textId="77777777" w:rsidR="009E2D21" w:rsidRPr="000F0299" w:rsidRDefault="009E2D21" w:rsidP="00E62A1A">
            <w:pPr>
              <w:pStyle w:val="ListParagraph"/>
              <w:numPr>
                <w:ilvl w:val="0"/>
                <w:numId w:val="45"/>
              </w:numPr>
              <w:spacing w:before="0" w:after="0" w:line="240" w:lineRule="auto"/>
              <w:ind w:left="485"/>
            </w:pPr>
            <w:r w:rsidRPr="000F0299">
              <w:t>Велики број докумената на које се стављају ознаке тајности</w:t>
            </w:r>
          </w:p>
          <w:p w14:paraId="7782338B" w14:textId="77777777" w:rsidR="009E2D21" w:rsidRPr="000F0299" w:rsidRDefault="009E2D21" w:rsidP="00E62A1A">
            <w:pPr>
              <w:pStyle w:val="ListParagraph"/>
              <w:numPr>
                <w:ilvl w:val="0"/>
                <w:numId w:val="45"/>
              </w:numPr>
              <w:spacing w:before="0" w:after="0" w:line="240" w:lineRule="auto"/>
              <w:ind w:left="485"/>
            </w:pPr>
            <w:r w:rsidRPr="000F0299">
              <w:t>Оклевање да се уведе делегирање послова и страх од губитка утицаја на одлучивање</w:t>
            </w:r>
          </w:p>
          <w:p w14:paraId="59004718" w14:textId="77777777" w:rsidR="009E2D21" w:rsidRPr="000F0299" w:rsidRDefault="009E2D21" w:rsidP="00E62A1A">
            <w:pPr>
              <w:pStyle w:val="ListParagraph"/>
              <w:numPr>
                <w:ilvl w:val="0"/>
                <w:numId w:val="45"/>
              </w:numPr>
              <w:spacing w:before="0" w:after="0" w:line="240" w:lineRule="auto"/>
              <w:ind w:left="485"/>
            </w:pPr>
            <w:r w:rsidRPr="000F0299">
              <w:t>Непоштовање правних документа и процедура у пракси</w:t>
            </w:r>
          </w:p>
          <w:p w14:paraId="7AB43743" w14:textId="70CD0454" w:rsidR="009E2D21" w:rsidRPr="000F0299" w:rsidRDefault="00B04863" w:rsidP="00E62A1A">
            <w:pPr>
              <w:pStyle w:val="ListParagraph"/>
              <w:numPr>
                <w:ilvl w:val="0"/>
                <w:numId w:val="45"/>
              </w:numPr>
              <w:spacing w:before="0" w:after="0" w:line="240" w:lineRule="auto"/>
              <w:ind w:left="485"/>
            </w:pPr>
            <w:r w:rsidRPr="000F0299">
              <w:t>Недостатак</w:t>
            </w:r>
            <w:r w:rsidR="009E2D21" w:rsidRPr="000F0299">
              <w:t xml:space="preserve"> чврстих правила и </w:t>
            </w:r>
            <w:r w:rsidRPr="000F0299">
              <w:t>извештавања</w:t>
            </w:r>
            <w:r w:rsidR="009E2D21" w:rsidRPr="000F0299">
              <w:t xml:space="preserve"> оријентисаног на резултате</w:t>
            </w:r>
          </w:p>
          <w:p w14:paraId="6EB8F37B" w14:textId="77777777" w:rsidR="009E2D21" w:rsidRPr="000F0299" w:rsidRDefault="009E2D21" w:rsidP="00E62A1A">
            <w:pPr>
              <w:pStyle w:val="ListParagraph"/>
              <w:numPr>
                <w:ilvl w:val="0"/>
                <w:numId w:val="45"/>
              </w:numPr>
              <w:spacing w:before="0" w:after="0" w:line="240" w:lineRule="auto"/>
              <w:ind w:left="485"/>
            </w:pPr>
            <w:r w:rsidRPr="000F0299">
              <w:t>Избегавање одговорности</w:t>
            </w:r>
          </w:p>
          <w:p w14:paraId="357F7D08" w14:textId="4861B67C" w:rsidR="009E2D21" w:rsidRPr="000F0299" w:rsidRDefault="009E2D21" w:rsidP="00E62A1A">
            <w:pPr>
              <w:pStyle w:val="ListParagraph"/>
              <w:numPr>
                <w:ilvl w:val="0"/>
                <w:numId w:val="35"/>
              </w:numPr>
              <w:spacing w:before="0" w:after="0" w:line="240" w:lineRule="auto"/>
              <w:ind w:left="485"/>
            </w:pPr>
            <w:r w:rsidRPr="000F0299">
              <w:t>На велики број докумената се стављају ознаке тајности</w:t>
            </w:r>
          </w:p>
        </w:tc>
      </w:tr>
    </w:tbl>
    <w:p w14:paraId="557DED95" w14:textId="77777777" w:rsidR="000A5942" w:rsidRPr="000F0299" w:rsidRDefault="000A5942">
      <w:pPr>
        <w:suppressAutoHyphens w:val="0"/>
        <w:autoSpaceDN/>
        <w:spacing w:after="160" w:line="259" w:lineRule="auto"/>
        <w:ind w:firstLine="0"/>
        <w:jc w:val="left"/>
        <w:textAlignment w:val="auto"/>
      </w:pPr>
      <w:r w:rsidRPr="000F0299">
        <w:br w:type="page"/>
      </w:r>
    </w:p>
    <w:p w14:paraId="5A32C94C" w14:textId="77777777" w:rsidR="009E2D21" w:rsidRPr="000F0299" w:rsidRDefault="009E2D21"/>
    <w:tbl>
      <w:tblPr>
        <w:tblStyle w:val="TableGrid"/>
        <w:tblW w:w="1459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8"/>
        <w:gridCol w:w="7298"/>
      </w:tblGrid>
      <w:tr w:rsidR="0096115E" w:rsidRPr="000F0299" w14:paraId="3DEABFB5" w14:textId="77777777" w:rsidTr="0051533D">
        <w:tc>
          <w:tcPr>
            <w:tcW w:w="14596" w:type="dxa"/>
            <w:gridSpan w:val="2"/>
            <w:shd w:val="clear" w:color="auto" w:fill="839DCC"/>
          </w:tcPr>
          <w:p w14:paraId="1CC147C3" w14:textId="77777777" w:rsidR="0096115E" w:rsidRPr="000F0299" w:rsidRDefault="0096115E" w:rsidP="004A13F2">
            <w:pPr>
              <w:spacing w:after="0"/>
              <w:jc w:val="center"/>
              <w:rPr>
                <w:b/>
                <w:bCs/>
              </w:rPr>
            </w:pPr>
            <w:r w:rsidRPr="000F0299">
              <w:rPr>
                <w:b/>
                <w:bCs/>
              </w:rPr>
              <w:t>УПРАВЉАЊЕ ЈАВНИМ ФИНАНСИЈАМА</w:t>
            </w:r>
          </w:p>
        </w:tc>
      </w:tr>
      <w:tr w:rsidR="004A13F2" w:rsidRPr="000F0299" w14:paraId="7C11A0E7" w14:textId="77777777" w:rsidTr="004A13F2">
        <w:trPr>
          <w:trHeight w:val="488"/>
        </w:trPr>
        <w:tc>
          <w:tcPr>
            <w:tcW w:w="7298" w:type="dxa"/>
          </w:tcPr>
          <w:p w14:paraId="0917DF87" w14:textId="430EB3F1" w:rsidR="004A13F2" w:rsidRPr="000F0299" w:rsidRDefault="004A13F2" w:rsidP="004A13F2">
            <w:pPr>
              <w:spacing w:after="0"/>
              <w:ind w:firstLine="0"/>
              <w:jc w:val="center"/>
            </w:pPr>
            <w:r w:rsidRPr="000F0299">
              <w:rPr>
                <w:b/>
                <w:bCs/>
                <w:color w:val="C00000"/>
              </w:rPr>
              <w:t>СНАГЕ</w:t>
            </w:r>
          </w:p>
        </w:tc>
        <w:tc>
          <w:tcPr>
            <w:tcW w:w="7298" w:type="dxa"/>
            <w:shd w:val="clear" w:color="auto" w:fill="FFFFFF" w:themeFill="background1"/>
          </w:tcPr>
          <w:p w14:paraId="73E6E5FA" w14:textId="2619F46D" w:rsidR="004A13F2" w:rsidRPr="000F0299" w:rsidRDefault="004A13F2" w:rsidP="004A13F2">
            <w:pPr>
              <w:spacing w:after="0"/>
              <w:ind w:firstLine="0"/>
              <w:jc w:val="center"/>
            </w:pPr>
            <w:r w:rsidRPr="000F0299">
              <w:rPr>
                <w:b/>
                <w:bCs/>
                <w:color w:val="C00000"/>
              </w:rPr>
              <w:t>СЛАБОСТИ</w:t>
            </w:r>
          </w:p>
        </w:tc>
      </w:tr>
      <w:tr w:rsidR="0096115E" w:rsidRPr="000F0299" w14:paraId="40202EF8" w14:textId="77777777" w:rsidTr="0051533D">
        <w:trPr>
          <w:trHeight w:val="2291"/>
        </w:trPr>
        <w:tc>
          <w:tcPr>
            <w:tcW w:w="7298" w:type="dxa"/>
          </w:tcPr>
          <w:p w14:paraId="69688973" w14:textId="716FE15E" w:rsidR="0096115E" w:rsidRPr="000F0299" w:rsidRDefault="0096115E" w:rsidP="00E62A1A">
            <w:pPr>
              <w:pStyle w:val="ListParagraph"/>
              <w:numPr>
                <w:ilvl w:val="0"/>
                <w:numId w:val="36"/>
              </w:numPr>
              <w:spacing w:before="0" w:after="0" w:line="240" w:lineRule="auto"/>
              <w:ind w:left="460"/>
            </w:pPr>
            <w:r w:rsidRPr="000F0299">
              <w:t>Унапређена кредибилност фискалне политике и управљања јавним финансијама након успешне фискалне консолидације;</w:t>
            </w:r>
          </w:p>
          <w:p w14:paraId="6C25BA66" w14:textId="7E6CC094" w:rsidR="0096115E" w:rsidRPr="000F0299" w:rsidRDefault="0096115E" w:rsidP="00E62A1A">
            <w:pPr>
              <w:pStyle w:val="ListParagraph"/>
              <w:numPr>
                <w:ilvl w:val="0"/>
                <w:numId w:val="36"/>
              </w:numPr>
              <w:spacing w:before="0" w:after="0" w:line="240" w:lineRule="auto"/>
              <w:ind w:left="460"/>
            </w:pPr>
            <w:r w:rsidRPr="000F0299">
              <w:t>Континуитет процеса реформе ЈУ и УЈФ; Унапређен правни оквир који регулише РЈУ/ПРУЈФ;</w:t>
            </w:r>
          </w:p>
          <w:p w14:paraId="26F6BD11" w14:textId="77777777" w:rsidR="0096115E" w:rsidRPr="000F0299" w:rsidRDefault="0096115E" w:rsidP="00E62A1A">
            <w:pPr>
              <w:pStyle w:val="ListParagraph"/>
              <w:numPr>
                <w:ilvl w:val="0"/>
                <w:numId w:val="36"/>
              </w:numPr>
              <w:spacing w:before="0" w:after="0" w:line="240" w:lineRule="auto"/>
              <w:ind w:left="460"/>
            </w:pPr>
            <w:r w:rsidRPr="000F0299">
              <w:t>Напредак у изради програмских буџета</w:t>
            </w:r>
          </w:p>
          <w:p w14:paraId="71C9619C" w14:textId="62BFF90F" w:rsidR="0096115E" w:rsidRPr="000F0299" w:rsidRDefault="0096115E" w:rsidP="00E62A1A">
            <w:pPr>
              <w:pStyle w:val="ListParagraph"/>
              <w:numPr>
                <w:ilvl w:val="0"/>
                <w:numId w:val="36"/>
              </w:numPr>
              <w:spacing w:before="0" w:after="0" w:line="240" w:lineRule="auto"/>
              <w:ind w:left="460"/>
            </w:pPr>
            <w:r w:rsidRPr="000F0299">
              <w:t>Акумулирано искуство из претходног периода;</w:t>
            </w:r>
          </w:p>
        </w:tc>
        <w:tc>
          <w:tcPr>
            <w:tcW w:w="7298" w:type="dxa"/>
            <w:shd w:val="clear" w:color="auto" w:fill="FFFFFF" w:themeFill="background1"/>
          </w:tcPr>
          <w:p w14:paraId="30BFD69B" w14:textId="77777777" w:rsidR="0096115E" w:rsidRPr="000F0299" w:rsidRDefault="0096115E" w:rsidP="00E62A1A">
            <w:pPr>
              <w:pStyle w:val="ListParagraph"/>
              <w:numPr>
                <w:ilvl w:val="0"/>
                <w:numId w:val="37"/>
              </w:numPr>
              <w:spacing w:before="0" w:after="0" w:line="240" w:lineRule="auto"/>
              <w:ind w:left="485"/>
            </w:pPr>
            <w:r w:rsidRPr="000F0299">
              <w:t>Недовољан број запослених као последица забране запошљавања током фискалне консолидације и високе стопе одлазака запослених;</w:t>
            </w:r>
          </w:p>
          <w:p w14:paraId="383DE171" w14:textId="77777777" w:rsidR="0096115E" w:rsidRPr="000F0299" w:rsidRDefault="0096115E" w:rsidP="00E62A1A">
            <w:pPr>
              <w:pStyle w:val="ListParagraph"/>
              <w:numPr>
                <w:ilvl w:val="0"/>
                <w:numId w:val="37"/>
              </w:numPr>
              <w:spacing w:before="0" w:after="0" w:line="240" w:lineRule="auto"/>
              <w:ind w:left="485"/>
            </w:pPr>
            <w:r w:rsidRPr="000F0299">
              <w:t>Спора трансформација Пореске управе</w:t>
            </w:r>
          </w:p>
          <w:p w14:paraId="3856BD1C" w14:textId="77777777" w:rsidR="0096115E" w:rsidRPr="000F0299" w:rsidRDefault="0096115E" w:rsidP="00E62A1A">
            <w:pPr>
              <w:pStyle w:val="ListParagraph"/>
              <w:numPr>
                <w:ilvl w:val="0"/>
                <w:numId w:val="37"/>
              </w:numPr>
              <w:spacing w:before="0" w:after="0" w:line="240" w:lineRule="auto"/>
              <w:ind w:left="485"/>
            </w:pPr>
            <w:r w:rsidRPr="000F0299">
              <w:t>Није успостављен потпуно функционалан систем е-набавки</w:t>
            </w:r>
          </w:p>
          <w:p w14:paraId="63F9AC60" w14:textId="24C17357" w:rsidR="0096115E" w:rsidRPr="000F0299" w:rsidRDefault="0096115E" w:rsidP="00E62A1A">
            <w:pPr>
              <w:pStyle w:val="ListParagraph"/>
              <w:numPr>
                <w:ilvl w:val="0"/>
                <w:numId w:val="37"/>
              </w:numPr>
              <w:spacing w:before="0" w:after="0" w:line="240" w:lineRule="auto"/>
              <w:ind w:left="485"/>
            </w:pPr>
            <w:r w:rsidRPr="000F0299">
              <w:t xml:space="preserve">Недовољан ниво експертизе запослених </w:t>
            </w:r>
            <w:r w:rsidR="00B04863">
              <w:t>з</w:t>
            </w:r>
            <w:r w:rsidRPr="000F0299">
              <w:t>бог специфичности потребних знања за унапређење УЈФ;</w:t>
            </w:r>
          </w:p>
          <w:p w14:paraId="4745F33D" w14:textId="41825172" w:rsidR="0096115E" w:rsidRPr="000F0299" w:rsidRDefault="0096115E" w:rsidP="00E62A1A">
            <w:pPr>
              <w:pStyle w:val="ListParagraph"/>
              <w:numPr>
                <w:ilvl w:val="0"/>
                <w:numId w:val="37"/>
              </w:numPr>
              <w:spacing w:before="0" w:after="0" w:line="240" w:lineRule="auto"/>
              <w:ind w:left="485"/>
            </w:pPr>
            <w:r w:rsidRPr="000F0299">
              <w:t xml:space="preserve">Недостатак свести о управљачкој одговорности и развијена пракса управљања </w:t>
            </w:r>
            <w:r w:rsidR="00B04863" w:rsidRPr="000F0299">
              <w:t>учинцима</w:t>
            </w:r>
            <w:r w:rsidRPr="000F0299">
              <w:t>;</w:t>
            </w:r>
          </w:p>
          <w:p w14:paraId="55B29C3A" w14:textId="61913B42" w:rsidR="0096115E" w:rsidRPr="000F0299" w:rsidRDefault="0096115E" w:rsidP="00E62A1A">
            <w:pPr>
              <w:pStyle w:val="ListParagraph"/>
              <w:numPr>
                <w:ilvl w:val="0"/>
                <w:numId w:val="37"/>
              </w:numPr>
              <w:spacing w:before="0" w:after="0" w:line="240" w:lineRule="auto"/>
              <w:ind w:left="485"/>
            </w:pPr>
            <w:r w:rsidRPr="000F0299">
              <w:t>Некомпатибилни и неповезани ИТ системи релевантни за УЈФ процесе</w:t>
            </w:r>
          </w:p>
        </w:tc>
      </w:tr>
      <w:tr w:rsidR="004A13F2" w:rsidRPr="000F0299" w14:paraId="108666A7" w14:textId="77777777" w:rsidTr="004A13F2">
        <w:trPr>
          <w:trHeight w:val="384"/>
        </w:trPr>
        <w:tc>
          <w:tcPr>
            <w:tcW w:w="7298" w:type="dxa"/>
          </w:tcPr>
          <w:p w14:paraId="196D5054" w14:textId="52B92F31" w:rsidR="004A13F2" w:rsidRPr="000F0299" w:rsidRDefault="004A13F2" w:rsidP="004A13F2">
            <w:pPr>
              <w:spacing w:after="0"/>
              <w:ind w:firstLine="0"/>
              <w:jc w:val="center"/>
            </w:pPr>
            <w:r w:rsidRPr="000F0299">
              <w:rPr>
                <w:b/>
                <w:bCs/>
                <w:color w:val="C00000"/>
              </w:rPr>
              <w:t>ШАНСЕ</w:t>
            </w:r>
          </w:p>
        </w:tc>
        <w:tc>
          <w:tcPr>
            <w:tcW w:w="7298" w:type="dxa"/>
            <w:shd w:val="clear" w:color="auto" w:fill="FFFFFF" w:themeFill="background1"/>
          </w:tcPr>
          <w:p w14:paraId="11AF636F" w14:textId="255451C1" w:rsidR="004A13F2" w:rsidRPr="000F0299" w:rsidRDefault="004A13F2" w:rsidP="004A13F2">
            <w:pPr>
              <w:spacing w:after="0"/>
              <w:ind w:firstLine="0"/>
              <w:jc w:val="center"/>
            </w:pPr>
            <w:r w:rsidRPr="000F0299">
              <w:rPr>
                <w:b/>
                <w:bCs/>
                <w:color w:val="C00000"/>
              </w:rPr>
              <w:t>ПРЕТЊЕ</w:t>
            </w:r>
          </w:p>
        </w:tc>
      </w:tr>
      <w:tr w:rsidR="004A13F2" w:rsidRPr="000F0299" w14:paraId="1C3DC584" w14:textId="77777777" w:rsidTr="0051533D">
        <w:trPr>
          <w:trHeight w:val="2291"/>
        </w:trPr>
        <w:tc>
          <w:tcPr>
            <w:tcW w:w="7298" w:type="dxa"/>
          </w:tcPr>
          <w:p w14:paraId="2B54141B" w14:textId="77777777" w:rsidR="004A13F2" w:rsidRPr="000F0299" w:rsidRDefault="004A13F2" w:rsidP="00E62A1A">
            <w:pPr>
              <w:pStyle w:val="ListParagraph"/>
              <w:numPr>
                <w:ilvl w:val="0"/>
                <w:numId w:val="47"/>
              </w:numPr>
              <w:spacing w:before="0" w:after="0" w:line="240" w:lineRule="auto"/>
              <w:ind w:left="460"/>
            </w:pPr>
            <w:r w:rsidRPr="000F0299">
              <w:t>Макроекономска и фискална стабилност као повољна полазна основа за дугорочно планирање;</w:t>
            </w:r>
          </w:p>
          <w:p w14:paraId="539429A6" w14:textId="77777777" w:rsidR="004A13F2" w:rsidRPr="000F0299" w:rsidRDefault="004A13F2" w:rsidP="00E62A1A">
            <w:pPr>
              <w:pStyle w:val="ListParagraph"/>
              <w:numPr>
                <w:ilvl w:val="0"/>
                <w:numId w:val="47"/>
              </w:numPr>
              <w:spacing w:before="0" w:after="0" w:line="240" w:lineRule="auto"/>
              <w:ind w:left="460"/>
            </w:pPr>
            <w:r w:rsidRPr="000F0299">
              <w:t>Интересовање и значајна финансијска и техничка подршка донатора и међународних институција;</w:t>
            </w:r>
          </w:p>
          <w:p w14:paraId="760E96F9" w14:textId="77777777" w:rsidR="004A13F2" w:rsidRPr="000F0299" w:rsidRDefault="004A13F2" w:rsidP="00E62A1A">
            <w:pPr>
              <w:pStyle w:val="ListParagraph"/>
              <w:numPr>
                <w:ilvl w:val="0"/>
                <w:numId w:val="47"/>
              </w:numPr>
              <w:spacing w:before="0" w:after="0" w:line="240" w:lineRule="auto"/>
              <w:ind w:left="460"/>
            </w:pPr>
            <w:r w:rsidRPr="000F0299">
              <w:t>Хармонизација и интеграција целокупног стратешког оквира РЈУ/УЈФ у складу са ЗПС и пратећим подзаконским актима</w:t>
            </w:r>
          </w:p>
          <w:p w14:paraId="6F9BF98E" w14:textId="28C2CE36" w:rsidR="004A13F2" w:rsidRPr="000F0299" w:rsidRDefault="004A13F2" w:rsidP="00E62A1A">
            <w:pPr>
              <w:pStyle w:val="ListParagraph"/>
              <w:numPr>
                <w:ilvl w:val="0"/>
                <w:numId w:val="36"/>
              </w:numPr>
              <w:spacing w:before="0" w:after="0" w:line="240" w:lineRule="auto"/>
              <w:ind w:left="460"/>
            </w:pPr>
            <w:r w:rsidRPr="000F0299">
              <w:t>Синергија са процесом евроинтеграција</w:t>
            </w:r>
          </w:p>
        </w:tc>
        <w:tc>
          <w:tcPr>
            <w:tcW w:w="7298" w:type="dxa"/>
            <w:shd w:val="clear" w:color="auto" w:fill="FFFFFF" w:themeFill="background1"/>
          </w:tcPr>
          <w:p w14:paraId="546DBBEB" w14:textId="24C0DF43" w:rsidR="004A13F2" w:rsidRPr="000F0299" w:rsidRDefault="004A13F2" w:rsidP="00E62A1A">
            <w:pPr>
              <w:pStyle w:val="ListParagraph"/>
              <w:numPr>
                <w:ilvl w:val="0"/>
                <w:numId w:val="46"/>
              </w:numPr>
              <w:spacing w:before="0" w:after="0" w:line="240" w:lineRule="auto"/>
              <w:ind w:left="485"/>
            </w:pPr>
            <w:r w:rsidRPr="000F0299">
              <w:t xml:space="preserve">Недовољна политичка посвећеност реформи УЈФ на </w:t>
            </w:r>
            <w:r w:rsidR="00B04863" w:rsidRPr="000F0299">
              <w:t>највишем</w:t>
            </w:r>
            <w:r w:rsidRPr="000F0299">
              <w:t xml:space="preserve"> нивоу;</w:t>
            </w:r>
          </w:p>
          <w:p w14:paraId="10CEF918" w14:textId="77777777" w:rsidR="004A13F2" w:rsidRPr="000F0299" w:rsidRDefault="004A13F2" w:rsidP="00E62A1A">
            <w:pPr>
              <w:pStyle w:val="ListParagraph"/>
              <w:numPr>
                <w:ilvl w:val="0"/>
                <w:numId w:val="46"/>
              </w:numPr>
              <w:spacing w:before="0" w:after="0" w:line="240" w:lineRule="auto"/>
              <w:ind w:left="485"/>
            </w:pPr>
            <w:r w:rsidRPr="000F0299">
              <w:t>Недовољна посвећеност и отпор према променама од стране институција релевантних за спровођење РЈУ/УЈФ активности</w:t>
            </w:r>
          </w:p>
          <w:p w14:paraId="6F36D593" w14:textId="77777777" w:rsidR="004A13F2" w:rsidRPr="000F0299" w:rsidRDefault="004A13F2" w:rsidP="00E62A1A">
            <w:pPr>
              <w:pStyle w:val="ListParagraph"/>
              <w:numPr>
                <w:ilvl w:val="0"/>
                <w:numId w:val="46"/>
              </w:numPr>
              <w:spacing w:before="0" w:after="0" w:line="240" w:lineRule="auto"/>
              <w:ind w:left="485"/>
            </w:pPr>
            <w:r w:rsidRPr="000F0299">
              <w:t>Пролонгирање имплементације реформи услед општих избора 2020;</w:t>
            </w:r>
          </w:p>
          <w:p w14:paraId="4DC1BB5D" w14:textId="3B48947A" w:rsidR="004A13F2" w:rsidRPr="000F0299" w:rsidRDefault="004A13F2" w:rsidP="00E62A1A">
            <w:pPr>
              <w:pStyle w:val="ListParagraph"/>
              <w:numPr>
                <w:ilvl w:val="0"/>
                <w:numId w:val="37"/>
              </w:numPr>
              <w:spacing w:before="0" w:after="0" w:line="240" w:lineRule="auto"/>
              <w:ind w:left="485"/>
            </w:pPr>
            <w:r w:rsidRPr="000F0299">
              <w:t>Могућ</w:t>
            </w:r>
            <w:r w:rsidR="004F3884">
              <w:t>и</w:t>
            </w:r>
            <w:r w:rsidRPr="000F0299">
              <w:t xml:space="preserve"> конфликти интереса ОДУ у погледу контроле над појединим областима реформе ЈУ/УЈФ</w:t>
            </w:r>
          </w:p>
        </w:tc>
      </w:tr>
    </w:tbl>
    <w:p w14:paraId="5D92A98A" w14:textId="7E293F3F" w:rsidR="004A13F2" w:rsidRPr="000F0299" w:rsidRDefault="004A13F2"/>
    <w:p w14:paraId="0F6C5EE2" w14:textId="77777777" w:rsidR="004A13F2" w:rsidRPr="000F0299" w:rsidRDefault="004A13F2">
      <w:pPr>
        <w:suppressAutoHyphens w:val="0"/>
        <w:autoSpaceDN/>
        <w:spacing w:after="160" w:line="259" w:lineRule="auto"/>
        <w:ind w:firstLine="0"/>
        <w:jc w:val="left"/>
        <w:textAlignment w:val="auto"/>
      </w:pPr>
      <w:r w:rsidRPr="000F0299">
        <w:br w:type="page"/>
      </w:r>
    </w:p>
    <w:p w14:paraId="4A74CEAA" w14:textId="77777777" w:rsidR="004A13F2" w:rsidRPr="000F0299" w:rsidRDefault="004A13F2"/>
    <w:tbl>
      <w:tblPr>
        <w:tblStyle w:val="TableGrid"/>
        <w:tblW w:w="1459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8"/>
        <w:gridCol w:w="7298"/>
      </w:tblGrid>
      <w:tr w:rsidR="0096115E" w:rsidRPr="000F0299" w14:paraId="086254C4" w14:textId="77777777" w:rsidTr="0051533D">
        <w:tc>
          <w:tcPr>
            <w:tcW w:w="14596" w:type="dxa"/>
            <w:gridSpan w:val="2"/>
            <w:shd w:val="clear" w:color="auto" w:fill="6C7781"/>
          </w:tcPr>
          <w:p w14:paraId="475E5150" w14:textId="77777777" w:rsidR="0096115E" w:rsidRPr="000F0299" w:rsidRDefault="0096115E" w:rsidP="004A13F2">
            <w:pPr>
              <w:spacing w:after="0"/>
              <w:jc w:val="center"/>
              <w:rPr>
                <w:b/>
                <w:bCs/>
              </w:rPr>
            </w:pPr>
            <w:r w:rsidRPr="000F0299">
              <w:rPr>
                <w:b/>
                <w:bCs/>
                <w:color w:val="FFFFFF" w:themeColor="background1"/>
              </w:rPr>
              <w:t>СИСТЕМ ЛОКАЛНЕ САМОУПРАВЕ</w:t>
            </w:r>
          </w:p>
        </w:tc>
      </w:tr>
      <w:tr w:rsidR="004A13F2" w:rsidRPr="000F0299" w14:paraId="712F2C31" w14:textId="77777777" w:rsidTr="0051533D">
        <w:tc>
          <w:tcPr>
            <w:tcW w:w="7298" w:type="dxa"/>
          </w:tcPr>
          <w:p w14:paraId="71255F23" w14:textId="7B42944A" w:rsidR="004A13F2" w:rsidRPr="000F0299" w:rsidRDefault="004A13F2" w:rsidP="004A13F2">
            <w:pPr>
              <w:spacing w:after="0"/>
              <w:ind w:firstLine="0"/>
              <w:jc w:val="center"/>
            </w:pPr>
            <w:r w:rsidRPr="000F0299">
              <w:rPr>
                <w:b/>
                <w:bCs/>
                <w:color w:val="C00000"/>
              </w:rPr>
              <w:t>СНАГЕ</w:t>
            </w:r>
          </w:p>
        </w:tc>
        <w:tc>
          <w:tcPr>
            <w:tcW w:w="7298" w:type="dxa"/>
            <w:shd w:val="clear" w:color="auto" w:fill="FFFFFF" w:themeFill="background1"/>
          </w:tcPr>
          <w:p w14:paraId="41BFABD0" w14:textId="443FD504" w:rsidR="004A13F2" w:rsidRPr="000F0299" w:rsidRDefault="004A13F2" w:rsidP="004A13F2">
            <w:pPr>
              <w:spacing w:after="0"/>
              <w:ind w:firstLine="0"/>
              <w:jc w:val="center"/>
            </w:pPr>
            <w:r w:rsidRPr="000F0299">
              <w:rPr>
                <w:b/>
                <w:bCs/>
                <w:color w:val="C00000"/>
              </w:rPr>
              <w:t>СЛАБОСТИ</w:t>
            </w:r>
          </w:p>
        </w:tc>
      </w:tr>
      <w:tr w:rsidR="0096115E" w:rsidRPr="000F0299" w14:paraId="769C84BB" w14:textId="77777777" w:rsidTr="0051533D">
        <w:tc>
          <w:tcPr>
            <w:tcW w:w="7298" w:type="dxa"/>
          </w:tcPr>
          <w:p w14:paraId="3DB172A7" w14:textId="77777777" w:rsidR="0096115E" w:rsidRPr="000F0299" w:rsidRDefault="0096115E" w:rsidP="00E62A1A">
            <w:pPr>
              <w:pStyle w:val="ListParagraph"/>
              <w:numPr>
                <w:ilvl w:val="0"/>
                <w:numId w:val="38"/>
              </w:numPr>
              <w:spacing w:before="0" w:after="0" w:line="240" w:lineRule="auto"/>
              <w:ind w:left="460"/>
            </w:pPr>
            <w:r w:rsidRPr="000F0299">
              <w:t>Политичка подршка децентрализацији</w:t>
            </w:r>
          </w:p>
          <w:p w14:paraId="20B3F823" w14:textId="77777777" w:rsidR="0096115E" w:rsidRPr="000F0299" w:rsidRDefault="0096115E" w:rsidP="00E62A1A">
            <w:pPr>
              <w:pStyle w:val="ListParagraph"/>
              <w:numPr>
                <w:ilvl w:val="0"/>
                <w:numId w:val="38"/>
              </w:numPr>
              <w:spacing w:before="0" w:after="0" w:line="240" w:lineRule="auto"/>
              <w:ind w:left="460"/>
            </w:pPr>
            <w:r w:rsidRPr="000F0299">
              <w:t>Локална питања увек високо на политичкој агенди</w:t>
            </w:r>
          </w:p>
          <w:p w14:paraId="4FC385CB" w14:textId="77777777" w:rsidR="0096115E" w:rsidRPr="000F0299" w:rsidRDefault="0096115E" w:rsidP="00E62A1A">
            <w:pPr>
              <w:pStyle w:val="ListParagraph"/>
              <w:numPr>
                <w:ilvl w:val="0"/>
                <w:numId w:val="38"/>
              </w:numPr>
              <w:spacing w:before="0" w:after="0" w:line="240" w:lineRule="auto"/>
              <w:ind w:left="460"/>
              <w:rPr>
                <w:color w:val="000000" w:themeColor="text1"/>
              </w:rPr>
            </w:pPr>
            <w:r w:rsidRPr="000F0299">
              <w:t>Успостављање Националне академије за стручно усавршавање, Савета за стручно усавршавање и</w:t>
            </w:r>
            <w:r w:rsidRPr="000F0299">
              <w:rPr>
                <w:color w:val="000000" w:themeColor="text1"/>
              </w:rPr>
              <w:t xml:space="preserve"> СКГО мреже за управљање кадровима</w:t>
            </w:r>
          </w:p>
          <w:p w14:paraId="3F5A897E" w14:textId="1AF0910B" w:rsidR="0096115E" w:rsidRPr="000F0299" w:rsidRDefault="0096115E" w:rsidP="00E62A1A">
            <w:pPr>
              <w:pStyle w:val="ListParagraph"/>
              <w:numPr>
                <w:ilvl w:val="0"/>
                <w:numId w:val="38"/>
              </w:numPr>
              <w:spacing w:before="0" w:after="0" w:line="240" w:lineRule="auto"/>
              <w:ind w:left="460"/>
            </w:pPr>
            <w:r w:rsidRPr="000F0299">
              <w:t>ЗоУП, Закон о јавној својини, Закон о планском систему</w:t>
            </w:r>
          </w:p>
        </w:tc>
        <w:tc>
          <w:tcPr>
            <w:tcW w:w="7298" w:type="dxa"/>
            <w:shd w:val="clear" w:color="auto" w:fill="FFFFFF" w:themeFill="background1"/>
          </w:tcPr>
          <w:p w14:paraId="6D88DA40" w14:textId="77777777" w:rsidR="0096115E" w:rsidRPr="000F0299" w:rsidRDefault="0096115E" w:rsidP="00E62A1A">
            <w:pPr>
              <w:pStyle w:val="ListParagraph"/>
              <w:numPr>
                <w:ilvl w:val="0"/>
                <w:numId w:val="39"/>
              </w:numPr>
              <w:spacing w:before="0" w:after="0" w:line="240" w:lineRule="auto"/>
              <w:ind w:left="485"/>
            </w:pPr>
            <w:r w:rsidRPr="000F0299">
              <w:t>Уставом установљена асиметрична децентрализација</w:t>
            </w:r>
          </w:p>
          <w:p w14:paraId="7353F775" w14:textId="77777777" w:rsidR="0096115E" w:rsidRPr="000F0299" w:rsidRDefault="0096115E" w:rsidP="00E62A1A">
            <w:pPr>
              <w:pStyle w:val="ListParagraph"/>
              <w:numPr>
                <w:ilvl w:val="0"/>
                <w:numId w:val="39"/>
              </w:numPr>
              <w:spacing w:before="0" w:after="0" w:line="240" w:lineRule="auto"/>
              <w:ind w:left="485"/>
            </w:pPr>
            <w:r w:rsidRPr="000F0299">
              <w:t>Усвојене измене законског оквира односно новија законска решења нису у потпуности спроведена</w:t>
            </w:r>
          </w:p>
          <w:p w14:paraId="3FB7BB4F" w14:textId="77777777" w:rsidR="0096115E" w:rsidRPr="000F0299" w:rsidRDefault="0096115E" w:rsidP="00E62A1A">
            <w:pPr>
              <w:pStyle w:val="ListParagraph"/>
              <w:numPr>
                <w:ilvl w:val="0"/>
                <w:numId w:val="39"/>
              </w:numPr>
              <w:spacing w:before="0" w:after="0" w:line="240" w:lineRule="auto"/>
              <w:ind w:left="485"/>
            </w:pPr>
            <w:r w:rsidRPr="000F0299">
              <w:t>Реформа система финансирања локалне самоуправе још увек траје, отежано је дугорочно планирање, нарочито планирање капиталних улагања</w:t>
            </w:r>
          </w:p>
          <w:p w14:paraId="6469EC3A" w14:textId="77777777" w:rsidR="0096115E" w:rsidRPr="000F0299" w:rsidRDefault="0096115E" w:rsidP="00E62A1A">
            <w:pPr>
              <w:pStyle w:val="ListParagraph"/>
              <w:numPr>
                <w:ilvl w:val="0"/>
                <w:numId w:val="39"/>
              </w:numPr>
              <w:spacing w:before="0" w:after="0" w:line="240" w:lineRule="auto"/>
              <w:ind w:left="485"/>
            </w:pPr>
            <w:r w:rsidRPr="000F0299">
              <w:t>Недовољна професионализација локалне управе и координација стручног усавршавања на локалном нивоу</w:t>
            </w:r>
          </w:p>
          <w:p w14:paraId="3CF292A6" w14:textId="77777777" w:rsidR="0096115E" w:rsidRPr="000F0299" w:rsidRDefault="0096115E" w:rsidP="00E62A1A">
            <w:pPr>
              <w:pStyle w:val="ListParagraph"/>
              <w:numPr>
                <w:ilvl w:val="0"/>
                <w:numId w:val="39"/>
              </w:numPr>
              <w:spacing w:before="0" w:after="0" w:line="240" w:lineRule="auto"/>
              <w:ind w:left="485"/>
            </w:pPr>
            <w:r w:rsidRPr="000F0299">
              <w:t>Неуједначен регионални развој</w:t>
            </w:r>
          </w:p>
          <w:p w14:paraId="10B290CF" w14:textId="77777777" w:rsidR="0096115E" w:rsidRPr="000F0299" w:rsidRDefault="0096115E" w:rsidP="00E62A1A">
            <w:pPr>
              <w:pStyle w:val="ListParagraph"/>
              <w:numPr>
                <w:ilvl w:val="0"/>
                <w:numId w:val="39"/>
              </w:numPr>
              <w:spacing w:before="0" w:after="0" w:line="240" w:lineRule="auto"/>
              <w:ind w:left="485"/>
            </w:pPr>
            <w:r w:rsidRPr="000F0299">
              <w:t>Рад јавних служби на локалном нивоу отежан због недовољних капацитета</w:t>
            </w:r>
          </w:p>
          <w:p w14:paraId="0F5979A6" w14:textId="2D6A0F1F" w:rsidR="0096115E" w:rsidRPr="000F0299" w:rsidRDefault="0096115E" w:rsidP="00E62A1A">
            <w:pPr>
              <w:pStyle w:val="ListParagraph"/>
              <w:numPr>
                <w:ilvl w:val="0"/>
                <w:numId w:val="39"/>
              </w:numPr>
              <w:spacing w:before="0" w:after="0" w:line="240" w:lineRule="auto"/>
              <w:ind w:left="485"/>
            </w:pPr>
            <w:r w:rsidRPr="000F0299">
              <w:t>Незадовољавајући дијалог различитих нивоа власти</w:t>
            </w:r>
          </w:p>
        </w:tc>
      </w:tr>
      <w:tr w:rsidR="0096115E" w:rsidRPr="000F0299" w14:paraId="7F0AF970" w14:textId="77777777" w:rsidTr="0051533D">
        <w:tc>
          <w:tcPr>
            <w:tcW w:w="7298" w:type="dxa"/>
            <w:shd w:val="clear" w:color="auto" w:fill="FFFFFF" w:themeFill="background1"/>
          </w:tcPr>
          <w:p w14:paraId="6EC2D555" w14:textId="77777777" w:rsidR="0096115E" w:rsidRPr="000F0299" w:rsidRDefault="0096115E" w:rsidP="0096115E">
            <w:pPr>
              <w:spacing w:before="0" w:after="0"/>
              <w:rPr>
                <w:b/>
                <w:bCs/>
                <w:color w:val="C00000"/>
              </w:rPr>
            </w:pPr>
            <w:r w:rsidRPr="000F0299">
              <w:rPr>
                <w:b/>
                <w:bCs/>
                <w:color w:val="C00000"/>
              </w:rPr>
              <w:t>ШАНСЕ</w:t>
            </w:r>
          </w:p>
        </w:tc>
        <w:tc>
          <w:tcPr>
            <w:tcW w:w="7298" w:type="dxa"/>
            <w:shd w:val="clear" w:color="auto" w:fill="FFFFFF" w:themeFill="background1"/>
          </w:tcPr>
          <w:p w14:paraId="437F2067" w14:textId="77777777" w:rsidR="0096115E" w:rsidRPr="000F0299" w:rsidRDefault="0096115E" w:rsidP="0096115E">
            <w:pPr>
              <w:spacing w:before="0" w:after="0"/>
              <w:rPr>
                <w:b/>
                <w:bCs/>
                <w:color w:val="C00000"/>
              </w:rPr>
            </w:pPr>
            <w:r w:rsidRPr="000F0299">
              <w:rPr>
                <w:b/>
                <w:bCs/>
                <w:color w:val="C00000"/>
              </w:rPr>
              <w:t>ПРЕТЊЕ</w:t>
            </w:r>
          </w:p>
        </w:tc>
      </w:tr>
      <w:tr w:rsidR="004A13F2" w:rsidRPr="000F0299" w14:paraId="677F7EEA" w14:textId="77777777" w:rsidTr="0051533D">
        <w:trPr>
          <w:trHeight w:val="2347"/>
        </w:trPr>
        <w:tc>
          <w:tcPr>
            <w:tcW w:w="7298" w:type="dxa"/>
          </w:tcPr>
          <w:p w14:paraId="6675FD13" w14:textId="77777777" w:rsidR="004A13F2" w:rsidRPr="000F0299" w:rsidRDefault="004A13F2" w:rsidP="00E62A1A">
            <w:pPr>
              <w:pStyle w:val="ListParagraph"/>
              <w:numPr>
                <w:ilvl w:val="0"/>
                <w:numId w:val="49"/>
              </w:numPr>
              <w:spacing w:before="0" w:after="0" w:line="240" w:lineRule="auto"/>
              <w:ind w:left="460"/>
            </w:pPr>
            <w:r w:rsidRPr="000F0299">
              <w:t>Потенцијал за генерисање привредног раста на локалном нивоу</w:t>
            </w:r>
          </w:p>
          <w:p w14:paraId="577AB85D" w14:textId="77777777" w:rsidR="004A13F2" w:rsidRPr="000F0299" w:rsidRDefault="004A13F2" w:rsidP="00E62A1A">
            <w:pPr>
              <w:pStyle w:val="ListParagraph"/>
              <w:numPr>
                <w:ilvl w:val="0"/>
                <w:numId w:val="49"/>
              </w:numPr>
              <w:spacing w:before="0" w:after="0" w:line="240" w:lineRule="auto"/>
              <w:ind w:left="460"/>
            </w:pPr>
            <w:r w:rsidRPr="000F0299">
              <w:t>Развој е-управе на локалном нивоу</w:t>
            </w:r>
          </w:p>
          <w:p w14:paraId="796EC56D" w14:textId="773239B1" w:rsidR="004A13F2" w:rsidRPr="000F0299" w:rsidRDefault="00B04863" w:rsidP="00E62A1A">
            <w:pPr>
              <w:pStyle w:val="ListParagraph"/>
              <w:numPr>
                <w:ilvl w:val="0"/>
                <w:numId w:val="40"/>
              </w:numPr>
              <w:spacing w:before="0" w:after="0" w:line="240" w:lineRule="auto"/>
              <w:ind w:left="460"/>
            </w:pPr>
            <w:r w:rsidRPr="000F0299">
              <w:t>Побољшање</w:t>
            </w:r>
            <w:r w:rsidR="004A13F2" w:rsidRPr="000F0299">
              <w:t xml:space="preserve"> техничких услова за ефикасан рад ЈЛС у остваривању њихових послова и надлежности</w:t>
            </w:r>
          </w:p>
        </w:tc>
        <w:tc>
          <w:tcPr>
            <w:tcW w:w="7298" w:type="dxa"/>
            <w:shd w:val="clear" w:color="auto" w:fill="FFFFFF" w:themeFill="background1"/>
          </w:tcPr>
          <w:p w14:paraId="7FE81D49" w14:textId="77777777" w:rsidR="004A13F2" w:rsidRPr="000F0299" w:rsidRDefault="004A13F2" w:rsidP="00E62A1A">
            <w:pPr>
              <w:pStyle w:val="ListParagraph"/>
              <w:numPr>
                <w:ilvl w:val="0"/>
                <w:numId w:val="48"/>
              </w:numPr>
              <w:spacing w:before="0" w:after="0" w:line="240" w:lineRule="auto"/>
              <w:ind w:left="485"/>
            </w:pPr>
            <w:r w:rsidRPr="000F0299">
              <w:t>Регионалне миграције унутар Републике Србије</w:t>
            </w:r>
          </w:p>
          <w:p w14:paraId="06B863C6" w14:textId="77777777" w:rsidR="004A13F2" w:rsidRPr="000F0299" w:rsidRDefault="004A13F2" w:rsidP="00E62A1A">
            <w:pPr>
              <w:pStyle w:val="ListParagraph"/>
              <w:numPr>
                <w:ilvl w:val="0"/>
                <w:numId w:val="48"/>
              </w:numPr>
              <w:spacing w:before="0" w:after="0" w:line="240" w:lineRule="auto"/>
              <w:ind w:left="485"/>
            </w:pPr>
            <w:r w:rsidRPr="000F0299">
              <w:t>Економске миграције ван Републике Србије</w:t>
            </w:r>
          </w:p>
          <w:p w14:paraId="2998D711" w14:textId="6AD845EB" w:rsidR="004A13F2" w:rsidRPr="000F0299" w:rsidRDefault="004A13F2" w:rsidP="00E62A1A">
            <w:pPr>
              <w:pStyle w:val="ListParagraph"/>
              <w:numPr>
                <w:ilvl w:val="0"/>
                <w:numId w:val="41"/>
              </w:numPr>
              <w:spacing w:before="0" w:after="0" w:line="240" w:lineRule="auto"/>
              <w:ind w:left="485"/>
            </w:pPr>
            <w:r w:rsidRPr="000F0299">
              <w:t>Политичка осетљивост одговарајућих измена правног оквира</w:t>
            </w:r>
          </w:p>
        </w:tc>
      </w:tr>
    </w:tbl>
    <w:p w14:paraId="68FD6BC3" w14:textId="77777777" w:rsidR="00FA7EEF" w:rsidRPr="000F0299" w:rsidRDefault="00FA7EEF">
      <w:pPr>
        <w:suppressAutoHyphens w:val="0"/>
        <w:autoSpaceDN/>
        <w:spacing w:after="160" w:line="259" w:lineRule="auto"/>
        <w:ind w:firstLine="0"/>
        <w:jc w:val="left"/>
        <w:textAlignment w:val="auto"/>
        <w:sectPr w:rsidR="00FA7EEF" w:rsidRPr="000F0299" w:rsidSect="0051533D">
          <w:headerReference w:type="default" r:id="rId71"/>
          <w:footerReference w:type="default" r:id="rId72"/>
          <w:pgSz w:w="16838" w:h="11906" w:orient="landscape" w:code="9"/>
          <w:pgMar w:top="1417" w:right="1417" w:bottom="993" w:left="1134" w:header="708" w:footer="708" w:gutter="0"/>
          <w:cols w:space="708"/>
          <w:docGrid w:linePitch="360"/>
        </w:sectPr>
      </w:pPr>
    </w:p>
    <w:p w14:paraId="62C65E51" w14:textId="08F1C975" w:rsidR="00FA7EEF" w:rsidRPr="000F0299" w:rsidRDefault="001C30B7" w:rsidP="003D3BC5">
      <w:pPr>
        <w:pStyle w:val="Heading2"/>
        <w:rPr>
          <w:rFonts w:ascii="Calibri" w:hAnsi="Calibri"/>
          <w:sz w:val="20"/>
          <w:szCs w:val="20"/>
          <w:lang w:val="sr-Cyrl-RS"/>
        </w:rPr>
      </w:pPr>
      <w:bookmarkStart w:id="88" w:name="_Toc57661470"/>
      <w:r w:rsidRPr="000F0299">
        <w:rPr>
          <w:lang w:val="sr-Cyrl-RS"/>
        </w:rPr>
        <w:t>Дрво циљева</w:t>
      </w:r>
      <w:r w:rsidR="004C1AEB" w:rsidRPr="000F0299">
        <w:rPr>
          <w:lang w:val="sr-Cyrl-RS"/>
        </w:rPr>
        <w:t xml:space="preserve"> за </w:t>
      </w:r>
      <w:r w:rsidR="00B04863" w:rsidRPr="000F0299">
        <w:rPr>
          <w:lang w:val="sr-Cyrl-RS"/>
        </w:rPr>
        <w:t>Стратегију</w:t>
      </w:r>
      <w:r w:rsidR="004C1AEB" w:rsidRPr="000F0299">
        <w:rPr>
          <w:lang w:val="sr-Cyrl-RS"/>
        </w:rPr>
        <w:t xml:space="preserve"> РЈУ</w:t>
      </w:r>
      <w:bookmarkEnd w:id="88"/>
    </w:p>
    <w:p w14:paraId="11F9D94D" w14:textId="055E15EA" w:rsidR="005E350A" w:rsidRPr="000F0299" w:rsidRDefault="005E350A" w:rsidP="00E83514"/>
    <w:p w14:paraId="56829233" w14:textId="13532F4B" w:rsidR="004A13F2" w:rsidRPr="000F0299" w:rsidRDefault="00D04150" w:rsidP="004A13F2">
      <w:pPr>
        <w:tabs>
          <w:tab w:val="left" w:pos="2998"/>
        </w:tabs>
        <w:spacing w:after="0"/>
        <w:rPr>
          <w:rFonts w:ascii="Calibri" w:eastAsia="Times New Roman" w:hAnsi="Calibri"/>
          <w:sz w:val="20"/>
          <w:szCs w:val="20"/>
        </w:rPr>
      </w:pPr>
      <w:r w:rsidRPr="000F0299">
        <w:rPr>
          <w:rFonts w:ascii="Calibri" w:hAnsi="Calibri"/>
          <w:noProof/>
          <w:sz w:val="20"/>
          <w:lang w:val="en-US" w:eastAsia="en-US" w:bidi="ar-SA"/>
        </w:rPr>
        <mc:AlternateContent>
          <mc:Choice Requires="wps">
            <w:drawing>
              <wp:anchor distT="0" distB="0" distL="114300" distR="114300" simplePos="0" relativeHeight="251422208" behindDoc="1" locked="0" layoutInCell="1" allowOverlap="1" wp14:anchorId="7AC7FCDF" wp14:editId="05BA4411">
                <wp:simplePos x="0" y="0"/>
                <wp:positionH relativeFrom="column">
                  <wp:posOffset>-274320</wp:posOffset>
                </wp:positionH>
                <wp:positionV relativeFrom="paragraph">
                  <wp:posOffset>167005</wp:posOffset>
                </wp:positionV>
                <wp:extent cx="14269720" cy="1403985"/>
                <wp:effectExtent l="0" t="0" r="17780" b="24765"/>
                <wp:wrapTopAndBottom/>
                <wp:docPr id="306" name="Rounded Rectangle 306"/>
                <wp:cNvGraphicFramePr/>
                <a:graphic xmlns:a="http://schemas.openxmlformats.org/drawingml/2006/main">
                  <a:graphicData uri="http://schemas.microsoft.com/office/word/2010/wordprocessingShape">
                    <wps:wsp>
                      <wps:cNvSpPr/>
                      <wps:spPr>
                        <a:xfrm>
                          <a:off x="0" y="0"/>
                          <a:ext cx="14269720" cy="1403985"/>
                        </a:xfrm>
                        <a:prstGeom prst="roundRect">
                          <a:avLst/>
                        </a:prstGeom>
                        <a:solidFill>
                          <a:schemeClr val="accent1">
                            <a:lumMod val="50000"/>
                          </a:schemeClr>
                        </a:solidFill>
                        <a:ln w="12700" cap="flat" cmpd="sng" algn="ctr">
                          <a:solidFill>
                            <a:schemeClr val="accent1">
                              <a:lumMod val="50000"/>
                            </a:schemeClr>
                          </a:solidFill>
                          <a:prstDash val="solid"/>
                          <a:miter lim="800000"/>
                        </a:ln>
                        <a:effectLst/>
                      </wps:spPr>
                      <wps:txbx>
                        <w:txbxContent>
                          <w:p w14:paraId="077CC6F9" w14:textId="69C9770A" w:rsidR="00876FFE" w:rsidRPr="00C1128E" w:rsidRDefault="00876FFE" w:rsidP="00C1128E">
                            <w:pPr>
                              <w:spacing w:after="0"/>
                              <w:jc w:val="center"/>
                              <w:rPr>
                                <w:rFonts w:asciiTheme="minorHAnsi" w:hAnsiTheme="minorHAnsi" w:cstheme="minorHAnsi"/>
                                <w:b/>
                                <w:bCs/>
                                <w:color w:val="FFFFFF" w:themeColor="background1"/>
                                <w:sz w:val="40"/>
                                <w:szCs w:val="40"/>
                                <w:lang w:val="sr-Cyrl-CS"/>
                              </w:rPr>
                            </w:pPr>
                            <w:r w:rsidRPr="00C1128E">
                              <w:rPr>
                                <w:rFonts w:asciiTheme="minorHAnsi" w:hAnsiTheme="minorHAnsi" w:cstheme="minorHAnsi"/>
                                <w:b/>
                                <w:bCs/>
                                <w:color w:val="FFFFFF" w:themeColor="background1"/>
                                <w:sz w:val="40"/>
                                <w:szCs w:val="40"/>
                                <w:lang w:val="sr-Cyrl-CS"/>
                              </w:rPr>
                              <w:t>Даље побољшање рада јавне управе и квалитета креирања јавних политика у складу са принципима Европског административног простора и обезбеђивање високог квалитета услуга грађанима и привредним субјектима, као и професионалне јавне управе која ће значајно допринети економској стабилности и повећању животног стандарда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C7FCDF" id="Rounded Rectangle 306" o:spid="_x0000_s1028" style="position:absolute;left:0;text-align:left;margin-left:-21.6pt;margin-top:13.15pt;width:1123.6pt;height:110.5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" fillcolor="#1f3763 [1604]" strokecolor="#1f3763 [1604]" strokeweight="1pt">
                <v:stroke joinstyle="miter"/>
                <v:textbox>
                  <w:txbxContent>
                    <w:p w14:paraId="077CC6F9" w14:textId="69C9770A" w:rsidR="00876FFE" w:rsidRPr="00C1128E" w:rsidRDefault="00876FFE" w:rsidP="00C1128E">
                      <w:pPr>
                        <w:spacing w:after="0"/>
                        <w:jc w:val="center"/>
                        <w:rPr>
                          <w:rFonts w:asciiTheme="minorHAnsi" w:hAnsiTheme="minorHAnsi" w:cstheme="minorHAnsi"/>
                          <w:b/>
                          <w:bCs/>
                          <w:color w:val="FFFFFF" w:themeColor="background1"/>
                          <w:sz w:val="40"/>
                          <w:szCs w:val="40"/>
                          <w:lang w:val="sr-Cyrl-CS"/>
                        </w:rPr>
                      </w:pPr>
                      <w:r w:rsidRPr="00C1128E">
                        <w:rPr>
                          <w:rFonts w:asciiTheme="minorHAnsi" w:hAnsiTheme="minorHAnsi" w:cstheme="minorHAnsi"/>
                          <w:b/>
                          <w:bCs/>
                          <w:color w:val="FFFFFF" w:themeColor="background1"/>
                          <w:sz w:val="40"/>
                          <w:szCs w:val="40"/>
                          <w:lang w:val="sr-Cyrl-CS"/>
                        </w:rPr>
                        <w:t>Даље побољшање рада јавне управе и квалитета креирања јавних политика у складу са принципима Европског административног простора и обезбеђивање високог квалитета услуга грађанима и привредним субјектима, као и професионалне јавне управе која ће значајно допринети економској стабилности и повећању животног стандарда</w:t>
                      </w:r>
                    </w:p>
                  </w:txbxContent>
                </v:textbox>
                <w10:wrap type="topAndBottom"/>
              </v:roundrect>
            </w:pict>
          </mc:Fallback>
        </mc:AlternateContent>
      </w:r>
      <w:r w:rsidRPr="000F0299">
        <w:rPr>
          <w:rFonts w:ascii="Calibri" w:hAnsi="Calibri"/>
          <w:noProof/>
          <w:sz w:val="20"/>
          <w:lang w:val="en-US" w:eastAsia="en-US" w:bidi="ar-SA"/>
        </w:rPr>
        <mc:AlternateContent>
          <mc:Choice Requires="wps">
            <w:drawing>
              <wp:anchor distT="0" distB="0" distL="114300" distR="114300" simplePos="0" relativeHeight="251309568" behindDoc="0" locked="0" layoutInCell="1" allowOverlap="1" wp14:anchorId="6A9B2521" wp14:editId="55D1E770">
                <wp:simplePos x="0" y="0"/>
                <wp:positionH relativeFrom="column">
                  <wp:posOffset>12853035</wp:posOffset>
                </wp:positionH>
                <wp:positionV relativeFrom="paragraph">
                  <wp:posOffset>1598930</wp:posOffset>
                </wp:positionV>
                <wp:extent cx="0" cy="667385"/>
                <wp:effectExtent l="57150" t="38100" r="57150" b="18415"/>
                <wp:wrapNone/>
                <wp:docPr id="809" name="Straight Arrow Connector 809"/>
                <wp:cNvGraphicFramePr/>
                <a:graphic xmlns:a="http://schemas.openxmlformats.org/drawingml/2006/main">
                  <a:graphicData uri="http://schemas.microsoft.com/office/word/2010/wordprocessingShape">
                    <wps:wsp>
                      <wps:cNvCnPr/>
                      <wps:spPr>
                        <a:xfrm flipV="1">
                          <a:off x="0" y="0"/>
                          <a:ext cx="0" cy="667385"/>
                        </a:xfrm>
                        <a:prstGeom prst="straightConnector1">
                          <a:avLst/>
                        </a:prstGeom>
                        <a:noFill/>
                        <a:ln w="28575" cap="flat" cmpd="sng" algn="ctr">
                          <a:solidFill>
                            <a:srgbClr val="6C778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7E6909" id="_x0000_t32" coordsize="21600,21600" o:spt="32" o:oned="t" path="m,l21600,21600e" filled="f">
                <v:path arrowok="t" fillok="f" o:connecttype="none"/>
                <o:lock v:ext="edit" shapetype="t"/>
              </v:shapetype>
              <v:shape id="Straight Arrow Connector 809" o:spid="_x0000_s1026" type="#_x0000_t32" style="position:absolute;margin-left:1012.05pt;margin-top:125.9pt;width:0;height:52.55pt;flip:y;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" strokecolor="#6c7781" strokeweight="2.25pt">
                <v:stroke endarrow="block" joinstyle="miter"/>
              </v:shape>
            </w:pict>
          </mc:Fallback>
        </mc:AlternateContent>
      </w:r>
      <w:r w:rsidRPr="000F0299">
        <w:rPr>
          <w:rFonts w:ascii="Calibri" w:hAnsi="Calibri"/>
          <w:noProof/>
          <w:sz w:val="20"/>
          <w:lang w:val="en-US" w:eastAsia="en-US" w:bidi="ar-SA"/>
        </w:rPr>
        <mc:AlternateContent>
          <mc:Choice Requires="wps">
            <w:drawing>
              <wp:anchor distT="0" distB="0" distL="114300" distR="114300" simplePos="0" relativeHeight="251312640" behindDoc="0" locked="0" layoutInCell="1" allowOverlap="1" wp14:anchorId="702548D2" wp14:editId="70A8946B">
                <wp:simplePos x="0" y="0"/>
                <wp:positionH relativeFrom="column">
                  <wp:posOffset>5638800</wp:posOffset>
                </wp:positionH>
                <wp:positionV relativeFrom="paragraph">
                  <wp:posOffset>1598930</wp:posOffset>
                </wp:positionV>
                <wp:extent cx="0" cy="667385"/>
                <wp:effectExtent l="57150" t="38100" r="57150" b="18415"/>
                <wp:wrapNone/>
                <wp:docPr id="808" name="Straight Arrow Connector 808"/>
                <wp:cNvGraphicFramePr/>
                <a:graphic xmlns:a="http://schemas.openxmlformats.org/drawingml/2006/main">
                  <a:graphicData uri="http://schemas.microsoft.com/office/word/2010/wordprocessingShape">
                    <wps:wsp>
                      <wps:cNvCnPr/>
                      <wps:spPr>
                        <a:xfrm flipV="1">
                          <a:off x="0" y="0"/>
                          <a:ext cx="0" cy="667385"/>
                        </a:xfrm>
                        <a:prstGeom prst="straightConnector1">
                          <a:avLst/>
                        </a:prstGeom>
                        <a:noFill/>
                        <a:ln w="28575" cap="flat" cmpd="sng" algn="ctr">
                          <a:solidFill>
                            <a:schemeClr val="accent5">
                              <a:lumMod val="20000"/>
                              <a:lumOff val="80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778FC9" id="Straight Arrow Connector 808" o:spid="_x0000_s1026" type="#_x0000_t32" style="position:absolute;margin-left:444pt;margin-top:125.9pt;width:0;height:52.55pt;flip:y;z-index:25131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" strokecolor="#deeaf6 [664]" strokeweight="2.25pt">
                <v:stroke endarrow="block" joinstyle="miter"/>
              </v:shape>
            </w:pict>
          </mc:Fallback>
        </mc:AlternateContent>
      </w:r>
      <w:r w:rsidRPr="000F0299">
        <w:rPr>
          <w:rFonts w:ascii="Calibri" w:hAnsi="Calibri"/>
          <w:noProof/>
          <w:sz w:val="20"/>
          <w:lang w:val="en-US" w:eastAsia="en-US" w:bidi="ar-SA"/>
        </w:rPr>
        <mc:AlternateContent>
          <mc:Choice Requires="wps">
            <w:drawing>
              <wp:anchor distT="0" distB="0" distL="114300" distR="114300" simplePos="0" relativeHeight="251311616" behindDoc="0" locked="0" layoutInCell="1" allowOverlap="1" wp14:anchorId="5CAAB45E" wp14:editId="0E52B9D2">
                <wp:simplePos x="0" y="0"/>
                <wp:positionH relativeFrom="column">
                  <wp:posOffset>3215005</wp:posOffset>
                </wp:positionH>
                <wp:positionV relativeFrom="paragraph">
                  <wp:posOffset>1598930</wp:posOffset>
                </wp:positionV>
                <wp:extent cx="0" cy="667385"/>
                <wp:effectExtent l="57150" t="38100" r="57150" b="18415"/>
                <wp:wrapNone/>
                <wp:docPr id="807" name="Straight Arrow Connector 807"/>
                <wp:cNvGraphicFramePr/>
                <a:graphic xmlns:a="http://schemas.openxmlformats.org/drawingml/2006/main">
                  <a:graphicData uri="http://schemas.microsoft.com/office/word/2010/wordprocessingShape">
                    <wps:wsp>
                      <wps:cNvCnPr/>
                      <wps:spPr>
                        <a:xfrm flipV="1">
                          <a:off x="0" y="0"/>
                          <a:ext cx="0" cy="667385"/>
                        </a:xfrm>
                        <a:prstGeom prst="straightConnector1">
                          <a:avLst/>
                        </a:prstGeom>
                        <a:noFill/>
                        <a:ln w="28575" cap="flat" cmpd="sng" algn="ctr">
                          <a:solidFill>
                            <a:schemeClr val="bg1">
                              <a:lumMod val="50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145DE6" id="Straight Arrow Connector 807" o:spid="_x0000_s1026" type="#_x0000_t32" style="position:absolute;margin-left:253.15pt;margin-top:125.9pt;width:0;height:52.55pt;flip:y;z-index:25131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" strokecolor="#7f7f7f [1612]" strokeweight="2.25pt">
                <v:stroke endarrow="block" joinstyle="miter"/>
              </v:shape>
            </w:pict>
          </mc:Fallback>
        </mc:AlternateContent>
      </w:r>
      <w:r w:rsidRPr="000F0299">
        <w:rPr>
          <w:rFonts w:ascii="Calibri" w:hAnsi="Calibri"/>
          <w:noProof/>
          <w:sz w:val="20"/>
          <w:lang w:val="en-US" w:eastAsia="en-US" w:bidi="ar-SA"/>
        </w:rPr>
        <mc:AlternateContent>
          <mc:Choice Requires="wps">
            <w:drawing>
              <wp:anchor distT="0" distB="0" distL="114300" distR="114300" simplePos="0" relativeHeight="251313664" behindDoc="0" locked="0" layoutInCell="1" allowOverlap="1" wp14:anchorId="194FA9FC" wp14:editId="16AF64F7">
                <wp:simplePos x="0" y="0"/>
                <wp:positionH relativeFrom="column">
                  <wp:posOffset>8047990</wp:posOffset>
                </wp:positionH>
                <wp:positionV relativeFrom="paragraph">
                  <wp:posOffset>1598930</wp:posOffset>
                </wp:positionV>
                <wp:extent cx="0" cy="667385"/>
                <wp:effectExtent l="57150" t="38100" r="57150" b="18415"/>
                <wp:wrapNone/>
                <wp:docPr id="802" name="Straight Arrow Connector 802"/>
                <wp:cNvGraphicFramePr/>
                <a:graphic xmlns:a="http://schemas.openxmlformats.org/drawingml/2006/main">
                  <a:graphicData uri="http://schemas.microsoft.com/office/word/2010/wordprocessingShape">
                    <wps:wsp>
                      <wps:cNvCnPr/>
                      <wps:spPr>
                        <a:xfrm flipV="1">
                          <a:off x="0" y="0"/>
                          <a:ext cx="0" cy="667385"/>
                        </a:xfrm>
                        <a:prstGeom prst="straightConnector1">
                          <a:avLst/>
                        </a:prstGeom>
                        <a:noFill/>
                        <a:ln w="28575" cap="flat" cmpd="sng" algn="ctr">
                          <a:solidFill>
                            <a:schemeClr val="accent1">
                              <a:lumMod val="60000"/>
                              <a:lumOff val="40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1C6A13" id="Straight Arrow Connector 802" o:spid="_x0000_s1026" type="#_x0000_t32" style="position:absolute;margin-left:633.7pt;margin-top:125.9pt;width:0;height:52.55pt;flip:y;z-index:25131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" strokecolor="#8eaadb [1940]" strokeweight="2.25pt">
                <v:stroke endarrow="block" joinstyle="miter"/>
              </v:shape>
            </w:pict>
          </mc:Fallback>
        </mc:AlternateContent>
      </w:r>
      <w:r w:rsidRPr="000F0299">
        <w:rPr>
          <w:rFonts w:ascii="Calibri" w:hAnsi="Calibri"/>
          <w:noProof/>
          <w:sz w:val="20"/>
          <w:lang w:val="en-US" w:eastAsia="en-US" w:bidi="ar-SA"/>
        </w:rPr>
        <mc:AlternateContent>
          <mc:Choice Requires="wps">
            <w:drawing>
              <wp:anchor distT="0" distB="0" distL="114300" distR="114300" simplePos="0" relativeHeight="251314688" behindDoc="0" locked="0" layoutInCell="1" allowOverlap="1" wp14:anchorId="420430D7" wp14:editId="61C109A2">
                <wp:simplePos x="0" y="0"/>
                <wp:positionH relativeFrom="column">
                  <wp:posOffset>10458450</wp:posOffset>
                </wp:positionH>
                <wp:positionV relativeFrom="paragraph">
                  <wp:posOffset>1598930</wp:posOffset>
                </wp:positionV>
                <wp:extent cx="0" cy="667385"/>
                <wp:effectExtent l="57150" t="38100" r="57150" b="18415"/>
                <wp:wrapNone/>
                <wp:docPr id="801" name="Straight Arrow Connector 801"/>
                <wp:cNvGraphicFramePr/>
                <a:graphic xmlns:a="http://schemas.openxmlformats.org/drawingml/2006/main">
                  <a:graphicData uri="http://schemas.microsoft.com/office/word/2010/wordprocessingShape">
                    <wps:wsp>
                      <wps:cNvCnPr/>
                      <wps:spPr>
                        <a:xfrm flipV="1">
                          <a:off x="0" y="0"/>
                          <a:ext cx="0" cy="667385"/>
                        </a:xfrm>
                        <a:prstGeom prst="straightConnector1">
                          <a:avLst/>
                        </a:prstGeom>
                        <a:noFill/>
                        <a:ln w="28575" cap="flat" cmpd="sng" algn="ctr">
                          <a:solidFill>
                            <a:srgbClr val="6283BE"/>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BA7E4" id="Straight Arrow Connector 801" o:spid="_x0000_s1026" type="#_x0000_t32" style="position:absolute;margin-left:823.5pt;margin-top:125.9pt;width:0;height:52.55pt;flip:y;z-index:25131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" strokecolor="#6283be" strokeweight="2.25pt">
                <v:stroke endarrow="block" joinstyle="miter"/>
              </v:shape>
            </w:pict>
          </mc:Fallback>
        </mc:AlternateContent>
      </w:r>
      <w:r w:rsidRPr="000F0299">
        <w:rPr>
          <w:rFonts w:ascii="Calibri" w:hAnsi="Calibri"/>
          <w:noProof/>
          <w:sz w:val="20"/>
          <w:lang w:val="en-US" w:eastAsia="en-US" w:bidi="ar-SA"/>
        </w:rPr>
        <mc:AlternateContent>
          <mc:Choice Requires="wps">
            <w:drawing>
              <wp:anchor distT="0" distB="0" distL="114300" distR="114300" simplePos="0" relativeHeight="251310592" behindDoc="0" locked="0" layoutInCell="1" allowOverlap="1" wp14:anchorId="68F24586" wp14:editId="459B64A4">
                <wp:simplePos x="0" y="0"/>
                <wp:positionH relativeFrom="column">
                  <wp:posOffset>791845</wp:posOffset>
                </wp:positionH>
                <wp:positionV relativeFrom="paragraph">
                  <wp:posOffset>1599474</wp:posOffset>
                </wp:positionV>
                <wp:extent cx="0" cy="667385"/>
                <wp:effectExtent l="57150" t="38100" r="57150" b="18415"/>
                <wp:wrapNone/>
                <wp:docPr id="800" name="Straight Arrow Connector 800"/>
                <wp:cNvGraphicFramePr/>
                <a:graphic xmlns:a="http://schemas.openxmlformats.org/drawingml/2006/main">
                  <a:graphicData uri="http://schemas.microsoft.com/office/word/2010/wordprocessingShape">
                    <wps:wsp>
                      <wps:cNvCnPr/>
                      <wps:spPr>
                        <a:xfrm flipV="1">
                          <a:off x="0" y="0"/>
                          <a:ext cx="0" cy="667385"/>
                        </a:xfrm>
                        <a:prstGeom prst="straightConnector1">
                          <a:avLst/>
                        </a:prstGeom>
                        <a:noFill/>
                        <a:ln w="28575" cap="flat" cmpd="sng" algn="ctr">
                          <a:solidFill>
                            <a:schemeClr val="bg2">
                              <a:lumMod val="7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057332" id="Straight Arrow Connector 800" o:spid="_x0000_s1026" type="#_x0000_t32" style="position:absolute;margin-left:62.35pt;margin-top:125.95pt;width:0;height:52.55pt;flip:y;z-index:25131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" strokecolor="#aeaaaa [2414]" strokeweight="2.25pt">
                <v:stroke endarrow="block" joinstyle="miter"/>
              </v:shape>
            </w:pict>
          </mc:Fallback>
        </mc:AlternateContent>
      </w:r>
    </w:p>
    <w:p w14:paraId="24DAFC4C" w14:textId="0E0EB6EF" w:rsidR="004A13F2" w:rsidRPr="000F0299" w:rsidRDefault="004A13F2" w:rsidP="004A13F2">
      <w:pPr>
        <w:spacing w:after="0"/>
        <w:rPr>
          <w:rFonts w:ascii="Calibri" w:eastAsia="Times New Roman" w:hAnsi="Calibri"/>
          <w:sz w:val="20"/>
          <w:szCs w:val="20"/>
        </w:rPr>
      </w:pPr>
    </w:p>
    <w:p w14:paraId="000DBD17" w14:textId="01DCFC45" w:rsidR="004A13F2" w:rsidRPr="000F0299" w:rsidRDefault="00A260D9" w:rsidP="004A13F2">
      <w:pPr>
        <w:tabs>
          <w:tab w:val="left" w:pos="2121"/>
          <w:tab w:val="left" w:pos="2520"/>
        </w:tabs>
        <w:spacing w:after="0"/>
        <w:rPr>
          <w:rFonts w:ascii="Calibri" w:eastAsia="Times New Roman" w:hAnsi="Calibri"/>
          <w:sz w:val="20"/>
          <w:szCs w:val="20"/>
        </w:rPr>
      </w:pPr>
      <w:r w:rsidRPr="000F0299">
        <w:rPr>
          <w:rFonts w:ascii="Calibri" w:hAnsi="Calibri"/>
          <w:noProof/>
          <w:sz w:val="20"/>
          <w:lang w:val="en-US" w:eastAsia="en-US" w:bidi="ar-SA"/>
        </w:rPr>
        <mc:AlternateContent>
          <mc:Choice Requires="wps">
            <w:drawing>
              <wp:anchor distT="0" distB="0" distL="114300" distR="114300" simplePos="0" relativeHeight="251428352" behindDoc="0" locked="0" layoutInCell="1" allowOverlap="1" wp14:anchorId="1B34873F" wp14:editId="7570CAC8">
                <wp:simplePos x="0" y="0"/>
                <wp:positionH relativeFrom="column">
                  <wp:posOffset>9347835</wp:posOffset>
                </wp:positionH>
                <wp:positionV relativeFrom="paragraph">
                  <wp:posOffset>61595</wp:posOffset>
                </wp:positionV>
                <wp:extent cx="2211705" cy="2333625"/>
                <wp:effectExtent l="19050" t="19050" r="17145" b="28575"/>
                <wp:wrapNone/>
                <wp:docPr id="803" name="Text Box 803"/>
                <wp:cNvGraphicFramePr/>
                <a:graphic xmlns:a="http://schemas.openxmlformats.org/drawingml/2006/main">
                  <a:graphicData uri="http://schemas.microsoft.com/office/word/2010/wordprocessingShape">
                    <wps:wsp>
                      <wps:cNvSpPr txBox="1"/>
                      <wps:spPr>
                        <a:xfrm>
                          <a:off x="0" y="0"/>
                          <a:ext cx="2211705" cy="2333625"/>
                        </a:xfrm>
                        <a:prstGeom prst="roundRect">
                          <a:avLst/>
                        </a:prstGeom>
                        <a:solidFill>
                          <a:sysClr val="window" lastClr="FFFFFF"/>
                        </a:solidFill>
                        <a:ln w="38100" cmpd="dbl">
                          <a:solidFill>
                            <a:srgbClr val="6283BE"/>
                          </a:solidFill>
                        </a:ln>
                        <a:effectLst/>
                      </wps:spPr>
                      <wps:txbx>
                        <w:txbxContent>
                          <w:p w14:paraId="24A87232" w14:textId="77777777" w:rsidR="00876FFE" w:rsidRPr="009C6E97" w:rsidRDefault="00876FFE" w:rsidP="004A13F2">
                            <w:pPr>
                              <w:spacing w:line="264" w:lineRule="auto"/>
                              <w:jc w:val="center"/>
                              <w:rPr>
                                <w:rFonts w:ascii="Verdana" w:hAnsi="Verdana" w:cs="Calibri"/>
                                <w:sz w:val="21"/>
                                <w:szCs w:val="21"/>
                              </w:rPr>
                            </w:pPr>
                            <w:r w:rsidRPr="009C6E97">
                              <w:rPr>
                                <w:rFonts w:ascii="Verdana" w:hAnsi="Verdana" w:cs="Calibri"/>
                                <w:sz w:val="21"/>
                                <w:szCs w:val="21"/>
                              </w:rPr>
                              <w:t xml:space="preserve">Остваривање одрживог буџета са стабилним јавним дугом у односу на </w:t>
                            </w:r>
                            <w:r>
                              <w:rPr>
                                <w:rFonts w:ascii="Verdana" w:hAnsi="Verdana" w:cs="Calibri"/>
                                <w:sz w:val="21"/>
                                <w:szCs w:val="21"/>
                              </w:rPr>
                              <w:t>БДП</w:t>
                            </w:r>
                            <w:r w:rsidRPr="009C6E97">
                              <w:rPr>
                                <w:rFonts w:ascii="Verdana" w:hAnsi="Verdana" w:cs="Calibri"/>
                                <w:sz w:val="21"/>
                                <w:szCs w:val="21"/>
                              </w:rPr>
                              <w:t xml:space="preserve"> уз помоћ бољег финансијског управљања и контроле, процеса ревизије и </w:t>
                            </w:r>
                            <w:r w:rsidRPr="009C6E97">
                              <w:rPr>
                                <w:rFonts w:ascii="Verdana" w:hAnsi="Verdana" w:cs="Calibri"/>
                                <w:sz w:val="21"/>
                                <w:szCs w:val="21"/>
                              </w:rPr>
                              <w:br/>
                              <w:t>повезивања буџетског планирања са политикама владе</w:t>
                            </w:r>
                          </w:p>
                          <w:p w14:paraId="6D319C29" w14:textId="77777777" w:rsidR="00876FFE" w:rsidRPr="001B44C9" w:rsidRDefault="00876FFE" w:rsidP="004A13F2">
                            <w:pPr>
                              <w:rPr>
                                <w:rFonts w:ascii="Verdana" w:hAnsi="Verdana"/>
                                <w:sz w:val="21"/>
                                <w:szCs w:val="21"/>
                                <w14:textOutline w14:w="9525" w14:cap="rnd" w14:cmpd="thinThick" w14:algn="ctr">
                                  <w14:solidFill>
                                    <w14:srgbClr w14:val="219990"/>
                                  </w14:solidFill>
                                  <w14:prstDash w14:val="solid"/>
                                  <w14:bevel/>
                                </w14:textOutline>
                              </w:rP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34873F" id="Text Box 803" o:spid="_x0000_s1029" style="position:absolute;left:0;text-align:left;margin-left:736.05pt;margin-top:4.85pt;width:174.15pt;height:183.7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" fillcolor="window" strokecolor="#6283be" strokeweight="3pt">
                <v:stroke linestyle="thinThin"/>
                <v:textbox inset=",,,0">
                  <w:txbxContent>
                    <w:p w14:paraId="24A87232" w14:textId="77777777" w:rsidR="00876FFE" w:rsidRPr="009C6E97" w:rsidRDefault="00876FFE" w:rsidP="004A13F2">
                      <w:pPr>
                        <w:spacing w:line="264" w:lineRule="auto"/>
                        <w:jc w:val="center"/>
                        <w:rPr>
                          <w:rFonts w:ascii="Verdana" w:hAnsi="Verdana" w:cs="Calibri"/>
                          <w:sz w:val="21"/>
                          <w:szCs w:val="21"/>
                        </w:rPr>
                      </w:pPr>
                      <w:r w:rsidRPr="009C6E97">
                        <w:rPr>
                          <w:rFonts w:ascii="Verdana" w:hAnsi="Verdana" w:cs="Calibri"/>
                          <w:sz w:val="21"/>
                          <w:szCs w:val="21"/>
                        </w:rPr>
                        <w:t xml:space="preserve">Остваривање одрживог буџета са стабилним јавним дугом у односу на </w:t>
                      </w:r>
                      <w:r>
                        <w:rPr>
                          <w:rFonts w:ascii="Verdana" w:hAnsi="Verdana" w:cs="Calibri"/>
                          <w:sz w:val="21"/>
                          <w:szCs w:val="21"/>
                        </w:rPr>
                        <w:t>БДП</w:t>
                      </w:r>
                      <w:r w:rsidRPr="009C6E97">
                        <w:rPr>
                          <w:rFonts w:ascii="Verdana" w:hAnsi="Verdana" w:cs="Calibri"/>
                          <w:sz w:val="21"/>
                          <w:szCs w:val="21"/>
                        </w:rPr>
                        <w:t xml:space="preserve"> уз помоћ бољег финансијског управљања и контроле, процеса ревизије и </w:t>
                      </w:r>
                      <w:r w:rsidRPr="009C6E97">
                        <w:rPr>
                          <w:rFonts w:ascii="Verdana" w:hAnsi="Verdana" w:cs="Calibri"/>
                          <w:sz w:val="21"/>
                          <w:szCs w:val="21"/>
                        </w:rPr>
                        <w:br/>
                        <w:t>повезивања буџетског планирања са политикама владе</w:t>
                      </w:r>
                    </w:p>
                    <w:p w14:paraId="6D319C29" w14:textId="77777777" w:rsidR="00876FFE" w:rsidRPr="001B44C9" w:rsidRDefault="00876FFE" w:rsidP="004A13F2">
                      <w:pPr>
                        <w:rPr>
                          <w:rFonts w:ascii="Verdana" w:hAnsi="Verdana"/>
                          <w:sz w:val="21"/>
                          <w:szCs w:val="21"/>
                          <w14:textOutline w14:w="9525" w14:cap="rnd" w14:cmpd="thinThick" w14:algn="ctr">
                            <w14:solidFill>
                              <w14:srgbClr w14:val="219990"/>
                            </w14:solidFill>
                            <w14:prstDash w14:val="solid"/>
                            <w14:bevel/>
                          </w14:textOutline>
                        </w:rPr>
                      </w:pPr>
                    </w:p>
                  </w:txbxContent>
                </v:textbox>
              </v:roundrect>
            </w:pict>
          </mc:Fallback>
        </mc:AlternateContent>
      </w:r>
      <w:r w:rsidR="00565392" w:rsidRPr="000F0299">
        <w:rPr>
          <w:rFonts w:ascii="Calibri" w:hAnsi="Calibri"/>
          <w:noProof/>
          <w:sz w:val="20"/>
          <w:lang w:val="en-US" w:eastAsia="en-US" w:bidi="ar-SA"/>
        </w:rPr>
        <mc:AlternateContent>
          <mc:Choice Requires="wps">
            <w:drawing>
              <wp:anchor distT="0" distB="0" distL="114300" distR="114300" simplePos="0" relativeHeight="251423232" behindDoc="0" locked="0" layoutInCell="1" allowOverlap="1" wp14:anchorId="1D805F99" wp14:editId="03204762">
                <wp:simplePos x="0" y="0"/>
                <wp:positionH relativeFrom="column">
                  <wp:posOffset>-307340</wp:posOffset>
                </wp:positionH>
                <wp:positionV relativeFrom="paragraph">
                  <wp:posOffset>106589</wp:posOffset>
                </wp:positionV>
                <wp:extent cx="2212340" cy="1862455"/>
                <wp:effectExtent l="19050" t="19050" r="16510" b="23495"/>
                <wp:wrapNone/>
                <wp:docPr id="811" name="Text Box 811"/>
                <wp:cNvGraphicFramePr/>
                <a:graphic xmlns:a="http://schemas.openxmlformats.org/drawingml/2006/main">
                  <a:graphicData uri="http://schemas.microsoft.com/office/word/2010/wordprocessingShape">
                    <wps:wsp>
                      <wps:cNvSpPr txBox="1"/>
                      <wps:spPr>
                        <a:xfrm>
                          <a:off x="0" y="0"/>
                          <a:ext cx="2212340" cy="1862455"/>
                        </a:xfrm>
                        <a:prstGeom prst="roundRect">
                          <a:avLst/>
                        </a:prstGeom>
                        <a:solidFill>
                          <a:sysClr val="window" lastClr="FFFFFF"/>
                        </a:solidFill>
                        <a:ln w="38100" cmpd="dbl">
                          <a:solidFill>
                            <a:schemeClr val="bg2">
                              <a:lumMod val="75000"/>
                            </a:schemeClr>
                          </a:solidFill>
                        </a:ln>
                        <a:effectLst/>
                      </wps:spPr>
                      <wps:txbx>
                        <w:txbxContent>
                          <w:p w14:paraId="49027718" w14:textId="77777777" w:rsidR="00876FFE" w:rsidRPr="001B44C9" w:rsidRDefault="00876FFE" w:rsidP="004A13F2">
                            <w:pPr>
                              <w:jc w:val="center"/>
                              <w:rPr>
                                <w:rFonts w:ascii="Verdana" w:hAnsi="Verdana"/>
                                <w:bCs/>
                                <w:sz w:val="21"/>
                                <w:szCs w:val="21"/>
                              </w:rPr>
                            </w:pPr>
                            <w:r>
                              <w:rPr>
                                <w:rFonts w:ascii="Verdana" w:hAnsi="Verdana" w:cs="Arial Narrow"/>
                                <w:sz w:val="21"/>
                                <w:szCs w:val="21"/>
                              </w:rPr>
                              <w:t>Унапређен квалитет јавних политика и прописа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D805F99" id="Text Box 811" o:spid="_x0000_s1030" style="position:absolute;left:0;text-align:left;margin-left:-24.2pt;margin-top:8.4pt;width:174.2pt;height:146.65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" fillcolor="window" strokecolor="#aeaaaa [2414]" strokeweight="3pt">
                <v:stroke linestyle="thinThin"/>
                <v:textbox>
                  <w:txbxContent>
                    <w:p w14:paraId="49027718" w14:textId="77777777" w:rsidR="00876FFE" w:rsidRPr="001B44C9" w:rsidRDefault="00876FFE" w:rsidP="004A13F2">
                      <w:pPr>
                        <w:jc w:val="center"/>
                        <w:rPr>
                          <w:rFonts w:ascii="Verdana" w:hAnsi="Verdana"/>
                          <w:bCs/>
                          <w:sz w:val="21"/>
                          <w:szCs w:val="21"/>
                        </w:rPr>
                      </w:pPr>
                      <w:r>
                        <w:rPr>
                          <w:rFonts w:ascii="Verdana" w:hAnsi="Verdana" w:cs="Arial Narrow"/>
                          <w:sz w:val="21"/>
                          <w:szCs w:val="21"/>
                        </w:rPr>
                        <w:t xml:space="preserve">Унапређен </w:t>
                      </w:r>
                      <w:r>
                        <w:rPr>
                          <w:rFonts w:ascii="Verdana" w:hAnsi="Verdana" w:cs="Arial Narrow"/>
                          <w:sz w:val="21"/>
                          <w:szCs w:val="21"/>
                        </w:rPr>
                        <w:t>квалитет јавних политика и прописа</w:t>
                      </w:r>
                    </w:p>
                  </w:txbxContent>
                </v:textbox>
              </v:roundrect>
            </w:pict>
          </mc:Fallback>
        </mc:AlternateContent>
      </w:r>
      <w:r w:rsidR="00C1128E" w:rsidRPr="000F0299">
        <w:rPr>
          <w:rFonts w:ascii="Calibri" w:hAnsi="Calibri"/>
          <w:noProof/>
          <w:sz w:val="20"/>
          <w:lang w:val="en-US" w:eastAsia="en-US" w:bidi="ar-SA"/>
        </w:rPr>
        <mc:AlternateContent>
          <mc:Choice Requires="wps">
            <w:drawing>
              <wp:anchor distT="0" distB="0" distL="114300" distR="114300" simplePos="0" relativeHeight="251427328" behindDoc="0" locked="0" layoutInCell="1" allowOverlap="1" wp14:anchorId="186079CF" wp14:editId="085F1D4C">
                <wp:simplePos x="0" y="0"/>
                <wp:positionH relativeFrom="column">
                  <wp:posOffset>2106930</wp:posOffset>
                </wp:positionH>
                <wp:positionV relativeFrom="paragraph">
                  <wp:posOffset>57150</wp:posOffset>
                </wp:positionV>
                <wp:extent cx="2211705" cy="716915"/>
                <wp:effectExtent l="19050" t="19050" r="17145" b="26035"/>
                <wp:wrapNone/>
                <wp:docPr id="307" name="Text Box 307"/>
                <wp:cNvGraphicFramePr/>
                <a:graphic xmlns:a="http://schemas.openxmlformats.org/drawingml/2006/main">
                  <a:graphicData uri="http://schemas.microsoft.com/office/word/2010/wordprocessingShape">
                    <wps:wsp>
                      <wps:cNvSpPr txBox="1"/>
                      <wps:spPr>
                        <a:xfrm>
                          <a:off x="0" y="0"/>
                          <a:ext cx="2211705" cy="716915"/>
                        </a:xfrm>
                        <a:prstGeom prst="roundRect">
                          <a:avLst/>
                        </a:prstGeom>
                        <a:solidFill>
                          <a:sysClr val="window" lastClr="FFFFFF"/>
                        </a:solidFill>
                        <a:ln w="38100" cmpd="dbl">
                          <a:solidFill>
                            <a:schemeClr val="bg1">
                              <a:lumMod val="50000"/>
                            </a:schemeClr>
                          </a:solidFill>
                        </a:ln>
                        <a:effectLst/>
                      </wps:spPr>
                      <wps:txbx>
                        <w:txbxContent>
                          <w:p w14:paraId="2340D359" w14:textId="77777777" w:rsidR="00876FFE" w:rsidRPr="00126907" w:rsidRDefault="00876FFE" w:rsidP="007D6459">
                            <w:pPr>
                              <w:spacing w:before="0"/>
                              <w:jc w:val="center"/>
                              <w:rPr>
                                <w:rFonts w:ascii="Verdana" w:hAnsi="Verdana"/>
                                <w:bCs/>
                                <w:sz w:val="21"/>
                                <w:szCs w:val="21"/>
                              </w:rPr>
                            </w:pPr>
                            <w:r>
                              <w:rPr>
                                <w:rFonts w:ascii="Verdana" w:hAnsi="Verdana"/>
                                <w:bCs/>
                                <w:sz w:val="21"/>
                                <w:szCs w:val="21"/>
                              </w:rPr>
                              <w:t>Унапређен процес запошљавања у јавној управи</w:t>
                            </w:r>
                          </w:p>
                          <w:p w14:paraId="08F8B9F4" w14:textId="77777777" w:rsidR="00876FFE" w:rsidRPr="00127076" w:rsidRDefault="00876FFE" w:rsidP="007D6459">
                            <w:pPr>
                              <w:spacing w:before="0"/>
                              <w:rPr>
                                <w:rFonts w:ascii="Verdana" w:hAnsi="Verdana"/>
                                <w:sz w:val="21"/>
                                <w:szCs w:val="21"/>
                                <w14:textOutline w14:w="9525" w14:cap="rnd" w14:cmpd="thinThick" w14:algn="ctr">
                                  <w14:solidFill>
                                    <w14:srgbClr w14:val="21999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6079CF" id="Text Box 307" o:spid="_x0000_s1031" style="position:absolute;left:0;text-align:left;margin-left:165.9pt;margin-top:4.5pt;width:174.15pt;height:56.4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" fillcolor="window" strokecolor="#7f7f7f [1612]" strokeweight="3pt">
                <v:stroke linestyle="thinThin"/>
                <v:textbox>
                  <w:txbxContent>
                    <w:p w14:paraId="2340D359" w14:textId="77777777" w:rsidR="00876FFE" w:rsidRPr="00126907" w:rsidRDefault="00876FFE" w:rsidP="007D6459">
                      <w:pPr>
                        <w:spacing w:before="0"/>
                        <w:jc w:val="center"/>
                        <w:rPr>
                          <w:rFonts w:ascii="Verdana" w:hAnsi="Verdana"/>
                          <w:bCs/>
                          <w:sz w:val="21"/>
                          <w:szCs w:val="21"/>
                        </w:rPr>
                      </w:pPr>
                      <w:r>
                        <w:rPr>
                          <w:rFonts w:ascii="Verdana" w:hAnsi="Verdana"/>
                          <w:bCs/>
                          <w:sz w:val="21"/>
                          <w:szCs w:val="21"/>
                        </w:rPr>
                        <w:t xml:space="preserve">Унапређен </w:t>
                      </w:r>
                      <w:r>
                        <w:rPr>
                          <w:rFonts w:ascii="Verdana" w:hAnsi="Verdana"/>
                          <w:bCs/>
                          <w:sz w:val="21"/>
                          <w:szCs w:val="21"/>
                        </w:rPr>
                        <w:t>процес запошљавања у јавној управи</w:t>
                      </w:r>
                    </w:p>
                    <w:p w14:paraId="08F8B9F4" w14:textId="77777777" w:rsidR="00876FFE" w:rsidRPr="00127076" w:rsidRDefault="00876FFE" w:rsidP="007D6459">
                      <w:pPr>
                        <w:spacing w:before="0"/>
                        <w:rPr>
                          <w:rFonts w:ascii="Verdana" w:hAnsi="Verdana"/>
                          <w:sz w:val="21"/>
                          <w:szCs w:val="21"/>
                          <w14:textOutline w14:w="9525" w14:cap="rnd" w14:cmpd="thinThick" w14:algn="ctr">
                            <w14:solidFill>
                              <w14:srgbClr w14:val="219990"/>
                            </w14:solidFill>
                            <w14:prstDash w14:val="solid"/>
                            <w14:bevel/>
                          </w14:textOutline>
                        </w:rPr>
                      </w:pPr>
                    </w:p>
                  </w:txbxContent>
                </v:textbox>
              </v:roundrect>
            </w:pict>
          </mc:Fallback>
        </mc:AlternateContent>
      </w:r>
      <w:r w:rsidR="00C1128E" w:rsidRPr="000F0299">
        <w:rPr>
          <w:rFonts w:ascii="Calibri" w:hAnsi="Calibri"/>
          <w:noProof/>
          <w:sz w:val="20"/>
          <w:lang w:val="en-US" w:eastAsia="en-US" w:bidi="ar-SA"/>
        </w:rPr>
        <mc:AlternateContent>
          <mc:Choice Requires="wps">
            <w:drawing>
              <wp:anchor distT="0" distB="0" distL="114300" distR="114300" simplePos="0" relativeHeight="251424256" behindDoc="0" locked="0" layoutInCell="1" allowOverlap="1" wp14:anchorId="407E676E" wp14:editId="43F3A3E9">
                <wp:simplePos x="0" y="0"/>
                <wp:positionH relativeFrom="column">
                  <wp:posOffset>11746865</wp:posOffset>
                </wp:positionH>
                <wp:positionV relativeFrom="paragraph">
                  <wp:posOffset>67945</wp:posOffset>
                </wp:positionV>
                <wp:extent cx="2211705" cy="1781810"/>
                <wp:effectExtent l="19050" t="19050" r="17145" b="27940"/>
                <wp:wrapNone/>
                <wp:docPr id="804" name="Text Box 804"/>
                <wp:cNvGraphicFramePr/>
                <a:graphic xmlns:a="http://schemas.openxmlformats.org/drawingml/2006/main">
                  <a:graphicData uri="http://schemas.microsoft.com/office/word/2010/wordprocessingShape">
                    <wps:wsp>
                      <wps:cNvSpPr txBox="1"/>
                      <wps:spPr>
                        <a:xfrm>
                          <a:off x="0" y="0"/>
                          <a:ext cx="2211705" cy="1781810"/>
                        </a:xfrm>
                        <a:prstGeom prst="roundRect">
                          <a:avLst/>
                        </a:prstGeom>
                        <a:solidFill>
                          <a:sysClr val="window" lastClr="FFFFFF"/>
                        </a:solidFill>
                        <a:ln w="38100" cmpd="dbl">
                          <a:solidFill>
                            <a:srgbClr val="636D77"/>
                          </a:solidFill>
                        </a:ln>
                        <a:effectLst/>
                      </wps:spPr>
                      <wps:txbx>
                        <w:txbxContent>
                          <w:p w14:paraId="0889AC6C" w14:textId="67A55CC2" w:rsidR="00876FFE" w:rsidRPr="00FF1DE2" w:rsidRDefault="00876FFE" w:rsidP="00FF1DE2">
                            <w:pPr>
                              <w:spacing w:line="264" w:lineRule="auto"/>
                              <w:jc w:val="center"/>
                              <w:rPr>
                                <w:rFonts w:ascii="Verdana" w:hAnsi="Verdana" w:cs="Calibri"/>
                                <w:sz w:val="21"/>
                                <w:szCs w:val="21"/>
                              </w:rPr>
                            </w:pPr>
                            <w:r w:rsidRPr="009C6E97">
                              <w:rPr>
                                <w:rFonts w:ascii="Verdana" w:hAnsi="Verdana" w:cs="Calibri"/>
                                <w:sz w:val="21"/>
                                <w:szCs w:val="21"/>
                              </w:rPr>
                              <w:t xml:space="preserve">Систем локалне самоуправе који омогућава ефикасно и одрживо </w:t>
                            </w:r>
                            <w:r w:rsidRPr="009C6E97">
                              <w:rPr>
                                <w:rFonts w:ascii="Verdana" w:hAnsi="Verdana" w:cs="Calibri"/>
                                <w:sz w:val="21"/>
                                <w:szCs w:val="21"/>
                              </w:rPr>
                              <w:br/>
                              <w:t>остваривање права грађана на локалну самоуправу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7E676E" id="Text Box 804" o:spid="_x0000_s1032" style="position:absolute;left:0;text-align:left;margin-left:924.95pt;margin-top:5.35pt;width:174.15pt;height:140.3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" fillcolor="window" strokecolor="#636d77" strokeweight="3pt">
                <v:stroke linestyle="thinThin"/>
                <v:textbox>
                  <w:txbxContent>
                    <w:p w14:paraId="0889AC6C" w14:textId="67A55CC2" w:rsidR="00876FFE" w:rsidRPr="00FF1DE2" w:rsidRDefault="00876FFE" w:rsidP="00FF1DE2">
                      <w:pPr>
                        <w:spacing w:line="264" w:lineRule="auto"/>
                        <w:jc w:val="center"/>
                        <w:rPr>
                          <w:rFonts w:ascii="Verdana" w:hAnsi="Verdana" w:cs="Calibri"/>
                          <w:sz w:val="21"/>
                          <w:szCs w:val="21"/>
                        </w:rPr>
                      </w:pPr>
                      <w:r w:rsidRPr="009C6E97">
                        <w:rPr>
                          <w:rFonts w:ascii="Verdana" w:hAnsi="Verdana" w:cs="Calibri"/>
                          <w:sz w:val="21"/>
                          <w:szCs w:val="21"/>
                        </w:rPr>
                        <w:t xml:space="preserve">Систем </w:t>
                      </w:r>
                      <w:r w:rsidRPr="009C6E97">
                        <w:rPr>
                          <w:rFonts w:ascii="Verdana" w:hAnsi="Verdana" w:cs="Calibri"/>
                          <w:sz w:val="21"/>
                          <w:szCs w:val="21"/>
                        </w:rPr>
                        <w:t xml:space="preserve">локалне самоуправе који омогућава ефикасно и одрживо </w:t>
                      </w:r>
                      <w:r w:rsidRPr="009C6E97">
                        <w:rPr>
                          <w:rFonts w:ascii="Verdana" w:hAnsi="Verdana" w:cs="Calibri"/>
                          <w:sz w:val="21"/>
                          <w:szCs w:val="21"/>
                        </w:rPr>
                        <w:br/>
                        <w:t>остваривање права грађана на локалну самоуправу</w:t>
                      </w:r>
                    </w:p>
                  </w:txbxContent>
                </v:textbox>
              </v:roundrect>
            </w:pict>
          </mc:Fallback>
        </mc:AlternateContent>
      </w:r>
      <w:r w:rsidR="00C1128E" w:rsidRPr="000F0299">
        <w:rPr>
          <w:rFonts w:ascii="Calibri" w:hAnsi="Calibri"/>
          <w:noProof/>
          <w:sz w:val="20"/>
          <w:lang w:val="en-US" w:eastAsia="en-US" w:bidi="ar-SA"/>
        </w:rPr>
        <mc:AlternateContent>
          <mc:Choice Requires="wps">
            <w:drawing>
              <wp:anchor distT="0" distB="0" distL="114300" distR="114300" simplePos="0" relativeHeight="251426304" behindDoc="0" locked="0" layoutInCell="1" allowOverlap="1" wp14:anchorId="68F686C9" wp14:editId="74E3EE0F">
                <wp:simplePos x="0" y="0"/>
                <wp:positionH relativeFrom="column">
                  <wp:posOffset>4533265</wp:posOffset>
                </wp:positionH>
                <wp:positionV relativeFrom="paragraph">
                  <wp:posOffset>67945</wp:posOffset>
                </wp:positionV>
                <wp:extent cx="2211705" cy="1781810"/>
                <wp:effectExtent l="19050" t="19050" r="17145" b="27940"/>
                <wp:wrapNone/>
                <wp:docPr id="805" name="Text Box 805"/>
                <wp:cNvGraphicFramePr/>
                <a:graphic xmlns:a="http://schemas.openxmlformats.org/drawingml/2006/main">
                  <a:graphicData uri="http://schemas.microsoft.com/office/word/2010/wordprocessingShape">
                    <wps:wsp>
                      <wps:cNvSpPr txBox="1"/>
                      <wps:spPr>
                        <a:xfrm>
                          <a:off x="0" y="0"/>
                          <a:ext cx="2211705" cy="1781810"/>
                        </a:xfrm>
                        <a:prstGeom prst="roundRect">
                          <a:avLst/>
                        </a:prstGeom>
                        <a:solidFill>
                          <a:sysClr val="window" lastClr="FFFFFF"/>
                        </a:solidFill>
                        <a:ln w="38100" cmpd="dbl">
                          <a:solidFill>
                            <a:schemeClr val="accent5">
                              <a:lumMod val="40000"/>
                              <a:lumOff val="60000"/>
                            </a:schemeClr>
                          </a:solidFill>
                        </a:ln>
                        <a:effectLst/>
                      </wps:spPr>
                      <wps:txbx>
                        <w:txbxContent>
                          <w:p w14:paraId="3B305F5F" w14:textId="1C81BB3E" w:rsidR="00876FFE" w:rsidRPr="00FF1DE2" w:rsidRDefault="00876FFE" w:rsidP="00FF1DE2">
                            <w:pPr>
                              <w:jc w:val="center"/>
                              <w:rPr>
                                <w:rFonts w:ascii="Verdana" w:hAnsi="Verdana" w:cs="Calibri"/>
                                <w:sz w:val="21"/>
                                <w:szCs w:val="21"/>
                              </w:rPr>
                            </w:pPr>
                            <w:r w:rsidRPr="009C6E97">
                              <w:rPr>
                                <w:rFonts w:ascii="Verdana" w:hAnsi="Verdana" w:cs="Calibri"/>
                                <w:sz w:val="21"/>
                                <w:szCs w:val="21"/>
                              </w:rPr>
                              <w:t>Унапређен квалитет услуга јавне управе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F686C9" id="Text Box 805" o:spid="_x0000_s1033" style="position:absolute;left:0;text-align:left;margin-left:356.95pt;margin-top:5.35pt;width:174.15pt;height:140.3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" fillcolor="window" strokecolor="#bdd6ee [1304]" strokeweight="3pt">
                <v:stroke linestyle="thinThin"/>
                <v:textbox>
                  <w:txbxContent>
                    <w:p w14:paraId="3B305F5F" w14:textId="1C81BB3E" w:rsidR="00876FFE" w:rsidRPr="00FF1DE2" w:rsidRDefault="00876FFE" w:rsidP="00FF1DE2">
                      <w:pPr>
                        <w:jc w:val="center"/>
                        <w:rPr>
                          <w:rFonts w:ascii="Verdana" w:hAnsi="Verdana" w:cs="Calibri"/>
                          <w:sz w:val="21"/>
                          <w:szCs w:val="21"/>
                        </w:rPr>
                      </w:pPr>
                      <w:r w:rsidRPr="009C6E97">
                        <w:rPr>
                          <w:rFonts w:ascii="Verdana" w:hAnsi="Verdana" w:cs="Calibri"/>
                          <w:sz w:val="21"/>
                          <w:szCs w:val="21"/>
                        </w:rPr>
                        <w:t xml:space="preserve">Унапређен </w:t>
                      </w:r>
                      <w:r w:rsidRPr="009C6E97">
                        <w:rPr>
                          <w:rFonts w:ascii="Verdana" w:hAnsi="Verdana" w:cs="Calibri"/>
                          <w:sz w:val="21"/>
                          <w:szCs w:val="21"/>
                        </w:rPr>
                        <w:t>квалитет услуга јавне управе</w:t>
                      </w:r>
                    </w:p>
                  </w:txbxContent>
                </v:textbox>
              </v:roundrect>
            </w:pict>
          </mc:Fallback>
        </mc:AlternateContent>
      </w:r>
      <w:r w:rsidR="00C1128E" w:rsidRPr="000F0299">
        <w:rPr>
          <w:rFonts w:ascii="Calibri" w:hAnsi="Calibri"/>
          <w:noProof/>
          <w:sz w:val="20"/>
          <w:lang w:val="en-US" w:eastAsia="en-US" w:bidi="ar-SA"/>
        </w:rPr>
        <mc:AlternateContent>
          <mc:Choice Requires="wps">
            <w:drawing>
              <wp:anchor distT="0" distB="0" distL="114300" distR="114300" simplePos="0" relativeHeight="251425280" behindDoc="0" locked="0" layoutInCell="1" allowOverlap="1" wp14:anchorId="0AFEA474" wp14:editId="6730B0DB">
                <wp:simplePos x="0" y="0"/>
                <wp:positionH relativeFrom="column">
                  <wp:posOffset>6942455</wp:posOffset>
                </wp:positionH>
                <wp:positionV relativeFrom="paragraph">
                  <wp:posOffset>67945</wp:posOffset>
                </wp:positionV>
                <wp:extent cx="2211705" cy="1781810"/>
                <wp:effectExtent l="19050" t="19050" r="17145" b="27940"/>
                <wp:wrapNone/>
                <wp:docPr id="806" name="Text Box 806"/>
                <wp:cNvGraphicFramePr/>
                <a:graphic xmlns:a="http://schemas.openxmlformats.org/drawingml/2006/main">
                  <a:graphicData uri="http://schemas.microsoft.com/office/word/2010/wordprocessingShape">
                    <wps:wsp>
                      <wps:cNvSpPr txBox="1"/>
                      <wps:spPr>
                        <a:xfrm>
                          <a:off x="0" y="0"/>
                          <a:ext cx="2211705" cy="1781810"/>
                        </a:xfrm>
                        <a:prstGeom prst="roundRect">
                          <a:avLst/>
                        </a:prstGeom>
                        <a:solidFill>
                          <a:sysClr val="window" lastClr="FFFFFF"/>
                        </a:solidFill>
                        <a:ln w="38100" cmpd="dbl">
                          <a:solidFill>
                            <a:schemeClr val="accent1">
                              <a:lumMod val="60000"/>
                              <a:lumOff val="40000"/>
                            </a:schemeClr>
                          </a:solidFill>
                        </a:ln>
                        <a:effectLst/>
                      </wps:spPr>
                      <wps:txbx>
                        <w:txbxContent>
                          <w:p w14:paraId="41678A49" w14:textId="37F90799" w:rsidR="00876FFE" w:rsidRPr="00FF1DE2" w:rsidRDefault="00876FFE" w:rsidP="00FF1DE2">
                            <w:pPr>
                              <w:jc w:val="center"/>
                              <w:rPr>
                                <w:rFonts w:ascii="Verdana" w:hAnsi="Verdana"/>
                                <w:bCs/>
                                <w:sz w:val="21"/>
                                <w:szCs w:val="21"/>
                              </w:rPr>
                            </w:pPr>
                            <w:r w:rsidRPr="001B44C9">
                              <w:rPr>
                                <w:rFonts w:ascii="Verdana" w:hAnsi="Verdana"/>
                                <w:bCs/>
                                <w:sz w:val="21"/>
                                <w:szCs w:val="21"/>
                              </w:rPr>
                              <w:t>Унапређен систем одговорности и транспарентност ина свим нивоима власти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AFEA474" id="Text Box 806" o:spid="_x0000_s1034" style="position:absolute;left:0;text-align:left;margin-left:546.65pt;margin-top:5.35pt;width:174.15pt;height:140.3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" fillcolor="window" strokecolor="#8eaadb [1940]" strokeweight="3pt">
                <v:stroke linestyle="thinThin"/>
                <v:textbox>
                  <w:txbxContent>
                    <w:p w14:paraId="41678A49" w14:textId="37F90799" w:rsidR="00876FFE" w:rsidRPr="00FF1DE2" w:rsidRDefault="00876FFE" w:rsidP="00FF1DE2">
                      <w:pPr>
                        <w:jc w:val="center"/>
                        <w:rPr>
                          <w:rFonts w:ascii="Verdana" w:hAnsi="Verdana"/>
                          <w:bCs/>
                          <w:sz w:val="21"/>
                          <w:szCs w:val="21"/>
                        </w:rPr>
                      </w:pPr>
                      <w:r w:rsidRPr="001B44C9">
                        <w:rPr>
                          <w:rFonts w:ascii="Verdana" w:hAnsi="Verdana"/>
                          <w:bCs/>
                          <w:sz w:val="21"/>
                          <w:szCs w:val="21"/>
                        </w:rPr>
                        <w:t xml:space="preserve">Унапређен </w:t>
                      </w:r>
                      <w:r w:rsidRPr="001B44C9">
                        <w:rPr>
                          <w:rFonts w:ascii="Verdana" w:hAnsi="Verdana"/>
                          <w:bCs/>
                          <w:sz w:val="21"/>
                          <w:szCs w:val="21"/>
                        </w:rPr>
                        <w:t>систем одговорности и транспарентност ина свим нивоима власти</w:t>
                      </w:r>
                    </w:p>
                  </w:txbxContent>
                </v:textbox>
              </v:roundrect>
            </w:pict>
          </mc:Fallback>
        </mc:AlternateContent>
      </w:r>
      <w:r w:rsidR="004A13F2" w:rsidRPr="000F0299">
        <w:rPr>
          <w:rFonts w:ascii="Calibri" w:eastAsia="Times New Roman" w:hAnsi="Calibri"/>
          <w:sz w:val="20"/>
          <w:szCs w:val="20"/>
        </w:rPr>
        <w:tab/>
      </w:r>
    </w:p>
    <w:p w14:paraId="2A1BC7CA" w14:textId="29BF582F" w:rsidR="004A13F2" w:rsidRPr="000F0299" w:rsidRDefault="004A13F2" w:rsidP="004A13F2">
      <w:pPr>
        <w:spacing w:after="0"/>
        <w:rPr>
          <w:rFonts w:ascii="Calibri" w:eastAsia="Times New Roman" w:hAnsi="Calibri"/>
          <w:sz w:val="20"/>
          <w:szCs w:val="20"/>
        </w:rPr>
      </w:pPr>
    </w:p>
    <w:p w14:paraId="06CC5F36" w14:textId="50711447" w:rsidR="004A13F2" w:rsidRPr="000F0299" w:rsidRDefault="004A13F2" w:rsidP="004A13F2">
      <w:pPr>
        <w:spacing w:after="0"/>
        <w:rPr>
          <w:rFonts w:ascii="Calibri" w:eastAsia="Times New Roman" w:hAnsi="Calibri"/>
          <w:sz w:val="20"/>
          <w:szCs w:val="20"/>
        </w:rPr>
      </w:pPr>
    </w:p>
    <w:p w14:paraId="696D5F06" w14:textId="016D38AA" w:rsidR="004A13F2" w:rsidRPr="000F0299" w:rsidRDefault="004A13F2" w:rsidP="004A13F2">
      <w:pPr>
        <w:spacing w:after="0"/>
        <w:rPr>
          <w:rFonts w:ascii="Calibri" w:eastAsia="Times New Roman" w:hAnsi="Calibri"/>
          <w:sz w:val="20"/>
          <w:szCs w:val="20"/>
        </w:rPr>
      </w:pPr>
    </w:p>
    <w:p w14:paraId="23E3632A" w14:textId="169FB6B2" w:rsidR="004A13F2" w:rsidRPr="000F0299" w:rsidRDefault="00D04150" w:rsidP="004A13F2">
      <w:pPr>
        <w:spacing w:after="0"/>
        <w:rPr>
          <w:rFonts w:ascii="Calibri" w:eastAsia="Times New Roman" w:hAnsi="Calibri"/>
          <w:sz w:val="20"/>
          <w:szCs w:val="20"/>
        </w:rPr>
      </w:pPr>
      <w:r w:rsidRPr="000F0299">
        <w:rPr>
          <w:rFonts w:ascii="Calibri" w:hAnsi="Calibri"/>
          <w:noProof/>
          <w:sz w:val="20"/>
          <w:lang w:val="en-US" w:eastAsia="en-US" w:bidi="ar-SA"/>
        </w:rPr>
        <mc:AlternateContent>
          <mc:Choice Requires="wps">
            <w:drawing>
              <wp:anchor distT="0" distB="0" distL="114300" distR="114300" simplePos="0" relativeHeight="251435520" behindDoc="0" locked="0" layoutInCell="1" allowOverlap="1" wp14:anchorId="081FB243" wp14:editId="51FDA1B1">
                <wp:simplePos x="0" y="0"/>
                <wp:positionH relativeFrom="column">
                  <wp:posOffset>2106930</wp:posOffset>
                </wp:positionH>
                <wp:positionV relativeFrom="paragraph">
                  <wp:posOffset>8799</wp:posOffset>
                </wp:positionV>
                <wp:extent cx="2211705" cy="956310"/>
                <wp:effectExtent l="19050" t="19050" r="17145" b="15240"/>
                <wp:wrapNone/>
                <wp:docPr id="810" name="Text Box 810"/>
                <wp:cNvGraphicFramePr/>
                <a:graphic xmlns:a="http://schemas.openxmlformats.org/drawingml/2006/main">
                  <a:graphicData uri="http://schemas.microsoft.com/office/word/2010/wordprocessingShape">
                    <wps:wsp>
                      <wps:cNvSpPr txBox="1"/>
                      <wps:spPr>
                        <a:xfrm>
                          <a:off x="0" y="0"/>
                          <a:ext cx="2211705" cy="956310"/>
                        </a:xfrm>
                        <a:prstGeom prst="roundRect">
                          <a:avLst/>
                        </a:prstGeom>
                        <a:solidFill>
                          <a:sysClr val="window" lastClr="FFFFFF"/>
                        </a:solidFill>
                        <a:ln w="38100" cmpd="dbl">
                          <a:solidFill>
                            <a:schemeClr val="bg1">
                              <a:lumMod val="50000"/>
                            </a:schemeClr>
                          </a:solidFill>
                        </a:ln>
                        <a:effectLst/>
                      </wps:spPr>
                      <wps:txbx>
                        <w:txbxContent>
                          <w:p w14:paraId="63D9AA07" w14:textId="77777777" w:rsidR="00876FFE" w:rsidRPr="009C6E97" w:rsidRDefault="00876FFE" w:rsidP="004A13F2">
                            <w:pPr>
                              <w:jc w:val="center"/>
                              <w:rPr>
                                <w:rFonts w:ascii="Verdana" w:hAnsi="Verdana" w:cs="Calibri"/>
                                <w:bCs/>
                                <w:sz w:val="21"/>
                                <w:szCs w:val="21"/>
                                <w14:textOutline w14:w="9525" w14:cap="rnd" w14:cmpd="thinThick" w14:algn="ctr">
                                  <w14:solidFill>
                                    <w14:srgbClr w14:val="219990"/>
                                  </w14:solidFill>
                                  <w14:prstDash w14:val="solid"/>
                                  <w14:bevel/>
                                </w14:textOutline>
                              </w:rPr>
                            </w:pPr>
                            <w:r w:rsidRPr="009C6E97">
                              <w:rPr>
                                <w:rFonts w:ascii="Verdana" w:hAnsi="Verdana" w:cs="Calibri"/>
                                <w:bCs/>
                                <w:sz w:val="21"/>
                                <w:szCs w:val="21"/>
                              </w:rPr>
                              <w:t xml:space="preserve">Успостављен систем за интегрисано управљање људским ресурсима у јавној управи  </w:t>
                            </w:r>
                          </w:p>
                          <w:p w14:paraId="305CC0BC" w14:textId="77777777" w:rsidR="00876FFE" w:rsidRPr="00126907" w:rsidRDefault="00876FFE" w:rsidP="004A13F2">
                            <w:pPr>
                              <w:rPr>
                                <w:rFonts w:ascii="Verdana" w:hAnsi="Verdana"/>
                                <w:sz w:val="21"/>
                                <w:szCs w:val="21"/>
                                <w14:textOutline w14:w="9525" w14:cap="rnd" w14:cmpd="thinThick" w14:algn="ctr">
                                  <w14:solidFill>
                                    <w14:srgbClr w14:val="21999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1FB243" id="Text Box 810" o:spid="_x0000_s1035" style="position:absolute;left:0;text-align:left;margin-left:165.9pt;margin-top:.7pt;width:174.15pt;height:75.3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" fillcolor="window" strokecolor="#7f7f7f [1612]" strokeweight="3pt">
                <v:stroke linestyle="thinThin"/>
                <v:textbox>
                  <w:txbxContent>
                    <w:p w14:paraId="63D9AA07" w14:textId="77777777" w:rsidR="00876FFE" w:rsidRPr="009C6E97" w:rsidRDefault="00876FFE" w:rsidP="004A13F2">
                      <w:pPr>
                        <w:jc w:val="center"/>
                        <w:rPr>
                          <w:rFonts w:ascii="Verdana" w:hAnsi="Verdana" w:cs="Calibri"/>
                          <w:bCs/>
                          <w:sz w:val="21"/>
                          <w:szCs w:val="21"/>
                          <w14:textOutline w14:w="9525" w14:cap="rnd" w14:cmpd="thinThick" w14:algn="ctr">
                            <w14:solidFill>
                              <w14:srgbClr w14:val="219990"/>
                            </w14:solidFill>
                            <w14:prstDash w14:val="solid"/>
                            <w14:bevel/>
                          </w14:textOutline>
                        </w:rPr>
                      </w:pPr>
                      <w:r w:rsidRPr="009C6E97">
                        <w:rPr>
                          <w:rFonts w:ascii="Verdana" w:hAnsi="Verdana" w:cs="Calibri"/>
                          <w:bCs/>
                          <w:sz w:val="21"/>
                          <w:szCs w:val="21"/>
                        </w:rPr>
                        <w:t xml:space="preserve">Успостављен </w:t>
                      </w:r>
                      <w:r w:rsidRPr="009C6E97">
                        <w:rPr>
                          <w:rFonts w:ascii="Verdana" w:hAnsi="Verdana" w:cs="Calibri"/>
                          <w:bCs/>
                          <w:sz w:val="21"/>
                          <w:szCs w:val="21"/>
                        </w:rPr>
                        <w:t xml:space="preserve">систем за интегрисано управљање људским ресурсима у јавној управи  </w:t>
                      </w:r>
                    </w:p>
                    <w:p w14:paraId="305CC0BC" w14:textId="77777777" w:rsidR="00876FFE" w:rsidRPr="00126907" w:rsidRDefault="00876FFE" w:rsidP="004A13F2">
                      <w:pPr>
                        <w:rPr>
                          <w:rFonts w:ascii="Verdana" w:hAnsi="Verdana"/>
                          <w:sz w:val="21"/>
                          <w:szCs w:val="21"/>
                          <w14:textOutline w14:w="9525" w14:cap="rnd" w14:cmpd="thinThick" w14:algn="ctr">
                            <w14:solidFill>
                              <w14:srgbClr w14:val="219990"/>
                            </w14:solidFill>
                            <w14:prstDash w14:val="solid"/>
                            <w14:bevel/>
                          </w14:textOutline>
                        </w:rPr>
                      </w:pPr>
                    </w:p>
                  </w:txbxContent>
                </v:textbox>
              </v:roundrect>
            </w:pict>
          </mc:Fallback>
        </mc:AlternateContent>
      </w:r>
    </w:p>
    <w:p w14:paraId="65601101" w14:textId="77777777" w:rsidR="004A13F2" w:rsidRPr="000F0299" w:rsidRDefault="004A13F2" w:rsidP="004A13F2">
      <w:pPr>
        <w:spacing w:after="0"/>
        <w:rPr>
          <w:rFonts w:ascii="Calibri" w:eastAsia="Times New Roman" w:hAnsi="Calibri"/>
          <w:sz w:val="20"/>
          <w:szCs w:val="20"/>
        </w:rPr>
      </w:pPr>
    </w:p>
    <w:p w14:paraId="31794FE5" w14:textId="77777777" w:rsidR="004A13F2" w:rsidRPr="000F0299" w:rsidRDefault="004A13F2" w:rsidP="004A13F2">
      <w:pPr>
        <w:spacing w:after="0"/>
        <w:rPr>
          <w:rFonts w:ascii="Calibri" w:eastAsia="Times New Roman" w:hAnsi="Calibri"/>
          <w:sz w:val="20"/>
          <w:szCs w:val="20"/>
        </w:rPr>
      </w:pPr>
    </w:p>
    <w:p w14:paraId="15FAD9B0" w14:textId="77777777" w:rsidR="004A13F2" w:rsidRPr="000F0299" w:rsidRDefault="004A13F2" w:rsidP="004A13F2">
      <w:pPr>
        <w:spacing w:after="0"/>
        <w:rPr>
          <w:rFonts w:ascii="Calibri" w:eastAsia="Times New Roman" w:hAnsi="Calibri"/>
          <w:sz w:val="20"/>
          <w:szCs w:val="20"/>
        </w:rPr>
      </w:pPr>
    </w:p>
    <w:p w14:paraId="537DF214" w14:textId="631D6754" w:rsidR="004A13F2" w:rsidRPr="000F0299" w:rsidRDefault="00D04150" w:rsidP="004A13F2">
      <w:pPr>
        <w:spacing w:after="0"/>
        <w:rPr>
          <w:rFonts w:ascii="Calibri" w:eastAsia="Times New Roman" w:hAnsi="Calibri"/>
          <w:sz w:val="20"/>
          <w:szCs w:val="20"/>
        </w:rPr>
      </w:pPr>
      <w:r w:rsidRPr="000F0299">
        <w:rPr>
          <w:rFonts w:ascii="Calibri" w:hAnsi="Calibri"/>
          <w:noProof/>
          <w:sz w:val="20"/>
          <w:lang w:val="en-US" w:eastAsia="en-US" w:bidi="ar-SA"/>
        </w:rPr>
        <mc:AlternateContent>
          <mc:Choice Requires="wps">
            <w:drawing>
              <wp:anchor distT="0" distB="0" distL="114300" distR="114300" simplePos="0" relativeHeight="251436544" behindDoc="0" locked="0" layoutInCell="1" allowOverlap="1" wp14:anchorId="6D7D7AF7" wp14:editId="0A30DEDE">
                <wp:simplePos x="0" y="0"/>
                <wp:positionH relativeFrom="column">
                  <wp:posOffset>2106930</wp:posOffset>
                </wp:positionH>
                <wp:positionV relativeFrom="paragraph">
                  <wp:posOffset>210276</wp:posOffset>
                </wp:positionV>
                <wp:extent cx="2211705" cy="2165985"/>
                <wp:effectExtent l="19050" t="19050" r="17145" b="24765"/>
                <wp:wrapNone/>
                <wp:docPr id="812" name="Text Box 812"/>
                <wp:cNvGraphicFramePr/>
                <a:graphic xmlns:a="http://schemas.openxmlformats.org/drawingml/2006/main">
                  <a:graphicData uri="http://schemas.microsoft.com/office/word/2010/wordprocessingShape">
                    <wps:wsp>
                      <wps:cNvSpPr txBox="1"/>
                      <wps:spPr>
                        <a:xfrm>
                          <a:off x="0" y="0"/>
                          <a:ext cx="2211705" cy="2165985"/>
                        </a:xfrm>
                        <a:prstGeom prst="roundRect">
                          <a:avLst/>
                        </a:prstGeom>
                        <a:solidFill>
                          <a:sysClr val="window" lastClr="FFFFFF"/>
                        </a:solidFill>
                        <a:ln w="38100" cmpd="dbl">
                          <a:solidFill>
                            <a:schemeClr val="bg1">
                              <a:lumMod val="50000"/>
                            </a:schemeClr>
                          </a:solidFill>
                        </a:ln>
                        <a:effectLst/>
                      </wps:spPr>
                      <wps:txbx>
                        <w:txbxContent>
                          <w:p w14:paraId="58E9F920" w14:textId="77777777" w:rsidR="00876FFE" w:rsidRPr="009C6E97" w:rsidRDefault="00876FFE" w:rsidP="004A13F2">
                            <w:pPr>
                              <w:spacing w:after="0"/>
                              <w:jc w:val="center"/>
                              <w:rPr>
                                <w:rFonts w:ascii="Verdana" w:hAnsi="Verdana" w:cs="Calibri"/>
                                <w:bCs/>
                                <w:sz w:val="21"/>
                                <w:szCs w:val="21"/>
                                <w14:textOutline w14:w="9525" w14:cap="rnd" w14:cmpd="thinThick" w14:algn="ctr">
                                  <w14:solidFill>
                                    <w14:srgbClr w14:val="219990"/>
                                  </w14:solidFill>
                                  <w14:prstDash w14:val="solid"/>
                                  <w14:bevel/>
                                </w14:textOutline>
                              </w:rPr>
                            </w:pPr>
                            <w:r w:rsidRPr="009C6E97">
                              <w:rPr>
                                <w:rFonts w:ascii="Verdana" w:hAnsi="Verdana" w:cs="Calibri"/>
                                <w:bCs/>
                                <w:sz w:val="21"/>
                                <w:szCs w:val="21"/>
                              </w:rPr>
                              <w:t xml:space="preserve">Развијен и имплементиран функционалан и иновативан систем стручног усавршавања и стручних испита у јавној управи заснован на анализи потреба за </w:t>
                            </w:r>
                            <w:r w:rsidRPr="009C6E97">
                              <w:rPr>
                                <w:rFonts w:ascii="Verdana" w:hAnsi="Verdana" w:cs="Calibri"/>
                                <w:bCs/>
                                <w:spacing w:val="-4"/>
                                <w:sz w:val="21"/>
                                <w:szCs w:val="21"/>
                              </w:rPr>
                              <w:t>унапређењем компетенција</w:t>
                            </w:r>
                            <w:r w:rsidRPr="009C6E97">
                              <w:rPr>
                                <w:rFonts w:ascii="Verdana" w:hAnsi="Verdana" w:cs="Calibri"/>
                                <w:bCs/>
                                <w:sz w:val="21"/>
                                <w:szCs w:val="21"/>
                              </w:rPr>
                              <w:t xml:space="preserve"> запослених у јавној управи</w:t>
                            </w:r>
                          </w:p>
                          <w:p w14:paraId="23072315" w14:textId="77777777" w:rsidR="00876FFE" w:rsidRPr="00126907" w:rsidRDefault="00876FFE" w:rsidP="004A13F2">
                            <w:pPr>
                              <w:rPr>
                                <w:rFonts w:ascii="Verdana" w:hAnsi="Verdana"/>
                                <w:sz w:val="21"/>
                                <w:szCs w:val="21"/>
                                <w14:textOutline w14:w="9525" w14:cap="rnd" w14:cmpd="thinThick" w14:algn="ctr">
                                  <w14:solidFill>
                                    <w14:srgbClr w14:val="219990"/>
                                  </w14:solidFill>
                                  <w14:prstDash w14:val="solid"/>
                                  <w14:bevel/>
                                </w14:textOutline>
                              </w:rP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7D7AF7" id="Text Box 812" o:spid="_x0000_s1036" style="position:absolute;left:0;text-align:left;margin-left:165.9pt;margin-top:16.55pt;width:174.15pt;height:170.5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" fillcolor="window" strokecolor="#7f7f7f [1612]" strokeweight="3pt">
                <v:stroke linestyle="thinThin"/>
                <v:textbox inset=",,,0">
                  <w:txbxContent>
                    <w:p w14:paraId="58E9F920" w14:textId="77777777" w:rsidR="00876FFE" w:rsidRPr="009C6E97" w:rsidRDefault="00876FFE" w:rsidP="004A13F2">
                      <w:pPr>
                        <w:spacing w:after="0"/>
                        <w:jc w:val="center"/>
                        <w:rPr>
                          <w:rFonts w:ascii="Verdana" w:hAnsi="Verdana" w:cs="Calibri"/>
                          <w:bCs/>
                          <w:sz w:val="21"/>
                          <w:szCs w:val="21"/>
                          <w14:textOutline w14:w="9525" w14:cap="rnd" w14:cmpd="thinThick" w14:algn="ctr">
                            <w14:solidFill>
                              <w14:srgbClr w14:val="219990"/>
                            </w14:solidFill>
                            <w14:prstDash w14:val="solid"/>
                            <w14:bevel/>
                          </w14:textOutline>
                        </w:rPr>
                      </w:pPr>
                      <w:r w:rsidRPr="009C6E97">
                        <w:rPr>
                          <w:rFonts w:ascii="Verdana" w:hAnsi="Verdana" w:cs="Calibri"/>
                          <w:bCs/>
                          <w:sz w:val="21"/>
                          <w:szCs w:val="21"/>
                        </w:rPr>
                        <w:t xml:space="preserve">Развијен </w:t>
                      </w:r>
                      <w:r w:rsidRPr="009C6E97">
                        <w:rPr>
                          <w:rFonts w:ascii="Verdana" w:hAnsi="Verdana" w:cs="Calibri"/>
                          <w:bCs/>
                          <w:sz w:val="21"/>
                          <w:szCs w:val="21"/>
                        </w:rPr>
                        <w:t xml:space="preserve">и имплементиран функционалан и иновативан систем стручног усавршавања и стручних испита у јавној управи заснован на анализи потреба за </w:t>
                      </w:r>
                      <w:r w:rsidRPr="009C6E97">
                        <w:rPr>
                          <w:rFonts w:ascii="Verdana" w:hAnsi="Verdana" w:cs="Calibri"/>
                          <w:bCs/>
                          <w:spacing w:val="-4"/>
                          <w:sz w:val="21"/>
                          <w:szCs w:val="21"/>
                        </w:rPr>
                        <w:t>унапређењем компетенција</w:t>
                      </w:r>
                      <w:r w:rsidRPr="009C6E97">
                        <w:rPr>
                          <w:rFonts w:ascii="Verdana" w:hAnsi="Verdana" w:cs="Calibri"/>
                          <w:bCs/>
                          <w:sz w:val="21"/>
                          <w:szCs w:val="21"/>
                        </w:rPr>
                        <w:t xml:space="preserve"> запослених у јавној управи</w:t>
                      </w:r>
                    </w:p>
                    <w:p w14:paraId="23072315" w14:textId="77777777" w:rsidR="00876FFE" w:rsidRPr="00126907" w:rsidRDefault="00876FFE" w:rsidP="004A13F2">
                      <w:pPr>
                        <w:rPr>
                          <w:rFonts w:ascii="Verdana" w:hAnsi="Verdana"/>
                          <w:sz w:val="21"/>
                          <w:szCs w:val="21"/>
                          <w14:textOutline w14:w="9525" w14:cap="rnd" w14:cmpd="thinThick" w14:algn="ctr">
                            <w14:solidFill>
                              <w14:srgbClr w14:val="219990"/>
                            </w14:solidFill>
                            <w14:prstDash w14:val="solid"/>
                            <w14:bevel/>
                          </w14:textOutline>
                        </w:rPr>
                      </w:pPr>
                    </w:p>
                  </w:txbxContent>
                </v:textbox>
              </v:roundrect>
            </w:pict>
          </mc:Fallback>
        </mc:AlternateContent>
      </w:r>
    </w:p>
    <w:p w14:paraId="2EA13DAE" w14:textId="15A173C2" w:rsidR="004A13F2" w:rsidRPr="000F0299" w:rsidRDefault="00A44A29" w:rsidP="00E83514">
      <w:pPr>
        <w:pStyle w:val="Caption"/>
        <w:ind w:firstLine="0"/>
        <w:rPr>
          <w:rFonts w:ascii="Calibri" w:eastAsia="Times New Roman" w:hAnsi="Calibri"/>
          <w:sz w:val="20"/>
          <w:szCs w:val="20"/>
          <w:lang w:val="sr-Cyrl-RS"/>
        </w:rPr>
        <w:sectPr w:rsidR="004A13F2" w:rsidRPr="000F0299" w:rsidSect="00D050B4">
          <w:headerReference w:type="default" r:id="rId73"/>
          <w:footerReference w:type="default" r:id="rId74"/>
          <w:pgSz w:w="23811" w:h="16838" w:orient="landscape" w:code="8"/>
          <w:pgMar w:top="1417" w:right="1417" w:bottom="1417" w:left="1134" w:header="708" w:footer="708" w:gutter="0"/>
          <w:cols w:space="708"/>
          <w:docGrid w:linePitch="360"/>
        </w:sectPr>
      </w:pPr>
      <w:r>
        <w:rPr>
          <w:noProof/>
          <w:lang w:val="en-US" w:eastAsia="en-US" w:bidi="ar-SA"/>
        </w:rPr>
        <mc:AlternateContent>
          <mc:Choice Requires="wps">
            <w:drawing>
              <wp:anchor distT="0" distB="0" distL="114300" distR="114300" simplePos="0" relativeHeight="252036608" behindDoc="0" locked="0" layoutInCell="1" allowOverlap="1" wp14:anchorId="4A5D823C" wp14:editId="0FE29CC7">
                <wp:simplePos x="0" y="0"/>
                <wp:positionH relativeFrom="margin">
                  <wp:posOffset>4068884</wp:posOffset>
                </wp:positionH>
                <wp:positionV relativeFrom="paragraph">
                  <wp:posOffset>3595546</wp:posOffset>
                </wp:positionV>
                <wp:extent cx="5400040" cy="635"/>
                <wp:effectExtent l="0" t="0" r="0" b="5080"/>
                <wp:wrapNone/>
                <wp:docPr id="364" name="Text Box 364"/>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58E3702A" w14:textId="5AEA0508" w:rsidR="00876FFE" w:rsidRPr="008C0483" w:rsidRDefault="00876FFE" w:rsidP="008C0483">
                            <w:pPr>
                              <w:pStyle w:val="Caption"/>
                              <w:rPr>
                                <w:i w:val="0"/>
                                <w:iCs w:val="0"/>
                              </w:rPr>
                            </w:pPr>
                            <w:bookmarkStart w:id="89" w:name="_Toc57665346"/>
                            <w:r w:rsidRPr="009F44BF">
                              <w:rPr>
                                <w:i w:val="0"/>
                                <w:iCs w:val="0"/>
                              </w:rPr>
                              <w:t xml:space="preserve">Графикон </w:t>
                            </w:r>
                            <w:r w:rsidRPr="009F44BF">
                              <w:rPr>
                                <w:i w:val="0"/>
                                <w:iCs w:val="0"/>
                              </w:rPr>
                              <w:fldChar w:fldCharType="begin"/>
                            </w:r>
                            <w:r w:rsidRPr="009F44BF">
                              <w:rPr>
                                <w:i w:val="0"/>
                                <w:iCs w:val="0"/>
                              </w:rPr>
                              <w:instrText xml:space="preserve"> SEQ Графикон \* ARABIC </w:instrText>
                            </w:r>
                            <w:r w:rsidRPr="009F44BF">
                              <w:rPr>
                                <w:i w:val="0"/>
                                <w:iCs w:val="0"/>
                              </w:rPr>
                              <w:fldChar w:fldCharType="separate"/>
                            </w:r>
                            <w:r>
                              <w:rPr>
                                <w:i w:val="0"/>
                                <w:iCs w:val="0"/>
                                <w:noProof/>
                              </w:rPr>
                              <w:t>10</w:t>
                            </w:r>
                            <w:r w:rsidRPr="009F44BF">
                              <w:rPr>
                                <w:i w:val="0"/>
                                <w:iCs w:val="0"/>
                              </w:rPr>
                              <w:fldChar w:fldCharType="end"/>
                            </w:r>
                            <w:r w:rsidRPr="009F44BF">
                              <w:rPr>
                                <w:i w:val="0"/>
                                <w:iCs w:val="0"/>
                              </w:rPr>
                              <w:t xml:space="preserve"> Обједињено „дрво циљева” Стратегије РЈУ</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5D823C" id="_x0000_t202" coordsize="21600,21600" o:spt="202" path="m,l,21600r21600,l21600,xe">
                <v:stroke joinstyle="miter"/>
                <v:path gradientshapeok="t" o:connecttype="rect"/>
              </v:shapetype>
              <v:shape id="Text Box 364" o:spid="_x0000_s1037" type="#_x0000_t202" style="position:absolute;left:0;text-align:left;margin-left:320.4pt;margin-top:283.1pt;width:425.2pt;height:.05pt;z-index:25203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" stroked="f">
                <v:textbox style="mso-fit-shape-to-text:t" inset="0,0,0,0">
                  <w:txbxContent>
                    <w:p w14:paraId="58E3702A" w14:textId="5AEA0508" w:rsidR="00876FFE" w:rsidRPr="008C0483" w:rsidRDefault="00876FFE" w:rsidP="008C0483">
                      <w:pPr>
                        <w:pStyle w:val="Caption"/>
                        <w:rPr>
                          <w:i w:val="0"/>
                          <w:iCs w:val="0"/>
                        </w:rPr>
                      </w:pPr>
                      <w:bookmarkStart w:id="89" w:name="_Toc57665346"/>
                      <w:r w:rsidRPr="009F44BF">
                        <w:rPr>
                          <w:i w:val="0"/>
                          <w:iCs w:val="0"/>
                        </w:rPr>
                        <w:t xml:space="preserve">Графикон </w:t>
                      </w:r>
                      <w:r w:rsidRPr="009F44BF">
                        <w:rPr>
                          <w:i w:val="0"/>
                          <w:iCs w:val="0"/>
                        </w:rPr>
                        <w:fldChar w:fldCharType="begin"/>
                      </w:r>
                      <w:r w:rsidRPr="009F44BF">
                        <w:rPr>
                          <w:i w:val="0"/>
                          <w:iCs w:val="0"/>
                        </w:rPr>
                        <w:instrText xml:space="preserve"> SEQ Графикон \* ARABIC </w:instrText>
                      </w:r>
                      <w:r w:rsidRPr="009F44BF">
                        <w:rPr>
                          <w:i w:val="0"/>
                          <w:iCs w:val="0"/>
                        </w:rPr>
                        <w:fldChar w:fldCharType="separate"/>
                      </w:r>
                      <w:r>
                        <w:rPr>
                          <w:i w:val="0"/>
                          <w:iCs w:val="0"/>
                          <w:noProof/>
                        </w:rPr>
                        <w:t>10</w:t>
                      </w:r>
                      <w:r w:rsidRPr="009F44BF">
                        <w:rPr>
                          <w:i w:val="0"/>
                          <w:iCs w:val="0"/>
                        </w:rPr>
                        <w:fldChar w:fldCharType="end"/>
                      </w:r>
                      <w:r w:rsidRPr="009F44BF">
                        <w:rPr>
                          <w:i w:val="0"/>
                          <w:iCs w:val="0"/>
                        </w:rPr>
                        <w:t xml:space="preserve"> Обједињено „дрво циљева” Стратегије РЈУ</w:t>
                      </w:r>
                      <w:bookmarkEnd w:id="89"/>
                    </w:p>
                  </w:txbxContent>
                </v:textbox>
                <w10:wrap anchorx="margin"/>
              </v:shape>
            </w:pict>
          </mc:Fallback>
        </mc:AlternateContent>
      </w:r>
      <w:r w:rsidR="00E83514" w:rsidRPr="000F0299">
        <w:rPr>
          <w:rFonts w:ascii="Calibri" w:hAnsi="Calibri"/>
          <w:noProof/>
          <w:sz w:val="20"/>
          <w:lang w:val="en-US" w:eastAsia="en-US" w:bidi="ar-SA"/>
        </w:rPr>
        <mc:AlternateContent>
          <mc:Choice Requires="wpg">
            <w:drawing>
              <wp:anchor distT="0" distB="0" distL="114300" distR="114300" simplePos="0" relativeHeight="251973120" behindDoc="0" locked="0" layoutInCell="1" allowOverlap="1" wp14:anchorId="18DC0D44" wp14:editId="03A545A1">
                <wp:simplePos x="0" y="0"/>
                <wp:positionH relativeFrom="column">
                  <wp:posOffset>4046643</wp:posOffset>
                </wp:positionH>
                <wp:positionV relativeFrom="paragraph">
                  <wp:posOffset>2331297</wp:posOffset>
                </wp:positionV>
                <wp:extent cx="5400674" cy="1668784"/>
                <wp:effectExtent l="0" t="19050" r="0" b="7620"/>
                <wp:wrapNone/>
                <wp:docPr id="51" name="Group 51"/>
                <wp:cNvGraphicFramePr/>
                <a:graphic xmlns:a="http://schemas.openxmlformats.org/drawingml/2006/main">
                  <a:graphicData uri="http://schemas.microsoft.com/office/word/2010/wordprocessingGroup">
                    <wpg:wgp>
                      <wpg:cNvGrpSpPr/>
                      <wpg:grpSpPr>
                        <a:xfrm>
                          <a:off x="0" y="0"/>
                          <a:ext cx="5400674" cy="1668784"/>
                          <a:chOff x="0" y="0"/>
                          <a:chExt cx="5400674" cy="1668784"/>
                        </a:xfrm>
                      </wpg:grpSpPr>
                      <wps:wsp>
                        <wps:cNvPr id="309" name="Text Box 309"/>
                        <wps:cNvSpPr txBox="1"/>
                        <wps:spPr>
                          <a:xfrm>
                            <a:off x="2872317" y="0"/>
                            <a:ext cx="2211705" cy="998220"/>
                          </a:xfrm>
                          <a:prstGeom prst="roundRect">
                            <a:avLst/>
                          </a:prstGeom>
                          <a:solidFill>
                            <a:sysClr val="window" lastClr="FFFFFF"/>
                          </a:solidFill>
                          <a:ln w="38100" cmpd="dbl">
                            <a:solidFill>
                              <a:schemeClr val="accent1">
                                <a:lumMod val="60000"/>
                                <a:lumOff val="40000"/>
                              </a:schemeClr>
                            </a:solidFill>
                          </a:ln>
                          <a:effectLst/>
                        </wps:spPr>
                        <wps:txbx>
                          <w:txbxContent>
                            <w:p w14:paraId="09E34AF9" w14:textId="1BDDC1BF" w:rsidR="00876FFE" w:rsidRPr="00FF1DE2" w:rsidRDefault="00876FFE" w:rsidP="007D6459">
                              <w:pPr>
                                <w:ind w:firstLine="0"/>
                                <w:jc w:val="center"/>
                                <w:rPr>
                                  <w:rFonts w:ascii="Verdana" w:hAnsi="Verdana"/>
                                  <w:bCs/>
                                  <w:sz w:val="21"/>
                                  <w:szCs w:val="21"/>
                                </w:rPr>
                              </w:pPr>
                              <w:r w:rsidRPr="00126907">
                                <w:rPr>
                                  <w:rFonts w:ascii="Verdana" w:hAnsi="Verdana"/>
                                  <w:bCs/>
                                  <w:sz w:val="21"/>
                                  <w:szCs w:val="21"/>
                                </w:rPr>
                                <w:t>АП за СРЈУ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310"/>
                        <wps:cNvSpPr txBox="1"/>
                        <wps:spPr>
                          <a:xfrm>
                            <a:off x="450850" y="0"/>
                            <a:ext cx="2211705" cy="998220"/>
                          </a:xfrm>
                          <a:prstGeom prst="roundRect">
                            <a:avLst/>
                          </a:prstGeom>
                          <a:solidFill>
                            <a:sysClr val="window" lastClr="FFFFFF"/>
                          </a:solidFill>
                          <a:ln w="38100" cmpd="dbl">
                            <a:solidFill>
                              <a:schemeClr val="accent5">
                                <a:lumMod val="40000"/>
                                <a:lumOff val="60000"/>
                              </a:schemeClr>
                            </a:solidFill>
                          </a:ln>
                          <a:effectLst/>
                        </wps:spPr>
                        <wps:txbx>
                          <w:txbxContent>
                            <w:p w14:paraId="2F779869" w14:textId="56DCCABB" w:rsidR="00876FFE" w:rsidRPr="00FF1DE2" w:rsidRDefault="00876FFE" w:rsidP="007D6459">
                              <w:pPr>
                                <w:ind w:firstLine="0"/>
                                <w:jc w:val="center"/>
                                <w:rPr>
                                  <w:rFonts w:ascii="Verdana" w:hAnsi="Verdana"/>
                                  <w:bCs/>
                                  <w:sz w:val="21"/>
                                  <w:szCs w:val="21"/>
                                </w:rPr>
                              </w:pPr>
                              <w:r w:rsidRPr="00126907">
                                <w:rPr>
                                  <w:rFonts w:ascii="Verdana" w:hAnsi="Verdana"/>
                                  <w:bCs/>
                                  <w:sz w:val="21"/>
                                  <w:szCs w:val="21"/>
                                </w:rPr>
                                <w:t>АП за СРЈУ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2"/>
                        <wps:cNvSpPr txBox="1">
                          <a:spLocks noChangeArrowheads="1"/>
                        </wps:cNvSpPr>
                        <wps:spPr bwMode="auto">
                          <a:xfrm>
                            <a:off x="0" y="1292865"/>
                            <a:ext cx="5400674" cy="375919"/>
                          </a:xfrm>
                          <a:prstGeom prst="rect">
                            <a:avLst/>
                          </a:prstGeom>
                          <a:solidFill>
                            <a:srgbClr val="FFFFFF"/>
                          </a:solidFill>
                          <a:ln w="9525">
                            <a:noFill/>
                            <a:miter lim="800000"/>
                            <a:headEnd/>
                            <a:tailEnd/>
                          </a:ln>
                        </wps:spPr>
                        <wps:txbx>
                          <w:txbxContent>
                            <w:p w14:paraId="0875B064" w14:textId="2E51A8A3" w:rsidR="00876FFE" w:rsidRPr="001631CD" w:rsidRDefault="00876FFE" w:rsidP="00E83514">
                              <w:pPr>
                                <w:jc w:val="left"/>
                                <w:rPr>
                                  <w:sz w:val="22"/>
                                  <w:szCs w:val="22"/>
                                </w:rPr>
                              </w:pPr>
                            </w:p>
                          </w:txbxContent>
                        </wps:txbx>
                        <wps:bodyPr rot="0" vert="horz" wrap="square" lIns="91440" tIns="45720" rIns="91440" bIns="45720" anchor="t" anchorCtr="0">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DC0D44" id="Group 51" o:spid="_x0000_s1038" style="position:absolute;left:0;text-align:left;margin-left:318.65pt;margin-top:183.55pt;width:425.25pt;height:131.4pt;z-index:251973120" coordsize="54006,1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">
                <v:roundrect id="Text Box 309" o:spid="_x0000_s1039" style="position:absolute;left:28723;width:22117;height:9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" fillcolor="window" strokecolor="#8eaadb [1940]" strokeweight="3pt">
                  <v:stroke linestyle="thinThin"/>
                  <v:textbox>
                    <w:txbxContent>
                      <w:p w14:paraId="09E34AF9" w14:textId="1BDDC1BF" w:rsidR="00876FFE" w:rsidRPr="00FF1DE2" w:rsidRDefault="00876FFE" w:rsidP="007D6459">
                        <w:pPr>
                          <w:ind w:firstLine="0"/>
                          <w:jc w:val="center"/>
                          <w:rPr>
                            <w:rFonts w:ascii="Verdana" w:hAnsi="Verdana"/>
                            <w:bCs/>
                            <w:sz w:val="21"/>
                            <w:szCs w:val="21"/>
                          </w:rPr>
                        </w:pPr>
                        <w:r w:rsidRPr="00126907">
                          <w:rPr>
                            <w:rFonts w:ascii="Verdana" w:hAnsi="Verdana"/>
                            <w:bCs/>
                            <w:sz w:val="21"/>
                            <w:szCs w:val="21"/>
                          </w:rPr>
                          <w:t>АП за СРЈУ</w:t>
                        </w:r>
                      </w:p>
                    </w:txbxContent>
                  </v:textbox>
                </v:roundrect>
                <v:roundrect id="Text Box 310" o:spid="_x0000_s1040" style="position:absolute;left:4508;width:22117;height:9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" fillcolor="window" strokecolor="#bdd6ee [1304]" strokeweight="3pt">
                  <v:stroke linestyle="thinThin"/>
                  <v:textbox>
                    <w:txbxContent>
                      <w:p w14:paraId="2F779869" w14:textId="56DCCABB" w:rsidR="00876FFE" w:rsidRPr="00FF1DE2" w:rsidRDefault="00876FFE" w:rsidP="007D6459">
                        <w:pPr>
                          <w:ind w:firstLine="0"/>
                          <w:jc w:val="center"/>
                          <w:rPr>
                            <w:rFonts w:ascii="Verdana" w:hAnsi="Verdana"/>
                            <w:bCs/>
                            <w:sz w:val="21"/>
                            <w:szCs w:val="21"/>
                          </w:rPr>
                        </w:pPr>
                        <w:r w:rsidRPr="00126907">
                          <w:rPr>
                            <w:rFonts w:ascii="Verdana" w:hAnsi="Verdana"/>
                            <w:bCs/>
                            <w:sz w:val="21"/>
                            <w:szCs w:val="21"/>
                          </w:rPr>
                          <w:t xml:space="preserve">АП </w:t>
                        </w:r>
                        <w:r w:rsidRPr="00126907">
                          <w:rPr>
                            <w:rFonts w:ascii="Verdana" w:hAnsi="Verdana"/>
                            <w:bCs/>
                            <w:sz w:val="21"/>
                            <w:szCs w:val="21"/>
                          </w:rPr>
                          <w:t>за СРЈУ</w:t>
                        </w:r>
                      </w:p>
                    </w:txbxContent>
                  </v:textbox>
                </v:roundrect>
                <v:shape id="Text Box 2" o:spid="_x0000_s1041" type="#_x0000_t202" style="position:absolute;top:12928;width:5400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" stroked="f">
                  <v:textbox style="mso-fit-shape-to-text:t">
                    <w:txbxContent>
                      <w:p w14:paraId="0875B064" w14:textId="2E51A8A3" w:rsidR="00876FFE" w:rsidRPr="001631CD" w:rsidRDefault="00876FFE" w:rsidP="00E83514">
                        <w:pPr>
                          <w:jc w:val="left"/>
                          <w:rPr>
                            <w:sz w:val="22"/>
                            <w:szCs w:val="22"/>
                          </w:rPr>
                        </w:pPr>
                      </w:p>
                    </w:txbxContent>
                  </v:textbox>
                </v:shape>
              </v:group>
            </w:pict>
          </mc:Fallback>
        </mc:AlternateContent>
      </w:r>
      <w:r w:rsidR="00D04150" w:rsidRPr="000F0299">
        <w:rPr>
          <w:rFonts w:ascii="Calibri" w:hAnsi="Calibri"/>
          <w:noProof/>
          <w:sz w:val="20"/>
          <w:lang w:val="en-US" w:eastAsia="en-US" w:bidi="ar-SA"/>
        </w:rPr>
        <mc:AlternateContent>
          <mc:Choice Requires="wps">
            <w:drawing>
              <wp:anchor distT="0" distB="0" distL="114300" distR="114300" simplePos="0" relativeHeight="251430400" behindDoc="0" locked="0" layoutInCell="1" allowOverlap="1" wp14:anchorId="5EE020E6" wp14:editId="766CE1F7">
                <wp:simplePos x="0" y="0"/>
                <wp:positionH relativeFrom="column">
                  <wp:posOffset>11729720</wp:posOffset>
                </wp:positionH>
                <wp:positionV relativeFrom="paragraph">
                  <wp:posOffset>2333625</wp:posOffset>
                </wp:positionV>
                <wp:extent cx="2211705" cy="998220"/>
                <wp:effectExtent l="19050" t="19050" r="17145" b="11430"/>
                <wp:wrapNone/>
                <wp:docPr id="813" name="Text Box 813"/>
                <wp:cNvGraphicFramePr/>
                <a:graphic xmlns:a="http://schemas.openxmlformats.org/drawingml/2006/main">
                  <a:graphicData uri="http://schemas.microsoft.com/office/word/2010/wordprocessingShape">
                    <wps:wsp>
                      <wps:cNvSpPr txBox="1"/>
                      <wps:spPr>
                        <a:xfrm>
                          <a:off x="0" y="0"/>
                          <a:ext cx="2211705" cy="998220"/>
                        </a:xfrm>
                        <a:prstGeom prst="roundRect">
                          <a:avLst/>
                        </a:prstGeom>
                        <a:solidFill>
                          <a:srgbClr val="6C7781"/>
                        </a:solidFill>
                        <a:ln w="38100" cmpd="dbl">
                          <a:solidFill>
                            <a:srgbClr val="636D77"/>
                          </a:solidFill>
                        </a:ln>
                        <a:effectLst/>
                      </wps:spPr>
                      <wps:txbx>
                        <w:txbxContent>
                          <w:p w14:paraId="56CF2002" w14:textId="341B75C4" w:rsidR="00876FFE" w:rsidRPr="00F25C19" w:rsidRDefault="00876FFE" w:rsidP="007D6459">
                            <w:pPr>
                              <w:ind w:firstLine="0"/>
                              <w:jc w:val="center"/>
                              <w:rPr>
                                <w:rFonts w:ascii="Verdana" w:hAnsi="Verdana"/>
                                <w:bCs/>
                                <w:color w:val="FFFFFF" w:themeColor="background1"/>
                                <w:sz w:val="21"/>
                                <w:szCs w:val="21"/>
                              </w:rPr>
                            </w:pPr>
                            <w:r w:rsidRPr="00F25C19">
                              <w:rPr>
                                <w:rFonts w:ascii="Verdana" w:hAnsi="Verdana"/>
                                <w:bCs/>
                                <w:color w:val="FFFFFF" w:themeColor="background1"/>
                                <w:sz w:val="21"/>
                                <w:szCs w:val="21"/>
                              </w:rPr>
                              <w:t>Програм реформе система локалне самоуправе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E020E6" id="Text Box 813" o:spid="_x0000_s1042" style="position:absolute;left:0;text-align:left;margin-left:923.6pt;margin-top:183.75pt;width:174.15pt;height:78.6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" fillcolor="#6c7781" strokecolor="#636d77" strokeweight="3pt">
                <v:stroke linestyle="thinThin"/>
                <v:textbox>
                  <w:txbxContent>
                    <w:p w14:paraId="56CF2002" w14:textId="341B75C4" w:rsidR="00876FFE" w:rsidRPr="00F25C19" w:rsidRDefault="00876FFE" w:rsidP="007D6459">
                      <w:pPr>
                        <w:ind w:firstLine="0"/>
                        <w:jc w:val="center"/>
                        <w:rPr>
                          <w:rFonts w:ascii="Verdana" w:hAnsi="Verdana"/>
                          <w:bCs/>
                          <w:color w:val="FFFFFF" w:themeColor="background1"/>
                          <w:sz w:val="21"/>
                          <w:szCs w:val="21"/>
                        </w:rPr>
                      </w:pPr>
                      <w:r w:rsidRPr="00F25C19">
                        <w:rPr>
                          <w:rFonts w:ascii="Verdana" w:hAnsi="Verdana"/>
                          <w:bCs/>
                          <w:color w:val="FFFFFF" w:themeColor="background1"/>
                          <w:sz w:val="21"/>
                          <w:szCs w:val="21"/>
                        </w:rPr>
                        <w:t xml:space="preserve">Програм </w:t>
                      </w:r>
                      <w:r w:rsidRPr="00F25C19">
                        <w:rPr>
                          <w:rFonts w:ascii="Verdana" w:hAnsi="Verdana"/>
                          <w:bCs/>
                          <w:color w:val="FFFFFF" w:themeColor="background1"/>
                          <w:sz w:val="21"/>
                          <w:szCs w:val="21"/>
                        </w:rPr>
                        <w:t>реформе система локалне самоуправе</w:t>
                      </w:r>
                    </w:p>
                  </w:txbxContent>
                </v:textbox>
              </v:roundrect>
            </w:pict>
          </mc:Fallback>
        </mc:AlternateContent>
      </w:r>
      <w:r w:rsidR="00D04150" w:rsidRPr="000F0299">
        <w:rPr>
          <w:rFonts w:ascii="Calibri" w:hAnsi="Calibri"/>
          <w:noProof/>
          <w:sz w:val="20"/>
          <w:lang w:val="en-US" w:eastAsia="en-US" w:bidi="ar-SA"/>
        </w:rPr>
        <mc:AlternateContent>
          <mc:Choice Requires="wps">
            <w:drawing>
              <wp:anchor distT="0" distB="0" distL="114300" distR="114300" simplePos="0" relativeHeight="251434496" behindDoc="0" locked="0" layoutInCell="1" allowOverlap="1" wp14:anchorId="0BEC3AF6" wp14:editId="4A25AE93">
                <wp:simplePos x="0" y="0"/>
                <wp:positionH relativeFrom="column">
                  <wp:posOffset>9323705</wp:posOffset>
                </wp:positionH>
                <wp:positionV relativeFrom="paragraph">
                  <wp:posOffset>2333625</wp:posOffset>
                </wp:positionV>
                <wp:extent cx="2211705" cy="998220"/>
                <wp:effectExtent l="19050" t="19050" r="17145" b="11430"/>
                <wp:wrapNone/>
                <wp:docPr id="799" name="Text Box 799"/>
                <wp:cNvGraphicFramePr/>
                <a:graphic xmlns:a="http://schemas.openxmlformats.org/drawingml/2006/main">
                  <a:graphicData uri="http://schemas.microsoft.com/office/word/2010/wordprocessingShape">
                    <wps:wsp>
                      <wps:cNvSpPr txBox="1"/>
                      <wps:spPr>
                        <a:xfrm>
                          <a:off x="0" y="0"/>
                          <a:ext cx="2211705" cy="998220"/>
                        </a:xfrm>
                        <a:prstGeom prst="roundRect">
                          <a:avLst/>
                        </a:prstGeom>
                        <a:solidFill>
                          <a:srgbClr val="839DCC"/>
                        </a:solidFill>
                        <a:ln w="38100" cmpd="dbl">
                          <a:solidFill>
                            <a:srgbClr val="6283BE"/>
                          </a:solidFill>
                        </a:ln>
                        <a:effectLst/>
                      </wps:spPr>
                      <wps:txbx>
                        <w:txbxContent>
                          <w:p w14:paraId="772368D2" w14:textId="255E7782" w:rsidR="00876FFE" w:rsidRPr="00FF1DE2" w:rsidRDefault="00876FFE" w:rsidP="007D6459">
                            <w:pPr>
                              <w:ind w:firstLine="0"/>
                              <w:jc w:val="center"/>
                              <w:rPr>
                                <w:rFonts w:ascii="Verdana" w:hAnsi="Verdana"/>
                                <w:bCs/>
                                <w:sz w:val="21"/>
                                <w:szCs w:val="21"/>
                              </w:rPr>
                            </w:pPr>
                            <w:r w:rsidRPr="00126907">
                              <w:rPr>
                                <w:rFonts w:ascii="Verdana" w:hAnsi="Verdana"/>
                                <w:bCs/>
                                <w:sz w:val="21"/>
                                <w:szCs w:val="21"/>
                              </w:rPr>
                              <w:t>Програм управљања јавним финансијама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EC3AF6" id="Text Box 799" o:spid="_x0000_s1043" style="position:absolute;left:0;text-align:left;margin-left:734.15pt;margin-top:183.75pt;width:174.15pt;height:78.6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" fillcolor="#839dcc" strokecolor="#6283be" strokeweight="3pt">
                <v:stroke linestyle="thinThin"/>
                <v:textbox>
                  <w:txbxContent>
                    <w:p w14:paraId="772368D2" w14:textId="255E7782" w:rsidR="00876FFE" w:rsidRPr="00FF1DE2" w:rsidRDefault="00876FFE" w:rsidP="007D6459">
                      <w:pPr>
                        <w:ind w:firstLine="0"/>
                        <w:jc w:val="center"/>
                        <w:rPr>
                          <w:rFonts w:ascii="Verdana" w:hAnsi="Verdana"/>
                          <w:bCs/>
                          <w:sz w:val="21"/>
                          <w:szCs w:val="21"/>
                        </w:rPr>
                      </w:pPr>
                      <w:r w:rsidRPr="00126907">
                        <w:rPr>
                          <w:rFonts w:ascii="Verdana" w:hAnsi="Verdana"/>
                          <w:bCs/>
                          <w:sz w:val="21"/>
                          <w:szCs w:val="21"/>
                        </w:rPr>
                        <w:t xml:space="preserve">Програм </w:t>
                      </w:r>
                      <w:r w:rsidRPr="00126907">
                        <w:rPr>
                          <w:rFonts w:ascii="Verdana" w:hAnsi="Verdana"/>
                          <w:bCs/>
                          <w:sz w:val="21"/>
                          <w:szCs w:val="21"/>
                        </w:rPr>
                        <w:t>управљања јавним финансијама</w:t>
                      </w:r>
                    </w:p>
                  </w:txbxContent>
                </v:textbox>
              </v:roundrect>
            </w:pict>
          </mc:Fallback>
        </mc:AlternateContent>
      </w:r>
      <w:r w:rsidR="00D04150" w:rsidRPr="000F0299">
        <w:rPr>
          <w:rFonts w:ascii="Calibri" w:hAnsi="Calibri"/>
          <w:noProof/>
          <w:sz w:val="20"/>
          <w:lang w:val="en-US" w:eastAsia="en-US" w:bidi="ar-SA"/>
        </w:rPr>
        <mc:AlternateContent>
          <mc:Choice Requires="wps">
            <w:drawing>
              <wp:anchor distT="0" distB="0" distL="114300" distR="114300" simplePos="0" relativeHeight="251433472" behindDoc="0" locked="0" layoutInCell="1" allowOverlap="1" wp14:anchorId="35DCEE4E" wp14:editId="22A72255">
                <wp:simplePos x="0" y="0"/>
                <wp:positionH relativeFrom="column">
                  <wp:posOffset>2092960</wp:posOffset>
                </wp:positionH>
                <wp:positionV relativeFrom="paragraph">
                  <wp:posOffset>2333625</wp:posOffset>
                </wp:positionV>
                <wp:extent cx="2211705" cy="998220"/>
                <wp:effectExtent l="19050" t="19050" r="17145" b="11430"/>
                <wp:wrapNone/>
                <wp:docPr id="798" name="Text Box 798"/>
                <wp:cNvGraphicFramePr/>
                <a:graphic xmlns:a="http://schemas.openxmlformats.org/drawingml/2006/main">
                  <a:graphicData uri="http://schemas.microsoft.com/office/word/2010/wordprocessingShape">
                    <wps:wsp>
                      <wps:cNvSpPr txBox="1"/>
                      <wps:spPr>
                        <a:xfrm>
                          <a:off x="0" y="0"/>
                          <a:ext cx="2211705" cy="998220"/>
                        </a:xfrm>
                        <a:prstGeom prst="roundRect">
                          <a:avLst/>
                        </a:prstGeom>
                        <a:solidFill>
                          <a:sysClr val="window" lastClr="FFFFFF"/>
                        </a:solidFill>
                        <a:ln w="38100" cmpd="dbl">
                          <a:solidFill>
                            <a:schemeClr val="bg1">
                              <a:lumMod val="50000"/>
                            </a:schemeClr>
                          </a:solidFill>
                        </a:ln>
                        <a:effectLst/>
                      </wps:spPr>
                      <wps:txbx>
                        <w:txbxContent>
                          <w:p w14:paraId="2B388991" w14:textId="1A520028" w:rsidR="00876FFE" w:rsidRPr="00FF1DE2" w:rsidRDefault="00876FFE" w:rsidP="007D6459">
                            <w:pPr>
                              <w:ind w:firstLine="0"/>
                              <w:jc w:val="center"/>
                              <w:rPr>
                                <w:rFonts w:ascii="Verdana" w:hAnsi="Verdana"/>
                                <w:bCs/>
                                <w:sz w:val="21"/>
                                <w:szCs w:val="21"/>
                              </w:rPr>
                            </w:pPr>
                            <w:r w:rsidRPr="00126907">
                              <w:rPr>
                                <w:rFonts w:ascii="Verdana" w:hAnsi="Verdana"/>
                                <w:bCs/>
                                <w:sz w:val="21"/>
                                <w:szCs w:val="21"/>
                              </w:rPr>
                              <w:t>АП за СРЈУ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DCEE4E" id="Text Box 798" o:spid="_x0000_s1044" style="position:absolute;left:0;text-align:left;margin-left:164.8pt;margin-top:183.75pt;width:174.15pt;height:78.6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" fillcolor="window" strokecolor="#7f7f7f [1612]" strokeweight="3pt">
                <v:stroke linestyle="thinThin"/>
                <v:textbox>
                  <w:txbxContent>
                    <w:p w14:paraId="2B388991" w14:textId="1A520028" w:rsidR="00876FFE" w:rsidRPr="00FF1DE2" w:rsidRDefault="00876FFE" w:rsidP="007D6459">
                      <w:pPr>
                        <w:ind w:firstLine="0"/>
                        <w:jc w:val="center"/>
                        <w:rPr>
                          <w:rFonts w:ascii="Verdana" w:hAnsi="Verdana"/>
                          <w:bCs/>
                          <w:sz w:val="21"/>
                          <w:szCs w:val="21"/>
                        </w:rPr>
                      </w:pPr>
                      <w:r w:rsidRPr="00126907">
                        <w:rPr>
                          <w:rFonts w:ascii="Verdana" w:hAnsi="Verdana"/>
                          <w:bCs/>
                          <w:sz w:val="21"/>
                          <w:szCs w:val="21"/>
                        </w:rPr>
                        <w:t xml:space="preserve">АП </w:t>
                      </w:r>
                      <w:r w:rsidRPr="00126907">
                        <w:rPr>
                          <w:rFonts w:ascii="Verdana" w:hAnsi="Verdana"/>
                          <w:bCs/>
                          <w:sz w:val="21"/>
                          <w:szCs w:val="21"/>
                        </w:rPr>
                        <w:t>за СРЈУ</w:t>
                      </w:r>
                    </w:p>
                  </w:txbxContent>
                </v:textbox>
              </v:roundrect>
            </w:pict>
          </mc:Fallback>
        </mc:AlternateContent>
      </w:r>
      <w:r w:rsidR="00D04150" w:rsidRPr="000F0299">
        <w:rPr>
          <w:rFonts w:ascii="Calibri" w:hAnsi="Calibri"/>
          <w:noProof/>
          <w:sz w:val="20"/>
          <w:lang w:val="en-US" w:eastAsia="en-US" w:bidi="ar-SA"/>
        </w:rPr>
        <mc:AlternateContent>
          <mc:Choice Requires="wps">
            <w:drawing>
              <wp:anchor distT="0" distB="0" distL="114300" distR="114300" simplePos="0" relativeHeight="251429376" behindDoc="0" locked="0" layoutInCell="1" allowOverlap="1" wp14:anchorId="127DBD7E" wp14:editId="00DCE40F">
                <wp:simplePos x="0" y="0"/>
                <wp:positionH relativeFrom="column">
                  <wp:posOffset>-311785</wp:posOffset>
                </wp:positionH>
                <wp:positionV relativeFrom="paragraph">
                  <wp:posOffset>2333716</wp:posOffset>
                </wp:positionV>
                <wp:extent cx="2211705" cy="998220"/>
                <wp:effectExtent l="19050" t="19050" r="17145" b="11430"/>
                <wp:wrapNone/>
                <wp:docPr id="308" name="Text Box 308"/>
                <wp:cNvGraphicFramePr/>
                <a:graphic xmlns:a="http://schemas.openxmlformats.org/drawingml/2006/main">
                  <a:graphicData uri="http://schemas.microsoft.com/office/word/2010/wordprocessingShape">
                    <wps:wsp>
                      <wps:cNvSpPr txBox="1"/>
                      <wps:spPr>
                        <a:xfrm>
                          <a:off x="0" y="0"/>
                          <a:ext cx="2211705" cy="998220"/>
                        </a:xfrm>
                        <a:prstGeom prst="roundRect">
                          <a:avLst/>
                        </a:prstGeom>
                        <a:solidFill>
                          <a:schemeClr val="bg2"/>
                        </a:solidFill>
                        <a:ln w="38100" cmpd="dbl">
                          <a:solidFill>
                            <a:schemeClr val="bg2">
                              <a:lumMod val="75000"/>
                            </a:schemeClr>
                          </a:solidFill>
                        </a:ln>
                        <a:effectLst/>
                      </wps:spPr>
                      <wps:txbx>
                        <w:txbxContent>
                          <w:p w14:paraId="7E9FA90F" w14:textId="77777777" w:rsidR="00876FFE" w:rsidRPr="00126907" w:rsidRDefault="00876FFE" w:rsidP="007D6459">
                            <w:pPr>
                              <w:ind w:firstLine="0"/>
                              <w:jc w:val="center"/>
                              <w:rPr>
                                <w:rFonts w:ascii="Verdana" w:hAnsi="Verdana"/>
                                <w:bCs/>
                                <w:sz w:val="21"/>
                                <w:szCs w:val="21"/>
                              </w:rPr>
                            </w:pPr>
                            <w:r w:rsidRPr="00126907">
                              <w:rPr>
                                <w:rFonts w:ascii="Verdana" w:hAnsi="Verdana"/>
                                <w:bCs/>
                                <w:sz w:val="21"/>
                                <w:szCs w:val="21"/>
                              </w:rPr>
                              <w:t>Програм за регулаторну реформу и управљање јавним политикама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7DBD7E" id="Text Box 308" o:spid="_x0000_s1045" style="position:absolute;left:0;text-align:left;margin-left:-24.55pt;margin-top:183.75pt;width:174.15pt;height:78.6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" fillcolor="#e7e6e6 [3214]" strokecolor="#aeaaaa [2414]" strokeweight="3pt">
                <v:stroke linestyle="thinThin"/>
                <v:textbox>
                  <w:txbxContent>
                    <w:p w14:paraId="7E9FA90F" w14:textId="77777777" w:rsidR="00876FFE" w:rsidRPr="00126907" w:rsidRDefault="00876FFE" w:rsidP="007D6459">
                      <w:pPr>
                        <w:ind w:firstLine="0"/>
                        <w:jc w:val="center"/>
                        <w:rPr>
                          <w:rFonts w:ascii="Verdana" w:hAnsi="Verdana"/>
                          <w:bCs/>
                          <w:sz w:val="21"/>
                          <w:szCs w:val="21"/>
                        </w:rPr>
                      </w:pPr>
                      <w:r w:rsidRPr="00126907">
                        <w:rPr>
                          <w:rFonts w:ascii="Verdana" w:hAnsi="Verdana"/>
                          <w:bCs/>
                          <w:sz w:val="21"/>
                          <w:szCs w:val="21"/>
                        </w:rPr>
                        <w:t xml:space="preserve">Програм </w:t>
                      </w:r>
                      <w:r w:rsidRPr="00126907">
                        <w:rPr>
                          <w:rFonts w:ascii="Verdana" w:hAnsi="Verdana"/>
                          <w:bCs/>
                          <w:sz w:val="21"/>
                          <w:szCs w:val="21"/>
                        </w:rPr>
                        <w:t>за регулаторну реформу и управљање јавним политикама</w:t>
                      </w:r>
                    </w:p>
                  </w:txbxContent>
                </v:textbox>
              </v:roundrect>
            </w:pict>
          </mc:Fallback>
        </mc:AlternateContent>
      </w:r>
    </w:p>
    <w:p w14:paraId="23F34870" w14:textId="78F418AC" w:rsidR="004C1AEB" w:rsidRPr="000F0299" w:rsidRDefault="004C1AEB" w:rsidP="004C1AEB">
      <w:pPr>
        <w:pStyle w:val="Heading2"/>
        <w:rPr>
          <w:lang w:val="sr-Cyrl-RS"/>
        </w:rPr>
      </w:pPr>
      <w:bookmarkStart w:id="90" w:name="_Toc57661471"/>
      <w:bookmarkStart w:id="91" w:name="_Toc40182231"/>
      <w:bookmarkStart w:id="92" w:name="_Toc40183048"/>
      <w:bookmarkStart w:id="93" w:name="_Toc40613446"/>
      <w:r w:rsidRPr="000F0299">
        <w:rPr>
          <w:lang w:val="sr-Cyrl-RS"/>
        </w:rPr>
        <w:t>Показатељи исхода Стратегије РЈУ</w:t>
      </w:r>
      <w:bookmarkEnd w:id="90"/>
    </w:p>
    <w:p w14:paraId="545B5984" w14:textId="50CBD91D" w:rsidR="00E83514" w:rsidRPr="00EC3C52" w:rsidRDefault="00E83514" w:rsidP="00E83514">
      <w:pPr>
        <w:pStyle w:val="Caption"/>
        <w:keepNext/>
        <w:spacing w:after="0"/>
        <w:rPr>
          <w:i w:val="0"/>
          <w:iCs w:val="0"/>
          <w:lang w:val="sr-Cyrl-RS"/>
        </w:rPr>
      </w:pPr>
      <w:bookmarkStart w:id="94" w:name="_Toc57665375"/>
      <w:r w:rsidRPr="00EC3C52">
        <w:rPr>
          <w:i w:val="0"/>
          <w:iCs w:val="0"/>
          <w:lang w:val="sr-Cyrl-RS"/>
        </w:rPr>
        <w:t xml:space="preserve">Табела </w:t>
      </w:r>
      <w:r w:rsidRPr="00EC3C52">
        <w:rPr>
          <w:i w:val="0"/>
          <w:iCs w:val="0"/>
          <w:lang w:val="sr-Cyrl-RS"/>
        </w:rPr>
        <w:fldChar w:fldCharType="begin"/>
      </w:r>
      <w:r w:rsidRPr="00EC3C52">
        <w:rPr>
          <w:i w:val="0"/>
          <w:iCs w:val="0"/>
          <w:lang w:val="sr-Cyrl-RS"/>
        </w:rPr>
        <w:instrText xml:space="preserve"> SEQ Табела \* ARABIC </w:instrText>
      </w:r>
      <w:r w:rsidRPr="00EC3C52">
        <w:rPr>
          <w:i w:val="0"/>
          <w:iCs w:val="0"/>
          <w:lang w:val="sr-Cyrl-RS"/>
        </w:rPr>
        <w:fldChar w:fldCharType="separate"/>
      </w:r>
      <w:r w:rsidR="00772172" w:rsidRPr="00EC3C52">
        <w:rPr>
          <w:i w:val="0"/>
          <w:iCs w:val="0"/>
          <w:noProof/>
          <w:lang w:val="sr-Cyrl-RS"/>
        </w:rPr>
        <w:t>3</w:t>
      </w:r>
      <w:r w:rsidRPr="00EC3C52">
        <w:rPr>
          <w:i w:val="0"/>
          <w:iCs w:val="0"/>
          <w:lang w:val="sr-Cyrl-RS"/>
        </w:rPr>
        <w:fldChar w:fldCharType="end"/>
      </w:r>
      <w:r w:rsidRPr="00EC3C52">
        <w:rPr>
          <w:i w:val="0"/>
          <w:iCs w:val="0"/>
          <w:lang w:val="sr-Cyrl-RS"/>
        </w:rPr>
        <w:t xml:space="preserve"> </w:t>
      </w:r>
      <w:r w:rsidR="007D6459" w:rsidRPr="00EC3C52">
        <w:rPr>
          <w:i w:val="0"/>
          <w:iCs w:val="0"/>
          <w:lang w:val="sr-Cyrl-RS"/>
        </w:rPr>
        <w:t>Показатељи исхода</w:t>
      </w:r>
      <w:r w:rsidRPr="00EC3C52">
        <w:rPr>
          <w:i w:val="0"/>
          <w:iCs w:val="0"/>
          <w:lang w:val="sr-Cyrl-RS"/>
        </w:rPr>
        <w:t xml:space="preserve"> за Стратегију РЈУ</w:t>
      </w:r>
      <w:bookmarkEnd w:id="94"/>
    </w:p>
    <w:tbl>
      <w:tblPr>
        <w:tblStyle w:val="TableGridLight"/>
        <w:tblW w:w="5059" w:type="pct"/>
        <w:tblLayout w:type="fixed"/>
        <w:tblLook w:val="06A0" w:firstRow="1" w:lastRow="0" w:firstColumn="1" w:lastColumn="0" w:noHBand="1" w:noVBand="1"/>
      </w:tblPr>
      <w:tblGrid>
        <w:gridCol w:w="4451"/>
        <w:gridCol w:w="1375"/>
        <w:gridCol w:w="1228"/>
        <w:gridCol w:w="1228"/>
        <w:gridCol w:w="1228"/>
        <w:gridCol w:w="1228"/>
        <w:gridCol w:w="1228"/>
        <w:gridCol w:w="1228"/>
        <w:gridCol w:w="1231"/>
        <w:gridCol w:w="20"/>
      </w:tblGrid>
      <w:tr w:rsidR="00565392" w:rsidRPr="000F0299" w14:paraId="407BE1C1" w14:textId="77777777" w:rsidTr="000132F3">
        <w:trPr>
          <w:gridAfter w:val="1"/>
          <w:wAfter w:w="7" w:type="pct"/>
        </w:trPr>
        <w:tc>
          <w:tcPr>
            <w:tcW w:w="1541" w:type="pct"/>
          </w:tcPr>
          <w:p w14:paraId="427639E3" w14:textId="77777777" w:rsidR="00565392" w:rsidRPr="000F0299" w:rsidRDefault="00565392" w:rsidP="00565392">
            <w:pPr>
              <w:spacing w:before="0"/>
              <w:ind w:firstLine="0"/>
              <w:jc w:val="center"/>
              <w:rPr>
                <w:rFonts w:eastAsia="Times New Roman"/>
                <w:b/>
                <w:bCs/>
                <w:sz w:val="22"/>
                <w:szCs w:val="22"/>
                <w:lang w:eastAsia="de-DE"/>
              </w:rPr>
            </w:pPr>
            <w:bookmarkStart w:id="95" w:name="_Hlk56806777"/>
            <w:r w:rsidRPr="000F0299">
              <w:rPr>
                <w:rFonts w:eastAsia="Times New Roman"/>
                <w:b/>
                <w:bCs/>
                <w:sz w:val="22"/>
                <w:szCs w:val="22"/>
                <w:lang w:eastAsia="de-DE"/>
              </w:rPr>
              <w:t>Показатељ исхода за СРЈУ</w:t>
            </w:r>
          </w:p>
        </w:tc>
        <w:tc>
          <w:tcPr>
            <w:tcW w:w="476" w:type="pct"/>
          </w:tcPr>
          <w:p w14:paraId="4C978691" w14:textId="77777777" w:rsidR="00565392" w:rsidRPr="000F0299" w:rsidRDefault="00565392" w:rsidP="00565392">
            <w:pPr>
              <w:spacing w:before="0"/>
              <w:ind w:firstLine="0"/>
              <w:jc w:val="center"/>
              <w:rPr>
                <w:rFonts w:eastAsia="Times New Roman"/>
                <w:b/>
                <w:bCs/>
                <w:sz w:val="22"/>
                <w:szCs w:val="22"/>
                <w:lang w:eastAsia="de-DE"/>
              </w:rPr>
            </w:pPr>
            <w:r w:rsidRPr="000F0299">
              <w:rPr>
                <w:rFonts w:eastAsia="Times New Roman"/>
                <w:b/>
                <w:bCs/>
                <w:sz w:val="22"/>
                <w:szCs w:val="22"/>
                <w:lang w:eastAsia="de-DE"/>
              </w:rPr>
              <w:t>ПВ</w:t>
            </w:r>
          </w:p>
        </w:tc>
        <w:tc>
          <w:tcPr>
            <w:tcW w:w="425" w:type="pct"/>
          </w:tcPr>
          <w:p w14:paraId="6C123EFE" w14:textId="77777777" w:rsidR="00565392" w:rsidRPr="000F0299" w:rsidRDefault="00565392" w:rsidP="00565392">
            <w:pPr>
              <w:spacing w:before="0"/>
              <w:ind w:firstLine="0"/>
              <w:jc w:val="center"/>
              <w:rPr>
                <w:rFonts w:eastAsia="Times New Roman"/>
                <w:b/>
                <w:bCs/>
                <w:sz w:val="22"/>
                <w:szCs w:val="22"/>
                <w:lang w:eastAsia="de-DE"/>
              </w:rPr>
            </w:pPr>
            <w:r w:rsidRPr="000F0299">
              <w:rPr>
                <w:rFonts w:eastAsia="Times New Roman"/>
                <w:b/>
                <w:bCs/>
                <w:sz w:val="22"/>
                <w:szCs w:val="22"/>
                <w:lang w:eastAsia="de-DE"/>
              </w:rPr>
              <w:t>2021</w:t>
            </w:r>
          </w:p>
        </w:tc>
        <w:tc>
          <w:tcPr>
            <w:tcW w:w="425" w:type="pct"/>
          </w:tcPr>
          <w:p w14:paraId="130779B5" w14:textId="77777777" w:rsidR="00565392" w:rsidRPr="000F0299" w:rsidRDefault="00565392" w:rsidP="00565392">
            <w:pPr>
              <w:spacing w:before="0"/>
              <w:ind w:firstLine="0"/>
              <w:jc w:val="center"/>
              <w:rPr>
                <w:rFonts w:eastAsia="Times New Roman"/>
                <w:b/>
                <w:bCs/>
                <w:sz w:val="22"/>
                <w:szCs w:val="22"/>
                <w:lang w:eastAsia="de-DE"/>
              </w:rPr>
            </w:pPr>
            <w:r w:rsidRPr="000F0299">
              <w:rPr>
                <w:rFonts w:eastAsia="Times New Roman"/>
                <w:b/>
                <w:bCs/>
                <w:sz w:val="22"/>
                <w:szCs w:val="22"/>
                <w:lang w:eastAsia="de-DE"/>
              </w:rPr>
              <w:t>2022</w:t>
            </w:r>
          </w:p>
        </w:tc>
        <w:tc>
          <w:tcPr>
            <w:tcW w:w="425" w:type="pct"/>
          </w:tcPr>
          <w:p w14:paraId="20D4C9BB" w14:textId="77777777" w:rsidR="00565392" w:rsidRPr="000F0299" w:rsidRDefault="00565392" w:rsidP="00565392">
            <w:pPr>
              <w:spacing w:before="0"/>
              <w:ind w:firstLine="0"/>
              <w:jc w:val="center"/>
              <w:rPr>
                <w:rFonts w:eastAsia="Times New Roman"/>
                <w:b/>
                <w:bCs/>
                <w:sz w:val="22"/>
                <w:szCs w:val="22"/>
                <w:lang w:eastAsia="de-DE"/>
              </w:rPr>
            </w:pPr>
            <w:r w:rsidRPr="000F0299">
              <w:rPr>
                <w:rFonts w:eastAsia="Times New Roman"/>
                <w:b/>
                <w:bCs/>
                <w:sz w:val="22"/>
                <w:szCs w:val="22"/>
                <w:lang w:eastAsia="de-DE"/>
              </w:rPr>
              <w:t>2023</w:t>
            </w:r>
          </w:p>
        </w:tc>
        <w:tc>
          <w:tcPr>
            <w:tcW w:w="425" w:type="pct"/>
          </w:tcPr>
          <w:p w14:paraId="1E4BCE85" w14:textId="77777777" w:rsidR="00565392" w:rsidRPr="000F0299" w:rsidRDefault="00565392" w:rsidP="00565392">
            <w:pPr>
              <w:spacing w:before="0"/>
              <w:ind w:firstLine="0"/>
              <w:jc w:val="center"/>
              <w:rPr>
                <w:rFonts w:eastAsia="Times New Roman"/>
                <w:b/>
                <w:bCs/>
                <w:sz w:val="22"/>
                <w:szCs w:val="22"/>
                <w:lang w:eastAsia="de-DE"/>
              </w:rPr>
            </w:pPr>
            <w:r w:rsidRPr="000F0299">
              <w:rPr>
                <w:rFonts w:eastAsia="Times New Roman"/>
                <w:b/>
                <w:bCs/>
                <w:sz w:val="22"/>
                <w:szCs w:val="22"/>
                <w:lang w:eastAsia="de-DE"/>
              </w:rPr>
              <w:t>2024</w:t>
            </w:r>
          </w:p>
        </w:tc>
        <w:tc>
          <w:tcPr>
            <w:tcW w:w="425" w:type="pct"/>
          </w:tcPr>
          <w:p w14:paraId="5D3E9803" w14:textId="77777777" w:rsidR="00565392" w:rsidRPr="000F0299" w:rsidRDefault="00565392" w:rsidP="00565392">
            <w:pPr>
              <w:spacing w:before="0"/>
              <w:ind w:firstLine="0"/>
              <w:jc w:val="center"/>
              <w:rPr>
                <w:rFonts w:eastAsia="Times New Roman"/>
                <w:b/>
                <w:bCs/>
                <w:sz w:val="22"/>
                <w:szCs w:val="22"/>
                <w:lang w:eastAsia="de-DE"/>
              </w:rPr>
            </w:pPr>
            <w:r w:rsidRPr="000F0299">
              <w:rPr>
                <w:rFonts w:eastAsia="Times New Roman"/>
                <w:b/>
                <w:bCs/>
                <w:sz w:val="22"/>
                <w:szCs w:val="22"/>
                <w:lang w:eastAsia="de-DE"/>
              </w:rPr>
              <w:t>2025</w:t>
            </w:r>
          </w:p>
        </w:tc>
        <w:tc>
          <w:tcPr>
            <w:tcW w:w="425" w:type="pct"/>
          </w:tcPr>
          <w:p w14:paraId="455A80CF" w14:textId="77777777" w:rsidR="00565392" w:rsidRPr="000F0299" w:rsidRDefault="00565392" w:rsidP="00565392">
            <w:pPr>
              <w:spacing w:before="0"/>
              <w:ind w:firstLine="0"/>
              <w:jc w:val="center"/>
              <w:rPr>
                <w:rFonts w:eastAsia="Times New Roman"/>
                <w:b/>
                <w:bCs/>
                <w:sz w:val="22"/>
                <w:szCs w:val="22"/>
                <w:lang w:eastAsia="de-DE"/>
              </w:rPr>
            </w:pPr>
            <w:r w:rsidRPr="000F0299">
              <w:rPr>
                <w:rFonts w:eastAsia="Times New Roman"/>
                <w:b/>
                <w:bCs/>
                <w:sz w:val="22"/>
                <w:szCs w:val="22"/>
                <w:lang w:eastAsia="de-DE"/>
              </w:rPr>
              <w:t>2027</w:t>
            </w:r>
          </w:p>
        </w:tc>
        <w:tc>
          <w:tcPr>
            <w:tcW w:w="426" w:type="pct"/>
          </w:tcPr>
          <w:p w14:paraId="3C0C573F" w14:textId="77777777" w:rsidR="00565392" w:rsidRPr="000F0299" w:rsidRDefault="00565392" w:rsidP="00565392">
            <w:pPr>
              <w:spacing w:before="0"/>
              <w:ind w:firstLine="0"/>
              <w:jc w:val="center"/>
              <w:rPr>
                <w:rFonts w:eastAsia="Times New Roman"/>
                <w:b/>
                <w:bCs/>
                <w:sz w:val="22"/>
                <w:szCs w:val="22"/>
                <w:lang w:eastAsia="de-DE"/>
              </w:rPr>
            </w:pPr>
            <w:r w:rsidRPr="000F0299">
              <w:rPr>
                <w:rFonts w:eastAsia="Times New Roman"/>
                <w:b/>
                <w:bCs/>
                <w:sz w:val="22"/>
                <w:szCs w:val="22"/>
                <w:lang w:eastAsia="de-DE"/>
              </w:rPr>
              <w:t>2030</w:t>
            </w:r>
          </w:p>
        </w:tc>
      </w:tr>
      <w:tr w:rsidR="00565392" w:rsidRPr="000F0299" w14:paraId="22E851B6" w14:textId="77777777" w:rsidTr="000132F3">
        <w:tc>
          <w:tcPr>
            <w:tcW w:w="5000" w:type="pct"/>
            <w:gridSpan w:val="10"/>
            <w:shd w:val="clear" w:color="auto" w:fill="D9D9D9" w:themeFill="background1" w:themeFillShade="D9"/>
          </w:tcPr>
          <w:p w14:paraId="6B908918" w14:textId="77777777" w:rsidR="00565392" w:rsidRPr="000F0299" w:rsidRDefault="00565392" w:rsidP="00565392">
            <w:pPr>
              <w:suppressAutoHyphens w:val="0"/>
              <w:autoSpaceDN/>
              <w:ind w:firstLine="0"/>
              <w:jc w:val="center"/>
              <w:textAlignment w:val="auto"/>
              <w:rPr>
                <w:rFonts w:eastAsiaTheme="minorHAnsi"/>
                <w:b/>
                <w:bCs/>
                <w:kern w:val="0"/>
                <w:lang w:eastAsia="en-US" w:bidi="ar-SA"/>
              </w:rPr>
            </w:pPr>
            <w:r w:rsidRPr="000F0299">
              <w:rPr>
                <w:rFonts w:eastAsiaTheme="minorHAnsi"/>
                <w:b/>
                <w:bCs/>
                <w:kern w:val="0"/>
                <w:lang w:eastAsia="en-US" w:bidi="ar-SA"/>
              </w:rPr>
              <w:t>ПЛАНИРАЊЕ И КООРДИНАЦИЈА ПОЛИТИКА</w:t>
            </w:r>
          </w:p>
        </w:tc>
      </w:tr>
      <w:tr w:rsidR="00565392" w:rsidRPr="000F0299" w14:paraId="0670527D" w14:textId="77777777" w:rsidTr="000132F3">
        <w:trPr>
          <w:gridAfter w:val="1"/>
          <w:wAfter w:w="7" w:type="pct"/>
          <w:trHeight w:val="496"/>
        </w:trPr>
        <w:tc>
          <w:tcPr>
            <w:tcW w:w="1541" w:type="pct"/>
          </w:tcPr>
          <w:p w14:paraId="45936D7C" w14:textId="77777777" w:rsidR="00565392" w:rsidRPr="000F0299" w:rsidRDefault="00565392" w:rsidP="00565392">
            <w:pPr>
              <w:spacing w:before="0"/>
              <w:ind w:firstLine="0"/>
              <w:rPr>
                <w:rFonts w:eastAsia="Times New Roman"/>
                <w:sz w:val="22"/>
                <w:szCs w:val="22"/>
                <w:lang w:eastAsia="de-DE"/>
              </w:rPr>
            </w:pPr>
            <w:r w:rsidRPr="000F0299">
              <w:rPr>
                <w:rFonts w:eastAsia="Times New Roman"/>
                <w:sz w:val="22"/>
                <w:szCs w:val="22"/>
                <w:lang w:eastAsia="de-DE"/>
              </w:rPr>
              <w:t>Индикатор квалитета прописа (</w:t>
            </w:r>
            <w:r w:rsidRPr="00241194">
              <w:rPr>
                <w:rFonts w:eastAsia="Times New Roman"/>
                <w:i/>
                <w:iCs/>
                <w:sz w:val="22"/>
                <w:szCs w:val="22"/>
                <w:lang w:eastAsia="de-DE"/>
              </w:rPr>
              <w:t>Regulatory quality</w:t>
            </w:r>
            <w:r w:rsidRPr="000F0299">
              <w:rPr>
                <w:rFonts w:eastAsia="Times New Roman"/>
                <w:sz w:val="22"/>
                <w:szCs w:val="22"/>
                <w:lang w:eastAsia="de-DE"/>
              </w:rPr>
              <w:t>) – ранг светске банке</w:t>
            </w:r>
          </w:p>
        </w:tc>
        <w:tc>
          <w:tcPr>
            <w:tcW w:w="476" w:type="pct"/>
          </w:tcPr>
          <w:p w14:paraId="43DC1AFE"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60.10</w:t>
            </w:r>
          </w:p>
          <w:p w14:paraId="6E046028"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(2019)</w:t>
            </w:r>
          </w:p>
        </w:tc>
        <w:tc>
          <w:tcPr>
            <w:tcW w:w="425" w:type="pct"/>
          </w:tcPr>
          <w:p w14:paraId="38E9CF39" w14:textId="77777777" w:rsidR="00565392" w:rsidRPr="000F0299" w:rsidRDefault="00565392" w:rsidP="00565392">
            <w:pPr>
              <w:spacing w:before="0"/>
              <w:ind w:firstLine="0"/>
              <w:rPr>
                <w:rFonts w:eastAsia="Times New Roman"/>
                <w:sz w:val="22"/>
                <w:szCs w:val="22"/>
                <w:lang w:eastAsia="de-DE"/>
              </w:rPr>
            </w:pPr>
          </w:p>
        </w:tc>
        <w:tc>
          <w:tcPr>
            <w:tcW w:w="425" w:type="pct"/>
          </w:tcPr>
          <w:p w14:paraId="7CBF9EBC" w14:textId="77777777" w:rsidR="00565392" w:rsidRPr="000F0299" w:rsidRDefault="00565392" w:rsidP="00565392">
            <w:pPr>
              <w:spacing w:before="0"/>
              <w:ind w:firstLine="0"/>
              <w:rPr>
                <w:rFonts w:eastAsia="Times New Roman"/>
                <w:sz w:val="22"/>
                <w:szCs w:val="22"/>
                <w:lang w:eastAsia="de-DE"/>
              </w:rPr>
            </w:pPr>
          </w:p>
        </w:tc>
        <w:tc>
          <w:tcPr>
            <w:tcW w:w="425" w:type="pct"/>
          </w:tcPr>
          <w:p w14:paraId="5E399B1D" w14:textId="77777777" w:rsidR="00565392" w:rsidRPr="000F0299" w:rsidRDefault="00565392" w:rsidP="00565392">
            <w:pPr>
              <w:spacing w:before="0"/>
              <w:ind w:firstLine="0"/>
              <w:rPr>
                <w:rFonts w:eastAsia="Times New Roman"/>
                <w:sz w:val="22"/>
                <w:szCs w:val="22"/>
                <w:lang w:eastAsia="de-DE"/>
              </w:rPr>
            </w:pPr>
          </w:p>
        </w:tc>
        <w:tc>
          <w:tcPr>
            <w:tcW w:w="425" w:type="pct"/>
          </w:tcPr>
          <w:p w14:paraId="63009B73" w14:textId="77777777" w:rsidR="00565392" w:rsidRPr="000F0299" w:rsidRDefault="00565392" w:rsidP="00565392">
            <w:pPr>
              <w:spacing w:before="0"/>
              <w:ind w:firstLine="0"/>
              <w:rPr>
                <w:rFonts w:eastAsia="Times New Roman"/>
                <w:sz w:val="22"/>
                <w:szCs w:val="22"/>
                <w:lang w:eastAsia="de-DE"/>
              </w:rPr>
            </w:pPr>
          </w:p>
        </w:tc>
        <w:tc>
          <w:tcPr>
            <w:tcW w:w="425" w:type="pct"/>
          </w:tcPr>
          <w:p w14:paraId="2958648B"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65.00</w:t>
            </w:r>
          </w:p>
        </w:tc>
        <w:tc>
          <w:tcPr>
            <w:tcW w:w="425" w:type="pct"/>
          </w:tcPr>
          <w:p w14:paraId="3F15F333" w14:textId="77777777" w:rsidR="00565392" w:rsidRPr="000F0299" w:rsidRDefault="00565392" w:rsidP="00565392">
            <w:pPr>
              <w:spacing w:before="0"/>
              <w:ind w:firstLine="0"/>
              <w:rPr>
                <w:rFonts w:eastAsia="Times New Roman"/>
                <w:sz w:val="22"/>
                <w:szCs w:val="22"/>
                <w:lang w:eastAsia="de-DE"/>
              </w:rPr>
            </w:pPr>
          </w:p>
        </w:tc>
        <w:tc>
          <w:tcPr>
            <w:tcW w:w="426" w:type="pct"/>
          </w:tcPr>
          <w:p w14:paraId="481FC90A"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70.00</w:t>
            </w:r>
          </w:p>
        </w:tc>
      </w:tr>
      <w:tr w:rsidR="00565392" w:rsidRPr="000F0299" w14:paraId="4712E05F" w14:textId="77777777" w:rsidTr="000132F3">
        <w:tc>
          <w:tcPr>
            <w:tcW w:w="5000" w:type="pct"/>
            <w:gridSpan w:val="10"/>
            <w:shd w:val="clear" w:color="auto" w:fill="BFBFBF" w:themeFill="background1" w:themeFillShade="BF"/>
          </w:tcPr>
          <w:p w14:paraId="1E192E53" w14:textId="77777777" w:rsidR="00565392" w:rsidRPr="000F0299" w:rsidRDefault="00565392" w:rsidP="00565392">
            <w:pPr>
              <w:spacing w:before="0"/>
              <w:jc w:val="center"/>
              <w:rPr>
                <w:rFonts w:eastAsia="Times New Roman"/>
                <w:b/>
                <w:bCs/>
                <w:sz w:val="22"/>
                <w:szCs w:val="22"/>
                <w:lang w:eastAsia="de-DE"/>
              </w:rPr>
            </w:pPr>
            <w:r w:rsidRPr="000F0299">
              <w:rPr>
                <w:rFonts w:eastAsia="Times New Roman"/>
                <w:b/>
                <w:bCs/>
                <w:sz w:val="22"/>
                <w:szCs w:val="22"/>
                <w:lang w:eastAsia="de-DE"/>
              </w:rPr>
              <w:t>УПРАВЉАЊЕ ЉУДСКИМ РЕСУРСИМА</w:t>
            </w:r>
          </w:p>
        </w:tc>
      </w:tr>
      <w:tr w:rsidR="00565392" w:rsidRPr="000F0299" w14:paraId="7E9A8B4B" w14:textId="77777777" w:rsidTr="000132F3">
        <w:trPr>
          <w:gridAfter w:val="1"/>
          <w:wAfter w:w="7" w:type="pct"/>
        </w:trPr>
        <w:tc>
          <w:tcPr>
            <w:tcW w:w="1541" w:type="pct"/>
          </w:tcPr>
          <w:p w14:paraId="3A367B85" w14:textId="01C3346E" w:rsidR="00565392" w:rsidRPr="000F0299" w:rsidRDefault="00565392" w:rsidP="00565392">
            <w:pPr>
              <w:spacing w:before="0"/>
              <w:ind w:firstLine="0"/>
              <w:rPr>
                <w:rFonts w:eastAsia="Times New Roman"/>
                <w:sz w:val="22"/>
                <w:szCs w:val="22"/>
                <w:lang w:eastAsia="de-DE"/>
              </w:rPr>
            </w:pPr>
            <w:r w:rsidRPr="000F0299">
              <w:rPr>
                <w:rFonts w:eastAsia="Times New Roman"/>
                <w:sz w:val="22"/>
                <w:szCs w:val="22"/>
                <w:lang w:eastAsia="de-DE"/>
              </w:rPr>
              <w:t>Меритократија и ефикасност запошљавања државних службеника (</w:t>
            </w:r>
            <w:r w:rsidR="0070535D" w:rsidRPr="0070535D">
              <w:rPr>
                <w:rFonts w:eastAsia="Times New Roman"/>
                <w:i/>
                <w:sz w:val="22"/>
                <w:szCs w:val="22"/>
                <w:lang w:eastAsia="de-DE"/>
              </w:rPr>
              <w:t>SIGMA</w:t>
            </w:r>
            <w:r w:rsidRPr="000F0299">
              <w:rPr>
                <w:rFonts w:eastAsia="Times New Roman"/>
                <w:sz w:val="22"/>
                <w:szCs w:val="22"/>
                <w:lang w:eastAsia="de-DE"/>
              </w:rPr>
              <w:t xml:space="preserve"> принцип)</w:t>
            </w:r>
          </w:p>
        </w:tc>
        <w:tc>
          <w:tcPr>
            <w:tcW w:w="476" w:type="pct"/>
          </w:tcPr>
          <w:p w14:paraId="572D8371"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w:t>
            </w:r>
          </w:p>
        </w:tc>
        <w:tc>
          <w:tcPr>
            <w:tcW w:w="425" w:type="pct"/>
          </w:tcPr>
          <w:p w14:paraId="081875FF"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w:t>
            </w:r>
          </w:p>
        </w:tc>
        <w:tc>
          <w:tcPr>
            <w:tcW w:w="425" w:type="pct"/>
          </w:tcPr>
          <w:p w14:paraId="2D73795A"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c>
          <w:tcPr>
            <w:tcW w:w="425" w:type="pct"/>
          </w:tcPr>
          <w:p w14:paraId="420330A3"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c>
          <w:tcPr>
            <w:tcW w:w="425" w:type="pct"/>
          </w:tcPr>
          <w:p w14:paraId="0F6DA6DF"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c>
          <w:tcPr>
            <w:tcW w:w="425" w:type="pct"/>
          </w:tcPr>
          <w:p w14:paraId="7CA781B0"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c>
          <w:tcPr>
            <w:tcW w:w="425" w:type="pct"/>
          </w:tcPr>
          <w:p w14:paraId="4127447C"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5</w:t>
            </w:r>
          </w:p>
        </w:tc>
        <w:tc>
          <w:tcPr>
            <w:tcW w:w="426" w:type="pct"/>
          </w:tcPr>
          <w:p w14:paraId="1A7B1327"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5</w:t>
            </w:r>
          </w:p>
        </w:tc>
      </w:tr>
      <w:tr w:rsidR="00565392" w:rsidRPr="000F0299" w14:paraId="2B877B3E" w14:textId="77777777" w:rsidTr="000132F3">
        <w:trPr>
          <w:gridAfter w:val="1"/>
          <w:wAfter w:w="7" w:type="pct"/>
        </w:trPr>
        <w:tc>
          <w:tcPr>
            <w:tcW w:w="1541" w:type="pct"/>
          </w:tcPr>
          <w:p w14:paraId="09DEAB12" w14:textId="77777777" w:rsidR="00565392" w:rsidRPr="000F0299" w:rsidRDefault="00565392" w:rsidP="00565392">
            <w:pPr>
              <w:spacing w:before="0"/>
              <w:ind w:firstLine="0"/>
              <w:rPr>
                <w:rFonts w:eastAsia="Times New Roman"/>
                <w:sz w:val="22"/>
                <w:szCs w:val="22"/>
                <w:lang w:eastAsia="de-DE"/>
              </w:rPr>
            </w:pPr>
            <w:r w:rsidRPr="000F0299">
              <w:rPr>
                <w:rFonts w:eastAsia="Times New Roman"/>
                <w:sz w:val="22"/>
                <w:szCs w:val="22"/>
                <w:lang w:eastAsia="de-DE"/>
              </w:rPr>
              <w:t>Степен у ком је развијен систем за управљање каријером државних службеника</w:t>
            </w:r>
          </w:p>
        </w:tc>
        <w:tc>
          <w:tcPr>
            <w:tcW w:w="476" w:type="pct"/>
          </w:tcPr>
          <w:p w14:paraId="3E557787"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w:t>
            </w:r>
          </w:p>
        </w:tc>
        <w:tc>
          <w:tcPr>
            <w:tcW w:w="425" w:type="pct"/>
          </w:tcPr>
          <w:p w14:paraId="6FD75367"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w:t>
            </w:r>
          </w:p>
        </w:tc>
        <w:tc>
          <w:tcPr>
            <w:tcW w:w="425" w:type="pct"/>
          </w:tcPr>
          <w:p w14:paraId="32A77CB2"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w:t>
            </w:r>
          </w:p>
        </w:tc>
        <w:tc>
          <w:tcPr>
            <w:tcW w:w="425" w:type="pct"/>
          </w:tcPr>
          <w:p w14:paraId="5E679041"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2</w:t>
            </w:r>
          </w:p>
        </w:tc>
        <w:tc>
          <w:tcPr>
            <w:tcW w:w="425" w:type="pct"/>
          </w:tcPr>
          <w:p w14:paraId="4615F46A"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w:t>
            </w:r>
          </w:p>
        </w:tc>
        <w:tc>
          <w:tcPr>
            <w:tcW w:w="425" w:type="pct"/>
          </w:tcPr>
          <w:p w14:paraId="534E6870"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c>
          <w:tcPr>
            <w:tcW w:w="425" w:type="pct"/>
          </w:tcPr>
          <w:p w14:paraId="02097A0A"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c>
          <w:tcPr>
            <w:tcW w:w="426" w:type="pct"/>
          </w:tcPr>
          <w:p w14:paraId="409B93F2"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r>
      <w:tr w:rsidR="00565392" w:rsidRPr="000F0299" w14:paraId="427EFE2F" w14:textId="77777777" w:rsidTr="000132F3">
        <w:trPr>
          <w:gridAfter w:val="1"/>
          <w:wAfter w:w="7" w:type="pct"/>
        </w:trPr>
        <w:tc>
          <w:tcPr>
            <w:tcW w:w="1541" w:type="pct"/>
          </w:tcPr>
          <w:p w14:paraId="078FB937" w14:textId="77777777" w:rsidR="00565392" w:rsidRPr="000F0299" w:rsidRDefault="00565392" w:rsidP="00565392">
            <w:pPr>
              <w:spacing w:before="0"/>
              <w:ind w:firstLine="0"/>
              <w:rPr>
                <w:rFonts w:eastAsia="Times New Roman"/>
                <w:sz w:val="22"/>
                <w:szCs w:val="22"/>
                <w:lang w:eastAsia="de-DE"/>
              </w:rPr>
            </w:pPr>
            <w:r w:rsidRPr="000F0299">
              <w:rPr>
                <w:rFonts w:eastAsia="Times New Roman"/>
                <w:sz w:val="22"/>
                <w:szCs w:val="22"/>
                <w:lang w:eastAsia="de-DE"/>
              </w:rPr>
              <w:t>Степен у ком се систем стручног усавршавања и стручних испита у јавној управи   нормативно и у пракси заснива на анализи потреба за  унапређењем компетенција,  односно  квалификација запослених</w:t>
            </w:r>
          </w:p>
        </w:tc>
        <w:tc>
          <w:tcPr>
            <w:tcW w:w="476" w:type="pct"/>
          </w:tcPr>
          <w:p w14:paraId="2FC13598" w14:textId="4593ACB4" w:rsidR="00565392" w:rsidRPr="000F0299" w:rsidRDefault="00320F5E" w:rsidP="00565392">
            <w:pPr>
              <w:spacing w:before="0"/>
              <w:ind w:firstLine="0"/>
              <w:jc w:val="center"/>
              <w:rPr>
                <w:rFonts w:eastAsia="Times New Roman"/>
                <w:sz w:val="22"/>
                <w:szCs w:val="22"/>
                <w:lang w:eastAsia="de-DE"/>
              </w:rPr>
            </w:pPr>
            <w:r>
              <w:rPr>
                <w:rFonts w:eastAsia="Times New Roman"/>
                <w:sz w:val="22"/>
                <w:szCs w:val="22"/>
                <w:lang w:eastAsia="de-DE"/>
              </w:rPr>
              <w:t>Биће утврђено у децембру 2020.</w:t>
            </w:r>
          </w:p>
        </w:tc>
        <w:tc>
          <w:tcPr>
            <w:tcW w:w="425" w:type="pct"/>
          </w:tcPr>
          <w:p w14:paraId="2231CE0E"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c>
          <w:tcPr>
            <w:tcW w:w="425" w:type="pct"/>
          </w:tcPr>
          <w:p w14:paraId="6BBAADA6"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c>
          <w:tcPr>
            <w:tcW w:w="425" w:type="pct"/>
          </w:tcPr>
          <w:p w14:paraId="73A4ACD7"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c>
          <w:tcPr>
            <w:tcW w:w="425" w:type="pct"/>
          </w:tcPr>
          <w:p w14:paraId="0F87B7E8"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5</w:t>
            </w:r>
          </w:p>
        </w:tc>
        <w:tc>
          <w:tcPr>
            <w:tcW w:w="425" w:type="pct"/>
          </w:tcPr>
          <w:p w14:paraId="64A7063D"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5</w:t>
            </w:r>
          </w:p>
        </w:tc>
        <w:tc>
          <w:tcPr>
            <w:tcW w:w="425" w:type="pct"/>
          </w:tcPr>
          <w:p w14:paraId="76A72C85"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5</w:t>
            </w:r>
          </w:p>
        </w:tc>
        <w:tc>
          <w:tcPr>
            <w:tcW w:w="426" w:type="pct"/>
          </w:tcPr>
          <w:p w14:paraId="0663ECC5" w14:textId="77777777" w:rsidR="00565392" w:rsidRPr="000F0299" w:rsidRDefault="00565392" w:rsidP="00565392">
            <w:pPr>
              <w:ind w:firstLine="0"/>
              <w:jc w:val="center"/>
              <w:rPr>
                <w:sz w:val="22"/>
                <w:szCs w:val="22"/>
              </w:rPr>
            </w:pPr>
            <w:r w:rsidRPr="000F0299">
              <w:rPr>
                <w:sz w:val="22"/>
                <w:szCs w:val="22"/>
                <w:lang w:eastAsia="de-DE"/>
              </w:rPr>
              <w:t>5</w:t>
            </w:r>
          </w:p>
        </w:tc>
      </w:tr>
      <w:tr w:rsidR="00565392" w:rsidRPr="000F0299" w14:paraId="5E2F882C" w14:textId="77777777" w:rsidTr="000132F3">
        <w:tc>
          <w:tcPr>
            <w:tcW w:w="5000" w:type="pct"/>
            <w:gridSpan w:val="10"/>
            <w:shd w:val="clear" w:color="auto" w:fill="DEEAF6" w:themeFill="accent5" w:themeFillTint="33"/>
          </w:tcPr>
          <w:p w14:paraId="1CEA28E5" w14:textId="67A99F51" w:rsidR="00565392" w:rsidRPr="000F0299" w:rsidRDefault="00565392" w:rsidP="00565392">
            <w:pPr>
              <w:spacing w:before="0"/>
              <w:jc w:val="center"/>
              <w:rPr>
                <w:rFonts w:eastAsia="Times New Roman"/>
                <w:b/>
                <w:bCs/>
                <w:sz w:val="22"/>
                <w:szCs w:val="22"/>
                <w:lang w:eastAsia="de-DE"/>
              </w:rPr>
            </w:pPr>
            <w:r w:rsidRPr="000F0299">
              <w:rPr>
                <w:rFonts w:eastAsia="Times New Roman"/>
                <w:b/>
                <w:bCs/>
                <w:sz w:val="22"/>
                <w:szCs w:val="22"/>
                <w:lang w:eastAsia="de-DE"/>
              </w:rPr>
              <w:t>ПРУЖАЊЕ УСЛУГА</w:t>
            </w:r>
          </w:p>
        </w:tc>
      </w:tr>
      <w:tr w:rsidR="00565392" w:rsidRPr="000F0299" w14:paraId="46F13519" w14:textId="77777777" w:rsidTr="000132F3">
        <w:trPr>
          <w:gridAfter w:val="1"/>
          <w:wAfter w:w="7" w:type="pct"/>
        </w:trPr>
        <w:tc>
          <w:tcPr>
            <w:tcW w:w="1541" w:type="pct"/>
          </w:tcPr>
          <w:p w14:paraId="6087D58D" w14:textId="139355CC" w:rsidR="00565392" w:rsidRPr="000F0299" w:rsidRDefault="00565392" w:rsidP="00565392">
            <w:pPr>
              <w:spacing w:before="0"/>
              <w:ind w:firstLine="0"/>
              <w:rPr>
                <w:rFonts w:eastAsia="Times New Roman"/>
                <w:sz w:val="22"/>
                <w:szCs w:val="22"/>
                <w:lang w:eastAsia="de-DE"/>
              </w:rPr>
            </w:pPr>
            <w:r w:rsidRPr="000F0299">
              <w:rPr>
                <w:rFonts w:eastAsia="Times New Roman"/>
                <w:sz w:val="22"/>
                <w:szCs w:val="22"/>
                <w:lang w:eastAsia="de-DE"/>
              </w:rPr>
              <w:t xml:space="preserve">Просечна оцена </w:t>
            </w:r>
            <w:r w:rsidR="0070535D" w:rsidRPr="0070535D">
              <w:rPr>
                <w:rFonts w:eastAsia="Times New Roman"/>
                <w:i/>
                <w:sz w:val="22"/>
                <w:szCs w:val="22"/>
                <w:lang w:eastAsia="de-DE"/>
              </w:rPr>
              <w:t>SIGMA</w:t>
            </w:r>
            <w:r w:rsidRPr="000F0299">
              <w:rPr>
                <w:rFonts w:eastAsia="Times New Roman"/>
                <w:sz w:val="22"/>
                <w:szCs w:val="22"/>
                <w:lang w:eastAsia="de-DE"/>
              </w:rPr>
              <w:t xml:space="preserve"> Извештаја о праћењу у области пружања услуга за сва четири стуба мерења</w:t>
            </w:r>
          </w:p>
        </w:tc>
        <w:tc>
          <w:tcPr>
            <w:tcW w:w="476" w:type="pct"/>
          </w:tcPr>
          <w:p w14:paraId="56186CB2"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 (2019)</w:t>
            </w:r>
          </w:p>
        </w:tc>
        <w:tc>
          <w:tcPr>
            <w:tcW w:w="425" w:type="pct"/>
          </w:tcPr>
          <w:p w14:paraId="020EC6C7"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3,5</w:t>
            </w:r>
          </w:p>
        </w:tc>
        <w:tc>
          <w:tcPr>
            <w:tcW w:w="425" w:type="pct"/>
          </w:tcPr>
          <w:p w14:paraId="0BEC792B"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3,5</w:t>
            </w:r>
          </w:p>
        </w:tc>
        <w:tc>
          <w:tcPr>
            <w:tcW w:w="425" w:type="pct"/>
          </w:tcPr>
          <w:p w14:paraId="09F114EF"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c>
          <w:tcPr>
            <w:tcW w:w="425" w:type="pct"/>
          </w:tcPr>
          <w:p w14:paraId="00BCC2AD"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c>
          <w:tcPr>
            <w:tcW w:w="425" w:type="pct"/>
          </w:tcPr>
          <w:p w14:paraId="6485115C"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4,5</w:t>
            </w:r>
          </w:p>
        </w:tc>
        <w:tc>
          <w:tcPr>
            <w:tcW w:w="425" w:type="pct"/>
          </w:tcPr>
          <w:p w14:paraId="5FF7D74B"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5</w:t>
            </w:r>
          </w:p>
        </w:tc>
        <w:tc>
          <w:tcPr>
            <w:tcW w:w="426" w:type="pct"/>
          </w:tcPr>
          <w:p w14:paraId="420B4F62"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5</w:t>
            </w:r>
          </w:p>
        </w:tc>
      </w:tr>
      <w:tr w:rsidR="00565392" w:rsidRPr="000F0299" w14:paraId="76F11983" w14:textId="77777777" w:rsidTr="000132F3">
        <w:trPr>
          <w:gridAfter w:val="1"/>
          <w:wAfter w:w="7" w:type="pct"/>
        </w:trPr>
        <w:tc>
          <w:tcPr>
            <w:tcW w:w="1541" w:type="pct"/>
          </w:tcPr>
          <w:p w14:paraId="2E8ED966" w14:textId="77777777" w:rsidR="00565392" w:rsidRPr="000F0299" w:rsidRDefault="00565392" w:rsidP="00565392">
            <w:pPr>
              <w:spacing w:before="0"/>
              <w:ind w:firstLine="0"/>
              <w:rPr>
                <w:rFonts w:eastAsia="Times New Roman"/>
                <w:color w:val="000000" w:themeColor="text1"/>
                <w:sz w:val="22"/>
                <w:szCs w:val="22"/>
                <w:lang w:eastAsia="de-DE"/>
              </w:rPr>
            </w:pPr>
            <w:r w:rsidRPr="000F0299">
              <w:rPr>
                <w:rFonts w:eastAsia="Times New Roman"/>
                <w:sz w:val="22"/>
                <w:szCs w:val="22"/>
                <w:lang w:eastAsia="de-DE"/>
              </w:rPr>
              <w:t>Удео административног оптерећења грађана и привреде у БДП-у</w:t>
            </w:r>
          </w:p>
        </w:tc>
        <w:tc>
          <w:tcPr>
            <w:tcW w:w="476" w:type="pct"/>
          </w:tcPr>
          <w:p w14:paraId="3936E550"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3,26% (2016)</w:t>
            </w:r>
          </w:p>
        </w:tc>
        <w:tc>
          <w:tcPr>
            <w:tcW w:w="425" w:type="pct"/>
          </w:tcPr>
          <w:p w14:paraId="0A07FDF1"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w:t>
            </w:r>
          </w:p>
        </w:tc>
        <w:tc>
          <w:tcPr>
            <w:tcW w:w="425" w:type="pct"/>
          </w:tcPr>
          <w:p w14:paraId="6FA5ABCA"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2,75%</w:t>
            </w:r>
          </w:p>
        </w:tc>
        <w:tc>
          <w:tcPr>
            <w:tcW w:w="425" w:type="pct"/>
          </w:tcPr>
          <w:p w14:paraId="41BC48C9"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2,62%</w:t>
            </w:r>
          </w:p>
        </w:tc>
        <w:tc>
          <w:tcPr>
            <w:tcW w:w="425" w:type="pct"/>
          </w:tcPr>
          <w:p w14:paraId="6F413024"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2,50%</w:t>
            </w:r>
          </w:p>
        </w:tc>
        <w:tc>
          <w:tcPr>
            <w:tcW w:w="425" w:type="pct"/>
          </w:tcPr>
          <w:p w14:paraId="32E0CF36"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2,50%</w:t>
            </w:r>
          </w:p>
        </w:tc>
        <w:tc>
          <w:tcPr>
            <w:tcW w:w="425" w:type="pct"/>
          </w:tcPr>
          <w:p w14:paraId="757A2773"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2,35%</w:t>
            </w:r>
          </w:p>
        </w:tc>
        <w:tc>
          <w:tcPr>
            <w:tcW w:w="426" w:type="pct"/>
          </w:tcPr>
          <w:p w14:paraId="6A486900"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2,20%</w:t>
            </w:r>
          </w:p>
        </w:tc>
      </w:tr>
      <w:tr w:rsidR="00565392" w:rsidRPr="000F0299" w14:paraId="54859FE8" w14:textId="77777777" w:rsidTr="000132F3">
        <w:tc>
          <w:tcPr>
            <w:tcW w:w="5000" w:type="pct"/>
            <w:gridSpan w:val="10"/>
            <w:shd w:val="clear" w:color="auto" w:fill="D9E2F3" w:themeFill="accent1" w:themeFillTint="33"/>
          </w:tcPr>
          <w:p w14:paraId="1A6CA1BD" w14:textId="77777777" w:rsidR="00565392" w:rsidRPr="000F0299" w:rsidRDefault="00565392" w:rsidP="00565392">
            <w:pPr>
              <w:spacing w:before="0"/>
              <w:jc w:val="center"/>
              <w:rPr>
                <w:rFonts w:eastAsia="Times New Roman"/>
                <w:b/>
                <w:bCs/>
                <w:sz w:val="22"/>
                <w:szCs w:val="22"/>
                <w:lang w:eastAsia="de-DE"/>
              </w:rPr>
            </w:pPr>
            <w:r w:rsidRPr="000F0299">
              <w:rPr>
                <w:rFonts w:eastAsia="Times New Roman"/>
                <w:b/>
                <w:bCs/>
                <w:sz w:val="22"/>
                <w:szCs w:val="22"/>
                <w:lang w:eastAsia="de-DE"/>
              </w:rPr>
              <w:t>ОДГОВОРНОСТ И ТРАНСПАРЕНТНОСТ</w:t>
            </w:r>
          </w:p>
        </w:tc>
      </w:tr>
      <w:tr w:rsidR="00565392" w:rsidRPr="000F0299" w14:paraId="3A141275" w14:textId="77777777" w:rsidTr="000132F3">
        <w:trPr>
          <w:gridAfter w:val="1"/>
          <w:wAfter w:w="7" w:type="pct"/>
        </w:trPr>
        <w:tc>
          <w:tcPr>
            <w:tcW w:w="1541" w:type="pct"/>
          </w:tcPr>
          <w:p w14:paraId="255475BA" w14:textId="77777777" w:rsidR="00565392" w:rsidRPr="000F0299" w:rsidRDefault="00565392" w:rsidP="00565392">
            <w:pPr>
              <w:spacing w:before="0"/>
              <w:ind w:firstLine="0"/>
              <w:rPr>
                <w:rFonts w:eastAsia="Times New Roman"/>
                <w:sz w:val="22"/>
                <w:szCs w:val="22"/>
                <w:lang w:eastAsia="de-DE"/>
              </w:rPr>
            </w:pPr>
            <w:r w:rsidRPr="000F0299">
              <w:rPr>
                <w:rFonts w:eastAsia="Times New Roman"/>
                <w:sz w:val="22"/>
                <w:szCs w:val="22"/>
                <w:lang w:eastAsia="de-DE"/>
              </w:rPr>
              <w:t xml:space="preserve">Годишња процена ЕК о напретку у области одговорности   </w:t>
            </w:r>
          </w:p>
        </w:tc>
        <w:tc>
          <w:tcPr>
            <w:tcW w:w="476" w:type="pct"/>
          </w:tcPr>
          <w:p w14:paraId="3435305F"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не</w:t>
            </w:r>
          </w:p>
        </w:tc>
        <w:tc>
          <w:tcPr>
            <w:tcW w:w="425" w:type="pct"/>
          </w:tcPr>
          <w:p w14:paraId="778D7125"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не</w:t>
            </w:r>
          </w:p>
        </w:tc>
        <w:tc>
          <w:tcPr>
            <w:tcW w:w="425" w:type="pct"/>
          </w:tcPr>
          <w:p w14:paraId="083A80F8"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да</w:t>
            </w:r>
          </w:p>
        </w:tc>
        <w:tc>
          <w:tcPr>
            <w:tcW w:w="425" w:type="pct"/>
          </w:tcPr>
          <w:p w14:paraId="47726C8E"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да</w:t>
            </w:r>
          </w:p>
        </w:tc>
        <w:tc>
          <w:tcPr>
            <w:tcW w:w="425" w:type="pct"/>
          </w:tcPr>
          <w:p w14:paraId="0BBB61D9"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да</w:t>
            </w:r>
          </w:p>
        </w:tc>
        <w:tc>
          <w:tcPr>
            <w:tcW w:w="425" w:type="pct"/>
          </w:tcPr>
          <w:p w14:paraId="2EA588A4"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да</w:t>
            </w:r>
          </w:p>
        </w:tc>
        <w:tc>
          <w:tcPr>
            <w:tcW w:w="425" w:type="pct"/>
          </w:tcPr>
          <w:p w14:paraId="1F77C802" w14:textId="77777777" w:rsidR="00565392" w:rsidRPr="000F0299" w:rsidRDefault="00565392" w:rsidP="00565392">
            <w:pPr>
              <w:spacing w:before="0"/>
              <w:ind w:firstLine="0"/>
              <w:jc w:val="center"/>
              <w:rPr>
                <w:rFonts w:eastAsia="Times New Roman"/>
                <w:sz w:val="22"/>
                <w:szCs w:val="22"/>
                <w:lang w:eastAsia="de-DE"/>
              </w:rPr>
            </w:pPr>
          </w:p>
        </w:tc>
        <w:tc>
          <w:tcPr>
            <w:tcW w:w="426" w:type="pct"/>
          </w:tcPr>
          <w:p w14:paraId="5140B2B1" w14:textId="77777777" w:rsidR="00565392" w:rsidRPr="000F0299" w:rsidRDefault="00565392" w:rsidP="00565392">
            <w:pPr>
              <w:spacing w:before="0"/>
              <w:ind w:firstLine="0"/>
              <w:jc w:val="center"/>
              <w:rPr>
                <w:rFonts w:eastAsia="Times New Roman"/>
                <w:sz w:val="22"/>
                <w:szCs w:val="22"/>
                <w:lang w:eastAsia="de-DE"/>
              </w:rPr>
            </w:pPr>
          </w:p>
        </w:tc>
      </w:tr>
      <w:tr w:rsidR="00565392" w:rsidRPr="000F0299" w14:paraId="4CE508F9" w14:textId="77777777" w:rsidTr="000132F3">
        <w:trPr>
          <w:gridAfter w:val="1"/>
          <w:wAfter w:w="7" w:type="pct"/>
        </w:trPr>
        <w:tc>
          <w:tcPr>
            <w:tcW w:w="1541" w:type="pct"/>
          </w:tcPr>
          <w:p w14:paraId="2F14EA65" w14:textId="78C1150B" w:rsidR="00565392" w:rsidRPr="000F0299" w:rsidRDefault="0070535D" w:rsidP="00565392">
            <w:pPr>
              <w:spacing w:before="0"/>
              <w:ind w:firstLine="0"/>
              <w:rPr>
                <w:rFonts w:eastAsia="Times New Roman"/>
                <w:sz w:val="22"/>
                <w:szCs w:val="22"/>
                <w:lang w:eastAsia="de-DE"/>
              </w:rPr>
            </w:pPr>
            <w:r w:rsidRPr="0070535D">
              <w:rPr>
                <w:rFonts w:eastAsia="Times New Roman"/>
                <w:bCs/>
                <w:i/>
                <w:iCs/>
                <w:sz w:val="22"/>
                <w:szCs w:val="22"/>
                <w:lang w:eastAsia="de-DE"/>
              </w:rPr>
              <w:t>SIGMA</w:t>
            </w:r>
            <w:r w:rsidR="00565392" w:rsidRPr="000F0299">
              <w:rPr>
                <w:rFonts w:eastAsia="Times New Roman"/>
                <w:bCs/>
                <w:iCs/>
                <w:sz w:val="22"/>
                <w:szCs w:val="22"/>
                <w:lang w:eastAsia="de-DE"/>
              </w:rPr>
              <w:t xml:space="preserve"> показатељ: </w:t>
            </w:r>
            <w:r w:rsidR="00565392" w:rsidRPr="000F0299">
              <w:rPr>
                <w:rFonts w:eastAsia="Times New Roman"/>
                <w:sz w:val="22"/>
                <w:szCs w:val="22"/>
                <w:lang w:eastAsia="de-DE"/>
              </w:rPr>
              <w:t>Приступ информацијама од јавног значаја</w:t>
            </w:r>
          </w:p>
        </w:tc>
        <w:tc>
          <w:tcPr>
            <w:tcW w:w="476" w:type="pct"/>
          </w:tcPr>
          <w:p w14:paraId="50710101"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21/30 (4)</w:t>
            </w:r>
          </w:p>
          <w:p w14:paraId="1A4054D0"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(2017)</w:t>
            </w:r>
          </w:p>
        </w:tc>
        <w:tc>
          <w:tcPr>
            <w:tcW w:w="425" w:type="pct"/>
          </w:tcPr>
          <w:p w14:paraId="3102740C" w14:textId="77777777" w:rsidR="00565392" w:rsidRPr="000F0299" w:rsidRDefault="00565392" w:rsidP="00565392">
            <w:pPr>
              <w:spacing w:before="0"/>
              <w:ind w:firstLine="0"/>
              <w:jc w:val="center"/>
              <w:rPr>
                <w:rFonts w:eastAsia="Times New Roman"/>
                <w:sz w:val="22"/>
                <w:szCs w:val="22"/>
                <w:lang w:eastAsia="de-DE"/>
              </w:rPr>
            </w:pPr>
          </w:p>
        </w:tc>
        <w:tc>
          <w:tcPr>
            <w:tcW w:w="425" w:type="pct"/>
          </w:tcPr>
          <w:p w14:paraId="462ACAF3" w14:textId="77777777" w:rsidR="00565392" w:rsidRPr="000F0299" w:rsidRDefault="00565392" w:rsidP="00565392">
            <w:pPr>
              <w:spacing w:before="0"/>
              <w:ind w:firstLine="0"/>
              <w:jc w:val="center"/>
              <w:rPr>
                <w:rFonts w:eastAsia="Times New Roman"/>
                <w:sz w:val="22"/>
                <w:szCs w:val="22"/>
                <w:lang w:eastAsia="de-DE"/>
              </w:rPr>
            </w:pPr>
          </w:p>
        </w:tc>
        <w:tc>
          <w:tcPr>
            <w:tcW w:w="425" w:type="pct"/>
          </w:tcPr>
          <w:p w14:paraId="72B896E7" w14:textId="77777777" w:rsidR="00565392" w:rsidRPr="000F0299" w:rsidRDefault="00565392" w:rsidP="00565392">
            <w:pPr>
              <w:spacing w:before="0"/>
              <w:ind w:firstLine="0"/>
              <w:jc w:val="center"/>
              <w:rPr>
                <w:rFonts w:eastAsia="Times New Roman"/>
                <w:sz w:val="22"/>
                <w:szCs w:val="22"/>
                <w:lang w:eastAsia="de-DE"/>
              </w:rPr>
            </w:pPr>
          </w:p>
        </w:tc>
        <w:tc>
          <w:tcPr>
            <w:tcW w:w="425" w:type="pct"/>
          </w:tcPr>
          <w:p w14:paraId="2E8218D3" w14:textId="77777777" w:rsidR="00565392" w:rsidRPr="000F0299" w:rsidRDefault="00565392" w:rsidP="00565392">
            <w:pPr>
              <w:spacing w:before="0"/>
              <w:ind w:firstLine="0"/>
              <w:jc w:val="center"/>
              <w:rPr>
                <w:rFonts w:eastAsia="Times New Roman"/>
                <w:sz w:val="22"/>
                <w:szCs w:val="22"/>
                <w:lang w:eastAsia="de-DE"/>
              </w:rPr>
            </w:pPr>
          </w:p>
        </w:tc>
        <w:tc>
          <w:tcPr>
            <w:tcW w:w="425" w:type="pct"/>
          </w:tcPr>
          <w:p w14:paraId="4FFF28B3"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30/30 (5)</w:t>
            </w:r>
          </w:p>
        </w:tc>
        <w:tc>
          <w:tcPr>
            <w:tcW w:w="425" w:type="pct"/>
          </w:tcPr>
          <w:p w14:paraId="0AC930E6" w14:textId="77777777" w:rsidR="00565392" w:rsidRPr="000F0299" w:rsidRDefault="00565392" w:rsidP="00565392">
            <w:pPr>
              <w:spacing w:before="0"/>
              <w:ind w:firstLine="0"/>
              <w:jc w:val="center"/>
              <w:rPr>
                <w:rFonts w:eastAsia="Times New Roman"/>
                <w:sz w:val="22"/>
                <w:szCs w:val="22"/>
                <w:lang w:eastAsia="de-DE"/>
              </w:rPr>
            </w:pPr>
          </w:p>
        </w:tc>
        <w:tc>
          <w:tcPr>
            <w:tcW w:w="426" w:type="pct"/>
          </w:tcPr>
          <w:p w14:paraId="6365A12C" w14:textId="77777777" w:rsidR="00565392" w:rsidRPr="000F0299" w:rsidRDefault="00565392" w:rsidP="00565392">
            <w:pPr>
              <w:spacing w:before="0"/>
              <w:ind w:firstLine="0"/>
              <w:jc w:val="center"/>
              <w:rPr>
                <w:rFonts w:eastAsia="Times New Roman"/>
                <w:sz w:val="22"/>
                <w:szCs w:val="22"/>
                <w:lang w:eastAsia="de-DE"/>
              </w:rPr>
            </w:pPr>
          </w:p>
        </w:tc>
      </w:tr>
      <w:tr w:rsidR="00565392" w:rsidRPr="000F0299" w14:paraId="5E513362" w14:textId="77777777" w:rsidTr="000132F3">
        <w:tc>
          <w:tcPr>
            <w:tcW w:w="5000" w:type="pct"/>
            <w:gridSpan w:val="10"/>
            <w:shd w:val="clear" w:color="auto" w:fill="839DCC"/>
          </w:tcPr>
          <w:p w14:paraId="09961931" w14:textId="77777777" w:rsidR="00565392" w:rsidRPr="000F0299" w:rsidRDefault="00565392" w:rsidP="00565392">
            <w:pPr>
              <w:suppressAutoHyphens w:val="0"/>
              <w:autoSpaceDN/>
              <w:ind w:firstLine="0"/>
              <w:jc w:val="center"/>
              <w:textAlignment w:val="auto"/>
              <w:rPr>
                <w:rFonts w:eastAsiaTheme="minorHAnsi"/>
                <w:b/>
                <w:bCs/>
                <w:color w:val="FFFFFF" w:themeColor="background1"/>
                <w:kern w:val="0"/>
                <w:lang w:eastAsia="en-US" w:bidi="ar-SA"/>
              </w:rPr>
            </w:pPr>
            <w:r w:rsidRPr="000F0299">
              <w:rPr>
                <w:rFonts w:eastAsiaTheme="minorHAnsi"/>
                <w:b/>
                <w:bCs/>
                <w:kern w:val="0"/>
                <w:lang w:eastAsia="en-US" w:bidi="ar-SA"/>
              </w:rPr>
              <w:t>УПРАВЉАЊЕ ЈАВНИМ ФИНАНСИЈАМА</w:t>
            </w:r>
          </w:p>
        </w:tc>
      </w:tr>
      <w:tr w:rsidR="00565392" w:rsidRPr="000F0299" w14:paraId="04DA9587" w14:textId="77777777" w:rsidTr="000132F3">
        <w:trPr>
          <w:gridAfter w:val="1"/>
          <w:wAfter w:w="7" w:type="pct"/>
        </w:trPr>
        <w:tc>
          <w:tcPr>
            <w:tcW w:w="1541" w:type="pct"/>
          </w:tcPr>
          <w:p w14:paraId="6C2D147C" w14:textId="77777777" w:rsidR="00565392" w:rsidRPr="000F0299" w:rsidRDefault="00565392" w:rsidP="00565392">
            <w:pPr>
              <w:spacing w:before="0"/>
              <w:ind w:firstLine="0"/>
              <w:rPr>
                <w:rFonts w:eastAsia="Times New Roman"/>
                <w:sz w:val="22"/>
                <w:szCs w:val="22"/>
                <w:lang w:eastAsia="de-DE"/>
              </w:rPr>
            </w:pPr>
            <w:r w:rsidRPr="000F0299">
              <w:rPr>
                <w:rFonts w:eastAsia="Times New Roman"/>
                <w:sz w:val="22"/>
                <w:szCs w:val="22"/>
                <w:lang w:eastAsia="de-DE"/>
              </w:rPr>
              <w:t>Реални раст бруто домаћег производа (БДП)</w:t>
            </w:r>
          </w:p>
        </w:tc>
        <w:tc>
          <w:tcPr>
            <w:tcW w:w="476" w:type="pct"/>
          </w:tcPr>
          <w:p w14:paraId="1877C9BE"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4.2% (2019)</w:t>
            </w:r>
          </w:p>
        </w:tc>
        <w:tc>
          <w:tcPr>
            <w:tcW w:w="425" w:type="pct"/>
          </w:tcPr>
          <w:p w14:paraId="468338B1"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-2.5%</w:t>
            </w:r>
          </w:p>
        </w:tc>
        <w:tc>
          <w:tcPr>
            <w:tcW w:w="425" w:type="pct"/>
          </w:tcPr>
          <w:p w14:paraId="3322C0C2"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4.0</w:t>
            </w:r>
          </w:p>
        </w:tc>
        <w:tc>
          <w:tcPr>
            <w:tcW w:w="425" w:type="pct"/>
          </w:tcPr>
          <w:p w14:paraId="57499FE0" w14:textId="77777777" w:rsidR="00565392" w:rsidRPr="000F0299" w:rsidRDefault="00565392" w:rsidP="00565392">
            <w:pPr>
              <w:spacing w:before="0"/>
              <w:ind w:firstLine="0"/>
              <w:jc w:val="center"/>
              <w:rPr>
                <w:rFonts w:eastAsia="Times New Roman"/>
                <w:sz w:val="22"/>
                <w:szCs w:val="22"/>
                <w:lang w:eastAsia="de-DE"/>
              </w:rPr>
            </w:pPr>
          </w:p>
        </w:tc>
        <w:tc>
          <w:tcPr>
            <w:tcW w:w="425" w:type="pct"/>
          </w:tcPr>
          <w:p w14:paraId="3E874691" w14:textId="77777777" w:rsidR="00565392" w:rsidRPr="000F0299" w:rsidRDefault="00565392" w:rsidP="00565392">
            <w:pPr>
              <w:spacing w:before="0"/>
              <w:ind w:firstLine="0"/>
              <w:jc w:val="center"/>
              <w:rPr>
                <w:rFonts w:eastAsia="Times New Roman"/>
                <w:sz w:val="22"/>
                <w:szCs w:val="22"/>
                <w:lang w:eastAsia="de-DE"/>
              </w:rPr>
            </w:pPr>
          </w:p>
        </w:tc>
        <w:tc>
          <w:tcPr>
            <w:tcW w:w="425" w:type="pct"/>
          </w:tcPr>
          <w:p w14:paraId="66AAFB9F" w14:textId="77777777" w:rsidR="00565392" w:rsidRPr="000F0299" w:rsidRDefault="00565392" w:rsidP="00565392">
            <w:pPr>
              <w:spacing w:before="0"/>
              <w:ind w:firstLine="0"/>
              <w:jc w:val="center"/>
              <w:rPr>
                <w:rFonts w:eastAsia="Times New Roman"/>
                <w:sz w:val="22"/>
                <w:szCs w:val="22"/>
                <w:lang w:eastAsia="de-DE"/>
              </w:rPr>
            </w:pPr>
          </w:p>
        </w:tc>
        <w:tc>
          <w:tcPr>
            <w:tcW w:w="425" w:type="pct"/>
          </w:tcPr>
          <w:p w14:paraId="4883DF86" w14:textId="77777777" w:rsidR="00565392" w:rsidRPr="000F0299" w:rsidRDefault="00565392" w:rsidP="00565392">
            <w:pPr>
              <w:spacing w:before="0"/>
              <w:ind w:firstLine="0"/>
              <w:jc w:val="center"/>
              <w:rPr>
                <w:rFonts w:eastAsia="Times New Roman"/>
                <w:sz w:val="22"/>
                <w:szCs w:val="22"/>
                <w:lang w:eastAsia="de-DE"/>
              </w:rPr>
            </w:pPr>
          </w:p>
        </w:tc>
        <w:tc>
          <w:tcPr>
            <w:tcW w:w="426" w:type="pct"/>
          </w:tcPr>
          <w:p w14:paraId="0622EC94" w14:textId="77777777" w:rsidR="00565392" w:rsidRPr="000F0299" w:rsidRDefault="00565392" w:rsidP="00565392">
            <w:pPr>
              <w:spacing w:before="0"/>
              <w:ind w:firstLine="0"/>
              <w:jc w:val="center"/>
              <w:rPr>
                <w:rFonts w:eastAsia="Times New Roman"/>
                <w:sz w:val="22"/>
                <w:szCs w:val="22"/>
                <w:lang w:eastAsia="de-DE"/>
              </w:rPr>
            </w:pPr>
          </w:p>
        </w:tc>
      </w:tr>
      <w:tr w:rsidR="00565392" w:rsidRPr="000F0299" w14:paraId="4D57AB01" w14:textId="77777777" w:rsidTr="000132F3">
        <w:trPr>
          <w:gridAfter w:val="1"/>
          <w:wAfter w:w="7" w:type="pct"/>
        </w:trPr>
        <w:tc>
          <w:tcPr>
            <w:tcW w:w="1541" w:type="pct"/>
          </w:tcPr>
          <w:p w14:paraId="50A71284" w14:textId="77777777" w:rsidR="00565392" w:rsidRPr="000F0299" w:rsidRDefault="00565392" w:rsidP="00565392">
            <w:pPr>
              <w:spacing w:before="0"/>
              <w:ind w:firstLine="0"/>
              <w:rPr>
                <w:rFonts w:eastAsia="Times New Roman"/>
                <w:sz w:val="22"/>
                <w:szCs w:val="22"/>
                <w:lang w:eastAsia="de-DE"/>
              </w:rPr>
            </w:pPr>
            <w:r w:rsidRPr="000F0299">
              <w:rPr>
                <w:rFonts w:eastAsia="Times New Roman"/>
                <w:sz w:val="22"/>
                <w:szCs w:val="22"/>
                <w:lang w:eastAsia="de-DE"/>
              </w:rPr>
              <w:t>Учешће дуга опште државе у БДП</w:t>
            </w:r>
          </w:p>
        </w:tc>
        <w:tc>
          <w:tcPr>
            <w:tcW w:w="476" w:type="pct"/>
          </w:tcPr>
          <w:p w14:paraId="347E2DD1"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bCs/>
                <w:sz w:val="22"/>
                <w:szCs w:val="22"/>
                <w:lang w:eastAsia="de-DE"/>
              </w:rPr>
              <w:t xml:space="preserve">52.9% </w:t>
            </w:r>
            <w:r w:rsidRPr="000F0299">
              <w:rPr>
                <w:rFonts w:eastAsia="Times New Roman"/>
                <w:sz w:val="22"/>
                <w:szCs w:val="22"/>
                <w:lang w:eastAsia="de-DE"/>
              </w:rPr>
              <w:t>(2019)</w:t>
            </w:r>
          </w:p>
        </w:tc>
        <w:tc>
          <w:tcPr>
            <w:tcW w:w="425" w:type="pct"/>
          </w:tcPr>
          <w:p w14:paraId="67B078ED" w14:textId="77777777" w:rsidR="00565392" w:rsidRPr="000F0299" w:rsidRDefault="00565392" w:rsidP="00565392">
            <w:pPr>
              <w:spacing w:before="0"/>
              <w:ind w:firstLine="0"/>
              <w:jc w:val="center"/>
              <w:rPr>
                <w:rFonts w:eastAsia="Times New Roman"/>
                <w:sz w:val="22"/>
                <w:szCs w:val="22"/>
                <w:lang w:eastAsia="de-DE"/>
              </w:rPr>
            </w:pPr>
          </w:p>
        </w:tc>
        <w:tc>
          <w:tcPr>
            <w:tcW w:w="425" w:type="pct"/>
          </w:tcPr>
          <w:p w14:paraId="781BF94E" w14:textId="77777777" w:rsidR="00565392" w:rsidRPr="000F0299" w:rsidRDefault="00565392" w:rsidP="00565392">
            <w:pPr>
              <w:spacing w:before="0"/>
              <w:ind w:firstLine="0"/>
              <w:jc w:val="center"/>
              <w:rPr>
                <w:rFonts w:eastAsia="Times New Roman"/>
                <w:sz w:val="22"/>
                <w:szCs w:val="22"/>
                <w:lang w:eastAsia="de-DE"/>
              </w:rPr>
            </w:pPr>
          </w:p>
        </w:tc>
        <w:tc>
          <w:tcPr>
            <w:tcW w:w="425" w:type="pct"/>
          </w:tcPr>
          <w:p w14:paraId="6438240A"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56%</w:t>
            </w:r>
          </w:p>
        </w:tc>
        <w:tc>
          <w:tcPr>
            <w:tcW w:w="425" w:type="pct"/>
          </w:tcPr>
          <w:p w14:paraId="58CB7377"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52%</w:t>
            </w:r>
          </w:p>
        </w:tc>
        <w:tc>
          <w:tcPr>
            <w:tcW w:w="425" w:type="pct"/>
          </w:tcPr>
          <w:p w14:paraId="10198249" w14:textId="77777777" w:rsidR="00565392" w:rsidRPr="000F0299" w:rsidRDefault="00565392" w:rsidP="00565392">
            <w:pPr>
              <w:spacing w:before="0"/>
              <w:ind w:firstLine="0"/>
              <w:jc w:val="center"/>
              <w:rPr>
                <w:rFonts w:eastAsia="Times New Roman"/>
                <w:sz w:val="22"/>
                <w:szCs w:val="22"/>
                <w:lang w:eastAsia="de-DE"/>
              </w:rPr>
            </w:pPr>
          </w:p>
        </w:tc>
        <w:tc>
          <w:tcPr>
            <w:tcW w:w="425" w:type="pct"/>
          </w:tcPr>
          <w:p w14:paraId="3DA7ED22" w14:textId="77777777" w:rsidR="00565392" w:rsidRPr="000F0299" w:rsidRDefault="00565392" w:rsidP="00565392">
            <w:pPr>
              <w:spacing w:before="0"/>
              <w:ind w:firstLine="0"/>
              <w:jc w:val="center"/>
              <w:rPr>
                <w:rFonts w:eastAsia="Times New Roman"/>
                <w:sz w:val="22"/>
                <w:szCs w:val="22"/>
                <w:lang w:eastAsia="de-DE"/>
              </w:rPr>
            </w:pPr>
          </w:p>
        </w:tc>
        <w:tc>
          <w:tcPr>
            <w:tcW w:w="426" w:type="pct"/>
          </w:tcPr>
          <w:p w14:paraId="6E40F72F" w14:textId="77777777" w:rsidR="00565392" w:rsidRPr="000F0299" w:rsidRDefault="00565392" w:rsidP="00565392">
            <w:pPr>
              <w:spacing w:before="0"/>
              <w:ind w:firstLine="0"/>
              <w:jc w:val="center"/>
              <w:rPr>
                <w:rFonts w:eastAsia="Times New Roman"/>
                <w:sz w:val="22"/>
                <w:szCs w:val="22"/>
                <w:lang w:eastAsia="de-DE"/>
              </w:rPr>
            </w:pPr>
          </w:p>
        </w:tc>
      </w:tr>
      <w:tr w:rsidR="00565392" w:rsidRPr="000F0299" w14:paraId="62FEF54A" w14:textId="77777777" w:rsidTr="000132F3">
        <w:trPr>
          <w:trHeight w:val="147"/>
        </w:trPr>
        <w:tc>
          <w:tcPr>
            <w:tcW w:w="5000" w:type="pct"/>
            <w:gridSpan w:val="10"/>
            <w:shd w:val="clear" w:color="auto" w:fill="6C7781"/>
          </w:tcPr>
          <w:p w14:paraId="3748129D" w14:textId="77777777" w:rsidR="00565392" w:rsidRPr="000F0299" w:rsidRDefault="00565392" w:rsidP="00565392">
            <w:pPr>
              <w:jc w:val="center"/>
              <w:rPr>
                <w:b/>
                <w:bCs/>
                <w:sz w:val="22"/>
                <w:szCs w:val="22"/>
              </w:rPr>
            </w:pPr>
            <w:r w:rsidRPr="000F0299">
              <w:rPr>
                <w:b/>
                <w:bCs/>
                <w:color w:val="FFFFFF" w:themeColor="background1"/>
                <w:lang w:bidi="ar-SA"/>
              </w:rPr>
              <w:t>СИСТЕМ ЛОКАЛНЕ САМОУПРАВЕ</w:t>
            </w:r>
          </w:p>
        </w:tc>
      </w:tr>
      <w:tr w:rsidR="00565392" w:rsidRPr="000F0299" w14:paraId="4E059491" w14:textId="77777777" w:rsidTr="000132F3">
        <w:trPr>
          <w:gridAfter w:val="1"/>
          <w:wAfter w:w="7" w:type="pct"/>
        </w:trPr>
        <w:tc>
          <w:tcPr>
            <w:tcW w:w="1541" w:type="pct"/>
          </w:tcPr>
          <w:p w14:paraId="6A14F311" w14:textId="77777777" w:rsidR="00565392" w:rsidRPr="000F0299" w:rsidRDefault="00565392" w:rsidP="00565392">
            <w:pPr>
              <w:spacing w:before="0"/>
              <w:ind w:firstLine="0"/>
              <w:rPr>
                <w:rFonts w:eastAsia="Times New Roman"/>
                <w:sz w:val="22"/>
                <w:szCs w:val="22"/>
                <w:lang w:eastAsia="de-DE"/>
              </w:rPr>
            </w:pPr>
            <w:r w:rsidRPr="000F0299">
              <w:rPr>
                <w:rFonts w:eastAsia="Times New Roman"/>
                <w:sz w:val="22"/>
                <w:szCs w:val="22"/>
                <w:lang w:eastAsia="de-DE"/>
              </w:rPr>
              <w:t xml:space="preserve">Усаглашеност система локалне самоуправе са кључним принципима Европске повеље о локалној самоуправи  </w:t>
            </w:r>
          </w:p>
        </w:tc>
        <w:tc>
          <w:tcPr>
            <w:tcW w:w="476" w:type="pct"/>
          </w:tcPr>
          <w:p w14:paraId="40BDD58D"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 (2019)</w:t>
            </w:r>
          </w:p>
        </w:tc>
        <w:tc>
          <w:tcPr>
            <w:tcW w:w="425" w:type="pct"/>
          </w:tcPr>
          <w:p w14:paraId="4DB65E29"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w:t>
            </w:r>
          </w:p>
        </w:tc>
        <w:tc>
          <w:tcPr>
            <w:tcW w:w="425" w:type="pct"/>
          </w:tcPr>
          <w:p w14:paraId="68471FDC"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w:t>
            </w:r>
          </w:p>
        </w:tc>
        <w:tc>
          <w:tcPr>
            <w:tcW w:w="425" w:type="pct"/>
          </w:tcPr>
          <w:p w14:paraId="0B9E3A61"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w:t>
            </w:r>
          </w:p>
        </w:tc>
        <w:tc>
          <w:tcPr>
            <w:tcW w:w="425" w:type="pct"/>
          </w:tcPr>
          <w:p w14:paraId="50324D97"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c>
          <w:tcPr>
            <w:tcW w:w="425" w:type="pct"/>
          </w:tcPr>
          <w:p w14:paraId="34D77618"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w:t>
            </w:r>
          </w:p>
        </w:tc>
        <w:tc>
          <w:tcPr>
            <w:tcW w:w="425" w:type="pct"/>
          </w:tcPr>
          <w:p w14:paraId="48DA4132"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5</w:t>
            </w:r>
          </w:p>
        </w:tc>
        <w:tc>
          <w:tcPr>
            <w:tcW w:w="426" w:type="pct"/>
          </w:tcPr>
          <w:p w14:paraId="78040A21" w14:textId="77777777" w:rsidR="00565392" w:rsidRPr="000F0299" w:rsidRDefault="00565392" w:rsidP="00565392">
            <w:pPr>
              <w:spacing w:before="0"/>
              <w:ind w:firstLine="0"/>
              <w:jc w:val="center"/>
              <w:rPr>
                <w:rFonts w:eastAsia="Times New Roman"/>
                <w:sz w:val="22"/>
                <w:szCs w:val="22"/>
                <w:lang w:eastAsia="de-DE"/>
              </w:rPr>
            </w:pPr>
          </w:p>
        </w:tc>
      </w:tr>
      <w:tr w:rsidR="00565392" w:rsidRPr="000F0299" w14:paraId="70B052F6" w14:textId="77777777" w:rsidTr="000132F3">
        <w:trPr>
          <w:gridAfter w:val="1"/>
          <w:wAfter w:w="7" w:type="pct"/>
          <w:trHeight w:val="327"/>
        </w:trPr>
        <w:tc>
          <w:tcPr>
            <w:tcW w:w="1541" w:type="pct"/>
          </w:tcPr>
          <w:p w14:paraId="47214CD3" w14:textId="77777777" w:rsidR="00565392" w:rsidRPr="000F0299" w:rsidRDefault="00565392" w:rsidP="00565392">
            <w:pPr>
              <w:ind w:firstLine="0"/>
              <w:rPr>
                <w:sz w:val="22"/>
                <w:szCs w:val="22"/>
              </w:rPr>
            </w:pPr>
            <w:r w:rsidRPr="000F0299">
              <w:rPr>
                <w:sz w:val="22"/>
                <w:szCs w:val="22"/>
              </w:rPr>
              <w:t>Удео расхода ЛС и консолидованим јавним расходима у РС</w:t>
            </w:r>
          </w:p>
        </w:tc>
        <w:tc>
          <w:tcPr>
            <w:tcW w:w="476" w:type="pct"/>
          </w:tcPr>
          <w:p w14:paraId="638D25CC"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14.75% (2019)</w:t>
            </w:r>
          </w:p>
        </w:tc>
        <w:tc>
          <w:tcPr>
            <w:tcW w:w="425" w:type="pct"/>
          </w:tcPr>
          <w:p w14:paraId="38EFF992"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14.80%</w:t>
            </w:r>
          </w:p>
        </w:tc>
        <w:tc>
          <w:tcPr>
            <w:tcW w:w="425" w:type="pct"/>
          </w:tcPr>
          <w:p w14:paraId="6946368B"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14.90%</w:t>
            </w:r>
          </w:p>
        </w:tc>
        <w:tc>
          <w:tcPr>
            <w:tcW w:w="425" w:type="pct"/>
          </w:tcPr>
          <w:p w14:paraId="45A770E6"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15.25%</w:t>
            </w:r>
          </w:p>
        </w:tc>
        <w:tc>
          <w:tcPr>
            <w:tcW w:w="425" w:type="pct"/>
          </w:tcPr>
          <w:p w14:paraId="43A311CE"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15.50%</w:t>
            </w:r>
          </w:p>
        </w:tc>
        <w:tc>
          <w:tcPr>
            <w:tcW w:w="425" w:type="pct"/>
          </w:tcPr>
          <w:p w14:paraId="61EED50A"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16.00%</w:t>
            </w:r>
          </w:p>
        </w:tc>
        <w:tc>
          <w:tcPr>
            <w:tcW w:w="425" w:type="pct"/>
          </w:tcPr>
          <w:p w14:paraId="226FCC3B"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16%</w:t>
            </w:r>
          </w:p>
        </w:tc>
        <w:tc>
          <w:tcPr>
            <w:tcW w:w="426" w:type="pct"/>
          </w:tcPr>
          <w:p w14:paraId="35FAC6FB"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16.5%</w:t>
            </w:r>
          </w:p>
        </w:tc>
      </w:tr>
      <w:tr w:rsidR="00565392" w:rsidRPr="000F0299" w14:paraId="65460A22" w14:textId="77777777" w:rsidTr="000132F3">
        <w:trPr>
          <w:gridAfter w:val="1"/>
          <w:wAfter w:w="7" w:type="pct"/>
        </w:trPr>
        <w:tc>
          <w:tcPr>
            <w:tcW w:w="1541" w:type="pct"/>
          </w:tcPr>
          <w:p w14:paraId="376BA805" w14:textId="77777777" w:rsidR="00565392" w:rsidRPr="000F0299" w:rsidRDefault="00565392" w:rsidP="00565392">
            <w:pPr>
              <w:spacing w:before="0"/>
              <w:ind w:firstLine="0"/>
              <w:rPr>
                <w:rFonts w:eastAsia="Times New Roman"/>
                <w:sz w:val="22"/>
                <w:szCs w:val="22"/>
                <w:lang w:eastAsia="de-DE"/>
              </w:rPr>
            </w:pPr>
            <w:r w:rsidRPr="000F0299">
              <w:rPr>
                <w:rFonts w:eastAsia="Times New Roman"/>
                <w:sz w:val="22"/>
                <w:szCs w:val="22"/>
                <w:lang w:eastAsia="de-DE"/>
              </w:rPr>
              <w:t>Капацитет ЈЛС за спровођење начела доброг управљања</w:t>
            </w:r>
          </w:p>
        </w:tc>
        <w:tc>
          <w:tcPr>
            <w:tcW w:w="476" w:type="pct"/>
          </w:tcPr>
          <w:p w14:paraId="38199D03"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39% (2919)</w:t>
            </w:r>
          </w:p>
        </w:tc>
        <w:tc>
          <w:tcPr>
            <w:tcW w:w="425" w:type="pct"/>
          </w:tcPr>
          <w:p w14:paraId="49A943B9"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+10%</w:t>
            </w:r>
          </w:p>
        </w:tc>
        <w:tc>
          <w:tcPr>
            <w:tcW w:w="425" w:type="pct"/>
          </w:tcPr>
          <w:p w14:paraId="7D97DC8E" w14:textId="77777777" w:rsidR="00565392" w:rsidRPr="000F0299" w:rsidRDefault="00565392" w:rsidP="00565392">
            <w:pPr>
              <w:spacing w:before="0"/>
              <w:ind w:firstLine="0"/>
              <w:jc w:val="center"/>
              <w:rPr>
                <w:rFonts w:eastAsia="Times New Roman"/>
                <w:sz w:val="22"/>
                <w:szCs w:val="22"/>
                <w:lang w:eastAsia="de-DE"/>
              </w:rPr>
            </w:pPr>
          </w:p>
        </w:tc>
        <w:tc>
          <w:tcPr>
            <w:tcW w:w="425" w:type="pct"/>
          </w:tcPr>
          <w:p w14:paraId="45F5374F"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+20%</w:t>
            </w:r>
          </w:p>
        </w:tc>
        <w:tc>
          <w:tcPr>
            <w:tcW w:w="425" w:type="pct"/>
          </w:tcPr>
          <w:p w14:paraId="6B57B820" w14:textId="77777777" w:rsidR="00565392" w:rsidRPr="000F0299" w:rsidRDefault="00565392" w:rsidP="00565392">
            <w:pPr>
              <w:spacing w:before="0"/>
              <w:ind w:firstLine="0"/>
              <w:jc w:val="center"/>
              <w:rPr>
                <w:rFonts w:eastAsia="Times New Roman"/>
                <w:sz w:val="22"/>
                <w:szCs w:val="22"/>
                <w:lang w:eastAsia="de-DE"/>
              </w:rPr>
            </w:pPr>
          </w:p>
        </w:tc>
        <w:tc>
          <w:tcPr>
            <w:tcW w:w="425" w:type="pct"/>
          </w:tcPr>
          <w:p w14:paraId="1F3F8915"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+40%</w:t>
            </w:r>
          </w:p>
        </w:tc>
        <w:tc>
          <w:tcPr>
            <w:tcW w:w="425" w:type="pct"/>
          </w:tcPr>
          <w:p w14:paraId="637A9C01"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+60%</w:t>
            </w:r>
          </w:p>
        </w:tc>
        <w:tc>
          <w:tcPr>
            <w:tcW w:w="426" w:type="pct"/>
          </w:tcPr>
          <w:p w14:paraId="71BFC719"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+100%</w:t>
            </w:r>
          </w:p>
        </w:tc>
      </w:tr>
      <w:tr w:rsidR="00565392" w:rsidRPr="000F0299" w14:paraId="01EDF6A2" w14:textId="77777777" w:rsidTr="000132F3">
        <w:trPr>
          <w:gridAfter w:val="1"/>
          <w:wAfter w:w="7" w:type="pct"/>
        </w:trPr>
        <w:tc>
          <w:tcPr>
            <w:tcW w:w="1541" w:type="pct"/>
          </w:tcPr>
          <w:p w14:paraId="4AFFA486" w14:textId="77777777" w:rsidR="00565392" w:rsidRPr="000F0299" w:rsidRDefault="00565392" w:rsidP="00565392">
            <w:pPr>
              <w:spacing w:before="0"/>
              <w:ind w:firstLine="0"/>
              <w:rPr>
                <w:rFonts w:eastAsia="Times New Roman"/>
                <w:sz w:val="22"/>
                <w:szCs w:val="22"/>
                <w:lang w:eastAsia="de-DE"/>
              </w:rPr>
            </w:pPr>
            <w:r w:rsidRPr="000F0299">
              <w:rPr>
                <w:rFonts w:eastAsia="Times New Roman"/>
                <w:sz w:val="22"/>
                <w:szCs w:val="22"/>
                <w:lang w:eastAsia="de-DE"/>
              </w:rPr>
              <w:t>Капацитет ЈЛС за УЉР у локалној управи</w:t>
            </w:r>
          </w:p>
        </w:tc>
        <w:tc>
          <w:tcPr>
            <w:tcW w:w="476" w:type="pct"/>
          </w:tcPr>
          <w:p w14:paraId="4C579147"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14.3%</w:t>
            </w:r>
          </w:p>
        </w:tc>
        <w:tc>
          <w:tcPr>
            <w:tcW w:w="425" w:type="pct"/>
          </w:tcPr>
          <w:p w14:paraId="566D4083" w14:textId="77777777" w:rsidR="00565392" w:rsidRPr="000F0299" w:rsidRDefault="00565392" w:rsidP="00565392">
            <w:pPr>
              <w:spacing w:before="0"/>
              <w:ind w:firstLine="0"/>
              <w:jc w:val="center"/>
              <w:rPr>
                <w:rFonts w:eastAsia="Times New Roman"/>
                <w:iCs/>
                <w:sz w:val="22"/>
                <w:szCs w:val="22"/>
                <w:lang w:eastAsia="de-DE"/>
              </w:rPr>
            </w:pPr>
            <w:r w:rsidRPr="000F0299">
              <w:rPr>
                <w:rFonts w:eastAsia="Times New Roman"/>
                <w:sz w:val="22"/>
                <w:szCs w:val="22"/>
                <w:lang w:eastAsia="de-DE"/>
              </w:rPr>
              <w:t>+10%</w:t>
            </w:r>
          </w:p>
        </w:tc>
        <w:tc>
          <w:tcPr>
            <w:tcW w:w="425" w:type="pct"/>
          </w:tcPr>
          <w:p w14:paraId="3850B4C3" w14:textId="77777777" w:rsidR="00565392" w:rsidRPr="000F0299" w:rsidRDefault="00565392" w:rsidP="00565392">
            <w:pPr>
              <w:spacing w:before="0"/>
              <w:ind w:firstLine="0"/>
              <w:jc w:val="center"/>
              <w:rPr>
                <w:rFonts w:eastAsia="Times New Roman"/>
                <w:iCs/>
                <w:sz w:val="22"/>
                <w:szCs w:val="22"/>
                <w:lang w:eastAsia="de-DE"/>
              </w:rPr>
            </w:pPr>
            <w:r w:rsidRPr="000F0299">
              <w:rPr>
                <w:rFonts w:eastAsia="Times New Roman"/>
                <w:sz w:val="22"/>
                <w:szCs w:val="22"/>
                <w:lang w:eastAsia="de-DE"/>
              </w:rPr>
              <w:t>N/A</w:t>
            </w:r>
            <w:r w:rsidRPr="000F0299">
              <w:rPr>
                <w:rFonts w:eastAsia="Times New Roman"/>
                <w:bCs/>
                <w:color w:val="000000" w:themeColor="text1"/>
                <w:kern w:val="24"/>
                <w:sz w:val="22"/>
                <w:szCs w:val="22"/>
                <w:lang w:eastAsia="de-DE"/>
              </w:rPr>
              <w:t xml:space="preserve"> %</w:t>
            </w:r>
          </w:p>
        </w:tc>
        <w:tc>
          <w:tcPr>
            <w:tcW w:w="425" w:type="pct"/>
          </w:tcPr>
          <w:p w14:paraId="0B336825" w14:textId="77777777" w:rsidR="00565392" w:rsidRPr="000F0299" w:rsidRDefault="00565392" w:rsidP="00565392">
            <w:pPr>
              <w:spacing w:before="0"/>
              <w:ind w:firstLine="0"/>
              <w:jc w:val="center"/>
              <w:rPr>
                <w:rFonts w:eastAsia="Times New Roman"/>
                <w:iCs/>
                <w:sz w:val="22"/>
                <w:szCs w:val="22"/>
                <w:lang w:eastAsia="de-DE"/>
              </w:rPr>
            </w:pPr>
            <w:r w:rsidRPr="000F0299">
              <w:rPr>
                <w:rFonts w:eastAsia="Times New Roman"/>
                <w:sz w:val="22"/>
                <w:szCs w:val="22"/>
                <w:lang w:eastAsia="de-DE"/>
              </w:rPr>
              <w:t>+30%</w:t>
            </w:r>
          </w:p>
        </w:tc>
        <w:tc>
          <w:tcPr>
            <w:tcW w:w="425" w:type="pct"/>
          </w:tcPr>
          <w:p w14:paraId="4E2F1BF9" w14:textId="77777777" w:rsidR="00565392" w:rsidRPr="000F0299" w:rsidRDefault="00565392" w:rsidP="00565392">
            <w:pPr>
              <w:spacing w:before="0"/>
              <w:ind w:firstLine="0"/>
              <w:jc w:val="center"/>
              <w:rPr>
                <w:rFonts w:eastAsia="Times New Roman"/>
                <w:iCs/>
                <w:sz w:val="22"/>
                <w:szCs w:val="22"/>
                <w:lang w:eastAsia="de-DE"/>
              </w:rPr>
            </w:pPr>
            <w:r w:rsidRPr="000F0299">
              <w:rPr>
                <w:rFonts w:eastAsia="Times New Roman"/>
                <w:sz w:val="22"/>
                <w:szCs w:val="22"/>
                <w:lang w:eastAsia="de-DE"/>
              </w:rPr>
              <w:t>N/A</w:t>
            </w:r>
            <w:r w:rsidRPr="000F0299">
              <w:rPr>
                <w:rFonts w:eastAsia="Times New Roman"/>
                <w:bCs/>
                <w:color w:val="000000" w:themeColor="text1"/>
                <w:kern w:val="24"/>
                <w:sz w:val="22"/>
                <w:szCs w:val="22"/>
                <w:lang w:eastAsia="de-DE"/>
              </w:rPr>
              <w:t xml:space="preserve"> %</w:t>
            </w:r>
          </w:p>
        </w:tc>
        <w:tc>
          <w:tcPr>
            <w:tcW w:w="425" w:type="pct"/>
          </w:tcPr>
          <w:p w14:paraId="0050F2B5" w14:textId="77777777" w:rsidR="00565392" w:rsidRPr="000F0299" w:rsidRDefault="00565392" w:rsidP="00565392">
            <w:pPr>
              <w:spacing w:before="0"/>
              <w:ind w:firstLine="0"/>
              <w:jc w:val="center"/>
              <w:rPr>
                <w:rFonts w:eastAsia="Times New Roman"/>
                <w:iCs/>
                <w:sz w:val="22"/>
                <w:szCs w:val="22"/>
                <w:lang w:eastAsia="de-DE"/>
              </w:rPr>
            </w:pPr>
            <w:r w:rsidRPr="000F0299">
              <w:rPr>
                <w:rFonts w:eastAsia="Times New Roman"/>
                <w:sz w:val="22"/>
                <w:szCs w:val="22"/>
                <w:lang w:eastAsia="de-DE"/>
              </w:rPr>
              <w:t>+35%</w:t>
            </w:r>
          </w:p>
        </w:tc>
        <w:tc>
          <w:tcPr>
            <w:tcW w:w="425" w:type="pct"/>
          </w:tcPr>
          <w:p w14:paraId="3C7BB5AA"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N/A</w:t>
            </w:r>
            <w:r w:rsidRPr="000F0299">
              <w:rPr>
                <w:rFonts w:eastAsia="Times New Roman"/>
                <w:bCs/>
                <w:color w:val="000000" w:themeColor="text1"/>
                <w:kern w:val="24"/>
                <w:sz w:val="22"/>
                <w:szCs w:val="22"/>
                <w:lang w:eastAsia="de-DE"/>
              </w:rPr>
              <w:t xml:space="preserve"> %</w:t>
            </w:r>
          </w:p>
        </w:tc>
        <w:tc>
          <w:tcPr>
            <w:tcW w:w="426" w:type="pct"/>
          </w:tcPr>
          <w:p w14:paraId="70F4FF2B"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45%</w:t>
            </w:r>
          </w:p>
        </w:tc>
      </w:tr>
      <w:tr w:rsidR="00565392" w:rsidRPr="000F0299" w14:paraId="1CA7B163" w14:textId="77777777" w:rsidTr="000132F3">
        <w:trPr>
          <w:gridAfter w:val="1"/>
          <w:wAfter w:w="7" w:type="pct"/>
        </w:trPr>
        <w:tc>
          <w:tcPr>
            <w:tcW w:w="1541" w:type="pct"/>
          </w:tcPr>
          <w:p w14:paraId="211B4872" w14:textId="77777777" w:rsidR="00565392" w:rsidRPr="000F0299" w:rsidRDefault="00565392" w:rsidP="00565392">
            <w:pPr>
              <w:spacing w:before="0"/>
              <w:ind w:firstLine="0"/>
              <w:rPr>
                <w:rFonts w:eastAsia="Times New Roman"/>
                <w:bCs/>
                <w:sz w:val="22"/>
                <w:szCs w:val="22"/>
                <w:lang w:eastAsia="de-DE"/>
              </w:rPr>
            </w:pPr>
            <w:r w:rsidRPr="000F0299">
              <w:rPr>
                <w:rFonts w:eastAsia="Times New Roman"/>
                <w:sz w:val="22"/>
                <w:szCs w:val="22"/>
                <w:lang w:eastAsia="de-DE"/>
              </w:rPr>
              <w:t>Доступност и квалитет спровођења приоритетних јавних услуга ЛС</w:t>
            </w:r>
          </w:p>
        </w:tc>
        <w:tc>
          <w:tcPr>
            <w:tcW w:w="476" w:type="pct"/>
          </w:tcPr>
          <w:p w14:paraId="2EB6FB9C" w14:textId="77777777" w:rsidR="00565392" w:rsidRPr="000F0299" w:rsidRDefault="00565392" w:rsidP="00565392">
            <w:pPr>
              <w:spacing w:before="0"/>
              <w:ind w:firstLine="0"/>
              <w:jc w:val="center"/>
              <w:rPr>
                <w:rFonts w:eastAsia="Times New Roman"/>
                <w:sz w:val="22"/>
                <w:szCs w:val="22"/>
                <w:lang w:eastAsia="de-DE"/>
              </w:rPr>
            </w:pPr>
          </w:p>
        </w:tc>
        <w:tc>
          <w:tcPr>
            <w:tcW w:w="425" w:type="pct"/>
          </w:tcPr>
          <w:p w14:paraId="3CDF5103" w14:textId="77777777" w:rsidR="00565392" w:rsidRPr="000F0299" w:rsidRDefault="00565392" w:rsidP="00565392">
            <w:pPr>
              <w:spacing w:before="0"/>
              <w:ind w:firstLine="0"/>
              <w:jc w:val="center"/>
              <w:rPr>
                <w:rFonts w:eastAsia="Times New Roman"/>
                <w:sz w:val="22"/>
                <w:szCs w:val="22"/>
                <w:lang w:eastAsia="de-DE"/>
              </w:rPr>
            </w:pPr>
            <w:r w:rsidRPr="000F0299">
              <w:rPr>
                <w:rFonts w:eastAsia="Times New Roman"/>
                <w:sz w:val="22"/>
                <w:szCs w:val="22"/>
                <w:lang w:eastAsia="de-DE"/>
              </w:rPr>
              <w:t>-</w:t>
            </w:r>
          </w:p>
        </w:tc>
        <w:tc>
          <w:tcPr>
            <w:tcW w:w="425" w:type="pct"/>
          </w:tcPr>
          <w:p w14:paraId="5E33A28D" w14:textId="77777777" w:rsidR="00565392" w:rsidRPr="000F0299" w:rsidRDefault="00565392" w:rsidP="00565392">
            <w:pPr>
              <w:spacing w:before="0"/>
              <w:ind w:firstLine="0"/>
              <w:jc w:val="center"/>
              <w:rPr>
                <w:rFonts w:eastAsia="Times New Roman"/>
                <w:bCs/>
                <w:sz w:val="22"/>
                <w:szCs w:val="22"/>
                <w:lang w:eastAsia="de-DE"/>
              </w:rPr>
            </w:pPr>
            <w:r w:rsidRPr="000F0299">
              <w:rPr>
                <w:rFonts w:eastAsia="Times New Roman"/>
                <w:sz w:val="22"/>
                <w:szCs w:val="22"/>
                <w:lang w:eastAsia="de-DE"/>
              </w:rPr>
              <w:t>-</w:t>
            </w:r>
          </w:p>
        </w:tc>
        <w:tc>
          <w:tcPr>
            <w:tcW w:w="425" w:type="pct"/>
          </w:tcPr>
          <w:p w14:paraId="757730DA" w14:textId="7151DFF5" w:rsidR="00565392" w:rsidRPr="000F0299" w:rsidRDefault="00565392" w:rsidP="00C221F5">
            <w:pPr>
              <w:ind w:firstLine="0"/>
              <w:jc w:val="center"/>
              <w:rPr>
                <w:sz w:val="20"/>
                <w:szCs w:val="20"/>
              </w:rPr>
            </w:pPr>
            <w:r w:rsidRPr="000F0299">
              <w:rPr>
                <w:sz w:val="20"/>
                <w:szCs w:val="20"/>
              </w:rPr>
              <w:t>Израђен индекс</w:t>
            </w:r>
          </w:p>
        </w:tc>
        <w:tc>
          <w:tcPr>
            <w:tcW w:w="425" w:type="pct"/>
          </w:tcPr>
          <w:p w14:paraId="789A0E0F" w14:textId="77777777" w:rsidR="00565392" w:rsidRPr="000F0299" w:rsidRDefault="00565392" w:rsidP="00565392">
            <w:pPr>
              <w:spacing w:before="0"/>
              <w:ind w:firstLine="0"/>
              <w:jc w:val="center"/>
              <w:rPr>
                <w:rFonts w:eastAsia="Times New Roman"/>
                <w:sz w:val="20"/>
                <w:szCs w:val="20"/>
                <w:lang w:eastAsia="de-DE"/>
              </w:rPr>
            </w:pPr>
            <w:r w:rsidRPr="000F0299">
              <w:rPr>
                <w:rFonts w:eastAsia="Times New Roman"/>
                <w:sz w:val="20"/>
                <w:szCs w:val="20"/>
                <w:lang w:eastAsia="de-DE"/>
              </w:rPr>
              <w:t>Биће утврђено 2023.</w:t>
            </w:r>
          </w:p>
        </w:tc>
        <w:tc>
          <w:tcPr>
            <w:tcW w:w="425" w:type="pct"/>
          </w:tcPr>
          <w:p w14:paraId="491A40D2" w14:textId="77777777" w:rsidR="00565392" w:rsidRPr="000F0299" w:rsidRDefault="00565392" w:rsidP="00565392">
            <w:pPr>
              <w:spacing w:before="0"/>
              <w:ind w:firstLine="0"/>
              <w:jc w:val="center"/>
              <w:rPr>
                <w:rFonts w:eastAsia="Times New Roman"/>
                <w:sz w:val="20"/>
                <w:szCs w:val="20"/>
                <w:lang w:eastAsia="de-DE"/>
              </w:rPr>
            </w:pPr>
            <w:r w:rsidRPr="000F0299">
              <w:rPr>
                <w:rFonts w:eastAsia="Times New Roman"/>
                <w:sz w:val="20"/>
                <w:szCs w:val="20"/>
                <w:lang w:eastAsia="de-DE"/>
              </w:rPr>
              <w:t>Биће утврђено 2023.</w:t>
            </w:r>
          </w:p>
        </w:tc>
        <w:tc>
          <w:tcPr>
            <w:tcW w:w="425" w:type="pct"/>
          </w:tcPr>
          <w:p w14:paraId="0F359D5F" w14:textId="77777777" w:rsidR="00565392" w:rsidRPr="000F0299" w:rsidRDefault="00565392" w:rsidP="00565392">
            <w:pPr>
              <w:spacing w:before="0"/>
              <w:ind w:firstLine="0"/>
              <w:jc w:val="center"/>
              <w:rPr>
                <w:rFonts w:eastAsia="Times New Roman"/>
                <w:sz w:val="20"/>
                <w:szCs w:val="20"/>
                <w:lang w:eastAsia="de-DE"/>
              </w:rPr>
            </w:pPr>
            <w:r w:rsidRPr="000F0299">
              <w:rPr>
                <w:rFonts w:eastAsia="Times New Roman"/>
                <w:sz w:val="20"/>
                <w:szCs w:val="20"/>
                <w:lang w:eastAsia="de-DE"/>
              </w:rPr>
              <w:t>Биће утврђено 2023.</w:t>
            </w:r>
          </w:p>
        </w:tc>
        <w:tc>
          <w:tcPr>
            <w:tcW w:w="426" w:type="pct"/>
          </w:tcPr>
          <w:p w14:paraId="16E2FA44" w14:textId="77777777" w:rsidR="00565392" w:rsidRPr="000F0299" w:rsidRDefault="00565392" w:rsidP="00565392">
            <w:pPr>
              <w:spacing w:before="0"/>
              <w:ind w:firstLine="0"/>
              <w:jc w:val="center"/>
              <w:rPr>
                <w:rFonts w:eastAsia="Times New Roman"/>
                <w:sz w:val="22"/>
                <w:szCs w:val="22"/>
                <w:lang w:eastAsia="de-DE"/>
              </w:rPr>
            </w:pPr>
          </w:p>
        </w:tc>
      </w:tr>
      <w:bookmarkEnd w:id="95"/>
    </w:tbl>
    <w:p w14:paraId="09EE50D5" w14:textId="0CBBE54A" w:rsidR="00851240" w:rsidRPr="000F0299" w:rsidRDefault="00851240" w:rsidP="00851240">
      <w:pPr>
        <w:pStyle w:val="Caption"/>
        <w:rPr>
          <w:lang w:val="sr-Cyrl-RS"/>
        </w:rPr>
      </w:pPr>
    </w:p>
    <w:p w14:paraId="1F57F9CA" w14:textId="77777777" w:rsidR="00851240" w:rsidRPr="000F0299" w:rsidRDefault="00851240">
      <w:pPr>
        <w:suppressAutoHyphens w:val="0"/>
        <w:autoSpaceDN/>
        <w:spacing w:before="0" w:after="160" w:line="259" w:lineRule="auto"/>
        <w:ind w:firstLine="0"/>
        <w:jc w:val="left"/>
        <w:textAlignment w:val="auto"/>
        <w:rPr>
          <w:i/>
          <w:iCs/>
          <w:color w:val="44546A" w:themeColor="text2"/>
          <w:sz w:val="18"/>
          <w:szCs w:val="18"/>
        </w:rPr>
      </w:pPr>
      <w:r w:rsidRPr="000F0299">
        <w:br w:type="page"/>
      </w:r>
    </w:p>
    <w:p w14:paraId="2F158B54" w14:textId="1B6A04D1" w:rsidR="004C1AEB" w:rsidRPr="000F0299" w:rsidRDefault="004C1AEB" w:rsidP="004C1AEB">
      <w:pPr>
        <w:pStyle w:val="Heading2"/>
        <w:rPr>
          <w:lang w:val="sr-Cyrl-RS"/>
        </w:rPr>
      </w:pPr>
      <w:bookmarkStart w:id="96" w:name="_Toc57661472"/>
      <w:r w:rsidRPr="000F0299">
        <w:rPr>
          <w:lang w:val="sr-Cyrl-RS"/>
        </w:rPr>
        <w:t>Трошкови спровођења Стратегије РЈУ</w:t>
      </w:r>
      <w:bookmarkEnd w:id="96"/>
    </w:p>
    <w:p w14:paraId="413D7924" w14:textId="46914685" w:rsidR="00E83514" w:rsidRPr="000F0299" w:rsidRDefault="00E83514" w:rsidP="00E83514">
      <w:pPr>
        <w:pStyle w:val="Caption"/>
        <w:keepNext/>
        <w:rPr>
          <w:lang w:val="sr-Cyrl-RS"/>
        </w:rPr>
      </w:pPr>
      <w:bookmarkStart w:id="97" w:name="_Toc57665376"/>
      <w:r w:rsidRPr="00EC3C52">
        <w:rPr>
          <w:i w:val="0"/>
          <w:iCs w:val="0"/>
          <w:lang w:val="sr-Cyrl-RS"/>
        </w:rPr>
        <w:t xml:space="preserve">Табела </w:t>
      </w:r>
      <w:r w:rsidRPr="00EC3C52">
        <w:rPr>
          <w:i w:val="0"/>
          <w:iCs w:val="0"/>
          <w:lang w:val="sr-Cyrl-RS"/>
        </w:rPr>
        <w:fldChar w:fldCharType="begin"/>
      </w:r>
      <w:r w:rsidRPr="00EC3C52">
        <w:rPr>
          <w:i w:val="0"/>
          <w:iCs w:val="0"/>
          <w:lang w:val="sr-Cyrl-RS"/>
        </w:rPr>
        <w:instrText xml:space="preserve"> SEQ Табела \* ARABIC </w:instrText>
      </w:r>
      <w:r w:rsidRPr="00EC3C52">
        <w:rPr>
          <w:i w:val="0"/>
          <w:iCs w:val="0"/>
          <w:lang w:val="sr-Cyrl-RS"/>
        </w:rPr>
        <w:fldChar w:fldCharType="separate"/>
      </w:r>
      <w:r w:rsidR="00772172" w:rsidRPr="00EC3C52">
        <w:rPr>
          <w:i w:val="0"/>
          <w:iCs w:val="0"/>
          <w:noProof/>
          <w:lang w:val="sr-Cyrl-RS"/>
        </w:rPr>
        <w:t>4</w:t>
      </w:r>
      <w:r w:rsidRPr="00EC3C52">
        <w:rPr>
          <w:i w:val="0"/>
          <w:iCs w:val="0"/>
          <w:lang w:val="sr-Cyrl-RS"/>
        </w:rPr>
        <w:fldChar w:fldCharType="end"/>
      </w:r>
      <w:r w:rsidRPr="00EC3C52">
        <w:rPr>
          <w:i w:val="0"/>
          <w:iCs w:val="0"/>
          <w:lang w:val="sr-Cyrl-RS"/>
        </w:rPr>
        <w:t xml:space="preserve"> Трошкови за спровођење Стратегије РЈУ за период 2021-2025</w:t>
      </w:r>
      <w:r w:rsidRPr="000F0299">
        <w:rPr>
          <w:rStyle w:val="FootnoteReference"/>
          <w:lang w:val="sr-Cyrl-RS"/>
        </w:rPr>
        <w:footnoteReference w:id="49"/>
      </w:r>
      <w:bookmarkEnd w:id="97"/>
    </w:p>
    <w:tbl>
      <w:tblPr>
        <w:tblStyle w:val="GridTable1Light-Accent31"/>
        <w:tblW w:w="5000" w:type="pct"/>
        <w:tblLook w:val="06A0" w:firstRow="1" w:lastRow="0" w:firstColumn="1" w:lastColumn="0" w:noHBand="1" w:noVBand="1"/>
      </w:tblPr>
      <w:tblGrid>
        <w:gridCol w:w="3813"/>
        <w:gridCol w:w="1654"/>
        <w:gridCol w:w="1774"/>
        <w:gridCol w:w="1714"/>
        <w:gridCol w:w="1714"/>
        <w:gridCol w:w="1714"/>
        <w:gridCol w:w="1894"/>
      </w:tblGrid>
      <w:tr w:rsidR="00D321E8" w:rsidRPr="000F0299" w14:paraId="723C13A3" w14:textId="77777777" w:rsidTr="00F828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5" w:type="pct"/>
            <w:shd w:val="clear" w:color="auto" w:fill="A6A6A6" w:themeFill="background1" w:themeFillShade="A6"/>
            <w:noWrap/>
            <w:hideMark/>
          </w:tcPr>
          <w:p w14:paraId="15E3C5A2" w14:textId="77777777" w:rsidR="00D321E8" w:rsidRPr="000F0299" w:rsidRDefault="00D321E8" w:rsidP="00D321E8">
            <w:pPr>
              <w:jc w:val="center"/>
              <w:rPr>
                <w:lang w:eastAsia="en-GB"/>
              </w:rPr>
            </w:pPr>
            <w:r w:rsidRPr="000F0299">
              <w:rPr>
                <w:lang w:eastAsia="en-GB"/>
              </w:rPr>
              <w:t>У хиљадама динара</w:t>
            </w:r>
            <w:r w:rsidRPr="000F0299">
              <w:rPr>
                <w:rFonts w:eastAsia="Times New Roman"/>
                <w:color w:val="000000"/>
                <w:vertAlign w:val="superscript"/>
                <w:lang w:eastAsia="en-GB"/>
              </w:rPr>
              <w:footnoteReference w:id="50"/>
            </w:r>
          </w:p>
        </w:tc>
        <w:tc>
          <w:tcPr>
            <w:tcW w:w="579" w:type="pct"/>
            <w:shd w:val="clear" w:color="auto" w:fill="A6A6A6" w:themeFill="background1" w:themeFillShade="A6"/>
            <w:noWrap/>
            <w:vAlign w:val="center"/>
            <w:hideMark/>
          </w:tcPr>
          <w:p w14:paraId="5E21A2B4" w14:textId="77777777" w:rsidR="00D321E8" w:rsidRPr="000F0299" w:rsidRDefault="00D321E8" w:rsidP="00D321E8">
            <w:pPr>
              <w:jc w:val="center"/>
              <w:cnfStyle w:val="100000000000" w:firstRow="1" w:lastRow="0" w:firstColumn="0" w:lastColumn="0" w:oddVBand="0" w:evenVBand="0" w:oddHBand="0" w:evenHBand="0" w:firstRowFirstColumn="0" w:firstRowLastColumn="0" w:lastRowFirstColumn="0" w:lastRowLastColumn="0"/>
              <w:rPr>
                <w:lang w:eastAsia="en-GB"/>
              </w:rPr>
            </w:pPr>
            <w:r w:rsidRPr="000F0299">
              <w:rPr>
                <w:lang w:eastAsia="en-GB"/>
              </w:rPr>
              <w:t>2021</w:t>
            </w:r>
          </w:p>
        </w:tc>
        <w:tc>
          <w:tcPr>
            <w:tcW w:w="621" w:type="pct"/>
            <w:shd w:val="clear" w:color="auto" w:fill="A6A6A6" w:themeFill="background1" w:themeFillShade="A6"/>
            <w:noWrap/>
            <w:vAlign w:val="center"/>
            <w:hideMark/>
          </w:tcPr>
          <w:p w14:paraId="4B6BBED6" w14:textId="77777777" w:rsidR="00D321E8" w:rsidRPr="000F0299" w:rsidRDefault="00D321E8" w:rsidP="00D321E8">
            <w:pPr>
              <w:jc w:val="center"/>
              <w:cnfStyle w:val="100000000000" w:firstRow="1" w:lastRow="0" w:firstColumn="0" w:lastColumn="0" w:oddVBand="0" w:evenVBand="0" w:oddHBand="0" w:evenHBand="0" w:firstRowFirstColumn="0" w:firstRowLastColumn="0" w:lastRowFirstColumn="0" w:lastRowLastColumn="0"/>
              <w:rPr>
                <w:lang w:eastAsia="en-GB"/>
              </w:rPr>
            </w:pPr>
            <w:r w:rsidRPr="000F0299">
              <w:rPr>
                <w:lang w:eastAsia="en-GB"/>
              </w:rPr>
              <w:t>2022</w:t>
            </w:r>
          </w:p>
        </w:tc>
        <w:tc>
          <w:tcPr>
            <w:tcW w:w="600" w:type="pct"/>
            <w:shd w:val="clear" w:color="auto" w:fill="A6A6A6" w:themeFill="background1" w:themeFillShade="A6"/>
            <w:noWrap/>
            <w:vAlign w:val="center"/>
            <w:hideMark/>
          </w:tcPr>
          <w:p w14:paraId="7F8503B6" w14:textId="77777777" w:rsidR="00D321E8" w:rsidRPr="000F0299" w:rsidRDefault="00D321E8" w:rsidP="00D321E8">
            <w:pPr>
              <w:jc w:val="center"/>
              <w:cnfStyle w:val="100000000000" w:firstRow="1" w:lastRow="0" w:firstColumn="0" w:lastColumn="0" w:oddVBand="0" w:evenVBand="0" w:oddHBand="0" w:evenHBand="0" w:firstRowFirstColumn="0" w:firstRowLastColumn="0" w:lastRowFirstColumn="0" w:lastRowLastColumn="0"/>
              <w:rPr>
                <w:lang w:eastAsia="en-GB"/>
              </w:rPr>
            </w:pPr>
            <w:r w:rsidRPr="000F0299">
              <w:rPr>
                <w:lang w:eastAsia="en-GB"/>
              </w:rPr>
              <w:t>2023</w:t>
            </w:r>
          </w:p>
        </w:tc>
        <w:tc>
          <w:tcPr>
            <w:tcW w:w="600" w:type="pct"/>
            <w:shd w:val="clear" w:color="auto" w:fill="A6A6A6" w:themeFill="background1" w:themeFillShade="A6"/>
            <w:noWrap/>
            <w:vAlign w:val="center"/>
            <w:hideMark/>
          </w:tcPr>
          <w:p w14:paraId="2CEC5381" w14:textId="77777777" w:rsidR="00D321E8" w:rsidRPr="000F0299" w:rsidRDefault="00D321E8" w:rsidP="00D321E8">
            <w:pPr>
              <w:jc w:val="center"/>
              <w:cnfStyle w:val="100000000000" w:firstRow="1" w:lastRow="0" w:firstColumn="0" w:lastColumn="0" w:oddVBand="0" w:evenVBand="0" w:oddHBand="0" w:evenHBand="0" w:firstRowFirstColumn="0" w:firstRowLastColumn="0" w:lastRowFirstColumn="0" w:lastRowLastColumn="0"/>
              <w:rPr>
                <w:lang w:eastAsia="en-GB"/>
              </w:rPr>
            </w:pPr>
            <w:r w:rsidRPr="000F0299">
              <w:rPr>
                <w:lang w:eastAsia="en-GB"/>
              </w:rPr>
              <w:t>2024</w:t>
            </w:r>
          </w:p>
        </w:tc>
        <w:tc>
          <w:tcPr>
            <w:tcW w:w="600" w:type="pct"/>
            <w:shd w:val="clear" w:color="auto" w:fill="A6A6A6" w:themeFill="background1" w:themeFillShade="A6"/>
            <w:noWrap/>
            <w:vAlign w:val="center"/>
            <w:hideMark/>
          </w:tcPr>
          <w:p w14:paraId="014C5568" w14:textId="77777777" w:rsidR="00D321E8" w:rsidRPr="000F0299" w:rsidRDefault="00D321E8" w:rsidP="00D321E8">
            <w:pPr>
              <w:jc w:val="center"/>
              <w:cnfStyle w:val="100000000000" w:firstRow="1" w:lastRow="0" w:firstColumn="0" w:lastColumn="0" w:oddVBand="0" w:evenVBand="0" w:oddHBand="0" w:evenHBand="0" w:firstRowFirstColumn="0" w:firstRowLastColumn="0" w:lastRowFirstColumn="0" w:lastRowLastColumn="0"/>
              <w:rPr>
                <w:lang w:eastAsia="en-GB"/>
              </w:rPr>
            </w:pPr>
            <w:r w:rsidRPr="000F0299">
              <w:rPr>
                <w:lang w:eastAsia="en-GB"/>
              </w:rPr>
              <w:t>2025</w:t>
            </w:r>
          </w:p>
        </w:tc>
        <w:tc>
          <w:tcPr>
            <w:tcW w:w="663" w:type="pct"/>
            <w:shd w:val="clear" w:color="auto" w:fill="A6A6A6" w:themeFill="background1" w:themeFillShade="A6"/>
            <w:noWrap/>
            <w:vAlign w:val="center"/>
            <w:hideMark/>
          </w:tcPr>
          <w:p w14:paraId="68752C94" w14:textId="77777777" w:rsidR="00D321E8" w:rsidRPr="000F0299" w:rsidRDefault="00D321E8" w:rsidP="00D321E8">
            <w:pPr>
              <w:jc w:val="center"/>
              <w:cnfStyle w:val="100000000000" w:firstRow="1" w:lastRow="0" w:firstColumn="0" w:lastColumn="0" w:oddVBand="0" w:evenVBand="0" w:oddHBand="0" w:evenHBand="0" w:firstRowFirstColumn="0" w:firstRowLastColumn="0" w:lastRowFirstColumn="0" w:lastRowLastColumn="0"/>
              <w:rPr>
                <w:lang w:eastAsia="en-GB"/>
              </w:rPr>
            </w:pPr>
            <w:r w:rsidRPr="000F0299">
              <w:rPr>
                <w:lang w:eastAsia="en-GB"/>
              </w:rPr>
              <w:t>ТОТАЛ</w:t>
            </w:r>
          </w:p>
        </w:tc>
      </w:tr>
      <w:tr w:rsidR="006602EF" w:rsidRPr="000F0299" w14:paraId="23D4E2E7" w14:textId="77777777" w:rsidTr="00F8286F">
        <w:trPr>
          <w:trHeight w:val="435"/>
        </w:trPr>
        <w:tc>
          <w:tcPr>
            <w:cnfStyle w:val="001000000000" w:firstRow="0" w:lastRow="0" w:firstColumn="1" w:lastColumn="0" w:oddVBand="0" w:evenVBand="0" w:oddHBand="0" w:evenHBand="0" w:firstRowFirstColumn="0" w:firstRowLastColumn="0" w:lastRowFirstColumn="0" w:lastRowLastColumn="0"/>
            <w:tcW w:w="1335" w:type="pct"/>
            <w:shd w:val="clear" w:color="auto" w:fill="E7E6E6" w:themeFill="background2"/>
            <w:hideMark/>
          </w:tcPr>
          <w:p w14:paraId="05CA52C6" w14:textId="77777777" w:rsidR="006602EF" w:rsidRPr="000F0299" w:rsidRDefault="006602EF" w:rsidP="006602EF">
            <w:pPr>
              <w:ind w:firstLine="0"/>
              <w:rPr>
                <w:lang w:eastAsia="en-GB"/>
              </w:rPr>
            </w:pPr>
            <w:r w:rsidRPr="000F0299">
              <w:rPr>
                <w:lang w:eastAsia="en-GB"/>
              </w:rPr>
              <w:t>Посебан циљ 2.1: Унапређен процес регрутације у јавној управи</w:t>
            </w:r>
          </w:p>
        </w:tc>
        <w:tc>
          <w:tcPr>
            <w:tcW w:w="579" w:type="pct"/>
            <w:shd w:val="clear" w:color="auto" w:fill="E7E6E6" w:themeFill="background2"/>
            <w:noWrap/>
            <w:hideMark/>
          </w:tcPr>
          <w:p w14:paraId="3DD62177" w14:textId="09EBA256"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11,296.00</w:t>
            </w:r>
          </w:p>
        </w:tc>
        <w:tc>
          <w:tcPr>
            <w:tcW w:w="621" w:type="pct"/>
            <w:shd w:val="clear" w:color="auto" w:fill="E7E6E6" w:themeFill="background2"/>
            <w:noWrap/>
            <w:hideMark/>
          </w:tcPr>
          <w:p w14:paraId="5ACE9A29" w14:textId="5ED84E91"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22,038.05</w:t>
            </w:r>
          </w:p>
        </w:tc>
        <w:tc>
          <w:tcPr>
            <w:tcW w:w="600" w:type="pct"/>
            <w:shd w:val="clear" w:color="auto" w:fill="E7E6E6" w:themeFill="background2"/>
            <w:noWrap/>
            <w:hideMark/>
          </w:tcPr>
          <w:p w14:paraId="42FCFF1F" w14:textId="7458988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17,637.50</w:t>
            </w:r>
          </w:p>
        </w:tc>
        <w:tc>
          <w:tcPr>
            <w:tcW w:w="600" w:type="pct"/>
            <w:shd w:val="clear" w:color="auto" w:fill="E7E6E6" w:themeFill="background2"/>
            <w:noWrap/>
            <w:hideMark/>
          </w:tcPr>
          <w:p w14:paraId="7ED41522" w14:textId="7FCE751E"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12,709.92</w:t>
            </w:r>
          </w:p>
        </w:tc>
        <w:tc>
          <w:tcPr>
            <w:tcW w:w="600" w:type="pct"/>
            <w:shd w:val="clear" w:color="auto" w:fill="E7E6E6" w:themeFill="background2"/>
            <w:noWrap/>
            <w:hideMark/>
          </w:tcPr>
          <w:p w14:paraId="293BC77E" w14:textId="1784B0DB"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10,189.92</w:t>
            </w:r>
          </w:p>
        </w:tc>
        <w:tc>
          <w:tcPr>
            <w:tcW w:w="663" w:type="pct"/>
            <w:shd w:val="clear" w:color="auto" w:fill="E7E6E6" w:themeFill="background2"/>
            <w:noWrap/>
            <w:hideMark/>
          </w:tcPr>
          <w:p w14:paraId="7560F646" w14:textId="7B8D33C1" w:rsidR="006602EF" w:rsidRPr="006602EF" w:rsidRDefault="006602EF" w:rsidP="006602EF">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6602EF">
              <w:rPr>
                <w:b/>
                <w:bCs/>
              </w:rPr>
              <w:t>73,871.39</w:t>
            </w:r>
          </w:p>
        </w:tc>
      </w:tr>
      <w:tr w:rsidR="006602EF" w:rsidRPr="000F0299" w14:paraId="4B5F7F11" w14:textId="77777777" w:rsidTr="00F8286F">
        <w:trPr>
          <w:trHeight w:val="615"/>
        </w:trPr>
        <w:tc>
          <w:tcPr>
            <w:cnfStyle w:val="001000000000" w:firstRow="0" w:lastRow="0" w:firstColumn="1" w:lastColumn="0" w:oddVBand="0" w:evenVBand="0" w:oddHBand="0" w:evenHBand="0" w:firstRowFirstColumn="0" w:firstRowLastColumn="0" w:lastRowFirstColumn="0" w:lastRowLastColumn="0"/>
            <w:tcW w:w="1335" w:type="pct"/>
            <w:hideMark/>
          </w:tcPr>
          <w:p w14:paraId="39117AFB" w14:textId="70960A11" w:rsidR="006602EF" w:rsidRPr="000F0299" w:rsidRDefault="006602EF" w:rsidP="006602EF">
            <w:pPr>
              <w:ind w:firstLine="0"/>
              <w:rPr>
                <w:lang w:eastAsia="en-GB"/>
              </w:rPr>
            </w:pPr>
            <w:r w:rsidRPr="000F0299">
              <w:rPr>
                <w:lang w:eastAsia="en-GB"/>
              </w:rPr>
              <w:t>Meрa 2.1.1: Унапређење кадровског планирања и промовисање државне управе као пожељног послодавца</w:t>
            </w:r>
          </w:p>
        </w:tc>
        <w:tc>
          <w:tcPr>
            <w:tcW w:w="579" w:type="pct"/>
            <w:noWrap/>
            <w:hideMark/>
          </w:tcPr>
          <w:p w14:paraId="6EA7B876" w14:textId="7F4D22B1"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1,200.00</w:t>
            </w:r>
          </w:p>
        </w:tc>
        <w:tc>
          <w:tcPr>
            <w:tcW w:w="621" w:type="pct"/>
            <w:noWrap/>
            <w:hideMark/>
          </w:tcPr>
          <w:p w14:paraId="335C796F" w14:textId="16FBA9CA"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15,438.05</w:t>
            </w:r>
          </w:p>
        </w:tc>
        <w:tc>
          <w:tcPr>
            <w:tcW w:w="600" w:type="pct"/>
            <w:noWrap/>
            <w:hideMark/>
          </w:tcPr>
          <w:p w14:paraId="7DAB66D2" w14:textId="4B3298DC"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1,907.50</w:t>
            </w:r>
          </w:p>
        </w:tc>
        <w:tc>
          <w:tcPr>
            <w:tcW w:w="600" w:type="pct"/>
            <w:noWrap/>
            <w:hideMark/>
          </w:tcPr>
          <w:p w14:paraId="33947BC7" w14:textId="128A4940"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707.50</w:t>
            </w:r>
          </w:p>
        </w:tc>
        <w:tc>
          <w:tcPr>
            <w:tcW w:w="600" w:type="pct"/>
            <w:noWrap/>
            <w:hideMark/>
          </w:tcPr>
          <w:p w14:paraId="625D53F0" w14:textId="60D24BE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707.50</w:t>
            </w:r>
          </w:p>
        </w:tc>
        <w:tc>
          <w:tcPr>
            <w:tcW w:w="663" w:type="pct"/>
            <w:noWrap/>
            <w:hideMark/>
          </w:tcPr>
          <w:p w14:paraId="316A0571" w14:textId="699B805A"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19,960.55</w:t>
            </w:r>
          </w:p>
        </w:tc>
      </w:tr>
      <w:tr w:rsidR="006602EF" w:rsidRPr="000F0299" w14:paraId="095D9132" w14:textId="77777777" w:rsidTr="00F8286F">
        <w:trPr>
          <w:trHeight w:val="420"/>
        </w:trPr>
        <w:tc>
          <w:tcPr>
            <w:cnfStyle w:val="001000000000" w:firstRow="0" w:lastRow="0" w:firstColumn="1" w:lastColumn="0" w:oddVBand="0" w:evenVBand="0" w:oddHBand="0" w:evenHBand="0" w:firstRowFirstColumn="0" w:firstRowLastColumn="0" w:lastRowFirstColumn="0" w:lastRowLastColumn="0"/>
            <w:tcW w:w="1335" w:type="pct"/>
            <w:hideMark/>
          </w:tcPr>
          <w:p w14:paraId="299A7FCD" w14:textId="5DBD3902" w:rsidR="006602EF" w:rsidRPr="000F0299" w:rsidRDefault="006602EF" w:rsidP="006602EF">
            <w:pPr>
              <w:ind w:firstLine="0"/>
              <w:rPr>
                <w:lang w:eastAsia="en-GB"/>
              </w:rPr>
            </w:pPr>
            <w:r w:rsidRPr="000F0299">
              <w:rPr>
                <w:lang w:eastAsia="en-GB"/>
              </w:rPr>
              <w:t>Meрa 2.1.2: Унапређење процеса селекције и увођење новозапослених у посао</w:t>
            </w:r>
          </w:p>
        </w:tc>
        <w:tc>
          <w:tcPr>
            <w:tcW w:w="579" w:type="pct"/>
            <w:noWrap/>
            <w:hideMark/>
          </w:tcPr>
          <w:p w14:paraId="2725A009" w14:textId="1735FE9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6,860.00</w:t>
            </w:r>
          </w:p>
        </w:tc>
        <w:tc>
          <w:tcPr>
            <w:tcW w:w="621" w:type="pct"/>
            <w:noWrap/>
            <w:hideMark/>
          </w:tcPr>
          <w:p w14:paraId="69793476" w14:textId="71E69B34"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3,000.00</w:t>
            </w:r>
          </w:p>
        </w:tc>
        <w:tc>
          <w:tcPr>
            <w:tcW w:w="600" w:type="pct"/>
            <w:noWrap/>
            <w:hideMark/>
          </w:tcPr>
          <w:p w14:paraId="69DE7FBC" w14:textId="5B4A5BF2"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15,730.00</w:t>
            </w:r>
          </w:p>
        </w:tc>
        <w:tc>
          <w:tcPr>
            <w:tcW w:w="600" w:type="pct"/>
            <w:noWrap/>
            <w:hideMark/>
          </w:tcPr>
          <w:p w14:paraId="17D74C94" w14:textId="422128C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12,002.42</w:t>
            </w:r>
          </w:p>
        </w:tc>
        <w:tc>
          <w:tcPr>
            <w:tcW w:w="600" w:type="pct"/>
            <w:noWrap/>
            <w:hideMark/>
          </w:tcPr>
          <w:p w14:paraId="39A19837" w14:textId="03C0A03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9,482.42</w:t>
            </w:r>
          </w:p>
        </w:tc>
        <w:tc>
          <w:tcPr>
            <w:tcW w:w="663" w:type="pct"/>
            <w:noWrap/>
            <w:hideMark/>
          </w:tcPr>
          <w:p w14:paraId="075956A4" w14:textId="20742D3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47,074.84</w:t>
            </w:r>
          </w:p>
        </w:tc>
      </w:tr>
      <w:tr w:rsidR="006602EF" w:rsidRPr="000F0299" w14:paraId="1C12FDAF" w14:textId="77777777" w:rsidTr="00F8286F">
        <w:trPr>
          <w:trHeight w:val="585"/>
        </w:trPr>
        <w:tc>
          <w:tcPr>
            <w:cnfStyle w:val="001000000000" w:firstRow="0" w:lastRow="0" w:firstColumn="1" w:lastColumn="0" w:oddVBand="0" w:evenVBand="0" w:oddHBand="0" w:evenHBand="0" w:firstRowFirstColumn="0" w:firstRowLastColumn="0" w:lastRowFirstColumn="0" w:lastRowLastColumn="0"/>
            <w:tcW w:w="1335" w:type="pct"/>
            <w:hideMark/>
          </w:tcPr>
          <w:p w14:paraId="6597E6CE" w14:textId="395EB6E1" w:rsidR="006602EF" w:rsidRPr="000F0299" w:rsidRDefault="006602EF" w:rsidP="006602EF">
            <w:pPr>
              <w:ind w:firstLine="0"/>
              <w:rPr>
                <w:lang w:eastAsia="en-GB"/>
              </w:rPr>
            </w:pPr>
            <w:r w:rsidRPr="000F0299">
              <w:rPr>
                <w:lang w:eastAsia="en-GB"/>
              </w:rPr>
              <w:t xml:space="preserve">Meрa 2.1.3: Унапређење поступка попуњавања положаја заснованог на заслугама и увођење у посао </w:t>
            </w:r>
          </w:p>
        </w:tc>
        <w:tc>
          <w:tcPr>
            <w:tcW w:w="579" w:type="pct"/>
            <w:noWrap/>
            <w:hideMark/>
          </w:tcPr>
          <w:p w14:paraId="0F7E5D28" w14:textId="70666A17"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3,236.00</w:t>
            </w:r>
          </w:p>
        </w:tc>
        <w:tc>
          <w:tcPr>
            <w:tcW w:w="621" w:type="pct"/>
            <w:noWrap/>
            <w:hideMark/>
          </w:tcPr>
          <w:p w14:paraId="7DC885B8" w14:textId="54177F3E"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3,600.00</w:t>
            </w:r>
          </w:p>
        </w:tc>
        <w:tc>
          <w:tcPr>
            <w:tcW w:w="600" w:type="pct"/>
            <w:noWrap/>
          </w:tcPr>
          <w:p w14:paraId="10BEDAE8" w14:textId="216ECDA3"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00" w:type="pct"/>
            <w:noWrap/>
          </w:tcPr>
          <w:p w14:paraId="04E0C1E3" w14:textId="6E467E7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00" w:type="pct"/>
            <w:noWrap/>
          </w:tcPr>
          <w:p w14:paraId="3D7ADF82" w14:textId="32D3AC6C"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63" w:type="pct"/>
            <w:noWrap/>
            <w:hideMark/>
          </w:tcPr>
          <w:p w14:paraId="2DDD40FD" w14:textId="2FF666B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6,836.00</w:t>
            </w:r>
          </w:p>
        </w:tc>
      </w:tr>
      <w:tr w:rsidR="004C0104" w:rsidRPr="000F0299" w14:paraId="67CBD470" w14:textId="77777777" w:rsidTr="00F8286F">
        <w:trPr>
          <w:trHeight w:val="675"/>
        </w:trPr>
        <w:tc>
          <w:tcPr>
            <w:cnfStyle w:val="001000000000" w:firstRow="0" w:lastRow="0" w:firstColumn="1" w:lastColumn="0" w:oddVBand="0" w:evenVBand="0" w:oddHBand="0" w:evenHBand="0" w:firstRowFirstColumn="0" w:firstRowLastColumn="0" w:lastRowFirstColumn="0" w:lastRowLastColumn="0"/>
            <w:tcW w:w="1335" w:type="pct"/>
            <w:shd w:val="clear" w:color="auto" w:fill="E7E6E6" w:themeFill="background2"/>
            <w:hideMark/>
          </w:tcPr>
          <w:p w14:paraId="1F9AD8E6" w14:textId="77777777" w:rsidR="004C0104" w:rsidRPr="000F0299" w:rsidRDefault="004C0104" w:rsidP="004C0104">
            <w:pPr>
              <w:ind w:firstLine="0"/>
              <w:rPr>
                <w:lang w:eastAsia="en-GB"/>
              </w:rPr>
            </w:pPr>
            <w:r w:rsidRPr="000F0299">
              <w:rPr>
                <w:lang w:eastAsia="en-GB"/>
              </w:rPr>
              <w:t>Посебан циљ 2.2. Ефикасан систем за управљање каријером примењен у пракси</w:t>
            </w:r>
          </w:p>
        </w:tc>
        <w:tc>
          <w:tcPr>
            <w:tcW w:w="579" w:type="pct"/>
            <w:shd w:val="clear" w:color="auto" w:fill="E7E6E6" w:themeFill="background2"/>
            <w:noWrap/>
            <w:hideMark/>
          </w:tcPr>
          <w:p w14:paraId="127FBD7C" w14:textId="0F0854DB"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9,000.00 </w:t>
            </w:r>
          </w:p>
        </w:tc>
        <w:tc>
          <w:tcPr>
            <w:tcW w:w="621" w:type="pct"/>
            <w:shd w:val="clear" w:color="auto" w:fill="E7E6E6" w:themeFill="background2"/>
            <w:noWrap/>
            <w:hideMark/>
          </w:tcPr>
          <w:p w14:paraId="4994EDED" w14:textId="5CD4E514"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90,642.00 </w:t>
            </w:r>
          </w:p>
        </w:tc>
        <w:tc>
          <w:tcPr>
            <w:tcW w:w="600" w:type="pct"/>
            <w:shd w:val="clear" w:color="auto" w:fill="E7E6E6" w:themeFill="background2"/>
            <w:noWrap/>
            <w:hideMark/>
          </w:tcPr>
          <w:p w14:paraId="7178798E" w14:textId="350DC1CF"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74,900.10 </w:t>
            </w:r>
          </w:p>
        </w:tc>
        <w:tc>
          <w:tcPr>
            <w:tcW w:w="600" w:type="pct"/>
            <w:shd w:val="clear" w:color="auto" w:fill="E7E6E6" w:themeFill="background2"/>
            <w:noWrap/>
            <w:hideMark/>
          </w:tcPr>
          <w:p w14:paraId="35DC4255" w14:textId="4AEEE27A"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66,600.00 </w:t>
            </w:r>
          </w:p>
        </w:tc>
        <w:tc>
          <w:tcPr>
            <w:tcW w:w="600" w:type="pct"/>
            <w:shd w:val="clear" w:color="auto" w:fill="E7E6E6" w:themeFill="background2"/>
            <w:noWrap/>
            <w:hideMark/>
          </w:tcPr>
          <w:p w14:paraId="5DE9998F" w14:textId="66812F6D"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102,444.00 </w:t>
            </w:r>
          </w:p>
        </w:tc>
        <w:tc>
          <w:tcPr>
            <w:tcW w:w="663" w:type="pct"/>
            <w:shd w:val="clear" w:color="auto" w:fill="E7E6E6" w:themeFill="background2"/>
            <w:noWrap/>
            <w:hideMark/>
          </w:tcPr>
          <w:p w14:paraId="65B4E541" w14:textId="3656CE69" w:rsidR="004C0104" w:rsidRPr="00F8286F" w:rsidRDefault="004C0104" w:rsidP="004C0104">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F8286F">
              <w:rPr>
                <w:b/>
                <w:bCs/>
              </w:rPr>
              <w:t xml:space="preserve"> 343,586.10 </w:t>
            </w:r>
          </w:p>
        </w:tc>
      </w:tr>
      <w:tr w:rsidR="004C0104" w:rsidRPr="000F0299" w14:paraId="1CB95508" w14:textId="77777777" w:rsidTr="00F8286F">
        <w:trPr>
          <w:trHeight w:val="630"/>
        </w:trPr>
        <w:tc>
          <w:tcPr>
            <w:cnfStyle w:val="001000000000" w:firstRow="0" w:lastRow="0" w:firstColumn="1" w:lastColumn="0" w:oddVBand="0" w:evenVBand="0" w:oddHBand="0" w:evenHBand="0" w:firstRowFirstColumn="0" w:firstRowLastColumn="0" w:lastRowFirstColumn="0" w:lastRowLastColumn="0"/>
            <w:tcW w:w="1335" w:type="pct"/>
            <w:hideMark/>
          </w:tcPr>
          <w:p w14:paraId="11A1C720" w14:textId="248E269D" w:rsidR="004C0104" w:rsidRPr="000F0299" w:rsidRDefault="004C0104" w:rsidP="004C0104">
            <w:pPr>
              <w:ind w:firstLine="0"/>
              <w:rPr>
                <w:lang w:eastAsia="en-GB"/>
              </w:rPr>
            </w:pPr>
            <w:r w:rsidRPr="000F0299">
              <w:rPr>
                <w:lang w:eastAsia="en-GB"/>
              </w:rPr>
              <w:t>Meрa 2.2.1: Развој окружења за ефикасног, иновативног и мотивисаног државног службеника</w:t>
            </w:r>
          </w:p>
        </w:tc>
        <w:tc>
          <w:tcPr>
            <w:tcW w:w="579" w:type="pct"/>
            <w:noWrap/>
            <w:hideMark/>
          </w:tcPr>
          <w:p w14:paraId="0660C276" w14:textId="2535711E"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1,800.00 </w:t>
            </w:r>
          </w:p>
        </w:tc>
        <w:tc>
          <w:tcPr>
            <w:tcW w:w="621" w:type="pct"/>
            <w:noWrap/>
            <w:hideMark/>
          </w:tcPr>
          <w:p w14:paraId="4910E64F" w14:textId="7A84BC63"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12,678.00 </w:t>
            </w:r>
          </w:p>
        </w:tc>
        <w:tc>
          <w:tcPr>
            <w:tcW w:w="600" w:type="pct"/>
            <w:noWrap/>
            <w:hideMark/>
          </w:tcPr>
          <w:p w14:paraId="28603C71" w14:textId="07B04323"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26,900.10 </w:t>
            </w:r>
          </w:p>
        </w:tc>
        <w:tc>
          <w:tcPr>
            <w:tcW w:w="600" w:type="pct"/>
            <w:noWrap/>
            <w:hideMark/>
          </w:tcPr>
          <w:p w14:paraId="0EFB896E" w14:textId="3FB76D20"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31,500.00 </w:t>
            </w:r>
          </w:p>
        </w:tc>
        <w:tc>
          <w:tcPr>
            <w:tcW w:w="600" w:type="pct"/>
            <w:noWrap/>
            <w:hideMark/>
          </w:tcPr>
          <w:p w14:paraId="62D3F449" w14:textId="5155B180"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35,304.00 </w:t>
            </w:r>
          </w:p>
        </w:tc>
        <w:tc>
          <w:tcPr>
            <w:tcW w:w="663" w:type="pct"/>
            <w:noWrap/>
            <w:hideMark/>
          </w:tcPr>
          <w:p w14:paraId="784F7E9D" w14:textId="6820A269"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108,182.10 </w:t>
            </w:r>
          </w:p>
        </w:tc>
      </w:tr>
      <w:tr w:rsidR="004C0104" w:rsidRPr="000F0299" w14:paraId="45C7976D" w14:textId="77777777" w:rsidTr="00F8286F">
        <w:trPr>
          <w:trHeight w:val="705"/>
        </w:trPr>
        <w:tc>
          <w:tcPr>
            <w:cnfStyle w:val="001000000000" w:firstRow="0" w:lastRow="0" w:firstColumn="1" w:lastColumn="0" w:oddVBand="0" w:evenVBand="0" w:oddHBand="0" w:evenHBand="0" w:firstRowFirstColumn="0" w:firstRowLastColumn="0" w:lastRowFirstColumn="0" w:lastRowLastColumn="0"/>
            <w:tcW w:w="1335" w:type="pct"/>
            <w:hideMark/>
          </w:tcPr>
          <w:p w14:paraId="0CFFE176" w14:textId="5BD9755C" w:rsidR="004C0104" w:rsidRPr="000F0299" w:rsidRDefault="004C0104" w:rsidP="004C0104">
            <w:pPr>
              <w:ind w:firstLine="0"/>
              <w:rPr>
                <w:lang w:eastAsia="en-GB"/>
              </w:rPr>
            </w:pPr>
            <w:r w:rsidRPr="000F0299">
              <w:rPr>
                <w:lang w:eastAsia="en-GB"/>
              </w:rPr>
              <w:t>Meрa 2.2.2: Развој институционалних и административних капацитета за управљање људским ресурсима</w:t>
            </w:r>
          </w:p>
        </w:tc>
        <w:tc>
          <w:tcPr>
            <w:tcW w:w="579" w:type="pct"/>
            <w:noWrap/>
            <w:hideMark/>
          </w:tcPr>
          <w:p w14:paraId="4F791F44" w14:textId="6CD186DA"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7,200.00 </w:t>
            </w:r>
          </w:p>
        </w:tc>
        <w:tc>
          <w:tcPr>
            <w:tcW w:w="621" w:type="pct"/>
            <w:noWrap/>
            <w:hideMark/>
          </w:tcPr>
          <w:p w14:paraId="74B164C4" w14:textId="58581FE9"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76,500.00 </w:t>
            </w:r>
          </w:p>
        </w:tc>
        <w:tc>
          <w:tcPr>
            <w:tcW w:w="600" w:type="pct"/>
            <w:noWrap/>
            <w:hideMark/>
          </w:tcPr>
          <w:p w14:paraId="5473B713" w14:textId="2065890E"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48,000.00 </w:t>
            </w:r>
          </w:p>
        </w:tc>
        <w:tc>
          <w:tcPr>
            <w:tcW w:w="600" w:type="pct"/>
            <w:noWrap/>
            <w:hideMark/>
          </w:tcPr>
          <w:p w14:paraId="7643481D" w14:textId="43343E9C"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35,100.00 </w:t>
            </w:r>
          </w:p>
        </w:tc>
        <w:tc>
          <w:tcPr>
            <w:tcW w:w="600" w:type="pct"/>
            <w:noWrap/>
            <w:hideMark/>
          </w:tcPr>
          <w:p w14:paraId="0E32762D" w14:textId="6CB95567"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67,140.00 </w:t>
            </w:r>
          </w:p>
        </w:tc>
        <w:tc>
          <w:tcPr>
            <w:tcW w:w="663" w:type="pct"/>
            <w:noWrap/>
            <w:hideMark/>
          </w:tcPr>
          <w:p w14:paraId="40EC56B8" w14:textId="4577A0B4"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233,940.00 </w:t>
            </w:r>
          </w:p>
        </w:tc>
      </w:tr>
      <w:tr w:rsidR="004C0104" w:rsidRPr="000F0299" w14:paraId="5B351271" w14:textId="77777777" w:rsidTr="00F8286F">
        <w:trPr>
          <w:trHeight w:val="465"/>
        </w:trPr>
        <w:tc>
          <w:tcPr>
            <w:cnfStyle w:val="001000000000" w:firstRow="0" w:lastRow="0" w:firstColumn="1" w:lastColumn="0" w:oddVBand="0" w:evenVBand="0" w:oddHBand="0" w:evenHBand="0" w:firstRowFirstColumn="0" w:firstRowLastColumn="0" w:lastRowFirstColumn="0" w:lastRowLastColumn="0"/>
            <w:tcW w:w="1335" w:type="pct"/>
            <w:hideMark/>
          </w:tcPr>
          <w:p w14:paraId="15090E7C" w14:textId="5E0259C4" w:rsidR="004C0104" w:rsidRPr="000F0299" w:rsidRDefault="004C0104" w:rsidP="004C0104">
            <w:pPr>
              <w:ind w:firstLine="0"/>
              <w:rPr>
                <w:lang w:eastAsia="en-GB"/>
              </w:rPr>
            </w:pPr>
            <w:r w:rsidRPr="000F0299">
              <w:rPr>
                <w:lang w:eastAsia="en-GB"/>
              </w:rPr>
              <w:t>Meрa 2.2.3: Јачање професионализације лица на положају/руководилаца</w:t>
            </w:r>
          </w:p>
        </w:tc>
        <w:tc>
          <w:tcPr>
            <w:tcW w:w="579" w:type="pct"/>
            <w:noWrap/>
          </w:tcPr>
          <w:p w14:paraId="177D7561" w14:textId="1E33CCE0"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   </w:t>
            </w:r>
          </w:p>
        </w:tc>
        <w:tc>
          <w:tcPr>
            <w:tcW w:w="621" w:type="pct"/>
            <w:noWrap/>
          </w:tcPr>
          <w:p w14:paraId="430CC4E8" w14:textId="0318E8D3"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1,464.00 </w:t>
            </w:r>
          </w:p>
        </w:tc>
        <w:tc>
          <w:tcPr>
            <w:tcW w:w="600" w:type="pct"/>
            <w:noWrap/>
          </w:tcPr>
          <w:p w14:paraId="5BEADABC" w14:textId="7A1EFF49"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   </w:t>
            </w:r>
          </w:p>
        </w:tc>
        <w:tc>
          <w:tcPr>
            <w:tcW w:w="600" w:type="pct"/>
            <w:noWrap/>
          </w:tcPr>
          <w:p w14:paraId="5BD6520F" w14:textId="0619B1B3"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   </w:t>
            </w:r>
          </w:p>
        </w:tc>
        <w:tc>
          <w:tcPr>
            <w:tcW w:w="600" w:type="pct"/>
            <w:noWrap/>
          </w:tcPr>
          <w:p w14:paraId="4816FBA4" w14:textId="26F6B083"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   </w:t>
            </w:r>
          </w:p>
        </w:tc>
        <w:tc>
          <w:tcPr>
            <w:tcW w:w="663" w:type="pct"/>
            <w:noWrap/>
          </w:tcPr>
          <w:p w14:paraId="34C09586" w14:textId="4CAFF075" w:rsidR="004C0104" w:rsidRPr="000F0299" w:rsidRDefault="004C0104" w:rsidP="004C0104">
            <w:pPr>
              <w:jc w:val="center"/>
              <w:cnfStyle w:val="000000000000" w:firstRow="0" w:lastRow="0" w:firstColumn="0" w:lastColumn="0" w:oddVBand="0" w:evenVBand="0" w:oddHBand="0" w:evenHBand="0" w:firstRowFirstColumn="0" w:firstRowLastColumn="0" w:lastRowFirstColumn="0" w:lastRowLastColumn="0"/>
              <w:rPr>
                <w:lang w:eastAsia="en-GB"/>
              </w:rPr>
            </w:pPr>
            <w:r w:rsidRPr="00B741E5">
              <w:t xml:space="preserve"> 1,464.00 </w:t>
            </w:r>
          </w:p>
        </w:tc>
      </w:tr>
      <w:tr w:rsidR="006602EF" w:rsidRPr="000F0299" w14:paraId="45E5C142" w14:textId="77777777" w:rsidTr="00F8286F">
        <w:trPr>
          <w:trHeight w:val="1110"/>
        </w:trPr>
        <w:tc>
          <w:tcPr>
            <w:cnfStyle w:val="001000000000" w:firstRow="0" w:lastRow="0" w:firstColumn="1" w:lastColumn="0" w:oddVBand="0" w:evenVBand="0" w:oddHBand="0" w:evenHBand="0" w:firstRowFirstColumn="0" w:firstRowLastColumn="0" w:lastRowFirstColumn="0" w:lastRowLastColumn="0"/>
            <w:tcW w:w="1335" w:type="pct"/>
            <w:shd w:val="clear" w:color="auto" w:fill="E7E6E6" w:themeFill="background2"/>
            <w:hideMark/>
          </w:tcPr>
          <w:p w14:paraId="1E114DF2" w14:textId="77777777" w:rsidR="006602EF" w:rsidRPr="000F0299" w:rsidRDefault="006602EF" w:rsidP="006602EF">
            <w:pPr>
              <w:ind w:firstLine="0"/>
              <w:rPr>
                <w:lang w:eastAsia="en-GB"/>
              </w:rPr>
            </w:pPr>
            <w:r w:rsidRPr="000F0299">
              <w:rPr>
                <w:lang w:eastAsia="en-GB"/>
              </w:rPr>
              <w:t>Посебан циљ 2.3.: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w:t>
            </w:r>
          </w:p>
        </w:tc>
        <w:tc>
          <w:tcPr>
            <w:tcW w:w="579" w:type="pct"/>
            <w:shd w:val="clear" w:color="auto" w:fill="E7E6E6" w:themeFill="background2"/>
            <w:noWrap/>
            <w:hideMark/>
          </w:tcPr>
          <w:p w14:paraId="18E80F0A" w14:textId="06AD97B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56,530.47</w:t>
            </w:r>
          </w:p>
        </w:tc>
        <w:tc>
          <w:tcPr>
            <w:tcW w:w="621" w:type="pct"/>
            <w:shd w:val="clear" w:color="auto" w:fill="E7E6E6" w:themeFill="background2"/>
            <w:noWrap/>
            <w:hideMark/>
          </w:tcPr>
          <w:p w14:paraId="1995A91C" w14:textId="1D39C932"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41,675.19</w:t>
            </w:r>
          </w:p>
        </w:tc>
        <w:tc>
          <w:tcPr>
            <w:tcW w:w="600" w:type="pct"/>
            <w:shd w:val="clear" w:color="auto" w:fill="E7E6E6" w:themeFill="background2"/>
            <w:noWrap/>
            <w:hideMark/>
          </w:tcPr>
          <w:p w14:paraId="1D854CAC" w14:textId="04009DB1"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52,592.34</w:t>
            </w:r>
          </w:p>
        </w:tc>
        <w:tc>
          <w:tcPr>
            <w:tcW w:w="600" w:type="pct"/>
            <w:shd w:val="clear" w:color="auto" w:fill="E7E6E6" w:themeFill="background2"/>
            <w:noWrap/>
            <w:hideMark/>
          </w:tcPr>
          <w:p w14:paraId="1DDB307D" w14:textId="0863E587"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18,851.33</w:t>
            </w:r>
          </w:p>
        </w:tc>
        <w:tc>
          <w:tcPr>
            <w:tcW w:w="600" w:type="pct"/>
            <w:shd w:val="clear" w:color="auto" w:fill="E7E6E6" w:themeFill="background2"/>
            <w:noWrap/>
            <w:hideMark/>
          </w:tcPr>
          <w:p w14:paraId="7CDFE241" w14:textId="091C37D0"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252,473.33</w:t>
            </w:r>
          </w:p>
        </w:tc>
        <w:tc>
          <w:tcPr>
            <w:tcW w:w="663" w:type="pct"/>
            <w:shd w:val="clear" w:color="auto" w:fill="E7E6E6" w:themeFill="background2"/>
            <w:noWrap/>
            <w:hideMark/>
          </w:tcPr>
          <w:p w14:paraId="33F7D651" w14:textId="037E306D" w:rsidR="006602EF" w:rsidRPr="006602EF" w:rsidRDefault="006602EF" w:rsidP="006602EF">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6602EF">
              <w:rPr>
                <w:b/>
                <w:bCs/>
              </w:rPr>
              <w:t>422,122.66</w:t>
            </w:r>
          </w:p>
        </w:tc>
      </w:tr>
      <w:tr w:rsidR="006602EF" w:rsidRPr="000F0299" w14:paraId="2D3599E3" w14:textId="77777777" w:rsidTr="00F8286F">
        <w:trPr>
          <w:trHeight w:val="528"/>
        </w:trPr>
        <w:tc>
          <w:tcPr>
            <w:cnfStyle w:val="001000000000" w:firstRow="0" w:lastRow="0" w:firstColumn="1" w:lastColumn="0" w:oddVBand="0" w:evenVBand="0" w:oddHBand="0" w:evenHBand="0" w:firstRowFirstColumn="0" w:firstRowLastColumn="0" w:lastRowFirstColumn="0" w:lastRowLastColumn="0"/>
            <w:tcW w:w="1335" w:type="pct"/>
            <w:hideMark/>
          </w:tcPr>
          <w:p w14:paraId="1A33E708" w14:textId="33592BC9" w:rsidR="006602EF" w:rsidRPr="000F0299" w:rsidRDefault="006602EF" w:rsidP="006602EF">
            <w:pPr>
              <w:ind w:firstLine="0"/>
              <w:rPr>
                <w:lang w:eastAsia="en-GB"/>
              </w:rPr>
            </w:pPr>
            <w:r w:rsidRPr="000F0299">
              <w:rPr>
                <w:lang w:eastAsia="en-GB"/>
              </w:rPr>
              <w:t>Meрa 2.3.1. : Унапређење јединственог система стручног усавршавања у државним органима и органима јединица локалне самоуправе</w:t>
            </w:r>
          </w:p>
        </w:tc>
        <w:tc>
          <w:tcPr>
            <w:tcW w:w="579" w:type="pct"/>
            <w:noWrap/>
            <w:hideMark/>
          </w:tcPr>
          <w:p w14:paraId="5432E084" w14:textId="7D360B6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45,420.00</w:t>
            </w:r>
          </w:p>
        </w:tc>
        <w:tc>
          <w:tcPr>
            <w:tcW w:w="621" w:type="pct"/>
            <w:noWrap/>
            <w:hideMark/>
          </w:tcPr>
          <w:p w14:paraId="3EDC1426" w14:textId="0D5450AE"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0.00</w:t>
            </w:r>
          </w:p>
        </w:tc>
        <w:tc>
          <w:tcPr>
            <w:tcW w:w="600" w:type="pct"/>
            <w:noWrap/>
            <w:hideMark/>
          </w:tcPr>
          <w:p w14:paraId="1BFDDABC" w14:textId="22BB2EE4"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1,200.00</w:t>
            </w:r>
          </w:p>
        </w:tc>
        <w:tc>
          <w:tcPr>
            <w:tcW w:w="600" w:type="pct"/>
            <w:noWrap/>
          </w:tcPr>
          <w:p w14:paraId="74BD2B78" w14:textId="24A2FF3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00" w:type="pct"/>
            <w:noWrap/>
          </w:tcPr>
          <w:p w14:paraId="18399E3F" w14:textId="1C256BFF"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63" w:type="pct"/>
            <w:noWrap/>
            <w:hideMark/>
          </w:tcPr>
          <w:p w14:paraId="75788FE7" w14:textId="1E4A3EBB"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46,620.00</w:t>
            </w:r>
          </w:p>
        </w:tc>
      </w:tr>
      <w:tr w:rsidR="006602EF" w:rsidRPr="000F0299" w14:paraId="7735BD27" w14:textId="77777777" w:rsidTr="00F8286F">
        <w:trPr>
          <w:trHeight w:val="528"/>
        </w:trPr>
        <w:tc>
          <w:tcPr>
            <w:cnfStyle w:val="001000000000" w:firstRow="0" w:lastRow="0" w:firstColumn="1" w:lastColumn="0" w:oddVBand="0" w:evenVBand="0" w:oddHBand="0" w:evenHBand="0" w:firstRowFirstColumn="0" w:firstRowLastColumn="0" w:lastRowFirstColumn="0" w:lastRowLastColumn="0"/>
            <w:tcW w:w="1335" w:type="pct"/>
            <w:hideMark/>
          </w:tcPr>
          <w:p w14:paraId="7C5D74CD" w14:textId="1475AEF1" w:rsidR="006602EF" w:rsidRPr="000F0299" w:rsidRDefault="006602EF" w:rsidP="006602EF">
            <w:pPr>
              <w:ind w:firstLine="0"/>
              <w:rPr>
                <w:lang w:eastAsia="en-GB"/>
              </w:rPr>
            </w:pPr>
            <w:r w:rsidRPr="000F0299">
              <w:rPr>
                <w:lang w:eastAsia="en-GB"/>
              </w:rPr>
              <w:t>Meрa 2.3.2.: Унапређење програма стручног усавршавања у државним органима и органима јединица локалне самоуправе и начина њиховог организовања и спровођења</w:t>
            </w:r>
          </w:p>
        </w:tc>
        <w:tc>
          <w:tcPr>
            <w:tcW w:w="579" w:type="pct"/>
            <w:noWrap/>
            <w:hideMark/>
          </w:tcPr>
          <w:p w14:paraId="2856C66C" w14:textId="6145B018"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5,050.47</w:t>
            </w:r>
          </w:p>
        </w:tc>
        <w:tc>
          <w:tcPr>
            <w:tcW w:w="621" w:type="pct"/>
            <w:noWrap/>
            <w:hideMark/>
          </w:tcPr>
          <w:p w14:paraId="2406F115" w14:textId="0857C3F4"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11,783.31</w:t>
            </w:r>
          </w:p>
        </w:tc>
        <w:tc>
          <w:tcPr>
            <w:tcW w:w="600" w:type="pct"/>
            <w:noWrap/>
            <w:hideMark/>
          </w:tcPr>
          <w:p w14:paraId="395B6FEC" w14:textId="2346E48B"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11,783.31</w:t>
            </w:r>
          </w:p>
        </w:tc>
        <w:tc>
          <w:tcPr>
            <w:tcW w:w="600" w:type="pct"/>
            <w:noWrap/>
          </w:tcPr>
          <w:p w14:paraId="03E17A8B" w14:textId="1DB420C8"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00" w:type="pct"/>
            <w:noWrap/>
          </w:tcPr>
          <w:p w14:paraId="7C26D6BF" w14:textId="62ACE403"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63" w:type="pct"/>
            <w:noWrap/>
            <w:hideMark/>
          </w:tcPr>
          <w:p w14:paraId="79095CB0" w14:textId="07D22600"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28,617.09</w:t>
            </w:r>
          </w:p>
        </w:tc>
      </w:tr>
      <w:tr w:rsidR="006602EF" w:rsidRPr="000F0299" w14:paraId="51B79AE6" w14:textId="77777777" w:rsidTr="00F8286F">
        <w:trPr>
          <w:trHeight w:val="528"/>
        </w:trPr>
        <w:tc>
          <w:tcPr>
            <w:cnfStyle w:val="001000000000" w:firstRow="0" w:lastRow="0" w:firstColumn="1" w:lastColumn="0" w:oddVBand="0" w:evenVBand="0" w:oddHBand="0" w:evenHBand="0" w:firstRowFirstColumn="0" w:firstRowLastColumn="0" w:lastRowFirstColumn="0" w:lastRowLastColumn="0"/>
            <w:tcW w:w="1335" w:type="pct"/>
            <w:hideMark/>
          </w:tcPr>
          <w:p w14:paraId="63A66CB0" w14:textId="0209C26C" w:rsidR="006602EF" w:rsidRPr="000F0299" w:rsidRDefault="006602EF" w:rsidP="006602EF">
            <w:pPr>
              <w:ind w:firstLine="0"/>
              <w:rPr>
                <w:lang w:eastAsia="en-GB"/>
              </w:rPr>
            </w:pPr>
            <w:r w:rsidRPr="000F0299">
              <w:rPr>
                <w:lang w:eastAsia="en-GB"/>
              </w:rPr>
              <w:t>Meрa 2.3.3.: Унапређење нормативног оквира који уређује област стручног усавршавања у јавној управи спровођења</w:t>
            </w:r>
          </w:p>
        </w:tc>
        <w:tc>
          <w:tcPr>
            <w:tcW w:w="579" w:type="pct"/>
            <w:noWrap/>
            <w:hideMark/>
          </w:tcPr>
          <w:p w14:paraId="02A48EF5" w14:textId="78589497"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2,820.00</w:t>
            </w:r>
          </w:p>
        </w:tc>
        <w:tc>
          <w:tcPr>
            <w:tcW w:w="621" w:type="pct"/>
            <w:noWrap/>
            <w:hideMark/>
          </w:tcPr>
          <w:p w14:paraId="7E0CF982" w14:textId="7F9749F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t>-</w:t>
            </w:r>
          </w:p>
        </w:tc>
        <w:tc>
          <w:tcPr>
            <w:tcW w:w="600" w:type="pct"/>
            <w:noWrap/>
            <w:hideMark/>
          </w:tcPr>
          <w:p w14:paraId="52CCEC62" w14:textId="1BC839D4"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5,760.00</w:t>
            </w:r>
          </w:p>
        </w:tc>
        <w:tc>
          <w:tcPr>
            <w:tcW w:w="600" w:type="pct"/>
            <w:noWrap/>
            <w:hideMark/>
          </w:tcPr>
          <w:p w14:paraId="1A955B9F" w14:textId="3DCE4788"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2,394.00</w:t>
            </w:r>
          </w:p>
        </w:tc>
        <w:tc>
          <w:tcPr>
            <w:tcW w:w="600" w:type="pct"/>
            <w:noWrap/>
          </w:tcPr>
          <w:p w14:paraId="6EE8AB71" w14:textId="3121446A"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63" w:type="pct"/>
            <w:noWrap/>
            <w:hideMark/>
          </w:tcPr>
          <w:p w14:paraId="6F05EF3B" w14:textId="52B3891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10,974.00</w:t>
            </w:r>
          </w:p>
        </w:tc>
      </w:tr>
      <w:tr w:rsidR="006602EF" w:rsidRPr="000F0299" w14:paraId="2FA568B9" w14:textId="77777777" w:rsidTr="00F8286F">
        <w:trPr>
          <w:trHeight w:val="528"/>
        </w:trPr>
        <w:tc>
          <w:tcPr>
            <w:cnfStyle w:val="001000000000" w:firstRow="0" w:lastRow="0" w:firstColumn="1" w:lastColumn="0" w:oddVBand="0" w:evenVBand="0" w:oddHBand="0" w:evenHBand="0" w:firstRowFirstColumn="0" w:firstRowLastColumn="0" w:lastRowFirstColumn="0" w:lastRowLastColumn="0"/>
            <w:tcW w:w="1335" w:type="pct"/>
            <w:hideMark/>
          </w:tcPr>
          <w:p w14:paraId="0BBE5C20" w14:textId="48B6EA91" w:rsidR="006602EF" w:rsidRPr="000F0299" w:rsidRDefault="006602EF" w:rsidP="006602EF">
            <w:pPr>
              <w:ind w:firstLine="0"/>
              <w:rPr>
                <w:lang w:eastAsia="en-GB"/>
              </w:rPr>
            </w:pPr>
            <w:r w:rsidRPr="000F0299">
              <w:rPr>
                <w:lang w:eastAsia="en-GB"/>
              </w:rPr>
              <w:t>Meрa 2.3.4.: Успостављање стандардизације процеса и система квалитета у области стручног усавршавања у јавној управи, уз пуну примену ИКТ</w:t>
            </w:r>
          </w:p>
        </w:tc>
        <w:tc>
          <w:tcPr>
            <w:tcW w:w="579" w:type="pct"/>
            <w:noWrap/>
            <w:hideMark/>
          </w:tcPr>
          <w:p w14:paraId="20E0E0B0" w14:textId="1734F2F7"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t>-</w:t>
            </w:r>
          </w:p>
        </w:tc>
        <w:tc>
          <w:tcPr>
            <w:tcW w:w="621" w:type="pct"/>
            <w:noWrap/>
            <w:hideMark/>
          </w:tcPr>
          <w:p w14:paraId="6E188817" w14:textId="1224B54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24,731.88</w:t>
            </w:r>
          </w:p>
        </w:tc>
        <w:tc>
          <w:tcPr>
            <w:tcW w:w="600" w:type="pct"/>
            <w:noWrap/>
            <w:hideMark/>
          </w:tcPr>
          <w:p w14:paraId="3E29D77C" w14:textId="4044729E"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21,941.03</w:t>
            </w:r>
          </w:p>
        </w:tc>
        <w:tc>
          <w:tcPr>
            <w:tcW w:w="600" w:type="pct"/>
            <w:noWrap/>
            <w:hideMark/>
          </w:tcPr>
          <w:p w14:paraId="663C9712" w14:textId="7038383A"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8,689.33</w:t>
            </w:r>
          </w:p>
        </w:tc>
        <w:tc>
          <w:tcPr>
            <w:tcW w:w="600" w:type="pct"/>
            <w:noWrap/>
            <w:hideMark/>
          </w:tcPr>
          <w:p w14:paraId="3D7C8460" w14:textId="0B034A7F"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6,865.33</w:t>
            </w:r>
          </w:p>
        </w:tc>
        <w:tc>
          <w:tcPr>
            <w:tcW w:w="663" w:type="pct"/>
            <w:noWrap/>
            <w:hideMark/>
          </w:tcPr>
          <w:p w14:paraId="6CEF33DC" w14:textId="764AEEB1"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62,227.57</w:t>
            </w:r>
          </w:p>
        </w:tc>
      </w:tr>
      <w:tr w:rsidR="006602EF" w:rsidRPr="000F0299" w14:paraId="3D677838" w14:textId="77777777" w:rsidTr="00F8286F">
        <w:trPr>
          <w:trHeight w:val="792"/>
        </w:trPr>
        <w:tc>
          <w:tcPr>
            <w:cnfStyle w:val="001000000000" w:firstRow="0" w:lastRow="0" w:firstColumn="1" w:lastColumn="0" w:oddVBand="0" w:evenVBand="0" w:oddHBand="0" w:evenHBand="0" w:firstRowFirstColumn="0" w:firstRowLastColumn="0" w:lastRowFirstColumn="0" w:lastRowLastColumn="0"/>
            <w:tcW w:w="1335" w:type="pct"/>
            <w:hideMark/>
          </w:tcPr>
          <w:p w14:paraId="77AF46F6" w14:textId="4F110E42" w:rsidR="006602EF" w:rsidRPr="000F0299" w:rsidRDefault="006602EF" w:rsidP="006602EF">
            <w:pPr>
              <w:ind w:firstLine="0"/>
              <w:rPr>
                <w:lang w:eastAsia="en-GB"/>
              </w:rPr>
            </w:pPr>
            <w:r w:rsidRPr="000F0299">
              <w:rPr>
                <w:lang w:eastAsia="en-GB"/>
              </w:rPr>
              <w:t>Meрa 2.3.5.: Успостављање система планирања и управљања процесом целоживотног стручног усавршавања у јавној управи (мастер план целоживотног стручног усавршавања)</w:t>
            </w:r>
          </w:p>
        </w:tc>
        <w:tc>
          <w:tcPr>
            <w:tcW w:w="579" w:type="pct"/>
            <w:noWrap/>
          </w:tcPr>
          <w:p w14:paraId="1A424FB1" w14:textId="5DD984C0"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21" w:type="pct"/>
            <w:noWrap/>
          </w:tcPr>
          <w:p w14:paraId="7CF80ABF" w14:textId="7CC696F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00" w:type="pct"/>
            <w:noWrap/>
          </w:tcPr>
          <w:p w14:paraId="52C12C3C" w14:textId="699A33B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00" w:type="pct"/>
            <w:noWrap/>
            <w:hideMark/>
          </w:tcPr>
          <w:p w14:paraId="57CAD489" w14:textId="294EEC3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840.00</w:t>
            </w:r>
          </w:p>
        </w:tc>
        <w:tc>
          <w:tcPr>
            <w:tcW w:w="600" w:type="pct"/>
            <w:noWrap/>
            <w:hideMark/>
          </w:tcPr>
          <w:p w14:paraId="1B486456" w14:textId="63F2C38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1,800.00</w:t>
            </w:r>
          </w:p>
        </w:tc>
        <w:tc>
          <w:tcPr>
            <w:tcW w:w="663" w:type="pct"/>
            <w:noWrap/>
            <w:hideMark/>
          </w:tcPr>
          <w:p w14:paraId="433E058B" w14:textId="32DC7A3E"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2,640.00</w:t>
            </w:r>
          </w:p>
        </w:tc>
      </w:tr>
      <w:tr w:rsidR="006602EF" w:rsidRPr="000F0299" w14:paraId="03FF22B8" w14:textId="77777777" w:rsidTr="00F8286F">
        <w:trPr>
          <w:trHeight w:val="528"/>
        </w:trPr>
        <w:tc>
          <w:tcPr>
            <w:cnfStyle w:val="001000000000" w:firstRow="0" w:lastRow="0" w:firstColumn="1" w:lastColumn="0" w:oddVBand="0" w:evenVBand="0" w:oddHBand="0" w:evenHBand="0" w:firstRowFirstColumn="0" w:firstRowLastColumn="0" w:lastRowFirstColumn="0" w:lastRowLastColumn="0"/>
            <w:tcW w:w="1335" w:type="pct"/>
            <w:hideMark/>
          </w:tcPr>
          <w:p w14:paraId="457BC433" w14:textId="097AA01C" w:rsidR="006602EF" w:rsidRPr="000F0299" w:rsidRDefault="006602EF" w:rsidP="006602EF">
            <w:pPr>
              <w:ind w:firstLine="0"/>
              <w:rPr>
                <w:lang w:eastAsia="en-GB"/>
              </w:rPr>
            </w:pPr>
            <w:r w:rsidRPr="000F0299">
              <w:rPr>
                <w:lang w:eastAsia="en-GB"/>
              </w:rPr>
              <w:t>Meрa 2.3.6.: Успостављање инструмената сарадње институција у чијем делокругу су послови стручног усавршавања запослених у државним и другим органима</w:t>
            </w:r>
          </w:p>
        </w:tc>
        <w:tc>
          <w:tcPr>
            <w:tcW w:w="579" w:type="pct"/>
            <w:noWrap/>
          </w:tcPr>
          <w:p w14:paraId="3822B9C9" w14:textId="62C0D378"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21" w:type="pct"/>
            <w:noWrap/>
          </w:tcPr>
          <w:p w14:paraId="273E2505" w14:textId="1A7D8ECB"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00" w:type="pct"/>
            <w:noWrap/>
            <w:hideMark/>
          </w:tcPr>
          <w:p w14:paraId="161EF1DB" w14:textId="0DE91C1E"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3,388.00</w:t>
            </w:r>
          </w:p>
        </w:tc>
        <w:tc>
          <w:tcPr>
            <w:tcW w:w="600" w:type="pct"/>
            <w:noWrap/>
            <w:hideMark/>
          </w:tcPr>
          <w:p w14:paraId="3C312B83" w14:textId="6AF75253"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568.00</w:t>
            </w:r>
          </w:p>
        </w:tc>
        <w:tc>
          <w:tcPr>
            <w:tcW w:w="600" w:type="pct"/>
            <w:noWrap/>
            <w:hideMark/>
          </w:tcPr>
          <w:p w14:paraId="455F08F8" w14:textId="79478288"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568.00</w:t>
            </w:r>
          </w:p>
        </w:tc>
        <w:tc>
          <w:tcPr>
            <w:tcW w:w="663" w:type="pct"/>
            <w:noWrap/>
            <w:hideMark/>
          </w:tcPr>
          <w:p w14:paraId="69E7FDC3" w14:textId="6D451BEE"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4,524.00</w:t>
            </w:r>
          </w:p>
        </w:tc>
      </w:tr>
      <w:tr w:rsidR="006602EF" w:rsidRPr="000F0299" w14:paraId="53B4AFBE" w14:textId="77777777" w:rsidTr="00F8286F">
        <w:trPr>
          <w:trHeight w:val="528"/>
        </w:trPr>
        <w:tc>
          <w:tcPr>
            <w:cnfStyle w:val="001000000000" w:firstRow="0" w:lastRow="0" w:firstColumn="1" w:lastColumn="0" w:oddVBand="0" w:evenVBand="0" w:oddHBand="0" w:evenHBand="0" w:firstRowFirstColumn="0" w:firstRowLastColumn="0" w:lastRowFirstColumn="0" w:lastRowLastColumn="0"/>
            <w:tcW w:w="1335" w:type="pct"/>
            <w:hideMark/>
          </w:tcPr>
          <w:p w14:paraId="6DE3B080" w14:textId="4CBCB6D2" w:rsidR="006602EF" w:rsidRPr="000F0299" w:rsidRDefault="006602EF" w:rsidP="006602EF">
            <w:pPr>
              <w:ind w:firstLine="0"/>
              <w:rPr>
                <w:lang w:eastAsia="en-GB"/>
              </w:rPr>
            </w:pPr>
            <w:r w:rsidRPr="000F0299">
              <w:rPr>
                <w:lang w:eastAsia="en-GB"/>
              </w:rPr>
              <w:t>Meрa 2.3.7.: Увођење јединствених критеријума, мерила и стандарда у области стручних испита у систему државне управе</w:t>
            </w:r>
          </w:p>
        </w:tc>
        <w:tc>
          <w:tcPr>
            <w:tcW w:w="579" w:type="pct"/>
            <w:noWrap/>
            <w:hideMark/>
          </w:tcPr>
          <w:p w14:paraId="52F71F87" w14:textId="526D8A3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21" w:type="pct"/>
            <w:noWrap/>
            <w:hideMark/>
          </w:tcPr>
          <w:p w14:paraId="6D814FCA" w14:textId="019153E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1,920.00</w:t>
            </w:r>
          </w:p>
        </w:tc>
        <w:tc>
          <w:tcPr>
            <w:tcW w:w="600" w:type="pct"/>
            <w:noWrap/>
            <w:hideMark/>
          </w:tcPr>
          <w:p w14:paraId="14DED8BE" w14:textId="17824FF2"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2,160.00</w:t>
            </w:r>
          </w:p>
        </w:tc>
        <w:tc>
          <w:tcPr>
            <w:tcW w:w="600" w:type="pct"/>
            <w:noWrap/>
            <w:hideMark/>
          </w:tcPr>
          <w:p w14:paraId="442DBB47" w14:textId="5F546068"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900.00</w:t>
            </w:r>
          </w:p>
        </w:tc>
        <w:tc>
          <w:tcPr>
            <w:tcW w:w="600" w:type="pct"/>
            <w:noWrap/>
            <w:hideMark/>
          </w:tcPr>
          <w:p w14:paraId="29766CDC" w14:textId="73B8B9E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240,000.00</w:t>
            </w:r>
          </w:p>
        </w:tc>
        <w:tc>
          <w:tcPr>
            <w:tcW w:w="663" w:type="pct"/>
            <w:noWrap/>
            <w:hideMark/>
          </w:tcPr>
          <w:p w14:paraId="3F3AF423" w14:textId="59D8F1A2"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244,980.00</w:t>
            </w:r>
          </w:p>
        </w:tc>
      </w:tr>
      <w:tr w:rsidR="006602EF" w:rsidRPr="000F0299" w14:paraId="0B236A0C" w14:textId="77777777" w:rsidTr="00F8286F">
        <w:trPr>
          <w:trHeight w:val="528"/>
        </w:trPr>
        <w:tc>
          <w:tcPr>
            <w:cnfStyle w:val="001000000000" w:firstRow="0" w:lastRow="0" w:firstColumn="1" w:lastColumn="0" w:oddVBand="0" w:evenVBand="0" w:oddHBand="0" w:evenHBand="0" w:firstRowFirstColumn="0" w:firstRowLastColumn="0" w:lastRowFirstColumn="0" w:lastRowLastColumn="0"/>
            <w:tcW w:w="1335" w:type="pct"/>
            <w:hideMark/>
          </w:tcPr>
          <w:p w14:paraId="55C6DB5F" w14:textId="6A3F7AE6" w:rsidR="006602EF" w:rsidRPr="000F0299" w:rsidRDefault="006602EF" w:rsidP="006602EF">
            <w:pPr>
              <w:ind w:firstLine="0"/>
              <w:rPr>
                <w:lang w:eastAsia="en-GB"/>
              </w:rPr>
            </w:pPr>
            <w:r w:rsidRPr="000F0299">
              <w:rPr>
                <w:lang w:eastAsia="en-GB"/>
              </w:rPr>
              <w:t>Meрa 2.3.8.: Развој сарадње са високошколским установама ради подршке у школовању/додатном образовању кадрова за јавну управу</w:t>
            </w:r>
          </w:p>
        </w:tc>
        <w:tc>
          <w:tcPr>
            <w:tcW w:w="579" w:type="pct"/>
            <w:noWrap/>
            <w:hideMark/>
          </w:tcPr>
          <w:p w14:paraId="48DAB310" w14:textId="7F838703"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3,240.00</w:t>
            </w:r>
          </w:p>
        </w:tc>
        <w:tc>
          <w:tcPr>
            <w:tcW w:w="621" w:type="pct"/>
            <w:noWrap/>
            <w:hideMark/>
          </w:tcPr>
          <w:p w14:paraId="091447B4" w14:textId="5E5EE79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3,240.00</w:t>
            </w:r>
          </w:p>
        </w:tc>
        <w:tc>
          <w:tcPr>
            <w:tcW w:w="600" w:type="pct"/>
            <w:noWrap/>
            <w:hideMark/>
          </w:tcPr>
          <w:p w14:paraId="6A0F8487" w14:textId="636277A0"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6,360.00</w:t>
            </w:r>
          </w:p>
        </w:tc>
        <w:tc>
          <w:tcPr>
            <w:tcW w:w="600" w:type="pct"/>
            <w:noWrap/>
            <w:hideMark/>
          </w:tcPr>
          <w:p w14:paraId="705C1B76" w14:textId="766A393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5,460.00</w:t>
            </w:r>
          </w:p>
        </w:tc>
        <w:tc>
          <w:tcPr>
            <w:tcW w:w="600" w:type="pct"/>
            <w:noWrap/>
            <w:hideMark/>
          </w:tcPr>
          <w:p w14:paraId="189677B4" w14:textId="0D010D2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3,240.00</w:t>
            </w:r>
          </w:p>
        </w:tc>
        <w:tc>
          <w:tcPr>
            <w:tcW w:w="663" w:type="pct"/>
            <w:noWrap/>
            <w:hideMark/>
          </w:tcPr>
          <w:p w14:paraId="5F7AF55A" w14:textId="04910544"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21,540.00</w:t>
            </w:r>
          </w:p>
        </w:tc>
      </w:tr>
      <w:tr w:rsidR="006602EF" w:rsidRPr="000F0299" w14:paraId="4EFBC20E" w14:textId="77777777" w:rsidTr="00F8286F">
        <w:trPr>
          <w:trHeight w:val="885"/>
        </w:trPr>
        <w:tc>
          <w:tcPr>
            <w:cnfStyle w:val="001000000000" w:firstRow="0" w:lastRow="0" w:firstColumn="1" w:lastColumn="0" w:oddVBand="0" w:evenVBand="0" w:oddHBand="0" w:evenHBand="0" w:firstRowFirstColumn="0" w:firstRowLastColumn="0" w:lastRowFirstColumn="0" w:lastRowLastColumn="0"/>
            <w:tcW w:w="1335" w:type="pct"/>
            <w:shd w:val="clear" w:color="auto" w:fill="E7E6E6" w:themeFill="background2"/>
            <w:hideMark/>
          </w:tcPr>
          <w:p w14:paraId="68A7F47F" w14:textId="77777777" w:rsidR="006602EF" w:rsidRPr="000F0299" w:rsidRDefault="006602EF" w:rsidP="006602EF">
            <w:pPr>
              <w:ind w:firstLine="0"/>
              <w:rPr>
                <w:lang w:eastAsia="en-GB"/>
              </w:rPr>
            </w:pPr>
            <w:r w:rsidRPr="000F0299">
              <w:rPr>
                <w:lang w:eastAsia="en-GB"/>
              </w:rPr>
              <w:t>Посебан циљ 3.1: Јавна управа на ефикасан и иновативан начин пружа услуге које одговарају на потребе крајњих корисника и унапређују њихово корисничко искуство</w:t>
            </w:r>
          </w:p>
        </w:tc>
        <w:tc>
          <w:tcPr>
            <w:tcW w:w="579" w:type="pct"/>
            <w:shd w:val="clear" w:color="auto" w:fill="E7E6E6" w:themeFill="background2"/>
            <w:noWrap/>
            <w:hideMark/>
          </w:tcPr>
          <w:p w14:paraId="0E5B9770" w14:textId="3A996E12"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157,114.00</w:t>
            </w:r>
          </w:p>
        </w:tc>
        <w:tc>
          <w:tcPr>
            <w:tcW w:w="621" w:type="pct"/>
            <w:shd w:val="clear" w:color="auto" w:fill="E7E6E6" w:themeFill="background2"/>
            <w:noWrap/>
            <w:hideMark/>
          </w:tcPr>
          <w:p w14:paraId="6ACD5B5B" w14:textId="1AAC441A"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196,921.95</w:t>
            </w:r>
          </w:p>
        </w:tc>
        <w:tc>
          <w:tcPr>
            <w:tcW w:w="600" w:type="pct"/>
            <w:shd w:val="clear" w:color="auto" w:fill="E7E6E6" w:themeFill="background2"/>
            <w:noWrap/>
            <w:hideMark/>
          </w:tcPr>
          <w:p w14:paraId="6336B0B0" w14:textId="425F49DB"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152,598.00</w:t>
            </w:r>
          </w:p>
        </w:tc>
        <w:tc>
          <w:tcPr>
            <w:tcW w:w="600" w:type="pct"/>
            <w:shd w:val="clear" w:color="auto" w:fill="E7E6E6" w:themeFill="background2"/>
            <w:noWrap/>
            <w:hideMark/>
          </w:tcPr>
          <w:p w14:paraId="442528E1" w14:textId="2D0FDEA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142,282.16</w:t>
            </w:r>
          </w:p>
        </w:tc>
        <w:tc>
          <w:tcPr>
            <w:tcW w:w="600" w:type="pct"/>
            <w:shd w:val="clear" w:color="auto" w:fill="E7E6E6" w:themeFill="background2"/>
            <w:noWrap/>
            <w:hideMark/>
          </w:tcPr>
          <w:p w14:paraId="609E0A84" w14:textId="434C9E5E"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165,179.61</w:t>
            </w:r>
          </w:p>
        </w:tc>
        <w:tc>
          <w:tcPr>
            <w:tcW w:w="663" w:type="pct"/>
            <w:shd w:val="clear" w:color="auto" w:fill="E7E6E6" w:themeFill="background2"/>
            <w:noWrap/>
            <w:hideMark/>
          </w:tcPr>
          <w:p w14:paraId="2A064E6F" w14:textId="3BF06BD8" w:rsidR="006602EF" w:rsidRPr="006602EF" w:rsidRDefault="006602EF" w:rsidP="006602EF">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6602EF">
              <w:rPr>
                <w:b/>
                <w:bCs/>
              </w:rPr>
              <w:t>814,095.72</w:t>
            </w:r>
          </w:p>
        </w:tc>
      </w:tr>
      <w:tr w:rsidR="006602EF" w:rsidRPr="000F0299" w14:paraId="4452624E" w14:textId="77777777" w:rsidTr="00F8286F">
        <w:trPr>
          <w:trHeight w:val="585"/>
        </w:trPr>
        <w:tc>
          <w:tcPr>
            <w:cnfStyle w:val="001000000000" w:firstRow="0" w:lastRow="0" w:firstColumn="1" w:lastColumn="0" w:oddVBand="0" w:evenVBand="0" w:oddHBand="0" w:evenHBand="0" w:firstRowFirstColumn="0" w:firstRowLastColumn="0" w:lastRowFirstColumn="0" w:lastRowLastColumn="0"/>
            <w:tcW w:w="1335" w:type="pct"/>
            <w:hideMark/>
          </w:tcPr>
          <w:p w14:paraId="2B5062BC" w14:textId="560668A1" w:rsidR="006602EF" w:rsidRPr="000F0299" w:rsidRDefault="006602EF" w:rsidP="006602EF">
            <w:pPr>
              <w:ind w:firstLine="0"/>
              <w:rPr>
                <w:lang w:eastAsia="en-GB"/>
              </w:rPr>
            </w:pPr>
            <w:r w:rsidRPr="000F0299">
              <w:rPr>
                <w:lang w:eastAsia="en-GB"/>
              </w:rPr>
              <w:t>Meрa 3.1.1: Унапређење развоја услуга по мери крајњих корисника кроз унапређење процеса развоја нових услуга и оптимизацију постојећих</w:t>
            </w:r>
          </w:p>
        </w:tc>
        <w:tc>
          <w:tcPr>
            <w:tcW w:w="579" w:type="pct"/>
            <w:noWrap/>
            <w:hideMark/>
          </w:tcPr>
          <w:p w14:paraId="45E8A35C" w14:textId="12AA999E"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89,515.00</w:t>
            </w:r>
          </w:p>
        </w:tc>
        <w:tc>
          <w:tcPr>
            <w:tcW w:w="621" w:type="pct"/>
            <w:noWrap/>
            <w:hideMark/>
          </w:tcPr>
          <w:p w14:paraId="08CFCAD4" w14:textId="2238854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115,193.95</w:t>
            </w:r>
          </w:p>
        </w:tc>
        <w:tc>
          <w:tcPr>
            <w:tcW w:w="600" w:type="pct"/>
            <w:noWrap/>
            <w:hideMark/>
          </w:tcPr>
          <w:p w14:paraId="26A4E8A8" w14:textId="33FA993C"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87,115.00</w:t>
            </w:r>
          </w:p>
        </w:tc>
        <w:tc>
          <w:tcPr>
            <w:tcW w:w="600" w:type="pct"/>
            <w:noWrap/>
            <w:hideMark/>
          </w:tcPr>
          <w:p w14:paraId="1F7E2D01" w14:textId="287F08DB"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84,715.00</w:t>
            </w:r>
          </w:p>
        </w:tc>
        <w:tc>
          <w:tcPr>
            <w:tcW w:w="600" w:type="pct"/>
            <w:noWrap/>
            <w:hideMark/>
          </w:tcPr>
          <w:p w14:paraId="46914D24" w14:textId="4C5EDCE2"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13,315.00</w:t>
            </w:r>
          </w:p>
        </w:tc>
        <w:tc>
          <w:tcPr>
            <w:tcW w:w="663" w:type="pct"/>
            <w:noWrap/>
            <w:hideMark/>
          </w:tcPr>
          <w:p w14:paraId="4F492662" w14:textId="105F0204"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389,853.95</w:t>
            </w:r>
          </w:p>
        </w:tc>
      </w:tr>
      <w:tr w:rsidR="006602EF" w:rsidRPr="000F0299" w14:paraId="41824340" w14:textId="77777777" w:rsidTr="00F8286F">
        <w:trPr>
          <w:trHeight w:val="645"/>
        </w:trPr>
        <w:tc>
          <w:tcPr>
            <w:cnfStyle w:val="001000000000" w:firstRow="0" w:lastRow="0" w:firstColumn="1" w:lastColumn="0" w:oddVBand="0" w:evenVBand="0" w:oddHBand="0" w:evenHBand="0" w:firstRowFirstColumn="0" w:firstRowLastColumn="0" w:lastRowFirstColumn="0" w:lastRowLastColumn="0"/>
            <w:tcW w:w="1335" w:type="pct"/>
            <w:hideMark/>
          </w:tcPr>
          <w:p w14:paraId="279228F9" w14:textId="55A9FD33" w:rsidR="006602EF" w:rsidRPr="000F0299" w:rsidRDefault="006602EF" w:rsidP="006602EF">
            <w:pPr>
              <w:ind w:firstLine="0"/>
              <w:rPr>
                <w:lang w:eastAsia="en-GB"/>
              </w:rPr>
            </w:pPr>
            <w:r w:rsidRPr="000F0299">
              <w:rPr>
                <w:lang w:eastAsia="en-GB"/>
              </w:rPr>
              <w:t>Meрa 3.1.2: Повећање људских и техничко-технолошких капацитета јавне управе за пружање услуга крајњим корисницима</w:t>
            </w:r>
          </w:p>
        </w:tc>
        <w:tc>
          <w:tcPr>
            <w:tcW w:w="579" w:type="pct"/>
            <w:noWrap/>
            <w:hideMark/>
          </w:tcPr>
          <w:p w14:paraId="2D3A9BBE" w14:textId="64E12FD2"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42,012.00</w:t>
            </w:r>
          </w:p>
        </w:tc>
        <w:tc>
          <w:tcPr>
            <w:tcW w:w="621" w:type="pct"/>
            <w:noWrap/>
            <w:hideMark/>
          </w:tcPr>
          <w:p w14:paraId="3C75A635" w14:textId="17F48554"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45,447.00</w:t>
            </w:r>
          </w:p>
        </w:tc>
        <w:tc>
          <w:tcPr>
            <w:tcW w:w="600" w:type="pct"/>
            <w:noWrap/>
            <w:hideMark/>
          </w:tcPr>
          <w:p w14:paraId="08762576" w14:textId="4842A77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44,066.00</w:t>
            </w:r>
          </w:p>
        </w:tc>
        <w:tc>
          <w:tcPr>
            <w:tcW w:w="600" w:type="pct"/>
            <w:noWrap/>
            <w:hideMark/>
          </w:tcPr>
          <w:p w14:paraId="3787CA0D" w14:textId="02837851"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50,046.16</w:t>
            </w:r>
          </w:p>
        </w:tc>
        <w:tc>
          <w:tcPr>
            <w:tcW w:w="600" w:type="pct"/>
            <w:noWrap/>
            <w:hideMark/>
          </w:tcPr>
          <w:p w14:paraId="6F5F38AD" w14:textId="341AE1F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48,696.16</w:t>
            </w:r>
          </w:p>
        </w:tc>
        <w:tc>
          <w:tcPr>
            <w:tcW w:w="663" w:type="pct"/>
            <w:noWrap/>
            <w:hideMark/>
          </w:tcPr>
          <w:p w14:paraId="330E2A87" w14:textId="0C5AC01E"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230,267.32</w:t>
            </w:r>
          </w:p>
        </w:tc>
      </w:tr>
      <w:tr w:rsidR="006602EF" w:rsidRPr="000F0299" w14:paraId="3DD0E987" w14:textId="77777777" w:rsidTr="00F8286F">
        <w:trPr>
          <w:trHeight w:val="345"/>
        </w:trPr>
        <w:tc>
          <w:tcPr>
            <w:cnfStyle w:val="001000000000" w:firstRow="0" w:lastRow="0" w:firstColumn="1" w:lastColumn="0" w:oddVBand="0" w:evenVBand="0" w:oddHBand="0" w:evenHBand="0" w:firstRowFirstColumn="0" w:firstRowLastColumn="0" w:lastRowFirstColumn="0" w:lastRowLastColumn="0"/>
            <w:tcW w:w="1335" w:type="pct"/>
            <w:hideMark/>
          </w:tcPr>
          <w:p w14:paraId="3D5ACFA8" w14:textId="0308413C" w:rsidR="006602EF" w:rsidRPr="000F0299" w:rsidRDefault="006602EF" w:rsidP="006602EF">
            <w:pPr>
              <w:ind w:firstLine="0"/>
              <w:rPr>
                <w:lang w:eastAsia="en-GB"/>
              </w:rPr>
            </w:pPr>
            <w:r w:rsidRPr="000F0299">
              <w:rPr>
                <w:lang w:eastAsia="en-GB"/>
              </w:rPr>
              <w:t>Meрa 3.1.3: Унапређење система контроле и обезбеђења квалитета пружања услуга</w:t>
            </w:r>
          </w:p>
        </w:tc>
        <w:tc>
          <w:tcPr>
            <w:tcW w:w="579" w:type="pct"/>
            <w:noWrap/>
            <w:hideMark/>
          </w:tcPr>
          <w:p w14:paraId="5FDD3EF7" w14:textId="6E9807B3"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25,587.00</w:t>
            </w:r>
          </w:p>
        </w:tc>
        <w:tc>
          <w:tcPr>
            <w:tcW w:w="621" w:type="pct"/>
            <w:noWrap/>
            <w:hideMark/>
          </w:tcPr>
          <w:p w14:paraId="45C568E4" w14:textId="29DA0827"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36,281.00</w:t>
            </w:r>
          </w:p>
        </w:tc>
        <w:tc>
          <w:tcPr>
            <w:tcW w:w="600" w:type="pct"/>
            <w:noWrap/>
            <w:hideMark/>
          </w:tcPr>
          <w:p w14:paraId="4155C087" w14:textId="7F1AA16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21,417.00</w:t>
            </w:r>
          </w:p>
        </w:tc>
        <w:tc>
          <w:tcPr>
            <w:tcW w:w="600" w:type="pct"/>
            <w:noWrap/>
            <w:hideMark/>
          </w:tcPr>
          <w:p w14:paraId="11C7E2BF" w14:textId="4A8010F1"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7,521.00</w:t>
            </w:r>
          </w:p>
        </w:tc>
        <w:tc>
          <w:tcPr>
            <w:tcW w:w="600" w:type="pct"/>
            <w:noWrap/>
            <w:hideMark/>
          </w:tcPr>
          <w:p w14:paraId="3C527BD9" w14:textId="39B2C71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103,168.45</w:t>
            </w:r>
          </w:p>
        </w:tc>
        <w:tc>
          <w:tcPr>
            <w:tcW w:w="663" w:type="pct"/>
            <w:noWrap/>
            <w:hideMark/>
          </w:tcPr>
          <w:p w14:paraId="43661218" w14:textId="28531A74"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193,974.45</w:t>
            </w:r>
          </w:p>
        </w:tc>
      </w:tr>
      <w:tr w:rsidR="006602EF" w:rsidRPr="000F0299" w14:paraId="235EF073" w14:textId="77777777" w:rsidTr="00F8286F">
        <w:trPr>
          <w:trHeight w:val="585"/>
        </w:trPr>
        <w:tc>
          <w:tcPr>
            <w:cnfStyle w:val="001000000000" w:firstRow="0" w:lastRow="0" w:firstColumn="1" w:lastColumn="0" w:oddVBand="0" w:evenVBand="0" w:oddHBand="0" w:evenHBand="0" w:firstRowFirstColumn="0" w:firstRowLastColumn="0" w:lastRowFirstColumn="0" w:lastRowLastColumn="0"/>
            <w:tcW w:w="1335" w:type="pct"/>
            <w:shd w:val="clear" w:color="auto" w:fill="E7E6E6" w:themeFill="background2"/>
            <w:hideMark/>
          </w:tcPr>
          <w:p w14:paraId="129BAC79" w14:textId="77777777" w:rsidR="006602EF" w:rsidRPr="000F0299" w:rsidRDefault="006602EF" w:rsidP="006602EF">
            <w:pPr>
              <w:ind w:firstLine="0"/>
              <w:rPr>
                <w:lang w:eastAsia="en-GB"/>
              </w:rPr>
            </w:pPr>
            <w:r w:rsidRPr="000F0299">
              <w:rPr>
                <w:lang w:eastAsia="en-GB"/>
              </w:rPr>
              <w:t xml:space="preserve">Посебан циљ 4.1: Унапређен ниво одговорности и транспарентности на свим нивоима власти </w:t>
            </w:r>
          </w:p>
        </w:tc>
        <w:tc>
          <w:tcPr>
            <w:tcW w:w="579" w:type="pct"/>
            <w:shd w:val="clear" w:color="auto" w:fill="E7E6E6" w:themeFill="background2"/>
            <w:noWrap/>
            <w:hideMark/>
          </w:tcPr>
          <w:p w14:paraId="79345BEB" w14:textId="594D7FC8"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3,283.50</w:t>
            </w:r>
          </w:p>
        </w:tc>
        <w:tc>
          <w:tcPr>
            <w:tcW w:w="621" w:type="pct"/>
            <w:shd w:val="clear" w:color="auto" w:fill="E7E6E6" w:themeFill="background2"/>
            <w:noWrap/>
            <w:hideMark/>
          </w:tcPr>
          <w:p w14:paraId="68B74EE3" w14:textId="69A9C3F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44,538.01</w:t>
            </w:r>
          </w:p>
        </w:tc>
        <w:tc>
          <w:tcPr>
            <w:tcW w:w="600" w:type="pct"/>
            <w:shd w:val="clear" w:color="auto" w:fill="E7E6E6" w:themeFill="background2"/>
            <w:noWrap/>
            <w:hideMark/>
          </w:tcPr>
          <w:p w14:paraId="5B5A58DE" w14:textId="515700AF"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55,636.88</w:t>
            </w:r>
          </w:p>
        </w:tc>
        <w:tc>
          <w:tcPr>
            <w:tcW w:w="600" w:type="pct"/>
            <w:shd w:val="clear" w:color="auto" w:fill="E7E6E6" w:themeFill="background2"/>
            <w:noWrap/>
            <w:hideMark/>
          </w:tcPr>
          <w:p w14:paraId="341026E6" w14:textId="5E4CF138"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34,557.54</w:t>
            </w:r>
          </w:p>
        </w:tc>
        <w:tc>
          <w:tcPr>
            <w:tcW w:w="600" w:type="pct"/>
            <w:shd w:val="clear" w:color="auto" w:fill="E7E6E6" w:themeFill="background2"/>
            <w:noWrap/>
            <w:hideMark/>
          </w:tcPr>
          <w:p w14:paraId="6AB10EC2" w14:textId="44748C4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43,678.88</w:t>
            </w:r>
          </w:p>
        </w:tc>
        <w:tc>
          <w:tcPr>
            <w:tcW w:w="663" w:type="pct"/>
            <w:shd w:val="clear" w:color="auto" w:fill="E7E6E6" w:themeFill="background2"/>
            <w:noWrap/>
            <w:hideMark/>
          </w:tcPr>
          <w:p w14:paraId="25901413" w14:textId="3717E5EF" w:rsidR="006602EF" w:rsidRPr="006602EF" w:rsidRDefault="006602EF" w:rsidP="006602EF">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6602EF">
              <w:rPr>
                <w:b/>
                <w:bCs/>
              </w:rPr>
              <w:t>181,694.81</w:t>
            </w:r>
          </w:p>
        </w:tc>
      </w:tr>
      <w:tr w:rsidR="006602EF" w:rsidRPr="000F0299" w14:paraId="1886DAE7" w14:textId="77777777" w:rsidTr="00F8286F">
        <w:trPr>
          <w:trHeight w:val="528"/>
        </w:trPr>
        <w:tc>
          <w:tcPr>
            <w:cnfStyle w:val="001000000000" w:firstRow="0" w:lastRow="0" w:firstColumn="1" w:lastColumn="0" w:oddVBand="0" w:evenVBand="0" w:oddHBand="0" w:evenHBand="0" w:firstRowFirstColumn="0" w:firstRowLastColumn="0" w:lastRowFirstColumn="0" w:lastRowLastColumn="0"/>
            <w:tcW w:w="1335" w:type="pct"/>
            <w:hideMark/>
          </w:tcPr>
          <w:p w14:paraId="0C3B3390" w14:textId="41D1D97C" w:rsidR="006602EF" w:rsidRPr="000F0299" w:rsidRDefault="006602EF" w:rsidP="006602EF">
            <w:pPr>
              <w:ind w:firstLine="0"/>
              <w:rPr>
                <w:lang w:eastAsia="en-GB"/>
              </w:rPr>
            </w:pPr>
            <w:r w:rsidRPr="000F0299">
              <w:rPr>
                <w:lang w:eastAsia="en-GB"/>
              </w:rPr>
              <w:t>Meрa 4.1.1: Успостављање системских решења за управљачку одговорност у органима јавне управе (повећање аутономије)</w:t>
            </w:r>
          </w:p>
        </w:tc>
        <w:tc>
          <w:tcPr>
            <w:tcW w:w="579" w:type="pct"/>
            <w:noWrap/>
            <w:hideMark/>
          </w:tcPr>
          <w:p w14:paraId="5635CF3D" w14:textId="75907E2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1,843.50</w:t>
            </w:r>
          </w:p>
        </w:tc>
        <w:tc>
          <w:tcPr>
            <w:tcW w:w="621" w:type="pct"/>
            <w:noWrap/>
            <w:hideMark/>
          </w:tcPr>
          <w:p w14:paraId="695C2C47" w14:textId="5D93400A"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494.00</w:t>
            </w:r>
          </w:p>
        </w:tc>
        <w:tc>
          <w:tcPr>
            <w:tcW w:w="600" w:type="pct"/>
            <w:noWrap/>
            <w:hideMark/>
          </w:tcPr>
          <w:p w14:paraId="101B86D3" w14:textId="011A951B"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5,003.00</w:t>
            </w:r>
          </w:p>
        </w:tc>
        <w:tc>
          <w:tcPr>
            <w:tcW w:w="600" w:type="pct"/>
            <w:noWrap/>
            <w:hideMark/>
          </w:tcPr>
          <w:p w14:paraId="0B0FF6C4" w14:textId="4325ABB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t>-</w:t>
            </w:r>
          </w:p>
        </w:tc>
        <w:tc>
          <w:tcPr>
            <w:tcW w:w="600" w:type="pct"/>
            <w:noWrap/>
            <w:hideMark/>
          </w:tcPr>
          <w:p w14:paraId="7E7A73D3" w14:textId="3D51592F"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11,086.83</w:t>
            </w:r>
          </w:p>
        </w:tc>
        <w:tc>
          <w:tcPr>
            <w:tcW w:w="663" w:type="pct"/>
            <w:noWrap/>
            <w:hideMark/>
          </w:tcPr>
          <w:p w14:paraId="3ABA4F74" w14:textId="7F629CD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18,427.33</w:t>
            </w:r>
          </w:p>
        </w:tc>
      </w:tr>
      <w:tr w:rsidR="006602EF" w:rsidRPr="000F0299" w14:paraId="2D8D4677" w14:textId="77777777" w:rsidTr="00F8286F">
        <w:trPr>
          <w:trHeight w:val="795"/>
        </w:trPr>
        <w:tc>
          <w:tcPr>
            <w:cnfStyle w:val="001000000000" w:firstRow="0" w:lastRow="0" w:firstColumn="1" w:lastColumn="0" w:oddVBand="0" w:evenVBand="0" w:oddHBand="0" w:evenHBand="0" w:firstRowFirstColumn="0" w:firstRowLastColumn="0" w:lastRowFirstColumn="0" w:lastRowLastColumn="0"/>
            <w:tcW w:w="1335" w:type="pct"/>
            <w:hideMark/>
          </w:tcPr>
          <w:p w14:paraId="08888785" w14:textId="1F59AA7F" w:rsidR="006602EF" w:rsidRPr="000F0299" w:rsidRDefault="006602EF" w:rsidP="006602EF">
            <w:pPr>
              <w:ind w:firstLine="0"/>
              <w:rPr>
                <w:lang w:eastAsia="en-GB"/>
              </w:rPr>
            </w:pPr>
            <w:r w:rsidRPr="000F0299">
              <w:rPr>
                <w:lang w:eastAsia="en-GB"/>
              </w:rPr>
              <w:t>Meрa 4.1.2: Унапређење вертикалног и хоризонталног система контроле и праћења рада у јавној управи (Успостављање механизма за управљање према учинку органа јавне управе)</w:t>
            </w:r>
          </w:p>
        </w:tc>
        <w:tc>
          <w:tcPr>
            <w:tcW w:w="579" w:type="pct"/>
            <w:noWrap/>
            <w:hideMark/>
          </w:tcPr>
          <w:p w14:paraId="78C3A43F" w14:textId="739764E0"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0.00</w:t>
            </w:r>
          </w:p>
        </w:tc>
        <w:tc>
          <w:tcPr>
            <w:tcW w:w="621" w:type="pct"/>
            <w:noWrap/>
            <w:hideMark/>
          </w:tcPr>
          <w:p w14:paraId="0481082A" w14:textId="031500D4"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9,053.86</w:t>
            </w:r>
          </w:p>
        </w:tc>
        <w:tc>
          <w:tcPr>
            <w:tcW w:w="600" w:type="pct"/>
            <w:noWrap/>
            <w:hideMark/>
          </w:tcPr>
          <w:p w14:paraId="6522EFB9" w14:textId="02FE4FA6"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14,048.86</w:t>
            </w:r>
          </w:p>
        </w:tc>
        <w:tc>
          <w:tcPr>
            <w:tcW w:w="600" w:type="pct"/>
            <w:noWrap/>
          </w:tcPr>
          <w:p w14:paraId="08537C74" w14:textId="142221A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00" w:type="pct"/>
            <w:noWrap/>
          </w:tcPr>
          <w:p w14:paraId="05DA255E" w14:textId="7C729AB3"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63" w:type="pct"/>
            <w:noWrap/>
            <w:hideMark/>
          </w:tcPr>
          <w:p w14:paraId="1CD8359B" w14:textId="3796E6F0"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23,102.72</w:t>
            </w:r>
          </w:p>
        </w:tc>
      </w:tr>
      <w:tr w:rsidR="006602EF" w:rsidRPr="000F0299" w14:paraId="60DE50D1" w14:textId="77777777" w:rsidTr="00F8286F">
        <w:trPr>
          <w:trHeight w:val="288"/>
        </w:trPr>
        <w:tc>
          <w:tcPr>
            <w:cnfStyle w:val="001000000000" w:firstRow="0" w:lastRow="0" w:firstColumn="1" w:lastColumn="0" w:oddVBand="0" w:evenVBand="0" w:oddHBand="0" w:evenHBand="0" w:firstRowFirstColumn="0" w:firstRowLastColumn="0" w:lastRowFirstColumn="0" w:lastRowLastColumn="0"/>
            <w:tcW w:w="1335" w:type="pct"/>
            <w:hideMark/>
          </w:tcPr>
          <w:p w14:paraId="1FD4FDD4" w14:textId="084F2E66" w:rsidR="006602EF" w:rsidRPr="000F0299" w:rsidRDefault="006602EF" w:rsidP="006602EF">
            <w:pPr>
              <w:ind w:firstLine="0"/>
              <w:rPr>
                <w:lang w:eastAsia="en-GB"/>
              </w:rPr>
            </w:pPr>
            <w:r w:rsidRPr="000F0299">
              <w:rPr>
                <w:lang w:eastAsia="en-GB"/>
              </w:rPr>
              <w:t>Meрa 4.1.3: Јачање интегритета и етичких стандарда у јавној управи</w:t>
            </w:r>
          </w:p>
        </w:tc>
        <w:tc>
          <w:tcPr>
            <w:tcW w:w="579" w:type="pct"/>
            <w:noWrap/>
            <w:hideMark/>
          </w:tcPr>
          <w:p w14:paraId="491A6324" w14:textId="635492F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0.00</w:t>
            </w:r>
          </w:p>
        </w:tc>
        <w:tc>
          <w:tcPr>
            <w:tcW w:w="621" w:type="pct"/>
            <w:noWrap/>
            <w:hideMark/>
          </w:tcPr>
          <w:p w14:paraId="145A2D9A" w14:textId="61BA050A"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4,954.50</w:t>
            </w:r>
          </w:p>
        </w:tc>
        <w:tc>
          <w:tcPr>
            <w:tcW w:w="600" w:type="pct"/>
            <w:noWrap/>
            <w:hideMark/>
          </w:tcPr>
          <w:p w14:paraId="62943865" w14:textId="5F5DD231"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1,800.00</w:t>
            </w:r>
          </w:p>
        </w:tc>
        <w:tc>
          <w:tcPr>
            <w:tcW w:w="600" w:type="pct"/>
            <w:noWrap/>
            <w:hideMark/>
          </w:tcPr>
          <w:p w14:paraId="6B447785" w14:textId="46A56F8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1,965.49</w:t>
            </w:r>
          </w:p>
        </w:tc>
        <w:tc>
          <w:tcPr>
            <w:tcW w:w="600" w:type="pct"/>
            <w:noWrap/>
            <w:hideMark/>
          </w:tcPr>
          <w:p w14:paraId="3CAA1AAF" w14:textId="1644DFF2"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t>-</w:t>
            </w:r>
          </w:p>
        </w:tc>
        <w:tc>
          <w:tcPr>
            <w:tcW w:w="663" w:type="pct"/>
            <w:noWrap/>
            <w:hideMark/>
          </w:tcPr>
          <w:p w14:paraId="64CE7EAB" w14:textId="1B361544"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8,719.99</w:t>
            </w:r>
          </w:p>
        </w:tc>
      </w:tr>
      <w:tr w:rsidR="006602EF" w:rsidRPr="000F0299" w14:paraId="034CC458" w14:textId="77777777" w:rsidTr="00F8286F">
        <w:trPr>
          <w:trHeight w:val="525"/>
        </w:trPr>
        <w:tc>
          <w:tcPr>
            <w:cnfStyle w:val="001000000000" w:firstRow="0" w:lastRow="0" w:firstColumn="1" w:lastColumn="0" w:oddVBand="0" w:evenVBand="0" w:oddHBand="0" w:evenHBand="0" w:firstRowFirstColumn="0" w:firstRowLastColumn="0" w:lastRowFirstColumn="0" w:lastRowLastColumn="0"/>
            <w:tcW w:w="1335" w:type="pct"/>
            <w:hideMark/>
          </w:tcPr>
          <w:p w14:paraId="4BCF54F1" w14:textId="6967767B" w:rsidR="006602EF" w:rsidRPr="000F0299" w:rsidRDefault="006602EF" w:rsidP="006602EF">
            <w:pPr>
              <w:ind w:firstLine="0"/>
              <w:rPr>
                <w:lang w:eastAsia="en-GB"/>
              </w:rPr>
            </w:pPr>
            <w:r w:rsidRPr="000F0299">
              <w:rPr>
                <w:lang w:eastAsia="en-GB"/>
              </w:rPr>
              <w:t>Meрa 4.1.4: Унапређење проактивног објављивања података у поседу органа јавне управе</w:t>
            </w:r>
          </w:p>
        </w:tc>
        <w:tc>
          <w:tcPr>
            <w:tcW w:w="579" w:type="pct"/>
            <w:noWrap/>
            <w:hideMark/>
          </w:tcPr>
          <w:p w14:paraId="6BFA746B" w14:textId="4E7EC40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840.00</w:t>
            </w:r>
          </w:p>
        </w:tc>
        <w:tc>
          <w:tcPr>
            <w:tcW w:w="621" w:type="pct"/>
            <w:noWrap/>
            <w:hideMark/>
          </w:tcPr>
          <w:p w14:paraId="02512908" w14:textId="795C1C6F"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t>-</w:t>
            </w:r>
          </w:p>
        </w:tc>
        <w:tc>
          <w:tcPr>
            <w:tcW w:w="600" w:type="pct"/>
            <w:noWrap/>
            <w:hideMark/>
          </w:tcPr>
          <w:p w14:paraId="7E9FCAA1" w14:textId="632393E6"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1,200.00</w:t>
            </w:r>
          </w:p>
        </w:tc>
        <w:tc>
          <w:tcPr>
            <w:tcW w:w="600" w:type="pct"/>
            <w:noWrap/>
          </w:tcPr>
          <w:p w14:paraId="532D8191" w14:textId="55EE9A93"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00" w:type="pct"/>
            <w:noWrap/>
          </w:tcPr>
          <w:p w14:paraId="13D08AFE" w14:textId="3DACCCF3"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w:t>
            </w:r>
          </w:p>
        </w:tc>
        <w:tc>
          <w:tcPr>
            <w:tcW w:w="663" w:type="pct"/>
            <w:noWrap/>
            <w:hideMark/>
          </w:tcPr>
          <w:p w14:paraId="4270FAA8" w14:textId="353BB918"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2,040.00</w:t>
            </w:r>
          </w:p>
        </w:tc>
      </w:tr>
      <w:tr w:rsidR="006602EF" w:rsidRPr="000F0299" w14:paraId="7E169857" w14:textId="77777777" w:rsidTr="00F8286F">
        <w:trPr>
          <w:trHeight w:val="795"/>
        </w:trPr>
        <w:tc>
          <w:tcPr>
            <w:cnfStyle w:val="001000000000" w:firstRow="0" w:lastRow="0" w:firstColumn="1" w:lastColumn="0" w:oddVBand="0" w:evenVBand="0" w:oddHBand="0" w:evenHBand="0" w:firstRowFirstColumn="0" w:firstRowLastColumn="0" w:lastRowFirstColumn="0" w:lastRowLastColumn="0"/>
            <w:tcW w:w="1335" w:type="pct"/>
            <w:hideMark/>
          </w:tcPr>
          <w:p w14:paraId="3315181F" w14:textId="3FA7F264" w:rsidR="006602EF" w:rsidRPr="000F0299" w:rsidRDefault="006602EF" w:rsidP="006602EF">
            <w:pPr>
              <w:ind w:firstLine="0"/>
              <w:rPr>
                <w:lang w:eastAsia="en-GB"/>
              </w:rPr>
            </w:pPr>
            <w:r w:rsidRPr="000F0299">
              <w:rPr>
                <w:lang w:eastAsia="en-GB"/>
              </w:rPr>
              <w:t>Meрa 4.1.5: Унапређење реактивне транспарентности, поступања по прописима из делокруга рада независних државних органа, односно по препорукама</w:t>
            </w:r>
            <w:r w:rsidR="00F8286F" w:rsidRPr="004546E7">
              <w:rPr>
                <w:lang w:eastAsia="en-GB"/>
              </w:rPr>
              <w:t xml:space="preserve"> </w:t>
            </w:r>
            <w:r w:rsidRPr="000F0299">
              <w:rPr>
                <w:lang w:eastAsia="en-GB"/>
              </w:rPr>
              <w:t>независних државних органа</w:t>
            </w:r>
          </w:p>
        </w:tc>
        <w:tc>
          <w:tcPr>
            <w:tcW w:w="579" w:type="pct"/>
            <w:noWrap/>
            <w:hideMark/>
          </w:tcPr>
          <w:p w14:paraId="4B4B20ED" w14:textId="4C4FE14F"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600.00</w:t>
            </w:r>
          </w:p>
        </w:tc>
        <w:tc>
          <w:tcPr>
            <w:tcW w:w="621" w:type="pct"/>
            <w:noWrap/>
            <w:hideMark/>
          </w:tcPr>
          <w:p w14:paraId="1C3AEF67" w14:textId="6183C7FE"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30,035.65</w:t>
            </w:r>
          </w:p>
        </w:tc>
        <w:tc>
          <w:tcPr>
            <w:tcW w:w="600" w:type="pct"/>
            <w:noWrap/>
            <w:hideMark/>
          </w:tcPr>
          <w:p w14:paraId="1BFF0AF3" w14:textId="5ED0E9A7"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33,585.02</w:t>
            </w:r>
          </w:p>
        </w:tc>
        <w:tc>
          <w:tcPr>
            <w:tcW w:w="600" w:type="pct"/>
            <w:noWrap/>
            <w:hideMark/>
          </w:tcPr>
          <w:p w14:paraId="2253DF86" w14:textId="2033AF9A"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32,592.05</w:t>
            </w:r>
          </w:p>
        </w:tc>
        <w:tc>
          <w:tcPr>
            <w:tcW w:w="600" w:type="pct"/>
            <w:noWrap/>
            <w:hideMark/>
          </w:tcPr>
          <w:p w14:paraId="06B2E9F4" w14:textId="4B7B8FBB"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32,592.05</w:t>
            </w:r>
          </w:p>
        </w:tc>
        <w:tc>
          <w:tcPr>
            <w:tcW w:w="663" w:type="pct"/>
            <w:noWrap/>
            <w:hideMark/>
          </w:tcPr>
          <w:p w14:paraId="18C5FA0E" w14:textId="3666569B"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129,404.77</w:t>
            </w:r>
          </w:p>
        </w:tc>
      </w:tr>
      <w:tr w:rsidR="006602EF" w:rsidRPr="000F0299" w14:paraId="75143BEB" w14:textId="77777777" w:rsidTr="00F8286F">
        <w:trPr>
          <w:trHeight w:val="288"/>
        </w:trPr>
        <w:tc>
          <w:tcPr>
            <w:cnfStyle w:val="001000000000" w:firstRow="0" w:lastRow="0" w:firstColumn="1" w:lastColumn="0" w:oddVBand="0" w:evenVBand="0" w:oddHBand="0" w:evenHBand="0" w:firstRowFirstColumn="0" w:firstRowLastColumn="0" w:lastRowFirstColumn="0" w:lastRowLastColumn="0"/>
            <w:tcW w:w="1335" w:type="pct"/>
            <w:shd w:val="clear" w:color="auto" w:fill="E7E6E6" w:themeFill="background2"/>
            <w:hideMark/>
          </w:tcPr>
          <w:p w14:paraId="43DF36B8" w14:textId="77777777" w:rsidR="006602EF" w:rsidRPr="000F0299" w:rsidRDefault="006602EF" w:rsidP="006602EF">
            <w:pPr>
              <w:ind w:firstLine="0"/>
              <w:rPr>
                <w:lang w:eastAsia="en-GB"/>
              </w:rPr>
            </w:pPr>
            <w:r w:rsidRPr="000F0299">
              <w:rPr>
                <w:lang w:eastAsia="en-GB"/>
              </w:rPr>
              <w:t>Посебан циљ: Оперативни план</w:t>
            </w:r>
          </w:p>
        </w:tc>
        <w:tc>
          <w:tcPr>
            <w:tcW w:w="579" w:type="pct"/>
            <w:shd w:val="clear" w:color="auto" w:fill="E7E6E6" w:themeFill="background2"/>
            <w:noWrap/>
            <w:hideMark/>
          </w:tcPr>
          <w:p w14:paraId="65430716" w14:textId="3CD2B1F2"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64,027.39</w:t>
            </w:r>
          </w:p>
        </w:tc>
        <w:tc>
          <w:tcPr>
            <w:tcW w:w="621" w:type="pct"/>
            <w:shd w:val="clear" w:color="auto" w:fill="E7E6E6" w:themeFill="background2"/>
            <w:noWrap/>
            <w:hideMark/>
          </w:tcPr>
          <w:p w14:paraId="5773B374" w14:textId="25072D2A"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34,857.61</w:t>
            </w:r>
          </w:p>
        </w:tc>
        <w:tc>
          <w:tcPr>
            <w:tcW w:w="600" w:type="pct"/>
            <w:shd w:val="clear" w:color="auto" w:fill="E7E6E6" w:themeFill="background2"/>
            <w:noWrap/>
            <w:hideMark/>
          </w:tcPr>
          <w:p w14:paraId="0CB84887" w14:textId="37A0F64F"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29,974.64</w:t>
            </w:r>
          </w:p>
        </w:tc>
        <w:tc>
          <w:tcPr>
            <w:tcW w:w="600" w:type="pct"/>
            <w:shd w:val="clear" w:color="auto" w:fill="E7E6E6" w:themeFill="background2"/>
            <w:noWrap/>
            <w:hideMark/>
          </w:tcPr>
          <w:p w14:paraId="14C31F4A" w14:textId="2B5DC89D"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16,019.43</w:t>
            </w:r>
          </w:p>
        </w:tc>
        <w:tc>
          <w:tcPr>
            <w:tcW w:w="600" w:type="pct"/>
            <w:shd w:val="clear" w:color="auto" w:fill="E7E6E6" w:themeFill="background2"/>
            <w:noWrap/>
            <w:hideMark/>
          </w:tcPr>
          <w:p w14:paraId="1C940EDC" w14:textId="5F1D48FA"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15,820.98</w:t>
            </w:r>
          </w:p>
        </w:tc>
        <w:tc>
          <w:tcPr>
            <w:tcW w:w="663" w:type="pct"/>
            <w:shd w:val="clear" w:color="auto" w:fill="E7E6E6" w:themeFill="background2"/>
            <w:noWrap/>
            <w:hideMark/>
          </w:tcPr>
          <w:p w14:paraId="770AD181" w14:textId="79FF6B37" w:rsidR="006602EF" w:rsidRPr="006602EF" w:rsidRDefault="006602EF" w:rsidP="006602EF">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6602EF">
              <w:rPr>
                <w:b/>
                <w:bCs/>
              </w:rPr>
              <w:t>160,700.05</w:t>
            </w:r>
          </w:p>
        </w:tc>
      </w:tr>
      <w:tr w:rsidR="006602EF" w:rsidRPr="000F0299" w14:paraId="26D27AC6" w14:textId="77777777" w:rsidTr="00F8286F">
        <w:trPr>
          <w:trHeight w:val="570"/>
        </w:trPr>
        <w:tc>
          <w:tcPr>
            <w:cnfStyle w:val="001000000000" w:firstRow="0" w:lastRow="0" w:firstColumn="1" w:lastColumn="0" w:oddVBand="0" w:evenVBand="0" w:oddHBand="0" w:evenHBand="0" w:firstRowFirstColumn="0" w:firstRowLastColumn="0" w:lastRowFirstColumn="0" w:lastRowLastColumn="0"/>
            <w:tcW w:w="1335" w:type="pct"/>
            <w:hideMark/>
          </w:tcPr>
          <w:p w14:paraId="244BA287" w14:textId="27A37124" w:rsidR="006602EF" w:rsidRPr="000F0299" w:rsidRDefault="006602EF" w:rsidP="006602EF">
            <w:pPr>
              <w:ind w:firstLine="0"/>
              <w:rPr>
                <w:lang w:eastAsia="en-GB"/>
              </w:rPr>
            </w:pPr>
            <w:r w:rsidRPr="000F0299">
              <w:rPr>
                <w:lang w:eastAsia="en-GB"/>
              </w:rPr>
              <w:t>Meрa: Обезбедити ефикасну координацију и праћење мера и активности планираних АП РЈУ</w:t>
            </w:r>
          </w:p>
        </w:tc>
        <w:tc>
          <w:tcPr>
            <w:tcW w:w="579" w:type="pct"/>
            <w:noWrap/>
            <w:hideMark/>
          </w:tcPr>
          <w:p w14:paraId="04A6EE23" w14:textId="4A7AE67F"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42,301.39</w:t>
            </w:r>
          </w:p>
        </w:tc>
        <w:tc>
          <w:tcPr>
            <w:tcW w:w="621" w:type="pct"/>
            <w:noWrap/>
            <w:hideMark/>
          </w:tcPr>
          <w:p w14:paraId="130A6712" w14:textId="0228F39B"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13,096.99</w:t>
            </w:r>
          </w:p>
        </w:tc>
        <w:tc>
          <w:tcPr>
            <w:tcW w:w="600" w:type="pct"/>
            <w:noWrap/>
            <w:hideMark/>
          </w:tcPr>
          <w:p w14:paraId="1120D36A" w14:textId="0974D7DC"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26,214.02</w:t>
            </w:r>
          </w:p>
        </w:tc>
        <w:tc>
          <w:tcPr>
            <w:tcW w:w="600" w:type="pct"/>
            <w:noWrap/>
            <w:hideMark/>
          </w:tcPr>
          <w:p w14:paraId="335B53FD" w14:textId="5870A10A"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12,258.81</w:t>
            </w:r>
          </w:p>
        </w:tc>
        <w:tc>
          <w:tcPr>
            <w:tcW w:w="600" w:type="pct"/>
            <w:noWrap/>
            <w:hideMark/>
          </w:tcPr>
          <w:p w14:paraId="51B1D984" w14:textId="47E4E57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12,060.36</w:t>
            </w:r>
          </w:p>
        </w:tc>
        <w:tc>
          <w:tcPr>
            <w:tcW w:w="663" w:type="pct"/>
            <w:noWrap/>
            <w:hideMark/>
          </w:tcPr>
          <w:p w14:paraId="2EF2772B" w14:textId="58D66706"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105,931.57</w:t>
            </w:r>
          </w:p>
        </w:tc>
      </w:tr>
      <w:tr w:rsidR="006602EF" w:rsidRPr="000F0299" w14:paraId="72B51F14" w14:textId="77777777" w:rsidTr="00F8286F">
        <w:trPr>
          <w:trHeight w:val="630"/>
        </w:trPr>
        <w:tc>
          <w:tcPr>
            <w:cnfStyle w:val="001000000000" w:firstRow="0" w:lastRow="0" w:firstColumn="1" w:lastColumn="0" w:oddVBand="0" w:evenVBand="0" w:oddHBand="0" w:evenHBand="0" w:firstRowFirstColumn="0" w:firstRowLastColumn="0" w:lastRowFirstColumn="0" w:lastRowLastColumn="0"/>
            <w:tcW w:w="1335" w:type="pct"/>
            <w:hideMark/>
          </w:tcPr>
          <w:p w14:paraId="73BCC2B6" w14:textId="3CE53DA4" w:rsidR="006602EF" w:rsidRPr="000F0299" w:rsidRDefault="006602EF" w:rsidP="006602EF">
            <w:pPr>
              <w:ind w:firstLine="0"/>
              <w:rPr>
                <w:lang w:eastAsia="en-GB"/>
              </w:rPr>
            </w:pPr>
            <w:r w:rsidRPr="000F0299">
              <w:rPr>
                <w:lang w:eastAsia="en-GB"/>
              </w:rPr>
              <w:t>Meрa: Обезбеђење ефикасне координације донаторске подршке у области РЈУ</w:t>
            </w:r>
          </w:p>
        </w:tc>
        <w:tc>
          <w:tcPr>
            <w:tcW w:w="579" w:type="pct"/>
            <w:noWrap/>
            <w:hideMark/>
          </w:tcPr>
          <w:p w14:paraId="2B86B695" w14:textId="5CF3F03A"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21,726.00</w:t>
            </w:r>
          </w:p>
        </w:tc>
        <w:tc>
          <w:tcPr>
            <w:tcW w:w="621" w:type="pct"/>
            <w:noWrap/>
            <w:hideMark/>
          </w:tcPr>
          <w:p w14:paraId="6A172C59" w14:textId="4CA89B1A"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21,760.62</w:t>
            </w:r>
          </w:p>
        </w:tc>
        <w:tc>
          <w:tcPr>
            <w:tcW w:w="600" w:type="pct"/>
            <w:noWrap/>
            <w:hideMark/>
          </w:tcPr>
          <w:p w14:paraId="160D3158" w14:textId="3EECFA72"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3,760.62</w:t>
            </w:r>
          </w:p>
        </w:tc>
        <w:tc>
          <w:tcPr>
            <w:tcW w:w="600" w:type="pct"/>
            <w:noWrap/>
            <w:hideMark/>
          </w:tcPr>
          <w:p w14:paraId="132ABCBC" w14:textId="4AB099A9"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3,760.62</w:t>
            </w:r>
          </w:p>
        </w:tc>
        <w:tc>
          <w:tcPr>
            <w:tcW w:w="600" w:type="pct"/>
            <w:noWrap/>
            <w:hideMark/>
          </w:tcPr>
          <w:p w14:paraId="699741E0" w14:textId="523BE711"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3,760.62</w:t>
            </w:r>
          </w:p>
        </w:tc>
        <w:tc>
          <w:tcPr>
            <w:tcW w:w="663" w:type="pct"/>
            <w:noWrap/>
            <w:hideMark/>
          </w:tcPr>
          <w:p w14:paraId="6AC71673" w14:textId="5EBE3CB5" w:rsidR="006602EF" w:rsidRPr="000F0299" w:rsidRDefault="006602EF" w:rsidP="006602EF">
            <w:pPr>
              <w:jc w:val="center"/>
              <w:cnfStyle w:val="000000000000" w:firstRow="0" w:lastRow="0" w:firstColumn="0" w:lastColumn="0" w:oddVBand="0" w:evenVBand="0" w:oddHBand="0" w:evenHBand="0" w:firstRowFirstColumn="0" w:firstRowLastColumn="0" w:lastRowFirstColumn="0" w:lastRowLastColumn="0"/>
              <w:rPr>
                <w:lang w:eastAsia="en-GB"/>
              </w:rPr>
            </w:pPr>
            <w:r w:rsidRPr="008528D4">
              <w:t>54,768.48</w:t>
            </w:r>
          </w:p>
        </w:tc>
      </w:tr>
      <w:tr w:rsidR="00F8286F" w:rsidRPr="000F0299" w14:paraId="59018203" w14:textId="77777777" w:rsidTr="00F8286F">
        <w:trPr>
          <w:trHeight w:val="312"/>
        </w:trPr>
        <w:tc>
          <w:tcPr>
            <w:cnfStyle w:val="001000000000" w:firstRow="0" w:lastRow="0" w:firstColumn="1" w:lastColumn="0" w:oddVBand="0" w:evenVBand="0" w:oddHBand="0" w:evenHBand="0" w:firstRowFirstColumn="0" w:firstRowLastColumn="0" w:lastRowFirstColumn="0" w:lastRowLastColumn="0"/>
            <w:tcW w:w="1335" w:type="pct"/>
            <w:shd w:val="clear" w:color="auto" w:fill="D9D9D9" w:themeFill="background1" w:themeFillShade="D9"/>
            <w:hideMark/>
          </w:tcPr>
          <w:p w14:paraId="29763249" w14:textId="77777777" w:rsidR="00F8286F" w:rsidRPr="000F0299" w:rsidRDefault="00F8286F" w:rsidP="00F8286F">
            <w:pPr>
              <w:ind w:firstLine="0"/>
              <w:rPr>
                <w:lang w:eastAsia="en-GB"/>
              </w:rPr>
            </w:pPr>
            <w:r w:rsidRPr="000F0299">
              <w:rPr>
                <w:lang w:eastAsia="en-GB"/>
              </w:rPr>
              <w:t>ТОТАЛ ПО ГОДИНАМА (у хиљадама РСД)</w:t>
            </w:r>
          </w:p>
        </w:tc>
        <w:tc>
          <w:tcPr>
            <w:tcW w:w="579" w:type="pct"/>
            <w:shd w:val="clear" w:color="auto" w:fill="D9D9D9" w:themeFill="background1" w:themeFillShade="D9"/>
            <w:noWrap/>
            <w:hideMark/>
          </w:tcPr>
          <w:p w14:paraId="3673E347" w14:textId="02845BAB" w:rsidR="00F8286F" w:rsidRPr="000F0299" w:rsidRDefault="00F8286F" w:rsidP="00F8286F">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8528D4">
              <w:t>301,251.36</w:t>
            </w:r>
          </w:p>
        </w:tc>
        <w:tc>
          <w:tcPr>
            <w:tcW w:w="621" w:type="pct"/>
            <w:shd w:val="clear" w:color="auto" w:fill="D9D9D9" w:themeFill="background1" w:themeFillShade="D9"/>
            <w:noWrap/>
            <w:hideMark/>
          </w:tcPr>
          <w:p w14:paraId="4D6F5E2E" w14:textId="500F8CDE" w:rsidR="00F8286F" w:rsidRPr="00F8286F" w:rsidRDefault="00F8286F" w:rsidP="00F8286F">
            <w:pPr>
              <w:jc w:val="center"/>
              <w:cnfStyle w:val="000000000000" w:firstRow="0" w:lastRow="0" w:firstColumn="0" w:lastColumn="0" w:oddVBand="0" w:evenVBand="0" w:oddHBand="0" w:evenHBand="0" w:firstRowFirstColumn="0" w:firstRowLastColumn="0" w:lastRowFirstColumn="0" w:lastRowLastColumn="0"/>
            </w:pPr>
            <w:r w:rsidRPr="00F8286F">
              <w:t xml:space="preserve">  430,672.81 </w:t>
            </w:r>
          </w:p>
          <w:p w14:paraId="16E2DC95" w14:textId="3C57123C" w:rsidR="00F8286F" w:rsidRPr="00F8286F" w:rsidRDefault="00F8286F" w:rsidP="00F8286F">
            <w:pPr>
              <w:jc w:val="center"/>
              <w:cnfStyle w:val="000000000000" w:firstRow="0" w:lastRow="0" w:firstColumn="0" w:lastColumn="0" w:oddVBand="0" w:evenVBand="0" w:oddHBand="0" w:evenHBand="0" w:firstRowFirstColumn="0" w:firstRowLastColumn="0" w:lastRowFirstColumn="0" w:lastRowLastColumn="0"/>
            </w:pPr>
          </w:p>
        </w:tc>
        <w:tc>
          <w:tcPr>
            <w:tcW w:w="600" w:type="pct"/>
            <w:shd w:val="clear" w:color="auto" w:fill="D9D9D9" w:themeFill="background1" w:themeFillShade="D9"/>
            <w:noWrap/>
            <w:hideMark/>
          </w:tcPr>
          <w:p w14:paraId="1835060A" w14:textId="1B86243D" w:rsidR="00F8286F" w:rsidRPr="000F0299" w:rsidRDefault="00F8286F" w:rsidP="00F8286F">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1023BF">
              <w:t xml:space="preserve"> 383,339.46 </w:t>
            </w:r>
          </w:p>
        </w:tc>
        <w:tc>
          <w:tcPr>
            <w:tcW w:w="600" w:type="pct"/>
            <w:shd w:val="clear" w:color="auto" w:fill="D9D9D9" w:themeFill="background1" w:themeFillShade="D9"/>
            <w:noWrap/>
            <w:hideMark/>
          </w:tcPr>
          <w:p w14:paraId="4535732B" w14:textId="334042BB" w:rsidR="00F8286F" w:rsidRPr="000F0299" w:rsidRDefault="00F8286F" w:rsidP="00F8286F">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1023BF">
              <w:t xml:space="preserve"> 291,020.38 </w:t>
            </w:r>
          </w:p>
        </w:tc>
        <w:tc>
          <w:tcPr>
            <w:tcW w:w="600" w:type="pct"/>
            <w:shd w:val="clear" w:color="auto" w:fill="D9D9D9" w:themeFill="background1" w:themeFillShade="D9"/>
            <w:noWrap/>
            <w:hideMark/>
          </w:tcPr>
          <w:p w14:paraId="2E9001AD" w14:textId="7303F85D" w:rsidR="00F8286F" w:rsidRPr="000F0299" w:rsidRDefault="00F8286F" w:rsidP="00F8286F">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1023BF">
              <w:t xml:space="preserve"> 589,786.71 </w:t>
            </w:r>
          </w:p>
        </w:tc>
        <w:tc>
          <w:tcPr>
            <w:tcW w:w="663" w:type="pct"/>
            <w:shd w:val="clear" w:color="auto" w:fill="D9D9D9" w:themeFill="background1" w:themeFillShade="D9"/>
            <w:noWrap/>
            <w:hideMark/>
          </w:tcPr>
          <w:p w14:paraId="659D2782" w14:textId="33F6B156" w:rsidR="00F8286F" w:rsidRPr="00F8286F" w:rsidRDefault="00F8286F" w:rsidP="00F8286F">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1023BF">
              <w:t xml:space="preserve"> </w:t>
            </w:r>
            <w:r w:rsidRPr="00F8286F">
              <w:rPr>
                <w:b/>
                <w:bCs/>
              </w:rPr>
              <w:t xml:space="preserve">1,996,070.72 </w:t>
            </w:r>
          </w:p>
        </w:tc>
      </w:tr>
    </w:tbl>
    <w:p w14:paraId="26A83B7E" w14:textId="1EFF193B" w:rsidR="00D321E8" w:rsidRPr="000F0299" w:rsidRDefault="00D321E8" w:rsidP="00D321E8">
      <w:pPr>
        <w:ind w:firstLine="0"/>
      </w:pPr>
    </w:p>
    <w:p w14:paraId="4B298F45" w14:textId="146A3452" w:rsidR="00565392" w:rsidRPr="000F0299" w:rsidRDefault="00565392" w:rsidP="00565392"/>
    <w:p w14:paraId="29897D4E" w14:textId="77777777" w:rsidR="00565392" w:rsidRPr="000F0299" w:rsidRDefault="00565392" w:rsidP="00565392">
      <w:pPr>
        <w:sectPr w:rsidR="00565392" w:rsidRPr="000F0299" w:rsidSect="00565392">
          <w:headerReference w:type="default" r:id="rId75"/>
          <w:footerReference w:type="default" r:id="rId76"/>
          <w:pgSz w:w="16838" w:h="11906" w:orient="landscape"/>
          <w:pgMar w:top="1417" w:right="1417" w:bottom="1417" w:left="1134" w:header="708" w:footer="708" w:gutter="0"/>
          <w:cols w:space="708"/>
          <w:docGrid w:linePitch="360"/>
        </w:sectPr>
      </w:pPr>
    </w:p>
    <w:p w14:paraId="51DCBE1A" w14:textId="23A5758E" w:rsidR="00C155BA" w:rsidRPr="000F0299" w:rsidRDefault="001A294C" w:rsidP="003D3BC5">
      <w:pPr>
        <w:pStyle w:val="Heading2"/>
        <w:rPr>
          <w:lang w:val="sr-Cyrl-RS"/>
        </w:rPr>
      </w:pPr>
      <w:bookmarkStart w:id="98" w:name="_Ι._Планирање_и"/>
      <w:bookmarkStart w:id="99" w:name="_Toc57661473"/>
      <w:bookmarkEnd w:id="98"/>
      <w:r w:rsidRPr="000F0299">
        <w:rPr>
          <w:lang w:val="sr-Cyrl-RS"/>
        </w:rPr>
        <w:t>Ι. П</w:t>
      </w:r>
      <w:r w:rsidR="00245ECA" w:rsidRPr="000F0299">
        <w:rPr>
          <w:lang w:val="sr-Cyrl-RS"/>
        </w:rPr>
        <w:t>ланирање и координација јавних политика</w:t>
      </w:r>
      <w:bookmarkStart w:id="100" w:name="_Toc40182232"/>
      <w:bookmarkStart w:id="101" w:name="_Toc40183049"/>
      <w:bookmarkEnd w:id="91"/>
      <w:bookmarkEnd w:id="92"/>
      <w:bookmarkEnd w:id="93"/>
      <w:bookmarkEnd w:id="99"/>
    </w:p>
    <w:p w14:paraId="5D6AD040" w14:textId="0A53C853" w:rsidR="001A294C" w:rsidRPr="000F0299" w:rsidRDefault="001A294C" w:rsidP="001C30B7">
      <w:pPr>
        <w:pStyle w:val="Heading3"/>
        <w:rPr>
          <w:rStyle w:val="Emphasis"/>
          <w:i w:val="0"/>
          <w:iCs w:val="0"/>
          <w:lang w:val="sr-Cyrl-RS"/>
        </w:rPr>
      </w:pPr>
      <w:bookmarkStart w:id="102" w:name="_АНАЛИЗА_СТАЊА"/>
      <w:bookmarkStart w:id="103" w:name="_Toc40613447"/>
      <w:bookmarkStart w:id="104" w:name="_Toc57661474"/>
      <w:bookmarkEnd w:id="102"/>
      <w:r w:rsidRPr="000F0299">
        <w:rPr>
          <w:rStyle w:val="Emphasis"/>
          <w:i w:val="0"/>
          <w:iCs w:val="0"/>
          <w:lang w:val="sr-Cyrl-RS"/>
        </w:rPr>
        <w:t>А</w:t>
      </w:r>
      <w:r w:rsidR="00245ECA" w:rsidRPr="000F0299">
        <w:rPr>
          <w:rStyle w:val="Emphasis"/>
          <w:i w:val="0"/>
          <w:iCs w:val="0"/>
          <w:lang w:val="sr-Cyrl-RS"/>
        </w:rPr>
        <w:t>нализа стања</w:t>
      </w:r>
      <w:bookmarkEnd w:id="100"/>
      <w:bookmarkEnd w:id="101"/>
      <w:bookmarkEnd w:id="103"/>
      <w:bookmarkEnd w:id="104"/>
    </w:p>
    <w:p w14:paraId="65C4147E" w14:textId="7CAEB938" w:rsidR="001A294C" w:rsidRPr="000F0299" w:rsidRDefault="001A294C" w:rsidP="00C013C7">
      <w:pPr>
        <w:pStyle w:val="Heading4"/>
        <w:rPr>
          <w:lang w:val="sr-Cyrl-RS"/>
        </w:rPr>
      </w:pPr>
      <w:bookmarkStart w:id="105" w:name="_Toc40613448"/>
      <w:r w:rsidRPr="000F0299">
        <w:rPr>
          <w:lang w:val="sr-Cyrl-RS"/>
        </w:rPr>
        <w:t>Правни и стратешки оквир</w:t>
      </w:r>
      <w:bookmarkEnd w:id="105"/>
    </w:p>
    <w:p w14:paraId="46EB68A4" w14:textId="1451165D" w:rsidR="001631CD" w:rsidRPr="001631CD" w:rsidRDefault="001631CD" w:rsidP="001631CD">
      <w:bookmarkStart w:id="106" w:name="_Hlk40537457"/>
      <w:r w:rsidRPr="001631CD">
        <w:t xml:space="preserve">Стратешки оквир за реформу система управљања јавним политикама и регулаторну реформу утврђен је кроз два документа јавних политика. Први је </w:t>
      </w:r>
      <w:r w:rsidRPr="001631CD">
        <w:rPr>
          <w:b/>
          <w:bCs/>
        </w:rPr>
        <w:t>Стратегија РЈУ из 2014</w:t>
      </w:r>
      <w:r w:rsidRPr="001631CD">
        <w:t>, која у оквиру посебног циља 1. Унапређење организационих и функционалних подсистема јавне управе</w:t>
      </w:r>
      <w:r w:rsidRPr="001631CD">
        <w:rPr>
          <w:iCs/>
        </w:rPr>
        <w:t>,</w:t>
      </w:r>
      <w:r w:rsidRPr="001631CD">
        <w:t xml:space="preserve"> мера 1.3. Унапређење система управљања јавним политикама Владе (планирање, анализа, креирање, доношење, праћење и вредновање и координација) предвиђа планирање и координацију јавних политика као једно од приоритетних подручја реформе јавне управе</w:t>
      </w:r>
      <w:r w:rsidRPr="001631CD">
        <w:rPr>
          <w:i/>
          <w:iCs/>
        </w:rPr>
        <w:t xml:space="preserve">. </w:t>
      </w:r>
      <w:r w:rsidRPr="001631CD">
        <w:t xml:space="preserve">Други кључни и детаљнији плански документ у овој области јесте </w:t>
      </w:r>
      <w:r w:rsidRPr="001631CD">
        <w:rPr>
          <w:b/>
        </w:rPr>
        <w:t>Стратегија регулаторне реформе и унапређења система управљања јавним политикама</w:t>
      </w:r>
      <w:r w:rsidRPr="001631CD">
        <w:rPr>
          <w:b/>
          <w:lang w:val="sr-Latn-RS"/>
        </w:rPr>
        <w:t xml:space="preserve"> </w:t>
      </w:r>
      <w:r w:rsidRPr="001631CD">
        <w:rPr>
          <w:b/>
        </w:rPr>
        <w:t xml:space="preserve">за период 2016–2020. године </w:t>
      </w:r>
      <w:r w:rsidRPr="001631CD">
        <w:t>(„Службени гласник РС”, број 8/16)</w:t>
      </w:r>
      <w:r w:rsidRPr="001631CD">
        <w:rPr>
          <w:bCs/>
          <w:vertAlign w:val="superscript"/>
        </w:rPr>
        <w:footnoteReference w:id="51"/>
      </w:r>
      <w:r w:rsidRPr="001631CD">
        <w:t>, која као свој општи циљ утврђује то да се успостави ефикасан и ефективан систем управљања јавним политикама и законодавни процес базиран на подацима и чињеницама и начелима добре регулаторне праксе. Предвиђено је да по истеку важења те стратегије 2020. године на снагу ступи Програм регулаторне реформе и управљање јавним политикама. Посебан циљ те стратегије који се односи на поједностављење административних процедура и успостављање система за континуирано мерење и праћење административних трошкова привреде и грађана разрађен је</w:t>
      </w:r>
      <w:r w:rsidRPr="001631CD">
        <w:rPr>
          <w:lang w:val="sr-Latn-RS"/>
        </w:rPr>
        <w:t xml:space="preserve"> </w:t>
      </w:r>
      <w:bookmarkStart w:id="107" w:name="_Hlk57505414"/>
      <w:r w:rsidRPr="001631CD">
        <w:rPr>
          <w:b/>
          <w:bCs/>
        </w:rPr>
        <w:t xml:space="preserve">Програмом </w:t>
      </w:r>
      <w:r w:rsidRPr="001631CD">
        <w:t>„е-Папир”.</w:t>
      </w:r>
      <w:bookmarkEnd w:id="107"/>
      <w:r w:rsidRPr="001631CD">
        <w:t xml:space="preserve"> Програмом „е-Папир” се први пут свеобухватно приступа реформама којима је циљ побољшати пословно окружење тако што ће се смањити административно оптерећење привреде, као и побољшати јавне услуге тако што ће се повећати ефикасност у спровођењу административних поступака, за шта је потребно да се они систематски поједноставе (укину сувишни, а остали поједноставе, с тим да се најучесталији међу њима дигитализују), као и успоставити Јединствени јавни регистар управних поступака и осталих услова пословања на коме се налазе све информације за административне поступке који су значајни за привреду.</w:t>
      </w:r>
    </w:p>
    <w:p w14:paraId="1D3E02DA" w14:textId="7A56C1E8" w:rsidR="0002653D" w:rsidRPr="0002653D" w:rsidRDefault="001631CD" w:rsidP="0002653D">
      <w:pPr>
        <w:rPr>
          <w:lang w:val="sr-Latn-RS"/>
        </w:rPr>
      </w:pPr>
      <w:r w:rsidRPr="001631CD">
        <w:t xml:space="preserve">Институционални оквир за управљање системом јавних политика успостављен је чланом 33 Закона о министарствима </w:t>
      </w:r>
      <w:r w:rsidRPr="001631CD">
        <w:rPr>
          <w:lang w:val="sr-Latn-RS"/>
        </w:rPr>
        <w:t>(„Сл</w:t>
      </w:r>
      <w:r w:rsidRPr="001631CD">
        <w:t>ужбени</w:t>
      </w:r>
      <w:r w:rsidRPr="001631CD">
        <w:rPr>
          <w:lang w:val="sr-Latn-RS"/>
        </w:rPr>
        <w:t xml:space="preserve"> </w:t>
      </w:r>
      <w:r w:rsidRPr="001631CD">
        <w:t>г</w:t>
      </w:r>
      <w:r w:rsidRPr="001631CD">
        <w:rPr>
          <w:lang w:val="sr-Latn-RS"/>
        </w:rPr>
        <w:t>ласник РС</w:t>
      </w:r>
      <w:r w:rsidRPr="001631CD">
        <w:t xml:space="preserve">”, </w:t>
      </w:r>
      <w:r w:rsidR="00E92E01">
        <w:t>број</w:t>
      </w:r>
      <w:r w:rsidRPr="001631CD">
        <w:rPr>
          <w:lang w:val="sr-Latn-RS"/>
        </w:rPr>
        <w:t xml:space="preserve"> 44/2014, 14/2015, 54/2015, 96/2015, др. закон 62/2017)</w:t>
      </w:r>
      <w:r w:rsidRPr="001631CD">
        <w:t>, којим је основан</w:t>
      </w:r>
      <w:r w:rsidRPr="001631CD">
        <w:rPr>
          <w:lang w:val="sr-Latn-RS"/>
        </w:rPr>
        <w:t xml:space="preserve"> </w:t>
      </w:r>
      <w:r w:rsidRPr="001631CD">
        <w:t xml:space="preserve">Републички секретаријат за јавне политике (у даљем тексту: РСЈП). У члану 33. тог закона утврђено је да РСЈП пружа стручну подршку Влади и државној управи у планирању, развоју, доношењу и координацији јавних политика и спровођењу регулаторне реформе. Осим тога, РСЈП се стара о међусобној усклађености планских докумената и прописа и врши контролу спровођења и квалитета анализе ефеката докумената јавних политика и прописа. РСЈП обавља стручне послове који се односе на спровођење регулаторне реформе и анализу ефеката </w:t>
      </w:r>
      <w:bookmarkEnd w:id="106"/>
      <w:r w:rsidR="0002653D" w:rsidRPr="0002653D">
        <w:t>прописа које припремају министарства и посебне организације. Генерални секретаријат Владе</w:t>
      </w:r>
      <w:r w:rsidR="0002653D" w:rsidRPr="0002653D">
        <w:rPr>
          <w:lang w:val="sr-Latn-RS"/>
        </w:rPr>
        <w:t xml:space="preserve"> </w:t>
      </w:r>
      <w:r w:rsidR="0002653D" w:rsidRPr="0002653D">
        <w:t>припрема акте којима Влада надзире, усмерава и усклађује рад министарстава и посебних организација</w:t>
      </w:r>
      <w:r w:rsidR="0002653D" w:rsidRPr="0002653D">
        <w:rPr>
          <w:lang w:val="sr-Latn-RS"/>
        </w:rPr>
        <w:t xml:space="preserve"> </w:t>
      </w:r>
      <w:r w:rsidR="0002653D" w:rsidRPr="0002653D">
        <w:t>и стара се о извршавању аката Владе којима она утврђује обавезе министарстава и посебних организација.</w:t>
      </w:r>
      <w:r w:rsidR="0002653D" w:rsidRPr="0002653D">
        <w:rPr>
          <w:vertAlign w:val="superscript"/>
        </w:rPr>
        <w:footnoteReference w:id="52"/>
      </w:r>
    </w:p>
    <w:p w14:paraId="6F0030A5" w14:textId="5F13C203" w:rsidR="0002653D" w:rsidRPr="0002653D" w:rsidRDefault="0002653D" w:rsidP="0002653D">
      <w:r w:rsidRPr="0002653D">
        <w:t>Као резултат спровођења Стратегије регулаторне реформе</w:t>
      </w:r>
      <w:r w:rsidRPr="0002653D">
        <w:rPr>
          <w:lang w:val="sr-Latn-RS"/>
        </w:rPr>
        <w:t xml:space="preserve"> </w:t>
      </w:r>
      <w:r w:rsidRPr="0002653D">
        <w:t>и унапређења система управљања јавним политикама за период 2016–2020. године, у последње две године њеног важења заокружен је нормативни оквир јединственог система планирања, спровођења, праћења и вредновања ефеката спровођења докумената јавних политика у Републици Србији</w:t>
      </w:r>
      <w:r w:rsidRPr="0002653D">
        <w:rPr>
          <w:vertAlign w:val="superscript"/>
        </w:rPr>
        <w:footnoteReference w:id="53"/>
      </w:r>
      <w:r w:rsidRPr="0002653D">
        <w:rPr>
          <w:vertAlign w:val="superscript"/>
        </w:rPr>
        <w:t>,</w:t>
      </w:r>
      <w:r w:rsidRPr="0002653D">
        <w:rPr>
          <w:vertAlign w:val="superscript"/>
        </w:rPr>
        <w:footnoteReference w:id="54"/>
      </w:r>
      <w:r w:rsidRPr="0002653D">
        <w:rPr>
          <w:vertAlign w:val="superscript"/>
        </w:rPr>
        <w:t xml:space="preserve"> </w:t>
      </w:r>
      <w:r w:rsidRPr="0002653D">
        <w:t xml:space="preserve">– 2018 је донет </w:t>
      </w:r>
      <w:r w:rsidRPr="0002653D">
        <w:rPr>
          <w:b/>
        </w:rPr>
        <w:t>Закон о планском систему Републике Србије</w:t>
      </w:r>
      <w:r w:rsidRPr="0002653D">
        <w:t xml:space="preserve"> („Службени гласник РСˮ број 30/18) и две уредбе за његово спровођење </w:t>
      </w:r>
      <w:r w:rsidRPr="0002653D">
        <w:rPr>
          <w:lang w:val="sr-Latn-RS"/>
        </w:rPr>
        <w:t>(</w:t>
      </w:r>
      <w:r w:rsidRPr="0002653D">
        <w:t>,,</w:t>
      </w:r>
      <w:r w:rsidRPr="0002653D">
        <w:rPr>
          <w:lang w:val="sr-Latn-RS"/>
        </w:rPr>
        <w:t xml:space="preserve">Службени </w:t>
      </w:r>
      <w:r w:rsidRPr="0002653D">
        <w:t>г</w:t>
      </w:r>
      <w:r w:rsidRPr="0002653D">
        <w:rPr>
          <w:lang w:val="sr-Latn-RS"/>
        </w:rPr>
        <w:t>ласник РС</w:t>
      </w:r>
      <w:r w:rsidRPr="0002653D">
        <w:t xml:space="preserve">”, </w:t>
      </w:r>
      <w:r w:rsidRPr="0002653D">
        <w:rPr>
          <w:lang w:val="sr-Latn-RS"/>
        </w:rPr>
        <w:t>број 8/19</w:t>
      </w:r>
      <w:r w:rsidRPr="0002653D">
        <w:t xml:space="preserve"> и </w:t>
      </w:r>
      <w:r w:rsidRPr="0002653D">
        <w:rPr>
          <w:lang w:val="sr-Latn-RS"/>
        </w:rPr>
        <w:t>)</w:t>
      </w:r>
      <w:r w:rsidRPr="0002653D">
        <w:rPr>
          <w:vertAlign w:val="superscript"/>
        </w:rPr>
        <w:footnoteReference w:id="55"/>
      </w:r>
      <w:r w:rsidRPr="0002653D">
        <w:t xml:space="preserve"> почетком 2019. године. Тиме је први пут постављен кохерентан правни оквир за развојно планирање, планирање јавних политика и средњорочно планирање. У области регулаторне реформе су начињени значајни помаци, побољшан је систем припреме нових и измене постојећих прописа: ЗПС и Уредбом о методологији управљања јавним политикама, анализи ефеката јавних политика и прописа и садржају појединачних докумената јавних политика (у даљем тексту: Уредба) дат је детаљан оквир за спровођење анализе ефеката прописа, уведена је обавеза да се спроводи анализа ефеката спровођења прописа и подзаконских аката које доноси Влада, предвиђени су </w:t>
      </w:r>
      <w:r w:rsidRPr="0002653D">
        <w:rPr>
          <w:b/>
        </w:rPr>
        <w:t>Тест утицаја на микро, мале и средње привредне субјекте</w:t>
      </w:r>
      <w:r w:rsidRPr="0002653D">
        <w:t xml:space="preserve"> и </w:t>
      </w:r>
      <w:r w:rsidRPr="0002653D">
        <w:rPr>
          <w:b/>
        </w:rPr>
        <w:t>Тест родне равноправности</w:t>
      </w:r>
      <w:r w:rsidRPr="0002653D">
        <w:t xml:space="preserve">, као елементи анализе ефеката спровођења прописа. Додатно, израђен је </w:t>
      </w:r>
      <w:r w:rsidRPr="0002653D">
        <w:rPr>
          <w:b/>
        </w:rPr>
        <w:t>Приручник за анализу ефеката јавних политика и прописа</w:t>
      </w:r>
      <w:r w:rsidRPr="0002653D">
        <w:t xml:space="preserve">. У </w:t>
      </w:r>
      <w:r w:rsidR="002A7AD0" w:rsidRPr="0002653D">
        <w:t>оквиру</w:t>
      </w:r>
      <w:r w:rsidRPr="0002653D">
        <w:t xml:space="preserve"> спровођења мера предвиђених Стратегијом регулаторне реформе и унапређења система управљања јавним политикама за период 2016–2020. године сачињена је евиденција свих управних поступака за привреду (преко 2.600 поступака на националном и покрајинском нивоу), започет је развој Јединственог јавног регистра управних поступака, припремљени су нацрти аката за његово функционисање</w:t>
      </w:r>
      <w:r w:rsidRPr="0002653D">
        <w:rPr>
          <w:lang w:val="sr-Latn-RS"/>
        </w:rPr>
        <w:t>,</w:t>
      </w:r>
      <w:r w:rsidRPr="0002653D">
        <w:t xml:space="preserve"> развијен је Калкулатор за обрачун административног трошка и измерено је административно оптерећење привреде у 2018. години.</w:t>
      </w:r>
    </w:p>
    <w:p w14:paraId="755726C5" w14:textId="77777777" w:rsidR="0002653D" w:rsidRPr="0002653D" w:rsidRDefault="0002653D" w:rsidP="0002653D">
      <w:r w:rsidRPr="0002653D">
        <w:t>РСЈП даје оцену квалитета анализе ефеката јавних политика и прописа и, по потреби, упућује примедбе њиховим предлагачима да употпуне анализу ефеката и даје методолошку подршку у њеној изради. Републички секретаријат за законодавство и министарство надлежно за послове финансија су у току 2019. године у неколико наврата позивали предлагаче јавних политика и прописа да употпуне своје предлоге у складу са ЗПС.</w:t>
      </w:r>
      <w:r w:rsidRPr="0002653D">
        <w:rPr>
          <w:vertAlign w:val="superscript"/>
        </w:rPr>
        <w:footnoteReference w:id="56"/>
      </w:r>
    </w:p>
    <w:p w14:paraId="58B58C11" w14:textId="2CBEBD46" w:rsidR="001A294C" w:rsidRPr="000F0299" w:rsidRDefault="0002653D" w:rsidP="0002653D">
      <w:r w:rsidRPr="0002653D">
        <w:t>Регулаторни оквир за јавне расправе и консултације са заинтересованим странама (организацијама цивилног друштва, грађанима и привредним субјектима</w:t>
      </w:r>
      <w:r w:rsidRPr="0002653D">
        <w:rPr>
          <w:vertAlign w:val="superscript"/>
        </w:rPr>
        <w:footnoteReference w:id="57"/>
      </w:r>
      <w:r w:rsidRPr="0002653D">
        <w:t xml:space="preserve">) побољшан је изменама и допунама Закона о државној управи (члан 77) </w:t>
      </w:r>
      <w:r w:rsidRPr="0002653D">
        <w:rPr>
          <w:lang w:val="ru-RU"/>
        </w:rPr>
        <w:t xml:space="preserve">(„Службени гласник РСˮ, </w:t>
      </w:r>
      <w:r w:rsidR="00E92E01">
        <w:rPr>
          <w:lang w:val="ru-RU"/>
        </w:rPr>
        <w:t>број</w:t>
      </w:r>
      <w:r w:rsidRPr="0002653D">
        <w:rPr>
          <w:lang w:val="ru-RU"/>
        </w:rPr>
        <w:t xml:space="preserve"> 79/05, 101/07, 95/10, 99/14, 47/18 и 30/18 – др. закон)</w:t>
      </w:r>
      <w:r w:rsidRPr="0002653D">
        <w:t xml:space="preserve"> и доношењем ЗПС, који захтевају да се јавности омогући да учествује како у почетним фазама, тако и током читавог процеса израде докумената јавних политика и прописа. Додатно, укључивање организација цивилног друштва у раној фази припреме докумената јавних политика и прописа подстакнуто је усвајањем Смерница за укључивање организација цивилног друштва у радне групе за израду предлога докумената јавних политика и нацрта, односно предлога прописа</w:t>
      </w:r>
      <w:r w:rsidRPr="0002653D">
        <w:rPr>
          <w:vertAlign w:val="superscript"/>
        </w:rPr>
        <w:footnoteReference w:id="58"/>
      </w:r>
      <w:r w:rsidRPr="0002653D">
        <w:t>, документа који промовише транспарентан и инклузиван приступ сарадњи са цивилним друштвом у креирању јавних политика</w:t>
      </w:r>
      <w:r w:rsidR="001A294C" w:rsidRPr="000F0299">
        <w:t xml:space="preserve">. </w:t>
      </w:r>
    </w:p>
    <w:p w14:paraId="47CB3B7F" w14:textId="77777777" w:rsidR="001A294C" w:rsidRPr="000F0299" w:rsidRDefault="001A294C" w:rsidP="00C013C7">
      <w:pPr>
        <w:pStyle w:val="Heading4"/>
        <w:rPr>
          <w:lang w:val="sr-Cyrl-RS"/>
        </w:rPr>
      </w:pPr>
      <w:bookmarkStart w:id="108" w:name="_Toc40613449"/>
      <w:r w:rsidRPr="000F0299">
        <w:rPr>
          <w:lang w:val="sr-Cyrl-RS"/>
        </w:rPr>
        <w:t>Резултати и изазови</w:t>
      </w:r>
      <w:bookmarkEnd w:id="108"/>
    </w:p>
    <w:p w14:paraId="11E5F055" w14:textId="77777777" w:rsidR="00EB01CF" w:rsidRPr="00EB01CF" w:rsidRDefault="00EB01CF" w:rsidP="00EB01CF">
      <w:pPr>
        <w:rPr>
          <w:b/>
        </w:rPr>
      </w:pPr>
      <w:r w:rsidRPr="00EB01CF">
        <w:t xml:space="preserve">Иако су органи државне управе постигли уочљив напредак у изради докумената јавних политика у методолошком смислу, па су предлози докумената јавних политика у великој мери усклађени са одредбама Уредбе у погледу садржаја, </w:t>
      </w:r>
      <w:r w:rsidRPr="00EB01CF">
        <w:rPr>
          <w:bCs/>
        </w:rPr>
        <w:t>оцењује се да је квалитет стратешког планирања и даље слаб,</w:t>
      </w:r>
      <w:r w:rsidRPr="00EB01CF">
        <w:rPr>
          <w:vertAlign w:val="superscript"/>
        </w:rPr>
        <w:footnoteReference w:id="59"/>
      </w:r>
      <w:r w:rsidRPr="00EB01CF">
        <w:t xml:space="preserve"> што представља једно од највећих ограничења за постизање позитивних ефеката јавних политика на друштво.</w:t>
      </w:r>
    </w:p>
    <w:p w14:paraId="3D41AE71" w14:textId="77777777" w:rsidR="00EB01CF" w:rsidRPr="00EB01CF" w:rsidRDefault="00EB01CF" w:rsidP="00EB01CF">
      <w:r w:rsidRPr="00EB01CF">
        <w:t xml:space="preserve">Један од кључних разлога за недостатке у процесу развоја и праћења ефеката јавних политика и прописа јесу </w:t>
      </w:r>
      <w:r w:rsidRPr="00EB01CF">
        <w:rPr>
          <w:b/>
          <w:bCs/>
        </w:rPr>
        <w:t>недостаци у људским капацитетима</w:t>
      </w:r>
      <w:r w:rsidRPr="00EB01CF">
        <w:t xml:space="preserve">. Први проблем се односи на </w:t>
      </w:r>
      <w:r w:rsidRPr="00EB01CF">
        <w:rPr>
          <w:b/>
          <w:bCs/>
        </w:rPr>
        <w:t>недовољан број</w:t>
      </w:r>
      <w:r w:rsidRPr="00EB01CF">
        <w:t xml:space="preserve"> лица за израду докумената јавних политика и прописа имајући у виду сложеност методологије за њихову израду, укључујући и законску обавезу да се спроведе анализа ефеката јавних политика и прописа, као и широк консултативни процес у свим фазама њихове израде. Проблем са недостајућим кадром је једним делом настао услед забране запошљавања у јавном сектору, која све док је на снази даље представља објективно ограничење за унапређење стања у овој области.</w:t>
      </w:r>
      <w:r w:rsidRPr="00EB01CF">
        <w:rPr>
          <w:vertAlign w:val="superscript"/>
        </w:rPr>
        <w:footnoteReference w:id="60"/>
      </w:r>
      <w:r w:rsidRPr="00EB01CF">
        <w:t xml:space="preserve"> Поред тога, у органима државне управе још нису институционализоване организационо-аналитичке јединице за стратешко планирање које треба да одговоре на овај изазов, нити су јасно утврђена радна места за аналитичке послове (прикупљање и обраду података).</w:t>
      </w:r>
    </w:p>
    <w:p w14:paraId="56D64007" w14:textId="77777777" w:rsidR="00EB01CF" w:rsidRPr="00EB01CF" w:rsidRDefault="00EB01CF" w:rsidP="00EB01CF">
      <w:r w:rsidRPr="00EB01CF">
        <w:t xml:space="preserve">Поред недовољног броја службеника јавне управе, проблем је и то што они </w:t>
      </w:r>
      <w:r w:rsidRPr="00EB01CF">
        <w:rPr>
          <w:b/>
          <w:bCs/>
        </w:rPr>
        <w:t>не познају довољно аналитичке алате</w:t>
      </w:r>
      <w:r w:rsidRPr="00EB01CF">
        <w:t xml:space="preserve"> који су неопходни за припрему анализа,</w:t>
      </w:r>
      <w:r w:rsidRPr="00EB01CF">
        <w:rPr>
          <w:vertAlign w:val="superscript"/>
        </w:rPr>
        <w:footnoteReference w:id="61"/>
      </w:r>
      <w:r w:rsidRPr="00EB01CF">
        <w:t xml:space="preserve"> што јавна управа </w:t>
      </w:r>
      <w:r w:rsidRPr="00EB01CF">
        <w:rPr>
          <w:b/>
          <w:bCs/>
        </w:rPr>
        <w:t>не употребљава адекватно податке</w:t>
      </w:r>
      <w:r w:rsidRPr="00EB01CF">
        <w:t>, као и то што се они прикупљају несистематично.</w:t>
      </w:r>
      <w:r w:rsidRPr="00EB01CF">
        <w:rPr>
          <w:vertAlign w:val="superscript"/>
        </w:rPr>
        <w:footnoteReference w:id="62"/>
      </w:r>
      <w:r w:rsidRPr="00EB01CF">
        <w:t xml:space="preserve"> Тиме је, с једне стране, сужена информациона основа за доношење одлука заснованих на чињеницама, а, с друге, само праћење ефеката спровођења</w:t>
      </w:r>
      <w:r w:rsidR="001A294C" w:rsidRPr="000F0299">
        <w:t xml:space="preserve"> </w:t>
      </w:r>
      <w:r w:rsidRPr="00EB01CF">
        <w:t xml:space="preserve">докумената јавних политика је ограничено. Тако јавна управа </w:t>
      </w:r>
      <w:r w:rsidRPr="00EB01CF">
        <w:rPr>
          <w:b/>
          <w:bCs/>
        </w:rPr>
        <w:t>још увек</w:t>
      </w:r>
      <w:r w:rsidRPr="00EB01CF">
        <w:t xml:space="preserve"> </w:t>
      </w:r>
      <w:r w:rsidRPr="00EB01CF">
        <w:rPr>
          <w:b/>
          <w:bCs/>
        </w:rPr>
        <w:t>није усредсређена на мерење ефеката и исхода</w:t>
      </w:r>
      <w:r w:rsidRPr="00EB01CF">
        <w:t>, па је и извештавање често сведено на извештавање о спроведеним активностима.</w:t>
      </w:r>
      <w:r w:rsidRPr="00EB01CF">
        <w:rPr>
          <w:vertAlign w:val="superscript"/>
        </w:rPr>
        <w:footnoteReference w:id="63"/>
      </w:r>
      <w:r w:rsidRPr="00EB01CF">
        <w:t xml:space="preserve"> Узрок томе је </w:t>
      </w:r>
      <w:r w:rsidRPr="00EB01CF">
        <w:rPr>
          <w:b/>
          <w:bCs/>
        </w:rPr>
        <w:t>недовољан обухват спроведених обука</w:t>
      </w:r>
      <w:r w:rsidRPr="00EB01CF">
        <w:t xml:space="preserve"> чији је циљ повећање аналитичких вештина службеника јавне управе.</w:t>
      </w:r>
      <w:r w:rsidRPr="00EB01CF">
        <w:rPr>
          <w:lang w:val="sr-Latn-RS"/>
        </w:rPr>
        <w:t xml:space="preserve"> </w:t>
      </w:r>
      <w:r w:rsidRPr="00EB01CF">
        <w:t>Током 2019. и 2020. године у оквиру комплементарне подршке за реформу јавне управе спроведена је анализа потреба за обуком у области управљања јавним политикама, израђени су приручници</w:t>
      </w:r>
      <w:r w:rsidRPr="00EB01CF">
        <w:rPr>
          <w:vertAlign w:val="superscript"/>
        </w:rPr>
        <w:footnoteReference w:id="64"/>
      </w:r>
      <w:r w:rsidRPr="00EB01CF">
        <w:t xml:space="preserve"> и модули обуке који обухватају целокупан циклус – од планирања и анализе ефеката јавних политика и прописа, преко процене трошкова за њихово спровођење, учешћа јавности, до праћења спровођења и извештавања о постигнутим резултатима</w:t>
      </w:r>
      <w:r w:rsidRPr="00EB01CF">
        <w:rPr>
          <w:lang w:val="sr-Latn-RS"/>
        </w:rPr>
        <w:t>.</w:t>
      </w:r>
      <w:r w:rsidRPr="00EB01CF">
        <w:rPr>
          <w:vertAlign w:val="superscript"/>
        </w:rPr>
        <w:footnoteReference w:id="65"/>
      </w:r>
      <w:r w:rsidRPr="00EB01CF">
        <w:t xml:space="preserve"> Мали број предавача и њихова оптерећеност другим пословима, неадекватна промоција обука у области управљања јавним политикама, недовољан број службеника који ради на тим пословима, као и то што се полазници не бирају према врсти посла који обављају разлози су за мали обухват обука. У наредном периоду је потребно интензивирати процес обука и повећати број предавача јер постојећим темпом њиховог одржавања јавна управа не би у скоријој будућности располагала неопходним стручним капацитетом за послове израде и праћења спровођења докумената јавних политика.</w:t>
      </w:r>
    </w:p>
    <w:p w14:paraId="74634374" w14:textId="77777777" w:rsidR="00EB01CF" w:rsidRPr="00EB01CF" w:rsidRDefault="00EB01CF" w:rsidP="00EB01CF">
      <w:pPr>
        <w:rPr>
          <w:b/>
        </w:rPr>
      </w:pPr>
      <w:r w:rsidRPr="00EB01CF">
        <w:t xml:space="preserve">Осим недостајућих и неадекватних људских капацитета и </w:t>
      </w:r>
      <w:r w:rsidRPr="00EB01CF">
        <w:rPr>
          <w:b/>
          <w:bCs/>
        </w:rPr>
        <w:t>отпор органа</w:t>
      </w:r>
      <w:r w:rsidRPr="00EB01CF">
        <w:t xml:space="preserve"> државне управе променама</w:t>
      </w:r>
      <w:r w:rsidRPr="00EB01CF">
        <w:rPr>
          <w:vertAlign w:val="superscript"/>
        </w:rPr>
        <w:footnoteReference w:id="66"/>
      </w:r>
      <w:r w:rsidRPr="00EB01CF">
        <w:t xml:space="preserve"> које предвиђају реформе јавне управе успорава промене. То се делом односи на увођење мерења учинака органа државне управе пошто постоји страх државних службеника да би то довело до њихове веће одговорности.</w:t>
      </w:r>
    </w:p>
    <w:p w14:paraId="1F1F9D19" w14:textId="77777777" w:rsidR="00EB01CF" w:rsidRPr="00EB01CF" w:rsidRDefault="00EB01CF" w:rsidP="00EB01CF">
      <w:pPr>
        <w:rPr>
          <w:b/>
        </w:rPr>
      </w:pPr>
      <w:r w:rsidRPr="00EB01CF">
        <w:rPr>
          <w:b/>
          <w:bCs/>
        </w:rPr>
        <w:t>Координација политика суочава се са бројним формалним и процедуралним изазовима.</w:t>
      </w:r>
      <w:r w:rsidRPr="00EB01CF">
        <w:rPr>
          <w:vertAlign w:val="superscript"/>
        </w:rPr>
        <w:footnoteReference w:id="67"/>
      </w:r>
      <w:r w:rsidRPr="00EB01CF">
        <w:t xml:space="preserve"> ЗПС предвиђа да се документи јавних политика који су раније донети ускладе са прописаном методологијом када буду први пут мењани (члан 55. ЗПС), тако да још нису сви усклађени са прописаном методологијом, па тиме нису добили ни своје место у хијерархији планских докумената нити је још довољно развијена пракса извештавања о резултатима њиховог спровођења. У наредном периоду је стога потребно развити кровну стратегију за сваку област планирања и спровођења јавних политика</w:t>
      </w:r>
      <w:r w:rsidRPr="00EB01CF">
        <w:rPr>
          <w:vertAlign w:val="superscript"/>
        </w:rPr>
        <w:footnoteReference w:id="68"/>
      </w:r>
      <w:r w:rsidRPr="00EB01CF">
        <w:t xml:space="preserve"> која је утврђена Уредбом, чиме би стратешки оквир сваке области планирања био унапређен, усклађен и хијерархијски уређен. </w:t>
      </w:r>
    </w:p>
    <w:p w14:paraId="1DE2AC5C" w14:textId="1406D10C" w:rsidR="00EB01CF" w:rsidRPr="00EB01CF" w:rsidRDefault="00EB01CF" w:rsidP="00AF0675">
      <w:pPr>
        <w:rPr>
          <w:rFonts w:eastAsiaTheme="minorHAnsi"/>
          <w:kern w:val="0"/>
          <w:lang w:eastAsia="en-US" w:bidi="ar-SA"/>
        </w:rPr>
      </w:pPr>
      <w:r w:rsidRPr="00EB01CF">
        <w:rPr>
          <w:b/>
          <w:bCs/>
        </w:rPr>
        <w:t>Неусклађеност планског оквира</w:t>
      </w:r>
      <w:r w:rsidRPr="00EB01CF">
        <w:t xml:space="preserve"> отежава да се утврде приоритети међу циљевима и одражава се на припрему финансијских планова институција. Иако су расходи у буџету Републике Србије структурирани по програмској класификацији, веза са стратешким планирањем и приоритетима утврђеним у Програму Владе остаје слаба.</w:t>
      </w:r>
      <w:r w:rsidRPr="00EB01CF">
        <w:rPr>
          <w:vertAlign w:val="superscript"/>
        </w:rPr>
        <w:footnoteReference w:id="69"/>
      </w:r>
      <w:r w:rsidRPr="00EB01CF">
        <w:t xml:space="preserve"> Обим деловања утврђен у документима јавних политика и степен амбициозности изражен у њима често</w:t>
      </w:r>
      <w:r w:rsidRPr="00EB01CF" w:rsidDel="00110E19">
        <w:t xml:space="preserve"> </w:t>
      </w:r>
      <w:r w:rsidRPr="00EB01CF">
        <w:t xml:space="preserve"> су неутемељени.</w:t>
      </w:r>
      <w:r w:rsidRPr="00EB01CF">
        <w:rPr>
          <w:vertAlign w:val="superscript"/>
        </w:rPr>
        <w:footnoteReference w:id="70"/>
      </w:r>
      <w:r w:rsidRPr="00EB01CF">
        <w:t xml:space="preserve"> И даље се доносе документи јавне политике, </w:t>
      </w:r>
      <w:r w:rsidRPr="00EB01CF">
        <w:rPr>
          <w:b/>
        </w:rPr>
        <w:t xml:space="preserve">а да се не процене </w:t>
      </w:r>
      <w:r w:rsidRPr="00EB01CF">
        <w:rPr>
          <w:rFonts w:eastAsiaTheme="minorHAnsi"/>
          <w:b/>
          <w:bCs/>
          <w:kern w:val="0"/>
          <w:lang w:eastAsia="en-US" w:bidi="ar-SA"/>
        </w:rPr>
        <w:t>реално финансијски капацитети</w:t>
      </w:r>
      <w:r w:rsidRPr="00EB01CF">
        <w:rPr>
          <w:rFonts w:eastAsiaTheme="minorHAnsi"/>
          <w:kern w:val="0"/>
          <w:lang w:eastAsia="en-US" w:bidi="ar-SA"/>
        </w:rPr>
        <w:t xml:space="preserve"> за њихово спровођење. </w:t>
      </w:r>
      <w:r w:rsidRPr="00EB01CF">
        <w:rPr>
          <w:rFonts w:eastAsiaTheme="minorHAnsi"/>
          <w:b/>
          <w:bCs/>
          <w:kern w:val="0"/>
          <w:lang w:eastAsia="en-US" w:bidi="ar-SA"/>
        </w:rPr>
        <w:t>Средњoрочно планирање</w:t>
      </w:r>
      <w:r w:rsidRPr="00EB01CF">
        <w:rPr>
          <w:rFonts w:eastAsiaTheme="minorHAnsi"/>
          <w:kern w:val="0"/>
          <w:lang w:eastAsia="en-US" w:bidi="ar-SA"/>
        </w:rPr>
        <w:t>, које треба да обезбеди непосредну везу између докумената јавних политика и буџета, још није успостављено.</w:t>
      </w:r>
      <w:r w:rsidRPr="00EB01CF">
        <w:rPr>
          <w:rFonts w:eastAsiaTheme="minorHAnsi"/>
          <w:kern w:val="0"/>
          <w:vertAlign w:val="superscript"/>
          <w:lang w:eastAsia="en-US" w:bidi="ar-SA"/>
        </w:rPr>
        <w:footnoteReference w:id="71"/>
      </w:r>
      <w:r w:rsidRPr="00EB01CF">
        <w:rPr>
          <w:rFonts w:eastAsiaTheme="minorHAnsi"/>
          <w:kern w:val="0"/>
          <w:lang w:eastAsia="en-US" w:bidi="ar-SA"/>
        </w:rPr>
        <w:t xml:space="preserve"> Пошто је израда средњорочних планова нова обавеза коју уводи ЗПС, потребно је да се у наредном периоду интензивирају обуке у тој области како би државни службеници стекли неопходна знања и праксу у њиховој припреми. То је у јавној управи већ уочено, па је средњорочно планирање као тема већ уврштено у програм обука. Органи државне управе користили су до сада неуједначену методологију услед чега су подаци о средствима утрошеним за спровођење мера и активности често били нејасни и нетачни, што је отежавало и праћење и извештавање. У наредном периоду је потребно успоставити ефикасну координацију између министарства надлежног за послове финансија и РСЈП како би се обезбедило да су са одобреним буџетским средствима усклађени износи финансијских средстава који су планирани у документима јавних политика и прописима који се достављају РСЈП-у на мишљење. Осим тога, те две институције ће установити јасну методологију за обрачун трошкова коју ће сви органи државне управе користити при обрачуну трошкова за спровођење докумената јавних политика и прописа.</w:t>
      </w:r>
      <w:r w:rsidRPr="00EB01CF">
        <w:rPr>
          <w:rFonts w:eastAsiaTheme="minorHAnsi"/>
          <w:kern w:val="0"/>
          <w:vertAlign w:val="superscript"/>
          <w:lang w:eastAsia="en-US" w:bidi="ar-SA"/>
        </w:rPr>
        <w:footnoteReference w:id="72"/>
      </w:r>
    </w:p>
    <w:p w14:paraId="1BFB0244" w14:textId="0590550E" w:rsidR="00EB01CF" w:rsidRPr="00EB01CF" w:rsidRDefault="00EB01CF" w:rsidP="00EB01CF">
      <w:pPr>
        <w:suppressAutoHyphens w:val="0"/>
        <w:autoSpaceDN/>
        <w:textAlignment w:val="auto"/>
        <w:rPr>
          <w:rFonts w:eastAsiaTheme="minorHAnsi"/>
          <w:kern w:val="0"/>
          <w:lang w:eastAsia="en-US" w:bidi="ar-SA"/>
        </w:rPr>
      </w:pPr>
      <w:r w:rsidRPr="00EB01CF">
        <w:rPr>
          <w:rFonts w:eastAsiaTheme="minorHAnsi"/>
          <w:b/>
          <w:bCs/>
          <w:kern w:val="0"/>
          <w:lang w:eastAsia="en-US" w:bidi="ar-SA"/>
        </w:rPr>
        <w:t>У израду докумената јавних политика не укључује се довољан број органа државне управе нити постоји њихова међусобна комуникација у потребној мери.</w:t>
      </w:r>
      <w:r w:rsidRPr="00EB01CF">
        <w:rPr>
          <w:rFonts w:eastAsiaTheme="minorHAnsi"/>
          <w:kern w:val="0"/>
          <w:lang w:eastAsia="en-US" w:bidi="ar-SA"/>
        </w:rPr>
        <w:t xml:space="preserve"> На пример, у припрему Акционог плана за Стратегију реформе јавне управе у Републици Србији за пери</w:t>
      </w:r>
      <w:r w:rsidR="00135806">
        <w:rPr>
          <w:rFonts w:eastAsiaTheme="minorHAnsi"/>
          <w:kern w:val="0"/>
          <w:lang w:eastAsia="en-US" w:bidi="ar-SA"/>
        </w:rPr>
        <w:t>о</w:t>
      </w:r>
      <w:r w:rsidRPr="00EB01CF">
        <w:rPr>
          <w:rFonts w:eastAsiaTheme="minorHAnsi"/>
          <w:kern w:val="0"/>
          <w:lang w:eastAsia="en-US" w:bidi="ar-SA"/>
        </w:rPr>
        <w:t>д 2015–2017. године министарств</w:t>
      </w:r>
      <w:r w:rsidRPr="00EB01CF">
        <w:rPr>
          <w:rFonts w:eastAsiaTheme="minorHAnsi"/>
          <w:kern w:val="0"/>
          <w:lang w:val="sr-Latn-RS" w:eastAsia="en-US" w:bidi="ar-SA"/>
        </w:rPr>
        <w:t>o</w:t>
      </w:r>
      <w:r w:rsidRPr="00EB01CF">
        <w:rPr>
          <w:rFonts w:eastAsiaTheme="minorHAnsi"/>
          <w:kern w:val="0"/>
          <w:lang w:eastAsia="en-US" w:bidi="ar-SA"/>
        </w:rPr>
        <w:t xml:space="preserve"> надлежно за послове финансија није било довољно укључено услед чега не постоји процена трошкова за спровођење Стратегије РЈУ из 2014.</w:t>
      </w:r>
      <w:r w:rsidRPr="00EB01CF">
        <w:rPr>
          <w:rFonts w:eastAsiaTheme="minorHAnsi"/>
          <w:kern w:val="0"/>
          <w:vertAlign w:val="superscript"/>
          <w:lang w:eastAsia="en-US" w:bidi="ar-SA"/>
        </w:rPr>
        <w:footnoteReference w:id="73"/>
      </w:r>
      <w:r w:rsidRPr="00EB01CF">
        <w:rPr>
          <w:rFonts w:eastAsiaTheme="minorHAnsi"/>
          <w:kern w:val="0"/>
          <w:lang w:eastAsia="en-US" w:bidi="ar-SA"/>
        </w:rPr>
        <w:t xml:space="preserve"> Такође, </w:t>
      </w:r>
      <w:r w:rsidRPr="00EB01CF">
        <w:rPr>
          <w:rFonts w:eastAsiaTheme="minorHAnsi"/>
          <w:b/>
          <w:bCs/>
          <w:kern w:val="0"/>
          <w:lang w:eastAsia="en-US" w:bidi="ar-SA"/>
        </w:rPr>
        <w:t>недовољна комуникација</w:t>
      </w:r>
      <w:r w:rsidRPr="00EB01CF">
        <w:rPr>
          <w:rFonts w:eastAsiaTheme="minorHAnsi"/>
          <w:kern w:val="0"/>
          <w:lang w:eastAsia="en-US" w:bidi="ar-SA"/>
        </w:rPr>
        <w:t xml:space="preserve"> један је од кључних фактора који је ограничио ефикасност спровођења Стратегије РЈУ из 2014. у периоду 2015–2019. године.</w:t>
      </w:r>
      <w:r w:rsidRPr="00EB01CF">
        <w:rPr>
          <w:rFonts w:eastAsiaTheme="minorHAnsi"/>
          <w:kern w:val="0"/>
          <w:vertAlign w:val="superscript"/>
          <w:lang w:eastAsia="en-US" w:bidi="ar-SA"/>
        </w:rPr>
        <w:footnoteReference w:id="74"/>
      </w:r>
      <w:r w:rsidRPr="00EB01CF">
        <w:rPr>
          <w:rFonts w:eastAsiaTheme="minorHAnsi"/>
          <w:kern w:val="0"/>
          <w:lang w:eastAsia="en-US" w:bidi="ar-SA"/>
        </w:rPr>
        <w:t xml:space="preserve"> Успостављањем механизма за праћење и извештавање о спровођењу АПСПВ побољшана је координација јавних политика у држави, посебно на министарском нивоу. АПСПВ се показао и као ефикасан инструмент за премошћавање појединих проблема у координацији спровођења реформе јавне управе пошто су неки од кључних циљева Стратегије РЈУ из 2014. (рационализација и оптимизација јавне управе, развој е-управе и пружање услуга и реформа плата) њиме обухваћени.</w:t>
      </w:r>
      <w:r w:rsidRPr="00EB01CF">
        <w:rPr>
          <w:rFonts w:eastAsiaTheme="minorHAnsi"/>
          <w:kern w:val="0"/>
          <w:vertAlign w:val="superscript"/>
          <w:lang w:eastAsia="en-US" w:bidi="ar-SA"/>
        </w:rPr>
        <w:footnoteReference w:id="75"/>
      </w:r>
    </w:p>
    <w:p w14:paraId="7AD58CF6" w14:textId="130F64DB" w:rsidR="001A294C" w:rsidRPr="00EB01CF" w:rsidRDefault="00EB01CF" w:rsidP="00EB01CF">
      <w:pPr>
        <w:suppressAutoHyphens w:val="0"/>
        <w:autoSpaceDN/>
        <w:textAlignment w:val="auto"/>
        <w:rPr>
          <w:rFonts w:eastAsiaTheme="minorHAnsi"/>
          <w:kern w:val="0"/>
          <w:lang w:eastAsia="en-US" w:bidi="ar-SA"/>
        </w:rPr>
      </w:pPr>
      <w:r w:rsidRPr="00EB01CF">
        <w:rPr>
          <w:rFonts w:eastAsiaTheme="minorHAnsi"/>
          <w:b/>
          <w:bCs/>
          <w:kern w:val="0"/>
          <w:lang w:eastAsia="en-US" w:bidi="ar-SA"/>
        </w:rPr>
        <w:t>Јединствени информациони систем</w:t>
      </w:r>
      <w:r w:rsidRPr="00EB01CF">
        <w:rPr>
          <w:rFonts w:eastAsiaTheme="minorHAnsi"/>
          <w:kern w:val="0"/>
          <w:lang w:eastAsia="en-US" w:bidi="ar-SA"/>
        </w:rPr>
        <w:t xml:space="preserve"> </w:t>
      </w:r>
      <w:r w:rsidRPr="00EB01CF">
        <w:rPr>
          <w:rFonts w:eastAsiaTheme="minorHAnsi"/>
          <w:b/>
          <w:bCs/>
          <w:kern w:val="0"/>
          <w:lang w:eastAsia="en-US" w:bidi="ar-SA"/>
        </w:rPr>
        <w:t>за планирање, праћење спровођења, координацију јавних политика и извештавање</w:t>
      </w:r>
      <w:r w:rsidRPr="00EB01CF">
        <w:rPr>
          <w:rFonts w:eastAsiaTheme="minorHAnsi"/>
          <w:kern w:val="0"/>
          <w:lang w:eastAsia="en-US" w:bidi="ar-SA"/>
        </w:rPr>
        <w:t xml:space="preserve"> (у даљем тексту: ЈИС) успостављен је и у њега се уносе документи јавних политика од јануара 2019. године,</w:t>
      </w:r>
      <w:r w:rsidRPr="00EB01CF">
        <w:rPr>
          <w:rFonts w:eastAsiaTheme="minorHAnsi"/>
          <w:kern w:val="0"/>
          <w:vertAlign w:val="superscript"/>
          <w:lang w:eastAsia="en-US" w:bidi="ar-SA"/>
        </w:rPr>
        <w:footnoteReference w:id="76"/>
      </w:r>
      <w:r w:rsidRPr="00EB01CF">
        <w:rPr>
          <w:rFonts w:eastAsiaTheme="minorHAnsi"/>
          <w:kern w:val="0"/>
          <w:lang w:eastAsia="en-US" w:bidi="ar-SA"/>
        </w:rPr>
        <w:t xml:space="preserve"> што представља један од најважнијих резултата са становишта дигитализације рада јавне управе у тој области. Међутим, пошто се нови документи јавних политика не припремају истовремено, као ни измене важећих у складу са ЗПС и захтевима информационог система, потребно је време да се виде потпуни ефекти ЈИС-а на кохерентност докумената јавних политика. Обука корисника система је започела у децембру 2018. године.</w:t>
      </w:r>
      <w:r w:rsidR="001A294C" w:rsidRPr="000F0299">
        <w:t xml:space="preserve"> </w:t>
      </w:r>
    </w:p>
    <w:p w14:paraId="0ADCA5D6" w14:textId="0D1BA8EB" w:rsidR="00AF0675" w:rsidRPr="00AF0675" w:rsidRDefault="00AF0675" w:rsidP="00AF0675">
      <w:r w:rsidRPr="00AF0675">
        <w:t xml:space="preserve">Крајем 2018. године успостављен је </w:t>
      </w:r>
      <w:r w:rsidRPr="00AF0675">
        <w:rPr>
          <w:b/>
        </w:rPr>
        <w:t>Аналитички сервис јединица локалне самоуправе</w:t>
      </w:r>
      <w:r w:rsidRPr="00AF0675">
        <w:t xml:space="preserve"> (у даљем тексту: ЈЛС) који треба да омогући да се документи јавних политика и прописи у вези са ЈЛС доносе на темељу објективн</w:t>
      </w:r>
      <w:r w:rsidR="00135806">
        <w:t>и</w:t>
      </w:r>
      <w:r w:rsidRPr="00AF0675">
        <w:t xml:space="preserve">х чињеница, као и да помогне у изради планова развоја ЈЛС. У претходном периоду, ЈЛС су своје развојне циљеве формулисале кроз стратегије одрживог развоја, односно стратегије развоја (зависно од примењене методологије). Садржај и елементи тих планских докумената (стратегија, програма, планова, акционих планова и др.) нису потпуно уједначени по форми и садржају. Већина тих планских докумената је преобимна, нејасна и непрегледна. Такође, циљеви утврђени у неким од тих докумената су непрецизни и немерљиви, а показатељи учинка нису јасно одређени. То знатно отежава спровођење таквих планских докумената, праћење њиховог спровођења, као и израду извештаја о постизању планираних резултата. У наредном периоду потребно је унапредити планирање у јединицама локалне самоуправе успостављањем побољшаног планског оквира доношењем планова развоја са којим ће се усклађивати документи нижег хијерархијског нивоа. Осим тога, потребно је успоставити Информациони систем за планирање, праћење спровођења, координацију јавних политика и извештавање на локалном нивоу. </w:t>
      </w:r>
    </w:p>
    <w:p w14:paraId="4DD2C85A" w14:textId="77777777" w:rsidR="00AF0675" w:rsidRPr="00AF0675" w:rsidRDefault="00AF0675" w:rsidP="00AF0675">
      <w:pPr>
        <w:rPr>
          <w:b/>
        </w:rPr>
      </w:pPr>
      <w:r w:rsidRPr="00AF0675">
        <w:t xml:space="preserve">Што се тиче </w:t>
      </w:r>
      <w:r w:rsidRPr="00AF0675">
        <w:rPr>
          <w:b/>
          <w:bCs/>
        </w:rPr>
        <w:t>увида јавности у рад Владе</w:t>
      </w:r>
      <w:r w:rsidRPr="00AF0675">
        <w:t>, ЗПС прописује да Влада и министарства припреме и објављују извештаје о праћењу спровођења планских докумената. Интернет страница Владе је ревидирана у октобру 2018. године, али још не пружа једноставан приступ свим документима, нпр. акционим плановима за спровођење Програма Владе. Годишњи план рада Владе и извештај о његовом спровођењу је јавно доступан на сајту Владе.</w:t>
      </w:r>
      <w:r w:rsidRPr="00AF0675">
        <w:rPr>
          <w:vertAlign w:val="superscript"/>
        </w:rPr>
        <w:footnoteReference w:id="77"/>
      </w:r>
      <w:r w:rsidRPr="00AF0675">
        <w:t xml:space="preserve"> Квартални извештаји о спровођењу Националног програма за усвајање правних тековина Европске уније сада се редовно објављују. Пошто не постоји адекватно извештавање, како у оквиру саме јавне управе, тако и према грађанима, ни јавна управа ни грађани често нису довољно обавештени о томе шта су циљеви докумената јавних политика које спроводе органи државне управе, колики су трошкови њиховог спровођења и који су резултати остварени. Последица је низак степен подршке грађана политикама које су утврђене у документима које спроводе органи државне управе и недовољно поверење у институције.</w:t>
      </w:r>
    </w:p>
    <w:p w14:paraId="2A5CF4B8" w14:textId="55D0A841" w:rsidR="00AF0675" w:rsidRPr="00AF0675" w:rsidRDefault="00AF0675" w:rsidP="00AF0675">
      <w:pPr>
        <w:rPr>
          <w:b/>
          <w:bCs/>
        </w:rPr>
      </w:pPr>
      <w:r w:rsidRPr="00AF0675">
        <w:t xml:space="preserve">Активности у домену </w:t>
      </w:r>
      <w:r w:rsidRPr="00AF0675">
        <w:rPr>
          <w:b/>
          <w:bCs/>
        </w:rPr>
        <w:t>регулаторне реформе</w:t>
      </w:r>
      <w:r w:rsidRPr="00AF0675">
        <w:t xml:space="preserve"> до сада су биле ограниченог обухвата.</w:t>
      </w:r>
      <w:r w:rsidRPr="00AF0675">
        <w:rPr>
          <w:b/>
          <w:bCs/>
        </w:rPr>
        <w:t xml:space="preserve"> </w:t>
      </w:r>
      <w:r w:rsidRPr="00AF0675">
        <w:t xml:space="preserve">У почетку је регулаторна реформа била усмерена на свеобухватну </w:t>
      </w:r>
      <w:r w:rsidRPr="00AF0675">
        <w:rPr>
          <w:i/>
          <w:iCs/>
        </w:rPr>
        <w:t xml:space="preserve">гиљотину </w:t>
      </w:r>
      <w:r w:rsidRPr="00AF0675">
        <w:t xml:space="preserve">сувишних прописа (2009–2012. године), док се на основу Стратегије регулаторне реформе и унапређења система управљања јавним политикама она готово у целости односила на побољшање регулаторног окружења за привреду кроз поједностављење административних поступака и смањење административног оптерећења. С друге стране, квалитет самих прописа побољшаван је у највећој мери у домену анализе ефеката прописа и консултативног процеса, али </w:t>
      </w:r>
      <w:r w:rsidRPr="00AF0675">
        <w:rPr>
          <w:b/>
          <w:bCs/>
        </w:rPr>
        <w:t>није систематски преиспитан законодавни процес</w:t>
      </w:r>
      <w:r w:rsidRPr="00AF0675">
        <w:t>, нити је настављено са укидањем сувишних прописа, које је започето током спровођења прве регулаторне реформе, па то треба проширити у наредном планском циклусу. То би се с обзиром на значај који регулаторна реформа има за повећање привредног раста и иновативности и даље односило на успостављање система за континуирано преиспитивање, укидање, поједностављење и сређивање прописа који се односе на привреду</w:t>
      </w:r>
      <w:r w:rsidRPr="00AF0675">
        <w:rPr>
          <w:vertAlign w:val="superscript"/>
        </w:rPr>
        <w:footnoteReference w:id="78"/>
      </w:r>
      <w:r w:rsidRPr="00AF0675">
        <w:t xml:space="preserve"> али би у већој мери били обухваћени и прописи који се односе на грађане. Анализу ефеката прописа у будућем периоду треба унапредити, посебно у делу који се односи на усклађивање са прописима ЕУ. То се пре свега односи на пренош</w:t>
      </w:r>
      <w:r w:rsidR="00135806">
        <w:t>е</w:t>
      </w:r>
      <w:r w:rsidRPr="00AF0675">
        <w:t>њ</w:t>
      </w:r>
      <w:r w:rsidR="00135806">
        <w:t>е</w:t>
      </w:r>
      <w:r w:rsidRPr="00AF0675">
        <w:t xml:space="preserve"> директива у наш правни систем. Осим тога, потребно је успоставити оквир за праћење квалитета и ефективности прописа кроз спровођење </w:t>
      </w:r>
      <w:r w:rsidRPr="00AF0675">
        <w:rPr>
          <w:i/>
          <w:iCs/>
        </w:rPr>
        <w:t>е</w:t>
      </w:r>
      <w:r w:rsidRPr="00AF0675">
        <w:rPr>
          <w:i/>
          <w:iCs/>
          <w:lang w:val="sr-Latn-RS"/>
        </w:rPr>
        <w:t>x post</w:t>
      </w:r>
      <w:r w:rsidRPr="00AF0675">
        <w:rPr>
          <w:lang w:val="sr-Latn-RS"/>
        </w:rPr>
        <w:t xml:space="preserve"> </w:t>
      </w:r>
      <w:r w:rsidRPr="00AF0675">
        <w:t>анализе одабраних прописа (према унапред утврђеним критеријумима) и подићи квалитет иницијатива за измену прописа кроз укључивање привреде и грађана.</w:t>
      </w:r>
    </w:p>
    <w:p w14:paraId="4B251062" w14:textId="4CDD4971" w:rsidR="00AF0675" w:rsidRPr="00AF0675" w:rsidRDefault="00AF0675" w:rsidP="00AF0675">
      <w:r w:rsidRPr="00AF0675">
        <w:t>ЕК у свом годишњем Извештају о напретку Републике Србије ка ЕУ оцењује да је инст</w:t>
      </w:r>
      <w:r w:rsidR="00135806">
        <w:t>иту</w:t>
      </w:r>
      <w:r w:rsidRPr="00AF0675">
        <w:t xml:space="preserve">ционално и регулаторно окружење за пословање у земљи слабо, те да се нарочито мала и средња предузећа и предузетници суочавају са непредвидивим пословним окружењем. Истраживање „Балканског пословног барометра” које спроводи Регионални савет за сарадњу показује да се 55% анкетираних привредних субјеката у Републици Србији у 2019. години слаже да је приступ законима и другим прописима који утичу на пословање једноставан, али је порастао број оних који се с тим не слажу, са 13% на 22% у 2018, што указује да </w:t>
      </w:r>
      <w:r w:rsidRPr="00AF0675">
        <w:rPr>
          <w:b/>
          <w:bCs/>
        </w:rPr>
        <w:t>регулаторно окружење није побољшано</w:t>
      </w:r>
      <w:r w:rsidRPr="00AF0675">
        <w:t xml:space="preserve">, већ да се погоршало. Узрок томе је делом то што Народна скупштина </w:t>
      </w:r>
      <w:r w:rsidRPr="00AF0675">
        <w:rPr>
          <w:b/>
          <w:bCs/>
        </w:rPr>
        <w:t>доноси велики број закона по хитном поступку</w:t>
      </w:r>
      <w:r w:rsidRPr="00AF0675">
        <w:t xml:space="preserve"> (44% предлога закона у периоду од фебруара 2018. године до фебруара 2019. године), док текст измене закона често не консолидује Народна скупштине, већ то чине незванични, приватни извори.</w:t>
      </w:r>
    </w:p>
    <w:p w14:paraId="67F25BC3" w14:textId="77777777" w:rsidR="00AF0675" w:rsidRPr="00AF0675" w:rsidRDefault="00AF0675" w:rsidP="00AF0675">
      <w:pPr>
        <w:rPr>
          <w:b/>
          <w:bCs/>
        </w:rPr>
      </w:pPr>
      <w:r w:rsidRPr="00AF0675">
        <w:t xml:space="preserve">У пракси постоји проблем са </w:t>
      </w:r>
      <w:r w:rsidRPr="00AF0675">
        <w:rPr>
          <w:b/>
          <w:bCs/>
        </w:rPr>
        <w:t>кашњењем припреме и доношењем подзаконских аката</w:t>
      </w:r>
      <w:r w:rsidRPr="00AF0675">
        <w:t>, као и међусобног усаглашавања закона након што Скупштина донесе основни Закон. На пример, након доношења Закона о општем управном поступку, каснило се у усаглашавању секторских прописа с тим законом услед чега је повећана непредвидљивост поступања органа државне управе према привредним субјектима и грађанима, а каснило се и са доношењем подзаконских аката, што је отежало примену тог закона.</w:t>
      </w:r>
    </w:p>
    <w:p w14:paraId="2071FC20" w14:textId="0F8285FB" w:rsidR="001C6ABE" w:rsidRPr="00AF0675" w:rsidRDefault="00AF0675" w:rsidP="00AF0675">
      <w:pPr>
        <w:rPr>
          <w:bCs/>
        </w:rPr>
      </w:pPr>
      <w:r w:rsidRPr="00AF0675">
        <w:t xml:space="preserve">Иако је доношењем ЗПС начињен помак ка интегрисању консултација са заинтересованим странама у систем припреме докумената јавних политика и прописа, у пракси и даље </w:t>
      </w:r>
      <w:r w:rsidRPr="00AF0675">
        <w:rPr>
          <w:b/>
          <w:bCs/>
        </w:rPr>
        <w:t>заинтересоване стране нису довољно ангажоване</w:t>
      </w:r>
      <w:r w:rsidRPr="00AF0675">
        <w:t>.</w:t>
      </w:r>
      <w:r w:rsidRPr="00AF0675">
        <w:rPr>
          <w:vertAlign w:val="superscript"/>
        </w:rPr>
        <w:footnoteReference w:id="79"/>
      </w:r>
      <w:r w:rsidRPr="00AF0675">
        <w:t xml:space="preserve"> Улога организација цивилног друштва је ограничена и оне се често укључују тек у последњим фазама припреме докумената јавних политика и прописа.</w:t>
      </w:r>
      <w:r w:rsidRPr="00AF0675">
        <w:rPr>
          <w:vertAlign w:val="superscript"/>
        </w:rPr>
        <w:footnoteReference w:id="80"/>
      </w:r>
      <w:r w:rsidRPr="00AF0675">
        <w:t xml:space="preserve"> Један од разлога је тај што текст нацрта закона или документа јавне политике у пракси ипак може да иде даље у процедуру доношења и када уз њега није приложен извештај о консултацијама или када оне уопште нису ни одржане и без обзира што је РСЈП због тога у свом мишљењу упутио примедбу предлагачу да треба да изради и достави извештај. Поменуто упућивање закона Народној скупштини на њихово доношење по хитној процедури такође утиче на степен укључивања јавности у процесу доношења закона.</w:t>
      </w:r>
      <w:r w:rsidRPr="00AF0675">
        <w:rPr>
          <w:vertAlign w:val="superscript"/>
        </w:rPr>
        <w:footnoteReference w:id="81"/>
      </w:r>
      <w:r w:rsidRPr="00AF0675">
        <w:t xml:space="preserve"> Зато је у наредном периоду потребно успоставити нове начине за учешће јавности у процесима припреме докум</w:t>
      </w:r>
      <w:r w:rsidR="00135806">
        <w:t>ен</w:t>
      </w:r>
      <w:r w:rsidRPr="00AF0675">
        <w:t>ата јавних политика и прописа, као и осигурати да консултације са заинтересованом јавношћу буду суштинске, а не формалне.</w:t>
      </w:r>
    </w:p>
    <w:p w14:paraId="4ACE0069" w14:textId="77777777" w:rsidR="001C6ABE" w:rsidRPr="000F0299" w:rsidRDefault="001C6ABE" w:rsidP="001C6ABE"/>
    <w:p w14:paraId="0BFF8350" w14:textId="463DC57C" w:rsidR="001C6ABE" w:rsidRPr="000F0299" w:rsidRDefault="001C6ABE" w:rsidP="001C6ABE">
      <w:pPr>
        <w:sectPr w:rsidR="001C6ABE" w:rsidRPr="000F0299">
          <w:headerReference w:type="default" r:id="rId77"/>
          <w:footerReference w:type="default" r:id="rId78"/>
          <w:pgSz w:w="11906" w:h="16838"/>
          <w:pgMar w:top="1417" w:right="1417" w:bottom="1134" w:left="1417" w:header="708" w:footer="708" w:gutter="0"/>
          <w:cols w:space="708"/>
          <w:docGrid w:linePitch="360"/>
        </w:sectPr>
      </w:pPr>
    </w:p>
    <w:p w14:paraId="645D3AA6" w14:textId="7FF37EDC" w:rsidR="001A294C" w:rsidRPr="00D778E0" w:rsidRDefault="001A294C" w:rsidP="000D75E7">
      <w:pPr>
        <w:pStyle w:val="Heading3"/>
        <w:rPr>
          <w:lang w:val="sr-Cyrl-RS"/>
        </w:rPr>
      </w:pPr>
      <w:bookmarkStart w:id="109" w:name="_Toc40611660"/>
      <w:bookmarkStart w:id="110" w:name="_Toc57661475"/>
      <w:r w:rsidRPr="000F0299">
        <w:rPr>
          <w:lang w:val="sr-Cyrl-RS"/>
        </w:rPr>
        <w:t xml:space="preserve">Дрво проблема – </w:t>
      </w:r>
      <w:r w:rsidR="000D75E7" w:rsidRPr="000F0299">
        <w:rPr>
          <w:lang w:val="sr-Cyrl-RS"/>
        </w:rPr>
        <w:t>П</w:t>
      </w:r>
      <w:r w:rsidRPr="000F0299">
        <w:rPr>
          <w:lang w:val="sr-Cyrl-RS"/>
        </w:rPr>
        <w:t>ланирање и координација политика</w:t>
      </w:r>
      <w:bookmarkEnd w:id="109"/>
      <w:bookmarkEnd w:id="110"/>
    </w:p>
    <w:p w14:paraId="6D351827" w14:textId="20D47B47" w:rsidR="00E42A9B" w:rsidRPr="000F0299" w:rsidRDefault="00E42A9B" w:rsidP="00E42A9B">
      <w:pPr>
        <w:suppressAutoHyphens w:val="0"/>
        <w:autoSpaceDN/>
        <w:spacing w:before="0" w:after="0"/>
        <w:ind w:firstLine="0"/>
        <w:jc w:val="left"/>
        <w:textAlignment w:val="auto"/>
        <w:rPr>
          <w:rFonts w:ascii="Calibri" w:eastAsia="Times New Roman" w:hAnsi="Calibri" w:cs="Calibri"/>
          <w:kern w:val="0"/>
          <w:sz w:val="60"/>
          <w:szCs w:val="60"/>
          <w:lang w:eastAsia="en-US"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59456" behindDoc="0" locked="0" layoutInCell="1" allowOverlap="1" wp14:anchorId="108813C0" wp14:editId="3525CA5F">
                <wp:simplePos x="0" y="0"/>
                <wp:positionH relativeFrom="column">
                  <wp:posOffset>-330200</wp:posOffset>
                </wp:positionH>
                <wp:positionV relativeFrom="paragraph">
                  <wp:posOffset>480695</wp:posOffset>
                </wp:positionV>
                <wp:extent cx="2957195" cy="734060"/>
                <wp:effectExtent l="19050" t="19050" r="14605" b="27940"/>
                <wp:wrapNone/>
                <wp:docPr id="1002" name="Text Box 1002"/>
                <wp:cNvGraphicFramePr/>
                <a:graphic xmlns:a="http://schemas.openxmlformats.org/drawingml/2006/main">
                  <a:graphicData uri="http://schemas.microsoft.com/office/word/2010/wordprocessingShape">
                    <wps:wsp>
                      <wps:cNvSpPr txBox="1"/>
                      <wps:spPr>
                        <a:xfrm>
                          <a:off x="0" y="0"/>
                          <a:ext cx="2957195" cy="734060"/>
                        </a:xfrm>
                        <a:prstGeom prst="roundRect">
                          <a:avLst/>
                        </a:prstGeom>
                        <a:solidFill>
                          <a:sysClr val="window" lastClr="FFFFFF"/>
                        </a:solidFill>
                        <a:ln w="28575" cap="flat" cmpd="sng" algn="ctr">
                          <a:solidFill>
                            <a:schemeClr val="bg2"/>
                          </a:solidFill>
                          <a:prstDash val="solid"/>
                          <a:miter lim="800000"/>
                        </a:ln>
                        <a:effectLst/>
                      </wps:spPr>
                      <wps:txbx>
                        <w:txbxContent>
                          <w:p w14:paraId="2CEDF69D" w14:textId="77777777" w:rsidR="00876FFE" w:rsidRPr="00E42A9B" w:rsidRDefault="00876FFE" w:rsidP="00E42A9B">
                            <w:pPr>
                              <w:spacing w:before="0"/>
                              <w:jc w:val="center"/>
                              <w:rPr>
                                <w:rFonts w:asciiTheme="minorHAnsi" w:hAnsiTheme="minorHAnsi" w:cstheme="minorHAnsi"/>
                              </w:rPr>
                            </w:pPr>
                            <w:r w:rsidRPr="00E42A9B">
                              <w:rPr>
                                <w:rFonts w:asciiTheme="minorHAnsi" w:hAnsiTheme="minorHAnsi" w:cstheme="minorHAnsi"/>
                              </w:rPr>
                              <w:t xml:space="preserve">Низак ниво поверења и подршке </w:t>
                            </w:r>
                            <w:r w:rsidRPr="00E42A9B">
                              <w:rPr>
                                <w:rFonts w:asciiTheme="minorHAnsi" w:hAnsiTheme="minorHAnsi" w:cstheme="minorHAnsi"/>
                              </w:rPr>
                              <w:br/>
                              <w:t xml:space="preserve">грађана у политике које влада </w:t>
                            </w:r>
                            <w:r w:rsidRPr="00E42A9B">
                              <w:rPr>
                                <w:rFonts w:asciiTheme="minorHAnsi" w:hAnsiTheme="minorHAnsi" w:cstheme="minorHAnsi"/>
                              </w:rPr>
                              <w:br/>
                              <w:t>спроводи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8813C0" id="Text Box 1002" o:spid="_x0000_s1046" style="position:absolute;margin-left:-26pt;margin-top:37.85pt;width:232.85pt;height:57.8pt;z-index:251859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" fillcolor="window" strokecolor="#e7e6e6 [3214]" strokeweight="2.25pt">
                <v:stroke joinstyle="miter"/>
                <v:textbox inset="0,0,0,0">
                  <w:txbxContent>
                    <w:p w14:paraId="2CEDF69D" w14:textId="77777777" w:rsidR="00876FFE" w:rsidRPr="00E42A9B" w:rsidRDefault="00876FFE" w:rsidP="00E42A9B">
                      <w:pPr>
                        <w:spacing w:before="0"/>
                        <w:jc w:val="center"/>
                        <w:rPr>
                          <w:rFonts w:asciiTheme="minorHAnsi" w:hAnsiTheme="minorHAnsi" w:cstheme="minorHAnsi"/>
                        </w:rPr>
                      </w:pPr>
                      <w:r w:rsidRPr="00E42A9B">
                        <w:rPr>
                          <w:rFonts w:asciiTheme="minorHAnsi" w:hAnsiTheme="minorHAnsi" w:cstheme="minorHAnsi"/>
                        </w:rPr>
                        <w:t xml:space="preserve">Низак </w:t>
                      </w:r>
                      <w:r w:rsidRPr="00E42A9B">
                        <w:rPr>
                          <w:rFonts w:asciiTheme="minorHAnsi" w:hAnsiTheme="minorHAnsi" w:cstheme="minorHAnsi"/>
                        </w:rPr>
                        <w:t xml:space="preserve">ниво поверења и подршке </w:t>
                      </w:r>
                      <w:r w:rsidRPr="00E42A9B">
                        <w:rPr>
                          <w:rFonts w:asciiTheme="minorHAnsi" w:hAnsiTheme="minorHAnsi" w:cstheme="minorHAnsi"/>
                        </w:rPr>
                        <w:br/>
                        <w:t xml:space="preserve">грађана у политике које влада </w:t>
                      </w:r>
                      <w:r w:rsidRPr="00E42A9B">
                        <w:rPr>
                          <w:rFonts w:asciiTheme="minorHAnsi" w:hAnsiTheme="minorHAnsi" w:cstheme="minorHAnsi"/>
                        </w:rPr>
                        <w:br/>
                        <w:t>спроводи</w:t>
                      </w:r>
                    </w:p>
                  </w:txbxContent>
                </v:textbox>
              </v:roundrect>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60480" behindDoc="0" locked="0" layoutInCell="1" allowOverlap="1" wp14:anchorId="40957040" wp14:editId="05D17DD3">
                <wp:simplePos x="0" y="0"/>
                <wp:positionH relativeFrom="column">
                  <wp:posOffset>3314700</wp:posOffset>
                </wp:positionH>
                <wp:positionV relativeFrom="paragraph">
                  <wp:posOffset>483870</wp:posOffset>
                </wp:positionV>
                <wp:extent cx="2957195" cy="734060"/>
                <wp:effectExtent l="19050" t="19050" r="14605" b="27940"/>
                <wp:wrapNone/>
                <wp:docPr id="150" name="Text Box 150"/>
                <wp:cNvGraphicFramePr/>
                <a:graphic xmlns:a="http://schemas.openxmlformats.org/drawingml/2006/main">
                  <a:graphicData uri="http://schemas.microsoft.com/office/word/2010/wordprocessingShape">
                    <wps:wsp>
                      <wps:cNvSpPr txBox="1"/>
                      <wps:spPr>
                        <a:xfrm>
                          <a:off x="0" y="0"/>
                          <a:ext cx="2957195" cy="734060"/>
                        </a:xfrm>
                        <a:prstGeom prst="roundRect">
                          <a:avLst/>
                        </a:prstGeom>
                        <a:solidFill>
                          <a:sysClr val="window" lastClr="FFFFFF"/>
                        </a:solidFill>
                        <a:ln w="28575" cap="flat" cmpd="sng" algn="ctr">
                          <a:solidFill>
                            <a:schemeClr val="bg2"/>
                          </a:solidFill>
                          <a:prstDash val="solid"/>
                          <a:miter lim="800000"/>
                        </a:ln>
                        <a:effectLst/>
                      </wps:spPr>
                      <wps:txbx>
                        <w:txbxContent>
                          <w:p w14:paraId="401AC219" w14:textId="77777777" w:rsidR="00876FFE" w:rsidRPr="00E42A9B" w:rsidRDefault="00876FFE" w:rsidP="00E42A9B">
                            <w:pPr>
                              <w:jc w:val="center"/>
                              <w:rPr>
                                <w:rFonts w:asciiTheme="minorHAnsi" w:hAnsiTheme="minorHAnsi" w:cstheme="minorHAnsi"/>
                              </w:rPr>
                            </w:pPr>
                            <w:r w:rsidRPr="00E42A9B">
                              <w:rPr>
                                <w:rFonts w:asciiTheme="minorHAnsi" w:hAnsiTheme="minorHAnsi" w:cstheme="minorHAnsi"/>
                              </w:rPr>
                              <w:t xml:space="preserve">Успорен развој Србије на темељу </w:t>
                            </w:r>
                            <w:r w:rsidRPr="00E42A9B">
                              <w:rPr>
                                <w:rFonts w:asciiTheme="minorHAnsi" w:hAnsiTheme="minorHAnsi" w:cstheme="minorHAnsi"/>
                              </w:rPr>
                              <w:br/>
                              <w:t>европског принципа добре управе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957040" id="Text Box 150" o:spid="_x0000_s1047" style="position:absolute;margin-left:261pt;margin-top:38.1pt;width:232.85pt;height:57.8pt;z-index:251860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" fillcolor="window" strokecolor="#e7e6e6 [3214]" strokeweight="2.25pt">
                <v:stroke joinstyle="miter"/>
                <v:textbox inset="0,0,0,0">
                  <w:txbxContent>
                    <w:p w14:paraId="401AC219" w14:textId="77777777" w:rsidR="00876FFE" w:rsidRPr="00E42A9B" w:rsidRDefault="00876FFE" w:rsidP="00E42A9B">
                      <w:pPr>
                        <w:jc w:val="center"/>
                        <w:rPr>
                          <w:rFonts w:asciiTheme="minorHAnsi" w:hAnsiTheme="minorHAnsi" w:cstheme="minorHAnsi"/>
                        </w:rPr>
                      </w:pPr>
                      <w:r w:rsidRPr="00E42A9B">
                        <w:rPr>
                          <w:rFonts w:asciiTheme="minorHAnsi" w:hAnsiTheme="minorHAnsi" w:cstheme="minorHAnsi"/>
                        </w:rPr>
                        <w:t xml:space="preserve">Успорен </w:t>
                      </w:r>
                      <w:r w:rsidRPr="00E42A9B">
                        <w:rPr>
                          <w:rFonts w:asciiTheme="minorHAnsi" w:hAnsiTheme="minorHAnsi" w:cstheme="minorHAnsi"/>
                        </w:rPr>
                        <w:t xml:space="preserve">развој Србије на темељу </w:t>
                      </w:r>
                      <w:r w:rsidRPr="00E42A9B">
                        <w:rPr>
                          <w:rFonts w:asciiTheme="minorHAnsi" w:hAnsiTheme="minorHAnsi" w:cstheme="minorHAnsi"/>
                        </w:rPr>
                        <w:br/>
                        <w:t>европског принципа добре управе</w:t>
                      </w:r>
                    </w:p>
                  </w:txbxContent>
                </v:textbox>
              </v:roundrect>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61504" behindDoc="0" locked="0" layoutInCell="1" allowOverlap="1" wp14:anchorId="5DDD39BA" wp14:editId="50D4C86D">
                <wp:simplePos x="0" y="0"/>
                <wp:positionH relativeFrom="column">
                  <wp:posOffset>6962775</wp:posOffset>
                </wp:positionH>
                <wp:positionV relativeFrom="paragraph">
                  <wp:posOffset>483870</wp:posOffset>
                </wp:positionV>
                <wp:extent cx="2957195" cy="734060"/>
                <wp:effectExtent l="19050" t="19050" r="14605" b="27940"/>
                <wp:wrapNone/>
                <wp:docPr id="1003" name="Text Box 1003"/>
                <wp:cNvGraphicFramePr/>
                <a:graphic xmlns:a="http://schemas.openxmlformats.org/drawingml/2006/main">
                  <a:graphicData uri="http://schemas.microsoft.com/office/word/2010/wordprocessingShape">
                    <wps:wsp>
                      <wps:cNvSpPr txBox="1"/>
                      <wps:spPr>
                        <a:xfrm>
                          <a:off x="0" y="0"/>
                          <a:ext cx="2957195" cy="734060"/>
                        </a:xfrm>
                        <a:prstGeom prst="roundRect">
                          <a:avLst/>
                        </a:prstGeom>
                        <a:solidFill>
                          <a:sysClr val="window" lastClr="FFFFFF"/>
                        </a:solidFill>
                        <a:ln w="28575" cap="flat" cmpd="sng" algn="ctr">
                          <a:solidFill>
                            <a:schemeClr val="bg2"/>
                          </a:solidFill>
                          <a:prstDash val="solid"/>
                          <a:miter lim="800000"/>
                        </a:ln>
                        <a:effectLst/>
                      </wps:spPr>
                      <wps:txbx>
                        <w:txbxContent>
                          <w:p w14:paraId="5D95037C" w14:textId="77777777" w:rsidR="00876FFE" w:rsidRPr="00E42A9B" w:rsidRDefault="00876FFE" w:rsidP="00E42A9B">
                            <w:pPr>
                              <w:jc w:val="center"/>
                              <w:rPr>
                                <w:rFonts w:asciiTheme="minorHAnsi" w:hAnsiTheme="minorHAnsi" w:cstheme="minorHAnsi"/>
                              </w:rPr>
                            </w:pPr>
                            <w:r w:rsidRPr="00E42A9B">
                              <w:rPr>
                                <w:rFonts w:asciiTheme="minorHAnsi" w:hAnsiTheme="minorHAnsi" w:cstheme="minorHAnsi"/>
                              </w:rPr>
                              <w:t>Незадовољавајући ефекти ЈП и</w:t>
                            </w:r>
                            <w:r w:rsidRPr="00E42A9B">
                              <w:rPr>
                                <w:rFonts w:asciiTheme="minorHAnsi" w:hAnsiTheme="minorHAnsi" w:cstheme="minorHAnsi"/>
                              </w:rPr>
                              <w:br/>
                              <w:t>прописа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DD39BA" id="Text Box 1003" o:spid="_x0000_s1048" style="position:absolute;margin-left:548.25pt;margin-top:38.1pt;width:232.85pt;height:57.8pt;z-index:251861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" fillcolor="window" strokecolor="#e7e6e6 [3214]" strokeweight="2.25pt">
                <v:stroke joinstyle="miter"/>
                <v:textbox inset="0,0,0,0">
                  <w:txbxContent>
                    <w:p w14:paraId="5D95037C" w14:textId="77777777" w:rsidR="00876FFE" w:rsidRPr="00E42A9B" w:rsidRDefault="00876FFE" w:rsidP="00E42A9B">
                      <w:pPr>
                        <w:jc w:val="center"/>
                        <w:rPr>
                          <w:rFonts w:asciiTheme="minorHAnsi" w:hAnsiTheme="minorHAnsi" w:cstheme="minorHAnsi"/>
                        </w:rPr>
                      </w:pPr>
                      <w:r w:rsidRPr="00E42A9B">
                        <w:rPr>
                          <w:rFonts w:asciiTheme="minorHAnsi" w:hAnsiTheme="minorHAnsi" w:cstheme="minorHAnsi"/>
                        </w:rPr>
                        <w:t xml:space="preserve">Незадовољавајући </w:t>
                      </w:r>
                      <w:r w:rsidRPr="00E42A9B">
                        <w:rPr>
                          <w:rFonts w:asciiTheme="minorHAnsi" w:hAnsiTheme="minorHAnsi" w:cstheme="minorHAnsi"/>
                        </w:rPr>
                        <w:t>ефекти ЈП и</w:t>
                      </w:r>
                      <w:r w:rsidRPr="00E42A9B">
                        <w:rPr>
                          <w:rFonts w:asciiTheme="minorHAnsi" w:hAnsiTheme="minorHAnsi" w:cstheme="minorHAnsi"/>
                        </w:rPr>
                        <w:br/>
                        <w:t>прописа</w:t>
                      </w:r>
                    </w:p>
                  </w:txbxContent>
                </v:textbox>
              </v:roundrect>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23968" behindDoc="0" locked="0" layoutInCell="1" allowOverlap="1" wp14:anchorId="5DF6F8FA" wp14:editId="0E19EBB5">
                <wp:simplePos x="0" y="0"/>
                <wp:positionH relativeFrom="column">
                  <wp:posOffset>6276975</wp:posOffset>
                </wp:positionH>
                <wp:positionV relativeFrom="paragraph">
                  <wp:posOffset>836295</wp:posOffset>
                </wp:positionV>
                <wp:extent cx="194310" cy="0"/>
                <wp:effectExtent l="38100" t="76200" r="0" b="95250"/>
                <wp:wrapNone/>
                <wp:docPr id="86" name="Straight Arrow Connector 86"/>
                <wp:cNvGraphicFramePr/>
                <a:graphic xmlns:a="http://schemas.openxmlformats.org/drawingml/2006/main">
                  <a:graphicData uri="http://schemas.microsoft.com/office/word/2010/wordprocessingShape">
                    <wps:wsp>
                      <wps:cNvCnPr/>
                      <wps:spPr>
                        <a:xfrm flipH="1">
                          <a:off x="0" y="0"/>
                          <a:ext cx="194310" cy="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2558AF" id="Straight Arrow Connector 86" o:spid="_x0000_s1026" type="#_x0000_t32" style="position:absolute;margin-left:494.25pt;margin-top:65.85pt;width:15.3pt;height:0;flip:x;z-index:25192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" strokecolor="#d8d8d8 [2732]" strokeweight="1.5pt">
                <v:stroke endarrow="block" joinstyle="miter"/>
              </v:shap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21920" behindDoc="0" locked="0" layoutInCell="1" allowOverlap="1" wp14:anchorId="1D13961B" wp14:editId="13744258">
                <wp:simplePos x="0" y="0"/>
                <wp:positionH relativeFrom="column">
                  <wp:posOffset>2628900</wp:posOffset>
                </wp:positionH>
                <wp:positionV relativeFrom="paragraph">
                  <wp:posOffset>836295</wp:posOffset>
                </wp:positionV>
                <wp:extent cx="194310" cy="0"/>
                <wp:effectExtent l="38100" t="76200" r="0" b="95250"/>
                <wp:wrapNone/>
                <wp:docPr id="84" name="Straight Arrow Connector 84"/>
                <wp:cNvGraphicFramePr/>
                <a:graphic xmlns:a="http://schemas.openxmlformats.org/drawingml/2006/main">
                  <a:graphicData uri="http://schemas.microsoft.com/office/word/2010/wordprocessingShape">
                    <wps:wsp>
                      <wps:cNvCnPr/>
                      <wps:spPr>
                        <a:xfrm flipH="1">
                          <a:off x="0" y="0"/>
                          <a:ext cx="194310" cy="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4C3436" id="Straight Arrow Connector 84" o:spid="_x0000_s1026" type="#_x0000_t32" style="position:absolute;margin-left:207pt;margin-top:65.85pt;width:15.3pt;height:0;flip:x;z-index:25192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" strokecolor="#d8d8d8 [2732]" strokeweight="1.5pt">
                <v:stroke endarrow="block" joinstyle="miter"/>
              </v:shap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19872" behindDoc="0" locked="0" layoutInCell="1" allowOverlap="1" wp14:anchorId="22917514" wp14:editId="6E21D74C">
                <wp:simplePos x="0" y="0"/>
                <wp:positionH relativeFrom="column">
                  <wp:posOffset>1137920</wp:posOffset>
                </wp:positionH>
                <wp:positionV relativeFrom="paragraph">
                  <wp:posOffset>1214755</wp:posOffset>
                </wp:positionV>
                <wp:extent cx="0" cy="219075"/>
                <wp:effectExtent l="76200" t="38100" r="57150" b="9525"/>
                <wp:wrapNone/>
                <wp:docPr id="1010" name="Straight Arrow Connector 1010"/>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174C23" id="Straight Arrow Connector 1010" o:spid="_x0000_s1026" type="#_x0000_t32" style="position:absolute;margin-left:89.6pt;margin-top:95.65pt;width:0;height:17.25pt;flip:y;z-index:25191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" strokecolor="#d8d8d8 [2732]" strokeweight="1.5pt">
                <v:stroke endarrow="block" joinstyle="miter"/>
              </v:shap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67648" behindDoc="0" locked="0" layoutInCell="1" allowOverlap="1" wp14:anchorId="1A6E08B4" wp14:editId="234D7AB1">
                <wp:simplePos x="0" y="0"/>
                <wp:positionH relativeFrom="column">
                  <wp:posOffset>1143000</wp:posOffset>
                </wp:positionH>
                <wp:positionV relativeFrom="paragraph">
                  <wp:posOffset>2160270</wp:posOffset>
                </wp:positionV>
                <wp:extent cx="0" cy="324000"/>
                <wp:effectExtent l="76200" t="38100" r="57150" b="19050"/>
                <wp:wrapNone/>
                <wp:docPr id="153" name="Straight Arrow Connector 153"/>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C669B1" id="Straight Arrow Connector 153" o:spid="_x0000_s1026" type="#_x0000_t32" style="position:absolute;margin-left:90pt;margin-top:170.1pt;width:0;height:25.5pt;flip:y;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" strokecolor="#d8d8d8 [2732]" strokeweight="1.5pt">
                <v:stroke endarrow="block" joinstyle="miter"/>
              </v:shap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308544" behindDoc="0" locked="0" layoutInCell="1" allowOverlap="1" wp14:anchorId="500CFE96" wp14:editId="6E68AA58">
                <wp:simplePos x="0" y="0"/>
                <wp:positionH relativeFrom="column">
                  <wp:posOffset>12096750</wp:posOffset>
                </wp:positionH>
                <wp:positionV relativeFrom="paragraph">
                  <wp:posOffset>2160270</wp:posOffset>
                </wp:positionV>
                <wp:extent cx="0" cy="324000"/>
                <wp:effectExtent l="76200" t="38100" r="57150" b="19050"/>
                <wp:wrapNone/>
                <wp:docPr id="1011" name="Straight Arrow Connector 1011"/>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179BF2" id="Straight Arrow Connector 1011" o:spid="_x0000_s1026" type="#_x0000_t32" style="position:absolute;margin-left:952.5pt;margin-top:170.1pt;width:0;height:25.5pt;flip:y;z-index:25130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" strokecolor="#d8d8d8 [2732]" strokeweight="1.5pt">
                <v:stroke endarrow="block" joinstyle="miter"/>
              </v:shap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16800" behindDoc="0" locked="0" layoutInCell="1" allowOverlap="1" wp14:anchorId="2C313D3F" wp14:editId="405BEE33">
                <wp:simplePos x="0" y="0"/>
                <wp:positionH relativeFrom="column">
                  <wp:posOffset>8420100</wp:posOffset>
                </wp:positionH>
                <wp:positionV relativeFrom="paragraph">
                  <wp:posOffset>2160270</wp:posOffset>
                </wp:positionV>
                <wp:extent cx="0" cy="324000"/>
                <wp:effectExtent l="76200" t="38100" r="57150" b="19050"/>
                <wp:wrapNone/>
                <wp:docPr id="1012" name="Straight Arrow Connector 1012"/>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C0A506" id="Straight Arrow Connector 1012" o:spid="_x0000_s1026" type="#_x0000_t32" style="position:absolute;margin-left:663pt;margin-top:170.1pt;width:0;height:25.5pt;flip:y;z-index:25191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" strokecolor="#d8d8d8 [2732]" strokeweight="1.5pt">
                <v:stroke endarrow="block" joinstyle="miter"/>
              </v:shap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18848" behindDoc="0" locked="0" layoutInCell="1" allowOverlap="1" wp14:anchorId="4EFE2E9D" wp14:editId="21CDFAAA">
                <wp:simplePos x="0" y="0"/>
                <wp:positionH relativeFrom="column">
                  <wp:posOffset>4762500</wp:posOffset>
                </wp:positionH>
                <wp:positionV relativeFrom="paragraph">
                  <wp:posOffset>2160270</wp:posOffset>
                </wp:positionV>
                <wp:extent cx="0" cy="324000"/>
                <wp:effectExtent l="76200" t="38100" r="57150" b="19050"/>
                <wp:wrapNone/>
                <wp:docPr id="1013" name="Straight Arrow Connector 1013"/>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DA6F98" id="Straight Arrow Connector 1013" o:spid="_x0000_s1026" type="#_x0000_t32" style="position:absolute;margin-left:375pt;margin-top:170.1pt;width:0;height:25.5pt;flip:y;z-index:25191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" strokecolor="#d8d8d8 [2732]" strokeweight="1.5pt">
                <v:stroke endarrow="block" joinstyle="miter"/>
              </v:shap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66624" behindDoc="0" locked="0" layoutInCell="1" allowOverlap="1" wp14:anchorId="607A7B06" wp14:editId="761600F4">
                <wp:simplePos x="0" y="0"/>
                <wp:positionH relativeFrom="column">
                  <wp:posOffset>10591800</wp:posOffset>
                </wp:positionH>
                <wp:positionV relativeFrom="paragraph">
                  <wp:posOffset>1436370</wp:posOffset>
                </wp:positionV>
                <wp:extent cx="2957195" cy="734060"/>
                <wp:effectExtent l="19050" t="19050" r="14605" b="27940"/>
                <wp:wrapNone/>
                <wp:docPr id="1014" name="Text Box 1014"/>
                <wp:cNvGraphicFramePr/>
                <a:graphic xmlns:a="http://schemas.openxmlformats.org/drawingml/2006/main">
                  <a:graphicData uri="http://schemas.microsoft.com/office/word/2010/wordprocessingShape">
                    <wps:wsp>
                      <wps:cNvSpPr txBox="1"/>
                      <wps:spPr>
                        <a:xfrm>
                          <a:off x="0" y="0"/>
                          <a:ext cx="2957195" cy="734060"/>
                        </a:xfrm>
                        <a:prstGeom prst="roundRect">
                          <a:avLst/>
                        </a:prstGeom>
                        <a:solidFill>
                          <a:sysClr val="window" lastClr="FFFFFF"/>
                        </a:solidFill>
                        <a:ln w="28575" cap="flat" cmpd="sng" algn="ctr">
                          <a:solidFill>
                            <a:schemeClr val="bg2"/>
                          </a:solidFill>
                          <a:prstDash val="solid"/>
                          <a:miter lim="800000"/>
                        </a:ln>
                        <a:effectLst/>
                      </wps:spPr>
                      <wps:txbx>
                        <w:txbxContent>
                          <w:p w14:paraId="38B3940C" w14:textId="77777777" w:rsidR="00876FFE" w:rsidRPr="00E42A9B" w:rsidRDefault="00876FFE" w:rsidP="00E42A9B">
                            <w:pPr>
                              <w:jc w:val="center"/>
                              <w:rPr>
                                <w:rFonts w:asciiTheme="minorHAnsi" w:hAnsiTheme="minorHAnsi" w:cstheme="minorHAnsi"/>
                              </w:rPr>
                            </w:pPr>
                            <w:r w:rsidRPr="00E42A9B">
                              <w:rPr>
                                <w:rFonts w:asciiTheme="minorHAnsi" w:hAnsiTheme="minorHAnsi" w:cstheme="minorHAnsi"/>
                              </w:rPr>
                              <w:t xml:space="preserve">Непредвидивост пословног </w:t>
                            </w:r>
                            <w:r w:rsidRPr="00E42A9B">
                              <w:rPr>
                                <w:rFonts w:asciiTheme="minorHAnsi" w:hAnsiTheme="minorHAnsi" w:cstheme="minorHAnsi"/>
                              </w:rPr>
                              <w:br/>
                              <w:t>окружења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07A7B06" id="Text Box 1014" o:spid="_x0000_s1049" style="position:absolute;margin-left:834pt;margin-top:113.1pt;width:232.85pt;height:57.8pt;z-index:251866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" fillcolor="window" strokecolor="#e7e6e6 [3214]" strokeweight="2.25pt">
                <v:stroke joinstyle="miter"/>
                <v:textbox inset="0,0,0,0">
                  <w:txbxContent>
                    <w:p w14:paraId="38B3940C" w14:textId="77777777" w:rsidR="00876FFE" w:rsidRPr="00E42A9B" w:rsidRDefault="00876FFE" w:rsidP="00E42A9B">
                      <w:pPr>
                        <w:jc w:val="center"/>
                        <w:rPr>
                          <w:rFonts w:asciiTheme="minorHAnsi" w:hAnsiTheme="minorHAnsi" w:cstheme="minorHAnsi"/>
                        </w:rPr>
                      </w:pPr>
                      <w:r w:rsidRPr="00E42A9B">
                        <w:rPr>
                          <w:rFonts w:asciiTheme="minorHAnsi" w:hAnsiTheme="minorHAnsi" w:cstheme="minorHAnsi"/>
                        </w:rPr>
                        <w:t xml:space="preserve">Непредвидивост </w:t>
                      </w:r>
                      <w:r w:rsidRPr="00E42A9B">
                        <w:rPr>
                          <w:rFonts w:asciiTheme="minorHAnsi" w:hAnsiTheme="minorHAnsi" w:cstheme="minorHAnsi"/>
                        </w:rPr>
                        <w:t xml:space="preserve">пословног </w:t>
                      </w:r>
                      <w:r w:rsidRPr="00E42A9B">
                        <w:rPr>
                          <w:rFonts w:asciiTheme="minorHAnsi" w:hAnsiTheme="minorHAnsi" w:cstheme="minorHAnsi"/>
                        </w:rPr>
                        <w:br/>
                        <w:t>окружења</w:t>
                      </w:r>
                    </w:p>
                  </w:txbxContent>
                </v:textbox>
              </v:roundrect>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65600" behindDoc="0" locked="0" layoutInCell="1" allowOverlap="1" wp14:anchorId="6DDBC996" wp14:editId="452F8F7F">
                <wp:simplePos x="0" y="0"/>
                <wp:positionH relativeFrom="column">
                  <wp:posOffset>6943725</wp:posOffset>
                </wp:positionH>
                <wp:positionV relativeFrom="paragraph">
                  <wp:posOffset>1436370</wp:posOffset>
                </wp:positionV>
                <wp:extent cx="2957195" cy="734060"/>
                <wp:effectExtent l="19050" t="19050" r="14605" b="27940"/>
                <wp:wrapNone/>
                <wp:docPr id="1015" name="Text Box 1015"/>
                <wp:cNvGraphicFramePr/>
                <a:graphic xmlns:a="http://schemas.openxmlformats.org/drawingml/2006/main">
                  <a:graphicData uri="http://schemas.microsoft.com/office/word/2010/wordprocessingShape">
                    <wps:wsp>
                      <wps:cNvSpPr txBox="1"/>
                      <wps:spPr>
                        <a:xfrm>
                          <a:off x="0" y="0"/>
                          <a:ext cx="2957195" cy="734060"/>
                        </a:xfrm>
                        <a:prstGeom prst="roundRect">
                          <a:avLst/>
                        </a:prstGeom>
                        <a:solidFill>
                          <a:sysClr val="window" lastClr="FFFFFF"/>
                        </a:solidFill>
                        <a:ln w="28575" cap="flat" cmpd="sng" algn="ctr">
                          <a:solidFill>
                            <a:schemeClr val="bg2"/>
                          </a:solidFill>
                          <a:prstDash val="solid"/>
                          <a:miter lim="800000"/>
                        </a:ln>
                        <a:effectLst/>
                      </wps:spPr>
                      <wps:txbx>
                        <w:txbxContent>
                          <w:p w14:paraId="5C436EB1" w14:textId="77777777" w:rsidR="00876FFE" w:rsidRPr="00E42A9B" w:rsidRDefault="00876FFE" w:rsidP="00E42A9B">
                            <w:pPr>
                              <w:spacing w:before="0"/>
                              <w:jc w:val="center"/>
                              <w:rPr>
                                <w:rFonts w:asciiTheme="minorHAnsi" w:hAnsiTheme="minorHAnsi" w:cstheme="minorHAnsi"/>
                              </w:rPr>
                            </w:pPr>
                            <w:r w:rsidRPr="00E42A9B">
                              <w:rPr>
                                <w:rFonts w:asciiTheme="minorHAnsi" w:hAnsiTheme="minorHAnsi" w:cstheme="minorHAnsi"/>
                              </w:rPr>
                              <w:t>Преамбициозно дефинисани циљеви</w:t>
                            </w:r>
                            <w:r w:rsidRPr="00E42A9B">
                              <w:rPr>
                                <w:rFonts w:asciiTheme="minorHAnsi" w:hAnsiTheme="minorHAnsi" w:cstheme="minorHAnsi"/>
                              </w:rPr>
                              <w:br/>
                              <w:t xml:space="preserve">и неутемељено планирање, </w:t>
                            </w:r>
                            <w:r w:rsidRPr="00E42A9B">
                              <w:rPr>
                                <w:rFonts w:asciiTheme="minorHAnsi" w:hAnsiTheme="minorHAnsi" w:cstheme="minorHAnsi"/>
                              </w:rPr>
                              <w:br/>
                              <w:t xml:space="preserve">низак проценат реализације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DBC996" id="Text Box 1015" o:spid="_x0000_s1050" style="position:absolute;margin-left:546.75pt;margin-top:113.1pt;width:232.85pt;height:57.8pt;z-index:251865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" fillcolor="window" strokecolor="#e7e6e6 [3214]" strokeweight="2.25pt">
                <v:stroke joinstyle="miter"/>
                <v:textbox inset="0,0,0,0">
                  <w:txbxContent>
                    <w:p w14:paraId="5C436EB1" w14:textId="77777777" w:rsidR="00876FFE" w:rsidRPr="00E42A9B" w:rsidRDefault="00876FFE" w:rsidP="00E42A9B">
                      <w:pPr>
                        <w:spacing w:before="0"/>
                        <w:jc w:val="center"/>
                        <w:rPr>
                          <w:rFonts w:asciiTheme="minorHAnsi" w:hAnsiTheme="minorHAnsi" w:cstheme="minorHAnsi"/>
                        </w:rPr>
                      </w:pPr>
                      <w:r w:rsidRPr="00E42A9B">
                        <w:rPr>
                          <w:rFonts w:asciiTheme="minorHAnsi" w:hAnsiTheme="minorHAnsi" w:cstheme="minorHAnsi"/>
                        </w:rPr>
                        <w:t xml:space="preserve">Преамбициозно </w:t>
                      </w:r>
                      <w:r w:rsidRPr="00E42A9B">
                        <w:rPr>
                          <w:rFonts w:asciiTheme="minorHAnsi" w:hAnsiTheme="minorHAnsi" w:cstheme="minorHAnsi"/>
                        </w:rPr>
                        <w:t>дефинисани циљеви</w:t>
                      </w:r>
                      <w:r w:rsidRPr="00E42A9B">
                        <w:rPr>
                          <w:rFonts w:asciiTheme="minorHAnsi" w:hAnsiTheme="minorHAnsi" w:cstheme="minorHAnsi"/>
                        </w:rPr>
                        <w:br/>
                        <w:t xml:space="preserve">и неутемељено планирање, </w:t>
                      </w:r>
                      <w:r w:rsidRPr="00E42A9B">
                        <w:rPr>
                          <w:rFonts w:asciiTheme="minorHAnsi" w:hAnsiTheme="minorHAnsi" w:cstheme="minorHAnsi"/>
                        </w:rPr>
                        <w:br/>
                        <w:t xml:space="preserve">низак проценат реализације </w:t>
                      </w:r>
                    </w:p>
                  </w:txbxContent>
                </v:textbox>
              </v:roundrect>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64576" behindDoc="0" locked="0" layoutInCell="1" allowOverlap="1" wp14:anchorId="351178F3" wp14:editId="4CA0C28B">
                <wp:simplePos x="0" y="0"/>
                <wp:positionH relativeFrom="column">
                  <wp:posOffset>3302000</wp:posOffset>
                </wp:positionH>
                <wp:positionV relativeFrom="paragraph">
                  <wp:posOffset>1435100</wp:posOffset>
                </wp:positionV>
                <wp:extent cx="2957195" cy="734060"/>
                <wp:effectExtent l="19050" t="19050" r="14605" b="27940"/>
                <wp:wrapNone/>
                <wp:docPr id="1016" name="Text Box 1016"/>
                <wp:cNvGraphicFramePr/>
                <a:graphic xmlns:a="http://schemas.openxmlformats.org/drawingml/2006/main">
                  <a:graphicData uri="http://schemas.microsoft.com/office/word/2010/wordprocessingShape">
                    <wps:wsp>
                      <wps:cNvSpPr txBox="1"/>
                      <wps:spPr>
                        <a:xfrm>
                          <a:off x="0" y="0"/>
                          <a:ext cx="2957195" cy="734060"/>
                        </a:xfrm>
                        <a:prstGeom prst="roundRect">
                          <a:avLst/>
                        </a:prstGeom>
                        <a:solidFill>
                          <a:sysClr val="window" lastClr="FFFFFF"/>
                        </a:solidFill>
                        <a:ln w="28575" cap="flat" cmpd="sng" algn="ctr">
                          <a:solidFill>
                            <a:schemeClr val="bg2"/>
                          </a:solidFill>
                          <a:prstDash val="solid"/>
                          <a:miter lim="800000"/>
                        </a:ln>
                        <a:effectLst/>
                      </wps:spPr>
                      <wps:txbx>
                        <w:txbxContent>
                          <w:p w14:paraId="21FA7071" w14:textId="77777777" w:rsidR="00876FFE" w:rsidRPr="00E42A9B" w:rsidRDefault="00876FFE" w:rsidP="00E42A9B">
                            <w:pPr>
                              <w:jc w:val="center"/>
                              <w:rPr>
                                <w:rFonts w:asciiTheme="minorHAnsi" w:hAnsiTheme="minorHAnsi" w:cstheme="minorHAnsi"/>
                              </w:rPr>
                            </w:pPr>
                            <w:r w:rsidRPr="00E42A9B">
                              <w:rPr>
                                <w:rFonts w:asciiTheme="minorHAnsi" w:hAnsiTheme="minorHAnsi" w:cstheme="minorHAnsi"/>
                              </w:rPr>
                              <w:t>Недовољно опција за решавање</w:t>
                            </w:r>
                            <w:r w:rsidRPr="00E42A9B">
                              <w:rPr>
                                <w:rFonts w:asciiTheme="minorHAnsi" w:hAnsiTheme="minorHAnsi" w:cstheme="minorHAnsi"/>
                              </w:rPr>
                              <w:br/>
                              <w:t>проблема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1178F3" id="Text Box 1016" o:spid="_x0000_s1051" style="position:absolute;margin-left:260pt;margin-top:113pt;width:232.85pt;height:57.8pt;z-index:251864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" fillcolor="window" strokecolor="#e7e6e6 [3214]" strokeweight="2.25pt">
                <v:stroke joinstyle="miter"/>
                <v:textbox inset="0,0,0,0">
                  <w:txbxContent>
                    <w:p w14:paraId="21FA7071" w14:textId="77777777" w:rsidR="00876FFE" w:rsidRPr="00E42A9B" w:rsidRDefault="00876FFE" w:rsidP="00E42A9B">
                      <w:pPr>
                        <w:jc w:val="center"/>
                        <w:rPr>
                          <w:rFonts w:asciiTheme="minorHAnsi" w:hAnsiTheme="minorHAnsi" w:cstheme="minorHAnsi"/>
                        </w:rPr>
                      </w:pPr>
                      <w:r w:rsidRPr="00E42A9B">
                        <w:rPr>
                          <w:rFonts w:asciiTheme="minorHAnsi" w:hAnsiTheme="minorHAnsi" w:cstheme="minorHAnsi"/>
                        </w:rPr>
                        <w:t xml:space="preserve">Недовољно </w:t>
                      </w:r>
                      <w:r w:rsidRPr="00E42A9B">
                        <w:rPr>
                          <w:rFonts w:asciiTheme="minorHAnsi" w:hAnsiTheme="minorHAnsi" w:cstheme="minorHAnsi"/>
                        </w:rPr>
                        <w:t>опција за решавање</w:t>
                      </w:r>
                      <w:r w:rsidRPr="00E42A9B">
                        <w:rPr>
                          <w:rFonts w:asciiTheme="minorHAnsi" w:hAnsiTheme="minorHAnsi" w:cstheme="minorHAnsi"/>
                        </w:rPr>
                        <w:br/>
                        <w:t>проблема</w:t>
                      </w:r>
                    </w:p>
                  </w:txbxContent>
                </v:textbox>
              </v:roundrect>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63552" behindDoc="0" locked="0" layoutInCell="1" allowOverlap="1" wp14:anchorId="62C32F10" wp14:editId="4E542C4E">
                <wp:simplePos x="0" y="0"/>
                <wp:positionH relativeFrom="column">
                  <wp:posOffset>-333375</wp:posOffset>
                </wp:positionH>
                <wp:positionV relativeFrom="paragraph">
                  <wp:posOffset>1436370</wp:posOffset>
                </wp:positionV>
                <wp:extent cx="2957195" cy="734060"/>
                <wp:effectExtent l="19050" t="19050" r="14605" b="27940"/>
                <wp:wrapNone/>
                <wp:docPr id="1017" name="Text Box 1017"/>
                <wp:cNvGraphicFramePr/>
                <a:graphic xmlns:a="http://schemas.openxmlformats.org/drawingml/2006/main">
                  <a:graphicData uri="http://schemas.microsoft.com/office/word/2010/wordprocessingShape">
                    <wps:wsp>
                      <wps:cNvSpPr txBox="1"/>
                      <wps:spPr>
                        <a:xfrm>
                          <a:off x="0" y="0"/>
                          <a:ext cx="2957195" cy="734060"/>
                        </a:xfrm>
                        <a:prstGeom prst="roundRect">
                          <a:avLst/>
                        </a:prstGeom>
                        <a:solidFill>
                          <a:sysClr val="window" lastClr="FFFFFF"/>
                        </a:solidFill>
                        <a:ln w="28575" cap="flat" cmpd="sng" algn="ctr">
                          <a:solidFill>
                            <a:schemeClr val="bg2"/>
                          </a:solidFill>
                          <a:prstDash val="solid"/>
                          <a:miter lim="800000"/>
                        </a:ln>
                        <a:effectLst/>
                      </wps:spPr>
                      <wps:txbx>
                        <w:txbxContent>
                          <w:p w14:paraId="1FB8675C" w14:textId="77777777" w:rsidR="00876FFE" w:rsidRPr="00E42A9B" w:rsidRDefault="00876FFE" w:rsidP="00E42A9B">
                            <w:pPr>
                              <w:spacing w:before="0"/>
                              <w:jc w:val="center"/>
                              <w:rPr>
                                <w:rFonts w:asciiTheme="minorHAnsi" w:hAnsiTheme="minorHAnsi" w:cstheme="minorHAnsi"/>
                              </w:rPr>
                            </w:pPr>
                            <w:r w:rsidRPr="00E42A9B">
                              <w:rPr>
                                <w:rFonts w:asciiTheme="minorHAnsi" w:hAnsiTheme="minorHAnsi" w:cstheme="minorHAnsi"/>
                              </w:rPr>
                              <w:t xml:space="preserve">Недовољна информисаност грађана о </w:t>
                            </w:r>
                            <w:r w:rsidRPr="00E42A9B">
                              <w:rPr>
                                <w:rFonts w:asciiTheme="minorHAnsi" w:hAnsiTheme="minorHAnsi" w:cstheme="minorHAnsi"/>
                              </w:rPr>
                              <w:br/>
                              <w:t xml:space="preserve">циљевима, трошковима, </w:t>
                            </w:r>
                            <w:r w:rsidRPr="00E42A9B">
                              <w:rPr>
                                <w:rFonts w:asciiTheme="minorHAnsi" w:hAnsiTheme="minorHAnsi" w:cstheme="minorHAnsi"/>
                                <w:spacing w:val="-6"/>
                              </w:rPr>
                              <w:t>и постигнутим</w:t>
                            </w:r>
                            <w:r w:rsidRPr="00E42A9B">
                              <w:rPr>
                                <w:rFonts w:asciiTheme="minorHAnsi" w:hAnsiTheme="minorHAnsi" w:cstheme="minorHAnsi"/>
                              </w:rPr>
                              <w:t xml:space="preserve"> резултатима ЈП и прописа</w:t>
                            </w:r>
                          </w:p>
                          <w:p w14:paraId="0061F2C4" w14:textId="77777777" w:rsidR="00876FFE" w:rsidRPr="00E42A9B" w:rsidRDefault="00876FFE" w:rsidP="00E42A9B">
                            <w:pPr>
                              <w:rPr>
                                <w:rFonts w:asciiTheme="minorHAnsi" w:hAnsiTheme="minorHAnsi" w:cstheme="minorHAnsi"/>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C32F10" id="Text Box 1017" o:spid="_x0000_s1052" style="position:absolute;margin-left:-26.25pt;margin-top:113.1pt;width:232.85pt;height:57.8pt;z-index:251863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" fillcolor="window" strokecolor="#e7e6e6 [3214]" strokeweight="2.25pt">
                <v:stroke joinstyle="miter"/>
                <v:textbox inset="0,0,0,0">
                  <w:txbxContent>
                    <w:p w14:paraId="1FB8675C" w14:textId="77777777" w:rsidR="00876FFE" w:rsidRPr="00E42A9B" w:rsidRDefault="00876FFE" w:rsidP="00E42A9B">
                      <w:pPr>
                        <w:spacing w:before="0"/>
                        <w:jc w:val="center"/>
                        <w:rPr>
                          <w:rFonts w:asciiTheme="minorHAnsi" w:hAnsiTheme="minorHAnsi" w:cstheme="minorHAnsi"/>
                        </w:rPr>
                      </w:pPr>
                      <w:r w:rsidRPr="00E42A9B">
                        <w:rPr>
                          <w:rFonts w:asciiTheme="minorHAnsi" w:hAnsiTheme="minorHAnsi" w:cstheme="minorHAnsi"/>
                        </w:rPr>
                        <w:t xml:space="preserve">Недовољна </w:t>
                      </w:r>
                      <w:r w:rsidRPr="00E42A9B">
                        <w:rPr>
                          <w:rFonts w:asciiTheme="minorHAnsi" w:hAnsiTheme="minorHAnsi" w:cstheme="minorHAnsi"/>
                        </w:rPr>
                        <w:t xml:space="preserve">информисаност грађана о </w:t>
                      </w:r>
                      <w:r w:rsidRPr="00E42A9B">
                        <w:rPr>
                          <w:rFonts w:asciiTheme="minorHAnsi" w:hAnsiTheme="minorHAnsi" w:cstheme="minorHAnsi"/>
                        </w:rPr>
                        <w:br/>
                        <w:t xml:space="preserve">циљевима, трошковима, </w:t>
                      </w:r>
                      <w:r w:rsidRPr="00E42A9B">
                        <w:rPr>
                          <w:rFonts w:asciiTheme="minorHAnsi" w:hAnsiTheme="minorHAnsi" w:cstheme="minorHAnsi"/>
                          <w:spacing w:val="-6"/>
                        </w:rPr>
                        <w:t>и постигнутим</w:t>
                      </w:r>
                      <w:r w:rsidRPr="00E42A9B">
                        <w:rPr>
                          <w:rFonts w:asciiTheme="minorHAnsi" w:hAnsiTheme="minorHAnsi" w:cstheme="minorHAnsi"/>
                        </w:rPr>
                        <w:t xml:space="preserve"> резултатима ЈП и прописа</w:t>
                      </w:r>
                    </w:p>
                    <w:p w14:paraId="0061F2C4" w14:textId="77777777" w:rsidR="00876FFE" w:rsidRPr="00E42A9B" w:rsidRDefault="00876FFE" w:rsidP="00E42A9B">
                      <w:pPr>
                        <w:rPr>
                          <w:rFonts w:asciiTheme="minorHAnsi" w:hAnsiTheme="minorHAnsi" w:cstheme="minorHAnsi"/>
                        </w:rPr>
                      </w:pPr>
                    </w:p>
                  </w:txbxContent>
                </v:textbox>
              </v:roundrect>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62528" behindDoc="0" locked="0" layoutInCell="1" allowOverlap="1" wp14:anchorId="6B020B0F" wp14:editId="0E349610">
                <wp:simplePos x="0" y="0"/>
                <wp:positionH relativeFrom="column">
                  <wp:posOffset>10591800</wp:posOffset>
                </wp:positionH>
                <wp:positionV relativeFrom="paragraph">
                  <wp:posOffset>407670</wp:posOffset>
                </wp:positionV>
                <wp:extent cx="2957195" cy="851535"/>
                <wp:effectExtent l="19050" t="19050" r="14605" b="24765"/>
                <wp:wrapNone/>
                <wp:docPr id="13" name="Text Box 13"/>
                <wp:cNvGraphicFramePr/>
                <a:graphic xmlns:a="http://schemas.openxmlformats.org/drawingml/2006/main">
                  <a:graphicData uri="http://schemas.microsoft.com/office/word/2010/wordprocessingShape">
                    <wps:wsp>
                      <wps:cNvSpPr txBox="1"/>
                      <wps:spPr>
                        <a:xfrm>
                          <a:off x="0" y="0"/>
                          <a:ext cx="2957195" cy="851535"/>
                        </a:xfrm>
                        <a:prstGeom prst="roundRect">
                          <a:avLst/>
                        </a:prstGeom>
                        <a:solidFill>
                          <a:sysClr val="window" lastClr="FFFFFF"/>
                        </a:solidFill>
                        <a:ln w="28575" cap="flat" cmpd="sng" algn="ctr">
                          <a:solidFill>
                            <a:schemeClr val="bg2"/>
                          </a:solidFill>
                          <a:prstDash val="solid"/>
                          <a:miter lim="800000"/>
                        </a:ln>
                        <a:effectLst/>
                      </wps:spPr>
                      <wps:txbx>
                        <w:txbxContent>
                          <w:p w14:paraId="48AB0179" w14:textId="77777777" w:rsidR="00876FFE" w:rsidRPr="00E42A9B" w:rsidRDefault="00876FFE" w:rsidP="00E42A9B">
                            <w:pPr>
                              <w:spacing w:before="0"/>
                              <w:jc w:val="center"/>
                              <w:rPr>
                                <w:rFonts w:asciiTheme="minorHAnsi" w:hAnsiTheme="minorHAnsi" w:cstheme="minorHAnsi"/>
                              </w:rPr>
                            </w:pPr>
                            <w:r w:rsidRPr="00E42A9B">
                              <w:rPr>
                                <w:rFonts w:asciiTheme="minorHAnsi" w:hAnsiTheme="minorHAnsi" w:cstheme="minorHAnsi"/>
                              </w:rPr>
                              <w:t xml:space="preserve">Тешко утврдива оправданост улагања </w:t>
                            </w:r>
                            <w:r w:rsidRPr="00E42A9B">
                              <w:rPr>
                                <w:rFonts w:asciiTheme="minorHAnsi" w:hAnsiTheme="minorHAnsi" w:cstheme="minorHAnsi"/>
                              </w:rPr>
                              <w:br/>
                              <w:t xml:space="preserve">финансијских средстава/нејасан </w:t>
                            </w:r>
                            <w:r w:rsidRPr="00E42A9B">
                              <w:rPr>
                                <w:rFonts w:asciiTheme="minorHAnsi" w:hAnsiTheme="minorHAnsi" w:cstheme="minorHAnsi"/>
                              </w:rPr>
                              <w:br/>
                              <w:t xml:space="preserve">однос трошкова спровођења ЈП и </w:t>
                            </w:r>
                            <w:r w:rsidRPr="00E42A9B">
                              <w:rPr>
                                <w:rFonts w:asciiTheme="minorHAnsi" w:hAnsiTheme="minorHAnsi" w:cstheme="minorHAnsi"/>
                              </w:rPr>
                              <w:br/>
                              <w:t xml:space="preserve">прописа и њихових ефеката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020B0F" id="Text Box 13" o:spid="_x0000_s1053" style="position:absolute;margin-left:834pt;margin-top:32.1pt;width:232.85pt;height:67.05pt;z-index:25186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" fillcolor="window" strokecolor="#e7e6e6 [3214]" strokeweight="2.25pt">
                <v:stroke joinstyle="miter"/>
                <v:textbox inset="0,0,0,0">
                  <w:txbxContent>
                    <w:p w14:paraId="48AB0179" w14:textId="77777777" w:rsidR="00876FFE" w:rsidRPr="00E42A9B" w:rsidRDefault="00876FFE" w:rsidP="00E42A9B">
                      <w:pPr>
                        <w:spacing w:before="0"/>
                        <w:jc w:val="center"/>
                        <w:rPr>
                          <w:rFonts w:asciiTheme="minorHAnsi" w:hAnsiTheme="minorHAnsi" w:cstheme="minorHAnsi"/>
                        </w:rPr>
                      </w:pPr>
                      <w:r w:rsidRPr="00E42A9B">
                        <w:rPr>
                          <w:rFonts w:asciiTheme="minorHAnsi" w:hAnsiTheme="minorHAnsi" w:cstheme="minorHAnsi"/>
                        </w:rPr>
                        <w:t xml:space="preserve">Тешко </w:t>
                      </w:r>
                      <w:r w:rsidRPr="00E42A9B">
                        <w:rPr>
                          <w:rFonts w:asciiTheme="minorHAnsi" w:hAnsiTheme="minorHAnsi" w:cstheme="minorHAnsi"/>
                        </w:rPr>
                        <w:t xml:space="preserve">утврдива оправданост улагања </w:t>
                      </w:r>
                      <w:r w:rsidRPr="00E42A9B">
                        <w:rPr>
                          <w:rFonts w:asciiTheme="minorHAnsi" w:hAnsiTheme="minorHAnsi" w:cstheme="minorHAnsi"/>
                        </w:rPr>
                        <w:br/>
                        <w:t xml:space="preserve">финансијских средстава/нејасан </w:t>
                      </w:r>
                      <w:r w:rsidRPr="00E42A9B">
                        <w:rPr>
                          <w:rFonts w:asciiTheme="minorHAnsi" w:hAnsiTheme="minorHAnsi" w:cstheme="minorHAnsi"/>
                        </w:rPr>
                        <w:br/>
                        <w:t xml:space="preserve">однос трошкова спровођења ЈП и </w:t>
                      </w:r>
                      <w:r w:rsidRPr="00E42A9B">
                        <w:rPr>
                          <w:rFonts w:asciiTheme="minorHAnsi" w:hAnsiTheme="minorHAnsi" w:cstheme="minorHAnsi"/>
                        </w:rPr>
                        <w:br/>
                        <w:t xml:space="preserve">прописа и њихових ефеката </w:t>
                      </w:r>
                    </w:p>
                  </w:txbxContent>
                </v:textbox>
              </v:roundrect>
            </w:pict>
          </mc:Fallback>
        </mc:AlternateContent>
      </w:r>
    </w:p>
    <w:p w14:paraId="28EC940B" w14:textId="77777777" w:rsidR="00E42A9B" w:rsidRPr="000F0299" w:rsidRDefault="00E42A9B" w:rsidP="00E42A9B">
      <w:pPr>
        <w:suppressAutoHyphens w:val="0"/>
        <w:autoSpaceDN/>
        <w:spacing w:before="0" w:after="0"/>
        <w:ind w:firstLine="0"/>
        <w:jc w:val="left"/>
        <w:textAlignment w:val="auto"/>
        <w:rPr>
          <w:rFonts w:ascii="Calibri" w:eastAsia="Times New Roman" w:hAnsi="Calibri" w:cs="Calibri"/>
          <w:kern w:val="0"/>
          <w:sz w:val="20"/>
          <w:szCs w:val="20"/>
          <w:lang w:eastAsia="en-US" w:bidi="ar-SA"/>
        </w:rPr>
      </w:pPr>
    </w:p>
    <w:p w14:paraId="16F837D9" w14:textId="77777777" w:rsidR="00E42A9B" w:rsidRPr="000F0299" w:rsidRDefault="00E42A9B" w:rsidP="00E42A9B">
      <w:pPr>
        <w:suppressAutoHyphens w:val="0"/>
        <w:autoSpaceDN/>
        <w:spacing w:before="0" w:after="0"/>
        <w:ind w:firstLine="0"/>
        <w:jc w:val="left"/>
        <w:textAlignment w:val="auto"/>
        <w:rPr>
          <w:rFonts w:ascii="Calibri" w:eastAsia="Times New Roman" w:hAnsi="Calibri" w:cs="Calibri"/>
          <w:kern w:val="0"/>
          <w:sz w:val="20"/>
          <w:szCs w:val="20"/>
          <w:lang w:eastAsia="en-US" w:bidi="ar-SA"/>
        </w:rPr>
      </w:pPr>
    </w:p>
    <w:p w14:paraId="4B834F1B" w14:textId="084BE4E7" w:rsidR="00E42A9B" w:rsidRPr="000F0299" w:rsidRDefault="00904B8B" w:rsidP="00E42A9B">
      <w:pPr>
        <w:suppressAutoHyphens w:val="0"/>
        <w:autoSpaceDN/>
        <w:spacing w:before="0" w:after="0"/>
        <w:ind w:firstLine="0"/>
        <w:jc w:val="left"/>
        <w:textAlignment w:val="auto"/>
        <w:rPr>
          <w:rFonts w:ascii="Calibri" w:eastAsia="Times New Roman" w:hAnsi="Calibri" w:cs="Calibri"/>
          <w:kern w:val="0"/>
          <w:sz w:val="20"/>
          <w:szCs w:val="20"/>
          <w:lang w:eastAsia="en-US"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27040" behindDoc="0" locked="0" layoutInCell="1" allowOverlap="1" wp14:anchorId="5F3A032B" wp14:editId="126DA29B">
                <wp:simplePos x="0" y="0"/>
                <wp:positionH relativeFrom="column">
                  <wp:posOffset>10382250</wp:posOffset>
                </wp:positionH>
                <wp:positionV relativeFrom="paragraph">
                  <wp:posOffset>80010</wp:posOffset>
                </wp:positionV>
                <wp:extent cx="0" cy="1701800"/>
                <wp:effectExtent l="0" t="0" r="38100" b="12700"/>
                <wp:wrapNone/>
                <wp:docPr id="1005" name="Straight Connector 1005"/>
                <wp:cNvGraphicFramePr/>
                <a:graphic xmlns:a="http://schemas.openxmlformats.org/drawingml/2006/main">
                  <a:graphicData uri="http://schemas.microsoft.com/office/word/2010/wordprocessingShape">
                    <wps:wsp>
                      <wps:cNvCnPr/>
                      <wps:spPr>
                        <a:xfrm flipV="1">
                          <a:off x="0" y="0"/>
                          <a:ext cx="0" cy="1701800"/>
                        </a:xfrm>
                        <a:prstGeom prst="line">
                          <a:avLst/>
                        </a:prstGeom>
                        <a:noFill/>
                        <a:ln w="19050" cap="flat" cmpd="sng" algn="ctr">
                          <a:solidFill>
                            <a:schemeClr val="bg2"/>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A310B7" id="Straight Connector 1005" o:spid="_x0000_s1026" style="position:absolute;flip:y;z-index:251927040;visibility:visible;mso-wrap-style:square;mso-wrap-distance-left:9pt;mso-wrap-distance-top:0;mso-wrap-distance-right:9pt;mso-wrap-distance-bottom:0;mso-position-horizontal:absolute;mso-position-horizontal-relative:text;mso-position-vertical:absolute;mso-position-vertical-relative:text" from="817.5pt,6.3pt" to="817.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" strokecolor="#e7e6e6 [3214]" strokeweight="1.5pt">
                <v:stroke joinstyle="miter"/>
              </v:lin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28064" behindDoc="0" locked="0" layoutInCell="1" allowOverlap="1" wp14:anchorId="629928C4" wp14:editId="1303D008">
                <wp:simplePos x="0" y="0"/>
                <wp:positionH relativeFrom="column">
                  <wp:posOffset>10382250</wp:posOffset>
                </wp:positionH>
                <wp:positionV relativeFrom="paragraph">
                  <wp:posOffset>80010</wp:posOffset>
                </wp:positionV>
                <wp:extent cx="203835" cy="0"/>
                <wp:effectExtent l="0" t="76200" r="24765" b="95250"/>
                <wp:wrapNone/>
                <wp:docPr id="1006" name="Straight Arrow Connector 1006"/>
                <wp:cNvGraphicFramePr/>
                <a:graphic xmlns:a="http://schemas.openxmlformats.org/drawingml/2006/main">
                  <a:graphicData uri="http://schemas.microsoft.com/office/word/2010/wordprocessingShape">
                    <wps:wsp>
                      <wps:cNvCnPr/>
                      <wps:spPr>
                        <a:xfrm>
                          <a:off x="0" y="0"/>
                          <a:ext cx="203835" cy="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5E5E77" id="Straight Arrow Connector 1006" o:spid="_x0000_s1026" type="#_x0000_t32" style="position:absolute;margin-left:817.5pt;margin-top:6.3pt;width:16.05pt;height:0;z-index:25192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" strokecolor="#d8d8d8 [2732]" strokeweight="1.5pt">
                <v:stroke endarrow="block" joinstyle="miter"/>
              </v:shap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24992" behindDoc="0" locked="0" layoutInCell="1" allowOverlap="1" wp14:anchorId="3A554EBE" wp14:editId="14506D78">
                <wp:simplePos x="0" y="0"/>
                <wp:positionH relativeFrom="column">
                  <wp:posOffset>6753225</wp:posOffset>
                </wp:positionH>
                <wp:positionV relativeFrom="paragraph">
                  <wp:posOffset>60960</wp:posOffset>
                </wp:positionV>
                <wp:extent cx="0" cy="1701800"/>
                <wp:effectExtent l="0" t="0" r="38100" b="12700"/>
                <wp:wrapNone/>
                <wp:docPr id="1008" name="Straight Connector 1008"/>
                <wp:cNvGraphicFramePr/>
                <a:graphic xmlns:a="http://schemas.openxmlformats.org/drawingml/2006/main">
                  <a:graphicData uri="http://schemas.microsoft.com/office/word/2010/wordprocessingShape">
                    <wps:wsp>
                      <wps:cNvCnPr/>
                      <wps:spPr>
                        <a:xfrm flipV="1">
                          <a:off x="0" y="0"/>
                          <a:ext cx="0" cy="1701800"/>
                        </a:xfrm>
                        <a:prstGeom prst="line">
                          <a:avLst/>
                        </a:prstGeom>
                        <a:noFill/>
                        <a:ln w="19050" cap="flat" cmpd="sng" algn="ctr">
                          <a:solidFill>
                            <a:schemeClr val="bg2"/>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0E1944" id="Straight Connector 1008" o:spid="_x0000_s1026" style="position:absolute;flip:y;z-index:251924992;visibility:visible;mso-wrap-style:square;mso-wrap-distance-left:9pt;mso-wrap-distance-top:0;mso-wrap-distance-right:9pt;mso-wrap-distance-bottom:0;mso-position-horizontal:absolute;mso-position-horizontal-relative:text;mso-position-vertical:absolute;mso-position-vertical-relative:text" from="531.75pt,4.8pt" to="531.75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" strokecolor="#e7e6e6 [3214]" strokeweight="1.5pt">
                <v:stroke joinstyle="miter"/>
              </v:lin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26016" behindDoc="0" locked="0" layoutInCell="1" allowOverlap="1" wp14:anchorId="5590CFCF" wp14:editId="6C844EA9">
                <wp:simplePos x="0" y="0"/>
                <wp:positionH relativeFrom="column">
                  <wp:posOffset>6753225</wp:posOffset>
                </wp:positionH>
                <wp:positionV relativeFrom="paragraph">
                  <wp:posOffset>60960</wp:posOffset>
                </wp:positionV>
                <wp:extent cx="203835" cy="0"/>
                <wp:effectExtent l="0" t="76200" r="24765" b="95250"/>
                <wp:wrapNone/>
                <wp:docPr id="1009" name="Straight Arrow Connector 1009"/>
                <wp:cNvGraphicFramePr/>
                <a:graphic xmlns:a="http://schemas.openxmlformats.org/drawingml/2006/main">
                  <a:graphicData uri="http://schemas.microsoft.com/office/word/2010/wordprocessingShape">
                    <wps:wsp>
                      <wps:cNvCnPr/>
                      <wps:spPr>
                        <a:xfrm>
                          <a:off x="0" y="0"/>
                          <a:ext cx="203835" cy="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BB358D" id="Straight Arrow Connector 1009" o:spid="_x0000_s1026" type="#_x0000_t32" style="position:absolute;margin-left:531.75pt;margin-top:4.8pt;width:16.05pt;height:0;z-index:25192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" strokecolor="#d8d8d8 [2732]" strokeweight="1.5pt">
                <v:stroke endarrow="block" joinstyle="miter"/>
              </v:shape>
            </w:pict>
          </mc:Fallback>
        </mc:AlternateContent>
      </w:r>
      <w:r w:rsidR="00E42A9B"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20896" behindDoc="0" locked="0" layoutInCell="1" allowOverlap="1" wp14:anchorId="6CC9752C" wp14:editId="2ACAA0D5">
                <wp:simplePos x="0" y="0"/>
                <wp:positionH relativeFrom="column">
                  <wp:posOffset>2819400</wp:posOffset>
                </wp:positionH>
                <wp:positionV relativeFrom="paragraph">
                  <wp:posOffset>80010</wp:posOffset>
                </wp:positionV>
                <wp:extent cx="0" cy="1701800"/>
                <wp:effectExtent l="0" t="0" r="38100" b="12700"/>
                <wp:wrapNone/>
                <wp:docPr id="83" name="Straight Connector 83"/>
                <wp:cNvGraphicFramePr/>
                <a:graphic xmlns:a="http://schemas.openxmlformats.org/drawingml/2006/main">
                  <a:graphicData uri="http://schemas.microsoft.com/office/word/2010/wordprocessingShape">
                    <wps:wsp>
                      <wps:cNvCnPr/>
                      <wps:spPr>
                        <a:xfrm flipV="1">
                          <a:off x="0" y="0"/>
                          <a:ext cx="0" cy="1701800"/>
                        </a:xfrm>
                        <a:prstGeom prst="line">
                          <a:avLst/>
                        </a:prstGeom>
                        <a:noFill/>
                        <a:ln w="19050" cap="flat" cmpd="sng" algn="ctr">
                          <a:solidFill>
                            <a:schemeClr val="bg2"/>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7E61AC" id="Straight Connector 83" o:spid="_x0000_s1026" style="position:absolute;flip:y;z-index:251920896;visibility:visible;mso-wrap-style:square;mso-wrap-distance-left:9pt;mso-wrap-distance-top:0;mso-wrap-distance-right:9pt;mso-wrap-distance-bottom:0;mso-position-horizontal:absolute;mso-position-horizontal-relative:text;mso-position-vertical:absolute;mso-position-vertical-relative:text" from="222pt,6.3pt" to="222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" strokecolor="#e7e6e6 [3214]" strokeweight="1.5pt">
                <v:stroke joinstyle="miter"/>
              </v:line>
            </w:pict>
          </mc:Fallback>
        </mc:AlternateContent>
      </w:r>
      <w:r w:rsidR="00E42A9B"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22944" behindDoc="0" locked="0" layoutInCell="1" allowOverlap="1" wp14:anchorId="4AC03337" wp14:editId="3A88D389">
                <wp:simplePos x="0" y="0"/>
                <wp:positionH relativeFrom="column">
                  <wp:posOffset>6467475</wp:posOffset>
                </wp:positionH>
                <wp:positionV relativeFrom="paragraph">
                  <wp:posOffset>80010</wp:posOffset>
                </wp:positionV>
                <wp:extent cx="0" cy="1701800"/>
                <wp:effectExtent l="0" t="0" r="38100" b="12700"/>
                <wp:wrapNone/>
                <wp:docPr id="85" name="Straight Connector 85"/>
                <wp:cNvGraphicFramePr/>
                <a:graphic xmlns:a="http://schemas.openxmlformats.org/drawingml/2006/main">
                  <a:graphicData uri="http://schemas.microsoft.com/office/word/2010/wordprocessingShape">
                    <wps:wsp>
                      <wps:cNvCnPr/>
                      <wps:spPr>
                        <a:xfrm flipV="1">
                          <a:off x="0" y="0"/>
                          <a:ext cx="0" cy="1701800"/>
                        </a:xfrm>
                        <a:prstGeom prst="line">
                          <a:avLst/>
                        </a:prstGeom>
                        <a:noFill/>
                        <a:ln w="19050" cap="flat" cmpd="sng" algn="ctr">
                          <a:solidFill>
                            <a:schemeClr val="bg2"/>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481194" id="Straight Connector 85" o:spid="_x0000_s1026" style="position:absolute;flip:y;z-index:251922944;visibility:visible;mso-wrap-style:square;mso-wrap-distance-left:9pt;mso-wrap-distance-top:0;mso-wrap-distance-right:9pt;mso-wrap-distance-bottom:0;mso-position-horizontal:absolute;mso-position-horizontal-relative:text;mso-position-vertical:absolute;mso-position-vertical-relative:text" from="509.25pt,6.3pt" to="509.2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" strokecolor="#e7e6e6 [3214]" strokeweight="1.5pt">
                <v:stroke joinstyle="miter"/>
              </v:line>
            </w:pict>
          </mc:Fallback>
        </mc:AlternateContent>
      </w:r>
    </w:p>
    <w:p w14:paraId="077E9F65" w14:textId="77777777" w:rsidR="00E42A9B" w:rsidRPr="000F0299" w:rsidRDefault="00E42A9B" w:rsidP="00E42A9B">
      <w:pPr>
        <w:suppressAutoHyphens w:val="0"/>
        <w:autoSpaceDN/>
        <w:spacing w:before="0" w:after="0"/>
        <w:ind w:firstLine="0"/>
        <w:jc w:val="left"/>
        <w:textAlignment w:val="auto"/>
        <w:rPr>
          <w:rFonts w:ascii="Calibri" w:eastAsia="Times New Roman" w:hAnsi="Calibri" w:cs="Calibri"/>
          <w:kern w:val="0"/>
          <w:sz w:val="20"/>
          <w:szCs w:val="20"/>
          <w:lang w:eastAsia="en-US" w:bidi="ar-SA"/>
        </w:rPr>
      </w:pPr>
    </w:p>
    <w:p w14:paraId="1FB59E57" w14:textId="77777777" w:rsidR="00E42A9B" w:rsidRPr="000F0299" w:rsidRDefault="00E42A9B" w:rsidP="00E42A9B">
      <w:pPr>
        <w:tabs>
          <w:tab w:val="left" w:pos="2998"/>
        </w:tabs>
        <w:suppressAutoHyphens w:val="0"/>
        <w:autoSpaceDN/>
        <w:spacing w:before="0" w:after="0"/>
        <w:ind w:firstLine="0"/>
        <w:jc w:val="left"/>
        <w:textAlignment w:val="auto"/>
        <w:rPr>
          <w:rFonts w:ascii="Calibri" w:eastAsia="Times New Roman" w:hAnsi="Calibri" w:cs="Calibri"/>
          <w:kern w:val="0"/>
          <w:sz w:val="20"/>
          <w:szCs w:val="20"/>
          <w:lang w:eastAsia="en-US" w:bidi="ar-SA"/>
        </w:rPr>
      </w:pPr>
      <w:r w:rsidRPr="000F0299">
        <w:rPr>
          <w:rFonts w:ascii="Calibri" w:eastAsia="Times New Roman" w:hAnsi="Calibri" w:cs="Calibri"/>
          <w:kern w:val="0"/>
          <w:sz w:val="20"/>
          <w:szCs w:val="20"/>
          <w:lang w:eastAsia="en-US" w:bidi="ar-SA"/>
        </w:rPr>
        <w:tab/>
        <w:t>,,</w:t>
      </w:r>
      <w:r w:rsidRPr="000F0299">
        <w:rPr>
          <w:rFonts w:ascii="Calibri" w:eastAsia="Times New Roman" w:hAnsi="Calibri" w:cs="Calibri"/>
          <w:noProof/>
          <w:kern w:val="0"/>
          <w:sz w:val="20"/>
          <w:szCs w:val="20"/>
          <w:lang w:eastAsia="en-GB" w:bidi="ar-SA"/>
        </w:rPr>
        <w:t xml:space="preserve"> </w:t>
      </w:r>
    </w:p>
    <w:p w14:paraId="15882F5F" w14:textId="77777777" w:rsidR="00E42A9B" w:rsidRPr="000F0299" w:rsidRDefault="00E42A9B" w:rsidP="00E42A9B">
      <w:pPr>
        <w:suppressAutoHyphens w:val="0"/>
        <w:autoSpaceDN/>
        <w:spacing w:after="120" w:line="259" w:lineRule="auto"/>
        <w:ind w:firstLine="0"/>
        <w:jc w:val="center"/>
        <w:textAlignment w:val="auto"/>
        <w:rPr>
          <w:rFonts w:ascii="Calibri" w:eastAsia="Calibri" w:hAnsi="Calibri" w:cs="Calibri"/>
          <w:i/>
          <w:iCs/>
          <w:kern w:val="0"/>
          <w:sz w:val="18"/>
          <w:szCs w:val="18"/>
          <w:lang w:eastAsia="en-US" w:bidi="ar-SA"/>
        </w:rPr>
      </w:pPr>
    </w:p>
    <w:p w14:paraId="248E1918" w14:textId="77777777" w:rsidR="00E42A9B" w:rsidRPr="000F0299" w:rsidRDefault="00E42A9B" w:rsidP="00E42A9B">
      <w:pPr>
        <w:suppressAutoHyphens w:val="0"/>
        <w:autoSpaceDN/>
        <w:spacing w:before="0" w:after="0"/>
        <w:ind w:firstLine="0"/>
        <w:textAlignment w:val="auto"/>
        <w:rPr>
          <w:rFonts w:ascii="Calibri" w:eastAsia="Times New Roman" w:hAnsi="Calibri" w:cs="Calibri"/>
          <w:b/>
          <w:bCs/>
          <w:i/>
          <w:iCs/>
          <w:color w:val="36908E"/>
          <w:kern w:val="0"/>
          <w:sz w:val="22"/>
          <w:szCs w:val="22"/>
          <w:lang w:eastAsia="de-DE" w:bidi="ar-SA"/>
        </w:rPr>
      </w:pPr>
    </w:p>
    <w:p w14:paraId="7A656F6D" w14:textId="77777777" w:rsidR="00E42A9B" w:rsidRPr="000F0299" w:rsidRDefault="00E42A9B" w:rsidP="00E42A9B">
      <w:pPr>
        <w:suppressAutoHyphens w:val="0"/>
        <w:autoSpaceDN/>
        <w:spacing w:after="120" w:line="259" w:lineRule="auto"/>
        <w:ind w:firstLine="0"/>
        <w:textAlignment w:val="auto"/>
        <w:rPr>
          <w:rFonts w:ascii="Calibri" w:eastAsia="Times New Roman" w:hAnsi="Calibri" w:cs="Calibri"/>
          <w:b/>
          <w:bCs/>
          <w:i/>
          <w:iCs/>
          <w:color w:val="36908E"/>
          <w:kern w:val="0"/>
          <w:sz w:val="22"/>
          <w:szCs w:val="22"/>
          <w:lang w:eastAsia="de-DE" w:bidi="ar-SA"/>
        </w:rPr>
      </w:pPr>
    </w:p>
    <w:p w14:paraId="2070B444" w14:textId="77777777" w:rsidR="00E42A9B" w:rsidRPr="000F0299" w:rsidRDefault="00E42A9B" w:rsidP="00E42A9B">
      <w:pPr>
        <w:suppressAutoHyphens w:val="0"/>
        <w:autoSpaceDN/>
        <w:spacing w:after="120" w:line="259" w:lineRule="auto"/>
        <w:ind w:firstLine="0"/>
        <w:textAlignment w:val="auto"/>
        <w:rPr>
          <w:rFonts w:ascii="Calibri" w:eastAsia="Times New Roman" w:hAnsi="Calibri" w:cs="Calibri"/>
          <w:b/>
          <w:bCs/>
          <w:i/>
          <w:iCs/>
          <w:color w:val="36908E"/>
          <w:kern w:val="0"/>
          <w:sz w:val="22"/>
          <w:szCs w:val="22"/>
          <w:lang w:eastAsia="de-DE" w:bidi="ar-SA"/>
        </w:rPr>
      </w:pPr>
    </w:p>
    <w:p w14:paraId="1EC05E5C" w14:textId="77777777" w:rsidR="00E42A9B" w:rsidRPr="000F0299" w:rsidRDefault="00E42A9B" w:rsidP="00E42A9B">
      <w:pPr>
        <w:suppressAutoHyphens w:val="0"/>
        <w:autoSpaceDN/>
        <w:spacing w:after="120" w:line="259" w:lineRule="auto"/>
        <w:ind w:firstLine="0"/>
        <w:textAlignment w:val="auto"/>
        <w:rPr>
          <w:rFonts w:ascii="Calibri" w:eastAsia="Times New Roman" w:hAnsi="Calibri" w:cs="Calibri"/>
          <w:b/>
          <w:bCs/>
          <w:color w:val="36908E"/>
          <w:kern w:val="0"/>
          <w:sz w:val="28"/>
          <w:szCs w:val="28"/>
          <w:lang w:eastAsia="de-DE"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29088" behindDoc="1" locked="0" layoutInCell="1" allowOverlap="1" wp14:anchorId="37BD453A" wp14:editId="2E28058A">
                <wp:simplePos x="0" y="0"/>
                <wp:positionH relativeFrom="column">
                  <wp:posOffset>-539750</wp:posOffset>
                </wp:positionH>
                <wp:positionV relativeFrom="paragraph">
                  <wp:posOffset>150495</wp:posOffset>
                </wp:positionV>
                <wp:extent cx="14269720" cy="548640"/>
                <wp:effectExtent l="0" t="0" r="17780" b="22860"/>
                <wp:wrapNone/>
                <wp:docPr id="1018" name="Rounded Rectangle 154"/>
                <wp:cNvGraphicFramePr/>
                <a:graphic xmlns:a="http://schemas.openxmlformats.org/drawingml/2006/main">
                  <a:graphicData uri="http://schemas.microsoft.com/office/word/2010/wordprocessingShape">
                    <wps:wsp>
                      <wps:cNvSpPr/>
                      <wps:spPr>
                        <a:xfrm>
                          <a:off x="0" y="0"/>
                          <a:ext cx="14269720" cy="548640"/>
                        </a:xfrm>
                        <a:prstGeom prst="roundRect">
                          <a:avLst/>
                        </a:prstGeom>
                        <a:solidFill>
                          <a:schemeClr val="bg2"/>
                        </a:solidFill>
                        <a:ln w="12700" cap="flat" cmpd="sng" algn="ctr">
                          <a:solidFill>
                            <a:schemeClr val="bg2"/>
                          </a:solidFill>
                          <a:prstDash val="solid"/>
                          <a:miter lim="800000"/>
                        </a:ln>
                        <a:effectLst/>
                      </wps:spPr>
                      <wps:txbx>
                        <w:txbxContent>
                          <w:p w14:paraId="6364689B" w14:textId="1C066C8A" w:rsidR="00876FFE" w:rsidRPr="00904B8B" w:rsidRDefault="00876FFE" w:rsidP="00904B8B">
                            <w:pPr>
                              <w:spacing w:before="0"/>
                              <w:jc w:val="center"/>
                              <w:rPr>
                                <w:rFonts w:asciiTheme="minorHAnsi" w:hAnsiTheme="minorHAnsi" w:cstheme="minorHAnsi"/>
                                <w:b/>
                                <w:sz w:val="48"/>
                                <w:szCs w:val="48"/>
                              </w:rPr>
                            </w:pPr>
                            <w:r w:rsidRPr="00904B8B">
                              <w:rPr>
                                <w:rFonts w:asciiTheme="minorHAnsi" w:hAnsiTheme="minorHAnsi" w:cstheme="minorHAnsi"/>
                                <w:b/>
                                <w:sz w:val="48"/>
                                <w:szCs w:val="48"/>
                              </w:rPr>
                              <w:t>НЕ</w:t>
                            </w:r>
                            <w:r>
                              <w:rPr>
                                <w:rFonts w:asciiTheme="minorHAnsi" w:hAnsiTheme="minorHAnsi" w:cstheme="minorHAnsi"/>
                                <w:b/>
                                <w:sz w:val="48"/>
                                <w:szCs w:val="48"/>
                              </w:rPr>
                              <w:t>ОДГОВАРАЈУЋИ</w:t>
                            </w:r>
                            <w:r w:rsidRPr="00904B8B">
                              <w:rPr>
                                <w:rFonts w:asciiTheme="minorHAnsi" w:hAnsiTheme="minorHAnsi" w:cstheme="minorHAnsi"/>
                                <w:b/>
                                <w:sz w:val="48"/>
                                <w:szCs w:val="48"/>
                              </w:rPr>
                              <w:t xml:space="preserve"> КВАЛИТЕТ ЈАВНИХ ПОЛИТИКА И ПРОПИСА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BD453A" id="Rounded Rectangle 154" o:spid="_x0000_s1054" style="position:absolute;left:0;text-align:left;margin-left:-42.5pt;margin-top:11.85pt;width:1123.6pt;height:43.2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" fillcolor="#e7e6e6 [3214]" strokecolor="#e7e6e6 [3214]" strokeweight="1pt">
                <v:stroke joinstyle="miter"/>
                <v:textbox>
                  <w:txbxContent>
                    <w:p w14:paraId="6364689B" w14:textId="1C066C8A" w:rsidR="00876FFE" w:rsidRPr="00904B8B" w:rsidRDefault="00876FFE" w:rsidP="00904B8B">
                      <w:pPr>
                        <w:spacing w:before="0"/>
                        <w:jc w:val="center"/>
                        <w:rPr>
                          <w:rFonts w:asciiTheme="minorHAnsi" w:hAnsiTheme="minorHAnsi" w:cstheme="minorHAnsi"/>
                          <w:b/>
                          <w:sz w:val="48"/>
                          <w:szCs w:val="48"/>
                        </w:rPr>
                      </w:pPr>
                      <w:r w:rsidRPr="00904B8B">
                        <w:rPr>
                          <w:rFonts w:asciiTheme="minorHAnsi" w:hAnsiTheme="minorHAnsi" w:cstheme="minorHAnsi"/>
                          <w:b/>
                          <w:sz w:val="48"/>
                          <w:szCs w:val="48"/>
                        </w:rPr>
                        <w:t>НЕ</w:t>
                      </w:r>
                      <w:r>
                        <w:rPr>
                          <w:rFonts w:asciiTheme="minorHAnsi" w:hAnsiTheme="minorHAnsi" w:cstheme="minorHAnsi"/>
                          <w:b/>
                          <w:sz w:val="48"/>
                          <w:szCs w:val="48"/>
                        </w:rPr>
                        <w:t>ОДГОВАРАЈУЋИ</w:t>
                      </w:r>
                      <w:r w:rsidRPr="00904B8B">
                        <w:rPr>
                          <w:rFonts w:asciiTheme="minorHAnsi" w:hAnsiTheme="minorHAnsi" w:cstheme="minorHAnsi"/>
                          <w:b/>
                          <w:sz w:val="48"/>
                          <w:szCs w:val="48"/>
                        </w:rPr>
                        <w:t xml:space="preserve"> </w:t>
                      </w:r>
                      <w:r w:rsidRPr="00904B8B">
                        <w:rPr>
                          <w:rFonts w:asciiTheme="minorHAnsi" w:hAnsiTheme="minorHAnsi" w:cstheme="minorHAnsi"/>
                          <w:b/>
                          <w:sz w:val="48"/>
                          <w:szCs w:val="48"/>
                        </w:rPr>
                        <w:t>КВАЛИТЕТ ЈАВНИХ ПОЛИТИКА И ПРОПИСА</w:t>
                      </w:r>
                    </w:p>
                  </w:txbxContent>
                </v:textbox>
              </v:roundrect>
            </w:pict>
          </mc:Fallback>
        </mc:AlternateContent>
      </w:r>
    </w:p>
    <w:p w14:paraId="54F0B81A" w14:textId="77777777" w:rsidR="00E42A9B" w:rsidRPr="000F0299" w:rsidRDefault="00E42A9B"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p>
    <w:p w14:paraId="31D39EA1" w14:textId="1353A065" w:rsidR="00E42A9B" w:rsidRPr="000F0299" w:rsidRDefault="00904B8B"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70720" behindDoc="0" locked="0" layoutInCell="1" allowOverlap="1" wp14:anchorId="573DC3E6" wp14:editId="50693FA5">
                <wp:simplePos x="0" y="0"/>
                <wp:positionH relativeFrom="column">
                  <wp:posOffset>9129183</wp:posOffset>
                </wp:positionH>
                <wp:positionV relativeFrom="paragraph">
                  <wp:posOffset>408093</wp:posOffset>
                </wp:positionV>
                <wp:extent cx="4601845" cy="596900"/>
                <wp:effectExtent l="19050" t="19050" r="27305" b="12700"/>
                <wp:wrapNone/>
                <wp:docPr id="1021" name="Text Box 1021"/>
                <wp:cNvGraphicFramePr/>
                <a:graphic xmlns:a="http://schemas.openxmlformats.org/drawingml/2006/main">
                  <a:graphicData uri="http://schemas.microsoft.com/office/word/2010/wordprocessingShape">
                    <wps:wsp>
                      <wps:cNvSpPr txBox="1"/>
                      <wps:spPr>
                        <a:xfrm>
                          <a:off x="0" y="0"/>
                          <a:ext cx="4601845" cy="596900"/>
                        </a:xfrm>
                        <a:prstGeom prst="roundRect">
                          <a:avLst/>
                        </a:prstGeom>
                        <a:solidFill>
                          <a:sysClr val="window" lastClr="FFFFFF"/>
                        </a:solidFill>
                        <a:ln w="28575" cap="flat" cmpd="dbl" algn="ctr">
                          <a:solidFill>
                            <a:schemeClr val="bg1">
                              <a:lumMod val="85000"/>
                            </a:schemeClr>
                          </a:solidFill>
                          <a:prstDash val="solid"/>
                          <a:miter lim="800000"/>
                        </a:ln>
                        <a:effectLst/>
                      </wps:spPr>
                      <wps:txbx>
                        <w:txbxContent>
                          <w:p w14:paraId="595BDD60" w14:textId="77777777" w:rsidR="00876FFE" w:rsidRPr="00EB1385" w:rsidRDefault="00876FFE" w:rsidP="00EB1385">
                            <w:pPr>
                              <w:spacing w:before="0"/>
                              <w:jc w:val="center"/>
                              <w:rPr>
                                <w:rFonts w:asciiTheme="minorHAnsi" w:hAnsiTheme="minorHAnsi" w:cstheme="minorHAnsi"/>
                              </w:rPr>
                            </w:pPr>
                            <w:r w:rsidRPr="00EB1385">
                              <w:rPr>
                                <w:rFonts w:asciiTheme="minorHAnsi" w:hAnsiTheme="minorHAnsi" w:cstheme="minorHAnsi"/>
                              </w:rPr>
                              <w:t xml:space="preserve">Недовољно </w:t>
                            </w:r>
                            <w:r w:rsidRPr="00251E0D">
                              <w:rPr>
                                <w:rFonts w:asciiTheme="minorHAnsi" w:hAnsiTheme="minorHAnsi" w:cstheme="minorHAnsi"/>
                                <w:b/>
                              </w:rPr>
                              <w:t>учешће јавности</w:t>
                            </w:r>
                            <w:r w:rsidRPr="00EB1385">
                              <w:rPr>
                                <w:rFonts w:asciiTheme="minorHAnsi" w:hAnsiTheme="minorHAnsi" w:cstheme="minorHAnsi"/>
                              </w:rPr>
                              <w:t xml:space="preserve"> у креирању циљева и праћењу постигнутих ефеката јавних политика и прописа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3DC3E6" id="Text Box 1021" o:spid="_x0000_s1055" style="position:absolute;left:0;text-align:left;margin-left:718.85pt;margin-top:32.15pt;width:362.35pt;height:47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" fillcolor="window" strokecolor="#d8d8d8 [2732]" strokeweight="2.25pt">
                <v:stroke linestyle="thinThin" joinstyle="miter"/>
                <v:textbox inset="0,0,0,0">
                  <w:txbxContent>
                    <w:p w14:paraId="595BDD60" w14:textId="77777777" w:rsidR="00876FFE" w:rsidRPr="00EB1385" w:rsidRDefault="00876FFE" w:rsidP="00EB1385">
                      <w:pPr>
                        <w:spacing w:before="0"/>
                        <w:jc w:val="center"/>
                        <w:rPr>
                          <w:rFonts w:asciiTheme="minorHAnsi" w:hAnsiTheme="minorHAnsi" w:cstheme="minorHAnsi"/>
                        </w:rPr>
                      </w:pPr>
                      <w:r w:rsidRPr="00EB1385">
                        <w:rPr>
                          <w:rFonts w:asciiTheme="minorHAnsi" w:hAnsiTheme="minorHAnsi" w:cstheme="minorHAnsi"/>
                        </w:rPr>
                        <w:t xml:space="preserve">Недовољно </w:t>
                      </w:r>
                      <w:r w:rsidRPr="00251E0D">
                        <w:rPr>
                          <w:rFonts w:asciiTheme="minorHAnsi" w:hAnsiTheme="minorHAnsi" w:cstheme="minorHAnsi"/>
                          <w:b/>
                        </w:rPr>
                        <w:t>учешће јавности</w:t>
                      </w:r>
                      <w:r w:rsidRPr="00EB1385">
                        <w:rPr>
                          <w:rFonts w:asciiTheme="minorHAnsi" w:hAnsiTheme="minorHAnsi" w:cstheme="minorHAnsi"/>
                        </w:rPr>
                        <w:t xml:space="preserve"> у креирању циљева и праћењу постигнутих ефеката јавних политика и прописа</w:t>
                      </w:r>
                    </w:p>
                  </w:txbxContent>
                </v:textbox>
              </v:roundrect>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68672" behindDoc="0" locked="0" layoutInCell="1" allowOverlap="1" wp14:anchorId="483A2E2D" wp14:editId="70BB85D7">
                <wp:simplePos x="0" y="0"/>
                <wp:positionH relativeFrom="column">
                  <wp:posOffset>-490220</wp:posOffset>
                </wp:positionH>
                <wp:positionV relativeFrom="paragraph">
                  <wp:posOffset>404495</wp:posOffset>
                </wp:positionV>
                <wp:extent cx="4601845" cy="596900"/>
                <wp:effectExtent l="19050" t="19050" r="27305" b="12700"/>
                <wp:wrapNone/>
                <wp:docPr id="1020" name="Text Box 1020"/>
                <wp:cNvGraphicFramePr/>
                <a:graphic xmlns:a="http://schemas.openxmlformats.org/drawingml/2006/main">
                  <a:graphicData uri="http://schemas.microsoft.com/office/word/2010/wordprocessingShape">
                    <wps:wsp>
                      <wps:cNvSpPr txBox="1"/>
                      <wps:spPr>
                        <a:xfrm>
                          <a:off x="0" y="0"/>
                          <a:ext cx="4601845" cy="596900"/>
                        </a:xfrm>
                        <a:prstGeom prst="roundRect">
                          <a:avLst/>
                        </a:prstGeom>
                        <a:solidFill>
                          <a:sysClr val="window" lastClr="FFFFFF"/>
                        </a:solidFill>
                        <a:ln w="28575" cap="flat" cmpd="dbl" algn="ctr">
                          <a:solidFill>
                            <a:schemeClr val="bg1">
                              <a:lumMod val="85000"/>
                            </a:schemeClr>
                          </a:solidFill>
                          <a:prstDash val="solid"/>
                          <a:miter lim="800000"/>
                        </a:ln>
                        <a:effectLst/>
                      </wps:spPr>
                      <wps:txbx>
                        <w:txbxContent>
                          <w:p w14:paraId="17920F26" w14:textId="77777777" w:rsidR="00876FFE" w:rsidRPr="00EB1385" w:rsidRDefault="00876FFE" w:rsidP="00EB1385">
                            <w:pPr>
                              <w:spacing w:before="0"/>
                              <w:jc w:val="center"/>
                              <w:rPr>
                                <w:rFonts w:asciiTheme="minorHAnsi" w:hAnsiTheme="minorHAnsi" w:cstheme="minorHAnsi"/>
                              </w:rPr>
                            </w:pPr>
                            <w:r w:rsidRPr="00EB1385">
                              <w:rPr>
                                <w:rFonts w:asciiTheme="minorHAnsi" w:hAnsiTheme="minorHAnsi" w:cstheme="minorHAnsi"/>
                              </w:rPr>
                              <w:t xml:space="preserve">Ограничени </w:t>
                            </w:r>
                            <w:r w:rsidRPr="00251E0D">
                              <w:rPr>
                                <w:rFonts w:asciiTheme="minorHAnsi" w:hAnsiTheme="minorHAnsi" w:cstheme="minorHAnsi"/>
                                <w:b/>
                              </w:rPr>
                              <w:t>капацитети и алати</w:t>
                            </w:r>
                            <w:r w:rsidRPr="00EB1385">
                              <w:rPr>
                                <w:rFonts w:asciiTheme="minorHAnsi" w:hAnsiTheme="minorHAnsi" w:cstheme="minorHAnsi"/>
                              </w:rPr>
                              <w:t xml:space="preserve"> ЈУ за квалитетно креирање и праћење јавних политика и прописа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3A2E2D" id="Text Box 1020" o:spid="_x0000_s1056" style="position:absolute;left:0;text-align:left;margin-left:-38.6pt;margin-top:31.85pt;width:362.35pt;height:47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" fillcolor="window" strokecolor="#d8d8d8 [2732]" strokeweight="2.25pt">
                <v:stroke linestyle="thinThin" joinstyle="miter"/>
                <v:textbox inset="0,0,0,0">
                  <w:txbxContent>
                    <w:p w14:paraId="17920F26" w14:textId="77777777" w:rsidR="00876FFE" w:rsidRPr="00EB1385" w:rsidRDefault="00876FFE" w:rsidP="00EB1385">
                      <w:pPr>
                        <w:spacing w:before="0"/>
                        <w:jc w:val="center"/>
                        <w:rPr>
                          <w:rFonts w:asciiTheme="minorHAnsi" w:hAnsiTheme="minorHAnsi" w:cstheme="minorHAnsi"/>
                        </w:rPr>
                      </w:pPr>
                      <w:r w:rsidRPr="00EB1385">
                        <w:rPr>
                          <w:rFonts w:asciiTheme="minorHAnsi" w:hAnsiTheme="minorHAnsi" w:cstheme="minorHAnsi"/>
                        </w:rPr>
                        <w:t xml:space="preserve">Ограничени </w:t>
                      </w:r>
                      <w:r w:rsidRPr="00251E0D">
                        <w:rPr>
                          <w:rFonts w:asciiTheme="minorHAnsi" w:hAnsiTheme="minorHAnsi" w:cstheme="minorHAnsi"/>
                          <w:b/>
                        </w:rPr>
                        <w:t>капацитети и алати</w:t>
                      </w:r>
                      <w:r w:rsidRPr="00EB1385">
                        <w:rPr>
                          <w:rFonts w:asciiTheme="minorHAnsi" w:hAnsiTheme="minorHAnsi" w:cstheme="minorHAnsi"/>
                        </w:rPr>
                        <w:t xml:space="preserve"> ЈУ за квалитетно креирање и праћење јавних политика и прописа</w:t>
                      </w:r>
                    </w:p>
                  </w:txbxContent>
                </v:textbox>
              </v:roundrect>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89152" behindDoc="0" locked="0" layoutInCell="1" allowOverlap="1" wp14:anchorId="62542331" wp14:editId="650A6E55">
                <wp:simplePos x="0" y="0"/>
                <wp:positionH relativeFrom="column">
                  <wp:posOffset>1817370</wp:posOffset>
                </wp:positionH>
                <wp:positionV relativeFrom="paragraph">
                  <wp:posOffset>93980</wp:posOffset>
                </wp:positionV>
                <wp:extent cx="0" cy="302260"/>
                <wp:effectExtent l="76200" t="38100" r="57150" b="21590"/>
                <wp:wrapNone/>
                <wp:docPr id="43" name="Straight Arrow Connector 43"/>
                <wp:cNvGraphicFramePr/>
                <a:graphic xmlns:a="http://schemas.openxmlformats.org/drawingml/2006/main">
                  <a:graphicData uri="http://schemas.microsoft.com/office/word/2010/wordprocessingShape">
                    <wps:wsp>
                      <wps:cNvCnPr/>
                      <wps:spPr>
                        <a:xfrm flipV="1">
                          <a:off x="0" y="0"/>
                          <a:ext cx="0" cy="30226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4F91CF" id="Straight Arrow Connector 43" o:spid="_x0000_s1026" type="#_x0000_t32" style="position:absolute;margin-left:143.1pt;margin-top:7.4pt;width:0;height:23.8pt;flip: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" strokecolor="#d8d8d8 [2732]" strokeweight="1.5pt">
                <v:stroke endarrow="block" joinstyle="miter"/>
              </v:shap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90176" behindDoc="0" locked="0" layoutInCell="1" allowOverlap="1" wp14:anchorId="5E7CC686" wp14:editId="5C379C00">
                <wp:simplePos x="0" y="0"/>
                <wp:positionH relativeFrom="column">
                  <wp:posOffset>6629400</wp:posOffset>
                </wp:positionH>
                <wp:positionV relativeFrom="paragraph">
                  <wp:posOffset>93980</wp:posOffset>
                </wp:positionV>
                <wp:extent cx="0" cy="302260"/>
                <wp:effectExtent l="76200" t="38100" r="57150" b="21590"/>
                <wp:wrapNone/>
                <wp:docPr id="44" name="Straight Arrow Connector 44"/>
                <wp:cNvGraphicFramePr/>
                <a:graphic xmlns:a="http://schemas.openxmlformats.org/drawingml/2006/main">
                  <a:graphicData uri="http://schemas.microsoft.com/office/word/2010/wordprocessingShape">
                    <wps:wsp>
                      <wps:cNvCnPr/>
                      <wps:spPr>
                        <a:xfrm flipV="1">
                          <a:off x="0" y="0"/>
                          <a:ext cx="0" cy="30226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F79C2A" id="Straight Arrow Connector 44" o:spid="_x0000_s1026" type="#_x0000_t32" style="position:absolute;margin-left:522pt;margin-top:7.4pt;width:0;height:23.8pt;flip:y;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" strokecolor="#d8d8d8 [2732]" strokeweight="1.5pt">
                <v:stroke endarrow="block" joinstyle="miter"/>
              </v:shap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91200" behindDoc="0" locked="0" layoutInCell="1" allowOverlap="1" wp14:anchorId="1F756689" wp14:editId="5C68A622">
                <wp:simplePos x="0" y="0"/>
                <wp:positionH relativeFrom="column">
                  <wp:posOffset>11430000</wp:posOffset>
                </wp:positionH>
                <wp:positionV relativeFrom="paragraph">
                  <wp:posOffset>93980</wp:posOffset>
                </wp:positionV>
                <wp:extent cx="0" cy="302260"/>
                <wp:effectExtent l="76200" t="38100" r="57150" b="21590"/>
                <wp:wrapNone/>
                <wp:docPr id="45" name="Straight Arrow Connector 45"/>
                <wp:cNvGraphicFramePr/>
                <a:graphic xmlns:a="http://schemas.openxmlformats.org/drawingml/2006/main">
                  <a:graphicData uri="http://schemas.microsoft.com/office/word/2010/wordprocessingShape">
                    <wps:wsp>
                      <wps:cNvCnPr/>
                      <wps:spPr>
                        <a:xfrm flipV="1">
                          <a:off x="0" y="0"/>
                          <a:ext cx="0" cy="30226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0C16B6" id="Straight Arrow Connector 45" o:spid="_x0000_s1026" type="#_x0000_t32" style="position:absolute;margin-left:900pt;margin-top:7.4pt;width:0;height:23.8pt;flip:y;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" strokecolor="#d8d8d8 [2732]" strokeweight="1.5pt">
                <v:stroke endarrow="block" joinstyle="miter"/>
              </v:shape>
            </w:pict>
          </mc:Fallback>
        </mc:AlternateContent>
      </w:r>
    </w:p>
    <w:p w14:paraId="1E795085" w14:textId="2ADC9175" w:rsidR="00E42A9B" w:rsidRPr="000F0299" w:rsidRDefault="00E42A9B"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69696" behindDoc="0" locked="0" layoutInCell="1" allowOverlap="1" wp14:anchorId="639B7FBA" wp14:editId="35BA430A">
                <wp:simplePos x="0" y="0"/>
                <wp:positionH relativeFrom="column">
                  <wp:posOffset>4320117</wp:posOffset>
                </wp:positionH>
                <wp:positionV relativeFrom="paragraph">
                  <wp:posOffset>97578</wp:posOffset>
                </wp:positionV>
                <wp:extent cx="4601845" cy="596900"/>
                <wp:effectExtent l="19050" t="19050" r="27305" b="12700"/>
                <wp:wrapNone/>
                <wp:docPr id="1019" name="Text Box 1019"/>
                <wp:cNvGraphicFramePr/>
                <a:graphic xmlns:a="http://schemas.openxmlformats.org/drawingml/2006/main">
                  <a:graphicData uri="http://schemas.microsoft.com/office/word/2010/wordprocessingShape">
                    <wps:wsp>
                      <wps:cNvSpPr txBox="1"/>
                      <wps:spPr>
                        <a:xfrm>
                          <a:off x="0" y="0"/>
                          <a:ext cx="4601845" cy="596900"/>
                        </a:xfrm>
                        <a:prstGeom prst="roundRect">
                          <a:avLst/>
                        </a:prstGeom>
                        <a:solidFill>
                          <a:sysClr val="window" lastClr="FFFFFF"/>
                        </a:solidFill>
                        <a:ln w="28575" cap="flat" cmpd="dbl" algn="ctr">
                          <a:solidFill>
                            <a:schemeClr val="bg1">
                              <a:lumMod val="85000"/>
                            </a:schemeClr>
                          </a:solidFill>
                          <a:prstDash val="solid"/>
                          <a:miter lim="800000"/>
                        </a:ln>
                        <a:effectLst/>
                      </wps:spPr>
                      <wps:txbx>
                        <w:txbxContent>
                          <w:p w14:paraId="1E0DEEE2" w14:textId="77777777" w:rsidR="00876FFE" w:rsidRPr="00EB1385" w:rsidRDefault="00876FFE" w:rsidP="00EB1385">
                            <w:pPr>
                              <w:spacing w:before="0"/>
                              <w:jc w:val="center"/>
                              <w:rPr>
                                <w:rFonts w:asciiTheme="minorHAnsi" w:hAnsiTheme="minorHAnsi" w:cstheme="minorHAnsi"/>
                              </w:rPr>
                            </w:pPr>
                            <w:r w:rsidRPr="00EB1385">
                              <w:rPr>
                                <w:rFonts w:asciiTheme="minorHAnsi" w:hAnsiTheme="minorHAnsi" w:cstheme="minorHAnsi"/>
                              </w:rPr>
                              <w:t xml:space="preserve">Недовољно </w:t>
                            </w:r>
                            <w:r w:rsidRPr="00251E0D">
                              <w:rPr>
                                <w:rFonts w:asciiTheme="minorHAnsi" w:hAnsiTheme="minorHAnsi" w:cstheme="minorHAnsi"/>
                                <w:b/>
                              </w:rPr>
                              <w:t>ефективна координација</w:t>
                            </w:r>
                            <w:r w:rsidRPr="00EB1385">
                              <w:rPr>
                                <w:rFonts w:asciiTheme="minorHAnsi" w:hAnsiTheme="minorHAnsi" w:cstheme="minorHAnsi"/>
                              </w:rPr>
                              <w:t xml:space="preserve"> јавних политика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9B7FBA" id="Text Box 1019" o:spid="_x0000_s1057" style="position:absolute;left:0;text-align:left;margin-left:340.15pt;margin-top:7.7pt;width:362.35pt;height:47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" fillcolor="window" strokecolor="#d8d8d8 [2732]" strokeweight="2.25pt">
                <v:stroke linestyle="thinThin" joinstyle="miter"/>
                <v:textbox inset="0,0,0,0">
                  <w:txbxContent>
                    <w:p w14:paraId="1E0DEEE2" w14:textId="77777777" w:rsidR="00876FFE" w:rsidRPr="00EB1385" w:rsidRDefault="00876FFE" w:rsidP="00EB1385">
                      <w:pPr>
                        <w:spacing w:before="0"/>
                        <w:jc w:val="center"/>
                        <w:rPr>
                          <w:rFonts w:asciiTheme="minorHAnsi" w:hAnsiTheme="minorHAnsi" w:cstheme="minorHAnsi"/>
                        </w:rPr>
                      </w:pPr>
                      <w:r w:rsidRPr="00EB1385">
                        <w:rPr>
                          <w:rFonts w:asciiTheme="minorHAnsi" w:hAnsiTheme="minorHAnsi" w:cstheme="minorHAnsi"/>
                        </w:rPr>
                        <w:t xml:space="preserve">Недовољно </w:t>
                      </w:r>
                      <w:r w:rsidRPr="00251E0D">
                        <w:rPr>
                          <w:rFonts w:asciiTheme="minorHAnsi" w:hAnsiTheme="minorHAnsi" w:cstheme="minorHAnsi"/>
                          <w:b/>
                        </w:rPr>
                        <w:t>ефективна координација</w:t>
                      </w:r>
                      <w:r w:rsidRPr="00EB1385">
                        <w:rPr>
                          <w:rFonts w:asciiTheme="minorHAnsi" w:hAnsiTheme="minorHAnsi" w:cstheme="minorHAnsi"/>
                        </w:rPr>
                        <w:t xml:space="preserve"> јавних политика</w:t>
                      </w:r>
                    </w:p>
                  </w:txbxContent>
                </v:textbox>
              </v:roundrect>
            </w:pict>
          </mc:Fallback>
        </mc:AlternateContent>
      </w:r>
    </w:p>
    <w:p w14:paraId="2F12C37A" w14:textId="77777777" w:rsidR="00E42A9B" w:rsidRPr="000F0299" w:rsidRDefault="00E42A9B"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p>
    <w:p w14:paraId="7DE1EBE5" w14:textId="3416080E" w:rsidR="00E42A9B" w:rsidRPr="000F0299" w:rsidRDefault="003C4A0D"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02464" behindDoc="0" locked="0" layoutInCell="1" allowOverlap="1" wp14:anchorId="71D54AD7" wp14:editId="45AAA48F">
                <wp:simplePos x="0" y="0"/>
                <wp:positionH relativeFrom="column">
                  <wp:posOffset>12683067</wp:posOffset>
                </wp:positionH>
                <wp:positionV relativeFrom="paragraph">
                  <wp:posOffset>62865</wp:posOffset>
                </wp:positionV>
                <wp:extent cx="0" cy="252000"/>
                <wp:effectExtent l="76200" t="38100" r="57150" b="15240"/>
                <wp:wrapNone/>
                <wp:docPr id="62" name="Straight Arrow Connector 62"/>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157429" id="Straight Arrow Connector 62" o:spid="_x0000_s1026" type="#_x0000_t32" style="position:absolute;margin-left:998.65pt;margin-top:4.95pt;width:0;height:19.85pt;flip:y;z-index:25190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" strokecolor="#d8d8d8 [2732]" strokeweight="1.5pt">
                <v:stroke endarrow="block" joinstyle="miter"/>
              </v:shap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01440" behindDoc="0" locked="0" layoutInCell="1" allowOverlap="1" wp14:anchorId="3D0D6ED1" wp14:editId="3E77D831">
                <wp:simplePos x="0" y="0"/>
                <wp:positionH relativeFrom="column">
                  <wp:posOffset>10328910</wp:posOffset>
                </wp:positionH>
                <wp:positionV relativeFrom="paragraph">
                  <wp:posOffset>62865</wp:posOffset>
                </wp:positionV>
                <wp:extent cx="0" cy="251460"/>
                <wp:effectExtent l="76200" t="38100" r="57150" b="15240"/>
                <wp:wrapNone/>
                <wp:docPr id="61" name="Straight Arrow Connector 61"/>
                <wp:cNvGraphicFramePr/>
                <a:graphic xmlns:a="http://schemas.openxmlformats.org/drawingml/2006/main">
                  <a:graphicData uri="http://schemas.microsoft.com/office/word/2010/wordprocessingShape">
                    <wps:wsp>
                      <wps:cNvCnPr/>
                      <wps:spPr>
                        <a:xfrm flipV="1">
                          <a:off x="0" y="0"/>
                          <a:ext cx="0" cy="25146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BC69E" id="Straight Arrow Connector 61" o:spid="_x0000_s1026" type="#_x0000_t32" style="position:absolute;margin-left:813.3pt;margin-top:4.95pt;width:0;height:19.8pt;flip:y;z-index:25190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" strokecolor="#d8d8d8 [2732]" strokeweight="1.5pt">
                <v:stroke endarrow="block" joinstyle="miter"/>
              </v:shape>
            </w:pict>
          </mc:Fallback>
        </mc:AlternateContent>
      </w:r>
      <w:r w:rsidR="00F679C7"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00416" behindDoc="0" locked="0" layoutInCell="1" allowOverlap="1" wp14:anchorId="400ABB1E" wp14:editId="16ADAC44">
                <wp:simplePos x="0" y="0"/>
                <wp:positionH relativeFrom="column">
                  <wp:posOffset>8204200</wp:posOffset>
                </wp:positionH>
                <wp:positionV relativeFrom="paragraph">
                  <wp:posOffset>96520</wp:posOffset>
                </wp:positionV>
                <wp:extent cx="0" cy="252000"/>
                <wp:effectExtent l="76200" t="38100" r="57150" b="15240"/>
                <wp:wrapNone/>
                <wp:docPr id="60" name="Straight Arrow Connector 60"/>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7AB938" id="Straight Arrow Connector 60" o:spid="_x0000_s1026" type="#_x0000_t32" style="position:absolute;margin-left:646pt;margin-top:7.6pt;width:0;height:19.85pt;flip:y;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" strokecolor="#d8d8d8 [2732]" strokeweight="1.5pt">
                <v:stroke endarrow="block" joinstyle="miter"/>
              </v:shape>
            </w:pict>
          </mc:Fallback>
        </mc:AlternateContent>
      </w:r>
      <w:r w:rsidR="00F679C7"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99392" behindDoc="0" locked="0" layoutInCell="1" allowOverlap="1" wp14:anchorId="305DDFBE" wp14:editId="1FB665BA">
                <wp:simplePos x="0" y="0"/>
                <wp:positionH relativeFrom="page">
                  <wp:align>center</wp:align>
                </wp:positionH>
                <wp:positionV relativeFrom="paragraph">
                  <wp:posOffset>96520</wp:posOffset>
                </wp:positionV>
                <wp:extent cx="0" cy="252000"/>
                <wp:effectExtent l="76200" t="38100" r="57150" b="15240"/>
                <wp:wrapNone/>
                <wp:docPr id="59" name="Straight Arrow Connector 59"/>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BA0E6B" id="Straight Arrow Connector 59" o:spid="_x0000_s1026" type="#_x0000_t32" style="position:absolute;margin-left:0;margin-top:7.6pt;width:0;height:19.85pt;flip:y;z-index:25189939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" strokecolor="#d8d8d8 [2732]" strokeweight="1.5pt">
                <v:stroke endarrow="block" joinstyle="miter"/>
                <w10:wrap anchorx="page"/>
              </v:shape>
            </w:pict>
          </mc:Fallback>
        </mc:AlternateContent>
      </w:r>
      <w:r w:rsidR="00F679C7"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98368" behindDoc="0" locked="0" layoutInCell="1" allowOverlap="1" wp14:anchorId="155954F4" wp14:editId="33694CD0">
                <wp:simplePos x="0" y="0"/>
                <wp:positionH relativeFrom="column">
                  <wp:posOffset>5105400</wp:posOffset>
                </wp:positionH>
                <wp:positionV relativeFrom="paragraph">
                  <wp:posOffset>96520</wp:posOffset>
                </wp:positionV>
                <wp:extent cx="0" cy="252000"/>
                <wp:effectExtent l="76200" t="38100" r="57150" b="15240"/>
                <wp:wrapNone/>
                <wp:docPr id="58" name="Straight Arrow Connector 58"/>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44737E" id="Straight Arrow Connector 58" o:spid="_x0000_s1026" type="#_x0000_t32" style="position:absolute;margin-left:402pt;margin-top:7.6pt;width:0;height:19.85pt;flip:y;z-index:25189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" strokecolor="#d8d8d8 [2732]" strokeweight="1.5pt">
                <v:stroke endarrow="block" joinstyle="miter"/>
              </v:shape>
            </w:pict>
          </mc:Fallback>
        </mc:AlternateContent>
      </w:r>
      <w:r w:rsidR="00F679C7"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97344" behindDoc="0" locked="0" layoutInCell="1" allowOverlap="1" wp14:anchorId="5CAFBF68" wp14:editId="69B4A2E6">
                <wp:simplePos x="0" y="0"/>
                <wp:positionH relativeFrom="column">
                  <wp:posOffset>3496310</wp:posOffset>
                </wp:positionH>
                <wp:positionV relativeFrom="paragraph">
                  <wp:posOffset>46355</wp:posOffset>
                </wp:positionV>
                <wp:extent cx="0" cy="268605"/>
                <wp:effectExtent l="76200" t="38100" r="57150" b="17145"/>
                <wp:wrapNone/>
                <wp:docPr id="1024" name="Straight Arrow Connector 1024"/>
                <wp:cNvGraphicFramePr/>
                <a:graphic xmlns:a="http://schemas.openxmlformats.org/drawingml/2006/main">
                  <a:graphicData uri="http://schemas.microsoft.com/office/word/2010/wordprocessingShape">
                    <wps:wsp>
                      <wps:cNvCnPr/>
                      <wps:spPr>
                        <a:xfrm flipV="1">
                          <a:off x="0" y="0"/>
                          <a:ext cx="0" cy="268605"/>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76DD38" id="Straight Arrow Connector 1024" o:spid="_x0000_s1026" type="#_x0000_t32" style="position:absolute;margin-left:275.3pt;margin-top:3.65pt;width:0;height:21.15pt;flip:y;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" strokecolor="#d8d8d8 [2732]" strokeweight="1.5pt">
                <v:stroke endarrow="block" joinstyle="miter"/>
              </v:shape>
            </w:pict>
          </mc:Fallback>
        </mc:AlternateContent>
      </w:r>
      <w:r w:rsidR="00F679C7"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74816" behindDoc="0" locked="0" layoutInCell="1" allowOverlap="1" wp14:anchorId="1F298E8A" wp14:editId="51DA3B81">
                <wp:simplePos x="0" y="0"/>
                <wp:positionH relativeFrom="column">
                  <wp:posOffset>1136650</wp:posOffset>
                </wp:positionH>
                <wp:positionV relativeFrom="paragraph">
                  <wp:posOffset>306283</wp:posOffset>
                </wp:positionV>
                <wp:extent cx="1571625" cy="2114550"/>
                <wp:effectExtent l="19050" t="19050" r="28575" b="19050"/>
                <wp:wrapNone/>
                <wp:docPr id="1042" name="Text Box 1042"/>
                <wp:cNvGraphicFramePr/>
                <a:graphic xmlns:a="http://schemas.openxmlformats.org/drawingml/2006/main">
                  <a:graphicData uri="http://schemas.microsoft.com/office/word/2010/wordprocessingShape">
                    <wps:wsp>
                      <wps:cNvSpPr txBox="1"/>
                      <wps:spPr>
                        <a:xfrm>
                          <a:off x="0" y="0"/>
                          <a:ext cx="1571625" cy="2114550"/>
                        </a:xfrm>
                        <a:prstGeom prst="roundRect">
                          <a:avLst/>
                        </a:prstGeom>
                        <a:solidFill>
                          <a:sysClr val="window" lastClr="FFFFFF"/>
                        </a:solidFill>
                        <a:ln w="28575" cap="flat" cmpd="sng" algn="ctr">
                          <a:solidFill>
                            <a:schemeClr val="bg2"/>
                          </a:solidFill>
                          <a:prstDash val="solid"/>
                          <a:miter lim="800000"/>
                        </a:ln>
                        <a:effectLst/>
                      </wps:spPr>
                      <wps:txbx>
                        <w:txbxContent>
                          <w:p w14:paraId="260C6381" w14:textId="0AFFF8A1" w:rsidR="00876FFE" w:rsidRPr="008436CC" w:rsidRDefault="00876FFE" w:rsidP="00F679C7">
                            <w:pPr>
                              <w:spacing w:before="0" w:line="216" w:lineRule="auto"/>
                              <w:ind w:firstLine="0"/>
                              <w:jc w:val="center"/>
                              <w:rPr>
                                <w:rFonts w:asciiTheme="minorHAnsi" w:hAnsiTheme="minorHAnsi" w:cstheme="minorHAnsi"/>
                                <w:sz w:val="22"/>
                                <w:szCs w:val="22"/>
                              </w:rPr>
                            </w:pPr>
                            <w:r w:rsidRPr="008436CC">
                              <w:rPr>
                                <w:rFonts w:asciiTheme="minorHAnsi" w:hAnsiTheme="minorHAnsi" w:cstheme="minorHAnsi"/>
                                <w:sz w:val="22"/>
                                <w:szCs w:val="22"/>
                              </w:rPr>
                              <w:t>Превисока регулација и пречеста промена прописа и прекомерне компликације у прописима;  припрема прописа није заснована на подацима и чињеницама, кашњење у изради и доношењу подзаконских аката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298E8A" id="Text Box 1042" o:spid="_x0000_s1058" style="position:absolute;left:0;text-align:left;margin-left:89.5pt;margin-top:24.1pt;width:123.75pt;height:166.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" fillcolor="window" strokecolor="#e7e6e6 [3214]" strokeweight="2.25pt">
                <v:stroke joinstyle="miter"/>
                <v:textbox inset="0,0,0,0">
                  <w:txbxContent>
                    <w:p w14:paraId="260C6381" w14:textId="0AFFF8A1" w:rsidR="00876FFE" w:rsidRPr="008436CC" w:rsidRDefault="00876FFE" w:rsidP="00F679C7">
                      <w:pPr>
                        <w:spacing w:before="0" w:line="216" w:lineRule="auto"/>
                        <w:ind w:firstLine="0"/>
                        <w:jc w:val="center"/>
                        <w:rPr>
                          <w:rFonts w:asciiTheme="minorHAnsi" w:hAnsiTheme="minorHAnsi" w:cstheme="minorHAnsi"/>
                          <w:sz w:val="22"/>
                          <w:szCs w:val="22"/>
                        </w:rPr>
                      </w:pPr>
                      <w:r w:rsidRPr="008436CC">
                        <w:rPr>
                          <w:rFonts w:asciiTheme="minorHAnsi" w:hAnsiTheme="minorHAnsi" w:cstheme="minorHAnsi"/>
                          <w:sz w:val="22"/>
                          <w:szCs w:val="22"/>
                        </w:rPr>
                        <w:t xml:space="preserve">Превисока </w:t>
                      </w:r>
                      <w:r w:rsidRPr="008436CC">
                        <w:rPr>
                          <w:rFonts w:asciiTheme="minorHAnsi" w:hAnsiTheme="minorHAnsi" w:cstheme="minorHAnsi"/>
                          <w:sz w:val="22"/>
                          <w:szCs w:val="22"/>
                        </w:rPr>
                        <w:t>регулација и пречеста промена прописа и прекомерне компликације у прописима;  припрема прописа није заснована на подацима и чињеницама, кашњење у изради и доношењу подзаконских аката</w:t>
                      </w:r>
                    </w:p>
                  </w:txbxContent>
                </v:textbox>
              </v:roundrect>
            </w:pict>
          </mc:Fallback>
        </mc:AlternateContent>
      </w:r>
      <w:r w:rsidR="00F679C7"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96320" behindDoc="0" locked="0" layoutInCell="1" allowOverlap="1" wp14:anchorId="18EF6389" wp14:editId="3C29978F">
                <wp:simplePos x="0" y="0"/>
                <wp:positionH relativeFrom="column">
                  <wp:posOffset>1913467</wp:posOffset>
                </wp:positionH>
                <wp:positionV relativeFrom="paragraph">
                  <wp:posOffset>54398</wp:posOffset>
                </wp:positionV>
                <wp:extent cx="0" cy="252000"/>
                <wp:effectExtent l="76200" t="38100" r="57150" b="15240"/>
                <wp:wrapNone/>
                <wp:docPr id="56" name="Straight Arrow Connector 56"/>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613BE3" id="Straight Arrow Connector 56" o:spid="_x0000_s1026" type="#_x0000_t32" style="position:absolute;margin-left:150.65pt;margin-top:4.3pt;width:0;height:19.85pt;flip:y;z-index:25189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" strokecolor="#d8d8d8 [2732]" strokeweight="1.5pt">
                <v:stroke endarrow="block" joinstyle="miter"/>
              </v:shape>
            </w:pict>
          </mc:Fallback>
        </mc:AlternateContent>
      </w:r>
      <w:r w:rsidR="00EB1385"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85056" behindDoc="0" locked="0" layoutInCell="1" allowOverlap="1" wp14:anchorId="1318064F" wp14:editId="22A81EAB">
                <wp:simplePos x="0" y="0"/>
                <wp:positionH relativeFrom="column">
                  <wp:posOffset>-472017</wp:posOffset>
                </wp:positionH>
                <wp:positionV relativeFrom="paragraph">
                  <wp:posOffset>289348</wp:posOffset>
                </wp:positionV>
                <wp:extent cx="1505585" cy="1098550"/>
                <wp:effectExtent l="19050" t="19050" r="18415" b="25400"/>
                <wp:wrapNone/>
                <wp:docPr id="165" name="Text Box 165"/>
                <wp:cNvGraphicFramePr/>
                <a:graphic xmlns:a="http://schemas.openxmlformats.org/drawingml/2006/main">
                  <a:graphicData uri="http://schemas.microsoft.com/office/word/2010/wordprocessingShape">
                    <wps:wsp>
                      <wps:cNvSpPr txBox="1"/>
                      <wps:spPr>
                        <a:xfrm>
                          <a:off x="0" y="0"/>
                          <a:ext cx="1505585" cy="1098550"/>
                        </a:xfrm>
                        <a:prstGeom prst="roundRect">
                          <a:avLst/>
                        </a:prstGeom>
                        <a:solidFill>
                          <a:sysClr val="window" lastClr="FFFFFF"/>
                        </a:solidFill>
                        <a:ln w="28575" cap="flat" cmpd="sng" algn="ctr">
                          <a:solidFill>
                            <a:schemeClr val="bg2"/>
                          </a:solidFill>
                          <a:prstDash val="solid"/>
                          <a:miter lim="800000"/>
                        </a:ln>
                        <a:effectLst/>
                      </wps:spPr>
                      <wps:txbx>
                        <w:txbxContent>
                          <w:p w14:paraId="380E0E92" w14:textId="66F68FBD" w:rsidR="00876FFE" w:rsidRPr="008436CC" w:rsidRDefault="00876FFE" w:rsidP="00EB1385">
                            <w:pPr>
                              <w:spacing w:before="0" w:line="216" w:lineRule="auto"/>
                              <w:ind w:firstLine="0"/>
                              <w:jc w:val="center"/>
                              <w:rPr>
                                <w:rFonts w:asciiTheme="minorHAnsi" w:hAnsiTheme="minorHAnsi" w:cstheme="minorHAnsi"/>
                                <w:sz w:val="22"/>
                                <w:szCs w:val="22"/>
                              </w:rPr>
                            </w:pPr>
                            <w:r w:rsidRPr="008436CC">
                              <w:rPr>
                                <w:rFonts w:asciiTheme="minorHAnsi" w:hAnsiTheme="minorHAnsi" w:cstheme="minorHAnsi"/>
                                <w:sz w:val="22"/>
                                <w:szCs w:val="22"/>
                              </w:rPr>
                              <w:t>Неадекватно  прикупљање и коришћење података у процесу креирања ЈП и прописа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18064F" id="Text Box 165" o:spid="_x0000_s1059" style="position:absolute;left:0;text-align:left;margin-left:-37.15pt;margin-top:22.8pt;width:118.55pt;height:86.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" fillcolor="window" strokecolor="#e7e6e6 [3214]" strokeweight="2.25pt">
                <v:stroke joinstyle="miter"/>
                <v:textbox inset="0,0,0,0">
                  <w:txbxContent>
                    <w:p w14:paraId="380E0E92" w14:textId="66F68FBD" w:rsidR="00876FFE" w:rsidRPr="008436CC" w:rsidRDefault="00876FFE" w:rsidP="00EB1385">
                      <w:pPr>
                        <w:spacing w:before="0" w:line="216" w:lineRule="auto"/>
                        <w:ind w:firstLine="0"/>
                        <w:jc w:val="center"/>
                        <w:rPr>
                          <w:rFonts w:asciiTheme="minorHAnsi" w:hAnsiTheme="minorHAnsi" w:cstheme="minorHAnsi"/>
                          <w:sz w:val="22"/>
                          <w:szCs w:val="22"/>
                        </w:rPr>
                      </w:pPr>
                      <w:r w:rsidRPr="008436CC">
                        <w:rPr>
                          <w:rFonts w:asciiTheme="minorHAnsi" w:hAnsiTheme="minorHAnsi" w:cstheme="minorHAnsi"/>
                          <w:sz w:val="22"/>
                          <w:szCs w:val="22"/>
                        </w:rPr>
                        <w:t xml:space="preserve">Неадекватно  </w:t>
                      </w:r>
                      <w:r w:rsidRPr="008436CC">
                        <w:rPr>
                          <w:rFonts w:asciiTheme="minorHAnsi" w:hAnsiTheme="minorHAnsi" w:cstheme="minorHAnsi"/>
                          <w:sz w:val="22"/>
                          <w:szCs w:val="22"/>
                        </w:rPr>
                        <w:t>прикупљање и коришћење података у процесу креирања ЈП и прописа</w:t>
                      </w:r>
                    </w:p>
                  </w:txbxContent>
                </v:textbox>
              </v:roundrect>
            </w:pict>
          </mc:Fallback>
        </mc:AlternateContent>
      </w:r>
      <w:r w:rsidR="00EB1385"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95296" behindDoc="0" locked="0" layoutInCell="1" allowOverlap="1" wp14:anchorId="1412D440" wp14:editId="26AD582B">
                <wp:simplePos x="0" y="0"/>
                <wp:positionH relativeFrom="column">
                  <wp:posOffset>236855</wp:posOffset>
                </wp:positionH>
                <wp:positionV relativeFrom="paragraph">
                  <wp:posOffset>71120</wp:posOffset>
                </wp:positionV>
                <wp:extent cx="0" cy="216000"/>
                <wp:effectExtent l="76200" t="38100" r="57150" b="12700"/>
                <wp:wrapNone/>
                <wp:docPr id="55" name="Straight Arrow Connector 55"/>
                <wp:cNvGraphicFramePr/>
                <a:graphic xmlns:a="http://schemas.openxmlformats.org/drawingml/2006/main">
                  <a:graphicData uri="http://schemas.microsoft.com/office/word/2010/wordprocessingShape">
                    <wps:wsp>
                      <wps:cNvCnPr/>
                      <wps:spPr>
                        <a:xfrm flipV="1">
                          <a:off x="0" y="0"/>
                          <a:ext cx="0" cy="21600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CD7FBE" id="Straight Arrow Connector 55" o:spid="_x0000_s1026" type="#_x0000_t32" style="position:absolute;margin-left:18.65pt;margin-top:5.6pt;width:0;height:17pt;flip:y;z-index:25189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" strokecolor="#d8d8d8 [2732]" strokeweight="1.5pt">
                <v:stroke endarrow="block" joinstyle="miter"/>
              </v:shape>
            </w:pict>
          </mc:Fallback>
        </mc:AlternateContent>
      </w:r>
    </w:p>
    <w:p w14:paraId="5F23A275" w14:textId="311D3B1D" w:rsidR="00E42A9B" w:rsidRPr="000F0299" w:rsidRDefault="003C4A0D"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76864" behindDoc="0" locked="0" layoutInCell="1" allowOverlap="1" wp14:anchorId="0C041ACC" wp14:editId="631C3F7D">
                <wp:simplePos x="0" y="0"/>
                <wp:positionH relativeFrom="column">
                  <wp:posOffset>11542183</wp:posOffset>
                </wp:positionH>
                <wp:positionV relativeFrom="paragraph">
                  <wp:posOffset>21167</wp:posOffset>
                </wp:positionV>
                <wp:extent cx="2202815" cy="658071"/>
                <wp:effectExtent l="19050" t="19050" r="26035" b="27940"/>
                <wp:wrapNone/>
                <wp:docPr id="1031" name="Text Box 1031"/>
                <wp:cNvGraphicFramePr/>
                <a:graphic xmlns:a="http://schemas.openxmlformats.org/drawingml/2006/main">
                  <a:graphicData uri="http://schemas.microsoft.com/office/word/2010/wordprocessingShape">
                    <wps:wsp>
                      <wps:cNvSpPr txBox="1"/>
                      <wps:spPr>
                        <a:xfrm>
                          <a:off x="0" y="0"/>
                          <a:ext cx="2202815" cy="658071"/>
                        </a:xfrm>
                        <a:prstGeom prst="roundRect">
                          <a:avLst/>
                        </a:prstGeom>
                        <a:solidFill>
                          <a:sysClr val="window" lastClr="FFFFFF"/>
                        </a:solidFill>
                        <a:ln w="28575" cap="flat" cmpd="sng" algn="ctr">
                          <a:solidFill>
                            <a:schemeClr val="bg2"/>
                          </a:solidFill>
                          <a:prstDash val="solid"/>
                          <a:miter lim="800000"/>
                        </a:ln>
                        <a:effectLst/>
                      </wps:spPr>
                      <wps:txbx>
                        <w:txbxContent>
                          <w:p w14:paraId="0DF0659E" w14:textId="77777777" w:rsidR="00876FFE" w:rsidRPr="003C4A0D" w:rsidRDefault="00876FFE" w:rsidP="00E42A9B">
                            <w:pPr>
                              <w:spacing w:before="0"/>
                              <w:jc w:val="center"/>
                              <w:rPr>
                                <w:rFonts w:asciiTheme="minorHAnsi" w:hAnsiTheme="minorHAnsi" w:cstheme="minorHAnsi"/>
                                <w:sz w:val="22"/>
                                <w:szCs w:val="22"/>
                              </w:rPr>
                            </w:pPr>
                            <w:r w:rsidRPr="003C4A0D">
                              <w:rPr>
                                <w:rFonts w:asciiTheme="minorHAnsi" w:hAnsiTheme="minorHAnsi" w:cstheme="minorHAnsi"/>
                                <w:sz w:val="22"/>
                                <w:szCs w:val="22"/>
                              </w:rPr>
                              <w:t>Недостатак контроле квалитета јавних консултација и јавних расправа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C041ACC" id="Text Box 1031" o:spid="_x0000_s1060" style="position:absolute;left:0;text-align:left;margin-left:908.85pt;margin-top:1.65pt;width:173.45pt;height:51.8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" fillcolor="window" strokecolor="#e7e6e6 [3214]" strokeweight="2.25pt">
                <v:stroke joinstyle="miter"/>
                <v:textbox inset="0,0,0,0">
                  <w:txbxContent>
                    <w:p w14:paraId="0DF0659E" w14:textId="77777777" w:rsidR="00876FFE" w:rsidRPr="003C4A0D" w:rsidRDefault="00876FFE" w:rsidP="00E42A9B">
                      <w:pPr>
                        <w:spacing w:before="0"/>
                        <w:jc w:val="center"/>
                        <w:rPr>
                          <w:rFonts w:asciiTheme="minorHAnsi" w:hAnsiTheme="minorHAnsi" w:cstheme="minorHAnsi"/>
                          <w:sz w:val="22"/>
                          <w:szCs w:val="22"/>
                        </w:rPr>
                      </w:pPr>
                      <w:r w:rsidRPr="003C4A0D">
                        <w:rPr>
                          <w:rFonts w:asciiTheme="minorHAnsi" w:hAnsiTheme="minorHAnsi" w:cstheme="minorHAnsi"/>
                          <w:sz w:val="22"/>
                          <w:szCs w:val="22"/>
                        </w:rPr>
                        <w:t xml:space="preserve">Недостатак </w:t>
                      </w:r>
                      <w:r w:rsidRPr="003C4A0D">
                        <w:rPr>
                          <w:rFonts w:asciiTheme="minorHAnsi" w:hAnsiTheme="minorHAnsi" w:cstheme="minorHAnsi"/>
                          <w:sz w:val="22"/>
                          <w:szCs w:val="22"/>
                        </w:rPr>
                        <w:t>контроле квалитета јавних консултација и јавних расправа</w:t>
                      </w:r>
                    </w:p>
                  </w:txbxContent>
                </v:textbox>
              </v:roundrect>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75840" behindDoc="0" locked="0" layoutInCell="1" allowOverlap="1" wp14:anchorId="074851FD" wp14:editId="4DBC7E65">
                <wp:simplePos x="0" y="0"/>
                <wp:positionH relativeFrom="column">
                  <wp:posOffset>9290050</wp:posOffset>
                </wp:positionH>
                <wp:positionV relativeFrom="paragraph">
                  <wp:posOffset>29633</wp:posOffset>
                </wp:positionV>
                <wp:extent cx="2202815" cy="649817"/>
                <wp:effectExtent l="19050" t="19050" r="26035" b="17145"/>
                <wp:wrapNone/>
                <wp:docPr id="1043" name="Text Box 1043"/>
                <wp:cNvGraphicFramePr/>
                <a:graphic xmlns:a="http://schemas.openxmlformats.org/drawingml/2006/main">
                  <a:graphicData uri="http://schemas.microsoft.com/office/word/2010/wordprocessingShape">
                    <wps:wsp>
                      <wps:cNvSpPr txBox="1"/>
                      <wps:spPr>
                        <a:xfrm>
                          <a:off x="0" y="0"/>
                          <a:ext cx="2202815" cy="649817"/>
                        </a:xfrm>
                        <a:prstGeom prst="roundRect">
                          <a:avLst/>
                        </a:prstGeom>
                        <a:solidFill>
                          <a:sysClr val="window" lastClr="FFFFFF"/>
                        </a:solidFill>
                        <a:ln w="28575" cap="flat" cmpd="sng" algn="ctr">
                          <a:solidFill>
                            <a:schemeClr val="bg2"/>
                          </a:solidFill>
                          <a:prstDash val="solid"/>
                          <a:miter lim="800000"/>
                        </a:ln>
                        <a:effectLst/>
                      </wps:spPr>
                      <wps:txbx>
                        <w:txbxContent>
                          <w:p w14:paraId="44521525" w14:textId="77777777" w:rsidR="00876FFE" w:rsidRPr="003C4A0D" w:rsidRDefault="00876FFE" w:rsidP="00E42A9B">
                            <w:pPr>
                              <w:spacing w:before="0"/>
                              <w:jc w:val="center"/>
                              <w:rPr>
                                <w:rFonts w:asciiTheme="minorHAnsi" w:hAnsiTheme="minorHAnsi" w:cstheme="minorHAnsi"/>
                                <w:sz w:val="22"/>
                                <w:szCs w:val="22"/>
                              </w:rPr>
                            </w:pPr>
                            <w:r w:rsidRPr="003C4A0D">
                              <w:rPr>
                                <w:rFonts w:asciiTheme="minorHAnsi" w:hAnsiTheme="minorHAnsi" w:cstheme="minorHAnsi"/>
                                <w:sz w:val="22"/>
                                <w:szCs w:val="22"/>
                              </w:rPr>
                              <w:t>Укључивање цивилног сектора тек у завршним фазама доношења ЈП/прописа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4851FD" id="Text Box 1043" o:spid="_x0000_s1061" style="position:absolute;left:0;text-align:left;margin-left:731.5pt;margin-top:2.35pt;width:173.45pt;height:51.1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" fillcolor="window" strokecolor="#e7e6e6 [3214]" strokeweight="2.25pt">
                <v:stroke joinstyle="miter"/>
                <v:textbox inset="0,0,0,0">
                  <w:txbxContent>
                    <w:p w14:paraId="44521525" w14:textId="77777777" w:rsidR="00876FFE" w:rsidRPr="003C4A0D" w:rsidRDefault="00876FFE" w:rsidP="00E42A9B">
                      <w:pPr>
                        <w:spacing w:before="0"/>
                        <w:jc w:val="center"/>
                        <w:rPr>
                          <w:rFonts w:asciiTheme="minorHAnsi" w:hAnsiTheme="minorHAnsi" w:cstheme="minorHAnsi"/>
                          <w:sz w:val="22"/>
                          <w:szCs w:val="22"/>
                        </w:rPr>
                      </w:pPr>
                      <w:r w:rsidRPr="003C4A0D">
                        <w:rPr>
                          <w:rFonts w:asciiTheme="minorHAnsi" w:hAnsiTheme="minorHAnsi" w:cstheme="minorHAnsi"/>
                          <w:sz w:val="22"/>
                          <w:szCs w:val="22"/>
                        </w:rPr>
                        <w:t xml:space="preserve">Укључивање </w:t>
                      </w:r>
                      <w:r w:rsidRPr="003C4A0D">
                        <w:rPr>
                          <w:rFonts w:asciiTheme="minorHAnsi" w:hAnsiTheme="minorHAnsi" w:cstheme="minorHAnsi"/>
                          <w:sz w:val="22"/>
                          <w:szCs w:val="22"/>
                        </w:rPr>
                        <w:t>цивилног сектора тек у завршним фазама доношења ЈП/прописа</w:t>
                      </w:r>
                    </w:p>
                  </w:txbxContent>
                </v:textbox>
              </v:roundrect>
            </w:pict>
          </mc:Fallback>
        </mc:AlternateContent>
      </w:r>
      <w:r w:rsidR="00F679C7"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71744" behindDoc="0" locked="0" layoutInCell="1" allowOverlap="1" wp14:anchorId="39C6070B" wp14:editId="5349B651">
                <wp:simplePos x="0" y="0"/>
                <wp:positionH relativeFrom="column">
                  <wp:posOffset>4404783</wp:posOffset>
                </wp:positionH>
                <wp:positionV relativeFrom="paragraph">
                  <wp:posOffset>29633</wp:posOffset>
                </wp:positionV>
                <wp:extent cx="1438275" cy="1936115"/>
                <wp:effectExtent l="19050" t="19050" r="28575" b="26035"/>
                <wp:wrapNone/>
                <wp:docPr id="1023" name="Text Box 1023"/>
                <wp:cNvGraphicFramePr/>
                <a:graphic xmlns:a="http://schemas.openxmlformats.org/drawingml/2006/main">
                  <a:graphicData uri="http://schemas.microsoft.com/office/word/2010/wordprocessingShape">
                    <wps:wsp>
                      <wps:cNvSpPr txBox="1"/>
                      <wps:spPr>
                        <a:xfrm>
                          <a:off x="0" y="0"/>
                          <a:ext cx="1438275" cy="1936115"/>
                        </a:xfrm>
                        <a:prstGeom prst="roundRect">
                          <a:avLst/>
                        </a:prstGeom>
                        <a:solidFill>
                          <a:sysClr val="window" lastClr="FFFFFF"/>
                        </a:solidFill>
                        <a:ln w="28575" cap="flat" cmpd="sng" algn="ctr">
                          <a:solidFill>
                            <a:schemeClr val="bg2"/>
                          </a:solidFill>
                          <a:prstDash val="solid"/>
                          <a:miter lim="800000"/>
                        </a:ln>
                        <a:effectLst/>
                      </wps:spPr>
                      <wps:txbx>
                        <w:txbxContent>
                          <w:p w14:paraId="7470B1C7" w14:textId="77777777" w:rsidR="00876FFE" w:rsidRPr="00F679C7" w:rsidRDefault="00876FFE" w:rsidP="00F679C7">
                            <w:pPr>
                              <w:ind w:firstLine="0"/>
                              <w:jc w:val="center"/>
                              <w:rPr>
                                <w:rFonts w:asciiTheme="minorHAnsi" w:hAnsiTheme="minorHAnsi" w:cstheme="minorHAnsi"/>
                                <w:sz w:val="22"/>
                                <w:szCs w:val="22"/>
                              </w:rPr>
                            </w:pPr>
                            <w:r w:rsidRPr="00F679C7">
                              <w:rPr>
                                <w:rFonts w:asciiTheme="minorHAnsi" w:hAnsiTheme="minorHAnsi" w:cstheme="minorHAnsi"/>
                                <w:sz w:val="22"/>
                                <w:szCs w:val="22"/>
                              </w:rPr>
                              <w:t>Неразвијено средњорочно планирање и повезаност са буџетом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C6070B" id="Text Box 1023" o:spid="_x0000_s1062" style="position:absolute;left:0;text-align:left;margin-left:346.85pt;margin-top:2.35pt;width:113.25pt;height:152.4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" fillcolor="window" strokecolor="#e7e6e6 [3214]" strokeweight="2.25pt">
                <v:stroke joinstyle="miter"/>
                <v:textbox inset="0,0,0,0">
                  <w:txbxContent>
                    <w:p w14:paraId="7470B1C7" w14:textId="77777777" w:rsidR="00876FFE" w:rsidRPr="00F679C7" w:rsidRDefault="00876FFE" w:rsidP="00F679C7">
                      <w:pPr>
                        <w:ind w:firstLine="0"/>
                        <w:jc w:val="center"/>
                        <w:rPr>
                          <w:rFonts w:asciiTheme="minorHAnsi" w:hAnsiTheme="minorHAnsi" w:cstheme="minorHAnsi"/>
                          <w:sz w:val="22"/>
                          <w:szCs w:val="22"/>
                        </w:rPr>
                      </w:pPr>
                      <w:r w:rsidRPr="00F679C7">
                        <w:rPr>
                          <w:rFonts w:asciiTheme="minorHAnsi" w:hAnsiTheme="minorHAnsi" w:cstheme="minorHAnsi"/>
                          <w:sz w:val="22"/>
                          <w:szCs w:val="22"/>
                        </w:rPr>
                        <w:t xml:space="preserve">Неразвијено </w:t>
                      </w:r>
                      <w:r w:rsidRPr="00F679C7">
                        <w:rPr>
                          <w:rFonts w:asciiTheme="minorHAnsi" w:hAnsiTheme="minorHAnsi" w:cstheme="minorHAnsi"/>
                          <w:sz w:val="22"/>
                          <w:szCs w:val="22"/>
                        </w:rPr>
                        <w:t>средњорочно планирање и повезаност са буџетом</w:t>
                      </w:r>
                    </w:p>
                  </w:txbxContent>
                </v:textbox>
              </v:roundrect>
            </w:pict>
          </mc:Fallback>
        </mc:AlternateContent>
      </w:r>
      <w:r w:rsidR="00F679C7"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72768" behindDoc="0" locked="0" layoutInCell="1" allowOverlap="1" wp14:anchorId="4D3CF714" wp14:editId="4DE42228">
                <wp:simplePos x="0" y="0"/>
                <wp:positionH relativeFrom="column">
                  <wp:posOffset>5962650</wp:posOffset>
                </wp:positionH>
                <wp:positionV relativeFrom="paragraph">
                  <wp:posOffset>29633</wp:posOffset>
                </wp:positionV>
                <wp:extent cx="1438275" cy="1936327"/>
                <wp:effectExtent l="19050" t="19050" r="28575" b="26035"/>
                <wp:wrapNone/>
                <wp:docPr id="177" name="Text Box 177"/>
                <wp:cNvGraphicFramePr/>
                <a:graphic xmlns:a="http://schemas.openxmlformats.org/drawingml/2006/main">
                  <a:graphicData uri="http://schemas.microsoft.com/office/word/2010/wordprocessingShape">
                    <wps:wsp>
                      <wps:cNvSpPr txBox="1"/>
                      <wps:spPr>
                        <a:xfrm>
                          <a:off x="0" y="0"/>
                          <a:ext cx="1438275" cy="1936327"/>
                        </a:xfrm>
                        <a:prstGeom prst="roundRect">
                          <a:avLst/>
                        </a:prstGeom>
                        <a:solidFill>
                          <a:sysClr val="window" lastClr="FFFFFF"/>
                        </a:solidFill>
                        <a:ln w="28575" cap="flat" cmpd="sng" algn="ctr">
                          <a:solidFill>
                            <a:schemeClr val="bg2"/>
                          </a:solidFill>
                          <a:prstDash val="solid"/>
                          <a:miter lim="800000"/>
                        </a:ln>
                        <a:effectLst/>
                      </wps:spPr>
                      <wps:txbx>
                        <w:txbxContent>
                          <w:p w14:paraId="0E51D54D" w14:textId="77777777" w:rsidR="00876FFE" w:rsidRPr="00F679C7" w:rsidRDefault="00876FFE" w:rsidP="00F679C7">
                            <w:pPr>
                              <w:ind w:firstLine="0"/>
                              <w:jc w:val="center"/>
                              <w:rPr>
                                <w:rFonts w:asciiTheme="minorHAnsi" w:hAnsiTheme="minorHAnsi" w:cstheme="minorHAnsi"/>
                                <w:sz w:val="22"/>
                                <w:szCs w:val="22"/>
                              </w:rPr>
                            </w:pPr>
                            <w:r w:rsidRPr="00F679C7">
                              <w:rPr>
                                <w:rFonts w:asciiTheme="minorHAnsi" w:hAnsiTheme="minorHAnsi" w:cstheme="minorHAnsi"/>
                                <w:sz w:val="22"/>
                                <w:szCs w:val="22"/>
                              </w:rPr>
                              <w:t xml:space="preserve">Неодговарајуће преузимање </w:t>
                            </w:r>
                            <w:r w:rsidRPr="00F679C7">
                              <w:rPr>
                                <w:rFonts w:asciiTheme="minorHAnsi" w:hAnsiTheme="minorHAnsi" w:cstheme="minorHAnsi"/>
                                <w:sz w:val="22"/>
                                <w:szCs w:val="22"/>
                              </w:rPr>
                              <w:br/>
                              <w:t xml:space="preserve">управљачке </w:t>
                            </w:r>
                            <w:r w:rsidRPr="00F679C7">
                              <w:rPr>
                                <w:rFonts w:asciiTheme="minorHAnsi" w:hAnsiTheme="minorHAnsi" w:cstheme="minorHAnsi"/>
                                <w:sz w:val="22"/>
                                <w:szCs w:val="22"/>
                              </w:rPr>
                              <w:br/>
                              <w:t>одговорности при</w:t>
                            </w:r>
                            <w:r w:rsidRPr="00F679C7">
                              <w:rPr>
                                <w:rFonts w:asciiTheme="minorHAnsi" w:hAnsiTheme="minorHAnsi" w:cstheme="minorHAnsi"/>
                                <w:sz w:val="22"/>
                                <w:szCs w:val="22"/>
                              </w:rPr>
                              <w:br/>
                              <w:t>креирању, координацији и спровођењу ЈП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3CF714" id="Text Box 177" o:spid="_x0000_s1063" style="position:absolute;left:0;text-align:left;margin-left:469.5pt;margin-top:2.35pt;width:113.25pt;height:152.4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" fillcolor="window" strokecolor="#e7e6e6 [3214]" strokeweight="2.25pt">
                <v:stroke joinstyle="miter"/>
                <v:textbox inset="0,0,0,0">
                  <w:txbxContent>
                    <w:p w14:paraId="0E51D54D" w14:textId="77777777" w:rsidR="00876FFE" w:rsidRPr="00F679C7" w:rsidRDefault="00876FFE" w:rsidP="00F679C7">
                      <w:pPr>
                        <w:ind w:firstLine="0"/>
                        <w:jc w:val="center"/>
                        <w:rPr>
                          <w:rFonts w:asciiTheme="minorHAnsi" w:hAnsiTheme="minorHAnsi" w:cstheme="minorHAnsi"/>
                          <w:sz w:val="22"/>
                          <w:szCs w:val="22"/>
                        </w:rPr>
                      </w:pPr>
                      <w:r w:rsidRPr="00F679C7">
                        <w:rPr>
                          <w:rFonts w:asciiTheme="minorHAnsi" w:hAnsiTheme="minorHAnsi" w:cstheme="minorHAnsi"/>
                          <w:sz w:val="22"/>
                          <w:szCs w:val="22"/>
                        </w:rPr>
                        <w:t xml:space="preserve">Неодговарајуће </w:t>
                      </w:r>
                      <w:r w:rsidRPr="00F679C7">
                        <w:rPr>
                          <w:rFonts w:asciiTheme="minorHAnsi" w:hAnsiTheme="minorHAnsi" w:cstheme="minorHAnsi"/>
                          <w:sz w:val="22"/>
                          <w:szCs w:val="22"/>
                        </w:rPr>
                        <w:t xml:space="preserve">преузимање </w:t>
                      </w:r>
                      <w:r w:rsidRPr="00F679C7">
                        <w:rPr>
                          <w:rFonts w:asciiTheme="minorHAnsi" w:hAnsiTheme="minorHAnsi" w:cstheme="minorHAnsi"/>
                          <w:sz w:val="22"/>
                          <w:szCs w:val="22"/>
                        </w:rPr>
                        <w:br/>
                        <w:t xml:space="preserve">управљачке </w:t>
                      </w:r>
                      <w:r w:rsidRPr="00F679C7">
                        <w:rPr>
                          <w:rFonts w:asciiTheme="minorHAnsi" w:hAnsiTheme="minorHAnsi" w:cstheme="minorHAnsi"/>
                          <w:sz w:val="22"/>
                          <w:szCs w:val="22"/>
                        </w:rPr>
                        <w:br/>
                        <w:t>одговорности при</w:t>
                      </w:r>
                      <w:r w:rsidRPr="00F679C7">
                        <w:rPr>
                          <w:rFonts w:asciiTheme="minorHAnsi" w:hAnsiTheme="minorHAnsi" w:cstheme="minorHAnsi"/>
                          <w:sz w:val="22"/>
                          <w:szCs w:val="22"/>
                        </w:rPr>
                        <w:br/>
                        <w:t>креирању, координацији и спровођењу ЈП</w:t>
                      </w:r>
                    </w:p>
                  </w:txbxContent>
                </v:textbox>
              </v:roundrect>
            </w:pict>
          </mc:Fallback>
        </mc:AlternateContent>
      </w:r>
      <w:r w:rsidR="00F679C7"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73792" behindDoc="0" locked="0" layoutInCell="1" allowOverlap="1" wp14:anchorId="088CBEB8" wp14:editId="43FF457A">
                <wp:simplePos x="0" y="0"/>
                <wp:positionH relativeFrom="column">
                  <wp:posOffset>7503583</wp:posOffset>
                </wp:positionH>
                <wp:positionV relativeFrom="paragraph">
                  <wp:posOffset>38100</wp:posOffset>
                </wp:positionV>
                <wp:extent cx="1744345" cy="1928283"/>
                <wp:effectExtent l="19050" t="19050" r="27305" b="15240"/>
                <wp:wrapNone/>
                <wp:docPr id="176" name="Text Box 176"/>
                <wp:cNvGraphicFramePr/>
                <a:graphic xmlns:a="http://schemas.openxmlformats.org/drawingml/2006/main">
                  <a:graphicData uri="http://schemas.microsoft.com/office/word/2010/wordprocessingShape">
                    <wps:wsp>
                      <wps:cNvSpPr txBox="1"/>
                      <wps:spPr>
                        <a:xfrm>
                          <a:off x="0" y="0"/>
                          <a:ext cx="1744345" cy="1928283"/>
                        </a:xfrm>
                        <a:prstGeom prst="roundRect">
                          <a:avLst/>
                        </a:prstGeom>
                        <a:solidFill>
                          <a:sysClr val="window" lastClr="FFFFFF"/>
                        </a:solidFill>
                        <a:ln w="28575" cap="flat" cmpd="sng" algn="ctr">
                          <a:solidFill>
                            <a:schemeClr val="bg2"/>
                          </a:solidFill>
                          <a:prstDash val="solid"/>
                          <a:miter lim="800000"/>
                        </a:ln>
                        <a:effectLst/>
                      </wps:spPr>
                      <wps:txbx>
                        <w:txbxContent>
                          <w:p w14:paraId="1C01F8A5" w14:textId="77777777" w:rsidR="00876FFE" w:rsidRPr="00F679C7" w:rsidRDefault="00876FFE" w:rsidP="00F679C7">
                            <w:pPr>
                              <w:spacing w:before="0" w:line="216" w:lineRule="auto"/>
                              <w:ind w:firstLine="0"/>
                              <w:jc w:val="center"/>
                              <w:rPr>
                                <w:rFonts w:asciiTheme="minorHAnsi" w:hAnsiTheme="minorHAnsi" w:cstheme="minorHAnsi"/>
                                <w:sz w:val="22"/>
                                <w:szCs w:val="22"/>
                              </w:rPr>
                            </w:pPr>
                            <w:r w:rsidRPr="00F679C7">
                              <w:rPr>
                                <w:rFonts w:asciiTheme="minorHAnsi" w:hAnsiTheme="minorHAnsi" w:cstheme="minorHAnsi"/>
                                <w:sz w:val="22"/>
                                <w:szCs w:val="22"/>
                              </w:rPr>
                              <w:t xml:space="preserve">Додатни проблеми: слабости у планирању ЕИ (без </w:t>
                            </w:r>
                            <w:r w:rsidRPr="00F679C7">
                              <w:rPr>
                                <w:rFonts w:asciiTheme="minorHAnsi" w:hAnsiTheme="minorHAnsi" w:cstheme="minorHAnsi"/>
                                <w:spacing w:val="-14"/>
                                <w:sz w:val="22"/>
                                <w:szCs w:val="22"/>
                              </w:rPr>
                              <w:t>планирања  трошкова</w:t>
                            </w:r>
                            <w:r w:rsidRPr="00F679C7">
                              <w:rPr>
                                <w:rFonts w:asciiTheme="minorHAnsi" w:hAnsiTheme="minorHAnsi" w:cstheme="minorHAnsi"/>
                                <w:spacing w:val="-6"/>
                                <w:sz w:val="22"/>
                                <w:szCs w:val="22"/>
                              </w:rPr>
                              <w:t xml:space="preserve"> и</w:t>
                            </w:r>
                            <w:r w:rsidRPr="00F679C7">
                              <w:rPr>
                                <w:rFonts w:asciiTheme="minorHAnsi" w:hAnsiTheme="minorHAnsi" w:cstheme="minorHAnsi"/>
                                <w:sz w:val="22"/>
                                <w:szCs w:val="22"/>
                              </w:rPr>
                              <w:t xml:space="preserve"> усклађености, </w:t>
                            </w:r>
                            <w:r w:rsidRPr="00F679C7">
                              <w:rPr>
                                <w:rFonts w:asciiTheme="minorHAnsi" w:hAnsiTheme="minorHAnsi" w:cstheme="minorHAnsi"/>
                                <w:spacing w:val="-12"/>
                                <w:sz w:val="22"/>
                                <w:szCs w:val="22"/>
                              </w:rPr>
                              <w:t>превелике амбиције),</w:t>
                            </w:r>
                            <w:r w:rsidRPr="00F679C7">
                              <w:rPr>
                                <w:rFonts w:asciiTheme="minorHAnsi" w:hAnsiTheme="minorHAnsi" w:cstheme="minorHAnsi"/>
                                <w:sz w:val="22"/>
                                <w:szCs w:val="22"/>
                              </w:rPr>
                              <w:t xml:space="preserve"> непостојање транспарентног мониторинга /извештавања о документима  централног планирања (АСПВ, ГПРВ)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8CBEB8" id="Text Box 176" o:spid="_x0000_s1064" style="position:absolute;left:0;text-align:left;margin-left:590.85pt;margin-top:3pt;width:137.35pt;height:151.8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" fillcolor="window" strokecolor="#e7e6e6 [3214]" strokeweight="2.25pt">
                <v:stroke joinstyle="miter"/>
                <v:textbox inset="0,0,0,0">
                  <w:txbxContent>
                    <w:p w14:paraId="1C01F8A5" w14:textId="77777777" w:rsidR="00876FFE" w:rsidRPr="00F679C7" w:rsidRDefault="00876FFE" w:rsidP="00F679C7">
                      <w:pPr>
                        <w:spacing w:before="0" w:line="216" w:lineRule="auto"/>
                        <w:ind w:firstLine="0"/>
                        <w:jc w:val="center"/>
                        <w:rPr>
                          <w:rFonts w:asciiTheme="minorHAnsi" w:hAnsiTheme="minorHAnsi" w:cstheme="minorHAnsi"/>
                          <w:sz w:val="22"/>
                          <w:szCs w:val="22"/>
                        </w:rPr>
                      </w:pPr>
                      <w:r w:rsidRPr="00F679C7">
                        <w:rPr>
                          <w:rFonts w:asciiTheme="minorHAnsi" w:hAnsiTheme="minorHAnsi" w:cstheme="minorHAnsi"/>
                          <w:sz w:val="22"/>
                          <w:szCs w:val="22"/>
                        </w:rPr>
                        <w:t xml:space="preserve">Додатни </w:t>
                      </w:r>
                      <w:r w:rsidRPr="00F679C7">
                        <w:rPr>
                          <w:rFonts w:asciiTheme="minorHAnsi" w:hAnsiTheme="minorHAnsi" w:cstheme="minorHAnsi"/>
                          <w:sz w:val="22"/>
                          <w:szCs w:val="22"/>
                        </w:rPr>
                        <w:t xml:space="preserve">проблеми: слабости у планирању ЕИ (без </w:t>
                      </w:r>
                      <w:r w:rsidRPr="00F679C7">
                        <w:rPr>
                          <w:rFonts w:asciiTheme="minorHAnsi" w:hAnsiTheme="minorHAnsi" w:cstheme="minorHAnsi"/>
                          <w:spacing w:val="-14"/>
                          <w:sz w:val="22"/>
                          <w:szCs w:val="22"/>
                        </w:rPr>
                        <w:t>планирања  трошкова</w:t>
                      </w:r>
                      <w:r w:rsidRPr="00F679C7">
                        <w:rPr>
                          <w:rFonts w:asciiTheme="minorHAnsi" w:hAnsiTheme="minorHAnsi" w:cstheme="minorHAnsi"/>
                          <w:spacing w:val="-6"/>
                          <w:sz w:val="22"/>
                          <w:szCs w:val="22"/>
                        </w:rPr>
                        <w:t xml:space="preserve"> и</w:t>
                      </w:r>
                      <w:r w:rsidRPr="00F679C7">
                        <w:rPr>
                          <w:rFonts w:asciiTheme="minorHAnsi" w:hAnsiTheme="minorHAnsi" w:cstheme="minorHAnsi"/>
                          <w:sz w:val="22"/>
                          <w:szCs w:val="22"/>
                        </w:rPr>
                        <w:t xml:space="preserve"> усклађености, </w:t>
                      </w:r>
                      <w:r w:rsidRPr="00F679C7">
                        <w:rPr>
                          <w:rFonts w:asciiTheme="minorHAnsi" w:hAnsiTheme="minorHAnsi" w:cstheme="minorHAnsi"/>
                          <w:spacing w:val="-12"/>
                          <w:sz w:val="22"/>
                          <w:szCs w:val="22"/>
                        </w:rPr>
                        <w:t>превелике амбиције),</w:t>
                      </w:r>
                      <w:r w:rsidRPr="00F679C7">
                        <w:rPr>
                          <w:rFonts w:asciiTheme="minorHAnsi" w:hAnsiTheme="minorHAnsi" w:cstheme="minorHAnsi"/>
                          <w:sz w:val="22"/>
                          <w:szCs w:val="22"/>
                        </w:rPr>
                        <w:t xml:space="preserve"> непостојање транспарентног мониторинга /извештавања о документима  централног планирања (АСПВ, ГПРВ)</w:t>
                      </w:r>
                    </w:p>
                  </w:txbxContent>
                </v:textbox>
              </v:roundrect>
            </w:pict>
          </mc:Fallback>
        </mc:AlternateContent>
      </w:r>
      <w:r w:rsidR="00F679C7"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93248" behindDoc="0" locked="0" layoutInCell="1" allowOverlap="1" wp14:anchorId="3F39D715" wp14:editId="33193735">
                <wp:simplePos x="0" y="0"/>
                <wp:positionH relativeFrom="column">
                  <wp:posOffset>2770717</wp:posOffset>
                </wp:positionH>
                <wp:positionV relativeFrom="paragraph">
                  <wp:posOffset>12700</wp:posOffset>
                </wp:positionV>
                <wp:extent cx="1438275" cy="2029883"/>
                <wp:effectExtent l="19050" t="19050" r="28575" b="27940"/>
                <wp:wrapNone/>
                <wp:docPr id="1022" name="Text Box 1022"/>
                <wp:cNvGraphicFramePr/>
                <a:graphic xmlns:a="http://schemas.openxmlformats.org/drawingml/2006/main">
                  <a:graphicData uri="http://schemas.microsoft.com/office/word/2010/wordprocessingShape">
                    <wps:wsp>
                      <wps:cNvSpPr txBox="1"/>
                      <wps:spPr>
                        <a:xfrm>
                          <a:off x="0" y="0"/>
                          <a:ext cx="1438275" cy="2029883"/>
                        </a:xfrm>
                        <a:prstGeom prst="roundRect">
                          <a:avLst/>
                        </a:prstGeom>
                        <a:solidFill>
                          <a:sysClr val="window" lastClr="FFFFFF"/>
                        </a:solidFill>
                        <a:ln w="28575" cap="flat" cmpd="sng" algn="ctr">
                          <a:solidFill>
                            <a:schemeClr val="bg2"/>
                          </a:solidFill>
                          <a:prstDash val="solid"/>
                          <a:miter lim="800000"/>
                        </a:ln>
                        <a:effectLst/>
                      </wps:spPr>
                      <wps:txbx>
                        <w:txbxContent>
                          <w:p w14:paraId="5E0AA5F8" w14:textId="63B2D22B" w:rsidR="00876FFE" w:rsidRPr="008436CC" w:rsidRDefault="00876FFE" w:rsidP="00F679C7">
                            <w:pPr>
                              <w:ind w:firstLine="0"/>
                              <w:jc w:val="center"/>
                              <w:rPr>
                                <w:rFonts w:asciiTheme="minorHAnsi" w:hAnsiTheme="minorHAnsi" w:cstheme="minorHAnsi"/>
                                <w:sz w:val="22"/>
                                <w:szCs w:val="22"/>
                              </w:rPr>
                            </w:pPr>
                            <w:r w:rsidRPr="008436CC">
                              <w:rPr>
                                <w:rFonts w:asciiTheme="minorHAnsi" w:hAnsiTheme="minorHAnsi" w:cstheme="minorHAnsi"/>
                                <w:sz w:val="22"/>
                                <w:szCs w:val="22"/>
                              </w:rPr>
                              <w:t>Непостојање системског прикупљања података, праћења стања извештавања о резултатима спровођења ЈП – употреба ЈИС тек у зачетку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39D715" id="Text Box 1022" o:spid="_x0000_s1065" style="position:absolute;left:0;text-align:left;margin-left:218.15pt;margin-top:1pt;width:113.25pt;height:159.8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" fillcolor="window" strokecolor="#e7e6e6 [3214]" strokeweight="2.25pt">
                <v:stroke joinstyle="miter"/>
                <v:textbox inset="0,0,0,0">
                  <w:txbxContent>
                    <w:p w14:paraId="5E0AA5F8" w14:textId="63B2D22B" w:rsidR="00876FFE" w:rsidRPr="008436CC" w:rsidRDefault="00876FFE" w:rsidP="00F679C7">
                      <w:pPr>
                        <w:ind w:firstLine="0"/>
                        <w:jc w:val="center"/>
                        <w:rPr>
                          <w:rFonts w:asciiTheme="minorHAnsi" w:hAnsiTheme="minorHAnsi" w:cstheme="minorHAnsi"/>
                          <w:sz w:val="22"/>
                          <w:szCs w:val="22"/>
                        </w:rPr>
                      </w:pPr>
                      <w:r w:rsidRPr="008436CC">
                        <w:rPr>
                          <w:rFonts w:asciiTheme="minorHAnsi" w:hAnsiTheme="minorHAnsi" w:cstheme="minorHAnsi"/>
                          <w:sz w:val="22"/>
                          <w:szCs w:val="22"/>
                        </w:rPr>
                        <w:t xml:space="preserve">Непостојање </w:t>
                      </w:r>
                      <w:r w:rsidRPr="008436CC">
                        <w:rPr>
                          <w:rFonts w:asciiTheme="minorHAnsi" w:hAnsiTheme="minorHAnsi" w:cstheme="minorHAnsi"/>
                          <w:sz w:val="22"/>
                          <w:szCs w:val="22"/>
                        </w:rPr>
                        <w:t>системског прикупљања података, праћења стања извештавања о резултатима спровођења ЈП – употреба ЈИС тек у зачетку</w:t>
                      </w:r>
                    </w:p>
                  </w:txbxContent>
                </v:textbox>
              </v:roundrect>
            </w:pict>
          </mc:Fallback>
        </mc:AlternateContent>
      </w:r>
    </w:p>
    <w:p w14:paraId="751C3C7D" w14:textId="77777777" w:rsidR="00E42A9B" w:rsidRPr="000F0299" w:rsidRDefault="00E42A9B"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p>
    <w:p w14:paraId="57498D61" w14:textId="031BC1CD" w:rsidR="00E42A9B" w:rsidRPr="000F0299" w:rsidRDefault="003C4A0D"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14752" behindDoc="0" locked="0" layoutInCell="1" allowOverlap="1" wp14:anchorId="3200D4E6" wp14:editId="6967B695">
                <wp:simplePos x="0" y="0"/>
                <wp:positionH relativeFrom="column">
                  <wp:posOffset>10972800</wp:posOffset>
                </wp:positionH>
                <wp:positionV relativeFrom="paragraph">
                  <wp:posOffset>71755</wp:posOffset>
                </wp:positionV>
                <wp:extent cx="0" cy="340360"/>
                <wp:effectExtent l="76200" t="38100" r="57150" b="21590"/>
                <wp:wrapNone/>
                <wp:docPr id="1030" name="Straight Arrow Connector 1030"/>
                <wp:cNvGraphicFramePr/>
                <a:graphic xmlns:a="http://schemas.openxmlformats.org/drawingml/2006/main">
                  <a:graphicData uri="http://schemas.microsoft.com/office/word/2010/wordprocessingShape">
                    <wps:wsp>
                      <wps:cNvCnPr/>
                      <wps:spPr>
                        <a:xfrm flipV="1">
                          <a:off x="0" y="0"/>
                          <a:ext cx="0" cy="34036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05DE4" id="Straight Arrow Connector 1030" o:spid="_x0000_s1026" type="#_x0000_t32" style="position:absolute;margin-left:12in;margin-top:5.65pt;width:0;height:26.8pt;flip:y;z-index:25191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" strokecolor="#d8d8d8 [2732]" strokeweight="1.5pt">
                <v:stroke endarrow="block" joinstyle="miter"/>
              </v:shape>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13728" behindDoc="0" locked="0" layoutInCell="1" allowOverlap="1" wp14:anchorId="21E10407" wp14:editId="4AD45329">
                <wp:simplePos x="0" y="0"/>
                <wp:positionH relativeFrom="column">
                  <wp:posOffset>9736455</wp:posOffset>
                </wp:positionH>
                <wp:positionV relativeFrom="paragraph">
                  <wp:posOffset>46355</wp:posOffset>
                </wp:positionV>
                <wp:extent cx="0" cy="1527175"/>
                <wp:effectExtent l="76200" t="38100" r="57150" b="15875"/>
                <wp:wrapNone/>
                <wp:docPr id="1029" name="Straight Arrow Connector 1029"/>
                <wp:cNvGraphicFramePr/>
                <a:graphic xmlns:a="http://schemas.openxmlformats.org/drawingml/2006/main">
                  <a:graphicData uri="http://schemas.microsoft.com/office/word/2010/wordprocessingShape">
                    <wps:wsp>
                      <wps:cNvCnPr/>
                      <wps:spPr>
                        <a:xfrm flipV="1">
                          <a:off x="0" y="0"/>
                          <a:ext cx="0" cy="1527175"/>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F960DE" id="Straight Arrow Connector 1029" o:spid="_x0000_s1026" type="#_x0000_t32" style="position:absolute;margin-left:766.65pt;margin-top:3.65pt;width:0;height:120.25pt;flip:y;z-index:25191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" strokecolor="#d8d8d8 [2732]" strokeweight="1.5pt">
                <v:stroke endarrow="block" joinstyle="miter"/>
              </v:shape>
            </w:pict>
          </mc:Fallback>
        </mc:AlternateContent>
      </w:r>
    </w:p>
    <w:p w14:paraId="3BC1B9C0" w14:textId="1A4B7D5B" w:rsidR="00E42A9B" w:rsidRPr="000F0299" w:rsidRDefault="003C4A0D"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77888" behindDoc="0" locked="0" layoutInCell="1" allowOverlap="1" wp14:anchorId="374B88E5" wp14:editId="4E872E5A">
                <wp:simplePos x="0" y="0"/>
                <wp:positionH relativeFrom="column">
                  <wp:posOffset>10593494</wp:posOffset>
                </wp:positionH>
                <wp:positionV relativeFrom="paragraph">
                  <wp:posOffset>89324</wp:posOffset>
                </wp:positionV>
                <wp:extent cx="2202815" cy="810260"/>
                <wp:effectExtent l="19050" t="19050" r="26035" b="27940"/>
                <wp:wrapNone/>
                <wp:docPr id="1025" name="Text Box 1025"/>
                <wp:cNvGraphicFramePr/>
                <a:graphic xmlns:a="http://schemas.openxmlformats.org/drawingml/2006/main">
                  <a:graphicData uri="http://schemas.microsoft.com/office/word/2010/wordprocessingShape">
                    <wps:wsp>
                      <wps:cNvSpPr txBox="1"/>
                      <wps:spPr>
                        <a:xfrm>
                          <a:off x="0" y="0"/>
                          <a:ext cx="2202815" cy="810260"/>
                        </a:xfrm>
                        <a:prstGeom prst="roundRect">
                          <a:avLst/>
                        </a:prstGeom>
                        <a:solidFill>
                          <a:sysClr val="window" lastClr="FFFFFF"/>
                        </a:solidFill>
                        <a:ln w="28575" cap="flat" cmpd="sng" algn="ctr">
                          <a:solidFill>
                            <a:schemeClr val="bg2"/>
                          </a:solidFill>
                          <a:prstDash val="solid"/>
                          <a:miter lim="800000"/>
                        </a:ln>
                        <a:effectLst/>
                      </wps:spPr>
                      <wps:txbx>
                        <w:txbxContent>
                          <w:p w14:paraId="22611216" w14:textId="77777777" w:rsidR="00876FFE" w:rsidRPr="003C4A0D" w:rsidRDefault="00876FFE" w:rsidP="00E42A9B">
                            <w:pPr>
                              <w:spacing w:before="0"/>
                              <w:jc w:val="center"/>
                              <w:rPr>
                                <w:rFonts w:asciiTheme="minorHAnsi" w:hAnsiTheme="minorHAnsi" w:cstheme="minorHAnsi"/>
                                <w:sz w:val="22"/>
                                <w:szCs w:val="22"/>
                              </w:rPr>
                            </w:pPr>
                            <w:r w:rsidRPr="003C4A0D">
                              <w:rPr>
                                <w:rFonts w:asciiTheme="minorHAnsi" w:hAnsiTheme="minorHAnsi" w:cstheme="minorHAnsi"/>
                                <w:sz w:val="22"/>
                                <w:szCs w:val="22"/>
                              </w:rPr>
                              <w:t>Недовољна укљученост представника привреде у припрему прописа који се односе на пословно окружење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4B88E5" id="Text Box 1025" o:spid="_x0000_s1066" style="position:absolute;left:0;text-align:left;margin-left:834.15pt;margin-top:7.05pt;width:173.45pt;height:63.8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" fillcolor="window" strokecolor="#e7e6e6 [3214]" strokeweight="2.25pt">
                <v:stroke joinstyle="miter"/>
                <v:textbox inset="0,0,0,0">
                  <w:txbxContent>
                    <w:p w14:paraId="22611216" w14:textId="77777777" w:rsidR="00876FFE" w:rsidRPr="003C4A0D" w:rsidRDefault="00876FFE" w:rsidP="00E42A9B">
                      <w:pPr>
                        <w:spacing w:before="0"/>
                        <w:jc w:val="center"/>
                        <w:rPr>
                          <w:rFonts w:asciiTheme="minorHAnsi" w:hAnsiTheme="minorHAnsi" w:cstheme="minorHAnsi"/>
                          <w:sz w:val="22"/>
                          <w:szCs w:val="22"/>
                        </w:rPr>
                      </w:pPr>
                      <w:r w:rsidRPr="003C4A0D">
                        <w:rPr>
                          <w:rFonts w:asciiTheme="minorHAnsi" w:hAnsiTheme="minorHAnsi" w:cstheme="minorHAnsi"/>
                          <w:sz w:val="22"/>
                          <w:szCs w:val="22"/>
                        </w:rPr>
                        <w:t xml:space="preserve">Недовољна </w:t>
                      </w:r>
                      <w:r w:rsidRPr="003C4A0D">
                        <w:rPr>
                          <w:rFonts w:asciiTheme="minorHAnsi" w:hAnsiTheme="minorHAnsi" w:cstheme="minorHAnsi"/>
                          <w:sz w:val="22"/>
                          <w:szCs w:val="22"/>
                        </w:rPr>
                        <w:t>укљученост представника привреде у припрему прописа који се односе на пословно окружење</w:t>
                      </w:r>
                    </w:p>
                  </w:txbxContent>
                </v:textbox>
              </v:roundrect>
            </w:pict>
          </mc:Fallback>
        </mc:AlternateContent>
      </w:r>
      <w:r w:rsidR="00EB1385"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03488" behindDoc="0" locked="0" layoutInCell="1" allowOverlap="1" wp14:anchorId="3EE8E470" wp14:editId="330A0019">
                <wp:simplePos x="0" y="0"/>
                <wp:positionH relativeFrom="column">
                  <wp:posOffset>228600</wp:posOffset>
                </wp:positionH>
                <wp:positionV relativeFrom="paragraph">
                  <wp:posOffset>140970</wp:posOffset>
                </wp:positionV>
                <wp:extent cx="0" cy="143510"/>
                <wp:effectExtent l="76200" t="38100" r="57150" b="27940"/>
                <wp:wrapNone/>
                <wp:docPr id="1039" name="Straight Arrow Connector 1039"/>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3F15BE" id="Straight Arrow Connector 1039" o:spid="_x0000_s1026" type="#_x0000_t32" style="position:absolute;margin-left:18pt;margin-top:11.1pt;width:0;height:11.3pt;flip:y;z-index:25190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" strokecolor="#d8d8d8 [2732]" strokeweight="1.5pt">
                <v:stroke endarrow="block" joinstyle="miter"/>
              </v:shape>
            </w:pict>
          </mc:Fallback>
        </mc:AlternateContent>
      </w:r>
      <w:r w:rsidR="00EB1385"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86080" behindDoc="0" locked="0" layoutInCell="1" allowOverlap="1" wp14:anchorId="2125ED22" wp14:editId="21B28AE9">
                <wp:simplePos x="0" y="0"/>
                <wp:positionH relativeFrom="column">
                  <wp:posOffset>-497840</wp:posOffset>
                </wp:positionH>
                <wp:positionV relativeFrom="paragraph">
                  <wp:posOffset>300990</wp:posOffset>
                </wp:positionV>
                <wp:extent cx="1505585" cy="911860"/>
                <wp:effectExtent l="19050" t="19050" r="18415" b="21590"/>
                <wp:wrapNone/>
                <wp:docPr id="1026" name="Text Box 1026"/>
                <wp:cNvGraphicFramePr/>
                <a:graphic xmlns:a="http://schemas.openxmlformats.org/drawingml/2006/main">
                  <a:graphicData uri="http://schemas.microsoft.com/office/word/2010/wordprocessingShape">
                    <wps:wsp>
                      <wps:cNvSpPr txBox="1"/>
                      <wps:spPr>
                        <a:xfrm>
                          <a:off x="0" y="0"/>
                          <a:ext cx="1505585" cy="911860"/>
                        </a:xfrm>
                        <a:prstGeom prst="roundRect">
                          <a:avLst/>
                        </a:prstGeom>
                        <a:solidFill>
                          <a:sysClr val="window" lastClr="FFFFFF"/>
                        </a:solidFill>
                        <a:ln w="28575" cap="flat" cmpd="sng" algn="ctr">
                          <a:solidFill>
                            <a:schemeClr val="bg2"/>
                          </a:solidFill>
                          <a:prstDash val="solid"/>
                          <a:miter lim="800000"/>
                        </a:ln>
                        <a:effectLst/>
                      </wps:spPr>
                      <wps:txbx>
                        <w:txbxContent>
                          <w:p w14:paraId="00FF93F6" w14:textId="28FBCD7E" w:rsidR="00876FFE" w:rsidRPr="008436CC" w:rsidRDefault="00876FFE" w:rsidP="00EB1385">
                            <w:pPr>
                              <w:spacing w:before="0" w:after="0" w:line="216" w:lineRule="auto"/>
                              <w:ind w:firstLine="0"/>
                              <w:jc w:val="center"/>
                              <w:rPr>
                                <w:rFonts w:asciiTheme="minorHAnsi" w:hAnsiTheme="minorHAnsi" w:cstheme="minorHAnsi"/>
                                <w:sz w:val="22"/>
                                <w:szCs w:val="22"/>
                              </w:rPr>
                            </w:pPr>
                            <w:r w:rsidRPr="008436CC">
                              <w:rPr>
                                <w:rFonts w:asciiTheme="minorHAnsi" w:hAnsiTheme="minorHAnsi" w:cstheme="minorHAnsi"/>
                                <w:sz w:val="22"/>
                                <w:szCs w:val="22"/>
                              </w:rPr>
                              <w:t>Непознавање аналитичких методологија за А</w:t>
                            </w:r>
                            <w:r>
                              <w:rPr>
                                <w:rFonts w:asciiTheme="minorHAnsi" w:hAnsiTheme="minorHAnsi" w:cstheme="minorHAnsi"/>
                                <w:sz w:val="22"/>
                                <w:szCs w:val="22"/>
                              </w:rPr>
                              <w:t>нализу ефеката</w:t>
                            </w:r>
                            <w:r w:rsidRPr="008436CC">
                              <w:rPr>
                                <w:rFonts w:asciiTheme="minorHAnsi" w:hAnsiTheme="minorHAnsi" w:cstheme="minorHAnsi"/>
                                <w:sz w:val="22"/>
                                <w:szCs w:val="22"/>
                              </w:rPr>
                              <w:t xml:space="preserve"> при креирању ЈП и прописа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25ED22" id="Text Box 1026" o:spid="_x0000_s1067" style="position:absolute;left:0;text-align:left;margin-left:-39.2pt;margin-top:23.7pt;width:118.55pt;height:71.8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" fillcolor="window" strokecolor="#e7e6e6 [3214]" strokeweight="2.25pt">
                <v:stroke joinstyle="miter"/>
                <v:textbox inset="0,0,0,0">
                  <w:txbxContent>
                    <w:p w14:paraId="00FF93F6" w14:textId="28FBCD7E" w:rsidR="00876FFE" w:rsidRPr="008436CC" w:rsidRDefault="00876FFE" w:rsidP="00EB1385">
                      <w:pPr>
                        <w:spacing w:before="0" w:after="0" w:line="216" w:lineRule="auto"/>
                        <w:ind w:firstLine="0"/>
                        <w:jc w:val="center"/>
                        <w:rPr>
                          <w:rFonts w:asciiTheme="minorHAnsi" w:hAnsiTheme="minorHAnsi" w:cstheme="minorHAnsi"/>
                          <w:sz w:val="22"/>
                          <w:szCs w:val="22"/>
                        </w:rPr>
                      </w:pPr>
                      <w:r w:rsidRPr="008436CC">
                        <w:rPr>
                          <w:rFonts w:asciiTheme="minorHAnsi" w:hAnsiTheme="minorHAnsi" w:cstheme="minorHAnsi"/>
                          <w:sz w:val="22"/>
                          <w:szCs w:val="22"/>
                        </w:rPr>
                        <w:t xml:space="preserve">Непознавање </w:t>
                      </w:r>
                      <w:r w:rsidRPr="008436CC">
                        <w:rPr>
                          <w:rFonts w:asciiTheme="minorHAnsi" w:hAnsiTheme="minorHAnsi" w:cstheme="minorHAnsi"/>
                          <w:sz w:val="22"/>
                          <w:szCs w:val="22"/>
                        </w:rPr>
                        <w:t>аналитичких методологија за А</w:t>
                      </w:r>
                      <w:r>
                        <w:rPr>
                          <w:rFonts w:asciiTheme="minorHAnsi" w:hAnsiTheme="minorHAnsi" w:cstheme="minorHAnsi"/>
                          <w:sz w:val="22"/>
                          <w:szCs w:val="22"/>
                        </w:rPr>
                        <w:t>нализу ефеката</w:t>
                      </w:r>
                      <w:r w:rsidRPr="008436CC">
                        <w:rPr>
                          <w:rFonts w:asciiTheme="minorHAnsi" w:hAnsiTheme="minorHAnsi" w:cstheme="minorHAnsi"/>
                          <w:sz w:val="22"/>
                          <w:szCs w:val="22"/>
                        </w:rPr>
                        <w:t xml:space="preserve"> при креирању ЈП и прописа</w:t>
                      </w:r>
                    </w:p>
                  </w:txbxContent>
                </v:textbox>
              </v:roundrect>
            </w:pict>
          </mc:Fallback>
        </mc:AlternateContent>
      </w:r>
    </w:p>
    <w:p w14:paraId="11FFC9BA" w14:textId="211AC02F" w:rsidR="00E42A9B" w:rsidRPr="000F0299" w:rsidRDefault="00E42A9B"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p>
    <w:p w14:paraId="1CEAA948" w14:textId="77777777" w:rsidR="00E42A9B" w:rsidRPr="000F0299" w:rsidRDefault="00E42A9B"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p>
    <w:p w14:paraId="716CF849" w14:textId="213539CA" w:rsidR="00E42A9B" w:rsidRPr="000F0299" w:rsidRDefault="00643DC4"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84032" behindDoc="0" locked="0" layoutInCell="1" allowOverlap="1" wp14:anchorId="0B71AA86" wp14:editId="5987DF97">
                <wp:simplePos x="0" y="0"/>
                <wp:positionH relativeFrom="column">
                  <wp:posOffset>5935980</wp:posOffset>
                </wp:positionH>
                <wp:positionV relativeFrom="paragraph">
                  <wp:posOffset>313690</wp:posOffset>
                </wp:positionV>
                <wp:extent cx="1645920" cy="844550"/>
                <wp:effectExtent l="19050" t="19050" r="11430" b="12700"/>
                <wp:wrapNone/>
                <wp:docPr id="1045" name="Text Box 1045"/>
                <wp:cNvGraphicFramePr/>
                <a:graphic xmlns:a="http://schemas.openxmlformats.org/drawingml/2006/main">
                  <a:graphicData uri="http://schemas.microsoft.com/office/word/2010/wordprocessingShape">
                    <wps:wsp>
                      <wps:cNvSpPr txBox="1"/>
                      <wps:spPr>
                        <a:xfrm>
                          <a:off x="0" y="0"/>
                          <a:ext cx="1645920" cy="844550"/>
                        </a:xfrm>
                        <a:prstGeom prst="roundRect">
                          <a:avLst/>
                        </a:prstGeom>
                        <a:solidFill>
                          <a:sysClr val="window" lastClr="FFFFFF"/>
                        </a:solidFill>
                        <a:ln w="28575" cap="flat" cmpd="sng" algn="ctr">
                          <a:solidFill>
                            <a:schemeClr val="bg2"/>
                          </a:solidFill>
                          <a:prstDash val="solid"/>
                          <a:miter lim="800000"/>
                        </a:ln>
                        <a:effectLst/>
                      </wps:spPr>
                      <wps:txbx>
                        <w:txbxContent>
                          <w:p w14:paraId="2C36961B" w14:textId="75344AA7" w:rsidR="00876FFE" w:rsidRPr="003C4A0D" w:rsidRDefault="00876FFE" w:rsidP="003C4A0D">
                            <w:pPr>
                              <w:spacing w:before="0" w:after="0"/>
                              <w:ind w:firstLine="0"/>
                              <w:jc w:val="center"/>
                              <w:rPr>
                                <w:rFonts w:asciiTheme="minorHAnsi" w:hAnsiTheme="minorHAnsi" w:cstheme="minorHAnsi"/>
                                <w:sz w:val="22"/>
                                <w:szCs w:val="22"/>
                              </w:rPr>
                            </w:pPr>
                            <w:r w:rsidRPr="003C4A0D">
                              <w:rPr>
                                <w:rFonts w:asciiTheme="minorHAnsi" w:hAnsiTheme="minorHAnsi" w:cstheme="minorHAnsi"/>
                                <w:sz w:val="22"/>
                                <w:szCs w:val="22"/>
                              </w:rPr>
                              <w:t xml:space="preserve">Недовољна </w:t>
                            </w:r>
                            <w:r w:rsidRPr="003C4A0D">
                              <w:rPr>
                                <w:rFonts w:asciiTheme="minorHAnsi" w:hAnsiTheme="minorHAnsi" w:cstheme="minorHAnsi"/>
                                <w:sz w:val="22"/>
                                <w:szCs w:val="22"/>
                              </w:rPr>
                              <w:br/>
                              <w:t xml:space="preserve">комуникација и </w:t>
                            </w:r>
                            <w:r w:rsidRPr="003C4A0D">
                              <w:rPr>
                                <w:rFonts w:asciiTheme="minorHAnsi" w:hAnsiTheme="minorHAnsi" w:cstheme="minorHAnsi"/>
                                <w:sz w:val="22"/>
                                <w:szCs w:val="22"/>
                              </w:rPr>
                              <w:br/>
                            </w:r>
                            <w:r>
                              <w:rPr>
                                <w:rFonts w:asciiTheme="minorHAnsi" w:hAnsiTheme="minorHAnsi" w:cstheme="minorHAnsi"/>
                                <w:sz w:val="22"/>
                                <w:szCs w:val="22"/>
                              </w:rPr>
                              <w:t>координација између</w:t>
                            </w:r>
                            <w:r>
                              <w:rPr>
                                <w:rFonts w:asciiTheme="minorHAnsi" w:hAnsiTheme="minorHAnsi" w:cstheme="minorHAnsi"/>
                                <w:sz w:val="22"/>
                                <w:szCs w:val="22"/>
                              </w:rPr>
                              <w:br/>
                              <w:t>и унутар органа државне управе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71AA86" id="Text Box 1045" o:spid="_x0000_s1068" style="position:absolute;left:0;text-align:left;margin-left:467.4pt;margin-top:24.7pt;width:129.6pt;height:66.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" fillcolor="window" strokecolor="#e7e6e6 [3214]" strokeweight="2.25pt">
                <v:stroke joinstyle="miter"/>
                <v:textbox inset="0,0,0,0">
                  <w:txbxContent>
                    <w:p w14:paraId="2C36961B" w14:textId="75344AA7" w:rsidR="00876FFE" w:rsidRPr="003C4A0D" w:rsidRDefault="00876FFE" w:rsidP="003C4A0D">
                      <w:pPr>
                        <w:spacing w:before="0" w:after="0"/>
                        <w:ind w:firstLine="0"/>
                        <w:jc w:val="center"/>
                        <w:rPr>
                          <w:rFonts w:asciiTheme="minorHAnsi" w:hAnsiTheme="minorHAnsi" w:cstheme="minorHAnsi"/>
                          <w:sz w:val="22"/>
                          <w:szCs w:val="22"/>
                        </w:rPr>
                      </w:pPr>
                      <w:r w:rsidRPr="003C4A0D">
                        <w:rPr>
                          <w:rFonts w:asciiTheme="minorHAnsi" w:hAnsiTheme="minorHAnsi" w:cstheme="minorHAnsi"/>
                          <w:sz w:val="22"/>
                          <w:szCs w:val="22"/>
                        </w:rPr>
                        <w:t xml:space="preserve">Недовољна </w:t>
                      </w:r>
                      <w:r w:rsidRPr="003C4A0D">
                        <w:rPr>
                          <w:rFonts w:asciiTheme="minorHAnsi" w:hAnsiTheme="minorHAnsi" w:cstheme="minorHAnsi"/>
                          <w:sz w:val="22"/>
                          <w:szCs w:val="22"/>
                        </w:rPr>
                        <w:br/>
                      </w:r>
                      <w:r w:rsidRPr="003C4A0D">
                        <w:rPr>
                          <w:rFonts w:asciiTheme="minorHAnsi" w:hAnsiTheme="minorHAnsi" w:cstheme="minorHAnsi"/>
                          <w:sz w:val="22"/>
                          <w:szCs w:val="22"/>
                        </w:rPr>
                        <w:t xml:space="preserve">комуникација и </w:t>
                      </w:r>
                      <w:r w:rsidRPr="003C4A0D">
                        <w:rPr>
                          <w:rFonts w:asciiTheme="minorHAnsi" w:hAnsiTheme="minorHAnsi" w:cstheme="minorHAnsi"/>
                          <w:sz w:val="22"/>
                          <w:szCs w:val="22"/>
                        </w:rPr>
                        <w:br/>
                      </w:r>
                      <w:r>
                        <w:rPr>
                          <w:rFonts w:asciiTheme="minorHAnsi" w:hAnsiTheme="minorHAnsi" w:cstheme="minorHAnsi"/>
                          <w:sz w:val="22"/>
                          <w:szCs w:val="22"/>
                        </w:rPr>
                        <w:t>координација између</w:t>
                      </w:r>
                      <w:r>
                        <w:rPr>
                          <w:rFonts w:asciiTheme="minorHAnsi" w:hAnsiTheme="minorHAnsi" w:cstheme="minorHAnsi"/>
                          <w:sz w:val="22"/>
                          <w:szCs w:val="22"/>
                        </w:rPr>
                        <w:br/>
                        <w:t>и унутар органа државне управе</w:t>
                      </w:r>
                    </w:p>
                  </w:txbxContent>
                </v:textbox>
              </v:roundrect>
            </w:pict>
          </mc:Fallback>
        </mc:AlternateContent>
      </w:r>
      <w:r w:rsidR="003C4A0D"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79936" behindDoc="0" locked="0" layoutInCell="1" allowOverlap="1" wp14:anchorId="4A25FD1C" wp14:editId="4C99809E">
                <wp:simplePos x="0" y="0"/>
                <wp:positionH relativeFrom="column">
                  <wp:posOffset>7660640</wp:posOffset>
                </wp:positionH>
                <wp:positionV relativeFrom="paragraph">
                  <wp:posOffset>283845</wp:posOffset>
                </wp:positionV>
                <wp:extent cx="1438275" cy="819150"/>
                <wp:effectExtent l="19050" t="19050" r="28575" b="19050"/>
                <wp:wrapNone/>
                <wp:docPr id="174" name="Text Box 174"/>
                <wp:cNvGraphicFramePr/>
                <a:graphic xmlns:a="http://schemas.openxmlformats.org/drawingml/2006/main">
                  <a:graphicData uri="http://schemas.microsoft.com/office/word/2010/wordprocessingShape">
                    <wps:wsp>
                      <wps:cNvSpPr txBox="1"/>
                      <wps:spPr>
                        <a:xfrm>
                          <a:off x="0" y="0"/>
                          <a:ext cx="1438275" cy="819150"/>
                        </a:xfrm>
                        <a:prstGeom prst="roundRect">
                          <a:avLst/>
                        </a:prstGeom>
                        <a:solidFill>
                          <a:sysClr val="window" lastClr="FFFFFF"/>
                        </a:solidFill>
                        <a:ln w="28575" cap="flat" cmpd="sng" algn="ctr">
                          <a:solidFill>
                            <a:schemeClr val="bg2"/>
                          </a:solidFill>
                          <a:prstDash val="solid"/>
                          <a:miter lim="800000"/>
                        </a:ln>
                        <a:effectLst/>
                      </wps:spPr>
                      <wps:txbx>
                        <w:txbxContent>
                          <w:p w14:paraId="12ACA15E" w14:textId="77777777" w:rsidR="00876FFE" w:rsidRPr="003C4A0D" w:rsidRDefault="00876FFE" w:rsidP="003C4A0D">
                            <w:pPr>
                              <w:spacing w:before="0" w:after="0"/>
                              <w:ind w:firstLine="0"/>
                              <w:jc w:val="center"/>
                              <w:rPr>
                                <w:rFonts w:asciiTheme="minorHAnsi" w:hAnsiTheme="minorHAnsi" w:cstheme="minorHAnsi"/>
                                <w:sz w:val="22"/>
                                <w:szCs w:val="22"/>
                              </w:rPr>
                            </w:pPr>
                            <w:r w:rsidRPr="003C4A0D">
                              <w:rPr>
                                <w:rFonts w:asciiTheme="minorHAnsi" w:hAnsiTheme="minorHAnsi" w:cstheme="minorHAnsi"/>
                                <w:sz w:val="22"/>
                                <w:szCs w:val="22"/>
                              </w:rPr>
                              <w:t xml:space="preserve">Неуједначена методологија </w:t>
                            </w:r>
                            <w:r w:rsidRPr="003C4A0D">
                              <w:rPr>
                                <w:rFonts w:asciiTheme="minorHAnsi" w:hAnsiTheme="minorHAnsi" w:cstheme="minorHAnsi"/>
                                <w:sz w:val="22"/>
                                <w:szCs w:val="22"/>
                              </w:rPr>
                              <w:br/>
                              <w:t>обрачуна трошкова</w:t>
                            </w:r>
                            <w:r w:rsidRPr="003C4A0D">
                              <w:rPr>
                                <w:rFonts w:asciiTheme="minorHAnsi" w:hAnsiTheme="minorHAnsi" w:cstheme="minorHAnsi"/>
                                <w:sz w:val="22"/>
                                <w:szCs w:val="22"/>
                              </w:rPr>
                              <w:br/>
                              <w:t>ЈП и прописа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25FD1C" id="Text Box 174" o:spid="_x0000_s1069" style="position:absolute;left:0;text-align:left;margin-left:603.2pt;margin-top:22.35pt;width:113.25pt;height:64.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" fillcolor="window" strokecolor="#e7e6e6 [3214]" strokeweight="2.25pt">
                <v:stroke joinstyle="miter"/>
                <v:textbox inset="0,0,0,0">
                  <w:txbxContent>
                    <w:p w14:paraId="12ACA15E" w14:textId="77777777" w:rsidR="00876FFE" w:rsidRPr="003C4A0D" w:rsidRDefault="00876FFE" w:rsidP="003C4A0D">
                      <w:pPr>
                        <w:spacing w:before="0" w:after="0"/>
                        <w:ind w:firstLine="0"/>
                        <w:jc w:val="center"/>
                        <w:rPr>
                          <w:rFonts w:asciiTheme="minorHAnsi" w:hAnsiTheme="minorHAnsi" w:cstheme="minorHAnsi"/>
                          <w:sz w:val="22"/>
                          <w:szCs w:val="22"/>
                        </w:rPr>
                      </w:pPr>
                      <w:r w:rsidRPr="003C4A0D">
                        <w:rPr>
                          <w:rFonts w:asciiTheme="minorHAnsi" w:hAnsiTheme="minorHAnsi" w:cstheme="minorHAnsi"/>
                          <w:sz w:val="22"/>
                          <w:szCs w:val="22"/>
                        </w:rPr>
                        <w:t xml:space="preserve">Неуједначена методологија </w:t>
                      </w:r>
                      <w:r w:rsidRPr="003C4A0D">
                        <w:rPr>
                          <w:rFonts w:asciiTheme="minorHAnsi" w:hAnsiTheme="minorHAnsi" w:cstheme="minorHAnsi"/>
                          <w:sz w:val="22"/>
                          <w:szCs w:val="22"/>
                        </w:rPr>
                        <w:br/>
                        <w:t>обрачуна трошкова</w:t>
                      </w:r>
                      <w:r w:rsidRPr="003C4A0D">
                        <w:rPr>
                          <w:rFonts w:asciiTheme="minorHAnsi" w:hAnsiTheme="minorHAnsi" w:cstheme="minorHAnsi"/>
                          <w:sz w:val="22"/>
                          <w:szCs w:val="22"/>
                        </w:rPr>
                        <w:br/>
                        <w:t>ЈП и прописа</w:t>
                      </w:r>
                    </w:p>
                  </w:txbxContent>
                </v:textbox>
              </v:roundrect>
            </w:pict>
          </mc:Fallback>
        </mc:AlternateContent>
      </w:r>
      <w:r w:rsidR="003C4A0D"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06560" behindDoc="0" locked="0" layoutInCell="1" allowOverlap="1" wp14:anchorId="5E277306" wp14:editId="37E8024B">
                <wp:simplePos x="0" y="0"/>
                <wp:positionH relativeFrom="column">
                  <wp:posOffset>5080000</wp:posOffset>
                </wp:positionH>
                <wp:positionV relativeFrom="paragraph">
                  <wp:posOffset>99695</wp:posOffset>
                </wp:positionV>
                <wp:extent cx="0" cy="204470"/>
                <wp:effectExtent l="76200" t="38100" r="57150" b="24130"/>
                <wp:wrapNone/>
                <wp:docPr id="1035" name="Straight Arrow Connector 1035"/>
                <wp:cNvGraphicFramePr/>
                <a:graphic xmlns:a="http://schemas.openxmlformats.org/drawingml/2006/main">
                  <a:graphicData uri="http://schemas.microsoft.com/office/word/2010/wordprocessingShape">
                    <wps:wsp>
                      <wps:cNvCnPr/>
                      <wps:spPr>
                        <a:xfrm flipV="1">
                          <a:off x="0" y="0"/>
                          <a:ext cx="0" cy="20447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3278F" id="Straight Arrow Connector 1035" o:spid="_x0000_s1026" type="#_x0000_t32" style="position:absolute;margin-left:400pt;margin-top:7.85pt;width:0;height:16.1pt;flip:y;z-index:2519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" strokecolor="#d8d8d8 [2732]" strokeweight="1.5pt">
                <v:stroke endarrow="block" joinstyle="miter"/>
              </v:shape>
            </w:pict>
          </mc:Fallback>
        </mc:AlternateContent>
      </w:r>
      <w:r w:rsidR="003C4A0D"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07584" behindDoc="0" locked="0" layoutInCell="1" allowOverlap="1" wp14:anchorId="1742FAEC" wp14:editId="5AACC95E">
                <wp:simplePos x="0" y="0"/>
                <wp:positionH relativeFrom="column">
                  <wp:posOffset>8187055</wp:posOffset>
                </wp:positionH>
                <wp:positionV relativeFrom="paragraph">
                  <wp:posOffset>82550</wp:posOffset>
                </wp:positionV>
                <wp:extent cx="0" cy="204470"/>
                <wp:effectExtent l="76200" t="38100" r="57150" b="24130"/>
                <wp:wrapNone/>
                <wp:docPr id="1034" name="Straight Arrow Connector 1034"/>
                <wp:cNvGraphicFramePr/>
                <a:graphic xmlns:a="http://schemas.openxmlformats.org/drawingml/2006/main">
                  <a:graphicData uri="http://schemas.microsoft.com/office/word/2010/wordprocessingShape">
                    <wps:wsp>
                      <wps:cNvCnPr/>
                      <wps:spPr>
                        <a:xfrm flipV="1">
                          <a:off x="0" y="0"/>
                          <a:ext cx="0" cy="20447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E158F0" id="Straight Arrow Connector 1034" o:spid="_x0000_s1026" type="#_x0000_t32" style="position:absolute;margin-left:644.65pt;margin-top:6.5pt;width:0;height:16.1pt;flip:y;z-index:25190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" strokecolor="#d8d8d8 [2732]" strokeweight="1.5pt">
                <v:stroke endarrow="block" joinstyle="miter"/>
              </v:shape>
            </w:pict>
          </mc:Fallback>
        </mc:AlternateContent>
      </w:r>
      <w:r w:rsidR="003C4A0D"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08608" behindDoc="0" locked="0" layoutInCell="1" allowOverlap="1" wp14:anchorId="55AB829F" wp14:editId="31B5F7FC">
                <wp:simplePos x="0" y="0"/>
                <wp:positionH relativeFrom="column">
                  <wp:posOffset>6645910</wp:posOffset>
                </wp:positionH>
                <wp:positionV relativeFrom="paragraph">
                  <wp:posOffset>99695</wp:posOffset>
                </wp:positionV>
                <wp:extent cx="0" cy="204470"/>
                <wp:effectExtent l="76200" t="38100" r="57150" b="24130"/>
                <wp:wrapNone/>
                <wp:docPr id="1036" name="Straight Arrow Connector 1036"/>
                <wp:cNvGraphicFramePr/>
                <a:graphic xmlns:a="http://schemas.openxmlformats.org/drawingml/2006/main">
                  <a:graphicData uri="http://schemas.microsoft.com/office/word/2010/wordprocessingShape">
                    <wps:wsp>
                      <wps:cNvCnPr/>
                      <wps:spPr>
                        <a:xfrm flipV="1">
                          <a:off x="0" y="0"/>
                          <a:ext cx="0" cy="20447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5BD01F" id="Straight Arrow Connector 1036" o:spid="_x0000_s1026" type="#_x0000_t32" style="position:absolute;margin-left:523.3pt;margin-top:7.85pt;width:0;height:16.1pt;flip:y;z-index:25190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" strokecolor="#d8d8d8 [2732]" strokeweight="1.5pt">
                <v:stroke endarrow="block" joinstyle="miter"/>
              </v:shape>
            </w:pict>
          </mc:Fallback>
        </mc:AlternateContent>
      </w:r>
      <w:r w:rsidR="003C4A0D"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15776" behindDoc="0" locked="0" layoutInCell="1" allowOverlap="1" wp14:anchorId="58AEE5EC" wp14:editId="2CF75A69">
                <wp:simplePos x="0" y="0"/>
                <wp:positionH relativeFrom="column">
                  <wp:posOffset>5816600</wp:posOffset>
                </wp:positionH>
                <wp:positionV relativeFrom="paragraph">
                  <wp:posOffset>787400</wp:posOffset>
                </wp:positionV>
                <wp:extent cx="118110" cy="9525"/>
                <wp:effectExtent l="0" t="57150" r="34290" b="85725"/>
                <wp:wrapNone/>
                <wp:docPr id="1038" name="Straight Arrow Connector 1038"/>
                <wp:cNvGraphicFramePr/>
                <a:graphic xmlns:a="http://schemas.openxmlformats.org/drawingml/2006/main">
                  <a:graphicData uri="http://schemas.microsoft.com/office/word/2010/wordprocessingShape">
                    <wps:wsp>
                      <wps:cNvCnPr/>
                      <wps:spPr>
                        <a:xfrm flipV="1">
                          <a:off x="0" y="0"/>
                          <a:ext cx="118110" cy="9525"/>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385D7B" id="Straight Arrow Connector 1038" o:spid="_x0000_s1026" type="#_x0000_t32" style="position:absolute;margin-left:458pt;margin-top:62pt;width:9.3pt;height:.75pt;flip:y;z-index:25191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" strokecolor="#d8d8d8 [2732]" strokeweight="1.5pt">
                <v:stroke endarrow="block" joinstyle="miter"/>
              </v:shape>
            </w:pict>
          </mc:Fallback>
        </mc:AlternateContent>
      </w:r>
      <w:r w:rsidR="00F679C7"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04512" behindDoc="0" locked="0" layoutInCell="1" allowOverlap="1" wp14:anchorId="56C5965A" wp14:editId="28543C26">
                <wp:simplePos x="0" y="0"/>
                <wp:positionH relativeFrom="column">
                  <wp:posOffset>1878965</wp:posOffset>
                </wp:positionH>
                <wp:positionV relativeFrom="paragraph">
                  <wp:posOffset>253788</wp:posOffset>
                </wp:positionV>
                <wp:extent cx="0" cy="204470"/>
                <wp:effectExtent l="76200" t="38100" r="57150" b="24130"/>
                <wp:wrapNone/>
                <wp:docPr id="1044" name="Straight Arrow Connector 1044"/>
                <wp:cNvGraphicFramePr/>
                <a:graphic xmlns:a="http://schemas.openxmlformats.org/drawingml/2006/main">
                  <a:graphicData uri="http://schemas.microsoft.com/office/word/2010/wordprocessingShape">
                    <wps:wsp>
                      <wps:cNvCnPr/>
                      <wps:spPr>
                        <a:xfrm flipV="1">
                          <a:off x="0" y="0"/>
                          <a:ext cx="0" cy="20447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67C7C" id="Straight Arrow Connector 1044" o:spid="_x0000_s1026" type="#_x0000_t32" style="position:absolute;margin-left:147.95pt;margin-top:20pt;width:0;height:16.1pt;flip:y;z-index:25190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" strokecolor="#d8d8d8 [2732]" strokeweight="1.5pt">
                <v:stroke endarrow="block" joinstyle="miter"/>
              </v:shape>
            </w:pict>
          </mc:Fallback>
        </mc:AlternateContent>
      </w:r>
      <w:r w:rsidR="00EB1385"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05536" behindDoc="0" locked="0" layoutInCell="1" allowOverlap="1" wp14:anchorId="4ADDF933" wp14:editId="429434A7">
                <wp:simplePos x="0" y="0"/>
                <wp:positionH relativeFrom="column">
                  <wp:posOffset>228600</wp:posOffset>
                </wp:positionH>
                <wp:positionV relativeFrom="paragraph">
                  <wp:posOffset>302895</wp:posOffset>
                </wp:positionV>
                <wp:extent cx="0" cy="143510"/>
                <wp:effectExtent l="76200" t="38100" r="57150" b="27940"/>
                <wp:wrapNone/>
                <wp:docPr id="1040" name="Straight Arrow Connector 1040"/>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603CD" id="Straight Arrow Connector 1040" o:spid="_x0000_s1026" type="#_x0000_t32" style="position:absolute;margin-left:18pt;margin-top:23.85pt;width:0;height:11.3pt;flip: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" strokecolor="#d8d8d8 [2732]" strokeweight="1.5pt">
                <v:stroke endarrow="block" joinstyle="miter"/>
              </v:shape>
            </w:pict>
          </mc:Fallback>
        </mc:AlternateContent>
      </w:r>
    </w:p>
    <w:p w14:paraId="7C7DED25" w14:textId="4C3FCBF0" w:rsidR="00E42A9B" w:rsidRPr="000F0299" w:rsidRDefault="003C4A0D"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78912" behindDoc="0" locked="0" layoutInCell="1" allowOverlap="1" wp14:anchorId="7B25D09B" wp14:editId="4AB4C302">
                <wp:simplePos x="0" y="0"/>
                <wp:positionH relativeFrom="column">
                  <wp:posOffset>9246177</wp:posOffset>
                </wp:positionH>
                <wp:positionV relativeFrom="paragraph">
                  <wp:posOffset>20588</wp:posOffset>
                </wp:positionV>
                <wp:extent cx="1963420" cy="2210272"/>
                <wp:effectExtent l="19050" t="19050" r="17780" b="19050"/>
                <wp:wrapNone/>
                <wp:docPr id="1028" name="Text Box 1028"/>
                <wp:cNvGraphicFramePr/>
                <a:graphic xmlns:a="http://schemas.openxmlformats.org/drawingml/2006/main">
                  <a:graphicData uri="http://schemas.microsoft.com/office/word/2010/wordprocessingShape">
                    <wps:wsp>
                      <wps:cNvSpPr txBox="1"/>
                      <wps:spPr>
                        <a:xfrm>
                          <a:off x="0" y="0"/>
                          <a:ext cx="1963420" cy="2210272"/>
                        </a:xfrm>
                        <a:prstGeom prst="roundRect">
                          <a:avLst/>
                        </a:prstGeom>
                        <a:solidFill>
                          <a:sysClr val="window" lastClr="FFFFFF"/>
                        </a:solidFill>
                        <a:ln w="28575" cap="flat" cmpd="sng" algn="ctr">
                          <a:solidFill>
                            <a:schemeClr val="bg2"/>
                          </a:solidFill>
                          <a:prstDash val="solid"/>
                          <a:miter lim="800000"/>
                        </a:ln>
                        <a:effectLst/>
                      </wps:spPr>
                      <wps:txbx>
                        <w:txbxContent>
                          <w:p w14:paraId="3A3492CC" w14:textId="77777777" w:rsidR="00876FFE" w:rsidRPr="003C4A0D" w:rsidRDefault="00876FFE" w:rsidP="003C4A0D">
                            <w:pPr>
                              <w:spacing w:before="0"/>
                              <w:ind w:firstLine="0"/>
                              <w:jc w:val="center"/>
                              <w:rPr>
                                <w:rFonts w:asciiTheme="minorHAnsi" w:hAnsiTheme="minorHAnsi" w:cstheme="minorHAnsi"/>
                                <w:sz w:val="22"/>
                                <w:szCs w:val="22"/>
                              </w:rPr>
                            </w:pPr>
                            <w:r w:rsidRPr="003C4A0D">
                              <w:rPr>
                                <w:rFonts w:asciiTheme="minorHAnsi" w:hAnsiTheme="minorHAnsi" w:cstheme="minorHAnsi"/>
                                <w:sz w:val="22"/>
                                <w:szCs w:val="22"/>
                              </w:rPr>
                              <w:t xml:space="preserve">Непостојање свести и </w:t>
                            </w:r>
                            <w:r w:rsidRPr="003C4A0D">
                              <w:rPr>
                                <w:rFonts w:asciiTheme="minorHAnsi" w:hAnsiTheme="minorHAnsi" w:cstheme="minorHAnsi"/>
                                <w:sz w:val="22"/>
                                <w:szCs w:val="22"/>
                              </w:rPr>
                              <w:br/>
                              <w:t xml:space="preserve">разумевања потребе за укључивањем јавности и последично одсуство </w:t>
                            </w:r>
                            <w:r w:rsidRPr="003C4A0D">
                              <w:rPr>
                                <w:rFonts w:asciiTheme="minorHAnsi" w:hAnsiTheme="minorHAnsi" w:cstheme="minorHAnsi"/>
                                <w:sz w:val="22"/>
                                <w:szCs w:val="22"/>
                              </w:rPr>
                              <w:br/>
                              <w:t>адекватног и систематичног</w:t>
                            </w:r>
                            <w:r w:rsidRPr="003C4A0D">
                              <w:rPr>
                                <w:rFonts w:asciiTheme="minorHAnsi" w:hAnsiTheme="minorHAnsi" w:cstheme="minorHAnsi"/>
                                <w:sz w:val="22"/>
                                <w:szCs w:val="22"/>
                              </w:rPr>
                              <w:br/>
                              <w:t>информисања и јачања капацитета јавности и</w:t>
                            </w:r>
                            <w:r w:rsidRPr="003C4A0D">
                              <w:rPr>
                                <w:rFonts w:asciiTheme="minorHAnsi" w:hAnsiTheme="minorHAnsi" w:cstheme="minorHAnsi"/>
                                <w:sz w:val="22"/>
                                <w:szCs w:val="22"/>
                              </w:rPr>
                              <w:br/>
                              <w:t>заинтересованих стручних група</w:t>
                            </w:r>
                            <w:r w:rsidRPr="003C4A0D">
                              <w:rPr>
                                <w:rFonts w:asciiTheme="minorHAnsi" w:hAnsiTheme="minorHAnsi" w:cstheme="minorHAnsi"/>
                                <w:sz w:val="22"/>
                                <w:szCs w:val="22"/>
                              </w:rPr>
                              <w:br/>
                              <w:t xml:space="preserve">у процес креирања и </w:t>
                            </w:r>
                            <w:r w:rsidRPr="003C4A0D">
                              <w:rPr>
                                <w:rFonts w:asciiTheme="minorHAnsi" w:hAnsiTheme="minorHAnsi" w:cstheme="minorHAnsi"/>
                                <w:sz w:val="22"/>
                                <w:szCs w:val="22"/>
                              </w:rPr>
                              <w:br/>
                              <w:t>спровођења политика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25D09B" id="Text Box 1028" o:spid="_x0000_s1070" style="position:absolute;left:0;text-align:left;margin-left:728.05pt;margin-top:1.6pt;width:154.6pt;height:174.0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" fillcolor="window" strokecolor="#e7e6e6 [3214]" strokeweight="2.25pt">
                <v:stroke joinstyle="miter"/>
                <v:textbox inset="0,0,0,0">
                  <w:txbxContent>
                    <w:p w14:paraId="3A3492CC" w14:textId="77777777" w:rsidR="00876FFE" w:rsidRPr="003C4A0D" w:rsidRDefault="00876FFE" w:rsidP="003C4A0D">
                      <w:pPr>
                        <w:spacing w:before="0"/>
                        <w:ind w:firstLine="0"/>
                        <w:jc w:val="center"/>
                        <w:rPr>
                          <w:rFonts w:asciiTheme="minorHAnsi" w:hAnsiTheme="minorHAnsi" w:cstheme="minorHAnsi"/>
                          <w:sz w:val="22"/>
                          <w:szCs w:val="22"/>
                        </w:rPr>
                      </w:pPr>
                      <w:r w:rsidRPr="003C4A0D">
                        <w:rPr>
                          <w:rFonts w:asciiTheme="minorHAnsi" w:hAnsiTheme="minorHAnsi" w:cstheme="minorHAnsi"/>
                          <w:sz w:val="22"/>
                          <w:szCs w:val="22"/>
                        </w:rPr>
                        <w:t xml:space="preserve">Непостојање </w:t>
                      </w:r>
                      <w:r w:rsidRPr="003C4A0D">
                        <w:rPr>
                          <w:rFonts w:asciiTheme="minorHAnsi" w:hAnsiTheme="minorHAnsi" w:cstheme="minorHAnsi"/>
                          <w:sz w:val="22"/>
                          <w:szCs w:val="22"/>
                        </w:rPr>
                        <w:t xml:space="preserve">свести и </w:t>
                      </w:r>
                      <w:r w:rsidRPr="003C4A0D">
                        <w:rPr>
                          <w:rFonts w:asciiTheme="minorHAnsi" w:hAnsiTheme="minorHAnsi" w:cstheme="minorHAnsi"/>
                          <w:sz w:val="22"/>
                          <w:szCs w:val="22"/>
                        </w:rPr>
                        <w:br/>
                        <w:t xml:space="preserve">разумевања потребе за укључивањем јавности и последично одсуство </w:t>
                      </w:r>
                      <w:r w:rsidRPr="003C4A0D">
                        <w:rPr>
                          <w:rFonts w:asciiTheme="minorHAnsi" w:hAnsiTheme="minorHAnsi" w:cstheme="minorHAnsi"/>
                          <w:sz w:val="22"/>
                          <w:szCs w:val="22"/>
                        </w:rPr>
                        <w:br/>
                        <w:t>адекватног и систематичног</w:t>
                      </w:r>
                      <w:r w:rsidRPr="003C4A0D">
                        <w:rPr>
                          <w:rFonts w:asciiTheme="minorHAnsi" w:hAnsiTheme="minorHAnsi" w:cstheme="minorHAnsi"/>
                          <w:sz w:val="22"/>
                          <w:szCs w:val="22"/>
                        </w:rPr>
                        <w:br/>
                        <w:t>информисања и јачања капацитета јавности и</w:t>
                      </w:r>
                      <w:r w:rsidRPr="003C4A0D">
                        <w:rPr>
                          <w:rFonts w:asciiTheme="minorHAnsi" w:hAnsiTheme="minorHAnsi" w:cstheme="minorHAnsi"/>
                          <w:sz w:val="22"/>
                          <w:szCs w:val="22"/>
                        </w:rPr>
                        <w:br/>
                        <w:t>заинтересованих стручних група</w:t>
                      </w:r>
                      <w:r w:rsidRPr="003C4A0D">
                        <w:rPr>
                          <w:rFonts w:asciiTheme="minorHAnsi" w:hAnsiTheme="minorHAnsi" w:cstheme="minorHAnsi"/>
                          <w:sz w:val="22"/>
                          <w:szCs w:val="22"/>
                        </w:rPr>
                        <w:br/>
                        <w:t xml:space="preserve">у процес креирања и </w:t>
                      </w:r>
                      <w:r w:rsidRPr="003C4A0D">
                        <w:rPr>
                          <w:rFonts w:asciiTheme="minorHAnsi" w:hAnsiTheme="minorHAnsi" w:cstheme="minorHAnsi"/>
                          <w:sz w:val="22"/>
                          <w:szCs w:val="22"/>
                        </w:rPr>
                        <w:br/>
                        <w:t>спровођења политика</w:t>
                      </w:r>
                    </w:p>
                  </w:txbxContent>
                </v:textbox>
              </v:roundrect>
            </w:pict>
          </mc:Fallback>
        </mc:AlternateContent>
      </w: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83008" behindDoc="0" locked="0" layoutInCell="1" allowOverlap="1" wp14:anchorId="7F66BCF7" wp14:editId="13AA037D">
                <wp:simplePos x="0" y="0"/>
                <wp:positionH relativeFrom="column">
                  <wp:posOffset>4387850</wp:posOffset>
                </wp:positionH>
                <wp:positionV relativeFrom="paragraph">
                  <wp:posOffset>7197</wp:posOffset>
                </wp:positionV>
                <wp:extent cx="1438275" cy="844550"/>
                <wp:effectExtent l="19050" t="19050" r="28575" b="12700"/>
                <wp:wrapNone/>
                <wp:docPr id="175" name="Text Box 175"/>
                <wp:cNvGraphicFramePr/>
                <a:graphic xmlns:a="http://schemas.openxmlformats.org/drawingml/2006/main">
                  <a:graphicData uri="http://schemas.microsoft.com/office/word/2010/wordprocessingShape">
                    <wps:wsp>
                      <wps:cNvSpPr txBox="1"/>
                      <wps:spPr>
                        <a:xfrm>
                          <a:off x="0" y="0"/>
                          <a:ext cx="1438275" cy="844550"/>
                        </a:xfrm>
                        <a:prstGeom prst="roundRect">
                          <a:avLst/>
                        </a:prstGeom>
                        <a:solidFill>
                          <a:sysClr val="window" lastClr="FFFFFF"/>
                        </a:solidFill>
                        <a:ln w="28575" cap="flat" cmpd="sng" algn="ctr">
                          <a:solidFill>
                            <a:schemeClr val="bg2"/>
                          </a:solidFill>
                          <a:prstDash val="solid"/>
                          <a:miter lim="800000"/>
                        </a:ln>
                        <a:effectLst/>
                      </wps:spPr>
                      <wps:txbx>
                        <w:txbxContent>
                          <w:p w14:paraId="03B75B4F" w14:textId="77777777" w:rsidR="00876FFE" w:rsidRPr="008436CC" w:rsidRDefault="00876FFE" w:rsidP="003C4A0D">
                            <w:pPr>
                              <w:ind w:firstLine="0"/>
                              <w:jc w:val="center"/>
                              <w:rPr>
                                <w:rFonts w:asciiTheme="minorHAnsi" w:hAnsiTheme="minorHAnsi" w:cstheme="minorHAnsi"/>
                                <w:sz w:val="22"/>
                                <w:szCs w:val="22"/>
                              </w:rPr>
                            </w:pPr>
                            <w:r w:rsidRPr="008436CC">
                              <w:rPr>
                                <w:rFonts w:asciiTheme="minorHAnsi" w:hAnsiTheme="minorHAnsi" w:cstheme="minorHAnsi"/>
                                <w:sz w:val="22"/>
                                <w:szCs w:val="22"/>
                              </w:rPr>
                              <w:t>Неадекватан процес приоритизације циљева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66BCF7" id="Text Box 175" o:spid="_x0000_s1071" style="position:absolute;left:0;text-align:left;margin-left:345.5pt;margin-top:.55pt;width:113.25pt;height:66.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" fillcolor="window" strokecolor="#e7e6e6 [3214]" strokeweight="2.25pt">
                <v:stroke joinstyle="miter"/>
                <v:textbox inset="0,0,0,0">
                  <w:txbxContent>
                    <w:p w14:paraId="03B75B4F" w14:textId="77777777" w:rsidR="00876FFE" w:rsidRPr="008436CC" w:rsidRDefault="00876FFE" w:rsidP="003C4A0D">
                      <w:pPr>
                        <w:ind w:firstLine="0"/>
                        <w:jc w:val="center"/>
                        <w:rPr>
                          <w:rFonts w:asciiTheme="minorHAnsi" w:hAnsiTheme="minorHAnsi" w:cstheme="minorHAnsi"/>
                          <w:sz w:val="22"/>
                          <w:szCs w:val="22"/>
                        </w:rPr>
                      </w:pPr>
                      <w:r w:rsidRPr="008436CC">
                        <w:rPr>
                          <w:rFonts w:asciiTheme="minorHAnsi" w:hAnsiTheme="minorHAnsi" w:cstheme="minorHAnsi"/>
                          <w:sz w:val="22"/>
                          <w:szCs w:val="22"/>
                        </w:rPr>
                        <w:t xml:space="preserve">Неадекватан </w:t>
                      </w:r>
                      <w:r w:rsidRPr="008436CC">
                        <w:rPr>
                          <w:rFonts w:asciiTheme="minorHAnsi" w:hAnsiTheme="minorHAnsi" w:cstheme="minorHAnsi"/>
                          <w:sz w:val="22"/>
                          <w:szCs w:val="22"/>
                        </w:rPr>
                        <w:t>процес приоритизације циљева</w:t>
                      </w:r>
                    </w:p>
                  </w:txbxContent>
                </v:textbox>
              </v:roundrect>
            </w:pict>
          </mc:Fallback>
        </mc:AlternateContent>
      </w:r>
      <w:r w:rsidR="00F679C7"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81984" behindDoc="0" locked="0" layoutInCell="1" allowOverlap="1" wp14:anchorId="13B62C50" wp14:editId="7C548B21">
                <wp:simplePos x="0" y="0"/>
                <wp:positionH relativeFrom="column">
                  <wp:posOffset>1140460</wp:posOffset>
                </wp:positionH>
                <wp:positionV relativeFrom="paragraph">
                  <wp:posOffset>178223</wp:posOffset>
                </wp:positionV>
                <wp:extent cx="1496060" cy="779145"/>
                <wp:effectExtent l="19050" t="19050" r="27940" b="20955"/>
                <wp:wrapNone/>
                <wp:docPr id="1046" name="Text Box 1046"/>
                <wp:cNvGraphicFramePr/>
                <a:graphic xmlns:a="http://schemas.openxmlformats.org/drawingml/2006/main">
                  <a:graphicData uri="http://schemas.microsoft.com/office/word/2010/wordprocessingShape">
                    <wps:wsp>
                      <wps:cNvSpPr txBox="1"/>
                      <wps:spPr>
                        <a:xfrm>
                          <a:off x="0" y="0"/>
                          <a:ext cx="1496060" cy="779145"/>
                        </a:xfrm>
                        <a:prstGeom prst="roundRect">
                          <a:avLst/>
                        </a:prstGeom>
                        <a:solidFill>
                          <a:sysClr val="window" lastClr="FFFFFF"/>
                        </a:solidFill>
                        <a:ln w="28575" cap="flat" cmpd="sng" algn="ctr">
                          <a:solidFill>
                            <a:schemeClr val="bg2"/>
                          </a:solidFill>
                          <a:prstDash val="solid"/>
                          <a:miter lim="800000"/>
                        </a:ln>
                        <a:effectLst/>
                      </wps:spPr>
                      <wps:txbx>
                        <w:txbxContent>
                          <w:p w14:paraId="45294A52" w14:textId="77777777" w:rsidR="00876FFE" w:rsidRPr="00F679C7" w:rsidRDefault="00876FFE" w:rsidP="00F679C7">
                            <w:pPr>
                              <w:spacing w:before="0"/>
                              <w:ind w:firstLine="0"/>
                              <w:jc w:val="center"/>
                              <w:rPr>
                                <w:rFonts w:asciiTheme="minorHAnsi" w:hAnsiTheme="minorHAnsi" w:cstheme="minorHAnsi"/>
                                <w:sz w:val="22"/>
                                <w:szCs w:val="22"/>
                              </w:rPr>
                            </w:pPr>
                            <w:r w:rsidRPr="00F679C7">
                              <w:rPr>
                                <w:rFonts w:asciiTheme="minorHAnsi" w:hAnsiTheme="minorHAnsi" w:cstheme="minorHAnsi"/>
                                <w:sz w:val="22"/>
                                <w:szCs w:val="22"/>
                              </w:rPr>
                              <w:t>Распрострањен отпор променама међу ОДУ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B62C50" id="Text Box 1046" o:spid="_x0000_s1072" style="position:absolute;left:0;text-align:left;margin-left:89.8pt;margin-top:14.05pt;width:117.8pt;height:61.3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" fillcolor="window" strokecolor="#e7e6e6 [3214]" strokeweight="2.25pt">
                <v:stroke joinstyle="miter"/>
                <v:textbox inset="0,0,0,0">
                  <w:txbxContent>
                    <w:p w14:paraId="45294A52" w14:textId="77777777" w:rsidR="00876FFE" w:rsidRPr="00F679C7" w:rsidRDefault="00876FFE" w:rsidP="00F679C7">
                      <w:pPr>
                        <w:spacing w:before="0"/>
                        <w:ind w:firstLine="0"/>
                        <w:jc w:val="center"/>
                        <w:rPr>
                          <w:rFonts w:asciiTheme="minorHAnsi" w:hAnsiTheme="minorHAnsi" w:cstheme="minorHAnsi"/>
                          <w:sz w:val="22"/>
                          <w:szCs w:val="22"/>
                        </w:rPr>
                      </w:pPr>
                      <w:r w:rsidRPr="00F679C7">
                        <w:rPr>
                          <w:rFonts w:asciiTheme="minorHAnsi" w:hAnsiTheme="minorHAnsi" w:cstheme="minorHAnsi"/>
                          <w:sz w:val="22"/>
                          <w:szCs w:val="22"/>
                        </w:rPr>
                        <w:t xml:space="preserve">Распрострањен </w:t>
                      </w:r>
                      <w:r w:rsidRPr="00F679C7">
                        <w:rPr>
                          <w:rFonts w:asciiTheme="minorHAnsi" w:hAnsiTheme="minorHAnsi" w:cstheme="minorHAnsi"/>
                          <w:sz w:val="22"/>
                          <w:szCs w:val="22"/>
                        </w:rPr>
                        <w:t>отпор променама међу ОДУ</w:t>
                      </w:r>
                    </w:p>
                  </w:txbxContent>
                </v:textbox>
              </v:roundrect>
            </w:pict>
          </mc:Fallback>
        </mc:AlternateContent>
      </w:r>
      <w:r w:rsidR="00EB1385"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80960" behindDoc="0" locked="0" layoutInCell="1" allowOverlap="1" wp14:anchorId="701D9852" wp14:editId="526A5E15">
                <wp:simplePos x="0" y="0"/>
                <wp:positionH relativeFrom="column">
                  <wp:posOffset>-497205</wp:posOffset>
                </wp:positionH>
                <wp:positionV relativeFrom="paragraph">
                  <wp:posOffset>166793</wp:posOffset>
                </wp:positionV>
                <wp:extent cx="1505585" cy="802005"/>
                <wp:effectExtent l="19050" t="19050" r="18415" b="17145"/>
                <wp:wrapNone/>
                <wp:docPr id="1027" name="Text Box 1027"/>
                <wp:cNvGraphicFramePr/>
                <a:graphic xmlns:a="http://schemas.openxmlformats.org/drawingml/2006/main">
                  <a:graphicData uri="http://schemas.microsoft.com/office/word/2010/wordprocessingShape">
                    <wps:wsp>
                      <wps:cNvSpPr txBox="1"/>
                      <wps:spPr>
                        <a:xfrm>
                          <a:off x="0" y="0"/>
                          <a:ext cx="1505585" cy="802005"/>
                        </a:xfrm>
                        <a:prstGeom prst="roundRect">
                          <a:avLst/>
                        </a:prstGeom>
                        <a:solidFill>
                          <a:sysClr val="window" lastClr="FFFFFF"/>
                        </a:solidFill>
                        <a:ln w="28575" cap="flat" cmpd="sng" algn="ctr">
                          <a:solidFill>
                            <a:schemeClr val="bg2"/>
                          </a:solidFill>
                          <a:prstDash val="solid"/>
                          <a:miter lim="800000"/>
                        </a:ln>
                        <a:effectLst/>
                      </wps:spPr>
                      <wps:txbx>
                        <w:txbxContent>
                          <w:p w14:paraId="7DFEFCC8" w14:textId="1BF5432B" w:rsidR="00876FFE" w:rsidRPr="008436CC" w:rsidRDefault="00876FFE" w:rsidP="00EB1385">
                            <w:pPr>
                              <w:spacing w:before="0" w:after="0" w:line="216" w:lineRule="auto"/>
                              <w:ind w:firstLine="0"/>
                              <w:jc w:val="center"/>
                              <w:rPr>
                                <w:rFonts w:asciiTheme="minorHAnsi" w:hAnsiTheme="minorHAnsi" w:cstheme="minorHAnsi"/>
                                <w:sz w:val="22"/>
                                <w:szCs w:val="22"/>
                              </w:rPr>
                            </w:pPr>
                            <w:r w:rsidRPr="008436CC">
                              <w:rPr>
                                <w:rFonts w:asciiTheme="minorHAnsi" w:hAnsiTheme="minorHAnsi" w:cstheme="minorHAnsi"/>
                                <w:sz w:val="22"/>
                                <w:szCs w:val="22"/>
                              </w:rPr>
                              <w:t>Недостатак организационих јединица за аналитичке послове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1D9852" id="Text Box 1027" o:spid="_x0000_s1073" style="position:absolute;left:0;text-align:left;margin-left:-39.15pt;margin-top:13.15pt;width:118.55pt;height:63.1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" fillcolor="window" strokecolor="#e7e6e6 [3214]" strokeweight="2.25pt">
                <v:stroke joinstyle="miter"/>
                <v:textbox inset="0,0,0,0">
                  <w:txbxContent>
                    <w:p w14:paraId="7DFEFCC8" w14:textId="1BF5432B" w:rsidR="00876FFE" w:rsidRPr="008436CC" w:rsidRDefault="00876FFE" w:rsidP="00EB1385">
                      <w:pPr>
                        <w:spacing w:before="0" w:after="0" w:line="216" w:lineRule="auto"/>
                        <w:ind w:firstLine="0"/>
                        <w:jc w:val="center"/>
                        <w:rPr>
                          <w:rFonts w:asciiTheme="minorHAnsi" w:hAnsiTheme="minorHAnsi" w:cstheme="minorHAnsi"/>
                          <w:sz w:val="22"/>
                          <w:szCs w:val="22"/>
                        </w:rPr>
                      </w:pPr>
                      <w:r w:rsidRPr="008436CC">
                        <w:rPr>
                          <w:rFonts w:asciiTheme="minorHAnsi" w:hAnsiTheme="minorHAnsi" w:cstheme="minorHAnsi"/>
                          <w:sz w:val="22"/>
                          <w:szCs w:val="22"/>
                        </w:rPr>
                        <w:t xml:space="preserve">Недостатак </w:t>
                      </w:r>
                      <w:r w:rsidRPr="008436CC">
                        <w:rPr>
                          <w:rFonts w:asciiTheme="minorHAnsi" w:hAnsiTheme="minorHAnsi" w:cstheme="minorHAnsi"/>
                          <w:sz w:val="22"/>
                          <w:szCs w:val="22"/>
                        </w:rPr>
                        <w:t>организационих јединица за аналитичке послове</w:t>
                      </w:r>
                    </w:p>
                  </w:txbxContent>
                </v:textbox>
              </v:roundrect>
            </w:pict>
          </mc:Fallback>
        </mc:AlternateContent>
      </w:r>
    </w:p>
    <w:p w14:paraId="05FFA28D" w14:textId="104BE978" w:rsidR="00E42A9B" w:rsidRPr="000F0299" w:rsidRDefault="00643DC4"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17824" behindDoc="0" locked="0" layoutInCell="1" allowOverlap="1" wp14:anchorId="4CAD6F40" wp14:editId="55A83773">
                <wp:simplePos x="0" y="0"/>
                <wp:positionH relativeFrom="column">
                  <wp:posOffset>7543800</wp:posOffset>
                </wp:positionH>
                <wp:positionV relativeFrom="paragraph">
                  <wp:posOffset>112394</wp:posOffset>
                </wp:positionV>
                <wp:extent cx="144780" cy="45719"/>
                <wp:effectExtent l="0" t="38100" r="64770" b="50165"/>
                <wp:wrapNone/>
                <wp:docPr id="1037" name="Straight Arrow Connector 1037"/>
                <wp:cNvGraphicFramePr/>
                <a:graphic xmlns:a="http://schemas.openxmlformats.org/drawingml/2006/main">
                  <a:graphicData uri="http://schemas.microsoft.com/office/word/2010/wordprocessingShape">
                    <wps:wsp>
                      <wps:cNvCnPr/>
                      <wps:spPr>
                        <a:xfrm flipV="1">
                          <a:off x="0" y="0"/>
                          <a:ext cx="144780" cy="45719"/>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369392" id="Straight Arrow Connector 1037" o:spid="_x0000_s1026" type="#_x0000_t32" style="position:absolute;margin-left:594pt;margin-top:8.85pt;width:11.4pt;height:3.6pt;flip:y;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" strokecolor="#d8d8d8 [2732]" strokeweight="1.5pt">
                <v:stroke endarrow="block" joinstyle="miter"/>
              </v:shape>
            </w:pict>
          </mc:Fallback>
        </mc:AlternateContent>
      </w:r>
    </w:p>
    <w:p w14:paraId="3B0BA34F" w14:textId="434AB46B" w:rsidR="00E42A9B" w:rsidRPr="000F0299" w:rsidRDefault="003C4A0D"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11680" behindDoc="0" locked="0" layoutInCell="1" allowOverlap="1" wp14:anchorId="11243571" wp14:editId="31641F3B">
                <wp:simplePos x="0" y="0"/>
                <wp:positionH relativeFrom="column">
                  <wp:posOffset>6680200</wp:posOffset>
                </wp:positionH>
                <wp:positionV relativeFrom="paragraph">
                  <wp:posOffset>235585</wp:posOffset>
                </wp:positionV>
                <wp:extent cx="0" cy="139065"/>
                <wp:effectExtent l="76200" t="38100" r="57150" b="13335"/>
                <wp:wrapNone/>
                <wp:docPr id="1033" name="Straight Arrow Connector 1033"/>
                <wp:cNvGraphicFramePr/>
                <a:graphic xmlns:a="http://schemas.openxmlformats.org/drawingml/2006/main">
                  <a:graphicData uri="http://schemas.microsoft.com/office/word/2010/wordprocessingShape">
                    <wps:wsp>
                      <wps:cNvCnPr/>
                      <wps:spPr>
                        <a:xfrm flipV="1">
                          <a:off x="0" y="0"/>
                          <a:ext cx="0" cy="139065"/>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E0EB3D" id="Straight Arrow Connector 1033" o:spid="_x0000_s1026" type="#_x0000_t32" style="position:absolute;margin-left:526pt;margin-top:18.55pt;width:0;height:10.95pt;flip:y;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" strokecolor="#d8d8d8 [2732]" strokeweight="1.5pt">
                <v:stroke endarrow="block" joinstyle="miter"/>
              </v:shape>
            </w:pict>
          </mc:Fallback>
        </mc:AlternateContent>
      </w:r>
    </w:p>
    <w:p w14:paraId="4884EE5B" w14:textId="5B4EE458" w:rsidR="00E42A9B" w:rsidRPr="000F0299" w:rsidRDefault="00643DC4"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87104" behindDoc="0" locked="0" layoutInCell="1" allowOverlap="1" wp14:anchorId="6826CF9F" wp14:editId="690ED5D9">
                <wp:simplePos x="0" y="0"/>
                <wp:positionH relativeFrom="column">
                  <wp:posOffset>1188720</wp:posOffset>
                </wp:positionH>
                <wp:positionV relativeFrom="paragraph">
                  <wp:posOffset>230505</wp:posOffset>
                </wp:positionV>
                <wp:extent cx="1433195" cy="1104900"/>
                <wp:effectExtent l="19050" t="19050" r="14605" b="19050"/>
                <wp:wrapNone/>
                <wp:docPr id="1048" name="Text Box 1048"/>
                <wp:cNvGraphicFramePr/>
                <a:graphic xmlns:a="http://schemas.openxmlformats.org/drawingml/2006/main">
                  <a:graphicData uri="http://schemas.microsoft.com/office/word/2010/wordprocessingShape">
                    <wps:wsp>
                      <wps:cNvSpPr txBox="1"/>
                      <wps:spPr>
                        <a:xfrm>
                          <a:off x="0" y="0"/>
                          <a:ext cx="1433195" cy="1104900"/>
                        </a:xfrm>
                        <a:prstGeom prst="roundRect">
                          <a:avLst/>
                        </a:prstGeom>
                        <a:solidFill>
                          <a:sysClr val="window" lastClr="FFFFFF"/>
                        </a:solidFill>
                        <a:ln w="28575" cap="flat" cmpd="sng" algn="ctr">
                          <a:solidFill>
                            <a:schemeClr val="bg2"/>
                          </a:solidFill>
                          <a:prstDash val="solid"/>
                          <a:miter lim="800000"/>
                        </a:ln>
                        <a:effectLst/>
                      </wps:spPr>
                      <wps:txbx>
                        <w:txbxContent>
                          <w:p w14:paraId="2FC7892B" w14:textId="5AAB90F3" w:rsidR="00876FFE" w:rsidRPr="008436CC" w:rsidRDefault="00876FFE" w:rsidP="00F679C7">
                            <w:pPr>
                              <w:ind w:firstLine="0"/>
                              <w:jc w:val="center"/>
                              <w:rPr>
                                <w:rFonts w:asciiTheme="minorHAnsi" w:hAnsiTheme="minorHAnsi" w:cstheme="minorHAnsi"/>
                                <w:sz w:val="22"/>
                                <w:szCs w:val="22"/>
                              </w:rPr>
                            </w:pPr>
                            <w:r w:rsidRPr="008436CC">
                              <w:rPr>
                                <w:rFonts w:asciiTheme="minorHAnsi" w:hAnsiTheme="minorHAnsi" w:cstheme="minorHAnsi"/>
                                <w:sz w:val="22"/>
                                <w:szCs w:val="22"/>
                              </w:rPr>
                              <w:t xml:space="preserve">Незадовољавајућа сарадња </w:t>
                            </w:r>
                            <w:r>
                              <w:rPr>
                                <w:rFonts w:asciiTheme="minorHAnsi" w:hAnsiTheme="minorHAnsi" w:cstheme="minorHAnsi"/>
                                <w:sz w:val="22"/>
                                <w:szCs w:val="22"/>
                              </w:rPr>
                              <w:t>између академске заједнице и органа државне управе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26CF9F" id="Text Box 1048" o:spid="_x0000_s1074" style="position:absolute;left:0;text-align:left;margin-left:93.6pt;margin-top:18.15pt;width:112.85pt;height:87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" fillcolor="window" strokecolor="#e7e6e6 [3214]" strokeweight="2.25pt">
                <v:stroke joinstyle="miter"/>
                <v:textbox inset="0,0,0,0">
                  <w:txbxContent>
                    <w:p w14:paraId="2FC7892B" w14:textId="5AAB90F3" w:rsidR="00876FFE" w:rsidRPr="008436CC" w:rsidRDefault="00876FFE" w:rsidP="00F679C7">
                      <w:pPr>
                        <w:ind w:firstLine="0"/>
                        <w:jc w:val="center"/>
                        <w:rPr>
                          <w:rFonts w:asciiTheme="minorHAnsi" w:hAnsiTheme="minorHAnsi" w:cstheme="minorHAnsi"/>
                          <w:sz w:val="22"/>
                          <w:szCs w:val="22"/>
                        </w:rPr>
                      </w:pPr>
                      <w:r w:rsidRPr="008436CC">
                        <w:rPr>
                          <w:rFonts w:asciiTheme="minorHAnsi" w:hAnsiTheme="minorHAnsi" w:cstheme="minorHAnsi"/>
                          <w:sz w:val="22"/>
                          <w:szCs w:val="22"/>
                        </w:rPr>
                        <w:t xml:space="preserve">Незадовољавајућа </w:t>
                      </w:r>
                      <w:r w:rsidRPr="008436CC">
                        <w:rPr>
                          <w:rFonts w:asciiTheme="minorHAnsi" w:hAnsiTheme="minorHAnsi" w:cstheme="minorHAnsi"/>
                          <w:sz w:val="22"/>
                          <w:szCs w:val="22"/>
                        </w:rPr>
                        <w:t xml:space="preserve">сарадња </w:t>
                      </w:r>
                      <w:r>
                        <w:rPr>
                          <w:rFonts w:asciiTheme="minorHAnsi" w:hAnsiTheme="minorHAnsi" w:cstheme="minorHAnsi"/>
                          <w:sz w:val="22"/>
                          <w:szCs w:val="22"/>
                        </w:rPr>
                        <w:t>између академске заједнице и органа државне управе</w:t>
                      </w:r>
                    </w:p>
                  </w:txbxContent>
                </v:textbox>
              </v:roundrect>
            </w:pict>
          </mc:Fallback>
        </mc:AlternateContent>
      </w:r>
      <w:r w:rsidR="003C4A0D"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94272" behindDoc="0" locked="0" layoutInCell="1" allowOverlap="1" wp14:anchorId="3499DB60" wp14:editId="792EE79B">
                <wp:simplePos x="0" y="0"/>
                <wp:positionH relativeFrom="column">
                  <wp:posOffset>5208905</wp:posOffset>
                </wp:positionH>
                <wp:positionV relativeFrom="paragraph">
                  <wp:posOffset>60482</wp:posOffset>
                </wp:positionV>
                <wp:extent cx="2997835" cy="607484"/>
                <wp:effectExtent l="19050" t="19050" r="12065" b="21590"/>
                <wp:wrapNone/>
                <wp:docPr id="1050" name="Text Box 1050"/>
                <wp:cNvGraphicFramePr/>
                <a:graphic xmlns:a="http://schemas.openxmlformats.org/drawingml/2006/main">
                  <a:graphicData uri="http://schemas.microsoft.com/office/word/2010/wordprocessingShape">
                    <wps:wsp>
                      <wps:cNvSpPr txBox="1"/>
                      <wps:spPr>
                        <a:xfrm>
                          <a:off x="0" y="0"/>
                          <a:ext cx="2997835" cy="607484"/>
                        </a:xfrm>
                        <a:prstGeom prst="roundRect">
                          <a:avLst/>
                        </a:prstGeom>
                        <a:solidFill>
                          <a:sysClr val="window" lastClr="FFFFFF"/>
                        </a:solidFill>
                        <a:ln w="28575" cap="flat" cmpd="sng" algn="ctr">
                          <a:solidFill>
                            <a:schemeClr val="bg2"/>
                          </a:solidFill>
                          <a:prstDash val="solid"/>
                          <a:miter lim="800000"/>
                        </a:ln>
                        <a:effectLst/>
                      </wps:spPr>
                      <wps:txbx>
                        <w:txbxContent>
                          <w:p w14:paraId="19ACEF41" w14:textId="77777777" w:rsidR="00876FFE" w:rsidRPr="003C4A0D" w:rsidRDefault="00876FFE" w:rsidP="00E42A9B">
                            <w:pPr>
                              <w:spacing w:before="0"/>
                              <w:jc w:val="center"/>
                              <w:rPr>
                                <w:rFonts w:asciiTheme="minorHAnsi" w:hAnsiTheme="minorHAnsi" w:cstheme="minorHAnsi"/>
                                <w:sz w:val="22"/>
                                <w:szCs w:val="22"/>
                              </w:rPr>
                            </w:pPr>
                            <w:r w:rsidRPr="003C4A0D">
                              <w:rPr>
                                <w:rFonts w:asciiTheme="minorHAnsi" w:hAnsiTheme="minorHAnsi" w:cstheme="minorHAnsi"/>
                                <w:sz w:val="22"/>
                                <w:szCs w:val="22"/>
                              </w:rPr>
                              <w:t xml:space="preserve">Неусклађен стратешки оквир, са </w:t>
                            </w:r>
                            <w:r w:rsidRPr="003C4A0D">
                              <w:rPr>
                                <w:rFonts w:asciiTheme="minorHAnsi" w:hAnsiTheme="minorHAnsi" w:cstheme="minorHAnsi"/>
                                <w:sz w:val="22"/>
                                <w:szCs w:val="22"/>
                              </w:rPr>
                              <w:br/>
                              <w:t>преклапајућим елементима и непостојаном хијерархијом ДЈП и ДРП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99DB60" id="Text Box 1050" o:spid="_x0000_s1075" style="position:absolute;left:0;text-align:left;margin-left:410.15pt;margin-top:4.75pt;width:236.05pt;height:47.8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" fillcolor="window" strokecolor="#e7e6e6 [3214]" strokeweight="2.25pt">
                <v:stroke joinstyle="miter"/>
                <v:textbox inset="0,0,0,0">
                  <w:txbxContent>
                    <w:p w14:paraId="19ACEF41" w14:textId="77777777" w:rsidR="00876FFE" w:rsidRPr="003C4A0D" w:rsidRDefault="00876FFE" w:rsidP="00E42A9B">
                      <w:pPr>
                        <w:spacing w:before="0"/>
                        <w:jc w:val="center"/>
                        <w:rPr>
                          <w:rFonts w:asciiTheme="minorHAnsi" w:hAnsiTheme="minorHAnsi" w:cstheme="minorHAnsi"/>
                          <w:sz w:val="22"/>
                          <w:szCs w:val="22"/>
                        </w:rPr>
                      </w:pPr>
                      <w:r w:rsidRPr="003C4A0D">
                        <w:rPr>
                          <w:rFonts w:asciiTheme="minorHAnsi" w:hAnsiTheme="minorHAnsi" w:cstheme="minorHAnsi"/>
                          <w:sz w:val="22"/>
                          <w:szCs w:val="22"/>
                        </w:rPr>
                        <w:t xml:space="preserve">Неусклађен </w:t>
                      </w:r>
                      <w:r w:rsidRPr="003C4A0D">
                        <w:rPr>
                          <w:rFonts w:asciiTheme="minorHAnsi" w:hAnsiTheme="minorHAnsi" w:cstheme="minorHAnsi"/>
                          <w:sz w:val="22"/>
                          <w:szCs w:val="22"/>
                        </w:rPr>
                        <w:t xml:space="preserve">стратешки оквир, са </w:t>
                      </w:r>
                      <w:r w:rsidRPr="003C4A0D">
                        <w:rPr>
                          <w:rFonts w:asciiTheme="minorHAnsi" w:hAnsiTheme="minorHAnsi" w:cstheme="minorHAnsi"/>
                          <w:sz w:val="22"/>
                          <w:szCs w:val="22"/>
                        </w:rPr>
                        <w:br/>
                        <w:t>преклапајућим елементима и непостојаном хијерархијом ДЈП и ДРП</w:t>
                      </w:r>
                    </w:p>
                  </w:txbxContent>
                </v:textbox>
              </v:roundrect>
            </w:pict>
          </mc:Fallback>
        </mc:AlternateContent>
      </w:r>
      <w:r w:rsidR="00F679C7"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10656" behindDoc="0" locked="0" layoutInCell="1" allowOverlap="1" wp14:anchorId="6CB1F9CA" wp14:editId="1778163A">
                <wp:simplePos x="0" y="0"/>
                <wp:positionH relativeFrom="column">
                  <wp:posOffset>1845310</wp:posOffset>
                </wp:positionH>
                <wp:positionV relativeFrom="paragraph">
                  <wp:posOffset>13547</wp:posOffset>
                </wp:positionV>
                <wp:extent cx="0" cy="204470"/>
                <wp:effectExtent l="76200" t="38100" r="57150" b="24130"/>
                <wp:wrapNone/>
                <wp:docPr id="1047" name="Straight Arrow Connector 1047"/>
                <wp:cNvGraphicFramePr/>
                <a:graphic xmlns:a="http://schemas.openxmlformats.org/drawingml/2006/main">
                  <a:graphicData uri="http://schemas.microsoft.com/office/word/2010/wordprocessingShape">
                    <wps:wsp>
                      <wps:cNvCnPr/>
                      <wps:spPr>
                        <a:xfrm flipV="1">
                          <a:off x="0" y="0"/>
                          <a:ext cx="0" cy="20447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F71C83" id="Straight Arrow Connector 1047" o:spid="_x0000_s1026" type="#_x0000_t32" style="position:absolute;margin-left:145.3pt;margin-top:1.05pt;width:0;height:16.1pt;flip:y;z-index:25191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" strokecolor="#d8d8d8 [2732]" strokeweight="1.5pt">
                <v:stroke endarrow="block" joinstyle="miter"/>
              </v:shape>
            </w:pict>
          </mc:Fallback>
        </mc:AlternateContent>
      </w:r>
      <w:r w:rsidR="00EB1385"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892224" behindDoc="0" locked="0" layoutInCell="1" allowOverlap="1" wp14:anchorId="4A41DC29" wp14:editId="74F97EB7">
                <wp:simplePos x="0" y="0"/>
                <wp:positionH relativeFrom="column">
                  <wp:posOffset>-488950</wp:posOffset>
                </wp:positionH>
                <wp:positionV relativeFrom="paragraph">
                  <wp:posOffset>253154</wp:posOffset>
                </wp:positionV>
                <wp:extent cx="1505585" cy="1217084"/>
                <wp:effectExtent l="19050" t="19050" r="18415" b="21590"/>
                <wp:wrapNone/>
                <wp:docPr id="1049" name="Text Box 1049"/>
                <wp:cNvGraphicFramePr/>
                <a:graphic xmlns:a="http://schemas.openxmlformats.org/drawingml/2006/main">
                  <a:graphicData uri="http://schemas.microsoft.com/office/word/2010/wordprocessingShape">
                    <wps:wsp>
                      <wps:cNvSpPr txBox="1"/>
                      <wps:spPr>
                        <a:xfrm>
                          <a:off x="0" y="0"/>
                          <a:ext cx="1505585" cy="1217084"/>
                        </a:xfrm>
                        <a:prstGeom prst="roundRect">
                          <a:avLst/>
                        </a:prstGeom>
                        <a:solidFill>
                          <a:sysClr val="window" lastClr="FFFFFF"/>
                        </a:solidFill>
                        <a:ln w="28575" cap="flat" cmpd="sng" algn="ctr">
                          <a:solidFill>
                            <a:schemeClr val="bg2"/>
                          </a:solidFill>
                          <a:prstDash val="solid"/>
                          <a:miter lim="800000"/>
                        </a:ln>
                        <a:effectLst/>
                      </wps:spPr>
                      <wps:txbx>
                        <w:txbxContent>
                          <w:p w14:paraId="559A1880" w14:textId="0C2A7241" w:rsidR="00876FFE" w:rsidRPr="008436CC" w:rsidRDefault="00876FFE" w:rsidP="00EB1385">
                            <w:pPr>
                              <w:spacing w:before="0" w:after="0" w:line="216" w:lineRule="auto"/>
                              <w:ind w:firstLine="0"/>
                              <w:jc w:val="center"/>
                              <w:rPr>
                                <w:rFonts w:asciiTheme="minorHAnsi" w:hAnsiTheme="minorHAnsi" w:cstheme="minorHAnsi"/>
                                <w:sz w:val="22"/>
                                <w:szCs w:val="22"/>
                              </w:rPr>
                            </w:pPr>
                            <w:r w:rsidRPr="008436CC">
                              <w:rPr>
                                <w:rFonts w:asciiTheme="minorHAnsi" w:hAnsiTheme="minorHAnsi" w:cstheme="minorHAnsi"/>
                                <w:sz w:val="22"/>
                                <w:szCs w:val="22"/>
                              </w:rPr>
                              <w:t>Недовољан број обучених државних службеника са неопходним знањем и вештинама за припрему ДЈП и прописа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41DC29" id="Text Box 1049" o:spid="_x0000_s1076" style="position:absolute;left:0;text-align:left;margin-left:-38.5pt;margin-top:19.95pt;width:118.55pt;height:95.8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" fillcolor="window" strokecolor="#e7e6e6 [3214]" strokeweight="2.25pt">
                <v:stroke joinstyle="miter"/>
                <v:textbox inset="0,0,0,0">
                  <w:txbxContent>
                    <w:p w14:paraId="559A1880" w14:textId="0C2A7241" w:rsidR="00876FFE" w:rsidRPr="008436CC" w:rsidRDefault="00876FFE" w:rsidP="00EB1385">
                      <w:pPr>
                        <w:spacing w:before="0" w:after="0" w:line="216" w:lineRule="auto"/>
                        <w:ind w:firstLine="0"/>
                        <w:jc w:val="center"/>
                        <w:rPr>
                          <w:rFonts w:asciiTheme="minorHAnsi" w:hAnsiTheme="minorHAnsi" w:cstheme="minorHAnsi"/>
                          <w:sz w:val="22"/>
                          <w:szCs w:val="22"/>
                        </w:rPr>
                      </w:pPr>
                      <w:r w:rsidRPr="008436CC">
                        <w:rPr>
                          <w:rFonts w:asciiTheme="minorHAnsi" w:hAnsiTheme="minorHAnsi" w:cstheme="minorHAnsi"/>
                          <w:sz w:val="22"/>
                          <w:szCs w:val="22"/>
                        </w:rPr>
                        <w:t xml:space="preserve">Недовољан </w:t>
                      </w:r>
                      <w:r w:rsidRPr="008436CC">
                        <w:rPr>
                          <w:rFonts w:asciiTheme="minorHAnsi" w:hAnsiTheme="minorHAnsi" w:cstheme="minorHAnsi"/>
                          <w:sz w:val="22"/>
                          <w:szCs w:val="22"/>
                        </w:rPr>
                        <w:t>број обучених државних службеника са неопходним знањем и вештинама за припрему ДЈП и прописа</w:t>
                      </w:r>
                    </w:p>
                  </w:txbxContent>
                </v:textbox>
              </v:roundrect>
            </w:pict>
          </mc:Fallback>
        </mc:AlternateContent>
      </w:r>
      <w:r w:rsidR="00EB1385"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09632" behindDoc="0" locked="0" layoutInCell="1" allowOverlap="1" wp14:anchorId="6C7AED86" wp14:editId="227F35E8">
                <wp:simplePos x="0" y="0"/>
                <wp:positionH relativeFrom="column">
                  <wp:posOffset>228600</wp:posOffset>
                </wp:positionH>
                <wp:positionV relativeFrom="paragraph">
                  <wp:posOffset>43603</wp:posOffset>
                </wp:positionV>
                <wp:extent cx="0" cy="179705"/>
                <wp:effectExtent l="76200" t="38100" r="57150" b="10795"/>
                <wp:wrapNone/>
                <wp:docPr id="1041" name="Straight Arrow Connector 1041"/>
                <wp:cNvGraphicFramePr/>
                <a:graphic xmlns:a="http://schemas.openxmlformats.org/drawingml/2006/main">
                  <a:graphicData uri="http://schemas.microsoft.com/office/word/2010/wordprocessingShape">
                    <wps:wsp>
                      <wps:cNvCnPr/>
                      <wps:spPr>
                        <a:xfrm flipV="1">
                          <a:off x="0" y="0"/>
                          <a:ext cx="0" cy="179705"/>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43765" id="Straight Arrow Connector 1041" o:spid="_x0000_s1026" type="#_x0000_t32" style="position:absolute;margin-left:18pt;margin-top:3.45pt;width:0;height:14.15pt;flip:y;z-index:25190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" strokecolor="#d8d8d8 [2732]" strokeweight="1.5pt">
                <v:stroke endarrow="block" joinstyle="miter"/>
              </v:shape>
            </w:pict>
          </mc:Fallback>
        </mc:AlternateContent>
      </w:r>
    </w:p>
    <w:p w14:paraId="1AC0DED9" w14:textId="77777777" w:rsidR="00882BE3" w:rsidRDefault="00882BE3" w:rsidP="00E42A9B">
      <w:pPr>
        <w:tabs>
          <w:tab w:val="left" w:pos="18355"/>
        </w:tabs>
        <w:suppressAutoHyphens w:val="0"/>
        <w:autoSpaceDN/>
        <w:spacing w:after="120" w:line="259" w:lineRule="auto"/>
        <w:ind w:firstLine="0"/>
        <w:textAlignment w:val="auto"/>
        <w:rPr>
          <w:rFonts w:ascii="Calibri" w:eastAsia="Times New Roman" w:hAnsi="Calibri" w:cs="Calibri"/>
          <w:kern w:val="0"/>
          <w:sz w:val="28"/>
          <w:szCs w:val="28"/>
          <w:lang w:eastAsia="de-DE" w:bidi="ar-SA"/>
        </w:rPr>
      </w:pPr>
    </w:p>
    <w:p w14:paraId="3A9FD20D" w14:textId="7144D426" w:rsidR="00882BE3" w:rsidRDefault="009F44BF" w:rsidP="00E42A9B">
      <w:pPr>
        <w:tabs>
          <w:tab w:val="left" w:pos="18355"/>
        </w:tabs>
        <w:suppressAutoHyphens w:val="0"/>
        <w:autoSpaceDN/>
        <w:spacing w:after="120" w:line="259" w:lineRule="auto"/>
        <w:ind w:firstLine="0"/>
        <w:textAlignment w:val="auto"/>
        <w:rPr>
          <w:rFonts w:ascii="Calibri" w:eastAsia="Times New Roman" w:hAnsi="Calibri" w:cs="Calibri"/>
          <w:kern w:val="0"/>
          <w:sz w:val="28"/>
          <w:szCs w:val="28"/>
          <w:lang w:eastAsia="de-DE" w:bidi="ar-SA"/>
        </w:rPr>
      </w:pPr>
      <w:r w:rsidRPr="000F0299">
        <w:rPr>
          <w:rFonts w:ascii="Calibri" w:eastAsia="Times New Roman" w:hAnsi="Calibri" w:cs="Calibri"/>
          <w:noProof/>
          <w:kern w:val="0"/>
          <w:sz w:val="20"/>
          <w:szCs w:val="20"/>
          <w:lang w:val="en-US" w:eastAsia="en-US" w:bidi="ar-SA"/>
        </w:rPr>
        <mc:AlternateContent>
          <mc:Choice Requires="wpg">
            <w:drawing>
              <wp:anchor distT="0" distB="0" distL="114300" distR="114300" simplePos="0" relativeHeight="251976192" behindDoc="0" locked="0" layoutInCell="1" allowOverlap="1" wp14:anchorId="59889A98" wp14:editId="0543CFD7">
                <wp:simplePos x="0" y="0"/>
                <wp:positionH relativeFrom="column">
                  <wp:posOffset>4655127</wp:posOffset>
                </wp:positionH>
                <wp:positionV relativeFrom="paragraph">
                  <wp:posOffset>138750</wp:posOffset>
                </wp:positionV>
                <wp:extent cx="4402455" cy="887793"/>
                <wp:effectExtent l="0" t="19050" r="0" b="7620"/>
                <wp:wrapNone/>
                <wp:docPr id="53" name="Group 53"/>
                <wp:cNvGraphicFramePr/>
                <a:graphic xmlns:a="http://schemas.openxmlformats.org/drawingml/2006/main">
                  <a:graphicData uri="http://schemas.microsoft.com/office/word/2010/wordprocessingGroup">
                    <wpg:wgp>
                      <wpg:cNvGrpSpPr/>
                      <wpg:grpSpPr>
                        <a:xfrm>
                          <a:off x="0" y="0"/>
                          <a:ext cx="4402455" cy="887793"/>
                          <a:chOff x="18854" y="-47134"/>
                          <a:chExt cx="4402455" cy="844035"/>
                        </a:xfrm>
                      </wpg:grpSpPr>
                      <wps:wsp>
                        <wps:cNvPr id="42" name="Text Box 42"/>
                        <wps:cNvSpPr txBox="1"/>
                        <wps:spPr>
                          <a:xfrm>
                            <a:off x="543984" y="-47134"/>
                            <a:ext cx="2997835" cy="457200"/>
                          </a:xfrm>
                          <a:prstGeom prst="roundRect">
                            <a:avLst/>
                          </a:prstGeom>
                          <a:solidFill>
                            <a:sysClr val="window" lastClr="FFFFFF"/>
                          </a:solidFill>
                          <a:ln w="28575" cap="flat" cmpd="sng" algn="ctr">
                            <a:solidFill>
                              <a:schemeClr val="bg2"/>
                            </a:solidFill>
                            <a:prstDash val="solid"/>
                            <a:miter lim="800000"/>
                          </a:ln>
                          <a:effectLst/>
                        </wps:spPr>
                        <wps:txbx>
                          <w:txbxContent>
                            <w:p w14:paraId="13AAC74F" w14:textId="77777777" w:rsidR="00876FFE" w:rsidRPr="003C4A0D" w:rsidRDefault="00876FFE" w:rsidP="00E42A9B">
                              <w:pPr>
                                <w:spacing w:before="0" w:after="0"/>
                                <w:jc w:val="center"/>
                                <w:rPr>
                                  <w:rFonts w:asciiTheme="minorHAnsi" w:hAnsiTheme="minorHAnsi" w:cstheme="minorHAnsi"/>
                                  <w:sz w:val="22"/>
                                  <w:szCs w:val="22"/>
                                </w:rPr>
                              </w:pPr>
                              <w:r w:rsidRPr="003C4A0D">
                                <w:rPr>
                                  <w:rFonts w:asciiTheme="minorHAnsi" w:hAnsiTheme="minorHAnsi" w:cstheme="minorHAnsi"/>
                                  <w:sz w:val="22"/>
                                  <w:szCs w:val="22"/>
                                </w:rPr>
                                <w:t xml:space="preserve">Недовољно укључивање државних </w:t>
                              </w:r>
                              <w:r w:rsidRPr="003C4A0D">
                                <w:rPr>
                                  <w:rFonts w:asciiTheme="minorHAnsi" w:hAnsiTheme="minorHAnsi" w:cstheme="minorHAnsi"/>
                                  <w:sz w:val="22"/>
                                  <w:szCs w:val="22"/>
                                </w:rPr>
                                <w:br/>
                                <w:t>службеника у креирању ЈП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Text Box 52"/>
                        <wps:cNvSpPr txBox="1"/>
                        <wps:spPr>
                          <a:xfrm>
                            <a:off x="18854" y="438761"/>
                            <a:ext cx="4402455" cy="358140"/>
                          </a:xfrm>
                          <a:prstGeom prst="rect">
                            <a:avLst/>
                          </a:prstGeom>
                          <a:solidFill>
                            <a:prstClr val="white"/>
                          </a:solidFill>
                          <a:ln>
                            <a:noFill/>
                          </a:ln>
                        </wps:spPr>
                        <wps:txbx>
                          <w:txbxContent>
                            <w:p w14:paraId="27ECAFED" w14:textId="53E115E2" w:rsidR="00876FFE" w:rsidRPr="00EC3C52" w:rsidRDefault="00876FFE" w:rsidP="009F44BF">
                              <w:pPr>
                                <w:pStyle w:val="Caption"/>
                                <w:ind w:firstLine="0"/>
                                <w:rPr>
                                  <w:rFonts w:ascii="Calibri" w:eastAsia="Times New Roman" w:hAnsi="Calibri" w:cs="Calibri"/>
                                  <w:i w:val="0"/>
                                  <w:iCs w:val="0"/>
                                  <w:noProof/>
                                  <w:sz w:val="20"/>
                                  <w:szCs w:val="20"/>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889A98" id="Group 53" o:spid="_x0000_s1077" style="position:absolute;left:0;text-align:left;margin-left:366.55pt;margin-top:10.95pt;width:346.65pt;height:69.9pt;z-index:251976192;mso-height-relative:margin" coordorigin="188,-471" coordsize="44024,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">
                <v:roundrect id="Text Box 42" o:spid="_x0000_s1078" style="position:absolute;left:5439;top:-471;width:29979;height:4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" fillcolor="window" strokecolor="#e7e6e6 [3214]" strokeweight="2.25pt">
                  <v:stroke joinstyle="miter"/>
                  <v:textbox inset="0,0,0,0">
                    <w:txbxContent>
                      <w:p w14:paraId="13AAC74F" w14:textId="77777777" w:rsidR="00876FFE" w:rsidRPr="003C4A0D" w:rsidRDefault="00876FFE" w:rsidP="00E42A9B">
                        <w:pPr>
                          <w:spacing w:before="0" w:after="0"/>
                          <w:jc w:val="center"/>
                          <w:rPr>
                            <w:rFonts w:asciiTheme="minorHAnsi" w:hAnsiTheme="minorHAnsi" w:cstheme="minorHAnsi"/>
                            <w:sz w:val="22"/>
                            <w:szCs w:val="22"/>
                          </w:rPr>
                        </w:pPr>
                        <w:r w:rsidRPr="003C4A0D">
                          <w:rPr>
                            <w:rFonts w:asciiTheme="minorHAnsi" w:hAnsiTheme="minorHAnsi" w:cstheme="minorHAnsi"/>
                            <w:sz w:val="22"/>
                            <w:szCs w:val="22"/>
                          </w:rPr>
                          <w:t xml:space="preserve">Недовољно </w:t>
                        </w:r>
                        <w:r w:rsidRPr="003C4A0D">
                          <w:rPr>
                            <w:rFonts w:asciiTheme="minorHAnsi" w:hAnsiTheme="minorHAnsi" w:cstheme="minorHAnsi"/>
                            <w:sz w:val="22"/>
                            <w:szCs w:val="22"/>
                          </w:rPr>
                          <w:t xml:space="preserve">укључивање државних </w:t>
                        </w:r>
                        <w:r w:rsidRPr="003C4A0D">
                          <w:rPr>
                            <w:rFonts w:asciiTheme="minorHAnsi" w:hAnsiTheme="minorHAnsi" w:cstheme="minorHAnsi"/>
                            <w:sz w:val="22"/>
                            <w:szCs w:val="22"/>
                          </w:rPr>
                          <w:br/>
                          <w:t>службеника у креирању ЈП</w:t>
                        </w:r>
                      </w:p>
                    </w:txbxContent>
                  </v:textbox>
                </v:roundrect>
                <v:shape id="Text Box 52" o:spid="_x0000_s1079" type="#_x0000_t202" style="position:absolute;left:188;top:4387;width:4402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27ECAFED" w14:textId="53E115E2" w:rsidR="00876FFE" w:rsidRPr="00EC3C52" w:rsidRDefault="00876FFE" w:rsidP="009F44BF">
                        <w:pPr>
                          <w:pStyle w:val="Caption"/>
                          <w:ind w:firstLine="0"/>
                          <w:rPr>
                            <w:rFonts w:ascii="Calibri" w:eastAsia="Times New Roman" w:hAnsi="Calibri" w:cs="Calibri"/>
                            <w:i w:val="0"/>
                            <w:iCs w:val="0"/>
                            <w:noProof/>
                            <w:sz w:val="20"/>
                            <w:szCs w:val="20"/>
                            <w:lang w:val="en-GB" w:eastAsia="en-GB"/>
                          </w:rPr>
                        </w:pPr>
                      </w:p>
                    </w:txbxContent>
                  </v:textbox>
                </v:shape>
              </v:group>
            </w:pict>
          </mc:Fallback>
        </mc:AlternateContent>
      </w:r>
    </w:p>
    <w:p w14:paraId="523CC76B" w14:textId="68EC3484" w:rsidR="00882BE3" w:rsidRDefault="00882BE3" w:rsidP="00E42A9B">
      <w:pPr>
        <w:tabs>
          <w:tab w:val="left" w:pos="18355"/>
        </w:tabs>
        <w:suppressAutoHyphens w:val="0"/>
        <w:autoSpaceDN/>
        <w:spacing w:after="120" w:line="259" w:lineRule="auto"/>
        <w:ind w:firstLine="0"/>
        <w:textAlignment w:val="auto"/>
        <w:rPr>
          <w:rFonts w:ascii="Calibri" w:eastAsia="Times New Roman" w:hAnsi="Calibri" w:cs="Calibri"/>
          <w:kern w:val="0"/>
          <w:sz w:val="28"/>
          <w:szCs w:val="28"/>
          <w:lang w:eastAsia="de-DE" w:bidi="ar-SA"/>
        </w:rPr>
      </w:pPr>
    </w:p>
    <w:p w14:paraId="2EB8FF0A" w14:textId="788BB5C7" w:rsidR="00E42A9B" w:rsidRPr="000F0299" w:rsidRDefault="009F44BF" w:rsidP="00E42A9B">
      <w:pPr>
        <w:tabs>
          <w:tab w:val="left" w:pos="18355"/>
        </w:tabs>
        <w:suppressAutoHyphens w:val="0"/>
        <w:autoSpaceDN/>
        <w:spacing w:after="120" w:line="259" w:lineRule="auto"/>
        <w:ind w:firstLine="0"/>
        <w:textAlignment w:val="auto"/>
        <w:rPr>
          <w:rFonts w:ascii="Calibri" w:eastAsia="Times New Roman" w:hAnsi="Calibri" w:cs="Calibri"/>
          <w:kern w:val="0"/>
          <w:sz w:val="28"/>
          <w:szCs w:val="28"/>
          <w:lang w:eastAsia="de-DE" w:bidi="ar-SA"/>
        </w:rPr>
      </w:pPr>
      <w:r>
        <w:rPr>
          <w:noProof/>
          <w:lang w:val="en-US" w:eastAsia="en-US" w:bidi="ar-SA"/>
        </w:rPr>
        <mc:AlternateContent>
          <mc:Choice Requires="wps">
            <w:drawing>
              <wp:anchor distT="0" distB="0" distL="114300" distR="114300" simplePos="0" relativeHeight="252038656" behindDoc="0" locked="0" layoutInCell="1" allowOverlap="1" wp14:anchorId="3597BCA1" wp14:editId="15891452">
                <wp:simplePos x="0" y="0"/>
                <wp:positionH relativeFrom="column">
                  <wp:posOffset>4686683</wp:posOffset>
                </wp:positionH>
                <wp:positionV relativeFrom="paragraph">
                  <wp:posOffset>40614</wp:posOffset>
                </wp:positionV>
                <wp:extent cx="4402455" cy="635"/>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4402455" cy="635"/>
                        </a:xfrm>
                        <a:prstGeom prst="rect">
                          <a:avLst/>
                        </a:prstGeom>
                        <a:solidFill>
                          <a:prstClr val="white"/>
                        </a:solidFill>
                        <a:ln>
                          <a:noFill/>
                        </a:ln>
                      </wps:spPr>
                      <wps:txbx>
                        <w:txbxContent>
                          <w:p w14:paraId="260C344C" w14:textId="6DEB411F" w:rsidR="00876FFE" w:rsidRPr="009F44BF" w:rsidRDefault="00876FFE" w:rsidP="009F44BF">
                            <w:pPr>
                              <w:pStyle w:val="Caption"/>
                              <w:rPr>
                                <w:rFonts w:ascii="Calibri" w:eastAsia="Times New Roman" w:hAnsi="Calibri" w:cs="Calibri"/>
                                <w:i w:val="0"/>
                                <w:iCs w:val="0"/>
                                <w:noProof/>
                                <w:sz w:val="20"/>
                                <w:szCs w:val="20"/>
                              </w:rPr>
                            </w:pPr>
                            <w:bookmarkStart w:id="111" w:name="_Toc57665347"/>
                            <w:r w:rsidRPr="009F44BF">
                              <w:rPr>
                                <w:i w:val="0"/>
                                <w:iCs w:val="0"/>
                              </w:rPr>
                              <w:t xml:space="preserve">Графикон </w:t>
                            </w:r>
                            <w:r w:rsidRPr="009F44BF">
                              <w:rPr>
                                <w:i w:val="0"/>
                                <w:iCs w:val="0"/>
                              </w:rPr>
                              <w:fldChar w:fldCharType="begin"/>
                            </w:r>
                            <w:r w:rsidRPr="009F44BF">
                              <w:rPr>
                                <w:i w:val="0"/>
                                <w:iCs w:val="0"/>
                              </w:rPr>
                              <w:instrText xml:space="preserve"> SEQ Графикон \* ARABIC </w:instrText>
                            </w:r>
                            <w:r w:rsidRPr="009F44BF">
                              <w:rPr>
                                <w:i w:val="0"/>
                                <w:iCs w:val="0"/>
                              </w:rPr>
                              <w:fldChar w:fldCharType="separate"/>
                            </w:r>
                            <w:r>
                              <w:rPr>
                                <w:i w:val="0"/>
                                <w:iCs w:val="0"/>
                                <w:noProof/>
                              </w:rPr>
                              <w:t>11</w:t>
                            </w:r>
                            <w:r w:rsidRPr="009F44BF">
                              <w:rPr>
                                <w:i w:val="0"/>
                                <w:iCs w:val="0"/>
                              </w:rPr>
                              <w:fldChar w:fldCharType="end"/>
                            </w:r>
                            <w:r w:rsidRPr="009F44BF">
                              <w:rPr>
                                <w:i w:val="0"/>
                                <w:iCs w:val="0"/>
                              </w:rPr>
                              <w:t xml:space="preserve"> Дрво проблема – Планирање и координација политика</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7BCA1" id="Text Box 365" o:spid="_x0000_s1080" type="#_x0000_t202" style="position:absolute;left:0;text-align:left;margin-left:369.05pt;margin-top:3.2pt;width:346.65pt;height:.05pt;z-index:25203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" stroked="f">
                <v:textbox style="mso-fit-shape-to-text:t" inset="0,0,0,0">
                  <w:txbxContent>
                    <w:p w14:paraId="260C344C" w14:textId="6DEB411F" w:rsidR="00876FFE" w:rsidRPr="009F44BF" w:rsidRDefault="00876FFE" w:rsidP="009F44BF">
                      <w:pPr>
                        <w:pStyle w:val="Caption"/>
                        <w:rPr>
                          <w:rFonts w:ascii="Calibri" w:eastAsia="Times New Roman" w:hAnsi="Calibri" w:cs="Calibri"/>
                          <w:i w:val="0"/>
                          <w:iCs w:val="0"/>
                          <w:noProof/>
                          <w:sz w:val="20"/>
                          <w:szCs w:val="20"/>
                        </w:rPr>
                      </w:pPr>
                      <w:bookmarkStart w:id="112" w:name="_Toc57665347"/>
                      <w:r w:rsidRPr="009F44BF">
                        <w:rPr>
                          <w:i w:val="0"/>
                          <w:iCs w:val="0"/>
                        </w:rPr>
                        <w:t xml:space="preserve">Графикон </w:t>
                      </w:r>
                      <w:r w:rsidRPr="009F44BF">
                        <w:rPr>
                          <w:i w:val="0"/>
                          <w:iCs w:val="0"/>
                        </w:rPr>
                        <w:fldChar w:fldCharType="begin"/>
                      </w:r>
                      <w:r w:rsidRPr="009F44BF">
                        <w:rPr>
                          <w:i w:val="0"/>
                          <w:iCs w:val="0"/>
                        </w:rPr>
                        <w:instrText xml:space="preserve"> SEQ Графикон \* ARABIC </w:instrText>
                      </w:r>
                      <w:r w:rsidRPr="009F44BF">
                        <w:rPr>
                          <w:i w:val="0"/>
                          <w:iCs w:val="0"/>
                        </w:rPr>
                        <w:fldChar w:fldCharType="separate"/>
                      </w:r>
                      <w:r>
                        <w:rPr>
                          <w:i w:val="0"/>
                          <w:iCs w:val="0"/>
                          <w:noProof/>
                        </w:rPr>
                        <w:t>11</w:t>
                      </w:r>
                      <w:r w:rsidRPr="009F44BF">
                        <w:rPr>
                          <w:i w:val="0"/>
                          <w:iCs w:val="0"/>
                        </w:rPr>
                        <w:fldChar w:fldCharType="end"/>
                      </w:r>
                      <w:r w:rsidRPr="009F44BF">
                        <w:rPr>
                          <w:i w:val="0"/>
                          <w:iCs w:val="0"/>
                        </w:rPr>
                        <w:t xml:space="preserve"> Дрво проблема – Планирање и координација политика</w:t>
                      </w:r>
                      <w:bookmarkEnd w:id="112"/>
                    </w:p>
                  </w:txbxContent>
                </v:textbox>
              </v:shape>
            </w:pict>
          </mc:Fallback>
        </mc:AlternateContent>
      </w:r>
      <w:r w:rsidR="00E42A9B" w:rsidRPr="000F0299">
        <w:rPr>
          <w:rFonts w:ascii="Calibri" w:eastAsia="Times New Roman" w:hAnsi="Calibri" w:cs="Calibri"/>
          <w:kern w:val="0"/>
          <w:sz w:val="28"/>
          <w:szCs w:val="28"/>
          <w:lang w:eastAsia="de-DE" w:bidi="ar-SA"/>
        </w:rPr>
        <w:tab/>
      </w:r>
    </w:p>
    <w:p w14:paraId="0A1CDE48" w14:textId="286518E4" w:rsidR="00E42A9B" w:rsidRPr="000F0299" w:rsidRDefault="003C4A0D" w:rsidP="00E42A9B">
      <w:pPr>
        <w:suppressAutoHyphens w:val="0"/>
        <w:autoSpaceDN/>
        <w:spacing w:after="120" w:line="259" w:lineRule="auto"/>
        <w:ind w:firstLine="0"/>
        <w:textAlignment w:val="auto"/>
        <w:rPr>
          <w:rFonts w:ascii="Calibri" w:eastAsia="Times New Roman" w:hAnsi="Calibri" w:cs="Calibri"/>
          <w:kern w:val="0"/>
          <w:sz w:val="28"/>
          <w:szCs w:val="28"/>
          <w:lang w:eastAsia="de-DE" w:bidi="ar-SA"/>
        </w:rPr>
        <w:sectPr w:rsidR="00E42A9B" w:rsidRPr="000F0299" w:rsidSect="000132F3">
          <w:headerReference w:type="default" r:id="rId79"/>
          <w:footerReference w:type="default" r:id="rId80"/>
          <w:pgSz w:w="23814" w:h="16839" w:orient="landscape" w:code="8"/>
          <w:pgMar w:top="720" w:right="1440" w:bottom="720" w:left="1440" w:header="706" w:footer="706" w:gutter="0"/>
          <w:cols w:space="708"/>
          <w:docGrid w:linePitch="360"/>
        </w:sectPr>
      </w:pPr>
      <w:r w:rsidRPr="000F0299">
        <w:rPr>
          <w:rFonts w:ascii="Calibri" w:eastAsia="Times New Roman" w:hAnsi="Calibri" w:cs="Calibri"/>
          <w:noProof/>
          <w:kern w:val="0"/>
          <w:sz w:val="20"/>
          <w:szCs w:val="20"/>
          <w:lang w:val="en-US" w:eastAsia="en-US" w:bidi="ar-SA"/>
        </w:rPr>
        <mc:AlternateContent>
          <mc:Choice Requires="wps">
            <w:drawing>
              <wp:anchor distT="0" distB="0" distL="114300" distR="114300" simplePos="0" relativeHeight="251912704" behindDoc="0" locked="0" layoutInCell="1" allowOverlap="1" wp14:anchorId="4563A60E" wp14:editId="46DD3D85">
                <wp:simplePos x="0" y="0"/>
                <wp:positionH relativeFrom="column">
                  <wp:posOffset>6680200</wp:posOffset>
                </wp:positionH>
                <wp:positionV relativeFrom="paragraph">
                  <wp:posOffset>99695</wp:posOffset>
                </wp:positionV>
                <wp:extent cx="0" cy="139065"/>
                <wp:effectExtent l="76200" t="38100" r="57150" b="13335"/>
                <wp:wrapNone/>
                <wp:docPr id="1032" name="Straight Arrow Connector 1032"/>
                <wp:cNvGraphicFramePr/>
                <a:graphic xmlns:a="http://schemas.openxmlformats.org/drawingml/2006/main">
                  <a:graphicData uri="http://schemas.microsoft.com/office/word/2010/wordprocessingShape">
                    <wps:wsp>
                      <wps:cNvCnPr/>
                      <wps:spPr>
                        <a:xfrm flipV="1">
                          <a:off x="0" y="0"/>
                          <a:ext cx="0" cy="139065"/>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F7BDE2" id="Straight Arrow Connector 1032" o:spid="_x0000_s1026" type="#_x0000_t32" style="position:absolute;margin-left:526pt;margin-top:7.85pt;width:0;height:10.95pt;flip:y;z-index:25191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" strokecolor="#d8d8d8 [2732]" strokeweight="1.5pt">
                <v:stroke endarrow="block" joinstyle="miter"/>
              </v:shape>
            </w:pict>
          </mc:Fallback>
        </mc:AlternateContent>
      </w:r>
    </w:p>
    <w:p w14:paraId="33D00A28" w14:textId="34A942B2" w:rsidR="001A294C" w:rsidRPr="000F0299" w:rsidRDefault="0044461C" w:rsidP="00CB5180">
      <w:pPr>
        <w:pStyle w:val="Heading3"/>
        <w:rPr>
          <w:lang w:val="sr-Cyrl-RS"/>
        </w:rPr>
      </w:pPr>
      <w:bookmarkStart w:id="112" w:name="_ЦИЉ_И_ПРАВЦИ"/>
      <w:bookmarkStart w:id="113" w:name="_Toc40613450"/>
      <w:bookmarkStart w:id="114" w:name="_Toc57661476"/>
      <w:bookmarkEnd w:id="112"/>
      <w:r w:rsidRPr="000F0299">
        <w:rPr>
          <w:rStyle w:val="Emphasis"/>
          <w:i w:val="0"/>
          <w:iCs w:val="0"/>
          <w:lang w:val="sr-Cyrl-RS"/>
        </w:rPr>
        <w:t>Циљ</w:t>
      </w:r>
      <w:bookmarkEnd w:id="113"/>
      <w:r w:rsidRPr="000F0299">
        <w:rPr>
          <w:rStyle w:val="Emphasis"/>
          <w:i w:val="0"/>
          <w:iCs w:val="0"/>
          <w:lang w:val="sr-Cyrl-RS"/>
        </w:rPr>
        <w:t xml:space="preserve"> и правци деловања</w:t>
      </w:r>
      <w:bookmarkEnd w:id="114"/>
    </w:p>
    <w:p w14:paraId="77A0CCFC" w14:textId="09ACAF2A" w:rsidR="001A294C" w:rsidRPr="000F0299" w:rsidRDefault="00AF0675" w:rsidP="00AB3AE4">
      <w:pPr>
        <w:rPr>
          <w:lang w:eastAsia="de-DE"/>
        </w:rPr>
      </w:pPr>
      <w:r w:rsidRPr="00AF0675">
        <w:rPr>
          <w:lang w:eastAsia="de-DE"/>
        </w:rPr>
        <w:t>Пословно окружење у Републици Србији је конкурентно и јавна управа следи европске принципе добре</w:t>
      </w:r>
      <w:r w:rsidRPr="00AF0675">
        <w:rPr>
          <w:lang w:val="sr-Latn-RS" w:eastAsia="de-DE"/>
        </w:rPr>
        <w:t xml:space="preserve"> </w:t>
      </w:r>
      <w:r w:rsidRPr="00AF0675">
        <w:rPr>
          <w:lang w:eastAsia="de-DE"/>
        </w:rPr>
        <w:t>јавне управе као резултат добро промишљеног (реалн</w:t>
      </w:r>
      <w:r w:rsidRPr="00AF0675">
        <w:rPr>
          <w:lang w:val="sr-Latn-RS" w:eastAsia="de-DE"/>
        </w:rPr>
        <w:t>o</w:t>
      </w:r>
      <w:r w:rsidRPr="00AF0675">
        <w:rPr>
          <w:lang w:eastAsia="de-DE"/>
        </w:rPr>
        <w:t>г и заснован</w:t>
      </w:r>
      <w:r w:rsidRPr="00AF0675">
        <w:rPr>
          <w:lang w:val="sr-Latn-RS" w:eastAsia="de-DE"/>
        </w:rPr>
        <w:t>og</w:t>
      </w:r>
      <w:r w:rsidRPr="00AF0675">
        <w:rPr>
          <w:lang w:eastAsia="de-DE"/>
        </w:rPr>
        <w:t xml:space="preserve"> на чињеницама) и широко прихваћеног (транспарентног, инклузивног, добро комуницираног) процеса планирања јавних политика</w:t>
      </w:r>
      <w:r w:rsidRPr="00AF0675">
        <w:rPr>
          <w:lang w:val="sr-Latn-RS" w:eastAsia="de-DE"/>
        </w:rPr>
        <w:t xml:space="preserve"> </w:t>
      </w:r>
      <w:r w:rsidRPr="00AF0675">
        <w:rPr>
          <w:lang w:eastAsia="de-DE"/>
        </w:rPr>
        <w:t>и припреме прописа и њиховог доследног спровођења</w:t>
      </w:r>
      <w:r w:rsidR="001A294C" w:rsidRPr="000F0299">
        <w:rPr>
          <w:lang w:eastAsia="de-DE"/>
        </w:rPr>
        <w:t>.</w:t>
      </w:r>
    </w:p>
    <w:p w14:paraId="6EE4D149" w14:textId="2510258A" w:rsidR="001A294C" w:rsidRPr="0095613A" w:rsidRDefault="00EB58E8" w:rsidP="0095613A">
      <w:pPr>
        <w:pStyle w:val="Heading4"/>
        <w:rPr>
          <w:bCs/>
          <w:lang w:val="sr-Cyrl-RS" w:eastAsia="de-DE"/>
        </w:rPr>
      </w:pPr>
      <w:r w:rsidRPr="0095613A">
        <w:rPr>
          <w:bCs/>
          <w:lang w:val="sr-Cyrl-RS" w:eastAsia="de-DE"/>
        </w:rPr>
        <w:t>Посебан циљ</w:t>
      </w:r>
      <w:r w:rsidR="0095613A">
        <w:rPr>
          <w:bCs/>
          <w:lang w:val="sr-Cyrl-RS" w:eastAsia="de-DE"/>
        </w:rPr>
        <w:t xml:space="preserve"> 1.1</w:t>
      </w:r>
      <w:r w:rsidRPr="0095613A">
        <w:rPr>
          <w:bCs/>
          <w:lang w:val="sr-Cyrl-RS" w:eastAsia="de-DE"/>
        </w:rPr>
        <w:t xml:space="preserve">: </w:t>
      </w:r>
      <w:hyperlink w:anchor="_Посебан_циљ_1.1:" w:history="1">
        <w:r w:rsidR="00AF0675" w:rsidRPr="008A5C60">
          <w:rPr>
            <w:rStyle w:val="Hyperlink"/>
            <w:bCs/>
            <w:lang w:val="sr-Cyrl-RS" w:eastAsia="de-DE"/>
          </w:rPr>
          <w:t>Побољшан</w:t>
        </w:r>
        <w:r w:rsidR="001A294C" w:rsidRPr="008A5C60">
          <w:rPr>
            <w:rStyle w:val="Hyperlink"/>
            <w:bCs/>
            <w:lang w:val="sr-Cyrl-RS" w:eastAsia="de-DE"/>
          </w:rPr>
          <w:t xml:space="preserve"> квалитет </w:t>
        </w:r>
        <w:r w:rsidR="00D31937" w:rsidRPr="008A5C60">
          <w:rPr>
            <w:rStyle w:val="Hyperlink"/>
            <w:bCs/>
            <w:lang w:val="sr-Cyrl-RS" w:eastAsia="de-DE"/>
          </w:rPr>
          <w:t>докумената јавних политика и прописа</w:t>
        </w:r>
      </w:hyperlink>
    </w:p>
    <w:tbl>
      <w:tblPr>
        <w:tblW w:w="5000" w:type="pct"/>
        <w:shd w:val="clear" w:color="auto" w:fill="E7E6E6" w:themeFill="background2"/>
        <w:tblLook w:val="00A0" w:firstRow="1" w:lastRow="0" w:firstColumn="1" w:lastColumn="0" w:noHBand="0" w:noVBand="0"/>
      </w:tblPr>
      <w:tblGrid>
        <w:gridCol w:w="340"/>
        <w:gridCol w:w="4618"/>
        <w:gridCol w:w="1867"/>
        <w:gridCol w:w="1867"/>
        <w:gridCol w:w="334"/>
      </w:tblGrid>
      <w:tr w:rsidR="00EB58E8" w:rsidRPr="000F0299" w14:paraId="6D1DB2ED" w14:textId="77777777" w:rsidTr="00D31937">
        <w:trPr>
          <w:trHeight w:val="20"/>
        </w:trPr>
        <w:tc>
          <w:tcPr>
            <w:tcW w:w="189" w:type="pct"/>
            <w:tcBorders>
              <w:top w:val="single" w:sz="18" w:space="0" w:color="C00000"/>
              <w:left w:val="single" w:sz="18" w:space="0" w:color="C00000"/>
            </w:tcBorders>
            <w:shd w:val="clear" w:color="auto" w:fill="F2F2F2" w:themeFill="background1" w:themeFillShade="F2"/>
          </w:tcPr>
          <w:p w14:paraId="0DD47957" w14:textId="77777777" w:rsidR="00EB58E8" w:rsidRPr="000F0299" w:rsidRDefault="00EB58E8" w:rsidP="000D75E7">
            <w:pPr>
              <w:spacing w:before="0"/>
              <w:ind w:firstLine="0"/>
              <w:rPr>
                <w:b/>
                <w:bCs/>
                <w:sz w:val="16"/>
                <w:szCs w:val="16"/>
              </w:rPr>
            </w:pPr>
          </w:p>
        </w:tc>
        <w:tc>
          <w:tcPr>
            <w:tcW w:w="2557" w:type="pct"/>
            <w:tcBorders>
              <w:top w:val="single" w:sz="18" w:space="0" w:color="C00000"/>
            </w:tcBorders>
            <w:shd w:val="clear" w:color="auto" w:fill="F2F2F2" w:themeFill="background1" w:themeFillShade="F2"/>
          </w:tcPr>
          <w:p w14:paraId="2B3FAF76" w14:textId="77777777" w:rsidR="00EB58E8" w:rsidRPr="000F0299" w:rsidRDefault="00EB58E8" w:rsidP="000D75E7">
            <w:pPr>
              <w:spacing w:before="0"/>
              <w:ind w:firstLine="0"/>
              <w:rPr>
                <w:b/>
                <w:bCs/>
                <w:sz w:val="16"/>
                <w:szCs w:val="16"/>
              </w:rPr>
            </w:pPr>
          </w:p>
        </w:tc>
        <w:tc>
          <w:tcPr>
            <w:tcW w:w="1034" w:type="pct"/>
            <w:tcBorders>
              <w:top w:val="single" w:sz="18" w:space="0" w:color="C00000"/>
            </w:tcBorders>
            <w:shd w:val="clear" w:color="auto" w:fill="F2F2F2" w:themeFill="background1" w:themeFillShade="F2"/>
            <w:vAlign w:val="center"/>
          </w:tcPr>
          <w:p w14:paraId="453B05D4" w14:textId="77777777" w:rsidR="00EB58E8" w:rsidRPr="000F0299" w:rsidRDefault="00EB58E8" w:rsidP="000D75E7">
            <w:pPr>
              <w:spacing w:before="0"/>
              <w:ind w:firstLine="0"/>
              <w:jc w:val="center"/>
              <w:rPr>
                <w:b/>
                <w:bCs/>
                <w:sz w:val="16"/>
                <w:szCs w:val="16"/>
              </w:rPr>
            </w:pPr>
          </w:p>
        </w:tc>
        <w:tc>
          <w:tcPr>
            <w:tcW w:w="1034" w:type="pct"/>
            <w:tcBorders>
              <w:top w:val="single" w:sz="18" w:space="0" w:color="C00000"/>
            </w:tcBorders>
            <w:shd w:val="clear" w:color="auto" w:fill="F2F2F2" w:themeFill="background1" w:themeFillShade="F2"/>
            <w:vAlign w:val="center"/>
          </w:tcPr>
          <w:p w14:paraId="045B6631" w14:textId="77777777" w:rsidR="00EB58E8" w:rsidRPr="000F0299" w:rsidRDefault="00EB58E8" w:rsidP="000D75E7">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F2F2F2" w:themeFill="background1" w:themeFillShade="F2"/>
          </w:tcPr>
          <w:p w14:paraId="416C26EA" w14:textId="77777777" w:rsidR="00EB58E8" w:rsidRPr="000F0299" w:rsidRDefault="00EB58E8" w:rsidP="000D75E7">
            <w:pPr>
              <w:spacing w:before="0"/>
              <w:ind w:firstLine="0"/>
              <w:jc w:val="center"/>
              <w:rPr>
                <w:b/>
                <w:bCs/>
                <w:sz w:val="16"/>
                <w:szCs w:val="16"/>
              </w:rPr>
            </w:pPr>
          </w:p>
        </w:tc>
      </w:tr>
      <w:tr w:rsidR="00EB58E8" w:rsidRPr="000F0299" w14:paraId="79E0F09A" w14:textId="77777777" w:rsidTr="00D31937">
        <w:trPr>
          <w:trHeight w:val="490"/>
        </w:trPr>
        <w:tc>
          <w:tcPr>
            <w:tcW w:w="189" w:type="pct"/>
            <w:tcBorders>
              <w:left w:val="single" w:sz="18" w:space="0" w:color="C00000"/>
            </w:tcBorders>
            <w:shd w:val="clear" w:color="auto" w:fill="F2F2F2" w:themeFill="background1" w:themeFillShade="F2"/>
          </w:tcPr>
          <w:p w14:paraId="276618B9" w14:textId="77777777" w:rsidR="00EB58E8" w:rsidRPr="000F0299" w:rsidRDefault="00EB58E8" w:rsidP="000D75E7">
            <w:pPr>
              <w:spacing w:before="0"/>
              <w:ind w:firstLine="0"/>
              <w:rPr>
                <w:b/>
                <w:bCs/>
              </w:rPr>
            </w:pPr>
          </w:p>
        </w:tc>
        <w:tc>
          <w:tcPr>
            <w:tcW w:w="2557" w:type="pct"/>
            <w:tcBorders>
              <w:left w:val="nil"/>
              <w:bottom w:val="single" w:sz="18" w:space="0" w:color="C00000"/>
              <w:right w:val="single" w:sz="18" w:space="0" w:color="FFFFFF" w:themeColor="background1"/>
            </w:tcBorders>
            <w:shd w:val="clear" w:color="auto" w:fill="F2F2F2" w:themeFill="background1" w:themeFillShade="F2"/>
          </w:tcPr>
          <w:p w14:paraId="12CF36F8" w14:textId="77777777" w:rsidR="00EB58E8" w:rsidRPr="000F0299" w:rsidRDefault="00EB58E8" w:rsidP="000D75E7">
            <w:pPr>
              <w:spacing w:before="0"/>
              <w:ind w:firstLine="0"/>
              <w:rPr>
                <w:b/>
                <w:bCs/>
              </w:rPr>
            </w:pPr>
            <w:r w:rsidRPr="000F0299">
              <w:rPr>
                <w:b/>
                <w:bCs/>
              </w:rPr>
              <w:t>Показатељ исхода</w:t>
            </w:r>
          </w:p>
        </w:tc>
        <w:tc>
          <w:tcPr>
            <w:tcW w:w="1034"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327C7FB1" w14:textId="77777777" w:rsidR="00EB58E8" w:rsidRPr="000F0299" w:rsidRDefault="00EB58E8" w:rsidP="000D75E7">
            <w:pPr>
              <w:spacing w:before="0"/>
              <w:ind w:firstLine="0"/>
              <w:jc w:val="center"/>
              <w:rPr>
                <w:b/>
                <w:bCs/>
              </w:rPr>
            </w:pPr>
            <w:r w:rsidRPr="000F0299">
              <w:rPr>
                <w:b/>
                <w:bCs/>
              </w:rPr>
              <w:t>ПВ</w:t>
            </w:r>
          </w:p>
        </w:tc>
        <w:tc>
          <w:tcPr>
            <w:tcW w:w="1034" w:type="pct"/>
            <w:tcBorders>
              <w:left w:val="single" w:sz="18" w:space="0" w:color="FFFFFF" w:themeColor="background1"/>
              <w:bottom w:val="single" w:sz="18" w:space="0" w:color="C00000"/>
            </w:tcBorders>
            <w:shd w:val="clear" w:color="auto" w:fill="F2F2F2" w:themeFill="background1" w:themeFillShade="F2"/>
            <w:vAlign w:val="center"/>
          </w:tcPr>
          <w:p w14:paraId="6D3B7A98" w14:textId="77777777" w:rsidR="00EB58E8" w:rsidRPr="000F0299" w:rsidRDefault="00EB58E8" w:rsidP="000D75E7">
            <w:pPr>
              <w:spacing w:before="0"/>
              <w:ind w:firstLine="0"/>
              <w:jc w:val="center"/>
              <w:rPr>
                <w:b/>
                <w:bCs/>
              </w:rPr>
            </w:pPr>
            <w:r w:rsidRPr="000F0299">
              <w:rPr>
                <w:b/>
                <w:bCs/>
              </w:rPr>
              <w:t>ЦВ</w:t>
            </w:r>
          </w:p>
        </w:tc>
        <w:tc>
          <w:tcPr>
            <w:tcW w:w="185" w:type="pct"/>
            <w:tcBorders>
              <w:right w:val="single" w:sz="18" w:space="0" w:color="C00000"/>
            </w:tcBorders>
            <w:shd w:val="clear" w:color="auto" w:fill="F2F2F2" w:themeFill="background1" w:themeFillShade="F2"/>
          </w:tcPr>
          <w:p w14:paraId="1DDB1C7F" w14:textId="77777777" w:rsidR="00EB58E8" w:rsidRPr="000F0299" w:rsidRDefault="00EB58E8" w:rsidP="000D75E7">
            <w:pPr>
              <w:spacing w:before="0"/>
              <w:ind w:firstLine="0"/>
              <w:jc w:val="center"/>
              <w:rPr>
                <w:b/>
                <w:bCs/>
              </w:rPr>
            </w:pPr>
          </w:p>
        </w:tc>
      </w:tr>
      <w:tr w:rsidR="00EB58E8" w:rsidRPr="000F0299" w14:paraId="1D1EE739" w14:textId="77777777" w:rsidTr="00D31937">
        <w:trPr>
          <w:trHeight w:val="1082"/>
        </w:trPr>
        <w:tc>
          <w:tcPr>
            <w:tcW w:w="189" w:type="pct"/>
            <w:tcBorders>
              <w:left w:val="single" w:sz="18" w:space="0" w:color="C00000"/>
            </w:tcBorders>
            <w:shd w:val="clear" w:color="auto" w:fill="F2F2F2" w:themeFill="background1" w:themeFillShade="F2"/>
          </w:tcPr>
          <w:p w14:paraId="457B3430" w14:textId="77777777" w:rsidR="00EB58E8" w:rsidRPr="000F0299" w:rsidRDefault="00EB58E8" w:rsidP="000D75E7">
            <w:pPr>
              <w:spacing w:before="0"/>
              <w:ind w:firstLine="0"/>
            </w:pPr>
          </w:p>
        </w:tc>
        <w:tc>
          <w:tcPr>
            <w:tcW w:w="2557"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228DF32D" w14:textId="77777777" w:rsidR="00EB58E8" w:rsidRPr="000F0299" w:rsidRDefault="00EB58E8" w:rsidP="000D75E7">
            <w:pPr>
              <w:spacing w:before="0"/>
              <w:ind w:firstLine="0"/>
            </w:pPr>
            <w:r w:rsidRPr="000F0299">
              <w:t>Индикатор квалитета прописа (</w:t>
            </w:r>
            <w:r w:rsidRPr="00241194">
              <w:rPr>
                <w:i/>
                <w:iCs/>
              </w:rPr>
              <w:t>Regulatory quality</w:t>
            </w:r>
            <w:r w:rsidRPr="000F0299">
              <w:t>) – ранг Светске банке</w:t>
            </w:r>
          </w:p>
        </w:tc>
        <w:tc>
          <w:tcPr>
            <w:tcW w:w="1034"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3AB6C1BE" w14:textId="77777777" w:rsidR="00EB58E8" w:rsidRPr="000F0299" w:rsidRDefault="00EB58E8" w:rsidP="000D75E7">
            <w:pPr>
              <w:spacing w:before="0"/>
              <w:ind w:firstLine="0"/>
            </w:pPr>
            <w:r w:rsidRPr="000F0299">
              <w:t>(2019) 60.10</w:t>
            </w:r>
          </w:p>
        </w:tc>
        <w:tc>
          <w:tcPr>
            <w:tcW w:w="1034"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103358F0" w14:textId="5CEDC3B7" w:rsidR="00EB58E8" w:rsidRPr="000F0299" w:rsidRDefault="00EB58E8" w:rsidP="000D75E7">
            <w:pPr>
              <w:spacing w:before="0"/>
              <w:ind w:firstLine="0"/>
            </w:pPr>
            <w:r w:rsidRPr="000F0299">
              <w:t>(2021):</w:t>
            </w:r>
            <w:r w:rsidR="00AC64AE" w:rsidRPr="000F0299">
              <w:t xml:space="preserve"> </w:t>
            </w:r>
            <w:r w:rsidRPr="000F0299">
              <w:t>61</w:t>
            </w:r>
          </w:p>
          <w:p w14:paraId="1CE7AA88" w14:textId="77777777" w:rsidR="00EB58E8" w:rsidRPr="000F0299" w:rsidRDefault="00EB58E8" w:rsidP="000D75E7">
            <w:pPr>
              <w:spacing w:before="0"/>
              <w:ind w:firstLine="0"/>
            </w:pPr>
            <w:r w:rsidRPr="000F0299">
              <w:t>(2022): 62</w:t>
            </w:r>
          </w:p>
          <w:p w14:paraId="7E85F7D9" w14:textId="77777777" w:rsidR="00EB58E8" w:rsidRPr="000F0299" w:rsidRDefault="00EB58E8" w:rsidP="000D75E7">
            <w:pPr>
              <w:spacing w:before="0"/>
              <w:ind w:firstLine="0"/>
            </w:pPr>
            <w:r w:rsidRPr="000F0299">
              <w:t>(2023): 63</w:t>
            </w:r>
          </w:p>
          <w:p w14:paraId="748234DE" w14:textId="77777777" w:rsidR="00EB58E8" w:rsidRPr="000F0299" w:rsidRDefault="00EB58E8" w:rsidP="000D75E7">
            <w:pPr>
              <w:spacing w:before="0"/>
              <w:ind w:firstLine="0"/>
            </w:pPr>
            <w:r w:rsidRPr="000F0299">
              <w:t>(2024): 64</w:t>
            </w:r>
          </w:p>
          <w:p w14:paraId="42331E5C" w14:textId="77777777" w:rsidR="00EB58E8" w:rsidRPr="000F0299" w:rsidRDefault="00EB58E8" w:rsidP="000D75E7">
            <w:pPr>
              <w:spacing w:before="0"/>
              <w:ind w:firstLine="0"/>
            </w:pPr>
            <w:r w:rsidRPr="000F0299">
              <w:t>(2025): 65</w:t>
            </w:r>
          </w:p>
          <w:p w14:paraId="3E20970C" w14:textId="77777777" w:rsidR="00EB58E8" w:rsidRPr="000F0299" w:rsidRDefault="00EB58E8" w:rsidP="000D75E7">
            <w:pPr>
              <w:spacing w:before="0"/>
              <w:ind w:firstLine="0"/>
            </w:pPr>
            <w:r w:rsidRPr="000F0299">
              <w:t>(2027): 66</w:t>
            </w:r>
          </w:p>
          <w:p w14:paraId="034F8938" w14:textId="77777777" w:rsidR="00EB58E8" w:rsidRPr="000F0299" w:rsidRDefault="00EB58E8" w:rsidP="000D75E7">
            <w:pPr>
              <w:spacing w:before="0"/>
              <w:ind w:firstLine="0"/>
            </w:pPr>
            <w:r w:rsidRPr="000F0299">
              <w:t>(2030): 70</w:t>
            </w:r>
          </w:p>
        </w:tc>
        <w:tc>
          <w:tcPr>
            <w:tcW w:w="185" w:type="pct"/>
            <w:tcBorders>
              <w:right w:val="single" w:sz="18" w:space="0" w:color="C00000"/>
            </w:tcBorders>
            <w:shd w:val="clear" w:color="auto" w:fill="F2F2F2" w:themeFill="background1" w:themeFillShade="F2"/>
          </w:tcPr>
          <w:p w14:paraId="1D4FE55D" w14:textId="77777777" w:rsidR="00EB58E8" w:rsidRPr="000F0299" w:rsidRDefault="00EB58E8" w:rsidP="000D75E7">
            <w:pPr>
              <w:spacing w:before="0"/>
              <w:ind w:firstLine="0"/>
            </w:pPr>
          </w:p>
        </w:tc>
      </w:tr>
      <w:tr w:rsidR="00EB58E8" w:rsidRPr="000F0299" w14:paraId="313F5625" w14:textId="77777777" w:rsidTr="00D31937">
        <w:trPr>
          <w:trHeight w:val="340"/>
        </w:trPr>
        <w:tc>
          <w:tcPr>
            <w:tcW w:w="189" w:type="pct"/>
            <w:tcBorders>
              <w:left w:val="single" w:sz="18" w:space="0" w:color="C00000"/>
              <w:bottom w:val="single" w:sz="18" w:space="0" w:color="C00000"/>
            </w:tcBorders>
            <w:shd w:val="clear" w:color="auto" w:fill="F2F2F2" w:themeFill="background1" w:themeFillShade="F2"/>
          </w:tcPr>
          <w:p w14:paraId="4599364C" w14:textId="77777777" w:rsidR="00EB58E8" w:rsidRPr="000F0299" w:rsidRDefault="00EB58E8" w:rsidP="000D75E7">
            <w:pPr>
              <w:spacing w:before="0"/>
              <w:ind w:firstLine="0"/>
              <w:rPr>
                <w:sz w:val="16"/>
                <w:szCs w:val="16"/>
              </w:rPr>
            </w:pPr>
          </w:p>
        </w:tc>
        <w:tc>
          <w:tcPr>
            <w:tcW w:w="2557" w:type="pct"/>
            <w:tcBorders>
              <w:bottom w:val="single" w:sz="18" w:space="0" w:color="C00000"/>
            </w:tcBorders>
            <w:shd w:val="clear" w:color="auto" w:fill="F2F2F2" w:themeFill="background1" w:themeFillShade="F2"/>
          </w:tcPr>
          <w:p w14:paraId="21C4CB1E" w14:textId="77777777" w:rsidR="00EB58E8" w:rsidRPr="000F0299" w:rsidRDefault="00EB58E8" w:rsidP="000D75E7">
            <w:pPr>
              <w:spacing w:before="0"/>
              <w:ind w:firstLine="0"/>
              <w:rPr>
                <w:sz w:val="16"/>
                <w:szCs w:val="16"/>
              </w:rPr>
            </w:pPr>
          </w:p>
        </w:tc>
        <w:tc>
          <w:tcPr>
            <w:tcW w:w="1034" w:type="pct"/>
            <w:tcBorders>
              <w:bottom w:val="single" w:sz="18" w:space="0" w:color="C00000"/>
            </w:tcBorders>
            <w:shd w:val="clear" w:color="auto" w:fill="F2F2F2" w:themeFill="background1" w:themeFillShade="F2"/>
          </w:tcPr>
          <w:p w14:paraId="15B0F8A5" w14:textId="77777777" w:rsidR="00EB58E8" w:rsidRPr="000F0299" w:rsidRDefault="00EB58E8" w:rsidP="000D75E7">
            <w:pPr>
              <w:spacing w:before="0"/>
              <w:ind w:firstLine="0"/>
              <w:rPr>
                <w:sz w:val="16"/>
                <w:szCs w:val="16"/>
              </w:rPr>
            </w:pPr>
          </w:p>
        </w:tc>
        <w:tc>
          <w:tcPr>
            <w:tcW w:w="1034" w:type="pct"/>
            <w:tcBorders>
              <w:bottom w:val="single" w:sz="18" w:space="0" w:color="C00000"/>
            </w:tcBorders>
            <w:shd w:val="clear" w:color="auto" w:fill="F2F2F2" w:themeFill="background1" w:themeFillShade="F2"/>
          </w:tcPr>
          <w:p w14:paraId="413F9501" w14:textId="77777777" w:rsidR="00EB58E8" w:rsidRPr="000F0299" w:rsidRDefault="00EB58E8" w:rsidP="000D75E7">
            <w:pPr>
              <w:spacing w:before="0"/>
              <w:ind w:firstLine="0"/>
              <w:rPr>
                <w:sz w:val="16"/>
                <w:szCs w:val="16"/>
              </w:rPr>
            </w:pPr>
          </w:p>
        </w:tc>
        <w:tc>
          <w:tcPr>
            <w:tcW w:w="185" w:type="pct"/>
            <w:tcBorders>
              <w:bottom w:val="single" w:sz="18" w:space="0" w:color="C00000"/>
              <w:right w:val="single" w:sz="18" w:space="0" w:color="C00000"/>
            </w:tcBorders>
            <w:shd w:val="clear" w:color="auto" w:fill="F2F2F2" w:themeFill="background1" w:themeFillShade="F2"/>
          </w:tcPr>
          <w:p w14:paraId="3F4410A5" w14:textId="77777777" w:rsidR="00EB58E8" w:rsidRPr="000F0299" w:rsidRDefault="00EB58E8" w:rsidP="000D75E7">
            <w:pPr>
              <w:spacing w:before="0"/>
              <w:ind w:firstLine="0"/>
              <w:rPr>
                <w:sz w:val="16"/>
                <w:szCs w:val="16"/>
              </w:rPr>
            </w:pPr>
          </w:p>
        </w:tc>
      </w:tr>
    </w:tbl>
    <w:p w14:paraId="34DA1568" w14:textId="1B2E1930" w:rsidR="00D31937" w:rsidRPr="00D31937" w:rsidRDefault="00D31937" w:rsidP="00D31937">
      <w:pPr>
        <w:spacing w:before="240"/>
        <w:rPr>
          <w:iCs/>
        </w:rPr>
      </w:pPr>
      <w:bookmarkStart w:id="115" w:name="_Hlk55335053"/>
      <w:r w:rsidRPr="00D31937">
        <w:rPr>
          <w:iCs/>
        </w:rPr>
        <w:t>Програмом за управљање јавним политикама и регулаторну реформу ће се разрадити посебан циљ Стратегиј</w:t>
      </w:r>
      <w:r>
        <w:rPr>
          <w:iCs/>
        </w:rPr>
        <w:t>е</w:t>
      </w:r>
      <w:r w:rsidRPr="00D31937">
        <w:rPr>
          <w:iCs/>
        </w:rPr>
        <w:t xml:space="preserve"> РЈУ: </w:t>
      </w:r>
      <w:r w:rsidRPr="00D31937">
        <w:rPr>
          <w:b/>
          <w:iCs/>
        </w:rPr>
        <w:t>Побољшан квалитет докумената јавних политика и прописа</w:t>
      </w:r>
      <w:r w:rsidRPr="00D31937">
        <w:rPr>
          <w:iCs/>
        </w:rPr>
        <w:t>, кроз четири посебна циља, који ће даље бити разрађени кроз мере за постизање циљева и активности у акционом плану. Да би се испунио први посебан циљ, наставиће се регулаторна реформа са акцентом на побољшању квалитета прописа, праћењу њиховог броја, повећању нето вредности прописа за грађане и привреду, праћењу ефеката спровођења прописа и унапређењу алата за спровођење анализе ефеката њиховог спровођења, пре свега ефеката на микро, мале и средње привредне субјекте, родну равноправност и заштиту конкуренције, као и у домену усклађивања са прописима ЕУ. Да би се испунио други посебан циљ, побољшаће се аналитичке вештине и унапредити алати и методе прикупљања података као основа за квалитетно креирање докумената јавних политика и прописа и одлучивање засновано на подацима и чињеницама. Спроводиће се мере ка унапређењу методологије за управљање јавним политикама које су утврђене у документима кроз измену прописа.</w:t>
      </w:r>
    </w:p>
    <w:p w14:paraId="2D7411AC" w14:textId="77777777" w:rsidR="00D31937" w:rsidRPr="00D31937" w:rsidRDefault="00D31937" w:rsidP="00D31937">
      <w:pPr>
        <w:rPr>
          <w:iCs/>
        </w:rPr>
      </w:pPr>
      <w:r w:rsidRPr="00D31937">
        <w:rPr>
          <w:iCs/>
        </w:rPr>
        <w:t>Да би се испунио трећи посебан циљ, унапређиваће се планирање на свим нивоима власти, алати за координацију јавних политика и радиће се на њиховом усклађивању, као и на побољшању планског оквира на националном, покрајинском и локалном нивоу и њиховој међусобној усклађености.</w:t>
      </w:r>
    </w:p>
    <w:p w14:paraId="5DAD9191" w14:textId="3A06D5E9" w:rsidR="001A294C" w:rsidRPr="000F0299" w:rsidRDefault="00D31937" w:rsidP="00D31937">
      <w:r w:rsidRPr="00D31937">
        <w:rPr>
          <w:iCs/>
        </w:rPr>
        <w:t>Да би се испунио четврти посебан циљ, спроводиће се мере усмерене на повећање учешћа свих циљних група и заинтересованих страна (привреда, грађани, цивилни сектор) у раним фазама израде докумената јавних политика и прописа, повећање квалитета извештаја о консултацијама и јавним расправама, пребацивање тежишта са форме на садржај, развијање вештина органа државне управе у правцу успостављања дијалога са јавношћу и подстицање иницијатива за измене докумената јавних политика и прописа</w:t>
      </w:r>
      <w:r w:rsidR="001A294C" w:rsidRPr="000F0299">
        <w:t xml:space="preserve">. </w:t>
      </w:r>
    </w:p>
    <w:p w14:paraId="78A5FA80" w14:textId="77777777" w:rsidR="001A294C" w:rsidRPr="000F0299" w:rsidRDefault="001A294C" w:rsidP="00244E7C">
      <w:pPr>
        <w:sectPr w:rsidR="001A294C" w:rsidRPr="000F0299">
          <w:headerReference w:type="default" r:id="rId81"/>
          <w:footerReference w:type="default" r:id="rId82"/>
          <w:pgSz w:w="11906" w:h="16838"/>
          <w:pgMar w:top="1417" w:right="1417" w:bottom="1134" w:left="1417" w:header="708" w:footer="708" w:gutter="0"/>
          <w:cols w:space="708"/>
          <w:docGrid w:linePitch="360"/>
        </w:sectPr>
      </w:pPr>
    </w:p>
    <w:p w14:paraId="128808CC" w14:textId="789B8204" w:rsidR="001A294C" w:rsidRPr="000F0299" w:rsidRDefault="001A294C" w:rsidP="008F1660">
      <w:pPr>
        <w:rPr>
          <w:sz w:val="18"/>
          <w:szCs w:val="18"/>
        </w:rPr>
      </w:pPr>
      <w:bookmarkStart w:id="116" w:name="_Toc57661477"/>
      <w:bookmarkEnd w:id="115"/>
      <w:r w:rsidRPr="000F0299">
        <w:rPr>
          <w:rStyle w:val="Heading3Char"/>
          <w:lang w:val="sr-Cyrl-RS"/>
        </w:rPr>
        <w:t>Правци деловања Програма за управљање јавним политикама и регулаторну реформу</w:t>
      </w:r>
      <w:bookmarkEnd w:id="116"/>
      <w:r w:rsidRPr="000F0299">
        <w:rPr>
          <w:sz w:val="18"/>
          <w:szCs w:val="18"/>
          <w:vertAlign w:val="superscript"/>
        </w:rPr>
        <w:footnoteReference w:id="82"/>
      </w:r>
    </w:p>
    <w:p w14:paraId="07C63D2D" w14:textId="77777777" w:rsidR="001A294C" w:rsidRPr="000F0299" w:rsidRDefault="001A294C" w:rsidP="008F1660"/>
    <w:p w14:paraId="4A361EE8" w14:textId="3E488758" w:rsidR="001A294C" w:rsidRPr="000F0299" w:rsidRDefault="001A294C" w:rsidP="00433570">
      <w:pPr>
        <w:tabs>
          <w:tab w:val="left" w:pos="2998"/>
        </w:tabs>
        <w:suppressAutoHyphens w:val="0"/>
        <w:autoSpaceDN/>
        <w:spacing w:before="0" w:after="0"/>
        <w:ind w:firstLine="0"/>
        <w:jc w:val="left"/>
        <w:textAlignment w:val="auto"/>
      </w:pPr>
    </w:p>
    <w:p w14:paraId="36F909AE" w14:textId="215D630A" w:rsidR="003940E4" w:rsidRPr="000F0299" w:rsidRDefault="003940E4" w:rsidP="00244E7C">
      <w:r w:rsidRPr="000F0299">
        <w:rPr>
          <w:rFonts w:eastAsia="Times New Roman"/>
          <w:noProof/>
          <w:kern w:val="0"/>
          <w:sz w:val="20"/>
          <w:szCs w:val="20"/>
          <w:lang w:val="en-US" w:eastAsia="en-US" w:bidi="ar-SA"/>
        </w:rPr>
        <mc:AlternateContent>
          <mc:Choice Requires="wps">
            <w:drawing>
              <wp:anchor distT="0" distB="0" distL="114300" distR="114300" simplePos="0" relativeHeight="251937280" behindDoc="0" locked="0" layoutInCell="1" allowOverlap="1" wp14:anchorId="3DD25310" wp14:editId="308DE5D8">
                <wp:simplePos x="0" y="0"/>
                <wp:positionH relativeFrom="column">
                  <wp:posOffset>-330200</wp:posOffset>
                </wp:positionH>
                <wp:positionV relativeFrom="paragraph">
                  <wp:posOffset>88265</wp:posOffset>
                </wp:positionV>
                <wp:extent cx="2957195" cy="734060"/>
                <wp:effectExtent l="19050" t="19050" r="14605" b="27940"/>
                <wp:wrapNone/>
                <wp:docPr id="14" name="Text Box 14"/>
                <wp:cNvGraphicFramePr/>
                <a:graphic xmlns:a="http://schemas.openxmlformats.org/drawingml/2006/main">
                  <a:graphicData uri="http://schemas.microsoft.com/office/word/2010/wordprocessingShape">
                    <wps:wsp>
                      <wps:cNvSpPr txBox="1"/>
                      <wps:spPr>
                        <a:xfrm>
                          <a:off x="0" y="0"/>
                          <a:ext cx="2957195" cy="734060"/>
                        </a:xfrm>
                        <a:prstGeom prst="roundRect">
                          <a:avLst/>
                        </a:prstGeom>
                        <a:solidFill>
                          <a:schemeClr val="bg1"/>
                        </a:solidFill>
                        <a:ln w="28575" cap="flat" cmpd="sng" algn="ctr">
                          <a:solidFill>
                            <a:schemeClr val="bg2"/>
                          </a:solidFill>
                          <a:prstDash val="solid"/>
                          <a:miter lim="800000"/>
                        </a:ln>
                        <a:effectLst/>
                      </wps:spPr>
                      <wps:txbx>
                        <w:txbxContent>
                          <w:p w14:paraId="65403DC4" w14:textId="77777777" w:rsidR="00876FFE" w:rsidRPr="008C2C7B" w:rsidRDefault="00876FFE" w:rsidP="008C2C7B">
                            <w:pPr>
                              <w:jc w:val="center"/>
                              <w:rPr>
                                <w:rFonts w:ascii="Calibri" w:hAnsi="Calibri"/>
                              </w:rPr>
                            </w:pPr>
                            <w:r w:rsidRPr="008C2C7B">
                              <w:rPr>
                                <w:rFonts w:ascii="Calibri" w:hAnsi="Calibri"/>
                              </w:rPr>
                              <w:t>Реално дефинисани циљеви и утемељено планирање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D25310" id="Text Box 14" o:spid="_x0000_s1081" style="position:absolute;left:0;text-align:left;margin-left:-26pt;margin-top:6.95pt;width:232.85pt;height:57.8pt;z-index:251937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" fillcolor="white [3212]" strokecolor="#e7e6e6 [3214]" strokeweight="2.25pt">
                <v:stroke joinstyle="miter"/>
                <v:textbox inset="0,0,0,0">
                  <w:txbxContent>
                    <w:p w14:paraId="65403DC4" w14:textId="77777777" w:rsidR="00876FFE" w:rsidRPr="008C2C7B" w:rsidRDefault="00876FFE" w:rsidP="008C2C7B">
                      <w:pPr>
                        <w:jc w:val="center"/>
                        <w:rPr>
                          <w:rFonts w:ascii="Calibri" w:hAnsi="Calibri"/>
                        </w:rPr>
                      </w:pPr>
                      <w:r w:rsidRPr="008C2C7B">
                        <w:rPr>
                          <w:rFonts w:ascii="Calibri" w:hAnsi="Calibri"/>
                        </w:rPr>
                        <w:t>Реално дефинисани циљеви и утемељено планирање</w:t>
                      </w:r>
                    </w:p>
                  </w:txbxContent>
                </v:textbox>
              </v:roundrect>
            </w:pict>
          </mc:Fallback>
        </mc:AlternateContent>
      </w:r>
      <w:r w:rsidRPr="000F0299">
        <w:rPr>
          <w:rFonts w:eastAsia="Times New Roman"/>
          <w:noProof/>
          <w:kern w:val="0"/>
          <w:sz w:val="20"/>
          <w:szCs w:val="20"/>
          <w:lang w:val="en-US" w:eastAsia="en-US" w:bidi="ar-SA"/>
        </w:rPr>
        <mc:AlternateContent>
          <mc:Choice Requires="wps">
            <w:drawing>
              <wp:anchor distT="0" distB="0" distL="114300" distR="114300" simplePos="0" relativeHeight="251938304" behindDoc="0" locked="0" layoutInCell="1" allowOverlap="1" wp14:anchorId="7188056F" wp14:editId="4EB750BB">
                <wp:simplePos x="0" y="0"/>
                <wp:positionH relativeFrom="column">
                  <wp:posOffset>3299460</wp:posOffset>
                </wp:positionH>
                <wp:positionV relativeFrom="paragraph">
                  <wp:posOffset>90805</wp:posOffset>
                </wp:positionV>
                <wp:extent cx="2957195" cy="734060"/>
                <wp:effectExtent l="19050" t="19050" r="14605" b="27940"/>
                <wp:wrapNone/>
                <wp:docPr id="1055" name="Text Box 1055"/>
                <wp:cNvGraphicFramePr/>
                <a:graphic xmlns:a="http://schemas.openxmlformats.org/drawingml/2006/main">
                  <a:graphicData uri="http://schemas.microsoft.com/office/word/2010/wordprocessingShape">
                    <wps:wsp>
                      <wps:cNvSpPr txBox="1"/>
                      <wps:spPr>
                        <a:xfrm>
                          <a:off x="0" y="0"/>
                          <a:ext cx="2957195" cy="734060"/>
                        </a:xfrm>
                        <a:prstGeom prst="roundRect">
                          <a:avLst/>
                        </a:prstGeom>
                        <a:solidFill>
                          <a:schemeClr val="bg1"/>
                        </a:solidFill>
                        <a:ln w="28575" cap="flat" cmpd="sng" algn="ctr">
                          <a:solidFill>
                            <a:schemeClr val="bg2"/>
                          </a:solidFill>
                          <a:prstDash val="solid"/>
                          <a:miter lim="800000"/>
                        </a:ln>
                        <a:effectLst/>
                      </wps:spPr>
                      <wps:txbx>
                        <w:txbxContent>
                          <w:p w14:paraId="6C8E6D5B" w14:textId="77777777" w:rsidR="00876FFE" w:rsidRPr="008C2C7B" w:rsidRDefault="00876FFE" w:rsidP="008C2C7B">
                            <w:pPr>
                              <w:jc w:val="center"/>
                              <w:rPr>
                                <w:rFonts w:ascii="Calibri" w:hAnsi="Calibri"/>
                              </w:rPr>
                            </w:pPr>
                            <w:r w:rsidRPr="008C2C7B">
                              <w:rPr>
                                <w:rFonts w:ascii="Calibri" w:hAnsi="Calibri"/>
                              </w:rPr>
                              <w:t>Усклађен стратешки оквир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188056F" id="Text Box 1055" o:spid="_x0000_s1082" style="position:absolute;left:0;text-align:left;margin-left:259.8pt;margin-top:7.15pt;width:232.85pt;height:57.8pt;z-index:251938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" fillcolor="white [3212]" strokecolor="#e7e6e6 [3214]" strokeweight="2.25pt">
                <v:stroke joinstyle="miter"/>
                <v:textbox inset="0,0,0,0">
                  <w:txbxContent>
                    <w:p w14:paraId="6C8E6D5B" w14:textId="77777777" w:rsidR="00876FFE" w:rsidRPr="008C2C7B" w:rsidRDefault="00876FFE" w:rsidP="008C2C7B">
                      <w:pPr>
                        <w:jc w:val="center"/>
                        <w:rPr>
                          <w:rFonts w:ascii="Calibri" w:hAnsi="Calibri"/>
                        </w:rPr>
                      </w:pPr>
                      <w:r w:rsidRPr="008C2C7B">
                        <w:rPr>
                          <w:rFonts w:ascii="Calibri" w:hAnsi="Calibri"/>
                        </w:rPr>
                        <w:t xml:space="preserve">Усклађен </w:t>
                      </w:r>
                      <w:r w:rsidRPr="008C2C7B">
                        <w:rPr>
                          <w:rFonts w:ascii="Calibri" w:hAnsi="Calibri"/>
                        </w:rPr>
                        <w:t>стратешки оквир</w:t>
                      </w:r>
                    </w:p>
                  </w:txbxContent>
                </v:textbox>
              </v:roundrect>
            </w:pict>
          </mc:Fallback>
        </mc:AlternateContent>
      </w:r>
      <w:r w:rsidRPr="000F0299">
        <w:rPr>
          <w:rFonts w:eastAsia="Times New Roman"/>
          <w:noProof/>
          <w:kern w:val="0"/>
          <w:sz w:val="20"/>
          <w:szCs w:val="20"/>
          <w:lang w:val="en-US" w:eastAsia="en-US" w:bidi="ar-SA"/>
        </w:rPr>
        <mc:AlternateContent>
          <mc:Choice Requires="wps">
            <w:drawing>
              <wp:anchor distT="0" distB="0" distL="114300" distR="114300" simplePos="0" relativeHeight="251939328" behindDoc="0" locked="0" layoutInCell="1" allowOverlap="1" wp14:anchorId="2109E649" wp14:editId="69A0F7CA">
                <wp:simplePos x="0" y="0"/>
                <wp:positionH relativeFrom="column">
                  <wp:posOffset>6947535</wp:posOffset>
                </wp:positionH>
                <wp:positionV relativeFrom="paragraph">
                  <wp:posOffset>90805</wp:posOffset>
                </wp:positionV>
                <wp:extent cx="2957195" cy="734060"/>
                <wp:effectExtent l="19050" t="19050" r="14605" b="27940"/>
                <wp:wrapNone/>
                <wp:docPr id="1056" name="Text Box 1056"/>
                <wp:cNvGraphicFramePr/>
                <a:graphic xmlns:a="http://schemas.openxmlformats.org/drawingml/2006/main">
                  <a:graphicData uri="http://schemas.microsoft.com/office/word/2010/wordprocessingShape">
                    <wps:wsp>
                      <wps:cNvSpPr txBox="1"/>
                      <wps:spPr>
                        <a:xfrm>
                          <a:off x="0" y="0"/>
                          <a:ext cx="2957195" cy="734060"/>
                        </a:xfrm>
                        <a:prstGeom prst="roundRect">
                          <a:avLst/>
                        </a:prstGeom>
                        <a:solidFill>
                          <a:schemeClr val="bg1"/>
                        </a:solidFill>
                        <a:ln w="28575" cap="flat" cmpd="sng" algn="ctr">
                          <a:solidFill>
                            <a:schemeClr val="bg2"/>
                          </a:solidFill>
                          <a:prstDash val="solid"/>
                          <a:miter lim="800000"/>
                        </a:ln>
                        <a:effectLst/>
                      </wps:spPr>
                      <wps:txbx>
                        <w:txbxContent>
                          <w:p w14:paraId="2F061E24" w14:textId="77777777" w:rsidR="00876FFE" w:rsidRPr="008C2C7B" w:rsidRDefault="00876FFE" w:rsidP="008C2C7B">
                            <w:pPr>
                              <w:jc w:val="center"/>
                              <w:rPr>
                                <w:rFonts w:ascii="Calibri" w:hAnsi="Calibri"/>
                              </w:rPr>
                            </w:pPr>
                            <w:r w:rsidRPr="008C2C7B">
                              <w:rPr>
                                <w:rFonts w:ascii="Calibri" w:hAnsi="Calibri"/>
                              </w:rPr>
                              <w:t xml:space="preserve">Информације о циљевима, трошковима и резултатима ЈП лако доступне грађанима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09E649" id="Text Box 1056" o:spid="_x0000_s1083" style="position:absolute;left:0;text-align:left;margin-left:547.05pt;margin-top:7.15pt;width:232.85pt;height:57.8pt;z-index:251939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" fillcolor="white [3212]" strokecolor="#e7e6e6 [3214]" strokeweight="2.25pt">
                <v:stroke joinstyle="miter"/>
                <v:textbox inset="0,0,0,0">
                  <w:txbxContent>
                    <w:p w14:paraId="2F061E24" w14:textId="77777777" w:rsidR="00876FFE" w:rsidRPr="008C2C7B" w:rsidRDefault="00876FFE" w:rsidP="008C2C7B">
                      <w:pPr>
                        <w:jc w:val="center"/>
                        <w:rPr>
                          <w:rFonts w:ascii="Calibri" w:hAnsi="Calibri"/>
                        </w:rPr>
                      </w:pPr>
                      <w:r w:rsidRPr="008C2C7B">
                        <w:rPr>
                          <w:rFonts w:ascii="Calibri" w:hAnsi="Calibri"/>
                        </w:rPr>
                        <w:t xml:space="preserve">Информације </w:t>
                      </w:r>
                      <w:r w:rsidRPr="008C2C7B">
                        <w:rPr>
                          <w:rFonts w:ascii="Calibri" w:hAnsi="Calibri"/>
                        </w:rPr>
                        <w:t xml:space="preserve">о циљевима, трошковима и резултатима ЈП лако доступне грађанима </w:t>
                      </w:r>
                    </w:p>
                  </w:txbxContent>
                </v:textbox>
              </v:roundrect>
            </w:pict>
          </mc:Fallback>
        </mc:AlternateContent>
      </w:r>
      <w:r w:rsidRPr="000F0299">
        <w:rPr>
          <w:rFonts w:eastAsia="Times New Roman"/>
          <w:noProof/>
          <w:kern w:val="0"/>
          <w:sz w:val="20"/>
          <w:szCs w:val="20"/>
          <w:lang w:val="en-US" w:eastAsia="en-US" w:bidi="ar-SA"/>
        </w:rPr>
        <mc:AlternateContent>
          <mc:Choice Requires="wps">
            <w:drawing>
              <wp:anchor distT="0" distB="0" distL="114300" distR="114300" simplePos="0" relativeHeight="251940352" behindDoc="0" locked="0" layoutInCell="1" allowOverlap="1" wp14:anchorId="4E8075F4" wp14:editId="5F4EE2C3">
                <wp:simplePos x="0" y="0"/>
                <wp:positionH relativeFrom="column">
                  <wp:posOffset>10595610</wp:posOffset>
                </wp:positionH>
                <wp:positionV relativeFrom="paragraph">
                  <wp:posOffset>90805</wp:posOffset>
                </wp:positionV>
                <wp:extent cx="2957195" cy="734060"/>
                <wp:effectExtent l="19050" t="19050" r="14605" b="27940"/>
                <wp:wrapNone/>
                <wp:docPr id="1057" name="Text Box 1057"/>
                <wp:cNvGraphicFramePr/>
                <a:graphic xmlns:a="http://schemas.openxmlformats.org/drawingml/2006/main">
                  <a:graphicData uri="http://schemas.microsoft.com/office/word/2010/wordprocessingShape">
                    <wps:wsp>
                      <wps:cNvSpPr txBox="1"/>
                      <wps:spPr>
                        <a:xfrm>
                          <a:off x="0" y="0"/>
                          <a:ext cx="2957195" cy="734060"/>
                        </a:xfrm>
                        <a:prstGeom prst="roundRect">
                          <a:avLst/>
                        </a:prstGeom>
                        <a:solidFill>
                          <a:schemeClr val="bg1"/>
                        </a:solidFill>
                        <a:ln w="28575" cap="flat" cmpd="sng" algn="ctr">
                          <a:solidFill>
                            <a:schemeClr val="bg2"/>
                          </a:solidFill>
                          <a:prstDash val="solid"/>
                          <a:miter lim="800000"/>
                        </a:ln>
                        <a:effectLst/>
                      </wps:spPr>
                      <wps:txbx>
                        <w:txbxContent>
                          <w:p w14:paraId="18BF1C14" w14:textId="77777777" w:rsidR="00876FFE" w:rsidRPr="008C2C7B" w:rsidRDefault="00876FFE" w:rsidP="008C2C7B">
                            <w:pPr>
                              <w:jc w:val="center"/>
                              <w:rPr>
                                <w:rFonts w:ascii="Calibri" w:hAnsi="Calibri"/>
                              </w:rPr>
                            </w:pPr>
                            <w:r w:rsidRPr="008C2C7B">
                              <w:rPr>
                                <w:rFonts w:ascii="Calibri" w:hAnsi="Calibri"/>
                              </w:rPr>
                              <w:t>Успостављен висок степен поверења и подршке у ЈП које Влада спроводи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8075F4" id="Text Box 1057" o:spid="_x0000_s1084" style="position:absolute;left:0;text-align:left;margin-left:834.3pt;margin-top:7.15pt;width:232.85pt;height:57.8pt;z-index:251940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" fillcolor="white [3212]" strokecolor="#e7e6e6 [3214]" strokeweight="2.25pt">
                <v:stroke joinstyle="miter"/>
                <v:textbox inset="0,0,0,0">
                  <w:txbxContent>
                    <w:p w14:paraId="18BF1C14" w14:textId="77777777" w:rsidR="00876FFE" w:rsidRPr="008C2C7B" w:rsidRDefault="00876FFE" w:rsidP="008C2C7B">
                      <w:pPr>
                        <w:jc w:val="center"/>
                        <w:rPr>
                          <w:rFonts w:ascii="Calibri" w:hAnsi="Calibri"/>
                        </w:rPr>
                      </w:pPr>
                      <w:r w:rsidRPr="008C2C7B">
                        <w:rPr>
                          <w:rFonts w:ascii="Calibri" w:hAnsi="Calibri"/>
                        </w:rPr>
                        <w:t xml:space="preserve">Успостављен </w:t>
                      </w:r>
                      <w:r w:rsidRPr="008C2C7B">
                        <w:rPr>
                          <w:rFonts w:ascii="Calibri" w:hAnsi="Calibri"/>
                        </w:rPr>
                        <w:t>висок степен поверења и подршке у ЈП које Влада спроводи</w:t>
                      </w:r>
                    </w:p>
                  </w:txbxContent>
                </v:textbox>
              </v:roundrect>
            </w:pict>
          </mc:Fallback>
        </mc:AlternateContent>
      </w:r>
      <w:r w:rsidRPr="000F0299">
        <w:rPr>
          <w:rFonts w:eastAsia="Times New Roman"/>
          <w:noProof/>
          <w:kern w:val="0"/>
          <w:sz w:val="20"/>
          <w:szCs w:val="20"/>
          <w:lang w:val="en-US" w:eastAsia="en-US" w:bidi="ar-SA"/>
        </w:rPr>
        <mc:AlternateContent>
          <mc:Choice Requires="wps">
            <w:drawing>
              <wp:anchor distT="0" distB="0" distL="114300" distR="114300" simplePos="0" relativeHeight="251941376" behindDoc="0" locked="0" layoutInCell="1" allowOverlap="1" wp14:anchorId="1910DC92" wp14:editId="705E3FA2">
                <wp:simplePos x="0" y="0"/>
                <wp:positionH relativeFrom="column">
                  <wp:posOffset>1139825</wp:posOffset>
                </wp:positionH>
                <wp:positionV relativeFrom="paragraph">
                  <wp:posOffset>840740</wp:posOffset>
                </wp:positionV>
                <wp:extent cx="0" cy="497840"/>
                <wp:effectExtent l="76200" t="38100" r="57150" b="16510"/>
                <wp:wrapNone/>
                <wp:docPr id="1058" name="Straight Arrow Connector 1058"/>
                <wp:cNvGraphicFramePr/>
                <a:graphic xmlns:a="http://schemas.openxmlformats.org/drawingml/2006/main">
                  <a:graphicData uri="http://schemas.microsoft.com/office/word/2010/wordprocessingShape">
                    <wps:wsp>
                      <wps:cNvCnPr/>
                      <wps:spPr>
                        <a:xfrm flipV="1">
                          <a:off x="0" y="0"/>
                          <a:ext cx="0" cy="49784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2249DD" id="Straight Arrow Connector 1058" o:spid="_x0000_s1026" type="#_x0000_t32" style="position:absolute;margin-left:89.75pt;margin-top:66.2pt;width:0;height:39.2pt;flip:y;z-index:25194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" strokecolor="#d8d8d8 [2732]" strokeweight="1.5pt">
                <v:stroke endarrow="block" joinstyle="miter"/>
              </v:shape>
            </w:pict>
          </mc:Fallback>
        </mc:AlternateContent>
      </w:r>
      <w:r w:rsidRPr="000F0299">
        <w:rPr>
          <w:rFonts w:eastAsia="Times New Roman"/>
          <w:noProof/>
          <w:kern w:val="0"/>
          <w:sz w:val="20"/>
          <w:szCs w:val="20"/>
          <w:lang w:val="en-US" w:eastAsia="en-US" w:bidi="ar-SA"/>
        </w:rPr>
        <mc:AlternateContent>
          <mc:Choice Requires="wps">
            <w:drawing>
              <wp:anchor distT="0" distB="0" distL="114300" distR="114300" simplePos="0" relativeHeight="251944448" behindDoc="0" locked="0" layoutInCell="1" allowOverlap="1" wp14:anchorId="5DD8338C" wp14:editId="6ABC2029">
                <wp:simplePos x="0" y="0"/>
                <wp:positionH relativeFrom="column">
                  <wp:posOffset>12091035</wp:posOffset>
                </wp:positionH>
                <wp:positionV relativeFrom="paragraph">
                  <wp:posOffset>843280</wp:posOffset>
                </wp:positionV>
                <wp:extent cx="0" cy="497840"/>
                <wp:effectExtent l="76200" t="38100" r="57150" b="16510"/>
                <wp:wrapNone/>
                <wp:docPr id="1059" name="Straight Arrow Connector 1059"/>
                <wp:cNvGraphicFramePr/>
                <a:graphic xmlns:a="http://schemas.openxmlformats.org/drawingml/2006/main">
                  <a:graphicData uri="http://schemas.microsoft.com/office/word/2010/wordprocessingShape">
                    <wps:wsp>
                      <wps:cNvCnPr/>
                      <wps:spPr>
                        <a:xfrm flipV="1">
                          <a:off x="0" y="0"/>
                          <a:ext cx="0" cy="49784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A48653" id="Straight Arrow Connector 1059" o:spid="_x0000_s1026" type="#_x0000_t32" style="position:absolute;margin-left:952.05pt;margin-top:66.4pt;width:0;height:39.2pt;flip:y;z-index:25194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" strokecolor="#d8d8d8 [2732]" strokeweight="1.5pt">
                <v:stroke endarrow="block" joinstyle="miter"/>
              </v:shape>
            </w:pict>
          </mc:Fallback>
        </mc:AlternateContent>
      </w:r>
      <w:r w:rsidRPr="000F0299">
        <w:rPr>
          <w:rFonts w:eastAsia="Times New Roman"/>
          <w:noProof/>
          <w:kern w:val="0"/>
          <w:sz w:val="20"/>
          <w:szCs w:val="20"/>
          <w:lang w:val="en-US" w:eastAsia="en-US" w:bidi="ar-SA"/>
        </w:rPr>
        <mc:AlternateContent>
          <mc:Choice Requires="wps">
            <w:drawing>
              <wp:anchor distT="0" distB="0" distL="114300" distR="114300" simplePos="0" relativeHeight="251943424" behindDoc="0" locked="0" layoutInCell="1" allowOverlap="1" wp14:anchorId="54F797B5" wp14:editId="4E2ABDE7">
                <wp:simplePos x="0" y="0"/>
                <wp:positionH relativeFrom="column">
                  <wp:posOffset>8423910</wp:posOffset>
                </wp:positionH>
                <wp:positionV relativeFrom="paragraph">
                  <wp:posOffset>843280</wp:posOffset>
                </wp:positionV>
                <wp:extent cx="0" cy="497840"/>
                <wp:effectExtent l="76200" t="38100" r="57150" b="16510"/>
                <wp:wrapNone/>
                <wp:docPr id="1060" name="Straight Arrow Connector 1060"/>
                <wp:cNvGraphicFramePr/>
                <a:graphic xmlns:a="http://schemas.openxmlformats.org/drawingml/2006/main">
                  <a:graphicData uri="http://schemas.microsoft.com/office/word/2010/wordprocessingShape">
                    <wps:wsp>
                      <wps:cNvCnPr/>
                      <wps:spPr>
                        <a:xfrm flipV="1">
                          <a:off x="0" y="0"/>
                          <a:ext cx="0" cy="49784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366508" id="Straight Arrow Connector 1060" o:spid="_x0000_s1026" type="#_x0000_t32" style="position:absolute;margin-left:663.3pt;margin-top:66.4pt;width:0;height:39.2pt;flip:y;z-index:25194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" strokecolor="#d8d8d8 [2732]" strokeweight="1.5pt">
                <v:stroke endarrow="block" joinstyle="miter"/>
              </v:shape>
            </w:pict>
          </mc:Fallback>
        </mc:AlternateContent>
      </w:r>
      <w:r w:rsidRPr="000F0299">
        <w:rPr>
          <w:rFonts w:eastAsia="Times New Roman"/>
          <w:noProof/>
          <w:kern w:val="0"/>
          <w:sz w:val="20"/>
          <w:szCs w:val="20"/>
          <w:lang w:val="en-US" w:eastAsia="en-US" w:bidi="ar-SA"/>
        </w:rPr>
        <mc:AlternateContent>
          <mc:Choice Requires="wps">
            <w:drawing>
              <wp:anchor distT="0" distB="0" distL="114300" distR="114300" simplePos="0" relativeHeight="251942400" behindDoc="0" locked="0" layoutInCell="1" allowOverlap="1" wp14:anchorId="135427D0" wp14:editId="58C42E2B">
                <wp:simplePos x="0" y="0"/>
                <wp:positionH relativeFrom="column">
                  <wp:posOffset>4766310</wp:posOffset>
                </wp:positionH>
                <wp:positionV relativeFrom="paragraph">
                  <wp:posOffset>843280</wp:posOffset>
                </wp:positionV>
                <wp:extent cx="0" cy="497840"/>
                <wp:effectExtent l="76200" t="38100" r="57150" b="16510"/>
                <wp:wrapNone/>
                <wp:docPr id="1061" name="Straight Arrow Connector 1061"/>
                <wp:cNvGraphicFramePr/>
                <a:graphic xmlns:a="http://schemas.openxmlformats.org/drawingml/2006/main">
                  <a:graphicData uri="http://schemas.microsoft.com/office/word/2010/wordprocessingShape">
                    <wps:wsp>
                      <wps:cNvCnPr/>
                      <wps:spPr>
                        <a:xfrm flipV="1">
                          <a:off x="0" y="0"/>
                          <a:ext cx="0" cy="49784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A6398" id="Straight Arrow Connector 1061" o:spid="_x0000_s1026" type="#_x0000_t32" style="position:absolute;margin-left:375.3pt;margin-top:66.4pt;width:0;height:39.2pt;flip:y;z-index:25194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" strokecolor="#d8d8d8 [2732]" strokeweight="1.5pt">
                <v:stroke endarrow="block" joinstyle="miter"/>
              </v:shape>
            </w:pict>
          </mc:Fallback>
        </mc:AlternateContent>
      </w:r>
    </w:p>
    <w:p w14:paraId="7B76EF6D" w14:textId="1CCC22F5" w:rsidR="003940E4" w:rsidRPr="000F0299" w:rsidRDefault="003940E4" w:rsidP="00244E7C"/>
    <w:p w14:paraId="5E65DC4E" w14:textId="04C18B3C" w:rsidR="003940E4" w:rsidRPr="000F0299" w:rsidRDefault="003940E4" w:rsidP="00244E7C"/>
    <w:p w14:paraId="100729AF" w14:textId="7DD6CA7B" w:rsidR="003940E4" w:rsidRPr="000F0299" w:rsidRDefault="003940E4" w:rsidP="00244E7C"/>
    <w:p w14:paraId="3422BB75" w14:textId="012B3EDC" w:rsidR="003940E4" w:rsidRPr="000F0299" w:rsidRDefault="000A440F" w:rsidP="00244E7C">
      <w:r w:rsidRPr="000F0299">
        <w:rPr>
          <w:rFonts w:eastAsia="Times New Roman"/>
          <w:noProof/>
          <w:kern w:val="0"/>
          <w:sz w:val="20"/>
          <w:szCs w:val="20"/>
          <w:lang w:val="en-US" w:eastAsia="en-US" w:bidi="ar-SA"/>
        </w:rPr>
        <mc:AlternateContent>
          <mc:Choice Requires="wps">
            <w:drawing>
              <wp:anchor distT="0" distB="0" distL="114300" distR="114300" simplePos="0" relativeHeight="251953664" behindDoc="1" locked="0" layoutInCell="1" allowOverlap="1" wp14:anchorId="66B6339E" wp14:editId="792C0CFF">
                <wp:simplePos x="0" y="0"/>
                <wp:positionH relativeFrom="column">
                  <wp:posOffset>-539750</wp:posOffset>
                </wp:positionH>
                <wp:positionV relativeFrom="paragraph">
                  <wp:posOffset>274743</wp:posOffset>
                </wp:positionV>
                <wp:extent cx="14269720" cy="548640"/>
                <wp:effectExtent l="0" t="0" r="17780" b="22860"/>
                <wp:wrapNone/>
                <wp:docPr id="1062" name="Rounded Rectangle 1"/>
                <wp:cNvGraphicFramePr/>
                <a:graphic xmlns:a="http://schemas.openxmlformats.org/drawingml/2006/main">
                  <a:graphicData uri="http://schemas.microsoft.com/office/word/2010/wordprocessingShape">
                    <wps:wsp>
                      <wps:cNvSpPr/>
                      <wps:spPr>
                        <a:xfrm>
                          <a:off x="0" y="0"/>
                          <a:ext cx="14269720" cy="548640"/>
                        </a:xfrm>
                        <a:prstGeom prst="roundRect">
                          <a:avLst/>
                        </a:prstGeom>
                        <a:solidFill>
                          <a:schemeClr val="bg2"/>
                        </a:solidFill>
                        <a:ln w="12700" cap="flat" cmpd="sng" algn="ctr">
                          <a:solidFill>
                            <a:schemeClr val="bg2"/>
                          </a:solidFill>
                          <a:prstDash val="solid"/>
                          <a:miter lim="800000"/>
                        </a:ln>
                        <a:effectLst/>
                      </wps:spPr>
                      <wps:txbx>
                        <w:txbxContent>
                          <w:p w14:paraId="76A4EC4D" w14:textId="77777777" w:rsidR="00876FFE" w:rsidRPr="003940E4" w:rsidRDefault="00876FFE" w:rsidP="008C2C7B">
                            <w:pPr>
                              <w:jc w:val="center"/>
                              <w:rPr>
                                <w:rFonts w:ascii="Calibri" w:hAnsi="Calibri"/>
                                <w:b/>
                                <w:sz w:val="44"/>
                                <w:szCs w:val="44"/>
                              </w:rPr>
                            </w:pPr>
                            <w:r w:rsidRPr="003940E4">
                              <w:rPr>
                                <w:rFonts w:ascii="Calibri" w:hAnsi="Calibri"/>
                                <w:b/>
                                <w:sz w:val="44"/>
                                <w:szCs w:val="44"/>
                              </w:rPr>
                              <w:t>УНАПРЕЂЕН КВАЛИТЕТ ЈАВНИХ ПОЛИТИКА И ПРОПИСА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B6339E" id="Rounded Rectangle 1" o:spid="_x0000_s1085" style="position:absolute;left:0;text-align:left;margin-left:-42.5pt;margin-top:21.65pt;width:1123.6pt;height:43.2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" fillcolor="#e7e6e6 [3214]" strokecolor="#e7e6e6 [3214]" strokeweight="1pt">
                <v:stroke joinstyle="miter"/>
                <v:textbox>
                  <w:txbxContent>
                    <w:p w14:paraId="76A4EC4D" w14:textId="77777777" w:rsidR="00876FFE" w:rsidRPr="003940E4" w:rsidRDefault="00876FFE" w:rsidP="008C2C7B">
                      <w:pPr>
                        <w:jc w:val="center"/>
                        <w:rPr>
                          <w:rFonts w:ascii="Calibri" w:hAnsi="Calibri"/>
                          <w:b/>
                          <w:sz w:val="44"/>
                          <w:szCs w:val="44"/>
                        </w:rPr>
                      </w:pPr>
                      <w:r w:rsidRPr="003940E4">
                        <w:rPr>
                          <w:rFonts w:ascii="Calibri" w:hAnsi="Calibri"/>
                          <w:b/>
                          <w:sz w:val="44"/>
                          <w:szCs w:val="44"/>
                        </w:rPr>
                        <w:t xml:space="preserve">УНАПРЕЂЕН </w:t>
                      </w:r>
                      <w:r w:rsidRPr="003940E4">
                        <w:rPr>
                          <w:rFonts w:ascii="Calibri" w:hAnsi="Calibri"/>
                          <w:b/>
                          <w:sz w:val="44"/>
                          <w:szCs w:val="44"/>
                        </w:rPr>
                        <w:t>КВАЛИТЕТ ЈАВНИХ ПОЛИТИКА И ПРОПИСА</w:t>
                      </w:r>
                    </w:p>
                  </w:txbxContent>
                </v:textbox>
              </v:roundrect>
            </w:pict>
          </mc:Fallback>
        </mc:AlternateContent>
      </w:r>
    </w:p>
    <w:p w14:paraId="0F17B940" w14:textId="577A12AC" w:rsidR="003940E4" w:rsidRPr="000F0299" w:rsidRDefault="003940E4" w:rsidP="00244E7C"/>
    <w:p w14:paraId="2447E1B2" w14:textId="74AA2348" w:rsidR="003940E4" w:rsidRPr="000F0299" w:rsidRDefault="003940E4" w:rsidP="00244E7C"/>
    <w:p w14:paraId="3E187525" w14:textId="482D9DF7" w:rsidR="003940E4" w:rsidRPr="000F0299" w:rsidRDefault="000A440F" w:rsidP="00244E7C">
      <w:r w:rsidRPr="000F0299">
        <w:rPr>
          <w:rFonts w:eastAsia="Times New Roman"/>
          <w:noProof/>
          <w:kern w:val="0"/>
          <w:sz w:val="20"/>
          <w:szCs w:val="20"/>
          <w:lang w:val="en-US" w:eastAsia="en-US" w:bidi="ar-SA"/>
        </w:rPr>
        <mc:AlternateContent>
          <mc:Choice Requires="wps">
            <w:drawing>
              <wp:anchor distT="0" distB="0" distL="114300" distR="114300" simplePos="0" relativeHeight="251949568" behindDoc="0" locked="0" layoutInCell="1" allowOverlap="1" wp14:anchorId="2F6F7E46" wp14:editId="29FB89A0">
                <wp:simplePos x="0" y="0"/>
                <wp:positionH relativeFrom="column">
                  <wp:posOffset>1156335</wp:posOffset>
                </wp:positionH>
                <wp:positionV relativeFrom="paragraph">
                  <wp:posOffset>81280</wp:posOffset>
                </wp:positionV>
                <wp:extent cx="0" cy="577850"/>
                <wp:effectExtent l="76200" t="38100" r="57150" b="12700"/>
                <wp:wrapNone/>
                <wp:docPr id="9" name="Straight Arrow Connector 9"/>
                <wp:cNvGraphicFramePr/>
                <a:graphic xmlns:a="http://schemas.openxmlformats.org/drawingml/2006/main">
                  <a:graphicData uri="http://schemas.microsoft.com/office/word/2010/wordprocessingShape">
                    <wps:wsp>
                      <wps:cNvCnPr/>
                      <wps:spPr>
                        <a:xfrm flipV="1">
                          <a:off x="0" y="0"/>
                          <a:ext cx="0" cy="57785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B74C5" id="Straight Arrow Connector 9" o:spid="_x0000_s1026" type="#_x0000_t32" style="position:absolute;margin-left:91.05pt;margin-top:6.4pt;width:0;height:45.5pt;flip:y;z-index:25194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" strokecolor="#d8d8d8 [2732]" strokeweight="1.5pt">
                <v:stroke endarrow="block" joinstyle="miter"/>
              </v:shape>
            </w:pict>
          </mc:Fallback>
        </mc:AlternateContent>
      </w:r>
      <w:r w:rsidRPr="000F0299">
        <w:rPr>
          <w:rFonts w:eastAsia="Times New Roman"/>
          <w:noProof/>
          <w:kern w:val="0"/>
          <w:sz w:val="20"/>
          <w:szCs w:val="20"/>
          <w:lang w:val="en-US" w:eastAsia="en-US" w:bidi="ar-SA"/>
        </w:rPr>
        <mc:AlternateContent>
          <mc:Choice Requires="wps">
            <w:drawing>
              <wp:anchor distT="0" distB="0" distL="114300" distR="114300" simplePos="0" relativeHeight="251950592" behindDoc="0" locked="0" layoutInCell="1" allowOverlap="1" wp14:anchorId="0B69354B" wp14:editId="31DB83B0">
                <wp:simplePos x="0" y="0"/>
                <wp:positionH relativeFrom="column">
                  <wp:posOffset>4775835</wp:posOffset>
                </wp:positionH>
                <wp:positionV relativeFrom="paragraph">
                  <wp:posOffset>90805</wp:posOffset>
                </wp:positionV>
                <wp:extent cx="0" cy="577850"/>
                <wp:effectExtent l="76200" t="38100" r="57150" b="12700"/>
                <wp:wrapNone/>
                <wp:docPr id="1052" name="Straight Arrow Connector 1052"/>
                <wp:cNvGraphicFramePr/>
                <a:graphic xmlns:a="http://schemas.openxmlformats.org/drawingml/2006/main">
                  <a:graphicData uri="http://schemas.microsoft.com/office/word/2010/wordprocessingShape">
                    <wps:wsp>
                      <wps:cNvCnPr/>
                      <wps:spPr>
                        <a:xfrm flipV="1">
                          <a:off x="0" y="0"/>
                          <a:ext cx="0" cy="57785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89BCEA" id="Straight Arrow Connector 1052" o:spid="_x0000_s1026" type="#_x0000_t32" style="position:absolute;margin-left:376.05pt;margin-top:7.15pt;width:0;height:45.5pt;flip:y;z-index:25195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" strokecolor="#d8d8d8 [2732]" strokeweight="1.5pt">
                <v:stroke endarrow="block" joinstyle="miter"/>
              </v:shape>
            </w:pict>
          </mc:Fallback>
        </mc:AlternateContent>
      </w:r>
      <w:r w:rsidRPr="000F0299">
        <w:rPr>
          <w:rFonts w:eastAsia="Times New Roman"/>
          <w:noProof/>
          <w:kern w:val="0"/>
          <w:sz w:val="20"/>
          <w:szCs w:val="20"/>
          <w:lang w:val="en-US" w:eastAsia="en-US" w:bidi="ar-SA"/>
        </w:rPr>
        <mc:AlternateContent>
          <mc:Choice Requires="wps">
            <w:drawing>
              <wp:anchor distT="0" distB="0" distL="114300" distR="114300" simplePos="0" relativeHeight="251951616" behindDoc="0" locked="0" layoutInCell="1" allowOverlap="1" wp14:anchorId="682BD4AC" wp14:editId="4D57B221">
                <wp:simplePos x="0" y="0"/>
                <wp:positionH relativeFrom="column">
                  <wp:posOffset>8423910</wp:posOffset>
                </wp:positionH>
                <wp:positionV relativeFrom="paragraph">
                  <wp:posOffset>81280</wp:posOffset>
                </wp:positionV>
                <wp:extent cx="0" cy="577850"/>
                <wp:effectExtent l="76200" t="38100" r="57150" b="12700"/>
                <wp:wrapNone/>
                <wp:docPr id="1051" name="Straight Arrow Connector 1051"/>
                <wp:cNvGraphicFramePr/>
                <a:graphic xmlns:a="http://schemas.openxmlformats.org/drawingml/2006/main">
                  <a:graphicData uri="http://schemas.microsoft.com/office/word/2010/wordprocessingShape">
                    <wps:wsp>
                      <wps:cNvCnPr/>
                      <wps:spPr>
                        <a:xfrm flipV="1">
                          <a:off x="0" y="0"/>
                          <a:ext cx="0" cy="57785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459494" id="Straight Arrow Connector 1051" o:spid="_x0000_s1026" type="#_x0000_t32" style="position:absolute;margin-left:663.3pt;margin-top:6.4pt;width:0;height:45.5pt;flip:y;z-index:25195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" strokecolor="#d8d8d8 [2732]" strokeweight="1.5pt">
                <v:stroke endarrow="block" joinstyle="miter"/>
              </v:shape>
            </w:pict>
          </mc:Fallback>
        </mc:AlternateContent>
      </w:r>
      <w:r w:rsidRPr="000F0299">
        <w:rPr>
          <w:rFonts w:eastAsia="Times New Roman"/>
          <w:noProof/>
          <w:kern w:val="0"/>
          <w:sz w:val="20"/>
          <w:szCs w:val="20"/>
          <w:lang w:val="en-US" w:eastAsia="en-US" w:bidi="ar-SA"/>
        </w:rPr>
        <mc:AlternateContent>
          <mc:Choice Requires="wps">
            <w:drawing>
              <wp:anchor distT="0" distB="0" distL="114300" distR="114300" simplePos="0" relativeHeight="251952640" behindDoc="0" locked="0" layoutInCell="1" allowOverlap="1" wp14:anchorId="4E7C637A" wp14:editId="385988DC">
                <wp:simplePos x="0" y="0"/>
                <wp:positionH relativeFrom="column">
                  <wp:posOffset>12081510</wp:posOffset>
                </wp:positionH>
                <wp:positionV relativeFrom="paragraph">
                  <wp:posOffset>81703</wp:posOffset>
                </wp:positionV>
                <wp:extent cx="0" cy="577850"/>
                <wp:effectExtent l="76200" t="38100" r="57150" b="12700"/>
                <wp:wrapNone/>
                <wp:docPr id="20" name="Straight Arrow Connector 20"/>
                <wp:cNvGraphicFramePr/>
                <a:graphic xmlns:a="http://schemas.openxmlformats.org/drawingml/2006/main">
                  <a:graphicData uri="http://schemas.microsoft.com/office/word/2010/wordprocessingShape">
                    <wps:wsp>
                      <wps:cNvCnPr/>
                      <wps:spPr>
                        <a:xfrm flipV="1">
                          <a:off x="0" y="0"/>
                          <a:ext cx="0" cy="577850"/>
                        </a:xfrm>
                        <a:prstGeom prst="straightConnector1">
                          <a:avLst/>
                        </a:prstGeom>
                        <a:noFill/>
                        <a:ln w="19050" cap="flat" cmpd="sng" algn="ctr">
                          <a:solidFill>
                            <a:schemeClr val="bg1">
                              <a:lumMod val="8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29C1E" id="Straight Arrow Connector 20" o:spid="_x0000_s1026" type="#_x0000_t32" style="position:absolute;margin-left:951.3pt;margin-top:6.45pt;width:0;height:45.5pt;flip:y;z-index:2519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" strokecolor="#d8d8d8 [2732]" strokeweight="1.5pt">
                <v:stroke endarrow="block" joinstyle="miter"/>
              </v:shape>
            </w:pict>
          </mc:Fallback>
        </mc:AlternateContent>
      </w:r>
    </w:p>
    <w:p w14:paraId="47619DEE" w14:textId="7D10536D" w:rsidR="003940E4" w:rsidRPr="000F0299" w:rsidRDefault="003940E4" w:rsidP="00244E7C"/>
    <w:p w14:paraId="194C79B5" w14:textId="69C4EEAF" w:rsidR="001A294C" w:rsidRPr="000F0299" w:rsidRDefault="003940E4" w:rsidP="00244E7C">
      <w:r w:rsidRPr="000F0299">
        <w:rPr>
          <w:rFonts w:eastAsia="Times New Roman"/>
          <w:noProof/>
          <w:kern w:val="0"/>
          <w:sz w:val="20"/>
          <w:szCs w:val="20"/>
          <w:lang w:val="en-US" w:eastAsia="en-US" w:bidi="ar-SA"/>
        </w:rPr>
        <mc:AlternateContent>
          <mc:Choice Requires="wps">
            <w:drawing>
              <wp:anchor distT="0" distB="0" distL="114300" distR="114300" simplePos="0" relativeHeight="251946496" behindDoc="0" locked="0" layoutInCell="1" allowOverlap="1" wp14:anchorId="4EF8813F" wp14:editId="5DE436D6">
                <wp:simplePos x="0" y="0"/>
                <wp:positionH relativeFrom="column">
                  <wp:posOffset>3299460</wp:posOffset>
                </wp:positionH>
                <wp:positionV relativeFrom="paragraph">
                  <wp:posOffset>202564</wp:posOffset>
                </wp:positionV>
                <wp:extent cx="2957195" cy="942975"/>
                <wp:effectExtent l="19050" t="19050" r="14605" b="28575"/>
                <wp:wrapNone/>
                <wp:docPr id="1053" name="Text Box 1053"/>
                <wp:cNvGraphicFramePr/>
                <a:graphic xmlns:a="http://schemas.openxmlformats.org/drawingml/2006/main">
                  <a:graphicData uri="http://schemas.microsoft.com/office/word/2010/wordprocessingShape">
                    <wps:wsp>
                      <wps:cNvSpPr txBox="1"/>
                      <wps:spPr>
                        <a:xfrm>
                          <a:off x="0" y="0"/>
                          <a:ext cx="2957195" cy="942975"/>
                        </a:xfrm>
                        <a:prstGeom prst="roundRect">
                          <a:avLst/>
                        </a:prstGeom>
                        <a:solidFill>
                          <a:sysClr val="window" lastClr="FFFFFF"/>
                        </a:solidFill>
                        <a:ln w="28575" cap="flat" cmpd="dbl" algn="ctr">
                          <a:solidFill>
                            <a:schemeClr val="bg1">
                              <a:lumMod val="85000"/>
                            </a:schemeClr>
                          </a:solidFill>
                          <a:prstDash val="solid"/>
                          <a:miter lim="800000"/>
                        </a:ln>
                        <a:effectLst/>
                      </wps:spPr>
                      <wps:txbx>
                        <w:txbxContent>
                          <w:p w14:paraId="6B1FE318" w14:textId="77777777" w:rsidR="00876FFE" w:rsidRPr="008C2C7B" w:rsidRDefault="00876FFE" w:rsidP="008C2C7B">
                            <w:pPr>
                              <w:jc w:val="center"/>
                              <w:rPr>
                                <w:rFonts w:ascii="Calibri" w:hAnsi="Calibri"/>
                              </w:rPr>
                            </w:pPr>
                            <w:r w:rsidRPr="008C2C7B">
                              <w:rPr>
                                <w:rFonts w:ascii="Calibri" w:hAnsi="Calibri"/>
                              </w:rPr>
                              <w:t xml:space="preserve">Јачање </w:t>
                            </w:r>
                            <w:r w:rsidRPr="00251E0D">
                              <w:rPr>
                                <w:rFonts w:ascii="Calibri" w:hAnsi="Calibri"/>
                                <w:b/>
                              </w:rPr>
                              <w:t>капацитета</w:t>
                            </w:r>
                            <w:r w:rsidRPr="008C2C7B">
                              <w:rPr>
                                <w:rFonts w:ascii="Calibri" w:hAnsi="Calibri"/>
                              </w:rPr>
                              <w:t xml:space="preserve"> и </w:t>
                            </w:r>
                            <w:r w:rsidRPr="00251E0D">
                              <w:rPr>
                                <w:rFonts w:ascii="Calibri" w:hAnsi="Calibri"/>
                                <w:b/>
                              </w:rPr>
                              <w:t>инструмената</w:t>
                            </w:r>
                            <w:r w:rsidRPr="008C2C7B">
                              <w:rPr>
                                <w:rFonts w:ascii="Calibri" w:hAnsi="Calibri"/>
                              </w:rPr>
                              <w:t xml:space="preserve"> за квалитетно креирање и праћење јавних политика и прописа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F8813F" id="Text Box 1053" o:spid="_x0000_s1086" style="position:absolute;left:0;text-align:left;margin-left:259.8pt;margin-top:15.95pt;width:232.85pt;height:74.25pt;z-index:25194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" fillcolor="window" strokecolor="#d8d8d8 [2732]" strokeweight="2.25pt">
                <v:stroke linestyle="thinThin" joinstyle="miter"/>
                <v:textbox inset="0,0,0,0">
                  <w:txbxContent>
                    <w:p w14:paraId="6B1FE318" w14:textId="77777777" w:rsidR="00876FFE" w:rsidRPr="008C2C7B" w:rsidRDefault="00876FFE" w:rsidP="008C2C7B">
                      <w:pPr>
                        <w:jc w:val="center"/>
                        <w:rPr>
                          <w:rFonts w:ascii="Calibri" w:hAnsi="Calibri"/>
                        </w:rPr>
                      </w:pPr>
                      <w:r w:rsidRPr="008C2C7B">
                        <w:rPr>
                          <w:rFonts w:ascii="Calibri" w:hAnsi="Calibri"/>
                        </w:rPr>
                        <w:t xml:space="preserve">Јачање </w:t>
                      </w:r>
                      <w:r w:rsidRPr="00251E0D">
                        <w:rPr>
                          <w:rFonts w:ascii="Calibri" w:hAnsi="Calibri"/>
                          <w:b/>
                        </w:rPr>
                        <w:t>капацитета</w:t>
                      </w:r>
                      <w:r w:rsidRPr="008C2C7B">
                        <w:rPr>
                          <w:rFonts w:ascii="Calibri" w:hAnsi="Calibri"/>
                        </w:rPr>
                        <w:t xml:space="preserve"> и </w:t>
                      </w:r>
                      <w:r w:rsidRPr="00251E0D">
                        <w:rPr>
                          <w:rFonts w:ascii="Calibri" w:hAnsi="Calibri"/>
                          <w:b/>
                        </w:rPr>
                        <w:t>инструмената</w:t>
                      </w:r>
                      <w:r w:rsidRPr="008C2C7B">
                        <w:rPr>
                          <w:rFonts w:ascii="Calibri" w:hAnsi="Calibri"/>
                        </w:rPr>
                        <w:t xml:space="preserve"> за квалитетно креирање и праћење јавних политика и прописа</w:t>
                      </w:r>
                    </w:p>
                  </w:txbxContent>
                </v:textbox>
              </v:roundrect>
            </w:pict>
          </mc:Fallback>
        </mc:AlternateContent>
      </w:r>
      <w:r w:rsidRPr="000F0299">
        <w:rPr>
          <w:rFonts w:eastAsia="Times New Roman"/>
          <w:noProof/>
          <w:kern w:val="0"/>
          <w:sz w:val="20"/>
          <w:szCs w:val="20"/>
          <w:lang w:val="en-US" w:eastAsia="en-US" w:bidi="ar-SA"/>
        </w:rPr>
        <mc:AlternateContent>
          <mc:Choice Requires="wps">
            <w:drawing>
              <wp:anchor distT="0" distB="0" distL="114300" distR="114300" simplePos="0" relativeHeight="251947520" behindDoc="0" locked="0" layoutInCell="1" allowOverlap="1" wp14:anchorId="3E7998D3" wp14:editId="1718A48F">
                <wp:simplePos x="0" y="0"/>
                <wp:positionH relativeFrom="column">
                  <wp:posOffset>6947535</wp:posOffset>
                </wp:positionH>
                <wp:positionV relativeFrom="paragraph">
                  <wp:posOffset>202564</wp:posOffset>
                </wp:positionV>
                <wp:extent cx="2957195" cy="942975"/>
                <wp:effectExtent l="19050" t="19050" r="14605" b="28575"/>
                <wp:wrapNone/>
                <wp:docPr id="7" name="Text Box 7"/>
                <wp:cNvGraphicFramePr/>
                <a:graphic xmlns:a="http://schemas.openxmlformats.org/drawingml/2006/main">
                  <a:graphicData uri="http://schemas.microsoft.com/office/word/2010/wordprocessingShape">
                    <wps:wsp>
                      <wps:cNvSpPr txBox="1"/>
                      <wps:spPr>
                        <a:xfrm>
                          <a:off x="0" y="0"/>
                          <a:ext cx="2957195" cy="942975"/>
                        </a:xfrm>
                        <a:prstGeom prst="roundRect">
                          <a:avLst/>
                        </a:prstGeom>
                        <a:solidFill>
                          <a:sysClr val="window" lastClr="FFFFFF"/>
                        </a:solidFill>
                        <a:ln w="28575" cap="flat" cmpd="dbl" algn="ctr">
                          <a:solidFill>
                            <a:schemeClr val="bg1">
                              <a:lumMod val="85000"/>
                            </a:schemeClr>
                          </a:solidFill>
                          <a:prstDash val="solid"/>
                          <a:miter lim="800000"/>
                        </a:ln>
                        <a:effectLst/>
                      </wps:spPr>
                      <wps:txbx>
                        <w:txbxContent>
                          <w:p w14:paraId="06E06F70" w14:textId="77777777" w:rsidR="00876FFE" w:rsidRPr="008C2C7B" w:rsidRDefault="00876FFE" w:rsidP="008C2C7B">
                            <w:pPr>
                              <w:jc w:val="center"/>
                              <w:rPr>
                                <w:rFonts w:ascii="Calibri" w:hAnsi="Calibri"/>
                              </w:rPr>
                            </w:pPr>
                            <w:r w:rsidRPr="008C2C7B">
                              <w:rPr>
                                <w:rFonts w:ascii="Calibri" w:hAnsi="Calibri"/>
                              </w:rPr>
                              <w:t xml:space="preserve">Ефективна </w:t>
                            </w:r>
                            <w:r w:rsidRPr="00251E0D">
                              <w:rPr>
                                <w:rFonts w:ascii="Calibri" w:hAnsi="Calibri"/>
                                <w:b/>
                              </w:rPr>
                              <w:t>координација</w:t>
                            </w:r>
                            <w:r w:rsidRPr="008C2C7B">
                              <w:rPr>
                                <w:rFonts w:ascii="Calibri" w:hAnsi="Calibri"/>
                              </w:rPr>
                              <w:t xml:space="preserve"> јавних политика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7998D3" id="Text Box 7" o:spid="_x0000_s1087" style="position:absolute;left:0;text-align:left;margin-left:547.05pt;margin-top:15.95pt;width:232.85pt;height:74.25pt;z-index:25194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" fillcolor="window" strokecolor="#d8d8d8 [2732]" strokeweight="2.25pt">
                <v:stroke linestyle="thinThin" joinstyle="miter"/>
                <v:textbox inset="0,0,0,0">
                  <w:txbxContent>
                    <w:p w14:paraId="06E06F70" w14:textId="77777777" w:rsidR="00876FFE" w:rsidRPr="008C2C7B" w:rsidRDefault="00876FFE" w:rsidP="008C2C7B">
                      <w:pPr>
                        <w:jc w:val="center"/>
                        <w:rPr>
                          <w:rFonts w:ascii="Calibri" w:hAnsi="Calibri"/>
                        </w:rPr>
                      </w:pPr>
                      <w:r w:rsidRPr="008C2C7B">
                        <w:rPr>
                          <w:rFonts w:ascii="Calibri" w:hAnsi="Calibri"/>
                        </w:rPr>
                        <w:t xml:space="preserve">Ефективна </w:t>
                      </w:r>
                      <w:r w:rsidRPr="00251E0D">
                        <w:rPr>
                          <w:rFonts w:ascii="Calibri" w:hAnsi="Calibri"/>
                          <w:b/>
                        </w:rPr>
                        <w:t>координација</w:t>
                      </w:r>
                      <w:r w:rsidRPr="008C2C7B">
                        <w:rPr>
                          <w:rFonts w:ascii="Calibri" w:hAnsi="Calibri"/>
                        </w:rPr>
                        <w:t xml:space="preserve"> јавних политика </w:t>
                      </w:r>
                    </w:p>
                  </w:txbxContent>
                </v:textbox>
              </v:roundrect>
            </w:pict>
          </mc:Fallback>
        </mc:AlternateContent>
      </w:r>
      <w:r w:rsidRPr="000F0299">
        <w:rPr>
          <w:rFonts w:eastAsia="Times New Roman"/>
          <w:noProof/>
          <w:kern w:val="0"/>
          <w:sz w:val="20"/>
          <w:szCs w:val="20"/>
          <w:lang w:val="en-US" w:eastAsia="en-US" w:bidi="ar-SA"/>
        </w:rPr>
        <mc:AlternateContent>
          <mc:Choice Requires="wps">
            <w:drawing>
              <wp:anchor distT="0" distB="0" distL="114300" distR="114300" simplePos="0" relativeHeight="251948544" behindDoc="0" locked="0" layoutInCell="1" allowOverlap="1" wp14:anchorId="786DC45C" wp14:editId="276DBC3F">
                <wp:simplePos x="0" y="0"/>
                <wp:positionH relativeFrom="column">
                  <wp:posOffset>10595610</wp:posOffset>
                </wp:positionH>
                <wp:positionV relativeFrom="paragraph">
                  <wp:posOffset>202564</wp:posOffset>
                </wp:positionV>
                <wp:extent cx="2957195" cy="981075"/>
                <wp:effectExtent l="19050" t="19050" r="14605" b="28575"/>
                <wp:wrapNone/>
                <wp:docPr id="8" name="Text Box 8"/>
                <wp:cNvGraphicFramePr/>
                <a:graphic xmlns:a="http://schemas.openxmlformats.org/drawingml/2006/main">
                  <a:graphicData uri="http://schemas.microsoft.com/office/word/2010/wordprocessingShape">
                    <wps:wsp>
                      <wps:cNvSpPr txBox="1"/>
                      <wps:spPr>
                        <a:xfrm>
                          <a:off x="0" y="0"/>
                          <a:ext cx="2957195" cy="981075"/>
                        </a:xfrm>
                        <a:prstGeom prst="roundRect">
                          <a:avLst/>
                        </a:prstGeom>
                        <a:solidFill>
                          <a:sysClr val="window" lastClr="FFFFFF"/>
                        </a:solidFill>
                        <a:ln w="28575" cap="flat" cmpd="dbl" algn="ctr">
                          <a:solidFill>
                            <a:schemeClr val="bg1">
                              <a:lumMod val="85000"/>
                            </a:schemeClr>
                          </a:solidFill>
                          <a:prstDash val="solid"/>
                          <a:miter lim="800000"/>
                        </a:ln>
                        <a:effectLst/>
                      </wps:spPr>
                      <wps:txbx>
                        <w:txbxContent>
                          <w:p w14:paraId="7B805F99" w14:textId="77777777" w:rsidR="00876FFE" w:rsidRPr="008C2C7B" w:rsidRDefault="00876FFE" w:rsidP="008C2C7B">
                            <w:pPr>
                              <w:jc w:val="center"/>
                              <w:rPr>
                                <w:rFonts w:ascii="Calibri" w:hAnsi="Calibri"/>
                              </w:rPr>
                            </w:pPr>
                            <w:r w:rsidRPr="008C2C7B">
                              <w:rPr>
                                <w:rFonts w:ascii="Calibri" w:hAnsi="Calibri"/>
                              </w:rPr>
                              <w:t xml:space="preserve">Повећање степена </w:t>
                            </w:r>
                            <w:r w:rsidRPr="00251E0D">
                              <w:rPr>
                                <w:rFonts w:ascii="Calibri" w:hAnsi="Calibri"/>
                                <w:b/>
                              </w:rPr>
                              <w:t>учешћа цивилног друштва, привреде и других заинтересованих страна</w:t>
                            </w:r>
                            <w:r w:rsidRPr="008C2C7B">
                              <w:rPr>
                                <w:rFonts w:ascii="Calibri" w:hAnsi="Calibri"/>
                              </w:rPr>
                              <w:t xml:space="preserve"> у раним фазама припреме јавних политика и прописа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86DC45C" id="Text Box 8" o:spid="_x0000_s1088" style="position:absolute;left:0;text-align:left;margin-left:834.3pt;margin-top:15.95pt;width:232.85pt;height:77.25pt;z-index:25194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" fillcolor="window" strokecolor="#d8d8d8 [2732]" strokeweight="2.25pt">
                <v:stroke linestyle="thinThin" joinstyle="miter"/>
                <v:textbox inset="0,0,0,0">
                  <w:txbxContent>
                    <w:p w14:paraId="7B805F99" w14:textId="77777777" w:rsidR="00876FFE" w:rsidRPr="008C2C7B" w:rsidRDefault="00876FFE" w:rsidP="008C2C7B">
                      <w:pPr>
                        <w:jc w:val="center"/>
                        <w:rPr>
                          <w:rFonts w:ascii="Calibri" w:hAnsi="Calibri"/>
                        </w:rPr>
                      </w:pPr>
                      <w:r w:rsidRPr="008C2C7B">
                        <w:rPr>
                          <w:rFonts w:ascii="Calibri" w:hAnsi="Calibri"/>
                        </w:rPr>
                        <w:t xml:space="preserve">Повећање степена </w:t>
                      </w:r>
                      <w:r w:rsidRPr="00251E0D">
                        <w:rPr>
                          <w:rFonts w:ascii="Calibri" w:hAnsi="Calibri"/>
                          <w:b/>
                        </w:rPr>
                        <w:t>учешћа цивилног друштва, привреде и других заинтересованих страна</w:t>
                      </w:r>
                      <w:r w:rsidRPr="008C2C7B">
                        <w:rPr>
                          <w:rFonts w:ascii="Calibri" w:hAnsi="Calibri"/>
                        </w:rPr>
                        <w:t xml:space="preserve"> у раним фазама припреме јавних политика и прописа</w:t>
                      </w:r>
                    </w:p>
                  </w:txbxContent>
                </v:textbox>
              </v:roundrect>
            </w:pict>
          </mc:Fallback>
        </mc:AlternateContent>
      </w:r>
      <w:r w:rsidRPr="000F0299">
        <w:rPr>
          <w:rFonts w:eastAsia="Times New Roman"/>
          <w:noProof/>
          <w:kern w:val="0"/>
          <w:sz w:val="20"/>
          <w:szCs w:val="20"/>
          <w:lang w:val="en-US" w:eastAsia="en-US" w:bidi="ar-SA"/>
        </w:rPr>
        <mc:AlternateContent>
          <mc:Choice Requires="wps">
            <w:drawing>
              <wp:anchor distT="0" distB="0" distL="114300" distR="114300" simplePos="0" relativeHeight="251945472" behindDoc="0" locked="0" layoutInCell="1" allowOverlap="1" wp14:anchorId="79867181" wp14:editId="37DB7C80">
                <wp:simplePos x="0" y="0"/>
                <wp:positionH relativeFrom="column">
                  <wp:posOffset>-320040</wp:posOffset>
                </wp:positionH>
                <wp:positionV relativeFrom="paragraph">
                  <wp:posOffset>202564</wp:posOffset>
                </wp:positionV>
                <wp:extent cx="2957195" cy="962025"/>
                <wp:effectExtent l="19050" t="19050" r="14605" b="28575"/>
                <wp:wrapNone/>
                <wp:docPr id="1054" name="Text Box 1054"/>
                <wp:cNvGraphicFramePr/>
                <a:graphic xmlns:a="http://schemas.openxmlformats.org/drawingml/2006/main">
                  <a:graphicData uri="http://schemas.microsoft.com/office/word/2010/wordprocessingShape">
                    <wps:wsp>
                      <wps:cNvSpPr txBox="1"/>
                      <wps:spPr>
                        <a:xfrm>
                          <a:off x="0" y="0"/>
                          <a:ext cx="2957195" cy="962025"/>
                        </a:xfrm>
                        <a:prstGeom prst="roundRect">
                          <a:avLst/>
                        </a:prstGeom>
                        <a:solidFill>
                          <a:sysClr val="window" lastClr="FFFFFF"/>
                        </a:solidFill>
                        <a:ln w="28575" cap="flat" cmpd="dbl" algn="ctr">
                          <a:solidFill>
                            <a:schemeClr val="bg1">
                              <a:lumMod val="85000"/>
                            </a:schemeClr>
                          </a:solidFill>
                          <a:prstDash val="solid"/>
                          <a:miter lim="800000"/>
                        </a:ln>
                        <a:effectLst/>
                      </wps:spPr>
                      <wps:txbx>
                        <w:txbxContent>
                          <w:p w14:paraId="4157ED87" w14:textId="77777777" w:rsidR="00876FFE" w:rsidRPr="008C2C7B" w:rsidRDefault="00876FFE" w:rsidP="008C2C7B">
                            <w:pPr>
                              <w:jc w:val="center"/>
                              <w:rPr>
                                <w:rFonts w:ascii="Calibri" w:hAnsi="Calibri"/>
                              </w:rPr>
                            </w:pPr>
                            <w:r w:rsidRPr="00251E0D">
                              <w:rPr>
                                <w:rFonts w:ascii="Calibri" w:hAnsi="Calibri"/>
                                <w:b/>
                              </w:rPr>
                              <w:t>Регулаторна реформа</w:t>
                            </w:r>
                            <w:r w:rsidRPr="008C2C7B">
                              <w:rPr>
                                <w:rFonts w:ascii="Calibri" w:hAnsi="Calibri"/>
                              </w:rPr>
                              <w:t xml:space="preserve"> у функцији унапређења пословног окружења и </w:t>
                            </w:r>
                            <w:r w:rsidRPr="00251E0D">
                              <w:rPr>
                                <w:rFonts w:ascii="Calibri" w:hAnsi="Calibri"/>
                                <w:b/>
                              </w:rPr>
                              <w:t>смањења непотребног оптерећења за грађане и привреду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867181" id="Text Box 1054" o:spid="_x0000_s1089" style="position:absolute;left:0;text-align:left;margin-left:-25.2pt;margin-top:15.95pt;width:232.85pt;height:75.75pt;z-index:25194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" fillcolor="window" strokecolor="#d8d8d8 [2732]" strokeweight="2.25pt">
                <v:stroke linestyle="thinThin" joinstyle="miter"/>
                <v:textbox inset="0,0,0,0">
                  <w:txbxContent>
                    <w:p w14:paraId="4157ED87" w14:textId="77777777" w:rsidR="00876FFE" w:rsidRPr="008C2C7B" w:rsidRDefault="00876FFE" w:rsidP="008C2C7B">
                      <w:pPr>
                        <w:jc w:val="center"/>
                        <w:rPr>
                          <w:rFonts w:ascii="Calibri" w:hAnsi="Calibri"/>
                        </w:rPr>
                      </w:pPr>
                      <w:r w:rsidRPr="00251E0D">
                        <w:rPr>
                          <w:rFonts w:ascii="Calibri" w:hAnsi="Calibri"/>
                          <w:b/>
                        </w:rPr>
                        <w:t xml:space="preserve">Регулаторна </w:t>
                      </w:r>
                      <w:r w:rsidRPr="00251E0D">
                        <w:rPr>
                          <w:rFonts w:ascii="Calibri" w:hAnsi="Calibri"/>
                          <w:b/>
                        </w:rPr>
                        <w:t>реформа</w:t>
                      </w:r>
                      <w:r w:rsidRPr="008C2C7B">
                        <w:rPr>
                          <w:rFonts w:ascii="Calibri" w:hAnsi="Calibri"/>
                        </w:rPr>
                        <w:t xml:space="preserve"> у функцији унапређења пословног окружења и </w:t>
                      </w:r>
                      <w:r w:rsidRPr="00251E0D">
                        <w:rPr>
                          <w:rFonts w:ascii="Calibri" w:hAnsi="Calibri"/>
                          <w:b/>
                        </w:rPr>
                        <w:t>смањења непотребног оптерећења за грађане и привреду</w:t>
                      </w:r>
                    </w:p>
                  </w:txbxContent>
                </v:textbox>
              </v:roundrect>
            </w:pict>
          </mc:Fallback>
        </mc:AlternateContent>
      </w:r>
    </w:p>
    <w:p w14:paraId="25E5DCE9" w14:textId="77777777" w:rsidR="001A294C" w:rsidRPr="000F0299" w:rsidRDefault="001A294C" w:rsidP="00244E7C"/>
    <w:p w14:paraId="7E58AD68" w14:textId="77777777" w:rsidR="001A294C" w:rsidRPr="000F0299" w:rsidRDefault="001A294C" w:rsidP="00244E7C"/>
    <w:p w14:paraId="2B017C06" w14:textId="77777777" w:rsidR="001A294C" w:rsidRPr="000F0299" w:rsidRDefault="001A294C" w:rsidP="00244E7C"/>
    <w:p w14:paraId="72FFB4CA" w14:textId="64FED574" w:rsidR="001A294C" w:rsidRPr="000F0299" w:rsidRDefault="001A294C" w:rsidP="00244E7C"/>
    <w:p w14:paraId="56C79594" w14:textId="1F4F9CF2" w:rsidR="001A294C" w:rsidRPr="000F0299" w:rsidRDefault="009F44BF" w:rsidP="00244E7C">
      <w:r>
        <w:rPr>
          <w:noProof/>
          <w:lang w:val="en-US" w:eastAsia="en-US" w:bidi="ar-SA"/>
        </w:rPr>
        <mc:AlternateContent>
          <mc:Choice Requires="wps">
            <w:drawing>
              <wp:anchor distT="0" distB="0" distL="114300" distR="114300" simplePos="0" relativeHeight="252040704" behindDoc="0" locked="0" layoutInCell="1" allowOverlap="1" wp14:anchorId="3422EE4E" wp14:editId="7A441C81">
                <wp:simplePos x="0" y="0"/>
                <wp:positionH relativeFrom="margin">
                  <wp:align>center</wp:align>
                </wp:positionH>
                <wp:positionV relativeFrom="paragraph">
                  <wp:posOffset>156257</wp:posOffset>
                </wp:positionV>
                <wp:extent cx="5791200" cy="635"/>
                <wp:effectExtent l="0" t="0" r="0" b="8255"/>
                <wp:wrapNone/>
                <wp:docPr id="366" name="Text Box 366"/>
                <wp:cNvGraphicFramePr/>
                <a:graphic xmlns:a="http://schemas.openxmlformats.org/drawingml/2006/main">
                  <a:graphicData uri="http://schemas.microsoft.com/office/word/2010/wordprocessingShape">
                    <wps:wsp>
                      <wps:cNvSpPr txBox="1"/>
                      <wps:spPr>
                        <a:xfrm>
                          <a:off x="0" y="0"/>
                          <a:ext cx="5791200" cy="635"/>
                        </a:xfrm>
                        <a:prstGeom prst="rect">
                          <a:avLst/>
                        </a:prstGeom>
                        <a:solidFill>
                          <a:prstClr val="white"/>
                        </a:solidFill>
                        <a:ln>
                          <a:noFill/>
                        </a:ln>
                      </wps:spPr>
                      <wps:txbx>
                        <w:txbxContent>
                          <w:p w14:paraId="64104CCB" w14:textId="5C76821E" w:rsidR="00876FFE" w:rsidRPr="009F44BF" w:rsidRDefault="00876FFE" w:rsidP="009F44BF">
                            <w:pPr>
                              <w:pStyle w:val="Caption"/>
                              <w:rPr>
                                <w:i w:val="0"/>
                                <w:iCs w:val="0"/>
                                <w:noProof/>
                                <w:sz w:val="24"/>
                                <w:szCs w:val="24"/>
                              </w:rPr>
                            </w:pPr>
                            <w:bookmarkStart w:id="117" w:name="_Toc57665348"/>
                            <w:r w:rsidRPr="009F44BF">
                              <w:rPr>
                                <w:i w:val="0"/>
                                <w:iCs w:val="0"/>
                              </w:rPr>
                              <w:t xml:space="preserve">Графикон </w:t>
                            </w:r>
                            <w:r w:rsidRPr="009F44BF">
                              <w:rPr>
                                <w:i w:val="0"/>
                                <w:iCs w:val="0"/>
                              </w:rPr>
                              <w:fldChar w:fldCharType="begin"/>
                            </w:r>
                            <w:r w:rsidRPr="009F44BF">
                              <w:rPr>
                                <w:i w:val="0"/>
                                <w:iCs w:val="0"/>
                              </w:rPr>
                              <w:instrText xml:space="preserve"> SEQ Графикон \* ARABIC </w:instrText>
                            </w:r>
                            <w:r w:rsidRPr="009F44BF">
                              <w:rPr>
                                <w:i w:val="0"/>
                                <w:iCs w:val="0"/>
                              </w:rPr>
                              <w:fldChar w:fldCharType="separate"/>
                            </w:r>
                            <w:r>
                              <w:rPr>
                                <w:i w:val="0"/>
                                <w:iCs w:val="0"/>
                                <w:noProof/>
                              </w:rPr>
                              <w:t>12</w:t>
                            </w:r>
                            <w:r w:rsidRPr="009F44BF">
                              <w:rPr>
                                <w:i w:val="0"/>
                                <w:iCs w:val="0"/>
                              </w:rPr>
                              <w:fldChar w:fldCharType="end"/>
                            </w:r>
                            <w:r w:rsidRPr="009F44BF">
                              <w:rPr>
                                <w:i w:val="0"/>
                                <w:iCs w:val="0"/>
                              </w:rPr>
                              <w:t xml:space="preserve"> Правци деловања Програма за управљање јавним политикама и регулаторну реформу</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22EE4E" id="Text Box 366" o:spid="_x0000_s1090" type="#_x0000_t202" style="position:absolute;left:0;text-align:left;margin-left:0;margin-top:12.3pt;width:456pt;height:.05pt;z-index:252040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" stroked="f">
                <v:textbox style="mso-fit-shape-to-text:t" inset="0,0,0,0">
                  <w:txbxContent>
                    <w:p w14:paraId="64104CCB" w14:textId="5C76821E" w:rsidR="00876FFE" w:rsidRPr="009F44BF" w:rsidRDefault="00876FFE" w:rsidP="009F44BF">
                      <w:pPr>
                        <w:pStyle w:val="Caption"/>
                        <w:rPr>
                          <w:i w:val="0"/>
                          <w:iCs w:val="0"/>
                          <w:noProof/>
                          <w:sz w:val="24"/>
                          <w:szCs w:val="24"/>
                        </w:rPr>
                      </w:pPr>
                      <w:bookmarkStart w:id="119" w:name="_Toc57665348"/>
                      <w:r w:rsidRPr="009F44BF">
                        <w:rPr>
                          <w:i w:val="0"/>
                          <w:iCs w:val="0"/>
                        </w:rPr>
                        <w:t xml:space="preserve">Графикон </w:t>
                      </w:r>
                      <w:r w:rsidRPr="009F44BF">
                        <w:rPr>
                          <w:i w:val="0"/>
                          <w:iCs w:val="0"/>
                        </w:rPr>
                        <w:fldChar w:fldCharType="begin"/>
                      </w:r>
                      <w:r w:rsidRPr="009F44BF">
                        <w:rPr>
                          <w:i w:val="0"/>
                          <w:iCs w:val="0"/>
                        </w:rPr>
                        <w:instrText xml:space="preserve"> SEQ Графикон \* ARABIC </w:instrText>
                      </w:r>
                      <w:r w:rsidRPr="009F44BF">
                        <w:rPr>
                          <w:i w:val="0"/>
                          <w:iCs w:val="0"/>
                        </w:rPr>
                        <w:fldChar w:fldCharType="separate"/>
                      </w:r>
                      <w:r>
                        <w:rPr>
                          <w:i w:val="0"/>
                          <w:iCs w:val="0"/>
                          <w:noProof/>
                        </w:rPr>
                        <w:t>12</w:t>
                      </w:r>
                      <w:r w:rsidRPr="009F44BF">
                        <w:rPr>
                          <w:i w:val="0"/>
                          <w:iCs w:val="0"/>
                        </w:rPr>
                        <w:fldChar w:fldCharType="end"/>
                      </w:r>
                      <w:r w:rsidRPr="009F44BF">
                        <w:rPr>
                          <w:i w:val="0"/>
                          <w:iCs w:val="0"/>
                        </w:rPr>
                        <w:t xml:space="preserve"> Правци деловања Програма за управљање јавним политикама и регулаторну реформу</w:t>
                      </w:r>
                      <w:bookmarkEnd w:id="119"/>
                    </w:p>
                  </w:txbxContent>
                </v:textbox>
                <w10:wrap anchorx="margin"/>
              </v:shape>
            </w:pict>
          </mc:Fallback>
        </mc:AlternateContent>
      </w:r>
    </w:p>
    <w:p w14:paraId="272723E9" w14:textId="25DD7AA2" w:rsidR="000A440F" w:rsidRPr="000F0299" w:rsidRDefault="000A440F" w:rsidP="00244E7C"/>
    <w:p w14:paraId="45C8A41A" w14:textId="77777777" w:rsidR="001A294C" w:rsidRPr="000F0299" w:rsidRDefault="001A294C" w:rsidP="00244E7C"/>
    <w:p w14:paraId="41C233B2" w14:textId="2889B3EF" w:rsidR="000A440F" w:rsidRPr="000F0299" w:rsidRDefault="000A440F" w:rsidP="00244E7C">
      <w:pPr>
        <w:sectPr w:rsidR="000A440F" w:rsidRPr="000F0299" w:rsidSect="00292D5C">
          <w:headerReference w:type="default" r:id="rId83"/>
          <w:footerReference w:type="default" r:id="rId84"/>
          <w:pgSz w:w="23811" w:h="16838" w:orient="landscape" w:code="8"/>
          <w:pgMar w:top="1417" w:right="1417" w:bottom="1417" w:left="1134" w:header="708" w:footer="855" w:gutter="0"/>
          <w:cols w:space="708"/>
          <w:docGrid w:linePitch="360"/>
        </w:sectPr>
      </w:pPr>
    </w:p>
    <w:p w14:paraId="1B00E9CD" w14:textId="68FEE13A" w:rsidR="003F3312" w:rsidRPr="000F0299" w:rsidRDefault="003F3312" w:rsidP="003D3BC5">
      <w:pPr>
        <w:pStyle w:val="Heading2"/>
        <w:rPr>
          <w:rStyle w:val="Heading1Char"/>
          <w:lang w:val="sr-Cyrl-RS"/>
        </w:rPr>
      </w:pPr>
      <w:bookmarkStart w:id="118" w:name="_II._Управљање_људским"/>
      <w:bookmarkStart w:id="119" w:name="_Toc45013954"/>
      <w:bookmarkStart w:id="120" w:name="_Toc57661478"/>
      <w:bookmarkEnd w:id="118"/>
      <w:r w:rsidRPr="000F0299">
        <w:rPr>
          <w:lang w:val="sr-Cyrl-RS"/>
        </w:rPr>
        <w:t xml:space="preserve">II. </w:t>
      </w:r>
      <w:r w:rsidR="00AB3AE4" w:rsidRPr="000F0299">
        <w:rPr>
          <w:rStyle w:val="Heading1Char"/>
          <w:lang w:val="sr-Cyrl-RS"/>
        </w:rPr>
        <w:t>Управљање људским ресурсима у јавној управи</w:t>
      </w:r>
      <w:bookmarkEnd w:id="119"/>
      <w:bookmarkEnd w:id="120"/>
    </w:p>
    <w:p w14:paraId="0D160C15" w14:textId="07A77FCF" w:rsidR="003F3312" w:rsidRPr="000F0299" w:rsidRDefault="00CD07E7" w:rsidP="00CB5180">
      <w:pPr>
        <w:pStyle w:val="Heading3"/>
        <w:rPr>
          <w:rStyle w:val="Emphasis"/>
          <w:i w:val="0"/>
          <w:iCs w:val="0"/>
          <w:lang w:val="sr-Cyrl-RS"/>
        </w:rPr>
      </w:pPr>
      <w:bookmarkStart w:id="121" w:name="_АНАЛИЗА_СТАЊА_1"/>
      <w:bookmarkStart w:id="122" w:name="_Toc40182234"/>
      <w:bookmarkStart w:id="123" w:name="_Toc40183051"/>
      <w:bookmarkStart w:id="124" w:name="_Toc45013955"/>
      <w:bookmarkStart w:id="125" w:name="_Toc57661479"/>
      <w:bookmarkEnd w:id="121"/>
      <w:r w:rsidRPr="000F0299">
        <w:rPr>
          <w:rStyle w:val="Emphasis"/>
          <w:i w:val="0"/>
          <w:iCs w:val="0"/>
          <w:lang w:val="sr-Cyrl-RS"/>
        </w:rPr>
        <w:t>Анализа стања</w:t>
      </w:r>
      <w:bookmarkEnd w:id="122"/>
      <w:bookmarkEnd w:id="123"/>
      <w:bookmarkEnd w:id="124"/>
      <w:bookmarkEnd w:id="125"/>
    </w:p>
    <w:p w14:paraId="21DA345C" w14:textId="77777777" w:rsidR="003F3312" w:rsidRPr="000F0299" w:rsidRDefault="003F3312" w:rsidP="00C013C7">
      <w:pPr>
        <w:pStyle w:val="Heading4"/>
        <w:rPr>
          <w:rStyle w:val="Emphasis"/>
          <w:i/>
          <w:iCs/>
          <w:lang w:val="sr-Cyrl-RS"/>
        </w:rPr>
      </w:pPr>
      <w:bookmarkStart w:id="126" w:name="_Toc40613454"/>
      <w:r w:rsidRPr="000F0299">
        <w:rPr>
          <w:rStyle w:val="Emphasis"/>
          <w:i/>
          <w:iCs/>
          <w:lang w:val="sr-Cyrl-RS"/>
        </w:rPr>
        <w:t>Правни и стратешки оквир</w:t>
      </w:r>
      <w:bookmarkEnd w:id="126"/>
    </w:p>
    <w:p w14:paraId="6255557E" w14:textId="416164B5" w:rsidR="00295B06" w:rsidRPr="00295B06" w:rsidRDefault="00295B06" w:rsidP="006740AD">
      <w:r w:rsidRPr="00295B06">
        <w:rPr>
          <w:bCs/>
        </w:rPr>
        <w:t>Реформа УЉР</w:t>
      </w:r>
      <w:r w:rsidRPr="00295B06">
        <w:t xml:space="preserve"> у јавној управи садржана је у Стратегиј</w:t>
      </w:r>
      <w:r w:rsidR="006740AD">
        <w:t>и</w:t>
      </w:r>
      <w:r w:rsidRPr="00295B06">
        <w:t xml:space="preserve"> РЈУ из 2014. године, у оквиру посебног циља који се односи на успостављање усклађеног јавнослужбеничког система заснованог на заслугама и на унапређење УЉР. Пратећи акциони план предвидео је да се тај циљ испуни спровођењ</w:t>
      </w:r>
      <w:r w:rsidR="006740AD">
        <w:t>е</w:t>
      </w:r>
      <w:r w:rsidRPr="00295B06">
        <w:t xml:space="preserve">м трију мера: 1. Успостављање усклађеног система радних односа и плата запослених у јавној управи на темељу начела транспарентности и правичности; 2. Успостављање функције УЉР у јавној управи и њено унапређење државној управи и локалној самоуправи кроз увођење нових и јачање постојећих капацитета за УЉР и 3. Развој система стручног усавршавања у јавној управи. </w:t>
      </w:r>
    </w:p>
    <w:p w14:paraId="7EBDACF1" w14:textId="416AFABB" w:rsidR="00295B06" w:rsidRPr="00295B06" w:rsidRDefault="00295B06" w:rsidP="00295B06">
      <w:r w:rsidRPr="00295B06">
        <w:t>Стратегија РЈУ из 2014. је у односу на ранија стратешка документа проширила свој обухват са државне на јавну управу, тако да се у организационом смислу Стратегија РЈУ из 2014. односи на: 1) органе државне управе (министарства, органе управе у саставу министарстава и посебне организације), друге државне органе и друге имаоце јавних овлашћења кад обављају поверене послове државне управе; 2) органе аутономне покрајин</w:t>
      </w:r>
      <w:r w:rsidRPr="00295B06">
        <w:rPr>
          <w:lang w:val="sr-Latn-RS"/>
        </w:rPr>
        <w:t>e</w:t>
      </w:r>
      <w:r w:rsidRPr="00295B06">
        <w:t xml:space="preserve"> и јединица локалне самоуправе који, независно од тога да ли послове врше у оквиру изворног или повереног делокруга, суштински обављају послове истог карактера као органи државне управе, само на подручјима ужих територијалних јединица, са различитим начином финансирања и степеном контроле; 3) јавне агенције и разноврсна независна регулаторна тела за које важи иста констатација у погледу карактера послова које обављају, независно од тога на нивоу које територијалне јединице их обављају; 4) установе утврђене Законом о јавним службама („</w:t>
      </w:r>
      <w:r w:rsidRPr="00295B06">
        <w:rPr>
          <w:lang w:val="sr-Latn-RS"/>
        </w:rPr>
        <w:t>Службени гласник РС</w:t>
      </w:r>
      <w:r w:rsidRPr="00295B06">
        <w:t>”,</w:t>
      </w:r>
      <w:r w:rsidR="00E92E01">
        <w:rPr>
          <w:lang w:val="sr-Latn-RS"/>
        </w:rPr>
        <w:t xml:space="preserve"> број</w:t>
      </w:r>
      <w:r w:rsidRPr="00295B06">
        <w:rPr>
          <w:lang w:val="sr-Latn-RS"/>
        </w:rPr>
        <w:t xml:space="preserve"> 42/91, 71/94, 79/05 </w:t>
      </w:r>
      <w:r w:rsidRPr="00295B06">
        <w:t>–</w:t>
      </w:r>
      <w:r w:rsidRPr="00295B06">
        <w:rPr>
          <w:lang w:val="sr-Latn-RS"/>
        </w:rPr>
        <w:t xml:space="preserve"> др. закон, 83/14 </w:t>
      </w:r>
      <w:r w:rsidRPr="00295B06">
        <w:t>–</w:t>
      </w:r>
      <w:r w:rsidRPr="00295B06">
        <w:rPr>
          <w:lang w:val="sr-Latn-RS"/>
        </w:rPr>
        <w:t xml:space="preserve"> др. </w:t>
      </w:r>
      <w:r w:rsidRPr="00295B06">
        <w:t>З</w:t>
      </w:r>
      <w:r w:rsidRPr="00295B06">
        <w:rPr>
          <w:lang w:val="sr-Latn-RS"/>
        </w:rPr>
        <w:t>акон</w:t>
      </w:r>
      <w:r w:rsidRPr="00295B06">
        <w:t xml:space="preserve">.) које оснива Република Србија, АП и ЈЛС, а које обављају послове којима се обезбеђује остваривање права грађана у области образовања, науке, културе, физичке културе, ученичког и студентског стандарда, здравствене заштите, социјалне заштите, друштвене бриге о деци и социјалног осигурања. Наведени обухват у области посебног циља који се односи на УЉР остаје на описан начин и у овој стратегији, првенствено зато што је потребно системски уредити деловање јавне управе, у којем су усклађен радноправни статус запослених и примењени принципи на којима се заснива УЉР предуслов ефикасности и делотворности, али уз поштовање неопходних специфичности у погледу организовања и начина вршења делатности. Услови и начин пружања услуга релевантним субјектима у различитим областима јавних служби утврђене су у другим документима јавних политика. </w:t>
      </w:r>
    </w:p>
    <w:p w14:paraId="4DA0A883" w14:textId="3F6C503B" w:rsidR="00295B06" w:rsidRPr="00295B06" w:rsidRDefault="00295B06" w:rsidP="00295B06">
      <w:r w:rsidRPr="00295B06">
        <w:rPr>
          <w:b/>
          <w:bCs/>
        </w:rPr>
        <w:t>Нормативни оквир за државнослужбенички систем</w:t>
      </w:r>
      <w:r w:rsidRPr="00295B06">
        <w:t>, у смислу делокруга, радноправног статуса и принципа УЉР успостављен је Законом о државним службеницима („</w:t>
      </w:r>
      <w:r w:rsidRPr="00295B06">
        <w:rPr>
          <w:lang w:val="sr-Latn-RS"/>
        </w:rPr>
        <w:t>Службени гласник РС</w:t>
      </w:r>
      <w:r w:rsidRPr="00295B06">
        <w:t>”,</w:t>
      </w:r>
      <w:r w:rsidRPr="00295B06">
        <w:rPr>
          <w:lang w:val="sr-Latn-RS"/>
        </w:rPr>
        <w:t xml:space="preserve"> </w:t>
      </w:r>
      <w:r w:rsidR="00E92E01">
        <w:rPr>
          <w:lang w:val="sr-Latn-RS"/>
        </w:rPr>
        <w:t>број</w:t>
      </w:r>
      <w:r w:rsidRPr="00295B06">
        <w:rPr>
          <w:lang w:val="sr-Latn-RS"/>
        </w:rPr>
        <w:t xml:space="preserve"> 79/05, 81/05 </w:t>
      </w:r>
      <w:r w:rsidRPr="00295B06">
        <w:t>–</w:t>
      </w:r>
      <w:r w:rsidRPr="00295B06">
        <w:rPr>
          <w:lang w:val="sr-Latn-RS"/>
        </w:rPr>
        <w:t xml:space="preserve"> исправка, 83/05 </w:t>
      </w:r>
      <w:r w:rsidRPr="00295B06">
        <w:t>–</w:t>
      </w:r>
      <w:r w:rsidRPr="00295B06">
        <w:rPr>
          <w:lang w:val="sr-Latn-RS"/>
        </w:rPr>
        <w:t xml:space="preserve"> исправка, 64/07, 67/07 </w:t>
      </w:r>
      <w:r w:rsidRPr="00295B06">
        <w:t>–</w:t>
      </w:r>
      <w:r w:rsidRPr="00295B06">
        <w:rPr>
          <w:lang w:val="sr-Latn-RS"/>
        </w:rPr>
        <w:t xml:space="preserve"> исправка, 116/08, 104/09, 99/14, 94/17, 95/18</w:t>
      </w:r>
      <w:r w:rsidRPr="00295B06">
        <w:t>.), Законом о платама државних службеника и намештеника („</w:t>
      </w:r>
      <w:r w:rsidRPr="00295B06">
        <w:rPr>
          <w:lang w:val="sr-Latn-RS"/>
        </w:rPr>
        <w:t>Службени гласник РС</w:t>
      </w:r>
      <w:r w:rsidRPr="00295B06">
        <w:t>”,</w:t>
      </w:r>
      <w:r w:rsidRPr="00295B06">
        <w:rPr>
          <w:lang w:val="sr-Latn-RS"/>
        </w:rPr>
        <w:t xml:space="preserve"> </w:t>
      </w:r>
      <w:r w:rsidR="00E92E01">
        <w:rPr>
          <w:lang w:val="sr-Latn-RS"/>
        </w:rPr>
        <w:t>број</w:t>
      </w:r>
      <w:r w:rsidRPr="00295B06">
        <w:rPr>
          <w:lang w:val="sr-Latn-RS"/>
        </w:rPr>
        <w:t xml:space="preserve"> 62/06, 63/06 </w:t>
      </w:r>
      <w:r w:rsidRPr="00295B06">
        <w:t>–</w:t>
      </w:r>
      <w:r w:rsidRPr="00295B06">
        <w:rPr>
          <w:lang w:val="sr-Latn-RS"/>
        </w:rPr>
        <w:t xml:space="preserve"> исправка, 115/06 </w:t>
      </w:r>
      <w:r w:rsidRPr="00295B06">
        <w:t>–</w:t>
      </w:r>
      <w:r w:rsidRPr="00295B06">
        <w:rPr>
          <w:lang w:val="sr-Latn-RS"/>
        </w:rPr>
        <w:t xml:space="preserve"> исправка, 101/07, 99/10, 108/13, 99/14, 95/18</w:t>
      </w:r>
      <w:r w:rsidRPr="00295B06">
        <w:t>.), Законом о буџетском систему („</w:t>
      </w:r>
      <w:r w:rsidRPr="00295B06">
        <w:rPr>
          <w:lang w:val="sr-Latn-RS"/>
        </w:rPr>
        <w:t>Службени гласник РС</w:t>
      </w:r>
      <w:r w:rsidRPr="00295B06">
        <w:t>”,</w:t>
      </w:r>
      <w:r w:rsidRPr="00295B06">
        <w:rPr>
          <w:lang w:val="sr-Latn-RS"/>
        </w:rPr>
        <w:t xml:space="preserve"> </w:t>
      </w:r>
      <w:r w:rsidR="00E92E01">
        <w:rPr>
          <w:lang w:val="sr-Latn-RS"/>
        </w:rPr>
        <w:t>број</w:t>
      </w:r>
      <w:r w:rsidRPr="00295B06">
        <w:rPr>
          <w:lang w:val="sr-Latn-RS"/>
        </w:rPr>
        <w:t xml:space="preserve"> 54/09, 73/10, 101/10, 101/11, 93/12, 62/13, 63/13 – исправка, 108/13, 142/14, 68/15 </w:t>
      </w:r>
      <w:r w:rsidRPr="00295B06">
        <w:t>–</w:t>
      </w:r>
      <w:r w:rsidRPr="00295B06">
        <w:rPr>
          <w:lang w:val="sr-Latn-RS"/>
        </w:rPr>
        <w:t xml:space="preserve"> др. закон, 103/15, 99/16, 113/17, 95/18,</w:t>
      </w:r>
      <w:r w:rsidRPr="00295B06">
        <w:t xml:space="preserve">   </w:t>
      </w:r>
      <w:r w:rsidRPr="00295B06">
        <w:rPr>
          <w:lang w:val="sr-Latn-RS"/>
        </w:rPr>
        <w:t>31/19, 72/19</w:t>
      </w:r>
      <w:r w:rsidRPr="00295B06">
        <w:t>.) и законима о буџету који се доносе за сваку календарску годину, као и пратећим подзаконским актима. Законом о државним службеницима, а у складу са Законом о државној управи</w:t>
      </w:r>
      <w:r w:rsidR="00E92E01">
        <w:t xml:space="preserve"> </w:t>
      </w:r>
      <w:r w:rsidR="00E92E01" w:rsidRPr="00E92E01">
        <w:t>(</w:t>
      </w:r>
      <w:r w:rsidR="00E92E01" w:rsidRPr="00E92E01">
        <w:rPr>
          <w:lang w:val="sr-Latn-RS"/>
        </w:rPr>
        <w:t>Службени гласник РС</w:t>
      </w:r>
      <w:r w:rsidR="00E92E01" w:rsidRPr="00E92E01">
        <w:t>”,</w:t>
      </w:r>
      <w:r w:rsidR="00E92E01" w:rsidRPr="00E92E01">
        <w:rPr>
          <w:lang w:val="sr-Latn-RS"/>
        </w:rPr>
        <w:t xml:space="preserve"> бр</w:t>
      </w:r>
      <w:r w:rsidR="00E92E01" w:rsidRPr="00E92E01">
        <w:rPr>
          <w:shd w:val="clear" w:color="auto" w:fill="FFFFFF"/>
        </w:rPr>
        <w:t>ој 79/05, 101/07, 95/10, 99/14, 47/18 и 30/18 - др. </w:t>
      </w:r>
      <w:r w:rsidR="00E92E01" w:rsidRPr="00E92E01">
        <w:rPr>
          <w:rStyle w:val="Emphasis"/>
          <w:bCs/>
          <w:i w:val="0"/>
          <w:iCs w:val="0"/>
          <w:shd w:val="clear" w:color="auto" w:fill="FFFFFF"/>
        </w:rPr>
        <w:t>закон</w:t>
      </w:r>
      <w:r w:rsidR="00E92E01" w:rsidRPr="00E92E01">
        <w:rPr>
          <w:shd w:val="clear" w:color="auto" w:fill="FFFFFF"/>
        </w:rPr>
        <w:t>)</w:t>
      </w:r>
      <w:r w:rsidRPr="00E92E01">
        <w:t xml:space="preserve">, </w:t>
      </w:r>
      <w:r w:rsidRPr="00295B06">
        <w:t xml:space="preserve">успостављена је разлика између функционера, односно политичких постављења и државних службеника и државних службеника на положају и намештеника – чији је радноправни статус утврђен у складу с тим законом. </w:t>
      </w:r>
      <w:r w:rsidRPr="00295B06">
        <w:rPr>
          <w:b/>
          <w:bCs/>
        </w:rPr>
        <w:t>Закон о државним службеницима</w:t>
      </w:r>
      <w:r w:rsidRPr="00295B06">
        <w:t xml:space="preserve"> дозвољава изузетак, а то је да радна места која су утврђена као положаји могу бити попуњена по процедури за функционере, а која подразумева да Влада директно попуњава то радно место, односно поставља руководиоца другог државног органа без претходно спроведеног конкурсног поступка, при чему таква постављења треба да буду на кратак рок и у изузетним ситуацијама којe прописује Закон. На права и дужности државних службеника која нису уређена Законом о државним службеницима или неким другим посебним прописом, примењују се општи прописи о раду и Посебан колективни уговор за државне органе („</w:t>
      </w:r>
      <w:r w:rsidRPr="00295B06">
        <w:rPr>
          <w:lang w:val="sr-Latn-RS"/>
        </w:rPr>
        <w:t>Службени гласник РС</w:t>
      </w:r>
      <w:r w:rsidRPr="00295B06">
        <w:t>”,</w:t>
      </w:r>
      <w:r w:rsidRPr="00295B06">
        <w:rPr>
          <w:lang w:val="sr-Latn-RS"/>
        </w:rPr>
        <w:t xml:space="preserve"> </w:t>
      </w:r>
      <w:r w:rsidR="00E92E01">
        <w:rPr>
          <w:lang w:val="sr-Latn-RS"/>
        </w:rPr>
        <w:t>број</w:t>
      </w:r>
      <w:r w:rsidRPr="00295B06">
        <w:rPr>
          <w:lang w:val="sr-Latn-RS"/>
        </w:rPr>
        <w:t xml:space="preserve"> 38/19, 55/20</w:t>
      </w:r>
      <w:r w:rsidRPr="00295B06">
        <w:t>.). На права и дужности намештеника примењују се општи прописи о раду (Закон о раду „</w:t>
      </w:r>
      <w:r w:rsidRPr="00295B06">
        <w:rPr>
          <w:lang w:val="sr-Latn-RS"/>
        </w:rPr>
        <w:t>Службени гласник РС</w:t>
      </w:r>
      <w:r w:rsidRPr="00295B06">
        <w:t>”,</w:t>
      </w:r>
      <w:r w:rsidRPr="00295B06">
        <w:rPr>
          <w:lang w:val="sr-Latn-RS"/>
        </w:rPr>
        <w:t xml:space="preserve"> </w:t>
      </w:r>
      <w:r w:rsidR="00E92E01">
        <w:rPr>
          <w:lang w:val="sr-Latn-RS"/>
        </w:rPr>
        <w:t>број</w:t>
      </w:r>
      <w:r w:rsidRPr="00295B06">
        <w:rPr>
          <w:lang w:val="sr-Latn-RS"/>
        </w:rPr>
        <w:t xml:space="preserve"> 24/05, 61/05, 54/09, 32/13, 75/14, 13/17 – УС, 113/17, 95/18 </w:t>
      </w:r>
      <w:r w:rsidRPr="00295B06">
        <w:t>–</w:t>
      </w:r>
      <w:r w:rsidRPr="00295B06">
        <w:rPr>
          <w:lang w:val="sr-Latn-RS"/>
        </w:rPr>
        <w:t xml:space="preserve"> др. Пропис</w:t>
      </w:r>
      <w:r w:rsidRPr="00295B06">
        <w:t>.) и Посебан колективни уговор за државне органе, ако Законом о државним службеницима или посебним законом није дру</w:t>
      </w:r>
      <w:r w:rsidR="00764BA8">
        <w:t>га</w:t>
      </w:r>
      <w:r w:rsidRPr="00295B06">
        <w:t>чије одређено. Радноправни статус функционера утврђен је посебним законима којима се уређује њихов положај, општим прописима о раду и једним делом Посебним колективним уговором за државне органе.</w:t>
      </w:r>
    </w:p>
    <w:p w14:paraId="276D994F" w14:textId="7FBBDAD6" w:rsidR="00295B06" w:rsidRPr="00295B06" w:rsidRDefault="00295B06" w:rsidP="00295B06">
      <w:r w:rsidRPr="00295B06">
        <w:t>Закон о државним службеницима дозвољава да се посебним законима уреде на посебан начин одређена питања у вези са радноправним статусом појединих категорија државних службеника, зависно од специфичности њиховог положаја, али у ограниченом обиму и уз задржавање основних принципа државнослужбеничког система. Тако је радноправни статус полицијских службеника у МУП-у уређен Законом о полицији („</w:t>
      </w:r>
      <w:r w:rsidRPr="00295B06">
        <w:rPr>
          <w:lang w:val="sr-Latn-RS"/>
        </w:rPr>
        <w:t>Службени гласник РС</w:t>
      </w:r>
      <w:r w:rsidRPr="00295B06">
        <w:t>”,</w:t>
      </w:r>
      <w:r w:rsidRPr="00295B06">
        <w:rPr>
          <w:lang w:val="sr-Latn-RS"/>
        </w:rPr>
        <w:t xml:space="preserve"> </w:t>
      </w:r>
      <w:r w:rsidR="00E92E01">
        <w:rPr>
          <w:lang w:val="sr-Latn-RS"/>
        </w:rPr>
        <w:t>број</w:t>
      </w:r>
      <w:r w:rsidRPr="00295B06">
        <w:rPr>
          <w:lang w:val="sr-Latn-RS"/>
        </w:rPr>
        <w:t xml:space="preserve"> 6/16, 24/18, 87/18</w:t>
      </w:r>
      <w:r w:rsidRPr="00295B06">
        <w:t>.) и подзаконским актима, док се поједина питања у вези са правима и обавезама пореских службеника, царинских службеника, службеника који раде у органима за извршење кривичних санкција и правосудним органима, додатно посебно уређују прописима у складу са специфичностима њиховог положаја.</w:t>
      </w:r>
    </w:p>
    <w:p w14:paraId="329F3EDF" w14:textId="77777777" w:rsidR="00295B06" w:rsidRPr="00295B06" w:rsidRDefault="00295B06" w:rsidP="00295B06">
      <w:r w:rsidRPr="00295B06">
        <w:t>Од успостављања наведеног нормативног оквира, а у складу са стратешким циљевима реформе из 2014. године донете су значајне измене Закона о државним службеницима и подзаконских аката које се примењују од почетка 2019. године. Изменама којима је основни циљ било</w:t>
      </w:r>
      <w:r w:rsidRPr="00295B06">
        <w:rPr>
          <w:b/>
          <w:bCs/>
        </w:rPr>
        <w:t xml:space="preserve"> увођење компетенција у све функције УЉР</w:t>
      </w:r>
      <w:r w:rsidRPr="00295B06">
        <w:rPr>
          <w:bCs/>
        </w:rPr>
        <w:t>,</w:t>
      </w:r>
      <w:r w:rsidRPr="00295B06">
        <w:rPr>
          <w:b/>
          <w:bCs/>
        </w:rPr>
        <w:t xml:space="preserve"> </w:t>
      </w:r>
      <w:r w:rsidRPr="00295B06">
        <w:t>успостављен је квалитетан правни основ за унапређење запошљавања заснованог на заслугама, професионални развој државних службеника и показана тенденција да се државнослужбенички систем даље усклађује кроз ближа појашњења и прецизирања могућих изузетака од начелних решења која се у њему успостављају. Измени нормативног оквира у складу са Стратегијом РЈУ из 2014, претходила је припрема докумената</w:t>
      </w:r>
      <w:r w:rsidRPr="00295B06">
        <w:rPr>
          <w:vertAlign w:val="superscript"/>
        </w:rPr>
        <w:footnoteReference w:id="83"/>
      </w:r>
      <w:r w:rsidRPr="00295B06">
        <w:t xml:space="preserve"> везаних управо за унапређење јавнослужбеничког система, као и извештаји ЕК и </w:t>
      </w:r>
      <w:r w:rsidRPr="00295B06">
        <w:rPr>
          <w:i/>
          <w:lang w:val="sr-Latn-RS"/>
        </w:rPr>
        <w:t>SIGMA</w:t>
      </w:r>
      <w:r w:rsidRPr="00295B06">
        <w:t xml:space="preserve">. </w:t>
      </w:r>
    </w:p>
    <w:p w14:paraId="223BBC51" w14:textId="3349214A" w:rsidR="00295B06" w:rsidRPr="00295B06" w:rsidRDefault="00295B06" w:rsidP="00295B06">
      <w:r w:rsidRPr="00295B06">
        <w:t xml:space="preserve">Од 2019. године </w:t>
      </w:r>
      <w:r w:rsidRPr="00295B06">
        <w:rPr>
          <w:b/>
          <w:bCs/>
        </w:rPr>
        <w:t>уведен је систем компетенција за рад државних службеника</w:t>
      </w:r>
      <w:r w:rsidRPr="00295B06">
        <w:t xml:space="preserve"> у процес анализе посла, запошљавања и избора и професионалног развоја, успостављена је хоризонтална надлежност СУК-а у процесу избора у свим органима државне управе, успостављен је оквир за праћење стања и предузимање мера у вези са одливом кадра, измењ</w:t>
      </w:r>
      <w:r w:rsidR="00135806">
        <w:t>е</w:t>
      </w:r>
      <w:r w:rsidRPr="00295B06">
        <w:t xml:space="preserve">не су одредбе у вези са мобилношћу и функционисањем интерног тржишта рада, измењене су одредбе у вези са спречавањем сукоба интереса државних службеника, регулисан је основ за успостављање информационог система за УЉР у свим државним органима, успостављени су нови рокови за постављење на положај у складу са заслугама и прецизиране одредбе о лицима у статусу вршиоца дужности, прецизиран је основ за специфичне категорије државних службеника у посебним звањима који подлежу специфичностима из посебних закона, уведене обавезне обуке за чланове конкурсне комисије, руководиоце и лица на положају којa су први пут постављенa у циљу јачања њихових капацитета. Донети су </w:t>
      </w:r>
      <w:r w:rsidRPr="00295B06">
        <w:rPr>
          <w:b/>
          <w:bCs/>
        </w:rPr>
        <w:t>подзаконски акти</w:t>
      </w:r>
      <w:r w:rsidRPr="00295B06">
        <w:t xml:space="preserve"> којима је усклађен систем са уведеним компетенцијама, и то: Уредба о одређивању компетенција за рад државних службеника („</w:t>
      </w:r>
      <w:r w:rsidRPr="00295B06">
        <w:rPr>
          <w:lang w:val="sr-Latn-RS"/>
        </w:rPr>
        <w:t>Службени гласник РС</w:t>
      </w:r>
      <w:r w:rsidRPr="00295B06">
        <w:t>”,</w:t>
      </w:r>
      <w:r w:rsidRPr="00295B06">
        <w:rPr>
          <w:lang w:val="sr-Latn-RS"/>
        </w:rPr>
        <w:t xml:space="preserve"> бр</w:t>
      </w:r>
      <w:r w:rsidRPr="00295B06">
        <w:t>ој</w:t>
      </w:r>
      <w:r w:rsidRPr="00295B06">
        <w:rPr>
          <w:lang w:val="sr-Latn-RS"/>
        </w:rPr>
        <w:t xml:space="preserve"> 4/19</w:t>
      </w:r>
      <w:r w:rsidRPr="00295B06">
        <w:t>.), Уредба о интерном и јавном конкурсу за попуњавање радних места у државним органима („</w:t>
      </w:r>
      <w:r w:rsidRPr="00295B06">
        <w:rPr>
          <w:lang w:val="sr-Latn-RS"/>
        </w:rPr>
        <w:t>Службени гласник РС</w:t>
      </w:r>
      <w:r w:rsidRPr="00295B06">
        <w:t>”,</w:t>
      </w:r>
      <w:r w:rsidRPr="00295B06">
        <w:rPr>
          <w:lang w:val="sr-Latn-RS"/>
        </w:rPr>
        <w:t xml:space="preserve"> бр</w:t>
      </w:r>
      <w:r w:rsidRPr="00295B06">
        <w:t>ој</w:t>
      </w:r>
      <w:r w:rsidRPr="00295B06">
        <w:rPr>
          <w:lang w:val="sr-Latn-RS"/>
        </w:rPr>
        <w:t xml:space="preserve"> 2/19</w:t>
      </w:r>
      <w:r w:rsidRPr="00295B06">
        <w:t>.), Уредба о вредновању радне успешности државних службеника („</w:t>
      </w:r>
      <w:r w:rsidRPr="00295B06">
        <w:rPr>
          <w:lang w:val="sr-Latn-RS"/>
        </w:rPr>
        <w:t>Службени гласник РС</w:t>
      </w:r>
      <w:r w:rsidRPr="00295B06">
        <w:t>”,</w:t>
      </w:r>
      <w:r w:rsidRPr="00295B06">
        <w:rPr>
          <w:lang w:val="sr-Latn-RS"/>
        </w:rPr>
        <w:t xml:space="preserve"> бр</w:t>
      </w:r>
      <w:r w:rsidRPr="00295B06">
        <w:t>ој</w:t>
      </w:r>
      <w:r w:rsidRPr="00295B06">
        <w:rPr>
          <w:lang w:val="sr-Latn-RS"/>
        </w:rPr>
        <w:t xml:space="preserve"> 2/19, 69/19</w:t>
      </w:r>
      <w:r w:rsidRPr="00295B06">
        <w:t>.), Уредба о изменама и допунама Уредбе о разврставању радних места и мерилима за опис радних места државних службеника („</w:t>
      </w:r>
      <w:r w:rsidRPr="00295B06">
        <w:rPr>
          <w:lang w:val="sr-Latn-RS"/>
        </w:rPr>
        <w:t>Службени гласник РС</w:t>
      </w:r>
      <w:r w:rsidRPr="00295B06">
        <w:t>”,</w:t>
      </w:r>
      <w:r w:rsidRPr="00295B06">
        <w:rPr>
          <w:lang w:val="sr-Latn-RS"/>
        </w:rPr>
        <w:t xml:space="preserve"> бр</w:t>
      </w:r>
      <w:r w:rsidRPr="00295B06">
        <w:t>ој</w:t>
      </w:r>
      <w:r w:rsidRPr="00295B06">
        <w:rPr>
          <w:lang w:val="sr-Latn-RS"/>
        </w:rPr>
        <w:t xml:space="preserve"> 42/19</w:t>
      </w:r>
      <w:r w:rsidRPr="00295B06">
        <w:t>.) и Уредба о изменама и допунама Уредбе о начелима за унутрашње уређење и систематизацију радних места у министарствима, посебним организацијама и службама Владе (</w:t>
      </w:r>
      <w:r w:rsidRPr="00295B06">
        <w:rPr>
          <w:lang w:val="sr-Latn-RS"/>
        </w:rPr>
        <w:t>„Службени гласник РС”, бр</w:t>
      </w:r>
      <w:r w:rsidRPr="00295B06">
        <w:t>ој</w:t>
      </w:r>
      <w:r w:rsidRPr="00295B06">
        <w:rPr>
          <w:lang w:val="sr-Latn-RS"/>
        </w:rPr>
        <w:t xml:space="preserve"> 2/19</w:t>
      </w:r>
      <w:r w:rsidRPr="00295B06">
        <w:t>.).</w:t>
      </w:r>
    </w:p>
    <w:p w14:paraId="68B437F4" w14:textId="77777777" w:rsidR="00295B06" w:rsidRPr="00295B06" w:rsidRDefault="00295B06" w:rsidP="00295B06">
      <w:r w:rsidRPr="00295B06">
        <w:rPr>
          <w:b/>
          <w:bCs/>
        </w:rPr>
        <w:t>МУП</w:t>
      </w:r>
      <w:r w:rsidRPr="00295B06">
        <w:t xml:space="preserve">, као један од највећих изузетака у систему државне управе, започео је 2016. године реформске процесе који су заокружени успостављањем </w:t>
      </w:r>
      <w:r w:rsidRPr="00295B06">
        <w:rPr>
          <w:b/>
          <w:bCs/>
        </w:rPr>
        <w:t>правног оквира за УЉР,</w:t>
      </w:r>
      <w:r w:rsidRPr="00295B06">
        <w:t xml:space="preserve"> који је утврђен Законом о полицији. Након успостављања функције УЉР, Влада је донела Стратегију развоја Министарства унутрашњих послова за период 2018–2023 („</w:t>
      </w:r>
      <w:r w:rsidRPr="00295B06">
        <w:rPr>
          <w:lang w:val="sr-Latn-RS"/>
        </w:rPr>
        <w:t>Службени гласник РС</w:t>
      </w:r>
      <w:r w:rsidRPr="00295B06">
        <w:t>”,</w:t>
      </w:r>
      <w:r w:rsidRPr="00295B06">
        <w:rPr>
          <w:lang w:val="sr-Latn-RS"/>
        </w:rPr>
        <w:t xml:space="preserve"> бр</w:t>
      </w:r>
      <w:r w:rsidRPr="00295B06">
        <w:t>ој</w:t>
      </w:r>
      <w:r w:rsidRPr="00295B06">
        <w:rPr>
          <w:lang w:val="sr-Latn-RS"/>
        </w:rPr>
        <w:t xml:space="preserve"> 78/18</w:t>
      </w:r>
      <w:r w:rsidRPr="00295B06">
        <w:t xml:space="preserve">.), чиме је прописан плански оквир за даљи развој УЉР полицијских службеника. Уведен је и примењен систем компетенција у функције УЉР, чиме је </w:t>
      </w:r>
      <w:r w:rsidRPr="00295B06">
        <w:rPr>
          <w:b/>
          <w:bCs/>
        </w:rPr>
        <w:t>МУП постао први орган у државној управи у којем су компетенције постале критеријум на основу кога се врши избор, оцењивање, развој и напредовање запослених.</w:t>
      </w:r>
      <w:r w:rsidRPr="00295B06">
        <w:t xml:space="preserve"> МУП је такође развио Каталог назива и описа послова радних места полицијских службеника,</w:t>
      </w:r>
      <w:r w:rsidRPr="00295B06">
        <w:rPr>
          <w:vertAlign w:val="superscript"/>
        </w:rPr>
        <w:footnoteReference w:id="84"/>
      </w:r>
      <w:r w:rsidRPr="00295B06">
        <w:t xml:space="preserve"> на основу којег су радна места изнова класификована. То је представљало транспарентну основу за успостављање новог реформисаног система плата да би се отклонила неуједначеност и интерна неправедност. Уведен је систем вредновања послова на основу објективних критеријума базираних на описима послова и задатака радног места. Успостављен је и метод постепеног усклађивања плата са новоутврђеним платама. Додатно, установљена је и подела запослених на полицијске службенике, државне службенике и намештенике, на основу чега су утврђена радна места и описи послова државних службеника и намештеника, а у складу са Законом о полицији. </w:t>
      </w:r>
    </w:p>
    <w:p w14:paraId="64D3853F" w14:textId="77777777" w:rsidR="00295B06" w:rsidRPr="00295B06" w:rsidRDefault="00295B06" w:rsidP="00295B06">
      <w:r w:rsidRPr="00295B06">
        <w:t xml:space="preserve">На </w:t>
      </w:r>
      <w:r w:rsidRPr="00295B06">
        <w:rPr>
          <w:b/>
          <w:bCs/>
        </w:rPr>
        <w:t>царинске службенике</w:t>
      </w:r>
      <w:r w:rsidRPr="00295B06">
        <w:t xml:space="preserve"> се такође примењују прописи о државним службеницима, док су одређене посебности исказане у Закону о царинској служби („</w:t>
      </w:r>
      <w:r w:rsidRPr="00295B06">
        <w:rPr>
          <w:lang w:val="sr-Latn-RS"/>
        </w:rPr>
        <w:t xml:space="preserve">Службени гласник </w:t>
      </w:r>
      <w:r w:rsidRPr="00295B06">
        <w:t xml:space="preserve">РС”, </w:t>
      </w:r>
      <w:r w:rsidRPr="00295B06">
        <w:rPr>
          <w:lang w:val="sr-Latn-RS"/>
        </w:rPr>
        <w:t>бр</w:t>
      </w:r>
      <w:r w:rsidRPr="00295B06">
        <w:t>ој</w:t>
      </w:r>
      <w:r w:rsidRPr="00295B06">
        <w:rPr>
          <w:lang w:val="sr-Latn-RS"/>
        </w:rPr>
        <w:t xml:space="preserve"> 95/18</w:t>
      </w:r>
      <w:r w:rsidRPr="00295B06">
        <w:t xml:space="preserve">.). Након доношења Закона о царинској служби 2018. године, </w:t>
      </w:r>
      <w:r w:rsidRPr="00295B06">
        <w:rPr>
          <w:b/>
          <w:bCs/>
        </w:rPr>
        <w:t>сви аспекти УЉР су у потпуности усклађени са Законом о државним службеницима</w:t>
      </w:r>
      <w:r w:rsidRPr="00295B06">
        <w:t>. Поступак запошљавања садржи одређене специфичности које омогућавају да се оснивају децентрализоване конкурсне комисије на локалном нивоу, имајући у виду да Управа царина има 15 дислоцираних царинарница које у свом саставу имају организациону јединицу надлежну за УЉР. Закон о царинској служби омогућава да као члан конкурсне комисије може бити именован државни службеник из СУК-а ради процене компетенција. На остале аспекте УЉР (укључујући унапређење, вредновање радне успешности, обуке итд.) примењује се општи режим из Закона о државним службеницима. Систем компетенција је примењен и с тим у вези директор Управе царина донео је Одлуку о посебним функционалним компетенцијама за одређене области рада у Управи царина.</w:t>
      </w:r>
      <w:r w:rsidRPr="00295B06">
        <w:rPr>
          <w:vertAlign w:val="superscript"/>
        </w:rPr>
        <w:footnoteReference w:id="85"/>
      </w:r>
      <w:r w:rsidRPr="00295B06">
        <w:t xml:space="preserve"> Такође у складу са последњим изменама Закона о државним службеницима, први пут је донета Уредба </w:t>
      </w:r>
      <w:r w:rsidRPr="00295B06">
        <w:rPr>
          <w:bCs/>
        </w:rPr>
        <w:t>о разврставању радних места и мерилима за опис посла радних места царинских службеника (</w:t>
      </w:r>
      <w:r w:rsidRPr="00295B06">
        <w:t>„</w:t>
      </w:r>
      <w:r w:rsidRPr="00295B06">
        <w:rPr>
          <w:lang w:val="sr-Latn-RS"/>
        </w:rPr>
        <w:t>Службени гласник РС</w:t>
      </w:r>
      <w:r w:rsidRPr="00295B06">
        <w:t>”,</w:t>
      </w:r>
      <w:r w:rsidRPr="00295B06">
        <w:rPr>
          <w:lang w:val="sr-Latn-RS"/>
        </w:rPr>
        <w:t xml:space="preserve"> број 26/19</w:t>
      </w:r>
      <w:r w:rsidRPr="00295B06">
        <w:t>.)</w:t>
      </w:r>
      <w:r w:rsidRPr="00295B06">
        <w:rPr>
          <w:bCs/>
        </w:rPr>
        <w:t>,</w:t>
      </w:r>
      <w:r w:rsidRPr="00295B06">
        <w:t xml:space="preserve"> којом се уређује разврставање радних места царинских службеника, послови који се раде у сваком од царинских звања прописаних Законом о царинској служби, као и мерила за опис послова радних места у правилнику о унутрашњем уређењу и систематизацији радних места, у складу са критеријумима и мерилима из Закона о државним службеницима. На разврставање радних места државних службеника на положајима у Управи царина примењују се прописи којима се уређује положај државних службеника.</w:t>
      </w:r>
    </w:p>
    <w:p w14:paraId="21ABBA86" w14:textId="31F0C227" w:rsidR="00295B06" w:rsidRPr="00295B06" w:rsidRDefault="00295B06" w:rsidP="00295B06">
      <w:r w:rsidRPr="00295B06">
        <w:t xml:space="preserve">На </w:t>
      </w:r>
      <w:r w:rsidRPr="00295B06">
        <w:rPr>
          <w:b/>
          <w:bCs/>
        </w:rPr>
        <w:t>службенике који обављају послове у вези са извршењем кривичних санкција</w:t>
      </w:r>
      <w:r w:rsidRPr="00295B06">
        <w:t xml:space="preserve"> примењују се прописи о државним службеницима, а Законом о извршењу кривичних санкција („</w:t>
      </w:r>
      <w:r w:rsidRPr="00295B06">
        <w:rPr>
          <w:lang w:val="sr-Latn-RS"/>
        </w:rPr>
        <w:t>Службени гласник РС</w:t>
      </w:r>
      <w:r w:rsidRPr="00295B06">
        <w:t>”,</w:t>
      </w:r>
      <w:r w:rsidRPr="00295B06">
        <w:rPr>
          <w:lang w:val="sr-Latn-RS"/>
        </w:rPr>
        <w:t xml:space="preserve"> </w:t>
      </w:r>
      <w:r w:rsidR="00E92E01">
        <w:rPr>
          <w:lang w:val="sr-Latn-RS"/>
        </w:rPr>
        <w:t>број</w:t>
      </w:r>
      <w:r w:rsidRPr="00295B06">
        <w:rPr>
          <w:lang w:val="sr-Latn-RS"/>
        </w:rPr>
        <w:t xml:space="preserve"> 55/14, 35/19</w:t>
      </w:r>
      <w:r w:rsidRPr="00295B06">
        <w:t xml:space="preserve">.) утврђене су </w:t>
      </w:r>
      <w:r w:rsidRPr="00295B06">
        <w:rPr>
          <w:b/>
          <w:bCs/>
        </w:rPr>
        <w:t>одређене специфичности</w:t>
      </w:r>
      <w:r w:rsidRPr="00295B06">
        <w:t xml:space="preserve"> које се односе на процесе запошљавања и избора, дисциплински поступак и повреде радних обавеза и дужности које произлазе из њиховог специфичног положаја. Тај поступак је усаглашен са компетенцијама и додатно унапређен Оквиром компетенција – Посебне функционалне компетенције у одређеним областима рада у Управи за извршење кривичних санкција</w:t>
      </w:r>
      <w:r w:rsidRPr="00295B06">
        <w:rPr>
          <w:vertAlign w:val="superscript"/>
        </w:rPr>
        <w:footnoteReference w:id="86"/>
      </w:r>
      <w:r w:rsidRPr="00295B06">
        <w:t xml:space="preserve"> и спроводи се у конкурсној процедури у складу са принципима који су постављени у Закону о државним службеницима. </w:t>
      </w:r>
    </w:p>
    <w:p w14:paraId="541F6B17" w14:textId="2F2BFA5A" w:rsidR="00295B06" w:rsidRPr="00295B06" w:rsidRDefault="00295B06" w:rsidP="00295B06">
      <w:r w:rsidRPr="00295B06">
        <w:t xml:space="preserve">На </w:t>
      </w:r>
      <w:r w:rsidRPr="00295B06">
        <w:rPr>
          <w:b/>
          <w:bCs/>
        </w:rPr>
        <w:t>пореске службенике</w:t>
      </w:r>
      <w:r w:rsidRPr="00295B06">
        <w:t xml:space="preserve"> се примењује Закон о државним службеницима, а Законом о пореском поступку и пореској администрацији („</w:t>
      </w:r>
      <w:r w:rsidRPr="00295B06">
        <w:rPr>
          <w:lang w:val="sr-Latn-RS"/>
        </w:rPr>
        <w:t>Службени гласник РС</w:t>
      </w:r>
      <w:r w:rsidRPr="00295B06">
        <w:t>”,</w:t>
      </w:r>
      <w:r w:rsidRPr="00295B06">
        <w:rPr>
          <w:lang w:val="sr-Latn-RS"/>
        </w:rPr>
        <w:t xml:space="preserve"> </w:t>
      </w:r>
      <w:r w:rsidR="00E92E01">
        <w:rPr>
          <w:lang w:val="sr-Latn-RS"/>
        </w:rPr>
        <w:t>број</w:t>
      </w:r>
      <w:r w:rsidRPr="00295B06">
        <w:rPr>
          <w:lang w:val="sr-Latn-RS"/>
        </w:rPr>
        <w:t xml:space="preserve"> 80/02, 84/02 – исправка, 23/03 – исправка, 70/03, 55/04, 61/05, 85/05 – др. закон, 62/06 – др. закон, 61/07, 20/09, 72/09 – др. закон, 53/10, 101/11, 2/12 – исправка, 93/12, 47/13, 108/13, 68/14, 105/14, 112/15, 15/16, 108/16, 30/18, 95/18, 86/19</w:t>
      </w:r>
      <w:r w:rsidRPr="00295B06">
        <w:t xml:space="preserve">.) уређене су </w:t>
      </w:r>
      <w:r w:rsidRPr="00295B06">
        <w:rPr>
          <w:b/>
          <w:bCs/>
        </w:rPr>
        <w:t>посебности у погледу конкурсног поступка и напредовања пореског службеника, а додатно су прописане теже повреде дужности из радног односа.</w:t>
      </w:r>
      <w:r w:rsidRPr="00295B06">
        <w:t xml:space="preserve"> Такође, </w:t>
      </w:r>
      <w:r w:rsidRPr="00295B06">
        <w:rPr>
          <w:b/>
          <w:bCs/>
        </w:rPr>
        <w:t>систем компетенција је примењен у свим процесима у вези са УЉР</w:t>
      </w:r>
      <w:r w:rsidRPr="00295B06">
        <w:t>, а директор Пореске управе је донео Одлуку о одређивању посебних функционалних компетенција за рад у Пореској управи за Пореску полицију</w:t>
      </w:r>
      <w:r w:rsidRPr="00295B06">
        <w:rPr>
          <w:vertAlign w:val="superscript"/>
        </w:rPr>
        <w:footnoteReference w:id="87"/>
      </w:r>
      <w:r w:rsidRPr="00295B06">
        <w:t xml:space="preserve"> и Одлуку о одређивању посебних функционалних компетенција за рад у Пореској управи за области рада прекршајни послови и послови порескоправне заштите интереса Пореске управе.</w:t>
      </w:r>
      <w:r w:rsidRPr="00295B06">
        <w:rPr>
          <w:vertAlign w:val="superscript"/>
        </w:rPr>
        <w:footnoteReference w:id="88"/>
      </w:r>
      <w:r w:rsidRPr="00295B06">
        <w:t xml:space="preserve"> Акти о посебним функционалним компетенцијама у одређеној области рада донети су и у Републичком хидрометеоролошком заводу,</w:t>
      </w:r>
      <w:r w:rsidRPr="00295B06">
        <w:rPr>
          <w:vertAlign w:val="superscript"/>
        </w:rPr>
        <w:footnoteReference w:id="89"/>
      </w:r>
      <w:r w:rsidRPr="00295B06">
        <w:t xml:space="preserve"> Републичком геодетском заводу</w:t>
      </w:r>
      <w:r w:rsidRPr="00295B06">
        <w:rPr>
          <w:vertAlign w:val="superscript"/>
        </w:rPr>
        <w:footnoteReference w:id="90"/>
      </w:r>
      <w:r w:rsidRPr="00295B06">
        <w:t xml:space="preserve"> и у Министарству просвете, науке и технолошког развоја.</w:t>
      </w:r>
      <w:r w:rsidRPr="00295B06">
        <w:rPr>
          <w:vertAlign w:val="superscript"/>
        </w:rPr>
        <w:footnoteReference w:id="91"/>
      </w:r>
    </w:p>
    <w:p w14:paraId="00C22429" w14:textId="589B1C36" w:rsidR="003F3312" w:rsidRPr="000F0299" w:rsidRDefault="00295B06" w:rsidP="00295B06">
      <w:r w:rsidRPr="00295B06">
        <w:t xml:space="preserve">Нормативни оквир којим се уређује </w:t>
      </w:r>
      <w:r w:rsidRPr="00295B06">
        <w:rPr>
          <w:b/>
          <w:bCs/>
        </w:rPr>
        <w:t>радноправни статус запослених у аутономним покрајинама и ЈЛС</w:t>
      </w:r>
      <w:r w:rsidRPr="00295B06">
        <w:t xml:space="preserve"> уређен је Законом о запосленима у аутономним покрајинама и јединицама локалне самоуправе („</w:t>
      </w:r>
      <w:r w:rsidRPr="00295B06">
        <w:rPr>
          <w:lang w:val="sr-Latn-RS"/>
        </w:rPr>
        <w:t>Службени гласник РС</w:t>
      </w:r>
      <w:r w:rsidRPr="00295B06">
        <w:t>”,</w:t>
      </w:r>
      <w:r w:rsidRPr="00295B06">
        <w:rPr>
          <w:lang w:val="sr-Latn-RS"/>
        </w:rPr>
        <w:t xml:space="preserve"> </w:t>
      </w:r>
      <w:r w:rsidR="00E92E01">
        <w:rPr>
          <w:lang w:val="sr-Latn-RS"/>
        </w:rPr>
        <w:t>број</w:t>
      </w:r>
      <w:r w:rsidRPr="00295B06">
        <w:rPr>
          <w:lang w:val="sr-Latn-RS"/>
        </w:rPr>
        <w:t xml:space="preserve"> 21/16, 113/17, 113/17 – др. закон, 95/18</w:t>
      </w:r>
      <w:r w:rsidRPr="00295B06">
        <w:t>.), Законом о платама у државним органима и јавним службама („</w:t>
      </w:r>
      <w:r w:rsidRPr="00295B06">
        <w:rPr>
          <w:lang w:val="sr-Latn-RS"/>
        </w:rPr>
        <w:t>Службени гласник РС</w:t>
      </w:r>
      <w:r w:rsidRPr="00295B06">
        <w:t>”,</w:t>
      </w:r>
      <w:r w:rsidRPr="00295B06">
        <w:rPr>
          <w:lang w:val="sr-Latn-RS"/>
        </w:rPr>
        <w:t xml:space="preserve"> </w:t>
      </w:r>
      <w:r w:rsidR="00E92E01">
        <w:rPr>
          <w:lang w:val="sr-Latn-RS"/>
        </w:rPr>
        <w:t>број</w:t>
      </w:r>
      <w:r w:rsidRPr="00295B06">
        <w:rPr>
          <w:lang w:val="sr-Latn-RS"/>
        </w:rPr>
        <w:t xml:space="preserve"> 34/01, 62/06 – др. закон, 116/08 – др. закон, 116/08 – др. закон, 92/11, 99/11 – др. закон, 10/13, 55/13, 99/14, 21/16 – др. закон, 113/17 – др. закон, 113/17 – др. </w:t>
      </w:r>
      <w:r w:rsidRPr="00295B06">
        <w:t>з</w:t>
      </w:r>
      <w:r w:rsidRPr="00295B06">
        <w:rPr>
          <w:lang w:val="sr-Latn-RS"/>
        </w:rPr>
        <w:t>акон</w:t>
      </w:r>
      <w:r w:rsidRPr="00295B06">
        <w:t xml:space="preserve">.), подзаконским актима и посебним колективним уговорима. </w:t>
      </w:r>
      <w:r w:rsidRPr="00295B06">
        <w:rPr>
          <w:bCs/>
        </w:rPr>
        <w:t>Под запосленима у АП и ЈЛС у смислу наведеног закона подразумевају се политички изабрана лица и доносиоци одлука и</w:t>
      </w:r>
      <w:r w:rsidRPr="00295B06" w:rsidDel="00BE2587">
        <w:rPr>
          <w:bCs/>
        </w:rPr>
        <w:t xml:space="preserve"> </w:t>
      </w:r>
      <w:r w:rsidRPr="00295B06">
        <w:rPr>
          <w:bCs/>
        </w:rPr>
        <w:t xml:space="preserve">носиоци јавнослужбеничког система, односно службеници на положају и службеници и намештеници. Прописима којима се уређује положај изабраних лица, као и Законом о </w:t>
      </w:r>
      <w:r w:rsidRPr="00295B06">
        <w:t>запосленима у АП и ЈЛС</w:t>
      </w:r>
      <w:r w:rsidRPr="00295B06">
        <w:rPr>
          <w:bCs/>
        </w:rPr>
        <w:t xml:space="preserve"> јасно су разграничени функционери од службеника</w:t>
      </w:r>
      <w:r w:rsidR="003F3312" w:rsidRPr="000F0299">
        <w:rPr>
          <w:rFonts w:eastAsia="Times New Roman"/>
          <w:bCs/>
          <w:lang w:eastAsia="ar-SA"/>
        </w:rPr>
        <w:t>.</w:t>
      </w:r>
      <w:r w:rsidR="003F3312" w:rsidRPr="000F0299">
        <w:t xml:space="preserve"> </w:t>
      </w:r>
    </w:p>
    <w:p w14:paraId="6E6C794D" w14:textId="383441EA" w:rsidR="006740AD" w:rsidRPr="006740AD" w:rsidRDefault="006740AD" w:rsidP="007D1AB9">
      <w:r w:rsidRPr="006740AD">
        <w:t>Законом о запосленима у АП и јединицама локалне самоуправе из 2016. године („</w:t>
      </w:r>
      <w:r w:rsidRPr="006740AD">
        <w:rPr>
          <w:lang w:val="sr-Latn-RS"/>
        </w:rPr>
        <w:t>Службени гласник РС</w:t>
      </w:r>
      <w:r w:rsidRPr="006740AD">
        <w:t>”,</w:t>
      </w:r>
      <w:r w:rsidRPr="006740AD">
        <w:rPr>
          <w:lang w:val="sr-Latn-RS"/>
        </w:rPr>
        <w:t xml:space="preserve"> број 21/16</w:t>
      </w:r>
      <w:r w:rsidRPr="006740AD">
        <w:t>.)</w:t>
      </w:r>
      <w:r w:rsidRPr="006740AD" w:rsidDel="007651DD">
        <w:t xml:space="preserve"> </w:t>
      </w:r>
      <w:r w:rsidRPr="006740AD">
        <w:t xml:space="preserve">успостављена су основна начела каријерног службеничког система за службенике запослене у органима аутономних покрајина и ЈЛС. Тиме је </w:t>
      </w:r>
      <w:r w:rsidRPr="006740AD">
        <w:rPr>
          <w:b/>
          <w:bCs/>
        </w:rPr>
        <w:t>локални службенички систем постављен на истим или сличним основама као државни службенички систем</w:t>
      </w:r>
      <w:r w:rsidRPr="006740AD">
        <w:t>, што у перспективи омогућава кретање кадра и у већини су испуњени нормативни услови за даље спровођење стратешких циљева у тој области, као што су професионализација, деполитизација, каријерни развој, напредовање у служби и стручно усавршавање службеника. Закон о запосленима у АП и ЈЛС је веома значајан за модернизацију јавне управе јер уводи потпуно нов, савремен приступ УЉР. После готово четири године примене тог закона</w:t>
      </w:r>
      <w:r w:rsidRPr="006740AD">
        <w:rPr>
          <w:i/>
          <w:iCs/>
        </w:rPr>
        <w:t xml:space="preserve">, </w:t>
      </w:r>
      <w:r w:rsidRPr="006740AD">
        <w:t xml:space="preserve">уз значајне измене у два наврата, донети су и сви кључни подзаконски акти – уредбе, правилници и упутства, а ступили су на снагу и други битни кровни закони. Изменама и допунама Закона о запосленима у аутономним покрајинама и јединицама локалне самоуправе из 2017. и 2018. године („Службени гласник РС”, број 95/16) ближе је уређена област стручног усавршавања и поступак оцењивања запослених при чему су уведене значајне промене. Један од најважнијих доприноса тог закона јесте то што је уведен стандардизован систем и процедуре за заснивање радног односа у АП и ЈЛС, а тиме се статус запослених у АП и ЈЛС приближио статусу државних службеника, што се огледа кроз усаглашавање звања службеника на државном и локалном нивоу, као и кроз могућност да се запослени из покрајинске и локалне управе преузму у државну управу и обрнуто. За те две кључне функције УЉР донети су </w:t>
      </w:r>
      <w:r w:rsidR="003A411F" w:rsidRPr="003A411F">
        <w:t>Уредба о критеријумима за разврставање радних места и мерилима за опис радних места службеника у аутономним покрајинама и јединицама локалне самоуправе</w:t>
      </w:r>
      <w:r w:rsidR="003A411F" w:rsidRPr="006740AD">
        <w:t xml:space="preserve"> </w:t>
      </w:r>
      <w:r w:rsidRPr="006740AD">
        <w:t xml:space="preserve">(„Службени гласник РС”, </w:t>
      </w:r>
      <w:r w:rsidR="00E92E01">
        <w:t>број</w:t>
      </w:r>
      <w:r w:rsidRPr="006740AD">
        <w:t xml:space="preserve"> 88/16, 113/17 – др. Закон</w:t>
      </w:r>
      <w:r w:rsidR="003A411F">
        <w:t>)</w:t>
      </w:r>
      <w:r w:rsidRPr="006740AD">
        <w:t xml:space="preserve"> и </w:t>
      </w:r>
      <w:r w:rsidR="003A411F" w:rsidRPr="003A411F">
        <w:t>Уредба о спровођењу интерног и јавног конкурса за попуњавање радних места у аутономним покрајинама и јединицама локалне самоуправе</w:t>
      </w:r>
      <w:r w:rsidR="003A411F" w:rsidRPr="006740AD">
        <w:t xml:space="preserve"> </w:t>
      </w:r>
      <w:r w:rsidR="003A411F">
        <w:t>(</w:t>
      </w:r>
      <w:r w:rsidRPr="006740AD">
        <w:t>„Службени гласник РС”, број 95/16) који су омогућили да се покрену и спроведе конкретно, практично успостављање свеобухватног система УЉР. У 2017. години донет је Закон о платама службеника и намештеника у АП и ЈЛС („</w:t>
      </w:r>
      <w:r w:rsidRPr="006740AD">
        <w:rPr>
          <w:lang w:val="sr-Latn-RS"/>
        </w:rPr>
        <w:t>Службени гласник РС</w:t>
      </w:r>
      <w:r w:rsidRPr="006740AD">
        <w:t>”,</w:t>
      </w:r>
      <w:r w:rsidRPr="006740AD">
        <w:rPr>
          <w:lang w:val="sr-Latn-RS"/>
        </w:rPr>
        <w:t xml:space="preserve"> </w:t>
      </w:r>
      <w:r w:rsidR="00E92E01">
        <w:rPr>
          <w:lang w:val="sr-Latn-RS"/>
        </w:rPr>
        <w:t>број</w:t>
      </w:r>
      <w:r w:rsidRPr="006740AD">
        <w:rPr>
          <w:lang w:val="sr-Latn-RS"/>
        </w:rPr>
        <w:t xml:space="preserve"> 113/17, 95/18, 86/19</w:t>
      </w:r>
      <w:r w:rsidRPr="006740AD">
        <w:t>.), али је његова примена одложена до успостављања услова за реформу система плата у целој јавној управи, чиме принципи УЉР постављени у Закону о запосленима у АП и јединицама локалне самоуправе нису до краја нормативно спроведени.</w:t>
      </w:r>
    </w:p>
    <w:p w14:paraId="5276835F" w14:textId="1FC6FD0D" w:rsidR="006740AD" w:rsidRPr="006740AD" w:rsidRDefault="006740AD" w:rsidP="006740AD">
      <w:r w:rsidRPr="006740AD">
        <w:rPr>
          <w:b/>
          <w:bCs/>
        </w:rPr>
        <w:t>Радноправни статус запослених у јавним агенцијама</w:t>
      </w:r>
      <w:r w:rsidRPr="006740AD">
        <w:t xml:space="preserve"> уређен је општим прописима о раду и Законом о јавним агенцијама („Службени гласник РС”, </w:t>
      </w:r>
      <w:r w:rsidR="00E92E01">
        <w:t>број</w:t>
      </w:r>
      <w:r w:rsidRPr="006740AD">
        <w:t xml:space="preserve"> 18/05, 81/05 – исправка, 47/18.). Јавна агенција оснива се ако развојни, стручни и регулаторни послови не захтевају сталан и непосредан политички надзор и ако јавна агенција може боље и делотворније да их врши него орган државне управе (нарочито ако се у целини или претежно могу финансирати од услуга које се наплаћују корисницима). Јавној агенцији могу се посебним законом, као јавно овлашћење, поверити одређени послови државне управе, што је условило посебна решења у вези са радноправним статусом запослених у складу са положајем јавне агенције. Тако се у погледу законитости, стручности, политичке неутралности, непристрасности, употребе службеног језика и писма, стручне спреме и оспособљености запослених који раде на повереним пословима државне управе и у погледу канцеларијског пословања, на рад јавне агенције примењују прописи који се односе на државну управу, а спречавање сукоба интереса запослених у јавној агенцији сходно је прописима који се односе на спречавање сукоба интереса државних службеника. У осталом делу се на права и обавезе запослених примењују Закон о раду и Закон о јавним агенцијама. Такође је прописано да је послодавац запослених у јавним агенцијама сама агенција која има својство правног лица, за разлику од државних службеника и службеника у АП и ЈЛС којима је послодавац Република Србија или АП и ЈЛС, због чега су, поред осталог, посебно уређена одређена питања у вези са УЉР. У том смислу </w:t>
      </w:r>
      <w:r w:rsidRPr="006740AD">
        <w:rPr>
          <w:b/>
        </w:rPr>
        <w:t>УЉР</w:t>
      </w:r>
      <w:r w:rsidRPr="006740AD">
        <w:rPr>
          <w:b/>
          <w:bCs/>
        </w:rPr>
        <w:t xml:space="preserve"> у јавним агенцијама подлеже одређеним посебностима које су у надлежности самог послодавца и на другачији начин је успостављен надзор који врши оснивач у односу на државне органе и органе АП и ЈЛС</w:t>
      </w:r>
      <w:r w:rsidRPr="006740AD">
        <w:t>. Оснивач именује и разрешава чланове управног одбора, који је задужен за одржавање јавног конкурса за именовање директора агенције,</w:t>
      </w:r>
      <w:r w:rsidRPr="006740AD">
        <w:rPr>
          <w:vertAlign w:val="superscript"/>
        </w:rPr>
        <w:t xml:space="preserve">, </w:t>
      </w:r>
      <w:r w:rsidRPr="006740AD">
        <w:t xml:space="preserve">именује и разрешава директора јавне агенције након што је спроведен конкурсни поступак, даје сагласности на годишњи програм рада, на финансијски план јавне агенције и на друге акте одређене законом који имају утицај и на УЉР. Имајући у виду да је одлучивање о правима и обавезама запослених у јавним агенцијама у надлежности директора јавне агенције у складу са општим прописима о раду, било је неопходно поједина питања уредити Законом о јавним агенцијама како би се обезбедило УЉР засновано на заслугама и ојачала професионализација тог дела јавне управе. Донете су измене и допуне Закона о јавним агенцијама у 2018. години („Службени гласник РС”, број 47/18.) којима је циљ да се директори агенција бирају на основу заслуга, уводи се листа три најуспешнија кандидата за положај директора, за разлику од претходног законског решења према којем је листа успешних кандидата била „отворена”. Услови за место директора су промењени – уместо пет неопходно је девет година професионалног искуства у јавној агенцији. Поред тога, због превенције корупције прописани су прецизнији услови и критеријуми за именовање чланова управног одбора и директора јавних агенција, орочен је статус </w:t>
      </w:r>
      <w:r w:rsidRPr="006740AD">
        <w:rPr>
          <w:iCs/>
        </w:rPr>
        <w:t xml:space="preserve">вршиоца дужности тиме што прописани рокови за отпочињање конкурсног поступка и именовања директора, </w:t>
      </w:r>
      <w:r w:rsidRPr="006740AD">
        <w:t>ограничен је број могућих именовања, примање поклона и прилога, уређен је сукоб интереса запослених у јавним агенцијама и др. Такође, уређена је обавеза да се спр</w:t>
      </w:r>
      <w:r w:rsidR="00135806">
        <w:t>ов</w:t>
      </w:r>
      <w:r w:rsidRPr="006740AD">
        <w:t xml:space="preserve">еде транспарентан конкурсни поступак за пријем у радни однос запослених у процедури која је прописана законом и обавеза да се провери стручна оспособљеност, знање и вештине кандидата у изборном поступку. Остала питања која се односе на УЉР уређена су унутрашњим актима јавне агенције у складу са Законом о раду и нису била предмет измена Закона о јавним агенцијама тако да није било потребе да се додатно анализирају како би се предложило њихово боље решење. </w:t>
      </w:r>
    </w:p>
    <w:p w14:paraId="279AABDB" w14:textId="698DB8BD" w:rsidR="006740AD" w:rsidRPr="006740AD" w:rsidRDefault="006740AD" w:rsidP="006740AD">
      <w:r w:rsidRPr="006740AD">
        <w:rPr>
          <w:b/>
          <w:bCs/>
        </w:rPr>
        <w:t>Положај запослених у јавним установама</w:t>
      </w:r>
      <w:r w:rsidRPr="006740AD">
        <w:t xml:space="preserve"> уређен је посебним законима из области у којима се оне оснивају, а супсидијарно важи општи режим радних односа прописан Законом о раду. У складу с потребом да се системски уреди деловање јавне управе и успостави усклађен радноправни статус запослених у јавној управи заснован на принципима заслуга, током 2017. године донет је </w:t>
      </w:r>
      <w:r w:rsidRPr="006740AD">
        <w:rPr>
          <w:b/>
          <w:bCs/>
        </w:rPr>
        <w:t>Закон о запосленима у јавним службама (</w:t>
      </w:r>
      <w:r w:rsidRPr="006740AD">
        <w:t>„</w:t>
      </w:r>
      <w:r w:rsidRPr="006740AD">
        <w:rPr>
          <w:lang w:val="sr-Latn-RS"/>
        </w:rPr>
        <w:t>Службени гласник РС</w:t>
      </w:r>
      <w:r w:rsidRPr="006740AD">
        <w:t>”,</w:t>
      </w:r>
      <w:r w:rsidRPr="006740AD">
        <w:rPr>
          <w:lang w:val="sr-Latn-RS"/>
        </w:rPr>
        <w:t xml:space="preserve"> </w:t>
      </w:r>
      <w:r w:rsidR="00E92E01">
        <w:rPr>
          <w:lang w:val="sr-Latn-RS"/>
        </w:rPr>
        <w:t>број</w:t>
      </w:r>
      <w:r w:rsidRPr="006740AD">
        <w:rPr>
          <w:lang w:val="sr-Latn-RS"/>
        </w:rPr>
        <w:t xml:space="preserve"> 113/17, 95/18, 86/19</w:t>
      </w:r>
      <w:r w:rsidRPr="006740AD">
        <w:t>.)</w:t>
      </w:r>
      <w:r w:rsidRPr="006740AD">
        <w:rPr>
          <w:bCs/>
        </w:rPr>
        <w:t>,</w:t>
      </w:r>
      <w:r w:rsidRPr="006740AD">
        <w:t xml:space="preserve"> који доноси значајне промене у том делу јавне управе и којим се успостављају заједнички принципи и системска решења у вези са кадровским планирањем, заснивањем радних односа, права на награђивање, платама и организацијом радних места, мерљивошћу резултата и другим аспектима УЉР, засновани на мериторности у свим јавним службама, али се уважавају и специфичности тих делова јавне управе тако што се оставља могућност да посебности и даље буду уређене у оквиру конкретне области деловања. Међутим, како је примена тог закона уско везана са реформом система плата, она у највећем делу није отпочела због одлагања реформе плата. Од децембра 2017. године примењују се само оне</w:t>
      </w:r>
      <w:r w:rsidR="00135806">
        <w:t xml:space="preserve"> </w:t>
      </w:r>
      <w:r w:rsidRPr="006740AD">
        <w:t xml:space="preserve">његове одредбе које се односе на организацију послова у актима о систематизацији, односно на дефинисање радних места у установама које се усклађују са </w:t>
      </w:r>
      <w:r w:rsidRPr="006740AD">
        <w:rPr>
          <w:b/>
          <w:bCs/>
        </w:rPr>
        <w:t>Каталогом радних места у јавним службама и другим организацијама у јавном сектору (</w:t>
      </w:r>
      <w:r w:rsidRPr="006740AD">
        <w:t>„</w:t>
      </w:r>
      <w:r w:rsidRPr="006740AD">
        <w:rPr>
          <w:lang w:val="sr-Latn-RS"/>
        </w:rPr>
        <w:t>Службени гласник РС</w:t>
      </w:r>
      <w:r w:rsidRPr="006740AD">
        <w:t>”</w:t>
      </w:r>
      <w:r w:rsidRPr="006740AD">
        <w:rPr>
          <w:lang w:val="sr-Latn-RS"/>
        </w:rPr>
        <w:t xml:space="preserve"> </w:t>
      </w:r>
      <w:r w:rsidR="00E92E01">
        <w:rPr>
          <w:lang w:val="sr-Latn-RS"/>
        </w:rPr>
        <w:t>број</w:t>
      </w:r>
      <w:r w:rsidRPr="006740AD">
        <w:rPr>
          <w:lang w:val="sr-Latn-RS"/>
        </w:rPr>
        <w:t xml:space="preserve"> 81/17, 6/18, 43/18</w:t>
      </w:r>
      <w:r w:rsidRPr="006740AD">
        <w:t>) и који је предуслов за реформу система плата. Од доношења  тог закона сви акти о систематизацији установа усклађују се са Каталогом радних места</w:t>
      </w:r>
      <w:r w:rsidRPr="006740AD">
        <w:rPr>
          <w:lang w:val="sr-Latn-RS"/>
        </w:rPr>
        <w:t xml:space="preserve"> </w:t>
      </w:r>
      <w:r w:rsidRPr="006740AD">
        <w:t>у јавним службама и другим организацијама у јавном сектору, чиме се обезбеђује транспарентност и уједначеност, нарочито упоредивих послова, и омогућава даљи системски приступ УЉР и мобилност запослених у том делу јавне управе.</w:t>
      </w:r>
    </w:p>
    <w:p w14:paraId="73BFA9F3" w14:textId="394EBBCE" w:rsidR="006740AD" w:rsidRPr="006740AD" w:rsidRDefault="006740AD" w:rsidP="006740AD">
      <w:r w:rsidRPr="006740AD">
        <w:t xml:space="preserve">Правни оквир којим се уређују </w:t>
      </w:r>
      <w:r w:rsidRPr="006740AD">
        <w:rPr>
          <w:b/>
          <w:bCs/>
        </w:rPr>
        <w:t>плате, накнаде плате, накнаде трошкова и друга примања државних службеника и намештеника</w:t>
      </w:r>
      <w:r w:rsidRPr="006740AD">
        <w:t xml:space="preserve"> утврђен је Законом о платама државних службеника и намештеника, Законом о буџету, као и Уредбом о накнади трошкова и отпремнини државних службеника и намештеника („Службени гласник РС”, </w:t>
      </w:r>
      <w:r w:rsidR="00E92E01">
        <w:t>број</w:t>
      </w:r>
      <w:r w:rsidRPr="006740AD">
        <w:t xml:space="preserve"> 98/07, 84/14 и 84/15). Поред коефицијената за обрачун плате, Закон о платама државних службеника и намештеника детаљно уређује питање додатка на основну плату, напредовања кроз платне разреде, право на накнаду плате, право на накнаду трошкова и друга примања државних службеника, као и право намештеника на додатак за остварене резултате рада. Закон о платама државних службеника и намештеника примењује се на све државне органе, с тим што је посебан систем коефицијената успостављен за Пореску управу Правилником („Службени гласник РС”, </w:t>
      </w:r>
      <w:r w:rsidR="00E92E01">
        <w:t>број</w:t>
      </w:r>
      <w:r w:rsidRPr="006740AD">
        <w:t xml:space="preserve"> </w:t>
      </w:r>
      <w:r w:rsidRPr="006740AD">
        <w:rPr>
          <w:lang w:val="sr-Latn-RS"/>
        </w:rPr>
        <w:t xml:space="preserve">43/19 </w:t>
      </w:r>
      <w:r w:rsidRPr="006740AD">
        <w:t xml:space="preserve">и </w:t>
      </w:r>
      <w:r w:rsidRPr="006740AD">
        <w:rPr>
          <w:lang w:val="sr-Latn-RS"/>
        </w:rPr>
        <w:t>78/20</w:t>
      </w:r>
      <w:r w:rsidRPr="006740AD">
        <w:t xml:space="preserve">) који доноси министар финансија на основу Закона о пореском поступку и пореској администрацији, а којим се разврставају звања пореских службеника у посебне платне групе и платне разреде и којим се одређује висина додатног коефицијента за одређене послове) и за државне службенике на извршилачким радним местима и намештенике у Управи за извршење кривичних санкција (ова питања уређена су Уредбом о коефицијентима за обрачун и исплату плата у Управи за извршење кривичних санкција („Службени гласник РС”, </w:t>
      </w:r>
      <w:r w:rsidR="00E92E01">
        <w:t>број</w:t>
      </w:r>
      <w:r w:rsidRPr="006740AD">
        <w:t xml:space="preserve"> 16/07, 21/09, 1/11 – одлука УС, 83/11 и 102/11), на основу Закона о извршењу кривичних санкција. Наведени акти уређују посебан систем коефицијената због тога што су звања у тим органима различита, али у складу са принципом њиховог разврставања у платне групе и платне разреде којим се уважава радна успешност запослених приликом одређивања њихове плате. </w:t>
      </w:r>
    </w:p>
    <w:p w14:paraId="1AE7D4BA" w14:textId="77777777" w:rsidR="006740AD" w:rsidRPr="006740AD" w:rsidRDefault="006740AD" w:rsidP="006740AD">
      <w:r w:rsidRPr="006740AD">
        <w:t>Такође, посебни закони додатно уређују поједина примања државних службеника која нису уређена Законом о платама државних службеника и намештеника (могућност да се увећа коефицијент до 20% за одређене послове за царинске службенике који имају овлашћења за ношење и употребу оружја или који су разврстани у одређена звања, институционални додатак до 30% којим се увећава плата за службенике у Државној ревизорској институцији, у Фискалном савету, Агенцији за спречавање корупције и Уставном суду услед посебних сложености у раду, увећање за запослене који обављају послове у државним органима надлежним за заштиту тајности података, за поступање у предметима кривичних дела везаних за ратне злочине, извршење казне затвора и мере притвора за кривична дела организованог криминала због посебне одговорности, сложености послова и безбедносних ризика којима су изложени и др.). Основица којом се утврђује номинални износ плате у тим органима утврђује се Законом о буџету за сваку календарску годину и разликује се како између тих органа, тако и од основице предвиђене за остале државне службенике и намештенике.</w:t>
      </w:r>
    </w:p>
    <w:p w14:paraId="4AD8AA61" w14:textId="77777777" w:rsidR="006740AD" w:rsidRPr="006740AD" w:rsidRDefault="006740AD" w:rsidP="006740AD">
      <w:r w:rsidRPr="006740AD">
        <w:rPr>
          <w:b/>
          <w:bCs/>
        </w:rPr>
        <w:t xml:space="preserve">Систем плата запослених у јавним службама, органима и организацијама аутономне покрајине и јединице локалне самоуправе </w:t>
      </w:r>
      <w:r w:rsidRPr="006740AD">
        <w:t>уређује се Законом о платама у државним органима и јавним службама, подзаконским актима и колективним уговорима. Основица за обрачун плата утврђује се закључком Владе у складу са расположивим фискалним простором у одређеној календарској години утврђеним Законом о буџетском систему и може да се разликује за поједине јавне службе, односно за поједине категорије запослених у истој јавној служби. Различитост основице условила је промене у односима између вредности послова који су одређени коефицијентима и којима се изражава сложеност послова, одговорност, услови рада и стручна спрема, што је уочено као један од разлога за реформу система плата у јавним службама.</w:t>
      </w:r>
    </w:p>
    <w:p w14:paraId="750D17AA" w14:textId="77777777" w:rsidR="006740AD" w:rsidRPr="006740AD" w:rsidRDefault="006740AD" w:rsidP="006740AD">
      <w:pPr>
        <w:rPr>
          <w:bCs/>
        </w:rPr>
      </w:pPr>
      <w:r w:rsidRPr="006740AD">
        <w:t>У органима АП и ЈЛС примењује се такође Закон о платама у државним органима и јавним службама, подзаконски акти и посебни колективни уговори. Значајан напредак остварен је доношењем Закона о запосленима у АП и ЈЛС</w:t>
      </w:r>
      <w:r w:rsidRPr="006740AD" w:rsidDel="005A7E6B">
        <w:t xml:space="preserve"> </w:t>
      </w:r>
      <w:r w:rsidRPr="006740AD">
        <w:t xml:space="preserve">тиме што су у процес преговарања за закључивање посебног колективног уговора, који утврђује одређена примања запослених, укључене ЈЛС преко свог удружења. Међутим, прописи о платама нису усклађени са новинама у Закону о запосленима у АП и ЈЛС. </w:t>
      </w:r>
    </w:p>
    <w:p w14:paraId="1251B917" w14:textId="77777777" w:rsidR="006740AD" w:rsidRPr="006740AD" w:rsidRDefault="006740AD" w:rsidP="006740AD">
      <w:r w:rsidRPr="006740AD">
        <w:rPr>
          <w:b/>
          <w:bCs/>
        </w:rPr>
        <w:t>Систем плата у јавним агенцијама</w:t>
      </w:r>
      <w:r w:rsidRPr="006740AD">
        <w:t xml:space="preserve"> није до сада био уређен посебним законом, већ се плате запослених у јавним агенцијама утврђују у складу са правилима из Закона о раду, посебно за сваку агенцију, тако што управни одбор доноси општи акт о правима, обавезама, одговорностима и заради директора и запослених уз сагласност оснивача.</w:t>
      </w:r>
      <w:r w:rsidRPr="006740AD">
        <w:rPr>
          <w:vertAlign w:val="superscript"/>
        </w:rPr>
        <w:footnoteReference w:id="92"/>
      </w:r>
      <w:r w:rsidRPr="006740AD">
        <w:t xml:space="preserve"> Закон о раду предвиђа могућност да се увећа зарада по основу радног учинка, односно квалитета и обима обављеног посла и односа запосленог према радним обавезама. </w:t>
      </w:r>
    </w:p>
    <w:p w14:paraId="64366339" w14:textId="41F31DE0" w:rsidR="006740AD" w:rsidRPr="006740AD" w:rsidRDefault="006740AD" w:rsidP="006740AD">
      <w:r w:rsidRPr="006740AD">
        <w:t>Реформа система плата започета је 2016. године, као саставни део мера фискалне консолидације које су биле усмерене на контролу трошкова запослених у јавној управи и достизање фискалне стабилности, али и као мера за испуњење посебног циља из Стратегије РЈУ из 2014, који се односи на успостављање усклађеног јавнослужбеничког система заснованог на заслугама и унапређење УЉР. У 2016. години донет је Закон о систему плата запослених у јавном сектору (</w:t>
      </w:r>
      <w:r w:rsidRPr="006740AD">
        <w:rPr>
          <w:lang w:val="sr-Latn-RS"/>
        </w:rPr>
        <w:t>„Службени гласник РС</w:t>
      </w:r>
      <w:r w:rsidRPr="006740AD">
        <w:t>”</w:t>
      </w:r>
      <w:r w:rsidRPr="006740AD">
        <w:rPr>
          <w:lang w:val="sr-Latn-RS"/>
        </w:rPr>
        <w:t xml:space="preserve">, </w:t>
      </w:r>
      <w:r w:rsidR="00E92E01">
        <w:rPr>
          <w:lang w:val="sr-Latn-RS"/>
        </w:rPr>
        <w:t>број</w:t>
      </w:r>
      <w:r w:rsidRPr="006740AD">
        <w:rPr>
          <w:lang w:val="sr-Latn-RS"/>
        </w:rPr>
        <w:t xml:space="preserve"> 18/16 и 108/16</w:t>
      </w:r>
      <w:r w:rsidRPr="006740AD">
        <w:t>.), чиме је успостављена нормативна подлога за друге посебне законе који су донети након тога, и то: 1) Закон о платама службеника и намештеника у органима аутономне покрајине и јединица локалне самоуправе, 2) Закон о запосленима у јавним службама и 3) Закон о платама запослених у јавним агенцијама и другим организацијама које је основала Република Србија, аутономна покрајина или јединица локалне самоуправе („</w:t>
      </w:r>
      <w:r w:rsidRPr="006740AD">
        <w:rPr>
          <w:lang w:val="sr-Latn-RS"/>
        </w:rPr>
        <w:t>Службени гласник РС</w:t>
      </w:r>
      <w:r w:rsidRPr="006740AD">
        <w:t>”,</w:t>
      </w:r>
      <w:r w:rsidRPr="006740AD">
        <w:rPr>
          <w:lang w:val="sr-Latn-RS"/>
        </w:rPr>
        <w:t xml:space="preserve"> </w:t>
      </w:r>
      <w:r w:rsidR="00E92E01">
        <w:rPr>
          <w:lang w:val="sr-Latn-RS"/>
        </w:rPr>
        <w:t>број</w:t>
      </w:r>
      <w:r w:rsidRPr="006740AD">
        <w:rPr>
          <w:lang w:val="sr-Latn-RS"/>
        </w:rPr>
        <w:t xml:space="preserve"> 47/18, 95/18, 86/19</w:t>
      </w:r>
      <w:r w:rsidRPr="006740AD">
        <w:t>.), којима је циљ, поред уједначавања елемената плата у целом јавном сектору, постепено усаглашавање висине плата у јавним агенцијама са платама у другим деловима јавног сектора, имајући у виду да анализе спровођене током рада на реформи плата указују на неједнакости у висини примања у корист запослених у јавном агенцијама. Међутим, наведени закони се још не примењују.</w:t>
      </w:r>
    </w:p>
    <w:p w14:paraId="15896092" w14:textId="77777777" w:rsidR="006740AD" w:rsidRPr="006740AD" w:rsidRDefault="006740AD" w:rsidP="006740AD">
      <w:r w:rsidRPr="006740AD">
        <w:t xml:space="preserve">Као део реформе система плата </w:t>
      </w:r>
      <w:r w:rsidRPr="006740AD">
        <w:rPr>
          <w:b/>
          <w:bCs/>
        </w:rPr>
        <w:t>предвиђено је да се успостави Општи каталог</w:t>
      </w:r>
      <w:r w:rsidRPr="006740AD">
        <w:t xml:space="preserve"> радних места који представља попис свих радних места, звања (групе радних места исте сложености у складу са службеничким системом), чинова, положаја и функција у јавном сектору, а са циљем утврђивања свих послова који се обављају у јавном сектору ради уједначавања њихових плата. Каталог радних места у јавним службама и другим организацијама у јавном сектору донет је 2017. године и обухватио је највећи део послова (око 85%) који се обављају у јавном сектору, док ће остали каталози, који чине део Општег каталога бити донети истовремено са даљим спровођењем реформе плата.</w:t>
      </w:r>
    </w:p>
    <w:p w14:paraId="524A72DE" w14:textId="77777777" w:rsidR="006740AD" w:rsidRPr="006740AD" w:rsidRDefault="006740AD" w:rsidP="006740AD">
      <w:r w:rsidRPr="006740AD">
        <w:t>У складу са стратешким принципима и циљевима Стратегије РЈУ из 2014</w:t>
      </w:r>
      <w:r w:rsidRPr="006740AD">
        <w:rPr>
          <w:vertAlign w:val="superscript"/>
        </w:rPr>
        <w:t xml:space="preserve"> </w:t>
      </w:r>
      <w:r w:rsidRPr="006740AD">
        <w:t xml:space="preserve">посебна пажња посвећена је суштинској </w:t>
      </w:r>
      <w:r w:rsidRPr="006740AD">
        <w:rPr>
          <w:b/>
          <w:bCs/>
        </w:rPr>
        <w:t xml:space="preserve">реформи стручног усавршавања у јавној управи </w:t>
      </w:r>
      <w:r w:rsidRPr="006740AD">
        <w:t>– области у којој су постигнуте резултате уочиле и признале релевантне међународне институције.</w:t>
      </w:r>
      <w:r w:rsidRPr="006740AD">
        <w:rPr>
          <w:vertAlign w:val="superscript"/>
        </w:rPr>
        <w:footnoteReference w:id="93"/>
      </w:r>
      <w:r w:rsidRPr="006740AD">
        <w:t xml:space="preserve"> </w:t>
      </w:r>
    </w:p>
    <w:p w14:paraId="0D258079" w14:textId="77777777" w:rsidR="006740AD" w:rsidRPr="006740AD" w:rsidRDefault="006740AD" w:rsidP="006740AD">
      <w:r w:rsidRPr="006740AD">
        <w:t>Реформа стручног усавршавања у јавној управи започета је након што је спроведена детаљна анализа стања у области и утврђена основа за успостављање централне националне институције за стручно усавршавање запослених у јавној управи Републике Србије,</w:t>
      </w:r>
      <w:r w:rsidRPr="006740AD">
        <w:rPr>
          <w:vertAlign w:val="superscript"/>
        </w:rPr>
        <w:footnoteReference w:id="94"/>
      </w:r>
      <w:r w:rsidRPr="006740AD">
        <w:t xml:space="preserve"> а сам процес припреме унапређеног нормативног оквира пратио је консултативни процес у који су били укључени сви заинтересовани субјекти, што је позитивно утицало како на квалитет предложених решења, тако и на то да разумеју и прихвате нов концепт стручног усавршавања у јавној управи сви они на које се односи. </w:t>
      </w:r>
    </w:p>
    <w:p w14:paraId="72BE62EB" w14:textId="68B43659" w:rsidR="006740AD" w:rsidRPr="006740AD" w:rsidRDefault="006740AD" w:rsidP="006740AD">
      <w:pPr>
        <w:rPr>
          <w:lang w:val="sr-Cyrl-CS"/>
        </w:rPr>
      </w:pPr>
      <w:r w:rsidRPr="006740AD">
        <w:t xml:space="preserve">Све то резултирало је доношењем више закона којима су по први пут уведени јединствени критеријуми и стандарди у систем стручног усавршавања у јавној управи. Најпре, донет је </w:t>
      </w:r>
      <w:r w:rsidRPr="006740AD">
        <w:rPr>
          <w:bCs/>
          <w:iCs/>
          <w:lang w:val="sr-Cyrl-CS"/>
        </w:rPr>
        <w:t xml:space="preserve">Закон о Националној академији </w:t>
      </w:r>
      <w:r w:rsidRPr="006740AD">
        <w:rPr>
          <w:iCs/>
          <w:lang w:val="sr-Cyrl-CS"/>
        </w:rPr>
        <w:t>за јавну управу (</w:t>
      </w:r>
      <w:r w:rsidRPr="006740AD">
        <w:t>„Службени гласник РС</w:t>
      </w:r>
      <w:r w:rsidRPr="006740AD">
        <w:rPr>
          <w:bCs/>
        </w:rPr>
        <w:t>”</w:t>
      </w:r>
      <w:r w:rsidRPr="006740AD">
        <w:t>, број 94/17.)</w:t>
      </w:r>
      <w:r w:rsidRPr="006740AD">
        <w:rPr>
          <w:lang w:val="sr-Cyrl-CS"/>
        </w:rPr>
        <w:t xml:space="preserve">, којим је </w:t>
      </w:r>
      <w:r w:rsidRPr="006740AD">
        <w:rPr>
          <w:b/>
          <w:bCs/>
          <w:lang w:val="sr-Cyrl-CS"/>
        </w:rPr>
        <w:t>основана НАЈУ</w:t>
      </w:r>
      <w:r w:rsidRPr="006740AD">
        <w:rPr>
          <w:lang w:val="sr-Cyrl-CS"/>
        </w:rPr>
        <w:t xml:space="preserve"> као централна институција система стручног усавршавања у јавној управи Републике Србије – са статусом јавно признатог организатора активности неформалног образовања одраслих, над чијим радом надзор врши МДУЛС. Делокруг </w:t>
      </w:r>
      <w:r w:rsidRPr="006740AD">
        <w:t>НАЈУ, утврђен тим законом, вишеструко је комплементаран и корелативан и обухвата надлежности и послове којима се обез</w:t>
      </w:r>
      <w:r w:rsidR="00135806">
        <w:t>б</w:t>
      </w:r>
      <w:r w:rsidRPr="006740AD">
        <w:t xml:space="preserve">еђује </w:t>
      </w:r>
      <w:r w:rsidRPr="006740AD">
        <w:rPr>
          <w:lang w:val="ru-RU"/>
        </w:rPr>
        <w:t xml:space="preserve">целовито праћење стања у области и контрола квалитета свих процеса у стручном усавршавању, уз континуирано подстицање и усмеравање изградње кадровских капацитета у целој јавној управи. Такође, нагласак се ставља на </w:t>
      </w:r>
      <w:r w:rsidRPr="006740AD">
        <w:rPr>
          <w:b/>
          <w:bCs/>
          <w:lang w:val="ru-RU"/>
        </w:rPr>
        <w:t xml:space="preserve">увођење савремених метода и техника </w:t>
      </w:r>
      <w:r w:rsidRPr="006740AD">
        <w:rPr>
          <w:lang w:val="ru-RU"/>
        </w:rPr>
        <w:t xml:space="preserve">у припреми и спровођењу програма обука и </w:t>
      </w:r>
      <w:r w:rsidRPr="006740AD">
        <w:t>функционалних, применљивих знања која стичу запослени у јавној управи за обављање послова радних места на која су распоређени и остваривање секторс</w:t>
      </w:r>
      <w:r w:rsidR="00135806">
        <w:t>к</w:t>
      </w:r>
      <w:r w:rsidRPr="006740AD">
        <w:t xml:space="preserve">их циљева организационих јединица и органа у којима су запослени, али и за веће учешће у креирању и спровођењу докумената јавних политика и укупних реформских процеса. </w:t>
      </w:r>
      <w:r w:rsidRPr="006740AD">
        <w:rPr>
          <w:lang w:val="sr-Cyrl-CS"/>
        </w:rPr>
        <w:t xml:space="preserve">Крајем 2017. године донети су </w:t>
      </w:r>
      <w:r w:rsidRPr="006740AD">
        <w:rPr>
          <w:iCs/>
          <w:lang w:val="sr-Cyrl-CS"/>
        </w:rPr>
        <w:t>Закон о изменама и допунама Закона о државним службеницима (</w:t>
      </w:r>
      <w:r w:rsidRPr="006740AD">
        <w:t>„Службени гласник РС</w:t>
      </w:r>
      <w:r w:rsidRPr="006740AD">
        <w:rPr>
          <w:bCs/>
        </w:rPr>
        <w:t>”</w:t>
      </w:r>
      <w:r w:rsidRPr="006740AD">
        <w:t>, број 113/17.)</w:t>
      </w:r>
      <w:r w:rsidRPr="006740AD">
        <w:rPr>
          <w:iCs/>
          <w:lang w:val="sr-Cyrl-CS"/>
        </w:rPr>
        <w:t xml:space="preserve"> и Закон о изменама и допунама Закона о запосленима у АП и ЈЛС (</w:t>
      </w:r>
      <w:r w:rsidRPr="006740AD">
        <w:t>„Службени гласник РС</w:t>
      </w:r>
      <w:r w:rsidRPr="006740AD">
        <w:rPr>
          <w:bCs/>
        </w:rPr>
        <w:t>”</w:t>
      </w:r>
      <w:r w:rsidRPr="006740AD">
        <w:t>, број 113/17.)</w:t>
      </w:r>
      <w:r w:rsidRPr="006740AD">
        <w:rPr>
          <w:iCs/>
          <w:lang w:val="sr-Cyrl-CS"/>
        </w:rPr>
        <w:t>,</w:t>
      </w:r>
      <w:r w:rsidRPr="006740AD">
        <w:rPr>
          <w:lang w:val="sr-Cyrl-CS"/>
        </w:rPr>
        <w:t xml:space="preserve"> којима су целовито уређена најважнија питања значајна за спровођење одрживог система стручног усавршавања, стандардизације процеса, очекиваних резултата и усклађености функционалних елемената стручног усавршавања у државним органима, </w:t>
      </w:r>
      <w:r w:rsidRPr="006740AD">
        <w:t>органима аутономне покрајине</w:t>
      </w:r>
      <w:r w:rsidRPr="006740AD">
        <w:rPr>
          <w:lang w:val="sr-Cyrl-CS"/>
        </w:rPr>
        <w:t xml:space="preserve"> и органима јединица локалне самоуправе. Оно што је посебно важно, а то је да је обезбеђен </w:t>
      </w:r>
      <w:r w:rsidRPr="006740AD">
        <w:rPr>
          <w:b/>
          <w:bCs/>
          <w:lang w:val="sr-Cyrl-CS"/>
        </w:rPr>
        <w:t>једнак приступ праву на стручно усавршавање државним службеницима и запосленима у јединицама локалне самоуправе</w:t>
      </w:r>
      <w:r w:rsidRPr="006740AD">
        <w:rPr>
          <w:lang w:val="sr-Cyrl-CS"/>
        </w:rPr>
        <w:t>, што у претходном периоду није био случај. С тим у вези потребно је нагласити да су државни службеници до увођења новог система стручног усавршавања у јавној управи то своје право остваривали у СУК-у, који је, између осталог, припремао и спроводио уводни програм обуке, општи програм обуке и програм обуке руководилаца, док запослени у јединицама локалне самоуправе нису имали могућност да организовано остварују то право све до 2016. године, када су након доношења Закона о запосленима у аутономним покрајинама и јединицама локалне самоуправе направљени први кораци у правцу успостављања система стручног усавршавања у јединицама локалне самоуправе, који добија свој пуни инте</w:t>
      </w:r>
      <w:r w:rsidR="00135806">
        <w:rPr>
          <w:lang w:val="sr-Cyrl-CS"/>
        </w:rPr>
        <w:t>н</w:t>
      </w:r>
      <w:r w:rsidRPr="006740AD">
        <w:rPr>
          <w:lang w:val="sr-Cyrl-CS"/>
        </w:rPr>
        <w:t>зитет тек пошто су донети наведени закони 2017. године.</w:t>
      </w:r>
    </w:p>
    <w:p w14:paraId="0CE5BDB9" w14:textId="553F59AC" w:rsidR="006740AD" w:rsidRPr="006740AD" w:rsidRDefault="006740AD" w:rsidP="006740AD">
      <w:r w:rsidRPr="006740AD">
        <w:t xml:space="preserve">Поред тога, потребно је истаћи да је, у складу са унапређеним законским оквиром, донет читав низ подзаконских прописа, чија су решења додатно подржала стандардизацију процеса и увођење система квалитета у све сегменте стручног усавршавања у јавној управи, </w:t>
      </w:r>
      <w:r w:rsidR="003A411F" w:rsidRPr="003A411F">
        <w:rPr>
          <w:rFonts w:eastAsia="Calibri"/>
        </w:rPr>
        <w:t xml:space="preserve">Уредба о стручном усавршавању путем стажирања </w:t>
      </w:r>
      <w:r w:rsidRPr="006740AD">
        <w:t xml:space="preserve">(„Службени гласник РС”, број 15/19.), </w:t>
      </w:r>
      <w:r w:rsidR="003A411F" w:rsidRPr="003A411F">
        <w:rPr>
          <w:rFonts w:eastAsia="Calibri"/>
          <w:bCs/>
        </w:rPr>
        <w:t>Уредба о акредитацији, начину ангажовања и накнадама реализатора и спроводилаца програма стручног усавршавања у јавној управи</w:t>
      </w:r>
      <w:r w:rsidR="003A411F" w:rsidRPr="00164787">
        <w:rPr>
          <w:rFonts w:eastAsia="Calibri"/>
          <w:bCs/>
          <w:sz w:val="18"/>
          <w:szCs w:val="18"/>
        </w:rPr>
        <w:t xml:space="preserve"> </w:t>
      </w:r>
      <w:r w:rsidRPr="006740AD">
        <w:t xml:space="preserve">(„Службени гласник РС”, </w:t>
      </w:r>
      <w:r w:rsidR="00E92E01">
        <w:t>број</w:t>
      </w:r>
      <w:r w:rsidRPr="006740AD">
        <w:t xml:space="preserve"> 90/18 и 71/19), </w:t>
      </w:r>
      <w:r w:rsidR="003A411F" w:rsidRPr="003A411F">
        <w:rPr>
          <w:rFonts w:eastAsia="Calibri"/>
          <w:bCs/>
        </w:rPr>
        <w:t>Упутство о методологији за утврђивање потреба за стручним усавршавањем у органима јавне управе</w:t>
      </w:r>
      <w:r w:rsidRPr="003A411F">
        <w:t xml:space="preserve"> </w:t>
      </w:r>
      <w:r w:rsidRPr="006740AD">
        <w:t xml:space="preserve">(„Службени гласник РС”, број 32/19), </w:t>
      </w:r>
      <w:r w:rsidR="003A411F" w:rsidRPr="003A411F">
        <w:rPr>
          <w:rFonts w:eastAsia="Calibri"/>
          <w:bCs/>
        </w:rPr>
        <w:t>Правилник о централној евиденцији програма стручног усавршавања у јавној управи и издавању уверења о учешћу у програму</w:t>
      </w:r>
      <w:r w:rsidR="003A411F" w:rsidRPr="00164787">
        <w:rPr>
          <w:rFonts w:eastAsia="Calibri"/>
          <w:bCs/>
          <w:sz w:val="18"/>
          <w:szCs w:val="18"/>
        </w:rPr>
        <w:t xml:space="preserve"> </w:t>
      </w:r>
      <w:r w:rsidRPr="006740AD">
        <w:t>(„Слу</w:t>
      </w:r>
      <w:r w:rsidR="003A411F">
        <w:t>жбени гласник РС”, број 102/18),</w:t>
      </w:r>
      <w:r w:rsidRPr="006740AD">
        <w:t xml:space="preserve"> </w:t>
      </w:r>
      <w:r w:rsidR="003A411F" w:rsidRPr="005A1B6C">
        <w:rPr>
          <w:rFonts w:eastAsia="Calibri"/>
          <w:bCs/>
        </w:rPr>
        <w:t>Правилник о критеријумима и мерилима за вредновање програма стручног усавршавањa</w:t>
      </w:r>
      <w:r w:rsidR="003A411F" w:rsidRPr="006740AD">
        <w:t xml:space="preserve"> </w:t>
      </w:r>
      <w:r w:rsidRPr="006740AD">
        <w:t>(„Службени гласник РС”, број 101/18)</w:t>
      </w:r>
      <w:r w:rsidR="005A1B6C">
        <w:t xml:space="preserve"> и</w:t>
      </w:r>
      <w:r w:rsidRPr="006740AD">
        <w:rPr>
          <w:vertAlign w:val="superscript"/>
        </w:rPr>
        <w:t xml:space="preserve"> </w:t>
      </w:r>
      <w:r w:rsidR="005A1B6C" w:rsidRPr="005A1B6C">
        <w:rPr>
          <w:rFonts w:eastAsia="Calibri"/>
          <w:bCs/>
        </w:rPr>
        <w:t xml:space="preserve">Упутство за начин рада ментора у току оспособљавања приправника у државним органима </w:t>
      </w:r>
      <w:r w:rsidRPr="006740AD">
        <w:t>(„Службени гласник РС</w:t>
      </w:r>
      <w:r w:rsidRPr="006740AD">
        <w:rPr>
          <w:bCs/>
        </w:rPr>
        <w:t>”</w:t>
      </w:r>
      <w:r w:rsidRPr="006740AD">
        <w:t>, број).</w:t>
      </w:r>
    </w:p>
    <w:p w14:paraId="64AC087E" w14:textId="46A0657B" w:rsidR="006740AD" w:rsidRPr="006740AD" w:rsidRDefault="006740AD" w:rsidP="006740AD">
      <w:pPr>
        <w:rPr>
          <w:bCs/>
        </w:rPr>
      </w:pPr>
      <w:r w:rsidRPr="006740AD">
        <w:t xml:space="preserve">У повезаној </w:t>
      </w:r>
      <w:r w:rsidRPr="006740AD">
        <w:rPr>
          <w:b/>
          <w:bCs/>
        </w:rPr>
        <w:t>области стручних испита</w:t>
      </w:r>
      <w:r w:rsidRPr="006740AD">
        <w:t xml:space="preserve"> Република Србија има вишедеценијску управну традицију. Од њиховог увођења 1965. године велики број закона и подзаконских прописа уређивао је ту област, а до данас су задржали </w:t>
      </w:r>
      <w:r w:rsidRPr="006740AD">
        <w:rPr>
          <w:bCs/>
        </w:rPr>
        <w:t>стабилно место незаобилазног услова за рад у државним органима,</w:t>
      </w:r>
      <w:r w:rsidRPr="006740AD">
        <w:t xml:space="preserve"> органима аутономне покрајине</w:t>
      </w:r>
      <w:r w:rsidRPr="006740AD">
        <w:rPr>
          <w:bCs/>
        </w:rPr>
        <w:t xml:space="preserve"> и органима јединица локалне самоуправе и ималаца јавних овлашћења. Област стручних испита уређује Закон о државним службеницима из 2005. године, </w:t>
      </w:r>
      <w:r w:rsidRPr="006740AD">
        <w:rPr>
          <w:bCs/>
          <w:lang w:val="sr-Latn-RS"/>
        </w:rPr>
        <w:t xml:space="preserve">који </w:t>
      </w:r>
      <w:r w:rsidRPr="006740AD">
        <w:rPr>
          <w:bCs/>
        </w:rPr>
        <w:t>утврђује</w:t>
      </w:r>
      <w:r w:rsidRPr="006740AD">
        <w:rPr>
          <w:bCs/>
          <w:lang w:val="sr-Latn-RS"/>
        </w:rPr>
        <w:t xml:space="preserve"> државни стручни испи</w:t>
      </w:r>
      <w:r w:rsidRPr="006740AD">
        <w:rPr>
          <w:bCs/>
        </w:rPr>
        <w:t xml:space="preserve">т </w:t>
      </w:r>
      <w:r w:rsidRPr="006740AD">
        <w:t xml:space="preserve">као испит општег карактера који се односи на </w:t>
      </w:r>
      <w:r w:rsidRPr="006740AD">
        <w:rPr>
          <w:lang w:val="sr-Latn-RS"/>
        </w:rPr>
        <w:t>све</w:t>
      </w:r>
      <w:r w:rsidRPr="006740AD">
        <w:t xml:space="preserve"> државне службенике који су у државном органу у радном односу на неодређено време.</w:t>
      </w:r>
      <w:r w:rsidRPr="006740AD">
        <w:rPr>
          <w:bCs/>
          <w:vertAlign w:val="superscript"/>
        </w:rPr>
        <w:footnoteReference w:id="95"/>
      </w:r>
      <w:r w:rsidRPr="006740AD">
        <w:rPr>
          <w:bCs/>
        </w:rPr>
        <w:t xml:space="preserve"> Програм и начин полагања државног стручног испита, као и друга питања значајна за његово организовање и спровођење уређени </w:t>
      </w:r>
      <w:r w:rsidR="005A1B6C">
        <w:rPr>
          <w:bCs/>
        </w:rPr>
        <w:t xml:space="preserve">су </w:t>
      </w:r>
      <w:r w:rsidR="005A1B6C" w:rsidRPr="005A1B6C">
        <w:t>Уредбом о државном стручном испиту</w:t>
      </w:r>
      <w:r w:rsidR="005A1B6C" w:rsidRPr="00164787">
        <w:rPr>
          <w:sz w:val="18"/>
          <w:szCs w:val="18"/>
        </w:rPr>
        <w:t xml:space="preserve"> </w:t>
      </w:r>
      <w:r w:rsidRPr="006740AD">
        <w:t>(„Службени гласник РС”, број 86/19)</w:t>
      </w:r>
      <w:r w:rsidRPr="006740AD">
        <w:rPr>
          <w:bCs/>
        </w:rPr>
        <w:t>.</w:t>
      </w:r>
      <w:r w:rsidRPr="006740AD">
        <w:t xml:space="preserve"> </w:t>
      </w:r>
      <w:r w:rsidRPr="006740AD">
        <w:rPr>
          <w:bCs/>
        </w:rPr>
        <w:t xml:space="preserve">Поред тога, Закон о државним службеницима уређује да се </w:t>
      </w:r>
      <w:r w:rsidRPr="006740AD">
        <w:t xml:space="preserve">законом у одређеној управној области може предвидети и </w:t>
      </w:r>
      <w:r w:rsidRPr="006740AD">
        <w:rPr>
          <w:bCs/>
        </w:rPr>
        <w:t>посебан стручни испит који се полаже ради запослења на радним местима са посебним дужностима и овлашћењима па је та могућност искоришћена и посебан стручни испит је уређен у великом броју секторских закона и припадајућих подзаконских прописа.</w:t>
      </w:r>
    </w:p>
    <w:p w14:paraId="36D0C33F" w14:textId="36CEC302" w:rsidR="003F3312" w:rsidRPr="000F0299" w:rsidRDefault="006740AD" w:rsidP="00871CBF">
      <w:r w:rsidRPr="006740AD">
        <w:t>Организација функције УЉР која је успостављена прописима показује да се, зависно од надлежности органа, могу издвојити послови УЉР на нивоу система државне управе у оквиру централних институција и координационог тела и послови који се обављају на нивоу појединачних органа државне управе.</w:t>
      </w:r>
      <w:r w:rsidR="003F3312" w:rsidRPr="000F0299">
        <w:t xml:space="preserve">. </w:t>
      </w:r>
    </w:p>
    <w:p w14:paraId="01DF2853" w14:textId="77777777" w:rsidR="003F3312" w:rsidRPr="000F0299" w:rsidRDefault="003F3312" w:rsidP="00244E7C">
      <w:r w:rsidRPr="000F0299">
        <w:t>Институционални оквир за УЉР који се посматра на нивоу система државне управе обухвата:</w:t>
      </w:r>
    </w:p>
    <w:p w14:paraId="691AA2DC" w14:textId="6CE0B161" w:rsidR="003F3312" w:rsidRPr="000F0299" w:rsidRDefault="003F3312" w:rsidP="00244E7C">
      <w:r w:rsidRPr="000F0299">
        <w:rPr>
          <w:b/>
        </w:rPr>
        <w:t xml:space="preserve">- </w:t>
      </w:r>
      <w:r w:rsidR="007D1AB9" w:rsidRPr="007D1AB9">
        <w:rPr>
          <w:b/>
          <w:bCs/>
          <w:color w:val="333333"/>
          <w:shd w:val="clear" w:color="auto" w:fill="FFFFFF"/>
        </w:rPr>
        <w:t>МДУЛС</w:t>
      </w:r>
      <w:r w:rsidR="007D1AB9" w:rsidRPr="007D1AB9">
        <w:rPr>
          <w:color w:val="333333"/>
          <w:shd w:val="clear" w:color="auto" w:fill="FFFFFF"/>
        </w:rPr>
        <w:t xml:space="preserve"> који нормативно уређује радне односе и плате у државним органима, јавним агенцијама и јавним службама, државни стручни испит и изградњу капацитета и стручно усавршавање запослених у државним органима, а обавља и стручне и с њима повезане извршне послове који с односе на државни стручни испит и изградњу капацитета и стручно усавршавање у државним органима</w:t>
      </w:r>
      <w:r w:rsidRPr="000F0299">
        <w:rPr>
          <w:color w:val="333333"/>
          <w:shd w:val="clear" w:color="auto" w:fill="FFFFFF"/>
        </w:rPr>
        <w:t>;</w:t>
      </w:r>
    </w:p>
    <w:p w14:paraId="3DE6C04B" w14:textId="51D1DC05" w:rsidR="003F3312" w:rsidRPr="000F0299" w:rsidRDefault="003F3312" w:rsidP="00244E7C">
      <w:r w:rsidRPr="000F0299">
        <w:t xml:space="preserve">- </w:t>
      </w:r>
      <w:r w:rsidR="007D1AB9" w:rsidRPr="007D1AB9">
        <w:rPr>
          <w:b/>
        </w:rPr>
        <w:t>Управни инспекторат</w:t>
      </w:r>
      <w:r w:rsidR="007D1AB9" w:rsidRPr="007D1AB9">
        <w:t xml:space="preserve"> као орган у саставу МДУЛС-а преко Одељења управне инспекције обавља инспекцијски надзор над применом закона и других прописа којима се уређују радни односи у државним органима и органима јединица локалне самоуправе</w:t>
      </w:r>
      <w:r w:rsidRPr="000F0299">
        <w:rPr>
          <w:shd w:val="clear" w:color="auto" w:fill="FFFFFF"/>
        </w:rPr>
        <w:t>;</w:t>
      </w:r>
    </w:p>
    <w:p w14:paraId="586BDD14" w14:textId="6BFB58FF" w:rsidR="003F3312" w:rsidRPr="000F0299" w:rsidRDefault="003F3312" w:rsidP="00244E7C">
      <w:r w:rsidRPr="000F0299">
        <w:t xml:space="preserve">- </w:t>
      </w:r>
      <w:r w:rsidR="007D1AB9" w:rsidRPr="007D1AB9">
        <w:rPr>
          <w:b/>
        </w:rPr>
        <w:t xml:space="preserve">Министарство финансија </w:t>
      </w:r>
      <w:r w:rsidR="007D1AB9" w:rsidRPr="007D1AB9">
        <w:t>које обавља послове државне управе који се, између осталог, односе на републички буџет и финансијске ефекте система утврђивања и обрачуна плата и зарада које се финансирају из буџета Републике Србије, аутономних покрајина и ЈЛС. У оквиру Министарства финансија образован је Сектор – Централна јединица за хармонизацију, у чијој надлежности је планирање, координација, организација, припрема, спровођење и евалуација обука из области финансијског управљања и контроле и интерне ревизије, као и припрема програма и координација активности у организацији спровођења обука интерних ревизора</w:t>
      </w:r>
      <w:r w:rsidRPr="000F0299">
        <w:t xml:space="preserve">. </w:t>
      </w:r>
    </w:p>
    <w:p w14:paraId="3D0D2E52" w14:textId="4332B2B8" w:rsidR="003F3312" w:rsidRPr="000F0299" w:rsidRDefault="003F3312" w:rsidP="00244E7C">
      <w:r w:rsidRPr="000F0299">
        <w:rPr>
          <w:b/>
        </w:rPr>
        <w:t>- С</w:t>
      </w:r>
      <w:r w:rsidR="007D1AB9">
        <w:rPr>
          <w:b/>
        </w:rPr>
        <w:t>УК</w:t>
      </w:r>
      <w:r w:rsidRPr="000F0299">
        <w:t xml:space="preserve">, </w:t>
      </w:r>
      <w:r w:rsidR="007D1AB9" w:rsidRPr="007D1AB9">
        <w:t xml:space="preserve">који је као служба Владе задужен за стручне послове везане за управљање кадровима у државној управи, стручну и техничку подршку органима у УЉР, пружање стручно-техничке помоћи Високом службеничком савету, Жалбеној комисији Владе и за обављање стручних и техничких послове значајних за политику Владе </w:t>
      </w:r>
      <w:r w:rsidR="007D1AB9" w:rsidRPr="007D1AB9">
        <w:rPr>
          <w:bCs/>
        </w:rPr>
        <w:t>у вези са кадровским планирањем, одливом кадра, задржавањем кадра и др. Директор СУК-а одговара за свој рад генералном секретару</w:t>
      </w:r>
      <w:r w:rsidRPr="000F0299">
        <w:rPr>
          <w:bCs/>
          <w:color w:val="000000"/>
        </w:rPr>
        <w:t>.</w:t>
      </w:r>
    </w:p>
    <w:p w14:paraId="3DB6C267" w14:textId="052E3FA3" w:rsidR="003F3312" w:rsidRPr="000F0299" w:rsidRDefault="003F3312" w:rsidP="00244E7C">
      <w:r w:rsidRPr="000F0299">
        <w:t xml:space="preserve">- </w:t>
      </w:r>
      <w:r w:rsidR="007D1AB9" w:rsidRPr="007D1AB9">
        <w:rPr>
          <w:b/>
        </w:rPr>
        <w:t>НАЈУ</w:t>
      </w:r>
      <w:r w:rsidR="007D1AB9" w:rsidRPr="007D1AB9">
        <w:t>, која је основана као посебна организација са својством правног лица, има статус централне институције система стручног усавршавања у јавној управи Републике Србије и јавно признатог организатора активности неформалног образовања одраслих. Надзор над радом НАЈУ врши МДУЛС. Та институција обавља стручне и с њима повезане извршне и друге послове државне управе који се односе на све сегменте стручног усавршавања</w:t>
      </w:r>
      <w:r w:rsidR="007D1AB9" w:rsidRPr="007D1AB9">
        <w:rPr>
          <w:vertAlign w:val="superscript"/>
        </w:rPr>
        <w:footnoteReference w:id="96"/>
      </w:r>
      <w:r w:rsidR="007D1AB9" w:rsidRPr="007D1AB9">
        <w:t xml:space="preserve"> у јавној управи Републике Србије.</w:t>
      </w:r>
      <w:r w:rsidR="007D1AB9" w:rsidRPr="007D1AB9">
        <w:rPr>
          <w:vertAlign w:val="superscript"/>
        </w:rPr>
        <w:footnoteReference w:id="97"/>
      </w:r>
    </w:p>
    <w:p w14:paraId="274CAF41" w14:textId="16702C83" w:rsidR="003F3312" w:rsidRPr="000F0299" w:rsidRDefault="003F3312" w:rsidP="00244E7C">
      <w:pPr>
        <w:rPr>
          <w:bCs/>
        </w:rPr>
      </w:pPr>
      <w:r w:rsidRPr="000F0299">
        <w:t xml:space="preserve">- </w:t>
      </w:r>
      <w:r w:rsidR="007D1AB9" w:rsidRPr="007D1AB9">
        <w:rPr>
          <w:b/>
        </w:rPr>
        <w:t xml:space="preserve">Високи службенички савет </w:t>
      </w:r>
      <w:r w:rsidR="007D1AB9" w:rsidRPr="007D1AB9">
        <w:t>је самостално и колективно тело чије чланове именује Влада, а окупља стручњаке из области значајних за рад државне управе и државне службенике на положају. Надлежан је да</w:t>
      </w:r>
      <w:r w:rsidR="007D1AB9" w:rsidRPr="007D1AB9">
        <w:rPr>
          <w:bCs/>
        </w:rPr>
        <w:t xml:space="preserve"> именује конкурсну комисију за спровођење конкурса кад положај попуњава Влада, одлучује о правима и дужностима државног службеника који руководи државним органом, а кога је на положај поставила Влада, води дисциплински поступак против државног службеника кога је на положај поставила Влада, доноси Кодекс понашања државних службеника (</w:t>
      </w:r>
      <w:r w:rsidR="007D1AB9" w:rsidRPr="007D1AB9">
        <w:t>„</w:t>
      </w:r>
      <w:r w:rsidR="007D1AB9" w:rsidRPr="007D1AB9">
        <w:rPr>
          <w:lang w:val="sr-Latn-RS"/>
        </w:rPr>
        <w:t>Службени гласник РС</w:t>
      </w:r>
      <w:r w:rsidR="007D1AB9" w:rsidRPr="007D1AB9">
        <w:t>”,</w:t>
      </w:r>
      <w:r w:rsidR="007D1AB9" w:rsidRPr="007D1AB9">
        <w:rPr>
          <w:lang w:val="sr-Latn-RS"/>
        </w:rPr>
        <w:t xml:space="preserve"> </w:t>
      </w:r>
      <w:r w:rsidR="00E92E01">
        <w:rPr>
          <w:lang w:val="sr-Latn-RS"/>
        </w:rPr>
        <w:t>број</w:t>
      </w:r>
      <w:r w:rsidR="007D1AB9" w:rsidRPr="007D1AB9">
        <w:rPr>
          <w:lang w:val="sr-Latn-RS"/>
        </w:rPr>
        <w:t xml:space="preserve"> 29/08, 30/15, 20/18, 42/18, 80/19, 32/20</w:t>
      </w:r>
      <w:r w:rsidR="007D1AB9" w:rsidRPr="007D1AB9">
        <w:t>.)</w:t>
      </w:r>
      <w:r w:rsidR="007D1AB9" w:rsidRPr="007D1AB9">
        <w:rPr>
          <w:bCs/>
        </w:rPr>
        <w:t>,</w:t>
      </w:r>
      <w:r w:rsidR="007D1AB9" w:rsidRPr="007D1AB9">
        <w:t xml:space="preserve"> </w:t>
      </w:r>
      <w:r w:rsidR="007D1AB9" w:rsidRPr="007D1AB9">
        <w:rPr>
          <w:bCs/>
        </w:rPr>
        <w:t>утврђује која кривична дела државног службеника чине недостојним за обављање послова, односно вршење дужности и врши друге послове одређене законом</w:t>
      </w:r>
      <w:r w:rsidRPr="000F0299">
        <w:rPr>
          <w:bCs/>
        </w:rPr>
        <w:t>.</w:t>
      </w:r>
    </w:p>
    <w:p w14:paraId="43EC0F2E" w14:textId="77777777" w:rsidR="003F3312" w:rsidRPr="000F0299" w:rsidRDefault="003F3312" w:rsidP="00244E7C">
      <w:r w:rsidRPr="000F0299">
        <w:rPr>
          <w:bCs/>
        </w:rPr>
        <w:t xml:space="preserve">- </w:t>
      </w:r>
      <w:r w:rsidRPr="000F0299">
        <w:rPr>
          <w:b/>
        </w:rPr>
        <w:t>Министарство за европске интеграције</w:t>
      </w:r>
      <w:r w:rsidRPr="000F0299">
        <w:t xml:space="preserve"> обавља послове који се односе на</w:t>
      </w:r>
      <w:r w:rsidRPr="000F0299">
        <w:rPr>
          <w:bCs/>
        </w:rPr>
        <w:t xml:space="preserve"> координацију и спровођење обуке из области Европске уније.</w:t>
      </w:r>
    </w:p>
    <w:p w14:paraId="520F24E3" w14:textId="2192CFA7" w:rsidR="003F3312" w:rsidRPr="000F0299" w:rsidRDefault="003F3312" w:rsidP="00244E7C">
      <w:r w:rsidRPr="000F0299">
        <w:rPr>
          <w:b/>
        </w:rPr>
        <w:t>- Жалбена комисија Владе</w:t>
      </w:r>
      <w:r w:rsidRPr="000F0299">
        <w:t xml:space="preserve"> </w:t>
      </w:r>
      <w:r w:rsidR="007D1AB9" w:rsidRPr="007D1AB9">
        <w:t>одлучује о жалбама државних службеника из органа државне управе, служби Владе и Државног правобранилаштва на решења којима се у управном поступку одлучује о њиховим правима и дужностима, као и о жалбама учесника интерног и јавног конкурса. Стручно-техничке и административне послове за Жалбену комисију Владе врши СУК</w:t>
      </w:r>
      <w:r w:rsidR="007D1AB9">
        <w:t xml:space="preserve">. </w:t>
      </w:r>
    </w:p>
    <w:p w14:paraId="2A06F5C1" w14:textId="05C9C18A" w:rsidR="003F3312" w:rsidRPr="000F0299" w:rsidRDefault="003F3312" w:rsidP="00244E7C">
      <w:r w:rsidRPr="000F0299">
        <w:t xml:space="preserve">- </w:t>
      </w:r>
      <w:r w:rsidRPr="000F0299">
        <w:rPr>
          <w:b/>
          <w:lang w:eastAsia="en-GB"/>
        </w:rPr>
        <w:t>Генерални секретаријат Владе</w:t>
      </w:r>
      <w:r w:rsidRPr="000F0299">
        <w:rPr>
          <w:lang w:eastAsia="en-GB"/>
        </w:rPr>
        <w:t xml:space="preserve"> </w:t>
      </w:r>
      <w:r w:rsidR="007D1AB9" w:rsidRPr="007D1AB9">
        <w:rPr>
          <w:lang w:eastAsia="en-GB"/>
        </w:rPr>
        <w:t>је општа служба Владе задужена за стручне и друге послове за потребе Владе и радних тела Владе. Поред тога, обавља послове за потребе Кабинета председника Владе и Кабинета потпредседника Владе и поједине послове за потребе служби Владе ако је то одређено Уредбом којом се оснива служба („</w:t>
      </w:r>
      <w:r w:rsidR="007D1AB9" w:rsidRPr="007D1AB9">
        <w:rPr>
          <w:lang w:val="sr-Latn-RS" w:eastAsia="en-GB"/>
        </w:rPr>
        <w:t>Службени гласник РС</w:t>
      </w:r>
      <w:r w:rsidR="007D1AB9" w:rsidRPr="007D1AB9">
        <w:rPr>
          <w:lang w:eastAsia="en-GB"/>
        </w:rPr>
        <w:t>”,</w:t>
      </w:r>
      <w:r w:rsidR="007D1AB9" w:rsidRPr="007D1AB9">
        <w:rPr>
          <w:lang w:val="sr-Latn-RS" w:eastAsia="en-GB"/>
        </w:rPr>
        <w:t xml:space="preserve"> </w:t>
      </w:r>
      <w:r w:rsidR="00E92E01">
        <w:rPr>
          <w:lang w:val="sr-Latn-RS" w:eastAsia="en-GB"/>
        </w:rPr>
        <w:t>број</w:t>
      </w:r>
      <w:r w:rsidR="007D1AB9" w:rsidRPr="007D1AB9">
        <w:rPr>
          <w:lang w:val="sr-Latn-RS" w:eastAsia="en-GB"/>
        </w:rPr>
        <w:t xml:space="preserve"> 75/05, 71/08, 109/09, 85/12, 102/13</w:t>
      </w:r>
      <w:r w:rsidR="007D1AB9" w:rsidRPr="007D1AB9">
        <w:rPr>
          <w:lang w:eastAsia="en-GB"/>
        </w:rPr>
        <w:t>.). Директор СУК-а је одговоран генералном секретару Владе</w:t>
      </w:r>
      <w:r w:rsidRPr="000F0299">
        <w:rPr>
          <w:lang w:eastAsia="en-GB"/>
        </w:rPr>
        <w:t>.</w:t>
      </w:r>
    </w:p>
    <w:p w14:paraId="680EA60F" w14:textId="15BF11E3" w:rsidR="003F3312" w:rsidRPr="000F0299" w:rsidRDefault="003F3312" w:rsidP="00244E7C">
      <w:r w:rsidRPr="000F0299">
        <w:t xml:space="preserve">- </w:t>
      </w:r>
      <w:r w:rsidRPr="000F0299">
        <w:rPr>
          <w:b/>
        </w:rPr>
        <w:t xml:space="preserve">Савет за реформу јавне управе </w:t>
      </w:r>
      <w:r w:rsidRPr="00F2272E">
        <w:rPr>
          <w:bCs/>
        </w:rPr>
        <w:t xml:space="preserve">је </w:t>
      </w:r>
      <w:r w:rsidR="00F2272E" w:rsidRPr="00F2272E">
        <w:rPr>
          <w:bCs/>
        </w:rPr>
        <w:t>координациони механизам Владе који, у складу са Стратегијом РЈУ, утврђује предлоге стратешког развоја јавне управе у Републици Србији и иницира и предлаже Влади да се предузму мере и активности које се односе на реформу јавне управе у оквиру које су и мере за реформу у области УЉР. Савет чине министри, а његово Координационо тело је сачињено од државних секретара који треба да обезбеде политичку подршку за мере које се доносе у области УЉР</w:t>
      </w:r>
      <w:r w:rsidRPr="000F0299">
        <w:t>.</w:t>
      </w:r>
    </w:p>
    <w:p w14:paraId="79F342E3" w14:textId="6A05A787" w:rsidR="00F2272E" w:rsidRPr="00F2272E" w:rsidRDefault="00F2272E" w:rsidP="00F2272E">
      <w:r w:rsidRPr="00F2272E">
        <w:t>Послови УЉР у појединачним органима, у складу са Уредбом о начелима за унутрашње уређење и систематизацију радних места („</w:t>
      </w:r>
      <w:r w:rsidRPr="00F2272E">
        <w:rPr>
          <w:lang w:val="sr-Latn-RS"/>
        </w:rPr>
        <w:t>Службени гласник РС</w:t>
      </w:r>
      <w:r w:rsidRPr="00F2272E">
        <w:t>”,</w:t>
      </w:r>
      <w:r w:rsidRPr="00F2272E">
        <w:rPr>
          <w:lang w:val="sr-Latn-RS"/>
        </w:rPr>
        <w:t xml:space="preserve"> </w:t>
      </w:r>
      <w:r w:rsidR="00E92E01">
        <w:rPr>
          <w:lang w:val="sr-Latn-RS"/>
        </w:rPr>
        <w:t>број</w:t>
      </w:r>
      <w:r w:rsidRPr="00F2272E">
        <w:rPr>
          <w:lang w:val="sr-Latn-RS"/>
        </w:rPr>
        <w:t xml:space="preserve"> 81/07 – пречишћен текст, 69/08, 98/12, 87/13, 2/19</w:t>
      </w:r>
      <w:r w:rsidRPr="00F2272E">
        <w:t xml:space="preserve">.) у министарствима се, по правилу, обављају у оквиру секретаријата, који може да их врши и за орган у саставу. За посебне организације, органе у саставу, службе Владе и службе управних округа нема посебних правила о томе како ови послови треба да се организују. </w:t>
      </w:r>
    </w:p>
    <w:p w14:paraId="0B9D5074" w14:textId="0241C2C5" w:rsidR="003F3312" w:rsidRPr="000F0299" w:rsidRDefault="00F2272E" w:rsidP="00F2272E">
      <w:r w:rsidRPr="00F2272E">
        <w:t>Институционални оквир за УЉР који се посматра на нивоу система локалне самоуправе, поред МДУЛС-а који је надлежан за уређивање система радних односа и плата у органима аутономних покрајина и ЈЛС, као и за изградњу капацитета и стручно усавршавање запослених у органима ЈЛС чини</w:t>
      </w:r>
      <w:r w:rsidR="003F3312" w:rsidRPr="000F0299">
        <w:t>:</w:t>
      </w:r>
    </w:p>
    <w:p w14:paraId="2D24355A" w14:textId="4DE93FDA" w:rsidR="003F3312" w:rsidRPr="000F0299" w:rsidRDefault="003F3312" w:rsidP="00244E7C">
      <w:r w:rsidRPr="000F0299">
        <w:rPr>
          <w:b/>
          <w:bCs/>
          <w:i/>
        </w:rPr>
        <w:t xml:space="preserve">- </w:t>
      </w:r>
      <w:r w:rsidRPr="000F0299">
        <w:rPr>
          <w:b/>
          <w:bCs/>
          <w:iCs/>
        </w:rPr>
        <w:t>Скупштина општине</w:t>
      </w:r>
      <w:r w:rsidRPr="000F0299">
        <w:rPr>
          <w:b/>
          <w:bCs/>
          <w:i/>
          <w:iCs/>
        </w:rPr>
        <w:t xml:space="preserve"> </w:t>
      </w:r>
      <w:r w:rsidR="00F2272E" w:rsidRPr="00F2272E">
        <w:rPr>
          <w:b/>
          <w:bCs/>
          <w:iCs/>
        </w:rPr>
        <w:t>,</w:t>
      </w:r>
      <w:r w:rsidR="00F2272E" w:rsidRPr="00F2272E">
        <w:rPr>
          <w:b/>
          <w:bCs/>
          <w:i/>
          <w:iCs/>
        </w:rPr>
        <w:t xml:space="preserve"> </w:t>
      </w:r>
      <w:r w:rsidR="00F2272E" w:rsidRPr="00F2272E">
        <w:rPr>
          <w:bCs/>
          <w:iCs/>
        </w:rPr>
        <w:t xml:space="preserve">која врши </w:t>
      </w:r>
      <w:r w:rsidR="00F2272E" w:rsidRPr="00F2272E">
        <w:t>избор и разрешење носилаца одређених функција (председника општине, чланова општинског већа, председника скупштине и других званичника) и именује секретара скупштине, правобраниоца, локалног омбудсмана и др. Скупштина одлучује о правима и дужностима функционера у име послодавца, доноси кадровски план истовремено са одлуком о буџету, доноси кодекс понашања службеника и намештеника</w:t>
      </w:r>
      <w:r w:rsidRPr="000F0299">
        <w:t xml:space="preserve">. </w:t>
      </w:r>
    </w:p>
    <w:p w14:paraId="13A098F9" w14:textId="23471D79" w:rsidR="003F3312" w:rsidRPr="000F0299" w:rsidRDefault="003F3312" w:rsidP="00244E7C">
      <w:r w:rsidRPr="000F0299">
        <w:t xml:space="preserve">- </w:t>
      </w:r>
      <w:r w:rsidRPr="000F0299">
        <w:rPr>
          <w:b/>
        </w:rPr>
        <w:t xml:space="preserve">Председник општине </w:t>
      </w:r>
      <w:r w:rsidRPr="000F0299">
        <w:t>је</w:t>
      </w:r>
      <w:r w:rsidR="00F2272E" w:rsidRPr="00F2272E">
        <w:t xml:space="preserve"> надлежан да у име послодавца закључује колективни уговор код послодавца, врши права и дужности у име послодавца за руководиоце који руководе службом или организацијом која се оснива у складу са посебним прописом, вреднује рад начелника управе и заменика начелника управе</w:t>
      </w:r>
      <w:r w:rsidR="00F2272E">
        <w:t>.</w:t>
      </w:r>
    </w:p>
    <w:p w14:paraId="13193245" w14:textId="75686B4F" w:rsidR="003F3312" w:rsidRPr="000F0299" w:rsidRDefault="003F3312" w:rsidP="00244E7C">
      <w:r w:rsidRPr="000F0299">
        <w:t xml:space="preserve">- </w:t>
      </w:r>
      <w:r w:rsidRPr="000F0299">
        <w:rPr>
          <w:b/>
        </w:rPr>
        <w:t>Општинско веће</w:t>
      </w:r>
      <w:r w:rsidRPr="000F0299">
        <w:rPr>
          <w:b/>
          <w:i/>
        </w:rPr>
        <w:t xml:space="preserve"> </w:t>
      </w:r>
      <w:r w:rsidR="00F2272E" w:rsidRPr="00F2272E">
        <w:rPr>
          <w:bCs/>
          <w:iCs/>
        </w:rPr>
        <w:t>поставља и разрешава начелника општинске управе, односно начелника управе за поједине области који су службеници на положају, надлежно је за постављење вршиоца дужности, доноси правилник о систематизацији, оглашава јавни конкурс за положаје и образује конкурсну комисију, образује жалбену комисију у ЈЛС</w:t>
      </w:r>
      <w:r w:rsidRPr="000F0299">
        <w:t>.</w:t>
      </w:r>
    </w:p>
    <w:p w14:paraId="48AA422E" w14:textId="64FE9E08" w:rsidR="003F3312" w:rsidRPr="000F0299" w:rsidRDefault="003F3312" w:rsidP="00244E7C">
      <w:r w:rsidRPr="000F0299">
        <w:t xml:space="preserve">- </w:t>
      </w:r>
      <w:r w:rsidRPr="000F0299">
        <w:rPr>
          <w:b/>
        </w:rPr>
        <w:t>О</w:t>
      </w:r>
      <w:r w:rsidRPr="000F0299">
        <w:rPr>
          <w:b/>
          <w:bCs/>
          <w:iCs/>
        </w:rPr>
        <w:t>пштинск</w:t>
      </w:r>
      <w:r w:rsidR="00F2272E">
        <w:rPr>
          <w:b/>
          <w:bCs/>
          <w:iCs/>
        </w:rPr>
        <w:t>а</w:t>
      </w:r>
      <w:r w:rsidRPr="000F0299">
        <w:rPr>
          <w:b/>
          <w:bCs/>
          <w:iCs/>
        </w:rPr>
        <w:t xml:space="preserve"> управа, </w:t>
      </w:r>
      <w:r w:rsidR="00F2272E" w:rsidRPr="00F2272E">
        <w:rPr>
          <w:bCs/>
          <w:iCs/>
        </w:rPr>
        <w:t>којом руководи начелник,</w:t>
      </w:r>
      <w:r w:rsidR="00F2272E" w:rsidRPr="00F2272E">
        <w:rPr>
          <w:b/>
          <w:bCs/>
          <w:iCs/>
        </w:rPr>
        <w:t xml:space="preserve"> </w:t>
      </w:r>
      <w:r w:rsidR="00F2272E" w:rsidRPr="00F2272E">
        <w:rPr>
          <w:bCs/>
          <w:iCs/>
        </w:rPr>
        <w:t>одлучује о правима и обавезама из радног односа службеника и намештеника у ЈЛС, руководи процесом утврђивања потреба и припремом извештаја о анализи потреба за стручним усавршавањем запослених у јединци локалне самоуправе, а затим и припремом посебног програма стручног усавршавања у јединици локалне самоуправе за календарску годину, који доноси и спроводи, припрема обједињен предлог правилника и доставља га већу на усвајање, именује конкурсну комисију, доноси решење о избору кандидата, обавља стручно-техничке и административне послове за жалбену комисију. У оквиру општинске управе образује се организациона јединица, односно одређује запослени који обавља послове УЉР за органе и орг</w:t>
      </w:r>
      <w:r w:rsidR="00135806">
        <w:rPr>
          <w:bCs/>
          <w:iCs/>
        </w:rPr>
        <w:t>а</w:t>
      </w:r>
      <w:r w:rsidR="00F2272E" w:rsidRPr="00F2272E">
        <w:rPr>
          <w:bCs/>
          <w:iCs/>
        </w:rPr>
        <w:t>низације у оквиру ЈЛС</w:t>
      </w:r>
      <w:r w:rsidR="00F2272E">
        <w:rPr>
          <w:bCs/>
          <w:iCs/>
        </w:rPr>
        <w:t>.</w:t>
      </w:r>
    </w:p>
    <w:p w14:paraId="46B9B2A1" w14:textId="4291E404" w:rsidR="003F3312" w:rsidRPr="000F0299" w:rsidRDefault="003F3312" w:rsidP="00244E7C">
      <w:r w:rsidRPr="000F0299">
        <w:t xml:space="preserve">- </w:t>
      </w:r>
      <w:r w:rsidRPr="000F0299">
        <w:rPr>
          <w:b/>
          <w:bCs/>
        </w:rPr>
        <w:t>Жалбена комисија</w:t>
      </w:r>
      <w:r w:rsidRPr="000F0299">
        <w:rPr>
          <w:b/>
          <w:i/>
        </w:rPr>
        <w:t xml:space="preserve"> </w:t>
      </w:r>
      <w:r w:rsidRPr="000F0299">
        <w:t xml:space="preserve">је колегијални орган који у другом степену одлучује о жалбама службеника на из радног односа. Жалбена комисија подноси извештај о свом раду </w:t>
      </w:r>
      <w:r w:rsidR="00F2272E">
        <w:t>в</w:t>
      </w:r>
      <w:r w:rsidRPr="000F0299">
        <w:t xml:space="preserve">ећу. </w:t>
      </w:r>
    </w:p>
    <w:p w14:paraId="655EDF37" w14:textId="36B55E90" w:rsidR="003F3312" w:rsidRPr="000F0299" w:rsidRDefault="003F3312" w:rsidP="00244E7C">
      <w:pPr>
        <w:rPr>
          <w:shd w:val="clear" w:color="auto" w:fill="FFFFFF"/>
        </w:rPr>
      </w:pPr>
      <w:r w:rsidRPr="000F0299">
        <w:t xml:space="preserve">- </w:t>
      </w:r>
      <w:r w:rsidRPr="000F0299">
        <w:rPr>
          <w:b/>
          <w:shd w:val="clear" w:color="auto" w:fill="FFFFFF"/>
        </w:rPr>
        <w:t xml:space="preserve">Управни инспекторат </w:t>
      </w:r>
      <w:r w:rsidR="00F2272E" w:rsidRPr="00F2272E">
        <w:rPr>
          <w:shd w:val="clear" w:color="auto" w:fill="FFFFFF"/>
        </w:rPr>
        <w:t>као орган у саставу МДУЛС преко Одељења управне инспекције обавља инспекцијски надзор над применом закона и других прописа у органима јединица локалне самоуправе који се односи нарочито на усклађеност унутрашње организације са законом, другим прописом и општим актом, законитост распоређивања, премештаја, преузимања и напредовања запослених и друга питања везана за радне односе</w:t>
      </w:r>
      <w:r w:rsidRPr="000F0299">
        <w:rPr>
          <w:shd w:val="clear" w:color="auto" w:fill="FFFFFF"/>
        </w:rPr>
        <w:t>.</w:t>
      </w:r>
    </w:p>
    <w:p w14:paraId="1BB23EAA" w14:textId="0E8BB878" w:rsidR="003F3312" w:rsidRPr="000F0299" w:rsidRDefault="003F3312" w:rsidP="00244E7C">
      <w:r w:rsidRPr="000F0299">
        <w:t xml:space="preserve">- </w:t>
      </w:r>
      <w:r w:rsidR="00F2272E" w:rsidRPr="00F2272E">
        <w:rPr>
          <w:b/>
        </w:rPr>
        <w:t xml:space="preserve">НАЈУ </w:t>
      </w:r>
      <w:r w:rsidR="00F2272E" w:rsidRPr="00F2272E">
        <w:t>од оснивања остварује надлежност и у области стручног усавршава</w:t>
      </w:r>
      <w:r w:rsidR="0015316D">
        <w:t>ња</w:t>
      </w:r>
      <w:r w:rsidR="00F2272E" w:rsidRPr="00F2272E">
        <w:t xml:space="preserve"> запослених у јединицама локалне самоуправе, између осталог, припремом и спровођењем општег програма обуке запослених у јединицама локалне самоуправе и програма обуке руководилаца у јединицама локалне самоуправе</w:t>
      </w:r>
      <w:r w:rsidR="00F2272E">
        <w:t>.</w:t>
      </w:r>
    </w:p>
    <w:p w14:paraId="201AB5EF" w14:textId="03CFF37A" w:rsidR="003F3312" w:rsidRPr="000F0299" w:rsidRDefault="003F3312" w:rsidP="00244E7C">
      <w:r w:rsidRPr="000F0299">
        <w:rPr>
          <w:b/>
        </w:rPr>
        <w:t xml:space="preserve">- Савет за стручно усавршавање запослених у јединицама локалне самоуправе </w:t>
      </w:r>
      <w:r w:rsidR="00F2272E" w:rsidRPr="00F2272E">
        <w:t>основала је Влада у циљу</w:t>
      </w:r>
      <w:r w:rsidR="00F2272E" w:rsidRPr="00F2272E">
        <w:rPr>
          <w:lang w:val="sr-Latn-RS"/>
        </w:rPr>
        <w:t xml:space="preserve"> </w:t>
      </w:r>
      <w:r w:rsidR="00F2272E" w:rsidRPr="00F2272E">
        <w:t>обезбеђења</w:t>
      </w:r>
      <w:r w:rsidR="00F2272E" w:rsidRPr="00F2272E">
        <w:rPr>
          <w:lang w:val="sr-Latn-RS"/>
        </w:rPr>
        <w:t xml:space="preserve"> </w:t>
      </w:r>
      <w:r w:rsidR="00F2272E" w:rsidRPr="00F2272E">
        <w:t>примене начела</w:t>
      </w:r>
      <w:r w:rsidR="00F2272E" w:rsidRPr="00F2272E">
        <w:rPr>
          <w:lang w:val="sr-Latn-RS"/>
        </w:rPr>
        <w:t xml:space="preserve"> </w:t>
      </w:r>
      <w:r w:rsidR="00F2272E" w:rsidRPr="00F2272E">
        <w:t>ефикасности</w:t>
      </w:r>
      <w:r w:rsidR="00F2272E" w:rsidRPr="00F2272E">
        <w:rPr>
          <w:lang w:val="sr-Latn-RS"/>
        </w:rPr>
        <w:t xml:space="preserve">, </w:t>
      </w:r>
      <w:r w:rsidR="00F2272E" w:rsidRPr="00F2272E">
        <w:t>правичности</w:t>
      </w:r>
      <w:r w:rsidR="00F2272E" w:rsidRPr="00F2272E">
        <w:rPr>
          <w:lang w:val="sr-Latn-RS"/>
        </w:rPr>
        <w:t xml:space="preserve"> </w:t>
      </w:r>
      <w:r w:rsidR="00F2272E" w:rsidRPr="00F2272E">
        <w:t>и</w:t>
      </w:r>
      <w:r w:rsidR="00F2272E" w:rsidRPr="00F2272E">
        <w:rPr>
          <w:lang w:val="sr-Latn-RS"/>
        </w:rPr>
        <w:t xml:space="preserve"> </w:t>
      </w:r>
      <w:r w:rsidR="00F2272E" w:rsidRPr="00F2272E">
        <w:t>целовитости</w:t>
      </w:r>
      <w:r w:rsidR="00F2272E" w:rsidRPr="00F2272E">
        <w:rPr>
          <w:lang w:val="sr-Latn-RS"/>
        </w:rPr>
        <w:t xml:space="preserve"> </w:t>
      </w:r>
      <w:r w:rsidR="00F2272E" w:rsidRPr="00F2272E">
        <w:t>система</w:t>
      </w:r>
      <w:r w:rsidR="00F2272E" w:rsidRPr="00F2272E">
        <w:rPr>
          <w:lang w:val="sr-Latn-RS"/>
        </w:rPr>
        <w:t xml:space="preserve"> </w:t>
      </w:r>
      <w:r w:rsidR="00F2272E" w:rsidRPr="00F2272E">
        <w:t>стручног</w:t>
      </w:r>
      <w:r w:rsidR="00F2272E" w:rsidRPr="00F2272E">
        <w:rPr>
          <w:lang w:val="sr-Latn-RS"/>
        </w:rPr>
        <w:t xml:space="preserve"> </w:t>
      </w:r>
      <w:r w:rsidR="00F2272E" w:rsidRPr="00F2272E">
        <w:t>усавршавања у јединицама локалне самоуправе, а ради давања стручних мишљења и препорука за његову примену и унапређење. Савет има осам чланова, од којих председника и три члана предлаже МДУЛС, а четири члана предлаже СКГО. Стручне и административно-техничке послове за потребе Савета обавља МДУЛС.</w:t>
      </w:r>
      <w:r w:rsidRPr="000F0299">
        <w:rPr>
          <w:rStyle w:val="FootnoteReference"/>
          <w:color w:val="000000"/>
        </w:rPr>
        <w:footnoteReference w:id="98"/>
      </w:r>
      <w:r w:rsidRPr="000F0299">
        <w:t xml:space="preserve"> </w:t>
      </w:r>
    </w:p>
    <w:p w14:paraId="3BC251D0" w14:textId="753D38C4" w:rsidR="003F3312" w:rsidRPr="000F0299" w:rsidRDefault="003F3312" w:rsidP="00244E7C">
      <w:r w:rsidRPr="000F0299">
        <w:t>ЈЛС</w:t>
      </w:r>
      <w:r w:rsidR="007B38F6" w:rsidRPr="003F3312">
        <w:t xml:space="preserve"> у вршењу послова </w:t>
      </w:r>
      <w:r w:rsidR="007B38F6">
        <w:t>УЉР</w:t>
      </w:r>
      <w:r w:rsidR="007B38F6" w:rsidRPr="003F3312">
        <w:t xml:space="preserve"> може остварити сарадњу са СУК-ом ради стручне помоћи у примени одредаба Закона о запосленима у </w:t>
      </w:r>
      <w:r w:rsidR="007B38F6">
        <w:t xml:space="preserve">АП и ЈЛС </w:t>
      </w:r>
      <w:r w:rsidR="007B38F6" w:rsidRPr="003F3312">
        <w:t xml:space="preserve">и других прописа који уређују УЉР у </w:t>
      </w:r>
      <w:r w:rsidR="007B38F6">
        <w:t>ЈЛС</w:t>
      </w:r>
      <w:r w:rsidRPr="000F0299">
        <w:t>.</w:t>
      </w:r>
    </w:p>
    <w:p w14:paraId="523562E0" w14:textId="23859650" w:rsidR="007B38F6" w:rsidRPr="008F36EC" w:rsidRDefault="003F3312" w:rsidP="007B38F6">
      <w:pPr>
        <w:rPr>
          <w:lang w:eastAsia="en-GB"/>
        </w:rPr>
      </w:pPr>
      <w:r w:rsidRPr="000F0299">
        <w:rPr>
          <w:b/>
          <w:bCs/>
          <w:shd w:val="clear" w:color="auto" w:fill="FFFFFF"/>
        </w:rPr>
        <w:t xml:space="preserve">На нивоу </w:t>
      </w:r>
      <w:r w:rsidR="007B38F6" w:rsidRPr="007B38F6">
        <w:rPr>
          <w:b/>
          <w:bCs/>
          <w:shd w:val="clear" w:color="auto" w:fill="FFFFFF"/>
        </w:rPr>
        <w:t xml:space="preserve">Аутономне Покрајине </w:t>
      </w:r>
      <w:r w:rsidRPr="000F0299">
        <w:rPr>
          <w:b/>
          <w:bCs/>
          <w:shd w:val="clear" w:color="auto" w:fill="FFFFFF"/>
        </w:rPr>
        <w:t xml:space="preserve">Војводине основана је </w:t>
      </w:r>
      <w:r w:rsidRPr="000F0299">
        <w:rPr>
          <w:b/>
          <w:bCs/>
          <w:lang w:eastAsia="en-GB"/>
        </w:rPr>
        <w:t>Служба за управљање људским ресурсима</w:t>
      </w:r>
      <w:r w:rsidRPr="000F0299">
        <w:rPr>
          <w:lang w:eastAsia="en-GB"/>
        </w:rPr>
        <w:t xml:space="preserve"> </w:t>
      </w:r>
      <w:r w:rsidR="007B38F6" w:rsidRPr="007B38F6">
        <w:rPr>
          <w:bCs/>
          <w:lang w:eastAsia="en-GB"/>
        </w:rPr>
        <w:t>(</w:t>
      </w:r>
      <w:r w:rsidR="007B38F6" w:rsidRPr="007B38F6">
        <w:rPr>
          <w:lang w:eastAsia="en-GB"/>
        </w:rPr>
        <w:t>„Службени лист АПВ”, број: 18/06, 3/12, 34/14). ради спровођења појединих циљева реформе и развоја покрајинске управе који су уређени Законом о запосленима у аутономним покрајинама и јединицама локалне самоуправе и Одлуком о Служби за управљање људским ресурсима („Службени лист АПВ” број: 65/16.). Та служба обавља стручне послове у вези са УЉР за потребе покрајинских органа управе (покрајински секретаријати и покрајинске посебне управне организације), Секретаријата Покрајинске владе, служби и управа које оснива Покрајинска влада. Служба за управљање људским ресурсима такође води кадровску евиденцију о запосленима и персонални досије запосленог и припрема Предлог кадровског плана и стара се о њ</w:t>
      </w:r>
      <w:r w:rsidR="00135806">
        <w:rPr>
          <w:lang w:eastAsia="en-GB"/>
        </w:rPr>
        <w:t>е</w:t>
      </w:r>
      <w:r w:rsidR="007B38F6" w:rsidRPr="007B38F6">
        <w:rPr>
          <w:lang w:eastAsia="en-GB"/>
        </w:rPr>
        <w:t xml:space="preserve">говом правилном спровођењу. Она оглашава конкурсе за попуну радних места и обавља стручно-техничке и административне послове за Жалбену комисију Аутономне Покрајине и обавља послове пријаве, промене и одјаве запослених за осигурања. Поред тога, Служба за управљање људским ресурсима утврђује потребе за стручним усавршавањем и оспособљавањем службеника у </w:t>
      </w:r>
      <w:r w:rsidR="007B38F6" w:rsidRPr="007B38F6">
        <w:rPr>
          <w:lang w:val="ru-RU" w:eastAsia="en-GB"/>
        </w:rPr>
        <w:t>покрајинским органима управе и стручним службама Покрајинске владе</w:t>
      </w:r>
      <w:r w:rsidR="007B38F6" w:rsidRPr="007B38F6">
        <w:rPr>
          <w:lang w:eastAsia="en-GB"/>
        </w:rPr>
        <w:t>, припрема, спроводи и вреднује програме стручног усавршавања које доноси Покрајинска влада, а обавља и друге послове од значајна за стручно усавршавање службеника у овим органима (</w:t>
      </w:r>
      <w:r w:rsidR="007B38F6" w:rsidRPr="007B38F6">
        <w:rPr>
          <w:lang w:val="sr-Latn-RS" w:eastAsia="en-GB"/>
        </w:rPr>
        <w:t>„Службени лист АПВ”, број 12/2019.</w:t>
      </w:r>
      <w:r w:rsidR="007B38F6" w:rsidRPr="007B38F6">
        <w:rPr>
          <w:lang w:eastAsia="en-GB"/>
        </w:rPr>
        <w:t>).</w:t>
      </w:r>
    </w:p>
    <w:p w14:paraId="651F1373" w14:textId="77777777" w:rsidR="007B38F6" w:rsidRPr="007B38F6" w:rsidRDefault="007B38F6" w:rsidP="007B38F6">
      <w:pPr>
        <w:rPr>
          <w:lang w:eastAsia="en-GB"/>
        </w:rPr>
      </w:pPr>
      <w:r w:rsidRPr="007B38F6">
        <w:rPr>
          <w:lang w:eastAsia="en-GB"/>
        </w:rPr>
        <w:t xml:space="preserve">У складу са опредељењем из закона којим се уређује рад јавних агенција, </w:t>
      </w:r>
      <w:r w:rsidRPr="007B38F6">
        <w:rPr>
          <w:b/>
          <w:bCs/>
          <w:lang w:eastAsia="en-GB"/>
        </w:rPr>
        <w:t>послови УЉР организују се у јавним агенцијама кроз посебне организационе јединице</w:t>
      </w:r>
      <w:r w:rsidRPr="007B38F6">
        <w:rPr>
          <w:lang w:eastAsia="en-GB"/>
        </w:rPr>
        <w:t>, а о правима обавезама и одговорностима запослених одлучује директор или лице које он овласти. Улога управног одбора се огледа кроз доношење аката чија се садржина односи на правилнике о раду, финансијске планове и планове рада, а улога оснивача кроз сагласности на те акте. Такође оснивач поставља и разрешава директора и чланове управног одбора.</w:t>
      </w:r>
    </w:p>
    <w:p w14:paraId="743A0814" w14:textId="77777777" w:rsidR="007B38F6" w:rsidRPr="007B38F6" w:rsidRDefault="007B38F6" w:rsidP="007B38F6">
      <w:pPr>
        <w:rPr>
          <w:lang w:eastAsia="en-GB"/>
        </w:rPr>
      </w:pPr>
      <w:r w:rsidRPr="007B38F6">
        <w:rPr>
          <w:b/>
          <w:bCs/>
          <w:lang w:eastAsia="en-GB"/>
        </w:rPr>
        <w:t>Организација функције УЉР у јавним службама</w:t>
      </w:r>
      <w:r w:rsidRPr="007B38F6">
        <w:rPr>
          <w:lang w:eastAsia="en-GB"/>
        </w:rPr>
        <w:t xml:space="preserve"> је у надлежности ресорних министарстава и неће бити предмет ове стратегије, већ стратешких докумената којима се уређује обављање и организовање одређених делатности.</w:t>
      </w:r>
    </w:p>
    <w:p w14:paraId="3D264EAA" w14:textId="77777777" w:rsidR="003F3312" w:rsidRPr="000F0299" w:rsidRDefault="003F3312" w:rsidP="00C013C7">
      <w:pPr>
        <w:pStyle w:val="Heading4"/>
        <w:rPr>
          <w:lang w:val="sr-Cyrl-RS"/>
        </w:rPr>
      </w:pPr>
      <w:r w:rsidRPr="000F0299">
        <w:rPr>
          <w:lang w:val="sr-Cyrl-RS"/>
        </w:rPr>
        <w:t>Резултати и изазови</w:t>
      </w:r>
    </w:p>
    <w:p w14:paraId="01A4B6A3" w14:textId="77777777" w:rsidR="003F3312" w:rsidRPr="000F0299" w:rsidRDefault="003F3312" w:rsidP="00244E7C">
      <w:r w:rsidRPr="000F0299">
        <w:t>У току спровођења Стратегије РЈУ од 2014. до 2020. године, у циљу успостављања усклађеног јавно-службеничког система заснованог на заслугама, а у складу са пратећим акционим планом, дошло је до значајне измене и имплементације нормативног оквира којим се уређује службенички систем на свим нивоима власти.</w:t>
      </w:r>
    </w:p>
    <w:p w14:paraId="667581A2" w14:textId="5DC5AD6C" w:rsidR="007B38F6" w:rsidRPr="007B38F6" w:rsidRDefault="003F3312" w:rsidP="007B38F6">
      <w:r w:rsidRPr="000F0299">
        <w:rPr>
          <w:rStyle w:val="Heading4Char"/>
          <w:rFonts w:cs="Times New Roman"/>
          <w:b/>
          <w:i w:val="0"/>
          <w:iCs w:val="0"/>
          <w:color w:val="auto"/>
          <w:u w:val="single"/>
          <w:lang w:val="sr-Cyrl-RS"/>
        </w:rPr>
        <w:t>Оквир компетенција</w:t>
      </w:r>
      <w:r w:rsidR="00871CBF">
        <w:rPr>
          <w:rStyle w:val="Heading4Char"/>
          <w:rFonts w:cs="Times New Roman"/>
          <w:b/>
          <w:i w:val="0"/>
          <w:iCs w:val="0"/>
          <w:color w:val="auto"/>
          <w:u w:val="single"/>
          <w:lang w:val="sr-Cyrl-RS"/>
        </w:rPr>
        <w:t xml:space="preserve"> </w:t>
      </w:r>
      <w:r w:rsidRPr="000F0299">
        <w:rPr>
          <w:b/>
        </w:rPr>
        <w:t>–</w:t>
      </w:r>
      <w:r w:rsidR="00871CBF">
        <w:rPr>
          <w:b/>
        </w:rPr>
        <w:t xml:space="preserve"> </w:t>
      </w:r>
      <w:r w:rsidR="007B38F6" w:rsidRPr="007B38F6">
        <w:t xml:space="preserve">Од почетка 2019. године </w:t>
      </w:r>
      <w:r w:rsidR="007B38F6" w:rsidRPr="007B38F6">
        <w:rPr>
          <w:b/>
          <w:bCs/>
        </w:rPr>
        <w:t>уведене су компетенције у све области УЉР у државним органима</w:t>
      </w:r>
      <w:r w:rsidR="007B38F6" w:rsidRPr="007B38F6">
        <w:t>. Рад на креирању оквира вредности којима тежи савремена државна управа у Републици Србији и оквира компетенција започео је током 2017. године уз пројектну подршку Немачке организације за међународну сарадњу – ГИЗ</w:t>
      </w:r>
      <w:r w:rsidR="007B38F6" w:rsidRPr="007B38F6">
        <w:rPr>
          <w:vertAlign w:val="superscript"/>
        </w:rPr>
        <w:footnoteReference w:id="99"/>
      </w:r>
      <w:r w:rsidR="007B38F6" w:rsidRPr="007B38F6">
        <w:t xml:space="preserve"> и прошао је значајан консултативни процес.</w:t>
      </w:r>
      <w:r w:rsidR="007B38F6" w:rsidRPr="007B38F6">
        <w:rPr>
          <w:vertAlign w:val="superscript"/>
        </w:rPr>
        <w:footnoteReference w:id="100"/>
      </w:r>
      <w:r w:rsidR="007B38F6" w:rsidRPr="007B38F6">
        <w:t xml:space="preserve"> По први пут у једном документу, на основу планског и нормативног оквира и реформских тенденција, даје се </w:t>
      </w:r>
      <w:r w:rsidR="007B38F6" w:rsidRPr="007B38F6">
        <w:rPr>
          <w:b/>
        </w:rPr>
        <w:t>десет кључних вредности рада јавне управе</w:t>
      </w:r>
      <w:r w:rsidR="007B38F6" w:rsidRPr="007B38F6">
        <w:t xml:space="preserve"> као стање којем треба да теже јавна управа у целини, њени органи и запослени и да усмеравају своје активности и понашање (остваривање јавног интереса, јачање законитости и правне сигурности, развој доброг управљања, снажна посвећеност примени етичких стандарда, јачање одговорног обављања послова од јавног значаја и др.). Наведене вредности постале су полазна основа за утврђивање Оквира компетенција Уредбом о </w:t>
      </w:r>
      <w:r w:rsidR="007B38F6" w:rsidRPr="007B38F6">
        <w:rPr>
          <w:lang w:val="en-US"/>
        </w:rPr>
        <w:t>o</w:t>
      </w:r>
      <w:r w:rsidR="007B38F6" w:rsidRPr="007B38F6">
        <w:t>дређивању компетенција за рад државних службеника (</w:t>
      </w:r>
      <w:r w:rsidR="00871CBF" w:rsidRPr="007B38F6">
        <w:t>„</w:t>
      </w:r>
      <w:r w:rsidR="00871CBF" w:rsidRPr="00871CBF">
        <w:t xml:space="preserve">Службени гласник РС”, </w:t>
      </w:r>
      <w:r w:rsidR="00E92E01">
        <w:t>број</w:t>
      </w:r>
      <w:r w:rsidR="00871CBF" w:rsidRPr="00871CBF">
        <w:t xml:space="preserve"> 4</w:t>
      </w:r>
      <w:r w:rsidR="00871CBF">
        <w:t>/19)</w:t>
      </w:r>
      <w:r w:rsidR="00871CBF" w:rsidRPr="007B38F6">
        <w:t xml:space="preserve"> </w:t>
      </w:r>
      <w:r w:rsidR="007B38F6" w:rsidRPr="007B38F6">
        <w:t>(у даљем тексту</w:t>
      </w:r>
      <w:r w:rsidR="007179A3">
        <w:t>:</w:t>
      </w:r>
      <w:r w:rsidR="007B38F6" w:rsidRPr="007B38F6">
        <w:t xml:space="preserve"> Уредба)</w:t>
      </w:r>
      <w:r w:rsidR="007B38F6" w:rsidRPr="007B38F6">
        <w:rPr>
          <w:vertAlign w:val="superscript"/>
        </w:rPr>
        <w:footnoteReference w:id="101"/>
      </w:r>
      <w:r w:rsidR="007B38F6" w:rsidRPr="007B38F6">
        <w:t xml:space="preserve"> и у одређеном делу се дају кроз Кодекс понашања државних службеника („Службени гласник РС”, </w:t>
      </w:r>
      <w:r w:rsidR="00E92E01">
        <w:t>број</w:t>
      </w:r>
      <w:r w:rsidR="007B38F6" w:rsidRPr="007B38F6">
        <w:t xml:space="preserve"> 29/08, 30/15, 20/18, 42/18, 80/19, 32/20.), који за државну управу уређује правила етичког понашања, утврђује стандарде интегритета и правила понашања државних службеника и даје смернице за обавештавање јавности о понашању које има право да очекује од државних службеника.</w:t>
      </w:r>
    </w:p>
    <w:p w14:paraId="44FB03F2" w14:textId="77777777" w:rsidR="007B38F6" w:rsidRPr="007B38F6" w:rsidRDefault="007B38F6" w:rsidP="007B38F6">
      <w:r w:rsidRPr="007B38F6">
        <w:t xml:space="preserve">Међутим, </w:t>
      </w:r>
      <w:r w:rsidRPr="007B38F6">
        <w:rPr>
          <w:b/>
          <w:bCs/>
        </w:rPr>
        <w:t>концепт организационе културе суштински није уочен</w:t>
      </w:r>
      <w:r w:rsidRPr="007B38F6">
        <w:t xml:space="preserve"> у органима државне управе. С обзиром да вредности рада јавне управе, компетенције утврђене као очекивани модели радног понашања државних службеника и усвојен етички кодекс представљају сасвим довољан основ да се започне са промовисањем концепта организационе културе у државној управи, односно са креирањем организационе културе у органима, будуће активности органа треба усмерити у том правцу. У том процесу кључну улогу треба да преузму јединице за УЉР, чије активности треба да представљају континуиран рад на креирању модела радног понашања који наглашава значај личне одговорности, препознавања професионалне улоге државних службеника и улоге у оквиру организације како би се омогућила максимална ефикасност организације и избегли и отклонили развоји нежељеног понашања који су последица рада у срединама где се аспекти организационе културе не виде као битан део УЉР.</w:t>
      </w:r>
    </w:p>
    <w:p w14:paraId="6CD34635" w14:textId="7615F910" w:rsidR="007B38F6" w:rsidRPr="007B38F6" w:rsidRDefault="007B38F6" w:rsidP="007B38F6">
      <w:r w:rsidRPr="007B38F6">
        <w:t xml:space="preserve">Законом о државним службеницима и Уредбом су за све државне службенике уведене као обавезне </w:t>
      </w:r>
      <w:r w:rsidRPr="007B38F6">
        <w:rPr>
          <w:b/>
          <w:bCs/>
        </w:rPr>
        <w:t>понашајне (бихевиоралне) и опште функционалне компетенције</w:t>
      </w:r>
      <w:r w:rsidRPr="007B38F6">
        <w:t xml:space="preserve">, а </w:t>
      </w:r>
      <w:r w:rsidRPr="007B38F6">
        <w:rPr>
          <w:b/>
        </w:rPr>
        <w:t>п</w:t>
      </w:r>
      <w:r w:rsidRPr="007B38F6">
        <w:rPr>
          <w:b/>
          <w:bCs/>
        </w:rPr>
        <w:t>осебне функционалне компетенције</w:t>
      </w:r>
      <w:r w:rsidRPr="007B38F6">
        <w:t xml:space="preserve"> су обавезне за службенике који обављају одређене групе послова. Уредбом се ближе одређују понашајне и опште функционалне компетенције и показатељи њиховог испољавања, као и посебне функционалне компетенције у одређеној области рада, начин њиховог одређивања и показатељи њиховог испољавања и дају смернице и упутства органима на који начин се сагледају и утврде компетенције за свако радно место. Такође, остављен је простор да се одлукама руководилаца органа уведу посебне функционалне компетенције за одређену област рада. </w:t>
      </w:r>
    </w:p>
    <w:p w14:paraId="003963A8" w14:textId="77777777" w:rsidR="007B38F6" w:rsidRPr="007B38F6" w:rsidRDefault="007B38F6" w:rsidP="007B38F6">
      <w:r w:rsidRPr="007B38F6">
        <w:t xml:space="preserve">Прва анализа о примени оквира компетенција у правилницима о унутрашњем уређењу и систематизацији радних места у органима државне управе израђена у мају 2020. године, показала је да је </w:t>
      </w:r>
      <w:r w:rsidRPr="007B38F6">
        <w:rPr>
          <w:b/>
          <w:bCs/>
        </w:rPr>
        <w:t>91% органа државне управе ускладило своје акте о систематизацији са усвојеним Оквиром компетенција</w:t>
      </w:r>
      <w:r w:rsidRPr="007B38F6">
        <w:t xml:space="preserve">, док то није урадило седам органа (9%). Шест органа је, поред постојећих компетенција, донело своје одлуке о посебним функционалним компетенцијама за одређене области рада, чиме је побољшан постојећи оквир. </w:t>
      </w:r>
    </w:p>
    <w:p w14:paraId="43114BA0" w14:textId="34B0D602" w:rsidR="003F3312" w:rsidRPr="000F0299" w:rsidRDefault="007B38F6" w:rsidP="007B38F6">
      <w:r w:rsidRPr="007B38F6">
        <w:t>Процес усклађивања акта о унутрашњој организацији и систематизацији радних места органа државне управе показао је, да поред обука и интензивних консултација које је СУК вршила са запосленима у кадровским јединицама, постоји потреба да се боље разуме значај и начин да се правилно одреде потребне компетенције за рад на радном месту. Такође, иако је овај процес био прилика да органи преиспитају оправданост постојања одређених радних места и описе послова тог радног места, многи органи треба том процесу да приступе темељније иако нема довољно кадровског и стручног потенцијала. Пракса је показала да постоји простор да се побољша опис послова и њихово разврставање, као и потреба да се појачају капацитети јединица за УЉР у том делу</w:t>
      </w:r>
      <w:r w:rsidR="003F3312" w:rsidRPr="000F0299">
        <w:t xml:space="preserve">. </w:t>
      </w:r>
    </w:p>
    <w:p w14:paraId="66C0F38B" w14:textId="77777777" w:rsidR="002E5781" w:rsidRPr="000F0299" w:rsidRDefault="003F3312" w:rsidP="00244E7C">
      <w:pPr>
        <w:pStyle w:val="BodyText"/>
        <w:rPr>
          <w:lang w:val="sr-Cyrl-RS"/>
        </w:rPr>
      </w:pPr>
      <w:r w:rsidRPr="000F0299">
        <w:rPr>
          <w:noProof/>
          <w:lang w:eastAsia="en-US" w:bidi="ar-SA"/>
        </w:rPr>
        <w:drawing>
          <wp:inline distT="0" distB="0" distL="0" distR="0" wp14:anchorId="305A3246" wp14:editId="2206712F">
            <wp:extent cx="5897880" cy="2994660"/>
            <wp:effectExtent l="0" t="0" r="7620" b="0"/>
            <wp:docPr id="64" name="Chart 64">
              <a:extLst xmlns:a="http://schemas.openxmlformats.org/drawingml/2006/main">
                <a:ext uri="{FF2B5EF4-FFF2-40B4-BE49-F238E27FC236}">
                  <a16:creationId xmlns:a16="http://schemas.microsoft.com/office/drawing/2014/main" id="{42F31796-5D6B-4CB0-8A53-A743BAA48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CFEFCB6" w14:textId="6533A912" w:rsidR="003F3312" w:rsidRPr="009F44BF" w:rsidRDefault="009F44BF" w:rsidP="009F44BF">
      <w:pPr>
        <w:pStyle w:val="Caption"/>
        <w:rPr>
          <w:i w:val="0"/>
          <w:iCs w:val="0"/>
          <w:lang w:val="sr-Cyrl-RS"/>
        </w:rPr>
      </w:pPr>
      <w:bookmarkStart w:id="127" w:name="_Toc57665349"/>
      <w:r w:rsidRPr="00B774F7">
        <w:rPr>
          <w:i w:val="0"/>
          <w:iCs w:val="0"/>
          <w:lang w:val="sr-Cyrl-RS"/>
        </w:rPr>
        <w:t xml:space="preserve">Графикон </w:t>
      </w:r>
      <w:r w:rsidRPr="009F44BF">
        <w:rPr>
          <w:i w:val="0"/>
          <w:iCs w:val="0"/>
        </w:rPr>
        <w:fldChar w:fldCharType="begin"/>
      </w:r>
      <w:r w:rsidRPr="00B774F7">
        <w:rPr>
          <w:i w:val="0"/>
          <w:iCs w:val="0"/>
          <w:lang w:val="sr-Cyrl-RS"/>
        </w:rPr>
        <w:instrText xml:space="preserve"> </w:instrText>
      </w:r>
      <w:r w:rsidRPr="009F44BF">
        <w:rPr>
          <w:i w:val="0"/>
          <w:iCs w:val="0"/>
        </w:rPr>
        <w:instrText>SEQ</w:instrText>
      </w:r>
      <w:r w:rsidRPr="00B774F7">
        <w:rPr>
          <w:i w:val="0"/>
          <w:iCs w:val="0"/>
          <w:lang w:val="sr-Cyrl-RS"/>
        </w:rPr>
        <w:instrText xml:space="preserve"> Графикон \* </w:instrText>
      </w:r>
      <w:r w:rsidRPr="009F44BF">
        <w:rPr>
          <w:i w:val="0"/>
          <w:iCs w:val="0"/>
        </w:rPr>
        <w:instrText>ARABIC</w:instrText>
      </w:r>
      <w:r w:rsidRPr="00B774F7">
        <w:rPr>
          <w:i w:val="0"/>
          <w:iCs w:val="0"/>
          <w:lang w:val="sr-Cyrl-RS"/>
        </w:rPr>
        <w:instrText xml:space="preserve"> </w:instrText>
      </w:r>
      <w:r w:rsidRPr="009F44BF">
        <w:rPr>
          <w:i w:val="0"/>
          <w:iCs w:val="0"/>
        </w:rPr>
        <w:fldChar w:fldCharType="separate"/>
      </w:r>
      <w:r w:rsidR="00BB48C1" w:rsidRPr="004546E7">
        <w:rPr>
          <w:i w:val="0"/>
          <w:iCs w:val="0"/>
          <w:noProof/>
          <w:lang w:val="sr-Cyrl-RS"/>
        </w:rPr>
        <w:t>13</w:t>
      </w:r>
      <w:r w:rsidRPr="009F44BF">
        <w:rPr>
          <w:i w:val="0"/>
          <w:iCs w:val="0"/>
        </w:rPr>
        <w:fldChar w:fldCharType="end"/>
      </w:r>
      <w:r w:rsidR="002E5781" w:rsidRPr="009F44BF">
        <w:rPr>
          <w:i w:val="0"/>
          <w:iCs w:val="0"/>
          <w:kern w:val="0"/>
          <w:lang w:val="sr-Cyrl-RS" w:eastAsia="en-US" w:bidi="ar-SA"/>
        </w:rPr>
        <w:t xml:space="preserve"> Заступљеност ПФК по радним местима</w:t>
      </w:r>
      <w:r w:rsidR="002E5781" w:rsidRPr="009F44BF">
        <w:rPr>
          <w:rStyle w:val="FootnoteReference"/>
          <w:i w:val="0"/>
          <w:iCs w:val="0"/>
          <w:lang w:val="sr-Cyrl-RS"/>
        </w:rPr>
        <w:footnoteReference w:id="102"/>
      </w:r>
      <w:bookmarkEnd w:id="127"/>
    </w:p>
    <w:p w14:paraId="2A14A4B6" w14:textId="77777777" w:rsidR="00390E82" w:rsidRPr="00390E82" w:rsidRDefault="00390E82" w:rsidP="00390E82">
      <w:r w:rsidRPr="00390E82">
        <w:t xml:space="preserve">Анализа показује да је </w:t>
      </w:r>
      <w:r w:rsidRPr="00390E82">
        <w:rPr>
          <w:b/>
          <w:bCs/>
        </w:rPr>
        <w:t>најзаступљенија посебна функционална компетенција за област рада студијско-аналитички послови.</w:t>
      </w:r>
      <w:r w:rsidRPr="00390E82">
        <w:t xml:space="preserve"> Међутим, детаљна анализа показала је својеврсну недоследност у начину одређивања те компетенције као неопходне за рад на конкретном радном месту јер су органи ту компетенцију везивали најчешће за једну или две области знања и вештина (нпр. прикупљање и обраду информација), што није довољно да се закључи да је та компетенција потребна да би се делотворно обављао послове. Досадашње искуство у примени указује да је </w:t>
      </w:r>
      <w:r w:rsidRPr="00390E82">
        <w:rPr>
          <w:b/>
          <w:bCs/>
        </w:rPr>
        <w:t>неопходно унапредити програме обука и интензивно јачати капацитете аналитичара посла и руководилаца за правилно одређивање компетенција</w:t>
      </w:r>
      <w:r w:rsidRPr="00390E82">
        <w:t xml:space="preserve">. </w:t>
      </w:r>
    </w:p>
    <w:p w14:paraId="74FF9143" w14:textId="77777777" w:rsidR="00390E82" w:rsidRPr="00390E82" w:rsidRDefault="00390E82" w:rsidP="00390E82">
      <w:r w:rsidRPr="00390E82">
        <w:t xml:space="preserve">Такође, након одређеног периода спровођења Оквира компетенција у пракси, потребно је детаљно анализирати његову примену у свим областима функције УЉР и утврдити евентуалне слабости и могућности за његово унапређење и модернизацију. Подаци из спроведене такве анализе говоре у прилог томе да је неопходно даље развијати и показатеље посебних функционалних компетенција за различите нивое експертизе (нпр. оперативни, стручни и руководећи/стратешки ниво), што би у значајној мери допринело већој дискриминативности оквира компетенција за послове радних места разврстаних у различита звања у нашем службеничком систему. </w:t>
      </w:r>
    </w:p>
    <w:p w14:paraId="0B74AB8F" w14:textId="4171FE42" w:rsidR="00390E82" w:rsidRPr="00390E82" w:rsidRDefault="00390E82" w:rsidP="00390E82">
      <w:r w:rsidRPr="00390E82">
        <w:t xml:space="preserve">Значајан напредак представља увођење компетенције која се односи на </w:t>
      </w:r>
      <w:r w:rsidRPr="00390E82">
        <w:rPr>
          <w:b/>
          <w:bCs/>
        </w:rPr>
        <w:t>дигиталну писменост</w:t>
      </w:r>
      <w:r w:rsidRPr="00390E82">
        <w:t xml:space="preserve"> као обавезне компетенције за све државне службенике. Та компетенција је уведена на њеном базичном нивоу имајући у виду процену затеченог нивоа дигиталне писмености државних службеника. Међутим, показује се да дигиталне вештине нису само значајне већ и неопходне у савременом технолошком окружењу или услед појаве специфичних околности, као што </w:t>
      </w:r>
      <w:r w:rsidR="00AC60BF">
        <w:t xml:space="preserve">је </w:t>
      </w:r>
      <w:r w:rsidRPr="00390E82">
        <w:t xml:space="preserve">пандемија </w:t>
      </w:r>
      <w:r w:rsidRPr="00390E82">
        <w:rPr>
          <w:iCs/>
        </w:rPr>
        <w:t>ковид-19,</w:t>
      </w:r>
      <w:r w:rsidRPr="00390E82">
        <w:t xml:space="preserve"> која је током 2020. године условила рад управе од куће. Ниво поседовања </w:t>
      </w:r>
      <w:r w:rsidRPr="00390E82">
        <w:rPr>
          <w:b/>
          <w:bCs/>
        </w:rPr>
        <w:t>дигиталне компетенције</w:t>
      </w:r>
      <w:r w:rsidRPr="00390E82">
        <w:t xml:space="preserve"> државних службеника, између осталог, зависи од учесталости похађања обука, као и прилагођености обука савременим изазовима. Главни изазови са којим </w:t>
      </w:r>
      <w:r w:rsidR="007179A3">
        <w:t xml:space="preserve">су </w:t>
      </w:r>
      <w:r w:rsidRPr="00390E82">
        <w:t xml:space="preserve">се суочавали државни органи и државни службеници јесу </w:t>
      </w:r>
      <w:r w:rsidRPr="00390E82">
        <w:rPr>
          <w:b/>
          <w:bCs/>
        </w:rPr>
        <w:t>ниско знање и вештине државних службеника у коришћењу ИКТ и непостојање стандардизованих начина комуникације кроз систем</w:t>
      </w:r>
      <w:r w:rsidRPr="00390E82">
        <w:t xml:space="preserve">. Период пандемије глобалних размера показао је као јединствена прилика да се искористе промене, а посебно у делу технолошки побољшаних процеса управљања људима, као што су регрутовање и обука. </w:t>
      </w:r>
    </w:p>
    <w:p w14:paraId="15E635F0" w14:textId="77777777" w:rsidR="00390E82" w:rsidRPr="00390E82" w:rsidRDefault="00390E82" w:rsidP="00390E82">
      <w:r w:rsidRPr="00390E82">
        <w:t>Такође, целокупан контекст компетенција се може боље разумети ако се допуни односом између компетенција предвиђених Уредбом и захтева које поједине области знања и вештина подразумевају и описа вештина, техника и алата које државни службеници треба да користе, чиме би се постигао бољи увид у оно што се очекује од службеника и који ниво вештина је потребан за рад на одређеним пословима.</w:t>
      </w:r>
      <w:r w:rsidRPr="00390E82">
        <w:rPr>
          <w:vertAlign w:val="superscript"/>
        </w:rPr>
        <w:footnoteReference w:id="103"/>
      </w:r>
      <w:r w:rsidRPr="00390E82">
        <w:t xml:space="preserve"> </w:t>
      </w:r>
    </w:p>
    <w:p w14:paraId="3BAFF960" w14:textId="77777777" w:rsidR="00390E82" w:rsidRPr="00390E82" w:rsidRDefault="00390E82" w:rsidP="00390E82">
      <w:r w:rsidRPr="00390E82">
        <w:t xml:space="preserve">На </w:t>
      </w:r>
      <w:r w:rsidRPr="00390E82">
        <w:rPr>
          <w:b/>
          <w:bCs/>
        </w:rPr>
        <w:t>државне службенике на положају</w:t>
      </w:r>
      <w:r w:rsidRPr="00390E82">
        <w:t xml:space="preserve"> примењују се исте компетенције као и за остале државне службенике, с тим што су прописане и две додатне понашајне компетенције које се односе на стратешко управљање и УЉР. Имајући у виду да се ради о посебној категорији државних службеника, чији су статус, улога и одговорности знатно другачији од статуса, улоге и одговорности других службеника</w:t>
      </w:r>
      <w:r w:rsidRPr="00390E82">
        <w:rPr>
          <w:bCs/>
        </w:rPr>
        <w:t>,</w:t>
      </w:r>
      <w:r w:rsidRPr="00390E82">
        <w:rPr>
          <w:b/>
          <w:bCs/>
        </w:rPr>
        <w:t xml:space="preserve"> потребно је даље развити посебан оквира компетенција за ту категорију службеника </w:t>
      </w:r>
      <w:r w:rsidRPr="00390E82">
        <w:rPr>
          <w:bCs/>
        </w:rPr>
        <w:t>и</w:t>
      </w:r>
      <w:r w:rsidRPr="00390E82">
        <w:t xml:space="preserve"> много јасније комуницирати о очекивањима које систем има од њих. Уз анализе компетенција које су унете у акте о систематизацији за положаје, произлази да је потребно даље развијати оквир компетенција за државне службенике на положају са циљем да он у већој мери кореспондира са њиховим специфичностима. </w:t>
      </w:r>
    </w:p>
    <w:p w14:paraId="68FEB2C3" w14:textId="77777777" w:rsidR="00390E82" w:rsidRPr="00390E82" w:rsidRDefault="00390E82" w:rsidP="00390E82">
      <w:r w:rsidRPr="00390E82">
        <w:t xml:space="preserve">Поред Закона о државним службеницима, систем компетенција је 2016. године Законом о полицији уведен у функцију УЉР у МУП-у, где су компетенције постале критеријум на основу кога се врши избор, оцењивање, развој и напредовање запослених. Донет је Правилник о компетенцијама за запослене у Министарству унутрашњих послова („Службени гласник РС”, број 52/16.), којим се ближе одређују компетенције за запослене у МУП-у. </w:t>
      </w:r>
    </w:p>
    <w:p w14:paraId="0E1CC958" w14:textId="77777777" w:rsidR="00390E82" w:rsidRPr="00390E82" w:rsidRDefault="00390E82" w:rsidP="00390E82">
      <w:r w:rsidRPr="00390E82">
        <w:rPr>
          <w:b/>
          <w:iCs/>
        </w:rPr>
        <w:t>У</w:t>
      </w:r>
      <w:r w:rsidRPr="00390E82">
        <w:rPr>
          <w:b/>
        </w:rPr>
        <w:t>вођење компетенција за службенике локалне управе</w:t>
      </w:r>
      <w:r w:rsidRPr="00390E82">
        <w:rPr>
          <w:bCs/>
        </w:rPr>
        <w:t xml:space="preserve"> још је у раној фази разматрања. </w:t>
      </w:r>
      <w:r w:rsidRPr="00390E82">
        <w:t xml:space="preserve">Крајем 2019. године спроведена је анализа применљивости система компетенција на државном нивоу на органе АП и ЈЛС, на основу којег је утврђено да се оквир компетенција може применити на локалном нивоу власти уз одређена прилагођавања потребама тих органа и њиховим надлежностима. Стога је развој оквира компетенција за запослене у АП и ЈЛС један од кључних корака у даљој реформи у тој области, при чему је потребно успоставити адекватан однос у спровођењу оквира са капацитетима и налазима о стању УЉР у тим органима власти. </w:t>
      </w:r>
    </w:p>
    <w:p w14:paraId="28569AB3" w14:textId="0164FB08" w:rsidR="003F3312" w:rsidRPr="000F0299" w:rsidRDefault="00390E82" w:rsidP="00390E82">
      <w:r w:rsidRPr="00390E82">
        <w:rPr>
          <w:b/>
          <w:bCs/>
        </w:rPr>
        <w:t>Компетенције као посебан концепт нису уграђене у УЉР у јавним агенцијама</w:t>
      </w:r>
      <w:r w:rsidRPr="00390E82">
        <w:t xml:space="preserve"> на начин на који је то урађено у државнослужбеничком систему, али постојећи нормативни оквир није сметња да се потребна знања, способности и вештине запослених за обављање послова предвиде кроз акте које јавне агенције доносе. Након детаљније анализе о стању УЉР у јавним агенцијама, потребно је донети одлуку о унапређењу у овој области</w:t>
      </w:r>
      <w:r w:rsidR="003F3312" w:rsidRPr="000F0299">
        <w:t>.</w:t>
      </w:r>
      <w:r w:rsidR="00CC27EF" w:rsidRPr="000F0299">
        <w:t xml:space="preserve"> </w:t>
      </w:r>
    </w:p>
    <w:p w14:paraId="137F8AC9" w14:textId="1A218DA0" w:rsidR="00390E82" w:rsidRPr="00390E82" w:rsidRDefault="003F3312" w:rsidP="00390E82">
      <w:r w:rsidRPr="000F0299">
        <w:rPr>
          <w:b/>
          <w:bCs/>
          <w:iCs/>
          <w:u w:val="single"/>
        </w:rPr>
        <w:t>Планирање људских ресурса</w:t>
      </w:r>
      <w:r w:rsidR="00390E82">
        <w:rPr>
          <w:b/>
          <w:bCs/>
          <w:iCs/>
          <w:u w:val="single"/>
        </w:rPr>
        <w:t xml:space="preserve"> </w:t>
      </w:r>
      <w:r w:rsidRPr="00390E82">
        <w:rPr>
          <w:iCs/>
        </w:rPr>
        <w:t>–</w:t>
      </w:r>
      <w:r w:rsidR="00390E82" w:rsidRPr="00390E82">
        <w:rPr>
          <w:iCs/>
        </w:rPr>
        <w:t xml:space="preserve"> </w:t>
      </w:r>
      <w:r w:rsidR="00390E82" w:rsidRPr="00390E82">
        <w:t xml:space="preserve">Иако је Оквир компетенција успостављен од 2019. године, нормативни оквир за кадровско планирање у државним органима није битно измењен зато што је у периоду до 2019. године значајан </w:t>
      </w:r>
      <w:r w:rsidR="00390E82" w:rsidRPr="00390E82">
        <w:rPr>
          <w:b/>
          <w:bCs/>
        </w:rPr>
        <w:t>акценат у политици кадрова у јавној управи стављен на њихов број, односно на смањење трошкове рад</w:t>
      </w:r>
      <w:r w:rsidR="00390E82" w:rsidRPr="00390E82">
        <w:t>а, и то кроз два битна документа: Стратегију РЈУ од 2014. и Фискалну стратегију. Фискалном стратегијом за 2014. и 2015. годину</w:t>
      </w:r>
      <w:r w:rsidR="00390E82" w:rsidRPr="00390E82">
        <w:rPr>
          <w:vertAlign w:val="superscript"/>
        </w:rPr>
        <w:footnoteReference w:id="104"/>
      </w:r>
      <w:r w:rsidR="00390E82">
        <w:t xml:space="preserve"> </w:t>
      </w:r>
      <w:r w:rsidR="00390E82" w:rsidRPr="00390E82">
        <w:t xml:space="preserve">предвиђен је програм реформе јавних финансија и запошљавања кроз прилагођавање броја запослених у јавној управи реалним потребама пословања, а да би се смањили расходи за запослене. Неповољна структура и вишак запослених утицали су на неефикасност у раду јавне управе, стога је започет </w:t>
      </w:r>
      <w:r w:rsidR="00390E82" w:rsidRPr="00390E82">
        <w:rPr>
          <w:b/>
          <w:bCs/>
        </w:rPr>
        <w:t>процес рационализације</w:t>
      </w:r>
      <w:r w:rsidR="00390E82" w:rsidRPr="00390E82">
        <w:t xml:space="preserve">. Стратегија РЈУ из 2014. утврдила је потребу да рационализација и реорганизација буду стални процеси у Републици Србији, чија суштина подразумева да се укидају непотребни послови, поједностављују процедуре, смањује број запослених за којима не постоји потреба и на други начин смањују трошкови, а да се при томе не умањи делотворност и ефикасност обављања управних послова. У том циљу донет је </w:t>
      </w:r>
      <w:r w:rsidR="00390E82" w:rsidRPr="00390E82">
        <w:rPr>
          <w:b/>
          <w:bCs/>
        </w:rPr>
        <w:t>Закон о начину одређивања максималног броја запослених у јавном сектору</w:t>
      </w:r>
      <w:r w:rsidR="00390E82" w:rsidRPr="00390E82">
        <w:t xml:space="preserve">, који се примењивао до краја 2019. године и на основу којег су за сваку годину Влада, надлежни органи АП и ЈЛС и других органа доносили посебну одлуку о максималном броју запослених у сваком организационом облику у јавном сектору. Концепт тог закона подразумевао је да смањење трошкова рада као резултат смањења броја запослених у јавној управи буде што је могуће мање последица линеарне рационализације, а што више резултат реорганизације целог система јавне управе, тако да се број запослених утврђивао у широком консултативном процесу у јавној управи. Са тако утврђеним бројем запослених органи и установе су усклађивали своје акте о систематизацији, чиме је кадровски план органа државне управе, као кључни инструмент управљања кадровима, стављен у други план. Осим смањења броја запослених, замрзнуто је запошљавање на радним местима која су остала упражњена услед природног одлива, с тим да је дата је могућност новог запошљавања у изузетним околностима, а уз одобрење надлежне комисије Владе. Паралелно су спровођене мере социјалне политике заштите запослених, који су се нашли на листама вишкова или који су пензионисани у процесу рационализације, кроз исплату отпремнина, новчаних накнада и накнада за незапосленост. </w:t>
      </w:r>
      <w:r w:rsidR="00390E82" w:rsidRPr="00390E82">
        <w:rPr>
          <w:b/>
          <w:bCs/>
        </w:rPr>
        <w:t>Рационализација је, поред смањења зарада, највише допринела смањењу расхода буџета и успеху фискалне консолидације</w:t>
      </w:r>
      <w:r w:rsidR="00390E82" w:rsidRPr="00390E82">
        <w:t>.</w:t>
      </w:r>
    </w:p>
    <w:p w14:paraId="58D7159C" w14:textId="105AA86C" w:rsidR="003F3312" w:rsidRPr="000F0299" w:rsidRDefault="00390E82" w:rsidP="00390E82">
      <w:r w:rsidRPr="00390E82">
        <w:t>За време спровођења рационализације, уз ограничавање новог запошљавања, а на основу података Централног регистра обавезног социјалног осигурања</w:t>
      </w:r>
      <w:bookmarkStart w:id="128" w:name="m_-6136138297431998580__ftnref2"/>
      <w:r w:rsidRPr="00390E82">
        <w:t>,</w:t>
      </w:r>
      <w:r w:rsidRPr="00390E82">
        <w:rPr>
          <w:vertAlign w:val="superscript"/>
        </w:rPr>
        <w:footnoteReference w:id="105"/>
      </w:r>
      <w:bookmarkEnd w:id="128"/>
      <w:r w:rsidRPr="00390E82">
        <w:t xml:space="preserve"> у периоду од децембра 2014. године до децембра 2019. године </w:t>
      </w:r>
      <w:r w:rsidRPr="00390E82">
        <w:rPr>
          <w:b/>
          <w:bCs/>
        </w:rPr>
        <w:t>број запослених на неодређено време у јавном сектору</w:t>
      </w:r>
      <w:r w:rsidRPr="00390E82">
        <w:t xml:space="preserve"> који се финансира из републичког буџета </w:t>
      </w:r>
      <w:r w:rsidRPr="00390E82">
        <w:rPr>
          <w:b/>
          <w:bCs/>
        </w:rPr>
        <w:t>смањен је за 37.367</w:t>
      </w:r>
      <w:r w:rsidRPr="00390E82">
        <w:t xml:space="preserve"> запослених.</w:t>
      </w:r>
      <w:r w:rsidRPr="00390E82">
        <w:rPr>
          <w:vertAlign w:val="superscript"/>
        </w:rPr>
        <w:footnoteReference w:id="106"/>
      </w:r>
    </w:p>
    <w:p w14:paraId="7C9B0BC2" w14:textId="77777777" w:rsidR="009F44BF" w:rsidRDefault="009F44BF" w:rsidP="009F44BF">
      <w:pPr>
        <w:rPr>
          <w:i/>
          <w:iCs/>
        </w:rPr>
      </w:pPr>
      <w:r>
        <w:rPr>
          <w:noProof/>
          <w:lang w:val="en-US" w:eastAsia="en-US" w:bidi="ar-SA"/>
        </w:rPr>
        <mc:AlternateContent>
          <mc:Choice Requires="wps">
            <w:drawing>
              <wp:anchor distT="0" distB="0" distL="114300" distR="114300" simplePos="0" relativeHeight="252042752" behindDoc="0" locked="0" layoutInCell="1" allowOverlap="1" wp14:anchorId="6D41E345" wp14:editId="6C30D656">
                <wp:simplePos x="0" y="0"/>
                <wp:positionH relativeFrom="margin">
                  <wp:align>right</wp:align>
                </wp:positionH>
                <wp:positionV relativeFrom="paragraph">
                  <wp:posOffset>3663950</wp:posOffset>
                </wp:positionV>
                <wp:extent cx="5699760" cy="377825"/>
                <wp:effectExtent l="0" t="0" r="0" b="3175"/>
                <wp:wrapTopAndBottom/>
                <wp:docPr id="378" name="Text Box 378"/>
                <wp:cNvGraphicFramePr/>
                <a:graphic xmlns:a="http://schemas.openxmlformats.org/drawingml/2006/main">
                  <a:graphicData uri="http://schemas.microsoft.com/office/word/2010/wordprocessingShape">
                    <wps:wsp>
                      <wps:cNvSpPr txBox="1"/>
                      <wps:spPr>
                        <a:xfrm>
                          <a:off x="0" y="0"/>
                          <a:ext cx="5699760" cy="377851"/>
                        </a:xfrm>
                        <a:prstGeom prst="rect">
                          <a:avLst/>
                        </a:prstGeom>
                        <a:solidFill>
                          <a:prstClr val="white"/>
                        </a:solidFill>
                        <a:ln>
                          <a:noFill/>
                        </a:ln>
                      </wps:spPr>
                      <wps:txbx>
                        <w:txbxContent>
                          <w:p w14:paraId="1185DA11" w14:textId="3223A8C4" w:rsidR="00876FFE" w:rsidRPr="009F44BF" w:rsidRDefault="00876FFE" w:rsidP="009F44BF">
                            <w:pPr>
                              <w:pStyle w:val="Caption"/>
                              <w:rPr>
                                <w:i w:val="0"/>
                                <w:iCs w:val="0"/>
                                <w:noProof/>
                                <w:sz w:val="24"/>
                                <w:szCs w:val="24"/>
                              </w:rPr>
                            </w:pPr>
                            <w:bookmarkStart w:id="129" w:name="_Toc57665350"/>
                            <w:r w:rsidRPr="009F44BF">
                              <w:rPr>
                                <w:i w:val="0"/>
                                <w:iCs w:val="0"/>
                              </w:rPr>
                              <w:t xml:space="preserve">Графикон </w:t>
                            </w:r>
                            <w:r w:rsidRPr="009F44BF">
                              <w:rPr>
                                <w:i w:val="0"/>
                                <w:iCs w:val="0"/>
                              </w:rPr>
                              <w:fldChar w:fldCharType="begin"/>
                            </w:r>
                            <w:r w:rsidRPr="009F44BF">
                              <w:rPr>
                                <w:i w:val="0"/>
                                <w:iCs w:val="0"/>
                              </w:rPr>
                              <w:instrText xml:space="preserve"> SEQ Графикон \* ARABIC </w:instrText>
                            </w:r>
                            <w:r w:rsidRPr="009F44BF">
                              <w:rPr>
                                <w:i w:val="0"/>
                                <w:iCs w:val="0"/>
                              </w:rPr>
                              <w:fldChar w:fldCharType="separate"/>
                            </w:r>
                            <w:r>
                              <w:rPr>
                                <w:i w:val="0"/>
                                <w:iCs w:val="0"/>
                                <w:noProof/>
                              </w:rPr>
                              <w:t>14</w:t>
                            </w:r>
                            <w:r w:rsidRPr="009F44BF">
                              <w:rPr>
                                <w:i w:val="0"/>
                                <w:iCs w:val="0"/>
                              </w:rPr>
                              <w:fldChar w:fldCharType="end"/>
                            </w:r>
                            <w:r w:rsidRPr="009F44BF">
                              <w:rPr>
                                <w:i w:val="0"/>
                                <w:iCs w:val="0"/>
                              </w:rPr>
                              <w:t xml:space="preserve"> Проценат смањења запослених на неодређено време у јавном сектору од децембра 2014 до децембра 2019. године</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41E345" id="Text Box 378" o:spid="_x0000_s1091" type="#_x0000_t202" style="position:absolute;left:0;text-align:left;margin-left:397.6pt;margin-top:288.5pt;width:448.8pt;height:29.75pt;z-index:25204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" stroked="f">
                <v:textbox inset="0,0,0,0">
                  <w:txbxContent>
                    <w:p w14:paraId="1185DA11" w14:textId="3223A8C4" w:rsidR="00876FFE" w:rsidRPr="009F44BF" w:rsidRDefault="00876FFE" w:rsidP="009F44BF">
                      <w:pPr>
                        <w:pStyle w:val="Caption"/>
                        <w:rPr>
                          <w:i w:val="0"/>
                          <w:iCs w:val="0"/>
                          <w:noProof/>
                          <w:sz w:val="24"/>
                          <w:szCs w:val="24"/>
                        </w:rPr>
                      </w:pPr>
                      <w:bookmarkStart w:id="132" w:name="_Toc57665350"/>
                      <w:r w:rsidRPr="009F44BF">
                        <w:rPr>
                          <w:i w:val="0"/>
                          <w:iCs w:val="0"/>
                        </w:rPr>
                        <w:t xml:space="preserve">Графикон </w:t>
                      </w:r>
                      <w:r w:rsidRPr="009F44BF">
                        <w:rPr>
                          <w:i w:val="0"/>
                          <w:iCs w:val="0"/>
                        </w:rPr>
                        <w:fldChar w:fldCharType="begin"/>
                      </w:r>
                      <w:r w:rsidRPr="009F44BF">
                        <w:rPr>
                          <w:i w:val="0"/>
                          <w:iCs w:val="0"/>
                        </w:rPr>
                        <w:instrText xml:space="preserve"> SEQ Графикон \* ARABIC </w:instrText>
                      </w:r>
                      <w:r w:rsidRPr="009F44BF">
                        <w:rPr>
                          <w:i w:val="0"/>
                          <w:iCs w:val="0"/>
                        </w:rPr>
                        <w:fldChar w:fldCharType="separate"/>
                      </w:r>
                      <w:r>
                        <w:rPr>
                          <w:i w:val="0"/>
                          <w:iCs w:val="0"/>
                          <w:noProof/>
                        </w:rPr>
                        <w:t>14</w:t>
                      </w:r>
                      <w:r w:rsidRPr="009F44BF">
                        <w:rPr>
                          <w:i w:val="0"/>
                          <w:iCs w:val="0"/>
                        </w:rPr>
                        <w:fldChar w:fldCharType="end"/>
                      </w:r>
                      <w:r w:rsidRPr="009F44BF">
                        <w:rPr>
                          <w:i w:val="0"/>
                          <w:iCs w:val="0"/>
                        </w:rPr>
                        <w:t xml:space="preserve"> </w:t>
                      </w:r>
                      <w:r w:rsidRPr="009F44BF">
                        <w:rPr>
                          <w:i w:val="0"/>
                          <w:iCs w:val="0"/>
                        </w:rPr>
                        <w:t>Проценат смањења запослених на неодређено време у јавном сектору од децембра 2014 до децембра 2019. године</w:t>
                      </w:r>
                      <w:bookmarkEnd w:id="132"/>
                    </w:p>
                  </w:txbxContent>
                </v:textbox>
                <w10:wrap type="topAndBottom" anchorx="margin"/>
              </v:shape>
            </w:pict>
          </mc:Fallback>
        </mc:AlternateContent>
      </w:r>
      <w:r w:rsidR="00526363" w:rsidRPr="000F0299">
        <w:rPr>
          <w:noProof/>
          <w:lang w:val="en-US" w:eastAsia="en-US" w:bidi="ar-SA"/>
        </w:rPr>
        <w:drawing>
          <wp:anchor distT="0" distB="0" distL="114300" distR="114300" simplePos="0" relativeHeight="251352576" behindDoc="0" locked="0" layoutInCell="1" allowOverlap="1" wp14:anchorId="44CCAA86" wp14:editId="289B9F46">
            <wp:simplePos x="0" y="0"/>
            <wp:positionH relativeFrom="margin">
              <wp:align>right</wp:align>
            </wp:positionH>
            <wp:positionV relativeFrom="paragraph">
              <wp:posOffset>13335</wp:posOffset>
            </wp:positionV>
            <wp:extent cx="5753100" cy="3343275"/>
            <wp:effectExtent l="0" t="0" r="0" b="0"/>
            <wp:wrapTopAndBottom/>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003F3312" w:rsidRPr="000F0299">
        <w:t>*</w:t>
      </w:r>
      <w:r w:rsidR="003F3312" w:rsidRPr="000F0299">
        <w:rPr>
          <w:rStyle w:val="FootnoteTextChar1"/>
          <w:rFonts w:eastAsia="DejaVu Sans Mono"/>
          <w:i/>
          <w:iCs/>
          <w:lang w:val="sr-Cyrl-RS"/>
        </w:rPr>
        <w:t>Извор: Централни регистар обавезног социјалног осигурања</w:t>
      </w:r>
    </w:p>
    <w:p w14:paraId="7CC1445F" w14:textId="2FCD935C" w:rsidR="00290FD8" w:rsidRPr="009F44BF" w:rsidRDefault="00290FD8" w:rsidP="009F44BF">
      <w:pPr>
        <w:rPr>
          <w:i/>
          <w:iCs/>
        </w:rPr>
      </w:pPr>
      <w:r w:rsidRPr="00290FD8">
        <w:t xml:space="preserve">Иако се јасно види да је знатно смањен број стално запослених у одређеним ресорима, подаци истовремено указују и на чињеницу да је тај број </w:t>
      </w:r>
      <w:r w:rsidRPr="00290FD8">
        <w:rPr>
          <w:b/>
          <w:bCs/>
        </w:rPr>
        <w:t>надомештен ангажовањем лица на одређено време или путем другог уговорног ангажовања</w:t>
      </w:r>
      <w:r w:rsidRPr="00290FD8">
        <w:t>. Све то показује да се утицај рационализације на капацитет органа није одражавао толико на број запослених колико је показао своје негативне стране кроз непостојање систематског планирања кадрова и одсуство интеграције привремено запослених у државнослужбенички систем кроз каријерне механизме из закона, што у великој мери утиче на одрживост капацитета и ефикасност рада управе.</w:t>
      </w:r>
    </w:p>
    <w:p w14:paraId="1D68E7BA" w14:textId="46AE7B85" w:rsidR="00290FD8" w:rsidRPr="00290FD8" w:rsidRDefault="00290FD8" w:rsidP="00290FD8">
      <w:r w:rsidRPr="00290FD8">
        <w:t xml:space="preserve">Сама </w:t>
      </w:r>
      <w:r w:rsidRPr="00290FD8">
        <w:rPr>
          <w:b/>
          <w:bCs/>
        </w:rPr>
        <w:t>процедура кадровског планирања</w:t>
      </w:r>
      <w:r w:rsidRPr="00290FD8">
        <w:t xml:space="preserve"> је детаљно регулисана у Закону о државним службеницима и Уредбом о припреми кадровског плана у државним органима и у складу са њом је СУК од 2007. године припремао предлоге кадровског плана за министарства, посебне организације, службе Владе и стручне службе управних округа. Од 2007. до 2012. године Влада је доносила кадровски план. Међутим, потребе фискалне консолидације, додатни механизми планирања кадра услед потребе да се он смањи,</w:t>
      </w:r>
      <w:r w:rsidR="00603443">
        <w:t xml:space="preserve"> </w:t>
      </w:r>
      <w:r w:rsidRPr="00290FD8">
        <w:t xml:space="preserve">што је утврђивано одлукама о максималном броју, условила су да кадровски план, иако је процедура његове припреме спровођена у складу са Уредбом, није формално усвајан последњих година. Такође, ни 2020. година која је протекла у изузетним околностима планирања и расподеле средстава због мера изазваних </w:t>
      </w:r>
      <w:r w:rsidR="00AC60BF">
        <w:t>услед пандемије</w:t>
      </w:r>
      <w:r w:rsidRPr="00290FD8">
        <w:t xml:space="preserve"> ковид</w:t>
      </w:r>
      <w:r w:rsidRPr="00290FD8">
        <w:rPr>
          <w:i/>
          <w:iCs/>
        </w:rPr>
        <w:t>-</w:t>
      </w:r>
      <w:r w:rsidRPr="00290FD8">
        <w:rPr>
          <w:iCs/>
        </w:rPr>
        <w:t>19</w:t>
      </w:r>
      <w:r w:rsidRPr="00290FD8">
        <w:t xml:space="preserve">, није била формализована усвојеним кадровским планом. Додатни разлог за одступање од прописаног кадровског планирања лежи у још једном </w:t>
      </w:r>
      <w:r w:rsidRPr="00290FD8">
        <w:rPr>
          <w:b/>
          <w:bCs/>
          <w:i/>
          <w:iCs/>
        </w:rPr>
        <w:t>ad hoc</w:t>
      </w:r>
      <w:r w:rsidRPr="00290FD8">
        <w:rPr>
          <w:b/>
          <w:bCs/>
        </w:rPr>
        <w:t xml:space="preserve"> механизму контроле новог запошљавања</w:t>
      </w:r>
      <w:r w:rsidRPr="00290FD8">
        <w:rPr>
          <w:bCs/>
        </w:rPr>
        <w:t>,</w:t>
      </w:r>
      <w:r w:rsidRPr="00290FD8">
        <w:t xml:space="preserve"> који проистиче из Закона о буџетском систему. По том закону, чија се примена у том делу продужава сваке године, као мера спречавања наглог раста броја запослених у јавном сектору и контроле запошљавања, органи не могу заснивати радни однос са новим лицима ради попуњавања слободних, односно упражњених радних места, св</w:t>
      </w:r>
      <w:r w:rsidR="00603443">
        <w:t>е</w:t>
      </w:r>
      <w:r w:rsidRPr="00290FD8">
        <w:t xml:space="preserve"> до 31. децембра 2020. године, односно радни однос с новим лицима може се засновати уз сагласност надлежне </w:t>
      </w:r>
      <w:r w:rsidRPr="00290FD8">
        <w:rPr>
          <w:b/>
          <w:bCs/>
        </w:rPr>
        <w:t>Комисије Владе</w:t>
      </w:r>
      <w:r w:rsidRPr="00290FD8">
        <w:t xml:space="preserve">. Задржана мера контроле запошљавања и недоношење кадровског плана показује да ни након укидања закона којим се ограничава максималан број запослених </w:t>
      </w:r>
      <w:r w:rsidRPr="00290FD8">
        <w:rPr>
          <w:b/>
          <w:bCs/>
        </w:rPr>
        <w:t>нису спроведени механизми системског планирања кадрова</w:t>
      </w:r>
      <w:r w:rsidRPr="00290FD8">
        <w:t>, односно показује нужност да се успостави усклађено кадровско и финансијско планирање и даље, боље оперативно планирање како би прописи који ограничавају број запослених у државним органима престали да буду одлучујући и усмеравајући за органе, што се негативно одражава и на кадровско планирање. То истовремено значи и јачање аналитичких капацитета јединица за кадрове и свих нивоа руковођења у органу како би унутрашња организација и систематизација послова у органу била заснована на начелима која се односе на делотворан и складан рад и радне процесе у органу и делотворан надзор унутар органа и како би, уз кадровски план, подржавала испуњење оперативних и стратешких планова. </w:t>
      </w:r>
    </w:p>
    <w:p w14:paraId="5C8E7DBF" w14:textId="68762B55" w:rsidR="00290FD8" w:rsidRPr="00290FD8" w:rsidRDefault="00290FD8" w:rsidP="00290FD8">
      <w:r w:rsidRPr="00290FD8">
        <w:t>Ове наводе подржавају досадашње анализе које су спроведене у тој области.</w:t>
      </w:r>
      <w:r w:rsidR="00603443">
        <w:t xml:space="preserve"> </w:t>
      </w:r>
      <w:r w:rsidRPr="00290FD8">
        <w:t>Анализа „Јачање капацитета јединица за кадрове у органима државне управе Републике Србије</w:t>
      </w:r>
      <w:bookmarkStart w:id="130" w:name="m_-6136138297431998580__ftnref4"/>
      <w:r w:rsidRPr="00290FD8">
        <w:t>”</w:t>
      </w:r>
      <w:r w:rsidRPr="00290FD8">
        <w:rPr>
          <w:vertAlign w:val="superscript"/>
        </w:rPr>
        <w:footnoteReference w:id="107"/>
      </w:r>
      <w:bookmarkEnd w:id="130"/>
      <w:r w:rsidRPr="00290FD8">
        <w:t> и „Анализа управљања људским ресурсима у државној управи Републике Србије</w:t>
      </w:r>
      <w:bookmarkStart w:id="131" w:name="m_-6136138297431998580__ftnref5"/>
      <w:r w:rsidRPr="00290FD8">
        <w:t>”</w:t>
      </w:r>
      <w:r w:rsidRPr="00290FD8">
        <w:rPr>
          <w:vertAlign w:val="superscript"/>
        </w:rPr>
        <w:footnoteReference w:id="108"/>
      </w:r>
      <w:bookmarkEnd w:id="131"/>
      <w:r w:rsidRPr="00290FD8">
        <w:t xml:space="preserve"> показују да је стратешко планирање кадрова на ниском нивоу. Нацрти кадровских планова се припремају и доносе формално и без значајних претходних анализа. </w:t>
      </w:r>
      <w:r w:rsidRPr="00290FD8">
        <w:rPr>
          <w:b/>
          <w:bCs/>
        </w:rPr>
        <w:t>У пракси већине органа недостаје координација током припреме нацрта планских докуменат</w:t>
      </w:r>
      <w:r w:rsidRPr="00290FD8">
        <w:t>а – планова рада, буџета, кадровског плана и плана јавних набавки, а јединице за кадрове не организују међусекторске групе ради обједињене припреме тих планских аката како би се обезбедила њихова усклађеност. Приликом планирања кадрова недостаје системски приступ анализи организационе структуре органа и постојећих описа послова, не успоставља се однос између планираних и постојећих послова, односно потребних кадрова и њихових знања и вештина. Такође се не припремају планови интерне мобилности постојећег кадра на основу планираних послова, нити се у њих укључују индивидуални планови развоја запослених. Сам кадровски план би требало да се садржински побољша и да уведе обухватну анализу постојеће организационе и кадровске структуре према пословима и пројекције потребних финансијских средстава за плате и накнаде рада за сва лица, да успостави однос са интерним тржиштем рада и др.</w:t>
      </w:r>
    </w:p>
    <w:p w14:paraId="617AE48C" w14:textId="77777777" w:rsidR="00290FD8" w:rsidRPr="00290FD8" w:rsidRDefault="00290FD8" w:rsidP="00290FD8">
      <w:r w:rsidRPr="00290FD8">
        <w:t xml:space="preserve">Стога наредне активности треба да буду усмерене на то да се у пракси направи значајан преокрет тако да </w:t>
      </w:r>
      <w:r w:rsidRPr="00290FD8">
        <w:rPr>
          <w:b/>
          <w:bCs/>
        </w:rPr>
        <w:t>фокус буде на циљевима које треба постићи и пословима који треба да се обаве, а сходно томе утврдити потребан број и структуру извршилаца</w:t>
      </w:r>
      <w:r w:rsidRPr="00290FD8">
        <w:t>. Такође, иновирањем кадровског планирања неопходно је допринети спровођењу политике УЉР која је од стратешког значаја за државну управу, док у органима треба да јединице за УЉР и руководиоци свих нивоа успоставе стратешке правце развоја кадрова у односу на своје надлежности. Да би се институционални циљеви повезали са кадровским и финансијским ресурсима и потребама и повећала усклађеност планских аката, неопходно је преиспитати место, организацију, улогу и значај јединица за кадрове у органима и уз јачање њихових капацитета и капацитета руководилаца омогућити им да учествују у стратешком управљању. Посебну пажњу треба усмерити на координацију у спровођењу политике Владе кроз буџетско и кадровско планирање како би била исказана и кроз одрживи кадровски план за органе државне управе, који ће омогућавати да се конципира и спроводи стратегија развоја људских ресурса у органима.</w:t>
      </w:r>
    </w:p>
    <w:p w14:paraId="429EB8BC" w14:textId="2F998117" w:rsidR="00290FD8" w:rsidRPr="00290FD8" w:rsidRDefault="00290FD8" w:rsidP="00290FD8">
      <w:r w:rsidRPr="00290FD8">
        <w:t>У органима АП и ЈЛС започела је реформа службеничког система изменом правног оквира</w:t>
      </w:r>
      <w:r w:rsidRPr="00290FD8">
        <w:rPr>
          <w:lang w:val="sr-Latn-RS"/>
        </w:rPr>
        <w:t xml:space="preserve">. </w:t>
      </w:r>
      <w:r w:rsidRPr="00290FD8">
        <w:t>Значајна подршка ЈЛС у успостављању функције УЉР пружа се кроз сарадњу Савета Европе, МДУЛС и СКГО и подршку ЕУ у оквиру програма „Управљање људским ресурсима у локалној самоуправи”. Током 2019. године спроведена је функционална анализа у управама 15 ЈЛС.</w:t>
      </w:r>
      <w:r w:rsidRPr="00290FD8">
        <w:rPr>
          <w:vertAlign w:val="superscript"/>
        </w:rPr>
        <w:footnoteReference w:id="109"/>
      </w:r>
      <w:r w:rsidRPr="00290FD8">
        <w:t xml:space="preserve"> Такође</w:t>
      </w:r>
      <w:r w:rsidR="00603443">
        <w:t xml:space="preserve"> је </w:t>
      </w:r>
      <w:r w:rsidRPr="00290FD8">
        <w:t>у оквиру програма „Управљање људским ресурсима у локалној самоуправи – фаза 2” спроведена анализа стања у свим кључним областима, коришћењем индекса за УЉР који је развио СКГО на узорку од 70 ЈЛС.</w:t>
      </w:r>
      <w:r w:rsidRPr="00290FD8">
        <w:rPr>
          <w:vertAlign w:val="superscript"/>
        </w:rPr>
        <w:footnoteReference w:id="110"/>
      </w:r>
      <w:r w:rsidRPr="00290FD8">
        <w:t xml:space="preserve"> Поред неспорног значаја иновираног нормативног оквира, остају изазови његовог спровођења. </w:t>
      </w:r>
    </w:p>
    <w:p w14:paraId="67523D60" w14:textId="253314E4" w:rsidR="003F3312" w:rsidRPr="00603443" w:rsidRDefault="009F44BF" w:rsidP="00603443">
      <w:r w:rsidRPr="000F0299">
        <w:rPr>
          <w:noProof/>
          <w:lang w:val="en-US" w:eastAsia="en-US" w:bidi="ar-SA"/>
        </w:rPr>
        <mc:AlternateContent>
          <mc:Choice Requires="wpg">
            <w:drawing>
              <wp:anchor distT="0" distB="0" distL="114300" distR="114300" simplePos="0" relativeHeight="251931136" behindDoc="0" locked="0" layoutInCell="1" allowOverlap="1" wp14:anchorId="3EB194F9" wp14:editId="753A07FC">
                <wp:simplePos x="0" y="0"/>
                <wp:positionH relativeFrom="column">
                  <wp:posOffset>-76835</wp:posOffset>
                </wp:positionH>
                <wp:positionV relativeFrom="paragraph">
                  <wp:posOffset>1969770</wp:posOffset>
                </wp:positionV>
                <wp:extent cx="6050915" cy="3022600"/>
                <wp:effectExtent l="0" t="0" r="6985" b="6350"/>
                <wp:wrapTopAndBottom/>
                <wp:docPr id="100" name="Group 100"/>
                <wp:cNvGraphicFramePr/>
                <a:graphic xmlns:a="http://schemas.openxmlformats.org/drawingml/2006/main">
                  <a:graphicData uri="http://schemas.microsoft.com/office/word/2010/wordprocessingGroup">
                    <wpg:wgp>
                      <wpg:cNvGrpSpPr/>
                      <wpg:grpSpPr>
                        <a:xfrm>
                          <a:off x="0" y="0"/>
                          <a:ext cx="6050915" cy="3022600"/>
                          <a:chOff x="-84902" y="0"/>
                          <a:chExt cx="6188522" cy="3169804"/>
                        </a:xfrm>
                      </wpg:grpSpPr>
                      <wpg:graphicFrame>
                        <wpg:cNvPr id="66" name="Chart 66">
                          <a:extLst>
                            <a:ext uri="{FF2B5EF4-FFF2-40B4-BE49-F238E27FC236}">
                              <a16:creationId xmlns:a16="http://schemas.microsoft.com/office/drawing/2014/main" id="{426AB3A3-DE78-4C64-8A29-6177EDC7972D}"/>
                            </a:ext>
                          </a:extLst>
                        </wpg:cNvPr>
                        <wpg:cNvFrPr/>
                        <wpg:xfrm>
                          <a:off x="0" y="0"/>
                          <a:ext cx="6103620" cy="2987040"/>
                        </wpg:xfrm>
                        <a:graphic>
                          <a:graphicData uri="http://schemas.openxmlformats.org/drawingml/2006/chart">
                            <c:chart xmlns:c="http://schemas.openxmlformats.org/drawingml/2006/chart" xmlns:r="http://schemas.openxmlformats.org/officeDocument/2006/relationships" r:id="rId87"/>
                          </a:graphicData>
                        </a:graphic>
                      </wpg:graphicFrame>
                      <wps:wsp>
                        <wps:cNvPr id="394" name="Text Box 394"/>
                        <wps:cNvSpPr txBox="1"/>
                        <wps:spPr>
                          <a:xfrm>
                            <a:off x="-84902" y="2922154"/>
                            <a:ext cx="6103620" cy="247650"/>
                          </a:xfrm>
                          <a:prstGeom prst="rect">
                            <a:avLst/>
                          </a:prstGeom>
                          <a:solidFill>
                            <a:prstClr val="white"/>
                          </a:solidFill>
                          <a:ln>
                            <a:noFill/>
                          </a:ln>
                        </wps:spPr>
                        <wps:txbx>
                          <w:txbxContent>
                            <w:p w14:paraId="66D7D2EE" w14:textId="2554598E" w:rsidR="00876FFE" w:rsidRPr="009F44BF" w:rsidRDefault="00876FFE" w:rsidP="009F44BF">
                              <w:pPr>
                                <w:pStyle w:val="Caption"/>
                                <w:rPr>
                                  <w:i w:val="0"/>
                                  <w:iCs w:val="0"/>
                                </w:rPr>
                              </w:pPr>
                              <w:bookmarkStart w:id="132" w:name="_Toc57665351"/>
                              <w:r w:rsidRPr="009F44BF">
                                <w:rPr>
                                  <w:i w:val="0"/>
                                  <w:iCs w:val="0"/>
                                </w:rPr>
                                <w:t xml:space="preserve">Графикон </w:t>
                              </w:r>
                              <w:r w:rsidRPr="009F44BF">
                                <w:rPr>
                                  <w:i w:val="0"/>
                                  <w:iCs w:val="0"/>
                                </w:rPr>
                                <w:fldChar w:fldCharType="begin"/>
                              </w:r>
                              <w:r w:rsidRPr="009F44BF">
                                <w:rPr>
                                  <w:i w:val="0"/>
                                  <w:iCs w:val="0"/>
                                </w:rPr>
                                <w:instrText xml:space="preserve"> SEQ Графикон \* ARABIC </w:instrText>
                              </w:r>
                              <w:r w:rsidRPr="009F44BF">
                                <w:rPr>
                                  <w:i w:val="0"/>
                                  <w:iCs w:val="0"/>
                                </w:rPr>
                                <w:fldChar w:fldCharType="separate"/>
                              </w:r>
                              <w:r>
                                <w:rPr>
                                  <w:i w:val="0"/>
                                  <w:iCs w:val="0"/>
                                  <w:noProof/>
                                </w:rPr>
                                <w:t>15</w:t>
                              </w:r>
                              <w:r w:rsidRPr="009F44BF">
                                <w:rPr>
                                  <w:i w:val="0"/>
                                  <w:iCs w:val="0"/>
                                </w:rPr>
                                <w:fldChar w:fldCharType="end"/>
                              </w:r>
                              <w:r w:rsidRPr="009F44BF">
                                <w:rPr>
                                  <w:i w:val="0"/>
                                  <w:iCs w:val="0"/>
                                </w:rPr>
                                <w:t xml:space="preserve"> Преглед налаза индекса за УЉР у вези са припремом и усвајањем кадровског плана</w:t>
                              </w:r>
                              <w:bookmarkEnd w:id="132"/>
                            </w:p>
                            <w:p w14:paraId="65415044" w14:textId="0AFDD86A" w:rsidR="00876FFE" w:rsidRPr="009F44BF" w:rsidRDefault="00876FFE" w:rsidP="005247BD">
                              <w:pPr>
                                <w:pStyle w:val="BodyText0"/>
                                <w:ind w:firstLine="0"/>
                                <w:rPr>
                                  <w:rFonts w:ascii="Times New Roman" w:eastAsia="Times New Roman" w:hAnsi="Times New Roman" w:cs="Times New Roman"/>
                                  <w:kern w:val="0"/>
                                  <w:lang w:val="sr-Cyrl-RS" w:eastAsia="en-US" w:bidi="ar-SA"/>
                                </w:rPr>
                              </w:pPr>
                            </w:p>
                            <w:p w14:paraId="55547507" w14:textId="77777777" w:rsidR="00876FFE" w:rsidRPr="009F44BF" w:rsidRDefault="00876FF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B194F9" id="Group 100" o:spid="_x0000_s1092" style="position:absolute;left:0;text-align:left;margin-left:-6.05pt;margin-top:155.1pt;width:476.45pt;height:238pt;z-index:251931136;mso-width-relative:margin;mso-height-relative:margin" coordorigin="-849" coordsize="61885,31698" o:gfxdata="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6" o:spid="_x0000_s1093" type="#_x0000_t75" style="position:absolute;left:23;width:61037;height:29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">
                  <v:imagedata r:id="rId88" o:title=""/>
                  <o:lock v:ext="edit" aspectratio="f"/>
                </v:shape>
                <v:shape id="Text Box 394" o:spid="_x0000_s1094" type="#_x0000_t202" style="position:absolute;left:-849;top:29221;width:6103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" stroked="f">
                  <v:textbox inset="0,0,0,0">
                    <w:txbxContent>
                      <w:p w14:paraId="66D7D2EE" w14:textId="2554598E" w:rsidR="00876FFE" w:rsidRPr="009F44BF" w:rsidRDefault="00876FFE" w:rsidP="009F44BF">
                        <w:pPr>
                          <w:pStyle w:val="Caption"/>
                          <w:rPr>
                            <w:i w:val="0"/>
                            <w:iCs w:val="0"/>
                          </w:rPr>
                        </w:pPr>
                        <w:bookmarkStart w:id="136" w:name="_Toc57665351"/>
                        <w:r w:rsidRPr="009F44BF">
                          <w:rPr>
                            <w:i w:val="0"/>
                            <w:iCs w:val="0"/>
                          </w:rPr>
                          <w:t xml:space="preserve">Графикон </w:t>
                        </w:r>
                        <w:r w:rsidRPr="009F44BF">
                          <w:rPr>
                            <w:i w:val="0"/>
                            <w:iCs w:val="0"/>
                          </w:rPr>
                          <w:fldChar w:fldCharType="begin"/>
                        </w:r>
                        <w:r w:rsidRPr="009F44BF">
                          <w:rPr>
                            <w:i w:val="0"/>
                            <w:iCs w:val="0"/>
                          </w:rPr>
                          <w:instrText xml:space="preserve"> SEQ Графикон \* ARABIC </w:instrText>
                        </w:r>
                        <w:r w:rsidRPr="009F44BF">
                          <w:rPr>
                            <w:i w:val="0"/>
                            <w:iCs w:val="0"/>
                          </w:rPr>
                          <w:fldChar w:fldCharType="separate"/>
                        </w:r>
                        <w:r>
                          <w:rPr>
                            <w:i w:val="0"/>
                            <w:iCs w:val="0"/>
                            <w:noProof/>
                          </w:rPr>
                          <w:t>15</w:t>
                        </w:r>
                        <w:r w:rsidRPr="009F44BF">
                          <w:rPr>
                            <w:i w:val="0"/>
                            <w:iCs w:val="0"/>
                          </w:rPr>
                          <w:fldChar w:fldCharType="end"/>
                        </w:r>
                        <w:r w:rsidRPr="009F44BF">
                          <w:rPr>
                            <w:i w:val="0"/>
                            <w:iCs w:val="0"/>
                          </w:rPr>
                          <w:t xml:space="preserve"> </w:t>
                        </w:r>
                        <w:r w:rsidRPr="009F44BF">
                          <w:rPr>
                            <w:i w:val="0"/>
                            <w:iCs w:val="0"/>
                          </w:rPr>
                          <w:t>Преглед налаза индекса за УЉР у вези са припремом и усвајањем кадровског плана</w:t>
                        </w:r>
                        <w:bookmarkEnd w:id="136"/>
                      </w:p>
                      <w:p w14:paraId="65415044" w14:textId="0AFDD86A" w:rsidR="00876FFE" w:rsidRPr="009F44BF" w:rsidRDefault="00876FFE" w:rsidP="005247BD">
                        <w:pPr>
                          <w:pStyle w:val="BodyText0"/>
                          <w:ind w:firstLine="0"/>
                          <w:rPr>
                            <w:rFonts w:ascii="Times New Roman" w:eastAsia="Times New Roman" w:hAnsi="Times New Roman" w:cs="Times New Roman"/>
                            <w:kern w:val="0"/>
                            <w:lang w:val="sr-Cyrl-RS" w:eastAsia="en-US" w:bidi="ar-SA"/>
                          </w:rPr>
                        </w:pPr>
                      </w:p>
                      <w:p w14:paraId="55547507" w14:textId="77777777" w:rsidR="00876FFE" w:rsidRPr="009F44BF" w:rsidRDefault="00876FFE"/>
                    </w:txbxContent>
                  </v:textbox>
                </v:shape>
                <w10:wrap type="topAndBottom"/>
              </v:group>
              <o:OLEObject Type="Embed" ProgID="Excel.Chart.8" ShapeID="Chart 66" DrawAspect="Content" ObjectID="_1669040257" r:id="rId89">
                <o:FieldCodes>\s</o:FieldCodes>
              </o:OLEObject>
            </w:pict>
          </mc:Fallback>
        </mc:AlternateContent>
      </w:r>
      <w:r w:rsidR="00290FD8" w:rsidRPr="00290FD8">
        <w:t>Оба истраживања недвосмислено су указала да упркос чињеници да је УЉР једно од примарних питања у процесу реформе система локалне самоуправе, још постоји препрека и изазова у спровођењу прописаног правног оквира, али и примери његове недоследне примене у неким ЈЛС. Током првих неколико година примене новог правног оквира изграђени су темељи за савремено УЉР, док је успостављање доброг и функционалног система УЉР процес, који захтева стратешки приступ и трајаће дужи низ година. Због тога је ова тема од централног значаја за реформу система локалне самоуправе уопште. Од укупно</w:t>
      </w:r>
      <w:r w:rsidR="00290FD8" w:rsidRPr="00290FD8" w:rsidDel="00A76857">
        <w:t xml:space="preserve"> </w:t>
      </w:r>
      <w:r w:rsidR="00290FD8" w:rsidRPr="00290FD8">
        <w:t>70 ЈЛС које су анализиране кроз индекс за УЉР, све сем једне су припремиле Кадровски план за 2020. годину</w:t>
      </w:r>
      <w:r w:rsidR="00290FD8" w:rsidRPr="00290FD8" w:rsidDel="00B74047">
        <w:t xml:space="preserve">, </w:t>
      </w:r>
      <w:r w:rsidR="00290FD8" w:rsidRPr="00290FD8">
        <w:t>који задовољава тражену форму, али је начин и поступак планирања људских ресурса упитан и често не рефлектује стварне потребе ЈЛС</w:t>
      </w:r>
      <w:r w:rsidR="003F3312" w:rsidRPr="000F0299">
        <w:t xml:space="preserve">. </w:t>
      </w:r>
    </w:p>
    <w:p w14:paraId="54920D09" w14:textId="77777777" w:rsidR="00290FD8" w:rsidRPr="00290FD8" w:rsidRDefault="00290FD8" w:rsidP="00290FD8">
      <w:r w:rsidRPr="00290FD8">
        <w:t xml:space="preserve">Пошто је правилна припрема кадровског плана једна од кључних активности УЉР, показује се да је то једна од активности чија се примена мора унапредити. </w:t>
      </w:r>
      <w:r w:rsidRPr="00290FD8">
        <w:rPr>
          <w:b/>
          <w:bCs/>
        </w:rPr>
        <w:t>Развојем информационог система за УЉР</w:t>
      </w:r>
      <w:r w:rsidRPr="00290FD8">
        <w:t xml:space="preserve"> створиће се услови за аналитички приступ кадру и његовом планирању, при чему је неопходно дугорочно јачати капацитет кадра који је одговоран за планирање, како у ЈЛС, тако и централних органа. </w:t>
      </w:r>
    </w:p>
    <w:p w14:paraId="020AFD45" w14:textId="77777777" w:rsidR="00290FD8" w:rsidRPr="00290FD8" w:rsidRDefault="00290FD8" w:rsidP="00290FD8">
      <w:r w:rsidRPr="00290FD8">
        <w:rPr>
          <w:b/>
          <w:bCs/>
        </w:rPr>
        <w:t>Кадровско планирање у јавним службама</w:t>
      </w:r>
      <w:r w:rsidRPr="00290FD8">
        <w:t xml:space="preserve"> није јединствено регулисано у систему јавних служби, већ је планирање кадрова, као део стратешког планирања у одређеној области рада јавне службе предмет појединих посебних прописа и кадровске политике у одређеној делатности и у различитим је фазама развоја зависно од области на коју се односи. За време примене Закона о начину одређивања максималног броја запослених у јавним службама, јавне службе су биле део ограничења броја запослених тако што се одлуком Владе утврђивао максималан број запослених у свакој установи и још увек су део јавног сектора који подлеже контроли запошљавања кроз ограничења из буџетских прописа. Иако предмет ове стратегије нису оквири, стандарди и начини планирања кадра у јавним службама које подлежу специфичностима и које су део стратешког планирања различитих делатности од општег интереса, Закон о запосленима у јавним службама</w:t>
      </w:r>
      <w:r w:rsidRPr="00290FD8">
        <w:rPr>
          <w:vertAlign w:val="superscript"/>
        </w:rPr>
        <w:footnoteReference w:id="111"/>
      </w:r>
      <w:r w:rsidRPr="00290FD8">
        <w:t xml:space="preserve"> је утврдио да је обавезно да установе доносе кадровске планове, као битан део процеса УЉР, тамо где посебан оквир планирања није одређен у оквиру делатности. Без обзира што се то може сматрати системским решењем за јавне службе у области УЉР (иако примат треба да буде дат посебним прописима у одређеној делатности) и унапређењем нормативног оквира којим се тежи успостављању јединственог службеничког система, одлагање примене закона услед одлагања реформе система плата онемогућио је напредак у тој области. </w:t>
      </w:r>
    </w:p>
    <w:p w14:paraId="7AA3023A" w14:textId="77777777" w:rsidR="00290FD8" w:rsidRPr="00290FD8" w:rsidRDefault="00290FD8" w:rsidP="00290FD8">
      <w:r w:rsidRPr="00290FD8">
        <w:t xml:space="preserve">Слична ситуација присутна је у </w:t>
      </w:r>
      <w:r w:rsidRPr="00290FD8">
        <w:rPr>
          <w:b/>
          <w:bCs/>
        </w:rPr>
        <w:t>јавним агенцијама</w:t>
      </w:r>
      <w:r w:rsidRPr="00290FD8">
        <w:t xml:space="preserve"> које имају обавезу да прикажу кадар кроз програме рада и финансијске планове тако што наводе само податке о броју запослених и расходима, а не наводе детаљније структуру запослених или њихове анализе и планирања. У даљем развоју функције УЉР у јавним агенцијама потребно је детаљно анализирати елементе постојећег планирања кадрова и њихову везу са плановима рада агенције, капацитете, улогу и место јединица за УЉР и у складу са резултатима определити се у односу на форму, елементе, улогу оснивача у доношењу кадровских планова и др. и као обавезне унети их у одговарајуће акте.</w:t>
      </w:r>
    </w:p>
    <w:p w14:paraId="388394BF" w14:textId="5A9953D2" w:rsidR="003F3312" w:rsidRPr="000F0299" w:rsidRDefault="00290FD8" w:rsidP="00290FD8">
      <w:r w:rsidRPr="00290FD8">
        <w:t>С обзиром да је планирање људских ресурса процес који повезује потребе организације за људским ресурсима са њеним стратешким и оперативним циљевима,</w:t>
      </w:r>
      <w:r w:rsidRPr="00290FD8">
        <w:rPr>
          <w:b/>
          <w:bCs/>
        </w:rPr>
        <w:t xml:space="preserve"> кадровско планирање је предуслов да се осигура да ће управа имати довољан број квалификованих и компетентних запослених за постизање циљева.</w:t>
      </w:r>
      <w:r w:rsidRPr="00290FD8">
        <w:t xml:space="preserve"> У спровођењу ове стратегије неопходно је да се кадровско планирање унапреди, боље укаже на приоритете и потребе органа за запошљавањем одређеног квалификованог профила запослених за делотворан рад у тим областима и оствари значајнију улогу у стратешком планирању органа. Наведено ће захтевати да се усклади и иновира нормативни оквир, успостави оперативни информациони систем за УЉР, али исто тако значајан акценат треба ставити на континуирано јачање кадровских и аналитичких капацитета како јединица за УЉР тако и свих нивоа руковођења у органима</w:t>
      </w:r>
      <w:r w:rsidR="003F3312" w:rsidRPr="000F0299">
        <w:t>.</w:t>
      </w:r>
    </w:p>
    <w:p w14:paraId="49B15370" w14:textId="112D44DD" w:rsidR="00290FD8" w:rsidRPr="00290FD8" w:rsidRDefault="003F3312" w:rsidP="00290FD8">
      <w:r w:rsidRPr="000F0299">
        <w:rPr>
          <w:b/>
          <w:bCs/>
          <w:iCs/>
          <w:u w:val="single"/>
        </w:rPr>
        <w:t xml:space="preserve">Регрутација и </w:t>
      </w:r>
      <w:r w:rsidR="00290FD8">
        <w:rPr>
          <w:b/>
          <w:bCs/>
          <w:iCs/>
          <w:u w:val="single"/>
        </w:rPr>
        <w:t xml:space="preserve">избор </w:t>
      </w:r>
      <w:r w:rsidRPr="000F0299">
        <w:t>–</w:t>
      </w:r>
      <w:r w:rsidR="00290FD8">
        <w:t xml:space="preserve"> </w:t>
      </w:r>
      <w:r w:rsidR="00290FD8" w:rsidRPr="00290FD8">
        <w:t>Изменама Закона о државним службеницима од 2019. године, запошљавање кандидата у државним органима се заснива на процесу избора у складу са описима послова и на основу компетенција предвиђених актима о систематизацији. У том циљу донета је Уредба о интерном и јавном конкурсу за попуњавање радних места у државним органима (</w:t>
      </w:r>
      <w:r w:rsidR="00290FD8" w:rsidRPr="00290FD8">
        <w:rPr>
          <w:lang w:val="sr-Latn-RS"/>
        </w:rPr>
        <w:t xml:space="preserve">„Службени гласник РС“, </w:t>
      </w:r>
      <w:r w:rsidR="00E92E01">
        <w:rPr>
          <w:lang w:val="sr-Latn-RS"/>
        </w:rPr>
        <w:t>број</w:t>
      </w:r>
      <w:r w:rsidR="00290FD8" w:rsidRPr="00290FD8">
        <w:rPr>
          <w:lang w:val="sr-Latn-RS"/>
        </w:rPr>
        <w:t xml:space="preserve"> 2/2019</w:t>
      </w:r>
      <w:r w:rsidR="00290FD8" w:rsidRPr="00290FD8">
        <w:t>) која се примењује на све органе државне управе. Остали државни органи такође примењују ту уредбу, а самостално уређују део који се односи састав конкурсне комисије, начин провере компетенција и мерила за избор на радна места.</w:t>
      </w:r>
      <w:r w:rsidR="00290FD8" w:rsidRPr="00290FD8">
        <w:rPr>
          <w:vertAlign w:val="superscript"/>
        </w:rPr>
        <w:footnoteReference w:id="112"/>
      </w:r>
      <w:r w:rsidR="00290FD8" w:rsidRPr="00290FD8">
        <w:t xml:space="preserve"> Уредбом је стандардизован поступак избора у свим државним органима и утврђена значајна улога СУК-а у развоју система и подршци избору.</w:t>
      </w:r>
    </w:p>
    <w:p w14:paraId="32DAD178" w14:textId="5538176A" w:rsidR="00290FD8" w:rsidRPr="00290FD8" w:rsidRDefault="00290FD8" w:rsidP="00290FD8">
      <w:r w:rsidRPr="00290FD8">
        <w:t xml:space="preserve">Наведеним прописом дат је допринос унапређењу </w:t>
      </w:r>
      <w:r w:rsidRPr="00290FD8">
        <w:rPr>
          <w:bCs/>
        </w:rPr>
        <w:t>система запошљавања у складу са принципом заслуга и јачање конкурсног поступка</w:t>
      </w:r>
      <w:r w:rsidRPr="00290FD8">
        <w:rPr>
          <w:b/>
          <w:bCs/>
        </w:rPr>
        <w:t xml:space="preserve"> </w:t>
      </w:r>
      <w:r w:rsidRPr="00290FD8">
        <w:t xml:space="preserve">тако што се </w:t>
      </w:r>
      <w:r w:rsidRPr="00290FD8">
        <w:rPr>
          <w:b/>
          <w:bCs/>
        </w:rPr>
        <w:t>конкурсни поступ</w:t>
      </w:r>
      <w:r w:rsidR="00135806">
        <w:rPr>
          <w:b/>
          <w:bCs/>
        </w:rPr>
        <w:t>ак</w:t>
      </w:r>
      <w:r w:rsidRPr="00290FD8">
        <w:rPr>
          <w:b/>
          <w:bCs/>
        </w:rPr>
        <w:t xml:space="preserve"> спроводи под шифром </w:t>
      </w:r>
      <w:r w:rsidRPr="00290FD8">
        <w:t xml:space="preserve">која се додељује приликом предаје пријаве на конкурс (чиме се постиже анонимност пред конкурсном комисијом), уведени су обавезни делови изборног поступка који треба да омогуће да се у најужем кругу нађу најквалитетнији кандидати, поједностављене су формалности које оптерећују конкурсни поступак, уведена је </w:t>
      </w:r>
      <w:r w:rsidRPr="00290FD8">
        <w:rPr>
          <w:b/>
          <w:bCs/>
        </w:rPr>
        <w:t>јединствена пријава на конкурс за све државне органе</w:t>
      </w:r>
      <w:r w:rsidRPr="00290FD8">
        <w:t xml:space="preserve">, </w:t>
      </w:r>
      <w:r w:rsidRPr="00290FD8">
        <w:rPr>
          <w:b/>
          <w:bCs/>
        </w:rPr>
        <w:t>смањен је обим потребне конкурсне документације</w:t>
      </w:r>
      <w:r w:rsidRPr="00290FD8">
        <w:t xml:space="preserve"> приликом пријаве на конкурс и прописан је </w:t>
      </w:r>
      <w:r w:rsidRPr="00290FD8">
        <w:rPr>
          <w:b/>
          <w:bCs/>
        </w:rPr>
        <w:t>обавезан избор са листе оног кандидата који је постигао најбољи резултат</w:t>
      </w:r>
      <w:r w:rsidRPr="00290FD8">
        <w:t xml:space="preserve"> у року од 15 дана од дана достављања листе кандидата руководиоцу органа, као и </w:t>
      </w:r>
      <w:r w:rsidRPr="00290FD8">
        <w:rPr>
          <w:b/>
          <w:bCs/>
        </w:rPr>
        <w:t>јавно објављивање листе кандидата</w:t>
      </w:r>
      <w:r w:rsidRPr="00290FD8">
        <w:t xml:space="preserve"> који су испунили мерила прописана за избор на сајту СУК-а.</w:t>
      </w:r>
    </w:p>
    <w:p w14:paraId="0FA2C402" w14:textId="77777777" w:rsidR="00290FD8" w:rsidRPr="00290FD8" w:rsidRDefault="00290FD8" w:rsidP="00290FD8">
      <w:r w:rsidRPr="00290FD8">
        <w:t xml:space="preserve">У циљу подршке органима и јачања капацитета запослених за примену иновираног оквира, СУК је у сарадњи са МДУЛС континуирано током 2019. године стварао и јачао капацитете који су омогућили да успешно обави све послове из свог делокруга, као и да </w:t>
      </w:r>
      <w:r w:rsidRPr="00290FD8">
        <w:rPr>
          <w:b/>
          <w:bCs/>
        </w:rPr>
        <w:t>запослени у кадровским јединицама органа</w:t>
      </w:r>
      <w:r w:rsidRPr="00290FD8">
        <w:t xml:space="preserve"> </w:t>
      </w:r>
      <w:r w:rsidRPr="00290FD8">
        <w:rPr>
          <w:b/>
          <w:bCs/>
        </w:rPr>
        <w:t xml:space="preserve">једнообразно поступају </w:t>
      </w:r>
      <w:r w:rsidRPr="00290FD8">
        <w:t xml:space="preserve">(припремљена су сви пратећи документи и обрасци потребни за рад кадровских јединица и конкурсних комисија; у сарадњи са НАЈУ су представници СУК учествовали у припреми и спровођењу обука за запослене у кадровским јединицама и руководиоце; обучено је преко 600 државних службеника за правилно одређивање компетенција и за рад конкурсних комисија у 2019. години; припремљени су видео-материјали о томе и три пратећа приручника; формирана је база тестова за проверу општих функционалних компетенција, која је постављена на платформу за даљинско учење коју администрира СУК, као и база података о резултатима тестираних кандидата; јачани су капацитети СУК и запослених у кадровским јединицама за примену нових инструмената и метода за процену понашајних компетенција кроз обуку преко 40 државних службеника за посматраче у центру за оцењивање; иновирана је база психометријских тестова и база вежби за проверу понашајних компетенција; остварене су индивидуалне консултације и пружена стручна помоћ члановима конкурсне комисије и др.). По захтевима других државних органа у којима запослени из СУК нису обавезни чланови комисија (Агенција за борбу против корупције, Управа царине, Пореска управа, Врховни касациони суд, Уставни суд, Фискални савет), </w:t>
      </w:r>
      <w:r w:rsidRPr="00290FD8">
        <w:rPr>
          <w:b/>
          <w:bCs/>
        </w:rPr>
        <w:t>СУК је такође вршио процену општих функционалних и понашајних компетенција кандидата</w:t>
      </w:r>
      <w:r w:rsidRPr="00290FD8">
        <w:rPr>
          <w:bCs/>
        </w:rPr>
        <w:t>.</w:t>
      </w:r>
      <w:r w:rsidRPr="00290FD8">
        <w:t xml:space="preserve"> СУК је ставио на располагање своје расположиве просторне и техничке капацитете конкурсним комисијама које спроводе изборне поступке. Коришћење постојеће платформе за тестирање кандидата омогућило је да се две фазе изборног поступка обаве у једном дану, чиме се допринело ефикаснијем спровођењу поступка.</w:t>
      </w:r>
    </w:p>
    <w:p w14:paraId="26F80847" w14:textId="7646E759" w:rsidR="003F3312" w:rsidRPr="000F0299" w:rsidRDefault="00290FD8" w:rsidP="00290FD8">
      <w:r w:rsidRPr="00290FD8">
        <w:t>По новој изборној процедури је током 2019. године оглашено 466 конкурсних поступака (416 јавних конкурса, а 50 интерних), окончано је 217, а неуспела су 23, углавном јер није било кандидата који су испунили мерила за захтеване компетенције</w:t>
      </w:r>
      <w:r w:rsidR="003F3312" w:rsidRPr="000F0299">
        <w:t>.</w:t>
      </w:r>
    </w:p>
    <w:p w14:paraId="1462603D" w14:textId="4537DD82" w:rsidR="003F3312" w:rsidRPr="000F0299" w:rsidRDefault="00A26DBF" w:rsidP="00244E7C">
      <w:r w:rsidRPr="000F0299">
        <w:rPr>
          <w:noProof/>
          <w:lang w:val="en-US" w:eastAsia="en-US" w:bidi="ar-SA"/>
        </w:rPr>
        <mc:AlternateContent>
          <mc:Choice Requires="wps">
            <w:drawing>
              <wp:anchor distT="0" distB="0" distL="114300" distR="114300" simplePos="0" relativeHeight="252024320" behindDoc="0" locked="0" layoutInCell="1" allowOverlap="1" wp14:anchorId="4C9FD6B8" wp14:editId="4E513A4B">
                <wp:simplePos x="0" y="0"/>
                <wp:positionH relativeFrom="column">
                  <wp:posOffset>30480</wp:posOffset>
                </wp:positionH>
                <wp:positionV relativeFrom="paragraph">
                  <wp:posOffset>2649855</wp:posOffset>
                </wp:positionV>
                <wp:extent cx="3863340" cy="635"/>
                <wp:effectExtent l="0" t="0" r="0" b="0"/>
                <wp:wrapSquare wrapText="bothSides"/>
                <wp:docPr id="172" name="Text Box 172"/>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wps:spPr>
                      <wps:txbx>
                        <w:txbxContent>
                          <w:p w14:paraId="48CE6223" w14:textId="1B843E9A" w:rsidR="00876FFE" w:rsidRPr="00882BE3" w:rsidRDefault="00876FFE" w:rsidP="00A26DBF">
                            <w:pPr>
                              <w:pStyle w:val="Caption"/>
                              <w:rPr>
                                <w:i w:val="0"/>
                                <w:iCs w:val="0"/>
                                <w:noProof/>
                                <w:sz w:val="24"/>
                                <w:szCs w:val="24"/>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9FD6B8" id="Text Box 172" o:spid="_x0000_s1095" type="#_x0000_t202" style="position:absolute;left:0;text-align:left;margin-left:2.4pt;margin-top:208.65pt;width:304.2pt;height:.05pt;z-index:25202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" stroked="f">
                <v:textbox style="mso-fit-shape-to-text:t" inset="0,0,0,0">
                  <w:txbxContent>
                    <w:p w14:paraId="48CE6223" w14:textId="1B843E9A" w:rsidR="00876FFE" w:rsidRPr="00882BE3" w:rsidRDefault="00876FFE" w:rsidP="00A26DBF">
                      <w:pPr>
                        <w:pStyle w:val="Caption"/>
                        <w:rPr>
                          <w:i w:val="0"/>
                          <w:iCs w:val="0"/>
                          <w:noProof/>
                          <w:sz w:val="24"/>
                          <w:szCs w:val="24"/>
                          <w:lang w:val="en-GB" w:eastAsia="en-GB"/>
                        </w:rPr>
                      </w:pPr>
                    </w:p>
                  </w:txbxContent>
                </v:textbox>
                <w10:wrap type="square"/>
              </v:shape>
            </w:pict>
          </mc:Fallback>
        </mc:AlternateContent>
      </w:r>
      <w:r w:rsidR="003F3312" w:rsidRPr="000F0299">
        <w:rPr>
          <w:noProof/>
          <w:lang w:val="en-US" w:eastAsia="en-US" w:bidi="ar-SA"/>
        </w:rPr>
        <w:drawing>
          <wp:anchor distT="0" distB="0" distL="114300" distR="114300" simplePos="0" relativeHeight="251354624" behindDoc="1" locked="0" layoutInCell="1" allowOverlap="1" wp14:anchorId="709E8237" wp14:editId="1D3630E1">
            <wp:simplePos x="0" y="0"/>
            <wp:positionH relativeFrom="column">
              <wp:posOffset>30480</wp:posOffset>
            </wp:positionH>
            <wp:positionV relativeFrom="paragraph">
              <wp:posOffset>128270</wp:posOffset>
            </wp:positionV>
            <wp:extent cx="3863340" cy="2464435"/>
            <wp:effectExtent l="0" t="0" r="0" b="0"/>
            <wp:wrapSquare wrapText="bothSides"/>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00290FD8" w:rsidRPr="00290FD8">
        <w:t xml:space="preserve">Анализе показују да је и даље </w:t>
      </w:r>
      <w:r w:rsidR="00290FD8" w:rsidRPr="00290FD8">
        <w:rPr>
          <w:b/>
          <w:bCs/>
        </w:rPr>
        <w:t>просечан број кандидата на јавним конкурсима знатно већи него на интерним</w:t>
      </w:r>
      <w:r w:rsidR="00290FD8" w:rsidRPr="00290FD8">
        <w:t>. У 2019. години је било просечно осам кандидата на једно оглашено радно место, док је код интерног конкурса тај однос био два кандидата по једном оглашеном радном месту</w:t>
      </w:r>
      <w:r w:rsidR="003F3312" w:rsidRPr="000F0299">
        <w:t xml:space="preserve">. </w:t>
      </w:r>
    </w:p>
    <w:p w14:paraId="1D12D2D6" w14:textId="0B398B0A" w:rsidR="003F3312" w:rsidRPr="000F0299" w:rsidRDefault="009F44BF" w:rsidP="006534DF">
      <w:r>
        <w:rPr>
          <w:noProof/>
          <w:lang w:val="en-US" w:eastAsia="en-US" w:bidi="ar-SA"/>
        </w:rPr>
        <mc:AlternateContent>
          <mc:Choice Requires="wps">
            <w:drawing>
              <wp:anchor distT="0" distB="0" distL="114300" distR="114300" simplePos="0" relativeHeight="252044800" behindDoc="0" locked="0" layoutInCell="1" allowOverlap="1" wp14:anchorId="579941F5" wp14:editId="42FDF537">
                <wp:simplePos x="0" y="0"/>
                <wp:positionH relativeFrom="margin">
                  <wp:align>left</wp:align>
                </wp:positionH>
                <wp:positionV relativeFrom="paragraph">
                  <wp:posOffset>434340</wp:posOffset>
                </wp:positionV>
                <wp:extent cx="3863340" cy="635"/>
                <wp:effectExtent l="0" t="0" r="3810" b="0"/>
                <wp:wrapSquare wrapText="bothSides"/>
                <wp:docPr id="379" name="Text Box 379"/>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wps:spPr>
                      <wps:txbx>
                        <w:txbxContent>
                          <w:p w14:paraId="1BDFEABD" w14:textId="6F93285F" w:rsidR="00876FFE" w:rsidRPr="009F44BF" w:rsidRDefault="00876FFE" w:rsidP="009F44BF">
                            <w:pPr>
                              <w:pStyle w:val="Caption"/>
                              <w:rPr>
                                <w:i w:val="0"/>
                                <w:iCs w:val="0"/>
                                <w:noProof/>
                                <w:sz w:val="24"/>
                                <w:szCs w:val="24"/>
                              </w:rPr>
                            </w:pPr>
                            <w:bookmarkStart w:id="133" w:name="_Toc57665352"/>
                            <w:r w:rsidRPr="009F44BF">
                              <w:rPr>
                                <w:i w:val="0"/>
                                <w:iCs w:val="0"/>
                              </w:rPr>
                              <w:t xml:space="preserve">Графикон </w:t>
                            </w:r>
                            <w:r w:rsidRPr="009F44BF">
                              <w:rPr>
                                <w:i w:val="0"/>
                                <w:iCs w:val="0"/>
                              </w:rPr>
                              <w:fldChar w:fldCharType="begin"/>
                            </w:r>
                            <w:r w:rsidRPr="009F44BF">
                              <w:rPr>
                                <w:i w:val="0"/>
                                <w:iCs w:val="0"/>
                              </w:rPr>
                              <w:instrText xml:space="preserve"> SEQ Графикон \* ARABIC </w:instrText>
                            </w:r>
                            <w:r w:rsidRPr="009F44BF">
                              <w:rPr>
                                <w:i w:val="0"/>
                                <w:iCs w:val="0"/>
                              </w:rPr>
                              <w:fldChar w:fldCharType="separate"/>
                            </w:r>
                            <w:r>
                              <w:rPr>
                                <w:i w:val="0"/>
                                <w:iCs w:val="0"/>
                                <w:noProof/>
                              </w:rPr>
                              <w:t>16</w:t>
                            </w:r>
                            <w:r w:rsidRPr="009F44BF">
                              <w:rPr>
                                <w:i w:val="0"/>
                                <w:iCs w:val="0"/>
                              </w:rPr>
                              <w:fldChar w:fldCharType="end"/>
                            </w:r>
                            <w:r w:rsidRPr="009F44BF">
                              <w:rPr>
                                <w:i w:val="0"/>
                                <w:iCs w:val="0"/>
                              </w:rPr>
                              <w:t xml:space="preserve"> Однос успешних и неуспешних кандидата на јавним конкурсима</w:t>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9941F5" id="Text Box 379" o:spid="_x0000_s1096" type="#_x0000_t202" style="position:absolute;left:0;text-align:left;margin-left:0;margin-top:34.2pt;width:304.2pt;height:.05pt;z-index:2520448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" stroked="f">
                <v:textbox style="mso-fit-shape-to-text:t" inset="0,0,0,0">
                  <w:txbxContent>
                    <w:p w14:paraId="1BDFEABD" w14:textId="6F93285F" w:rsidR="00876FFE" w:rsidRPr="009F44BF" w:rsidRDefault="00876FFE" w:rsidP="009F44BF">
                      <w:pPr>
                        <w:pStyle w:val="Caption"/>
                        <w:rPr>
                          <w:i w:val="0"/>
                          <w:iCs w:val="0"/>
                          <w:noProof/>
                          <w:sz w:val="24"/>
                          <w:szCs w:val="24"/>
                        </w:rPr>
                      </w:pPr>
                      <w:bookmarkStart w:id="138" w:name="_Toc57665352"/>
                      <w:r w:rsidRPr="009F44BF">
                        <w:rPr>
                          <w:i w:val="0"/>
                          <w:iCs w:val="0"/>
                        </w:rPr>
                        <w:t xml:space="preserve">Графикон </w:t>
                      </w:r>
                      <w:r w:rsidRPr="009F44BF">
                        <w:rPr>
                          <w:i w:val="0"/>
                          <w:iCs w:val="0"/>
                        </w:rPr>
                        <w:fldChar w:fldCharType="begin"/>
                      </w:r>
                      <w:r w:rsidRPr="009F44BF">
                        <w:rPr>
                          <w:i w:val="0"/>
                          <w:iCs w:val="0"/>
                        </w:rPr>
                        <w:instrText xml:space="preserve"> SEQ Графикон \* ARABIC </w:instrText>
                      </w:r>
                      <w:r w:rsidRPr="009F44BF">
                        <w:rPr>
                          <w:i w:val="0"/>
                          <w:iCs w:val="0"/>
                        </w:rPr>
                        <w:fldChar w:fldCharType="separate"/>
                      </w:r>
                      <w:r>
                        <w:rPr>
                          <w:i w:val="0"/>
                          <w:iCs w:val="0"/>
                          <w:noProof/>
                        </w:rPr>
                        <w:t>16</w:t>
                      </w:r>
                      <w:r w:rsidRPr="009F44BF">
                        <w:rPr>
                          <w:i w:val="0"/>
                          <w:iCs w:val="0"/>
                        </w:rPr>
                        <w:fldChar w:fldCharType="end"/>
                      </w:r>
                      <w:r w:rsidRPr="009F44BF">
                        <w:rPr>
                          <w:i w:val="0"/>
                          <w:iCs w:val="0"/>
                        </w:rPr>
                        <w:t xml:space="preserve"> </w:t>
                      </w:r>
                      <w:r w:rsidRPr="009F44BF">
                        <w:rPr>
                          <w:i w:val="0"/>
                          <w:iCs w:val="0"/>
                        </w:rPr>
                        <w:t>Однос успешних и неуспешних кандидата на јавним конкурсима</w:t>
                      </w:r>
                      <w:bookmarkEnd w:id="138"/>
                    </w:p>
                  </w:txbxContent>
                </v:textbox>
                <w10:wrap type="square" anchorx="margin"/>
              </v:shape>
            </w:pict>
          </mc:Fallback>
        </mc:AlternateContent>
      </w:r>
      <w:r w:rsidR="003F3312" w:rsidRPr="000F0299">
        <w:t>На узорку од 20 органа, утврђено је да је од 1.104 кандидата који су се пријавили на конкурсе, 40% кандидата (437) било успешно, односно да су испунили сва мерила и прошли кроз све фазе конкурсног поступка, док је преосталих 60% кандидата (667) искључено из поступка у некој од фази услед тога што нису показали да поседују одређену компетенцију у довољној мери.</w:t>
      </w:r>
    </w:p>
    <w:p w14:paraId="762F2AF0" w14:textId="5717A51B" w:rsidR="003F3312" w:rsidRPr="000F0299" w:rsidRDefault="00A26DBF" w:rsidP="00AB11CA">
      <w:r w:rsidRPr="000F0299">
        <w:rPr>
          <w:noProof/>
          <w:lang w:val="en-US" w:eastAsia="en-US" w:bidi="ar-SA"/>
        </w:rPr>
        <mc:AlternateContent>
          <mc:Choice Requires="wps">
            <w:drawing>
              <wp:anchor distT="0" distB="0" distL="114300" distR="114300" simplePos="0" relativeHeight="252026368" behindDoc="0" locked="0" layoutInCell="1" allowOverlap="1" wp14:anchorId="164C14FE" wp14:editId="23B511C7">
                <wp:simplePos x="0" y="0"/>
                <wp:positionH relativeFrom="column">
                  <wp:posOffset>0</wp:posOffset>
                </wp:positionH>
                <wp:positionV relativeFrom="paragraph">
                  <wp:posOffset>2800350</wp:posOffset>
                </wp:positionV>
                <wp:extent cx="3870960" cy="635"/>
                <wp:effectExtent l="0" t="0" r="0" b="0"/>
                <wp:wrapSquare wrapText="bothSides"/>
                <wp:docPr id="173" name="Text Box 173"/>
                <wp:cNvGraphicFramePr/>
                <a:graphic xmlns:a="http://schemas.openxmlformats.org/drawingml/2006/main">
                  <a:graphicData uri="http://schemas.microsoft.com/office/word/2010/wordprocessingShape">
                    <wps:wsp>
                      <wps:cNvSpPr txBox="1"/>
                      <wps:spPr>
                        <a:xfrm>
                          <a:off x="0" y="0"/>
                          <a:ext cx="3870960" cy="635"/>
                        </a:xfrm>
                        <a:prstGeom prst="rect">
                          <a:avLst/>
                        </a:prstGeom>
                        <a:solidFill>
                          <a:prstClr val="white"/>
                        </a:solidFill>
                        <a:ln>
                          <a:noFill/>
                        </a:ln>
                      </wps:spPr>
                      <wps:txbx>
                        <w:txbxContent>
                          <w:p w14:paraId="2F86E137" w14:textId="518DF731" w:rsidR="00876FFE" w:rsidRPr="00894BCD" w:rsidRDefault="00876FFE" w:rsidP="00894BCD">
                            <w:pPr>
                              <w:pStyle w:val="Caption"/>
                              <w:keepNext/>
                              <w:rPr>
                                <w:i w:val="0"/>
                                <w:iCs w:val="0"/>
                                <w:noProof/>
                                <w:sz w:val="24"/>
                                <w:szCs w:val="24"/>
                                <w:lang w:val="en-GB" w:eastAsia="en-GB"/>
                              </w:rPr>
                            </w:pPr>
                            <w:bookmarkStart w:id="134" w:name="_Toc57665353"/>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17</w:t>
                            </w:r>
                            <w:r w:rsidRPr="00894BCD">
                              <w:rPr>
                                <w:i w:val="0"/>
                                <w:iCs w:val="0"/>
                              </w:rPr>
                              <w:fldChar w:fldCharType="end"/>
                            </w:r>
                            <w:r w:rsidRPr="00894BCD">
                              <w:rPr>
                                <w:i w:val="0"/>
                                <w:iCs w:val="0"/>
                                <w:lang w:val="sr-Cyrl-RS"/>
                              </w:rPr>
                              <w:t xml:space="preserve"> Однос броја слободних радних места, пристиглих пријава и успешних кандидата</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4C14FE" id="Text Box 173" o:spid="_x0000_s1097" type="#_x0000_t202" style="position:absolute;left:0;text-align:left;margin-left:0;margin-top:220.5pt;width:304.8pt;height:.05pt;z-index:25202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" stroked="f">
                <v:textbox style="mso-fit-shape-to-text:t" inset="0,0,0,0">
                  <w:txbxContent>
                    <w:p w14:paraId="2F86E137" w14:textId="518DF731" w:rsidR="00876FFE" w:rsidRPr="00894BCD" w:rsidRDefault="00876FFE" w:rsidP="00894BCD">
                      <w:pPr>
                        <w:pStyle w:val="Caption"/>
                        <w:keepNext/>
                        <w:rPr>
                          <w:i w:val="0"/>
                          <w:iCs w:val="0"/>
                          <w:noProof/>
                          <w:sz w:val="24"/>
                          <w:szCs w:val="24"/>
                          <w:lang w:val="en-GB" w:eastAsia="en-GB"/>
                        </w:rPr>
                      </w:pPr>
                      <w:bookmarkStart w:id="140" w:name="_Toc57665353"/>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17</w:t>
                      </w:r>
                      <w:r w:rsidRPr="00894BCD">
                        <w:rPr>
                          <w:i w:val="0"/>
                          <w:iCs w:val="0"/>
                        </w:rPr>
                        <w:fldChar w:fldCharType="end"/>
                      </w:r>
                      <w:r w:rsidRPr="00894BCD">
                        <w:rPr>
                          <w:i w:val="0"/>
                          <w:iCs w:val="0"/>
                          <w:lang w:val="sr-Cyrl-RS"/>
                        </w:rPr>
                        <w:t xml:space="preserve"> </w:t>
                      </w:r>
                      <w:r w:rsidRPr="00894BCD">
                        <w:rPr>
                          <w:i w:val="0"/>
                          <w:iCs w:val="0"/>
                          <w:lang w:val="sr-Cyrl-RS"/>
                        </w:rPr>
                        <w:t>Однос броја слободних радних места, пристиглих пријава и успешних кандидата</w:t>
                      </w:r>
                      <w:bookmarkEnd w:id="140"/>
                    </w:p>
                  </w:txbxContent>
                </v:textbox>
                <w10:wrap type="square"/>
              </v:shape>
            </w:pict>
          </mc:Fallback>
        </mc:AlternateContent>
      </w:r>
      <w:r w:rsidR="003F3312" w:rsidRPr="000F0299">
        <w:rPr>
          <w:noProof/>
          <w:lang w:val="en-US" w:eastAsia="en-US" w:bidi="ar-SA"/>
        </w:rPr>
        <w:drawing>
          <wp:anchor distT="0" distB="0" distL="114300" distR="114300" simplePos="0" relativeHeight="251355648" behindDoc="0" locked="0" layoutInCell="1" allowOverlap="1" wp14:anchorId="053A6531" wp14:editId="7477CE1D">
            <wp:simplePos x="0" y="0"/>
            <wp:positionH relativeFrom="margin">
              <wp:posOffset>0</wp:posOffset>
            </wp:positionH>
            <wp:positionV relativeFrom="paragraph">
              <wp:posOffset>114300</wp:posOffset>
            </wp:positionV>
            <wp:extent cx="3870960" cy="2628900"/>
            <wp:effectExtent l="0" t="0" r="0" b="0"/>
            <wp:wrapSquare wrapText="bothSides"/>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005E5FCB" w:rsidRPr="005E5FCB">
        <w:rPr>
          <w:rFonts w:eastAsiaTheme="minorHAnsi"/>
          <w:kern w:val="0"/>
          <w:lang w:eastAsia="en-US" w:bidi="ar-SA"/>
        </w:rPr>
        <w:t xml:space="preserve"> </w:t>
      </w:r>
      <w:r w:rsidR="005E5FCB" w:rsidRPr="005E5FCB">
        <w:t xml:space="preserve">Из истог узорка произлази да су пријављена око четири кандидата по радном месту, међутим анализа након спроведеног конкурса показује да је успешан број кандидата мало изнад укупног броја радних места, односно на једно радно место долази 1,5 кандидата, што је изузетно неповољна ситуација. Тај однос, који је мањи од жељеног да би се обезбедила боља конкуренција и квалитет изабраних кандидата, указује да је потребно радити на промени имиџа који државна </w:t>
      </w:r>
      <w:r w:rsidR="003F3312" w:rsidRPr="000F0299">
        <w:t xml:space="preserve">управа има као послодавац </w:t>
      </w:r>
      <w:r w:rsidR="005E5FCB" w:rsidRPr="005E5FCB">
        <w:t>у јавности и привлачењу квалитетних кандидата. У том циљу неопходно је системски приступити и припремити нову комуникациону стратегију за промовисање вредности, услова и могућности за привлачење и запослење оних који желе да своју професионалну каријеру развијају у државној управи, који поседују потребне компетенције и имају потенцијала да се развијају и доприносе на иновативан начин постизању циљева за будућност</w:t>
      </w:r>
      <w:r w:rsidR="003F3312" w:rsidRPr="000F0299">
        <w:t xml:space="preserve">. </w:t>
      </w:r>
    </w:p>
    <w:p w14:paraId="2378EDEB" w14:textId="50BF0BC0" w:rsidR="005E5FCB" w:rsidRPr="005E5FCB" w:rsidRDefault="005E5FCB" w:rsidP="005E5FCB">
      <w:r w:rsidRPr="005E5FCB">
        <w:t xml:space="preserve">Значајно унапређење представља установљена </w:t>
      </w:r>
      <w:r w:rsidRPr="005E5FCB">
        <w:rPr>
          <w:b/>
          <w:bCs/>
        </w:rPr>
        <w:t>обавеза за кадровске јединице</w:t>
      </w:r>
      <w:r w:rsidRPr="005E5FCB">
        <w:rPr>
          <w:b/>
          <w:bCs/>
          <w:vertAlign w:val="superscript"/>
        </w:rPr>
        <w:footnoteReference w:id="113"/>
      </w:r>
      <w:r w:rsidRPr="005E5FCB">
        <w:rPr>
          <w:b/>
          <w:bCs/>
        </w:rPr>
        <w:t xml:space="preserve"> да прате квалитет попуњавања радних места</w:t>
      </w:r>
      <w:r w:rsidRPr="005E5FCB">
        <w:t xml:space="preserve"> у државном органу, о чему једном годишње обавештавају руководиоца органа, као и обавеза СУК-а</w:t>
      </w:r>
      <w:r w:rsidRPr="005E5FCB">
        <w:rPr>
          <w:vertAlign w:val="superscript"/>
        </w:rPr>
        <w:footnoteReference w:id="114"/>
      </w:r>
      <w:r w:rsidRPr="005E5FCB">
        <w:t xml:space="preserve"> да изради Годишњи извештај о квалитету попуњавања радних места у органима државне управе, који доставља Влади. Први извештај који је СУК припремио показује да је просечно време трајања изборног поступка 119 дана од оглашавања до избора најбољег кандидата (најдуже је трајао један јавни конкурс – 356 дана, а најкраће један интерни конкурс – 15 дана). Та ситуација, као и ситуација настала услед пандемије </w:t>
      </w:r>
      <w:r w:rsidRPr="005E5FCB">
        <w:rPr>
          <w:iCs/>
        </w:rPr>
        <w:t>ковид-19</w:t>
      </w:r>
      <w:r w:rsidRPr="005E5FCB">
        <w:t xml:space="preserve">, због које је обустављено спровођење изборних поступака, представља уједно и изазов и намеће потребу да се што хитније анализирају могућности да се у законодавни оквир уведу савремене методе избора прилагођене новим информационим технологијама и примене у пракси. </w:t>
      </w:r>
    </w:p>
    <w:p w14:paraId="3390E364" w14:textId="02AD8B91" w:rsidR="003F3312" w:rsidRPr="000F0299" w:rsidRDefault="005E5FCB" w:rsidP="005E5FCB">
      <w:r w:rsidRPr="005E5FCB">
        <w:t xml:space="preserve">У односу на претходна законска решења, позитивни ефекти нових решења одразили су се на </w:t>
      </w:r>
      <w:r w:rsidRPr="005E5FCB">
        <w:rPr>
          <w:b/>
          <w:bCs/>
        </w:rPr>
        <w:t>мањи број жалби у вези са спровођењем изборних поступака</w:t>
      </w:r>
      <w:r w:rsidRPr="005E5FCB">
        <w:t xml:space="preserve"> него претходни</w:t>
      </w:r>
      <w:r>
        <w:t>х</w:t>
      </w:r>
      <w:r w:rsidRPr="005E5FCB">
        <w:t xml:space="preserve"> година. Оно што је посебно уочљиво то је да је мањи број жалби на конкурсне поступке у органима </w:t>
      </w:r>
      <w:r w:rsidR="003F3312" w:rsidRPr="000F0299">
        <w:t xml:space="preserve">у којима су представници СУК-а чланови конкурсних комисија. </w:t>
      </w:r>
    </w:p>
    <w:p w14:paraId="09F6DF3C" w14:textId="7CAE6AFF" w:rsidR="003F3312" w:rsidRPr="000F0299" w:rsidRDefault="003F3312" w:rsidP="00244E7C">
      <w:r w:rsidRPr="000F0299">
        <w:rPr>
          <w:noProof/>
          <w:lang w:val="en-US" w:eastAsia="en-US" w:bidi="ar-SA"/>
        </w:rPr>
        <w:drawing>
          <wp:anchor distT="0" distB="0" distL="114300" distR="114300" simplePos="0" relativeHeight="251357696" behindDoc="1" locked="0" layoutInCell="1" allowOverlap="1" wp14:anchorId="7F688A92" wp14:editId="332B3209">
            <wp:simplePos x="0" y="0"/>
            <wp:positionH relativeFrom="margin">
              <wp:posOffset>2932430</wp:posOffset>
            </wp:positionH>
            <wp:positionV relativeFrom="paragraph">
              <wp:posOffset>5080</wp:posOffset>
            </wp:positionV>
            <wp:extent cx="3210560" cy="1747520"/>
            <wp:effectExtent l="0" t="0" r="8890" b="5080"/>
            <wp:wrapTight wrapText="bothSides">
              <wp:wrapPolygon edited="0">
                <wp:start x="0" y="0"/>
                <wp:lineTo x="0" y="21427"/>
                <wp:lineTo x="21532" y="21427"/>
                <wp:lineTo x="21532" y="0"/>
                <wp:lineTo x="0" y="0"/>
              </wp:wrapPolygon>
            </wp:wrapTight>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Pr="000F0299">
        <w:rPr>
          <w:noProof/>
          <w:lang w:val="en-US" w:eastAsia="en-US" w:bidi="ar-SA"/>
        </w:rPr>
        <w:drawing>
          <wp:anchor distT="0" distB="0" distL="114300" distR="114300" simplePos="0" relativeHeight="251356672" behindDoc="0" locked="0" layoutInCell="1" allowOverlap="1" wp14:anchorId="50F8D507" wp14:editId="1B2B54B8">
            <wp:simplePos x="0" y="0"/>
            <wp:positionH relativeFrom="margin">
              <wp:align>left</wp:align>
            </wp:positionH>
            <wp:positionV relativeFrom="paragraph">
              <wp:posOffset>-5715</wp:posOffset>
            </wp:positionV>
            <wp:extent cx="2701636" cy="1799186"/>
            <wp:effectExtent l="0" t="0" r="3810" b="0"/>
            <wp:wrapNone/>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Pr="000F0299">
        <w:tab/>
      </w:r>
    </w:p>
    <w:p w14:paraId="5EDEBDDD" w14:textId="52648467" w:rsidR="003F3312" w:rsidRPr="000F0299" w:rsidRDefault="003F3312" w:rsidP="00244E7C"/>
    <w:p w14:paraId="2226A28D" w14:textId="7303A5F5" w:rsidR="003F3312" w:rsidRPr="000F0299" w:rsidRDefault="003F3312" w:rsidP="00244E7C"/>
    <w:p w14:paraId="3F36B7D7" w14:textId="6CBE9EAE" w:rsidR="003F3312" w:rsidRPr="000F0299" w:rsidRDefault="003F3312" w:rsidP="00244E7C"/>
    <w:p w14:paraId="31378AEC" w14:textId="036DB00A" w:rsidR="003F3312" w:rsidRPr="000F0299" w:rsidRDefault="003F3312" w:rsidP="00244E7C"/>
    <w:p w14:paraId="3AD95514" w14:textId="5A5F2BCC" w:rsidR="003F3312" w:rsidRPr="000F0299" w:rsidRDefault="003F3312" w:rsidP="00244E7C"/>
    <w:p w14:paraId="1F819218" w14:textId="4BEA9476" w:rsidR="00894BCD" w:rsidRPr="000F0299" w:rsidRDefault="00894BCD" w:rsidP="00894BCD">
      <w:r>
        <w:rPr>
          <w:noProof/>
          <w:lang w:val="en-US" w:eastAsia="en-US" w:bidi="ar-SA"/>
        </w:rPr>
        <mc:AlternateContent>
          <mc:Choice Requires="wps">
            <w:drawing>
              <wp:anchor distT="0" distB="0" distL="114300" distR="114300" simplePos="0" relativeHeight="252046848" behindDoc="0" locked="0" layoutInCell="1" allowOverlap="1" wp14:anchorId="5B0CC005" wp14:editId="685DDB53">
                <wp:simplePos x="0" y="0"/>
                <wp:positionH relativeFrom="column">
                  <wp:posOffset>-54489</wp:posOffset>
                </wp:positionH>
                <wp:positionV relativeFrom="paragraph">
                  <wp:posOffset>328295</wp:posOffset>
                </wp:positionV>
                <wp:extent cx="5723255" cy="635"/>
                <wp:effectExtent l="0" t="0" r="0" b="0"/>
                <wp:wrapTopAndBottom/>
                <wp:docPr id="380" name="Text Box 380"/>
                <wp:cNvGraphicFramePr/>
                <a:graphic xmlns:a="http://schemas.openxmlformats.org/drawingml/2006/main">
                  <a:graphicData uri="http://schemas.microsoft.com/office/word/2010/wordprocessingShape">
                    <wps:wsp>
                      <wps:cNvSpPr txBox="1"/>
                      <wps:spPr>
                        <a:xfrm>
                          <a:off x="0" y="0"/>
                          <a:ext cx="5723255" cy="635"/>
                        </a:xfrm>
                        <a:prstGeom prst="rect">
                          <a:avLst/>
                        </a:prstGeom>
                        <a:solidFill>
                          <a:prstClr val="white"/>
                        </a:solidFill>
                        <a:ln>
                          <a:noFill/>
                        </a:ln>
                      </wps:spPr>
                      <wps:txbx>
                        <w:txbxContent>
                          <w:p w14:paraId="41A7084F" w14:textId="18F136CA" w:rsidR="00876FFE" w:rsidRPr="00894BCD" w:rsidRDefault="00876FFE" w:rsidP="00894BCD">
                            <w:pPr>
                              <w:pStyle w:val="Caption"/>
                              <w:rPr>
                                <w:i w:val="0"/>
                                <w:iCs w:val="0"/>
                                <w:noProof/>
                                <w:sz w:val="24"/>
                                <w:szCs w:val="24"/>
                              </w:rPr>
                            </w:pPr>
                            <w:bookmarkStart w:id="135" w:name="_Toc57665354"/>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18</w:t>
                            </w:r>
                            <w:r w:rsidRPr="00894BCD">
                              <w:rPr>
                                <w:i w:val="0"/>
                                <w:iCs w:val="0"/>
                              </w:rPr>
                              <w:fldChar w:fldCharType="end"/>
                            </w:r>
                            <w:r w:rsidRPr="00894BCD">
                              <w:rPr>
                                <w:i w:val="0"/>
                                <w:iCs w:val="0"/>
                              </w:rPr>
                              <w:t xml:space="preserve"> Преглед жалби на резултате изборног поступка</w:t>
                            </w:r>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0CC005" id="Text Box 380" o:spid="_x0000_s1098" type="#_x0000_t202" style="position:absolute;left:0;text-align:left;margin-left:-4.3pt;margin-top:25.85pt;width:450.65pt;height:.05pt;z-index:25204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" stroked="f">
                <v:textbox style="mso-fit-shape-to-text:t" inset="0,0,0,0">
                  <w:txbxContent>
                    <w:p w14:paraId="41A7084F" w14:textId="18F136CA" w:rsidR="00876FFE" w:rsidRPr="00894BCD" w:rsidRDefault="00876FFE" w:rsidP="00894BCD">
                      <w:pPr>
                        <w:pStyle w:val="Caption"/>
                        <w:rPr>
                          <w:i w:val="0"/>
                          <w:iCs w:val="0"/>
                          <w:noProof/>
                          <w:sz w:val="24"/>
                          <w:szCs w:val="24"/>
                        </w:rPr>
                      </w:pPr>
                      <w:bookmarkStart w:id="142" w:name="_Toc57665354"/>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18</w:t>
                      </w:r>
                      <w:r w:rsidRPr="00894BCD">
                        <w:rPr>
                          <w:i w:val="0"/>
                          <w:iCs w:val="0"/>
                        </w:rPr>
                        <w:fldChar w:fldCharType="end"/>
                      </w:r>
                      <w:r w:rsidRPr="00894BCD">
                        <w:rPr>
                          <w:i w:val="0"/>
                          <w:iCs w:val="0"/>
                        </w:rPr>
                        <w:t xml:space="preserve"> Преглед жалби на резултате изборног поступка</w:t>
                      </w:r>
                      <w:bookmarkEnd w:id="142"/>
                    </w:p>
                  </w:txbxContent>
                </v:textbox>
                <w10:wrap type="topAndBottom"/>
              </v:shape>
            </w:pict>
          </mc:Fallback>
        </mc:AlternateContent>
      </w:r>
    </w:p>
    <w:p w14:paraId="2273272B" w14:textId="7F3247CC" w:rsidR="005E5FCB" w:rsidRPr="005E5FCB" w:rsidRDefault="005E5FCB" w:rsidP="005E5FCB">
      <w:r w:rsidRPr="005E5FCB">
        <w:t xml:space="preserve">Да би се повећала интерна мобилност кадра унутар државних органа и између државних органа и органа АП и ЈЛС, </w:t>
      </w:r>
      <w:r w:rsidRPr="005E5FCB">
        <w:rPr>
          <w:b/>
          <w:bCs/>
        </w:rPr>
        <w:t>иновирано је интерно тржиште рада</w:t>
      </w:r>
      <w:r w:rsidRPr="005E5FCB">
        <w:t xml:space="preserve"> доношењем Уредбе о интерном тржишту рада државних органа</w:t>
      </w:r>
      <w:r w:rsidR="001C6827">
        <w:t xml:space="preserve"> („Службени гласник РС”, број 88/19)</w:t>
      </w:r>
      <w:r w:rsidRPr="005E5FCB">
        <w:t xml:space="preserve"> као инструмент којем је од почетка 2020. године циљ то да утиче на ефикасност попуњавања радних места, допринесе каријерном развоју и задржи квалитетан кадар. Дата је значајна улога СУК-а у вези функционисањем тог тржишта у погледу посредовања између органа и државних службеника који су исказали захтев за промену послова и у процени компетенција кандидата. Од почетка 2020. године на интерно тржиште рада пријавило се укупно 207 лица, а закључно са 31. септембром 2020. преузета су 33 лица у неки други државни орган уз обавезну проверу недостајућих компетенција, што представља значајан помак у транспарентности мобилности кадра, али је и даље потребно радити на њеном промовисању како би се у већој мери искористиле њене могућности и повећала ефикасност у попуњавању радних места у органима.</w:t>
      </w:r>
    </w:p>
    <w:p w14:paraId="54FE1A92" w14:textId="36B26C6C" w:rsidR="003F3312" w:rsidRPr="000F0299" w:rsidRDefault="005E5FCB" w:rsidP="005E5FCB">
      <w:r w:rsidRPr="005E5FCB">
        <w:t>Међутим, у наредном периоду потребно је успоставити адекватан однос између интерног тржишта рада и интерног конкурса, и определити се за обавезност интерног конкурса када механизми интерног тржишта рада омогућавају да се интерно задовоље потребе за попуњавањем радних места у органима, и то из ширег круга лица која су исказала жељу да промене радно место. Такође, досадашња анализа спровођења интерног конкурса показује да се он често користи као механизам за унапређења у већа звања већ унапред одређених интерних запослених који не испуњавају услове да буду интерно премештени на радна места са већим звањима због краћег радног искуства у органима, чиме се доводи у питање сврсисходност појединих инструмената који утичу на каријерни развој запослених (праћење и вредновање радне успешности и стицање искуства кроз рад у државним органима као основна претпоставка каријерног развоја</w:t>
      </w:r>
      <w:r w:rsidR="003F3312" w:rsidRPr="000F0299">
        <w:t>).</w:t>
      </w:r>
    </w:p>
    <w:p w14:paraId="334E27B6" w14:textId="75899BCD" w:rsidR="003F3312" w:rsidRPr="000F0299" w:rsidRDefault="005E5FCB" w:rsidP="00AB11CA">
      <w:r w:rsidRPr="005E5FCB">
        <w:t xml:space="preserve">Такође, иновирани оквир је предвидео да ће се почев од 1. јануара 2021. године </w:t>
      </w:r>
      <w:r w:rsidRPr="005E5FCB">
        <w:rPr>
          <w:b/>
          <w:bCs/>
        </w:rPr>
        <w:t>радни однос на одређено време због привремено повећаног обима посла заснивати само након спроведеног јавног конкурса</w:t>
      </w:r>
      <w:r w:rsidRPr="005E5FCB">
        <w:t>. Изузетно, без спроведеног конкурса могуће је засновати радни однос на одређено време само ако се ради о лицу које је у претходне две године учествовало у јавном конкурсу који је спроводио државни орган и ако је испунило мерила за избор. Иако је радни однос на неодређено време правило у државним органима, последице фискалне консолидације и смањења расхода за запослене, као и ограничења запошљавања у претходном периоду, условили су да се одређени број лица у органима ангажује на одређено време кроз радни однос или на основу других уговора ван радног односа. Према подацима за децембар 2019. године, број запослених на одређено време у органима државне управе износи 10%, а за септембар 2020. године износи 12%, а други облици радног ангажовања су такође 12% у укупној структури запослених, што се не може сматрати повољном ситуацијом. Дуготрајност рада на одређено време негативно утиче</w:t>
      </w:r>
      <w:r w:rsidR="003F3312" w:rsidRPr="000F0299">
        <w:t xml:space="preserve"> на мотивисаност лица за рад, могућности каријерног развоја и нестабилност капацитета управе. </w:t>
      </w:r>
    </w:p>
    <w:p w14:paraId="5C60A249" w14:textId="5CAD1E7B" w:rsidR="00AB11CA" w:rsidRPr="000F0299" w:rsidRDefault="00605261" w:rsidP="00605261">
      <w:pPr>
        <w:ind w:firstLine="0"/>
        <w:rPr>
          <w:i/>
          <w:iCs/>
        </w:rPr>
      </w:pPr>
      <w:r w:rsidRPr="000F0299">
        <w:rPr>
          <w:noProof/>
          <w:lang w:val="en-US" w:eastAsia="en-US" w:bidi="ar-SA"/>
        </w:rPr>
        <mc:AlternateContent>
          <mc:Choice Requires="wpg">
            <w:drawing>
              <wp:anchor distT="0" distB="0" distL="114300" distR="114300" simplePos="0" relativeHeight="251412992" behindDoc="0" locked="0" layoutInCell="1" allowOverlap="1" wp14:anchorId="507C77F8" wp14:editId="73B4001A">
                <wp:simplePos x="0" y="0"/>
                <wp:positionH relativeFrom="margin">
                  <wp:posOffset>-100542</wp:posOffset>
                </wp:positionH>
                <wp:positionV relativeFrom="paragraph">
                  <wp:posOffset>287655</wp:posOffset>
                </wp:positionV>
                <wp:extent cx="5934710" cy="2458085"/>
                <wp:effectExtent l="0" t="0" r="8890" b="0"/>
                <wp:wrapTopAndBottom/>
                <wp:docPr id="46" name="Group 46"/>
                <wp:cNvGraphicFramePr/>
                <a:graphic xmlns:a="http://schemas.openxmlformats.org/drawingml/2006/main">
                  <a:graphicData uri="http://schemas.microsoft.com/office/word/2010/wordprocessingGroup">
                    <wpg:wgp>
                      <wpg:cNvGrpSpPr/>
                      <wpg:grpSpPr>
                        <a:xfrm>
                          <a:off x="0" y="0"/>
                          <a:ext cx="5934710" cy="2458085"/>
                          <a:chOff x="0" y="-118533"/>
                          <a:chExt cx="5934921" cy="2458508"/>
                        </a:xfrm>
                      </wpg:grpSpPr>
                      <wpg:graphicFrame>
                        <wpg:cNvPr id="71" name="Chart 71"/>
                        <wpg:cNvFrPr/>
                        <wpg:xfrm>
                          <a:off x="0" y="0"/>
                          <a:ext cx="2862580" cy="2339975"/>
                        </wpg:xfrm>
                        <a:graphic>
                          <a:graphicData uri="http://schemas.openxmlformats.org/drawingml/2006/chart">
                            <c:chart xmlns:c="http://schemas.openxmlformats.org/drawingml/2006/chart" xmlns:r="http://schemas.openxmlformats.org/officeDocument/2006/relationships" r:id="rId94"/>
                          </a:graphicData>
                        </a:graphic>
                      </wpg:graphicFrame>
                      <wpg:graphicFrame>
                        <wpg:cNvPr id="72" name="Chart 72"/>
                        <wpg:cNvFrPr/>
                        <wpg:xfrm>
                          <a:off x="2904066" y="-118533"/>
                          <a:ext cx="3030855" cy="2339975"/>
                        </wpg:xfrm>
                        <a:graphic>
                          <a:graphicData uri="http://schemas.openxmlformats.org/drawingml/2006/chart">
                            <c:chart xmlns:c="http://schemas.openxmlformats.org/drawingml/2006/chart" xmlns:r="http://schemas.openxmlformats.org/officeDocument/2006/relationships" r:id="rId95"/>
                          </a:graphicData>
                        </a:graphic>
                      </wpg:graphicFrame>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05D48B" id="Group 46" o:spid="_x0000_s1026" style="position:absolute;margin-left:-7.9pt;margin-top:22.65pt;width:467.3pt;height:193.55pt;z-index:251412992;mso-position-horizontal-relative:margin;mso-width-relative:margin;mso-height-relative:margin" coordorigin=",-1185" coordsize="59349,24585" o:gfxdata="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CgAAAAAAAAAhAHZbBfwJJAAACSQAAC0AAABkcnMvZW1iZWRkaW5ncy9NaWNyb3Nv&#10;ZnRfRXhjZWxfV29ya3NoZWV0Lnhsc3hQSwMEFAAGAAgAAAAhAN0ri1hsAQAAEAU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AoA&#10;AAAAAAAAIQDtKdE7LCYAACwmAAAuAAAAZHJzL2VtYmVkZGluZ3MvTWljcm9zb2Z0X0V4Y2VsX1dv&#10;cmtzaGVldDEueGxzeFBLAwQUAAYACAAAACEA3SuLWGwBAAAQBQ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&#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">
                <v:shape id="Chart 71" o:spid="_x0000_s1027" type="#_x0000_t75" style="position:absolute;top:-26;width:28652;height:23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">
                  <v:imagedata r:id="rId97" o:title=""/>
                  <o:lock v:ext="edit" aspectratio="f"/>
                </v:shape>
                <v:shape id="Chart 72" o:spid="_x0000_s1028" type="#_x0000_t75" style="position:absolute;left:29017;top:-1185;width:30360;height:23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">
                  <v:imagedata r:id="rId98" o:title=""/>
                  <o:lock v:ext="edit" aspectratio="f"/>
                </v:shape>
                <w10:wrap type="topAndBottom" anchorx="margin"/>
              </v:group>
              <o:OLEObject Type="Embed" ProgID="Excel.Chart.8" ShapeID="Chart 71" DrawAspect="Content" ObjectID="_1668274557" r:id="rId99">
                <o:FieldCodes>\s</o:FieldCodes>
              </o:OLEObject>
              <o:OLEObject Type="Embed" ProgID="Excel.Chart.8" ShapeID="Chart 72" DrawAspect="Content" ObjectID="_1668274558" r:id="rId100">
                <o:FieldCodes>\s</o:FieldCodes>
              </o:OLEObject>
            </w:pict>
          </mc:Fallback>
        </mc:AlternateContent>
      </w:r>
    </w:p>
    <w:p w14:paraId="773A504F" w14:textId="60ADE3AF" w:rsidR="00894BCD" w:rsidRPr="00894BCD" w:rsidRDefault="00894BCD" w:rsidP="00894BCD">
      <w:pPr>
        <w:pStyle w:val="FootnoteText"/>
        <w:rPr>
          <w:i/>
          <w:iCs/>
          <w:lang w:val="sr-Cyrl-RS"/>
        </w:rPr>
      </w:pPr>
      <w:r>
        <w:rPr>
          <w:lang w:val="en-US" w:eastAsia="en-US" w:bidi="ar-SA"/>
        </w:rPr>
        <mc:AlternateContent>
          <mc:Choice Requires="wps">
            <w:drawing>
              <wp:anchor distT="0" distB="0" distL="114300" distR="114300" simplePos="0" relativeHeight="252048896" behindDoc="0" locked="0" layoutInCell="1" allowOverlap="1" wp14:anchorId="5417AEB3" wp14:editId="5B74D670">
                <wp:simplePos x="0" y="0"/>
                <wp:positionH relativeFrom="margin">
                  <wp:align>center</wp:align>
                </wp:positionH>
                <wp:positionV relativeFrom="paragraph">
                  <wp:posOffset>2733040</wp:posOffset>
                </wp:positionV>
                <wp:extent cx="5934710" cy="635"/>
                <wp:effectExtent l="0" t="0" r="8890" b="8255"/>
                <wp:wrapTopAndBottom/>
                <wp:docPr id="381" name="Text Box 381"/>
                <wp:cNvGraphicFramePr/>
                <a:graphic xmlns:a="http://schemas.openxmlformats.org/drawingml/2006/main">
                  <a:graphicData uri="http://schemas.microsoft.com/office/word/2010/wordprocessingShape">
                    <wps:wsp>
                      <wps:cNvSpPr txBox="1"/>
                      <wps:spPr>
                        <a:xfrm>
                          <a:off x="0" y="0"/>
                          <a:ext cx="5934710" cy="635"/>
                        </a:xfrm>
                        <a:prstGeom prst="rect">
                          <a:avLst/>
                        </a:prstGeom>
                        <a:solidFill>
                          <a:prstClr val="white"/>
                        </a:solidFill>
                        <a:ln>
                          <a:noFill/>
                        </a:ln>
                      </wps:spPr>
                      <wps:txbx>
                        <w:txbxContent>
                          <w:p w14:paraId="51D63F19" w14:textId="4C0D6A3F" w:rsidR="00876FFE" w:rsidRPr="00894BCD" w:rsidRDefault="00876FFE" w:rsidP="00894BCD">
                            <w:pPr>
                              <w:pStyle w:val="Caption"/>
                              <w:rPr>
                                <w:rFonts w:eastAsia="Times New Roman"/>
                                <w:i w:val="0"/>
                                <w:iCs w:val="0"/>
                                <w:noProof/>
                                <w:sz w:val="20"/>
                                <w:szCs w:val="20"/>
                              </w:rPr>
                            </w:pPr>
                            <w:bookmarkStart w:id="136" w:name="_Toc57665355"/>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19</w:t>
                            </w:r>
                            <w:r w:rsidRPr="00894BCD">
                              <w:rPr>
                                <w:i w:val="0"/>
                                <w:iCs w:val="0"/>
                              </w:rPr>
                              <w:fldChar w:fldCharType="end"/>
                            </w:r>
                            <w:r w:rsidRPr="00894BCD">
                              <w:rPr>
                                <w:i w:val="0"/>
                                <w:iCs w:val="0"/>
                              </w:rPr>
                              <w:t xml:space="preserve"> Однос запослених на одређено, неодређено време и ван радног односа у ОДУ</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7AEB3" id="Text Box 381" o:spid="_x0000_s1099" type="#_x0000_t202" style="position:absolute;left:0;text-align:left;margin-left:0;margin-top:215.2pt;width:467.3pt;height:.05pt;z-index:2520488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" stroked="f">
                <v:textbox style="mso-fit-shape-to-text:t" inset="0,0,0,0">
                  <w:txbxContent>
                    <w:p w14:paraId="51D63F19" w14:textId="4C0D6A3F" w:rsidR="00876FFE" w:rsidRPr="00894BCD" w:rsidRDefault="00876FFE" w:rsidP="00894BCD">
                      <w:pPr>
                        <w:pStyle w:val="Caption"/>
                        <w:rPr>
                          <w:rFonts w:eastAsia="Times New Roman"/>
                          <w:i w:val="0"/>
                          <w:iCs w:val="0"/>
                          <w:noProof/>
                          <w:sz w:val="20"/>
                          <w:szCs w:val="20"/>
                        </w:rPr>
                      </w:pPr>
                      <w:bookmarkStart w:id="144" w:name="_Toc57665355"/>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19</w:t>
                      </w:r>
                      <w:r w:rsidRPr="00894BCD">
                        <w:rPr>
                          <w:i w:val="0"/>
                          <w:iCs w:val="0"/>
                        </w:rPr>
                        <w:fldChar w:fldCharType="end"/>
                      </w:r>
                      <w:r w:rsidRPr="00894BCD">
                        <w:rPr>
                          <w:i w:val="0"/>
                          <w:iCs w:val="0"/>
                        </w:rPr>
                        <w:t xml:space="preserve"> </w:t>
                      </w:r>
                      <w:r w:rsidRPr="00894BCD">
                        <w:rPr>
                          <w:i w:val="0"/>
                          <w:iCs w:val="0"/>
                        </w:rPr>
                        <w:t>Однос запослених на одређено, неодређено време и ван радног односа у ОДУ</w:t>
                      </w:r>
                      <w:bookmarkEnd w:id="144"/>
                    </w:p>
                  </w:txbxContent>
                </v:textbox>
                <w10:wrap type="topAndBottom" anchorx="margin"/>
              </v:shape>
            </w:pict>
          </mc:Fallback>
        </mc:AlternateContent>
      </w:r>
      <w:r w:rsidR="0081607B" w:rsidRPr="000F0299">
        <w:rPr>
          <w:i/>
          <w:iCs/>
          <w:lang w:val="sr-Cyrl-RS"/>
        </w:rPr>
        <w:t>Извор: Централни регистар обавезног социјалног осигурања</w:t>
      </w:r>
    </w:p>
    <w:p w14:paraId="7D3C5C13" w14:textId="48301249" w:rsidR="003F3312" w:rsidRPr="000F0299" w:rsidRDefault="005E5FCB" w:rsidP="005E5FCB">
      <w:r w:rsidRPr="005E5FCB">
        <w:t>Међутим, због контролисаног запошљавања претходне две године и недовољно спроведених конкурсних поступака који су предуслов за стварање базе података о лицима која би се потенцијално укључивала у систем рада на одређено време без конкурсног поступка, потребно је још једном у консултативном процесу и уз процену капацитета органа за примену те одредбе, преиспитати рокове да се пређе на конкурсни вид запошљавања на одређено време како се не би угрозила ефикасност рада органа док трају конкурсни поступци. Иако сама по себи одредба представља допринос професионализацији управе, иницијативе појединих органа које су поднете за одлагање њене примене, као и недостаци у системском планирању кадрова на које је указано у претходном делу, захтевају да се успостави адекватан временски оквир којим ће се уважити однос између унапређења планирања кадрова и могућности да се спроведе та форма заснивања радног односа са екстерном контролом запошљавања коју врши надлежна комисије Владе како би се избегли потенцијални негативни ефекти по рад органа</w:t>
      </w:r>
      <w:r w:rsidR="003F3312" w:rsidRPr="000F0299">
        <w:t>.</w:t>
      </w:r>
      <w:r w:rsidR="00CC27EF" w:rsidRPr="000F0299">
        <w:t xml:space="preserve"> </w:t>
      </w:r>
    </w:p>
    <w:p w14:paraId="75CAB32E" w14:textId="75DA8186" w:rsidR="0050604A" w:rsidRPr="0050604A" w:rsidRDefault="003F3312" w:rsidP="0050604A">
      <w:r w:rsidRPr="000F0299">
        <w:rPr>
          <w:b/>
          <w:bCs/>
        </w:rPr>
        <w:t>Процес регрутације и селекције у Министарству унутрашњих послова</w:t>
      </w:r>
      <w:r w:rsidR="00CC27EF" w:rsidRPr="000F0299">
        <w:t xml:space="preserve"> </w:t>
      </w:r>
      <w:r w:rsidR="0050604A" w:rsidRPr="0050604A">
        <w:t>уређен је Законом о полицији, који утврђује да се функција УЉР, између осталог, остварује професионалним планирањем, регрутацијом, селекцијом и едукацијом при избору и током рада запослених у Министарству.</w:t>
      </w:r>
      <w:r w:rsidR="0050604A" w:rsidRPr="0050604A">
        <w:rPr>
          <w:vertAlign w:val="superscript"/>
        </w:rPr>
        <w:footnoteReference w:id="115"/>
      </w:r>
      <w:r w:rsidR="0050604A" w:rsidRPr="0050604A">
        <w:t xml:space="preserve"> Сходно Закону о полицији радни однос у Министарству заснива се путем конкурса и само на местима која су предвиђена актом о унутрашњем уређењу и систематизацији радних места која нису попуњена и када је попуна тог радног места у складу са кадровским планом који доноси министар.</w:t>
      </w:r>
      <w:r w:rsidR="0050604A" w:rsidRPr="0050604A">
        <w:rPr>
          <w:b/>
          <w:bCs/>
        </w:rPr>
        <w:t xml:space="preserve"> </w:t>
      </w:r>
      <w:r w:rsidR="0050604A" w:rsidRPr="0050604A">
        <w:t>Поступак и начин спровођења конкурса уређени су Уредбом о спровођењу јавног конкурса за попуњавање радних места полицијских службеника у Министарству унутрашњих послова (</w:t>
      </w:r>
      <w:r w:rsidR="0050604A" w:rsidRPr="0050604A">
        <w:rPr>
          <w:lang w:val="sr-Latn-RS"/>
        </w:rPr>
        <w:t>„Службени гласник РС”, број 18/19</w:t>
      </w:r>
      <w:r w:rsidR="0050604A" w:rsidRPr="0050604A">
        <w:t>.). У изборном поступку комисија проверава и оцењује стручне оспособљености, знања и вештине кандидата и да ли су испуњени други потребни услови наведени у огласу, односно процес регрутације и избора се спроводи уз поштовање принципа конкурентности, резултата које кандидати остварују у фазама изборног поступка (психолошки захтеви и базичне компетенције, техничке компетенције – знања и вештине, интервју) и објективности.</w:t>
      </w:r>
    </w:p>
    <w:p w14:paraId="7C48E444" w14:textId="63E712B3" w:rsidR="0050604A" w:rsidRPr="0050604A" w:rsidRDefault="0050604A" w:rsidP="0050604A">
      <w:pPr>
        <w:rPr>
          <w:bCs/>
        </w:rPr>
      </w:pPr>
      <w:r w:rsidRPr="0050604A">
        <w:t>У 2019. години оглашено је и спроведено укупно 50</w:t>
      </w:r>
      <w:r w:rsidRPr="0050604A">
        <w:rPr>
          <w:b/>
          <w:bCs/>
        </w:rPr>
        <w:t xml:space="preserve"> конкур</w:t>
      </w:r>
      <w:r w:rsidR="00135806">
        <w:rPr>
          <w:b/>
          <w:bCs/>
        </w:rPr>
        <w:t>с</w:t>
      </w:r>
      <w:r w:rsidRPr="0050604A">
        <w:rPr>
          <w:b/>
          <w:bCs/>
        </w:rPr>
        <w:t>них поступака за лица на положају</w:t>
      </w:r>
      <w:r w:rsidRPr="0050604A">
        <w:t>, а до 15. септембра 2020. године још 46.</w:t>
      </w:r>
      <w:r w:rsidRPr="0050604A">
        <w:rPr>
          <w:bCs/>
        </w:rPr>
        <w:t xml:space="preserve"> Просечан број кандидата на конкурсима је остао на знатно ниском нивоу и током 2019. године износио је око 1,2 на интерном конкурсу, односно 3,5 на јавном конкурсу, што указује да је потребно размотрити оправданост интерног конкурса у систему и конкурсе учинити атрактивнијим и разумљивим за спољне кандидате. </w:t>
      </w:r>
    </w:p>
    <w:p w14:paraId="136A0EF3" w14:textId="77777777" w:rsidR="0050604A" w:rsidRPr="0050604A" w:rsidRDefault="0050604A" w:rsidP="0050604A">
      <w:pPr>
        <w:rPr>
          <w:bCs/>
        </w:rPr>
      </w:pPr>
      <w:r w:rsidRPr="0050604A">
        <w:t xml:space="preserve">У том периоду је </w:t>
      </w:r>
      <w:r w:rsidRPr="0050604A">
        <w:rPr>
          <w:b/>
          <w:bCs/>
        </w:rPr>
        <w:t>70 лица поставила на положај Влада након што је спроведен конкурсни поступак</w:t>
      </w:r>
      <w:r w:rsidRPr="0050604A">
        <w:t xml:space="preserve">. Подаци показују да од укупно 382 систематизована радна места положаја, </w:t>
      </w:r>
      <w:r w:rsidRPr="0050604A">
        <w:rPr>
          <w:b/>
          <w:bCs/>
        </w:rPr>
        <w:t>142 лица су постављена на положај након што је спроведен конкурсни поступак</w:t>
      </w:r>
      <w:r w:rsidRPr="0050604A">
        <w:t xml:space="preserve">, а 183 лица су на положајима у статусу вршиоца дужности, што у односу на број од 207 вршилаца дужности на крају 2019. године показује да </w:t>
      </w:r>
      <w:r w:rsidRPr="0050604A">
        <w:rPr>
          <w:bCs/>
        </w:rPr>
        <w:t xml:space="preserve">није постигнут </w:t>
      </w:r>
      <w:r w:rsidRPr="0050604A">
        <w:t>значајнији напредак у поступном укидању вршилаца дужности иако је приметан опадајући тренд</w:t>
      </w:r>
      <w:r w:rsidRPr="0050604A">
        <w:rPr>
          <w:bCs/>
        </w:rPr>
        <w:t xml:space="preserve">. </w:t>
      </w:r>
    </w:p>
    <w:p w14:paraId="66CC38B2" w14:textId="77777777" w:rsidR="0050604A" w:rsidRPr="0050604A" w:rsidRDefault="0050604A" w:rsidP="0050604A">
      <w:pPr>
        <w:rPr>
          <w:b/>
          <w:u w:val="single"/>
        </w:rPr>
      </w:pPr>
      <w:r w:rsidRPr="0050604A">
        <w:t xml:space="preserve">Законом је утврђено да се </w:t>
      </w:r>
      <w:r w:rsidRPr="0050604A">
        <w:rPr>
          <w:b/>
        </w:rPr>
        <w:t>нови државни службеници уводе у посао</w:t>
      </w:r>
      <w:r w:rsidRPr="0050604A">
        <w:rPr>
          <w:bCs/>
        </w:rPr>
        <w:t xml:space="preserve"> у оквиру пробног рада (за оне државне службенике који први</w:t>
      </w:r>
      <w:r w:rsidRPr="0050604A">
        <w:t xml:space="preserve"> пут заснивају радни однос у државном органу, а нису приправници) и приправништва (за лица које први пут заснивају радни однос у својој струци и оспособљавају се за самосталан рад). Законом нису утврђени механизми увођења у посао лица која се премештају или напредују током своје каријере, већ се она кроз стручне обуке усавршавају на пословима које обављају. </w:t>
      </w:r>
    </w:p>
    <w:p w14:paraId="70C5FF5E" w14:textId="43A7FC40" w:rsidR="003F3312" w:rsidRPr="000F0299" w:rsidRDefault="0050604A" w:rsidP="0050604A">
      <w:r w:rsidRPr="0050604A">
        <w:t xml:space="preserve">За увођење у посао посебну улогу има </w:t>
      </w:r>
      <w:r w:rsidRPr="0050604A">
        <w:rPr>
          <w:b/>
          <w:bCs/>
        </w:rPr>
        <w:t>ментор</w:t>
      </w:r>
      <w:r w:rsidRPr="0050604A">
        <w:t xml:space="preserve">, којем је циљ да упозна новозапосленог са непосредним радним окружењем, као и да му помогне да се што брже интегрише у тим. Закон о државним службеницима прописује да се менторство у државним органима остварује у складу са општим актом о увођењу приправника у рад који доноси руководилац органа и општим програмом оспособљавања приправника за полагање државног стручног испита, а подразумева непосредан лични пренос знања и искустава у одређеном трајању. НАЈУ припрема и </w:t>
      </w:r>
      <w:r w:rsidRPr="0050604A">
        <w:rPr>
          <w:b/>
          <w:bCs/>
        </w:rPr>
        <w:t>спроводи посебан програм обуке ментора</w:t>
      </w:r>
      <w:r w:rsidRPr="0050604A">
        <w:t xml:space="preserve"> и доноси смернице за њихов рад. Ментори у програмима стручног оспособљавања приправника у државним органима су, по правилу, државни службеници и запослени који имају значајно искуство у обављању релевантних послова и који су остварили запажене и признате резултате у раду државних органа. С тим у вези је директор НАЈУ донео Упутство за начин рада ментора у току оспособљавања приправника у државним органима, којим се прописују смернице за рад и одређује начин на који ментори, непосредно и лично, преносе своја знања и искуства на приправника који се, у складу са општим актом о увођењу приправника у рад и општим и посебним програмом оспособљавања приправника за полагање државног стручног испита оспособљава за самосталан рад у државном органу</w:t>
      </w:r>
      <w:r w:rsidR="003F3312" w:rsidRPr="000F0299">
        <w:rPr>
          <w:color w:val="000000"/>
          <w:shd w:val="clear" w:color="auto" w:fill="FFFFFF"/>
        </w:rPr>
        <w:t>.</w:t>
      </w:r>
      <w:r w:rsidR="003F3312" w:rsidRPr="000F0299">
        <w:t xml:space="preserve"> </w:t>
      </w:r>
    </w:p>
    <w:p w14:paraId="30E81F9F" w14:textId="77777777" w:rsidR="0050604A" w:rsidRPr="0050604A" w:rsidRDefault="003F3312" w:rsidP="0050604A">
      <w:r w:rsidRPr="000F0299">
        <w:t>У Опште</w:t>
      </w:r>
      <w:r w:rsidR="0050604A">
        <w:t>м</w:t>
      </w:r>
      <w:r w:rsidRPr="000F0299">
        <w:t xml:space="preserve"> програм</w:t>
      </w:r>
      <w:r w:rsidR="0050604A">
        <w:t>у</w:t>
      </w:r>
      <w:r w:rsidRPr="000F0299">
        <w:t xml:space="preserve"> обуке налази се </w:t>
      </w:r>
      <w:r w:rsidR="0050604A">
        <w:rPr>
          <w:b/>
          <w:bCs/>
        </w:rPr>
        <w:t>У</w:t>
      </w:r>
      <w:r w:rsidRPr="000F0299">
        <w:rPr>
          <w:b/>
          <w:bCs/>
        </w:rPr>
        <w:t>водни програм обуке</w:t>
      </w:r>
      <w:r w:rsidRPr="000F0299">
        <w:t xml:space="preserve"> који обухвата стручно оспособљавање државних службеника </w:t>
      </w:r>
      <w:r w:rsidR="0050604A" w:rsidRPr="0050604A">
        <w:t xml:space="preserve">који први пут заснивају радни однос у државном органу, као и ради припреме за полагање државног стручног испита и садржи основне елементе програма државног стручног испита и исти је за све приправнике и новозапослене истог степена стручне спреме, а руководилац државног органа је дужан да обезбеди приправнику и новозапосленом услове за успешну припрему за полагање државног стручног испита. </w:t>
      </w:r>
    </w:p>
    <w:p w14:paraId="5411D4F4" w14:textId="77777777" w:rsidR="0050604A" w:rsidRPr="0050604A" w:rsidRDefault="0050604A" w:rsidP="0050604A">
      <w:r w:rsidRPr="0050604A">
        <w:t xml:space="preserve">Осим спровођења </w:t>
      </w:r>
      <w:r w:rsidRPr="0050604A">
        <w:rPr>
          <w:b/>
          <w:bCs/>
        </w:rPr>
        <w:t>програма обука за полагање државног стручног испита</w:t>
      </w:r>
      <w:r w:rsidRPr="0050604A">
        <w:t xml:space="preserve"> као дела Уводног програма обуке, како за државне службенике, тако и за службенике у локалној самоуправи, који припрема и спроводи НАЈУ у циљу јачања увођења у посао, потребно је креирањем и спровођењем уводног, општег оријентационог програма пружити подршку новозапосленим службеницима и приправницима да се ефикасно и адекватно адаптирају на нову радну средину, да се оспособе кроз групну интеракцију са колегама из различитих органа да пружају иницијативу, критички размишљају, тимски раде на конкретном пројектном задатку (административном „проблему”) и да као активни и компетентни службеници пруже свој допринос јавној управи као ефикасном систему грађана. Програм обуке би могла да спроводи НАЈУ два пута током године и то би представљало комплементарни део специфичном увођењу у посао које спроводе кадровске јединице у органима и омогућило би ефикаснију интеграцију службеника у систем управе.</w:t>
      </w:r>
    </w:p>
    <w:p w14:paraId="4B236557" w14:textId="77777777" w:rsidR="0050604A" w:rsidRPr="0050604A" w:rsidRDefault="0050604A" w:rsidP="0050604A">
      <w:r w:rsidRPr="0050604A">
        <w:t>У погледу државних службеника на положају, Закон о државним службеницима прописује да је државни службеник који је први пут постављен на положај дужан да у року од једне године од дана постављења на положај похађа програм обуке за руководиоце који спроводи и развија НАЈУ, којем је циљ стручно усавршавање државних службеника који се припремају или налазе на руководећим радним местима како би они стекли знања и вештина и повећали способност за успешно остваривање функције руковођења у државном органу и унапређење квалитета у процесу утврђивања и спровођења јавних политика. Тај програм обуке је структуриран тако да одговара специфичним потребама три циљне групе: државним службеницима на положају, државним службеницима који се налазе на руководећим радним местима и државним службеницима који се припремају за обаљање послова на руководећим радним местима и циљ му је „да оспособи полазнике да делотворно и ефикасно обављају посао руководиоца, да их упозна са основним концептима планирања и руковођења у јавној управи, као и да подржи развој лидерских вештина”. Такође, учесници могу да израде нацрт сопственог индивидуалног плана развоја.</w:t>
      </w:r>
    </w:p>
    <w:p w14:paraId="6060BEBD" w14:textId="11F6133E" w:rsidR="003F3312" w:rsidRPr="000F0299" w:rsidRDefault="0050604A" w:rsidP="0050604A">
      <w:pPr>
        <w:rPr>
          <w:lang w:eastAsia="sr-Latn-RS"/>
        </w:rPr>
      </w:pPr>
      <w:r w:rsidRPr="0050604A">
        <w:t xml:space="preserve"> </w:t>
      </w:r>
      <w:r w:rsidRPr="0050604A">
        <w:rPr>
          <w:i/>
        </w:rPr>
        <w:t xml:space="preserve">SIGMA </w:t>
      </w:r>
      <w:r w:rsidRPr="0050604A">
        <w:t>у документу „Систем државних службеника на положајима у Србији: Анализа постојећег стања и даљег развоја” указује да програм обука руков</w:t>
      </w:r>
      <w:r w:rsidR="005A7779">
        <w:t>о</w:t>
      </w:r>
      <w:r w:rsidRPr="0050604A">
        <w:t>дилаца и израда инд</w:t>
      </w:r>
      <w:r w:rsidR="005A7779">
        <w:t>и</w:t>
      </w:r>
      <w:r w:rsidRPr="0050604A">
        <w:t>видуалног плана развоја треба да се пажљиво размотри као саставни део будуће политике у области државних службеника на положају. Поред тога, у погледу даљег развоја истиче се да је потребно боље повезати процес регрутације и стручног усавршавања јер увиди до којих долази конкурсна комисија у вези са вештинама изабраних кандидата могли би да послуже као корисна информација за обуку увођења у посао, што у наредном периоду треба унапредити</w:t>
      </w:r>
      <w:r w:rsidR="003F3312" w:rsidRPr="000F0299">
        <w:rPr>
          <w:lang w:eastAsia="sr-Latn-RS"/>
        </w:rPr>
        <w:t>.</w:t>
      </w:r>
    </w:p>
    <w:p w14:paraId="7A823053" w14:textId="284CF257" w:rsidR="003F3312" w:rsidRPr="000F0299" w:rsidRDefault="0050604A" w:rsidP="00244E7C">
      <w:bookmarkStart w:id="137" w:name="tw-target-text8"/>
      <w:bookmarkStart w:id="138" w:name="tw-target-text9"/>
      <w:bookmarkEnd w:id="137"/>
      <w:bookmarkEnd w:id="138"/>
      <w:r w:rsidRPr="0050604A">
        <w:t>Положен државни стручни испит је услов да државни службеник остане у радном односу, односно да приправник може да настави рад у државном органу. Међутим, од поступка регрутације (где се врши провера одређених функционалних компетенција), преко обука приправника и новозапослених (које подразумевају проверу стечених знања), па до полагања државног стручног испита (који је услов за наставак рада у државним органима и који обухвата области које су биле садржане у обуци које су новозапослени прошли) вишеструко се проверавају знања и вештине, понекад истих функционалних компетенција. Стога је потребно преиспитати однос провера истих ком</w:t>
      </w:r>
      <w:r w:rsidR="005A7779">
        <w:t>п</w:t>
      </w:r>
      <w:r w:rsidRPr="0050604A">
        <w:t>етенција у различитим фазама радног односа и њихов однос са државним стручним испитом, утврдити њихову целисходност и имајући у виду циљ и сврху провере предложити на који начин би се компетенције процењивале</w:t>
      </w:r>
      <w:r w:rsidR="003F3312" w:rsidRPr="000F0299">
        <w:rPr>
          <w:rFonts w:eastAsia="Times New Roman"/>
          <w:lang w:eastAsia="sr-Latn-RS"/>
        </w:rPr>
        <w:t xml:space="preserve">. </w:t>
      </w:r>
    </w:p>
    <w:p w14:paraId="6F84E4EC" w14:textId="4429B560" w:rsidR="003F3312" w:rsidRPr="000F0299" w:rsidRDefault="00894BCD" w:rsidP="00244E7C">
      <w:r>
        <w:rPr>
          <w:noProof/>
          <w:lang w:val="en-US" w:eastAsia="en-US" w:bidi="ar-SA"/>
        </w:rPr>
        <mc:AlternateContent>
          <mc:Choice Requires="wps">
            <w:drawing>
              <wp:anchor distT="0" distB="0" distL="114300" distR="114300" simplePos="0" relativeHeight="252052992" behindDoc="0" locked="0" layoutInCell="1" allowOverlap="1" wp14:anchorId="003B8AD0" wp14:editId="2C535D3B">
                <wp:simplePos x="0" y="0"/>
                <wp:positionH relativeFrom="margin">
                  <wp:align>right</wp:align>
                </wp:positionH>
                <wp:positionV relativeFrom="paragraph">
                  <wp:posOffset>4051300</wp:posOffset>
                </wp:positionV>
                <wp:extent cx="2600325" cy="635"/>
                <wp:effectExtent l="0" t="0" r="9525" b="0"/>
                <wp:wrapTopAndBottom/>
                <wp:docPr id="385" name="Text Box 385"/>
                <wp:cNvGraphicFramePr/>
                <a:graphic xmlns:a="http://schemas.openxmlformats.org/drawingml/2006/main">
                  <a:graphicData uri="http://schemas.microsoft.com/office/word/2010/wordprocessingShape">
                    <wps:wsp>
                      <wps:cNvSpPr txBox="1"/>
                      <wps:spPr>
                        <a:xfrm>
                          <a:off x="0" y="0"/>
                          <a:ext cx="2600325" cy="635"/>
                        </a:xfrm>
                        <a:prstGeom prst="rect">
                          <a:avLst/>
                        </a:prstGeom>
                        <a:solidFill>
                          <a:prstClr val="white"/>
                        </a:solidFill>
                        <a:ln>
                          <a:noFill/>
                        </a:ln>
                      </wps:spPr>
                      <wps:txbx>
                        <w:txbxContent>
                          <w:p w14:paraId="6752BC1E" w14:textId="356B48EA" w:rsidR="00876FFE" w:rsidRPr="00894BCD" w:rsidRDefault="00876FFE" w:rsidP="00894BCD">
                            <w:pPr>
                              <w:pStyle w:val="Caption"/>
                              <w:rPr>
                                <w:i w:val="0"/>
                                <w:iCs w:val="0"/>
                                <w:noProof/>
                                <w:sz w:val="24"/>
                                <w:szCs w:val="24"/>
                                <w:lang w:val="sr-Cyrl-RS"/>
                              </w:rPr>
                            </w:pPr>
                            <w:bookmarkStart w:id="139" w:name="_Toc57665356"/>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20</w:t>
                            </w:r>
                            <w:r w:rsidRPr="00894BCD">
                              <w:rPr>
                                <w:i w:val="0"/>
                                <w:iCs w:val="0"/>
                              </w:rPr>
                              <w:fldChar w:fldCharType="end"/>
                            </w:r>
                            <w:r w:rsidRPr="00894BCD">
                              <w:rPr>
                                <w:i w:val="0"/>
                                <w:iCs w:val="0"/>
                              </w:rPr>
                              <w:t xml:space="preserve"> Сарадња у поступку попуњавања радних места</w:t>
                            </w:r>
                            <w:bookmarkEnd w:id="1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3B8AD0" id="Text Box 385" o:spid="_x0000_s1100" type="#_x0000_t202" style="position:absolute;left:0;text-align:left;margin-left:153.55pt;margin-top:319pt;width:204.75pt;height:.05pt;z-index:2520529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" stroked="f">
                <v:textbox style="mso-fit-shape-to-text:t" inset="0,0,0,0">
                  <w:txbxContent>
                    <w:p w14:paraId="6752BC1E" w14:textId="356B48EA" w:rsidR="00876FFE" w:rsidRPr="00894BCD" w:rsidRDefault="00876FFE" w:rsidP="00894BCD">
                      <w:pPr>
                        <w:pStyle w:val="Caption"/>
                        <w:rPr>
                          <w:i w:val="0"/>
                          <w:iCs w:val="0"/>
                          <w:noProof/>
                          <w:sz w:val="24"/>
                          <w:szCs w:val="24"/>
                          <w:lang w:val="sr-Cyrl-RS"/>
                        </w:rPr>
                      </w:pPr>
                      <w:bookmarkStart w:id="148" w:name="_Toc57665356"/>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20</w:t>
                      </w:r>
                      <w:r w:rsidRPr="00894BCD">
                        <w:rPr>
                          <w:i w:val="0"/>
                          <w:iCs w:val="0"/>
                        </w:rPr>
                        <w:fldChar w:fldCharType="end"/>
                      </w:r>
                      <w:r w:rsidRPr="00894BCD">
                        <w:rPr>
                          <w:i w:val="0"/>
                          <w:iCs w:val="0"/>
                        </w:rPr>
                        <w:t xml:space="preserve"> </w:t>
                      </w:r>
                      <w:r w:rsidRPr="00894BCD">
                        <w:rPr>
                          <w:i w:val="0"/>
                          <w:iCs w:val="0"/>
                        </w:rPr>
                        <w:t>Сарадња у поступку попуњавања радних места</w:t>
                      </w:r>
                      <w:bookmarkEnd w:id="148"/>
                    </w:p>
                  </w:txbxContent>
                </v:textbox>
                <w10:wrap type="topAndBottom" anchorx="margin"/>
              </v:shape>
            </w:pict>
          </mc:Fallback>
        </mc:AlternateContent>
      </w:r>
      <w:r>
        <w:rPr>
          <w:noProof/>
          <w:lang w:val="en-US" w:eastAsia="en-US" w:bidi="ar-SA"/>
        </w:rPr>
        <mc:AlternateContent>
          <mc:Choice Requires="wps">
            <w:drawing>
              <wp:anchor distT="0" distB="0" distL="114300" distR="114300" simplePos="0" relativeHeight="252050944" behindDoc="0" locked="0" layoutInCell="1" allowOverlap="1" wp14:anchorId="1FDAC83B" wp14:editId="152C7268">
                <wp:simplePos x="0" y="0"/>
                <wp:positionH relativeFrom="column">
                  <wp:posOffset>181169</wp:posOffset>
                </wp:positionH>
                <wp:positionV relativeFrom="paragraph">
                  <wp:posOffset>4084729</wp:posOffset>
                </wp:positionV>
                <wp:extent cx="2695575" cy="635"/>
                <wp:effectExtent l="0" t="0" r="0" b="0"/>
                <wp:wrapTopAndBottom/>
                <wp:docPr id="382" name="Text Box 382"/>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wps:spPr>
                      <wps:txbx>
                        <w:txbxContent>
                          <w:p w14:paraId="0C8FE8B7" w14:textId="7047B4C0" w:rsidR="00876FFE" w:rsidRPr="00894BCD" w:rsidRDefault="00876FFE" w:rsidP="00894BCD">
                            <w:pPr>
                              <w:pStyle w:val="Caption"/>
                              <w:rPr>
                                <w:i w:val="0"/>
                                <w:iCs w:val="0"/>
                                <w:noProof/>
                                <w:sz w:val="24"/>
                                <w:szCs w:val="24"/>
                              </w:rPr>
                            </w:pPr>
                            <w:bookmarkStart w:id="140" w:name="_Toc57665357"/>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21</w:t>
                            </w:r>
                            <w:r w:rsidRPr="00894BCD">
                              <w:rPr>
                                <w:i w:val="0"/>
                                <w:iCs w:val="0"/>
                              </w:rPr>
                              <w:fldChar w:fldCharType="end"/>
                            </w:r>
                            <w:r w:rsidRPr="00894BCD">
                              <w:rPr>
                                <w:i w:val="0"/>
                                <w:iCs w:val="0"/>
                              </w:rPr>
                              <w:t xml:space="preserve"> Припрема и анализа претходних описа послова</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DAC83B" id="Text Box 382" o:spid="_x0000_s1101" type="#_x0000_t202" style="position:absolute;left:0;text-align:left;margin-left:14.25pt;margin-top:321.65pt;width:212.25pt;height:.05pt;z-index:25205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" stroked="f">
                <v:textbox style="mso-fit-shape-to-text:t" inset="0,0,0,0">
                  <w:txbxContent>
                    <w:p w14:paraId="0C8FE8B7" w14:textId="7047B4C0" w:rsidR="00876FFE" w:rsidRPr="00894BCD" w:rsidRDefault="00876FFE" w:rsidP="00894BCD">
                      <w:pPr>
                        <w:pStyle w:val="Caption"/>
                        <w:rPr>
                          <w:i w:val="0"/>
                          <w:iCs w:val="0"/>
                          <w:noProof/>
                          <w:sz w:val="24"/>
                          <w:szCs w:val="24"/>
                        </w:rPr>
                      </w:pPr>
                      <w:bookmarkStart w:id="150" w:name="_Toc57665357"/>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21</w:t>
                      </w:r>
                      <w:r w:rsidRPr="00894BCD">
                        <w:rPr>
                          <w:i w:val="0"/>
                          <w:iCs w:val="0"/>
                        </w:rPr>
                        <w:fldChar w:fldCharType="end"/>
                      </w:r>
                      <w:r w:rsidRPr="00894BCD">
                        <w:rPr>
                          <w:i w:val="0"/>
                          <w:iCs w:val="0"/>
                        </w:rPr>
                        <w:t xml:space="preserve"> </w:t>
                      </w:r>
                      <w:r w:rsidRPr="00894BCD">
                        <w:rPr>
                          <w:i w:val="0"/>
                          <w:iCs w:val="0"/>
                        </w:rPr>
                        <w:t>Припрема и анализа претходних описа послова</w:t>
                      </w:r>
                      <w:bookmarkEnd w:id="150"/>
                    </w:p>
                  </w:txbxContent>
                </v:textbox>
                <w10:wrap type="topAndBottom"/>
              </v:shape>
            </w:pict>
          </mc:Fallback>
        </mc:AlternateContent>
      </w:r>
      <w:r w:rsidR="006232B6" w:rsidRPr="000F0299">
        <w:rPr>
          <w:noProof/>
          <w:lang w:val="en-US" w:eastAsia="en-US" w:bidi="ar-SA"/>
        </w:rPr>
        <w:drawing>
          <wp:anchor distT="0" distB="0" distL="114300" distR="114300" simplePos="0" relativeHeight="251934208" behindDoc="0" locked="0" layoutInCell="1" allowOverlap="1" wp14:anchorId="539AE6CA" wp14:editId="652DCEAE">
            <wp:simplePos x="0" y="0"/>
            <wp:positionH relativeFrom="margin">
              <wp:posOffset>2933700</wp:posOffset>
            </wp:positionH>
            <wp:positionV relativeFrom="paragraph">
              <wp:posOffset>1710055</wp:posOffset>
            </wp:positionV>
            <wp:extent cx="2980055" cy="2339975"/>
            <wp:effectExtent l="0" t="0" r="0" b="3175"/>
            <wp:wrapTopAndBottom/>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r w:rsidR="006232B6" w:rsidRPr="000F0299">
        <w:rPr>
          <w:noProof/>
          <w:lang w:val="en-US" w:eastAsia="en-US" w:bidi="ar-SA"/>
        </w:rPr>
        <mc:AlternateContent>
          <mc:Choice Requires="wps">
            <w:drawing>
              <wp:anchor distT="0" distB="0" distL="114300" distR="114300" simplePos="0" relativeHeight="252030464" behindDoc="0" locked="0" layoutInCell="1" allowOverlap="1" wp14:anchorId="0B3421C8" wp14:editId="295ECD51">
                <wp:simplePos x="0" y="0"/>
                <wp:positionH relativeFrom="margin">
                  <wp:align>right</wp:align>
                </wp:positionH>
                <wp:positionV relativeFrom="paragraph">
                  <wp:posOffset>4058285</wp:posOffset>
                </wp:positionV>
                <wp:extent cx="2600325" cy="635"/>
                <wp:effectExtent l="0" t="0" r="9525" b="0"/>
                <wp:wrapTopAndBottom/>
                <wp:docPr id="228" name="Text Box 228"/>
                <wp:cNvGraphicFramePr/>
                <a:graphic xmlns:a="http://schemas.openxmlformats.org/drawingml/2006/main">
                  <a:graphicData uri="http://schemas.microsoft.com/office/word/2010/wordprocessingShape">
                    <wps:wsp>
                      <wps:cNvSpPr txBox="1"/>
                      <wps:spPr>
                        <a:xfrm>
                          <a:off x="0" y="0"/>
                          <a:ext cx="2600325" cy="635"/>
                        </a:xfrm>
                        <a:prstGeom prst="rect">
                          <a:avLst/>
                        </a:prstGeom>
                        <a:solidFill>
                          <a:prstClr val="white"/>
                        </a:solidFill>
                        <a:ln>
                          <a:noFill/>
                        </a:ln>
                      </wps:spPr>
                      <wps:txbx>
                        <w:txbxContent>
                          <w:p w14:paraId="6F1BF1F7" w14:textId="77777777" w:rsidR="00876FFE" w:rsidRPr="00894BCD" w:rsidRDefault="00876FFE" w:rsidP="00894BCD"/>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421C8" id="Text Box 228" o:spid="_x0000_s1102" type="#_x0000_t202" style="position:absolute;left:0;text-align:left;margin-left:153.55pt;margin-top:319.55pt;width:204.75pt;height:.05pt;z-index:25203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" stroked="f">
                <v:textbox style="mso-fit-shape-to-text:t" inset="0,0,0,0">
                  <w:txbxContent>
                    <w:p w14:paraId="6F1BF1F7" w14:textId="77777777" w:rsidR="00876FFE" w:rsidRPr="00894BCD" w:rsidRDefault="00876FFE" w:rsidP="00894BCD"/>
                  </w:txbxContent>
                </v:textbox>
                <w10:wrap type="topAndBottom" anchorx="margin"/>
              </v:shape>
            </w:pict>
          </mc:Fallback>
        </mc:AlternateContent>
      </w:r>
      <w:r w:rsidR="006232B6" w:rsidRPr="000F0299">
        <w:rPr>
          <w:noProof/>
          <w:lang w:val="en-US" w:eastAsia="en-US" w:bidi="ar-SA"/>
        </w:rPr>
        <w:drawing>
          <wp:anchor distT="0" distB="0" distL="114300" distR="114300" simplePos="0" relativeHeight="251933184" behindDoc="0" locked="0" layoutInCell="1" allowOverlap="1" wp14:anchorId="17980F13" wp14:editId="34F769AE">
            <wp:simplePos x="0" y="0"/>
            <wp:positionH relativeFrom="margin">
              <wp:align>left</wp:align>
            </wp:positionH>
            <wp:positionV relativeFrom="paragraph">
              <wp:posOffset>1638935</wp:posOffset>
            </wp:positionV>
            <wp:extent cx="3014980" cy="2339975"/>
            <wp:effectExtent l="0" t="0" r="0" b="3175"/>
            <wp:wrapTopAndBottom/>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r w:rsidR="003F3312" w:rsidRPr="000F0299">
        <w:t xml:space="preserve">У складу </w:t>
      </w:r>
      <w:r w:rsidR="0050604A" w:rsidRPr="0050604A">
        <w:rPr>
          <w:bCs/>
        </w:rPr>
        <w:t xml:space="preserve">са Законом о запосленима у аутономним покрајинама и јединицама локалне самоуправе од 2016. године и Уредбом о спровођењу интерног и јавног конкурса за </w:t>
      </w:r>
      <w:r w:rsidR="0050604A" w:rsidRPr="0050604A">
        <w:rPr>
          <w:b/>
        </w:rPr>
        <w:t xml:space="preserve">попуњавање радних места у аутономним покрајинама и јединицама локалне самоуправе </w:t>
      </w:r>
      <w:r w:rsidR="0050604A" w:rsidRPr="0050604A">
        <w:t xml:space="preserve">(„Службени гласник РС”, </w:t>
      </w:r>
      <w:r w:rsidR="00E92E01">
        <w:t>број</w:t>
      </w:r>
      <w:r w:rsidR="0050604A">
        <w:t xml:space="preserve"> </w:t>
      </w:r>
      <w:r w:rsidR="0050604A" w:rsidRPr="0050604A">
        <w:t>95/16</w:t>
      </w:r>
      <w:r w:rsidR="0050604A" w:rsidRPr="0050604A">
        <w:rPr>
          <w:lang w:val="sr-Latn-RS"/>
        </w:rPr>
        <w:t>)</w:t>
      </w:r>
      <w:r w:rsidR="0050604A" w:rsidRPr="0050604A">
        <w:rPr>
          <w:bCs/>
        </w:rPr>
        <w:t xml:space="preserve"> успостављене су стандардизоване процедуре за заснивање радног односа. Законски је утврђена улога СУК-а у пословима УЉР која се односи, између осталог, на стручне послове у поступку запошљавања и избора кандидата тако да у вршењу тих послова ЈЛС може остварити сарадњу са СУК-ом, чиме је дата подршка ЈЛС у спровођењу иновираних процедура</w:t>
      </w:r>
      <w:r w:rsidR="003F3312" w:rsidRPr="000F0299">
        <w:t>.</w:t>
      </w:r>
    </w:p>
    <w:p w14:paraId="6F45CB57" w14:textId="57751CC0" w:rsidR="0050604A" w:rsidRPr="0050604A" w:rsidRDefault="003F3312" w:rsidP="0050604A">
      <w:pPr>
        <w:rPr>
          <w:bCs/>
        </w:rPr>
      </w:pPr>
      <w:r w:rsidRPr="000F0299">
        <w:t xml:space="preserve">Почетна анализа стања учинка </w:t>
      </w:r>
      <w:r w:rsidR="0050604A">
        <w:t xml:space="preserve">ЈЛС </w:t>
      </w:r>
      <w:r w:rsidRPr="000F0299">
        <w:t xml:space="preserve">у области </w:t>
      </w:r>
      <w:r w:rsidR="0050604A">
        <w:t xml:space="preserve">УЉР </w:t>
      </w:r>
      <w:r w:rsidRPr="000F0299">
        <w:t xml:space="preserve">показала је да је потребно </w:t>
      </w:r>
      <w:r w:rsidR="0050604A">
        <w:t xml:space="preserve">побољшати </w:t>
      </w:r>
      <w:r w:rsidR="0050604A" w:rsidRPr="0050604A">
        <w:rPr>
          <w:bCs/>
        </w:rPr>
        <w:t>и ојачати капацитете у области планирања људских ресурса већ у почетној фази, тј. када се припремају акти о систематизацијама (на узорку је утврђено да две трећине ЈЛС не сагледава та питања на квалитативном већ формалном нивоу, што не</w:t>
      </w:r>
      <w:r w:rsidR="00A43313">
        <w:rPr>
          <w:bCs/>
        </w:rPr>
        <w:t xml:space="preserve"> </w:t>
      </w:r>
      <w:r w:rsidR="0050604A" w:rsidRPr="0050604A">
        <w:rPr>
          <w:bCs/>
        </w:rPr>
        <w:t xml:space="preserve">омогућава да се уђе у квалитетан конкурсни поступак). </w:t>
      </w:r>
      <w:r w:rsidR="0050604A" w:rsidRPr="0050604A">
        <w:t>У делу који се односи на сарадњу са организационом јединицом/службеником који обавља послове УЉР у поступку попуњавања радних места, анализа резултата показује да је такође потребно побољшање како би организационе јединице/службеници за УЉР имали не само формални већ и фактички утицај на послове из своје надлежности.</w:t>
      </w:r>
    </w:p>
    <w:p w14:paraId="6396C0A4" w14:textId="13D032B9" w:rsidR="0050604A" w:rsidRPr="0050604A" w:rsidRDefault="0050604A" w:rsidP="0050604A">
      <w:r w:rsidRPr="0050604A">
        <w:t>Што се тиче провере стручних оспособљености кандидата на конкурсу, анализа показује да се поштује прописана процедура у којој се стручнос</w:t>
      </w:r>
      <w:r w:rsidR="00A43313">
        <w:t>т</w:t>
      </w:r>
      <w:r w:rsidRPr="0050604A">
        <w:t xml:space="preserve"> кандидата проверава из више делова, док више од половине ЈЛС процењује стручну оспособљеност кандидата само усменим путем, што указује да је потребно знатно унапредити тај део поступка, као и ојачати капацитете конкурсних комисија за примену свих метода провере стручних оспособљености кандидата.</w:t>
      </w:r>
    </w:p>
    <w:p w14:paraId="29692D1E" w14:textId="77777777" w:rsidR="0050604A" w:rsidRPr="0050604A" w:rsidRDefault="0050604A" w:rsidP="0050604A">
      <w:r w:rsidRPr="0050604A">
        <w:rPr>
          <w:b/>
          <w:bCs/>
        </w:rPr>
        <w:t>У јавним агенцијама</w:t>
      </w:r>
      <w:r w:rsidRPr="0050604A">
        <w:t xml:space="preserve"> се од 2019. године спроводи јавни конкурсни поступак за попуњавање радних места. Поступак избора директора по основу спроведеног јавног конкурса ојачан је у погледу веће транспарентности самог огласа, поступка и услова за конкурс. Уведена је листа за избор од три најуспешнија кандидата за положај директора, за разлику од претходног законског решења према којем су на листи били сви успешни кандидати. </w:t>
      </w:r>
      <w:bookmarkStart w:id="141" w:name="c0033"/>
      <w:bookmarkEnd w:id="141"/>
      <w:r w:rsidRPr="0050604A">
        <w:t>Такође, уређено је да се у јавним агенцијама обавезно спроводи транспарентан конкурсни поступак за пријем у радни однос на неодређено време у законом прописаној процедури уз обавезну проверу стручних оспособљености, знања и вештина кандидата у изборном поступку. Имајући у виду да је изменама нормативног оквира постигнут значајан корак ка успостављању транспарентног и на заслугама заснованог система запошљавања односно регрутације у јавним агенцијама, у наредном периоду је потребно спровести анализу примене нормативног оквира, на основу које ће се определити и усмерити даље реформско уређење функције УЉР у јавним агенцијама.</w:t>
      </w:r>
    </w:p>
    <w:p w14:paraId="0CAC7E7E" w14:textId="3117BD56" w:rsidR="003F3312" w:rsidRPr="000F0299" w:rsidRDefault="0050604A" w:rsidP="0050604A">
      <w:r w:rsidRPr="0050604A">
        <w:t xml:space="preserve">У </w:t>
      </w:r>
      <w:r w:rsidRPr="0050604A">
        <w:rPr>
          <w:b/>
          <w:bCs/>
        </w:rPr>
        <w:t>јавним службама је конкурсни поступак</w:t>
      </w:r>
      <w:r w:rsidRPr="0050604A">
        <w:t xml:space="preserve"> за пријем директора предвиђен посебним законима којима се уређује рад одређене јавне службе, док се стручни кадар у систему основног и средњег образовања</w:t>
      </w:r>
      <w:r w:rsidR="00375789">
        <w:t xml:space="preserve"> у складу са</w:t>
      </w:r>
      <w:r w:rsidRPr="0050604A">
        <w:t xml:space="preserve"> </w:t>
      </w:r>
      <w:r w:rsidR="00375789" w:rsidRPr="00375789">
        <w:t>Закон</w:t>
      </w:r>
      <w:r w:rsidR="00375789">
        <w:t>ом</w:t>
      </w:r>
      <w:r w:rsidR="00375789" w:rsidRPr="00375789">
        <w:t xml:space="preserve"> о основама система образовања и васпитања</w:t>
      </w:r>
      <w:r w:rsidR="00375789" w:rsidRPr="0050604A">
        <w:rPr>
          <w:bCs/>
          <w:lang w:val="sr-Latn-RS"/>
        </w:rPr>
        <w:t xml:space="preserve"> </w:t>
      </w:r>
      <w:r w:rsidRPr="0050604A">
        <w:rPr>
          <w:bCs/>
          <w:lang w:val="sr-Latn-RS"/>
        </w:rPr>
        <w:t>(</w:t>
      </w:r>
      <w:r w:rsidRPr="0050604A">
        <w:rPr>
          <w:bCs/>
        </w:rPr>
        <w:t>„</w:t>
      </w:r>
      <w:r w:rsidRPr="0050604A">
        <w:rPr>
          <w:bCs/>
          <w:lang w:val="sr-Latn-RS"/>
        </w:rPr>
        <w:t>Службени гласник РС</w:t>
      </w:r>
      <w:r w:rsidRPr="0050604A">
        <w:rPr>
          <w:bCs/>
        </w:rPr>
        <w:t>”</w:t>
      </w:r>
      <w:r w:rsidRPr="0050604A">
        <w:rPr>
          <w:bCs/>
          <w:lang w:val="sr-Latn-RS"/>
        </w:rPr>
        <w:t xml:space="preserve"> </w:t>
      </w:r>
      <w:r w:rsidR="00E92E01">
        <w:rPr>
          <w:bCs/>
          <w:lang w:val="sr-Latn-RS"/>
        </w:rPr>
        <w:t>број</w:t>
      </w:r>
      <w:r w:rsidRPr="0050604A">
        <w:t xml:space="preserve"> </w:t>
      </w:r>
      <w:hyperlink r:id="rId103" w:tooltip="Закон о основама система образовања и васпитања (29/09/2017)" w:history="1">
        <w:r w:rsidRPr="0050604A">
          <w:t>88/17</w:t>
        </w:r>
      </w:hyperlink>
      <w:r w:rsidRPr="0050604A">
        <w:t xml:space="preserve">, </w:t>
      </w:r>
      <w:hyperlink r:id="rId104" w:tooltip="Закон о просветној инспекцији (06/04/2018)" w:history="1">
        <w:r w:rsidRPr="0050604A">
          <w:t>27/18</w:t>
        </w:r>
      </w:hyperlink>
      <w:r w:rsidRPr="0050604A">
        <w:t xml:space="preserve"> – др. закон, </w:t>
      </w:r>
      <w:hyperlink r:id="rId105" w:tooltip="Закон о Националном оквиру квалификација Републике Србије (06/04/2018)" w:history="1">
        <w:r w:rsidRPr="0050604A">
          <w:t>27/18</w:t>
        </w:r>
      </w:hyperlink>
      <w:r w:rsidRPr="0050604A">
        <w:t xml:space="preserve"> – др. закон, </w:t>
      </w:r>
      <w:hyperlink r:id="rId106" w:tooltip="Закон о изменама и допунама Закона о основама система образовања и васпитања (15/02/2019)" w:history="1">
        <w:r w:rsidRPr="0050604A">
          <w:t>10/19</w:t>
        </w:r>
      </w:hyperlink>
      <w:r w:rsidRPr="0050604A">
        <w:t xml:space="preserve">, </w:t>
      </w:r>
      <w:hyperlink r:id="rId107" w:tooltip="Закон о изменама и допунама Закона о основама система образовања и васпитања (24/01/2020)" w:history="1">
        <w:r w:rsidRPr="0050604A">
          <w:t>6/20</w:t>
        </w:r>
      </w:hyperlink>
      <w:r w:rsidRPr="0050604A">
        <w:t>),</w:t>
      </w:r>
      <w:r w:rsidRPr="00E444D9">
        <w:rPr>
          <w:vertAlign w:val="superscript"/>
        </w:rPr>
        <w:t xml:space="preserve"> </w:t>
      </w:r>
      <w:r w:rsidRPr="0050604A">
        <w:t>здравствени радници</w:t>
      </w:r>
      <w:r w:rsidR="00375789">
        <w:t xml:space="preserve"> у складу са </w:t>
      </w:r>
      <w:r w:rsidR="00375789" w:rsidRPr="00375789">
        <w:t>Законом о здравственој заштити</w:t>
      </w:r>
      <w:r w:rsidRPr="0050604A">
        <w:t xml:space="preserve"> („Службени гласник РС”, број 25/19) и наставно особље у високом образовању и науци </w:t>
      </w:r>
      <w:r w:rsidR="00375789">
        <w:t xml:space="preserve">у складу са </w:t>
      </w:r>
      <w:r w:rsidR="00375789" w:rsidRPr="00375789">
        <w:t>Закон</w:t>
      </w:r>
      <w:r w:rsidR="00375789">
        <w:t>ом</w:t>
      </w:r>
      <w:r w:rsidR="00375789" w:rsidRPr="00375789">
        <w:t xml:space="preserve"> о високом образовању</w:t>
      </w:r>
      <w:r w:rsidR="00375789" w:rsidRPr="0050604A">
        <w:t xml:space="preserve"> </w:t>
      </w:r>
      <w:r w:rsidRPr="0050604A">
        <w:t xml:space="preserve">(„Службени гласник РС”, </w:t>
      </w:r>
      <w:r w:rsidR="00E92E01">
        <w:t>број</w:t>
      </w:r>
      <w:r w:rsidRPr="0050604A">
        <w:t xml:space="preserve"> </w:t>
      </w:r>
      <w:hyperlink r:id="rId108" w:tooltip="Закон о високом образовању (29/09/2017)" w:history="1">
        <w:r w:rsidRPr="0050604A">
          <w:t>88/17</w:t>
        </w:r>
      </w:hyperlink>
      <w:r w:rsidRPr="0050604A">
        <w:t xml:space="preserve">, </w:t>
      </w:r>
      <w:hyperlink r:id="rId109" w:tooltip="Закон о Националном оквиру квалификација Републике Србије (06/04/2018)" w:history="1">
        <w:r w:rsidRPr="0050604A">
          <w:t>27/18</w:t>
        </w:r>
      </w:hyperlink>
      <w:r w:rsidRPr="0050604A">
        <w:t xml:space="preserve"> – др. закон, </w:t>
      </w:r>
      <w:hyperlink r:id="rId110" w:tooltip="Закон о изменама и допунама Закона о високом образовању (29/09/2018)" w:history="1">
        <w:r w:rsidRPr="0050604A">
          <w:t>73/18</w:t>
        </w:r>
      </w:hyperlink>
      <w:r w:rsidRPr="0050604A">
        <w:t xml:space="preserve">, </w:t>
      </w:r>
      <w:hyperlink r:id="rId111" w:tooltip="Закон о изменама Закона о високом образовању (20/09/2019)" w:history="1">
        <w:r w:rsidRPr="0050604A">
          <w:t>67/19</w:t>
        </w:r>
      </w:hyperlink>
      <w:r w:rsidRPr="0050604A">
        <w:t xml:space="preserve">, </w:t>
      </w:r>
      <w:hyperlink r:id="rId112" w:tooltip="Закон о изменама и допунама Закона о основама система образовања и васпитања (24/01/2020)" w:history="1">
        <w:r w:rsidRPr="0050604A">
          <w:t>6/20</w:t>
        </w:r>
      </w:hyperlink>
      <w:r w:rsidRPr="0050604A">
        <w:t xml:space="preserve"> – др. закон, </w:t>
      </w:r>
      <w:hyperlink r:id="rId113" w:tooltip="Закон о изменама и допунама Закона о Националном оквиру квалификација Републике Србије (24/01/2020)" w:history="1">
        <w:r w:rsidRPr="0050604A">
          <w:t>6/20</w:t>
        </w:r>
      </w:hyperlink>
      <w:r w:rsidRPr="0050604A">
        <w:t xml:space="preserve"> – др. закон) прима у радни однос на основу конкурса. Остали закони који уређују рад посебне јавне службе не превиђају јавни конкурс као начин пријема у радни однос, што представља недостатак система уочен у Стратегији РЈУ из 2014, па је 2016. године донет Закон о запосленима у јавним службама. Тај закон прописује да се у јавним службама радни однос на неодређено време обавезно заснива путем конкурса, а радни однос на одређено време ако је законом којим се уређује рад јавне службе, односно општим актом то предвиђено. Уређени су сви кораци који су неопходни у конкурсном поступку у погледу пријаве на конкурс, састава конкурсне комисије, одбацивања пријава, конкурсног поступка, начина обавештења, права на приговор кандидата који су учествовали у изборном поступку и судске заштите у конкурсном поступку како би се путем конкурса на најбољи начин извршио избор између најквалитетнијих кандидата који су заинтересовани за рад у јавном сектору. Имајући у виду да је примена тог закона уско везана са реформом система плата, његова примена у том делу није отпочела због тога што је одложена реформ</w:t>
      </w:r>
      <w:r w:rsidR="00A43313">
        <w:t xml:space="preserve">а </w:t>
      </w:r>
      <w:r w:rsidRPr="0050604A">
        <w:t>плата, што свакако представља будући неопходан корак у уређењу јавне управе</w:t>
      </w:r>
      <w:r w:rsidR="003F3312" w:rsidRPr="000F0299">
        <w:t>.</w:t>
      </w:r>
    </w:p>
    <w:p w14:paraId="5564896E" w14:textId="771EE7E1" w:rsidR="00825640" w:rsidRPr="00825640" w:rsidRDefault="003F3312" w:rsidP="00825640">
      <w:r w:rsidRPr="000F0299">
        <w:rPr>
          <w:b/>
          <w:u w:val="single"/>
        </w:rPr>
        <w:t>Каријерни развој</w:t>
      </w:r>
      <w:r w:rsidR="00825640" w:rsidRPr="008F36EC">
        <w:rPr>
          <w:b/>
          <w:u w:val="single"/>
        </w:rPr>
        <w:t xml:space="preserve"> </w:t>
      </w:r>
      <w:r w:rsidRPr="000F0299">
        <w:rPr>
          <w:b/>
        </w:rPr>
        <w:t>–</w:t>
      </w:r>
      <w:r w:rsidRPr="000F0299">
        <w:t xml:space="preserve"> </w:t>
      </w:r>
      <w:r w:rsidR="00825640" w:rsidRPr="00825640">
        <w:t xml:space="preserve">Један од института службеничког система који је претрпео највеће измене јесте </w:t>
      </w:r>
      <w:r w:rsidR="00825640" w:rsidRPr="00825640">
        <w:rPr>
          <w:b/>
          <w:bCs/>
        </w:rPr>
        <w:t>оцењивање службеника</w:t>
      </w:r>
      <w:r w:rsidR="00825640" w:rsidRPr="00825640">
        <w:t xml:space="preserve">, односно уведен је потпуно нов модел </w:t>
      </w:r>
      <w:r w:rsidR="00825640" w:rsidRPr="00825640">
        <w:rPr>
          <w:b/>
          <w:bCs/>
        </w:rPr>
        <w:t>вредновања радне успешности који се заснива на компетенцијама</w:t>
      </w:r>
      <w:r w:rsidR="00825640" w:rsidRPr="00825640">
        <w:t xml:space="preserve">. Донета је </w:t>
      </w:r>
      <w:bookmarkStart w:id="142" w:name="_Hlk57461250"/>
      <w:r w:rsidR="00825640" w:rsidRPr="00825640">
        <w:t>Уредба о вредновању радне успешности државних службеника</w:t>
      </w:r>
      <w:bookmarkEnd w:id="142"/>
      <w:r w:rsidR="00825640" w:rsidRPr="00825640">
        <w:t xml:space="preserve"> </w:t>
      </w:r>
      <w:bookmarkStart w:id="143" w:name="_Hlk57461267"/>
      <w:r w:rsidR="00825640" w:rsidRPr="00825640">
        <w:t>(</w:t>
      </w:r>
      <w:r w:rsidR="00825640" w:rsidRPr="00825640">
        <w:rPr>
          <w:lang w:val="sr-Latn-RS"/>
        </w:rPr>
        <w:t xml:space="preserve">„Службени гласник РС“, </w:t>
      </w:r>
      <w:r w:rsidR="00E92E01">
        <w:rPr>
          <w:lang w:val="sr-Latn-RS"/>
        </w:rPr>
        <w:t>број</w:t>
      </w:r>
      <w:r w:rsidR="00825640" w:rsidRPr="00825640">
        <w:rPr>
          <w:lang w:val="sr-Latn-RS"/>
        </w:rPr>
        <w:t xml:space="preserve"> 2/2019</w:t>
      </w:r>
      <w:r w:rsidR="00932DEC">
        <w:t>, 69/2019</w:t>
      </w:r>
      <w:r w:rsidR="00825640" w:rsidRPr="00825640">
        <w:t xml:space="preserve">), </w:t>
      </w:r>
      <w:bookmarkEnd w:id="143"/>
      <w:r w:rsidR="00825640" w:rsidRPr="00825640">
        <w:t>која се примењује у свим државним органима и којом се дет</w:t>
      </w:r>
      <w:r w:rsidR="00A43313">
        <w:t>а</w:t>
      </w:r>
      <w:r w:rsidR="00825640" w:rsidRPr="00825640">
        <w:t xml:space="preserve">љно регулише поступак вредновања радне успешности. Циљ измена јесте да вредновање радне успешности обезбеди </w:t>
      </w:r>
      <w:r w:rsidR="00825640" w:rsidRPr="00825640">
        <w:rPr>
          <w:b/>
          <w:bCs/>
        </w:rPr>
        <w:t>остварење свих организационих циљева, достизање радног понашања и пожељних вредности у раду у складу са компетенцијама, мотивацију, учење и развој државних службеника</w:t>
      </w:r>
      <w:r w:rsidR="00825640" w:rsidRPr="00825640">
        <w:t>. Такође, направљена је веза резултата вредновања радне успешности државних службеника са потребама за обукама и планирањем развоја и стручног усавршавања. Закон је увео за државне службенике на руководећим радним местима обавезу да похађају све опште и посебне програме обука којима се унапређује њихова способност да на одговарајући начин вреднују радну успешност државних службеника. Утврђена је обавеза за кадровске јединице да раде годишње анализе исхода вредновања радне успешности и СУК да припрема обједињени извештај о вредновању радне успешности у органима државне управе.</w:t>
      </w:r>
    </w:p>
    <w:p w14:paraId="0CF93062" w14:textId="4DD46486" w:rsidR="00825640" w:rsidRPr="00825640" w:rsidRDefault="00825640" w:rsidP="00825640">
      <w:pPr>
        <w:rPr>
          <w:b/>
          <w:i/>
          <w:u w:val="single"/>
        </w:rPr>
      </w:pPr>
      <w:r w:rsidRPr="00825640">
        <w:t>Имајући у виду да је 2019. година прва година у којој се вреднује успешност државних службеника, први резултати говоре о томе да је 54,5% државних службеника превазишло очекивања, 44,9% испунило очекивања, за 0,6% је потребно побољшање, док 0,1% није испунило очекивања. Резултати вредновања показују да је дошло до побољшања у односу на претходне године када је проценат најуспешнијих прелазио 85%, али ситуација и даље није задовољавајућа. Потребно је континуирано радити на јачању капацитета руководилаца и кадровских јединица као њиховој подршци како би си</w:t>
      </w:r>
      <w:r w:rsidR="00A43313">
        <w:t>с</w:t>
      </w:r>
      <w:r w:rsidRPr="00825640">
        <w:t>тем вредновања био заиста стављен у функцију УЉР и развоја запосленог. Такође је потребно поступак вредновања употпунити тако што ће се поставити показатељи за организационе циљеве којима би се мерила њихова испуњеност како би се добио релевантан податак који ће бити усмеравајући за организационе јединице и у процесу управљања учинком.</w:t>
      </w:r>
    </w:p>
    <w:p w14:paraId="4EC1D6E6" w14:textId="77777777" w:rsidR="00825640" w:rsidRPr="00825640" w:rsidRDefault="00825640" w:rsidP="00825640">
      <w:r w:rsidRPr="00825640">
        <w:t xml:space="preserve">Доношењем Закона о систему плата запослених у јавном сектору постављена су </w:t>
      </w:r>
      <w:r w:rsidRPr="00825640">
        <w:rPr>
          <w:b/>
          <w:bCs/>
        </w:rPr>
        <w:t>начела и принципи за утврђивање плата и других примања на јединствен начин за све запослене у јавном сектору</w:t>
      </w:r>
      <w:r w:rsidRPr="00825640">
        <w:t>.</w:t>
      </w:r>
      <w:r w:rsidRPr="00825640">
        <w:rPr>
          <w:lang w:val="sr-Latn-CS"/>
        </w:rPr>
        <w:t xml:space="preserve"> </w:t>
      </w:r>
      <w:r w:rsidRPr="00825640">
        <w:rPr>
          <w:lang w:val="sr-Cyrl-CS"/>
        </w:rPr>
        <w:t xml:space="preserve">Како је систем вредновања радне успешности у директној вези са адекватним планирањем расхода за запослене, </w:t>
      </w:r>
      <w:r w:rsidRPr="00825640">
        <w:t xml:space="preserve">неопходно је да се даље унапређује поступак вредновања радне успешности, као и јачају капацитети свих учесника у том поступку. Развој јединственог система плата и вредновања радне успешности посредно доприноси, </w:t>
      </w:r>
      <w:r w:rsidRPr="00825640">
        <w:rPr>
          <w:b/>
          <w:bCs/>
        </w:rPr>
        <w:t>мотивацији и каријерном развоју запослених, као и задржавању и привлачењу компетентног кадра</w:t>
      </w:r>
      <w:r w:rsidRPr="00825640">
        <w:t>. Током 2017. и 2018. године, донети су посебни закони којима су уређене плате, накнаде плата и друга примања запослених у аутономним покрајинама и ЈЛС, јавним службама, јавним агенцијама и другим организацијама које је основала Република Србија, аутономна покрајна и ЈЛС, као и Посебан каталог радних места у јавним службама и другим организацијама у јавном сектору који је предуслов за вредновање послова који се обављају у јавном сектору. Каталог, који представља допринос уређењу система, ступио је на снагу и у складу с њим јавне службе израђују своје правилнике о систематизацији радних места.</w:t>
      </w:r>
    </w:p>
    <w:p w14:paraId="7D5E1157" w14:textId="5EF35AA2" w:rsidR="00825640" w:rsidRPr="00825640" w:rsidRDefault="00825640" w:rsidP="00825640">
      <w:r w:rsidRPr="00825640">
        <w:t xml:space="preserve">Међутим, и поред првобитног опредељења да се реформски процес спроведе свеобухватно и истовремено за цео јавни сектор, спровођење реформе је </w:t>
      </w:r>
      <w:r w:rsidRPr="00825640">
        <w:rPr>
          <w:bCs/>
        </w:rPr>
        <w:t>одложено</w:t>
      </w:r>
      <w:r w:rsidRPr="00825640">
        <w:t xml:space="preserve">. Због разноликости постојећег система плата у јавном сектору, које су биле предмет бројних анализа од 2014. године, стратешки документи су усмеравали даље унапређење система плата у циљу управљивости, правичности и ефикасности система како би се уједначило вредновање истих послова у јавном сектору и омогућила упоредивост плата на истом радном месту, како би се систем плата и награђивања запослених у већој мери учинио зависним од показаних перформанси, како би се отклонила међусобна конкурентност у јавном сектору изазвана висином зарада и др. Реформа досадашњег нормативног оквира прошла је кроз значајан консултативни процес у свим деловима јавног сектора који су обухваћени тим законима. Међутим, потреба да се спроведу даље широке консултације око будућих активности и успостави планирање и контрола трошкова за запослене у фази спровођења прописа уз очување фискалне стабилности, изазов у вези са обухватом и динамиком њеног спровођења у јавном сектору до достизања пуних нових односа плата како би се уједначио систем без последица по фискални систем и материјални положај запослених, околности везане за пандемију ковид-19 које су током 2020. године успориле консултативни процес и довеле до реалокације буџетских средстава – показују комплексност ове реформе услед које је одложена њено пуно спровођење. Даљи кораци у спровођењу реформе и њена динамика, пре свега, треба да подразумевају </w:t>
      </w:r>
      <w:r w:rsidRPr="00825640">
        <w:rPr>
          <w:b/>
          <w:bCs/>
        </w:rPr>
        <w:t>заокруживање нормативног оквира</w:t>
      </w:r>
      <w:r w:rsidRPr="00825640">
        <w:t xml:space="preserve"> доношењем новог Закона о платама државних службеника, као и прописа којима се успоставља однос у вредностима послова у јавним службама (Уредба о коефицијентима). Такође, у складу са постављеним средњорочним циљем фискалне политике који се односи на задржавање расхода за запослене на одрживом нивоу, исказаним у Ревидираној фискалној стратегији за 2020. годину, потребно је на основу анализе финансијских ефеката спровођења реформе на републички буџет и лок</w:t>
      </w:r>
      <w:r w:rsidR="00A43313">
        <w:t>а</w:t>
      </w:r>
      <w:r w:rsidRPr="00825640">
        <w:t xml:space="preserve">лне буџете одредити </w:t>
      </w:r>
      <w:r w:rsidRPr="00825640">
        <w:rPr>
          <w:b/>
          <w:bCs/>
        </w:rPr>
        <w:t>основице за обрачун и исплату плата у јавном сектору</w:t>
      </w:r>
      <w:r w:rsidRPr="00825640">
        <w:t xml:space="preserve"> кроз Закон о буџету, чиме ће се заокружити нормативни оквир реформе плата.</w:t>
      </w:r>
    </w:p>
    <w:p w14:paraId="1CCC2401" w14:textId="77777777" w:rsidR="00825640" w:rsidRPr="00825640" w:rsidRDefault="00825640" w:rsidP="00825640">
      <w:r w:rsidRPr="00825640">
        <w:rPr>
          <w:b/>
          <w:bCs/>
        </w:rPr>
        <w:t>Реформа система плата спроведена је у МУП-у</w:t>
      </w:r>
      <w:r w:rsidRPr="00825640">
        <w:rPr>
          <w:b/>
          <w:bCs/>
          <w:i/>
        </w:rPr>
        <w:t>,</w:t>
      </w:r>
      <w:r w:rsidRPr="00825640">
        <w:t xml:space="preserve"> који је развио Каталог назива и описа послова радних места полицијских службеника, на основу којег су радна места изнова класификована. То је представљало транспарентну основу за реформисање система плата да би отклонила неуједначеност и интерна неправедност у претходном систему што је остварено увођењем система вредновања послова на основу објективних критеријума базираних на описима послова и задатака радног места. Успостављен је и метод по којем се плате постепено усклађују са новоутврђеним платама. </w:t>
      </w:r>
    </w:p>
    <w:p w14:paraId="577A44B7" w14:textId="38E8E6D9" w:rsidR="003F3312" w:rsidRPr="000F0299" w:rsidRDefault="00825640" w:rsidP="00916F72">
      <w:r w:rsidRPr="00825640">
        <w:t>Од почетка примене иновираног нормативног оквира којим се уређује државно</w:t>
      </w:r>
      <w:r w:rsidR="00A43313">
        <w:t>-</w:t>
      </w:r>
      <w:r w:rsidRPr="00825640">
        <w:t xml:space="preserve">службенички систем у вези са каријерним развојем државних службеника, СУК је формирао </w:t>
      </w:r>
      <w:r w:rsidRPr="00825640">
        <w:rPr>
          <w:b/>
          <w:bCs/>
        </w:rPr>
        <w:t>Центар за управљање каријером</w:t>
      </w:r>
      <w:r w:rsidRPr="00825640">
        <w:t xml:space="preserve"> са циљем даљег унапређења и модернизације области управљања каријером базираног на компетенцијама. Рад тог центра је за сада усмерен на појединачног државног службеника јер институционално нису утврђене улоге свих чинилаца у том процесу. Услуге које СУК пружа у том домену јесу анализа индивидуалних потенцијала, каријерно саветовање, израда плана индивидуалног развоја и подршка у развоју кроз индивидуални рад и рад у малим групама за све државне службенике који се самоиницијативно пријаве или које упуте руководиоци</w:t>
      </w:r>
      <w:r w:rsidR="003F3312" w:rsidRPr="000F0299">
        <w:t>.</w:t>
      </w:r>
    </w:p>
    <w:p w14:paraId="6C1C9C0D" w14:textId="64FF07ED" w:rsidR="00916F72" w:rsidRPr="00916F72" w:rsidRDefault="00916F72" w:rsidP="00916F72">
      <w:r w:rsidRPr="00916F72">
        <w:t>Дугорочно</w:t>
      </w:r>
      <w:r w:rsidR="001C6827">
        <w:t>,</w:t>
      </w:r>
      <w:r w:rsidRPr="00916F72">
        <w:t xml:space="preserve"> државна управа мора да развија подстицајно окружење и ствара услове за запослене који желе да своје професионалне и каријерне циљеве ту и остваре. Каријерни развој не значи само унапређење на хијерархијској лествици него и јачање компетенција и искуства унутар постојеће улоге или ширење својих потенцијала на нове улоге или нове нивое. </w:t>
      </w:r>
      <w:r w:rsidRPr="00916F72">
        <w:rPr>
          <w:b/>
          <w:bCs/>
        </w:rPr>
        <w:t>Креирање јединственог или више каријерних модела у државној управи</w:t>
      </w:r>
      <w:r w:rsidRPr="00916F72">
        <w:t xml:space="preserve"> и одговарајућих инструмената за управљање каријером, који би, како генерално, тако и у појединачним приоритетним областима рада, треба</w:t>
      </w:r>
      <w:r w:rsidR="00E96E1B">
        <w:t>ли</w:t>
      </w:r>
      <w:r w:rsidRPr="00916F72">
        <w:t xml:space="preserve"> да</w:t>
      </w:r>
      <w:r w:rsidRPr="00916F72" w:rsidDel="00322681">
        <w:t xml:space="preserve"> </w:t>
      </w:r>
      <w:r w:rsidRPr="00916F72">
        <w:t xml:space="preserve">свим актерима олакшају доношење каријерних одлука, односно да помогну у доношењу одлука у вези са напредовањем, награђивањем, управљањем талентима, мобилношћу, развојем и сл., а посредно да потпомогну у привлачењу и задржавању кадра са потребним профилом компетенција. Посебан изазов на том путу </w:t>
      </w:r>
      <w:r w:rsidRPr="00916F72">
        <w:rPr>
          <w:lang w:val="sr-Cyrl-CS"/>
        </w:rPr>
        <w:t>јесте</w:t>
      </w:r>
      <w:r w:rsidRPr="00916F72">
        <w:t xml:space="preserve"> утврдити и успоставити </w:t>
      </w:r>
      <w:r w:rsidRPr="00916F72">
        <w:rPr>
          <w:b/>
          <w:bCs/>
        </w:rPr>
        <w:t>систем за управљање талентима</w:t>
      </w:r>
      <w:r w:rsidRPr="00916F72">
        <w:t xml:space="preserve"> (који подразумева како њихово „откривање”, тако и развој и вођење кроз каријерне мапе</w:t>
      </w:r>
      <w:r w:rsidRPr="00916F72">
        <w:rPr>
          <w:lang w:val="sr-Cyrl-CS"/>
        </w:rPr>
        <w:t xml:space="preserve"> по хоризонталној и вертикалној линији)</w:t>
      </w:r>
      <w:r w:rsidRPr="00916F72">
        <w:t xml:space="preserve"> којим би се значајно унапредио и ојачао интерни људски потенцијал за садашња и будућа места, послове и компетенције и </w:t>
      </w:r>
      <w:r w:rsidRPr="00916F72">
        <w:rPr>
          <w:bCs/>
        </w:rPr>
        <w:t xml:space="preserve">изазове модерне државне управе. </w:t>
      </w:r>
      <w:r w:rsidRPr="00916F72">
        <w:t>Законодавн</w:t>
      </w:r>
      <w:r w:rsidR="00A43313">
        <w:t>и</w:t>
      </w:r>
      <w:r w:rsidRPr="00916F72">
        <w:t xml:space="preserve"> и институционални оквир треба да утврди јасне улоге запослених, руководилаца, Центра за управљање каријером, НАЈУ, а посебно кадровских јединица у том процесу. Кадровске јединице треба да преузму значајнију улогу у одлучивању у вези са каријерним развојем појединца; то би омогућило да Центар за управљање каријером своје ресурсе усмери на подршку професионализацији високих руководилаца (на положају) и управљање талентима. Посебан приступ у професионализацији и каријерном развоју потребно је успоставити за државне службенике на положају, и то кроз свеобухватан аналитичан приступ њиховом статусу, улози и одговорн</w:t>
      </w:r>
      <w:r w:rsidR="00A43313">
        <w:t>о</w:t>
      </w:r>
      <w:r w:rsidRPr="00916F72">
        <w:t xml:space="preserve">стима у систему. </w:t>
      </w:r>
    </w:p>
    <w:p w14:paraId="209B9975" w14:textId="00CFD68A" w:rsidR="00916F72" w:rsidRPr="00916F72" w:rsidRDefault="00916F72" w:rsidP="00916F72">
      <w:r w:rsidRPr="00916F72">
        <w:t xml:space="preserve">Изменама Закона о државним службеницима побољшане су одредбе које уређују </w:t>
      </w:r>
      <w:r w:rsidRPr="00916F72">
        <w:rPr>
          <w:b/>
          <w:bCs/>
        </w:rPr>
        <w:t>дисциплински поступак</w:t>
      </w:r>
      <w:r w:rsidRPr="00916F72">
        <w:t xml:space="preserve"> за које се у пракси показало да имају одређене недостатке, а које се, пре свега, односе на застарелост покретања и вођења дисциплинског поступка, неспровођење усмене расправе у случају лакших повреда дужности из радног односа и прописивање нових тежих и лакших повреда дужности из радног односа. Када је у питању улога кадровских јединица у тим поступцима, пракса у тој области у великој мери варира: у 50% анкетираних органа</w:t>
      </w:r>
      <w:r w:rsidRPr="00916F72">
        <w:rPr>
          <w:vertAlign w:val="superscript"/>
        </w:rPr>
        <w:footnoteReference w:id="116"/>
      </w:r>
      <w:r w:rsidRPr="00916F72">
        <w:t xml:space="preserve"> дисциплински поступци или нису вођени током протеклих н</w:t>
      </w:r>
      <w:r w:rsidR="00A43313">
        <w:t>е</w:t>
      </w:r>
      <w:r w:rsidRPr="00916F72">
        <w:t>колико година или у њих нису били укључени запослени из јединице за кадрове. У више од једне трећине органа (39%) јединице за кадрове немају значајну улогу у дисциплинским поступцима, што са аспекта УЉР представља недостатак који је потребно отклонити у наредном периоду тако што</w:t>
      </w:r>
      <w:r w:rsidR="00A43313">
        <w:t xml:space="preserve"> </w:t>
      </w:r>
      <w:r w:rsidRPr="00916F72">
        <w:t>ће се успоставити адекватна улога јединица за УЉР. Такође, могуће је побољшати превентивно деловање, како руководилаца тако и кадровских јединица, које је повезано пре свега са унапређењем организационе културе и промовисањем пожељног модела радног понашања и односа према раду.</w:t>
      </w:r>
    </w:p>
    <w:p w14:paraId="0C5AE55D" w14:textId="355DD782" w:rsidR="00916F72" w:rsidRPr="00916F72" w:rsidRDefault="00916F72" w:rsidP="00916F72">
      <w:r w:rsidRPr="00916F72">
        <w:rPr>
          <w:b/>
          <w:bCs/>
          <w:u w:val="single"/>
        </w:rPr>
        <w:t>Институционални и администр</w:t>
      </w:r>
      <w:r w:rsidR="00A43313">
        <w:rPr>
          <w:b/>
          <w:bCs/>
          <w:u w:val="single"/>
        </w:rPr>
        <w:t>а</w:t>
      </w:r>
      <w:r w:rsidRPr="00916F72">
        <w:rPr>
          <w:b/>
          <w:bCs/>
          <w:u w:val="single"/>
        </w:rPr>
        <w:t>тивни капацитети за УЉР</w:t>
      </w:r>
      <w:r w:rsidRPr="00916F72">
        <w:t xml:space="preserve"> </w:t>
      </w:r>
      <w:r w:rsidRPr="00916F72">
        <w:rPr>
          <w:b/>
          <w:i/>
        </w:rPr>
        <w:t xml:space="preserve">– </w:t>
      </w:r>
      <w:r w:rsidRPr="00916F72">
        <w:t xml:space="preserve">Предуслов за квалитативни приступ пословима УЉР и ефикасно праћење спровођења Закона о државним службеницима и Закона о запосленима у АП и ЈЛС, на свим нивоима, јесте да се успостави </w:t>
      </w:r>
      <w:r w:rsidRPr="00916F72">
        <w:rPr>
          <w:b/>
          <w:bCs/>
        </w:rPr>
        <w:t>Информациони систем за управљање људским ресурсима</w:t>
      </w:r>
      <w:r w:rsidRPr="00916F72">
        <w:t>. Имајући у виду све релевантне документе који указују на потребу да се успостави фун</w:t>
      </w:r>
      <w:r w:rsidR="00A43313">
        <w:t>к</w:t>
      </w:r>
      <w:r w:rsidRPr="00916F72">
        <w:t>ционална база података о кадровима, СУК у сарадњи са МДУЛС и КИТЕУ, уз подршку ЕУ пројекта Израда и спровођење информационог система за управљање људским ресурсима (</w:t>
      </w:r>
      <w:r w:rsidRPr="00916F72">
        <w:rPr>
          <w:i/>
          <w:iCs/>
        </w:rPr>
        <w:t>Design and implementation of HRMIS for civil servants</w:t>
      </w:r>
      <w:r w:rsidR="0000042C" w:rsidRPr="0000042C">
        <w:t>)</w:t>
      </w:r>
      <w:r w:rsidRPr="00916F72">
        <w:t>, од децембра 2019. године развија и успоставља Информациони систем како би био оперативан у првој половини 2021. године. Циљ тог информационог система је да се успостави комуникација у вођењу евиденције свих запослених у државним органима и органима АП и ЈЛС како би се успоставила евиденција запослених и водили други подаци о запосленима и органима који су у функцији УЉР. Даља реализација пројекта захтеваће да се измени Закон о државним службеницима у делу који се односи на садржину информационог система и припрему подзаконског акта којим ће се ближе уредити детаљна садржина тог система и његово функционисање.</w:t>
      </w:r>
    </w:p>
    <w:p w14:paraId="161DDBAF" w14:textId="42905597" w:rsidR="00916F72" w:rsidRPr="00916F72" w:rsidRDefault="00916F72" w:rsidP="00916F72">
      <w:r w:rsidRPr="00916F72">
        <w:t>Новим информационим системом ће се сви процеси и подаци који се односе на људске ресурсе објединити у један систем, пословни процеси аутоматизовати, подаци начинити доступним у електронској форми, а пословна правила преточити у апликативну подршку, што ће умногоме олакшати рад како СУК-а, тако и службеницима у кадровским службама, а подаци ће бити транспарентни и за саме запослене и за државне органе. Предност успостављања информационог система је то што ће аутоматизовати УЉР, што ће помоћи да УЉР буде ефикасније и да се ресурси усмере на стратешка питања.</w:t>
      </w:r>
    </w:p>
    <w:p w14:paraId="12817336" w14:textId="77777777" w:rsidR="00916F72" w:rsidRPr="00916F72" w:rsidRDefault="00916F72" w:rsidP="00916F72">
      <w:r w:rsidRPr="00916F72">
        <w:t>Анализа стања у вези с кадровским јединица</w:t>
      </w:r>
      <w:r w:rsidRPr="00916F72">
        <w:rPr>
          <w:vertAlign w:val="superscript"/>
        </w:rPr>
        <w:footnoteReference w:id="117"/>
      </w:r>
      <w:r w:rsidRPr="00916F72">
        <w:t xml:space="preserve"> показују да је уобичајено организационо решење да је </w:t>
      </w:r>
      <w:r w:rsidRPr="00916F72">
        <w:rPr>
          <w:b/>
          <w:bCs/>
        </w:rPr>
        <w:t>јединица за кадрове у органу смештена унутар Секретаријата,</w:t>
      </w:r>
      <w:r w:rsidRPr="00916F72">
        <w:t xml:space="preserve"> и то најчешће у оквиру јединице за опште, правне и кадровске послове, да у највећем броју органа руководилац јединице за кадрове обавља и друге послове, ван делокруга функције УЉР-а, а послови из области УЉР-а се своде на административне послове. </w:t>
      </w:r>
      <w:r w:rsidRPr="00916F72">
        <w:rPr>
          <w:b/>
          <w:bCs/>
        </w:rPr>
        <w:t>Структура запослених на кадровским пословима указује да доминирају правници</w:t>
      </w:r>
      <w:r w:rsidRPr="00916F72">
        <w:rPr>
          <w:b/>
          <w:bCs/>
          <w:i/>
        </w:rPr>
        <w:t>,</w:t>
      </w:r>
      <w:r w:rsidRPr="00916F72">
        <w:rPr>
          <w:b/>
          <w:bCs/>
        </w:rPr>
        <w:t xml:space="preserve"> </w:t>
      </w:r>
      <w:r w:rsidRPr="00916F72">
        <w:t xml:space="preserve">док недостају стручњаци других друштвених и хуманистичких профила. У више од половине органа стратешко планирање УЉР-а је на базичном нивоу развоја (састоји се од мањег броја циљева или уопште нема циљеве у вези са УЉР-ом у стратегији организације). </w:t>
      </w:r>
      <w:r w:rsidRPr="00916F72">
        <w:rPr>
          <w:b/>
          <w:bCs/>
        </w:rPr>
        <w:t>Јединице за кадрове ретко израђују сопствене планове обуке и спроводе их</w:t>
      </w:r>
      <w:r w:rsidRPr="00916F72">
        <w:t xml:space="preserve">, док само органи за великим бројем запослених поседују сопствене капацитете за обуку, који се користе за организацију обуке запослених о специфичним секторским питањима. Општа процена је да је сарадња између централних тела за УЉР, првенствено сарадња између СУК-а и јединица за кадрове добра, међутим, не постоје редовни састанци на којима би оне могле да представе изазове са којима се суочавају у свакодневном послу или да уче из искустава других мада постоји известан степен сарадње између тих јединица кроз неформалне контакте који се успостављају током њиховог рада у државној управи. Имајући у виду досадашње налазе </w:t>
      </w:r>
      <w:r w:rsidRPr="00916F72">
        <w:rPr>
          <w:b/>
          <w:bCs/>
        </w:rPr>
        <w:t>неопходно је системским приступом развоју кадровским јединица обезбедити њихову адекватну улогу, место, организацију и значај у органима како би се ојачао квалитет процеса УЉ</w:t>
      </w:r>
      <w:r w:rsidRPr="00916F72">
        <w:rPr>
          <w:b/>
        </w:rPr>
        <w:t>Р</w:t>
      </w:r>
      <w:r w:rsidRPr="00916F72">
        <w:t xml:space="preserve">. У том смислу, имајући у виду досадашње налазе и анализе и улоге које су постављене иновираним законским оквиром, неопходно је спровести анализу постављене организације функције УЉР у државној управи и улоге који сви актери имају у њој како би се утврдио правац њеног будућег развоја у складу са савременим формама УЉР. </w:t>
      </w:r>
    </w:p>
    <w:p w14:paraId="30E3FB4E" w14:textId="7207C5AA" w:rsidR="003F3312" w:rsidRPr="000F0299" w:rsidRDefault="00916F72" w:rsidP="00916F72">
      <w:r w:rsidRPr="00916F72">
        <w:t>Придавање значаја људским ресурсима, као и квалитетна пракса УЉР веома</w:t>
      </w:r>
      <w:r w:rsidRPr="00916F72">
        <w:rPr>
          <w:lang w:val="sr-Latn-CS"/>
        </w:rPr>
        <w:t xml:space="preserve"> </w:t>
      </w:r>
      <w:r w:rsidRPr="00916F72">
        <w:t xml:space="preserve">су важни, ако не и кључни у вођењу организација. Стандард квалитета је својеврсни оквир за успостављање систематског и процесног приступа активностима УЉР у организационом контексту. </w:t>
      </w:r>
      <w:r w:rsidRPr="00916F72">
        <w:rPr>
          <w:b/>
          <w:bCs/>
        </w:rPr>
        <w:t>Успостављање стандарда квалитета у области УЉР</w:t>
      </w:r>
      <w:r w:rsidRPr="00916F72">
        <w:t xml:space="preserve"> у државној/јавној управи би, с једне стране, нагласило значај функције УЉР за успех </w:t>
      </w:r>
      <w:r w:rsidRPr="00916F72">
        <w:rPr>
          <w:lang w:val="sr-Cyrl-CS"/>
        </w:rPr>
        <w:t>и</w:t>
      </w:r>
      <w:r w:rsidRPr="00916F72">
        <w:t xml:space="preserve"> учинак организације, а, с друге стране, омогућило да запослени у организацији имају одговарајући квалитет услуге који им се пружа у односу на њихов рад и развој. У државној управи прописима је заправо уређен процес спровођења те функције у свим областима, међутим, да би се пратио допринос те функције постизању стратешких циљева организације, потребно је утврдити одређене критеријуме или показатеље на основу којих би се мерио квалитет постојеће праксе. Због тога је потребно спровести анализу, односно проценити да ли је потребно и могуће, као и на који начин увести неки од постојећих стандарда квалитета у области УЉР у државној управи на основу којих би се пратила успешност постојеће праксе и посредно утврђивао њен допринос ефикаснијем и ефективнијем одлучивању, као и допринос постизању организационих циљева или је, с друге стране, потребно развити и прилагодити одређене стандарде квалитета нашем административном простору. Објективно мерење система УЉР обезбеђује транспарентност поступања и јача поверење међу запосленима, организационим јединицама, руководиоцима, односно различитим хијерархијским нивоима. Истовремено, неиспуњавање одређених критеријума био би јасан показатељ да у систему нешто треба мењати и поправљати како у домену постојеће праксе, тако и у нормативном оквиру</w:t>
      </w:r>
      <w:r w:rsidR="003F3312" w:rsidRPr="000F0299">
        <w:t>.</w:t>
      </w:r>
    </w:p>
    <w:p w14:paraId="352CA29F" w14:textId="2C477781" w:rsidR="003F3312" w:rsidRPr="000F0299" w:rsidRDefault="003F3312" w:rsidP="00E01956">
      <w:r w:rsidRPr="000F0299">
        <w:rPr>
          <w:b/>
          <w:iCs/>
          <w:u w:val="single"/>
        </w:rPr>
        <w:t>Стручно усавршавање</w:t>
      </w:r>
      <w:r w:rsidR="00E01956">
        <w:rPr>
          <w:b/>
          <w:iCs/>
          <w:u w:val="single"/>
        </w:rPr>
        <w:t xml:space="preserve"> </w:t>
      </w:r>
      <w:r w:rsidRPr="000F0299">
        <w:t>–</w:t>
      </w:r>
      <w:r w:rsidR="00E01956">
        <w:t xml:space="preserve"> Уређење у </w:t>
      </w:r>
      <w:r w:rsidR="00E01956" w:rsidRPr="00E01956">
        <w:rPr>
          <w:bCs/>
        </w:rPr>
        <w:t xml:space="preserve">области стручног усавршавања у јавној управи започето </w:t>
      </w:r>
      <w:r w:rsidR="00E01956">
        <w:rPr>
          <w:bCs/>
        </w:rPr>
        <w:t xml:space="preserve">је </w:t>
      </w:r>
      <w:r w:rsidR="00E01956" w:rsidRPr="00E01956">
        <w:rPr>
          <w:bCs/>
        </w:rPr>
        <w:t xml:space="preserve">крајем 2017. године. Донети су прописи који су увели низ новима у ову област, након чега је отпочео динамичан период њиховог спровођења. Најпре, у јануару 2018. године почела је са радом </w:t>
      </w:r>
      <w:r w:rsidR="00E01956" w:rsidRPr="00E01956">
        <w:rPr>
          <w:b/>
        </w:rPr>
        <w:t>НАЈУ</w:t>
      </w:r>
      <w:r w:rsidR="00E01956" w:rsidRPr="00E01956">
        <w:rPr>
          <w:bCs/>
        </w:rPr>
        <w:t xml:space="preserve">, која је већ у првој години од организационог и кадровског успостављања започела увођење неопходних стандарда у област стручног усавршавања да би се обезбедила </w:t>
      </w:r>
      <w:r w:rsidR="00E01956" w:rsidRPr="00E01956">
        <w:t xml:space="preserve">систематичност, целовитост, квалитет и компетентност у изградњи и унапређењу кадровских капацитета у јавној управи. </w:t>
      </w:r>
      <w:r w:rsidR="00E01956" w:rsidRPr="00E01956">
        <w:rPr>
          <w:bCs/>
        </w:rPr>
        <w:t xml:space="preserve">Развијени су осавремењени </w:t>
      </w:r>
      <w:r w:rsidR="00E01956" w:rsidRPr="00E01956">
        <w:rPr>
          <w:b/>
        </w:rPr>
        <w:t>нови општи програми обуке и програми обуке руководилаца</w:t>
      </w:r>
      <w:r w:rsidR="00E01956" w:rsidRPr="00E01956">
        <w:rPr>
          <w:bCs/>
        </w:rPr>
        <w:t>, како за државне служб</w:t>
      </w:r>
      <w:r w:rsidR="00A43313">
        <w:rPr>
          <w:bCs/>
        </w:rPr>
        <w:t>е</w:t>
      </w:r>
      <w:r w:rsidR="00E01956" w:rsidRPr="00E01956">
        <w:rPr>
          <w:bCs/>
        </w:rPr>
        <w:t>нике,</w:t>
      </w:r>
      <w:r w:rsidR="00E01956" w:rsidRPr="00E01956">
        <w:rPr>
          <w:bCs/>
          <w:vertAlign w:val="superscript"/>
        </w:rPr>
        <w:footnoteReference w:id="118"/>
      </w:r>
      <w:r w:rsidR="00E01956" w:rsidRPr="00E01956">
        <w:rPr>
          <w:bCs/>
        </w:rPr>
        <w:t xml:space="preserve"> тако и за запослене у јединицама локалне самоуправе,</w:t>
      </w:r>
      <w:r w:rsidR="00E01956" w:rsidRPr="00E01956">
        <w:rPr>
          <w:bCs/>
          <w:vertAlign w:val="superscript"/>
        </w:rPr>
        <w:footnoteReference w:id="119"/>
      </w:r>
      <w:r w:rsidR="00E01956" w:rsidRPr="00E01956">
        <w:rPr>
          <w:bCs/>
        </w:rPr>
        <w:t xml:space="preserve"> које је Влада у складу са прописима донела за 2019, а затим и за 2020. годину.</w:t>
      </w:r>
      <w:r w:rsidR="00E01956" w:rsidRPr="00E01956">
        <w:rPr>
          <w:bCs/>
          <w:vertAlign w:val="superscript"/>
        </w:rPr>
        <w:footnoteReference w:id="120"/>
      </w:r>
      <w:r w:rsidR="00E01956" w:rsidRPr="00E01956">
        <w:rPr>
          <w:bCs/>
        </w:rPr>
        <w:t xml:space="preserve"> У 2020. години први пут је примењена нова </w:t>
      </w:r>
      <w:r w:rsidR="00E01956" w:rsidRPr="00E01956">
        <w:rPr>
          <w:b/>
        </w:rPr>
        <w:t>методологија за утврђивање потреба за стручним усавршавањем</w:t>
      </w:r>
      <w:r w:rsidR="00E01956" w:rsidRPr="00E01956">
        <w:rPr>
          <w:bCs/>
        </w:rPr>
        <w:t xml:space="preserve"> у органима јавне управе, која је на свеобухватан начин омогућила да се прикупе подаци из различитих извора, примени више савремених метода и техника за обраду информација и припреми извештај о анализи потреба за стручним усавршавањем,</w:t>
      </w:r>
      <w:r w:rsidR="00E01956" w:rsidRPr="00E01956">
        <w:rPr>
          <w:bCs/>
          <w:vertAlign w:val="superscript"/>
        </w:rPr>
        <w:footnoteReference w:id="121"/>
      </w:r>
      <w:r w:rsidR="00E01956" w:rsidRPr="00E01956">
        <w:rPr>
          <w:bCs/>
        </w:rPr>
        <w:t xml:space="preserve"> што би у односу на број органа који су учествовали у том процесу значајно требало да допринесе даљој иновацији наведених програма обуке, односно њиховом додатном уподобљавању потребама запослених и органа у јавној управи с крајњим циљем трансформације управе у добру управу, способну да поред тога што непрекидно задовољава потребе грађана и привреде, буде носилац укупних реформских процеса</w:t>
      </w:r>
      <w:r w:rsidR="00A43313">
        <w:rPr>
          <w:bCs/>
        </w:rPr>
        <w:t xml:space="preserve">. </w:t>
      </w:r>
    </w:p>
    <w:p w14:paraId="5AF144D6" w14:textId="77777777" w:rsidR="00252FCF" w:rsidRPr="000F0299" w:rsidRDefault="003F3312" w:rsidP="00252FCF">
      <w:pPr>
        <w:keepNext/>
      </w:pPr>
      <w:r w:rsidRPr="000F0299">
        <w:rPr>
          <w:noProof/>
          <w:lang w:val="en-US" w:eastAsia="en-US" w:bidi="ar-SA"/>
        </w:rPr>
        <w:drawing>
          <wp:inline distT="0" distB="0" distL="0" distR="0" wp14:anchorId="2C1CBFD3" wp14:editId="129DF61B">
            <wp:extent cx="5486400" cy="346710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C14B473" w14:textId="3EA878A1" w:rsidR="003F3312" w:rsidRPr="00894BCD" w:rsidRDefault="00894BCD" w:rsidP="00894BCD">
      <w:pPr>
        <w:pStyle w:val="Caption"/>
        <w:rPr>
          <w:i w:val="0"/>
          <w:iCs w:val="0"/>
          <w:noProof/>
          <w:color w:val="000000"/>
          <w:lang w:val="sr-Cyrl-RS" w:eastAsia="en-GB"/>
        </w:rPr>
      </w:pPr>
      <w:bookmarkStart w:id="144" w:name="_Toc57665358"/>
      <w:r w:rsidRPr="00B774F7">
        <w:rPr>
          <w:i w:val="0"/>
          <w:iCs w:val="0"/>
          <w:lang w:val="sr-Cyrl-RS"/>
        </w:rPr>
        <w:t xml:space="preserve">Графикон </w:t>
      </w:r>
      <w:r w:rsidRPr="00894BCD">
        <w:rPr>
          <w:i w:val="0"/>
          <w:iCs w:val="0"/>
        </w:rPr>
        <w:fldChar w:fldCharType="begin"/>
      </w:r>
      <w:r w:rsidRPr="00B774F7">
        <w:rPr>
          <w:i w:val="0"/>
          <w:iCs w:val="0"/>
          <w:lang w:val="sr-Cyrl-RS"/>
        </w:rPr>
        <w:instrText xml:space="preserve"> </w:instrText>
      </w:r>
      <w:r w:rsidRPr="00894BCD">
        <w:rPr>
          <w:i w:val="0"/>
          <w:iCs w:val="0"/>
        </w:rPr>
        <w:instrText>SEQ</w:instrText>
      </w:r>
      <w:r w:rsidRPr="00B774F7">
        <w:rPr>
          <w:i w:val="0"/>
          <w:iCs w:val="0"/>
          <w:lang w:val="sr-Cyrl-RS"/>
        </w:rPr>
        <w:instrText xml:space="preserve"> Графикон \* </w:instrText>
      </w:r>
      <w:r w:rsidRPr="00894BCD">
        <w:rPr>
          <w:i w:val="0"/>
          <w:iCs w:val="0"/>
        </w:rPr>
        <w:instrText>ARABIC</w:instrText>
      </w:r>
      <w:r w:rsidRPr="00B774F7">
        <w:rPr>
          <w:i w:val="0"/>
          <w:iCs w:val="0"/>
          <w:lang w:val="sr-Cyrl-RS"/>
        </w:rPr>
        <w:instrText xml:space="preserve"> </w:instrText>
      </w:r>
      <w:r w:rsidRPr="00894BCD">
        <w:rPr>
          <w:i w:val="0"/>
          <w:iCs w:val="0"/>
        </w:rPr>
        <w:fldChar w:fldCharType="separate"/>
      </w:r>
      <w:r w:rsidR="00BB48C1" w:rsidRPr="004546E7">
        <w:rPr>
          <w:i w:val="0"/>
          <w:iCs w:val="0"/>
          <w:noProof/>
          <w:lang w:val="sr-Cyrl-RS"/>
        </w:rPr>
        <w:t>22</w:t>
      </w:r>
      <w:r w:rsidRPr="00894BCD">
        <w:rPr>
          <w:i w:val="0"/>
          <w:iCs w:val="0"/>
        </w:rPr>
        <w:fldChar w:fldCharType="end"/>
      </w:r>
      <w:r w:rsidRPr="00894BCD">
        <w:rPr>
          <w:i w:val="0"/>
          <w:iCs w:val="0"/>
          <w:lang w:val="sr-Cyrl-RS"/>
        </w:rPr>
        <w:t xml:space="preserve"> </w:t>
      </w:r>
      <w:r w:rsidR="00252FCF" w:rsidRPr="00894BCD">
        <w:rPr>
          <w:i w:val="0"/>
          <w:iCs w:val="0"/>
          <w:lang w:val="sr-Cyrl-RS"/>
        </w:rPr>
        <w:t>Преглед програма обука НАЈУ према броју области и тематских целина стручног усавршавања</w:t>
      </w:r>
      <w:bookmarkEnd w:id="144"/>
    </w:p>
    <w:p w14:paraId="38DA1115" w14:textId="581B863D" w:rsidR="00E01956" w:rsidRDefault="003F3312" w:rsidP="00E01956">
      <w:pPr>
        <w:rPr>
          <w:bCs/>
        </w:rPr>
      </w:pPr>
      <w:r w:rsidRPr="000F0299">
        <w:t xml:space="preserve">Такође, уведена </w:t>
      </w:r>
      <w:r w:rsidR="00A43313">
        <w:rPr>
          <w:bCs/>
        </w:rPr>
        <w:t xml:space="preserve">је </w:t>
      </w:r>
      <w:r w:rsidR="00E01956" w:rsidRPr="00E01956">
        <w:rPr>
          <w:b/>
        </w:rPr>
        <w:t>обавеза за државне службенике који су први пут постављени на положа</w:t>
      </w:r>
      <w:r w:rsidR="00E01956" w:rsidRPr="00E01956">
        <w:rPr>
          <w:b/>
          <w:bCs/>
        </w:rPr>
        <w:t>ј да</w:t>
      </w:r>
      <w:r w:rsidR="00E01956" w:rsidRPr="00E01956">
        <w:rPr>
          <w:b/>
        </w:rPr>
        <w:t xml:space="preserve"> похађају програм обуке</w:t>
      </w:r>
      <w:r w:rsidR="00E01956" w:rsidRPr="00E01956">
        <w:rPr>
          <w:bCs/>
        </w:rPr>
        <w:t xml:space="preserve"> будући да су ти државни службеници дужни да у року од једне године од дана када су поставље</w:t>
      </w:r>
      <w:r w:rsidR="00A43313">
        <w:rPr>
          <w:bCs/>
        </w:rPr>
        <w:t>ни</w:t>
      </w:r>
      <w:r w:rsidR="00E01956" w:rsidRPr="00E01956">
        <w:rPr>
          <w:bCs/>
        </w:rPr>
        <w:t xml:space="preserve"> на положај похађају одговарајуће модуле програма обуке руководилаца, што се сматра почетним, али важним кораком у правцу увођења обавезе да програм обуке похађају и друге категорије заспослених у јавној управи и прецизно одреди сврха и исход због којих се та обавеза уводи. Стручно усавршавање јесте право, али и дужност државних службеника, односно службеника у јединицама локалне са</w:t>
      </w:r>
      <w:r w:rsidR="00A43313">
        <w:rPr>
          <w:bCs/>
        </w:rPr>
        <w:t>м</w:t>
      </w:r>
      <w:r w:rsidR="00E01956" w:rsidRPr="00E01956">
        <w:rPr>
          <w:bCs/>
        </w:rPr>
        <w:t>оуправе да стичу знања и вештине, односно да се оспособе за извршавање послова радних места у складу са потребама државних органа, односно органа јединица локалне самоуправе, али за остваривање те обавезе потребно је да се прецизирају начин и услови под којима се она остварује и које су последице ако се (не)успешно изврши.</w:t>
      </w:r>
    </w:p>
    <w:p w14:paraId="191CA4B3" w14:textId="3833DE0B" w:rsidR="003F3312" w:rsidRPr="00E01956" w:rsidRDefault="00E01956" w:rsidP="00E01956">
      <w:pPr>
        <w:rPr>
          <w:bCs/>
        </w:rPr>
      </w:pPr>
      <w:r w:rsidRPr="00E01956">
        <w:rPr>
          <w:bCs/>
        </w:rPr>
        <w:t xml:space="preserve">Позитивни ефекти новог система стручног усавршавања изражени су већом потребом и мотивацијом запослених </w:t>
      </w:r>
      <w:r w:rsidRPr="00E01956">
        <w:rPr>
          <w:bCs/>
          <w:lang w:val="sr-Latn-RS"/>
        </w:rPr>
        <w:t>у државним органима и органима јединица локал</w:t>
      </w:r>
      <w:r w:rsidRPr="00E01956">
        <w:rPr>
          <w:bCs/>
        </w:rPr>
        <w:t>не</w:t>
      </w:r>
      <w:r w:rsidRPr="00E01956">
        <w:rPr>
          <w:bCs/>
          <w:lang w:val="sr-Latn-RS"/>
        </w:rPr>
        <w:t xml:space="preserve"> смаоуправе </w:t>
      </w:r>
      <w:r w:rsidRPr="00E01956">
        <w:rPr>
          <w:bCs/>
        </w:rPr>
        <w:t xml:space="preserve">да се похађа обука, тако да је, откако је основана, </w:t>
      </w:r>
      <w:r w:rsidRPr="00E01956">
        <w:rPr>
          <w:b/>
        </w:rPr>
        <w:t>НАЈУ реализовала 743 обуке</w:t>
      </w:r>
      <w:r w:rsidRPr="00E01956">
        <w:rPr>
          <w:bCs/>
        </w:rPr>
        <w:t xml:space="preserve">, са 5.994 сати обуке и </w:t>
      </w:r>
      <w:r w:rsidRPr="00E01956">
        <w:rPr>
          <w:b/>
        </w:rPr>
        <w:t>18.515 полазника</w:t>
      </w:r>
      <w:r w:rsidRPr="00E01956">
        <w:rPr>
          <w:bCs/>
        </w:rPr>
        <w:t>, односно 21.542 људи/сати обуке.</w:t>
      </w:r>
      <w:r w:rsidRPr="00E01956">
        <w:rPr>
          <w:bCs/>
          <w:vertAlign w:val="superscript"/>
        </w:rPr>
        <w:footnoteReference w:id="122"/>
      </w:r>
      <w:r w:rsidRPr="00E01956">
        <w:rPr>
          <w:bCs/>
        </w:rPr>
        <w:t xml:space="preserve"> Самоиницијатива </w:t>
      </w:r>
      <w:r w:rsidRPr="00E01956">
        <w:rPr>
          <w:bCs/>
          <w:lang w:val="sr-Latn-RS"/>
        </w:rPr>
        <w:t xml:space="preserve">запослених у </w:t>
      </w:r>
      <w:r w:rsidRPr="00E01956">
        <w:rPr>
          <w:bCs/>
        </w:rPr>
        <w:t>захтевима да користе право на стручно усавршавање дошла је до пуног изражаја у ситуацији изазваној заразном болести ковид-19, када су посебно исказане потребе за организацијом обука у темама које подржавају лични развој и вештине (превазилажење стреса, организација времена и сл.). У том сегменту, у односу на тренутне тенденције неопходно је више пажње посветити областима као што су управљање кризним ситуацијама, управљање променама и управљање иновацијама, уз већу примену савремених (неконвенционалних) облика и метода стручног усавршавања</w:t>
      </w:r>
      <w:r w:rsidR="003F3312" w:rsidRPr="000F0299">
        <w:t>.</w:t>
      </w:r>
    </w:p>
    <w:p w14:paraId="1391CD4F" w14:textId="77777777" w:rsidR="00252FCF" w:rsidRPr="000F0299" w:rsidRDefault="003F3312" w:rsidP="00252FCF">
      <w:pPr>
        <w:keepNext/>
      </w:pPr>
      <w:r w:rsidRPr="000F0299">
        <w:rPr>
          <w:noProof/>
          <w:lang w:val="en-US" w:eastAsia="en-US" w:bidi="ar-SA"/>
        </w:rPr>
        <w:drawing>
          <wp:inline distT="0" distB="0" distL="0" distR="0" wp14:anchorId="6E229FAC" wp14:editId="50F71EA2">
            <wp:extent cx="5425440" cy="1813560"/>
            <wp:effectExtent l="0" t="0" r="381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7AE72909" w14:textId="39BF36C3" w:rsidR="003F3312" w:rsidRPr="00894BCD" w:rsidRDefault="00894BCD" w:rsidP="00894BCD">
      <w:pPr>
        <w:pStyle w:val="Caption"/>
        <w:rPr>
          <w:i w:val="0"/>
          <w:iCs w:val="0"/>
          <w:color w:val="000000"/>
          <w:lang w:val="sr-Cyrl-RS"/>
        </w:rPr>
      </w:pPr>
      <w:bookmarkStart w:id="145" w:name="_Toc57665359"/>
      <w:r w:rsidRPr="00B774F7">
        <w:rPr>
          <w:i w:val="0"/>
          <w:iCs w:val="0"/>
          <w:lang w:val="sr-Cyrl-RS"/>
        </w:rPr>
        <w:t xml:space="preserve">Графикон </w:t>
      </w:r>
      <w:r w:rsidRPr="00894BCD">
        <w:rPr>
          <w:i w:val="0"/>
          <w:iCs w:val="0"/>
        </w:rPr>
        <w:fldChar w:fldCharType="begin"/>
      </w:r>
      <w:r w:rsidRPr="00B774F7">
        <w:rPr>
          <w:i w:val="0"/>
          <w:iCs w:val="0"/>
          <w:lang w:val="sr-Cyrl-RS"/>
        </w:rPr>
        <w:instrText xml:space="preserve"> </w:instrText>
      </w:r>
      <w:r w:rsidRPr="00894BCD">
        <w:rPr>
          <w:i w:val="0"/>
          <w:iCs w:val="0"/>
        </w:rPr>
        <w:instrText>SEQ</w:instrText>
      </w:r>
      <w:r w:rsidRPr="00B774F7">
        <w:rPr>
          <w:i w:val="0"/>
          <w:iCs w:val="0"/>
          <w:lang w:val="sr-Cyrl-RS"/>
        </w:rPr>
        <w:instrText xml:space="preserve"> Графикон \* </w:instrText>
      </w:r>
      <w:r w:rsidRPr="00894BCD">
        <w:rPr>
          <w:i w:val="0"/>
          <w:iCs w:val="0"/>
        </w:rPr>
        <w:instrText>ARABIC</w:instrText>
      </w:r>
      <w:r w:rsidRPr="00B774F7">
        <w:rPr>
          <w:i w:val="0"/>
          <w:iCs w:val="0"/>
          <w:lang w:val="sr-Cyrl-RS"/>
        </w:rPr>
        <w:instrText xml:space="preserve"> </w:instrText>
      </w:r>
      <w:r w:rsidRPr="00894BCD">
        <w:rPr>
          <w:i w:val="0"/>
          <w:iCs w:val="0"/>
        </w:rPr>
        <w:fldChar w:fldCharType="separate"/>
      </w:r>
      <w:r w:rsidR="00BB48C1" w:rsidRPr="004546E7">
        <w:rPr>
          <w:i w:val="0"/>
          <w:iCs w:val="0"/>
          <w:noProof/>
          <w:lang w:val="sr-Cyrl-RS"/>
        </w:rPr>
        <w:t>23</w:t>
      </w:r>
      <w:r w:rsidRPr="00894BCD">
        <w:rPr>
          <w:i w:val="0"/>
          <w:iCs w:val="0"/>
        </w:rPr>
        <w:fldChar w:fldCharType="end"/>
      </w:r>
      <w:r w:rsidRPr="00894BCD">
        <w:rPr>
          <w:i w:val="0"/>
          <w:iCs w:val="0"/>
          <w:lang w:val="sr-Cyrl-RS"/>
        </w:rPr>
        <w:t xml:space="preserve"> </w:t>
      </w:r>
      <w:r w:rsidR="00252FCF" w:rsidRPr="00894BCD">
        <w:rPr>
          <w:i w:val="0"/>
          <w:iCs w:val="0"/>
          <w:lang w:val="sr-Cyrl-RS"/>
        </w:rPr>
        <w:t xml:space="preserve">Реализација </w:t>
      </w:r>
      <w:r w:rsidR="00D43E6D" w:rsidRPr="00894BCD">
        <w:rPr>
          <w:i w:val="0"/>
          <w:iCs w:val="0"/>
          <w:lang w:val="sr-Cyrl-RS"/>
        </w:rPr>
        <w:t>програма</w:t>
      </w:r>
      <w:r w:rsidR="00252FCF" w:rsidRPr="00894BCD">
        <w:rPr>
          <w:i w:val="0"/>
          <w:iCs w:val="0"/>
          <w:lang w:val="sr-Cyrl-RS"/>
        </w:rPr>
        <w:t xml:space="preserve"> обуке у НАЈУ за 2020. години</w:t>
      </w:r>
      <w:bookmarkEnd w:id="145"/>
    </w:p>
    <w:p w14:paraId="019901B5" w14:textId="77777777" w:rsidR="00E01956" w:rsidRDefault="003F3312" w:rsidP="00E01956">
      <w:pPr>
        <w:rPr>
          <w:bCs/>
        </w:rPr>
      </w:pPr>
      <w:r w:rsidRPr="000F0299">
        <w:t xml:space="preserve">Резултати </w:t>
      </w:r>
      <w:r w:rsidR="00E01956" w:rsidRPr="00E01956">
        <w:rPr>
          <w:bCs/>
        </w:rPr>
        <w:t xml:space="preserve">су постигнути и у делу који се односи на увођење система квалитета у елементе стручног усавршавања који доприносе очекиваним ефектима у оцени квалитета спроведених програма обуке. Поред осталог, у НАЈУ су најпре развијена, а затим у поступку акредитације и транспарентно примењена </w:t>
      </w:r>
      <w:r w:rsidR="00E01956" w:rsidRPr="00E01956">
        <w:rPr>
          <w:b/>
        </w:rPr>
        <w:t>правила избора реализатора и спроводилаца програма обуке</w:t>
      </w:r>
      <w:r w:rsidR="00E01956" w:rsidRPr="00E01956">
        <w:rPr>
          <w:bCs/>
        </w:rPr>
        <w:t xml:space="preserve">, заснована на њиховим стручним и педагошким компетенцијама, као и на техничким и просторним условима за организацију и спровођење програма обуке који се односе на спроводиоце обуке. У </w:t>
      </w:r>
      <w:r w:rsidR="00E01956" w:rsidRPr="00E01956">
        <w:rPr>
          <w:b/>
        </w:rPr>
        <w:t>Сталну листу предавача и других реализатора обука</w:t>
      </w:r>
      <w:r w:rsidR="00E01956" w:rsidRPr="00E01956">
        <w:rPr>
          <w:bCs/>
        </w:rPr>
        <w:t xml:space="preserve"> уписано је 1.366 реализатора (физичка лица),</w:t>
      </w:r>
      <w:r w:rsidR="00E01956" w:rsidRPr="00E01956">
        <w:rPr>
          <w:bCs/>
          <w:vertAlign w:val="superscript"/>
        </w:rPr>
        <w:footnoteReference w:id="123"/>
      </w:r>
      <w:r w:rsidR="00E01956" w:rsidRPr="00E01956">
        <w:rPr>
          <w:bCs/>
        </w:rPr>
        <w:t xml:space="preserve"> а у </w:t>
      </w:r>
      <w:r w:rsidR="00E01956" w:rsidRPr="00E01956">
        <w:rPr>
          <w:b/>
        </w:rPr>
        <w:t>Евиденцију акредитованих спроводилаца</w:t>
      </w:r>
      <w:r w:rsidR="00E01956" w:rsidRPr="00E01956">
        <w:rPr>
          <w:bCs/>
        </w:rPr>
        <w:t xml:space="preserve"> обука 253 спроводиоца (правна лица).</w:t>
      </w:r>
      <w:r w:rsidR="00E01956" w:rsidRPr="00E01956">
        <w:rPr>
          <w:bCs/>
          <w:vertAlign w:val="superscript"/>
        </w:rPr>
        <w:footnoteReference w:id="124"/>
      </w:r>
      <w:r w:rsidR="00E01956" w:rsidRPr="00E01956">
        <w:rPr>
          <w:bCs/>
        </w:rPr>
        <w:t xml:space="preserve"> Систем квалитета уведен је и у процес вредновања програма обуке, али се прави резултати очекују тек у наредном периоду будући да су лица која остварују своја права, правне интересе или обавезе пред органима или телима који су корисници програма стручног усавршавања</w:t>
      </w:r>
      <w:r w:rsidR="00E01956" w:rsidRPr="00E01956">
        <w:rPr>
          <w:lang w:val="sr-Latn-RS"/>
        </w:rPr>
        <w:t xml:space="preserve"> </w:t>
      </w:r>
      <w:r w:rsidR="00E01956" w:rsidRPr="00E01956">
        <w:rPr>
          <w:bCs/>
        </w:rPr>
        <w:t>идентификовала потребу за унапређењима, посебно у сегменту екстерне оцене програма обуке, али и оцене министарства надлежног за изградњу капацитета и стручно усавршавање запослених у државним органима и органима јединица локалне самоуправе и надлежних стручних тела.</w:t>
      </w:r>
    </w:p>
    <w:p w14:paraId="1751D52A" w14:textId="77777777" w:rsidR="00E01956" w:rsidRDefault="00E01956" w:rsidP="00E01956">
      <w:pPr>
        <w:rPr>
          <w:bCs/>
        </w:rPr>
      </w:pPr>
      <w:r w:rsidRPr="00E01956">
        <w:rPr>
          <w:bCs/>
        </w:rPr>
        <w:t>Неопходан помак је направљен у примени облика и метода у спровођењу програма обуке будући да су поред традиционалних облика у реализацији програма обуке место нашли и савремени облици учења, попут менторства, коучинга и електронског учења.</w:t>
      </w:r>
    </w:p>
    <w:p w14:paraId="42E955CB" w14:textId="77777777" w:rsidR="00E01956" w:rsidRDefault="00E01956" w:rsidP="00E01956">
      <w:pPr>
        <w:rPr>
          <w:bCs/>
        </w:rPr>
      </w:pPr>
      <w:r w:rsidRPr="00E01956">
        <w:rPr>
          <w:b/>
        </w:rPr>
        <w:t>Дигитализација процеса у стручном усавршавању</w:t>
      </w:r>
      <w:r w:rsidRPr="00E01956">
        <w:rPr>
          <w:bCs/>
        </w:rPr>
        <w:t xml:space="preserve"> у оквиру Централне евиденције програма стручног усавршавања у јавној управи, у примарном обиму, надограђена је </w:t>
      </w:r>
      <w:r w:rsidRPr="00E01956">
        <w:t xml:space="preserve">платформом </w:t>
      </w:r>
      <w:r w:rsidRPr="00E01956">
        <w:rPr>
          <w:bCs/>
        </w:rPr>
        <w:t xml:space="preserve">за учење на даљину. У наредном периоду тај потенцијал треба додатно развити и ставити у функцију веће доступности обука запосленима у јавној управи без обзира на место рада, што сада није постигнуто у обухвату тема и броју полазника који се очекује. То посебно имајући у виду да се учењем на даљину остварује уштеда у времену полазника обуке, да су нижи трошкови обуке и да је динамика рада прилагођена индивидуалним потребама полазника обуке будући да им омогућава да планирају време за учење и прилагоде га професионалним и другим обавезама. Да би се тај циљ остварио, потребно је континуирано ићи у корак са савременим технологијама и додатно развијати </w:t>
      </w:r>
      <w:r w:rsidRPr="00E01956">
        <w:t xml:space="preserve">платформу за учење на даљину уз примену мултимедијалних и интерактивних метода (рад у групи уз интерактивне сесије, форуме, заједничке вежбе у блекборд системима – виртуелне учионице, рад на заједничким пројектима, учење у окружењу „лицем у лице” и на крају обука, али и, „обавезно дружење” полазника обуке). </w:t>
      </w:r>
      <w:r w:rsidRPr="00E01956">
        <w:rPr>
          <w:bCs/>
        </w:rPr>
        <w:t>С друге стране, потребно је додатно јачати дигиталне компетенције запослених у јавној управи за коришћење нових технологија.</w:t>
      </w:r>
    </w:p>
    <w:p w14:paraId="130DF015" w14:textId="761C952F" w:rsidR="00E01956" w:rsidRDefault="00E01956" w:rsidP="00E01956">
      <w:r w:rsidRPr="00E01956">
        <w:rPr>
          <w:bCs/>
        </w:rPr>
        <w:t xml:space="preserve">У 2020. </w:t>
      </w:r>
      <w:r w:rsidR="005C6E93">
        <w:rPr>
          <w:bCs/>
        </w:rPr>
        <w:t>г</w:t>
      </w:r>
      <w:r w:rsidRPr="00E01956">
        <w:rPr>
          <w:bCs/>
        </w:rPr>
        <w:t>одини</w:t>
      </w:r>
      <w:r w:rsidRPr="00E01956">
        <w:rPr>
          <w:bCs/>
          <w:lang w:val="sr-Latn-RS"/>
        </w:rPr>
        <w:t xml:space="preserve"> </w:t>
      </w:r>
      <w:r w:rsidRPr="00E01956">
        <w:rPr>
          <w:bCs/>
        </w:rPr>
        <w:t>је 4.115 државних службеника и службеника у јединицама локалне самоуправе регист</w:t>
      </w:r>
      <w:r w:rsidR="005C6E93">
        <w:rPr>
          <w:bCs/>
        </w:rPr>
        <w:t>р</w:t>
      </w:r>
      <w:r w:rsidRPr="00E01956">
        <w:rPr>
          <w:bCs/>
        </w:rPr>
        <w:t>овано као корисници учења на даљину у оквиру систем</w:t>
      </w:r>
      <w:r w:rsidRPr="00E01956">
        <w:rPr>
          <w:bCs/>
          <w:lang w:val="sr-Latn-RS"/>
        </w:rPr>
        <w:t>a</w:t>
      </w:r>
      <w:r w:rsidRPr="00E01956">
        <w:rPr>
          <w:bCs/>
        </w:rPr>
        <w:t xml:space="preserve"> </w:t>
      </w:r>
      <w:r w:rsidRPr="00E01956">
        <w:rPr>
          <w:bCs/>
          <w:i/>
          <w:lang w:val="sr-Latn-RS"/>
        </w:rPr>
        <w:t>LMS</w:t>
      </w:r>
      <w:r w:rsidRPr="00E01956">
        <w:rPr>
          <w:bCs/>
        </w:rPr>
        <w:t xml:space="preserve">, а </w:t>
      </w:r>
      <w:r w:rsidRPr="00E01956">
        <w:t>реализовано је 13 онлајн</w:t>
      </w:r>
      <w:r w:rsidRPr="00E01956">
        <w:rPr>
          <w:i/>
          <w:iCs/>
        </w:rPr>
        <w:t xml:space="preserve"> </w:t>
      </w:r>
      <w:r w:rsidRPr="00E01956">
        <w:t>обука, са 2.309 полазника, као и 90 вебинара, са 4.484 полазника.</w:t>
      </w:r>
    </w:p>
    <w:p w14:paraId="48AC0CCF" w14:textId="41941559" w:rsidR="003F3312" w:rsidRPr="00E01956" w:rsidRDefault="00E01956" w:rsidP="00E01956">
      <w:pPr>
        <w:rPr>
          <w:bCs/>
        </w:rPr>
      </w:pPr>
      <w:r w:rsidRPr="00E01956">
        <w:t>У односу на изнете показатеље, НАЈУ се за кратко време показала као огроман потенцијал и значајна подршка свим органима и организациј</w:t>
      </w:r>
      <w:r w:rsidR="005C6E93">
        <w:t>а</w:t>
      </w:r>
      <w:r w:rsidRPr="00E01956">
        <w:t xml:space="preserve">ма у јавној управи у повећању кадровских капацитета за спровођење реформских процеса, али и као подршка у спровођењу прописаних надлежности тих органа у тој области. У том смислу, уз подршку МДУЛС и СКГО, НАЈУ је </w:t>
      </w:r>
      <w:r w:rsidRPr="00E01956">
        <w:rPr>
          <w:bCs/>
        </w:rPr>
        <w:t xml:space="preserve">организовала </w:t>
      </w:r>
      <w:r w:rsidRPr="00E01956">
        <w:rPr>
          <w:b/>
        </w:rPr>
        <w:t>мрежу лица за контакт у јавној управи за област стручног усавршавања</w:t>
      </w:r>
      <w:r w:rsidRPr="00E01956">
        <w:rPr>
          <w:bCs/>
        </w:rPr>
        <w:t xml:space="preserve"> са циљем остваривања непрекидне сарадње у свим фазама процеса стручног усавршавања, од утврђивања потреба, припреме, акредитације и спровођења донетих програма обуке, до њиховог вредновања и верификације.</w:t>
      </w:r>
      <w:r w:rsidR="003F3312" w:rsidRPr="000F0299">
        <w:rPr>
          <w:bCs/>
          <w:color w:val="000000"/>
        </w:rPr>
        <w:t xml:space="preserve"> </w:t>
      </w:r>
    </w:p>
    <w:p w14:paraId="1BCE089B" w14:textId="77777777" w:rsidR="00605261" w:rsidRPr="000F0299" w:rsidRDefault="003F3312" w:rsidP="00605261">
      <w:pPr>
        <w:keepNext/>
      </w:pPr>
      <w:r w:rsidRPr="000F0299">
        <w:rPr>
          <w:noProof/>
          <w:lang w:val="en-US" w:eastAsia="en-US" w:bidi="ar-SA"/>
        </w:rPr>
        <w:drawing>
          <wp:inline distT="0" distB="0" distL="0" distR="0" wp14:anchorId="5EFA274F" wp14:editId="335F08DD">
            <wp:extent cx="5227455" cy="1958340"/>
            <wp:effectExtent l="0" t="0" r="0" b="381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B743426" w14:textId="330C28B3" w:rsidR="003F3312" w:rsidRPr="00894BCD" w:rsidRDefault="00894BCD" w:rsidP="00894BCD">
      <w:pPr>
        <w:pStyle w:val="Caption"/>
        <w:rPr>
          <w:i w:val="0"/>
          <w:iCs w:val="0"/>
          <w:color w:val="000000"/>
          <w:lang w:val="sr-Cyrl-RS"/>
        </w:rPr>
      </w:pPr>
      <w:bookmarkStart w:id="146" w:name="_Toc57665360"/>
      <w:r w:rsidRPr="00B774F7">
        <w:rPr>
          <w:i w:val="0"/>
          <w:iCs w:val="0"/>
          <w:lang w:val="sr-Cyrl-RS"/>
        </w:rPr>
        <w:t xml:space="preserve">Графикон </w:t>
      </w:r>
      <w:r w:rsidRPr="00894BCD">
        <w:rPr>
          <w:i w:val="0"/>
          <w:iCs w:val="0"/>
        </w:rPr>
        <w:fldChar w:fldCharType="begin"/>
      </w:r>
      <w:r w:rsidRPr="00B774F7">
        <w:rPr>
          <w:i w:val="0"/>
          <w:iCs w:val="0"/>
          <w:lang w:val="sr-Cyrl-RS"/>
        </w:rPr>
        <w:instrText xml:space="preserve"> </w:instrText>
      </w:r>
      <w:r w:rsidRPr="00894BCD">
        <w:rPr>
          <w:i w:val="0"/>
          <w:iCs w:val="0"/>
        </w:rPr>
        <w:instrText>SEQ</w:instrText>
      </w:r>
      <w:r w:rsidRPr="00B774F7">
        <w:rPr>
          <w:i w:val="0"/>
          <w:iCs w:val="0"/>
          <w:lang w:val="sr-Cyrl-RS"/>
        </w:rPr>
        <w:instrText xml:space="preserve"> Графикон \* </w:instrText>
      </w:r>
      <w:r w:rsidRPr="00894BCD">
        <w:rPr>
          <w:i w:val="0"/>
          <w:iCs w:val="0"/>
        </w:rPr>
        <w:instrText>ARABIC</w:instrText>
      </w:r>
      <w:r w:rsidRPr="00B774F7">
        <w:rPr>
          <w:i w:val="0"/>
          <w:iCs w:val="0"/>
          <w:lang w:val="sr-Cyrl-RS"/>
        </w:rPr>
        <w:instrText xml:space="preserve"> </w:instrText>
      </w:r>
      <w:r w:rsidRPr="00894BCD">
        <w:rPr>
          <w:i w:val="0"/>
          <w:iCs w:val="0"/>
        </w:rPr>
        <w:fldChar w:fldCharType="separate"/>
      </w:r>
      <w:r w:rsidR="00BB48C1" w:rsidRPr="004546E7">
        <w:rPr>
          <w:i w:val="0"/>
          <w:iCs w:val="0"/>
          <w:noProof/>
          <w:lang w:val="sr-Cyrl-RS"/>
        </w:rPr>
        <w:t>24</w:t>
      </w:r>
      <w:r w:rsidRPr="00894BCD">
        <w:rPr>
          <w:i w:val="0"/>
          <w:iCs w:val="0"/>
        </w:rPr>
        <w:fldChar w:fldCharType="end"/>
      </w:r>
      <w:r w:rsidRPr="00894BCD">
        <w:rPr>
          <w:i w:val="0"/>
          <w:iCs w:val="0"/>
          <w:lang w:val="sr-Cyrl-RS"/>
        </w:rPr>
        <w:t xml:space="preserve"> </w:t>
      </w:r>
      <w:r w:rsidR="00605261" w:rsidRPr="00894BCD">
        <w:rPr>
          <w:i w:val="0"/>
          <w:iCs w:val="0"/>
          <w:lang w:val="sr-Cyrl-RS"/>
        </w:rPr>
        <w:t>Број чланова Мреже контакт особа у јавној управи</w:t>
      </w:r>
      <w:bookmarkEnd w:id="146"/>
    </w:p>
    <w:p w14:paraId="224AE147" w14:textId="77777777" w:rsidR="00164787" w:rsidRDefault="003F3312" w:rsidP="00164787">
      <w:pPr>
        <w:rPr>
          <w:bCs/>
        </w:rPr>
      </w:pPr>
      <w:r w:rsidRPr="000F0299">
        <w:t xml:space="preserve">За </w:t>
      </w:r>
      <w:r w:rsidR="00E01956" w:rsidRPr="00E01956">
        <w:rPr>
          <w:bCs/>
        </w:rPr>
        <w:t>спровођење функционалних елемената у стручном усавршавању у јавној управи предуслов су и одговарајући просторни капацитети и техничка опремљеност због чега је НАЈУ у јануару 2020. године стављен на располагање нови центар за обуку, прилагођен потребама те институције и њених корисника, са преко 3.500м</w:t>
      </w:r>
      <w:r w:rsidR="00E01956" w:rsidRPr="00E01956">
        <w:rPr>
          <w:bCs/>
          <w:vertAlign w:val="superscript"/>
        </w:rPr>
        <w:t>2</w:t>
      </w:r>
      <w:r w:rsidR="00E01956" w:rsidRPr="00E01956">
        <w:rPr>
          <w:bCs/>
        </w:rPr>
        <w:t>, 14 савремено опремљених учионица различитог капацитета у којима дневно може да се обучи и до 400 запослених у јавној управи.</w:t>
      </w:r>
    </w:p>
    <w:p w14:paraId="7E9F9043" w14:textId="77777777" w:rsidR="00164787" w:rsidRDefault="00E01956" w:rsidP="00164787">
      <w:pPr>
        <w:rPr>
          <w:bCs/>
        </w:rPr>
      </w:pPr>
      <w:r w:rsidRPr="00E01956">
        <w:rPr>
          <w:bCs/>
        </w:rPr>
        <w:t xml:space="preserve">Паралелно са процесима у НАЈУ, изградњи система стручног усавршавања допринели су државни и други органи у јавној управи развојем система стручног усавршавања у </w:t>
      </w:r>
      <w:r w:rsidRPr="00E01956">
        <w:rPr>
          <w:b/>
        </w:rPr>
        <w:t xml:space="preserve">посебним програмима обуке </w:t>
      </w:r>
      <w:r w:rsidRPr="00E01956">
        <w:rPr>
          <w:bCs/>
        </w:rPr>
        <w:t xml:space="preserve">који се </w:t>
      </w:r>
      <w:r w:rsidRPr="00E01956">
        <w:t>припремају и спроводе ради стручног усавршавања запослених у државним органима и органима јединица локалне самоуправе у складу са специфичним потребама из делокруга тих органа, односно потребама појединих радних места, врсте послова или посебне групе корисника. У том облику стручног усавршавања у 2018. и 2019. години надлежност су остварили МДУЛС, Министарство за европске интеграције, СУК, Управа царина, Управа за трезор, Управа за јавне набавке, Агенција за борбу против корупције, Покрајинска влада – Служба за управљање људским ресурсима,</w:t>
      </w:r>
      <w:r w:rsidRPr="00E01956">
        <w:rPr>
          <w:vertAlign w:val="superscript"/>
        </w:rPr>
        <w:footnoteReference w:id="125"/>
      </w:r>
      <w:r w:rsidRPr="00E01956">
        <w:t xml:space="preserve"> док је један број органа подржан у припреми тих програма за 2021. годину – 92 јединице локалне самоуправе и четири министарства.</w:t>
      </w:r>
      <w:r w:rsidRPr="00E01956">
        <w:rPr>
          <w:vertAlign w:val="superscript"/>
        </w:rPr>
        <w:footnoteReference w:id="126"/>
      </w:r>
      <w:r w:rsidRPr="00E01956">
        <w:t xml:space="preserve"> С обзиром на укупан број органа јавне управе оцена је да ти програми још нису нашли своју пуну примену у пракси, те да је у наредном периоду потребно утврдити шта је узрок томе и предложити мере за унапређење посебног стручног усавршавања у јавној управи. </w:t>
      </w:r>
    </w:p>
    <w:p w14:paraId="17D58A52" w14:textId="77777777" w:rsidR="00164787" w:rsidRDefault="00E01956" w:rsidP="00164787">
      <w:pPr>
        <w:rPr>
          <w:bCs/>
        </w:rPr>
      </w:pPr>
      <w:r w:rsidRPr="00E01956">
        <w:rPr>
          <w:bCs/>
        </w:rPr>
        <w:t xml:space="preserve">Такође, полазећи од тога да је „управа жив организам” и да се стално преображава и прилагођава потребама државе и друштва у целини, за шта је потребно обезбедити добро обучен кадар који једнако има знања, вештине и способности да буде носилац свих промена, неизоставно се намеће потреба да се област, методи и технике стручног усавршавања континуирано прилагођавају савременим трендовима и технологијама. Зато ће посебан изазов бити не само одржати узлазну линију реформског процеса у области стручног усавршавања у државним органима и органима ЈЛС према до сада успостављеним стандардима и систему квалитета већ и наставити динамику развоја која ће у наредном десетогодишњем периоду моћи да обезбеди да се у тај процес укључе и органи, организације и имаоци јавних овлашћења из других делова јавне управе и изградити капацитет </w:t>
      </w:r>
      <w:r w:rsidRPr="00E01956">
        <w:t xml:space="preserve">НАЈУ за преузимање доминантне улоге јединственог центра за управљање знањем и ширење културе целоживотног учења и личног развоја свих административних капацитета у јавној управи. </w:t>
      </w:r>
    </w:p>
    <w:p w14:paraId="40F924D5" w14:textId="77777777" w:rsidR="00164787" w:rsidRDefault="00E01956" w:rsidP="00164787">
      <w:pPr>
        <w:rPr>
          <w:bCs/>
        </w:rPr>
      </w:pPr>
      <w:r w:rsidRPr="00E01956">
        <w:t>Будући да савремени трендови уважавају потребу запослених, али и њихових послодаваца за континуираним унапређењем знања, вештина и способности у циљу постизања бољег економског раста, веће конкурентности и трајне запослености, у наредном периоду додатни изазов биће стварање услова за пуну примену концепта целоживотног учења у систему стручног усавршавања у јавној управи и стављање изградње кадровских капацитета у функцију осталих елемената у УЉР, посебно оцењивања, напредовања и награђивања, али и његово повезивање са додатним образовањем кадра у јавној управи. Истовремено, потребно је изнаћи адекватне модалитете за подршку високом образовању у школовању кадра за јавну управу.</w:t>
      </w:r>
    </w:p>
    <w:p w14:paraId="3A1BC8EA" w14:textId="6903D91C" w:rsidR="00E01956" w:rsidRPr="00E01956" w:rsidRDefault="00E01956" w:rsidP="00164787">
      <w:pPr>
        <w:rPr>
          <w:bCs/>
        </w:rPr>
      </w:pPr>
      <w:r w:rsidRPr="00E01956">
        <w:rPr>
          <w:bCs/>
        </w:rPr>
        <w:t xml:space="preserve">Међутим, како су кадровски капацитети кључ успеха свих реформских процеса, па и у области стручног усавршавања, постоји велика потреба да се у наредном периоду, како је већ наглашено, посебна пажња посвети </w:t>
      </w:r>
      <w:r w:rsidRPr="00E01956">
        <w:rPr>
          <w:b/>
        </w:rPr>
        <w:t>трансформацији јединица за управљање кадровима у</w:t>
      </w:r>
      <w:r w:rsidRPr="00E01956">
        <w:rPr>
          <w:bCs/>
        </w:rPr>
        <w:t xml:space="preserve"> државним органима и органима јединица локалне самоуправе из постојећег концепта </w:t>
      </w:r>
      <w:r w:rsidRPr="00E01956">
        <w:rPr>
          <w:b/>
        </w:rPr>
        <w:t>у концепт модерног УЉР</w:t>
      </w:r>
      <w:r w:rsidRPr="00E01956">
        <w:t>,</w:t>
      </w:r>
      <w:r w:rsidRPr="00E01956">
        <w:rPr>
          <w:bCs/>
          <w:lang w:val="sr-Latn-RS"/>
        </w:rPr>
        <w:t xml:space="preserve"> </w:t>
      </w:r>
      <w:r w:rsidRPr="00E01956">
        <w:rPr>
          <w:bCs/>
        </w:rPr>
        <w:t>који</w:t>
      </w:r>
      <w:r w:rsidRPr="00E01956">
        <w:rPr>
          <w:bCs/>
          <w:lang w:val="sr-Latn-RS"/>
        </w:rPr>
        <w:t>, између осталог,</w:t>
      </w:r>
      <w:r w:rsidRPr="00E01956">
        <w:rPr>
          <w:bCs/>
        </w:rPr>
        <w:t xml:space="preserve"> подр</w:t>
      </w:r>
      <w:r w:rsidR="005C6E93">
        <w:rPr>
          <w:bCs/>
        </w:rPr>
        <w:t>а</w:t>
      </w:r>
      <w:r w:rsidRPr="00E01956">
        <w:rPr>
          <w:bCs/>
        </w:rPr>
        <w:t>зумева стратешки приступ у управљању процесима стручног усавршавања кадра у органима јавне управе уместо садашњег претежно техничког приступа у остваривању те функције.</w:t>
      </w:r>
      <w:r w:rsidRPr="00E01956">
        <w:rPr>
          <w:bCs/>
          <w:vertAlign w:val="superscript"/>
          <w:lang w:val="sr-Latn-RS"/>
        </w:rPr>
        <w:footnoteReference w:id="127"/>
      </w:r>
      <w:r w:rsidRPr="00E01956">
        <w:rPr>
          <w:bCs/>
        </w:rPr>
        <w:t xml:space="preserve"> Наравно, то изискује плански приступ решавању тог питања и адекватну подршку органима у успостављању функционалних јединица за управљање кадровима и запосленима на тим пословима који су добро обучени за примену савремених метода и техника у УЉР.</w:t>
      </w:r>
    </w:p>
    <w:p w14:paraId="56F79458" w14:textId="53AD08F2" w:rsidR="00E01956" w:rsidRPr="00E01956" w:rsidRDefault="00E01956" w:rsidP="00E01956">
      <w:r w:rsidRPr="00E01956">
        <w:rPr>
          <w:b/>
          <w:bCs/>
          <w:u w:val="single"/>
        </w:rPr>
        <w:t>Стручни испити</w:t>
      </w:r>
      <w:r w:rsidRPr="00E01956">
        <w:t xml:space="preserve"> – У претходном периоду поред државног стручног испита који је општег карактера, у систем јавне управе уведен је значајан број посебних стручних испита који се односе на категорије запослених </w:t>
      </w:r>
      <w:r w:rsidRPr="00E01956">
        <w:rPr>
          <w:lang w:val="sr-Latn-RS"/>
        </w:rPr>
        <w:t xml:space="preserve">на </w:t>
      </w:r>
      <w:r w:rsidRPr="00E01956">
        <w:t xml:space="preserve">појединим </w:t>
      </w:r>
      <w:r w:rsidRPr="00E01956">
        <w:rPr>
          <w:lang w:val="sr-Latn-RS"/>
        </w:rPr>
        <w:t xml:space="preserve">радним местима </w:t>
      </w:r>
      <w:r w:rsidRPr="00E01956">
        <w:t xml:space="preserve">у државним органима, односно запослене </w:t>
      </w:r>
      <w:r w:rsidRPr="00E01956">
        <w:rPr>
          <w:lang w:val="sr-Latn-RS"/>
        </w:rPr>
        <w:t>са посебним дужностима и овлашћењима</w:t>
      </w:r>
      <w:r w:rsidRPr="00E01956">
        <w:t>.</w:t>
      </w:r>
      <w:r w:rsidRPr="00E01956">
        <w:rPr>
          <w:vertAlign w:val="superscript"/>
        </w:rPr>
        <w:footnoteReference w:id="128"/>
      </w:r>
      <w:r w:rsidRPr="00E01956">
        <w:t xml:space="preserve"> Међутим, динамичне нормативне активности и њихово спровођење нису били део процеса заснованог на јединственим основама, које треба да обезбеде суштинску реформу и целовитост области стручних испита на нивоу државне (јавне) управе, као и остваривање њихове сврхе у систему. У том смислу, изазови у будућем развоју те области односе се на потребу да се </w:t>
      </w:r>
      <w:r w:rsidRPr="00E01956">
        <w:rPr>
          <w:b/>
          <w:bCs/>
        </w:rPr>
        <w:t>предвиде и формулишу јединствени критеријуми и стандарди у стручним испитима</w:t>
      </w:r>
      <w:r w:rsidRPr="00E01956">
        <w:t xml:space="preserve"> на нивоу најпре државне, а затим и јавне управе у целини, повеже област стручних испита са новим системом стручног усавршавања у јавној управи, али и побољшају пословни процеси у области стручних испита у сврху стандардизације процеса стручних испита, као и унапређења надзорне функције и примене ИКТ у тој области. </w:t>
      </w:r>
    </w:p>
    <w:p w14:paraId="4E0EF660" w14:textId="7302DDEA" w:rsidR="003F3312" w:rsidRPr="000F0299" w:rsidRDefault="00E01956" w:rsidP="00E01956">
      <w:pPr>
        <w:rPr>
          <w:color w:val="000000"/>
        </w:rPr>
      </w:pPr>
      <w:r w:rsidRPr="00E01956">
        <w:t xml:space="preserve">Прве кораке у правцу модернизације стручних испита направио је МДУЛС изградњом </w:t>
      </w:r>
      <w:r w:rsidRPr="00E01956">
        <w:rPr>
          <w:b/>
          <w:bCs/>
        </w:rPr>
        <w:t>софтверског решења за стручне испите</w:t>
      </w:r>
      <w:r w:rsidRPr="00E01956">
        <w:t xml:space="preserve"> из свог делокруга, чије перформансе имају карактеристике прототипа информационог система за истоврсну подршку другим стручним испитима у систему државне (јавне) управе у Републици Србији</w:t>
      </w:r>
      <w:r w:rsidR="003F3312" w:rsidRPr="000F0299">
        <w:rPr>
          <w:color w:val="000000"/>
        </w:rPr>
        <w:t>.</w:t>
      </w:r>
    </w:p>
    <w:p w14:paraId="2AA238F5" w14:textId="77777777" w:rsidR="00115E98" w:rsidRPr="000F0299" w:rsidRDefault="003F3312" w:rsidP="00115E98">
      <w:pPr>
        <w:keepNext/>
      </w:pPr>
      <w:r w:rsidRPr="000F0299">
        <w:rPr>
          <w:noProof/>
          <w:lang w:val="en-US" w:eastAsia="en-US" w:bidi="ar-SA"/>
        </w:rPr>
        <w:drawing>
          <wp:inline distT="0" distB="0" distL="0" distR="0" wp14:anchorId="7AA609AF" wp14:editId="5FE3E238">
            <wp:extent cx="5089891" cy="3002145"/>
            <wp:effectExtent l="0" t="0" r="0" b="8255"/>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9BDA90A" w14:textId="65C31E42" w:rsidR="003F3312" w:rsidRPr="00894BCD" w:rsidRDefault="00894BCD" w:rsidP="00894BCD">
      <w:pPr>
        <w:pStyle w:val="Caption"/>
        <w:rPr>
          <w:i w:val="0"/>
          <w:iCs w:val="0"/>
          <w:lang w:val="sr-Cyrl-RS"/>
        </w:rPr>
      </w:pPr>
      <w:bookmarkStart w:id="147" w:name="_Toc57665361"/>
      <w:r w:rsidRPr="00B774F7">
        <w:rPr>
          <w:i w:val="0"/>
          <w:iCs w:val="0"/>
          <w:lang w:val="sr-Cyrl-RS"/>
        </w:rPr>
        <w:t xml:space="preserve">Графикон </w:t>
      </w:r>
      <w:r w:rsidRPr="00894BCD">
        <w:rPr>
          <w:i w:val="0"/>
          <w:iCs w:val="0"/>
        </w:rPr>
        <w:fldChar w:fldCharType="begin"/>
      </w:r>
      <w:r w:rsidRPr="00B774F7">
        <w:rPr>
          <w:i w:val="0"/>
          <w:iCs w:val="0"/>
          <w:lang w:val="sr-Cyrl-RS"/>
        </w:rPr>
        <w:instrText xml:space="preserve"> </w:instrText>
      </w:r>
      <w:r w:rsidRPr="00894BCD">
        <w:rPr>
          <w:i w:val="0"/>
          <w:iCs w:val="0"/>
        </w:rPr>
        <w:instrText>SEQ</w:instrText>
      </w:r>
      <w:r w:rsidRPr="00B774F7">
        <w:rPr>
          <w:i w:val="0"/>
          <w:iCs w:val="0"/>
          <w:lang w:val="sr-Cyrl-RS"/>
        </w:rPr>
        <w:instrText xml:space="preserve"> Графикон \* </w:instrText>
      </w:r>
      <w:r w:rsidRPr="00894BCD">
        <w:rPr>
          <w:i w:val="0"/>
          <w:iCs w:val="0"/>
        </w:rPr>
        <w:instrText>ARABIC</w:instrText>
      </w:r>
      <w:r w:rsidRPr="00B774F7">
        <w:rPr>
          <w:i w:val="0"/>
          <w:iCs w:val="0"/>
          <w:lang w:val="sr-Cyrl-RS"/>
        </w:rPr>
        <w:instrText xml:space="preserve"> </w:instrText>
      </w:r>
      <w:r w:rsidRPr="00894BCD">
        <w:rPr>
          <w:i w:val="0"/>
          <w:iCs w:val="0"/>
        </w:rPr>
        <w:fldChar w:fldCharType="separate"/>
      </w:r>
      <w:r w:rsidR="00BB48C1" w:rsidRPr="004546E7">
        <w:rPr>
          <w:i w:val="0"/>
          <w:iCs w:val="0"/>
          <w:noProof/>
          <w:lang w:val="sr-Cyrl-RS"/>
        </w:rPr>
        <w:t>25</w:t>
      </w:r>
      <w:r w:rsidRPr="00894BCD">
        <w:rPr>
          <w:i w:val="0"/>
          <w:iCs w:val="0"/>
        </w:rPr>
        <w:fldChar w:fldCharType="end"/>
      </w:r>
      <w:r w:rsidRPr="00894BCD">
        <w:rPr>
          <w:i w:val="0"/>
          <w:iCs w:val="0"/>
          <w:lang w:val="sr-Cyrl-RS"/>
        </w:rPr>
        <w:t xml:space="preserve"> </w:t>
      </w:r>
      <w:r w:rsidR="00115E98" w:rsidRPr="00894BCD">
        <w:rPr>
          <w:i w:val="0"/>
          <w:iCs w:val="0"/>
          <w:lang w:val="sr-Cyrl-RS"/>
        </w:rPr>
        <w:t>Број кандидата који су положили државни стручни испит у последњих 10 година</w:t>
      </w:r>
      <w:bookmarkEnd w:id="147"/>
    </w:p>
    <w:p w14:paraId="6C0AA897" w14:textId="3F2F7F0A" w:rsidR="003F3312" w:rsidRPr="00522701" w:rsidRDefault="00522701" w:rsidP="00570263">
      <w:pPr>
        <w:pStyle w:val="Style1"/>
        <w:rPr>
          <w:lang w:val="sr-Cyrl-RS"/>
        </w:rPr>
      </w:pPr>
      <w:r w:rsidRPr="00B774F7">
        <w:rPr>
          <w:lang w:val="sr-Cyrl-RS"/>
        </w:rPr>
        <w:t>Приказ упоредне праксе</w:t>
      </w:r>
    </w:p>
    <w:p w14:paraId="00A3CAA3" w14:textId="6AFD3C5C" w:rsidR="00522701" w:rsidRPr="00543AE1" w:rsidRDefault="00522701" w:rsidP="00543AE1">
      <w:r w:rsidRPr="00543AE1">
        <w:t xml:space="preserve">Последњи доступни упоредни подаци о стању у области управљање људским ресурсима доступни су за 2017. и 2019. годину </w:t>
      </w:r>
      <w:r w:rsidR="00AE764A">
        <w:t xml:space="preserve">у </w:t>
      </w:r>
      <w:r w:rsidR="00AE764A" w:rsidRPr="00AE764A">
        <w:rPr>
          <w:i/>
          <w:iCs/>
          <w:lang w:val="sr-Latn-RS"/>
        </w:rPr>
        <w:t>SIGMA</w:t>
      </w:r>
      <w:r w:rsidR="00AE764A">
        <w:rPr>
          <w:lang w:val="sr-Latn-RS"/>
        </w:rPr>
        <w:t xml:space="preserve"> </w:t>
      </w:r>
      <w:r w:rsidRPr="00543AE1">
        <w:t>извештај</w:t>
      </w:r>
      <w:r w:rsidR="00AE764A">
        <w:t>има</w:t>
      </w:r>
      <w:r w:rsidRPr="00543AE1">
        <w:t xml:space="preserve">. Анализа ова два извештаја указује на позитивне резултате реформских активности у овој области. </w:t>
      </w:r>
      <w:r w:rsidR="00AE764A" w:rsidRPr="00543AE1">
        <w:t xml:space="preserve">Србија је остварила напредак </w:t>
      </w:r>
      <w:r w:rsidR="00AE764A">
        <w:t>у</w:t>
      </w:r>
      <w:r w:rsidRPr="00543AE1">
        <w:t xml:space="preserve"> пет од седам </w:t>
      </w:r>
      <w:r w:rsidR="00AE764A" w:rsidRPr="0070535D">
        <w:rPr>
          <w:i/>
        </w:rPr>
        <w:t>SIGMA</w:t>
      </w:r>
      <w:r w:rsidR="00AE764A" w:rsidRPr="00543AE1">
        <w:t xml:space="preserve"> </w:t>
      </w:r>
      <w:r w:rsidRPr="00543AE1">
        <w:t xml:space="preserve">показатеља док су два (запошљавање државних службеника на положају према заслугама и стручно усавршавање службеника) остала на истом нивоу. Када је реч </w:t>
      </w:r>
      <w:r w:rsidR="00AE764A">
        <w:t xml:space="preserve">о </w:t>
      </w:r>
      <w:r w:rsidRPr="00543AE1">
        <w:t>области стручног усавршавања, важно је напоменути да је у периоду након објављивања последњег извештај</w:t>
      </w:r>
      <w:r w:rsidR="00AE764A">
        <w:t xml:space="preserve">а Република Србија </w:t>
      </w:r>
      <w:r w:rsidRPr="00543AE1">
        <w:t>започе</w:t>
      </w:r>
      <w:r w:rsidR="00AE764A">
        <w:t>ла</w:t>
      </w:r>
      <w:r w:rsidRPr="00543AE1">
        <w:t xml:space="preserve"> низ активности. Додатно, велики број података који се односе на различите аспекте управљања људским ресурсима, а који у време </w:t>
      </w:r>
      <w:r w:rsidR="0070535D" w:rsidRPr="0070535D">
        <w:rPr>
          <w:i/>
        </w:rPr>
        <w:t>SIGMA</w:t>
      </w:r>
      <w:r w:rsidRPr="00543AE1">
        <w:t xml:space="preserve"> процене нису били доступни, су у међувремену постали доступни или ће бити доступни у блиској будућности, нарочито са успостављањем новог информационог система за управљање људским ресурсима. </w:t>
      </w:r>
    </w:p>
    <w:p w14:paraId="26A183D2" w14:textId="3B8627E0" w:rsidR="00522701" w:rsidRPr="00B774F7" w:rsidRDefault="00522701" w:rsidP="00522701">
      <w:r w:rsidRPr="00543AE1">
        <w:t>У поређењу са другим држав</w:t>
      </w:r>
      <w:r w:rsidR="00AE764A">
        <w:t>ам</w:t>
      </w:r>
      <w:r w:rsidRPr="00543AE1">
        <w:t xml:space="preserve">а у региону, Србија благо заостаје за осталим државама Западног Балкана само у погледу хоризонталног обухвата службеничког система, и то због изузетака за напредовање и отпуштање запослених у јавним агенцијама. С друге стране, успостављање оквира компетенција значајно је побољшало квалитет правног оквира за запошљавање у државној управи. У погледу институционалне поставке за професионално управљање људским ресурсима, само Албанија премашује резултате Србије и то само због боље доступности и употребе података у овим процесима. Што се тиче запошљавања, Албанија и Северна Македонија имају бољи учинак од Србије, углавном као последица проблема са доступношћу података (нпр. о стопи задржавања кадрова), као и одредби које омогућавају запошљавање службеника на одређено време. У домену запошљавања и отпуштања државних службеника на положају, иако је само Албанија боље пласирана, ситуација у пракси у Србији је оцењена као критична, пре свега у смислу постављења вршилаца дужности. Када је реч о систему плата, само Северна Македонија има бољи скор од Србије, такође због проблема доступношћу података, као и аспекта дискреционих овлашћења руководилаца о додели бонуса. Коначно, што се тиче оцене учинка и професионалног развоја, </w:t>
      </w:r>
      <w:r w:rsidR="0070535D" w:rsidRPr="0070535D">
        <w:rPr>
          <w:i/>
        </w:rPr>
        <w:t>SIGMA</w:t>
      </w:r>
      <w:r w:rsidRPr="00543AE1">
        <w:t xml:space="preserve"> препознаје напредак који надмашује само пракса у Албанији, углавном такође због боље доступности података и нешто већег удела државних службеника који похађају обуке.</w:t>
      </w:r>
    </w:p>
    <w:p w14:paraId="6427E576" w14:textId="77777777" w:rsidR="00522701" w:rsidRPr="00522701" w:rsidRDefault="00522701" w:rsidP="00244E7C">
      <w:pPr>
        <w:rPr>
          <w:lang w:val="sr-Latn-RS"/>
        </w:rPr>
        <w:sectPr w:rsidR="00522701" w:rsidRPr="00522701" w:rsidSect="00526363">
          <w:headerReference w:type="default" r:id="rId118"/>
          <w:footerReference w:type="default" r:id="rId119"/>
          <w:pgSz w:w="11906" w:h="16838"/>
          <w:pgMar w:top="1418" w:right="1418" w:bottom="1134" w:left="1418" w:header="720" w:footer="720" w:gutter="0"/>
          <w:cols w:space="0"/>
          <w:docGrid w:linePitch="326"/>
        </w:sectPr>
      </w:pPr>
    </w:p>
    <w:p w14:paraId="6F361E14" w14:textId="6B856224" w:rsidR="00787F1E" w:rsidRPr="000F0299" w:rsidRDefault="00787F1E" w:rsidP="00433570">
      <w:pPr>
        <w:pStyle w:val="Heading3"/>
        <w:rPr>
          <w:lang w:val="sr-Cyrl-RS"/>
        </w:rPr>
      </w:pPr>
      <w:bookmarkStart w:id="148" w:name="_Toc57661480"/>
      <w:r w:rsidRPr="000F0299">
        <w:rPr>
          <w:lang w:val="sr-Cyrl-RS"/>
        </w:rPr>
        <w:t xml:space="preserve">Дрво проблема </w:t>
      </w:r>
      <w:r w:rsidR="00433570" w:rsidRPr="000F0299">
        <w:rPr>
          <w:lang w:val="sr-Cyrl-RS"/>
        </w:rPr>
        <w:t>- У</w:t>
      </w:r>
      <w:r w:rsidRPr="000F0299">
        <w:rPr>
          <w:lang w:val="sr-Cyrl-RS"/>
        </w:rPr>
        <w:t>прављање људским ресурсима</w:t>
      </w:r>
      <w:bookmarkEnd w:id="148"/>
    </w:p>
    <w:p w14:paraId="49D9A6F4" w14:textId="77777777" w:rsidR="003F3312" w:rsidRPr="000F0299" w:rsidRDefault="003F3312" w:rsidP="003A039D">
      <w:pPr>
        <w:rPr>
          <w:rFonts w:ascii="Verdana" w:hAnsi="Verdana"/>
          <w:color w:val="D40015"/>
          <w:spacing w:val="-42"/>
          <w:position w:val="-2"/>
          <w:sz w:val="28"/>
          <w:szCs w:val="28"/>
        </w:rPr>
      </w:pPr>
      <w:r w:rsidRPr="000F0299">
        <w:rPr>
          <w:noProof/>
          <w:lang w:val="en-US" w:eastAsia="en-US" w:bidi="ar-SA"/>
        </w:rPr>
        <mc:AlternateContent>
          <mc:Choice Requires="wps">
            <w:drawing>
              <wp:anchor distT="0" distB="0" distL="114300" distR="114300" simplePos="0" relativeHeight="251360768" behindDoc="0" locked="0" layoutInCell="1" allowOverlap="1" wp14:anchorId="63CB3F7D" wp14:editId="446A79AD">
                <wp:simplePos x="0" y="0"/>
                <wp:positionH relativeFrom="column">
                  <wp:posOffset>4747260</wp:posOffset>
                </wp:positionH>
                <wp:positionV relativeFrom="paragraph">
                  <wp:posOffset>16510</wp:posOffset>
                </wp:positionV>
                <wp:extent cx="3840480" cy="734060"/>
                <wp:effectExtent l="19050" t="19050" r="26670" b="27940"/>
                <wp:wrapNone/>
                <wp:docPr id="420" name="Text Box 420"/>
                <wp:cNvGraphicFramePr/>
                <a:graphic xmlns:a="http://schemas.openxmlformats.org/drawingml/2006/main">
                  <a:graphicData uri="http://schemas.microsoft.com/office/word/2010/wordprocessingShape">
                    <wps:wsp>
                      <wps:cNvSpPr txBox="1"/>
                      <wps:spPr>
                        <a:xfrm>
                          <a:off x="0" y="0"/>
                          <a:ext cx="3840480" cy="73406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280BF310" w14:textId="77777777" w:rsidR="00876FFE" w:rsidRPr="00E11DAD" w:rsidRDefault="00876FFE" w:rsidP="00E11DAD">
                            <w:pPr>
                              <w:ind w:firstLine="0"/>
                              <w:jc w:val="center"/>
                              <w:rPr>
                                <w:rFonts w:asciiTheme="minorHAnsi" w:hAnsiTheme="minorHAnsi" w:cstheme="minorHAnsi"/>
                              </w:rPr>
                            </w:pPr>
                            <w:r w:rsidRPr="00E11DAD">
                              <w:rPr>
                                <w:rFonts w:asciiTheme="minorHAnsi" w:hAnsiTheme="minorHAnsi" w:cstheme="minorHAnsi"/>
                              </w:rPr>
                              <w:t>Неефективна јавна управа која није способна да пружи квалитетне услуге грађанима и привреди</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CB3F7D" id="Text Box 420" o:spid="_x0000_s1103" style="position:absolute;left:0;text-align:left;margin-left:373.8pt;margin-top:1.3pt;width:302.4pt;height:57.8pt;z-index:25136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" fillcolor="window" strokecolor="#bfbfbf [2412]" strokeweight="2.25pt">
                <v:stroke joinstyle="miter"/>
                <v:textbox inset="2mm,0,2mm,0">
                  <w:txbxContent>
                    <w:p w14:paraId="280BF310" w14:textId="77777777" w:rsidR="00876FFE" w:rsidRPr="00E11DAD" w:rsidRDefault="00876FFE" w:rsidP="00E11DAD">
                      <w:pPr>
                        <w:ind w:firstLine="0"/>
                        <w:jc w:val="center"/>
                        <w:rPr>
                          <w:rFonts w:asciiTheme="minorHAnsi" w:hAnsiTheme="minorHAnsi" w:cstheme="minorHAnsi"/>
                        </w:rPr>
                      </w:pPr>
                      <w:r w:rsidRPr="00E11DAD">
                        <w:rPr>
                          <w:rFonts w:asciiTheme="minorHAnsi" w:hAnsiTheme="minorHAnsi" w:cstheme="minorHAnsi"/>
                        </w:rPr>
                        <w:t>Неефективна јавна управа која није способна да пружи квалитетне услуге грађанима и привреди</w:t>
                      </w:r>
                    </w:p>
                  </w:txbxContent>
                </v:textbox>
              </v:roundrect>
            </w:pict>
          </mc:Fallback>
        </mc:AlternateContent>
      </w:r>
    </w:p>
    <w:p w14:paraId="3DE6C093" w14:textId="77777777" w:rsidR="003F3312" w:rsidRPr="000F0299" w:rsidRDefault="003F3312" w:rsidP="00244E7C"/>
    <w:p w14:paraId="58768A63" w14:textId="2EF6E2DA" w:rsidR="003F3312" w:rsidRPr="000F0299" w:rsidRDefault="006F75C8" w:rsidP="00244E7C">
      <w:r w:rsidRPr="000F0299">
        <w:rPr>
          <w:noProof/>
          <w:lang w:val="en-US" w:eastAsia="en-US" w:bidi="ar-SA"/>
        </w:rPr>
        <mc:AlternateContent>
          <mc:Choice Requires="wps">
            <w:drawing>
              <wp:anchor distT="0" distB="0" distL="114300" distR="114300" simplePos="0" relativeHeight="251372032" behindDoc="0" locked="0" layoutInCell="1" allowOverlap="1" wp14:anchorId="106B8DEA" wp14:editId="43CABAF0">
                <wp:simplePos x="0" y="0"/>
                <wp:positionH relativeFrom="column">
                  <wp:posOffset>7844609</wp:posOffset>
                </wp:positionH>
                <wp:positionV relativeFrom="paragraph">
                  <wp:posOffset>236492</wp:posOffset>
                </wp:positionV>
                <wp:extent cx="0" cy="399415"/>
                <wp:effectExtent l="76200" t="38100" r="57150" b="19685"/>
                <wp:wrapNone/>
                <wp:docPr id="751" name="Straight Arrow Connector 751"/>
                <wp:cNvGraphicFramePr/>
                <a:graphic xmlns:a="http://schemas.openxmlformats.org/drawingml/2006/main">
                  <a:graphicData uri="http://schemas.microsoft.com/office/word/2010/wordprocessingShape">
                    <wps:wsp>
                      <wps:cNvCnPr/>
                      <wps:spPr>
                        <a:xfrm flipV="1">
                          <a:off x="0" y="0"/>
                          <a:ext cx="0" cy="399415"/>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06DA27" id="Straight Arrow Connector 751" o:spid="_x0000_s1026" type="#_x0000_t32" style="position:absolute;margin-left:617.7pt;margin-top:18.6pt;width:0;height:31.45pt;flip:y;z-index:25137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" strokecolor="#a5a5a5 [2092]" strokeweight="1.5pt">
                <v:stroke endarrow="block" joinstyle="miter"/>
              </v:shape>
            </w:pict>
          </mc:Fallback>
        </mc:AlternateContent>
      </w:r>
      <w:r w:rsidRPr="000F0299">
        <w:rPr>
          <w:noProof/>
          <w:lang w:val="en-US" w:eastAsia="en-US" w:bidi="ar-SA"/>
        </w:rPr>
        <mc:AlternateContent>
          <mc:Choice Requires="wps">
            <w:drawing>
              <wp:anchor distT="0" distB="0" distL="114300" distR="114300" simplePos="0" relativeHeight="251371008" behindDoc="0" locked="0" layoutInCell="1" allowOverlap="1" wp14:anchorId="123EA2A9" wp14:editId="537261E7">
                <wp:simplePos x="0" y="0"/>
                <wp:positionH relativeFrom="column">
                  <wp:posOffset>5408295</wp:posOffset>
                </wp:positionH>
                <wp:positionV relativeFrom="paragraph">
                  <wp:posOffset>237903</wp:posOffset>
                </wp:positionV>
                <wp:extent cx="0" cy="399415"/>
                <wp:effectExtent l="76200" t="38100" r="57150" b="19685"/>
                <wp:wrapNone/>
                <wp:docPr id="753" name="Straight Arrow Connector 753"/>
                <wp:cNvGraphicFramePr/>
                <a:graphic xmlns:a="http://schemas.openxmlformats.org/drawingml/2006/main">
                  <a:graphicData uri="http://schemas.microsoft.com/office/word/2010/wordprocessingShape">
                    <wps:wsp>
                      <wps:cNvCnPr/>
                      <wps:spPr>
                        <a:xfrm flipV="1">
                          <a:off x="0" y="0"/>
                          <a:ext cx="0" cy="399415"/>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8727B8" id="Straight Arrow Connector 753" o:spid="_x0000_s1026" type="#_x0000_t32" style="position:absolute;margin-left:425.85pt;margin-top:18.75pt;width:0;height:31.45pt;flip:y;z-index:25137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" strokecolor="#a5a5a5 [2092]" strokeweight="1.5pt">
                <v:stroke endarrow="block" joinstyle="miter"/>
              </v:shape>
            </w:pict>
          </mc:Fallback>
        </mc:AlternateContent>
      </w:r>
    </w:p>
    <w:p w14:paraId="56A7E0A3" w14:textId="519606CC" w:rsidR="003F3312" w:rsidRPr="000F0299" w:rsidRDefault="003F3312" w:rsidP="00244E7C"/>
    <w:p w14:paraId="0161C3E8" w14:textId="76FEBC9F" w:rsidR="003F3312" w:rsidRPr="000F0299" w:rsidRDefault="006F75C8" w:rsidP="00244E7C">
      <w:r w:rsidRPr="000F0299">
        <w:rPr>
          <w:noProof/>
          <w:lang w:val="en-US" w:eastAsia="en-US" w:bidi="ar-SA"/>
        </w:rPr>
        <mc:AlternateContent>
          <mc:Choice Requires="wps">
            <w:drawing>
              <wp:anchor distT="0" distB="0" distL="114300" distR="114300" simplePos="0" relativeHeight="251369984" behindDoc="0" locked="0" layoutInCell="1" allowOverlap="1" wp14:anchorId="214875F7" wp14:editId="6622B727">
                <wp:simplePos x="0" y="0"/>
                <wp:positionH relativeFrom="column">
                  <wp:posOffset>6701609</wp:posOffset>
                </wp:positionH>
                <wp:positionV relativeFrom="paragraph">
                  <wp:posOffset>130901</wp:posOffset>
                </wp:positionV>
                <wp:extent cx="4738370" cy="734060"/>
                <wp:effectExtent l="19050" t="19050" r="24130" b="27940"/>
                <wp:wrapNone/>
                <wp:docPr id="748" name="Text Box 748"/>
                <wp:cNvGraphicFramePr/>
                <a:graphic xmlns:a="http://schemas.openxmlformats.org/drawingml/2006/main">
                  <a:graphicData uri="http://schemas.microsoft.com/office/word/2010/wordprocessingShape">
                    <wps:wsp>
                      <wps:cNvSpPr txBox="1"/>
                      <wps:spPr>
                        <a:xfrm>
                          <a:off x="0" y="0"/>
                          <a:ext cx="4738370" cy="73406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1F5107A1" w14:textId="77777777" w:rsidR="00876FFE" w:rsidRPr="00E11DAD" w:rsidRDefault="00876FFE" w:rsidP="00E11DAD">
                            <w:pPr>
                              <w:ind w:firstLine="0"/>
                              <w:jc w:val="center"/>
                              <w:rPr>
                                <w:rFonts w:asciiTheme="minorHAnsi" w:hAnsiTheme="minorHAnsi" w:cstheme="minorHAnsi"/>
                              </w:rPr>
                            </w:pPr>
                            <w:r w:rsidRPr="00E11DAD">
                              <w:rPr>
                                <w:rFonts w:asciiTheme="minorHAnsi" w:hAnsiTheme="minorHAnsi" w:cstheme="minorHAnsi"/>
                              </w:rPr>
                              <w:t>Неадекватна унутрашња организација и институционални капацитети за обављање послова УЉР</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4875F7" id="Text Box 748" o:spid="_x0000_s1104" style="position:absolute;left:0;text-align:left;margin-left:527.7pt;margin-top:10.3pt;width:373.1pt;height:57.8pt;z-index:25136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" fillcolor="window" strokecolor="#bfbfbf [2412]" strokeweight="2.25pt">
                <v:stroke joinstyle="miter"/>
                <v:textbox inset="2mm,0,2mm,0">
                  <w:txbxContent>
                    <w:p w14:paraId="1F5107A1" w14:textId="77777777" w:rsidR="00876FFE" w:rsidRPr="00E11DAD" w:rsidRDefault="00876FFE" w:rsidP="00E11DAD">
                      <w:pPr>
                        <w:ind w:firstLine="0"/>
                        <w:jc w:val="center"/>
                        <w:rPr>
                          <w:rFonts w:asciiTheme="minorHAnsi" w:hAnsiTheme="minorHAnsi" w:cstheme="minorHAnsi"/>
                        </w:rPr>
                      </w:pPr>
                      <w:r w:rsidRPr="00E11DAD">
                        <w:rPr>
                          <w:rFonts w:asciiTheme="minorHAnsi" w:hAnsiTheme="minorHAnsi" w:cstheme="minorHAnsi"/>
                        </w:rPr>
                        <w:t xml:space="preserve">Неадекватна </w:t>
                      </w:r>
                      <w:r w:rsidRPr="00E11DAD">
                        <w:rPr>
                          <w:rFonts w:asciiTheme="minorHAnsi" w:hAnsiTheme="minorHAnsi" w:cstheme="minorHAnsi"/>
                        </w:rPr>
                        <w:t>унутрашња организација и институционални капацитети за обављање послова УЉР</w:t>
                      </w:r>
                    </w:p>
                  </w:txbxContent>
                </v:textbox>
              </v:roundrect>
            </w:pict>
          </mc:Fallback>
        </mc:AlternateContent>
      </w:r>
      <w:r w:rsidRPr="000F0299">
        <w:rPr>
          <w:noProof/>
          <w:lang w:val="en-US" w:eastAsia="en-US" w:bidi="ar-SA"/>
        </w:rPr>
        <mc:AlternateContent>
          <mc:Choice Requires="wps">
            <w:drawing>
              <wp:anchor distT="0" distB="0" distL="114300" distR="114300" simplePos="0" relativeHeight="251361792" behindDoc="0" locked="0" layoutInCell="1" allowOverlap="1" wp14:anchorId="73911659" wp14:editId="5CD94402">
                <wp:simplePos x="0" y="0"/>
                <wp:positionH relativeFrom="column">
                  <wp:posOffset>1256030</wp:posOffset>
                </wp:positionH>
                <wp:positionV relativeFrom="paragraph">
                  <wp:posOffset>127635</wp:posOffset>
                </wp:positionV>
                <wp:extent cx="4991100" cy="734060"/>
                <wp:effectExtent l="19050" t="19050" r="19050" b="27940"/>
                <wp:wrapNone/>
                <wp:docPr id="749" name="Text Box 749"/>
                <wp:cNvGraphicFramePr/>
                <a:graphic xmlns:a="http://schemas.openxmlformats.org/drawingml/2006/main">
                  <a:graphicData uri="http://schemas.microsoft.com/office/word/2010/wordprocessingShape">
                    <wps:wsp>
                      <wps:cNvSpPr txBox="1"/>
                      <wps:spPr>
                        <a:xfrm>
                          <a:off x="0" y="0"/>
                          <a:ext cx="4991100" cy="73406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431A8E9E" w14:textId="77777777" w:rsidR="00876FFE" w:rsidRPr="00E11DAD" w:rsidRDefault="00876FFE" w:rsidP="00E11DAD">
                            <w:pPr>
                              <w:ind w:firstLine="0"/>
                              <w:jc w:val="center"/>
                              <w:rPr>
                                <w:rFonts w:asciiTheme="minorHAnsi" w:hAnsiTheme="minorHAnsi" w:cstheme="minorHAnsi"/>
                              </w:rPr>
                            </w:pPr>
                            <w:r w:rsidRPr="00E11DAD">
                              <w:rPr>
                                <w:rFonts w:asciiTheme="minorHAnsi" w:hAnsiTheme="minorHAnsi" w:cstheme="minorHAnsi"/>
                              </w:rPr>
                              <w:t>Недовољно компетентни јавни службеници, нарочито на највишим руководећим позицијама (велики број вршилаца дужности)</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911659" id="Text Box 749" o:spid="_x0000_s1105" style="position:absolute;left:0;text-align:left;margin-left:98.9pt;margin-top:10.05pt;width:393pt;height:57.8pt;z-index:25136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" fillcolor="window" strokecolor="#bfbfbf [2412]" strokeweight="2.25pt">
                <v:stroke joinstyle="miter"/>
                <v:textbox inset="2mm,0,2mm,0">
                  <w:txbxContent>
                    <w:p w14:paraId="431A8E9E" w14:textId="77777777" w:rsidR="00876FFE" w:rsidRPr="00E11DAD" w:rsidRDefault="00876FFE" w:rsidP="00E11DAD">
                      <w:pPr>
                        <w:ind w:firstLine="0"/>
                        <w:jc w:val="center"/>
                        <w:rPr>
                          <w:rFonts w:asciiTheme="minorHAnsi" w:hAnsiTheme="minorHAnsi" w:cstheme="minorHAnsi"/>
                        </w:rPr>
                      </w:pPr>
                      <w:r w:rsidRPr="00E11DAD">
                        <w:rPr>
                          <w:rFonts w:asciiTheme="minorHAnsi" w:hAnsiTheme="minorHAnsi" w:cstheme="minorHAnsi"/>
                        </w:rPr>
                        <w:t xml:space="preserve">Недовољно </w:t>
                      </w:r>
                      <w:r w:rsidRPr="00E11DAD">
                        <w:rPr>
                          <w:rFonts w:asciiTheme="minorHAnsi" w:hAnsiTheme="minorHAnsi" w:cstheme="minorHAnsi"/>
                        </w:rPr>
                        <w:t>компетентни јавни службеници, нарочито на највишим руководећим позицијама (велики број вршилаца дужности)</w:t>
                      </w:r>
                    </w:p>
                  </w:txbxContent>
                </v:textbox>
              </v:roundrect>
            </w:pict>
          </mc:Fallback>
        </mc:AlternateContent>
      </w:r>
    </w:p>
    <w:p w14:paraId="1EA543F8" w14:textId="34B1794A" w:rsidR="003F3312" w:rsidRPr="000F0299" w:rsidRDefault="003F3312" w:rsidP="00244E7C">
      <w:r w:rsidRPr="000F0299">
        <w:tab/>
      </w:r>
      <w:r w:rsidRPr="000F0299">
        <w:rPr>
          <w:noProof/>
          <w:lang w:eastAsia="en-GB"/>
        </w:rPr>
        <w:t xml:space="preserve"> </w:t>
      </w:r>
    </w:p>
    <w:p w14:paraId="452D4CC6" w14:textId="77777777" w:rsidR="003F3312" w:rsidRPr="000F0299" w:rsidRDefault="003F3312" w:rsidP="00244E7C"/>
    <w:p w14:paraId="75E71870" w14:textId="66C894F9" w:rsidR="003F3312" w:rsidRPr="000F0299" w:rsidRDefault="00894BCD" w:rsidP="00882BE3">
      <w:pPr>
        <w:ind w:firstLine="0"/>
        <w:sectPr w:rsidR="003F3312" w:rsidRPr="000F0299" w:rsidSect="000E656E">
          <w:headerReference w:type="default" r:id="rId120"/>
          <w:footerReference w:type="default" r:id="rId121"/>
          <w:pgSz w:w="23814" w:h="16839" w:orient="landscape" w:code="8"/>
          <w:pgMar w:top="720" w:right="1140" w:bottom="1412" w:left="1412" w:header="709" w:footer="431" w:gutter="0"/>
          <w:cols w:space="708"/>
          <w:docGrid w:linePitch="360"/>
        </w:sectPr>
      </w:pPr>
      <w:r>
        <w:rPr>
          <w:noProof/>
          <w:lang w:val="en-US" w:eastAsia="en-US" w:bidi="ar-SA"/>
        </w:rPr>
        <mc:AlternateContent>
          <mc:Choice Requires="wps">
            <w:drawing>
              <wp:anchor distT="0" distB="0" distL="114300" distR="114300" simplePos="0" relativeHeight="252055040" behindDoc="0" locked="0" layoutInCell="1" allowOverlap="1" wp14:anchorId="7146D6EB" wp14:editId="1612EFB3">
                <wp:simplePos x="0" y="0"/>
                <wp:positionH relativeFrom="column">
                  <wp:posOffset>4101019</wp:posOffset>
                </wp:positionH>
                <wp:positionV relativeFrom="paragraph">
                  <wp:posOffset>7244059</wp:posOffset>
                </wp:positionV>
                <wp:extent cx="3996055" cy="635"/>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3996055" cy="635"/>
                        </a:xfrm>
                        <a:prstGeom prst="rect">
                          <a:avLst/>
                        </a:prstGeom>
                        <a:solidFill>
                          <a:prstClr val="white"/>
                        </a:solidFill>
                        <a:ln>
                          <a:noFill/>
                        </a:ln>
                      </wps:spPr>
                      <wps:txbx>
                        <w:txbxContent>
                          <w:p w14:paraId="2DAB0A2D" w14:textId="50ED384E" w:rsidR="00876FFE" w:rsidRPr="00894BCD" w:rsidRDefault="00876FFE" w:rsidP="00894BCD">
                            <w:pPr>
                              <w:pStyle w:val="Caption"/>
                              <w:rPr>
                                <w:i w:val="0"/>
                                <w:iCs w:val="0"/>
                                <w:noProof/>
                                <w:sz w:val="24"/>
                                <w:szCs w:val="24"/>
                              </w:rPr>
                            </w:pPr>
                            <w:bookmarkStart w:id="149" w:name="_Toc57665362"/>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26</w:t>
                            </w:r>
                            <w:r w:rsidRPr="00894BCD">
                              <w:rPr>
                                <w:i w:val="0"/>
                                <w:iCs w:val="0"/>
                              </w:rPr>
                              <w:fldChar w:fldCharType="end"/>
                            </w:r>
                            <w:r w:rsidRPr="00894BCD">
                              <w:rPr>
                                <w:i w:val="0"/>
                                <w:iCs w:val="0"/>
                                <w:lang w:val="sr-Cyrl-RS"/>
                              </w:rPr>
                              <w:t xml:space="preserve"> Дрво проблема - Управљање људским ресурсима</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46D6EB" id="Text Box 392" o:spid="_x0000_s1106" type="#_x0000_t202" style="position:absolute;left:0;text-align:left;margin-left:322.9pt;margin-top:570.4pt;width:314.65pt;height:.05pt;z-index:25205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" stroked="f">
                <v:textbox style="mso-fit-shape-to-text:t" inset="0,0,0,0">
                  <w:txbxContent>
                    <w:p w14:paraId="2DAB0A2D" w14:textId="50ED384E" w:rsidR="00876FFE" w:rsidRPr="00894BCD" w:rsidRDefault="00876FFE" w:rsidP="00894BCD">
                      <w:pPr>
                        <w:pStyle w:val="Caption"/>
                        <w:rPr>
                          <w:i w:val="0"/>
                          <w:iCs w:val="0"/>
                          <w:noProof/>
                          <w:sz w:val="24"/>
                          <w:szCs w:val="24"/>
                        </w:rPr>
                      </w:pPr>
                      <w:bookmarkStart w:id="160" w:name="_Toc57665362"/>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26</w:t>
                      </w:r>
                      <w:r w:rsidRPr="00894BCD">
                        <w:rPr>
                          <w:i w:val="0"/>
                          <w:iCs w:val="0"/>
                        </w:rPr>
                        <w:fldChar w:fldCharType="end"/>
                      </w:r>
                      <w:r w:rsidRPr="00894BCD">
                        <w:rPr>
                          <w:i w:val="0"/>
                          <w:iCs w:val="0"/>
                          <w:lang w:val="sr-Cyrl-RS"/>
                        </w:rPr>
                        <w:t xml:space="preserve"> Дрво проблема - Управљање људским ресурсима</w:t>
                      </w:r>
                      <w:bookmarkEnd w:id="160"/>
                    </w:p>
                  </w:txbxContent>
                </v:textbox>
              </v:shape>
            </w:pict>
          </mc:Fallback>
        </mc:AlternateContent>
      </w:r>
      <w:r>
        <w:rPr>
          <w:noProof/>
          <w:lang w:val="en-US" w:eastAsia="en-US" w:bidi="ar-SA"/>
        </w:rPr>
        <mc:AlternateContent>
          <mc:Choice Requires="wps">
            <w:drawing>
              <wp:anchor distT="0" distB="0" distL="114300" distR="114300" simplePos="0" relativeHeight="251982336" behindDoc="0" locked="0" layoutInCell="1" allowOverlap="1" wp14:anchorId="77C3AC21" wp14:editId="6F8259E0">
                <wp:simplePos x="0" y="0"/>
                <wp:positionH relativeFrom="column">
                  <wp:posOffset>4127297</wp:posOffset>
                </wp:positionH>
                <wp:positionV relativeFrom="paragraph">
                  <wp:posOffset>5131104</wp:posOffset>
                </wp:positionV>
                <wp:extent cx="1609090" cy="1962150"/>
                <wp:effectExtent l="19050" t="19050" r="10160" b="19050"/>
                <wp:wrapNone/>
                <wp:docPr id="771" name="Text Box 771"/>
                <wp:cNvGraphicFramePr/>
                <a:graphic xmlns:a="http://schemas.openxmlformats.org/drawingml/2006/main">
                  <a:graphicData uri="http://schemas.microsoft.com/office/word/2010/wordprocessingShape">
                    <wps:wsp>
                      <wps:cNvSpPr txBox="1"/>
                      <wps:spPr>
                        <a:xfrm>
                          <a:off x="0" y="0"/>
                          <a:ext cx="1609090" cy="196215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77615730" w14:textId="1A9B3375"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Вршиоци дужности на руководећим позицијама се могу поставити без конкурса и провере компетенција и прекомерно коришћење овог инструмента</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C3AC21" id="Text Box 771" o:spid="_x0000_s1107" style="position:absolute;left:0;text-align:left;margin-left:325pt;margin-top:404pt;width:126.7pt;height:154.5pt;z-index:25198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" fillcolor="window" strokecolor="#bfbfbf [2412]" strokeweight="2.25pt">
                <v:stroke joinstyle="miter"/>
                <v:textbox inset="2mm,0,2mm,0">
                  <w:txbxContent>
                    <w:p w14:paraId="77615730" w14:textId="1A9B3375"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Вршиоци </w:t>
                      </w:r>
                      <w:r w:rsidRPr="00FC6850">
                        <w:rPr>
                          <w:rFonts w:asciiTheme="minorHAnsi" w:hAnsiTheme="minorHAnsi" w:cstheme="minorHAnsi"/>
                          <w:sz w:val="22"/>
                          <w:szCs w:val="22"/>
                        </w:rPr>
                        <w:t>дужности на руководећим позицијама се могу поставити без конкурса и провере компетенција и прекомерно коришћење овог инструмента</w:t>
                      </w:r>
                    </w:p>
                  </w:txbxContent>
                </v:textbox>
              </v:roundrect>
            </w:pict>
          </mc:Fallback>
        </mc:AlternateContent>
      </w:r>
      <w:r w:rsidR="001C30B7" w:rsidRPr="000F0299">
        <w:rPr>
          <w:noProof/>
          <w:lang w:val="en-US" w:eastAsia="en-US" w:bidi="ar-SA"/>
        </w:rPr>
        <mc:AlternateContent>
          <mc:Choice Requires="wps">
            <w:drawing>
              <wp:anchor distT="0" distB="0" distL="114300" distR="114300" simplePos="0" relativeHeight="251388416" behindDoc="0" locked="0" layoutInCell="1" allowOverlap="1" wp14:anchorId="5AD7ECA7" wp14:editId="76BEDAE3">
                <wp:simplePos x="0" y="0"/>
                <wp:positionH relativeFrom="column">
                  <wp:posOffset>5840730</wp:posOffset>
                </wp:positionH>
                <wp:positionV relativeFrom="paragraph">
                  <wp:posOffset>5188585</wp:posOffset>
                </wp:positionV>
                <wp:extent cx="1035050" cy="1873250"/>
                <wp:effectExtent l="19050" t="19050" r="12700" b="12700"/>
                <wp:wrapNone/>
                <wp:docPr id="780" name="Text Box 780"/>
                <wp:cNvGraphicFramePr/>
                <a:graphic xmlns:a="http://schemas.openxmlformats.org/drawingml/2006/main">
                  <a:graphicData uri="http://schemas.microsoft.com/office/word/2010/wordprocessingShape">
                    <wps:wsp>
                      <wps:cNvSpPr txBox="1"/>
                      <wps:spPr>
                        <a:xfrm>
                          <a:off x="0" y="0"/>
                          <a:ext cx="1035050" cy="187325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28682DBB" w14:textId="65D18748" w:rsidR="00876FFE" w:rsidRPr="00FC6850" w:rsidRDefault="00876FFE" w:rsidP="00E11DAD">
                            <w:pPr>
                              <w:ind w:firstLine="0"/>
                              <w:jc w:val="center"/>
                              <w:rPr>
                                <w:rFonts w:asciiTheme="minorHAnsi" w:hAnsiTheme="minorHAnsi" w:cstheme="minorHAnsi"/>
                                <w:spacing w:val="-8"/>
                                <w:sz w:val="22"/>
                                <w:szCs w:val="22"/>
                              </w:rPr>
                            </w:pPr>
                            <w:r w:rsidRPr="00FC6850">
                              <w:rPr>
                                <w:rFonts w:asciiTheme="minorHAnsi" w:hAnsiTheme="minorHAnsi" w:cstheme="minorHAnsi"/>
                                <w:sz w:val="22"/>
                                <w:szCs w:val="22"/>
                              </w:rPr>
                              <w:t xml:space="preserve">„Лош имиџ“ ОДУ као </w:t>
                            </w:r>
                            <w:r w:rsidRPr="00FC6850">
                              <w:rPr>
                                <w:rFonts w:asciiTheme="minorHAnsi" w:hAnsiTheme="minorHAnsi" w:cstheme="minorHAnsi"/>
                                <w:spacing w:val="-8"/>
                                <w:sz w:val="22"/>
                                <w:szCs w:val="22"/>
                              </w:rPr>
                              <w:t>послодавца</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D7ECA7" id="Text Box 780" o:spid="_x0000_s1108" style="position:absolute;left:0;text-align:left;margin-left:459.9pt;margin-top:408.55pt;width:81.5pt;height:147.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" fillcolor="window" strokecolor="#bfbfbf [2412]" strokeweight="2.25pt">
                <v:stroke joinstyle="miter"/>
                <v:textbox inset="2mm,0,2mm,0">
                  <w:txbxContent>
                    <w:p w14:paraId="28682DBB" w14:textId="65D18748" w:rsidR="00876FFE" w:rsidRPr="00FC6850" w:rsidRDefault="00876FFE" w:rsidP="00E11DAD">
                      <w:pPr>
                        <w:ind w:firstLine="0"/>
                        <w:jc w:val="center"/>
                        <w:rPr>
                          <w:rFonts w:asciiTheme="minorHAnsi" w:hAnsiTheme="minorHAnsi" w:cstheme="minorHAnsi"/>
                          <w:spacing w:val="-8"/>
                          <w:sz w:val="22"/>
                          <w:szCs w:val="22"/>
                        </w:rPr>
                      </w:pPr>
                      <w:r w:rsidRPr="00FC6850">
                        <w:rPr>
                          <w:rFonts w:asciiTheme="minorHAnsi" w:hAnsiTheme="minorHAnsi" w:cstheme="minorHAnsi"/>
                          <w:sz w:val="22"/>
                          <w:szCs w:val="22"/>
                        </w:rPr>
                        <w:t xml:space="preserve">„Лош </w:t>
                      </w:r>
                      <w:r w:rsidRPr="00FC6850">
                        <w:rPr>
                          <w:rFonts w:asciiTheme="minorHAnsi" w:hAnsiTheme="minorHAnsi" w:cstheme="minorHAnsi"/>
                          <w:sz w:val="22"/>
                          <w:szCs w:val="22"/>
                        </w:rPr>
                        <w:t xml:space="preserve">имиџ“ ОДУ као </w:t>
                      </w:r>
                      <w:r w:rsidRPr="00FC6850">
                        <w:rPr>
                          <w:rFonts w:asciiTheme="minorHAnsi" w:hAnsiTheme="minorHAnsi" w:cstheme="minorHAnsi"/>
                          <w:spacing w:val="-8"/>
                          <w:sz w:val="22"/>
                          <w:szCs w:val="22"/>
                        </w:rPr>
                        <w:t>послодавца</w:t>
                      </w:r>
                    </w:p>
                  </w:txbxContent>
                </v:textbox>
              </v:roundrect>
            </w:pict>
          </mc:Fallback>
        </mc:AlternateContent>
      </w:r>
      <w:r w:rsidR="001C30B7" w:rsidRPr="000F0299">
        <w:rPr>
          <w:noProof/>
          <w:lang w:val="en-US" w:eastAsia="en-US" w:bidi="ar-SA"/>
        </w:rPr>
        <mc:AlternateContent>
          <mc:Choice Requires="wps">
            <w:drawing>
              <wp:anchor distT="0" distB="0" distL="114300" distR="114300" simplePos="0" relativeHeight="251380224" behindDoc="0" locked="0" layoutInCell="1" allowOverlap="1" wp14:anchorId="5C6A75C6" wp14:editId="12E021B1">
                <wp:simplePos x="0" y="0"/>
                <wp:positionH relativeFrom="page">
                  <wp:posOffset>13569950</wp:posOffset>
                </wp:positionH>
                <wp:positionV relativeFrom="paragraph">
                  <wp:posOffset>5226685</wp:posOffset>
                </wp:positionV>
                <wp:extent cx="1454150" cy="1835150"/>
                <wp:effectExtent l="19050" t="19050" r="12700" b="12700"/>
                <wp:wrapNone/>
                <wp:docPr id="776" name="Text Box 776"/>
                <wp:cNvGraphicFramePr/>
                <a:graphic xmlns:a="http://schemas.openxmlformats.org/drawingml/2006/main">
                  <a:graphicData uri="http://schemas.microsoft.com/office/word/2010/wordprocessingShape">
                    <wps:wsp>
                      <wps:cNvSpPr txBox="1"/>
                      <wps:spPr>
                        <a:xfrm>
                          <a:off x="0" y="0"/>
                          <a:ext cx="1454150" cy="183515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794AE6F5" w14:textId="25D4FD80" w:rsidR="00876FFE" w:rsidRPr="00FC6850" w:rsidRDefault="00876FFE" w:rsidP="00252FCF">
                            <w:pPr>
                              <w:spacing w:before="0"/>
                              <w:ind w:firstLine="0"/>
                              <w:jc w:val="center"/>
                              <w:rPr>
                                <w:rFonts w:asciiTheme="minorHAnsi" w:hAnsiTheme="minorHAnsi" w:cstheme="minorHAnsi"/>
                                <w:sz w:val="22"/>
                                <w:szCs w:val="22"/>
                              </w:rPr>
                            </w:pPr>
                            <w:r w:rsidRPr="00FC6850">
                              <w:rPr>
                                <w:rFonts w:asciiTheme="minorHAnsi" w:hAnsiTheme="minorHAnsi" w:cstheme="minorHAnsi"/>
                                <w:spacing w:val="-14"/>
                                <w:sz w:val="22"/>
                                <w:szCs w:val="22"/>
                              </w:rPr>
                              <w:t>Дигитализација</w:t>
                            </w:r>
                            <w:r w:rsidRPr="00FC6850">
                              <w:rPr>
                                <w:rFonts w:asciiTheme="minorHAnsi" w:hAnsiTheme="minorHAnsi" w:cstheme="minorHAnsi"/>
                                <w:sz w:val="22"/>
                                <w:szCs w:val="22"/>
                              </w:rPr>
                              <w:t xml:space="preserve"> пословних процеса у стручном усавршавању </w:t>
                            </w:r>
                            <w:r w:rsidRPr="00FC6850">
                              <w:rPr>
                                <w:rFonts w:asciiTheme="minorHAnsi" w:hAnsiTheme="minorHAnsi" w:cstheme="minorHAnsi"/>
                                <w:spacing w:val="-18"/>
                                <w:sz w:val="22"/>
                                <w:szCs w:val="22"/>
                              </w:rPr>
                              <w:t>је неразвијена</w:t>
                            </w:r>
                            <w:r w:rsidRPr="00FC6850">
                              <w:rPr>
                                <w:rFonts w:asciiTheme="minorHAnsi" w:hAnsiTheme="minorHAnsi" w:cstheme="minorHAnsi"/>
                                <w:spacing w:val="-18"/>
                                <w:sz w:val="22"/>
                                <w:szCs w:val="22"/>
                                <w:lang w:val="en-GB"/>
                              </w:rPr>
                              <w:t xml:space="preserve"> </w:t>
                            </w:r>
                            <w:r w:rsidRPr="00FC6850">
                              <w:rPr>
                                <w:rFonts w:asciiTheme="minorHAnsi" w:hAnsiTheme="minorHAnsi" w:cstheme="minorHAnsi"/>
                                <w:spacing w:val="-18"/>
                                <w:sz w:val="22"/>
                                <w:szCs w:val="22"/>
                              </w:rPr>
                              <w:t>и</w:t>
                            </w:r>
                            <w:r w:rsidRPr="00FC6850">
                              <w:rPr>
                                <w:rFonts w:asciiTheme="minorHAnsi" w:hAnsiTheme="minorHAnsi" w:cstheme="minorHAnsi"/>
                                <w:spacing w:val="-16"/>
                                <w:sz w:val="22"/>
                                <w:szCs w:val="22"/>
                              </w:rPr>
                              <w:t xml:space="preserve"> </w:t>
                            </w:r>
                            <w:r w:rsidRPr="00FC6850">
                              <w:rPr>
                                <w:rFonts w:asciiTheme="minorHAnsi" w:hAnsiTheme="minorHAnsi" w:cstheme="minorHAnsi"/>
                                <w:spacing w:val="-20"/>
                                <w:sz w:val="22"/>
                                <w:szCs w:val="22"/>
                              </w:rPr>
                              <w:t>е-учење и други</w:t>
                            </w:r>
                            <w:r w:rsidRPr="00FC6850">
                              <w:rPr>
                                <w:rFonts w:asciiTheme="minorHAnsi" w:hAnsiTheme="minorHAnsi" w:cstheme="minorHAnsi"/>
                                <w:sz w:val="22"/>
                                <w:szCs w:val="22"/>
                              </w:rPr>
                              <w:t xml:space="preserve"> иновативни </w:t>
                            </w:r>
                            <w:r w:rsidRPr="00FC6850">
                              <w:rPr>
                                <w:rFonts w:asciiTheme="minorHAnsi" w:hAnsiTheme="minorHAnsi" w:cstheme="minorHAnsi"/>
                                <w:spacing w:val="-20"/>
                                <w:sz w:val="22"/>
                                <w:szCs w:val="22"/>
                              </w:rPr>
                              <w:t>облици и методе</w:t>
                            </w:r>
                            <w:r w:rsidRPr="00FC6850">
                              <w:rPr>
                                <w:rFonts w:asciiTheme="minorHAnsi" w:hAnsiTheme="minorHAnsi" w:cstheme="minorHAnsi"/>
                                <w:sz w:val="22"/>
                                <w:szCs w:val="22"/>
                              </w:rPr>
                              <w:t xml:space="preserve"> </w:t>
                            </w:r>
                            <w:r w:rsidRPr="00FC6850">
                              <w:rPr>
                                <w:rFonts w:asciiTheme="minorHAnsi" w:hAnsiTheme="minorHAnsi" w:cstheme="minorHAnsi"/>
                                <w:spacing w:val="-14"/>
                                <w:sz w:val="22"/>
                                <w:szCs w:val="22"/>
                              </w:rPr>
                              <w:t>нису довољно</w:t>
                            </w:r>
                            <w:r w:rsidRPr="00FC6850">
                              <w:rPr>
                                <w:rFonts w:asciiTheme="minorHAnsi" w:hAnsiTheme="minorHAnsi" w:cstheme="minorHAnsi"/>
                                <w:sz w:val="22"/>
                                <w:szCs w:val="22"/>
                              </w:rPr>
                              <w:t xml:space="preserve"> заступљени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6A75C6" id="Text Box 776" o:spid="_x0000_s1109" style="position:absolute;left:0;text-align:left;margin-left:1068.5pt;margin-top:411.55pt;width:114.5pt;height:144.5pt;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" fillcolor="window" strokecolor="#bfbfbf [2412]" strokeweight="2.25pt">
                <v:stroke joinstyle="miter"/>
                <v:textbox inset="0,0,0,0">
                  <w:txbxContent>
                    <w:p w14:paraId="794AE6F5" w14:textId="25D4FD80" w:rsidR="00876FFE" w:rsidRPr="00FC6850" w:rsidRDefault="00876FFE" w:rsidP="00252FCF">
                      <w:pPr>
                        <w:spacing w:before="0"/>
                        <w:ind w:firstLine="0"/>
                        <w:jc w:val="center"/>
                        <w:rPr>
                          <w:rFonts w:asciiTheme="minorHAnsi" w:hAnsiTheme="minorHAnsi" w:cstheme="minorHAnsi"/>
                          <w:sz w:val="22"/>
                          <w:szCs w:val="22"/>
                        </w:rPr>
                      </w:pPr>
                      <w:r w:rsidRPr="00FC6850">
                        <w:rPr>
                          <w:rFonts w:asciiTheme="minorHAnsi" w:hAnsiTheme="minorHAnsi" w:cstheme="minorHAnsi"/>
                          <w:spacing w:val="-14"/>
                          <w:sz w:val="22"/>
                          <w:szCs w:val="22"/>
                        </w:rPr>
                        <w:t>Дигитализација</w:t>
                      </w:r>
                      <w:r w:rsidRPr="00FC6850">
                        <w:rPr>
                          <w:rFonts w:asciiTheme="minorHAnsi" w:hAnsiTheme="minorHAnsi" w:cstheme="minorHAnsi"/>
                          <w:sz w:val="22"/>
                          <w:szCs w:val="22"/>
                        </w:rPr>
                        <w:t xml:space="preserve"> пословних процеса у стручном усавршавању </w:t>
                      </w:r>
                      <w:r w:rsidRPr="00FC6850">
                        <w:rPr>
                          <w:rFonts w:asciiTheme="minorHAnsi" w:hAnsiTheme="minorHAnsi" w:cstheme="minorHAnsi"/>
                          <w:spacing w:val="-18"/>
                          <w:sz w:val="22"/>
                          <w:szCs w:val="22"/>
                        </w:rPr>
                        <w:t>је неразвијена</w:t>
                      </w:r>
                      <w:r w:rsidRPr="00FC6850">
                        <w:rPr>
                          <w:rFonts w:asciiTheme="minorHAnsi" w:hAnsiTheme="minorHAnsi" w:cstheme="minorHAnsi"/>
                          <w:spacing w:val="-18"/>
                          <w:sz w:val="22"/>
                          <w:szCs w:val="22"/>
                          <w:lang w:val="en-GB"/>
                        </w:rPr>
                        <w:t xml:space="preserve"> </w:t>
                      </w:r>
                      <w:r w:rsidRPr="00FC6850">
                        <w:rPr>
                          <w:rFonts w:asciiTheme="minorHAnsi" w:hAnsiTheme="minorHAnsi" w:cstheme="minorHAnsi"/>
                          <w:spacing w:val="-18"/>
                          <w:sz w:val="22"/>
                          <w:szCs w:val="22"/>
                        </w:rPr>
                        <w:t>и</w:t>
                      </w:r>
                      <w:r w:rsidRPr="00FC6850">
                        <w:rPr>
                          <w:rFonts w:asciiTheme="minorHAnsi" w:hAnsiTheme="minorHAnsi" w:cstheme="minorHAnsi"/>
                          <w:spacing w:val="-16"/>
                          <w:sz w:val="22"/>
                          <w:szCs w:val="22"/>
                        </w:rPr>
                        <w:t xml:space="preserve"> </w:t>
                      </w:r>
                      <w:r w:rsidRPr="00FC6850">
                        <w:rPr>
                          <w:rFonts w:asciiTheme="minorHAnsi" w:hAnsiTheme="minorHAnsi" w:cstheme="minorHAnsi"/>
                          <w:spacing w:val="-20"/>
                          <w:sz w:val="22"/>
                          <w:szCs w:val="22"/>
                        </w:rPr>
                        <w:t>е-учење и други</w:t>
                      </w:r>
                      <w:r w:rsidRPr="00FC6850">
                        <w:rPr>
                          <w:rFonts w:asciiTheme="minorHAnsi" w:hAnsiTheme="minorHAnsi" w:cstheme="minorHAnsi"/>
                          <w:sz w:val="22"/>
                          <w:szCs w:val="22"/>
                        </w:rPr>
                        <w:t xml:space="preserve"> иновативни </w:t>
                      </w:r>
                      <w:r w:rsidRPr="00FC6850">
                        <w:rPr>
                          <w:rFonts w:asciiTheme="minorHAnsi" w:hAnsiTheme="minorHAnsi" w:cstheme="minorHAnsi"/>
                          <w:spacing w:val="-20"/>
                          <w:sz w:val="22"/>
                          <w:szCs w:val="22"/>
                        </w:rPr>
                        <w:t>облици и методе</w:t>
                      </w:r>
                      <w:r w:rsidRPr="00FC6850">
                        <w:rPr>
                          <w:rFonts w:asciiTheme="minorHAnsi" w:hAnsiTheme="minorHAnsi" w:cstheme="minorHAnsi"/>
                          <w:sz w:val="22"/>
                          <w:szCs w:val="22"/>
                        </w:rPr>
                        <w:t xml:space="preserve"> </w:t>
                      </w:r>
                      <w:r w:rsidRPr="00FC6850">
                        <w:rPr>
                          <w:rFonts w:asciiTheme="minorHAnsi" w:hAnsiTheme="minorHAnsi" w:cstheme="minorHAnsi"/>
                          <w:spacing w:val="-14"/>
                          <w:sz w:val="22"/>
                          <w:szCs w:val="22"/>
                        </w:rPr>
                        <w:t>нису довољно</w:t>
                      </w:r>
                      <w:r w:rsidRPr="00FC6850">
                        <w:rPr>
                          <w:rFonts w:asciiTheme="minorHAnsi" w:hAnsiTheme="minorHAnsi" w:cstheme="minorHAnsi"/>
                          <w:sz w:val="22"/>
                          <w:szCs w:val="22"/>
                        </w:rPr>
                        <w:t xml:space="preserve"> заступљени</w:t>
                      </w:r>
                    </w:p>
                  </w:txbxContent>
                </v:textbox>
                <w10:wrap anchorx="page"/>
              </v:roundrect>
            </w:pict>
          </mc:Fallback>
        </mc:AlternateContent>
      </w:r>
      <w:r w:rsidR="001C30B7" w:rsidRPr="000F0299">
        <w:rPr>
          <w:noProof/>
          <w:lang w:val="en-US" w:eastAsia="en-US" w:bidi="ar-SA"/>
        </w:rPr>
        <mc:AlternateContent>
          <mc:Choice Requires="wps">
            <w:drawing>
              <wp:anchor distT="0" distB="0" distL="114300" distR="114300" simplePos="0" relativeHeight="251379200" behindDoc="0" locked="0" layoutInCell="1" allowOverlap="1" wp14:anchorId="3BBC0BF7" wp14:editId="3B793414">
                <wp:simplePos x="0" y="0"/>
                <wp:positionH relativeFrom="column">
                  <wp:posOffset>11377930</wp:posOffset>
                </wp:positionH>
                <wp:positionV relativeFrom="paragraph">
                  <wp:posOffset>5226685</wp:posOffset>
                </wp:positionV>
                <wp:extent cx="1234440" cy="1835150"/>
                <wp:effectExtent l="19050" t="19050" r="22860" b="12700"/>
                <wp:wrapNone/>
                <wp:docPr id="775" name="Text Box 775"/>
                <wp:cNvGraphicFramePr/>
                <a:graphic xmlns:a="http://schemas.openxmlformats.org/drawingml/2006/main">
                  <a:graphicData uri="http://schemas.microsoft.com/office/word/2010/wordprocessingShape">
                    <wps:wsp>
                      <wps:cNvSpPr txBox="1"/>
                      <wps:spPr>
                        <a:xfrm>
                          <a:off x="0" y="0"/>
                          <a:ext cx="1234440" cy="183515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515CE6C1" w14:textId="08D222A8" w:rsidR="00876FFE" w:rsidRPr="00FC6850" w:rsidRDefault="00876FFE" w:rsidP="00252FCF">
                            <w:pPr>
                              <w:spacing w:before="0"/>
                              <w:ind w:firstLine="0"/>
                              <w:jc w:val="center"/>
                              <w:rPr>
                                <w:rFonts w:asciiTheme="minorHAnsi" w:hAnsiTheme="minorHAnsi" w:cstheme="minorHAnsi"/>
                                <w:spacing w:val="-4"/>
                                <w:sz w:val="22"/>
                                <w:szCs w:val="22"/>
                              </w:rPr>
                            </w:pPr>
                            <w:r w:rsidRPr="00FC6850">
                              <w:rPr>
                                <w:rFonts w:asciiTheme="minorHAnsi" w:hAnsiTheme="minorHAnsi" w:cstheme="minorHAnsi"/>
                                <w:sz w:val="22"/>
                                <w:szCs w:val="22"/>
                              </w:rPr>
                              <w:t xml:space="preserve">Мали број органа државне управе и ЈЛС је донело посебне програме стручног </w:t>
                            </w:r>
                            <w:r w:rsidRPr="00FC6850">
                              <w:rPr>
                                <w:rFonts w:asciiTheme="minorHAnsi" w:hAnsiTheme="minorHAnsi" w:cstheme="minorHAnsi"/>
                                <w:spacing w:val="-4"/>
                                <w:sz w:val="22"/>
                                <w:szCs w:val="22"/>
                              </w:rPr>
                              <w:t>усавршавања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BBC0BF7" id="Text Box 775" o:spid="_x0000_s1110" style="position:absolute;left:0;text-align:left;margin-left:895.9pt;margin-top:411.55pt;width:97.2pt;height:144.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" fillcolor="window" strokecolor="#bfbfbf [2412]" strokeweight="2.25pt">
                <v:stroke joinstyle="miter"/>
                <v:textbox inset="0,0,0,0">
                  <w:txbxContent>
                    <w:p w14:paraId="515CE6C1" w14:textId="08D222A8" w:rsidR="00876FFE" w:rsidRPr="00FC6850" w:rsidRDefault="00876FFE" w:rsidP="00252FCF">
                      <w:pPr>
                        <w:spacing w:before="0"/>
                        <w:ind w:firstLine="0"/>
                        <w:jc w:val="center"/>
                        <w:rPr>
                          <w:rFonts w:asciiTheme="minorHAnsi" w:hAnsiTheme="minorHAnsi" w:cstheme="minorHAnsi"/>
                          <w:spacing w:val="-4"/>
                          <w:sz w:val="22"/>
                          <w:szCs w:val="22"/>
                        </w:rPr>
                      </w:pPr>
                      <w:r w:rsidRPr="00FC6850">
                        <w:rPr>
                          <w:rFonts w:asciiTheme="minorHAnsi" w:hAnsiTheme="minorHAnsi" w:cstheme="minorHAnsi"/>
                          <w:sz w:val="22"/>
                          <w:szCs w:val="22"/>
                        </w:rPr>
                        <w:t xml:space="preserve">Мали број органа државне управе и ЈЛС је донело посебне програме стручног </w:t>
                      </w:r>
                      <w:r w:rsidRPr="00FC6850">
                        <w:rPr>
                          <w:rFonts w:asciiTheme="minorHAnsi" w:hAnsiTheme="minorHAnsi" w:cstheme="minorHAnsi"/>
                          <w:spacing w:val="-4"/>
                          <w:sz w:val="22"/>
                          <w:szCs w:val="22"/>
                        </w:rPr>
                        <w:t>усавршавања</w:t>
                      </w:r>
                    </w:p>
                  </w:txbxContent>
                </v:textbox>
              </v:roundrect>
            </w:pict>
          </mc:Fallback>
        </mc:AlternateContent>
      </w:r>
      <w:r w:rsidR="001C30B7" w:rsidRPr="000F0299">
        <w:rPr>
          <w:noProof/>
          <w:lang w:val="en-US" w:eastAsia="en-US" w:bidi="ar-SA"/>
        </w:rPr>
        <mc:AlternateContent>
          <mc:Choice Requires="wps">
            <w:drawing>
              <wp:anchor distT="0" distB="0" distL="114300" distR="114300" simplePos="0" relativeHeight="251381248" behindDoc="0" locked="0" layoutInCell="1" allowOverlap="1" wp14:anchorId="1095D6EA" wp14:editId="33CFC69F">
                <wp:simplePos x="0" y="0"/>
                <wp:positionH relativeFrom="column">
                  <wp:posOffset>10082530</wp:posOffset>
                </wp:positionH>
                <wp:positionV relativeFrom="paragraph">
                  <wp:posOffset>5226685</wp:posOffset>
                </wp:positionV>
                <wp:extent cx="1234440" cy="1835150"/>
                <wp:effectExtent l="19050" t="19050" r="22860" b="12700"/>
                <wp:wrapNone/>
                <wp:docPr id="778" name="Text Box 778"/>
                <wp:cNvGraphicFramePr/>
                <a:graphic xmlns:a="http://schemas.openxmlformats.org/drawingml/2006/main">
                  <a:graphicData uri="http://schemas.microsoft.com/office/word/2010/wordprocessingShape">
                    <wps:wsp>
                      <wps:cNvSpPr txBox="1"/>
                      <wps:spPr>
                        <a:xfrm>
                          <a:off x="0" y="0"/>
                          <a:ext cx="1234440" cy="183515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4BCCA5C6" w14:textId="38DCC72F" w:rsidR="00876FFE" w:rsidRPr="00FC6850" w:rsidRDefault="00876FFE" w:rsidP="00E11DAD">
                            <w:pPr>
                              <w:ind w:firstLine="0"/>
                              <w:jc w:val="center"/>
                              <w:rPr>
                                <w:rFonts w:asciiTheme="minorHAnsi" w:hAnsiTheme="minorHAnsi" w:cstheme="minorHAnsi"/>
                                <w:spacing w:val="-4"/>
                                <w:sz w:val="22"/>
                                <w:szCs w:val="22"/>
                              </w:rPr>
                            </w:pPr>
                            <w:r w:rsidRPr="00FC6850">
                              <w:rPr>
                                <w:rFonts w:asciiTheme="minorHAnsi" w:hAnsiTheme="minorHAnsi" w:cstheme="minorHAnsi"/>
                                <w:sz w:val="22"/>
                                <w:szCs w:val="22"/>
                              </w:rPr>
                              <w:t xml:space="preserve">НАЈУ, али ни </w:t>
                            </w:r>
                            <w:r w:rsidRPr="00FC6850">
                              <w:rPr>
                                <w:rFonts w:asciiTheme="minorHAnsi" w:hAnsiTheme="minorHAnsi" w:cstheme="minorHAnsi"/>
                                <w:spacing w:val="-8"/>
                                <w:sz w:val="22"/>
                                <w:szCs w:val="22"/>
                              </w:rPr>
                              <w:t>други органи,</w:t>
                            </w:r>
                            <w:r w:rsidRPr="00FC6850">
                              <w:rPr>
                                <w:rFonts w:asciiTheme="minorHAnsi" w:hAnsiTheme="minorHAnsi" w:cstheme="minorHAnsi"/>
                                <w:sz w:val="22"/>
                                <w:szCs w:val="22"/>
                              </w:rPr>
                              <w:t xml:space="preserve"> АП и ЈЛС немају довољно капацитета ни </w:t>
                            </w:r>
                            <w:r w:rsidRPr="00FC6850">
                              <w:rPr>
                                <w:rFonts w:asciiTheme="minorHAnsi" w:hAnsiTheme="minorHAnsi" w:cstheme="minorHAnsi"/>
                                <w:spacing w:val="-4"/>
                                <w:sz w:val="22"/>
                                <w:szCs w:val="22"/>
                              </w:rPr>
                              <w:t xml:space="preserve">компетенција </w:t>
                            </w:r>
                            <w:r w:rsidRPr="00FC6850">
                              <w:rPr>
                                <w:rFonts w:asciiTheme="minorHAnsi" w:hAnsiTheme="minorHAnsi" w:cstheme="minorHAnsi"/>
                                <w:sz w:val="22"/>
                                <w:szCs w:val="22"/>
                              </w:rPr>
                              <w:t xml:space="preserve">за стручно </w:t>
                            </w:r>
                            <w:r w:rsidRPr="00FC6850">
                              <w:rPr>
                                <w:rFonts w:asciiTheme="minorHAnsi" w:hAnsiTheme="minorHAnsi" w:cstheme="minorHAnsi"/>
                                <w:spacing w:val="-4"/>
                                <w:sz w:val="22"/>
                                <w:szCs w:val="22"/>
                              </w:rPr>
                              <w:t>усавршавање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95D6EA" id="Text Box 778" o:spid="_x0000_s1111" style="position:absolute;left:0;text-align:left;margin-left:793.9pt;margin-top:411.55pt;width:97.2pt;height:144.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" fillcolor="window" strokecolor="#bfbfbf [2412]" strokeweight="2.25pt">
                <v:stroke joinstyle="miter"/>
                <v:textbox inset="0,0,0,0">
                  <w:txbxContent>
                    <w:p w14:paraId="4BCCA5C6" w14:textId="38DCC72F" w:rsidR="00876FFE" w:rsidRPr="00FC6850" w:rsidRDefault="00876FFE" w:rsidP="00E11DAD">
                      <w:pPr>
                        <w:ind w:firstLine="0"/>
                        <w:jc w:val="center"/>
                        <w:rPr>
                          <w:rFonts w:asciiTheme="minorHAnsi" w:hAnsiTheme="minorHAnsi" w:cstheme="minorHAnsi"/>
                          <w:spacing w:val="-4"/>
                          <w:sz w:val="22"/>
                          <w:szCs w:val="22"/>
                        </w:rPr>
                      </w:pPr>
                      <w:r w:rsidRPr="00FC6850">
                        <w:rPr>
                          <w:rFonts w:asciiTheme="minorHAnsi" w:hAnsiTheme="minorHAnsi" w:cstheme="minorHAnsi"/>
                          <w:sz w:val="22"/>
                          <w:szCs w:val="22"/>
                        </w:rPr>
                        <w:t xml:space="preserve">НАЈУ, али ни </w:t>
                      </w:r>
                      <w:r w:rsidRPr="00FC6850">
                        <w:rPr>
                          <w:rFonts w:asciiTheme="minorHAnsi" w:hAnsiTheme="minorHAnsi" w:cstheme="minorHAnsi"/>
                          <w:spacing w:val="-8"/>
                          <w:sz w:val="22"/>
                          <w:szCs w:val="22"/>
                        </w:rPr>
                        <w:t>други органи,</w:t>
                      </w:r>
                      <w:r w:rsidRPr="00FC6850">
                        <w:rPr>
                          <w:rFonts w:asciiTheme="minorHAnsi" w:hAnsiTheme="minorHAnsi" w:cstheme="minorHAnsi"/>
                          <w:sz w:val="22"/>
                          <w:szCs w:val="22"/>
                        </w:rPr>
                        <w:t xml:space="preserve"> АП и ЈЛС немају довољно капацитета ни </w:t>
                      </w:r>
                      <w:r w:rsidRPr="00FC6850">
                        <w:rPr>
                          <w:rFonts w:asciiTheme="minorHAnsi" w:hAnsiTheme="minorHAnsi" w:cstheme="minorHAnsi"/>
                          <w:spacing w:val="-4"/>
                          <w:sz w:val="22"/>
                          <w:szCs w:val="22"/>
                        </w:rPr>
                        <w:t xml:space="preserve">компетенција </w:t>
                      </w:r>
                      <w:r w:rsidRPr="00FC6850">
                        <w:rPr>
                          <w:rFonts w:asciiTheme="minorHAnsi" w:hAnsiTheme="minorHAnsi" w:cstheme="minorHAnsi"/>
                          <w:sz w:val="22"/>
                          <w:szCs w:val="22"/>
                        </w:rPr>
                        <w:t xml:space="preserve">за стручно </w:t>
                      </w:r>
                      <w:r w:rsidRPr="00FC6850">
                        <w:rPr>
                          <w:rFonts w:asciiTheme="minorHAnsi" w:hAnsiTheme="minorHAnsi" w:cstheme="minorHAnsi"/>
                          <w:spacing w:val="-4"/>
                          <w:sz w:val="22"/>
                          <w:szCs w:val="22"/>
                        </w:rPr>
                        <w:t>усавршавање</w:t>
                      </w:r>
                    </w:p>
                  </w:txbxContent>
                </v:textbox>
              </v:roundrect>
            </w:pict>
          </mc:Fallback>
        </mc:AlternateContent>
      </w:r>
      <w:r w:rsidR="001C30B7" w:rsidRPr="000F0299">
        <w:rPr>
          <w:noProof/>
          <w:lang w:val="en-US" w:eastAsia="en-US" w:bidi="ar-SA"/>
        </w:rPr>
        <mc:AlternateContent>
          <mc:Choice Requires="wps">
            <w:drawing>
              <wp:anchor distT="0" distB="0" distL="114300" distR="114300" simplePos="0" relativeHeight="251382272" behindDoc="0" locked="0" layoutInCell="1" allowOverlap="1" wp14:anchorId="6031EC5B" wp14:editId="4503960E">
                <wp:simplePos x="0" y="0"/>
                <wp:positionH relativeFrom="column">
                  <wp:posOffset>8622030</wp:posOffset>
                </wp:positionH>
                <wp:positionV relativeFrom="paragraph">
                  <wp:posOffset>5213985</wp:posOffset>
                </wp:positionV>
                <wp:extent cx="1397000" cy="1860550"/>
                <wp:effectExtent l="19050" t="19050" r="12700" b="25400"/>
                <wp:wrapNone/>
                <wp:docPr id="777" name="Text Box 777"/>
                <wp:cNvGraphicFramePr/>
                <a:graphic xmlns:a="http://schemas.openxmlformats.org/drawingml/2006/main">
                  <a:graphicData uri="http://schemas.microsoft.com/office/word/2010/wordprocessingShape">
                    <wps:wsp>
                      <wps:cNvSpPr txBox="1"/>
                      <wps:spPr>
                        <a:xfrm>
                          <a:off x="0" y="0"/>
                          <a:ext cx="1397000" cy="186055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24AAF832" w14:textId="2EDACA68"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НАЈУ није остварила </w:t>
                            </w:r>
                            <w:r w:rsidRPr="00FC6850">
                              <w:rPr>
                                <w:rFonts w:asciiTheme="minorHAnsi" w:hAnsiTheme="minorHAnsi" w:cstheme="minorHAnsi"/>
                                <w:spacing w:val="-2"/>
                                <w:sz w:val="22"/>
                                <w:szCs w:val="22"/>
                              </w:rPr>
                              <w:t>пуну сарадњу</w:t>
                            </w:r>
                            <w:r w:rsidRPr="00FC6850">
                              <w:rPr>
                                <w:rFonts w:asciiTheme="minorHAnsi" w:hAnsiTheme="minorHAnsi" w:cstheme="minorHAnsi"/>
                                <w:sz w:val="22"/>
                                <w:szCs w:val="22"/>
                              </w:rPr>
                              <w:t xml:space="preserve"> са органима ДУ, ЈЛС, ЈА, академском заједницом и не спроводи комерцијалне програме обука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031EC5B" id="Text Box 777" o:spid="_x0000_s1112" style="position:absolute;left:0;text-align:left;margin-left:678.9pt;margin-top:410.55pt;width:110pt;height:146.5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" fillcolor="window" strokecolor="#bfbfbf [2412]" strokeweight="2.25pt">
                <v:stroke joinstyle="miter"/>
                <v:textbox inset="0,0,0,0">
                  <w:txbxContent>
                    <w:p w14:paraId="24AAF832" w14:textId="2EDACA68"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НАЈУ није остварила </w:t>
                      </w:r>
                      <w:r w:rsidRPr="00FC6850">
                        <w:rPr>
                          <w:rFonts w:asciiTheme="minorHAnsi" w:hAnsiTheme="minorHAnsi" w:cstheme="minorHAnsi"/>
                          <w:spacing w:val="-2"/>
                          <w:sz w:val="22"/>
                          <w:szCs w:val="22"/>
                        </w:rPr>
                        <w:t>пуну сарадњу</w:t>
                      </w:r>
                      <w:r w:rsidRPr="00FC6850">
                        <w:rPr>
                          <w:rFonts w:asciiTheme="minorHAnsi" w:hAnsiTheme="minorHAnsi" w:cstheme="minorHAnsi"/>
                          <w:sz w:val="22"/>
                          <w:szCs w:val="22"/>
                        </w:rPr>
                        <w:t xml:space="preserve"> са органима ДУ, ЈЛС, ЈА, академском заједницом и не спроводи комерцијалне програме обука</w:t>
                      </w:r>
                    </w:p>
                  </w:txbxContent>
                </v:textbox>
              </v:roundrect>
            </w:pict>
          </mc:Fallback>
        </mc:AlternateContent>
      </w:r>
      <w:r w:rsidR="001C30B7" w:rsidRPr="000F0299">
        <w:rPr>
          <w:noProof/>
          <w:lang w:val="en-US" w:eastAsia="en-US" w:bidi="ar-SA"/>
        </w:rPr>
        <mc:AlternateContent>
          <mc:Choice Requires="wps">
            <w:drawing>
              <wp:anchor distT="0" distB="0" distL="114300" distR="114300" simplePos="0" relativeHeight="251383296" behindDoc="0" locked="0" layoutInCell="1" allowOverlap="1" wp14:anchorId="1269A7D1" wp14:editId="35A07E30">
                <wp:simplePos x="0" y="0"/>
                <wp:positionH relativeFrom="column">
                  <wp:posOffset>7326630</wp:posOffset>
                </wp:positionH>
                <wp:positionV relativeFrom="paragraph">
                  <wp:posOffset>5201285</wp:posOffset>
                </wp:positionV>
                <wp:extent cx="1234440" cy="1885950"/>
                <wp:effectExtent l="19050" t="19050" r="22860" b="19050"/>
                <wp:wrapNone/>
                <wp:docPr id="786" name="Text Box 786"/>
                <wp:cNvGraphicFramePr/>
                <a:graphic xmlns:a="http://schemas.openxmlformats.org/drawingml/2006/main">
                  <a:graphicData uri="http://schemas.microsoft.com/office/word/2010/wordprocessingShape">
                    <wps:wsp>
                      <wps:cNvSpPr txBox="1"/>
                      <wps:spPr>
                        <a:xfrm>
                          <a:off x="0" y="0"/>
                          <a:ext cx="1234440" cy="188595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7082BD39" w14:textId="53171DBD"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Програми обука нису усклађени са оквиром </w:t>
                            </w:r>
                            <w:r w:rsidRPr="00FC6850">
                              <w:rPr>
                                <w:rFonts w:asciiTheme="minorHAnsi" w:hAnsiTheme="minorHAnsi" w:cstheme="minorHAnsi"/>
                                <w:spacing w:val="-8"/>
                                <w:sz w:val="22"/>
                                <w:szCs w:val="22"/>
                              </w:rPr>
                              <w:t xml:space="preserve">компетенција </w:t>
                            </w:r>
                            <w:r w:rsidRPr="00FC6850">
                              <w:rPr>
                                <w:rFonts w:asciiTheme="minorHAnsi" w:hAnsiTheme="minorHAnsi" w:cstheme="minorHAnsi"/>
                                <w:sz w:val="22"/>
                                <w:szCs w:val="22"/>
                              </w:rPr>
                              <w:t>који је дефинисан ЗДС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69A7D1" id="Text Box 786" o:spid="_x0000_s1113" style="position:absolute;left:0;text-align:left;margin-left:576.9pt;margin-top:409.55pt;width:97.2pt;height:148.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" fillcolor="window" strokecolor="#bfbfbf [2412]" strokeweight="2.25pt">
                <v:stroke joinstyle="miter"/>
                <v:textbox inset="0,0,0,0">
                  <w:txbxContent>
                    <w:p w14:paraId="7082BD39" w14:textId="53171DBD"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Програми </w:t>
                      </w:r>
                      <w:r w:rsidRPr="00FC6850">
                        <w:rPr>
                          <w:rFonts w:asciiTheme="minorHAnsi" w:hAnsiTheme="minorHAnsi" w:cstheme="minorHAnsi"/>
                          <w:sz w:val="22"/>
                          <w:szCs w:val="22"/>
                        </w:rPr>
                        <w:t xml:space="preserve">обука нису усклађени са оквиром </w:t>
                      </w:r>
                      <w:r w:rsidRPr="00FC6850">
                        <w:rPr>
                          <w:rFonts w:asciiTheme="minorHAnsi" w:hAnsiTheme="minorHAnsi" w:cstheme="minorHAnsi"/>
                          <w:spacing w:val="-8"/>
                          <w:sz w:val="22"/>
                          <w:szCs w:val="22"/>
                        </w:rPr>
                        <w:t xml:space="preserve">компетенција </w:t>
                      </w:r>
                      <w:r w:rsidRPr="00FC6850">
                        <w:rPr>
                          <w:rFonts w:asciiTheme="minorHAnsi" w:hAnsiTheme="minorHAnsi" w:cstheme="minorHAnsi"/>
                          <w:sz w:val="22"/>
                          <w:szCs w:val="22"/>
                        </w:rPr>
                        <w:t>који је дефинисан ЗДС</w:t>
                      </w:r>
                    </w:p>
                  </w:txbxContent>
                </v:textbox>
              </v:roundrect>
            </w:pict>
          </mc:Fallback>
        </mc:AlternateContent>
      </w:r>
      <w:r w:rsidR="001C30B7" w:rsidRPr="000F0299">
        <w:rPr>
          <w:noProof/>
          <w:lang w:val="en-US" w:eastAsia="en-US" w:bidi="ar-SA"/>
        </w:rPr>
        <mc:AlternateContent>
          <mc:Choice Requires="wps">
            <w:drawing>
              <wp:anchor distT="0" distB="0" distL="114300" distR="114300" simplePos="0" relativeHeight="251391488" behindDoc="0" locked="0" layoutInCell="1" allowOverlap="1" wp14:anchorId="6B7BEFA4" wp14:editId="6915CEE0">
                <wp:simplePos x="0" y="0"/>
                <wp:positionH relativeFrom="column">
                  <wp:posOffset>1332230</wp:posOffset>
                </wp:positionH>
                <wp:positionV relativeFrom="paragraph">
                  <wp:posOffset>5188586</wp:posOffset>
                </wp:positionV>
                <wp:extent cx="1174750" cy="1885950"/>
                <wp:effectExtent l="19050" t="19050" r="25400" b="19050"/>
                <wp:wrapNone/>
                <wp:docPr id="781" name="Text Box 781"/>
                <wp:cNvGraphicFramePr/>
                <a:graphic xmlns:a="http://schemas.openxmlformats.org/drawingml/2006/main">
                  <a:graphicData uri="http://schemas.microsoft.com/office/word/2010/wordprocessingShape">
                    <wps:wsp>
                      <wps:cNvSpPr txBox="1"/>
                      <wps:spPr>
                        <a:xfrm>
                          <a:off x="0" y="0"/>
                          <a:ext cx="1174750" cy="188595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26B3C1C1" w14:textId="00882C93"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Због забране запошљавања се нису доносили кадровски планови</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7BEFA4" id="Text Box 781" o:spid="_x0000_s1114" style="position:absolute;left:0;text-align:left;margin-left:104.9pt;margin-top:408.55pt;width:92.5pt;height:148.5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" fillcolor="window" strokecolor="#bfbfbf [2412]" strokeweight="2.25pt">
                <v:stroke joinstyle="miter"/>
                <v:textbox inset="2mm,0,2mm,0">
                  <w:txbxContent>
                    <w:p w14:paraId="26B3C1C1" w14:textId="00882C93"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Због </w:t>
                      </w:r>
                      <w:r w:rsidRPr="00FC6850">
                        <w:rPr>
                          <w:rFonts w:asciiTheme="minorHAnsi" w:hAnsiTheme="minorHAnsi" w:cstheme="minorHAnsi"/>
                          <w:sz w:val="22"/>
                          <w:szCs w:val="22"/>
                        </w:rPr>
                        <w:t>забране запошљавања се нису доносили кадровски планови</w:t>
                      </w:r>
                    </w:p>
                  </w:txbxContent>
                </v:textbox>
              </v:roundrect>
            </w:pict>
          </mc:Fallback>
        </mc:AlternateContent>
      </w:r>
      <w:r w:rsidR="001C30B7" w:rsidRPr="000F0299">
        <w:rPr>
          <w:noProof/>
          <w:lang w:val="en-US" w:eastAsia="en-US" w:bidi="ar-SA"/>
        </w:rPr>
        <mc:AlternateContent>
          <mc:Choice Requires="wps">
            <w:drawing>
              <wp:anchor distT="0" distB="0" distL="114300" distR="114300" simplePos="0" relativeHeight="251390464" behindDoc="0" locked="0" layoutInCell="1" allowOverlap="1" wp14:anchorId="6B43B50B" wp14:editId="04AE669B">
                <wp:simplePos x="0" y="0"/>
                <wp:positionH relativeFrom="column">
                  <wp:posOffset>2640330</wp:posOffset>
                </wp:positionH>
                <wp:positionV relativeFrom="paragraph">
                  <wp:posOffset>5175886</wp:posOffset>
                </wp:positionV>
                <wp:extent cx="1371600" cy="1898650"/>
                <wp:effectExtent l="19050" t="19050" r="19050" b="25400"/>
                <wp:wrapNone/>
                <wp:docPr id="779" name="Text Box 779"/>
                <wp:cNvGraphicFramePr/>
                <a:graphic xmlns:a="http://schemas.openxmlformats.org/drawingml/2006/main">
                  <a:graphicData uri="http://schemas.microsoft.com/office/word/2010/wordprocessingShape">
                    <wps:wsp>
                      <wps:cNvSpPr txBox="1"/>
                      <wps:spPr>
                        <a:xfrm>
                          <a:off x="0" y="0"/>
                          <a:ext cx="1371600" cy="189865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4CD26A31" w14:textId="0322B6F5"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Запошљавање </w:t>
                            </w:r>
                            <w:r w:rsidRPr="00FC6850">
                              <w:rPr>
                                <w:rFonts w:asciiTheme="minorHAnsi" w:hAnsiTheme="minorHAnsi" w:cstheme="minorHAnsi"/>
                                <w:spacing w:val="-8"/>
                                <w:sz w:val="22"/>
                                <w:szCs w:val="22"/>
                              </w:rPr>
                              <w:t xml:space="preserve">службеника </w:t>
                            </w:r>
                            <w:r w:rsidRPr="00FC6850">
                              <w:rPr>
                                <w:rFonts w:asciiTheme="minorHAnsi" w:hAnsiTheme="minorHAnsi" w:cstheme="minorHAnsi"/>
                                <w:sz w:val="22"/>
                                <w:szCs w:val="22"/>
                              </w:rPr>
                              <w:t>у АП и ЈЛС се не базира на систему провере компетенција</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43B50B" id="Text Box 779" o:spid="_x0000_s1115" style="position:absolute;left:0;text-align:left;margin-left:207.9pt;margin-top:407.55pt;width:108pt;height:149.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" fillcolor="window" strokecolor="#bfbfbf [2412]" strokeweight="2.25pt">
                <v:stroke joinstyle="miter"/>
                <v:textbox inset="2mm,0,2mm,0">
                  <w:txbxContent>
                    <w:p w14:paraId="4CD26A31" w14:textId="0322B6F5"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Запошљавање </w:t>
                      </w:r>
                      <w:r w:rsidRPr="00FC6850">
                        <w:rPr>
                          <w:rFonts w:asciiTheme="minorHAnsi" w:hAnsiTheme="minorHAnsi" w:cstheme="minorHAnsi"/>
                          <w:spacing w:val="-8"/>
                          <w:sz w:val="22"/>
                          <w:szCs w:val="22"/>
                        </w:rPr>
                        <w:t xml:space="preserve">службеника </w:t>
                      </w:r>
                      <w:r w:rsidRPr="00FC6850">
                        <w:rPr>
                          <w:rFonts w:asciiTheme="minorHAnsi" w:hAnsiTheme="minorHAnsi" w:cstheme="minorHAnsi"/>
                          <w:sz w:val="22"/>
                          <w:szCs w:val="22"/>
                        </w:rPr>
                        <w:t>у АП и ЈЛС се не базира на систему провере компетенција</w:t>
                      </w:r>
                    </w:p>
                  </w:txbxContent>
                </v:textbox>
              </v:roundrect>
            </w:pict>
          </mc:Fallback>
        </mc:AlternateContent>
      </w:r>
      <w:r w:rsidR="00FD628D" w:rsidRPr="000F0299">
        <w:rPr>
          <w:noProof/>
          <w:lang w:val="en-US" w:eastAsia="en-US" w:bidi="ar-SA"/>
        </w:rPr>
        <mc:AlternateContent>
          <mc:Choice Requires="wps">
            <w:drawing>
              <wp:anchor distT="0" distB="0" distL="114300" distR="114300" simplePos="0" relativeHeight="251398656" behindDoc="0" locked="0" layoutInCell="1" allowOverlap="1" wp14:anchorId="0D0F05A2" wp14:editId="31A30C1F">
                <wp:simplePos x="0" y="0"/>
                <wp:positionH relativeFrom="column">
                  <wp:posOffset>6345555</wp:posOffset>
                </wp:positionH>
                <wp:positionV relativeFrom="paragraph">
                  <wp:posOffset>4993005</wp:posOffset>
                </wp:positionV>
                <wp:extent cx="0" cy="194945"/>
                <wp:effectExtent l="0" t="0" r="38100" b="33655"/>
                <wp:wrapNone/>
                <wp:docPr id="762" name="Straight Connector 762"/>
                <wp:cNvGraphicFramePr/>
                <a:graphic xmlns:a="http://schemas.openxmlformats.org/drawingml/2006/main">
                  <a:graphicData uri="http://schemas.microsoft.com/office/word/2010/wordprocessingShape">
                    <wps:wsp>
                      <wps:cNvCnPr/>
                      <wps:spPr>
                        <a:xfrm>
                          <a:off x="0" y="0"/>
                          <a:ext cx="0" cy="194945"/>
                        </a:xfrm>
                        <a:prstGeom prst="line">
                          <a:avLst/>
                        </a:prstGeom>
                        <a:noFill/>
                        <a:ln w="19050" cap="flat" cmpd="sng" algn="ctr">
                          <a:solidFill>
                            <a:schemeClr val="bg1">
                              <a:lumMod val="65000"/>
                            </a:schemeClr>
                          </a:solidFill>
                          <a:prstDash val="solid"/>
                          <a:miter lim="800000"/>
                          <a:tailEnd type="non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81EDB0" id="Straight Connector 762" o:spid="_x0000_s1026" style="position:absolute;z-index:251398656;visibility:visible;mso-wrap-style:square;mso-wrap-distance-left:9pt;mso-wrap-distance-top:0;mso-wrap-distance-right:9pt;mso-wrap-distance-bottom:0;mso-position-horizontal:absolute;mso-position-horizontal-relative:text;mso-position-vertical:absolute;mso-position-vertical-relative:text" from="499.65pt,393.15pt" to="499.6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" strokecolor="#a5a5a5 [2092]" strokeweight="1.5pt">
                <v:stroke joinstyle="miter"/>
              </v:line>
            </w:pict>
          </mc:Fallback>
        </mc:AlternateContent>
      </w:r>
      <w:r w:rsidR="00FD628D" w:rsidRPr="000F0299">
        <w:rPr>
          <w:noProof/>
          <w:lang w:val="en-US" w:eastAsia="en-US" w:bidi="ar-SA"/>
        </w:rPr>
        <mc:AlternateContent>
          <mc:Choice Requires="wps">
            <w:drawing>
              <wp:anchor distT="0" distB="0" distL="114300" distR="114300" simplePos="0" relativeHeight="251395584" behindDoc="0" locked="0" layoutInCell="1" allowOverlap="1" wp14:anchorId="435EF557" wp14:editId="5714C37F">
                <wp:simplePos x="0" y="0"/>
                <wp:positionH relativeFrom="column">
                  <wp:posOffset>2024380</wp:posOffset>
                </wp:positionH>
                <wp:positionV relativeFrom="paragraph">
                  <wp:posOffset>4983479</wp:posOffset>
                </wp:positionV>
                <wp:extent cx="4318000" cy="8255"/>
                <wp:effectExtent l="0" t="0" r="25400" b="29845"/>
                <wp:wrapNone/>
                <wp:docPr id="763" name="Straight Connector 763"/>
                <wp:cNvGraphicFramePr/>
                <a:graphic xmlns:a="http://schemas.openxmlformats.org/drawingml/2006/main">
                  <a:graphicData uri="http://schemas.microsoft.com/office/word/2010/wordprocessingShape">
                    <wps:wsp>
                      <wps:cNvCnPr/>
                      <wps:spPr>
                        <a:xfrm>
                          <a:off x="0" y="0"/>
                          <a:ext cx="4318000" cy="8255"/>
                        </a:xfrm>
                        <a:prstGeom prst="line">
                          <a:avLst/>
                        </a:prstGeom>
                        <a:noFill/>
                        <a:ln w="19050" cap="flat" cmpd="sng" algn="ctr">
                          <a:solidFill>
                            <a:schemeClr val="bg1">
                              <a:lumMod val="65000"/>
                            </a:schemeClr>
                          </a:solidFill>
                          <a:prstDash val="solid"/>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A9518A" id="Straight Connector 763" o:spid="_x0000_s1026" style="position:absolute;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4pt,392.4pt" to="499.4pt,3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" strokecolor="#a5a5a5 [2092]" strokeweight="1.5pt">
                <v:stroke joinstyle="miter"/>
              </v:line>
            </w:pict>
          </mc:Fallback>
        </mc:AlternateContent>
      </w:r>
      <w:r w:rsidR="00FC6850" w:rsidRPr="000F0299">
        <w:rPr>
          <w:noProof/>
          <w:lang w:val="en-US" w:eastAsia="en-US" w:bidi="ar-SA"/>
        </w:rPr>
        <mc:AlternateContent>
          <mc:Choice Requires="wps">
            <w:drawing>
              <wp:anchor distT="0" distB="0" distL="114300" distR="114300" simplePos="0" relativeHeight="251384320" behindDoc="0" locked="0" layoutInCell="1" allowOverlap="1" wp14:anchorId="0CEBB084" wp14:editId="529CCEDB">
                <wp:simplePos x="0" y="0"/>
                <wp:positionH relativeFrom="column">
                  <wp:posOffset>9752330</wp:posOffset>
                </wp:positionH>
                <wp:positionV relativeFrom="paragraph">
                  <wp:posOffset>2826385</wp:posOffset>
                </wp:positionV>
                <wp:extent cx="1727200" cy="2084705"/>
                <wp:effectExtent l="19050" t="19050" r="25400" b="10795"/>
                <wp:wrapNone/>
                <wp:docPr id="783" name="Text Box 783"/>
                <wp:cNvGraphicFramePr/>
                <a:graphic xmlns:a="http://schemas.openxmlformats.org/drawingml/2006/main">
                  <a:graphicData uri="http://schemas.microsoft.com/office/word/2010/wordprocessingShape">
                    <wps:wsp>
                      <wps:cNvSpPr txBox="1"/>
                      <wps:spPr>
                        <a:xfrm>
                          <a:off x="0" y="0"/>
                          <a:ext cx="1727200" cy="2084705"/>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5DB20CED" w14:textId="6C259C84"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Због фискалне консолидације и мера штедње у пракси напредовања и награђивање по </w:t>
                            </w:r>
                            <w:r w:rsidRPr="00FC6850">
                              <w:rPr>
                                <w:rFonts w:asciiTheme="minorHAnsi" w:hAnsiTheme="minorHAnsi" w:cstheme="minorHAnsi"/>
                                <w:spacing w:val="-12"/>
                                <w:sz w:val="22"/>
                                <w:szCs w:val="22"/>
                              </w:rPr>
                              <w:t>основу резултата</w:t>
                            </w:r>
                            <w:r w:rsidRPr="00FC6850">
                              <w:rPr>
                                <w:rFonts w:asciiTheme="minorHAnsi" w:hAnsiTheme="minorHAnsi" w:cstheme="minorHAnsi"/>
                                <w:sz w:val="22"/>
                                <w:szCs w:val="22"/>
                              </w:rPr>
                              <w:t xml:space="preserve"> </w:t>
                            </w:r>
                            <w:r w:rsidRPr="00FC6850">
                              <w:rPr>
                                <w:rFonts w:asciiTheme="minorHAnsi" w:hAnsiTheme="minorHAnsi" w:cstheme="minorHAnsi"/>
                                <w:spacing w:val="-2"/>
                                <w:sz w:val="22"/>
                                <w:szCs w:val="22"/>
                              </w:rPr>
                              <w:t>рада-оцењивања</w:t>
                            </w:r>
                            <w:r w:rsidRPr="00FC6850">
                              <w:rPr>
                                <w:rFonts w:asciiTheme="minorHAnsi" w:hAnsiTheme="minorHAnsi" w:cstheme="minorHAnsi"/>
                                <w:sz w:val="22"/>
                                <w:szCs w:val="22"/>
                              </w:rPr>
                              <w:t xml:space="preserve"> службеника није примењивано у складу са </w:t>
                            </w:r>
                            <w:r w:rsidRPr="00FC6850">
                              <w:rPr>
                                <w:rFonts w:asciiTheme="minorHAnsi" w:hAnsiTheme="minorHAnsi" w:cstheme="minorHAnsi"/>
                                <w:spacing w:val="-6"/>
                                <w:sz w:val="22"/>
                                <w:szCs w:val="22"/>
                              </w:rPr>
                              <w:t>стандардима УЉР</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CEBB084" id="Text Box 783" o:spid="_x0000_s1116" style="position:absolute;left:0;text-align:left;margin-left:767.9pt;margin-top:222.55pt;width:136pt;height:164.1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" fillcolor="window" strokecolor="#bfbfbf [2412]" strokeweight="2.25pt">
                <v:stroke joinstyle="miter"/>
                <v:textbox inset="2mm,0,2mm,0">
                  <w:txbxContent>
                    <w:p w14:paraId="5DB20CED" w14:textId="6C259C84"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Због </w:t>
                      </w:r>
                      <w:r w:rsidRPr="00FC6850">
                        <w:rPr>
                          <w:rFonts w:asciiTheme="minorHAnsi" w:hAnsiTheme="minorHAnsi" w:cstheme="minorHAnsi"/>
                          <w:sz w:val="22"/>
                          <w:szCs w:val="22"/>
                        </w:rPr>
                        <w:t xml:space="preserve">фискалне консолидације и мера штедње у пракси напредовања и награђивање по </w:t>
                      </w:r>
                      <w:r w:rsidRPr="00FC6850">
                        <w:rPr>
                          <w:rFonts w:asciiTheme="minorHAnsi" w:hAnsiTheme="minorHAnsi" w:cstheme="minorHAnsi"/>
                          <w:spacing w:val="-12"/>
                          <w:sz w:val="22"/>
                          <w:szCs w:val="22"/>
                        </w:rPr>
                        <w:t>основу резултата</w:t>
                      </w:r>
                      <w:r w:rsidRPr="00FC6850">
                        <w:rPr>
                          <w:rFonts w:asciiTheme="minorHAnsi" w:hAnsiTheme="minorHAnsi" w:cstheme="minorHAnsi"/>
                          <w:sz w:val="22"/>
                          <w:szCs w:val="22"/>
                        </w:rPr>
                        <w:t xml:space="preserve"> </w:t>
                      </w:r>
                      <w:r w:rsidRPr="00FC6850">
                        <w:rPr>
                          <w:rFonts w:asciiTheme="minorHAnsi" w:hAnsiTheme="minorHAnsi" w:cstheme="minorHAnsi"/>
                          <w:spacing w:val="-2"/>
                          <w:sz w:val="22"/>
                          <w:szCs w:val="22"/>
                        </w:rPr>
                        <w:t>рада-оцењивања</w:t>
                      </w:r>
                      <w:r w:rsidRPr="00FC6850">
                        <w:rPr>
                          <w:rFonts w:asciiTheme="minorHAnsi" w:hAnsiTheme="minorHAnsi" w:cstheme="minorHAnsi"/>
                          <w:sz w:val="22"/>
                          <w:szCs w:val="22"/>
                        </w:rPr>
                        <w:t xml:space="preserve"> службеника није примењивано у складу са </w:t>
                      </w:r>
                      <w:r w:rsidRPr="00FC6850">
                        <w:rPr>
                          <w:rFonts w:asciiTheme="minorHAnsi" w:hAnsiTheme="minorHAnsi" w:cstheme="minorHAnsi"/>
                          <w:spacing w:val="-6"/>
                          <w:sz w:val="22"/>
                          <w:szCs w:val="22"/>
                        </w:rPr>
                        <w:t>стандардима УЉР</w:t>
                      </w:r>
                    </w:p>
                  </w:txbxContent>
                </v:textbox>
              </v:roundrect>
            </w:pict>
          </mc:Fallback>
        </mc:AlternateContent>
      </w:r>
      <w:r w:rsidR="00FC6850" w:rsidRPr="000F0299">
        <w:rPr>
          <w:noProof/>
          <w:lang w:val="en-US" w:eastAsia="en-US" w:bidi="ar-SA"/>
        </w:rPr>
        <mc:AlternateContent>
          <mc:Choice Requires="wps">
            <w:drawing>
              <wp:anchor distT="0" distB="0" distL="114300" distR="114300" simplePos="0" relativeHeight="251365888" behindDoc="0" locked="0" layoutInCell="1" allowOverlap="1" wp14:anchorId="32418DBC" wp14:editId="64B87ABA">
                <wp:simplePos x="0" y="0"/>
                <wp:positionH relativeFrom="column">
                  <wp:posOffset>-547370</wp:posOffset>
                </wp:positionH>
                <wp:positionV relativeFrom="paragraph">
                  <wp:posOffset>2800985</wp:posOffset>
                </wp:positionV>
                <wp:extent cx="1231265" cy="3524250"/>
                <wp:effectExtent l="19050" t="19050" r="26035" b="19050"/>
                <wp:wrapNone/>
                <wp:docPr id="769" name="Text Box 769"/>
                <wp:cNvGraphicFramePr/>
                <a:graphic xmlns:a="http://schemas.openxmlformats.org/drawingml/2006/main">
                  <a:graphicData uri="http://schemas.microsoft.com/office/word/2010/wordprocessingShape">
                    <wps:wsp>
                      <wps:cNvSpPr txBox="1"/>
                      <wps:spPr>
                        <a:xfrm>
                          <a:off x="0" y="0"/>
                          <a:ext cx="1231265" cy="352425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389BB553" w14:textId="05211E43"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pacing w:val="-16"/>
                                <w:sz w:val="22"/>
                                <w:szCs w:val="22"/>
                              </w:rPr>
                              <w:t xml:space="preserve">Неразумевање </w:t>
                            </w:r>
                            <w:r w:rsidRPr="00FC6850">
                              <w:rPr>
                                <w:rFonts w:asciiTheme="minorHAnsi" w:hAnsiTheme="minorHAnsi" w:cstheme="minorHAnsi"/>
                                <w:sz w:val="22"/>
                                <w:szCs w:val="22"/>
                              </w:rPr>
                              <w:t xml:space="preserve">и недостатак свести о важности функције УЉР код </w:t>
                            </w:r>
                            <w:r w:rsidRPr="00FC6850">
                              <w:rPr>
                                <w:rFonts w:asciiTheme="minorHAnsi" w:hAnsiTheme="minorHAnsi" w:cstheme="minorHAnsi"/>
                                <w:spacing w:val="-8"/>
                                <w:sz w:val="22"/>
                                <w:szCs w:val="22"/>
                              </w:rPr>
                              <w:t xml:space="preserve">руководилаца </w:t>
                            </w:r>
                            <w:r w:rsidRPr="00FC6850">
                              <w:rPr>
                                <w:rFonts w:asciiTheme="minorHAnsi" w:hAnsiTheme="minorHAnsi" w:cstheme="minorHAnsi"/>
                                <w:sz w:val="22"/>
                                <w:szCs w:val="22"/>
                              </w:rPr>
                              <w:t>и доносиоца одлука - УЉР нема стратешку улогу у систему, већ се на УЉР гледа као на оперативне, техничке, и кадровске послове</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2418DBC" id="Text Box 769" o:spid="_x0000_s1117" style="position:absolute;left:0;text-align:left;margin-left:-43.1pt;margin-top:220.55pt;width:96.95pt;height:277.5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" fillcolor="window" strokecolor="#bfbfbf [2412]" strokeweight="2.25pt">
                <v:stroke joinstyle="miter"/>
                <v:textbox inset="2mm,0,2mm,0">
                  <w:txbxContent>
                    <w:p w14:paraId="389BB553" w14:textId="05211E43"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pacing w:val="-16"/>
                          <w:sz w:val="22"/>
                          <w:szCs w:val="22"/>
                        </w:rPr>
                        <w:t xml:space="preserve">Неразумевање </w:t>
                      </w:r>
                      <w:r w:rsidRPr="00FC6850">
                        <w:rPr>
                          <w:rFonts w:asciiTheme="minorHAnsi" w:hAnsiTheme="minorHAnsi" w:cstheme="minorHAnsi"/>
                          <w:sz w:val="22"/>
                          <w:szCs w:val="22"/>
                        </w:rPr>
                        <w:t xml:space="preserve">и недостатак свести о важности функције УЉР код </w:t>
                      </w:r>
                      <w:r w:rsidRPr="00FC6850">
                        <w:rPr>
                          <w:rFonts w:asciiTheme="minorHAnsi" w:hAnsiTheme="minorHAnsi" w:cstheme="minorHAnsi"/>
                          <w:spacing w:val="-8"/>
                          <w:sz w:val="22"/>
                          <w:szCs w:val="22"/>
                        </w:rPr>
                        <w:t xml:space="preserve">руководилаца </w:t>
                      </w:r>
                      <w:r w:rsidRPr="00FC6850">
                        <w:rPr>
                          <w:rFonts w:asciiTheme="minorHAnsi" w:hAnsiTheme="minorHAnsi" w:cstheme="minorHAnsi"/>
                          <w:sz w:val="22"/>
                          <w:szCs w:val="22"/>
                        </w:rPr>
                        <w:t>и доносиоца одлука - УЉР нема стратешку улогу у систему, већ се на УЉР гледа као на оперативне, техничке, и кадровске послове</w:t>
                      </w:r>
                    </w:p>
                  </w:txbxContent>
                </v:textbox>
              </v:roundrect>
            </w:pict>
          </mc:Fallback>
        </mc:AlternateContent>
      </w:r>
      <w:r w:rsidR="00FC6850" w:rsidRPr="000F0299">
        <w:rPr>
          <w:noProof/>
          <w:lang w:val="en-US" w:eastAsia="en-US" w:bidi="ar-SA"/>
        </w:rPr>
        <mc:AlternateContent>
          <mc:Choice Requires="wps">
            <w:drawing>
              <wp:anchor distT="0" distB="0" distL="114300" distR="114300" simplePos="0" relativeHeight="251399680" behindDoc="0" locked="0" layoutInCell="1" allowOverlap="1" wp14:anchorId="2EEB8D1A" wp14:editId="1449233D">
                <wp:simplePos x="0" y="0"/>
                <wp:positionH relativeFrom="column">
                  <wp:posOffset>8078048</wp:posOffset>
                </wp:positionH>
                <wp:positionV relativeFrom="paragraph">
                  <wp:posOffset>5029835</wp:posOffset>
                </wp:positionV>
                <wp:extent cx="5272828" cy="0"/>
                <wp:effectExtent l="0" t="0" r="0" b="0"/>
                <wp:wrapNone/>
                <wp:docPr id="760" name="Straight Connector 760"/>
                <wp:cNvGraphicFramePr/>
                <a:graphic xmlns:a="http://schemas.openxmlformats.org/drawingml/2006/main">
                  <a:graphicData uri="http://schemas.microsoft.com/office/word/2010/wordprocessingShape">
                    <wps:wsp>
                      <wps:cNvCnPr/>
                      <wps:spPr>
                        <a:xfrm>
                          <a:off x="0" y="0"/>
                          <a:ext cx="5272828" cy="0"/>
                        </a:xfrm>
                        <a:prstGeom prst="line">
                          <a:avLst/>
                        </a:prstGeom>
                        <a:noFill/>
                        <a:ln w="19050" cap="flat" cmpd="sng" algn="ctr">
                          <a:solidFill>
                            <a:schemeClr val="bg1">
                              <a:lumMod val="65000"/>
                            </a:schemeClr>
                          </a:solidFill>
                          <a:prstDash val="solid"/>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758D24" id="Straight Connector 760" o:spid="_x0000_s1026" style="position:absolute;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05pt,396.05pt" to="1051.25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" strokecolor="#a5a5a5 [2092]" strokeweight="1.5pt">
                <v:stroke joinstyle="miter"/>
              </v:line>
            </w:pict>
          </mc:Fallback>
        </mc:AlternateContent>
      </w:r>
      <w:r w:rsidR="00FC6850" w:rsidRPr="000F0299">
        <w:rPr>
          <w:noProof/>
          <w:lang w:val="en-US" w:eastAsia="en-US" w:bidi="ar-SA"/>
        </w:rPr>
        <mc:AlternateContent>
          <mc:Choice Requires="wps">
            <w:drawing>
              <wp:anchor distT="0" distB="0" distL="114300" distR="114300" simplePos="0" relativeHeight="251400704" behindDoc="0" locked="0" layoutInCell="1" allowOverlap="1" wp14:anchorId="1CC7847F" wp14:editId="54D9A3B1">
                <wp:simplePos x="0" y="0"/>
                <wp:positionH relativeFrom="column">
                  <wp:posOffset>8081433</wp:posOffset>
                </wp:positionH>
                <wp:positionV relativeFrom="paragraph">
                  <wp:posOffset>5012690</wp:posOffset>
                </wp:positionV>
                <wp:extent cx="0" cy="207010"/>
                <wp:effectExtent l="0" t="0" r="38100" b="21590"/>
                <wp:wrapNone/>
                <wp:docPr id="761" name="Straight Connector 761"/>
                <wp:cNvGraphicFramePr/>
                <a:graphic xmlns:a="http://schemas.openxmlformats.org/drawingml/2006/main">
                  <a:graphicData uri="http://schemas.microsoft.com/office/word/2010/wordprocessingShape">
                    <wps:wsp>
                      <wps:cNvCnPr/>
                      <wps:spPr>
                        <a:xfrm>
                          <a:off x="0" y="0"/>
                          <a:ext cx="0" cy="207010"/>
                        </a:xfrm>
                        <a:prstGeom prst="line">
                          <a:avLst/>
                        </a:prstGeom>
                        <a:noFill/>
                        <a:ln w="19050" cap="flat" cmpd="sng" algn="ctr">
                          <a:solidFill>
                            <a:schemeClr val="bg1">
                              <a:lumMod val="65000"/>
                            </a:schemeClr>
                          </a:solidFill>
                          <a:prstDash val="solid"/>
                          <a:miter lim="800000"/>
                          <a:tailEnd type="non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61BDA0" id="Straight Connector 761" o:spid="_x0000_s1026" style="position:absolute;z-index:251400704;visibility:visible;mso-wrap-style:square;mso-wrap-distance-left:9pt;mso-wrap-distance-top:0;mso-wrap-distance-right:9pt;mso-wrap-distance-bottom:0;mso-position-horizontal:absolute;mso-position-horizontal-relative:text;mso-position-vertical:absolute;mso-position-vertical-relative:text" from="636.35pt,394.7pt" to="636.3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" strokecolor="#a5a5a5 [2092]" strokeweight="1.5pt">
                <v:stroke joinstyle="miter"/>
              </v:line>
            </w:pict>
          </mc:Fallback>
        </mc:AlternateContent>
      </w:r>
      <w:r w:rsidR="00550A51" w:rsidRPr="000F0299">
        <w:rPr>
          <w:noProof/>
          <w:lang w:val="en-US" w:eastAsia="en-US" w:bidi="ar-SA"/>
        </w:rPr>
        <mc:AlternateContent>
          <mc:Choice Requires="wps">
            <w:drawing>
              <wp:anchor distT="0" distB="0" distL="114300" distR="114300" simplePos="0" relativeHeight="251359744" behindDoc="1" locked="0" layoutInCell="1" allowOverlap="1" wp14:anchorId="3C49CDED" wp14:editId="3C69908C">
                <wp:simplePos x="0" y="0"/>
                <wp:positionH relativeFrom="column">
                  <wp:posOffset>-554990</wp:posOffset>
                </wp:positionH>
                <wp:positionV relativeFrom="paragraph">
                  <wp:posOffset>504099</wp:posOffset>
                </wp:positionV>
                <wp:extent cx="14269720" cy="548640"/>
                <wp:effectExtent l="0" t="0" r="17780" b="22860"/>
                <wp:wrapNone/>
                <wp:docPr id="752" name="Rounded Rectangle 752"/>
                <wp:cNvGraphicFramePr/>
                <a:graphic xmlns:a="http://schemas.openxmlformats.org/drawingml/2006/main">
                  <a:graphicData uri="http://schemas.microsoft.com/office/word/2010/wordprocessingShape">
                    <wps:wsp>
                      <wps:cNvSpPr/>
                      <wps:spPr>
                        <a:xfrm>
                          <a:off x="0" y="0"/>
                          <a:ext cx="14269720" cy="548640"/>
                        </a:xfrm>
                        <a:prstGeom prst="roundRect">
                          <a:avLst/>
                        </a:prstGeom>
                        <a:solidFill>
                          <a:schemeClr val="bg1">
                            <a:lumMod val="65000"/>
                          </a:schemeClr>
                        </a:solidFill>
                        <a:ln w="12700" cap="flat" cmpd="sng" algn="ctr">
                          <a:solidFill>
                            <a:schemeClr val="bg1">
                              <a:lumMod val="65000"/>
                            </a:schemeClr>
                          </a:solidFill>
                          <a:prstDash val="solid"/>
                          <a:miter lim="800000"/>
                        </a:ln>
                        <a:effectLst/>
                      </wps:spPr>
                      <wps:txbx>
                        <w:txbxContent>
                          <w:p w14:paraId="71278FCF" w14:textId="5EF58E7E" w:rsidR="00876FFE" w:rsidRPr="006F4D61" w:rsidRDefault="00876FFE" w:rsidP="00550A51">
                            <w:pPr>
                              <w:jc w:val="center"/>
                              <w:rPr>
                                <w:rFonts w:asciiTheme="minorHAnsi" w:hAnsiTheme="minorHAnsi" w:cstheme="minorHAnsi"/>
                                <w:b/>
                                <w:bCs/>
                                <w:color w:val="FFFFFF" w:themeColor="background1"/>
                                <w:sz w:val="36"/>
                                <w:szCs w:val="36"/>
                              </w:rPr>
                            </w:pPr>
                            <w:r w:rsidRPr="006F4D61">
                              <w:rPr>
                                <w:rFonts w:asciiTheme="minorHAnsi" w:hAnsiTheme="minorHAnsi" w:cstheme="minorHAnsi"/>
                                <w:b/>
                                <w:bCs/>
                                <w:color w:val="FFFFFF" w:themeColor="background1"/>
                                <w:sz w:val="36"/>
                                <w:szCs w:val="36"/>
                              </w:rPr>
                              <w:t>УПРАВЉАЊЕ ЉУДСКИМ РЕСУРСИМА У ЈАВНОЈ УПРАВИ СЕ НЕ ЗАСНИВА НА СИСТЕМУ КОМПЕТЕНЦИЈА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C49CDED" id="Rounded Rectangle 752" o:spid="_x0000_s1118" style="position:absolute;left:0;text-align:left;margin-left:-43.7pt;margin-top:39.7pt;width:1123.6pt;height:43.2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" fillcolor="#a5a5a5 [2092]" strokecolor="#a5a5a5 [2092]" strokeweight="1pt">
                <v:stroke joinstyle="miter"/>
                <v:textbox>
                  <w:txbxContent>
                    <w:p w14:paraId="71278FCF" w14:textId="5EF58E7E" w:rsidR="00876FFE" w:rsidRPr="006F4D61" w:rsidRDefault="00876FFE" w:rsidP="00550A51">
                      <w:pPr>
                        <w:jc w:val="center"/>
                        <w:rPr>
                          <w:rFonts w:asciiTheme="minorHAnsi" w:hAnsiTheme="minorHAnsi" w:cstheme="minorHAnsi"/>
                          <w:b/>
                          <w:bCs/>
                          <w:color w:val="FFFFFF" w:themeColor="background1"/>
                          <w:sz w:val="36"/>
                          <w:szCs w:val="36"/>
                        </w:rPr>
                      </w:pPr>
                      <w:r w:rsidRPr="006F4D61">
                        <w:rPr>
                          <w:rFonts w:asciiTheme="minorHAnsi" w:hAnsiTheme="minorHAnsi" w:cstheme="minorHAnsi"/>
                          <w:b/>
                          <w:bCs/>
                          <w:color w:val="FFFFFF" w:themeColor="background1"/>
                          <w:sz w:val="36"/>
                          <w:szCs w:val="36"/>
                        </w:rPr>
                        <w:t>УПРАВЉАЊЕ ЉУДСКИМ РЕСУРСИМА У ЈАВНОЈ УПРАВИ СЕ НЕ ЗАСНИВА НА СИСТЕМУ КОМПЕТЕНЦИЈА</w:t>
                      </w:r>
                    </w:p>
                  </w:txbxContent>
                </v:textbox>
              </v:roundrect>
            </w:pict>
          </mc:Fallback>
        </mc:AlternateContent>
      </w:r>
      <w:r w:rsidR="00FA3F7F" w:rsidRPr="000F0299">
        <w:rPr>
          <w:noProof/>
          <w:lang w:val="en-US" w:eastAsia="en-US" w:bidi="ar-SA"/>
        </w:rPr>
        <mc:AlternateContent>
          <mc:Choice Requires="wps">
            <w:drawing>
              <wp:anchor distT="0" distB="0" distL="114300" distR="114300" simplePos="0" relativeHeight="251420160" behindDoc="0" locked="0" layoutInCell="1" allowOverlap="1" wp14:anchorId="044898B2" wp14:editId="38DB1D22">
                <wp:simplePos x="0" y="0"/>
                <wp:positionH relativeFrom="column">
                  <wp:posOffset>4687570</wp:posOffset>
                </wp:positionH>
                <wp:positionV relativeFrom="paragraph">
                  <wp:posOffset>2440305</wp:posOffset>
                </wp:positionV>
                <wp:extent cx="0" cy="2696210"/>
                <wp:effectExtent l="76200" t="38100" r="57150" b="27940"/>
                <wp:wrapNone/>
                <wp:docPr id="126" name="Straight Arrow Connector 126"/>
                <wp:cNvGraphicFramePr/>
                <a:graphic xmlns:a="http://schemas.openxmlformats.org/drawingml/2006/main">
                  <a:graphicData uri="http://schemas.microsoft.com/office/word/2010/wordprocessingShape">
                    <wps:wsp>
                      <wps:cNvCnPr/>
                      <wps:spPr>
                        <a:xfrm flipV="1">
                          <a:off x="0" y="0"/>
                          <a:ext cx="0" cy="2696210"/>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08921" id="Straight Arrow Connector 126" o:spid="_x0000_s1026" type="#_x0000_t32" style="position:absolute;margin-left:369.1pt;margin-top:192.15pt;width:0;height:212.3pt;flip:y;z-index:25142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" strokecolor="#a5a5a5 [2092]" strokeweight="1.5pt">
                <v:stroke endarrow="block" joinstyle="miter"/>
              </v:shape>
            </w:pict>
          </mc:Fallback>
        </mc:AlternateContent>
      </w:r>
      <w:r w:rsidR="00FA3F7F" w:rsidRPr="000F0299">
        <w:rPr>
          <w:noProof/>
          <w:lang w:val="en-US" w:eastAsia="en-US" w:bidi="ar-SA"/>
        </w:rPr>
        <mc:AlternateContent>
          <mc:Choice Requires="wps">
            <w:drawing>
              <wp:anchor distT="0" distB="0" distL="114300" distR="114300" simplePos="0" relativeHeight="251404800" behindDoc="0" locked="0" layoutInCell="1" allowOverlap="1" wp14:anchorId="1830E1F1" wp14:editId="48F965C3">
                <wp:simplePos x="0" y="0"/>
                <wp:positionH relativeFrom="column">
                  <wp:posOffset>12068175</wp:posOffset>
                </wp:positionH>
                <wp:positionV relativeFrom="paragraph">
                  <wp:posOffset>2424430</wp:posOffset>
                </wp:positionV>
                <wp:extent cx="0" cy="2804160"/>
                <wp:effectExtent l="76200" t="38100" r="57150" b="15240"/>
                <wp:wrapNone/>
                <wp:docPr id="789" name="Straight Arrow Connector 789"/>
                <wp:cNvGraphicFramePr/>
                <a:graphic xmlns:a="http://schemas.openxmlformats.org/drawingml/2006/main">
                  <a:graphicData uri="http://schemas.microsoft.com/office/word/2010/wordprocessingShape">
                    <wps:wsp>
                      <wps:cNvCnPr/>
                      <wps:spPr>
                        <a:xfrm flipV="1">
                          <a:off x="0" y="0"/>
                          <a:ext cx="0" cy="2804160"/>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CF1E59" id="Straight Arrow Connector 789" o:spid="_x0000_s1026" type="#_x0000_t32" style="position:absolute;margin-left:950.25pt;margin-top:190.9pt;width:0;height:220.8pt;flip:y;z-index:25140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" strokecolor="#a5a5a5 [2092]" strokeweight="1.5pt">
                <v:stroke endarrow="block" joinstyle="miter"/>
              </v:shape>
            </w:pict>
          </mc:Fallback>
        </mc:AlternateContent>
      </w:r>
      <w:r w:rsidR="00FA3F7F" w:rsidRPr="000F0299">
        <w:rPr>
          <w:noProof/>
          <w:lang w:val="en-US" w:eastAsia="en-US" w:bidi="ar-SA"/>
        </w:rPr>
        <mc:AlternateContent>
          <mc:Choice Requires="wps">
            <w:drawing>
              <wp:anchor distT="0" distB="0" distL="114300" distR="114300" simplePos="0" relativeHeight="251396608" behindDoc="0" locked="0" layoutInCell="1" allowOverlap="1" wp14:anchorId="06C70B33" wp14:editId="22C1BD76">
                <wp:simplePos x="0" y="0"/>
                <wp:positionH relativeFrom="column">
                  <wp:posOffset>2020570</wp:posOffset>
                </wp:positionH>
                <wp:positionV relativeFrom="paragraph">
                  <wp:posOffset>4993005</wp:posOffset>
                </wp:positionV>
                <wp:extent cx="0" cy="194945"/>
                <wp:effectExtent l="0" t="0" r="38100" b="33655"/>
                <wp:wrapNone/>
                <wp:docPr id="764" name="Straight Connector 764"/>
                <wp:cNvGraphicFramePr/>
                <a:graphic xmlns:a="http://schemas.openxmlformats.org/drawingml/2006/main">
                  <a:graphicData uri="http://schemas.microsoft.com/office/word/2010/wordprocessingShape">
                    <wps:wsp>
                      <wps:cNvCnPr/>
                      <wps:spPr>
                        <a:xfrm>
                          <a:off x="0" y="0"/>
                          <a:ext cx="0" cy="194945"/>
                        </a:xfrm>
                        <a:prstGeom prst="line">
                          <a:avLst/>
                        </a:prstGeom>
                        <a:noFill/>
                        <a:ln w="19050" cap="flat" cmpd="sng" algn="ctr">
                          <a:solidFill>
                            <a:schemeClr val="bg1">
                              <a:lumMod val="65000"/>
                            </a:schemeClr>
                          </a:solidFill>
                          <a:prstDash val="solid"/>
                          <a:miter lim="800000"/>
                          <a:tailEnd type="non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9A195E" id="Straight Connector 764" o:spid="_x0000_s1026" style="position:absolute;z-index:251396608;visibility:visible;mso-wrap-style:square;mso-wrap-distance-left:9pt;mso-wrap-distance-top:0;mso-wrap-distance-right:9pt;mso-wrap-distance-bottom:0;mso-position-horizontal:absolute;mso-position-horizontal-relative:text;mso-position-vertical:absolute;mso-position-vertical-relative:text" from="159.1pt,393.15pt" to="159.1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" strokecolor="#a5a5a5 [2092]" strokeweight="1.5pt">
                <v:stroke joinstyle="miter"/>
              </v:line>
            </w:pict>
          </mc:Fallback>
        </mc:AlternateContent>
      </w:r>
      <w:r w:rsidR="00FA3F7F" w:rsidRPr="000F0299">
        <w:rPr>
          <w:noProof/>
          <w:lang w:val="en-US" w:eastAsia="en-US" w:bidi="ar-SA"/>
        </w:rPr>
        <mc:AlternateContent>
          <mc:Choice Requires="wps">
            <w:drawing>
              <wp:anchor distT="0" distB="0" distL="114300" distR="114300" simplePos="0" relativeHeight="251397632" behindDoc="0" locked="0" layoutInCell="1" allowOverlap="1" wp14:anchorId="72BC1DF4" wp14:editId="7D8E269D">
                <wp:simplePos x="0" y="0"/>
                <wp:positionH relativeFrom="column">
                  <wp:posOffset>3479165</wp:posOffset>
                </wp:positionH>
                <wp:positionV relativeFrom="paragraph">
                  <wp:posOffset>5004435</wp:posOffset>
                </wp:positionV>
                <wp:extent cx="0" cy="182880"/>
                <wp:effectExtent l="0" t="0" r="38100" b="26670"/>
                <wp:wrapNone/>
                <wp:docPr id="765" name="Straight Connector 765"/>
                <wp:cNvGraphicFramePr/>
                <a:graphic xmlns:a="http://schemas.openxmlformats.org/drawingml/2006/main">
                  <a:graphicData uri="http://schemas.microsoft.com/office/word/2010/wordprocessingShape">
                    <wps:wsp>
                      <wps:cNvCnPr/>
                      <wps:spPr>
                        <a:xfrm>
                          <a:off x="0" y="0"/>
                          <a:ext cx="0" cy="182880"/>
                        </a:xfrm>
                        <a:prstGeom prst="line">
                          <a:avLst/>
                        </a:prstGeom>
                        <a:noFill/>
                        <a:ln w="19050" cap="flat" cmpd="sng" algn="ctr">
                          <a:solidFill>
                            <a:schemeClr val="bg1">
                              <a:lumMod val="65000"/>
                            </a:schemeClr>
                          </a:solidFill>
                          <a:prstDash val="solid"/>
                          <a:miter lim="800000"/>
                          <a:tailEnd type="non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00FEA4" id="Straight Connector 765" o:spid="_x0000_s1026" style="position:absolute;z-index:251397632;visibility:visible;mso-wrap-style:square;mso-wrap-distance-left:9pt;mso-wrap-distance-top:0;mso-wrap-distance-right:9pt;mso-wrap-distance-bottom:0;mso-position-horizontal:absolute;mso-position-horizontal-relative:text;mso-position-vertical:absolute;mso-position-vertical-relative:text" from="273.95pt,394.05pt" to="273.95pt,4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" strokecolor="#a5a5a5 [2092]" strokeweight="1.5pt">
                <v:stroke joinstyle="miter"/>
              </v:line>
            </w:pict>
          </mc:Fallback>
        </mc:AlternateContent>
      </w:r>
      <w:r w:rsidR="006F75C8" w:rsidRPr="000F0299">
        <w:rPr>
          <w:noProof/>
          <w:lang w:val="en-US" w:eastAsia="en-US" w:bidi="ar-SA"/>
        </w:rPr>
        <mc:AlternateContent>
          <mc:Choice Requires="wps">
            <w:drawing>
              <wp:anchor distT="0" distB="0" distL="114300" distR="114300" simplePos="0" relativeHeight="251401728" behindDoc="0" locked="0" layoutInCell="1" allowOverlap="1" wp14:anchorId="3BB650FA" wp14:editId="516C5191">
                <wp:simplePos x="0" y="0"/>
                <wp:positionH relativeFrom="column">
                  <wp:posOffset>9575165</wp:posOffset>
                </wp:positionH>
                <wp:positionV relativeFrom="paragraph">
                  <wp:posOffset>5004435</wp:posOffset>
                </wp:positionV>
                <wp:extent cx="0" cy="207010"/>
                <wp:effectExtent l="0" t="0" r="38100" b="21590"/>
                <wp:wrapNone/>
                <wp:docPr id="759" name="Straight Connector 759"/>
                <wp:cNvGraphicFramePr/>
                <a:graphic xmlns:a="http://schemas.openxmlformats.org/drawingml/2006/main">
                  <a:graphicData uri="http://schemas.microsoft.com/office/word/2010/wordprocessingShape">
                    <wps:wsp>
                      <wps:cNvCnPr/>
                      <wps:spPr>
                        <a:xfrm>
                          <a:off x="0" y="0"/>
                          <a:ext cx="0" cy="207010"/>
                        </a:xfrm>
                        <a:prstGeom prst="line">
                          <a:avLst/>
                        </a:prstGeom>
                        <a:noFill/>
                        <a:ln w="19050" cap="flat" cmpd="sng" algn="ctr">
                          <a:solidFill>
                            <a:schemeClr val="bg1">
                              <a:lumMod val="65000"/>
                            </a:schemeClr>
                          </a:solidFill>
                          <a:prstDash val="solid"/>
                          <a:miter lim="800000"/>
                          <a:tailEnd type="non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80C8F9" id="Straight Connector 759" o:spid="_x0000_s1026" style="position:absolute;z-index:251401728;visibility:visible;mso-wrap-style:square;mso-wrap-distance-left:9pt;mso-wrap-distance-top:0;mso-wrap-distance-right:9pt;mso-wrap-distance-bottom:0;mso-position-horizontal:absolute;mso-position-horizontal-relative:text;mso-position-vertical:absolute;mso-position-vertical-relative:text" from="753.95pt,394.05pt" to="753.95pt,4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" strokecolor="#a5a5a5 [2092]" strokeweight="1.5pt">
                <v:stroke joinstyle="miter"/>
              </v:line>
            </w:pict>
          </mc:Fallback>
        </mc:AlternateContent>
      </w:r>
      <w:r w:rsidR="006F75C8" w:rsidRPr="000F0299">
        <w:rPr>
          <w:noProof/>
          <w:lang w:val="en-US" w:eastAsia="en-US" w:bidi="ar-SA"/>
        </w:rPr>
        <mc:AlternateContent>
          <mc:Choice Requires="wps">
            <w:drawing>
              <wp:anchor distT="0" distB="0" distL="114300" distR="114300" simplePos="0" relativeHeight="251403776" behindDoc="0" locked="0" layoutInCell="1" allowOverlap="1" wp14:anchorId="06E907A6" wp14:editId="4381FD52">
                <wp:simplePos x="0" y="0"/>
                <wp:positionH relativeFrom="column">
                  <wp:posOffset>13363575</wp:posOffset>
                </wp:positionH>
                <wp:positionV relativeFrom="paragraph">
                  <wp:posOffset>5004435</wp:posOffset>
                </wp:positionV>
                <wp:extent cx="0" cy="207010"/>
                <wp:effectExtent l="0" t="0" r="38100" b="21590"/>
                <wp:wrapNone/>
                <wp:docPr id="757" name="Straight Connector 757"/>
                <wp:cNvGraphicFramePr/>
                <a:graphic xmlns:a="http://schemas.openxmlformats.org/drawingml/2006/main">
                  <a:graphicData uri="http://schemas.microsoft.com/office/word/2010/wordprocessingShape">
                    <wps:wsp>
                      <wps:cNvCnPr/>
                      <wps:spPr>
                        <a:xfrm>
                          <a:off x="0" y="0"/>
                          <a:ext cx="0" cy="207010"/>
                        </a:xfrm>
                        <a:prstGeom prst="line">
                          <a:avLst/>
                        </a:prstGeom>
                        <a:noFill/>
                        <a:ln w="19050" cap="flat" cmpd="sng" algn="ctr">
                          <a:solidFill>
                            <a:schemeClr val="bg1">
                              <a:lumMod val="65000"/>
                            </a:schemeClr>
                          </a:solidFill>
                          <a:prstDash val="solid"/>
                          <a:miter lim="800000"/>
                          <a:tailEnd type="non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381C43" id="Straight Connector 757" o:spid="_x0000_s1026" style="position:absolute;z-index:251403776;visibility:visible;mso-wrap-style:square;mso-wrap-distance-left:9pt;mso-wrap-distance-top:0;mso-wrap-distance-right:9pt;mso-wrap-distance-bottom:0;mso-position-horizontal:absolute;mso-position-horizontal-relative:text;mso-position-vertical:absolute;mso-position-vertical-relative:text" from="1052.25pt,394.05pt" to="1052.25pt,4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" strokecolor="#a5a5a5 [2092]" strokeweight="1.5pt">
                <v:stroke joinstyle="miter"/>
              </v:line>
            </w:pict>
          </mc:Fallback>
        </mc:AlternateContent>
      </w:r>
      <w:r w:rsidR="006F75C8" w:rsidRPr="000F0299">
        <w:rPr>
          <w:noProof/>
          <w:lang w:val="en-US" w:eastAsia="en-US" w:bidi="ar-SA"/>
        </w:rPr>
        <mc:AlternateContent>
          <mc:Choice Requires="wps">
            <w:drawing>
              <wp:anchor distT="0" distB="0" distL="114300" distR="114300" simplePos="0" relativeHeight="251402752" behindDoc="0" locked="0" layoutInCell="1" allowOverlap="1" wp14:anchorId="5E07B4E3" wp14:editId="6CDFFDDD">
                <wp:simplePos x="0" y="0"/>
                <wp:positionH relativeFrom="column">
                  <wp:posOffset>10838180</wp:posOffset>
                </wp:positionH>
                <wp:positionV relativeFrom="paragraph">
                  <wp:posOffset>5015230</wp:posOffset>
                </wp:positionV>
                <wp:extent cx="0" cy="207010"/>
                <wp:effectExtent l="0" t="0" r="38100" b="21590"/>
                <wp:wrapNone/>
                <wp:docPr id="758" name="Straight Connector 758"/>
                <wp:cNvGraphicFramePr/>
                <a:graphic xmlns:a="http://schemas.openxmlformats.org/drawingml/2006/main">
                  <a:graphicData uri="http://schemas.microsoft.com/office/word/2010/wordprocessingShape">
                    <wps:wsp>
                      <wps:cNvCnPr/>
                      <wps:spPr>
                        <a:xfrm>
                          <a:off x="0" y="0"/>
                          <a:ext cx="0" cy="207010"/>
                        </a:xfrm>
                        <a:prstGeom prst="line">
                          <a:avLst/>
                        </a:prstGeom>
                        <a:noFill/>
                        <a:ln w="19050" cap="flat" cmpd="sng" algn="ctr">
                          <a:solidFill>
                            <a:schemeClr val="bg1">
                              <a:lumMod val="65000"/>
                            </a:schemeClr>
                          </a:solidFill>
                          <a:prstDash val="solid"/>
                          <a:miter lim="800000"/>
                          <a:tailEnd type="non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601115" id="Straight Connector 758" o:spid="_x0000_s1026" style="position:absolute;z-index:251402752;visibility:visible;mso-wrap-style:square;mso-wrap-distance-left:9pt;mso-wrap-distance-top:0;mso-wrap-distance-right:9pt;mso-wrap-distance-bottom:0;mso-position-horizontal:absolute;mso-position-horizontal-relative:text;mso-position-vertical:absolute;mso-position-vertical-relative:text" from="853.4pt,394.9pt" to="853.4pt,4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" strokecolor="#a5a5a5 [2092]" strokeweight="1.5pt">
                <v:stroke joinstyle="miter"/>
              </v:line>
            </w:pict>
          </mc:Fallback>
        </mc:AlternateContent>
      </w:r>
      <w:r w:rsidR="006F75C8" w:rsidRPr="000F0299">
        <w:rPr>
          <w:noProof/>
          <w:lang w:val="en-US" w:eastAsia="en-US" w:bidi="ar-SA"/>
        </w:rPr>
        <mc:AlternateContent>
          <mc:Choice Requires="wps">
            <w:drawing>
              <wp:anchor distT="0" distB="0" distL="114300" distR="114300" simplePos="0" relativeHeight="251409920" behindDoc="0" locked="0" layoutInCell="1" allowOverlap="1" wp14:anchorId="10B90C5A" wp14:editId="681B07A3">
                <wp:simplePos x="0" y="0"/>
                <wp:positionH relativeFrom="column">
                  <wp:posOffset>10489565</wp:posOffset>
                </wp:positionH>
                <wp:positionV relativeFrom="paragraph">
                  <wp:posOffset>2653030</wp:posOffset>
                </wp:positionV>
                <wp:extent cx="0" cy="170180"/>
                <wp:effectExtent l="0" t="0" r="38100" b="20320"/>
                <wp:wrapNone/>
                <wp:docPr id="787" name="Straight Connector 787"/>
                <wp:cNvGraphicFramePr/>
                <a:graphic xmlns:a="http://schemas.openxmlformats.org/drawingml/2006/main">
                  <a:graphicData uri="http://schemas.microsoft.com/office/word/2010/wordprocessingShape">
                    <wps:wsp>
                      <wps:cNvCnPr/>
                      <wps:spPr>
                        <a:xfrm>
                          <a:off x="0" y="0"/>
                          <a:ext cx="0" cy="170180"/>
                        </a:xfrm>
                        <a:prstGeom prst="line">
                          <a:avLst/>
                        </a:prstGeom>
                        <a:noFill/>
                        <a:ln w="19050" cap="flat" cmpd="sng" algn="ctr">
                          <a:solidFill>
                            <a:schemeClr val="bg1">
                              <a:lumMod val="65000"/>
                            </a:schemeClr>
                          </a:solidFill>
                          <a:prstDash val="solid"/>
                          <a:miter lim="800000"/>
                          <a:tailEnd type="non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4FFBB2" id="Straight Connector 787" o:spid="_x0000_s1026" style="position:absolute;z-index:251409920;visibility:visible;mso-wrap-style:square;mso-wrap-distance-left:9pt;mso-wrap-distance-top:0;mso-wrap-distance-right:9pt;mso-wrap-distance-bottom:0;mso-position-horizontal:absolute;mso-position-horizontal-relative:text;mso-position-vertical:absolute;mso-position-vertical-relative:text" from="825.95pt,208.9pt" to="825.95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" strokecolor="#a5a5a5 [2092]" strokeweight="1.5pt">
                <v:stroke joinstyle="miter"/>
              </v:line>
            </w:pict>
          </mc:Fallback>
        </mc:AlternateContent>
      </w:r>
      <w:r w:rsidR="006F75C8" w:rsidRPr="000F0299">
        <w:rPr>
          <w:noProof/>
          <w:lang w:val="en-US" w:eastAsia="en-US" w:bidi="ar-SA"/>
        </w:rPr>
        <mc:AlternateContent>
          <mc:Choice Requires="wps">
            <w:drawing>
              <wp:anchor distT="0" distB="0" distL="114300" distR="114300" simplePos="0" relativeHeight="251387392" behindDoc="0" locked="0" layoutInCell="1" allowOverlap="1" wp14:anchorId="3EC9CAD2" wp14:editId="7000D7E5">
                <wp:simplePos x="0" y="0"/>
                <wp:positionH relativeFrom="column">
                  <wp:posOffset>5492750</wp:posOffset>
                </wp:positionH>
                <wp:positionV relativeFrom="paragraph">
                  <wp:posOffset>2827020</wp:posOffset>
                </wp:positionV>
                <wp:extent cx="1475105" cy="2084705"/>
                <wp:effectExtent l="19050" t="19050" r="10795" b="10795"/>
                <wp:wrapNone/>
                <wp:docPr id="782" name="Text Box 782"/>
                <wp:cNvGraphicFramePr/>
                <a:graphic xmlns:a="http://schemas.openxmlformats.org/drawingml/2006/main">
                  <a:graphicData uri="http://schemas.microsoft.com/office/word/2010/wordprocessingShape">
                    <wps:wsp>
                      <wps:cNvSpPr txBox="1"/>
                      <wps:spPr>
                        <a:xfrm>
                          <a:off x="0" y="0"/>
                          <a:ext cx="1475105" cy="2084705"/>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1BDAD6DB" w14:textId="0602F868"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Плате државних службеника и службеника у АП и ЈЛС нису конкурентне платама у приватном сектору, јавним предузећима и јавним агенцијама</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C9CAD2" id="Text Box 782" o:spid="_x0000_s1119" style="position:absolute;left:0;text-align:left;margin-left:432.5pt;margin-top:222.6pt;width:116.15pt;height:164.1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" fillcolor="window" strokecolor="#bfbfbf [2412]" strokeweight="2.25pt">
                <v:stroke joinstyle="miter"/>
                <v:textbox inset="2mm,0,2mm,0">
                  <w:txbxContent>
                    <w:p w14:paraId="1BDAD6DB" w14:textId="0602F868"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Плате </w:t>
                      </w:r>
                      <w:r w:rsidRPr="00FC6850">
                        <w:rPr>
                          <w:rFonts w:asciiTheme="minorHAnsi" w:hAnsiTheme="minorHAnsi" w:cstheme="minorHAnsi"/>
                          <w:sz w:val="22"/>
                          <w:szCs w:val="22"/>
                        </w:rPr>
                        <w:t>државних службеника и службеника у АП и ЈЛС нису конкурентне платама у приватном сектору, јавним предузећима и јавним агенцијама</w:t>
                      </w:r>
                    </w:p>
                  </w:txbxContent>
                </v:textbox>
              </v:roundrect>
            </w:pict>
          </mc:Fallback>
        </mc:AlternateContent>
      </w:r>
      <w:r w:rsidR="006F75C8" w:rsidRPr="000F0299">
        <w:rPr>
          <w:noProof/>
          <w:lang w:val="en-US" w:eastAsia="en-US" w:bidi="ar-SA"/>
        </w:rPr>
        <mc:AlternateContent>
          <mc:Choice Requires="wps">
            <w:drawing>
              <wp:anchor distT="0" distB="0" distL="114300" distR="114300" simplePos="0" relativeHeight="251385344" behindDoc="0" locked="0" layoutInCell="1" allowOverlap="1" wp14:anchorId="451892BE" wp14:editId="6B676AAB">
                <wp:simplePos x="0" y="0"/>
                <wp:positionH relativeFrom="column">
                  <wp:posOffset>8388350</wp:posOffset>
                </wp:positionH>
                <wp:positionV relativeFrom="paragraph">
                  <wp:posOffset>2827020</wp:posOffset>
                </wp:positionV>
                <wp:extent cx="1289050" cy="2084705"/>
                <wp:effectExtent l="19050" t="19050" r="25400" b="10795"/>
                <wp:wrapNone/>
                <wp:docPr id="774" name="Text Box 774"/>
                <wp:cNvGraphicFramePr/>
                <a:graphic xmlns:a="http://schemas.openxmlformats.org/drawingml/2006/main">
                  <a:graphicData uri="http://schemas.microsoft.com/office/word/2010/wordprocessingShape">
                    <wps:wsp>
                      <wps:cNvSpPr txBox="1"/>
                      <wps:spPr>
                        <a:xfrm>
                          <a:off x="0" y="0"/>
                          <a:ext cx="1289050" cy="2084705"/>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359F31CD" w14:textId="75764DE7"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Не постоји системски приступ развоју </w:t>
                            </w:r>
                            <w:r w:rsidRPr="00FC6850">
                              <w:rPr>
                                <w:rFonts w:asciiTheme="minorHAnsi" w:hAnsiTheme="minorHAnsi" w:cstheme="minorHAnsi"/>
                                <w:spacing w:val="-4"/>
                                <w:sz w:val="22"/>
                                <w:szCs w:val="22"/>
                              </w:rPr>
                              <w:t>руководилаца</w:t>
                            </w:r>
                            <w:r w:rsidRPr="00FC6850">
                              <w:rPr>
                                <w:rFonts w:asciiTheme="minorHAnsi" w:hAnsiTheme="minorHAnsi" w:cstheme="minorHAnsi"/>
                                <w:sz w:val="22"/>
                                <w:szCs w:val="22"/>
                              </w:rPr>
                              <w:t xml:space="preserve"> у јавној управи</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1892BE" id="Text Box 774" o:spid="_x0000_s1120" style="position:absolute;left:0;text-align:left;margin-left:660.5pt;margin-top:222.6pt;width:101.5pt;height:164.15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" fillcolor="window" strokecolor="#bfbfbf [2412]" strokeweight="2.25pt">
                <v:stroke joinstyle="miter"/>
                <v:textbox inset="2mm,0,2mm,0">
                  <w:txbxContent>
                    <w:p w14:paraId="359F31CD" w14:textId="75764DE7"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Не </w:t>
                      </w:r>
                      <w:r w:rsidRPr="00FC6850">
                        <w:rPr>
                          <w:rFonts w:asciiTheme="minorHAnsi" w:hAnsiTheme="minorHAnsi" w:cstheme="minorHAnsi"/>
                          <w:sz w:val="22"/>
                          <w:szCs w:val="22"/>
                        </w:rPr>
                        <w:t xml:space="preserve">постоји системски приступ развоју </w:t>
                      </w:r>
                      <w:r w:rsidRPr="00FC6850">
                        <w:rPr>
                          <w:rFonts w:asciiTheme="minorHAnsi" w:hAnsiTheme="minorHAnsi" w:cstheme="minorHAnsi"/>
                          <w:spacing w:val="-4"/>
                          <w:sz w:val="22"/>
                          <w:szCs w:val="22"/>
                        </w:rPr>
                        <w:t>руководилаца</w:t>
                      </w:r>
                      <w:r w:rsidRPr="00FC6850">
                        <w:rPr>
                          <w:rFonts w:asciiTheme="minorHAnsi" w:hAnsiTheme="minorHAnsi" w:cstheme="minorHAnsi"/>
                          <w:sz w:val="22"/>
                          <w:szCs w:val="22"/>
                        </w:rPr>
                        <w:t xml:space="preserve"> у јавној управи</w:t>
                      </w:r>
                    </w:p>
                  </w:txbxContent>
                </v:textbox>
              </v:roundrect>
            </w:pict>
          </mc:Fallback>
        </mc:AlternateContent>
      </w:r>
      <w:r w:rsidR="006F75C8" w:rsidRPr="000F0299">
        <w:rPr>
          <w:noProof/>
          <w:lang w:val="en-US" w:eastAsia="en-US" w:bidi="ar-SA"/>
        </w:rPr>
        <mc:AlternateContent>
          <mc:Choice Requires="wps">
            <w:drawing>
              <wp:anchor distT="0" distB="0" distL="114300" distR="114300" simplePos="0" relativeHeight="251386368" behindDoc="0" locked="0" layoutInCell="1" allowOverlap="1" wp14:anchorId="278D5375" wp14:editId="79741356">
                <wp:simplePos x="0" y="0"/>
                <wp:positionH relativeFrom="column">
                  <wp:posOffset>7038975</wp:posOffset>
                </wp:positionH>
                <wp:positionV relativeFrom="paragraph">
                  <wp:posOffset>2827020</wp:posOffset>
                </wp:positionV>
                <wp:extent cx="1289050" cy="2084705"/>
                <wp:effectExtent l="19050" t="19050" r="25400" b="10795"/>
                <wp:wrapNone/>
                <wp:docPr id="773" name="Text Box 773"/>
                <wp:cNvGraphicFramePr/>
                <a:graphic xmlns:a="http://schemas.openxmlformats.org/drawingml/2006/main">
                  <a:graphicData uri="http://schemas.microsoft.com/office/word/2010/wordprocessingShape">
                    <wps:wsp>
                      <wps:cNvSpPr txBox="1"/>
                      <wps:spPr>
                        <a:xfrm>
                          <a:off x="0" y="0"/>
                          <a:ext cx="1289050" cy="2084705"/>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77E50B65" w14:textId="4BC23BA0"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Напредовање и награђивање службеника у АП и ЈЛС није могуће због прописа у ОДУ, АП и  ЈЛС</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8D5375" id="Text Box 773" o:spid="_x0000_s1121" style="position:absolute;left:0;text-align:left;margin-left:554.25pt;margin-top:222.6pt;width:101.5pt;height:164.15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" fillcolor="window" strokecolor="#bfbfbf [2412]" strokeweight="2.25pt">
                <v:stroke joinstyle="miter"/>
                <v:textbox inset="2mm,0,2mm,0">
                  <w:txbxContent>
                    <w:p w14:paraId="77E50B65" w14:textId="4BC23BA0"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Напредовање </w:t>
                      </w:r>
                      <w:r w:rsidRPr="00FC6850">
                        <w:rPr>
                          <w:rFonts w:asciiTheme="minorHAnsi" w:hAnsiTheme="minorHAnsi" w:cstheme="minorHAnsi"/>
                          <w:sz w:val="22"/>
                          <w:szCs w:val="22"/>
                        </w:rPr>
                        <w:t>и награђивање службеника у АП и ЈЛС није могуће због прописа у ОДУ, АП и  ЈЛС</w:t>
                      </w:r>
                    </w:p>
                  </w:txbxContent>
                </v:textbox>
              </v:roundrect>
            </w:pict>
          </mc:Fallback>
        </mc:AlternateContent>
      </w:r>
      <w:r w:rsidR="006F75C8" w:rsidRPr="000F0299">
        <w:rPr>
          <w:noProof/>
          <w:lang w:val="en-US" w:eastAsia="en-US" w:bidi="ar-SA"/>
        </w:rPr>
        <mc:AlternateContent>
          <mc:Choice Requires="wps">
            <w:drawing>
              <wp:anchor distT="0" distB="0" distL="114300" distR="114300" simplePos="0" relativeHeight="251408896" behindDoc="0" locked="0" layoutInCell="1" allowOverlap="1" wp14:anchorId="79328663" wp14:editId="7516B5C3">
                <wp:simplePos x="0" y="0"/>
                <wp:positionH relativeFrom="column">
                  <wp:posOffset>9041765</wp:posOffset>
                </wp:positionH>
                <wp:positionV relativeFrom="paragraph">
                  <wp:posOffset>2653030</wp:posOffset>
                </wp:positionV>
                <wp:extent cx="0" cy="170180"/>
                <wp:effectExtent l="0" t="0" r="38100" b="20320"/>
                <wp:wrapNone/>
                <wp:docPr id="756" name="Straight Connector 756"/>
                <wp:cNvGraphicFramePr/>
                <a:graphic xmlns:a="http://schemas.openxmlformats.org/drawingml/2006/main">
                  <a:graphicData uri="http://schemas.microsoft.com/office/word/2010/wordprocessingShape">
                    <wps:wsp>
                      <wps:cNvCnPr/>
                      <wps:spPr>
                        <a:xfrm>
                          <a:off x="0" y="0"/>
                          <a:ext cx="0" cy="170180"/>
                        </a:xfrm>
                        <a:prstGeom prst="line">
                          <a:avLst/>
                        </a:prstGeom>
                        <a:noFill/>
                        <a:ln w="19050" cap="flat" cmpd="sng" algn="ctr">
                          <a:solidFill>
                            <a:schemeClr val="bg1">
                              <a:lumMod val="65000"/>
                            </a:schemeClr>
                          </a:solidFill>
                          <a:prstDash val="solid"/>
                          <a:miter lim="800000"/>
                          <a:tailEnd type="non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F703ED" id="Straight Connector 756" o:spid="_x0000_s1026" style="position:absolute;z-index:251408896;visibility:visible;mso-wrap-style:square;mso-wrap-distance-left:9pt;mso-wrap-distance-top:0;mso-wrap-distance-right:9pt;mso-wrap-distance-bottom:0;mso-position-horizontal:absolute;mso-position-horizontal-relative:text;mso-position-vertical:absolute;mso-position-vertical-relative:text" from="711.95pt,208.9pt" to="711.95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" strokecolor="#a5a5a5 [2092]" strokeweight="1.5pt">
                <v:stroke joinstyle="miter"/>
              </v:line>
            </w:pict>
          </mc:Fallback>
        </mc:AlternateContent>
      </w:r>
      <w:r w:rsidR="006F75C8" w:rsidRPr="000F0299">
        <w:rPr>
          <w:noProof/>
          <w:lang w:val="en-US" w:eastAsia="en-US" w:bidi="ar-SA"/>
        </w:rPr>
        <mc:AlternateContent>
          <mc:Choice Requires="wps">
            <w:drawing>
              <wp:anchor distT="0" distB="0" distL="114300" distR="114300" simplePos="0" relativeHeight="251407872" behindDoc="0" locked="0" layoutInCell="1" allowOverlap="1" wp14:anchorId="750331ED" wp14:editId="0347ECDC">
                <wp:simplePos x="0" y="0"/>
                <wp:positionH relativeFrom="column">
                  <wp:posOffset>7680960</wp:posOffset>
                </wp:positionH>
                <wp:positionV relativeFrom="paragraph">
                  <wp:posOffset>2653030</wp:posOffset>
                </wp:positionV>
                <wp:extent cx="0" cy="170180"/>
                <wp:effectExtent l="0" t="0" r="38100" b="20320"/>
                <wp:wrapNone/>
                <wp:docPr id="755" name="Straight Connector 755"/>
                <wp:cNvGraphicFramePr/>
                <a:graphic xmlns:a="http://schemas.openxmlformats.org/drawingml/2006/main">
                  <a:graphicData uri="http://schemas.microsoft.com/office/word/2010/wordprocessingShape">
                    <wps:wsp>
                      <wps:cNvCnPr/>
                      <wps:spPr>
                        <a:xfrm>
                          <a:off x="0" y="0"/>
                          <a:ext cx="0" cy="170180"/>
                        </a:xfrm>
                        <a:prstGeom prst="line">
                          <a:avLst/>
                        </a:prstGeom>
                        <a:noFill/>
                        <a:ln w="19050" cap="flat" cmpd="sng" algn="ctr">
                          <a:solidFill>
                            <a:schemeClr val="bg1">
                              <a:lumMod val="65000"/>
                            </a:schemeClr>
                          </a:solidFill>
                          <a:prstDash val="solid"/>
                          <a:miter lim="800000"/>
                          <a:tailEnd type="non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6CCD2B" id="Straight Connector 755" o:spid="_x0000_s1026" style="position:absolute;z-index:251407872;visibility:visible;mso-wrap-style:square;mso-wrap-distance-left:9pt;mso-wrap-distance-top:0;mso-wrap-distance-right:9pt;mso-wrap-distance-bottom:0;mso-position-horizontal:absolute;mso-position-horizontal-relative:text;mso-position-vertical:absolute;mso-position-vertical-relative:text" from="604.8pt,208.9pt" to="604.8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" strokecolor="#a5a5a5 [2092]" strokeweight="1.5pt">
                <v:stroke joinstyle="miter"/>
              </v:line>
            </w:pict>
          </mc:Fallback>
        </mc:AlternateContent>
      </w:r>
      <w:r w:rsidR="006F75C8" w:rsidRPr="000F0299">
        <w:rPr>
          <w:noProof/>
          <w:lang w:val="en-US" w:eastAsia="en-US" w:bidi="ar-SA"/>
        </w:rPr>
        <mc:AlternateContent>
          <mc:Choice Requires="wps">
            <w:drawing>
              <wp:anchor distT="0" distB="0" distL="114300" distR="114300" simplePos="0" relativeHeight="251406848" behindDoc="0" locked="0" layoutInCell="1" allowOverlap="1" wp14:anchorId="4172F83B" wp14:editId="79566080">
                <wp:simplePos x="0" y="0"/>
                <wp:positionH relativeFrom="column">
                  <wp:posOffset>6233160</wp:posOffset>
                </wp:positionH>
                <wp:positionV relativeFrom="paragraph">
                  <wp:posOffset>2653030</wp:posOffset>
                </wp:positionV>
                <wp:extent cx="0" cy="170180"/>
                <wp:effectExtent l="0" t="0" r="38100" b="20320"/>
                <wp:wrapNone/>
                <wp:docPr id="754" name="Straight Connector 754"/>
                <wp:cNvGraphicFramePr/>
                <a:graphic xmlns:a="http://schemas.openxmlformats.org/drawingml/2006/main">
                  <a:graphicData uri="http://schemas.microsoft.com/office/word/2010/wordprocessingShape">
                    <wps:wsp>
                      <wps:cNvCnPr/>
                      <wps:spPr>
                        <a:xfrm>
                          <a:off x="0" y="0"/>
                          <a:ext cx="0" cy="170180"/>
                        </a:xfrm>
                        <a:prstGeom prst="line">
                          <a:avLst/>
                        </a:prstGeom>
                        <a:noFill/>
                        <a:ln w="19050" cap="flat" cmpd="sng" algn="ctr">
                          <a:solidFill>
                            <a:schemeClr val="bg1">
                              <a:lumMod val="65000"/>
                            </a:schemeClr>
                          </a:solidFill>
                          <a:prstDash val="solid"/>
                          <a:miter lim="800000"/>
                          <a:tailEnd type="non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132D44" id="Straight Connector 754" o:spid="_x0000_s1026" style="position:absolute;z-index:251406848;visibility:visible;mso-wrap-style:square;mso-wrap-distance-left:9pt;mso-wrap-distance-top:0;mso-wrap-distance-right:9pt;mso-wrap-distance-bottom:0;mso-position-horizontal:absolute;mso-position-horizontal-relative:text;mso-position-vertical:absolute;mso-position-vertical-relative:text" from="490.8pt,208.9pt" to="490.8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" strokecolor="#a5a5a5 [2092]" strokeweight="1.5pt">
                <v:stroke joinstyle="miter"/>
              </v:line>
            </w:pict>
          </mc:Fallback>
        </mc:AlternateContent>
      </w:r>
      <w:r w:rsidR="006F75C8" w:rsidRPr="000F0299">
        <w:rPr>
          <w:noProof/>
          <w:lang w:val="en-US" w:eastAsia="en-US" w:bidi="ar-SA"/>
        </w:rPr>
        <mc:AlternateContent>
          <mc:Choice Requires="wps">
            <w:drawing>
              <wp:anchor distT="0" distB="0" distL="114300" distR="114300" simplePos="0" relativeHeight="251410944" behindDoc="0" locked="0" layoutInCell="1" allowOverlap="1" wp14:anchorId="5E75C43D" wp14:editId="01C111A2">
                <wp:simplePos x="0" y="0"/>
                <wp:positionH relativeFrom="column">
                  <wp:posOffset>8421370</wp:posOffset>
                </wp:positionH>
                <wp:positionV relativeFrom="paragraph">
                  <wp:posOffset>2440305</wp:posOffset>
                </wp:positionV>
                <wp:extent cx="0" cy="219075"/>
                <wp:effectExtent l="76200" t="38100" r="57150" b="9525"/>
                <wp:wrapNone/>
                <wp:docPr id="788" name="Straight Arrow Connector 788"/>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736929" id="Straight Arrow Connector 788" o:spid="_x0000_s1026" type="#_x0000_t32" style="position:absolute;margin-left:663.1pt;margin-top:192.15pt;width:0;height:17.25pt;flip:y;z-index:25141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" strokecolor="#a5a5a5 [2092]" strokeweight="1.5pt">
                <v:stroke endarrow="block" joinstyle="miter"/>
              </v:shape>
            </w:pict>
          </mc:Fallback>
        </mc:AlternateContent>
      </w:r>
      <w:r w:rsidR="006F75C8" w:rsidRPr="000F0299">
        <w:rPr>
          <w:noProof/>
          <w:lang w:val="en-US" w:eastAsia="en-US" w:bidi="ar-SA"/>
        </w:rPr>
        <mc:AlternateContent>
          <mc:Choice Requires="wps">
            <w:drawing>
              <wp:anchor distT="0" distB="0" distL="114300" distR="114300" simplePos="0" relativeHeight="251405824" behindDoc="0" locked="0" layoutInCell="1" allowOverlap="1" wp14:anchorId="15E623C1" wp14:editId="66CE1318">
                <wp:simplePos x="0" y="0"/>
                <wp:positionH relativeFrom="column">
                  <wp:posOffset>6233160</wp:posOffset>
                </wp:positionH>
                <wp:positionV relativeFrom="paragraph">
                  <wp:posOffset>2653030</wp:posOffset>
                </wp:positionV>
                <wp:extent cx="4262120" cy="0"/>
                <wp:effectExtent l="0" t="0" r="0" b="0"/>
                <wp:wrapNone/>
                <wp:docPr id="767" name="Straight Connector 767"/>
                <wp:cNvGraphicFramePr/>
                <a:graphic xmlns:a="http://schemas.openxmlformats.org/drawingml/2006/main">
                  <a:graphicData uri="http://schemas.microsoft.com/office/word/2010/wordprocessingShape">
                    <wps:wsp>
                      <wps:cNvCnPr/>
                      <wps:spPr>
                        <a:xfrm>
                          <a:off x="0" y="0"/>
                          <a:ext cx="4262120" cy="0"/>
                        </a:xfrm>
                        <a:prstGeom prst="line">
                          <a:avLst/>
                        </a:prstGeom>
                        <a:noFill/>
                        <a:ln w="19050" cap="flat" cmpd="sng" algn="ctr">
                          <a:solidFill>
                            <a:schemeClr val="bg1">
                              <a:lumMod val="65000"/>
                            </a:schemeClr>
                          </a:solidFill>
                          <a:prstDash val="solid"/>
                          <a:miter lim="800000"/>
                          <a:tailEnd type="non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89F54F" id="Straight Connector 767" o:spid="_x0000_s1026" style="position:absolute;z-index:25140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0.8pt,208.9pt" to="826.4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" strokecolor="#a5a5a5 [2092]" strokeweight="1.5pt">
                <v:stroke joinstyle="miter"/>
              </v:line>
            </w:pict>
          </mc:Fallback>
        </mc:AlternateContent>
      </w:r>
      <w:r w:rsidR="006F75C8" w:rsidRPr="000F0299">
        <w:rPr>
          <w:noProof/>
          <w:lang w:val="en-US" w:eastAsia="en-US" w:bidi="ar-SA"/>
        </w:rPr>
        <mc:AlternateContent>
          <mc:Choice Requires="wps">
            <w:drawing>
              <wp:anchor distT="0" distB="0" distL="114300" distR="114300" simplePos="0" relativeHeight="251377152" behindDoc="0" locked="0" layoutInCell="1" allowOverlap="1" wp14:anchorId="23FCD6D5" wp14:editId="0ABF761D">
                <wp:simplePos x="0" y="0"/>
                <wp:positionH relativeFrom="column">
                  <wp:posOffset>2063750</wp:posOffset>
                </wp:positionH>
                <wp:positionV relativeFrom="paragraph">
                  <wp:posOffset>2805430</wp:posOffset>
                </wp:positionV>
                <wp:extent cx="1234440" cy="1709420"/>
                <wp:effectExtent l="19050" t="19050" r="22860" b="24130"/>
                <wp:wrapNone/>
                <wp:docPr id="768" name="Text Box 768"/>
                <wp:cNvGraphicFramePr/>
                <a:graphic xmlns:a="http://schemas.openxmlformats.org/drawingml/2006/main">
                  <a:graphicData uri="http://schemas.microsoft.com/office/word/2010/wordprocessingShape">
                    <wps:wsp>
                      <wps:cNvSpPr txBox="1"/>
                      <wps:spPr>
                        <a:xfrm>
                          <a:off x="0" y="0"/>
                          <a:ext cx="1234440" cy="170942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3D790C81" w14:textId="026C1BC8"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Не постоји </w:t>
                            </w:r>
                            <w:r w:rsidRPr="00FC6850">
                              <w:rPr>
                                <w:rFonts w:asciiTheme="minorHAnsi" w:hAnsiTheme="minorHAnsi" w:cstheme="minorHAnsi"/>
                                <w:spacing w:val="-16"/>
                                <w:sz w:val="22"/>
                                <w:szCs w:val="22"/>
                              </w:rPr>
                              <w:t>информациони</w:t>
                            </w:r>
                            <w:r w:rsidRPr="00FC6850">
                              <w:rPr>
                                <w:rFonts w:asciiTheme="minorHAnsi" w:hAnsiTheme="minorHAnsi" w:cstheme="minorHAnsi"/>
                                <w:sz w:val="22"/>
                                <w:szCs w:val="22"/>
                              </w:rPr>
                              <w:t xml:space="preserve"> систем за УЉР у јавној управи</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FCD6D5" id="Text Box 768" o:spid="_x0000_s1122" style="position:absolute;left:0;text-align:left;margin-left:162.5pt;margin-top:220.9pt;width:97.2pt;height:134.6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" fillcolor="window" strokecolor="#bfbfbf [2412]" strokeweight="2.25pt">
                <v:stroke joinstyle="miter"/>
                <v:textbox inset="2mm,0,2mm,0">
                  <w:txbxContent>
                    <w:p w14:paraId="3D790C81" w14:textId="026C1BC8"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Не </w:t>
                      </w:r>
                      <w:r w:rsidRPr="00FC6850">
                        <w:rPr>
                          <w:rFonts w:asciiTheme="minorHAnsi" w:hAnsiTheme="minorHAnsi" w:cstheme="minorHAnsi"/>
                          <w:sz w:val="22"/>
                          <w:szCs w:val="22"/>
                        </w:rPr>
                        <w:t xml:space="preserve">постоји </w:t>
                      </w:r>
                      <w:r w:rsidRPr="00FC6850">
                        <w:rPr>
                          <w:rFonts w:asciiTheme="minorHAnsi" w:hAnsiTheme="minorHAnsi" w:cstheme="minorHAnsi"/>
                          <w:spacing w:val="-16"/>
                          <w:sz w:val="22"/>
                          <w:szCs w:val="22"/>
                        </w:rPr>
                        <w:t>информациони</w:t>
                      </w:r>
                      <w:r w:rsidRPr="00FC6850">
                        <w:rPr>
                          <w:rFonts w:asciiTheme="minorHAnsi" w:hAnsiTheme="minorHAnsi" w:cstheme="minorHAnsi"/>
                          <w:sz w:val="22"/>
                          <w:szCs w:val="22"/>
                        </w:rPr>
                        <w:t xml:space="preserve"> систем за УЉР у јавној управи</w:t>
                      </w:r>
                    </w:p>
                  </w:txbxContent>
                </v:textbox>
              </v:roundrect>
            </w:pict>
          </mc:Fallback>
        </mc:AlternateContent>
      </w:r>
      <w:r w:rsidR="006F75C8" w:rsidRPr="000F0299">
        <w:rPr>
          <w:noProof/>
          <w:lang w:val="en-US" w:eastAsia="en-US" w:bidi="ar-SA"/>
        </w:rPr>
        <mc:AlternateContent>
          <mc:Choice Requires="wps">
            <w:drawing>
              <wp:anchor distT="0" distB="0" distL="114300" distR="114300" simplePos="0" relativeHeight="251378176" behindDoc="0" locked="0" layoutInCell="1" allowOverlap="1" wp14:anchorId="1E624865" wp14:editId="6E22DA59">
                <wp:simplePos x="0" y="0"/>
                <wp:positionH relativeFrom="column">
                  <wp:posOffset>768350</wp:posOffset>
                </wp:positionH>
                <wp:positionV relativeFrom="paragraph">
                  <wp:posOffset>2805430</wp:posOffset>
                </wp:positionV>
                <wp:extent cx="1234440" cy="1709420"/>
                <wp:effectExtent l="19050" t="19050" r="22860" b="24130"/>
                <wp:wrapNone/>
                <wp:docPr id="770" name="Text Box 770"/>
                <wp:cNvGraphicFramePr/>
                <a:graphic xmlns:a="http://schemas.openxmlformats.org/drawingml/2006/main">
                  <a:graphicData uri="http://schemas.microsoft.com/office/word/2010/wordprocessingShape">
                    <wps:wsp>
                      <wps:cNvSpPr txBox="1"/>
                      <wps:spPr>
                        <a:xfrm>
                          <a:off x="0" y="0"/>
                          <a:ext cx="1234440" cy="1709420"/>
                        </a:xfrm>
                        <a:prstGeom prst="roundRect">
                          <a:avLst/>
                        </a:prstGeom>
                        <a:solidFill>
                          <a:sysClr val="window" lastClr="FFFFFF"/>
                        </a:solidFill>
                        <a:ln w="28575" cap="flat" cmpd="sng" algn="ctr">
                          <a:solidFill>
                            <a:schemeClr val="bg1">
                              <a:lumMod val="75000"/>
                            </a:schemeClr>
                          </a:solidFill>
                          <a:prstDash val="solid"/>
                          <a:miter lim="800000"/>
                        </a:ln>
                        <a:effectLst/>
                      </wps:spPr>
                      <wps:txbx>
                        <w:txbxContent>
                          <w:p w14:paraId="23600360" w14:textId="77777777"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Недостатак ваљане </w:t>
                            </w:r>
                            <w:r w:rsidRPr="00FC6850">
                              <w:rPr>
                                <w:rFonts w:asciiTheme="minorHAnsi" w:hAnsiTheme="minorHAnsi" w:cstheme="minorHAnsi"/>
                                <w:spacing w:val="-2"/>
                                <w:sz w:val="22"/>
                                <w:szCs w:val="22"/>
                              </w:rPr>
                              <w:t>организације</w:t>
                            </w:r>
                            <w:r w:rsidRPr="00FC6850">
                              <w:rPr>
                                <w:rFonts w:asciiTheme="minorHAnsi" w:hAnsiTheme="minorHAnsi" w:cstheme="minorHAnsi"/>
                                <w:sz w:val="22"/>
                                <w:szCs w:val="22"/>
                              </w:rPr>
                              <w:t xml:space="preserve"> и капацитета у области УЉР</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E624865" id="Text Box 770" o:spid="_x0000_s1123" style="position:absolute;left:0;text-align:left;margin-left:60.5pt;margin-top:220.9pt;width:97.2pt;height:134.6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" fillcolor="window" strokecolor="#bfbfbf [2412]" strokeweight="2.25pt">
                <v:stroke joinstyle="miter"/>
                <v:textbox inset="2mm,0,2mm,0">
                  <w:txbxContent>
                    <w:p w14:paraId="23600360" w14:textId="77777777" w:rsidR="00876FFE" w:rsidRPr="00FC6850" w:rsidRDefault="00876FFE" w:rsidP="00E11DAD">
                      <w:pPr>
                        <w:ind w:firstLine="0"/>
                        <w:jc w:val="center"/>
                        <w:rPr>
                          <w:rFonts w:asciiTheme="minorHAnsi" w:hAnsiTheme="minorHAnsi" w:cstheme="minorHAnsi"/>
                          <w:sz w:val="22"/>
                          <w:szCs w:val="22"/>
                        </w:rPr>
                      </w:pPr>
                      <w:r w:rsidRPr="00FC6850">
                        <w:rPr>
                          <w:rFonts w:asciiTheme="minorHAnsi" w:hAnsiTheme="minorHAnsi" w:cstheme="minorHAnsi"/>
                          <w:sz w:val="22"/>
                          <w:szCs w:val="22"/>
                        </w:rPr>
                        <w:t xml:space="preserve">Недостатак </w:t>
                      </w:r>
                      <w:r w:rsidRPr="00FC6850">
                        <w:rPr>
                          <w:rFonts w:asciiTheme="minorHAnsi" w:hAnsiTheme="minorHAnsi" w:cstheme="minorHAnsi"/>
                          <w:sz w:val="22"/>
                          <w:szCs w:val="22"/>
                        </w:rPr>
                        <w:t xml:space="preserve">ваљане </w:t>
                      </w:r>
                      <w:r w:rsidRPr="00FC6850">
                        <w:rPr>
                          <w:rFonts w:asciiTheme="minorHAnsi" w:hAnsiTheme="minorHAnsi" w:cstheme="minorHAnsi"/>
                          <w:spacing w:val="-2"/>
                          <w:sz w:val="22"/>
                          <w:szCs w:val="22"/>
                        </w:rPr>
                        <w:t>организације</w:t>
                      </w:r>
                      <w:r w:rsidRPr="00FC6850">
                        <w:rPr>
                          <w:rFonts w:asciiTheme="minorHAnsi" w:hAnsiTheme="minorHAnsi" w:cstheme="minorHAnsi"/>
                          <w:sz w:val="22"/>
                          <w:szCs w:val="22"/>
                        </w:rPr>
                        <w:t xml:space="preserve"> и капацитета у области УЉР</w:t>
                      </w:r>
                    </w:p>
                  </w:txbxContent>
                </v:textbox>
              </v:roundrect>
            </w:pict>
          </mc:Fallback>
        </mc:AlternateContent>
      </w:r>
      <w:r w:rsidR="006F75C8" w:rsidRPr="000F0299">
        <w:rPr>
          <w:noProof/>
          <w:lang w:val="en-US" w:eastAsia="en-US" w:bidi="ar-SA"/>
        </w:rPr>
        <mc:AlternateContent>
          <mc:Choice Requires="wps">
            <w:drawing>
              <wp:anchor distT="0" distB="0" distL="114300" distR="114300" simplePos="0" relativeHeight="251392512" behindDoc="0" locked="0" layoutInCell="1" allowOverlap="1" wp14:anchorId="3D347085" wp14:editId="4A1F81CA">
                <wp:simplePos x="0" y="0"/>
                <wp:positionH relativeFrom="column">
                  <wp:posOffset>60960</wp:posOffset>
                </wp:positionH>
                <wp:positionV relativeFrom="paragraph">
                  <wp:posOffset>2429510</wp:posOffset>
                </wp:positionV>
                <wp:extent cx="0" cy="377825"/>
                <wp:effectExtent l="76200" t="38100" r="57150" b="22225"/>
                <wp:wrapNone/>
                <wp:docPr id="772" name="Straight Arrow Connector 772"/>
                <wp:cNvGraphicFramePr/>
                <a:graphic xmlns:a="http://schemas.openxmlformats.org/drawingml/2006/main">
                  <a:graphicData uri="http://schemas.microsoft.com/office/word/2010/wordprocessingShape">
                    <wps:wsp>
                      <wps:cNvCnPr/>
                      <wps:spPr>
                        <a:xfrm flipV="1">
                          <a:off x="0" y="0"/>
                          <a:ext cx="0" cy="377825"/>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A7D0FE" id="Straight Arrow Connector 772" o:spid="_x0000_s1026" type="#_x0000_t32" style="position:absolute;margin-left:4.8pt;margin-top:191.3pt;width:0;height:29.75pt;flip:y;z-index:25139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" strokecolor="#a5a5a5 [2092]" strokeweight="1.5pt">
                <v:stroke endarrow="block" joinstyle="miter"/>
              </v:shape>
            </w:pict>
          </mc:Fallback>
        </mc:AlternateContent>
      </w:r>
      <w:r w:rsidR="006F75C8" w:rsidRPr="000F0299">
        <w:rPr>
          <w:noProof/>
          <w:lang w:val="en-US" w:eastAsia="en-US" w:bidi="ar-SA"/>
        </w:rPr>
        <mc:AlternateContent>
          <mc:Choice Requires="wps">
            <w:drawing>
              <wp:anchor distT="0" distB="0" distL="114300" distR="114300" simplePos="0" relativeHeight="251393536" behindDoc="0" locked="0" layoutInCell="1" allowOverlap="1" wp14:anchorId="3CC79C8A" wp14:editId="35C30D28">
                <wp:simplePos x="0" y="0"/>
                <wp:positionH relativeFrom="column">
                  <wp:posOffset>1377950</wp:posOffset>
                </wp:positionH>
                <wp:positionV relativeFrom="paragraph">
                  <wp:posOffset>2429510</wp:posOffset>
                </wp:positionV>
                <wp:extent cx="0" cy="377825"/>
                <wp:effectExtent l="76200" t="38100" r="57150" b="22225"/>
                <wp:wrapNone/>
                <wp:docPr id="784" name="Straight Arrow Connector 784"/>
                <wp:cNvGraphicFramePr/>
                <a:graphic xmlns:a="http://schemas.openxmlformats.org/drawingml/2006/main">
                  <a:graphicData uri="http://schemas.microsoft.com/office/word/2010/wordprocessingShape">
                    <wps:wsp>
                      <wps:cNvCnPr/>
                      <wps:spPr>
                        <a:xfrm flipV="1">
                          <a:off x="0" y="0"/>
                          <a:ext cx="0" cy="377825"/>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A47F56" id="Straight Arrow Connector 784" o:spid="_x0000_s1026" type="#_x0000_t32" style="position:absolute;margin-left:108.5pt;margin-top:191.3pt;width:0;height:29.75pt;flip:y;z-index:25139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" strokecolor="#a5a5a5 [2092]" strokeweight="1.5pt">
                <v:stroke endarrow="block" joinstyle="miter"/>
              </v:shape>
            </w:pict>
          </mc:Fallback>
        </mc:AlternateContent>
      </w:r>
      <w:r w:rsidR="006F75C8" w:rsidRPr="000F0299">
        <w:rPr>
          <w:noProof/>
          <w:lang w:val="en-US" w:eastAsia="en-US" w:bidi="ar-SA"/>
        </w:rPr>
        <mc:AlternateContent>
          <mc:Choice Requires="wps">
            <w:drawing>
              <wp:anchor distT="0" distB="0" distL="114300" distR="114300" simplePos="0" relativeHeight="251394560" behindDoc="0" locked="0" layoutInCell="1" allowOverlap="1" wp14:anchorId="6C77BBCE" wp14:editId="16DC8B27">
                <wp:simplePos x="0" y="0"/>
                <wp:positionH relativeFrom="column">
                  <wp:posOffset>2543175</wp:posOffset>
                </wp:positionH>
                <wp:positionV relativeFrom="paragraph">
                  <wp:posOffset>2429510</wp:posOffset>
                </wp:positionV>
                <wp:extent cx="0" cy="377825"/>
                <wp:effectExtent l="76200" t="38100" r="57150" b="22225"/>
                <wp:wrapNone/>
                <wp:docPr id="785" name="Straight Arrow Connector 785"/>
                <wp:cNvGraphicFramePr/>
                <a:graphic xmlns:a="http://schemas.openxmlformats.org/drawingml/2006/main">
                  <a:graphicData uri="http://schemas.microsoft.com/office/word/2010/wordprocessingShape">
                    <wps:wsp>
                      <wps:cNvCnPr/>
                      <wps:spPr>
                        <a:xfrm flipV="1">
                          <a:off x="0" y="0"/>
                          <a:ext cx="0" cy="377825"/>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2F7DCA" id="Straight Arrow Connector 785" o:spid="_x0000_s1026" type="#_x0000_t32" style="position:absolute;margin-left:200.25pt;margin-top:191.3pt;width:0;height:29.75pt;flip:y;z-index:25139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" strokecolor="#a5a5a5 [2092]" strokeweight="1.5pt">
                <v:stroke endarrow="block" joinstyle="miter"/>
              </v:shape>
            </w:pict>
          </mc:Fallback>
        </mc:AlternateContent>
      </w:r>
      <w:r w:rsidR="006F75C8" w:rsidRPr="000F0299">
        <w:rPr>
          <w:noProof/>
          <w:lang w:val="en-US" w:eastAsia="en-US" w:bidi="ar-SA"/>
        </w:rPr>
        <mc:AlternateContent>
          <mc:Choice Requires="wps">
            <w:drawing>
              <wp:anchor distT="0" distB="0" distL="114300" distR="114300" simplePos="0" relativeHeight="251362816" behindDoc="0" locked="0" layoutInCell="1" allowOverlap="1" wp14:anchorId="5064BAA5" wp14:editId="25D325EB">
                <wp:simplePos x="0" y="0"/>
                <wp:positionH relativeFrom="column">
                  <wp:posOffset>-474980</wp:posOffset>
                </wp:positionH>
                <wp:positionV relativeFrom="paragraph">
                  <wp:posOffset>1365885</wp:posOffset>
                </wp:positionV>
                <wp:extent cx="3355340" cy="1048385"/>
                <wp:effectExtent l="19050" t="19050" r="16510" b="18415"/>
                <wp:wrapNone/>
                <wp:docPr id="421" name="Text Box 421"/>
                <wp:cNvGraphicFramePr/>
                <a:graphic xmlns:a="http://schemas.openxmlformats.org/drawingml/2006/main">
                  <a:graphicData uri="http://schemas.microsoft.com/office/word/2010/wordprocessingShape">
                    <wps:wsp>
                      <wps:cNvSpPr txBox="1"/>
                      <wps:spPr>
                        <a:xfrm>
                          <a:off x="0" y="0"/>
                          <a:ext cx="3355340" cy="1048385"/>
                        </a:xfrm>
                        <a:prstGeom prst="roundRect">
                          <a:avLst/>
                        </a:prstGeom>
                        <a:solidFill>
                          <a:sysClr val="window" lastClr="FFFFFF"/>
                        </a:solidFill>
                        <a:ln w="31750" cmpd="dbl">
                          <a:solidFill>
                            <a:schemeClr val="bg1">
                              <a:lumMod val="65000"/>
                            </a:schemeClr>
                          </a:solidFill>
                        </a:ln>
                        <a:effectLst/>
                      </wps:spPr>
                      <wps:txbx>
                        <w:txbxContent>
                          <w:p w14:paraId="3DA29197" w14:textId="77777777" w:rsidR="00876FFE" w:rsidRPr="00550A51" w:rsidRDefault="00876FFE" w:rsidP="00E11DAD">
                            <w:pPr>
                              <w:ind w:firstLine="0"/>
                              <w:jc w:val="center"/>
                              <w:rPr>
                                <w:rFonts w:asciiTheme="minorHAnsi" w:hAnsiTheme="minorHAnsi" w:cstheme="minorHAnsi"/>
                              </w:rPr>
                            </w:pPr>
                            <w:r w:rsidRPr="00550A51">
                              <w:rPr>
                                <w:rFonts w:asciiTheme="minorHAnsi" w:hAnsiTheme="minorHAnsi" w:cstheme="minorHAnsi"/>
                              </w:rPr>
                              <w:t xml:space="preserve">Не постоји </w:t>
                            </w:r>
                            <w:r w:rsidRPr="00251E0D">
                              <w:rPr>
                                <w:rFonts w:asciiTheme="minorHAnsi" w:hAnsiTheme="minorHAnsi" w:cstheme="minorHAnsi"/>
                                <w:b/>
                              </w:rPr>
                              <w:t>плански приступ ни програм развоја јединица за УЉР</w:t>
                            </w:r>
                            <w:r w:rsidRPr="00550A51">
                              <w:rPr>
                                <w:rFonts w:asciiTheme="minorHAnsi" w:hAnsiTheme="minorHAnsi" w:cstheme="minorHAnsi"/>
                              </w:rPr>
                              <w:t xml:space="preserve"> и њихових </w:t>
                            </w:r>
                            <w:r w:rsidRPr="00251E0D">
                              <w:rPr>
                                <w:rFonts w:asciiTheme="minorHAnsi" w:hAnsiTheme="minorHAnsi" w:cstheme="minorHAnsi"/>
                                <w:b/>
                              </w:rPr>
                              <w:t>капацитета</w:t>
                            </w:r>
                            <w:r w:rsidRPr="00550A51">
                              <w:rPr>
                                <w:rFonts w:asciiTheme="minorHAnsi" w:hAnsiTheme="minorHAnsi" w:cstheme="minorHAnsi"/>
                              </w:rPr>
                              <w:t xml:space="preserve"> да се баве стратешким пословима УЉР (место и улога јединица у систему и руководилаца)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64BAA5" id="Text Box 421" o:spid="_x0000_s1124" style="position:absolute;left:0;text-align:left;margin-left:-37.4pt;margin-top:107.55pt;width:264.2pt;height:82.5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" fillcolor="window" strokecolor="#a5a5a5 [2092]" strokeweight="2.5pt">
                <v:stroke linestyle="thinThin"/>
                <v:textbox>
                  <w:txbxContent>
                    <w:p w14:paraId="3DA29197" w14:textId="77777777" w:rsidR="00876FFE" w:rsidRPr="00550A51" w:rsidRDefault="00876FFE" w:rsidP="00E11DAD">
                      <w:pPr>
                        <w:ind w:firstLine="0"/>
                        <w:jc w:val="center"/>
                        <w:rPr>
                          <w:rFonts w:asciiTheme="minorHAnsi" w:hAnsiTheme="minorHAnsi" w:cstheme="minorHAnsi"/>
                        </w:rPr>
                      </w:pPr>
                      <w:r w:rsidRPr="00550A51">
                        <w:rPr>
                          <w:rFonts w:asciiTheme="minorHAnsi" w:hAnsiTheme="minorHAnsi" w:cstheme="minorHAnsi"/>
                        </w:rPr>
                        <w:t xml:space="preserve">Не </w:t>
                      </w:r>
                      <w:r w:rsidRPr="00550A51">
                        <w:rPr>
                          <w:rFonts w:asciiTheme="minorHAnsi" w:hAnsiTheme="minorHAnsi" w:cstheme="minorHAnsi"/>
                        </w:rPr>
                        <w:t xml:space="preserve">постоји </w:t>
                      </w:r>
                      <w:r w:rsidRPr="00251E0D">
                        <w:rPr>
                          <w:rFonts w:asciiTheme="minorHAnsi" w:hAnsiTheme="minorHAnsi" w:cstheme="minorHAnsi"/>
                          <w:b/>
                        </w:rPr>
                        <w:t>плански приступ ни програм развоја јединица за УЉР</w:t>
                      </w:r>
                      <w:r w:rsidRPr="00550A51">
                        <w:rPr>
                          <w:rFonts w:asciiTheme="minorHAnsi" w:hAnsiTheme="minorHAnsi" w:cstheme="minorHAnsi"/>
                        </w:rPr>
                        <w:t xml:space="preserve"> и њихових </w:t>
                      </w:r>
                      <w:r w:rsidRPr="00251E0D">
                        <w:rPr>
                          <w:rFonts w:asciiTheme="minorHAnsi" w:hAnsiTheme="minorHAnsi" w:cstheme="minorHAnsi"/>
                          <w:b/>
                        </w:rPr>
                        <w:t>капацитета</w:t>
                      </w:r>
                      <w:r w:rsidRPr="00550A51">
                        <w:rPr>
                          <w:rFonts w:asciiTheme="minorHAnsi" w:hAnsiTheme="minorHAnsi" w:cstheme="minorHAnsi"/>
                        </w:rPr>
                        <w:t xml:space="preserve"> да се баве стратешким пословима УЉР (место и улога јединица у систему и руководилаца)</w:t>
                      </w:r>
                    </w:p>
                  </w:txbxContent>
                </v:textbox>
              </v:roundrect>
            </w:pict>
          </mc:Fallback>
        </mc:AlternateContent>
      </w:r>
      <w:r w:rsidR="006F75C8" w:rsidRPr="000F0299">
        <w:rPr>
          <w:noProof/>
          <w:lang w:val="en-US" w:eastAsia="en-US" w:bidi="ar-SA"/>
        </w:rPr>
        <mc:AlternateContent>
          <mc:Choice Requires="wps">
            <w:drawing>
              <wp:anchor distT="0" distB="0" distL="114300" distR="114300" simplePos="0" relativeHeight="251364864" behindDoc="0" locked="0" layoutInCell="1" allowOverlap="1" wp14:anchorId="4F24EEA7" wp14:editId="30627E8A">
                <wp:simplePos x="0" y="0"/>
                <wp:positionH relativeFrom="column">
                  <wp:posOffset>10323830</wp:posOffset>
                </wp:positionH>
                <wp:positionV relativeFrom="paragraph">
                  <wp:posOffset>1365885</wp:posOffset>
                </wp:positionV>
                <wp:extent cx="3355340" cy="1048385"/>
                <wp:effectExtent l="19050" t="19050" r="16510" b="18415"/>
                <wp:wrapNone/>
                <wp:docPr id="453" name="Text Box 453"/>
                <wp:cNvGraphicFramePr/>
                <a:graphic xmlns:a="http://schemas.openxmlformats.org/drawingml/2006/main">
                  <a:graphicData uri="http://schemas.microsoft.com/office/word/2010/wordprocessingShape">
                    <wps:wsp>
                      <wps:cNvSpPr txBox="1"/>
                      <wps:spPr>
                        <a:xfrm>
                          <a:off x="0" y="0"/>
                          <a:ext cx="3355340" cy="1048385"/>
                        </a:xfrm>
                        <a:prstGeom prst="roundRect">
                          <a:avLst/>
                        </a:prstGeom>
                        <a:solidFill>
                          <a:sysClr val="window" lastClr="FFFFFF"/>
                        </a:solidFill>
                        <a:ln w="31750" cmpd="dbl">
                          <a:solidFill>
                            <a:schemeClr val="bg1">
                              <a:lumMod val="65000"/>
                            </a:schemeClr>
                          </a:solidFill>
                        </a:ln>
                        <a:effectLst/>
                      </wps:spPr>
                      <wps:txbx>
                        <w:txbxContent>
                          <w:p w14:paraId="48D40111" w14:textId="2CE84008" w:rsidR="00876FFE" w:rsidRPr="00550A51" w:rsidRDefault="00876FFE" w:rsidP="00E11DAD">
                            <w:pPr>
                              <w:ind w:firstLine="0"/>
                              <w:jc w:val="center"/>
                              <w:rPr>
                                <w:rFonts w:asciiTheme="minorHAnsi" w:hAnsiTheme="minorHAnsi" w:cstheme="minorHAnsi"/>
                              </w:rPr>
                            </w:pPr>
                            <w:r w:rsidRPr="00550A51">
                              <w:rPr>
                                <w:rFonts w:asciiTheme="minorHAnsi" w:hAnsiTheme="minorHAnsi" w:cstheme="minorHAnsi"/>
                              </w:rPr>
                              <w:t xml:space="preserve">Неразвијен </w:t>
                            </w:r>
                            <w:r w:rsidRPr="00251E0D">
                              <w:rPr>
                                <w:rFonts w:asciiTheme="minorHAnsi" w:hAnsiTheme="minorHAnsi" w:cstheme="minorHAnsi"/>
                                <w:b/>
                              </w:rPr>
                              <w:t>функционалан и иновативан систем стручног усавршавања</w:t>
                            </w:r>
                            <w:r w:rsidRPr="00550A51">
                              <w:rPr>
                                <w:rFonts w:asciiTheme="minorHAnsi" w:hAnsiTheme="minorHAnsi" w:cstheme="minorHAnsi"/>
                              </w:rPr>
                              <w:t xml:space="preserve"> и стручних испита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F24EEA7" id="Text Box 453" o:spid="_x0000_s1125" style="position:absolute;left:0;text-align:left;margin-left:812.9pt;margin-top:107.55pt;width:264.2pt;height:82.55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" fillcolor="window" strokecolor="#a5a5a5 [2092]" strokeweight="2.5pt">
                <v:stroke linestyle="thinThin"/>
                <v:textbox>
                  <w:txbxContent>
                    <w:p w14:paraId="48D40111" w14:textId="2CE84008" w:rsidR="00876FFE" w:rsidRPr="00550A51" w:rsidRDefault="00876FFE" w:rsidP="00E11DAD">
                      <w:pPr>
                        <w:ind w:firstLine="0"/>
                        <w:jc w:val="center"/>
                        <w:rPr>
                          <w:rFonts w:asciiTheme="minorHAnsi" w:hAnsiTheme="minorHAnsi" w:cstheme="minorHAnsi"/>
                        </w:rPr>
                      </w:pPr>
                      <w:r w:rsidRPr="00550A51">
                        <w:rPr>
                          <w:rFonts w:asciiTheme="minorHAnsi" w:hAnsiTheme="minorHAnsi" w:cstheme="minorHAnsi"/>
                        </w:rPr>
                        <w:t xml:space="preserve">Неразвијен </w:t>
                      </w:r>
                      <w:r w:rsidRPr="00251E0D">
                        <w:rPr>
                          <w:rFonts w:asciiTheme="minorHAnsi" w:hAnsiTheme="minorHAnsi" w:cstheme="minorHAnsi"/>
                          <w:b/>
                        </w:rPr>
                        <w:t>функционалан и иновативан систем стручног усавршавања</w:t>
                      </w:r>
                      <w:r w:rsidRPr="00550A51">
                        <w:rPr>
                          <w:rFonts w:asciiTheme="minorHAnsi" w:hAnsiTheme="minorHAnsi" w:cstheme="minorHAnsi"/>
                        </w:rPr>
                        <w:t xml:space="preserve"> и стручних испита</w:t>
                      </w:r>
                    </w:p>
                  </w:txbxContent>
                </v:textbox>
              </v:roundrect>
            </w:pict>
          </mc:Fallback>
        </mc:AlternateContent>
      </w:r>
      <w:r w:rsidR="006F75C8" w:rsidRPr="000F0299">
        <w:rPr>
          <w:noProof/>
          <w:lang w:val="en-US" w:eastAsia="en-US" w:bidi="ar-SA"/>
        </w:rPr>
        <mc:AlternateContent>
          <mc:Choice Requires="wps">
            <w:drawing>
              <wp:anchor distT="0" distB="0" distL="114300" distR="114300" simplePos="0" relativeHeight="251373056" behindDoc="0" locked="0" layoutInCell="1" allowOverlap="1" wp14:anchorId="137DEC61" wp14:editId="4D9D49A0">
                <wp:simplePos x="0" y="0"/>
                <wp:positionH relativeFrom="column">
                  <wp:posOffset>3149600</wp:posOffset>
                </wp:positionH>
                <wp:positionV relativeFrom="paragraph">
                  <wp:posOffset>1365885</wp:posOffset>
                </wp:positionV>
                <wp:extent cx="3355340" cy="1048385"/>
                <wp:effectExtent l="19050" t="19050" r="16510" b="18415"/>
                <wp:wrapNone/>
                <wp:docPr id="457" name="Text Box 457"/>
                <wp:cNvGraphicFramePr/>
                <a:graphic xmlns:a="http://schemas.openxmlformats.org/drawingml/2006/main">
                  <a:graphicData uri="http://schemas.microsoft.com/office/word/2010/wordprocessingShape">
                    <wps:wsp>
                      <wps:cNvSpPr txBox="1"/>
                      <wps:spPr>
                        <a:xfrm>
                          <a:off x="0" y="0"/>
                          <a:ext cx="3355340" cy="1048385"/>
                        </a:xfrm>
                        <a:prstGeom prst="roundRect">
                          <a:avLst/>
                        </a:prstGeom>
                        <a:solidFill>
                          <a:sysClr val="window" lastClr="FFFFFF"/>
                        </a:solidFill>
                        <a:ln w="31750" cmpd="dbl">
                          <a:solidFill>
                            <a:schemeClr val="bg1">
                              <a:lumMod val="65000"/>
                            </a:schemeClr>
                          </a:solidFill>
                        </a:ln>
                        <a:effectLst/>
                      </wps:spPr>
                      <wps:txbx>
                        <w:txbxContent>
                          <w:p w14:paraId="56D1A728" w14:textId="56977C85" w:rsidR="00876FFE" w:rsidRPr="00550A51" w:rsidRDefault="00876FFE" w:rsidP="00E11DAD">
                            <w:pPr>
                              <w:ind w:firstLine="0"/>
                              <w:jc w:val="center"/>
                              <w:rPr>
                                <w:rFonts w:asciiTheme="minorHAnsi" w:hAnsiTheme="minorHAnsi" w:cstheme="minorHAnsi"/>
                              </w:rPr>
                            </w:pPr>
                            <w:r w:rsidRPr="00550A51">
                              <w:rPr>
                                <w:rFonts w:asciiTheme="minorHAnsi" w:hAnsiTheme="minorHAnsi" w:cstheme="minorHAnsi"/>
                              </w:rPr>
                              <w:t xml:space="preserve">Недовољно развијене процедуре планирања и привлачења, као и </w:t>
                            </w:r>
                            <w:r w:rsidRPr="00251E0D">
                              <w:rPr>
                                <w:rFonts w:asciiTheme="minorHAnsi" w:hAnsiTheme="minorHAnsi" w:cstheme="minorHAnsi"/>
                                <w:b/>
                              </w:rPr>
                              <w:t>непотпун обухват системом компетенција</w:t>
                            </w:r>
                            <w:r w:rsidRPr="00550A51">
                              <w:rPr>
                                <w:rFonts w:asciiTheme="minorHAnsi" w:hAnsiTheme="minorHAnsi" w:cstheme="minorHAnsi"/>
                              </w:rPr>
                              <w:t xml:space="preserve"> у области запошљавања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7DEC61" id="Text Box 457" o:spid="_x0000_s1126" style="position:absolute;left:0;text-align:left;margin-left:248pt;margin-top:107.55pt;width:264.2pt;height:82.5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" fillcolor="window" strokecolor="#a5a5a5 [2092]" strokeweight="2.5pt">
                <v:stroke linestyle="thinThin"/>
                <v:textbox>
                  <w:txbxContent>
                    <w:p w14:paraId="56D1A728" w14:textId="56977C85" w:rsidR="00876FFE" w:rsidRPr="00550A51" w:rsidRDefault="00876FFE" w:rsidP="00E11DAD">
                      <w:pPr>
                        <w:ind w:firstLine="0"/>
                        <w:jc w:val="center"/>
                        <w:rPr>
                          <w:rFonts w:asciiTheme="minorHAnsi" w:hAnsiTheme="minorHAnsi" w:cstheme="minorHAnsi"/>
                        </w:rPr>
                      </w:pPr>
                      <w:r w:rsidRPr="00550A51">
                        <w:rPr>
                          <w:rFonts w:asciiTheme="minorHAnsi" w:hAnsiTheme="minorHAnsi" w:cstheme="minorHAnsi"/>
                        </w:rPr>
                        <w:t xml:space="preserve">Недовољно </w:t>
                      </w:r>
                      <w:r w:rsidRPr="00550A51">
                        <w:rPr>
                          <w:rFonts w:asciiTheme="minorHAnsi" w:hAnsiTheme="minorHAnsi" w:cstheme="minorHAnsi"/>
                        </w:rPr>
                        <w:t xml:space="preserve">развијене процедуре планирања и привлачења, као и </w:t>
                      </w:r>
                      <w:r w:rsidRPr="00251E0D">
                        <w:rPr>
                          <w:rFonts w:asciiTheme="minorHAnsi" w:hAnsiTheme="minorHAnsi" w:cstheme="minorHAnsi"/>
                          <w:b/>
                        </w:rPr>
                        <w:t>непотпун обухват системом компетенција</w:t>
                      </w:r>
                      <w:r w:rsidRPr="00550A51">
                        <w:rPr>
                          <w:rFonts w:asciiTheme="minorHAnsi" w:hAnsiTheme="minorHAnsi" w:cstheme="minorHAnsi"/>
                        </w:rPr>
                        <w:t xml:space="preserve"> у области запошљавања</w:t>
                      </w:r>
                    </w:p>
                  </w:txbxContent>
                </v:textbox>
              </v:roundrect>
            </w:pict>
          </mc:Fallback>
        </mc:AlternateContent>
      </w:r>
      <w:r w:rsidR="006F75C8" w:rsidRPr="000F0299">
        <w:rPr>
          <w:noProof/>
          <w:lang w:val="en-US" w:eastAsia="en-US" w:bidi="ar-SA"/>
        </w:rPr>
        <mc:AlternateContent>
          <mc:Choice Requires="wps">
            <w:drawing>
              <wp:anchor distT="0" distB="0" distL="114300" distR="114300" simplePos="0" relativeHeight="251363840" behindDoc="0" locked="0" layoutInCell="1" allowOverlap="1" wp14:anchorId="5BB86BFE" wp14:editId="261E62A2">
                <wp:simplePos x="0" y="0"/>
                <wp:positionH relativeFrom="column">
                  <wp:posOffset>6742430</wp:posOffset>
                </wp:positionH>
                <wp:positionV relativeFrom="paragraph">
                  <wp:posOffset>1365885</wp:posOffset>
                </wp:positionV>
                <wp:extent cx="3355340" cy="1048385"/>
                <wp:effectExtent l="19050" t="19050" r="16510" b="18415"/>
                <wp:wrapNone/>
                <wp:docPr id="743" name="Text Box 743"/>
                <wp:cNvGraphicFramePr/>
                <a:graphic xmlns:a="http://schemas.openxmlformats.org/drawingml/2006/main">
                  <a:graphicData uri="http://schemas.microsoft.com/office/word/2010/wordprocessingShape">
                    <wps:wsp>
                      <wps:cNvSpPr txBox="1"/>
                      <wps:spPr>
                        <a:xfrm>
                          <a:off x="0" y="0"/>
                          <a:ext cx="3355340" cy="1048385"/>
                        </a:xfrm>
                        <a:prstGeom prst="roundRect">
                          <a:avLst/>
                        </a:prstGeom>
                        <a:solidFill>
                          <a:sysClr val="window" lastClr="FFFFFF"/>
                        </a:solidFill>
                        <a:ln w="31750" cmpd="dbl">
                          <a:solidFill>
                            <a:schemeClr val="bg1">
                              <a:lumMod val="65000"/>
                            </a:schemeClr>
                          </a:solidFill>
                        </a:ln>
                        <a:effectLst/>
                      </wps:spPr>
                      <wps:txbx>
                        <w:txbxContent>
                          <w:p w14:paraId="458EE11E" w14:textId="0C90DFD9" w:rsidR="00876FFE" w:rsidRPr="00550A51" w:rsidRDefault="00876FFE" w:rsidP="00E11DAD">
                            <w:pPr>
                              <w:ind w:firstLine="0"/>
                              <w:jc w:val="center"/>
                              <w:rPr>
                                <w:rFonts w:asciiTheme="minorHAnsi" w:hAnsiTheme="minorHAnsi" w:cstheme="minorHAnsi"/>
                              </w:rPr>
                            </w:pPr>
                            <w:r w:rsidRPr="00550A51">
                              <w:rPr>
                                <w:rFonts w:asciiTheme="minorHAnsi" w:hAnsiTheme="minorHAnsi" w:cstheme="minorHAnsi"/>
                              </w:rPr>
                              <w:t xml:space="preserve">Не постоји </w:t>
                            </w:r>
                            <w:r w:rsidRPr="00251E0D">
                              <w:rPr>
                                <w:rFonts w:asciiTheme="minorHAnsi" w:hAnsiTheme="minorHAnsi" w:cstheme="minorHAnsi"/>
                                <w:b/>
                              </w:rPr>
                              <w:t xml:space="preserve">политика задржавања и каријерног развоја </w:t>
                            </w:r>
                            <w:r w:rsidRPr="00550A51">
                              <w:rPr>
                                <w:rFonts w:asciiTheme="minorHAnsi" w:hAnsiTheme="minorHAnsi" w:cstheme="minorHAnsi"/>
                              </w:rPr>
                              <w:t>запослених у јавној управи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B86BFE" id="Text Box 743" o:spid="_x0000_s1127" style="position:absolute;left:0;text-align:left;margin-left:530.9pt;margin-top:107.55pt;width:264.2pt;height:82.55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" fillcolor="window" strokecolor="#a5a5a5 [2092]" strokeweight="2.5pt">
                <v:stroke linestyle="thinThin"/>
                <v:textbox>
                  <w:txbxContent>
                    <w:p w14:paraId="458EE11E" w14:textId="0C90DFD9" w:rsidR="00876FFE" w:rsidRPr="00550A51" w:rsidRDefault="00876FFE" w:rsidP="00E11DAD">
                      <w:pPr>
                        <w:ind w:firstLine="0"/>
                        <w:jc w:val="center"/>
                        <w:rPr>
                          <w:rFonts w:asciiTheme="minorHAnsi" w:hAnsiTheme="minorHAnsi" w:cstheme="minorHAnsi"/>
                        </w:rPr>
                      </w:pPr>
                      <w:r w:rsidRPr="00550A51">
                        <w:rPr>
                          <w:rFonts w:asciiTheme="minorHAnsi" w:hAnsiTheme="minorHAnsi" w:cstheme="minorHAnsi"/>
                        </w:rPr>
                        <w:t xml:space="preserve">Не </w:t>
                      </w:r>
                      <w:r w:rsidRPr="00550A51">
                        <w:rPr>
                          <w:rFonts w:asciiTheme="minorHAnsi" w:hAnsiTheme="minorHAnsi" w:cstheme="minorHAnsi"/>
                        </w:rPr>
                        <w:t xml:space="preserve">постоји </w:t>
                      </w:r>
                      <w:r w:rsidRPr="00251E0D">
                        <w:rPr>
                          <w:rFonts w:asciiTheme="minorHAnsi" w:hAnsiTheme="minorHAnsi" w:cstheme="minorHAnsi"/>
                          <w:b/>
                        </w:rPr>
                        <w:t xml:space="preserve">политика задржавања и каријерног развоја </w:t>
                      </w:r>
                      <w:r w:rsidRPr="00550A51">
                        <w:rPr>
                          <w:rFonts w:asciiTheme="minorHAnsi" w:hAnsiTheme="minorHAnsi" w:cstheme="minorHAnsi"/>
                        </w:rPr>
                        <w:t>запослених у јавној управи</w:t>
                      </w:r>
                    </w:p>
                  </w:txbxContent>
                </v:textbox>
              </v:roundrect>
            </w:pict>
          </mc:Fallback>
        </mc:AlternateContent>
      </w:r>
      <w:r w:rsidR="006F75C8" w:rsidRPr="000F0299">
        <w:rPr>
          <w:noProof/>
          <w:lang w:val="en-US" w:eastAsia="en-US" w:bidi="ar-SA"/>
        </w:rPr>
        <mc:AlternateContent>
          <mc:Choice Requires="wps">
            <w:drawing>
              <wp:anchor distT="0" distB="0" distL="114300" distR="114300" simplePos="0" relativeHeight="251376128" behindDoc="0" locked="0" layoutInCell="1" allowOverlap="1" wp14:anchorId="36D0CDEC" wp14:editId="76BA9CB7">
                <wp:simplePos x="0" y="0"/>
                <wp:positionH relativeFrom="column">
                  <wp:posOffset>1203960</wp:posOffset>
                </wp:positionH>
                <wp:positionV relativeFrom="paragraph">
                  <wp:posOffset>1057910</wp:posOffset>
                </wp:positionV>
                <wp:extent cx="0" cy="304800"/>
                <wp:effectExtent l="76200" t="38100" r="57150" b="19050"/>
                <wp:wrapNone/>
                <wp:docPr id="745" name="Straight Arrow Connector 745"/>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A69427" id="Straight Arrow Connector 745" o:spid="_x0000_s1026" type="#_x0000_t32" style="position:absolute;margin-left:94.8pt;margin-top:83.3pt;width:0;height:24pt;flip:y;z-index:25137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" strokecolor="#a5a5a5 [2092]" strokeweight="1.5pt">
                <v:stroke endarrow="block" joinstyle="miter"/>
              </v:shape>
            </w:pict>
          </mc:Fallback>
        </mc:AlternateContent>
      </w:r>
      <w:r w:rsidR="006F75C8" w:rsidRPr="000F0299">
        <w:rPr>
          <w:noProof/>
          <w:lang w:val="en-US" w:eastAsia="en-US" w:bidi="ar-SA"/>
        </w:rPr>
        <mc:AlternateContent>
          <mc:Choice Requires="wps">
            <w:drawing>
              <wp:anchor distT="0" distB="0" distL="114300" distR="114300" simplePos="0" relativeHeight="251374080" behindDoc="0" locked="0" layoutInCell="1" allowOverlap="1" wp14:anchorId="48B04259" wp14:editId="701B1DB3">
                <wp:simplePos x="0" y="0"/>
                <wp:positionH relativeFrom="column">
                  <wp:posOffset>4818380</wp:posOffset>
                </wp:positionH>
                <wp:positionV relativeFrom="paragraph">
                  <wp:posOffset>1057910</wp:posOffset>
                </wp:positionV>
                <wp:extent cx="0" cy="304800"/>
                <wp:effectExtent l="76200" t="38100" r="57150" b="19050"/>
                <wp:wrapNone/>
                <wp:docPr id="746" name="Straight Arrow Connector 746"/>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7EDF89" id="Straight Arrow Connector 746" o:spid="_x0000_s1026" type="#_x0000_t32" style="position:absolute;margin-left:379.4pt;margin-top:83.3pt;width:0;height:24pt;flip:y;z-index:25137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" strokecolor="#a5a5a5 [2092]" strokeweight="1.5pt">
                <v:stroke endarrow="block" joinstyle="miter"/>
              </v:shape>
            </w:pict>
          </mc:Fallback>
        </mc:AlternateContent>
      </w:r>
      <w:r w:rsidR="006F75C8" w:rsidRPr="000F0299">
        <w:rPr>
          <w:noProof/>
          <w:lang w:val="en-US" w:eastAsia="en-US" w:bidi="ar-SA"/>
        </w:rPr>
        <mc:AlternateContent>
          <mc:Choice Requires="wps">
            <w:drawing>
              <wp:anchor distT="0" distB="0" distL="114300" distR="114300" simplePos="0" relativeHeight="251375104" behindDoc="0" locked="0" layoutInCell="1" allowOverlap="1" wp14:anchorId="4A24D104" wp14:editId="5B4F5ABB">
                <wp:simplePos x="0" y="0"/>
                <wp:positionH relativeFrom="column">
                  <wp:posOffset>8421370</wp:posOffset>
                </wp:positionH>
                <wp:positionV relativeFrom="paragraph">
                  <wp:posOffset>1057910</wp:posOffset>
                </wp:positionV>
                <wp:extent cx="0" cy="304800"/>
                <wp:effectExtent l="76200" t="38100" r="57150" b="19050"/>
                <wp:wrapNone/>
                <wp:docPr id="747" name="Straight Arrow Connector 747"/>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2DFD9" id="Straight Arrow Connector 747" o:spid="_x0000_s1026" type="#_x0000_t32" style="position:absolute;margin-left:663.1pt;margin-top:83.3pt;width:0;height:24pt;flip:y;z-index:25137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" strokecolor="#a5a5a5 [2092]" strokeweight="1.5pt">
                <v:stroke endarrow="block" joinstyle="miter"/>
              </v:shape>
            </w:pict>
          </mc:Fallback>
        </mc:AlternateContent>
      </w:r>
      <w:r w:rsidR="006F75C8" w:rsidRPr="000F0299">
        <w:rPr>
          <w:noProof/>
          <w:lang w:val="en-US" w:eastAsia="en-US" w:bidi="ar-SA"/>
        </w:rPr>
        <mc:AlternateContent>
          <mc:Choice Requires="wps">
            <w:drawing>
              <wp:anchor distT="0" distB="0" distL="114300" distR="114300" simplePos="0" relativeHeight="251366912" behindDoc="0" locked="0" layoutInCell="1" allowOverlap="1" wp14:anchorId="0AE93148" wp14:editId="0E5897C5">
                <wp:simplePos x="0" y="0"/>
                <wp:positionH relativeFrom="column">
                  <wp:posOffset>12002770</wp:posOffset>
                </wp:positionH>
                <wp:positionV relativeFrom="paragraph">
                  <wp:posOffset>1068705</wp:posOffset>
                </wp:positionV>
                <wp:extent cx="0" cy="304800"/>
                <wp:effectExtent l="76200" t="38100" r="57150" b="19050"/>
                <wp:wrapNone/>
                <wp:docPr id="744" name="Straight Arrow Connector 744"/>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A672F7" id="Straight Arrow Connector 744" o:spid="_x0000_s1026" type="#_x0000_t32" style="position:absolute;margin-left:945.1pt;margin-top:84.15pt;width:0;height:24pt;flip:y;z-index:25136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" strokecolor="#a5a5a5 [2092]" strokeweight="1.5pt">
                <v:stroke endarrow="block" joinstyle="miter"/>
              </v:shape>
            </w:pict>
          </mc:Fallback>
        </mc:AlternateContent>
      </w:r>
      <w:r w:rsidR="006F75C8" w:rsidRPr="000F0299">
        <w:rPr>
          <w:noProof/>
          <w:lang w:val="en-US" w:eastAsia="en-US" w:bidi="ar-SA"/>
        </w:rPr>
        <mc:AlternateContent>
          <mc:Choice Requires="wps">
            <w:drawing>
              <wp:anchor distT="0" distB="0" distL="114300" distR="114300" simplePos="0" relativeHeight="251368960" behindDoc="0" locked="0" layoutInCell="1" allowOverlap="1" wp14:anchorId="6E2F0E9E" wp14:editId="77C32041">
                <wp:simplePos x="0" y="0"/>
                <wp:positionH relativeFrom="column">
                  <wp:posOffset>9074150</wp:posOffset>
                </wp:positionH>
                <wp:positionV relativeFrom="paragraph">
                  <wp:posOffset>67310</wp:posOffset>
                </wp:positionV>
                <wp:extent cx="0" cy="497840"/>
                <wp:effectExtent l="76200" t="38100" r="57150" b="16510"/>
                <wp:wrapNone/>
                <wp:docPr id="790" name="Straight Arrow Connector 790"/>
                <wp:cNvGraphicFramePr/>
                <a:graphic xmlns:a="http://schemas.openxmlformats.org/drawingml/2006/main">
                  <a:graphicData uri="http://schemas.microsoft.com/office/word/2010/wordprocessingShape">
                    <wps:wsp>
                      <wps:cNvCnPr/>
                      <wps:spPr>
                        <a:xfrm flipV="1">
                          <a:off x="0" y="0"/>
                          <a:ext cx="0" cy="497840"/>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59960E" id="Straight Arrow Connector 790" o:spid="_x0000_s1026" type="#_x0000_t32" style="position:absolute;margin-left:714.5pt;margin-top:5.3pt;width:0;height:39.2pt;flip:y;z-index:25136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" strokecolor="#a5a5a5 [2092]" strokeweight="1.5pt">
                <v:stroke endarrow="block" joinstyle="miter"/>
              </v:shape>
            </w:pict>
          </mc:Fallback>
        </mc:AlternateContent>
      </w:r>
      <w:r w:rsidR="006F75C8" w:rsidRPr="000F0299">
        <w:rPr>
          <w:noProof/>
          <w:lang w:val="en-US" w:eastAsia="en-US" w:bidi="ar-SA"/>
        </w:rPr>
        <mc:AlternateContent>
          <mc:Choice Requires="wps">
            <w:drawing>
              <wp:anchor distT="0" distB="0" distL="114300" distR="114300" simplePos="0" relativeHeight="251367936" behindDoc="0" locked="0" layoutInCell="1" allowOverlap="1" wp14:anchorId="0C75B381" wp14:editId="13B94697">
                <wp:simplePos x="0" y="0"/>
                <wp:positionH relativeFrom="column">
                  <wp:posOffset>4143375</wp:posOffset>
                </wp:positionH>
                <wp:positionV relativeFrom="paragraph">
                  <wp:posOffset>67310</wp:posOffset>
                </wp:positionV>
                <wp:extent cx="0" cy="497840"/>
                <wp:effectExtent l="76200" t="38100" r="57150" b="16510"/>
                <wp:wrapNone/>
                <wp:docPr id="750" name="Straight Arrow Connector 750"/>
                <wp:cNvGraphicFramePr/>
                <a:graphic xmlns:a="http://schemas.openxmlformats.org/drawingml/2006/main">
                  <a:graphicData uri="http://schemas.microsoft.com/office/word/2010/wordprocessingShape">
                    <wps:wsp>
                      <wps:cNvCnPr/>
                      <wps:spPr>
                        <a:xfrm flipV="1">
                          <a:off x="0" y="0"/>
                          <a:ext cx="0" cy="497840"/>
                        </a:xfrm>
                        <a:prstGeom prst="straightConnector1">
                          <a:avLst/>
                        </a:prstGeom>
                        <a:noFill/>
                        <a:ln w="19050" cap="flat" cmpd="sng" algn="ctr">
                          <a:solidFill>
                            <a:schemeClr val="bg1">
                              <a:lumMod val="65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11C44" id="Straight Arrow Connector 750" o:spid="_x0000_s1026" type="#_x0000_t32" style="position:absolute;margin-left:326.25pt;margin-top:5.3pt;width:0;height:39.2pt;flip:y;z-index:25136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" strokecolor="#a5a5a5 [2092]" strokeweight="1.5pt">
                <v:stroke endarrow="block" joinstyle="miter"/>
              </v:shape>
            </w:pict>
          </mc:Fallback>
        </mc:AlternateContent>
      </w:r>
    </w:p>
    <w:p w14:paraId="6D480E90" w14:textId="521D0888" w:rsidR="00052FDA" w:rsidRPr="000F0299" w:rsidRDefault="00052FDA" w:rsidP="00126CAD">
      <w:pPr>
        <w:pStyle w:val="Heading3"/>
        <w:rPr>
          <w:rStyle w:val="Emphasis"/>
          <w:i w:val="0"/>
          <w:iCs w:val="0"/>
          <w:lang w:val="sr-Cyrl-RS"/>
        </w:rPr>
      </w:pPr>
      <w:bookmarkStart w:id="150" w:name="_ЦИЉ,_АНАЛИЗА_ЕФЕКАТА"/>
      <w:bookmarkStart w:id="151" w:name="_Toc57661481"/>
      <w:bookmarkEnd w:id="150"/>
      <w:r w:rsidRPr="000F0299">
        <w:rPr>
          <w:rStyle w:val="Emphasis"/>
          <w:i w:val="0"/>
          <w:iCs w:val="0"/>
          <w:lang w:val="sr-Cyrl-RS"/>
        </w:rPr>
        <w:t>Ц</w:t>
      </w:r>
      <w:r w:rsidR="009B10ED" w:rsidRPr="000F0299">
        <w:rPr>
          <w:rStyle w:val="Emphasis"/>
          <w:i w:val="0"/>
          <w:iCs w:val="0"/>
          <w:lang w:val="sr-Cyrl-RS"/>
        </w:rPr>
        <w:t>иљ</w:t>
      </w:r>
      <w:r w:rsidRPr="000F0299">
        <w:rPr>
          <w:rStyle w:val="Emphasis"/>
          <w:i w:val="0"/>
          <w:iCs w:val="0"/>
          <w:lang w:val="sr-Cyrl-RS"/>
        </w:rPr>
        <w:t xml:space="preserve">, </w:t>
      </w:r>
      <w:r w:rsidR="009B10ED" w:rsidRPr="000F0299">
        <w:rPr>
          <w:rStyle w:val="Emphasis"/>
          <w:i w:val="0"/>
          <w:iCs w:val="0"/>
          <w:lang w:val="sr-Cyrl-RS"/>
        </w:rPr>
        <w:t>анализа ефеката и мере</w:t>
      </w:r>
      <w:bookmarkEnd w:id="151"/>
    </w:p>
    <w:p w14:paraId="3FD82460" w14:textId="77777777" w:rsidR="009300FD" w:rsidRPr="000F0299" w:rsidRDefault="009300FD" w:rsidP="009300FD">
      <w:r w:rsidRPr="000F0299">
        <w:t xml:space="preserve">Општи правац деловања усмерен је на добро вођену, професионалну, мотивисану и ефикасну јавну управу, која као атрактиван послодавац промовише заслуге и иновације, </w:t>
      </w:r>
      <w:r>
        <w:t>испуњава</w:t>
      </w:r>
      <w:r w:rsidRPr="000F0299">
        <w:t xml:space="preserve"> циљеве државе и очекивања грађана.</w:t>
      </w:r>
    </w:p>
    <w:p w14:paraId="61F8506A" w14:textId="77777777" w:rsidR="009300FD" w:rsidRPr="000F0299" w:rsidRDefault="009300FD" w:rsidP="009300FD">
      <w:r>
        <w:t>Да</w:t>
      </w:r>
      <w:r w:rsidRPr="000F0299">
        <w:t xml:space="preserve"> би се </w:t>
      </w:r>
      <w:r>
        <w:t>постигла</w:t>
      </w:r>
      <w:r w:rsidRPr="000F0299">
        <w:t xml:space="preserve"> ор</w:t>
      </w:r>
      <w:r>
        <w:t>и</w:t>
      </w:r>
      <w:r w:rsidRPr="000F0299">
        <w:t xml:space="preserve">јентација јавне управе према грађанима, која је истовремено подстицајна за запослене који остварују те интересе, циљ је обезбедити даљи развој службеничког система: </w:t>
      </w:r>
    </w:p>
    <w:p w14:paraId="0E31CEAC" w14:textId="77777777" w:rsidR="009300FD" w:rsidRPr="000F0299" w:rsidRDefault="009300FD" w:rsidP="009300FD">
      <w:r w:rsidRPr="000F0299">
        <w:t>- Привлачењем и запошљавањем кадрова са потребним компетенцијама (Посебан циљ 2.1)</w:t>
      </w:r>
    </w:p>
    <w:p w14:paraId="27D25FFF" w14:textId="77777777" w:rsidR="009300FD" w:rsidRPr="000F0299" w:rsidRDefault="009300FD" w:rsidP="009300FD">
      <w:r w:rsidRPr="000F0299">
        <w:t xml:space="preserve">- Промовисањем и задржавањем компетентних и мотивисаних запослених који </w:t>
      </w:r>
      <w:r>
        <w:t>постижу</w:t>
      </w:r>
      <w:r w:rsidRPr="000F0299">
        <w:t xml:space="preserve"> своје каријерне циљеве у подстицајном окружењу (Посебан циљ 2.2)</w:t>
      </w:r>
    </w:p>
    <w:p w14:paraId="4CB9865D" w14:textId="77777777" w:rsidR="009300FD" w:rsidRPr="000F0299" w:rsidRDefault="009300FD" w:rsidP="009300FD">
      <w:r w:rsidRPr="000F0299">
        <w:t>- Иновирањем система стручног усавршавања и стручних испита у јавној управи заснованих на анализи потреба за унапређењем компетенција, односно знања вештина и способности запослених у јавној управи (Посебан циљ 2.3)</w:t>
      </w:r>
    </w:p>
    <w:p w14:paraId="278AD079" w14:textId="4AF63C72" w:rsidR="003F3312" w:rsidRPr="000F0299" w:rsidRDefault="009B10ED" w:rsidP="00126CAD">
      <w:pPr>
        <w:pStyle w:val="Heading4"/>
        <w:rPr>
          <w:lang w:val="sr-Cyrl-RS"/>
        </w:rPr>
      </w:pPr>
      <w:bookmarkStart w:id="152" w:name="_Hlk57500110"/>
      <w:r w:rsidRPr="000F0299">
        <w:rPr>
          <w:lang w:val="sr-Cyrl-RS"/>
        </w:rPr>
        <w:t>Посебан циљ</w:t>
      </w:r>
      <w:r w:rsidR="003F3312" w:rsidRPr="000F0299">
        <w:rPr>
          <w:lang w:val="sr-Cyrl-RS"/>
        </w:rPr>
        <w:t xml:space="preserve"> 2.1: </w:t>
      </w:r>
      <w:hyperlink w:anchor="_Посебан_циљ_2.1:" w:history="1">
        <w:r w:rsidR="003F3312" w:rsidRPr="008A5C60">
          <w:rPr>
            <w:rStyle w:val="Hyperlink"/>
            <w:lang w:val="sr-Cyrl-RS"/>
          </w:rPr>
          <w:t>Унапређен процес регрутације у јавној управи</w:t>
        </w:r>
      </w:hyperlink>
    </w:p>
    <w:bookmarkEnd w:id="152"/>
    <w:tbl>
      <w:tblPr>
        <w:tblW w:w="5000" w:type="pct"/>
        <w:shd w:val="clear" w:color="auto" w:fill="E7E6E6" w:themeFill="background2"/>
        <w:tblLook w:val="00A0" w:firstRow="1" w:lastRow="0" w:firstColumn="1" w:lastColumn="0" w:noHBand="0" w:noVBand="0"/>
      </w:tblPr>
      <w:tblGrid>
        <w:gridCol w:w="364"/>
        <w:gridCol w:w="4905"/>
        <w:gridCol w:w="1984"/>
        <w:gridCol w:w="1984"/>
        <w:gridCol w:w="355"/>
      </w:tblGrid>
      <w:tr w:rsidR="009B10ED" w:rsidRPr="000F0299" w14:paraId="264769F5" w14:textId="77777777" w:rsidTr="009300FD">
        <w:trPr>
          <w:trHeight w:val="20"/>
        </w:trPr>
        <w:tc>
          <w:tcPr>
            <w:tcW w:w="190" w:type="pct"/>
            <w:tcBorders>
              <w:top w:val="single" w:sz="18" w:space="0" w:color="C00000"/>
              <w:left w:val="single" w:sz="18" w:space="0" w:color="C00000"/>
            </w:tcBorders>
            <w:shd w:val="clear" w:color="auto" w:fill="F2F2F2" w:themeFill="background1" w:themeFillShade="F2"/>
          </w:tcPr>
          <w:p w14:paraId="02BD4F9D" w14:textId="77777777" w:rsidR="009B10ED" w:rsidRPr="000F0299" w:rsidRDefault="009B10ED" w:rsidP="00433570">
            <w:pPr>
              <w:spacing w:before="0"/>
              <w:ind w:firstLine="0"/>
              <w:rPr>
                <w:b/>
                <w:bCs/>
                <w:sz w:val="16"/>
                <w:szCs w:val="16"/>
              </w:rPr>
            </w:pPr>
          </w:p>
        </w:tc>
        <w:tc>
          <w:tcPr>
            <w:tcW w:w="2557" w:type="pct"/>
            <w:tcBorders>
              <w:top w:val="single" w:sz="18" w:space="0" w:color="C00000"/>
            </w:tcBorders>
            <w:shd w:val="clear" w:color="auto" w:fill="F2F2F2" w:themeFill="background1" w:themeFillShade="F2"/>
          </w:tcPr>
          <w:p w14:paraId="33A3EA71" w14:textId="77777777" w:rsidR="009B10ED" w:rsidRPr="000F0299" w:rsidRDefault="009B10ED" w:rsidP="00433570">
            <w:pPr>
              <w:spacing w:before="0"/>
              <w:ind w:firstLine="0"/>
              <w:rPr>
                <w:b/>
                <w:bCs/>
                <w:sz w:val="16"/>
                <w:szCs w:val="16"/>
              </w:rPr>
            </w:pPr>
          </w:p>
        </w:tc>
        <w:tc>
          <w:tcPr>
            <w:tcW w:w="1034" w:type="pct"/>
            <w:tcBorders>
              <w:top w:val="single" w:sz="18" w:space="0" w:color="C00000"/>
            </w:tcBorders>
            <w:shd w:val="clear" w:color="auto" w:fill="F2F2F2" w:themeFill="background1" w:themeFillShade="F2"/>
            <w:vAlign w:val="center"/>
          </w:tcPr>
          <w:p w14:paraId="3265B191" w14:textId="77777777" w:rsidR="009B10ED" w:rsidRPr="000F0299" w:rsidRDefault="009B10ED" w:rsidP="00433570">
            <w:pPr>
              <w:spacing w:before="0"/>
              <w:ind w:firstLine="0"/>
              <w:jc w:val="center"/>
              <w:rPr>
                <w:b/>
                <w:bCs/>
                <w:sz w:val="16"/>
                <w:szCs w:val="16"/>
              </w:rPr>
            </w:pPr>
          </w:p>
        </w:tc>
        <w:tc>
          <w:tcPr>
            <w:tcW w:w="1034" w:type="pct"/>
            <w:tcBorders>
              <w:top w:val="single" w:sz="18" w:space="0" w:color="C00000"/>
            </w:tcBorders>
            <w:shd w:val="clear" w:color="auto" w:fill="F2F2F2" w:themeFill="background1" w:themeFillShade="F2"/>
            <w:vAlign w:val="center"/>
          </w:tcPr>
          <w:p w14:paraId="0259E138" w14:textId="77777777" w:rsidR="009B10ED" w:rsidRPr="000F0299" w:rsidRDefault="009B10ED" w:rsidP="00433570">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F2F2F2" w:themeFill="background1" w:themeFillShade="F2"/>
          </w:tcPr>
          <w:p w14:paraId="4D21D724" w14:textId="77777777" w:rsidR="009B10ED" w:rsidRPr="000F0299" w:rsidRDefault="009B10ED" w:rsidP="00433570">
            <w:pPr>
              <w:spacing w:before="0"/>
              <w:ind w:firstLine="0"/>
              <w:jc w:val="center"/>
              <w:rPr>
                <w:b/>
                <w:bCs/>
                <w:sz w:val="16"/>
                <w:szCs w:val="16"/>
              </w:rPr>
            </w:pPr>
          </w:p>
        </w:tc>
      </w:tr>
      <w:tr w:rsidR="009B10ED" w:rsidRPr="000F0299" w14:paraId="0134E74B" w14:textId="77777777" w:rsidTr="009300FD">
        <w:trPr>
          <w:trHeight w:val="490"/>
        </w:trPr>
        <w:tc>
          <w:tcPr>
            <w:tcW w:w="190" w:type="pct"/>
            <w:tcBorders>
              <w:left w:val="single" w:sz="18" w:space="0" w:color="C00000"/>
            </w:tcBorders>
            <w:shd w:val="clear" w:color="auto" w:fill="F2F2F2" w:themeFill="background1" w:themeFillShade="F2"/>
          </w:tcPr>
          <w:p w14:paraId="1CB8995F" w14:textId="77777777" w:rsidR="009B10ED" w:rsidRPr="000F0299" w:rsidRDefault="009B10ED" w:rsidP="00433570">
            <w:pPr>
              <w:spacing w:before="0"/>
              <w:ind w:firstLine="0"/>
              <w:rPr>
                <w:b/>
                <w:bCs/>
              </w:rPr>
            </w:pPr>
          </w:p>
        </w:tc>
        <w:tc>
          <w:tcPr>
            <w:tcW w:w="2557" w:type="pct"/>
            <w:tcBorders>
              <w:left w:val="nil"/>
              <w:bottom w:val="single" w:sz="18" w:space="0" w:color="C00000"/>
              <w:right w:val="single" w:sz="18" w:space="0" w:color="FFFFFF" w:themeColor="background1"/>
            </w:tcBorders>
            <w:shd w:val="clear" w:color="auto" w:fill="F2F2F2" w:themeFill="background1" w:themeFillShade="F2"/>
          </w:tcPr>
          <w:p w14:paraId="70E0A248" w14:textId="77777777" w:rsidR="009B10ED" w:rsidRPr="000F0299" w:rsidRDefault="009B10ED" w:rsidP="00433570">
            <w:pPr>
              <w:spacing w:before="0"/>
              <w:ind w:firstLine="0"/>
              <w:rPr>
                <w:b/>
                <w:bCs/>
              </w:rPr>
            </w:pPr>
            <w:r w:rsidRPr="000F0299">
              <w:rPr>
                <w:b/>
                <w:bCs/>
              </w:rPr>
              <w:t>Показатељ исхода</w:t>
            </w:r>
          </w:p>
        </w:tc>
        <w:tc>
          <w:tcPr>
            <w:tcW w:w="1034"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74BE9D03" w14:textId="77777777" w:rsidR="009B10ED" w:rsidRPr="000F0299" w:rsidRDefault="009B10ED" w:rsidP="00433570">
            <w:pPr>
              <w:spacing w:before="0"/>
              <w:ind w:firstLine="0"/>
              <w:jc w:val="center"/>
              <w:rPr>
                <w:b/>
                <w:bCs/>
              </w:rPr>
            </w:pPr>
            <w:r w:rsidRPr="000F0299">
              <w:rPr>
                <w:b/>
                <w:bCs/>
              </w:rPr>
              <w:t>ПВ</w:t>
            </w:r>
          </w:p>
        </w:tc>
        <w:tc>
          <w:tcPr>
            <w:tcW w:w="1034" w:type="pct"/>
            <w:tcBorders>
              <w:left w:val="single" w:sz="18" w:space="0" w:color="FFFFFF" w:themeColor="background1"/>
              <w:bottom w:val="single" w:sz="18" w:space="0" w:color="C00000"/>
            </w:tcBorders>
            <w:shd w:val="clear" w:color="auto" w:fill="F2F2F2" w:themeFill="background1" w:themeFillShade="F2"/>
            <w:vAlign w:val="center"/>
          </w:tcPr>
          <w:p w14:paraId="4F9A7BD8" w14:textId="77777777" w:rsidR="009B10ED" w:rsidRPr="000F0299" w:rsidRDefault="009B10ED" w:rsidP="00433570">
            <w:pPr>
              <w:spacing w:before="0"/>
              <w:ind w:firstLine="0"/>
              <w:jc w:val="center"/>
              <w:rPr>
                <w:b/>
                <w:bCs/>
              </w:rPr>
            </w:pPr>
            <w:r w:rsidRPr="000F0299">
              <w:rPr>
                <w:b/>
                <w:bCs/>
              </w:rPr>
              <w:t>ЦВ</w:t>
            </w:r>
          </w:p>
        </w:tc>
        <w:tc>
          <w:tcPr>
            <w:tcW w:w="185" w:type="pct"/>
            <w:tcBorders>
              <w:right w:val="single" w:sz="18" w:space="0" w:color="C00000"/>
            </w:tcBorders>
            <w:shd w:val="clear" w:color="auto" w:fill="F2F2F2" w:themeFill="background1" w:themeFillShade="F2"/>
          </w:tcPr>
          <w:p w14:paraId="748DDBC4" w14:textId="77777777" w:rsidR="009B10ED" w:rsidRPr="000F0299" w:rsidRDefault="009B10ED" w:rsidP="00433570">
            <w:pPr>
              <w:spacing w:before="0"/>
              <w:ind w:firstLine="0"/>
              <w:jc w:val="center"/>
              <w:rPr>
                <w:b/>
                <w:bCs/>
              </w:rPr>
            </w:pPr>
          </w:p>
        </w:tc>
      </w:tr>
      <w:tr w:rsidR="009B10ED" w:rsidRPr="000F0299" w14:paraId="5791B8AE" w14:textId="77777777" w:rsidTr="009300FD">
        <w:trPr>
          <w:trHeight w:val="1082"/>
        </w:trPr>
        <w:tc>
          <w:tcPr>
            <w:tcW w:w="190" w:type="pct"/>
            <w:tcBorders>
              <w:left w:val="single" w:sz="18" w:space="0" w:color="C00000"/>
            </w:tcBorders>
            <w:shd w:val="clear" w:color="auto" w:fill="F2F2F2" w:themeFill="background1" w:themeFillShade="F2"/>
          </w:tcPr>
          <w:p w14:paraId="6599C9BD" w14:textId="77777777" w:rsidR="009B10ED" w:rsidRPr="000F0299" w:rsidRDefault="009B10ED" w:rsidP="00433570">
            <w:pPr>
              <w:spacing w:before="0"/>
              <w:ind w:firstLine="0"/>
            </w:pPr>
          </w:p>
        </w:tc>
        <w:tc>
          <w:tcPr>
            <w:tcW w:w="2557"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57DD38EB" w14:textId="40B81F12" w:rsidR="009B10ED" w:rsidRPr="000F0299" w:rsidRDefault="009B10ED" w:rsidP="00433570">
            <w:pPr>
              <w:spacing w:before="0"/>
              <w:ind w:firstLine="0"/>
            </w:pPr>
            <w:r w:rsidRPr="000F0299">
              <w:t>Меритократија и ефикасност запошљавања државних службеника (</w:t>
            </w:r>
            <w:r w:rsidR="0070535D" w:rsidRPr="0070535D">
              <w:rPr>
                <w:i/>
              </w:rPr>
              <w:t>SIGMA</w:t>
            </w:r>
            <w:r w:rsidRPr="000F0299">
              <w:t xml:space="preserve"> принцип)</w:t>
            </w:r>
          </w:p>
        </w:tc>
        <w:tc>
          <w:tcPr>
            <w:tcW w:w="1034"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CDD6BD5" w14:textId="77777777" w:rsidR="009B10ED" w:rsidRPr="000F0299" w:rsidRDefault="009B10ED" w:rsidP="00433570">
            <w:pPr>
              <w:spacing w:before="0"/>
              <w:ind w:firstLine="0"/>
            </w:pPr>
            <w:r w:rsidRPr="000F0299">
              <w:t>(2020): 3</w:t>
            </w:r>
          </w:p>
        </w:tc>
        <w:tc>
          <w:tcPr>
            <w:tcW w:w="1034"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357EA9C3" w14:textId="77777777" w:rsidR="009B10ED" w:rsidRPr="000F0299" w:rsidRDefault="009B10ED" w:rsidP="00433570">
            <w:pPr>
              <w:spacing w:before="0"/>
              <w:ind w:firstLine="0"/>
            </w:pPr>
            <w:r w:rsidRPr="000F0299">
              <w:t>(2021): 3</w:t>
            </w:r>
          </w:p>
          <w:p w14:paraId="57438072" w14:textId="77777777" w:rsidR="009B10ED" w:rsidRPr="000F0299" w:rsidRDefault="009B10ED" w:rsidP="00433570">
            <w:pPr>
              <w:spacing w:before="0"/>
              <w:ind w:firstLine="0"/>
            </w:pPr>
            <w:r w:rsidRPr="000F0299">
              <w:t>(2022): 4</w:t>
            </w:r>
          </w:p>
          <w:p w14:paraId="53A370C0" w14:textId="77777777" w:rsidR="009B10ED" w:rsidRPr="000F0299" w:rsidRDefault="009B10ED" w:rsidP="00433570">
            <w:pPr>
              <w:spacing w:before="0"/>
              <w:ind w:firstLine="0"/>
            </w:pPr>
            <w:r w:rsidRPr="000F0299">
              <w:t>(2023): 4</w:t>
            </w:r>
          </w:p>
          <w:p w14:paraId="40295FB3" w14:textId="77777777" w:rsidR="009B10ED" w:rsidRPr="000F0299" w:rsidRDefault="009B10ED" w:rsidP="00433570">
            <w:pPr>
              <w:spacing w:before="0"/>
              <w:ind w:firstLine="0"/>
            </w:pPr>
            <w:r w:rsidRPr="000F0299">
              <w:t>(2024): 4</w:t>
            </w:r>
          </w:p>
          <w:p w14:paraId="0E4929BA" w14:textId="77777777" w:rsidR="009B10ED" w:rsidRPr="000F0299" w:rsidRDefault="009B10ED" w:rsidP="00433570">
            <w:pPr>
              <w:spacing w:before="0"/>
              <w:ind w:firstLine="0"/>
            </w:pPr>
            <w:r w:rsidRPr="000F0299">
              <w:t>(2025): 4</w:t>
            </w:r>
          </w:p>
          <w:p w14:paraId="27D273ED" w14:textId="77777777" w:rsidR="009B10ED" w:rsidRPr="000F0299" w:rsidRDefault="009B10ED" w:rsidP="00433570">
            <w:pPr>
              <w:spacing w:before="0"/>
              <w:ind w:firstLine="0"/>
            </w:pPr>
            <w:r w:rsidRPr="000F0299">
              <w:t>(2027): 5</w:t>
            </w:r>
          </w:p>
          <w:p w14:paraId="4FB61D25" w14:textId="77777777" w:rsidR="009B10ED" w:rsidRPr="000F0299" w:rsidRDefault="009B10ED" w:rsidP="00433570">
            <w:pPr>
              <w:spacing w:before="0"/>
              <w:ind w:firstLine="0"/>
            </w:pPr>
            <w:r w:rsidRPr="000F0299">
              <w:t>(2030): 5</w:t>
            </w:r>
          </w:p>
        </w:tc>
        <w:tc>
          <w:tcPr>
            <w:tcW w:w="185" w:type="pct"/>
            <w:tcBorders>
              <w:right w:val="single" w:sz="18" w:space="0" w:color="C00000"/>
            </w:tcBorders>
            <w:shd w:val="clear" w:color="auto" w:fill="F2F2F2" w:themeFill="background1" w:themeFillShade="F2"/>
          </w:tcPr>
          <w:p w14:paraId="1888EA50" w14:textId="77777777" w:rsidR="009B10ED" w:rsidRPr="000F0299" w:rsidRDefault="009B10ED" w:rsidP="00433570">
            <w:pPr>
              <w:spacing w:before="0"/>
              <w:ind w:firstLine="0"/>
            </w:pPr>
          </w:p>
        </w:tc>
      </w:tr>
      <w:tr w:rsidR="009B10ED" w:rsidRPr="000F0299" w14:paraId="40752463" w14:textId="77777777" w:rsidTr="009300FD">
        <w:trPr>
          <w:trHeight w:val="340"/>
        </w:trPr>
        <w:tc>
          <w:tcPr>
            <w:tcW w:w="190" w:type="pct"/>
            <w:tcBorders>
              <w:left w:val="single" w:sz="18" w:space="0" w:color="C00000"/>
              <w:bottom w:val="single" w:sz="18" w:space="0" w:color="C00000"/>
            </w:tcBorders>
            <w:shd w:val="clear" w:color="auto" w:fill="F2F2F2" w:themeFill="background1" w:themeFillShade="F2"/>
          </w:tcPr>
          <w:p w14:paraId="0C66DF34" w14:textId="77777777" w:rsidR="009B10ED" w:rsidRPr="000F0299" w:rsidRDefault="009B10ED" w:rsidP="00433570">
            <w:pPr>
              <w:spacing w:before="0"/>
              <w:ind w:firstLine="0"/>
              <w:rPr>
                <w:sz w:val="16"/>
                <w:szCs w:val="16"/>
              </w:rPr>
            </w:pPr>
          </w:p>
        </w:tc>
        <w:tc>
          <w:tcPr>
            <w:tcW w:w="2557" w:type="pct"/>
            <w:tcBorders>
              <w:bottom w:val="single" w:sz="18" w:space="0" w:color="C00000"/>
            </w:tcBorders>
            <w:shd w:val="clear" w:color="auto" w:fill="F2F2F2" w:themeFill="background1" w:themeFillShade="F2"/>
          </w:tcPr>
          <w:p w14:paraId="618D8842" w14:textId="77777777" w:rsidR="009B10ED" w:rsidRPr="000F0299" w:rsidRDefault="009B10ED" w:rsidP="00433570">
            <w:pPr>
              <w:spacing w:before="0"/>
              <w:ind w:firstLine="0"/>
              <w:rPr>
                <w:sz w:val="16"/>
                <w:szCs w:val="16"/>
              </w:rPr>
            </w:pPr>
          </w:p>
        </w:tc>
        <w:tc>
          <w:tcPr>
            <w:tcW w:w="1034" w:type="pct"/>
            <w:tcBorders>
              <w:bottom w:val="single" w:sz="18" w:space="0" w:color="C00000"/>
            </w:tcBorders>
            <w:shd w:val="clear" w:color="auto" w:fill="F2F2F2" w:themeFill="background1" w:themeFillShade="F2"/>
          </w:tcPr>
          <w:p w14:paraId="0DB138ED" w14:textId="77777777" w:rsidR="009B10ED" w:rsidRPr="000F0299" w:rsidRDefault="009B10ED" w:rsidP="00433570">
            <w:pPr>
              <w:spacing w:before="0"/>
              <w:ind w:firstLine="0"/>
              <w:rPr>
                <w:sz w:val="16"/>
                <w:szCs w:val="16"/>
              </w:rPr>
            </w:pPr>
          </w:p>
        </w:tc>
        <w:tc>
          <w:tcPr>
            <w:tcW w:w="1034" w:type="pct"/>
            <w:tcBorders>
              <w:bottom w:val="single" w:sz="18" w:space="0" w:color="C00000"/>
            </w:tcBorders>
            <w:shd w:val="clear" w:color="auto" w:fill="F2F2F2" w:themeFill="background1" w:themeFillShade="F2"/>
          </w:tcPr>
          <w:p w14:paraId="62E1939E" w14:textId="77777777" w:rsidR="009B10ED" w:rsidRPr="000F0299" w:rsidRDefault="009B10ED" w:rsidP="00433570">
            <w:pPr>
              <w:spacing w:before="0"/>
              <w:ind w:firstLine="0"/>
              <w:rPr>
                <w:sz w:val="16"/>
                <w:szCs w:val="16"/>
              </w:rPr>
            </w:pPr>
          </w:p>
        </w:tc>
        <w:tc>
          <w:tcPr>
            <w:tcW w:w="185" w:type="pct"/>
            <w:tcBorders>
              <w:bottom w:val="single" w:sz="18" w:space="0" w:color="C00000"/>
              <w:right w:val="single" w:sz="18" w:space="0" w:color="C00000"/>
            </w:tcBorders>
            <w:shd w:val="clear" w:color="auto" w:fill="F2F2F2" w:themeFill="background1" w:themeFillShade="F2"/>
          </w:tcPr>
          <w:p w14:paraId="02E90518" w14:textId="77777777" w:rsidR="009B10ED" w:rsidRPr="000F0299" w:rsidRDefault="009B10ED" w:rsidP="00433570">
            <w:pPr>
              <w:spacing w:before="0"/>
              <w:ind w:firstLine="0"/>
              <w:rPr>
                <w:sz w:val="16"/>
                <w:szCs w:val="16"/>
              </w:rPr>
            </w:pPr>
          </w:p>
        </w:tc>
      </w:tr>
    </w:tbl>
    <w:p w14:paraId="5060F8C8" w14:textId="77777777" w:rsidR="009300FD" w:rsidRPr="000F0299" w:rsidRDefault="009300FD" w:rsidP="009300FD">
      <w:pPr>
        <w:spacing w:before="240"/>
      </w:pPr>
      <w:r>
        <w:t>Да</w:t>
      </w:r>
      <w:r w:rsidRPr="000F0299">
        <w:t xml:space="preserve"> би се унапредио процес регрутације у јавној управи</w:t>
      </w:r>
      <w:r>
        <w:t>,</w:t>
      </w:r>
      <w:r w:rsidRPr="000F0299">
        <w:t xml:space="preserve"> неопходно је унапредити кадровско планирање, промовисати државну управу као пожељног послодавца, унапредити процес селекције и увођење новозапослених у посао и унапредити поступак попуњавања положаја заснованог на заслугама и јачати увођење </w:t>
      </w:r>
      <w:r>
        <w:t xml:space="preserve">државних службеника на положају </w:t>
      </w:r>
      <w:r w:rsidRPr="000F0299">
        <w:t>у посао.</w:t>
      </w:r>
    </w:p>
    <w:p w14:paraId="3334E819" w14:textId="77777777" w:rsidR="009300FD" w:rsidRPr="000F0299" w:rsidRDefault="009300FD" w:rsidP="009300FD">
      <w:r>
        <w:t xml:space="preserve">Да би се постигао </w:t>
      </w:r>
      <w:r w:rsidRPr="000F0299">
        <w:t xml:space="preserve">циљ </w:t>
      </w:r>
      <w:r>
        <w:t xml:space="preserve">2.1 </w:t>
      </w:r>
      <w:r w:rsidRPr="000F0299">
        <w:t>Унапређен процес регрутације у јавној управи</w:t>
      </w:r>
      <w:r>
        <w:t>,</w:t>
      </w:r>
      <w:r w:rsidRPr="000F0299">
        <w:t xml:space="preserve"> </w:t>
      </w:r>
      <w:r>
        <w:t>предвиђа се</w:t>
      </w:r>
      <w:r w:rsidRPr="000F0299">
        <w:t xml:space="preserve"> да се до краја 2030. године постигну следећи резултати:</w:t>
      </w:r>
    </w:p>
    <w:p w14:paraId="0FB8DFF3" w14:textId="77777777" w:rsidR="009300FD" w:rsidRPr="000F0299" w:rsidRDefault="009300FD" w:rsidP="009300FD">
      <w:r w:rsidRPr="000F0299">
        <w:t>- Изграђено поверење кандидата у систем регрутације и селекције и државн</w:t>
      </w:r>
      <w:r>
        <w:t>а</w:t>
      </w:r>
      <w:r w:rsidRPr="000F0299">
        <w:t xml:space="preserve"> управ</w:t>
      </w:r>
      <w:r>
        <w:t>а</w:t>
      </w:r>
      <w:r w:rsidRPr="000F0299">
        <w:t xml:space="preserve"> промовиса</w:t>
      </w:r>
      <w:r>
        <w:t>на</w:t>
      </w:r>
      <w:r w:rsidRPr="000F0299">
        <w:t xml:space="preserve"> као пожељ</w:t>
      </w:r>
      <w:r>
        <w:t>а</w:t>
      </w:r>
      <w:r w:rsidRPr="000F0299">
        <w:t>н послодав</w:t>
      </w:r>
      <w:r>
        <w:t>а</w:t>
      </w:r>
      <w:r w:rsidRPr="000F0299">
        <w:t xml:space="preserve">ц у циљу бољег привлачења добрих кандидата, кроз дизајнирање нових и савременијих начина за промоцију процеса регрутације и селекције. </w:t>
      </w:r>
      <w:r>
        <w:t xml:space="preserve">То је неопходно зато што </w:t>
      </w:r>
      <w:r w:rsidRPr="000F0299">
        <w:t>ни подстицање мобилности запослених, ни повећавање континуиране обуке тренутно запослених не</w:t>
      </w:r>
      <w:r>
        <w:t xml:space="preserve"> може</w:t>
      </w:r>
      <w:r w:rsidRPr="000F0299">
        <w:t xml:space="preserve"> у довољној мери ојачати постојеће капацитете, поготово </w:t>
      </w:r>
      <w:r>
        <w:t>зато што</w:t>
      </w:r>
      <w:r w:rsidRPr="000F0299">
        <w:t xml:space="preserve"> ће обављање послова у јавној управи захтевати све више нових вештина запослених које још нису у довољној мери развијене (информационо</w:t>
      </w:r>
      <w:r>
        <w:t>-</w:t>
      </w:r>
      <w:r w:rsidRPr="000F0299">
        <w:t xml:space="preserve">комуникационе и дигиталне вештине). </w:t>
      </w:r>
      <w:r>
        <w:t xml:space="preserve">Пошто се на </w:t>
      </w:r>
      <w:r w:rsidRPr="000F0299">
        <w:t>конкурс</w:t>
      </w:r>
      <w:r>
        <w:t xml:space="preserve">е пријављује </w:t>
      </w:r>
      <w:r w:rsidRPr="000F0299">
        <w:t xml:space="preserve">мали број кандидата, потребно је </w:t>
      </w:r>
      <w:r>
        <w:t xml:space="preserve">повећати </w:t>
      </w:r>
      <w:r w:rsidRPr="000F0299">
        <w:t>транспарентн</w:t>
      </w:r>
      <w:r>
        <w:t>ост</w:t>
      </w:r>
      <w:r w:rsidRPr="000F0299">
        <w:t xml:space="preserve"> процес</w:t>
      </w:r>
      <w:r>
        <w:t>а</w:t>
      </w:r>
      <w:r w:rsidRPr="000F0299">
        <w:t xml:space="preserve"> запошљавања и поверење грађана у јавну управу.</w:t>
      </w:r>
    </w:p>
    <w:p w14:paraId="42743116" w14:textId="77777777" w:rsidR="009300FD" w:rsidRPr="000F0299" w:rsidRDefault="009300FD" w:rsidP="009300FD">
      <w:r w:rsidRPr="000F0299">
        <w:t>- Унапређен и функционалан савремен систем кадровског планирања</w:t>
      </w:r>
      <w:r>
        <w:t xml:space="preserve"> да би се </w:t>
      </w:r>
      <w:r w:rsidRPr="000F0299">
        <w:t>боље идентифик</w:t>
      </w:r>
      <w:r>
        <w:t>овао</w:t>
      </w:r>
      <w:r w:rsidRPr="000F0299">
        <w:t xml:space="preserve"> и предвиде</w:t>
      </w:r>
      <w:r>
        <w:t>о</w:t>
      </w:r>
      <w:r w:rsidRPr="000F0299">
        <w:t xml:space="preserve"> </w:t>
      </w:r>
      <w:r>
        <w:t xml:space="preserve">кадар </w:t>
      </w:r>
      <w:r w:rsidRPr="000F0299">
        <w:t>потреб</w:t>
      </w:r>
      <w:r>
        <w:t>а</w:t>
      </w:r>
      <w:r w:rsidRPr="000F0299">
        <w:t>н у државној управи</w:t>
      </w:r>
      <w:r>
        <w:t xml:space="preserve"> који има </w:t>
      </w:r>
      <w:r w:rsidRPr="000F0299">
        <w:t>одговарајућ</w:t>
      </w:r>
      <w:r>
        <w:t>е</w:t>
      </w:r>
      <w:r w:rsidRPr="000F0299">
        <w:t xml:space="preserve"> компетенциј</w:t>
      </w:r>
      <w:r>
        <w:t>е</w:t>
      </w:r>
      <w:r w:rsidRPr="000F0299">
        <w:t xml:space="preserve"> потребн</w:t>
      </w:r>
      <w:r>
        <w:t>е</w:t>
      </w:r>
      <w:r w:rsidRPr="000F0299">
        <w:t xml:space="preserve"> за рад.</w:t>
      </w:r>
    </w:p>
    <w:p w14:paraId="7E8C0197" w14:textId="77777777" w:rsidR="009300FD" w:rsidRPr="000F0299" w:rsidRDefault="009300FD" w:rsidP="009300FD">
      <w:r w:rsidRPr="000F0299">
        <w:t>- Процедура запошљавања и одабир кандидата су ефикасни и засновани на заслугама, гарантују да се упражњена радна места благовремено попуњавају најбољим кандидатима и да новозапослени имају позитивна искуства о процедурама запошљавања.</w:t>
      </w:r>
    </w:p>
    <w:p w14:paraId="5C25ED92" w14:textId="77777777" w:rsidR="009300FD" w:rsidRPr="000F0299" w:rsidRDefault="009300FD" w:rsidP="009300FD">
      <w:r w:rsidRPr="000F0299">
        <w:t>- Процес избора лица на положају је транспарентан, ефикасан и заснован на заслугама, са јасно утврђеним критеријумима за одабир који гарантују да лица на положају имају потребне компетенције за рад на том радном месту.</w:t>
      </w:r>
    </w:p>
    <w:p w14:paraId="3750F308" w14:textId="77777777" w:rsidR="009300FD" w:rsidRPr="000F0299" w:rsidRDefault="009300FD" w:rsidP="009300FD">
      <w:pPr>
        <w:pStyle w:val="Heading4"/>
        <w:rPr>
          <w:lang w:val="sr-Cyrl-RS"/>
        </w:rPr>
      </w:pPr>
      <w:r w:rsidRPr="000F0299">
        <w:rPr>
          <w:lang w:val="sr-Cyrl-RS"/>
        </w:rPr>
        <w:t xml:space="preserve">Анализа ефеката опција за </w:t>
      </w:r>
      <w:r>
        <w:rPr>
          <w:lang w:val="sr-Cyrl-RS"/>
        </w:rPr>
        <w:t xml:space="preserve">посебан </w:t>
      </w:r>
      <w:r w:rsidRPr="000F0299">
        <w:rPr>
          <w:lang w:val="sr-Cyrl-RS"/>
        </w:rPr>
        <w:t>циљ 2.1</w:t>
      </w:r>
    </w:p>
    <w:p w14:paraId="378841EA" w14:textId="77777777" w:rsidR="009300FD" w:rsidRPr="000F0299" w:rsidRDefault="009300FD" w:rsidP="009300FD">
      <w:r w:rsidRPr="0065733F">
        <w:t xml:space="preserve">Тест утицаја опција предвиђених за постизање овог циља </w:t>
      </w:r>
      <w:r w:rsidRPr="000F0299">
        <w:t xml:space="preserve">показао је да </w:t>
      </w:r>
      <w:r>
        <w:t xml:space="preserve">не утичу пресудно на критеријуме, тј. њихов утицај би био само умерено </w:t>
      </w:r>
      <w:r w:rsidRPr="000F0299">
        <w:t>релевант</w:t>
      </w:r>
      <w:r>
        <w:t>а</w:t>
      </w:r>
      <w:r w:rsidRPr="000F0299">
        <w:t xml:space="preserve">н. Пошто </w:t>
      </w:r>
      <w:r>
        <w:t>су постигнута три</w:t>
      </w:r>
      <w:r w:rsidRPr="000F0299">
        <w:t xml:space="preserve"> од максималн</w:t>
      </w:r>
      <w:r>
        <w:t>о</w:t>
      </w:r>
      <w:r w:rsidRPr="000F0299">
        <w:t xml:space="preserve"> 14 бодова, детаљна анализа ефеката није потребна.</w:t>
      </w:r>
    </w:p>
    <w:p w14:paraId="015576D8" w14:textId="77777777" w:rsidR="009300FD" w:rsidRPr="000F0299" w:rsidRDefault="009300FD" w:rsidP="009300FD">
      <w:pPr>
        <w:ind w:firstLine="0"/>
        <w:rPr>
          <w:b/>
          <w:bCs/>
        </w:rPr>
      </w:pPr>
      <w:r w:rsidRPr="000F0299">
        <w:rPr>
          <w:b/>
          <w:bCs/>
        </w:rPr>
        <w:t>Тест утицаја</w:t>
      </w:r>
    </w:p>
    <w:tbl>
      <w:tblPr>
        <w:tblStyle w:val="ListTable2-Accent31"/>
        <w:tblW w:w="5000" w:type="pct"/>
        <w:tblLook w:val="0620" w:firstRow="1" w:lastRow="0" w:firstColumn="0" w:lastColumn="0" w:noHBand="1" w:noVBand="1"/>
      </w:tblPr>
      <w:tblGrid>
        <w:gridCol w:w="7986"/>
        <w:gridCol w:w="1652"/>
      </w:tblGrid>
      <w:tr w:rsidR="009300FD" w:rsidRPr="000F0299" w14:paraId="662A5846" w14:textId="77777777" w:rsidTr="00DF2530">
        <w:trPr>
          <w:cnfStyle w:val="100000000000" w:firstRow="1" w:lastRow="0" w:firstColumn="0" w:lastColumn="0" w:oddVBand="0" w:evenVBand="0" w:oddHBand="0" w:evenHBand="0" w:firstRowFirstColumn="0" w:firstRowLastColumn="0" w:lastRowFirstColumn="0" w:lastRowLastColumn="0"/>
        </w:trPr>
        <w:tc>
          <w:tcPr>
            <w:tcW w:w="4143" w:type="pct"/>
          </w:tcPr>
          <w:p w14:paraId="46BCDEDC" w14:textId="77777777" w:rsidR="009300FD" w:rsidRPr="000F0299" w:rsidRDefault="009300FD" w:rsidP="00DF2530">
            <w:pPr>
              <w:pStyle w:val="basic-paragraph"/>
              <w:spacing w:before="0" w:beforeAutospacing="0" w:after="60" w:afterAutospacing="0"/>
              <w:ind w:firstLine="0"/>
              <w:rPr>
                <w:lang w:val="sr-Cyrl-RS"/>
              </w:rPr>
            </w:pPr>
            <w:r w:rsidRPr="000F0299">
              <w:rPr>
                <w:lang w:val="sr-Cyrl-RS"/>
              </w:rPr>
              <w:t>Посебан циљ 2.1:</w:t>
            </w:r>
            <w:r w:rsidRPr="000F0299">
              <w:rPr>
                <w:i/>
                <w:iCs/>
                <w:lang w:val="sr-Cyrl-RS"/>
              </w:rPr>
              <w:t xml:space="preserve"> </w:t>
            </w:r>
            <w:r w:rsidRPr="000F0299">
              <w:rPr>
                <w:lang w:val="sr-Cyrl-RS"/>
              </w:rPr>
              <w:t>Унапређен процес регрутације у јавној управи</w:t>
            </w:r>
          </w:p>
        </w:tc>
        <w:tc>
          <w:tcPr>
            <w:tcW w:w="857" w:type="pct"/>
          </w:tcPr>
          <w:p w14:paraId="56BE8613" w14:textId="77777777" w:rsidR="009300FD" w:rsidRPr="000F0299" w:rsidRDefault="009300FD" w:rsidP="00DF2530">
            <w:pPr>
              <w:spacing w:before="0"/>
              <w:jc w:val="center"/>
            </w:pPr>
            <w:r w:rsidRPr="000F0299">
              <w:t>Бодови</w:t>
            </w:r>
            <w:r w:rsidRPr="000F0299">
              <w:rPr>
                <w:rStyle w:val="FootnoteReference"/>
              </w:rPr>
              <w:footnoteReference w:id="129"/>
            </w:r>
          </w:p>
        </w:tc>
      </w:tr>
      <w:tr w:rsidR="009300FD" w:rsidRPr="000F0299" w14:paraId="0D340A69" w14:textId="77777777" w:rsidTr="00DF2530">
        <w:tc>
          <w:tcPr>
            <w:tcW w:w="5000" w:type="pct"/>
            <w:gridSpan w:val="2"/>
            <w:shd w:val="clear" w:color="auto" w:fill="BFBFBF" w:themeFill="background1" w:themeFillShade="BF"/>
          </w:tcPr>
          <w:p w14:paraId="01895950" w14:textId="77777777" w:rsidR="009300FD" w:rsidRPr="000F0299" w:rsidRDefault="009300FD" w:rsidP="00DF2530">
            <w:pPr>
              <w:spacing w:before="0"/>
              <w:ind w:firstLine="0"/>
              <w:jc w:val="left"/>
            </w:pPr>
            <w:r w:rsidRPr="000F0299">
              <w:t>Квантитативни критеријуми</w:t>
            </w:r>
          </w:p>
        </w:tc>
      </w:tr>
      <w:tr w:rsidR="009300FD" w:rsidRPr="000F0299" w14:paraId="1D5CC0A0" w14:textId="77777777" w:rsidTr="00DF2530">
        <w:tc>
          <w:tcPr>
            <w:tcW w:w="4143" w:type="pct"/>
          </w:tcPr>
          <w:p w14:paraId="20802867" w14:textId="77777777" w:rsidR="009300FD" w:rsidRPr="000F0299" w:rsidRDefault="009300FD" w:rsidP="00DF2530">
            <w:pPr>
              <w:spacing w:before="0"/>
              <w:ind w:firstLine="0"/>
            </w:pPr>
            <w:r w:rsidRPr="000F0299">
              <w:t xml:space="preserve">Промена у приходима и расходима, као и примањима и издацима </w:t>
            </w:r>
            <w:r>
              <w:t>органа државне управе</w:t>
            </w:r>
            <w:r w:rsidRPr="000F0299">
              <w:t xml:space="preserve">/буџету РС, на годишњем нивоу већа од 10% буџета у </w:t>
            </w:r>
            <w:r>
              <w:t xml:space="preserve">односу на </w:t>
            </w:r>
            <w:r w:rsidRPr="000F0299">
              <w:t>п</w:t>
            </w:r>
            <w:r>
              <w:t>ретходну</w:t>
            </w:r>
            <w:r w:rsidRPr="000F0299">
              <w:t xml:space="preserve"> фискалној години</w:t>
            </w:r>
          </w:p>
        </w:tc>
        <w:tc>
          <w:tcPr>
            <w:tcW w:w="857" w:type="pct"/>
          </w:tcPr>
          <w:p w14:paraId="6F9AB69E" w14:textId="77777777" w:rsidR="009300FD" w:rsidRPr="000F0299" w:rsidRDefault="009300FD" w:rsidP="00DF2530">
            <w:pPr>
              <w:spacing w:before="0"/>
              <w:jc w:val="center"/>
            </w:pPr>
            <w:r w:rsidRPr="000F0299">
              <w:t>0</w:t>
            </w:r>
          </w:p>
        </w:tc>
      </w:tr>
      <w:tr w:rsidR="009300FD" w:rsidRPr="000F0299" w14:paraId="72393EBC" w14:textId="77777777" w:rsidTr="00DF2530">
        <w:tc>
          <w:tcPr>
            <w:tcW w:w="4143" w:type="pct"/>
          </w:tcPr>
          <w:p w14:paraId="0A5687AE" w14:textId="77777777" w:rsidR="009300FD" w:rsidRPr="000F0299" w:rsidRDefault="009300FD" w:rsidP="00DF2530">
            <w:pPr>
              <w:spacing w:before="0"/>
              <w:ind w:firstLine="0"/>
            </w:pPr>
            <w:r w:rsidRPr="000F0299">
              <w:t>Утицај на више од 200.000 грађана</w:t>
            </w:r>
          </w:p>
        </w:tc>
        <w:tc>
          <w:tcPr>
            <w:tcW w:w="857" w:type="pct"/>
          </w:tcPr>
          <w:p w14:paraId="349FD19D" w14:textId="77777777" w:rsidR="009300FD" w:rsidRPr="000F0299" w:rsidRDefault="009300FD" w:rsidP="00DF2530">
            <w:pPr>
              <w:spacing w:before="0"/>
              <w:jc w:val="center"/>
            </w:pPr>
            <w:r w:rsidRPr="000F0299">
              <w:t>0</w:t>
            </w:r>
          </w:p>
        </w:tc>
      </w:tr>
      <w:tr w:rsidR="009300FD" w:rsidRPr="000F0299" w14:paraId="6B8B7804" w14:textId="77777777" w:rsidTr="00DF2530">
        <w:tc>
          <w:tcPr>
            <w:tcW w:w="4143" w:type="pct"/>
          </w:tcPr>
          <w:p w14:paraId="1928B62C" w14:textId="77777777" w:rsidR="009300FD" w:rsidRPr="000F0299" w:rsidRDefault="009300FD" w:rsidP="00DF2530">
            <w:pPr>
              <w:spacing w:before="0"/>
              <w:ind w:firstLine="0"/>
            </w:pPr>
            <w:r w:rsidRPr="000F0299">
              <w:t>Утицај на више од 5% предузетника или правних лица, или на више од 20% тих лица у одређеној делатности</w:t>
            </w:r>
          </w:p>
        </w:tc>
        <w:tc>
          <w:tcPr>
            <w:tcW w:w="857" w:type="pct"/>
          </w:tcPr>
          <w:p w14:paraId="49E183D6" w14:textId="77777777" w:rsidR="009300FD" w:rsidRPr="000F0299" w:rsidRDefault="009300FD" w:rsidP="00DF2530">
            <w:pPr>
              <w:spacing w:before="0"/>
              <w:jc w:val="center"/>
            </w:pPr>
            <w:r w:rsidRPr="000F0299">
              <w:t>0</w:t>
            </w:r>
          </w:p>
        </w:tc>
      </w:tr>
      <w:tr w:rsidR="009300FD" w:rsidRPr="000F0299" w14:paraId="5F28C25A" w14:textId="77777777" w:rsidTr="00DF2530">
        <w:tc>
          <w:tcPr>
            <w:tcW w:w="5000" w:type="pct"/>
            <w:gridSpan w:val="2"/>
            <w:shd w:val="clear" w:color="auto" w:fill="BFBFBF" w:themeFill="background1" w:themeFillShade="BF"/>
          </w:tcPr>
          <w:p w14:paraId="60881209" w14:textId="77777777" w:rsidR="009300FD" w:rsidRPr="000F0299" w:rsidRDefault="009300FD" w:rsidP="00DF2530">
            <w:pPr>
              <w:spacing w:before="0"/>
              <w:ind w:firstLine="0"/>
              <w:jc w:val="left"/>
            </w:pPr>
            <w:r w:rsidRPr="000F0299">
              <w:t>Квалитативни критеријуми</w:t>
            </w:r>
          </w:p>
        </w:tc>
      </w:tr>
      <w:tr w:rsidR="009300FD" w:rsidRPr="000F0299" w14:paraId="1AA8BB58" w14:textId="77777777" w:rsidTr="00DF2530">
        <w:tc>
          <w:tcPr>
            <w:tcW w:w="4143" w:type="pct"/>
          </w:tcPr>
          <w:p w14:paraId="39B4E3CB" w14:textId="77777777" w:rsidR="009300FD" w:rsidRPr="000F0299" w:rsidRDefault="009300FD" w:rsidP="00DF2530">
            <w:pPr>
              <w:spacing w:before="0"/>
              <w:ind w:firstLine="0"/>
            </w:pPr>
            <w:r w:rsidRPr="000F0299">
              <w:t>Утицај на тржиште и услове конкуренције/конкурентности</w:t>
            </w:r>
          </w:p>
        </w:tc>
        <w:tc>
          <w:tcPr>
            <w:tcW w:w="857" w:type="pct"/>
          </w:tcPr>
          <w:p w14:paraId="6B93A834" w14:textId="77777777" w:rsidR="009300FD" w:rsidRPr="000F0299" w:rsidRDefault="009300FD" w:rsidP="00DF2530">
            <w:pPr>
              <w:spacing w:before="0"/>
              <w:jc w:val="center"/>
            </w:pPr>
            <w:r w:rsidRPr="000F0299">
              <w:t>0</w:t>
            </w:r>
          </w:p>
        </w:tc>
      </w:tr>
      <w:tr w:rsidR="009300FD" w:rsidRPr="000F0299" w14:paraId="24399E93" w14:textId="77777777" w:rsidTr="00DF2530">
        <w:tc>
          <w:tcPr>
            <w:tcW w:w="4143" w:type="pct"/>
          </w:tcPr>
          <w:p w14:paraId="5627DA89" w14:textId="77777777" w:rsidR="009300FD" w:rsidRPr="000F0299" w:rsidRDefault="009300FD" w:rsidP="00DF2530">
            <w:pPr>
              <w:spacing w:before="0"/>
              <w:ind w:firstLine="0"/>
            </w:pPr>
            <w:r w:rsidRPr="000F0299">
              <w:t xml:space="preserve">Увођење значајних реформских, односно системских промена </w:t>
            </w:r>
          </w:p>
        </w:tc>
        <w:tc>
          <w:tcPr>
            <w:tcW w:w="857" w:type="pct"/>
          </w:tcPr>
          <w:p w14:paraId="51F7A31E" w14:textId="77777777" w:rsidR="009300FD" w:rsidRPr="000F0299" w:rsidRDefault="009300FD" w:rsidP="00DF2530">
            <w:pPr>
              <w:spacing w:before="0"/>
              <w:jc w:val="center"/>
            </w:pPr>
            <w:r w:rsidRPr="000F0299">
              <w:t>1</w:t>
            </w:r>
          </w:p>
        </w:tc>
      </w:tr>
      <w:tr w:rsidR="009300FD" w:rsidRPr="000F0299" w14:paraId="7F9DD79E" w14:textId="77777777" w:rsidTr="00DF2530">
        <w:tc>
          <w:tcPr>
            <w:tcW w:w="5000" w:type="pct"/>
            <w:gridSpan w:val="2"/>
            <w:shd w:val="clear" w:color="auto" w:fill="BFBFBF" w:themeFill="background1" w:themeFillShade="BF"/>
          </w:tcPr>
          <w:p w14:paraId="51853DBA" w14:textId="77777777" w:rsidR="009300FD" w:rsidRPr="000F0299" w:rsidRDefault="009300FD" w:rsidP="00DF2530">
            <w:pPr>
              <w:spacing w:before="0"/>
              <w:ind w:firstLine="0"/>
              <w:jc w:val="left"/>
            </w:pPr>
            <w:r w:rsidRPr="000F0299">
              <w:t>Хоризонтални критеријуми</w:t>
            </w:r>
          </w:p>
        </w:tc>
      </w:tr>
      <w:tr w:rsidR="009300FD" w:rsidRPr="000F0299" w14:paraId="5AC85231" w14:textId="77777777" w:rsidTr="00DF2530">
        <w:tc>
          <w:tcPr>
            <w:tcW w:w="4143" w:type="pct"/>
          </w:tcPr>
          <w:p w14:paraId="6565BA70" w14:textId="77777777" w:rsidR="009300FD" w:rsidRPr="000F0299" w:rsidRDefault="009300FD" w:rsidP="00DF2530">
            <w:pPr>
              <w:spacing w:before="0"/>
              <w:ind w:firstLine="0"/>
            </w:pPr>
            <w:r w:rsidRPr="000F0299">
              <w:t>Од значаја за остварење једнаког третмана и истих могућности за све</w:t>
            </w:r>
            <w:r w:rsidRPr="00506F0C">
              <w:t xml:space="preserve">, </w:t>
            </w:r>
            <w:r w:rsidRPr="000F0299">
              <w:rPr>
                <w:bCs/>
              </w:rPr>
              <w:t>недискриминације и родне равноправности</w:t>
            </w:r>
          </w:p>
        </w:tc>
        <w:tc>
          <w:tcPr>
            <w:tcW w:w="857" w:type="pct"/>
          </w:tcPr>
          <w:p w14:paraId="0AAE4637" w14:textId="77777777" w:rsidR="009300FD" w:rsidRPr="000F0299" w:rsidRDefault="009300FD" w:rsidP="00DF2530">
            <w:pPr>
              <w:spacing w:before="0"/>
              <w:jc w:val="center"/>
            </w:pPr>
            <w:r w:rsidRPr="000F0299">
              <w:t>1</w:t>
            </w:r>
          </w:p>
        </w:tc>
      </w:tr>
      <w:tr w:rsidR="009300FD" w:rsidRPr="000F0299" w14:paraId="4E3CAA17" w14:textId="77777777" w:rsidTr="00DF2530">
        <w:tc>
          <w:tcPr>
            <w:tcW w:w="5000" w:type="pct"/>
            <w:gridSpan w:val="2"/>
            <w:shd w:val="clear" w:color="auto" w:fill="BFBFBF" w:themeFill="background1" w:themeFillShade="BF"/>
          </w:tcPr>
          <w:p w14:paraId="52061411" w14:textId="77777777" w:rsidR="009300FD" w:rsidRPr="000F0299" w:rsidRDefault="009300FD" w:rsidP="00DF2530">
            <w:pPr>
              <w:spacing w:before="0"/>
              <w:ind w:firstLine="0"/>
              <w:jc w:val="left"/>
            </w:pPr>
            <w:r w:rsidRPr="000F0299">
              <w:t xml:space="preserve">Новине у односу на текуће процесе </w:t>
            </w:r>
            <w:r>
              <w:t>реформе јавне управе</w:t>
            </w:r>
          </w:p>
        </w:tc>
      </w:tr>
      <w:tr w:rsidR="009300FD" w:rsidRPr="000F0299" w14:paraId="16C7FDE2" w14:textId="77777777" w:rsidTr="00DF2530">
        <w:tc>
          <w:tcPr>
            <w:tcW w:w="4143" w:type="pct"/>
          </w:tcPr>
          <w:p w14:paraId="08560D00" w14:textId="77777777" w:rsidR="009300FD" w:rsidRPr="000F0299" w:rsidRDefault="009300FD" w:rsidP="00DF2530">
            <w:pPr>
              <w:spacing w:before="0"/>
              <w:ind w:firstLine="0"/>
            </w:pPr>
            <w:r w:rsidRPr="000F0299">
              <w:t>Новина у оквиру реформе јавне управе</w:t>
            </w:r>
          </w:p>
        </w:tc>
        <w:tc>
          <w:tcPr>
            <w:tcW w:w="857" w:type="pct"/>
          </w:tcPr>
          <w:p w14:paraId="683D67E7" w14:textId="77777777" w:rsidR="009300FD" w:rsidRPr="000F0299" w:rsidRDefault="009300FD" w:rsidP="00DF2530">
            <w:pPr>
              <w:spacing w:before="0"/>
              <w:jc w:val="center"/>
            </w:pPr>
            <w:r w:rsidRPr="000F0299">
              <w:t>1</w:t>
            </w:r>
          </w:p>
        </w:tc>
      </w:tr>
      <w:tr w:rsidR="009300FD" w:rsidRPr="000F0299" w14:paraId="190BA2CB" w14:textId="77777777" w:rsidTr="00DF2530">
        <w:tc>
          <w:tcPr>
            <w:tcW w:w="4143" w:type="pct"/>
          </w:tcPr>
          <w:p w14:paraId="11638F56" w14:textId="77777777" w:rsidR="009300FD" w:rsidRPr="000F0299" w:rsidRDefault="009300FD" w:rsidP="00DF2530">
            <w:pPr>
              <w:spacing w:before="0"/>
              <w:ind w:firstLine="0"/>
              <w:rPr>
                <w:b/>
                <w:bCs/>
              </w:rPr>
            </w:pPr>
            <w:r w:rsidRPr="000F0299">
              <w:rPr>
                <w:b/>
                <w:bCs/>
              </w:rPr>
              <w:t>УКУПНО:</w:t>
            </w:r>
          </w:p>
        </w:tc>
        <w:tc>
          <w:tcPr>
            <w:tcW w:w="857" w:type="pct"/>
          </w:tcPr>
          <w:p w14:paraId="337E8D9E" w14:textId="77777777" w:rsidR="009300FD" w:rsidRPr="000F0299" w:rsidRDefault="009300FD" w:rsidP="00DF2530">
            <w:pPr>
              <w:spacing w:before="0"/>
              <w:jc w:val="center"/>
              <w:rPr>
                <w:b/>
                <w:bCs/>
              </w:rPr>
            </w:pPr>
            <w:r w:rsidRPr="000F0299">
              <w:rPr>
                <w:b/>
                <w:bCs/>
              </w:rPr>
              <w:t>3/14</w:t>
            </w:r>
          </w:p>
        </w:tc>
      </w:tr>
    </w:tbl>
    <w:p w14:paraId="047E4775" w14:textId="18790BCF" w:rsidR="003F3312" w:rsidRPr="000F0299" w:rsidRDefault="00F47F65" w:rsidP="00C013C7">
      <w:pPr>
        <w:pStyle w:val="Heading4"/>
        <w:rPr>
          <w:lang w:val="sr-Cyrl-RS"/>
        </w:rPr>
      </w:pPr>
      <w:hyperlink w:anchor="_Посебан_циљ_2.1:" w:history="1">
        <w:r w:rsidR="00680BBA" w:rsidRPr="00797D36">
          <w:rPr>
            <w:rStyle w:val="Hyperlink"/>
            <w:lang w:val="sr-Cyrl-RS"/>
          </w:rPr>
          <w:t>Мере за постизање посебног циља 2</w:t>
        </w:r>
        <w:r w:rsidR="003F3312" w:rsidRPr="00797D36">
          <w:rPr>
            <w:rStyle w:val="Hyperlink"/>
            <w:lang w:val="sr-Cyrl-RS"/>
          </w:rPr>
          <w:t>.1.</w:t>
        </w:r>
      </w:hyperlink>
    </w:p>
    <w:p w14:paraId="7B87F6B8" w14:textId="74B4B543" w:rsidR="003F3312" w:rsidRPr="000F0299" w:rsidRDefault="00D43E6D" w:rsidP="00680BBA">
      <w:pPr>
        <w:rPr>
          <w:b/>
          <w:bCs/>
          <w:lang w:eastAsia="de-DE"/>
        </w:rPr>
      </w:pPr>
      <w:r w:rsidRPr="000F0299">
        <w:rPr>
          <w:b/>
          <w:bCs/>
        </w:rPr>
        <w:t>Meрa</w:t>
      </w:r>
      <w:r w:rsidR="003F3312" w:rsidRPr="000F0299">
        <w:rPr>
          <w:b/>
          <w:bCs/>
        </w:rPr>
        <w:t xml:space="preserve"> 2.1.1: Унапређење кадровског планирања и промовисање државне управе као пожељног послодавца</w:t>
      </w:r>
      <w:r w:rsidR="003F3312" w:rsidRPr="000F0299">
        <w:rPr>
          <w:b/>
          <w:bCs/>
          <w:lang w:eastAsia="de-DE"/>
        </w:rPr>
        <w:t xml:space="preserve"> </w:t>
      </w:r>
    </w:p>
    <w:tbl>
      <w:tblPr>
        <w:tblW w:w="5000" w:type="pct"/>
        <w:tblLook w:val="00A0" w:firstRow="1" w:lastRow="0" w:firstColumn="1" w:lastColumn="0" w:noHBand="0" w:noVBand="0"/>
      </w:tblPr>
      <w:tblGrid>
        <w:gridCol w:w="364"/>
        <w:gridCol w:w="4905"/>
        <w:gridCol w:w="1984"/>
        <w:gridCol w:w="1984"/>
        <w:gridCol w:w="355"/>
      </w:tblGrid>
      <w:tr w:rsidR="00680BBA" w:rsidRPr="000F0299" w14:paraId="79F13F0E" w14:textId="77777777" w:rsidTr="009300FD">
        <w:trPr>
          <w:trHeight w:val="20"/>
        </w:trPr>
        <w:tc>
          <w:tcPr>
            <w:tcW w:w="190" w:type="pct"/>
            <w:tcBorders>
              <w:top w:val="single" w:sz="18" w:space="0" w:color="C00000"/>
              <w:left w:val="single" w:sz="18" w:space="0" w:color="C00000"/>
            </w:tcBorders>
            <w:shd w:val="clear" w:color="auto" w:fill="auto"/>
          </w:tcPr>
          <w:p w14:paraId="0EB3F123" w14:textId="77777777" w:rsidR="00680BBA" w:rsidRPr="000F0299" w:rsidRDefault="00680BBA" w:rsidP="00433570">
            <w:pPr>
              <w:spacing w:before="0"/>
              <w:ind w:firstLine="0"/>
              <w:rPr>
                <w:b/>
                <w:bCs/>
                <w:sz w:val="16"/>
                <w:szCs w:val="16"/>
              </w:rPr>
            </w:pPr>
          </w:p>
        </w:tc>
        <w:tc>
          <w:tcPr>
            <w:tcW w:w="2557" w:type="pct"/>
            <w:tcBorders>
              <w:top w:val="single" w:sz="18" w:space="0" w:color="C00000"/>
            </w:tcBorders>
            <w:shd w:val="clear" w:color="auto" w:fill="auto"/>
          </w:tcPr>
          <w:p w14:paraId="28368C3B" w14:textId="77777777" w:rsidR="00680BBA" w:rsidRPr="000F0299" w:rsidRDefault="00680BBA" w:rsidP="00433570">
            <w:pPr>
              <w:spacing w:before="0"/>
              <w:ind w:firstLine="0"/>
              <w:rPr>
                <w:b/>
                <w:bCs/>
                <w:sz w:val="16"/>
                <w:szCs w:val="16"/>
              </w:rPr>
            </w:pPr>
          </w:p>
        </w:tc>
        <w:tc>
          <w:tcPr>
            <w:tcW w:w="1034" w:type="pct"/>
            <w:tcBorders>
              <w:top w:val="single" w:sz="18" w:space="0" w:color="C00000"/>
            </w:tcBorders>
            <w:shd w:val="clear" w:color="auto" w:fill="auto"/>
            <w:vAlign w:val="center"/>
          </w:tcPr>
          <w:p w14:paraId="4FAE75F8" w14:textId="77777777" w:rsidR="00680BBA" w:rsidRPr="000F0299" w:rsidRDefault="00680BBA" w:rsidP="00433570">
            <w:pPr>
              <w:spacing w:before="0"/>
              <w:ind w:firstLine="0"/>
              <w:jc w:val="center"/>
              <w:rPr>
                <w:b/>
                <w:bCs/>
                <w:sz w:val="16"/>
                <w:szCs w:val="16"/>
              </w:rPr>
            </w:pPr>
          </w:p>
        </w:tc>
        <w:tc>
          <w:tcPr>
            <w:tcW w:w="1034" w:type="pct"/>
            <w:tcBorders>
              <w:top w:val="single" w:sz="18" w:space="0" w:color="C00000"/>
            </w:tcBorders>
            <w:shd w:val="clear" w:color="auto" w:fill="auto"/>
            <w:vAlign w:val="center"/>
          </w:tcPr>
          <w:p w14:paraId="72F09052" w14:textId="77777777" w:rsidR="00680BBA" w:rsidRPr="000F0299" w:rsidRDefault="00680BBA" w:rsidP="00433570">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11DD82D7" w14:textId="77777777" w:rsidR="00680BBA" w:rsidRPr="000F0299" w:rsidRDefault="00680BBA" w:rsidP="00433570">
            <w:pPr>
              <w:spacing w:before="0"/>
              <w:ind w:firstLine="0"/>
              <w:jc w:val="center"/>
              <w:rPr>
                <w:b/>
                <w:bCs/>
                <w:sz w:val="16"/>
                <w:szCs w:val="16"/>
              </w:rPr>
            </w:pPr>
          </w:p>
        </w:tc>
      </w:tr>
      <w:tr w:rsidR="00680BBA" w:rsidRPr="000F0299" w14:paraId="4A2586EC" w14:textId="77777777" w:rsidTr="009300FD">
        <w:trPr>
          <w:trHeight w:val="490"/>
        </w:trPr>
        <w:tc>
          <w:tcPr>
            <w:tcW w:w="190" w:type="pct"/>
            <w:tcBorders>
              <w:left w:val="single" w:sz="18" w:space="0" w:color="C00000"/>
            </w:tcBorders>
            <w:shd w:val="clear" w:color="auto" w:fill="auto"/>
          </w:tcPr>
          <w:p w14:paraId="370CEAD5" w14:textId="77777777" w:rsidR="00680BBA" w:rsidRPr="000F0299" w:rsidRDefault="00680BBA" w:rsidP="00433570">
            <w:pPr>
              <w:spacing w:before="0"/>
              <w:ind w:firstLine="0"/>
              <w:rPr>
                <w:b/>
                <w:bCs/>
              </w:rPr>
            </w:pPr>
          </w:p>
        </w:tc>
        <w:tc>
          <w:tcPr>
            <w:tcW w:w="2557" w:type="pct"/>
            <w:tcBorders>
              <w:left w:val="nil"/>
              <w:bottom w:val="single" w:sz="18" w:space="0" w:color="C00000"/>
              <w:right w:val="single" w:sz="18" w:space="0" w:color="D9D9D9" w:themeColor="background1" w:themeShade="D9"/>
            </w:tcBorders>
            <w:shd w:val="clear" w:color="auto" w:fill="auto"/>
          </w:tcPr>
          <w:p w14:paraId="0599B2D7" w14:textId="0F82A654" w:rsidR="00680BBA" w:rsidRPr="000F0299" w:rsidRDefault="00680BBA" w:rsidP="00433570">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746EA430" w14:textId="77777777" w:rsidR="00680BBA" w:rsidRPr="000F0299" w:rsidRDefault="00680BBA" w:rsidP="00433570">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539DCD95" w14:textId="77777777" w:rsidR="00680BBA" w:rsidRPr="000F0299" w:rsidRDefault="00680BBA" w:rsidP="00433570">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67E4A89D" w14:textId="77777777" w:rsidR="00680BBA" w:rsidRPr="000F0299" w:rsidRDefault="00680BBA" w:rsidP="00433570">
            <w:pPr>
              <w:spacing w:before="0"/>
              <w:ind w:firstLine="0"/>
              <w:jc w:val="center"/>
              <w:rPr>
                <w:b/>
                <w:bCs/>
              </w:rPr>
            </w:pPr>
          </w:p>
        </w:tc>
      </w:tr>
      <w:tr w:rsidR="00680BBA" w:rsidRPr="000F0299" w14:paraId="537EBDAE" w14:textId="77777777" w:rsidTr="001171A9">
        <w:trPr>
          <w:trHeight w:val="437"/>
        </w:trPr>
        <w:tc>
          <w:tcPr>
            <w:tcW w:w="190" w:type="pct"/>
            <w:tcBorders>
              <w:left w:val="single" w:sz="18" w:space="0" w:color="C00000"/>
            </w:tcBorders>
            <w:shd w:val="clear" w:color="auto" w:fill="auto"/>
          </w:tcPr>
          <w:p w14:paraId="1CB5D731" w14:textId="77777777" w:rsidR="00680BBA" w:rsidRPr="000F0299" w:rsidRDefault="00680BBA" w:rsidP="00433570">
            <w:pPr>
              <w:spacing w:before="0"/>
              <w:ind w:firstLine="0"/>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070D22E9" w14:textId="717C6E76" w:rsidR="00680BBA" w:rsidRPr="000F0299" w:rsidRDefault="00680BBA" w:rsidP="00433570">
            <w:pPr>
              <w:spacing w:before="0"/>
              <w:ind w:firstLine="0"/>
            </w:pPr>
            <w:r w:rsidRPr="000F0299">
              <w:t>Запошљавање засновано на исказаним кадровским потребама органа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1E00E949" w14:textId="7B633DB6" w:rsidR="00680BBA" w:rsidRPr="000F0299" w:rsidRDefault="00680BBA" w:rsidP="00433570">
            <w:pPr>
              <w:spacing w:before="0"/>
              <w:ind w:firstLine="0"/>
            </w:pPr>
            <w:r w:rsidRPr="000F0299">
              <w:t xml:space="preserve">(2020): </w:t>
            </w:r>
            <w:r w:rsidR="00F66DB6" w:rsidRPr="000F0299">
              <w:t>20%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2402688B" w14:textId="08C15C69" w:rsidR="00680BBA" w:rsidRPr="000F0299" w:rsidRDefault="00680BBA" w:rsidP="00433570">
            <w:pPr>
              <w:spacing w:before="0"/>
              <w:ind w:firstLine="0"/>
            </w:pPr>
            <w:r w:rsidRPr="000F0299">
              <w:t xml:space="preserve">(2021): </w:t>
            </w:r>
            <w:r w:rsidR="0095613A">
              <w:t>25</w:t>
            </w:r>
            <w:r w:rsidR="00F66DB6" w:rsidRPr="000F0299">
              <w:t>-30%</w:t>
            </w:r>
          </w:p>
          <w:p w14:paraId="0B7159DE" w14:textId="2134979F" w:rsidR="00680BBA" w:rsidRPr="000F0299" w:rsidRDefault="00680BBA" w:rsidP="00433570">
            <w:pPr>
              <w:spacing w:before="0"/>
              <w:ind w:firstLine="0"/>
            </w:pPr>
            <w:r w:rsidRPr="000F0299">
              <w:t xml:space="preserve">(2022): </w:t>
            </w:r>
            <w:r w:rsidR="0095613A">
              <w:t>30</w:t>
            </w:r>
            <w:r w:rsidR="00F66DB6" w:rsidRPr="000F0299">
              <w:t>-35%</w:t>
            </w:r>
          </w:p>
          <w:p w14:paraId="16914410" w14:textId="40FDD4C0" w:rsidR="00680BBA" w:rsidRPr="000F0299" w:rsidRDefault="00680BBA" w:rsidP="00433570">
            <w:pPr>
              <w:spacing w:before="0"/>
              <w:ind w:firstLine="0"/>
            </w:pPr>
            <w:r w:rsidRPr="000F0299">
              <w:t xml:space="preserve">(2023): </w:t>
            </w:r>
            <w:r w:rsidR="0095613A">
              <w:t>35</w:t>
            </w:r>
            <w:r w:rsidR="00F66DB6" w:rsidRPr="000F0299">
              <w:t>-40%</w:t>
            </w:r>
          </w:p>
          <w:p w14:paraId="5DECC5F2" w14:textId="3AB72A0A" w:rsidR="00680BBA" w:rsidRPr="000F0299" w:rsidRDefault="00680BBA" w:rsidP="00433570">
            <w:pPr>
              <w:spacing w:before="0"/>
              <w:ind w:firstLine="0"/>
            </w:pPr>
            <w:r w:rsidRPr="000F0299">
              <w:t xml:space="preserve">(2024): </w:t>
            </w:r>
            <w:r w:rsidR="0095613A">
              <w:t>40</w:t>
            </w:r>
            <w:r w:rsidR="00F66DB6" w:rsidRPr="000F0299">
              <w:t>-45%</w:t>
            </w:r>
          </w:p>
          <w:p w14:paraId="5F72AE3A" w14:textId="4A4C25DA" w:rsidR="00680BBA" w:rsidRPr="000F0299" w:rsidRDefault="00680BBA" w:rsidP="00433570">
            <w:pPr>
              <w:spacing w:before="0"/>
              <w:ind w:firstLine="0"/>
            </w:pPr>
            <w:r w:rsidRPr="000F0299">
              <w:t xml:space="preserve">(2025): </w:t>
            </w:r>
            <w:r w:rsidR="0095613A">
              <w:t>45</w:t>
            </w:r>
            <w:r w:rsidR="00F66DB6" w:rsidRPr="000F0299">
              <w:t>-50%</w:t>
            </w:r>
          </w:p>
          <w:p w14:paraId="4D92D4B1" w14:textId="05E776BE" w:rsidR="00680BBA" w:rsidRPr="000F0299" w:rsidRDefault="00680BBA" w:rsidP="00433570">
            <w:pPr>
              <w:spacing w:before="0"/>
              <w:ind w:firstLine="0"/>
            </w:pPr>
            <w:r w:rsidRPr="000F0299">
              <w:t xml:space="preserve">(2027): </w:t>
            </w:r>
            <w:r w:rsidR="0095613A">
              <w:t>55</w:t>
            </w:r>
            <w:r w:rsidR="00F66DB6" w:rsidRPr="000F0299">
              <w:t>-60%</w:t>
            </w:r>
          </w:p>
          <w:p w14:paraId="14F65A2D" w14:textId="1157883A" w:rsidR="00680BBA" w:rsidRPr="000F0299" w:rsidRDefault="00680BBA" w:rsidP="00433570">
            <w:pPr>
              <w:spacing w:before="0"/>
              <w:ind w:firstLine="0"/>
            </w:pPr>
            <w:r w:rsidRPr="000F0299">
              <w:t xml:space="preserve">(2030): </w:t>
            </w:r>
            <w:r w:rsidR="0095613A">
              <w:t>80</w:t>
            </w:r>
            <w:r w:rsidR="00F66DB6" w:rsidRPr="000F0299">
              <w:t>-95%</w:t>
            </w:r>
          </w:p>
        </w:tc>
        <w:tc>
          <w:tcPr>
            <w:tcW w:w="185" w:type="pct"/>
            <w:tcBorders>
              <w:right w:val="single" w:sz="18" w:space="0" w:color="C00000"/>
            </w:tcBorders>
            <w:shd w:val="clear" w:color="auto" w:fill="auto"/>
          </w:tcPr>
          <w:p w14:paraId="49EE3BF3" w14:textId="77777777" w:rsidR="00680BBA" w:rsidRPr="000F0299" w:rsidRDefault="00680BBA" w:rsidP="00433570">
            <w:pPr>
              <w:spacing w:before="0"/>
              <w:ind w:firstLine="0"/>
            </w:pPr>
          </w:p>
        </w:tc>
      </w:tr>
      <w:tr w:rsidR="00680BBA" w:rsidRPr="000F0299" w14:paraId="05BEBBF5" w14:textId="77777777" w:rsidTr="009300FD">
        <w:trPr>
          <w:trHeight w:val="340"/>
        </w:trPr>
        <w:tc>
          <w:tcPr>
            <w:tcW w:w="190" w:type="pct"/>
            <w:tcBorders>
              <w:left w:val="single" w:sz="18" w:space="0" w:color="C00000"/>
              <w:bottom w:val="single" w:sz="18" w:space="0" w:color="C00000"/>
            </w:tcBorders>
            <w:shd w:val="clear" w:color="auto" w:fill="auto"/>
          </w:tcPr>
          <w:p w14:paraId="403FA556" w14:textId="77777777" w:rsidR="00680BBA" w:rsidRPr="000F0299" w:rsidRDefault="00680BBA" w:rsidP="00433570">
            <w:pPr>
              <w:spacing w:before="0"/>
              <w:ind w:firstLine="0"/>
              <w:rPr>
                <w:sz w:val="16"/>
                <w:szCs w:val="16"/>
              </w:rPr>
            </w:pPr>
          </w:p>
        </w:tc>
        <w:tc>
          <w:tcPr>
            <w:tcW w:w="2557" w:type="pct"/>
            <w:tcBorders>
              <w:top w:val="single" w:sz="18" w:space="0" w:color="D9D9D9" w:themeColor="background1" w:themeShade="D9"/>
              <w:bottom w:val="single" w:sz="18" w:space="0" w:color="C00000"/>
            </w:tcBorders>
            <w:shd w:val="clear" w:color="auto" w:fill="auto"/>
          </w:tcPr>
          <w:p w14:paraId="64B6A803" w14:textId="77777777" w:rsidR="00680BBA" w:rsidRPr="000F0299" w:rsidRDefault="00680BBA" w:rsidP="00433570">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4E5857C7" w14:textId="77777777" w:rsidR="00680BBA" w:rsidRPr="000F0299" w:rsidRDefault="00680BBA" w:rsidP="00433570">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2E2C3B38" w14:textId="77777777" w:rsidR="00680BBA" w:rsidRPr="000F0299" w:rsidRDefault="00680BBA" w:rsidP="00433570">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71E8A995" w14:textId="77777777" w:rsidR="00680BBA" w:rsidRPr="000F0299" w:rsidRDefault="00680BBA" w:rsidP="00433570">
            <w:pPr>
              <w:spacing w:before="0"/>
              <w:ind w:firstLine="0"/>
              <w:rPr>
                <w:sz w:val="16"/>
                <w:szCs w:val="16"/>
              </w:rPr>
            </w:pPr>
          </w:p>
        </w:tc>
      </w:tr>
    </w:tbl>
    <w:p w14:paraId="2EC77115" w14:textId="63B31FAF" w:rsidR="009300FD" w:rsidRPr="000F0299" w:rsidRDefault="009300FD" w:rsidP="009300FD">
      <w:pPr>
        <w:rPr>
          <w:color w:val="FF0000"/>
        </w:rPr>
      </w:pPr>
      <w:r w:rsidRPr="000F0299">
        <w:t>Средњорочно гледано (2021</w:t>
      </w:r>
      <w:r>
        <w:t>–</w:t>
      </w:r>
      <w:r w:rsidRPr="000F0299">
        <w:t xml:space="preserve">2025), </w:t>
      </w:r>
      <w:r>
        <w:t xml:space="preserve">ова мера је усмерена </w:t>
      </w:r>
      <w:r w:rsidRPr="000F0299">
        <w:t xml:space="preserve">на промовисање државне управе као пожељног послодавца, </w:t>
      </w:r>
      <w:r>
        <w:t xml:space="preserve">а обухвата </w:t>
      </w:r>
      <w:r w:rsidRPr="000F0299">
        <w:t>израду комуникационог плана за промотивне активности и њ</w:t>
      </w:r>
      <w:r>
        <w:t xml:space="preserve">егово </w:t>
      </w:r>
      <w:r w:rsidRPr="000F0299">
        <w:t>спровођење кроз радионице и семинаре, упознавање грађана са различитим пословима у јавној управи, као и промоциј</w:t>
      </w:r>
      <w:r>
        <w:t>у</w:t>
      </w:r>
      <w:r w:rsidRPr="000F0299">
        <w:t xml:space="preserve"> </w:t>
      </w:r>
      <w:r>
        <w:t xml:space="preserve">јавне управе </w:t>
      </w:r>
      <w:r w:rsidRPr="000F0299">
        <w:t xml:space="preserve">у медијима и на друштвеним мрежама. Поред тога, </w:t>
      </w:r>
      <w:r>
        <w:t xml:space="preserve">обухвата </w:t>
      </w:r>
      <w:r w:rsidRPr="000F0299">
        <w:t>јачањ</w:t>
      </w:r>
      <w:r>
        <w:t>е</w:t>
      </w:r>
      <w:r w:rsidRPr="000F0299">
        <w:t xml:space="preserve"> сарадње између органа државне управе и високошколских институција како би се развиле стручне праксе у органима државне управе за студенте на завршним годинама студија</w:t>
      </w:r>
      <w:r>
        <w:t xml:space="preserve">. Тиме </w:t>
      </w:r>
      <w:r w:rsidRPr="000F0299">
        <w:t xml:space="preserve">би се омогућило студентима да стекну неопходне вештине како би се мотивисали да се пријављују на конкурсе и </w:t>
      </w:r>
      <w:r>
        <w:t xml:space="preserve">како би </w:t>
      </w:r>
      <w:r w:rsidRPr="000F0299">
        <w:t>што успешније прошли процес селекције. Такође, фокус ће се ставити на развој нове методологије кадровског планирања засноване на процени стварних потреба за недостајућим кадровима са одговарајућим компетенцијама.</w:t>
      </w:r>
    </w:p>
    <w:p w14:paraId="344A0FB1" w14:textId="77777777" w:rsidR="009300FD" w:rsidRPr="000F0299" w:rsidRDefault="009300FD" w:rsidP="009300FD">
      <w:r w:rsidRPr="000F0299">
        <w:t>Дугорочно гледано (2025</w:t>
      </w:r>
      <w:r>
        <w:t>–</w:t>
      </w:r>
      <w:r w:rsidRPr="000F0299">
        <w:t xml:space="preserve">2030), ова мера </w:t>
      </w:r>
      <w:r>
        <w:t xml:space="preserve">је усмерена </w:t>
      </w:r>
      <w:r w:rsidRPr="000F0299">
        <w:t>на структу</w:t>
      </w:r>
      <w:r>
        <w:t>р</w:t>
      </w:r>
      <w:r w:rsidRPr="000F0299">
        <w:t>иран приступ привлачењу и задржавању квалификован</w:t>
      </w:r>
      <w:r>
        <w:t>ог</w:t>
      </w:r>
      <w:r w:rsidRPr="000F0299">
        <w:t xml:space="preserve"> кадра у складу са стратешким правцима организације и стратешким планирањем људских ресурса, </w:t>
      </w:r>
      <w:r>
        <w:t xml:space="preserve">што обухвата </w:t>
      </w:r>
      <w:r w:rsidRPr="000F0299">
        <w:t>повећање транспарентности запошљавања, промоциј</w:t>
      </w:r>
      <w:r>
        <w:t>у</w:t>
      </w:r>
      <w:r w:rsidRPr="000F0299">
        <w:t xml:space="preserve"> кључних вредности јавне управе, </w:t>
      </w:r>
      <w:r>
        <w:t>представљање</w:t>
      </w:r>
      <w:r w:rsidRPr="000F0299">
        <w:t xml:space="preserve"> управе као пожељног послодавца и др.</w:t>
      </w:r>
    </w:p>
    <w:p w14:paraId="08994A5E" w14:textId="7265DD59" w:rsidR="003F3312" w:rsidRPr="000F0299" w:rsidRDefault="00D43E6D" w:rsidP="00244E7C">
      <w:pPr>
        <w:rPr>
          <w:b/>
          <w:bCs/>
        </w:rPr>
      </w:pPr>
      <w:r w:rsidRPr="000F0299">
        <w:rPr>
          <w:b/>
          <w:bCs/>
        </w:rPr>
        <w:t>Meрa</w:t>
      </w:r>
      <w:r w:rsidR="003F3312" w:rsidRPr="000F0299">
        <w:rPr>
          <w:b/>
          <w:bCs/>
        </w:rPr>
        <w:t xml:space="preserve"> 2.1.2 Унапређење процеса селекције и увођење новозапослених у посао</w:t>
      </w:r>
    </w:p>
    <w:tbl>
      <w:tblPr>
        <w:tblW w:w="5000" w:type="pct"/>
        <w:tblLook w:val="00A0" w:firstRow="1" w:lastRow="0" w:firstColumn="1" w:lastColumn="0" w:noHBand="0" w:noVBand="0"/>
      </w:tblPr>
      <w:tblGrid>
        <w:gridCol w:w="364"/>
        <w:gridCol w:w="4905"/>
        <w:gridCol w:w="1984"/>
        <w:gridCol w:w="1984"/>
        <w:gridCol w:w="355"/>
      </w:tblGrid>
      <w:tr w:rsidR="00F66DB6" w:rsidRPr="000F0299" w14:paraId="2ED6E609" w14:textId="77777777" w:rsidTr="009300FD">
        <w:trPr>
          <w:trHeight w:val="20"/>
        </w:trPr>
        <w:tc>
          <w:tcPr>
            <w:tcW w:w="190" w:type="pct"/>
            <w:tcBorders>
              <w:top w:val="single" w:sz="18" w:space="0" w:color="C00000"/>
              <w:left w:val="single" w:sz="18" w:space="0" w:color="C00000"/>
            </w:tcBorders>
            <w:shd w:val="clear" w:color="auto" w:fill="auto"/>
          </w:tcPr>
          <w:p w14:paraId="09904E83" w14:textId="77777777" w:rsidR="00F66DB6" w:rsidRPr="000F0299" w:rsidRDefault="00F66DB6" w:rsidP="005A56DA">
            <w:pPr>
              <w:spacing w:before="0"/>
              <w:ind w:firstLine="0"/>
              <w:rPr>
                <w:b/>
                <w:bCs/>
                <w:sz w:val="16"/>
                <w:szCs w:val="16"/>
              </w:rPr>
            </w:pPr>
          </w:p>
        </w:tc>
        <w:tc>
          <w:tcPr>
            <w:tcW w:w="2557" w:type="pct"/>
            <w:tcBorders>
              <w:top w:val="single" w:sz="18" w:space="0" w:color="C00000"/>
            </w:tcBorders>
            <w:shd w:val="clear" w:color="auto" w:fill="auto"/>
          </w:tcPr>
          <w:p w14:paraId="0020B8EE" w14:textId="77777777" w:rsidR="00F66DB6" w:rsidRPr="000F0299" w:rsidRDefault="00F66DB6" w:rsidP="005A56DA">
            <w:pPr>
              <w:spacing w:before="0"/>
              <w:ind w:firstLine="0"/>
              <w:rPr>
                <w:b/>
                <w:bCs/>
                <w:sz w:val="16"/>
                <w:szCs w:val="16"/>
              </w:rPr>
            </w:pPr>
          </w:p>
        </w:tc>
        <w:tc>
          <w:tcPr>
            <w:tcW w:w="1034" w:type="pct"/>
            <w:tcBorders>
              <w:top w:val="single" w:sz="18" w:space="0" w:color="C00000"/>
            </w:tcBorders>
            <w:shd w:val="clear" w:color="auto" w:fill="auto"/>
            <w:vAlign w:val="center"/>
          </w:tcPr>
          <w:p w14:paraId="026344ED" w14:textId="77777777" w:rsidR="00F66DB6" w:rsidRPr="000F0299" w:rsidRDefault="00F66DB6" w:rsidP="005A56DA">
            <w:pPr>
              <w:spacing w:before="0"/>
              <w:ind w:firstLine="0"/>
              <w:jc w:val="center"/>
              <w:rPr>
                <w:b/>
                <w:bCs/>
                <w:sz w:val="16"/>
                <w:szCs w:val="16"/>
              </w:rPr>
            </w:pPr>
          </w:p>
        </w:tc>
        <w:tc>
          <w:tcPr>
            <w:tcW w:w="1034" w:type="pct"/>
            <w:tcBorders>
              <w:top w:val="single" w:sz="18" w:space="0" w:color="C00000"/>
            </w:tcBorders>
            <w:shd w:val="clear" w:color="auto" w:fill="auto"/>
            <w:vAlign w:val="center"/>
          </w:tcPr>
          <w:p w14:paraId="3557EFFF" w14:textId="77777777" w:rsidR="00F66DB6" w:rsidRPr="000F0299" w:rsidRDefault="00F66DB6" w:rsidP="005A56DA">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099EDED2" w14:textId="77777777" w:rsidR="00F66DB6" w:rsidRPr="000F0299" w:rsidRDefault="00F66DB6" w:rsidP="005A56DA">
            <w:pPr>
              <w:spacing w:before="0"/>
              <w:ind w:firstLine="0"/>
              <w:jc w:val="center"/>
              <w:rPr>
                <w:b/>
                <w:bCs/>
                <w:sz w:val="16"/>
                <w:szCs w:val="16"/>
              </w:rPr>
            </w:pPr>
          </w:p>
        </w:tc>
      </w:tr>
      <w:tr w:rsidR="00F66DB6" w:rsidRPr="000F0299" w14:paraId="017C5E3C" w14:textId="77777777" w:rsidTr="009300FD">
        <w:trPr>
          <w:trHeight w:val="490"/>
        </w:trPr>
        <w:tc>
          <w:tcPr>
            <w:tcW w:w="190" w:type="pct"/>
            <w:tcBorders>
              <w:left w:val="single" w:sz="18" w:space="0" w:color="C00000"/>
            </w:tcBorders>
            <w:shd w:val="clear" w:color="auto" w:fill="auto"/>
          </w:tcPr>
          <w:p w14:paraId="0543AAE5" w14:textId="77777777" w:rsidR="00F66DB6" w:rsidRPr="000F0299" w:rsidRDefault="00F66DB6" w:rsidP="005A56DA">
            <w:pPr>
              <w:spacing w:before="0"/>
              <w:ind w:firstLine="0"/>
              <w:rPr>
                <w:b/>
                <w:bCs/>
              </w:rPr>
            </w:pPr>
          </w:p>
        </w:tc>
        <w:tc>
          <w:tcPr>
            <w:tcW w:w="2557" w:type="pct"/>
            <w:tcBorders>
              <w:left w:val="nil"/>
              <w:bottom w:val="single" w:sz="18" w:space="0" w:color="C00000"/>
              <w:right w:val="single" w:sz="18" w:space="0" w:color="D9D9D9" w:themeColor="background1" w:themeShade="D9"/>
            </w:tcBorders>
            <w:shd w:val="clear" w:color="auto" w:fill="auto"/>
          </w:tcPr>
          <w:p w14:paraId="0FFFD731" w14:textId="77777777" w:rsidR="00F66DB6" w:rsidRPr="000F0299" w:rsidRDefault="00F66DB6" w:rsidP="005A56DA">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64EF3346" w14:textId="77777777" w:rsidR="00F66DB6" w:rsidRPr="000F0299" w:rsidRDefault="00F66DB6" w:rsidP="005A56DA">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478EFD07" w14:textId="77777777" w:rsidR="00F66DB6" w:rsidRPr="000F0299" w:rsidRDefault="00F66DB6" w:rsidP="005A56DA">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538DC99D" w14:textId="77777777" w:rsidR="00F66DB6" w:rsidRPr="000F0299" w:rsidRDefault="00F66DB6" w:rsidP="005A56DA">
            <w:pPr>
              <w:spacing w:before="0"/>
              <w:ind w:firstLine="0"/>
              <w:jc w:val="center"/>
              <w:rPr>
                <w:b/>
                <w:bCs/>
              </w:rPr>
            </w:pPr>
          </w:p>
        </w:tc>
      </w:tr>
      <w:tr w:rsidR="00F66DB6" w:rsidRPr="000F0299" w14:paraId="5451F719" w14:textId="77777777" w:rsidTr="009300FD">
        <w:trPr>
          <w:trHeight w:val="380"/>
        </w:trPr>
        <w:tc>
          <w:tcPr>
            <w:tcW w:w="190" w:type="pct"/>
            <w:tcBorders>
              <w:left w:val="single" w:sz="18" w:space="0" w:color="C00000"/>
            </w:tcBorders>
            <w:shd w:val="clear" w:color="auto" w:fill="auto"/>
          </w:tcPr>
          <w:p w14:paraId="1B37E13E" w14:textId="77777777" w:rsidR="00F66DB6" w:rsidRPr="000F0299" w:rsidRDefault="00F66DB6" w:rsidP="005A56DA">
            <w:pPr>
              <w:spacing w:before="0"/>
              <w:ind w:firstLine="0"/>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49C8B8E7" w14:textId="3B6FE794" w:rsidR="00F66DB6" w:rsidRPr="000F0299" w:rsidRDefault="00F66DB6" w:rsidP="005A56DA">
            <w:pPr>
              <w:spacing w:before="0"/>
              <w:ind w:firstLine="0"/>
            </w:pPr>
            <w:r w:rsidRPr="000F0299">
              <w:t>Степен у коме оквир компетенција одговара потребама и кључним вредностима рада државне управе</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346A4FCC" w14:textId="6EE4CC92" w:rsidR="00F66DB6" w:rsidRPr="000F0299" w:rsidRDefault="00F66DB6" w:rsidP="005A56DA">
            <w:pPr>
              <w:spacing w:before="0"/>
              <w:ind w:firstLine="0"/>
            </w:pPr>
            <w:r w:rsidRPr="000F0299">
              <w:t>(2020): 1</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6D84070B" w14:textId="4045B038" w:rsidR="00F66DB6" w:rsidRPr="000F0299" w:rsidRDefault="00F66DB6" w:rsidP="005A56DA">
            <w:pPr>
              <w:spacing w:before="0"/>
              <w:ind w:firstLine="0"/>
            </w:pPr>
            <w:r w:rsidRPr="000F0299">
              <w:t>(2021): 2</w:t>
            </w:r>
          </w:p>
          <w:p w14:paraId="7D0F2B33" w14:textId="7C25C8E1" w:rsidR="00F66DB6" w:rsidRPr="000F0299" w:rsidRDefault="00F66DB6" w:rsidP="005A56DA">
            <w:pPr>
              <w:spacing w:before="0"/>
              <w:ind w:firstLine="0"/>
            </w:pPr>
            <w:r w:rsidRPr="000F0299">
              <w:t>(2022): 2</w:t>
            </w:r>
          </w:p>
          <w:p w14:paraId="49F94D9F" w14:textId="4AC73D53" w:rsidR="00F66DB6" w:rsidRPr="000F0299" w:rsidRDefault="00F66DB6" w:rsidP="005A56DA">
            <w:pPr>
              <w:spacing w:before="0"/>
              <w:ind w:firstLine="0"/>
            </w:pPr>
            <w:r w:rsidRPr="000F0299">
              <w:t>(2023): 3</w:t>
            </w:r>
          </w:p>
          <w:p w14:paraId="7C239D9B" w14:textId="3104F79E" w:rsidR="00F66DB6" w:rsidRPr="000F0299" w:rsidRDefault="00F66DB6" w:rsidP="005A56DA">
            <w:pPr>
              <w:spacing w:before="0"/>
              <w:ind w:firstLine="0"/>
            </w:pPr>
            <w:r w:rsidRPr="000F0299">
              <w:t>(2024): 4</w:t>
            </w:r>
          </w:p>
          <w:p w14:paraId="7D624322" w14:textId="6C14CE6C" w:rsidR="00F66DB6" w:rsidRPr="000F0299" w:rsidRDefault="00F66DB6" w:rsidP="005A56DA">
            <w:pPr>
              <w:spacing w:before="0"/>
              <w:ind w:firstLine="0"/>
            </w:pPr>
            <w:r w:rsidRPr="000F0299">
              <w:t>(2025): 4</w:t>
            </w:r>
          </w:p>
          <w:p w14:paraId="3DB66B0F" w14:textId="373DB38E" w:rsidR="00F66DB6" w:rsidRPr="000F0299" w:rsidRDefault="00F66DB6" w:rsidP="005A56DA">
            <w:pPr>
              <w:spacing w:before="0"/>
              <w:ind w:firstLine="0"/>
            </w:pPr>
            <w:r w:rsidRPr="000F0299">
              <w:t xml:space="preserve">(2027): </w:t>
            </w:r>
            <w:r w:rsidR="009131D4" w:rsidRPr="000F0299">
              <w:t>4</w:t>
            </w:r>
          </w:p>
          <w:p w14:paraId="1A35F418" w14:textId="6B35CD56" w:rsidR="00F66DB6" w:rsidRPr="000F0299" w:rsidRDefault="00F66DB6" w:rsidP="005A56DA">
            <w:pPr>
              <w:spacing w:before="0"/>
              <w:ind w:firstLine="0"/>
            </w:pPr>
            <w:r w:rsidRPr="000F0299">
              <w:t xml:space="preserve">(2030): </w:t>
            </w:r>
            <w:r w:rsidR="009131D4" w:rsidRPr="000F0299">
              <w:t>4</w:t>
            </w:r>
          </w:p>
        </w:tc>
        <w:tc>
          <w:tcPr>
            <w:tcW w:w="185" w:type="pct"/>
            <w:tcBorders>
              <w:right w:val="single" w:sz="18" w:space="0" w:color="C00000"/>
            </w:tcBorders>
            <w:shd w:val="clear" w:color="auto" w:fill="auto"/>
          </w:tcPr>
          <w:p w14:paraId="22E207CD" w14:textId="77777777" w:rsidR="00F66DB6" w:rsidRPr="000F0299" w:rsidRDefault="00F66DB6" w:rsidP="005A56DA">
            <w:pPr>
              <w:spacing w:before="0"/>
              <w:ind w:firstLine="0"/>
            </w:pPr>
          </w:p>
        </w:tc>
      </w:tr>
      <w:tr w:rsidR="00F66DB6" w:rsidRPr="000F0299" w14:paraId="66E4F627" w14:textId="77777777" w:rsidTr="009300FD">
        <w:trPr>
          <w:trHeight w:val="340"/>
        </w:trPr>
        <w:tc>
          <w:tcPr>
            <w:tcW w:w="190" w:type="pct"/>
            <w:tcBorders>
              <w:left w:val="single" w:sz="18" w:space="0" w:color="C00000"/>
              <w:bottom w:val="single" w:sz="18" w:space="0" w:color="C00000"/>
            </w:tcBorders>
            <w:shd w:val="clear" w:color="auto" w:fill="auto"/>
          </w:tcPr>
          <w:p w14:paraId="678159B0" w14:textId="77777777" w:rsidR="00F66DB6" w:rsidRPr="000F0299" w:rsidRDefault="00F66DB6" w:rsidP="005A56DA">
            <w:pPr>
              <w:spacing w:before="0"/>
              <w:ind w:firstLine="0"/>
              <w:rPr>
                <w:sz w:val="16"/>
                <w:szCs w:val="16"/>
              </w:rPr>
            </w:pPr>
          </w:p>
        </w:tc>
        <w:tc>
          <w:tcPr>
            <w:tcW w:w="2557" w:type="pct"/>
            <w:tcBorders>
              <w:top w:val="single" w:sz="18" w:space="0" w:color="D9D9D9" w:themeColor="background1" w:themeShade="D9"/>
              <w:bottom w:val="single" w:sz="18" w:space="0" w:color="C00000"/>
            </w:tcBorders>
            <w:shd w:val="clear" w:color="auto" w:fill="auto"/>
          </w:tcPr>
          <w:p w14:paraId="685AAC72" w14:textId="77777777" w:rsidR="00F66DB6" w:rsidRPr="000F0299" w:rsidRDefault="00F66DB6"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799686C0" w14:textId="77777777" w:rsidR="00F66DB6" w:rsidRPr="000F0299" w:rsidRDefault="00F66DB6"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1EBC5ED3" w14:textId="77777777" w:rsidR="00F66DB6" w:rsidRPr="000F0299" w:rsidRDefault="00F66DB6" w:rsidP="005A56DA">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3B8E8DDC" w14:textId="77777777" w:rsidR="00F66DB6" w:rsidRPr="000F0299" w:rsidRDefault="00F66DB6" w:rsidP="005A56DA">
            <w:pPr>
              <w:spacing w:before="0"/>
              <w:ind w:firstLine="0"/>
              <w:rPr>
                <w:sz w:val="16"/>
                <w:szCs w:val="16"/>
              </w:rPr>
            </w:pPr>
          </w:p>
        </w:tc>
      </w:tr>
    </w:tbl>
    <w:p w14:paraId="4B7B6EC1" w14:textId="77777777" w:rsidR="009300FD" w:rsidRPr="000F0299" w:rsidRDefault="009300FD" w:rsidP="009300FD">
      <w:r w:rsidRPr="000F0299">
        <w:t xml:space="preserve">Средњорочно </w:t>
      </w:r>
      <w:r>
        <w:t xml:space="preserve">гледано </w:t>
      </w:r>
      <w:r w:rsidRPr="000F0299">
        <w:t>(2021</w:t>
      </w:r>
      <w:r>
        <w:t>–</w:t>
      </w:r>
      <w:r w:rsidRPr="000F0299">
        <w:t>2025)</w:t>
      </w:r>
      <w:r>
        <w:t>,</w:t>
      </w:r>
      <w:r w:rsidRPr="000F0299">
        <w:t xml:space="preserve"> ова мера </w:t>
      </w:r>
      <w:r>
        <w:t>је усмерена</w:t>
      </w:r>
      <w:r w:rsidRPr="000F0299">
        <w:t xml:space="preserve"> на јачање капацитета чланова конкурсних комисија, развијање обука за увођење у посао за приправнике и новозапослене како би се осигурало да државни службеници стекну тражене компетенције. </w:t>
      </w:r>
      <w:r>
        <w:t xml:space="preserve">Ова мера обухвата и </w:t>
      </w:r>
      <w:r w:rsidRPr="000F0299">
        <w:t xml:space="preserve">процену могућности </w:t>
      </w:r>
      <w:r>
        <w:t xml:space="preserve">да се </w:t>
      </w:r>
      <w:r w:rsidRPr="000F0299">
        <w:t>ув</w:t>
      </w:r>
      <w:r>
        <w:t>еде</w:t>
      </w:r>
      <w:r w:rsidRPr="000F0299">
        <w:t xml:space="preserve"> модел централизованог запошљавања приправника</w:t>
      </w:r>
      <w:r>
        <w:t xml:space="preserve"> да би се </w:t>
      </w:r>
      <w:r w:rsidRPr="000F0299">
        <w:t>јединствено приступа</w:t>
      </w:r>
      <w:r>
        <w:t>ло</w:t>
      </w:r>
      <w:r w:rsidRPr="000F0299">
        <w:t xml:space="preserve"> потребама јавне управе и обукама кандидата. Фокус ће се ставити на развијање оквира компетенција за запослене у </w:t>
      </w:r>
      <w:r>
        <w:t>АП</w:t>
      </w:r>
      <w:r w:rsidRPr="000F0299">
        <w:t xml:space="preserve"> и органима </w:t>
      </w:r>
      <w:r>
        <w:t>ЈЛС</w:t>
      </w:r>
      <w:r w:rsidRPr="000F0299">
        <w:t xml:space="preserve"> и његово интегрисање у правни оквир. Разматраће се прилагођавање и унапређење процеса регрутације различитих категорија запослених (изборни интервју, државни стручни испит, почетна обука за новозапослене) </w:t>
      </w:r>
      <w:r>
        <w:t xml:space="preserve">како </w:t>
      </w:r>
      <w:r w:rsidRPr="000F0299">
        <w:t xml:space="preserve">се исте компетенције не </w:t>
      </w:r>
      <w:r>
        <w:t xml:space="preserve">би </w:t>
      </w:r>
      <w:r w:rsidRPr="000F0299">
        <w:t>процењ</w:t>
      </w:r>
      <w:r>
        <w:t xml:space="preserve">ивале </w:t>
      </w:r>
      <w:r w:rsidRPr="000F0299">
        <w:t>више пута.</w:t>
      </w:r>
    </w:p>
    <w:p w14:paraId="5954BDAA" w14:textId="09A7D0C0" w:rsidR="009300FD" w:rsidRPr="000F0299" w:rsidRDefault="009300FD" w:rsidP="009300FD">
      <w:r w:rsidRPr="000F0299">
        <w:t>Дугорочно гледано (2025</w:t>
      </w:r>
      <w:r>
        <w:t>–</w:t>
      </w:r>
      <w:r w:rsidRPr="000F0299">
        <w:t xml:space="preserve">2030), </w:t>
      </w:r>
      <w:r>
        <w:t xml:space="preserve">ова </w:t>
      </w:r>
      <w:r w:rsidRPr="000F0299">
        <w:t xml:space="preserve">мера </w:t>
      </w:r>
      <w:r>
        <w:t xml:space="preserve">је </w:t>
      </w:r>
      <w:r w:rsidRPr="000F0299">
        <w:t>ус</w:t>
      </w:r>
      <w:r>
        <w:t xml:space="preserve">мерена </w:t>
      </w:r>
      <w:r w:rsidRPr="000F0299">
        <w:t xml:space="preserve">на увођење система централизованог запошљавања </w:t>
      </w:r>
      <w:r>
        <w:t xml:space="preserve">тако да обухвати и </w:t>
      </w:r>
      <w:r w:rsidRPr="000F0299">
        <w:t xml:space="preserve">регрутовање кадра </w:t>
      </w:r>
      <w:r>
        <w:t xml:space="preserve">који </w:t>
      </w:r>
      <w:r w:rsidRPr="000F0299">
        <w:t>недостај</w:t>
      </w:r>
      <w:r>
        <w:t>е у</w:t>
      </w:r>
      <w:r w:rsidRPr="000F0299">
        <w:t xml:space="preserve"> приоритетн</w:t>
      </w:r>
      <w:r>
        <w:t>им</w:t>
      </w:r>
      <w:r w:rsidRPr="000F0299">
        <w:t xml:space="preserve"> области</w:t>
      </w:r>
      <w:r>
        <w:t>ма</w:t>
      </w:r>
      <w:r w:rsidRPr="000F0299">
        <w:t xml:space="preserve"> рада (запослени у области ЕУ интеграција</w:t>
      </w:r>
      <w:r>
        <w:t xml:space="preserve"> и</w:t>
      </w:r>
      <w:r w:rsidRPr="000F0299">
        <w:t xml:space="preserve"> </w:t>
      </w:r>
      <w:r w:rsidR="00AA6340" w:rsidRPr="00AA6340">
        <w:rPr>
          <w:i/>
        </w:rPr>
        <w:t>IPA</w:t>
      </w:r>
      <w:r w:rsidRPr="000F0299">
        <w:t xml:space="preserve"> фондова, ИТ програмери, аналитичари, норматив</w:t>
      </w:r>
      <w:r>
        <w:t>ци</w:t>
      </w:r>
      <w:r w:rsidRPr="000F0299">
        <w:t xml:space="preserve"> итд.), као и </w:t>
      </w:r>
      <w:r>
        <w:t xml:space="preserve">на </w:t>
      </w:r>
      <w:r w:rsidRPr="000F0299">
        <w:t>унапређењ</w:t>
      </w:r>
      <w:r>
        <w:t>е</w:t>
      </w:r>
      <w:r w:rsidRPr="000F0299">
        <w:t xml:space="preserve"> оквира компетенција у складу са кључним вредностима за рад у јавној управи и са савременим друштвеним токовима, развојем будућих занимања и послова и повезивањем са Националним оквиром квалификација. </w:t>
      </w:r>
    </w:p>
    <w:p w14:paraId="5B1E8306" w14:textId="460A378C" w:rsidR="003F3312" w:rsidRPr="000F0299" w:rsidRDefault="00D43E6D" w:rsidP="00244E7C">
      <w:pPr>
        <w:rPr>
          <w:b/>
          <w:bCs/>
        </w:rPr>
      </w:pPr>
      <w:r w:rsidRPr="000F0299">
        <w:rPr>
          <w:b/>
          <w:bCs/>
        </w:rPr>
        <w:t>Meрa</w:t>
      </w:r>
      <w:r w:rsidR="003F3312" w:rsidRPr="000F0299">
        <w:rPr>
          <w:b/>
          <w:bCs/>
        </w:rPr>
        <w:t xml:space="preserve"> 2.1.3 Унапређење поступка попуњавања положаја заснованог на заслугама </w:t>
      </w:r>
    </w:p>
    <w:tbl>
      <w:tblPr>
        <w:tblW w:w="5000" w:type="pct"/>
        <w:tblLook w:val="00A0" w:firstRow="1" w:lastRow="0" w:firstColumn="1" w:lastColumn="0" w:noHBand="0" w:noVBand="0"/>
      </w:tblPr>
      <w:tblGrid>
        <w:gridCol w:w="364"/>
        <w:gridCol w:w="4905"/>
        <w:gridCol w:w="1984"/>
        <w:gridCol w:w="1984"/>
        <w:gridCol w:w="355"/>
      </w:tblGrid>
      <w:tr w:rsidR="009131D4" w:rsidRPr="000F0299" w14:paraId="5CCC4A2C" w14:textId="77777777" w:rsidTr="009131D4">
        <w:trPr>
          <w:trHeight w:val="20"/>
        </w:trPr>
        <w:tc>
          <w:tcPr>
            <w:tcW w:w="190" w:type="pct"/>
            <w:tcBorders>
              <w:top w:val="single" w:sz="18" w:space="0" w:color="C00000"/>
              <w:left w:val="single" w:sz="18" w:space="0" w:color="C00000"/>
            </w:tcBorders>
            <w:shd w:val="clear" w:color="auto" w:fill="auto"/>
          </w:tcPr>
          <w:p w14:paraId="667AA21B" w14:textId="77777777" w:rsidR="009131D4" w:rsidRPr="000F0299" w:rsidRDefault="009131D4" w:rsidP="005A56DA">
            <w:pPr>
              <w:spacing w:before="0"/>
              <w:ind w:firstLine="0"/>
              <w:rPr>
                <w:b/>
                <w:bCs/>
                <w:sz w:val="16"/>
                <w:szCs w:val="16"/>
              </w:rPr>
            </w:pPr>
          </w:p>
        </w:tc>
        <w:tc>
          <w:tcPr>
            <w:tcW w:w="2557" w:type="pct"/>
            <w:tcBorders>
              <w:top w:val="single" w:sz="18" w:space="0" w:color="C00000"/>
            </w:tcBorders>
            <w:shd w:val="clear" w:color="auto" w:fill="auto"/>
          </w:tcPr>
          <w:p w14:paraId="09A9C040" w14:textId="77777777" w:rsidR="009131D4" w:rsidRPr="000F0299" w:rsidRDefault="009131D4" w:rsidP="005A56DA">
            <w:pPr>
              <w:spacing w:before="0"/>
              <w:ind w:firstLine="0"/>
              <w:rPr>
                <w:b/>
                <w:bCs/>
                <w:sz w:val="16"/>
                <w:szCs w:val="16"/>
              </w:rPr>
            </w:pPr>
          </w:p>
        </w:tc>
        <w:tc>
          <w:tcPr>
            <w:tcW w:w="1034" w:type="pct"/>
            <w:tcBorders>
              <w:top w:val="single" w:sz="18" w:space="0" w:color="C00000"/>
            </w:tcBorders>
            <w:shd w:val="clear" w:color="auto" w:fill="auto"/>
            <w:vAlign w:val="center"/>
          </w:tcPr>
          <w:p w14:paraId="504113F1" w14:textId="77777777" w:rsidR="009131D4" w:rsidRPr="000F0299" w:rsidRDefault="009131D4" w:rsidP="005A56DA">
            <w:pPr>
              <w:spacing w:before="0"/>
              <w:ind w:firstLine="0"/>
              <w:jc w:val="center"/>
              <w:rPr>
                <w:b/>
                <w:bCs/>
                <w:sz w:val="16"/>
                <w:szCs w:val="16"/>
              </w:rPr>
            </w:pPr>
          </w:p>
        </w:tc>
        <w:tc>
          <w:tcPr>
            <w:tcW w:w="1034" w:type="pct"/>
            <w:tcBorders>
              <w:top w:val="single" w:sz="18" w:space="0" w:color="C00000"/>
            </w:tcBorders>
            <w:shd w:val="clear" w:color="auto" w:fill="auto"/>
            <w:vAlign w:val="center"/>
          </w:tcPr>
          <w:p w14:paraId="6BA6E355" w14:textId="77777777" w:rsidR="009131D4" w:rsidRPr="000F0299" w:rsidRDefault="009131D4" w:rsidP="005A56DA">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7C6C2B76" w14:textId="77777777" w:rsidR="009131D4" w:rsidRPr="000F0299" w:rsidRDefault="009131D4" w:rsidP="005A56DA">
            <w:pPr>
              <w:spacing w:before="0"/>
              <w:ind w:firstLine="0"/>
              <w:jc w:val="center"/>
              <w:rPr>
                <w:b/>
                <w:bCs/>
                <w:sz w:val="16"/>
                <w:szCs w:val="16"/>
              </w:rPr>
            </w:pPr>
          </w:p>
        </w:tc>
      </w:tr>
      <w:tr w:rsidR="009131D4" w:rsidRPr="000F0299" w14:paraId="6ABE82E0" w14:textId="77777777" w:rsidTr="009131D4">
        <w:trPr>
          <w:trHeight w:val="490"/>
        </w:trPr>
        <w:tc>
          <w:tcPr>
            <w:tcW w:w="190" w:type="pct"/>
            <w:tcBorders>
              <w:left w:val="single" w:sz="18" w:space="0" w:color="C00000"/>
            </w:tcBorders>
            <w:shd w:val="clear" w:color="auto" w:fill="auto"/>
          </w:tcPr>
          <w:p w14:paraId="24466103" w14:textId="77777777" w:rsidR="009131D4" w:rsidRPr="000F0299" w:rsidRDefault="009131D4" w:rsidP="005A56DA">
            <w:pPr>
              <w:spacing w:before="0"/>
              <w:ind w:firstLine="0"/>
              <w:rPr>
                <w:b/>
                <w:bCs/>
              </w:rPr>
            </w:pPr>
          </w:p>
        </w:tc>
        <w:tc>
          <w:tcPr>
            <w:tcW w:w="2557" w:type="pct"/>
            <w:tcBorders>
              <w:left w:val="nil"/>
              <w:bottom w:val="single" w:sz="18" w:space="0" w:color="C00000"/>
              <w:right w:val="single" w:sz="18" w:space="0" w:color="D9D9D9" w:themeColor="background1" w:themeShade="D9"/>
            </w:tcBorders>
            <w:shd w:val="clear" w:color="auto" w:fill="auto"/>
          </w:tcPr>
          <w:p w14:paraId="3B048090" w14:textId="77777777" w:rsidR="009131D4" w:rsidRPr="000F0299" w:rsidRDefault="009131D4" w:rsidP="005A56DA">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36C4F14D" w14:textId="77777777" w:rsidR="009131D4" w:rsidRPr="000F0299" w:rsidRDefault="009131D4" w:rsidP="005A56DA">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3C69DA69" w14:textId="77777777" w:rsidR="009131D4" w:rsidRPr="000F0299" w:rsidRDefault="009131D4" w:rsidP="005A56DA">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43ECB3E7" w14:textId="77777777" w:rsidR="009131D4" w:rsidRPr="000F0299" w:rsidRDefault="009131D4" w:rsidP="005A56DA">
            <w:pPr>
              <w:spacing w:before="0"/>
              <w:ind w:firstLine="0"/>
              <w:jc w:val="center"/>
              <w:rPr>
                <w:b/>
                <w:bCs/>
              </w:rPr>
            </w:pPr>
          </w:p>
        </w:tc>
      </w:tr>
      <w:tr w:rsidR="009131D4" w:rsidRPr="000F0299" w14:paraId="461BE5FA" w14:textId="77777777" w:rsidTr="009131D4">
        <w:trPr>
          <w:trHeight w:val="380"/>
        </w:trPr>
        <w:tc>
          <w:tcPr>
            <w:tcW w:w="190" w:type="pct"/>
            <w:tcBorders>
              <w:left w:val="single" w:sz="18" w:space="0" w:color="C00000"/>
            </w:tcBorders>
            <w:shd w:val="clear" w:color="auto" w:fill="auto"/>
          </w:tcPr>
          <w:p w14:paraId="29AFC30A" w14:textId="77777777" w:rsidR="009131D4" w:rsidRPr="000F0299" w:rsidRDefault="009131D4" w:rsidP="005A56DA">
            <w:pPr>
              <w:spacing w:before="0"/>
              <w:ind w:firstLine="0"/>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56DA0D2E" w14:textId="77777777" w:rsidR="009131D4" w:rsidRPr="000F0299" w:rsidRDefault="009131D4" w:rsidP="005A56DA">
            <w:pPr>
              <w:spacing w:before="0"/>
              <w:ind w:firstLine="0"/>
            </w:pPr>
            <w:r w:rsidRPr="000F0299">
              <w:t>Степен у коме оквир компетенција одговара потребама и кључним вредностима рада државне управе</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0638808C" w14:textId="59942DEE" w:rsidR="009131D4" w:rsidRPr="000F0299" w:rsidRDefault="009131D4" w:rsidP="005A56DA">
            <w:pPr>
              <w:spacing w:before="0"/>
              <w:ind w:firstLine="0"/>
            </w:pPr>
            <w:r w:rsidRPr="000F0299">
              <w:t>(2020): 37%</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07366C69" w14:textId="3E3E632A" w:rsidR="009131D4" w:rsidRPr="000F0299" w:rsidRDefault="009131D4" w:rsidP="005A56DA">
            <w:pPr>
              <w:spacing w:before="0"/>
              <w:ind w:firstLine="0"/>
            </w:pPr>
            <w:r w:rsidRPr="000F0299">
              <w:t>(2021): &gt;40%</w:t>
            </w:r>
          </w:p>
          <w:p w14:paraId="3245ED7F" w14:textId="431D7093" w:rsidR="009131D4" w:rsidRPr="000F0299" w:rsidRDefault="009131D4" w:rsidP="005A56DA">
            <w:pPr>
              <w:spacing w:before="0"/>
              <w:ind w:firstLine="0"/>
            </w:pPr>
            <w:r w:rsidRPr="000F0299">
              <w:t>(2022): &gt;50%</w:t>
            </w:r>
          </w:p>
          <w:p w14:paraId="18F0DE5C" w14:textId="7F2AEE0A" w:rsidR="009131D4" w:rsidRPr="000F0299" w:rsidRDefault="009131D4" w:rsidP="005A56DA">
            <w:pPr>
              <w:spacing w:before="0"/>
              <w:ind w:firstLine="0"/>
            </w:pPr>
            <w:r w:rsidRPr="000F0299">
              <w:t>(2023): &gt;60%</w:t>
            </w:r>
          </w:p>
          <w:p w14:paraId="6B8F2093" w14:textId="78193CA7" w:rsidR="009131D4" w:rsidRPr="000F0299" w:rsidRDefault="009131D4" w:rsidP="005A56DA">
            <w:pPr>
              <w:spacing w:before="0"/>
              <w:ind w:firstLine="0"/>
            </w:pPr>
            <w:r w:rsidRPr="000F0299">
              <w:t>(2024): &gt;70%</w:t>
            </w:r>
          </w:p>
          <w:p w14:paraId="6CE1873C" w14:textId="3611E780" w:rsidR="009131D4" w:rsidRPr="000F0299" w:rsidRDefault="009131D4" w:rsidP="005A56DA">
            <w:pPr>
              <w:spacing w:before="0"/>
              <w:ind w:firstLine="0"/>
            </w:pPr>
            <w:r w:rsidRPr="000F0299">
              <w:t>(2025): &gt;80%</w:t>
            </w:r>
          </w:p>
          <w:p w14:paraId="230DEEED" w14:textId="2B0F6115" w:rsidR="009131D4" w:rsidRPr="000F0299" w:rsidRDefault="009131D4" w:rsidP="005A56DA">
            <w:pPr>
              <w:spacing w:before="0"/>
              <w:ind w:firstLine="0"/>
            </w:pPr>
            <w:r w:rsidRPr="000F0299">
              <w:t>(2027): &gt;85%</w:t>
            </w:r>
          </w:p>
          <w:p w14:paraId="54554D7C" w14:textId="5058B04B" w:rsidR="009131D4" w:rsidRPr="000F0299" w:rsidRDefault="009131D4" w:rsidP="005A56DA">
            <w:pPr>
              <w:spacing w:before="0"/>
              <w:ind w:firstLine="0"/>
            </w:pPr>
            <w:r w:rsidRPr="000F0299">
              <w:t>(2030): &gt;85%</w:t>
            </w:r>
          </w:p>
        </w:tc>
        <w:tc>
          <w:tcPr>
            <w:tcW w:w="185" w:type="pct"/>
            <w:tcBorders>
              <w:right w:val="single" w:sz="18" w:space="0" w:color="C00000"/>
            </w:tcBorders>
            <w:shd w:val="clear" w:color="auto" w:fill="auto"/>
          </w:tcPr>
          <w:p w14:paraId="678A779E" w14:textId="77777777" w:rsidR="009131D4" w:rsidRPr="000F0299" w:rsidRDefault="009131D4" w:rsidP="005A56DA">
            <w:pPr>
              <w:spacing w:before="0"/>
              <w:ind w:firstLine="0"/>
            </w:pPr>
          </w:p>
        </w:tc>
      </w:tr>
      <w:tr w:rsidR="009131D4" w:rsidRPr="000F0299" w14:paraId="5BFEE3B7" w14:textId="77777777" w:rsidTr="009131D4">
        <w:trPr>
          <w:trHeight w:val="340"/>
        </w:trPr>
        <w:tc>
          <w:tcPr>
            <w:tcW w:w="190" w:type="pct"/>
            <w:tcBorders>
              <w:left w:val="single" w:sz="18" w:space="0" w:color="C00000"/>
              <w:bottom w:val="single" w:sz="18" w:space="0" w:color="C00000"/>
            </w:tcBorders>
            <w:shd w:val="clear" w:color="auto" w:fill="auto"/>
          </w:tcPr>
          <w:p w14:paraId="37529225" w14:textId="77777777" w:rsidR="009131D4" w:rsidRPr="000F0299" w:rsidRDefault="009131D4" w:rsidP="005A56DA">
            <w:pPr>
              <w:spacing w:before="0"/>
              <w:ind w:firstLine="0"/>
              <w:rPr>
                <w:sz w:val="16"/>
                <w:szCs w:val="16"/>
              </w:rPr>
            </w:pPr>
          </w:p>
        </w:tc>
        <w:tc>
          <w:tcPr>
            <w:tcW w:w="2557" w:type="pct"/>
            <w:tcBorders>
              <w:top w:val="single" w:sz="18" w:space="0" w:color="D9D9D9" w:themeColor="background1" w:themeShade="D9"/>
              <w:bottom w:val="single" w:sz="18" w:space="0" w:color="C00000"/>
            </w:tcBorders>
            <w:shd w:val="clear" w:color="auto" w:fill="auto"/>
          </w:tcPr>
          <w:p w14:paraId="75BD659D" w14:textId="77777777" w:rsidR="009131D4" w:rsidRPr="000F0299" w:rsidRDefault="009131D4"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7DF01F82" w14:textId="77777777" w:rsidR="009131D4" w:rsidRPr="000F0299" w:rsidRDefault="009131D4"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7FF5B895" w14:textId="77777777" w:rsidR="009131D4" w:rsidRPr="000F0299" w:rsidRDefault="009131D4" w:rsidP="005A56DA">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10B71DCC" w14:textId="77777777" w:rsidR="009131D4" w:rsidRPr="000F0299" w:rsidRDefault="009131D4" w:rsidP="005A56DA">
            <w:pPr>
              <w:spacing w:before="0"/>
              <w:ind w:firstLine="0"/>
              <w:rPr>
                <w:sz w:val="16"/>
                <w:szCs w:val="16"/>
              </w:rPr>
            </w:pPr>
          </w:p>
        </w:tc>
      </w:tr>
    </w:tbl>
    <w:p w14:paraId="03D64B11" w14:textId="77777777" w:rsidR="009300FD" w:rsidRPr="00B774F7" w:rsidRDefault="009300FD" w:rsidP="009300FD">
      <w:r w:rsidRPr="000F0299">
        <w:t xml:space="preserve">Средњорочно </w:t>
      </w:r>
      <w:r>
        <w:t xml:space="preserve">гледано </w:t>
      </w:r>
      <w:r w:rsidRPr="000F0299">
        <w:t>(2021</w:t>
      </w:r>
      <w:r>
        <w:t>–</w:t>
      </w:r>
      <w:r w:rsidRPr="000F0299">
        <w:t xml:space="preserve">2025), ова мера </w:t>
      </w:r>
      <w:r>
        <w:t xml:space="preserve">је усмерена </w:t>
      </w:r>
      <w:r w:rsidRPr="000F0299">
        <w:t xml:space="preserve">на унапређење оквира компетенција за државне службенике на положају како би се јасно исказала очекивања од </w:t>
      </w:r>
      <w:r>
        <w:t>т</w:t>
      </w:r>
      <w:r w:rsidRPr="000F0299">
        <w:t xml:space="preserve">е категорије државних службеника и фокус ставио на лидерске компетенције. Активности ће бити усмерене на </w:t>
      </w:r>
      <w:r>
        <w:t xml:space="preserve">то да се </w:t>
      </w:r>
      <w:r w:rsidRPr="000F0299">
        <w:t>разм</w:t>
      </w:r>
      <w:r>
        <w:t>отре</w:t>
      </w:r>
      <w:r w:rsidRPr="000F0299">
        <w:t xml:space="preserve"> разло</w:t>
      </w:r>
      <w:r>
        <w:t>зи</w:t>
      </w:r>
      <w:r w:rsidRPr="000F0299">
        <w:t xml:space="preserve"> и по потреби ревидира законск</w:t>
      </w:r>
      <w:r>
        <w:t>и</w:t>
      </w:r>
      <w:r w:rsidRPr="000F0299">
        <w:t xml:space="preserve"> оквир како би се отклониле негативне последице изазване постављењима</w:t>
      </w:r>
      <w:r>
        <w:t xml:space="preserve"> вршилаца дужности</w:t>
      </w:r>
      <w:r w:rsidRPr="000F0299">
        <w:t xml:space="preserve">. Приоритет је и </w:t>
      </w:r>
      <w:r>
        <w:t xml:space="preserve">да се </w:t>
      </w:r>
      <w:r w:rsidRPr="000F0299">
        <w:t>успостав</w:t>
      </w:r>
      <w:r>
        <w:t>и</w:t>
      </w:r>
      <w:r w:rsidRPr="000F0299">
        <w:t xml:space="preserve"> механиз</w:t>
      </w:r>
      <w:r>
        <w:t>а</w:t>
      </w:r>
      <w:r w:rsidRPr="000F0299">
        <w:t>м сарадње између кључних институција које се баве политиком управљања лица на положају и унапре</w:t>
      </w:r>
      <w:r>
        <w:t>ди</w:t>
      </w:r>
      <w:r w:rsidRPr="000F0299">
        <w:t xml:space="preserve"> метод </w:t>
      </w:r>
      <w:r>
        <w:t>избора</w:t>
      </w:r>
      <w:r w:rsidRPr="000F0299">
        <w:t xml:space="preserve"> у спровођењу изборног поступка за </w:t>
      </w:r>
      <w:r>
        <w:t>т</w:t>
      </w:r>
      <w:r w:rsidRPr="000F0299">
        <w:t>у категорију лица.</w:t>
      </w:r>
    </w:p>
    <w:p w14:paraId="4F0A7090" w14:textId="77777777" w:rsidR="009300FD" w:rsidRPr="000F0299" w:rsidRDefault="009300FD" w:rsidP="009300FD">
      <w:r w:rsidRPr="000F0299">
        <w:t>Дугорочно гледано (2026</w:t>
      </w:r>
      <w:r>
        <w:t>–</w:t>
      </w:r>
      <w:r w:rsidRPr="000F0299">
        <w:t>2030), ов</w:t>
      </w:r>
      <w:r>
        <w:t>а</w:t>
      </w:r>
      <w:r w:rsidRPr="000F0299">
        <w:t xml:space="preserve"> мер</w:t>
      </w:r>
      <w:r>
        <w:t>а</w:t>
      </w:r>
      <w:r w:rsidRPr="000F0299">
        <w:t xml:space="preserve"> </w:t>
      </w:r>
      <w:r>
        <w:t xml:space="preserve">је </w:t>
      </w:r>
      <w:r w:rsidRPr="000F0299">
        <w:t>усмерен</w:t>
      </w:r>
      <w:r>
        <w:t>а</w:t>
      </w:r>
      <w:r w:rsidRPr="000F0299">
        <w:t xml:space="preserve"> на </w:t>
      </w:r>
      <w:r>
        <w:t>примену</w:t>
      </w:r>
      <w:r w:rsidRPr="000F0299">
        <w:t xml:space="preserve"> смерница из стратешког оквира за управљање лицима на положају</w:t>
      </w:r>
      <w:r>
        <w:t xml:space="preserve"> како би</w:t>
      </w:r>
      <w:r w:rsidRPr="000F0299">
        <w:t xml:space="preserve"> </w:t>
      </w:r>
      <w:r>
        <w:t xml:space="preserve">се </w:t>
      </w:r>
      <w:r w:rsidRPr="000F0299">
        <w:t>већ</w:t>
      </w:r>
      <w:r>
        <w:t>и</w:t>
      </w:r>
      <w:r w:rsidRPr="000F0299">
        <w:t xml:space="preserve"> наглас</w:t>
      </w:r>
      <w:r>
        <w:t>а</w:t>
      </w:r>
      <w:r w:rsidRPr="000F0299">
        <w:t xml:space="preserve">к </w:t>
      </w:r>
      <w:r>
        <w:t xml:space="preserve">ставио </w:t>
      </w:r>
      <w:r w:rsidRPr="000F0299">
        <w:t>на одлучујуће компетенције у метод</w:t>
      </w:r>
      <w:r>
        <w:t>и</w:t>
      </w:r>
      <w:r w:rsidRPr="000F0299">
        <w:t xml:space="preserve">ма </w:t>
      </w:r>
      <w:r>
        <w:t>избора</w:t>
      </w:r>
      <w:r w:rsidRPr="000F0299">
        <w:t>; успостав</w:t>
      </w:r>
      <w:r>
        <w:t>ила</w:t>
      </w:r>
      <w:r w:rsidRPr="000F0299">
        <w:t xml:space="preserve"> ј</w:t>
      </w:r>
      <w:r>
        <w:t>а</w:t>
      </w:r>
      <w:r w:rsidRPr="000F0299">
        <w:t>сн</w:t>
      </w:r>
      <w:r>
        <w:t>а</w:t>
      </w:r>
      <w:r w:rsidRPr="000F0299">
        <w:t xml:space="preserve"> вез</w:t>
      </w:r>
      <w:r>
        <w:t>а</w:t>
      </w:r>
      <w:r w:rsidRPr="000F0299">
        <w:t xml:space="preserve"> између очекивања у обављању послова и процеса </w:t>
      </w:r>
      <w:r>
        <w:t>избора</w:t>
      </w:r>
      <w:r w:rsidRPr="000F0299">
        <w:t>; омогућ</w:t>
      </w:r>
      <w:r>
        <w:t>ило</w:t>
      </w:r>
      <w:r w:rsidRPr="000F0299">
        <w:t xml:space="preserve"> да се конкурсни поступак окончава постављењем и учини атрактивнијим ради привлачења ширег обухвата кадра; успостав</w:t>
      </w:r>
      <w:r>
        <w:t>ила</w:t>
      </w:r>
      <w:r w:rsidRPr="000F0299">
        <w:t xml:space="preserve"> баз</w:t>
      </w:r>
      <w:r>
        <w:t>а</w:t>
      </w:r>
      <w:r w:rsidRPr="000F0299">
        <w:t xml:space="preserve"> података о кандидатима за по</w:t>
      </w:r>
      <w:r>
        <w:t>ложаје</w:t>
      </w:r>
      <w:r w:rsidRPr="000F0299">
        <w:t xml:space="preserve"> из базе </w:t>
      </w:r>
      <w:r>
        <w:t>уочених</w:t>
      </w:r>
      <w:r w:rsidRPr="000F0299">
        <w:t xml:space="preserve"> талената који могу бити носиоци промена и иновација и др.  </w:t>
      </w:r>
    </w:p>
    <w:p w14:paraId="11B2B453" w14:textId="0FBC817D" w:rsidR="005A56DA" w:rsidRPr="000F0299" w:rsidRDefault="005A56DA">
      <w:pPr>
        <w:suppressAutoHyphens w:val="0"/>
        <w:autoSpaceDN/>
        <w:spacing w:before="0" w:after="160" w:line="259" w:lineRule="auto"/>
        <w:ind w:firstLine="0"/>
        <w:jc w:val="left"/>
        <w:textAlignment w:val="auto"/>
      </w:pPr>
      <w:r w:rsidRPr="000F0299">
        <w:br w:type="page"/>
      </w:r>
    </w:p>
    <w:p w14:paraId="3612F91E" w14:textId="75D06DEF" w:rsidR="005A56DA" w:rsidRPr="000F0299" w:rsidRDefault="003A039D" w:rsidP="00126CAD">
      <w:pPr>
        <w:pStyle w:val="Heading4"/>
        <w:rPr>
          <w:lang w:val="sr-Cyrl-RS"/>
        </w:rPr>
      </w:pPr>
      <w:r w:rsidRPr="000F0299">
        <w:rPr>
          <w:lang w:val="sr-Cyrl-RS"/>
        </w:rPr>
        <w:t xml:space="preserve">Посебан циљ </w:t>
      </w:r>
      <w:r w:rsidR="003F3312" w:rsidRPr="000F0299">
        <w:rPr>
          <w:lang w:val="sr-Cyrl-RS"/>
        </w:rPr>
        <w:t xml:space="preserve">2.2: </w:t>
      </w:r>
      <w:hyperlink w:anchor="_Посебан_циљ_2.2" w:history="1">
        <w:r w:rsidR="003F3312" w:rsidRPr="00797D36">
          <w:rPr>
            <w:rStyle w:val="Hyperlink"/>
            <w:lang w:val="sr-Cyrl-RS"/>
          </w:rPr>
          <w:t>Ефикасан систем управљања каријером примењен у пракси</w:t>
        </w:r>
      </w:hyperlink>
    </w:p>
    <w:tbl>
      <w:tblPr>
        <w:tblW w:w="5000" w:type="pct"/>
        <w:shd w:val="clear" w:color="auto" w:fill="E7E6E6" w:themeFill="background2"/>
        <w:tblLook w:val="00A0" w:firstRow="1" w:lastRow="0" w:firstColumn="1" w:lastColumn="0" w:noHBand="0" w:noVBand="0"/>
      </w:tblPr>
      <w:tblGrid>
        <w:gridCol w:w="359"/>
        <w:gridCol w:w="4978"/>
        <w:gridCol w:w="1953"/>
        <w:gridCol w:w="1953"/>
        <w:gridCol w:w="349"/>
      </w:tblGrid>
      <w:tr w:rsidR="003A039D" w:rsidRPr="000F0299" w14:paraId="699AF6F8" w14:textId="77777777" w:rsidTr="009300FD">
        <w:trPr>
          <w:trHeight w:val="20"/>
        </w:trPr>
        <w:tc>
          <w:tcPr>
            <w:tcW w:w="187" w:type="pct"/>
            <w:tcBorders>
              <w:top w:val="single" w:sz="18" w:space="0" w:color="C00000"/>
              <w:left w:val="single" w:sz="18" w:space="0" w:color="C00000"/>
            </w:tcBorders>
            <w:shd w:val="clear" w:color="auto" w:fill="F2F2F2" w:themeFill="background1" w:themeFillShade="F2"/>
          </w:tcPr>
          <w:p w14:paraId="34ED9F5D" w14:textId="77777777" w:rsidR="003A039D" w:rsidRPr="000F0299" w:rsidRDefault="003A039D" w:rsidP="005A56DA">
            <w:pPr>
              <w:spacing w:before="0"/>
              <w:ind w:firstLine="0"/>
              <w:rPr>
                <w:b/>
                <w:bCs/>
                <w:sz w:val="16"/>
                <w:szCs w:val="16"/>
              </w:rPr>
            </w:pPr>
          </w:p>
        </w:tc>
        <w:tc>
          <w:tcPr>
            <w:tcW w:w="2595" w:type="pct"/>
            <w:tcBorders>
              <w:top w:val="single" w:sz="18" w:space="0" w:color="C00000"/>
            </w:tcBorders>
            <w:shd w:val="clear" w:color="auto" w:fill="F2F2F2" w:themeFill="background1" w:themeFillShade="F2"/>
          </w:tcPr>
          <w:p w14:paraId="1B0787AE" w14:textId="77777777" w:rsidR="003A039D" w:rsidRPr="000F0299" w:rsidRDefault="003A039D" w:rsidP="005A56DA">
            <w:pPr>
              <w:spacing w:before="0"/>
              <w:ind w:firstLine="0"/>
              <w:rPr>
                <w:b/>
                <w:bCs/>
                <w:sz w:val="16"/>
                <w:szCs w:val="16"/>
              </w:rPr>
            </w:pPr>
          </w:p>
        </w:tc>
        <w:tc>
          <w:tcPr>
            <w:tcW w:w="1018" w:type="pct"/>
            <w:tcBorders>
              <w:top w:val="single" w:sz="18" w:space="0" w:color="C00000"/>
            </w:tcBorders>
            <w:shd w:val="clear" w:color="auto" w:fill="F2F2F2" w:themeFill="background1" w:themeFillShade="F2"/>
            <w:vAlign w:val="center"/>
          </w:tcPr>
          <w:p w14:paraId="0AECF056" w14:textId="77777777" w:rsidR="003A039D" w:rsidRPr="000F0299" w:rsidRDefault="003A039D" w:rsidP="005A56DA">
            <w:pPr>
              <w:spacing w:before="0"/>
              <w:ind w:firstLine="0"/>
              <w:jc w:val="center"/>
              <w:rPr>
                <w:b/>
                <w:bCs/>
                <w:sz w:val="16"/>
                <w:szCs w:val="16"/>
              </w:rPr>
            </w:pPr>
          </w:p>
        </w:tc>
        <w:tc>
          <w:tcPr>
            <w:tcW w:w="1018" w:type="pct"/>
            <w:tcBorders>
              <w:top w:val="single" w:sz="18" w:space="0" w:color="C00000"/>
            </w:tcBorders>
            <w:shd w:val="clear" w:color="auto" w:fill="F2F2F2" w:themeFill="background1" w:themeFillShade="F2"/>
            <w:vAlign w:val="center"/>
          </w:tcPr>
          <w:p w14:paraId="3ECCC9B7" w14:textId="77777777" w:rsidR="003A039D" w:rsidRPr="000F0299" w:rsidRDefault="003A039D" w:rsidP="005A56DA">
            <w:pPr>
              <w:spacing w:before="0"/>
              <w:ind w:firstLine="0"/>
              <w:jc w:val="center"/>
              <w:rPr>
                <w:b/>
                <w:bCs/>
                <w:sz w:val="16"/>
                <w:szCs w:val="16"/>
              </w:rPr>
            </w:pPr>
          </w:p>
        </w:tc>
        <w:tc>
          <w:tcPr>
            <w:tcW w:w="182" w:type="pct"/>
            <w:tcBorders>
              <w:top w:val="single" w:sz="18" w:space="0" w:color="C00000"/>
              <w:right w:val="single" w:sz="18" w:space="0" w:color="C00000"/>
            </w:tcBorders>
            <w:shd w:val="clear" w:color="auto" w:fill="F2F2F2" w:themeFill="background1" w:themeFillShade="F2"/>
          </w:tcPr>
          <w:p w14:paraId="51634D58" w14:textId="77777777" w:rsidR="003A039D" w:rsidRPr="000F0299" w:rsidRDefault="003A039D" w:rsidP="005A56DA">
            <w:pPr>
              <w:spacing w:before="0"/>
              <w:ind w:firstLine="0"/>
              <w:jc w:val="center"/>
              <w:rPr>
                <w:b/>
                <w:bCs/>
                <w:sz w:val="16"/>
                <w:szCs w:val="16"/>
              </w:rPr>
            </w:pPr>
          </w:p>
        </w:tc>
      </w:tr>
      <w:tr w:rsidR="003A039D" w:rsidRPr="000F0299" w14:paraId="644CF600" w14:textId="77777777" w:rsidTr="009300FD">
        <w:trPr>
          <w:trHeight w:val="490"/>
        </w:trPr>
        <w:tc>
          <w:tcPr>
            <w:tcW w:w="187" w:type="pct"/>
            <w:tcBorders>
              <w:left w:val="single" w:sz="18" w:space="0" w:color="C00000"/>
            </w:tcBorders>
            <w:shd w:val="clear" w:color="auto" w:fill="F2F2F2" w:themeFill="background1" w:themeFillShade="F2"/>
          </w:tcPr>
          <w:p w14:paraId="7901654D" w14:textId="77777777" w:rsidR="003A039D" w:rsidRPr="000F0299" w:rsidRDefault="003A039D" w:rsidP="005A56DA">
            <w:pPr>
              <w:spacing w:before="0"/>
              <w:ind w:firstLine="0"/>
              <w:rPr>
                <w:b/>
                <w:bCs/>
              </w:rPr>
            </w:pPr>
          </w:p>
        </w:tc>
        <w:tc>
          <w:tcPr>
            <w:tcW w:w="2595" w:type="pct"/>
            <w:tcBorders>
              <w:left w:val="nil"/>
              <w:bottom w:val="single" w:sz="18" w:space="0" w:color="C00000"/>
              <w:right w:val="single" w:sz="18" w:space="0" w:color="FFFFFF" w:themeColor="background1"/>
            </w:tcBorders>
            <w:shd w:val="clear" w:color="auto" w:fill="F2F2F2" w:themeFill="background1" w:themeFillShade="F2"/>
          </w:tcPr>
          <w:p w14:paraId="459839AD" w14:textId="77777777" w:rsidR="003A039D" w:rsidRPr="000F0299" w:rsidRDefault="003A039D" w:rsidP="005A56DA">
            <w:pPr>
              <w:spacing w:before="0"/>
              <w:ind w:firstLine="0"/>
              <w:rPr>
                <w:b/>
                <w:bCs/>
              </w:rPr>
            </w:pPr>
            <w:r w:rsidRPr="000F0299">
              <w:rPr>
                <w:b/>
                <w:bCs/>
              </w:rPr>
              <w:t>Показатељ исхода</w:t>
            </w:r>
          </w:p>
        </w:tc>
        <w:tc>
          <w:tcPr>
            <w:tcW w:w="1018"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7BE981AD" w14:textId="77777777" w:rsidR="003A039D" w:rsidRPr="000F0299" w:rsidRDefault="003A039D" w:rsidP="005A56DA">
            <w:pPr>
              <w:spacing w:before="0"/>
              <w:ind w:firstLine="0"/>
              <w:jc w:val="center"/>
              <w:rPr>
                <w:b/>
                <w:bCs/>
              </w:rPr>
            </w:pPr>
            <w:r w:rsidRPr="000F0299">
              <w:rPr>
                <w:b/>
                <w:bCs/>
              </w:rPr>
              <w:t>ПВ</w:t>
            </w:r>
          </w:p>
        </w:tc>
        <w:tc>
          <w:tcPr>
            <w:tcW w:w="1018" w:type="pct"/>
            <w:tcBorders>
              <w:left w:val="single" w:sz="18" w:space="0" w:color="FFFFFF" w:themeColor="background1"/>
              <w:bottom w:val="single" w:sz="18" w:space="0" w:color="C00000"/>
            </w:tcBorders>
            <w:shd w:val="clear" w:color="auto" w:fill="F2F2F2" w:themeFill="background1" w:themeFillShade="F2"/>
            <w:vAlign w:val="center"/>
          </w:tcPr>
          <w:p w14:paraId="4820D643" w14:textId="77777777" w:rsidR="003A039D" w:rsidRPr="000F0299" w:rsidRDefault="003A039D" w:rsidP="005A56DA">
            <w:pPr>
              <w:spacing w:before="0"/>
              <w:ind w:firstLine="0"/>
              <w:jc w:val="center"/>
              <w:rPr>
                <w:b/>
                <w:bCs/>
              </w:rPr>
            </w:pPr>
            <w:r w:rsidRPr="000F0299">
              <w:rPr>
                <w:b/>
                <w:bCs/>
              </w:rPr>
              <w:t>ЦВ</w:t>
            </w:r>
          </w:p>
        </w:tc>
        <w:tc>
          <w:tcPr>
            <w:tcW w:w="182" w:type="pct"/>
            <w:tcBorders>
              <w:right w:val="single" w:sz="18" w:space="0" w:color="C00000"/>
            </w:tcBorders>
            <w:shd w:val="clear" w:color="auto" w:fill="F2F2F2" w:themeFill="background1" w:themeFillShade="F2"/>
          </w:tcPr>
          <w:p w14:paraId="2EC8B177" w14:textId="77777777" w:rsidR="003A039D" w:rsidRPr="000F0299" w:rsidRDefault="003A039D" w:rsidP="005A56DA">
            <w:pPr>
              <w:spacing w:before="0"/>
              <w:ind w:firstLine="0"/>
              <w:jc w:val="center"/>
              <w:rPr>
                <w:b/>
                <w:bCs/>
              </w:rPr>
            </w:pPr>
          </w:p>
        </w:tc>
      </w:tr>
      <w:tr w:rsidR="003A039D" w:rsidRPr="000F0299" w14:paraId="06D6FFF0" w14:textId="77777777" w:rsidTr="009300FD">
        <w:trPr>
          <w:trHeight w:val="1082"/>
        </w:trPr>
        <w:tc>
          <w:tcPr>
            <w:tcW w:w="187" w:type="pct"/>
            <w:tcBorders>
              <w:left w:val="single" w:sz="18" w:space="0" w:color="C00000"/>
            </w:tcBorders>
            <w:shd w:val="clear" w:color="auto" w:fill="F2F2F2" w:themeFill="background1" w:themeFillShade="F2"/>
          </w:tcPr>
          <w:p w14:paraId="77863AAF" w14:textId="77777777" w:rsidR="003A039D" w:rsidRPr="000F0299" w:rsidRDefault="003A039D" w:rsidP="005A56DA">
            <w:pPr>
              <w:spacing w:before="0"/>
              <w:ind w:firstLine="0"/>
            </w:pPr>
          </w:p>
        </w:tc>
        <w:tc>
          <w:tcPr>
            <w:tcW w:w="2595"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73863FDC" w14:textId="77777777" w:rsidR="003A039D" w:rsidRPr="000F0299" w:rsidRDefault="003A039D" w:rsidP="005A56DA">
            <w:pPr>
              <w:spacing w:before="0"/>
              <w:ind w:firstLine="0"/>
            </w:pPr>
            <w:r w:rsidRPr="000F0299">
              <w:t>Степен у ком је развијен систем за управљање каријером државних службеника</w:t>
            </w:r>
          </w:p>
        </w:tc>
        <w:tc>
          <w:tcPr>
            <w:tcW w:w="1018"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004CD788" w14:textId="77777777" w:rsidR="003A039D" w:rsidRPr="000F0299" w:rsidRDefault="003A039D" w:rsidP="005A56DA">
            <w:pPr>
              <w:spacing w:before="0"/>
              <w:ind w:firstLine="0"/>
            </w:pPr>
            <w:r w:rsidRPr="000F0299">
              <w:t>(2020): 1</w:t>
            </w:r>
          </w:p>
        </w:tc>
        <w:tc>
          <w:tcPr>
            <w:tcW w:w="1018"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1EF53295" w14:textId="77777777" w:rsidR="003A039D" w:rsidRPr="000F0299" w:rsidRDefault="003A039D" w:rsidP="005A56DA">
            <w:pPr>
              <w:spacing w:before="0"/>
              <w:ind w:firstLine="0"/>
            </w:pPr>
            <w:r w:rsidRPr="000F0299">
              <w:t>(2021): 1</w:t>
            </w:r>
          </w:p>
          <w:p w14:paraId="3FA23E1F" w14:textId="77777777" w:rsidR="003A039D" w:rsidRPr="000F0299" w:rsidRDefault="003A039D" w:rsidP="005A56DA">
            <w:pPr>
              <w:spacing w:before="0"/>
              <w:ind w:firstLine="0"/>
            </w:pPr>
            <w:r w:rsidRPr="000F0299">
              <w:t>(2022): 1</w:t>
            </w:r>
          </w:p>
          <w:p w14:paraId="4E35F1C5" w14:textId="77777777" w:rsidR="003A039D" w:rsidRPr="000F0299" w:rsidRDefault="003A039D" w:rsidP="005A56DA">
            <w:pPr>
              <w:spacing w:before="0"/>
              <w:ind w:firstLine="0"/>
            </w:pPr>
            <w:r w:rsidRPr="000F0299">
              <w:t>(2023): 2</w:t>
            </w:r>
          </w:p>
          <w:p w14:paraId="0688E97D" w14:textId="77777777" w:rsidR="003A039D" w:rsidRPr="000F0299" w:rsidRDefault="003A039D" w:rsidP="005A56DA">
            <w:pPr>
              <w:spacing w:before="0"/>
              <w:ind w:firstLine="0"/>
            </w:pPr>
            <w:r w:rsidRPr="000F0299">
              <w:t>(2024): 3</w:t>
            </w:r>
          </w:p>
          <w:p w14:paraId="4D72087F" w14:textId="77777777" w:rsidR="003A039D" w:rsidRPr="000F0299" w:rsidRDefault="003A039D" w:rsidP="005A56DA">
            <w:pPr>
              <w:spacing w:before="0"/>
              <w:ind w:firstLine="0"/>
            </w:pPr>
            <w:r w:rsidRPr="000F0299">
              <w:t>(2025): 4</w:t>
            </w:r>
          </w:p>
          <w:p w14:paraId="2ABCD0CC" w14:textId="77777777" w:rsidR="003A039D" w:rsidRPr="000F0299" w:rsidRDefault="003A039D" w:rsidP="005A56DA">
            <w:pPr>
              <w:spacing w:before="0"/>
              <w:ind w:firstLine="0"/>
            </w:pPr>
            <w:r w:rsidRPr="000F0299">
              <w:t>(2027): 4</w:t>
            </w:r>
          </w:p>
          <w:p w14:paraId="28A2E1BA" w14:textId="77777777" w:rsidR="003A039D" w:rsidRPr="000F0299" w:rsidRDefault="003A039D" w:rsidP="005A56DA">
            <w:pPr>
              <w:spacing w:before="0"/>
              <w:ind w:firstLine="0"/>
            </w:pPr>
            <w:r w:rsidRPr="000F0299">
              <w:t>(2030): 4</w:t>
            </w:r>
          </w:p>
        </w:tc>
        <w:tc>
          <w:tcPr>
            <w:tcW w:w="182" w:type="pct"/>
            <w:tcBorders>
              <w:right w:val="single" w:sz="18" w:space="0" w:color="C00000"/>
            </w:tcBorders>
            <w:shd w:val="clear" w:color="auto" w:fill="F2F2F2" w:themeFill="background1" w:themeFillShade="F2"/>
          </w:tcPr>
          <w:p w14:paraId="0BBA5837" w14:textId="77777777" w:rsidR="003A039D" w:rsidRPr="000F0299" w:rsidRDefault="003A039D" w:rsidP="005A56DA">
            <w:pPr>
              <w:spacing w:before="0"/>
              <w:ind w:firstLine="0"/>
            </w:pPr>
          </w:p>
        </w:tc>
      </w:tr>
      <w:tr w:rsidR="003A039D" w:rsidRPr="000F0299" w14:paraId="55D19130" w14:textId="77777777" w:rsidTr="009300FD">
        <w:trPr>
          <w:trHeight w:val="340"/>
        </w:trPr>
        <w:tc>
          <w:tcPr>
            <w:tcW w:w="187" w:type="pct"/>
            <w:tcBorders>
              <w:left w:val="single" w:sz="18" w:space="0" w:color="C00000"/>
              <w:bottom w:val="single" w:sz="18" w:space="0" w:color="C00000"/>
            </w:tcBorders>
            <w:shd w:val="clear" w:color="auto" w:fill="F2F2F2" w:themeFill="background1" w:themeFillShade="F2"/>
          </w:tcPr>
          <w:p w14:paraId="01255862" w14:textId="77777777" w:rsidR="003A039D" w:rsidRPr="000F0299" w:rsidRDefault="003A039D" w:rsidP="005A56DA">
            <w:pPr>
              <w:spacing w:before="0"/>
              <w:ind w:firstLine="0"/>
              <w:rPr>
                <w:sz w:val="16"/>
                <w:szCs w:val="16"/>
              </w:rPr>
            </w:pPr>
          </w:p>
        </w:tc>
        <w:tc>
          <w:tcPr>
            <w:tcW w:w="2595" w:type="pct"/>
            <w:tcBorders>
              <w:bottom w:val="single" w:sz="18" w:space="0" w:color="C00000"/>
            </w:tcBorders>
            <w:shd w:val="clear" w:color="auto" w:fill="F2F2F2" w:themeFill="background1" w:themeFillShade="F2"/>
          </w:tcPr>
          <w:p w14:paraId="10BC51F0" w14:textId="77777777" w:rsidR="003A039D" w:rsidRPr="000F0299" w:rsidRDefault="003A039D" w:rsidP="005A56DA">
            <w:pPr>
              <w:spacing w:before="0"/>
              <w:ind w:firstLine="0"/>
              <w:rPr>
                <w:sz w:val="16"/>
                <w:szCs w:val="16"/>
              </w:rPr>
            </w:pPr>
          </w:p>
        </w:tc>
        <w:tc>
          <w:tcPr>
            <w:tcW w:w="1018" w:type="pct"/>
            <w:tcBorders>
              <w:bottom w:val="single" w:sz="18" w:space="0" w:color="C00000"/>
            </w:tcBorders>
            <w:shd w:val="clear" w:color="auto" w:fill="F2F2F2" w:themeFill="background1" w:themeFillShade="F2"/>
          </w:tcPr>
          <w:p w14:paraId="23A02FB8" w14:textId="77777777" w:rsidR="003A039D" w:rsidRPr="000F0299" w:rsidRDefault="003A039D" w:rsidP="005A56DA">
            <w:pPr>
              <w:spacing w:before="0"/>
              <w:ind w:firstLine="0"/>
              <w:rPr>
                <w:sz w:val="16"/>
                <w:szCs w:val="16"/>
              </w:rPr>
            </w:pPr>
          </w:p>
        </w:tc>
        <w:tc>
          <w:tcPr>
            <w:tcW w:w="1018" w:type="pct"/>
            <w:tcBorders>
              <w:bottom w:val="single" w:sz="18" w:space="0" w:color="C00000"/>
            </w:tcBorders>
            <w:shd w:val="clear" w:color="auto" w:fill="F2F2F2" w:themeFill="background1" w:themeFillShade="F2"/>
          </w:tcPr>
          <w:p w14:paraId="5353686B" w14:textId="77777777" w:rsidR="003A039D" w:rsidRPr="000F0299" w:rsidRDefault="003A039D" w:rsidP="005A56DA">
            <w:pPr>
              <w:spacing w:before="0"/>
              <w:ind w:firstLine="0"/>
              <w:rPr>
                <w:sz w:val="16"/>
                <w:szCs w:val="16"/>
              </w:rPr>
            </w:pPr>
          </w:p>
        </w:tc>
        <w:tc>
          <w:tcPr>
            <w:tcW w:w="182" w:type="pct"/>
            <w:tcBorders>
              <w:bottom w:val="single" w:sz="18" w:space="0" w:color="C00000"/>
              <w:right w:val="single" w:sz="18" w:space="0" w:color="C00000"/>
            </w:tcBorders>
            <w:shd w:val="clear" w:color="auto" w:fill="F2F2F2" w:themeFill="background1" w:themeFillShade="F2"/>
          </w:tcPr>
          <w:p w14:paraId="41D9A667" w14:textId="77777777" w:rsidR="003A039D" w:rsidRPr="000F0299" w:rsidRDefault="003A039D" w:rsidP="005A56DA">
            <w:pPr>
              <w:spacing w:before="0"/>
              <w:ind w:firstLine="0"/>
              <w:rPr>
                <w:sz w:val="16"/>
                <w:szCs w:val="16"/>
              </w:rPr>
            </w:pPr>
          </w:p>
        </w:tc>
      </w:tr>
    </w:tbl>
    <w:p w14:paraId="2B814D42" w14:textId="77777777" w:rsidR="009300FD" w:rsidRPr="000F0299" w:rsidRDefault="009300FD" w:rsidP="009300FD">
      <w:r>
        <w:t xml:space="preserve">Да би се постигао циљ </w:t>
      </w:r>
      <w:r w:rsidRPr="00EA6B2D">
        <w:t xml:space="preserve">2.2 </w:t>
      </w:r>
      <w:r>
        <w:t>предвиђа</w:t>
      </w:r>
      <w:r w:rsidRPr="000F0299">
        <w:t xml:space="preserve"> се </w:t>
      </w:r>
      <w:r>
        <w:t>да се д</w:t>
      </w:r>
      <w:r w:rsidRPr="000F0299">
        <w:t>о краја 2030. године постигну следећи резултати:</w:t>
      </w:r>
    </w:p>
    <w:p w14:paraId="1A7DB8EB" w14:textId="77777777" w:rsidR="009300FD" w:rsidRPr="000F0299" w:rsidRDefault="009300FD" w:rsidP="009300FD">
      <w:r w:rsidRPr="000F0299">
        <w:t>- Успостављено окружење које промовише ефикасност</w:t>
      </w:r>
      <w:r>
        <w:t xml:space="preserve"> и</w:t>
      </w:r>
      <w:r w:rsidRPr="000F0299">
        <w:t xml:space="preserve"> иновације</w:t>
      </w:r>
      <w:r>
        <w:t xml:space="preserve"> </w:t>
      </w:r>
      <w:r w:rsidRPr="000F0299">
        <w:t>и јача мотивациј</w:t>
      </w:r>
      <w:r>
        <w:t>у</w:t>
      </w:r>
      <w:r w:rsidRPr="000F0299">
        <w:t xml:space="preserve"> за рад у државној управи </w:t>
      </w:r>
      <w:r>
        <w:t xml:space="preserve">у којој су </w:t>
      </w:r>
      <w:r w:rsidRPr="000F0299">
        <w:t>обезбеђени услови за развој каријере најефикаснијих, најиновативнијих и најмотивисанијих државних службеника. Циљ је зауставити одлив компетентн</w:t>
      </w:r>
      <w:r>
        <w:t>ог</w:t>
      </w:r>
      <w:r w:rsidRPr="000F0299">
        <w:t xml:space="preserve"> кадра, задржа</w:t>
      </w:r>
      <w:r>
        <w:t>ти</w:t>
      </w:r>
      <w:r w:rsidRPr="000F0299">
        <w:t xml:space="preserve"> кад</w:t>
      </w:r>
      <w:r>
        <w:t>а</w:t>
      </w:r>
      <w:r w:rsidRPr="000F0299">
        <w:t>р</w:t>
      </w:r>
      <w:r>
        <w:t xml:space="preserve"> </w:t>
      </w:r>
      <w:r w:rsidRPr="000F0299">
        <w:t>и п</w:t>
      </w:r>
      <w:r>
        <w:t>овећати</w:t>
      </w:r>
      <w:r w:rsidRPr="000F0299">
        <w:t xml:space="preserve"> мобилност </w:t>
      </w:r>
      <w:r>
        <w:t xml:space="preserve">кадра </w:t>
      </w:r>
      <w:r w:rsidRPr="000F0299">
        <w:t>у оквиру јавне управе и изван ње.</w:t>
      </w:r>
    </w:p>
    <w:p w14:paraId="642BBDFA" w14:textId="77777777" w:rsidR="009300FD" w:rsidRPr="000F0299" w:rsidRDefault="009300FD" w:rsidP="009300FD">
      <w:r w:rsidRPr="000F0299">
        <w:t xml:space="preserve">- Ефикасна је функција људских ресурса у државној управи и осигурано адекватно делегирање овлашћења у вези са </w:t>
      </w:r>
      <w:r>
        <w:t>УЉР</w:t>
      </w:r>
      <w:r w:rsidRPr="000F0299">
        <w:t>.</w:t>
      </w:r>
    </w:p>
    <w:p w14:paraId="7D23F8E8" w14:textId="77777777" w:rsidR="009300FD" w:rsidRPr="000F0299" w:rsidRDefault="009300FD" w:rsidP="009300FD">
      <w:pPr>
        <w:rPr>
          <w:strike/>
        </w:rPr>
      </w:pPr>
      <w:r w:rsidRPr="000F0299">
        <w:t xml:space="preserve">- Осигурана је професионализација лица на положају ефикасном применом посебне политике за </w:t>
      </w:r>
      <w:r>
        <w:t>УЉР</w:t>
      </w:r>
      <w:r w:rsidRPr="000F0299">
        <w:t xml:space="preserve"> за државне службенике на положају.</w:t>
      </w:r>
    </w:p>
    <w:p w14:paraId="69BC34A8" w14:textId="77777777" w:rsidR="009300FD" w:rsidRPr="000F0299" w:rsidRDefault="009300FD" w:rsidP="009300FD">
      <w:pPr>
        <w:pStyle w:val="Heading4"/>
        <w:rPr>
          <w:lang w:val="sr-Cyrl-RS"/>
        </w:rPr>
      </w:pPr>
      <w:r w:rsidRPr="000F0299">
        <w:rPr>
          <w:lang w:val="sr-Cyrl-RS"/>
        </w:rPr>
        <w:t>Анализа ефеката опција за посебан циљ 2.2</w:t>
      </w:r>
    </w:p>
    <w:p w14:paraId="3EB0D913" w14:textId="62B5BF7B" w:rsidR="00832E4F" w:rsidRPr="00832E4F" w:rsidRDefault="00832E4F" w:rsidP="00832E4F">
      <w:r w:rsidRPr="00971C46">
        <w:t>Тест утицаја опција предвиђених за постизање овог циља има у потпуности или умерено релевантан утицај на критеријуме. Постигнуто је осам од максимално 14 бодова, што налаже да се разраде и анализирају ефекти опција.</w:t>
      </w:r>
    </w:p>
    <w:p w14:paraId="743D01DF" w14:textId="7F56C42C" w:rsidR="009300FD" w:rsidRPr="000F0299" w:rsidRDefault="009300FD" w:rsidP="009300FD">
      <w:pPr>
        <w:ind w:firstLine="0"/>
        <w:rPr>
          <w:b/>
          <w:bCs/>
        </w:rPr>
      </w:pPr>
      <w:r w:rsidRPr="000F0299">
        <w:rPr>
          <w:b/>
          <w:bCs/>
        </w:rPr>
        <w:t>Тест утицаја</w:t>
      </w:r>
    </w:p>
    <w:tbl>
      <w:tblPr>
        <w:tblStyle w:val="ListTable2-Accent31"/>
        <w:tblW w:w="5000" w:type="pct"/>
        <w:tblLook w:val="0620" w:firstRow="1" w:lastRow="0" w:firstColumn="0" w:lastColumn="0" w:noHBand="1" w:noVBand="1"/>
      </w:tblPr>
      <w:tblGrid>
        <w:gridCol w:w="7986"/>
        <w:gridCol w:w="1652"/>
      </w:tblGrid>
      <w:tr w:rsidR="009300FD" w:rsidRPr="000F0299" w14:paraId="31301814" w14:textId="77777777" w:rsidTr="00DF2530">
        <w:trPr>
          <w:cnfStyle w:val="100000000000" w:firstRow="1" w:lastRow="0" w:firstColumn="0" w:lastColumn="0" w:oddVBand="0" w:evenVBand="0" w:oddHBand="0" w:evenHBand="0" w:firstRowFirstColumn="0" w:firstRowLastColumn="0" w:lastRowFirstColumn="0" w:lastRowLastColumn="0"/>
        </w:trPr>
        <w:tc>
          <w:tcPr>
            <w:tcW w:w="4143" w:type="pct"/>
          </w:tcPr>
          <w:p w14:paraId="637DB6FB" w14:textId="77777777" w:rsidR="009300FD" w:rsidRPr="000F0299" w:rsidRDefault="009300FD" w:rsidP="00DF2530">
            <w:pPr>
              <w:pStyle w:val="basic-paragraph"/>
              <w:ind w:firstLine="0"/>
              <w:rPr>
                <w:b w:val="0"/>
                <w:bCs w:val="0"/>
                <w:lang w:val="sr-Cyrl-RS"/>
              </w:rPr>
            </w:pPr>
            <w:r w:rsidRPr="000F0299">
              <w:rPr>
                <w:lang w:val="sr-Cyrl-RS"/>
              </w:rPr>
              <w:t>Посебан циљ 2.2:</w:t>
            </w:r>
            <w:r w:rsidRPr="000F0299">
              <w:rPr>
                <w:b w:val="0"/>
                <w:bCs w:val="0"/>
                <w:i/>
                <w:iCs/>
                <w:lang w:val="sr-Cyrl-RS"/>
              </w:rPr>
              <w:t xml:space="preserve"> </w:t>
            </w:r>
            <w:r w:rsidRPr="000F0299">
              <w:rPr>
                <w:lang w:val="sr-Cyrl-RS"/>
              </w:rPr>
              <w:t>Ефикасан систем за управљање каријером примењен у пракси</w:t>
            </w:r>
          </w:p>
        </w:tc>
        <w:tc>
          <w:tcPr>
            <w:tcW w:w="857" w:type="pct"/>
          </w:tcPr>
          <w:p w14:paraId="68E19578" w14:textId="77777777" w:rsidR="009300FD" w:rsidRPr="000F0299" w:rsidRDefault="009300FD" w:rsidP="00DF2530">
            <w:r w:rsidRPr="000F0299">
              <w:t>бодови</w:t>
            </w:r>
          </w:p>
        </w:tc>
      </w:tr>
      <w:tr w:rsidR="009300FD" w:rsidRPr="000F0299" w14:paraId="4EBDB5EF" w14:textId="77777777" w:rsidTr="00DF2530">
        <w:tc>
          <w:tcPr>
            <w:tcW w:w="5000" w:type="pct"/>
            <w:gridSpan w:val="2"/>
            <w:shd w:val="clear" w:color="auto" w:fill="BFBFBF" w:themeFill="background1" w:themeFillShade="BF"/>
          </w:tcPr>
          <w:p w14:paraId="1D1877EE" w14:textId="77777777" w:rsidR="009300FD" w:rsidRPr="000F0299" w:rsidRDefault="009300FD" w:rsidP="00DF2530">
            <w:pPr>
              <w:ind w:firstLine="0"/>
              <w:jc w:val="left"/>
            </w:pPr>
            <w:r w:rsidRPr="000F0299">
              <w:t>Квантитативни критеријуми</w:t>
            </w:r>
          </w:p>
        </w:tc>
      </w:tr>
      <w:tr w:rsidR="009300FD" w:rsidRPr="000F0299" w14:paraId="4989F6C2" w14:textId="77777777" w:rsidTr="00DF2530">
        <w:tc>
          <w:tcPr>
            <w:tcW w:w="4143" w:type="pct"/>
          </w:tcPr>
          <w:p w14:paraId="5EF96ECF" w14:textId="77777777" w:rsidR="009300FD" w:rsidRPr="000F0299" w:rsidRDefault="009300FD" w:rsidP="00DF2530">
            <w:pPr>
              <w:ind w:firstLine="0"/>
            </w:pPr>
            <w:r w:rsidRPr="000F0299">
              <w:t xml:space="preserve">Промена у приходима и расходима, као и примањима и издацима </w:t>
            </w:r>
            <w:r>
              <w:t>органа државне управе</w:t>
            </w:r>
            <w:r w:rsidRPr="000F0299">
              <w:t xml:space="preserve">/буџету РС, на годишњем нивоу већа од 10% буџета у </w:t>
            </w:r>
            <w:r>
              <w:t xml:space="preserve">односу на </w:t>
            </w:r>
            <w:r w:rsidRPr="000F0299">
              <w:t>п</w:t>
            </w:r>
            <w:r>
              <w:t>ретходну</w:t>
            </w:r>
            <w:r w:rsidRPr="000F0299">
              <w:t xml:space="preserve"> фискалној години</w:t>
            </w:r>
          </w:p>
        </w:tc>
        <w:tc>
          <w:tcPr>
            <w:tcW w:w="857" w:type="pct"/>
          </w:tcPr>
          <w:p w14:paraId="221CE500" w14:textId="77777777" w:rsidR="009300FD" w:rsidRPr="000F0299" w:rsidRDefault="009300FD" w:rsidP="00DF2530">
            <w:pPr>
              <w:jc w:val="center"/>
            </w:pPr>
            <w:r w:rsidRPr="000F0299">
              <w:t>2</w:t>
            </w:r>
          </w:p>
        </w:tc>
      </w:tr>
      <w:tr w:rsidR="009300FD" w:rsidRPr="000F0299" w14:paraId="2DA87376" w14:textId="77777777" w:rsidTr="00DF2530">
        <w:tc>
          <w:tcPr>
            <w:tcW w:w="4143" w:type="pct"/>
          </w:tcPr>
          <w:p w14:paraId="4CCC4E70" w14:textId="77777777" w:rsidR="009300FD" w:rsidRPr="000F0299" w:rsidRDefault="009300FD" w:rsidP="00DF2530">
            <w:pPr>
              <w:ind w:firstLine="0"/>
            </w:pPr>
            <w:r w:rsidRPr="000F0299">
              <w:t>Утицај на више од 200.000 грађана</w:t>
            </w:r>
          </w:p>
        </w:tc>
        <w:tc>
          <w:tcPr>
            <w:tcW w:w="857" w:type="pct"/>
          </w:tcPr>
          <w:p w14:paraId="54E9EFFC" w14:textId="77777777" w:rsidR="009300FD" w:rsidRPr="000F0299" w:rsidRDefault="009300FD" w:rsidP="00DF2530">
            <w:pPr>
              <w:jc w:val="center"/>
            </w:pPr>
            <w:r w:rsidRPr="000F0299">
              <w:t>2</w:t>
            </w:r>
          </w:p>
        </w:tc>
      </w:tr>
      <w:tr w:rsidR="009300FD" w:rsidRPr="000F0299" w14:paraId="1F169DD9" w14:textId="77777777" w:rsidTr="00DF2530">
        <w:tc>
          <w:tcPr>
            <w:tcW w:w="4143" w:type="pct"/>
          </w:tcPr>
          <w:p w14:paraId="32623256" w14:textId="77777777" w:rsidR="009300FD" w:rsidRPr="000F0299" w:rsidRDefault="009300FD" w:rsidP="00DF2530">
            <w:pPr>
              <w:ind w:firstLine="0"/>
            </w:pPr>
            <w:r w:rsidRPr="000F0299">
              <w:t>Утицај на више од 5% предузетника или правних лица, или на више од 20% тих лица у одређеној делатности</w:t>
            </w:r>
          </w:p>
        </w:tc>
        <w:tc>
          <w:tcPr>
            <w:tcW w:w="857" w:type="pct"/>
          </w:tcPr>
          <w:p w14:paraId="7C31D71E" w14:textId="77777777" w:rsidR="009300FD" w:rsidRPr="000F0299" w:rsidRDefault="009300FD" w:rsidP="00DF2530">
            <w:pPr>
              <w:jc w:val="center"/>
            </w:pPr>
            <w:r w:rsidRPr="000F0299">
              <w:t>0</w:t>
            </w:r>
          </w:p>
        </w:tc>
      </w:tr>
      <w:tr w:rsidR="009300FD" w:rsidRPr="000F0299" w14:paraId="73824BB0" w14:textId="77777777" w:rsidTr="00DF2530">
        <w:tc>
          <w:tcPr>
            <w:tcW w:w="5000" w:type="pct"/>
            <w:gridSpan w:val="2"/>
            <w:shd w:val="clear" w:color="auto" w:fill="BFBFBF" w:themeFill="background1" w:themeFillShade="BF"/>
          </w:tcPr>
          <w:p w14:paraId="41B262BA" w14:textId="77777777" w:rsidR="009300FD" w:rsidRPr="000F0299" w:rsidRDefault="009300FD" w:rsidP="00DF2530">
            <w:pPr>
              <w:ind w:firstLine="0"/>
              <w:jc w:val="left"/>
            </w:pPr>
            <w:r w:rsidRPr="000F0299">
              <w:t>Квалитативни критеријуми</w:t>
            </w:r>
          </w:p>
        </w:tc>
      </w:tr>
      <w:tr w:rsidR="009300FD" w:rsidRPr="000F0299" w14:paraId="40BC7FA3" w14:textId="77777777" w:rsidTr="00DF2530">
        <w:tc>
          <w:tcPr>
            <w:tcW w:w="4143" w:type="pct"/>
          </w:tcPr>
          <w:p w14:paraId="689EA223" w14:textId="77777777" w:rsidR="009300FD" w:rsidRPr="000F0299" w:rsidRDefault="009300FD" w:rsidP="00DF2530">
            <w:pPr>
              <w:ind w:firstLine="0"/>
            </w:pPr>
            <w:r w:rsidRPr="000F0299">
              <w:t>Утицај на тржиште и услове конкуренције/конкурентности</w:t>
            </w:r>
          </w:p>
        </w:tc>
        <w:tc>
          <w:tcPr>
            <w:tcW w:w="857" w:type="pct"/>
          </w:tcPr>
          <w:p w14:paraId="28BEF4A7" w14:textId="77777777" w:rsidR="009300FD" w:rsidRPr="000F0299" w:rsidRDefault="009300FD" w:rsidP="00DF2530">
            <w:pPr>
              <w:jc w:val="center"/>
            </w:pPr>
            <w:r w:rsidRPr="000F0299">
              <w:t>1</w:t>
            </w:r>
          </w:p>
        </w:tc>
      </w:tr>
      <w:tr w:rsidR="009300FD" w:rsidRPr="000F0299" w14:paraId="5A2704F5" w14:textId="77777777" w:rsidTr="00DF2530">
        <w:tc>
          <w:tcPr>
            <w:tcW w:w="4143" w:type="pct"/>
          </w:tcPr>
          <w:p w14:paraId="1A79694F" w14:textId="77777777" w:rsidR="009300FD" w:rsidRPr="000F0299" w:rsidRDefault="009300FD" w:rsidP="00DF2530">
            <w:pPr>
              <w:ind w:firstLine="0"/>
            </w:pPr>
            <w:r w:rsidRPr="000F0299">
              <w:t xml:space="preserve">Увођење значајних реформских, односно системских промена </w:t>
            </w:r>
          </w:p>
        </w:tc>
        <w:tc>
          <w:tcPr>
            <w:tcW w:w="857" w:type="pct"/>
          </w:tcPr>
          <w:p w14:paraId="3EC9AE0D" w14:textId="77777777" w:rsidR="009300FD" w:rsidRPr="000F0299" w:rsidRDefault="009300FD" w:rsidP="00DF2530">
            <w:pPr>
              <w:jc w:val="center"/>
            </w:pPr>
            <w:r w:rsidRPr="000F0299">
              <w:t>1</w:t>
            </w:r>
          </w:p>
        </w:tc>
      </w:tr>
      <w:tr w:rsidR="009300FD" w:rsidRPr="000F0299" w14:paraId="6D971C6F" w14:textId="77777777" w:rsidTr="00DF2530">
        <w:tc>
          <w:tcPr>
            <w:tcW w:w="5000" w:type="pct"/>
            <w:gridSpan w:val="2"/>
            <w:shd w:val="clear" w:color="auto" w:fill="BFBFBF" w:themeFill="background1" w:themeFillShade="BF"/>
          </w:tcPr>
          <w:p w14:paraId="25F61BD9" w14:textId="77777777" w:rsidR="009300FD" w:rsidRPr="000F0299" w:rsidRDefault="009300FD" w:rsidP="00DF2530">
            <w:pPr>
              <w:ind w:firstLine="0"/>
              <w:jc w:val="left"/>
            </w:pPr>
            <w:r w:rsidRPr="000F0299">
              <w:t>Хоризонтални критеријуми</w:t>
            </w:r>
          </w:p>
        </w:tc>
      </w:tr>
      <w:tr w:rsidR="009300FD" w:rsidRPr="000F0299" w14:paraId="54037153" w14:textId="77777777" w:rsidTr="00DF2530">
        <w:tc>
          <w:tcPr>
            <w:tcW w:w="4143" w:type="pct"/>
          </w:tcPr>
          <w:p w14:paraId="592ACEE6" w14:textId="77777777" w:rsidR="009300FD" w:rsidRPr="000F0299" w:rsidRDefault="009300FD" w:rsidP="00DF2530">
            <w:pPr>
              <w:ind w:firstLine="0"/>
            </w:pPr>
            <w:r w:rsidRPr="000F0299">
              <w:t>Од значаја за остварење једнаког третмана и истих могућности за све</w:t>
            </w:r>
            <w:r w:rsidRPr="000F0299">
              <w:rPr>
                <w:b/>
                <w:color w:val="B8323D"/>
              </w:rPr>
              <w:t xml:space="preserve">, </w:t>
            </w:r>
            <w:r w:rsidRPr="000F0299">
              <w:rPr>
                <w:bCs/>
              </w:rPr>
              <w:t>недискриминације и родне равноправности</w:t>
            </w:r>
          </w:p>
        </w:tc>
        <w:tc>
          <w:tcPr>
            <w:tcW w:w="857" w:type="pct"/>
          </w:tcPr>
          <w:p w14:paraId="5A504211" w14:textId="77777777" w:rsidR="009300FD" w:rsidRPr="000F0299" w:rsidRDefault="009300FD" w:rsidP="00DF2530">
            <w:pPr>
              <w:jc w:val="center"/>
            </w:pPr>
            <w:r w:rsidRPr="000F0299">
              <w:t>1</w:t>
            </w:r>
          </w:p>
        </w:tc>
      </w:tr>
      <w:tr w:rsidR="009300FD" w:rsidRPr="000F0299" w14:paraId="02E370C3" w14:textId="77777777" w:rsidTr="00DF2530">
        <w:tc>
          <w:tcPr>
            <w:tcW w:w="5000" w:type="pct"/>
            <w:gridSpan w:val="2"/>
            <w:shd w:val="clear" w:color="auto" w:fill="BFBFBF" w:themeFill="background1" w:themeFillShade="BF"/>
          </w:tcPr>
          <w:p w14:paraId="231F4D41" w14:textId="2F288AC3" w:rsidR="009300FD" w:rsidRPr="008E4E3A" w:rsidRDefault="008E4E3A" w:rsidP="00DF2530">
            <w:pPr>
              <w:ind w:firstLine="0"/>
              <w:jc w:val="left"/>
            </w:pPr>
            <w:r>
              <w:t>Иновативна пракса</w:t>
            </w:r>
          </w:p>
        </w:tc>
      </w:tr>
      <w:tr w:rsidR="009300FD" w:rsidRPr="000F0299" w14:paraId="39FD3F19" w14:textId="77777777" w:rsidTr="00DF2530">
        <w:tc>
          <w:tcPr>
            <w:tcW w:w="4143" w:type="pct"/>
          </w:tcPr>
          <w:p w14:paraId="6A699A84" w14:textId="2541A425" w:rsidR="009300FD" w:rsidRPr="000F0299" w:rsidRDefault="008E4E3A" w:rsidP="00DF2530">
            <w:pPr>
              <w:ind w:firstLine="0"/>
            </w:pPr>
            <w:r w:rsidRPr="000F0299">
              <w:t xml:space="preserve">Новине у односу на текуће процесе </w:t>
            </w:r>
            <w:r>
              <w:t>реформе јавне управе</w:t>
            </w:r>
          </w:p>
        </w:tc>
        <w:tc>
          <w:tcPr>
            <w:tcW w:w="857" w:type="pct"/>
          </w:tcPr>
          <w:p w14:paraId="7059A433" w14:textId="77777777" w:rsidR="009300FD" w:rsidRPr="000F0299" w:rsidRDefault="009300FD" w:rsidP="00DF2530">
            <w:pPr>
              <w:jc w:val="center"/>
            </w:pPr>
            <w:r w:rsidRPr="000F0299">
              <w:t>1</w:t>
            </w:r>
          </w:p>
        </w:tc>
      </w:tr>
      <w:tr w:rsidR="009300FD" w:rsidRPr="000F0299" w14:paraId="6AE9107C" w14:textId="77777777" w:rsidTr="00DF2530">
        <w:tc>
          <w:tcPr>
            <w:tcW w:w="4143" w:type="pct"/>
          </w:tcPr>
          <w:p w14:paraId="436A849D" w14:textId="77777777" w:rsidR="009300FD" w:rsidRPr="000F0299" w:rsidRDefault="009300FD" w:rsidP="00DF2530">
            <w:pPr>
              <w:ind w:firstLine="0"/>
              <w:rPr>
                <w:b/>
                <w:bCs/>
              </w:rPr>
            </w:pPr>
            <w:r w:rsidRPr="000F0299">
              <w:rPr>
                <w:b/>
                <w:bCs/>
              </w:rPr>
              <w:t>УКУПНО:</w:t>
            </w:r>
          </w:p>
        </w:tc>
        <w:tc>
          <w:tcPr>
            <w:tcW w:w="857" w:type="pct"/>
          </w:tcPr>
          <w:p w14:paraId="686E4F67" w14:textId="77777777" w:rsidR="009300FD" w:rsidRPr="000F0299" w:rsidRDefault="009300FD" w:rsidP="00DF2530">
            <w:pPr>
              <w:jc w:val="center"/>
              <w:rPr>
                <w:b/>
                <w:bCs/>
              </w:rPr>
            </w:pPr>
            <w:r w:rsidRPr="000F0299">
              <w:rPr>
                <w:b/>
                <w:bCs/>
              </w:rPr>
              <w:t>8/14</w:t>
            </w:r>
          </w:p>
        </w:tc>
      </w:tr>
    </w:tbl>
    <w:p w14:paraId="00BDA6F4" w14:textId="63B27B88" w:rsidR="003F3312" w:rsidRPr="000F0299" w:rsidRDefault="00912B32" w:rsidP="00912B32">
      <w:pPr>
        <w:pStyle w:val="Heading4"/>
        <w:rPr>
          <w:lang w:val="sr-Cyrl-RS"/>
        </w:rPr>
      </w:pPr>
      <w:r w:rsidRPr="000F0299">
        <w:rPr>
          <w:rStyle w:val="Heading4Char"/>
          <w:i/>
          <w:iCs/>
          <w:lang w:val="sr-Cyrl-RS"/>
        </w:rPr>
        <w:t>Детаљна анализа ефеката опција</w:t>
      </w:r>
    </w:p>
    <w:p w14:paraId="67029B4A" w14:textId="5C9FD92F" w:rsidR="00C472E4" w:rsidRPr="000F0299" w:rsidRDefault="00E75B34" w:rsidP="00244E7C">
      <w:r w:rsidRPr="000F0299">
        <w:rPr>
          <w:noProof/>
          <w:lang w:val="en-US" w:eastAsia="en-US" w:bidi="ar-SA"/>
        </w:rPr>
        <w:drawing>
          <wp:inline distT="0" distB="0" distL="0" distR="0" wp14:anchorId="247DB6A4" wp14:editId="45D5D4C3">
            <wp:extent cx="5486400" cy="3200400"/>
            <wp:effectExtent l="0" t="0" r="571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22D926DB" w14:textId="77777777" w:rsidR="009300FD" w:rsidRPr="000F0299" w:rsidRDefault="009300FD" w:rsidP="009300FD">
      <w:pPr>
        <w:pStyle w:val="Heading5"/>
        <w:rPr>
          <w:lang w:val="sr-Cyrl-RS"/>
        </w:rPr>
      </w:pPr>
      <w:r w:rsidRPr="000F0299">
        <w:rPr>
          <w:lang w:val="sr-Cyrl-RS"/>
        </w:rPr>
        <w:t xml:space="preserve">Опција 1 – </w:t>
      </w:r>
      <w:r w:rsidRPr="000F0299">
        <w:rPr>
          <w:i/>
          <w:iCs/>
          <w:lang w:val="sr-Cyrl-RS"/>
        </w:rPr>
        <w:t>Status quo</w:t>
      </w:r>
    </w:p>
    <w:p w14:paraId="7FB46577" w14:textId="4417541C" w:rsidR="009300FD" w:rsidRPr="000F0299" w:rsidRDefault="009300FD" w:rsidP="009300FD">
      <w:pPr>
        <w:rPr>
          <w:color w:val="333333"/>
          <w:shd w:val="clear" w:color="auto" w:fill="FFFFFF"/>
        </w:rPr>
      </w:pPr>
      <w:r>
        <w:rPr>
          <w:lang w:eastAsia="de-DE"/>
        </w:rPr>
        <w:t xml:space="preserve">Ако се не </w:t>
      </w:r>
      <w:r w:rsidRPr="000F0299">
        <w:rPr>
          <w:lang w:eastAsia="de-DE"/>
        </w:rPr>
        <w:t>предузима</w:t>
      </w:r>
      <w:r>
        <w:rPr>
          <w:lang w:eastAsia="de-DE"/>
        </w:rPr>
        <w:t>ју</w:t>
      </w:r>
      <w:r w:rsidRPr="000F0299">
        <w:rPr>
          <w:lang w:eastAsia="de-DE"/>
        </w:rPr>
        <w:t xml:space="preserve"> додатн</w:t>
      </w:r>
      <w:r>
        <w:rPr>
          <w:lang w:eastAsia="de-DE"/>
        </w:rPr>
        <w:t>е</w:t>
      </w:r>
      <w:r w:rsidRPr="000F0299">
        <w:rPr>
          <w:lang w:eastAsia="de-DE"/>
        </w:rPr>
        <w:t xml:space="preserve"> мер</w:t>
      </w:r>
      <w:r>
        <w:rPr>
          <w:lang w:eastAsia="de-DE"/>
        </w:rPr>
        <w:t>е</w:t>
      </w:r>
      <w:r w:rsidRPr="000F0299">
        <w:rPr>
          <w:lang w:eastAsia="de-DE"/>
        </w:rPr>
        <w:t xml:space="preserve"> за промену постојећег стања</w:t>
      </w:r>
      <w:r>
        <w:rPr>
          <w:lang w:eastAsia="de-DE"/>
        </w:rPr>
        <w:t>, то</w:t>
      </w:r>
      <w:r w:rsidR="007D3B81" w:rsidRPr="00B774F7">
        <w:rPr>
          <w:lang w:eastAsia="de-DE"/>
        </w:rPr>
        <w:t xml:space="preserve"> </w:t>
      </w:r>
      <w:r w:rsidRPr="000F0299">
        <w:rPr>
          <w:lang w:eastAsia="de-DE"/>
        </w:rPr>
        <w:t>подразумева да се задрж</w:t>
      </w:r>
      <w:r>
        <w:rPr>
          <w:lang w:eastAsia="de-DE"/>
        </w:rPr>
        <w:t xml:space="preserve">ава </w:t>
      </w:r>
      <w:r w:rsidRPr="000F0299">
        <w:rPr>
          <w:i/>
          <w:iCs/>
          <w:lang w:eastAsia="de-DE"/>
        </w:rPr>
        <w:t>ad hoc</w:t>
      </w:r>
      <w:r w:rsidRPr="000F0299">
        <w:rPr>
          <w:lang w:eastAsia="de-DE"/>
        </w:rPr>
        <w:t xml:space="preserve"> приступ у погледу каријерног развоја запослених, </w:t>
      </w:r>
      <w:r>
        <w:rPr>
          <w:lang w:eastAsia="de-DE"/>
        </w:rPr>
        <w:t xml:space="preserve">што ће </w:t>
      </w:r>
      <w:r w:rsidRPr="000F0299">
        <w:rPr>
          <w:lang w:eastAsia="de-DE"/>
        </w:rPr>
        <w:t>онемогући</w:t>
      </w:r>
      <w:r>
        <w:rPr>
          <w:lang w:eastAsia="de-DE"/>
        </w:rPr>
        <w:t>ти</w:t>
      </w:r>
      <w:r w:rsidRPr="000F0299">
        <w:rPr>
          <w:lang w:eastAsia="de-DE"/>
        </w:rPr>
        <w:t xml:space="preserve"> да најбољи службеници буду награђени и да напредују у складу са постигнутим резултатима рада и индивидуалним потенцијалима развоја. Даље, наставак садашње праксе би значио и </w:t>
      </w:r>
      <w:r>
        <w:rPr>
          <w:lang w:eastAsia="de-DE"/>
        </w:rPr>
        <w:t xml:space="preserve">да се </w:t>
      </w:r>
      <w:r w:rsidRPr="000F0299">
        <w:rPr>
          <w:lang w:eastAsia="de-DE"/>
        </w:rPr>
        <w:t>поново одла</w:t>
      </w:r>
      <w:r>
        <w:rPr>
          <w:lang w:eastAsia="de-DE"/>
        </w:rPr>
        <w:t>же</w:t>
      </w:r>
      <w:r w:rsidRPr="000F0299">
        <w:rPr>
          <w:lang w:eastAsia="de-DE"/>
        </w:rPr>
        <w:t xml:space="preserve"> примен</w:t>
      </w:r>
      <w:r>
        <w:rPr>
          <w:lang w:eastAsia="de-DE"/>
        </w:rPr>
        <w:t>а</w:t>
      </w:r>
      <w:r w:rsidRPr="000F0299">
        <w:rPr>
          <w:lang w:eastAsia="de-DE"/>
        </w:rPr>
        <w:t xml:space="preserve"> закона о платама којим би се успоставио нови праведан систем чије су основе постављене 2016. године. </w:t>
      </w:r>
      <w:r>
        <w:rPr>
          <w:lang w:eastAsia="de-DE"/>
        </w:rPr>
        <w:t>Услед свега тога би</w:t>
      </w:r>
      <w:r w:rsidRPr="000F0299">
        <w:rPr>
          <w:lang w:eastAsia="de-DE"/>
        </w:rPr>
        <w:t xml:space="preserve"> </w:t>
      </w:r>
      <w:r>
        <w:rPr>
          <w:lang w:eastAsia="de-DE"/>
        </w:rPr>
        <w:t xml:space="preserve">се </w:t>
      </w:r>
      <w:r w:rsidRPr="000F0299">
        <w:rPr>
          <w:lang w:eastAsia="de-DE"/>
        </w:rPr>
        <w:t>наст</w:t>
      </w:r>
      <w:r>
        <w:rPr>
          <w:lang w:eastAsia="de-DE"/>
        </w:rPr>
        <w:t>авио</w:t>
      </w:r>
      <w:r w:rsidRPr="000F0299">
        <w:rPr>
          <w:lang w:eastAsia="de-DE"/>
        </w:rPr>
        <w:t xml:space="preserve"> одлив квалитетн</w:t>
      </w:r>
      <w:r>
        <w:rPr>
          <w:lang w:eastAsia="de-DE"/>
        </w:rPr>
        <w:t>ог</w:t>
      </w:r>
      <w:r w:rsidRPr="000F0299">
        <w:rPr>
          <w:lang w:eastAsia="de-DE"/>
        </w:rPr>
        <w:t xml:space="preserve"> кадра, што се може негативно одразити на квалитет рада органа и </w:t>
      </w:r>
      <w:r>
        <w:rPr>
          <w:lang w:eastAsia="de-DE"/>
        </w:rPr>
        <w:t xml:space="preserve">због чега </w:t>
      </w:r>
      <w:r w:rsidRPr="000F0299">
        <w:rPr>
          <w:lang w:eastAsia="de-DE"/>
        </w:rPr>
        <w:t xml:space="preserve">може </w:t>
      </w:r>
      <w:r>
        <w:rPr>
          <w:lang w:eastAsia="de-DE"/>
        </w:rPr>
        <w:t>о</w:t>
      </w:r>
      <w:r w:rsidRPr="000F0299">
        <w:rPr>
          <w:lang w:eastAsia="de-DE"/>
        </w:rPr>
        <w:t>јача</w:t>
      </w:r>
      <w:r>
        <w:rPr>
          <w:lang w:eastAsia="de-DE"/>
        </w:rPr>
        <w:t>ти</w:t>
      </w:r>
      <w:r w:rsidRPr="000F0299">
        <w:rPr>
          <w:lang w:eastAsia="de-DE"/>
        </w:rPr>
        <w:t xml:space="preserve"> неповерењ</w:t>
      </w:r>
      <w:r>
        <w:rPr>
          <w:lang w:eastAsia="de-DE"/>
        </w:rPr>
        <w:t>е</w:t>
      </w:r>
      <w:r w:rsidRPr="000F0299">
        <w:rPr>
          <w:lang w:eastAsia="de-DE"/>
        </w:rPr>
        <w:t xml:space="preserve"> грађана у рад јавне управе. Уколико се одабере ова опција</w:t>
      </w:r>
      <w:r>
        <w:rPr>
          <w:lang w:eastAsia="de-DE"/>
        </w:rPr>
        <w:t>,</w:t>
      </w:r>
      <w:r w:rsidRPr="000F0299">
        <w:rPr>
          <w:lang w:eastAsia="de-DE"/>
        </w:rPr>
        <w:t xml:space="preserve"> неће бити потребна додатна финансијска средства, али би наставак ове праксе значио да се и даље јавна средства троше нерационално јер се не награђуј</w:t>
      </w:r>
      <w:r>
        <w:rPr>
          <w:lang w:eastAsia="de-DE"/>
        </w:rPr>
        <w:t>е</w:t>
      </w:r>
      <w:r w:rsidRPr="000F0299">
        <w:rPr>
          <w:lang w:eastAsia="de-DE"/>
        </w:rPr>
        <w:t xml:space="preserve"> нужно најквалитетнији кад</w:t>
      </w:r>
      <w:r>
        <w:rPr>
          <w:lang w:eastAsia="de-DE"/>
        </w:rPr>
        <w:t>а</w:t>
      </w:r>
      <w:r w:rsidRPr="000F0299">
        <w:rPr>
          <w:lang w:eastAsia="de-DE"/>
        </w:rPr>
        <w:t>р, а неретко квалитет</w:t>
      </w:r>
      <w:r>
        <w:rPr>
          <w:lang w:eastAsia="de-DE"/>
        </w:rPr>
        <w:t>а</w:t>
      </w:r>
      <w:r w:rsidRPr="000F0299">
        <w:rPr>
          <w:lang w:eastAsia="de-DE"/>
        </w:rPr>
        <w:t>н кад</w:t>
      </w:r>
      <w:r>
        <w:rPr>
          <w:lang w:eastAsia="de-DE"/>
        </w:rPr>
        <w:t>а</w:t>
      </w:r>
      <w:r w:rsidRPr="000F0299">
        <w:rPr>
          <w:lang w:eastAsia="de-DE"/>
        </w:rPr>
        <w:t>р у кој</w:t>
      </w:r>
      <w:r>
        <w:rPr>
          <w:lang w:eastAsia="de-DE"/>
        </w:rPr>
        <w:t>и</w:t>
      </w:r>
      <w:r w:rsidRPr="000F0299">
        <w:rPr>
          <w:lang w:eastAsia="de-DE"/>
        </w:rPr>
        <w:t xml:space="preserve"> је улагано напушта управу, чиме се уложен новац у њихов развој не враћа.</w:t>
      </w:r>
      <w:r w:rsidRPr="000F0299">
        <w:rPr>
          <w:color w:val="333333"/>
          <w:shd w:val="clear" w:color="auto" w:fill="FFFFFF"/>
        </w:rPr>
        <w:t xml:space="preserve"> </w:t>
      </w:r>
      <w:r w:rsidRPr="000F0299">
        <w:rPr>
          <w:lang w:eastAsia="de-DE"/>
        </w:rPr>
        <w:t>Ова опција такође</w:t>
      </w:r>
      <w:r w:rsidR="009F71B1" w:rsidRPr="00B774F7">
        <w:rPr>
          <w:lang w:eastAsia="de-DE"/>
        </w:rPr>
        <w:t xml:space="preserve"> </w:t>
      </w:r>
      <w:r w:rsidRPr="000F0299">
        <w:rPr>
          <w:lang w:eastAsia="de-DE"/>
        </w:rPr>
        <w:t>подразумева да се настави са праксом да се кадровске јединце баве само основним правним питањима из радног односа запослених</w:t>
      </w:r>
      <w:r>
        <w:rPr>
          <w:lang w:eastAsia="de-DE"/>
        </w:rPr>
        <w:t>,</w:t>
      </w:r>
      <w:r w:rsidRPr="000F0299">
        <w:rPr>
          <w:lang w:eastAsia="de-DE"/>
        </w:rPr>
        <w:t xml:space="preserve"> попут доношења решења о годишњим одморима, обрачунавања коефицијената, доношењ</w:t>
      </w:r>
      <w:r>
        <w:rPr>
          <w:lang w:eastAsia="de-DE"/>
        </w:rPr>
        <w:t>а</w:t>
      </w:r>
      <w:r w:rsidRPr="000F0299">
        <w:rPr>
          <w:lang w:eastAsia="de-DE"/>
        </w:rPr>
        <w:t xml:space="preserve"> решења о боловању, вођењем неких основних евиденција итд. Такође, руководиоци би наставили да се минимално баве </w:t>
      </w:r>
      <w:r>
        <w:rPr>
          <w:lang w:eastAsia="de-DE"/>
        </w:rPr>
        <w:t>УЉР</w:t>
      </w:r>
      <w:r w:rsidRPr="000F0299">
        <w:rPr>
          <w:lang w:eastAsia="de-DE"/>
        </w:rPr>
        <w:t xml:space="preserve">, док би и даље </w:t>
      </w:r>
      <w:r>
        <w:rPr>
          <w:lang w:eastAsia="de-DE"/>
        </w:rPr>
        <w:t xml:space="preserve">били усредсређени </w:t>
      </w:r>
      <w:r w:rsidRPr="000F0299">
        <w:rPr>
          <w:lang w:eastAsia="de-DE"/>
        </w:rPr>
        <w:t>на обављањ</w:t>
      </w:r>
      <w:r>
        <w:rPr>
          <w:lang w:eastAsia="de-DE"/>
        </w:rPr>
        <w:t>е</w:t>
      </w:r>
      <w:r w:rsidRPr="000F0299">
        <w:rPr>
          <w:lang w:eastAsia="de-DE"/>
        </w:rPr>
        <w:t xml:space="preserve"> својих стручних послова. Предност ове опције је једино </w:t>
      </w:r>
      <w:r>
        <w:rPr>
          <w:lang w:eastAsia="de-DE"/>
        </w:rPr>
        <w:t xml:space="preserve">то </w:t>
      </w:r>
      <w:r w:rsidRPr="000F0299">
        <w:rPr>
          <w:lang w:eastAsia="de-DE"/>
        </w:rPr>
        <w:t xml:space="preserve">што је позната службеницима и што не захтева никакву промену и додатне трошкове. </w:t>
      </w:r>
      <w:r>
        <w:rPr>
          <w:lang w:eastAsia="de-DE"/>
        </w:rPr>
        <w:t xml:space="preserve">Да </w:t>
      </w:r>
      <w:r w:rsidRPr="000F0299">
        <w:rPr>
          <w:lang w:eastAsia="de-DE"/>
        </w:rPr>
        <w:t>садашњ</w:t>
      </w:r>
      <w:r>
        <w:rPr>
          <w:lang w:eastAsia="de-DE"/>
        </w:rPr>
        <w:t>у</w:t>
      </w:r>
      <w:r w:rsidRPr="000F0299">
        <w:rPr>
          <w:lang w:eastAsia="de-DE"/>
        </w:rPr>
        <w:t xml:space="preserve"> пракс</w:t>
      </w:r>
      <w:r>
        <w:rPr>
          <w:lang w:eastAsia="de-DE"/>
        </w:rPr>
        <w:t>у треба напустити,</w:t>
      </w:r>
      <w:r w:rsidRPr="000F0299">
        <w:rPr>
          <w:lang w:eastAsia="de-DE"/>
        </w:rPr>
        <w:t xml:space="preserve"> говори и чињеница да су све развијене земље напустиле застарели систем управљања кадровима и замениле га модерним системом </w:t>
      </w:r>
      <w:r>
        <w:rPr>
          <w:lang w:eastAsia="de-DE"/>
        </w:rPr>
        <w:t>УЉР</w:t>
      </w:r>
      <w:r w:rsidRPr="000F0299">
        <w:rPr>
          <w:lang w:eastAsia="de-DE"/>
        </w:rPr>
        <w:t xml:space="preserve"> који почива на низу нових инструмената.</w:t>
      </w:r>
    </w:p>
    <w:p w14:paraId="46A57221" w14:textId="77777777" w:rsidR="009300FD" w:rsidRPr="000F0299" w:rsidRDefault="009300FD" w:rsidP="009300FD">
      <w:pPr>
        <w:pStyle w:val="Heading5"/>
        <w:rPr>
          <w:lang w:val="sr-Cyrl-RS"/>
        </w:rPr>
      </w:pPr>
      <w:r w:rsidRPr="000F0299">
        <w:rPr>
          <w:lang w:val="sr-Cyrl-RS"/>
        </w:rPr>
        <w:t>Опција 2: Управљање каријером запослених доследн</w:t>
      </w:r>
      <w:r>
        <w:rPr>
          <w:lang w:val="sr-Cyrl-RS"/>
        </w:rPr>
        <w:t>и</w:t>
      </w:r>
      <w:r w:rsidRPr="000F0299">
        <w:rPr>
          <w:lang w:val="sr-Cyrl-RS"/>
        </w:rPr>
        <w:t xml:space="preserve">м </w:t>
      </w:r>
      <w:r>
        <w:rPr>
          <w:lang w:val="sr-Cyrl-RS"/>
        </w:rPr>
        <w:t xml:space="preserve">спровођењем </w:t>
      </w:r>
      <w:r w:rsidRPr="000F0299">
        <w:rPr>
          <w:lang w:val="sr-Cyrl-RS"/>
        </w:rPr>
        <w:t xml:space="preserve">постојећих прописа </w:t>
      </w:r>
      <w:r>
        <w:rPr>
          <w:lang w:val="sr-Cyrl-RS"/>
        </w:rPr>
        <w:t xml:space="preserve">и </w:t>
      </w:r>
      <w:r w:rsidRPr="000F0299">
        <w:rPr>
          <w:lang w:val="sr-Cyrl-RS"/>
        </w:rPr>
        <w:t>са постојећим капацитетима</w:t>
      </w:r>
    </w:p>
    <w:p w14:paraId="5418250B" w14:textId="6723D498" w:rsidR="009300FD" w:rsidRPr="000F0299" w:rsidRDefault="009300FD" w:rsidP="009300FD">
      <w:pPr>
        <w:rPr>
          <w:color w:val="333333"/>
          <w:shd w:val="clear" w:color="auto" w:fill="FFFFFF"/>
        </w:rPr>
      </w:pPr>
      <w:r w:rsidRPr="000F0299">
        <w:rPr>
          <w:lang w:eastAsia="de-DE"/>
        </w:rPr>
        <w:t xml:space="preserve">Уколико би се </w:t>
      </w:r>
      <w:r>
        <w:rPr>
          <w:lang w:eastAsia="de-DE"/>
        </w:rPr>
        <w:t>спро</w:t>
      </w:r>
      <w:r w:rsidR="009F71B1">
        <w:rPr>
          <w:lang w:eastAsia="de-DE"/>
        </w:rPr>
        <w:t>во</w:t>
      </w:r>
      <w:r>
        <w:rPr>
          <w:lang w:eastAsia="de-DE"/>
        </w:rPr>
        <w:t xml:space="preserve">дили </w:t>
      </w:r>
      <w:r w:rsidRPr="000F0299">
        <w:rPr>
          <w:lang w:eastAsia="de-DE"/>
        </w:rPr>
        <w:t>само постојећи прописи, одређени помак би био направљен пре свега у области вредновања/оцењивања запослених и платама запослених. Када је реч о вредновању/оцењивању запослених</w:t>
      </w:r>
      <w:r>
        <w:rPr>
          <w:lang w:eastAsia="de-DE"/>
        </w:rPr>
        <w:t>,</w:t>
      </w:r>
      <w:r w:rsidRPr="000F0299">
        <w:rPr>
          <w:lang w:eastAsia="de-DE"/>
        </w:rPr>
        <w:t xml:space="preserve"> </w:t>
      </w:r>
      <w:r>
        <w:rPr>
          <w:lang w:eastAsia="de-DE"/>
        </w:rPr>
        <w:t xml:space="preserve">резултати би били </w:t>
      </w:r>
      <w:r w:rsidRPr="000F0299">
        <w:rPr>
          <w:lang w:eastAsia="de-DE"/>
        </w:rPr>
        <w:t>праведниј</w:t>
      </w:r>
      <w:r>
        <w:rPr>
          <w:lang w:eastAsia="de-DE"/>
        </w:rPr>
        <w:t>е вредновањ</w:t>
      </w:r>
      <w:r w:rsidR="009F71B1">
        <w:rPr>
          <w:lang w:eastAsia="de-DE"/>
        </w:rPr>
        <w:t>е</w:t>
      </w:r>
      <w:r>
        <w:rPr>
          <w:lang w:eastAsia="de-DE"/>
        </w:rPr>
        <w:t xml:space="preserve">/оцењивање </w:t>
      </w:r>
      <w:r w:rsidRPr="000F0299">
        <w:rPr>
          <w:lang w:eastAsia="de-DE"/>
        </w:rPr>
        <w:t>уколико би руководиоци правилно примењивали постојећ</w:t>
      </w:r>
      <w:r>
        <w:rPr>
          <w:lang w:eastAsia="de-DE"/>
        </w:rPr>
        <w:t>е</w:t>
      </w:r>
      <w:r w:rsidRPr="000F0299">
        <w:rPr>
          <w:lang w:eastAsia="de-DE"/>
        </w:rPr>
        <w:t xml:space="preserve"> уредб</w:t>
      </w:r>
      <w:r>
        <w:rPr>
          <w:lang w:eastAsia="de-DE"/>
        </w:rPr>
        <w:t>е</w:t>
      </w:r>
      <w:r w:rsidRPr="000F0299">
        <w:rPr>
          <w:lang w:eastAsia="de-DE"/>
        </w:rPr>
        <w:t>. Т</w:t>
      </w:r>
      <w:r>
        <w:rPr>
          <w:lang w:eastAsia="de-DE"/>
        </w:rPr>
        <w:t xml:space="preserve">ада би </w:t>
      </w:r>
      <w:r w:rsidRPr="000F0299">
        <w:rPr>
          <w:lang w:eastAsia="de-DE"/>
        </w:rPr>
        <w:t xml:space="preserve">најквалитетнији службеници </w:t>
      </w:r>
      <w:r>
        <w:rPr>
          <w:lang w:eastAsia="de-DE"/>
        </w:rPr>
        <w:t xml:space="preserve">били </w:t>
      </w:r>
      <w:r w:rsidRPr="000F0299">
        <w:rPr>
          <w:lang w:eastAsia="de-DE"/>
        </w:rPr>
        <w:t>награ</w:t>
      </w:r>
      <w:r>
        <w:rPr>
          <w:lang w:eastAsia="de-DE"/>
        </w:rPr>
        <w:t xml:space="preserve">ђивани </w:t>
      </w:r>
      <w:r w:rsidRPr="000F0299">
        <w:rPr>
          <w:lang w:eastAsia="de-DE"/>
        </w:rPr>
        <w:t>и напред</w:t>
      </w:r>
      <w:r>
        <w:rPr>
          <w:lang w:eastAsia="de-DE"/>
        </w:rPr>
        <w:t xml:space="preserve">овали би </w:t>
      </w:r>
      <w:r w:rsidRPr="000F0299">
        <w:rPr>
          <w:lang w:eastAsia="de-DE"/>
        </w:rPr>
        <w:t xml:space="preserve">у складу са оствареним резултатима рада, под условом и да </w:t>
      </w:r>
      <w:r>
        <w:rPr>
          <w:lang w:eastAsia="de-DE"/>
        </w:rPr>
        <w:t>буду</w:t>
      </w:r>
      <w:r w:rsidRPr="000F0299">
        <w:rPr>
          <w:lang w:eastAsia="de-DE"/>
        </w:rPr>
        <w:t xml:space="preserve"> обезбеђена средства за примену система плата. </w:t>
      </w:r>
      <w:r>
        <w:rPr>
          <w:lang w:eastAsia="de-DE"/>
        </w:rPr>
        <w:t xml:space="preserve">Ако се не </w:t>
      </w:r>
      <w:r w:rsidRPr="000F0299">
        <w:rPr>
          <w:lang w:eastAsia="de-DE"/>
        </w:rPr>
        <w:t>успостав</w:t>
      </w:r>
      <w:r>
        <w:rPr>
          <w:lang w:eastAsia="de-DE"/>
        </w:rPr>
        <w:t xml:space="preserve">е </w:t>
      </w:r>
      <w:r w:rsidRPr="000F0299">
        <w:rPr>
          <w:lang w:eastAsia="de-DE"/>
        </w:rPr>
        <w:t>нов</w:t>
      </w:r>
      <w:r>
        <w:rPr>
          <w:lang w:eastAsia="de-DE"/>
        </w:rPr>
        <w:t>е</w:t>
      </w:r>
      <w:r w:rsidRPr="000F0299">
        <w:rPr>
          <w:lang w:eastAsia="de-DE"/>
        </w:rPr>
        <w:t xml:space="preserve"> пракс</w:t>
      </w:r>
      <w:r>
        <w:rPr>
          <w:lang w:eastAsia="de-DE"/>
        </w:rPr>
        <w:t>е</w:t>
      </w:r>
      <w:r w:rsidRPr="000F0299">
        <w:rPr>
          <w:lang w:eastAsia="de-DE"/>
        </w:rPr>
        <w:t xml:space="preserve"> за управљање каријером службеника</w:t>
      </w:r>
      <w:r>
        <w:rPr>
          <w:lang w:eastAsia="de-DE"/>
        </w:rPr>
        <w:t>,</w:t>
      </w:r>
      <w:r w:rsidRPr="000F0299">
        <w:rPr>
          <w:lang w:eastAsia="de-DE"/>
        </w:rPr>
        <w:t xml:space="preserve"> попут индивидуалних потенцијала развоја, усмеравања у каријери, подстицање мобилности унутар управе у складу са компетенцијама службеника и исказаним преференцијама о пожељним пословима и областима рада, степен задовољства службеника неће бити повећан, а самим ти</w:t>
      </w:r>
      <w:r>
        <w:rPr>
          <w:lang w:eastAsia="de-DE"/>
        </w:rPr>
        <w:t>м</w:t>
      </w:r>
      <w:r w:rsidRPr="000F0299">
        <w:rPr>
          <w:lang w:eastAsia="de-DE"/>
        </w:rPr>
        <w:t xml:space="preserve"> се неће ни смањити одлив квалитетн</w:t>
      </w:r>
      <w:r>
        <w:rPr>
          <w:lang w:eastAsia="de-DE"/>
        </w:rPr>
        <w:t>ог</w:t>
      </w:r>
      <w:r w:rsidRPr="000F0299">
        <w:rPr>
          <w:lang w:eastAsia="de-DE"/>
        </w:rPr>
        <w:t xml:space="preserve"> кадра</w:t>
      </w:r>
      <w:r>
        <w:rPr>
          <w:lang w:eastAsia="de-DE"/>
        </w:rPr>
        <w:t>,</w:t>
      </w:r>
      <w:r w:rsidRPr="000F0299">
        <w:rPr>
          <w:lang w:eastAsia="de-DE"/>
        </w:rPr>
        <w:t xml:space="preserve"> што је суштина ове мере и једно од централних места целокупног циља. Финансијска средства потребна за </w:t>
      </w:r>
      <w:r>
        <w:rPr>
          <w:lang w:eastAsia="de-DE"/>
        </w:rPr>
        <w:t xml:space="preserve">спровођење </w:t>
      </w:r>
      <w:r w:rsidRPr="000F0299">
        <w:rPr>
          <w:lang w:eastAsia="de-DE"/>
        </w:rPr>
        <w:t>ов</w:t>
      </w:r>
      <w:r>
        <w:rPr>
          <w:lang w:eastAsia="de-DE"/>
        </w:rPr>
        <w:t>е</w:t>
      </w:r>
      <w:r w:rsidRPr="000F0299">
        <w:rPr>
          <w:lang w:eastAsia="de-DE"/>
        </w:rPr>
        <w:t xml:space="preserve"> опциј</w:t>
      </w:r>
      <w:r>
        <w:rPr>
          <w:lang w:eastAsia="de-DE"/>
        </w:rPr>
        <w:t>е</w:t>
      </w:r>
      <w:r w:rsidRPr="000F0299">
        <w:rPr>
          <w:lang w:eastAsia="de-DE"/>
        </w:rPr>
        <w:t xml:space="preserve"> спадају у трошкове предвиђене приликом примене прописа тако да је претпоставка да су средства у буџету обезбеђена, док се додатна средства не захтевају. С друге стране, постоје трошкови од одлива квалитетних кадрова и неискоришћ</w:t>
      </w:r>
      <w:r>
        <w:rPr>
          <w:lang w:eastAsia="de-DE"/>
        </w:rPr>
        <w:t xml:space="preserve">еног </w:t>
      </w:r>
      <w:r w:rsidRPr="000F0299">
        <w:rPr>
          <w:lang w:eastAsia="de-DE"/>
        </w:rPr>
        <w:t>пун</w:t>
      </w:r>
      <w:r>
        <w:rPr>
          <w:lang w:eastAsia="de-DE"/>
        </w:rPr>
        <w:t>ог</w:t>
      </w:r>
      <w:r w:rsidRPr="000F0299">
        <w:rPr>
          <w:lang w:eastAsia="de-DE"/>
        </w:rPr>
        <w:t xml:space="preserve"> потенцијала запослених. </w:t>
      </w:r>
      <w:r>
        <w:rPr>
          <w:lang w:eastAsia="de-DE"/>
        </w:rPr>
        <w:t xml:space="preserve">Анализа показује да се </w:t>
      </w:r>
      <w:r w:rsidRPr="000F0299">
        <w:rPr>
          <w:lang w:eastAsia="de-DE"/>
        </w:rPr>
        <w:t xml:space="preserve">ова опција не може сматрати правом алтернативом постојећем систему јер без јачања капацитета службеника за </w:t>
      </w:r>
      <w:r>
        <w:rPr>
          <w:lang w:eastAsia="de-DE"/>
        </w:rPr>
        <w:t>УЉР</w:t>
      </w:r>
      <w:r w:rsidRPr="000F0299">
        <w:rPr>
          <w:lang w:eastAsia="de-DE"/>
        </w:rPr>
        <w:t xml:space="preserve"> и руководилаца није могуће адекватно применити прописе и предвиђене процедуре. </w:t>
      </w:r>
    </w:p>
    <w:p w14:paraId="3D51F4A8" w14:textId="77777777" w:rsidR="009300FD" w:rsidRPr="000F0299" w:rsidRDefault="009300FD" w:rsidP="009300FD">
      <w:pPr>
        <w:pStyle w:val="Heading5"/>
        <w:rPr>
          <w:lang w:val="sr-Cyrl-RS"/>
        </w:rPr>
      </w:pPr>
      <w:r w:rsidRPr="000F0299">
        <w:rPr>
          <w:lang w:val="sr-Cyrl-RS"/>
        </w:rPr>
        <w:t>Опција 3: Управљање каријером запослених кроз веће надлежности и повећање броја запослених у јединицама за УЉР</w:t>
      </w:r>
    </w:p>
    <w:p w14:paraId="0C23ACD2" w14:textId="4299A346" w:rsidR="009300FD" w:rsidRPr="000F0299" w:rsidRDefault="009300FD" w:rsidP="009300FD">
      <w:pPr>
        <w:rPr>
          <w:lang w:eastAsia="de-DE"/>
        </w:rPr>
      </w:pPr>
      <w:r w:rsidRPr="000F0299">
        <w:rPr>
          <w:lang w:eastAsia="de-DE"/>
        </w:rPr>
        <w:t xml:space="preserve">Повећање броја запослених у јединицама за </w:t>
      </w:r>
      <w:r>
        <w:rPr>
          <w:lang w:eastAsia="de-DE"/>
        </w:rPr>
        <w:t>УЉР</w:t>
      </w:r>
      <w:r w:rsidRPr="000F0299">
        <w:rPr>
          <w:lang w:eastAsia="de-DE"/>
        </w:rPr>
        <w:t xml:space="preserve"> и давање надлежности јединицама да се баве пословима у вези са </w:t>
      </w:r>
      <w:r>
        <w:rPr>
          <w:lang w:eastAsia="de-DE"/>
        </w:rPr>
        <w:t>УЉР</w:t>
      </w:r>
      <w:r w:rsidRPr="000F0299">
        <w:rPr>
          <w:lang w:eastAsia="de-DE"/>
        </w:rPr>
        <w:t xml:space="preserve"> решило </w:t>
      </w:r>
      <w:r>
        <w:rPr>
          <w:lang w:eastAsia="de-DE"/>
        </w:rPr>
        <w:t xml:space="preserve">би </w:t>
      </w:r>
      <w:r w:rsidRPr="000F0299">
        <w:rPr>
          <w:lang w:eastAsia="de-DE"/>
        </w:rPr>
        <w:t xml:space="preserve">само један део проблема. То би подразумевало да јединице </w:t>
      </w:r>
      <w:r>
        <w:rPr>
          <w:lang w:eastAsia="de-DE"/>
        </w:rPr>
        <w:t xml:space="preserve">више не буду </w:t>
      </w:r>
      <w:r w:rsidRPr="000F0299">
        <w:rPr>
          <w:lang w:eastAsia="de-DE"/>
        </w:rPr>
        <w:t>класичн</w:t>
      </w:r>
      <w:r>
        <w:rPr>
          <w:lang w:eastAsia="de-DE"/>
        </w:rPr>
        <w:t>е</w:t>
      </w:r>
      <w:r w:rsidRPr="000F0299">
        <w:rPr>
          <w:lang w:eastAsia="de-DE"/>
        </w:rPr>
        <w:t xml:space="preserve"> кадровск</w:t>
      </w:r>
      <w:r>
        <w:rPr>
          <w:lang w:eastAsia="de-DE"/>
        </w:rPr>
        <w:t>е</w:t>
      </w:r>
      <w:r w:rsidRPr="000F0299">
        <w:rPr>
          <w:lang w:eastAsia="de-DE"/>
        </w:rPr>
        <w:t xml:space="preserve"> јединиц</w:t>
      </w:r>
      <w:r>
        <w:rPr>
          <w:lang w:eastAsia="de-DE"/>
        </w:rPr>
        <w:t>е</w:t>
      </w:r>
      <w:r w:rsidRPr="000F0299">
        <w:rPr>
          <w:lang w:eastAsia="de-DE"/>
        </w:rPr>
        <w:t xml:space="preserve"> </w:t>
      </w:r>
      <w:r>
        <w:rPr>
          <w:lang w:eastAsia="de-DE"/>
        </w:rPr>
        <w:t xml:space="preserve">које се </w:t>
      </w:r>
      <w:r w:rsidRPr="000F0299">
        <w:rPr>
          <w:lang w:eastAsia="de-DE"/>
        </w:rPr>
        <w:t>бав</w:t>
      </w:r>
      <w:r>
        <w:rPr>
          <w:lang w:eastAsia="de-DE"/>
        </w:rPr>
        <w:t>е</w:t>
      </w:r>
      <w:r w:rsidRPr="000F0299">
        <w:rPr>
          <w:lang w:eastAsia="de-DE"/>
        </w:rPr>
        <w:t xml:space="preserve"> административним стварима из радно правних односа, </w:t>
      </w:r>
      <w:r>
        <w:rPr>
          <w:lang w:eastAsia="de-DE"/>
        </w:rPr>
        <w:t xml:space="preserve">већ </w:t>
      </w:r>
      <w:r w:rsidRPr="000F0299">
        <w:rPr>
          <w:lang w:eastAsia="de-DE"/>
        </w:rPr>
        <w:t>да преузму велики круг послова у вези са планирањем кадра, запошљавањем, вредновањем/оцењивањем, стручним усавршавањем запослених, вођењ</w:t>
      </w:r>
      <w:r>
        <w:rPr>
          <w:lang w:eastAsia="de-DE"/>
        </w:rPr>
        <w:t>ем</w:t>
      </w:r>
      <w:r w:rsidRPr="000F0299">
        <w:rPr>
          <w:lang w:eastAsia="de-DE"/>
        </w:rPr>
        <w:t xml:space="preserve"> и анализ</w:t>
      </w:r>
      <w:r>
        <w:rPr>
          <w:lang w:eastAsia="de-DE"/>
        </w:rPr>
        <w:t>ом</w:t>
      </w:r>
      <w:r w:rsidRPr="000F0299">
        <w:rPr>
          <w:lang w:eastAsia="de-DE"/>
        </w:rPr>
        <w:t xml:space="preserve"> релевантних података о запосленима итд. Међутим, </w:t>
      </w:r>
      <w:r>
        <w:rPr>
          <w:lang w:eastAsia="de-DE"/>
        </w:rPr>
        <w:t xml:space="preserve">ако се не </w:t>
      </w:r>
      <w:r w:rsidRPr="000F0299">
        <w:rPr>
          <w:lang w:eastAsia="de-DE"/>
        </w:rPr>
        <w:t>дефини</w:t>
      </w:r>
      <w:r>
        <w:rPr>
          <w:lang w:eastAsia="de-DE"/>
        </w:rPr>
        <w:t>ше</w:t>
      </w:r>
      <w:r w:rsidRPr="000F0299">
        <w:rPr>
          <w:lang w:eastAsia="de-DE"/>
        </w:rPr>
        <w:t xml:space="preserve"> јасн</w:t>
      </w:r>
      <w:r>
        <w:rPr>
          <w:lang w:eastAsia="de-DE"/>
        </w:rPr>
        <w:t>а</w:t>
      </w:r>
      <w:r w:rsidRPr="000F0299">
        <w:rPr>
          <w:lang w:eastAsia="de-DE"/>
        </w:rPr>
        <w:t xml:space="preserve"> улог</w:t>
      </w:r>
      <w:r>
        <w:rPr>
          <w:lang w:eastAsia="de-DE"/>
        </w:rPr>
        <w:t>а</w:t>
      </w:r>
      <w:r w:rsidRPr="000F0299">
        <w:rPr>
          <w:lang w:eastAsia="de-DE"/>
        </w:rPr>
        <w:t xml:space="preserve"> руководилаца унутрашњих јединица у обављању послова у вези са </w:t>
      </w:r>
      <w:r>
        <w:rPr>
          <w:lang w:eastAsia="de-DE"/>
        </w:rPr>
        <w:t>УЉР</w:t>
      </w:r>
      <w:r w:rsidRPr="000F0299">
        <w:rPr>
          <w:lang w:eastAsia="de-DE"/>
        </w:rPr>
        <w:t>, потпун ефекат не би био остварен, што је уједно и мана ове опције. Додатно, да би мера имала потреб</w:t>
      </w:r>
      <w:r>
        <w:rPr>
          <w:lang w:eastAsia="de-DE"/>
        </w:rPr>
        <w:t>а</w:t>
      </w:r>
      <w:r w:rsidRPr="000F0299">
        <w:rPr>
          <w:lang w:eastAsia="de-DE"/>
        </w:rPr>
        <w:t>н ефекат</w:t>
      </w:r>
      <w:r>
        <w:rPr>
          <w:lang w:eastAsia="de-DE"/>
        </w:rPr>
        <w:t>,</w:t>
      </w:r>
      <w:r w:rsidRPr="000F0299">
        <w:rPr>
          <w:lang w:eastAsia="de-DE"/>
        </w:rPr>
        <w:t xml:space="preserve"> неопходно је да јачање капацитета јединица за </w:t>
      </w:r>
      <w:r>
        <w:rPr>
          <w:lang w:eastAsia="de-DE"/>
        </w:rPr>
        <w:t>УЉР</w:t>
      </w:r>
      <w:r w:rsidRPr="000F0299">
        <w:rPr>
          <w:lang w:eastAsia="de-DE"/>
        </w:rPr>
        <w:t xml:space="preserve"> прати и развијање </w:t>
      </w:r>
      <w:r>
        <w:rPr>
          <w:lang w:eastAsia="de-DE"/>
        </w:rPr>
        <w:t xml:space="preserve">докумената јавних </w:t>
      </w:r>
      <w:r w:rsidRPr="000F0299">
        <w:rPr>
          <w:lang w:eastAsia="de-DE"/>
        </w:rPr>
        <w:t>политика и процедура кој</w:t>
      </w:r>
      <w:r>
        <w:rPr>
          <w:lang w:eastAsia="de-DE"/>
        </w:rPr>
        <w:t>е</w:t>
      </w:r>
      <w:r w:rsidRPr="000F0299">
        <w:rPr>
          <w:lang w:eastAsia="de-DE"/>
        </w:rPr>
        <w:t xml:space="preserve"> уређују ову област. Када је реч о финансијским средствима, ова опција би захтевала додатне трошкове</w:t>
      </w:r>
      <w:r>
        <w:rPr>
          <w:lang w:eastAsia="de-DE"/>
        </w:rPr>
        <w:t>,</w:t>
      </w:r>
      <w:r w:rsidRPr="000F0299">
        <w:rPr>
          <w:lang w:eastAsia="de-DE"/>
        </w:rPr>
        <w:t xml:space="preserve"> и то: за пријем у радни однос нових службеника који би радили у јединицама за </w:t>
      </w:r>
      <w:r>
        <w:rPr>
          <w:lang w:eastAsia="de-DE"/>
        </w:rPr>
        <w:t>УЉР</w:t>
      </w:r>
      <w:r w:rsidRPr="000F0299">
        <w:rPr>
          <w:lang w:eastAsia="de-DE"/>
        </w:rPr>
        <w:t xml:space="preserve">, а који имају знања из области </w:t>
      </w:r>
      <w:r>
        <w:rPr>
          <w:lang w:eastAsia="de-DE"/>
        </w:rPr>
        <w:t>УЉР, као и</w:t>
      </w:r>
      <w:r w:rsidRPr="000F0299">
        <w:rPr>
          <w:lang w:eastAsia="de-DE"/>
        </w:rPr>
        <w:t xml:space="preserve"> за организовање програма обука за постојеће запослене у кадровским јединицама. Процена трошкова зависи од динамике новог запошљавања у органима јавне управе, као и годишњем плану обука који се базира на детаљној анализи потреба за обукама. На основу годишњих програма обука НАЈУ, процена трошкова за обукама у области </w:t>
      </w:r>
      <w:r>
        <w:rPr>
          <w:lang w:eastAsia="de-DE"/>
        </w:rPr>
        <w:t>УЉР</w:t>
      </w:r>
      <w:r w:rsidRPr="000F0299">
        <w:rPr>
          <w:lang w:eastAsia="de-DE"/>
        </w:rPr>
        <w:t xml:space="preserve"> за државне службенике и запослене у ЈЛС у 2020. години износи око 1,2 милиона динара. </w:t>
      </w:r>
      <w:r>
        <w:rPr>
          <w:lang w:eastAsia="de-DE"/>
        </w:rPr>
        <w:t>Т</w:t>
      </w:r>
      <w:r w:rsidRPr="000F0299">
        <w:rPr>
          <w:lang w:eastAsia="de-DE"/>
        </w:rPr>
        <w:t xml:space="preserve">а пројекција се односи на ситуацију у којој су све обуке предвиђене програмима у тематској области </w:t>
      </w:r>
      <w:r>
        <w:rPr>
          <w:lang w:eastAsia="de-DE"/>
        </w:rPr>
        <w:t>УЉР</w:t>
      </w:r>
      <w:r w:rsidRPr="000F0299">
        <w:rPr>
          <w:lang w:eastAsia="de-DE"/>
        </w:rPr>
        <w:t xml:space="preserve"> организоване двапут. Када је реч о трошкови</w:t>
      </w:r>
      <w:r>
        <w:rPr>
          <w:lang w:eastAsia="de-DE"/>
        </w:rPr>
        <w:t>ма</w:t>
      </w:r>
      <w:r w:rsidRPr="000F0299">
        <w:rPr>
          <w:lang w:eastAsia="de-DE"/>
        </w:rPr>
        <w:t xml:space="preserve"> за новозапослене, пројекција трошкова зависи</w:t>
      </w:r>
      <w:r>
        <w:rPr>
          <w:lang w:eastAsia="de-DE"/>
        </w:rPr>
        <w:t xml:space="preserve"> како </w:t>
      </w:r>
      <w:r w:rsidRPr="000F0299">
        <w:rPr>
          <w:lang w:eastAsia="de-DE"/>
        </w:rPr>
        <w:t xml:space="preserve">од броја новозапослених, </w:t>
      </w:r>
      <w:r>
        <w:rPr>
          <w:lang w:eastAsia="de-DE"/>
        </w:rPr>
        <w:t xml:space="preserve">тако </w:t>
      </w:r>
      <w:r w:rsidRPr="000F0299">
        <w:rPr>
          <w:lang w:eastAsia="de-DE"/>
        </w:rPr>
        <w:t xml:space="preserve">и од звања у којима су радна места разврстана. Анализа правилника о унутрашњем уређењу и систематизацији радних места државних органа и јединица локалне самоуправе </w:t>
      </w:r>
      <w:r>
        <w:rPr>
          <w:lang w:eastAsia="de-DE"/>
        </w:rPr>
        <w:t>пок</w:t>
      </w:r>
      <w:r w:rsidRPr="000F0299">
        <w:rPr>
          <w:lang w:eastAsia="de-DE"/>
        </w:rPr>
        <w:t xml:space="preserve">азује да је највећи број запослених на радним местима на којима се обављају послови у вези са </w:t>
      </w:r>
      <w:r w:rsidRPr="0079500C">
        <w:rPr>
          <w:lang w:eastAsia="de-DE"/>
        </w:rPr>
        <w:t>УЉР</w:t>
      </w:r>
      <w:r>
        <w:rPr>
          <w:lang w:eastAsia="de-DE"/>
        </w:rPr>
        <w:t xml:space="preserve"> </w:t>
      </w:r>
      <w:r w:rsidRPr="000F0299">
        <w:rPr>
          <w:lang w:eastAsia="de-DE"/>
        </w:rPr>
        <w:t>разврстан у звању саветника. Основна месечна нето плата државног службеника који је разврстан у звању саветника износи око 52</w:t>
      </w:r>
      <w:r>
        <w:rPr>
          <w:lang w:eastAsia="de-DE"/>
        </w:rPr>
        <w:t>.</w:t>
      </w:r>
      <w:r w:rsidRPr="000F0299">
        <w:rPr>
          <w:lang w:eastAsia="de-DE"/>
        </w:rPr>
        <w:t xml:space="preserve">000 динара. </w:t>
      </w:r>
      <w:r>
        <w:rPr>
          <w:lang w:eastAsia="de-DE"/>
        </w:rPr>
        <w:t>А</w:t>
      </w:r>
      <w:r w:rsidRPr="000F0299">
        <w:rPr>
          <w:lang w:eastAsia="de-DE"/>
        </w:rPr>
        <w:t>ко би се у свим органима државне управе и јединицама локалне самоуправе запослила барем једн</w:t>
      </w:r>
      <w:r>
        <w:rPr>
          <w:lang w:eastAsia="de-DE"/>
        </w:rPr>
        <w:t xml:space="preserve">о лице </w:t>
      </w:r>
      <w:r w:rsidRPr="000F0299">
        <w:rPr>
          <w:lang w:eastAsia="de-DE"/>
        </w:rPr>
        <w:t xml:space="preserve"> (укупно око 250 службеника на централном и локалном нивоу)</w:t>
      </w:r>
      <w:r>
        <w:rPr>
          <w:lang w:eastAsia="de-DE"/>
        </w:rPr>
        <w:t>,</w:t>
      </w:r>
      <w:r w:rsidRPr="000F0299">
        <w:rPr>
          <w:lang w:eastAsia="de-DE"/>
        </w:rPr>
        <w:t xml:space="preserve"> пројекција трошка само за њихову основу нето плату је око 13 милиона динара месечно (</w:t>
      </w:r>
      <w:r w:rsidRPr="000F0299">
        <w:rPr>
          <w:b/>
          <w:bCs/>
          <w:lang w:eastAsia="de-DE"/>
        </w:rPr>
        <w:t>156 милиона динара годишње</w:t>
      </w:r>
      <w:r w:rsidRPr="000F0299">
        <w:rPr>
          <w:lang w:eastAsia="de-DE"/>
        </w:rPr>
        <w:t>). Имајући све у виду</w:t>
      </w:r>
      <w:r>
        <w:rPr>
          <w:lang w:eastAsia="de-DE"/>
        </w:rPr>
        <w:t>,</w:t>
      </w:r>
      <w:r w:rsidRPr="000F0299">
        <w:rPr>
          <w:lang w:eastAsia="de-DE"/>
        </w:rPr>
        <w:t xml:space="preserve"> оквирни трошкови ове опције износе око </w:t>
      </w:r>
      <w:r w:rsidRPr="000F0299">
        <w:rPr>
          <w:b/>
          <w:bCs/>
          <w:lang w:eastAsia="de-DE"/>
        </w:rPr>
        <w:t>15</w:t>
      </w:r>
      <w:r w:rsidR="009F71B1">
        <w:rPr>
          <w:b/>
          <w:bCs/>
          <w:lang w:eastAsia="de-DE"/>
        </w:rPr>
        <w:t>7</w:t>
      </w:r>
      <w:r w:rsidRPr="000F0299">
        <w:rPr>
          <w:b/>
          <w:bCs/>
          <w:lang w:eastAsia="de-DE"/>
        </w:rPr>
        <w:t xml:space="preserve"> милиона динара</w:t>
      </w:r>
      <w:r w:rsidRPr="000F0299">
        <w:rPr>
          <w:lang w:eastAsia="de-DE"/>
        </w:rPr>
        <w:t xml:space="preserve">, </w:t>
      </w:r>
      <w:r>
        <w:rPr>
          <w:lang w:eastAsia="de-DE"/>
        </w:rPr>
        <w:t xml:space="preserve">с тим што </w:t>
      </w:r>
      <w:r w:rsidRPr="000F0299">
        <w:rPr>
          <w:lang w:eastAsia="de-DE"/>
        </w:rPr>
        <w:t xml:space="preserve">би у годинама након новог запошљавања постојао само трошак који се односи на обуке. </w:t>
      </w:r>
    </w:p>
    <w:p w14:paraId="4FA9BB52" w14:textId="77777777" w:rsidR="009300FD" w:rsidRPr="000F0299" w:rsidRDefault="009300FD" w:rsidP="009300FD">
      <w:pPr>
        <w:pStyle w:val="Heading5"/>
        <w:rPr>
          <w:lang w:val="sr-Cyrl-RS"/>
        </w:rPr>
      </w:pPr>
      <w:r w:rsidRPr="000F0299">
        <w:rPr>
          <w:lang w:val="sr-Cyrl-RS"/>
        </w:rPr>
        <w:t>Опција 4: Управљање каријером запослених кроз веће надлежности руководи</w:t>
      </w:r>
      <w:r>
        <w:rPr>
          <w:lang w:val="sr-Cyrl-RS"/>
        </w:rPr>
        <w:t>ла</w:t>
      </w:r>
      <w:r w:rsidRPr="000F0299">
        <w:rPr>
          <w:lang w:val="sr-Cyrl-RS"/>
        </w:rPr>
        <w:t>ца унутрашњих јединица, државних службеника на положају и јединица УЉР, уз повећање броја запослених у њима</w:t>
      </w:r>
    </w:p>
    <w:p w14:paraId="3D841A1F" w14:textId="77777777" w:rsidR="009300FD" w:rsidRPr="000F0299" w:rsidRDefault="009300FD" w:rsidP="009300FD">
      <w:pPr>
        <w:rPr>
          <w:lang w:eastAsia="de-DE"/>
        </w:rPr>
      </w:pPr>
      <w:r w:rsidRPr="000F0299">
        <w:rPr>
          <w:lang w:eastAsia="de-DE"/>
        </w:rPr>
        <w:t xml:space="preserve">Ова опција подразумева да се у </w:t>
      </w:r>
      <w:r w:rsidRPr="0079500C">
        <w:rPr>
          <w:lang w:eastAsia="de-DE"/>
        </w:rPr>
        <w:t>УЉР</w:t>
      </w:r>
      <w:r>
        <w:rPr>
          <w:lang w:eastAsia="de-DE"/>
        </w:rPr>
        <w:t xml:space="preserve"> </w:t>
      </w:r>
      <w:r w:rsidRPr="000F0299">
        <w:rPr>
          <w:lang w:eastAsia="de-DE"/>
        </w:rPr>
        <w:t xml:space="preserve">у органима подједнако укључе јединице за </w:t>
      </w:r>
      <w:r w:rsidRPr="0079500C">
        <w:rPr>
          <w:lang w:eastAsia="de-DE"/>
        </w:rPr>
        <w:t>УЉР</w:t>
      </w:r>
      <w:r>
        <w:rPr>
          <w:lang w:eastAsia="de-DE"/>
        </w:rPr>
        <w:t xml:space="preserve"> </w:t>
      </w:r>
      <w:r w:rsidRPr="000F0299">
        <w:rPr>
          <w:lang w:eastAsia="de-DE"/>
        </w:rPr>
        <w:t>формиране у складу с модерним приступом управљања каријером запослених, али и руководиоци који играју активну улогу у развоју запослених, остваривању њихових радних циљева и потенцијала</w:t>
      </w:r>
      <w:r>
        <w:rPr>
          <w:lang w:eastAsia="de-DE"/>
        </w:rPr>
        <w:t xml:space="preserve"> и</w:t>
      </w:r>
      <w:r w:rsidRPr="000F0299">
        <w:rPr>
          <w:lang w:eastAsia="de-DE"/>
        </w:rPr>
        <w:t xml:space="preserve"> задржавању најбољих људи у служби кроз њихово награђивање и напредовање. У односу на </w:t>
      </w:r>
      <w:r>
        <w:rPr>
          <w:lang w:eastAsia="de-DE"/>
        </w:rPr>
        <w:t>3.</w:t>
      </w:r>
      <w:r w:rsidRPr="000F0299">
        <w:rPr>
          <w:lang w:eastAsia="de-DE"/>
        </w:rPr>
        <w:t xml:space="preserve"> опцију, ова опција не изискује велика додатна финансијска средства јер подразумева исто повећање броја компетентних службеника у јединицама за </w:t>
      </w:r>
      <w:r>
        <w:rPr>
          <w:lang w:eastAsia="de-DE"/>
        </w:rPr>
        <w:t>УЉР</w:t>
      </w:r>
      <w:r w:rsidRPr="000F0299">
        <w:rPr>
          <w:lang w:eastAsia="de-DE"/>
        </w:rPr>
        <w:t xml:space="preserve"> (око 250), али не и на другим </w:t>
      </w:r>
      <w:r>
        <w:rPr>
          <w:lang w:eastAsia="de-DE"/>
        </w:rPr>
        <w:t>местима</w:t>
      </w:r>
      <w:r w:rsidRPr="000F0299">
        <w:rPr>
          <w:lang w:eastAsia="de-DE"/>
        </w:rPr>
        <w:t xml:space="preserve">. Једина разлика је у давању веће улоге руководиоцима који су већ на радним местима. Мана ове опције је </w:t>
      </w:r>
      <w:r>
        <w:rPr>
          <w:lang w:eastAsia="de-DE"/>
        </w:rPr>
        <w:t xml:space="preserve">то </w:t>
      </w:r>
      <w:r w:rsidRPr="000F0299">
        <w:rPr>
          <w:lang w:eastAsia="de-DE"/>
        </w:rPr>
        <w:t xml:space="preserve">што руководиоци </w:t>
      </w:r>
      <w:r>
        <w:rPr>
          <w:lang w:eastAsia="de-DE"/>
        </w:rPr>
        <w:t xml:space="preserve">често </w:t>
      </w:r>
      <w:r w:rsidRPr="000F0299">
        <w:rPr>
          <w:lang w:eastAsia="de-DE"/>
        </w:rPr>
        <w:t xml:space="preserve">на послове </w:t>
      </w:r>
      <w:r w:rsidRPr="0079500C">
        <w:rPr>
          <w:lang w:eastAsia="de-DE"/>
        </w:rPr>
        <w:t>УЉР</w:t>
      </w:r>
      <w:r>
        <w:rPr>
          <w:lang w:eastAsia="de-DE"/>
        </w:rPr>
        <w:t xml:space="preserve">, </w:t>
      </w:r>
      <w:r w:rsidRPr="000F0299">
        <w:rPr>
          <w:lang w:eastAsia="de-DE"/>
        </w:rPr>
        <w:t>попут оцењивања или утврђивања потреба за стручним усавршавањем</w:t>
      </w:r>
      <w:r>
        <w:rPr>
          <w:lang w:eastAsia="de-DE"/>
        </w:rPr>
        <w:t>,</w:t>
      </w:r>
      <w:r w:rsidRPr="000F0299">
        <w:rPr>
          <w:lang w:eastAsia="de-DE"/>
        </w:rPr>
        <w:t xml:space="preserve"> гледају као на додатну обавезу којој не дају превелики значај. Стога се може сматрати да би додатна финансијска средства била потребна </w:t>
      </w:r>
      <w:r>
        <w:rPr>
          <w:lang w:eastAsia="de-DE"/>
        </w:rPr>
        <w:t xml:space="preserve">за обуку </w:t>
      </w:r>
      <w:r w:rsidRPr="000F0299">
        <w:rPr>
          <w:lang w:eastAsia="de-DE"/>
        </w:rPr>
        <w:t>руководи</w:t>
      </w:r>
      <w:r>
        <w:rPr>
          <w:lang w:eastAsia="de-DE"/>
        </w:rPr>
        <w:t xml:space="preserve">лаца </w:t>
      </w:r>
      <w:r w:rsidRPr="000F0299">
        <w:rPr>
          <w:lang w:eastAsia="de-DE"/>
        </w:rPr>
        <w:t>за обављање послова управљања људима и процесима. Анализа програма обука руководилаца у државним органима</w:t>
      </w:r>
      <w:r>
        <w:rPr>
          <w:lang w:eastAsia="de-DE"/>
        </w:rPr>
        <w:t xml:space="preserve"> показује</w:t>
      </w:r>
      <w:r w:rsidRPr="000F0299">
        <w:rPr>
          <w:lang w:eastAsia="de-DE"/>
        </w:rPr>
        <w:t xml:space="preserve"> </w:t>
      </w:r>
      <w:r>
        <w:rPr>
          <w:lang w:eastAsia="de-DE"/>
        </w:rPr>
        <w:t xml:space="preserve">да постоји </w:t>
      </w:r>
      <w:r w:rsidRPr="000F0299">
        <w:rPr>
          <w:lang w:eastAsia="de-DE"/>
        </w:rPr>
        <w:t xml:space="preserve">осам обука које доприносе развоју понашајне компетенције </w:t>
      </w:r>
      <w:r>
        <w:rPr>
          <w:lang w:eastAsia="de-DE"/>
        </w:rPr>
        <w:t xml:space="preserve">за </w:t>
      </w:r>
      <w:r w:rsidRPr="0079500C">
        <w:rPr>
          <w:lang w:eastAsia="de-DE"/>
        </w:rPr>
        <w:t>УЉР</w:t>
      </w:r>
      <w:r w:rsidRPr="000F0299">
        <w:rPr>
          <w:lang w:eastAsia="de-DE"/>
        </w:rPr>
        <w:t xml:space="preserve">. Пројекција трошкова за организовање </w:t>
      </w:r>
      <w:r>
        <w:rPr>
          <w:lang w:eastAsia="de-DE"/>
        </w:rPr>
        <w:t>т</w:t>
      </w:r>
      <w:r w:rsidRPr="000F0299">
        <w:rPr>
          <w:lang w:eastAsia="de-DE"/>
        </w:rPr>
        <w:t xml:space="preserve">их обука, најмање у два циклуса </w:t>
      </w:r>
      <w:r>
        <w:rPr>
          <w:lang w:eastAsia="de-DE"/>
        </w:rPr>
        <w:t>у</w:t>
      </w:r>
      <w:r w:rsidRPr="000F0299">
        <w:rPr>
          <w:lang w:eastAsia="de-DE"/>
        </w:rPr>
        <w:t xml:space="preserve"> којима би се обучило </w:t>
      </w:r>
      <w:r>
        <w:rPr>
          <w:lang w:eastAsia="de-DE"/>
        </w:rPr>
        <w:t>највише</w:t>
      </w:r>
      <w:r w:rsidRPr="000F0299">
        <w:rPr>
          <w:lang w:eastAsia="de-DE"/>
        </w:rPr>
        <w:t xml:space="preserve"> 50 државних службеника, износи 720 хиљада динара. </w:t>
      </w:r>
      <w:r>
        <w:rPr>
          <w:lang w:eastAsia="de-DE"/>
        </w:rPr>
        <w:t>У</w:t>
      </w:r>
      <w:r w:rsidRPr="000F0299">
        <w:rPr>
          <w:lang w:eastAsia="de-DE"/>
        </w:rPr>
        <w:t xml:space="preserve"> програм</w:t>
      </w:r>
      <w:r>
        <w:rPr>
          <w:lang w:eastAsia="de-DE"/>
        </w:rPr>
        <w:t>им</w:t>
      </w:r>
      <w:r w:rsidRPr="000F0299">
        <w:rPr>
          <w:lang w:eastAsia="de-DE"/>
        </w:rPr>
        <w:t xml:space="preserve">а обуке руководилаца у ЈЛС је у 2020. години предвиђене су две обуке које директно доприносе знањима и вештинама </w:t>
      </w:r>
      <w:r w:rsidRPr="0079500C">
        <w:rPr>
          <w:lang w:eastAsia="de-DE"/>
        </w:rPr>
        <w:t>УЉР</w:t>
      </w:r>
      <w:r w:rsidRPr="000F0299">
        <w:rPr>
          <w:lang w:eastAsia="de-DE"/>
        </w:rPr>
        <w:t xml:space="preserve">, за </w:t>
      </w:r>
      <w:r>
        <w:rPr>
          <w:lang w:eastAsia="de-DE"/>
        </w:rPr>
        <w:t xml:space="preserve">које </w:t>
      </w:r>
      <w:r w:rsidRPr="000F0299">
        <w:rPr>
          <w:lang w:eastAsia="de-DE"/>
        </w:rPr>
        <w:t>је потребно око 130 хиљада динара</w:t>
      </w:r>
      <w:r>
        <w:rPr>
          <w:lang w:eastAsia="de-DE"/>
        </w:rPr>
        <w:t xml:space="preserve"> ако би се организовале најмање у два циклуса</w:t>
      </w:r>
      <w:r w:rsidRPr="000F0299">
        <w:rPr>
          <w:lang w:eastAsia="de-DE"/>
        </w:rPr>
        <w:t xml:space="preserve">. Наведени подаци указују да би за око 100 руководилаца у државним органима и ЈЛС било потребно око 850 хиљада динара. Имајући све у виду оквирни трошкови ове опције износе око </w:t>
      </w:r>
      <w:r w:rsidRPr="000F0299">
        <w:rPr>
          <w:b/>
          <w:bCs/>
          <w:lang w:eastAsia="de-DE"/>
        </w:rPr>
        <w:t>158 милиона динара</w:t>
      </w:r>
      <w:r w:rsidRPr="000F0299">
        <w:rPr>
          <w:lang w:eastAsia="de-DE"/>
        </w:rPr>
        <w:t xml:space="preserve">, </w:t>
      </w:r>
      <w:r>
        <w:rPr>
          <w:lang w:eastAsia="de-DE"/>
        </w:rPr>
        <w:t>с тим што</w:t>
      </w:r>
      <w:r w:rsidRPr="000F0299">
        <w:rPr>
          <w:lang w:eastAsia="de-DE"/>
        </w:rPr>
        <w:t xml:space="preserve"> би у годинама након новог запошљавања постојао само трошак који се односи на обуке. </w:t>
      </w:r>
    </w:p>
    <w:p w14:paraId="0FEAEF3B" w14:textId="77777777" w:rsidR="009300FD" w:rsidRPr="000F0299" w:rsidRDefault="009300FD" w:rsidP="009300FD">
      <w:pPr>
        <w:pStyle w:val="Heading5"/>
        <w:rPr>
          <w:lang w:val="sr-Cyrl-RS"/>
        </w:rPr>
      </w:pPr>
      <w:r w:rsidRPr="000F0299">
        <w:rPr>
          <w:lang w:val="sr-Cyrl-RS"/>
        </w:rPr>
        <w:t xml:space="preserve">Опција 5: Унапређење процеса управљања каријером запослених кроз развој институционалних, административних и кадровских капацитета за </w:t>
      </w:r>
      <w:r w:rsidRPr="0079500C">
        <w:rPr>
          <w:lang w:val="sr-Cyrl-RS"/>
        </w:rPr>
        <w:t>УЉР</w:t>
      </w:r>
      <w:r w:rsidRPr="000F0299">
        <w:rPr>
          <w:lang w:val="sr-Cyrl-RS"/>
        </w:rPr>
        <w:t xml:space="preserve"> уз успостављање нових инструмената за </w:t>
      </w:r>
      <w:r w:rsidRPr="0079500C">
        <w:rPr>
          <w:lang w:val="sr-Cyrl-RS"/>
        </w:rPr>
        <w:t>УЉР</w:t>
      </w:r>
      <w:r>
        <w:rPr>
          <w:lang w:val="sr-Cyrl-RS"/>
        </w:rPr>
        <w:t xml:space="preserve"> </w:t>
      </w:r>
      <w:r w:rsidRPr="000F0299">
        <w:rPr>
          <w:lang w:val="sr-Cyrl-RS"/>
        </w:rPr>
        <w:t>у пракси</w:t>
      </w:r>
    </w:p>
    <w:p w14:paraId="42E8675A" w14:textId="77777777" w:rsidR="009300FD" w:rsidRPr="000F0299" w:rsidRDefault="009300FD" w:rsidP="009300FD">
      <w:pPr>
        <w:rPr>
          <w:lang w:eastAsia="de-DE"/>
        </w:rPr>
      </w:pPr>
      <w:r w:rsidRPr="000F0299">
        <w:rPr>
          <w:lang w:eastAsia="de-DE"/>
        </w:rPr>
        <w:t>Поред пуне примене прописа о платама, правилне примене система вредновања/ оцењивања и обезбеђивања напредовања и награђивања запослених у пракси на основу резултата рада, потребно је развијати нове инструменте развоја каријере запослених</w:t>
      </w:r>
      <w:r>
        <w:rPr>
          <w:lang w:eastAsia="de-DE"/>
        </w:rPr>
        <w:t xml:space="preserve">, као што су </w:t>
      </w:r>
      <w:r w:rsidRPr="000F0299">
        <w:rPr>
          <w:lang w:eastAsia="de-DE"/>
        </w:rPr>
        <w:t>систем за управљање талентима, процен</w:t>
      </w:r>
      <w:r>
        <w:rPr>
          <w:lang w:eastAsia="de-DE"/>
        </w:rPr>
        <w:t>а</w:t>
      </w:r>
      <w:r w:rsidRPr="000F0299">
        <w:rPr>
          <w:lang w:eastAsia="de-DE"/>
        </w:rPr>
        <w:t xml:space="preserve"> индивидуалних потенцијала запослених, подстицање мобилности</w:t>
      </w:r>
      <w:r>
        <w:rPr>
          <w:lang w:eastAsia="de-DE"/>
        </w:rPr>
        <w:t>,</w:t>
      </w:r>
      <w:r w:rsidRPr="000F0299">
        <w:rPr>
          <w:lang w:eastAsia="de-DE"/>
        </w:rPr>
        <w:t xml:space="preserve"> како хоризонтално (</w:t>
      </w:r>
      <w:r>
        <w:rPr>
          <w:lang w:eastAsia="de-DE"/>
        </w:rPr>
        <w:t xml:space="preserve">на </w:t>
      </w:r>
      <w:r w:rsidRPr="000F0299">
        <w:rPr>
          <w:lang w:eastAsia="de-DE"/>
        </w:rPr>
        <w:t>исто</w:t>
      </w:r>
      <w:r>
        <w:rPr>
          <w:lang w:eastAsia="de-DE"/>
        </w:rPr>
        <w:t>м</w:t>
      </w:r>
      <w:r w:rsidRPr="000F0299">
        <w:rPr>
          <w:lang w:eastAsia="de-DE"/>
        </w:rPr>
        <w:t xml:space="preserve"> ниво</w:t>
      </w:r>
      <w:r>
        <w:rPr>
          <w:lang w:eastAsia="de-DE"/>
        </w:rPr>
        <w:t>у</w:t>
      </w:r>
      <w:r w:rsidRPr="000F0299">
        <w:rPr>
          <w:lang w:eastAsia="de-DE"/>
        </w:rPr>
        <w:t xml:space="preserve"> власти) тако и вертикално (између државне управе и локалне самоуправе), идентификовањ</w:t>
      </w:r>
      <w:r>
        <w:rPr>
          <w:lang w:eastAsia="de-DE"/>
        </w:rPr>
        <w:t>е</w:t>
      </w:r>
      <w:r w:rsidRPr="000F0299">
        <w:rPr>
          <w:lang w:eastAsia="de-DE"/>
        </w:rPr>
        <w:t xml:space="preserve"> категорије запослених који су </w:t>
      </w:r>
      <w:r>
        <w:rPr>
          <w:lang w:eastAsia="de-DE"/>
        </w:rPr>
        <w:t>„</w:t>
      </w:r>
      <w:r w:rsidRPr="000F0299">
        <w:rPr>
          <w:lang w:eastAsia="de-DE"/>
        </w:rPr>
        <w:t>најугроженији”</w:t>
      </w:r>
      <w:r>
        <w:rPr>
          <w:lang w:eastAsia="de-DE"/>
        </w:rPr>
        <w:t>,</w:t>
      </w:r>
      <w:r w:rsidRPr="000F0299">
        <w:rPr>
          <w:lang w:eastAsia="de-DE"/>
        </w:rPr>
        <w:t xml:space="preserve"> односно који најчешће напуштају управу. Компаративна анализа система за </w:t>
      </w:r>
      <w:r w:rsidRPr="0079500C">
        <w:rPr>
          <w:lang w:eastAsia="de-DE"/>
        </w:rPr>
        <w:t>УЉР</w:t>
      </w:r>
      <w:r>
        <w:rPr>
          <w:lang w:eastAsia="de-DE"/>
        </w:rPr>
        <w:t xml:space="preserve"> </w:t>
      </w:r>
      <w:r w:rsidRPr="000F0299">
        <w:rPr>
          <w:lang w:eastAsia="de-DE"/>
        </w:rPr>
        <w:t xml:space="preserve">и каријерни развој запослених </w:t>
      </w:r>
      <w:r>
        <w:rPr>
          <w:lang w:eastAsia="de-DE"/>
        </w:rPr>
        <w:t>по</w:t>
      </w:r>
      <w:r w:rsidRPr="000F0299">
        <w:rPr>
          <w:lang w:eastAsia="de-DE"/>
        </w:rPr>
        <w:t xml:space="preserve">казује </w:t>
      </w:r>
      <w:r>
        <w:rPr>
          <w:lang w:eastAsia="de-DE"/>
        </w:rPr>
        <w:t xml:space="preserve">да </w:t>
      </w:r>
      <w:r w:rsidRPr="000F0299">
        <w:rPr>
          <w:lang w:eastAsia="de-DE"/>
        </w:rPr>
        <w:t>читав низ инструмената мо</w:t>
      </w:r>
      <w:r>
        <w:rPr>
          <w:lang w:eastAsia="de-DE"/>
        </w:rPr>
        <w:t>же</w:t>
      </w:r>
      <w:r w:rsidRPr="000F0299">
        <w:rPr>
          <w:lang w:eastAsia="de-DE"/>
        </w:rPr>
        <w:t xml:space="preserve"> зна</w:t>
      </w:r>
      <w:r>
        <w:rPr>
          <w:lang w:eastAsia="de-DE"/>
        </w:rPr>
        <w:t xml:space="preserve">тно повећати </w:t>
      </w:r>
      <w:r w:rsidRPr="000F0299">
        <w:rPr>
          <w:lang w:eastAsia="de-DE"/>
        </w:rPr>
        <w:t>квалитет рада запослених и степен њиховог задовољства радом у управи</w:t>
      </w:r>
      <w:r>
        <w:rPr>
          <w:lang w:val="sr-Latn-RS" w:eastAsia="de-DE"/>
        </w:rPr>
        <w:t xml:space="preserve">, </w:t>
      </w:r>
      <w:r>
        <w:rPr>
          <w:lang w:eastAsia="de-DE"/>
        </w:rPr>
        <w:t>као што је</w:t>
      </w:r>
      <w:r w:rsidRPr="000F0299">
        <w:rPr>
          <w:lang w:eastAsia="de-DE"/>
        </w:rPr>
        <w:t xml:space="preserve"> увођење флексибилних радних ангажмана, награђивање квалитетног рада, напредовање у служби итд. Такође, посебну пажњу треба посветити </w:t>
      </w:r>
      <w:r>
        <w:rPr>
          <w:lang w:eastAsia="de-DE"/>
        </w:rPr>
        <w:t>руководиоцима</w:t>
      </w:r>
      <w:r w:rsidRPr="000F0299">
        <w:rPr>
          <w:lang w:eastAsia="de-DE"/>
        </w:rPr>
        <w:t xml:space="preserve"> свих нивоа у управи, како садашњим, тако и будућим. Веома је важно да се </w:t>
      </w:r>
      <w:r>
        <w:rPr>
          <w:lang w:eastAsia="de-DE"/>
        </w:rPr>
        <w:t xml:space="preserve">побољшају </w:t>
      </w:r>
      <w:r w:rsidRPr="000F0299">
        <w:rPr>
          <w:lang w:eastAsia="de-DE"/>
        </w:rPr>
        <w:t xml:space="preserve">вештине </w:t>
      </w:r>
      <w:r>
        <w:rPr>
          <w:lang w:eastAsia="de-DE"/>
        </w:rPr>
        <w:t xml:space="preserve">УЉР </w:t>
      </w:r>
      <w:r w:rsidRPr="000F0299">
        <w:rPr>
          <w:lang w:eastAsia="de-DE"/>
        </w:rPr>
        <w:t>руководилаца средњег нивоа</w:t>
      </w:r>
      <w:r>
        <w:rPr>
          <w:lang w:eastAsia="de-DE"/>
        </w:rPr>
        <w:t>,</w:t>
      </w:r>
      <w:r w:rsidRPr="000F0299">
        <w:rPr>
          <w:lang w:eastAsia="de-DE"/>
        </w:rPr>
        <w:t xml:space="preserve"> попут начелника одељења, шефова одсека и руководилаца група, али и највиших </w:t>
      </w:r>
      <w:r>
        <w:rPr>
          <w:lang w:eastAsia="de-DE"/>
        </w:rPr>
        <w:t>руководилаца,</w:t>
      </w:r>
      <w:r w:rsidRPr="000F0299">
        <w:rPr>
          <w:lang w:eastAsia="de-DE"/>
        </w:rPr>
        <w:t xml:space="preserve"> као што су директори органа, помоћници министара, начелници управа итд. Предности </w:t>
      </w:r>
      <w:r>
        <w:rPr>
          <w:lang w:eastAsia="de-DE"/>
        </w:rPr>
        <w:t>т</w:t>
      </w:r>
      <w:r w:rsidRPr="000F0299">
        <w:rPr>
          <w:lang w:eastAsia="de-DE"/>
        </w:rPr>
        <w:t xml:space="preserve">аквог свеобухватног приступа су вишеструке. Прво, </w:t>
      </w:r>
      <w:r>
        <w:rPr>
          <w:lang w:eastAsia="de-DE"/>
        </w:rPr>
        <w:t>побољшава се</w:t>
      </w:r>
      <w:r w:rsidRPr="000F0299">
        <w:rPr>
          <w:lang w:eastAsia="de-DE"/>
        </w:rPr>
        <w:t xml:space="preserve"> квалитет рада државних службеника јер подстиче изузетност и квалитетан рад</w:t>
      </w:r>
      <w:r>
        <w:rPr>
          <w:lang w:eastAsia="de-DE"/>
        </w:rPr>
        <w:t xml:space="preserve"> пошто </w:t>
      </w:r>
      <w:r w:rsidRPr="000F0299">
        <w:rPr>
          <w:lang w:eastAsia="de-DE"/>
        </w:rPr>
        <w:t xml:space="preserve">повезује резултате рада и награђивање и напредовање. Друго, доприноси иновацији и размени знања у управи кроз повећање мобилности службеника. Треће, улагањем у </w:t>
      </w:r>
      <w:r>
        <w:rPr>
          <w:lang w:eastAsia="de-DE"/>
        </w:rPr>
        <w:t>руководиоце</w:t>
      </w:r>
      <w:r w:rsidRPr="000F0299">
        <w:rPr>
          <w:lang w:eastAsia="de-DE"/>
        </w:rPr>
        <w:t xml:space="preserve"> и њихове вештине </w:t>
      </w:r>
      <w:r>
        <w:rPr>
          <w:lang w:eastAsia="de-DE"/>
        </w:rPr>
        <w:t xml:space="preserve">побољшава </w:t>
      </w:r>
      <w:r w:rsidRPr="000F0299">
        <w:rPr>
          <w:lang w:eastAsia="de-DE"/>
        </w:rPr>
        <w:t xml:space="preserve">се квалитет рада управе у целини и доприноси остварењу стратешких и оперативних циљева. Пројекције трошкова за запошљавање нових запослених (око 250 службеника) и јачање капацитета службеника који се баве </w:t>
      </w:r>
      <w:r w:rsidRPr="0079500C">
        <w:rPr>
          <w:lang w:eastAsia="de-DE"/>
        </w:rPr>
        <w:t>УЉР</w:t>
      </w:r>
      <w:r>
        <w:rPr>
          <w:lang w:eastAsia="de-DE"/>
        </w:rPr>
        <w:t xml:space="preserve"> </w:t>
      </w:r>
      <w:r w:rsidRPr="000F0299">
        <w:rPr>
          <w:lang w:eastAsia="de-DE"/>
        </w:rPr>
        <w:t xml:space="preserve">и руководилаца исте </w:t>
      </w:r>
      <w:r>
        <w:rPr>
          <w:lang w:eastAsia="de-DE"/>
        </w:rPr>
        <w:t xml:space="preserve">су </w:t>
      </w:r>
      <w:r w:rsidRPr="000F0299">
        <w:rPr>
          <w:lang w:eastAsia="de-DE"/>
        </w:rPr>
        <w:t xml:space="preserve">као </w:t>
      </w:r>
      <w:r>
        <w:rPr>
          <w:lang w:eastAsia="de-DE"/>
        </w:rPr>
        <w:t>за</w:t>
      </w:r>
      <w:r w:rsidRPr="000F0299">
        <w:rPr>
          <w:lang w:eastAsia="de-DE"/>
        </w:rPr>
        <w:t xml:space="preserve"> опциј</w:t>
      </w:r>
      <w:r>
        <w:rPr>
          <w:lang w:eastAsia="de-DE"/>
        </w:rPr>
        <w:t>у</w:t>
      </w:r>
      <w:r w:rsidRPr="000F0299">
        <w:rPr>
          <w:lang w:eastAsia="de-DE"/>
        </w:rPr>
        <w:t xml:space="preserve"> 4. </w:t>
      </w:r>
      <w:r>
        <w:rPr>
          <w:lang w:eastAsia="de-DE"/>
        </w:rPr>
        <w:t>О</w:t>
      </w:r>
      <w:r w:rsidRPr="000F0299">
        <w:rPr>
          <w:lang w:eastAsia="de-DE"/>
        </w:rPr>
        <w:t xml:space="preserve">ва опција изискује додатна средства за развој нових процедура и инструмената, пре свега када је реч о развоју новог информационог система за који је потребно око милион евра. </w:t>
      </w:r>
      <w:r>
        <w:rPr>
          <w:lang w:eastAsia="de-DE"/>
        </w:rPr>
        <w:t>З</w:t>
      </w:r>
      <w:r w:rsidRPr="000F0299">
        <w:rPr>
          <w:lang w:eastAsia="de-DE"/>
        </w:rPr>
        <w:t xml:space="preserve">а </w:t>
      </w:r>
      <w:r>
        <w:rPr>
          <w:lang w:eastAsia="de-DE"/>
        </w:rPr>
        <w:t>т</w:t>
      </w:r>
      <w:r w:rsidRPr="000F0299">
        <w:rPr>
          <w:lang w:eastAsia="de-DE"/>
        </w:rPr>
        <w:t>ај процес су већ обезбеђена средства</w:t>
      </w:r>
      <w:r>
        <w:rPr>
          <w:lang w:eastAsia="de-DE"/>
        </w:rPr>
        <w:t xml:space="preserve"> </w:t>
      </w:r>
      <w:r w:rsidRPr="000F0299">
        <w:rPr>
          <w:lang w:eastAsia="de-DE"/>
        </w:rPr>
        <w:t>у буџету</w:t>
      </w:r>
      <w:r>
        <w:rPr>
          <w:lang w:eastAsia="de-DE"/>
        </w:rPr>
        <w:t xml:space="preserve"> и кроз </w:t>
      </w:r>
      <w:r w:rsidRPr="000F0299">
        <w:rPr>
          <w:lang w:eastAsia="de-DE"/>
        </w:rPr>
        <w:t>пројектн</w:t>
      </w:r>
      <w:r>
        <w:rPr>
          <w:lang w:eastAsia="de-DE"/>
        </w:rPr>
        <w:t>у</w:t>
      </w:r>
      <w:r w:rsidRPr="000F0299">
        <w:rPr>
          <w:lang w:eastAsia="de-DE"/>
        </w:rPr>
        <w:t xml:space="preserve"> подршк</w:t>
      </w:r>
      <w:r>
        <w:rPr>
          <w:lang w:eastAsia="de-DE"/>
        </w:rPr>
        <w:t>у коју пружа</w:t>
      </w:r>
      <w:r w:rsidRPr="000F0299">
        <w:rPr>
          <w:lang w:eastAsia="de-DE"/>
        </w:rPr>
        <w:t xml:space="preserve"> ЕУ. </w:t>
      </w:r>
      <w:r>
        <w:rPr>
          <w:lang w:eastAsia="de-DE"/>
        </w:rPr>
        <w:t>О</w:t>
      </w:r>
      <w:r w:rsidRPr="000F0299">
        <w:rPr>
          <w:lang w:eastAsia="de-DE"/>
        </w:rPr>
        <w:t xml:space="preserve">квирни трошкови ове опције износе око </w:t>
      </w:r>
      <w:r w:rsidRPr="000F0299">
        <w:rPr>
          <w:b/>
          <w:bCs/>
          <w:lang w:eastAsia="de-DE"/>
        </w:rPr>
        <w:t>275 милиона динара</w:t>
      </w:r>
      <w:r w:rsidRPr="000F0299">
        <w:rPr>
          <w:lang w:eastAsia="de-DE"/>
        </w:rPr>
        <w:t xml:space="preserve">, али </w:t>
      </w:r>
      <w:r>
        <w:rPr>
          <w:lang w:eastAsia="de-DE"/>
        </w:rPr>
        <w:t xml:space="preserve">пошто су </w:t>
      </w:r>
      <w:r w:rsidRPr="000F0299">
        <w:rPr>
          <w:lang w:eastAsia="de-DE"/>
        </w:rPr>
        <w:t>већ обезбеђена средства</w:t>
      </w:r>
      <w:r>
        <w:rPr>
          <w:lang w:eastAsia="de-DE"/>
        </w:rPr>
        <w:t>,</w:t>
      </w:r>
      <w:r w:rsidRPr="000F0299">
        <w:rPr>
          <w:lang w:eastAsia="de-DE"/>
        </w:rPr>
        <w:t xml:space="preserve"> тај износ би био приближно ист</w:t>
      </w:r>
      <w:r>
        <w:rPr>
          <w:lang w:eastAsia="de-DE"/>
        </w:rPr>
        <w:t>и к</w:t>
      </w:r>
      <w:r w:rsidRPr="000F0299">
        <w:rPr>
          <w:lang w:eastAsia="de-DE"/>
        </w:rPr>
        <w:t xml:space="preserve">ао и </w:t>
      </w:r>
      <w:r>
        <w:rPr>
          <w:lang w:eastAsia="de-DE"/>
        </w:rPr>
        <w:t xml:space="preserve"> за спровођење </w:t>
      </w:r>
      <w:r w:rsidRPr="000F0299">
        <w:rPr>
          <w:lang w:eastAsia="de-DE"/>
        </w:rPr>
        <w:t xml:space="preserve">опције 4. </w:t>
      </w:r>
      <w:r>
        <w:rPr>
          <w:lang w:eastAsia="de-DE"/>
        </w:rPr>
        <w:t>Н</w:t>
      </w:r>
      <w:r w:rsidRPr="000F0299">
        <w:rPr>
          <w:lang w:eastAsia="de-DE"/>
        </w:rPr>
        <w:t>акон увођењ</w:t>
      </w:r>
      <w:r>
        <w:rPr>
          <w:lang w:eastAsia="de-DE"/>
        </w:rPr>
        <w:t>а</w:t>
      </w:r>
      <w:r w:rsidRPr="000F0299">
        <w:rPr>
          <w:lang w:eastAsia="de-DE"/>
        </w:rPr>
        <w:t xml:space="preserve"> инструмената редовни годишњи трошкови би се односили само на трошкове обука. </w:t>
      </w:r>
      <w:r>
        <w:rPr>
          <w:lang w:eastAsia="de-DE"/>
        </w:rPr>
        <w:t>И</w:t>
      </w:r>
      <w:r w:rsidRPr="000F0299">
        <w:rPr>
          <w:lang w:eastAsia="de-DE"/>
        </w:rPr>
        <w:t xml:space="preserve">ако ова опција изискује додатне трошкове за развој нових процедура, процена је да би ова опција била исплатива дугорочно јер </w:t>
      </w:r>
      <w:r>
        <w:rPr>
          <w:lang w:eastAsia="de-DE"/>
        </w:rPr>
        <w:t xml:space="preserve">ако се не буду </w:t>
      </w:r>
      <w:r w:rsidRPr="000F0299">
        <w:rPr>
          <w:lang w:eastAsia="de-DE"/>
        </w:rPr>
        <w:t>разв</w:t>
      </w:r>
      <w:r>
        <w:rPr>
          <w:lang w:eastAsia="de-DE"/>
        </w:rPr>
        <w:t xml:space="preserve">или </w:t>
      </w:r>
      <w:r w:rsidRPr="000F0299">
        <w:rPr>
          <w:lang w:eastAsia="de-DE"/>
        </w:rPr>
        <w:t>нови инструмен</w:t>
      </w:r>
      <w:r>
        <w:rPr>
          <w:lang w:eastAsia="de-DE"/>
        </w:rPr>
        <w:t>ти,</w:t>
      </w:r>
      <w:r w:rsidRPr="000F0299">
        <w:rPr>
          <w:lang w:eastAsia="de-DE"/>
        </w:rPr>
        <w:t xml:space="preserve"> остале мере неће имати пун потенцијал.</w:t>
      </w:r>
    </w:p>
    <w:p w14:paraId="679B1142" w14:textId="7293FF6B" w:rsidR="00772172" w:rsidRPr="004546E7" w:rsidRDefault="00772172" w:rsidP="00772172">
      <w:pPr>
        <w:pStyle w:val="Caption"/>
        <w:keepNext/>
        <w:rPr>
          <w:i w:val="0"/>
          <w:iCs w:val="0"/>
          <w:lang w:val="sr-Cyrl-RS"/>
        </w:rPr>
      </w:pPr>
      <w:bookmarkStart w:id="153" w:name="_Toc57665377"/>
      <w:r w:rsidRPr="00952BF5">
        <w:rPr>
          <w:i w:val="0"/>
          <w:iCs w:val="0"/>
          <w:lang w:val="sr-Cyrl-RS"/>
        </w:rPr>
        <w:t xml:space="preserve">Табела </w:t>
      </w:r>
      <w:r w:rsidRPr="00952BF5">
        <w:rPr>
          <w:i w:val="0"/>
          <w:iCs w:val="0"/>
          <w:lang w:val="sr-Cyrl-RS"/>
        </w:rPr>
        <w:fldChar w:fldCharType="begin"/>
      </w:r>
      <w:r w:rsidRPr="00952BF5">
        <w:rPr>
          <w:i w:val="0"/>
          <w:iCs w:val="0"/>
          <w:lang w:val="sr-Cyrl-RS"/>
        </w:rPr>
        <w:instrText xml:space="preserve"> SEQ Табела \* ARABIC </w:instrText>
      </w:r>
      <w:r w:rsidRPr="00952BF5">
        <w:rPr>
          <w:i w:val="0"/>
          <w:iCs w:val="0"/>
          <w:lang w:val="sr-Cyrl-RS"/>
        </w:rPr>
        <w:fldChar w:fldCharType="separate"/>
      </w:r>
      <w:r w:rsidRPr="00952BF5">
        <w:rPr>
          <w:i w:val="0"/>
          <w:iCs w:val="0"/>
          <w:noProof/>
          <w:lang w:val="sr-Cyrl-RS"/>
        </w:rPr>
        <w:t>5</w:t>
      </w:r>
      <w:r w:rsidRPr="00952BF5">
        <w:rPr>
          <w:i w:val="0"/>
          <w:iCs w:val="0"/>
          <w:lang w:val="sr-Cyrl-RS"/>
        </w:rPr>
        <w:fldChar w:fldCharType="end"/>
      </w:r>
      <w:r w:rsidRPr="00952BF5">
        <w:rPr>
          <w:i w:val="0"/>
          <w:iCs w:val="0"/>
          <w:lang w:val="sr-Cyrl-RS"/>
        </w:rPr>
        <w:t xml:space="preserve"> Табела за одабир опције</w:t>
      </w:r>
      <w:r w:rsidR="004546E7" w:rsidRPr="00B14976">
        <w:rPr>
          <w:i w:val="0"/>
          <w:iCs w:val="0"/>
          <w:lang w:val="sr-Cyrl-RS"/>
        </w:rPr>
        <w:t xml:space="preserve"> </w:t>
      </w:r>
      <w:r w:rsidR="00B14976">
        <w:rPr>
          <w:i w:val="0"/>
          <w:iCs w:val="0"/>
          <w:lang w:val="sr-Cyrl-RS"/>
        </w:rPr>
        <w:t>за циљ 2.2.</w:t>
      </w:r>
      <w:bookmarkEnd w:id="153"/>
    </w:p>
    <w:tbl>
      <w:tblPr>
        <w:tblStyle w:val="TableGridLight1"/>
        <w:tblW w:w="4976" w:type="pct"/>
        <w:tblLook w:val="06A0" w:firstRow="1" w:lastRow="0" w:firstColumn="1" w:lastColumn="0" w:noHBand="1" w:noVBand="1"/>
      </w:tblPr>
      <w:tblGrid>
        <w:gridCol w:w="4675"/>
        <w:gridCol w:w="832"/>
        <w:gridCol w:w="149"/>
        <w:gridCol w:w="684"/>
        <w:gridCol w:w="297"/>
        <w:gridCol w:w="563"/>
        <w:gridCol w:w="418"/>
        <w:gridCol w:w="770"/>
        <w:gridCol w:w="211"/>
        <w:gridCol w:w="983"/>
      </w:tblGrid>
      <w:tr w:rsidR="009300FD" w:rsidRPr="000F0299" w14:paraId="3DAAFD1D" w14:textId="77777777" w:rsidTr="00DF2530">
        <w:trPr>
          <w:trHeight w:val="429"/>
        </w:trPr>
        <w:tc>
          <w:tcPr>
            <w:tcW w:w="2439" w:type="pct"/>
            <w:vMerge w:val="restart"/>
          </w:tcPr>
          <w:p w14:paraId="4993F9E5" w14:textId="77777777" w:rsidR="009300FD" w:rsidRPr="000F0299" w:rsidRDefault="009300FD" w:rsidP="00DF2530">
            <w:pPr>
              <w:spacing w:before="0"/>
              <w:ind w:firstLine="0"/>
            </w:pPr>
            <w:r w:rsidRPr="000F0299">
              <w:t>Критеријуми</w:t>
            </w:r>
          </w:p>
          <w:p w14:paraId="4CE6AC65" w14:textId="77777777" w:rsidR="009300FD" w:rsidRPr="000F0299" w:rsidRDefault="009300FD" w:rsidP="00DF2530">
            <w:pPr>
              <w:spacing w:before="0"/>
              <w:ind w:firstLine="0"/>
            </w:pPr>
            <w:r w:rsidRPr="000F0299">
              <w:t>Оцена (1</w:t>
            </w:r>
            <w:r>
              <w:t>–</w:t>
            </w:r>
            <w:r w:rsidRPr="000F0299">
              <w:t>3)</w:t>
            </w:r>
          </w:p>
          <w:p w14:paraId="48706F3D" w14:textId="77777777" w:rsidR="009300FD" w:rsidRPr="000F0299" w:rsidRDefault="009300FD" w:rsidP="00DF2530">
            <w:pPr>
              <w:spacing w:before="0"/>
              <w:ind w:firstLine="0"/>
            </w:pPr>
            <w:r w:rsidRPr="000F0299">
              <w:t>Директан ефекат (пондер 2)</w:t>
            </w:r>
          </w:p>
          <w:p w14:paraId="1C685B1E" w14:textId="77777777" w:rsidR="009300FD" w:rsidRPr="000F0299" w:rsidRDefault="009300FD" w:rsidP="00DF2530">
            <w:pPr>
              <w:spacing w:before="0"/>
              <w:ind w:firstLine="0"/>
            </w:pPr>
            <w:r w:rsidRPr="000F0299">
              <w:t>Индиректан ефекат (пондер 1)</w:t>
            </w:r>
          </w:p>
        </w:tc>
        <w:tc>
          <w:tcPr>
            <w:tcW w:w="2561" w:type="pct"/>
            <w:gridSpan w:val="9"/>
          </w:tcPr>
          <w:p w14:paraId="6A7C4D36" w14:textId="77777777" w:rsidR="009300FD" w:rsidRPr="000F0299" w:rsidRDefault="009300FD" w:rsidP="00DF2530">
            <w:pPr>
              <w:spacing w:before="0"/>
              <w:ind w:firstLine="0"/>
              <w:jc w:val="center"/>
            </w:pPr>
            <w:r w:rsidRPr="000F0299">
              <w:t>Укупно</w:t>
            </w:r>
          </w:p>
        </w:tc>
      </w:tr>
      <w:tr w:rsidR="009300FD" w:rsidRPr="000F0299" w14:paraId="22C7F20B" w14:textId="77777777" w:rsidTr="00DF2530">
        <w:trPr>
          <w:trHeight w:val="1340"/>
        </w:trPr>
        <w:tc>
          <w:tcPr>
            <w:tcW w:w="2439" w:type="pct"/>
            <w:vMerge/>
          </w:tcPr>
          <w:p w14:paraId="63BD1BF9" w14:textId="77777777" w:rsidR="009300FD" w:rsidRPr="000F0299" w:rsidRDefault="009300FD" w:rsidP="00DF2530">
            <w:pPr>
              <w:spacing w:before="0"/>
            </w:pPr>
          </w:p>
        </w:tc>
        <w:tc>
          <w:tcPr>
            <w:tcW w:w="512" w:type="pct"/>
            <w:gridSpan w:val="2"/>
            <w:textDirection w:val="btLr"/>
            <w:vAlign w:val="center"/>
          </w:tcPr>
          <w:p w14:paraId="68E70283" w14:textId="77777777" w:rsidR="009300FD" w:rsidRPr="000F0299" w:rsidRDefault="009300FD" w:rsidP="00DF2530">
            <w:pPr>
              <w:spacing w:before="0"/>
              <w:ind w:left="113" w:right="113" w:firstLine="0"/>
              <w:jc w:val="center"/>
            </w:pPr>
            <w:r w:rsidRPr="000F0299">
              <w:t>Опција 1</w:t>
            </w:r>
          </w:p>
        </w:tc>
        <w:tc>
          <w:tcPr>
            <w:tcW w:w="512" w:type="pct"/>
            <w:gridSpan w:val="2"/>
            <w:textDirection w:val="btLr"/>
            <w:vAlign w:val="center"/>
          </w:tcPr>
          <w:p w14:paraId="01583A61" w14:textId="77777777" w:rsidR="009300FD" w:rsidRPr="000F0299" w:rsidRDefault="009300FD" w:rsidP="00DF2530">
            <w:pPr>
              <w:spacing w:before="0"/>
              <w:ind w:left="113" w:right="113" w:firstLine="0"/>
              <w:jc w:val="center"/>
            </w:pPr>
            <w:r w:rsidRPr="000F0299">
              <w:t>Опција 2</w:t>
            </w:r>
          </w:p>
        </w:tc>
        <w:tc>
          <w:tcPr>
            <w:tcW w:w="512" w:type="pct"/>
            <w:gridSpan w:val="2"/>
            <w:textDirection w:val="btLr"/>
            <w:vAlign w:val="center"/>
          </w:tcPr>
          <w:p w14:paraId="30C44619" w14:textId="77777777" w:rsidR="009300FD" w:rsidRPr="000F0299" w:rsidRDefault="009300FD" w:rsidP="00DF2530">
            <w:pPr>
              <w:spacing w:before="0"/>
              <w:ind w:right="113" w:firstLine="0"/>
              <w:jc w:val="center"/>
            </w:pPr>
            <w:r w:rsidRPr="000F0299">
              <w:t>Опција 3</w:t>
            </w:r>
          </w:p>
        </w:tc>
        <w:tc>
          <w:tcPr>
            <w:tcW w:w="512" w:type="pct"/>
            <w:gridSpan w:val="2"/>
            <w:textDirection w:val="btLr"/>
            <w:vAlign w:val="center"/>
          </w:tcPr>
          <w:p w14:paraId="74C20306" w14:textId="77777777" w:rsidR="009300FD" w:rsidRPr="000F0299" w:rsidRDefault="009300FD" w:rsidP="00DF2530">
            <w:pPr>
              <w:spacing w:before="0"/>
              <w:ind w:right="113" w:firstLine="0"/>
              <w:jc w:val="center"/>
            </w:pPr>
            <w:r w:rsidRPr="000F0299">
              <w:t>Опција 4</w:t>
            </w:r>
          </w:p>
        </w:tc>
        <w:tc>
          <w:tcPr>
            <w:tcW w:w="513" w:type="pct"/>
            <w:textDirection w:val="btLr"/>
            <w:vAlign w:val="center"/>
          </w:tcPr>
          <w:p w14:paraId="51FAEFA2" w14:textId="77777777" w:rsidR="009300FD" w:rsidRPr="000F0299" w:rsidRDefault="009300FD" w:rsidP="00DF2530">
            <w:pPr>
              <w:spacing w:before="0"/>
              <w:ind w:right="113" w:firstLine="0"/>
              <w:jc w:val="center"/>
            </w:pPr>
            <w:r w:rsidRPr="000F0299">
              <w:t>Опција 5</w:t>
            </w:r>
          </w:p>
        </w:tc>
      </w:tr>
      <w:tr w:rsidR="009300FD" w:rsidRPr="000F0299" w14:paraId="0FBE7641" w14:textId="77777777" w:rsidTr="00DF2530">
        <w:tc>
          <w:tcPr>
            <w:tcW w:w="5000" w:type="pct"/>
            <w:gridSpan w:val="10"/>
            <w:shd w:val="clear" w:color="auto" w:fill="BFBFBF" w:themeFill="background1" w:themeFillShade="BF"/>
          </w:tcPr>
          <w:p w14:paraId="6B9D61D1" w14:textId="77777777" w:rsidR="009300FD" w:rsidRPr="000F0299" w:rsidRDefault="009300FD" w:rsidP="00DF2530">
            <w:pPr>
              <w:spacing w:before="0"/>
              <w:ind w:firstLine="0"/>
            </w:pPr>
            <w:r w:rsidRPr="000F0299">
              <w:t>Специфични критеријуми</w:t>
            </w:r>
          </w:p>
        </w:tc>
      </w:tr>
      <w:tr w:rsidR="009300FD" w:rsidRPr="000F0299" w14:paraId="6EFD97CB" w14:textId="77777777" w:rsidTr="00DF2530">
        <w:tc>
          <w:tcPr>
            <w:tcW w:w="2439" w:type="pct"/>
          </w:tcPr>
          <w:p w14:paraId="18CB61AD" w14:textId="77777777" w:rsidR="009300FD" w:rsidRPr="000F0299" w:rsidRDefault="009300FD" w:rsidP="00DF2530">
            <w:pPr>
              <w:spacing w:before="0"/>
              <w:ind w:firstLine="0"/>
            </w:pPr>
            <w:r w:rsidRPr="000F0299">
              <w:t>Да ли опција има позитиван утицај на задржавање квалитетн</w:t>
            </w:r>
            <w:r>
              <w:t>ог</w:t>
            </w:r>
            <w:r w:rsidRPr="000F0299">
              <w:t xml:space="preserve"> кадра?</w:t>
            </w:r>
          </w:p>
        </w:tc>
        <w:tc>
          <w:tcPr>
            <w:tcW w:w="512" w:type="pct"/>
            <w:gridSpan w:val="2"/>
            <w:vAlign w:val="center"/>
          </w:tcPr>
          <w:p w14:paraId="4D6ED6F4" w14:textId="77777777" w:rsidR="009300FD" w:rsidRPr="000F0299" w:rsidRDefault="009300FD" w:rsidP="00DF2530">
            <w:pPr>
              <w:spacing w:before="0"/>
              <w:ind w:firstLine="0"/>
              <w:jc w:val="center"/>
            </w:pPr>
            <w:r w:rsidRPr="000F0299">
              <w:t>1x1=1</w:t>
            </w:r>
          </w:p>
        </w:tc>
        <w:tc>
          <w:tcPr>
            <w:tcW w:w="512" w:type="pct"/>
            <w:gridSpan w:val="2"/>
            <w:vAlign w:val="center"/>
          </w:tcPr>
          <w:p w14:paraId="303935D1" w14:textId="77777777" w:rsidR="009300FD" w:rsidRPr="000F0299" w:rsidRDefault="009300FD" w:rsidP="00DF2530">
            <w:pPr>
              <w:spacing w:before="0"/>
              <w:ind w:firstLine="0"/>
              <w:jc w:val="center"/>
            </w:pPr>
            <w:r w:rsidRPr="000F0299">
              <w:t>1x1=1</w:t>
            </w:r>
          </w:p>
        </w:tc>
        <w:tc>
          <w:tcPr>
            <w:tcW w:w="512" w:type="pct"/>
            <w:gridSpan w:val="2"/>
            <w:vAlign w:val="center"/>
          </w:tcPr>
          <w:p w14:paraId="1DD27156" w14:textId="77777777" w:rsidR="009300FD" w:rsidRPr="000F0299" w:rsidRDefault="009300FD" w:rsidP="00DF2530">
            <w:pPr>
              <w:spacing w:before="0"/>
              <w:ind w:firstLine="0"/>
              <w:jc w:val="center"/>
            </w:pPr>
            <w:r w:rsidRPr="000F0299">
              <w:t>2x1=2</w:t>
            </w:r>
          </w:p>
        </w:tc>
        <w:tc>
          <w:tcPr>
            <w:tcW w:w="512" w:type="pct"/>
            <w:gridSpan w:val="2"/>
            <w:vAlign w:val="center"/>
          </w:tcPr>
          <w:p w14:paraId="2D52C4FD" w14:textId="77777777" w:rsidR="009300FD" w:rsidRPr="000F0299" w:rsidRDefault="009300FD" w:rsidP="00DF2530">
            <w:pPr>
              <w:spacing w:before="0"/>
              <w:ind w:firstLine="0"/>
              <w:jc w:val="center"/>
            </w:pPr>
            <w:r w:rsidRPr="000F0299">
              <w:t>2x1=2</w:t>
            </w:r>
          </w:p>
        </w:tc>
        <w:tc>
          <w:tcPr>
            <w:tcW w:w="513" w:type="pct"/>
            <w:vAlign w:val="center"/>
          </w:tcPr>
          <w:p w14:paraId="5B5BE218" w14:textId="77777777" w:rsidR="009300FD" w:rsidRPr="000F0299" w:rsidRDefault="009300FD" w:rsidP="00DF2530">
            <w:pPr>
              <w:spacing w:before="0"/>
              <w:ind w:firstLine="0"/>
              <w:jc w:val="center"/>
            </w:pPr>
            <w:r w:rsidRPr="000F0299">
              <w:t>3x2=6</w:t>
            </w:r>
          </w:p>
        </w:tc>
      </w:tr>
      <w:tr w:rsidR="009300FD" w:rsidRPr="000F0299" w14:paraId="6364C901" w14:textId="77777777" w:rsidTr="00DF2530">
        <w:tc>
          <w:tcPr>
            <w:tcW w:w="2439" w:type="pct"/>
          </w:tcPr>
          <w:p w14:paraId="11B5483A" w14:textId="77777777" w:rsidR="009300FD" w:rsidRPr="000F0299" w:rsidRDefault="009300FD" w:rsidP="00DF2530">
            <w:pPr>
              <w:spacing w:before="0"/>
              <w:ind w:firstLine="0"/>
            </w:pPr>
            <w:r w:rsidRPr="000F0299">
              <w:t xml:space="preserve">Да ли опција има позитиван утицај на унапређење управљачких вештина руководилаца? </w:t>
            </w:r>
          </w:p>
        </w:tc>
        <w:tc>
          <w:tcPr>
            <w:tcW w:w="512" w:type="pct"/>
            <w:gridSpan w:val="2"/>
            <w:vAlign w:val="center"/>
          </w:tcPr>
          <w:p w14:paraId="72A087BF" w14:textId="77777777" w:rsidR="009300FD" w:rsidRPr="000F0299" w:rsidRDefault="009300FD" w:rsidP="00DF2530">
            <w:pPr>
              <w:spacing w:before="0"/>
              <w:ind w:firstLine="0"/>
              <w:jc w:val="center"/>
            </w:pPr>
            <w:r w:rsidRPr="000F0299">
              <w:t>1x1=1</w:t>
            </w:r>
          </w:p>
        </w:tc>
        <w:tc>
          <w:tcPr>
            <w:tcW w:w="512" w:type="pct"/>
            <w:gridSpan w:val="2"/>
            <w:vAlign w:val="center"/>
          </w:tcPr>
          <w:p w14:paraId="1384B0D0" w14:textId="77777777" w:rsidR="009300FD" w:rsidRPr="000F0299" w:rsidRDefault="009300FD" w:rsidP="00DF2530">
            <w:pPr>
              <w:spacing w:before="0"/>
              <w:ind w:firstLine="0"/>
              <w:jc w:val="center"/>
            </w:pPr>
            <w:r w:rsidRPr="000F0299">
              <w:t>2x1=2</w:t>
            </w:r>
          </w:p>
        </w:tc>
        <w:tc>
          <w:tcPr>
            <w:tcW w:w="512" w:type="pct"/>
            <w:gridSpan w:val="2"/>
            <w:vAlign w:val="center"/>
          </w:tcPr>
          <w:p w14:paraId="647FC9F1" w14:textId="77777777" w:rsidR="009300FD" w:rsidRPr="000F0299" w:rsidRDefault="009300FD" w:rsidP="00DF2530">
            <w:pPr>
              <w:spacing w:before="0"/>
              <w:ind w:firstLine="0"/>
              <w:jc w:val="center"/>
            </w:pPr>
            <w:r w:rsidRPr="000F0299">
              <w:t>1x2=2</w:t>
            </w:r>
          </w:p>
        </w:tc>
        <w:tc>
          <w:tcPr>
            <w:tcW w:w="512" w:type="pct"/>
            <w:gridSpan w:val="2"/>
            <w:vAlign w:val="center"/>
          </w:tcPr>
          <w:p w14:paraId="15730D1A" w14:textId="77777777" w:rsidR="009300FD" w:rsidRPr="000F0299" w:rsidRDefault="009300FD" w:rsidP="00DF2530">
            <w:pPr>
              <w:spacing w:before="0"/>
              <w:ind w:firstLine="0"/>
              <w:jc w:val="center"/>
            </w:pPr>
            <w:r w:rsidRPr="000F0299">
              <w:t>3x2=6</w:t>
            </w:r>
          </w:p>
        </w:tc>
        <w:tc>
          <w:tcPr>
            <w:tcW w:w="513" w:type="pct"/>
            <w:vAlign w:val="center"/>
          </w:tcPr>
          <w:p w14:paraId="79CA5D28" w14:textId="77777777" w:rsidR="009300FD" w:rsidRPr="000F0299" w:rsidRDefault="009300FD" w:rsidP="00DF2530">
            <w:pPr>
              <w:spacing w:before="0"/>
              <w:ind w:firstLine="0"/>
              <w:jc w:val="center"/>
            </w:pPr>
            <w:r w:rsidRPr="000F0299">
              <w:t>3x2=6</w:t>
            </w:r>
          </w:p>
        </w:tc>
      </w:tr>
      <w:tr w:rsidR="009300FD" w:rsidRPr="000F0299" w14:paraId="10E20F86" w14:textId="77777777" w:rsidTr="00DF2530">
        <w:tc>
          <w:tcPr>
            <w:tcW w:w="2439" w:type="pct"/>
          </w:tcPr>
          <w:p w14:paraId="2C8026C6" w14:textId="77777777" w:rsidR="009300FD" w:rsidRPr="000F0299" w:rsidRDefault="009300FD" w:rsidP="00DF2530">
            <w:pPr>
              <w:spacing w:before="0"/>
              <w:ind w:firstLine="0"/>
            </w:pPr>
            <w:r w:rsidRPr="000F0299">
              <w:t xml:space="preserve">Да ли опција има утицај на развој капацитета јединица за </w:t>
            </w:r>
            <w:r w:rsidRPr="0079500C">
              <w:t>УЉР</w:t>
            </w:r>
            <w:r w:rsidRPr="000F0299">
              <w:t>?</w:t>
            </w:r>
          </w:p>
        </w:tc>
        <w:tc>
          <w:tcPr>
            <w:tcW w:w="512" w:type="pct"/>
            <w:gridSpan w:val="2"/>
            <w:vAlign w:val="center"/>
          </w:tcPr>
          <w:p w14:paraId="4B5C33A0" w14:textId="77777777" w:rsidR="009300FD" w:rsidRPr="000F0299" w:rsidRDefault="009300FD" w:rsidP="00DF2530">
            <w:pPr>
              <w:spacing w:before="0"/>
              <w:ind w:firstLine="0"/>
              <w:jc w:val="center"/>
            </w:pPr>
            <w:r w:rsidRPr="000F0299">
              <w:t>1x1=1</w:t>
            </w:r>
          </w:p>
        </w:tc>
        <w:tc>
          <w:tcPr>
            <w:tcW w:w="512" w:type="pct"/>
            <w:gridSpan w:val="2"/>
            <w:vAlign w:val="center"/>
          </w:tcPr>
          <w:p w14:paraId="2B3555B8" w14:textId="77777777" w:rsidR="009300FD" w:rsidRPr="000F0299" w:rsidRDefault="009300FD" w:rsidP="00DF2530">
            <w:pPr>
              <w:spacing w:before="0"/>
              <w:ind w:firstLine="0"/>
              <w:jc w:val="center"/>
            </w:pPr>
            <w:r w:rsidRPr="000F0299">
              <w:t>2x1=2</w:t>
            </w:r>
          </w:p>
        </w:tc>
        <w:tc>
          <w:tcPr>
            <w:tcW w:w="512" w:type="pct"/>
            <w:gridSpan w:val="2"/>
            <w:vAlign w:val="center"/>
          </w:tcPr>
          <w:p w14:paraId="38265075" w14:textId="77777777" w:rsidR="009300FD" w:rsidRPr="000F0299" w:rsidRDefault="009300FD" w:rsidP="00DF2530">
            <w:pPr>
              <w:spacing w:before="0"/>
              <w:ind w:firstLine="0"/>
              <w:jc w:val="center"/>
            </w:pPr>
            <w:r w:rsidRPr="000F0299">
              <w:t>3x2=6</w:t>
            </w:r>
          </w:p>
        </w:tc>
        <w:tc>
          <w:tcPr>
            <w:tcW w:w="512" w:type="pct"/>
            <w:gridSpan w:val="2"/>
            <w:vAlign w:val="center"/>
          </w:tcPr>
          <w:p w14:paraId="30E95F76" w14:textId="77777777" w:rsidR="009300FD" w:rsidRPr="000F0299" w:rsidRDefault="009300FD" w:rsidP="00DF2530">
            <w:pPr>
              <w:spacing w:before="0"/>
              <w:ind w:firstLine="0"/>
              <w:jc w:val="center"/>
            </w:pPr>
            <w:r w:rsidRPr="000F0299">
              <w:t>1x2=2</w:t>
            </w:r>
          </w:p>
        </w:tc>
        <w:tc>
          <w:tcPr>
            <w:tcW w:w="513" w:type="pct"/>
            <w:vAlign w:val="center"/>
          </w:tcPr>
          <w:p w14:paraId="04000C3C" w14:textId="77777777" w:rsidR="009300FD" w:rsidRPr="000F0299" w:rsidRDefault="009300FD" w:rsidP="00DF2530">
            <w:pPr>
              <w:spacing w:before="0"/>
              <w:ind w:firstLine="0"/>
              <w:jc w:val="center"/>
            </w:pPr>
            <w:r w:rsidRPr="000F0299">
              <w:t>3x2=6</w:t>
            </w:r>
          </w:p>
        </w:tc>
      </w:tr>
      <w:tr w:rsidR="009300FD" w:rsidRPr="000F0299" w14:paraId="2C980F8E" w14:textId="77777777" w:rsidTr="00DF2530">
        <w:tc>
          <w:tcPr>
            <w:tcW w:w="5000" w:type="pct"/>
            <w:gridSpan w:val="10"/>
            <w:shd w:val="clear" w:color="auto" w:fill="BFBFBF" w:themeFill="background1" w:themeFillShade="BF"/>
          </w:tcPr>
          <w:p w14:paraId="4B7A4439" w14:textId="77777777" w:rsidR="009300FD" w:rsidRPr="000F0299" w:rsidRDefault="009300FD" w:rsidP="00DF2530">
            <w:pPr>
              <w:spacing w:before="0"/>
              <w:ind w:firstLine="0"/>
            </w:pPr>
            <w:r w:rsidRPr="000F0299">
              <w:t>Општи критеријуми</w:t>
            </w:r>
          </w:p>
        </w:tc>
      </w:tr>
      <w:tr w:rsidR="009300FD" w:rsidRPr="000F0299" w14:paraId="74A4561D" w14:textId="77777777" w:rsidTr="00DF2530">
        <w:tc>
          <w:tcPr>
            <w:tcW w:w="2439" w:type="pct"/>
          </w:tcPr>
          <w:p w14:paraId="6099940C" w14:textId="77777777" w:rsidR="009300FD" w:rsidRPr="000F0299" w:rsidRDefault="009300FD" w:rsidP="00DF2530">
            <w:pPr>
              <w:spacing w:before="0"/>
              <w:ind w:firstLine="0"/>
              <w:rPr>
                <w:b/>
                <w:bCs/>
              </w:rPr>
            </w:pPr>
            <w:r w:rsidRPr="000F0299">
              <w:t>Да ли опција побољшава транспарентност и приступачност јавне управе и утиче на поверење грађана у јавну управу?</w:t>
            </w:r>
          </w:p>
        </w:tc>
        <w:tc>
          <w:tcPr>
            <w:tcW w:w="512" w:type="pct"/>
            <w:gridSpan w:val="2"/>
            <w:vAlign w:val="center"/>
          </w:tcPr>
          <w:p w14:paraId="7ED18BEA" w14:textId="77777777" w:rsidR="009300FD" w:rsidRPr="000F0299" w:rsidRDefault="009300FD" w:rsidP="00DF2530">
            <w:pPr>
              <w:spacing w:before="0"/>
              <w:ind w:firstLine="0"/>
              <w:jc w:val="center"/>
            </w:pPr>
            <w:r w:rsidRPr="000F0299">
              <w:t>1x1=1</w:t>
            </w:r>
          </w:p>
        </w:tc>
        <w:tc>
          <w:tcPr>
            <w:tcW w:w="512" w:type="pct"/>
            <w:gridSpan w:val="2"/>
            <w:vAlign w:val="center"/>
          </w:tcPr>
          <w:p w14:paraId="47F17E01" w14:textId="77777777" w:rsidR="009300FD" w:rsidRPr="000F0299" w:rsidRDefault="009300FD" w:rsidP="00DF2530">
            <w:pPr>
              <w:spacing w:before="0"/>
              <w:ind w:firstLine="0"/>
              <w:jc w:val="center"/>
            </w:pPr>
            <w:r w:rsidRPr="000F0299">
              <w:t>2x2=4</w:t>
            </w:r>
          </w:p>
        </w:tc>
        <w:tc>
          <w:tcPr>
            <w:tcW w:w="512" w:type="pct"/>
            <w:gridSpan w:val="2"/>
            <w:vAlign w:val="center"/>
          </w:tcPr>
          <w:p w14:paraId="167BB8B8" w14:textId="77777777" w:rsidR="009300FD" w:rsidRPr="000F0299" w:rsidRDefault="009300FD" w:rsidP="00DF2530">
            <w:pPr>
              <w:spacing w:before="0"/>
              <w:ind w:firstLine="0"/>
              <w:jc w:val="center"/>
            </w:pPr>
            <w:r w:rsidRPr="000F0299">
              <w:t>2x1=2</w:t>
            </w:r>
          </w:p>
        </w:tc>
        <w:tc>
          <w:tcPr>
            <w:tcW w:w="512" w:type="pct"/>
            <w:gridSpan w:val="2"/>
            <w:vAlign w:val="center"/>
          </w:tcPr>
          <w:p w14:paraId="236A21D8" w14:textId="77777777" w:rsidR="009300FD" w:rsidRPr="000F0299" w:rsidRDefault="009300FD" w:rsidP="00DF2530">
            <w:pPr>
              <w:spacing w:before="0"/>
              <w:ind w:firstLine="0"/>
              <w:jc w:val="center"/>
            </w:pPr>
            <w:r w:rsidRPr="000F0299">
              <w:t>2x1=2</w:t>
            </w:r>
          </w:p>
        </w:tc>
        <w:tc>
          <w:tcPr>
            <w:tcW w:w="513" w:type="pct"/>
            <w:vAlign w:val="center"/>
          </w:tcPr>
          <w:p w14:paraId="39A11B62" w14:textId="77777777" w:rsidR="009300FD" w:rsidRPr="000F0299" w:rsidRDefault="009300FD" w:rsidP="00DF2530">
            <w:pPr>
              <w:spacing w:before="0"/>
              <w:ind w:firstLine="0"/>
              <w:jc w:val="center"/>
            </w:pPr>
            <w:r w:rsidRPr="000F0299">
              <w:t>2x2=4</w:t>
            </w:r>
          </w:p>
        </w:tc>
      </w:tr>
      <w:tr w:rsidR="009300FD" w:rsidRPr="000F0299" w14:paraId="25B69FF8" w14:textId="77777777" w:rsidTr="00DF2530">
        <w:tc>
          <w:tcPr>
            <w:tcW w:w="2439" w:type="pct"/>
          </w:tcPr>
          <w:p w14:paraId="5F889CBB" w14:textId="77777777" w:rsidR="009300FD" w:rsidRPr="000F0299" w:rsidRDefault="009300FD" w:rsidP="00DF2530">
            <w:pPr>
              <w:spacing w:before="0"/>
              <w:ind w:firstLine="0"/>
              <w:rPr>
                <w:b/>
                <w:bCs/>
              </w:rPr>
            </w:pPr>
            <w:r w:rsidRPr="000F0299">
              <w:rPr>
                <w:noProof/>
                <w:lang w:eastAsia="en-GB"/>
              </w:rPr>
              <w:t>Да ли је опција у сагласности са захтевима ЕУ?</w:t>
            </w:r>
          </w:p>
        </w:tc>
        <w:tc>
          <w:tcPr>
            <w:tcW w:w="512" w:type="pct"/>
            <w:gridSpan w:val="2"/>
            <w:vAlign w:val="center"/>
          </w:tcPr>
          <w:p w14:paraId="16F19810" w14:textId="77777777" w:rsidR="009300FD" w:rsidRPr="000F0299" w:rsidRDefault="009300FD" w:rsidP="00DF2530">
            <w:pPr>
              <w:spacing w:before="0"/>
              <w:ind w:firstLine="0"/>
              <w:jc w:val="center"/>
            </w:pPr>
            <w:r w:rsidRPr="000F0299">
              <w:t>1x1=1</w:t>
            </w:r>
          </w:p>
        </w:tc>
        <w:tc>
          <w:tcPr>
            <w:tcW w:w="512" w:type="pct"/>
            <w:gridSpan w:val="2"/>
            <w:vAlign w:val="center"/>
          </w:tcPr>
          <w:p w14:paraId="4D636764" w14:textId="77777777" w:rsidR="009300FD" w:rsidRPr="000F0299" w:rsidRDefault="009300FD" w:rsidP="00DF2530">
            <w:pPr>
              <w:spacing w:before="0"/>
              <w:ind w:firstLine="0"/>
              <w:jc w:val="center"/>
            </w:pPr>
            <w:r w:rsidRPr="000F0299">
              <w:t>2x2=4</w:t>
            </w:r>
          </w:p>
        </w:tc>
        <w:tc>
          <w:tcPr>
            <w:tcW w:w="512" w:type="pct"/>
            <w:gridSpan w:val="2"/>
            <w:vAlign w:val="center"/>
          </w:tcPr>
          <w:p w14:paraId="79824F66" w14:textId="77777777" w:rsidR="009300FD" w:rsidRPr="000F0299" w:rsidRDefault="009300FD" w:rsidP="00DF2530">
            <w:pPr>
              <w:spacing w:before="0"/>
              <w:ind w:firstLine="0"/>
              <w:jc w:val="center"/>
            </w:pPr>
            <w:r w:rsidRPr="000F0299">
              <w:t>3x2=6</w:t>
            </w:r>
          </w:p>
        </w:tc>
        <w:tc>
          <w:tcPr>
            <w:tcW w:w="512" w:type="pct"/>
            <w:gridSpan w:val="2"/>
            <w:vAlign w:val="center"/>
          </w:tcPr>
          <w:p w14:paraId="172D07B9" w14:textId="77777777" w:rsidR="009300FD" w:rsidRPr="000F0299" w:rsidRDefault="009300FD" w:rsidP="00DF2530">
            <w:pPr>
              <w:spacing w:before="0"/>
              <w:ind w:firstLine="0"/>
              <w:jc w:val="center"/>
            </w:pPr>
            <w:r w:rsidRPr="000F0299">
              <w:t>3x2=6</w:t>
            </w:r>
          </w:p>
        </w:tc>
        <w:tc>
          <w:tcPr>
            <w:tcW w:w="513" w:type="pct"/>
            <w:vAlign w:val="center"/>
          </w:tcPr>
          <w:p w14:paraId="358E0DDD" w14:textId="77777777" w:rsidR="009300FD" w:rsidRPr="000F0299" w:rsidRDefault="009300FD" w:rsidP="00DF2530">
            <w:pPr>
              <w:spacing w:before="0"/>
              <w:ind w:firstLine="0"/>
              <w:jc w:val="center"/>
            </w:pPr>
            <w:r w:rsidRPr="000F0299">
              <w:t>3x2=6</w:t>
            </w:r>
          </w:p>
        </w:tc>
      </w:tr>
      <w:tr w:rsidR="009300FD" w:rsidRPr="000F0299" w14:paraId="74ED8609" w14:textId="77777777" w:rsidTr="00DF2530">
        <w:tc>
          <w:tcPr>
            <w:tcW w:w="5000" w:type="pct"/>
            <w:gridSpan w:val="10"/>
            <w:shd w:val="clear" w:color="auto" w:fill="BFBFBF" w:themeFill="background1" w:themeFillShade="BF"/>
          </w:tcPr>
          <w:p w14:paraId="6A23A7E9" w14:textId="77777777" w:rsidR="009300FD" w:rsidRPr="000F0299" w:rsidRDefault="009300FD" w:rsidP="00DF2530">
            <w:pPr>
              <w:spacing w:before="0"/>
              <w:ind w:firstLine="0"/>
            </w:pPr>
            <w:r w:rsidRPr="000F0299">
              <w:t xml:space="preserve">Критеријуми </w:t>
            </w:r>
            <w:r>
              <w:t>спровођења</w:t>
            </w:r>
          </w:p>
        </w:tc>
      </w:tr>
      <w:tr w:rsidR="009300FD" w:rsidRPr="000F0299" w14:paraId="5AA62B56" w14:textId="77777777" w:rsidTr="00DF2530">
        <w:tc>
          <w:tcPr>
            <w:tcW w:w="2439" w:type="pct"/>
          </w:tcPr>
          <w:p w14:paraId="573BF2CA" w14:textId="77777777" w:rsidR="009300FD" w:rsidRPr="000F0299" w:rsidRDefault="009300FD" w:rsidP="00DF2530">
            <w:pPr>
              <w:spacing w:before="0"/>
              <w:ind w:firstLine="0"/>
              <w:rPr>
                <w:b/>
                <w:bCs/>
              </w:rPr>
            </w:pPr>
            <w:r w:rsidRPr="000F0299">
              <w:t xml:space="preserve">Да ли се опција може </w:t>
            </w:r>
            <w:r>
              <w:t>спровести</w:t>
            </w:r>
            <w:r w:rsidRPr="000F0299">
              <w:t xml:space="preserve"> без великих трошкова?</w:t>
            </w:r>
          </w:p>
        </w:tc>
        <w:tc>
          <w:tcPr>
            <w:tcW w:w="512" w:type="pct"/>
            <w:gridSpan w:val="2"/>
            <w:vAlign w:val="center"/>
          </w:tcPr>
          <w:p w14:paraId="31DE2266" w14:textId="77777777" w:rsidR="009300FD" w:rsidRPr="000F0299" w:rsidRDefault="009300FD" w:rsidP="00DF2530">
            <w:pPr>
              <w:spacing w:before="0"/>
              <w:ind w:firstLine="0"/>
              <w:jc w:val="center"/>
              <w:rPr>
                <w:b/>
                <w:bCs/>
              </w:rPr>
            </w:pPr>
            <w:r w:rsidRPr="000F0299">
              <w:t>3x2=6</w:t>
            </w:r>
          </w:p>
        </w:tc>
        <w:tc>
          <w:tcPr>
            <w:tcW w:w="512" w:type="pct"/>
            <w:gridSpan w:val="2"/>
            <w:vAlign w:val="center"/>
          </w:tcPr>
          <w:p w14:paraId="31DA75ED" w14:textId="77777777" w:rsidR="009300FD" w:rsidRPr="000F0299" w:rsidRDefault="009300FD" w:rsidP="00DF2530">
            <w:pPr>
              <w:spacing w:before="0"/>
              <w:ind w:firstLine="0"/>
              <w:jc w:val="center"/>
              <w:rPr>
                <w:b/>
                <w:bCs/>
              </w:rPr>
            </w:pPr>
            <w:r w:rsidRPr="000F0299">
              <w:t>3x2=6</w:t>
            </w:r>
          </w:p>
        </w:tc>
        <w:tc>
          <w:tcPr>
            <w:tcW w:w="512" w:type="pct"/>
            <w:gridSpan w:val="2"/>
            <w:vAlign w:val="center"/>
          </w:tcPr>
          <w:p w14:paraId="24EADAE4" w14:textId="77777777" w:rsidR="009300FD" w:rsidRPr="000F0299" w:rsidRDefault="009300FD" w:rsidP="00DF2530">
            <w:pPr>
              <w:spacing w:before="0"/>
              <w:ind w:firstLine="0"/>
              <w:jc w:val="center"/>
              <w:rPr>
                <w:b/>
                <w:bCs/>
              </w:rPr>
            </w:pPr>
            <w:r w:rsidRPr="000F0299">
              <w:t>2x2=4</w:t>
            </w:r>
          </w:p>
        </w:tc>
        <w:tc>
          <w:tcPr>
            <w:tcW w:w="512" w:type="pct"/>
            <w:gridSpan w:val="2"/>
            <w:vAlign w:val="center"/>
          </w:tcPr>
          <w:p w14:paraId="60DC35D7" w14:textId="77777777" w:rsidR="009300FD" w:rsidRPr="000F0299" w:rsidRDefault="009300FD" w:rsidP="00DF2530">
            <w:pPr>
              <w:spacing w:before="0"/>
              <w:ind w:firstLine="0"/>
              <w:jc w:val="center"/>
              <w:rPr>
                <w:b/>
                <w:bCs/>
              </w:rPr>
            </w:pPr>
            <w:r w:rsidRPr="000F0299">
              <w:t>2x2=4</w:t>
            </w:r>
          </w:p>
        </w:tc>
        <w:tc>
          <w:tcPr>
            <w:tcW w:w="513" w:type="pct"/>
            <w:vAlign w:val="center"/>
          </w:tcPr>
          <w:p w14:paraId="7B0A7136" w14:textId="77777777" w:rsidR="009300FD" w:rsidRPr="000F0299" w:rsidRDefault="009300FD" w:rsidP="00DF2530">
            <w:pPr>
              <w:spacing w:before="0"/>
              <w:ind w:firstLine="0"/>
              <w:jc w:val="center"/>
              <w:rPr>
                <w:b/>
                <w:bCs/>
              </w:rPr>
            </w:pPr>
            <w:r w:rsidRPr="000F0299">
              <w:t>1x1=1</w:t>
            </w:r>
          </w:p>
        </w:tc>
      </w:tr>
      <w:tr w:rsidR="009300FD" w:rsidRPr="000F0299" w14:paraId="126E2520" w14:textId="77777777" w:rsidTr="00DF2530">
        <w:tc>
          <w:tcPr>
            <w:tcW w:w="2439" w:type="pct"/>
          </w:tcPr>
          <w:p w14:paraId="33D972DC" w14:textId="77777777" w:rsidR="009300FD" w:rsidRPr="000F0299" w:rsidRDefault="009300FD" w:rsidP="00DF2530">
            <w:pPr>
              <w:spacing w:before="0"/>
              <w:ind w:firstLine="0"/>
              <w:rPr>
                <w:b/>
                <w:bCs/>
              </w:rPr>
            </w:pPr>
            <w:r w:rsidRPr="000F0299">
              <w:t xml:space="preserve">Да ли се опција може </w:t>
            </w:r>
            <w:r>
              <w:t>спровести</w:t>
            </w:r>
            <w:r w:rsidRPr="000F0299">
              <w:t xml:space="preserve"> у кратком року?</w:t>
            </w:r>
          </w:p>
        </w:tc>
        <w:tc>
          <w:tcPr>
            <w:tcW w:w="512" w:type="pct"/>
            <w:gridSpan w:val="2"/>
            <w:vAlign w:val="center"/>
          </w:tcPr>
          <w:p w14:paraId="38183BFD" w14:textId="77777777" w:rsidR="009300FD" w:rsidRPr="000F0299" w:rsidRDefault="009300FD" w:rsidP="00DF2530">
            <w:pPr>
              <w:spacing w:before="0"/>
              <w:ind w:firstLine="0"/>
              <w:jc w:val="center"/>
              <w:rPr>
                <w:b/>
                <w:bCs/>
              </w:rPr>
            </w:pPr>
            <w:r w:rsidRPr="000F0299">
              <w:t>3x2=6</w:t>
            </w:r>
          </w:p>
        </w:tc>
        <w:tc>
          <w:tcPr>
            <w:tcW w:w="512" w:type="pct"/>
            <w:gridSpan w:val="2"/>
            <w:vAlign w:val="center"/>
          </w:tcPr>
          <w:p w14:paraId="14C21920" w14:textId="77777777" w:rsidR="009300FD" w:rsidRPr="000F0299" w:rsidRDefault="009300FD" w:rsidP="00DF2530">
            <w:pPr>
              <w:spacing w:before="0"/>
              <w:ind w:firstLine="0"/>
              <w:jc w:val="center"/>
              <w:rPr>
                <w:b/>
                <w:bCs/>
              </w:rPr>
            </w:pPr>
            <w:r w:rsidRPr="000F0299">
              <w:t>3x2=6</w:t>
            </w:r>
          </w:p>
        </w:tc>
        <w:tc>
          <w:tcPr>
            <w:tcW w:w="512" w:type="pct"/>
            <w:gridSpan w:val="2"/>
            <w:vAlign w:val="center"/>
          </w:tcPr>
          <w:p w14:paraId="754AADA6" w14:textId="77777777" w:rsidR="009300FD" w:rsidRPr="000F0299" w:rsidRDefault="009300FD" w:rsidP="00DF2530">
            <w:pPr>
              <w:spacing w:before="0"/>
              <w:ind w:firstLine="0"/>
              <w:jc w:val="center"/>
              <w:rPr>
                <w:b/>
                <w:bCs/>
              </w:rPr>
            </w:pPr>
            <w:r w:rsidRPr="000F0299">
              <w:t>2x2=4</w:t>
            </w:r>
          </w:p>
        </w:tc>
        <w:tc>
          <w:tcPr>
            <w:tcW w:w="512" w:type="pct"/>
            <w:gridSpan w:val="2"/>
            <w:vAlign w:val="center"/>
          </w:tcPr>
          <w:p w14:paraId="4CF4AF04" w14:textId="77777777" w:rsidR="009300FD" w:rsidRPr="000F0299" w:rsidRDefault="009300FD" w:rsidP="00DF2530">
            <w:pPr>
              <w:spacing w:before="0"/>
              <w:ind w:firstLine="0"/>
              <w:jc w:val="center"/>
              <w:rPr>
                <w:b/>
                <w:bCs/>
              </w:rPr>
            </w:pPr>
            <w:r w:rsidRPr="000F0299">
              <w:t>2x2=4</w:t>
            </w:r>
          </w:p>
        </w:tc>
        <w:tc>
          <w:tcPr>
            <w:tcW w:w="513" w:type="pct"/>
            <w:vAlign w:val="center"/>
          </w:tcPr>
          <w:p w14:paraId="61EB1414" w14:textId="77777777" w:rsidR="009300FD" w:rsidRPr="000F0299" w:rsidRDefault="009300FD" w:rsidP="00DF2530">
            <w:pPr>
              <w:spacing w:before="0"/>
              <w:ind w:firstLine="0"/>
              <w:jc w:val="center"/>
              <w:rPr>
                <w:b/>
                <w:bCs/>
              </w:rPr>
            </w:pPr>
            <w:r w:rsidRPr="000F0299">
              <w:t>2x2=4</w:t>
            </w:r>
          </w:p>
        </w:tc>
      </w:tr>
      <w:tr w:rsidR="009300FD" w:rsidRPr="000F0299" w14:paraId="1B533C57" w14:textId="77777777" w:rsidTr="00DF2530">
        <w:trPr>
          <w:trHeight w:val="499"/>
        </w:trPr>
        <w:tc>
          <w:tcPr>
            <w:tcW w:w="2439" w:type="pct"/>
            <w:shd w:val="clear" w:color="auto" w:fill="BFBFBF" w:themeFill="background1" w:themeFillShade="BF"/>
          </w:tcPr>
          <w:p w14:paraId="2692F8A5" w14:textId="77777777" w:rsidR="009300FD" w:rsidRPr="000F0299" w:rsidRDefault="009300FD" w:rsidP="00DF2530">
            <w:pPr>
              <w:spacing w:before="0"/>
              <w:ind w:firstLine="0"/>
              <w:rPr>
                <w:b/>
                <w:bCs/>
              </w:rPr>
            </w:pPr>
            <w:r w:rsidRPr="000F0299">
              <w:rPr>
                <w:b/>
                <w:bCs/>
              </w:rPr>
              <w:t>Укупно по опцијама</w:t>
            </w:r>
          </w:p>
        </w:tc>
        <w:tc>
          <w:tcPr>
            <w:tcW w:w="434" w:type="pct"/>
            <w:shd w:val="clear" w:color="auto" w:fill="BFBFBF" w:themeFill="background1" w:themeFillShade="BF"/>
            <w:vAlign w:val="center"/>
          </w:tcPr>
          <w:p w14:paraId="6F59985F" w14:textId="77777777" w:rsidR="009300FD" w:rsidRPr="000F0299" w:rsidRDefault="009300FD" w:rsidP="00DF2530">
            <w:pPr>
              <w:spacing w:before="0"/>
              <w:ind w:firstLine="0"/>
              <w:jc w:val="center"/>
              <w:rPr>
                <w:b/>
                <w:bCs/>
              </w:rPr>
            </w:pPr>
            <w:r w:rsidRPr="000F0299">
              <w:rPr>
                <w:b/>
                <w:bCs/>
              </w:rPr>
              <w:t>17</w:t>
            </w:r>
          </w:p>
        </w:tc>
        <w:tc>
          <w:tcPr>
            <w:tcW w:w="435" w:type="pct"/>
            <w:gridSpan w:val="2"/>
            <w:shd w:val="clear" w:color="auto" w:fill="BFBFBF" w:themeFill="background1" w:themeFillShade="BF"/>
            <w:vAlign w:val="center"/>
          </w:tcPr>
          <w:p w14:paraId="5B376AD2" w14:textId="77777777" w:rsidR="009300FD" w:rsidRPr="000F0299" w:rsidRDefault="009300FD" w:rsidP="00DF2530">
            <w:pPr>
              <w:spacing w:before="0"/>
              <w:ind w:firstLine="0"/>
              <w:jc w:val="center"/>
              <w:rPr>
                <w:b/>
                <w:bCs/>
              </w:rPr>
            </w:pPr>
            <w:r w:rsidRPr="000F0299">
              <w:rPr>
                <w:b/>
                <w:bCs/>
              </w:rPr>
              <w:t>25</w:t>
            </w:r>
          </w:p>
        </w:tc>
        <w:tc>
          <w:tcPr>
            <w:tcW w:w="449" w:type="pct"/>
            <w:gridSpan w:val="2"/>
            <w:shd w:val="clear" w:color="auto" w:fill="BFBFBF" w:themeFill="background1" w:themeFillShade="BF"/>
            <w:vAlign w:val="center"/>
          </w:tcPr>
          <w:p w14:paraId="7809F34C" w14:textId="77777777" w:rsidR="009300FD" w:rsidRPr="000F0299" w:rsidRDefault="009300FD" w:rsidP="00DF2530">
            <w:pPr>
              <w:spacing w:before="0"/>
              <w:ind w:firstLine="0"/>
              <w:jc w:val="center"/>
              <w:rPr>
                <w:b/>
                <w:bCs/>
              </w:rPr>
            </w:pPr>
            <w:r w:rsidRPr="000F0299">
              <w:rPr>
                <w:b/>
                <w:bCs/>
              </w:rPr>
              <w:t>26</w:t>
            </w:r>
          </w:p>
        </w:tc>
        <w:tc>
          <w:tcPr>
            <w:tcW w:w="620" w:type="pct"/>
            <w:gridSpan w:val="2"/>
            <w:shd w:val="clear" w:color="auto" w:fill="BFBFBF" w:themeFill="background1" w:themeFillShade="BF"/>
            <w:vAlign w:val="center"/>
          </w:tcPr>
          <w:p w14:paraId="30C791DD" w14:textId="77777777" w:rsidR="009300FD" w:rsidRPr="000F0299" w:rsidRDefault="009300FD" w:rsidP="00DF2530">
            <w:pPr>
              <w:spacing w:before="0"/>
              <w:ind w:firstLine="0"/>
              <w:jc w:val="center"/>
              <w:rPr>
                <w:b/>
                <w:bCs/>
              </w:rPr>
            </w:pPr>
            <w:r w:rsidRPr="000F0299">
              <w:rPr>
                <w:b/>
                <w:bCs/>
              </w:rPr>
              <w:t>26</w:t>
            </w:r>
          </w:p>
        </w:tc>
        <w:tc>
          <w:tcPr>
            <w:tcW w:w="623" w:type="pct"/>
            <w:gridSpan w:val="2"/>
            <w:shd w:val="clear" w:color="auto" w:fill="BFBFBF" w:themeFill="background1" w:themeFillShade="BF"/>
            <w:vAlign w:val="center"/>
          </w:tcPr>
          <w:p w14:paraId="73338A72" w14:textId="77777777" w:rsidR="009300FD" w:rsidRPr="000F0299" w:rsidRDefault="009300FD" w:rsidP="00DF2530">
            <w:pPr>
              <w:spacing w:before="0"/>
              <w:ind w:firstLine="0"/>
              <w:jc w:val="center"/>
              <w:rPr>
                <w:b/>
                <w:bCs/>
              </w:rPr>
            </w:pPr>
            <w:r w:rsidRPr="000F0299">
              <w:rPr>
                <w:b/>
                <w:bCs/>
              </w:rPr>
              <w:t>33</w:t>
            </w:r>
          </w:p>
        </w:tc>
      </w:tr>
    </w:tbl>
    <w:p w14:paraId="633E9212" w14:textId="77777777" w:rsidR="009300FD" w:rsidRPr="000F0299" w:rsidRDefault="009300FD" w:rsidP="009300FD">
      <w:pPr>
        <w:rPr>
          <w:rFonts w:eastAsia="Times New Roman"/>
        </w:rPr>
      </w:pPr>
      <w:r w:rsidRPr="000F0299">
        <w:t>На основу спроведене анализе и остварених бодова по одабраним критеријумима за остварење циља 2.2 одабрана је опција 5</w:t>
      </w:r>
      <w:r>
        <w:t>,</w:t>
      </w:r>
      <w:r w:rsidRPr="000F0299">
        <w:t xml:space="preserve"> која подразумева </w:t>
      </w:r>
      <w:r>
        <w:t xml:space="preserve">да се </w:t>
      </w:r>
      <w:r w:rsidRPr="000F0299">
        <w:t>процес управљања каријером запослених унапре</w:t>
      </w:r>
      <w:r>
        <w:t>ди</w:t>
      </w:r>
      <w:r w:rsidRPr="000F0299">
        <w:t xml:space="preserve"> кроз развој институционалних, административних и кадровских капацитета за </w:t>
      </w:r>
      <w:r w:rsidRPr="0079500C">
        <w:t>УЉР</w:t>
      </w:r>
      <w:r>
        <w:t xml:space="preserve"> </w:t>
      </w:r>
      <w:r w:rsidRPr="000F0299">
        <w:t xml:space="preserve">уз додељивање већих надлежности и улоге руководиоцима унутрашњих јединица, државним службеницима на положају и јединицама за </w:t>
      </w:r>
      <w:r w:rsidRPr="0079500C">
        <w:t>УЉР</w:t>
      </w:r>
      <w:r w:rsidRPr="000F0299">
        <w:t xml:space="preserve"> укључујући повећање броја запослених у њима, уз истовремено успостављање нових инструмената за </w:t>
      </w:r>
      <w:r w:rsidRPr="0079500C">
        <w:t>УЉР</w:t>
      </w:r>
      <w:r>
        <w:t xml:space="preserve"> </w:t>
      </w:r>
      <w:r w:rsidRPr="000F0299">
        <w:t xml:space="preserve">у пракси. Ова опција, с обзиром на комплексност и обухват теме разрађена </w:t>
      </w:r>
      <w:r>
        <w:t xml:space="preserve">је </w:t>
      </w:r>
      <w:r w:rsidRPr="000F0299">
        <w:t>кроз три конкретне, комплементарне мере које у синергији</w:t>
      </w:r>
      <w:r w:rsidRPr="000F0299">
        <w:rPr>
          <w:rFonts w:eastAsia="Times New Roman"/>
        </w:rPr>
        <w:t xml:space="preserve"> треба да покажу највеће ефекте у креирању и ефикасној примени система за управљање каријером.</w:t>
      </w:r>
    </w:p>
    <w:p w14:paraId="683447E5" w14:textId="781C9CD8" w:rsidR="003F3312" w:rsidRPr="000F0299" w:rsidRDefault="00F47F65" w:rsidP="00C013C7">
      <w:pPr>
        <w:pStyle w:val="Heading4"/>
        <w:rPr>
          <w:lang w:val="sr-Cyrl-RS"/>
        </w:rPr>
      </w:pPr>
      <w:hyperlink w:anchor="_Посебан_циљ_2.2" w:history="1">
        <w:r w:rsidR="008F3E2A" w:rsidRPr="00797D36">
          <w:rPr>
            <w:rStyle w:val="Hyperlink"/>
            <w:lang w:val="sr-Cyrl-RS"/>
          </w:rPr>
          <w:t>Мере за постизање посебног циља 2.2.</w:t>
        </w:r>
      </w:hyperlink>
    </w:p>
    <w:p w14:paraId="38B6FEDF" w14:textId="04921490" w:rsidR="003F3312" w:rsidRPr="000F0299" w:rsidRDefault="00C67B0B" w:rsidP="00244E7C">
      <w:pPr>
        <w:rPr>
          <w:b/>
          <w:bCs/>
        </w:rPr>
      </w:pPr>
      <w:bookmarkStart w:id="154" w:name="_Hlk56444956"/>
      <w:r w:rsidRPr="000F0299">
        <w:rPr>
          <w:b/>
          <w:bCs/>
        </w:rPr>
        <w:t>Meрa</w:t>
      </w:r>
      <w:r w:rsidR="003F3312" w:rsidRPr="000F0299">
        <w:rPr>
          <w:b/>
          <w:bCs/>
        </w:rPr>
        <w:t xml:space="preserve"> 2.2.1: Развој окружења за ефикасног, иновативног и мотивисаног државног службеника</w:t>
      </w:r>
    </w:p>
    <w:tbl>
      <w:tblPr>
        <w:tblW w:w="5000" w:type="pct"/>
        <w:tblLook w:val="00A0" w:firstRow="1" w:lastRow="0" w:firstColumn="1" w:lastColumn="0" w:noHBand="0" w:noVBand="0"/>
      </w:tblPr>
      <w:tblGrid>
        <w:gridCol w:w="364"/>
        <w:gridCol w:w="4905"/>
        <w:gridCol w:w="1984"/>
        <w:gridCol w:w="1984"/>
        <w:gridCol w:w="355"/>
      </w:tblGrid>
      <w:tr w:rsidR="008F3E2A" w:rsidRPr="000F0299" w14:paraId="078DE73B" w14:textId="77777777" w:rsidTr="009300FD">
        <w:trPr>
          <w:trHeight w:val="20"/>
        </w:trPr>
        <w:tc>
          <w:tcPr>
            <w:tcW w:w="190" w:type="pct"/>
            <w:tcBorders>
              <w:top w:val="single" w:sz="18" w:space="0" w:color="C00000"/>
              <w:left w:val="single" w:sz="18" w:space="0" w:color="C00000"/>
            </w:tcBorders>
            <w:shd w:val="clear" w:color="auto" w:fill="auto"/>
          </w:tcPr>
          <w:p w14:paraId="7D84C971" w14:textId="77777777" w:rsidR="008F3E2A" w:rsidRPr="000F0299" w:rsidRDefault="008F3E2A" w:rsidP="005A56DA">
            <w:pPr>
              <w:spacing w:before="0"/>
              <w:ind w:firstLine="0"/>
              <w:rPr>
                <w:b/>
                <w:bCs/>
                <w:sz w:val="16"/>
                <w:szCs w:val="16"/>
              </w:rPr>
            </w:pPr>
          </w:p>
        </w:tc>
        <w:tc>
          <w:tcPr>
            <w:tcW w:w="2557" w:type="pct"/>
            <w:tcBorders>
              <w:top w:val="single" w:sz="18" w:space="0" w:color="C00000"/>
            </w:tcBorders>
            <w:shd w:val="clear" w:color="auto" w:fill="auto"/>
          </w:tcPr>
          <w:p w14:paraId="6A31008A" w14:textId="77777777" w:rsidR="008F3E2A" w:rsidRPr="000F0299" w:rsidRDefault="008F3E2A" w:rsidP="005A56DA">
            <w:pPr>
              <w:spacing w:before="0"/>
              <w:ind w:firstLine="0"/>
              <w:rPr>
                <w:b/>
                <w:bCs/>
                <w:sz w:val="16"/>
                <w:szCs w:val="16"/>
              </w:rPr>
            </w:pPr>
          </w:p>
        </w:tc>
        <w:tc>
          <w:tcPr>
            <w:tcW w:w="1034" w:type="pct"/>
            <w:tcBorders>
              <w:top w:val="single" w:sz="18" w:space="0" w:color="C00000"/>
            </w:tcBorders>
            <w:shd w:val="clear" w:color="auto" w:fill="auto"/>
            <w:vAlign w:val="center"/>
          </w:tcPr>
          <w:p w14:paraId="74EE9E26" w14:textId="77777777" w:rsidR="008F3E2A" w:rsidRPr="000F0299" w:rsidRDefault="008F3E2A" w:rsidP="005A56DA">
            <w:pPr>
              <w:spacing w:before="0"/>
              <w:ind w:firstLine="0"/>
              <w:jc w:val="center"/>
              <w:rPr>
                <w:b/>
                <w:bCs/>
                <w:sz w:val="16"/>
                <w:szCs w:val="16"/>
              </w:rPr>
            </w:pPr>
          </w:p>
        </w:tc>
        <w:tc>
          <w:tcPr>
            <w:tcW w:w="1034" w:type="pct"/>
            <w:tcBorders>
              <w:top w:val="single" w:sz="18" w:space="0" w:color="C00000"/>
            </w:tcBorders>
            <w:shd w:val="clear" w:color="auto" w:fill="auto"/>
            <w:vAlign w:val="center"/>
          </w:tcPr>
          <w:p w14:paraId="013606DA" w14:textId="77777777" w:rsidR="008F3E2A" w:rsidRPr="000F0299" w:rsidRDefault="008F3E2A" w:rsidP="005A56DA">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10B1942B" w14:textId="77777777" w:rsidR="008F3E2A" w:rsidRPr="000F0299" w:rsidRDefault="008F3E2A" w:rsidP="005A56DA">
            <w:pPr>
              <w:spacing w:before="0"/>
              <w:ind w:firstLine="0"/>
              <w:jc w:val="center"/>
              <w:rPr>
                <w:b/>
                <w:bCs/>
                <w:sz w:val="16"/>
                <w:szCs w:val="16"/>
              </w:rPr>
            </w:pPr>
          </w:p>
        </w:tc>
      </w:tr>
      <w:tr w:rsidR="008F3E2A" w:rsidRPr="000F0299" w14:paraId="5EB72DBC" w14:textId="77777777" w:rsidTr="009300FD">
        <w:trPr>
          <w:trHeight w:val="490"/>
        </w:trPr>
        <w:tc>
          <w:tcPr>
            <w:tcW w:w="190" w:type="pct"/>
            <w:tcBorders>
              <w:left w:val="single" w:sz="18" w:space="0" w:color="C00000"/>
            </w:tcBorders>
            <w:shd w:val="clear" w:color="auto" w:fill="auto"/>
          </w:tcPr>
          <w:p w14:paraId="69EC647C" w14:textId="77777777" w:rsidR="008F3E2A" w:rsidRPr="000F0299" w:rsidRDefault="008F3E2A" w:rsidP="005A56DA">
            <w:pPr>
              <w:spacing w:before="0"/>
              <w:ind w:firstLine="0"/>
              <w:rPr>
                <w:b/>
                <w:bCs/>
              </w:rPr>
            </w:pPr>
          </w:p>
        </w:tc>
        <w:tc>
          <w:tcPr>
            <w:tcW w:w="2557" w:type="pct"/>
            <w:tcBorders>
              <w:left w:val="nil"/>
              <w:bottom w:val="single" w:sz="18" w:space="0" w:color="C00000"/>
              <w:right w:val="single" w:sz="18" w:space="0" w:color="D9D9D9" w:themeColor="background1" w:themeShade="D9"/>
            </w:tcBorders>
            <w:shd w:val="clear" w:color="auto" w:fill="auto"/>
          </w:tcPr>
          <w:p w14:paraId="2CD7EB63" w14:textId="77777777" w:rsidR="008F3E2A" w:rsidRPr="000F0299" w:rsidRDefault="008F3E2A" w:rsidP="005A56DA">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726DFA32" w14:textId="77777777" w:rsidR="008F3E2A" w:rsidRPr="000F0299" w:rsidRDefault="008F3E2A" w:rsidP="005A56DA">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00244A14" w14:textId="77777777" w:rsidR="008F3E2A" w:rsidRPr="000F0299" w:rsidRDefault="008F3E2A" w:rsidP="005A56DA">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0B3A82C3" w14:textId="77777777" w:rsidR="008F3E2A" w:rsidRPr="000F0299" w:rsidRDefault="008F3E2A" w:rsidP="005A56DA">
            <w:pPr>
              <w:spacing w:before="0"/>
              <w:ind w:firstLine="0"/>
              <w:jc w:val="center"/>
              <w:rPr>
                <w:b/>
                <w:bCs/>
              </w:rPr>
            </w:pPr>
          </w:p>
        </w:tc>
      </w:tr>
      <w:tr w:rsidR="008F3E2A" w:rsidRPr="000F0299" w14:paraId="0D29743D" w14:textId="77777777" w:rsidTr="009300FD">
        <w:trPr>
          <w:trHeight w:val="380"/>
        </w:trPr>
        <w:tc>
          <w:tcPr>
            <w:tcW w:w="190" w:type="pct"/>
            <w:tcBorders>
              <w:left w:val="single" w:sz="18" w:space="0" w:color="C00000"/>
            </w:tcBorders>
            <w:shd w:val="clear" w:color="auto" w:fill="auto"/>
          </w:tcPr>
          <w:p w14:paraId="346264AC" w14:textId="77777777" w:rsidR="008F3E2A" w:rsidRPr="000F0299" w:rsidRDefault="008F3E2A" w:rsidP="005A56DA">
            <w:pPr>
              <w:spacing w:before="0"/>
              <w:ind w:firstLine="0"/>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3DBCEDCE" w14:textId="417BBF92" w:rsidR="008F3E2A" w:rsidRPr="000F0299" w:rsidRDefault="008F3E2A" w:rsidP="005A56DA">
            <w:pPr>
              <w:spacing w:before="0"/>
              <w:ind w:firstLine="0"/>
            </w:pPr>
            <w:r w:rsidRPr="000F0299">
              <w:t>Дистрибуција исхода вредновања радне успешности одговара стандардима УЉР</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13FBD114" w14:textId="1CE2D826" w:rsidR="008F3E2A" w:rsidRPr="000F0299" w:rsidRDefault="008F3E2A" w:rsidP="005A56DA">
            <w:pPr>
              <w:spacing w:before="0"/>
              <w:ind w:firstLine="0"/>
            </w:pPr>
            <w:r w:rsidRPr="000F0299">
              <w:t>(2020): 70%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3E90AC8E" w14:textId="4404A265" w:rsidR="008F3E2A" w:rsidRPr="000F0299" w:rsidRDefault="008F3E2A" w:rsidP="005A56DA">
            <w:pPr>
              <w:spacing w:before="0"/>
              <w:ind w:firstLine="0"/>
            </w:pPr>
            <w:r w:rsidRPr="000F0299">
              <w:t>(2021): 70%</w:t>
            </w:r>
          </w:p>
          <w:p w14:paraId="4F389794" w14:textId="59F3056A" w:rsidR="008F3E2A" w:rsidRPr="000F0299" w:rsidRDefault="008F3E2A" w:rsidP="005A56DA">
            <w:pPr>
              <w:spacing w:before="0"/>
              <w:ind w:firstLine="0"/>
            </w:pPr>
            <w:r w:rsidRPr="000F0299">
              <w:t xml:space="preserve">(2022): </w:t>
            </w:r>
            <w:r w:rsidRPr="000F0299">
              <w:rPr>
                <w:lang w:eastAsia="de-DE"/>
              </w:rPr>
              <w:t>&lt;70%</w:t>
            </w:r>
          </w:p>
          <w:p w14:paraId="491BFA5B" w14:textId="24FED67B" w:rsidR="008F3E2A" w:rsidRPr="000F0299" w:rsidRDefault="008F3E2A" w:rsidP="005A56DA">
            <w:pPr>
              <w:spacing w:before="0"/>
              <w:ind w:firstLine="0"/>
            </w:pPr>
            <w:r w:rsidRPr="000F0299">
              <w:t xml:space="preserve">(2023): </w:t>
            </w:r>
            <w:r w:rsidRPr="000F0299">
              <w:rPr>
                <w:lang w:eastAsia="de-DE"/>
              </w:rPr>
              <w:t>&lt;65%</w:t>
            </w:r>
          </w:p>
          <w:p w14:paraId="51605CFC" w14:textId="63E6A622" w:rsidR="008F3E2A" w:rsidRPr="000F0299" w:rsidRDefault="008F3E2A" w:rsidP="005A56DA">
            <w:pPr>
              <w:spacing w:before="0"/>
              <w:ind w:firstLine="0"/>
            </w:pPr>
            <w:r w:rsidRPr="000F0299">
              <w:t xml:space="preserve">(2024): </w:t>
            </w:r>
            <w:r w:rsidRPr="000F0299">
              <w:rPr>
                <w:lang w:eastAsia="de-DE"/>
              </w:rPr>
              <w:t>50-55%</w:t>
            </w:r>
          </w:p>
          <w:p w14:paraId="78DC06E9" w14:textId="7D6077C4" w:rsidR="008F3E2A" w:rsidRPr="000F0299" w:rsidRDefault="008F3E2A" w:rsidP="005A56DA">
            <w:pPr>
              <w:spacing w:before="0"/>
              <w:ind w:firstLine="0"/>
            </w:pPr>
            <w:r w:rsidRPr="000F0299">
              <w:t xml:space="preserve">(2025): </w:t>
            </w:r>
            <w:r w:rsidRPr="000F0299">
              <w:rPr>
                <w:lang w:eastAsia="de-DE"/>
              </w:rPr>
              <w:t>40-45%</w:t>
            </w:r>
          </w:p>
          <w:p w14:paraId="2C0210E8" w14:textId="2B75723B" w:rsidR="008F3E2A" w:rsidRPr="000F0299" w:rsidRDefault="008F3E2A" w:rsidP="005A56DA">
            <w:pPr>
              <w:spacing w:before="0"/>
              <w:ind w:firstLine="0"/>
            </w:pPr>
            <w:r w:rsidRPr="000F0299">
              <w:t xml:space="preserve">(2027): </w:t>
            </w:r>
            <w:r w:rsidRPr="000F0299">
              <w:rPr>
                <w:lang w:eastAsia="de-DE"/>
              </w:rPr>
              <w:t>&lt;35%</w:t>
            </w:r>
          </w:p>
          <w:p w14:paraId="664F5C49" w14:textId="7C2862E9" w:rsidR="008F3E2A" w:rsidRPr="000F0299" w:rsidRDefault="008F3E2A" w:rsidP="005A56DA">
            <w:pPr>
              <w:spacing w:before="0"/>
              <w:ind w:firstLine="0"/>
            </w:pPr>
            <w:r w:rsidRPr="000F0299">
              <w:t xml:space="preserve">(2030): </w:t>
            </w:r>
            <w:r w:rsidRPr="000F0299">
              <w:rPr>
                <w:lang w:eastAsia="de-DE"/>
              </w:rPr>
              <w:t>&lt;35%</w:t>
            </w:r>
          </w:p>
        </w:tc>
        <w:tc>
          <w:tcPr>
            <w:tcW w:w="185" w:type="pct"/>
            <w:tcBorders>
              <w:right w:val="single" w:sz="18" w:space="0" w:color="C00000"/>
            </w:tcBorders>
            <w:shd w:val="clear" w:color="auto" w:fill="auto"/>
          </w:tcPr>
          <w:p w14:paraId="0D944BB7" w14:textId="77777777" w:rsidR="008F3E2A" w:rsidRPr="000F0299" w:rsidRDefault="008F3E2A" w:rsidP="005A56DA">
            <w:pPr>
              <w:spacing w:before="0"/>
              <w:ind w:firstLine="0"/>
            </w:pPr>
          </w:p>
        </w:tc>
      </w:tr>
      <w:tr w:rsidR="008F3E2A" w:rsidRPr="000F0299" w14:paraId="2E528A0A" w14:textId="77777777" w:rsidTr="009300FD">
        <w:trPr>
          <w:trHeight w:val="340"/>
        </w:trPr>
        <w:tc>
          <w:tcPr>
            <w:tcW w:w="190" w:type="pct"/>
            <w:tcBorders>
              <w:left w:val="single" w:sz="18" w:space="0" w:color="C00000"/>
              <w:bottom w:val="single" w:sz="18" w:space="0" w:color="C00000"/>
            </w:tcBorders>
            <w:shd w:val="clear" w:color="auto" w:fill="auto"/>
          </w:tcPr>
          <w:p w14:paraId="0A5D09F3" w14:textId="77777777" w:rsidR="008F3E2A" w:rsidRPr="000F0299" w:rsidRDefault="008F3E2A" w:rsidP="005A56DA">
            <w:pPr>
              <w:spacing w:before="0"/>
              <w:ind w:firstLine="0"/>
              <w:rPr>
                <w:sz w:val="16"/>
                <w:szCs w:val="16"/>
              </w:rPr>
            </w:pPr>
          </w:p>
        </w:tc>
        <w:tc>
          <w:tcPr>
            <w:tcW w:w="2557" w:type="pct"/>
            <w:tcBorders>
              <w:top w:val="single" w:sz="18" w:space="0" w:color="D9D9D9" w:themeColor="background1" w:themeShade="D9"/>
              <w:bottom w:val="single" w:sz="18" w:space="0" w:color="C00000"/>
            </w:tcBorders>
            <w:shd w:val="clear" w:color="auto" w:fill="auto"/>
          </w:tcPr>
          <w:p w14:paraId="2E537530" w14:textId="77777777" w:rsidR="008F3E2A" w:rsidRPr="000F0299" w:rsidRDefault="008F3E2A"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52C377F8" w14:textId="77777777" w:rsidR="008F3E2A" w:rsidRPr="000F0299" w:rsidRDefault="008F3E2A"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2FDE5483" w14:textId="77777777" w:rsidR="008F3E2A" w:rsidRPr="000F0299" w:rsidRDefault="008F3E2A" w:rsidP="005A56DA">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7F5D033F" w14:textId="77777777" w:rsidR="008F3E2A" w:rsidRPr="000F0299" w:rsidRDefault="008F3E2A" w:rsidP="005A56DA">
            <w:pPr>
              <w:spacing w:before="0"/>
              <w:ind w:firstLine="0"/>
              <w:rPr>
                <w:sz w:val="16"/>
                <w:szCs w:val="16"/>
              </w:rPr>
            </w:pPr>
          </w:p>
        </w:tc>
      </w:tr>
    </w:tbl>
    <w:p w14:paraId="6F4CB123" w14:textId="77777777" w:rsidR="009300FD" w:rsidRPr="000F0299" w:rsidRDefault="009300FD" w:rsidP="009300FD">
      <w:bookmarkStart w:id="155" w:name="_Hlk56444813"/>
      <w:bookmarkEnd w:id="154"/>
      <w:r w:rsidRPr="000F0299">
        <w:t>Средњорочн</w:t>
      </w:r>
      <w:r>
        <w:t>о гледано</w:t>
      </w:r>
      <w:r w:rsidRPr="000F0299">
        <w:t xml:space="preserve"> (2021</w:t>
      </w:r>
      <w:r>
        <w:t>–</w:t>
      </w:r>
      <w:r w:rsidRPr="000F0299">
        <w:t>2025)</w:t>
      </w:r>
      <w:r>
        <w:t>,</w:t>
      </w:r>
      <w:r w:rsidRPr="000F0299">
        <w:t xml:space="preserve"> ов</w:t>
      </w:r>
      <w:r>
        <w:t>а</w:t>
      </w:r>
      <w:r w:rsidRPr="000F0299">
        <w:t xml:space="preserve"> мер</w:t>
      </w:r>
      <w:r>
        <w:t>а је усмерена</w:t>
      </w:r>
      <w:r w:rsidRPr="000F0299">
        <w:t xml:space="preserve"> на припрему студије о могућим каријерним моделима у државној управи с препорукама за примену</w:t>
      </w:r>
      <w:r>
        <w:t xml:space="preserve"> тих модела</w:t>
      </w:r>
      <w:r w:rsidRPr="000F0299">
        <w:t xml:space="preserve">, успостављање система управљања талентима и </w:t>
      </w:r>
      <w:r>
        <w:t xml:space="preserve">припрему </w:t>
      </w:r>
      <w:r w:rsidRPr="000F0299">
        <w:t xml:space="preserve">предлога за интеграцију у прописе, </w:t>
      </w:r>
      <w:r>
        <w:t>спровођење</w:t>
      </w:r>
      <w:r w:rsidRPr="000F0299">
        <w:t xml:space="preserve"> реформе система плата, израд</w:t>
      </w:r>
      <w:r>
        <w:t>у</w:t>
      </w:r>
      <w:r w:rsidRPr="000F0299">
        <w:t xml:space="preserve"> анализе функције УЉР у јавним агенцијама, </w:t>
      </w:r>
      <w:r>
        <w:t xml:space="preserve">као и на </w:t>
      </w:r>
      <w:r w:rsidRPr="000F0299">
        <w:t>даљи развој оквира компетенција. Фокус ће бити стављен и на израду студије о флексибилним моделима радног ангажовања.</w:t>
      </w:r>
    </w:p>
    <w:p w14:paraId="6C346E18" w14:textId="77777777" w:rsidR="009300FD" w:rsidRPr="000F0299" w:rsidRDefault="009300FD" w:rsidP="009300FD">
      <w:pPr>
        <w:rPr>
          <w:color w:val="FF0000"/>
        </w:rPr>
      </w:pPr>
      <w:r w:rsidRPr="000F0299">
        <w:t>Дугорочн</w:t>
      </w:r>
      <w:r>
        <w:t>о гледано</w:t>
      </w:r>
      <w:r w:rsidRPr="000F0299">
        <w:t xml:space="preserve"> (2026</w:t>
      </w:r>
      <w:r>
        <w:t>–</w:t>
      </w:r>
      <w:r w:rsidRPr="000F0299">
        <w:t>2030)</w:t>
      </w:r>
      <w:r>
        <w:t>,</w:t>
      </w:r>
      <w:r w:rsidRPr="000F0299">
        <w:t xml:space="preserve"> ов</w:t>
      </w:r>
      <w:r>
        <w:t>а</w:t>
      </w:r>
      <w:r w:rsidRPr="000F0299">
        <w:t xml:space="preserve"> мер</w:t>
      </w:r>
      <w:r>
        <w:t>а</w:t>
      </w:r>
      <w:r w:rsidRPr="000F0299">
        <w:t xml:space="preserve"> </w:t>
      </w:r>
      <w:r>
        <w:t xml:space="preserve">је усмерена </w:t>
      </w:r>
      <w:r w:rsidRPr="000F0299">
        <w:t xml:space="preserve">на примену креираних каријерних модела за различите категорије државних службеника, посебно </w:t>
      </w:r>
      <w:r>
        <w:t xml:space="preserve">за државне службенике на </w:t>
      </w:r>
      <w:r w:rsidRPr="000F0299">
        <w:t>положај</w:t>
      </w:r>
      <w:r>
        <w:t>у</w:t>
      </w:r>
      <w:r w:rsidRPr="000F0299">
        <w:t xml:space="preserve"> и тален</w:t>
      </w:r>
      <w:r>
        <w:t xml:space="preserve">те како би се </w:t>
      </w:r>
      <w:r w:rsidRPr="000F0299">
        <w:t>разв</w:t>
      </w:r>
      <w:r>
        <w:t xml:space="preserve">ијале </w:t>
      </w:r>
      <w:r w:rsidRPr="000F0299">
        <w:t>компетенциј</w:t>
      </w:r>
      <w:r>
        <w:t>е</w:t>
      </w:r>
      <w:r w:rsidRPr="000F0299">
        <w:t xml:space="preserve"> за будућност и ств</w:t>
      </w:r>
      <w:r>
        <w:t xml:space="preserve">орила </w:t>
      </w:r>
      <w:r w:rsidRPr="000F0299">
        <w:t>баз</w:t>
      </w:r>
      <w:r>
        <w:t>а</w:t>
      </w:r>
      <w:r w:rsidRPr="000F0299">
        <w:t xml:space="preserve"> талената</w:t>
      </w:r>
      <w:r>
        <w:t>, оних</w:t>
      </w:r>
      <w:r w:rsidRPr="000F0299">
        <w:t xml:space="preserve"> који ће бити носиоци промена и иновација</w:t>
      </w:r>
      <w:r>
        <w:t xml:space="preserve"> и како би се они </w:t>
      </w:r>
      <w:r w:rsidRPr="000F0299">
        <w:t>задржа</w:t>
      </w:r>
      <w:r>
        <w:t>ли</w:t>
      </w:r>
      <w:r w:rsidRPr="000F0299">
        <w:t xml:space="preserve"> у државним органима у којима ће остварити своје каријерне циљеве.</w:t>
      </w:r>
      <w:r w:rsidRPr="000F0299">
        <w:rPr>
          <w:color w:val="FF0000"/>
        </w:rPr>
        <w:t xml:space="preserve"> </w:t>
      </w:r>
    </w:p>
    <w:p w14:paraId="5A533A72" w14:textId="51DF0FEB" w:rsidR="003F3312" w:rsidRPr="000F0299" w:rsidRDefault="00C67B0B" w:rsidP="00244E7C">
      <w:pPr>
        <w:rPr>
          <w:b/>
          <w:bCs/>
        </w:rPr>
      </w:pPr>
      <w:r w:rsidRPr="000F0299">
        <w:rPr>
          <w:b/>
          <w:bCs/>
        </w:rPr>
        <w:t>Meрa</w:t>
      </w:r>
      <w:r w:rsidR="003F3312" w:rsidRPr="000F0299">
        <w:rPr>
          <w:b/>
          <w:bCs/>
        </w:rPr>
        <w:t xml:space="preserve"> 2.2.2.: Развој институционалних и административних капацитета за управљање људским ресурсима</w:t>
      </w:r>
      <w:bookmarkEnd w:id="155"/>
    </w:p>
    <w:tbl>
      <w:tblPr>
        <w:tblW w:w="5000" w:type="pct"/>
        <w:tblLook w:val="00A0" w:firstRow="1" w:lastRow="0" w:firstColumn="1" w:lastColumn="0" w:noHBand="0" w:noVBand="0"/>
      </w:tblPr>
      <w:tblGrid>
        <w:gridCol w:w="364"/>
        <w:gridCol w:w="4905"/>
        <w:gridCol w:w="1984"/>
        <w:gridCol w:w="1984"/>
        <w:gridCol w:w="355"/>
      </w:tblGrid>
      <w:tr w:rsidR="0029542A" w:rsidRPr="000F0299" w14:paraId="15D7C92C" w14:textId="77777777" w:rsidTr="00741724">
        <w:trPr>
          <w:trHeight w:val="20"/>
        </w:trPr>
        <w:tc>
          <w:tcPr>
            <w:tcW w:w="190" w:type="pct"/>
            <w:tcBorders>
              <w:top w:val="single" w:sz="18" w:space="0" w:color="C00000"/>
              <w:left w:val="single" w:sz="18" w:space="0" w:color="C00000"/>
            </w:tcBorders>
            <w:shd w:val="clear" w:color="auto" w:fill="auto"/>
          </w:tcPr>
          <w:p w14:paraId="106660C7" w14:textId="77777777" w:rsidR="0029542A" w:rsidRPr="000F0299" w:rsidRDefault="0029542A" w:rsidP="005A56DA">
            <w:pPr>
              <w:spacing w:before="0"/>
              <w:ind w:firstLine="0"/>
              <w:rPr>
                <w:b/>
                <w:bCs/>
                <w:sz w:val="16"/>
                <w:szCs w:val="16"/>
              </w:rPr>
            </w:pPr>
          </w:p>
        </w:tc>
        <w:tc>
          <w:tcPr>
            <w:tcW w:w="2557" w:type="pct"/>
            <w:tcBorders>
              <w:top w:val="single" w:sz="18" w:space="0" w:color="C00000"/>
            </w:tcBorders>
            <w:shd w:val="clear" w:color="auto" w:fill="auto"/>
          </w:tcPr>
          <w:p w14:paraId="429B7B6C" w14:textId="77777777" w:rsidR="0029542A" w:rsidRPr="000F0299" w:rsidRDefault="0029542A" w:rsidP="005A56DA">
            <w:pPr>
              <w:spacing w:before="0"/>
              <w:ind w:firstLine="0"/>
              <w:rPr>
                <w:b/>
                <w:bCs/>
                <w:sz w:val="16"/>
                <w:szCs w:val="16"/>
              </w:rPr>
            </w:pPr>
          </w:p>
        </w:tc>
        <w:tc>
          <w:tcPr>
            <w:tcW w:w="1034" w:type="pct"/>
            <w:tcBorders>
              <w:top w:val="single" w:sz="18" w:space="0" w:color="C00000"/>
            </w:tcBorders>
            <w:shd w:val="clear" w:color="auto" w:fill="auto"/>
            <w:vAlign w:val="center"/>
          </w:tcPr>
          <w:p w14:paraId="61DAC2DD" w14:textId="77777777" w:rsidR="0029542A" w:rsidRPr="000F0299" w:rsidRDefault="0029542A" w:rsidP="005A56DA">
            <w:pPr>
              <w:spacing w:before="0"/>
              <w:ind w:firstLine="0"/>
              <w:jc w:val="center"/>
              <w:rPr>
                <w:b/>
                <w:bCs/>
                <w:sz w:val="16"/>
                <w:szCs w:val="16"/>
              </w:rPr>
            </w:pPr>
          </w:p>
        </w:tc>
        <w:tc>
          <w:tcPr>
            <w:tcW w:w="1034" w:type="pct"/>
            <w:tcBorders>
              <w:top w:val="single" w:sz="18" w:space="0" w:color="C00000"/>
            </w:tcBorders>
            <w:shd w:val="clear" w:color="auto" w:fill="auto"/>
            <w:vAlign w:val="center"/>
          </w:tcPr>
          <w:p w14:paraId="20726FF4" w14:textId="77777777" w:rsidR="0029542A" w:rsidRPr="000F0299" w:rsidRDefault="0029542A" w:rsidP="005A56DA">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613DAB0C" w14:textId="77777777" w:rsidR="0029542A" w:rsidRPr="000F0299" w:rsidRDefault="0029542A" w:rsidP="005A56DA">
            <w:pPr>
              <w:spacing w:before="0"/>
              <w:ind w:firstLine="0"/>
              <w:jc w:val="center"/>
              <w:rPr>
                <w:b/>
                <w:bCs/>
                <w:sz w:val="16"/>
                <w:szCs w:val="16"/>
              </w:rPr>
            </w:pPr>
          </w:p>
        </w:tc>
      </w:tr>
      <w:tr w:rsidR="0029542A" w:rsidRPr="000F0299" w14:paraId="30E9826A" w14:textId="77777777" w:rsidTr="00741724">
        <w:trPr>
          <w:trHeight w:val="490"/>
        </w:trPr>
        <w:tc>
          <w:tcPr>
            <w:tcW w:w="190" w:type="pct"/>
            <w:tcBorders>
              <w:left w:val="single" w:sz="18" w:space="0" w:color="C00000"/>
            </w:tcBorders>
            <w:shd w:val="clear" w:color="auto" w:fill="auto"/>
          </w:tcPr>
          <w:p w14:paraId="124D6059" w14:textId="77777777" w:rsidR="0029542A" w:rsidRPr="000F0299" w:rsidRDefault="0029542A" w:rsidP="005A56DA">
            <w:pPr>
              <w:spacing w:before="0"/>
              <w:ind w:firstLine="0"/>
              <w:rPr>
                <w:b/>
                <w:bCs/>
              </w:rPr>
            </w:pPr>
          </w:p>
        </w:tc>
        <w:tc>
          <w:tcPr>
            <w:tcW w:w="2557" w:type="pct"/>
            <w:tcBorders>
              <w:left w:val="nil"/>
              <w:bottom w:val="single" w:sz="18" w:space="0" w:color="C00000"/>
              <w:right w:val="single" w:sz="18" w:space="0" w:color="D9D9D9" w:themeColor="background1" w:themeShade="D9"/>
            </w:tcBorders>
            <w:shd w:val="clear" w:color="auto" w:fill="auto"/>
          </w:tcPr>
          <w:p w14:paraId="3D75F51F" w14:textId="77777777" w:rsidR="0029542A" w:rsidRPr="000F0299" w:rsidRDefault="0029542A" w:rsidP="005A56DA">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71498857" w14:textId="77777777" w:rsidR="0029542A" w:rsidRPr="000F0299" w:rsidRDefault="0029542A" w:rsidP="005A56DA">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2D0068E5" w14:textId="77777777" w:rsidR="0029542A" w:rsidRPr="000F0299" w:rsidRDefault="0029542A" w:rsidP="005A56DA">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03C4D344" w14:textId="77777777" w:rsidR="0029542A" w:rsidRPr="000F0299" w:rsidRDefault="0029542A" w:rsidP="005A56DA">
            <w:pPr>
              <w:spacing w:before="0"/>
              <w:ind w:firstLine="0"/>
              <w:jc w:val="center"/>
              <w:rPr>
                <w:b/>
                <w:bCs/>
              </w:rPr>
            </w:pPr>
          </w:p>
        </w:tc>
      </w:tr>
      <w:tr w:rsidR="0029542A" w:rsidRPr="000F0299" w14:paraId="5D247747" w14:textId="77777777" w:rsidTr="00741724">
        <w:trPr>
          <w:trHeight w:val="380"/>
        </w:trPr>
        <w:tc>
          <w:tcPr>
            <w:tcW w:w="190" w:type="pct"/>
            <w:tcBorders>
              <w:left w:val="single" w:sz="18" w:space="0" w:color="C00000"/>
            </w:tcBorders>
            <w:shd w:val="clear" w:color="auto" w:fill="auto"/>
          </w:tcPr>
          <w:p w14:paraId="093CE484" w14:textId="77777777" w:rsidR="0029542A" w:rsidRPr="000F0299" w:rsidRDefault="0029542A" w:rsidP="005A56DA">
            <w:pPr>
              <w:spacing w:before="0"/>
              <w:ind w:firstLine="0"/>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001764CA" w14:textId="77777777" w:rsidR="0029542A" w:rsidRPr="000F0299" w:rsidRDefault="0029542A" w:rsidP="005A56DA">
            <w:pPr>
              <w:spacing w:before="0"/>
              <w:ind w:firstLine="0"/>
            </w:pPr>
            <w:r w:rsidRPr="000F0299">
              <w:t>Степен у коме је извршена стандардизација кадровских послова у државним органима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1C823BC7" w14:textId="77777777" w:rsidR="0029542A" w:rsidRPr="000F0299" w:rsidRDefault="0029542A" w:rsidP="005A56DA">
            <w:pPr>
              <w:spacing w:before="0"/>
              <w:ind w:firstLine="0"/>
            </w:pPr>
            <w:r w:rsidRPr="000F0299">
              <w:t>(2020): 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4B3C0315" w14:textId="77777777" w:rsidR="0029542A" w:rsidRPr="000F0299" w:rsidRDefault="0029542A" w:rsidP="005A56DA">
            <w:pPr>
              <w:spacing w:before="0"/>
              <w:ind w:firstLine="0"/>
            </w:pPr>
            <w:r w:rsidRPr="000F0299">
              <w:t>(2021): 1</w:t>
            </w:r>
          </w:p>
          <w:p w14:paraId="584F102C" w14:textId="77777777" w:rsidR="0029542A" w:rsidRPr="000F0299" w:rsidRDefault="0029542A" w:rsidP="005A56DA">
            <w:pPr>
              <w:spacing w:before="0"/>
              <w:ind w:firstLine="0"/>
            </w:pPr>
            <w:r w:rsidRPr="000F0299">
              <w:t>(2022): 2</w:t>
            </w:r>
          </w:p>
          <w:p w14:paraId="6C2C5620" w14:textId="77777777" w:rsidR="0029542A" w:rsidRPr="000F0299" w:rsidRDefault="0029542A" w:rsidP="005A56DA">
            <w:pPr>
              <w:spacing w:before="0"/>
              <w:ind w:firstLine="0"/>
            </w:pPr>
            <w:r w:rsidRPr="000F0299">
              <w:t>(2023): 3</w:t>
            </w:r>
          </w:p>
          <w:p w14:paraId="7BF10A46" w14:textId="77777777" w:rsidR="0029542A" w:rsidRPr="000F0299" w:rsidRDefault="0029542A" w:rsidP="005A56DA">
            <w:pPr>
              <w:spacing w:before="0"/>
              <w:ind w:firstLine="0"/>
            </w:pPr>
            <w:r w:rsidRPr="000F0299">
              <w:t>(2024): 4</w:t>
            </w:r>
          </w:p>
          <w:p w14:paraId="69241AFC" w14:textId="77777777" w:rsidR="0029542A" w:rsidRPr="000F0299" w:rsidRDefault="0029542A" w:rsidP="005A56DA">
            <w:pPr>
              <w:spacing w:before="0"/>
              <w:ind w:firstLine="0"/>
            </w:pPr>
            <w:r w:rsidRPr="000F0299">
              <w:t xml:space="preserve">(2025): </w:t>
            </w:r>
            <w:r w:rsidRPr="000F0299">
              <w:rPr>
                <w:lang w:eastAsia="de-DE"/>
              </w:rPr>
              <w:t>4</w:t>
            </w:r>
          </w:p>
          <w:p w14:paraId="292C239E" w14:textId="77777777" w:rsidR="0029542A" w:rsidRPr="000F0299" w:rsidRDefault="0029542A" w:rsidP="005A56DA">
            <w:pPr>
              <w:spacing w:before="0"/>
              <w:ind w:firstLine="0"/>
            </w:pPr>
            <w:r w:rsidRPr="000F0299">
              <w:t>(2027): 4</w:t>
            </w:r>
          </w:p>
          <w:p w14:paraId="1D5F37B9" w14:textId="77777777" w:rsidR="0029542A" w:rsidRPr="000F0299" w:rsidRDefault="0029542A" w:rsidP="005A56DA">
            <w:pPr>
              <w:spacing w:before="0"/>
              <w:ind w:firstLine="0"/>
            </w:pPr>
            <w:r w:rsidRPr="000F0299">
              <w:t>(2030): 4</w:t>
            </w:r>
          </w:p>
        </w:tc>
        <w:tc>
          <w:tcPr>
            <w:tcW w:w="185" w:type="pct"/>
            <w:tcBorders>
              <w:right w:val="single" w:sz="18" w:space="0" w:color="C00000"/>
            </w:tcBorders>
            <w:shd w:val="clear" w:color="auto" w:fill="auto"/>
          </w:tcPr>
          <w:p w14:paraId="68E96715" w14:textId="77777777" w:rsidR="0029542A" w:rsidRPr="000F0299" w:rsidRDefault="0029542A" w:rsidP="005A56DA">
            <w:pPr>
              <w:spacing w:before="0"/>
              <w:ind w:firstLine="0"/>
            </w:pPr>
          </w:p>
        </w:tc>
      </w:tr>
      <w:tr w:rsidR="0029542A" w:rsidRPr="000F0299" w14:paraId="02174861" w14:textId="77777777" w:rsidTr="00741724">
        <w:trPr>
          <w:trHeight w:val="340"/>
        </w:trPr>
        <w:tc>
          <w:tcPr>
            <w:tcW w:w="190" w:type="pct"/>
            <w:tcBorders>
              <w:left w:val="single" w:sz="18" w:space="0" w:color="C00000"/>
              <w:bottom w:val="single" w:sz="18" w:space="0" w:color="C00000"/>
            </w:tcBorders>
            <w:shd w:val="clear" w:color="auto" w:fill="auto"/>
          </w:tcPr>
          <w:p w14:paraId="5B00D926" w14:textId="77777777" w:rsidR="0029542A" w:rsidRPr="000F0299" w:rsidRDefault="0029542A" w:rsidP="005A56DA">
            <w:pPr>
              <w:spacing w:before="0"/>
              <w:ind w:firstLine="0"/>
              <w:rPr>
                <w:sz w:val="16"/>
                <w:szCs w:val="16"/>
              </w:rPr>
            </w:pPr>
          </w:p>
        </w:tc>
        <w:tc>
          <w:tcPr>
            <w:tcW w:w="2557" w:type="pct"/>
            <w:tcBorders>
              <w:top w:val="single" w:sz="18" w:space="0" w:color="D9D9D9" w:themeColor="background1" w:themeShade="D9"/>
              <w:bottom w:val="single" w:sz="18" w:space="0" w:color="C00000"/>
            </w:tcBorders>
            <w:shd w:val="clear" w:color="auto" w:fill="auto"/>
          </w:tcPr>
          <w:p w14:paraId="4A977865" w14:textId="77777777" w:rsidR="0029542A" w:rsidRPr="000F0299" w:rsidRDefault="0029542A"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2FF2A29E" w14:textId="77777777" w:rsidR="0029542A" w:rsidRPr="000F0299" w:rsidRDefault="0029542A"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0A555EC5" w14:textId="77777777" w:rsidR="0029542A" w:rsidRPr="000F0299" w:rsidRDefault="0029542A" w:rsidP="005A56DA">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0821571A" w14:textId="77777777" w:rsidR="0029542A" w:rsidRPr="000F0299" w:rsidRDefault="0029542A" w:rsidP="005A56DA">
            <w:pPr>
              <w:spacing w:before="0"/>
              <w:ind w:firstLine="0"/>
              <w:rPr>
                <w:sz w:val="16"/>
                <w:szCs w:val="16"/>
              </w:rPr>
            </w:pPr>
          </w:p>
        </w:tc>
      </w:tr>
    </w:tbl>
    <w:p w14:paraId="16F900DA" w14:textId="77777777" w:rsidR="00741724" w:rsidRPr="000F0299" w:rsidRDefault="00741724" w:rsidP="00741724">
      <w:bookmarkStart w:id="156" w:name="_Hlk56445175"/>
      <w:r w:rsidRPr="000F0299">
        <w:t xml:space="preserve">Средњорочно </w:t>
      </w:r>
      <w:r>
        <w:t xml:space="preserve">гледано </w:t>
      </w:r>
      <w:r w:rsidRPr="000F0299">
        <w:t>(2021</w:t>
      </w:r>
      <w:r>
        <w:t>–</w:t>
      </w:r>
      <w:r w:rsidRPr="000F0299">
        <w:t>2025)</w:t>
      </w:r>
      <w:r>
        <w:t>,</w:t>
      </w:r>
      <w:r w:rsidRPr="000F0299">
        <w:t xml:space="preserve"> </w:t>
      </w:r>
      <w:r>
        <w:t xml:space="preserve">ова мера је усмерена </w:t>
      </w:r>
      <w:r w:rsidRPr="000F0299">
        <w:t>на модернизациј</w:t>
      </w:r>
      <w:r>
        <w:t>у</w:t>
      </w:r>
      <w:r w:rsidRPr="000F0299">
        <w:t xml:space="preserve"> функције </w:t>
      </w:r>
      <w:r>
        <w:t xml:space="preserve">УЉР </w:t>
      </w:r>
      <w:r w:rsidRPr="000F0299">
        <w:t xml:space="preserve">кроз успостављање информационог система за подршку </w:t>
      </w:r>
      <w:r>
        <w:t>УЉР</w:t>
      </w:r>
      <w:r w:rsidRPr="000F0299">
        <w:t xml:space="preserve"> како би се омогућило једнобразно поступање запослених у кадровским јединицама и руководилаца, допринело ефикасном извештавању које ће унапредити стратешко управљање и одлучивање у области </w:t>
      </w:r>
      <w:r w:rsidRPr="00AE49DA">
        <w:t>УЉР.</w:t>
      </w:r>
      <w:r w:rsidRPr="000F0299">
        <w:t xml:space="preserve"> Поред тога, </w:t>
      </w:r>
      <w:r>
        <w:t xml:space="preserve">усмерена је на </w:t>
      </w:r>
      <w:r w:rsidRPr="000F0299">
        <w:t>разв</w:t>
      </w:r>
      <w:r>
        <w:t>ој</w:t>
      </w:r>
      <w:r w:rsidRPr="000F0299">
        <w:t xml:space="preserve"> модел</w:t>
      </w:r>
      <w:r>
        <w:t>а</w:t>
      </w:r>
      <w:r w:rsidRPr="000F0299">
        <w:t xml:space="preserve"> могућих стандарда квалитета у области </w:t>
      </w:r>
      <w:r>
        <w:t>УЉР</w:t>
      </w:r>
      <w:r w:rsidRPr="000F0299">
        <w:t xml:space="preserve"> з</w:t>
      </w:r>
      <w:r>
        <w:t>а органе државне управе и јачање</w:t>
      </w:r>
      <w:r w:rsidRPr="000F0299">
        <w:t xml:space="preserve"> административни</w:t>
      </w:r>
      <w:r>
        <w:t>х капацитета</w:t>
      </w:r>
      <w:r w:rsidRPr="000F0299">
        <w:t xml:space="preserve"> за управљање квалитетом</w:t>
      </w:r>
      <w:r>
        <w:t xml:space="preserve">, као и </w:t>
      </w:r>
      <w:r w:rsidRPr="000F0299">
        <w:t xml:space="preserve">на јачање капацитета институција да се на адекватан начин баве питањима </w:t>
      </w:r>
      <w:r w:rsidRPr="0079500C">
        <w:t>УЉР</w:t>
      </w:r>
      <w:r w:rsidRPr="000F0299">
        <w:t xml:space="preserve"> кроз </w:t>
      </w:r>
      <w:r>
        <w:t xml:space="preserve">сагледавање </w:t>
      </w:r>
      <w:r w:rsidRPr="000F0299">
        <w:t xml:space="preserve">нове </w:t>
      </w:r>
      <w:r>
        <w:t xml:space="preserve">организације </w:t>
      </w:r>
      <w:r w:rsidRPr="000F0299">
        <w:t xml:space="preserve">функције и стратешке улоге јединица за </w:t>
      </w:r>
      <w:r w:rsidRPr="0079500C">
        <w:t>УЉР</w:t>
      </w:r>
      <w:r w:rsidRPr="000F0299">
        <w:t xml:space="preserve">. </w:t>
      </w:r>
    </w:p>
    <w:p w14:paraId="69A26064" w14:textId="77777777" w:rsidR="00741724" w:rsidRPr="000F0299" w:rsidRDefault="00741724" w:rsidP="00741724">
      <w:r w:rsidRPr="000F0299">
        <w:t xml:space="preserve">Дугорочно </w:t>
      </w:r>
      <w:r>
        <w:t xml:space="preserve">гледано </w:t>
      </w:r>
      <w:r w:rsidRPr="000F0299">
        <w:t>(2026</w:t>
      </w:r>
      <w:r>
        <w:t>–</w:t>
      </w:r>
      <w:r w:rsidRPr="000F0299">
        <w:t xml:space="preserve">2030), </w:t>
      </w:r>
      <w:r>
        <w:t xml:space="preserve">ова мера је усмерена </w:t>
      </w:r>
      <w:r w:rsidRPr="000F0299">
        <w:t xml:space="preserve">на </w:t>
      </w:r>
      <w:r>
        <w:t xml:space="preserve">спровођење </w:t>
      </w:r>
      <w:r w:rsidRPr="000F0299">
        <w:t xml:space="preserve">нове организације функције и стандарда квалитета који треба да допринесу модернизацији процеса и ефикасном стратешком </w:t>
      </w:r>
      <w:r w:rsidRPr="0079500C">
        <w:t>УЉР</w:t>
      </w:r>
      <w:r w:rsidRPr="000F0299">
        <w:t>.</w:t>
      </w:r>
    </w:p>
    <w:p w14:paraId="12505CB3" w14:textId="44B723C1" w:rsidR="003F3312" w:rsidRPr="000F0299" w:rsidRDefault="00C67B0B" w:rsidP="00244E7C">
      <w:pPr>
        <w:rPr>
          <w:b/>
          <w:bCs/>
        </w:rPr>
      </w:pPr>
      <w:r w:rsidRPr="000F0299">
        <w:rPr>
          <w:b/>
          <w:bCs/>
        </w:rPr>
        <w:t>Meрa</w:t>
      </w:r>
      <w:r w:rsidR="003F3312" w:rsidRPr="000F0299">
        <w:rPr>
          <w:b/>
          <w:bCs/>
        </w:rPr>
        <w:t xml:space="preserve"> 2.2.3: Јачање професионализације лица на положају/руководилаца</w:t>
      </w:r>
    </w:p>
    <w:tbl>
      <w:tblPr>
        <w:tblW w:w="5000" w:type="pct"/>
        <w:tblLook w:val="00A0" w:firstRow="1" w:lastRow="0" w:firstColumn="1" w:lastColumn="0" w:noHBand="0" w:noVBand="0"/>
      </w:tblPr>
      <w:tblGrid>
        <w:gridCol w:w="364"/>
        <w:gridCol w:w="4905"/>
        <w:gridCol w:w="1984"/>
        <w:gridCol w:w="1984"/>
        <w:gridCol w:w="355"/>
      </w:tblGrid>
      <w:tr w:rsidR="0029542A" w:rsidRPr="000F0299" w14:paraId="2E1EB7E8" w14:textId="77777777" w:rsidTr="00741724">
        <w:trPr>
          <w:trHeight w:val="20"/>
        </w:trPr>
        <w:tc>
          <w:tcPr>
            <w:tcW w:w="190" w:type="pct"/>
            <w:tcBorders>
              <w:top w:val="single" w:sz="18" w:space="0" w:color="C00000"/>
              <w:left w:val="single" w:sz="18" w:space="0" w:color="C00000"/>
            </w:tcBorders>
            <w:shd w:val="clear" w:color="auto" w:fill="auto"/>
          </w:tcPr>
          <w:p w14:paraId="33337063" w14:textId="77777777" w:rsidR="0029542A" w:rsidRPr="000F0299" w:rsidRDefault="0029542A" w:rsidP="005A56DA">
            <w:pPr>
              <w:spacing w:before="0"/>
              <w:ind w:firstLine="0"/>
              <w:rPr>
                <w:b/>
                <w:bCs/>
                <w:sz w:val="16"/>
                <w:szCs w:val="16"/>
              </w:rPr>
            </w:pPr>
          </w:p>
        </w:tc>
        <w:tc>
          <w:tcPr>
            <w:tcW w:w="2557" w:type="pct"/>
            <w:tcBorders>
              <w:top w:val="single" w:sz="18" w:space="0" w:color="C00000"/>
            </w:tcBorders>
            <w:shd w:val="clear" w:color="auto" w:fill="auto"/>
          </w:tcPr>
          <w:p w14:paraId="576B480D" w14:textId="77777777" w:rsidR="0029542A" w:rsidRPr="000F0299" w:rsidRDefault="0029542A" w:rsidP="005A56DA">
            <w:pPr>
              <w:spacing w:before="0"/>
              <w:ind w:firstLine="0"/>
              <w:rPr>
                <w:b/>
                <w:bCs/>
                <w:sz w:val="16"/>
                <w:szCs w:val="16"/>
              </w:rPr>
            </w:pPr>
          </w:p>
        </w:tc>
        <w:tc>
          <w:tcPr>
            <w:tcW w:w="1034" w:type="pct"/>
            <w:tcBorders>
              <w:top w:val="single" w:sz="18" w:space="0" w:color="C00000"/>
            </w:tcBorders>
            <w:shd w:val="clear" w:color="auto" w:fill="auto"/>
            <w:vAlign w:val="center"/>
          </w:tcPr>
          <w:p w14:paraId="49B7FC81" w14:textId="77777777" w:rsidR="0029542A" w:rsidRPr="000F0299" w:rsidRDefault="0029542A" w:rsidP="005A56DA">
            <w:pPr>
              <w:spacing w:before="0"/>
              <w:ind w:firstLine="0"/>
              <w:jc w:val="center"/>
              <w:rPr>
                <w:b/>
                <w:bCs/>
                <w:sz w:val="16"/>
                <w:szCs w:val="16"/>
              </w:rPr>
            </w:pPr>
          </w:p>
        </w:tc>
        <w:tc>
          <w:tcPr>
            <w:tcW w:w="1034" w:type="pct"/>
            <w:tcBorders>
              <w:top w:val="single" w:sz="18" w:space="0" w:color="C00000"/>
            </w:tcBorders>
            <w:shd w:val="clear" w:color="auto" w:fill="auto"/>
            <w:vAlign w:val="center"/>
          </w:tcPr>
          <w:p w14:paraId="325EBC47" w14:textId="77777777" w:rsidR="0029542A" w:rsidRPr="000F0299" w:rsidRDefault="0029542A" w:rsidP="005A56DA">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7769BA58" w14:textId="77777777" w:rsidR="0029542A" w:rsidRPr="000F0299" w:rsidRDefault="0029542A" w:rsidP="005A56DA">
            <w:pPr>
              <w:spacing w:before="0"/>
              <w:ind w:firstLine="0"/>
              <w:jc w:val="center"/>
              <w:rPr>
                <w:b/>
                <w:bCs/>
                <w:sz w:val="16"/>
                <w:szCs w:val="16"/>
              </w:rPr>
            </w:pPr>
          </w:p>
        </w:tc>
      </w:tr>
      <w:tr w:rsidR="0029542A" w:rsidRPr="000F0299" w14:paraId="4307595D" w14:textId="77777777" w:rsidTr="00741724">
        <w:trPr>
          <w:trHeight w:val="490"/>
        </w:trPr>
        <w:tc>
          <w:tcPr>
            <w:tcW w:w="190" w:type="pct"/>
            <w:tcBorders>
              <w:left w:val="single" w:sz="18" w:space="0" w:color="C00000"/>
            </w:tcBorders>
            <w:shd w:val="clear" w:color="auto" w:fill="auto"/>
          </w:tcPr>
          <w:p w14:paraId="6B821585" w14:textId="77777777" w:rsidR="0029542A" w:rsidRPr="000F0299" w:rsidRDefault="0029542A" w:rsidP="005A56DA">
            <w:pPr>
              <w:spacing w:before="0"/>
              <w:ind w:firstLine="0"/>
              <w:rPr>
                <w:b/>
                <w:bCs/>
              </w:rPr>
            </w:pPr>
          </w:p>
        </w:tc>
        <w:tc>
          <w:tcPr>
            <w:tcW w:w="2557" w:type="pct"/>
            <w:tcBorders>
              <w:left w:val="nil"/>
              <w:bottom w:val="single" w:sz="18" w:space="0" w:color="C00000"/>
              <w:right w:val="single" w:sz="18" w:space="0" w:color="D9D9D9" w:themeColor="background1" w:themeShade="D9"/>
            </w:tcBorders>
            <w:shd w:val="clear" w:color="auto" w:fill="auto"/>
          </w:tcPr>
          <w:p w14:paraId="78809223" w14:textId="77777777" w:rsidR="0029542A" w:rsidRPr="000F0299" w:rsidRDefault="0029542A" w:rsidP="005A56DA">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77734E9C" w14:textId="77777777" w:rsidR="0029542A" w:rsidRPr="000F0299" w:rsidRDefault="0029542A" w:rsidP="005A56DA">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1D9BA74B" w14:textId="77777777" w:rsidR="0029542A" w:rsidRPr="000F0299" w:rsidRDefault="0029542A" w:rsidP="005A56DA">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776D9C05" w14:textId="77777777" w:rsidR="0029542A" w:rsidRPr="000F0299" w:rsidRDefault="0029542A" w:rsidP="005A56DA">
            <w:pPr>
              <w:spacing w:before="0"/>
              <w:ind w:firstLine="0"/>
              <w:jc w:val="center"/>
              <w:rPr>
                <w:b/>
                <w:bCs/>
              </w:rPr>
            </w:pPr>
          </w:p>
        </w:tc>
      </w:tr>
      <w:tr w:rsidR="0029542A" w:rsidRPr="000F0299" w14:paraId="78A7F968" w14:textId="77777777" w:rsidTr="00741724">
        <w:trPr>
          <w:trHeight w:val="380"/>
        </w:trPr>
        <w:tc>
          <w:tcPr>
            <w:tcW w:w="190" w:type="pct"/>
            <w:tcBorders>
              <w:left w:val="single" w:sz="18" w:space="0" w:color="C00000"/>
            </w:tcBorders>
            <w:shd w:val="clear" w:color="auto" w:fill="auto"/>
          </w:tcPr>
          <w:p w14:paraId="0BFC0DD8" w14:textId="77777777" w:rsidR="0029542A" w:rsidRPr="000F0299" w:rsidRDefault="0029542A" w:rsidP="005A56DA">
            <w:pPr>
              <w:spacing w:before="0"/>
              <w:ind w:firstLine="0"/>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5FABCEC4" w14:textId="1E27D77C" w:rsidR="0029542A" w:rsidRPr="000F0299" w:rsidRDefault="0029542A" w:rsidP="005A56DA">
            <w:pPr>
              <w:spacing w:before="0"/>
              <w:ind w:firstLine="0"/>
            </w:pPr>
            <w:r w:rsidRPr="000F0299">
              <w:t xml:space="preserve">Степен у ком је обезбеђена правна заштита лица на положају/руководилаца (базиран на пет </w:t>
            </w:r>
            <w:r w:rsidR="0070535D" w:rsidRPr="0070535D">
              <w:rPr>
                <w:i/>
              </w:rPr>
              <w:t>SIGMA</w:t>
            </w:r>
            <w:r w:rsidRPr="000F0299">
              <w:t xml:space="preserve"> подиндикатора)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5D2810FD" w14:textId="118B0084" w:rsidR="0029542A" w:rsidRPr="000F0299" w:rsidRDefault="0029542A" w:rsidP="005A56DA">
            <w:pPr>
              <w:spacing w:before="0"/>
              <w:ind w:firstLine="0"/>
            </w:pPr>
            <w:r w:rsidRPr="000F0299">
              <w:t>(2020): 9</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6520A74E" w14:textId="31F69E31" w:rsidR="0029542A" w:rsidRPr="000F0299" w:rsidRDefault="0029542A" w:rsidP="005A56DA">
            <w:pPr>
              <w:spacing w:before="0"/>
              <w:ind w:firstLine="0"/>
            </w:pPr>
            <w:r w:rsidRPr="000F0299">
              <w:t>(2021): 11</w:t>
            </w:r>
          </w:p>
          <w:p w14:paraId="30BF3CAB" w14:textId="396CF548" w:rsidR="0029542A" w:rsidRPr="000F0299" w:rsidRDefault="0029542A" w:rsidP="005A56DA">
            <w:pPr>
              <w:spacing w:before="0"/>
              <w:ind w:firstLine="0"/>
            </w:pPr>
            <w:r w:rsidRPr="000F0299">
              <w:t>(2022): 11</w:t>
            </w:r>
          </w:p>
          <w:p w14:paraId="33874417" w14:textId="5802963F" w:rsidR="0029542A" w:rsidRPr="000F0299" w:rsidRDefault="0029542A" w:rsidP="005A56DA">
            <w:pPr>
              <w:spacing w:before="0"/>
              <w:ind w:firstLine="0"/>
            </w:pPr>
            <w:r w:rsidRPr="000F0299">
              <w:t>(2023): 13</w:t>
            </w:r>
          </w:p>
          <w:p w14:paraId="674BE345" w14:textId="64A77EBB" w:rsidR="0029542A" w:rsidRPr="000F0299" w:rsidRDefault="0029542A" w:rsidP="005A56DA">
            <w:pPr>
              <w:spacing w:before="0"/>
              <w:ind w:firstLine="0"/>
            </w:pPr>
            <w:r w:rsidRPr="000F0299">
              <w:t>(2024): 13</w:t>
            </w:r>
          </w:p>
          <w:p w14:paraId="655AC1C1" w14:textId="658FCACD" w:rsidR="0029542A" w:rsidRPr="000F0299" w:rsidRDefault="0029542A" w:rsidP="005A56DA">
            <w:pPr>
              <w:spacing w:before="0"/>
              <w:ind w:firstLine="0"/>
            </w:pPr>
            <w:r w:rsidRPr="000F0299">
              <w:t>(2025): 13</w:t>
            </w:r>
          </w:p>
          <w:p w14:paraId="65C7F455" w14:textId="493B7FEA" w:rsidR="0029542A" w:rsidRPr="000F0299" w:rsidRDefault="0029542A" w:rsidP="005A56DA">
            <w:pPr>
              <w:spacing w:before="0"/>
              <w:ind w:firstLine="0"/>
            </w:pPr>
            <w:r w:rsidRPr="000F0299">
              <w:t>(2027): 15</w:t>
            </w:r>
          </w:p>
          <w:p w14:paraId="42F55E4F" w14:textId="4D26454D" w:rsidR="0029542A" w:rsidRPr="000F0299" w:rsidRDefault="0029542A" w:rsidP="005A56DA">
            <w:pPr>
              <w:spacing w:before="0"/>
              <w:ind w:firstLine="0"/>
            </w:pPr>
            <w:r w:rsidRPr="000F0299">
              <w:t>(2030): 15</w:t>
            </w:r>
          </w:p>
        </w:tc>
        <w:tc>
          <w:tcPr>
            <w:tcW w:w="185" w:type="pct"/>
            <w:tcBorders>
              <w:right w:val="single" w:sz="18" w:space="0" w:color="C00000"/>
            </w:tcBorders>
            <w:shd w:val="clear" w:color="auto" w:fill="auto"/>
          </w:tcPr>
          <w:p w14:paraId="5A2FD916" w14:textId="77777777" w:rsidR="0029542A" w:rsidRPr="000F0299" w:rsidRDefault="0029542A" w:rsidP="005A56DA">
            <w:pPr>
              <w:spacing w:before="0"/>
              <w:ind w:firstLine="0"/>
            </w:pPr>
          </w:p>
        </w:tc>
      </w:tr>
      <w:tr w:rsidR="0029542A" w:rsidRPr="000F0299" w14:paraId="60C72B7B" w14:textId="77777777" w:rsidTr="00741724">
        <w:trPr>
          <w:trHeight w:val="340"/>
        </w:trPr>
        <w:tc>
          <w:tcPr>
            <w:tcW w:w="190" w:type="pct"/>
            <w:tcBorders>
              <w:left w:val="single" w:sz="18" w:space="0" w:color="C00000"/>
              <w:bottom w:val="single" w:sz="18" w:space="0" w:color="C00000"/>
            </w:tcBorders>
            <w:shd w:val="clear" w:color="auto" w:fill="auto"/>
          </w:tcPr>
          <w:p w14:paraId="5F17F182" w14:textId="77777777" w:rsidR="0029542A" w:rsidRPr="000F0299" w:rsidRDefault="0029542A" w:rsidP="005A56DA">
            <w:pPr>
              <w:spacing w:before="0"/>
              <w:ind w:firstLine="0"/>
              <w:rPr>
                <w:sz w:val="16"/>
                <w:szCs w:val="16"/>
              </w:rPr>
            </w:pPr>
          </w:p>
        </w:tc>
        <w:tc>
          <w:tcPr>
            <w:tcW w:w="2557" w:type="pct"/>
            <w:tcBorders>
              <w:top w:val="single" w:sz="18" w:space="0" w:color="D9D9D9" w:themeColor="background1" w:themeShade="D9"/>
              <w:bottom w:val="single" w:sz="18" w:space="0" w:color="C00000"/>
            </w:tcBorders>
            <w:shd w:val="clear" w:color="auto" w:fill="auto"/>
          </w:tcPr>
          <w:p w14:paraId="3498E344" w14:textId="77777777" w:rsidR="0029542A" w:rsidRPr="000F0299" w:rsidRDefault="0029542A"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685375C7" w14:textId="77777777" w:rsidR="0029542A" w:rsidRPr="000F0299" w:rsidRDefault="0029542A"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64DA3778" w14:textId="77777777" w:rsidR="0029542A" w:rsidRPr="000F0299" w:rsidRDefault="0029542A" w:rsidP="005A56DA">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228EF12E" w14:textId="77777777" w:rsidR="0029542A" w:rsidRPr="000F0299" w:rsidRDefault="0029542A" w:rsidP="005A56DA">
            <w:pPr>
              <w:spacing w:before="0"/>
              <w:ind w:firstLine="0"/>
              <w:rPr>
                <w:sz w:val="16"/>
                <w:szCs w:val="16"/>
              </w:rPr>
            </w:pPr>
          </w:p>
        </w:tc>
      </w:tr>
    </w:tbl>
    <w:bookmarkEnd w:id="156"/>
    <w:p w14:paraId="32C05A1E" w14:textId="77777777" w:rsidR="00741724" w:rsidRPr="000F0299" w:rsidRDefault="00741724" w:rsidP="00741724">
      <w:r w:rsidRPr="000F0299">
        <w:t xml:space="preserve">Средњорочно </w:t>
      </w:r>
      <w:r>
        <w:t xml:space="preserve">гледано </w:t>
      </w:r>
      <w:r w:rsidRPr="000F0299">
        <w:t>(2021</w:t>
      </w:r>
      <w:r>
        <w:t>–</w:t>
      </w:r>
      <w:r w:rsidRPr="000F0299">
        <w:t>2025)</w:t>
      </w:r>
      <w:r>
        <w:t>, ова мера је усмерена на</w:t>
      </w:r>
      <w:r w:rsidRPr="000F0299">
        <w:t xml:space="preserve"> израд</w:t>
      </w:r>
      <w:r>
        <w:t>у</w:t>
      </w:r>
      <w:r w:rsidRPr="000F0299">
        <w:t xml:space="preserve"> стратешког приступа управљању државним службеницима на положају у органима државне управе. Да би се правни оквир прилагодио и побољшао у складу са системским потребама, неопходно је установити свеобухват</w:t>
      </w:r>
      <w:r>
        <w:t>а</w:t>
      </w:r>
      <w:r w:rsidRPr="000F0299">
        <w:t>н дугороч</w:t>
      </w:r>
      <w:r>
        <w:t>а</w:t>
      </w:r>
      <w:r w:rsidRPr="000F0299">
        <w:t>н п</w:t>
      </w:r>
      <w:r>
        <w:t>риступ</w:t>
      </w:r>
      <w:r w:rsidRPr="000F0299">
        <w:t xml:space="preserve"> управљањ</w:t>
      </w:r>
      <w:r>
        <w:t>у</w:t>
      </w:r>
      <w:r w:rsidRPr="000F0299">
        <w:t xml:space="preserve"> државним службеницима на положају</w:t>
      </w:r>
      <w:r>
        <w:t xml:space="preserve"> који омогућава </w:t>
      </w:r>
      <w:r w:rsidRPr="000F0299">
        <w:t>њихов</w:t>
      </w:r>
      <w:r>
        <w:t>у</w:t>
      </w:r>
      <w:r w:rsidRPr="000F0299">
        <w:t xml:space="preserve"> већ</w:t>
      </w:r>
      <w:r>
        <w:t>у</w:t>
      </w:r>
      <w:r w:rsidRPr="000F0299">
        <w:t xml:space="preserve"> професионализациј</w:t>
      </w:r>
      <w:r>
        <w:t>у</w:t>
      </w:r>
      <w:r w:rsidRPr="000F0299">
        <w:t xml:space="preserve">. Будући оквир треба да постави јасне циљеве за дугорочни развој </w:t>
      </w:r>
      <w:r>
        <w:t>т</w:t>
      </w:r>
      <w:r w:rsidRPr="000F0299">
        <w:t>е категорије државних службеника, при чему треба да се створе услови за њихово умрежавање</w:t>
      </w:r>
      <w:r>
        <w:t xml:space="preserve"> и</w:t>
      </w:r>
      <w:r w:rsidRPr="000F0299">
        <w:t xml:space="preserve"> професионални и каријерни развој како би државна управа задржала и дугорочно користила потенцијал </w:t>
      </w:r>
      <w:r>
        <w:t>т</w:t>
      </w:r>
      <w:r w:rsidRPr="000F0299">
        <w:t>е категорије државних службеника.</w:t>
      </w:r>
    </w:p>
    <w:p w14:paraId="184E0C04" w14:textId="77777777" w:rsidR="00741724" w:rsidRPr="000F0299" w:rsidRDefault="00741724" w:rsidP="00741724">
      <w:r w:rsidRPr="000F0299">
        <w:t>Дугорочн</w:t>
      </w:r>
      <w:r>
        <w:t>о гледано</w:t>
      </w:r>
      <w:r w:rsidRPr="000F0299">
        <w:t xml:space="preserve"> (2026</w:t>
      </w:r>
      <w:r>
        <w:t>–</w:t>
      </w:r>
      <w:r w:rsidRPr="000F0299">
        <w:t>2030)</w:t>
      </w:r>
      <w:r>
        <w:t xml:space="preserve">, ова мера је усмерена </w:t>
      </w:r>
      <w:r w:rsidRPr="000F0299">
        <w:t xml:space="preserve">на одрживост </w:t>
      </w:r>
      <w:r>
        <w:t>установљеног приступа</w:t>
      </w:r>
      <w:r w:rsidRPr="000F0299">
        <w:t xml:space="preserve"> управљањ</w:t>
      </w:r>
      <w:r>
        <w:t>у</w:t>
      </w:r>
      <w:r w:rsidRPr="000F0299">
        <w:t xml:space="preserve"> државним службеницима на положају, </w:t>
      </w:r>
      <w:r>
        <w:t>креирање</w:t>
      </w:r>
      <w:r w:rsidRPr="000F0299">
        <w:t xml:space="preserve"> и примену специфичних модула за обуку за рад на положају, интензивнији рад са лицима на положају кроз активности Центра за управљање каријером како би </w:t>
      </w:r>
      <w:r>
        <w:t>т</w:t>
      </w:r>
      <w:r w:rsidRPr="000F0299">
        <w:t xml:space="preserve">а категорија </w:t>
      </w:r>
      <w:r>
        <w:t xml:space="preserve">државних </w:t>
      </w:r>
      <w:r w:rsidRPr="000F0299">
        <w:t xml:space="preserve">службеника представљала гарант институционалног квалитета и континуитета. </w:t>
      </w:r>
    </w:p>
    <w:p w14:paraId="16AF2DFF" w14:textId="59844F1A" w:rsidR="003D5E32" w:rsidRPr="000F0299" w:rsidRDefault="003D5E32">
      <w:pPr>
        <w:suppressAutoHyphens w:val="0"/>
        <w:autoSpaceDN/>
        <w:spacing w:before="0" w:after="160" w:line="259" w:lineRule="auto"/>
        <w:ind w:firstLine="0"/>
        <w:jc w:val="left"/>
        <w:textAlignment w:val="auto"/>
      </w:pPr>
      <w:r w:rsidRPr="000F0299">
        <w:br w:type="page"/>
      </w:r>
    </w:p>
    <w:p w14:paraId="25021F20" w14:textId="2DBB089B" w:rsidR="003F3312" w:rsidRPr="000F0299" w:rsidRDefault="0029542A" w:rsidP="00C013C7">
      <w:pPr>
        <w:pStyle w:val="Heading4"/>
        <w:rPr>
          <w:bCs/>
          <w:lang w:val="sr-Cyrl-RS"/>
        </w:rPr>
      </w:pPr>
      <w:r w:rsidRPr="000F0299">
        <w:rPr>
          <w:rFonts w:eastAsia="Times New Roman"/>
          <w:lang w:val="sr-Cyrl-RS" w:eastAsia="de-DE"/>
        </w:rPr>
        <w:t xml:space="preserve">Посебан циљ </w:t>
      </w:r>
      <w:r w:rsidR="003F3312" w:rsidRPr="000F0299">
        <w:rPr>
          <w:rFonts w:eastAsia="Times New Roman"/>
          <w:lang w:val="sr-Cyrl-RS" w:eastAsia="de-DE"/>
        </w:rPr>
        <w:t xml:space="preserve">2.3: </w:t>
      </w:r>
      <w:hyperlink w:anchor="_Посебан_циљ_2.3:" w:history="1">
        <w:r w:rsidR="003F3312" w:rsidRPr="00797D36">
          <w:rPr>
            <w:rStyle w:val="Hyperlink"/>
            <w:lang w:val="sr-Cyrl-RS"/>
          </w:rPr>
          <w:t>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w:t>
        </w:r>
      </w:hyperlink>
    </w:p>
    <w:tbl>
      <w:tblPr>
        <w:tblW w:w="5000" w:type="pct"/>
        <w:shd w:val="clear" w:color="auto" w:fill="E7E6E6" w:themeFill="background2"/>
        <w:tblLook w:val="00A0" w:firstRow="1" w:lastRow="0" w:firstColumn="1" w:lastColumn="0" w:noHBand="0" w:noVBand="0"/>
      </w:tblPr>
      <w:tblGrid>
        <w:gridCol w:w="356"/>
        <w:gridCol w:w="5047"/>
        <w:gridCol w:w="1924"/>
        <w:gridCol w:w="1924"/>
        <w:gridCol w:w="341"/>
      </w:tblGrid>
      <w:tr w:rsidR="00832E4F" w:rsidRPr="000F0299" w14:paraId="647177D5" w14:textId="77777777" w:rsidTr="006F6F97">
        <w:trPr>
          <w:trHeight w:val="20"/>
        </w:trPr>
        <w:tc>
          <w:tcPr>
            <w:tcW w:w="185" w:type="pct"/>
            <w:tcBorders>
              <w:top w:val="single" w:sz="18" w:space="0" w:color="C00000"/>
              <w:left w:val="single" w:sz="18" w:space="0" w:color="C00000"/>
            </w:tcBorders>
            <w:shd w:val="clear" w:color="auto" w:fill="F2F2F2" w:themeFill="background1" w:themeFillShade="F2"/>
          </w:tcPr>
          <w:p w14:paraId="07E0677C" w14:textId="77777777" w:rsidR="00832E4F" w:rsidRPr="000F0299" w:rsidRDefault="00832E4F" w:rsidP="006F6F97">
            <w:pPr>
              <w:spacing w:before="0"/>
              <w:ind w:firstLine="0"/>
              <w:rPr>
                <w:b/>
                <w:bCs/>
                <w:sz w:val="16"/>
                <w:szCs w:val="16"/>
              </w:rPr>
            </w:pPr>
          </w:p>
        </w:tc>
        <w:tc>
          <w:tcPr>
            <w:tcW w:w="2631" w:type="pct"/>
            <w:tcBorders>
              <w:top w:val="single" w:sz="18" w:space="0" w:color="C00000"/>
            </w:tcBorders>
            <w:shd w:val="clear" w:color="auto" w:fill="F2F2F2" w:themeFill="background1" w:themeFillShade="F2"/>
          </w:tcPr>
          <w:p w14:paraId="46EEB3AC" w14:textId="77777777" w:rsidR="00832E4F" w:rsidRPr="000F0299" w:rsidRDefault="00832E4F" w:rsidP="006F6F97">
            <w:pPr>
              <w:spacing w:before="0"/>
              <w:ind w:firstLine="0"/>
              <w:rPr>
                <w:b/>
                <w:bCs/>
                <w:sz w:val="16"/>
                <w:szCs w:val="16"/>
              </w:rPr>
            </w:pPr>
          </w:p>
        </w:tc>
        <w:tc>
          <w:tcPr>
            <w:tcW w:w="1003" w:type="pct"/>
            <w:tcBorders>
              <w:top w:val="single" w:sz="18" w:space="0" w:color="C00000"/>
            </w:tcBorders>
            <w:shd w:val="clear" w:color="auto" w:fill="F2F2F2" w:themeFill="background1" w:themeFillShade="F2"/>
            <w:vAlign w:val="center"/>
          </w:tcPr>
          <w:p w14:paraId="4E6FAD18" w14:textId="77777777" w:rsidR="00832E4F" w:rsidRPr="000F0299" w:rsidRDefault="00832E4F" w:rsidP="006F6F97">
            <w:pPr>
              <w:spacing w:before="0"/>
              <w:ind w:firstLine="0"/>
              <w:jc w:val="center"/>
              <w:rPr>
                <w:b/>
                <w:bCs/>
                <w:sz w:val="16"/>
                <w:szCs w:val="16"/>
              </w:rPr>
            </w:pPr>
          </w:p>
        </w:tc>
        <w:tc>
          <w:tcPr>
            <w:tcW w:w="1003" w:type="pct"/>
            <w:tcBorders>
              <w:top w:val="single" w:sz="18" w:space="0" w:color="C00000"/>
            </w:tcBorders>
            <w:shd w:val="clear" w:color="auto" w:fill="F2F2F2" w:themeFill="background1" w:themeFillShade="F2"/>
            <w:vAlign w:val="center"/>
          </w:tcPr>
          <w:p w14:paraId="2D5042DE" w14:textId="77777777" w:rsidR="00832E4F" w:rsidRPr="000F0299" w:rsidRDefault="00832E4F" w:rsidP="006F6F97">
            <w:pPr>
              <w:spacing w:before="0"/>
              <w:ind w:firstLine="0"/>
              <w:jc w:val="center"/>
              <w:rPr>
                <w:b/>
                <w:bCs/>
                <w:sz w:val="16"/>
                <w:szCs w:val="16"/>
              </w:rPr>
            </w:pPr>
          </w:p>
        </w:tc>
        <w:tc>
          <w:tcPr>
            <w:tcW w:w="179" w:type="pct"/>
            <w:tcBorders>
              <w:top w:val="single" w:sz="18" w:space="0" w:color="C00000"/>
              <w:right w:val="single" w:sz="18" w:space="0" w:color="C00000"/>
            </w:tcBorders>
            <w:shd w:val="clear" w:color="auto" w:fill="F2F2F2" w:themeFill="background1" w:themeFillShade="F2"/>
          </w:tcPr>
          <w:p w14:paraId="7B220D9F" w14:textId="77777777" w:rsidR="00832E4F" w:rsidRPr="000F0299" w:rsidRDefault="00832E4F" w:rsidP="006F6F97">
            <w:pPr>
              <w:spacing w:before="0"/>
              <w:ind w:firstLine="0"/>
              <w:jc w:val="center"/>
              <w:rPr>
                <w:b/>
                <w:bCs/>
                <w:sz w:val="16"/>
                <w:szCs w:val="16"/>
              </w:rPr>
            </w:pPr>
          </w:p>
        </w:tc>
      </w:tr>
      <w:tr w:rsidR="00832E4F" w:rsidRPr="000F0299" w14:paraId="015013B8" w14:textId="77777777" w:rsidTr="006F6F97">
        <w:trPr>
          <w:trHeight w:val="490"/>
        </w:trPr>
        <w:tc>
          <w:tcPr>
            <w:tcW w:w="185" w:type="pct"/>
            <w:tcBorders>
              <w:left w:val="single" w:sz="18" w:space="0" w:color="C00000"/>
            </w:tcBorders>
            <w:shd w:val="clear" w:color="auto" w:fill="F2F2F2" w:themeFill="background1" w:themeFillShade="F2"/>
          </w:tcPr>
          <w:p w14:paraId="700F15F2" w14:textId="77777777" w:rsidR="00832E4F" w:rsidRPr="000F0299" w:rsidRDefault="00832E4F" w:rsidP="006F6F97">
            <w:pPr>
              <w:spacing w:before="0"/>
              <w:ind w:firstLine="0"/>
              <w:rPr>
                <w:b/>
                <w:bCs/>
              </w:rPr>
            </w:pPr>
          </w:p>
        </w:tc>
        <w:tc>
          <w:tcPr>
            <w:tcW w:w="2631" w:type="pct"/>
            <w:tcBorders>
              <w:left w:val="nil"/>
              <w:bottom w:val="single" w:sz="18" w:space="0" w:color="C00000"/>
              <w:right w:val="single" w:sz="18" w:space="0" w:color="FFFFFF" w:themeColor="background1"/>
            </w:tcBorders>
            <w:shd w:val="clear" w:color="auto" w:fill="F2F2F2" w:themeFill="background1" w:themeFillShade="F2"/>
          </w:tcPr>
          <w:p w14:paraId="0DC9D084" w14:textId="77777777" w:rsidR="00832E4F" w:rsidRPr="000F0299" w:rsidRDefault="00832E4F" w:rsidP="006F6F97">
            <w:pPr>
              <w:spacing w:before="0"/>
              <w:ind w:firstLine="0"/>
              <w:rPr>
                <w:b/>
                <w:bCs/>
              </w:rPr>
            </w:pPr>
            <w:r w:rsidRPr="000F0299">
              <w:rPr>
                <w:b/>
                <w:bCs/>
              </w:rPr>
              <w:t>Показатељ исхода</w:t>
            </w:r>
          </w:p>
        </w:tc>
        <w:tc>
          <w:tcPr>
            <w:tcW w:w="1003"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12510523" w14:textId="77777777" w:rsidR="00832E4F" w:rsidRPr="000F0299" w:rsidRDefault="00832E4F" w:rsidP="006F6F97">
            <w:pPr>
              <w:spacing w:before="0"/>
              <w:ind w:firstLine="0"/>
              <w:jc w:val="center"/>
              <w:rPr>
                <w:b/>
                <w:bCs/>
              </w:rPr>
            </w:pPr>
            <w:r w:rsidRPr="000F0299">
              <w:rPr>
                <w:b/>
                <w:bCs/>
              </w:rPr>
              <w:t>ПВ</w:t>
            </w:r>
          </w:p>
        </w:tc>
        <w:tc>
          <w:tcPr>
            <w:tcW w:w="1003" w:type="pct"/>
            <w:tcBorders>
              <w:left w:val="single" w:sz="18" w:space="0" w:color="FFFFFF" w:themeColor="background1"/>
              <w:bottom w:val="single" w:sz="18" w:space="0" w:color="C00000"/>
            </w:tcBorders>
            <w:shd w:val="clear" w:color="auto" w:fill="F2F2F2" w:themeFill="background1" w:themeFillShade="F2"/>
            <w:vAlign w:val="center"/>
          </w:tcPr>
          <w:p w14:paraId="493ED77F" w14:textId="77777777" w:rsidR="00832E4F" w:rsidRPr="000F0299" w:rsidRDefault="00832E4F" w:rsidP="006F6F97">
            <w:pPr>
              <w:spacing w:before="0"/>
              <w:ind w:firstLine="0"/>
              <w:jc w:val="center"/>
              <w:rPr>
                <w:b/>
                <w:bCs/>
              </w:rPr>
            </w:pPr>
            <w:r w:rsidRPr="000F0299">
              <w:rPr>
                <w:b/>
                <w:bCs/>
              </w:rPr>
              <w:t>ЦВ</w:t>
            </w:r>
          </w:p>
        </w:tc>
        <w:tc>
          <w:tcPr>
            <w:tcW w:w="179" w:type="pct"/>
            <w:tcBorders>
              <w:right w:val="single" w:sz="18" w:space="0" w:color="C00000"/>
            </w:tcBorders>
            <w:shd w:val="clear" w:color="auto" w:fill="F2F2F2" w:themeFill="background1" w:themeFillShade="F2"/>
          </w:tcPr>
          <w:p w14:paraId="0ADDFD6E" w14:textId="77777777" w:rsidR="00832E4F" w:rsidRPr="000F0299" w:rsidRDefault="00832E4F" w:rsidP="006F6F97">
            <w:pPr>
              <w:spacing w:before="0"/>
              <w:ind w:firstLine="0"/>
              <w:jc w:val="center"/>
              <w:rPr>
                <w:b/>
                <w:bCs/>
              </w:rPr>
            </w:pPr>
          </w:p>
        </w:tc>
      </w:tr>
      <w:tr w:rsidR="00832E4F" w:rsidRPr="000F0299" w14:paraId="1555A927" w14:textId="77777777" w:rsidTr="006F6F97">
        <w:trPr>
          <w:trHeight w:val="1082"/>
        </w:trPr>
        <w:tc>
          <w:tcPr>
            <w:tcW w:w="185" w:type="pct"/>
            <w:tcBorders>
              <w:left w:val="single" w:sz="18" w:space="0" w:color="C00000"/>
            </w:tcBorders>
            <w:shd w:val="clear" w:color="auto" w:fill="F2F2F2" w:themeFill="background1" w:themeFillShade="F2"/>
          </w:tcPr>
          <w:p w14:paraId="78113A81" w14:textId="77777777" w:rsidR="00832E4F" w:rsidRPr="000F0299" w:rsidRDefault="00832E4F" w:rsidP="006F6F97">
            <w:pPr>
              <w:spacing w:before="0"/>
              <w:ind w:firstLine="0"/>
            </w:pPr>
          </w:p>
        </w:tc>
        <w:tc>
          <w:tcPr>
            <w:tcW w:w="2631"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47FE5DB3" w14:textId="77777777" w:rsidR="00832E4F" w:rsidRPr="000F0299" w:rsidRDefault="00832E4F" w:rsidP="006F6F97">
            <w:pPr>
              <w:spacing w:before="0"/>
              <w:ind w:firstLine="0"/>
            </w:pPr>
            <w:r w:rsidRPr="000F0299">
              <w:t>Степен у ком се систем стручног усавршавања и стручних испита у јавној управи нормативно и у пракси заснива на анализи потреба за  унапређењем компетенција,  односно  квалификација запослених</w:t>
            </w:r>
          </w:p>
        </w:tc>
        <w:tc>
          <w:tcPr>
            <w:tcW w:w="1003"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045D848E" w14:textId="77777777" w:rsidR="00832E4F" w:rsidRPr="000F0299" w:rsidRDefault="00832E4F" w:rsidP="006F6F97">
            <w:pPr>
              <w:spacing w:before="0"/>
              <w:ind w:firstLine="0"/>
            </w:pPr>
            <w:r w:rsidRPr="000F0299">
              <w:t>(2019): 3</w:t>
            </w:r>
          </w:p>
        </w:tc>
        <w:tc>
          <w:tcPr>
            <w:tcW w:w="1003"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12B2FDFA" w14:textId="77777777" w:rsidR="00832E4F" w:rsidRPr="000F0299" w:rsidRDefault="00832E4F" w:rsidP="006F6F97">
            <w:pPr>
              <w:spacing w:before="0"/>
              <w:ind w:firstLine="0"/>
            </w:pPr>
            <w:r w:rsidRPr="000F0299">
              <w:t>(2021): 4</w:t>
            </w:r>
          </w:p>
          <w:p w14:paraId="77C610BF" w14:textId="77777777" w:rsidR="00832E4F" w:rsidRPr="000F0299" w:rsidRDefault="00832E4F" w:rsidP="006F6F97">
            <w:pPr>
              <w:spacing w:before="0"/>
              <w:ind w:firstLine="0"/>
            </w:pPr>
            <w:r w:rsidRPr="000F0299">
              <w:t>(2022): 4</w:t>
            </w:r>
          </w:p>
          <w:p w14:paraId="047D60AF" w14:textId="77777777" w:rsidR="00832E4F" w:rsidRPr="000F0299" w:rsidRDefault="00832E4F" w:rsidP="006F6F97">
            <w:pPr>
              <w:spacing w:before="0"/>
              <w:ind w:firstLine="0"/>
            </w:pPr>
            <w:r w:rsidRPr="000F0299">
              <w:t>(2023): 4</w:t>
            </w:r>
          </w:p>
          <w:p w14:paraId="58F2BF43" w14:textId="77777777" w:rsidR="00832E4F" w:rsidRPr="000F0299" w:rsidRDefault="00832E4F" w:rsidP="006F6F97">
            <w:pPr>
              <w:spacing w:before="0"/>
              <w:ind w:firstLine="0"/>
            </w:pPr>
            <w:r w:rsidRPr="000F0299">
              <w:t>(2024): 5</w:t>
            </w:r>
          </w:p>
          <w:p w14:paraId="73A05530" w14:textId="77777777" w:rsidR="00832E4F" w:rsidRPr="000F0299" w:rsidRDefault="00832E4F" w:rsidP="006F6F97">
            <w:pPr>
              <w:spacing w:before="0"/>
              <w:ind w:firstLine="0"/>
            </w:pPr>
            <w:r w:rsidRPr="000F0299">
              <w:t>(2025): 5</w:t>
            </w:r>
          </w:p>
          <w:p w14:paraId="68F10932" w14:textId="77777777" w:rsidR="00832E4F" w:rsidRPr="000F0299" w:rsidRDefault="00832E4F" w:rsidP="006F6F97">
            <w:pPr>
              <w:spacing w:before="0"/>
              <w:ind w:firstLine="0"/>
            </w:pPr>
            <w:r w:rsidRPr="000F0299">
              <w:t>(2027): 5</w:t>
            </w:r>
          </w:p>
          <w:p w14:paraId="01FABFA0" w14:textId="77777777" w:rsidR="00832E4F" w:rsidRPr="000F0299" w:rsidRDefault="00832E4F" w:rsidP="006F6F97">
            <w:pPr>
              <w:spacing w:before="0"/>
              <w:ind w:firstLine="0"/>
            </w:pPr>
            <w:r w:rsidRPr="000F0299">
              <w:t>(2030): 5</w:t>
            </w:r>
          </w:p>
        </w:tc>
        <w:tc>
          <w:tcPr>
            <w:tcW w:w="179" w:type="pct"/>
            <w:tcBorders>
              <w:right w:val="single" w:sz="18" w:space="0" w:color="C00000"/>
            </w:tcBorders>
            <w:shd w:val="clear" w:color="auto" w:fill="F2F2F2" w:themeFill="background1" w:themeFillShade="F2"/>
          </w:tcPr>
          <w:p w14:paraId="0B96054A" w14:textId="77777777" w:rsidR="00832E4F" w:rsidRPr="000F0299" w:rsidRDefault="00832E4F" w:rsidP="006F6F97">
            <w:pPr>
              <w:spacing w:before="0"/>
              <w:ind w:firstLine="0"/>
            </w:pPr>
          </w:p>
        </w:tc>
      </w:tr>
      <w:tr w:rsidR="00832E4F" w:rsidRPr="000F0299" w14:paraId="20666A8B" w14:textId="77777777" w:rsidTr="006F6F97">
        <w:trPr>
          <w:trHeight w:val="340"/>
        </w:trPr>
        <w:tc>
          <w:tcPr>
            <w:tcW w:w="185" w:type="pct"/>
            <w:tcBorders>
              <w:left w:val="single" w:sz="18" w:space="0" w:color="C00000"/>
              <w:bottom w:val="single" w:sz="18" w:space="0" w:color="C00000"/>
            </w:tcBorders>
            <w:shd w:val="clear" w:color="auto" w:fill="F2F2F2" w:themeFill="background1" w:themeFillShade="F2"/>
          </w:tcPr>
          <w:p w14:paraId="1246E94B" w14:textId="77777777" w:rsidR="00832E4F" w:rsidRPr="000F0299" w:rsidRDefault="00832E4F" w:rsidP="006F6F97">
            <w:pPr>
              <w:spacing w:before="0"/>
              <w:ind w:firstLine="0"/>
              <w:rPr>
                <w:sz w:val="16"/>
                <w:szCs w:val="16"/>
              </w:rPr>
            </w:pPr>
          </w:p>
        </w:tc>
        <w:tc>
          <w:tcPr>
            <w:tcW w:w="2631" w:type="pct"/>
            <w:tcBorders>
              <w:bottom w:val="single" w:sz="18" w:space="0" w:color="C00000"/>
            </w:tcBorders>
            <w:shd w:val="clear" w:color="auto" w:fill="F2F2F2" w:themeFill="background1" w:themeFillShade="F2"/>
          </w:tcPr>
          <w:p w14:paraId="4570AC50" w14:textId="77777777" w:rsidR="00832E4F" w:rsidRPr="000F0299" w:rsidRDefault="00832E4F" w:rsidP="006F6F97">
            <w:pPr>
              <w:spacing w:before="0"/>
              <w:ind w:firstLine="0"/>
              <w:rPr>
                <w:sz w:val="16"/>
                <w:szCs w:val="16"/>
              </w:rPr>
            </w:pPr>
          </w:p>
        </w:tc>
        <w:tc>
          <w:tcPr>
            <w:tcW w:w="1003" w:type="pct"/>
            <w:tcBorders>
              <w:bottom w:val="single" w:sz="18" w:space="0" w:color="C00000"/>
            </w:tcBorders>
            <w:shd w:val="clear" w:color="auto" w:fill="F2F2F2" w:themeFill="background1" w:themeFillShade="F2"/>
          </w:tcPr>
          <w:p w14:paraId="0E8F54E4" w14:textId="77777777" w:rsidR="00832E4F" w:rsidRPr="000F0299" w:rsidRDefault="00832E4F" w:rsidP="006F6F97">
            <w:pPr>
              <w:spacing w:before="0"/>
              <w:ind w:firstLine="0"/>
              <w:rPr>
                <w:sz w:val="16"/>
                <w:szCs w:val="16"/>
              </w:rPr>
            </w:pPr>
          </w:p>
        </w:tc>
        <w:tc>
          <w:tcPr>
            <w:tcW w:w="1003" w:type="pct"/>
            <w:tcBorders>
              <w:bottom w:val="single" w:sz="18" w:space="0" w:color="C00000"/>
            </w:tcBorders>
            <w:shd w:val="clear" w:color="auto" w:fill="F2F2F2" w:themeFill="background1" w:themeFillShade="F2"/>
          </w:tcPr>
          <w:p w14:paraId="2BB86620" w14:textId="77777777" w:rsidR="00832E4F" w:rsidRPr="000F0299" w:rsidRDefault="00832E4F" w:rsidP="006F6F97">
            <w:pPr>
              <w:spacing w:before="0"/>
              <w:ind w:firstLine="0"/>
              <w:rPr>
                <w:sz w:val="16"/>
                <w:szCs w:val="16"/>
              </w:rPr>
            </w:pPr>
          </w:p>
        </w:tc>
        <w:tc>
          <w:tcPr>
            <w:tcW w:w="179" w:type="pct"/>
            <w:tcBorders>
              <w:bottom w:val="single" w:sz="18" w:space="0" w:color="C00000"/>
              <w:right w:val="single" w:sz="18" w:space="0" w:color="C00000"/>
            </w:tcBorders>
            <w:shd w:val="clear" w:color="auto" w:fill="F2F2F2" w:themeFill="background1" w:themeFillShade="F2"/>
          </w:tcPr>
          <w:p w14:paraId="5C32B569" w14:textId="77777777" w:rsidR="00832E4F" w:rsidRPr="000F0299" w:rsidRDefault="00832E4F" w:rsidP="006F6F97">
            <w:pPr>
              <w:spacing w:before="0"/>
              <w:ind w:firstLine="0"/>
              <w:rPr>
                <w:sz w:val="16"/>
                <w:szCs w:val="16"/>
              </w:rPr>
            </w:pPr>
          </w:p>
        </w:tc>
      </w:tr>
    </w:tbl>
    <w:p w14:paraId="08AB130B" w14:textId="574DDA83" w:rsidR="00DF2530" w:rsidRPr="000F0299" w:rsidRDefault="00DF2530" w:rsidP="00DF2530">
      <w:r>
        <w:t>Р</w:t>
      </w:r>
      <w:r w:rsidRPr="000F0299">
        <w:t xml:space="preserve">азвој </w:t>
      </w:r>
      <w:r>
        <w:t xml:space="preserve">у </w:t>
      </w:r>
      <w:r w:rsidRPr="000F0299">
        <w:t>ов</w:t>
      </w:r>
      <w:r>
        <w:t>ој</w:t>
      </w:r>
      <w:r w:rsidRPr="000F0299">
        <w:t xml:space="preserve"> области </w:t>
      </w:r>
      <w:r>
        <w:t xml:space="preserve">је </w:t>
      </w:r>
      <w:r w:rsidRPr="000F0299">
        <w:t xml:space="preserve">усмерен на даљу изградњу функционалног и иновативног система стручног усавршавања у свим деловима јавне управе и његово повезивање са областима које интерферирају концепту целоживотног учења и систему образовања. При томе, реформски процес </w:t>
      </w:r>
      <w:r>
        <w:t xml:space="preserve">обухвата </w:t>
      </w:r>
      <w:r w:rsidRPr="000F0299">
        <w:t>и област стручних испита у систему државне управе у Републици Србији, која је до сада неоправдано била изван развојних процеса и унапређења која могу да допринесу по</w:t>
      </w:r>
      <w:r>
        <w:t xml:space="preserve">требној </w:t>
      </w:r>
      <w:r w:rsidRPr="000F0299">
        <w:t xml:space="preserve">компетентности запослених у јавној управи, посебно имајући у виду да су стручни испити један од услова за рад у државним и другим органима и организацијама, односно имаоцима јавних овлашћења и да су у обавези да их положе сви они који први пут заснивају радни однос у овом систему (државни стручни испит), односно запослени на </w:t>
      </w:r>
      <w:r w:rsidRPr="000F0299">
        <w:rPr>
          <w:shd w:val="clear" w:color="auto" w:fill="FFFFFF"/>
        </w:rPr>
        <w:t>радним местима са посебним дужностима и овлашћењима (посебан стручни испит).</w:t>
      </w:r>
      <w:r w:rsidRPr="000F0299">
        <w:t xml:space="preserve"> Овај посебни циљ треба да обезбед</w:t>
      </w:r>
      <w:r>
        <w:t>и</w:t>
      </w:r>
      <w:r w:rsidRPr="000F0299">
        <w:t xml:space="preserve"> развој области стручног усавршавања у неколико праваца.</w:t>
      </w:r>
    </w:p>
    <w:p w14:paraId="26063BAE" w14:textId="77777777" w:rsidR="00DF2530" w:rsidRPr="000F0299" w:rsidRDefault="00DF2530" w:rsidP="00DF2530">
      <w:r w:rsidRPr="000F0299">
        <w:t>У почетној фази, потребно је заокружити започети процес унапређења јединственог система стручног усавршавања у државним органима и органима јединица локалне самоуправе, односно сегмената у стручном усавршавању који ути</w:t>
      </w:r>
      <w:r>
        <w:t>чу</w:t>
      </w:r>
      <w:r w:rsidRPr="000F0299">
        <w:t xml:space="preserve"> </w:t>
      </w:r>
      <w:r>
        <w:t>н</w:t>
      </w:r>
      <w:r w:rsidRPr="000F0299">
        <w:t xml:space="preserve">а одрживост система квалитета у </w:t>
      </w:r>
      <w:r>
        <w:t>т</w:t>
      </w:r>
      <w:r w:rsidRPr="000F0299">
        <w:t>ој области</w:t>
      </w:r>
      <w:r>
        <w:t>,</w:t>
      </w:r>
      <w:r w:rsidRPr="000F0299">
        <w:t xml:space="preserve"> и то како материјални</w:t>
      </w:r>
      <w:r>
        <w:t>х</w:t>
      </w:r>
      <w:r w:rsidRPr="000F0299">
        <w:t xml:space="preserve"> елемената</w:t>
      </w:r>
      <w:r>
        <w:t>,</w:t>
      </w:r>
      <w:r w:rsidRPr="000F0299">
        <w:t xml:space="preserve"> као што су селекција и акредитација реализатор</w:t>
      </w:r>
      <w:r>
        <w:t>а</w:t>
      </w:r>
      <w:r w:rsidRPr="000F0299">
        <w:t xml:space="preserve"> и спроводилаца програма обуке или вредновање програма обуке, тако и функционалних, попут унапређења капацитета државних органа, орган</w:t>
      </w:r>
      <w:r>
        <w:t>а</w:t>
      </w:r>
      <w:r w:rsidRPr="000F0299">
        <w:t xml:space="preserve"> јединица локалне самоуправе и руководилаца у </w:t>
      </w:r>
      <w:r>
        <w:t>т</w:t>
      </w:r>
      <w:r w:rsidRPr="000F0299">
        <w:t xml:space="preserve">им органима за успешно управљање и спровођење процеса јединственог система стручног усавршавања у јавној управи или истраживања задовољства корисника (грађана и других субјеката) радом органа јавне управе </w:t>
      </w:r>
      <w:r>
        <w:t xml:space="preserve">како би се </w:t>
      </w:r>
      <w:r w:rsidRPr="000F0299">
        <w:t>утвр</w:t>
      </w:r>
      <w:r>
        <w:t>диле</w:t>
      </w:r>
      <w:r w:rsidRPr="000F0299">
        <w:t xml:space="preserve"> приоритетн</w:t>
      </w:r>
      <w:r>
        <w:t>е</w:t>
      </w:r>
      <w:r w:rsidRPr="000F0299">
        <w:t xml:space="preserve"> области стручног усавршавања државних службеника и запослених у јединицама локалне самоуправе.</w:t>
      </w:r>
    </w:p>
    <w:p w14:paraId="582C3BE8" w14:textId="77777777" w:rsidR="00DF2530" w:rsidRPr="000F0299" w:rsidRDefault="00DF2530" w:rsidP="00DF2530">
      <w:r w:rsidRPr="000F0299">
        <w:t xml:space="preserve">Истовремено, </w:t>
      </w:r>
      <w:r>
        <w:t>предвиђа</w:t>
      </w:r>
      <w:r w:rsidRPr="000F0299">
        <w:t xml:space="preserve"> се даљ</w:t>
      </w:r>
      <w:r>
        <w:t>е</w:t>
      </w:r>
      <w:r w:rsidRPr="000F0299">
        <w:t xml:space="preserve"> осавремењивањ</w:t>
      </w:r>
      <w:r>
        <w:t>е</w:t>
      </w:r>
      <w:r w:rsidRPr="000F0299">
        <w:t xml:space="preserve"> програма обуке и њиховог прилагођавања потребама систем</w:t>
      </w:r>
      <w:r>
        <w:t>а</w:t>
      </w:r>
      <w:r w:rsidRPr="000F0299">
        <w:t xml:space="preserve"> коме су намењени и запослених у њему. </w:t>
      </w:r>
      <w:r>
        <w:t>Потребно</w:t>
      </w:r>
      <w:r w:rsidRPr="000F0299">
        <w:t xml:space="preserve"> је континуиран</w:t>
      </w:r>
      <w:r>
        <w:t>о</w:t>
      </w:r>
      <w:r w:rsidRPr="000F0299">
        <w:t xml:space="preserve"> разв</w:t>
      </w:r>
      <w:r>
        <w:t>ијати</w:t>
      </w:r>
      <w:r w:rsidRPr="000F0299">
        <w:t xml:space="preserve"> општ</w:t>
      </w:r>
      <w:r>
        <w:t>е</w:t>
      </w:r>
      <w:r w:rsidRPr="000F0299">
        <w:t xml:space="preserve"> програм</w:t>
      </w:r>
      <w:r>
        <w:t>е</w:t>
      </w:r>
      <w:r w:rsidRPr="000F0299">
        <w:t xml:space="preserve"> обуке, посебно </w:t>
      </w:r>
      <w:r>
        <w:t xml:space="preserve">подстицати </w:t>
      </w:r>
      <w:r w:rsidRPr="000F0299">
        <w:t xml:space="preserve">иновирање у </w:t>
      </w:r>
      <w:r>
        <w:t xml:space="preserve">делу </w:t>
      </w:r>
      <w:r w:rsidRPr="000F0299">
        <w:t>примене савремених (неконвенционалних) метода и облика стручног усавршавања који су утврђени у прописима, а до сада нису приме</w:t>
      </w:r>
      <w:r>
        <w:t>њивани</w:t>
      </w:r>
      <w:r w:rsidRPr="000F0299">
        <w:t xml:space="preserve"> у обиму који </w:t>
      </w:r>
      <w:r>
        <w:t xml:space="preserve">омогућава постизање </w:t>
      </w:r>
      <w:r w:rsidRPr="000F0299">
        <w:t xml:space="preserve">позитивних ефеката </w:t>
      </w:r>
      <w:r>
        <w:t>у погледу унапређења</w:t>
      </w:r>
      <w:r w:rsidRPr="000F0299">
        <w:t xml:space="preserve"> знања, вештина и способности запослених, посебно руководилаца (стажирање, коучинг, менторство, електронско учење, студијске посете и др.) и с друге стране, предузимање мера за посебно стручно усавршавање запослених </w:t>
      </w:r>
      <w:r w:rsidRPr="000F0299">
        <w:rPr>
          <w:color w:val="000000"/>
          <w:shd w:val="clear" w:color="auto" w:fill="FFFFFF"/>
        </w:rPr>
        <w:t>у складу са специфичним потребама надлежности органа, односно потребама поједин</w:t>
      </w:r>
      <w:r>
        <w:rPr>
          <w:color w:val="000000"/>
          <w:shd w:val="clear" w:color="auto" w:fill="FFFFFF"/>
        </w:rPr>
        <w:t>их</w:t>
      </w:r>
      <w:r w:rsidRPr="000F0299">
        <w:rPr>
          <w:color w:val="000000"/>
          <w:shd w:val="clear" w:color="auto" w:fill="FFFFFF"/>
        </w:rPr>
        <w:t xml:space="preserve"> радн</w:t>
      </w:r>
      <w:r>
        <w:rPr>
          <w:color w:val="000000"/>
          <w:shd w:val="clear" w:color="auto" w:fill="FFFFFF"/>
        </w:rPr>
        <w:t>их</w:t>
      </w:r>
      <w:r w:rsidRPr="000F0299">
        <w:rPr>
          <w:color w:val="000000"/>
          <w:shd w:val="clear" w:color="auto" w:fill="FFFFFF"/>
        </w:rPr>
        <w:t xml:space="preserve"> места, врсте послова или посебне групе корисника</w:t>
      </w:r>
      <w:r w:rsidRPr="000F0299">
        <w:t>, које до сада није имало динамику развоја општих програма обуке.</w:t>
      </w:r>
      <w:r w:rsidRPr="000F0299">
        <w:rPr>
          <w:vertAlign w:val="superscript"/>
        </w:rPr>
        <w:footnoteReference w:id="130"/>
      </w:r>
    </w:p>
    <w:p w14:paraId="340307E0" w14:textId="5BA2DF55" w:rsidR="00DF2530" w:rsidRPr="000F0299" w:rsidRDefault="00DF2530" w:rsidP="00DF2530">
      <w:pPr>
        <w:rPr>
          <w:color w:val="000000"/>
          <w:shd w:val="clear" w:color="auto" w:fill="FFFFFF"/>
        </w:rPr>
      </w:pPr>
      <w:r w:rsidRPr="000F0299">
        <w:t xml:space="preserve">Пре него се приступи наредној фази стандардизације процеса у области стручног усавршавања у јавној управи, потребно је </w:t>
      </w:r>
      <w:r>
        <w:t>пр</w:t>
      </w:r>
      <w:r w:rsidRPr="000F0299">
        <w:t>оцен</w:t>
      </w:r>
      <w:r>
        <w:t>ити</w:t>
      </w:r>
      <w:r w:rsidRPr="000F0299">
        <w:t xml:space="preserve"> ефикасност и ефективност претходно успостављеног система и његовог учинака </w:t>
      </w:r>
      <w:r w:rsidRPr="000F0299">
        <w:rPr>
          <w:color w:val="000000"/>
          <w:shd w:val="clear" w:color="auto" w:fill="FFFFFF"/>
        </w:rPr>
        <w:t xml:space="preserve">како би се утврдило да ли је потребно увести одређене измене. Процесу вредновања до сада спроведених јавних политика у стручном усавршавању потребно је да претходи процена </w:t>
      </w:r>
      <w:r w:rsidRPr="000F0299">
        <w:t>минимума јединствених критеријума</w:t>
      </w:r>
      <w:r w:rsidR="00946661">
        <w:t xml:space="preserve"> </w:t>
      </w:r>
      <w:r w:rsidRPr="000F0299">
        <w:t>и стандарда за изградњу капацитета и стручно усавршавање запослених на нивоу шире јавне управе,</w:t>
      </w:r>
      <w:r w:rsidRPr="000F0299">
        <w:rPr>
          <w:vertAlign w:val="superscript"/>
        </w:rPr>
        <w:footnoteReference w:id="131"/>
      </w:r>
      <w:r w:rsidRPr="000F0299">
        <w:t xml:space="preserve"> као и анализа оптимизације пословних процеса у сврху рационализације, стандардизације и дигитализације свих процеса стручног усавршавања у јавној управи.</w:t>
      </w:r>
    </w:p>
    <w:p w14:paraId="7351F8FC" w14:textId="77777777" w:rsidR="00DF2530" w:rsidRPr="000F0299" w:rsidRDefault="00DF2530" w:rsidP="00DF2530">
      <w:r w:rsidRPr="000F0299">
        <w:t>Поводом захтева послодаваца и потребе запослених у савременом друштву за унапређењем знањ</w:t>
      </w:r>
      <w:r>
        <w:t>е</w:t>
      </w:r>
      <w:r w:rsidRPr="000F0299">
        <w:t>, вештин</w:t>
      </w:r>
      <w:r>
        <w:t>е</w:t>
      </w:r>
      <w:r w:rsidRPr="000F0299">
        <w:t xml:space="preserve"> и способности </w:t>
      </w:r>
      <w:r>
        <w:t xml:space="preserve">како би </w:t>
      </w:r>
      <w:r w:rsidRPr="000F0299">
        <w:t>одржава</w:t>
      </w:r>
      <w:r>
        <w:t>ли</w:t>
      </w:r>
      <w:r w:rsidRPr="000F0299">
        <w:t xml:space="preserve"> свој</w:t>
      </w:r>
      <w:r>
        <w:t>у</w:t>
      </w:r>
      <w:r w:rsidRPr="000F0299">
        <w:t xml:space="preserve"> конкурентност у пословном свету, коме припада и јавна управа, стручно усавршавање мора одговорити развојем концепта усмереног на процес </w:t>
      </w:r>
      <w:r>
        <w:t xml:space="preserve">целоживотног </w:t>
      </w:r>
      <w:r w:rsidRPr="000F0299">
        <w:t xml:space="preserve">учења, при чему је у планирању, реализацији и евалуацији програма обуке посебну пажњу потребно усмерити на </w:t>
      </w:r>
      <w:r>
        <w:t xml:space="preserve">предвиђене </w:t>
      </w:r>
      <w:r w:rsidRPr="000F0299">
        <w:t>резултате (исходе) стручног усавршавања, који су изражени као индивидуална постигнућа сваког запосленог у јавној управи, са крајњим утицајем на ефективност, економичност и транспарентност у раду орган</w:t>
      </w:r>
      <w:r>
        <w:t>а</w:t>
      </w:r>
      <w:r w:rsidRPr="000F0299">
        <w:t xml:space="preserve">изационог облика у коме су запослени. Зато је потребно темељно приступити разради, уређењу и примени концепта целоживотног стручног усавршавања у јавној управи и његових утицаја на боље планирање кадра у јавној управи, систем </w:t>
      </w:r>
      <w:r>
        <w:t xml:space="preserve">њиховог </w:t>
      </w:r>
      <w:r w:rsidRPr="000F0299">
        <w:t>оцењивања и награђивања.</w:t>
      </w:r>
    </w:p>
    <w:p w14:paraId="2AC9C8DE" w14:textId="77777777" w:rsidR="00DF2530" w:rsidRPr="000F0299" w:rsidRDefault="00DF2530" w:rsidP="00DF2530">
      <w:r>
        <w:t>П</w:t>
      </w:r>
      <w:r w:rsidRPr="000F0299">
        <w:t xml:space="preserve">отребно је успоставити однос с другим сегментима у целоживотном учењу и целоживотном образовању одраслих и пронаћи модалитете који могу додатно да подрже континуиран процес стручног усавршавања у јавној управи прилагођен потребама запослених, њихових руководилаца, али и органа и организација у </w:t>
      </w:r>
      <w:r>
        <w:t>т</w:t>
      </w:r>
      <w:r w:rsidRPr="000F0299">
        <w:t xml:space="preserve">ом систему. Успостављање инструмената сарадње између институција у чијем су делокругу послови стручног усавршавања запослених у државним и другим органима један </w:t>
      </w:r>
      <w:r>
        <w:t xml:space="preserve">је </w:t>
      </w:r>
      <w:r w:rsidRPr="000F0299">
        <w:t>од првих корака у том реформском правцу, као и развој сарадње са високошколским установама ради подршке у школовању</w:t>
      </w:r>
      <w:r>
        <w:t xml:space="preserve">, односно </w:t>
      </w:r>
      <w:r w:rsidRPr="000F0299">
        <w:t>додатном образовању кадра за јавну управу.</w:t>
      </w:r>
    </w:p>
    <w:p w14:paraId="1A2BC717" w14:textId="125EAC3A" w:rsidR="00DF2530" w:rsidRPr="000F0299" w:rsidRDefault="00DF2530" w:rsidP="00DF2530">
      <w:r w:rsidRPr="000F0299">
        <w:t xml:space="preserve">Изузетно </w:t>
      </w:r>
      <w:r>
        <w:t xml:space="preserve">је </w:t>
      </w:r>
      <w:r w:rsidRPr="000F0299">
        <w:t>значајн</w:t>
      </w:r>
      <w:r>
        <w:t>о</w:t>
      </w:r>
      <w:r w:rsidRPr="000F0299">
        <w:t xml:space="preserve"> </w:t>
      </w:r>
      <w:r>
        <w:t>да се</w:t>
      </w:r>
      <w:r w:rsidRPr="000F0299">
        <w:t xml:space="preserve"> </w:t>
      </w:r>
      <w:r>
        <w:t>тај</w:t>
      </w:r>
      <w:r w:rsidRPr="000F0299">
        <w:t xml:space="preserve"> систем</w:t>
      </w:r>
      <w:r>
        <w:t xml:space="preserve"> повеже</w:t>
      </w:r>
      <w:r w:rsidRPr="000F0299">
        <w:t xml:space="preserve"> са системом стручних испита у државној управи. </w:t>
      </w:r>
      <w:r>
        <w:t>О</w:t>
      </w:r>
      <w:r w:rsidRPr="000F0299">
        <w:t xml:space="preserve">бласт стручних испита има дугу традицију, </w:t>
      </w:r>
      <w:r>
        <w:t xml:space="preserve">али је </w:t>
      </w:r>
      <w:r w:rsidRPr="000F0299">
        <w:t xml:space="preserve">дуги низ година била изван реформских процеса. </w:t>
      </w:r>
      <w:r>
        <w:t>Н</w:t>
      </w:r>
      <w:r w:rsidRPr="000F0299">
        <w:t>еплански и сегментални приступ решавању индивидуалних потреба довео је до експанзије прописа који на другачијим основама уређују иста питања од значаја за целину области стручних испита. Зато је потребно посебну пажњу посветити успостављању нормативног оквира којим се на јединственим основама уређује област стручних испита у систему државне управе и стварају предуслови за суштинску трансформацију у модел потребан целини правног система, као и посебним областима деловања.</w:t>
      </w:r>
    </w:p>
    <w:p w14:paraId="0BA9ABBE" w14:textId="77777777" w:rsidR="00DF2530" w:rsidRPr="000F0299" w:rsidRDefault="00DF2530" w:rsidP="00DF2530">
      <w:pPr>
        <w:pStyle w:val="Heading4"/>
        <w:rPr>
          <w:lang w:val="sr-Cyrl-RS"/>
        </w:rPr>
      </w:pPr>
      <w:r w:rsidRPr="000F0299">
        <w:rPr>
          <w:lang w:val="sr-Cyrl-RS"/>
        </w:rPr>
        <w:t>Анализа ефеката опција за циљ 2.3</w:t>
      </w:r>
    </w:p>
    <w:p w14:paraId="072E44FC" w14:textId="340CA880" w:rsidR="00DF2530" w:rsidRPr="000F0299" w:rsidRDefault="00DF2530" w:rsidP="00DF2530">
      <w:r w:rsidRPr="0065733F">
        <w:t xml:space="preserve">Тест утицаја опција предвиђених за постизање овог циља </w:t>
      </w:r>
      <w:r w:rsidRPr="000F0299">
        <w:t xml:space="preserve">показао је да </w:t>
      </w:r>
      <w:r>
        <w:t xml:space="preserve">не утичу пресудно на критеријуме, тј. њихов утицај би био само умерено </w:t>
      </w:r>
      <w:r w:rsidRPr="000F0299">
        <w:t>релевант</w:t>
      </w:r>
      <w:r>
        <w:t>а</w:t>
      </w:r>
      <w:r w:rsidRPr="000F0299">
        <w:t xml:space="preserve">н. Пошто </w:t>
      </w:r>
      <w:r>
        <w:t xml:space="preserve">су постигнута пет </w:t>
      </w:r>
      <w:r w:rsidRPr="000F0299">
        <w:t>од максималн</w:t>
      </w:r>
      <w:r>
        <w:t>о 14</w:t>
      </w:r>
      <w:r w:rsidRPr="000F0299">
        <w:t xml:space="preserve"> бодова, детаљна анализа ефеката није потребна.</w:t>
      </w:r>
    </w:p>
    <w:p w14:paraId="15192A6D" w14:textId="77777777" w:rsidR="00DF2530" w:rsidRPr="000F0299" w:rsidRDefault="00DF2530" w:rsidP="00DF2530">
      <w:pPr>
        <w:ind w:firstLine="0"/>
        <w:rPr>
          <w:b/>
          <w:bCs/>
        </w:rPr>
      </w:pPr>
      <w:r w:rsidRPr="000F0299">
        <w:rPr>
          <w:b/>
          <w:bCs/>
        </w:rPr>
        <w:t>Тест утицаја</w:t>
      </w:r>
    </w:p>
    <w:tbl>
      <w:tblPr>
        <w:tblStyle w:val="ListTable2-Accent31"/>
        <w:tblW w:w="5000" w:type="pct"/>
        <w:tblLook w:val="0620" w:firstRow="1" w:lastRow="0" w:firstColumn="0" w:lastColumn="0" w:noHBand="1" w:noVBand="1"/>
      </w:tblPr>
      <w:tblGrid>
        <w:gridCol w:w="7986"/>
        <w:gridCol w:w="235"/>
        <w:gridCol w:w="1417"/>
      </w:tblGrid>
      <w:tr w:rsidR="00DF2530" w:rsidRPr="000F0299" w14:paraId="0CD7411A" w14:textId="77777777" w:rsidTr="00DF2530">
        <w:trPr>
          <w:cnfStyle w:val="100000000000" w:firstRow="1" w:lastRow="0" w:firstColumn="0" w:lastColumn="0" w:oddVBand="0" w:evenVBand="0" w:oddHBand="0" w:evenHBand="0" w:firstRowFirstColumn="0" w:firstRowLastColumn="0" w:lastRowFirstColumn="0" w:lastRowLastColumn="0"/>
        </w:trPr>
        <w:tc>
          <w:tcPr>
            <w:tcW w:w="4265" w:type="pct"/>
            <w:gridSpan w:val="2"/>
          </w:tcPr>
          <w:p w14:paraId="017D57E4" w14:textId="77777777" w:rsidR="00DF2530" w:rsidRPr="000F0299" w:rsidRDefault="00DF2530" w:rsidP="00DF2530">
            <w:pPr>
              <w:pStyle w:val="basic-paragraph"/>
              <w:spacing w:before="0" w:beforeAutospacing="0" w:after="60" w:afterAutospacing="0"/>
              <w:ind w:firstLine="0"/>
              <w:rPr>
                <w:b w:val="0"/>
                <w:bCs w:val="0"/>
                <w:lang w:val="sr-Cyrl-RS"/>
              </w:rPr>
            </w:pPr>
            <w:r w:rsidRPr="000F0299">
              <w:rPr>
                <w:lang w:val="sr-Cyrl-RS"/>
              </w:rPr>
              <w:t>Посебан циљ 2.3:</w:t>
            </w:r>
            <w:r w:rsidRPr="000F0299">
              <w:rPr>
                <w:i/>
                <w:iCs/>
                <w:lang w:val="sr-Cyrl-RS"/>
              </w:rPr>
              <w:t xml:space="preserve"> </w:t>
            </w:r>
            <w:r w:rsidRPr="000F0299">
              <w:rPr>
                <w:lang w:val="sr-Cyrl-RS"/>
              </w:rPr>
              <w:t>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w:t>
            </w:r>
          </w:p>
        </w:tc>
        <w:tc>
          <w:tcPr>
            <w:tcW w:w="735" w:type="pct"/>
          </w:tcPr>
          <w:p w14:paraId="40A17376" w14:textId="77777777" w:rsidR="00DF2530" w:rsidRPr="000F0299" w:rsidRDefault="00DF2530" w:rsidP="00DF2530">
            <w:pPr>
              <w:pStyle w:val="basic-paragraph"/>
              <w:spacing w:before="0" w:beforeAutospacing="0" w:after="60" w:afterAutospacing="0"/>
              <w:ind w:left="3160" w:hanging="3160"/>
              <w:rPr>
                <w:lang w:val="sr-Cyrl-RS"/>
              </w:rPr>
            </w:pPr>
            <w:r w:rsidRPr="000F0299">
              <w:rPr>
                <w:lang w:val="sr-Cyrl-RS"/>
              </w:rPr>
              <w:t>бодови</w:t>
            </w:r>
          </w:p>
        </w:tc>
      </w:tr>
      <w:tr w:rsidR="00DF2530" w:rsidRPr="000F0299" w14:paraId="63DAE685" w14:textId="77777777" w:rsidTr="00DF2530">
        <w:tc>
          <w:tcPr>
            <w:tcW w:w="5000" w:type="pct"/>
            <w:gridSpan w:val="3"/>
            <w:shd w:val="clear" w:color="auto" w:fill="BFBFBF" w:themeFill="background1" w:themeFillShade="BF"/>
          </w:tcPr>
          <w:p w14:paraId="38E9291C" w14:textId="77777777" w:rsidR="00DF2530" w:rsidRPr="000F0299" w:rsidRDefault="00DF2530" w:rsidP="00DF2530">
            <w:pPr>
              <w:spacing w:before="0"/>
              <w:ind w:firstLine="0"/>
            </w:pPr>
            <w:r w:rsidRPr="000F0299">
              <w:t>Квантитативни критеријуми који налажу да се обавезно спроведе детаљна анализа ефеката</w:t>
            </w:r>
          </w:p>
        </w:tc>
      </w:tr>
      <w:tr w:rsidR="00DF2530" w:rsidRPr="000F0299" w14:paraId="517B6C45" w14:textId="77777777" w:rsidTr="00DF2530">
        <w:tc>
          <w:tcPr>
            <w:tcW w:w="4143" w:type="pct"/>
          </w:tcPr>
          <w:p w14:paraId="5FCA63DE" w14:textId="77777777" w:rsidR="00DF2530" w:rsidRPr="000F0299" w:rsidRDefault="00DF2530" w:rsidP="00DF2530">
            <w:pPr>
              <w:spacing w:before="0"/>
              <w:ind w:firstLine="0"/>
            </w:pPr>
            <w:r w:rsidRPr="000F0299">
              <w:t xml:space="preserve">Промена у приходима и расходима, као и примањима и издацима </w:t>
            </w:r>
            <w:r>
              <w:t>органа државне управе</w:t>
            </w:r>
            <w:r w:rsidRPr="000F0299">
              <w:t xml:space="preserve">/буџету РС, на годишњем нивоу већа од 10% буџета у </w:t>
            </w:r>
            <w:r>
              <w:t xml:space="preserve">односу на </w:t>
            </w:r>
            <w:r w:rsidRPr="000F0299">
              <w:t>п</w:t>
            </w:r>
            <w:r>
              <w:t>ретходну</w:t>
            </w:r>
            <w:r w:rsidRPr="000F0299">
              <w:t xml:space="preserve"> фискалној години</w:t>
            </w:r>
          </w:p>
        </w:tc>
        <w:tc>
          <w:tcPr>
            <w:tcW w:w="857" w:type="pct"/>
            <w:gridSpan w:val="2"/>
          </w:tcPr>
          <w:p w14:paraId="72661689" w14:textId="77777777" w:rsidR="00DF2530" w:rsidRPr="000F0299" w:rsidRDefault="00DF2530" w:rsidP="00DF2530">
            <w:pPr>
              <w:spacing w:before="0"/>
              <w:jc w:val="center"/>
            </w:pPr>
            <w:r w:rsidRPr="000F0299">
              <w:t>0</w:t>
            </w:r>
          </w:p>
        </w:tc>
      </w:tr>
      <w:tr w:rsidR="00DF2530" w:rsidRPr="000F0299" w14:paraId="1B3CEBEB" w14:textId="77777777" w:rsidTr="00DF2530">
        <w:tc>
          <w:tcPr>
            <w:tcW w:w="4143" w:type="pct"/>
          </w:tcPr>
          <w:p w14:paraId="06F57F7E" w14:textId="77777777" w:rsidR="00DF2530" w:rsidRPr="000F0299" w:rsidRDefault="00DF2530" w:rsidP="00DF2530">
            <w:pPr>
              <w:spacing w:before="0"/>
              <w:ind w:firstLine="0"/>
            </w:pPr>
            <w:r w:rsidRPr="000F0299">
              <w:t>Утицај на више од 200.000 грађана</w:t>
            </w:r>
          </w:p>
        </w:tc>
        <w:tc>
          <w:tcPr>
            <w:tcW w:w="857" w:type="pct"/>
            <w:gridSpan w:val="2"/>
          </w:tcPr>
          <w:p w14:paraId="1328B1E2" w14:textId="77777777" w:rsidR="00DF2530" w:rsidRPr="000F0299" w:rsidRDefault="00DF2530" w:rsidP="00DF2530">
            <w:pPr>
              <w:spacing w:before="0"/>
              <w:jc w:val="center"/>
            </w:pPr>
            <w:r w:rsidRPr="000F0299">
              <w:t>0</w:t>
            </w:r>
          </w:p>
        </w:tc>
      </w:tr>
      <w:tr w:rsidR="00DF2530" w:rsidRPr="000F0299" w14:paraId="1B4CF896" w14:textId="77777777" w:rsidTr="00DF2530">
        <w:tc>
          <w:tcPr>
            <w:tcW w:w="4143" w:type="pct"/>
          </w:tcPr>
          <w:p w14:paraId="0B334E6C" w14:textId="77777777" w:rsidR="00DF2530" w:rsidRPr="000F0299" w:rsidRDefault="00DF2530" w:rsidP="00DF2530">
            <w:pPr>
              <w:spacing w:before="0"/>
              <w:ind w:firstLine="0"/>
            </w:pPr>
            <w:r w:rsidRPr="000F0299">
              <w:t>Утицај на више од 5% предузетника или правних лица, или на више од 20% тих лица у одређеној делатности</w:t>
            </w:r>
          </w:p>
        </w:tc>
        <w:tc>
          <w:tcPr>
            <w:tcW w:w="857" w:type="pct"/>
            <w:gridSpan w:val="2"/>
          </w:tcPr>
          <w:p w14:paraId="4A54339D" w14:textId="2B085D59" w:rsidR="00DF2530" w:rsidRPr="000F0299" w:rsidRDefault="00DF2530" w:rsidP="00DF2530">
            <w:pPr>
              <w:spacing w:before="0"/>
              <w:jc w:val="center"/>
            </w:pPr>
            <w:r>
              <w:t>1</w:t>
            </w:r>
          </w:p>
        </w:tc>
      </w:tr>
      <w:tr w:rsidR="00DF2530" w:rsidRPr="000F0299" w14:paraId="7BDD395D" w14:textId="77777777" w:rsidTr="00DF2530">
        <w:tc>
          <w:tcPr>
            <w:tcW w:w="5000" w:type="pct"/>
            <w:gridSpan w:val="3"/>
            <w:shd w:val="clear" w:color="auto" w:fill="BFBFBF" w:themeFill="background1" w:themeFillShade="BF"/>
          </w:tcPr>
          <w:p w14:paraId="72E95134" w14:textId="77777777" w:rsidR="00DF2530" w:rsidRPr="000F0299" w:rsidRDefault="00DF2530" w:rsidP="00DF2530">
            <w:pPr>
              <w:spacing w:before="0"/>
              <w:ind w:firstLine="0"/>
            </w:pPr>
            <w:r w:rsidRPr="000F0299">
              <w:t>Квалитативни критеријуми који налажу да се обавезно спроведе детаљна анализа ефеката</w:t>
            </w:r>
          </w:p>
        </w:tc>
      </w:tr>
      <w:tr w:rsidR="00DF2530" w:rsidRPr="000F0299" w14:paraId="292E4777" w14:textId="77777777" w:rsidTr="00DF2530">
        <w:tc>
          <w:tcPr>
            <w:tcW w:w="4143" w:type="pct"/>
          </w:tcPr>
          <w:p w14:paraId="70EEA030" w14:textId="77777777" w:rsidR="00DF2530" w:rsidRPr="000F0299" w:rsidRDefault="00DF2530" w:rsidP="00DF2530">
            <w:pPr>
              <w:spacing w:before="0"/>
              <w:ind w:firstLine="0"/>
            </w:pPr>
            <w:r w:rsidRPr="000F0299">
              <w:t>Утицај на тржиште и услове конкуренције/конкурентности</w:t>
            </w:r>
          </w:p>
        </w:tc>
        <w:tc>
          <w:tcPr>
            <w:tcW w:w="857" w:type="pct"/>
            <w:gridSpan w:val="2"/>
          </w:tcPr>
          <w:p w14:paraId="0D8457F0" w14:textId="77777777" w:rsidR="00DF2530" w:rsidRPr="000F0299" w:rsidRDefault="00DF2530" w:rsidP="00DF2530">
            <w:pPr>
              <w:spacing w:before="0"/>
              <w:jc w:val="center"/>
            </w:pPr>
            <w:r>
              <w:t>1</w:t>
            </w:r>
          </w:p>
        </w:tc>
      </w:tr>
      <w:tr w:rsidR="00DF2530" w:rsidRPr="000F0299" w14:paraId="7CC6ECDC" w14:textId="77777777" w:rsidTr="00DF2530">
        <w:tc>
          <w:tcPr>
            <w:tcW w:w="4143" w:type="pct"/>
          </w:tcPr>
          <w:p w14:paraId="6F785953" w14:textId="77777777" w:rsidR="00DF2530" w:rsidRPr="000F0299" w:rsidRDefault="00DF2530" w:rsidP="00DF2530">
            <w:pPr>
              <w:spacing w:before="0"/>
              <w:ind w:firstLine="0"/>
            </w:pPr>
            <w:r w:rsidRPr="000F0299">
              <w:t xml:space="preserve">Увођење значајних реформских, односно системских промена </w:t>
            </w:r>
          </w:p>
        </w:tc>
        <w:tc>
          <w:tcPr>
            <w:tcW w:w="857" w:type="pct"/>
            <w:gridSpan w:val="2"/>
          </w:tcPr>
          <w:p w14:paraId="7707AEB9" w14:textId="77777777" w:rsidR="00DF2530" w:rsidRPr="000F0299" w:rsidRDefault="00DF2530" w:rsidP="00DF2530">
            <w:pPr>
              <w:spacing w:before="0"/>
              <w:jc w:val="center"/>
            </w:pPr>
            <w:r w:rsidRPr="000F0299">
              <w:t>1</w:t>
            </w:r>
          </w:p>
        </w:tc>
      </w:tr>
      <w:tr w:rsidR="00DF2530" w:rsidRPr="000F0299" w14:paraId="33C6DAFB" w14:textId="77777777" w:rsidTr="00DF2530">
        <w:tc>
          <w:tcPr>
            <w:tcW w:w="5000" w:type="pct"/>
            <w:gridSpan w:val="3"/>
            <w:shd w:val="clear" w:color="auto" w:fill="BFBFBF" w:themeFill="background1" w:themeFillShade="BF"/>
          </w:tcPr>
          <w:p w14:paraId="7679A549" w14:textId="77777777" w:rsidR="00DF2530" w:rsidRPr="000F0299" w:rsidRDefault="00DF2530" w:rsidP="00DF2530">
            <w:pPr>
              <w:spacing w:before="0"/>
              <w:ind w:firstLine="0"/>
            </w:pPr>
            <w:r w:rsidRPr="000F0299">
              <w:t xml:space="preserve">Хоризонтални критеријуми </w:t>
            </w:r>
          </w:p>
        </w:tc>
      </w:tr>
      <w:tr w:rsidR="00DF2530" w:rsidRPr="000F0299" w14:paraId="365563DB" w14:textId="77777777" w:rsidTr="00DF2530">
        <w:tc>
          <w:tcPr>
            <w:tcW w:w="4143" w:type="pct"/>
          </w:tcPr>
          <w:p w14:paraId="6ECB9397" w14:textId="77777777" w:rsidR="00DF2530" w:rsidRPr="000F0299" w:rsidRDefault="00DF2530" w:rsidP="00DF2530">
            <w:pPr>
              <w:spacing w:before="0"/>
              <w:ind w:firstLine="0"/>
            </w:pPr>
            <w:r w:rsidRPr="000F0299">
              <w:t>Од значаја за остварење једнаког третмана и истих могућности за све</w:t>
            </w:r>
            <w:r w:rsidRPr="000F0299">
              <w:rPr>
                <w:color w:val="B8323D"/>
              </w:rPr>
              <w:t xml:space="preserve">, </w:t>
            </w:r>
            <w:r w:rsidRPr="000F0299">
              <w:t>недискриминације и родне равноправности</w:t>
            </w:r>
          </w:p>
        </w:tc>
        <w:tc>
          <w:tcPr>
            <w:tcW w:w="857" w:type="pct"/>
            <w:gridSpan w:val="2"/>
          </w:tcPr>
          <w:p w14:paraId="12EA01D8" w14:textId="77777777" w:rsidR="00DF2530" w:rsidRPr="000F0299" w:rsidRDefault="00DF2530" w:rsidP="00DF2530">
            <w:pPr>
              <w:spacing w:before="0"/>
              <w:jc w:val="center"/>
            </w:pPr>
            <w:r w:rsidRPr="000F0299">
              <w:t>1</w:t>
            </w:r>
          </w:p>
        </w:tc>
      </w:tr>
      <w:tr w:rsidR="00DF2530" w:rsidRPr="000F0299" w14:paraId="51AA1B10" w14:textId="77777777" w:rsidTr="00DF2530">
        <w:tc>
          <w:tcPr>
            <w:tcW w:w="5000" w:type="pct"/>
            <w:gridSpan w:val="3"/>
            <w:shd w:val="clear" w:color="auto" w:fill="BFBFBF" w:themeFill="background1" w:themeFillShade="BF"/>
          </w:tcPr>
          <w:p w14:paraId="04E49EBB" w14:textId="77777777" w:rsidR="00DF2530" w:rsidRPr="000F0299" w:rsidRDefault="00DF2530" w:rsidP="00DF2530">
            <w:pPr>
              <w:spacing w:before="0"/>
              <w:ind w:firstLine="0"/>
            </w:pPr>
            <w:r w:rsidRPr="000F0299">
              <w:t xml:space="preserve">Новине у односу на текуће процесе </w:t>
            </w:r>
            <w:r>
              <w:t>реформе јавне управе</w:t>
            </w:r>
            <w:r w:rsidRPr="000F0299">
              <w:t xml:space="preserve"> </w:t>
            </w:r>
          </w:p>
        </w:tc>
      </w:tr>
      <w:tr w:rsidR="00DF2530" w:rsidRPr="000F0299" w14:paraId="674AB4E3" w14:textId="77777777" w:rsidTr="00DF2530">
        <w:tc>
          <w:tcPr>
            <w:tcW w:w="4143" w:type="pct"/>
          </w:tcPr>
          <w:p w14:paraId="05DD1852" w14:textId="77777777" w:rsidR="00DF2530" w:rsidRPr="000F0299" w:rsidRDefault="00DF2530" w:rsidP="00DF2530">
            <w:pPr>
              <w:spacing w:before="0"/>
              <w:ind w:firstLine="0"/>
            </w:pPr>
            <w:r w:rsidRPr="000F0299">
              <w:t>Новина у оквиру реформе јавне управе</w:t>
            </w:r>
          </w:p>
        </w:tc>
        <w:tc>
          <w:tcPr>
            <w:tcW w:w="857" w:type="pct"/>
            <w:gridSpan w:val="2"/>
          </w:tcPr>
          <w:p w14:paraId="0DFABDA9" w14:textId="77777777" w:rsidR="00DF2530" w:rsidRPr="000F0299" w:rsidRDefault="00DF2530" w:rsidP="00DF2530">
            <w:pPr>
              <w:spacing w:before="0"/>
              <w:jc w:val="center"/>
            </w:pPr>
            <w:r w:rsidRPr="000F0299">
              <w:t>1</w:t>
            </w:r>
          </w:p>
        </w:tc>
      </w:tr>
      <w:tr w:rsidR="00DF2530" w:rsidRPr="000F0299" w14:paraId="79CEE08A" w14:textId="77777777" w:rsidTr="00DF2530">
        <w:tc>
          <w:tcPr>
            <w:tcW w:w="4143" w:type="pct"/>
          </w:tcPr>
          <w:p w14:paraId="380A6705" w14:textId="77777777" w:rsidR="00DF2530" w:rsidRPr="000F0299" w:rsidRDefault="00DF2530" w:rsidP="00DF2530">
            <w:pPr>
              <w:spacing w:before="0"/>
              <w:ind w:firstLine="0"/>
              <w:rPr>
                <w:b/>
                <w:bCs/>
              </w:rPr>
            </w:pPr>
            <w:r w:rsidRPr="000F0299">
              <w:rPr>
                <w:b/>
                <w:bCs/>
              </w:rPr>
              <w:t>УКУПНО:</w:t>
            </w:r>
          </w:p>
        </w:tc>
        <w:tc>
          <w:tcPr>
            <w:tcW w:w="857" w:type="pct"/>
            <w:gridSpan w:val="2"/>
          </w:tcPr>
          <w:p w14:paraId="021EFCA4" w14:textId="7F84CF79" w:rsidR="00DF2530" w:rsidRPr="000F0299" w:rsidRDefault="00DF2530" w:rsidP="00DF2530">
            <w:pPr>
              <w:spacing w:before="0"/>
              <w:jc w:val="center"/>
              <w:rPr>
                <w:b/>
                <w:bCs/>
              </w:rPr>
            </w:pPr>
            <w:r>
              <w:rPr>
                <w:b/>
                <w:bCs/>
              </w:rPr>
              <w:t>5</w:t>
            </w:r>
            <w:r w:rsidRPr="000F0299">
              <w:rPr>
                <w:b/>
                <w:bCs/>
              </w:rPr>
              <w:t>/14</w:t>
            </w:r>
          </w:p>
        </w:tc>
      </w:tr>
    </w:tbl>
    <w:p w14:paraId="59A11A95" w14:textId="6ECE5881" w:rsidR="003F3312" w:rsidRPr="000F0299" w:rsidRDefault="00F47F65" w:rsidP="00C013C7">
      <w:pPr>
        <w:pStyle w:val="Heading4"/>
        <w:rPr>
          <w:lang w:val="sr-Cyrl-RS"/>
        </w:rPr>
      </w:pPr>
      <w:hyperlink w:anchor="_Посебан_циљ_2.3:" w:history="1">
        <w:r w:rsidR="005F4559" w:rsidRPr="00797D36">
          <w:rPr>
            <w:rStyle w:val="Hyperlink"/>
            <w:lang w:val="sr-Cyrl-RS"/>
          </w:rPr>
          <w:t>Мер</w:t>
        </w:r>
        <w:r w:rsidR="00832E4F" w:rsidRPr="00797D36">
          <w:rPr>
            <w:rStyle w:val="Hyperlink"/>
            <w:lang w:val="sr-Cyrl-RS"/>
          </w:rPr>
          <w:t>е за постизање посебног циља 2.3</w:t>
        </w:r>
        <w:r w:rsidR="005F4559" w:rsidRPr="00797D36">
          <w:rPr>
            <w:rStyle w:val="Hyperlink"/>
            <w:lang w:val="sr-Cyrl-RS"/>
          </w:rPr>
          <w:t>.</w:t>
        </w:r>
      </w:hyperlink>
    </w:p>
    <w:p w14:paraId="152F3DEF" w14:textId="400F6CA7" w:rsidR="005F4559" w:rsidRPr="000F0299" w:rsidRDefault="00C67B0B" w:rsidP="00244E7C">
      <w:pPr>
        <w:rPr>
          <w:b/>
        </w:rPr>
      </w:pPr>
      <w:r w:rsidRPr="000F0299">
        <w:rPr>
          <w:b/>
        </w:rPr>
        <w:t>Meрa</w:t>
      </w:r>
      <w:r w:rsidR="003F3312" w:rsidRPr="000F0299">
        <w:rPr>
          <w:b/>
        </w:rPr>
        <w:t xml:space="preserve"> 2.3.1: Унапређење јединственог система стручног усавршавања у државним органима и органима јединица локалне самоуправе</w:t>
      </w:r>
    </w:p>
    <w:p w14:paraId="4AB88943" w14:textId="77777777" w:rsidR="00DF2530" w:rsidRPr="000F0299" w:rsidRDefault="00DF2530" w:rsidP="00DF2530">
      <w:r w:rsidRPr="000F0299">
        <w:t xml:space="preserve">Мера </w:t>
      </w:r>
      <w:r>
        <w:t>је усмерена на</w:t>
      </w:r>
      <w:r w:rsidRPr="000F0299">
        <w:t xml:space="preserve"> развој материјалних и функционалних елемената у стручном усавршавању државних службеника и запослених у </w:t>
      </w:r>
      <w:r>
        <w:t>ЈЛС</w:t>
      </w:r>
      <w:r w:rsidRPr="000F0299">
        <w:t xml:space="preserve">, </w:t>
      </w:r>
      <w:r>
        <w:t xml:space="preserve">као и </w:t>
      </w:r>
      <w:r w:rsidRPr="000F0299">
        <w:t>пруж</w:t>
      </w:r>
      <w:r>
        <w:t>ање</w:t>
      </w:r>
      <w:r w:rsidRPr="000F0299">
        <w:t xml:space="preserve"> подршк</w:t>
      </w:r>
      <w:r>
        <w:t>е</w:t>
      </w:r>
      <w:r w:rsidRPr="000F0299">
        <w:t xml:space="preserve"> државним органима и органима јединица локалне самоуправе у изградњи капацитета за управљање процесима стручног усавршавања. </w:t>
      </w:r>
      <w:r>
        <w:t>Ова мера обухвата и раз</w:t>
      </w:r>
      <w:r w:rsidRPr="000F0299">
        <w:t xml:space="preserve">вој инструмената и методологије за спровођење истраживања задовољства корисника (грађана и других субјеката) радом органа јавне управе ставиће </w:t>
      </w:r>
      <w:r>
        <w:t>како би се</w:t>
      </w:r>
      <w:r w:rsidRPr="000F0299">
        <w:t xml:space="preserve"> утвр</w:t>
      </w:r>
      <w:r>
        <w:t>диле</w:t>
      </w:r>
      <w:r w:rsidRPr="000F0299">
        <w:t xml:space="preserve"> приоритетн</w:t>
      </w:r>
      <w:r>
        <w:t>е</w:t>
      </w:r>
      <w:r w:rsidRPr="000F0299">
        <w:t xml:space="preserve"> области стручног усавршавања државних службеника и запослених у </w:t>
      </w:r>
      <w:r>
        <w:t>ЈЛС</w:t>
      </w:r>
      <w:r w:rsidRPr="000F0299">
        <w:t>.</w:t>
      </w:r>
    </w:p>
    <w:tbl>
      <w:tblPr>
        <w:tblW w:w="5000" w:type="pct"/>
        <w:tblLook w:val="00A0" w:firstRow="1" w:lastRow="0" w:firstColumn="1" w:lastColumn="0" w:noHBand="0" w:noVBand="0"/>
      </w:tblPr>
      <w:tblGrid>
        <w:gridCol w:w="364"/>
        <w:gridCol w:w="4905"/>
        <w:gridCol w:w="1984"/>
        <w:gridCol w:w="1984"/>
        <w:gridCol w:w="355"/>
      </w:tblGrid>
      <w:tr w:rsidR="005F4559" w:rsidRPr="000F0299" w14:paraId="41C4AD45" w14:textId="77777777" w:rsidTr="006F7A2B">
        <w:trPr>
          <w:trHeight w:val="20"/>
        </w:trPr>
        <w:tc>
          <w:tcPr>
            <w:tcW w:w="190" w:type="pct"/>
            <w:tcBorders>
              <w:top w:val="single" w:sz="18" w:space="0" w:color="C00000"/>
              <w:left w:val="single" w:sz="18" w:space="0" w:color="C00000"/>
            </w:tcBorders>
            <w:shd w:val="clear" w:color="auto" w:fill="auto"/>
          </w:tcPr>
          <w:p w14:paraId="64878BBE" w14:textId="77777777" w:rsidR="005F4559" w:rsidRPr="000F0299" w:rsidRDefault="005F4559" w:rsidP="005A56DA">
            <w:pPr>
              <w:spacing w:before="0"/>
              <w:ind w:firstLine="0"/>
              <w:rPr>
                <w:b/>
                <w:bCs/>
                <w:sz w:val="16"/>
                <w:szCs w:val="16"/>
              </w:rPr>
            </w:pPr>
          </w:p>
        </w:tc>
        <w:tc>
          <w:tcPr>
            <w:tcW w:w="2556" w:type="pct"/>
            <w:tcBorders>
              <w:top w:val="single" w:sz="18" w:space="0" w:color="C00000"/>
            </w:tcBorders>
            <w:shd w:val="clear" w:color="auto" w:fill="auto"/>
          </w:tcPr>
          <w:p w14:paraId="3F08F262" w14:textId="77777777" w:rsidR="005F4559" w:rsidRPr="000F0299" w:rsidRDefault="005F4559" w:rsidP="005A56DA">
            <w:pPr>
              <w:spacing w:before="0"/>
              <w:ind w:firstLine="0"/>
              <w:rPr>
                <w:b/>
                <w:bCs/>
                <w:sz w:val="16"/>
                <w:szCs w:val="16"/>
              </w:rPr>
            </w:pPr>
          </w:p>
        </w:tc>
        <w:tc>
          <w:tcPr>
            <w:tcW w:w="1034" w:type="pct"/>
            <w:tcBorders>
              <w:top w:val="single" w:sz="18" w:space="0" w:color="C00000"/>
            </w:tcBorders>
            <w:shd w:val="clear" w:color="auto" w:fill="auto"/>
            <w:vAlign w:val="center"/>
          </w:tcPr>
          <w:p w14:paraId="554764D4" w14:textId="77777777" w:rsidR="005F4559" w:rsidRPr="000F0299" w:rsidRDefault="005F4559" w:rsidP="005A56DA">
            <w:pPr>
              <w:spacing w:before="0"/>
              <w:ind w:firstLine="0"/>
              <w:jc w:val="center"/>
              <w:rPr>
                <w:b/>
                <w:bCs/>
                <w:sz w:val="16"/>
                <w:szCs w:val="16"/>
              </w:rPr>
            </w:pPr>
          </w:p>
        </w:tc>
        <w:tc>
          <w:tcPr>
            <w:tcW w:w="1034" w:type="pct"/>
            <w:tcBorders>
              <w:top w:val="single" w:sz="18" w:space="0" w:color="C00000"/>
            </w:tcBorders>
            <w:shd w:val="clear" w:color="auto" w:fill="auto"/>
            <w:vAlign w:val="center"/>
          </w:tcPr>
          <w:p w14:paraId="2EF400F1" w14:textId="77777777" w:rsidR="005F4559" w:rsidRPr="000F0299" w:rsidRDefault="005F4559" w:rsidP="005A56DA">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61D4F4EA" w14:textId="77777777" w:rsidR="005F4559" w:rsidRPr="000F0299" w:rsidRDefault="005F4559" w:rsidP="005A56DA">
            <w:pPr>
              <w:spacing w:before="0"/>
              <w:ind w:firstLine="0"/>
              <w:jc w:val="center"/>
              <w:rPr>
                <w:b/>
                <w:bCs/>
                <w:sz w:val="16"/>
                <w:szCs w:val="16"/>
              </w:rPr>
            </w:pPr>
          </w:p>
        </w:tc>
      </w:tr>
      <w:tr w:rsidR="005F4559" w:rsidRPr="000F0299" w14:paraId="21BB0A26" w14:textId="77777777" w:rsidTr="006F7A2B">
        <w:trPr>
          <w:trHeight w:val="490"/>
        </w:trPr>
        <w:tc>
          <w:tcPr>
            <w:tcW w:w="190" w:type="pct"/>
            <w:tcBorders>
              <w:left w:val="single" w:sz="18" w:space="0" w:color="C00000"/>
            </w:tcBorders>
            <w:shd w:val="clear" w:color="auto" w:fill="auto"/>
          </w:tcPr>
          <w:p w14:paraId="3137F800" w14:textId="77777777" w:rsidR="005F4559" w:rsidRPr="000F0299" w:rsidRDefault="005F4559" w:rsidP="005A56DA">
            <w:pPr>
              <w:spacing w:before="0"/>
              <w:ind w:firstLine="0"/>
              <w:rPr>
                <w:b/>
                <w:bCs/>
              </w:rPr>
            </w:pPr>
          </w:p>
        </w:tc>
        <w:tc>
          <w:tcPr>
            <w:tcW w:w="2556" w:type="pct"/>
            <w:tcBorders>
              <w:left w:val="nil"/>
              <w:bottom w:val="single" w:sz="18" w:space="0" w:color="C00000"/>
              <w:right w:val="single" w:sz="18" w:space="0" w:color="D9D9D9" w:themeColor="background1" w:themeShade="D9"/>
            </w:tcBorders>
            <w:shd w:val="clear" w:color="auto" w:fill="auto"/>
          </w:tcPr>
          <w:p w14:paraId="4B31D9DD" w14:textId="77777777" w:rsidR="005F4559" w:rsidRPr="000F0299" w:rsidRDefault="005F4559" w:rsidP="005A56DA">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527FC029" w14:textId="77777777" w:rsidR="005F4559" w:rsidRPr="000F0299" w:rsidRDefault="005F4559" w:rsidP="005A56DA">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09FBCCAD" w14:textId="77777777" w:rsidR="005F4559" w:rsidRPr="000F0299" w:rsidRDefault="005F4559" w:rsidP="005A56DA">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1BE7ABEB" w14:textId="77777777" w:rsidR="005F4559" w:rsidRPr="000F0299" w:rsidRDefault="005F4559" w:rsidP="005A56DA">
            <w:pPr>
              <w:spacing w:before="0"/>
              <w:ind w:firstLine="0"/>
              <w:jc w:val="center"/>
              <w:rPr>
                <w:b/>
                <w:bCs/>
              </w:rPr>
            </w:pPr>
          </w:p>
        </w:tc>
      </w:tr>
      <w:tr w:rsidR="005F4559" w:rsidRPr="000F0299" w14:paraId="02F6B020" w14:textId="77777777" w:rsidTr="006F7A2B">
        <w:trPr>
          <w:trHeight w:val="380"/>
        </w:trPr>
        <w:tc>
          <w:tcPr>
            <w:tcW w:w="190" w:type="pct"/>
            <w:tcBorders>
              <w:left w:val="single" w:sz="18" w:space="0" w:color="C00000"/>
            </w:tcBorders>
            <w:shd w:val="clear" w:color="auto" w:fill="auto"/>
          </w:tcPr>
          <w:p w14:paraId="1F811AFD" w14:textId="77777777" w:rsidR="005F4559" w:rsidRPr="000F0299" w:rsidRDefault="005F4559" w:rsidP="005A56DA">
            <w:pPr>
              <w:spacing w:before="0"/>
              <w:ind w:firstLine="0"/>
            </w:pPr>
          </w:p>
        </w:tc>
        <w:tc>
          <w:tcPr>
            <w:tcW w:w="2556"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36F524D1" w14:textId="63C08CBB" w:rsidR="005F4559" w:rsidRPr="000F0299" w:rsidRDefault="005F4559" w:rsidP="005A56DA">
            <w:pPr>
              <w:spacing w:before="0"/>
              <w:ind w:firstLine="0"/>
            </w:pPr>
            <w:r w:rsidRPr="000F0299">
              <w:t>Степен имплементације система квалитета у елементима стручног усавршавања у јавној управи</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759235A6" w14:textId="77777777" w:rsidR="005F4559" w:rsidRPr="000F0299" w:rsidRDefault="005F4559" w:rsidP="005A56DA">
            <w:pPr>
              <w:spacing w:before="0"/>
              <w:ind w:firstLine="0"/>
            </w:pPr>
            <w:r w:rsidRPr="000F0299">
              <w:t>(2020): 1</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05210556" w14:textId="77777777" w:rsidR="005F4559" w:rsidRPr="000F0299" w:rsidRDefault="005F4559" w:rsidP="005A56DA">
            <w:pPr>
              <w:spacing w:before="0"/>
              <w:ind w:firstLine="0"/>
            </w:pPr>
            <w:r w:rsidRPr="000F0299">
              <w:t>(2021): 2</w:t>
            </w:r>
          </w:p>
          <w:p w14:paraId="5ED67A99" w14:textId="78B5A071" w:rsidR="005F4559" w:rsidRPr="000F0299" w:rsidRDefault="005F4559" w:rsidP="005A56DA">
            <w:pPr>
              <w:spacing w:before="0"/>
              <w:ind w:firstLine="0"/>
            </w:pPr>
            <w:r w:rsidRPr="000F0299">
              <w:t>(2022): 3</w:t>
            </w:r>
          </w:p>
          <w:p w14:paraId="652A2EEC" w14:textId="238A099B" w:rsidR="005F4559" w:rsidRPr="000F0299" w:rsidRDefault="005F4559" w:rsidP="005A56DA">
            <w:pPr>
              <w:spacing w:before="0"/>
              <w:ind w:firstLine="0"/>
            </w:pPr>
            <w:r w:rsidRPr="000F0299">
              <w:t>(2023): 4</w:t>
            </w:r>
          </w:p>
          <w:p w14:paraId="1E5710CB" w14:textId="54800E46" w:rsidR="005F4559" w:rsidRPr="000F0299" w:rsidRDefault="005F4559" w:rsidP="005A56DA">
            <w:pPr>
              <w:spacing w:before="0"/>
              <w:ind w:firstLine="0"/>
            </w:pPr>
            <w:r w:rsidRPr="000F0299">
              <w:t>(2024): 5</w:t>
            </w:r>
          </w:p>
          <w:p w14:paraId="0D2BF54B" w14:textId="423F6075" w:rsidR="005F4559" w:rsidRPr="000F0299" w:rsidRDefault="005F4559" w:rsidP="005A56DA">
            <w:pPr>
              <w:spacing w:before="0"/>
              <w:ind w:firstLine="0"/>
            </w:pPr>
            <w:r w:rsidRPr="000F0299">
              <w:t>(2025): 5</w:t>
            </w:r>
          </w:p>
          <w:p w14:paraId="6A6E04E7" w14:textId="6315F560" w:rsidR="005F4559" w:rsidRPr="000F0299" w:rsidRDefault="005F4559" w:rsidP="005A56DA">
            <w:pPr>
              <w:spacing w:before="0"/>
              <w:ind w:firstLine="0"/>
            </w:pPr>
            <w:r w:rsidRPr="000F0299">
              <w:t>(2027): 5</w:t>
            </w:r>
          </w:p>
          <w:p w14:paraId="19BEF6C6" w14:textId="4E2CEEF8" w:rsidR="005F4559" w:rsidRPr="000F0299" w:rsidRDefault="005F4559" w:rsidP="005A56DA">
            <w:pPr>
              <w:spacing w:before="0"/>
              <w:ind w:firstLine="0"/>
            </w:pPr>
            <w:r w:rsidRPr="000F0299">
              <w:t>(2030): 5</w:t>
            </w:r>
          </w:p>
        </w:tc>
        <w:tc>
          <w:tcPr>
            <w:tcW w:w="185" w:type="pct"/>
            <w:tcBorders>
              <w:right w:val="single" w:sz="18" w:space="0" w:color="C00000"/>
            </w:tcBorders>
            <w:shd w:val="clear" w:color="auto" w:fill="auto"/>
          </w:tcPr>
          <w:p w14:paraId="4E0DD023" w14:textId="77777777" w:rsidR="005F4559" w:rsidRPr="000F0299" w:rsidRDefault="005F4559" w:rsidP="005A56DA">
            <w:pPr>
              <w:spacing w:before="0"/>
              <w:ind w:firstLine="0"/>
            </w:pPr>
          </w:p>
        </w:tc>
      </w:tr>
      <w:tr w:rsidR="005F4559" w:rsidRPr="000F0299" w14:paraId="1C59BBD6" w14:textId="77777777" w:rsidTr="006F7A2B">
        <w:trPr>
          <w:trHeight w:val="340"/>
        </w:trPr>
        <w:tc>
          <w:tcPr>
            <w:tcW w:w="190" w:type="pct"/>
            <w:tcBorders>
              <w:left w:val="single" w:sz="18" w:space="0" w:color="C00000"/>
              <w:bottom w:val="single" w:sz="18" w:space="0" w:color="C00000"/>
            </w:tcBorders>
            <w:shd w:val="clear" w:color="auto" w:fill="auto"/>
          </w:tcPr>
          <w:p w14:paraId="4CCF7432" w14:textId="77777777" w:rsidR="005F4559" w:rsidRPr="000F0299" w:rsidRDefault="005F4559" w:rsidP="005A56DA">
            <w:pPr>
              <w:spacing w:before="0"/>
              <w:ind w:firstLine="0"/>
              <w:rPr>
                <w:sz w:val="16"/>
                <w:szCs w:val="16"/>
              </w:rPr>
            </w:pPr>
          </w:p>
        </w:tc>
        <w:tc>
          <w:tcPr>
            <w:tcW w:w="2556" w:type="pct"/>
            <w:tcBorders>
              <w:top w:val="single" w:sz="18" w:space="0" w:color="D9D9D9" w:themeColor="background1" w:themeShade="D9"/>
              <w:bottom w:val="single" w:sz="18" w:space="0" w:color="C00000"/>
            </w:tcBorders>
            <w:shd w:val="clear" w:color="auto" w:fill="auto"/>
          </w:tcPr>
          <w:p w14:paraId="4DA98153" w14:textId="77777777" w:rsidR="005F4559" w:rsidRPr="000F0299" w:rsidRDefault="005F4559"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7AD331DA" w14:textId="77777777" w:rsidR="005F4559" w:rsidRPr="000F0299" w:rsidRDefault="005F4559"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132C7D32" w14:textId="77777777" w:rsidR="005F4559" w:rsidRPr="000F0299" w:rsidRDefault="005F4559" w:rsidP="005A56DA">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2CCBAA87" w14:textId="77777777" w:rsidR="005F4559" w:rsidRPr="000F0299" w:rsidRDefault="005F4559" w:rsidP="005A56DA">
            <w:pPr>
              <w:spacing w:before="0"/>
              <w:ind w:firstLine="0"/>
              <w:rPr>
                <w:sz w:val="16"/>
                <w:szCs w:val="16"/>
              </w:rPr>
            </w:pPr>
          </w:p>
        </w:tc>
      </w:tr>
    </w:tbl>
    <w:p w14:paraId="11CA8E28" w14:textId="28BCE08F" w:rsidR="005F4559" w:rsidRPr="000F0299" w:rsidRDefault="003F3312" w:rsidP="00244E7C">
      <w:pPr>
        <w:rPr>
          <w:b/>
          <w:bCs/>
        </w:rPr>
      </w:pPr>
      <w:r w:rsidRPr="000F0299">
        <w:rPr>
          <w:b/>
          <w:bCs/>
          <w:kern w:val="24"/>
        </w:rPr>
        <w:t xml:space="preserve">Мера 2.3.2: </w:t>
      </w:r>
      <w:r w:rsidRPr="000F0299">
        <w:rPr>
          <w:b/>
          <w:bCs/>
        </w:rPr>
        <w:t>Унапређење програма стручног усавршавања у државним органима и органима јединица локалне самоуправе и начина њиховог организовања и спровођења</w:t>
      </w:r>
    </w:p>
    <w:p w14:paraId="09440D44" w14:textId="79534498" w:rsidR="003F3312" w:rsidRPr="000F0299" w:rsidRDefault="00DF2530" w:rsidP="00DF2530">
      <w:r w:rsidRPr="000F0299">
        <w:t xml:space="preserve">Мера </w:t>
      </w:r>
      <w:r>
        <w:t>је усмерена на обезбеђење</w:t>
      </w:r>
      <w:r w:rsidRPr="000F0299">
        <w:t xml:space="preserve"> континуитет</w:t>
      </w:r>
      <w:r>
        <w:t>а</w:t>
      </w:r>
      <w:r w:rsidRPr="000F0299">
        <w:t xml:space="preserve"> у праћењу потреба запослених и органа за стручним усавршавањем, развојем програма обуке у којима ће се на иновативан и функционалан начин пружити потребна знања, вештине и способности полазницима и остварити позитивни ефекти у остваривању резултата у раду органа. За успешност </w:t>
      </w:r>
      <w:r>
        <w:t>т</w:t>
      </w:r>
      <w:r w:rsidRPr="000F0299">
        <w:t xml:space="preserve">ог процеса потребно је јачати кадровске, просторне и техничке капацитете НАЈУ, али и државних органа и органа </w:t>
      </w:r>
      <w:r>
        <w:t>ЈЛС</w:t>
      </w:r>
      <w:r w:rsidRPr="000F0299">
        <w:t xml:space="preserve"> који учествују у овим процесима.</w:t>
      </w:r>
    </w:p>
    <w:tbl>
      <w:tblPr>
        <w:tblW w:w="5000" w:type="pct"/>
        <w:tblLook w:val="00A0" w:firstRow="1" w:lastRow="0" w:firstColumn="1" w:lastColumn="0" w:noHBand="0" w:noVBand="0"/>
      </w:tblPr>
      <w:tblGrid>
        <w:gridCol w:w="364"/>
        <w:gridCol w:w="4905"/>
        <w:gridCol w:w="1984"/>
        <w:gridCol w:w="1984"/>
        <w:gridCol w:w="355"/>
      </w:tblGrid>
      <w:tr w:rsidR="005F4559" w:rsidRPr="000F0299" w14:paraId="4D583BE2" w14:textId="77777777" w:rsidTr="005F4559">
        <w:trPr>
          <w:trHeight w:val="20"/>
        </w:trPr>
        <w:tc>
          <w:tcPr>
            <w:tcW w:w="190" w:type="pct"/>
            <w:tcBorders>
              <w:top w:val="single" w:sz="18" w:space="0" w:color="C00000"/>
              <w:left w:val="single" w:sz="18" w:space="0" w:color="C00000"/>
            </w:tcBorders>
            <w:shd w:val="clear" w:color="auto" w:fill="auto"/>
          </w:tcPr>
          <w:p w14:paraId="22BC5E6A" w14:textId="77777777" w:rsidR="005F4559" w:rsidRPr="000F0299" w:rsidRDefault="005F4559" w:rsidP="005A56DA">
            <w:pPr>
              <w:spacing w:before="0"/>
              <w:ind w:firstLine="0"/>
              <w:rPr>
                <w:b/>
                <w:bCs/>
                <w:sz w:val="16"/>
                <w:szCs w:val="16"/>
              </w:rPr>
            </w:pPr>
          </w:p>
        </w:tc>
        <w:tc>
          <w:tcPr>
            <w:tcW w:w="2557" w:type="pct"/>
            <w:tcBorders>
              <w:top w:val="single" w:sz="18" w:space="0" w:color="C00000"/>
            </w:tcBorders>
            <w:shd w:val="clear" w:color="auto" w:fill="auto"/>
          </w:tcPr>
          <w:p w14:paraId="2F7EBFBB" w14:textId="77777777" w:rsidR="005F4559" w:rsidRPr="000F0299" w:rsidRDefault="005F4559" w:rsidP="005A56DA">
            <w:pPr>
              <w:spacing w:before="0"/>
              <w:ind w:firstLine="0"/>
              <w:rPr>
                <w:b/>
                <w:bCs/>
                <w:sz w:val="16"/>
                <w:szCs w:val="16"/>
              </w:rPr>
            </w:pPr>
          </w:p>
        </w:tc>
        <w:tc>
          <w:tcPr>
            <w:tcW w:w="1034" w:type="pct"/>
            <w:tcBorders>
              <w:top w:val="single" w:sz="18" w:space="0" w:color="C00000"/>
            </w:tcBorders>
            <w:shd w:val="clear" w:color="auto" w:fill="auto"/>
            <w:vAlign w:val="center"/>
          </w:tcPr>
          <w:p w14:paraId="2C8E3DC1" w14:textId="77777777" w:rsidR="005F4559" w:rsidRPr="000F0299" w:rsidRDefault="005F4559" w:rsidP="005A56DA">
            <w:pPr>
              <w:spacing w:before="0"/>
              <w:ind w:firstLine="0"/>
              <w:jc w:val="center"/>
              <w:rPr>
                <w:b/>
                <w:bCs/>
                <w:sz w:val="16"/>
                <w:szCs w:val="16"/>
              </w:rPr>
            </w:pPr>
          </w:p>
        </w:tc>
        <w:tc>
          <w:tcPr>
            <w:tcW w:w="1034" w:type="pct"/>
            <w:tcBorders>
              <w:top w:val="single" w:sz="18" w:space="0" w:color="C00000"/>
            </w:tcBorders>
            <w:shd w:val="clear" w:color="auto" w:fill="auto"/>
            <w:vAlign w:val="center"/>
          </w:tcPr>
          <w:p w14:paraId="67E3E044" w14:textId="77777777" w:rsidR="005F4559" w:rsidRPr="000F0299" w:rsidRDefault="005F4559" w:rsidP="005A56DA">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2C1F71A9" w14:textId="77777777" w:rsidR="005F4559" w:rsidRPr="000F0299" w:rsidRDefault="005F4559" w:rsidP="005A56DA">
            <w:pPr>
              <w:spacing w:before="0"/>
              <w:ind w:firstLine="0"/>
              <w:jc w:val="center"/>
              <w:rPr>
                <w:b/>
                <w:bCs/>
                <w:sz w:val="16"/>
                <w:szCs w:val="16"/>
              </w:rPr>
            </w:pPr>
          </w:p>
        </w:tc>
      </w:tr>
      <w:tr w:rsidR="005F4559" w:rsidRPr="000F0299" w14:paraId="0DB5FB82" w14:textId="77777777" w:rsidTr="005F4559">
        <w:trPr>
          <w:trHeight w:val="490"/>
        </w:trPr>
        <w:tc>
          <w:tcPr>
            <w:tcW w:w="190" w:type="pct"/>
            <w:tcBorders>
              <w:left w:val="single" w:sz="18" w:space="0" w:color="C00000"/>
            </w:tcBorders>
            <w:shd w:val="clear" w:color="auto" w:fill="auto"/>
          </w:tcPr>
          <w:p w14:paraId="4CFE1EA0" w14:textId="77777777" w:rsidR="005F4559" w:rsidRPr="000F0299" w:rsidRDefault="005F4559" w:rsidP="005A56DA">
            <w:pPr>
              <w:spacing w:before="0"/>
              <w:ind w:firstLine="0"/>
              <w:rPr>
                <w:b/>
                <w:bCs/>
              </w:rPr>
            </w:pPr>
          </w:p>
        </w:tc>
        <w:tc>
          <w:tcPr>
            <w:tcW w:w="2557" w:type="pct"/>
            <w:tcBorders>
              <w:left w:val="nil"/>
              <w:bottom w:val="single" w:sz="18" w:space="0" w:color="C00000"/>
              <w:right w:val="single" w:sz="18" w:space="0" w:color="D9D9D9" w:themeColor="background1" w:themeShade="D9"/>
            </w:tcBorders>
            <w:shd w:val="clear" w:color="auto" w:fill="auto"/>
          </w:tcPr>
          <w:p w14:paraId="4BE9AB94" w14:textId="77777777" w:rsidR="005F4559" w:rsidRPr="000F0299" w:rsidRDefault="005F4559" w:rsidP="005A56DA">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5E68233B" w14:textId="77777777" w:rsidR="005F4559" w:rsidRPr="000F0299" w:rsidRDefault="005F4559" w:rsidP="005A56DA">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5C1C7FCC" w14:textId="77777777" w:rsidR="005F4559" w:rsidRPr="000F0299" w:rsidRDefault="005F4559" w:rsidP="005A56DA">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4C5FAE7E" w14:textId="77777777" w:rsidR="005F4559" w:rsidRPr="000F0299" w:rsidRDefault="005F4559" w:rsidP="005A56DA">
            <w:pPr>
              <w:spacing w:before="0"/>
              <w:ind w:firstLine="0"/>
              <w:jc w:val="center"/>
              <w:rPr>
                <w:b/>
                <w:bCs/>
              </w:rPr>
            </w:pPr>
          </w:p>
        </w:tc>
      </w:tr>
      <w:tr w:rsidR="005F4559" w:rsidRPr="000F0299" w14:paraId="75F92F23" w14:textId="77777777" w:rsidTr="005F4559">
        <w:trPr>
          <w:trHeight w:val="380"/>
        </w:trPr>
        <w:tc>
          <w:tcPr>
            <w:tcW w:w="190" w:type="pct"/>
            <w:tcBorders>
              <w:left w:val="single" w:sz="18" w:space="0" w:color="C00000"/>
            </w:tcBorders>
            <w:shd w:val="clear" w:color="auto" w:fill="auto"/>
          </w:tcPr>
          <w:p w14:paraId="197E54A3" w14:textId="77777777" w:rsidR="005F4559" w:rsidRPr="000F0299" w:rsidRDefault="005F4559" w:rsidP="005A56DA">
            <w:pPr>
              <w:spacing w:before="0"/>
              <w:ind w:firstLine="0"/>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1E81C3B7" w14:textId="0765B564" w:rsidR="005F4559" w:rsidRPr="000F0299" w:rsidRDefault="005F4559" w:rsidP="005A56DA">
            <w:pPr>
              <w:spacing w:before="0"/>
              <w:ind w:firstLine="0"/>
            </w:pPr>
            <w:r w:rsidRPr="000F0299">
              <w:rPr>
                <w:lang w:eastAsia="de-DE"/>
              </w:rPr>
              <w:t>Испуњеност очекивања полазника обукама у којима су коришћени иновативни облици и методе стручног усавршавања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733DF66E" w14:textId="222D006A" w:rsidR="005F4559" w:rsidRPr="000F0299" w:rsidRDefault="005F4559" w:rsidP="005A56DA">
            <w:pPr>
              <w:spacing w:before="0"/>
              <w:ind w:firstLine="0"/>
            </w:pPr>
            <w:r w:rsidRPr="000F0299">
              <w:t>(2020): 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5ECEAE62" w14:textId="63D21C7A" w:rsidR="005F4559" w:rsidRPr="000F0299" w:rsidRDefault="005F4559" w:rsidP="005A56DA">
            <w:pPr>
              <w:spacing w:before="0"/>
              <w:ind w:firstLine="0"/>
              <w:rPr>
                <w:lang w:eastAsia="de-DE"/>
              </w:rPr>
            </w:pPr>
            <w:r w:rsidRPr="000F0299">
              <w:t xml:space="preserve">(2021): </w:t>
            </w:r>
            <w:r w:rsidRPr="000F0299">
              <w:rPr>
                <w:lang w:eastAsia="de-DE"/>
              </w:rPr>
              <w:t xml:space="preserve">70% </w:t>
            </w:r>
            <w:r w:rsidRPr="000F0299">
              <w:rPr>
                <w:rStyle w:val="FootnoteReference"/>
                <w:rFonts w:eastAsia="Times New Roman"/>
                <w:color w:val="000000"/>
                <w:sz w:val="20"/>
                <w:szCs w:val="20"/>
                <w:lang w:eastAsia="de-DE"/>
              </w:rPr>
              <w:footnoteReference w:id="132"/>
            </w:r>
          </w:p>
          <w:p w14:paraId="5E87671B" w14:textId="4555D15F" w:rsidR="005F4559" w:rsidRPr="000F0299" w:rsidRDefault="005F4559" w:rsidP="005A56DA">
            <w:pPr>
              <w:spacing w:before="0"/>
              <w:ind w:firstLine="0"/>
            </w:pPr>
            <w:r w:rsidRPr="000F0299">
              <w:t>(2022): 70%</w:t>
            </w:r>
          </w:p>
          <w:p w14:paraId="0B8B52E6" w14:textId="2DE9ECD7" w:rsidR="005F4559" w:rsidRPr="000F0299" w:rsidRDefault="005F4559" w:rsidP="005A56DA">
            <w:pPr>
              <w:spacing w:before="0"/>
              <w:ind w:firstLine="0"/>
            </w:pPr>
            <w:r w:rsidRPr="000F0299">
              <w:t xml:space="preserve">(2023): </w:t>
            </w:r>
            <w:r w:rsidR="00B1784C">
              <w:t>75</w:t>
            </w:r>
            <w:r w:rsidR="0073235F" w:rsidRPr="000F0299">
              <w:t>%</w:t>
            </w:r>
          </w:p>
          <w:p w14:paraId="7AF7FE18" w14:textId="67160DE6" w:rsidR="005F4559" w:rsidRPr="000F0299" w:rsidRDefault="005F4559" w:rsidP="005A56DA">
            <w:pPr>
              <w:spacing w:before="0"/>
              <w:ind w:firstLine="0"/>
            </w:pPr>
            <w:r w:rsidRPr="000F0299">
              <w:t xml:space="preserve">(2024): </w:t>
            </w:r>
            <w:r w:rsidR="00B1784C">
              <w:t>75</w:t>
            </w:r>
            <w:r w:rsidR="0073235F" w:rsidRPr="000F0299">
              <w:t>%</w:t>
            </w:r>
          </w:p>
          <w:p w14:paraId="16DBD5EF" w14:textId="6CD7D99A" w:rsidR="005F4559" w:rsidRPr="000F0299" w:rsidRDefault="005F4559" w:rsidP="005A56DA">
            <w:pPr>
              <w:spacing w:before="0"/>
              <w:ind w:firstLine="0"/>
            </w:pPr>
            <w:r w:rsidRPr="000F0299">
              <w:t xml:space="preserve">(2025): </w:t>
            </w:r>
            <w:r w:rsidR="0073235F" w:rsidRPr="000F0299">
              <w:t>80%</w:t>
            </w:r>
          </w:p>
          <w:p w14:paraId="0AAAE501" w14:textId="1CB4276D" w:rsidR="005F4559" w:rsidRPr="000F0299" w:rsidRDefault="005F4559" w:rsidP="005A56DA">
            <w:pPr>
              <w:spacing w:before="0"/>
              <w:ind w:firstLine="0"/>
            </w:pPr>
            <w:r w:rsidRPr="000F0299">
              <w:t xml:space="preserve">(2027): </w:t>
            </w:r>
            <w:r w:rsidR="00B1784C">
              <w:t>80</w:t>
            </w:r>
            <w:r w:rsidR="0073235F" w:rsidRPr="000F0299">
              <w:t>%</w:t>
            </w:r>
          </w:p>
          <w:p w14:paraId="4DF9FCD7" w14:textId="7C545226" w:rsidR="005F4559" w:rsidRPr="000F0299" w:rsidRDefault="005F4559" w:rsidP="005A56DA">
            <w:pPr>
              <w:spacing w:before="0"/>
              <w:ind w:firstLine="0"/>
            </w:pPr>
            <w:r w:rsidRPr="000F0299">
              <w:t xml:space="preserve">(2030): </w:t>
            </w:r>
            <w:r w:rsidR="00B1784C">
              <w:t>80</w:t>
            </w:r>
            <w:r w:rsidR="0073235F" w:rsidRPr="000F0299">
              <w:t>%</w:t>
            </w:r>
          </w:p>
        </w:tc>
        <w:tc>
          <w:tcPr>
            <w:tcW w:w="185" w:type="pct"/>
            <w:tcBorders>
              <w:right w:val="single" w:sz="18" w:space="0" w:color="C00000"/>
            </w:tcBorders>
            <w:shd w:val="clear" w:color="auto" w:fill="auto"/>
          </w:tcPr>
          <w:p w14:paraId="0A65945B" w14:textId="77777777" w:rsidR="005F4559" w:rsidRPr="000F0299" w:rsidRDefault="005F4559" w:rsidP="005A56DA">
            <w:pPr>
              <w:spacing w:before="0"/>
              <w:ind w:firstLine="0"/>
            </w:pPr>
          </w:p>
        </w:tc>
      </w:tr>
      <w:tr w:rsidR="005F4559" w:rsidRPr="000F0299" w14:paraId="4D1A81AC" w14:textId="77777777" w:rsidTr="005F4559">
        <w:trPr>
          <w:trHeight w:val="340"/>
        </w:trPr>
        <w:tc>
          <w:tcPr>
            <w:tcW w:w="190" w:type="pct"/>
            <w:tcBorders>
              <w:left w:val="single" w:sz="18" w:space="0" w:color="C00000"/>
              <w:bottom w:val="single" w:sz="18" w:space="0" w:color="C00000"/>
            </w:tcBorders>
            <w:shd w:val="clear" w:color="auto" w:fill="auto"/>
          </w:tcPr>
          <w:p w14:paraId="739247E0" w14:textId="77777777" w:rsidR="005F4559" w:rsidRPr="000F0299" w:rsidRDefault="005F4559" w:rsidP="005A56DA">
            <w:pPr>
              <w:spacing w:before="0"/>
              <w:ind w:firstLine="0"/>
              <w:rPr>
                <w:sz w:val="16"/>
                <w:szCs w:val="16"/>
              </w:rPr>
            </w:pPr>
          </w:p>
        </w:tc>
        <w:tc>
          <w:tcPr>
            <w:tcW w:w="2557" w:type="pct"/>
            <w:tcBorders>
              <w:top w:val="single" w:sz="18" w:space="0" w:color="D9D9D9" w:themeColor="background1" w:themeShade="D9"/>
              <w:bottom w:val="single" w:sz="18" w:space="0" w:color="C00000"/>
            </w:tcBorders>
            <w:shd w:val="clear" w:color="auto" w:fill="auto"/>
          </w:tcPr>
          <w:p w14:paraId="4DDC4772" w14:textId="77777777" w:rsidR="005F4559" w:rsidRPr="000F0299" w:rsidRDefault="005F4559"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16ADCFFC" w14:textId="77777777" w:rsidR="005F4559" w:rsidRPr="000F0299" w:rsidRDefault="005F4559"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2510BBC8" w14:textId="77777777" w:rsidR="005F4559" w:rsidRPr="000F0299" w:rsidRDefault="005F4559" w:rsidP="005A56DA">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0E00BB34" w14:textId="77777777" w:rsidR="005F4559" w:rsidRPr="000F0299" w:rsidRDefault="005F4559" w:rsidP="005A56DA">
            <w:pPr>
              <w:spacing w:before="0"/>
              <w:ind w:firstLine="0"/>
              <w:rPr>
                <w:sz w:val="16"/>
                <w:szCs w:val="16"/>
              </w:rPr>
            </w:pPr>
          </w:p>
        </w:tc>
      </w:tr>
    </w:tbl>
    <w:p w14:paraId="301B282D" w14:textId="05E2B197" w:rsidR="0073235F" w:rsidRPr="000F0299" w:rsidRDefault="00C67B0B" w:rsidP="00244E7C">
      <w:pPr>
        <w:rPr>
          <w:b/>
        </w:rPr>
      </w:pPr>
      <w:r w:rsidRPr="000F0299">
        <w:rPr>
          <w:b/>
        </w:rPr>
        <w:t>Meрa</w:t>
      </w:r>
      <w:r w:rsidR="003F3312" w:rsidRPr="000F0299">
        <w:rPr>
          <w:b/>
        </w:rPr>
        <w:t xml:space="preserve"> 2.3.3: Унапређење нормативног оквира који уређује област стручног усавршавања у јавној управи</w:t>
      </w:r>
    </w:p>
    <w:p w14:paraId="39155D3F" w14:textId="3EF7D54D" w:rsidR="003F3312" w:rsidRPr="000F0299" w:rsidRDefault="00DF2530" w:rsidP="00DF2530">
      <w:r>
        <w:t>Ова мера је усмерена на</w:t>
      </w:r>
      <w:r w:rsidRPr="000F0299">
        <w:t xml:space="preserve"> спровођење законске обавезе </w:t>
      </w:r>
      <w:r>
        <w:t xml:space="preserve">да се </w:t>
      </w:r>
      <w:r w:rsidRPr="000F0299">
        <w:t>вредн</w:t>
      </w:r>
      <w:r>
        <w:t>ује</w:t>
      </w:r>
      <w:r w:rsidRPr="000F0299">
        <w:t xml:space="preserve"> учин</w:t>
      </w:r>
      <w:r>
        <w:t>а</w:t>
      </w:r>
      <w:r w:rsidRPr="000F0299">
        <w:t xml:space="preserve">к јавних политика у </w:t>
      </w:r>
      <w:r>
        <w:t xml:space="preserve">области </w:t>
      </w:r>
      <w:r w:rsidRPr="000F0299">
        <w:t>стручно</w:t>
      </w:r>
      <w:r>
        <w:t>г</w:t>
      </w:r>
      <w:r w:rsidRPr="000F0299">
        <w:t xml:space="preserve"> усавршавањ</w:t>
      </w:r>
      <w:r>
        <w:t>а</w:t>
      </w:r>
      <w:r w:rsidRPr="000F0299">
        <w:t xml:space="preserve">, </w:t>
      </w:r>
      <w:r>
        <w:t>као</w:t>
      </w:r>
      <w:r w:rsidRPr="000F0299">
        <w:t xml:space="preserve"> и припрему измена </w:t>
      </w:r>
      <w:r>
        <w:t xml:space="preserve">прописа </w:t>
      </w:r>
      <w:r w:rsidRPr="000F0299">
        <w:t xml:space="preserve">или </w:t>
      </w:r>
      <w:r>
        <w:t xml:space="preserve">припрему </w:t>
      </w:r>
      <w:r w:rsidRPr="000F0299">
        <w:t xml:space="preserve">нових прописа у </w:t>
      </w:r>
      <w:r>
        <w:t>т</w:t>
      </w:r>
      <w:r w:rsidRPr="000F0299">
        <w:t>ој области.</w:t>
      </w:r>
      <w:r w:rsidRPr="000F0299">
        <w:rPr>
          <w:b/>
        </w:rPr>
        <w:t xml:space="preserve"> </w:t>
      </w:r>
    </w:p>
    <w:tbl>
      <w:tblPr>
        <w:tblW w:w="5000" w:type="pct"/>
        <w:tblLook w:val="00A0" w:firstRow="1" w:lastRow="0" w:firstColumn="1" w:lastColumn="0" w:noHBand="0" w:noVBand="0"/>
      </w:tblPr>
      <w:tblGrid>
        <w:gridCol w:w="364"/>
        <w:gridCol w:w="4905"/>
        <w:gridCol w:w="1984"/>
        <w:gridCol w:w="1984"/>
        <w:gridCol w:w="355"/>
      </w:tblGrid>
      <w:tr w:rsidR="0073235F" w:rsidRPr="000F0299" w14:paraId="097EA99B" w14:textId="77777777" w:rsidTr="006F7A2B">
        <w:trPr>
          <w:trHeight w:val="20"/>
        </w:trPr>
        <w:tc>
          <w:tcPr>
            <w:tcW w:w="190" w:type="pct"/>
            <w:tcBorders>
              <w:top w:val="single" w:sz="18" w:space="0" w:color="C00000"/>
              <w:left w:val="single" w:sz="18" w:space="0" w:color="C00000"/>
            </w:tcBorders>
            <w:shd w:val="clear" w:color="auto" w:fill="auto"/>
          </w:tcPr>
          <w:p w14:paraId="5660E0EC" w14:textId="77777777" w:rsidR="0073235F" w:rsidRPr="000F0299" w:rsidRDefault="0073235F" w:rsidP="005A56DA">
            <w:pPr>
              <w:spacing w:before="0"/>
              <w:ind w:firstLine="0"/>
              <w:rPr>
                <w:b/>
                <w:bCs/>
                <w:sz w:val="16"/>
                <w:szCs w:val="16"/>
              </w:rPr>
            </w:pPr>
          </w:p>
        </w:tc>
        <w:tc>
          <w:tcPr>
            <w:tcW w:w="2557" w:type="pct"/>
            <w:tcBorders>
              <w:top w:val="single" w:sz="18" w:space="0" w:color="C00000"/>
            </w:tcBorders>
            <w:shd w:val="clear" w:color="auto" w:fill="auto"/>
          </w:tcPr>
          <w:p w14:paraId="5DA1ABA7" w14:textId="77777777" w:rsidR="0073235F" w:rsidRPr="000F0299" w:rsidRDefault="0073235F" w:rsidP="005A56DA">
            <w:pPr>
              <w:spacing w:before="0"/>
              <w:ind w:firstLine="0"/>
              <w:rPr>
                <w:b/>
                <w:bCs/>
                <w:sz w:val="16"/>
                <w:szCs w:val="16"/>
              </w:rPr>
            </w:pPr>
          </w:p>
        </w:tc>
        <w:tc>
          <w:tcPr>
            <w:tcW w:w="1034" w:type="pct"/>
            <w:tcBorders>
              <w:top w:val="single" w:sz="18" w:space="0" w:color="C00000"/>
            </w:tcBorders>
            <w:shd w:val="clear" w:color="auto" w:fill="auto"/>
            <w:vAlign w:val="center"/>
          </w:tcPr>
          <w:p w14:paraId="1E43116B" w14:textId="77777777" w:rsidR="0073235F" w:rsidRPr="000F0299" w:rsidRDefault="0073235F" w:rsidP="005A56DA">
            <w:pPr>
              <w:spacing w:before="0"/>
              <w:ind w:firstLine="0"/>
              <w:jc w:val="center"/>
              <w:rPr>
                <w:b/>
                <w:bCs/>
                <w:sz w:val="16"/>
                <w:szCs w:val="16"/>
              </w:rPr>
            </w:pPr>
          </w:p>
        </w:tc>
        <w:tc>
          <w:tcPr>
            <w:tcW w:w="1034" w:type="pct"/>
            <w:tcBorders>
              <w:top w:val="single" w:sz="18" w:space="0" w:color="C00000"/>
            </w:tcBorders>
            <w:shd w:val="clear" w:color="auto" w:fill="auto"/>
            <w:vAlign w:val="center"/>
          </w:tcPr>
          <w:p w14:paraId="0DFFF0FE" w14:textId="77777777" w:rsidR="0073235F" w:rsidRPr="000F0299" w:rsidRDefault="0073235F" w:rsidP="005A56DA">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2ECCFFD0" w14:textId="77777777" w:rsidR="0073235F" w:rsidRPr="000F0299" w:rsidRDefault="0073235F" w:rsidP="005A56DA">
            <w:pPr>
              <w:spacing w:before="0"/>
              <w:ind w:firstLine="0"/>
              <w:jc w:val="center"/>
              <w:rPr>
                <w:b/>
                <w:bCs/>
                <w:sz w:val="16"/>
                <w:szCs w:val="16"/>
              </w:rPr>
            </w:pPr>
          </w:p>
        </w:tc>
      </w:tr>
      <w:tr w:rsidR="0073235F" w:rsidRPr="000F0299" w14:paraId="44D42CC7" w14:textId="77777777" w:rsidTr="006F7A2B">
        <w:trPr>
          <w:trHeight w:val="490"/>
        </w:trPr>
        <w:tc>
          <w:tcPr>
            <w:tcW w:w="190" w:type="pct"/>
            <w:tcBorders>
              <w:left w:val="single" w:sz="18" w:space="0" w:color="C00000"/>
            </w:tcBorders>
            <w:shd w:val="clear" w:color="auto" w:fill="auto"/>
          </w:tcPr>
          <w:p w14:paraId="5B3D4705" w14:textId="77777777" w:rsidR="0073235F" w:rsidRPr="000F0299" w:rsidRDefault="0073235F" w:rsidP="005A56DA">
            <w:pPr>
              <w:spacing w:before="0"/>
              <w:ind w:firstLine="0"/>
              <w:rPr>
                <w:b/>
                <w:bCs/>
              </w:rPr>
            </w:pPr>
          </w:p>
        </w:tc>
        <w:tc>
          <w:tcPr>
            <w:tcW w:w="2557" w:type="pct"/>
            <w:tcBorders>
              <w:left w:val="nil"/>
              <w:bottom w:val="single" w:sz="18" w:space="0" w:color="C00000"/>
              <w:right w:val="single" w:sz="18" w:space="0" w:color="D9D9D9" w:themeColor="background1" w:themeShade="D9"/>
            </w:tcBorders>
            <w:shd w:val="clear" w:color="auto" w:fill="auto"/>
          </w:tcPr>
          <w:p w14:paraId="58DA6EFF" w14:textId="77777777" w:rsidR="0073235F" w:rsidRPr="000F0299" w:rsidRDefault="0073235F" w:rsidP="005A56DA">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4EE100DB" w14:textId="77777777" w:rsidR="0073235F" w:rsidRPr="000F0299" w:rsidRDefault="0073235F" w:rsidP="005A56DA">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28EAB1B1" w14:textId="77777777" w:rsidR="0073235F" w:rsidRPr="000F0299" w:rsidRDefault="0073235F" w:rsidP="005A56DA">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4EAFAEDD" w14:textId="77777777" w:rsidR="0073235F" w:rsidRPr="000F0299" w:rsidRDefault="0073235F" w:rsidP="005A56DA">
            <w:pPr>
              <w:spacing w:before="0"/>
              <w:ind w:firstLine="0"/>
              <w:jc w:val="center"/>
              <w:rPr>
                <w:b/>
                <w:bCs/>
              </w:rPr>
            </w:pPr>
          </w:p>
        </w:tc>
      </w:tr>
      <w:tr w:rsidR="0073235F" w:rsidRPr="000F0299" w14:paraId="0C0930C6" w14:textId="77777777" w:rsidTr="006F7A2B">
        <w:trPr>
          <w:trHeight w:val="380"/>
        </w:trPr>
        <w:tc>
          <w:tcPr>
            <w:tcW w:w="190" w:type="pct"/>
            <w:tcBorders>
              <w:left w:val="single" w:sz="18" w:space="0" w:color="C00000"/>
            </w:tcBorders>
            <w:shd w:val="clear" w:color="auto" w:fill="auto"/>
          </w:tcPr>
          <w:p w14:paraId="1AC695A1" w14:textId="77777777" w:rsidR="0073235F" w:rsidRPr="000F0299" w:rsidRDefault="0073235F" w:rsidP="005A56DA">
            <w:pPr>
              <w:spacing w:before="0"/>
              <w:ind w:firstLine="0"/>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4F66F1F7" w14:textId="143A3255" w:rsidR="0073235F" w:rsidRPr="000F0299" w:rsidRDefault="0073235F" w:rsidP="005A56DA">
            <w:pPr>
              <w:spacing w:before="0"/>
              <w:ind w:firstLine="0"/>
            </w:pPr>
            <w:r w:rsidRPr="000F0299">
              <w:rPr>
                <w:lang w:eastAsia="de-DE"/>
              </w:rPr>
              <w:t>Квалитет нових прописа који уређују област стручног усавршавања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3B5D7E93" w14:textId="66DCAEEE" w:rsidR="0073235F" w:rsidRPr="000F0299" w:rsidRDefault="0073235F" w:rsidP="005A56DA">
            <w:pPr>
              <w:spacing w:before="0"/>
              <w:ind w:firstLine="0"/>
            </w:pPr>
            <w:r w:rsidRPr="000F0299">
              <w:t>(2020): 100%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0CCDB22F" w14:textId="0C96BFE2" w:rsidR="0073235F" w:rsidRPr="000F0299" w:rsidRDefault="0073235F" w:rsidP="005A56DA">
            <w:pPr>
              <w:spacing w:before="0"/>
              <w:ind w:firstLine="0"/>
              <w:rPr>
                <w:lang w:eastAsia="de-DE"/>
              </w:rPr>
            </w:pPr>
            <w:r w:rsidRPr="000F0299">
              <w:t>(2021): 10</w:t>
            </w:r>
            <w:r w:rsidRPr="000F0299">
              <w:rPr>
                <w:lang w:eastAsia="de-DE"/>
              </w:rPr>
              <w:t xml:space="preserve">0% </w:t>
            </w:r>
          </w:p>
          <w:p w14:paraId="4A397450" w14:textId="0380A964" w:rsidR="0073235F" w:rsidRPr="000F0299" w:rsidRDefault="0073235F" w:rsidP="005A56DA">
            <w:pPr>
              <w:spacing w:before="0"/>
              <w:ind w:firstLine="0"/>
            </w:pPr>
            <w:r w:rsidRPr="000F0299">
              <w:t>(2022): 10</w:t>
            </w:r>
            <w:r w:rsidRPr="000F0299">
              <w:rPr>
                <w:lang w:eastAsia="de-DE"/>
              </w:rPr>
              <w:t>0%</w:t>
            </w:r>
          </w:p>
          <w:p w14:paraId="19300698" w14:textId="6C127951" w:rsidR="0073235F" w:rsidRPr="000F0299" w:rsidRDefault="0073235F" w:rsidP="005A56DA">
            <w:pPr>
              <w:spacing w:before="0"/>
              <w:ind w:firstLine="0"/>
            </w:pPr>
            <w:r w:rsidRPr="000F0299">
              <w:t>(2023): 10</w:t>
            </w:r>
            <w:r w:rsidRPr="000F0299">
              <w:rPr>
                <w:lang w:eastAsia="de-DE"/>
              </w:rPr>
              <w:t>0%</w:t>
            </w:r>
          </w:p>
          <w:p w14:paraId="6279AD6A" w14:textId="6F5EA970" w:rsidR="0073235F" w:rsidRPr="000F0299" w:rsidRDefault="0073235F" w:rsidP="005A56DA">
            <w:pPr>
              <w:spacing w:before="0"/>
              <w:ind w:firstLine="0"/>
            </w:pPr>
            <w:r w:rsidRPr="000F0299">
              <w:t>(2024): 10</w:t>
            </w:r>
            <w:r w:rsidRPr="000F0299">
              <w:rPr>
                <w:lang w:eastAsia="de-DE"/>
              </w:rPr>
              <w:t>0%</w:t>
            </w:r>
          </w:p>
          <w:p w14:paraId="70FE9E30" w14:textId="4FB54A5B" w:rsidR="0073235F" w:rsidRPr="000F0299" w:rsidRDefault="0073235F" w:rsidP="005A56DA">
            <w:pPr>
              <w:spacing w:before="0"/>
              <w:ind w:firstLine="0"/>
            </w:pPr>
            <w:r w:rsidRPr="000F0299">
              <w:t>(2025): 10</w:t>
            </w:r>
            <w:r w:rsidRPr="000F0299">
              <w:rPr>
                <w:lang w:eastAsia="de-DE"/>
              </w:rPr>
              <w:t>0%</w:t>
            </w:r>
          </w:p>
          <w:p w14:paraId="730779BE" w14:textId="4BC34A94" w:rsidR="0073235F" w:rsidRPr="000F0299" w:rsidRDefault="0073235F" w:rsidP="005A56DA">
            <w:pPr>
              <w:spacing w:before="0"/>
              <w:ind w:firstLine="0"/>
            </w:pPr>
            <w:r w:rsidRPr="000F0299">
              <w:t>(2027): 10</w:t>
            </w:r>
            <w:r w:rsidRPr="000F0299">
              <w:rPr>
                <w:lang w:eastAsia="de-DE"/>
              </w:rPr>
              <w:t>0%</w:t>
            </w:r>
          </w:p>
          <w:p w14:paraId="00D653DB" w14:textId="4A988239" w:rsidR="0073235F" w:rsidRPr="000F0299" w:rsidRDefault="0073235F" w:rsidP="005A56DA">
            <w:pPr>
              <w:spacing w:before="0"/>
              <w:ind w:firstLine="0"/>
            </w:pPr>
            <w:r w:rsidRPr="000F0299">
              <w:t>(2030): 10</w:t>
            </w:r>
            <w:r w:rsidRPr="000F0299">
              <w:rPr>
                <w:lang w:eastAsia="de-DE"/>
              </w:rPr>
              <w:t>0%</w:t>
            </w:r>
          </w:p>
        </w:tc>
        <w:tc>
          <w:tcPr>
            <w:tcW w:w="185" w:type="pct"/>
            <w:tcBorders>
              <w:right w:val="single" w:sz="18" w:space="0" w:color="C00000"/>
            </w:tcBorders>
            <w:shd w:val="clear" w:color="auto" w:fill="auto"/>
          </w:tcPr>
          <w:p w14:paraId="395BA657" w14:textId="77777777" w:rsidR="0073235F" w:rsidRPr="000F0299" w:rsidRDefault="0073235F" w:rsidP="005A56DA">
            <w:pPr>
              <w:spacing w:before="0"/>
              <w:ind w:firstLine="0"/>
            </w:pPr>
          </w:p>
        </w:tc>
      </w:tr>
      <w:tr w:rsidR="0073235F" w:rsidRPr="000F0299" w14:paraId="4A82B7D3" w14:textId="77777777" w:rsidTr="006F7A2B">
        <w:trPr>
          <w:trHeight w:val="340"/>
        </w:trPr>
        <w:tc>
          <w:tcPr>
            <w:tcW w:w="190" w:type="pct"/>
            <w:tcBorders>
              <w:left w:val="single" w:sz="18" w:space="0" w:color="C00000"/>
              <w:bottom w:val="single" w:sz="18" w:space="0" w:color="C00000"/>
            </w:tcBorders>
            <w:shd w:val="clear" w:color="auto" w:fill="auto"/>
          </w:tcPr>
          <w:p w14:paraId="57A0E0B6" w14:textId="77777777" w:rsidR="0073235F" w:rsidRPr="000F0299" w:rsidRDefault="0073235F" w:rsidP="005A56DA">
            <w:pPr>
              <w:spacing w:before="0"/>
              <w:ind w:firstLine="0"/>
              <w:rPr>
                <w:sz w:val="16"/>
                <w:szCs w:val="16"/>
              </w:rPr>
            </w:pPr>
          </w:p>
        </w:tc>
        <w:tc>
          <w:tcPr>
            <w:tcW w:w="2557" w:type="pct"/>
            <w:tcBorders>
              <w:top w:val="single" w:sz="18" w:space="0" w:color="D9D9D9" w:themeColor="background1" w:themeShade="D9"/>
              <w:bottom w:val="single" w:sz="18" w:space="0" w:color="C00000"/>
            </w:tcBorders>
            <w:shd w:val="clear" w:color="auto" w:fill="auto"/>
          </w:tcPr>
          <w:p w14:paraId="51D99C94" w14:textId="77777777" w:rsidR="0073235F" w:rsidRPr="000F0299" w:rsidRDefault="0073235F"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2458BA46" w14:textId="77777777" w:rsidR="0073235F" w:rsidRPr="000F0299" w:rsidRDefault="0073235F"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7AEEE778" w14:textId="77777777" w:rsidR="0073235F" w:rsidRPr="000F0299" w:rsidRDefault="0073235F" w:rsidP="005A56DA">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3A32D0D8" w14:textId="77777777" w:rsidR="0073235F" w:rsidRPr="000F0299" w:rsidRDefault="0073235F" w:rsidP="005A56DA">
            <w:pPr>
              <w:spacing w:before="0"/>
              <w:ind w:firstLine="0"/>
              <w:rPr>
                <w:sz w:val="16"/>
                <w:szCs w:val="16"/>
              </w:rPr>
            </w:pPr>
          </w:p>
        </w:tc>
      </w:tr>
    </w:tbl>
    <w:p w14:paraId="3AF65F6A" w14:textId="1FCBB57C" w:rsidR="003D5E32" w:rsidRPr="000F0299" w:rsidRDefault="003D5E32" w:rsidP="00244E7C">
      <w:pPr>
        <w:rPr>
          <w:b/>
          <w:bCs/>
        </w:rPr>
      </w:pPr>
    </w:p>
    <w:p w14:paraId="64FE1150" w14:textId="77777777" w:rsidR="003D5E32" w:rsidRPr="000F0299" w:rsidRDefault="003D5E32">
      <w:pPr>
        <w:suppressAutoHyphens w:val="0"/>
        <w:autoSpaceDN/>
        <w:spacing w:before="0" w:after="160" w:line="259" w:lineRule="auto"/>
        <w:ind w:firstLine="0"/>
        <w:jc w:val="left"/>
        <w:textAlignment w:val="auto"/>
        <w:rPr>
          <w:b/>
          <w:bCs/>
        </w:rPr>
      </w:pPr>
      <w:r w:rsidRPr="000F0299">
        <w:rPr>
          <w:b/>
          <w:bCs/>
        </w:rPr>
        <w:br w:type="page"/>
      </w:r>
    </w:p>
    <w:p w14:paraId="21D16D1C" w14:textId="513AA542" w:rsidR="0073235F" w:rsidRPr="000F0299" w:rsidRDefault="00C67B0B" w:rsidP="00244E7C">
      <w:pPr>
        <w:rPr>
          <w:b/>
          <w:bCs/>
        </w:rPr>
      </w:pPr>
      <w:r w:rsidRPr="000F0299">
        <w:rPr>
          <w:b/>
          <w:bCs/>
        </w:rPr>
        <w:t>Meрa</w:t>
      </w:r>
      <w:r w:rsidR="003F3312" w:rsidRPr="000F0299">
        <w:rPr>
          <w:b/>
          <w:bCs/>
        </w:rPr>
        <w:t xml:space="preserve"> 2.3.4: </w:t>
      </w:r>
      <w:r w:rsidR="00DF2530">
        <w:rPr>
          <w:b/>
          <w:bCs/>
        </w:rPr>
        <w:t>С</w:t>
      </w:r>
      <w:r w:rsidR="00B1784C">
        <w:rPr>
          <w:b/>
          <w:bCs/>
        </w:rPr>
        <w:t>тандардизација</w:t>
      </w:r>
      <w:r w:rsidR="003F3312" w:rsidRPr="000F0299">
        <w:rPr>
          <w:b/>
          <w:bCs/>
        </w:rPr>
        <w:t xml:space="preserve"> процеса и система квалитета у области стручног усавршавања у јавној управи, уз пуну примену ИКТ</w:t>
      </w:r>
    </w:p>
    <w:p w14:paraId="5533B43C" w14:textId="77777777" w:rsidR="00DF2530" w:rsidRPr="000F0299" w:rsidRDefault="00DF2530" w:rsidP="00DF2530">
      <w:r>
        <w:t>Ова мера је</w:t>
      </w:r>
      <w:r w:rsidRPr="000F0299">
        <w:t xml:space="preserve"> усмерен</w:t>
      </w:r>
      <w:r>
        <w:t>а</w:t>
      </w:r>
      <w:r w:rsidRPr="000F0299">
        <w:t xml:space="preserve"> на успостављање организационих и техничких капацитета за стандардизацију и дигитализацију процеса к</w:t>
      </w:r>
      <w:r>
        <w:t xml:space="preserve">ако би се пружила </w:t>
      </w:r>
      <w:r w:rsidRPr="000F0299">
        <w:t>подршк</w:t>
      </w:r>
      <w:r>
        <w:t>а</w:t>
      </w:r>
      <w:r w:rsidRPr="000F0299">
        <w:t xml:space="preserve"> управљању системом квалитета у стручном усавршавању у јавној управи и </w:t>
      </w:r>
      <w:r>
        <w:t xml:space="preserve">центру за управљање квалитетом </w:t>
      </w:r>
      <w:r w:rsidRPr="000F0299">
        <w:t>у НАЈУ, односно организацион</w:t>
      </w:r>
      <w:r>
        <w:t>ој</w:t>
      </w:r>
      <w:r w:rsidRPr="000F0299">
        <w:t xml:space="preserve"> јединиц</w:t>
      </w:r>
      <w:r>
        <w:t>и</w:t>
      </w:r>
      <w:r w:rsidRPr="000F0299">
        <w:t xml:space="preserve"> у МДУЛС за усмеравање развоја и праћење спровођења успостављања стандардизације процеса стручног усавршавања и система квалитета у области стручног усавршавања у јавној управи. </w:t>
      </w:r>
    </w:p>
    <w:tbl>
      <w:tblPr>
        <w:tblW w:w="5000" w:type="pct"/>
        <w:tblLook w:val="00A0" w:firstRow="1" w:lastRow="0" w:firstColumn="1" w:lastColumn="0" w:noHBand="0" w:noVBand="0"/>
      </w:tblPr>
      <w:tblGrid>
        <w:gridCol w:w="364"/>
        <w:gridCol w:w="4905"/>
        <w:gridCol w:w="1984"/>
        <w:gridCol w:w="1984"/>
        <w:gridCol w:w="355"/>
      </w:tblGrid>
      <w:tr w:rsidR="0073235F" w:rsidRPr="000F0299" w14:paraId="5506F5D5" w14:textId="77777777" w:rsidTr="006F7A2B">
        <w:trPr>
          <w:trHeight w:val="20"/>
        </w:trPr>
        <w:tc>
          <w:tcPr>
            <w:tcW w:w="190" w:type="pct"/>
            <w:tcBorders>
              <w:top w:val="single" w:sz="18" w:space="0" w:color="C00000"/>
              <w:left w:val="single" w:sz="18" w:space="0" w:color="C00000"/>
            </w:tcBorders>
            <w:shd w:val="clear" w:color="auto" w:fill="auto"/>
          </w:tcPr>
          <w:p w14:paraId="06DE0CB6" w14:textId="77777777" w:rsidR="0073235F" w:rsidRPr="000F0299" w:rsidRDefault="0073235F" w:rsidP="005A56DA">
            <w:pPr>
              <w:spacing w:before="0"/>
              <w:ind w:firstLine="0"/>
              <w:rPr>
                <w:b/>
                <w:bCs/>
                <w:sz w:val="16"/>
                <w:szCs w:val="16"/>
              </w:rPr>
            </w:pPr>
          </w:p>
        </w:tc>
        <w:tc>
          <w:tcPr>
            <w:tcW w:w="2556" w:type="pct"/>
            <w:tcBorders>
              <w:top w:val="single" w:sz="18" w:space="0" w:color="C00000"/>
            </w:tcBorders>
            <w:shd w:val="clear" w:color="auto" w:fill="auto"/>
          </w:tcPr>
          <w:p w14:paraId="0F9A4D47" w14:textId="77777777" w:rsidR="0073235F" w:rsidRPr="000F0299" w:rsidRDefault="0073235F" w:rsidP="005A56DA">
            <w:pPr>
              <w:spacing w:before="0"/>
              <w:ind w:firstLine="0"/>
              <w:rPr>
                <w:b/>
                <w:bCs/>
                <w:sz w:val="16"/>
                <w:szCs w:val="16"/>
              </w:rPr>
            </w:pPr>
          </w:p>
        </w:tc>
        <w:tc>
          <w:tcPr>
            <w:tcW w:w="1034" w:type="pct"/>
            <w:tcBorders>
              <w:top w:val="single" w:sz="18" w:space="0" w:color="C00000"/>
            </w:tcBorders>
            <w:shd w:val="clear" w:color="auto" w:fill="auto"/>
            <w:vAlign w:val="center"/>
          </w:tcPr>
          <w:p w14:paraId="2D93683F" w14:textId="77777777" w:rsidR="0073235F" w:rsidRPr="000F0299" w:rsidRDefault="0073235F" w:rsidP="005A56DA">
            <w:pPr>
              <w:spacing w:before="0"/>
              <w:ind w:firstLine="0"/>
              <w:jc w:val="center"/>
              <w:rPr>
                <w:b/>
                <w:bCs/>
                <w:sz w:val="16"/>
                <w:szCs w:val="16"/>
              </w:rPr>
            </w:pPr>
          </w:p>
        </w:tc>
        <w:tc>
          <w:tcPr>
            <w:tcW w:w="1034" w:type="pct"/>
            <w:tcBorders>
              <w:top w:val="single" w:sz="18" w:space="0" w:color="C00000"/>
            </w:tcBorders>
            <w:shd w:val="clear" w:color="auto" w:fill="auto"/>
            <w:vAlign w:val="center"/>
          </w:tcPr>
          <w:p w14:paraId="0B130F5C" w14:textId="77777777" w:rsidR="0073235F" w:rsidRPr="000F0299" w:rsidRDefault="0073235F" w:rsidP="005A56DA">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7540E10F" w14:textId="77777777" w:rsidR="0073235F" w:rsidRPr="000F0299" w:rsidRDefault="0073235F" w:rsidP="005A56DA">
            <w:pPr>
              <w:spacing w:before="0"/>
              <w:ind w:firstLine="0"/>
              <w:jc w:val="center"/>
              <w:rPr>
                <w:b/>
                <w:bCs/>
                <w:sz w:val="16"/>
                <w:szCs w:val="16"/>
              </w:rPr>
            </w:pPr>
          </w:p>
        </w:tc>
      </w:tr>
      <w:tr w:rsidR="0073235F" w:rsidRPr="000F0299" w14:paraId="3D2C1680" w14:textId="77777777" w:rsidTr="006F7A2B">
        <w:trPr>
          <w:trHeight w:val="490"/>
        </w:trPr>
        <w:tc>
          <w:tcPr>
            <w:tcW w:w="190" w:type="pct"/>
            <w:tcBorders>
              <w:left w:val="single" w:sz="18" w:space="0" w:color="C00000"/>
            </w:tcBorders>
            <w:shd w:val="clear" w:color="auto" w:fill="auto"/>
          </w:tcPr>
          <w:p w14:paraId="0711D01D" w14:textId="77777777" w:rsidR="0073235F" w:rsidRPr="000F0299" w:rsidRDefault="0073235F" w:rsidP="005A56DA">
            <w:pPr>
              <w:spacing w:before="0"/>
              <w:ind w:firstLine="0"/>
              <w:rPr>
                <w:b/>
                <w:bCs/>
              </w:rPr>
            </w:pPr>
          </w:p>
        </w:tc>
        <w:tc>
          <w:tcPr>
            <w:tcW w:w="2556" w:type="pct"/>
            <w:tcBorders>
              <w:left w:val="nil"/>
              <w:bottom w:val="single" w:sz="18" w:space="0" w:color="C00000"/>
              <w:right w:val="single" w:sz="18" w:space="0" w:color="D9D9D9" w:themeColor="background1" w:themeShade="D9"/>
            </w:tcBorders>
            <w:shd w:val="clear" w:color="auto" w:fill="auto"/>
          </w:tcPr>
          <w:p w14:paraId="516992F2" w14:textId="77777777" w:rsidR="0073235F" w:rsidRPr="000F0299" w:rsidRDefault="0073235F" w:rsidP="005A56DA">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5A372069" w14:textId="77777777" w:rsidR="0073235F" w:rsidRPr="000F0299" w:rsidRDefault="0073235F" w:rsidP="005A56DA">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0FE33576" w14:textId="77777777" w:rsidR="0073235F" w:rsidRPr="000F0299" w:rsidRDefault="0073235F" w:rsidP="005A56DA">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1A86B720" w14:textId="77777777" w:rsidR="0073235F" w:rsidRPr="000F0299" w:rsidRDefault="0073235F" w:rsidP="005A56DA">
            <w:pPr>
              <w:spacing w:before="0"/>
              <w:ind w:firstLine="0"/>
              <w:jc w:val="center"/>
              <w:rPr>
                <w:b/>
                <w:bCs/>
              </w:rPr>
            </w:pPr>
          </w:p>
        </w:tc>
      </w:tr>
      <w:tr w:rsidR="0073235F" w:rsidRPr="000F0299" w14:paraId="27A2E8A5" w14:textId="77777777" w:rsidTr="006F7A2B">
        <w:trPr>
          <w:trHeight w:val="380"/>
        </w:trPr>
        <w:tc>
          <w:tcPr>
            <w:tcW w:w="190" w:type="pct"/>
            <w:tcBorders>
              <w:left w:val="single" w:sz="18" w:space="0" w:color="C00000"/>
            </w:tcBorders>
            <w:shd w:val="clear" w:color="auto" w:fill="auto"/>
          </w:tcPr>
          <w:p w14:paraId="5F67F81A" w14:textId="77777777" w:rsidR="0073235F" w:rsidRPr="000F0299" w:rsidRDefault="0073235F" w:rsidP="005A56DA">
            <w:pPr>
              <w:spacing w:before="0"/>
              <w:ind w:firstLine="0"/>
            </w:pPr>
          </w:p>
        </w:tc>
        <w:tc>
          <w:tcPr>
            <w:tcW w:w="2556"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32A5E1DA" w14:textId="39AF2481" w:rsidR="0073235F" w:rsidRPr="00C214E4" w:rsidRDefault="00C214E4" w:rsidP="005A56DA">
            <w:pPr>
              <w:spacing w:before="0"/>
              <w:ind w:firstLine="0"/>
            </w:pPr>
            <w:r w:rsidRPr="00C214E4">
              <w:rPr>
                <w:bCs/>
                <w:color w:val="000000"/>
                <w:kern w:val="24"/>
              </w:rPr>
              <w:t>Број дигитализованих и стандардизованих пословних процеса у области стручног усавршавања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20D62AF5" w14:textId="77777777" w:rsidR="0073235F" w:rsidRPr="000F0299" w:rsidRDefault="0073235F" w:rsidP="005A56DA">
            <w:pPr>
              <w:spacing w:before="0"/>
              <w:ind w:firstLine="0"/>
            </w:pPr>
            <w:r w:rsidRPr="000F0299">
              <w:t>(2020): 1</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533ACCC6" w14:textId="77777777" w:rsidR="0073235F" w:rsidRPr="000F0299" w:rsidRDefault="0073235F" w:rsidP="005A56DA">
            <w:pPr>
              <w:spacing w:before="0"/>
              <w:ind w:firstLine="0"/>
            </w:pPr>
            <w:r w:rsidRPr="000F0299">
              <w:t>(2021): 2</w:t>
            </w:r>
          </w:p>
          <w:p w14:paraId="11CEA49E" w14:textId="60C9DA85" w:rsidR="0073235F" w:rsidRPr="000F0299" w:rsidRDefault="0073235F" w:rsidP="005A56DA">
            <w:pPr>
              <w:spacing w:before="0"/>
              <w:ind w:firstLine="0"/>
            </w:pPr>
            <w:r w:rsidRPr="000F0299">
              <w:t>(2022): 2</w:t>
            </w:r>
          </w:p>
          <w:p w14:paraId="3F8E0F53" w14:textId="1E711B28" w:rsidR="0073235F" w:rsidRPr="000F0299" w:rsidRDefault="0073235F" w:rsidP="005A56DA">
            <w:pPr>
              <w:spacing w:before="0"/>
              <w:ind w:firstLine="0"/>
            </w:pPr>
            <w:r w:rsidRPr="000F0299">
              <w:t>(2023): 3</w:t>
            </w:r>
          </w:p>
          <w:p w14:paraId="47EEB965" w14:textId="48E36324" w:rsidR="0073235F" w:rsidRPr="000F0299" w:rsidRDefault="0073235F" w:rsidP="005A56DA">
            <w:pPr>
              <w:spacing w:before="0"/>
              <w:ind w:firstLine="0"/>
            </w:pPr>
            <w:r w:rsidRPr="000F0299">
              <w:t>(2024): 3</w:t>
            </w:r>
          </w:p>
          <w:p w14:paraId="2C4B3428" w14:textId="4C1C3AAB" w:rsidR="0073235F" w:rsidRPr="000F0299" w:rsidRDefault="00C214E4" w:rsidP="005A56DA">
            <w:pPr>
              <w:spacing w:before="0"/>
              <w:ind w:firstLine="0"/>
            </w:pPr>
            <w:r>
              <w:t>(2025): 4</w:t>
            </w:r>
          </w:p>
          <w:p w14:paraId="5C1C9B8D" w14:textId="1BDB891F" w:rsidR="0073235F" w:rsidRPr="000F0299" w:rsidRDefault="00C214E4" w:rsidP="005A56DA">
            <w:pPr>
              <w:spacing w:before="0"/>
              <w:ind w:firstLine="0"/>
            </w:pPr>
            <w:r>
              <w:t>(2027): 5</w:t>
            </w:r>
          </w:p>
          <w:p w14:paraId="508852D4" w14:textId="756038C4" w:rsidR="0073235F" w:rsidRPr="000F0299" w:rsidRDefault="0073235F" w:rsidP="005A56DA">
            <w:pPr>
              <w:spacing w:before="0"/>
              <w:ind w:firstLine="0"/>
            </w:pPr>
            <w:r w:rsidRPr="000F0299">
              <w:t>(2030): 6</w:t>
            </w:r>
          </w:p>
        </w:tc>
        <w:tc>
          <w:tcPr>
            <w:tcW w:w="185" w:type="pct"/>
            <w:tcBorders>
              <w:right w:val="single" w:sz="18" w:space="0" w:color="C00000"/>
            </w:tcBorders>
            <w:shd w:val="clear" w:color="auto" w:fill="auto"/>
          </w:tcPr>
          <w:p w14:paraId="18DE6A5B" w14:textId="77777777" w:rsidR="0073235F" w:rsidRPr="000F0299" w:rsidRDefault="0073235F" w:rsidP="005A56DA">
            <w:pPr>
              <w:spacing w:before="0"/>
              <w:ind w:firstLine="0"/>
            </w:pPr>
          </w:p>
        </w:tc>
      </w:tr>
      <w:tr w:rsidR="0073235F" w:rsidRPr="000F0299" w14:paraId="64499E92" w14:textId="77777777" w:rsidTr="006F7A2B">
        <w:trPr>
          <w:trHeight w:val="340"/>
        </w:trPr>
        <w:tc>
          <w:tcPr>
            <w:tcW w:w="190" w:type="pct"/>
            <w:tcBorders>
              <w:left w:val="single" w:sz="18" w:space="0" w:color="C00000"/>
              <w:bottom w:val="single" w:sz="18" w:space="0" w:color="C00000"/>
            </w:tcBorders>
            <w:shd w:val="clear" w:color="auto" w:fill="auto"/>
          </w:tcPr>
          <w:p w14:paraId="2FC3D5A3" w14:textId="77777777" w:rsidR="0073235F" w:rsidRPr="000F0299" w:rsidRDefault="0073235F" w:rsidP="005A56DA">
            <w:pPr>
              <w:spacing w:before="0"/>
              <w:ind w:firstLine="0"/>
              <w:rPr>
                <w:sz w:val="16"/>
                <w:szCs w:val="16"/>
              </w:rPr>
            </w:pPr>
          </w:p>
        </w:tc>
        <w:tc>
          <w:tcPr>
            <w:tcW w:w="2556" w:type="pct"/>
            <w:tcBorders>
              <w:top w:val="single" w:sz="18" w:space="0" w:color="D9D9D9" w:themeColor="background1" w:themeShade="D9"/>
              <w:bottom w:val="single" w:sz="18" w:space="0" w:color="C00000"/>
            </w:tcBorders>
            <w:shd w:val="clear" w:color="auto" w:fill="auto"/>
          </w:tcPr>
          <w:p w14:paraId="06E7A3F0" w14:textId="77777777" w:rsidR="0073235F" w:rsidRPr="000F0299" w:rsidRDefault="0073235F"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7F88D9DE" w14:textId="77777777" w:rsidR="0073235F" w:rsidRPr="000F0299" w:rsidRDefault="0073235F"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401B15E1" w14:textId="77777777" w:rsidR="0073235F" w:rsidRPr="000F0299" w:rsidRDefault="0073235F" w:rsidP="005A56DA">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6A2338DE" w14:textId="77777777" w:rsidR="0073235F" w:rsidRPr="000F0299" w:rsidRDefault="0073235F" w:rsidP="005A56DA">
            <w:pPr>
              <w:spacing w:before="0"/>
              <w:ind w:firstLine="0"/>
              <w:rPr>
                <w:sz w:val="16"/>
                <w:szCs w:val="16"/>
              </w:rPr>
            </w:pPr>
          </w:p>
        </w:tc>
      </w:tr>
    </w:tbl>
    <w:p w14:paraId="3AB042DC" w14:textId="16D8D8EE" w:rsidR="0073235F" w:rsidRPr="000F0299" w:rsidRDefault="00C67B0B" w:rsidP="00244E7C">
      <w:pPr>
        <w:rPr>
          <w:b/>
          <w:bCs/>
        </w:rPr>
      </w:pPr>
      <w:r w:rsidRPr="000F0299">
        <w:rPr>
          <w:b/>
          <w:bCs/>
        </w:rPr>
        <w:t>Meрa</w:t>
      </w:r>
      <w:r w:rsidR="003F3312" w:rsidRPr="000F0299">
        <w:rPr>
          <w:b/>
          <w:bCs/>
        </w:rPr>
        <w:t xml:space="preserve"> 2.3.5: Успостављање система планирања и управљања процесом целоживотног стручног усавршавања у јавној управи (мастер план целоживотног стручног усавршавања)</w:t>
      </w:r>
    </w:p>
    <w:p w14:paraId="7611520B" w14:textId="77777777" w:rsidR="00DF2530" w:rsidRPr="000F0299" w:rsidRDefault="00DF2530" w:rsidP="00DF2530">
      <w:r>
        <w:t>Ова мера је усмерена на</w:t>
      </w:r>
      <w:r w:rsidRPr="000F0299">
        <w:t xml:space="preserve"> сагледавање најбољих упоредних система у планирању и примени целоживотно</w:t>
      </w:r>
      <w:r>
        <w:t>г</w:t>
      </w:r>
      <w:r w:rsidRPr="000F0299">
        <w:t xml:space="preserve"> стручно</w:t>
      </w:r>
      <w:r>
        <w:t>г</w:t>
      </w:r>
      <w:r w:rsidRPr="000F0299">
        <w:t xml:space="preserve"> усавршавањ</w:t>
      </w:r>
      <w:r>
        <w:t>а</w:t>
      </w:r>
      <w:r w:rsidRPr="000F0299">
        <w:t xml:space="preserve"> запослених у јавној управи</w:t>
      </w:r>
      <w:r>
        <w:t xml:space="preserve"> како би</w:t>
      </w:r>
      <w:r w:rsidRPr="000F0299">
        <w:t xml:space="preserve"> се припреми</w:t>
      </w:r>
      <w:r>
        <w:t>о</w:t>
      </w:r>
      <w:r w:rsidRPr="000F0299">
        <w:t xml:space="preserve"> модел плана целоживотног стручног усавршавања у јавној управи, чијом применом би се омогућило боље планирање осталих сегментима у </w:t>
      </w:r>
      <w:r w:rsidRPr="0079500C">
        <w:t>УЉР</w:t>
      </w:r>
      <w:r w:rsidRPr="000F0299">
        <w:t>.</w:t>
      </w:r>
    </w:p>
    <w:tbl>
      <w:tblPr>
        <w:tblW w:w="5000" w:type="pct"/>
        <w:tblLook w:val="00A0" w:firstRow="1" w:lastRow="0" w:firstColumn="1" w:lastColumn="0" w:noHBand="0" w:noVBand="0"/>
      </w:tblPr>
      <w:tblGrid>
        <w:gridCol w:w="364"/>
        <w:gridCol w:w="4905"/>
        <w:gridCol w:w="1984"/>
        <w:gridCol w:w="1984"/>
        <w:gridCol w:w="355"/>
      </w:tblGrid>
      <w:tr w:rsidR="0073235F" w:rsidRPr="000F0299" w14:paraId="255ACD93" w14:textId="77777777" w:rsidTr="006F7A2B">
        <w:trPr>
          <w:trHeight w:val="20"/>
        </w:trPr>
        <w:tc>
          <w:tcPr>
            <w:tcW w:w="190" w:type="pct"/>
            <w:tcBorders>
              <w:top w:val="single" w:sz="18" w:space="0" w:color="C00000"/>
              <w:left w:val="single" w:sz="18" w:space="0" w:color="C00000"/>
            </w:tcBorders>
            <w:shd w:val="clear" w:color="auto" w:fill="auto"/>
          </w:tcPr>
          <w:p w14:paraId="46DB1C90" w14:textId="77777777" w:rsidR="0073235F" w:rsidRPr="000F0299" w:rsidRDefault="0073235F" w:rsidP="005A56DA">
            <w:pPr>
              <w:spacing w:before="0"/>
              <w:ind w:firstLine="0"/>
              <w:rPr>
                <w:b/>
                <w:bCs/>
                <w:sz w:val="16"/>
                <w:szCs w:val="16"/>
              </w:rPr>
            </w:pPr>
          </w:p>
        </w:tc>
        <w:tc>
          <w:tcPr>
            <w:tcW w:w="2556" w:type="pct"/>
            <w:tcBorders>
              <w:top w:val="single" w:sz="18" w:space="0" w:color="C00000"/>
            </w:tcBorders>
            <w:shd w:val="clear" w:color="auto" w:fill="auto"/>
          </w:tcPr>
          <w:p w14:paraId="5EE39E6C" w14:textId="77777777" w:rsidR="0073235F" w:rsidRPr="000F0299" w:rsidRDefault="0073235F" w:rsidP="005A56DA">
            <w:pPr>
              <w:spacing w:before="0"/>
              <w:ind w:firstLine="0"/>
              <w:rPr>
                <w:b/>
                <w:bCs/>
                <w:sz w:val="16"/>
                <w:szCs w:val="16"/>
              </w:rPr>
            </w:pPr>
          </w:p>
        </w:tc>
        <w:tc>
          <w:tcPr>
            <w:tcW w:w="1034" w:type="pct"/>
            <w:tcBorders>
              <w:top w:val="single" w:sz="18" w:space="0" w:color="C00000"/>
            </w:tcBorders>
            <w:shd w:val="clear" w:color="auto" w:fill="auto"/>
            <w:vAlign w:val="center"/>
          </w:tcPr>
          <w:p w14:paraId="5D417477" w14:textId="77777777" w:rsidR="0073235F" w:rsidRPr="000F0299" w:rsidRDefault="0073235F" w:rsidP="005A56DA">
            <w:pPr>
              <w:spacing w:before="0"/>
              <w:ind w:firstLine="0"/>
              <w:jc w:val="center"/>
              <w:rPr>
                <w:b/>
                <w:bCs/>
                <w:sz w:val="16"/>
                <w:szCs w:val="16"/>
              </w:rPr>
            </w:pPr>
          </w:p>
        </w:tc>
        <w:tc>
          <w:tcPr>
            <w:tcW w:w="1034" w:type="pct"/>
            <w:tcBorders>
              <w:top w:val="single" w:sz="18" w:space="0" w:color="C00000"/>
            </w:tcBorders>
            <w:shd w:val="clear" w:color="auto" w:fill="auto"/>
            <w:vAlign w:val="center"/>
          </w:tcPr>
          <w:p w14:paraId="331DF444" w14:textId="77777777" w:rsidR="0073235F" w:rsidRPr="000F0299" w:rsidRDefault="0073235F" w:rsidP="005A56DA">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1F3091EC" w14:textId="77777777" w:rsidR="0073235F" w:rsidRPr="000F0299" w:rsidRDefault="0073235F" w:rsidP="005A56DA">
            <w:pPr>
              <w:spacing w:before="0"/>
              <w:ind w:firstLine="0"/>
              <w:jc w:val="center"/>
              <w:rPr>
                <w:b/>
                <w:bCs/>
                <w:sz w:val="16"/>
                <w:szCs w:val="16"/>
              </w:rPr>
            </w:pPr>
          </w:p>
        </w:tc>
      </w:tr>
      <w:tr w:rsidR="0073235F" w:rsidRPr="000F0299" w14:paraId="642DC512" w14:textId="77777777" w:rsidTr="006F7A2B">
        <w:trPr>
          <w:trHeight w:val="490"/>
        </w:trPr>
        <w:tc>
          <w:tcPr>
            <w:tcW w:w="190" w:type="pct"/>
            <w:tcBorders>
              <w:left w:val="single" w:sz="18" w:space="0" w:color="C00000"/>
            </w:tcBorders>
            <w:shd w:val="clear" w:color="auto" w:fill="auto"/>
          </w:tcPr>
          <w:p w14:paraId="278D34C7" w14:textId="77777777" w:rsidR="0073235F" w:rsidRPr="000F0299" w:rsidRDefault="0073235F" w:rsidP="005A56DA">
            <w:pPr>
              <w:spacing w:before="0"/>
              <w:ind w:firstLine="0"/>
              <w:rPr>
                <w:b/>
                <w:bCs/>
              </w:rPr>
            </w:pPr>
          </w:p>
        </w:tc>
        <w:tc>
          <w:tcPr>
            <w:tcW w:w="2556" w:type="pct"/>
            <w:tcBorders>
              <w:left w:val="nil"/>
              <w:bottom w:val="single" w:sz="18" w:space="0" w:color="C00000"/>
              <w:right w:val="single" w:sz="18" w:space="0" w:color="D9D9D9" w:themeColor="background1" w:themeShade="D9"/>
            </w:tcBorders>
            <w:shd w:val="clear" w:color="auto" w:fill="auto"/>
          </w:tcPr>
          <w:p w14:paraId="6F2E8EDB" w14:textId="77777777" w:rsidR="0073235F" w:rsidRPr="000F0299" w:rsidRDefault="0073235F" w:rsidP="005A56DA">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682B5C38" w14:textId="77777777" w:rsidR="0073235F" w:rsidRPr="000F0299" w:rsidRDefault="0073235F" w:rsidP="005A56DA">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627DC980" w14:textId="77777777" w:rsidR="0073235F" w:rsidRPr="000F0299" w:rsidRDefault="0073235F" w:rsidP="005A56DA">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0EA828B1" w14:textId="77777777" w:rsidR="0073235F" w:rsidRPr="000F0299" w:rsidRDefault="0073235F" w:rsidP="005A56DA">
            <w:pPr>
              <w:spacing w:before="0"/>
              <w:ind w:firstLine="0"/>
              <w:jc w:val="center"/>
              <w:rPr>
                <w:b/>
                <w:bCs/>
              </w:rPr>
            </w:pPr>
          </w:p>
        </w:tc>
      </w:tr>
      <w:tr w:rsidR="0073235F" w:rsidRPr="000F0299" w14:paraId="6F04B2F5" w14:textId="77777777" w:rsidTr="006F7A2B">
        <w:trPr>
          <w:trHeight w:val="380"/>
        </w:trPr>
        <w:tc>
          <w:tcPr>
            <w:tcW w:w="190" w:type="pct"/>
            <w:tcBorders>
              <w:left w:val="single" w:sz="18" w:space="0" w:color="C00000"/>
            </w:tcBorders>
            <w:shd w:val="clear" w:color="auto" w:fill="auto"/>
          </w:tcPr>
          <w:p w14:paraId="4AEE3B46" w14:textId="77777777" w:rsidR="0073235F" w:rsidRPr="000F0299" w:rsidRDefault="0073235F" w:rsidP="005A56DA">
            <w:pPr>
              <w:spacing w:before="0"/>
              <w:ind w:firstLine="0"/>
            </w:pPr>
          </w:p>
        </w:tc>
        <w:tc>
          <w:tcPr>
            <w:tcW w:w="2556"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3064D04F" w14:textId="68351428" w:rsidR="0073235F" w:rsidRPr="000F0299" w:rsidRDefault="0073235F" w:rsidP="005A56DA">
            <w:pPr>
              <w:spacing w:before="0"/>
              <w:ind w:firstLine="0"/>
            </w:pPr>
            <w:r w:rsidRPr="000F0299">
              <w:rPr>
                <w:lang w:eastAsia="de-DE"/>
              </w:rPr>
              <w:t>Степен у ком је развијен систем планирања и управљања процесом целоживотног стручног усавршавања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26984569" w14:textId="6128C6AE" w:rsidR="0073235F" w:rsidRPr="000F0299" w:rsidRDefault="00C214E4" w:rsidP="005A56DA">
            <w:pPr>
              <w:spacing w:before="0"/>
              <w:ind w:firstLine="0"/>
            </w:pPr>
            <w:r>
              <w:t>(2019): 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3AAB9766" w14:textId="0B6DD4A6" w:rsidR="0073235F" w:rsidRPr="000F0299" w:rsidRDefault="0073235F" w:rsidP="005A56DA">
            <w:pPr>
              <w:spacing w:before="0"/>
              <w:ind w:firstLine="0"/>
            </w:pPr>
            <w:r w:rsidRPr="000F0299">
              <w:t>(2021): 0</w:t>
            </w:r>
          </w:p>
          <w:p w14:paraId="63DBFE1E" w14:textId="4700BE37" w:rsidR="0073235F" w:rsidRPr="000F0299" w:rsidRDefault="0073235F" w:rsidP="005A56DA">
            <w:pPr>
              <w:spacing w:before="0"/>
              <w:ind w:firstLine="0"/>
            </w:pPr>
            <w:r w:rsidRPr="000F0299">
              <w:t>(2022): 0</w:t>
            </w:r>
          </w:p>
          <w:p w14:paraId="09B0AB7B" w14:textId="2190ADA9" w:rsidR="0073235F" w:rsidRPr="000F0299" w:rsidRDefault="0073235F" w:rsidP="005A56DA">
            <w:pPr>
              <w:spacing w:before="0"/>
              <w:ind w:firstLine="0"/>
            </w:pPr>
            <w:r w:rsidRPr="000F0299">
              <w:t>(2023): 0</w:t>
            </w:r>
          </w:p>
          <w:p w14:paraId="59AF3458" w14:textId="5D8ED004" w:rsidR="0073235F" w:rsidRPr="000F0299" w:rsidRDefault="0073235F" w:rsidP="005A56DA">
            <w:pPr>
              <w:spacing w:before="0"/>
              <w:ind w:firstLine="0"/>
            </w:pPr>
            <w:r w:rsidRPr="000F0299">
              <w:t>(2024): 0</w:t>
            </w:r>
          </w:p>
          <w:p w14:paraId="317809AF" w14:textId="06617C05" w:rsidR="0073235F" w:rsidRPr="000F0299" w:rsidRDefault="0073235F" w:rsidP="005A56DA">
            <w:pPr>
              <w:spacing w:before="0"/>
              <w:ind w:firstLine="0"/>
            </w:pPr>
            <w:r w:rsidRPr="000F0299">
              <w:t>(2025): 1</w:t>
            </w:r>
          </w:p>
          <w:p w14:paraId="65183FC3" w14:textId="6E3165C2" w:rsidR="0073235F" w:rsidRPr="000F0299" w:rsidRDefault="0073235F" w:rsidP="005A56DA">
            <w:pPr>
              <w:spacing w:before="0"/>
              <w:ind w:firstLine="0"/>
            </w:pPr>
            <w:r w:rsidRPr="000F0299">
              <w:t>(2027): 1</w:t>
            </w:r>
          </w:p>
          <w:p w14:paraId="6E52F6BA" w14:textId="0ED3C334" w:rsidR="0073235F" w:rsidRPr="000F0299" w:rsidRDefault="0073235F" w:rsidP="005A56DA">
            <w:pPr>
              <w:spacing w:before="0"/>
              <w:ind w:firstLine="0"/>
            </w:pPr>
            <w:r w:rsidRPr="000F0299">
              <w:t>(2030): 1</w:t>
            </w:r>
          </w:p>
        </w:tc>
        <w:tc>
          <w:tcPr>
            <w:tcW w:w="185" w:type="pct"/>
            <w:tcBorders>
              <w:right w:val="single" w:sz="18" w:space="0" w:color="C00000"/>
            </w:tcBorders>
            <w:shd w:val="clear" w:color="auto" w:fill="auto"/>
          </w:tcPr>
          <w:p w14:paraId="7FD02412" w14:textId="77777777" w:rsidR="0073235F" w:rsidRPr="000F0299" w:rsidRDefault="0073235F" w:rsidP="005A56DA">
            <w:pPr>
              <w:spacing w:before="0"/>
              <w:ind w:firstLine="0"/>
            </w:pPr>
          </w:p>
        </w:tc>
      </w:tr>
      <w:tr w:rsidR="0073235F" w:rsidRPr="000F0299" w14:paraId="6F1EA22B" w14:textId="77777777" w:rsidTr="006F7A2B">
        <w:trPr>
          <w:trHeight w:val="340"/>
        </w:trPr>
        <w:tc>
          <w:tcPr>
            <w:tcW w:w="190" w:type="pct"/>
            <w:tcBorders>
              <w:left w:val="single" w:sz="18" w:space="0" w:color="C00000"/>
              <w:bottom w:val="single" w:sz="18" w:space="0" w:color="C00000"/>
            </w:tcBorders>
            <w:shd w:val="clear" w:color="auto" w:fill="auto"/>
          </w:tcPr>
          <w:p w14:paraId="22525AEA" w14:textId="77777777" w:rsidR="0073235F" w:rsidRPr="000F0299" w:rsidRDefault="0073235F" w:rsidP="005A56DA">
            <w:pPr>
              <w:spacing w:before="0"/>
              <w:ind w:firstLine="0"/>
              <w:rPr>
                <w:sz w:val="16"/>
                <w:szCs w:val="16"/>
              </w:rPr>
            </w:pPr>
          </w:p>
        </w:tc>
        <w:tc>
          <w:tcPr>
            <w:tcW w:w="2556" w:type="pct"/>
            <w:tcBorders>
              <w:top w:val="single" w:sz="18" w:space="0" w:color="D9D9D9" w:themeColor="background1" w:themeShade="D9"/>
              <w:bottom w:val="single" w:sz="18" w:space="0" w:color="C00000"/>
            </w:tcBorders>
            <w:shd w:val="clear" w:color="auto" w:fill="auto"/>
          </w:tcPr>
          <w:p w14:paraId="4C768ADD" w14:textId="77777777" w:rsidR="0073235F" w:rsidRPr="000F0299" w:rsidRDefault="0073235F"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7ABA218A" w14:textId="77777777" w:rsidR="0073235F" w:rsidRPr="000F0299" w:rsidRDefault="0073235F"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51A5A27E" w14:textId="77777777" w:rsidR="0073235F" w:rsidRPr="000F0299" w:rsidRDefault="0073235F" w:rsidP="005A56DA">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5A57A340" w14:textId="77777777" w:rsidR="0073235F" w:rsidRPr="000F0299" w:rsidRDefault="0073235F" w:rsidP="005A56DA">
            <w:pPr>
              <w:spacing w:before="0"/>
              <w:ind w:firstLine="0"/>
              <w:rPr>
                <w:sz w:val="16"/>
                <w:szCs w:val="16"/>
              </w:rPr>
            </w:pPr>
          </w:p>
        </w:tc>
      </w:tr>
    </w:tbl>
    <w:p w14:paraId="2CD59EC5" w14:textId="78E9B5BC" w:rsidR="0073235F" w:rsidRPr="000F0299" w:rsidRDefault="00C67B0B" w:rsidP="00244E7C">
      <w:pPr>
        <w:rPr>
          <w:b/>
          <w:bCs/>
        </w:rPr>
      </w:pPr>
      <w:r w:rsidRPr="000F0299">
        <w:rPr>
          <w:b/>
          <w:bCs/>
        </w:rPr>
        <w:t>Meрa</w:t>
      </w:r>
      <w:r w:rsidR="003F3312" w:rsidRPr="000F0299">
        <w:rPr>
          <w:b/>
          <w:bCs/>
        </w:rPr>
        <w:t xml:space="preserve"> 2.3.6: Успостављање </w:t>
      </w:r>
      <w:r w:rsidRPr="000F0299">
        <w:rPr>
          <w:b/>
          <w:bCs/>
        </w:rPr>
        <w:t>инструмената</w:t>
      </w:r>
      <w:r w:rsidR="003F3312" w:rsidRPr="000F0299">
        <w:rPr>
          <w:b/>
          <w:bCs/>
        </w:rPr>
        <w:t xml:space="preserve"> сарадње институција у чијем делокругу су послови стручног усавршавања запослених у државним и другим органима</w:t>
      </w:r>
    </w:p>
    <w:p w14:paraId="184505F8" w14:textId="77777777" w:rsidR="00DF2530" w:rsidRPr="000F0299" w:rsidRDefault="00DF2530" w:rsidP="00DF2530">
      <w:r>
        <w:t xml:space="preserve">Ова мера је усмерена на развој </w:t>
      </w:r>
      <w:r w:rsidRPr="000F0299">
        <w:t>сарадњ</w:t>
      </w:r>
      <w:r>
        <w:t>е</w:t>
      </w:r>
      <w:r w:rsidRPr="000F0299">
        <w:t xml:space="preserve"> надлежних институција, </w:t>
      </w:r>
      <w:r>
        <w:t>као</w:t>
      </w:r>
      <w:r w:rsidRPr="000F0299">
        <w:t xml:space="preserve"> и промовисање и подстицање интерресорног стручног усавршавања у мултисекторским областима </w:t>
      </w:r>
      <w:r>
        <w:t xml:space="preserve">како би се </w:t>
      </w:r>
      <w:r w:rsidRPr="000F0299">
        <w:t xml:space="preserve">постојећи организациони облици у чијем </w:t>
      </w:r>
      <w:r>
        <w:t xml:space="preserve">је </w:t>
      </w:r>
      <w:r w:rsidRPr="000F0299">
        <w:t>делокругу стручно усавршавање у државним и другим органима став</w:t>
      </w:r>
      <w:r>
        <w:t>или</w:t>
      </w:r>
      <w:r w:rsidRPr="000F0299">
        <w:t xml:space="preserve"> у функцију свеукупне подршке </w:t>
      </w:r>
      <w:r>
        <w:t>повећању</w:t>
      </w:r>
      <w:r w:rsidRPr="000F0299">
        <w:t xml:space="preserve"> знања, вештина и способности запослених у јавној управи.</w:t>
      </w:r>
    </w:p>
    <w:tbl>
      <w:tblPr>
        <w:tblW w:w="5000" w:type="pct"/>
        <w:tblLook w:val="00A0" w:firstRow="1" w:lastRow="0" w:firstColumn="1" w:lastColumn="0" w:noHBand="0" w:noVBand="0"/>
      </w:tblPr>
      <w:tblGrid>
        <w:gridCol w:w="364"/>
        <w:gridCol w:w="4905"/>
        <w:gridCol w:w="1984"/>
        <w:gridCol w:w="1984"/>
        <w:gridCol w:w="355"/>
      </w:tblGrid>
      <w:tr w:rsidR="0073235F" w:rsidRPr="000F0299" w14:paraId="51D7FAD8" w14:textId="77777777" w:rsidTr="003D5E32">
        <w:trPr>
          <w:trHeight w:val="140"/>
        </w:trPr>
        <w:tc>
          <w:tcPr>
            <w:tcW w:w="190" w:type="pct"/>
            <w:tcBorders>
              <w:top w:val="single" w:sz="18" w:space="0" w:color="C00000"/>
              <w:left w:val="single" w:sz="18" w:space="0" w:color="C00000"/>
            </w:tcBorders>
            <w:shd w:val="clear" w:color="auto" w:fill="auto"/>
          </w:tcPr>
          <w:p w14:paraId="798F9BBB" w14:textId="77777777" w:rsidR="0073235F" w:rsidRPr="000F0299" w:rsidRDefault="0073235F" w:rsidP="005A56DA">
            <w:pPr>
              <w:spacing w:before="0"/>
              <w:ind w:firstLine="0"/>
              <w:rPr>
                <w:b/>
                <w:bCs/>
                <w:sz w:val="16"/>
                <w:szCs w:val="16"/>
              </w:rPr>
            </w:pPr>
          </w:p>
        </w:tc>
        <w:tc>
          <w:tcPr>
            <w:tcW w:w="2556" w:type="pct"/>
            <w:tcBorders>
              <w:top w:val="single" w:sz="18" w:space="0" w:color="C00000"/>
            </w:tcBorders>
            <w:shd w:val="clear" w:color="auto" w:fill="auto"/>
          </w:tcPr>
          <w:p w14:paraId="1556482D" w14:textId="77777777" w:rsidR="0073235F" w:rsidRPr="000F0299" w:rsidRDefault="0073235F" w:rsidP="005A56DA">
            <w:pPr>
              <w:spacing w:before="0"/>
              <w:ind w:firstLine="0"/>
              <w:rPr>
                <w:b/>
                <w:bCs/>
                <w:sz w:val="16"/>
                <w:szCs w:val="16"/>
              </w:rPr>
            </w:pPr>
          </w:p>
        </w:tc>
        <w:tc>
          <w:tcPr>
            <w:tcW w:w="1034" w:type="pct"/>
            <w:tcBorders>
              <w:top w:val="single" w:sz="18" w:space="0" w:color="C00000"/>
            </w:tcBorders>
            <w:shd w:val="clear" w:color="auto" w:fill="auto"/>
            <w:vAlign w:val="center"/>
          </w:tcPr>
          <w:p w14:paraId="2A1BA7E9" w14:textId="77777777" w:rsidR="0073235F" w:rsidRPr="000F0299" w:rsidRDefault="0073235F" w:rsidP="005A56DA">
            <w:pPr>
              <w:spacing w:before="0"/>
              <w:ind w:firstLine="0"/>
              <w:jc w:val="center"/>
              <w:rPr>
                <w:b/>
                <w:bCs/>
                <w:sz w:val="16"/>
                <w:szCs w:val="16"/>
              </w:rPr>
            </w:pPr>
          </w:p>
        </w:tc>
        <w:tc>
          <w:tcPr>
            <w:tcW w:w="1034" w:type="pct"/>
            <w:tcBorders>
              <w:top w:val="single" w:sz="18" w:space="0" w:color="C00000"/>
            </w:tcBorders>
            <w:shd w:val="clear" w:color="auto" w:fill="auto"/>
            <w:vAlign w:val="center"/>
          </w:tcPr>
          <w:p w14:paraId="02056D04" w14:textId="77777777" w:rsidR="0073235F" w:rsidRPr="000F0299" w:rsidRDefault="0073235F" w:rsidP="005A56DA">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2533DDFD" w14:textId="77777777" w:rsidR="0073235F" w:rsidRPr="000F0299" w:rsidRDefault="0073235F" w:rsidP="005A56DA">
            <w:pPr>
              <w:spacing w:before="0"/>
              <w:ind w:firstLine="0"/>
              <w:jc w:val="center"/>
              <w:rPr>
                <w:b/>
                <w:bCs/>
                <w:sz w:val="16"/>
                <w:szCs w:val="16"/>
              </w:rPr>
            </w:pPr>
          </w:p>
        </w:tc>
      </w:tr>
      <w:tr w:rsidR="0073235F" w:rsidRPr="000F0299" w14:paraId="3E4B1E5C" w14:textId="77777777" w:rsidTr="006F7A2B">
        <w:trPr>
          <w:trHeight w:val="490"/>
        </w:trPr>
        <w:tc>
          <w:tcPr>
            <w:tcW w:w="190" w:type="pct"/>
            <w:tcBorders>
              <w:left w:val="single" w:sz="18" w:space="0" w:color="C00000"/>
            </w:tcBorders>
            <w:shd w:val="clear" w:color="auto" w:fill="auto"/>
          </w:tcPr>
          <w:p w14:paraId="65BF0955" w14:textId="77777777" w:rsidR="0073235F" w:rsidRPr="000F0299" w:rsidRDefault="0073235F" w:rsidP="005A56DA">
            <w:pPr>
              <w:spacing w:before="0"/>
              <w:ind w:firstLine="0"/>
              <w:rPr>
                <w:b/>
                <w:bCs/>
              </w:rPr>
            </w:pPr>
          </w:p>
        </w:tc>
        <w:tc>
          <w:tcPr>
            <w:tcW w:w="2556" w:type="pct"/>
            <w:tcBorders>
              <w:left w:val="nil"/>
              <w:bottom w:val="single" w:sz="18" w:space="0" w:color="C00000"/>
              <w:right w:val="single" w:sz="18" w:space="0" w:color="D9D9D9" w:themeColor="background1" w:themeShade="D9"/>
            </w:tcBorders>
            <w:shd w:val="clear" w:color="auto" w:fill="auto"/>
          </w:tcPr>
          <w:p w14:paraId="6CD5EC0D" w14:textId="77777777" w:rsidR="0073235F" w:rsidRPr="000F0299" w:rsidRDefault="0073235F" w:rsidP="005A56DA">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65CD9752" w14:textId="77777777" w:rsidR="0073235F" w:rsidRPr="000F0299" w:rsidRDefault="0073235F" w:rsidP="005A56DA">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1B331482" w14:textId="77777777" w:rsidR="0073235F" w:rsidRPr="000F0299" w:rsidRDefault="0073235F" w:rsidP="005A56DA">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11A69266" w14:textId="77777777" w:rsidR="0073235F" w:rsidRPr="000F0299" w:rsidRDefault="0073235F" w:rsidP="005A56DA">
            <w:pPr>
              <w:spacing w:before="0"/>
              <w:ind w:firstLine="0"/>
              <w:jc w:val="center"/>
              <w:rPr>
                <w:b/>
                <w:bCs/>
              </w:rPr>
            </w:pPr>
          </w:p>
        </w:tc>
      </w:tr>
      <w:tr w:rsidR="0073235F" w:rsidRPr="000F0299" w14:paraId="290A52E6" w14:textId="77777777" w:rsidTr="006F7A2B">
        <w:trPr>
          <w:trHeight w:val="380"/>
        </w:trPr>
        <w:tc>
          <w:tcPr>
            <w:tcW w:w="190" w:type="pct"/>
            <w:tcBorders>
              <w:left w:val="single" w:sz="18" w:space="0" w:color="C00000"/>
            </w:tcBorders>
            <w:shd w:val="clear" w:color="auto" w:fill="auto"/>
          </w:tcPr>
          <w:p w14:paraId="62D877F3" w14:textId="77777777" w:rsidR="0073235F" w:rsidRPr="000F0299" w:rsidRDefault="0073235F" w:rsidP="005A56DA">
            <w:pPr>
              <w:spacing w:before="0"/>
              <w:ind w:firstLine="0"/>
            </w:pPr>
          </w:p>
        </w:tc>
        <w:tc>
          <w:tcPr>
            <w:tcW w:w="2556"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257E9EE3" w14:textId="37305E62" w:rsidR="0073235F" w:rsidRPr="000F0299" w:rsidRDefault="006F7A2B" w:rsidP="005A56DA">
            <w:pPr>
              <w:spacing w:before="0"/>
              <w:ind w:firstLine="0"/>
            </w:pPr>
            <w:r w:rsidRPr="000F0299">
              <w:rPr>
                <w:lang w:eastAsia="de-DE"/>
              </w:rPr>
              <w:t>Степен у којем је развијен оквир сарадње институција у чијем делокругу су послови стручног усавршавања запослених</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05A23CBD" w14:textId="30775139" w:rsidR="0073235F" w:rsidRPr="000F0299" w:rsidRDefault="00C214E4" w:rsidP="005A56DA">
            <w:pPr>
              <w:spacing w:before="0"/>
              <w:ind w:firstLine="0"/>
            </w:pPr>
            <w:r>
              <w:t>(2020): 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3C00E312" w14:textId="77777777" w:rsidR="0073235F" w:rsidRPr="000F0299" w:rsidRDefault="0073235F" w:rsidP="005A56DA">
            <w:pPr>
              <w:spacing w:before="0"/>
              <w:ind w:firstLine="0"/>
            </w:pPr>
            <w:r w:rsidRPr="000F0299">
              <w:t>(2021): 0</w:t>
            </w:r>
          </w:p>
          <w:p w14:paraId="0913FD2A" w14:textId="28D0389C" w:rsidR="0073235F" w:rsidRPr="000F0299" w:rsidRDefault="0073235F" w:rsidP="005A56DA">
            <w:pPr>
              <w:spacing w:before="0"/>
              <w:ind w:firstLine="0"/>
            </w:pPr>
            <w:r w:rsidRPr="000F0299">
              <w:t xml:space="preserve">(2022): </w:t>
            </w:r>
            <w:r w:rsidR="00C214E4">
              <w:t>0</w:t>
            </w:r>
          </w:p>
          <w:p w14:paraId="5EE3DCA5" w14:textId="58D651B7" w:rsidR="0073235F" w:rsidRPr="000F0299" w:rsidRDefault="0073235F" w:rsidP="005A56DA">
            <w:pPr>
              <w:spacing w:before="0"/>
              <w:ind w:firstLine="0"/>
            </w:pPr>
            <w:r w:rsidRPr="000F0299">
              <w:t xml:space="preserve">(2023): </w:t>
            </w:r>
            <w:r w:rsidR="00C214E4">
              <w:t>0</w:t>
            </w:r>
          </w:p>
          <w:p w14:paraId="66947C1B" w14:textId="51E33F56" w:rsidR="0073235F" w:rsidRPr="000F0299" w:rsidRDefault="0073235F" w:rsidP="005A56DA">
            <w:pPr>
              <w:spacing w:before="0"/>
              <w:ind w:firstLine="0"/>
            </w:pPr>
            <w:r w:rsidRPr="000F0299">
              <w:t xml:space="preserve">(2024): </w:t>
            </w:r>
            <w:r w:rsidR="006F7A2B" w:rsidRPr="000F0299">
              <w:t>1</w:t>
            </w:r>
          </w:p>
          <w:p w14:paraId="696A13AA" w14:textId="77777777" w:rsidR="0073235F" w:rsidRPr="000F0299" w:rsidRDefault="0073235F" w:rsidP="005A56DA">
            <w:pPr>
              <w:spacing w:before="0"/>
              <w:ind w:firstLine="0"/>
            </w:pPr>
            <w:r w:rsidRPr="000F0299">
              <w:t>(2025): 1</w:t>
            </w:r>
          </w:p>
          <w:p w14:paraId="25814444" w14:textId="77777777" w:rsidR="0073235F" w:rsidRPr="000F0299" w:rsidRDefault="0073235F" w:rsidP="005A56DA">
            <w:pPr>
              <w:spacing w:before="0"/>
              <w:ind w:firstLine="0"/>
            </w:pPr>
            <w:r w:rsidRPr="000F0299">
              <w:t>(2027): 1</w:t>
            </w:r>
          </w:p>
          <w:p w14:paraId="6B24A092" w14:textId="77777777" w:rsidR="0073235F" w:rsidRPr="000F0299" w:rsidRDefault="0073235F" w:rsidP="005A56DA">
            <w:pPr>
              <w:spacing w:before="0"/>
              <w:ind w:firstLine="0"/>
            </w:pPr>
            <w:r w:rsidRPr="000F0299">
              <w:t>(2030): 1</w:t>
            </w:r>
          </w:p>
        </w:tc>
        <w:tc>
          <w:tcPr>
            <w:tcW w:w="185" w:type="pct"/>
            <w:tcBorders>
              <w:right w:val="single" w:sz="18" w:space="0" w:color="C00000"/>
            </w:tcBorders>
            <w:shd w:val="clear" w:color="auto" w:fill="auto"/>
          </w:tcPr>
          <w:p w14:paraId="7730DFE5" w14:textId="77777777" w:rsidR="0073235F" w:rsidRPr="000F0299" w:rsidRDefault="0073235F" w:rsidP="005A56DA">
            <w:pPr>
              <w:spacing w:before="0"/>
              <w:ind w:firstLine="0"/>
            </w:pPr>
          </w:p>
        </w:tc>
      </w:tr>
      <w:tr w:rsidR="0073235F" w:rsidRPr="000F0299" w14:paraId="151A0E60" w14:textId="77777777" w:rsidTr="003D5E32">
        <w:trPr>
          <w:trHeight w:val="226"/>
        </w:trPr>
        <w:tc>
          <w:tcPr>
            <w:tcW w:w="190" w:type="pct"/>
            <w:tcBorders>
              <w:left w:val="single" w:sz="18" w:space="0" w:color="C00000"/>
              <w:bottom w:val="single" w:sz="18" w:space="0" w:color="C00000"/>
            </w:tcBorders>
            <w:shd w:val="clear" w:color="auto" w:fill="auto"/>
          </w:tcPr>
          <w:p w14:paraId="0C1AFB07" w14:textId="77777777" w:rsidR="0073235F" w:rsidRPr="000F0299" w:rsidRDefault="0073235F" w:rsidP="005A56DA">
            <w:pPr>
              <w:spacing w:before="0"/>
              <w:ind w:firstLine="0"/>
              <w:rPr>
                <w:sz w:val="16"/>
                <w:szCs w:val="16"/>
              </w:rPr>
            </w:pPr>
          </w:p>
        </w:tc>
        <w:tc>
          <w:tcPr>
            <w:tcW w:w="2556" w:type="pct"/>
            <w:tcBorders>
              <w:top w:val="single" w:sz="18" w:space="0" w:color="D9D9D9" w:themeColor="background1" w:themeShade="D9"/>
              <w:bottom w:val="single" w:sz="18" w:space="0" w:color="C00000"/>
            </w:tcBorders>
            <w:shd w:val="clear" w:color="auto" w:fill="auto"/>
          </w:tcPr>
          <w:p w14:paraId="021CFB3C" w14:textId="77777777" w:rsidR="0073235F" w:rsidRPr="000F0299" w:rsidRDefault="0073235F"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2CDEEF69" w14:textId="77777777" w:rsidR="0073235F" w:rsidRPr="000F0299" w:rsidRDefault="0073235F"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7F9354FA" w14:textId="77777777" w:rsidR="0073235F" w:rsidRPr="000F0299" w:rsidRDefault="0073235F" w:rsidP="005A56DA">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522FF6C0" w14:textId="77777777" w:rsidR="0073235F" w:rsidRPr="000F0299" w:rsidRDefault="0073235F" w:rsidP="005A56DA">
            <w:pPr>
              <w:spacing w:before="0"/>
              <w:ind w:firstLine="0"/>
              <w:rPr>
                <w:sz w:val="16"/>
                <w:szCs w:val="16"/>
              </w:rPr>
            </w:pPr>
          </w:p>
        </w:tc>
      </w:tr>
    </w:tbl>
    <w:p w14:paraId="7B3DC2B6" w14:textId="0FD778C9" w:rsidR="006F7A2B" w:rsidRPr="000F0299" w:rsidRDefault="00C67B0B" w:rsidP="00244E7C">
      <w:pPr>
        <w:rPr>
          <w:b/>
        </w:rPr>
      </w:pPr>
      <w:r w:rsidRPr="000F0299">
        <w:rPr>
          <w:b/>
        </w:rPr>
        <w:t>Meрa</w:t>
      </w:r>
      <w:r w:rsidR="003F3312" w:rsidRPr="000F0299">
        <w:rPr>
          <w:b/>
        </w:rPr>
        <w:t xml:space="preserve"> 2.3.7: Ув</w:t>
      </w:r>
      <w:r w:rsidR="00C214E4">
        <w:rPr>
          <w:b/>
        </w:rPr>
        <w:t xml:space="preserve">ођење јединствених критеријума </w:t>
      </w:r>
      <w:r w:rsidR="003F3312" w:rsidRPr="000F0299">
        <w:rPr>
          <w:b/>
        </w:rPr>
        <w:t>и стандарда у области стручних испита у систему државне управе</w:t>
      </w:r>
    </w:p>
    <w:p w14:paraId="18191A80" w14:textId="77777777" w:rsidR="00DF2530" w:rsidRPr="00235B23" w:rsidRDefault="00DF2530" w:rsidP="00DF2530">
      <w:pPr>
        <w:pStyle w:val="CommentText"/>
        <w:rPr>
          <w:sz w:val="24"/>
          <w:szCs w:val="24"/>
          <w:lang w:val="sr-Cyrl-RS"/>
        </w:rPr>
      </w:pPr>
      <w:r w:rsidRPr="00235B23">
        <w:rPr>
          <w:sz w:val="24"/>
          <w:szCs w:val="24"/>
          <w:lang w:val="sr-Cyrl-RS"/>
        </w:rPr>
        <w:t>Ова мера је усмерена на успостављање јединственог и целовитог нормативног оквира у питањима која су заједничка за све стручне испите како би се успоставио правни основ за реформу у тој области, као и на развој ИКТ сервиса и увођење услуга електронске управе у тај сегмент рада јавне управе.</w:t>
      </w:r>
    </w:p>
    <w:tbl>
      <w:tblPr>
        <w:tblW w:w="5000" w:type="pct"/>
        <w:tblLook w:val="00A0" w:firstRow="1" w:lastRow="0" w:firstColumn="1" w:lastColumn="0" w:noHBand="0" w:noVBand="0"/>
      </w:tblPr>
      <w:tblGrid>
        <w:gridCol w:w="364"/>
        <w:gridCol w:w="4905"/>
        <w:gridCol w:w="1984"/>
        <w:gridCol w:w="1984"/>
        <w:gridCol w:w="355"/>
      </w:tblGrid>
      <w:tr w:rsidR="006F7A2B" w:rsidRPr="000F0299" w14:paraId="262B0E93" w14:textId="77777777" w:rsidTr="006F7A2B">
        <w:trPr>
          <w:trHeight w:val="20"/>
        </w:trPr>
        <w:tc>
          <w:tcPr>
            <w:tcW w:w="190" w:type="pct"/>
            <w:tcBorders>
              <w:top w:val="single" w:sz="18" w:space="0" w:color="C00000"/>
              <w:left w:val="single" w:sz="18" w:space="0" w:color="C00000"/>
            </w:tcBorders>
            <w:shd w:val="clear" w:color="auto" w:fill="auto"/>
          </w:tcPr>
          <w:p w14:paraId="1B029686" w14:textId="77777777" w:rsidR="006F7A2B" w:rsidRPr="000F0299" w:rsidRDefault="006F7A2B" w:rsidP="005A56DA">
            <w:pPr>
              <w:spacing w:before="0"/>
              <w:ind w:firstLine="0"/>
              <w:rPr>
                <w:b/>
                <w:bCs/>
                <w:sz w:val="16"/>
                <w:szCs w:val="16"/>
              </w:rPr>
            </w:pPr>
          </w:p>
        </w:tc>
        <w:tc>
          <w:tcPr>
            <w:tcW w:w="2556" w:type="pct"/>
            <w:tcBorders>
              <w:top w:val="single" w:sz="18" w:space="0" w:color="C00000"/>
            </w:tcBorders>
            <w:shd w:val="clear" w:color="auto" w:fill="auto"/>
          </w:tcPr>
          <w:p w14:paraId="4D55404F" w14:textId="77777777" w:rsidR="006F7A2B" w:rsidRPr="000F0299" w:rsidRDefault="006F7A2B" w:rsidP="005A56DA">
            <w:pPr>
              <w:spacing w:before="0"/>
              <w:ind w:firstLine="0"/>
              <w:rPr>
                <w:b/>
                <w:bCs/>
                <w:sz w:val="16"/>
                <w:szCs w:val="16"/>
              </w:rPr>
            </w:pPr>
          </w:p>
        </w:tc>
        <w:tc>
          <w:tcPr>
            <w:tcW w:w="1034" w:type="pct"/>
            <w:tcBorders>
              <w:top w:val="single" w:sz="18" w:space="0" w:color="C00000"/>
            </w:tcBorders>
            <w:shd w:val="clear" w:color="auto" w:fill="auto"/>
            <w:vAlign w:val="center"/>
          </w:tcPr>
          <w:p w14:paraId="5A91084A" w14:textId="77777777" w:rsidR="006F7A2B" w:rsidRPr="000F0299" w:rsidRDefault="006F7A2B" w:rsidP="005A56DA">
            <w:pPr>
              <w:spacing w:before="0"/>
              <w:ind w:firstLine="0"/>
              <w:jc w:val="center"/>
              <w:rPr>
                <w:b/>
                <w:bCs/>
                <w:sz w:val="16"/>
                <w:szCs w:val="16"/>
              </w:rPr>
            </w:pPr>
          </w:p>
        </w:tc>
        <w:tc>
          <w:tcPr>
            <w:tcW w:w="1034" w:type="pct"/>
            <w:tcBorders>
              <w:top w:val="single" w:sz="18" w:space="0" w:color="C00000"/>
            </w:tcBorders>
            <w:shd w:val="clear" w:color="auto" w:fill="auto"/>
            <w:vAlign w:val="center"/>
          </w:tcPr>
          <w:p w14:paraId="08F7E6D0" w14:textId="77777777" w:rsidR="006F7A2B" w:rsidRPr="000F0299" w:rsidRDefault="006F7A2B" w:rsidP="005A56DA">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295E6A91" w14:textId="77777777" w:rsidR="006F7A2B" w:rsidRPr="000F0299" w:rsidRDefault="006F7A2B" w:rsidP="005A56DA">
            <w:pPr>
              <w:spacing w:before="0"/>
              <w:ind w:firstLine="0"/>
              <w:jc w:val="center"/>
              <w:rPr>
                <w:b/>
                <w:bCs/>
                <w:sz w:val="16"/>
                <w:szCs w:val="16"/>
              </w:rPr>
            </w:pPr>
          </w:p>
        </w:tc>
      </w:tr>
      <w:tr w:rsidR="006F7A2B" w:rsidRPr="000F0299" w14:paraId="544FEAC3" w14:textId="77777777" w:rsidTr="006F7A2B">
        <w:trPr>
          <w:trHeight w:val="490"/>
        </w:trPr>
        <w:tc>
          <w:tcPr>
            <w:tcW w:w="190" w:type="pct"/>
            <w:tcBorders>
              <w:left w:val="single" w:sz="18" w:space="0" w:color="C00000"/>
            </w:tcBorders>
            <w:shd w:val="clear" w:color="auto" w:fill="auto"/>
          </w:tcPr>
          <w:p w14:paraId="5CDAE555" w14:textId="77777777" w:rsidR="006F7A2B" w:rsidRPr="000F0299" w:rsidRDefault="006F7A2B" w:rsidP="005A56DA">
            <w:pPr>
              <w:spacing w:before="0"/>
              <w:ind w:firstLine="0"/>
              <w:rPr>
                <w:b/>
                <w:bCs/>
              </w:rPr>
            </w:pPr>
          </w:p>
        </w:tc>
        <w:tc>
          <w:tcPr>
            <w:tcW w:w="2556" w:type="pct"/>
            <w:tcBorders>
              <w:left w:val="nil"/>
              <w:bottom w:val="single" w:sz="18" w:space="0" w:color="C00000"/>
              <w:right w:val="single" w:sz="18" w:space="0" w:color="D9D9D9" w:themeColor="background1" w:themeShade="D9"/>
            </w:tcBorders>
            <w:shd w:val="clear" w:color="auto" w:fill="auto"/>
          </w:tcPr>
          <w:p w14:paraId="549CD61A" w14:textId="77777777" w:rsidR="006F7A2B" w:rsidRPr="000F0299" w:rsidRDefault="006F7A2B" w:rsidP="005A56DA">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1FCE96B0" w14:textId="77777777" w:rsidR="006F7A2B" w:rsidRPr="000F0299" w:rsidRDefault="006F7A2B" w:rsidP="005A56DA">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53779F59" w14:textId="77777777" w:rsidR="006F7A2B" w:rsidRPr="000F0299" w:rsidRDefault="006F7A2B" w:rsidP="005A56DA">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2F290920" w14:textId="77777777" w:rsidR="006F7A2B" w:rsidRPr="000F0299" w:rsidRDefault="006F7A2B" w:rsidP="005A56DA">
            <w:pPr>
              <w:spacing w:before="0"/>
              <w:ind w:firstLine="0"/>
              <w:jc w:val="center"/>
              <w:rPr>
                <w:b/>
                <w:bCs/>
              </w:rPr>
            </w:pPr>
          </w:p>
        </w:tc>
      </w:tr>
      <w:tr w:rsidR="006F7A2B" w:rsidRPr="000F0299" w14:paraId="00BE24F2" w14:textId="77777777" w:rsidTr="006F7A2B">
        <w:trPr>
          <w:trHeight w:val="380"/>
        </w:trPr>
        <w:tc>
          <w:tcPr>
            <w:tcW w:w="190" w:type="pct"/>
            <w:tcBorders>
              <w:left w:val="single" w:sz="18" w:space="0" w:color="C00000"/>
            </w:tcBorders>
            <w:shd w:val="clear" w:color="auto" w:fill="auto"/>
          </w:tcPr>
          <w:p w14:paraId="18EE2863" w14:textId="77777777" w:rsidR="006F7A2B" w:rsidRPr="000F0299" w:rsidRDefault="006F7A2B" w:rsidP="005A56DA">
            <w:pPr>
              <w:spacing w:before="0"/>
              <w:ind w:firstLine="0"/>
            </w:pPr>
          </w:p>
        </w:tc>
        <w:tc>
          <w:tcPr>
            <w:tcW w:w="2556"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039026E0" w14:textId="2D803FED" w:rsidR="006F7A2B" w:rsidRPr="000F0299" w:rsidRDefault="006F7A2B" w:rsidP="005A56DA">
            <w:pPr>
              <w:spacing w:before="0"/>
              <w:ind w:firstLine="0"/>
            </w:pPr>
            <w:r w:rsidRPr="000F0299">
              <w:rPr>
                <w:lang w:eastAsia="de-DE"/>
              </w:rPr>
              <w:t>Степен успостављених јединствених стандарда у области стручних испита у систему државне управе</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4C3008BC" w14:textId="78E2698A" w:rsidR="006F7A2B" w:rsidRPr="000F0299" w:rsidRDefault="006F7A2B" w:rsidP="005A56DA">
            <w:pPr>
              <w:spacing w:before="0"/>
              <w:ind w:firstLine="0"/>
            </w:pPr>
            <w:r w:rsidRPr="000F0299">
              <w:t>(2020): 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69CBF853" w14:textId="77777777" w:rsidR="006F7A2B" w:rsidRPr="000F0299" w:rsidRDefault="006F7A2B" w:rsidP="005A56DA">
            <w:pPr>
              <w:spacing w:before="0"/>
              <w:ind w:firstLine="0"/>
            </w:pPr>
            <w:r w:rsidRPr="000F0299">
              <w:t>(2021): 0</w:t>
            </w:r>
          </w:p>
          <w:p w14:paraId="510274CC" w14:textId="55820DAD" w:rsidR="006F7A2B" w:rsidRPr="000F0299" w:rsidRDefault="00C214E4" w:rsidP="005A56DA">
            <w:pPr>
              <w:spacing w:before="0"/>
              <w:ind w:firstLine="0"/>
            </w:pPr>
            <w:r>
              <w:t>(2022): 0</w:t>
            </w:r>
          </w:p>
          <w:p w14:paraId="66479E7C" w14:textId="6641656D" w:rsidR="006F7A2B" w:rsidRPr="000F0299" w:rsidRDefault="00C214E4" w:rsidP="005A56DA">
            <w:pPr>
              <w:spacing w:before="0"/>
              <w:ind w:firstLine="0"/>
            </w:pPr>
            <w:r>
              <w:t>(2023): 0</w:t>
            </w:r>
          </w:p>
          <w:p w14:paraId="6497D5DC" w14:textId="6EC990DF" w:rsidR="006F7A2B" w:rsidRPr="000F0299" w:rsidRDefault="0095613A" w:rsidP="005A56DA">
            <w:pPr>
              <w:spacing w:before="0"/>
              <w:ind w:firstLine="0"/>
            </w:pPr>
            <w:r>
              <w:t>(2024): 0</w:t>
            </w:r>
          </w:p>
          <w:p w14:paraId="2FF43875" w14:textId="1CBF0165" w:rsidR="006F7A2B" w:rsidRPr="000F0299" w:rsidRDefault="0095613A" w:rsidP="005A56DA">
            <w:pPr>
              <w:spacing w:before="0"/>
              <w:ind w:firstLine="0"/>
            </w:pPr>
            <w:r>
              <w:t>(2025): 12 (100%)</w:t>
            </w:r>
          </w:p>
          <w:p w14:paraId="4726AAAF" w14:textId="484A5C1E" w:rsidR="006F7A2B" w:rsidRPr="000F0299" w:rsidRDefault="0095613A" w:rsidP="005A56DA">
            <w:pPr>
              <w:spacing w:before="0"/>
              <w:ind w:firstLine="0"/>
            </w:pPr>
            <w:r>
              <w:t>(2027): 12</w:t>
            </w:r>
          </w:p>
          <w:p w14:paraId="316ECEAC" w14:textId="1DABD267" w:rsidR="006F7A2B" w:rsidRPr="000F0299" w:rsidRDefault="0095613A" w:rsidP="005A56DA">
            <w:pPr>
              <w:spacing w:before="0"/>
              <w:ind w:firstLine="0"/>
            </w:pPr>
            <w:r>
              <w:t>(2030): 12</w:t>
            </w:r>
          </w:p>
        </w:tc>
        <w:tc>
          <w:tcPr>
            <w:tcW w:w="185" w:type="pct"/>
            <w:tcBorders>
              <w:right w:val="single" w:sz="18" w:space="0" w:color="C00000"/>
            </w:tcBorders>
            <w:shd w:val="clear" w:color="auto" w:fill="auto"/>
          </w:tcPr>
          <w:p w14:paraId="02FB60D3" w14:textId="77777777" w:rsidR="006F7A2B" w:rsidRPr="000F0299" w:rsidRDefault="006F7A2B" w:rsidP="005A56DA">
            <w:pPr>
              <w:spacing w:before="0"/>
              <w:ind w:firstLine="0"/>
            </w:pPr>
          </w:p>
        </w:tc>
      </w:tr>
      <w:tr w:rsidR="006F7A2B" w:rsidRPr="000F0299" w14:paraId="706C8902" w14:textId="77777777" w:rsidTr="003D5E32">
        <w:trPr>
          <w:trHeight w:val="207"/>
        </w:trPr>
        <w:tc>
          <w:tcPr>
            <w:tcW w:w="190" w:type="pct"/>
            <w:tcBorders>
              <w:left w:val="single" w:sz="18" w:space="0" w:color="C00000"/>
              <w:bottom w:val="single" w:sz="18" w:space="0" w:color="C00000"/>
            </w:tcBorders>
            <w:shd w:val="clear" w:color="auto" w:fill="auto"/>
          </w:tcPr>
          <w:p w14:paraId="199C046D" w14:textId="77777777" w:rsidR="006F7A2B" w:rsidRPr="000F0299" w:rsidRDefault="006F7A2B" w:rsidP="005A56DA">
            <w:pPr>
              <w:spacing w:before="0"/>
              <w:ind w:firstLine="0"/>
              <w:rPr>
                <w:sz w:val="16"/>
                <w:szCs w:val="16"/>
              </w:rPr>
            </w:pPr>
          </w:p>
        </w:tc>
        <w:tc>
          <w:tcPr>
            <w:tcW w:w="2556" w:type="pct"/>
            <w:tcBorders>
              <w:top w:val="single" w:sz="18" w:space="0" w:color="D9D9D9" w:themeColor="background1" w:themeShade="D9"/>
              <w:bottom w:val="single" w:sz="18" w:space="0" w:color="C00000"/>
            </w:tcBorders>
            <w:shd w:val="clear" w:color="auto" w:fill="auto"/>
          </w:tcPr>
          <w:p w14:paraId="11629007" w14:textId="77777777" w:rsidR="006F7A2B" w:rsidRPr="000F0299" w:rsidRDefault="006F7A2B"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0D3C195F" w14:textId="77777777" w:rsidR="006F7A2B" w:rsidRPr="000F0299" w:rsidRDefault="006F7A2B"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55A5F95B" w14:textId="77777777" w:rsidR="006F7A2B" w:rsidRPr="000F0299" w:rsidRDefault="006F7A2B" w:rsidP="005A56DA">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5B5BEBA9" w14:textId="77777777" w:rsidR="006F7A2B" w:rsidRPr="000F0299" w:rsidRDefault="006F7A2B" w:rsidP="005A56DA">
            <w:pPr>
              <w:spacing w:before="0"/>
              <w:ind w:firstLine="0"/>
              <w:rPr>
                <w:sz w:val="16"/>
                <w:szCs w:val="16"/>
              </w:rPr>
            </w:pPr>
          </w:p>
        </w:tc>
      </w:tr>
    </w:tbl>
    <w:p w14:paraId="092962E5" w14:textId="51332BFC" w:rsidR="006F7A2B" w:rsidRPr="000F0299" w:rsidRDefault="00C67B0B" w:rsidP="00244E7C">
      <w:pPr>
        <w:rPr>
          <w:b/>
        </w:rPr>
      </w:pPr>
      <w:r w:rsidRPr="000F0299">
        <w:rPr>
          <w:b/>
        </w:rPr>
        <w:t>Meрa</w:t>
      </w:r>
      <w:r w:rsidR="003F3312" w:rsidRPr="000F0299">
        <w:rPr>
          <w:b/>
        </w:rPr>
        <w:t xml:space="preserve"> 2.3.8: Развој сарадње са високошколским установама ради подршке у школовању/додатном образовању кадрова за јавну управу</w:t>
      </w:r>
    </w:p>
    <w:p w14:paraId="696CD039" w14:textId="77777777" w:rsidR="00580DA5" w:rsidRPr="00235B23" w:rsidRDefault="00580DA5" w:rsidP="00580DA5">
      <w:pPr>
        <w:pStyle w:val="CommentText"/>
        <w:rPr>
          <w:sz w:val="24"/>
          <w:szCs w:val="24"/>
          <w:lang w:val="sr-Cyrl-RS"/>
        </w:rPr>
      </w:pPr>
      <w:r w:rsidRPr="00235B23">
        <w:rPr>
          <w:sz w:val="24"/>
          <w:szCs w:val="24"/>
          <w:lang w:val="sr-Cyrl-RS"/>
        </w:rPr>
        <w:t>Ова мера је усмерена и на унапређење нормативног и практичног аспеката додатног образовања кадра у јавној управи и на пружање подршке високом образовању у школовању кадра за јавну управу</w:t>
      </w:r>
    </w:p>
    <w:tbl>
      <w:tblPr>
        <w:tblW w:w="5000" w:type="pct"/>
        <w:tblLook w:val="00A0" w:firstRow="1" w:lastRow="0" w:firstColumn="1" w:lastColumn="0" w:noHBand="0" w:noVBand="0"/>
      </w:tblPr>
      <w:tblGrid>
        <w:gridCol w:w="364"/>
        <w:gridCol w:w="4905"/>
        <w:gridCol w:w="1984"/>
        <w:gridCol w:w="1984"/>
        <w:gridCol w:w="355"/>
      </w:tblGrid>
      <w:tr w:rsidR="006F7A2B" w:rsidRPr="000F0299" w14:paraId="44B1D62C" w14:textId="77777777" w:rsidTr="003D5E32">
        <w:trPr>
          <w:trHeight w:val="139"/>
        </w:trPr>
        <w:tc>
          <w:tcPr>
            <w:tcW w:w="190" w:type="pct"/>
            <w:tcBorders>
              <w:top w:val="single" w:sz="18" w:space="0" w:color="C00000"/>
              <w:left w:val="single" w:sz="18" w:space="0" w:color="C00000"/>
            </w:tcBorders>
            <w:shd w:val="clear" w:color="auto" w:fill="auto"/>
          </w:tcPr>
          <w:p w14:paraId="424C0C76" w14:textId="77777777" w:rsidR="006F7A2B" w:rsidRPr="000F0299" w:rsidRDefault="006F7A2B" w:rsidP="005A56DA">
            <w:pPr>
              <w:spacing w:before="0"/>
              <w:ind w:firstLine="0"/>
              <w:rPr>
                <w:b/>
                <w:bCs/>
                <w:sz w:val="16"/>
                <w:szCs w:val="16"/>
              </w:rPr>
            </w:pPr>
          </w:p>
        </w:tc>
        <w:tc>
          <w:tcPr>
            <w:tcW w:w="2556" w:type="pct"/>
            <w:tcBorders>
              <w:top w:val="single" w:sz="18" w:space="0" w:color="C00000"/>
            </w:tcBorders>
            <w:shd w:val="clear" w:color="auto" w:fill="auto"/>
          </w:tcPr>
          <w:p w14:paraId="7A86EED1" w14:textId="77777777" w:rsidR="006F7A2B" w:rsidRPr="000F0299" w:rsidRDefault="006F7A2B" w:rsidP="005A56DA">
            <w:pPr>
              <w:spacing w:before="0"/>
              <w:ind w:firstLine="0"/>
              <w:rPr>
                <w:b/>
                <w:bCs/>
                <w:sz w:val="16"/>
                <w:szCs w:val="16"/>
              </w:rPr>
            </w:pPr>
          </w:p>
        </w:tc>
        <w:tc>
          <w:tcPr>
            <w:tcW w:w="1034" w:type="pct"/>
            <w:tcBorders>
              <w:top w:val="single" w:sz="18" w:space="0" w:color="C00000"/>
            </w:tcBorders>
            <w:shd w:val="clear" w:color="auto" w:fill="auto"/>
            <w:vAlign w:val="center"/>
          </w:tcPr>
          <w:p w14:paraId="2584D3F8" w14:textId="77777777" w:rsidR="006F7A2B" w:rsidRPr="000F0299" w:rsidRDefault="006F7A2B" w:rsidP="005A56DA">
            <w:pPr>
              <w:spacing w:before="0"/>
              <w:ind w:firstLine="0"/>
              <w:jc w:val="center"/>
              <w:rPr>
                <w:b/>
                <w:bCs/>
                <w:sz w:val="16"/>
                <w:szCs w:val="16"/>
              </w:rPr>
            </w:pPr>
          </w:p>
        </w:tc>
        <w:tc>
          <w:tcPr>
            <w:tcW w:w="1034" w:type="pct"/>
            <w:tcBorders>
              <w:top w:val="single" w:sz="18" w:space="0" w:color="C00000"/>
            </w:tcBorders>
            <w:shd w:val="clear" w:color="auto" w:fill="auto"/>
            <w:vAlign w:val="center"/>
          </w:tcPr>
          <w:p w14:paraId="73C4974C" w14:textId="77777777" w:rsidR="006F7A2B" w:rsidRPr="000F0299" w:rsidRDefault="006F7A2B" w:rsidP="005A56DA">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57ED4661" w14:textId="77777777" w:rsidR="006F7A2B" w:rsidRPr="000F0299" w:rsidRDefault="006F7A2B" w:rsidP="005A56DA">
            <w:pPr>
              <w:spacing w:before="0"/>
              <w:ind w:firstLine="0"/>
              <w:jc w:val="center"/>
              <w:rPr>
                <w:b/>
                <w:bCs/>
                <w:sz w:val="16"/>
                <w:szCs w:val="16"/>
              </w:rPr>
            </w:pPr>
          </w:p>
        </w:tc>
      </w:tr>
      <w:tr w:rsidR="006F7A2B" w:rsidRPr="000F0299" w14:paraId="1F440DE8" w14:textId="77777777" w:rsidTr="006F7A2B">
        <w:trPr>
          <w:trHeight w:val="490"/>
        </w:trPr>
        <w:tc>
          <w:tcPr>
            <w:tcW w:w="190" w:type="pct"/>
            <w:tcBorders>
              <w:left w:val="single" w:sz="18" w:space="0" w:color="C00000"/>
            </w:tcBorders>
            <w:shd w:val="clear" w:color="auto" w:fill="auto"/>
          </w:tcPr>
          <w:p w14:paraId="75723524" w14:textId="77777777" w:rsidR="006F7A2B" w:rsidRPr="000F0299" w:rsidRDefault="006F7A2B" w:rsidP="005A56DA">
            <w:pPr>
              <w:spacing w:before="0"/>
              <w:ind w:firstLine="0"/>
              <w:rPr>
                <w:b/>
                <w:bCs/>
              </w:rPr>
            </w:pPr>
          </w:p>
        </w:tc>
        <w:tc>
          <w:tcPr>
            <w:tcW w:w="2556" w:type="pct"/>
            <w:tcBorders>
              <w:left w:val="nil"/>
              <w:bottom w:val="single" w:sz="18" w:space="0" w:color="C00000"/>
              <w:right w:val="single" w:sz="18" w:space="0" w:color="D9D9D9" w:themeColor="background1" w:themeShade="D9"/>
            </w:tcBorders>
            <w:shd w:val="clear" w:color="auto" w:fill="auto"/>
          </w:tcPr>
          <w:p w14:paraId="396D9A25" w14:textId="77777777" w:rsidR="006F7A2B" w:rsidRPr="000F0299" w:rsidRDefault="006F7A2B" w:rsidP="005A56DA">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3CBF3EDB" w14:textId="77777777" w:rsidR="006F7A2B" w:rsidRPr="000F0299" w:rsidRDefault="006F7A2B" w:rsidP="005A56DA">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0FDB20FE" w14:textId="77777777" w:rsidR="006F7A2B" w:rsidRPr="000F0299" w:rsidRDefault="006F7A2B" w:rsidP="005A56DA">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648D640C" w14:textId="77777777" w:rsidR="006F7A2B" w:rsidRPr="000F0299" w:rsidRDefault="006F7A2B" w:rsidP="005A56DA">
            <w:pPr>
              <w:spacing w:before="0"/>
              <w:ind w:firstLine="0"/>
              <w:jc w:val="center"/>
              <w:rPr>
                <w:b/>
                <w:bCs/>
              </w:rPr>
            </w:pPr>
          </w:p>
        </w:tc>
      </w:tr>
      <w:tr w:rsidR="006F7A2B" w:rsidRPr="000F0299" w14:paraId="5E833E48" w14:textId="77777777" w:rsidTr="006F7A2B">
        <w:trPr>
          <w:trHeight w:val="380"/>
        </w:trPr>
        <w:tc>
          <w:tcPr>
            <w:tcW w:w="190" w:type="pct"/>
            <w:tcBorders>
              <w:left w:val="single" w:sz="18" w:space="0" w:color="C00000"/>
            </w:tcBorders>
            <w:shd w:val="clear" w:color="auto" w:fill="auto"/>
          </w:tcPr>
          <w:p w14:paraId="10D64631" w14:textId="77777777" w:rsidR="006F7A2B" w:rsidRPr="000F0299" w:rsidRDefault="006F7A2B" w:rsidP="005A56DA">
            <w:pPr>
              <w:spacing w:before="0"/>
              <w:ind w:firstLine="0"/>
            </w:pPr>
          </w:p>
        </w:tc>
        <w:tc>
          <w:tcPr>
            <w:tcW w:w="2556"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074F6F2A" w14:textId="3FD542DE" w:rsidR="006F7A2B" w:rsidRPr="000F0299" w:rsidRDefault="006F7A2B" w:rsidP="005A56DA">
            <w:pPr>
              <w:spacing w:before="0"/>
              <w:ind w:firstLine="0"/>
            </w:pPr>
            <w:r w:rsidRPr="000F0299">
              <w:rPr>
                <w:lang w:eastAsia="en-GB"/>
              </w:rPr>
              <w:t>Проценат органа државне управе и јединица локалне самоуправе које омогућавају студентске праксе</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3044291C" w14:textId="77777777" w:rsidR="006F7A2B" w:rsidRPr="000F0299" w:rsidRDefault="006F7A2B" w:rsidP="005A56DA">
            <w:pPr>
              <w:spacing w:before="0"/>
              <w:ind w:firstLine="0"/>
            </w:pPr>
            <w:r w:rsidRPr="000F0299">
              <w:t xml:space="preserve">Биће накнадно утврђено </w:t>
            </w:r>
          </w:p>
          <w:p w14:paraId="0D685BED" w14:textId="55BF8AFF" w:rsidR="006F7A2B" w:rsidRPr="000F0299" w:rsidRDefault="006F7A2B" w:rsidP="005A56DA">
            <w:pPr>
              <w:spacing w:before="0"/>
              <w:ind w:firstLine="0"/>
            </w:pP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779B5961" w14:textId="3807712D" w:rsidR="006F7A2B" w:rsidRPr="000F0299" w:rsidRDefault="006F7A2B" w:rsidP="005A56DA">
            <w:pPr>
              <w:spacing w:before="0"/>
              <w:ind w:firstLine="0"/>
            </w:pPr>
            <w:r w:rsidRPr="000F0299">
              <w:t>(2021): 40%</w:t>
            </w:r>
          </w:p>
          <w:p w14:paraId="1DC0C69E" w14:textId="40933E6C" w:rsidR="006F7A2B" w:rsidRPr="000F0299" w:rsidRDefault="006F7A2B" w:rsidP="005A56DA">
            <w:pPr>
              <w:spacing w:before="0"/>
              <w:ind w:firstLine="0"/>
            </w:pPr>
            <w:r w:rsidRPr="000F0299">
              <w:t>(2022): 50%</w:t>
            </w:r>
          </w:p>
          <w:p w14:paraId="07904FED" w14:textId="4D2BE955" w:rsidR="006F7A2B" w:rsidRPr="000F0299" w:rsidRDefault="006F7A2B" w:rsidP="005A56DA">
            <w:pPr>
              <w:spacing w:before="0"/>
              <w:ind w:firstLine="0"/>
            </w:pPr>
            <w:r w:rsidRPr="000F0299">
              <w:t>(2023): 60%</w:t>
            </w:r>
          </w:p>
          <w:p w14:paraId="4656F73C" w14:textId="5E719459" w:rsidR="006F7A2B" w:rsidRPr="000F0299" w:rsidRDefault="006F7A2B" w:rsidP="005A56DA">
            <w:pPr>
              <w:spacing w:before="0"/>
              <w:ind w:firstLine="0"/>
            </w:pPr>
            <w:r w:rsidRPr="000F0299">
              <w:t>(2024): 70%</w:t>
            </w:r>
          </w:p>
          <w:p w14:paraId="1157A539" w14:textId="155E6A45" w:rsidR="006F7A2B" w:rsidRPr="000F0299" w:rsidRDefault="006F7A2B" w:rsidP="005A56DA">
            <w:pPr>
              <w:spacing w:before="0"/>
              <w:ind w:firstLine="0"/>
            </w:pPr>
            <w:r w:rsidRPr="000F0299">
              <w:t>(2025): 80%</w:t>
            </w:r>
          </w:p>
          <w:p w14:paraId="6A6A28D0" w14:textId="328BA91A" w:rsidR="006F7A2B" w:rsidRPr="000F0299" w:rsidRDefault="006F7A2B" w:rsidP="005A56DA">
            <w:pPr>
              <w:spacing w:before="0"/>
              <w:ind w:firstLine="0"/>
            </w:pPr>
            <w:r w:rsidRPr="000F0299">
              <w:t>(2027): 90%</w:t>
            </w:r>
          </w:p>
          <w:p w14:paraId="05AC9ABE" w14:textId="6B76139F" w:rsidR="006F7A2B" w:rsidRPr="000F0299" w:rsidRDefault="006F7A2B" w:rsidP="005A56DA">
            <w:pPr>
              <w:spacing w:before="0"/>
              <w:ind w:firstLine="0"/>
            </w:pPr>
            <w:r w:rsidRPr="000F0299">
              <w:t>(2030): 100%</w:t>
            </w:r>
          </w:p>
        </w:tc>
        <w:tc>
          <w:tcPr>
            <w:tcW w:w="185" w:type="pct"/>
            <w:tcBorders>
              <w:right w:val="single" w:sz="18" w:space="0" w:color="C00000"/>
            </w:tcBorders>
            <w:shd w:val="clear" w:color="auto" w:fill="auto"/>
          </w:tcPr>
          <w:p w14:paraId="49B92312" w14:textId="77777777" w:rsidR="006F7A2B" w:rsidRPr="000F0299" w:rsidRDefault="006F7A2B" w:rsidP="005A56DA">
            <w:pPr>
              <w:spacing w:before="0"/>
              <w:ind w:firstLine="0"/>
            </w:pPr>
          </w:p>
        </w:tc>
      </w:tr>
      <w:tr w:rsidR="006F7A2B" w:rsidRPr="000F0299" w14:paraId="2C91B26B" w14:textId="77777777" w:rsidTr="003D5E32">
        <w:trPr>
          <w:trHeight w:val="140"/>
        </w:trPr>
        <w:tc>
          <w:tcPr>
            <w:tcW w:w="190" w:type="pct"/>
            <w:tcBorders>
              <w:left w:val="single" w:sz="18" w:space="0" w:color="C00000"/>
              <w:bottom w:val="single" w:sz="18" w:space="0" w:color="C00000"/>
            </w:tcBorders>
            <w:shd w:val="clear" w:color="auto" w:fill="auto"/>
          </w:tcPr>
          <w:p w14:paraId="6BF93AB4" w14:textId="77777777" w:rsidR="006F7A2B" w:rsidRPr="000F0299" w:rsidRDefault="006F7A2B" w:rsidP="005A56DA">
            <w:pPr>
              <w:spacing w:before="0"/>
              <w:ind w:firstLine="0"/>
              <w:rPr>
                <w:sz w:val="16"/>
                <w:szCs w:val="16"/>
              </w:rPr>
            </w:pPr>
          </w:p>
        </w:tc>
        <w:tc>
          <w:tcPr>
            <w:tcW w:w="2556" w:type="pct"/>
            <w:tcBorders>
              <w:top w:val="single" w:sz="18" w:space="0" w:color="D9D9D9" w:themeColor="background1" w:themeShade="D9"/>
              <w:bottom w:val="single" w:sz="18" w:space="0" w:color="C00000"/>
            </w:tcBorders>
            <w:shd w:val="clear" w:color="auto" w:fill="auto"/>
          </w:tcPr>
          <w:p w14:paraId="534DF078" w14:textId="77777777" w:rsidR="006F7A2B" w:rsidRPr="000F0299" w:rsidRDefault="006F7A2B"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700F06C7" w14:textId="77777777" w:rsidR="006F7A2B" w:rsidRPr="000F0299" w:rsidRDefault="006F7A2B" w:rsidP="005A56DA">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0B8402AC" w14:textId="77777777" w:rsidR="006F7A2B" w:rsidRPr="000F0299" w:rsidRDefault="006F7A2B" w:rsidP="005A56DA">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6267360E" w14:textId="77777777" w:rsidR="006F7A2B" w:rsidRPr="000F0299" w:rsidRDefault="006F7A2B" w:rsidP="005A56DA">
            <w:pPr>
              <w:spacing w:before="0"/>
              <w:ind w:firstLine="0"/>
              <w:rPr>
                <w:sz w:val="16"/>
                <w:szCs w:val="16"/>
              </w:rPr>
            </w:pPr>
          </w:p>
        </w:tc>
      </w:tr>
    </w:tbl>
    <w:p w14:paraId="70507F3A" w14:textId="77777777" w:rsidR="003F3312" w:rsidRPr="000F0299" w:rsidRDefault="003F3312" w:rsidP="00244E7C">
      <w:pPr>
        <w:sectPr w:rsidR="003F3312" w:rsidRPr="000F0299" w:rsidSect="00545D24">
          <w:headerReference w:type="default" r:id="rId127"/>
          <w:footerReference w:type="default" r:id="rId128"/>
          <w:pgSz w:w="11906" w:h="16838" w:code="9"/>
          <w:pgMar w:top="1134" w:right="1134" w:bottom="1134" w:left="1134" w:header="720" w:footer="720" w:gutter="0"/>
          <w:cols w:space="0"/>
          <w:docGrid w:linePitch="299"/>
        </w:sectPr>
      </w:pPr>
    </w:p>
    <w:p w14:paraId="4E654E84" w14:textId="6B9C676E" w:rsidR="00787F1E" w:rsidRPr="000F0299" w:rsidRDefault="00787F1E" w:rsidP="005A56DA">
      <w:pPr>
        <w:pStyle w:val="Heading3"/>
        <w:rPr>
          <w:lang w:val="sr-Cyrl-RS"/>
        </w:rPr>
      </w:pPr>
      <w:bookmarkStart w:id="157" w:name="tw-target-text-container2"/>
      <w:bookmarkStart w:id="158" w:name="tw-target-text4"/>
      <w:bookmarkStart w:id="159" w:name="_Toc57661482"/>
      <w:bookmarkEnd w:id="157"/>
      <w:bookmarkEnd w:id="158"/>
      <w:r w:rsidRPr="000F0299">
        <w:rPr>
          <w:lang w:val="sr-Cyrl-RS"/>
        </w:rPr>
        <w:t>Дрво циљева – управљање људским ресурсима у јавној управи</w:t>
      </w:r>
      <w:bookmarkEnd w:id="159"/>
    </w:p>
    <w:p w14:paraId="34340A3C" w14:textId="77777777" w:rsidR="00780827" w:rsidRPr="000F0299" w:rsidRDefault="00780827" w:rsidP="00780827">
      <w:pPr>
        <w:rPr>
          <w:rFonts w:eastAsia="Times New Roman"/>
        </w:rPr>
      </w:pPr>
      <w:r w:rsidRPr="000F0299">
        <w:rPr>
          <w:noProof/>
          <w:lang w:val="en-US" w:eastAsia="en-US" w:bidi="ar-SA"/>
        </w:rPr>
        <mc:AlternateContent>
          <mc:Choice Requires="wps">
            <w:drawing>
              <wp:anchor distT="0" distB="0" distL="114300" distR="113030" simplePos="0" relativeHeight="251437568" behindDoc="1" locked="0" layoutInCell="1" allowOverlap="1" wp14:anchorId="1AC10F12" wp14:editId="375028BD">
                <wp:simplePos x="0" y="0"/>
                <wp:positionH relativeFrom="column">
                  <wp:posOffset>-543560</wp:posOffset>
                </wp:positionH>
                <wp:positionV relativeFrom="paragraph">
                  <wp:posOffset>152400</wp:posOffset>
                </wp:positionV>
                <wp:extent cx="14270990" cy="866140"/>
                <wp:effectExtent l="0" t="0" r="16510" b="10160"/>
                <wp:wrapNone/>
                <wp:docPr id="77" name="Rounded Rectangle 356"/>
                <wp:cNvGraphicFramePr/>
                <a:graphic xmlns:a="http://schemas.openxmlformats.org/drawingml/2006/main">
                  <a:graphicData uri="http://schemas.microsoft.com/office/word/2010/wordprocessingShape">
                    <wps:wsp>
                      <wps:cNvSpPr/>
                      <wps:spPr>
                        <a:xfrm>
                          <a:off x="0" y="0"/>
                          <a:ext cx="14270400" cy="865440"/>
                        </a:xfrm>
                        <a:prstGeom prst="roundRect">
                          <a:avLst>
                            <a:gd name="adj" fmla="val 16667"/>
                          </a:avLst>
                        </a:prstGeom>
                        <a:solidFill>
                          <a:schemeClr val="bg1">
                            <a:lumMod val="65000"/>
                          </a:schemeClr>
                        </a:solidFill>
                        <a:ln w="12600">
                          <a:solidFill>
                            <a:schemeClr val="bg1">
                              <a:lumMod val="65000"/>
                            </a:schemeClr>
                          </a:solidFill>
                          <a:miter/>
                        </a:ln>
                        <a:effectLst/>
                      </wps:spPr>
                      <wps:txbx>
                        <w:txbxContent>
                          <w:p w14:paraId="6BD8B077" w14:textId="77777777" w:rsidR="00876FFE" w:rsidRDefault="00876FFE" w:rsidP="00780827">
                            <w:pPr>
                              <w:pStyle w:val="FrameContents"/>
                              <w:jc w:val="center"/>
                            </w:pPr>
                            <w:bookmarkStart w:id="160" w:name="_Hlk47440288"/>
                            <w:bookmarkStart w:id="161" w:name="_Hlk47440289"/>
                            <w:r>
                              <w:rPr>
                                <w:rFonts w:ascii="Verdana" w:hAnsi="Verdana"/>
                                <w:b/>
                                <w:color w:val="FFFFFF"/>
                                <w:sz w:val="36"/>
                                <w:szCs w:val="36"/>
                              </w:rPr>
                              <w:t>УПРАВЉАЊЕ ЉУДСКИМ РЕСУРСИМА СЕ БАЗИРА НА СИСТЕМУ КОМПЕТЕНЦИЈА И ЗАПОСЛЕНИ У ЈАВНОЈ УПРАВИ ИМАЈУ ПОТРЕБНЕ КОМПЕТЕНЦИЈЕ</w:t>
                            </w:r>
                            <w:bookmarkEnd w:id="160"/>
                            <w:bookmarkEnd w:id="161"/>
                          </w:p>
                        </w:txbxContent>
                      </wps:txbx>
                      <wps:bodyPr anchor="ctr">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C10F12" id="Rounded Rectangle 356" o:spid="_x0000_s1128" style="position:absolute;left:0;text-align:left;margin-left:-42.8pt;margin-top:12pt;width:1123.7pt;height:68.2pt;z-index:-251878912;visibility:visible;mso-wrap-style:square;mso-wrap-distance-left:9pt;mso-wrap-distance-top:0;mso-wrap-distance-right:8.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" fillcolor="#a5a5a5 [2092]" strokecolor="#a5a5a5 [2092]" strokeweight=".35mm">
                <v:stroke joinstyle="miter"/>
                <v:textbox>
                  <w:txbxContent>
                    <w:p w14:paraId="6BD8B077" w14:textId="77777777" w:rsidR="00876FFE" w:rsidRDefault="00876FFE" w:rsidP="00780827">
                      <w:pPr>
                        <w:pStyle w:val="FrameContents"/>
                        <w:jc w:val="center"/>
                      </w:pPr>
                      <w:bookmarkStart w:id="173" w:name="_Hlk47440288"/>
                      <w:bookmarkStart w:id="174" w:name="_Hlk47440289"/>
                      <w:r>
                        <w:rPr>
                          <w:rFonts w:ascii="Verdana" w:hAnsi="Verdana"/>
                          <w:b/>
                          <w:color w:val="FFFFFF"/>
                          <w:sz w:val="36"/>
                          <w:szCs w:val="36"/>
                        </w:rPr>
                        <w:t>УПРАВЉАЊЕ ЉУДСКИМ РЕСУРСИМА СЕ БАЗИРА НА СИСТЕМУ КОМПЕТЕНЦИЈА И ЗАПОСЛЕНИ У ЈАВНОЈ УПРАВИ ИМАЈУ ПОТРЕБНЕ КОМПЕТЕНЦИЈЕ</w:t>
                      </w:r>
                      <w:bookmarkEnd w:id="173"/>
                      <w:bookmarkEnd w:id="174"/>
                    </w:p>
                  </w:txbxContent>
                </v:textbox>
              </v:roundrect>
            </w:pict>
          </mc:Fallback>
        </mc:AlternateContent>
      </w:r>
    </w:p>
    <w:p w14:paraId="4B797A76" w14:textId="77777777" w:rsidR="00780827" w:rsidRPr="000F0299" w:rsidRDefault="00780827" w:rsidP="00780827">
      <w:pPr>
        <w:rPr>
          <w:rFonts w:eastAsia="Times New Roman"/>
        </w:rPr>
      </w:pPr>
    </w:p>
    <w:p w14:paraId="0E5BD278" w14:textId="77777777" w:rsidR="00780827" w:rsidRPr="000F0299" w:rsidRDefault="00780827" w:rsidP="00780827">
      <w:pPr>
        <w:tabs>
          <w:tab w:val="left" w:pos="2998"/>
        </w:tabs>
      </w:pPr>
      <w:r w:rsidRPr="000F0299">
        <w:rPr>
          <w:rFonts w:eastAsia="Times New Roman"/>
        </w:rPr>
        <w:tab/>
      </w:r>
      <w:r w:rsidRPr="000F0299">
        <w:rPr>
          <w:rFonts w:eastAsia="Times New Roman"/>
          <w:lang w:eastAsia="en-GB"/>
        </w:rPr>
        <w:t xml:space="preserve"> </w:t>
      </w:r>
    </w:p>
    <w:p w14:paraId="73A5F1A6" w14:textId="4C59F116" w:rsidR="00780827" w:rsidRPr="000F0299" w:rsidRDefault="00780827" w:rsidP="00780827">
      <w:pPr>
        <w:rPr>
          <w:rFonts w:eastAsia="Times New Roman"/>
        </w:rPr>
      </w:pPr>
    </w:p>
    <w:p w14:paraId="40346604" w14:textId="3182C4E4" w:rsidR="00780827" w:rsidRPr="000F0299" w:rsidRDefault="007869BB" w:rsidP="00780827">
      <w:pPr>
        <w:rPr>
          <w:rFonts w:eastAsia="Times New Roman"/>
        </w:rPr>
      </w:pPr>
      <w:r w:rsidRPr="000F0299">
        <w:rPr>
          <w:noProof/>
          <w:lang w:val="en-US" w:eastAsia="en-US" w:bidi="ar-SA"/>
        </w:rPr>
        <mc:AlternateContent>
          <mc:Choice Requires="wps">
            <w:drawing>
              <wp:anchor distT="0" distB="0" distL="114300" distR="114300" simplePos="0" relativeHeight="251466240" behindDoc="0" locked="0" layoutInCell="1" allowOverlap="1" wp14:anchorId="76D27932" wp14:editId="1937A3B8">
                <wp:simplePos x="0" y="0"/>
                <wp:positionH relativeFrom="column">
                  <wp:posOffset>11475085</wp:posOffset>
                </wp:positionH>
                <wp:positionV relativeFrom="paragraph">
                  <wp:posOffset>38100</wp:posOffset>
                </wp:positionV>
                <wp:extent cx="0" cy="468000"/>
                <wp:effectExtent l="76200" t="38100" r="57150" b="27305"/>
                <wp:wrapNone/>
                <wp:docPr id="81" name="Straight Arrow Connector 359"/>
                <wp:cNvGraphicFramePr/>
                <a:graphic xmlns:a="http://schemas.openxmlformats.org/drawingml/2006/main">
                  <a:graphicData uri="http://schemas.microsoft.com/office/word/2010/wordprocessingShape">
                    <wps:wsp>
                      <wps:cNvSpPr/>
                      <wps:spPr>
                        <a:xfrm flipV="1">
                          <a:off x="0" y="0"/>
                          <a:ext cx="0" cy="468000"/>
                        </a:xfrm>
                        <a:custGeom>
                          <a:avLst/>
                          <a:gdLst/>
                          <a:ahLst/>
                          <a:cxnLst/>
                          <a:rect l="l" t="t" r="r" b="b"/>
                          <a:pathLst>
                            <a:path w="21600" h="21600">
                              <a:moveTo>
                                <a:pt x="0" y="0"/>
                              </a:moveTo>
                              <a:lnTo>
                                <a:pt x="21600" y="21600"/>
                              </a:lnTo>
                            </a:path>
                          </a:pathLst>
                        </a:custGeom>
                        <a:noFill/>
                        <a:ln w="19050">
                          <a:solidFill>
                            <a:schemeClr val="bg1">
                              <a:lumMod val="65000"/>
                            </a:schemeClr>
                          </a:solidFill>
                          <a:miter/>
                          <a:tailEnd type="triangle" w="med" len="med"/>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13D8E" id="Straight Arrow Connector 359" o:spid="_x0000_s1026" style="position:absolute;margin-left:903.55pt;margin-top:3pt;width:0;height:36.85pt;flip:y;z-index:25146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" path="m,l21600,21600e" filled="f" strokecolor="#a5a5a5 [2092]" strokeweight="1.5pt">
                <v:stroke endarrow="block" joinstyle="miter"/>
                <v:path arrowok="t"/>
              </v:shape>
            </w:pict>
          </mc:Fallback>
        </mc:AlternateContent>
      </w:r>
      <w:r w:rsidR="00BD41F6" w:rsidRPr="000F0299">
        <w:rPr>
          <w:noProof/>
          <w:lang w:val="en-US" w:eastAsia="en-US" w:bidi="ar-SA"/>
        </w:rPr>
        <mc:AlternateContent>
          <mc:Choice Requires="wps">
            <w:drawing>
              <wp:anchor distT="0" distB="0" distL="114300" distR="114300" simplePos="0" relativeHeight="251465216" behindDoc="0" locked="0" layoutInCell="1" allowOverlap="1" wp14:anchorId="6FDCC5A7" wp14:editId="06908125">
                <wp:simplePos x="0" y="0"/>
                <wp:positionH relativeFrom="margin">
                  <wp:posOffset>6537325</wp:posOffset>
                </wp:positionH>
                <wp:positionV relativeFrom="paragraph">
                  <wp:posOffset>68580</wp:posOffset>
                </wp:positionV>
                <wp:extent cx="0" cy="474345"/>
                <wp:effectExtent l="76200" t="38100" r="57150" b="20955"/>
                <wp:wrapNone/>
                <wp:docPr id="80" name="Straight Arrow Connector 357"/>
                <wp:cNvGraphicFramePr/>
                <a:graphic xmlns:a="http://schemas.openxmlformats.org/drawingml/2006/main">
                  <a:graphicData uri="http://schemas.microsoft.com/office/word/2010/wordprocessingShape">
                    <wps:wsp>
                      <wps:cNvSpPr/>
                      <wps:spPr>
                        <a:xfrm flipH="1" flipV="1">
                          <a:off x="0" y="0"/>
                          <a:ext cx="0" cy="474345"/>
                        </a:xfrm>
                        <a:custGeom>
                          <a:avLst/>
                          <a:gdLst/>
                          <a:ahLst/>
                          <a:cxnLst/>
                          <a:rect l="l" t="t" r="r" b="b"/>
                          <a:pathLst>
                            <a:path w="21600" h="21600">
                              <a:moveTo>
                                <a:pt x="0" y="0"/>
                              </a:moveTo>
                              <a:lnTo>
                                <a:pt x="21600" y="21600"/>
                              </a:lnTo>
                            </a:path>
                          </a:pathLst>
                        </a:custGeom>
                        <a:noFill/>
                        <a:ln w="19050">
                          <a:solidFill>
                            <a:schemeClr val="bg1">
                              <a:lumMod val="65000"/>
                            </a:schemeClr>
                          </a:solidFill>
                          <a:miter/>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757CFD" id="Straight Arrow Connector 357" o:spid="_x0000_s1026" style="position:absolute;margin-left:514.75pt;margin-top:5.4pt;width:0;height:37.35pt;flip:x y;z-index:25146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" path="m,l21600,21600e" filled="f" strokecolor="#a5a5a5 [2092]" strokeweight="1.5pt">
                <v:stroke endarrow="block" joinstyle="miter"/>
                <v:path arrowok="t"/>
                <w10:wrap anchorx="margin"/>
              </v:shape>
            </w:pict>
          </mc:Fallback>
        </mc:AlternateContent>
      </w:r>
      <w:r w:rsidR="00780827" w:rsidRPr="000F0299">
        <w:rPr>
          <w:noProof/>
          <w:lang w:val="en-US" w:eastAsia="en-US" w:bidi="ar-SA"/>
        </w:rPr>
        <mc:AlternateContent>
          <mc:Choice Requires="wps">
            <w:drawing>
              <wp:anchor distT="0" distB="0" distL="114300" distR="114300" simplePos="0" relativeHeight="251464192" behindDoc="0" locked="0" layoutInCell="1" allowOverlap="1" wp14:anchorId="6A1A32CA" wp14:editId="70B71DDD">
                <wp:simplePos x="0" y="0"/>
                <wp:positionH relativeFrom="column">
                  <wp:posOffset>1710690</wp:posOffset>
                </wp:positionH>
                <wp:positionV relativeFrom="paragraph">
                  <wp:posOffset>53340</wp:posOffset>
                </wp:positionV>
                <wp:extent cx="0" cy="504000"/>
                <wp:effectExtent l="76200" t="38100" r="57150" b="10795"/>
                <wp:wrapNone/>
                <wp:docPr id="79" name="Straight Arrow Connector 358"/>
                <wp:cNvGraphicFramePr/>
                <a:graphic xmlns:a="http://schemas.openxmlformats.org/drawingml/2006/main">
                  <a:graphicData uri="http://schemas.microsoft.com/office/word/2010/wordprocessingShape">
                    <wps:wsp>
                      <wps:cNvSpPr/>
                      <wps:spPr>
                        <a:xfrm flipV="1">
                          <a:off x="0" y="0"/>
                          <a:ext cx="0" cy="504000"/>
                        </a:xfrm>
                        <a:custGeom>
                          <a:avLst/>
                          <a:gdLst/>
                          <a:ahLst/>
                          <a:cxnLst/>
                          <a:rect l="l" t="t" r="r" b="b"/>
                          <a:pathLst>
                            <a:path w="21600" h="21600">
                              <a:moveTo>
                                <a:pt x="0" y="0"/>
                              </a:moveTo>
                              <a:lnTo>
                                <a:pt x="21600" y="21600"/>
                              </a:lnTo>
                            </a:path>
                          </a:pathLst>
                        </a:custGeom>
                        <a:noFill/>
                        <a:ln w="19050">
                          <a:solidFill>
                            <a:schemeClr val="bg1">
                              <a:lumMod val="65000"/>
                            </a:schemeClr>
                          </a:solidFill>
                          <a:miter/>
                          <a:tailEnd type="triangle" w="med" len="med"/>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48756F" id="Straight Arrow Connector 358" o:spid="_x0000_s1026" style="position:absolute;margin-left:134.7pt;margin-top:4.2pt;width:0;height:39.7pt;flip:y;z-index:25146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" path="m,l21600,21600e" filled="f" strokecolor="#a5a5a5 [2092]" strokeweight="1.5pt">
                <v:stroke endarrow="block" joinstyle="miter"/>
                <v:path arrowok="t"/>
              </v:shape>
            </w:pict>
          </mc:Fallback>
        </mc:AlternateContent>
      </w:r>
    </w:p>
    <w:p w14:paraId="353A72E8" w14:textId="3588584F" w:rsidR="00780827" w:rsidRPr="000F0299" w:rsidRDefault="00780827" w:rsidP="00780827">
      <w:pPr>
        <w:rPr>
          <w:rFonts w:eastAsia="Times New Roman"/>
        </w:rPr>
      </w:pPr>
      <w:r w:rsidRPr="000F0299">
        <w:rPr>
          <w:noProof/>
          <w:lang w:val="en-US" w:eastAsia="en-US" w:bidi="ar-SA"/>
        </w:rPr>
        <mc:AlternateContent>
          <mc:Choice Requires="wps">
            <w:drawing>
              <wp:anchor distT="0" distB="0" distL="114300" distR="114300" simplePos="0" relativeHeight="251438592" behindDoc="0" locked="0" layoutInCell="1" allowOverlap="1" wp14:anchorId="794A4C28" wp14:editId="3C0194AE">
                <wp:simplePos x="0" y="0"/>
                <wp:positionH relativeFrom="column">
                  <wp:posOffset>-537845</wp:posOffset>
                </wp:positionH>
                <wp:positionV relativeFrom="paragraph">
                  <wp:posOffset>270510</wp:posOffset>
                </wp:positionV>
                <wp:extent cx="4511040" cy="1038860"/>
                <wp:effectExtent l="19050" t="19050" r="22860" b="27940"/>
                <wp:wrapNone/>
                <wp:docPr id="88" name="Text Box 373"/>
                <wp:cNvGraphicFramePr/>
                <a:graphic xmlns:a="http://schemas.openxmlformats.org/drawingml/2006/main">
                  <a:graphicData uri="http://schemas.microsoft.com/office/word/2010/wordprocessingShape">
                    <wps:wsp>
                      <wps:cNvSpPr/>
                      <wps:spPr>
                        <a:xfrm>
                          <a:off x="0" y="0"/>
                          <a:ext cx="4511040" cy="1038860"/>
                        </a:xfrm>
                        <a:prstGeom prst="roundRect">
                          <a:avLst>
                            <a:gd name="adj" fmla="val 16667"/>
                          </a:avLst>
                        </a:prstGeom>
                        <a:solidFill>
                          <a:sysClr val="window" lastClr="FFFFFF"/>
                        </a:solidFill>
                        <a:ln w="31750" cmpd="dbl">
                          <a:solidFill>
                            <a:schemeClr val="bg1">
                              <a:lumMod val="65000"/>
                            </a:schemeClr>
                          </a:solidFill>
                        </a:ln>
                        <a:effectLst/>
                      </wps:spPr>
                      <wps:txbx>
                        <w:txbxContent>
                          <w:p w14:paraId="5C19A6DD" w14:textId="1D96B9B3" w:rsidR="00876FFE" w:rsidRPr="008E12BD" w:rsidRDefault="00876FFE" w:rsidP="00E11DAD">
                            <w:pPr>
                              <w:pStyle w:val="FrameContents"/>
                              <w:jc w:val="center"/>
                              <w:rPr>
                                <w:rFonts w:asciiTheme="minorHAnsi" w:hAnsiTheme="minorHAnsi" w:cstheme="minorHAnsi"/>
                                <w:lang w:val="sr-Cyrl-RS"/>
                              </w:rPr>
                            </w:pPr>
                            <w:r w:rsidRPr="008E12BD">
                              <w:rPr>
                                <w:rFonts w:asciiTheme="minorHAnsi" w:hAnsiTheme="minorHAnsi" w:cstheme="minorHAnsi"/>
                                <w:color w:val="000000"/>
                                <w:lang w:val="sr-Cyrl-RS"/>
                              </w:rPr>
                              <w:t xml:space="preserve">Унапређен </w:t>
                            </w:r>
                            <w:r w:rsidRPr="00251E0D">
                              <w:rPr>
                                <w:rFonts w:asciiTheme="minorHAnsi" w:hAnsiTheme="minorHAnsi" w:cstheme="minorHAnsi"/>
                                <w:b/>
                                <w:color w:val="000000"/>
                                <w:lang w:val="sr-Cyrl-RS"/>
                              </w:rPr>
                              <w:t>процес регрутације</w:t>
                            </w:r>
                            <w:r w:rsidRPr="008E12BD">
                              <w:rPr>
                                <w:rFonts w:asciiTheme="minorHAnsi" w:hAnsiTheme="minorHAnsi" w:cstheme="minorHAnsi"/>
                                <w:color w:val="000000"/>
                                <w:lang w:val="sr-Cyrl-RS"/>
                              </w:rPr>
                              <w:t xml:space="preserve"> у јавној управи</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4A4C28" id="Text Box 373" o:spid="_x0000_s1129" style="position:absolute;left:0;text-align:left;margin-left:-42.35pt;margin-top:21.3pt;width:355.2pt;height:81.8pt;z-index:25143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" fillcolor="window" strokecolor="#a5a5a5 [2092]" strokeweight="2.5pt">
                <v:stroke linestyle="thinThin"/>
                <v:textbox inset="2mm,1mm,2mm,1mm">
                  <w:txbxContent>
                    <w:p w14:paraId="5C19A6DD" w14:textId="1D96B9B3" w:rsidR="00876FFE" w:rsidRPr="008E12BD" w:rsidRDefault="00876FFE" w:rsidP="00E11DAD">
                      <w:pPr>
                        <w:pStyle w:val="FrameContents"/>
                        <w:jc w:val="center"/>
                        <w:rPr>
                          <w:rFonts w:asciiTheme="minorHAnsi" w:hAnsiTheme="minorHAnsi" w:cstheme="minorHAnsi"/>
                          <w:lang w:val="sr-Cyrl-RS"/>
                        </w:rPr>
                      </w:pPr>
                      <w:r w:rsidRPr="008E12BD">
                        <w:rPr>
                          <w:rFonts w:asciiTheme="minorHAnsi" w:hAnsiTheme="minorHAnsi" w:cstheme="minorHAnsi"/>
                          <w:color w:val="000000"/>
                          <w:lang w:val="sr-Cyrl-RS"/>
                        </w:rPr>
                        <w:t xml:space="preserve">Унапређен </w:t>
                      </w:r>
                      <w:r w:rsidRPr="00251E0D">
                        <w:rPr>
                          <w:rFonts w:asciiTheme="minorHAnsi" w:hAnsiTheme="minorHAnsi" w:cstheme="minorHAnsi"/>
                          <w:b/>
                          <w:color w:val="000000"/>
                          <w:lang w:val="sr-Cyrl-RS"/>
                        </w:rPr>
                        <w:t>процес регрутације</w:t>
                      </w:r>
                      <w:r w:rsidRPr="008E12BD">
                        <w:rPr>
                          <w:rFonts w:asciiTheme="minorHAnsi" w:hAnsiTheme="minorHAnsi" w:cstheme="minorHAnsi"/>
                          <w:color w:val="000000"/>
                          <w:lang w:val="sr-Cyrl-RS"/>
                        </w:rPr>
                        <w:t xml:space="preserve"> у јавној управи</w:t>
                      </w:r>
                    </w:p>
                  </w:txbxContent>
                </v:textbox>
              </v:roundrect>
            </w:pict>
          </mc:Fallback>
        </mc:AlternateContent>
      </w:r>
    </w:p>
    <w:p w14:paraId="1E5704C0" w14:textId="4AB0A278" w:rsidR="00780827" w:rsidRPr="000F0299" w:rsidRDefault="00BA68DD" w:rsidP="00780827">
      <w:pPr>
        <w:rPr>
          <w:rFonts w:eastAsia="Times New Roman"/>
        </w:rPr>
      </w:pPr>
      <w:r w:rsidRPr="000F0299">
        <w:rPr>
          <w:noProof/>
          <w:lang w:val="en-US" w:eastAsia="en-US" w:bidi="ar-SA"/>
        </w:rPr>
        <mc:AlternateContent>
          <mc:Choice Requires="wps">
            <w:drawing>
              <wp:anchor distT="0" distB="0" distL="114300" distR="114300" simplePos="0" relativeHeight="251439616" behindDoc="0" locked="0" layoutInCell="1" allowOverlap="1" wp14:anchorId="71A3328A" wp14:editId="23B1B88B">
                <wp:simplePos x="0" y="0"/>
                <wp:positionH relativeFrom="column">
                  <wp:posOffset>4361815</wp:posOffset>
                </wp:positionH>
                <wp:positionV relativeFrom="paragraph">
                  <wp:posOffset>13970</wp:posOffset>
                </wp:positionV>
                <wp:extent cx="4004310" cy="1038860"/>
                <wp:effectExtent l="19050" t="19050" r="15240" b="27940"/>
                <wp:wrapNone/>
                <wp:docPr id="109" name="Text Box 374"/>
                <wp:cNvGraphicFramePr/>
                <a:graphic xmlns:a="http://schemas.openxmlformats.org/drawingml/2006/main">
                  <a:graphicData uri="http://schemas.microsoft.com/office/word/2010/wordprocessingShape">
                    <wps:wsp>
                      <wps:cNvSpPr/>
                      <wps:spPr>
                        <a:xfrm>
                          <a:off x="0" y="0"/>
                          <a:ext cx="4004310" cy="1038860"/>
                        </a:xfrm>
                        <a:prstGeom prst="roundRect">
                          <a:avLst>
                            <a:gd name="adj" fmla="val 16667"/>
                          </a:avLst>
                        </a:prstGeom>
                        <a:solidFill>
                          <a:sysClr val="window" lastClr="FFFFFF"/>
                        </a:solidFill>
                        <a:ln w="31750" cmpd="dbl">
                          <a:solidFill>
                            <a:schemeClr val="bg1">
                              <a:lumMod val="65000"/>
                            </a:schemeClr>
                          </a:solidFill>
                        </a:ln>
                        <a:effectLst/>
                      </wps:spPr>
                      <wps:txbx>
                        <w:txbxContent>
                          <w:p w14:paraId="7BD0D562" w14:textId="63E6BC5C" w:rsidR="00876FFE" w:rsidRPr="00F22E7E" w:rsidRDefault="00876FFE" w:rsidP="00E11DAD">
                            <w:pPr>
                              <w:pStyle w:val="FrameContents"/>
                              <w:ind w:firstLine="0"/>
                              <w:jc w:val="center"/>
                              <w:rPr>
                                <w:rFonts w:asciiTheme="minorHAnsi" w:hAnsiTheme="minorHAnsi" w:cstheme="minorHAnsi"/>
                                <w:color w:val="000000"/>
                              </w:rPr>
                            </w:pPr>
                            <w:r w:rsidRPr="00F22E7E">
                              <w:rPr>
                                <w:rFonts w:asciiTheme="minorHAnsi" w:hAnsiTheme="minorHAnsi" w:cstheme="minorHAnsi"/>
                                <w:color w:val="000000"/>
                                <w:lang w:val="sr-Cyrl-RS"/>
                              </w:rPr>
                              <w:t xml:space="preserve">Ефикасан </w:t>
                            </w:r>
                            <w:r w:rsidRPr="00251E0D">
                              <w:rPr>
                                <w:rFonts w:asciiTheme="minorHAnsi" w:hAnsiTheme="minorHAnsi" w:cstheme="minorHAnsi"/>
                                <w:b/>
                                <w:color w:val="000000"/>
                                <w:lang w:val="sr-Cyrl-RS"/>
                              </w:rPr>
                              <w:t>систем за управљање каријером</w:t>
                            </w:r>
                            <w:r w:rsidRPr="00F22E7E">
                              <w:rPr>
                                <w:rFonts w:asciiTheme="minorHAnsi" w:hAnsiTheme="minorHAnsi" w:cstheme="minorHAnsi"/>
                                <w:color w:val="000000"/>
                                <w:lang w:val="sr-Cyrl-RS"/>
                              </w:rPr>
                              <w:t xml:space="preserve"> примењен у пракси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1A3328A" id="Text Box 374" o:spid="_x0000_s1130" style="position:absolute;left:0;text-align:left;margin-left:343.45pt;margin-top:1.1pt;width:315.3pt;height:81.8pt;z-index:25143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" fillcolor="window" strokecolor="#a5a5a5 [2092]" strokeweight="2.5pt">
                <v:stroke linestyle="thinThin"/>
                <v:textbox>
                  <w:txbxContent>
                    <w:p w14:paraId="7BD0D562" w14:textId="63E6BC5C" w:rsidR="00876FFE" w:rsidRPr="00F22E7E" w:rsidRDefault="00876FFE" w:rsidP="00E11DAD">
                      <w:pPr>
                        <w:pStyle w:val="FrameContents"/>
                        <w:ind w:firstLine="0"/>
                        <w:jc w:val="center"/>
                        <w:rPr>
                          <w:rFonts w:asciiTheme="minorHAnsi" w:hAnsiTheme="minorHAnsi" w:cstheme="minorHAnsi"/>
                          <w:color w:val="000000"/>
                        </w:rPr>
                      </w:pPr>
                      <w:r w:rsidRPr="00F22E7E">
                        <w:rPr>
                          <w:rFonts w:asciiTheme="minorHAnsi" w:hAnsiTheme="minorHAnsi" w:cstheme="minorHAnsi"/>
                          <w:color w:val="000000"/>
                          <w:lang w:val="sr-Cyrl-RS"/>
                        </w:rPr>
                        <w:t xml:space="preserve">Ефикасан </w:t>
                      </w:r>
                      <w:r w:rsidRPr="00251E0D">
                        <w:rPr>
                          <w:rFonts w:asciiTheme="minorHAnsi" w:hAnsiTheme="minorHAnsi" w:cstheme="minorHAnsi"/>
                          <w:b/>
                          <w:color w:val="000000"/>
                          <w:lang w:val="sr-Cyrl-RS"/>
                        </w:rPr>
                        <w:t>систем за управљање каријером</w:t>
                      </w:r>
                      <w:r w:rsidRPr="00F22E7E">
                        <w:rPr>
                          <w:rFonts w:asciiTheme="minorHAnsi" w:hAnsiTheme="minorHAnsi" w:cstheme="minorHAnsi"/>
                          <w:color w:val="000000"/>
                          <w:lang w:val="sr-Cyrl-RS"/>
                        </w:rPr>
                        <w:t xml:space="preserve"> примењен у пракси</w:t>
                      </w:r>
                    </w:p>
                  </w:txbxContent>
                </v:textbox>
              </v:roundrect>
            </w:pict>
          </mc:Fallback>
        </mc:AlternateContent>
      </w:r>
      <w:r w:rsidR="00F22E7E" w:rsidRPr="000F0299">
        <w:rPr>
          <w:noProof/>
          <w:lang w:val="en-US" w:eastAsia="en-US" w:bidi="ar-SA"/>
        </w:rPr>
        <mc:AlternateContent>
          <mc:Choice Requires="wps">
            <w:drawing>
              <wp:anchor distT="0" distB="0" distL="114300" distR="114300" simplePos="0" relativeHeight="251440640" behindDoc="0" locked="0" layoutInCell="1" allowOverlap="1" wp14:anchorId="54C376A5" wp14:editId="74018476">
                <wp:simplePos x="0" y="0"/>
                <wp:positionH relativeFrom="column">
                  <wp:posOffset>8933815</wp:posOffset>
                </wp:positionH>
                <wp:positionV relativeFrom="paragraph">
                  <wp:posOffset>19050</wp:posOffset>
                </wp:positionV>
                <wp:extent cx="4812030" cy="1038860"/>
                <wp:effectExtent l="19050" t="19050" r="26670" b="27940"/>
                <wp:wrapNone/>
                <wp:docPr id="107" name="Text Box 372"/>
                <wp:cNvGraphicFramePr/>
                <a:graphic xmlns:a="http://schemas.openxmlformats.org/drawingml/2006/main">
                  <a:graphicData uri="http://schemas.microsoft.com/office/word/2010/wordprocessingShape">
                    <wps:wsp>
                      <wps:cNvSpPr/>
                      <wps:spPr>
                        <a:xfrm>
                          <a:off x="0" y="0"/>
                          <a:ext cx="4812030" cy="1038860"/>
                        </a:xfrm>
                        <a:prstGeom prst="roundRect">
                          <a:avLst>
                            <a:gd name="adj" fmla="val 16667"/>
                          </a:avLst>
                        </a:prstGeom>
                        <a:solidFill>
                          <a:sysClr val="window" lastClr="FFFFFF"/>
                        </a:solidFill>
                        <a:ln w="31750" cmpd="dbl">
                          <a:solidFill>
                            <a:schemeClr val="bg1">
                              <a:lumMod val="65000"/>
                            </a:schemeClr>
                          </a:solidFill>
                        </a:ln>
                        <a:effectLst/>
                      </wps:spPr>
                      <wps:txbx>
                        <w:txbxContent>
                          <w:p w14:paraId="72F6A97B" w14:textId="77777777" w:rsidR="00876FFE" w:rsidRPr="008E12BD" w:rsidRDefault="00876FFE" w:rsidP="00E11DAD">
                            <w:pPr>
                              <w:pStyle w:val="FrameContents"/>
                              <w:spacing w:before="0" w:after="0"/>
                              <w:ind w:firstLine="0"/>
                              <w:jc w:val="center"/>
                              <w:rPr>
                                <w:rFonts w:asciiTheme="minorHAnsi" w:hAnsiTheme="minorHAnsi" w:cstheme="minorHAnsi"/>
                                <w:color w:val="000000"/>
                                <w:lang w:val="sr-Cyrl-RS"/>
                              </w:rPr>
                            </w:pPr>
                            <w:r w:rsidRPr="008E12BD">
                              <w:rPr>
                                <w:rFonts w:asciiTheme="minorHAnsi" w:hAnsiTheme="minorHAnsi" w:cstheme="minorHAnsi"/>
                                <w:color w:val="000000"/>
                                <w:lang w:val="sr-Cyrl-RS"/>
                              </w:rPr>
                              <w:t xml:space="preserve">Развијен и имплементиран </w:t>
                            </w:r>
                            <w:r w:rsidRPr="00251E0D">
                              <w:rPr>
                                <w:rFonts w:asciiTheme="minorHAnsi" w:hAnsiTheme="minorHAnsi" w:cstheme="minorHAnsi"/>
                                <w:b/>
                                <w:color w:val="000000"/>
                                <w:lang w:val="sr-Cyrl-RS"/>
                              </w:rPr>
                              <w:t>функционалан и иновативан систем стручног усавршавања и стручних испита</w:t>
                            </w:r>
                            <w:r w:rsidRPr="008E12BD">
                              <w:rPr>
                                <w:rFonts w:asciiTheme="minorHAnsi" w:hAnsiTheme="minorHAnsi" w:cstheme="minorHAnsi"/>
                                <w:color w:val="000000"/>
                                <w:lang w:val="sr-Cyrl-RS"/>
                              </w:rPr>
                              <w:t xml:space="preserve"> у јавној управи заснован на анализи потреба за унапређењем компетенција, односно знања, вештина и способности запослених у јавној управи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C376A5" id="Text Box 372" o:spid="_x0000_s1131" style="position:absolute;left:0;text-align:left;margin-left:703.45pt;margin-top:1.5pt;width:378.9pt;height:81.8pt;z-index:25144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" fillcolor="window" strokecolor="#a5a5a5 [2092]" strokeweight="2.5pt">
                <v:stroke linestyle="thinThin"/>
                <v:textbox>
                  <w:txbxContent>
                    <w:p w14:paraId="72F6A97B" w14:textId="77777777" w:rsidR="00876FFE" w:rsidRPr="008E12BD" w:rsidRDefault="00876FFE" w:rsidP="00E11DAD">
                      <w:pPr>
                        <w:pStyle w:val="FrameContents"/>
                        <w:spacing w:before="0" w:after="0"/>
                        <w:ind w:firstLine="0"/>
                        <w:jc w:val="center"/>
                        <w:rPr>
                          <w:rFonts w:asciiTheme="minorHAnsi" w:hAnsiTheme="minorHAnsi" w:cstheme="minorHAnsi"/>
                          <w:color w:val="000000"/>
                          <w:lang w:val="sr-Cyrl-RS"/>
                        </w:rPr>
                      </w:pPr>
                      <w:r w:rsidRPr="008E12BD">
                        <w:rPr>
                          <w:rFonts w:asciiTheme="minorHAnsi" w:hAnsiTheme="minorHAnsi" w:cstheme="minorHAnsi"/>
                          <w:color w:val="000000"/>
                          <w:lang w:val="sr-Cyrl-RS"/>
                        </w:rPr>
                        <w:t xml:space="preserve">Развијен </w:t>
                      </w:r>
                      <w:r w:rsidRPr="008E12BD">
                        <w:rPr>
                          <w:rFonts w:asciiTheme="minorHAnsi" w:hAnsiTheme="minorHAnsi" w:cstheme="minorHAnsi"/>
                          <w:color w:val="000000"/>
                          <w:lang w:val="sr-Cyrl-RS"/>
                        </w:rPr>
                        <w:t xml:space="preserve">и имплементиран </w:t>
                      </w:r>
                      <w:r w:rsidRPr="00251E0D">
                        <w:rPr>
                          <w:rFonts w:asciiTheme="minorHAnsi" w:hAnsiTheme="minorHAnsi" w:cstheme="minorHAnsi"/>
                          <w:b/>
                          <w:color w:val="000000"/>
                          <w:lang w:val="sr-Cyrl-RS"/>
                        </w:rPr>
                        <w:t>функционалан и иновативан систем стручног усавршавања и стручних испита</w:t>
                      </w:r>
                      <w:r w:rsidRPr="008E12BD">
                        <w:rPr>
                          <w:rFonts w:asciiTheme="minorHAnsi" w:hAnsiTheme="minorHAnsi" w:cstheme="minorHAnsi"/>
                          <w:color w:val="000000"/>
                          <w:lang w:val="sr-Cyrl-RS"/>
                        </w:rPr>
                        <w:t xml:space="preserve"> у јавној управи заснован на анализи потреба за унапређењем компетенција, односно знања, вештина и способности запослених у јавној управи</w:t>
                      </w:r>
                    </w:p>
                  </w:txbxContent>
                </v:textbox>
              </v:roundrect>
            </w:pict>
          </mc:Fallback>
        </mc:AlternateContent>
      </w:r>
    </w:p>
    <w:p w14:paraId="0B5E04C2" w14:textId="77777777" w:rsidR="00780827" w:rsidRPr="000F0299" w:rsidRDefault="00780827" w:rsidP="00780827">
      <w:pPr>
        <w:rPr>
          <w:rFonts w:eastAsia="Times New Roman"/>
        </w:rPr>
      </w:pPr>
    </w:p>
    <w:p w14:paraId="30E93323" w14:textId="77777777" w:rsidR="00780827" w:rsidRPr="000F0299" w:rsidRDefault="00780827" w:rsidP="00780827">
      <w:pPr>
        <w:rPr>
          <w:rFonts w:eastAsia="Times New Roman"/>
        </w:rPr>
      </w:pPr>
    </w:p>
    <w:p w14:paraId="7D5B8314" w14:textId="54328C68" w:rsidR="00780827" w:rsidRPr="000F0299" w:rsidRDefault="00780827" w:rsidP="00780827">
      <w:pPr>
        <w:rPr>
          <w:rFonts w:eastAsia="Times New Roman"/>
        </w:rPr>
      </w:pPr>
    </w:p>
    <w:p w14:paraId="3AC08D67" w14:textId="5823FDB8" w:rsidR="00780827" w:rsidRPr="000F0299" w:rsidRDefault="00BA68DD" w:rsidP="00780827">
      <w:pPr>
        <w:rPr>
          <w:rFonts w:eastAsia="Times New Roman"/>
        </w:rPr>
      </w:pPr>
      <w:r w:rsidRPr="000F0299">
        <w:rPr>
          <w:noProof/>
          <w:lang w:val="en-US" w:eastAsia="en-US" w:bidi="ar-SA"/>
        </w:rPr>
        <mc:AlternateContent>
          <mc:Choice Requires="wps">
            <w:drawing>
              <wp:anchor distT="0" distB="0" distL="114300" distR="114300" simplePos="0" relativeHeight="251459072" behindDoc="0" locked="0" layoutInCell="1" allowOverlap="1" wp14:anchorId="09E7AAA2" wp14:editId="79438625">
                <wp:simplePos x="0" y="0"/>
                <wp:positionH relativeFrom="column">
                  <wp:posOffset>7954645</wp:posOffset>
                </wp:positionH>
                <wp:positionV relativeFrom="paragraph">
                  <wp:posOffset>39370</wp:posOffset>
                </wp:positionV>
                <wp:extent cx="0" cy="607060"/>
                <wp:effectExtent l="76200" t="38100" r="57150" b="21590"/>
                <wp:wrapNone/>
                <wp:docPr id="114" name="Straight Arrow Connector 364"/>
                <wp:cNvGraphicFramePr/>
                <a:graphic xmlns:a="http://schemas.openxmlformats.org/drawingml/2006/main">
                  <a:graphicData uri="http://schemas.microsoft.com/office/word/2010/wordprocessingShape">
                    <wps:wsp>
                      <wps:cNvSpPr/>
                      <wps:spPr>
                        <a:xfrm flipV="1">
                          <a:off x="0" y="0"/>
                          <a:ext cx="0" cy="607060"/>
                        </a:xfrm>
                        <a:custGeom>
                          <a:avLst/>
                          <a:gdLst/>
                          <a:ahLst/>
                          <a:cxnLst/>
                          <a:rect l="l" t="t" r="r" b="b"/>
                          <a:pathLst>
                            <a:path w="21600" h="21600">
                              <a:moveTo>
                                <a:pt x="0" y="0"/>
                              </a:moveTo>
                              <a:lnTo>
                                <a:pt x="21600" y="21600"/>
                              </a:lnTo>
                            </a:path>
                          </a:pathLst>
                        </a:custGeom>
                        <a:noFill/>
                        <a:ln w="19050">
                          <a:solidFill>
                            <a:schemeClr val="bg1">
                              <a:lumMod val="65000"/>
                            </a:schemeClr>
                          </a:solidFill>
                          <a:miter/>
                          <a:tailEnd type="triangle" w="med" len="me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F1869C" id="Straight Arrow Connector 364" o:spid="_x0000_s1026" style="position:absolute;margin-left:626.35pt;margin-top:3.1pt;width:0;height:47.8pt;flip:y;z-index:2514590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" path="m,l21600,21600e" filled="f" strokecolor="#a5a5a5 [2092]" strokeweight="1.5pt">
                <v:stroke endarrow="block" joinstyle="miter"/>
                <v:path arrowok="t"/>
              </v:shape>
            </w:pict>
          </mc:Fallback>
        </mc:AlternateContent>
      </w:r>
      <w:r w:rsidRPr="000F0299">
        <w:rPr>
          <w:noProof/>
          <w:lang w:val="en-US" w:eastAsia="en-US" w:bidi="ar-SA"/>
        </w:rPr>
        <mc:AlternateContent>
          <mc:Choice Requires="wps">
            <w:drawing>
              <wp:anchor distT="0" distB="0" distL="114300" distR="114300" simplePos="0" relativeHeight="251458048" behindDoc="0" locked="0" layoutInCell="1" allowOverlap="1" wp14:anchorId="70A589E7" wp14:editId="2E7E2D35">
                <wp:simplePos x="0" y="0"/>
                <wp:positionH relativeFrom="column">
                  <wp:posOffset>6522085</wp:posOffset>
                </wp:positionH>
                <wp:positionV relativeFrom="paragraph">
                  <wp:posOffset>40005</wp:posOffset>
                </wp:positionV>
                <wp:extent cx="0" cy="607060"/>
                <wp:effectExtent l="76200" t="38100" r="57150" b="21590"/>
                <wp:wrapNone/>
                <wp:docPr id="92" name="Straight Arrow Connector 366"/>
                <wp:cNvGraphicFramePr/>
                <a:graphic xmlns:a="http://schemas.openxmlformats.org/drawingml/2006/main">
                  <a:graphicData uri="http://schemas.microsoft.com/office/word/2010/wordprocessingShape">
                    <wps:wsp>
                      <wps:cNvSpPr/>
                      <wps:spPr>
                        <a:xfrm flipV="1">
                          <a:off x="0" y="0"/>
                          <a:ext cx="0" cy="607060"/>
                        </a:xfrm>
                        <a:custGeom>
                          <a:avLst/>
                          <a:gdLst/>
                          <a:ahLst/>
                          <a:cxnLst/>
                          <a:rect l="l" t="t" r="r" b="b"/>
                          <a:pathLst>
                            <a:path w="21600" h="21600">
                              <a:moveTo>
                                <a:pt x="0" y="0"/>
                              </a:moveTo>
                              <a:lnTo>
                                <a:pt x="21600" y="21600"/>
                              </a:lnTo>
                            </a:path>
                          </a:pathLst>
                        </a:custGeom>
                        <a:noFill/>
                        <a:ln w="19050">
                          <a:solidFill>
                            <a:schemeClr val="bg1">
                              <a:lumMod val="65000"/>
                            </a:schemeClr>
                          </a:solidFill>
                          <a:miter/>
                          <a:tailEnd type="triangle" w="med" len="me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CEF655" id="Straight Arrow Connector 366" o:spid="_x0000_s1026" style="position:absolute;margin-left:513.55pt;margin-top:3.15pt;width:0;height:47.8pt;flip:y;z-index:2514580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" path="m,l21600,21600e" filled="f" strokecolor="#a5a5a5 [2092]" strokeweight="1.5pt">
                <v:stroke endarrow="block" joinstyle="miter"/>
                <v:path arrowok="t"/>
              </v:shape>
            </w:pict>
          </mc:Fallback>
        </mc:AlternateContent>
      </w:r>
      <w:r w:rsidRPr="000F0299">
        <w:rPr>
          <w:noProof/>
          <w:lang w:val="en-US" w:eastAsia="en-US" w:bidi="ar-SA"/>
        </w:rPr>
        <mc:AlternateContent>
          <mc:Choice Requires="wps">
            <w:drawing>
              <wp:anchor distT="0" distB="0" distL="114300" distR="114300" simplePos="0" relativeHeight="251457024" behindDoc="0" locked="0" layoutInCell="1" allowOverlap="1" wp14:anchorId="6B58E0CF" wp14:editId="39991628">
                <wp:simplePos x="0" y="0"/>
                <wp:positionH relativeFrom="column">
                  <wp:posOffset>5028565</wp:posOffset>
                </wp:positionH>
                <wp:positionV relativeFrom="paragraph">
                  <wp:posOffset>62321</wp:posOffset>
                </wp:positionV>
                <wp:extent cx="0" cy="575945"/>
                <wp:effectExtent l="76200" t="38100" r="57150" b="14605"/>
                <wp:wrapNone/>
                <wp:docPr id="113" name="Straight Arrow Connector 418"/>
                <wp:cNvGraphicFramePr/>
                <a:graphic xmlns:a="http://schemas.openxmlformats.org/drawingml/2006/main">
                  <a:graphicData uri="http://schemas.microsoft.com/office/word/2010/wordprocessingShape">
                    <wps:wsp>
                      <wps:cNvSpPr/>
                      <wps:spPr>
                        <a:xfrm flipV="1">
                          <a:off x="0" y="0"/>
                          <a:ext cx="0" cy="575945"/>
                        </a:xfrm>
                        <a:custGeom>
                          <a:avLst/>
                          <a:gdLst/>
                          <a:ahLst/>
                          <a:cxnLst/>
                          <a:rect l="l" t="t" r="r" b="b"/>
                          <a:pathLst>
                            <a:path w="21600" h="21600">
                              <a:moveTo>
                                <a:pt x="0" y="0"/>
                              </a:moveTo>
                              <a:lnTo>
                                <a:pt x="21600" y="21600"/>
                              </a:lnTo>
                            </a:path>
                          </a:pathLst>
                        </a:custGeom>
                        <a:noFill/>
                        <a:ln w="19050">
                          <a:solidFill>
                            <a:schemeClr val="bg1">
                              <a:lumMod val="65000"/>
                            </a:schemeClr>
                          </a:solidFill>
                          <a:miter/>
                          <a:tailEnd type="triangle" w="med" len="med"/>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232167" id="Straight Arrow Connector 418" o:spid="_x0000_s1026" style="position:absolute;margin-left:395.95pt;margin-top:4.9pt;width:0;height:45.35pt;flip:y;z-index:25145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" path="m,l21600,21600e" filled="f" strokecolor="#a5a5a5 [2092]" strokeweight="1.5pt">
                <v:stroke endarrow="block" joinstyle="miter"/>
                <v:path arrowok="t"/>
              </v:shape>
            </w:pict>
          </mc:Fallback>
        </mc:AlternateContent>
      </w:r>
      <w:r w:rsidR="00F22E7E" w:rsidRPr="000F0299">
        <w:rPr>
          <w:noProof/>
          <w:lang w:val="en-US" w:eastAsia="en-US" w:bidi="ar-SA"/>
        </w:rPr>
        <mc:AlternateContent>
          <mc:Choice Requires="wps">
            <w:drawing>
              <wp:anchor distT="0" distB="0" distL="114300" distR="114300" simplePos="0" relativeHeight="251460096" behindDoc="0" locked="0" layoutInCell="1" allowOverlap="1" wp14:anchorId="341E638A" wp14:editId="40F3D672">
                <wp:simplePos x="0" y="0"/>
                <wp:positionH relativeFrom="column">
                  <wp:posOffset>9539605</wp:posOffset>
                </wp:positionH>
                <wp:positionV relativeFrom="paragraph">
                  <wp:posOffset>68580</wp:posOffset>
                </wp:positionV>
                <wp:extent cx="0" cy="575945"/>
                <wp:effectExtent l="76200" t="38100" r="57150" b="14605"/>
                <wp:wrapNone/>
                <wp:docPr id="91" name="Straight Arrow Connector 367"/>
                <wp:cNvGraphicFramePr/>
                <a:graphic xmlns:a="http://schemas.openxmlformats.org/drawingml/2006/main">
                  <a:graphicData uri="http://schemas.microsoft.com/office/word/2010/wordprocessingShape">
                    <wps:wsp>
                      <wps:cNvSpPr/>
                      <wps:spPr>
                        <a:xfrm flipV="1">
                          <a:off x="0" y="0"/>
                          <a:ext cx="0" cy="575945"/>
                        </a:xfrm>
                        <a:custGeom>
                          <a:avLst/>
                          <a:gdLst/>
                          <a:ahLst/>
                          <a:cxnLst/>
                          <a:rect l="l" t="t" r="r" b="b"/>
                          <a:pathLst>
                            <a:path w="21600" h="21600">
                              <a:moveTo>
                                <a:pt x="0" y="0"/>
                              </a:moveTo>
                              <a:lnTo>
                                <a:pt x="21600" y="21600"/>
                              </a:lnTo>
                            </a:path>
                          </a:pathLst>
                        </a:custGeom>
                        <a:noFill/>
                        <a:ln w="19050">
                          <a:solidFill>
                            <a:schemeClr val="bg1">
                              <a:lumMod val="65000"/>
                            </a:schemeClr>
                          </a:solidFill>
                          <a:miter/>
                          <a:tailEnd type="triangle" w="med" len="med"/>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F13EED" id="Straight Arrow Connector 367" o:spid="_x0000_s1026" style="position:absolute;margin-left:751.15pt;margin-top:5.4pt;width:0;height:45.35pt;flip:y;z-index:25146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" path="m,l21600,21600e" filled="f" strokecolor="#a5a5a5 [2092]" strokeweight="1.5pt">
                <v:stroke endarrow="block" joinstyle="miter"/>
                <v:path arrowok="t"/>
              </v:shape>
            </w:pict>
          </mc:Fallback>
        </mc:AlternateContent>
      </w:r>
      <w:r w:rsidR="00F22E7E" w:rsidRPr="000F0299">
        <w:rPr>
          <w:noProof/>
          <w:lang w:val="en-US" w:eastAsia="en-US" w:bidi="ar-SA"/>
        </w:rPr>
        <mc:AlternateContent>
          <mc:Choice Requires="wps">
            <w:drawing>
              <wp:anchor distT="0" distB="0" distL="114300" distR="114300" simplePos="0" relativeHeight="251461120" behindDoc="0" locked="0" layoutInCell="1" allowOverlap="1" wp14:anchorId="0830FB7B" wp14:editId="6576AC0D">
                <wp:simplePos x="0" y="0"/>
                <wp:positionH relativeFrom="column">
                  <wp:posOffset>10835005</wp:posOffset>
                </wp:positionH>
                <wp:positionV relativeFrom="paragraph">
                  <wp:posOffset>53340</wp:posOffset>
                </wp:positionV>
                <wp:extent cx="0" cy="607060"/>
                <wp:effectExtent l="76200" t="38100" r="57150" b="21590"/>
                <wp:wrapNone/>
                <wp:docPr id="90" name="Straight Arrow Connector 368"/>
                <wp:cNvGraphicFramePr/>
                <a:graphic xmlns:a="http://schemas.openxmlformats.org/drawingml/2006/main">
                  <a:graphicData uri="http://schemas.microsoft.com/office/word/2010/wordprocessingShape">
                    <wps:wsp>
                      <wps:cNvSpPr/>
                      <wps:spPr>
                        <a:xfrm flipV="1">
                          <a:off x="0" y="0"/>
                          <a:ext cx="0" cy="607060"/>
                        </a:xfrm>
                        <a:custGeom>
                          <a:avLst/>
                          <a:gdLst/>
                          <a:ahLst/>
                          <a:cxnLst/>
                          <a:rect l="l" t="t" r="r" b="b"/>
                          <a:pathLst>
                            <a:path w="21600" h="21600">
                              <a:moveTo>
                                <a:pt x="0" y="0"/>
                              </a:moveTo>
                              <a:lnTo>
                                <a:pt x="21600" y="21600"/>
                              </a:lnTo>
                            </a:path>
                          </a:pathLst>
                        </a:custGeom>
                        <a:noFill/>
                        <a:ln w="19050">
                          <a:solidFill>
                            <a:schemeClr val="bg1">
                              <a:lumMod val="65000"/>
                            </a:schemeClr>
                          </a:solidFill>
                          <a:miter/>
                          <a:tailEnd type="triangle" w="med" len="me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49C985" id="Straight Arrow Connector 368" o:spid="_x0000_s1026" style="position:absolute;margin-left:853.15pt;margin-top:4.2pt;width:0;height:47.8pt;flip:y;z-index:25146112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" path="m,l21600,21600e" filled="f" strokecolor="#a5a5a5 [2092]" strokeweight="1.5pt">
                <v:stroke endarrow="block" joinstyle="miter"/>
                <v:path arrowok="t"/>
              </v:shape>
            </w:pict>
          </mc:Fallback>
        </mc:AlternateContent>
      </w:r>
      <w:r w:rsidR="00F22E7E" w:rsidRPr="000F0299">
        <w:rPr>
          <w:noProof/>
          <w:lang w:val="en-US" w:eastAsia="en-US" w:bidi="ar-SA"/>
        </w:rPr>
        <mc:AlternateContent>
          <mc:Choice Requires="wps">
            <w:drawing>
              <wp:anchor distT="0" distB="0" distL="114300" distR="114300" simplePos="0" relativeHeight="251454976" behindDoc="0" locked="0" layoutInCell="1" allowOverlap="1" wp14:anchorId="1C2FBB7D" wp14:editId="14B36A5B">
                <wp:simplePos x="0" y="0"/>
                <wp:positionH relativeFrom="margin">
                  <wp:posOffset>75565</wp:posOffset>
                </wp:positionH>
                <wp:positionV relativeFrom="paragraph">
                  <wp:posOffset>53340</wp:posOffset>
                </wp:positionV>
                <wp:extent cx="0" cy="611505"/>
                <wp:effectExtent l="76200" t="38100" r="57150" b="17145"/>
                <wp:wrapNone/>
                <wp:docPr id="94" name="Straight Arrow Connector 371"/>
                <wp:cNvGraphicFramePr/>
                <a:graphic xmlns:a="http://schemas.openxmlformats.org/drawingml/2006/main">
                  <a:graphicData uri="http://schemas.microsoft.com/office/word/2010/wordprocessingShape">
                    <wps:wsp>
                      <wps:cNvSpPr/>
                      <wps:spPr>
                        <a:xfrm flipV="1">
                          <a:off x="0" y="0"/>
                          <a:ext cx="0" cy="611505"/>
                        </a:xfrm>
                        <a:custGeom>
                          <a:avLst/>
                          <a:gdLst/>
                          <a:ahLst/>
                          <a:cxnLst/>
                          <a:rect l="l" t="t" r="r" b="b"/>
                          <a:pathLst>
                            <a:path w="21600" h="21600">
                              <a:moveTo>
                                <a:pt x="0" y="0"/>
                              </a:moveTo>
                              <a:lnTo>
                                <a:pt x="21600" y="21600"/>
                              </a:lnTo>
                            </a:path>
                          </a:pathLst>
                        </a:custGeom>
                        <a:noFill/>
                        <a:ln w="19050">
                          <a:solidFill>
                            <a:schemeClr val="bg1">
                              <a:lumMod val="65000"/>
                            </a:schemeClr>
                          </a:solidFill>
                          <a:miter/>
                          <a:tailEnd type="triangle" w="med" len="med"/>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4FF85C" id="Straight Arrow Connector 371" o:spid="_x0000_s1026" style="position:absolute;margin-left:5.95pt;margin-top:4.2pt;width:0;height:48.15pt;flip:y;z-index:251454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" path="m,l21600,21600e" filled="f" strokecolor="#a5a5a5 [2092]" strokeweight="1.5pt">
                <v:stroke endarrow="block" joinstyle="miter"/>
                <v:path arrowok="t"/>
                <w10:wrap anchorx="margin"/>
              </v:shape>
            </w:pict>
          </mc:Fallback>
        </mc:AlternateContent>
      </w:r>
      <w:r w:rsidR="00BD41F6" w:rsidRPr="000F0299">
        <w:rPr>
          <w:noProof/>
          <w:lang w:val="en-US" w:eastAsia="en-US" w:bidi="ar-SA"/>
        </w:rPr>
        <mc:AlternateContent>
          <mc:Choice Requires="wps">
            <w:drawing>
              <wp:anchor distT="0" distB="0" distL="114300" distR="114300" simplePos="0" relativeHeight="251463168" behindDoc="0" locked="0" layoutInCell="1" allowOverlap="1" wp14:anchorId="67A27F77" wp14:editId="4203F3A9">
                <wp:simplePos x="0" y="0"/>
                <wp:positionH relativeFrom="column">
                  <wp:posOffset>13334365</wp:posOffset>
                </wp:positionH>
                <wp:positionV relativeFrom="paragraph">
                  <wp:posOffset>38100</wp:posOffset>
                </wp:positionV>
                <wp:extent cx="0" cy="607060"/>
                <wp:effectExtent l="76200" t="38100" r="57150" b="21590"/>
                <wp:wrapNone/>
                <wp:docPr id="87" name="Straight Arrow Connector 369"/>
                <wp:cNvGraphicFramePr/>
                <a:graphic xmlns:a="http://schemas.openxmlformats.org/drawingml/2006/main">
                  <a:graphicData uri="http://schemas.microsoft.com/office/word/2010/wordprocessingShape">
                    <wps:wsp>
                      <wps:cNvSpPr/>
                      <wps:spPr>
                        <a:xfrm flipV="1">
                          <a:off x="0" y="0"/>
                          <a:ext cx="0" cy="607060"/>
                        </a:xfrm>
                        <a:custGeom>
                          <a:avLst/>
                          <a:gdLst/>
                          <a:ahLst/>
                          <a:cxnLst/>
                          <a:rect l="l" t="t" r="r" b="b"/>
                          <a:pathLst>
                            <a:path w="21600" h="21600">
                              <a:moveTo>
                                <a:pt x="0" y="0"/>
                              </a:moveTo>
                              <a:lnTo>
                                <a:pt x="21600" y="21600"/>
                              </a:lnTo>
                            </a:path>
                          </a:pathLst>
                        </a:custGeom>
                        <a:noFill/>
                        <a:ln w="19050">
                          <a:solidFill>
                            <a:schemeClr val="bg1">
                              <a:lumMod val="65000"/>
                            </a:schemeClr>
                          </a:solidFill>
                          <a:miter/>
                          <a:tailEnd type="triangle" w="med" len="me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2322B2" id="Straight Arrow Connector 369" o:spid="_x0000_s1026" style="position:absolute;margin-left:1049.95pt;margin-top:3pt;width:0;height:47.8pt;flip:y;z-index:2514631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" path="m,l21600,21600e" filled="f" strokecolor="#a5a5a5 [2092]" strokeweight="1.5pt">
                <v:stroke endarrow="block" joinstyle="miter"/>
                <v:path arrowok="t"/>
              </v:shape>
            </w:pict>
          </mc:Fallback>
        </mc:AlternateContent>
      </w:r>
      <w:r w:rsidR="00BD41F6" w:rsidRPr="000F0299">
        <w:rPr>
          <w:noProof/>
          <w:lang w:val="en-US" w:eastAsia="en-US" w:bidi="ar-SA"/>
        </w:rPr>
        <mc:AlternateContent>
          <mc:Choice Requires="wps">
            <w:drawing>
              <wp:anchor distT="0" distB="0" distL="114300" distR="114300" simplePos="0" relativeHeight="251462144" behindDoc="0" locked="0" layoutInCell="1" allowOverlap="1" wp14:anchorId="1B48658C" wp14:editId="2CA762A0">
                <wp:simplePos x="0" y="0"/>
                <wp:positionH relativeFrom="column">
                  <wp:posOffset>12115165</wp:posOffset>
                </wp:positionH>
                <wp:positionV relativeFrom="paragraph">
                  <wp:posOffset>68580</wp:posOffset>
                </wp:positionV>
                <wp:extent cx="0" cy="575945"/>
                <wp:effectExtent l="76200" t="38100" r="57150" b="14605"/>
                <wp:wrapNone/>
                <wp:docPr id="82" name="Straight Arrow Connector 365"/>
                <wp:cNvGraphicFramePr/>
                <a:graphic xmlns:a="http://schemas.openxmlformats.org/drawingml/2006/main">
                  <a:graphicData uri="http://schemas.microsoft.com/office/word/2010/wordprocessingShape">
                    <wps:wsp>
                      <wps:cNvSpPr/>
                      <wps:spPr>
                        <a:xfrm flipV="1">
                          <a:off x="0" y="0"/>
                          <a:ext cx="0" cy="575945"/>
                        </a:xfrm>
                        <a:custGeom>
                          <a:avLst/>
                          <a:gdLst/>
                          <a:ahLst/>
                          <a:cxnLst/>
                          <a:rect l="l" t="t" r="r" b="b"/>
                          <a:pathLst>
                            <a:path w="21600" h="21600">
                              <a:moveTo>
                                <a:pt x="0" y="0"/>
                              </a:moveTo>
                              <a:lnTo>
                                <a:pt x="21600" y="21600"/>
                              </a:lnTo>
                            </a:path>
                          </a:pathLst>
                        </a:custGeom>
                        <a:noFill/>
                        <a:ln w="19050">
                          <a:solidFill>
                            <a:schemeClr val="bg1">
                              <a:lumMod val="65000"/>
                            </a:schemeClr>
                          </a:solidFill>
                          <a:miter/>
                          <a:tailEnd type="triangle" w="med" len="med"/>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8191C" id="Straight Arrow Connector 365" o:spid="_x0000_s1026" style="position:absolute;margin-left:953.95pt;margin-top:5.4pt;width:0;height:45.35pt;flip:y;z-index:25146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" path="m,l21600,21600e" filled="f" strokecolor="#a5a5a5 [2092]" strokeweight="1.5pt">
                <v:stroke endarrow="block" joinstyle="miter"/>
                <v:path arrowok="t"/>
              </v:shape>
            </w:pict>
          </mc:Fallback>
        </mc:AlternateContent>
      </w:r>
      <w:r w:rsidR="00BD41F6" w:rsidRPr="000F0299">
        <w:rPr>
          <w:noProof/>
          <w:lang w:val="en-US" w:eastAsia="en-US" w:bidi="ar-SA"/>
        </w:rPr>
        <mc:AlternateContent>
          <mc:Choice Requires="wps">
            <w:drawing>
              <wp:anchor distT="0" distB="0" distL="114300" distR="114300" simplePos="0" relativeHeight="251449856" behindDoc="0" locked="0" layoutInCell="1" allowOverlap="1" wp14:anchorId="040C1B52" wp14:editId="2C7F71DD">
                <wp:simplePos x="0" y="0"/>
                <wp:positionH relativeFrom="column">
                  <wp:posOffset>12800965</wp:posOffset>
                </wp:positionH>
                <wp:positionV relativeFrom="paragraph">
                  <wp:posOffset>640080</wp:posOffset>
                </wp:positionV>
                <wp:extent cx="1171575" cy="2499360"/>
                <wp:effectExtent l="19050" t="19050" r="28575" b="15240"/>
                <wp:wrapNone/>
                <wp:docPr id="125" name="Text Box 379"/>
                <wp:cNvGraphicFramePr/>
                <a:graphic xmlns:a="http://schemas.openxmlformats.org/drawingml/2006/main">
                  <a:graphicData uri="http://schemas.microsoft.com/office/word/2010/wordprocessingShape">
                    <wps:wsp>
                      <wps:cNvSpPr/>
                      <wps:spPr>
                        <a:xfrm>
                          <a:off x="0" y="0"/>
                          <a:ext cx="1171575" cy="2499360"/>
                        </a:xfrm>
                        <a:prstGeom prst="roundRect">
                          <a:avLst>
                            <a:gd name="adj" fmla="val 16667"/>
                          </a:avLst>
                        </a:prstGeom>
                        <a:solidFill>
                          <a:srgbClr val="FFFFFF"/>
                        </a:solidFill>
                        <a:ln w="28575">
                          <a:solidFill>
                            <a:schemeClr val="bg1">
                              <a:lumMod val="65000"/>
                            </a:schemeClr>
                          </a:solidFill>
                          <a:round/>
                        </a:ln>
                        <a:effectLst/>
                      </wps:spPr>
                      <wps:txbx>
                        <w:txbxContent>
                          <w:p w14:paraId="5378EF38" w14:textId="71C21D47" w:rsidR="00876FFE" w:rsidRPr="008E12BD" w:rsidRDefault="00876FFE" w:rsidP="00E11DAD">
                            <w:pPr>
                              <w:pStyle w:val="FrameContents"/>
                              <w:spacing w:before="0" w:after="0"/>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pacing w:val="-24"/>
                                <w:sz w:val="22"/>
                                <w:szCs w:val="22"/>
                                <w:lang w:val="sr-Cyrl-RS"/>
                              </w:rPr>
                              <w:t xml:space="preserve">Успостављање </w:t>
                            </w:r>
                            <w:r w:rsidRPr="008E12BD">
                              <w:rPr>
                                <w:rFonts w:asciiTheme="minorHAnsi" w:hAnsiTheme="minorHAnsi" w:cstheme="minorHAnsi"/>
                                <w:color w:val="000000"/>
                                <w:sz w:val="22"/>
                                <w:szCs w:val="22"/>
                                <w:lang w:val="sr-Cyrl-RS"/>
                              </w:rPr>
                              <w:t xml:space="preserve">стандарди-зације процеса и система квалитета у области стручног </w:t>
                            </w:r>
                            <w:r w:rsidRPr="008E12BD">
                              <w:rPr>
                                <w:rFonts w:asciiTheme="minorHAnsi" w:hAnsiTheme="minorHAnsi" w:cstheme="minorHAnsi"/>
                                <w:color w:val="000000"/>
                                <w:spacing w:val="-16"/>
                                <w:sz w:val="22"/>
                                <w:szCs w:val="22"/>
                                <w:lang w:val="sr-Cyrl-RS"/>
                              </w:rPr>
                              <w:t>усавршавања</w:t>
                            </w:r>
                            <w:r w:rsidRPr="008E12BD">
                              <w:rPr>
                                <w:rFonts w:asciiTheme="minorHAnsi" w:hAnsiTheme="minorHAnsi" w:cstheme="minorHAnsi"/>
                                <w:color w:val="000000"/>
                                <w:spacing w:val="-8"/>
                                <w:sz w:val="22"/>
                                <w:szCs w:val="22"/>
                                <w:lang w:val="sr-Cyrl-RS"/>
                              </w:rPr>
                              <w:t xml:space="preserve"> </w:t>
                            </w:r>
                            <w:r w:rsidRPr="008E12BD">
                              <w:rPr>
                                <w:rFonts w:asciiTheme="minorHAnsi" w:hAnsiTheme="minorHAnsi" w:cstheme="minorHAnsi"/>
                                <w:color w:val="000000"/>
                                <w:sz w:val="22"/>
                                <w:szCs w:val="22"/>
                                <w:lang w:val="sr-Cyrl-RS"/>
                              </w:rPr>
                              <w:t xml:space="preserve">у јавној управи, уз </w:t>
                            </w:r>
                            <w:r w:rsidRPr="008E12BD">
                              <w:rPr>
                                <w:rFonts w:asciiTheme="minorHAnsi" w:hAnsiTheme="minorHAnsi" w:cstheme="minorHAnsi"/>
                                <w:color w:val="000000"/>
                                <w:spacing w:val="-10"/>
                                <w:sz w:val="22"/>
                                <w:szCs w:val="22"/>
                                <w:lang w:val="sr-Cyrl-RS"/>
                              </w:rPr>
                              <w:t>пуну примену</w:t>
                            </w:r>
                            <w:r w:rsidRPr="008E12BD">
                              <w:rPr>
                                <w:rFonts w:asciiTheme="minorHAnsi" w:hAnsiTheme="minorHAnsi" w:cstheme="minorHAnsi"/>
                                <w:color w:val="000000"/>
                                <w:sz w:val="22"/>
                                <w:szCs w:val="22"/>
                                <w:lang w:val="sr-Cyrl-RS"/>
                              </w:rPr>
                              <w:t xml:space="preserve"> ИКТ</w:t>
                            </w:r>
                          </w:p>
                        </w:txbxContent>
                      </wps:txbx>
                      <wps:bodyPr wrap="square" lIns="72000" tIns="36000" rIns="72000" bIns="36000" anchor="ctr">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0C1B52" id="_x0000_s1132" style="position:absolute;left:0;text-align:left;margin-left:1007.95pt;margin-top:50.4pt;width:92.25pt;height:196.8pt;z-index:25144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" strokecolor="#a5a5a5 [2092]" strokeweight="2.25pt">
                <v:textbox inset="2mm,1mm,2mm,1mm">
                  <w:txbxContent>
                    <w:p w14:paraId="5378EF38" w14:textId="71C21D47" w:rsidR="00876FFE" w:rsidRPr="008E12BD" w:rsidRDefault="00876FFE" w:rsidP="00E11DAD">
                      <w:pPr>
                        <w:pStyle w:val="FrameContents"/>
                        <w:spacing w:before="0" w:after="0"/>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pacing w:val="-24"/>
                          <w:sz w:val="22"/>
                          <w:szCs w:val="22"/>
                          <w:lang w:val="sr-Cyrl-RS"/>
                        </w:rPr>
                        <w:t xml:space="preserve">Успостављање </w:t>
                      </w:r>
                      <w:r w:rsidRPr="008E12BD">
                        <w:rPr>
                          <w:rFonts w:asciiTheme="minorHAnsi" w:hAnsiTheme="minorHAnsi" w:cstheme="minorHAnsi"/>
                          <w:color w:val="000000"/>
                          <w:sz w:val="22"/>
                          <w:szCs w:val="22"/>
                          <w:lang w:val="sr-Cyrl-RS"/>
                        </w:rPr>
                        <w:t xml:space="preserve">стандарди-зације процеса и система квалитета у области стручног </w:t>
                      </w:r>
                      <w:r w:rsidRPr="008E12BD">
                        <w:rPr>
                          <w:rFonts w:asciiTheme="minorHAnsi" w:hAnsiTheme="minorHAnsi" w:cstheme="minorHAnsi"/>
                          <w:color w:val="000000"/>
                          <w:spacing w:val="-16"/>
                          <w:sz w:val="22"/>
                          <w:szCs w:val="22"/>
                          <w:lang w:val="sr-Cyrl-RS"/>
                        </w:rPr>
                        <w:t>усавршавања</w:t>
                      </w:r>
                      <w:r w:rsidRPr="008E12BD">
                        <w:rPr>
                          <w:rFonts w:asciiTheme="minorHAnsi" w:hAnsiTheme="minorHAnsi" w:cstheme="minorHAnsi"/>
                          <w:color w:val="000000"/>
                          <w:spacing w:val="-8"/>
                          <w:sz w:val="22"/>
                          <w:szCs w:val="22"/>
                          <w:lang w:val="sr-Cyrl-RS"/>
                        </w:rPr>
                        <w:t xml:space="preserve"> </w:t>
                      </w:r>
                      <w:r w:rsidRPr="008E12BD">
                        <w:rPr>
                          <w:rFonts w:asciiTheme="minorHAnsi" w:hAnsiTheme="minorHAnsi" w:cstheme="minorHAnsi"/>
                          <w:color w:val="000000"/>
                          <w:sz w:val="22"/>
                          <w:szCs w:val="22"/>
                          <w:lang w:val="sr-Cyrl-RS"/>
                        </w:rPr>
                        <w:t xml:space="preserve">у јавној управи, уз </w:t>
                      </w:r>
                      <w:r w:rsidRPr="008E12BD">
                        <w:rPr>
                          <w:rFonts w:asciiTheme="minorHAnsi" w:hAnsiTheme="minorHAnsi" w:cstheme="minorHAnsi"/>
                          <w:color w:val="000000"/>
                          <w:spacing w:val="-10"/>
                          <w:sz w:val="22"/>
                          <w:szCs w:val="22"/>
                          <w:lang w:val="sr-Cyrl-RS"/>
                        </w:rPr>
                        <w:t>пуну примену</w:t>
                      </w:r>
                      <w:r w:rsidRPr="008E12BD">
                        <w:rPr>
                          <w:rFonts w:asciiTheme="minorHAnsi" w:hAnsiTheme="minorHAnsi" w:cstheme="minorHAnsi"/>
                          <w:color w:val="000000"/>
                          <w:sz w:val="22"/>
                          <w:szCs w:val="22"/>
                          <w:lang w:val="sr-Cyrl-RS"/>
                        </w:rPr>
                        <w:t xml:space="preserve"> ИКТ</w:t>
                      </w:r>
                    </w:p>
                  </w:txbxContent>
                </v:textbox>
              </v:roundrect>
            </w:pict>
          </mc:Fallback>
        </mc:AlternateContent>
      </w:r>
      <w:r w:rsidR="00780827" w:rsidRPr="000F0299">
        <w:rPr>
          <w:noProof/>
          <w:lang w:val="en-US" w:eastAsia="en-US" w:bidi="ar-SA"/>
        </w:rPr>
        <mc:AlternateContent>
          <mc:Choice Requires="wps">
            <w:drawing>
              <wp:anchor distT="0" distB="0" distL="114300" distR="114300" simplePos="0" relativeHeight="251468288" behindDoc="0" locked="0" layoutInCell="1" allowOverlap="1" wp14:anchorId="062B5FF9" wp14:editId="303FE7AE">
                <wp:simplePos x="0" y="0"/>
                <wp:positionH relativeFrom="column">
                  <wp:posOffset>3321685</wp:posOffset>
                </wp:positionH>
                <wp:positionV relativeFrom="paragraph">
                  <wp:posOffset>53340</wp:posOffset>
                </wp:positionV>
                <wp:extent cx="0" cy="575945"/>
                <wp:effectExtent l="76200" t="38100" r="57150" b="14605"/>
                <wp:wrapNone/>
                <wp:docPr id="383" name="Straight Arrow Connector 370"/>
                <wp:cNvGraphicFramePr/>
                <a:graphic xmlns:a="http://schemas.openxmlformats.org/drawingml/2006/main">
                  <a:graphicData uri="http://schemas.microsoft.com/office/word/2010/wordprocessingShape">
                    <wps:wsp>
                      <wps:cNvSpPr/>
                      <wps:spPr>
                        <a:xfrm flipV="1">
                          <a:off x="0" y="0"/>
                          <a:ext cx="0" cy="575945"/>
                        </a:xfrm>
                        <a:custGeom>
                          <a:avLst/>
                          <a:gdLst/>
                          <a:ahLst/>
                          <a:cxnLst/>
                          <a:rect l="l" t="t" r="r" b="b"/>
                          <a:pathLst>
                            <a:path w="21600" h="21600">
                              <a:moveTo>
                                <a:pt x="0" y="0"/>
                              </a:moveTo>
                              <a:lnTo>
                                <a:pt x="21600" y="21600"/>
                              </a:lnTo>
                            </a:path>
                          </a:pathLst>
                        </a:custGeom>
                        <a:noFill/>
                        <a:ln w="19050">
                          <a:solidFill>
                            <a:schemeClr val="bg1">
                              <a:lumMod val="65000"/>
                            </a:schemeClr>
                          </a:solidFill>
                          <a:miter/>
                          <a:tailEnd type="triangle" w="med" len="med"/>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D6FF03" id="Straight Arrow Connector 370" o:spid="_x0000_s1026" style="position:absolute;margin-left:261.55pt;margin-top:4.2pt;width:0;height:45.35pt;flip:y;z-index:25146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" path="m,l21600,21600e" filled="f" strokecolor="#a5a5a5 [2092]" strokeweight="1.5pt">
                <v:stroke endarrow="block" joinstyle="miter"/>
                <v:path arrowok="t"/>
              </v:shape>
            </w:pict>
          </mc:Fallback>
        </mc:AlternateContent>
      </w:r>
      <w:r w:rsidR="00780827" w:rsidRPr="000F0299">
        <w:rPr>
          <w:noProof/>
          <w:lang w:val="en-US" w:eastAsia="en-US" w:bidi="ar-SA"/>
        </w:rPr>
        <mc:AlternateContent>
          <mc:Choice Requires="wps">
            <w:drawing>
              <wp:anchor distT="0" distB="0" distL="114300" distR="114300" simplePos="0" relativeHeight="251456000" behindDoc="0" locked="0" layoutInCell="1" allowOverlap="1" wp14:anchorId="2793C9C6" wp14:editId="1EA7C120">
                <wp:simplePos x="0" y="0"/>
                <wp:positionH relativeFrom="column">
                  <wp:posOffset>1706245</wp:posOffset>
                </wp:positionH>
                <wp:positionV relativeFrom="paragraph">
                  <wp:posOffset>53340</wp:posOffset>
                </wp:positionV>
                <wp:extent cx="0" cy="575945"/>
                <wp:effectExtent l="76200" t="38100" r="57150" b="14605"/>
                <wp:wrapNone/>
                <wp:docPr id="93" name="Straight Arrow Connector 370"/>
                <wp:cNvGraphicFramePr/>
                <a:graphic xmlns:a="http://schemas.openxmlformats.org/drawingml/2006/main">
                  <a:graphicData uri="http://schemas.microsoft.com/office/word/2010/wordprocessingShape">
                    <wps:wsp>
                      <wps:cNvSpPr/>
                      <wps:spPr>
                        <a:xfrm flipV="1">
                          <a:off x="0" y="0"/>
                          <a:ext cx="0" cy="575945"/>
                        </a:xfrm>
                        <a:custGeom>
                          <a:avLst/>
                          <a:gdLst/>
                          <a:ahLst/>
                          <a:cxnLst/>
                          <a:rect l="l" t="t" r="r" b="b"/>
                          <a:pathLst>
                            <a:path w="21600" h="21600">
                              <a:moveTo>
                                <a:pt x="0" y="0"/>
                              </a:moveTo>
                              <a:lnTo>
                                <a:pt x="21600" y="21600"/>
                              </a:lnTo>
                            </a:path>
                          </a:pathLst>
                        </a:custGeom>
                        <a:noFill/>
                        <a:ln w="19050">
                          <a:solidFill>
                            <a:schemeClr val="bg1">
                              <a:lumMod val="65000"/>
                            </a:schemeClr>
                          </a:solidFill>
                          <a:miter/>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EDEB41" id="Straight Arrow Connector 370" o:spid="_x0000_s1026" style="position:absolute;margin-left:134.35pt;margin-top:4.2pt;width:0;height:45.35pt;flip:y;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" path="m,l21600,21600e" filled="f" strokecolor="#a5a5a5 [2092]" strokeweight="1.5pt">
                <v:stroke endarrow="block" joinstyle="miter"/>
                <v:path arrowok="t"/>
              </v:shape>
            </w:pict>
          </mc:Fallback>
        </mc:AlternateContent>
      </w:r>
    </w:p>
    <w:p w14:paraId="07FD7B11" w14:textId="3D6201F0" w:rsidR="00780827" w:rsidRPr="000F0299" w:rsidRDefault="00780827" w:rsidP="00780827">
      <w:pPr>
        <w:rPr>
          <w:rFonts w:eastAsia="Times New Roman"/>
        </w:rPr>
      </w:pPr>
    </w:p>
    <w:p w14:paraId="2266FC11" w14:textId="38CC220E" w:rsidR="00780827" w:rsidRPr="000F0299" w:rsidRDefault="00BA68DD" w:rsidP="00780827">
      <w:pPr>
        <w:rPr>
          <w:rFonts w:eastAsia="Times New Roman"/>
        </w:rPr>
      </w:pPr>
      <w:r w:rsidRPr="000F0299">
        <w:rPr>
          <w:noProof/>
          <w:lang w:val="en-US" w:eastAsia="en-US" w:bidi="ar-SA"/>
        </w:rPr>
        <mc:AlternateContent>
          <mc:Choice Requires="wps">
            <w:drawing>
              <wp:anchor distT="0" distB="0" distL="114300" distR="114300" simplePos="0" relativeHeight="251443712" behindDoc="0" locked="0" layoutInCell="1" allowOverlap="1" wp14:anchorId="7B95826C" wp14:editId="24A8A3F8">
                <wp:simplePos x="0" y="0"/>
                <wp:positionH relativeFrom="column">
                  <wp:posOffset>5763895</wp:posOffset>
                </wp:positionH>
                <wp:positionV relativeFrom="paragraph">
                  <wp:posOffset>149134</wp:posOffset>
                </wp:positionV>
                <wp:extent cx="1520190" cy="2410460"/>
                <wp:effectExtent l="19050" t="19050" r="22860" b="27940"/>
                <wp:wrapNone/>
                <wp:docPr id="103" name="Text Box 363"/>
                <wp:cNvGraphicFramePr/>
                <a:graphic xmlns:a="http://schemas.openxmlformats.org/drawingml/2006/main">
                  <a:graphicData uri="http://schemas.microsoft.com/office/word/2010/wordprocessingShape">
                    <wps:wsp>
                      <wps:cNvSpPr/>
                      <wps:spPr>
                        <a:xfrm>
                          <a:off x="0" y="0"/>
                          <a:ext cx="1520190" cy="2410460"/>
                        </a:xfrm>
                        <a:prstGeom prst="roundRect">
                          <a:avLst>
                            <a:gd name="adj" fmla="val 16667"/>
                          </a:avLst>
                        </a:prstGeom>
                        <a:solidFill>
                          <a:srgbClr val="FFFFFF"/>
                        </a:solidFill>
                        <a:ln w="28575">
                          <a:solidFill>
                            <a:schemeClr val="bg1">
                              <a:lumMod val="65000"/>
                            </a:schemeClr>
                          </a:solidFill>
                          <a:round/>
                        </a:ln>
                        <a:effectLst/>
                      </wps:spPr>
                      <wps:txbx>
                        <w:txbxContent>
                          <w:p w14:paraId="6DC1FE37" w14:textId="034BF16F" w:rsidR="00876FFE" w:rsidRPr="00F22E7E" w:rsidRDefault="00876FFE" w:rsidP="00E11DAD">
                            <w:pPr>
                              <w:pStyle w:val="FrameContents"/>
                              <w:ind w:firstLine="0"/>
                              <w:jc w:val="center"/>
                              <w:rPr>
                                <w:rFonts w:asciiTheme="minorHAnsi" w:hAnsiTheme="minorHAnsi" w:cstheme="minorHAnsi"/>
                                <w:color w:val="000000"/>
                                <w:sz w:val="22"/>
                                <w:szCs w:val="22"/>
                                <w:lang w:val="sr-Cyrl-RS"/>
                              </w:rPr>
                            </w:pPr>
                            <w:r w:rsidRPr="00F22E7E">
                              <w:rPr>
                                <w:rFonts w:asciiTheme="minorHAnsi" w:hAnsiTheme="minorHAnsi" w:cstheme="minorHAnsi"/>
                                <w:color w:val="000000"/>
                                <w:sz w:val="22"/>
                                <w:szCs w:val="22"/>
                                <w:lang w:val="sr-Cyrl-RS"/>
                              </w:rPr>
                              <w:t xml:space="preserve">Развој </w:t>
                            </w:r>
                            <w:r w:rsidRPr="00F22E7E">
                              <w:rPr>
                                <w:rFonts w:asciiTheme="minorHAnsi" w:hAnsiTheme="minorHAnsi" w:cstheme="minorHAnsi"/>
                                <w:color w:val="000000"/>
                                <w:spacing w:val="-14"/>
                                <w:sz w:val="22"/>
                                <w:szCs w:val="22"/>
                                <w:lang w:val="sr-Cyrl-RS"/>
                              </w:rPr>
                              <w:t>институционалних</w:t>
                            </w:r>
                            <w:r w:rsidRPr="00F22E7E">
                              <w:rPr>
                                <w:rFonts w:asciiTheme="minorHAnsi" w:hAnsiTheme="minorHAnsi" w:cstheme="minorHAnsi"/>
                                <w:color w:val="000000"/>
                                <w:sz w:val="22"/>
                                <w:szCs w:val="22"/>
                                <w:lang w:val="sr-Cyrl-RS"/>
                              </w:rPr>
                              <w:t xml:space="preserve"> и </w:t>
                            </w:r>
                            <w:r w:rsidRPr="00F22E7E">
                              <w:rPr>
                                <w:rFonts w:asciiTheme="minorHAnsi" w:hAnsiTheme="minorHAnsi" w:cstheme="minorHAnsi"/>
                                <w:color w:val="000000"/>
                                <w:spacing w:val="-14"/>
                                <w:sz w:val="22"/>
                                <w:szCs w:val="22"/>
                                <w:lang w:val="sr-Cyrl-RS"/>
                              </w:rPr>
                              <w:t>административних</w:t>
                            </w:r>
                            <w:r w:rsidRPr="00F22E7E">
                              <w:rPr>
                                <w:rFonts w:asciiTheme="minorHAnsi" w:hAnsiTheme="minorHAnsi" w:cstheme="minorHAnsi"/>
                                <w:color w:val="000000"/>
                                <w:sz w:val="22"/>
                                <w:szCs w:val="22"/>
                                <w:lang w:val="sr-Cyrl-RS"/>
                              </w:rPr>
                              <w:t xml:space="preserve"> капацитета за управљање људским ресурсима</w:t>
                            </w:r>
                          </w:p>
                        </w:txbxContent>
                      </wps:txbx>
                      <wps:bodyPr wrap="square" lIns="72000" tIns="36000" rIns="72000" bIns="36000" anchor="ctr">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95826C" id="Text Box 363" o:spid="_x0000_s1133" style="position:absolute;left:0;text-align:left;margin-left:453.85pt;margin-top:11.75pt;width:119.7pt;height:189.8pt;z-index:25144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" strokecolor="#a5a5a5 [2092]" strokeweight="2.25pt">
                <v:textbox inset="2mm,1mm,2mm,1mm">
                  <w:txbxContent>
                    <w:p w14:paraId="6DC1FE37" w14:textId="034BF16F" w:rsidR="00876FFE" w:rsidRPr="00F22E7E" w:rsidRDefault="00876FFE" w:rsidP="00E11DAD">
                      <w:pPr>
                        <w:pStyle w:val="FrameContents"/>
                        <w:ind w:firstLine="0"/>
                        <w:jc w:val="center"/>
                        <w:rPr>
                          <w:rFonts w:asciiTheme="minorHAnsi" w:hAnsiTheme="minorHAnsi" w:cstheme="minorHAnsi"/>
                          <w:color w:val="000000"/>
                          <w:sz w:val="22"/>
                          <w:szCs w:val="22"/>
                          <w:lang w:val="sr-Cyrl-RS"/>
                        </w:rPr>
                      </w:pPr>
                      <w:r w:rsidRPr="00F22E7E">
                        <w:rPr>
                          <w:rFonts w:asciiTheme="minorHAnsi" w:hAnsiTheme="minorHAnsi" w:cstheme="minorHAnsi"/>
                          <w:color w:val="000000"/>
                          <w:sz w:val="22"/>
                          <w:szCs w:val="22"/>
                          <w:lang w:val="sr-Cyrl-RS"/>
                        </w:rPr>
                        <w:t xml:space="preserve">Развој </w:t>
                      </w:r>
                      <w:r w:rsidRPr="00F22E7E">
                        <w:rPr>
                          <w:rFonts w:asciiTheme="minorHAnsi" w:hAnsiTheme="minorHAnsi" w:cstheme="minorHAnsi"/>
                          <w:color w:val="000000"/>
                          <w:spacing w:val="-14"/>
                          <w:sz w:val="22"/>
                          <w:szCs w:val="22"/>
                          <w:lang w:val="sr-Cyrl-RS"/>
                        </w:rPr>
                        <w:t>институционалних</w:t>
                      </w:r>
                      <w:r w:rsidRPr="00F22E7E">
                        <w:rPr>
                          <w:rFonts w:asciiTheme="minorHAnsi" w:hAnsiTheme="minorHAnsi" w:cstheme="minorHAnsi"/>
                          <w:color w:val="000000"/>
                          <w:sz w:val="22"/>
                          <w:szCs w:val="22"/>
                          <w:lang w:val="sr-Cyrl-RS"/>
                        </w:rPr>
                        <w:t xml:space="preserve"> и </w:t>
                      </w:r>
                      <w:r w:rsidRPr="00F22E7E">
                        <w:rPr>
                          <w:rFonts w:asciiTheme="minorHAnsi" w:hAnsiTheme="minorHAnsi" w:cstheme="minorHAnsi"/>
                          <w:color w:val="000000"/>
                          <w:spacing w:val="-14"/>
                          <w:sz w:val="22"/>
                          <w:szCs w:val="22"/>
                          <w:lang w:val="sr-Cyrl-RS"/>
                        </w:rPr>
                        <w:t>административних</w:t>
                      </w:r>
                      <w:r w:rsidRPr="00F22E7E">
                        <w:rPr>
                          <w:rFonts w:asciiTheme="minorHAnsi" w:hAnsiTheme="minorHAnsi" w:cstheme="minorHAnsi"/>
                          <w:color w:val="000000"/>
                          <w:sz w:val="22"/>
                          <w:szCs w:val="22"/>
                          <w:lang w:val="sr-Cyrl-RS"/>
                        </w:rPr>
                        <w:t xml:space="preserve"> капацитета за управљање људским ресурсима</w:t>
                      </w:r>
                    </w:p>
                  </w:txbxContent>
                </v:textbox>
              </v:roundrect>
            </w:pict>
          </mc:Fallback>
        </mc:AlternateContent>
      </w:r>
      <w:r w:rsidR="00F22E7E" w:rsidRPr="000F0299">
        <w:rPr>
          <w:noProof/>
          <w:lang w:val="en-US" w:eastAsia="en-US" w:bidi="ar-SA"/>
        </w:rPr>
        <mc:AlternateContent>
          <mc:Choice Requires="wps">
            <w:drawing>
              <wp:anchor distT="0" distB="0" distL="114300" distR="114300" simplePos="0" relativeHeight="251447808" behindDoc="0" locked="0" layoutInCell="1" allowOverlap="1" wp14:anchorId="25632A67" wp14:editId="74A73589">
                <wp:simplePos x="0" y="0"/>
                <wp:positionH relativeFrom="column">
                  <wp:posOffset>10183495</wp:posOffset>
                </wp:positionH>
                <wp:positionV relativeFrom="paragraph">
                  <wp:posOffset>140970</wp:posOffset>
                </wp:positionV>
                <wp:extent cx="1276350" cy="2499360"/>
                <wp:effectExtent l="19050" t="19050" r="19050" b="15240"/>
                <wp:wrapNone/>
                <wp:docPr id="121" name="Text Box 376"/>
                <wp:cNvGraphicFramePr/>
                <a:graphic xmlns:a="http://schemas.openxmlformats.org/drawingml/2006/main">
                  <a:graphicData uri="http://schemas.microsoft.com/office/word/2010/wordprocessingShape">
                    <wps:wsp>
                      <wps:cNvSpPr/>
                      <wps:spPr>
                        <a:xfrm>
                          <a:off x="0" y="0"/>
                          <a:ext cx="1276350" cy="2499360"/>
                        </a:xfrm>
                        <a:prstGeom prst="roundRect">
                          <a:avLst>
                            <a:gd name="adj" fmla="val 16667"/>
                          </a:avLst>
                        </a:prstGeom>
                        <a:solidFill>
                          <a:srgbClr val="FFFFFF"/>
                        </a:solidFill>
                        <a:ln w="28575">
                          <a:solidFill>
                            <a:schemeClr val="bg1">
                              <a:lumMod val="65000"/>
                            </a:schemeClr>
                          </a:solidFill>
                          <a:round/>
                        </a:ln>
                        <a:effectLst/>
                      </wps:spPr>
                      <wps:txbx>
                        <w:txbxContent>
                          <w:p w14:paraId="5F2344D9" w14:textId="77777777" w:rsidR="00876FFE" w:rsidRPr="008E12BD" w:rsidRDefault="00876FFE" w:rsidP="00E11DAD">
                            <w:pPr>
                              <w:pStyle w:val="FrameContents"/>
                              <w:spacing w:before="0" w:after="0"/>
                              <w:ind w:firstLine="0"/>
                              <w:jc w:val="center"/>
                              <w:rPr>
                                <w:rFonts w:asciiTheme="minorHAnsi" w:hAnsiTheme="minorHAnsi" w:cstheme="minorHAnsi"/>
                                <w:color w:val="000000"/>
                                <w:spacing w:val="-16"/>
                                <w:sz w:val="22"/>
                                <w:szCs w:val="22"/>
                                <w:lang w:val="sr-Cyrl-RS"/>
                              </w:rPr>
                            </w:pPr>
                            <w:r w:rsidRPr="008E12BD">
                              <w:rPr>
                                <w:rFonts w:asciiTheme="minorHAnsi" w:hAnsiTheme="minorHAnsi" w:cstheme="minorHAnsi"/>
                                <w:color w:val="000000"/>
                                <w:sz w:val="22"/>
                                <w:szCs w:val="22"/>
                                <w:lang w:val="sr-Cyrl-RS"/>
                              </w:rPr>
                              <w:t xml:space="preserve">Унапређење програма стручног </w:t>
                            </w:r>
                            <w:r w:rsidRPr="008E12BD">
                              <w:rPr>
                                <w:rFonts w:asciiTheme="minorHAnsi" w:hAnsiTheme="minorHAnsi" w:cstheme="minorHAnsi"/>
                                <w:color w:val="000000"/>
                                <w:spacing w:val="-10"/>
                                <w:sz w:val="22"/>
                                <w:szCs w:val="22"/>
                                <w:lang w:val="sr-Cyrl-RS"/>
                              </w:rPr>
                              <w:t>усавршавања</w:t>
                            </w:r>
                            <w:r w:rsidRPr="008E12BD">
                              <w:rPr>
                                <w:rFonts w:asciiTheme="minorHAnsi" w:hAnsiTheme="minorHAnsi" w:cstheme="minorHAnsi"/>
                                <w:color w:val="000000"/>
                                <w:sz w:val="22"/>
                                <w:szCs w:val="22"/>
                                <w:lang w:val="sr-Cyrl-RS"/>
                              </w:rPr>
                              <w:t xml:space="preserve"> у државним органима и органима јединица локалне самоуправе и начина њиховог </w:t>
                            </w:r>
                            <w:r w:rsidRPr="008E12BD">
                              <w:rPr>
                                <w:rFonts w:asciiTheme="minorHAnsi" w:hAnsiTheme="minorHAnsi" w:cstheme="minorHAnsi"/>
                                <w:color w:val="000000"/>
                                <w:spacing w:val="-12"/>
                                <w:sz w:val="22"/>
                                <w:szCs w:val="22"/>
                                <w:lang w:val="sr-Cyrl-RS"/>
                              </w:rPr>
                              <w:t>организовања</w:t>
                            </w:r>
                            <w:r w:rsidRPr="008E12BD">
                              <w:rPr>
                                <w:rFonts w:asciiTheme="minorHAnsi" w:hAnsiTheme="minorHAnsi" w:cstheme="minorHAnsi"/>
                                <w:color w:val="000000"/>
                                <w:sz w:val="22"/>
                                <w:szCs w:val="22"/>
                                <w:lang w:val="sr-Cyrl-RS"/>
                              </w:rPr>
                              <w:t xml:space="preserve"> </w:t>
                            </w:r>
                            <w:r w:rsidRPr="008E12BD">
                              <w:rPr>
                                <w:rFonts w:asciiTheme="minorHAnsi" w:hAnsiTheme="minorHAnsi" w:cstheme="minorHAnsi"/>
                                <w:color w:val="000000"/>
                                <w:spacing w:val="-10"/>
                                <w:sz w:val="22"/>
                                <w:szCs w:val="22"/>
                                <w:lang w:val="sr-Cyrl-RS"/>
                              </w:rPr>
                              <w:t>и спровођења</w:t>
                            </w:r>
                          </w:p>
                          <w:p w14:paraId="67152D7E" w14:textId="77777777" w:rsidR="00876FFE" w:rsidRPr="008E12BD" w:rsidRDefault="00876FFE" w:rsidP="00780827">
                            <w:pPr>
                              <w:pStyle w:val="FrameContents"/>
                              <w:spacing w:before="0" w:after="0"/>
                              <w:rPr>
                                <w:rFonts w:asciiTheme="minorHAnsi" w:hAnsiTheme="minorHAnsi" w:cstheme="minorHAnsi"/>
                                <w:sz w:val="22"/>
                                <w:szCs w:val="22"/>
                                <w:lang w:val="sr-Cyrl-RS"/>
                              </w:rPr>
                            </w:pPr>
                          </w:p>
                        </w:txbxContent>
                      </wps:txbx>
                      <wps:bodyPr wrap="square" lIns="72000" tIns="36000" rIns="72000" bIns="3600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632A67" id="Text Box 376" o:spid="_x0000_s1134" style="position:absolute;left:0;text-align:left;margin-left:801.85pt;margin-top:11.1pt;width:100.5pt;height:196.8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" strokecolor="#a5a5a5 [2092]" strokeweight="2.25pt">
                <v:textbox inset="2mm,1mm,2mm,1mm">
                  <w:txbxContent>
                    <w:p w14:paraId="5F2344D9" w14:textId="77777777" w:rsidR="00876FFE" w:rsidRPr="008E12BD" w:rsidRDefault="00876FFE" w:rsidP="00E11DAD">
                      <w:pPr>
                        <w:pStyle w:val="FrameContents"/>
                        <w:spacing w:before="0" w:after="0"/>
                        <w:ind w:firstLine="0"/>
                        <w:jc w:val="center"/>
                        <w:rPr>
                          <w:rFonts w:asciiTheme="minorHAnsi" w:hAnsiTheme="minorHAnsi" w:cstheme="minorHAnsi"/>
                          <w:color w:val="000000"/>
                          <w:spacing w:val="-16"/>
                          <w:sz w:val="22"/>
                          <w:szCs w:val="22"/>
                          <w:lang w:val="sr-Cyrl-RS"/>
                        </w:rPr>
                      </w:pPr>
                      <w:r w:rsidRPr="008E12BD">
                        <w:rPr>
                          <w:rFonts w:asciiTheme="minorHAnsi" w:hAnsiTheme="minorHAnsi" w:cstheme="minorHAnsi"/>
                          <w:color w:val="000000"/>
                          <w:sz w:val="22"/>
                          <w:szCs w:val="22"/>
                          <w:lang w:val="sr-Cyrl-RS"/>
                        </w:rPr>
                        <w:t xml:space="preserve">Унапређење </w:t>
                      </w:r>
                      <w:r w:rsidRPr="008E12BD">
                        <w:rPr>
                          <w:rFonts w:asciiTheme="minorHAnsi" w:hAnsiTheme="minorHAnsi" w:cstheme="minorHAnsi"/>
                          <w:color w:val="000000"/>
                          <w:sz w:val="22"/>
                          <w:szCs w:val="22"/>
                          <w:lang w:val="sr-Cyrl-RS"/>
                        </w:rPr>
                        <w:t xml:space="preserve">програма стручног </w:t>
                      </w:r>
                      <w:r w:rsidRPr="008E12BD">
                        <w:rPr>
                          <w:rFonts w:asciiTheme="minorHAnsi" w:hAnsiTheme="minorHAnsi" w:cstheme="minorHAnsi"/>
                          <w:color w:val="000000"/>
                          <w:spacing w:val="-10"/>
                          <w:sz w:val="22"/>
                          <w:szCs w:val="22"/>
                          <w:lang w:val="sr-Cyrl-RS"/>
                        </w:rPr>
                        <w:t>усавршавања</w:t>
                      </w:r>
                      <w:r w:rsidRPr="008E12BD">
                        <w:rPr>
                          <w:rFonts w:asciiTheme="minorHAnsi" w:hAnsiTheme="minorHAnsi" w:cstheme="minorHAnsi"/>
                          <w:color w:val="000000"/>
                          <w:sz w:val="22"/>
                          <w:szCs w:val="22"/>
                          <w:lang w:val="sr-Cyrl-RS"/>
                        </w:rPr>
                        <w:t xml:space="preserve"> у државним органима и органима јединица локалне самоуправе и начина њиховог </w:t>
                      </w:r>
                      <w:r w:rsidRPr="008E12BD">
                        <w:rPr>
                          <w:rFonts w:asciiTheme="minorHAnsi" w:hAnsiTheme="minorHAnsi" w:cstheme="minorHAnsi"/>
                          <w:color w:val="000000"/>
                          <w:spacing w:val="-12"/>
                          <w:sz w:val="22"/>
                          <w:szCs w:val="22"/>
                          <w:lang w:val="sr-Cyrl-RS"/>
                        </w:rPr>
                        <w:t>организовања</w:t>
                      </w:r>
                      <w:r w:rsidRPr="008E12BD">
                        <w:rPr>
                          <w:rFonts w:asciiTheme="minorHAnsi" w:hAnsiTheme="minorHAnsi" w:cstheme="minorHAnsi"/>
                          <w:color w:val="000000"/>
                          <w:sz w:val="22"/>
                          <w:szCs w:val="22"/>
                          <w:lang w:val="sr-Cyrl-RS"/>
                        </w:rPr>
                        <w:t xml:space="preserve"> </w:t>
                      </w:r>
                      <w:r w:rsidRPr="008E12BD">
                        <w:rPr>
                          <w:rFonts w:asciiTheme="minorHAnsi" w:hAnsiTheme="minorHAnsi" w:cstheme="minorHAnsi"/>
                          <w:color w:val="000000"/>
                          <w:spacing w:val="-10"/>
                          <w:sz w:val="22"/>
                          <w:szCs w:val="22"/>
                          <w:lang w:val="sr-Cyrl-RS"/>
                        </w:rPr>
                        <w:t>и спровођења</w:t>
                      </w:r>
                    </w:p>
                    <w:p w14:paraId="67152D7E" w14:textId="77777777" w:rsidR="00876FFE" w:rsidRPr="008E12BD" w:rsidRDefault="00876FFE" w:rsidP="00780827">
                      <w:pPr>
                        <w:pStyle w:val="FrameContents"/>
                        <w:spacing w:before="0" w:after="0"/>
                        <w:rPr>
                          <w:rFonts w:asciiTheme="minorHAnsi" w:hAnsiTheme="minorHAnsi" w:cstheme="minorHAnsi"/>
                          <w:sz w:val="22"/>
                          <w:szCs w:val="22"/>
                          <w:lang w:val="sr-Cyrl-RS"/>
                        </w:rPr>
                      </w:pPr>
                    </w:p>
                  </w:txbxContent>
                </v:textbox>
              </v:roundrect>
            </w:pict>
          </mc:Fallback>
        </mc:AlternateContent>
      </w:r>
      <w:r w:rsidR="00F22E7E" w:rsidRPr="000F0299">
        <w:rPr>
          <w:noProof/>
          <w:lang w:val="en-US" w:eastAsia="en-US" w:bidi="ar-SA"/>
        </w:rPr>
        <mc:AlternateContent>
          <mc:Choice Requires="wps">
            <w:drawing>
              <wp:anchor distT="0" distB="0" distL="114300" distR="114300" simplePos="0" relativeHeight="251446784" behindDoc="0" locked="0" layoutInCell="1" allowOverlap="1" wp14:anchorId="6C906E35" wp14:editId="4DBDBDCF">
                <wp:simplePos x="0" y="0"/>
                <wp:positionH relativeFrom="column">
                  <wp:posOffset>11551285</wp:posOffset>
                </wp:positionH>
                <wp:positionV relativeFrom="paragraph">
                  <wp:posOffset>137160</wp:posOffset>
                </wp:positionV>
                <wp:extent cx="1171575" cy="2499360"/>
                <wp:effectExtent l="19050" t="19050" r="28575" b="15240"/>
                <wp:wrapNone/>
                <wp:docPr id="119" name="Text Box 378"/>
                <wp:cNvGraphicFramePr/>
                <a:graphic xmlns:a="http://schemas.openxmlformats.org/drawingml/2006/main">
                  <a:graphicData uri="http://schemas.microsoft.com/office/word/2010/wordprocessingShape">
                    <wps:wsp>
                      <wps:cNvSpPr/>
                      <wps:spPr>
                        <a:xfrm>
                          <a:off x="0" y="0"/>
                          <a:ext cx="1171575" cy="2499360"/>
                        </a:xfrm>
                        <a:prstGeom prst="roundRect">
                          <a:avLst>
                            <a:gd name="adj" fmla="val 16667"/>
                          </a:avLst>
                        </a:prstGeom>
                        <a:solidFill>
                          <a:srgbClr val="FFFFFF"/>
                        </a:solidFill>
                        <a:ln w="28575">
                          <a:solidFill>
                            <a:schemeClr val="bg1">
                              <a:lumMod val="65000"/>
                            </a:schemeClr>
                          </a:solidFill>
                          <a:round/>
                        </a:ln>
                        <a:effectLst/>
                      </wps:spPr>
                      <wps:txbx>
                        <w:txbxContent>
                          <w:p w14:paraId="3E6E5257" w14:textId="12B667E5" w:rsidR="00876FFE" w:rsidRPr="008E12BD" w:rsidRDefault="00876FFE" w:rsidP="00E11DAD">
                            <w:pPr>
                              <w:pStyle w:val="FrameContents"/>
                              <w:spacing w:before="0" w:after="0"/>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 xml:space="preserve">Унапређење </w:t>
                            </w:r>
                            <w:r w:rsidRPr="008E12BD">
                              <w:rPr>
                                <w:rFonts w:asciiTheme="minorHAnsi" w:hAnsiTheme="minorHAnsi" w:cstheme="minorHAnsi"/>
                                <w:color w:val="000000"/>
                                <w:spacing w:val="-8"/>
                                <w:sz w:val="22"/>
                                <w:szCs w:val="22"/>
                                <w:lang w:val="sr-Cyrl-RS"/>
                              </w:rPr>
                              <w:t>нормативног</w:t>
                            </w:r>
                            <w:r w:rsidRPr="008E12BD">
                              <w:rPr>
                                <w:rFonts w:asciiTheme="minorHAnsi" w:hAnsiTheme="minorHAnsi" w:cstheme="minorHAnsi"/>
                                <w:color w:val="000000"/>
                                <w:sz w:val="22"/>
                                <w:szCs w:val="22"/>
                                <w:lang w:val="sr-Cyrl-RS"/>
                              </w:rPr>
                              <w:t xml:space="preserve"> оквира који уређује област стручног </w:t>
                            </w:r>
                            <w:r w:rsidRPr="008E12BD">
                              <w:rPr>
                                <w:rFonts w:asciiTheme="minorHAnsi" w:hAnsiTheme="minorHAnsi" w:cstheme="minorHAnsi"/>
                                <w:color w:val="000000"/>
                                <w:spacing w:val="-16"/>
                                <w:sz w:val="22"/>
                                <w:szCs w:val="22"/>
                                <w:lang w:val="sr-Cyrl-RS"/>
                              </w:rPr>
                              <w:t xml:space="preserve">усавршавања </w:t>
                            </w:r>
                            <w:r w:rsidRPr="008E12BD">
                              <w:rPr>
                                <w:rFonts w:asciiTheme="minorHAnsi" w:hAnsiTheme="minorHAnsi" w:cstheme="minorHAnsi"/>
                                <w:color w:val="000000"/>
                                <w:sz w:val="22"/>
                                <w:szCs w:val="22"/>
                                <w:lang w:val="sr-Cyrl-RS"/>
                              </w:rPr>
                              <w:t>у јавној управи</w:t>
                            </w:r>
                          </w:p>
                        </w:txbxContent>
                      </wps:txbx>
                      <wps:bodyPr wrap="square" lIns="72000" tIns="36000" rIns="72000" bIns="36000" anchor="ctr">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C906E35" id="_x0000_s1135" style="position:absolute;left:0;text-align:left;margin-left:909.55pt;margin-top:10.8pt;width:92.25pt;height:196.8pt;z-index:25144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" strokecolor="#a5a5a5 [2092]" strokeweight="2.25pt">
                <v:textbox inset="2mm,1mm,2mm,1mm">
                  <w:txbxContent>
                    <w:p w14:paraId="3E6E5257" w14:textId="12B667E5" w:rsidR="00876FFE" w:rsidRPr="008E12BD" w:rsidRDefault="00876FFE" w:rsidP="00E11DAD">
                      <w:pPr>
                        <w:pStyle w:val="FrameContents"/>
                        <w:spacing w:before="0" w:after="0"/>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 xml:space="preserve">Унапређење </w:t>
                      </w:r>
                      <w:r w:rsidRPr="008E12BD">
                        <w:rPr>
                          <w:rFonts w:asciiTheme="minorHAnsi" w:hAnsiTheme="minorHAnsi" w:cstheme="minorHAnsi"/>
                          <w:color w:val="000000"/>
                          <w:spacing w:val="-8"/>
                          <w:sz w:val="22"/>
                          <w:szCs w:val="22"/>
                          <w:lang w:val="sr-Cyrl-RS"/>
                        </w:rPr>
                        <w:t>нормативног</w:t>
                      </w:r>
                      <w:r w:rsidRPr="008E12BD">
                        <w:rPr>
                          <w:rFonts w:asciiTheme="minorHAnsi" w:hAnsiTheme="minorHAnsi" w:cstheme="minorHAnsi"/>
                          <w:color w:val="000000"/>
                          <w:sz w:val="22"/>
                          <w:szCs w:val="22"/>
                          <w:lang w:val="sr-Cyrl-RS"/>
                        </w:rPr>
                        <w:t xml:space="preserve"> оквира који уређује област стручног </w:t>
                      </w:r>
                      <w:r w:rsidRPr="008E12BD">
                        <w:rPr>
                          <w:rFonts w:asciiTheme="minorHAnsi" w:hAnsiTheme="minorHAnsi" w:cstheme="minorHAnsi"/>
                          <w:color w:val="000000"/>
                          <w:spacing w:val="-16"/>
                          <w:sz w:val="22"/>
                          <w:szCs w:val="22"/>
                          <w:lang w:val="sr-Cyrl-RS"/>
                        </w:rPr>
                        <w:t xml:space="preserve">усавршавања </w:t>
                      </w:r>
                      <w:r w:rsidRPr="008E12BD">
                        <w:rPr>
                          <w:rFonts w:asciiTheme="minorHAnsi" w:hAnsiTheme="minorHAnsi" w:cstheme="minorHAnsi"/>
                          <w:color w:val="000000"/>
                          <w:sz w:val="22"/>
                          <w:szCs w:val="22"/>
                          <w:lang w:val="sr-Cyrl-RS"/>
                        </w:rPr>
                        <w:t>у јавној управи</w:t>
                      </w:r>
                    </w:p>
                  </w:txbxContent>
                </v:textbox>
              </v:roundrect>
            </w:pict>
          </mc:Fallback>
        </mc:AlternateContent>
      </w:r>
      <w:r w:rsidR="00F22E7E" w:rsidRPr="000F0299">
        <w:rPr>
          <w:noProof/>
          <w:lang w:val="en-US" w:eastAsia="en-US" w:bidi="ar-SA"/>
        </w:rPr>
        <mc:AlternateContent>
          <mc:Choice Requires="wps">
            <w:drawing>
              <wp:anchor distT="0" distB="0" distL="114300" distR="114300" simplePos="0" relativeHeight="251448832" behindDoc="0" locked="0" layoutInCell="1" allowOverlap="1" wp14:anchorId="0AEF38BC" wp14:editId="03277D8D">
                <wp:simplePos x="0" y="0"/>
                <wp:positionH relativeFrom="column">
                  <wp:posOffset>8914765</wp:posOffset>
                </wp:positionH>
                <wp:positionV relativeFrom="paragraph">
                  <wp:posOffset>137160</wp:posOffset>
                </wp:positionV>
                <wp:extent cx="1171575" cy="2499360"/>
                <wp:effectExtent l="19050" t="19050" r="28575" b="15240"/>
                <wp:wrapNone/>
                <wp:docPr id="123" name="Text Box 375"/>
                <wp:cNvGraphicFramePr/>
                <a:graphic xmlns:a="http://schemas.openxmlformats.org/drawingml/2006/main">
                  <a:graphicData uri="http://schemas.microsoft.com/office/word/2010/wordprocessingShape">
                    <wps:wsp>
                      <wps:cNvSpPr/>
                      <wps:spPr>
                        <a:xfrm>
                          <a:off x="0" y="0"/>
                          <a:ext cx="1171575" cy="2499360"/>
                        </a:xfrm>
                        <a:prstGeom prst="roundRect">
                          <a:avLst>
                            <a:gd name="adj" fmla="val 16667"/>
                          </a:avLst>
                        </a:prstGeom>
                        <a:solidFill>
                          <a:srgbClr val="FFFFFF"/>
                        </a:solidFill>
                        <a:ln w="28575">
                          <a:solidFill>
                            <a:schemeClr val="bg1">
                              <a:lumMod val="65000"/>
                            </a:schemeClr>
                          </a:solidFill>
                          <a:round/>
                        </a:ln>
                        <a:effectLst/>
                      </wps:spPr>
                      <wps:txbx>
                        <w:txbxContent>
                          <w:p w14:paraId="54F546C7" w14:textId="63036D8C" w:rsidR="00876FFE" w:rsidRPr="008E12BD" w:rsidRDefault="00876FFE" w:rsidP="00E11DAD">
                            <w:pPr>
                              <w:pStyle w:val="FrameContents"/>
                              <w:spacing w:before="0" w:after="0"/>
                              <w:ind w:firstLine="0"/>
                              <w:jc w:val="center"/>
                              <w:rPr>
                                <w:rFonts w:asciiTheme="minorHAnsi" w:hAnsiTheme="minorHAnsi" w:cstheme="minorHAnsi"/>
                                <w:sz w:val="22"/>
                                <w:szCs w:val="22"/>
                                <w:lang w:val="sr-Cyrl-RS"/>
                              </w:rPr>
                            </w:pPr>
                            <w:r w:rsidRPr="008E12BD">
                              <w:rPr>
                                <w:rFonts w:asciiTheme="minorHAnsi" w:hAnsiTheme="minorHAnsi" w:cstheme="minorHAnsi"/>
                                <w:color w:val="000000"/>
                                <w:sz w:val="22"/>
                                <w:szCs w:val="22"/>
                                <w:lang w:val="sr-Cyrl-RS"/>
                              </w:rPr>
                              <w:t xml:space="preserve">Унапређење </w:t>
                            </w:r>
                            <w:r w:rsidRPr="008E12BD">
                              <w:rPr>
                                <w:rFonts w:asciiTheme="minorHAnsi" w:hAnsiTheme="minorHAnsi" w:cstheme="minorHAnsi"/>
                                <w:color w:val="000000"/>
                                <w:spacing w:val="-8"/>
                                <w:sz w:val="22"/>
                                <w:szCs w:val="22"/>
                                <w:lang w:val="sr-Cyrl-RS"/>
                              </w:rPr>
                              <w:t>јединственог</w:t>
                            </w:r>
                            <w:r w:rsidRPr="008E12BD">
                              <w:rPr>
                                <w:rFonts w:asciiTheme="minorHAnsi" w:hAnsiTheme="minorHAnsi" w:cstheme="minorHAnsi"/>
                                <w:color w:val="000000"/>
                                <w:sz w:val="22"/>
                                <w:szCs w:val="22"/>
                                <w:lang w:val="sr-Cyrl-RS"/>
                              </w:rPr>
                              <w:t xml:space="preserve"> система стручног </w:t>
                            </w:r>
                            <w:r w:rsidRPr="008E12BD">
                              <w:rPr>
                                <w:rFonts w:asciiTheme="minorHAnsi" w:hAnsiTheme="minorHAnsi" w:cstheme="minorHAnsi"/>
                                <w:color w:val="000000"/>
                                <w:spacing w:val="-16"/>
                                <w:sz w:val="22"/>
                                <w:szCs w:val="22"/>
                                <w:lang w:val="sr-Cyrl-RS"/>
                              </w:rPr>
                              <w:t>усавршавања</w:t>
                            </w:r>
                            <w:r w:rsidRPr="008E12BD">
                              <w:rPr>
                                <w:rFonts w:asciiTheme="minorHAnsi" w:hAnsiTheme="minorHAnsi" w:cstheme="minorHAnsi"/>
                                <w:color w:val="000000"/>
                                <w:sz w:val="22"/>
                                <w:szCs w:val="22"/>
                                <w:lang w:val="sr-Cyrl-RS"/>
                              </w:rPr>
                              <w:t xml:space="preserve"> у државним органима и органима јединица локалне самоуправе</w:t>
                            </w:r>
                          </w:p>
                        </w:txbxContent>
                      </wps:txbx>
                      <wps:bodyPr wrap="square" lIns="72000" tIns="36000" rIns="72000" bIns="36000" anchor="ctr">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AEF38BC" id="Text Box 375" o:spid="_x0000_s1136" style="position:absolute;left:0;text-align:left;margin-left:701.95pt;margin-top:10.8pt;width:92.25pt;height:196.8pt;z-index:25144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" strokecolor="#a5a5a5 [2092]" strokeweight="2.25pt">
                <v:textbox inset="2mm,1mm,2mm,1mm">
                  <w:txbxContent>
                    <w:p w14:paraId="54F546C7" w14:textId="63036D8C" w:rsidR="00876FFE" w:rsidRPr="008E12BD" w:rsidRDefault="00876FFE" w:rsidP="00E11DAD">
                      <w:pPr>
                        <w:pStyle w:val="FrameContents"/>
                        <w:spacing w:before="0" w:after="0"/>
                        <w:ind w:firstLine="0"/>
                        <w:jc w:val="center"/>
                        <w:rPr>
                          <w:rFonts w:asciiTheme="minorHAnsi" w:hAnsiTheme="minorHAnsi" w:cstheme="minorHAnsi"/>
                          <w:sz w:val="22"/>
                          <w:szCs w:val="22"/>
                          <w:lang w:val="sr-Cyrl-RS"/>
                        </w:rPr>
                      </w:pPr>
                      <w:r w:rsidRPr="008E12BD">
                        <w:rPr>
                          <w:rFonts w:asciiTheme="minorHAnsi" w:hAnsiTheme="minorHAnsi" w:cstheme="minorHAnsi"/>
                          <w:color w:val="000000"/>
                          <w:sz w:val="22"/>
                          <w:szCs w:val="22"/>
                          <w:lang w:val="sr-Cyrl-RS"/>
                        </w:rPr>
                        <w:t xml:space="preserve">Унапређење </w:t>
                      </w:r>
                      <w:r w:rsidRPr="008E12BD">
                        <w:rPr>
                          <w:rFonts w:asciiTheme="minorHAnsi" w:hAnsiTheme="minorHAnsi" w:cstheme="minorHAnsi"/>
                          <w:color w:val="000000"/>
                          <w:spacing w:val="-8"/>
                          <w:sz w:val="22"/>
                          <w:szCs w:val="22"/>
                          <w:lang w:val="sr-Cyrl-RS"/>
                        </w:rPr>
                        <w:t>јединственог</w:t>
                      </w:r>
                      <w:r w:rsidRPr="008E12BD">
                        <w:rPr>
                          <w:rFonts w:asciiTheme="minorHAnsi" w:hAnsiTheme="minorHAnsi" w:cstheme="minorHAnsi"/>
                          <w:color w:val="000000"/>
                          <w:sz w:val="22"/>
                          <w:szCs w:val="22"/>
                          <w:lang w:val="sr-Cyrl-RS"/>
                        </w:rPr>
                        <w:t xml:space="preserve"> система стручног </w:t>
                      </w:r>
                      <w:r w:rsidRPr="008E12BD">
                        <w:rPr>
                          <w:rFonts w:asciiTheme="minorHAnsi" w:hAnsiTheme="minorHAnsi" w:cstheme="minorHAnsi"/>
                          <w:color w:val="000000"/>
                          <w:spacing w:val="-16"/>
                          <w:sz w:val="22"/>
                          <w:szCs w:val="22"/>
                          <w:lang w:val="sr-Cyrl-RS"/>
                        </w:rPr>
                        <w:t>усавршавања</w:t>
                      </w:r>
                      <w:r w:rsidRPr="008E12BD">
                        <w:rPr>
                          <w:rFonts w:asciiTheme="minorHAnsi" w:hAnsiTheme="minorHAnsi" w:cstheme="minorHAnsi"/>
                          <w:color w:val="000000"/>
                          <w:sz w:val="22"/>
                          <w:szCs w:val="22"/>
                          <w:lang w:val="sr-Cyrl-RS"/>
                        </w:rPr>
                        <w:t xml:space="preserve"> у државним органима и органима јединица локалне самоуправе</w:t>
                      </w:r>
                    </w:p>
                  </w:txbxContent>
                </v:textbox>
              </v:roundrect>
            </w:pict>
          </mc:Fallback>
        </mc:AlternateContent>
      </w:r>
      <w:r w:rsidR="00F22E7E" w:rsidRPr="000F0299">
        <w:rPr>
          <w:noProof/>
          <w:lang w:val="en-US" w:eastAsia="en-US" w:bidi="ar-SA"/>
        </w:rPr>
        <mc:AlternateContent>
          <mc:Choice Requires="wps">
            <w:drawing>
              <wp:anchor distT="0" distB="0" distL="114300" distR="114300" simplePos="0" relativeHeight="251442688" behindDoc="0" locked="0" layoutInCell="1" allowOverlap="1" wp14:anchorId="2EB9FAE5" wp14:editId="1D084B6A">
                <wp:simplePos x="0" y="0"/>
                <wp:positionH relativeFrom="column">
                  <wp:posOffset>7379335</wp:posOffset>
                </wp:positionH>
                <wp:positionV relativeFrom="paragraph">
                  <wp:posOffset>156210</wp:posOffset>
                </wp:positionV>
                <wp:extent cx="1230630" cy="2410460"/>
                <wp:effectExtent l="19050" t="19050" r="26670" b="27940"/>
                <wp:wrapNone/>
                <wp:docPr id="105" name="Text Box 362"/>
                <wp:cNvGraphicFramePr/>
                <a:graphic xmlns:a="http://schemas.openxmlformats.org/drawingml/2006/main">
                  <a:graphicData uri="http://schemas.microsoft.com/office/word/2010/wordprocessingShape">
                    <wps:wsp>
                      <wps:cNvSpPr/>
                      <wps:spPr>
                        <a:xfrm>
                          <a:off x="0" y="0"/>
                          <a:ext cx="1230630" cy="2410460"/>
                        </a:xfrm>
                        <a:prstGeom prst="roundRect">
                          <a:avLst>
                            <a:gd name="adj" fmla="val 16667"/>
                          </a:avLst>
                        </a:prstGeom>
                        <a:solidFill>
                          <a:srgbClr val="FFFFFF"/>
                        </a:solidFill>
                        <a:ln w="28575">
                          <a:solidFill>
                            <a:schemeClr val="bg1">
                              <a:lumMod val="65000"/>
                            </a:schemeClr>
                          </a:solidFill>
                          <a:round/>
                        </a:ln>
                        <a:effectLst/>
                      </wps:spPr>
                      <wps:txbx>
                        <w:txbxContent>
                          <w:p w14:paraId="00D8BFE4" w14:textId="627AB753" w:rsidR="00876FFE" w:rsidRPr="008E12BD" w:rsidRDefault="00876FFE" w:rsidP="00E11DAD">
                            <w:pPr>
                              <w:pStyle w:val="FrameContents"/>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Јачање професионализације лица на положају/</w:t>
                            </w:r>
                            <w:r w:rsidRPr="008E12BD">
                              <w:rPr>
                                <w:rFonts w:asciiTheme="minorHAnsi" w:hAnsiTheme="minorHAnsi" w:cstheme="minorHAnsi"/>
                                <w:color w:val="000000"/>
                                <w:sz w:val="22"/>
                                <w:szCs w:val="22"/>
                                <w:lang w:val="sr-Cyrl-RS"/>
                              </w:rPr>
                              <w:br/>
                              <w:t>руководилаца</w:t>
                            </w:r>
                          </w:p>
                        </w:txbxContent>
                      </wps:txbx>
                      <wps:bodyPr wrap="square" lIns="72000" tIns="36000" rIns="72000" bIns="36000" anchor="ctr">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B9FAE5" id="Text Box 362" o:spid="_x0000_s1137" style="position:absolute;left:0;text-align:left;margin-left:581.05pt;margin-top:12.3pt;width:96.9pt;height:189.8pt;z-index:25144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" strokecolor="#a5a5a5 [2092]" strokeweight="2.25pt">
                <v:textbox inset="2mm,1mm,2mm,1mm">
                  <w:txbxContent>
                    <w:p w14:paraId="00D8BFE4" w14:textId="627AB753" w:rsidR="00876FFE" w:rsidRPr="008E12BD" w:rsidRDefault="00876FFE" w:rsidP="00E11DAD">
                      <w:pPr>
                        <w:pStyle w:val="FrameContents"/>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 xml:space="preserve">Јачање </w:t>
                      </w:r>
                      <w:r w:rsidRPr="008E12BD">
                        <w:rPr>
                          <w:rFonts w:asciiTheme="minorHAnsi" w:hAnsiTheme="minorHAnsi" w:cstheme="minorHAnsi"/>
                          <w:color w:val="000000"/>
                          <w:sz w:val="22"/>
                          <w:szCs w:val="22"/>
                          <w:lang w:val="sr-Cyrl-RS"/>
                        </w:rPr>
                        <w:t>професионализације лица на положају/</w:t>
                      </w:r>
                      <w:r w:rsidRPr="008E12BD">
                        <w:rPr>
                          <w:rFonts w:asciiTheme="minorHAnsi" w:hAnsiTheme="minorHAnsi" w:cstheme="minorHAnsi"/>
                          <w:color w:val="000000"/>
                          <w:sz w:val="22"/>
                          <w:szCs w:val="22"/>
                          <w:lang w:val="sr-Cyrl-RS"/>
                        </w:rPr>
                        <w:br/>
                        <w:t>руководилаца</w:t>
                      </w:r>
                    </w:p>
                  </w:txbxContent>
                </v:textbox>
              </v:roundrect>
            </w:pict>
          </mc:Fallback>
        </mc:AlternateContent>
      </w:r>
      <w:r w:rsidR="00F22E7E" w:rsidRPr="000F0299">
        <w:rPr>
          <w:noProof/>
          <w:lang w:val="en-US" w:eastAsia="en-US" w:bidi="ar-SA"/>
        </w:rPr>
        <mc:AlternateContent>
          <mc:Choice Requires="wps">
            <w:drawing>
              <wp:anchor distT="0" distB="0" distL="114300" distR="114300" simplePos="0" relativeHeight="251444736" behindDoc="0" locked="0" layoutInCell="1" allowOverlap="1" wp14:anchorId="1A05C335" wp14:editId="6241D608">
                <wp:simplePos x="0" y="0"/>
                <wp:positionH relativeFrom="column">
                  <wp:posOffset>4361815</wp:posOffset>
                </wp:positionH>
                <wp:positionV relativeFrom="paragraph">
                  <wp:posOffset>140970</wp:posOffset>
                </wp:positionV>
                <wp:extent cx="1306830" cy="2410460"/>
                <wp:effectExtent l="19050" t="19050" r="26670" b="27940"/>
                <wp:wrapNone/>
                <wp:docPr id="111" name="Text Box 360"/>
                <wp:cNvGraphicFramePr/>
                <a:graphic xmlns:a="http://schemas.openxmlformats.org/drawingml/2006/main">
                  <a:graphicData uri="http://schemas.microsoft.com/office/word/2010/wordprocessingShape">
                    <wps:wsp>
                      <wps:cNvSpPr/>
                      <wps:spPr>
                        <a:xfrm>
                          <a:off x="0" y="0"/>
                          <a:ext cx="1306830" cy="2410460"/>
                        </a:xfrm>
                        <a:prstGeom prst="roundRect">
                          <a:avLst>
                            <a:gd name="adj" fmla="val 16667"/>
                          </a:avLst>
                        </a:prstGeom>
                        <a:solidFill>
                          <a:srgbClr val="FFFFFF"/>
                        </a:solidFill>
                        <a:ln w="28575">
                          <a:solidFill>
                            <a:schemeClr val="bg1">
                              <a:lumMod val="65000"/>
                            </a:schemeClr>
                          </a:solidFill>
                          <a:round/>
                        </a:ln>
                        <a:effectLst/>
                      </wps:spPr>
                      <wps:txbx>
                        <w:txbxContent>
                          <w:p w14:paraId="062FC1CC" w14:textId="77777777" w:rsidR="00876FFE" w:rsidRPr="008E12BD" w:rsidRDefault="00876FFE" w:rsidP="00E11DAD">
                            <w:pPr>
                              <w:pStyle w:val="FrameContents"/>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Развој  окружења за ефикасног, иновативног и мотивисаног државног службеника</w:t>
                            </w:r>
                          </w:p>
                        </w:txbxContent>
                      </wps:txbx>
                      <wps:bodyPr wrap="square" lIns="72000" tIns="36000" rIns="72000" bIns="36000" anchor="ctr">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05C335" id="Text Box 360" o:spid="_x0000_s1138" style="position:absolute;left:0;text-align:left;margin-left:343.45pt;margin-top:11.1pt;width:102.9pt;height:189.8pt;z-index:25144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" strokecolor="#a5a5a5 [2092]" strokeweight="2.25pt">
                <v:textbox inset="2mm,1mm,2mm,1mm">
                  <w:txbxContent>
                    <w:p w14:paraId="062FC1CC" w14:textId="77777777" w:rsidR="00876FFE" w:rsidRPr="008E12BD" w:rsidRDefault="00876FFE" w:rsidP="00E11DAD">
                      <w:pPr>
                        <w:pStyle w:val="FrameContents"/>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 xml:space="preserve">Развој  </w:t>
                      </w:r>
                      <w:r w:rsidRPr="008E12BD">
                        <w:rPr>
                          <w:rFonts w:asciiTheme="minorHAnsi" w:hAnsiTheme="minorHAnsi" w:cstheme="minorHAnsi"/>
                          <w:color w:val="000000"/>
                          <w:sz w:val="22"/>
                          <w:szCs w:val="22"/>
                          <w:lang w:val="sr-Cyrl-RS"/>
                        </w:rPr>
                        <w:t>окружења за ефикасног, иновативног и мотивисаног државног службеника</w:t>
                      </w:r>
                    </w:p>
                  </w:txbxContent>
                </v:textbox>
              </v:roundrect>
            </w:pict>
          </mc:Fallback>
        </mc:AlternateContent>
      </w:r>
      <w:r w:rsidR="00F22E7E" w:rsidRPr="000F0299">
        <w:rPr>
          <w:noProof/>
          <w:lang w:val="en-US" w:eastAsia="en-US" w:bidi="ar-SA"/>
        </w:rPr>
        <mc:AlternateContent>
          <mc:Choice Requires="wps">
            <w:drawing>
              <wp:anchor distT="0" distB="0" distL="114300" distR="114300" simplePos="0" relativeHeight="251445760" behindDoc="0" locked="0" layoutInCell="1" allowOverlap="1" wp14:anchorId="7C444EF1" wp14:editId="12BCEE6A">
                <wp:simplePos x="0" y="0"/>
                <wp:positionH relativeFrom="column">
                  <wp:posOffset>978536</wp:posOffset>
                </wp:positionH>
                <wp:positionV relativeFrom="paragraph">
                  <wp:posOffset>140970</wp:posOffset>
                </wp:positionV>
                <wp:extent cx="1489710" cy="2411730"/>
                <wp:effectExtent l="19050" t="19050" r="15240" b="26670"/>
                <wp:wrapNone/>
                <wp:docPr id="117" name="Text Box 12"/>
                <wp:cNvGraphicFramePr/>
                <a:graphic xmlns:a="http://schemas.openxmlformats.org/drawingml/2006/main">
                  <a:graphicData uri="http://schemas.microsoft.com/office/word/2010/wordprocessingShape">
                    <wps:wsp>
                      <wps:cNvSpPr/>
                      <wps:spPr>
                        <a:xfrm>
                          <a:off x="0" y="0"/>
                          <a:ext cx="1489710" cy="2411730"/>
                        </a:xfrm>
                        <a:prstGeom prst="roundRect">
                          <a:avLst>
                            <a:gd name="adj" fmla="val 16667"/>
                          </a:avLst>
                        </a:prstGeom>
                        <a:solidFill>
                          <a:srgbClr val="FFFFFF"/>
                        </a:solidFill>
                        <a:ln w="28575">
                          <a:solidFill>
                            <a:schemeClr val="bg1">
                              <a:lumMod val="65000"/>
                            </a:schemeClr>
                          </a:solidFill>
                          <a:round/>
                        </a:ln>
                        <a:effectLst/>
                      </wps:spPr>
                      <wps:txbx>
                        <w:txbxContent>
                          <w:p w14:paraId="2032DFCA" w14:textId="230EA13A" w:rsidR="00876FFE" w:rsidRPr="008E12BD" w:rsidRDefault="00876FFE" w:rsidP="00E11DAD">
                            <w:pPr>
                              <w:pStyle w:val="FrameContents"/>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Унапређење процеса селекције и увођење новозапослених у посао</w:t>
                            </w:r>
                          </w:p>
                        </w:txbxContent>
                      </wps:txbx>
                      <wps:bodyPr wrap="square" lIns="72000" tIns="36000" rIns="72000" bIns="36000" anchor="ctr">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444EF1" id="Text Box 12" o:spid="_x0000_s1139" style="position:absolute;left:0;text-align:left;margin-left:77.05pt;margin-top:11.1pt;width:117.3pt;height:189.9pt;z-index:25144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" strokecolor="#a5a5a5 [2092]" strokeweight="2.25pt">
                <v:textbox inset="2mm,1mm,2mm,1mm">
                  <w:txbxContent>
                    <w:p w14:paraId="2032DFCA" w14:textId="230EA13A" w:rsidR="00876FFE" w:rsidRPr="008E12BD" w:rsidRDefault="00876FFE" w:rsidP="00E11DAD">
                      <w:pPr>
                        <w:pStyle w:val="FrameContents"/>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Унапређење процеса селекције и увођење новозапослених у посао</w:t>
                      </w:r>
                    </w:p>
                  </w:txbxContent>
                </v:textbox>
              </v:roundrect>
            </w:pict>
          </mc:Fallback>
        </mc:AlternateContent>
      </w:r>
      <w:r w:rsidR="00F22E7E" w:rsidRPr="000F0299">
        <w:rPr>
          <w:noProof/>
          <w:lang w:val="en-US" w:eastAsia="en-US" w:bidi="ar-SA"/>
        </w:rPr>
        <mc:AlternateContent>
          <mc:Choice Requires="wps">
            <w:drawing>
              <wp:anchor distT="0" distB="0" distL="114300" distR="114300" simplePos="0" relativeHeight="251441664" behindDoc="0" locked="0" layoutInCell="1" allowOverlap="1" wp14:anchorId="2E515EFE" wp14:editId="7513157F">
                <wp:simplePos x="0" y="0"/>
                <wp:positionH relativeFrom="column">
                  <wp:posOffset>-621664</wp:posOffset>
                </wp:positionH>
                <wp:positionV relativeFrom="paragraph">
                  <wp:posOffset>156210</wp:posOffset>
                </wp:positionV>
                <wp:extent cx="1383030" cy="2411730"/>
                <wp:effectExtent l="19050" t="19050" r="26670" b="26670"/>
                <wp:wrapNone/>
                <wp:docPr id="115" name="Text Box 377"/>
                <wp:cNvGraphicFramePr/>
                <a:graphic xmlns:a="http://schemas.openxmlformats.org/drawingml/2006/main">
                  <a:graphicData uri="http://schemas.microsoft.com/office/word/2010/wordprocessingShape">
                    <wps:wsp>
                      <wps:cNvSpPr/>
                      <wps:spPr>
                        <a:xfrm>
                          <a:off x="0" y="0"/>
                          <a:ext cx="1383030" cy="2411730"/>
                        </a:xfrm>
                        <a:prstGeom prst="roundRect">
                          <a:avLst>
                            <a:gd name="adj" fmla="val 16667"/>
                          </a:avLst>
                        </a:prstGeom>
                        <a:solidFill>
                          <a:srgbClr val="FFFFFF"/>
                        </a:solidFill>
                        <a:ln w="28575">
                          <a:solidFill>
                            <a:schemeClr val="bg1">
                              <a:lumMod val="65000"/>
                            </a:schemeClr>
                          </a:solidFill>
                          <a:round/>
                        </a:ln>
                        <a:effectLst/>
                      </wps:spPr>
                      <wps:txbx>
                        <w:txbxContent>
                          <w:p w14:paraId="00EFAF96" w14:textId="4D8C8672" w:rsidR="00876FFE" w:rsidRPr="008E12BD" w:rsidRDefault="00876FFE" w:rsidP="00E11DAD">
                            <w:pPr>
                              <w:pStyle w:val="FrameContents"/>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Унапређење кадровског планирања и промовисање државне управе као пожељног послодавца</w:t>
                            </w:r>
                          </w:p>
                        </w:txbxContent>
                      </wps:txbx>
                      <wps:bodyPr wrap="square" anchor="ctr">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515EFE" id="Text Box 377" o:spid="_x0000_s1140" style="position:absolute;left:0;text-align:left;margin-left:-48.95pt;margin-top:12.3pt;width:108.9pt;height:189.9pt;z-index:25144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" strokecolor="#a5a5a5 [2092]" strokeweight="2.25pt">
                <v:textbox>
                  <w:txbxContent>
                    <w:p w14:paraId="00EFAF96" w14:textId="4D8C8672" w:rsidR="00876FFE" w:rsidRPr="008E12BD" w:rsidRDefault="00876FFE" w:rsidP="00E11DAD">
                      <w:pPr>
                        <w:pStyle w:val="FrameContents"/>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 xml:space="preserve">Унапређење </w:t>
                      </w:r>
                      <w:r w:rsidRPr="008E12BD">
                        <w:rPr>
                          <w:rFonts w:asciiTheme="minorHAnsi" w:hAnsiTheme="minorHAnsi" w:cstheme="minorHAnsi"/>
                          <w:color w:val="000000"/>
                          <w:sz w:val="22"/>
                          <w:szCs w:val="22"/>
                          <w:lang w:val="sr-Cyrl-RS"/>
                        </w:rPr>
                        <w:t>кадровског планирања и промовисање државне управе као пожељног послодавца</w:t>
                      </w:r>
                    </w:p>
                  </w:txbxContent>
                </v:textbox>
              </v:roundrect>
            </w:pict>
          </mc:Fallback>
        </mc:AlternateContent>
      </w:r>
      <w:r w:rsidR="00780827" w:rsidRPr="000F0299">
        <w:rPr>
          <w:noProof/>
          <w:lang w:val="en-US" w:eastAsia="en-US" w:bidi="ar-SA"/>
        </w:rPr>
        <mc:AlternateContent>
          <mc:Choice Requires="wps">
            <w:drawing>
              <wp:anchor distT="0" distB="0" distL="114300" distR="114300" simplePos="0" relativeHeight="251467264" behindDoc="0" locked="0" layoutInCell="1" allowOverlap="1" wp14:anchorId="75D19884" wp14:editId="782CA3CB">
                <wp:simplePos x="0" y="0"/>
                <wp:positionH relativeFrom="column">
                  <wp:posOffset>2590165</wp:posOffset>
                </wp:positionH>
                <wp:positionV relativeFrom="paragraph">
                  <wp:posOffset>137160</wp:posOffset>
                </wp:positionV>
                <wp:extent cx="1506855" cy="2411730"/>
                <wp:effectExtent l="19050" t="19050" r="17145" b="26670"/>
                <wp:wrapNone/>
                <wp:docPr id="106" name="Text Box 12"/>
                <wp:cNvGraphicFramePr/>
                <a:graphic xmlns:a="http://schemas.openxmlformats.org/drawingml/2006/main">
                  <a:graphicData uri="http://schemas.microsoft.com/office/word/2010/wordprocessingShape">
                    <wps:wsp>
                      <wps:cNvSpPr/>
                      <wps:spPr>
                        <a:xfrm>
                          <a:off x="0" y="0"/>
                          <a:ext cx="1506855" cy="2411730"/>
                        </a:xfrm>
                        <a:prstGeom prst="roundRect">
                          <a:avLst>
                            <a:gd name="adj" fmla="val 16667"/>
                          </a:avLst>
                        </a:prstGeom>
                        <a:solidFill>
                          <a:srgbClr val="FFFFFF"/>
                        </a:solidFill>
                        <a:ln w="28575">
                          <a:solidFill>
                            <a:schemeClr val="bg1">
                              <a:lumMod val="65000"/>
                            </a:schemeClr>
                          </a:solidFill>
                          <a:round/>
                        </a:ln>
                        <a:effectLst/>
                      </wps:spPr>
                      <wps:txbx>
                        <w:txbxContent>
                          <w:p w14:paraId="5ABFF946" w14:textId="77777777" w:rsidR="00876FFE" w:rsidRPr="008E12BD" w:rsidRDefault="00876FFE" w:rsidP="00E11DAD">
                            <w:pPr>
                              <w:pStyle w:val="FrameContents"/>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Унапређење поступка попуњавања положаја заснованог на заслугама и увођење у посао</w:t>
                            </w:r>
                          </w:p>
                        </w:txbxContent>
                      </wps:txbx>
                      <wps:bodyPr lIns="72000" tIns="36000" rIns="72000" bIns="36000" anchor="ctr">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D19884" id="_x0000_s1141" style="position:absolute;left:0;text-align:left;margin-left:203.95pt;margin-top:10.8pt;width:118.65pt;height:189.9pt;z-index:25146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" strokecolor="#a5a5a5 [2092]" strokeweight="2.25pt">
                <v:textbox inset="2mm,1mm,2mm,1mm">
                  <w:txbxContent>
                    <w:p w14:paraId="5ABFF946" w14:textId="77777777" w:rsidR="00876FFE" w:rsidRPr="008E12BD" w:rsidRDefault="00876FFE" w:rsidP="00E11DAD">
                      <w:pPr>
                        <w:pStyle w:val="FrameContents"/>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 xml:space="preserve">Унапређење </w:t>
                      </w:r>
                      <w:r w:rsidRPr="008E12BD">
                        <w:rPr>
                          <w:rFonts w:asciiTheme="minorHAnsi" w:hAnsiTheme="minorHAnsi" w:cstheme="minorHAnsi"/>
                          <w:color w:val="000000"/>
                          <w:sz w:val="22"/>
                          <w:szCs w:val="22"/>
                          <w:lang w:val="sr-Cyrl-RS"/>
                        </w:rPr>
                        <w:t>поступка попуњавања положаја заснованог на заслугама и увођење у посао</w:t>
                      </w:r>
                    </w:p>
                  </w:txbxContent>
                </v:textbox>
              </v:roundrect>
            </w:pict>
          </mc:Fallback>
        </mc:AlternateContent>
      </w:r>
    </w:p>
    <w:p w14:paraId="63E0D730" w14:textId="77777777" w:rsidR="00780827" w:rsidRPr="000F0299" w:rsidRDefault="00780827" w:rsidP="00780827">
      <w:pPr>
        <w:rPr>
          <w:rFonts w:eastAsia="Times New Roman"/>
        </w:rPr>
      </w:pPr>
    </w:p>
    <w:p w14:paraId="43AC436C" w14:textId="77777777" w:rsidR="00780827" w:rsidRPr="000F0299" w:rsidRDefault="00780827" w:rsidP="00780827">
      <w:pPr>
        <w:rPr>
          <w:rFonts w:eastAsia="Times New Roman"/>
        </w:rPr>
      </w:pPr>
    </w:p>
    <w:p w14:paraId="42A37128" w14:textId="77777777" w:rsidR="00780827" w:rsidRPr="000F0299" w:rsidRDefault="00780827" w:rsidP="00780827">
      <w:pPr>
        <w:rPr>
          <w:rFonts w:eastAsia="Times New Roman"/>
        </w:rPr>
      </w:pPr>
    </w:p>
    <w:p w14:paraId="1338ED17" w14:textId="77777777" w:rsidR="00780827" w:rsidRPr="000F0299" w:rsidRDefault="00780827" w:rsidP="00780827">
      <w:pPr>
        <w:rPr>
          <w:rFonts w:eastAsia="Times New Roman"/>
        </w:rPr>
      </w:pPr>
    </w:p>
    <w:p w14:paraId="09EC51DE" w14:textId="77777777" w:rsidR="00780827" w:rsidRPr="000F0299" w:rsidRDefault="00780827" w:rsidP="00780827">
      <w:pPr>
        <w:rPr>
          <w:rFonts w:eastAsia="Times New Roman"/>
        </w:rPr>
      </w:pPr>
    </w:p>
    <w:p w14:paraId="4A0D6234" w14:textId="77777777" w:rsidR="00780827" w:rsidRPr="000F0299" w:rsidRDefault="00780827" w:rsidP="00780827">
      <w:pPr>
        <w:rPr>
          <w:rFonts w:eastAsia="Times New Roman"/>
        </w:rPr>
      </w:pPr>
    </w:p>
    <w:p w14:paraId="7E7D3356" w14:textId="77777777" w:rsidR="00780827" w:rsidRPr="000F0299" w:rsidRDefault="00780827" w:rsidP="00780827">
      <w:pPr>
        <w:rPr>
          <w:rFonts w:eastAsia="Times New Roman"/>
        </w:rPr>
      </w:pPr>
    </w:p>
    <w:p w14:paraId="24277144" w14:textId="234544F5" w:rsidR="00780827" w:rsidRPr="000F0299" w:rsidRDefault="00780827" w:rsidP="00780827">
      <w:pPr>
        <w:rPr>
          <w:rFonts w:eastAsia="Times New Roman"/>
        </w:rPr>
      </w:pPr>
    </w:p>
    <w:p w14:paraId="1830FD78" w14:textId="5F015436" w:rsidR="00780827" w:rsidRPr="000F0299" w:rsidRDefault="00780827" w:rsidP="00780827">
      <w:pPr>
        <w:rPr>
          <w:rFonts w:eastAsia="Times New Roman"/>
        </w:rPr>
      </w:pPr>
    </w:p>
    <w:p w14:paraId="2A78AE2D" w14:textId="18C4D3B1" w:rsidR="00780827" w:rsidRPr="000F0299" w:rsidRDefault="00F22E7E" w:rsidP="00780827">
      <w:pPr>
        <w:rPr>
          <w:rFonts w:eastAsia="Times New Roman"/>
        </w:rPr>
      </w:pPr>
      <w:r w:rsidRPr="000F0299">
        <w:rPr>
          <w:noProof/>
          <w:lang w:val="en-US" w:eastAsia="en-US" w:bidi="ar-SA"/>
        </w:rPr>
        <mc:AlternateContent>
          <mc:Choice Requires="wps">
            <w:drawing>
              <wp:anchor distT="0" distB="0" distL="114300" distR="114300" simplePos="0" relativeHeight="251472384" behindDoc="0" locked="0" layoutInCell="1" allowOverlap="1" wp14:anchorId="77911196" wp14:editId="639489EC">
                <wp:simplePos x="0" y="0"/>
                <wp:positionH relativeFrom="column">
                  <wp:posOffset>13349605</wp:posOffset>
                </wp:positionH>
                <wp:positionV relativeFrom="paragraph">
                  <wp:posOffset>114935</wp:posOffset>
                </wp:positionV>
                <wp:extent cx="0" cy="252000"/>
                <wp:effectExtent l="76200" t="38100" r="57150" b="15240"/>
                <wp:wrapNone/>
                <wp:docPr id="149" name="Straight Arrow Connector 149"/>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19050">
                          <a:solidFill>
                            <a:schemeClr val="bg1">
                              <a:lumMod val="65000"/>
                            </a:schemeClr>
                          </a:solidFill>
                          <a:miter/>
                          <a:tailEnd type="triangle" w="med" len="med"/>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DFEAF0" id="Straight Arrow Connector 149" o:spid="_x0000_s1026" type="#_x0000_t32" style="position:absolute;margin-left:1051.15pt;margin-top:9.05pt;width:0;height:19.85pt;flip:y;z-index:25147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" strokecolor="#a5a5a5 [2092]" strokeweight="1.5pt">
                <v:stroke endarrow="block" joinstyle="miter"/>
              </v:shape>
            </w:pict>
          </mc:Fallback>
        </mc:AlternateContent>
      </w:r>
      <w:r w:rsidRPr="000F0299">
        <w:rPr>
          <w:noProof/>
          <w:lang w:val="en-US" w:eastAsia="en-US" w:bidi="ar-SA"/>
        </w:rPr>
        <mc:AlternateContent>
          <mc:Choice Requires="wps">
            <w:drawing>
              <wp:anchor distT="0" distB="0" distL="114300" distR="114300" simplePos="0" relativeHeight="251471360" behindDoc="0" locked="0" layoutInCell="1" allowOverlap="1" wp14:anchorId="645DCC33" wp14:editId="547C0138">
                <wp:simplePos x="0" y="0"/>
                <wp:positionH relativeFrom="column">
                  <wp:posOffset>12130405</wp:posOffset>
                </wp:positionH>
                <wp:positionV relativeFrom="paragraph">
                  <wp:posOffset>99695</wp:posOffset>
                </wp:positionV>
                <wp:extent cx="0" cy="252000"/>
                <wp:effectExtent l="76200" t="38100" r="57150" b="15240"/>
                <wp:wrapNone/>
                <wp:docPr id="131" name="Straight Arrow Connector 131"/>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19050">
                          <a:solidFill>
                            <a:schemeClr val="bg1">
                              <a:lumMod val="65000"/>
                            </a:schemeClr>
                          </a:solidFill>
                          <a:miter/>
                          <a:tailEnd type="triangle" w="med" len="med"/>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9B53A7" id="Straight Arrow Connector 131" o:spid="_x0000_s1026" type="#_x0000_t32" style="position:absolute;margin-left:955.15pt;margin-top:7.85pt;width:0;height:19.85pt;flip:y;z-index:25147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" strokecolor="#a5a5a5 [2092]" strokeweight="1.5pt">
                <v:stroke endarrow="block" joinstyle="miter"/>
              </v:shape>
            </w:pict>
          </mc:Fallback>
        </mc:AlternateContent>
      </w:r>
      <w:r w:rsidRPr="000F0299">
        <w:rPr>
          <w:noProof/>
          <w:lang w:val="en-US" w:eastAsia="en-US" w:bidi="ar-SA"/>
        </w:rPr>
        <mc:AlternateContent>
          <mc:Choice Requires="wps">
            <w:drawing>
              <wp:anchor distT="0" distB="0" distL="114300" distR="114300" simplePos="0" relativeHeight="251470336" behindDoc="0" locked="0" layoutInCell="1" allowOverlap="1" wp14:anchorId="40FFD19A" wp14:editId="34479D0F">
                <wp:simplePos x="0" y="0"/>
                <wp:positionH relativeFrom="column">
                  <wp:posOffset>10819765</wp:posOffset>
                </wp:positionH>
                <wp:positionV relativeFrom="paragraph">
                  <wp:posOffset>114935</wp:posOffset>
                </wp:positionV>
                <wp:extent cx="0" cy="252000"/>
                <wp:effectExtent l="76200" t="38100" r="57150" b="15240"/>
                <wp:wrapNone/>
                <wp:docPr id="130" name="Straight Arrow Connector 130"/>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19050">
                          <a:solidFill>
                            <a:schemeClr val="bg1">
                              <a:lumMod val="65000"/>
                            </a:schemeClr>
                          </a:solidFill>
                          <a:miter/>
                          <a:tailEnd type="triangle" w="med" len="med"/>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FB10FD" id="Straight Arrow Connector 130" o:spid="_x0000_s1026" type="#_x0000_t32" style="position:absolute;margin-left:851.95pt;margin-top:9.05pt;width:0;height:19.85pt;flip:y;z-index:25147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" strokecolor="#a5a5a5 [2092]" strokeweight="1.5pt">
                <v:stroke endarrow="block" joinstyle="miter"/>
              </v:shape>
            </w:pict>
          </mc:Fallback>
        </mc:AlternateContent>
      </w:r>
      <w:r w:rsidR="007869BB" w:rsidRPr="000F0299">
        <w:rPr>
          <w:noProof/>
          <w:lang w:val="en-US" w:eastAsia="en-US" w:bidi="ar-SA"/>
        </w:rPr>
        <mc:AlternateContent>
          <mc:Choice Requires="wps">
            <w:drawing>
              <wp:anchor distT="0" distB="0" distL="114300" distR="114300" simplePos="0" relativeHeight="251469312" behindDoc="0" locked="0" layoutInCell="1" allowOverlap="1" wp14:anchorId="1F26FE5F" wp14:editId="3A610883">
                <wp:simplePos x="0" y="0"/>
                <wp:positionH relativeFrom="column">
                  <wp:posOffset>9539605</wp:posOffset>
                </wp:positionH>
                <wp:positionV relativeFrom="paragraph">
                  <wp:posOffset>99695</wp:posOffset>
                </wp:positionV>
                <wp:extent cx="0" cy="252000"/>
                <wp:effectExtent l="76200" t="38100" r="57150" b="15240"/>
                <wp:wrapNone/>
                <wp:docPr id="127" name="Straight Arrow Connector 127"/>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19050">
                          <a:solidFill>
                            <a:schemeClr val="bg1">
                              <a:lumMod val="65000"/>
                            </a:schemeClr>
                          </a:solidFill>
                          <a:miter/>
                          <a:tailEnd type="triangle" w="med" len="med"/>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0EDA7E" id="Straight Arrow Connector 127" o:spid="_x0000_s1026" type="#_x0000_t32" style="position:absolute;margin-left:751.15pt;margin-top:7.85pt;width:0;height:19.85pt;flip:y;z-index:25146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" strokecolor="#a5a5a5 [2092]" strokeweight="1.5pt">
                <v:stroke endarrow="block" joinstyle="miter"/>
              </v:shape>
            </w:pict>
          </mc:Fallback>
        </mc:AlternateContent>
      </w:r>
    </w:p>
    <w:p w14:paraId="72BEB60F" w14:textId="6BBF79B3" w:rsidR="00780827" w:rsidRPr="000F0299" w:rsidRDefault="00894BCD" w:rsidP="00780827">
      <w:pPr>
        <w:rPr>
          <w:rFonts w:eastAsia="Times New Roman"/>
        </w:rPr>
      </w:pPr>
      <w:r>
        <w:rPr>
          <w:noProof/>
          <w:lang w:val="en-US" w:eastAsia="en-US" w:bidi="ar-SA"/>
        </w:rPr>
        <mc:AlternateContent>
          <mc:Choice Requires="wps">
            <w:drawing>
              <wp:anchor distT="0" distB="0" distL="114300" distR="114300" simplePos="0" relativeHeight="251986432" behindDoc="0" locked="0" layoutInCell="1" allowOverlap="1" wp14:anchorId="7B20BE67" wp14:editId="37906F0B">
                <wp:simplePos x="0" y="0"/>
                <wp:positionH relativeFrom="column">
                  <wp:posOffset>8934501</wp:posOffset>
                </wp:positionH>
                <wp:positionV relativeFrom="paragraph">
                  <wp:posOffset>143500</wp:posOffset>
                </wp:positionV>
                <wp:extent cx="1177925" cy="2474595"/>
                <wp:effectExtent l="19050" t="19050" r="22225" b="20955"/>
                <wp:wrapNone/>
                <wp:docPr id="97" name="Text Box 416"/>
                <wp:cNvGraphicFramePr/>
                <a:graphic xmlns:a="http://schemas.openxmlformats.org/drawingml/2006/main">
                  <a:graphicData uri="http://schemas.microsoft.com/office/word/2010/wordprocessingShape">
                    <wps:wsp>
                      <wps:cNvSpPr/>
                      <wps:spPr>
                        <a:xfrm>
                          <a:off x="0" y="0"/>
                          <a:ext cx="1177925" cy="2474595"/>
                        </a:xfrm>
                        <a:prstGeom prst="roundRect">
                          <a:avLst>
                            <a:gd name="adj" fmla="val 16667"/>
                          </a:avLst>
                        </a:prstGeom>
                        <a:solidFill>
                          <a:srgbClr val="FFFFFF"/>
                        </a:solidFill>
                        <a:ln w="28575">
                          <a:solidFill>
                            <a:schemeClr val="bg1">
                              <a:lumMod val="65000"/>
                            </a:schemeClr>
                          </a:solidFill>
                          <a:round/>
                        </a:ln>
                        <a:effectLst/>
                      </wps:spPr>
                      <wps:txbx>
                        <w:txbxContent>
                          <w:p w14:paraId="63163621" w14:textId="0F9BBA78" w:rsidR="00876FFE" w:rsidRPr="008E12BD" w:rsidRDefault="00876FFE" w:rsidP="00E11DAD">
                            <w:pPr>
                              <w:pStyle w:val="FrameContents"/>
                              <w:spacing w:before="0" w:after="0"/>
                              <w:ind w:firstLine="0"/>
                              <w:jc w:val="center"/>
                              <w:rPr>
                                <w:rFonts w:asciiTheme="minorHAnsi" w:hAnsiTheme="minorHAnsi" w:cstheme="minorHAnsi"/>
                                <w:color w:val="000000"/>
                                <w:spacing w:val="-16"/>
                                <w:sz w:val="22"/>
                                <w:szCs w:val="22"/>
                                <w:lang w:val="sr-Cyrl-RS"/>
                              </w:rPr>
                            </w:pPr>
                            <w:r w:rsidRPr="008E12BD">
                              <w:rPr>
                                <w:rFonts w:asciiTheme="minorHAnsi" w:hAnsiTheme="minorHAnsi" w:cstheme="minorHAnsi"/>
                                <w:color w:val="000000"/>
                                <w:spacing w:val="-16"/>
                                <w:sz w:val="22"/>
                                <w:szCs w:val="22"/>
                                <w:lang w:val="sr-Cyrl-RS"/>
                              </w:rPr>
                              <w:t>Успостављање</w:t>
                            </w:r>
                            <w:r w:rsidRPr="008E12BD">
                              <w:rPr>
                                <w:rFonts w:asciiTheme="minorHAnsi" w:hAnsiTheme="minorHAnsi" w:cstheme="minorHAnsi"/>
                                <w:color w:val="000000"/>
                                <w:sz w:val="22"/>
                                <w:szCs w:val="22"/>
                                <w:lang w:val="sr-Cyrl-RS"/>
                              </w:rPr>
                              <w:t xml:space="preserve"> система планирања </w:t>
                            </w:r>
                            <w:r w:rsidRPr="008E12BD">
                              <w:rPr>
                                <w:rFonts w:asciiTheme="minorHAnsi" w:hAnsiTheme="minorHAnsi" w:cstheme="minorHAnsi"/>
                                <w:color w:val="000000"/>
                                <w:spacing w:val="-10"/>
                                <w:sz w:val="22"/>
                                <w:szCs w:val="22"/>
                                <w:lang w:val="sr-Cyrl-RS"/>
                              </w:rPr>
                              <w:t>и управљања</w:t>
                            </w:r>
                            <w:r w:rsidRPr="008E12BD">
                              <w:rPr>
                                <w:rFonts w:asciiTheme="minorHAnsi" w:hAnsiTheme="minorHAnsi" w:cstheme="minorHAnsi"/>
                                <w:color w:val="000000"/>
                                <w:sz w:val="22"/>
                                <w:szCs w:val="22"/>
                                <w:lang w:val="sr-Cyrl-RS"/>
                              </w:rPr>
                              <w:t xml:space="preserve"> процесом </w:t>
                            </w:r>
                            <w:r w:rsidRPr="008E12BD">
                              <w:rPr>
                                <w:rFonts w:asciiTheme="minorHAnsi" w:hAnsiTheme="minorHAnsi" w:cstheme="minorHAnsi"/>
                                <w:color w:val="000000"/>
                                <w:spacing w:val="-12"/>
                                <w:sz w:val="22"/>
                                <w:szCs w:val="22"/>
                                <w:lang w:val="sr-Cyrl-RS"/>
                              </w:rPr>
                              <w:t xml:space="preserve">целоживотног </w:t>
                            </w:r>
                            <w:r w:rsidRPr="008E12BD">
                              <w:rPr>
                                <w:rFonts w:asciiTheme="minorHAnsi" w:hAnsiTheme="minorHAnsi" w:cstheme="minorHAnsi"/>
                                <w:color w:val="000000"/>
                                <w:sz w:val="22"/>
                                <w:szCs w:val="22"/>
                                <w:lang w:val="sr-Cyrl-RS"/>
                              </w:rPr>
                              <w:t xml:space="preserve">стручног </w:t>
                            </w:r>
                            <w:r w:rsidRPr="008E12BD">
                              <w:rPr>
                                <w:rFonts w:asciiTheme="minorHAnsi" w:hAnsiTheme="minorHAnsi" w:cstheme="minorHAnsi"/>
                                <w:color w:val="000000"/>
                                <w:spacing w:val="-8"/>
                                <w:sz w:val="22"/>
                                <w:szCs w:val="22"/>
                                <w:lang w:val="sr-Cyrl-RS"/>
                              </w:rPr>
                              <w:t>усавршавања</w:t>
                            </w:r>
                            <w:r w:rsidRPr="008E12BD">
                              <w:rPr>
                                <w:rFonts w:asciiTheme="minorHAnsi" w:hAnsiTheme="minorHAnsi" w:cstheme="minorHAnsi"/>
                                <w:color w:val="000000"/>
                                <w:sz w:val="22"/>
                                <w:szCs w:val="22"/>
                                <w:lang w:val="sr-Cyrl-RS"/>
                              </w:rPr>
                              <w:t xml:space="preserve"> </w:t>
                            </w:r>
                            <w:r w:rsidRPr="008E12BD">
                              <w:rPr>
                                <w:rFonts w:asciiTheme="minorHAnsi" w:hAnsiTheme="minorHAnsi" w:cstheme="minorHAnsi"/>
                                <w:color w:val="000000"/>
                                <w:spacing w:val="-18"/>
                                <w:sz w:val="22"/>
                                <w:szCs w:val="22"/>
                                <w:lang w:val="sr-Cyrl-RS"/>
                              </w:rPr>
                              <w:t>у јавној управи</w:t>
                            </w:r>
                            <w:r w:rsidRPr="008E12BD">
                              <w:rPr>
                                <w:rFonts w:asciiTheme="minorHAnsi" w:hAnsiTheme="minorHAnsi" w:cstheme="minorHAnsi"/>
                                <w:color w:val="000000"/>
                                <w:sz w:val="22"/>
                                <w:szCs w:val="22"/>
                                <w:lang w:val="sr-Cyrl-RS"/>
                              </w:rPr>
                              <w:t xml:space="preserve"> </w:t>
                            </w:r>
                            <w:r w:rsidRPr="008E12BD">
                              <w:rPr>
                                <w:rFonts w:asciiTheme="minorHAnsi" w:hAnsiTheme="minorHAnsi" w:cstheme="minorHAnsi"/>
                                <w:color w:val="000000"/>
                                <w:spacing w:val="-12"/>
                                <w:sz w:val="22"/>
                                <w:szCs w:val="22"/>
                                <w:lang w:val="sr-Cyrl-RS"/>
                              </w:rPr>
                              <w:t>(мастер план</w:t>
                            </w:r>
                            <w:r w:rsidRPr="008E12BD">
                              <w:rPr>
                                <w:rFonts w:asciiTheme="minorHAnsi" w:hAnsiTheme="minorHAnsi" w:cstheme="minorHAnsi"/>
                                <w:color w:val="000000"/>
                                <w:sz w:val="22"/>
                                <w:szCs w:val="22"/>
                                <w:lang w:val="sr-Cyrl-RS"/>
                              </w:rPr>
                              <w:t xml:space="preserve"> </w:t>
                            </w:r>
                            <w:r w:rsidRPr="008E12BD">
                              <w:rPr>
                                <w:rFonts w:asciiTheme="minorHAnsi" w:hAnsiTheme="minorHAnsi" w:cstheme="minorHAnsi"/>
                                <w:color w:val="000000"/>
                                <w:spacing w:val="-12"/>
                                <w:sz w:val="22"/>
                                <w:szCs w:val="22"/>
                                <w:lang w:val="sr-Cyrl-RS"/>
                              </w:rPr>
                              <w:t xml:space="preserve">целоживотног </w:t>
                            </w:r>
                            <w:r w:rsidRPr="008E12BD">
                              <w:rPr>
                                <w:rFonts w:asciiTheme="minorHAnsi" w:hAnsiTheme="minorHAnsi" w:cstheme="minorHAnsi"/>
                                <w:color w:val="000000"/>
                                <w:sz w:val="22"/>
                                <w:szCs w:val="22"/>
                                <w:lang w:val="sr-Cyrl-RS"/>
                              </w:rPr>
                              <w:t xml:space="preserve">стручног </w:t>
                            </w:r>
                            <w:r w:rsidRPr="008E12BD">
                              <w:rPr>
                                <w:rFonts w:asciiTheme="minorHAnsi" w:hAnsiTheme="minorHAnsi" w:cstheme="minorHAnsi"/>
                                <w:color w:val="000000"/>
                                <w:spacing w:val="-16"/>
                                <w:sz w:val="22"/>
                                <w:szCs w:val="22"/>
                                <w:lang w:val="sr-Cyrl-RS"/>
                              </w:rPr>
                              <w:t>усавршавања)</w:t>
                            </w:r>
                          </w:p>
                        </w:txbxContent>
                      </wps:txbx>
                      <wps:bodyPr wrap="square" lIns="36000" tIns="36000" rIns="36000" bIns="36000" anchor="ctr">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20BE67" id="Text Box 416" o:spid="_x0000_s1142" style="position:absolute;left:0;text-align:left;margin-left:703.5pt;margin-top:11.3pt;width:92.75pt;height:194.85pt;z-index:25198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" strokecolor="#a5a5a5 [2092]" strokeweight="2.25pt">
                <v:textbox inset="1mm,1mm,1mm,1mm">
                  <w:txbxContent>
                    <w:p w14:paraId="63163621" w14:textId="0F9BBA78" w:rsidR="00876FFE" w:rsidRPr="008E12BD" w:rsidRDefault="00876FFE" w:rsidP="00E11DAD">
                      <w:pPr>
                        <w:pStyle w:val="FrameContents"/>
                        <w:spacing w:before="0" w:after="0"/>
                        <w:ind w:firstLine="0"/>
                        <w:jc w:val="center"/>
                        <w:rPr>
                          <w:rFonts w:asciiTheme="minorHAnsi" w:hAnsiTheme="minorHAnsi" w:cstheme="minorHAnsi"/>
                          <w:color w:val="000000"/>
                          <w:spacing w:val="-16"/>
                          <w:sz w:val="22"/>
                          <w:szCs w:val="22"/>
                          <w:lang w:val="sr-Cyrl-RS"/>
                        </w:rPr>
                      </w:pPr>
                      <w:r w:rsidRPr="008E12BD">
                        <w:rPr>
                          <w:rFonts w:asciiTheme="minorHAnsi" w:hAnsiTheme="minorHAnsi" w:cstheme="minorHAnsi"/>
                          <w:color w:val="000000"/>
                          <w:spacing w:val="-16"/>
                          <w:sz w:val="22"/>
                          <w:szCs w:val="22"/>
                          <w:lang w:val="sr-Cyrl-RS"/>
                        </w:rPr>
                        <w:t>Успостављање</w:t>
                      </w:r>
                      <w:r w:rsidRPr="008E12BD">
                        <w:rPr>
                          <w:rFonts w:asciiTheme="minorHAnsi" w:hAnsiTheme="minorHAnsi" w:cstheme="minorHAnsi"/>
                          <w:color w:val="000000"/>
                          <w:sz w:val="22"/>
                          <w:szCs w:val="22"/>
                          <w:lang w:val="sr-Cyrl-RS"/>
                        </w:rPr>
                        <w:t xml:space="preserve"> </w:t>
                      </w:r>
                      <w:r w:rsidRPr="008E12BD">
                        <w:rPr>
                          <w:rFonts w:asciiTheme="minorHAnsi" w:hAnsiTheme="minorHAnsi" w:cstheme="minorHAnsi"/>
                          <w:color w:val="000000"/>
                          <w:sz w:val="22"/>
                          <w:szCs w:val="22"/>
                          <w:lang w:val="sr-Cyrl-RS"/>
                        </w:rPr>
                        <w:t xml:space="preserve">система планирања </w:t>
                      </w:r>
                      <w:r w:rsidRPr="008E12BD">
                        <w:rPr>
                          <w:rFonts w:asciiTheme="minorHAnsi" w:hAnsiTheme="minorHAnsi" w:cstheme="minorHAnsi"/>
                          <w:color w:val="000000"/>
                          <w:spacing w:val="-10"/>
                          <w:sz w:val="22"/>
                          <w:szCs w:val="22"/>
                          <w:lang w:val="sr-Cyrl-RS"/>
                        </w:rPr>
                        <w:t>и управљања</w:t>
                      </w:r>
                      <w:r w:rsidRPr="008E12BD">
                        <w:rPr>
                          <w:rFonts w:asciiTheme="minorHAnsi" w:hAnsiTheme="minorHAnsi" w:cstheme="minorHAnsi"/>
                          <w:color w:val="000000"/>
                          <w:sz w:val="22"/>
                          <w:szCs w:val="22"/>
                          <w:lang w:val="sr-Cyrl-RS"/>
                        </w:rPr>
                        <w:t xml:space="preserve"> процесом </w:t>
                      </w:r>
                      <w:r w:rsidRPr="008E12BD">
                        <w:rPr>
                          <w:rFonts w:asciiTheme="minorHAnsi" w:hAnsiTheme="minorHAnsi" w:cstheme="minorHAnsi"/>
                          <w:color w:val="000000"/>
                          <w:spacing w:val="-12"/>
                          <w:sz w:val="22"/>
                          <w:szCs w:val="22"/>
                          <w:lang w:val="sr-Cyrl-RS"/>
                        </w:rPr>
                        <w:t xml:space="preserve">целоживотног </w:t>
                      </w:r>
                      <w:r w:rsidRPr="008E12BD">
                        <w:rPr>
                          <w:rFonts w:asciiTheme="minorHAnsi" w:hAnsiTheme="minorHAnsi" w:cstheme="minorHAnsi"/>
                          <w:color w:val="000000"/>
                          <w:sz w:val="22"/>
                          <w:szCs w:val="22"/>
                          <w:lang w:val="sr-Cyrl-RS"/>
                        </w:rPr>
                        <w:t xml:space="preserve">стручног </w:t>
                      </w:r>
                      <w:r w:rsidRPr="008E12BD">
                        <w:rPr>
                          <w:rFonts w:asciiTheme="minorHAnsi" w:hAnsiTheme="minorHAnsi" w:cstheme="minorHAnsi"/>
                          <w:color w:val="000000"/>
                          <w:spacing w:val="-8"/>
                          <w:sz w:val="22"/>
                          <w:szCs w:val="22"/>
                          <w:lang w:val="sr-Cyrl-RS"/>
                        </w:rPr>
                        <w:t>усавршавања</w:t>
                      </w:r>
                      <w:r w:rsidRPr="008E12BD">
                        <w:rPr>
                          <w:rFonts w:asciiTheme="minorHAnsi" w:hAnsiTheme="minorHAnsi" w:cstheme="minorHAnsi"/>
                          <w:color w:val="000000"/>
                          <w:sz w:val="22"/>
                          <w:szCs w:val="22"/>
                          <w:lang w:val="sr-Cyrl-RS"/>
                        </w:rPr>
                        <w:t xml:space="preserve"> </w:t>
                      </w:r>
                      <w:r w:rsidRPr="008E12BD">
                        <w:rPr>
                          <w:rFonts w:asciiTheme="minorHAnsi" w:hAnsiTheme="minorHAnsi" w:cstheme="minorHAnsi"/>
                          <w:color w:val="000000"/>
                          <w:spacing w:val="-18"/>
                          <w:sz w:val="22"/>
                          <w:szCs w:val="22"/>
                          <w:lang w:val="sr-Cyrl-RS"/>
                        </w:rPr>
                        <w:t>у јавној управи</w:t>
                      </w:r>
                      <w:r w:rsidRPr="008E12BD">
                        <w:rPr>
                          <w:rFonts w:asciiTheme="minorHAnsi" w:hAnsiTheme="minorHAnsi" w:cstheme="minorHAnsi"/>
                          <w:color w:val="000000"/>
                          <w:sz w:val="22"/>
                          <w:szCs w:val="22"/>
                          <w:lang w:val="sr-Cyrl-RS"/>
                        </w:rPr>
                        <w:t xml:space="preserve"> </w:t>
                      </w:r>
                      <w:r w:rsidRPr="008E12BD">
                        <w:rPr>
                          <w:rFonts w:asciiTheme="minorHAnsi" w:hAnsiTheme="minorHAnsi" w:cstheme="minorHAnsi"/>
                          <w:color w:val="000000"/>
                          <w:spacing w:val="-12"/>
                          <w:sz w:val="22"/>
                          <w:szCs w:val="22"/>
                          <w:lang w:val="sr-Cyrl-RS"/>
                        </w:rPr>
                        <w:t>(мастер план</w:t>
                      </w:r>
                      <w:r w:rsidRPr="008E12BD">
                        <w:rPr>
                          <w:rFonts w:asciiTheme="minorHAnsi" w:hAnsiTheme="minorHAnsi" w:cstheme="minorHAnsi"/>
                          <w:color w:val="000000"/>
                          <w:sz w:val="22"/>
                          <w:szCs w:val="22"/>
                          <w:lang w:val="sr-Cyrl-RS"/>
                        </w:rPr>
                        <w:t xml:space="preserve"> </w:t>
                      </w:r>
                      <w:r w:rsidRPr="008E12BD">
                        <w:rPr>
                          <w:rFonts w:asciiTheme="minorHAnsi" w:hAnsiTheme="minorHAnsi" w:cstheme="minorHAnsi"/>
                          <w:color w:val="000000"/>
                          <w:spacing w:val="-12"/>
                          <w:sz w:val="22"/>
                          <w:szCs w:val="22"/>
                          <w:lang w:val="sr-Cyrl-RS"/>
                        </w:rPr>
                        <w:t xml:space="preserve">целоживотног </w:t>
                      </w:r>
                      <w:r w:rsidRPr="008E12BD">
                        <w:rPr>
                          <w:rFonts w:asciiTheme="minorHAnsi" w:hAnsiTheme="minorHAnsi" w:cstheme="minorHAnsi"/>
                          <w:color w:val="000000"/>
                          <w:sz w:val="22"/>
                          <w:szCs w:val="22"/>
                          <w:lang w:val="sr-Cyrl-RS"/>
                        </w:rPr>
                        <w:t xml:space="preserve">стручног </w:t>
                      </w:r>
                      <w:r w:rsidRPr="008E12BD">
                        <w:rPr>
                          <w:rFonts w:asciiTheme="minorHAnsi" w:hAnsiTheme="minorHAnsi" w:cstheme="minorHAnsi"/>
                          <w:color w:val="000000"/>
                          <w:spacing w:val="-16"/>
                          <w:sz w:val="22"/>
                          <w:szCs w:val="22"/>
                          <w:lang w:val="sr-Cyrl-RS"/>
                        </w:rPr>
                        <w:t>усавршавања)</w:t>
                      </w:r>
                    </w:p>
                  </w:txbxContent>
                </v:textbox>
              </v:roundrect>
            </w:pict>
          </mc:Fallback>
        </mc:AlternateContent>
      </w:r>
      <w:r w:rsidR="00B65195" w:rsidRPr="000F0299">
        <w:rPr>
          <w:noProof/>
          <w:lang w:val="en-US" w:eastAsia="en-US" w:bidi="ar-SA"/>
        </w:rPr>
        <mc:AlternateContent>
          <mc:Choice Requires="wps">
            <w:drawing>
              <wp:anchor distT="0" distB="0" distL="114300" distR="114300" simplePos="0" relativeHeight="251453952" behindDoc="0" locked="0" layoutInCell="1" allowOverlap="1" wp14:anchorId="2DCE9315" wp14:editId="3B00D097">
                <wp:simplePos x="0" y="0"/>
                <wp:positionH relativeFrom="column">
                  <wp:posOffset>12835255</wp:posOffset>
                </wp:positionH>
                <wp:positionV relativeFrom="paragraph">
                  <wp:posOffset>133985</wp:posOffset>
                </wp:positionV>
                <wp:extent cx="1184910" cy="2474595"/>
                <wp:effectExtent l="19050" t="19050" r="15240" b="20955"/>
                <wp:wrapNone/>
                <wp:docPr id="95" name="Text Box 417"/>
                <wp:cNvGraphicFramePr/>
                <a:graphic xmlns:a="http://schemas.openxmlformats.org/drawingml/2006/main">
                  <a:graphicData uri="http://schemas.microsoft.com/office/word/2010/wordprocessingShape">
                    <wps:wsp>
                      <wps:cNvSpPr/>
                      <wps:spPr>
                        <a:xfrm>
                          <a:off x="0" y="0"/>
                          <a:ext cx="1184910" cy="2474595"/>
                        </a:xfrm>
                        <a:prstGeom prst="roundRect">
                          <a:avLst>
                            <a:gd name="adj" fmla="val 16667"/>
                          </a:avLst>
                        </a:prstGeom>
                        <a:solidFill>
                          <a:srgbClr val="FFFFFF"/>
                        </a:solidFill>
                        <a:ln w="28575">
                          <a:solidFill>
                            <a:schemeClr val="bg1">
                              <a:lumMod val="65000"/>
                            </a:schemeClr>
                          </a:solidFill>
                          <a:round/>
                        </a:ln>
                        <a:effectLst/>
                      </wps:spPr>
                      <wps:txbx>
                        <w:txbxContent>
                          <w:p w14:paraId="2AB671AF" w14:textId="02B4E1FE" w:rsidR="00876FFE" w:rsidRPr="008E12BD" w:rsidRDefault="00876FFE" w:rsidP="00E11DAD">
                            <w:pPr>
                              <w:pStyle w:val="FrameContents"/>
                              <w:spacing w:before="0" w:after="0"/>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Развој сарадње са  високо-школским установама ради подршке у школовању/додатном образовању кадрова за јавну управу</w:t>
                            </w:r>
                          </w:p>
                        </w:txbxContent>
                      </wps:txbx>
                      <wps:bodyPr wrap="square" lIns="36000" tIns="36000" rIns="36000" bIns="3600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CE9315" id="Text Box 417" o:spid="_x0000_s1143" style="position:absolute;left:0;text-align:left;margin-left:1010.65pt;margin-top:10.55pt;width:93.3pt;height:194.8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" strokecolor="#a5a5a5 [2092]" strokeweight="2.25pt">
                <v:textbox inset="1mm,1mm,1mm,1mm">
                  <w:txbxContent>
                    <w:p w14:paraId="2AB671AF" w14:textId="02B4E1FE" w:rsidR="00876FFE" w:rsidRPr="008E12BD" w:rsidRDefault="00876FFE" w:rsidP="00E11DAD">
                      <w:pPr>
                        <w:pStyle w:val="FrameContents"/>
                        <w:spacing w:before="0" w:after="0"/>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Развој сарадње са  високо-школским установама ради подршке у школовању/додатном образовању кадрова за јавну управу</w:t>
                      </w:r>
                    </w:p>
                  </w:txbxContent>
                </v:textbox>
              </v:roundrect>
            </w:pict>
          </mc:Fallback>
        </mc:AlternateContent>
      </w:r>
      <w:r w:rsidR="00B65195" w:rsidRPr="000F0299">
        <w:rPr>
          <w:noProof/>
          <w:lang w:val="en-US" w:eastAsia="en-US" w:bidi="ar-SA"/>
        </w:rPr>
        <mc:AlternateContent>
          <mc:Choice Requires="wps">
            <w:drawing>
              <wp:anchor distT="0" distB="0" distL="114300" distR="114300" simplePos="0" relativeHeight="251450880" behindDoc="0" locked="0" layoutInCell="1" allowOverlap="1" wp14:anchorId="62E39959" wp14:editId="294EF14C">
                <wp:simplePos x="0" y="0"/>
                <wp:positionH relativeFrom="column">
                  <wp:posOffset>11551285</wp:posOffset>
                </wp:positionH>
                <wp:positionV relativeFrom="paragraph">
                  <wp:posOffset>130175</wp:posOffset>
                </wp:positionV>
                <wp:extent cx="1186815" cy="2474595"/>
                <wp:effectExtent l="19050" t="19050" r="13335" b="20955"/>
                <wp:wrapNone/>
                <wp:docPr id="101" name="Text Box 419"/>
                <wp:cNvGraphicFramePr/>
                <a:graphic xmlns:a="http://schemas.openxmlformats.org/drawingml/2006/main">
                  <a:graphicData uri="http://schemas.microsoft.com/office/word/2010/wordprocessingShape">
                    <wps:wsp>
                      <wps:cNvSpPr/>
                      <wps:spPr>
                        <a:xfrm>
                          <a:off x="0" y="0"/>
                          <a:ext cx="1186815" cy="2474595"/>
                        </a:xfrm>
                        <a:prstGeom prst="roundRect">
                          <a:avLst>
                            <a:gd name="adj" fmla="val 16667"/>
                          </a:avLst>
                        </a:prstGeom>
                        <a:solidFill>
                          <a:srgbClr val="FFFFFF"/>
                        </a:solidFill>
                        <a:ln w="28575">
                          <a:solidFill>
                            <a:schemeClr val="bg1">
                              <a:lumMod val="65000"/>
                            </a:schemeClr>
                          </a:solidFill>
                          <a:round/>
                        </a:ln>
                        <a:effectLst/>
                      </wps:spPr>
                      <wps:txbx>
                        <w:txbxContent>
                          <w:p w14:paraId="14E50FB8" w14:textId="644D409E" w:rsidR="00876FFE" w:rsidRPr="008E12BD" w:rsidRDefault="00876FFE" w:rsidP="00E11DAD">
                            <w:pPr>
                              <w:pStyle w:val="FrameContents"/>
                              <w:spacing w:before="0" w:after="0"/>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 xml:space="preserve">Увођење </w:t>
                            </w:r>
                            <w:r w:rsidRPr="008E12BD">
                              <w:rPr>
                                <w:rFonts w:asciiTheme="minorHAnsi" w:hAnsiTheme="minorHAnsi" w:cstheme="minorHAnsi"/>
                                <w:color w:val="000000"/>
                                <w:spacing w:val="-8"/>
                                <w:sz w:val="22"/>
                                <w:szCs w:val="22"/>
                                <w:lang w:val="sr-Cyrl-RS"/>
                              </w:rPr>
                              <w:t>јединствених критеријума,</w:t>
                            </w:r>
                            <w:r w:rsidRPr="008E12BD">
                              <w:rPr>
                                <w:rFonts w:asciiTheme="minorHAnsi" w:hAnsiTheme="minorHAnsi" w:cstheme="minorHAnsi"/>
                                <w:color w:val="000000"/>
                                <w:sz w:val="22"/>
                                <w:szCs w:val="22"/>
                                <w:lang w:val="sr-Cyrl-RS"/>
                              </w:rPr>
                              <w:t xml:space="preserve"> мерила и стандарда у области стручних испита у систему државне управе</w:t>
                            </w:r>
                          </w:p>
                        </w:txbxContent>
                      </wps:txbx>
                      <wps:bodyPr wrap="square" lIns="36000" tIns="36000" rIns="36000" bIns="3600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E39959" id="Text Box 419" o:spid="_x0000_s1144" style="position:absolute;left:0;text-align:left;margin-left:909.55pt;margin-top:10.25pt;width:93.45pt;height:194.8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" strokecolor="#a5a5a5 [2092]" strokeweight="2.25pt">
                <v:textbox inset="1mm,1mm,1mm,1mm">
                  <w:txbxContent>
                    <w:p w14:paraId="14E50FB8" w14:textId="644D409E" w:rsidR="00876FFE" w:rsidRPr="008E12BD" w:rsidRDefault="00876FFE" w:rsidP="00E11DAD">
                      <w:pPr>
                        <w:pStyle w:val="FrameContents"/>
                        <w:spacing w:before="0" w:after="0"/>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z w:val="22"/>
                          <w:szCs w:val="22"/>
                          <w:lang w:val="sr-Cyrl-RS"/>
                        </w:rPr>
                        <w:t xml:space="preserve">Увођење </w:t>
                      </w:r>
                      <w:r w:rsidRPr="008E12BD">
                        <w:rPr>
                          <w:rFonts w:asciiTheme="minorHAnsi" w:hAnsiTheme="minorHAnsi" w:cstheme="minorHAnsi"/>
                          <w:color w:val="000000"/>
                          <w:spacing w:val="-8"/>
                          <w:sz w:val="22"/>
                          <w:szCs w:val="22"/>
                          <w:lang w:val="sr-Cyrl-RS"/>
                        </w:rPr>
                        <w:t>јединствених критеријума,</w:t>
                      </w:r>
                      <w:r w:rsidRPr="008E12BD">
                        <w:rPr>
                          <w:rFonts w:asciiTheme="minorHAnsi" w:hAnsiTheme="minorHAnsi" w:cstheme="minorHAnsi"/>
                          <w:color w:val="000000"/>
                          <w:sz w:val="22"/>
                          <w:szCs w:val="22"/>
                          <w:lang w:val="sr-Cyrl-RS"/>
                        </w:rPr>
                        <w:t xml:space="preserve"> мерила и стандарда у области стручних испита у систему државне управе</w:t>
                      </w:r>
                    </w:p>
                  </w:txbxContent>
                </v:textbox>
              </v:roundrect>
            </w:pict>
          </mc:Fallback>
        </mc:AlternateContent>
      </w:r>
      <w:r w:rsidR="00B65195" w:rsidRPr="000F0299">
        <w:rPr>
          <w:noProof/>
          <w:lang w:val="en-US" w:eastAsia="en-US" w:bidi="ar-SA"/>
        </w:rPr>
        <mc:AlternateContent>
          <mc:Choice Requires="wps">
            <w:drawing>
              <wp:anchor distT="0" distB="0" distL="114300" distR="114300" simplePos="0" relativeHeight="251451904" behindDoc="0" locked="0" layoutInCell="1" allowOverlap="1" wp14:anchorId="34767E23" wp14:editId="548BAC2D">
                <wp:simplePos x="0" y="0"/>
                <wp:positionH relativeFrom="column">
                  <wp:posOffset>10225405</wp:posOffset>
                </wp:positionH>
                <wp:positionV relativeFrom="paragraph">
                  <wp:posOffset>130175</wp:posOffset>
                </wp:positionV>
                <wp:extent cx="1196340" cy="2474595"/>
                <wp:effectExtent l="19050" t="19050" r="22860" b="20955"/>
                <wp:wrapNone/>
                <wp:docPr id="99" name="Text Box 383"/>
                <wp:cNvGraphicFramePr/>
                <a:graphic xmlns:a="http://schemas.openxmlformats.org/drawingml/2006/main">
                  <a:graphicData uri="http://schemas.microsoft.com/office/word/2010/wordprocessingShape">
                    <wps:wsp>
                      <wps:cNvSpPr/>
                      <wps:spPr>
                        <a:xfrm>
                          <a:off x="0" y="0"/>
                          <a:ext cx="1196340" cy="2474595"/>
                        </a:xfrm>
                        <a:prstGeom prst="roundRect">
                          <a:avLst>
                            <a:gd name="adj" fmla="val 16667"/>
                          </a:avLst>
                        </a:prstGeom>
                        <a:solidFill>
                          <a:srgbClr val="FFFFFF"/>
                        </a:solidFill>
                        <a:ln w="28575">
                          <a:solidFill>
                            <a:schemeClr val="bg1">
                              <a:lumMod val="65000"/>
                            </a:schemeClr>
                          </a:solidFill>
                          <a:round/>
                        </a:ln>
                        <a:effectLst/>
                      </wps:spPr>
                      <wps:txbx>
                        <w:txbxContent>
                          <w:p w14:paraId="2C297358" w14:textId="2E90917A" w:rsidR="00876FFE" w:rsidRPr="008E12BD" w:rsidRDefault="00876FFE" w:rsidP="00E11DAD">
                            <w:pPr>
                              <w:pStyle w:val="FrameContents"/>
                              <w:spacing w:before="0" w:after="0"/>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pacing w:val="-22"/>
                                <w:sz w:val="22"/>
                                <w:szCs w:val="22"/>
                                <w:lang w:val="sr-Cyrl-RS"/>
                              </w:rPr>
                              <w:t xml:space="preserve">Успостављање </w:t>
                            </w:r>
                            <w:r w:rsidRPr="008E12BD">
                              <w:rPr>
                                <w:rFonts w:asciiTheme="minorHAnsi" w:hAnsiTheme="minorHAnsi" w:cstheme="minorHAnsi"/>
                                <w:color w:val="000000"/>
                                <w:spacing w:val="-8"/>
                                <w:sz w:val="22"/>
                                <w:szCs w:val="22"/>
                                <w:lang w:val="sr-Cyrl-RS"/>
                              </w:rPr>
                              <w:t xml:space="preserve">инструмената </w:t>
                            </w:r>
                            <w:r w:rsidRPr="008E12BD">
                              <w:rPr>
                                <w:rFonts w:asciiTheme="minorHAnsi" w:hAnsiTheme="minorHAnsi" w:cstheme="minorHAnsi"/>
                                <w:color w:val="000000"/>
                                <w:sz w:val="22"/>
                                <w:szCs w:val="22"/>
                                <w:lang w:val="sr-Cyrl-RS"/>
                              </w:rPr>
                              <w:t xml:space="preserve">сарадње институција у чијем делокругу су послови стручног </w:t>
                            </w:r>
                            <w:r w:rsidRPr="008E12BD">
                              <w:rPr>
                                <w:rFonts w:asciiTheme="minorHAnsi" w:hAnsiTheme="minorHAnsi" w:cstheme="minorHAnsi"/>
                                <w:color w:val="000000"/>
                                <w:spacing w:val="-16"/>
                                <w:sz w:val="22"/>
                                <w:szCs w:val="22"/>
                                <w:lang w:val="sr-Cyrl-RS"/>
                              </w:rPr>
                              <w:t xml:space="preserve">усавршавања </w:t>
                            </w:r>
                            <w:r w:rsidRPr="008E12BD">
                              <w:rPr>
                                <w:rFonts w:asciiTheme="minorHAnsi" w:hAnsiTheme="minorHAnsi" w:cstheme="minorHAnsi"/>
                                <w:color w:val="000000"/>
                                <w:sz w:val="22"/>
                                <w:szCs w:val="22"/>
                                <w:lang w:val="sr-Cyrl-RS"/>
                              </w:rPr>
                              <w:t>запослених у државним и другим органима</w:t>
                            </w:r>
                          </w:p>
                        </w:txbxContent>
                      </wps:txbx>
                      <wps:bodyPr wrap="square" lIns="36000" tIns="36000" rIns="36000" bIns="3600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767E23" id="Text Box 383" o:spid="_x0000_s1145" style="position:absolute;left:0;text-align:left;margin-left:805.15pt;margin-top:10.25pt;width:94.2pt;height:194.8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" strokecolor="#a5a5a5 [2092]" strokeweight="2.25pt">
                <v:textbox inset="1mm,1mm,1mm,1mm">
                  <w:txbxContent>
                    <w:p w14:paraId="2C297358" w14:textId="2E90917A" w:rsidR="00876FFE" w:rsidRPr="008E12BD" w:rsidRDefault="00876FFE" w:rsidP="00E11DAD">
                      <w:pPr>
                        <w:pStyle w:val="FrameContents"/>
                        <w:spacing w:before="0" w:after="0"/>
                        <w:ind w:firstLine="0"/>
                        <w:jc w:val="center"/>
                        <w:rPr>
                          <w:rFonts w:asciiTheme="minorHAnsi" w:hAnsiTheme="minorHAnsi" w:cstheme="minorHAnsi"/>
                          <w:color w:val="000000"/>
                          <w:sz w:val="22"/>
                          <w:szCs w:val="22"/>
                          <w:lang w:val="sr-Cyrl-RS"/>
                        </w:rPr>
                      </w:pPr>
                      <w:r w:rsidRPr="008E12BD">
                        <w:rPr>
                          <w:rFonts w:asciiTheme="minorHAnsi" w:hAnsiTheme="minorHAnsi" w:cstheme="minorHAnsi"/>
                          <w:color w:val="000000"/>
                          <w:spacing w:val="-22"/>
                          <w:sz w:val="22"/>
                          <w:szCs w:val="22"/>
                          <w:lang w:val="sr-Cyrl-RS"/>
                        </w:rPr>
                        <w:t xml:space="preserve">Успостављање </w:t>
                      </w:r>
                      <w:r w:rsidRPr="008E12BD">
                        <w:rPr>
                          <w:rFonts w:asciiTheme="minorHAnsi" w:hAnsiTheme="minorHAnsi" w:cstheme="minorHAnsi"/>
                          <w:color w:val="000000"/>
                          <w:spacing w:val="-8"/>
                          <w:sz w:val="22"/>
                          <w:szCs w:val="22"/>
                          <w:lang w:val="sr-Cyrl-RS"/>
                        </w:rPr>
                        <w:t xml:space="preserve">инструмената </w:t>
                      </w:r>
                      <w:r w:rsidRPr="008E12BD">
                        <w:rPr>
                          <w:rFonts w:asciiTheme="minorHAnsi" w:hAnsiTheme="minorHAnsi" w:cstheme="minorHAnsi"/>
                          <w:color w:val="000000"/>
                          <w:sz w:val="22"/>
                          <w:szCs w:val="22"/>
                          <w:lang w:val="sr-Cyrl-RS"/>
                        </w:rPr>
                        <w:t xml:space="preserve">сарадње институција у чијем делокругу су послови стручног </w:t>
                      </w:r>
                      <w:r w:rsidRPr="008E12BD">
                        <w:rPr>
                          <w:rFonts w:asciiTheme="minorHAnsi" w:hAnsiTheme="minorHAnsi" w:cstheme="minorHAnsi"/>
                          <w:color w:val="000000"/>
                          <w:spacing w:val="-16"/>
                          <w:sz w:val="22"/>
                          <w:szCs w:val="22"/>
                          <w:lang w:val="sr-Cyrl-RS"/>
                        </w:rPr>
                        <w:t xml:space="preserve">усавршавања </w:t>
                      </w:r>
                      <w:r w:rsidRPr="008E12BD">
                        <w:rPr>
                          <w:rFonts w:asciiTheme="minorHAnsi" w:hAnsiTheme="minorHAnsi" w:cstheme="minorHAnsi"/>
                          <w:color w:val="000000"/>
                          <w:sz w:val="22"/>
                          <w:szCs w:val="22"/>
                          <w:lang w:val="sr-Cyrl-RS"/>
                        </w:rPr>
                        <w:t>запослених у државним и другим органима</w:t>
                      </w:r>
                    </w:p>
                  </w:txbxContent>
                </v:textbox>
              </v:roundrect>
            </w:pict>
          </mc:Fallback>
        </mc:AlternateContent>
      </w:r>
    </w:p>
    <w:p w14:paraId="195B42C1" w14:textId="7754EC84" w:rsidR="00780827" w:rsidRPr="000F0299" w:rsidRDefault="00780827" w:rsidP="00780827">
      <w:pPr>
        <w:rPr>
          <w:rFonts w:eastAsia="Times New Roman"/>
        </w:rPr>
      </w:pPr>
    </w:p>
    <w:p w14:paraId="5D1CAFC4" w14:textId="5CA79027" w:rsidR="00780827" w:rsidRPr="000F0299" w:rsidRDefault="00780827" w:rsidP="00780827">
      <w:pPr>
        <w:rPr>
          <w:rFonts w:eastAsia="Times New Roman"/>
        </w:rPr>
      </w:pPr>
    </w:p>
    <w:p w14:paraId="308FE140" w14:textId="7EBD80E4" w:rsidR="00780827" w:rsidRPr="000F0299" w:rsidRDefault="00780827" w:rsidP="00780827">
      <w:pPr>
        <w:rPr>
          <w:rFonts w:eastAsia="Times New Roman"/>
        </w:rPr>
      </w:pPr>
    </w:p>
    <w:p w14:paraId="516B9EE9" w14:textId="497EFFBB" w:rsidR="003F3312" w:rsidRPr="000F0299" w:rsidRDefault="003F3312" w:rsidP="00244E7C"/>
    <w:p w14:paraId="02147768" w14:textId="4560DDC1" w:rsidR="00780827" w:rsidRPr="000F0299" w:rsidRDefault="00780827" w:rsidP="00244E7C"/>
    <w:p w14:paraId="2CE9379F" w14:textId="32C0FB4B" w:rsidR="00780827" w:rsidRPr="000F0299" w:rsidRDefault="00780827" w:rsidP="00244E7C"/>
    <w:p w14:paraId="5E330349" w14:textId="2BACB7E6" w:rsidR="00780827" w:rsidRPr="000F0299" w:rsidRDefault="00894BCD" w:rsidP="00244E7C">
      <w:r>
        <w:rPr>
          <w:noProof/>
          <w:lang w:val="en-US" w:eastAsia="en-US" w:bidi="ar-SA"/>
        </w:rPr>
        <mc:AlternateContent>
          <mc:Choice Requires="wps">
            <w:drawing>
              <wp:anchor distT="0" distB="0" distL="114300" distR="114300" simplePos="0" relativeHeight="252057088" behindDoc="0" locked="0" layoutInCell="1" allowOverlap="1" wp14:anchorId="6E0E4695" wp14:editId="0D5923B3">
                <wp:simplePos x="0" y="0"/>
                <wp:positionH relativeFrom="margin">
                  <wp:posOffset>3589078</wp:posOffset>
                </wp:positionH>
                <wp:positionV relativeFrom="paragraph">
                  <wp:posOffset>41889</wp:posOffset>
                </wp:positionV>
                <wp:extent cx="4828939" cy="635"/>
                <wp:effectExtent l="0" t="0" r="0" b="8255"/>
                <wp:wrapNone/>
                <wp:docPr id="393" name="Text Box 393"/>
                <wp:cNvGraphicFramePr/>
                <a:graphic xmlns:a="http://schemas.openxmlformats.org/drawingml/2006/main">
                  <a:graphicData uri="http://schemas.microsoft.com/office/word/2010/wordprocessingShape">
                    <wps:wsp>
                      <wps:cNvSpPr txBox="1"/>
                      <wps:spPr>
                        <a:xfrm>
                          <a:off x="0" y="0"/>
                          <a:ext cx="4828939" cy="635"/>
                        </a:xfrm>
                        <a:prstGeom prst="rect">
                          <a:avLst/>
                        </a:prstGeom>
                        <a:solidFill>
                          <a:prstClr val="white"/>
                        </a:solidFill>
                        <a:ln>
                          <a:noFill/>
                        </a:ln>
                      </wps:spPr>
                      <wps:txbx>
                        <w:txbxContent>
                          <w:p w14:paraId="67EA96C3" w14:textId="606483EF" w:rsidR="00876FFE" w:rsidRPr="00894BCD" w:rsidRDefault="00876FFE" w:rsidP="00894BCD">
                            <w:pPr>
                              <w:pStyle w:val="Caption"/>
                              <w:rPr>
                                <w:i w:val="0"/>
                                <w:iCs w:val="0"/>
                                <w:noProof/>
                                <w:sz w:val="24"/>
                                <w:szCs w:val="24"/>
                              </w:rPr>
                            </w:pPr>
                            <w:bookmarkStart w:id="162" w:name="_Toc57665363"/>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27</w:t>
                            </w:r>
                            <w:r w:rsidRPr="00894BCD">
                              <w:rPr>
                                <w:i w:val="0"/>
                                <w:iCs w:val="0"/>
                              </w:rPr>
                              <w:fldChar w:fldCharType="end"/>
                            </w:r>
                            <w:r w:rsidRPr="00894BCD">
                              <w:rPr>
                                <w:i w:val="0"/>
                                <w:iCs w:val="0"/>
                              </w:rPr>
                              <w:t xml:space="preserve"> Дрво циљева – </w:t>
                            </w:r>
                            <w:r>
                              <w:rPr>
                                <w:i w:val="0"/>
                                <w:iCs w:val="0"/>
                                <w:u w:val="single"/>
                                <w:lang w:val="sr-Cyrl-RS"/>
                              </w:rPr>
                              <w:t>У</w:t>
                            </w:r>
                            <w:r w:rsidRPr="00894BCD">
                              <w:rPr>
                                <w:i w:val="0"/>
                                <w:iCs w:val="0"/>
                              </w:rPr>
                              <w:t>прављање људским ресурсима у јавној управи</w:t>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0E4695" id="Text Box 393" o:spid="_x0000_s1146" type="#_x0000_t202" style="position:absolute;left:0;text-align:left;margin-left:282.6pt;margin-top:3.3pt;width:380.25pt;height:.05pt;z-index:25205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" stroked="f">
                <v:textbox style="mso-fit-shape-to-text:t" inset="0,0,0,0">
                  <w:txbxContent>
                    <w:p w14:paraId="67EA96C3" w14:textId="606483EF" w:rsidR="00876FFE" w:rsidRPr="00894BCD" w:rsidRDefault="00876FFE" w:rsidP="00894BCD">
                      <w:pPr>
                        <w:pStyle w:val="Caption"/>
                        <w:rPr>
                          <w:i w:val="0"/>
                          <w:iCs w:val="0"/>
                          <w:noProof/>
                          <w:sz w:val="24"/>
                          <w:szCs w:val="24"/>
                        </w:rPr>
                      </w:pPr>
                      <w:bookmarkStart w:id="176" w:name="_Toc57665363"/>
                      <w:r w:rsidRPr="00894BCD">
                        <w:rPr>
                          <w:i w:val="0"/>
                          <w:iCs w:val="0"/>
                        </w:rPr>
                        <w:t xml:space="preserve">Графикон </w:t>
                      </w:r>
                      <w:r w:rsidRPr="00894BCD">
                        <w:rPr>
                          <w:i w:val="0"/>
                          <w:iCs w:val="0"/>
                        </w:rPr>
                        <w:fldChar w:fldCharType="begin"/>
                      </w:r>
                      <w:r w:rsidRPr="00894BCD">
                        <w:rPr>
                          <w:i w:val="0"/>
                          <w:iCs w:val="0"/>
                        </w:rPr>
                        <w:instrText xml:space="preserve"> SEQ Графикон \* ARABIC </w:instrText>
                      </w:r>
                      <w:r w:rsidRPr="00894BCD">
                        <w:rPr>
                          <w:i w:val="0"/>
                          <w:iCs w:val="0"/>
                        </w:rPr>
                        <w:fldChar w:fldCharType="separate"/>
                      </w:r>
                      <w:r>
                        <w:rPr>
                          <w:i w:val="0"/>
                          <w:iCs w:val="0"/>
                          <w:noProof/>
                        </w:rPr>
                        <w:t>27</w:t>
                      </w:r>
                      <w:r w:rsidRPr="00894BCD">
                        <w:rPr>
                          <w:i w:val="0"/>
                          <w:iCs w:val="0"/>
                        </w:rPr>
                        <w:fldChar w:fldCharType="end"/>
                      </w:r>
                      <w:r w:rsidRPr="00894BCD">
                        <w:rPr>
                          <w:i w:val="0"/>
                          <w:iCs w:val="0"/>
                        </w:rPr>
                        <w:t xml:space="preserve"> Дрво циљева – </w:t>
                      </w:r>
                      <w:r>
                        <w:rPr>
                          <w:i w:val="0"/>
                          <w:iCs w:val="0"/>
                          <w:u w:val="single"/>
                          <w:lang w:val="sr-Cyrl-RS"/>
                        </w:rPr>
                        <w:t>У</w:t>
                      </w:r>
                      <w:r w:rsidRPr="00894BCD">
                        <w:rPr>
                          <w:i w:val="0"/>
                          <w:iCs w:val="0"/>
                        </w:rPr>
                        <w:t>прављање људским ресурсима у јавној управи</w:t>
                      </w:r>
                      <w:bookmarkEnd w:id="176"/>
                    </w:p>
                  </w:txbxContent>
                </v:textbox>
                <w10:wrap anchorx="margin"/>
              </v:shape>
            </w:pict>
          </mc:Fallback>
        </mc:AlternateContent>
      </w:r>
    </w:p>
    <w:p w14:paraId="5A43D275" w14:textId="1E8A39CD" w:rsidR="00780827" w:rsidRPr="000F0299" w:rsidRDefault="00780827" w:rsidP="00244E7C"/>
    <w:p w14:paraId="583A8BC0" w14:textId="6DA1B928" w:rsidR="003F3312" w:rsidRPr="000F0299" w:rsidRDefault="003F3312" w:rsidP="00244E7C"/>
    <w:p w14:paraId="2579616C" w14:textId="36957D40" w:rsidR="003F3312" w:rsidRDefault="003F3312" w:rsidP="00244E7C"/>
    <w:p w14:paraId="51E469B5" w14:textId="3C9B29AD" w:rsidR="00952BF5" w:rsidRPr="000F0299" w:rsidRDefault="00952BF5" w:rsidP="00952BF5">
      <w:pPr>
        <w:ind w:firstLine="0"/>
        <w:sectPr w:rsidR="00952BF5" w:rsidRPr="000F0299" w:rsidSect="00BC0E52">
          <w:headerReference w:type="default" r:id="rId129"/>
          <w:footerReference w:type="default" r:id="rId130"/>
          <w:pgSz w:w="23811" w:h="16838" w:orient="landscape" w:code="8"/>
          <w:pgMar w:top="1417" w:right="1134" w:bottom="1417" w:left="1417" w:header="426" w:footer="708" w:gutter="0"/>
          <w:cols w:space="720"/>
          <w:formProt w:val="0"/>
          <w:docGrid w:linePitch="360" w:charSpace="12288"/>
        </w:sectPr>
      </w:pPr>
    </w:p>
    <w:p w14:paraId="40B5BC04" w14:textId="6E86C369" w:rsidR="008D7AAF" w:rsidRPr="000F0299" w:rsidRDefault="008D7AAF" w:rsidP="0027396C">
      <w:pPr>
        <w:pStyle w:val="Heading2"/>
        <w:rPr>
          <w:lang w:val="sr-Cyrl-RS"/>
        </w:rPr>
      </w:pPr>
      <w:bookmarkStart w:id="163" w:name="_ΙII._Пружање_услуга"/>
      <w:bookmarkStart w:id="164" w:name="_Toc57661483"/>
      <w:bookmarkStart w:id="165" w:name="_Toc40182236"/>
      <w:bookmarkStart w:id="166" w:name="_Toc40183053"/>
      <w:bookmarkStart w:id="167" w:name="_Toc45013957"/>
      <w:bookmarkEnd w:id="163"/>
      <w:r w:rsidRPr="000F0299">
        <w:rPr>
          <w:lang w:val="sr-Cyrl-RS"/>
        </w:rPr>
        <w:t xml:space="preserve">ΙII. </w:t>
      </w:r>
      <w:r w:rsidR="00E11DAD" w:rsidRPr="000F0299">
        <w:rPr>
          <w:lang w:val="sr-Cyrl-RS"/>
        </w:rPr>
        <w:t>Пружање услуга</w:t>
      </w:r>
      <w:bookmarkEnd w:id="164"/>
      <w:r w:rsidR="00E11DAD" w:rsidRPr="000F0299">
        <w:rPr>
          <w:lang w:val="sr-Cyrl-RS"/>
        </w:rPr>
        <w:t xml:space="preserve"> </w:t>
      </w:r>
    </w:p>
    <w:p w14:paraId="16FAB3D5" w14:textId="79BFFFF1" w:rsidR="008D7AAF" w:rsidRPr="000F0299" w:rsidRDefault="00E11DAD" w:rsidP="0027396C">
      <w:pPr>
        <w:pStyle w:val="Heading3"/>
        <w:rPr>
          <w:rStyle w:val="Emphasis"/>
          <w:i w:val="0"/>
          <w:iCs w:val="0"/>
          <w:lang w:val="sr-Cyrl-RS"/>
        </w:rPr>
      </w:pPr>
      <w:bookmarkStart w:id="168" w:name="_АНАЛИЗА_СТАЊА_2"/>
      <w:bookmarkStart w:id="169" w:name="_Toc57661484"/>
      <w:bookmarkEnd w:id="168"/>
      <w:r w:rsidRPr="000F0299">
        <w:rPr>
          <w:rStyle w:val="Emphasis"/>
          <w:i w:val="0"/>
          <w:iCs w:val="0"/>
          <w:lang w:val="sr-Cyrl-RS"/>
        </w:rPr>
        <w:t>Анализа стања</w:t>
      </w:r>
      <w:bookmarkEnd w:id="169"/>
    </w:p>
    <w:p w14:paraId="2AD1A5B5" w14:textId="77777777" w:rsidR="008D7AAF" w:rsidRPr="000F0299" w:rsidRDefault="008D7AAF" w:rsidP="0027396C">
      <w:pPr>
        <w:pStyle w:val="Heading4"/>
        <w:rPr>
          <w:lang w:val="sr-Cyrl-RS"/>
        </w:rPr>
      </w:pPr>
      <w:r w:rsidRPr="000F0299">
        <w:rPr>
          <w:lang w:val="sr-Cyrl-RS"/>
        </w:rPr>
        <w:t>Правни и стратешки оквир</w:t>
      </w:r>
    </w:p>
    <w:p w14:paraId="75E73300" w14:textId="5501F992" w:rsidR="005C5CAB" w:rsidRPr="000F0299" w:rsidRDefault="005C5CAB" w:rsidP="005C5CAB">
      <w:r w:rsidRPr="000F0299">
        <w:rPr>
          <w:color w:val="1C1C1C"/>
        </w:rPr>
        <w:t xml:space="preserve">Влада Републике Србије препознала је пружање услуга као један од приоритета у процесу реформе јавне </w:t>
      </w:r>
      <w:r w:rsidRPr="000F0299">
        <w:t xml:space="preserve">управе </w:t>
      </w:r>
      <w:r w:rsidRPr="000F0299">
        <w:rPr>
          <w:b/>
        </w:rPr>
        <w:t xml:space="preserve">у </w:t>
      </w:r>
      <w:r>
        <w:rPr>
          <w:b/>
        </w:rPr>
        <w:t>Стратегији</w:t>
      </w:r>
      <w:r w:rsidR="00946661">
        <w:rPr>
          <w:b/>
        </w:rPr>
        <w:t xml:space="preserve"> </w:t>
      </w:r>
      <w:r w:rsidRPr="000F0299">
        <w:rPr>
          <w:b/>
        </w:rPr>
        <w:t>РЈУ</w:t>
      </w:r>
      <w:r w:rsidRPr="000F0299">
        <w:t xml:space="preserve"> </w:t>
      </w:r>
      <w:r>
        <w:t>из</w:t>
      </w:r>
      <w:r w:rsidRPr="000F0299">
        <w:t xml:space="preserve"> 2014. године која у Посебно</w:t>
      </w:r>
      <w:r>
        <w:t>м</w:t>
      </w:r>
      <w:r w:rsidRPr="000F0299">
        <w:t xml:space="preserve"> циљ</w:t>
      </w:r>
      <w:r>
        <w:t>у</w:t>
      </w:r>
      <w:r w:rsidRPr="000F0299">
        <w:t xml:space="preserve"> 4. Повећање правне сигурности и унапређење пословног окружења и квалитета пружања јавних услуга</w:t>
      </w:r>
      <w:r w:rsidRPr="000F0299">
        <w:rPr>
          <w:i/>
          <w:iCs/>
        </w:rPr>
        <w:t xml:space="preserve"> </w:t>
      </w:r>
      <w:r w:rsidRPr="000F0299">
        <w:t>даје стратешко усмерење за реформе у овој области, док је Мера 1.4. у Посебно</w:t>
      </w:r>
      <w:r>
        <w:t>м</w:t>
      </w:r>
      <w:r w:rsidRPr="000F0299">
        <w:t xml:space="preserve"> циљ</w:t>
      </w:r>
      <w:r>
        <w:t>у</w:t>
      </w:r>
      <w:r w:rsidRPr="000F0299">
        <w:t xml:space="preserve"> 1. усмерена на развој е-управе. Реформски процеси у пружању услуга могу се, ради лакшег планирања и праћења оствареног напретка, груписати у два тока исте целине: </w:t>
      </w:r>
    </w:p>
    <w:p w14:paraId="419C8900" w14:textId="77777777" w:rsidR="005C5CAB" w:rsidRPr="000F0299" w:rsidRDefault="005C5CAB" w:rsidP="00E62A1A">
      <w:pPr>
        <w:pStyle w:val="ListParagraph"/>
        <w:numPr>
          <w:ilvl w:val="0"/>
          <w:numId w:val="6"/>
        </w:numPr>
        <w:ind w:left="567"/>
      </w:pPr>
      <w:r w:rsidRPr="000F0299">
        <w:t>развој електронске управе</w:t>
      </w:r>
      <w:r>
        <w:t>;</w:t>
      </w:r>
      <w:r w:rsidRPr="000F0299">
        <w:t xml:space="preserve"> </w:t>
      </w:r>
    </w:p>
    <w:p w14:paraId="2D40A489" w14:textId="77777777" w:rsidR="005C5CAB" w:rsidRPr="000F0299" w:rsidRDefault="005C5CAB" w:rsidP="00E62A1A">
      <w:pPr>
        <w:pStyle w:val="ListParagraph"/>
        <w:numPr>
          <w:ilvl w:val="0"/>
          <w:numId w:val="6"/>
        </w:numPr>
        <w:ind w:left="567"/>
      </w:pPr>
      <w:r w:rsidRPr="000F0299">
        <w:t>регулаторн</w:t>
      </w:r>
      <w:r>
        <w:t>а</w:t>
      </w:r>
      <w:r w:rsidRPr="000F0299">
        <w:t xml:space="preserve"> реформ</w:t>
      </w:r>
      <w:r>
        <w:t>а</w:t>
      </w:r>
      <w:r w:rsidRPr="000F0299">
        <w:t xml:space="preserve"> и поједностављење управних поступака.</w:t>
      </w:r>
      <w:r w:rsidRPr="000F0299">
        <w:rPr>
          <w:vertAlign w:val="superscript"/>
        </w:rPr>
        <w:t xml:space="preserve"> </w:t>
      </w:r>
    </w:p>
    <w:p w14:paraId="23F4E5F3" w14:textId="77777777" w:rsidR="005C5CAB" w:rsidRPr="000F0299" w:rsidRDefault="005C5CAB" w:rsidP="005C5CAB">
      <w:pPr>
        <w:rPr>
          <w:color w:val="000000" w:themeColor="text1"/>
        </w:rPr>
      </w:pPr>
      <w:r w:rsidRPr="000F0299">
        <w:t>Реформе у области пружања услуга</w:t>
      </w:r>
      <w:r w:rsidRPr="000F0299">
        <w:rPr>
          <w:b/>
        </w:rPr>
        <w:t xml:space="preserve"> </w:t>
      </w:r>
      <w:r w:rsidRPr="000F0299">
        <w:t xml:space="preserve">спроводе се тренутно кроз спровођење три документа јавних политика: </w:t>
      </w:r>
      <w:r w:rsidRPr="000F0299">
        <w:rPr>
          <w:b/>
        </w:rPr>
        <w:t>Програм развоја електронске управе</w:t>
      </w:r>
      <w:r w:rsidRPr="000F0299">
        <w:t xml:space="preserve"> у Репуб</w:t>
      </w:r>
      <w:r>
        <w:t xml:space="preserve">лици Србији за период 2020–2022 </w:t>
      </w:r>
      <w:r w:rsidRPr="00FF2C3C">
        <w:rPr>
          <w:shd w:val="clear" w:color="auto" w:fill="FFFFFF"/>
        </w:rPr>
        <w:t>(</w:t>
      </w:r>
      <w:r w:rsidRPr="00FF2C3C">
        <w:rPr>
          <w:shd w:val="clear" w:color="auto" w:fill="FFFFFF"/>
          <w:lang w:val="sr-Cyrl-CS"/>
        </w:rPr>
        <w:t>,,Службени гласник РС“, број 85/2020</w:t>
      </w:r>
      <w:r w:rsidRPr="00FF2C3C">
        <w:rPr>
          <w:shd w:val="clear" w:color="auto" w:fill="FFFFFF"/>
        </w:rPr>
        <w:t>),</w:t>
      </w:r>
      <w:r w:rsidRPr="000F0299">
        <w:rPr>
          <w:vertAlign w:val="superscript"/>
        </w:rPr>
        <w:footnoteReference w:id="133"/>
      </w:r>
      <w:r>
        <w:rPr>
          <w:vertAlign w:val="superscript"/>
        </w:rPr>
        <w:t xml:space="preserve">  </w:t>
      </w:r>
      <w:r w:rsidRPr="000F0299">
        <w:rPr>
          <w:b/>
        </w:rPr>
        <w:t>Стратегиј</w:t>
      </w:r>
      <w:r>
        <w:rPr>
          <w:b/>
        </w:rPr>
        <w:t>а</w:t>
      </w:r>
      <w:r w:rsidRPr="000F0299">
        <w:rPr>
          <w:b/>
        </w:rPr>
        <w:t xml:space="preserve"> регулаторне реформе и унапређење система управљања јавним политикама за период</w:t>
      </w:r>
      <w:r w:rsidRPr="000F0299">
        <w:t xml:space="preserve"> 2016–2020. године</w:t>
      </w:r>
      <w:r w:rsidRPr="000F0299">
        <w:rPr>
          <w:vertAlign w:val="superscript"/>
        </w:rPr>
        <w:footnoteReference w:id="134"/>
      </w:r>
      <w:r>
        <w:rPr>
          <w:vertAlign w:val="superscript"/>
        </w:rPr>
        <w:t xml:space="preserve"> </w:t>
      </w:r>
      <w:r w:rsidRPr="000F0299">
        <w:t xml:space="preserve">и Програма </w:t>
      </w:r>
      <w:r w:rsidRPr="00204735">
        <w:t>„</w:t>
      </w:r>
      <w:r>
        <w:t>е</w:t>
      </w:r>
      <w:r w:rsidRPr="00204735">
        <w:t>-</w:t>
      </w:r>
      <w:r>
        <w:t>П</w:t>
      </w:r>
      <w:r w:rsidRPr="00204735">
        <w:t>апир”</w:t>
      </w:r>
      <w:r>
        <w:t xml:space="preserve"> </w:t>
      </w:r>
      <w:r w:rsidRPr="00FF2C3C">
        <w:t>(</w:t>
      </w:r>
      <w:r>
        <w:rPr>
          <w:shd w:val="clear" w:color="auto" w:fill="FFFFFF"/>
        </w:rPr>
        <w:t>„</w:t>
      </w:r>
      <w:r w:rsidRPr="00FF2C3C">
        <w:rPr>
          <w:shd w:val="clear" w:color="auto" w:fill="FFFFFF"/>
        </w:rPr>
        <w:t>Службени гласник РС", број 64/19)</w:t>
      </w:r>
      <w:r w:rsidRPr="000F0299">
        <w:t>,</w:t>
      </w:r>
      <w:r w:rsidRPr="000F0299">
        <w:rPr>
          <w:vertAlign w:val="superscript"/>
        </w:rPr>
        <w:footnoteReference w:id="135"/>
      </w:r>
      <w:r w:rsidRPr="000F0299">
        <w:t xml:space="preserve"> </w:t>
      </w:r>
      <w:r w:rsidRPr="000F0299">
        <w:rPr>
          <w:color w:val="1C1C1C"/>
        </w:rPr>
        <w:t xml:space="preserve">као наставак и проширење Плана </w:t>
      </w:r>
      <w:r w:rsidRPr="00204735">
        <w:rPr>
          <w:b/>
          <w:color w:val="1C1C1C"/>
        </w:rPr>
        <w:t>„</w:t>
      </w:r>
      <w:r w:rsidRPr="002663FC">
        <w:rPr>
          <w:b/>
          <w:color w:val="1C1C1C"/>
        </w:rPr>
        <w:t>Стоп бирократији”</w:t>
      </w:r>
      <w:r>
        <w:rPr>
          <w:color w:val="1C1C1C"/>
        </w:rPr>
        <w:t xml:space="preserve"> </w:t>
      </w:r>
      <w:r w:rsidRPr="000F0299">
        <w:rPr>
          <w:color w:val="000000" w:themeColor="text1"/>
          <w:vertAlign w:val="superscript"/>
        </w:rPr>
        <w:footnoteReference w:id="136"/>
      </w:r>
      <w:r w:rsidRPr="000F0299">
        <w:rPr>
          <w:color w:val="000000" w:themeColor="text1"/>
        </w:rPr>
        <w:t xml:space="preserve"> </w:t>
      </w:r>
      <w:r>
        <w:rPr>
          <w:color w:val="1C1C1C"/>
        </w:rPr>
        <w:t>за период</w:t>
      </w:r>
      <w:r w:rsidRPr="000F0299">
        <w:rPr>
          <w:color w:val="1C1C1C"/>
        </w:rPr>
        <w:t xml:space="preserve"> 2016</w:t>
      </w:r>
      <w:r w:rsidRPr="000F0299">
        <w:t>–</w:t>
      </w:r>
      <w:r w:rsidRPr="000F0299">
        <w:rPr>
          <w:color w:val="1C1C1C"/>
        </w:rPr>
        <w:t>2018.</w:t>
      </w:r>
      <w:r w:rsidRPr="000F0299">
        <w:rPr>
          <w:color w:val="000000" w:themeColor="text1"/>
        </w:rPr>
        <w:t>).</w:t>
      </w:r>
      <w:r>
        <w:rPr>
          <w:rStyle w:val="FootnoteReference"/>
          <w:color w:val="000000" w:themeColor="text1"/>
        </w:rPr>
        <w:footnoteReference w:id="137"/>
      </w:r>
    </w:p>
    <w:p w14:paraId="05266E60" w14:textId="77777777" w:rsidR="005C5CAB" w:rsidRPr="000F0299" w:rsidRDefault="005C5CAB" w:rsidP="005C5CAB">
      <w:r w:rsidRPr="000F0299">
        <w:rPr>
          <w:color w:val="000000" w:themeColor="text1"/>
        </w:rPr>
        <w:t xml:space="preserve">Политика пружања услуга се </w:t>
      </w:r>
      <w:r w:rsidRPr="000F0299">
        <w:rPr>
          <w:b/>
        </w:rPr>
        <w:t>не спроводи кроз јединствену националну кровну политику</w:t>
      </w:r>
      <w:r w:rsidRPr="000F0299">
        <w:t xml:space="preserve">, </w:t>
      </w:r>
      <w:r w:rsidRPr="000F0299">
        <w:rPr>
          <w:b/>
        </w:rPr>
        <w:t xml:space="preserve">нити </w:t>
      </w:r>
      <w:r w:rsidRPr="000F0299">
        <w:t xml:space="preserve">је у потпуности успостављен </w:t>
      </w:r>
      <w:r w:rsidRPr="000F0299">
        <w:rPr>
          <w:b/>
        </w:rPr>
        <w:t>јединствен механизам координације</w:t>
      </w:r>
      <w:r w:rsidRPr="000F0299">
        <w:t xml:space="preserve"> за сва документа јавних политика у области услуга.</w:t>
      </w:r>
    </w:p>
    <w:p w14:paraId="2E651D36" w14:textId="2F910E30" w:rsidR="005C5CAB" w:rsidRPr="000F0299" w:rsidRDefault="005C5CAB" w:rsidP="005C5CAB">
      <w:pPr>
        <w:rPr>
          <w:b/>
        </w:rPr>
      </w:pPr>
      <w:r w:rsidRPr="000F0299">
        <w:t xml:space="preserve">У оквиру </w:t>
      </w:r>
      <w:r>
        <w:t>реформе јавне управе и</w:t>
      </w:r>
      <w:r w:rsidRPr="000F0299">
        <w:t xml:space="preserve"> пружања </w:t>
      </w:r>
      <w:r>
        <w:t xml:space="preserve">услуга, </w:t>
      </w:r>
      <w:r w:rsidRPr="000F0299">
        <w:t xml:space="preserve">у претходних неколико година развој електронске управе </w:t>
      </w:r>
      <w:r>
        <w:t xml:space="preserve">утврђен је </w:t>
      </w:r>
      <w:r w:rsidRPr="000F0299">
        <w:t xml:space="preserve">као један од </w:t>
      </w:r>
      <w:r>
        <w:t>Владиних</w:t>
      </w:r>
      <w:r w:rsidR="00A0413E">
        <w:t xml:space="preserve"> </w:t>
      </w:r>
      <w:r w:rsidRPr="000F0299">
        <w:t xml:space="preserve">приоритета. У јуну 2020. године </w:t>
      </w:r>
      <w:r>
        <w:t>донет</w:t>
      </w:r>
      <w:r w:rsidRPr="000F0299">
        <w:t xml:space="preserve"> је </w:t>
      </w:r>
      <w:r w:rsidRPr="000F0299">
        <w:rPr>
          <w:b/>
        </w:rPr>
        <w:t>Програм развоја електронске управе</w:t>
      </w:r>
      <w:r w:rsidRPr="000F0299">
        <w:rPr>
          <w:shd w:val="clear" w:color="auto" w:fill="FFFFFF"/>
        </w:rPr>
        <w:t xml:space="preserve"> за период од 2020–2022. године са Акционим планом за његово спровођење, </w:t>
      </w:r>
      <w:r w:rsidRPr="000F0299">
        <w:t xml:space="preserve">којим је, између осталог, планирано </w:t>
      </w:r>
      <w:r>
        <w:t xml:space="preserve">да се у периоду за који се доноси </w:t>
      </w:r>
      <w:r w:rsidRPr="000F0299">
        <w:rPr>
          <w:shd w:val="clear" w:color="auto" w:fill="FFFFFF" w:themeFill="background1"/>
        </w:rPr>
        <w:t xml:space="preserve">развије 300 нових електронских услуга и сервиса за грађане и привреду и </w:t>
      </w:r>
      <w:r>
        <w:rPr>
          <w:shd w:val="clear" w:color="auto" w:fill="FFFFFF" w:themeFill="background1"/>
        </w:rPr>
        <w:t>о</w:t>
      </w:r>
      <w:r w:rsidRPr="000F0299">
        <w:rPr>
          <w:shd w:val="clear" w:color="auto" w:fill="FFFFFF" w:themeFill="background1"/>
        </w:rPr>
        <w:t>јача целокуп</w:t>
      </w:r>
      <w:r>
        <w:rPr>
          <w:shd w:val="clear" w:color="auto" w:fill="FFFFFF" w:themeFill="background1"/>
        </w:rPr>
        <w:t>а</w:t>
      </w:r>
      <w:r w:rsidRPr="000F0299">
        <w:rPr>
          <w:shd w:val="clear" w:color="auto" w:fill="FFFFFF" w:themeFill="background1"/>
        </w:rPr>
        <w:t xml:space="preserve">н систем пружања услуга у Републици Србији. Република </w:t>
      </w:r>
      <w:r w:rsidRPr="000F0299">
        <w:t xml:space="preserve">Србија је прва земља у региону </w:t>
      </w:r>
      <w:r>
        <w:t>ј</w:t>
      </w:r>
      <w:r w:rsidRPr="000F0299">
        <w:t xml:space="preserve">угоисточне Европе која је </w:t>
      </w:r>
      <w:r>
        <w:t>донела</w:t>
      </w:r>
      <w:r w:rsidRPr="000F0299">
        <w:rPr>
          <w:b/>
        </w:rPr>
        <w:t xml:space="preserve"> Стратегију развоја вештачке интелигенције 2020</w:t>
      </w:r>
      <w:r>
        <w:rPr>
          <w:b/>
        </w:rPr>
        <w:t>−</w:t>
      </w:r>
      <w:r w:rsidRPr="000F0299">
        <w:rPr>
          <w:b/>
        </w:rPr>
        <w:t>2025</w:t>
      </w:r>
      <w:r>
        <w:rPr>
          <w:b/>
        </w:rPr>
        <w:t xml:space="preserve"> </w:t>
      </w:r>
      <w:r w:rsidRPr="00FF2C3C">
        <w:t>(</w:t>
      </w:r>
      <w:r>
        <w:rPr>
          <w:shd w:val="clear" w:color="auto" w:fill="FFFFFF"/>
        </w:rPr>
        <w:t>„</w:t>
      </w:r>
      <w:r w:rsidRPr="00FF2C3C">
        <w:rPr>
          <w:shd w:val="clear" w:color="auto" w:fill="FFFFFF"/>
        </w:rPr>
        <w:t>Службени гласник РС", број</w:t>
      </w:r>
      <w:r w:rsidR="00571EB6">
        <w:rPr>
          <w:shd w:val="clear" w:color="auto" w:fill="FFFFFF"/>
        </w:rPr>
        <w:t xml:space="preserve"> 96/19)</w:t>
      </w:r>
      <w:r w:rsidRPr="000F0299">
        <w:rPr>
          <w:vertAlign w:val="superscript"/>
        </w:rPr>
        <w:footnoteReference w:id="138"/>
      </w:r>
      <w:r w:rsidRPr="000F0299">
        <w:rPr>
          <w:b/>
        </w:rPr>
        <w:t xml:space="preserve"> </w:t>
      </w:r>
    </w:p>
    <w:p w14:paraId="781E6D44" w14:textId="55D667CF" w:rsidR="005C5CAB" w:rsidRPr="000F0299" w:rsidRDefault="005C5CAB" w:rsidP="005C5CAB">
      <w:pPr>
        <w:rPr>
          <w:color w:val="000000"/>
        </w:rPr>
      </w:pPr>
      <w:r w:rsidRPr="000F0299">
        <w:rPr>
          <w:b/>
        </w:rPr>
        <w:t>Законом о електронској управи</w:t>
      </w:r>
      <w:r>
        <w:rPr>
          <w:b/>
        </w:rPr>
        <w:t xml:space="preserve"> </w:t>
      </w:r>
      <w:r w:rsidRPr="00FF2C3C">
        <w:t>(</w:t>
      </w:r>
      <w:r>
        <w:rPr>
          <w:shd w:val="clear" w:color="auto" w:fill="FFFFFF"/>
        </w:rPr>
        <w:t>„</w:t>
      </w:r>
      <w:r w:rsidRPr="00FF2C3C">
        <w:rPr>
          <w:shd w:val="clear" w:color="auto" w:fill="FFFFFF"/>
        </w:rPr>
        <w:t>Службени гласник РС", број</w:t>
      </w:r>
      <w:r>
        <w:rPr>
          <w:b/>
        </w:rPr>
        <w:t xml:space="preserve"> </w:t>
      </w:r>
      <w:r w:rsidRPr="008E7F7F">
        <w:t>27/18)</w:t>
      </w:r>
      <w:r>
        <w:rPr>
          <w:b/>
        </w:rPr>
        <w:t xml:space="preserve"> </w:t>
      </w:r>
      <w:r w:rsidRPr="000F0299">
        <w:rPr>
          <w:b/>
        </w:rPr>
        <w:t>утврђен је</w:t>
      </w:r>
      <w:r w:rsidRPr="000F0299">
        <w:t xml:space="preserve"> </w:t>
      </w:r>
      <w:r w:rsidRPr="000F0299">
        <w:rPr>
          <w:b/>
        </w:rPr>
        <w:t>правни оквир за функционисање електронске управе</w:t>
      </w:r>
      <w:r w:rsidRPr="000F0299">
        <w:t xml:space="preserve"> у Републици Србији и усклађивање са важећим европским прописима у домену е-управе. Једна од кључних новина </w:t>
      </w:r>
      <w:r>
        <w:t>унета тим</w:t>
      </w:r>
      <w:r w:rsidRPr="000F0299">
        <w:t xml:space="preserve"> закон</w:t>
      </w:r>
      <w:r>
        <w:t>ом</w:t>
      </w:r>
      <w:r w:rsidRPr="000F0299">
        <w:t xml:space="preserve"> је</w:t>
      </w:r>
      <w:r>
        <w:t>сте</w:t>
      </w:r>
      <w:r w:rsidRPr="000F0299">
        <w:t xml:space="preserve"> успостављање интероперабилности база података између државних органа и размена података електронским путем. Закон је прописао обавезну употребу ИКТ у раду органа јавне управе, како у управном поступању</w:t>
      </w:r>
      <w:r>
        <w:t>,</w:t>
      </w:r>
      <w:r w:rsidRPr="000F0299">
        <w:t xml:space="preserve"> тако и у комуникацији са грађанима, привредом и организацијама. Донети су и подзаконски акти,</w:t>
      </w:r>
      <w:r w:rsidRPr="000F0299">
        <w:rPr>
          <w:vertAlign w:val="superscript"/>
        </w:rPr>
        <w:footnoteReference w:id="139"/>
      </w:r>
      <w:r w:rsidRPr="000F0299">
        <w:t xml:space="preserve"> али је и даље потребно радити на заокруживању правног оквира у области е-управе.</w:t>
      </w:r>
      <w:r w:rsidRPr="000F0299">
        <w:rPr>
          <w:color w:val="000000"/>
        </w:rPr>
        <w:t xml:space="preserve"> Закон о електронској управи оснажује спровођење још једног новог закона – </w:t>
      </w:r>
      <w:r w:rsidRPr="000F0299">
        <w:rPr>
          <w:b/>
          <w:bCs/>
          <w:color w:val="000000"/>
        </w:rPr>
        <w:t>Закона о електронском документу,</w:t>
      </w:r>
      <w:r w:rsidRPr="000F0299">
        <w:rPr>
          <w:color w:val="000000"/>
        </w:rPr>
        <w:t xml:space="preserve"> </w:t>
      </w:r>
      <w:r w:rsidRPr="000F0299">
        <w:rPr>
          <w:b/>
          <w:color w:val="000000"/>
        </w:rPr>
        <w:t>електронској идентификацији и услугама од поверења у електронском пословању</w:t>
      </w:r>
      <w:r>
        <w:rPr>
          <w:b/>
          <w:color w:val="000000"/>
          <w:lang w:val="sr-Latn-RS"/>
        </w:rPr>
        <w:t xml:space="preserve"> </w:t>
      </w:r>
      <w:r w:rsidRPr="004D1FF7">
        <w:rPr>
          <w:color w:val="000000"/>
          <w:lang w:val="sr-Latn-RS"/>
        </w:rPr>
        <w:t>(</w:t>
      </w:r>
      <w:r w:rsidRPr="004D1FF7">
        <w:rPr>
          <w:color w:val="000000"/>
        </w:rPr>
        <w:t xml:space="preserve">Службени гласник број </w:t>
      </w:r>
      <w:r w:rsidRPr="004D1FF7">
        <w:rPr>
          <w:color w:val="333333"/>
          <w:shd w:val="clear" w:color="auto" w:fill="FFFFFF"/>
        </w:rPr>
        <w:t>94/17</w:t>
      </w:r>
      <w:r w:rsidRPr="004D1FF7">
        <w:rPr>
          <w:color w:val="000000"/>
        </w:rPr>
        <w:t>),</w:t>
      </w:r>
      <w:r w:rsidRPr="000F0299">
        <w:rPr>
          <w:color w:val="000000"/>
          <w:vertAlign w:val="superscript"/>
        </w:rPr>
        <w:footnoteReference w:id="140"/>
      </w:r>
      <w:r w:rsidRPr="000F0299">
        <w:rPr>
          <w:color w:val="000000"/>
        </w:rPr>
        <w:t xml:space="preserve"> којим је правни оквир у </w:t>
      </w:r>
      <w:r>
        <w:rPr>
          <w:color w:val="000000"/>
        </w:rPr>
        <w:t>т</w:t>
      </w:r>
      <w:r w:rsidRPr="000F0299">
        <w:rPr>
          <w:color w:val="000000"/>
        </w:rPr>
        <w:t xml:space="preserve">ој области </w:t>
      </w:r>
      <w:r>
        <w:rPr>
          <w:color w:val="000000"/>
        </w:rPr>
        <w:t>усклађен</w:t>
      </w:r>
      <w:r w:rsidRPr="000F0299">
        <w:rPr>
          <w:color w:val="000000"/>
        </w:rPr>
        <w:t xml:space="preserve"> са ЕУ eIDAS Регулативом.</w:t>
      </w:r>
      <w:r w:rsidRPr="000F0299">
        <w:rPr>
          <w:color w:val="000000"/>
          <w:vertAlign w:val="superscript"/>
        </w:rPr>
        <w:footnoteReference w:id="141"/>
      </w:r>
      <w:r w:rsidRPr="000F0299">
        <w:rPr>
          <w:color w:val="000000"/>
        </w:rPr>
        <w:t xml:space="preserve"> </w:t>
      </w:r>
      <w:r>
        <w:rPr>
          <w:color w:val="000000"/>
        </w:rPr>
        <w:t>Т</w:t>
      </w:r>
      <w:r w:rsidRPr="000F0299">
        <w:rPr>
          <w:color w:val="000000"/>
        </w:rPr>
        <w:t xml:space="preserve">им законом </w:t>
      </w:r>
      <w:r>
        <w:rPr>
          <w:color w:val="000000"/>
        </w:rPr>
        <w:t xml:space="preserve">су </w:t>
      </w:r>
      <w:r w:rsidRPr="000F0299">
        <w:rPr>
          <w:color w:val="000000"/>
        </w:rPr>
        <w:t xml:space="preserve">уведене нове услуге од поверења, као што су е-печат, е-идентификација, е-достава и дигитално архивирање како би се олакшала комуникација и утврдила правила у </w:t>
      </w:r>
      <w:r>
        <w:rPr>
          <w:color w:val="000000"/>
        </w:rPr>
        <w:t>т</w:t>
      </w:r>
      <w:r w:rsidRPr="000F0299">
        <w:rPr>
          <w:color w:val="000000"/>
        </w:rPr>
        <w:t xml:space="preserve">ој области. </w:t>
      </w:r>
      <w:r w:rsidRPr="000F0299">
        <w:rPr>
          <w:bCs/>
        </w:rPr>
        <w:t xml:space="preserve">Кључни помаци у области електронске управе </w:t>
      </w:r>
      <w:r>
        <w:rPr>
          <w:bCs/>
        </w:rPr>
        <w:t>настали су доношењем</w:t>
      </w:r>
      <w:r w:rsidRPr="000F0299">
        <w:rPr>
          <w:bCs/>
        </w:rPr>
        <w:t xml:space="preserve"> Закона о централном регистру становништва</w:t>
      </w:r>
      <w:r>
        <w:rPr>
          <w:bCs/>
        </w:rPr>
        <w:t xml:space="preserve"> </w:t>
      </w:r>
      <w:r w:rsidRPr="004D1FF7">
        <w:rPr>
          <w:bCs/>
        </w:rPr>
        <w:t>(</w:t>
      </w:r>
      <w:r w:rsidRPr="004D1FF7">
        <w:rPr>
          <w:color w:val="333333"/>
          <w:shd w:val="clear" w:color="auto" w:fill="FFFFFF"/>
        </w:rPr>
        <w:t>„Службени гласник РС“, број 17/1</w:t>
      </w:r>
      <w:r>
        <w:rPr>
          <w:color w:val="333333"/>
          <w:shd w:val="clear" w:color="auto" w:fill="FFFFFF"/>
        </w:rPr>
        <w:t>9</w:t>
      </w:r>
      <w:r w:rsidRPr="004D1FF7">
        <w:rPr>
          <w:color w:val="333333"/>
          <w:shd w:val="clear" w:color="auto" w:fill="FFFFFF"/>
        </w:rPr>
        <w:t>)</w:t>
      </w:r>
      <w:r w:rsidRPr="000F0299">
        <w:rPr>
          <w:bCs/>
          <w:vertAlign w:val="superscript"/>
        </w:rPr>
        <w:t xml:space="preserve"> </w:t>
      </w:r>
      <w:r w:rsidRPr="000F0299">
        <w:rPr>
          <w:bCs/>
          <w:vertAlign w:val="superscript"/>
        </w:rPr>
        <w:footnoteReference w:id="142"/>
      </w:r>
      <w:r w:rsidRPr="000F0299">
        <w:rPr>
          <w:bCs/>
        </w:rPr>
        <w:t xml:space="preserve"> и Закона о регистру просторних јединица и адресном регистру</w:t>
      </w:r>
      <w:r>
        <w:rPr>
          <w:bCs/>
        </w:rPr>
        <w:t xml:space="preserve"> </w:t>
      </w:r>
      <w:r w:rsidRPr="004D1FF7">
        <w:rPr>
          <w:bCs/>
        </w:rPr>
        <w:t>(</w:t>
      </w:r>
      <w:r w:rsidRPr="004D1FF7">
        <w:rPr>
          <w:color w:val="333333"/>
          <w:shd w:val="clear" w:color="auto" w:fill="FFFFFF"/>
        </w:rPr>
        <w:t>"Службени гласник РС", број 9/20)</w:t>
      </w:r>
      <w:r w:rsidRPr="004D1FF7">
        <w:rPr>
          <w:bCs/>
        </w:rPr>
        <w:t>.</w:t>
      </w:r>
      <w:r w:rsidRPr="000F0299">
        <w:rPr>
          <w:bCs/>
          <w:vertAlign w:val="superscript"/>
        </w:rPr>
        <w:footnoteReference w:id="143"/>
      </w:r>
      <w:r w:rsidRPr="000F0299">
        <w:rPr>
          <w:bCs/>
        </w:rPr>
        <w:t xml:space="preserve"> </w:t>
      </w:r>
      <w:r w:rsidRPr="000F0299">
        <w:rPr>
          <w:color w:val="000000"/>
        </w:rPr>
        <w:t>Значајна је недавно донета Уредба о канцеларијском пословању органа државне управе</w:t>
      </w:r>
      <w:r>
        <w:rPr>
          <w:color w:val="000000"/>
        </w:rPr>
        <w:t xml:space="preserve"> </w:t>
      </w:r>
      <w:r w:rsidRPr="008D7AAF">
        <w:t>(„Службени гласник РС”, број 21/20)</w:t>
      </w:r>
      <w:r>
        <w:rPr>
          <w:color w:val="000000"/>
        </w:rPr>
        <w:t>,</w:t>
      </w:r>
      <w:r w:rsidRPr="000F0299">
        <w:rPr>
          <w:color w:val="000000"/>
          <w:vertAlign w:val="superscript"/>
        </w:rPr>
        <w:footnoteReference w:id="144"/>
      </w:r>
      <w:r w:rsidRPr="000F0299">
        <w:rPr>
          <w:color w:val="000000"/>
        </w:rPr>
        <w:t xml:space="preserve"> која ће почети да се примењује 1. априла 2021. године, а која прописује да органи преко софтверског решења е-писарнице и система за управљање документима обављају послове канцеларијског пословања.</w:t>
      </w:r>
    </w:p>
    <w:p w14:paraId="4252C2F0" w14:textId="77777777" w:rsidR="005C5CAB" w:rsidRPr="000F0299" w:rsidRDefault="005C5CAB" w:rsidP="005C5CAB">
      <w:pPr>
        <w:rPr>
          <w:color w:val="000000" w:themeColor="text1"/>
        </w:rPr>
      </w:pPr>
      <w:r w:rsidRPr="004D1FF7">
        <w:rPr>
          <w:b/>
          <w:bCs/>
        </w:rPr>
        <w:t>Плански оквир за поједностављење поступака, односно услуга постављен је Стратегијом регулаторне реформе и унапређење система управљања јавним политикама за период 2016–2020. године</w:t>
      </w:r>
      <w:r w:rsidRPr="000F0299">
        <w:rPr>
          <w:b/>
          <w:bCs/>
        </w:rPr>
        <w:t xml:space="preserve"> и Програмом </w:t>
      </w:r>
      <w:r>
        <w:rPr>
          <w:b/>
          <w:bCs/>
        </w:rPr>
        <w:t>„</w:t>
      </w:r>
      <w:r w:rsidRPr="000F0299">
        <w:rPr>
          <w:b/>
          <w:bCs/>
        </w:rPr>
        <w:t>е-</w:t>
      </w:r>
      <w:r>
        <w:rPr>
          <w:b/>
          <w:bCs/>
        </w:rPr>
        <w:t>П</w:t>
      </w:r>
      <w:r w:rsidRPr="000F0299">
        <w:rPr>
          <w:b/>
          <w:bCs/>
        </w:rPr>
        <w:t>апир</w:t>
      </w:r>
      <w:r>
        <w:rPr>
          <w:b/>
          <w:bCs/>
        </w:rPr>
        <w:t>”</w:t>
      </w:r>
      <w:r w:rsidRPr="000F0299">
        <w:t>, као и пратећим методологијама које се користе у поједностављењ</w:t>
      </w:r>
      <w:r>
        <w:t>у</w:t>
      </w:r>
      <w:r w:rsidRPr="000F0299">
        <w:t>, оптимизациј</w:t>
      </w:r>
      <w:r>
        <w:t>и</w:t>
      </w:r>
      <w:r w:rsidRPr="000F0299">
        <w:t xml:space="preserve"> и укидањ</w:t>
      </w:r>
      <w:r>
        <w:t>у</w:t>
      </w:r>
      <w:r w:rsidRPr="000F0299">
        <w:t xml:space="preserve"> непотребних управних поступака, односно услуга. Координацију поједностављења, оптимизације, укидања и дигитализације поступака, односно услуга </w:t>
      </w:r>
      <w:r>
        <w:t>врши</w:t>
      </w:r>
      <w:r w:rsidRPr="000F0299">
        <w:t xml:space="preserve"> РСЈП уз сарадњу са Канцеларијом за информационе технологије и електронску управу и другим органима у чијој је надлежности вођење управних поступака</w:t>
      </w:r>
      <w:r w:rsidRPr="000F0299">
        <w:rPr>
          <w:color w:val="000000" w:themeColor="text1"/>
        </w:rPr>
        <w:t>.</w:t>
      </w:r>
    </w:p>
    <w:p w14:paraId="7C0D4720" w14:textId="77777777" w:rsidR="005C5CAB" w:rsidRPr="000F0299" w:rsidRDefault="005C5CAB" w:rsidP="005C5CAB">
      <w:r w:rsidRPr="000F0299">
        <w:t xml:space="preserve">Програм </w:t>
      </w:r>
      <w:r>
        <w:t>„</w:t>
      </w:r>
      <w:r w:rsidRPr="000F0299">
        <w:t>е-</w:t>
      </w:r>
      <w:r>
        <w:t>П</w:t>
      </w:r>
      <w:r w:rsidRPr="000F0299">
        <w:t>апир</w:t>
      </w:r>
      <w:r>
        <w:t>”</w:t>
      </w:r>
      <w:r w:rsidRPr="000F0299">
        <w:t xml:space="preserve"> </w:t>
      </w:r>
      <w:r>
        <w:t>разрађује</w:t>
      </w:r>
      <w:r w:rsidRPr="000F0299">
        <w:t xml:space="preserve"> поједностављење поступака који се односе на привреду и представља основ за модернизацију и трансформацију услуга. Спровођење Програма </w:t>
      </w:r>
      <w:r w:rsidRPr="00791B68">
        <w:t xml:space="preserve">„е-Папир” </w:t>
      </w:r>
      <w:r w:rsidRPr="000F0299">
        <w:t xml:space="preserve">координише РСЈП уз помоћ Координационог тела за спровођење </w:t>
      </w:r>
      <w:r>
        <w:t>т</w:t>
      </w:r>
      <w:r w:rsidRPr="000F0299">
        <w:t xml:space="preserve">ог програма. </w:t>
      </w:r>
      <w:r>
        <w:t xml:space="preserve">Пошто није утврђен орган </w:t>
      </w:r>
      <w:r w:rsidRPr="000F0299">
        <w:t>надлеж</w:t>
      </w:r>
      <w:r>
        <w:t>а</w:t>
      </w:r>
      <w:r w:rsidRPr="000F0299">
        <w:t>н за стандарде и квалитет услуга које пружа јавна управа, Одељење за модернизацију и трансформацију услуга јавне управе, као део РСЈП, припрема Закон о регистру административних поступака и подзаконске акте којим</w:t>
      </w:r>
      <w:r>
        <w:t>а</w:t>
      </w:r>
      <w:r w:rsidRPr="000F0299">
        <w:t xml:space="preserve"> ће се уредити методологија и стандарди креирања и пружања услуга и </w:t>
      </w:r>
      <w:r>
        <w:t xml:space="preserve">којима се </w:t>
      </w:r>
      <w:r w:rsidRPr="000F0299">
        <w:t>успоставља неопходн</w:t>
      </w:r>
      <w:r>
        <w:t>а</w:t>
      </w:r>
      <w:r w:rsidRPr="000F0299">
        <w:t xml:space="preserve"> инфраструктуру за одрживост система пружања услуга. Управна инспекција у МДУЛС, као важан део </w:t>
      </w:r>
      <w:r>
        <w:t>т</w:t>
      </w:r>
      <w:r w:rsidRPr="000F0299">
        <w:t xml:space="preserve">ог процеса, надлежна је за надзор над спровођењем прописа </w:t>
      </w:r>
      <w:r>
        <w:t xml:space="preserve">у </w:t>
      </w:r>
      <w:r w:rsidRPr="000F0299">
        <w:t>јавн</w:t>
      </w:r>
      <w:r>
        <w:t>ој</w:t>
      </w:r>
      <w:r w:rsidRPr="000F0299">
        <w:t xml:space="preserve"> управ</w:t>
      </w:r>
      <w:r>
        <w:t>и</w:t>
      </w:r>
      <w:r w:rsidRPr="000F0299">
        <w:t>, укључујући и контролу пружања услуга у складу са прописима.</w:t>
      </w:r>
      <w:r w:rsidRPr="000F0299">
        <w:rPr>
          <w:vertAlign w:val="superscript"/>
        </w:rPr>
        <w:footnoteReference w:id="145"/>
      </w:r>
    </w:p>
    <w:p w14:paraId="246EA3F1" w14:textId="77777777" w:rsidR="005C5CAB" w:rsidRPr="000F0299" w:rsidRDefault="005C5CAB" w:rsidP="005C5CAB">
      <w:pPr>
        <w:spacing w:after="120"/>
      </w:pPr>
      <w:r w:rsidRPr="000F0299">
        <w:rPr>
          <w:b/>
          <w:bCs/>
        </w:rPr>
        <w:t>Правни оквир за поједностављење управних поступака</w:t>
      </w:r>
      <w:r w:rsidRPr="000F0299">
        <w:t xml:space="preserve"> </w:t>
      </w:r>
      <w:r w:rsidRPr="000F0299">
        <w:rPr>
          <w:b/>
          <w:bCs/>
        </w:rPr>
        <w:t>пос</w:t>
      </w:r>
      <w:r w:rsidRPr="000F0299">
        <w:rPr>
          <w:b/>
        </w:rPr>
        <w:t>тављен је Законом о општем управном поступку</w:t>
      </w:r>
      <w:r>
        <w:rPr>
          <w:b/>
        </w:rPr>
        <w:t xml:space="preserve"> </w:t>
      </w:r>
      <w:r w:rsidRPr="00CD1B08">
        <w:t>(</w:t>
      </w:r>
      <w:r w:rsidRPr="00CD1B08">
        <w:rPr>
          <w:color w:val="333333"/>
          <w:shd w:val="clear" w:color="auto" w:fill="FFFFFF"/>
        </w:rPr>
        <w:t>"Службени гласник РС", бр. 18/16, 95/18)</w:t>
      </w:r>
      <w:r>
        <w:rPr>
          <w:b/>
        </w:rPr>
        <w:t>,</w:t>
      </w:r>
      <w:r w:rsidRPr="000F0299">
        <w:rPr>
          <w:vertAlign w:val="superscript"/>
        </w:rPr>
        <w:footnoteReference w:id="146"/>
      </w:r>
      <w:r w:rsidRPr="000F0299">
        <w:rPr>
          <w:b/>
        </w:rPr>
        <w:t xml:space="preserve"> </w:t>
      </w:r>
      <w:r>
        <w:t>којим је</w:t>
      </w:r>
      <w:r w:rsidRPr="000F0299">
        <w:rPr>
          <w:b/>
        </w:rPr>
        <w:t xml:space="preserve"> по </w:t>
      </w:r>
      <w:r w:rsidRPr="000F0299">
        <w:rPr>
          <w:b/>
          <w:bCs/>
        </w:rPr>
        <w:t xml:space="preserve">први пут </w:t>
      </w:r>
      <w:r>
        <w:rPr>
          <w:b/>
          <w:bCs/>
        </w:rPr>
        <w:t>утврђен појам</w:t>
      </w:r>
      <w:r w:rsidRPr="000F0299">
        <w:t xml:space="preserve"> </w:t>
      </w:r>
      <w:r w:rsidRPr="000F0299">
        <w:rPr>
          <w:b/>
        </w:rPr>
        <w:t>јединствено управно место</w:t>
      </w:r>
      <w:r>
        <w:t xml:space="preserve"> − </w:t>
      </w:r>
      <w:r w:rsidRPr="000F0299">
        <w:t>на ком странке могу да добију више информација и услуга на једном месту, било да се ради о електронском (Портал е-управа) или физичко</w:t>
      </w:r>
      <w:r>
        <w:t>м</w:t>
      </w:r>
      <w:r w:rsidRPr="000F0299">
        <w:t xml:space="preserve"> месту, али још </w:t>
      </w:r>
      <w:r w:rsidRPr="000F0299">
        <w:rPr>
          <w:b/>
        </w:rPr>
        <w:t>није донет подзаконски акт којим би се уредили услови и критеријуми за успостављање јединствених управних места</w:t>
      </w:r>
      <w:r w:rsidRPr="000F0299">
        <w:t xml:space="preserve">. </w:t>
      </w:r>
      <w:r>
        <w:t>Т</w:t>
      </w:r>
      <w:r w:rsidRPr="000F0299">
        <w:t xml:space="preserve">им законом </w:t>
      </w:r>
      <w:r>
        <w:t xml:space="preserve">је утврђена </w:t>
      </w:r>
      <w:r w:rsidRPr="000F0299">
        <w:rPr>
          <w:b/>
        </w:rPr>
        <w:t>обавез</w:t>
      </w:r>
      <w:r>
        <w:rPr>
          <w:b/>
        </w:rPr>
        <w:t xml:space="preserve">а да </w:t>
      </w:r>
      <w:r w:rsidRPr="000F0299">
        <w:rPr>
          <w:b/>
        </w:rPr>
        <w:t>орган</w:t>
      </w:r>
      <w:r>
        <w:rPr>
          <w:b/>
        </w:rPr>
        <w:t>и</w:t>
      </w:r>
      <w:r w:rsidRPr="000F0299">
        <w:rPr>
          <w:b/>
        </w:rPr>
        <w:t xml:space="preserve"> управе </w:t>
      </w:r>
      <w:r>
        <w:rPr>
          <w:b/>
        </w:rPr>
        <w:t xml:space="preserve">међусобно размењују </w:t>
      </w:r>
      <w:r w:rsidRPr="000F0299">
        <w:rPr>
          <w:b/>
        </w:rPr>
        <w:t>пода</w:t>
      </w:r>
      <w:r>
        <w:rPr>
          <w:b/>
        </w:rPr>
        <w:t>тке</w:t>
      </w:r>
      <w:r w:rsidRPr="000F0299">
        <w:rPr>
          <w:b/>
        </w:rPr>
        <w:t xml:space="preserve"> из службених евиденција</w:t>
      </w:r>
      <w:r w:rsidRPr="00A00985">
        <w:t>, што је</w:t>
      </w:r>
      <w:r>
        <w:rPr>
          <w:b/>
        </w:rPr>
        <w:t xml:space="preserve"> </w:t>
      </w:r>
      <w:r w:rsidRPr="000F0299">
        <w:t>један од битних услова за остваривање начела економичности и делотворности рада јавне управе и њено претварањ</w:t>
      </w:r>
      <w:r>
        <w:t>е</w:t>
      </w:r>
      <w:r w:rsidRPr="000F0299">
        <w:t xml:space="preserve"> у сервис грађана. Нагласак је на размени пода</w:t>
      </w:r>
      <w:r>
        <w:t>така</w:t>
      </w:r>
      <w:r w:rsidRPr="000F0299">
        <w:t>, а не на размени докумен</w:t>
      </w:r>
      <w:r>
        <w:t xml:space="preserve">ата </w:t>
      </w:r>
      <w:r w:rsidRPr="000F0299">
        <w:t xml:space="preserve">органа управе. Закон је предвидео прекршајну одговорност овлашћених службеника </w:t>
      </w:r>
      <w:r>
        <w:t xml:space="preserve">у органу </w:t>
      </w:r>
      <w:r w:rsidRPr="000F0299">
        <w:t xml:space="preserve">који не </w:t>
      </w:r>
      <w:r>
        <w:t>одобре</w:t>
      </w:r>
      <w:r w:rsidRPr="000F0299">
        <w:t xml:space="preserve"> увид</w:t>
      </w:r>
      <w:r>
        <w:t xml:space="preserve"> или не </w:t>
      </w:r>
      <w:r w:rsidRPr="000F0299">
        <w:t xml:space="preserve">обраде, прибаве, уступе, односно доставе податке о чињеницама о којима </w:t>
      </w:r>
      <w:r>
        <w:t>орган</w:t>
      </w:r>
      <w:r w:rsidRPr="000F0299">
        <w:t xml:space="preserve"> води службен</w:t>
      </w:r>
      <w:r>
        <w:t>у</w:t>
      </w:r>
      <w:r w:rsidRPr="000F0299">
        <w:t xml:space="preserve"> евиденциј</w:t>
      </w:r>
      <w:r>
        <w:t>у</w:t>
      </w:r>
      <w:r w:rsidRPr="000F0299">
        <w:t xml:space="preserve">, а посебно је нагласио важност </w:t>
      </w:r>
      <w:r>
        <w:t xml:space="preserve">да се </w:t>
      </w:r>
      <w:r w:rsidRPr="000F0299">
        <w:t>оствари принцип помоћи странци и обезбе</w:t>
      </w:r>
      <w:r>
        <w:t>ди</w:t>
      </w:r>
      <w:r w:rsidRPr="000F0299">
        <w:t xml:space="preserve"> правовремен</w:t>
      </w:r>
      <w:r>
        <w:t>а</w:t>
      </w:r>
      <w:r w:rsidRPr="000F0299">
        <w:t xml:space="preserve"> информ</w:t>
      </w:r>
      <w:r>
        <w:t>ација</w:t>
      </w:r>
      <w:r w:rsidRPr="000F0299">
        <w:t>. Усаглашавање секторских прописа са овим законом касни, а капацитети МДУЛС-а да врше надзор над применом Закона нису довољни.</w:t>
      </w:r>
    </w:p>
    <w:p w14:paraId="43941E35" w14:textId="77777777" w:rsidR="005C5CAB" w:rsidRPr="000F0299" w:rsidRDefault="005C5CAB" w:rsidP="00797D36">
      <w:pPr>
        <w:rPr>
          <w:color w:val="000000" w:themeColor="text1"/>
        </w:rPr>
      </w:pPr>
      <w:r>
        <w:rPr>
          <w:b/>
        </w:rPr>
        <w:t>У</w:t>
      </w:r>
      <w:r w:rsidRPr="000F0299">
        <w:rPr>
          <w:b/>
        </w:rPr>
        <w:t xml:space="preserve"> систему државне управе тренутно не постоји орган који има искључиву надлежност</w:t>
      </w:r>
      <w:r w:rsidRPr="000F0299">
        <w:rPr>
          <w:bCs/>
        </w:rPr>
        <w:t xml:space="preserve"> </w:t>
      </w:r>
      <w:r w:rsidRPr="000F0299">
        <w:rPr>
          <w:b/>
        </w:rPr>
        <w:t xml:space="preserve">за </w:t>
      </w:r>
      <w:r>
        <w:rPr>
          <w:b/>
        </w:rPr>
        <w:t>креирање</w:t>
      </w:r>
      <w:r w:rsidRPr="000F0299">
        <w:rPr>
          <w:b/>
        </w:rPr>
        <w:t xml:space="preserve"> политике у области пружања услуга</w:t>
      </w:r>
      <w:r w:rsidRPr="000F0299">
        <w:rPr>
          <w:bCs/>
          <w:color w:val="000000" w:themeColor="text1"/>
        </w:rPr>
        <w:t xml:space="preserve">. Побољшања у овој области у највећем броју случајева спроводе засебно </w:t>
      </w:r>
      <w:r>
        <w:rPr>
          <w:bCs/>
          <w:color w:val="000000" w:themeColor="text1"/>
        </w:rPr>
        <w:t xml:space="preserve">и углавном самостално </w:t>
      </w:r>
      <w:r w:rsidRPr="000F0299">
        <w:rPr>
          <w:bCs/>
          <w:color w:val="000000" w:themeColor="text1"/>
        </w:rPr>
        <w:t>појединачни орган</w:t>
      </w:r>
      <w:r>
        <w:rPr>
          <w:bCs/>
          <w:color w:val="000000" w:themeColor="text1"/>
        </w:rPr>
        <w:t>и</w:t>
      </w:r>
      <w:r w:rsidRPr="000F0299">
        <w:rPr>
          <w:bCs/>
          <w:color w:val="000000" w:themeColor="text1"/>
        </w:rPr>
        <w:t xml:space="preserve"> државне управе, без централне координације, с изузетком Програма </w:t>
      </w:r>
      <w:r w:rsidRPr="003166D3">
        <w:rPr>
          <w:bCs/>
          <w:color w:val="000000" w:themeColor="text1"/>
        </w:rPr>
        <w:t>„е-Папир”</w:t>
      </w:r>
      <w:r>
        <w:rPr>
          <w:bCs/>
          <w:color w:val="000000" w:themeColor="text1"/>
        </w:rPr>
        <w:t xml:space="preserve">, а </w:t>
      </w:r>
      <w:r w:rsidRPr="000F0299">
        <w:rPr>
          <w:b/>
          <w:bCs/>
          <w:color w:val="000000" w:themeColor="text1"/>
        </w:rPr>
        <w:t xml:space="preserve">нису успостављени </w:t>
      </w:r>
      <w:r>
        <w:rPr>
          <w:b/>
          <w:bCs/>
          <w:color w:val="000000" w:themeColor="text1"/>
        </w:rPr>
        <w:t xml:space="preserve">ни </w:t>
      </w:r>
      <w:r w:rsidRPr="000F0299">
        <w:rPr>
          <w:b/>
          <w:bCs/>
          <w:color w:val="000000" w:themeColor="text1"/>
        </w:rPr>
        <w:t xml:space="preserve">механизми контроле квалитета административних услуга </w:t>
      </w:r>
      <w:r>
        <w:rPr>
          <w:b/>
          <w:bCs/>
          <w:color w:val="000000" w:themeColor="text1"/>
        </w:rPr>
        <w:t xml:space="preserve">које </w:t>
      </w:r>
      <w:r w:rsidRPr="000F0299">
        <w:rPr>
          <w:b/>
          <w:bCs/>
          <w:color w:val="000000" w:themeColor="text1"/>
        </w:rPr>
        <w:t>пруж</w:t>
      </w:r>
      <w:r>
        <w:rPr>
          <w:b/>
          <w:bCs/>
          <w:color w:val="000000" w:themeColor="text1"/>
        </w:rPr>
        <w:t xml:space="preserve">ају </w:t>
      </w:r>
      <w:r w:rsidRPr="000F0299">
        <w:rPr>
          <w:b/>
          <w:bCs/>
          <w:color w:val="000000" w:themeColor="text1"/>
        </w:rPr>
        <w:t>орган</w:t>
      </w:r>
      <w:r>
        <w:rPr>
          <w:b/>
          <w:bCs/>
          <w:color w:val="000000" w:themeColor="text1"/>
        </w:rPr>
        <w:t>и</w:t>
      </w:r>
      <w:r w:rsidRPr="000F0299">
        <w:rPr>
          <w:b/>
          <w:bCs/>
          <w:color w:val="000000" w:themeColor="text1"/>
        </w:rPr>
        <w:t xml:space="preserve"> државне управе.</w:t>
      </w:r>
    </w:p>
    <w:p w14:paraId="24579FF0" w14:textId="77777777" w:rsidR="005C5CAB" w:rsidRPr="000F0299" w:rsidRDefault="005C5CAB" w:rsidP="005C5CAB">
      <w:r w:rsidRPr="000F0299">
        <w:t xml:space="preserve">Да би се побољшало </w:t>
      </w:r>
      <w:r w:rsidRPr="000F0299">
        <w:rPr>
          <w:bCs/>
        </w:rPr>
        <w:t>институционално управљање</w:t>
      </w:r>
      <w:r w:rsidRPr="000F0299">
        <w:rPr>
          <w:b/>
        </w:rPr>
        <w:t xml:space="preserve"> </w:t>
      </w:r>
      <w:r w:rsidRPr="000F0299">
        <w:rPr>
          <w:bCs/>
        </w:rPr>
        <w:t xml:space="preserve">у области </w:t>
      </w:r>
      <w:r w:rsidRPr="000F0299">
        <w:t xml:space="preserve">електронске управе, стратешко планирање и нормативни послови додељени су </w:t>
      </w:r>
      <w:r w:rsidRPr="000F0299">
        <w:rPr>
          <w:b/>
        </w:rPr>
        <w:t>МДУЛС-у</w:t>
      </w:r>
      <w:r w:rsidRPr="00A00985">
        <w:t>,</w:t>
      </w:r>
      <w:r w:rsidRPr="000F0299">
        <w:t xml:space="preserve"> а 2017. године формирана је </w:t>
      </w:r>
      <w:r w:rsidRPr="000F0299">
        <w:rPr>
          <w:b/>
        </w:rPr>
        <w:t>Канцеларија за информационе технологије и електронску управу</w:t>
      </w:r>
      <w:r w:rsidRPr="000F0299">
        <w:t xml:space="preserve"> као служба Владе, уз додатну подршку стручних тимова Владе. Почетком 2018. године основан је и Владин </w:t>
      </w:r>
      <w:r w:rsidRPr="000F0299">
        <w:rPr>
          <w:b/>
        </w:rPr>
        <w:t>Координациони савет за развој електронске управе</w:t>
      </w:r>
      <w:r>
        <w:rPr>
          <w:b/>
        </w:rPr>
        <w:t xml:space="preserve"> </w:t>
      </w:r>
      <w:r w:rsidRPr="008D7AAF">
        <w:t>(</w:t>
      </w:r>
      <w:r>
        <w:t>,,</w:t>
      </w:r>
      <w:r w:rsidRPr="008D7AAF">
        <w:t>Службени гласник РС</w:t>
      </w:r>
      <w:r>
        <w:t>”</w:t>
      </w:r>
      <w:r w:rsidRPr="008D7AAF">
        <w:t>, број 104/17)</w:t>
      </w:r>
      <w:r w:rsidRPr="00A00985">
        <w:t>,</w:t>
      </w:r>
      <w:r w:rsidRPr="000F0299">
        <w:rPr>
          <w:vertAlign w:val="superscript"/>
        </w:rPr>
        <w:footnoteReference w:id="147"/>
      </w:r>
      <w:r w:rsidRPr="000F0299">
        <w:t xml:space="preserve"> чији је задатак да усклађује активности на изради и спровођењу стратешких аката из области развоја и функционисања е-управе, као и да прати стање, потребе, развој и примену стандарда </w:t>
      </w:r>
      <w:r>
        <w:t>током</w:t>
      </w:r>
      <w:r w:rsidRPr="000F0299">
        <w:t xml:space="preserve"> увођења система електронске управе.</w:t>
      </w:r>
    </w:p>
    <w:p w14:paraId="1ABF39A8" w14:textId="509F7501" w:rsidR="008D7AAF" w:rsidRPr="000F0299" w:rsidRDefault="005C5CAB" w:rsidP="005C5CAB">
      <w:r w:rsidRPr="000F0299">
        <w:rPr>
          <w:bCs/>
        </w:rPr>
        <w:t>Влада је 2019. године образовала и</w:t>
      </w:r>
      <w:r w:rsidRPr="000F0299">
        <w:rPr>
          <w:b/>
          <w:bCs/>
        </w:rPr>
        <w:t xml:space="preserve"> Координационо тело за праћење спровођења Програма </w:t>
      </w:r>
      <w:r w:rsidRPr="00F5377B">
        <w:rPr>
          <w:b/>
          <w:bCs/>
        </w:rPr>
        <w:t>„е-Папир”</w:t>
      </w:r>
      <w:r w:rsidRPr="000F0299">
        <w:rPr>
          <w:vertAlign w:val="superscript"/>
        </w:rPr>
        <w:footnoteReference w:id="148"/>
      </w:r>
      <w:r w:rsidRPr="000F0299">
        <w:t xml:space="preserve"> Координационо тело прати спровођење усаглашених препорука за поједностављење поступака, укључујући и активности дигитализације и побољшања квалитета јавних услуга у Републици Србији. У оквиру </w:t>
      </w:r>
      <w:r>
        <w:t>т</w:t>
      </w:r>
      <w:r w:rsidRPr="000F0299">
        <w:t xml:space="preserve">ог тела формирана је и Посебна радна група за дигитализацију административних поступака у оквиру спровођења Програма </w:t>
      </w:r>
      <w:r w:rsidRPr="00F5377B">
        <w:t>„е-Папир”</w:t>
      </w:r>
      <w:r w:rsidRPr="000F0299">
        <w:t xml:space="preserve">. године. Задатак </w:t>
      </w:r>
      <w:r>
        <w:t>те п</w:t>
      </w:r>
      <w:r w:rsidRPr="000F0299">
        <w:t>осебне радне групе је</w:t>
      </w:r>
      <w:r>
        <w:t xml:space="preserve">сте да </w:t>
      </w:r>
      <w:r w:rsidRPr="000F0299">
        <w:t>координ</w:t>
      </w:r>
      <w:r>
        <w:t>ише</w:t>
      </w:r>
      <w:r w:rsidRPr="000F0299">
        <w:t xml:space="preserve"> послов</w:t>
      </w:r>
      <w:r>
        <w:t>е</w:t>
      </w:r>
      <w:r w:rsidRPr="000F0299">
        <w:t>, односно пра</w:t>
      </w:r>
      <w:r>
        <w:t>ти</w:t>
      </w:r>
      <w:r w:rsidRPr="000F0299">
        <w:t xml:space="preserve"> </w:t>
      </w:r>
      <w:r>
        <w:t xml:space="preserve">спровођење </w:t>
      </w:r>
      <w:r w:rsidRPr="000F0299">
        <w:t>активности органа и организација</w:t>
      </w:r>
      <w:r>
        <w:t xml:space="preserve"> којима се </w:t>
      </w:r>
      <w:r w:rsidRPr="000F0299">
        <w:t>спрово</w:t>
      </w:r>
      <w:r>
        <w:t xml:space="preserve">ди </w:t>
      </w:r>
      <w:r w:rsidRPr="000F0299">
        <w:t xml:space="preserve">Програм </w:t>
      </w:r>
      <w:r w:rsidRPr="0008376A">
        <w:t>„е-Папир”</w:t>
      </w:r>
      <w:r w:rsidRPr="000F0299">
        <w:t xml:space="preserve"> у домену дигитализације и побољшања квалитета јавних услуга, као и редовно извештава Координационо тел</w:t>
      </w:r>
      <w:r>
        <w:t>о</w:t>
      </w:r>
      <w:r w:rsidRPr="000F0299">
        <w:t xml:space="preserve"> за праћење спровођења Програм</w:t>
      </w:r>
      <w:r w:rsidR="008D7AAF" w:rsidRPr="000F0299">
        <w:t>а.</w:t>
      </w:r>
    </w:p>
    <w:p w14:paraId="3513A3D2" w14:textId="77777777" w:rsidR="008D7AAF" w:rsidRPr="000F0299" w:rsidRDefault="008D7AAF" w:rsidP="0027396C">
      <w:pPr>
        <w:pStyle w:val="Heading4"/>
        <w:rPr>
          <w:lang w:val="sr-Cyrl-RS"/>
        </w:rPr>
      </w:pPr>
      <w:r w:rsidRPr="000F0299">
        <w:rPr>
          <w:lang w:val="sr-Cyrl-RS"/>
        </w:rPr>
        <w:t>Резултати и изазови</w:t>
      </w:r>
    </w:p>
    <w:p w14:paraId="7CC2951C" w14:textId="77777777" w:rsidR="003D38D9" w:rsidRPr="000F0299" w:rsidRDefault="003D38D9" w:rsidP="003D38D9">
      <w:pPr>
        <w:rPr>
          <w:b/>
          <w:bCs/>
        </w:rPr>
      </w:pPr>
      <w:r w:rsidRPr="000F0299">
        <w:t xml:space="preserve">Анализа је показала да </w:t>
      </w:r>
      <w:r>
        <w:t xml:space="preserve">су постигнути резултати </w:t>
      </w:r>
      <w:r w:rsidRPr="000F0299">
        <w:t xml:space="preserve">реформе у претходних неколико година, </w:t>
      </w:r>
      <w:r>
        <w:t>али да је потребно унапређивати</w:t>
      </w:r>
      <w:r w:rsidRPr="000F0299">
        <w:t xml:space="preserve"> </w:t>
      </w:r>
      <w:r>
        <w:t>развој</w:t>
      </w:r>
      <w:r w:rsidRPr="000F0299">
        <w:rPr>
          <w:b/>
        </w:rPr>
        <w:t xml:space="preserve"> обједињеног система</w:t>
      </w:r>
      <w:r w:rsidRPr="000F0299">
        <w:t xml:space="preserve"> </w:t>
      </w:r>
      <w:r w:rsidRPr="000F0299">
        <w:rPr>
          <w:b/>
        </w:rPr>
        <w:t>креирања услуга</w:t>
      </w:r>
      <w:r w:rsidRPr="000F0299">
        <w:t xml:space="preserve"> и процеса </w:t>
      </w:r>
      <w:r w:rsidRPr="000F0299">
        <w:rPr>
          <w:b/>
        </w:rPr>
        <w:t>оптимизације</w:t>
      </w:r>
      <w:r w:rsidRPr="000F0299">
        <w:t xml:space="preserve"> услуга, </w:t>
      </w:r>
      <w:r w:rsidRPr="000F0299">
        <w:rPr>
          <w:b/>
        </w:rPr>
        <w:t>управљањ</w:t>
      </w:r>
      <w:r>
        <w:rPr>
          <w:b/>
        </w:rPr>
        <w:t>е</w:t>
      </w:r>
      <w:r w:rsidRPr="000F0299">
        <w:t xml:space="preserve"> пружањ</w:t>
      </w:r>
      <w:r>
        <w:t>ем</w:t>
      </w:r>
      <w:r w:rsidRPr="000F0299">
        <w:t xml:space="preserve"> услуга тако да услуге буду пружене свима на стандардизован начин, као и систем за </w:t>
      </w:r>
      <w:r w:rsidRPr="000F0299">
        <w:rPr>
          <w:b/>
        </w:rPr>
        <w:t xml:space="preserve">контролу и обезбеђивање квалитета </w:t>
      </w:r>
      <w:r w:rsidRPr="000F0299">
        <w:t>пружених услуга.</w:t>
      </w:r>
      <w:r w:rsidRPr="000F0299">
        <w:rPr>
          <w:b/>
          <w:bCs/>
        </w:rPr>
        <w:t xml:space="preserve"> </w:t>
      </w:r>
    </w:p>
    <w:p w14:paraId="4FDF5A31" w14:textId="77777777" w:rsidR="003D38D9" w:rsidRPr="000F0299" w:rsidRDefault="003D38D9" w:rsidP="003D38D9">
      <w:r w:rsidRPr="000F0299">
        <w:rPr>
          <w:b/>
          <w:bCs/>
        </w:rPr>
        <w:t>Систем за развој кориснички оријентисаних услуга кроз препознавање реалних потреба корисника није у потпуности изграђен</w:t>
      </w:r>
      <w:r w:rsidRPr="000F0299">
        <w:t xml:space="preserve">. Као резултат спроведених реформи у последње две године расте </w:t>
      </w:r>
      <w:r w:rsidRPr="000F0299">
        <w:rPr>
          <w:b/>
          <w:bCs/>
        </w:rPr>
        <w:t>поверење јавности у јавну управу и задовољство грађана пруженим јавним услугама</w:t>
      </w:r>
      <w:r w:rsidRPr="00A00985">
        <w:rPr>
          <w:bCs/>
        </w:rPr>
        <w:t>,</w:t>
      </w:r>
      <w:r w:rsidRPr="000F0299">
        <w:rPr>
          <w:vertAlign w:val="superscript"/>
        </w:rPr>
        <w:footnoteReference w:id="149"/>
      </w:r>
      <w:r w:rsidRPr="000F0299">
        <w:t xml:space="preserve"> али се услуге ретко креирају кроз претходно мапирање потреба корисника. Јавна управа још увек је само делимично усмерена на концепт услуге</w:t>
      </w:r>
      <w:r w:rsidRPr="00A00985">
        <w:t>,</w:t>
      </w:r>
      <w:r w:rsidRPr="00A00985">
        <w:rPr>
          <w:vertAlign w:val="superscript"/>
        </w:rPr>
        <w:footnoteReference w:id="150"/>
      </w:r>
      <w:r w:rsidRPr="00671528">
        <w:t xml:space="preserve"> </w:t>
      </w:r>
      <w:r w:rsidRPr="000F0299">
        <w:t>што значи да се на услуге у јавној управи и даље превасходно гледа формално (да ли су као такве дефинисане у нормативним актима). Формалистички приступ и наслеђена административна култура представљају кључну баријеру за проактиван развој интегрисаних и ефикасних услуга по мери крајњих корисника.</w:t>
      </w:r>
      <w:r w:rsidRPr="000F0299">
        <w:rPr>
          <w:vertAlign w:val="superscript"/>
        </w:rPr>
        <w:footnoteReference w:id="151"/>
      </w:r>
      <w:r w:rsidRPr="000F0299">
        <w:t xml:space="preserve"> Органи приликом креирања нових услуга немају на располагању стандардизоване и савремене алате за укључивање јавности у осмишљавање услуга</w:t>
      </w:r>
      <w:r>
        <w:t xml:space="preserve"> због чега се</w:t>
      </w:r>
      <w:r w:rsidRPr="000F0299">
        <w:t xml:space="preserve"> крајњи корисни</w:t>
      </w:r>
      <w:r>
        <w:t>ци</w:t>
      </w:r>
      <w:r w:rsidRPr="000F0299">
        <w:t xml:space="preserve"> ретко и касно укључ</w:t>
      </w:r>
      <w:r>
        <w:t>ују</w:t>
      </w:r>
      <w:r w:rsidRPr="000F0299">
        <w:t xml:space="preserve"> у процес развоја услуга</w:t>
      </w:r>
      <w:r>
        <w:t>, па нису увек задовољни услугама које добијају и</w:t>
      </w:r>
      <w:r w:rsidRPr="000F0299">
        <w:t xml:space="preserve"> </w:t>
      </w:r>
      <w:r>
        <w:t xml:space="preserve">њиховим </w:t>
      </w:r>
      <w:r w:rsidRPr="000F0299">
        <w:t>квалитетом.</w:t>
      </w:r>
      <w:r w:rsidRPr="000F0299">
        <w:rPr>
          <w:vertAlign w:val="superscript"/>
        </w:rPr>
        <w:footnoteReference w:id="152"/>
      </w:r>
      <w:r w:rsidRPr="000F0299">
        <w:rPr>
          <w:vertAlign w:val="superscript"/>
        </w:rPr>
        <w:t xml:space="preserve">, </w:t>
      </w:r>
      <w:r w:rsidRPr="000F0299">
        <w:rPr>
          <w:vertAlign w:val="superscript"/>
        </w:rPr>
        <w:footnoteReference w:id="153"/>
      </w:r>
      <w:r w:rsidRPr="000F0299">
        <w:t xml:space="preserve"> </w:t>
      </w:r>
      <w:r>
        <w:t>Ј</w:t>
      </w:r>
      <w:r w:rsidRPr="000F0299">
        <w:t>авна управа се не ослања у довољној мери на иновативну међународну праксу у развоју услуга, попут дизајн</w:t>
      </w:r>
      <w:r>
        <w:t>ирањ</w:t>
      </w:r>
      <w:r w:rsidRPr="000F0299">
        <w:t>а услуга у сарадњи са широм друштвеном заједницом (стартап заједницом, невладиним сектором, академском заједницом и иновативним компанијама) или кроз успостављање лабораторија за развој услуга као акцелератора иновативности у размишљањима о развоју и оптимизацији услуга, пилотирања нових приступа у пружању услуга и ширења добре праксе.</w:t>
      </w:r>
      <w:r w:rsidRPr="000F0299">
        <w:rPr>
          <w:vertAlign w:val="superscript"/>
        </w:rPr>
        <w:footnoteReference w:id="154"/>
      </w:r>
    </w:p>
    <w:p w14:paraId="4693EFEE" w14:textId="77777777" w:rsidR="003D38D9" w:rsidRPr="000F0299" w:rsidRDefault="003D38D9" w:rsidP="003D38D9">
      <w:pPr>
        <w:rPr>
          <w:bCs/>
        </w:rPr>
      </w:pPr>
      <w:r w:rsidRPr="000F0299">
        <w:rPr>
          <w:b/>
          <w:bCs/>
        </w:rPr>
        <w:t xml:space="preserve">Информације о услугама </w:t>
      </w:r>
      <w:r>
        <w:rPr>
          <w:b/>
          <w:bCs/>
        </w:rPr>
        <w:t>само су</w:t>
      </w:r>
      <w:r w:rsidRPr="000F0299">
        <w:rPr>
          <w:b/>
          <w:bCs/>
        </w:rPr>
        <w:t xml:space="preserve"> </w:t>
      </w:r>
      <w:r>
        <w:rPr>
          <w:b/>
          <w:bCs/>
        </w:rPr>
        <w:t>недовољно</w:t>
      </w:r>
      <w:r w:rsidRPr="000F0299">
        <w:rPr>
          <w:b/>
          <w:bCs/>
        </w:rPr>
        <w:t xml:space="preserve"> доступне и јасне</w:t>
      </w:r>
      <w:r w:rsidRPr="000F0299">
        <w:rPr>
          <w:vertAlign w:val="superscript"/>
        </w:rPr>
        <w:footnoteReference w:id="155"/>
      </w:r>
      <w:r w:rsidRPr="000F0299">
        <w:t xml:space="preserve"> упркос обавези да се све услуге видно истакну на порталу органа уз напомену које услуге су електронске.</w:t>
      </w:r>
      <w:r w:rsidRPr="000F0299">
        <w:rPr>
          <w:vertAlign w:val="superscript"/>
        </w:rPr>
        <w:footnoteReference w:id="156"/>
      </w:r>
      <w:r w:rsidRPr="000F0299">
        <w:t xml:space="preserve"> </w:t>
      </w:r>
      <w:r w:rsidRPr="000F0299">
        <w:rPr>
          <w:b/>
          <w:bCs/>
        </w:rPr>
        <w:t xml:space="preserve">Грађани и привреда се и даље суочавају с релативно високим трошковима </w:t>
      </w:r>
      <w:r>
        <w:rPr>
          <w:b/>
          <w:bCs/>
        </w:rPr>
        <w:t>за</w:t>
      </w:r>
      <w:r w:rsidRPr="000F0299">
        <w:rPr>
          <w:b/>
          <w:bCs/>
        </w:rPr>
        <w:t xml:space="preserve"> услуг</w:t>
      </w:r>
      <w:r>
        <w:rPr>
          <w:b/>
          <w:bCs/>
        </w:rPr>
        <w:t>е</w:t>
      </w:r>
      <w:r w:rsidRPr="000F0299">
        <w:rPr>
          <w:b/>
          <w:bCs/>
        </w:rPr>
        <w:t xml:space="preserve">, неуједначеном праксом поступања јавне управе и непотпуним остваривањем </w:t>
      </w:r>
      <w:r>
        <w:rPr>
          <w:b/>
          <w:bCs/>
        </w:rPr>
        <w:t xml:space="preserve">својих </w:t>
      </w:r>
      <w:r w:rsidRPr="000F0299">
        <w:rPr>
          <w:b/>
          <w:bCs/>
        </w:rPr>
        <w:t>права пред органима јавне управе, што доводи до мање правне сигурности</w:t>
      </w:r>
      <w:r w:rsidRPr="000F0299">
        <w:rPr>
          <w:bCs/>
        </w:rPr>
        <w:t xml:space="preserve">. </w:t>
      </w:r>
      <w:r>
        <w:rPr>
          <w:bCs/>
        </w:rPr>
        <w:t>Т</w:t>
      </w:r>
      <w:r w:rsidRPr="000F0299">
        <w:rPr>
          <w:bCs/>
        </w:rPr>
        <w:t>о се посебно одражава на привреду, кроз слабу предвидљивост услова пословања,</w:t>
      </w:r>
      <w:r w:rsidRPr="000F0299">
        <w:rPr>
          <w:bCs/>
          <w:vertAlign w:val="superscript"/>
        </w:rPr>
        <w:footnoteReference w:id="157"/>
      </w:r>
      <w:r w:rsidRPr="000F0299">
        <w:rPr>
          <w:bCs/>
        </w:rPr>
        <w:t xml:space="preserve"> недовољну информисаност о променама, те релативно високе административне трошкове пословања,</w:t>
      </w:r>
      <w:r w:rsidRPr="000F0299">
        <w:rPr>
          <w:bCs/>
          <w:vertAlign w:val="superscript"/>
        </w:rPr>
        <w:footnoteReference w:id="158"/>
      </w:r>
      <w:r w:rsidRPr="000F0299">
        <w:rPr>
          <w:bCs/>
        </w:rPr>
        <w:t xml:space="preserve"> што дестимулише инвестиције и запошљавање. Приступ услугама је неуједначен, како територијално, тако и електронски.</w:t>
      </w:r>
      <w:r w:rsidRPr="000F0299">
        <w:rPr>
          <w:bCs/>
          <w:vertAlign w:val="superscript"/>
        </w:rPr>
        <w:footnoteReference w:id="159"/>
      </w:r>
      <w:r w:rsidRPr="000F0299">
        <w:rPr>
          <w:bCs/>
        </w:rPr>
        <w:t xml:space="preserve"> Поред тога, приступ услугама је отежан угроженим и рањивим групама</w:t>
      </w:r>
      <w:r w:rsidRPr="000F0299">
        <w:rPr>
          <w:bCs/>
          <w:vertAlign w:val="superscript"/>
        </w:rPr>
        <w:footnoteReference w:id="160"/>
      </w:r>
      <w:r w:rsidRPr="000F0299">
        <w:rPr>
          <w:bCs/>
        </w:rPr>
        <w:t xml:space="preserve"> и припадницима мањинских заједница.</w:t>
      </w:r>
    </w:p>
    <w:p w14:paraId="0C0882FF" w14:textId="77777777" w:rsidR="003D38D9" w:rsidRPr="000F0299" w:rsidRDefault="003D38D9" w:rsidP="003D38D9">
      <w:r w:rsidRPr="000F0299">
        <w:t>У области система развоја услуга и процеса оптимизације</w:t>
      </w:r>
      <w:r>
        <w:t xml:space="preserve"> </w:t>
      </w:r>
      <w:r w:rsidRPr="000F0299">
        <w:t>резултати претходне реформе постоје</w:t>
      </w:r>
      <w:r>
        <w:t xml:space="preserve">, али су потребна </w:t>
      </w:r>
      <w:r w:rsidRPr="000F0299">
        <w:t>даља побољшања.</w:t>
      </w:r>
      <w:r w:rsidRPr="000F0299">
        <w:rPr>
          <w:vertAlign w:val="superscript"/>
        </w:rPr>
        <w:footnoteReference w:id="161"/>
      </w:r>
      <w:r w:rsidRPr="000F0299">
        <w:t xml:space="preserve"> У претходном периоду, </w:t>
      </w:r>
      <w:r w:rsidRPr="000F0299">
        <w:rPr>
          <w:b/>
        </w:rPr>
        <w:t>значајни резултати су постигнути у процесу поједностављења, оптимизације и укидања непотребних управних поступака</w:t>
      </w:r>
      <w:r w:rsidRPr="000F0299">
        <w:t>. Укинуто је пет управних поступака за привреду</w:t>
      </w:r>
      <w:r>
        <w:t>,</w:t>
      </w:r>
      <w:r w:rsidRPr="000F0299">
        <w:rPr>
          <w:vertAlign w:val="superscript"/>
        </w:rPr>
        <w:footnoteReference w:id="162"/>
      </w:r>
      <w:r w:rsidRPr="000F0299">
        <w:t xml:space="preserve"> од којих је један у потпуности укинут, а четири су претворени у невидљиве услуге јавне управе,</w:t>
      </w:r>
      <w:r w:rsidRPr="000F0299">
        <w:rPr>
          <w:vertAlign w:val="superscript"/>
        </w:rPr>
        <w:footnoteReference w:id="163"/>
      </w:r>
      <w:r w:rsidRPr="000F0299">
        <w:t xml:space="preserve"> чиме је остварена уштеда за привреду у износу од преко три милијарде динара годишње за привреду. Припремљене су препоруке за поједностављење, оптимизацију и укидање 890 управних поступака, од </w:t>
      </w:r>
      <w:r>
        <w:t>чега</w:t>
      </w:r>
      <w:r w:rsidRPr="000F0299">
        <w:t xml:space="preserve"> су 82 услуге поједностављене, </w:t>
      </w:r>
      <w:r>
        <w:t xml:space="preserve">а </w:t>
      </w:r>
      <w:r w:rsidRPr="000F0299">
        <w:t xml:space="preserve">11 услуга је у потпуности дигитализовано и доступно привредницима преко Портала е-управе. Посебно важан резултат у овој области постигнут је у погледу припреме </w:t>
      </w:r>
      <w:r w:rsidRPr="000F0299">
        <w:rPr>
          <w:b/>
        </w:rPr>
        <w:t>Јединственог регистра административних поступака</w:t>
      </w:r>
      <w:r w:rsidRPr="000F0299">
        <w:t xml:space="preserve"> који тренутно садржи све детаљне информације за више од 2.600 поступака на </w:t>
      </w:r>
      <w:r>
        <w:t>државном</w:t>
      </w:r>
      <w:r w:rsidRPr="000F0299">
        <w:t xml:space="preserve"> и покрајинском нивоу који се односе на привреду, а за који ће се развити и посебан портал као јединствена тачка са свим информацијама које се односе на поступке и услуге на једном месту. Кључни проблем у спровођењу поједностављења управних поступака огледа се у спором спровођењу усаглашених препорука и захтева </w:t>
      </w:r>
      <w:r>
        <w:t xml:space="preserve">за </w:t>
      </w:r>
      <w:r w:rsidRPr="000F0299">
        <w:t>снажну политичку подршку за њихово спровођење.</w:t>
      </w:r>
    </w:p>
    <w:p w14:paraId="3D963007" w14:textId="77777777" w:rsidR="003D38D9" w:rsidRPr="000F0299" w:rsidRDefault="003D38D9" w:rsidP="003D38D9">
      <w:r>
        <w:rPr>
          <w:b/>
          <w:bCs/>
        </w:rPr>
        <w:t>У складу са</w:t>
      </w:r>
      <w:r w:rsidRPr="000F0299">
        <w:rPr>
          <w:b/>
          <w:bCs/>
        </w:rPr>
        <w:t xml:space="preserve"> </w:t>
      </w:r>
      <w:r>
        <w:rPr>
          <w:b/>
          <w:bCs/>
        </w:rPr>
        <w:t>процесом</w:t>
      </w:r>
      <w:r w:rsidRPr="000F0299">
        <w:rPr>
          <w:b/>
          <w:bCs/>
        </w:rPr>
        <w:t xml:space="preserve"> поједностављивања управних поступака и кориснички оријентисаних сервиса развијају се и физичка јединствена управна места</w:t>
      </w:r>
      <w:r w:rsidRPr="000F0299">
        <w:rPr>
          <w:bCs/>
        </w:rPr>
        <w:t>.</w:t>
      </w:r>
      <w:r w:rsidRPr="000F0299">
        <w:t xml:space="preserve"> Закључно са октобром 2020. године физичка јединствена управна места су отворена у 10 општина,</w:t>
      </w:r>
      <w:r w:rsidRPr="000F0299">
        <w:rPr>
          <w:vertAlign w:val="superscript"/>
        </w:rPr>
        <w:footnoteReference w:id="164"/>
      </w:r>
      <w:r w:rsidRPr="000F0299">
        <w:t xml:space="preserve"> а још једна општина је добила подршку да то учини до краја 2020. године.</w:t>
      </w:r>
      <w:r w:rsidRPr="000F0299">
        <w:rPr>
          <w:vertAlign w:val="superscript"/>
        </w:rPr>
        <w:footnoteReference w:id="165"/>
      </w:r>
      <w:r w:rsidRPr="000F0299">
        <w:t xml:space="preserve"> Међутим, још није донета Уредба о јединственом управном месту</w:t>
      </w:r>
      <w:r>
        <w:t>,</w:t>
      </w:r>
      <w:r w:rsidRPr="000F0299">
        <w:t xml:space="preserve"> која би системски уредила услове и критеријуме који се примењују </w:t>
      </w:r>
      <w:r>
        <w:t xml:space="preserve">када се </w:t>
      </w:r>
      <w:r w:rsidRPr="000F0299">
        <w:t>одређ</w:t>
      </w:r>
      <w:r>
        <w:t>ује</w:t>
      </w:r>
      <w:r w:rsidRPr="000F0299">
        <w:t xml:space="preserve"> и успостављ</w:t>
      </w:r>
      <w:r>
        <w:t>а</w:t>
      </w:r>
      <w:r w:rsidRPr="000F0299">
        <w:t xml:space="preserve"> јединствено управно мест</w:t>
      </w:r>
      <w:r>
        <w:t>о</w:t>
      </w:r>
      <w:r w:rsidRPr="000F0299">
        <w:t>, као и начин сарадње надлежних органа у вези са поступањем и обављањем послова на јединственом управном месту. Како би се странкама олакшало пословање са државом и омогућило безготовинско плаћање такс</w:t>
      </w:r>
      <w:r>
        <w:t>а</w:t>
      </w:r>
      <w:r w:rsidRPr="000F0299">
        <w:t xml:space="preserve"> и накнада на лицу места</w:t>
      </w:r>
      <w:r>
        <w:t>,</w:t>
      </w:r>
      <w:r w:rsidRPr="000F0299">
        <w:t xml:space="preserve"> до сада је инсталирано више стотина </w:t>
      </w:r>
      <w:r w:rsidRPr="005C02CB">
        <w:rPr>
          <w:i/>
          <w:lang w:val="sr-Latn-RS"/>
        </w:rPr>
        <w:t>POS</w:t>
      </w:r>
      <w:r w:rsidRPr="000F0299">
        <w:t xml:space="preserve"> терминала на шалтерима општина и градова широм </w:t>
      </w:r>
      <w:r>
        <w:t xml:space="preserve">Републике </w:t>
      </w:r>
      <w:r w:rsidRPr="000F0299">
        <w:t>Србије, а циљ је да све јединице локалне самоуправе уђу у систем безготовинског плаћања.</w:t>
      </w:r>
      <w:r w:rsidRPr="000F0299">
        <w:rPr>
          <w:vertAlign w:val="superscript"/>
        </w:rPr>
        <w:footnoteReference w:id="166"/>
      </w:r>
    </w:p>
    <w:p w14:paraId="45BD60A3" w14:textId="77777777" w:rsidR="003D38D9" w:rsidRPr="000F0299" w:rsidRDefault="003D38D9" w:rsidP="003D38D9">
      <w:r w:rsidRPr="000F0299">
        <w:rPr>
          <w:b/>
          <w:bCs/>
        </w:rPr>
        <w:t xml:space="preserve">Поред тога, поједностављење управних поступака је корак </w:t>
      </w:r>
      <w:r>
        <w:rPr>
          <w:b/>
          <w:bCs/>
        </w:rPr>
        <w:t xml:space="preserve">који претходи </w:t>
      </w:r>
      <w:r w:rsidRPr="000F0299">
        <w:rPr>
          <w:b/>
          <w:bCs/>
        </w:rPr>
        <w:t>дигитализацији услуга, тј. успостављању јавне управе која функционише без сувишне употребе папира</w:t>
      </w:r>
      <w:r w:rsidRPr="000F0299">
        <w:rPr>
          <w:bCs/>
        </w:rPr>
        <w:t>. По</w:t>
      </w:r>
      <w:r>
        <w:rPr>
          <w:bCs/>
        </w:rPr>
        <w:t xml:space="preserve">ступци који се </w:t>
      </w:r>
      <w:r w:rsidRPr="000F0299">
        <w:rPr>
          <w:bCs/>
        </w:rPr>
        <w:t>дигитализ</w:t>
      </w:r>
      <w:r>
        <w:rPr>
          <w:bCs/>
        </w:rPr>
        <w:t xml:space="preserve">ују, а да </w:t>
      </w:r>
      <w:r w:rsidRPr="000F0299">
        <w:rPr>
          <w:bCs/>
        </w:rPr>
        <w:t>претходно</w:t>
      </w:r>
      <w:r>
        <w:rPr>
          <w:bCs/>
        </w:rPr>
        <w:t xml:space="preserve"> нису </w:t>
      </w:r>
      <w:r w:rsidRPr="000F0299">
        <w:rPr>
          <w:bCs/>
        </w:rPr>
        <w:t xml:space="preserve"> поједноставље</w:t>
      </w:r>
      <w:r>
        <w:rPr>
          <w:bCs/>
        </w:rPr>
        <w:t xml:space="preserve">ни, што је </w:t>
      </w:r>
      <w:r w:rsidRPr="000F0299">
        <w:rPr>
          <w:bCs/>
        </w:rPr>
        <w:t>предуслов за квалитетно пружену услугу</w:t>
      </w:r>
      <w:r>
        <w:rPr>
          <w:bCs/>
        </w:rPr>
        <w:t xml:space="preserve">, </w:t>
      </w:r>
      <w:r w:rsidRPr="000F0299">
        <w:rPr>
          <w:bCs/>
        </w:rPr>
        <w:t>не олакшава</w:t>
      </w:r>
      <w:r>
        <w:rPr>
          <w:bCs/>
        </w:rPr>
        <w:t>ју</w:t>
      </w:r>
      <w:r w:rsidRPr="000F0299">
        <w:rPr>
          <w:bCs/>
        </w:rPr>
        <w:t xml:space="preserve"> пружање услуга и не</w:t>
      </w:r>
      <w:r>
        <w:rPr>
          <w:bCs/>
        </w:rPr>
        <w:t xml:space="preserve"> доприносе повећању </w:t>
      </w:r>
      <w:r w:rsidRPr="000F0299">
        <w:rPr>
          <w:bCs/>
        </w:rPr>
        <w:t>задовољ</w:t>
      </w:r>
      <w:r>
        <w:rPr>
          <w:bCs/>
        </w:rPr>
        <w:t xml:space="preserve">ства </w:t>
      </w:r>
      <w:r w:rsidRPr="000F0299">
        <w:rPr>
          <w:bCs/>
        </w:rPr>
        <w:t>корисника</w:t>
      </w:r>
      <w:r>
        <w:rPr>
          <w:bCs/>
        </w:rPr>
        <w:t xml:space="preserve"> пруженим услугама</w:t>
      </w:r>
      <w:r w:rsidRPr="000F0299">
        <w:rPr>
          <w:bCs/>
        </w:rPr>
        <w:t xml:space="preserve">. </w:t>
      </w:r>
      <w:r>
        <w:rPr>
          <w:bCs/>
        </w:rPr>
        <w:t>Д</w:t>
      </w:r>
      <w:r w:rsidRPr="000F0299">
        <w:rPr>
          <w:bCs/>
        </w:rPr>
        <w:t xml:space="preserve">игитализацију услуга </w:t>
      </w:r>
      <w:r>
        <w:rPr>
          <w:bCs/>
        </w:rPr>
        <w:t>успорава</w:t>
      </w:r>
      <w:r w:rsidRPr="000F0299">
        <w:rPr>
          <w:bCs/>
        </w:rPr>
        <w:t xml:space="preserve"> и недостатак координације у области пружања услуга и успостављања неопходне ИТ инфраструктуре. Дешава се да се недовољно користе чак и развијени дигитални сервиси</w:t>
      </w:r>
      <w:r>
        <w:rPr>
          <w:bCs/>
        </w:rPr>
        <w:t>,</w:t>
      </w:r>
      <w:r w:rsidRPr="000F0299">
        <w:rPr>
          <w:bCs/>
        </w:rPr>
        <w:t xml:space="preserve"> попут електронског квалификованог потписа (7% становништва користи електронски потпис).</w:t>
      </w:r>
      <w:r w:rsidRPr="000F0299">
        <w:rPr>
          <w:bCs/>
          <w:vertAlign w:val="superscript"/>
        </w:rPr>
        <w:footnoteReference w:id="167"/>
      </w:r>
      <w:r w:rsidRPr="000F0299">
        <w:rPr>
          <w:bCs/>
        </w:rPr>
        <w:t xml:space="preserve"> Он није обавезан део личне карте, већ представља лични избор грађанина, што уједно </w:t>
      </w:r>
      <w:r>
        <w:rPr>
          <w:bCs/>
        </w:rPr>
        <w:t xml:space="preserve">од њега </w:t>
      </w:r>
      <w:r w:rsidRPr="000F0299">
        <w:rPr>
          <w:bCs/>
        </w:rPr>
        <w:t xml:space="preserve">захтева </w:t>
      </w:r>
      <w:r>
        <w:rPr>
          <w:bCs/>
        </w:rPr>
        <w:t xml:space="preserve">да се </w:t>
      </w:r>
      <w:r w:rsidRPr="000F0299">
        <w:rPr>
          <w:bCs/>
        </w:rPr>
        <w:t>поново обра</w:t>
      </w:r>
      <w:r>
        <w:rPr>
          <w:bCs/>
        </w:rPr>
        <w:t>ти</w:t>
      </w:r>
      <w:r w:rsidRPr="000F0299">
        <w:rPr>
          <w:bCs/>
        </w:rPr>
        <w:t xml:space="preserve"> надлежном органу и </w:t>
      </w:r>
      <w:r>
        <w:rPr>
          <w:bCs/>
        </w:rPr>
        <w:t xml:space="preserve">чека </w:t>
      </w:r>
      <w:r w:rsidRPr="000F0299">
        <w:rPr>
          <w:bCs/>
        </w:rPr>
        <w:t xml:space="preserve">да </w:t>
      </w:r>
      <w:r>
        <w:rPr>
          <w:bCs/>
        </w:rPr>
        <w:t xml:space="preserve">му </w:t>
      </w:r>
      <w:r w:rsidRPr="000F0299">
        <w:rPr>
          <w:bCs/>
        </w:rPr>
        <w:t xml:space="preserve">се </w:t>
      </w:r>
      <w:r>
        <w:rPr>
          <w:bCs/>
        </w:rPr>
        <w:t>омогући</w:t>
      </w:r>
      <w:r w:rsidRPr="000F0299">
        <w:rPr>
          <w:bCs/>
        </w:rPr>
        <w:t xml:space="preserve"> употреб</w:t>
      </w:r>
      <w:r>
        <w:rPr>
          <w:bCs/>
        </w:rPr>
        <w:t>а</w:t>
      </w:r>
      <w:r w:rsidRPr="000F0299">
        <w:rPr>
          <w:bCs/>
        </w:rPr>
        <w:t xml:space="preserve"> електронског квалификованог </w:t>
      </w:r>
      <w:r>
        <w:rPr>
          <w:bCs/>
        </w:rPr>
        <w:t>ц</w:t>
      </w:r>
      <w:r w:rsidRPr="000F0299">
        <w:rPr>
          <w:bCs/>
        </w:rPr>
        <w:t>ертификата</w:t>
      </w:r>
      <w:r w:rsidRPr="000F0299">
        <w:t xml:space="preserve">. </w:t>
      </w:r>
    </w:p>
    <w:p w14:paraId="16CC172F" w14:textId="77777777" w:rsidR="003D38D9" w:rsidRPr="000F0299" w:rsidRDefault="003D38D9" w:rsidP="003D38D9">
      <w:pPr>
        <w:rPr>
          <w:rFonts w:eastAsia="Times New Roman"/>
        </w:rPr>
      </w:pPr>
      <w:r>
        <w:t>З</w:t>
      </w:r>
      <w:r w:rsidRPr="000F0299">
        <w:t>начајни</w:t>
      </w:r>
      <w:r w:rsidRPr="000F0299">
        <w:rPr>
          <w:b/>
        </w:rPr>
        <w:t xml:space="preserve"> резултати </w:t>
      </w:r>
      <w:r w:rsidRPr="000F0299">
        <w:t xml:space="preserve">у претходном периоду </w:t>
      </w:r>
      <w:r w:rsidRPr="000F0299">
        <w:rPr>
          <w:b/>
        </w:rPr>
        <w:t>остварени су у области електронске управе</w:t>
      </w:r>
      <w:r w:rsidRPr="000F0299">
        <w:t>. Република Србија напредовала је на готово свим међународним листама конкурентности у области електронске управе. Најновије истраживање Уједињених нација о развоју електронске управе</w:t>
      </w:r>
      <w:r w:rsidRPr="000F0299">
        <w:rPr>
          <w:vertAlign w:val="superscript"/>
        </w:rPr>
        <w:footnoteReference w:id="168"/>
      </w:r>
      <w:r w:rsidRPr="000F0299">
        <w:rPr>
          <w:rFonts w:ascii="Cambria" w:hAnsi="Cambria" w:cstheme="minorHAnsi"/>
          <w:sz w:val="28"/>
          <w:szCs w:val="28"/>
        </w:rPr>
        <w:t xml:space="preserve"> </w:t>
      </w:r>
      <w:r w:rsidRPr="000F0299">
        <w:t>сврстава Републику Србију на 58. место, а по индексу е-партиципације на 41. место међу 193 земље света. У годишњем Бенчмарк извештају Европске уније оцењено је да је Република Србија остварила напредак у четири од пет области развоја е-управе.</w:t>
      </w:r>
      <w:r w:rsidRPr="000F0299">
        <w:rPr>
          <w:vertAlign w:val="superscript"/>
        </w:rPr>
        <w:footnoteReference w:id="169"/>
      </w:r>
      <w:r w:rsidRPr="000F0299">
        <w:t xml:space="preserve"> </w:t>
      </w:r>
      <w:r w:rsidRPr="000F0299">
        <w:rPr>
          <w:bCs/>
        </w:rPr>
        <w:t xml:space="preserve">Напредак на међународним листама конкурентности у области електронске управе </w:t>
      </w:r>
      <w:r w:rsidRPr="000F0299">
        <w:rPr>
          <w:b/>
          <w:bCs/>
        </w:rPr>
        <w:t xml:space="preserve">резултат </w:t>
      </w:r>
      <w:r w:rsidRPr="000F0299">
        <w:rPr>
          <w:bCs/>
        </w:rPr>
        <w:t>је бројних</w:t>
      </w:r>
      <w:r w:rsidRPr="000F0299">
        <w:rPr>
          <w:b/>
          <w:bCs/>
        </w:rPr>
        <w:t xml:space="preserve"> унапређења у области пружања електронских услуга:</w:t>
      </w:r>
      <w:r w:rsidRPr="000F0299">
        <w:t xml:space="preserve"> редизајниран је Портал е-управа,</w:t>
      </w:r>
      <w:r w:rsidRPr="000F0299">
        <w:rPr>
          <w:vertAlign w:val="superscript"/>
        </w:rPr>
        <w:footnoteReference w:id="170"/>
      </w:r>
      <w:r w:rsidRPr="000F0299">
        <w:t xml:space="preserve"> његова употреба је прилагођена за коришћење путем мобилних телефона и испуњава стандарде једнаке приступачности. Такође, на Порталу су уведене и нове функционалности</w:t>
      </w:r>
      <w:r w:rsidRPr="000F0299">
        <w:rPr>
          <w:vertAlign w:val="superscript"/>
        </w:rPr>
        <w:t xml:space="preserve"> </w:t>
      </w:r>
      <w:r w:rsidRPr="000F0299">
        <w:t>и развијене су нове услуге</w:t>
      </w:r>
      <w:r>
        <w:t xml:space="preserve">, као што је </w:t>
      </w:r>
      <w:r w:rsidRPr="000F0299">
        <w:t>услуг</w:t>
      </w:r>
      <w:r>
        <w:t>а</w:t>
      </w:r>
      <w:r w:rsidRPr="000F0299">
        <w:t xml:space="preserve"> издавања уверења о некажњавању. Развијен је национални портал за електронску идентификацију грађана и привреде и уведен је јединствени електронски идентитет кроз пријављивање на једном месту</w:t>
      </w:r>
      <w:r>
        <w:t>,</w:t>
      </w:r>
      <w:r w:rsidRPr="000F0299">
        <w:rPr>
          <w:vertAlign w:val="superscript"/>
        </w:rPr>
        <w:footnoteReference w:id="171"/>
      </w:r>
      <w:r w:rsidRPr="000F0299">
        <w:t xml:space="preserve"> </w:t>
      </w:r>
      <w:r>
        <w:t xml:space="preserve">тако </w:t>
      </w:r>
      <w:r w:rsidRPr="000F0299">
        <w:t xml:space="preserve">да корисници </w:t>
      </w:r>
      <w:r>
        <w:t xml:space="preserve">више не морају да </w:t>
      </w:r>
      <w:r w:rsidRPr="000F0299">
        <w:t xml:space="preserve">креирају и памте различита корисничка имена и лозинке за приступ великом броју државних информационих система. Уведена је електронска идентификација </w:t>
      </w:r>
      <w:r>
        <w:t>преко</w:t>
      </w:r>
      <w:r w:rsidRPr="000F0299">
        <w:t xml:space="preserve"> мобилног телефона, односно двофакторска аутентикација</w:t>
      </w:r>
      <w:r>
        <w:t>, као што је</w:t>
      </w:r>
      <w:r w:rsidRPr="00D625A3">
        <w:t xml:space="preserve"> е-достав</w:t>
      </w:r>
      <w:r>
        <w:t>а</w:t>
      </w:r>
      <w:r w:rsidRPr="00D625A3">
        <w:t xml:space="preserve"> и онлајн плаћањ</w:t>
      </w:r>
      <w:r>
        <w:t>е</w:t>
      </w:r>
      <w:r w:rsidRPr="00D625A3">
        <w:t xml:space="preserve"> услуга</w:t>
      </w:r>
      <w:r>
        <w:t>.</w:t>
      </w:r>
      <w:r w:rsidRPr="000F0299">
        <w:rPr>
          <w:vertAlign w:val="superscript"/>
        </w:rPr>
        <w:footnoteReference w:id="172"/>
      </w:r>
      <w:r w:rsidRPr="000F0299">
        <w:t xml:space="preserve"> </w:t>
      </w:r>
      <w:r>
        <w:t xml:space="preserve">Успостављено је </w:t>
      </w:r>
      <w:r w:rsidRPr="000F0299">
        <w:t xml:space="preserve">електронско сандуче за брзу, једноставну, поуздану и бесплатну доставу решења, </w:t>
      </w:r>
      <w:r>
        <w:t xml:space="preserve">других </w:t>
      </w:r>
      <w:r w:rsidRPr="000F0299">
        <w:t>докумената и обавештења јавне управе грађанима. Омогућ</w:t>
      </w:r>
      <w:r>
        <w:t>ено је</w:t>
      </w:r>
      <w:r w:rsidRPr="000F0299">
        <w:t xml:space="preserve"> </w:t>
      </w:r>
      <w:r>
        <w:t xml:space="preserve">да се </w:t>
      </w:r>
      <w:r w:rsidRPr="000F0299">
        <w:t>на Порталу е-управа онлајн плаћа</w:t>
      </w:r>
      <w:r>
        <w:t>ју</w:t>
      </w:r>
      <w:r w:rsidRPr="000F0299">
        <w:t xml:space="preserve"> такс</w:t>
      </w:r>
      <w:r>
        <w:t>е</w:t>
      </w:r>
      <w:r w:rsidRPr="000F0299">
        <w:t xml:space="preserve"> и накнада.</w:t>
      </w:r>
      <w:r w:rsidRPr="000F0299">
        <w:rPr>
          <w:vertAlign w:val="superscript"/>
        </w:rPr>
        <w:footnoteReference w:id="173"/>
      </w:r>
      <w:r w:rsidRPr="000F0299">
        <w:t xml:space="preserve"> Поред е-заказивања (за издавање личне карте и пасоша), развијене су нове услуге</w:t>
      </w:r>
      <w:r>
        <w:t>, као што је</w:t>
      </w:r>
      <w:r w:rsidRPr="000F0299">
        <w:t xml:space="preserve"> издавањ</w:t>
      </w:r>
      <w:r>
        <w:t>е</w:t>
      </w:r>
      <w:r w:rsidRPr="000F0299">
        <w:t xml:space="preserve"> уверења о некажњавању</w:t>
      </w:r>
      <w:r>
        <w:t>,</w:t>
      </w:r>
      <w:r w:rsidRPr="000F0299">
        <w:t xml:space="preserve"> које грађани добијају на кућну адресу.</w:t>
      </w:r>
      <w:r w:rsidRPr="000F0299">
        <w:rPr>
          <w:vertAlign w:val="superscript"/>
        </w:rPr>
        <w:footnoteReference w:id="174"/>
      </w:r>
      <w:r w:rsidRPr="000F0299">
        <w:t xml:space="preserve"> У широкој употреби су електронске пријаве за упис деце у предшколске установе, основне и средње школе (е-вртић, е-упис).</w:t>
      </w:r>
      <w:r w:rsidRPr="000F0299">
        <w:rPr>
          <w:vertAlign w:val="superscript"/>
        </w:rPr>
        <w:footnoteReference w:id="175"/>
      </w:r>
      <w:r w:rsidRPr="000F0299">
        <w:t xml:space="preserve"> Посредством информационог система „Бебо, добро</w:t>
      </w:r>
      <w:r>
        <w:t xml:space="preserve"> </w:t>
      </w:r>
      <w:r w:rsidRPr="000F0299">
        <w:t>дошла на свет</w:t>
      </w:r>
      <w:r>
        <w:t>”</w:t>
      </w:r>
      <w:r w:rsidRPr="000F0299">
        <w:t xml:space="preserve"> пријављено је око 200.000 беба о</w:t>
      </w:r>
      <w:r>
        <w:t>т</w:t>
      </w:r>
      <w:r w:rsidRPr="000F0299">
        <w:t xml:space="preserve">како је </w:t>
      </w:r>
      <w:r>
        <w:t>т</w:t>
      </w:r>
      <w:r w:rsidRPr="000F0299">
        <w:t>ај систем покренут 2016. године. Више од 90% родитеља одлучило је да искористи услугу „све на једном месту</w:t>
      </w:r>
      <w:r>
        <w:t>”</w:t>
      </w:r>
      <w:r w:rsidRPr="000F0299">
        <w:t xml:space="preserve"> и једноставно и брзо упише дете у матичну књигу рођених, евиденцију пребивалишта и здравственог осигурања на месту где се дешава животни догађај, </w:t>
      </w:r>
      <w:r>
        <w:t xml:space="preserve">а да не </w:t>
      </w:r>
      <w:r w:rsidRPr="000F0299">
        <w:t>одла</w:t>
      </w:r>
      <w:r>
        <w:t>зе</w:t>
      </w:r>
      <w:r w:rsidRPr="000F0299">
        <w:t xml:space="preserve"> на било који шалтер.</w:t>
      </w:r>
      <w:r w:rsidRPr="000F0299">
        <w:rPr>
          <w:vertAlign w:val="superscript"/>
        </w:rPr>
        <w:footnoteReference w:id="176"/>
      </w:r>
      <w:r w:rsidRPr="000F0299">
        <w:t xml:space="preserve"> Као резултат унапређења Портала,</w:t>
      </w:r>
      <w:r w:rsidRPr="000F0299">
        <w:rPr>
          <w:b/>
          <w:bCs/>
        </w:rPr>
        <w:t xml:space="preserve"> </w:t>
      </w:r>
      <w:r w:rsidRPr="000F0299">
        <w:rPr>
          <w:bCs/>
        </w:rPr>
        <w:t xml:space="preserve">редовно расте број његових корисника (1.026.347) и броја услуга које се путем њега </w:t>
      </w:r>
      <w:r>
        <w:rPr>
          <w:bCs/>
        </w:rPr>
        <w:t>пружају</w:t>
      </w:r>
      <w:r w:rsidRPr="000F0299">
        <w:rPr>
          <w:bCs/>
        </w:rPr>
        <w:t xml:space="preserve"> (76.028)</w:t>
      </w:r>
      <w:r w:rsidRPr="000F0299">
        <w:rPr>
          <w:bCs/>
          <w:vertAlign w:val="superscript"/>
        </w:rPr>
        <w:footnoteReference w:id="177"/>
      </w:r>
      <w:r w:rsidRPr="000F0299">
        <w:rPr>
          <w:bCs/>
        </w:rPr>
        <w:t>.</w:t>
      </w:r>
      <w:r w:rsidRPr="000F0299">
        <w:t xml:space="preserve"> Централни регистар становништва пуштен је у продукцију, </w:t>
      </w:r>
      <w:r>
        <w:t>па</w:t>
      </w:r>
      <w:r w:rsidRPr="000F0299">
        <w:t xml:space="preserve"> грађани могу преко Портала да провере личне податке из 20 регистара и евиденција.</w:t>
      </w:r>
    </w:p>
    <w:p w14:paraId="2EA22610" w14:textId="2EEF3FB2" w:rsidR="003D38D9" w:rsidRPr="000F0299" w:rsidRDefault="003D38D9" w:rsidP="003D38D9">
      <w:r>
        <w:rPr>
          <w:b/>
          <w:bCs/>
        </w:rPr>
        <w:t xml:space="preserve">Повећана је </w:t>
      </w:r>
      <w:r w:rsidRPr="000F0299">
        <w:rPr>
          <w:b/>
          <w:bCs/>
        </w:rPr>
        <w:t>оспособљеност становништва за употребу нових дигиталних сервиса</w:t>
      </w:r>
      <w:r>
        <w:rPr>
          <w:b/>
          <w:bCs/>
        </w:rPr>
        <w:t xml:space="preserve"> и </w:t>
      </w:r>
      <w:r w:rsidRPr="000F0299">
        <w:rPr>
          <w:b/>
          <w:bCs/>
        </w:rPr>
        <w:t>отв</w:t>
      </w:r>
      <w:r w:rsidR="00241194">
        <w:rPr>
          <w:b/>
          <w:bCs/>
        </w:rPr>
        <w:t>о</w:t>
      </w:r>
      <w:r w:rsidRPr="000F0299">
        <w:rPr>
          <w:b/>
          <w:bCs/>
        </w:rPr>
        <w:t>р</w:t>
      </w:r>
      <w:r>
        <w:rPr>
          <w:b/>
          <w:bCs/>
        </w:rPr>
        <w:t>ени су</w:t>
      </w:r>
      <w:r w:rsidRPr="000F0299">
        <w:rPr>
          <w:b/>
          <w:bCs/>
        </w:rPr>
        <w:t xml:space="preserve"> бесплатни ИТ приступни цент</w:t>
      </w:r>
      <w:r>
        <w:rPr>
          <w:b/>
          <w:bCs/>
        </w:rPr>
        <w:t>ри</w:t>
      </w:r>
      <w:r w:rsidRPr="000F0299">
        <w:rPr>
          <w:b/>
          <w:bCs/>
        </w:rPr>
        <w:t xml:space="preserve"> за широке групе корисника. Српско-корејски информатичко-приступни центар (</w:t>
      </w:r>
      <w:r w:rsidRPr="000F0299">
        <w:rPr>
          <w:b/>
          <w:bCs/>
          <w:shd w:val="clear" w:color="auto" w:fill="FFFFFF"/>
        </w:rPr>
        <w:t>СКИП центар)</w:t>
      </w:r>
      <w:r w:rsidRPr="000F0299">
        <w:rPr>
          <w:shd w:val="clear" w:color="auto" w:fill="FFFFFF"/>
        </w:rPr>
        <w:t xml:space="preserve"> реализовао је више од 1.000 различитих бесплатних обука из домена употребе </w:t>
      </w:r>
      <w:r>
        <w:rPr>
          <w:shd w:val="clear" w:color="auto" w:fill="FFFFFF"/>
        </w:rPr>
        <w:t>ИКТ</w:t>
      </w:r>
      <w:r w:rsidRPr="000F0299">
        <w:rPr>
          <w:shd w:val="clear" w:color="auto" w:fill="FFFFFF"/>
        </w:rPr>
        <w:t xml:space="preserve"> за више од </w:t>
      </w:r>
      <w:r w:rsidRPr="000F0299">
        <w:t xml:space="preserve">35.000 грађана и јавних службеника </w:t>
      </w:r>
      <w:r>
        <w:t>за</w:t>
      </w:r>
      <w:r w:rsidRPr="000F0299">
        <w:t xml:space="preserve"> три године постојања.</w:t>
      </w:r>
      <w:r w:rsidRPr="000F0299">
        <w:rPr>
          <w:vertAlign w:val="superscript"/>
        </w:rPr>
        <w:footnoteReference w:id="178"/>
      </w:r>
      <w:r w:rsidRPr="000F0299">
        <w:rPr>
          <w:color w:val="000000"/>
          <w:shd w:val="clear" w:color="auto" w:fill="FFFFFF"/>
        </w:rPr>
        <w:t xml:space="preserve"> СКИП је </w:t>
      </w:r>
      <w:r w:rsidRPr="000F0299">
        <w:t>проглашен за најбољи и најпосећенији на свету у конкуренцији 60 центара чији рад подржава Република Кореја.</w:t>
      </w:r>
      <w:r w:rsidRPr="000F0299">
        <w:rPr>
          <w:vertAlign w:val="superscript"/>
        </w:rPr>
        <w:footnoteReference w:id="179"/>
      </w:r>
      <w:r w:rsidRPr="000F0299">
        <w:t xml:space="preserve"> </w:t>
      </w:r>
    </w:p>
    <w:p w14:paraId="1D9B124D" w14:textId="77777777" w:rsidR="003D38D9" w:rsidRPr="000F0299" w:rsidRDefault="003D38D9" w:rsidP="003D38D9">
      <w:pPr>
        <w:rPr>
          <w:rFonts w:eastAsia="Times New Roman"/>
          <w:color w:val="000000"/>
          <w:lang w:eastAsia="en-GB"/>
        </w:rPr>
      </w:pPr>
      <w:r w:rsidRPr="000F0299">
        <w:t xml:space="preserve">У претходном периоду остварени су и значајни резултати у погледу </w:t>
      </w:r>
      <w:r w:rsidRPr="000F0299">
        <w:rPr>
          <w:b/>
        </w:rPr>
        <w:t>изградње техничко-технолошке инфраструктуре неопходне за развој и функционисање електронске управе:</w:t>
      </w:r>
      <w:r w:rsidRPr="000F0299">
        <w:t xml:space="preserve"> изграђен је објекат Државног центра за управљање и чување података у Београду, завршава се изградња секундарног Државног центра за управљање и чување података, једног од најсавременијих и најефикаснијих у овом делу Европе</w:t>
      </w:r>
      <w:r>
        <w:t xml:space="preserve"> </w:t>
      </w:r>
      <w:r w:rsidRPr="000F0299">
        <w:rPr>
          <w:vertAlign w:val="superscript"/>
        </w:rPr>
        <w:footnoteReference w:id="180"/>
      </w:r>
      <w:r w:rsidRPr="000F0299">
        <w:t xml:space="preserve"> </w:t>
      </w:r>
      <w:r>
        <w:t>предвиђено је</w:t>
      </w:r>
      <w:r w:rsidRPr="000F0299">
        <w:t xml:space="preserve"> да </w:t>
      </w:r>
      <w:r>
        <w:t xml:space="preserve">се </w:t>
      </w:r>
      <w:r w:rsidRPr="000F0299">
        <w:t>клауд платформ</w:t>
      </w:r>
      <w:r>
        <w:t>а</w:t>
      </w:r>
      <w:r w:rsidRPr="000F0299">
        <w:t xml:space="preserve"> </w:t>
      </w:r>
      <w:r>
        <w:t xml:space="preserve">постави </w:t>
      </w:r>
      <w:r w:rsidRPr="000F0299">
        <w:t xml:space="preserve">у Дата центар Крагујевац до краја 2020. </w:t>
      </w:r>
      <w:r>
        <w:t>г</w:t>
      </w:r>
      <w:r w:rsidRPr="000F0299">
        <w:t>одине</w:t>
      </w:r>
      <w:r>
        <w:t xml:space="preserve"> и започета је</w:t>
      </w:r>
      <w:r w:rsidRPr="000F0299">
        <w:t xml:space="preserve"> изградњ</w:t>
      </w:r>
      <w:r>
        <w:t>а</w:t>
      </w:r>
      <w:r w:rsidRPr="000F0299">
        <w:t xml:space="preserve"> јединственог Система за управљање документима са е-чувањем, што </w:t>
      </w:r>
      <w:r>
        <w:t>ће</w:t>
      </w:r>
      <w:r w:rsidRPr="000F0299">
        <w:t xml:space="preserve"> обезбеди</w:t>
      </w:r>
      <w:r>
        <w:t>ти</w:t>
      </w:r>
      <w:r w:rsidRPr="000F0299">
        <w:t xml:space="preserve"> бољ</w:t>
      </w:r>
      <w:r>
        <w:t>и рад</w:t>
      </w:r>
      <w:r w:rsidRPr="000F0299">
        <w:t xml:space="preserve"> управе и бољи одговор на будуће кризне ситуације. </w:t>
      </w:r>
      <w:r>
        <w:t xml:space="preserve">На </w:t>
      </w:r>
      <w:r w:rsidRPr="000F0299">
        <w:t>Сервисн</w:t>
      </w:r>
      <w:r>
        <w:t>ој</w:t>
      </w:r>
      <w:r w:rsidRPr="000F0299">
        <w:t xml:space="preserve"> магистрал</w:t>
      </w:r>
      <w:r>
        <w:t>и</w:t>
      </w:r>
      <w:r w:rsidRPr="000F0299">
        <w:t xml:space="preserve"> органа је интероперабилно и доступно 28 скупова података који се налазе у надлежности осам институција, а 332 институције успешно размењују податке. Од увођења система за размену података регистрован</w:t>
      </w:r>
      <w:r>
        <w:t>а су</w:t>
      </w:r>
      <w:r w:rsidRPr="000F0299">
        <w:t xml:space="preserve"> 15.056.084 позива сервиса.</w:t>
      </w:r>
      <w:r w:rsidRPr="000F0299">
        <w:rPr>
          <w:vertAlign w:val="superscript"/>
        </w:rPr>
        <w:footnoteReference w:id="181"/>
      </w:r>
      <w:r w:rsidRPr="000F0299">
        <w:t xml:space="preserve"> Међутим, неки кључни државни регист</w:t>
      </w:r>
      <w:r>
        <w:t>ри</w:t>
      </w:r>
      <w:r w:rsidRPr="000F0299">
        <w:t xml:space="preserve">, </w:t>
      </w:r>
      <w:r>
        <w:t>као што су</w:t>
      </w:r>
      <w:r w:rsidRPr="000F0299">
        <w:t xml:space="preserve"> Адресн</w:t>
      </w:r>
      <w:r>
        <w:t>и</w:t>
      </w:r>
      <w:r w:rsidRPr="000F0299">
        <w:t xml:space="preserve"> регист</w:t>
      </w:r>
      <w:r>
        <w:t>а</w:t>
      </w:r>
      <w:r w:rsidRPr="000F0299">
        <w:t>р и Регист</w:t>
      </w:r>
      <w:r>
        <w:t>а</w:t>
      </w:r>
      <w:r w:rsidRPr="000F0299">
        <w:t xml:space="preserve">р просторних јединица још нису интероперабилни, али је њихова интеграција у току. </w:t>
      </w:r>
      <w:r w:rsidRPr="000F0299">
        <w:rPr>
          <w:rFonts w:eastAsia="Times New Roman"/>
          <w:color w:val="000000"/>
          <w:lang w:eastAsia="en-GB"/>
        </w:rPr>
        <w:t xml:space="preserve">У текућем планском циклусу </w:t>
      </w:r>
      <w:r>
        <w:rPr>
          <w:rFonts w:eastAsia="Times New Roman"/>
          <w:color w:val="000000"/>
          <w:lang w:eastAsia="en-GB"/>
        </w:rPr>
        <w:t>предвиђа</w:t>
      </w:r>
      <w:r w:rsidRPr="000F0299">
        <w:rPr>
          <w:rFonts w:eastAsia="Times New Roman"/>
          <w:color w:val="000000"/>
          <w:lang w:eastAsia="en-GB"/>
        </w:rPr>
        <w:t xml:space="preserve"> се да јавна управа успостав</w:t>
      </w:r>
      <w:r>
        <w:rPr>
          <w:rFonts w:eastAsia="Times New Roman"/>
          <w:color w:val="000000"/>
          <w:lang w:eastAsia="en-GB"/>
        </w:rPr>
        <w:t>и</w:t>
      </w:r>
      <w:r w:rsidRPr="000F0299">
        <w:rPr>
          <w:rFonts w:eastAsia="Times New Roman"/>
          <w:color w:val="000000"/>
          <w:lang w:eastAsia="en-GB"/>
        </w:rPr>
        <w:t xml:space="preserve"> техничко-технолошк</w:t>
      </w:r>
      <w:r>
        <w:rPr>
          <w:rFonts w:eastAsia="Times New Roman"/>
          <w:color w:val="000000"/>
          <w:lang w:eastAsia="en-GB"/>
        </w:rPr>
        <w:t>у</w:t>
      </w:r>
      <w:r w:rsidRPr="000F0299">
        <w:rPr>
          <w:rFonts w:eastAsia="Times New Roman"/>
          <w:color w:val="000000"/>
          <w:lang w:eastAsia="en-GB"/>
        </w:rPr>
        <w:t xml:space="preserve"> инфраструктур</w:t>
      </w:r>
      <w:r>
        <w:rPr>
          <w:rFonts w:eastAsia="Times New Roman"/>
          <w:color w:val="000000"/>
          <w:lang w:eastAsia="en-GB"/>
        </w:rPr>
        <w:t>у</w:t>
      </w:r>
      <w:r w:rsidRPr="000F0299">
        <w:rPr>
          <w:rFonts w:eastAsia="Times New Roman"/>
          <w:color w:val="000000"/>
          <w:lang w:eastAsia="en-GB"/>
        </w:rPr>
        <w:t xml:space="preserve"> која је неопходна за неометан</w:t>
      </w:r>
      <w:r>
        <w:rPr>
          <w:rFonts w:eastAsia="Times New Roman"/>
          <w:color w:val="000000"/>
          <w:lang w:eastAsia="en-GB"/>
        </w:rPr>
        <w:t xml:space="preserve"> рад</w:t>
      </w:r>
      <w:r w:rsidRPr="000F0299">
        <w:rPr>
          <w:rFonts w:eastAsia="Times New Roman"/>
          <w:color w:val="000000"/>
          <w:lang w:eastAsia="en-GB"/>
        </w:rPr>
        <w:t xml:space="preserve"> електронске управе</w:t>
      </w:r>
      <w:r>
        <w:rPr>
          <w:rFonts w:eastAsia="Times New Roman"/>
          <w:color w:val="000000"/>
          <w:lang w:eastAsia="en-GB"/>
        </w:rPr>
        <w:t xml:space="preserve"> и </w:t>
      </w:r>
      <w:r w:rsidRPr="000F0299">
        <w:rPr>
          <w:rFonts w:eastAsia="Times New Roman"/>
          <w:color w:val="000000"/>
          <w:lang w:eastAsia="en-GB"/>
        </w:rPr>
        <w:t xml:space="preserve">да настави </w:t>
      </w:r>
      <w:r>
        <w:rPr>
          <w:rFonts w:eastAsia="Times New Roman"/>
          <w:color w:val="000000"/>
          <w:lang w:eastAsia="en-GB"/>
        </w:rPr>
        <w:t xml:space="preserve">са дигитализовањем </w:t>
      </w:r>
      <w:r w:rsidRPr="000F0299">
        <w:rPr>
          <w:rFonts w:eastAsia="Times New Roman"/>
          <w:color w:val="000000"/>
          <w:lang w:eastAsia="en-GB"/>
        </w:rPr>
        <w:t>услуга</w:t>
      </w:r>
      <w:r>
        <w:rPr>
          <w:rFonts w:eastAsia="Times New Roman"/>
          <w:color w:val="000000"/>
          <w:lang w:eastAsia="en-GB"/>
        </w:rPr>
        <w:t xml:space="preserve"> до</w:t>
      </w:r>
      <w:r w:rsidRPr="000F0299">
        <w:rPr>
          <w:rFonts w:eastAsia="Times New Roman"/>
          <w:color w:val="000000"/>
          <w:lang w:eastAsia="en-GB"/>
        </w:rPr>
        <w:t xml:space="preserve"> трећ</w:t>
      </w:r>
      <w:r>
        <w:rPr>
          <w:rFonts w:eastAsia="Times New Roman"/>
          <w:color w:val="000000"/>
          <w:lang w:eastAsia="en-GB"/>
        </w:rPr>
        <w:t>ег</w:t>
      </w:r>
      <w:r w:rsidRPr="000F0299">
        <w:rPr>
          <w:rFonts w:eastAsia="Times New Roman"/>
          <w:color w:val="000000"/>
          <w:lang w:eastAsia="en-GB"/>
        </w:rPr>
        <w:t xml:space="preserve"> и четврт</w:t>
      </w:r>
      <w:r>
        <w:rPr>
          <w:rFonts w:eastAsia="Times New Roman"/>
          <w:color w:val="000000"/>
          <w:lang w:eastAsia="en-GB"/>
        </w:rPr>
        <w:t>ог</w:t>
      </w:r>
      <w:r w:rsidRPr="000F0299">
        <w:rPr>
          <w:rFonts w:eastAsia="Times New Roman"/>
          <w:color w:val="000000"/>
          <w:lang w:eastAsia="en-GB"/>
        </w:rPr>
        <w:t xml:space="preserve"> ниво</w:t>
      </w:r>
      <w:r>
        <w:rPr>
          <w:rFonts w:eastAsia="Times New Roman"/>
          <w:color w:val="000000"/>
          <w:lang w:eastAsia="en-GB"/>
        </w:rPr>
        <w:t>а</w:t>
      </w:r>
      <w:r w:rsidRPr="000F0299">
        <w:rPr>
          <w:rFonts w:eastAsia="Times New Roman"/>
          <w:color w:val="000000"/>
          <w:lang w:eastAsia="en-GB"/>
        </w:rPr>
        <w:t xml:space="preserve"> софистицираности.</w:t>
      </w:r>
      <w:r w:rsidRPr="000F0299">
        <w:rPr>
          <w:rFonts w:eastAsia="Times New Roman"/>
          <w:b/>
          <w:color w:val="000000"/>
          <w:lang w:eastAsia="en-GB"/>
        </w:rPr>
        <w:t xml:space="preserve"> </w:t>
      </w:r>
      <w:r w:rsidRPr="00807CA4">
        <w:rPr>
          <w:rFonts w:eastAsia="Times New Roman"/>
          <w:color w:val="000000"/>
          <w:lang w:eastAsia="en-GB"/>
        </w:rPr>
        <w:t xml:space="preserve">С обзиром на значај који ефикасна е-управа има на конкурентност националне привреде, неопходно је успоставити систем који управу стимулише </w:t>
      </w:r>
      <w:r>
        <w:rPr>
          <w:rFonts w:eastAsia="Times New Roman"/>
          <w:color w:val="000000"/>
          <w:lang w:eastAsia="en-GB"/>
        </w:rPr>
        <w:t>н</w:t>
      </w:r>
      <w:r w:rsidRPr="00807CA4">
        <w:rPr>
          <w:rFonts w:eastAsia="Times New Roman"/>
          <w:color w:val="000000"/>
          <w:lang w:eastAsia="en-GB"/>
        </w:rPr>
        <w:t>а иновације у области развоја и пружања електронских услуга у складу са глобалним трендовима</w:t>
      </w:r>
      <w:r>
        <w:rPr>
          <w:rFonts w:eastAsia="Times New Roman"/>
          <w:color w:val="000000"/>
          <w:lang w:eastAsia="en-GB"/>
        </w:rPr>
        <w:t xml:space="preserve">, </w:t>
      </w:r>
      <w:r w:rsidRPr="000F0299">
        <w:rPr>
          <w:rFonts w:eastAsia="Times New Roman"/>
          <w:color w:val="000000"/>
          <w:lang w:eastAsia="en-GB"/>
        </w:rPr>
        <w:t xml:space="preserve">посебно у области заштите приватности и сајбер безбедности с обзиром на динамичан </w:t>
      </w:r>
      <w:r>
        <w:rPr>
          <w:rFonts w:eastAsia="Times New Roman"/>
          <w:color w:val="000000"/>
          <w:lang w:eastAsia="en-GB"/>
        </w:rPr>
        <w:t xml:space="preserve">глобални </w:t>
      </w:r>
      <w:r w:rsidRPr="000F0299">
        <w:rPr>
          <w:rFonts w:eastAsia="Times New Roman"/>
          <w:color w:val="000000"/>
          <w:lang w:eastAsia="en-GB"/>
        </w:rPr>
        <w:t>развој технологије.</w:t>
      </w:r>
    </w:p>
    <w:p w14:paraId="553075EA" w14:textId="77777777" w:rsidR="003D38D9" w:rsidRPr="000F0299" w:rsidRDefault="003D38D9" w:rsidP="003D38D9">
      <w:r>
        <w:rPr>
          <w:bCs/>
        </w:rPr>
        <w:t>Н</w:t>
      </w:r>
      <w:r w:rsidRPr="000F0299">
        <w:rPr>
          <w:bCs/>
        </w:rPr>
        <w:t>еопходно је унапреди</w:t>
      </w:r>
      <w:r>
        <w:rPr>
          <w:bCs/>
        </w:rPr>
        <w:t>ти</w:t>
      </w:r>
      <w:r w:rsidRPr="000F0299">
        <w:rPr>
          <w:bCs/>
        </w:rPr>
        <w:t xml:space="preserve"> инфраструктур</w:t>
      </w:r>
      <w:r>
        <w:rPr>
          <w:bCs/>
        </w:rPr>
        <w:t>у</w:t>
      </w:r>
      <w:r w:rsidRPr="000F0299">
        <w:rPr>
          <w:bCs/>
        </w:rPr>
        <w:t xml:space="preserve"> за пружање услуга на Порталу е-управе</w:t>
      </w:r>
      <w:r>
        <w:rPr>
          <w:bCs/>
        </w:rPr>
        <w:t xml:space="preserve">, </w:t>
      </w:r>
      <w:r w:rsidRPr="000F0299">
        <w:t xml:space="preserve">на коме недостају модули за динамичке форме захтева, директно повезивање са порталима на којима се налазе информације о свим поступцима, генератор услуга који ограничава могућност </w:t>
      </w:r>
      <w:r>
        <w:t xml:space="preserve">да се </w:t>
      </w:r>
      <w:r w:rsidRPr="000F0299">
        <w:t>манипули</w:t>
      </w:r>
      <w:r>
        <w:t>ше</w:t>
      </w:r>
      <w:r w:rsidRPr="000F0299">
        <w:t xml:space="preserve"> сличним услугама и др. </w:t>
      </w:r>
      <w:r>
        <w:t>Т</w:t>
      </w:r>
      <w:r w:rsidRPr="000F0299">
        <w:t>рошкови дигитализације су зна</w:t>
      </w:r>
      <w:r>
        <w:t xml:space="preserve">тно </w:t>
      </w:r>
      <w:r w:rsidRPr="000F0299">
        <w:t>в</w:t>
      </w:r>
      <w:r>
        <w:t xml:space="preserve">ећи од </w:t>
      </w:r>
      <w:r w:rsidRPr="000F0299">
        <w:t>резултат</w:t>
      </w:r>
      <w:r>
        <w:t>а</w:t>
      </w:r>
      <w:r w:rsidRPr="000F0299">
        <w:t xml:space="preserve"> који се </w:t>
      </w:r>
      <w:r>
        <w:t xml:space="preserve">њоме </w:t>
      </w:r>
      <w:r w:rsidRPr="000F0299">
        <w:t xml:space="preserve">постижу дигитализацијом </w:t>
      </w:r>
      <w:r>
        <w:t xml:space="preserve">и она </w:t>
      </w:r>
      <w:r w:rsidRPr="000F0299">
        <w:t>не достиж</w:t>
      </w:r>
      <w:r>
        <w:t>е</w:t>
      </w:r>
      <w:r w:rsidRPr="000F0299">
        <w:t xml:space="preserve"> свој пун домет, посебно у смањењ</w:t>
      </w:r>
      <w:r>
        <w:t>у</w:t>
      </w:r>
      <w:r w:rsidRPr="000F0299">
        <w:t xml:space="preserve"> трошкова, времена и бирократије пре свега з</w:t>
      </w:r>
      <w:r>
        <w:t xml:space="preserve">ато што се </w:t>
      </w:r>
      <w:r w:rsidRPr="000F0299">
        <w:t>преска</w:t>
      </w:r>
      <w:r>
        <w:t>че</w:t>
      </w:r>
      <w:r w:rsidRPr="000F0299">
        <w:t xml:space="preserve"> оптимизациј</w:t>
      </w:r>
      <w:r>
        <w:t>а</w:t>
      </w:r>
      <w:r w:rsidRPr="000F0299">
        <w:t xml:space="preserve"> поступка.</w:t>
      </w:r>
    </w:p>
    <w:p w14:paraId="3F2880C1" w14:textId="77777777" w:rsidR="003D38D9" w:rsidRPr="007801F0" w:rsidRDefault="003D38D9" w:rsidP="003D38D9">
      <w:pPr>
        <w:pStyle w:val="CommentText"/>
        <w:rPr>
          <w:rFonts w:eastAsia="Arial"/>
          <w:color w:val="000000"/>
          <w:sz w:val="24"/>
          <w:szCs w:val="24"/>
          <w:lang w:val="sr-Cyrl-RS"/>
        </w:rPr>
      </w:pPr>
      <w:r w:rsidRPr="00971C46">
        <w:rPr>
          <w:sz w:val="24"/>
          <w:szCs w:val="24"/>
          <w:lang w:val="sr-Cyrl-RS"/>
        </w:rPr>
        <w:t>Јавна управа успорено отвара податке,</w:t>
      </w:r>
      <w:r w:rsidRPr="007801F0">
        <w:rPr>
          <w:sz w:val="24"/>
          <w:szCs w:val="24"/>
          <w:vertAlign w:val="superscript"/>
        </w:rPr>
        <w:footnoteReference w:id="182"/>
      </w:r>
      <w:r w:rsidRPr="00971C46">
        <w:rPr>
          <w:sz w:val="24"/>
          <w:szCs w:val="24"/>
          <w:lang w:val="sr-Cyrl-RS"/>
        </w:rPr>
        <w:t xml:space="preserve"> </w:t>
      </w:r>
      <w:r w:rsidRPr="00971C46">
        <w:rPr>
          <w:b/>
          <w:bCs/>
          <w:sz w:val="24"/>
          <w:szCs w:val="24"/>
          <w:lang w:val="sr-Cyrl-RS"/>
        </w:rPr>
        <w:t>а недовољна искоришћеност потенцијала које отворени подаци нуде одражава се у нижој иновативности предузећа и стартапова у развоју нових услуга и производа</w:t>
      </w:r>
      <w:r w:rsidRPr="00971C46">
        <w:rPr>
          <w:sz w:val="24"/>
          <w:szCs w:val="24"/>
          <w:lang w:val="sr-Cyrl-RS"/>
        </w:rPr>
        <w:t>. Тренутно су на Порталу отворених података представљена 22 примера употребе отворених сетова података.</w:t>
      </w:r>
      <w:r w:rsidRPr="007801F0">
        <w:rPr>
          <w:sz w:val="24"/>
          <w:szCs w:val="24"/>
          <w:vertAlign w:val="superscript"/>
        </w:rPr>
        <w:footnoteReference w:id="183"/>
      </w:r>
      <w:r w:rsidRPr="00971C46">
        <w:rPr>
          <w:sz w:val="24"/>
          <w:szCs w:val="24"/>
          <w:lang w:val="sr-Cyrl-RS"/>
        </w:rPr>
        <w:t xml:space="preserve"> Отварање и коришћење отворених података је разрађено кроз посебну меру у Програму развоја е-управе и на томе се интензивно ради.</w:t>
      </w:r>
      <w:r w:rsidRPr="00971C46">
        <w:rPr>
          <w:rFonts w:eastAsia="Arial"/>
          <w:color w:val="000000"/>
          <w:sz w:val="24"/>
          <w:szCs w:val="24"/>
          <w:lang w:val="sr-Cyrl-RS"/>
        </w:rPr>
        <w:t xml:space="preserve"> Култура управљања подацима мора се повећати како би подаци постали стратешки ресурс, а не нуспроизвод институција који се не користе ван њих. </w:t>
      </w:r>
      <w:r w:rsidRPr="007801F0">
        <w:rPr>
          <w:rFonts w:eastAsia="Arial"/>
          <w:color w:val="000000"/>
          <w:sz w:val="24"/>
          <w:szCs w:val="24"/>
          <w:lang w:val="sr-Cyrl-RS"/>
        </w:rPr>
        <w:t>За планирање и вредновање ефеката јавних политика и доношење одлука, како у кризним ситуацијама, тако и у редовним условима, кључно је да се у јавном сектору користе подаци из разних извора.</w:t>
      </w:r>
    </w:p>
    <w:p w14:paraId="0FE0486E" w14:textId="77777777" w:rsidR="003D38D9" w:rsidRPr="000F0299" w:rsidRDefault="003D38D9" w:rsidP="003D38D9">
      <w:r w:rsidRPr="000F0299">
        <w:rPr>
          <w:rFonts w:eastAsia="Arial"/>
          <w:color w:val="000000"/>
        </w:rPr>
        <w:t>Потребно је донети документ јавн</w:t>
      </w:r>
      <w:r>
        <w:rPr>
          <w:rFonts w:eastAsia="Arial"/>
          <w:color w:val="000000"/>
        </w:rPr>
        <w:t>е</w:t>
      </w:r>
      <w:r w:rsidRPr="000F0299">
        <w:rPr>
          <w:rFonts w:eastAsia="Arial"/>
          <w:color w:val="000000"/>
        </w:rPr>
        <w:t xml:space="preserve"> политик</w:t>
      </w:r>
      <w:r>
        <w:rPr>
          <w:rFonts w:eastAsia="Arial"/>
          <w:color w:val="000000"/>
        </w:rPr>
        <w:t>е</w:t>
      </w:r>
      <w:r w:rsidRPr="000F0299">
        <w:rPr>
          <w:rFonts w:eastAsia="Arial"/>
          <w:color w:val="000000"/>
        </w:rPr>
        <w:t xml:space="preserve"> који се односи на </w:t>
      </w:r>
      <w:r>
        <w:rPr>
          <w:rFonts w:eastAsia="Arial"/>
          <w:color w:val="000000"/>
        </w:rPr>
        <w:t>т</w:t>
      </w:r>
      <w:r w:rsidRPr="000F0299">
        <w:rPr>
          <w:rFonts w:eastAsia="Arial"/>
          <w:color w:val="000000"/>
        </w:rPr>
        <w:t xml:space="preserve">у област како би се обезбедили људски, финансијски и други ресурси за стварање и дугорочну одрживост кључних извора података, њихову размену између институција, изградњу заједничке платформе за аналитику, повезивање државних података са подацима из академског и приватног сектора итд. </w:t>
      </w:r>
    </w:p>
    <w:p w14:paraId="2A474F0C" w14:textId="77777777" w:rsidR="003D38D9" w:rsidRPr="000F0299" w:rsidRDefault="003D38D9" w:rsidP="003D38D9">
      <w:r w:rsidRPr="000F0299">
        <w:rPr>
          <w:b/>
          <w:bCs/>
        </w:rPr>
        <w:t>Започете су активности на изградњи националне платформе за вештачку интелигенцију која ће омогућити развој најсавременијих услуга е-управе заснованих на коришћењу вештачке интелигенције</w:t>
      </w:r>
      <w:r w:rsidRPr="000F0299">
        <w:t>.</w:t>
      </w:r>
      <w:r w:rsidRPr="000F0299">
        <w:rPr>
          <w:vertAlign w:val="superscript"/>
        </w:rPr>
        <w:footnoteReference w:id="184"/>
      </w:r>
      <w:r w:rsidRPr="000F0299">
        <w:t xml:space="preserve"> Потенцијали употребе вештачке интелигенције у пружању услуга су огромни – од боље алокације ресурса, замене експертске подршке код решавања једноставнијих изазова до сумирања великих скупова различитих типова података који се у јавној управи прикупљају, али још увек недовољно анализирају. </w:t>
      </w:r>
    </w:p>
    <w:p w14:paraId="6339DFF0" w14:textId="15C67B64" w:rsidR="003D38D9" w:rsidRPr="000F0299" w:rsidRDefault="003D38D9" w:rsidP="003D38D9">
      <w:r w:rsidRPr="000F0299">
        <w:rPr>
          <w:b/>
        </w:rPr>
        <w:t>Ресурси потребни за пружање услуга (људски, финансијски, техничко-технолошки) нису адекватно распоређени</w:t>
      </w:r>
      <w:r w:rsidRPr="000F0299">
        <w:t xml:space="preserve"> </w:t>
      </w:r>
      <w:r>
        <w:t>ни</w:t>
      </w:r>
      <w:r w:rsidRPr="000F0299">
        <w:t xml:space="preserve"> по областима пружања услуга, </w:t>
      </w:r>
      <w:r>
        <w:t>ни</w:t>
      </w:r>
      <w:r w:rsidRPr="000F0299">
        <w:t xml:space="preserve"> између различитих нивоа власти због чега се поједини органи државне управе суочавају са потешкоћама у пружању услуга грађанима и обезбеђењу њиховог квалитета. </w:t>
      </w:r>
      <w:r>
        <w:t>Љ</w:t>
      </w:r>
      <w:r w:rsidRPr="000F0299">
        <w:t>удски капацитет</w:t>
      </w:r>
      <w:r>
        <w:t>и</w:t>
      </w:r>
      <w:r w:rsidRPr="000F0299">
        <w:t xml:space="preserve"> </w:t>
      </w:r>
      <w:r>
        <w:t>су</w:t>
      </w:r>
      <w:r w:rsidRPr="000F0299">
        <w:t xml:space="preserve"> ограничен</w:t>
      </w:r>
      <w:r>
        <w:t>и</w:t>
      </w:r>
      <w:r w:rsidRPr="000F0299">
        <w:t>, а ниво квалификованости државних службеника за пружање услуга није адекватан и треба повећати обуке из домена пружања услуга.</w:t>
      </w:r>
      <w:r w:rsidRPr="000F0299">
        <w:rPr>
          <w:vertAlign w:val="superscript"/>
        </w:rPr>
        <w:footnoteReference w:id="185"/>
      </w:r>
      <w:r w:rsidRPr="000F0299">
        <w:t xml:space="preserve"> </w:t>
      </w:r>
      <w:r>
        <w:rPr>
          <w:rFonts w:eastAsia="Arial"/>
          <w:color w:val="000000"/>
        </w:rPr>
        <w:t>Н</w:t>
      </w:r>
      <w:r w:rsidRPr="000F0299">
        <w:rPr>
          <w:rFonts w:eastAsia="Arial"/>
          <w:color w:val="000000"/>
        </w:rPr>
        <w:t xml:space="preserve">а пословима е-управе </w:t>
      </w:r>
      <w:r>
        <w:rPr>
          <w:rFonts w:eastAsia="Arial"/>
          <w:color w:val="000000"/>
        </w:rPr>
        <w:t xml:space="preserve">најчешће се </w:t>
      </w:r>
      <w:r w:rsidRPr="000F0299">
        <w:rPr>
          <w:rFonts w:eastAsia="Arial"/>
          <w:color w:val="000000"/>
        </w:rPr>
        <w:t>запошљава ИТ профил</w:t>
      </w:r>
      <w:r>
        <w:rPr>
          <w:rFonts w:eastAsia="Arial"/>
          <w:color w:val="000000"/>
        </w:rPr>
        <w:t xml:space="preserve">, међутим </w:t>
      </w:r>
      <w:r w:rsidRPr="000F0299">
        <w:rPr>
          <w:rFonts w:eastAsia="Arial"/>
          <w:color w:val="000000"/>
        </w:rPr>
        <w:t xml:space="preserve">потребно је </w:t>
      </w:r>
      <w:r>
        <w:rPr>
          <w:rFonts w:eastAsia="Arial"/>
          <w:color w:val="000000"/>
        </w:rPr>
        <w:t>запослити и лица</w:t>
      </w:r>
      <w:r w:rsidRPr="000F0299">
        <w:rPr>
          <w:rFonts w:eastAsia="Arial"/>
          <w:color w:val="000000"/>
        </w:rPr>
        <w:t xml:space="preserve"> кој</w:t>
      </w:r>
      <w:r>
        <w:rPr>
          <w:rFonts w:eastAsia="Arial"/>
          <w:color w:val="000000"/>
        </w:rPr>
        <w:t>а</w:t>
      </w:r>
      <w:r w:rsidRPr="000F0299">
        <w:rPr>
          <w:rFonts w:eastAsia="Arial"/>
          <w:color w:val="000000"/>
        </w:rPr>
        <w:t xml:space="preserve"> могу (агилно) управља</w:t>
      </w:r>
      <w:r>
        <w:rPr>
          <w:rFonts w:eastAsia="Arial"/>
          <w:color w:val="000000"/>
        </w:rPr>
        <w:t>ти</w:t>
      </w:r>
      <w:r w:rsidRPr="000F0299">
        <w:rPr>
          <w:rFonts w:eastAsia="Arial"/>
          <w:color w:val="000000"/>
        </w:rPr>
        <w:t xml:space="preserve"> пројектима, анализира</w:t>
      </w:r>
      <w:r>
        <w:rPr>
          <w:rFonts w:eastAsia="Arial"/>
          <w:color w:val="000000"/>
        </w:rPr>
        <w:t>ти</w:t>
      </w:r>
      <w:r w:rsidRPr="000F0299">
        <w:rPr>
          <w:rFonts w:eastAsia="Arial"/>
          <w:color w:val="000000"/>
        </w:rPr>
        <w:t>/сагледава</w:t>
      </w:r>
      <w:r>
        <w:rPr>
          <w:rFonts w:eastAsia="Arial"/>
          <w:color w:val="000000"/>
        </w:rPr>
        <w:t>ти</w:t>
      </w:r>
      <w:r w:rsidRPr="000F0299">
        <w:rPr>
          <w:rFonts w:eastAsia="Arial"/>
          <w:color w:val="000000"/>
        </w:rPr>
        <w:t xml:space="preserve"> потребе корисника</w:t>
      </w:r>
      <w:r>
        <w:rPr>
          <w:rFonts w:eastAsia="Arial"/>
          <w:color w:val="000000"/>
        </w:rPr>
        <w:t xml:space="preserve"> и која ће </w:t>
      </w:r>
      <w:r w:rsidRPr="000F0299">
        <w:rPr>
          <w:rFonts w:eastAsia="Arial"/>
          <w:color w:val="000000"/>
        </w:rPr>
        <w:t>рад</w:t>
      </w:r>
      <w:r>
        <w:rPr>
          <w:rFonts w:eastAsia="Arial"/>
          <w:color w:val="000000"/>
        </w:rPr>
        <w:t>ити</w:t>
      </w:r>
      <w:r w:rsidRPr="000F0299">
        <w:rPr>
          <w:rFonts w:eastAsia="Arial"/>
          <w:color w:val="000000"/>
        </w:rPr>
        <w:t xml:space="preserve"> на </w:t>
      </w:r>
      <w:r>
        <w:rPr>
          <w:rFonts w:eastAsia="Arial"/>
          <w:color w:val="000000"/>
        </w:rPr>
        <w:t xml:space="preserve">заједничком </w:t>
      </w:r>
      <w:r w:rsidRPr="000F0299">
        <w:rPr>
          <w:rFonts w:eastAsia="Arial"/>
          <w:color w:val="000000"/>
        </w:rPr>
        <w:t>стварању</w:t>
      </w:r>
      <w:r>
        <w:rPr>
          <w:rFonts w:eastAsia="Arial"/>
          <w:color w:val="000000"/>
        </w:rPr>
        <w:t xml:space="preserve"> и </w:t>
      </w:r>
      <w:r w:rsidRPr="000F0299">
        <w:rPr>
          <w:rFonts w:eastAsia="Arial"/>
          <w:color w:val="000000"/>
        </w:rPr>
        <w:t xml:space="preserve">уклањању баријера за размену података између институција. </w:t>
      </w:r>
      <w:r w:rsidRPr="000F0299">
        <w:t xml:space="preserve">Период потребан за обраду захтева и пружање услуге није довољно брз </w:t>
      </w:r>
      <w:r w:rsidRPr="000F0299">
        <w:rPr>
          <w:rStyle w:val="CommentReference"/>
          <w:sz w:val="24"/>
          <w:szCs w:val="24"/>
        </w:rPr>
        <w:t>и не мери се систематично колико је заиста времена потребно.</w:t>
      </w:r>
      <w:r w:rsidRPr="000F0299">
        <w:t xml:space="preserve"> </w:t>
      </w:r>
    </w:p>
    <w:p w14:paraId="434C63E1" w14:textId="5874EDD7" w:rsidR="003D38D9" w:rsidRPr="003D38D9" w:rsidRDefault="003D38D9" w:rsidP="003D38D9">
      <w:pPr>
        <w:rPr>
          <w:shd w:val="clear" w:color="auto" w:fill="FFFFFF"/>
          <w:lang w:eastAsia="en-GB"/>
        </w:rPr>
      </w:pPr>
      <w:r w:rsidRPr="000F0299">
        <w:rPr>
          <w:color w:val="000000" w:themeColor="text1"/>
        </w:rPr>
        <w:t xml:space="preserve">Техничко-технолошка опремљеност јавне управе </w:t>
      </w:r>
      <w:r w:rsidRPr="000F0299">
        <w:rPr>
          <w:shd w:val="clear" w:color="auto" w:fill="FFFFFF"/>
          <w:lang w:eastAsia="en-GB"/>
        </w:rPr>
        <w:t xml:space="preserve">још увек није на довољном нивоу како би пружање електронских услуга, као савременог начина </w:t>
      </w:r>
      <w:r>
        <w:rPr>
          <w:shd w:val="clear" w:color="auto" w:fill="FFFFFF"/>
          <w:lang w:eastAsia="en-GB"/>
        </w:rPr>
        <w:t>пружања</w:t>
      </w:r>
      <w:r w:rsidRPr="000F0299">
        <w:rPr>
          <w:shd w:val="clear" w:color="auto" w:fill="FFFFFF"/>
          <w:lang w:eastAsia="en-GB"/>
        </w:rPr>
        <w:t xml:space="preserve"> услуга и комуникације јавне управе са грађанима и привредом, било широко доступно.</w:t>
      </w:r>
      <w:r w:rsidRPr="000F0299">
        <w:rPr>
          <w:color w:val="000000" w:themeColor="text1"/>
          <w:vertAlign w:val="superscript"/>
        </w:rPr>
        <w:footnoteReference w:id="186"/>
      </w:r>
      <w:r w:rsidRPr="000F0299">
        <w:rPr>
          <w:color w:val="000000" w:themeColor="text1"/>
          <w:vertAlign w:val="superscript"/>
        </w:rPr>
        <w:t>,</w:t>
      </w:r>
      <w:r w:rsidRPr="000F0299">
        <w:rPr>
          <w:color w:val="000000" w:themeColor="text1"/>
          <w:vertAlign w:val="superscript"/>
        </w:rPr>
        <w:footnoteReference w:id="187"/>
      </w:r>
      <w:r>
        <w:rPr>
          <w:color w:val="000000" w:themeColor="text1"/>
          <w:vertAlign w:val="superscript"/>
        </w:rPr>
        <w:t xml:space="preserve"> </w:t>
      </w:r>
      <w:r w:rsidRPr="000F0299">
        <w:rPr>
          <w:shd w:val="clear" w:color="auto" w:fill="FFFFFF"/>
          <w:lang w:eastAsia="en-GB"/>
        </w:rPr>
        <w:t>Техничко-технолошки капацитети се огледају и у недовољно изграђеној инфраструктури иако број јавних евиденција које су доступне у електронском облику сталн</w:t>
      </w:r>
      <w:r>
        <w:rPr>
          <w:shd w:val="clear" w:color="auto" w:fill="FFFFFF"/>
          <w:lang w:eastAsia="en-GB"/>
        </w:rPr>
        <w:t>о</w:t>
      </w:r>
      <w:r w:rsidRPr="000F0299">
        <w:rPr>
          <w:shd w:val="clear" w:color="auto" w:fill="FFFFFF"/>
          <w:lang w:eastAsia="en-GB"/>
        </w:rPr>
        <w:t xml:space="preserve"> раст</w:t>
      </w:r>
      <w:r>
        <w:rPr>
          <w:shd w:val="clear" w:color="auto" w:fill="FFFFFF"/>
          <w:lang w:eastAsia="en-GB"/>
        </w:rPr>
        <w:t>е</w:t>
      </w:r>
      <w:r w:rsidRPr="000F0299">
        <w:rPr>
          <w:shd w:val="clear" w:color="auto" w:fill="FFFFFF"/>
          <w:lang w:eastAsia="en-GB"/>
        </w:rPr>
        <w:t xml:space="preserve">. Службеници избегавају да податке прибављају по службеној дужности и упућују кориснике услуга да сами приложе сву потребну документацију како би се услуге </w:t>
      </w:r>
      <w:r>
        <w:rPr>
          <w:shd w:val="clear" w:color="auto" w:fill="FFFFFF"/>
          <w:lang w:eastAsia="en-GB"/>
        </w:rPr>
        <w:t>пружиле</w:t>
      </w:r>
      <w:r w:rsidRPr="000F0299">
        <w:rPr>
          <w:shd w:val="clear" w:color="auto" w:fill="FFFFFF"/>
          <w:lang w:eastAsia="en-GB"/>
        </w:rPr>
        <w:t xml:space="preserve"> у краћем року</w:t>
      </w:r>
      <w:r>
        <w:rPr>
          <w:shd w:val="clear" w:color="auto" w:fill="FFFFFF"/>
          <w:lang w:eastAsia="en-GB"/>
        </w:rPr>
        <w:t xml:space="preserve"> јер н</w:t>
      </w:r>
      <w:r w:rsidRPr="000F0299">
        <w:t>емају прилагођене интерне пословне процесе, ИТ опрему и системе, вештине како би податке прибавили преко еЗУП-а</w:t>
      </w:r>
      <w:r>
        <w:t xml:space="preserve"> и уз то нема </w:t>
      </w:r>
      <w:r w:rsidRPr="000F0299">
        <w:t xml:space="preserve">контроле и кампања подизања свести </w:t>
      </w:r>
      <w:r>
        <w:t>о</w:t>
      </w:r>
      <w:r w:rsidRPr="000F0299">
        <w:t xml:space="preserve"> значај</w:t>
      </w:r>
      <w:r>
        <w:t>у</w:t>
      </w:r>
      <w:r w:rsidRPr="000F0299">
        <w:t xml:space="preserve"> размене података.</w:t>
      </w:r>
    </w:p>
    <w:p w14:paraId="18F98AC7" w14:textId="77777777" w:rsidR="00956E14" w:rsidRPr="00522701" w:rsidRDefault="00956E14" w:rsidP="00956E14">
      <w:pPr>
        <w:rPr>
          <w:bCs/>
        </w:rPr>
      </w:pPr>
      <w:r w:rsidRPr="00522701">
        <w:t xml:space="preserve">У јавној управи </w:t>
      </w:r>
      <w:r w:rsidRPr="00522701">
        <w:rPr>
          <w:b/>
          <w:bCs/>
        </w:rPr>
        <w:t>не постоји обједињен систем за праћење, вредновање и извештавање о квалитету пружених јавних услуга како би се на систематичан начин обезбедио њихов квалитет, а јавност информисала о томе</w:t>
      </w:r>
      <w:r w:rsidRPr="00522701">
        <w:rPr>
          <w:bCs/>
        </w:rPr>
        <w:t>.</w:t>
      </w:r>
      <w:r w:rsidRPr="00522701">
        <w:rPr>
          <w:bCs/>
          <w:vertAlign w:val="superscript"/>
        </w:rPr>
        <w:footnoteReference w:id="188"/>
      </w:r>
      <w:r w:rsidRPr="00522701">
        <w:rPr>
          <w:bCs/>
        </w:rPr>
        <w:t xml:space="preserve"> Заједнички стандарди за пружање јавних услуга</w:t>
      </w:r>
      <w:r w:rsidRPr="00522701">
        <w:rPr>
          <w:bCs/>
          <w:vertAlign w:val="superscript"/>
        </w:rPr>
        <w:footnoteReference w:id="189"/>
      </w:r>
      <w:r w:rsidRPr="00522701">
        <w:rPr>
          <w:bCs/>
        </w:rPr>
        <w:t xml:space="preserve"> још нису уведени у целој администрацији, а алати за управљање квалитетом пружених услуга се не промовишу на систематичан начин иако потреба за њиховом употребом у јавној управи расте.</w:t>
      </w:r>
      <w:r w:rsidRPr="00522701">
        <w:rPr>
          <w:bCs/>
          <w:vertAlign w:val="superscript"/>
        </w:rPr>
        <w:footnoteReference w:id="190"/>
      </w:r>
      <w:r w:rsidRPr="00522701">
        <w:rPr>
          <w:bCs/>
        </w:rPr>
        <w:t xml:space="preserve"> Не постоји механизам за систематско мерење задовољства корисника пруженим услугама, који је основа за праћење квалитета пружених услуга и њихово унапређење, нити постоји систем за мерење учинака, броја пружених услуга и трошак појединачне пружене услуге, како би се уочиле области неефикасности и неефективности у пружању услуга.</w:t>
      </w:r>
    </w:p>
    <w:p w14:paraId="384DA765" w14:textId="13120A69" w:rsidR="00956E14" w:rsidRPr="00522701" w:rsidRDefault="00956E14" w:rsidP="00956E14">
      <w:pPr>
        <w:rPr>
          <w:color w:val="000000"/>
        </w:rPr>
      </w:pPr>
      <w:r w:rsidRPr="00522701">
        <w:rPr>
          <w:b/>
        </w:rPr>
        <w:t>Регистри управних поступака/услуга треба да послуже као основ на којем ће квалитет</w:t>
      </w:r>
      <w:r w:rsidRPr="00522701">
        <w:t xml:space="preserve"> </w:t>
      </w:r>
      <w:r w:rsidRPr="00522701">
        <w:rPr>
          <w:b/>
        </w:rPr>
        <w:t>услуга контролисати</w:t>
      </w:r>
      <w:r w:rsidRPr="00522701">
        <w:t xml:space="preserve"> орган/организација која ће бити за то задужена, али и</w:t>
      </w:r>
      <w:r w:rsidR="00BF755C">
        <w:t xml:space="preserve"> </w:t>
      </w:r>
      <w:r w:rsidRPr="00522701">
        <w:t xml:space="preserve">грађани и привреда. </w:t>
      </w:r>
      <w:r w:rsidRPr="00522701">
        <w:rPr>
          <w:color w:val="000000"/>
        </w:rPr>
        <w:t>Каталог управних поступака</w:t>
      </w:r>
      <w:r w:rsidRPr="00522701">
        <w:t xml:space="preserve"> је у припреми, али није донет правни оквир за његово функционисање. У примени је попис управних поступака који се односе на привреду, а планирано је проширење и на управне поступке који се односе на грађане. </w:t>
      </w:r>
      <w:r w:rsidRPr="00522701">
        <w:rPr>
          <w:color w:val="000000"/>
        </w:rPr>
        <w:t>Спроведена је прелиминарна анализа, иницирана је координација са органима који поседују одређене званичне регистре и побољшана је размена електронских података између органа.</w:t>
      </w:r>
      <w:r w:rsidRPr="00522701">
        <w:rPr>
          <w:color w:val="000000"/>
          <w:vertAlign w:val="superscript"/>
        </w:rPr>
        <w:footnoteReference w:id="191"/>
      </w:r>
      <w:r w:rsidR="002058FB">
        <w:rPr>
          <w:color w:val="000000"/>
        </w:rPr>
        <w:t>.</w:t>
      </w:r>
      <w:r w:rsidRPr="00522701">
        <w:rPr>
          <w:color w:val="000000"/>
        </w:rPr>
        <w:t xml:space="preserve"> Јединствени јавни регистар управних поступака</w:t>
      </w:r>
      <w:r w:rsidRPr="00522701">
        <w:rPr>
          <w:color w:val="000000"/>
          <w:vertAlign w:val="superscript"/>
        </w:rPr>
        <w:footnoteReference w:id="192"/>
      </w:r>
      <w:r w:rsidRPr="00522701">
        <w:rPr>
          <w:color w:val="000000"/>
        </w:rPr>
        <w:t xml:space="preserve"> до сада је идентификовао преко 2.600 управних поступака на државном и покрајинском нивоу. Непотребни поступци се поједностављују, оптимизују, дигитализују и уклањају и припремљени су стандардизовани модели за 188 поступака у локалној самоупр</w:t>
      </w:r>
      <w:r w:rsidR="009B7119">
        <w:rPr>
          <w:color w:val="000000"/>
        </w:rPr>
        <w:t>ав</w:t>
      </w:r>
      <w:r w:rsidRPr="00522701">
        <w:rPr>
          <w:color w:val="000000"/>
        </w:rPr>
        <w:t>и.</w:t>
      </w:r>
      <w:r w:rsidRPr="00522701">
        <w:rPr>
          <w:color w:val="000000"/>
          <w:vertAlign w:val="superscript"/>
        </w:rPr>
        <w:footnoteReference w:id="193"/>
      </w:r>
      <w:r w:rsidR="002058FB">
        <w:rPr>
          <w:color w:val="000000"/>
        </w:rPr>
        <w:t xml:space="preserve"> </w:t>
      </w:r>
      <w:r w:rsidRPr="00522701">
        <w:rPr>
          <w:color w:val="000000"/>
        </w:rPr>
        <w:t>Када регистар буде у целости функционалан, он ће имати и важну улогу у управљању квалитетом услуга јер ће мапирати све законом предвиђене кораке и све неопходне информације у сваком административном поступку/услузи. Уколико грађанин примети да се орган државне управе не понаша у складу са законом, он кроз тај систем може поднети жалбу,</w:t>
      </w:r>
      <w:r w:rsidRPr="00522701">
        <w:rPr>
          <w:color w:val="000000"/>
          <w:vertAlign w:val="superscript"/>
        </w:rPr>
        <w:footnoteReference w:id="194"/>
      </w:r>
      <w:r w:rsidRPr="00522701">
        <w:rPr>
          <w:color w:val="000000"/>
        </w:rPr>
        <w:t xml:space="preserve"> што омогућава систематично укључивање грађана у контролу квалитета пружених услуга, а државној управи да правовремено реагује на повреде у пружању услуга које су за грађане најбитније. Тај регистар прати и одговарајући портал на Порталу е-управа преко кога ће се пружити све информације за сваку услугу која се налази у регистру.</w:t>
      </w:r>
    </w:p>
    <w:p w14:paraId="3D44A619" w14:textId="6D18007A" w:rsidR="00956E14" w:rsidRDefault="00956E14" w:rsidP="00956E14">
      <w:pPr>
        <w:rPr>
          <w:lang w:eastAsia="en-GB"/>
        </w:rPr>
      </w:pPr>
      <w:r w:rsidRPr="00522701">
        <w:rPr>
          <w:lang w:eastAsia="en-GB"/>
        </w:rPr>
        <w:t xml:space="preserve">Како управљање квалитетом услуга захтева сталан и конзистентан надзор над процесом пружања услуга, у наредном периоду је </w:t>
      </w:r>
      <w:r w:rsidRPr="00522701">
        <w:rPr>
          <w:b/>
          <w:lang w:eastAsia="en-GB"/>
        </w:rPr>
        <w:t>потребно оснажити капацитете, нарочито Управног инспектората,</w:t>
      </w:r>
      <w:r w:rsidRPr="00522701">
        <w:rPr>
          <w:lang w:eastAsia="en-GB"/>
        </w:rPr>
        <w:t xml:space="preserve"> како кроз запошљавање новог кадра, тако и кроз организовање обука ради унапређења вештина запослених. Имајући у виду да је стратешка оријентација развој иновативних услуга кроз њихово креирање са партнерима из привреде, цивилног сектора, академске заједнице и грађана </w:t>
      </w:r>
      <w:r w:rsidRPr="00522701">
        <w:rPr>
          <w:bCs/>
          <w:lang w:eastAsia="en-GB"/>
        </w:rPr>
        <w:t>потребно је успоставити систем за целоживотно учење и побољшање вештина инспектора како би били спремни за све промене које се предвиђају за наредни период. Функционална анализа свих републичких инспекција показује да је број инспектора мањи од неопходног и износи 2.413</w:t>
      </w:r>
      <w:r w:rsidRPr="00522701">
        <w:rPr>
          <w:lang w:eastAsia="en-GB"/>
        </w:rPr>
        <w:t xml:space="preserve"> </w:t>
      </w:r>
      <w:r w:rsidRPr="00522701">
        <w:rPr>
          <w:bCs/>
          <w:lang w:eastAsia="en-GB"/>
        </w:rPr>
        <w:t>због чега је Акционим планом за запошљавање службених лица који обављају послове инспекцијског надзора за 2019–2021. годину</w:t>
      </w:r>
      <w:r w:rsidRPr="000F0299">
        <w:rPr>
          <w:bCs/>
          <w:lang w:eastAsia="en-GB"/>
        </w:rPr>
        <w:t xml:space="preserve"> предвиђено </w:t>
      </w:r>
      <w:r>
        <w:rPr>
          <w:bCs/>
          <w:lang w:eastAsia="en-GB"/>
        </w:rPr>
        <w:t xml:space="preserve">да се </w:t>
      </w:r>
      <w:r w:rsidRPr="000F0299">
        <w:rPr>
          <w:bCs/>
          <w:lang w:eastAsia="en-GB"/>
        </w:rPr>
        <w:t>запо</w:t>
      </w:r>
      <w:r>
        <w:rPr>
          <w:bCs/>
          <w:lang w:eastAsia="en-GB"/>
        </w:rPr>
        <w:t>сл</w:t>
      </w:r>
      <w:r w:rsidRPr="000F0299">
        <w:rPr>
          <w:bCs/>
          <w:lang w:eastAsia="en-GB"/>
        </w:rPr>
        <w:t>е још 1.272 инспектора. На предлог</w:t>
      </w:r>
      <w:r w:rsidRPr="000F0299">
        <w:rPr>
          <w:lang w:eastAsia="en-GB"/>
        </w:rPr>
        <w:t xml:space="preserve"> МДУЛС-а у јуну 2019. године доне</w:t>
      </w:r>
      <w:r>
        <w:rPr>
          <w:lang w:eastAsia="en-GB"/>
        </w:rPr>
        <w:t>т</w:t>
      </w:r>
      <w:r w:rsidRPr="000F0299">
        <w:rPr>
          <w:lang w:eastAsia="en-GB"/>
        </w:rPr>
        <w:t xml:space="preserve">а </w:t>
      </w:r>
      <w:r>
        <w:rPr>
          <w:lang w:val="sr-Latn-RS" w:eastAsia="en-GB"/>
        </w:rPr>
        <w:t xml:space="preserve">je </w:t>
      </w:r>
      <w:r w:rsidRPr="000F0299">
        <w:rPr>
          <w:lang w:eastAsia="en-GB"/>
        </w:rPr>
        <w:t>Уредб</w:t>
      </w:r>
      <w:r>
        <w:rPr>
          <w:lang w:eastAsia="en-GB"/>
        </w:rPr>
        <w:t>а</w:t>
      </w:r>
      <w:r w:rsidRPr="000F0299">
        <w:rPr>
          <w:lang w:eastAsia="en-GB"/>
        </w:rPr>
        <w:t xml:space="preserve"> о разврставању радних места и мерилима за опис радних места</w:t>
      </w:r>
      <w:r>
        <w:rPr>
          <w:lang w:eastAsia="en-GB"/>
        </w:rPr>
        <w:t xml:space="preserve"> („Службени гласник РС, број 117/05, 108/08, 109/09, 95/10, 11/2012, 84/2014, 132/14, 28/15, 102/15, 113/15, 16/2018, 2/2019, 4/19, 42/19)</w:t>
      </w:r>
      <w:r w:rsidRPr="004B20D4">
        <w:rPr>
          <w:lang w:eastAsia="en-GB"/>
        </w:rPr>
        <w:t>.</w:t>
      </w:r>
      <w:r w:rsidRPr="000F0299">
        <w:rPr>
          <w:lang w:eastAsia="en-GB"/>
        </w:rPr>
        <w:t xml:space="preserve"> </w:t>
      </w:r>
      <w:r>
        <w:rPr>
          <w:lang w:val="sr-Latn-RS" w:eastAsia="en-GB"/>
        </w:rPr>
        <w:t>T</w:t>
      </w:r>
      <w:r>
        <w:rPr>
          <w:lang w:eastAsia="en-GB"/>
        </w:rPr>
        <w:t>ом у</w:t>
      </w:r>
      <w:r w:rsidRPr="000F0299">
        <w:rPr>
          <w:lang w:eastAsia="en-GB"/>
        </w:rPr>
        <w:t>редбом се уклања ограничење броја службених лица кој</w:t>
      </w:r>
      <w:r>
        <w:rPr>
          <w:lang w:eastAsia="en-GB"/>
        </w:rPr>
        <w:t>а</w:t>
      </w:r>
      <w:r w:rsidRPr="000F0299">
        <w:rPr>
          <w:lang w:eastAsia="en-GB"/>
        </w:rPr>
        <w:t xml:space="preserve"> обављају послове инспекцијског надзора, а који су у звању самосталног саветника, што значи да се св</w:t>
      </w:r>
      <w:r>
        <w:rPr>
          <w:lang w:eastAsia="en-GB"/>
        </w:rPr>
        <w:t>им</w:t>
      </w:r>
      <w:r w:rsidRPr="000F0299">
        <w:rPr>
          <w:lang w:eastAsia="en-GB"/>
        </w:rPr>
        <w:t xml:space="preserve"> </w:t>
      </w:r>
      <w:r>
        <w:rPr>
          <w:lang w:eastAsia="en-GB"/>
        </w:rPr>
        <w:t xml:space="preserve">државним </w:t>
      </w:r>
      <w:r w:rsidRPr="000F0299">
        <w:rPr>
          <w:lang w:eastAsia="en-GB"/>
        </w:rPr>
        <w:t>службен</w:t>
      </w:r>
      <w:r>
        <w:rPr>
          <w:lang w:eastAsia="en-GB"/>
        </w:rPr>
        <w:t>ицим</w:t>
      </w:r>
      <w:r w:rsidRPr="000F0299">
        <w:rPr>
          <w:lang w:eastAsia="en-GB"/>
        </w:rPr>
        <w:t>а кој</w:t>
      </w:r>
      <w:r>
        <w:rPr>
          <w:lang w:eastAsia="en-GB"/>
        </w:rPr>
        <w:t>и</w:t>
      </w:r>
      <w:r w:rsidRPr="000F0299">
        <w:rPr>
          <w:lang w:eastAsia="en-GB"/>
        </w:rPr>
        <w:t xml:space="preserve"> обављају послове инспекцијског надзора </w:t>
      </w:r>
      <w:r>
        <w:rPr>
          <w:lang w:eastAsia="en-GB"/>
        </w:rPr>
        <w:t xml:space="preserve">омогућава да </w:t>
      </w:r>
      <w:r w:rsidRPr="000F0299">
        <w:rPr>
          <w:lang w:eastAsia="en-GB"/>
        </w:rPr>
        <w:t>пређу у звање самосталног саветника уколико за то испуњавају услове</w:t>
      </w:r>
      <w:r>
        <w:rPr>
          <w:lang w:eastAsia="en-GB"/>
        </w:rPr>
        <w:t xml:space="preserve">, а </w:t>
      </w:r>
      <w:r w:rsidRPr="000F0299">
        <w:rPr>
          <w:lang w:eastAsia="en-GB"/>
        </w:rPr>
        <w:t xml:space="preserve">уводи </w:t>
      </w:r>
      <w:r>
        <w:rPr>
          <w:lang w:eastAsia="en-GB"/>
        </w:rPr>
        <w:t xml:space="preserve">се и </w:t>
      </w:r>
      <w:r w:rsidRPr="000F0299">
        <w:rPr>
          <w:lang w:eastAsia="en-GB"/>
        </w:rPr>
        <w:t>ознака „инспектор</w:t>
      </w:r>
      <w:r>
        <w:rPr>
          <w:lang w:eastAsia="en-GB"/>
        </w:rPr>
        <w:t>”</w:t>
      </w:r>
      <w:r w:rsidRPr="000F0299">
        <w:rPr>
          <w:lang w:eastAsia="en-GB"/>
        </w:rPr>
        <w:t xml:space="preserve"> у звање радног места. </w:t>
      </w:r>
      <w:r>
        <w:rPr>
          <w:lang w:eastAsia="en-GB"/>
        </w:rPr>
        <w:t>Т</w:t>
      </w:r>
      <w:r w:rsidRPr="000F0299">
        <w:rPr>
          <w:lang w:eastAsia="en-GB"/>
        </w:rPr>
        <w:t xml:space="preserve">о треба да повећа капацитет инспекција, али </w:t>
      </w:r>
      <w:r>
        <w:rPr>
          <w:lang w:eastAsia="en-GB"/>
        </w:rPr>
        <w:t>су</w:t>
      </w:r>
      <w:r w:rsidRPr="000F0299">
        <w:rPr>
          <w:lang w:eastAsia="en-GB"/>
        </w:rPr>
        <w:t xml:space="preserve"> потребн</w:t>
      </w:r>
      <w:r>
        <w:rPr>
          <w:lang w:eastAsia="en-GB"/>
        </w:rPr>
        <w:t xml:space="preserve">а </w:t>
      </w:r>
      <w:r w:rsidRPr="000F0299">
        <w:rPr>
          <w:lang w:eastAsia="en-GB"/>
        </w:rPr>
        <w:t xml:space="preserve">нова решења како би се превазишле главне потешкоће у функционисању инспекцијског надзора, нарочито у доба криза и промена. </w:t>
      </w:r>
      <w:r>
        <w:rPr>
          <w:lang w:eastAsia="en-GB"/>
        </w:rPr>
        <w:t>И</w:t>
      </w:r>
      <w:r w:rsidRPr="000F0299">
        <w:rPr>
          <w:lang w:eastAsia="en-GB"/>
        </w:rPr>
        <w:t>нтерна кадровска анализа показала је да у републичким и локалним инспекцијама</w:t>
      </w:r>
      <w:r w:rsidRPr="000F0299">
        <w:rPr>
          <w:vertAlign w:val="superscript"/>
          <w:lang w:eastAsia="en-GB"/>
        </w:rPr>
        <w:footnoteReference w:id="195"/>
      </w:r>
      <w:r w:rsidRPr="000F0299">
        <w:rPr>
          <w:lang w:eastAsia="en-GB"/>
        </w:rPr>
        <w:t xml:space="preserve"> изражен проблем старости кадра – просечна старост инспектора је 56 година.</w:t>
      </w:r>
    </w:p>
    <w:p w14:paraId="2557A2A7" w14:textId="41323F6B" w:rsidR="00E30CA1" w:rsidRPr="00E30CA1" w:rsidRDefault="00E30CA1" w:rsidP="0044188C">
      <w:pPr>
        <w:pStyle w:val="Style1"/>
        <w:rPr>
          <w:lang w:val="sr-Cyrl-RS"/>
        </w:rPr>
      </w:pPr>
      <w:bookmarkStart w:id="171" w:name="_Hlk57495703"/>
      <w:r w:rsidRPr="00B774F7">
        <w:rPr>
          <w:lang w:val="sr-Cyrl-RS"/>
        </w:rPr>
        <w:t>Приказ упоредне праксе</w:t>
      </w:r>
    </w:p>
    <w:p w14:paraId="6011EF0A" w14:textId="388D51FA" w:rsidR="00E30CA1" w:rsidRPr="001235D7" w:rsidRDefault="00E30CA1" w:rsidP="00E30CA1">
      <w:r w:rsidRPr="001235D7">
        <w:t xml:space="preserve">Последњи доступни подаци </w:t>
      </w:r>
      <w:r w:rsidR="0070535D">
        <w:t xml:space="preserve">у </w:t>
      </w:r>
      <w:r w:rsidRPr="001235D7">
        <w:t xml:space="preserve">области пружања услуга </w:t>
      </w:r>
      <w:r w:rsidR="00351859" w:rsidRPr="00351859">
        <w:t xml:space="preserve">за појединачне државе Западног Балкана </w:t>
      </w:r>
      <w:r w:rsidRPr="001235D7">
        <w:t xml:space="preserve">приказани су у </w:t>
      </w:r>
      <w:r w:rsidR="0070535D" w:rsidRPr="0070535D">
        <w:rPr>
          <w:i/>
        </w:rPr>
        <w:t>SIGMA</w:t>
      </w:r>
      <w:r w:rsidRPr="001235D7">
        <w:t xml:space="preserve"> извештајима из 2017. и 2019. године. </w:t>
      </w:r>
      <w:r w:rsidR="0070535D">
        <w:t>У</w:t>
      </w:r>
      <w:r w:rsidRPr="001235D7">
        <w:t>поредни приказ</w:t>
      </w:r>
      <w:r w:rsidR="0070535D">
        <w:t xml:space="preserve">и, како </w:t>
      </w:r>
      <w:r w:rsidRPr="001235D7">
        <w:t>из 2017.</w:t>
      </w:r>
      <w:r w:rsidR="0070535D">
        <w:t>, тако и</w:t>
      </w:r>
      <w:r w:rsidRPr="001235D7">
        <w:t xml:space="preserve"> и</w:t>
      </w:r>
      <w:r w:rsidR="0070535D">
        <w:t xml:space="preserve">з </w:t>
      </w:r>
      <w:r w:rsidRPr="001235D7">
        <w:t>2019. године указуј</w:t>
      </w:r>
      <w:r w:rsidR="0070535D">
        <w:t>у</w:t>
      </w:r>
      <w:r w:rsidRPr="001235D7">
        <w:t xml:space="preserve"> да се напредак </w:t>
      </w:r>
      <w:r w:rsidR="0070535D" w:rsidRPr="0070535D">
        <w:t xml:space="preserve">у овој области </w:t>
      </w:r>
      <w:r w:rsidRPr="001235D7">
        <w:t xml:space="preserve">може постићи у кратком временском року. </w:t>
      </w:r>
      <w:r w:rsidR="00943F6F">
        <w:t xml:space="preserve">Значајан напредак Србија је остварила тако што је успоставила </w:t>
      </w:r>
      <w:r w:rsidRPr="001235D7">
        <w:t>нек</w:t>
      </w:r>
      <w:r w:rsidR="00480E7D">
        <w:rPr>
          <w:lang w:val="en-GB"/>
        </w:rPr>
        <w:t>e</w:t>
      </w:r>
      <w:r w:rsidRPr="001235D7">
        <w:t xml:space="preserve"> од кључних покретача за модерно пружање услуга</w:t>
      </w:r>
      <w:r w:rsidR="003B3F51">
        <w:t xml:space="preserve">, </w:t>
      </w:r>
      <w:r w:rsidRPr="001235D7">
        <w:t>примен</w:t>
      </w:r>
      <w:r w:rsidR="00480E7D">
        <w:t>ила</w:t>
      </w:r>
      <w:r w:rsidRPr="001235D7">
        <w:t xml:space="preserve"> поједин</w:t>
      </w:r>
      <w:r w:rsidR="00480E7D">
        <w:t>е</w:t>
      </w:r>
      <w:r w:rsidRPr="001235D7">
        <w:t xml:space="preserve"> алат</w:t>
      </w:r>
      <w:r w:rsidR="00480E7D">
        <w:t>е</w:t>
      </w:r>
      <w:r w:rsidRPr="001235D7">
        <w:t xml:space="preserve"> за управљање квалитетом</w:t>
      </w:r>
      <w:r w:rsidR="00351859">
        <w:t>,</w:t>
      </w:r>
      <w:r w:rsidRPr="001235D7">
        <w:t xml:space="preserve"> </w:t>
      </w:r>
      <w:r w:rsidR="00351859">
        <w:t xml:space="preserve">као </w:t>
      </w:r>
      <w:r w:rsidRPr="001235D7">
        <w:t>и прикупљ</w:t>
      </w:r>
      <w:r w:rsidR="00B40C7C">
        <w:t>ала</w:t>
      </w:r>
      <w:r w:rsidRPr="001235D7">
        <w:t xml:space="preserve"> повратн</w:t>
      </w:r>
      <w:r w:rsidR="00B40C7C">
        <w:t>е</w:t>
      </w:r>
      <w:r w:rsidRPr="001235D7">
        <w:t xml:space="preserve"> информациј</w:t>
      </w:r>
      <w:r w:rsidR="00B40C7C">
        <w:t>е</w:t>
      </w:r>
      <w:r w:rsidRPr="001235D7">
        <w:t xml:space="preserve"> од </w:t>
      </w:r>
      <w:r w:rsidR="00351859">
        <w:t>корисника услуга</w:t>
      </w:r>
      <w:r w:rsidRPr="001235D7">
        <w:t>.</w:t>
      </w:r>
    </w:p>
    <w:p w14:paraId="2B0C4846" w14:textId="53C49923" w:rsidR="00E30CA1" w:rsidRPr="00B774F7" w:rsidRDefault="00480E7D" w:rsidP="00E30CA1">
      <w:r>
        <w:t>Р</w:t>
      </w:r>
      <w:r w:rsidR="00E30CA1" w:rsidRPr="001235D7">
        <w:t xml:space="preserve">егионално поређење указује и на то да кад су напори усмерени </w:t>
      </w:r>
      <w:r w:rsidR="00DF1632">
        <w:t>на унапређење</w:t>
      </w:r>
      <w:r w:rsidR="00E30CA1" w:rsidRPr="001235D7">
        <w:t xml:space="preserve"> </w:t>
      </w:r>
      <w:r>
        <w:t>квалитет</w:t>
      </w:r>
      <w:r w:rsidR="00DF1632">
        <w:t>а</w:t>
      </w:r>
      <w:r>
        <w:t xml:space="preserve"> пружања </w:t>
      </w:r>
      <w:r w:rsidR="003B3F51">
        <w:t xml:space="preserve">услуга </w:t>
      </w:r>
      <w:r>
        <w:t xml:space="preserve">кроз успостављање </w:t>
      </w:r>
      <w:r w:rsidR="00E30CA1" w:rsidRPr="001235D7">
        <w:t>цетрал</w:t>
      </w:r>
      <w:r w:rsidR="003B3F51">
        <w:t>изоване</w:t>
      </w:r>
      <w:r>
        <w:t xml:space="preserve"> политике</w:t>
      </w:r>
      <w:r w:rsidR="003B3F51">
        <w:t xml:space="preserve"> </w:t>
      </w:r>
      <w:r w:rsidR="00B40C7C">
        <w:t xml:space="preserve">код </w:t>
      </w:r>
      <w:r w:rsidR="003B3F51">
        <w:t>спровођења услуга</w:t>
      </w:r>
      <w:r w:rsidR="00E30CA1" w:rsidRPr="001235D7">
        <w:t>, резултати брзо следе.</w:t>
      </w:r>
    </w:p>
    <w:p w14:paraId="113D5FA7" w14:textId="39A6EE4A" w:rsidR="00E30CA1" w:rsidRPr="001235D7" w:rsidRDefault="00E30CA1" w:rsidP="00E30CA1">
      <w:r w:rsidRPr="001235D7">
        <w:t xml:space="preserve">Регионални лидер је Албанија са 17 од 24 бодова за </w:t>
      </w:r>
      <w:r w:rsidR="00351859">
        <w:t>одговарајући</w:t>
      </w:r>
      <w:r w:rsidRPr="001235D7">
        <w:t xml:space="preserve"> </w:t>
      </w:r>
      <w:r w:rsidR="00480E7D" w:rsidRPr="00480E7D">
        <w:rPr>
          <w:i/>
          <w:iCs/>
          <w:lang w:val="en-GB"/>
        </w:rPr>
        <w:t>SIGMA</w:t>
      </w:r>
      <w:r w:rsidR="00480E7D" w:rsidRPr="00B774F7">
        <w:t xml:space="preserve"> </w:t>
      </w:r>
      <w:r w:rsidRPr="001235D7">
        <w:t xml:space="preserve">показатељ. У поређењу са 13 бодова колико је Србија остварила за исти показатељ, </w:t>
      </w:r>
      <w:r w:rsidR="00351859">
        <w:t>уочено је</w:t>
      </w:r>
      <w:r w:rsidRPr="001235D7">
        <w:t xml:space="preserve"> да се главне разлике односе на успостављање централне политике за квалитет услуга са стандардизацијом квалитета и интероперабилне инфраструктуре. Стога се предвиђа да ће спровођење Програма за развој е-управе 202</w:t>
      </w:r>
      <w:r w:rsidR="00F839F1">
        <w:t>0</w:t>
      </w:r>
      <w:r w:rsidRPr="001235D7">
        <w:t>-2022, уз активности планиране овом стратегијом Србију брзо учинити регионалним лидером.</w:t>
      </w:r>
    </w:p>
    <w:p w14:paraId="7A8B424F" w14:textId="26A6E6A3" w:rsidR="00E30CA1" w:rsidRPr="001235D7" w:rsidRDefault="00E30CA1" w:rsidP="00E30CA1">
      <w:r w:rsidRPr="001235D7">
        <w:t xml:space="preserve">У аспектима усклађене политике пружања услуга усмерене ка грађанима, централне политике дигиталних услуга, систематичне политике поједностављења административних поступака, као и јаке централне координације свих владиних пројеката дигитализације Црна Гора је регионални лидер и постигла је 30 од 32 бода за одговарајући </w:t>
      </w:r>
      <w:r w:rsidR="00F839F1" w:rsidRPr="00F839F1">
        <w:rPr>
          <w:i/>
          <w:iCs/>
          <w:lang w:val="en-GB"/>
        </w:rPr>
        <w:t>SIGMA</w:t>
      </w:r>
      <w:r w:rsidR="00F839F1" w:rsidRPr="00B774F7">
        <w:t xml:space="preserve"> </w:t>
      </w:r>
      <w:r w:rsidRPr="001235D7">
        <w:t xml:space="preserve">показатељ. Србија, у поређењу </w:t>
      </w:r>
      <w:r w:rsidR="00351859">
        <w:t xml:space="preserve">је </w:t>
      </w:r>
      <w:r w:rsidRPr="001235D7">
        <w:t>остварила само 16 од 32 бода.</w:t>
      </w:r>
    </w:p>
    <w:p w14:paraId="4B7BDD30" w14:textId="77777777" w:rsidR="00E30CA1" w:rsidRPr="001235D7" w:rsidRDefault="00E30CA1" w:rsidP="00E30CA1">
      <w:r w:rsidRPr="001235D7">
        <w:t>Амбиција ове стратегије је да усмери пажњу управо на ове аспекте у политици пружања услуга и искористи прилику за системски и одржив напредак у погледу квалитета услуга.</w:t>
      </w:r>
    </w:p>
    <w:bookmarkEnd w:id="171"/>
    <w:p w14:paraId="4D14A9EA" w14:textId="77777777" w:rsidR="0050180D" w:rsidRDefault="0050180D">
      <w:pPr>
        <w:suppressAutoHyphens w:val="0"/>
        <w:autoSpaceDN/>
        <w:spacing w:before="0" w:after="160" w:line="259" w:lineRule="auto"/>
        <w:ind w:firstLine="0"/>
        <w:jc w:val="left"/>
        <w:textAlignment w:val="auto"/>
        <w:rPr>
          <w:lang w:eastAsia="en-GB"/>
        </w:rPr>
      </w:pPr>
    </w:p>
    <w:p w14:paraId="3E3644EE" w14:textId="77777777" w:rsidR="0050180D" w:rsidRPr="000F0299" w:rsidRDefault="0050180D" w:rsidP="0050180D">
      <w:pPr>
        <w:shd w:val="clear" w:color="auto" w:fill="DEEAF6" w:themeFill="accent5" w:themeFillTint="33"/>
        <w:rPr>
          <w:b/>
        </w:rPr>
      </w:pPr>
      <w:r w:rsidRPr="000F0299">
        <w:rPr>
          <w:b/>
          <w:color w:val="000000"/>
        </w:rPr>
        <w:t xml:space="preserve">Оквир 1. </w:t>
      </w:r>
      <w:r>
        <w:rPr>
          <w:b/>
          <w:color w:val="000000"/>
        </w:rPr>
        <w:t>Ковид</w:t>
      </w:r>
      <w:r w:rsidRPr="000F0299">
        <w:rPr>
          <w:b/>
        </w:rPr>
        <w:t>-19 као посебан изазов у пружању услуга</w:t>
      </w:r>
    </w:p>
    <w:p w14:paraId="42FF214C" w14:textId="77777777" w:rsidR="0050180D" w:rsidRPr="000F0299" w:rsidRDefault="0050180D" w:rsidP="0050180D">
      <w:pPr>
        <w:shd w:val="clear" w:color="auto" w:fill="DEEAF6" w:themeFill="accent5" w:themeFillTint="33"/>
      </w:pPr>
      <w:r w:rsidRPr="000F0299">
        <w:t xml:space="preserve">Пандемија </w:t>
      </w:r>
      <w:r>
        <w:t>ковид</w:t>
      </w:r>
      <w:r w:rsidRPr="00C90F3B">
        <w:rPr>
          <w:iCs/>
        </w:rPr>
        <w:t>-19</w:t>
      </w:r>
      <w:r w:rsidRPr="000F0299">
        <w:t xml:space="preserve"> je била тест за реформе које су спроведене пре 2020. године, односно колико су управа, грађани, привреда, инфраструктура спремни за широко коришћење бесконтанктних дигитализованих услуга. Криза је нагласила значај бржег развоја дигитализације јавне управе, увођењ</w:t>
      </w:r>
      <w:r>
        <w:t>а</w:t>
      </w:r>
      <w:r w:rsidRPr="000F0299">
        <w:t xml:space="preserve"> бесконтактних услуга, али и изградње новог начина рада службеника у виду рада од куће користећи савремене телекомуникационе технологије. Пандемија за државне службенике и Владу представља изазов с обзиром на стално променљиву епидемиолошку ситуацију.</w:t>
      </w:r>
      <w:r w:rsidRPr="000F0299">
        <w:rPr>
          <w:vertAlign w:val="superscript"/>
        </w:rPr>
        <w:footnoteReference w:id="196"/>
      </w:r>
    </w:p>
    <w:p w14:paraId="50AD3B59" w14:textId="26C4C921" w:rsidR="0050180D" w:rsidRPr="000F0299" w:rsidRDefault="0050180D" w:rsidP="0050180D">
      <w:pPr>
        <w:shd w:val="clear" w:color="auto" w:fill="DEEAF6" w:themeFill="accent5" w:themeFillTint="33"/>
        <w:rPr>
          <w:lang w:eastAsia="en-GB"/>
        </w:rPr>
      </w:pPr>
      <w:r>
        <w:t>Р</w:t>
      </w:r>
      <w:r w:rsidRPr="000F0299">
        <w:t>еформе јавне управе и е-управе спроведене</w:t>
      </w:r>
      <w:r>
        <w:t xml:space="preserve"> пре </w:t>
      </w:r>
      <w:r w:rsidR="00E41868">
        <w:t>појаве пандемије</w:t>
      </w:r>
      <w:r w:rsidRPr="000F0299">
        <w:t xml:space="preserve">, попут развоја отворених података или успостављених е-сервиса, помогле су Влади да брзо одговори на ванредну ситуацију. Развијен је централни национални портал </w:t>
      </w:r>
      <w:hyperlink r:id="rId131" w:history="1">
        <w:r w:rsidRPr="000F0299">
          <w:rPr>
            <w:color w:val="0563C1" w:themeColor="hyperlink"/>
            <w:u w:val="single"/>
          </w:rPr>
          <w:t>www.covid19.rs</w:t>
        </w:r>
      </w:hyperlink>
      <w:r w:rsidRPr="000F0299">
        <w:t xml:space="preserve"> са свим кључним информацијама о развоју епидемије у земљи, уведен је електронски тест самопроцене симптома, као и портал са отвореним, машински читљивим, редовно ажурираним подацима</w:t>
      </w:r>
      <w:r>
        <w:t xml:space="preserve"> о ковиду</w:t>
      </w:r>
      <w:r w:rsidRPr="00E7039F">
        <w:rPr>
          <w:iCs/>
        </w:rPr>
        <w:t>-19</w:t>
      </w:r>
      <w:r w:rsidRPr="000F0299">
        <w:t xml:space="preserve">  </w:t>
      </w:r>
      <w:hyperlink r:id="rId132" w:history="1">
        <w:r w:rsidRPr="000F0299">
          <w:rPr>
            <w:color w:val="0563C1" w:themeColor="hyperlink"/>
            <w:u w:val="single"/>
          </w:rPr>
          <w:t>www.covid19.data.gov.rs</w:t>
        </w:r>
      </w:hyperlink>
      <w:r>
        <w:rPr>
          <w:color w:val="0563C1" w:themeColor="hyperlink"/>
          <w:u w:val="single"/>
        </w:rPr>
        <w:t>,</w:t>
      </w:r>
      <w:r w:rsidRPr="000F0299">
        <w:t xml:space="preserve"> </w:t>
      </w:r>
      <w:r w:rsidRPr="000F0299">
        <w:rPr>
          <w:lang w:eastAsia="en-GB"/>
        </w:rPr>
        <w:t xml:space="preserve">о броју грађана у самоизолацији, заражених </w:t>
      </w:r>
      <w:r>
        <w:t>корона</w:t>
      </w:r>
      <w:r w:rsidRPr="000F0299">
        <w:rPr>
          <w:lang w:eastAsia="en-GB"/>
        </w:rPr>
        <w:t xml:space="preserve">вирусом, тестираним, хоспитализованим и преминулим на територији Републике Србије. </w:t>
      </w:r>
      <w:r w:rsidRPr="000F0299">
        <w:t xml:space="preserve">Успостављена је услуга е-заказивање за </w:t>
      </w:r>
      <w:r w:rsidRPr="00936C4C">
        <w:rPr>
          <w:i/>
          <w:lang w:val="sr-Latn-RS"/>
        </w:rPr>
        <w:t xml:space="preserve">PCR </w:t>
      </w:r>
      <w:r w:rsidRPr="000F0299">
        <w:t>тестирање на лични захтев, као и услуга е-обавештења о резулт</w:t>
      </w:r>
      <w:r>
        <w:t>ат</w:t>
      </w:r>
      <w:r w:rsidRPr="000F0299">
        <w:t xml:space="preserve">има </w:t>
      </w:r>
      <w:r w:rsidRPr="00936C4C">
        <w:rPr>
          <w:i/>
        </w:rPr>
        <w:t xml:space="preserve">PCR </w:t>
      </w:r>
      <w:r w:rsidRPr="000F0299">
        <w:t xml:space="preserve">теста. Уведена су решења попут Дигиталне учионице за даљинско спровођење наставе. Покренуте су иновативне иницијативе, попут </w:t>
      </w:r>
      <w:r>
        <w:t>„</w:t>
      </w:r>
      <w:r w:rsidRPr="000F0299">
        <w:t xml:space="preserve">Дигиталне солидарности” и </w:t>
      </w:r>
      <w:r>
        <w:t>„</w:t>
      </w:r>
      <w:r w:rsidRPr="000F0299">
        <w:t xml:space="preserve">Буди волонтер” и јачани су комуникациони канали институција, па је тако развијен и Вајбер Србија </w:t>
      </w:r>
      <w:r>
        <w:t>ковид</w:t>
      </w:r>
      <w:r w:rsidRPr="00E7039F">
        <w:rPr>
          <w:iCs/>
        </w:rPr>
        <w:t>-19</w:t>
      </w:r>
      <w:r w:rsidRPr="000F0299">
        <w:t xml:space="preserve"> четбот, Контакт</w:t>
      </w:r>
      <w:r>
        <w:t>ни</w:t>
      </w:r>
      <w:r w:rsidRPr="000F0299">
        <w:t xml:space="preserve"> центар за </w:t>
      </w:r>
      <w:r>
        <w:t>ковид</w:t>
      </w:r>
      <w:r w:rsidRPr="00E7039F">
        <w:rPr>
          <w:iCs/>
        </w:rPr>
        <w:t>-19</w:t>
      </w:r>
      <w:r w:rsidRPr="000F0299">
        <w:t xml:space="preserve"> на броју 19819</w:t>
      </w:r>
      <w:r w:rsidRPr="000F0299">
        <w:rPr>
          <w:vertAlign w:val="superscript"/>
        </w:rPr>
        <w:footnoteReference w:id="197"/>
      </w:r>
      <w:r w:rsidRPr="000F0299">
        <w:rPr>
          <w:lang w:eastAsia="en-GB"/>
        </w:rPr>
        <w:t xml:space="preserve"> (бесплатним позивањем овог броја грађани могу добити савете и препоруке стручњака у борби против коронавируса, као и контактирати </w:t>
      </w:r>
      <w:r>
        <w:rPr>
          <w:lang w:eastAsia="en-GB"/>
        </w:rPr>
        <w:t xml:space="preserve">с </w:t>
      </w:r>
      <w:r w:rsidRPr="000F0299">
        <w:rPr>
          <w:lang w:eastAsia="en-GB"/>
        </w:rPr>
        <w:t>надлежн</w:t>
      </w:r>
      <w:r>
        <w:rPr>
          <w:lang w:eastAsia="en-GB"/>
        </w:rPr>
        <w:t>им</w:t>
      </w:r>
      <w:r w:rsidRPr="000F0299">
        <w:rPr>
          <w:lang w:eastAsia="en-GB"/>
        </w:rPr>
        <w:t xml:space="preserve"> стручн</w:t>
      </w:r>
      <w:r>
        <w:rPr>
          <w:lang w:eastAsia="en-GB"/>
        </w:rPr>
        <w:t>им</w:t>
      </w:r>
      <w:r w:rsidRPr="000F0299">
        <w:rPr>
          <w:lang w:eastAsia="en-GB"/>
        </w:rPr>
        <w:t xml:space="preserve"> служб</w:t>
      </w:r>
      <w:r>
        <w:rPr>
          <w:lang w:eastAsia="en-GB"/>
        </w:rPr>
        <w:t>ама</w:t>
      </w:r>
      <w:r w:rsidRPr="000F0299">
        <w:rPr>
          <w:lang w:eastAsia="en-GB"/>
        </w:rPr>
        <w:t xml:space="preserve"> у целој држави); Контакт</w:t>
      </w:r>
      <w:r>
        <w:rPr>
          <w:lang w:eastAsia="en-GB"/>
        </w:rPr>
        <w:t>ни</w:t>
      </w:r>
      <w:r w:rsidRPr="000F0299">
        <w:rPr>
          <w:lang w:eastAsia="en-GB"/>
        </w:rPr>
        <w:t xml:space="preserve"> центар за помоћ старим лицима на броју 19920</w:t>
      </w:r>
      <w:r w:rsidRPr="000F0299">
        <w:rPr>
          <w:vertAlign w:val="superscript"/>
          <w:lang w:eastAsia="en-GB"/>
        </w:rPr>
        <w:footnoteReference w:id="198"/>
      </w:r>
      <w:r w:rsidRPr="000F0299">
        <w:rPr>
          <w:lang w:eastAsia="en-GB"/>
        </w:rPr>
        <w:t xml:space="preserve"> (бесплатним позивањем овог броја грађани се могу обратити за помоћ </w:t>
      </w:r>
      <w:r>
        <w:rPr>
          <w:lang w:eastAsia="en-GB"/>
        </w:rPr>
        <w:t>у набавци</w:t>
      </w:r>
      <w:r w:rsidRPr="000F0299">
        <w:rPr>
          <w:lang w:eastAsia="en-GB"/>
        </w:rPr>
        <w:t xml:space="preserve"> намирница, лекова и другог у градским и општинским центрима у којима се ангажују волонтери)</w:t>
      </w:r>
      <w:r w:rsidRPr="000F0299">
        <w:t xml:space="preserve">. Како би се ублажио утицај епидемије на привредне токове, успостављена је платформа е-пијаца која омогућава </w:t>
      </w:r>
      <w:r w:rsidRPr="000F0299">
        <w:rPr>
          <w:lang w:eastAsia="en-GB"/>
        </w:rPr>
        <w:t>произвођач</w:t>
      </w:r>
      <w:r w:rsidR="00570263">
        <w:rPr>
          <w:lang w:eastAsia="en-GB"/>
        </w:rPr>
        <w:t>има</w:t>
      </w:r>
      <w:r w:rsidRPr="000F0299">
        <w:rPr>
          <w:lang w:eastAsia="en-GB"/>
        </w:rPr>
        <w:t xml:space="preserve"> да наставе свој рад у условима пандемије, а грађанима да </w:t>
      </w:r>
      <w:r>
        <w:rPr>
          <w:lang w:eastAsia="en-GB"/>
        </w:rPr>
        <w:t>поруче производе и набаве намирнице</w:t>
      </w:r>
      <w:r w:rsidRPr="000F0299">
        <w:rPr>
          <w:lang w:eastAsia="en-GB"/>
        </w:rPr>
        <w:t xml:space="preserve"> без излагања физичком контакту</w:t>
      </w:r>
      <w:r w:rsidRPr="000F0299">
        <w:t xml:space="preserve">. </w:t>
      </w:r>
      <w:r w:rsidRPr="000F0299">
        <w:rPr>
          <w:lang w:eastAsia="en-GB"/>
        </w:rPr>
        <w:t>Основан је јединствени Контакт</w:t>
      </w:r>
      <w:r>
        <w:rPr>
          <w:lang w:eastAsia="en-GB"/>
        </w:rPr>
        <w:t>ни</w:t>
      </w:r>
      <w:r w:rsidRPr="000F0299">
        <w:rPr>
          <w:lang w:eastAsia="en-GB"/>
        </w:rPr>
        <w:t xml:space="preserve"> центар републичких инспекција</w:t>
      </w:r>
      <w:r>
        <w:rPr>
          <w:lang w:eastAsia="en-GB"/>
        </w:rPr>
        <w:t>,</w:t>
      </w:r>
      <w:r w:rsidRPr="000F0299">
        <w:rPr>
          <w:lang w:eastAsia="en-GB"/>
        </w:rPr>
        <w:t xml:space="preserve"> којем грађани и привреда могу пријавити незаконито подизање цена животних намирница, лекова, медицинских средстава и заштитне опреме, како телефоном</w:t>
      </w:r>
      <w:r>
        <w:rPr>
          <w:lang w:eastAsia="en-GB"/>
        </w:rPr>
        <w:t>,</w:t>
      </w:r>
      <w:r w:rsidRPr="000F0299">
        <w:rPr>
          <w:lang w:eastAsia="en-GB"/>
        </w:rPr>
        <w:t xml:space="preserve"> тако и путем сајта </w:t>
      </w:r>
      <w:hyperlink r:id="rId133" w:history="1">
        <w:r w:rsidRPr="000F0299">
          <w:rPr>
            <w:color w:val="0000FF"/>
            <w:u w:val="single"/>
            <w:lang w:eastAsia="en-GB"/>
          </w:rPr>
          <w:t>www.inspektor.gov.rs</w:t>
        </w:r>
      </w:hyperlink>
      <w:r w:rsidRPr="000F0299">
        <w:rPr>
          <w:lang w:eastAsia="en-GB"/>
        </w:rPr>
        <w:t>.</w:t>
      </w:r>
      <w:r w:rsidRPr="000F0299">
        <w:rPr>
          <w:vertAlign w:val="superscript"/>
          <w:lang w:eastAsia="en-GB"/>
        </w:rPr>
        <w:footnoteReference w:id="199"/>
      </w:r>
      <w:r w:rsidRPr="000F0299">
        <w:rPr>
          <w:lang w:eastAsia="en-GB"/>
        </w:rPr>
        <w:t xml:space="preserve"> </w:t>
      </w:r>
      <w:r>
        <w:rPr>
          <w:lang w:eastAsia="en-GB"/>
        </w:rPr>
        <w:t xml:space="preserve">Тај </w:t>
      </w:r>
      <w:r w:rsidRPr="000F0299">
        <w:rPr>
          <w:lang w:eastAsia="en-GB"/>
        </w:rPr>
        <w:t>центар је повезан са свим локалним самоуправама</w:t>
      </w:r>
      <w:r>
        <w:rPr>
          <w:lang w:eastAsia="en-GB"/>
        </w:rPr>
        <w:t>,</w:t>
      </w:r>
      <w:r w:rsidRPr="000F0299">
        <w:rPr>
          <w:lang w:eastAsia="en-GB"/>
        </w:rPr>
        <w:t xml:space="preserve"> чиме је омогућено да пријаве грађана и привреде, које нису у надлежности републичких инспекција, буду прослеђене надлежним локалним инспекцијама. </w:t>
      </w:r>
    </w:p>
    <w:p w14:paraId="20CA9DE6" w14:textId="77777777" w:rsidR="0050180D" w:rsidRPr="000F0299" w:rsidRDefault="0050180D" w:rsidP="0050180D">
      <w:pPr>
        <w:shd w:val="clear" w:color="auto" w:fill="DEEAF6" w:themeFill="accent5" w:themeFillTint="33"/>
      </w:pPr>
      <w:r w:rsidRPr="000F0299">
        <w:t xml:space="preserve">Иновативна решења </w:t>
      </w:r>
      <w:r>
        <w:t xml:space="preserve">представљена </w:t>
      </w:r>
      <w:r w:rsidRPr="000F0299">
        <w:t xml:space="preserve">су у </w:t>
      </w:r>
      <w:r>
        <w:t>„</w:t>
      </w:r>
      <w:r w:rsidRPr="000F0299">
        <w:t>Преглед</w:t>
      </w:r>
      <w:r>
        <w:t>у</w:t>
      </w:r>
      <w:r w:rsidRPr="000F0299">
        <w:t xml:space="preserve"> дигиталних владиних иницијатива за борбу против пандемије </w:t>
      </w:r>
      <w:r>
        <w:t>ковид</w:t>
      </w:r>
      <w:r w:rsidRPr="00E7039F">
        <w:rPr>
          <w:iCs/>
        </w:rPr>
        <w:t>-19</w:t>
      </w:r>
      <w:r w:rsidRPr="000F0299">
        <w:t>”</w:t>
      </w:r>
      <w:r>
        <w:t>,</w:t>
      </w:r>
      <w:r w:rsidRPr="000F0299">
        <w:t xml:space="preserve"> који су објавиле Уједињене нације</w:t>
      </w:r>
      <w:r>
        <w:t>,</w:t>
      </w:r>
      <w:r w:rsidRPr="000F0299">
        <w:t xml:space="preserve"> Одељење за економска и социјална питања, </w:t>
      </w:r>
      <w:r w:rsidRPr="00C90F3B">
        <w:rPr>
          <w:i/>
        </w:rPr>
        <w:t>UNDESA</w:t>
      </w:r>
      <w:r w:rsidRPr="000F0299">
        <w:t>,</w:t>
      </w:r>
      <w:r w:rsidRPr="000F0299">
        <w:rPr>
          <w:vertAlign w:val="superscript"/>
        </w:rPr>
        <w:footnoteReference w:id="200"/>
      </w:r>
      <w:r w:rsidRPr="000F0299">
        <w:t xml:space="preserve"> а 22 иновације из Републике Србије постале су део платформе </w:t>
      </w:r>
      <w:r>
        <w:t>„</w:t>
      </w:r>
      <w:r w:rsidRPr="000F0299">
        <w:t xml:space="preserve">Тракер иновативних одговора на корона кризу” Опсерваторије за иновације у јавном сектору при </w:t>
      </w:r>
      <w:r w:rsidRPr="001C1D72">
        <w:rPr>
          <w:i/>
        </w:rPr>
        <w:t>OECD</w:t>
      </w:r>
      <w:r w:rsidRPr="000F0299">
        <w:t>-у.</w:t>
      </w:r>
      <w:r w:rsidRPr="000F0299">
        <w:rPr>
          <w:vertAlign w:val="superscript"/>
        </w:rPr>
        <w:footnoteReference w:id="201"/>
      </w:r>
      <w:r w:rsidRPr="000F0299">
        <w:t xml:space="preserve"> Одговори </w:t>
      </w:r>
      <w:r>
        <w:t xml:space="preserve">Републике </w:t>
      </w:r>
      <w:r w:rsidRPr="000F0299">
        <w:t xml:space="preserve">Србије на кризу </w:t>
      </w:r>
      <w:r>
        <w:t xml:space="preserve">изазвану коронавирусом </w:t>
      </w:r>
      <w:r w:rsidRPr="000F0299">
        <w:t>нашл</w:t>
      </w:r>
      <w:r>
        <w:t>и</w:t>
      </w:r>
      <w:r w:rsidRPr="000F0299">
        <w:t xml:space="preserve"> су своје место и у међународн</w:t>
      </w:r>
      <w:r>
        <w:t>ој</w:t>
      </w:r>
      <w:r w:rsidRPr="000F0299">
        <w:t xml:space="preserve"> иницијатив</w:t>
      </w:r>
      <w:r>
        <w:t>и</w:t>
      </w:r>
      <w:r w:rsidRPr="000F0299">
        <w:t xml:space="preserve"> </w:t>
      </w:r>
      <w:r>
        <w:t>„</w:t>
      </w:r>
      <w:r w:rsidRPr="000F0299">
        <w:t>Партнерство за отворену управу</w:t>
      </w:r>
      <w:r>
        <w:t>”</w:t>
      </w:r>
      <w:r w:rsidRPr="000F0299">
        <w:t>.</w:t>
      </w:r>
      <w:r w:rsidRPr="000F0299">
        <w:rPr>
          <w:vertAlign w:val="superscript"/>
        </w:rPr>
        <w:footnoteReference w:id="202"/>
      </w:r>
      <w:r w:rsidRPr="000F0299">
        <w:t xml:space="preserve"> Четири иницијативе су награђене у регионалном контексту кроз РеСПА </w:t>
      </w:r>
      <w:r>
        <w:t>н</w:t>
      </w:r>
      <w:r w:rsidRPr="000F0299">
        <w:t xml:space="preserve">аграде у области </w:t>
      </w:r>
      <w:r>
        <w:t>реформе јавне управе</w:t>
      </w:r>
      <w:r w:rsidRPr="000F0299">
        <w:t xml:space="preserve"> за 2020. </w:t>
      </w:r>
      <w:r w:rsidRPr="000F0299">
        <w:rPr>
          <w:rFonts w:eastAsia="Times New Roman"/>
          <w:color w:val="000000"/>
        </w:rPr>
        <w:t>Годину</w:t>
      </w:r>
      <w:r>
        <w:rPr>
          <w:rFonts w:eastAsia="Times New Roman"/>
          <w:color w:val="000000"/>
        </w:rPr>
        <w:t>.</w:t>
      </w:r>
      <w:r w:rsidRPr="000F0299">
        <w:rPr>
          <w:rStyle w:val="FootnoteReference"/>
          <w:rFonts w:eastAsia="Times New Roman"/>
          <w:color w:val="000000"/>
        </w:rPr>
        <w:footnoteReference w:id="203"/>
      </w:r>
    </w:p>
    <w:p w14:paraId="57B336A8" w14:textId="58BC5195" w:rsidR="008D7AAF" w:rsidRDefault="0050180D" w:rsidP="000105B5">
      <w:pPr>
        <w:shd w:val="clear" w:color="auto" w:fill="DEEAF6" w:themeFill="accent5" w:themeFillTint="33"/>
        <w:rPr>
          <w:lang w:eastAsia="en-GB"/>
        </w:rPr>
      </w:pPr>
      <w:r w:rsidRPr="000F0299">
        <w:rPr>
          <w:b/>
          <w:bCs/>
        </w:rPr>
        <w:t>У време ванредног стања донета су два акта која су утицала на остваривање права, обавеза и интерес</w:t>
      </w:r>
      <w:r>
        <w:rPr>
          <w:b/>
          <w:bCs/>
        </w:rPr>
        <w:t>а</w:t>
      </w:r>
      <w:r w:rsidRPr="000F0299">
        <w:rPr>
          <w:b/>
          <w:bCs/>
        </w:rPr>
        <w:t xml:space="preserve"> грађана у управним поступцима</w:t>
      </w:r>
      <w:r w:rsidRPr="000F0299">
        <w:t xml:space="preserve">. </w:t>
      </w:r>
      <w:r>
        <w:t>Донети су</w:t>
      </w:r>
      <w:r w:rsidRPr="000F0299">
        <w:t xml:space="preserve"> Закључак о обустављању рада са странкама путем непосредног контакта</w:t>
      </w:r>
      <w:r>
        <w:t xml:space="preserve"> </w:t>
      </w:r>
      <w:r w:rsidRPr="00F971DA">
        <w:rPr>
          <w:shd w:val="clear" w:color="auto" w:fill="F8F8F8"/>
        </w:rPr>
        <w:t>(</w:t>
      </w:r>
      <w:r>
        <w:t>„</w:t>
      </w:r>
      <w:r w:rsidRPr="00F971DA">
        <w:t>Службени гласник РС</w:t>
      </w:r>
      <w:r>
        <w:t>”</w:t>
      </w:r>
      <w:r w:rsidRPr="00F971DA">
        <w:t>, бр. 35/20, 37/20)</w:t>
      </w:r>
      <w:r w:rsidRPr="000F0299">
        <w:t xml:space="preserve"> и Уредб</w:t>
      </w:r>
      <w:r>
        <w:t>а</w:t>
      </w:r>
      <w:r w:rsidRPr="000F0299">
        <w:t xml:space="preserve"> о примени рокова у управним поступцима за време ванредног стања</w:t>
      </w:r>
      <w:r>
        <w:t xml:space="preserve"> („</w:t>
      </w:r>
      <w:r w:rsidRPr="00F971DA">
        <w:t>Службени гласник РС</w:t>
      </w:r>
      <w:r>
        <w:t>”</w:t>
      </w:r>
      <w:r w:rsidRPr="00F971DA">
        <w:t>, бр. 41/20, 43/20)</w:t>
      </w:r>
      <w:r w:rsidRPr="000F0299">
        <w:t xml:space="preserve">. Упркос затварању шалтера, институције су биле у обавези да обезбеде наставак обављања послова који су се обављали </w:t>
      </w:r>
      <w:r>
        <w:t>електронски</w:t>
      </w:r>
      <w:r w:rsidRPr="000F0299">
        <w:t xml:space="preserve">, али неки органи, нарочито они који нису били вични електронском поступању слабије су се сналазили. Странке у општим и посебним управним поступцима за време ванредног стања нису сносиле последице због свог неделовања у прописаним роковима. </w:t>
      </w:r>
      <w:r>
        <w:rPr>
          <w:color w:val="000000"/>
        </w:rPr>
        <w:t>И</w:t>
      </w:r>
      <w:r w:rsidRPr="000F0299">
        <w:rPr>
          <w:color w:val="000000"/>
        </w:rPr>
        <w:t>страживање</w:t>
      </w:r>
      <w:r w:rsidR="00570263">
        <w:rPr>
          <w:color w:val="000000"/>
        </w:rPr>
        <w:t xml:space="preserve"> </w:t>
      </w:r>
      <w:r w:rsidRPr="000F0299">
        <w:rPr>
          <w:color w:val="000000"/>
        </w:rPr>
        <w:t>о функционисању система локалне самоуправе у Републици Србији</w:t>
      </w:r>
      <w:r w:rsidRPr="000F0299">
        <w:rPr>
          <w:color w:val="000000"/>
          <w:vertAlign w:val="superscript"/>
        </w:rPr>
        <w:footnoteReference w:id="204"/>
      </w:r>
      <w:r w:rsidRPr="000F0299">
        <w:rPr>
          <w:color w:val="000000"/>
        </w:rPr>
        <w:t xml:space="preserve"> током пандемије </w:t>
      </w:r>
      <w:r w:rsidRPr="00DE7BF1">
        <w:rPr>
          <w:color w:val="000000"/>
        </w:rPr>
        <w:t>ковид-19</w:t>
      </w:r>
      <w:r>
        <w:rPr>
          <w:color w:val="000000"/>
        </w:rPr>
        <w:t xml:space="preserve"> </w:t>
      </w:r>
      <w:r w:rsidRPr="000F0299">
        <w:rPr>
          <w:color w:val="000000"/>
        </w:rPr>
        <w:t xml:space="preserve">показало је да су </w:t>
      </w:r>
      <w:r w:rsidRPr="000F0299">
        <w:rPr>
          <w:b/>
          <w:bCs/>
          <w:color w:val="000000"/>
        </w:rPr>
        <w:t>инспекцијски и надзорни послови један од теже спроводљивих</w:t>
      </w:r>
      <w:r w:rsidR="00570263">
        <w:rPr>
          <w:b/>
          <w:bCs/>
          <w:color w:val="000000"/>
        </w:rPr>
        <w:t xml:space="preserve"> </w:t>
      </w:r>
      <w:r w:rsidRPr="000F0299">
        <w:rPr>
          <w:b/>
          <w:bCs/>
          <w:color w:val="000000"/>
        </w:rPr>
        <w:t>задатака у кризној ситуацији изазван</w:t>
      </w:r>
      <w:r>
        <w:rPr>
          <w:b/>
          <w:bCs/>
          <w:color w:val="000000"/>
        </w:rPr>
        <w:t>ој</w:t>
      </w:r>
      <w:r w:rsidRPr="000F0299">
        <w:rPr>
          <w:b/>
          <w:bCs/>
          <w:color w:val="000000"/>
        </w:rPr>
        <w:t xml:space="preserve"> пандемијом </w:t>
      </w:r>
      <w:r w:rsidRPr="00C90F3B">
        <w:rPr>
          <w:b/>
        </w:rPr>
        <w:t>ковид</w:t>
      </w:r>
      <w:r w:rsidRPr="00C90F3B">
        <w:rPr>
          <w:b/>
          <w:iCs/>
        </w:rPr>
        <w:t>-19</w:t>
      </w:r>
      <w:r w:rsidRPr="000F0299">
        <w:rPr>
          <w:b/>
          <w:bCs/>
          <w:color w:val="161616"/>
        </w:rPr>
        <w:t>.</w:t>
      </w:r>
      <w:r w:rsidRPr="000F0299">
        <w:rPr>
          <w:color w:val="161616"/>
        </w:rPr>
        <w:t xml:space="preserve"> </w:t>
      </w:r>
      <w:bookmarkEnd w:id="165"/>
      <w:bookmarkEnd w:id="166"/>
      <w:bookmarkEnd w:id="167"/>
    </w:p>
    <w:p w14:paraId="160CE8C2" w14:textId="77777777" w:rsidR="0050180D" w:rsidRPr="000F0299" w:rsidRDefault="0050180D" w:rsidP="00244E7C">
      <w:pPr>
        <w:sectPr w:rsidR="0050180D" w:rsidRPr="000F0299" w:rsidSect="003B3B54">
          <w:headerReference w:type="default" r:id="rId134"/>
          <w:footerReference w:type="default" r:id="rId135"/>
          <w:pgSz w:w="11906" w:h="16838"/>
          <w:pgMar w:top="1417" w:right="1417" w:bottom="1134" w:left="1417" w:header="708" w:footer="708" w:gutter="0"/>
          <w:cols w:space="708"/>
          <w:docGrid w:linePitch="360"/>
        </w:sectPr>
      </w:pPr>
    </w:p>
    <w:p w14:paraId="114DBF39" w14:textId="430BAE22" w:rsidR="00787F1E" w:rsidRPr="000F0299" w:rsidRDefault="00787F1E" w:rsidP="00BF3F95">
      <w:pPr>
        <w:pStyle w:val="Heading3"/>
        <w:rPr>
          <w:lang w:val="sr-Cyrl-RS"/>
        </w:rPr>
      </w:pPr>
      <w:bookmarkStart w:id="172" w:name="_Toc57661485"/>
      <w:r w:rsidRPr="000F0299">
        <w:rPr>
          <w:lang w:val="sr-Cyrl-RS"/>
        </w:rPr>
        <w:t xml:space="preserve">Дрво проблема – </w:t>
      </w:r>
      <w:r w:rsidR="00BF3F95" w:rsidRPr="000F0299">
        <w:rPr>
          <w:lang w:val="sr-Cyrl-RS"/>
        </w:rPr>
        <w:t>П</w:t>
      </w:r>
      <w:r w:rsidRPr="000F0299">
        <w:rPr>
          <w:lang w:val="sr-Cyrl-RS"/>
        </w:rPr>
        <w:t>ружање услуга</w:t>
      </w:r>
      <w:bookmarkEnd w:id="172"/>
    </w:p>
    <w:p w14:paraId="19B8DE46" w14:textId="30834CE0" w:rsidR="00E13963" w:rsidRPr="000F0299" w:rsidRDefault="003E15D9" w:rsidP="00BF3F95">
      <w:pPr>
        <w:spacing w:before="43" w:after="0" w:line="500" w:lineRule="exact"/>
        <w:jc w:val="center"/>
        <w:rPr>
          <w:rFonts w:ascii="Verdana" w:eastAsia="Times New Roman" w:hAnsi="Verdana"/>
          <w:sz w:val="60"/>
          <w:szCs w:val="60"/>
        </w:rPr>
      </w:pPr>
      <w:r w:rsidRPr="000F0299">
        <w:rPr>
          <w:rFonts w:ascii="Verdana" w:hAnsi="Verdana"/>
          <w:noProof/>
          <w:sz w:val="20"/>
          <w:lang w:val="en-US" w:eastAsia="en-US" w:bidi="ar-SA"/>
        </w:rPr>
        <mc:AlternateContent>
          <mc:Choice Requires="wps">
            <w:drawing>
              <wp:anchor distT="0" distB="0" distL="114300" distR="114300" simplePos="0" relativeHeight="251474432" behindDoc="0" locked="0" layoutInCell="1" allowOverlap="1" wp14:anchorId="6E535D70" wp14:editId="2FBB4C57">
                <wp:simplePos x="0" y="0"/>
                <wp:positionH relativeFrom="column">
                  <wp:posOffset>2765425</wp:posOffset>
                </wp:positionH>
                <wp:positionV relativeFrom="paragraph">
                  <wp:posOffset>33655</wp:posOffset>
                </wp:positionV>
                <wp:extent cx="2835910" cy="609600"/>
                <wp:effectExtent l="19050" t="19050" r="21590" b="19050"/>
                <wp:wrapNone/>
                <wp:docPr id="196" name="Text Box 196"/>
                <wp:cNvGraphicFramePr/>
                <a:graphic xmlns:a="http://schemas.openxmlformats.org/drawingml/2006/main">
                  <a:graphicData uri="http://schemas.microsoft.com/office/word/2010/wordprocessingShape">
                    <wps:wsp>
                      <wps:cNvSpPr txBox="1"/>
                      <wps:spPr>
                        <a:xfrm>
                          <a:off x="0" y="0"/>
                          <a:ext cx="2835910" cy="60960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58429E70" w14:textId="77777777" w:rsidR="00876FFE" w:rsidRPr="00251E0D" w:rsidRDefault="00876FFE" w:rsidP="00E13963">
                            <w:pPr>
                              <w:spacing w:before="0" w:after="0"/>
                              <w:jc w:val="center"/>
                              <w:rPr>
                                <w:rFonts w:asciiTheme="minorHAnsi" w:hAnsiTheme="minorHAnsi" w:cstheme="minorHAnsi"/>
                                <w:sz w:val="22"/>
                                <w:szCs w:val="22"/>
                              </w:rPr>
                            </w:pPr>
                            <w:r w:rsidRPr="00251E0D">
                              <w:rPr>
                                <w:rFonts w:asciiTheme="minorHAnsi" w:hAnsiTheme="minorHAnsi" w:cstheme="minorHAnsi"/>
                                <w:sz w:val="22"/>
                                <w:szCs w:val="22"/>
                              </w:rPr>
                              <w:t>Недовољно поверење грађана у јавну управу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535D70" id="Text Box 196" o:spid="_x0000_s1147" style="position:absolute;left:0;text-align:left;margin-left:217.75pt;margin-top:2.65pt;width:223.3pt;height:48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" fillcolor="window" strokecolor="#deeaf6 [664]" strokeweight="2.25pt">
                <v:stroke joinstyle="miter"/>
                <v:textbox inset="1mm,1mm,1mm,1mm">
                  <w:txbxContent>
                    <w:p w14:paraId="58429E70" w14:textId="77777777" w:rsidR="00876FFE" w:rsidRPr="00251E0D" w:rsidRDefault="00876FFE" w:rsidP="00E13963">
                      <w:pPr>
                        <w:spacing w:before="0" w:after="0"/>
                        <w:jc w:val="center"/>
                        <w:rPr>
                          <w:rFonts w:asciiTheme="minorHAnsi" w:hAnsiTheme="minorHAnsi" w:cstheme="minorHAnsi"/>
                          <w:sz w:val="22"/>
                          <w:szCs w:val="22"/>
                        </w:rPr>
                      </w:pPr>
                      <w:r w:rsidRPr="00251E0D">
                        <w:rPr>
                          <w:rFonts w:asciiTheme="minorHAnsi" w:hAnsiTheme="minorHAnsi" w:cstheme="minorHAnsi"/>
                          <w:sz w:val="22"/>
                          <w:szCs w:val="22"/>
                        </w:rPr>
                        <w:t>Недовољно поверење грађана у јавну управу</w:t>
                      </w:r>
                    </w:p>
                  </w:txbxContent>
                </v:textbox>
              </v:roundrect>
            </w:pict>
          </mc:Fallback>
        </mc:AlternateContent>
      </w:r>
    </w:p>
    <w:p w14:paraId="6433D302" w14:textId="44FDC6BE" w:rsidR="00E13963" w:rsidRPr="000F0299" w:rsidRDefault="00E13963" w:rsidP="00E13963">
      <w:pPr>
        <w:spacing w:after="0"/>
        <w:rPr>
          <w:rFonts w:ascii="Verdana" w:eastAsia="Times New Roman" w:hAnsi="Verdana"/>
          <w:sz w:val="20"/>
          <w:szCs w:val="20"/>
        </w:rPr>
      </w:pPr>
    </w:p>
    <w:p w14:paraId="3332DAAE" w14:textId="2D85805F" w:rsidR="00E13963" w:rsidRPr="000F0299" w:rsidRDefault="00BF3F95" w:rsidP="00E13963">
      <w:pPr>
        <w:spacing w:after="0"/>
        <w:rPr>
          <w:rFonts w:ascii="Verdana" w:eastAsia="Times New Roman" w:hAnsi="Verdana"/>
          <w:sz w:val="20"/>
          <w:szCs w:val="20"/>
        </w:rPr>
      </w:pPr>
      <w:r w:rsidRPr="000F0299">
        <w:rPr>
          <w:rFonts w:ascii="Verdana" w:hAnsi="Verdana"/>
          <w:noProof/>
          <w:sz w:val="20"/>
          <w:lang w:val="en-US" w:eastAsia="en-US" w:bidi="ar-SA"/>
        </w:rPr>
        <mc:AlternateContent>
          <mc:Choice Requires="wps">
            <w:drawing>
              <wp:anchor distT="0" distB="0" distL="114300" distR="114300" simplePos="0" relativeHeight="251478528" behindDoc="0" locked="0" layoutInCell="1" allowOverlap="1" wp14:anchorId="663B3098" wp14:editId="3F6C75EE">
                <wp:simplePos x="0" y="0"/>
                <wp:positionH relativeFrom="column">
                  <wp:posOffset>5219700</wp:posOffset>
                </wp:positionH>
                <wp:positionV relativeFrom="paragraph">
                  <wp:posOffset>123190</wp:posOffset>
                </wp:positionV>
                <wp:extent cx="0" cy="288000"/>
                <wp:effectExtent l="76200" t="38100" r="57150" b="17145"/>
                <wp:wrapNone/>
                <wp:docPr id="197" name="Straight Arrow Connector 197"/>
                <wp:cNvGraphicFramePr/>
                <a:graphic xmlns:a="http://schemas.openxmlformats.org/drawingml/2006/main">
                  <a:graphicData uri="http://schemas.microsoft.com/office/word/2010/wordprocessingShape">
                    <wps:wsp>
                      <wps:cNvCnPr/>
                      <wps:spPr>
                        <a:xfrm flipV="1">
                          <a:off x="0" y="0"/>
                          <a:ext cx="0" cy="28800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ABDA20" id="Straight Arrow Connector 197" o:spid="_x0000_s1026" type="#_x0000_t32" style="position:absolute;margin-left:411pt;margin-top:9.7pt;width:0;height:22.7pt;flip:y;z-index:25147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" strokecolor="#bdd6ee [1304]" strokeweight="1.5pt">
                <v:stroke endarrow="block" joinstyle="miter"/>
              </v:shape>
            </w:pict>
          </mc:Fallback>
        </mc:AlternateContent>
      </w:r>
      <w:r w:rsidRPr="000F0299">
        <w:rPr>
          <w:rFonts w:ascii="Verdana" w:hAnsi="Verdana"/>
          <w:noProof/>
          <w:sz w:val="20"/>
          <w:lang w:val="en-US" w:eastAsia="en-US" w:bidi="ar-SA"/>
        </w:rPr>
        <mc:AlternateContent>
          <mc:Choice Requires="wps">
            <w:drawing>
              <wp:anchor distT="0" distB="0" distL="114300" distR="114300" simplePos="0" relativeHeight="251477504" behindDoc="0" locked="0" layoutInCell="1" allowOverlap="1" wp14:anchorId="6ACB77D1" wp14:editId="3EF4FA83">
                <wp:simplePos x="0" y="0"/>
                <wp:positionH relativeFrom="column">
                  <wp:posOffset>3459480</wp:posOffset>
                </wp:positionH>
                <wp:positionV relativeFrom="paragraph">
                  <wp:posOffset>101600</wp:posOffset>
                </wp:positionV>
                <wp:extent cx="0" cy="144000"/>
                <wp:effectExtent l="76200" t="38100" r="57150" b="27940"/>
                <wp:wrapNone/>
                <wp:docPr id="198" name="Straight Arrow Connector 198"/>
                <wp:cNvGraphicFramePr/>
                <a:graphic xmlns:a="http://schemas.openxmlformats.org/drawingml/2006/main">
                  <a:graphicData uri="http://schemas.microsoft.com/office/word/2010/wordprocessingShape">
                    <wps:wsp>
                      <wps:cNvCnPr/>
                      <wps:spPr>
                        <a:xfrm flipV="1">
                          <a:off x="0" y="0"/>
                          <a:ext cx="0" cy="14400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65F7EB" id="Straight Arrow Connector 198" o:spid="_x0000_s1026" type="#_x0000_t32" style="position:absolute;margin-left:272.4pt;margin-top:8pt;width:0;height:11.35pt;flip:y;z-index:25147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" strokecolor="#bdd6ee [1304]" strokeweight="1.5pt">
                <v:stroke endarrow="block" joinstyle="miter"/>
              </v:shape>
            </w:pict>
          </mc:Fallback>
        </mc:AlternateContent>
      </w:r>
      <w:r w:rsidRPr="000F0299">
        <w:rPr>
          <w:rFonts w:ascii="Verdana" w:hAnsi="Verdana"/>
          <w:noProof/>
          <w:sz w:val="20"/>
          <w:lang w:val="en-US" w:eastAsia="en-US" w:bidi="ar-SA"/>
        </w:rPr>
        <mc:AlternateContent>
          <mc:Choice Requires="wps">
            <w:drawing>
              <wp:anchor distT="0" distB="0" distL="114300" distR="114300" simplePos="0" relativeHeight="251487744" behindDoc="0" locked="0" layoutInCell="1" allowOverlap="1" wp14:anchorId="16766CA6" wp14:editId="573B3F44">
                <wp:simplePos x="0" y="0"/>
                <wp:positionH relativeFrom="column">
                  <wp:posOffset>-405130</wp:posOffset>
                </wp:positionH>
                <wp:positionV relativeFrom="paragraph">
                  <wp:posOffset>287020</wp:posOffset>
                </wp:positionV>
                <wp:extent cx="2835910" cy="1036320"/>
                <wp:effectExtent l="19050" t="19050" r="21590" b="11430"/>
                <wp:wrapNone/>
                <wp:docPr id="199" name="Text Box 199"/>
                <wp:cNvGraphicFramePr/>
                <a:graphic xmlns:a="http://schemas.openxmlformats.org/drawingml/2006/main">
                  <a:graphicData uri="http://schemas.microsoft.com/office/word/2010/wordprocessingShape">
                    <wps:wsp>
                      <wps:cNvSpPr txBox="1"/>
                      <wps:spPr>
                        <a:xfrm>
                          <a:off x="0" y="0"/>
                          <a:ext cx="2835910" cy="103632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17EC23A1" w14:textId="77777777" w:rsidR="00876FFE" w:rsidRPr="00251E0D" w:rsidRDefault="00876FFE" w:rsidP="00E13963">
                            <w:pPr>
                              <w:spacing w:before="0" w:after="0"/>
                              <w:jc w:val="center"/>
                              <w:rPr>
                                <w:rFonts w:asciiTheme="minorHAnsi" w:hAnsiTheme="minorHAnsi" w:cstheme="minorHAnsi"/>
                                <w:sz w:val="22"/>
                                <w:szCs w:val="22"/>
                              </w:rPr>
                            </w:pPr>
                            <w:r w:rsidRPr="00251E0D">
                              <w:rPr>
                                <w:rFonts w:asciiTheme="minorHAnsi" w:hAnsiTheme="minorHAnsi" w:cstheme="minorHAnsi"/>
                                <w:sz w:val="22"/>
                                <w:szCs w:val="22"/>
                              </w:rPr>
                              <w:t>Ниже приватне инвестиције и</w:t>
                            </w:r>
                            <w:r w:rsidRPr="00251E0D">
                              <w:rPr>
                                <w:rFonts w:asciiTheme="minorHAnsi" w:hAnsiTheme="minorHAnsi" w:cstheme="minorHAnsi"/>
                                <w:sz w:val="22"/>
                                <w:szCs w:val="22"/>
                              </w:rPr>
                              <w:br/>
                              <w:t>мање запошљавање</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6766CA6" id="Text Box 199" o:spid="_x0000_s1148" style="position:absolute;left:0;text-align:left;margin-left:-31.9pt;margin-top:22.6pt;width:223.3pt;height:81.6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" fillcolor="window" strokecolor="#deeaf6 [664]" strokeweight="2.25pt">
                <v:stroke joinstyle="miter"/>
                <v:textbox inset="1mm,1mm,1mm,1mm">
                  <w:txbxContent>
                    <w:p w14:paraId="17EC23A1" w14:textId="77777777" w:rsidR="00876FFE" w:rsidRPr="00251E0D" w:rsidRDefault="00876FFE" w:rsidP="00E13963">
                      <w:pPr>
                        <w:spacing w:before="0" w:after="0"/>
                        <w:jc w:val="center"/>
                        <w:rPr>
                          <w:rFonts w:asciiTheme="minorHAnsi" w:hAnsiTheme="minorHAnsi" w:cstheme="minorHAnsi"/>
                          <w:sz w:val="22"/>
                          <w:szCs w:val="22"/>
                        </w:rPr>
                      </w:pPr>
                      <w:r w:rsidRPr="00251E0D">
                        <w:rPr>
                          <w:rFonts w:asciiTheme="minorHAnsi" w:hAnsiTheme="minorHAnsi" w:cstheme="minorHAnsi"/>
                          <w:sz w:val="22"/>
                          <w:szCs w:val="22"/>
                        </w:rPr>
                        <w:t xml:space="preserve">Ниже </w:t>
                      </w:r>
                      <w:r w:rsidRPr="00251E0D">
                        <w:rPr>
                          <w:rFonts w:asciiTheme="minorHAnsi" w:hAnsiTheme="minorHAnsi" w:cstheme="minorHAnsi"/>
                          <w:sz w:val="22"/>
                          <w:szCs w:val="22"/>
                        </w:rPr>
                        <w:t>приватне инвестиције и</w:t>
                      </w:r>
                      <w:r w:rsidRPr="00251E0D">
                        <w:rPr>
                          <w:rFonts w:asciiTheme="minorHAnsi" w:hAnsiTheme="minorHAnsi" w:cstheme="minorHAnsi"/>
                          <w:sz w:val="22"/>
                          <w:szCs w:val="22"/>
                        </w:rPr>
                        <w:br/>
                        <w:t>мање запошљавање</w:t>
                      </w:r>
                    </w:p>
                  </w:txbxContent>
                </v:textbox>
              </v:roundrect>
            </w:pict>
          </mc:Fallback>
        </mc:AlternateContent>
      </w:r>
    </w:p>
    <w:p w14:paraId="40FC0EB7" w14:textId="441295A2" w:rsidR="00E13963" w:rsidRPr="000F0299" w:rsidRDefault="00BF3F95" w:rsidP="00E13963">
      <w:pPr>
        <w:spacing w:after="0"/>
        <w:rPr>
          <w:rFonts w:ascii="Verdana" w:eastAsia="Times New Roman" w:hAnsi="Verdana"/>
          <w:sz w:val="20"/>
          <w:szCs w:val="20"/>
        </w:rPr>
      </w:pPr>
      <w:r w:rsidRPr="000F0299">
        <w:rPr>
          <w:rFonts w:ascii="Verdana" w:hAnsi="Verdana"/>
          <w:noProof/>
          <w:sz w:val="20"/>
          <w:lang w:val="en-US" w:eastAsia="en-US" w:bidi="ar-SA"/>
        </w:rPr>
        <mc:AlternateContent>
          <mc:Choice Requires="wps">
            <w:drawing>
              <wp:anchor distT="0" distB="0" distL="114300" distR="114300" simplePos="0" relativeHeight="251489792" behindDoc="0" locked="0" layoutInCell="1" allowOverlap="1" wp14:anchorId="6A94172F" wp14:editId="16F6FF14">
                <wp:simplePos x="0" y="0"/>
                <wp:positionH relativeFrom="column">
                  <wp:posOffset>4584065</wp:posOffset>
                </wp:positionH>
                <wp:positionV relativeFrom="paragraph">
                  <wp:posOffset>64135</wp:posOffset>
                </wp:positionV>
                <wp:extent cx="1675765" cy="925830"/>
                <wp:effectExtent l="19050" t="19050" r="19685" b="26670"/>
                <wp:wrapNone/>
                <wp:docPr id="201" name="Text Box 201"/>
                <wp:cNvGraphicFramePr/>
                <a:graphic xmlns:a="http://schemas.openxmlformats.org/drawingml/2006/main">
                  <a:graphicData uri="http://schemas.microsoft.com/office/word/2010/wordprocessingShape">
                    <wps:wsp>
                      <wps:cNvSpPr txBox="1"/>
                      <wps:spPr>
                        <a:xfrm>
                          <a:off x="0" y="0"/>
                          <a:ext cx="1675765" cy="92583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2146104D" w14:textId="77777777" w:rsidR="00876FFE" w:rsidRPr="00251E0D" w:rsidRDefault="00876FFE" w:rsidP="00E13963">
                            <w:pPr>
                              <w:spacing w:before="0" w:after="0"/>
                              <w:ind w:firstLine="0"/>
                              <w:jc w:val="center"/>
                              <w:rPr>
                                <w:rFonts w:asciiTheme="minorHAnsi" w:hAnsiTheme="minorHAnsi" w:cstheme="minorHAnsi"/>
                                <w:sz w:val="22"/>
                                <w:szCs w:val="22"/>
                              </w:rPr>
                            </w:pPr>
                            <w:r w:rsidRPr="00251E0D">
                              <w:rPr>
                                <w:rFonts w:asciiTheme="minorHAnsi" w:hAnsiTheme="minorHAnsi" w:cstheme="minorHAnsi"/>
                                <w:sz w:val="22"/>
                                <w:szCs w:val="22"/>
                              </w:rPr>
                              <w:t>Непотпуно остваривање права грађана пред јавном управом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94172F" id="Text Box 201" o:spid="_x0000_s1149" style="position:absolute;left:0;text-align:left;margin-left:360.95pt;margin-top:5.05pt;width:131.95pt;height:72.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" fillcolor="window" strokecolor="#deeaf6 [664]" strokeweight="2.25pt">
                <v:stroke joinstyle="miter"/>
                <v:textbox inset="1mm,1mm,1mm,1mm">
                  <w:txbxContent>
                    <w:p w14:paraId="2146104D" w14:textId="77777777" w:rsidR="00876FFE" w:rsidRPr="00251E0D" w:rsidRDefault="00876FFE" w:rsidP="00E13963">
                      <w:pPr>
                        <w:spacing w:before="0" w:after="0"/>
                        <w:ind w:firstLine="0"/>
                        <w:jc w:val="center"/>
                        <w:rPr>
                          <w:rFonts w:asciiTheme="minorHAnsi" w:hAnsiTheme="minorHAnsi" w:cstheme="minorHAnsi"/>
                          <w:sz w:val="22"/>
                          <w:szCs w:val="22"/>
                        </w:rPr>
                      </w:pPr>
                      <w:r w:rsidRPr="00251E0D">
                        <w:rPr>
                          <w:rFonts w:asciiTheme="minorHAnsi" w:hAnsiTheme="minorHAnsi" w:cstheme="minorHAnsi"/>
                          <w:sz w:val="22"/>
                          <w:szCs w:val="22"/>
                        </w:rPr>
                        <w:t xml:space="preserve">Непотпуно </w:t>
                      </w:r>
                      <w:r w:rsidRPr="00251E0D">
                        <w:rPr>
                          <w:rFonts w:asciiTheme="minorHAnsi" w:hAnsiTheme="minorHAnsi" w:cstheme="minorHAnsi"/>
                          <w:sz w:val="22"/>
                          <w:szCs w:val="22"/>
                        </w:rPr>
                        <w:t>остваривање права грађана пред јавном управом</w:t>
                      </w:r>
                    </w:p>
                  </w:txbxContent>
                </v:textbox>
              </v:roundrect>
            </w:pict>
          </mc:Fallback>
        </mc:AlternateContent>
      </w:r>
      <w:r w:rsidRPr="000F0299">
        <w:rPr>
          <w:rFonts w:ascii="Verdana" w:hAnsi="Verdana"/>
          <w:noProof/>
          <w:sz w:val="20"/>
          <w:lang w:val="en-US" w:eastAsia="en-US" w:bidi="ar-SA"/>
        </w:rPr>
        <mc:AlternateContent>
          <mc:Choice Requires="wps">
            <w:drawing>
              <wp:anchor distT="0" distB="0" distL="114300" distR="114300" simplePos="0" relativeHeight="251488768" behindDoc="0" locked="0" layoutInCell="1" allowOverlap="1" wp14:anchorId="1ED48A9C" wp14:editId="1CA460E8">
                <wp:simplePos x="0" y="0"/>
                <wp:positionH relativeFrom="column">
                  <wp:posOffset>2696845</wp:posOffset>
                </wp:positionH>
                <wp:positionV relativeFrom="paragraph">
                  <wp:posOffset>36195</wp:posOffset>
                </wp:positionV>
                <wp:extent cx="1566545" cy="1047750"/>
                <wp:effectExtent l="19050" t="19050" r="14605" b="19050"/>
                <wp:wrapNone/>
                <wp:docPr id="200" name="Text Box 200"/>
                <wp:cNvGraphicFramePr/>
                <a:graphic xmlns:a="http://schemas.openxmlformats.org/drawingml/2006/main">
                  <a:graphicData uri="http://schemas.microsoft.com/office/word/2010/wordprocessingShape">
                    <wps:wsp>
                      <wps:cNvSpPr txBox="1"/>
                      <wps:spPr>
                        <a:xfrm>
                          <a:off x="0" y="0"/>
                          <a:ext cx="1566545" cy="104775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7F9F672C" w14:textId="77777777" w:rsidR="00876FFE" w:rsidRPr="00251E0D" w:rsidRDefault="00876FFE" w:rsidP="00E13963">
                            <w:pPr>
                              <w:spacing w:before="0" w:after="0"/>
                              <w:ind w:firstLine="0"/>
                              <w:jc w:val="center"/>
                              <w:rPr>
                                <w:rFonts w:asciiTheme="minorHAnsi" w:hAnsiTheme="minorHAnsi" w:cstheme="minorHAnsi"/>
                                <w:sz w:val="22"/>
                                <w:szCs w:val="22"/>
                              </w:rPr>
                            </w:pPr>
                            <w:r w:rsidRPr="00251E0D">
                              <w:rPr>
                                <w:rFonts w:asciiTheme="minorHAnsi" w:hAnsiTheme="minorHAnsi" w:cstheme="minorHAnsi"/>
                                <w:sz w:val="22"/>
                                <w:szCs w:val="22"/>
                              </w:rPr>
                              <w:t>Делимично задовољство грађана квалитетом пружених услуга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ED48A9C" id="Text Box 200" o:spid="_x0000_s1150" style="position:absolute;left:0;text-align:left;margin-left:212.35pt;margin-top:2.85pt;width:123.35pt;height:82.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" fillcolor="window" strokecolor="#deeaf6 [664]" strokeweight="2.25pt">
                <v:stroke joinstyle="miter"/>
                <v:textbox inset="1mm,1mm,1mm,1mm">
                  <w:txbxContent>
                    <w:p w14:paraId="7F9F672C" w14:textId="77777777" w:rsidR="00876FFE" w:rsidRPr="00251E0D" w:rsidRDefault="00876FFE" w:rsidP="00E13963">
                      <w:pPr>
                        <w:spacing w:before="0" w:after="0"/>
                        <w:ind w:firstLine="0"/>
                        <w:jc w:val="center"/>
                        <w:rPr>
                          <w:rFonts w:asciiTheme="minorHAnsi" w:hAnsiTheme="minorHAnsi" w:cstheme="minorHAnsi"/>
                          <w:sz w:val="22"/>
                          <w:szCs w:val="22"/>
                        </w:rPr>
                      </w:pPr>
                      <w:r w:rsidRPr="00251E0D">
                        <w:rPr>
                          <w:rFonts w:asciiTheme="minorHAnsi" w:hAnsiTheme="minorHAnsi" w:cstheme="minorHAnsi"/>
                          <w:sz w:val="22"/>
                          <w:szCs w:val="22"/>
                        </w:rPr>
                        <w:t xml:space="preserve">Делимично </w:t>
                      </w:r>
                      <w:r w:rsidRPr="00251E0D">
                        <w:rPr>
                          <w:rFonts w:asciiTheme="minorHAnsi" w:hAnsiTheme="minorHAnsi" w:cstheme="minorHAnsi"/>
                          <w:sz w:val="22"/>
                          <w:szCs w:val="22"/>
                        </w:rPr>
                        <w:t>задовољство грађана квалитетом пружених услуга</w:t>
                      </w:r>
                    </w:p>
                  </w:txbxContent>
                </v:textbox>
              </v:roundrect>
            </w:pict>
          </mc:Fallback>
        </mc:AlternateContent>
      </w:r>
      <w:r w:rsidRPr="000F0299">
        <w:rPr>
          <w:rFonts w:ascii="Verdana" w:eastAsia="Times New Roman" w:hAnsi="Verdana"/>
          <w:noProof/>
          <w:sz w:val="20"/>
          <w:szCs w:val="20"/>
          <w:lang w:val="en-US" w:eastAsia="en-US" w:bidi="ar-SA"/>
        </w:rPr>
        <mc:AlternateContent>
          <mc:Choice Requires="wpg">
            <w:drawing>
              <wp:anchor distT="0" distB="0" distL="114300" distR="114300" simplePos="0" relativeHeight="251476480" behindDoc="0" locked="0" layoutInCell="1" allowOverlap="1" wp14:anchorId="0C55AA02" wp14:editId="6926786C">
                <wp:simplePos x="0" y="0"/>
                <wp:positionH relativeFrom="column">
                  <wp:posOffset>10741025</wp:posOffset>
                </wp:positionH>
                <wp:positionV relativeFrom="paragraph">
                  <wp:posOffset>72390</wp:posOffset>
                </wp:positionV>
                <wp:extent cx="2842895" cy="2349500"/>
                <wp:effectExtent l="19050" t="19050" r="14605" b="31750"/>
                <wp:wrapNone/>
                <wp:docPr id="602" name="Group 602"/>
                <wp:cNvGraphicFramePr/>
                <a:graphic xmlns:a="http://schemas.openxmlformats.org/drawingml/2006/main">
                  <a:graphicData uri="http://schemas.microsoft.com/office/word/2010/wordprocessingGroup">
                    <wpg:wgp>
                      <wpg:cNvGrpSpPr/>
                      <wpg:grpSpPr>
                        <a:xfrm>
                          <a:off x="0" y="0"/>
                          <a:ext cx="2842895" cy="2349500"/>
                          <a:chOff x="0" y="0"/>
                          <a:chExt cx="2843348" cy="2349590"/>
                        </a:xfrm>
                      </wpg:grpSpPr>
                      <wps:wsp>
                        <wps:cNvPr id="250" name="Text Box 250"/>
                        <wps:cNvSpPr txBox="1"/>
                        <wps:spPr>
                          <a:xfrm>
                            <a:off x="0" y="1230085"/>
                            <a:ext cx="2835910" cy="76771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0EC511BF" w14:textId="77777777" w:rsidR="00876FFE" w:rsidRPr="00251E0D" w:rsidRDefault="00876FFE" w:rsidP="00E13963">
                              <w:pPr>
                                <w:spacing w:before="0" w:after="0"/>
                                <w:ind w:firstLine="0"/>
                                <w:jc w:val="center"/>
                                <w:rPr>
                                  <w:rFonts w:asciiTheme="minorHAnsi" w:hAnsiTheme="minorHAnsi" w:cstheme="minorHAnsi"/>
                                  <w:sz w:val="22"/>
                                  <w:szCs w:val="22"/>
                                </w:rPr>
                              </w:pPr>
                              <w:r w:rsidRPr="00251E0D">
                                <w:rPr>
                                  <w:rFonts w:asciiTheme="minorHAnsi" w:hAnsiTheme="minorHAnsi" w:cstheme="minorHAnsi"/>
                                  <w:sz w:val="22"/>
                                  <w:szCs w:val="22"/>
                                </w:rPr>
                                <w:t xml:space="preserve">Недовољна искоришћеност </w:t>
                              </w:r>
                              <w:r w:rsidRPr="00251E0D">
                                <w:rPr>
                                  <w:rFonts w:asciiTheme="minorHAnsi" w:hAnsiTheme="minorHAnsi" w:cstheme="minorHAnsi"/>
                                  <w:sz w:val="22"/>
                                  <w:szCs w:val="22"/>
                                </w:rPr>
                                <w:br/>
                                <w:t>потенцијала отворених података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2" name="Text Box 202"/>
                        <wps:cNvSpPr txBox="1"/>
                        <wps:spPr>
                          <a:xfrm>
                            <a:off x="10885" y="0"/>
                            <a:ext cx="1341120" cy="92583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394684CF" w14:textId="77777777" w:rsidR="00876FFE" w:rsidRPr="00251E0D" w:rsidRDefault="00876FFE" w:rsidP="00E13963">
                              <w:pPr>
                                <w:spacing w:before="0" w:after="0"/>
                                <w:ind w:firstLine="0"/>
                                <w:jc w:val="center"/>
                                <w:rPr>
                                  <w:rFonts w:asciiTheme="minorHAnsi" w:hAnsiTheme="minorHAnsi" w:cstheme="minorHAnsi"/>
                                  <w:sz w:val="22"/>
                                  <w:szCs w:val="22"/>
                                </w:rPr>
                              </w:pPr>
                              <w:r w:rsidRPr="00251E0D">
                                <w:rPr>
                                  <w:rFonts w:asciiTheme="minorHAnsi" w:hAnsiTheme="minorHAnsi" w:cstheme="minorHAnsi"/>
                                  <w:sz w:val="22"/>
                                  <w:szCs w:val="22"/>
                                </w:rPr>
                                <w:t>Мањи број иновативних услуга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5" name="Text Box 25"/>
                        <wps:cNvSpPr txBox="1"/>
                        <wps:spPr>
                          <a:xfrm>
                            <a:off x="1502228" y="0"/>
                            <a:ext cx="1341120" cy="92583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6161CA6B" w14:textId="77777777" w:rsidR="00876FFE" w:rsidRPr="00251E0D" w:rsidRDefault="00876FFE" w:rsidP="00E13963">
                              <w:pPr>
                                <w:spacing w:before="0" w:after="0"/>
                                <w:ind w:firstLine="0"/>
                                <w:jc w:val="center"/>
                                <w:rPr>
                                  <w:rFonts w:asciiTheme="minorHAnsi" w:hAnsiTheme="minorHAnsi" w:cstheme="minorHAnsi"/>
                                  <w:sz w:val="22"/>
                                  <w:szCs w:val="22"/>
                                </w:rPr>
                              </w:pPr>
                              <w:r w:rsidRPr="00251E0D">
                                <w:rPr>
                                  <w:rFonts w:asciiTheme="minorHAnsi" w:hAnsiTheme="minorHAnsi" w:cstheme="minorHAnsi"/>
                                  <w:sz w:val="22"/>
                                  <w:szCs w:val="22"/>
                                </w:rPr>
                                <w:t>Мање уштеде у јавној управи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1" name="Straight Arrow Connector 241"/>
                        <wps:cNvCnPr/>
                        <wps:spPr>
                          <a:xfrm flipV="1">
                            <a:off x="1428750" y="2011135"/>
                            <a:ext cx="0" cy="33845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44" name="Straight Arrow Connector 244"/>
                        <wps:cNvCnPr/>
                        <wps:spPr>
                          <a:xfrm flipV="1">
                            <a:off x="699407" y="933450"/>
                            <a:ext cx="0" cy="30416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45" name="Straight Arrow Connector 245"/>
                        <wps:cNvCnPr/>
                        <wps:spPr>
                          <a:xfrm flipV="1">
                            <a:off x="2168978" y="933450"/>
                            <a:ext cx="0" cy="30416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55AA02" id="Group 602" o:spid="_x0000_s1151" style="position:absolute;left:0;text-align:left;margin-left:845.75pt;margin-top:5.7pt;width:223.85pt;height:185pt;z-index:251476480" coordsize="28433,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">
                <v:roundrect id="Text Box 250" o:spid="_x0000_s1152" style="position:absolute;top:12300;width:28359;height:7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" fillcolor="window" strokecolor="#deeaf6 [664]" strokeweight="2.25pt">
                  <v:stroke joinstyle="miter"/>
                  <v:textbox inset="1mm,1mm,1mm,1mm">
                    <w:txbxContent>
                      <w:p w14:paraId="0EC511BF" w14:textId="77777777" w:rsidR="00876FFE" w:rsidRPr="00251E0D" w:rsidRDefault="00876FFE" w:rsidP="00E13963">
                        <w:pPr>
                          <w:spacing w:before="0" w:after="0"/>
                          <w:ind w:firstLine="0"/>
                          <w:jc w:val="center"/>
                          <w:rPr>
                            <w:rFonts w:asciiTheme="minorHAnsi" w:hAnsiTheme="minorHAnsi" w:cstheme="minorHAnsi"/>
                            <w:sz w:val="22"/>
                            <w:szCs w:val="22"/>
                          </w:rPr>
                        </w:pPr>
                        <w:r w:rsidRPr="00251E0D">
                          <w:rPr>
                            <w:rFonts w:asciiTheme="minorHAnsi" w:hAnsiTheme="minorHAnsi" w:cstheme="minorHAnsi"/>
                            <w:sz w:val="22"/>
                            <w:szCs w:val="22"/>
                          </w:rPr>
                          <w:t xml:space="preserve">Недовољна </w:t>
                        </w:r>
                        <w:r w:rsidRPr="00251E0D">
                          <w:rPr>
                            <w:rFonts w:asciiTheme="minorHAnsi" w:hAnsiTheme="minorHAnsi" w:cstheme="minorHAnsi"/>
                            <w:sz w:val="22"/>
                            <w:szCs w:val="22"/>
                          </w:rPr>
                          <w:t xml:space="preserve">искоришћеност </w:t>
                        </w:r>
                        <w:r w:rsidRPr="00251E0D">
                          <w:rPr>
                            <w:rFonts w:asciiTheme="minorHAnsi" w:hAnsiTheme="minorHAnsi" w:cstheme="minorHAnsi"/>
                            <w:sz w:val="22"/>
                            <w:szCs w:val="22"/>
                          </w:rPr>
                          <w:br/>
                          <w:t>потенцијала отворених података</w:t>
                        </w:r>
                      </w:p>
                    </w:txbxContent>
                  </v:textbox>
                </v:roundrect>
                <v:roundrect id="Text Box 202" o:spid="_x0000_s1153" style="position:absolute;left:108;width:13412;height:9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" fillcolor="window" strokecolor="#deeaf6 [664]" strokeweight="2.25pt">
                  <v:stroke joinstyle="miter"/>
                  <v:textbox inset="1mm,1mm,1mm,1mm">
                    <w:txbxContent>
                      <w:p w14:paraId="394684CF" w14:textId="77777777" w:rsidR="00876FFE" w:rsidRPr="00251E0D" w:rsidRDefault="00876FFE" w:rsidP="00E13963">
                        <w:pPr>
                          <w:spacing w:before="0" w:after="0"/>
                          <w:ind w:firstLine="0"/>
                          <w:jc w:val="center"/>
                          <w:rPr>
                            <w:rFonts w:asciiTheme="minorHAnsi" w:hAnsiTheme="minorHAnsi" w:cstheme="minorHAnsi"/>
                            <w:sz w:val="22"/>
                            <w:szCs w:val="22"/>
                          </w:rPr>
                        </w:pPr>
                        <w:r w:rsidRPr="00251E0D">
                          <w:rPr>
                            <w:rFonts w:asciiTheme="minorHAnsi" w:hAnsiTheme="minorHAnsi" w:cstheme="minorHAnsi"/>
                            <w:sz w:val="22"/>
                            <w:szCs w:val="22"/>
                          </w:rPr>
                          <w:t xml:space="preserve">Мањи </w:t>
                        </w:r>
                        <w:r w:rsidRPr="00251E0D">
                          <w:rPr>
                            <w:rFonts w:asciiTheme="minorHAnsi" w:hAnsiTheme="minorHAnsi" w:cstheme="minorHAnsi"/>
                            <w:sz w:val="22"/>
                            <w:szCs w:val="22"/>
                          </w:rPr>
                          <w:t>број иновативних услуга</w:t>
                        </w:r>
                      </w:p>
                    </w:txbxContent>
                  </v:textbox>
                </v:roundrect>
                <v:roundrect id="Text Box 25" o:spid="_x0000_s1154" style="position:absolute;left:15022;width:13411;height:9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" fillcolor="window" strokecolor="#deeaf6 [664]" strokeweight="2.25pt">
                  <v:stroke joinstyle="miter"/>
                  <v:textbox inset="1mm,1mm,1mm,1mm">
                    <w:txbxContent>
                      <w:p w14:paraId="6161CA6B" w14:textId="77777777" w:rsidR="00876FFE" w:rsidRPr="00251E0D" w:rsidRDefault="00876FFE" w:rsidP="00E13963">
                        <w:pPr>
                          <w:spacing w:before="0" w:after="0"/>
                          <w:ind w:firstLine="0"/>
                          <w:jc w:val="center"/>
                          <w:rPr>
                            <w:rFonts w:asciiTheme="minorHAnsi" w:hAnsiTheme="minorHAnsi" w:cstheme="minorHAnsi"/>
                            <w:sz w:val="22"/>
                            <w:szCs w:val="22"/>
                          </w:rPr>
                        </w:pPr>
                        <w:r w:rsidRPr="00251E0D">
                          <w:rPr>
                            <w:rFonts w:asciiTheme="minorHAnsi" w:hAnsiTheme="minorHAnsi" w:cstheme="minorHAnsi"/>
                            <w:sz w:val="22"/>
                            <w:szCs w:val="22"/>
                          </w:rPr>
                          <w:t xml:space="preserve">Мање </w:t>
                        </w:r>
                        <w:r w:rsidRPr="00251E0D">
                          <w:rPr>
                            <w:rFonts w:asciiTheme="minorHAnsi" w:hAnsiTheme="minorHAnsi" w:cstheme="minorHAnsi"/>
                            <w:sz w:val="22"/>
                            <w:szCs w:val="22"/>
                          </w:rPr>
                          <w:t>уштеде у јавној управи</w:t>
                        </w:r>
                      </w:p>
                    </w:txbxContent>
                  </v:textbox>
                </v:roundrect>
                <v:shapetype id="_x0000_t32" coordsize="21600,21600" o:spt="32" o:oned="t" path="m,l21600,21600e" filled="f">
                  <v:path arrowok="t" fillok="f" o:connecttype="none"/>
                  <o:lock v:ext="edit" shapetype="t"/>
                </v:shapetype>
                <v:shape id="Straight Arrow Connector 241" o:spid="_x0000_s1155" type="#_x0000_t32" style="position:absolute;left:14287;top:20111;width:0;height:33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" strokecolor="#bdd6ee [1304]" strokeweight="1.5pt">
                  <v:stroke endarrow="block" joinstyle="miter"/>
                </v:shape>
                <v:shape id="Straight Arrow Connector 244" o:spid="_x0000_s1156" type="#_x0000_t32" style="position:absolute;left:6994;top:9334;width:0;height:30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" strokecolor="#bdd6ee [1304]" strokeweight="1.5pt">
                  <v:stroke endarrow="block" joinstyle="miter"/>
                </v:shape>
                <v:shape id="Straight Arrow Connector 245" o:spid="_x0000_s1157" type="#_x0000_t32" style="position:absolute;left:21689;top:9334;width:0;height:30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" strokecolor="#bdd6ee [1304]" strokeweight="1.5pt">
                  <v:stroke endarrow="block" joinstyle="miter"/>
                </v:shape>
              </v:group>
            </w:pict>
          </mc:Fallback>
        </mc:AlternateContent>
      </w:r>
    </w:p>
    <w:p w14:paraId="20CD6397" w14:textId="77777777" w:rsidR="00E13963" w:rsidRPr="000F0299" w:rsidRDefault="00E13963" w:rsidP="00E13963">
      <w:pPr>
        <w:spacing w:after="0"/>
        <w:rPr>
          <w:rFonts w:ascii="Verdana" w:eastAsia="Times New Roman" w:hAnsi="Verdana"/>
          <w:sz w:val="20"/>
          <w:szCs w:val="20"/>
        </w:rPr>
      </w:pPr>
    </w:p>
    <w:p w14:paraId="02725AEC" w14:textId="12623A2F" w:rsidR="00E13963" w:rsidRPr="000F0299" w:rsidRDefault="00A47702" w:rsidP="00E13963">
      <w:pPr>
        <w:tabs>
          <w:tab w:val="left" w:pos="2998"/>
        </w:tabs>
        <w:spacing w:after="0"/>
        <w:rPr>
          <w:rFonts w:ascii="Verdana" w:eastAsia="Times New Roman" w:hAnsi="Verdana"/>
          <w:sz w:val="20"/>
          <w:szCs w:val="20"/>
        </w:rPr>
      </w:pPr>
      <w:r>
        <w:rPr>
          <w:noProof/>
          <w:lang w:val="en-US" w:eastAsia="en-US" w:bidi="ar-SA"/>
        </w:rPr>
        <mc:AlternateContent>
          <mc:Choice Requires="wps">
            <w:drawing>
              <wp:anchor distT="0" distB="0" distL="114300" distR="114300" simplePos="0" relativeHeight="252061184" behindDoc="0" locked="0" layoutInCell="1" allowOverlap="1" wp14:anchorId="4CCADC1A" wp14:editId="03E6C6C4">
                <wp:simplePos x="0" y="0"/>
                <wp:positionH relativeFrom="margin">
                  <wp:align>center</wp:align>
                </wp:positionH>
                <wp:positionV relativeFrom="paragraph">
                  <wp:posOffset>7790374</wp:posOffset>
                </wp:positionV>
                <wp:extent cx="2788542" cy="635"/>
                <wp:effectExtent l="0" t="0" r="0" b="8255"/>
                <wp:wrapNone/>
                <wp:docPr id="402" name="Text Box 402"/>
                <wp:cNvGraphicFramePr/>
                <a:graphic xmlns:a="http://schemas.openxmlformats.org/drawingml/2006/main">
                  <a:graphicData uri="http://schemas.microsoft.com/office/word/2010/wordprocessingShape">
                    <wps:wsp>
                      <wps:cNvSpPr txBox="1"/>
                      <wps:spPr>
                        <a:xfrm>
                          <a:off x="0" y="0"/>
                          <a:ext cx="2788542" cy="635"/>
                        </a:xfrm>
                        <a:prstGeom prst="rect">
                          <a:avLst/>
                        </a:prstGeom>
                        <a:solidFill>
                          <a:prstClr val="white"/>
                        </a:solidFill>
                        <a:ln>
                          <a:noFill/>
                        </a:ln>
                      </wps:spPr>
                      <wps:txbx>
                        <w:txbxContent>
                          <w:p w14:paraId="2682B7D1" w14:textId="36587E19" w:rsidR="00876FFE" w:rsidRPr="00A47702" w:rsidRDefault="00876FFE" w:rsidP="00A47702">
                            <w:pPr>
                              <w:pStyle w:val="Caption"/>
                              <w:rPr>
                                <w:rFonts w:ascii="Verdana" w:hAnsi="Verdana"/>
                                <w:i w:val="0"/>
                                <w:iCs w:val="0"/>
                                <w:noProof/>
                                <w:sz w:val="20"/>
                                <w:szCs w:val="24"/>
                              </w:rPr>
                            </w:pPr>
                            <w:bookmarkStart w:id="173" w:name="_Toc57665364"/>
                            <w:r w:rsidRPr="00A47702">
                              <w:rPr>
                                <w:i w:val="0"/>
                                <w:iCs w:val="0"/>
                              </w:rPr>
                              <w:t xml:space="preserve">Графикон </w:t>
                            </w:r>
                            <w:r w:rsidRPr="00A47702">
                              <w:rPr>
                                <w:i w:val="0"/>
                                <w:iCs w:val="0"/>
                              </w:rPr>
                              <w:fldChar w:fldCharType="begin"/>
                            </w:r>
                            <w:r w:rsidRPr="00A47702">
                              <w:rPr>
                                <w:i w:val="0"/>
                                <w:iCs w:val="0"/>
                              </w:rPr>
                              <w:instrText xml:space="preserve"> SEQ Графикон \* ARABIC </w:instrText>
                            </w:r>
                            <w:r w:rsidRPr="00A47702">
                              <w:rPr>
                                <w:i w:val="0"/>
                                <w:iCs w:val="0"/>
                              </w:rPr>
                              <w:fldChar w:fldCharType="separate"/>
                            </w:r>
                            <w:r>
                              <w:rPr>
                                <w:i w:val="0"/>
                                <w:iCs w:val="0"/>
                                <w:noProof/>
                              </w:rPr>
                              <w:t>28</w:t>
                            </w:r>
                            <w:r w:rsidRPr="00A47702">
                              <w:rPr>
                                <w:i w:val="0"/>
                                <w:iCs w:val="0"/>
                              </w:rPr>
                              <w:fldChar w:fldCharType="end"/>
                            </w:r>
                            <w:r w:rsidRPr="00A47702">
                              <w:rPr>
                                <w:i w:val="0"/>
                                <w:iCs w:val="0"/>
                              </w:rPr>
                              <w:t xml:space="preserve"> Дрво проблема – Пружање услуга</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CADC1A" id="Text Box 402" o:spid="_x0000_s1158" type="#_x0000_t202" style="position:absolute;left:0;text-align:left;margin-left:0;margin-top:613.4pt;width:219.55pt;height:.05pt;z-index:2520611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" stroked="f">
                <v:textbox style="mso-fit-shape-to-text:t" inset="0,0,0,0">
                  <w:txbxContent>
                    <w:p w14:paraId="2682B7D1" w14:textId="36587E19" w:rsidR="00876FFE" w:rsidRPr="00A47702" w:rsidRDefault="00876FFE" w:rsidP="00A47702">
                      <w:pPr>
                        <w:pStyle w:val="Caption"/>
                        <w:rPr>
                          <w:rFonts w:ascii="Verdana" w:hAnsi="Verdana"/>
                          <w:i w:val="0"/>
                          <w:iCs w:val="0"/>
                          <w:noProof/>
                          <w:sz w:val="20"/>
                          <w:szCs w:val="24"/>
                        </w:rPr>
                      </w:pPr>
                      <w:bookmarkStart w:id="188" w:name="_Toc57665364"/>
                      <w:r w:rsidRPr="00A47702">
                        <w:rPr>
                          <w:i w:val="0"/>
                          <w:iCs w:val="0"/>
                        </w:rPr>
                        <w:t xml:space="preserve">Графикон </w:t>
                      </w:r>
                      <w:r w:rsidRPr="00A47702">
                        <w:rPr>
                          <w:i w:val="0"/>
                          <w:iCs w:val="0"/>
                        </w:rPr>
                        <w:fldChar w:fldCharType="begin"/>
                      </w:r>
                      <w:r w:rsidRPr="00A47702">
                        <w:rPr>
                          <w:i w:val="0"/>
                          <w:iCs w:val="0"/>
                        </w:rPr>
                        <w:instrText xml:space="preserve"> SEQ Графикон \* ARABIC </w:instrText>
                      </w:r>
                      <w:r w:rsidRPr="00A47702">
                        <w:rPr>
                          <w:i w:val="0"/>
                          <w:iCs w:val="0"/>
                        </w:rPr>
                        <w:fldChar w:fldCharType="separate"/>
                      </w:r>
                      <w:r>
                        <w:rPr>
                          <w:i w:val="0"/>
                          <w:iCs w:val="0"/>
                          <w:noProof/>
                        </w:rPr>
                        <w:t>28</w:t>
                      </w:r>
                      <w:r w:rsidRPr="00A47702">
                        <w:rPr>
                          <w:i w:val="0"/>
                          <w:iCs w:val="0"/>
                        </w:rPr>
                        <w:fldChar w:fldCharType="end"/>
                      </w:r>
                      <w:r w:rsidRPr="00A47702">
                        <w:rPr>
                          <w:i w:val="0"/>
                          <w:iCs w:val="0"/>
                        </w:rPr>
                        <w:t xml:space="preserve"> Дрво проблема – Пружање услуга</w:t>
                      </w:r>
                      <w:bookmarkEnd w:id="188"/>
                    </w:p>
                  </w:txbxContent>
                </v:textbox>
                <w10:wrap anchorx="margin"/>
              </v:shape>
            </w:pict>
          </mc:Fallback>
        </mc:AlternateContent>
      </w:r>
      <w:r>
        <w:rPr>
          <w:rFonts w:ascii="Verdana" w:hAnsi="Verdana"/>
          <w:noProof/>
          <w:sz w:val="20"/>
          <w:lang w:val="en-US" w:eastAsia="en-US" w:bidi="ar-SA"/>
        </w:rPr>
        <mc:AlternateContent>
          <mc:Choice Requires="wpg">
            <w:drawing>
              <wp:anchor distT="0" distB="0" distL="114300" distR="114300" simplePos="0" relativeHeight="251990528" behindDoc="0" locked="0" layoutInCell="1" allowOverlap="1" wp14:anchorId="717F8E05" wp14:editId="47640686">
                <wp:simplePos x="0" y="0"/>
                <wp:positionH relativeFrom="column">
                  <wp:posOffset>895665</wp:posOffset>
                </wp:positionH>
                <wp:positionV relativeFrom="paragraph">
                  <wp:posOffset>4462239</wp:posOffset>
                </wp:positionV>
                <wp:extent cx="7325360" cy="3215357"/>
                <wp:effectExtent l="19050" t="19050" r="27940" b="23495"/>
                <wp:wrapNone/>
                <wp:docPr id="607" name="Group 607"/>
                <wp:cNvGraphicFramePr/>
                <a:graphic xmlns:a="http://schemas.openxmlformats.org/drawingml/2006/main">
                  <a:graphicData uri="http://schemas.microsoft.com/office/word/2010/wordprocessingGroup">
                    <wpg:wgp>
                      <wpg:cNvGrpSpPr/>
                      <wpg:grpSpPr>
                        <a:xfrm>
                          <a:off x="0" y="0"/>
                          <a:ext cx="7325360" cy="3215357"/>
                          <a:chOff x="0" y="0"/>
                          <a:chExt cx="7325360" cy="3333750"/>
                        </a:xfrm>
                      </wpg:grpSpPr>
                      <wps:wsp>
                        <wps:cNvPr id="210" name="Text Box 210"/>
                        <wps:cNvSpPr txBox="1"/>
                        <wps:spPr>
                          <a:xfrm>
                            <a:off x="3276600" y="0"/>
                            <a:ext cx="1341664" cy="68072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591FA02B" w14:textId="77777777" w:rsidR="00876FFE" w:rsidRPr="008412BD" w:rsidRDefault="00876FFE" w:rsidP="00E13963">
                              <w:pPr>
                                <w:spacing w:before="0" w:after="0"/>
                                <w:ind w:firstLine="0"/>
                                <w:jc w:val="center"/>
                                <w:rPr>
                                  <w:rFonts w:asciiTheme="minorHAnsi" w:hAnsiTheme="minorHAnsi" w:cstheme="minorHAnsi"/>
                                  <w:sz w:val="22"/>
                                  <w:szCs w:val="22"/>
                                </w:rPr>
                              </w:pPr>
                              <w:r w:rsidRPr="008412BD">
                                <w:rPr>
                                  <w:rFonts w:asciiTheme="minorHAnsi" w:hAnsiTheme="minorHAnsi" w:cstheme="minorHAnsi"/>
                                  <w:sz w:val="22"/>
                                  <w:szCs w:val="22"/>
                                </w:rPr>
                                <w:t>Недовољна ефикасност рада јавне управе</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5" name="Text Box 215"/>
                        <wps:cNvSpPr txBox="1"/>
                        <wps:spPr>
                          <a:xfrm>
                            <a:off x="0" y="2409825"/>
                            <a:ext cx="2124166" cy="902153"/>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2D5072CE" w14:textId="77777777" w:rsidR="00876FFE" w:rsidRPr="00E04F08" w:rsidRDefault="00876FFE" w:rsidP="00E13963">
                              <w:pPr>
                                <w:spacing w:before="0" w:after="0"/>
                                <w:jc w:val="center"/>
                                <w:rPr>
                                  <w:rFonts w:asciiTheme="minorHAnsi" w:hAnsiTheme="minorHAnsi" w:cstheme="minorHAnsi"/>
                                  <w:sz w:val="22"/>
                                  <w:szCs w:val="22"/>
                                </w:rPr>
                              </w:pPr>
                              <w:r w:rsidRPr="00E04F08">
                                <w:rPr>
                                  <w:rFonts w:asciiTheme="minorHAnsi" w:hAnsiTheme="minorHAnsi" w:cstheme="minorHAnsi"/>
                                  <w:sz w:val="22"/>
                                  <w:szCs w:val="22"/>
                                </w:rPr>
                                <w:t>Недовољан обухват и адекватност обука (директни пружаоци, техничка подршка, руководиоци)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2" name="Text Box 22"/>
                        <wps:cNvSpPr txBox="1"/>
                        <wps:spPr>
                          <a:xfrm>
                            <a:off x="5191125" y="2924175"/>
                            <a:ext cx="2134235" cy="387803"/>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025112DF" w14:textId="77777777" w:rsidR="00876FFE" w:rsidRPr="00431E97" w:rsidRDefault="00876FFE" w:rsidP="00E13963">
                              <w:pPr>
                                <w:spacing w:before="0" w:after="0"/>
                                <w:ind w:firstLine="0"/>
                                <w:jc w:val="center"/>
                                <w:rPr>
                                  <w:rFonts w:asciiTheme="minorHAnsi" w:hAnsiTheme="minorHAnsi" w:cstheme="minorHAnsi"/>
                                  <w:sz w:val="22"/>
                                  <w:szCs w:val="22"/>
                                </w:rPr>
                              </w:pPr>
                              <w:r w:rsidRPr="00431E97">
                                <w:rPr>
                                  <w:rFonts w:asciiTheme="minorHAnsi" w:hAnsiTheme="minorHAnsi" w:cstheme="minorHAnsi"/>
                                  <w:sz w:val="22"/>
                                  <w:szCs w:val="22"/>
                                </w:rPr>
                                <w:t>Неадекватан систем вредновања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2" name="Text Box 212"/>
                        <wps:cNvSpPr txBox="1"/>
                        <wps:spPr>
                          <a:xfrm>
                            <a:off x="3971925" y="1552575"/>
                            <a:ext cx="1173480" cy="67754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7B4D93CE" w14:textId="77777777" w:rsidR="00876FFE" w:rsidRPr="000B22C0" w:rsidRDefault="00876FFE" w:rsidP="00E13963">
                              <w:pPr>
                                <w:spacing w:before="0" w:after="0"/>
                                <w:ind w:firstLine="0"/>
                                <w:jc w:val="center"/>
                                <w:rPr>
                                  <w:rFonts w:asciiTheme="minorHAnsi" w:hAnsiTheme="minorHAnsi" w:cstheme="minorHAnsi"/>
                                  <w:sz w:val="22"/>
                                  <w:szCs w:val="22"/>
                                </w:rPr>
                              </w:pPr>
                              <w:r w:rsidRPr="000B22C0">
                                <w:rPr>
                                  <w:rFonts w:asciiTheme="minorHAnsi" w:hAnsiTheme="minorHAnsi" w:cstheme="minorHAnsi"/>
                                  <w:spacing w:val="-16"/>
                                  <w:sz w:val="22"/>
                                  <w:szCs w:val="22"/>
                                </w:rPr>
                                <w:t xml:space="preserve">Незадовољство </w:t>
                              </w:r>
                              <w:r w:rsidRPr="000B22C0">
                                <w:rPr>
                                  <w:rFonts w:asciiTheme="minorHAnsi" w:hAnsiTheme="minorHAnsi" w:cstheme="minorHAnsi"/>
                                  <w:sz w:val="22"/>
                                  <w:szCs w:val="22"/>
                                </w:rPr>
                                <w:t>службеника јавне управе</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9" name="Straight Arrow Connector 139"/>
                        <wps:cNvCnPr/>
                        <wps:spPr>
                          <a:xfrm flipV="1">
                            <a:off x="3238500" y="2276475"/>
                            <a:ext cx="0" cy="26225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40" name="Straight Arrow Connector 140"/>
                        <wps:cNvCnPr/>
                        <wps:spPr>
                          <a:xfrm flipV="1">
                            <a:off x="2066925" y="2200275"/>
                            <a:ext cx="282484" cy="272143"/>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41" name="Straight Arrow Connector 141"/>
                        <wps:cNvCnPr/>
                        <wps:spPr>
                          <a:xfrm flipV="1">
                            <a:off x="4495800" y="2238375"/>
                            <a:ext cx="0" cy="29464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42" name="Straight Arrow Connector 142"/>
                        <wps:cNvCnPr/>
                        <wps:spPr>
                          <a:xfrm flipH="1" flipV="1">
                            <a:off x="4743450" y="2209800"/>
                            <a:ext cx="461010" cy="83058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43" name="Straight Arrow Connector 143"/>
                        <wps:cNvCnPr/>
                        <wps:spPr>
                          <a:xfrm flipH="1" flipV="1">
                            <a:off x="4981575" y="2238375"/>
                            <a:ext cx="255814" cy="253092"/>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44" name="Straight Arrow Connector 144"/>
                        <wps:cNvCnPr/>
                        <wps:spPr>
                          <a:xfrm flipV="1">
                            <a:off x="3838575" y="2181225"/>
                            <a:ext cx="172539" cy="332014"/>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45" name="Straight Arrow Connector 145"/>
                        <wps:cNvCnPr/>
                        <wps:spPr>
                          <a:xfrm flipV="1">
                            <a:off x="3533775" y="685800"/>
                            <a:ext cx="0" cy="89979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46" name="Straight Arrow Connector 146"/>
                        <wps:cNvCnPr/>
                        <wps:spPr>
                          <a:xfrm flipV="1">
                            <a:off x="4333875" y="685800"/>
                            <a:ext cx="0" cy="25200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09" name="Straight Arrow Connector 209"/>
                        <wps:cNvCnPr/>
                        <wps:spPr>
                          <a:xfrm flipV="1">
                            <a:off x="4333875" y="1295400"/>
                            <a:ext cx="0" cy="28765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17" name="Text Box 217"/>
                        <wps:cNvSpPr txBox="1"/>
                        <wps:spPr>
                          <a:xfrm>
                            <a:off x="3752850" y="828675"/>
                            <a:ext cx="1004570" cy="45720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6A2C38C7" w14:textId="77777777" w:rsidR="00876FFE" w:rsidRPr="002F2D6C" w:rsidRDefault="00876FFE" w:rsidP="00E13963">
                              <w:pPr>
                                <w:spacing w:before="0" w:after="0"/>
                                <w:ind w:firstLine="0"/>
                                <w:jc w:val="center"/>
                                <w:rPr>
                                  <w:rFonts w:ascii="Verdana" w:hAnsi="Verdana"/>
                                  <w:spacing w:val="-4"/>
                                  <w:sz w:val="18"/>
                                  <w:szCs w:val="21"/>
                                </w:rPr>
                              </w:pPr>
                              <w:r w:rsidRPr="002F2D6C">
                                <w:rPr>
                                  <w:rFonts w:ascii="Verdana" w:hAnsi="Verdana"/>
                                  <w:spacing w:val="-4"/>
                                  <w:sz w:val="18"/>
                                  <w:szCs w:val="21"/>
                                </w:rPr>
                                <w:t>Ниска мотивација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3" name="Text Box 213"/>
                        <wps:cNvSpPr txBox="1"/>
                        <wps:spPr>
                          <a:xfrm>
                            <a:off x="2247900" y="2495550"/>
                            <a:ext cx="1658620" cy="83820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3D8B0D46" w14:textId="77777777" w:rsidR="00876FFE" w:rsidRPr="00E04F08" w:rsidRDefault="00876FFE" w:rsidP="00E13963">
                              <w:pPr>
                                <w:spacing w:before="0" w:after="0"/>
                                <w:jc w:val="center"/>
                                <w:rPr>
                                  <w:rFonts w:asciiTheme="minorHAnsi" w:hAnsiTheme="minorHAnsi" w:cstheme="minorHAnsi"/>
                                  <w:sz w:val="22"/>
                                  <w:szCs w:val="22"/>
                                </w:rPr>
                              </w:pPr>
                              <w:r w:rsidRPr="00E04F08">
                                <w:rPr>
                                  <w:rFonts w:asciiTheme="minorHAnsi" w:hAnsiTheme="minorHAnsi" w:cstheme="minorHAnsi"/>
                                  <w:sz w:val="22"/>
                                  <w:szCs w:val="22"/>
                                </w:rPr>
                                <w:t>Недовољан број запослених у јавној управи на пословима пружања услуга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6" name="Text Box 216"/>
                        <wps:cNvSpPr txBox="1"/>
                        <wps:spPr>
                          <a:xfrm>
                            <a:off x="2314575" y="1428750"/>
                            <a:ext cx="1544320" cy="85407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1A890E40" w14:textId="77777777" w:rsidR="00876FFE" w:rsidRPr="000B22C0" w:rsidRDefault="00876FFE" w:rsidP="00E13963">
                              <w:pPr>
                                <w:spacing w:before="0" w:after="0"/>
                                <w:ind w:firstLine="0"/>
                                <w:jc w:val="center"/>
                                <w:rPr>
                                  <w:rFonts w:asciiTheme="minorHAnsi" w:hAnsiTheme="minorHAnsi" w:cstheme="minorHAnsi"/>
                                  <w:sz w:val="22"/>
                                  <w:szCs w:val="22"/>
                                </w:rPr>
                              </w:pPr>
                              <w:r w:rsidRPr="000B22C0">
                                <w:rPr>
                                  <w:rFonts w:asciiTheme="minorHAnsi" w:hAnsiTheme="minorHAnsi" w:cstheme="minorHAnsi"/>
                                  <w:sz w:val="22"/>
                                  <w:szCs w:val="22"/>
                                </w:rPr>
                                <w:t>Недовољно развијени људски капацитети за пружање услуга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4" name="Text Box 214"/>
                        <wps:cNvSpPr txBox="1"/>
                        <wps:spPr>
                          <a:xfrm>
                            <a:off x="5172075" y="2438400"/>
                            <a:ext cx="2129790" cy="42291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16F45C3C" w14:textId="77777777" w:rsidR="00876FFE" w:rsidRPr="00EA0812" w:rsidRDefault="00876FFE" w:rsidP="00E13963">
                              <w:pPr>
                                <w:spacing w:before="0" w:after="0"/>
                                <w:ind w:firstLine="0"/>
                                <w:jc w:val="center"/>
                                <w:rPr>
                                  <w:rFonts w:asciiTheme="minorHAnsi" w:hAnsiTheme="minorHAnsi" w:cstheme="minorHAnsi"/>
                                  <w:sz w:val="22"/>
                                  <w:szCs w:val="22"/>
                                </w:rPr>
                              </w:pPr>
                              <w:r w:rsidRPr="00EA0812">
                                <w:rPr>
                                  <w:rFonts w:asciiTheme="minorHAnsi" w:hAnsiTheme="minorHAnsi" w:cstheme="minorHAnsi"/>
                                  <w:sz w:val="22"/>
                                  <w:szCs w:val="22"/>
                                </w:rPr>
                                <w:t>Недовољно добар имиџ јавне управе</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7" name="Text Box 267"/>
                        <wps:cNvSpPr txBox="1"/>
                        <wps:spPr>
                          <a:xfrm>
                            <a:off x="4010025" y="2476500"/>
                            <a:ext cx="975360" cy="45720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37831901" w14:textId="77777777" w:rsidR="00876FFE" w:rsidRPr="00EA0812" w:rsidRDefault="00876FFE" w:rsidP="00E13963">
                              <w:pPr>
                                <w:spacing w:before="0" w:after="0"/>
                                <w:ind w:firstLine="0"/>
                                <w:jc w:val="center"/>
                                <w:rPr>
                                  <w:rFonts w:asciiTheme="minorHAnsi" w:hAnsiTheme="minorHAnsi" w:cstheme="minorHAnsi"/>
                                  <w:sz w:val="22"/>
                                  <w:szCs w:val="22"/>
                                </w:rPr>
                              </w:pPr>
                              <w:r w:rsidRPr="00EA0812">
                                <w:rPr>
                                  <w:rFonts w:asciiTheme="minorHAnsi" w:hAnsiTheme="minorHAnsi" w:cstheme="minorHAnsi"/>
                                  <w:sz w:val="22"/>
                                  <w:szCs w:val="22"/>
                                </w:rPr>
                                <w:t>Висина зарада</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7F8E05" id="Group 607" o:spid="_x0000_s1159" style="position:absolute;left:0;text-align:left;margin-left:70.5pt;margin-top:351.35pt;width:576.8pt;height:253.2pt;z-index:251990528;mso-height-relative:margin" coordsize="73253,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">
                <v:roundrect id="Text Box 210" o:spid="_x0000_s1160" style="position:absolute;left:32766;width:13416;height:6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" fillcolor="window" strokecolor="#deeaf6 [664]" strokeweight="2.25pt">
                  <v:stroke joinstyle="miter"/>
                  <v:textbox inset="1mm,1mm,1mm,1mm">
                    <w:txbxContent>
                      <w:p w14:paraId="591FA02B" w14:textId="77777777" w:rsidR="00876FFE" w:rsidRPr="008412BD" w:rsidRDefault="00876FFE" w:rsidP="00E13963">
                        <w:pPr>
                          <w:spacing w:before="0" w:after="0"/>
                          <w:ind w:firstLine="0"/>
                          <w:jc w:val="center"/>
                          <w:rPr>
                            <w:rFonts w:asciiTheme="minorHAnsi" w:hAnsiTheme="minorHAnsi" w:cstheme="minorHAnsi"/>
                            <w:sz w:val="22"/>
                            <w:szCs w:val="22"/>
                          </w:rPr>
                        </w:pPr>
                        <w:r w:rsidRPr="008412BD">
                          <w:rPr>
                            <w:rFonts w:asciiTheme="minorHAnsi" w:hAnsiTheme="minorHAnsi" w:cstheme="minorHAnsi"/>
                            <w:sz w:val="22"/>
                            <w:szCs w:val="22"/>
                          </w:rPr>
                          <w:t>Недовољна ефикасност рада јавне управе</w:t>
                        </w:r>
                      </w:p>
                    </w:txbxContent>
                  </v:textbox>
                </v:roundrect>
                <v:roundrect id="Text Box 215" o:spid="_x0000_s1161" style="position:absolute;top:24098;width:21241;height:9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" fillcolor="window" strokecolor="#deeaf6 [664]" strokeweight="2.25pt">
                  <v:stroke joinstyle="miter"/>
                  <v:textbox inset="1mm,1mm,1mm,1mm">
                    <w:txbxContent>
                      <w:p w14:paraId="2D5072CE" w14:textId="77777777" w:rsidR="00876FFE" w:rsidRPr="00E04F08" w:rsidRDefault="00876FFE" w:rsidP="00E13963">
                        <w:pPr>
                          <w:spacing w:before="0" w:after="0"/>
                          <w:jc w:val="center"/>
                          <w:rPr>
                            <w:rFonts w:asciiTheme="minorHAnsi" w:hAnsiTheme="minorHAnsi" w:cstheme="minorHAnsi"/>
                            <w:sz w:val="22"/>
                            <w:szCs w:val="22"/>
                          </w:rPr>
                        </w:pPr>
                        <w:r w:rsidRPr="00E04F08">
                          <w:rPr>
                            <w:rFonts w:asciiTheme="minorHAnsi" w:hAnsiTheme="minorHAnsi" w:cstheme="minorHAnsi"/>
                            <w:sz w:val="22"/>
                            <w:szCs w:val="22"/>
                          </w:rPr>
                          <w:t xml:space="preserve">Недовољан </w:t>
                        </w:r>
                        <w:r w:rsidRPr="00E04F08">
                          <w:rPr>
                            <w:rFonts w:asciiTheme="minorHAnsi" w:hAnsiTheme="minorHAnsi" w:cstheme="minorHAnsi"/>
                            <w:sz w:val="22"/>
                            <w:szCs w:val="22"/>
                          </w:rPr>
                          <w:t>обухват и адекватност обука (директни пружаоци, техничка подршка, руководиоци)</w:t>
                        </w:r>
                      </w:p>
                    </w:txbxContent>
                  </v:textbox>
                </v:roundrect>
                <v:roundrect id="Text Box 22" o:spid="_x0000_s1162" style="position:absolute;left:51911;top:29241;width:21342;height:38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" fillcolor="window" strokecolor="#deeaf6 [664]" strokeweight="2.25pt">
                  <v:stroke joinstyle="miter"/>
                  <v:textbox inset="1mm,0,1mm,0">
                    <w:txbxContent>
                      <w:p w14:paraId="025112DF" w14:textId="77777777" w:rsidR="00876FFE" w:rsidRPr="00431E97" w:rsidRDefault="00876FFE" w:rsidP="00E13963">
                        <w:pPr>
                          <w:spacing w:before="0" w:after="0"/>
                          <w:ind w:firstLine="0"/>
                          <w:jc w:val="center"/>
                          <w:rPr>
                            <w:rFonts w:asciiTheme="minorHAnsi" w:hAnsiTheme="minorHAnsi" w:cstheme="minorHAnsi"/>
                            <w:sz w:val="22"/>
                            <w:szCs w:val="22"/>
                          </w:rPr>
                        </w:pPr>
                        <w:r w:rsidRPr="00431E97">
                          <w:rPr>
                            <w:rFonts w:asciiTheme="minorHAnsi" w:hAnsiTheme="minorHAnsi" w:cstheme="minorHAnsi"/>
                            <w:sz w:val="22"/>
                            <w:szCs w:val="22"/>
                          </w:rPr>
                          <w:t xml:space="preserve">Неадекватан </w:t>
                        </w:r>
                        <w:r w:rsidRPr="00431E97">
                          <w:rPr>
                            <w:rFonts w:asciiTheme="minorHAnsi" w:hAnsiTheme="minorHAnsi" w:cstheme="minorHAnsi"/>
                            <w:sz w:val="22"/>
                            <w:szCs w:val="22"/>
                          </w:rPr>
                          <w:t>систем вредновања</w:t>
                        </w:r>
                      </w:p>
                    </w:txbxContent>
                  </v:textbox>
                </v:roundrect>
                <v:roundrect id="Text Box 212" o:spid="_x0000_s1163" style="position:absolute;left:39719;top:15525;width:11735;height:6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" fillcolor="window" strokecolor="#deeaf6 [664]" strokeweight="2.25pt">
                  <v:stroke joinstyle="miter"/>
                  <v:textbox inset="1mm,1mm,1mm,1mm">
                    <w:txbxContent>
                      <w:p w14:paraId="7B4D93CE" w14:textId="77777777" w:rsidR="00876FFE" w:rsidRPr="000B22C0" w:rsidRDefault="00876FFE" w:rsidP="00E13963">
                        <w:pPr>
                          <w:spacing w:before="0" w:after="0"/>
                          <w:ind w:firstLine="0"/>
                          <w:jc w:val="center"/>
                          <w:rPr>
                            <w:rFonts w:asciiTheme="minorHAnsi" w:hAnsiTheme="minorHAnsi" w:cstheme="minorHAnsi"/>
                            <w:sz w:val="22"/>
                            <w:szCs w:val="22"/>
                          </w:rPr>
                        </w:pPr>
                        <w:r w:rsidRPr="000B22C0">
                          <w:rPr>
                            <w:rFonts w:asciiTheme="minorHAnsi" w:hAnsiTheme="minorHAnsi" w:cstheme="minorHAnsi"/>
                            <w:spacing w:val="-16"/>
                            <w:sz w:val="22"/>
                            <w:szCs w:val="22"/>
                          </w:rPr>
                          <w:t xml:space="preserve">Незадовољство </w:t>
                        </w:r>
                        <w:r w:rsidRPr="000B22C0">
                          <w:rPr>
                            <w:rFonts w:asciiTheme="minorHAnsi" w:hAnsiTheme="minorHAnsi" w:cstheme="minorHAnsi"/>
                            <w:sz w:val="22"/>
                            <w:szCs w:val="22"/>
                          </w:rPr>
                          <w:t>службеника јавне управе</w:t>
                        </w:r>
                      </w:p>
                    </w:txbxContent>
                  </v:textbox>
                </v:roundrect>
                <v:shape id="Straight Arrow Connector 139" o:spid="_x0000_s1164" type="#_x0000_t32" style="position:absolute;left:32385;top:22764;width:0;height:26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" strokecolor="#bdd6ee [1304]" strokeweight="1.5pt">
                  <v:stroke endarrow="block" joinstyle="miter"/>
                </v:shape>
                <v:shape id="Straight Arrow Connector 140" o:spid="_x0000_s1165" type="#_x0000_t32" style="position:absolute;left:20669;top:22002;width:2825;height:27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" strokecolor="#bdd6ee [1304]" strokeweight="1.5pt">
                  <v:stroke endarrow="block" joinstyle="miter"/>
                </v:shape>
                <v:shape id="Straight Arrow Connector 141" o:spid="_x0000_s1166" type="#_x0000_t32" style="position:absolute;left:44958;top:22383;width:0;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" strokecolor="#bdd6ee [1304]" strokeweight="1.5pt">
                  <v:stroke endarrow="block" joinstyle="miter"/>
                </v:shape>
                <v:shape id="Straight Arrow Connector 142" o:spid="_x0000_s1167" type="#_x0000_t32" style="position:absolute;left:47434;top:22098;width:4610;height:83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" strokecolor="#bdd6ee [1304]" strokeweight="1.5pt">
                  <v:stroke endarrow="block" joinstyle="miter"/>
                </v:shape>
                <v:shape id="Straight Arrow Connector 143" o:spid="_x0000_s1168" type="#_x0000_t32" style="position:absolute;left:49815;top:22383;width:2558;height:25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" strokecolor="#bdd6ee [1304]" strokeweight="1.5pt">
                  <v:stroke endarrow="block" joinstyle="miter"/>
                </v:shape>
                <v:shape id="Straight Arrow Connector 144" o:spid="_x0000_s1169" type="#_x0000_t32" style="position:absolute;left:38385;top:21812;width:1726;height:3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" strokecolor="#bdd6ee [1304]" strokeweight="1.5pt">
                  <v:stroke endarrow="block" joinstyle="miter"/>
                </v:shape>
                <v:shape id="Straight Arrow Connector 145" o:spid="_x0000_s1170" type="#_x0000_t32" style="position:absolute;left:35337;top:6858;width:0;height:89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" strokecolor="#bdd6ee [1304]" strokeweight="1.5pt">
                  <v:stroke endarrow="block" joinstyle="miter"/>
                </v:shape>
                <v:shape id="Straight Arrow Connector 146" o:spid="_x0000_s1171" type="#_x0000_t32" style="position:absolute;left:43338;top:6858;width:0;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" strokecolor="#bdd6ee [1304]" strokeweight="1.5pt">
                  <v:stroke endarrow="block" joinstyle="miter"/>
                </v:shape>
                <v:shape id="Straight Arrow Connector 209" o:spid="_x0000_s1172" type="#_x0000_t32" style="position:absolute;left:43338;top:12954;width:0;height:28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" strokecolor="#bdd6ee [1304]" strokeweight="1.5pt">
                  <v:stroke endarrow="block" joinstyle="miter"/>
                </v:shape>
                <v:roundrect id="Text Box 217" o:spid="_x0000_s1173" style="position:absolute;left:37528;top:8286;width:10046;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" fillcolor="window" strokecolor="#deeaf6 [664]" strokeweight="2.25pt">
                  <v:stroke joinstyle="miter"/>
                  <v:textbox inset="1mm,1mm,1mm,1mm">
                    <w:txbxContent>
                      <w:p w14:paraId="6A2C38C7" w14:textId="77777777" w:rsidR="00876FFE" w:rsidRPr="002F2D6C" w:rsidRDefault="00876FFE" w:rsidP="00E13963">
                        <w:pPr>
                          <w:spacing w:before="0" w:after="0"/>
                          <w:ind w:firstLine="0"/>
                          <w:jc w:val="center"/>
                          <w:rPr>
                            <w:rFonts w:ascii="Verdana" w:hAnsi="Verdana"/>
                            <w:spacing w:val="-4"/>
                            <w:sz w:val="18"/>
                            <w:szCs w:val="21"/>
                          </w:rPr>
                        </w:pPr>
                        <w:r w:rsidRPr="002F2D6C">
                          <w:rPr>
                            <w:rFonts w:ascii="Verdana" w:hAnsi="Verdana"/>
                            <w:spacing w:val="-4"/>
                            <w:sz w:val="18"/>
                            <w:szCs w:val="21"/>
                          </w:rPr>
                          <w:t xml:space="preserve">Ниска </w:t>
                        </w:r>
                        <w:r w:rsidRPr="002F2D6C">
                          <w:rPr>
                            <w:rFonts w:ascii="Verdana" w:hAnsi="Verdana"/>
                            <w:spacing w:val="-4"/>
                            <w:sz w:val="18"/>
                            <w:szCs w:val="21"/>
                          </w:rPr>
                          <w:t>мотивација</w:t>
                        </w:r>
                      </w:p>
                    </w:txbxContent>
                  </v:textbox>
                </v:roundrect>
                <v:roundrect id="Text Box 213" o:spid="_x0000_s1174" style="position:absolute;left:22479;top:24955;width:16586;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" fillcolor="window" strokecolor="#deeaf6 [664]" strokeweight="2.25pt">
                  <v:stroke joinstyle="miter"/>
                  <v:textbox inset="1mm,1mm,1mm,1mm">
                    <w:txbxContent>
                      <w:p w14:paraId="3D8B0D46" w14:textId="77777777" w:rsidR="00876FFE" w:rsidRPr="00E04F08" w:rsidRDefault="00876FFE" w:rsidP="00E13963">
                        <w:pPr>
                          <w:spacing w:before="0" w:after="0"/>
                          <w:jc w:val="center"/>
                          <w:rPr>
                            <w:rFonts w:asciiTheme="minorHAnsi" w:hAnsiTheme="minorHAnsi" w:cstheme="minorHAnsi"/>
                            <w:sz w:val="22"/>
                            <w:szCs w:val="22"/>
                          </w:rPr>
                        </w:pPr>
                        <w:r w:rsidRPr="00E04F08">
                          <w:rPr>
                            <w:rFonts w:asciiTheme="minorHAnsi" w:hAnsiTheme="minorHAnsi" w:cstheme="minorHAnsi"/>
                            <w:sz w:val="22"/>
                            <w:szCs w:val="22"/>
                          </w:rPr>
                          <w:t xml:space="preserve">Недовољан </w:t>
                        </w:r>
                        <w:r w:rsidRPr="00E04F08">
                          <w:rPr>
                            <w:rFonts w:asciiTheme="minorHAnsi" w:hAnsiTheme="minorHAnsi" w:cstheme="minorHAnsi"/>
                            <w:sz w:val="22"/>
                            <w:szCs w:val="22"/>
                          </w:rPr>
                          <w:t>број запослених у јавној управи на пословима пружања услуга</w:t>
                        </w:r>
                      </w:p>
                    </w:txbxContent>
                  </v:textbox>
                </v:roundrect>
                <v:roundrect id="Text Box 216" o:spid="_x0000_s1175" style="position:absolute;left:23145;top:14287;width:15443;height:8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" fillcolor="window" strokecolor="#deeaf6 [664]" strokeweight="2.25pt">
                  <v:stroke joinstyle="miter"/>
                  <v:textbox inset="1mm,1mm,1mm,1mm">
                    <w:txbxContent>
                      <w:p w14:paraId="1A890E40" w14:textId="77777777" w:rsidR="00876FFE" w:rsidRPr="000B22C0" w:rsidRDefault="00876FFE" w:rsidP="00E13963">
                        <w:pPr>
                          <w:spacing w:before="0" w:after="0"/>
                          <w:ind w:firstLine="0"/>
                          <w:jc w:val="center"/>
                          <w:rPr>
                            <w:rFonts w:asciiTheme="minorHAnsi" w:hAnsiTheme="minorHAnsi" w:cstheme="minorHAnsi"/>
                            <w:sz w:val="22"/>
                            <w:szCs w:val="22"/>
                          </w:rPr>
                        </w:pPr>
                        <w:r w:rsidRPr="000B22C0">
                          <w:rPr>
                            <w:rFonts w:asciiTheme="minorHAnsi" w:hAnsiTheme="minorHAnsi" w:cstheme="minorHAnsi"/>
                            <w:sz w:val="22"/>
                            <w:szCs w:val="22"/>
                          </w:rPr>
                          <w:t xml:space="preserve">Недовољно </w:t>
                        </w:r>
                        <w:r w:rsidRPr="000B22C0">
                          <w:rPr>
                            <w:rFonts w:asciiTheme="minorHAnsi" w:hAnsiTheme="minorHAnsi" w:cstheme="minorHAnsi"/>
                            <w:sz w:val="22"/>
                            <w:szCs w:val="22"/>
                          </w:rPr>
                          <w:t>развијени људски капацитети за пружање услуга</w:t>
                        </w:r>
                      </w:p>
                    </w:txbxContent>
                  </v:textbox>
                </v:roundrect>
                <v:roundrect id="Text Box 214" o:spid="_x0000_s1176" style="position:absolute;left:51720;top:24384;width:21298;height:4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" fillcolor="window" strokecolor="#deeaf6 [664]" strokeweight="2.25pt">
                  <v:stroke joinstyle="miter"/>
                  <v:textbox inset="1mm,0,1mm,0">
                    <w:txbxContent>
                      <w:p w14:paraId="16F45C3C" w14:textId="77777777" w:rsidR="00876FFE" w:rsidRPr="00EA0812" w:rsidRDefault="00876FFE" w:rsidP="00E13963">
                        <w:pPr>
                          <w:spacing w:before="0" w:after="0"/>
                          <w:ind w:firstLine="0"/>
                          <w:jc w:val="center"/>
                          <w:rPr>
                            <w:rFonts w:asciiTheme="minorHAnsi" w:hAnsiTheme="minorHAnsi" w:cstheme="minorHAnsi"/>
                            <w:sz w:val="22"/>
                            <w:szCs w:val="22"/>
                          </w:rPr>
                        </w:pPr>
                        <w:r w:rsidRPr="00EA0812">
                          <w:rPr>
                            <w:rFonts w:asciiTheme="minorHAnsi" w:hAnsiTheme="minorHAnsi" w:cstheme="minorHAnsi"/>
                            <w:sz w:val="22"/>
                            <w:szCs w:val="22"/>
                          </w:rPr>
                          <w:t xml:space="preserve">Недовољно </w:t>
                        </w:r>
                        <w:r w:rsidRPr="00EA0812">
                          <w:rPr>
                            <w:rFonts w:asciiTheme="minorHAnsi" w:hAnsiTheme="minorHAnsi" w:cstheme="minorHAnsi"/>
                            <w:sz w:val="22"/>
                            <w:szCs w:val="22"/>
                          </w:rPr>
                          <w:t>добар имиџ јавне управе</w:t>
                        </w:r>
                      </w:p>
                    </w:txbxContent>
                  </v:textbox>
                </v:roundrect>
                <v:roundrect id="Text Box 267" o:spid="_x0000_s1177" style="position:absolute;left:40100;top:24765;width:975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" fillcolor="window" strokecolor="#deeaf6 [664]" strokeweight="2.25pt">
                  <v:stroke joinstyle="miter"/>
                  <v:textbox inset="1mm,0,1mm,1mm">
                    <w:txbxContent>
                      <w:p w14:paraId="37831901" w14:textId="77777777" w:rsidR="00876FFE" w:rsidRPr="00EA0812" w:rsidRDefault="00876FFE" w:rsidP="00E13963">
                        <w:pPr>
                          <w:spacing w:before="0" w:after="0"/>
                          <w:ind w:firstLine="0"/>
                          <w:jc w:val="center"/>
                          <w:rPr>
                            <w:rFonts w:asciiTheme="minorHAnsi" w:hAnsiTheme="minorHAnsi" w:cstheme="minorHAnsi"/>
                            <w:sz w:val="22"/>
                            <w:szCs w:val="22"/>
                          </w:rPr>
                        </w:pPr>
                        <w:r w:rsidRPr="00EA0812">
                          <w:rPr>
                            <w:rFonts w:asciiTheme="minorHAnsi" w:hAnsiTheme="minorHAnsi" w:cstheme="minorHAnsi"/>
                            <w:sz w:val="22"/>
                            <w:szCs w:val="22"/>
                          </w:rPr>
                          <w:t>Висина зарада</w:t>
                        </w:r>
                      </w:p>
                    </w:txbxContent>
                  </v:textbox>
                </v:roundrect>
              </v:group>
            </w:pict>
          </mc:Fallback>
        </mc:AlternateContent>
      </w:r>
      <w:r w:rsidR="0050180D" w:rsidRPr="000F0299">
        <w:rPr>
          <w:rFonts w:ascii="Verdana" w:hAnsi="Verdana"/>
          <w:noProof/>
          <w:sz w:val="20"/>
          <w:lang w:val="en-US" w:eastAsia="en-US" w:bidi="ar-SA"/>
        </w:rPr>
        <mc:AlternateContent>
          <mc:Choice Requires="wpg">
            <w:drawing>
              <wp:anchor distT="0" distB="0" distL="114300" distR="114300" simplePos="0" relativeHeight="251486720" behindDoc="0" locked="0" layoutInCell="1" allowOverlap="1" wp14:anchorId="485F313E" wp14:editId="635B1ACB">
                <wp:simplePos x="0" y="0"/>
                <wp:positionH relativeFrom="column">
                  <wp:posOffset>6111240</wp:posOffset>
                </wp:positionH>
                <wp:positionV relativeFrom="paragraph">
                  <wp:posOffset>4507865</wp:posOffset>
                </wp:positionV>
                <wp:extent cx="7769860" cy="2931795"/>
                <wp:effectExtent l="19050" t="19050" r="21590" b="20955"/>
                <wp:wrapNone/>
                <wp:docPr id="608" name="Group 608"/>
                <wp:cNvGraphicFramePr/>
                <a:graphic xmlns:a="http://schemas.openxmlformats.org/drawingml/2006/main">
                  <a:graphicData uri="http://schemas.microsoft.com/office/word/2010/wordprocessingGroup">
                    <wpg:wgp>
                      <wpg:cNvGrpSpPr/>
                      <wpg:grpSpPr>
                        <a:xfrm>
                          <a:off x="0" y="0"/>
                          <a:ext cx="7769860" cy="2931795"/>
                          <a:chOff x="0" y="0"/>
                          <a:chExt cx="7769860" cy="2931795"/>
                        </a:xfrm>
                      </wpg:grpSpPr>
                      <wps:wsp>
                        <wps:cNvPr id="268" name="Text Box 268"/>
                        <wps:cNvSpPr txBox="1"/>
                        <wps:spPr>
                          <a:xfrm>
                            <a:off x="1228725" y="0"/>
                            <a:ext cx="1676400" cy="116014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003CAD89" w14:textId="55294359" w:rsidR="00876FFE" w:rsidRPr="008412BD" w:rsidRDefault="00876FFE" w:rsidP="00E13963">
                              <w:pPr>
                                <w:spacing w:before="0" w:after="0" w:line="216" w:lineRule="auto"/>
                                <w:ind w:firstLine="0"/>
                                <w:jc w:val="center"/>
                                <w:rPr>
                                  <w:rFonts w:asciiTheme="minorHAnsi" w:hAnsiTheme="minorHAnsi" w:cstheme="minorHAnsi"/>
                                  <w:sz w:val="22"/>
                                  <w:szCs w:val="22"/>
                                </w:rPr>
                              </w:pPr>
                              <w:r w:rsidRPr="008412BD">
                                <w:rPr>
                                  <w:rFonts w:asciiTheme="minorHAnsi" w:hAnsiTheme="minorHAnsi" w:cstheme="minorHAnsi"/>
                                  <w:spacing w:val="-16"/>
                                  <w:sz w:val="22"/>
                                  <w:szCs w:val="22"/>
                                </w:rPr>
                                <w:t>Недовољно развијена</w:t>
                              </w:r>
                              <w:r w:rsidRPr="008412BD">
                                <w:rPr>
                                  <w:rFonts w:asciiTheme="minorHAnsi" w:hAnsiTheme="minorHAnsi" w:cstheme="minorHAnsi"/>
                                  <w:sz w:val="22"/>
                                  <w:szCs w:val="22"/>
                                </w:rPr>
                                <w:t xml:space="preserve"> инфраструктура за пружање услуга, </w:t>
                              </w:r>
                              <w:r w:rsidRPr="008412BD">
                                <w:rPr>
                                  <w:rFonts w:asciiTheme="minorHAnsi" w:hAnsiTheme="minorHAnsi" w:cstheme="minorHAnsi"/>
                                  <w:sz w:val="22"/>
                                  <w:szCs w:val="22"/>
                                </w:rPr>
                                <w:br/>
                                <w:t xml:space="preserve">и </w:t>
                              </w:r>
                              <w:r>
                                <w:rPr>
                                  <w:rFonts w:asciiTheme="minorHAnsi" w:hAnsiTheme="minorHAnsi" w:cstheme="minorHAnsi"/>
                                  <w:sz w:val="22"/>
                                  <w:szCs w:val="22"/>
                                </w:rPr>
                                <w:t>комуникацију у оквиру система државне управе</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54" name="Straight Arrow Connector 254"/>
                        <wps:cNvCnPr/>
                        <wps:spPr>
                          <a:xfrm flipV="1">
                            <a:off x="1114425" y="1104900"/>
                            <a:ext cx="203835" cy="39878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05" name="Straight Arrow Connector 205"/>
                        <wps:cNvCnPr/>
                        <wps:spPr>
                          <a:xfrm flipH="1" flipV="1">
                            <a:off x="2305050" y="1171575"/>
                            <a:ext cx="0" cy="126238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04" name="Straight Arrow Connector 204"/>
                        <wps:cNvCnPr/>
                        <wps:spPr>
                          <a:xfrm flipH="1" flipV="1">
                            <a:off x="1924050" y="1162050"/>
                            <a:ext cx="0" cy="25200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06" name="Straight Arrow Connector 206"/>
                        <wps:cNvCnPr/>
                        <wps:spPr>
                          <a:xfrm flipH="1" flipV="1">
                            <a:off x="2886075" y="1085850"/>
                            <a:ext cx="727619" cy="402409"/>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63" name="Straight Connector 263"/>
                        <wps:cNvCnPr/>
                        <wps:spPr>
                          <a:xfrm>
                            <a:off x="1495425" y="1971675"/>
                            <a:ext cx="6274435" cy="0"/>
                          </a:xfrm>
                          <a:prstGeom prst="line">
                            <a:avLst/>
                          </a:prstGeom>
                          <a:noFill/>
                          <a:ln w="19050" cap="flat" cmpd="sng" algn="ctr">
                            <a:solidFill>
                              <a:schemeClr val="accent5">
                                <a:lumMod val="40000"/>
                                <a:lumOff val="60000"/>
                              </a:schemeClr>
                            </a:solidFill>
                            <a:prstDash val="solid"/>
                            <a:miter lim="800000"/>
                            <a:tailEnd type="triangle"/>
                          </a:ln>
                          <a:effectLst/>
                        </wps:spPr>
                        <wps:bodyPr/>
                      </wps:wsp>
                      <wps:wsp>
                        <wps:cNvPr id="203" name="Text Box 203"/>
                        <wps:cNvSpPr txBox="1"/>
                        <wps:spPr>
                          <a:xfrm>
                            <a:off x="0" y="1409700"/>
                            <a:ext cx="1679122" cy="873578"/>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32DA12F9" w14:textId="56FBAC6D" w:rsidR="00876FFE" w:rsidRPr="000B22C0" w:rsidRDefault="00876FFE" w:rsidP="00E13963">
                              <w:pPr>
                                <w:spacing w:before="0" w:after="0"/>
                                <w:ind w:firstLine="0"/>
                                <w:jc w:val="center"/>
                                <w:rPr>
                                  <w:rFonts w:asciiTheme="minorHAnsi" w:hAnsiTheme="minorHAnsi" w:cstheme="minorHAnsi"/>
                                  <w:sz w:val="22"/>
                                  <w:szCs w:val="22"/>
                                </w:rPr>
                              </w:pPr>
                              <w:r w:rsidRPr="000B22C0">
                                <w:rPr>
                                  <w:rFonts w:asciiTheme="minorHAnsi" w:hAnsiTheme="minorHAnsi" w:cstheme="minorHAnsi"/>
                                  <w:sz w:val="22"/>
                                  <w:szCs w:val="22"/>
                                </w:rPr>
                                <w:t xml:space="preserve">Недовољна техничка опремљеност </w:t>
                              </w:r>
                              <w:r>
                                <w:rPr>
                                  <w:rFonts w:asciiTheme="minorHAnsi" w:hAnsiTheme="minorHAnsi" w:cstheme="minorHAnsi"/>
                                  <w:sz w:val="22"/>
                                  <w:szCs w:val="22"/>
                                </w:rPr>
                                <w:t>органа државне управ</w:t>
                              </w:r>
                              <w:r w:rsidRPr="000B22C0">
                                <w:rPr>
                                  <w:rFonts w:asciiTheme="minorHAnsi" w:hAnsiTheme="minorHAnsi" w:cstheme="minorHAnsi"/>
                                  <w:sz w:val="22"/>
                                  <w:szCs w:val="22"/>
                                </w:rPr>
                                <w:t xml:space="preserve"> </w:t>
                              </w:r>
                              <w:r w:rsidRPr="000B22C0">
                                <w:rPr>
                                  <w:rFonts w:asciiTheme="minorHAnsi" w:hAnsiTheme="minorHAnsi" w:cstheme="minorHAnsi"/>
                                  <w:spacing w:val="-12"/>
                                  <w:sz w:val="22"/>
                                  <w:szCs w:val="22"/>
                                </w:rPr>
                                <w:t>за пружање услуга</w:t>
                              </w:r>
                              <w:r w:rsidRPr="000B22C0">
                                <w:rPr>
                                  <w:rFonts w:asciiTheme="minorHAnsi" w:hAnsiTheme="minorHAnsi" w:cstheme="minorHAnsi"/>
                                  <w:sz w:val="22"/>
                                  <w:szCs w:val="22"/>
                                </w:rPr>
                                <w:t xml:space="preserve"> </w:t>
                              </w:r>
                              <w:r w:rsidRPr="000B22C0">
                                <w:rPr>
                                  <w:rFonts w:asciiTheme="minorHAnsi" w:hAnsiTheme="minorHAnsi" w:cstheme="minorHAnsi"/>
                                  <w:spacing w:val="-14"/>
                                  <w:sz w:val="22"/>
                                  <w:szCs w:val="22"/>
                                </w:rPr>
                                <w:t>(рачунарска опрема)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7" name="Text Box 207"/>
                        <wps:cNvSpPr txBox="1"/>
                        <wps:spPr>
                          <a:xfrm>
                            <a:off x="1771650" y="1419224"/>
                            <a:ext cx="1678940" cy="851536"/>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7316A8C1" w14:textId="7F308891" w:rsidR="00876FFE" w:rsidRPr="000B22C0" w:rsidRDefault="00876FFE" w:rsidP="00E13963">
                              <w:pPr>
                                <w:spacing w:before="0" w:after="0"/>
                                <w:ind w:firstLine="0"/>
                                <w:jc w:val="center"/>
                                <w:rPr>
                                  <w:rFonts w:asciiTheme="minorHAnsi" w:hAnsiTheme="minorHAnsi" w:cstheme="minorHAnsi"/>
                                  <w:sz w:val="22"/>
                                  <w:szCs w:val="22"/>
                                </w:rPr>
                              </w:pPr>
                              <w:r>
                                <w:rPr>
                                  <w:rFonts w:asciiTheme="minorHAnsi" w:hAnsiTheme="minorHAnsi" w:cstheme="minorHAnsi"/>
                                  <w:sz w:val="22"/>
                                  <w:szCs w:val="22"/>
                                </w:rPr>
                                <w:t>Одређен број органа државне управе</w:t>
                              </w:r>
                              <w:r w:rsidRPr="000B22C0">
                                <w:rPr>
                                  <w:rFonts w:asciiTheme="minorHAnsi" w:hAnsiTheme="minorHAnsi" w:cstheme="minorHAnsi"/>
                                  <w:sz w:val="22"/>
                                  <w:szCs w:val="22"/>
                                </w:rPr>
                                <w:t xml:space="preserve"> који поседује податке није их изложио другим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8" name="Text Box 208"/>
                        <wps:cNvSpPr txBox="1"/>
                        <wps:spPr>
                          <a:xfrm>
                            <a:off x="3543300" y="1447800"/>
                            <a:ext cx="1534795" cy="78867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4754FB95" w14:textId="77777777" w:rsidR="00876FFE" w:rsidRPr="000B22C0" w:rsidRDefault="00876FFE" w:rsidP="00E13963">
                              <w:pPr>
                                <w:spacing w:before="0" w:after="0"/>
                                <w:ind w:firstLine="0"/>
                                <w:jc w:val="center"/>
                                <w:rPr>
                                  <w:rFonts w:asciiTheme="minorHAnsi" w:hAnsiTheme="minorHAnsi" w:cstheme="minorHAnsi"/>
                                  <w:sz w:val="22"/>
                                  <w:szCs w:val="22"/>
                                </w:rPr>
                              </w:pPr>
                              <w:r w:rsidRPr="000B22C0">
                                <w:rPr>
                                  <w:rFonts w:asciiTheme="minorHAnsi" w:hAnsiTheme="minorHAnsi" w:cstheme="minorHAnsi"/>
                                  <w:sz w:val="22"/>
                                  <w:szCs w:val="22"/>
                                </w:rPr>
                                <w:t>Велики број ОДУ не користи систем за размену података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1" name="Text Box 211"/>
                        <wps:cNvSpPr txBox="1"/>
                        <wps:spPr>
                          <a:xfrm>
                            <a:off x="2200275" y="2371725"/>
                            <a:ext cx="2251710" cy="56007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22446C8E" w14:textId="77777777" w:rsidR="00876FFE" w:rsidRPr="002F2D6C" w:rsidRDefault="00876FFE" w:rsidP="00E13963">
                              <w:pPr>
                                <w:spacing w:before="0" w:after="0"/>
                                <w:jc w:val="center"/>
                                <w:rPr>
                                  <w:rFonts w:ascii="Verdana" w:hAnsi="Verdana"/>
                                  <w:sz w:val="18"/>
                                  <w:szCs w:val="21"/>
                                </w:rPr>
                              </w:pPr>
                              <w:r w:rsidRPr="002F2D6C">
                                <w:rPr>
                                  <w:rFonts w:ascii="Verdana" w:hAnsi="Verdana"/>
                                  <w:sz w:val="18"/>
                                  <w:szCs w:val="21"/>
                                </w:rPr>
                                <w:t>Неусклађене базе података: различити софтвери се користе за базе податка</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5F313E" id="Group 608" o:spid="_x0000_s1178" style="position:absolute;left:0;text-align:left;margin-left:481.2pt;margin-top:354.95pt;width:611.8pt;height:230.85pt;z-index:251486720" coordsize="77698,2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">
                <v:roundrect id="Text Box 268" o:spid="_x0000_s1179" style="position:absolute;left:12287;width:16764;height:11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" fillcolor="window" strokecolor="#deeaf6 [664]" strokeweight="2.25pt">
                  <v:stroke joinstyle="miter"/>
                  <v:textbox inset="1mm,1mm,1mm,1mm">
                    <w:txbxContent>
                      <w:p w14:paraId="003CAD89" w14:textId="55294359" w:rsidR="00876FFE" w:rsidRPr="008412BD" w:rsidRDefault="00876FFE" w:rsidP="00E13963">
                        <w:pPr>
                          <w:spacing w:before="0" w:after="0" w:line="216" w:lineRule="auto"/>
                          <w:ind w:firstLine="0"/>
                          <w:jc w:val="center"/>
                          <w:rPr>
                            <w:rFonts w:asciiTheme="minorHAnsi" w:hAnsiTheme="minorHAnsi" w:cstheme="minorHAnsi"/>
                            <w:sz w:val="22"/>
                            <w:szCs w:val="22"/>
                          </w:rPr>
                        </w:pPr>
                        <w:r w:rsidRPr="008412BD">
                          <w:rPr>
                            <w:rFonts w:asciiTheme="minorHAnsi" w:hAnsiTheme="minorHAnsi" w:cstheme="minorHAnsi"/>
                            <w:spacing w:val="-16"/>
                            <w:sz w:val="22"/>
                            <w:szCs w:val="22"/>
                          </w:rPr>
                          <w:t xml:space="preserve">Недовољно </w:t>
                        </w:r>
                        <w:r w:rsidRPr="008412BD">
                          <w:rPr>
                            <w:rFonts w:asciiTheme="minorHAnsi" w:hAnsiTheme="minorHAnsi" w:cstheme="minorHAnsi"/>
                            <w:spacing w:val="-16"/>
                            <w:sz w:val="22"/>
                            <w:szCs w:val="22"/>
                          </w:rPr>
                          <w:t>развијена</w:t>
                        </w:r>
                        <w:r w:rsidRPr="008412BD">
                          <w:rPr>
                            <w:rFonts w:asciiTheme="minorHAnsi" w:hAnsiTheme="minorHAnsi" w:cstheme="minorHAnsi"/>
                            <w:sz w:val="22"/>
                            <w:szCs w:val="22"/>
                          </w:rPr>
                          <w:t xml:space="preserve"> инфраструктура за пружање услуга, </w:t>
                        </w:r>
                        <w:r w:rsidRPr="008412BD">
                          <w:rPr>
                            <w:rFonts w:asciiTheme="minorHAnsi" w:hAnsiTheme="minorHAnsi" w:cstheme="minorHAnsi"/>
                            <w:sz w:val="22"/>
                            <w:szCs w:val="22"/>
                          </w:rPr>
                          <w:br/>
                          <w:t xml:space="preserve">и </w:t>
                        </w:r>
                        <w:r>
                          <w:rPr>
                            <w:rFonts w:asciiTheme="minorHAnsi" w:hAnsiTheme="minorHAnsi" w:cstheme="minorHAnsi"/>
                            <w:sz w:val="22"/>
                            <w:szCs w:val="22"/>
                          </w:rPr>
                          <w:t>комуникацију у оквиру система државне управе</w:t>
                        </w:r>
                      </w:p>
                    </w:txbxContent>
                  </v:textbox>
                </v:roundrect>
                <v:shape id="Straight Arrow Connector 254" o:spid="_x0000_s1180" type="#_x0000_t32" style="position:absolute;left:11144;top:11049;width:2038;height:39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" strokecolor="#bdd6ee [1304]" strokeweight="1.5pt">
                  <v:stroke endarrow="block" joinstyle="miter"/>
                </v:shape>
                <v:shape id="Straight Arrow Connector 205" o:spid="_x0000_s1181" type="#_x0000_t32" style="position:absolute;left:23050;top:11715;width:0;height:126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" strokecolor="#bdd6ee [1304]" strokeweight="1.5pt">
                  <v:stroke endarrow="block" joinstyle="miter"/>
                </v:shape>
                <v:shape id="Straight Arrow Connector 204" o:spid="_x0000_s1182" type="#_x0000_t32" style="position:absolute;left:19240;top:11620;width:0;height:25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" strokecolor="#bdd6ee [1304]" strokeweight="1.5pt">
                  <v:stroke endarrow="block" joinstyle="miter"/>
                </v:shape>
                <v:shape id="Straight Arrow Connector 206" o:spid="_x0000_s1183" type="#_x0000_t32" style="position:absolute;left:28860;top:10858;width:7276;height:40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" strokecolor="#bdd6ee [1304]" strokeweight="1.5pt">
                  <v:stroke endarrow="block" joinstyle="miter"/>
                </v:shape>
                <v:line id="Straight Connector 263" o:spid="_x0000_s1184" style="position:absolute;visibility:visible;mso-wrap-style:square" from="14954,19716" to="77698,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" strokecolor="#bdd6ee [1304]" strokeweight="1.5pt">
                  <v:stroke endarrow="block" joinstyle="miter"/>
                </v:line>
                <v:roundrect id="Text Box 203" o:spid="_x0000_s1185" style="position:absolute;top:14097;width:16791;height:8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" fillcolor="window" strokecolor="#deeaf6 [664]" strokeweight="2.25pt">
                  <v:stroke joinstyle="miter"/>
                  <v:textbox inset="1mm,1mm,1mm,1mm">
                    <w:txbxContent>
                      <w:p w14:paraId="32DA12F9" w14:textId="56FBAC6D" w:rsidR="00876FFE" w:rsidRPr="000B22C0" w:rsidRDefault="00876FFE" w:rsidP="00E13963">
                        <w:pPr>
                          <w:spacing w:before="0" w:after="0"/>
                          <w:ind w:firstLine="0"/>
                          <w:jc w:val="center"/>
                          <w:rPr>
                            <w:rFonts w:asciiTheme="minorHAnsi" w:hAnsiTheme="minorHAnsi" w:cstheme="minorHAnsi"/>
                            <w:sz w:val="22"/>
                            <w:szCs w:val="22"/>
                          </w:rPr>
                        </w:pPr>
                        <w:r w:rsidRPr="000B22C0">
                          <w:rPr>
                            <w:rFonts w:asciiTheme="minorHAnsi" w:hAnsiTheme="minorHAnsi" w:cstheme="minorHAnsi"/>
                            <w:sz w:val="22"/>
                            <w:szCs w:val="22"/>
                          </w:rPr>
                          <w:t xml:space="preserve">Недовољна </w:t>
                        </w:r>
                        <w:r w:rsidRPr="000B22C0">
                          <w:rPr>
                            <w:rFonts w:asciiTheme="minorHAnsi" w:hAnsiTheme="minorHAnsi" w:cstheme="minorHAnsi"/>
                            <w:sz w:val="22"/>
                            <w:szCs w:val="22"/>
                          </w:rPr>
                          <w:t xml:space="preserve">техничка опремљеност </w:t>
                        </w:r>
                        <w:r>
                          <w:rPr>
                            <w:rFonts w:asciiTheme="minorHAnsi" w:hAnsiTheme="minorHAnsi" w:cstheme="minorHAnsi"/>
                            <w:sz w:val="22"/>
                            <w:szCs w:val="22"/>
                          </w:rPr>
                          <w:t>органа државне управ</w:t>
                        </w:r>
                        <w:r w:rsidRPr="000B22C0">
                          <w:rPr>
                            <w:rFonts w:asciiTheme="minorHAnsi" w:hAnsiTheme="minorHAnsi" w:cstheme="minorHAnsi"/>
                            <w:sz w:val="22"/>
                            <w:szCs w:val="22"/>
                          </w:rPr>
                          <w:t xml:space="preserve"> </w:t>
                        </w:r>
                        <w:r w:rsidRPr="000B22C0">
                          <w:rPr>
                            <w:rFonts w:asciiTheme="minorHAnsi" w:hAnsiTheme="minorHAnsi" w:cstheme="minorHAnsi"/>
                            <w:spacing w:val="-12"/>
                            <w:sz w:val="22"/>
                            <w:szCs w:val="22"/>
                          </w:rPr>
                          <w:t>за пружање услуга</w:t>
                        </w:r>
                        <w:r w:rsidRPr="000B22C0">
                          <w:rPr>
                            <w:rFonts w:asciiTheme="minorHAnsi" w:hAnsiTheme="minorHAnsi" w:cstheme="minorHAnsi"/>
                            <w:sz w:val="22"/>
                            <w:szCs w:val="22"/>
                          </w:rPr>
                          <w:t xml:space="preserve"> </w:t>
                        </w:r>
                        <w:r w:rsidRPr="000B22C0">
                          <w:rPr>
                            <w:rFonts w:asciiTheme="minorHAnsi" w:hAnsiTheme="minorHAnsi" w:cstheme="minorHAnsi"/>
                            <w:spacing w:val="-14"/>
                            <w:sz w:val="22"/>
                            <w:szCs w:val="22"/>
                          </w:rPr>
                          <w:t>(рачунарска опрема)</w:t>
                        </w:r>
                      </w:p>
                    </w:txbxContent>
                  </v:textbox>
                </v:roundrect>
                <v:roundrect id="Text Box 207" o:spid="_x0000_s1186" style="position:absolute;left:17716;top:14192;width:16789;height:8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" fillcolor="window" strokecolor="#deeaf6 [664]" strokeweight="2.25pt">
                  <v:stroke joinstyle="miter"/>
                  <v:textbox inset="1mm,1mm,1mm,1mm">
                    <w:txbxContent>
                      <w:p w14:paraId="7316A8C1" w14:textId="7F308891" w:rsidR="00876FFE" w:rsidRPr="000B22C0" w:rsidRDefault="00876FFE" w:rsidP="00E13963">
                        <w:pPr>
                          <w:spacing w:before="0" w:after="0"/>
                          <w:ind w:firstLine="0"/>
                          <w:jc w:val="center"/>
                          <w:rPr>
                            <w:rFonts w:asciiTheme="minorHAnsi" w:hAnsiTheme="minorHAnsi" w:cstheme="minorHAnsi"/>
                            <w:sz w:val="22"/>
                            <w:szCs w:val="22"/>
                          </w:rPr>
                        </w:pPr>
                        <w:r>
                          <w:rPr>
                            <w:rFonts w:asciiTheme="minorHAnsi" w:hAnsiTheme="minorHAnsi" w:cstheme="minorHAnsi"/>
                            <w:sz w:val="22"/>
                            <w:szCs w:val="22"/>
                          </w:rPr>
                          <w:t xml:space="preserve">Одређен </w:t>
                        </w:r>
                        <w:r>
                          <w:rPr>
                            <w:rFonts w:asciiTheme="minorHAnsi" w:hAnsiTheme="minorHAnsi" w:cstheme="minorHAnsi"/>
                            <w:sz w:val="22"/>
                            <w:szCs w:val="22"/>
                          </w:rPr>
                          <w:t>број органа државне управе</w:t>
                        </w:r>
                        <w:r w:rsidRPr="000B22C0">
                          <w:rPr>
                            <w:rFonts w:asciiTheme="minorHAnsi" w:hAnsiTheme="minorHAnsi" w:cstheme="minorHAnsi"/>
                            <w:sz w:val="22"/>
                            <w:szCs w:val="22"/>
                          </w:rPr>
                          <w:t xml:space="preserve"> који поседује податке није их изложио другим </w:t>
                        </w:r>
                      </w:p>
                    </w:txbxContent>
                  </v:textbox>
                </v:roundrect>
                <v:roundrect id="Text Box 208" o:spid="_x0000_s1187" style="position:absolute;left:35433;top:14478;width:15347;height:7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" fillcolor="window" strokecolor="#deeaf6 [664]" strokeweight="2.25pt">
                  <v:stroke joinstyle="miter"/>
                  <v:textbox inset="1mm,1mm,1mm,1mm">
                    <w:txbxContent>
                      <w:p w14:paraId="4754FB95" w14:textId="77777777" w:rsidR="00876FFE" w:rsidRPr="000B22C0" w:rsidRDefault="00876FFE" w:rsidP="00E13963">
                        <w:pPr>
                          <w:spacing w:before="0" w:after="0"/>
                          <w:ind w:firstLine="0"/>
                          <w:jc w:val="center"/>
                          <w:rPr>
                            <w:rFonts w:asciiTheme="minorHAnsi" w:hAnsiTheme="minorHAnsi" w:cstheme="minorHAnsi"/>
                            <w:sz w:val="22"/>
                            <w:szCs w:val="22"/>
                          </w:rPr>
                        </w:pPr>
                        <w:r w:rsidRPr="000B22C0">
                          <w:rPr>
                            <w:rFonts w:asciiTheme="minorHAnsi" w:hAnsiTheme="minorHAnsi" w:cstheme="minorHAnsi"/>
                            <w:sz w:val="22"/>
                            <w:szCs w:val="22"/>
                          </w:rPr>
                          <w:t xml:space="preserve">Велики </w:t>
                        </w:r>
                        <w:r w:rsidRPr="000B22C0">
                          <w:rPr>
                            <w:rFonts w:asciiTheme="minorHAnsi" w:hAnsiTheme="minorHAnsi" w:cstheme="minorHAnsi"/>
                            <w:sz w:val="22"/>
                            <w:szCs w:val="22"/>
                          </w:rPr>
                          <w:t>број ОДУ не користи систем за размену података</w:t>
                        </w:r>
                      </w:p>
                    </w:txbxContent>
                  </v:textbox>
                </v:roundrect>
                <v:roundrect id="Text Box 211" o:spid="_x0000_s1188" style="position:absolute;left:22002;top:23717;width:22517;height:5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" fillcolor="window" strokecolor="#deeaf6 [664]" strokeweight="2.25pt">
                  <v:stroke joinstyle="miter"/>
                  <v:textbox inset="1mm,0,1mm,1mm">
                    <w:txbxContent>
                      <w:p w14:paraId="22446C8E" w14:textId="77777777" w:rsidR="00876FFE" w:rsidRPr="002F2D6C" w:rsidRDefault="00876FFE" w:rsidP="00E13963">
                        <w:pPr>
                          <w:spacing w:before="0" w:after="0"/>
                          <w:jc w:val="center"/>
                          <w:rPr>
                            <w:rFonts w:ascii="Verdana" w:hAnsi="Verdana"/>
                            <w:sz w:val="18"/>
                            <w:szCs w:val="21"/>
                          </w:rPr>
                        </w:pPr>
                        <w:r w:rsidRPr="002F2D6C">
                          <w:rPr>
                            <w:rFonts w:ascii="Verdana" w:hAnsi="Verdana"/>
                            <w:sz w:val="18"/>
                            <w:szCs w:val="21"/>
                          </w:rPr>
                          <w:t xml:space="preserve">Неусклађене </w:t>
                        </w:r>
                        <w:r w:rsidRPr="002F2D6C">
                          <w:rPr>
                            <w:rFonts w:ascii="Verdana" w:hAnsi="Verdana"/>
                            <w:sz w:val="18"/>
                            <w:szCs w:val="21"/>
                          </w:rPr>
                          <w:t>базе података: различити софтвери се користе за базе податка</w:t>
                        </w:r>
                      </w:p>
                    </w:txbxContent>
                  </v:textbox>
                </v:roundrect>
              </v:group>
            </w:pict>
          </mc:Fallback>
        </mc:AlternateContent>
      </w:r>
      <w:r w:rsidR="00BF3F95" w:rsidRPr="000F0299">
        <w:rPr>
          <w:rFonts w:ascii="Verdana" w:hAnsi="Verdana"/>
          <w:noProof/>
          <w:sz w:val="20"/>
          <w:lang w:val="en-US" w:eastAsia="en-US" w:bidi="ar-SA"/>
        </w:rPr>
        <mc:AlternateContent>
          <mc:Choice Requires="wpg">
            <w:drawing>
              <wp:anchor distT="0" distB="0" distL="114300" distR="114300" simplePos="0" relativeHeight="251482624" behindDoc="0" locked="0" layoutInCell="1" allowOverlap="1" wp14:anchorId="4AD05A49" wp14:editId="391FCEF7">
                <wp:simplePos x="0" y="0"/>
                <wp:positionH relativeFrom="column">
                  <wp:posOffset>-371475</wp:posOffset>
                </wp:positionH>
                <wp:positionV relativeFrom="paragraph">
                  <wp:posOffset>558800</wp:posOffset>
                </wp:positionV>
                <wp:extent cx="5859145" cy="1386205"/>
                <wp:effectExtent l="19050" t="38100" r="84455" b="23495"/>
                <wp:wrapNone/>
                <wp:docPr id="601" name="Group 601"/>
                <wp:cNvGraphicFramePr/>
                <a:graphic xmlns:a="http://schemas.openxmlformats.org/drawingml/2006/main">
                  <a:graphicData uri="http://schemas.microsoft.com/office/word/2010/wordprocessingGroup">
                    <wpg:wgp>
                      <wpg:cNvGrpSpPr/>
                      <wpg:grpSpPr>
                        <a:xfrm>
                          <a:off x="0" y="0"/>
                          <a:ext cx="5859145" cy="1386205"/>
                          <a:chOff x="0" y="95250"/>
                          <a:chExt cx="5859236" cy="1386205"/>
                        </a:xfrm>
                      </wpg:grpSpPr>
                      <wps:wsp>
                        <wps:cNvPr id="237" name="Straight Arrow Connector 237"/>
                        <wps:cNvCnPr/>
                        <wps:spPr>
                          <a:xfrm flipV="1">
                            <a:off x="655864" y="1132114"/>
                            <a:ext cx="0" cy="33845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38" name="Straight Arrow Connector 238"/>
                        <wps:cNvCnPr/>
                        <wps:spPr>
                          <a:xfrm flipV="1">
                            <a:off x="2234293" y="1132114"/>
                            <a:ext cx="0" cy="33845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39" name="Straight Arrow Connector 239"/>
                        <wps:cNvCnPr/>
                        <wps:spPr>
                          <a:xfrm flipV="1">
                            <a:off x="3932464" y="1143000"/>
                            <a:ext cx="0" cy="33845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42" name="Straight Arrow Connector 242"/>
                        <wps:cNvCnPr/>
                        <wps:spPr>
                          <a:xfrm flipV="1">
                            <a:off x="5859236" y="95250"/>
                            <a:ext cx="0" cy="111600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47" name="Straight Arrow Connector 247"/>
                        <wps:cNvCnPr/>
                        <wps:spPr>
                          <a:xfrm flipV="1">
                            <a:off x="666750" y="194582"/>
                            <a:ext cx="0" cy="18000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43" name="Straight Arrow Connector 243"/>
                        <wps:cNvCnPr/>
                        <wps:spPr>
                          <a:xfrm flipV="1">
                            <a:off x="2234293" y="194582"/>
                            <a:ext cx="0" cy="18000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46" name="Straight Arrow Connector 246"/>
                        <wps:cNvCnPr/>
                        <wps:spPr>
                          <a:xfrm flipV="1">
                            <a:off x="3932464" y="194582"/>
                            <a:ext cx="0" cy="18000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52" name="Text Box 252"/>
                        <wps:cNvSpPr txBox="1"/>
                        <wps:spPr>
                          <a:xfrm>
                            <a:off x="0" y="351064"/>
                            <a:ext cx="1341120" cy="76771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40A587E0" w14:textId="77777777" w:rsidR="00876FFE" w:rsidRPr="004E7F09" w:rsidRDefault="00876FFE" w:rsidP="00E13963">
                              <w:pPr>
                                <w:spacing w:before="0" w:after="0"/>
                                <w:ind w:firstLine="0"/>
                                <w:jc w:val="center"/>
                                <w:rPr>
                                  <w:rFonts w:asciiTheme="minorHAnsi" w:hAnsiTheme="minorHAnsi" w:cstheme="minorHAnsi"/>
                                  <w:sz w:val="22"/>
                                  <w:szCs w:val="22"/>
                                </w:rPr>
                              </w:pPr>
                              <w:r w:rsidRPr="004E7F09">
                                <w:rPr>
                                  <w:rFonts w:asciiTheme="minorHAnsi" w:hAnsiTheme="minorHAnsi" w:cstheme="minorHAnsi"/>
                                  <w:sz w:val="22"/>
                                  <w:szCs w:val="22"/>
                                </w:rPr>
                                <w:t>Релативно високи трошкови пословања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51" name="Text Box 251"/>
                        <wps:cNvSpPr txBox="1"/>
                        <wps:spPr>
                          <a:xfrm>
                            <a:off x="1567543" y="351064"/>
                            <a:ext cx="1341120" cy="76771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295A8653" w14:textId="77777777" w:rsidR="00876FFE" w:rsidRPr="004E7F09" w:rsidRDefault="00876FFE" w:rsidP="00E13963">
                              <w:pPr>
                                <w:spacing w:before="0" w:after="0"/>
                                <w:ind w:firstLine="0"/>
                                <w:jc w:val="center"/>
                                <w:rPr>
                                  <w:rFonts w:asciiTheme="minorHAnsi" w:hAnsiTheme="minorHAnsi" w:cstheme="minorHAnsi"/>
                                  <w:sz w:val="22"/>
                                  <w:szCs w:val="22"/>
                                </w:rPr>
                              </w:pPr>
                              <w:r w:rsidRPr="004E7F09">
                                <w:rPr>
                                  <w:rFonts w:asciiTheme="minorHAnsi" w:hAnsiTheme="minorHAnsi" w:cstheme="minorHAnsi"/>
                                  <w:sz w:val="22"/>
                                  <w:szCs w:val="22"/>
                                </w:rPr>
                                <w:t>Мањак правне сигурности и предвидивости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8" name="Text Box 248"/>
                        <wps:cNvSpPr txBox="1"/>
                        <wps:spPr>
                          <a:xfrm>
                            <a:off x="3265714" y="361950"/>
                            <a:ext cx="1471930" cy="76771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10DFF1DA" w14:textId="77777777" w:rsidR="00876FFE" w:rsidRPr="004E7F09" w:rsidRDefault="00876FFE" w:rsidP="00E13963">
                              <w:pPr>
                                <w:spacing w:before="0" w:after="0"/>
                                <w:ind w:firstLine="0"/>
                                <w:jc w:val="center"/>
                                <w:rPr>
                                  <w:rFonts w:asciiTheme="minorHAnsi" w:hAnsiTheme="minorHAnsi" w:cstheme="minorHAnsi"/>
                                  <w:sz w:val="22"/>
                                  <w:szCs w:val="22"/>
                                </w:rPr>
                              </w:pPr>
                              <w:r w:rsidRPr="004E7F09">
                                <w:rPr>
                                  <w:rFonts w:asciiTheme="minorHAnsi" w:hAnsiTheme="minorHAnsi" w:cstheme="minorHAnsi"/>
                                  <w:sz w:val="22"/>
                                  <w:szCs w:val="22"/>
                                </w:rPr>
                                <w:t>Релативно високи трошкови пружања услуга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D05A49" id="Group 601" o:spid="_x0000_s1189" style="position:absolute;left:0;text-align:left;margin-left:-29.25pt;margin-top:44pt;width:461.35pt;height:109.15pt;z-index:251482624;mso-height-relative:margin" coordorigin=",952" coordsize="58592,1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">
                <v:shape id="Straight Arrow Connector 237" o:spid="_x0000_s1190" type="#_x0000_t32" style="position:absolute;left:6558;top:11321;width:0;height:33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" strokecolor="#bdd6ee [1304]" strokeweight="1.5pt">
                  <v:stroke endarrow="block" joinstyle="miter"/>
                </v:shape>
                <v:shape id="Straight Arrow Connector 238" o:spid="_x0000_s1191" type="#_x0000_t32" style="position:absolute;left:22342;top:11321;width:0;height:33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" strokecolor="#bdd6ee [1304]" strokeweight="1.5pt">
                  <v:stroke endarrow="block" joinstyle="miter"/>
                </v:shape>
                <v:shape id="Straight Arrow Connector 239" o:spid="_x0000_s1192" type="#_x0000_t32" style="position:absolute;left:39324;top:11430;width:0;height:33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" strokecolor="#bdd6ee [1304]" strokeweight="1.5pt">
                  <v:stroke endarrow="block" joinstyle="miter"/>
                </v:shape>
                <v:shape id="Straight Arrow Connector 242" o:spid="_x0000_s1193" type="#_x0000_t32" style="position:absolute;left:58592;top:952;width:0;height:11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" strokecolor="#bdd6ee [1304]" strokeweight="1.5pt">
                  <v:stroke endarrow="block" joinstyle="miter"/>
                </v:shape>
                <v:shape id="Straight Arrow Connector 247" o:spid="_x0000_s1194" type="#_x0000_t32" style="position:absolute;left:6667;top:1945;width:0;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" strokecolor="#bdd6ee [1304]" strokeweight="1.5pt">
                  <v:stroke endarrow="block" joinstyle="miter"/>
                </v:shape>
                <v:shape id="Straight Arrow Connector 243" o:spid="_x0000_s1195" type="#_x0000_t32" style="position:absolute;left:22342;top:1945;width:0;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" strokecolor="#bdd6ee [1304]" strokeweight="1.5pt">
                  <v:stroke endarrow="block" joinstyle="miter"/>
                </v:shape>
                <v:shape id="Straight Arrow Connector 246" o:spid="_x0000_s1196" type="#_x0000_t32" style="position:absolute;left:39324;top:1945;width:0;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" strokecolor="#bdd6ee [1304]" strokeweight="1.5pt">
                  <v:stroke endarrow="block" joinstyle="miter"/>
                </v:shape>
                <v:roundrect id="Text Box 252" o:spid="_x0000_s1197" style="position:absolute;top:3510;width:13411;height:7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" fillcolor="window" strokecolor="#deeaf6 [664]" strokeweight="2.25pt">
                  <v:stroke joinstyle="miter"/>
                  <v:textbox inset="1mm,1mm,1mm,1mm">
                    <w:txbxContent>
                      <w:p w14:paraId="40A587E0" w14:textId="77777777" w:rsidR="00876FFE" w:rsidRPr="004E7F09" w:rsidRDefault="00876FFE" w:rsidP="00E13963">
                        <w:pPr>
                          <w:spacing w:before="0" w:after="0"/>
                          <w:ind w:firstLine="0"/>
                          <w:jc w:val="center"/>
                          <w:rPr>
                            <w:rFonts w:asciiTheme="minorHAnsi" w:hAnsiTheme="minorHAnsi" w:cstheme="minorHAnsi"/>
                            <w:sz w:val="22"/>
                            <w:szCs w:val="22"/>
                          </w:rPr>
                        </w:pPr>
                        <w:r w:rsidRPr="004E7F09">
                          <w:rPr>
                            <w:rFonts w:asciiTheme="minorHAnsi" w:hAnsiTheme="minorHAnsi" w:cstheme="minorHAnsi"/>
                            <w:sz w:val="22"/>
                            <w:szCs w:val="22"/>
                          </w:rPr>
                          <w:t xml:space="preserve">Релативно </w:t>
                        </w:r>
                        <w:r w:rsidRPr="004E7F09">
                          <w:rPr>
                            <w:rFonts w:asciiTheme="minorHAnsi" w:hAnsiTheme="minorHAnsi" w:cstheme="minorHAnsi"/>
                            <w:sz w:val="22"/>
                            <w:szCs w:val="22"/>
                          </w:rPr>
                          <w:t>високи трошкови пословања</w:t>
                        </w:r>
                      </w:p>
                    </w:txbxContent>
                  </v:textbox>
                </v:roundrect>
                <v:roundrect id="Text Box 251" o:spid="_x0000_s1198" style="position:absolute;left:15675;top:3510;width:13411;height:7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" fillcolor="window" strokecolor="#deeaf6 [664]" strokeweight="2.25pt">
                  <v:stroke joinstyle="miter"/>
                  <v:textbox inset="1mm,1mm,1mm,1mm">
                    <w:txbxContent>
                      <w:p w14:paraId="295A8653" w14:textId="77777777" w:rsidR="00876FFE" w:rsidRPr="004E7F09" w:rsidRDefault="00876FFE" w:rsidP="00E13963">
                        <w:pPr>
                          <w:spacing w:before="0" w:after="0"/>
                          <w:ind w:firstLine="0"/>
                          <w:jc w:val="center"/>
                          <w:rPr>
                            <w:rFonts w:asciiTheme="minorHAnsi" w:hAnsiTheme="minorHAnsi" w:cstheme="minorHAnsi"/>
                            <w:sz w:val="22"/>
                            <w:szCs w:val="22"/>
                          </w:rPr>
                        </w:pPr>
                        <w:r w:rsidRPr="004E7F09">
                          <w:rPr>
                            <w:rFonts w:asciiTheme="minorHAnsi" w:hAnsiTheme="minorHAnsi" w:cstheme="minorHAnsi"/>
                            <w:sz w:val="22"/>
                            <w:szCs w:val="22"/>
                          </w:rPr>
                          <w:t xml:space="preserve">Мањак </w:t>
                        </w:r>
                        <w:r w:rsidRPr="004E7F09">
                          <w:rPr>
                            <w:rFonts w:asciiTheme="minorHAnsi" w:hAnsiTheme="minorHAnsi" w:cstheme="minorHAnsi"/>
                            <w:sz w:val="22"/>
                            <w:szCs w:val="22"/>
                          </w:rPr>
                          <w:t>правне сигурности и предвидивости</w:t>
                        </w:r>
                      </w:p>
                    </w:txbxContent>
                  </v:textbox>
                </v:roundrect>
                <v:roundrect id="Text Box 248" o:spid="_x0000_s1199" style="position:absolute;left:32657;top:3619;width:14719;height:7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" fillcolor="window" strokecolor="#deeaf6 [664]" strokeweight="2.25pt">
                  <v:stroke joinstyle="miter"/>
                  <v:textbox inset="1mm,1mm,1mm,1mm">
                    <w:txbxContent>
                      <w:p w14:paraId="10DFF1DA" w14:textId="77777777" w:rsidR="00876FFE" w:rsidRPr="004E7F09" w:rsidRDefault="00876FFE" w:rsidP="00E13963">
                        <w:pPr>
                          <w:spacing w:before="0" w:after="0"/>
                          <w:ind w:firstLine="0"/>
                          <w:jc w:val="center"/>
                          <w:rPr>
                            <w:rFonts w:asciiTheme="minorHAnsi" w:hAnsiTheme="minorHAnsi" w:cstheme="minorHAnsi"/>
                            <w:sz w:val="22"/>
                            <w:szCs w:val="22"/>
                          </w:rPr>
                        </w:pPr>
                        <w:r w:rsidRPr="004E7F09">
                          <w:rPr>
                            <w:rFonts w:asciiTheme="minorHAnsi" w:hAnsiTheme="minorHAnsi" w:cstheme="minorHAnsi"/>
                            <w:sz w:val="22"/>
                            <w:szCs w:val="22"/>
                          </w:rPr>
                          <w:t xml:space="preserve">Релативно </w:t>
                        </w:r>
                        <w:r w:rsidRPr="004E7F09">
                          <w:rPr>
                            <w:rFonts w:asciiTheme="minorHAnsi" w:hAnsiTheme="minorHAnsi" w:cstheme="minorHAnsi"/>
                            <w:sz w:val="22"/>
                            <w:szCs w:val="22"/>
                          </w:rPr>
                          <w:t>високи трошкови пружања услуга</w:t>
                        </w:r>
                      </w:p>
                    </w:txbxContent>
                  </v:textbox>
                </v:roundrect>
              </v:group>
            </w:pict>
          </mc:Fallback>
        </mc:AlternateContent>
      </w:r>
      <w:r w:rsidR="00BF3F95" w:rsidRPr="000F0299">
        <w:rPr>
          <w:rFonts w:ascii="Verdana" w:hAnsi="Verdana"/>
          <w:noProof/>
          <w:sz w:val="20"/>
          <w:lang w:val="en-US" w:eastAsia="en-US" w:bidi="ar-SA"/>
        </w:rPr>
        <mc:AlternateContent>
          <mc:Choice Requires="wpg">
            <w:drawing>
              <wp:anchor distT="0" distB="0" distL="114300" distR="114300" simplePos="0" relativeHeight="251481600" behindDoc="0" locked="0" layoutInCell="1" allowOverlap="1" wp14:anchorId="14C30141" wp14:editId="14539ED1">
                <wp:simplePos x="0" y="0"/>
                <wp:positionH relativeFrom="column">
                  <wp:posOffset>6060440</wp:posOffset>
                </wp:positionH>
                <wp:positionV relativeFrom="paragraph">
                  <wp:posOffset>797560</wp:posOffset>
                </wp:positionV>
                <wp:extent cx="1980565" cy="1130300"/>
                <wp:effectExtent l="19050" t="19050" r="19685" b="31750"/>
                <wp:wrapNone/>
                <wp:docPr id="603" name="Group 603"/>
                <wp:cNvGraphicFramePr/>
                <a:graphic xmlns:a="http://schemas.openxmlformats.org/drawingml/2006/main">
                  <a:graphicData uri="http://schemas.microsoft.com/office/word/2010/wordprocessingGroup">
                    <wpg:wgp>
                      <wpg:cNvGrpSpPr/>
                      <wpg:grpSpPr>
                        <a:xfrm>
                          <a:off x="0" y="0"/>
                          <a:ext cx="1980565" cy="1130300"/>
                          <a:chOff x="0" y="0"/>
                          <a:chExt cx="1980565" cy="1130391"/>
                        </a:xfrm>
                      </wpg:grpSpPr>
                      <wps:wsp>
                        <wps:cNvPr id="249" name="Text Box 249"/>
                        <wps:cNvSpPr txBox="1"/>
                        <wps:spPr>
                          <a:xfrm>
                            <a:off x="0" y="0"/>
                            <a:ext cx="1980565" cy="76771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2B5A4212" w14:textId="77777777" w:rsidR="00876FFE" w:rsidRPr="004E7F09" w:rsidRDefault="00876FFE" w:rsidP="00E13963">
                              <w:pPr>
                                <w:spacing w:before="0" w:after="0"/>
                                <w:ind w:firstLine="0"/>
                                <w:jc w:val="center"/>
                                <w:rPr>
                                  <w:rFonts w:asciiTheme="minorHAnsi" w:hAnsiTheme="minorHAnsi" w:cstheme="minorHAnsi"/>
                                  <w:sz w:val="22"/>
                                  <w:szCs w:val="22"/>
                                </w:rPr>
                              </w:pPr>
                              <w:r w:rsidRPr="004E7F09">
                                <w:rPr>
                                  <w:rFonts w:asciiTheme="minorHAnsi" w:hAnsiTheme="minorHAnsi" w:cstheme="minorHAnsi"/>
                                  <w:sz w:val="22"/>
                                  <w:szCs w:val="22"/>
                                </w:rPr>
                                <w:t>Дуго време чекања на пружање услуге (које нису електронске)</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32" name="Straight Arrow Connector 32"/>
                        <wps:cNvCnPr/>
                        <wps:spPr>
                          <a:xfrm flipV="1">
                            <a:off x="928008" y="791936"/>
                            <a:ext cx="0" cy="33845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C30141" id="Group 603" o:spid="_x0000_s1200" style="position:absolute;left:0;text-align:left;margin-left:477.2pt;margin-top:62.8pt;width:155.95pt;height:89pt;z-index:251481600" coordsize="19805,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">
                <v:roundrect id="Text Box 249" o:spid="_x0000_s1201" style="position:absolute;width:19805;height:7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" fillcolor="window" strokecolor="#deeaf6 [664]" strokeweight="2.25pt">
                  <v:stroke joinstyle="miter"/>
                  <v:textbox inset="2mm,1mm,2mm,1mm">
                    <w:txbxContent>
                      <w:p w14:paraId="2B5A4212" w14:textId="77777777" w:rsidR="00876FFE" w:rsidRPr="004E7F09" w:rsidRDefault="00876FFE" w:rsidP="00E13963">
                        <w:pPr>
                          <w:spacing w:before="0" w:after="0"/>
                          <w:ind w:firstLine="0"/>
                          <w:jc w:val="center"/>
                          <w:rPr>
                            <w:rFonts w:asciiTheme="minorHAnsi" w:hAnsiTheme="minorHAnsi" w:cstheme="minorHAnsi"/>
                            <w:sz w:val="22"/>
                            <w:szCs w:val="22"/>
                          </w:rPr>
                        </w:pPr>
                        <w:r w:rsidRPr="004E7F09">
                          <w:rPr>
                            <w:rFonts w:asciiTheme="minorHAnsi" w:hAnsiTheme="minorHAnsi" w:cstheme="minorHAnsi"/>
                            <w:sz w:val="22"/>
                            <w:szCs w:val="22"/>
                          </w:rPr>
                          <w:t xml:space="preserve">Дуго </w:t>
                        </w:r>
                        <w:r w:rsidRPr="004E7F09">
                          <w:rPr>
                            <w:rFonts w:asciiTheme="minorHAnsi" w:hAnsiTheme="minorHAnsi" w:cstheme="minorHAnsi"/>
                            <w:sz w:val="22"/>
                            <w:szCs w:val="22"/>
                          </w:rPr>
                          <w:t>време чекања на пружање услуге (које нису електронске)</w:t>
                        </w:r>
                      </w:p>
                    </w:txbxContent>
                  </v:textbox>
                </v:roundrect>
                <v:shape id="Straight Arrow Connector 32" o:spid="_x0000_s1202" type="#_x0000_t32" style="position:absolute;left:9280;top:7919;width:0;height:33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" strokecolor="#bdd6ee [1304]" strokeweight="1.5pt">
                  <v:stroke endarrow="block" joinstyle="miter"/>
                </v:shape>
              </v:group>
            </w:pict>
          </mc:Fallback>
        </mc:AlternateContent>
      </w:r>
      <w:r w:rsidR="00E13963" w:rsidRPr="000F0299">
        <w:rPr>
          <w:rFonts w:ascii="Verdana" w:hAnsi="Verdana"/>
          <w:noProof/>
          <w:sz w:val="20"/>
          <w:lang w:val="en-US" w:eastAsia="en-US" w:bidi="ar-SA"/>
        </w:rPr>
        <mc:AlternateContent>
          <mc:Choice Requires="wps">
            <w:drawing>
              <wp:anchor distT="0" distB="0" distL="114300" distR="114300" simplePos="0" relativeHeight="251480576" behindDoc="0" locked="0" layoutInCell="1" allowOverlap="1" wp14:anchorId="723E3A60" wp14:editId="67007D88">
                <wp:simplePos x="0" y="0"/>
                <wp:positionH relativeFrom="column">
                  <wp:posOffset>13519785</wp:posOffset>
                </wp:positionH>
                <wp:positionV relativeFrom="paragraph">
                  <wp:posOffset>7288530</wp:posOffset>
                </wp:positionV>
                <wp:extent cx="355600" cy="0"/>
                <wp:effectExtent l="0" t="0" r="0" b="0"/>
                <wp:wrapNone/>
                <wp:docPr id="256" name="Straight Connector 256"/>
                <wp:cNvGraphicFramePr/>
                <a:graphic xmlns:a="http://schemas.openxmlformats.org/drawingml/2006/main">
                  <a:graphicData uri="http://schemas.microsoft.com/office/word/2010/wordprocessingShape">
                    <wps:wsp>
                      <wps:cNvCnPr/>
                      <wps:spPr>
                        <a:xfrm flipH="1">
                          <a:off x="0" y="0"/>
                          <a:ext cx="355600" cy="0"/>
                        </a:xfrm>
                        <a:prstGeom prst="line">
                          <a:avLst/>
                        </a:prstGeom>
                        <a:noFill/>
                        <a:ln w="19050" cap="flat" cmpd="sng" algn="ctr">
                          <a:solidFill>
                            <a:schemeClr val="accent5">
                              <a:lumMod val="40000"/>
                              <a:lumOff val="60000"/>
                            </a:schemeClr>
                          </a:solidFill>
                          <a:prstDash val="solid"/>
                          <a:miter lim="800000"/>
                          <a:tailEnd type="non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F43FB3" id="Straight Connector 256" o:spid="_x0000_s1026" style="position:absolute;flip:x;z-index:25148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4.55pt,573.9pt" to="1092.55pt,5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" strokecolor="#bdd6ee [1304]" strokeweight="1.5pt">
                <v:stroke joinstyle="miter"/>
              </v:line>
            </w:pict>
          </mc:Fallback>
        </mc:AlternateContent>
      </w:r>
      <w:r w:rsidR="00E13963" w:rsidRPr="000F0299">
        <w:rPr>
          <w:rFonts w:ascii="Verdana" w:hAnsi="Verdana"/>
          <w:noProof/>
          <w:sz w:val="20"/>
          <w:lang w:val="en-US" w:eastAsia="en-US" w:bidi="ar-SA"/>
        </w:rPr>
        <mc:AlternateContent>
          <mc:Choice Requires="wps">
            <w:drawing>
              <wp:anchor distT="0" distB="0" distL="114300" distR="114300" simplePos="0" relativeHeight="251491840" behindDoc="0" locked="0" layoutInCell="1" allowOverlap="1" wp14:anchorId="6CC184D6" wp14:editId="18DCC0CC">
                <wp:simplePos x="0" y="0"/>
                <wp:positionH relativeFrom="column">
                  <wp:posOffset>11300460</wp:posOffset>
                </wp:positionH>
                <wp:positionV relativeFrom="paragraph">
                  <wp:posOffset>6623050</wp:posOffset>
                </wp:positionV>
                <wp:extent cx="2369820" cy="1040130"/>
                <wp:effectExtent l="19050" t="19050" r="11430" b="26670"/>
                <wp:wrapNone/>
                <wp:docPr id="218" name="Text Box 218"/>
                <wp:cNvGraphicFramePr/>
                <a:graphic xmlns:a="http://schemas.openxmlformats.org/drawingml/2006/main">
                  <a:graphicData uri="http://schemas.microsoft.com/office/word/2010/wordprocessingShape">
                    <wps:wsp>
                      <wps:cNvSpPr txBox="1"/>
                      <wps:spPr>
                        <a:xfrm>
                          <a:off x="0" y="0"/>
                          <a:ext cx="2369820" cy="104013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3B62FF79" w14:textId="77777777" w:rsidR="00876FFE" w:rsidRPr="001266B3" w:rsidRDefault="00876FFE" w:rsidP="00E13963">
                            <w:pPr>
                              <w:spacing w:before="0" w:after="0"/>
                              <w:jc w:val="center"/>
                              <w:rPr>
                                <w:rFonts w:asciiTheme="minorHAnsi" w:hAnsiTheme="minorHAnsi" w:cstheme="minorHAnsi"/>
                                <w:sz w:val="22"/>
                                <w:szCs w:val="22"/>
                              </w:rPr>
                            </w:pPr>
                            <w:r w:rsidRPr="001266B3">
                              <w:rPr>
                                <w:rFonts w:asciiTheme="minorHAnsi" w:hAnsiTheme="minorHAnsi" w:cstheme="minorHAnsi"/>
                                <w:sz w:val="22"/>
                                <w:szCs w:val="22"/>
                              </w:rPr>
                              <w:t>Непостојање довољног броја адекватних регистара</w:t>
                            </w:r>
                            <w:r w:rsidRPr="001266B3">
                              <w:rPr>
                                <w:rFonts w:asciiTheme="minorHAnsi" w:hAnsiTheme="minorHAnsi" w:cstheme="minorHAnsi"/>
                                <w:sz w:val="22"/>
                                <w:szCs w:val="22"/>
                              </w:rPr>
                              <w:br/>
                              <w:t>Непостојање система за мерење и извештавање о задовољству корисника пруженим услугама</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CC184D6" id="Text Box 218" o:spid="_x0000_s1203" style="position:absolute;left:0;text-align:left;margin-left:889.8pt;margin-top:521.5pt;width:186.6pt;height:81.9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" fillcolor="window" strokecolor="#deeaf6 [664]" strokeweight="2.25pt">
                <v:stroke joinstyle="miter"/>
                <v:textbox inset="1mm,0,1mm,1mm">
                  <w:txbxContent>
                    <w:p w14:paraId="3B62FF79" w14:textId="77777777" w:rsidR="00876FFE" w:rsidRPr="001266B3" w:rsidRDefault="00876FFE" w:rsidP="00E13963">
                      <w:pPr>
                        <w:spacing w:before="0" w:after="0"/>
                        <w:jc w:val="center"/>
                        <w:rPr>
                          <w:rFonts w:asciiTheme="minorHAnsi" w:hAnsiTheme="minorHAnsi" w:cstheme="minorHAnsi"/>
                          <w:sz w:val="22"/>
                          <w:szCs w:val="22"/>
                        </w:rPr>
                      </w:pPr>
                      <w:r w:rsidRPr="001266B3">
                        <w:rPr>
                          <w:rFonts w:asciiTheme="minorHAnsi" w:hAnsiTheme="minorHAnsi" w:cstheme="minorHAnsi"/>
                          <w:sz w:val="22"/>
                          <w:szCs w:val="22"/>
                        </w:rPr>
                        <w:t xml:space="preserve">Непостојање </w:t>
                      </w:r>
                      <w:r w:rsidRPr="001266B3">
                        <w:rPr>
                          <w:rFonts w:asciiTheme="minorHAnsi" w:hAnsiTheme="minorHAnsi" w:cstheme="minorHAnsi"/>
                          <w:sz w:val="22"/>
                          <w:szCs w:val="22"/>
                        </w:rPr>
                        <w:t>довољног броја адекватних регистара</w:t>
                      </w:r>
                      <w:r w:rsidRPr="001266B3">
                        <w:rPr>
                          <w:rFonts w:asciiTheme="minorHAnsi" w:hAnsiTheme="minorHAnsi" w:cstheme="minorHAnsi"/>
                          <w:sz w:val="22"/>
                          <w:szCs w:val="22"/>
                        </w:rPr>
                        <w:br/>
                        <w:t>Непостојање система за мерење и извештавање о задовољству корисника пруженим услугама</w:t>
                      </w:r>
                    </w:p>
                  </w:txbxContent>
                </v:textbox>
              </v:roundrect>
            </w:pict>
          </mc:Fallback>
        </mc:AlternateContent>
      </w:r>
      <w:r w:rsidR="00E13963" w:rsidRPr="000F0299">
        <w:rPr>
          <w:rFonts w:ascii="Verdana" w:hAnsi="Verdana"/>
          <w:noProof/>
          <w:sz w:val="20"/>
          <w:lang w:val="en-US" w:eastAsia="en-US" w:bidi="ar-SA"/>
        </w:rPr>
        <mc:AlternateContent>
          <mc:Choice Requires="wps">
            <w:drawing>
              <wp:anchor distT="0" distB="0" distL="114300" distR="114300" simplePos="0" relativeHeight="251490816" behindDoc="0" locked="0" layoutInCell="1" allowOverlap="1" wp14:anchorId="69108B85" wp14:editId="67DD0549">
                <wp:simplePos x="0" y="0"/>
                <wp:positionH relativeFrom="column">
                  <wp:posOffset>11483975</wp:posOffset>
                </wp:positionH>
                <wp:positionV relativeFrom="paragraph">
                  <wp:posOffset>5596890</wp:posOffset>
                </wp:positionV>
                <wp:extent cx="2033270" cy="698500"/>
                <wp:effectExtent l="19050" t="19050" r="24130" b="25400"/>
                <wp:wrapNone/>
                <wp:docPr id="255" name="Text Box 255"/>
                <wp:cNvGraphicFramePr/>
                <a:graphic xmlns:a="http://schemas.openxmlformats.org/drawingml/2006/main">
                  <a:graphicData uri="http://schemas.microsoft.com/office/word/2010/wordprocessingShape">
                    <wps:wsp>
                      <wps:cNvSpPr txBox="1"/>
                      <wps:spPr>
                        <a:xfrm>
                          <a:off x="0" y="0"/>
                          <a:ext cx="2033270" cy="69850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5FEFA311" w14:textId="77777777" w:rsidR="00876FFE" w:rsidRPr="000B22C0" w:rsidRDefault="00876FFE" w:rsidP="00E13963">
                            <w:pPr>
                              <w:spacing w:before="0"/>
                              <w:ind w:firstLine="0"/>
                              <w:jc w:val="center"/>
                              <w:rPr>
                                <w:rFonts w:asciiTheme="minorHAnsi" w:hAnsiTheme="minorHAnsi" w:cstheme="minorHAnsi"/>
                                <w:sz w:val="22"/>
                                <w:szCs w:val="22"/>
                              </w:rPr>
                            </w:pPr>
                            <w:r w:rsidRPr="000B22C0">
                              <w:rPr>
                                <w:rFonts w:asciiTheme="minorHAnsi" w:hAnsiTheme="minorHAnsi" w:cstheme="minorHAnsi"/>
                                <w:sz w:val="22"/>
                                <w:szCs w:val="22"/>
                              </w:rPr>
                              <w:t>Неадекватан правни оквир за даљи развој квалитета јавне управе</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108B85" id="Text Box 255" o:spid="_x0000_s1204" style="position:absolute;left:0;text-align:left;margin-left:904.25pt;margin-top:440.7pt;width:160.1pt;height:5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" fillcolor="window" strokecolor="#deeaf6 [664]" strokeweight="2.25pt">
                <v:stroke joinstyle="miter"/>
                <v:textbox inset="1mm,1mm,1mm,1mm">
                  <w:txbxContent>
                    <w:p w14:paraId="5FEFA311" w14:textId="77777777" w:rsidR="00876FFE" w:rsidRPr="000B22C0" w:rsidRDefault="00876FFE" w:rsidP="00E13963">
                      <w:pPr>
                        <w:spacing w:before="0"/>
                        <w:ind w:firstLine="0"/>
                        <w:jc w:val="center"/>
                        <w:rPr>
                          <w:rFonts w:asciiTheme="minorHAnsi" w:hAnsiTheme="minorHAnsi" w:cstheme="minorHAnsi"/>
                          <w:sz w:val="22"/>
                          <w:szCs w:val="22"/>
                        </w:rPr>
                      </w:pPr>
                      <w:r w:rsidRPr="000B22C0">
                        <w:rPr>
                          <w:rFonts w:asciiTheme="minorHAnsi" w:hAnsiTheme="minorHAnsi" w:cstheme="minorHAnsi"/>
                          <w:sz w:val="22"/>
                          <w:szCs w:val="22"/>
                        </w:rPr>
                        <w:t xml:space="preserve">Неадекватан </w:t>
                      </w:r>
                      <w:r w:rsidRPr="000B22C0">
                        <w:rPr>
                          <w:rFonts w:asciiTheme="minorHAnsi" w:hAnsiTheme="minorHAnsi" w:cstheme="minorHAnsi"/>
                          <w:sz w:val="22"/>
                          <w:szCs w:val="22"/>
                        </w:rPr>
                        <w:t>правни оквир за даљи развој квалитета јавне управе</w:t>
                      </w:r>
                    </w:p>
                  </w:txbxContent>
                </v:textbox>
              </v:roundrect>
            </w:pict>
          </mc:Fallback>
        </mc:AlternateContent>
      </w:r>
      <w:r w:rsidR="00E13963" w:rsidRPr="000F0299">
        <w:rPr>
          <w:rFonts w:ascii="Verdana" w:hAnsi="Verdana"/>
          <w:noProof/>
          <w:sz w:val="20"/>
          <w:lang w:val="en-US" w:eastAsia="en-US" w:bidi="ar-SA"/>
        </w:rPr>
        <mc:AlternateContent>
          <mc:Choice Requires="wpg">
            <w:drawing>
              <wp:anchor distT="0" distB="0" distL="114300" distR="114300" simplePos="0" relativeHeight="251479552" behindDoc="0" locked="0" layoutInCell="1" allowOverlap="1" wp14:anchorId="3F27A59B" wp14:editId="25209DAF">
                <wp:simplePos x="0" y="0"/>
                <wp:positionH relativeFrom="column">
                  <wp:posOffset>9117330</wp:posOffset>
                </wp:positionH>
                <wp:positionV relativeFrom="paragraph">
                  <wp:posOffset>4074160</wp:posOffset>
                </wp:positionV>
                <wp:extent cx="4766310" cy="3192780"/>
                <wp:effectExtent l="19050" t="76200" r="15240" b="26670"/>
                <wp:wrapNone/>
                <wp:docPr id="609" name="Group 609"/>
                <wp:cNvGraphicFramePr/>
                <a:graphic xmlns:a="http://schemas.openxmlformats.org/drawingml/2006/main">
                  <a:graphicData uri="http://schemas.microsoft.com/office/word/2010/wordprocessingGroup">
                    <wpg:wgp>
                      <wpg:cNvGrpSpPr/>
                      <wpg:grpSpPr>
                        <a:xfrm>
                          <a:off x="0" y="0"/>
                          <a:ext cx="4766310" cy="3192780"/>
                          <a:chOff x="0" y="0"/>
                          <a:chExt cx="4766310" cy="3192780"/>
                        </a:xfrm>
                      </wpg:grpSpPr>
                      <wps:wsp>
                        <wps:cNvPr id="224" name="Text Box 224"/>
                        <wps:cNvSpPr txBox="1"/>
                        <wps:spPr>
                          <a:xfrm>
                            <a:off x="0" y="422910"/>
                            <a:ext cx="1031875" cy="892629"/>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074FA26A" w14:textId="77777777" w:rsidR="00876FFE" w:rsidRPr="007A5C02" w:rsidRDefault="00876FFE" w:rsidP="00E13963">
                              <w:pPr>
                                <w:spacing w:before="0" w:after="0"/>
                                <w:ind w:firstLine="0"/>
                                <w:jc w:val="center"/>
                                <w:rPr>
                                  <w:rFonts w:asciiTheme="minorHAnsi" w:hAnsiTheme="minorHAnsi" w:cstheme="minorHAnsi"/>
                                  <w:spacing w:val="-2"/>
                                  <w:sz w:val="22"/>
                                  <w:szCs w:val="22"/>
                                </w:rPr>
                              </w:pPr>
                              <w:r w:rsidRPr="007A5C02">
                                <w:rPr>
                                  <w:rFonts w:asciiTheme="minorHAnsi" w:hAnsiTheme="minorHAnsi" w:cstheme="minorHAnsi"/>
                                  <w:spacing w:val="-20"/>
                                  <w:sz w:val="22"/>
                                  <w:szCs w:val="22"/>
                                </w:rPr>
                                <w:t xml:space="preserve">Непостојање </w:t>
                              </w:r>
                              <w:r w:rsidRPr="007A5C02">
                                <w:rPr>
                                  <w:rFonts w:asciiTheme="minorHAnsi" w:hAnsiTheme="minorHAnsi" w:cstheme="minorHAnsi"/>
                                  <w:spacing w:val="-2"/>
                                  <w:sz w:val="22"/>
                                  <w:szCs w:val="22"/>
                                </w:rPr>
                                <w:t>стандарда у пружању услуга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23" name="Text Box 223"/>
                        <wps:cNvSpPr txBox="1"/>
                        <wps:spPr>
                          <a:xfrm>
                            <a:off x="1036320" y="422910"/>
                            <a:ext cx="1063625" cy="906236"/>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15166AD1" w14:textId="77777777" w:rsidR="00876FFE" w:rsidRPr="007A5C02" w:rsidRDefault="00876FFE" w:rsidP="00E13963">
                              <w:pPr>
                                <w:spacing w:before="0"/>
                                <w:ind w:firstLine="0"/>
                                <w:jc w:val="center"/>
                                <w:rPr>
                                  <w:rFonts w:asciiTheme="minorHAnsi" w:hAnsiTheme="minorHAnsi" w:cstheme="minorHAnsi"/>
                                  <w:spacing w:val="-2"/>
                                  <w:sz w:val="22"/>
                                  <w:szCs w:val="22"/>
                                </w:rPr>
                              </w:pPr>
                              <w:r w:rsidRPr="007A5C02">
                                <w:rPr>
                                  <w:rFonts w:asciiTheme="minorHAnsi" w:hAnsiTheme="minorHAnsi" w:cstheme="minorHAnsi"/>
                                  <w:spacing w:val="-16"/>
                                  <w:sz w:val="22"/>
                                  <w:szCs w:val="22"/>
                                </w:rPr>
                                <w:t xml:space="preserve">Недовољно постојање </w:t>
                              </w:r>
                              <w:r w:rsidRPr="007A5C02">
                                <w:rPr>
                                  <w:rFonts w:asciiTheme="minorHAnsi" w:hAnsiTheme="minorHAnsi" w:cstheme="minorHAnsi"/>
                                  <w:spacing w:val="-2"/>
                                  <w:sz w:val="22"/>
                                  <w:szCs w:val="22"/>
                                </w:rPr>
                                <w:t>адекватних регистара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9" name="Text Box 219"/>
                        <wps:cNvSpPr txBox="1"/>
                        <wps:spPr>
                          <a:xfrm>
                            <a:off x="3543300" y="422910"/>
                            <a:ext cx="1148080" cy="892629"/>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180C9125" w14:textId="77777777" w:rsidR="00876FFE" w:rsidRPr="007A5C02" w:rsidRDefault="00876FFE" w:rsidP="00E13963">
                              <w:pPr>
                                <w:spacing w:before="0"/>
                                <w:ind w:firstLine="0"/>
                                <w:jc w:val="center"/>
                                <w:rPr>
                                  <w:rFonts w:asciiTheme="minorHAnsi" w:hAnsiTheme="minorHAnsi" w:cstheme="minorHAnsi"/>
                                  <w:sz w:val="22"/>
                                  <w:szCs w:val="22"/>
                                </w:rPr>
                              </w:pPr>
                              <w:r w:rsidRPr="007A5C02">
                                <w:rPr>
                                  <w:rFonts w:asciiTheme="minorHAnsi" w:hAnsiTheme="minorHAnsi" w:cstheme="minorHAnsi"/>
                                  <w:spacing w:val="-14"/>
                                  <w:sz w:val="22"/>
                                  <w:szCs w:val="22"/>
                                </w:rPr>
                                <w:t>Делимично адекватан</w:t>
                              </w:r>
                              <w:r w:rsidRPr="007A5C02">
                                <w:rPr>
                                  <w:rFonts w:asciiTheme="minorHAnsi" w:hAnsiTheme="minorHAnsi" w:cstheme="minorHAnsi"/>
                                  <w:spacing w:val="-18"/>
                                  <w:sz w:val="22"/>
                                  <w:szCs w:val="22"/>
                                </w:rPr>
                                <w:t xml:space="preserve"> инспекцијски</w:t>
                              </w:r>
                              <w:r w:rsidRPr="007A5C02">
                                <w:rPr>
                                  <w:rFonts w:asciiTheme="minorHAnsi" w:hAnsiTheme="minorHAnsi" w:cstheme="minorHAnsi"/>
                                  <w:sz w:val="22"/>
                                  <w:szCs w:val="22"/>
                                </w:rPr>
                                <w:t xml:space="preserve"> надзор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22" name="Text Box 222"/>
                        <wps:cNvSpPr txBox="1"/>
                        <wps:spPr>
                          <a:xfrm>
                            <a:off x="2156460" y="422910"/>
                            <a:ext cx="1360805" cy="90614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3528FB47" w14:textId="77777777" w:rsidR="00876FFE" w:rsidRPr="007A5C02" w:rsidRDefault="00876FFE" w:rsidP="00E13963">
                              <w:pPr>
                                <w:spacing w:before="0" w:after="0"/>
                                <w:ind w:firstLine="0"/>
                                <w:jc w:val="center"/>
                                <w:rPr>
                                  <w:rFonts w:asciiTheme="minorHAnsi" w:hAnsiTheme="minorHAnsi" w:cstheme="minorHAnsi"/>
                                  <w:spacing w:val="-20"/>
                                  <w:sz w:val="22"/>
                                  <w:szCs w:val="22"/>
                                </w:rPr>
                              </w:pPr>
                              <w:r w:rsidRPr="007A5C02">
                                <w:rPr>
                                  <w:rFonts w:asciiTheme="minorHAnsi" w:hAnsiTheme="minorHAnsi" w:cstheme="minorHAnsi"/>
                                  <w:sz w:val="22"/>
                                  <w:szCs w:val="22"/>
                                </w:rPr>
                                <w:t xml:space="preserve">Непостојање система за </w:t>
                              </w:r>
                              <w:r w:rsidRPr="007A5C02">
                                <w:rPr>
                                  <w:rFonts w:asciiTheme="minorHAnsi" w:hAnsiTheme="minorHAnsi" w:cstheme="minorHAnsi"/>
                                  <w:spacing w:val="-12"/>
                                  <w:sz w:val="22"/>
                                  <w:szCs w:val="22"/>
                                </w:rPr>
                                <w:t>мерење учинака у пружању услуга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20" name="Straight Arrow Connector 220"/>
                        <wps:cNvCnPr/>
                        <wps:spPr>
                          <a:xfrm flipV="1">
                            <a:off x="4042410" y="1280160"/>
                            <a:ext cx="0" cy="28765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21" name="Straight Arrow Connector 221"/>
                        <wps:cNvCnPr/>
                        <wps:spPr>
                          <a:xfrm flipV="1">
                            <a:off x="2876550" y="1280160"/>
                            <a:ext cx="0" cy="28765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58" name="Straight Connector 258"/>
                        <wps:cNvCnPr/>
                        <wps:spPr>
                          <a:xfrm flipH="1">
                            <a:off x="4766310" y="15240"/>
                            <a:ext cx="0" cy="3177540"/>
                          </a:xfrm>
                          <a:prstGeom prst="line">
                            <a:avLst/>
                          </a:prstGeom>
                          <a:noFill/>
                          <a:ln w="19050" cap="flat" cmpd="sng" algn="ctr">
                            <a:solidFill>
                              <a:schemeClr val="accent5">
                                <a:lumMod val="40000"/>
                                <a:lumOff val="60000"/>
                              </a:schemeClr>
                            </a:solidFill>
                            <a:prstDash val="solid"/>
                            <a:miter lim="800000"/>
                            <a:tailEnd type="none"/>
                          </a:ln>
                          <a:effectLst/>
                        </wps:spPr>
                        <wps:bodyPr/>
                      </wps:wsp>
                      <wps:wsp>
                        <wps:cNvPr id="257" name="Straight Arrow Connector 257"/>
                        <wps:cNvCnPr/>
                        <wps:spPr>
                          <a:xfrm flipH="1">
                            <a:off x="4408170" y="0"/>
                            <a:ext cx="355600" cy="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27A59B" id="Group 609" o:spid="_x0000_s1205" style="position:absolute;left:0;text-align:left;margin-left:717.9pt;margin-top:320.8pt;width:375.3pt;height:251.4pt;z-index:251479552" coordsize="47663,3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">
                <v:roundrect id="Text Box 224" o:spid="_x0000_s1206" style="position:absolute;top:4229;width:10318;height:8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" fillcolor="window" strokecolor="#deeaf6 [664]" strokeweight="2.25pt">
                  <v:stroke joinstyle="miter"/>
                  <v:textbox inset="1mm,1mm,1mm,1mm">
                    <w:txbxContent>
                      <w:p w14:paraId="074FA26A" w14:textId="77777777" w:rsidR="00876FFE" w:rsidRPr="007A5C02" w:rsidRDefault="00876FFE" w:rsidP="00E13963">
                        <w:pPr>
                          <w:spacing w:before="0" w:after="0"/>
                          <w:ind w:firstLine="0"/>
                          <w:jc w:val="center"/>
                          <w:rPr>
                            <w:rFonts w:asciiTheme="minorHAnsi" w:hAnsiTheme="minorHAnsi" w:cstheme="minorHAnsi"/>
                            <w:spacing w:val="-2"/>
                            <w:sz w:val="22"/>
                            <w:szCs w:val="22"/>
                          </w:rPr>
                        </w:pPr>
                        <w:r w:rsidRPr="007A5C02">
                          <w:rPr>
                            <w:rFonts w:asciiTheme="minorHAnsi" w:hAnsiTheme="minorHAnsi" w:cstheme="minorHAnsi"/>
                            <w:spacing w:val="-20"/>
                            <w:sz w:val="22"/>
                            <w:szCs w:val="22"/>
                          </w:rPr>
                          <w:t xml:space="preserve">Непостојање </w:t>
                        </w:r>
                        <w:r w:rsidRPr="007A5C02">
                          <w:rPr>
                            <w:rFonts w:asciiTheme="minorHAnsi" w:hAnsiTheme="minorHAnsi" w:cstheme="minorHAnsi"/>
                            <w:spacing w:val="-2"/>
                            <w:sz w:val="22"/>
                            <w:szCs w:val="22"/>
                          </w:rPr>
                          <w:t>стандарда у пружању услуга</w:t>
                        </w:r>
                      </w:p>
                    </w:txbxContent>
                  </v:textbox>
                </v:roundrect>
                <v:roundrect id="Text Box 223" o:spid="_x0000_s1207" style="position:absolute;left:10363;top:4229;width:10636;height:9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" fillcolor="window" strokecolor="#deeaf6 [664]" strokeweight="2.25pt">
                  <v:stroke joinstyle="miter"/>
                  <v:textbox inset="1mm,1mm,1mm,1mm">
                    <w:txbxContent>
                      <w:p w14:paraId="15166AD1" w14:textId="77777777" w:rsidR="00876FFE" w:rsidRPr="007A5C02" w:rsidRDefault="00876FFE" w:rsidP="00E13963">
                        <w:pPr>
                          <w:spacing w:before="0"/>
                          <w:ind w:firstLine="0"/>
                          <w:jc w:val="center"/>
                          <w:rPr>
                            <w:rFonts w:asciiTheme="minorHAnsi" w:hAnsiTheme="minorHAnsi" w:cstheme="minorHAnsi"/>
                            <w:spacing w:val="-2"/>
                            <w:sz w:val="22"/>
                            <w:szCs w:val="22"/>
                          </w:rPr>
                        </w:pPr>
                        <w:r w:rsidRPr="007A5C02">
                          <w:rPr>
                            <w:rFonts w:asciiTheme="minorHAnsi" w:hAnsiTheme="minorHAnsi" w:cstheme="minorHAnsi"/>
                            <w:spacing w:val="-16"/>
                            <w:sz w:val="22"/>
                            <w:szCs w:val="22"/>
                          </w:rPr>
                          <w:t xml:space="preserve">Недовољно </w:t>
                        </w:r>
                        <w:r w:rsidRPr="007A5C02">
                          <w:rPr>
                            <w:rFonts w:asciiTheme="minorHAnsi" w:hAnsiTheme="minorHAnsi" w:cstheme="minorHAnsi"/>
                            <w:spacing w:val="-16"/>
                            <w:sz w:val="22"/>
                            <w:szCs w:val="22"/>
                          </w:rPr>
                          <w:t xml:space="preserve">постојање </w:t>
                        </w:r>
                        <w:r w:rsidRPr="007A5C02">
                          <w:rPr>
                            <w:rFonts w:asciiTheme="minorHAnsi" w:hAnsiTheme="minorHAnsi" w:cstheme="minorHAnsi"/>
                            <w:spacing w:val="-2"/>
                            <w:sz w:val="22"/>
                            <w:szCs w:val="22"/>
                          </w:rPr>
                          <w:t>адекватних регистара</w:t>
                        </w:r>
                      </w:p>
                    </w:txbxContent>
                  </v:textbox>
                </v:roundrect>
                <v:roundrect id="Text Box 219" o:spid="_x0000_s1208" style="position:absolute;left:35433;top:4229;width:11480;height:8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" fillcolor="window" strokecolor="#deeaf6 [664]" strokeweight="2.25pt">
                  <v:stroke joinstyle="miter"/>
                  <v:textbox inset="1mm,1mm,1mm,1mm">
                    <w:txbxContent>
                      <w:p w14:paraId="180C9125" w14:textId="77777777" w:rsidR="00876FFE" w:rsidRPr="007A5C02" w:rsidRDefault="00876FFE" w:rsidP="00E13963">
                        <w:pPr>
                          <w:spacing w:before="0"/>
                          <w:ind w:firstLine="0"/>
                          <w:jc w:val="center"/>
                          <w:rPr>
                            <w:rFonts w:asciiTheme="minorHAnsi" w:hAnsiTheme="minorHAnsi" w:cstheme="minorHAnsi"/>
                            <w:sz w:val="22"/>
                            <w:szCs w:val="22"/>
                          </w:rPr>
                        </w:pPr>
                        <w:r w:rsidRPr="007A5C02">
                          <w:rPr>
                            <w:rFonts w:asciiTheme="minorHAnsi" w:hAnsiTheme="minorHAnsi" w:cstheme="minorHAnsi"/>
                            <w:spacing w:val="-14"/>
                            <w:sz w:val="22"/>
                            <w:szCs w:val="22"/>
                          </w:rPr>
                          <w:t xml:space="preserve">Делимично </w:t>
                        </w:r>
                        <w:r w:rsidRPr="007A5C02">
                          <w:rPr>
                            <w:rFonts w:asciiTheme="minorHAnsi" w:hAnsiTheme="minorHAnsi" w:cstheme="minorHAnsi"/>
                            <w:spacing w:val="-14"/>
                            <w:sz w:val="22"/>
                            <w:szCs w:val="22"/>
                          </w:rPr>
                          <w:t>адекватан</w:t>
                        </w:r>
                        <w:r w:rsidRPr="007A5C02">
                          <w:rPr>
                            <w:rFonts w:asciiTheme="minorHAnsi" w:hAnsiTheme="minorHAnsi" w:cstheme="minorHAnsi"/>
                            <w:spacing w:val="-18"/>
                            <w:sz w:val="22"/>
                            <w:szCs w:val="22"/>
                          </w:rPr>
                          <w:t xml:space="preserve"> инспекцијски</w:t>
                        </w:r>
                        <w:r w:rsidRPr="007A5C02">
                          <w:rPr>
                            <w:rFonts w:asciiTheme="minorHAnsi" w:hAnsiTheme="minorHAnsi" w:cstheme="minorHAnsi"/>
                            <w:sz w:val="22"/>
                            <w:szCs w:val="22"/>
                          </w:rPr>
                          <w:t xml:space="preserve"> надзор</w:t>
                        </w:r>
                      </w:p>
                    </w:txbxContent>
                  </v:textbox>
                </v:roundrect>
                <v:roundrect id="Text Box 222" o:spid="_x0000_s1209" style="position:absolute;left:21564;top:4229;width:13608;height:9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" fillcolor="window" strokecolor="#deeaf6 [664]" strokeweight="2.25pt">
                  <v:stroke joinstyle="miter"/>
                  <v:textbox inset="1mm,1mm,1mm,1mm">
                    <w:txbxContent>
                      <w:p w14:paraId="3528FB47" w14:textId="77777777" w:rsidR="00876FFE" w:rsidRPr="007A5C02" w:rsidRDefault="00876FFE" w:rsidP="00E13963">
                        <w:pPr>
                          <w:spacing w:before="0" w:after="0"/>
                          <w:ind w:firstLine="0"/>
                          <w:jc w:val="center"/>
                          <w:rPr>
                            <w:rFonts w:asciiTheme="minorHAnsi" w:hAnsiTheme="minorHAnsi" w:cstheme="minorHAnsi"/>
                            <w:spacing w:val="-20"/>
                            <w:sz w:val="22"/>
                            <w:szCs w:val="22"/>
                          </w:rPr>
                        </w:pPr>
                        <w:r w:rsidRPr="007A5C02">
                          <w:rPr>
                            <w:rFonts w:asciiTheme="minorHAnsi" w:hAnsiTheme="minorHAnsi" w:cstheme="minorHAnsi"/>
                            <w:sz w:val="22"/>
                            <w:szCs w:val="22"/>
                          </w:rPr>
                          <w:t xml:space="preserve">Непостојање </w:t>
                        </w:r>
                        <w:r w:rsidRPr="007A5C02">
                          <w:rPr>
                            <w:rFonts w:asciiTheme="minorHAnsi" w:hAnsiTheme="minorHAnsi" w:cstheme="minorHAnsi"/>
                            <w:sz w:val="22"/>
                            <w:szCs w:val="22"/>
                          </w:rPr>
                          <w:t xml:space="preserve">система за </w:t>
                        </w:r>
                        <w:r w:rsidRPr="007A5C02">
                          <w:rPr>
                            <w:rFonts w:asciiTheme="minorHAnsi" w:hAnsiTheme="minorHAnsi" w:cstheme="minorHAnsi"/>
                            <w:spacing w:val="-12"/>
                            <w:sz w:val="22"/>
                            <w:szCs w:val="22"/>
                          </w:rPr>
                          <w:t>мерење учинака у пружању услуга</w:t>
                        </w:r>
                      </w:p>
                    </w:txbxContent>
                  </v:textbox>
                </v:roundrect>
                <v:shape id="Straight Arrow Connector 220" o:spid="_x0000_s1210" type="#_x0000_t32" style="position:absolute;left:40424;top:12801;width:0;height:2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" strokecolor="#bdd6ee [1304]" strokeweight="1.5pt">
                  <v:stroke endarrow="block" joinstyle="miter"/>
                </v:shape>
                <v:shape id="Straight Arrow Connector 221" o:spid="_x0000_s1211" type="#_x0000_t32" style="position:absolute;left:28765;top:12801;width:0;height:2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" strokecolor="#bdd6ee [1304]" strokeweight="1.5pt">
                  <v:stroke endarrow="block" joinstyle="miter"/>
                </v:shape>
                <v:line id="Straight Connector 258" o:spid="_x0000_s1212" style="position:absolute;flip:x;visibility:visible;mso-wrap-style:square" from="47663,152" to="47663,3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" strokecolor="#bdd6ee [1304]" strokeweight="1.5pt">
                  <v:stroke joinstyle="miter"/>
                </v:line>
                <v:shape id="Straight Arrow Connector 257" o:spid="_x0000_s1213" type="#_x0000_t32" style="position:absolute;left:44081;width:35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" strokecolor="#bdd6ee [1304]" strokeweight="1.5pt">
                  <v:stroke endarrow="block" joinstyle="miter"/>
                </v:shape>
              </v:group>
            </w:pict>
          </mc:Fallback>
        </mc:AlternateContent>
      </w:r>
      <w:r w:rsidR="00E13963" w:rsidRPr="000F0299">
        <w:rPr>
          <w:rFonts w:ascii="Verdana" w:hAnsi="Verdana"/>
          <w:noProof/>
          <w:sz w:val="20"/>
          <w:lang w:val="en-US" w:eastAsia="en-US" w:bidi="ar-SA"/>
        </w:rPr>
        <mc:AlternateContent>
          <mc:Choice Requires="wps">
            <w:drawing>
              <wp:anchor distT="0" distB="0" distL="114300" distR="114300" simplePos="0" relativeHeight="251475456" behindDoc="0" locked="0" layoutInCell="1" allowOverlap="1" wp14:anchorId="6628BA48" wp14:editId="6F4E0615">
                <wp:simplePos x="0" y="0"/>
                <wp:positionH relativeFrom="column">
                  <wp:posOffset>5668010</wp:posOffset>
                </wp:positionH>
                <wp:positionV relativeFrom="paragraph">
                  <wp:posOffset>4474845</wp:posOffset>
                </wp:positionV>
                <wp:extent cx="1601470" cy="1232535"/>
                <wp:effectExtent l="19050" t="19050" r="17780" b="24765"/>
                <wp:wrapNone/>
                <wp:docPr id="266" name="Text Box 266"/>
                <wp:cNvGraphicFramePr/>
                <a:graphic xmlns:a="http://schemas.openxmlformats.org/drawingml/2006/main">
                  <a:graphicData uri="http://schemas.microsoft.com/office/word/2010/wordprocessingShape">
                    <wps:wsp>
                      <wps:cNvSpPr txBox="1"/>
                      <wps:spPr>
                        <a:xfrm>
                          <a:off x="0" y="0"/>
                          <a:ext cx="1601470" cy="123253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36054CDE" w14:textId="77777777" w:rsidR="00876FFE" w:rsidRPr="008412BD" w:rsidRDefault="00876FFE" w:rsidP="00E13963">
                            <w:pPr>
                              <w:spacing w:before="0" w:after="0"/>
                              <w:ind w:firstLine="0"/>
                              <w:jc w:val="center"/>
                              <w:rPr>
                                <w:rFonts w:asciiTheme="minorHAnsi" w:hAnsiTheme="minorHAnsi" w:cstheme="minorHAnsi"/>
                                <w:sz w:val="22"/>
                                <w:szCs w:val="22"/>
                              </w:rPr>
                            </w:pPr>
                            <w:r w:rsidRPr="008412BD">
                              <w:rPr>
                                <w:rFonts w:asciiTheme="minorHAnsi" w:hAnsiTheme="minorHAnsi" w:cstheme="minorHAnsi"/>
                                <w:sz w:val="22"/>
                                <w:szCs w:val="22"/>
                              </w:rPr>
                              <w:t>Неефикасна алокација и управљање ресурсима по областима пружања услуга и између различитих нивоа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28BA48" id="Text Box 266" o:spid="_x0000_s1214" style="position:absolute;left:0;text-align:left;margin-left:446.3pt;margin-top:352.35pt;width:126.1pt;height:97.0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" fillcolor="window" strokecolor="#deeaf6 [664]" strokeweight="2.25pt">
                <v:stroke joinstyle="miter"/>
                <v:textbox inset="1mm,1mm,1mm,1mm">
                  <w:txbxContent>
                    <w:p w14:paraId="36054CDE" w14:textId="77777777" w:rsidR="00876FFE" w:rsidRPr="008412BD" w:rsidRDefault="00876FFE" w:rsidP="00E13963">
                      <w:pPr>
                        <w:spacing w:before="0" w:after="0"/>
                        <w:ind w:firstLine="0"/>
                        <w:jc w:val="center"/>
                        <w:rPr>
                          <w:rFonts w:asciiTheme="minorHAnsi" w:hAnsiTheme="minorHAnsi" w:cstheme="minorHAnsi"/>
                          <w:sz w:val="22"/>
                          <w:szCs w:val="22"/>
                        </w:rPr>
                      </w:pPr>
                      <w:r w:rsidRPr="008412BD">
                        <w:rPr>
                          <w:rFonts w:asciiTheme="minorHAnsi" w:hAnsiTheme="minorHAnsi" w:cstheme="minorHAnsi"/>
                          <w:sz w:val="22"/>
                          <w:szCs w:val="22"/>
                        </w:rPr>
                        <w:t xml:space="preserve">Неефикасна </w:t>
                      </w:r>
                      <w:r w:rsidRPr="008412BD">
                        <w:rPr>
                          <w:rFonts w:asciiTheme="minorHAnsi" w:hAnsiTheme="minorHAnsi" w:cstheme="minorHAnsi"/>
                          <w:sz w:val="22"/>
                          <w:szCs w:val="22"/>
                        </w:rPr>
                        <w:t>алокација и управљање ресурсима по областима пружања услуга и између различитих нивоа</w:t>
                      </w:r>
                    </w:p>
                  </w:txbxContent>
                </v:textbox>
              </v:roundrect>
            </w:pict>
          </mc:Fallback>
        </mc:AlternateContent>
      </w:r>
      <w:r w:rsidR="00E13963" w:rsidRPr="000F0299">
        <w:rPr>
          <w:rFonts w:ascii="Verdana" w:hAnsi="Verdana"/>
          <w:noProof/>
          <w:sz w:val="20"/>
          <w:lang w:val="en-US" w:eastAsia="en-US" w:bidi="ar-SA"/>
        </w:rPr>
        <mc:AlternateContent>
          <mc:Choice Requires="wpg">
            <w:drawing>
              <wp:anchor distT="0" distB="0" distL="114300" distR="114300" simplePos="0" relativeHeight="251484672" behindDoc="0" locked="0" layoutInCell="1" allowOverlap="1" wp14:anchorId="039A7A0D" wp14:editId="1F4C46B9">
                <wp:simplePos x="0" y="0"/>
                <wp:positionH relativeFrom="column">
                  <wp:posOffset>-328930</wp:posOffset>
                </wp:positionH>
                <wp:positionV relativeFrom="paragraph">
                  <wp:posOffset>4456339</wp:posOffset>
                </wp:positionV>
                <wp:extent cx="4075793" cy="2304777"/>
                <wp:effectExtent l="19050" t="19050" r="20320" b="19685"/>
                <wp:wrapNone/>
                <wp:docPr id="606" name="Group 606"/>
                <wp:cNvGraphicFramePr/>
                <a:graphic xmlns:a="http://schemas.openxmlformats.org/drawingml/2006/main">
                  <a:graphicData uri="http://schemas.microsoft.com/office/word/2010/wordprocessingGroup">
                    <wpg:wgp>
                      <wpg:cNvGrpSpPr/>
                      <wpg:grpSpPr>
                        <a:xfrm>
                          <a:off x="0" y="0"/>
                          <a:ext cx="4075793" cy="2304777"/>
                          <a:chOff x="0" y="0"/>
                          <a:chExt cx="4075793" cy="2304777"/>
                        </a:xfrm>
                      </wpg:grpSpPr>
                      <wps:wsp>
                        <wps:cNvPr id="269" name="Text Box 269"/>
                        <wps:cNvSpPr txBox="1"/>
                        <wps:spPr>
                          <a:xfrm>
                            <a:off x="0" y="0"/>
                            <a:ext cx="1526540" cy="91440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0462ACDB" w14:textId="77777777" w:rsidR="00876FFE" w:rsidRPr="008412BD" w:rsidRDefault="00876FFE" w:rsidP="00E13963">
                              <w:pPr>
                                <w:spacing w:before="0" w:after="0"/>
                                <w:ind w:firstLine="0"/>
                                <w:jc w:val="center"/>
                                <w:rPr>
                                  <w:rFonts w:asciiTheme="minorHAnsi" w:hAnsiTheme="minorHAnsi" w:cstheme="minorHAnsi"/>
                                  <w:sz w:val="22"/>
                                  <w:szCs w:val="22"/>
                                </w:rPr>
                              </w:pPr>
                              <w:r w:rsidRPr="008412BD">
                                <w:rPr>
                                  <w:rFonts w:asciiTheme="minorHAnsi" w:hAnsiTheme="minorHAnsi" w:cstheme="minorHAnsi"/>
                                  <w:sz w:val="22"/>
                                  <w:szCs w:val="22"/>
                                </w:rPr>
                                <w:t>Недовољно укључивање јавности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25" name="Text Box 225"/>
                        <wps:cNvSpPr txBox="1"/>
                        <wps:spPr>
                          <a:xfrm>
                            <a:off x="2177143" y="0"/>
                            <a:ext cx="1898650" cy="94932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588DF69E" w14:textId="77777777" w:rsidR="00876FFE" w:rsidRPr="008412BD" w:rsidRDefault="00876FFE" w:rsidP="00E13963">
                              <w:pPr>
                                <w:spacing w:before="0" w:after="0"/>
                                <w:ind w:firstLine="0"/>
                                <w:jc w:val="center"/>
                                <w:rPr>
                                  <w:rFonts w:asciiTheme="minorHAnsi" w:hAnsiTheme="minorHAnsi" w:cstheme="minorHAnsi"/>
                                  <w:sz w:val="22"/>
                                  <w:szCs w:val="22"/>
                                </w:rPr>
                              </w:pPr>
                              <w:r w:rsidRPr="008412BD">
                                <w:rPr>
                                  <w:rFonts w:asciiTheme="minorHAnsi" w:hAnsiTheme="minorHAnsi" w:cstheme="minorHAnsi"/>
                                  <w:sz w:val="22"/>
                                  <w:szCs w:val="22"/>
                                </w:rPr>
                                <w:t xml:space="preserve">Непостојање јединствене </w:t>
                              </w:r>
                              <w:r w:rsidRPr="008412BD">
                                <w:rPr>
                                  <w:rFonts w:asciiTheme="minorHAnsi" w:hAnsiTheme="minorHAnsi" w:cstheme="minorHAnsi"/>
                                  <w:spacing w:val="-18"/>
                                  <w:sz w:val="22"/>
                                  <w:szCs w:val="22"/>
                                </w:rPr>
                                <w:t>методологије за креирање</w:t>
                              </w:r>
                              <w:r w:rsidRPr="008412BD">
                                <w:rPr>
                                  <w:rFonts w:asciiTheme="minorHAnsi" w:hAnsiTheme="minorHAnsi" w:cstheme="minorHAnsi"/>
                                  <w:sz w:val="22"/>
                                  <w:szCs w:val="22"/>
                                </w:rPr>
                                <w:t xml:space="preserve"> оптимизованих услуга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5" name="Straight Arrow Connector 135"/>
                        <wps:cNvCnPr/>
                        <wps:spPr>
                          <a:xfrm flipV="1">
                            <a:off x="775607" y="933450"/>
                            <a:ext cx="0" cy="50400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36" name="Straight Arrow Connector 136"/>
                        <wps:cNvCnPr/>
                        <wps:spPr>
                          <a:xfrm flipV="1">
                            <a:off x="2985407" y="955221"/>
                            <a:ext cx="0" cy="43180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37" name="Straight Arrow Connector 137"/>
                        <wps:cNvCnPr/>
                        <wps:spPr>
                          <a:xfrm flipH="1">
                            <a:off x="1543050" y="1929492"/>
                            <a:ext cx="222250" cy="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38" name="Straight Arrow Connector 138"/>
                        <wps:cNvCnPr/>
                        <wps:spPr>
                          <a:xfrm flipH="1" flipV="1">
                            <a:off x="1434193" y="922564"/>
                            <a:ext cx="400685" cy="386443"/>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26" name="Text Box 226"/>
                        <wps:cNvSpPr txBox="1"/>
                        <wps:spPr>
                          <a:xfrm>
                            <a:off x="1763486" y="1262742"/>
                            <a:ext cx="1526540" cy="104203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593AF9EB" w14:textId="77777777" w:rsidR="00876FFE" w:rsidRPr="000B22C0" w:rsidRDefault="00876FFE" w:rsidP="00E13963">
                              <w:pPr>
                                <w:spacing w:before="0" w:after="0"/>
                                <w:ind w:firstLine="0"/>
                                <w:jc w:val="center"/>
                                <w:rPr>
                                  <w:rFonts w:asciiTheme="minorHAnsi" w:hAnsiTheme="minorHAnsi" w:cstheme="minorHAnsi"/>
                                  <w:sz w:val="22"/>
                                  <w:szCs w:val="22"/>
                                </w:rPr>
                              </w:pPr>
                              <w:r w:rsidRPr="000B22C0">
                                <w:rPr>
                                  <w:rFonts w:asciiTheme="minorHAnsi" w:hAnsiTheme="minorHAnsi" w:cstheme="minorHAnsi"/>
                                  <w:sz w:val="22"/>
                                  <w:szCs w:val="22"/>
                                </w:rPr>
                                <w:t xml:space="preserve">Непостојање механизма за препознавање </w:t>
                              </w:r>
                              <w:r w:rsidRPr="000B22C0">
                                <w:rPr>
                                  <w:rFonts w:asciiTheme="minorHAnsi" w:hAnsiTheme="minorHAnsi" w:cstheme="minorHAnsi"/>
                                  <w:sz w:val="22"/>
                                  <w:szCs w:val="22"/>
                                </w:rPr>
                                <w:br/>
                                <w:t xml:space="preserve">потреба јавности </w:t>
                              </w:r>
                              <w:r w:rsidRPr="000B22C0">
                                <w:rPr>
                                  <w:rFonts w:asciiTheme="minorHAnsi" w:hAnsiTheme="minorHAnsi" w:cstheme="minorHAnsi"/>
                                  <w:spacing w:val="-8"/>
                                  <w:sz w:val="22"/>
                                  <w:szCs w:val="22"/>
                                </w:rPr>
                                <w:t>за новим услугама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53" name="Text Box 253"/>
                        <wps:cNvSpPr txBox="1"/>
                        <wps:spPr>
                          <a:xfrm>
                            <a:off x="10886" y="1295400"/>
                            <a:ext cx="1526540" cy="100457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46928323" w14:textId="77777777" w:rsidR="00876FFE" w:rsidRPr="000B22C0" w:rsidRDefault="00876FFE" w:rsidP="00E13963">
                              <w:pPr>
                                <w:spacing w:before="0" w:after="0"/>
                                <w:ind w:firstLine="0"/>
                                <w:jc w:val="center"/>
                                <w:rPr>
                                  <w:rFonts w:asciiTheme="minorHAnsi" w:hAnsiTheme="minorHAnsi" w:cstheme="minorHAnsi"/>
                                  <w:sz w:val="22"/>
                                  <w:szCs w:val="22"/>
                                </w:rPr>
                              </w:pPr>
                              <w:r w:rsidRPr="000B22C0">
                                <w:rPr>
                                  <w:rFonts w:asciiTheme="minorHAnsi" w:hAnsiTheme="minorHAnsi" w:cstheme="minorHAnsi"/>
                                  <w:sz w:val="22"/>
                                  <w:szCs w:val="22"/>
                                </w:rPr>
                                <w:t xml:space="preserve">Недовољна оријентисаност ка крајњим </w:t>
                              </w:r>
                              <w:r w:rsidRPr="000B22C0">
                                <w:rPr>
                                  <w:rFonts w:asciiTheme="minorHAnsi" w:hAnsiTheme="minorHAnsi" w:cstheme="minorHAnsi"/>
                                  <w:sz w:val="22"/>
                                  <w:szCs w:val="22"/>
                                </w:rPr>
                                <w:br/>
                                <w:t>корисницима при развоју услуга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9A7A0D" id="Group 606" o:spid="_x0000_s1215" style="position:absolute;left:0;text-align:left;margin-left:-25.9pt;margin-top:350.9pt;width:320.95pt;height:181.5pt;z-index:251484672" coordsize="40757,2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">
                <v:roundrect id="Text Box 269" o:spid="_x0000_s1216" style="position:absolute;width:15265;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" fillcolor="window" strokecolor="#deeaf6 [664]" strokeweight="2.25pt">
                  <v:stroke joinstyle="miter"/>
                  <v:textbox inset="1mm,1mm,1mm,1mm">
                    <w:txbxContent>
                      <w:p w14:paraId="0462ACDB" w14:textId="77777777" w:rsidR="00876FFE" w:rsidRPr="008412BD" w:rsidRDefault="00876FFE" w:rsidP="00E13963">
                        <w:pPr>
                          <w:spacing w:before="0" w:after="0"/>
                          <w:ind w:firstLine="0"/>
                          <w:jc w:val="center"/>
                          <w:rPr>
                            <w:rFonts w:asciiTheme="minorHAnsi" w:hAnsiTheme="minorHAnsi" w:cstheme="minorHAnsi"/>
                            <w:sz w:val="22"/>
                            <w:szCs w:val="22"/>
                          </w:rPr>
                        </w:pPr>
                        <w:r w:rsidRPr="008412BD">
                          <w:rPr>
                            <w:rFonts w:asciiTheme="minorHAnsi" w:hAnsiTheme="minorHAnsi" w:cstheme="minorHAnsi"/>
                            <w:sz w:val="22"/>
                            <w:szCs w:val="22"/>
                          </w:rPr>
                          <w:t xml:space="preserve">Недовољно </w:t>
                        </w:r>
                        <w:r w:rsidRPr="008412BD">
                          <w:rPr>
                            <w:rFonts w:asciiTheme="minorHAnsi" w:hAnsiTheme="minorHAnsi" w:cstheme="minorHAnsi"/>
                            <w:sz w:val="22"/>
                            <w:szCs w:val="22"/>
                          </w:rPr>
                          <w:t>укључивање јавности</w:t>
                        </w:r>
                      </w:p>
                    </w:txbxContent>
                  </v:textbox>
                </v:roundrect>
                <v:roundrect id="Text Box 225" o:spid="_x0000_s1217" style="position:absolute;left:21771;width:18986;height:9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" fillcolor="window" strokecolor="#deeaf6 [664]" strokeweight="2.25pt">
                  <v:stroke joinstyle="miter"/>
                  <v:textbox inset="1mm,1mm,1mm,1mm">
                    <w:txbxContent>
                      <w:p w14:paraId="588DF69E" w14:textId="77777777" w:rsidR="00876FFE" w:rsidRPr="008412BD" w:rsidRDefault="00876FFE" w:rsidP="00E13963">
                        <w:pPr>
                          <w:spacing w:before="0" w:after="0"/>
                          <w:ind w:firstLine="0"/>
                          <w:jc w:val="center"/>
                          <w:rPr>
                            <w:rFonts w:asciiTheme="minorHAnsi" w:hAnsiTheme="minorHAnsi" w:cstheme="minorHAnsi"/>
                            <w:sz w:val="22"/>
                            <w:szCs w:val="22"/>
                          </w:rPr>
                        </w:pPr>
                        <w:r w:rsidRPr="008412BD">
                          <w:rPr>
                            <w:rFonts w:asciiTheme="minorHAnsi" w:hAnsiTheme="minorHAnsi" w:cstheme="minorHAnsi"/>
                            <w:sz w:val="22"/>
                            <w:szCs w:val="22"/>
                          </w:rPr>
                          <w:t xml:space="preserve">Непостојање </w:t>
                        </w:r>
                        <w:r w:rsidRPr="008412BD">
                          <w:rPr>
                            <w:rFonts w:asciiTheme="minorHAnsi" w:hAnsiTheme="minorHAnsi" w:cstheme="minorHAnsi"/>
                            <w:sz w:val="22"/>
                            <w:szCs w:val="22"/>
                          </w:rPr>
                          <w:t xml:space="preserve">јединствене </w:t>
                        </w:r>
                        <w:r w:rsidRPr="008412BD">
                          <w:rPr>
                            <w:rFonts w:asciiTheme="minorHAnsi" w:hAnsiTheme="minorHAnsi" w:cstheme="minorHAnsi"/>
                            <w:spacing w:val="-18"/>
                            <w:sz w:val="22"/>
                            <w:szCs w:val="22"/>
                          </w:rPr>
                          <w:t>методологије за креирање</w:t>
                        </w:r>
                        <w:r w:rsidRPr="008412BD">
                          <w:rPr>
                            <w:rFonts w:asciiTheme="minorHAnsi" w:hAnsiTheme="minorHAnsi" w:cstheme="minorHAnsi"/>
                            <w:sz w:val="22"/>
                            <w:szCs w:val="22"/>
                          </w:rPr>
                          <w:t xml:space="preserve"> оптимизованих услуга</w:t>
                        </w:r>
                      </w:p>
                    </w:txbxContent>
                  </v:textbox>
                </v:roundrect>
                <v:shape id="Straight Arrow Connector 135" o:spid="_x0000_s1218" type="#_x0000_t32" style="position:absolute;left:7756;top:9334;width:0;height:50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" strokecolor="#bdd6ee [1304]" strokeweight="1.5pt">
                  <v:stroke endarrow="block" joinstyle="miter"/>
                </v:shape>
                <v:shape id="Straight Arrow Connector 136" o:spid="_x0000_s1219" type="#_x0000_t32" style="position:absolute;left:29854;top:9552;width:0;height:43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" strokecolor="#bdd6ee [1304]" strokeweight="1.5pt">
                  <v:stroke endarrow="block" joinstyle="miter"/>
                </v:shape>
                <v:shape id="Straight Arrow Connector 137" o:spid="_x0000_s1220" type="#_x0000_t32" style="position:absolute;left:15430;top:19294;width:22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" strokecolor="#bdd6ee [1304]" strokeweight="1.5pt">
                  <v:stroke endarrow="block" joinstyle="miter"/>
                </v:shape>
                <v:shape id="Straight Arrow Connector 138" o:spid="_x0000_s1221" type="#_x0000_t32" style="position:absolute;left:14341;top:9225;width:4007;height:38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" strokecolor="#bdd6ee [1304]" strokeweight="1.5pt">
                  <v:stroke endarrow="block" joinstyle="miter"/>
                </v:shape>
                <v:roundrect id="Text Box 226" o:spid="_x0000_s1222" style="position:absolute;left:17634;top:12627;width:15266;height:10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" fillcolor="window" strokecolor="#deeaf6 [664]" strokeweight="2.25pt">
                  <v:stroke joinstyle="miter"/>
                  <v:textbox inset="1mm,1mm,1mm,1mm">
                    <w:txbxContent>
                      <w:p w14:paraId="593AF9EB" w14:textId="77777777" w:rsidR="00876FFE" w:rsidRPr="000B22C0" w:rsidRDefault="00876FFE" w:rsidP="00E13963">
                        <w:pPr>
                          <w:spacing w:before="0" w:after="0"/>
                          <w:ind w:firstLine="0"/>
                          <w:jc w:val="center"/>
                          <w:rPr>
                            <w:rFonts w:asciiTheme="minorHAnsi" w:hAnsiTheme="minorHAnsi" w:cstheme="minorHAnsi"/>
                            <w:sz w:val="22"/>
                            <w:szCs w:val="22"/>
                          </w:rPr>
                        </w:pPr>
                        <w:r w:rsidRPr="000B22C0">
                          <w:rPr>
                            <w:rFonts w:asciiTheme="minorHAnsi" w:hAnsiTheme="minorHAnsi" w:cstheme="minorHAnsi"/>
                            <w:sz w:val="22"/>
                            <w:szCs w:val="22"/>
                          </w:rPr>
                          <w:t xml:space="preserve">Непостојање </w:t>
                        </w:r>
                        <w:r w:rsidRPr="000B22C0">
                          <w:rPr>
                            <w:rFonts w:asciiTheme="minorHAnsi" w:hAnsiTheme="minorHAnsi" w:cstheme="minorHAnsi"/>
                            <w:sz w:val="22"/>
                            <w:szCs w:val="22"/>
                          </w:rPr>
                          <w:t xml:space="preserve">механизма за препознавање </w:t>
                        </w:r>
                        <w:r w:rsidRPr="000B22C0">
                          <w:rPr>
                            <w:rFonts w:asciiTheme="minorHAnsi" w:hAnsiTheme="minorHAnsi" w:cstheme="minorHAnsi"/>
                            <w:sz w:val="22"/>
                            <w:szCs w:val="22"/>
                          </w:rPr>
                          <w:br/>
                          <w:t xml:space="preserve">потреба јавности </w:t>
                        </w:r>
                        <w:r w:rsidRPr="000B22C0">
                          <w:rPr>
                            <w:rFonts w:asciiTheme="minorHAnsi" w:hAnsiTheme="minorHAnsi" w:cstheme="minorHAnsi"/>
                            <w:spacing w:val="-8"/>
                            <w:sz w:val="22"/>
                            <w:szCs w:val="22"/>
                          </w:rPr>
                          <w:t>за новим услугама</w:t>
                        </w:r>
                      </w:p>
                    </w:txbxContent>
                  </v:textbox>
                </v:roundrect>
                <v:roundrect id="Text Box 253" o:spid="_x0000_s1223" style="position:absolute;left:108;top:12954;width:15266;height:100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" fillcolor="window" strokecolor="#deeaf6 [664]" strokeweight="2.25pt">
                  <v:stroke joinstyle="miter"/>
                  <v:textbox inset="1mm,1mm,1mm,1mm">
                    <w:txbxContent>
                      <w:p w14:paraId="46928323" w14:textId="77777777" w:rsidR="00876FFE" w:rsidRPr="000B22C0" w:rsidRDefault="00876FFE" w:rsidP="00E13963">
                        <w:pPr>
                          <w:spacing w:before="0" w:after="0"/>
                          <w:ind w:firstLine="0"/>
                          <w:jc w:val="center"/>
                          <w:rPr>
                            <w:rFonts w:asciiTheme="minorHAnsi" w:hAnsiTheme="minorHAnsi" w:cstheme="minorHAnsi"/>
                            <w:sz w:val="22"/>
                            <w:szCs w:val="22"/>
                          </w:rPr>
                        </w:pPr>
                        <w:r w:rsidRPr="000B22C0">
                          <w:rPr>
                            <w:rFonts w:asciiTheme="minorHAnsi" w:hAnsiTheme="minorHAnsi" w:cstheme="minorHAnsi"/>
                            <w:sz w:val="22"/>
                            <w:szCs w:val="22"/>
                          </w:rPr>
                          <w:t xml:space="preserve">Недовољна </w:t>
                        </w:r>
                        <w:r w:rsidRPr="000B22C0">
                          <w:rPr>
                            <w:rFonts w:asciiTheme="minorHAnsi" w:hAnsiTheme="minorHAnsi" w:cstheme="minorHAnsi"/>
                            <w:sz w:val="22"/>
                            <w:szCs w:val="22"/>
                          </w:rPr>
                          <w:t xml:space="preserve">оријентисаност ка крајњим </w:t>
                        </w:r>
                        <w:r w:rsidRPr="000B22C0">
                          <w:rPr>
                            <w:rFonts w:asciiTheme="minorHAnsi" w:hAnsiTheme="minorHAnsi" w:cstheme="minorHAnsi"/>
                            <w:sz w:val="22"/>
                            <w:szCs w:val="22"/>
                          </w:rPr>
                          <w:br/>
                          <w:t>корисницима при развоју услуга</w:t>
                        </w:r>
                      </w:p>
                    </w:txbxContent>
                  </v:textbox>
                </v:roundrect>
              </v:group>
            </w:pict>
          </mc:Fallback>
        </mc:AlternateContent>
      </w:r>
      <w:r w:rsidR="00E13963" w:rsidRPr="000F0299">
        <w:rPr>
          <w:rFonts w:ascii="Verdana" w:hAnsi="Verdana"/>
          <w:noProof/>
          <w:sz w:val="20"/>
          <w:lang w:val="en-US" w:eastAsia="en-US" w:bidi="ar-SA"/>
        </w:rPr>
        <mc:AlternateContent>
          <mc:Choice Requires="wpg">
            <w:drawing>
              <wp:anchor distT="0" distB="0" distL="114300" distR="114300" simplePos="0" relativeHeight="251483648" behindDoc="0" locked="0" layoutInCell="1" allowOverlap="1" wp14:anchorId="04327983" wp14:editId="4C41DAAF">
                <wp:simplePos x="0" y="0"/>
                <wp:positionH relativeFrom="column">
                  <wp:posOffset>-459740</wp:posOffset>
                </wp:positionH>
                <wp:positionV relativeFrom="paragraph">
                  <wp:posOffset>2299244</wp:posOffset>
                </wp:positionV>
                <wp:extent cx="14120948" cy="2189480"/>
                <wp:effectExtent l="19050" t="38100" r="14605" b="20320"/>
                <wp:wrapNone/>
                <wp:docPr id="605" name="Group 605"/>
                <wp:cNvGraphicFramePr/>
                <a:graphic xmlns:a="http://schemas.openxmlformats.org/drawingml/2006/main">
                  <a:graphicData uri="http://schemas.microsoft.com/office/word/2010/wordprocessingGroup">
                    <wpg:wgp>
                      <wpg:cNvGrpSpPr/>
                      <wpg:grpSpPr>
                        <a:xfrm>
                          <a:off x="0" y="0"/>
                          <a:ext cx="14120948" cy="2189480"/>
                          <a:chOff x="0" y="0"/>
                          <a:chExt cx="14120948" cy="2189480"/>
                        </a:xfrm>
                      </wpg:grpSpPr>
                      <wps:wsp>
                        <wps:cNvPr id="275" name="Text Box 275"/>
                        <wps:cNvSpPr txBox="1"/>
                        <wps:spPr>
                          <a:xfrm>
                            <a:off x="0" y="263979"/>
                            <a:ext cx="2712720" cy="866140"/>
                          </a:xfrm>
                          <a:prstGeom prst="roundRect">
                            <a:avLst/>
                          </a:prstGeom>
                          <a:solidFill>
                            <a:sysClr val="window" lastClr="FFFFFF"/>
                          </a:solidFill>
                          <a:ln w="38100" cmpd="dbl">
                            <a:solidFill>
                              <a:schemeClr val="accent5">
                                <a:lumMod val="60000"/>
                                <a:lumOff val="40000"/>
                              </a:schemeClr>
                            </a:solidFill>
                          </a:ln>
                          <a:effectLst/>
                        </wps:spPr>
                        <wps:txbx>
                          <w:txbxContent>
                            <w:p w14:paraId="7DBDBC97" w14:textId="77777777" w:rsidR="00876FFE" w:rsidRPr="00251E0D" w:rsidRDefault="00876FFE" w:rsidP="00E13963">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251E0D">
                                <w:rPr>
                                  <w:rFonts w:asciiTheme="minorHAnsi" w:eastAsia="Calibri" w:hAnsiTheme="minorHAnsi" w:cstheme="minorHAnsi"/>
                                  <w:b/>
                                  <w:sz w:val="22"/>
                                  <w:szCs w:val="22"/>
                                  <w:lang w:val="sr-Cyrl-RS"/>
                                </w:rPr>
                                <w:t xml:space="preserve">Делимично доступне и јасне </w:t>
                              </w:r>
                              <w:r w:rsidRPr="00251E0D">
                                <w:rPr>
                                  <w:rFonts w:asciiTheme="minorHAnsi" w:eastAsia="Calibri" w:hAnsiTheme="minorHAnsi" w:cstheme="minorHAnsi"/>
                                  <w:b/>
                                  <w:sz w:val="22"/>
                                  <w:szCs w:val="22"/>
                                  <w:lang w:val="sr-Cyrl-RS"/>
                                </w:rPr>
                                <w:br/>
                                <w:t>информације</w:t>
                              </w:r>
                              <w:r w:rsidRPr="00251E0D">
                                <w:rPr>
                                  <w:rFonts w:asciiTheme="minorHAnsi" w:eastAsia="Calibri" w:hAnsiTheme="minorHAnsi" w:cstheme="minorHAnsi"/>
                                  <w:sz w:val="22"/>
                                  <w:szCs w:val="22"/>
                                  <w:lang w:val="sr-Cyrl-RS"/>
                                </w:rPr>
                                <w:t xml:space="preserve"> о услугама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74" name="Text Box 274"/>
                        <wps:cNvSpPr txBox="1"/>
                        <wps:spPr>
                          <a:xfrm>
                            <a:off x="11408228" y="263979"/>
                            <a:ext cx="2712720" cy="866140"/>
                          </a:xfrm>
                          <a:prstGeom prst="roundRect">
                            <a:avLst/>
                          </a:prstGeom>
                          <a:solidFill>
                            <a:sysClr val="window" lastClr="FFFFFF"/>
                          </a:solidFill>
                          <a:ln w="38100" cmpd="dbl">
                            <a:solidFill>
                              <a:schemeClr val="accent5">
                                <a:lumMod val="60000"/>
                                <a:lumOff val="40000"/>
                              </a:schemeClr>
                            </a:solidFill>
                          </a:ln>
                          <a:effectLst/>
                        </wps:spPr>
                        <wps:txbx>
                          <w:txbxContent>
                            <w:p w14:paraId="72F8D5C1" w14:textId="77777777" w:rsidR="00876FFE" w:rsidRPr="00251E0D" w:rsidRDefault="00876FFE" w:rsidP="00E13963">
                              <w:pPr>
                                <w:pStyle w:val="NormalWeb"/>
                                <w:spacing w:before="0" w:beforeAutospacing="0" w:after="0" w:afterAutospacing="0"/>
                                <w:ind w:firstLine="0"/>
                                <w:jc w:val="center"/>
                                <w:rPr>
                                  <w:rFonts w:asciiTheme="minorHAnsi" w:eastAsia="Calibri" w:hAnsiTheme="minorHAnsi" w:cstheme="minorHAnsi"/>
                                  <w:b/>
                                  <w:sz w:val="22"/>
                                  <w:szCs w:val="22"/>
                                  <w:lang w:val="sr-Cyrl-RS"/>
                                </w:rPr>
                              </w:pPr>
                              <w:r w:rsidRPr="00251E0D">
                                <w:rPr>
                                  <w:rFonts w:asciiTheme="minorHAnsi" w:eastAsia="Calibri" w:hAnsiTheme="minorHAnsi" w:cstheme="minorHAnsi"/>
                                  <w:b/>
                                  <w:sz w:val="22"/>
                                  <w:szCs w:val="22"/>
                                  <w:lang w:val="sr-Cyrl-RS"/>
                                </w:rPr>
                                <w:t>Недовољно отварање података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73" name="Text Box 273"/>
                        <wps:cNvSpPr txBox="1"/>
                        <wps:spPr>
                          <a:xfrm>
                            <a:off x="2841171" y="263979"/>
                            <a:ext cx="2712720" cy="866140"/>
                          </a:xfrm>
                          <a:prstGeom prst="roundRect">
                            <a:avLst/>
                          </a:prstGeom>
                          <a:solidFill>
                            <a:sysClr val="window" lastClr="FFFFFF"/>
                          </a:solidFill>
                          <a:ln w="38100" cmpd="dbl">
                            <a:solidFill>
                              <a:schemeClr val="accent5">
                                <a:lumMod val="60000"/>
                                <a:lumOff val="40000"/>
                              </a:schemeClr>
                            </a:solidFill>
                          </a:ln>
                          <a:effectLst/>
                        </wps:spPr>
                        <wps:txbx>
                          <w:txbxContent>
                            <w:p w14:paraId="4F2D3257" w14:textId="77777777" w:rsidR="00876FFE" w:rsidRPr="00251E0D" w:rsidRDefault="00876FFE" w:rsidP="00E13963">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251E0D">
                                <w:rPr>
                                  <w:rFonts w:asciiTheme="minorHAnsi" w:eastAsia="Calibri" w:hAnsiTheme="minorHAnsi" w:cstheme="minorHAnsi"/>
                                  <w:sz w:val="22"/>
                                  <w:szCs w:val="22"/>
                                  <w:lang w:val="sr-Cyrl-RS"/>
                                </w:rPr>
                                <w:t xml:space="preserve">Делимично </w:t>
                              </w:r>
                              <w:r w:rsidRPr="00251E0D">
                                <w:rPr>
                                  <w:rFonts w:asciiTheme="minorHAnsi" w:eastAsia="Calibri" w:hAnsiTheme="minorHAnsi" w:cstheme="minorHAnsi"/>
                                  <w:b/>
                                  <w:sz w:val="22"/>
                                  <w:szCs w:val="22"/>
                                  <w:lang w:val="sr-Cyrl-RS"/>
                                </w:rPr>
                                <w:t xml:space="preserve">комплексне и </w:t>
                              </w:r>
                              <w:r w:rsidRPr="00251E0D">
                                <w:rPr>
                                  <w:rFonts w:asciiTheme="minorHAnsi" w:eastAsia="Calibri" w:hAnsiTheme="minorHAnsi" w:cstheme="minorHAnsi"/>
                                  <w:b/>
                                  <w:sz w:val="22"/>
                                  <w:szCs w:val="22"/>
                                  <w:lang w:val="sr-Cyrl-RS"/>
                                </w:rPr>
                                <w:br/>
                                <w:t xml:space="preserve">неоптимизоване </w:t>
                              </w:r>
                              <w:r w:rsidRPr="00251E0D">
                                <w:rPr>
                                  <w:rFonts w:asciiTheme="minorHAnsi" w:eastAsia="Calibri" w:hAnsiTheme="minorHAnsi" w:cstheme="minorHAnsi"/>
                                  <w:sz w:val="22"/>
                                  <w:szCs w:val="22"/>
                                  <w:lang w:val="sr-Cyrl-RS"/>
                                </w:rPr>
                                <w:t xml:space="preserve">административне </w:t>
                              </w:r>
                              <w:r w:rsidRPr="00251E0D">
                                <w:rPr>
                                  <w:rFonts w:asciiTheme="minorHAnsi" w:eastAsia="Calibri" w:hAnsiTheme="minorHAnsi" w:cstheme="minorHAnsi"/>
                                  <w:sz w:val="22"/>
                                  <w:szCs w:val="22"/>
                                  <w:lang w:val="sr-Cyrl-RS"/>
                                </w:rPr>
                                <w:br/>
                                <w:t>процедуре</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35" name="Text Box 235"/>
                        <wps:cNvSpPr txBox="1"/>
                        <wps:spPr>
                          <a:xfrm>
                            <a:off x="5693228" y="263979"/>
                            <a:ext cx="2712720" cy="866775"/>
                          </a:xfrm>
                          <a:prstGeom prst="roundRect">
                            <a:avLst/>
                          </a:prstGeom>
                          <a:solidFill>
                            <a:sysClr val="window" lastClr="FFFFFF"/>
                          </a:solidFill>
                          <a:ln w="38100" cmpd="dbl">
                            <a:solidFill>
                              <a:schemeClr val="accent5">
                                <a:lumMod val="60000"/>
                                <a:lumOff val="40000"/>
                              </a:schemeClr>
                            </a:solidFill>
                          </a:ln>
                          <a:effectLst/>
                        </wps:spPr>
                        <wps:txbx>
                          <w:txbxContent>
                            <w:p w14:paraId="13F11CBC" w14:textId="6A2470FF" w:rsidR="00876FFE" w:rsidRPr="00251E0D" w:rsidRDefault="00876FFE" w:rsidP="00E13963">
                              <w:pPr>
                                <w:spacing w:before="0" w:after="0"/>
                                <w:ind w:firstLine="0"/>
                                <w:jc w:val="center"/>
                                <w:rPr>
                                  <w:rFonts w:asciiTheme="minorHAnsi" w:hAnsiTheme="minorHAnsi" w:cstheme="minorHAnsi"/>
                                  <w:sz w:val="22"/>
                                  <w:szCs w:val="22"/>
                                  <w14:textOutline w14:w="9525" w14:cap="rnd" w14:cmpd="thinThick" w14:algn="ctr">
                                    <w14:solidFill>
                                      <w14:srgbClr w14:val="219990"/>
                                    </w14:solidFill>
                                    <w14:prstDash w14:val="solid"/>
                                    <w14:bevel/>
                                  </w14:textOutline>
                                </w:rPr>
                              </w:pPr>
                              <w:r w:rsidRPr="00251E0D">
                                <w:rPr>
                                  <w:rFonts w:asciiTheme="minorHAnsi" w:hAnsiTheme="minorHAnsi" w:cstheme="minorHAnsi"/>
                                  <w:b/>
                                  <w:sz w:val="22"/>
                                  <w:szCs w:val="22"/>
                                </w:rPr>
                                <w:t>Неуједначен приступ</w:t>
                              </w:r>
                              <w:r w:rsidRPr="00251E0D">
                                <w:rPr>
                                  <w:rFonts w:asciiTheme="minorHAnsi" w:hAnsiTheme="minorHAnsi" w:cstheme="minorHAnsi"/>
                                  <w:sz w:val="22"/>
                                  <w:szCs w:val="22"/>
                                </w:rPr>
                                <w:t xml:space="preserve"> услугама (просторно, електронским, маргинализованим и угроженим групама)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36" name="Text Box 236"/>
                        <wps:cNvSpPr txBox="1"/>
                        <wps:spPr>
                          <a:xfrm>
                            <a:off x="8556171" y="263979"/>
                            <a:ext cx="2712720" cy="866775"/>
                          </a:xfrm>
                          <a:prstGeom prst="roundRect">
                            <a:avLst/>
                          </a:prstGeom>
                          <a:solidFill>
                            <a:sysClr val="window" lastClr="FFFFFF"/>
                          </a:solidFill>
                          <a:ln w="38100" cmpd="dbl">
                            <a:solidFill>
                              <a:schemeClr val="accent5">
                                <a:lumMod val="60000"/>
                                <a:lumOff val="40000"/>
                              </a:schemeClr>
                            </a:solidFill>
                          </a:ln>
                          <a:effectLst/>
                        </wps:spPr>
                        <wps:txbx>
                          <w:txbxContent>
                            <w:p w14:paraId="23E805B5" w14:textId="77777777" w:rsidR="00876FFE" w:rsidRPr="00251E0D" w:rsidRDefault="00876FFE" w:rsidP="00E13963">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251E0D">
                                <w:rPr>
                                  <w:rFonts w:asciiTheme="minorHAnsi" w:eastAsia="Calibri" w:hAnsiTheme="minorHAnsi" w:cstheme="minorHAnsi"/>
                                  <w:b/>
                                  <w:sz w:val="22"/>
                                  <w:szCs w:val="22"/>
                                  <w:lang w:val="sr-Cyrl-RS"/>
                                </w:rPr>
                                <w:t>Неуједначена пракса поступања</w:t>
                              </w:r>
                              <w:r w:rsidRPr="00251E0D">
                                <w:rPr>
                                  <w:rFonts w:asciiTheme="minorHAnsi" w:eastAsia="Calibri" w:hAnsiTheme="minorHAnsi" w:cstheme="minorHAnsi"/>
                                  <w:sz w:val="22"/>
                                  <w:szCs w:val="22"/>
                                  <w:lang w:val="sr-Cyrl-RS"/>
                                </w:rPr>
                                <w:t xml:space="preserve"> јавне управе према крајњим корисницима у различитим случајевима (неправичност)</w:t>
                              </w:r>
                            </w:p>
                            <w:p w14:paraId="172FA714" w14:textId="77777777" w:rsidR="00876FFE" w:rsidRPr="00251E0D" w:rsidRDefault="00876FFE" w:rsidP="00E13963">
                              <w:pPr>
                                <w:spacing w:after="0"/>
                                <w:jc w:val="center"/>
                                <w:rPr>
                                  <w:rFonts w:ascii="Verdana" w:hAnsi="Verdana"/>
                                  <w:sz w:val="22"/>
                                  <w:szCs w:val="22"/>
                                  <w14:textOutline w14:w="9525" w14:cap="rnd" w14:cmpd="thinThick" w14:algn="ctr">
                                    <w14:solidFill>
                                      <w14:srgbClr w14:val="219990"/>
                                    </w14:solidFill>
                                    <w14:prstDash w14:val="solid"/>
                                    <w14:bevel/>
                                  </w14:textOutline>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34" name="Straight Arrow Connector 234"/>
                        <wps:cNvCnPr/>
                        <wps:spPr>
                          <a:xfrm flipV="1">
                            <a:off x="1319892" y="0"/>
                            <a:ext cx="0" cy="25146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33" name="Straight Arrow Connector 233"/>
                        <wps:cNvCnPr/>
                        <wps:spPr>
                          <a:xfrm flipV="1">
                            <a:off x="4215492" y="0"/>
                            <a:ext cx="0" cy="25146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32" name="Straight Arrow Connector 232"/>
                        <wps:cNvCnPr/>
                        <wps:spPr>
                          <a:xfrm flipV="1">
                            <a:off x="7034892" y="0"/>
                            <a:ext cx="0" cy="25200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31" name="Straight Arrow Connector 231"/>
                        <wps:cNvCnPr/>
                        <wps:spPr>
                          <a:xfrm flipV="1">
                            <a:off x="9876064" y="0"/>
                            <a:ext cx="0" cy="25200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30" name="Straight Arrow Connector 230"/>
                        <wps:cNvCnPr/>
                        <wps:spPr>
                          <a:xfrm flipV="1">
                            <a:off x="12749892" y="0"/>
                            <a:ext cx="0" cy="25200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28" name="Straight Arrow Connector 128"/>
                        <wps:cNvCnPr/>
                        <wps:spPr>
                          <a:xfrm flipV="1">
                            <a:off x="5325835" y="1164771"/>
                            <a:ext cx="0" cy="28130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32" name="Straight Arrow Connector 132"/>
                        <wps:cNvCnPr/>
                        <wps:spPr>
                          <a:xfrm flipV="1">
                            <a:off x="12749892" y="1153886"/>
                            <a:ext cx="0" cy="28130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33" name="Straight Arrow Connector 133"/>
                        <wps:cNvCnPr/>
                        <wps:spPr>
                          <a:xfrm flipV="1">
                            <a:off x="906235" y="1959429"/>
                            <a:ext cx="0" cy="21780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148" name="Straight Arrow Connector 148"/>
                        <wps:cNvCnPr/>
                        <wps:spPr>
                          <a:xfrm flipV="1">
                            <a:off x="5554435" y="1970314"/>
                            <a:ext cx="635" cy="21844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65" name="Straight Arrow Connector 265"/>
                        <wps:cNvCnPr/>
                        <wps:spPr>
                          <a:xfrm flipV="1">
                            <a:off x="6980464" y="1970314"/>
                            <a:ext cx="0" cy="21844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64" name="Straight Arrow Connector 264"/>
                        <wps:cNvCnPr/>
                        <wps:spPr>
                          <a:xfrm flipV="1">
                            <a:off x="8635092" y="1981200"/>
                            <a:ext cx="0" cy="20828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62" name="Straight Arrow Connector 262"/>
                        <wps:cNvCnPr/>
                        <wps:spPr>
                          <a:xfrm flipV="1">
                            <a:off x="10082892" y="1970314"/>
                            <a:ext cx="0" cy="21844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60" name="Straight Arrow Connector 260"/>
                        <wps:cNvCnPr/>
                        <wps:spPr>
                          <a:xfrm flipV="1">
                            <a:off x="11117035" y="1970314"/>
                            <a:ext cx="0" cy="21844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61" name="Straight Arrow Connector 261"/>
                        <wps:cNvCnPr/>
                        <wps:spPr>
                          <a:xfrm flipV="1">
                            <a:off x="12390664" y="1970314"/>
                            <a:ext cx="0" cy="20828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59" name="Straight Arrow Connector 259"/>
                        <wps:cNvCnPr/>
                        <wps:spPr>
                          <a:xfrm flipV="1">
                            <a:off x="13544550" y="1970314"/>
                            <a:ext cx="0" cy="218440"/>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33" name="Straight Arrow Connector 33"/>
                        <wps:cNvCnPr/>
                        <wps:spPr>
                          <a:xfrm flipV="1">
                            <a:off x="3377292" y="1959429"/>
                            <a:ext cx="0" cy="21780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587" name="Straight Arrow Connector 587"/>
                        <wps:cNvCnPr/>
                        <wps:spPr>
                          <a:xfrm flipV="1">
                            <a:off x="1374321" y="1153886"/>
                            <a:ext cx="3810" cy="28130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596" name="Straight Arrow Connector 596"/>
                        <wps:cNvCnPr/>
                        <wps:spPr>
                          <a:xfrm flipV="1">
                            <a:off x="3431721" y="1153886"/>
                            <a:ext cx="0" cy="28130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598" name="Straight Arrow Connector 598"/>
                        <wps:cNvCnPr/>
                        <wps:spPr>
                          <a:xfrm flipV="1">
                            <a:off x="7100207" y="1153886"/>
                            <a:ext cx="0" cy="28130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599" name="Straight Arrow Connector 599"/>
                        <wps:cNvCnPr/>
                        <wps:spPr>
                          <a:xfrm flipV="1">
                            <a:off x="8852807" y="1143000"/>
                            <a:ext cx="0" cy="28130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600" name="Straight Arrow Connector 600"/>
                        <wps:cNvCnPr/>
                        <wps:spPr>
                          <a:xfrm flipV="1">
                            <a:off x="10235292" y="1153886"/>
                            <a:ext cx="0" cy="281305"/>
                          </a:xfrm>
                          <a:prstGeom prst="straightConnector1">
                            <a:avLst/>
                          </a:prstGeom>
                          <a:noFill/>
                          <a:ln w="19050" cap="flat" cmpd="sng" algn="ctr">
                            <a:solidFill>
                              <a:schemeClr val="accent5">
                                <a:lumMod val="40000"/>
                                <a:lumOff val="60000"/>
                              </a:schemeClr>
                            </a:solidFill>
                            <a:prstDash val="solid"/>
                            <a:miter lim="800000"/>
                            <a:tailEnd type="triangle"/>
                          </a:ln>
                          <a:effectLst/>
                        </wps:spPr>
                        <wps:bodyPr/>
                      </wps:wsp>
                      <wps:wsp>
                        <wps:cNvPr id="271" name="Text Box 271"/>
                        <wps:cNvSpPr txBox="1"/>
                        <wps:spPr>
                          <a:xfrm>
                            <a:off x="9557657" y="1374321"/>
                            <a:ext cx="4415790" cy="58356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1A297832" w14:textId="77777777" w:rsidR="00876FFE" w:rsidRPr="00251E0D" w:rsidRDefault="00876FFE" w:rsidP="00E13963">
                              <w:pPr>
                                <w:spacing w:before="0"/>
                                <w:jc w:val="center"/>
                                <w:rPr>
                                  <w:rFonts w:asciiTheme="minorHAnsi" w:hAnsiTheme="minorHAnsi" w:cstheme="minorHAnsi"/>
                                  <w:sz w:val="22"/>
                                  <w:szCs w:val="22"/>
                                </w:rPr>
                              </w:pPr>
                              <w:r w:rsidRPr="00251E0D">
                                <w:rPr>
                                  <w:rFonts w:asciiTheme="minorHAnsi" w:hAnsiTheme="minorHAnsi" w:cstheme="minorHAnsi"/>
                                  <w:sz w:val="22"/>
                                  <w:szCs w:val="22"/>
                                </w:rPr>
                                <w:t>Непостојање јединственог система за контролу и обезбеђење квалитета пружених услуга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72" name="Text Box 272"/>
                        <wps:cNvSpPr txBox="1"/>
                        <wps:spPr>
                          <a:xfrm>
                            <a:off x="4974771" y="1385207"/>
                            <a:ext cx="4130040" cy="568325"/>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43F4C60B" w14:textId="77777777" w:rsidR="00876FFE" w:rsidRPr="00251E0D" w:rsidRDefault="00876FFE" w:rsidP="00E13963">
                              <w:pPr>
                                <w:spacing w:before="0"/>
                                <w:jc w:val="center"/>
                                <w:rPr>
                                  <w:rFonts w:asciiTheme="minorHAnsi" w:hAnsiTheme="minorHAnsi" w:cstheme="minorHAnsi"/>
                                  <w:sz w:val="22"/>
                                  <w:szCs w:val="22"/>
                                </w:rPr>
                              </w:pPr>
                              <w:r w:rsidRPr="00251E0D">
                                <w:rPr>
                                  <w:rFonts w:asciiTheme="minorHAnsi" w:hAnsiTheme="minorHAnsi" w:cstheme="minorHAnsi"/>
                                  <w:sz w:val="22"/>
                                  <w:szCs w:val="22"/>
                                </w:rPr>
                                <w:t xml:space="preserve">Непостојање </w:t>
                              </w:r>
                              <w:r w:rsidRPr="00251E0D">
                                <w:rPr>
                                  <w:rFonts w:asciiTheme="minorHAnsi" w:hAnsiTheme="minorHAnsi" w:cstheme="minorHAnsi"/>
                                  <w:bCs/>
                                  <w:sz w:val="22"/>
                                  <w:szCs w:val="22"/>
                                </w:rPr>
                                <w:t>стандардизованог</w:t>
                              </w:r>
                              <w:r w:rsidRPr="00251E0D">
                                <w:rPr>
                                  <w:rFonts w:asciiTheme="minorHAnsi" w:hAnsiTheme="minorHAnsi" w:cstheme="minorHAnsi"/>
                                  <w:sz w:val="22"/>
                                  <w:szCs w:val="22"/>
                                </w:rPr>
                                <w:t xml:space="preserve"> система управљања пружањем услуга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70" name="Text Box 270"/>
                        <wps:cNvSpPr txBox="1"/>
                        <wps:spPr>
                          <a:xfrm>
                            <a:off x="152400" y="1374321"/>
                            <a:ext cx="4501515" cy="581660"/>
                          </a:xfrm>
                          <a:prstGeom prst="roundRect">
                            <a:avLst/>
                          </a:prstGeom>
                          <a:solidFill>
                            <a:sysClr val="window" lastClr="FFFFFF"/>
                          </a:solidFill>
                          <a:ln w="28575" cap="flat" cmpd="sng" algn="ctr">
                            <a:solidFill>
                              <a:schemeClr val="accent5">
                                <a:lumMod val="20000"/>
                                <a:lumOff val="80000"/>
                              </a:schemeClr>
                            </a:solidFill>
                            <a:prstDash val="solid"/>
                            <a:miter lim="800000"/>
                          </a:ln>
                          <a:effectLst/>
                        </wps:spPr>
                        <wps:txbx>
                          <w:txbxContent>
                            <w:p w14:paraId="205E7076" w14:textId="77777777" w:rsidR="00876FFE" w:rsidRPr="00251E0D" w:rsidRDefault="00876FFE" w:rsidP="00E13963">
                              <w:pPr>
                                <w:spacing w:before="0"/>
                                <w:jc w:val="center"/>
                                <w:rPr>
                                  <w:rFonts w:asciiTheme="minorHAnsi" w:hAnsiTheme="minorHAnsi" w:cstheme="minorHAnsi"/>
                                  <w:sz w:val="22"/>
                                  <w:szCs w:val="22"/>
                                </w:rPr>
                              </w:pPr>
                              <w:r w:rsidRPr="00251E0D">
                                <w:rPr>
                                  <w:rFonts w:asciiTheme="minorHAnsi" w:hAnsiTheme="minorHAnsi" w:cstheme="minorHAnsi"/>
                                  <w:bCs/>
                                  <w:sz w:val="22"/>
                                  <w:szCs w:val="22"/>
                                </w:rPr>
                                <w:t>Делимично адекватан</w:t>
                              </w:r>
                              <w:r w:rsidRPr="00251E0D">
                                <w:rPr>
                                  <w:rFonts w:asciiTheme="minorHAnsi" w:hAnsiTheme="minorHAnsi" w:cstheme="minorHAnsi"/>
                                  <w:sz w:val="22"/>
                                  <w:szCs w:val="22"/>
                                </w:rPr>
                                <w:t xml:space="preserve"> систем развоја и оптимизације услуга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327983" id="Group 605" o:spid="_x0000_s1224" style="position:absolute;left:0;text-align:left;margin-left:-36.2pt;margin-top:181.05pt;width:1111.9pt;height:172.4pt;z-index:251483648" coordsize="141209,2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">
                <v:roundrect id="Text Box 275" o:spid="_x0000_s1225" style="position:absolute;top:2639;width:27127;height:8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" fillcolor="window" strokecolor="#9cc2e5 [1944]" strokeweight="3pt">
                  <v:stroke linestyle="thinThin"/>
                  <v:textbox inset="1mm,1mm,1mm,1mm">
                    <w:txbxContent>
                      <w:p w14:paraId="7DBDBC97" w14:textId="77777777" w:rsidR="00876FFE" w:rsidRPr="00251E0D" w:rsidRDefault="00876FFE" w:rsidP="00E13963">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251E0D">
                          <w:rPr>
                            <w:rFonts w:asciiTheme="minorHAnsi" w:eastAsia="Calibri" w:hAnsiTheme="minorHAnsi" w:cstheme="minorHAnsi"/>
                            <w:b/>
                            <w:sz w:val="22"/>
                            <w:szCs w:val="22"/>
                            <w:lang w:val="sr-Cyrl-RS"/>
                          </w:rPr>
                          <w:t xml:space="preserve">Делимично </w:t>
                        </w:r>
                        <w:r w:rsidRPr="00251E0D">
                          <w:rPr>
                            <w:rFonts w:asciiTheme="minorHAnsi" w:eastAsia="Calibri" w:hAnsiTheme="minorHAnsi" w:cstheme="minorHAnsi"/>
                            <w:b/>
                            <w:sz w:val="22"/>
                            <w:szCs w:val="22"/>
                            <w:lang w:val="sr-Cyrl-RS"/>
                          </w:rPr>
                          <w:t xml:space="preserve">доступне и јасне </w:t>
                        </w:r>
                        <w:r w:rsidRPr="00251E0D">
                          <w:rPr>
                            <w:rFonts w:asciiTheme="minorHAnsi" w:eastAsia="Calibri" w:hAnsiTheme="minorHAnsi" w:cstheme="minorHAnsi"/>
                            <w:b/>
                            <w:sz w:val="22"/>
                            <w:szCs w:val="22"/>
                            <w:lang w:val="sr-Cyrl-RS"/>
                          </w:rPr>
                          <w:br/>
                          <w:t>информације</w:t>
                        </w:r>
                        <w:r w:rsidRPr="00251E0D">
                          <w:rPr>
                            <w:rFonts w:asciiTheme="minorHAnsi" w:eastAsia="Calibri" w:hAnsiTheme="minorHAnsi" w:cstheme="minorHAnsi"/>
                            <w:sz w:val="22"/>
                            <w:szCs w:val="22"/>
                            <w:lang w:val="sr-Cyrl-RS"/>
                          </w:rPr>
                          <w:t xml:space="preserve"> о услугама</w:t>
                        </w:r>
                      </w:p>
                    </w:txbxContent>
                  </v:textbox>
                </v:roundrect>
                <v:roundrect id="Text Box 274" o:spid="_x0000_s1226" style="position:absolute;left:114082;top:2639;width:27127;height:8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" fillcolor="window" strokecolor="#9cc2e5 [1944]" strokeweight="3pt">
                  <v:stroke linestyle="thinThin"/>
                  <v:textbox inset="1mm,1mm,1mm,1mm">
                    <w:txbxContent>
                      <w:p w14:paraId="72F8D5C1" w14:textId="77777777" w:rsidR="00876FFE" w:rsidRPr="00251E0D" w:rsidRDefault="00876FFE" w:rsidP="00E13963">
                        <w:pPr>
                          <w:pStyle w:val="NormalWeb"/>
                          <w:spacing w:before="0" w:beforeAutospacing="0" w:after="0" w:afterAutospacing="0"/>
                          <w:ind w:firstLine="0"/>
                          <w:jc w:val="center"/>
                          <w:rPr>
                            <w:rFonts w:asciiTheme="minorHAnsi" w:eastAsia="Calibri" w:hAnsiTheme="minorHAnsi" w:cstheme="minorHAnsi"/>
                            <w:b/>
                            <w:sz w:val="22"/>
                            <w:szCs w:val="22"/>
                            <w:lang w:val="sr-Cyrl-RS"/>
                          </w:rPr>
                        </w:pPr>
                        <w:r w:rsidRPr="00251E0D">
                          <w:rPr>
                            <w:rFonts w:asciiTheme="minorHAnsi" w:eastAsia="Calibri" w:hAnsiTheme="minorHAnsi" w:cstheme="minorHAnsi"/>
                            <w:b/>
                            <w:sz w:val="22"/>
                            <w:szCs w:val="22"/>
                            <w:lang w:val="sr-Cyrl-RS"/>
                          </w:rPr>
                          <w:t xml:space="preserve">Недовољно </w:t>
                        </w:r>
                        <w:r w:rsidRPr="00251E0D">
                          <w:rPr>
                            <w:rFonts w:asciiTheme="minorHAnsi" w:eastAsia="Calibri" w:hAnsiTheme="minorHAnsi" w:cstheme="minorHAnsi"/>
                            <w:b/>
                            <w:sz w:val="22"/>
                            <w:szCs w:val="22"/>
                            <w:lang w:val="sr-Cyrl-RS"/>
                          </w:rPr>
                          <w:t>отварање података</w:t>
                        </w:r>
                      </w:p>
                    </w:txbxContent>
                  </v:textbox>
                </v:roundrect>
                <v:roundrect id="Text Box 273" o:spid="_x0000_s1227" style="position:absolute;left:28411;top:2639;width:27127;height:8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" fillcolor="window" strokecolor="#9cc2e5 [1944]" strokeweight="3pt">
                  <v:stroke linestyle="thinThin"/>
                  <v:textbox inset="1mm,1mm,1mm,1mm">
                    <w:txbxContent>
                      <w:p w14:paraId="4F2D3257" w14:textId="77777777" w:rsidR="00876FFE" w:rsidRPr="00251E0D" w:rsidRDefault="00876FFE" w:rsidP="00E13963">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251E0D">
                          <w:rPr>
                            <w:rFonts w:asciiTheme="minorHAnsi" w:eastAsia="Calibri" w:hAnsiTheme="minorHAnsi" w:cstheme="minorHAnsi"/>
                            <w:sz w:val="22"/>
                            <w:szCs w:val="22"/>
                            <w:lang w:val="sr-Cyrl-RS"/>
                          </w:rPr>
                          <w:t xml:space="preserve">Делимично </w:t>
                        </w:r>
                        <w:r w:rsidRPr="00251E0D">
                          <w:rPr>
                            <w:rFonts w:asciiTheme="minorHAnsi" w:eastAsia="Calibri" w:hAnsiTheme="minorHAnsi" w:cstheme="minorHAnsi"/>
                            <w:b/>
                            <w:sz w:val="22"/>
                            <w:szCs w:val="22"/>
                            <w:lang w:val="sr-Cyrl-RS"/>
                          </w:rPr>
                          <w:t xml:space="preserve">комплексне и </w:t>
                        </w:r>
                        <w:r w:rsidRPr="00251E0D">
                          <w:rPr>
                            <w:rFonts w:asciiTheme="minorHAnsi" w:eastAsia="Calibri" w:hAnsiTheme="minorHAnsi" w:cstheme="minorHAnsi"/>
                            <w:b/>
                            <w:sz w:val="22"/>
                            <w:szCs w:val="22"/>
                            <w:lang w:val="sr-Cyrl-RS"/>
                          </w:rPr>
                          <w:br/>
                          <w:t xml:space="preserve">неоптимизоване </w:t>
                        </w:r>
                        <w:r w:rsidRPr="00251E0D">
                          <w:rPr>
                            <w:rFonts w:asciiTheme="minorHAnsi" w:eastAsia="Calibri" w:hAnsiTheme="minorHAnsi" w:cstheme="minorHAnsi"/>
                            <w:sz w:val="22"/>
                            <w:szCs w:val="22"/>
                            <w:lang w:val="sr-Cyrl-RS"/>
                          </w:rPr>
                          <w:t xml:space="preserve">административне </w:t>
                        </w:r>
                        <w:r w:rsidRPr="00251E0D">
                          <w:rPr>
                            <w:rFonts w:asciiTheme="minorHAnsi" w:eastAsia="Calibri" w:hAnsiTheme="minorHAnsi" w:cstheme="minorHAnsi"/>
                            <w:sz w:val="22"/>
                            <w:szCs w:val="22"/>
                            <w:lang w:val="sr-Cyrl-RS"/>
                          </w:rPr>
                          <w:br/>
                          <w:t>процедуре</w:t>
                        </w:r>
                      </w:p>
                    </w:txbxContent>
                  </v:textbox>
                </v:roundrect>
                <v:roundrect id="Text Box 235" o:spid="_x0000_s1228" style="position:absolute;left:56932;top:2639;width:27127;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" fillcolor="window" strokecolor="#9cc2e5 [1944]" strokeweight="3pt">
                  <v:stroke linestyle="thinThin"/>
                  <v:textbox inset="1mm,1mm,1mm,1mm">
                    <w:txbxContent>
                      <w:p w14:paraId="13F11CBC" w14:textId="6A2470FF" w:rsidR="00876FFE" w:rsidRPr="00251E0D" w:rsidRDefault="00876FFE" w:rsidP="00E13963">
                        <w:pPr>
                          <w:spacing w:before="0" w:after="0"/>
                          <w:ind w:firstLine="0"/>
                          <w:jc w:val="center"/>
                          <w:rPr>
                            <w:rFonts w:asciiTheme="minorHAnsi" w:hAnsiTheme="minorHAnsi" w:cstheme="minorHAnsi"/>
                            <w:sz w:val="22"/>
                            <w:szCs w:val="22"/>
                            <w14:textOutline w14:w="9525" w14:cap="rnd" w14:cmpd="thinThick" w14:algn="ctr">
                              <w14:solidFill>
                                <w14:srgbClr w14:val="219990"/>
                              </w14:solidFill>
                              <w14:prstDash w14:val="solid"/>
                              <w14:bevel/>
                            </w14:textOutline>
                          </w:rPr>
                        </w:pPr>
                        <w:r w:rsidRPr="00251E0D">
                          <w:rPr>
                            <w:rFonts w:asciiTheme="minorHAnsi" w:hAnsiTheme="minorHAnsi" w:cstheme="minorHAnsi"/>
                            <w:b/>
                            <w:sz w:val="22"/>
                            <w:szCs w:val="22"/>
                          </w:rPr>
                          <w:t xml:space="preserve">Неуједначен </w:t>
                        </w:r>
                        <w:r w:rsidRPr="00251E0D">
                          <w:rPr>
                            <w:rFonts w:asciiTheme="minorHAnsi" w:hAnsiTheme="minorHAnsi" w:cstheme="minorHAnsi"/>
                            <w:b/>
                            <w:sz w:val="22"/>
                            <w:szCs w:val="22"/>
                          </w:rPr>
                          <w:t>приступ</w:t>
                        </w:r>
                        <w:r w:rsidRPr="00251E0D">
                          <w:rPr>
                            <w:rFonts w:asciiTheme="minorHAnsi" w:hAnsiTheme="minorHAnsi" w:cstheme="minorHAnsi"/>
                            <w:sz w:val="22"/>
                            <w:szCs w:val="22"/>
                          </w:rPr>
                          <w:t xml:space="preserve"> услугама (просторно, електронским, маргинализованим и угроженим групама)</w:t>
                        </w:r>
                      </w:p>
                    </w:txbxContent>
                  </v:textbox>
                </v:roundrect>
                <v:roundrect id="Text Box 236" o:spid="_x0000_s1229" style="position:absolute;left:85561;top:2639;width:27127;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" fillcolor="window" strokecolor="#9cc2e5 [1944]" strokeweight="3pt">
                  <v:stroke linestyle="thinThin"/>
                  <v:textbox inset="1mm,1mm,1mm,1mm">
                    <w:txbxContent>
                      <w:p w14:paraId="23E805B5" w14:textId="77777777" w:rsidR="00876FFE" w:rsidRPr="00251E0D" w:rsidRDefault="00876FFE" w:rsidP="00E13963">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251E0D">
                          <w:rPr>
                            <w:rFonts w:asciiTheme="minorHAnsi" w:eastAsia="Calibri" w:hAnsiTheme="minorHAnsi" w:cstheme="minorHAnsi"/>
                            <w:b/>
                            <w:sz w:val="22"/>
                            <w:szCs w:val="22"/>
                            <w:lang w:val="sr-Cyrl-RS"/>
                          </w:rPr>
                          <w:t xml:space="preserve">Неуједначена </w:t>
                        </w:r>
                        <w:r w:rsidRPr="00251E0D">
                          <w:rPr>
                            <w:rFonts w:asciiTheme="minorHAnsi" w:eastAsia="Calibri" w:hAnsiTheme="minorHAnsi" w:cstheme="minorHAnsi"/>
                            <w:b/>
                            <w:sz w:val="22"/>
                            <w:szCs w:val="22"/>
                            <w:lang w:val="sr-Cyrl-RS"/>
                          </w:rPr>
                          <w:t>пракса поступања</w:t>
                        </w:r>
                        <w:r w:rsidRPr="00251E0D">
                          <w:rPr>
                            <w:rFonts w:asciiTheme="minorHAnsi" w:eastAsia="Calibri" w:hAnsiTheme="minorHAnsi" w:cstheme="minorHAnsi"/>
                            <w:sz w:val="22"/>
                            <w:szCs w:val="22"/>
                            <w:lang w:val="sr-Cyrl-RS"/>
                          </w:rPr>
                          <w:t xml:space="preserve"> јавне управе према крајњим корисницима у различитим случајевима (неправичност)</w:t>
                        </w:r>
                      </w:p>
                      <w:p w14:paraId="172FA714" w14:textId="77777777" w:rsidR="00876FFE" w:rsidRPr="00251E0D" w:rsidRDefault="00876FFE" w:rsidP="00E13963">
                        <w:pPr>
                          <w:spacing w:after="0"/>
                          <w:jc w:val="center"/>
                          <w:rPr>
                            <w:rFonts w:ascii="Verdana" w:hAnsi="Verdana"/>
                            <w:sz w:val="22"/>
                            <w:szCs w:val="22"/>
                            <w14:textOutline w14:w="9525" w14:cap="rnd" w14:cmpd="thinThick" w14:algn="ctr">
                              <w14:solidFill>
                                <w14:srgbClr w14:val="219990"/>
                              </w14:solidFill>
                              <w14:prstDash w14:val="solid"/>
                              <w14:bevel/>
                            </w14:textOutline>
                          </w:rPr>
                        </w:pPr>
                      </w:p>
                    </w:txbxContent>
                  </v:textbox>
                </v:roundrect>
                <v:shape id="Straight Arrow Connector 234" o:spid="_x0000_s1230" type="#_x0000_t32" style="position:absolute;left:13198;width:0;height:25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" strokecolor="#bdd6ee [1304]" strokeweight="1.5pt">
                  <v:stroke endarrow="block" joinstyle="miter"/>
                </v:shape>
                <v:shape id="Straight Arrow Connector 233" o:spid="_x0000_s1231" type="#_x0000_t32" style="position:absolute;left:42154;width:0;height:25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" strokecolor="#bdd6ee [1304]" strokeweight="1.5pt">
                  <v:stroke endarrow="block" joinstyle="miter"/>
                </v:shape>
                <v:shape id="Straight Arrow Connector 232" o:spid="_x0000_s1232" type="#_x0000_t32" style="position:absolute;left:70348;width:0;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" strokecolor="#bdd6ee [1304]" strokeweight="1.5pt">
                  <v:stroke endarrow="block" joinstyle="miter"/>
                </v:shape>
                <v:shape id="Straight Arrow Connector 231" o:spid="_x0000_s1233" type="#_x0000_t32" style="position:absolute;left:98760;width:0;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" strokecolor="#bdd6ee [1304]" strokeweight="1.5pt">
                  <v:stroke endarrow="block" joinstyle="miter"/>
                </v:shape>
                <v:shape id="Straight Arrow Connector 230" o:spid="_x0000_s1234" type="#_x0000_t32" style="position:absolute;left:127498;width:0;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" strokecolor="#bdd6ee [1304]" strokeweight="1.5pt">
                  <v:stroke endarrow="block" joinstyle="miter"/>
                </v:shape>
                <v:shape id="Straight Arrow Connector 128" o:spid="_x0000_s1235" type="#_x0000_t32" style="position:absolute;left:53258;top:11647;width:0;height:2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" strokecolor="#bdd6ee [1304]" strokeweight="1.5pt">
                  <v:stroke endarrow="block" joinstyle="miter"/>
                </v:shape>
                <v:shape id="Straight Arrow Connector 132" o:spid="_x0000_s1236" type="#_x0000_t32" style="position:absolute;left:127498;top:11538;width:0;height:2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" strokecolor="#bdd6ee [1304]" strokeweight="1.5pt">
                  <v:stroke endarrow="block" joinstyle="miter"/>
                </v:shape>
                <v:shape id="Straight Arrow Connector 133" o:spid="_x0000_s1237" type="#_x0000_t32" style="position:absolute;left:9062;top:19594;width:0;height:2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" strokecolor="#bdd6ee [1304]" strokeweight="1.5pt">
                  <v:stroke endarrow="block" joinstyle="miter"/>
                </v:shape>
                <v:shape id="Straight Arrow Connector 148" o:spid="_x0000_s1238" type="#_x0000_t32" style="position:absolute;left:55544;top:19703;width:6;height:21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" strokecolor="#bdd6ee [1304]" strokeweight="1.5pt">
                  <v:stroke endarrow="block" joinstyle="miter"/>
                </v:shape>
                <v:shape id="Straight Arrow Connector 265" o:spid="_x0000_s1239" type="#_x0000_t32" style="position:absolute;left:69804;top:19703;width:0;height:21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" strokecolor="#bdd6ee [1304]" strokeweight="1.5pt">
                  <v:stroke endarrow="block" joinstyle="miter"/>
                </v:shape>
                <v:shape id="Straight Arrow Connector 264" o:spid="_x0000_s1240" type="#_x0000_t32" style="position:absolute;left:86350;top:19812;width:0;height:20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" strokecolor="#bdd6ee [1304]" strokeweight="1.5pt">
                  <v:stroke endarrow="block" joinstyle="miter"/>
                </v:shape>
                <v:shape id="Straight Arrow Connector 262" o:spid="_x0000_s1241" type="#_x0000_t32" style="position:absolute;left:100828;top:19703;width:0;height:21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" strokecolor="#bdd6ee [1304]" strokeweight="1.5pt">
                  <v:stroke endarrow="block" joinstyle="miter"/>
                </v:shape>
                <v:shape id="Straight Arrow Connector 260" o:spid="_x0000_s1242" type="#_x0000_t32" style="position:absolute;left:111170;top:19703;width:0;height:21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" strokecolor="#bdd6ee [1304]" strokeweight="1.5pt">
                  <v:stroke endarrow="block" joinstyle="miter"/>
                </v:shape>
                <v:shape id="Straight Arrow Connector 261" o:spid="_x0000_s1243" type="#_x0000_t32" style="position:absolute;left:123906;top:19703;width:0;height:20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" strokecolor="#bdd6ee [1304]" strokeweight="1.5pt">
                  <v:stroke endarrow="block" joinstyle="miter"/>
                </v:shape>
                <v:shape id="Straight Arrow Connector 259" o:spid="_x0000_s1244" type="#_x0000_t32" style="position:absolute;left:135445;top:19703;width:0;height:21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" strokecolor="#bdd6ee [1304]" strokeweight="1.5pt">
                  <v:stroke endarrow="block" joinstyle="miter"/>
                </v:shape>
                <v:shape id="Straight Arrow Connector 33" o:spid="_x0000_s1245" type="#_x0000_t32" style="position:absolute;left:33772;top:19594;width:0;height:2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" strokecolor="#bdd6ee [1304]" strokeweight="1.5pt">
                  <v:stroke endarrow="block" joinstyle="miter"/>
                </v:shape>
                <v:shape id="Straight Arrow Connector 587" o:spid="_x0000_s1246" type="#_x0000_t32" style="position:absolute;left:13743;top:11538;width:38;height:2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" strokecolor="#bdd6ee [1304]" strokeweight="1.5pt">
                  <v:stroke endarrow="block" joinstyle="miter"/>
                </v:shape>
                <v:shape id="Straight Arrow Connector 596" o:spid="_x0000_s1247" type="#_x0000_t32" style="position:absolute;left:34317;top:11538;width:0;height:2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" strokecolor="#bdd6ee [1304]" strokeweight="1.5pt">
                  <v:stroke endarrow="block" joinstyle="miter"/>
                </v:shape>
                <v:shape id="Straight Arrow Connector 598" o:spid="_x0000_s1248" type="#_x0000_t32" style="position:absolute;left:71002;top:11538;width:0;height:2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" strokecolor="#bdd6ee [1304]" strokeweight="1.5pt">
                  <v:stroke endarrow="block" joinstyle="miter"/>
                </v:shape>
                <v:shape id="Straight Arrow Connector 599" o:spid="_x0000_s1249" type="#_x0000_t32" style="position:absolute;left:88528;top:11430;width:0;height:2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" strokecolor="#bdd6ee [1304]" strokeweight="1.5pt">
                  <v:stroke endarrow="block" joinstyle="miter"/>
                </v:shape>
                <v:shape id="Straight Arrow Connector 600" o:spid="_x0000_s1250" type="#_x0000_t32" style="position:absolute;left:102352;top:11538;width:0;height:2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" strokecolor="#bdd6ee [1304]" strokeweight="1.5pt">
                  <v:stroke endarrow="block" joinstyle="miter"/>
                </v:shape>
                <v:roundrect id="Text Box 271" o:spid="_x0000_s1251" style="position:absolute;left:95576;top:13743;width:44158;height:5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" fillcolor="window" strokecolor="#deeaf6 [664]" strokeweight="2.25pt">
                  <v:stroke joinstyle="miter"/>
                  <v:textbox inset="1mm,1mm,1mm,1mm">
                    <w:txbxContent>
                      <w:p w14:paraId="1A297832" w14:textId="77777777" w:rsidR="00876FFE" w:rsidRPr="00251E0D" w:rsidRDefault="00876FFE" w:rsidP="00E13963">
                        <w:pPr>
                          <w:spacing w:before="0"/>
                          <w:jc w:val="center"/>
                          <w:rPr>
                            <w:rFonts w:asciiTheme="minorHAnsi" w:hAnsiTheme="minorHAnsi" w:cstheme="minorHAnsi"/>
                            <w:sz w:val="22"/>
                            <w:szCs w:val="22"/>
                          </w:rPr>
                        </w:pPr>
                        <w:r w:rsidRPr="00251E0D">
                          <w:rPr>
                            <w:rFonts w:asciiTheme="minorHAnsi" w:hAnsiTheme="minorHAnsi" w:cstheme="minorHAnsi"/>
                            <w:sz w:val="22"/>
                            <w:szCs w:val="22"/>
                          </w:rPr>
                          <w:t xml:space="preserve">Непостојање </w:t>
                        </w:r>
                        <w:r w:rsidRPr="00251E0D">
                          <w:rPr>
                            <w:rFonts w:asciiTheme="minorHAnsi" w:hAnsiTheme="minorHAnsi" w:cstheme="minorHAnsi"/>
                            <w:sz w:val="22"/>
                            <w:szCs w:val="22"/>
                          </w:rPr>
                          <w:t>јединственог система за контролу и обезбеђење квалитета пружених услуга</w:t>
                        </w:r>
                      </w:p>
                    </w:txbxContent>
                  </v:textbox>
                </v:roundrect>
                <v:roundrect id="Text Box 272" o:spid="_x0000_s1252" style="position:absolute;left:49747;top:13852;width:41301;height:5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" fillcolor="window" strokecolor="#deeaf6 [664]" strokeweight="2.25pt">
                  <v:stroke joinstyle="miter"/>
                  <v:textbox inset="1mm,1mm,1mm,1mm">
                    <w:txbxContent>
                      <w:p w14:paraId="43F4C60B" w14:textId="77777777" w:rsidR="00876FFE" w:rsidRPr="00251E0D" w:rsidRDefault="00876FFE" w:rsidP="00E13963">
                        <w:pPr>
                          <w:spacing w:before="0"/>
                          <w:jc w:val="center"/>
                          <w:rPr>
                            <w:rFonts w:asciiTheme="minorHAnsi" w:hAnsiTheme="minorHAnsi" w:cstheme="minorHAnsi"/>
                            <w:sz w:val="22"/>
                            <w:szCs w:val="22"/>
                          </w:rPr>
                        </w:pPr>
                        <w:r w:rsidRPr="00251E0D">
                          <w:rPr>
                            <w:rFonts w:asciiTheme="minorHAnsi" w:hAnsiTheme="minorHAnsi" w:cstheme="minorHAnsi"/>
                            <w:sz w:val="22"/>
                            <w:szCs w:val="22"/>
                          </w:rPr>
                          <w:t xml:space="preserve">Непостојање </w:t>
                        </w:r>
                        <w:r w:rsidRPr="00251E0D">
                          <w:rPr>
                            <w:rFonts w:asciiTheme="minorHAnsi" w:hAnsiTheme="minorHAnsi" w:cstheme="minorHAnsi"/>
                            <w:bCs/>
                            <w:sz w:val="22"/>
                            <w:szCs w:val="22"/>
                          </w:rPr>
                          <w:t>стандардизованог</w:t>
                        </w:r>
                        <w:r w:rsidRPr="00251E0D">
                          <w:rPr>
                            <w:rFonts w:asciiTheme="minorHAnsi" w:hAnsiTheme="minorHAnsi" w:cstheme="minorHAnsi"/>
                            <w:sz w:val="22"/>
                            <w:szCs w:val="22"/>
                          </w:rPr>
                          <w:t xml:space="preserve"> система управљања пружањем услуга</w:t>
                        </w:r>
                      </w:p>
                    </w:txbxContent>
                  </v:textbox>
                </v:roundrect>
                <v:roundrect id="Text Box 270" o:spid="_x0000_s1253" style="position:absolute;left:1524;top:13743;width:45015;height:5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" fillcolor="window" strokecolor="#deeaf6 [664]" strokeweight="2.25pt">
                  <v:stroke joinstyle="miter"/>
                  <v:textbox inset="1mm,1mm,1mm,1mm">
                    <w:txbxContent>
                      <w:p w14:paraId="205E7076" w14:textId="77777777" w:rsidR="00876FFE" w:rsidRPr="00251E0D" w:rsidRDefault="00876FFE" w:rsidP="00E13963">
                        <w:pPr>
                          <w:spacing w:before="0"/>
                          <w:jc w:val="center"/>
                          <w:rPr>
                            <w:rFonts w:asciiTheme="minorHAnsi" w:hAnsiTheme="minorHAnsi" w:cstheme="minorHAnsi"/>
                            <w:sz w:val="22"/>
                            <w:szCs w:val="22"/>
                          </w:rPr>
                        </w:pPr>
                        <w:r w:rsidRPr="00251E0D">
                          <w:rPr>
                            <w:rFonts w:asciiTheme="minorHAnsi" w:hAnsiTheme="minorHAnsi" w:cstheme="minorHAnsi"/>
                            <w:bCs/>
                            <w:sz w:val="22"/>
                            <w:szCs w:val="22"/>
                          </w:rPr>
                          <w:t xml:space="preserve">Делимично </w:t>
                        </w:r>
                        <w:r w:rsidRPr="00251E0D">
                          <w:rPr>
                            <w:rFonts w:asciiTheme="minorHAnsi" w:hAnsiTheme="minorHAnsi" w:cstheme="minorHAnsi"/>
                            <w:bCs/>
                            <w:sz w:val="22"/>
                            <w:szCs w:val="22"/>
                          </w:rPr>
                          <w:t>адекватан</w:t>
                        </w:r>
                        <w:r w:rsidRPr="00251E0D">
                          <w:rPr>
                            <w:rFonts w:asciiTheme="minorHAnsi" w:hAnsiTheme="minorHAnsi" w:cstheme="minorHAnsi"/>
                            <w:sz w:val="22"/>
                            <w:szCs w:val="22"/>
                          </w:rPr>
                          <w:t xml:space="preserve"> систем развоја и оптимизације услуга</w:t>
                        </w:r>
                      </w:p>
                    </w:txbxContent>
                  </v:textbox>
                </v:roundrect>
              </v:group>
            </w:pict>
          </mc:Fallback>
        </mc:AlternateContent>
      </w:r>
      <w:r w:rsidR="00E13963" w:rsidRPr="000F0299">
        <w:rPr>
          <w:rFonts w:ascii="Verdana" w:hAnsi="Verdana"/>
          <w:noProof/>
          <w:sz w:val="20"/>
          <w:lang w:val="en-US" w:eastAsia="en-US" w:bidi="ar-SA"/>
        </w:rPr>
        <mc:AlternateContent>
          <mc:Choice Requires="wps">
            <w:drawing>
              <wp:anchor distT="0" distB="0" distL="114300" distR="114300" simplePos="0" relativeHeight="251473408" behindDoc="1" locked="0" layoutInCell="1" allowOverlap="1" wp14:anchorId="173D0D0B" wp14:editId="156F3D40">
                <wp:simplePos x="0" y="0"/>
                <wp:positionH relativeFrom="column">
                  <wp:posOffset>-539750</wp:posOffset>
                </wp:positionH>
                <wp:positionV relativeFrom="paragraph">
                  <wp:posOffset>1741079</wp:posOffset>
                </wp:positionV>
                <wp:extent cx="14269720" cy="566420"/>
                <wp:effectExtent l="0" t="0" r="17780" b="24130"/>
                <wp:wrapNone/>
                <wp:docPr id="276" name="Rounded Rectangle 276"/>
                <wp:cNvGraphicFramePr/>
                <a:graphic xmlns:a="http://schemas.openxmlformats.org/drawingml/2006/main">
                  <a:graphicData uri="http://schemas.microsoft.com/office/word/2010/wordprocessingShape">
                    <wps:wsp>
                      <wps:cNvSpPr/>
                      <wps:spPr>
                        <a:xfrm>
                          <a:off x="0" y="0"/>
                          <a:ext cx="14269720" cy="566420"/>
                        </a:xfrm>
                        <a:prstGeom prst="roundRect">
                          <a:avLst/>
                        </a:prstGeom>
                        <a:solidFill>
                          <a:schemeClr val="accent5">
                            <a:lumMod val="40000"/>
                            <a:lumOff val="60000"/>
                          </a:schemeClr>
                        </a:solidFill>
                        <a:ln w="12700" cap="flat" cmpd="sng" algn="ctr">
                          <a:solidFill>
                            <a:schemeClr val="accent5">
                              <a:lumMod val="40000"/>
                              <a:lumOff val="60000"/>
                            </a:schemeClr>
                          </a:solidFill>
                          <a:prstDash val="solid"/>
                          <a:miter lim="800000"/>
                        </a:ln>
                        <a:effectLst/>
                      </wps:spPr>
                      <wps:txbx>
                        <w:txbxContent>
                          <w:p w14:paraId="620D17E3" w14:textId="77777777" w:rsidR="00876FFE" w:rsidRPr="002D0FBC" w:rsidRDefault="00876FFE" w:rsidP="00E13963">
                            <w:pPr>
                              <w:jc w:val="center"/>
                              <w:rPr>
                                <w:rFonts w:asciiTheme="minorHAnsi" w:hAnsiTheme="minorHAnsi" w:cstheme="minorHAnsi"/>
                                <w:b/>
                                <w:color w:val="FFFFFF"/>
                                <w:sz w:val="44"/>
                                <w:szCs w:val="44"/>
                              </w:rPr>
                            </w:pPr>
                            <w:r w:rsidRPr="002D0FBC">
                              <w:rPr>
                                <w:rFonts w:asciiTheme="minorHAnsi" w:hAnsiTheme="minorHAnsi" w:cstheme="minorHAnsi"/>
                                <w:b/>
                                <w:color w:val="FFFFFF"/>
                                <w:sz w:val="44"/>
                                <w:szCs w:val="44"/>
                              </w:rPr>
                              <w:t>НЕДОВОЉАН КВАЛИТЕТ ПРУЖЕНИХ УСЛУГА КРАЈЊИМ КОРИСНИЦИМА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3D0D0B" id="Rounded Rectangle 276" o:spid="_x0000_s1254" style="position:absolute;left:0;text-align:left;margin-left:-42.5pt;margin-top:137.1pt;width:1123.6pt;height:44.6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" fillcolor="#bdd6ee [1304]" strokecolor="#bdd6ee [1304]" strokeweight="1pt">
                <v:stroke joinstyle="miter"/>
                <v:textbox>
                  <w:txbxContent>
                    <w:p w14:paraId="620D17E3" w14:textId="77777777" w:rsidR="00876FFE" w:rsidRPr="002D0FBC" w:rsidRDefault="00876FFE" w:rsidP="00E13963">
                      <w:pPr>
                        <w:jc w:val="center"/>
                        <w:rPr>
                          <w:rFonts w:asciiTheme="minorHAnsi" w:hAnsiTheme="minorHAnsi" w:cstheme="minorHAnsi"/>
                          <w:b/>
                          <w:color w:val="FFFFFF"/>
                          <w:sz w:val="44"/>
                          <w:szCs w:val="44"/>
                        </w:rPr>
                      </w:pPr>
                      <w:r w:rsidRPr="002D0FBC">
                        <w:rPr>
                          <w:rFonts w:asciiTheme="minorHAnsi" w:hAnsiTheme="minorHAnsi" w:cstheme="minorHAnsi"/>
                          <w:b/>
                          <w:color w:val="FFFFFF"/>
                          <w:sz w:val="44"/>
                          <w:szCs w:val="44"/>
                        </w:rPr>
                        <w:t xml:space="preserve">НЕДОВОЉАН </w:t>
                      </w:r>
                      <w:r w:rsidRPr="002D0FBC">
                        <w:rPr>
                          <w:rFonts w:asciiTheme="minorHAnsi" w:hAnsiTheme="minorHAnsi" w:cstheme="minorHAnsi"/>
                          <w:b/>
                          <w:color w:val="FFFFFF"/>
                          <w:sz w:val="44"/>
                          <w:szCs w:val="44"/>
                        </w:rPr>
                        <w:t>КВАЛИТЕТ ПРУЖЕНИХ УСЛУГА КРАЈЊИМ КОРИСНИЦИМА</w:t>
                      </w:r>
                    </w:p>
                  </w:txbxContent>
                </v:textbox>
              </v:roundrect>
            </w:pict>
          </mc:Fallback>
        </mc:AlternateContent>
      </w:r>
      <w:r w:rsidR="00E13963" w:rsidRPr="000F0299">
        <w:rPr>
          <w:rFonts w:ascii="Verdana" w:eastAsia="Times New Roman" w:hAnsi="Verdana"/>
          <w:sz w:val="20"/>
          <w:szCs w:val="20"/>
        </w:rPr>
        <w:tab/>
      </w:r>
      <w:r w:rsidR="00E13963" w:rsidRPr="000F0299">
        <w:rPr>
          <w:rFonts w:ascii="Verdana" w:eastAsia="Times New Roman" w:hAnsi="Verdana"/>
          <w:sz w:val="20"/>
          <w:szCs w:val="20"/>
          <w:lang w:eastAsia="en-GB"/>
        </w:rPr>
        <w:t xml:space="preserve"> </w:t>
      </w:r>
    </w:p>
    <w:p w14:paraId="7816B2A6" w14:textId="77777777" w:rsidR="00E13963" w:rsidRPr="000F0299" w:rsidRDefault="00E13963" w:rsidP="00E13963">
      <w:pPr>
        <w:spacing w:after="120"/>
        <w:rPr>
          <w:rFonts w:ascii="Verdana" w:hAnsi="Verdana"/>
          <w:b/>
          <w:bCs/>
          <w:i/>
          <w:iCs/>
          <w:color w:val="2E2A86"/>
        </w:rPr>
        <w:sectPr w:rsidR="00E13963" w:rsidRPr="000F0299" w:rsidSect="002D0FBC">
          <w:headerReference w:type="default" r:id="rId136"/>
          <w:footerReference w:type="default" r:id="rId137"/>
          <w:pgSz w:w="23814" w:h="16839" w:orient="landscape" w:code="8"/>
          <w:pgMar w:top="147" w:right="1440" w:bottom="720" w:left="1440" w:header="706" w:footer="570" w:gutter="0"/>
          <w:cols w:space="708"/>
          <w:docGrid w:linePitch="360"/>
        </w:sectPr>
      </w:pPr>
    </w:p>
    <w:p w14:paraId="0B9C572F" w14:textId="77777777" w:rsidR="00C16143" w:rsidRPr="000F0299" w:rsidRDefault="00C16143" w:rsidP="00EA509E">
      <w:pPr>
        <w:pStyle w:val="Heading3"/>
        <w:rPr>
          <w:lang w:val="sr-Cyrl-RS" w:eastAsia="de-DE"/>
        </w:rPr>
      </w:pPr>
      <w:bookmarkStart w:id="174" w:name="_ЦИЉ,_АНАЛИЗА_ЕФЕКАТА_1"/>
      <w:bookmarkStart w:id="175" w:name="_Toc57661486"/>
      <w:bookmarkEnd w:id="174"/>
      <w:r w:rsidRPr="000F0299">
        <w:rPr>
          <w:lang w:val="sr-Cyrl-RS" w:eastAsia="de-DE"/>
        </w:rPr>
        <w:t xml:space="preserve">Циљ, </w:t>
      </w:r>
      <w:r w:rsidRPr="000F0299">
        <w:rPr>
          <w:lang w:val="sr-Cyrl-RS"/>
        </w:rPr>
        <w:t>анализа</w:t>
      </w:r>
      <w:r w:rsidRPr="000F0299">
        <w:rPr>
          <w:lang w:val="sr-Cyrl-RS" w:eastAsia="de-DE"/>
        </w:rPr>
        <w:t xml:space="preserve"> ефеката и мере</w:t>
      </w:r>
      <w:bookmarkEnd w:id="175"/>
    </w:p>
    <w:p w14:paraId="07C960E6" w14:textId="77777777" w:rsidR="00C16143" w:rsidRPr="000F0299" w:rsidRDefault="00C16143" w:rsidP="00EA509E">
      <w:pPr>
        <w:rPr>
          <w:lang w:eastAsia="de-DE"/>
        </w:rPr>
      </w:pPr>
      <w:r>
        <w:rPr>
          <w:lang w:eastAsia="de-DE"/>
        </w:rPr>
        <w:t>Р</w:t>
      </w:r>
      <w:r w:rsidRPr="000F0299">
        <w:rPr>
          <w:lang w:eastAsia="de-DE"/>
        </w:rPr>
        <w:t>еформ</w:t>
      </w:r>
      <w:r>
        <w:rPr>
          <w:lang w:eastAsia="de-DE"/>
        </w:rPr>
        <w:t>а</w:t>
      </w:r>
      <w:r w:rsidRPr="000F0299">
        <w:rPr>
          <w:lang w:eastAsia="de-DE"/>
        </w:rPr>
        <w:t xml:space="preserve"> у области пружања услуга до 2030. године </w:t>
      </w:r>
      <w:r>
        <w:rPr>
          <w:lang w:eastAsia="de-DE"/>
        </w:rPr>
        <w:t xml:space="preserve">усмерена </w:t>
      </w:r>
      <w:r w:rsidRPr="000F0299">
        <w:rPr>
          <w:lang w:eastAsia="de-DE"/>
        </w:rPr>
        <w:t>је стварање прилагодљиве јавне управе која у кратком року</w:t>
      </w:r>
      <w:r>
        <w:rPr>
          <w:lang w:eastAsia="de-DE"/>
        </w:rPr>
        <w:t xml:space="preserve"> и</w:t>
      </w:r>
      <w:r w:rsidRPr="000F0299">
        <w:rPr>
          <w:lang w:eastAsia="de-DE"/>
        </w:rPr>
        <w:t xml:space="preserve"> уз разумне трошкове пружа интегрисане кориснички оријентисане услуге, посебно водећи рачуна о мањинским и угроженим друштвеним групама.</w:t>
      </w:r>
    </w:p>
    <w:p w14:paraId="5396FB38" w14:textId="77777777" w:rsidR="00C16143" w:rsidRPr="000F0299" w:rsidRDefault="00C16143" w:rsidP="00EA509E">
      <w:pPr>
        <w:rPr>
          <w:lang w:eastAsia="de-DE"/>
        </w:rPr>
      </w:pPr>
      <w:r>
        <w:rPr>
          <w:lang w:eastAsia="de-DE"/>
        </w:rPr>
        <w:t>П</w:t>
      </w:r>
      <w:r w:rsidRPr="000F0299">
        <w:rPr>
          <w:lang w:eastAsia="de-DE"/>
        </w:rPr>
        <w:t xml:space="preserve">отребно је успоставити систем за развој нових, кориснички оријентисаних постојећих услуга и </w:t>
      </w:r>
      <w:r>
        <w:rPr>
          <w:lang w:eastAsia="de-DE"/>
        </w:rPr>
        <w:t xml:space="preserve">њихову </w:t>
      </w:r>
      <w:r w:rsidRPr="000F0299">
        <w:rPr>
          <w:lang w:eastAsia="de-DE"/>
        </w:rPr>
        <w:t xml:space="preserve">оптимизацију </w:t>
      </w:r>
      <w:r>
        <w:rPr>
          <w:lang w:eastAsia="de-DE"/>
        </w:rPr>
        <w:t xml:space="preserve">тако што ће се </w:t>
      </w:r>
      <w:r w:rsidRPr="000F0299">
        <w:rPr>
          <w:lang w:eastAsia="de-DE"/>
        </w:rPr>
        <w:t>шир</w:t>
      </w:r>
      <w:r>
        <w:rPr>
          <w:lang w:eastAsia="de-DE"/>
        </w:rPr>
        <w:t>а</w:t>
      </w:r>
      <w:r w:rsidRPr="000F0299">
        <w:rPr>
          <w:lang w:eastAsia="de-DE"/>
        </w:rPr>
        <w:t xml:space="preserve"> друштвен</w:t>
      </w:r>
      <w:r>
        <w:rPr>
          <w:lang w:eastAsia="de-DE"/>
        </w:rPr>
        <w:t>а заједница</w:t>
      </w:r>
      <w:r w:rsidRPr="000F0299">
        <w:rPr>
          <w:lang w:eastAsia="de-DE"/>
        </w:rPr>
        <w:t xml:space="preserve"> континуиран</w:t>
      </w:r>
      <w:r>
        <w:rPr>
          <w:lang w:eastAsia="de-DE"/>
        </w:rPr>
        <w:t>о</w:t>
      </w:r>
      <w:r w:rsidRPr="000F0299">
        <w:rPr>
          <w:lang w:eastAsia="de-DE"/>
        </w:rPr>
        <w:t xml:space="preserve"> укључива</w:t>
      </w:r>
      <w:r>
        <w:rPr>
          <w:lang w:eastAsia="de-DE"/>
        </w:rPr>
        <w:t>ти</w:t>
      </w:r>
      <w:r w:rsidRPr="000F0299">
        <w:rPr>
          <w:lang w:eastAsia="de-DE"/>
        </w:rPr>
        <w:t xml:space="preserve"> у процес развоја услуга и </w:t>
      </w:r>
      <w:r>
        <w:rPr>
          <w:lang w:eastAsia="de-DE"/>
        </w:rPr>
        <w:t xml:space="preserve">тако што ће се </w:t>
      </w:r>
      <w:r w:rsidRPr="000F0299">
        <w:rPr>
          <w:lang w:eastAsia="de-DE"/>
        </w:rPr>
        <w:t>употреб</w:t>
      </w:r>
      <w:r>
        <w:rPr>
          <w:lang w:eastAsia="de-DE"/>
        </w:rPr>
        <w:t>љавати</w:t>
      </w:r>
      <w:r w:rsidRPr="000F0299">
        <w:rPr>
          <w:lang w:eastAsia="de-DE"/>
        </w:rPr>
        <w:t xml:space="preserve"> иновативни алат</w:t>
      </w:r>
      <w:r>
        <w:rPr>
          <w:lang w:eastAsia="de-DE"/>
        </w:rPr>
        <w:t>и</w:t>
      </w:r>
      <w:r w:rsidRPr="000F0299">
        <w:rPr>
          <w:lang w:eastAsia="de-DE"/>
        </w:rPr>
        <w:t xml:space="preserve">, а следећи вредности ЕУ и примењујући њене стандарде у овој области. Ефикасно пружање квалитетних услуга ће зависити и од капацитета јавне управе да ефикасно искористи велике сетове података, вештачку интелигенцију и блокчејн технологију како би брзо идентификовала </w:t>
      </w:r>
      <w:r>
        <w:rPr>
          <w:lang w:eastAsia="de-DE"/>
        </w:rPr>
        <w:t>могућности</w:t>
      </w:r>
      <w:r w:rsidRPr="000F0299">
        <w:rPr>
          <w:lang w:eastAsia="de-DE"/>
        </w:rPr>
        <w:t xml:space="preserve"> за оптимизацију постојећих и развој нових услуга, као и за унапређење интерних позадинских процеса у пружању услуга.</w:t>
      </w:r>
    </w:p>
    <w:p w14:paraId="62307EDD" w14:textId="77777777" w:rsidR="00C16143" w:rsidRPr="000F0299" w:rsidRDefault="00C16143" w:rsidP="00EA509E">
      <w:pPr>
        <w:rPr>
          <w:lang w:eastAsia="de-DE"/>
        </w:rPr>
      </w:pPr>
      <w:r w:rsidRPr="000F0299">
        <w:rPr>
          <w:lang w:eastAsia="de-DE"/>
        </w:rPr>
        <w:t xml:space="preserve">Приликом изградње физичких јединствених управних места мора се водити рачуна о приступачности објеката за угрожене групе, </w:t>
      </w:r>
      <w:r>
        <w:rPr>
          <w:lang w:eastAsia="de-DE"/>
        </w:rPr>
        <w:t xml:space="preserve">као што су </w:t>
      </w:r>
      <w:r w:rsidRPr="000F0299">
        <w:rPr>
          <w:lang w:eastAsia="de-DE"/>
        </w:rPr>
        <w:t>особ</w:t>
      </w:r>
      <w:r>
        <w:rPr>
          <w:lang w:eastAsia="de-DE"/>
        </w:rPr>
        <w:t>е</w:t>
      </w:r>
      <w:r w:rsidRPr="000F0299">
        <w:rPr>
          <w:lang w:eastAsia="de-DE"/>
        </w:rPr>
        <w:t xml:space="preserve"> са инвалидитетом или родитељ</w:t>
      </w:r>
      <w:r>
        <w:rPr>
          <w:lang w:eastAsia="de-DE"/>
        </w:rPr>
        <w:t>и</w:t>
      </w:r>
      <w:r w:rsidRPr="000F0299">
        <w:rPr>
          <w:lang w:eastAsia="de-DE"/>
        </w:rPr>
        <w:t xml:space="preserve"> са децом и обезбе</w:t>
      </w:r>
      <w:r>
        <w:rPr>
          <w:lang w:eastAsia="de-DE"/>
        </w:rPr>
        <w:t>дити</w:t>
      </w:r>
      <w:r w:rsidRPr="000F0299">
        <w:rPr>
          <w:lang w:eastAsia="de-DE"/>
        </w:rPr>
        <w:t xml:space="preserve"> помоћ странкама у употреб</w:t>
      </w:r>
      <w:r>
        <w:rPr>
          <w:lang w:eastAsia="de-DE"/>
        </w:rPr>
        <w:t>и</w:t>
      </w:r>
      <w:r w:rsidRPr="000F0299">
        <w:rPr>
          <w:lang w:eastAsia="de-DE"/>
        </w:rPr>
        <w:t xml:space="preserve"> информационо-комуникационих технологија. </w:t>
      </w:r>
      <w:r>
        <w:rPr>
          <w:lang w:eastAsia="de-DE"/>
        </w:rPr>
        <w:t>И</w:t>
      </w:r>
      <w:r w:rsidRPr="000F0299">
        <w:rPr>
          <w:lang w:eastAsia="de-DE"/>
        </w:rPr>
        <w:t xml:space="preserve">нклузиван развој услуга подразумева и ослањање на решења за унапређење до којих грађани самостално долазе, што </w:t>
      </w:r>
      <w:r>
        <w:rPr>
          <w:lang w:eastAsia="de-DE"/>
        </w:rPr>
        <w:t xml:space="preserve">захтева да се </w:t>
      </w:r>
      <w:r w:rsidRPr="000F0299">
        <w:rPr>
          <w:lang w:eastAsia="de-DE"/>
        </w:rPr>
        <w:t>отв</w:t>
      </w:r>
      <w:r>
        <w:rPr>
          <w:lang w:eastAsia="de-DE"/>
        </w:rPr>
        <w:t>оре</w:t>
      </w:r>
      <w:r w:rsidRPr="000F0299">
        <w:rPr>
          <w:lang w:eastAsia="de-DE"/>
        </w:rPr>
        <w:t xml:space="preserve"> пода</w:t>
      </w:r>
      <w:r>
        <w:rPr>
          <w:lang w:eastAsia="de-DE"/>
        </w:rPr>
        <w:t>ци</w:t>
      </w:r>
      <w:r w:rsidRPr="000F0299">
        <w:rPr>
          <w:lang w:eastAsia="de-DE"/>
        </w:rPr>
        <w:t xml:space="preserve"> јавне управе за екстерне кориснике и </w:t>
      </w:r>
      <w:r>
        <w:rPr>
          <w:lang w:eastAsia="de-DE"/>
        </w:rPr>
        <w:t xml:space="preserve">већу сарадњу међу </w:t>
      </w:r>
      <w:r w:rsidRPr="000F0299">
        <w:rPr>
          <w:lang w:eastAsia="de-DE"/>
        </w:rPr>
        <w:t>сви</w:t>
      </w:r>
      <w:r>
        <w:rPr>
          <w:lang w:eastAsia="de-DE"/>
        </w:rPr>
        <w:t>м</w:t>
      </w:r>
      <w:r w:rsidRPr="000F0299">
        <w:rPr>
          <w:lang w:eastAsia="de-DE"/>
        </w:rPr>
        <w:t xml:space="preserve"> заинтересовани</w:t>
      </w:r>
      <w:r>
        <w:rPr>
          <w:lang w:eastAsia="de-DE"/>
        </w:rPr>
        <w:t>м</w:t>
      </w:r>
      <w:r w:rsidRPr="000F0299">
        <w:rPr>
          <w:lang w:eastAsia="de-DE"/>
        </w:rPr>
        <w:t xml:space="preserve"> страна</w:t>
      </w:r>
      <w:r>
        <w:rPr>
          <w:lang w:eastAsia="de-DE"/>
        </w:rPr>
        <w:t>ма</w:t>
      </w:r>
      <w:r w:rsidRPr="000F0299">
        <w:rPr>
          <w:lang w:eastAsia="de-DE"/>
        </w:rPr>
        <w:t xml:space="preserve"> у свакој фази развоја услуга.</w:t>
      </w:r>
    </w:p>
    <w:p w14:paraId="797FD739" w14:textId="4B92A156" w:rsidR="00C16143" w:rsidRPr="000F0299" w:rsidRDefault="00C16143" w:rsidP="00EA509E">
      <w:r w:rsidRPr="000F0299">
        <w:rPr>
          <w:lang w:eastAsia="de-DE"/>
        </w:rPr>
        <w:t xml:space="preserve">Имајући у виду да је дигитализација јавне управе битан елемент ефикаснијег пружања услуга, потребно </w:t>
      </w:r>
      <w:r>
        <w:rPr>
          <w:lang w:eastAsia="de-DE"/>
        </w:rPr>
        <w:t xml:space="preserve">је </w:t>
      </w:r>
      <w:r w:rsidRPr="000F0299">
        <w:rPr>
          <w:lang w:eastAsia="de-DE"/>
        </w:rPr>
        <w:t>додатно подржати спровођење Програма за развој електронске управе</w:t>
      </w:r>
      <w:r w:rsidRPr="000F0299">
        <w:rPr>
          <w:vertAlign w:val="superscript"/>
          <w:lang w:eastAsia="de-DE"/>
        </w:rPr>
        <w:footnoteReference w:id="205"/>
      </w:r>
      <w:r w:rsidRPr="000F0299">
        <w:rPr>
          <w:lang w:eastAsia="de-DE"/>
        </w:rPr>
        <w:t xml:space="preserve"> кроз изградњу техничко-технолошких и персоналних ресурса неопходних за </w:t>
      </w:r>
      <w:r>
        <w:rPr>
          <w:lang w:eastAsia="de-DE"/>
        </w:rPr>
        <w:t xml:space="preserve">рад дигитализоване управе </w:t>
      </w:r>
      <w:r w:rsidRPr="000F0299">
        <w:rPr>
          <w:lang w:eastAsia="de-DE"/>
        </w:rPr>
        <w:t xml:space="preserve">и унапређење интероперабилности. То подразумева </w:t>
      </w:r>
      <w:r>
        <w:rPr>
          <w:lang w:eastAsia="de-DE"/>
        </w:rPr>
        <w:t xml:space="preserve">да се боље </w:t>
      </w:r>
      <w:r w:rsidRPr="000F0299">
        <w:rPr>
          <w:lang w:eastAsia="de-DE"/>
        </w:rPr>
        <w:t>техничк</w:t>
      </w:r>
      <w:r>
        <w:rPr>
          <w:lang w:eastAsia="de-DE"/>
        </w:rPr>
        <w:t>и</w:t>
      </w:r>
      <w:r w:rsidRPr="000F0299">
        <w:rPr>
          <w:lang w:eastAsia="de-DE"/>
        </w:rPr>
        <w:t xml:space="preserve"> опрем</w:t>
      </w:r>
      <w:r>
        <w:rPr>
          <w:lang w:eastAsia="de-DE"/>
        </w:rPr>
        <w:t>е органи државне управе</w:t>
      </w:r>
      <w:r w:rsidRPr="000F0299">
        <w:rPr>
          <w:lang w:eastAsia="de-DE"/>
        </w:rPr>
        <w:t xml:space="preserve"> и </w:t>
      </w:r>
      <w:r>
        <w:rPr>
          <w:lang w:eastAsia="de-DE"/>
        </w:rPr>
        <w:t>више</w:t>
      </w:r>
      <w:r w:rsidRPr="000F0299">
        <w:rPr>
          <w:lang w:eastAsia="de-DE"/>
        </w:rPr>
        <w:t xml:space="preserve"> спрово</w:t>
      </w:r>
      <w:r>
        <w:rPr>
          <w:lang w:eastAsia="de-DE"/>
        </w:rPr>
        <w:t>д</w:t>
      </w:r>
      <w:r w:rsidRPr="000F0299">
        <w:rPr>
          <w:lang w:eastAsia="de-DE"/>
        </w:rPr>
        <w:t>е обук</w:t>
      </w:r>
      <w:r>
        <w:rPr>
          <w:lang w:eastAsia="de-DE"/>
        </w:rPr>
        <w:t>е</w:t>
      </w:r>
      <w:r w:rsidRPr="000F0299">
        <w:rPr>
          <w:lang w:eastAsia="de-DE"/>
        </w:rPr>
        <w:t xml:space="preserve"> државних службеника. Предуслов широке употребе електронске управе је</w:t>
      </w:r>
      <w:r>
        <w:rPr>
          <w:lang w:eastAsia="de-DE"/>
        </w:rPr>
        <w:t xml:space="preserve">сте да се </w:t>
      </w:r>
      <w:r w:rsidRPr="000F0299">
        <w:rPr>
          <w:lang w:eastAsia="de-DE"/>
        </w:rPr>
        <w:t>обезбе</w:t>
      </w:r>
      <w:r>
        <w:rPr>
          <w:lang w:eastAsia="de-DE"/>
        </w:rPr>
        <w:t>ди</w:t>
      </w:r>
      <w:r w:rsidRPr="000F0299">
        <w:rPr>
          <w:lang w:eastAsia="de-DE"/>
        </w:rPr>
        <w:t xml:space="preserve"> пун</w:t>
      </w:r>
      <w:r>
        <w:rPr>
          <w:lang w:eastAsia="de-DE"/>
        </w:rPr>
        <w:t>а</w:t>
      </w:r>
      <w:r w:rsidRPr="000F0299">
        <w:rPr>
          <w:lang w:eastAsia="de-DE"/>
        </w:rPr>
        <w:t xml:space="preserve"> правн</w:t>
      </w:r>
      <w:r>
        <w:rPr>
          <w:lang w:eastAsia="de-DE"/>
        </w:rPr>
        <w:t>а</w:t>
      </w:r>
      <w:r w:rsidRPr="000F0299">
        <w:rPr>
          <w:lang w:eastAsia="de-DE"/>
        </w:rPr>
        <w:t xml:space="preserve"> сигурност у коришћењу свих њених услуга, па </w:t>
      </w:r>
      <w:r>
        <w:rPr>
          <w:lang w:eastAsia="de-DE"/>
        </w:rPr>
        <w:t xml:space="preserve">треба </w:t>
      </w:r>
      <w:r w:rsidRPr="000F0299">
        <w:rPr>
          <w:lang w:eastAsia="de-DE"/>
        </w:rPr>
        <w:t xml:space="preserve">наставити са успостављањем правног оквира и техничко-технолошких решења у </w:t>
      </w:r>
      <w:r>
        <w:rPr>
          <w:lang w:eastAsia="de-DE"/>
        </w:rPr>
        <w:t>т</w:t>
      </w:r>
      <w:r w:rsidRPr="000F0299">
        <w:rPr>
          <w:lang w:eastAsia="de-DE"/>
        </w:rPr>
        <w:t>ом домену. Крајњи циљ развоја електронске управе, као савременог начина пружања услуга, је</w:t>
      </w:r>
      <w:r>
        <w:rPr>
          <w:lang w:eastAsia="de-DE"/>
        </w:rPr>
        <w:t>сте</w:t>
      </w:r>
      <w:r w:rsidRPr="000F0299">
        <w:rPr>
          <w:lang w:eastAsia="de-DE"/>
        </w:rPr>
        <w:t xml:space="preserve"> повећање доступности електронске управе грађанима и привреди </w:t>
      </w:r>
      <w:r>
        <w:rPr>
          <w:lang w:eastAsia="de-DE"/>
        </w:rPr>
        <w:t>тако што ће се увести</w:t>
      </w:r>
      <w:r w:rsidRPr="000F0299">
        <w:rPr>
          <w:lang w:eastAsia="de-DE"/>
        </w:rPr>
        <w:t xml:space="preserve"> кориснички сервис</w:t>
      </w:r>
      <w:r>
        <w:rPr>
          <w:lang w:eastAsia="de-DE"/>
        </w:rPr>
        <w:t>и</w:t>
      </w:r>
      <w:r w:rsidRPr="000F0299">
        <w:rPr>
          <w:lang w:eastAsia="de-DE"/>
        </w:rPr>
        <w:t xml:space="preserve"> трећег и четвртог нивоа софистицираности за оптимизоване кориснички оријентисане услуге. </w:t>
      </w:r>
    </w:p>
    <w:p w14:paraId="387097F9" w14:textId="77777777" w:rsidR="00C16143" w:rsidRPr="000F0299" w:rsidRDefault="00C16143" w:rsidP="00EA509E">
      <w:pPr>
        <w:rPr>
          <w:lang w:eastAsia="de-DE"/>
        </w:rPr>
      </w:pPr>
      <w:r>
        <w:rPr>
          <w:lang w:eastAsia="de-DE"/>
        </w:rPr>
        <w:t>Истовремено</w:t>
      </w:r>
      <w:r w:rsidRPr="000F0299">
        <w:rPr>
          <w:lang w:eastAsia="de-DE"/>
        </w:rPr>
        <w:t xml:space="preserve"> са успостављањем система за развој и оптимизацију услуга и изградњ</w:t>
      </w:r>
      <w:r>
        <w:rPr>
          <w:lang w:eastAsia="de-DE"/>
        </w:rPr>
        <w:t>ом</w:t>
      </w:r>
      <w:r w:rsidRPr="000F0299">
        <w:rPr>
          <w:lang w:eastAsia="de-DE"/>
        </w:rPr>
        <w:t xml:space="preserve"> неопходних техничко-технолошких и људских капацитета у циљу пружања кориснички оријентисаних услуга потребно је успоставити и делотворан систем контроле квалитета пружених услуга. Изградња ефикасног надзора и информационе базе за развој бољих услуга захтева оснаживање капацитета за интерну контролу, али и успостављање механизама за екстерн</w:t>
      </w:r>
      <w:r>
        <w:rPr>
          <w:lang w:eastAsia="de-DE"/>
        </w:rPr>
        <w:t>о</w:t>
      </w:r>
      <w:r w:rsidRPr="000F0299">
        <w:rPr>
          <w:lang w:eastAsia="de-DE"/>
        </w:rPr>
        <w:t>, независн</w:t>
      </w:r>
      <w:r>
        <w:rPr>
          <w:lang w:eastAsia="de-DE"/>
        </w:rPr>
        <w:t>о</w:t>
      </w:r>
      <w:r w:rsidRPr="000F0299">
        <w:rPr>
          <w:lang w:eastAsia="de-DE"/>
        </w:rPr>
        <w:t xml:space="preserve"> </w:t>
      </w:r>
      <w:r>
        <w:rPr>
          <w:lang w:eastAsia="de-DE"/>
        </w:rPr>
        <w:t xml:space="preserve">вредновање, па је </w:t>
      </w:r>
      <w:r w:rsidRPr="000F0299">
        <w:rPr>
          <w:lang w:eastAsia="de-DE"/>
        </w:rPr>
        <w:t>потребно увести сталну процену и мерење задовољства крајњих корисника као један од најсврсисходнијих показатеља да ли је јавна управа успешна у остваривању циљева које пред њу стављају грађани Републике Србије, али и она сама.</w:t>
      </w:r>
    </w:p>
    <w:p w14:paraId="52830572" w14:textId="2E498AA1" w:rsidR="00C16143" w:rsidRDefault="00C16143" w:rsidP="00C16143">
      <w:r>
        <w:rPr>
          <w:bCs/>
        </w:rPr>
        <w:t>У</w:t>
      </w:r>
      <w:r w:rsidRPr="000F0299">
        <w:rPr>
          <w:bCs/>
        </w:rPr>
        <w:t xml:space="preserve"> области стручног усавршавања за различите категорије службеника</w:t>
      </w:r>
      <w:r>
        <w:rPr>
          <w:bCs/>
        </w:rPr>
        <w:t xml:space="preserve">, потребно је </w:t>
      </w:r>
      <w:r w:rsidRPr="000F0299">
        <w:t>у програм</w:t>
      </w:r>
      <w:r>
        <w:t>е</w:t>
      </w:r>
      <w:r w:rsidRPr="000F0299">
        <w:t xml:space="preserve"> обука </w:t>
      </w:r>
      <w:r>
        <w:t>НАЈУ</w:t>
      </w:r>
      <w:r w:rsidRPr="000F0299">
        <w:t xml:space="preserve"> од 2021. године </w:t>
      </w:r>
      <w:r>
        <w:t>уврстити</w:t>
      </w:r>
      <w:r w:rsidRPr="000F0299">
        <w:t xml:space="preserve"> обуке </w:t>
      </w:r>
      <w:r>
        <w:t xml:space="preserve">за службенике и реализаторе обука </w:t>
      </w:r>
      <w:r w:rsidRPr="000F0299">
        <w:t xml:space="preserve">у вези са иновацијама и јавним услугама у складу са концептом усмерености на крајње кориснике </w:t>
      </w:r>
      <w:r>
        <w:t>пошто</w:t>
      </w:r>
      <w:r w:rsidRPr="000F0299">
        <w:t xml:space="preserve"> се ради о суштинском заокрету у начину размишљања и рада у јавној управи у односу на досадашњу праксу у </w:t>
      </w:r>
      <w:r>
        <w:t>т</w:t>
      </w:r>
      <w:r w:rsidRPr="000F0299">
        <w:t>ој области.</w:t>
      </w:r>
    </w:p>
    <w:p w14:paraId="56581F66" w14:textId="54429CF4" w:rsidR="00C16143" w:rsidRPr="00C16143" w:rsidRDefault="00C16143" w:rsidP="00C16143">
      <w:pPr>
        <w:pStyle w:val="Heading4"/>
        <w:rPr>
          <w:lang w:val="sr-Cyrl-RS"/>
        </w:rPr>
      </w:pPr>
      <w:r w:rsidRPr="000F0299">
        <w:rPr>
          <w:bCs/>
          <w:lang w:val="sr-Cyrl-RS"/>
        </w:rPr>
        <w:t xml:space="preserve">Посебан циљ 3.1: </w:t>
      </w:r>
      <w:hyperlink w:anchor="_Посебан_циљ_3.1:" w:history="1">
        <w:r w:rsidRPr="006442E4">
          <w:rPr>
            <w:rStyle w:val="Hyperlink"/>
            <w:bCs/>
            <w:lang w:val="sr-Cyrl-RS"/>
          </w:rPr>
          <w:t>Јавна</w:t>
        </w:r>
        <w:r w:rsidRPr="006442E4">
          <w:rPr>
            <w:rStyle w:val="Hyperlink"/>
            <w:lang w:val="sr-Cyrl-RS"/>
          </w:rPr>
          <w:t xml:space="preserve"> управа на ефикасан и иновативан начин пружа услуге које одговарају на потребе крајњих корисника и унапређују њихово корисничко искуство</w:t>
        </w:r>
      </w:hyperlink>
    </w:p>
    <w:tbl>
      <w:tblPr>
        <w:tblW w:w="5000" w:type="pct"/>
        <w:shd w:val="clear" w:color="auto" w:fill="E7E6E6" w:themeFill="background2"/>
        <w:tblLook w:val="00A0" w:firstRow="1" w:lastRow="0" w:firstColumn="1" w:lastColumn="0" w:noHBand="0" w:noVBand="0"/>
      </w:tblPr>
      <w:tblGrid>
        <w:gridCol w:w="328"/>
        <w:gridCol w:w="3127"/>
        <w:gridCol w:w="3466"/>
        <w:gridCol w:w="1785"/>
        <w:gridCol w:w="320"/>
      </w:tblGrid>
      <w:tr w:rsidR="002427A8" w:rsidRPr="000F0299" w14:paraId="0FE09EEE" w14:textId="77777777" w:rsidTr="00BA68DD">
        <w:trPr>
          <w:trHeight w:val="20"/>
        </w:trPr>
        <w:tc>
          <w:tcPr>
            <w:tcW w:w="182" w:type="pct"/>
            <w:tcBorders>
              <w:top w:val="single" w:sz="18" w:space="0" w:color="C00000"/>
              <w:left w:val="single" w:sz="18" w:space="0" w:color="C00000"/>
            </w:tcBorders>
            <w:shd w:val="clear" w:color="auto" w:fill="F2F2F2" w:themeFill="background1" w:themeFillShade="F2"/>
          </w:tcPr>
          <w:p w14:paraId="4ED17BB4" w14:textId="77777777" w:rsidR="002427A8" w:rsidRPr="000F0299" w:rsidRDefault="002427A8" w:rsidP="00BF3F95">
            <w:pPr>
              <w:spacing w:before="0"/>
              <w:ind w:firstLine="0"/>
              <w:rPr>
                <w:b/>
                <w:bCs/>
                <w:sz w:val="16"/>
                <w:szCs w:val="16"/>
              </w:rPr>
            </w:pPr>
          </w:p>
        </w:tc>
        <w:tc>
          <w:tcPr>
            <w:tcW w:w="1732" w:type="pct"/>
            <w:tcBorders>
              <w:top w:val="single" w:sz="18" w:space="0" w:color="C00000"/>
            </w:tcBorders>
            <w:shd w:val="clear" w:color="auto" w:fill="F2F2F2" w:themeFill="background1" w:themeFillShade="F2"/>
          </w:tcPr>
          <w:p w14:paraId="5583830E" w14:textId="77777777" w:rsidR="002427A8" w:rsidRPr="000F0299" w:rsidRDefault="002427A8" w:rsidP="00BF3F95">
            <w:pPr>
              <w:spacing w:before="0"/>
              <w:ind w:firstLine="0"/>
              <w:rPr>
                <w:b/>
                <w:bCs/>
                <w:sz w:val="16"/>
                <w:szCs w:val="16"/>
              </w:rPr>
            </w:pPr>
          </w:p>
        </w:tc>
        <w:tc>
          <w:tcPr>
            <w:tcW w:w="1920" w:type="pct"/>
            <w:tcBorders>
              <w:top w:val="single" w:sz="18" w:space="0" w:color="C00000"/>
            </w:tcBorders>
            <w:shd w:val="clear" w:color="auto" w:fill="F2F2F2" w:themeFill="background1" w:themeFillShade="F2"/>
            <w:vAlign w:val="center"/>
          </w:tcPr>
          <w:p w14:paraId="314781AF" w14:textId="77777777" w:rsidR="002427A8" w:rsidRPr="000F0299" w:rsidRDefault="002427A8" w:rsidP="00BF3F95">
            <w:pPr>
              <w:spacing w:before="0"/>
              <w:ind w:firstLine="0"/>
              <w:jc w:val="center"/>
              <w:rPr>
                <w:b/>
                <w:bCs/>
                <w:sz w:val="16"/>
                <w:szCs w:val="16"/>
              </w:rPr>
            </w:pPr>
          </w:p>
        </w:tc>
        <w:tc>
          <w:tcPr>
            <w:tcW w:w="989" w:type="pct"/>
            <w:tcBorders>
              <w:top w:val="single" w:sz="18" w:space="0" w:color="C00000"/>
            </w:tcBorders>
            <w:shd w:val="clear" w:color="auto" w:fill="F2F2F2" w:themeFill="background1" w:themeFillShade="F2"/>
            <w:vAlign w:val="center"/>
          </w:tcPr>
          <w:p w14:paraId="1F46E8FF" w14:textId="77777777" w:rsidR="002427A8" w:rsidRPr="000F0299" w:rsidRDefault="002427A8" w:rsidP="00BF3F95">
            <w:pPr>
              <w:spacing w:before="0"/>
              <w:ind w:firstLine="0"/>
              <w:jc w:val="center"/>
              <w:rPr>
                <w:b/>
                <w:bCs/>
                <w:sz w:val="16"/>
                <w:szCs w:val="16"/>
              </w:rPr>
            </w:pPr>
          </w:p>
        </w:tc>
        <w:tc>
          <w:tcPr>
            <w:tcW w:w="177" w:type="pct"/>
            <w:tcBorders>
              <w:top w:val="single" w:sz="18" w:space="0" w:color="C00000"/>
              <w:right w:val="single" w:sz="18" w:space="0" w:color="C00000"/>
            </w:tcBorders>
            <w:shd w:val="clear" w:color="auto" w:fill="F2F2F2" w:themeFill="background1" w:themeFillShade="F2"/>
          </w:tcPr>
          <w:p w14:paraId="7E6550FB" w14:textId="77777777" w:rsidR="002427A8" w:rsidRPr="000F0299" w:rsidRDefault="002427A8" w:rsidP="00BF3F95">
            <w:pPr>
              <w:spacing w:before="0"/>
              <w:ind w:firstLine="0"/>
              <w:jc w:val="center"/>
              <w:rPr>
                <w:b/>
                <w:bCs/>
                <w:sz w:val="16"/>
                <w:szCs w:val="16"/>
              </w:rPr>
            </w:pPr>
          </w:p>
        </w:tc>
      </w:tr>
      <w:tr w:rsidR="002427A8" w:rsidRPr="000F0299" w14:paraId="043B0EEC" w14:textId="77777777" w:rsidTr="00BA68DD">
        <w:trPr>
          <w:trHeight w:val="490"/>
        </w:trPr>
        <w:tc>
          <w:tcPr>
            <w:tcW w:w="182" w:type="pct"/>
            <w:tcBorders>
              <w:left w:val="single" w:sz="18" w:space="0" w:color="C00000"/>
            </w:tcBorders>
            <w:shd w:val="clear" w:color="auto" w:fill="F2F2F2" w:themeFill="background1" w:themeFillShade="F2"/>
          </w:tcPr>
          <w:p w14:paraId="373DB9BF" w14:textId="77777777" w:rsidR="002427A8" w:rsidRPr="000F0299" w:rsidRDefault="002427A8" w:rsidP="00BF3F95">
            <w:pPr>
              <w:spacing w:before="0"/>
              <w:ind w:firstLine="0"/>
              <w:rPr>
                <w:b/>
                <w:bCs/>
              </w:rPr>
            </w:pPr>
          </w:p>
        </w:tc>
        <w:tc>
          <w:tcPr>
            <w:tcW w:w="1732" w:type="pct"/>
            <w:tcBorders>
              <w:left w:val="nil"/>
              <w:bottom w:val="single" w:sz="18" w:space="0" w:color="C00000"/>
              <w:right w:val="single" w:sz="18" w:space="0" w:color="FFFFFF" w:themeColor="background1"/>
            </w:tcBorders>
            <w:shd w:val="clear" w:color="auto" w:fill="F2F2F2" w:themeFill="background1" w:themeFillShade="F2"/>
          </w:tcPr>
          <w:p w14:paraId="560BB172" w14:textId="77777777" w:rsidR="002427A8" w:rsidRPr="000F0299" w:rsidRDefault="002427A8" w:rsidP="00BF3F95">
            <w:pPr>
              <w:spacing w:before="0"/>
              <w:ind w:firstLine="0"/>
              <w:rPr>
                <w:b/>
                <w:bCs/>
              </w:rPr>
            </w:pPr>
            <w:r w:rsidRPr="000F0299">
              <w:rPr>
                <w:b/>
                <w:bCs/>
              </w:rPr>
              <w:t>Показатељ исхода</w:t>
            </w:r>
          </w:p>
        </w:tc>
        <w:tc>
          <w:tcPr>
            <w:tcW w:w="1920"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19A3532F" w14:textId="77777777" w:rsidR="002427A8" w:rsidRPr="000F0299" w:rsidRDefault="002427A8" w:rsidP="00BF3F95">
            <w:pPr>
              <w:spacing w:before="0"/>
              <w:ind w:firstLine="0"/>
              <w:jc w:val="center"/>
              <w:rPr>
                <w:b/>
                <w:bCs/>
              </w:rPr>
            </w:pPr>
            <w:r w:rsidRPr="000F0299">
              <w:rPr>
                <w:b/>
                <w:bCs/>
              </w:rPr>
              <w:t>ПВ</w:t>
            </w:r>
          </w:p>
        </w:tc>
        <w:tc>
          <w:tcPr>
            <w:tcW w:w="989" w:type="pct"/>
            <w:tcBorders>
              <w:left w:val="single" w:sz="18" w:space="0" w:color="FFFFFF" w:themeColor="background1"/>
              <w:bottom w:val="single" w:sz="18" w:space="0" w:color="C00000"/>
            </w:tcBorders>
            <w:shd w:val="clear" w:color="auto" w:fill="F2F2F2" w:themeFill="background1" w:themeFillShade="F2"/>
            <w:vAlign w:val="center"/>
          </w:tcPr>
          <w:p w14:paraId="29BAF3B7" w14:textId="77777777" w:rsidR="002427A8" w:rsidRPr="000F0299" w:rsidRDefault="002427A8" w:rsidP="00BF3F95">
            <w:pPr>
              <w:spacing w:before="0"/>
              <w:ind w:firstLine="0"/>
              <w:jc w:val="center"/>
              <w:rPr>
                <w:b/>
                <w:bCs/>
              </w:rPr>
            </w:pPr>
            <w:r w:rsidRPr="000F0299">
              <w:rPr>
                <w:b/>
                <w:bCs/>
              </w:rPr>
              <w:t>ЦВ</w:t>
            </w:r>
          </w:p>
        </w:tc>
        <w:tc>
          <w:tcPr>
            <w:tcW w:w="177" w:type="pct"/>
            <w:tcBorders>
              <w:right w:val="single" w:sz="18" w:space="0" w:color="C00000"/>
            </w:tcBorders>
            <w:shd w:val="clear" w:color="auto" w:fill="F2F2F2" w:themeFill="background1" w:themeFillShade="F2"/>
          </w:tcPr>
          <w:p w14:paraId="04246B75" w14:textId="77777777" w:rsidR="002427A8" w:rsidRPr="000F0299" w:rsidRDefault="002427A8" w:rsidP="00BF3F95">
            <w:pPr>
              <w:spacing w:before="0"/>
              <w:ind w:firstLine="0"/>
              <w:jc w:val="center"/>
              <w:rPr>
                <w:b/>
                <w:bCs/>
              </w:rPr>
            </w:pPr>
          </w:p>
        </w:tc>
      </w:tr>
      <w:tr w:rsidR="002427A8" w:rsidRPr="000F0299" w14:paraId="3982EBF5" w14:textId="77777777" w:rsidTr="00BA68DD">
        <w:trPr>
          <w:trHeight w:val="1082"/>
        </w:trPr>
        <w:tc>
          <w:tcPr>
            <w:tcW w:w="182" w:type="pct"/>
            <w:tcBorders>
              <w:left w:val="single" w:sz="18" w:space="0" w:color="C00000"/>
            </w:tcBorders>
            <w:shd w:val="clear" w:color="auto" w:fill="F2F2F2" w:themeFill="background1" w:themeFillShade="F2"/>
          </w:tcPr>
          <w:p w14:paraId="68B815AD" w14:textId="77777777" w:rsidR="002427A8" w:rsidRPr="000F0299" w:rsidRDefault="002427A8" w:rsidP="00BF3F95">
            <w:pPr>
              <w:spacing w:before="0"/>
              <w:ind w:firstLine="0"/>
            </w:pPr>
          </w:p>
        </w:tc>
        <w:tc>
          <w:tcPr>
            <w:tcW w:w="1732"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7924728C" w14:textId="5C67D475" w:rsidR="002427A8" w:rsidRPr="000F0299" w:rsidRDefault="002427A8" w:rsidP="00BF3F95">
            <w:pPr>
              <w:spacing w:before="0"/>
              <w:ind w:firstLine="0"/>
            </w:pPr>
            <w:r w:rsidRPr="000F0299">
              <w:t xml:space="preserve">Просечна оцена </w:t>
            </w:r>
            <w:r w:rsidR="0070535D" w:rsidRPr="0070535D">
              <w:rPr>
                <w:i/>
              </w:rPr>
              <w:t>SIGMA</w:t>
            </w:r>
            <w:r w:rsidRPr="000F0299">
              <w:t xml:space="preserve"> Извештаја о праћењу у области пружања услуга за сва четири стуба мерења</w:t>
            </w:r>
          </w:p>
        </w:tc>
        <w:tc>
          <w:tcPr>
            <w:tcW w:w="1920"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064B69DC" w14:textId="77777777" w:rsidR="002427A8" w:rsidRPr="000F0299" w:rsidRDefault="002427A8" w:rsidP="00BF3F95">
            <w:pPr>
              <w:spacing w:before="0"/>
              <w:ind w:firstLine="0"/>
            </w:pPr>
            <w:r w:rsidRPr="000F0299">
              <w:t>(2019): 3</w:t>
            </w:r>
          </w:p>
        </w:tc>
        <w:tc>
          <w:tcPr>
            <w:tcW w:w="989"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1628E049" w14:textId="77777777" w:rsidR="002427A8" w:rsidRPr="000F0299" w:rsidRDefault="002427A8" w:rsidP="00BF3F95">
            <w:pPr>
              <w:spacing w:before="0"/>
              <w:ind w:firstLine="0"/>
            </w:pPr>
            <w:r w:rsidRPr="000F0299">
              <w:t>(2021): 3,5</w:t>
            </w:r>
          </w:p>
          <w:p w14:paraId="39310F4F" w14:textId="77777777" w:rsidR="002427A8" w:rsidRPr="000F0299" w:rsidRDefault="002427A8" w:rsidP="00BF3F95">
            <w:pPr>
              <w:spacing w:before="0"/>
              <w:ind w:firstLine="0"/>
            </w:pPr>
            <w:r w:rsidRPr="000F0299">
              <w:t>(2022): 3,5</w:t>
            </w:r>
          </w:p>
          <w:p w14:paraId="2A252BC8" w14:textId="77777777" w:rsidR="002427A8" w:rsidRPr="000F0299" w:rsidRDefault="002427A8" w:rsidP="00BF3F95">
            <w:pPr>
              <w:spacing w:before="0"/>
              <w:ind w:firstLine="0"/>
            </w:pPr>
            <w:r w:rsidRPr="000F0299">
              <w:t>(2023): 4</w:t>
            </w:r>
          </w:p>
          <w:p w14:paraId="6F0D6894" w14:textId="3C2F61E9" w:rsidR="002427A8" w:rsidRPr="000F0299" w:rsidRDefault="002427A8" w:rsidP="00BF3F95">
            <w:pPr>
              <w:spacing w:before="0"/>
              <w:ind w:firstLine="0"/>
            </w:pPr>
            <w:r w:rsidRPr="000F0299">
              <w:t>(2024): 4</w:t>
            </w:r>
          </w:p>
          <w:p w14:paraId="7071D632" w14:textId="77777777" w:rsidR="002427A8" w:rsidRPr="000F0299" w:rsidRDefault="002427A8" w:rsidP="00BF3F95">
            <w:pPr>
              <w:spacing w:before="0"/>
              <w:ind w:firstLine="0"/>
            </w:pPr>
            <w:r w:rsidRPr="000F0299">
              <w:t>(2025): 4,5</w:t>
            </w:r>
          </w:p>
          <w:p w14:paraId="5A3333AC" w14:textId="77777777" w:rsidR="002427A8" w:rsidRPr="000F0299" w:rsidRDefault="002427A8" w:rsidP="00BF3F95">
            <w:pPr>
              <w:spacing w:before="0"/>
              <w:ind w:firstLine="0"/>
            </w:pPr>
            <w:r w:rsidRPr="000F0299">
              <w:t>(2027): 5</w:t>
            </w:r>
          </w:p>
          <w:p w14:paraId="795242E5" w14:textId="77777777" w:rsidR="002427A8" w:rsidRPr="000F0299" w:rsidRDefault="002427A8" w:rsidP="00BF3F95">
            <w:pPr>
              <w:spacing w:before="0"/>
              <w:ind w:firstLine="0"/>
            </w:pPr>
            <w:r w:rsidRPr="000F0299">
              <w:t>(2030): 5</w:t>
            </w:r>
          </w:p>
        </w:tc>
        <w:tc>
          <w:tcPr>
            <w:tcW w:w="177" w:type="pct"/>
            <w:tcBorders>
              <w:right w:val="single" w:sz="18" w:space="0" w:color="C00000"/>
            </w:tcBorders>
            <w:shd w:val="clear" w:color="auto" w:fill="F2F2F2" w:themeFill="background1" w:themeFillShade="F2"/>
          </w:tcPr>
          <w:p w14:paraId="63DD3D3B" w14:textId="77777777" w:rsidR="002427A8" w:rsidRPr="000F0299" w:rsidRDefault="002427A8" w:rsidP="00BF3F95">
            <w:pPr>
              <w:spacing w:before="0"/>
              <w:ind w:firstLine="0"/>
            </w:pPr>
          </w:p>
        </w:tc>
      </w:tr>
      <w:tr w:rsidR="002427A8" w:rsidRPr="000F0299" w14:paraId="33F644C9" w14:textId="77777777" w:rsidTr="00BA68DD">
        <w:trPr>
          <w:trHeight w:val="381"/>
        </w:trPr>
        <w:tc>
          <w:tcPr>
            <w:tcW w:w="182" w:type="pct"/>
            <w:tcBorders>
              <w:left w:val="single" w:sz="18" w:space="0" w:color="C00000"/>
            </w:tcBorders>
            <w:shd w:val="clear" w:color="auto" w:fill="F2F2F2" w:themeFill="background1" w:themeFillShade="F2"/>
          </w:tcPr>
          <w:p w14:paraId="6EA2E294" w14:textId="77777777" w:rsidR="002427A8" w:rsidRPr="000F0299" w:rsidRDefault="002427A8" w:rsidP="00BF3F95">
            <w:pPr>
              <w:spacing w:before="0"/>
              <w:ind w:firstLine="0"/>
            </w:pPr>
          </w:p>
        </w:tc>
        <w:tc>
          <w:tcPr>
            <w:tcW w:w="1732"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79DB3A07" w14:textId="77777777" w:rsidR="002427A8" w:rsidRPr="000F0299" w:rsidRDefault="002427A8" w:rsidP="00BF3F95">
            <w:pPr>
              <w:spacing w:before="0"/>
              <w:ind w:firstLine="0"/>
            </w:pPr>
            <w:r w:rsidRPr="000F0299">
              <w:t>Удео административног оптерећења грађана и привреде у БДП-у</w:t>
            </w:r>
          </w:p>
        </w:tc>
        <w:tc>
          <w:tcPr>
            <w:tcW w:w="192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6A4E1EE5" w14:textId="77777777" w:rsidR="002427A8" w:rsidRPr="000F0299" w:rsidRDefault="002427A8" w:rsidP="00BF3F95">
            <w:pPr>
              <w:spacing w:before="0"/>
              <w:ind w:firstLine="0"/>
            </w:pPr>
            <w:r w:rsidRPr="000F0299">
              <w:t>(2016): 3,26%</w:t>
            </w:r>
          </w:p>
        </w:tc>
        <w:tc>
          <w:tcPr>
            <w:tcW w:w="989"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520416E0" w14:textId="77777777" w:rsidR="002427A8" w:rsidRPr="000F0299" w:rsidRDefault="002427A8" w:rsidP="00BF3F95">
            <w:pPr>
              <w:spacing w:before="0"/>
              <w:ind w:firstLine="0"/>
            </w:pPr>
            <w:r w:rsidRPr="000F0299">
              <w:t>(2021): 3,00%</w:t>
            </w:r>
          </w:p>
          <w:p w14:paraId="01EE677F" w14:textId="77777777" w:rsidR="002427A8" w:rsidRPr="000F0299" w:rsidRDefault="002427A8" w:rsidP="00BF3F95">
            <w:pPr>
              <w:spacing w:before="0"/>
              <w:ind w:firstLine="0"/>
            </w:pPr>
            <w:r w:rsidRPr="000F0299">
              <w:t>(2022): 2,75%</w:t>
            </w:r>
          </w:p>
          <w:p w14:paraId="320517A1" w14:textId="77777777" w:rsidR="002427A8" w:rsidRPr="000F0299" w:rsidRDefault="002427A8" w:rsidP="00BF3F95">
            <w:pPr>
              <w:spacing w:before="0"/>
              <w:ind w:firstLine="0"/>
            </w:pPr>
            <w:r w:rsidRPr="000F0299">
              <w:t>(2023): 2,62%</w:t>
            </w:r>
          </w:p>
          <w:p w14:paraId="08684094" w14:textId="77777777" w:rsidR="002427A8" w:rsidRPr="000F0299" w:rsidRDefault="002427A8" w:rsidP="00BF3F95">
            <w:pPr>
              <w:spacing w:before="0"/>
              <w:ind w:firstLine="0"/>
            </w:pPr>
            <w:r w:rsidRPr="000F0299">
              <w:t>(2024): 2,50%</w:t>
            </w:r>
          </w:p>
          <w:p w14:paraId="22822404" w14:textId="77777777" w:rsidR="002427A8" w:rsidRPr="000F0299" w:rsidRDefault="002427A8" w:rsidP="00BF3F95">
            <w:pPr>
              <w:spacing w:before="0"/>
              <w:ind w:firstLine="0"/>
            </w:pPr>
            <w:r w:rsidRPr="000F0299">
              <w:t>(2025): 2,50%</w:t>
            </w:r>
          </w:p>
          <w:p w14:paraId="75AC7468" w14:textId="77777777" w:rsidR="002427A8" w:rsidRPr="000F0299" w:rsidRDefault="002427A8" w:rsidP="00BF3F95">
            <w:pPr>
              <w:spacing w:before="0"/>
              <w:ind w:firstLine="0"/>
            </w:pPr>
            <w:r w:rsidRPr="000F0299">
              <w:t>(2027): 2,35%</w:t>
            </w:r>
          </w:p>
          <w:p w14:paraId="73FABA81" w14:textId="77777777" w:rsidR="002427A8" w:rsidRPr="000F0299" w:rsidRDefault="002427A8" w:rsidP="00BF3F95">
            <w:pPr>
              <w:spacing w:before="0"/>
              <w:ind w:firstLine="0"/>
            </w:pPr>
            <w:r w:rsidRPr="000F0299">
              <w:t>(2030): 2,20%</w:t>
            </w:r>
          </w:p>
        </w:tc>
        <w:tc>
          <w:tcPr>
            <w:tcW w:w="177" w:type="pct"/>
            <w:tcBorders>
              <w:right w:val="single" w:sz="18" w:space="0" w:color="C00000"/>
            </w:tcBorders>
            <w:shd w:val="clear" w:color="auto" w:fill="F2F2F2" w:themeFill="background1" w:themeFillShade="F2"/>
          </w:tcPr>
          <w:p w14:paraId="74D1E976" w14:textId="77777777" w:rsidR="002427A8" w:rsidRPr="000F0299" w:rsidRDefault="002427A8" w:rsidP="00BF3F95">
            <w:pPr>
              <w:spacing w:before="0"/>
              <w:ind w:firstLine="0"/>
            </w:pPr>
          </w:p>
        </w:tc>
      </w:tr>
      <w:tr w:rsidR="002427A8" w:rsidRPr="000F0299" w14:paraId="1C670167" w14:textId="77777777" w:rsidTr="00BA68DD">
        <w:trPr>
          <w:trHeight w:val="340"/>
        </w:trPr>
        <w:tc>
          <w:tcPr>
            <w:tcW w:w="182" w:type="pct"/>
            <w:tcBorders>
              <w:left w:val="single" w:sz="18" w:space="0" w:color="C00000"/>
              <w:bottom w:val="single" w:sz="18" w:space="0" w:color="C00000"/>
            </w:tcBorders>
            <w:shd w:val="clear" w:color="auto" w:fill="F2F2F2" w:themeFill="background1" w:themeFillShade="F2"/>
          </w:tcPr>
          <w:p w14:paraId="09B9A2AC" w14:textId="77777777" w:rsidR="002427A8" w:rsidRPr="000F0299" w:rsidRDefault="002427A8" w:rsidP="00BF3F95">
            <w:pPr>
              <w:spacing w:before="0"/>
              <w:ind w:firstLine="0"/>
              <w:rPr>
                <w:sz w:val="16"/>
                <w:szCs w:val="16"/>
              </w:rPr>
            </w:pPr>
          </w:p>
        </w:tc>
        <w:tc>
          <w:tcPr>
            <w:tcW w:w="1732" w:type="pct"/>
            <w:tcBorders>
              <w:bottom w:val="single" w:sz="18" w:space="0" w:color="C00000"/>
            </w:tcBorders>
            <w:shd w:val="clear" w:color="auto" w:fill="F2F2F2" w:themeFill="background1" w:themeFillShade="F2"/>
          </w:tcPr>
          <w:p w14:paraId="31A2572F" w14:textId="77777777" w:rsidR="002427A8" w:rsidRPr="000F0299" w:rsidRDefault="002427A8" w:rsidP="00BF3F95">
            <w:pPr>
              <w:spacing w:before="0"/>
              <w:ind w:firstLine="0"/>
              <w:rPr>
                <w:sz w:val="16"/>
                <w:szCs w:val="16"/>
              </w:rPr>
            </w:pPr>
          </w:p>
        </w:tc>
        <w:tc>
          <w:tcPr>
            <w:tcW w:w="1920" w:type="pct"/>
            <w:tcBorders>
              <w:bottom w:val="single" w:sz="18" w:space="0" w:color="C00000"/>
            </w:tcBorders>
            <w:shd w:val="clear" w:color="auto" w:fill="F2F2F2" w:themeFill="background1" w:themeFillShade="F2"/>
          </w:tcPr>
          <w:p w14:paraId="3BF7707B" w14:textId="77777777" w:rsidR="002427A8" w:rsidRPr="000F0299" w:rsidRDefault="002427A8" w:rsidP="00BF3F95">
            <w:pPr>
              <w:spacing w:before="0"/>
              <w:ind w:firstLine="0"/>
              <w:rPr>
                <w:sz w:val="16"/>
                <w:szCs w:val="16"/>
              </w:rPr>
            </w:pPr>
          </w:p>
        </w:tc>
        <w:tc>
          <w:tcPr>
            <w:tcW w:w="989" w:type="pct"/>
            <w:tcBorders>
              <w:bottom w:val="single" w:sz="18" w:space="0" w:color="C00000"/>
            </w:tcBorders>
            <w:shd w:val="clear" w:color="auto" w:fill="F2F2F2" w:themeFill="background1" w:themeFillShade="F2"/>
          </w:tcPr>
          <w:p w14:paraId="1EA2E053" w14:textId="77777777" w:rsidR="002427A8" w:rsidRPr="000F0299" w:rsidRDefault="002427A8" w:rsidP="00BF3F95">
            <w:pPr>
              <w:spacing w:before="0"/>
              <w:ind w:firstLine="0"/>
              <w:rPr>
                <w:sz w:val="16"/>
                <w:szCs w:val="16"/>
              </w:rPr>
            </w:pPr>
          </w:p>
        </w:tc>
        <w:tc>
          <w:tcPr>
            <w:tcW w:w="177" w:type="pct"/>
            <w:tcBorders>
              <w:bottom w:val="single" w:sz="18" w:space="0" w:color="C00000"/>
              <w:right w:val="single" w:sz="18" w:space="0" w:color="C00000"/>
            </w:tcBorders>
            <w:shd w:val="clear" w:color="auto" w:fill="F2F2F2" w:themeFill="background1" w:themeFillShade="F2"/>
          </w:tcPr>
          <w:p w14:paraId="6984881F" w14:textId="77777777" w:rsidR="002427A8" w:rsidRPr="000F0299" w:rsidRDefault="002427A8" w:rsidP="00BF3F95">
            <w:pPr>
              <w:spacing w:before="0"/>
              <w:ind w:firstLine="0"/>
              <w:rPr>
                <w:sz w:val="16"/>
                <w:szCs w:val="16"/>
              </w:rPr>
            </w:pPr>
          </w:p>
        </w:tc>
      </w:tr>
    </w:tbl>
    <w:p w14:paraId="6FD4B5B6" w14:textId="77777777" w:rsidR="009F5263" w:rsidRPr="000F0299" w:rsidRDefault="009F5263">
      <w:pPr>
        <w:suppressAutoHyphens w:val="0"/>
        <w:autoSpaceDN/>
        <w:spacing w:before="0" w:after="160" w:line="259" w:lineRule="auto"/>
        <w:ind w:firstLine="0"/>
        <w:jc w:val="left"/>
        <w:textAlignment w:val="auto"/>
        <w:rPr>
          <w:rFonts w:eastAsiaTheme="minorHAnsi" w:cstheme="majorBidi"/>
          <w:i/>
          <w:iCs/>
          <w:color w:val="2F5496" w:themeColor="accent1" w:themeShade="BF"/>
          <w:lang w:eastAsia="en-US" w:bidi="ar-SA"/>
        </w:rPr>
      </w:pPr>
      <w:bookmarkStart w:id="176" w:name="_Hlk56603492"/>
      <w:r w:rsidRPr="000F0299">
        <w:rPr>
          <w:rFonts w:eastAsiaTheme="minorHAnsi" w:cstheme="majorBidi"/>
          <w:i/>
          <w:iCs/>
          <w:color w:val="2F5496" w:themeColor="accent1" w:themeShade="BF"/>
          <w:lang w:eastAsia="en-US" w:bidi="ar-SA"/>
        </w:rPr>
        <w:br w:type="page"/>
      </w:r>
    </w:p>
    <w:p w14:paraId="4044557D" w14:textId="4ABB3CFB" w:rsidR="007C50C5" w:rsidRPr="000F0299" w:rsidRDefault="007C50C5" w:rsidP="007C50C5">
      <w:pPr>
        <w:keepNext/>
        <w:keepLines/>
        <w:spacing w:before="240"/>
        <w:ind w:firstLine="0"/>
        <w:outlineLvl w:val="3"/>
        <w:rPr>
          <w:rFonts w:eastAsiaTheme="minorHAnsi" w:cstheme="majorBidi"/>
          <w:i/>
          <w:iCs/>
          <w:color w:val="2F5496" w:themeColor="accent1" w:themeShade="BF"/>
          <w:lang w:eastAsia="en-US" w:bidi="ar-SA"/>
        </w:rPr>
      </w:pPr>
      <w:r w:rsidRPr="000F0299">
        <w:rPr>
          <w:rFonts w:eastAsiaTheme="minorHAnsi" w:cstheme="majorBidi"/>
          <w:i/>
          <w:iCs/>
          <w:color w:val="2F5496" w:themeColor="accent1" w:themeShade="BF"/>
          <w:lang w:eastAsia="en-US" w:bidi="ar-SA"/>
        </w:rPr>
        <w:t>Анализа ефеката опција</w:t>
      </w:r>
    </w:p>
    <w:p w14:paraId="399A8DF4" w14:textId="726061F0" w:rsidR="00566AFD" w:rsidRPr="000F0299" w:rsidRDefault="00566AFD" w:rsidP="00566AFD">
      <w:r w:rsidRPr="00971C46">
        <w:t xml:space="preserve">Тест утицаја опција предвиђених за постизање овог циља има у потпуности или умерено релевантан утицај на критеријуме. Постигнуто је </w:t>
      </w:r>
      <w:r>
        <w:t>11</w:t>
      </w:r>
      <w:r w:rsidRPr="00971C46">
        <w:t xml:space="preserve"> од максимално 14 бодова, што налаже да се </w:t>
      </w:r>
      <w:r>
        <w:t xml:space="preserve">детаљно </w:t>
      </w:r>
      <w:r w:rsidRPr="00971C46">
        <w:t>анализирају ефекти опција.</w:t>
      </w:r>
    </w:p>
    <w:p w14:paraId="3338195C" w14:textId="71FDEAAA" w:rsidR="009F5263" w:rsidRPr="000F0299" w:rsidRDefault="007C50C5" w:rsidP="0027396C">
      <w:pPr>
        <w:ind w:firstLine="0"/>
        <w:rPr>
          <w:lang w:eastAsia="en-US" w:bidi="ar-SA"/>
        </w:rPr>
      </w:pPr>
      <w:r w:rsidRPr="000F0299">
        <w:rPr>
          <w:b/>
          <w:bCs/>
        </w:rPr>
        <w:t>Тест утицаја</w:t>
      </w:r>
    </w:p>
    <w:tbl>
      <w:tblPr>
        <w:tblStyle w:val="ListTable2-Accent3"/>
        <w:tblW w:w="5000" w:type="pct"/>
        <w:tblLook w:val="0620" w:firstRow="1" w:lastRow="0" w:firstColumn="0" w:lastColumn="0" w:noHBand="1" w:noVBand="1"/>
      </w:tblPr>
      <w:tblGrid>
        <w:gridCol w:w="7765"/>
        <w:gridCol w:w="1307"/>
      </w:tblGrid>
      <w:tr w:rsidR="007C50C5" w:rsidRPr="000F0299" w14:paraId="0C991A6C" w14:textId="77777777" w:rsidTr="0027396C">
        <w:trPr>
          <w:cnfStyle w:val="100000000000" w:firstRow="1" w:lastRow="0" w:firstColumn="0" w:lastColumn="0" w:oddVBand="0" w:evenVBand="0" w:oddHBand="0" w:evenHBand="0" w:firstRowFirstColumn="0" w:firstRowLastColumn="0" w:lastRowFirstColumn="0" w:lastRowLastColumn="0"/>
        </w:trPr>
        <w:tc>
          <w:tcPr>
            <w:tcW w:w="4387" w:type="pct"/>
          </w:tcPr>
          <w:p w14:paraId="4E0028DF" w14:textId="6CB29678" w:rsidR="007C50C5" w:rsidRPr="000F0299" w:rsidRDefault="007C50C5" w:rsidP="0027396C">
            <w:pPr>
              <w:ind w:firstLine="0"/>
            </w:pPr>
            <w:r w:rsidRPr="000F0299">
              <w:t xml:space="preserve">Посебан циљ 3.1: </w:t>
            </w:r>
            <w:r w:rsidR="00684034" w:rsidRPr="000F0299">
              <w:t>Унапређен</w:t>
            </w:r>
            <w:r w:rsidRPr="000F0299">
              <w:t xml:space="preserve"> квалитет услуга јавне управе према крајњим корисницима заснован на стандардима </w:t>
            </w:r>
          </w:p>
        </w:tc>
        <w:tc>
          <w:tcPr>
            <w:tcW w:w="613" w:type="pct"/>
          </w:tcPr>
          <w:p w14:paraId="772CCBF3" w14:textId="77777777" w:rsidR="007C50C5" w:rsidRPr="000F0299" w:rsidRDefault="007C50C5" w:rsidP="0027396C">
            <w:r w:rsidRPr="000F0299">
              <w:t>бодови</w:t>
            </w:r>
          </w:p>
        </w:tc>
      </w:tr>
      <w:tr w:rsidR="007C50C5" w:rsidRPr="000F0299" w14:paraId="1237892B" w14:textId="77777777" w:rsidTr="0027396C">
        <w:tc>
          <w:tcPr>
            <w:tcW w:w="5000" w:type="pct"/>
            <w:gridSpan w:val="2"/>
            <w:shd w:val="clear" w:color="auto" w:fill="DEEAF6" w:themeFill="accent5" w:themeFillTint="33"/>
          </w:tcPr>
          <w:p w14:paraId="68975F7F" w14:textId="77777777" w:rsidR="007C50C5" w:rsidRPr="000F0299" w:rsidRDefault="007C50C5" w:rsidP="0027396C">
            <w:pPr>
              <w:ind w:firstLine="0"/>
            </w:pPr>
            <w:r w:rsidRPr="000F0299">
              <w:rPr>
                <w:b/>
                <w:bCs/>
              </w:rPr>
              <w:t>Квантитативни критеријуми</w:t>
            </w:r>
            <w:r w:rsidRPr="000F0299">
              <w:t xml:space="preserve"> који налажу да се обавезно спроведе детаљна анализа ефеката</w:t>
            </w:r>
          </w:p>
        </w:tc>
      </w:tr>
      <w:tr w:rsidR="007C50C5" w:rsidRPr="000F0299" w14:paraId="232ED66C" w14:textId="77777777" w:rsidTr="0027396C">
        <w:tc>
          <w:tcPr>
            <w:tcW w:w="4387" w:type="pct"/>
          </w:tcPr>
          <w:p w14:paraId="7795FE06" w14:textId="0734EC75" w:rsidR="007C50C5" w:rsidRPr="000F0299" w:rsidRDefault="008E4E3A" w:rsidP="0027396C">
            <w:pPr>
              <w:ind w:firstLine="0"/>
            </w:pPr>
            <w:r w:rsidRPr="000F0299">
              <w:t xml:space="preserve">Промена у приходима и расходима, као и примањима и издацима </w:t>
            </w:r>
            <w:r>
              <w:t>органа државне управе</w:t>
            </w:r>
            <w:r w:rsidRPr="000F0299">
              <w:t xml:space="preserve">/буџету РС, на годишњем нивоу већа од 10% буџета у </w:t>
            </w:r>
            <w:r>
              <w:t xml:space="preserve">односу на </w:t>
            </w:r>
            <w:r w:rsidRPr="000F0299">
              <w:t>п</w:t>
            </w:r>
            <w:r>
              <w:t>ретходну</w:t>
            </w:r>
            <w:r w:rsidRPr="000F0299">
              <w:t xml:space="preserve"> фискалној години</w:t>
            </w:r>
          </w:p>
        </w:tc>
        <w:tc>
          <w:tcPr>
            <w:tcW w:w="613" w:type="pct"/>
          </w:tcPr>
          <w:p w14:paraId="503F305A" w14:textId="77777777" w:rsidR="007C50C5" w:rsidRPr="000F0299" w:rsidRDefault="007C50C5" w:rsidP="0027396C">
            <w:r w:rsidRPr="000F0299">
              <w:t>0</w:t>
            </w:r>
          </w:p>
        </w:tc>
      </w:tr>
      <w:tr w:rsidR="007C50C5" w:rsidRPr="000F0299" w14:paraId="5B4F8F43" w14:textId="77777777" w:rsidTr="0027396C">
        <w:tc>
          <w:tcPr>
            <w:tcW w:w="4387" w:type="pct"/>
          </w:tcPr>
          <w:p w14:paraId="56E4AC06" w14:textId="77777777" w:rsidR="007C50C5" w:rsidRPr="000F0299" w:rsidRDefault="007C50C5" w:rsidP="0027396C">
            <w:pPr>
              <w:ind w:firstLine="0"/>
            </w:pPr>
            <w:r w:rsidRPr="000F0299">
              <w:t>Утицај на више од 200.000 грађана</w:t>
            </w:r>
          </w:p>
        </w:tc>
        <w:tc>
          <w:tcPr>
            <w:tcW w:w="613" w:type="pct"/>
          </w:tcPr>
          <w:p w14:paraId="1DA84443" w14:textId="77777777" w:rsidR="007C50C5" w:rsidRPr="000F0299" w:rsidRDefault="007C50C5" w:rsidP="0027396C">
            <w:r w:rsidRPr="000F0299">
              <w:t>2</w:t>
            </w:r>
          </w:p>
        </w:tc>
      </w:tr>
      <w:tr w:rsidR="007C50C5" w:rsidRPr="000F0299" w14:paraId="5B0FDC5E" w14:textId="77777777" w:rsidTr="0027396C">
        <w:tc>
          <w:tcPr>
            <w:tcW w:w="4387" w:type="pct"/>
          </w:tcPr>
          <w:p w14:paraId="1637DDC7" w14:textId="77777777" w:rsidR="007C50C5" w:rsidRPr="000F0299" w:rsidRDefault="007C50C5" w:rsidP="0027396C">
            <w:pPr>
              <w:ind w:firstLine="0"/>
            </w:pPr>
            <w:r w:rsidRPr="000F0299">
              <w:t>Утицај на више од 5% предузетника или правних лица, или на више од 20% тих лица у одређеној делатности</w:t>
            </w:r>
          </w:p>
        </w:tc>
        <w:tc>
          <w:tcPr>
            <w:tcW w:w="613" w:type="pct"/>
          </w:tcPr>
          <w:p w14:paraId="7843C600" w14:textId="77777777" w:rsidR="007C50C5" w:rsidRPr="000F0299" w:rsidRDefault="007C50C5" w:rsidP="0027396C">
            <w:r w:rsidRPr="000F0299">
              <w:t>2</w:t>
            </w:r>
          </w:p>
        </w:tc>
      </w:tr>
      <w:tr w:rsidR="007C50C5" w:rsidRPr="000F0299" w14:paraId="4F8B6598" w14:textId="77777777" w:rsidTr="0027396C">
        <w:tc>
          <w:tcPr>
            <w:tcW w:w="5000" w:type="pct"/>
            <w:gridSpan w:val="2"/>
            <w:shd w:val="clear" w:color="auto" w:fill="DEEAF6" w:themeFill="accent5" w:themeFillTint="33"/>
          </w:tcPr>
          <w:p w14:paraId="0A85F16C" w14:textId="77777777" w:rsidR="007C50C5" w:rsidRPr="000F0299" w:rsidRDefault="007C50C5" w:rsidP="0027396C">
            <w:pPr>
              <w:ind w:firstLine="0"/>
            </w:pPr>
            <w:r w:rsidRPr="000F0299">
              <w:rPr>
                <w:b/>
              </w:rPr>
              <w:t xml:space="preserve">Квалитативни критеријуми </w:t>
            </w:r>
            <w:r w:rsidRPr="000F0299">
              <w:t>који налажу да се обавезно спроведе детаљна анализа ефеката</w:t>
            </w:r>
          </w:p>
        </w:tc>
      </w:tr>
      <w:tr w:rsidR="007C50C5" w:rsidRPr="000F0299" w14:paraId="30F04EC8" w14:textId="77777777" w:rsidTr="0027396C">
        <w:tc>
          <w:tcPr>
            <w:tcW w:w="4387" w:type="pct"/>
          </w:tcPr>
          <w:p w14:paraId="31C55C40" w14:textId="77777777" w:rsidR="007C50C5" w:rsidRPr="000F0299" w:rsidRDefault="007C50C5" w:rsidP="0027396C">
            <w:pPr>
              <w:ind w:firstLine="0"/>
            </w:pPr>
            <w:r w:rsidRPr="000F0299">
              <w:t>Утицај на тржиште и услове конкуренције/конкурентности</w:t>
            </w:r>
          </w:p>
        </w:tc>
        <w:tc>
          <w:tcPr>
            <w:tcW w:w="613" w:type="pct"/>
          </w:tcPr>
          <w:p w14:paraId="7B70C988" w14:textId="77777777" w:rsidR="007C50C5" w:rsidRPr="000F0299" w:rsidRDefault="007C50C5" w:rsidP="0027396C">
            <w:r w:rsidRPr="000F0299">
              <w:t>1</w:t>
            </w:r>
          </w:p>
        </w:tc>
      </w:tr>
      <w:tr w:rsidR="007C50C5" w:rsidRPr="000F0299" w14:paraId="5317E60F" w14:textId="77777777" w:rsidTr="0027396C">
        <w:tc>
          <w:tcPr>
            <w:tcW w:w="4387" w:type="pct"/>
          </w:tcPr>
          <w:p w14:paraId="0E0B298C" w14:textId="77777777" w:rsidR="007C50C5" w:rsidRPr="000F0299" w:rsidRDefault="007C50C5" w:rsidP="0027396C">
            <w:pPr>
              <w:ind w:firstLine="0"/>
            </w:pPr>
            <w:r w:rsidRPr="000F0299">
              <w:t xml:space="preserve">Увођење значајних реформских, односно системских промена </w:t>
            </w:r>
          </w:p>
        </w:tc>
        <w:tc>
          <w:tcPr>
            <w:tcW w:w="613" w:type="pct"/>
          </w:tcPr>
          <w:p w14:paraId="5D459FFF" w14:textId="77777777" w:rsidR="007C50C5" w:rsidRPr="000F0299" w:rsidRDefault="007C50C5" w:rsidP="0027396C">
            <w:r w:rsidRPr="000F0299">
              <w:t>2</w:t>
            </w:r>
          </w:p>
        </w:tc>
      </w:tr>
      <w:tr w:rsidR="007C50C5" w:rsidRPr="000F0299" w14:paraId="28E73E8D" w14:textId="77777777" w:rsidTr="0027396C">
        <w:tc>
          <w:tcPr>
            <w:tcW w:w="5000" w:type="pct"/>
            <w:gridSpan w:val="2"/>
            <w:shd w:val="clear" w:color="auto" w:fill="DEEAF6" w:themeFill="accent5" w:themeFillTint="33"/>
          </w:tcPr>
          <w:p w14:paraId="56E1A0EB" w14:textId="77777777" w:rsidR="007C50C5" w:rsidRPr="000F0299" w:rsidRDefault="007C50C5" w:rsidP="0027396C">
            <w:pPr>
              <w:ind w:firstLine="0"/>
            </w:pPr>
            <w:r w:rsidRPr="000F0299">
              <w:t xml:space="preserve">Хоризонтални критеријуми </w:t>
            </w:r>
          </w:p>
        </w:tc>
      </w:tr>
      <w:tr w:rsidR="007C50C5" w:rsidRPr="000F0299" w14:paraId="23B525C0" w14:textId="77777777" w:rsidTr="0027396C">
        <w:tc>
          <w:tcPr>
            <w:tcW w:w="4387" w:type="pct"/>
          </w:tcPr>
          <w:p w14:paraId="4A575F45" w14:textId="36B4627F" w:rsidR="007C50C5" w:rsidRPr="000F0299" w:rsidRDefault="007C50C5" w:rsidP="0027396C">
            <w:pPr>
              <w:ind w:firstLine="0"/>
            </w:pPr>
            <w:r w:rsidRPr="000F0299">
              <w:t>Од значаја за остварење једнаког третмана и истих могућности за све,</w:t>
            </w:r>
            <w:r w:rsidRPr="000F0299">
              <w:rPr>
                <w:bCs/>
              </w:rPr>
              <w:t xml:space="preserve"> </w:t>
            </w:r>
            <w:r w:rsidR="00684034" w:rsidRPr="000F0299">
              <w:rPr>
                <w:bCs/>
              </w:rPr>
              <w:t>недискриминације</w:t>
            </w:r>
            <w:r w:rsidRPr="000F0299">
              <w:rPr>
                <w:bCs/>
              </w:rPr>
              <w:t xml:space="preserve"> и родне равноправности</w:t>
            </w:r>
          </w:p>
        </w:tc>
        <w:tc>
          <w:tcPr>
            <w:tcW w:w="613" w:type="pct"/>
          </w:tcPr>
          <w:p w14:paraId="14EEAED0" w14:textId="77777777" w:rsidR="007C50C5" w:rsidRPr="000F0299" w:rsidRDefault="007C50C5" w:rsidP="0027396C">
            <w:r w:rsidRPr="000F0299">
              <w:t>2</w:t>
            </w:r>
          </w:p>
        </w:tc>
      </w:tr>
      <w:tr w:rsidR="007C50C5" w:rsidRPr="000F0299" w14:paraId="0356B159" w14:textId="77777777" w:rsidTr="0027396C">
        <w:tc>
          <w:tcPr>
            <w:tcW w:w="5000" w:type="pct"/>
            <w:gridSpan w:val="2"/>
            <w:shd w:val="clear" w:color="auto" w:fill="DEEAF6" w:themeFill="accent5" w:themeFillTint="33"/>
          </w:tcPr>
          <w:p w14:paraId="7775F576" w14:textId="2C7C7789" w:rsidR="007C50C5" w:rsidRPr="000F0299" w:rsidRDefault="008E4E3A" w:rsidP="008E4E3A">
            <w:pPr>
              <w:ind w:firstLine="0"/>
            </w:pPr>
            <w:r>
              <w:t>Иновативна пракса</w:t>
            </w:r>
            <w:r w:rsidRPr="000F0299">
              <w:t xml:space="preserve"> </w:t>
            </w:r>
          </w:p>
        </w:tc>
      </w:tr>
      <w:tr w:rsidR="007C50C5" w:rsidRPr="000F0299" w14:paraId="4F540F66" w14:textId="77777777" w:rsidTr="0027396C">
        <w:tc>
          <w:tcPr>
            <w:tcW w:w="4387" w:type="pct"/>
          </w:tcPr>
          <w:p w14:paraId="2FDE5204" w14:textId="6B38B694" w:rsidR="007C50C5" w:rsidRPr="000F0299" w:rsidRDefault="008E4E3A" w:rsidP="0027396C">
            <w:pPr>
              <w:ind w:firstLine="0"/>
            </w:pPr>
            <w:r w:rsidRPr="000F0299">
              <w:t>Новине у односу на текуће реформске процесе унутар РЈУ</w:t>
            </w:r>
          </w:p>
        </w:tc>
        <w:tc>
          <w:tcPr>
            <w:tcW w:w="613" w:type="pct"/>
          </w:tcPr>
          <w:p w14:paraId="7EFD1D25" w14:textId="77777777" w:rsidR="007C50C5" w:rsidRPr="000F0299" w:rsidRDefault="007C50C5" w:rsidP="0027396C">
            <w:r w:rsidRPr="000F0299">
              <w:t>2</w:t>
            </w:r>
          </w:p>
        </w:tc>
      </w:tr>
      <w:tr w:rsidR="007C50C5" w:rsidRPr="000F0299" w14:paraId="5A5A0685" w14:textId="77777777" w:rsidTr="0027396C">
        <w:tc>
          <w:tcPr>
            <w:tcW w:w="4387" w:type="pct"/>
          </w:tcPr>
          <w:p w14:paraId="66DF98BD" w14:textId="77777777" w:rsidR="007C50C5" w:rsidRPr="000F0299" w:rsidRDefault="007C50C5" w:rsidP="0027396C">
            <w:pPr>
              <w:ind w:firstLine="0"/>
              <w:rPr>
                <w:b/>
                <w:bCs/>
              </w:rPr>
            </w:pPr>
            <w:r w:rsidRPr="000F0299">
              <w:rPr>
                <w:b/>
                <w:bCs/>
              </w:rPr>
              <w:t>УКУПНО:</w:t>
            </w:r>
          </w:p>
        </w:tc>
        <w:tc>
          <w:tcPr>
            <w:tcW w:w="613" w:type="pct"/>
          </w:tcPr>
          <w:p w14:paraId="2AF37EF3" w14:textId="77777777" w:rsidR="007C50C5" w:rsidRPr="000F0299" w:rsidRDefault="007C50C5" w:rsidP="0027396C">
            <w:pPr>
              <w:rPr>
                <w:b/>
                <w:bCs/>
              </w:rPr>
            </w:pPr>
            <w:r w:rsidRPr="000F0299">
              <w:rPr>
                <w:b/>
                <w:bCs/>
              </w:rPr>
              <w:t>11/14</w:t>
            </w:r>
          </w:p>
        </w:tc>
      </w:tr>
    </w:tbl>
    <w:p w14:paraId="6C4C6142" w14:textId="3E0CC58B" w:rsidR="009F5263" w:rsidRPr="000F0299" w:rsidRDefault="009F5263" w:rsidP="009F5263">
      <w:pPr>
        <w:keepNext/>
        <w:keepLines/>
        <w:spacing w:before="240"/>
        <w:ind w:firstLine="0"/>
        <w:outlineLvl w:val="3"/>
        <w:rPr>
          <w:rFonts w:eastAsiaTheme="minorHAnsi" w:cstheme="majorBidi"/>
          <w:i/>
          <w:iCs/>
          <w:color w:val="2F5496" w:themeColor="accent1" w:themeShade="BF"/>
          <w:lang w:eastAsia="en-US" w:bidi="ar-SA"/>
        </w:rPr>
      </w:pPr>
      <w:r w:rsidRPr="000F0299">
        <w:rPr>
          <w:rFonts w:eastAsiaTheme="minorHAnsi" w:cstheme="majorBidi"/>
          <w:i/>
          <w:iCs/>
          <w:color w:val="2F5496" w:themeColor="accent1" w:themeShade="BF"/>
          <w:lang w:eastAsia="en-US" w:bidi="ar-SA"/>
        </w:rPr>
        <w:t>Детаљна анализа ефеката опција за циљ 3.1</w:t>
      </w:r>
    </w:p>
    <w:bookmarkEnd w:id="176"/>
    <w:p w14:paraId="23057122" w14:textId="77777777" w:rsidR="009F5263" w:rsidRPr="000F0299" w:rsidRDefault="009F5263" w:rsidP="009F5263">
      <w:pPr>
        <w:ind w:firstLine="0"/>
      </w:pPr>
      <w:r w:rsidRPr="000F0299">
        <w:rPr>
          <w:noProof/>
          <w:lang w:val="en-US" w:eastAsia="en-US" w:bidi="ar-SA"/>
        </w:rPr>
        <w:drawing>
          <wp:inline distT="0" distB="0" distL="0" distR="0" wp14:anchorId="2A3F56BB" wp14:editId="678D7346">
            <wp:extent cx="5921829" cy="5090160"/>
            <wp:effectExtent l="0" t="38100" r="0" b="1524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342B93AE" w14:textId="77777777" w:rsidR="00EA509E" w:rsidRPr="000F0299" w:rsidRDefault="00EA509E" w:rsidP="00EA509E">
      <w:pPr>
        <w:keepNext/>
        <w:keepLines/>
        <w:spacing w:after="120"/>
        <w:ind w:firstLine="0"/>
        <w:outlineLvl w:val="4"/>
        <w:rPr>
          <w:rFonts w:eastAsiaTheme="majorEastAsia" w:cstheme="majorBidi"/>
          <w:color w:val="44546A" w:themeColor="text2"/>
          <w:lang w:eastAsia="en-GB"/>
        </w:rPr>
      </w:pPr>
      <w:r w:rsidRPr="000F0299">
        <w:rPr>
          <w:rFonts w:eastAsiaTheme="majorEastAsia" w:cstheme="majorBidi"/>
          <w:b/>
          <w:bCs/>
          <w:color w:val="44546A" w:themeColor="text2"/>
          <w:lang w:eastAsia="en-GB"/>
        </w:rPr>
        <w:t xml:space="preserve">Опција 1: </w:t>
      </w:r>
      <w:r w:rsidRPr="009810EC">
        <w:rPr>
          <w:rFonts w:eastAsiaTheme="majorEastAsia" w:cstheme="majorBidi"/>
          <w:i/>
          <w:color w:val="44546A" w:themeColor="text2"/>
          <w:lang w:eastAsia="en-GB"/>
        </w:rPr>
        <w:t xml:space="preserve">Status quo </w:t>
      </w:r>
    </w:p>
    <w:p w14:paraId="06CD4E6F" w14:textId="77777777" w:rsidR="00EA509E" w:rsidRPr="000F0299" w:rsidRDefault="00EA509E" w:rsidP="00EA509E">
      <w:r w:rsidRPr="000F0299">
        <w:t>Ова опција подразумева да се услуг</w:t>
      </w:r>
      <w:r>
        <w:t>е</w:t>
      </w:r>
      <w:r w:rsidRPr="000F0299">
        <w:t xml:space="preserve"> </w:t>
      </w:r>
      <w:r>
        <w:t>развијају</w:t>
      </w:r>
      <w:r w:rsidRPr="000F0299">
        <w:t xml:space="preserve"> на досадашњи начин – децентрализовано и у великој мери неусаглашено између органа државне управе. Тиме ниједан орган државне управе нема искључиву надлежност за </w:t>
      </w:r>
      <w:r>
        <w:t xml:space="preserve">креирање </w:t>
      </w:r>
      <w:r w:rsidRPr="000F0299">
        <w:t>и спровођење политике услуга, а координација и синхронизација за услуге које укључују више органа би се ослањале на постојеће механизме координације попут АПСПВ-а и посебних, тематских Владиних радних/координационих група. Такође подразумева да нема промена у самим капацитетима за пружање услуга</w:t>
      </w:r>
      <w:r>
        <w:t xml:space="preserve"> пошто</w:t>
      </w:r>
      <w:r w:rsidRPr="000F0299">
        <w:t xml:space="preserve"> нема додатног </w:t>
      </w:r>
      <w:r>
        <w:t>запошљавања</w:t>
      </w:r>
      <w:r w:rsidRPr="000F0299">
        <w:t xml:space="preserve"> нити набавке нове опреме мимо онога што је предвиђено постојећим документима јавних политика</w:t>
      </w:r>
      <w:r>
        <w:t xml:space="preserve">, као што су </w:t>
      </w:r>
      <w:r w:rsidRPr="000F0299">
        <w:t xml:space="preserve">Програм </w:t>
      </w:r>
      <w:r>
        <w:t>„</w:t>
      </w:r>
      <w:r w:rsidRPr="000F0299">
        <w:t>е-Папир</w:t>
      </w:r>
      <w:r>
        <w:t>”</w:t>
      </w:r>
      <w:r w:rsidRPr="000F0299">
        <w:t xml:space="preserve"> и Програм за развој електронске управе. Ова опција не предвиђа промене у ефикасности и квалитету пружених услуга</w:t>
      </w:r>
      <w:r>
        <w:t xml:space="preserve"> пошто </w:t>
      </w:r>
      <w:r w:rsidRPr="000F0299">
        <w:t xml:space="preserve">нема промена у начину </w:t>
      </w:r>
      <w:r>
        <w:t xml:space="preserve">њиховог </w:t>
      </w:r>
      <w:r w:rsidRPr="000F0299">
        <w:t xml:space="preserve">пружања. </w:t>
      </w:r>
      <w:r w:rsidRPr="000F0299">
        <w:rPr>
          <w:i/>
          <w:iCs/>
        </w:rPr>
        <w:t>Status quo</w:t>
      </w:r>
      <w:r w:rsidRPr="000F0299">
        <w:t xml:space="preserve"> опција не захтева никакве додатне трошкове, али </w:t>
      </w:r>
      <w:r>
        <w:t xml:space="preserve">од ње нема ни </w:t>
      </w:r>
      <w:r w:rsidRPr="000F0299">
        <w:t>додатне користи ни за друштво нити за саму јавну управу.</w:t>
      </w:r>
    </w:p>
    <w:p w14:paraId="0D46B219" w14:textId="77777777" w:rsidR="00EA509E" w:rsidRPr="000F0299" w:rsidRDefault="00EA509E" w:rsidP="00EA509E">
      <w:pPr>
        <w:keepNext/>
        <w:keepLines/>
        <w:spacing w:after="120"/>
        <w:ind w:firstLine="0"/>
        <w:outlineLvl w:val="4"/>
        <w:rPr>
          <w:rFonts w:eastAsiaTheme="majorEastAsia" w:cstheme="majorBidi"/>
          <w:color w:val="44546A" w:themeColor="text2"/>
          <w:lang w:eastAsia="en-GB"/>
        </w:rPr>
      </w:pPr>
      <w:r w:rsidRPr="000F0299">
        <w:rPr>
          <w:rFonts w:eastAsiaTheme="majorEastAsia" w:cstheme="majorBidi"/>
          <w:b/>
          <w:bCs/>
          <w:color w:val="44546A" w:themeColor="text2"/>
          <w:lang w:eastAsia="en-GB"/>
        </w:rPr>
        <w:t>Опција 2:</w:t>
      </w:r>
      <w:r w:rsidRPr="000F0299">
        <w:rPr>
          <w:rFonts w:eastAsiaTheme="majorEastAsia" w:cstheme="majorBidi"/>
          <w:color w:val="44546A" w:themeColor="text2"/>
          <w:lang w:eastAsia="en-GB"/>
        </w:rPr>
        <w:t xml:space="preserve"> Оснивање независног органа надлежно</w:t>
      </w:r>
      <w:r>
        <w:rPr>
          <w:rFonts w:eastAsiaTheme="majorEastAsia" w:cstheme="majorBidi"/>
          <w:color w:val="44546A" w:themeColor="text2"/>
          <w:lang w:eastAsia="en-GB"/>
        </w:rPr>
        <w:t>г</w:t>
      </w:r>
      <w:r w:rsidRPr="000F0299">
        <w:rPr>
          <w:rFonts w:eastAsiaTheme="majorEastAsia" w:cstheme="majorBidi"/>
          <w:color w:val="44546A" w:themeColor="text2"/>
          <w:lang w:eastAsia="en-GB"/>
        </w:rPr>
        <w:t xml:space="preserve"> за </w:t>
      </w:r>
      <w:r>
        <w:rPr>
          <w:rFonts w:eastAsiaTheme="majorEastAsia" w:cstheme="majorBidi"/>
          <w:color w:val="44546A" w:themeColor="text2"/>
          <w:lang w:eastAsia="en-GB"/>
        </w:rPr>
        <w:t>израду</w:t>
      </w:r>
      <w:r w:rsidRPr="000F0299">
        <w:rPr>
          <w:rFonts w:eastAsiaTheme="majorEastAsia" w:cstheme="majorBidi"/>
          <w:color w:val="44546A" w:themeColor="text2"/>
          <w:lang w:eastAsia="en-GB"/>
        </w:rPr>
        <w:t xml:space="preserve"> предлога и спровођење </w:t>
      </w:r>
      <w:r>
        <w:rPr>
          <w:rFonts w:eastAsiaTheme="majorEastAsia" w:cstheme="majorBidi"/>
          <w:color w:val="44546A" w:themeColor="text2"/>
          <w:lang w:eastAsia="en-GB"/>
        </w:rPr>
        <w:t xml:space="preserve">докумената </w:t>
      </w:r>
      <w:r w:rsidRPr="000F0299">
        <w:rPr>
          <w:rFonts w:eastAsiaTheme="majorEastAsia" w:cstheme="majorBidi"/>
          <w:color w:val="44546A" w:themeColor="text2"/>
          <w:lang w:eastAsia="en-GB"/>
        </w:rPr>
        <w:t>политике услуга и оптимизације и модернизације административних поступака по узору на сличне институције у Европи</w:t>
      </w:r>
      <w:r>
        <w:rPr>
          <w:rFonts w:eastAsiaTheme="majorEastAsia" w:cstheme="majorBidi"/>
          <w:color w:val="44546A" w:themeColor="text2"/>
          <w:lang w:eastAsia="en-GB"/>
        </w:rPr>
        <w:t xml:space="preserve">, као што је </w:t>
      </w:r>
      <w:r w:rsidRPr="000F0299">
        <w:rPr>
          <w:rFonts w:eastAsiaTheme="majorEastAsia" w:cstheme="majorBidi"/>
          <w:color w:val="44546A" w:themeColor="text2"/>
          <w:lang w:eastAsia="en-GB"/>
        </w:rPr>
        <w:t>Агенциј</w:t>
      </w:r>
      <w:r>
        <w:rPr>
          <w:rFonts w:eastAsiaTheme="majorEastAsia" w:cstheme="majorBidi"/>
          <w:color w:val="44546A" w:themeColor="text2"/>
          <w:lang w:eastAsia="en-GB"/>
        </w:rPr>
        <w:t>а</w:t>
      </w:r>
      <w:r w:rsidRPr="000F0299">
        <w:rPr>
          <w:rFonts w:eastAsiaTheme="majorEastAsia" w:cstheme="majorBidi"/>
          <w:color w:val="44546A" w:themeColor="text2"/>
          <w:lang w:eastAsia="en-GB"/>
        </w:rPr>
        <w:t xml:space="preserve"> за модернизацију управе у Португал</w:t>
      </w:r>
      <w:r>
        <w:rPr>
          <w:rFonts w:eastAsiaTheme="majorEastAsia" w:cstheme="majorBidi"/>
          <w:color w:val="44546A" w:themeColor="text2"/>
          <w:lang w:eastAsia="en-GB"/>
        </w:rPr>
        <w:t>ији</w:t>
      </w:r>
      <w:r w:rsidRPr="000F0299">
        <w:rPr>
          <w:rFonts w:eastAsiaTheme="majorEastAsia" w:cstheme="majorBidi"/>
          <w:color w:val="44546A" w:themeColor="text2"/>
          <w:vertAlign w:val="superscript"/>
          <w:lang w:eastAsia="en-GB"/>
        </w:rPr>
        <w:footnoteReference w:id="206"/>
      </w:r>
      <w:r w:rsidRPr="000F0299">
        <w:rPr>
          <w:rFonts w:eastAsiaTheme="majorEastAsia" w:cstheme="majorBidi"/>
          <w:color w:val="44546A" w:themeColor="text2"/>
          <w:lang w:eastAsia="en-GB"/>
        </w:rPr>
        <w:t xml:space="preserve">. </w:t>
      </w:r>
    </w:p>
    <w:p w14:paraId="6C2B1E47" w14:textId="77777777" w:rsidR="00EA509E" w:rsidRPr="000F0299" w:rsidRDefault="00EA509E" w:rsidP="00EA509E">
      <w:r>
        <w:t xml:space="preserve">Пошто су мали </w:t>
      </w:r>
      <w:r w:rsidRPr="000F0299">
        <w:t>капацитет</w:t>
      </w:r>
      <w:r>
        <w:t>и органа државне управе</w:t>
      </w:r>
      <w:r w:rsidRPr="000F0299">
        <w:t xml:space="preserve">, </w:t>
      </w:r>
      <w:r>
        <w:t>укључујући</w:t>
      </w:r>
      <w:r w:rsidRPr="000F0299">
        <w:t xml:space="preserve"> МДУЛС, </w:t>
      </w:r>
      <w:r>
        <w:t xml:space="preserve">спровођење </w:t>
      </w:r>
      <w:r w:rsidRPr="000F0299">
        <w:t xml:space="preserve">ове опције захтева </w:t>
      </w:r>
      <w:r>
        <w:t>да се запосли</w:t>
      </w:r>
      <w:r w:rsidRPr="000F0299">
        <w:t xml:space="preserve"> потпуно нов висококвалификован кад</w:t>
      </w:r>
      <w:r>
        <w:t>а</w:t>
      </w:r>
      <w:r w:rsidRPr="000F0299">
        <w:t>р</w:t>
      </w:r>
      <w:r>
        <w:t>,</w:t>
      </w:r>
      <w:r w:rsidRPr="000F0299">
        <w:t xml:space="preserve"> чија је тренутна просечна годишња бруто 2 зарада у МДУЛС 1</w:t>
      </w:r>
      <w:r>
        <w:t>,</w:t>
      </w:r>
      <w:r w:rsidRPr="000F0299">
        <w:t xml:space="preserve">24 милиона </w:t>
      </w:r>
      <w:r>
        <w:t>динара. З</w:t>
      </w:r>
      <w:r w:rsidRPr="000F0299">
        <w:t xml:space="preserve">а рад новог органа је потребно </w:t>
      </w:r>
      <w:r>
        <w:t xml:space="preserve">и </w:t>
      </w:r>
      <w:r w:rsidRPr="000F0299">
        <w:t>набав</w:t>
      </w:r>
      <w:r>
        <w:t>ити</w:t>
      </w:r>
      <w:r w:rsidRPr="000F0299">
        <w:t xml:space="preserve"> канцеларијск</w:t>
      </w:r>
      <w:r>
        <w:t>у</w:t>
      </w:r>
      <w:r w:rsidRPr="000F0299">
        <w:t xml:space="preserve"> и техничко-технолошк</w:t>
      </w:r>
      <w:r>
        <w:t>у</w:t>
      </w:r>
      <w:r w:rsidRPr="000F0299">
        <w:t xml:space="preserve"> опрем</w:t>
      </w:r>
      <w:r>
        <w:t>у</w:t>
      </w:r>
      <w:r w:rsidRPr="000F0299">
        <w:t xml:space="preserve"> за рад, </w:t>
      </w:r>
      <w:r>
        <w:t>као што су намештај</w:t>
      </w:r>
      <w:r w:rsidRPr="000F0299">
        <w:t>, рачунар</w:t>
      </w:r>
      <w:r>
        <w:t>и</w:t>
      </w:r>
      <w:r w:rsidRPr="000F0299">
        <w:t>, штампач</w:t>
      </w:r>
      <w:r>
        <w:t>и</w:t>
      </w:r>
      <w:r w:rsidRPr="000F0299">
        <w:t xml:space="preserve"> и других уређај</w:t>
      </w:r>
      <w:r>
        <w:t>и</w:t>
      </w:r>
      <w:r w:rsidRPr="000F0299">
        <w:t xml:space="preserve"> неопходни за рад. </w:t>
      </w:r>
      <w:r>
        <w:t xml:space="preserve">Пошто </w:t>
      </w:r>
      <w:r w:rsidRPr="000F0299">
        <w:t>је за послове унапређења услуга и поједностављење поступака потребно ангажовати висококвалификован кад</w:t>
      </w:r>
      <w:r>
        <w:t>а</w:t>
      </w:r>
      <w:r w:rsidRPr="000F0299">
        <w:t xml:space="preserve">р различитих професионалних профила, </w:t>
      </w:r>
      <w:r>
        <w:t xml:space="preserve">као што су </w:t>
      </w:r>
      <w:r w:rsidRPr="000F0299">
        <w:t>правни</w:t>
      </w:r>
      <w:r>
        <w:t>ци</w:t>
      </w:r>
      <w:r w:rsidRPr="000F0299">
        <w:t xml:space="preserve"> и ИТ стручња</w:t>
      </w:r>
      <w:r>
        <w:t>ци</w:t>
      </w:r>
      <w:r w:rsidRPr="000F0299">
        <w:t xml:space="preserve">, који су на тржишту високо плаћени а </w:t>
      </w:r>
      <w:r>
        <w:t>плата</w:t>
      </w:r>
      <w:r w:rsidRPr="000F0299">
        <w:t xml:space="preserve"> у јавн</w:t>
      </w:r>
      <w:r>
        <w:t>ој</w:t>
      </w:r>
      <w:r w:rsidRPr="000F0299">
        <w:t xml:space="preserve"> управ</w:t>
      </w:r>
      <w:r>
        <w:t>и</w:t>
      </w:r>
      <w:r w:rsidRPr="000F0299">
        <w:t xml:space="preserve"> недовољно конкурентна, </w:t>
      </w:r>
      <w:r>
        <w:t>спровођење</w:t>
      </w:r>
      <w:r w:rsidRPr="000F0299">
        <w:t xml:space="preserve"> ове опције би изискивал</w:t>
      </w:r>
      <w:r>
        <w:t>о</w:t>
      </w:r>
      <w:r w:rsidRPr="000F0299">
        <w:t xml:space="preserve"> и </w:t>
      </w:r>
      <w:r>
        <w:t xml:space="preserve">да се </w:t>
      </w:r>
      <w:r w:rsidRPr="000F0299">
        <w:t>редовно ангаж</w:t>
      </w:r>
      <w:r>
        <w:t>ује</w:t>
      </w:r>
      <w:r w:rsidRPr="000F0299">
        <w:t xml:space="preserve"> </w:t>
      </w:r>
      <w:r>
        <w:t>одређен број спољних</w:t>
      </w:r>
      <w:r w:rsidRPr="000F0299">
        <w:t xml:space="preserve"> експер</w:t>
      </w:r>
      <w:r>
        <w:t>ата</w:t>
      </w:r>
      <w:r w:rsidRPr="000F0299">
        <w:t xml:space="preserve">. </w:t>
      </w:r>
      <w:r>
        <w:t xml:space="preserve">У областима као што је </w:t>
      </w:r>
      <w:r w:rsidRPr="000F0299">
        <w:t>дигитализациј</w:t>
      </w:r>
      <w:r>
        <w:t>а</w:t>
      </w:r>
      <w:r w:rsidRPr="000F0299">
        <w:t xml:space="preserve"> </w:t>
      </w:r>
      <w:r>
        <w:t xml:space="preserve">то </w:t>
      </w:r>
      <w:r w:rsidRPr="000F0299">
        <w:t xml:space="preserve">може </w:t>
      </w:r>
      <w:r>
        <w:t xml:space="preserve">створити </w:t>
      </w:r>
      <w:r w:rsidRPr="000F0299">
        <w:t xml:space="preserve">зависност од </w:t>
      </w:r>
      <w:r>
        <w:t>спољних</w:t>
      </w:r>
      <w:r w:rsidRPr="000F0299">
        <w:t xml:space="preserve"> консултаната и добављача, што представља ризик за ефикасност и ефективност у </w:t>
      </w:r>
      <w:r>
        <w:t>спровођењу</w:t>
      </w:r>
      <w:r w:rsidRPr="000F0299">
        <w:t xml:space="preserve"> ове опције. Корист од ове опције огледа се првенствено у финансијским уштедама за јавну управу које се могу постићи кроз поједностављивање процеса пружања услуга, али и уштедама за привредне субјекте и грађане</w:t>
      </w:r>
      <w:r>
        <w:t xml:space="preserve">, односно за </w:t>
      </w:r>
      <w:r w:rsidRPr="000F0299">
        <w:t xml:space="preserve">друштво уопште. </w:t>
      </w:r>
    </w:p>
    <w:p w14:paraId="4D3588A5" w14:textId="77777777" w:rsidR="00EA509E" w:rsidRPr="000F0299" w:rsidRDefault="00EA509E" w:rsidP="00EA509E">
      <w:pPr>
        <w:keepNext/>
        <w:keepLines/>
        <w:spacing w:after="120"/>
        <w:ind w:firstLine="0"/>
        <w:outlineLvl w:val="4"/>
        <w:rPr>
          <w:rFonts w:eastAsiaTheme="majorEastAsia" w:cstheme="majorBidi"/>
          <w:b/>
          <w:bCs/>
          <w:color w:val="44546A" w:themeColor="text2"/>
          <w:lang w:eastAsia="en-GB"/>
        </w:rPr>
      </w:pPr>
      <w:r w:rsidRPr="000F0299">
        <w:rPr>
          <w:rFonts w:eastAsiaTheme="majorEastAsia" w:cstheme="majorBidi"/>
          <w:b/>
          <w:bCs/>
          <w:color w:val="44546A" w:themeColor="text2"/>
          <w:lang w:eastAsia="en-GB"/>
        </w:rPr>
        <w:t xml:space="preserve">Опција 3: </w:t>
      </w:r>
      <w:r w:rsidRPr="000F0299">
        <w:rPr>
          <w:rFonts w:eastAsiaTheme="majorEastAsia" w:cstheme="majorBidi"/>
          <w:color w:val="44546A" w:themeColor="text2"/>
          <w:lang w:eastAsia="en-GB"/>
        </w:rPr>
        <w:t xml:space="preserve">Унапређење процеса развоја и оптимизације постојећих услуга </w:t>
      </w:r>
      <w:r>
        <w:rPr>
          <w:rFonts w:eastAsiaTheme="majorEastAsia" w:cstheme="majorBidi"/>
          <w:color w:val="44546A" w:themeColor="text2"/>
          <w:lang w:eastAsia="en-GB"/>
        </w:rPr>
        <w:t xml:space="preserve">тако што би се </w:t>
      </w:r>
      <w:r w:rsidRPr="000F0299">
        <w:rPr>
          <w:rFonts w:eastAsiaTheme="majorEastAsia" w:cstheme="majorBidi"/>
          <w:color w:val="44546A" w:themeColor="text2"/>
          <w:lang w:eastAsia="en-GB"/>
        </w:rPr>
        <w:t>осн</w:t>
      </w:r>
      <w:r>
        <w:rPr>
          <w:rFonts w:eastAsiaTheme="majorEastAsia" w:cstheme="majorBidi"/>
          <w:color w:val="44546A" w:themeColor="text2"/>
          <w:lang w:eastAsia="en-GB"/>
        </w:rPr>
        <w:t xml:space="preserve">овала </w:t>
      </w:r>
      <w:r w:rsidRPr="000F0299">
        <w:rPr>
          <w:rFonts w:eastAsiaTheme="majorEastAsia" w:cstheme="majorBidi"/>
          <w:color w:val="44546A" w:themeColor="text2"/>
          <w:lang w:eastAsia="en-GB"/>
        </w:rPr>
        <w:t>јавн</w:t>
      </w:r>
      <w:r>
        <w:rPr>
          <w:rFonts w:eastAsiaTheme="majorEastAsia" w:cstheme="majorBidi"/>
          <w:color w:val="44546A" w:themeColor="text2"/>
          <w:lang w:eastAsia="en-GB"/>
        </w:rPr>
        <w:t>а</w:t>
      </w:r>
      <w:r w:rsidRPr="000F0299">
        <w:rPr>
          <w:rFonts w:eastAsiaTheme="majorEastAsia" w:cstheme="majorBidi"/>
          <w:color w:val="44546A" w:themeColor="text2"/>
          <w:lang w:eastAsia="en-GB"/>
        </w:rPr>
        <w:t xml:space="preserve"> агенциј</w:t>
      </w:r>
      <w:r>
        <w:rPr>
          <w:rFonts w:eastAsiaTheme="majorEastAsia" w:cstheme="majorBidi"/>
          <w:color w:val="44546A" w:themeColor="text2"/>
          <w:lang w:eastAsia="en-GB"/>
        </w:rPr>
        <w:t>а</w:t>
      </w:r>
      <w:r w:rsidRPr="000F0299">
        <w:rPr>
          <w:rFonts w:eastAsiaTheme="majorEastAsia" w:cstheme="majorBidi"/>
          <w:color w:val="44546A" w:themeColor="text2"/>
          <w:lang w:eastAsia="en-GB"/>
        </w:rPr>
        <w:t xml:space="preserve"> којој би биле </w:t>
      </w:r>
      <w:r>
        <w:rPr>
          <w:rFonts w:eastAsiaTheme="majorEastAsia" w:cstheme="majorBidi"/>
          <w:color w:val="44546A" w:themeColor="text2"/>
          <w:lang w:eastAsia="en-GB"/>
        </w:rPr>
        <w:t>утврђене</w:t>
      </w:r>
      <w:r w:rsidRPr="000F0299">
        <w:rPr>
          <w:rFonts w:eastAsiaTheme="majorEastAsia" w:cstheme="majorBidi"/>
          <w:color w:val="44546A" w:themeColor="text2"/>
          <w:lang w:eastAsia="en-GB"/>
        </w:rPr>
        <w:t xml:space="preserve"> надлежности у овој области</w:t>
      </w:r>
    </w:p>
    <w:p w14:paraId="19C80FB7" w14:textId="77777777" w:rsidR="00EA509E" w:rsidRPr="000F0299" w:rsidRDefault="00EA509E" w:rsidP="00EA509E">
      <w:r w:rsidRPr="000F0299">
        <w:t xml:space="preserve">Овај приступ решавању институционалног оквира политике пружања услуга у односу на опцију 2 подразумева </w:t>
      </w:r>
      <w:r>
        <w:t xml:space="preserve">да се оснује </w:t>
      </w:r>
      <w:r w:rsidRPr="000F0299">
        <w:t>посебн</w:t>
      </w:r>
      <w:r>
        <w:t>а</w:t>
      </w:r>
      <w:r w:rsidRPr="000F0299">
        <w:t xml:space="preserve"> агенциј</w:t>
      </w:r>
      <w:r>
        <w:t>а</w:t>
      </w:r>
      <w:r w:rsidRPr="000F0299">
        <w:t xml:space="preserve"> к</w:t>
      </w:r>
      <w:r>
        <w:t xml:space="preserve">ојој би била утврђена </w:t>
      </w:r>
      <w:r w:rsidRPr="000F0299">
        <w:t xml:space="preserve">надлежност за </w:t>
      </w:r>
      <w:r>
        <w:t xml:space="preserve">креирање </w:t>
      </w:r>
      <w:r w:rsidRPr="000F0299">
        <w:t>политике пружања услуга</w:t>
      </w:r>
      <w:r w:rsidRPr="00B24196">
        <w:t xml:space="preserve"> </w:t>
      </w:r>
      <w:r w:rsidRPr="000F0299">
        <w:t>и спровођење</w:t>
      </w:r>
      <w:r>
        <w:t xml:space="preserve"> докумената у којима је та политика утврђена</w:t>
      </w:r>
      <w:r w:rsidRPr="000F0299">
        <w:t xml:space="preserve">. </w:t>
      </w:r>
    </w:p>
    <w:p w14:paraId="2B0F96EE" w14:textId="77777777" w:rsidR="00EA509E" w:rsidRPr="000F0299" w:rsidRDefault="00EA509E" w:rsidP="00EA509E">
      <w:pPr>
        <w:rPr>
          <w:color w:val="000000" w:themeColor="dark1"/>
          <w:kern w:val="24"/>
          <w14:textFill>
            <w14:solidFill>
              <w14:schemeClr w14:val="dk1">
                <w14:satOff w14:val="0"/>
                <w14:lumOff w14:val="0"/>
              </w14:schemeClr>
            </w14:solidFill>
          </w14:textFill>
        </w:rPr>
      </w:pPr>
      <w:r w:rsidRPr="000F0299">
        <w:t xml:space="preserve">Као и </w:t>
      </w:r>
      <w:r>
        <w:t>у</w:t>
      </w:r>
      <w:r w:rsidRPr="000F0299">
        <w:t xml:space="preserve"> опциј</w:t>
      </w:r>
      <w:r>
        <w:t>и</w:t>
      </w:r>
      <w:r w:rsidRPr="000F0299">
        <w:t xml:space="preserve"> 2, </w:t>
      </w:r>
      <w:r>
        <w:t>оснивање</w:t>
      </w:r>
      <w:r w:rsidRPr="000F0299">
        <w:t xml:space="preserve"> новог органа </w:t>
      </w:r>
      <w:r w:rsidRPr="000F0299">
        <w:rPr>
          <w:color w:val="000000" w:themeColor="dark1"/>
          <w:kern w:val="24"/>
          <w14:textFill>
            <w14:solidFill>
              <w14:schemeClr w14:val="dk1">
                <w14:satOff w14:val="0"/>
                <w14:lumOff w14:val="0"/>
              </w14:schemeClr>
            </w14:solidFill>
          </w14:textFill>
        </w:rPr>
        <w:t>подразумева нов</w:t>
      </w:r>
      <w:r>
        <w:rPr>
          <w:color w:val="000000" w:themeColor="dark1"/>
          <w:kern w:val="24"/>
          <w14:textFill>
            <w14:solidFill>
              <w14:schemeClr w14:val="dk1">
                <w14:satOff w14:val="0"/>
                <w14:lumOff w14:val="0"/>
              </w14:schemeClr>
            </w14:solidFill>
          </w14:textFill>
        </w:rPr>
        <w:t>е</w:t>
      </w:r>
      <w:r w:rsidRPr="000F0299">
        <w:rPr>
          <w:color w:val="000000" w:themeColor="dark1"/>
          <w:kern w:val="24"/>
          <w14:textFill>
            <w14:solidFill>
              <w14:schemeClr w14:val="dk1">
                <w14:satOff w14:val="0"/>
                <w14:lumOff w14:val="0"/>
              </w14:schemeClr>
            </w14:solidFill>
          </w14:textFill>
        </w:rPr>
        <w:t xml:space="preserve"> запослен</w:t>
      </w:r>
      <w:r>
        <w:rPr>
          <w:color w:val="000000" w:themeColor="dark1"/>
          <w:kern w:val="24"/>
          <w14:textFill>
            <w14:solidFill>
              <w14:schemeClr w14:val="dk1">
                <w14:satOff w14:val="0"/>
                <w14:lumOff w14:val="0"/>
              </w14:schemeClr>
            </w14:solidFill>
          </w14:textFill>
        </w:rPr>
        <w:t>е,</w:t>
      </w:r>
      <w:r w:rsidRPr="000F0299">
        <w:rPr>
          <w:color w:val="000000" w:themeColor="dark1"/>
          <w:kern w:val="24"/>
          <w14:textFill>
            <w14:solidFill>
              <w14:schemeClr w14:val="dk1">
                <w14:satOff w14:val="0"/>
                <w14:lumOff w14:val="0"/>
              </w14:schemeClr>
            </w14:solidFill>
          </w14:textFill>
        </w:rPr>
        <w:t xml:space="preserve"> што ствара додатни годишњи трошак за државне финансије, али и набавку опреме и материјала </w:t>
      </w:r>
      <w:r>
        <w:rPr>
          <w:color w:val="000000" w:themeColor="dark1"/>
          <w:kern w:val="24"/>
          <w14:textFill>
            <w14:solidFill>
              <w14:schemeClr w14:val="dk1">
                <w14:satOff w14:val="0"/>
                <w14:lumOff w14:val="0"/>
              </w14:schemeClr>
            </w14:solidFill>
          </w14:textFill>
        </w:rPr>
        <w:t xml:space="preserve">који су </w:t>
      </w:r>
      <w:r w:rsidRPr="000F0299">
        <w:rPr>
          <w:color w:val="000000" w:themeColor="dark1"/>
          <w:kern w:val="24"/>
          <w14:textFill>
            <w14:solidFill>
              <w14:schemeClr w14:val="dk1">
                <w14:satOff w14:val="0"/>
                <w14:lumOff w14:val="0"/>
              </w14:schemeClr>
            </w14:solidFill>
          </w14:textFill>
        </w:rPr>
        <w:t>потребн</w:t>
      </w:r>
      <w:r>
        <w:rPr>
          <w:color w:val="000000" w:themeColor="dark1"/>
          <w:kern w:val="24"/>
          <w14:textFill>
            <w14:solidFill>
              <w14:schemeClr w14:val="dk1">
                <w14:satOff w14:val="0"/>
                <w14:lumOff w14:val="0"/>
              </w14:schemeClr>
            </w14:solidFill>
          </w14:textFill>
        </w:rPr>
        <w:t>и</w:t>
      </w:r>
      <w:r w:rsidRPr="000F0299">
        <w:rPr>
          <w:color w:val="000000" w:themeColor="dark1"/>
          <w:kern w:val="24"/>
          <w14:textFill>
            <w14:solidFill>
              <w14:schemeClr w14:val="dk1">
                <w14:satOff w14:val="0"/>
                <w14:lumOff w14:val="0"/>
              </w14:schemeClr>
            </w14:solidFill>
          </w14:textFill>
        </w:rPr>
        <w:t xml:space="preserve"> за рад. Предност у односу на опцију 2 је у већој конкурентности зарада које може да понуди својим запосленима, што отвара већу могућност </w:t>
      </w:r>
      <w:r>
        <w:rPr>
          <w:color w:val="000000" w:themeColor="dark1"/>
          <w:kern w:val="24"/>
          <w14:textFill>
            <w14:solidFill>
              <w14:schemeClr w14:val="dk1">
                <w14:satOff w14:val="0"/>
                <w14:lumOff w14:val="0"/>
              </w14:schemeClr>
            </w14:solidFill>
          </w14:textFill>
        </w:rPr>
        <w:t xml:space="preserve">да се </w:t>
      </w:r>
      <w:r w:rsidRPr="000F0299">
        <w:rPr>
          <w:color w:val="000000" w:themeColor="dark1"/>
          <w:kern w:val="24"/>
          <w14:textFill>
            <w14:solidFill>
              <w14:schemeClr w14:val="dk1">
                <w14:satOff w14:val="0"/>
                <w14:lumOff w14:val="0"/>
              </w14:schemeClr>
            </w14:solidFill>
          </w14:textFill>
        </w:rPr>
        <w:t>прив</w:t>
      </w:r>
      <w:r>
        <w:rPr>
          <w:color w:val="000000" w:themeColor="dark1"/>
          <w:kern w:val="24"/>
          <w14:textFill>
            <w14:solidFill>
              <w14:schemeClr w14:val="dk1">
                <w14:satOff w14:val="0"/>
                <w14:lumOff w14:val="0"/>
              </w14:schemeClr>
            </w14:solidFill>
          </w14:textFill>
        </w:rPr>
        <w:t>уче</w:t>
      </w:r>
      <w:r w:rsidRPr="000F0299">
        <w:rPr>
          <w:color w:val="000000" w:themeColor="dark1"/>
          <w:kern w:val="24"/>
          <w14:textFill>
            <w14:solidFill>
              <w14:schemeClr w14:val="dk1">
                <w14:satOff w14:val="0"/>
                <w14:lumOff w14:val="0"/>
              </w14:schemeClr>
            </w14:solidFill>
          </w14:textFill>
        </w:rPr>
        <w:t xml:space="preserve"> и задрж</w:t>
      </w:r>
      <w:r>
        <w:rPr>
          <w:color w:val="000000" w:themeColor="dark1"/>
          <w:kern w:val="24"/>
          <w14:textFill>
            <w14:solidFill>
              <w14:schemeClr w14:val="dk1">
                <w14:satOff w14:val="0"/>
                <w14:lumOff w14:val="0"/>
              </w14:schemeClr>
            </w14:solidFill>
          </w14:textFill>
        </w:rPr>
        <w:t>и</w:t>
      </w:r>
      <w:r w:rsidRPr="000F0299">
        <w:rPr>
          <w:color w:val="000000" w:themeColor="dark1"/>
          <w:kern w:val="24"/>
          <w14:textFill>
            <w14:solidFill>
              <w14:schemeClr w14:val="dk1">
                <w14:satOff w14:val="0"/>
                <w14:lumOff w14:val="0"/>
              </w14:schemeClr>
            </w14:solidFill>
          </w14:textFill>
        </w:rPr>
        <w:t xml:space="preserve"> висококвалификован кад</w:t>
      </w:r>
      <w:r>
        <w:rPr>
          <w:color w:val="000000" w:themeColor="dark1"/>
          <w:kern w:val="24"/>
          <w14:textFill>
            <w14:solidFill>
              <w14:schemeClr w14:val="dk1">
                <w14:satOff w14:val="0"/>
                <w14:lumOff w14:val="0"/>
              </w14:schemeClr>
            </w14:solidFill>
          </w14:textFill>
        </w:rPr>
        <w:t>а</w:t>
      </w:r>
      <w:r w:rsidRPr="000F0299">
        <w:rPr>
          <w:color w:val="000000" w:themeColor="dark1"/>
          <w:kern w:val="24"/>
          <w14:textFill>
            <w14:solidFill>
              <w14:schemeClr w14:val="dk1">
                <w14:satOff w14:val="0"/>
                <w14:lumOff w14:val="0"/>
              </w14:schemeClr>
            </w14:solidFill>
          </w14:textFill>
        </w:rPr>
        <w:t>р</w:t>
      </w:r>
      <w:r>
        <w:rPr>
          <w:color w:val="000000" w:themeColor="dark1"/>
          <w:kern w:val="24"/>
          <w14:textFill>
            <w14:solidFill>
              <w14:schemeClr w14:val="dk1">
                <w14:satOff w14:val="0"/>
                <w14:lumOff w14:val="0"/>
              </w14:schemeClr>
            </w14:solidFill>
          </w14:textFill>
        </w:rPr>
        <w:t>, што</w:t>
      </w:r>
      <w:r w:rsidRPr="000F0299">
        <w:rPr>
          <w:color w:val="000000" w:themeColor="dark1"/>
          <w:kern w:val="24"/>
          <w14:textFill>
            <w14:solidFill>
              <w14:schemeClr w14:val="dk1">
                <w14:satOff w14:val="0"/>
                <w14:lumOff w14:val="0"/>
              </w14:schemeClr>
            </w14:solidFill>
          </w14:textFill>
        </w:rPr>
        <w:t xml:space="preserve"> сама јавна управа није у стању да уради, али подразумева </w:t>
      </w:r>
      <w:r>
        <w:rPr>
          <w:color w:val="000000" w:themeColor="dark1"/>
          <w:kern w:val="24"/>
          <w14:textFill>
            <w14:solidFill>
              <w14:schemeClr w14:val="dk1">
                <w14:satOff w14:val="0"/>
                <w14:lumOff w14:val="0"/>
              </w14:schemeClr>
            </w14:solidFill>
          </w14:textFill>
        </w:rPr>
        <w:t xml:space="preserve">и </w:t>
      </w:r>
      <w:r w:rsidRPr="000F0299">
        <w:rPr>
          <w:color w:val="000000" w:themeColor="dark1"/>
          <w:kern w:val="24"/>
          <w14:textFill>
            <w14:solidFill>
              <w14:schemeClr w14:val="dk1">
                <w14:satOff w14:val="0"/>
                <w14:lumOff w14:val="0"/>
              </w14:schemeClr>
            </w14:solidFill>
          </w14:textFill>
        </w:rPr>
        <w:t xml:space="preserve">више годишње расходе на </w:t>
      </w:r>
      <w:r>
        <w:rPr>
          <w:color w:val="000000" w:themeColor="dark1"/>
          <w:kern w:val="24"/>
          <w14:textFill>
            <w14:solidFill>
              <w14:schemeClr w14:val="dk1">
                <w14:satOff w14:val="0"/>
                <w14:lumOff w14:val="0"/>
              </w14:schemeClr>
            </w14:solidFill>
          </w14:textFill>
        </w:rPr>
        <w:t>плате</w:t>
      </w:r>
      <w:r w:rsidRPr="000F0299">
        <w:rPr>
          <w:color w:val="000000" w:themeColor="dark1"/>
          <w:kern w:val="24"/>
          <w14:textFill>
            <w14:solidFill>
              <w14:schemeClr w14:val="dk1">
                <w14:satOff w14:val="0"/>
                <w14:lumOff w14:val="0"/>
              </w14:schemeClr>
            </w14:solidFill>
          </w14:textFill>
        </w:rPr>
        <w:t xml:space="preserve">. Анализа постојећих републичких агенција показује да је у већини </w:t>
      </w:r>
      <w:r>
        <w:rPr>
          <w:color w:val="000000" w:themeColor="dark1"/>
          <w:kern w:val="24"/>
          <w14:textFill>
            <w14:solidFill>
              <w14:schemeClr w14:val="dk1">
                <w14:satOff w14:val="0"/>
                <w14:lumOff w14:val="0"/>
              </w14:schemeClr>
            </w14:solidFill>
          </w14:textFill>
        </w:rPr>
        <w:t>њих</w:t>
      </w:r>
      <w:r w:rsidRPr="000F0299">
        <w:rPr>
          <w:color w:val="000000" w:themeColor="dark1"/>
          <w:kern w:val="24"/>
          <w14:textFill>
            <w14:solidFill>
              <w14:schemeClr w14:val="dk1">
                <w14:satOff w14:val="0"/>
                <w14:lumOff w14:val="0"/>
              </w14:schemeClr>
            </w14:solidFill>
          </w14:textFill>
        </w:rPr>
        <w:t xml:space="preserve"> просечна годишња зарада запослених за око 32% виша него </w:t>
      </w:r>
      <w:r>
        <w:rPr>
          <w:color w:val="000000" w:themeColor="dark1"/>
          <w:kern w:val="24"/>
          <w14:textFill>
            <w14:solidFill>
              <w14:schemeClr w14:val="dk1">
                <w14:satOff w14:val="0"/>
                <w14:lumOff w14:val="0"/>
              </w14:schemeClr>
            </w14:solidFill>
          </w14:textFill>
        </w:rPr>
        <w:t>зарада</w:t>
      </w:r>
      <w:r w:rsidRPr="000F0299">
        <w:rPr>
          <w:color w:val="000000" w:themeColor="dark1"/>
          <w:kern w:val="24"/>
          <w14:textFill>
            <w14:solidFill>
              <w14:schemeClr w14:val="dk1">
                <w14:satOff w14:val="0"/>
                <w14:lumOff w14:val="0"/>
              </w14:schemeClr>
            </w14:solidFill>
          </w14:textFill>
        </w:rPr>
        <w:t xml:space="preserve"> запослених у министарствима и износи 1</w:t>
      </w:r>
      <w:r>
        <w:rPr>
          <w:color w:val="000000" w:themeColor="dark1"/>
          <w:kern w:val="24"/>
          <w14:textFill>
            <w14:solidFill>
              <w14:schemeClr w14:val="dk1">
                <w14:satOff w14:val="0"/>
                <w14:lumOff w14:val="0"/>
              </w14:schemeClr>
            </w14:solidFill>
          </w14:textFill>
        </w:rPr>
        <w:t>,</w:t>
      </w:r>
      <w:r w:rsidRPr="000F0299">
        <w:rPr>
          <w:color w:val="000000" w:themeColor="dark1"/>
          <w:kern w:val="24"/>
          <w14:textFill>
            <w14:solidFill>
              <w14:schemeClr w14:val="dk1">
                <w14:satOff w14:val="0"/>
                <w14:lumOff w14:val="0"/>
              </w14:schemeClr>
            </w14:solidFill>
          </w14:textFill>
        </w:rPr>
        <w:t xml:space="preserve">64 милиона </w:t>
      </w:r>
      <w:r>
        <w:rPr>
          <w:color w:val="000000" w:themeColor="dark1"/>
          <w:kern w:val="24"/>
          <w14:textFill>
            <w14:solidFill>
              <w14:schemeClr w14:val="dk1">
                <w14:satOff w14:val="0"/>
                <w14:lumOff w14:val="0"/>
              </w14:schemeClr>
            </w14:solidFill>
          </w14:textFill>
        </w:rPr>
        <w:t xml:space="preserve">динара </w:t>
      </w:r>
      <w:r w:rsidRPr="000F0299">
        <w:rPr>
          <w:color w:val="000000" w:themeColor="dark1"/>
          <w:kern w:val="24"/>
          <w14:textFill>
            <w14:solidFill>
              <w14:schemeClr w14:val="dk1">
                <w14:satOff w14:val="0"/>
                <w14:lumOff w14:val="0"/>
              </w14:schemeClr>
            </w14:solidFill>
          </w14:textFill>
        </w:rPr>
        <w:t xml:space="preserve">годишње, </w:t>
      </w:r>
      <w:r>
        <w:rPr>
          <w:color w:val="000000" w:themeColor="dark1"/>
          <w:kern w:val="24"/>
          <w14:textFill>
            <w14:solidFill>
              <w14:schemeClr w14:val="dk1">
                <w14:satOff w14:val="0"/>
                <w14:lumOff w14:val="0"/>
              </w14:schemeClr>
            </w14:solidFill>
          </w14:textFill>
        </w:rPr>
        <w:t xml:space="preserve">као и </w:t>
      </w:r>
      <w:r w:rsidRPr="000F0299">
        <w:rPr>
          <w:color w:val="000000" w:themeColor="dark1"/>
          <w:kern w:val="24"/>
          <w14:textFill>
            <w14:solidFill>
              <w14:schemeClr w14:val="dk1">
                <w14:satOff w14:val="0"/>
                <w14:lumOff w14:val="0"/>
              </w14:schemeClr>
            </w14:solidFill>
          </w14:textFill>
        </w:rPr>
        <w:t xml:space="preserve">да удео високообразованог кадра </w:t>
      </w:r>
      <w:r>
        <w:rPr>
          <w:color w:val="000000" w:themeColor="dark1"/>
          <w:kern w:val="24"/>
          <w14:textFill>
            <w14:solidFill>
              <w14:schemeClr w14:val="dk1">
                <w14:satOff w14:val="0"/>
                <w14:lumOff w14:val="0"/>
              </w14:schemeClr>
            </w14:solidFill>
          </w14:textFill>
        </w:rPr>
        <w:t xml:space="preserve">у њима </w:t>
      </w:r>
      <w:r w:rsidRPr="000F0299">
        <w:rPr>
          <w:color w:val="000000" w:themeColor="dark1"/>
          <w:kern w:val="24"/>
          <w14:textFill>
            <w14:solidFill>
              <w14:schemeClr w14:val="dk1">
                <w14:satOff w14:val="0"/>
                <w14:lumOff w14:val="0"/>
              </w14:schemeClr>
            </w14:solidFill>
          </w14:textFill>
        </w:rPr>
        <w:t xml:space="preserve">износи око 80% свих запослених. </w:t>
      </w:r>
      <w:r>
        <w:rPr>
          <w:color w:val="000000" w:themeColor="dark1"/>
          <w:kern w:val="24"/>
          <w14:textFill>
            <w14:solidFill>
              <w14:schemeClr w14:val="dk1">
                <w14:satOff w14:val="0"/>
                <w14:lumOff w14:val="0"/>
              </w14:schemeClr>
            </w14:solidFill>
          </w14:textFill>
        </w:rPr>
        <w:t>О</w:t>
      </w:r>
      <w:r w:rsidRPr="000F0299">
        <w:rPr>
          <w:color w:val="000000" w:themeColor="dark1"/>
          <w:kern w:val="24"/>
          <w14:textFill>
            <w14:solidFill>
              <w14:schemeClr w14:val="dk1">
                <w14:satOff w14:val="0"/>
                <w14:lumOff w14:val="0"/>
              </w14:schemeClr>
            </w14:solidFill>
          </w14:textFill>
        </w:rPr>
        <w:t>снивањем агенције би се смањила зависност јавне управе од екстерних партнера</w:t>
      </w:r>
      <w:r>
        <w:rPr>
          <w:color w:val="000000" w:themeColor="dark1"/>
          <w:kern w:val="24"/>
          <w14:textFill>
            <w14:solidFill>
              <w14:schemeClr w14:val="dk1">
                <w14:satOff w14:val="0"/>
                <w14:lumOff w14:val="0"/>
              </w14:schemeClr>
            </w14:solidFill>
          </w14:textFill>
        </w:rPr>
        <w:t xml:space="preserve"> и</w:t>
      </w:r>
      <w:r w:rsidRPr="000F0299">
        <w:rPr>
          <w:color w:val="000000" w:themeColor="dark1"/>
          <w:kern w:val="24"/>
          <w14:textFill>
            <w14:solidFill>
              <w14:schemeClr w14:val="dk1">
                <w14:satOff w14:val="0"/>
                <w14:lumOff w14:val="0"/>
              </w14:schemeClr>
            </w14:solidFill>
          </w14:textFill>
        </w:rPr>
        <w:t xml:space="preserve"> потенцијално омогући</w:t>
      </w:r>
      <w:r>
        <w:rPr>
          <w:color w:val="000000" w:themeColor="dark1"/>
          <w:kern w:val="24"/>
          <w14:textFill>
            <w14:solidFill>
              <w14:schemeClr w14:val="dk1">
                <w14:satOff w14:val="0"/>
                <w14:lumOff w14:val="0"/>
              </w14:schemeClr>
            </w14:solidFill>
          </w14:textFill>
        </w:rPr>
        <w:t>л</w:t>
      </w:r>
      <w:r w:rsidRPr="000F0299">
        <w:rPr>
          <w:color w:val="000000" w:themeColor="dark1"/>
          <w:kern w:val="24"/>
          <w14:textFill>
            <w14:solidFill>
              <w14:schemeClr w14:val="dk1">
                <w14:satOff w14:val="0"/>
                <w14:lumOff w14:val="0"/>
              </w14:schemeClr>
            </w14:solidFill>
          </w14:textFill>
        </w:rPr>
        <w:t>о управи да има снажније власништво над спровођењ</w:t>
      </w:r>
      <w:r>
        <w:rPr>
          <w:color w:val="000000" w:themeColor="dark1"/>
          <w:kern w:val="24"/>
          <w14:textFill>
            <w14:solidFill>
              <w14:schemeClr w14:val="dk1">
                <w14:satOff w14:val="0"/>
                <w14:lumOff w14:val="0"/>
              </w14:schemeClr>
            </w14:solidFill>
          </w14:textFill>
        </w:rPr>
        <w:t xml:space="preserve">ем </w:t>
      </w:r>
      <w:r w:rsidRPr="000F0299">
        <w:rPr>
          <w:color w:val="000000" w:themeColor="dark1"/>
          <w:kern w:val="24"/>
          <w14:textFill>
            <w14:solidFill>
              <w14:schemeClr w14:val="dk1">
                <w14:satOff w14:val="0"/>
                <w14:lumOff w14:val="0"/>
              </w14:schemeClr>
            </w14:solidFill>
          </w14:textFill>
        </w:rPr>
        <w:t xml:space="preserve">политике услуга. </w:t>
      </w:r>
    </w:p>
    <w:p w14:paraId="101DEBD3" w14:textId="77777777" w:rsidR="00EA509E" w:rsidRPr="000F0299" w:rsidRDefault="00EA509E" w:rsidP="00EA509E">
      <w:pPr>
        <w:keepNext/>
        <w:keepLines/>
        <w:spacing w:after="120"/>
        <w:ind w:firstLine="0"/>
        <w:outlineLvl w:val="4"/>
        <w:rPr>
          <w:rFonts w:eastAsia="Calibri" w:cstheme="majorBidi"/>
          <w:color w:val="44546A" w:themeColor="text2"/>
          <w:lang w:eastAsia="en-GB"/>
        </w:rPr>
      </w:pPr>
      <w:r w:rsidRPr="000F0299">
        <w:rPr>
          <w:rFonts w:eastAsiaTheme="majorEastAsia" w:cstheme="majorBidi"/>
          <w:b/>
          <w:bCs/>
          <w:color w:val="44546A" w:themeColor="text2"/>
          <w:lang w:eastAsia="en-GB"/>
        </w:rPr>
        <w:t>Опција 4:</w:t>
      </w:r>
      <w:r w:rsidRPr="000F0299">
        <w:rPr>
          <w:rFonts w:eastAsiaTheme="majorEastAsia" w:cstheme="majorBidi"/>
          <w:color w:val="44546A" w:themeColor="text2"/>
          <w:lang w:eastAsia="en-GB"/>
        </w:rPr>
        <w:t xml:space="preserve"> Повећање људских и техничко-технолошких капацитета јавне управе за пружање услуга крајњим корисницима </w:t>
      </w:r>
      <w:r>
        <w:rPr>
          <w:rFonts w:eastAsiaTheme="majorEastAsia" w:cstheme="majorBidi"/>
          <w:color w:val="44546A" w:themeColor="text2"/>
          <w:lang w:eastAsia="en-GB"/>
        </w:rPr>
        <w:t>тако што би се утврдила</w:t>
      </w:r>
      <w:r w:rsidRPr="000F0299">
        <w:rPr>
          <w:rFonts w:eastAsiaTheme="majorEastAsia" w:cstheme="majorBidi"/>
          <w:color w:val="44546A" w:themeColor="text2"/>
          <w:lang w:eastAsia="en-GB"/>
        </w:rPr>
        <w:t xml:space="preserve"> надлежност </w:t>
      </w:r>
      <w:r>
        <w:rPr>
          <w:rFonts w:eastAsiaTheme="majorEastAsia" w:cstheme="majorBidi"/>
          <w:color w:val="44546A" w:themeColor="text2"/>
          <w:lang w:eastAsia="en-GB"/>
        </w:rPr>
        <w:t>МДУЛС</w:t>
      </w:r>
      <w:r w:rsidRPr="000F0299">
        <w:rPr>
          <w:rFonts w:eastAsiaTheme="majorEastAsia" w:cstheme="majorBidi"/>
          <w:color w:val="44546A" w:themeColor="text2"/>
          <w:lang w:eastAsia="en-GB"/>
        </w:rPr>
        <w:t xml:space="preserve"> за </w:t>
      </w:r>
      <w:r>
        <w:rPr>
          <w:rFonts w:eastAsiaTheme="majorEastAsia" w:cstheme="majorBidi"/>
          <w:color w:val="44546A" w:themeColor="text2"/>
          <w:lang w:eastAsia="en-GB"/>
        </w:rPr>
        <w:t>израду</w:t>
      </w:r>
      <w:r w:rsidRPr="000F0299">
        <w:rPr>
          <w:rFonts w:eastAsiaTheme="majorEastAsia" w:cstheme="majorBidi"/>
          <w:color w:val="44546A" w:themeColor="text2"/>
          <w:lang w:eastAsia="en-GB"/>
        </w:rPr>
        <w:t xml:space="preserve"> и централизовано спровођење </w:t>
      </w:r>
      <w:r>
        <w:rPr>
          <w:rFonts w:eastAsiaTheme="majorEastAsia" w:cstheme="majorBidi"/>
          <w:color w:val="44546A" w:themeColor="text2"/>
          <w:lang w:eastAsia="en-GB"/>
        </w:rPr>
        <w:t xml:space="preserve">докумената јавне </w:t>
      </w:r>
      <w:r w:rsidRPr="000F0299">
        <w:rPr>
          <w:rFonts w:eastAsiaTheme="majorEastAsia" w:cstheme="majorBidi"/>
          <w:color w:val="44546A" w:themeColor="text2"/>
          <w:lang w:eastAsia="en-GB"/>
        </w:rPr>
        <w:t>политике у овој</w:t>
      </w:r>
      <w:r w:rsidRPr="000F0299">
        <w:rPr>
          <w:rFonts w:eastAsia="Calibri" w:cstheme="majorBidi"/>
          <w:color w:val="44546A" w:themeColor="text2"/>
          <w:lang w:eastAsia="en-GB"/>
        </w:rPr>
        <w:t xml:space="preserve"> области. </w:t>
      </w:r>
    </w:p>
    <w:p w14:paraId="66ECBC71" w14:textId="77777777" w:rsidR="00EA509E" w:rsidRPr="000F0299" w:rsidRDefault="00EA509E" w:rsidP="00EA509E">
      <w:r w:rsidRPr="000F0299">
        <w:t xml:space="preserve">Ова опција подразумева да </w:t>
      </w:r>
      <w:r>
        <w:t>МДУЛС</w:t>
      </w:r>
      <w:r w:rsidRPr="000F0299">
        <w:t xml:space="preserve"> планира ангажовањ</w:t>
      </w:r>
      <w:r>
        <w:t>е и процес ангажовања кадра</w:t>
      </w:r>
      <w:r w:rsidRPr="000F0299">
        <w:t xml:space="preserve">. </w:t>
      </w:r>
      <w:r w:rsidRPr="000F0299">
        <w:rPr>
          <w:rFonts w:eastAsia="Calibri"/>
        </w:rPr>
        <w:t>То захтева ангажовање кадра за послове</w:t>
      </w:r>
      <w:r>
        <w:rPr>
          <w:rFonts w:eastAsia="Calibri"/>
        </w:rPr>
        <w:t xml:space="preserve"> тог планирања</w:t>
      </w:r>
      <w:r w:rsidRPr="000F0299">
        <w:rPr>
          <w:rFonts w:eastAsia="Calibri"/>
        </w:rPr>
        <w:t>, као и набавку потребне техничко-технолошке опреме. П</w:t>
      </w:r>
      <w:r>
        <w:rPr>
          <w:rFonts w:eastAsia="Calibri"/>
        </w:rPr>
        <w:t xml:space="preserve">остоји </w:t>
      </w:r>
      <w:r w:rsidRPr="000F0299">
        <w:rPr>
          <w:rFonts w:eastAsia="Calibri"/>
        </w:rPr>
        <w:t xml:space="preserve">и ризик </w:t>
      </w:r>
      <w:r>
        <w:rPr>
          <w:rFonts w:eastAsia="Calibri"/>
        </w:rPr>
        <w:t xml:space="preserve">од </w:t>
      </w:r>
      <w:r w:rsidRPr="000F0299">
        <w:rPr>
          <w:rFonts w:eastAsia="Calibri"/>
        </w:rPr>
        <w:t>одређен</w:t>
      </w:r>
      <w:r>
        <w:rPr>
          <w:rFonts w:eastAsia="Calibri"/>
        </w:rPr>
        <w:t>е</w:t>
      </w:r>
      <w:r w:rsidRPr="000F0299">
        <w:rPr>
          <w:rFonts w:eastAsia="Calibri"/>
        </w:rPr>
        <w:t xml:space="preserve"> крутост</w:t>
      </w:r>
      <w:r>
        <w:rPr>
          <w:rFonts w:eastAsia="Calibri"/>
        </w:rPr>
        <w:t>и</w:t>
      </w:r>
      <w:r w:rsidRPr="000F0299">
        <w:rPr>
          <w:rFonts w:eastAsia="Calibri"/>
        </w:rPr>
        <w:t xml:space="preserve"> и спорост</w:t>
      </w:r>
      <w:r>
        <w:rPr>
          <w:rFonts w:eastAsia="Calibri"/>
        </w:rPr>
        <w:t>и</w:t>
      </w:r>
      <w:r w:rsidRPr="000F0299">
        <w:rPr>
          <w:rFonts w:eastAsia="Calibri"/>
        </w:rPr>
        <w:t xml:space="preserve"> у одлучивању и спровођењу јер би се </w:t>
      </w:r>
      <w:r>
        <w:rPr>
          <w:rFonts w:eastAsia="Calibri"/>
        </w:rPr>
        <w:t xml:space="preserve">потребе да се </w:t>
      </w:r>
      <w:r w:rsidRPr="000F0299">
        <w:rPr>
          <w:rFonts w:eastAsia="Calibri"/>
        </w:rPr>
        <w:t>кад</w:t>
      </w:r>
      <w:r>
        <w:rPr>
          <w:rFonts w:eastAsia="Calibri"/>
        </w:rPr>
        <w:t>а</w:t>
      </w:r>
      <w:r w:rsidRPr="000F0299">
        <w:rPr>
          <w:rFonts w:eastAsia="Calibri"/>
        </w:rPr>
        <w:t>р и опрем</w:t>
      </w:r>
      <w:r>
        <w:rPr>
          <w:rFonts w:eastAsia="Calibri"/>
        </w:rPr>
        <w:t>а</w:t>
      </w:r>
      <w:r w:rsidRPr="000F0299">
        <w:rPr>
          <w:rFonts w:eastAsia="Calibri"/>
        </w:rPr>
        <w:t xml:space="preserve"> </w:t>
      </w:r>
      <w:r>
        <w:rPr>
          <w:rFonts w:eastAsia="Calibri"/>
        </w:rPr>
        <w:t xml:space="preserve">прилагоде </w:t>
      </w:r>
      <w:r w:rsidRPr="000F0299">
        <w:rPr>
          <w:rFonts w:eastAsia="Calibri"/>
        </w:rPr>
        <w:t xml:space="preserve">промене </w:t>
      </w:r>
      <w:r>
        <w:rPr>
          <w:rFonts w:eastAsia="Calibri"/>
        </w:rPr>
        <w:t xml:space="preserve">решавале </w:t>
      </w:r>
      <w:r w:rsidRPr="000F0299">
        <w:rPr>
          <w:rFonts w:eastAsia="Calibri"/>
        </w:rPr>
        <w:t>централизовано</w:t>
      </w:r>
      <w:r>
        <w:rPr>
          <w:rFonts w:eastAsia="Calibri"/>
        </w:rPr>
        <w:t xml:space="preserve">, али </w:t>
      </w:r>
      <w:r w:rsidRPr="000F0299">
        <w:rPr>
          <w:rFonts w:eastAsia="Calibri"/>
        </w:rPr>
        <w:t xml:space="preserve">централизација носи </w:t>
      </w:r>
      <w:r>
        <w:rPr>
          <w:rFonts w:eastAsia="Calibri"/>
        </w:rPr>
        <w:t xml:space="preserve">и </w:t>
      </w:r>
      <w:r w:rsidRPr="000F0299">
        <w:rPr>
          <w:rFonts w:eastAsia="Calibri"/>
        </w:rPr>
        <w:t>предности у погледу нижих цена набавке због већ</w:t>
      </w:r>
      <w:r>
        <w:rPr>
          <w:rFonts w:eastAsia="Calibri"/>
        </w:rPr>
        <w:t>е</w:t>
      </w:r>
      <w:r w:rsidRPr="000F0299">
        <w:rPr>
          <w:rFonts w:eastAsia="Calibri"/>
        </w:rPr>
        <w:t xml:space="preserve"> количин</w:t>
      </w:r>
      <w:r>
        <w:rPr>
          <w:rFonts w:eastAsia="Calibri"/>
        </w:rPr>
        <w:t>е</w:t>
      </w:r>
      <w:r w:rsidRPr="000F0299">
        <w:rPr>
          <w:rFonts w:eastAsia="Calibri"/>
        </w:rPr>
        <w:t>. Процена трошкова спровођења ове опције зависи од процене потребе за кадро</w:t>
      </w:r>
      <w:r>
        <w:rPr>
          <w:rFonts w:eastAsia="Calibri"/>
        </w:rPr>
        <w:t xml:space="preserve">м, његовом </w:t>
      </w:r>
      <w:r w:rsidRPr="000F0299">
        <w:rPr>
          <w:rFonts w:eastAsia="Calibri"/>
        </w:rPr>
        <w:t xml:space="preserve">професионалном структуром и радним искуством, процене додатних </w:t>
      </w:r>
      <w:r w:rsidRPr="000F0299">
        <w:t xml:space="preserve">трошкова </w:t>
      </w:r>
      <w:r>
        <w:t xml:space="preserve">спровођења </w:t>
      </w:r>
      <w:r w:rsidRPr="000F0299">
        <w:t>које ова опција носи, процене једнократних трошкова</w:t>
      </w:r>
      <w:r>
        <w:t>, као што је</w:t>
      </w:r>
      <w:r w:rsidRPr="000F0299">
        <w:t xml:space="preserve"> набавк</w:t>
      </w:r>
      <w:r>
        <w:t>а</w:t>
      </w:r>
      <w:r w:rsidRPr="000F0299">
        <w:t xml:space="preserve"> опреме за рад новоангажован</w:t>
      </w:r>
      <w:r>
        <w:t>ог</w:t>
      </w:r>
      <w:r w:rsidRPr="000F0299">
        <w:t xml:space="preserve"> кадра</w:t>
      </w:r>
      <w:r>
        <w:t xml:space="preserve">, као и </w:t>
      </w:r>
      <w:r w:rsidRPr="000F0299">
        <w:t>процен</w:t>
      </w:r>
      <w:r>
        <w:t>е</w:t>
      </w:r>
      <w:r w:rsidRPr="000F0299">
        <w:t xml:space="preserve"> трошков</w:t>
      </w:r>
      <w:r>
        <w:t>а</w:t>
      </w:r>
      <w:r w:rsidRPr="000F0299">
        <w:t xml:space="preserve"> припреме и спровођења обука и других активности предвиђених за спровођење ове опције. </w:t>
      </w:r>
    </w:p>
    <w:p w14:paraId="23061D22" w14:textId="77777777" w:rsidR="00EA509E" w:rsidRPr="000F0299" w:rsidRDefault="00EA509E" w:rsidP="00EA509E">
      <w:pPr>
        <w:keepNext/>
        <w:keepLines/>
        <w:spacing w:after="120"/>
        <w:ind w:firstLine="0"/>
        <w:outlineLvl w:val="4"/>
        <w:rPr>
          <w:rFonts w:eastAsiaTheme="majorEastAsia" w:cstheme="majorBidi"/>
          <w:color w:val="44546A" w:themeColor="text2"/>
          <w:lang w:eastAsia="en-GB"/>
        </w:rPr>
      </w:pPr>
      <w:r w:rsidRPr="000F0299">
        <w:rPr>
          <w:rFonts w:eastAsiaTheme="majorEastAsia" w:cstheme="majorBidi"/>
          <w:b/>
          <w:bCs/>
          <w:color w:val="44546A" w:themeColor="text2"/>
          <w:lang w:eastAsia="en-GB"/>
        </w:rPr>
        <w:t xml:space="preserve">Опција 5: </w:t>
      </w:r>
      <w:r w:rsidRPr="00093509">
        <w:rPr>
          <w:rFonts w:eastAsiaTheme="majorEastAsia" w:cstheme="majorBidi"/>
          <w:color w:val="44546A" w:themeColor="text2"/>
          <w:lang w:eastAsia="en-GB"/>
        </w:rPr>
        <w:t xml:space="preserve">Повећање људских и техничко-технолошких капацитета јавне управе тако што би органи државне управе пружали услуге крајњим корисницима децентрализовано, </w:t>
      </w:r>
      <w:r>
        <w:rPr>
          <w:rFonts w:eastAsiaTheme="majorEastAsia" w:cstheme="majorBidi"/>
          <w:color w:val="44546A" w:themeColor="text2"/>
          <w:lang w:eastAsia="en-GB"/>
        </w:rPr>
        <w:t xml:space="preserve">појединачно, </w:t>
      </w:r>
      <w:r w:rsidRPr="00093509">
        <w:rPr>
          <w:rFonts w:eastAsiaTheme="majorEastAsia" w:cstheme="majorBidi"/>
          <w:color w:val="44546A" w:themeColor="text2"/>
          <w:lang w:eastAsia="en-GB"/>
        </w:rPr>
        <w:t>а на основу стандарда које би прописало МДУЛС</w:t>
      </w:r>
    </w:p>
    <w:p w14:paraId="3C987246" w14:textId="77777777" w:rsidR="00EA509E" w:rsidRPr="000F0299" w:rsidRDefault="00EA509E" w:rsidP="00EA509E">
      <w:r w:rsidRPr="000F0299">
        <w:t>Децентрализовано унапређење људских и техничко-технолошких капацитета јавне управе за пружање услуга захтева веће напоре у координациј</w:t>
      </w:r>
      <w:r>
        <w:t>у</w:t>
      </w:r>
      <w:r w:rsidRPr="000F0299">
        <w:t xml:space="preserve"> спровођења</w:t>
      </w:r>
      <w:r>
        <w:t>,</w:t>
      </w:r>
      <w:r w:rsidRPr="000F0299">
        <w:t xml:space="preserve"> што би могло ути</w:t>
      </w:r>
      <w:r>
        <w:t>цати</w:t>
      </w:r>
      <w:r w:rsidRPr="000F0299">
        <w:t xml:space="preserve"> на ефикасност оснаживања капацитета. Ова опција би са једне стране могла имати и већу ефикасност у прилагођавању капацитета постављен</w:t>
      </w:r>
      <w:r>
        <w:t>им</w:t>
      </w:r>
      <w:r w:rsidRPr="000F0299">
        <w:t xml:space="preserve"> стандард</w:t>
      </w:r>
      <w:r>
        <w:t>има</w:t>
      </w:r>
      <w:r w:rsidRPr="000F0299">
        <w:t xml:space="preserve"> јер се </w:t>
      </w:r>
      <w:r>
        <w:t>не би</w:t>
      </w:r>
      <w:r w:rsidRPr="000F0299">
        <w:t xml:space="preserve"> чека</w:t>
      </w:r>
      <w:r>
        <w:t>ло</w:t>
      </w:r>
      <w:r w:rsidRPr="000F0299">
        <w:t xml:space="preserve"> </w:t>
      </w:r>
      <w:r>
        <w:t>да</w:t>
      </w:r>
      <w:r w:rsidRPr="000F0299">
        <w:t xml:space="preserve"> МДУЛС усклади капацитете са локалним потребама за услугама. </w:t>
      </w:r>
    </w:p>
    <w:p w14:paraId="3F64C7DD" w14:textId="77777777" w:rsidR="00EA509E" w:rsidRPr="000F0299" w:rsidRDefault="00EA509E" w:rsidP="00EA509E">
      <w:pPr>
        <w:keepNext/>
        <w:keepLines/>
        <w:spacing w:after="120"/>
        <w:ind w:firstLine="0"/>
        <w:outlineLvl w:val="4"/>
        <w:rPr>
          <w:rFonts w:eastAsiaTheme="majorEastAsia" w:cstheme="majorBidi"/>
          <w:color w:val="44546A" w:themeColor="text2"/>
          <w:lang w:eastAsia="en-GB"/>
        </w:rPr>
      </w:pPr>
      <w:r w:rsidRPr="000F0299">
        <w:rPr>
          <w:rFonts w:eastAsiaTheme="majorEastAsia" w:cstheme="majorBidi"/>
          <w:b/>
          <w:bCs/>
          <w:color w:val="44546A" w:themeColor="text2"/>
          <w:lang w:eastAsia="en-GB"/>
        </w:rPr>
        <w:t xml:space="preserve">Опција 6: </w:t>
      </w:r>
      <w:r w:rsidRPr="000F0299">
        <w:rPr>
          <w:rFonts w:eastAsiaTheme="majorEastAsia" w:cstheme="majorBidi"/>
          <w:color w:val="44546A" w:themeColor="text2"/>
          <w:lang w:eastAsia="en-GB"/>
        </w:rPr>
        <w:t xml:space="preserve">Унапређење система контроле и обезбеђења квалитета услуга </w:t>
      </w:r>
      <w:r>
        <w:rPr>
          <w:rFonts w:eastAsiaTheme="majorEastAsia" w:cstheme="majorBidi"/>
          <w:color w:val="44546A" w:themeColor="text2"/>
          <w:lang w:eastAsia="en-GB"/>
        </w:rPr>
        <w:t>тако што би се утврдила</w:t>
      </w:r>
      <w:r w:rsidRPr="000F0299">
        <w:rPr>
          <w:rFonts w:eastAsiaTheme="majorEastAsia" w:cstheme="majorBidi"/>
          <w:color w:val="44546A" w:themeColor="text2"/>
          <w:lang w:eastAsia="en-GB"/>
        </w:rPr>
        <w:t xml:space="preserve"> надлежност МДУЛС у овим областима </w:t>
      </w:r>
      <w:r>
        <w:rPr>
          <w:rFonts w:eastAsiaTheme="majorEastAsia" w:cstheme="majorBidi"/>
          <w:color w:val="44546A" w:themeColor="text2"/>
          <w:lang w:eastAsia="en-GB"/>
        </w:rPr>
        <w:t xml:space="preserve">и </w:t>
      </w:r>
      <w:r w:rsidRPr="000F0299">
        <w:rPr>
          <w:rFonts w:eastAsiaTheme="majorEastAsia" w:cstheme="majorBidi"/>
          <w:color w:val="44546A" w:themeColor="text2"/>
          <w:lang w:eastAsia="en-GB"/>
        </w:rPr>
        <w:t>осн</w:t>
      </w:r>
      <w:r>
        <w:rPr>
          <w:rFonts w:eastAsiaTheme="majorEastAsia" w:cstheme="majorBidi"/>
          <w:color w:val="44546A" w:themeColor="text2"/>
          <w:lang w:eastAsia="en-GB"/>
        </w:rPr>
        <w:t>овала</w:t>
      </w:r>
      <w:r w:rsidRPr="000F0299">
        <w:rPr>
          <w:rFonts w:eastAsiaTheme="majorEastAsia" w:cstheme="majorBidi"/>
          <w:color w:val="44546A" w:themeColor="text2"/>
          <w:lang w:eastAsia="en-GB"/>
        </w:rPr>
        <w:t xml:space="preserve"> посебн</w:t>
      </w:r>
      <w:r>
        <w:rPr>
          <w:rFonts w:eastAsiaTheme="majorEastAsia" w:cstheme="majorBidi"/>
          <w:color w:val="44546A" w:themeColor="text2"/>
          <w:lang w:eastAsia="en-GB"/>
        </w:rPr>
        <w:t>а</w:t>
      </w:r>
      <w:r w:rsidRPr="000F0299">
        <w:rPr>
          <w:rFonts w:eastAsiaTheme="majorEastAsia" w:cstheme="majorBidi"/>
          <w:color w:val="44546A" w:themeColor="text2"/>
          <w:lang w:eastAsia="en-GB"/>
        </w:rPr>
        <w:t xml:space="preserve"> организацион</w:t>
      </w:r>
      <w:r>
        <w:rPr>
          <w:rFonts w:eastAsiaTheme="majorEastAsia" w:cstheme="majorBidi"/>
          <w:color w:val="44546A" w:themeColor="text2"/>
          <w:lang w:eastAsia="en-GB"/>
        </w:rPr>
        <w:t>а</w:t>
      </w:r>
      <w:r w:rsidRPr="000F0299">
        <w:rPr>
          <w:rFonts w:eastAsiaTheme="majorEastAsia" w:cstheme="majorBidi"/>
          <w:color w:val="44546A" w:themeColor="text2"/>
          <w:lang w:eastAsia="en-GB"/>
        </w:rPr>
        <w:t xml:space="preserve"> целин</w:t>
      </w:r>
      <w:r>
        <w:rPr>
          <w:rFonts w:eastAsiaTheme="majorEastAsia" w:cstheme="majorBidi"/>
          <w:color w:val="44546A" w:themeColor="text2"/>
          <w:lang w:eastAsia="en-GB"/>
        </w:rPr>
        <w:t>а</w:t>
      </w:r>
      <w:r w:rsidRPr="000F0299">
        <w:rPr>
          <w:rFonts w:eastAsiaTheme="majorEastAsia" w:cstheme="majorBidi"/>
          <w:color w:val="44546A" w:themeColor="text2"/>
          <w:lang w:eastAsia="en-GB"/>
        </w:rPr>
        <w:t xml:space="preserve"> у </w:t>
      </w:r>
      <w:r>
        <w:rPr>
          <w:rFonts w:eastAsiaTheme="majorEastAsia" w:cstheme="majorBidi"/>
          <w:color w:val="44546A" w:themeColor="text2"/>
          <w:lang w:eastAsia="en-GB"/>
        </w:rPr>
        <w:t>МДУЛС</w:t>
      </w:r>
    </w:p>
    <w:p w14:paraId="18543A5C" w14:textId="77777777" w:rsidR="00EA509E" w:rsidRPr="000F0299" w:rsidRDefault="00EA509E" w:rsidP="00EA509E">
      <w:r w:rsidRPr="000F0299">
        <w:t>Процена ефеката ове опције с обзиром да се односи на начин успостављања новог система који се односи на услуге – кроз постојеће органе државне управе уз интензивну употребу екстерних професионалних услуга. С тим у вези процена ефеката би се заснивала на процени:</w:t>
      </w:r>
      <w:r w:rsidRPr="000F0299">
        <w:rPr>
          <w:b/>
          <w:bCs/>
        </w:rPr>
        <w:t xml:space="preserve"> </w:t>
      </w:r>
      <w:r w:rsidRPr="000F0299">
        <w:t>трошкова ангажовања додатне радне снаге,</w:t>
      </w:r>
      <w:r w:rsidRPr="000F0299">
        <w:rPr>
          <w:b/>
          <w:bCs/>
        </w:rPr>
        <w:t xml:space="preserve"> </w:t>
      </w:r>
      <w:r w:rsidRPr="000F0299">
        <w:t>трошкова набавке потребне опреме,</w:t>
      </w:r>
      <w:r w:rsidRPr="000F0299">
        <w:rPr>
          <w:b/>
          <w:bCs/>
        </w:rPr>
        <w:t xml:space="preserve"> </w:t>
      </w:r>
      <w:r w:rsidRPr="000F0299">
        <w:t>користи од унапређења квалитета пружених услуга,</w:t>
      </w:r>
      <w:r w:rsidRPr="000F0299">
        <w:rPr>
          <w:b/>
          <w:bCs/>
        </w:rPr>
        <w:t xml:space="preserve"> </w:t>
      </w:r>
      <w:r w:rsidRPr="000F0299">
        <w:t>комплексности успостављања нове организационе структуре,</w:t>
      </w:r>
      <w:r w:rsidRPr="000F0299">
        <w:rPr>
          <w:b/>
          <w:bCs/>
        </w:rPr>
        <w:t xml:space="preserve"> </w:t>
      </w:r>
      <w:r w:rsidRPr="000F0299">
        <w:t xml:space="preserve">утицаја организационе структуре на ефикасност контроле квалитета пружаних услуга као и трошкова континуираног мерења задовољства корисника ангажовањем екстерних агенција. </w:t>
      </w:r>
    </w:p>
    <w:p w14:paraId="724FA36D" w14:textId="21C6A252" w:rsidR="00EA509E" w:rsidRPr="000F0299" w:rsidRDefault="00EA509E" w:rsidP="00EA509E">
      <w:pPr>
        <w:keepNext/>
        <w:keepLines/>
        <w:spacing w:after="120"/>
        <w:ind w:firstLine="0"/>
        <w:outlineLvl w:val="4"/>
        <w:rPr>
          <w:rFonts w:eastAsiaTheme="majorEastAsia" w:cstheme="majorBidi"/>
          <w:color w:val="44546A" w:themeColor="text2"/>
          <w:lang w:eastAsia="en-GB"/>
        </w:rPr>
      </w:pPr>
      <w:r w:rsidRPr="000F0299">
        <w:rPr>
          <w:rFonts w:eastAsiaTheme="majorEastAsia" w:cstheme="majorBidi"/>
          <w:b/>
          <w:bCs/>
          <w:color w:val="44546A" w:themeColor="text2"/>
          <w:lang w:eastAsia="en-GB"/>
        </w:rPr>
        <w:t>Опција 7:</w:t>
      </w:r>
      <w:r w:rsidRPr="000F0299">
        <w:rPr>
          <w:rFonts w:eastAsiaTheme="majorEastAsia" w:cstheme="majorBidi"/>
          <w:color w:val="44546A" w:themeColor="text2"/>
          <w:lang w:eastAsia="en-GB"/>
        </w:rPr>
        <w:t xml:space="preserve">Унапређење система контроле и обезбеђења квалитета услуга </w:t>
      </w:r>
      <w:r>
        <w:rPr>
          <w:rFonts w:eastAsiaTheme="majorEastAsia" w:cstheme="majorBidi"/>
          <w:color w:val="44546A" w:themeColor="text2"/>
          <w:lang w:eastAsia="en-GB"/>
        </w:rPr>
        <w:t xml:space="preserve">тако што би се </w:t>
      </w:r>
      <w:r w:rsidRPr="000F0299">
        <w:rPr>
          <w:rFonts w:eastAsiaTheme="majorEastAsia" w:cstheme="majorBidi"/>
          <w:color w:val="44546A" w:themeColor="text2"/>
          <w:lang w:eastAsia="en-GB"/>
        </w:rPr>
        <w:t>осн</w:t>
      </w:r>
      <w:r>
        <w:rPr>
          <w:rFonts w:eastAsiaTheme="majorEastAsia" w:cstheme="majorBidi"/>
          <w:color w:val="44546A" w:themeColor="text2"/>
          <w:lang w:eastAsia="en-GB"/>
        </w:rPr>
        <w:t xml:space="preserve">овао </w:t>
      </w:r>
      <w:r w:rsidRPr="000F0299">
        <w:rPr>
          <w:rFonts w:eastAsiaTheme="majorEastAsia" w:cstheme="majorBidi"/>
          <w:color w:val="44546A" w:themeColor="text2"/>
          <w:lang w:eastAsia="en-GB"/>
        </w:rPr>
        <w:t xml:space="preserve">нов орган државне управе ком би </w:t>
      </w:r>
      <w:r>
        <w:rPr>
          <w:rFonts w:eastAsiaTheme="majorEastAsia" w:cstheme="majorBidi"/>
          <w:color w:val="44546A" w:themeColor="text2"/>
          <w:lang w:eastAsia="en-GB"/>
        </w:rPr>
        <w:t xml:space="preserve">се утврдила </w:t>
      </w:r>
      <w:r w:rsidRPr="000F0299">
        <w:rPr>
          <w:rFonts w:eastAsiaTheme="majorEastAsia" w:cstheme="majorBidi"/>
          <w:color w:val="44546A" w:themeColor="text2"/>
          <w:lang w:eastAsia="en-GB"/>
        </w:rPr>
        <w:t>надлежност у овим областима</w:t>
      </w:r>
    </w:p>
    <w:p w14:paraId="743D7BCA" w14:textId="77777777" w:rsidR="00EA509E" w:rsidRPr="000F0299" w:rsidRDefault="00EA509E" w:rsidP="00EA509E">
      <w:r w:rsidRPr="000F0299">
        <w:t xml:space="preserve">Унапређење система контроле и обезбеђења квалитета услуга </w:t>
      </w:r>
      <w:r>
        <w:t xml:space="preserve">тако што би се основао </w:t>
      </w:r>
      <w:r w:rsidRPr="000F0299">
        <w:t>нов орган државне управе ком би бил</w:t>
      </w:r>
      <w:r>
        <w:t xml:space="preserve">а утврђена </w:t>
      </w:r>
      <w:r w:rsidRPr="000F0299">
        <w:t>надлежност у овим областима обухвата процену трошкова ангажовања додатне радне снаге,</w:t>
      </w:r>
      <w:r w:rsidRPr="000F0299">
        <w:rPr>
          <w:b/>
          <w:bCs/>
        </w:rPr>
        <w:t xml:space="preserve"> </w:t>
      </w:r>
      <w:r w:rsidRPr="000F0299">
        <w:t>трошкова набавке потребне опреме,</w:t>
      </w:r>
      <w:r w:rsidRPr="000F0299">
        <w:rPr>
          <w:b/>
          <w:bCs/>
        </w:rPr>
        <w:t xml:space="preserve"> </w:t>
      </w:r>
      <w:r w:rsidRPr="000F0299">
        <w:t>користи од унапређења квалитета пружених услуга,</w:t>
      </w:r>
      <w:r w:rsidRPr="000F0299">
        <w:rPr>
          <w:b/>
          <w:bCs/>
        </w:rPr>
        <w:t xml:space="preserve"> </w:t>
      </w:r>
      <w:r w:rsidRPr="000F0299">
        <w:t>комплексности успостављања нове организационе структуре,</w:t>
      </w:r>
      <w:r w:rsidRPr="000F0299">
        <w:rPr>
          <w:b/>
          <w:bCs/>
        </w:rPr>
        <w:t xml:space="preserve"> </w:t>
      </w:r>
      <w:r w:rsidRPr="000F0299">
        <w:t xml:space="preserve">као и трошкова континуираног мерења задовољства корисника ангажовањем екстерних агенција. </w:t>
      </w:r>
    </w:p>
    <w:p w14:paraId="2C63CEB4" w14:textId="0BFDA231" w:rsidR="003D5E32" w:rsidRPr="000F0299" w:rsidRDefault="003D5E32">
      <w:pPr>
        <w:suppressAutoHyphens w:val="0"/>
        <w:autoSpaceDN/>
        <w:spacing w:before="0" w:after="160" w:line="259" w:lineRule="auto"/>
        <w:ind w:firstLine="0"/>
        <w:jc w:val="left"/>
        <w:textAlignment w:val="auto"/>
      </w:pPr>
      <w:r w:rsidRPr="000F0299">
        <w:br w:type="page"/>
      </w:r>
    </w:p>
    <w:p w14:paraId="0A049645" w14:textId="6FD81B6E" w:rsidR="009F5263" w:rsidRPr="00952BF5" w:rsidRDefault="009F5263" w:rsidP="009F5263">
      <w:pPr>
        <w:keepNext/>
        <w:spacing w:after="200"/>
        <w:rPr>
          <w:color w:val="44546A" w:themeColor="text2"/>
          <w:sz w:val="18"/>
          <w:szCs w:val="18"/>
        </w:rPr>
      </w:pPr>
      <w:bookmarkStart w:id="177" w:name="_Toc57665378"/>
      <w:r w:rsidRPr="00952BF5">
        <w:rPr>
          <w:color w:val="44546A" w:themeColor="text2"/>
          <w:sz w:val="18"/>
          <w:szCs w:val="18"/>
        </w:rPr>
        <w:t xml:space="preserve">Табела </w:t>
      </w:r>
      <w:r w:rsidRPr="00952BF5">
        <w:rPr>
          <w:color w:val="44546A" w:themeColor="text2"/>
          <w:sz w:val="18"/>
          <w:szCs w:val="18"/>
        </w:rPr>
        <w:fldChar w:fldCharType="begin"/>
      </w:r>
      <w:r w:rsidRPr="00952BF5">
        <w:rPr>
          <w:color w:val="44546A" w:themeColor="text2"/>
          <w:sz w:val="18"/>
          <w:szCs w:val="18"/>
        </w:rPr>
        <w:instrText xml:space="preserve"> SEQ Табела \* ARABIC </w:instrText>
      </w:r>
      <w:r w:rsidRPr="00952BF5">
        <w:rPr>
          <w:color w:val="44546A" w:themeColor="text2"/>
          <w:sz w:val="18"/>
          <w:szCs w:val="18"/>
        </w:rPr>
        <w:fldChar w:fldCharType="separate"/>
      </w:r>
      <w:r w:rsidR="00772172" w:rsidRPr="00952BF5">
        <w:rPr>
          <w:noProof/>
          <w:color w:val="44546A" w:themeColor="text2"/>
          <w:sz w:val="18"/>
          <w:szCs w:val="18"/>
        </w:rPr>
        <w:t>6</w:t>
      </w:r>
      <w:r w:rsidRPr="00952BF5">
        <w:rPr>
          <w:color w:val="44546A" w:themeColor="text2"/>
          <w:sz w:val="18"/>
          <w:szCs w:val="18"/>
        </w:rPr>
        <w:fldChar w:fldCharType="end"/>
      </w:r>
      <w:r w:rsidRPr="00952BF5">
        <w:rPr>
          <w:color w:val="44546A" w:themeColor="text2"/>
          <w:sz w:val="18"/>
          <w:szCs w:val="18"/>
        </w:rPr>
        <w:t xml:space="preserve"> Прорачун трошкова за опције</w:t>
      </w:r>
      <w:bookmarkEnd w:id="177"/>
    </w:p>
    <w:tbl>
      <w:tblPr>
        <w:tblStyle w:val="ListTable2-Accent31"/>
        <w:tblW w:w="5000" w:type="pct"/>
        <w:tblLook w:val="06A0" w:firstRow="1" w:lastRow="0" w:firstColumn="1" w:lastColumn="0" w:noHBand="1" w:noVBand="1"/>
      </w:tblPr>
      <w:tblGrid>
        <w:gridCol w:w="2184"/>
        <w:gridCol w:w="1208"/>
        <w:gridCol w:w="1216"/>
        <w:gridCol w:w="1116"/>
        <w:gridCol w:w="1116"/>
        <w:gridCol w:w="1116"/>
        <w:gridCol w:w="1116"/>
      </w:tblGrid>
      <w:tr w:rsidR="00EA509E" w:rsidRPr="000F0299" w14:paraId="4C3D1495" w14:textId="77777777" w:rsidTr="00EA509E">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04" w:type="pct"/>
            <w:shd w:val="clear" w:color="auto" w:fill="BFBFBF" w:themeFill="background1" w:themeFillShade="BF"/>
            <w:hideMark/>
          </w:tcPr>
          <w:p w14:paraId="773DFE4A" w14:textId="77777777" w:rsidR="00EA509E" w:rsidRPr="000F0299" w:rsidRDefault="00EA509E" w:rsidP="00EA509E">
            <w:pPr>
              <w:spacing w:before="0"/>
              <w:ind w:firstLine="0"/>
              <w:rPr>
                <w:b w:val="0"/>
                <w:bCs w:val="0"/>
                <w:sz w:val="20"/>
                <w:szCs w:val="20"/>
              </w:rPr>
            </w:pPr>
            <w:r w:rsidRPr="000F0299">
              <w:rPr>
                <w:b w:val="0"/>
                <w:bCs w:val="0"/>
                <w:sz w:val="20"/>
                <w:szCs w:val="20"/>
              </w:rPr>
              <w:t xml:space="preserve">У </w:t>
            </w:r>
            <w:r>
              <w:rPr>
                <w:b w:val="0"/>
                <w:bCs w:val="0"/>
                <w:sz w:val="20"/>
                <w:szCs w:val="20"/>
              </w:rPr>
              <w:t>динарима</w:t>
            </w:r>
            <w:r w:rsidRPr="000F0299">
              <w:rPr>
                <w:b w:val="0"/>
                <w:bCs w:val="0"/>
                <w:sz w:val="20"/>
                <w:szCs w:val="20"/>
              </w:rPr>
              <w:t>, годишње</w:t>
            </w:r>
          </w:p>
        </w:tc>
        <w:tc>
          <w:tcPr>
            <w:tcW w:w="666" w:type="pct"/>
            <w:shd w:val="clear" w:color="auto" w:fill="BFBFBF" w:themeFill="background1" w:themeFillShade="BF"/>
            <w:hideMark/>
          </w:tcPr>
          <w:p w14:paraId="205146E9" w14:textId="77777777" w:rsidR="00EA509E" w:rsidRPr="000F0299" w:rsidRDefault="00EA509E" w:rsidP="00EA509E">
            <w:pPr>
              <w:spacing w:before="0"/>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F0299">
              <w:rPr>
                <w:b w:val="0"/>
                <w:bCs w:val="0"/>
                <w:sz w:val="20"/>
                <w:szCs w:val="20"/>
              </w:rPr>
              <w:t>Опција 2</w:t>
            </w:r>
          </w:p>
        </w:tc>
        <w:tc>
          <w:tcPr>
            <w:tcW w:w="670" w:type="pct"/>
            <w:shd w:val="clear" w:color="auto" w:fill="BFBFBF" w:themeFill="background1" w:themeFillShade="BF"/>
            <w:hideMark/>
          </w:tcPr>
          <w:p w14:paraId="691A0D04" w14:textId="77777777" w:rsidR="00EA509E" w:rsidRPr="000F0299" w:rsidRDefault="00EA509E" w:rsidP="00EA509E">
            <w:pPr>
              <w:spacing w:before="0"/>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F0299">
              <w:rPr>
                <w:b w:val="0"/>
                <w:bCs w:val="0"/>
                <w:sz w:val="20"/>
                <w:szCs w:val="20"/>
              </w:rPr>
              <w:t>Опција 3</w:t>
            </w:r>
          </w:p>
        </w:tc>
        <w:tc>
          <w:tcPr>
            <w:tcW w:w="615" w:type="pct"/>
            <w:shd w:val="clear" w:color="auto" w:fill="BFBFBF" w:themeFill="background1" w:themeFillShade="BF"/>
            <w:hideMark/>
          </w:tcPr>
          <w:p w14:paraId="27725162" w14:textId="77777777" w:rsidR="00EA509E" w:rsidRPr="000F0299" w:rsidRDefault="00EA509E" w:rsidP="00EA509E">
            <w:pPr>
              <w:spacing w:before="0"/>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F0299">
              <w:rPr>
                <w:b w:val="0"/>
                <w:bCs w:val="0"/>
                <w:sz w:val="20"/>
                <w:szCs w:val="20"/>
              </w:rPr>
              <w:t>Опција 4</w:t>
            </w:r>
          </w:p>
        </w:tc>
        <w:tc>
          <w:tcPr>
            <w:tcW w:w="615" w:type="pct"/>
            <w:shd w:val="clear" w:color="auto" w:fill="BFBFBF" w:themeFill="background1" w:themeFillShade="BF"/>
            <w:hideMark/>
          </w:tcPr>
          <w:p w14:paraId="67A8EAE6" w14:textId="77777777" w:rsidR="00EA509E" w:rsidRPr="000F0299" w:rsidRDefault="00EA509E" w:rsidP="00EA509E">
            <w:pPr>
              <w:spacing w:before="0"/>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F0299">
              <w:rPr>
                <w:b w:val="0"/>
                <w:bCs w:val="0"/>
                <w:sz w:val="20"/>
                <w:szCs w:val="20"/>
              </w:rPr>
              <w:t>Опција 5</w:t>
            </w:r>
          </w:p>
        </w:tc>
        <w:tc>
          <w:tcPr>
            <w:tcW w:w="615" w:type="pct"/>
            <w:shd w:val="clear" w:color="auto" w:fill="BFBFBF" w:themeFill="background1" w:themeFillShade="BF"/>
            <w:hideMark/>
          </w:tcPr>
          <w:p w14:paraId="564872A3" w14:textId="77777777" w:rsidR="00EA509E" w:rsidRPr="000F0299" w:rsidRDefault="00EA509E" w:rsidP="00EA509E">
            <w:pPr>
              <w:spacing w:before="0"/>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F0299">
              <w:rPr>
                <w:b w:val="0"/>
                <w:bCs w:val="0"/>
                <w:sz w:val="20"/>
                <w:szCs w:val="20"/>
              </w:rPr>
              <w:t>Опција 6</w:t>
            </w:r>
          </w:p>
        </w:tc>
        <w:tc>
          <w:tcPr>
            <w:tcW w:w="615" w:type="pct"/>
            <w:shd w:val="clear" w:color="auto" w:fill="BFBFBF" w:themeFill="background1" w:themeFillShade="BF"/>
            <w:hideMark/>
          </w:tcPr>
          <w:p w14:paraId="3462C56F" w14:textId="77777777" w:rsidR="00EA509E" w:rsidRPr="000F0299" w:rsidRDefault="00EA509E" w:rsidP="00EA509E">
            <w:pPr>
              <w:spacing w:before="0"/>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F0299">
              <w:rPr>
                <w:b w:val="0"/>
                <w:bCs w:val="0"/>
                <w:sz w:val="20"/>
                <w:szCs w:val="20"/>
              </w:rPr>
              <w:t>Опција 7</w:t>
            </w:r>
          </w:p>
        </w:tc>
      </w:tr>
      <w:tr w:rsidR="00EA509E" w:rsidRPr="000F0299" w14:paraId="791259D2"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hideMark/>
          </w:tcPr>
          <w:p w14:paraId="5E4B6920" w14:textId="77777777" w:rsidR="00EA509E" w:rsidRPr="000F0299" w:rsidRDefault="00EA509E" w:rsidP="00EA509E">
            <w:pPr>
              <w:spacing w:before="0"/>
              <w:ind w:firstLine="0"/>
              <w:rPr>
                <w:sz w:val="20"/>
                <w:szCs w:val="20"/>
              </w:rPr>
            </w:pPr>
            <w:r w:rsidRPr="000F0299">
              <w:rPr>
                <w:sz w:val="20"/>
                <w:szCs w:val="20"/>
              </w:rPr>
              <w:t>Број запослених</w:t>
            </w:r>
          </w:p>
        </w:tc>
        <w:tc>
          <w:tcPr>
            <w:tcW w:w="666" w:type="pct"/>
            <w:hideMark/>
          </w:tcPr>
          <w:p w14:paraId="0E0CD808"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80</w:t>
            </w:r>
          </w:p>
        </w:tc>
        <w:tc>
          <w:tcPr>
            <w:tcW w:w="670" w:type="pct"/>
            <w:hideMark/>
          </w:tcPr>
          <w:p w14:paraId="1DC8517F"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80</w:t>
            </w:r>
          </w:p>
        </w:tc>
        <w:tc>
          <w:tcPr>
            <w:tcW w:w="615" w:type="pct"/>
            <w:hideMark/>
          </w:tcPr>
          <w:p w14:paraId="28EB3D85"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25</w:t>
            </w:r>
          </w:p>
        </w:tc>
        <w:tc>
          <w:tcPr>
            <w:tcW w:w="615" w:type="pct"/>
            <w:hideMark/>
          </w:tcPr>
          <w:p w14:paraId="63A3DCA0"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10</w:t>
            </w:r>
          </w:p>
        </w:tc>
        <w:tc>
          <w:tcPr>
            <w:tcW w:w="615" w:type="pct"/>
            <w:hideMark/>
          </w:tcPr>
          <w:p w14:paraId="2053C0A4"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40</w:t>
            </w:r>
          </w:p>
        </w:tc>
        <w:tc>
          <w:tcPr>
            <w:tcW w:w="615" w:type="pct"/>
            <w:hideMark/>
          </w:tcPr>
          <w:p w14:paraId="4812173D"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40</w:t>
            </w:r>
          </w:p>
        </w:tc>
      </w:tr>
      <w:tr w:rsidR="00EA509E" w:rsidRPr="000F0299" w14:paraId="05BF5D5C"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hideMark/>
          </w:tcPr>
          <w:p w14:paraId="500CC540" w14:textId="77777777" w:rsidR="00EA509E" w:rsidRPr="000F0299" w:rsidRDefault="00EA509E" w:rsidP="00EA509E">
            <w:pPr>
              <w:spacing w:before="0"/>
              <w:ind w:firstLine="0"/>
              <w:rPr>
                <w:sz w:val="20"/>
                <w:szCs w:val="20"/>
              </w:rPr>
            </w:pPr>
            <w:r w:rsidRPr="000F0299">
              <w:rPr>
                <w:sz w:val="20"/>
                <w:szCs w:val="20"/>
              </w:rPr>
              <w:t>Просечни годишњи трошкови рада по запосленом</w:t>
            </w:r>
          </w:p>
        </w:tc>
        <w:tc>
          <w:tcPr>
            <w:tcW w:w="666" w:type="pct"/>
            <w:hideMark/>
          </w:tcPr>
          <w:p w14:paraId="14F7FAC0"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w:t>
            </w:r>
            <w:r>
              <w:rPr>
                <w:sz w:val="20"/>
                <w:szCs w:val="20"/>
              </w:rPr>
              <w:t>.</w:t>
            </w:r>
            <w:r w:rsidRPr="000F0299">
              <w:rPr>
                <w:sz w:val="20"/>
                <w:szCs w:val="20"/>
              </w:rPr>
              <w:t>244</w:t>
            </w:r>
            <w:r>
              <w:rPr>
                <w:sz w:val="20"/>
                <w:szCs w:val="20"/>
              </w:rPr>
              <w:t>.</w:t>
            </w:r>
            <w:r w:rsidRPr="000F0299">
              <w:rPr>
                <w:sz w:val="20"/>
                <w:szCs w:val="20"/>
              </w:rPr>
              <w:t>681</w:t>
            </w:r>
          </w:p>
        </w:tc>
        <w:tc>
          <w:tcPr>
            <w:tcW w:w="670" w:type="pct"/>
            <w:hideMark/>
          </w:tcPr>
          <w:p w14:paraId="085B4AB4"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w:t>
            </w:r>
            <w:r>
              <w:rPr>
                <w:sz w:val="20"/>
                <w:szCs w:val="20"/>
              </w:rPr>
              <w:t>.</w:t>
            </w:r>
            <w:r w:rsidRPr="000F0299">
              <w:rPr>
                <w:sz w:val="20"/>
                <w:szCs w:val="20"/>
              </w:rPr>
              <w:t>643</w:t>
            </w:r>
            <w:r>
              <w:rPr>
                <w:sz w:val="20"/>
                <w:szCs w:val="20"/>
              </w:rPr>
              <w:t>.</w:t>
            </w:r>
            <w:r w:rsidRPr="000F0299">
              <w:rPr>
                <w:sz w:val="20"/>
                <w:szCs w:val="20"/>
              </w:rPr>
              <w:t>678</w:t>
            </w:r>
          </w:p>
        </w:tc>
        <w:tc>
          <w:tcPr>
            <w:tcW w:w="615" w:type="pct"/>
            <w:hideMark/>
          </w:tcPr>
          <w:p w14:paraId="314DA2A6"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w:t>
            </w:r>
            <w:r>
              <w:rPr>
                <w:sz w:val="20"/>
                <w:szCs w:val="20"/>
              </w:rPr>
              <w:t>.</w:t>
            </w:r>
            <w:r w:rsidRPr="000F0299">
              <w:rPr>
                <w:sz w:val="20"/>
                <w:szCs w:val="20"/>
              </w:rPr>
              <w:t>244</w:t>
            </w:r>
            <w:r>
              <w:rPr>
                <w:sz w:val="20"/>
                <w:szCs w:val="20"/>
              </w:rPr>
              <w:t>.</w:t>
            </w:r>
            <w:r w:rsidRPr="000F0299">
              <w:rPr>
                <w:sz w:val="20"/>
                <w:szCs w:val="20"/>
              </w:rPr>
              <w:t>681</w:t>
            </w:r>
          </w:p>
        </w:tc>
        <w:tc>
          <w:tcPr>
            <w:tcW w:w="615" w:type="pct"/>
            <w:hideMark/>
          </w:tcPr>
          <w:p w14:paraId="0A658A2F"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w:t>
            </w:r>
            <w:r>
              <w:rPr>
                <w:sz w:val="20"/>
                <w:szCs w:val="20"/>
              </w:rPr>
              <w:t>.</w:t>
            </w:r>
            <w:r w:rsidRPr="000F0299">
              <w:rPr>
                <w:sz w:val="20"/>
                <w:szCs w:val="20"/>
              </w:rPr>
              <w:t>244</w:t>
            </w:r>
            <w:r>
              <w:rPr>
                <w:sz w:val="20"/>
                <w:szCs w:val="20"/>
              </w:rPr>
              <w:t>.</w:t>
            </w:r>
            <w:r w:rsidRPr="000F0299">
              <w:rPr>
                <w:sz w:val="20"/>
                <w:szCs w:val="20"/>
              </w:rPr>
              <w:t>681</w:t>
            </w:r>
          </w:p>
        </w:tc>
        <w:tc>
          <w:tcPr>
            <w:tcW w:w="615" w:type="pct"/>
            <w:hideMark/>
          </w:tcPr>
          <w:p w14:paraId="7472D250"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w:t>
            </w:r>
            <w:r>
              <w:rPr>
                <w:sz w:val="20"/>
                <w:szCs w:val="20"/>
              </w:rPr>
              <w:t>.</w:t>
            </w:r>
            <w:r w:rsidRPr="000F0299">
              <w:rPr>
                <w:sz w:val="20"/>
                <w:szCs w:val="20"/>
              </w:rPr>
              <w:t>244</w:t>
            </w:r>
            <w:r>
              <w:rPr>
                <w:sz w:val="20"/>
                <w:szCs w:val="20"/>
              </w:rPr>
              <w:t>.</w:t>
            </w:r>
            <w:r w:rsidRPr="000F0299">
              <w:rPr>
                <w:sz w:val="20"/>
                <w:szCs w:val="20"/>
              </w:rPr>
              <w:t>681</w:t>
            </w:r>
          </w:p>
        </w:tc>
        <w:tc>
          <w:tcPr>
            <w:tcW w:w="615" w:type="pct"/>
            <w:hideMark/>
          </w:tcPr>
          <w:p w14:paraId="73FB2B77"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w:t>
            </w:r>
            <w:r>
              <w:rPr>
                <w:sz w:val="20"/>
                <w:szCs w:val="20"/>
              </w:rPr>
              <w:t>.</w:t>
            </w:r>
            <w:r w:rsidRPr="000F0299">
              <w:rPr>
                <w:sz w:val="20"/>
                <w:szCs w:val="20"/>
              </w:rPr>
              <w:t>643</w:t>
            </w:r>
            <w:r>
              <w:rPr>
                <w:sz w:val="20"/>
                <w:szCs w:val="20"/>
              </w:rPr>
              <w:t>.</w:t>
            </w:r>
            <w:r w:rsidRPr="000F0299">
              <w:rPr>
                <w:sz w:val="20"/>
                <w:szCs w:val="20"/>
              </w:rPr>
              <w:t>678</w:t>
            </w:r>
          </w:p>
        </w:tc>
      </w:tr>
      <w:tr w:rsidR="00EA509E" w:rsidRPr="000F0299" w14:paraId="7C92D97F"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shd w:val="clear" w:color="auto" w:fill="E7E6E6" w:themeFill="background2"/>
            <w:hideMark/>
          </w:tcPr>
          <w:p w14:paraId="196D3FE8" w14:textId="77777777" w:rsidR="00EA509E" w:rsidRPr="000F0299" w:rsidRDefault="00EA509E" w:rsidP="00EA509E">
            <w:pPr>
              <w:spacing w:before="0"/>
              <w:ind w:firstLine="0"/>
              <w:rPr>
                <w:b w:val="0"/>
                <w:bCs w:val="0"/>
                <w:sz w:val="20"/>
                <w:szCs w:val="20"/>
              </w:rPr>
            </w:pPr>
            <w:r w:rsidRPr="000F0299">
              <w:rPr>
                <w:b w:val="0"/>
                <w:bCs w:val="0"/>
                <w:sz w:val="20"/>
                <w:szCs w:val="20"/>
              </w:rPr>
              <w:t>Укупни годишњи трошкови рада</w:t>
            </w:r>
          </w:p>
        </w:tc>
        <w:tc>
          <w:tcPr>
            <w:tcW w:w="666" w:type="pct"/>
            <w:shd w:val="clear" w:color="auto" w:fill="E7E6E6" w:themeFill="background2"/>
            <w:hideMark/>
          </w:tcPr>
          <w:p w14:paraId="0F396493"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99</w:t>
            </w:r>
            <w:r>
              <w:rPr>
                <w:sz w:val="20"/>
                <w:szCs w:val="20"/>
              </w:rPr>
              <w:t>.</w:t>
            </w:r>
            <w:r w:rsidRPr="000F0299">
              <w:rPr>
                <w:sz w:val="20"/>
                <w:szCs w:val="20"/>
              </w:rPr>
              <w:t>574</w:t>
            </w:r>
            <w:r>
              <w:rPr>
                <w:sz w:val="20"/>
                <w:szCs w:val="20"/>
              </w:rPr>
              <w:t>.</w:t>
            </w:r>
            <w:r w:rsidRPr="000F0299">
              <w:rPr>
                <w:sz w:val="20"/>
                <w:szCs w:val="20"/>
              </w:rPr>
              <w:t>483</w:t>
            </w:r>
          </w:p>
        </w:tc>
        <w:tc>
          <w:tcPr>
            <w:tcW w:w="670" w:type="pct"/>
            <w:shd w:val="clear" w:color="auto" w:fill="E7E6E6" w:themeFill="background2"/>
            <w:hideMark/>
          </w:tcPr>
          <w:p w14:paraId="27D42535"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131</w:t>
            </w:r>
            <w:r>
              <w:rPr>
                <w:sz w:val="20"/>
                <w:szCs w:val="20"/>
              </w:rPr>
              <w:t>.</w:t>
            </w:r>
            <w:r w:rsidRPr="000F0299">
              <w:rPr>
                <w:sz w:val="20"/>
                <w:szCs w:val="20"/>
              </w:rPr>
              <w:t>494</w:t>
            </w:r>
            <w:r>
              <w:rPr>
                <w:sz w:val="20"/>
                <w:szCs w:val="20"/>
              </w:rPr>
              <w:t>.</w:t>
            </w:r>
            <w:r w:rsidRPr="000F0299">
              <w:rPr>
                <w:sz w:val="20"/>
                <w:szCs w:val="20"/>
              </w:rPr>
              <w:t>253</w:t>
            </w:r>
          </w:p>
        </w:tc>
        <w:tc>
          <w:tcPr>
            <w:tcW w:w="615" w:type="pct"/>
            <w:shd w:val="clear" w:color="auto" w:fill="E7E6E6" w:themeFill="background2"/>
            <w:hideMark/>
          </w:tcPr>
          <w:p w14:paraId="10A438E0"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31</w:t>
            </w:r>
            <w:r>
              <w:rPr>
                <w:sz w:val="20"/>
                <w:szCs w:val="20"/>
              </w:rPr>
              <w:t>.</w:t>
            </w:r>
            <w:r w:rsidRPr="000F0299">
              <w:rPr>
                <w:sz w:val="20"/>
                <w:szCs w:val="20"/>
              </w:rPr>
              <w:t>117</w:t>
            </w:r>
            <w:r>
              <w:rPr>
                <w:sz w:val="20"/>
                <w:szCs w:val="20"/>
              </w:rPr>
              <w:t>.</w:t>
            </w:r>
            <w:r w:rsidRPr="000F0299">
              <w:rPr>
                <w:sz w:val="20"/>
                <w:szCs w:val="20"/>
              </w:rPr>
              <w:t>026</w:t>
            </w:r>
          </w:p>
        </w:tc>
        <w:tc>
          <w:tcPr>
            <w:tcW w:w="615" w:type="pct"/>
            <w:shd w:val="clear" w:color="auto" w:fill="E7E6E6" w:themeFill="background2"/>
            <w:hideMark/>
          </w:tcPr>
          <w:p w14:paraId="07269BF5"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12</w:t>
            </w:r>
            <w:r>
              <w:rPr>
                <w:sz w:val="20"/>
                <w:szCs w:val="20"/>
              </w:rPr>
              <w:t>.</w:t>
            </w:r>
            <w:r w:rsidRPr="000F0299">
              <w:rPr>
                <w:sz w:val="20"/>
                <w:szCs w:val="20"/>
              </w:rPr>
              <w:t>446</w:t>
            </w:r>
            <w:r>
              <w:rPr>
                <w:sz w:val="20"/>
                <w:szCs w:val="20"/>
              </w:rPr>
              <w:t>.</w:t>
            </w:r>
            <w:r w:rsidRPr="000F0299">
              <w:rPr>
                <w:sz w:val="20"/>
                <w:szCs w:val="20"/>
              </w:rPr>
              <w:t>810</w:t>
            </w:r>
          </w:p>
        </w:tc>
        <w:tc>
          <w:tcPr>
            <w:tcW w:w="615" w:type="pct"/>
            <w:shd w:val="clear" w:color="auto" w:fill="E7E6E6" w:themeFill="background2"/>
            <w:hideMark/>
          </w:tcPr>
          <w:p w14:paraId="6F39AA6B"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49</w:t>
            </w:r>
            <w:r>
              <w:rPr>
                <w:sz w:val="20"/>
                <w:szCs w:val="20"/>
              </w:rPr>
              <w:t>.</w:t>
            </w:r>
            <w:r w:rsidRPr="000F0299">
              <w:rPr>
                <w:sz w:val="20"/>
                <w:szCs w:val="20"/>
              </w:rPr>
              <w:t>787</w:t>
            </w:r>
            <w:r>
              <w:rPr>
                <w:sz w:val="20"/>
                <w:szCs w:val="20"/>
              </w:rPr>
              <w:t>.</w:t>
            </w:r>
            <w:r w:rsidRPr="000F0299">
              <w:rPr>
                <w:sz w:val="20"/>
                <w:szCs w:val="20"/>
              </w:rPr>
              <w:t>241</w:t>
            </w:r>
          </w:p>
        </w:tc>
        <w:tc>
          <w:tcPr>
            <w:tcW w:w="615" w:type="pct"/>
            <w:shd w:val="clear" w:color="auto" w:fill="E7E6E6" w:themeFill="background2"/>
            <w:hideMark/>
          </w:tcPr>
          <w:p w14:paraId="124BAF5A"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65</w:t>
            </w:r>
            <w:r>
              <w:rPr>
                <w:sz w:val="20"/>
                <w:szCs w:val="20"/>
              </w:rPr>
              <w:t>.</w:t>
            </w:r>
            <w:r w:rsidRPr="000F0299">
              <w:rPr>
                <w:sz w:val="20"/>
                <w:szCs w:val="20"/>
              </w:rPr>
              <w:t>747</w:t>
            </w:r>
            <w:r>
              <w:rPr>
                <w:sz w:val="20"/>
                <w:szCs w:val="20"/>
              </w:rPr>
              <w:t>.</w:t>
            </w:r>
            <w:r w:rsidRPr="000F0299">
              <w:rPr>
                <w:sz w:val="20"/>
                <w:szCs w:val="20"/>
              </w:rPr>
              <w:t>126</w:t>
            </w:r>
          </w:p>
        </w:tc>
      </w:tr>
      <w:tr w:rsidR="00EA509E" w:rsidRPr="000F0299" w14:paraId="257422DA"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hideMark/>
          </w:tcPr>
          <w:p w14:paraId="28AEDA1E" w14:textId="77777777" w:rsidR="00EA509E" w:rsidRPr="000F0299" w:rsidRDefault="00EA509E" w:rsidP="00EA509E">
            <w:pPr>
              <w:spacing w:before="0"/>
              <w:ind w:firstLine="0"/>
              <w:rPr>
                <w:sz w:val="20"/>
                <w:szCs w:val="20"/>
              </w:rPr>
            </w:pPr>
            <w:r w:rsidRPr="000F0299">
              <w:rPr>
                <w:sz w:val="20"/>
                <w:szCs w:val="20"/>
              </w:rPr>
              <w:t>Просечни режијски трошкови по запосленом</w:t>
            </w:r>
          </w:p>
        </w:tc>
        <w:tc>
          <w:tcPr>
            <w:tcW w:w="666" w:type="pct"/>
            <w:hideMark/>
          </w:tcPr>
          <w:p w14:paraId="56F289D6"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91</w:t>
            </w:r>
            <w:r>
              <w:rPr>
                <w:sz w:val="20"/>
                <w:szCs w:val="20"/>
              </w:rPr>
              <w:t>.</w:t>
            </w:r>
            <w:r w:rsidRPr="000F0299">
              <w:rPr>
                <w:sz w:val="20"/>
                <w:szCs w:val="20"/>
              </w:rPr>
              <w:t>500</w:t>
            </w:r>
          </w:p>
        </w:tc>
        <w:tc>
          <w:tcPr>
            <w:tcW w:w="670" w:type="pct"/>
            <w:hideMark/>
          </w:tcPr>
          <w:p w14:paraId="319EC7E3"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91</w:t>
            </w:r>
            <w:r>
              <w:rPr>
                <w:sz w:val="20"/>
                <w:szCs w:val="20"/>
              </w:rPr>
              <w:t>.</w:t>
            </w:r>
            <w:r w:rsidRPr="000F0299">
              <w:rPr>
                <w:sz w:val="20"/>
                <w:szCs w:val="20"/>
              </w:rPr>
              <w:t>500</w:t>
            </w:r>
          </w:p>
        </w:tc>
        <w:tc>
          <w:tcPr>
            <w:tcW w:w="615" w:type="pct"/>
            <w:hideMark/>
          </w:tcPr>
          <w:p w14:paraId="33670D95"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91</w:t>
            </w:r>
            <w:r>
              <w:rPr>
                <w:sz w:val="20"/>
                <w:szCs w:val="20"/>
              </w:rPr>
              <w:t>.</w:t>
            </w:r>
            <w:r w:rsidRPr="000F0299">
              <w:rPr>
                <w:sz w:val="20"/>
                <w:szCs w:val="20"/>
              </w:rPr>
              <w:t>500</w:t>
            </w:r>
          </w:p>
        </w:tc>
        <w:tc>
          <w:tcPr>
            <w:tcW w:w="615" w:type="pct"/>
            <w:hideMark/>
          </w:tcPr>
          <w:p w14:paraId="1380D6DD"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91</w:t>
            </w:r>
            <w:r>
              <w:rPr>
                <w:sz w:val="20"/>
                <w:szCs w:val="20"/>
              </w:rPr>
              <w:t>.</w:t>
            </w:r>
            <w:r w:rsidRPr="000F0299">
              <w:rPr>
                <w:sz w:val="20"/>
                <w:szCs w:val="20"/>
              </w:rPr>
              <w:t>500</w:t>
            </w:r>
          </w:p>
        </w:tc>
        <w:tc>
          <w:tcPr>
            <w:tcW w:w="615" w:type="pct"/>
            <w:hideMark/>
          </w:tcPr>
          <w:p w14:paraId="50BF8592"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91</w:t>
            </w:r>
            <w:r>
              <w:rPr>
                <w:sz w:val="20"/>
                <w:szCs w:val="20"/>
              </w:rPr>
              <w:t>.</w:t>
            </w:r>
            <w:r w:rsidRPr="000F0299">
              <w:rPr>
                <w:sz w:val="20"/>
                <w:szCs w:val="20"/>
              </w:rPr>
              <w:t>500</w:t>
            </w:r>
          </w:p>
        </w:tc>
        <w:tc>
          <w:tcPr>
            <w:tcW w:w="615" w:type="pct"/>
            <w:hideMark/>
          </w:tcPr>
          <w:p w14:paraId="5E740F19"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91</w:t>
            </w:r>
            <w:r>
              <w:rPr>
                <w:sz w:val="20"/>
                <w:szCs w:val="20"/>
              </w:rPr>
              <w:t>.</w:t>
            </w:r>
            <w:r w:rsidRPr="000F0299">
              <w:rPr>
                <w:sz w:val="20"/>
                <w:szCs w:val="20"/>
              </w:rPr>
              <w:t>500</w:t>
            </w:r>
          </w:p>
        </w:tc>
      </w:tr>
      <w:tr w:rsidR="00EA509E" w:rsidRPr="000F0299" w14:paraId="069254E5"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hideMark/>
          </w:tcPr>
          <w:p w14:paraId="7369C6D4" w14:textId="77777777" w:rsidR="00EA509E" w:rsidRPr="000F0299" w:rsidRDefault="00EA509E" w:rsidP="00EA509E">
            <w:pPr>
              <w:spacing w:before="0"/>
              <w:ind w:firstLine="0"/>
              <w:rPr>
                <w:sz w:val="20"/>
                <w:szCs w:val="20"/>
              </w:rPr>
            </w:pPr>
            <w:r w:rsidRPr="000F0299">
              <w:rPr>
                <w:sz w:val="20"/>
                <w:szCs w:val="20"/>
              </w:rPr>
              <w:t>Просечни трошкови канцеларијског материјала по запосленом</w:t>
            </w:r>
          </w:p>
        </w:tc>
        <w:tc>
          <w:tcPr>
            <w:tcW w:w="666" w:type="pct"/>
            <w:hideMark/>
          </w:tcPr>
          <w:p w14:paraId="3BFDB7B7"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42</w:t>
            </w:r>
            <w:r>
              <w:rPr>
                <w:sz w:val="20"/>
                <w:szCs w:val="20"/>
              </w:rPr>
              <w:t>.</w:t>
            </w:r>
            <w:r w:rsidRPr="000F0299">
              <w:rPr>
                <w:sz w:val="20"/>
                <w:szCs w:val="20"/>
              </w:rPr>
              <w:t>254</w:t>
            </w:r>
          </w:p>
        </w:tc>
        <w:tc>
          <w:tcPr>
            <w:tcW w:w="670" w:type="pct"/>
            <w:hideMark/>
          </w:tcPr>
          <w:p w14:paraId="0F7DB556"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42</w:t>
            </w:r>
            <w:r>
              <w:rPr>
                <w:sz w:val="20"/>
                <w:szCs w:val="20"/>
              </w:rPr>
              <w:t>.</w:t>
            </w:r>
            <w:r w:rsidRPr="000F0299">
              <w:rPr>
                <w:sz w:val="20"/>
                <w:szCs w:val="20"/>
              </w:rPr>
              <w:t>254</w:t>
            </w:r>
          </w:p>
        </w:tc>
        <w:tc>
          <w:tcPr>
            <w:tcW w:w="615" w:type="pct"/>
            <w:hideMark/>
          </w:tcPr>
          <w:p w14:paraId="64A24D27"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42</w:t>
            </w:r>
            <w:r>
              <w:rPr>
                <w:sz w:val="20"/>
                <w:szCs w:val="20"/>
              </w:rPr>
              <w:t>.</w:t>
            </w:r>
            <w:r w:rsidRPr="000F0299">
              <w:rPr>
                <w:sz w:val="20"/>
                <w:szCs w:val="20"/>
              </w:rPr>
              <w:t>254</w:t>
            </w:r>
          </w:p>
        </w:tc>
        <w:tc>
          <w:tcPr>
            <w:tcW w:w="615" w:type="pct"/>
            <w:hideMark/>
          </w:tcPr>
          <w:p w14:paraId="4176B1C0"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42</w:t>
            </w:r>
            <w:r>
              <w:rPr>
                <w:sz w:val="20"/>
                <w:szCs w:val="20"/>
              </w:rPr>
              <w:t>.</w:t>
            </w:r>
            <w:r w:rsidRPr="000F0299">
              <w:rPr>
                <w:sz w:val="20"/>
                <w:szCs w:val="20"/>
              </w:rPr>
              <w:t>254</w:t>
            </w:r>
          </w:p>
        </w:tc>
        <w:tc>
          <w:tcPr>
            <w:tcW w:w="615" w:type="pct"/>
            <w:hideMark/>
          </w:tcPr>
          <w:p w14:paraId="018DF1C3"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42</w:t>
            </w:r>
            <w:r>
              <w:rPr>
                <w:sz w:val="20"/>
                <w:szCs w:val="20"/>
              </w:rPr>
              <w:t>.</w:t>
            </w:r>
            <w:r w:rsidRPr="000F0299">
              <w:rPr>
                <w:sz w:val="20"/>
                <w:szCs w:val="20"/>
              </w:rPr>
              <w:t>254</w:t>
            </w:r>
          </w:p>
        </w:tc>
        <w:tc>
          <w:tcPr>
            <w:tcW w:w="615" w:type="pct"/>
            <w:hideMark/>
          </w:tcPr>
          <w:p w14:paraId="3D80859B"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42</w:t>
            </w:r>
            <w:r>
              <w:rPr>
                <w:sz w:val="20"/>
                <w:szCs w:val="20"/>
              </w:rPr>
              <w:t>.</w:t>
            </w:r>
            <w:r w:rsidRPr="000F0299">
              <w:rPr>
                <w:sz w:val="20"/>
                <w:szCs w:val="20"/>
              </w:rPr>
              <w:t>254</w:t>
            </w:r>
          </w:p>
        </w:tc>
      </w:tr>
      <w:tr w:rsidR="00EA509E" w:rsidRPr="000F0299" w14:paraId="0F4CE04D"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shd w:val="clear" w:color="auto" w:fill="E7E6E6" w:themeFill="background2"/>
            <w:hideMark/>
          </w:tcPr>
          <w:p w14:paraId="36CF7C01" w14:textId="77777777" w:rsidR="00EA509E" w:rsidRPr="000F0299" w:rsidRDefault="00EA509E" w:rsidP="00EA509E">
            <w:pPr>
              <w:spacing w:before="0"/>
              <w:ind w:firstLine="0"/>
              <w:rPr>
                <w:b w:val="0"/>
                <w:bCs w:val="0"/>
                <w:sz w:val="20"/>
                <w:szCs w:val="20"/>
              </w:rPr>
            </w:pPr>
            <w:r w:rsidRPr="000F0299">
              <w:rPr>
                <w:b w:val="0"/>
                <w:bCs w:val="0"/>
                <w:sz w:val="20"/>
                <w:szCs w:val="20"/>
              </w:rPr>
              <w:t>Укупни годишњи материјални трошкови</w:t>
            </w:r>
          </w:p>
        </w:tc>
        <w:tc>
          <w:tcPr>
            <w:tcW w:w="666" w:type="pct"/>
            <w:shd w:val="clear" w:color="auto" w:fill="E7E6E6" w:themeFill="background2"/>
            <w:hideMark/>
          </w:tcPr>
          <w:p w14:paraId="50D50FA6"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10</w:t>
            </w:r>
            <w:r>
              <w:rPr>
                <w:sz w:val="20"/>
                <w:szCs w:val="20"/>
              </w:rPr>
              <w:t>.</w:t>
            </w:r>
            <w:r w:rsidRPr="000F0299">
              <w:rPr>
                <w:sz w:val="20"/>
                <w:szCs w:val="20"/>
              </w:rPr>
              <w:t>700</w:t>
            </w:r>
            <w:r>
              <w:rPr>
                <w:sz w:val="20"/>
                <w:szCs w:val="20"/>
              </w:rPr>
              <w:t>.</w:t>
            </w:r>
            <w:r w:rsidRPr="000F0299">
              <w:rPr>
                <w:sz w:val="20"/>
                <w:szCs w:val="20"/>
              </w:rPr>
              <w:t>320</w:t>
            </w:r>
          </w:p>
        </w:tc>
        <w:tc>
          <w:tcPr>
            <w:tcW w:w="670" w:type="pct"/>
            <w:shd w:val="clear" w:color="auto" w:fill="E7E6E6" w:themeFill="background2"/>
            <w:hideMark/>
          </w:tcPr>
          <w:p w14:paraId="18C6329E"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10</w:t>
            </w:r>
            <w:r>
              <w:rPr>
                <w:sz w:val="20"/>
                <w:szCs w:val="20"/>
              </w:rPr>
              <w:t>.</w:t>
            </w:r>
            <w:r w:rsidRPr="000F0299">
              <w:rPr>
                <w:sz w:val="20"/>
                <w:szCs w:val="20"/>
              </w:rPr>
              <w:t>700</w:t>
            </w:r>
            <w:r>
              <w:rPr>
                <w:sz w:val="20"/>
                <w:szCs w:val="20"/>
              </w:rPr>
              <w:t>.</w:t>
            </w:r>
            <w:r w:rsidRPr="000F0299">
              <w:rPr>
                <w:sz w:val="20"/>
                <w:szCs w:val="20"/>
              </w:rPr>
              <w:t>320</w:t>
            </w:r>
          </w:p>
        </w:tc>
        <w:tc>
          <w:tcPr>
            <w:tcW w:w="615" w:type="pct"/>
            <w:shd w:val="clear" w:color="auto" w:fill="E7E6E6" w:themeFill="background2"/>
            <w:hideMark/>
          </w:tcPr>
          <w:p w14:paraId="06908CAD"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10</w:t>
            </w:r>
            <w:r>
              <w:rPr>
                <w:sz w:val="20"/>
                <w:szCs w:val="20"/>
              </w:rPr>
              <w:t>.</w:t>
            </w:r>
            <w:r w:rsidRPr="000F0299">
              <w:rPr>
                <w:sz w:val="20"/>
                <w:szCs w:val="20"/>
              </w:rPr>
              <w:t>700</w:t>
            </w:r>
            <w:r>
              <w:rPr>
                <w:sz w:val="20"/>
                <w:szCs w:val="20"/>
              </w:rPr>
              <w:t>.</w:t>
            </w:r>
            <w:r w:rsidRPr="000F0299">
              <w:rPr>
                <w:sz w:val="20"/>
                <w:szCs w:val="20"/>
              </w:rPr>
              <w:t>320</w:t>
            </w:r>
          </w:p>
        </w:tc>
        <w:tc>
          <w:tcPr>
            <w:tcW w:w="615" w:type="pct"/>
            <w:shd w:val="clear" w:color="auto" w:fill="E7E6E6" w:themeFill="background2"/>
            <w:hideMark/>
          </w:tcPr>
          <w:p w14:paraId="727181F1"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10</w:t>
            </w:r>
            <w:r>
              <w:rPr>
                <w:sz w:val="20"/>
                <w:szCs w:val="20"/>
              </w:rPr>
              <w:t>.</w:t>
            </w:r>
            <w:r w:rsidRPr="000F0299">
              <w:rPr>
                <w:sz w:val="20"/>
                <w:szCs w:val="20"/>
              </w:rPr>
              <w:t>700</w:t>
            </w:r>
            <w:r>
              <w:rPr>
                <w:sz w:val="20"/>
                <w:szCs w:val="20"/>
              </w:rPr>
              <w:t>.</w:t>
            </w:r>
            <w:r w:rsidRPr="000F0299">
              <w:rPr>
                <w:sz w:val="20"/>
                <w:szCs w:val="20"/>
              </w:rPr>
              <w:t>320</w:t>
            </w:r>
          </w:p>
        </w:tc>
        <w:tc>
          <w:tcPr>
            <w:tcW w:w="615" w:type="pct"/>
            <w:shd w:val="clear" w:color="auto" w:fill="E7E6E6" w:themeFill="background2"/>
            <w:hideMark/>
          </w:tcPr>
          <w:p w14:paraId="0792E421"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10</w:t>
            </w:r>
            <w:r>
              <w:rPr>
                <w:sz w:val="20"/>
                <w:szCs w:val="20"/>
              </w:rPr>
              <w:t>.</w:t>
            </w:r>
            <w:r w:rsidRPr="000F0299">
              <w:rPr>
                <w:sz w:val="20"/>
                <w:szCs w:val="20"/>
              </w:rPr>
              <w:t>700</w:t>
            </w:r>
            <w:r>
              <w:rPr>
                <w:sz w:val="20"/>
                <w:szCs w:val="20"/>
              </w:rPr>
              <w:t>.</w:t>
            </w:r>
            <w:r w:rsidRPr="000F0299">
              <w:rPr>
                <w:sz w:val="20"/>
                <w:szCs w:val="20"/>
              </w:rPr>
              <w:t>320</w:t>
            </w:r>
          </w:p>
        </w:tc>
        <w:tc>
          <w:tcPr>
            <w:tcW w:w="615" w:type="pct"/>
            <w:shd w:val="clear" w:color="auto" w:fill="E7E6E6" w:themeFill="background2"/>
            <w:hideMark/>
          </w:tcPr>
          <w:p w14:paraId="294676EB"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10</w:t>
            </w:r>
            <w:r>
              <w:rPr>
                <w:sz w:val="20"/>
                <w:szCs w:val="20"/>
              </w:rPr>
              <w:t>.</w:t>
            </w:r>
            <w:r w:rsidRPr="000F0299">
              <w:rPr>
                <w:sz w:val="20"/>
                <w:szCs w:val="20"/>
              </w:rPr>
              <w:t>700</w:t>
            </w:r>
            <w:r>
              <w:rPr>
                <w:sz w:val="20"/>
                <w:szCs w:val="20"/>
              </w:rPr>
              <w:t>.</w:t>
            </w:r>
            <w:r w:rsidRPr="000F0299">
              <w:rPr>
                <w:sz w:val="20"/>
                <w:szCs w:val="20"/>
              </w:rPr>
              <w:t>320</w:t>
            </w:r>
          </w:p>
        </w:tc>
      </w:tr>
      <w:tr w:rsidR="00EA509E" w:rsidRPr="000F0299" w14:paraId="4172FAFD"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shd w:val="clear" w:color="auto" w:fill="DEEAF6" w:themeFill="accent5" w:themeFillTint="33"/>
            <w:hideMark/>
          </w:tcPr>
          <w:p w14:paraId="1345B607" w14:textId="77777777" w:rsidR="00EA509E" w:rsidRPr="000F0299" w:rsidRDefault="00EA509E" w:rsidP="00EA509E">
            <w:pPr>
              <w:spacing w:before="0"/>
              <w:ind w:firstLine="0"/>
              <w:rPr>
                <w:b w:val="0"/>
                <w:bCs w:val="0"/>
                <w:sz w:val="20"/>
                <w:szCs w:val="20"/>
              </w:rPr>
            </w:pPr>
            <w:r w:rsidRPr="000F0299">
              <w:rPr>
                <w:b w:val="0"/>
                <w:bCs w:val="0"/>
                <w:sz w:val="20"/>
                <w:szCs w:val="20"/>
              </w:rPr>
              <w:t>УКУПНИ ОПЕРАТИВНИ ТРОШКОВИ</w:t>
            </w:r>
          </w:p>
        </w:tc>
        <w:tc>
          <w:tcPr>
            <w:tcW w:w="666" w:type="pct"/>
            <w:shd w:val="clear" w:color="auto" w:fill="DEEAF6" w:themeFill="accent5" w:themeFillTint="33"/>
            <w:hideMark/>
          </w:tcPr>
          <w:p w14:paraId="7464EC07"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110</w:t>
            </w:r>
            <w:r>
              <w:rPr>
                <w:b/>
                <w:bCs/>
                <w:sz w:val="20"/>
                <w:szCs w:val="20"/>
              </w:rPr>
              <w:t>.</w:t>
            </w:r>
            <w:r w:rsidRPr="000F0299">
              <w:rPr>
                <w:b/>
                <w:bCs/>
                <w:sz w:val="20"/>
                <w:szCs w:val="20"/>
              </w:rPr>
              <w:t>274</w:t>
            </w:r>
            <w:r>
              <w:rPr>
                <w:b/>
                <w:bCs/>
                <w:sz w:val="20"/>
                <w:szCs w:val="20"/>
              </w:rPr>
              <w:t>.</w:t>
            </w:r>
            <w:r w:rsidRPr="000F0299">
              <w:rPr>
                <w:b/>
                <w:bCs/>
                <w:sz w:val="20"/>
                <w:szCs w:val="20"/>
              </w:rPr>
              <w:t>803</w:t>
            </w:r>
          </w:p>
        </w:tc>
        <w:tc>
          <w:tcPr>
            <w:tcW w:w="670" w:type="pct"/>
            <w:shd w:val="clear" w:color="auto" w:fill="DEEAF6" w:themeFill="accent5" w:themeFillTint="33"/>
            <w:hideMark/>
          </w:tcPr>
          <w:p w14:paraId="5EBFBF4E"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142</w:t>
            </w:r>
            <w:r>
              <w:rPr>
                <w:b/>
                <w:bCs/>
                <w:sz w:val="20"/>
                <w:szCs w:val="20"/>
              </w:rPr>
              <w:t>.</w:t>
            </w:r>
            <w:r w:rsidRPr="000F0299">
              <w:rPr>
                <w:b/>
                <w:bCs/>
                <w:sz w:val="20"/>
                <w:szCs w:val="20"/>
              </w:rPr>
              <w:t>194</w:t>
            </w:r>
            <w:r>
              <w:rPr>
                <w:b/>
                <w:bCs/>
                <w:sz w:val="20"/>
                <w:szCs w:val="20"/>
              </w:rPr>
              <w:t>.</w:t>
            </w:r>
            <w:r w:rsidRPr="000F0299">
              <w:rPr>
                <w:b/>
                <w:bCs/>
                <w:sz w:val="20"/>
                <w:szCs w:val="20"/>
              </w:rPr>
              <w:t>573</w:t>
            </w:r>
          </w:p>
        </w:tc>
        <w:tc>
          <w:tcPr>
            <w:tcW w:w="615" w:type="pct"/>
            <w:shd w:val="clear" w:color="auto" w:fill="DEEAF6" w:themeFill="accent5" w:themeFillTint="33"/>
            <w:hideMark/>
          </w:tcPr>
          <w:p w14:paraId="7D1AE96D"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41</w:t>
            </w:r>
            <w:r>
              <w:rPr>
                <w:b/>
                <w:bCs/>
                <w:sz w:val="20"/>
                <w:szCs w:val="20"/>
              </w:rPr>
              <w:t>.</w:t>
            </w:r>
            <w:r w:rsidRPr="000F0299">
              <w:rPr>
                <w:b/>
                <w:bCs/>
                <w:sz w:val="20"/>
                <w:szCs w:val="20"/>
              </w:rPr>
              <w:t>817</w:t>
            </w:r>
            <w:r>
              <w:rPr>
                <w:b/>
                <w:bCs/>
                <w:sz w:val="20"/>
                <w:szCs w:val="20"/>
              </w:rPr>
              <w:t>.</w:t>
            </w:r>
            <w:r w:rsidRPr="000F0299">
              <w:rPr>
                <w:b/>
                <w:bCs/>
                <w:sz w:val="20"/>
                <w:szCs w:val="20"/>
              </w:rPr>
              <w:t>346</w:t>
            </w:r>
          </w:p>
        </w:tc>
        <w:tc>
          <w:tcPr>
            <w:tcW w:w="615" w:type="pct"/>
            <w:shd w:val="clear" w:color="auto" w:fill="DEEAF6" w:themeFill="accent5" w:themeFillTint="33"/>
            <w:hideMark/>
          </w:tcPr>
          <w:p w14:paraId="0C79EF7D"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23</w:t>
            </w:r>
            <w:r>
              <w:rPr>
                <w:b/>
                <w:bCs/>
                <w:sz w:val="20"/>
                <w:szCs w:val="20"/>
              </w:rPr>
              <w:t>.</w:t>
            </w:r>
            <w:r w:rsidRPr="000F0299">
              <w:rPr>
                <w:b/>
                <w:bCs/>
                <w:sz w:val="20"/>
                <w:szCs w:val="20"/>
              </w:rPr>
              <w:t>147</w:t>
            </w:r>
            <w:r>
              <w:rPr>
                <w:b/>
                <w:bCs/>
                <w:sz w:val="20"/>
                <w:szCs w:val="20"/>
              </w:rPr>
              <w:t>.</w:t>
            </w:r>
            <w:r w:rsidRPr="000F0299">
              <w:rPr>
                <w:b/>
                <w:bCs/>
                <w:sz w:val="20"/>
                <w:szCs w:val="20"/>
              </w:rPr>
              <w:t>130</w:t>
            </w:r>
          </w:p>
        </w:tc>
        <w:tc>
          <w:tcPr>
            <w:tcW w:w="615" w:type="pct"/>
            <w:shd w:val="clear" w:color="auto" w:fill="DEEAF6" w:themeFill="accent5" w:themeFillTint="33"/>
            <w:hideMark/>
          </w:tcPr>
          <w:p w14:paraId="3CE54FAC"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60</w:t>
            </w:r>
            <w:r>
              <w:rPr>
                <w:b/>
                <w:bCs/>
                <w:sz w:val="20"/>
                <w:szCs w:val="20"/>
              </w:rPr>
              <w:t>.</w:t>
            </w:r>
            <w:r w:rsidRPr="000F0299">
              <w:rPr>
                <w:b/>
                <w:bCs/>
                <w:sz w:val="20"/>
                <w:szCs w:val="20"/>
              </w:rPr>
              <w:t>487</w:t>
            </w:r>
            <w:r>
              <w:rPr>
                <w:b/>
                <w:bCs/>
                <w:sz w:val="20"/>
                <w:szCs w:val="20"/>
              </w:rPr>
              <w:t>.</w:t>
            </w:r>
            <w:r w:rsidRPr="000F0299">
              <w:rPr>
                <w:b/>
                <w:bCs/>
                <w:sz w:val="20"/>
                <w:szCs w:val="20"/>
              </w:rPr>
              <w:t>561</w:t>
            </w:r>
          </w:p>
        </w:tc>
        <w:tc>
          <w:tcPr>
            <w:tcW w:w="615" w:type="pct"/>
            <w:shd w:val="clear" w:color="auto" w:fill="DEEAF6" w:themeFill="accent5" w:themeFillTint="33"/>
            <w:hideMark/>
          </w:tcPr>
          <w:p w14:paraId="442E5B57"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76</w:t>
            </w:r>
            <w:r>
              <w:rPr>
                <w:b/>
                <w:bCs/>
                <w:sz w:val="20"/>
                <w:szCs w:val="20"/>
              </w:rPr>
              <w:t>.</w:t>
            </w:r>
            <w:r w:rsidRPr="000F0299">
              <w:rPr>
                <w:b/>
                <w:bCs/>
                <w:sz w:val="20"/>
                <w:szCs w:val="20"/>
              </w:rPr>
              <w:t>447</w:t>
            </w:r>
            <w:r>
              <w:rPr>
                <w:b/>
                <w:bCs/>
                <w:sz w:val="20"/>
                <w:szCs w:val="20"/>
              </w:rPr>
              <w:t>.</w:t>
            </w:r>
            <w:r w:rsidRPr="000F0299">
              <w:rPr>
                <w:b/>
                <w:bCs/>
                <w:sz w:val="20"/>
                <w:szCs w:val="20"/>
              </w:rPr>
              <w:t>446</w:t>
            </w:r>
          </w:p>
        </w:tc>
      </w:tr>
      <w:tr w:rsidR="00EA509E" w:rsidRPr="000F0299" w14:paraId="3B926FDF"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hideMark/>
          </w:tcPr>
          <w:p w14:paraId="73138257" w14:textId="77777777" w:rsidR="00EA509E" w:rsidRPr="000F0299" w:rsidRDefault="00EA509E" w:rsidP="00EA509E">
            <w:pPr>
              <w:spacing w:before="0"/>
              <w:ind w:firstLine="0"/>
              <w:rPr>
                <w:b w:val="0"/>
                <w:bCs w:val="0"/>
                <w:sz w:val="20"/>
                <w:szCs w:val="20"/>
              </w:rPr>
            </w:pPr>
            <w:r w:rsidRPr="000F0299">
              <w:rPr>
                <w:b w:val="0"/>
                <w:bCs w:val="0"/>
                <w:sz w:val="20"/>
                <w:szCs w:val="20"/>
              </w:rPr>
              <w:t> </w:t>
            </w:r>
          </w:p>
        </w:tc>
        <w:tc>
          <w:tcPr>
            <w:tcW w:w="666" w:type="pct"/>
            <w:hideMark/>
          </w:tcPr>
          <w:p w14:paraId="4E7C39EB" w14:textId="77777777" w:rsidR="00EA509E" w:rsidRPr="000F0299" w:rsidRDefault="00EA509E" w:rsidP="00EA509E">
            <w:pPr>
              <w:spacing w:befor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70" w:type="pct"/>
            <w:hideMark/>
          </w:tcPr>
          <w:p w14:paraId="0EC6BF05" w14:textId="77777777" w:rsidR="00EA509E" w:rsidRPr="000F0299" w:rsidRDefault="00EA509E" w:rsidP="00EA509E">
            <w:pPr>
              <w:spacing w:befor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5" w:type="pct"/>
            <w:hideMark/>
          </w:tcPr>
          <w:p w14:paraId="799AE3B3" w14:textId="77777777" w:rsidR="00EA509E" w:rsidRPr="000F0299" w:rsidRDefault="00EA509E" w:rsidP="00EA509E">
            <w:pPr>
              <w:spacing w:befor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5" w:type="pct"/>
            <w:hideMark/>
          </w:tcPr>
          <w:p w14:paraId="461E55C5" w14:textId="77777777" w:rsidR="00EA509E" w:rsidRPr="000F0299" w:rsidRDefault="00EA509E" w:rsidP="00EA509E">
            <w:pPr>
              <w:spacing w:befor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5" w:type="pct"/>
            <w:hideMark/>
          </w:tcPr>
          <w:p w14:paraId="14CD3744" w14:textId="77777777" w:rsidR="00EA509E" w:rsidRPr="000F0299" w:rsidRDefault="00EA509E" w:rsidP="00EA509E">
            <w:pPr>
              <w:spacing w:befor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5" w:type="pct"/>
            <w:hideMark/>
          </w:tcPr>
          <w:p w14:paraId="1FCDF73C" w14:textId="77777777" w:rsidR="00EA509E" w:rsidRPr="000F0299" w:rsidRDefault="00EA509E" w:rsidP="00EA509E">
            <w:pPr>
              <w:spacing w:befor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A509E" w:rsidRPr="000F0299" w14:paraId="68A345A6"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shd w:val="clear" w:color="auto" w:fill="BFBFBF" w:themeFill="background1" w:themeFillShade="BF"/>
            <w:hideMark/>
          </w:tcPr>
          <w:p w14:paraId="7BDA84E4" w14:textId="77777777" w:rsidR="00EA509E" w:rsidRPr="000F0299" w:rsidRDefault="00EA509E" w:rsidP="00EA509E">
            <w:pPr>
              <w:spacing w:before="0"/>
              <w:ind w:firstLine="0"/>
              <w:rPr>
                <w:b w:val="0"/>
                <w:bCs w:val="0"/>
                <w:sz w:val="20"/>
                <w:szCs w:val="20"/>
              </w:rPr>
            </w:pPr>
            <w:r w:rsidRPr="000F0299">
              <w:rPr>
                <w:b w:val="0"/>
                <w:bCs w:val="0"/>
                <w:sz w:val="20"/>
                <w:szCs w:val="20"/>
              </w:rPr>
              <w:t xml:space="preserve">У </w:t>
            </w:r>
            <w:r>
              <w:rPr>
                <w:b w:val="0"/>
                <w:bCs w:val="0"/>
                <w:sz w:val="20"/>
                <w:szCs w:val="20"/>
              </w:rPr>
              <w:t>динарима</w:t>
            </w:r>
            <w:r w:rsidRPr="000F0299">
              <w:rPr>
                <w:b w:val="0"/>
                <w:bCs w:val="0"/>
                <w:sz w:val="20"/>
                <w:szCs w:val="20"/>
              </w:rPr>
              <w:t>, једнократно</w:t>
            </w:r>
          </w:p>
        </w:tc>
        <w:tc>
          <w:tcPr>
            <w:tcW w:w="666" w:type="pct"/>
            <w:shd w:val="clear" w:color="auto" w:fill="BFBFBF" w:themeFill="background1" w:themeFillShade="BF"/>
            <w:hideMark/>
          </w:tcPr>
          <w:p w14:paraId="09291897"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Опција 2</w:t>
            </w:r>
          </w:p>
        </w:tc>
        <w:tc>
          <w:tcPr>
            <w:tcW w:w="670" w:type="pct"/>
            <w:shd w:val="clear" w:color="auto" w:fill="BFBFBF" w:themeFill="background1" w:themeFillShade="BF"/>
            <w:hideMark/>
          </w:tcPr>
          <w:p w14:paraId="08A112C7"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Опција 3</w:t>
            </w:r>
          </w:p>
        </w:tc>
        <w:tc>
          <w:tcPr>
            <w:tcW w:w="615" w:type="pct"/>
            <w:shd w:val="clear" w:color="auto" w:fill="BFBFBF" w:themeFill="background1" w:themeFillShade="BF"/>
            <w:hideMark/>
          </w:tcPr>
          <w:p w14:paraId="265A1F6E"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Опција 4</w:t>
            </w:r>
          </w:p>
        </w:tc>
        <w:tc>
          <w:tcPr>
            <w:tcW w:w="615" w:type="pct"/>
            <w:shd w:val="clear" w:color="auto" w:fill="BFBFBF" w:themeFill="background1" w:themeFillShade="BF"/>
            <w:hideMark/>
          </w:tcPr>
          <w:p w14:paraId="6A748F35"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Опција 5</w:t>
            </w:r>
          </w:p>
        </w:tc>
        <w:tc>
          <w:tcPr>
            <w:tcW w:w="615" w:type="pct"/>
            <w:shd w:val="clear" w:color="auto" w:fill="BFBFBF" w:themeFill="background1" w:themeFillShade="BF"/>
            <w:hideMark/>
          </w:tcPr>
          <w:p w14:paraId="14A6D2B4"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Опција 6</w:t>
            </w:r>
          </w:p>
        </w:tc>
        <w:tc>
          <w:tcPr>
            <w:tcW w:w="615" w:type="pct"/>
            <w:shd w:val="clear" w:color="auto" w:fill="BFBFBF" w:themeFill="background1" w:themeFillShade="BF"/>
            <w:hideMark/>
          </w:tcPr>
          <w:p w14:paraId="5EEDECD3"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Опција 7</w:t>
            </w:r>
          </w:p>
        </w:tc>
      </w:tr>
      <w:tr w:rsidR="00EA509E" w:rsidRPr="000F0299" w14:paraId="25F5F0A5"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hideMark/>
          </w:tcPr>
          <w:p w14:paraId="5AB3D9D4" w14:textId="77777777" w:rsidR="00EA509E" w:rsidRPr="000F0299" w:rsidRDefault="00EA509E" w:rsidP="00EA509E">
            <w:pPr>
              <w:spacing w:before="0"/>
              <w:ind w:firstLine="0"/>
              <w:rPr>
                <w:sz w:val="20"/>
                <w:szCs w:val="20"/>
              </w:rPr>
            </w:pPr>
            <w:r w:rsidRPr="000F0299">
              <w:rPr>
                <w:sz w:val="20"/>
                <w:szCs w:val="20"/>
              </w:rPr>
              <w:t>Трошкови  набавке техничке опреме по запосленом</w:t>
            </w:r>
          </w:p>
        </w:tc>
        <w:tc>
          <w:tcPr>
            <w:tcW w:w="666" w:type="pct"/>
            <w:hideMark/>
          </w:tcPr>
          <w:p w14:paraId="40B882C4"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120</w:t>
            </w:r>
            <w:r>
              <w:rPr>
                <w:sz w:val="20"/>
                <w:szCs w:val="20"/>
              </w:rPr>
              <w:t>.</w:t>
            </w:r>
            <w:r w:rsidRPr="000F0299">
              <w:rPr>
                <w:sz w:val="20"/>
                <w:szCs w:val="20"/>
              </w:rPr>
              <w:t>000</w:t>
            </w:r>
          </w:p>
        </w:tc>
        <w:tc>
          <w:tcPr>
            <w:tcW w:w="670" w:type="pct"/>
            <w:hideMark/>
          </w:tcPr>
          <w:p w14:paraId="017D7080"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120</w:t>
            </w:r>
            <w:r>
              <w:rPr>
                <w:sz w:val="20"/>
                <w:szCs w:val="20"/>
              </w:rPr>
              <w:t>.</w:t>
            </w:r>
            <w:r w:rsidRPr="000F0299">
              <w:rPr>
                <w:sz w:val="20"/>
                <w:szCs w:val="20"/>
              </w:rPr>
              <w:t>000</w:t>
            </w:r>
          </w:p>
        </w:tc>
        <w:tc>
          <w:tcPr>
            <w:tcW w:w="615" w:type="pct"/>
            <w:hideMark/>
          </w:tcPr>
          <w:p w14:paraId="44518311"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120</w:t>
            </w:r>
            <w:r>
              <w:rPr>
                <w:sz w:val="20"/>
                <w:szCs w:val="20"/>
              </w:rPr>
              <w:t>.</w:t>
            </w:r>
            <w:r w:rsidRPr="000F0299">
              <w:rPr>
                <w:sz w:val="20"/>
                <w:szCs w:val="20"/>
              </w:rPr>
              <w:t>000</w:t>
            </w:r>
          </w:p>
        </w:tc>
        <w:tc>
          <w:tcPr>
            <w:tcW w:w="615" w:type="pct"/>
            <w:hideMark/>
          </w:tcPr>
          <w:p w14:paraId="061DEF3C"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120</w:t>
            </w:r>
            <w:r>
              <w:rPr>
                <w:sz w:val="20"/>
                <w:szCs w:val="20"/>
              </w:rPr>
              <w:t>.</w:t>
            </w:r>
            <w:r w:rsidRPr="000F0299">
              <w:rPr>
                <w:sz w:val="20"/>
                <w:szCs w:val="20"/>
              </w:rPr>
              <w:t>000</w:t>
            </w:r>
          </w:p>
        </w:tc>
        <w:tc>
          <w:tcPr>
            <w:tcW w:w="615" w:type="pct"/>
            <w:hideMark/>
          </w:tcPr>
          <w:p w14:paraId="456F7763"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120</w:t>
            </w:r>
            <w:r>
              <w:rPr>
                <w:sz w:val="20"/>
                <w:szCs w:val="20"/>
              </w:rPr>
              <w:t>.</w:t>
            </w:r>
            <w:r w:rsidRPr="000F0299">
              <w:rPr>
                <w:sz w:val="20"/>
                <w:szCs w:val="20"/>
              </w:rPr>
              <w:t>000</w:t>
            </w:r>
          </w:p>
        </w:tc>
        <w:tc>
          <w:tcPr>
            <w:tcW w:w="615" w:type="pct"/>
            <w:hideMark/>
          </w:tcPr>
          <w:p w14:paraId="6043D958"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120</w:t>
            </w:r>
            <w:r>
              <w:rPr>
                <w:sz w:val="20"/>
                <w:szCs w:val="20"/>
              </w:rPr>
              <w:t>.</w:t>
            </w:r>
            <w:r w:rsidRPr="000F0299">
              <w:rPr>
                <w:sz w:val="20"/>
                <w:szCs w:val="20"/>
              </w:rPr>
              <w:t>000</w:t>
            </w:r>
          </w:p>
        </w:tc>
      </w:tr>
      <w:tr w:rsidR="00EA509E" w:rsidRPr="000F0299" w14:paraId="7C40DF3A"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hideMark/>
          </w:tcPr>
          <w:p w14:paraId="671D9E17" w14:textId="77777777" w:rsidR="00EA509E" w:rsidRPr="000F0299" w:rsidRDefault="00EA509E" w:rsidP="00EA509E">
            <w:pPr>
              <w:spacing w:before="0"/>
              <w:ind w:firstLine="0"/>
              <w:rPr>
                <w:sz w:val="20"/>
                <w:szCs w:val="20"/>
              </w:rPr>
            </w:pPr>
            <w:r w:rsidRPr="000F0299">
              <w:rPr>
                <w:sz w:val="20"/>
                <w:szCs w:val="20"/>
              </w:rPr>
              <w:t xml:space="preserve">Трошкови опремања простора по </w:t>
            </w:r>
            <w:r>
              <w:rPr>
                <w:sz w:val="20"/>
                <w:szCs w:val="20"/>
              </w:rPr>
              <w:t>м</w:t>
            </w:r>
            <w:r w:rsidRPr="00DD026B">
              <w:rPr>
                <w:sz w:val="20"/>
                <w:szCs w:val="20"/>
                <w:vertAlign w:val="superscript"/>
              </w:rPr>
              <w:t>2</w:t>
            </w:r>
          </w:p>
        </w:tc>
        <w:tc>
          <w:tcPr>
            <w:tcW w:w="666" w:type="pct"/>
            <w:hideMark/>
          </w:tcPr>
          <w:p w14:paraId="7646C260"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36</w:t>
            </w:r>
            <w:r>
              <w:rPr>
                <w:sz w:val="20"/>
                <w:szCs w:val="20"/>
              </w:rPr>
              <w:t>.</w:t>
            </w:r>
            <w:r w:rsidRPr="000F0299">
              <w:rPr>
                <w:sz w:val="20"/>
                <w:szCs w:val="20"/>
              </w:rPr>
              <w:t>000</w:t>
            </w:r>
          </w:p>
        </w:tc>
        <w:tc>
          <w:tcPr>
            <w:tcW w:w="670" w:type="pct"/>
            <w:hideMark/>
          </w:tcPr>
          <w:p w14:paraId="139BDDE8"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36</w:t>
            </w:r>
            <w:r>
              <w:rPr>
                <w:sz w:val="20"/>
                <w:szCs w:val="20"/>
              </w:rPr>
              <w:t>.</w:t>
            </w:r>
            <w:r w:rsidRPr="000F0299">
              <w:rPr>
                <w:sz w:val="20"/>
                <w:szCs w:val="20"/>
              </w:rPr>
              <w:t>000</w:t>
            </w:r>
          </w:p>
        </w:tc>
        <w:tc>
          <w:tcPr>
            <w:tcW w:w="615" w:type="pct"/>
            <w:hideMark/>
          </w:tcPr>
          <w:p w14:paraId="5D9CB8AA"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36</w:t>
            </w:r>
            <w:r>
              <w:rPr>
                <w:sz w:val="20"/>
                <w:szCs w:val="20"/>
              </w:rPr>
              <w:t>.</w:t>
            </w:r>
            <w:r w:rsidRPr="000F0299">
              <w:rPr>
                <w:sz w:val="20"/>
                <w:szCs w:val="20"/>
              </w:rPr>
              <w:t>000</w:t>
            </w:r>
          </w:p>
        </w:tc>
        <w:tc>
          <w:tcPr>
            <w:tcW w:w="615" w:type="pct"/>
            <w:hideMark/>
          </w:tcPr>
          <w:p w14:paraId="6065321D"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36</w:t>
            </w:r>
            <w:r>
              <w:rPr>
                <w:sz w:val="20"/>
                <w:szCs w:val="20"/>
              </w:rPr>
              <w:t>.</w:t>
            </w:r>
            <w:r w:rsidRPr="000F0299">
              <w:rPr>
                <w:sz w:val="20"/>
                <w:szCs w:val="20"/>
              </w:rPr>
              <w:t>000</w:t>
            </w:r>
          </w:p>
        </w:tc>
        <w:tc>
          <w:tcPr>
            <w:tcW w:w="615" w:type="pct"/>
            <w:hideMark/>
          </w:tcPr>
          <w:p w14:paraId="25407301"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36</w:t>
            </w:r>
            <w:r>
              <w:rPr>
                <w:sz w:val="20"/>
                <w:szCs w:val="20"/>
              </w:rPr>
              <w:t>.</w:t>
            </w:r>
            <w:r w:rsidRPr="000F0299">
              <w:rPr>
                <w:sz w:val="20"/>
                <w:szCs w:val="20"/>
              </w:rPr>
              <w:t>000</w:t>
            </w:r>
          </w:p>
        </w:tc>
        <w:tc>
          <w:tcPr>
            <w:tcW w:w="615" w:type="pct"/>
            <w:hideMark/>
          </w:tcPr>
          <w:p w14:paraId="3488B97E"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36</w:t>
            </w:r>
            <w:r>
              <w:rPr>
                <w:sz w:val="20"/>
                <w:szCs w:val="20"/>
              </w:rPr>
              <w:t>.</w:t>
            </w:r>
            <w:r w:rsidRPr="000F0299">
              <w:rPr>
                <w:sz w:val="20"/>
                <w:szCs w:val="20"/>
              </w:rPr>
              <w:t>000</w:t>
            </w:r>
          </w:p>
        </w:tc>
      </w:tr>
      <w:tr w:rsidR="00EA509E" w:rsidRPr="000F0299" w14:paraId="76B67D1C"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shd w:val="clear" w:color="auto" w:fill="E7E6E6" w:themeFill="background2"/>
            <w:hideMark/>
          </w:tcPr>
          <w:p w14:paraId="5FC0A6B6" w14:textId="77777777" w:rsidR="00EA509E" w:rsidRPr="000F0299" w:rsidRDefault="00EA509E" w:rsidP="00EA509E">
            <w:pPr>
              <w:spacing w:before="0"/>
              <w:ind w:firstLine="0"/>
              <w:rPr>
                <w:b w:val="0"/>
                <w:bCs w:val="0"/>
                <w:sz w:val="20"/>
                <w:szCs w:val="20"/>
              </w:rPr>
            </w:pPr>
            <w:r w:rsidRPr="000F0299">
              <w:rPr>
                <w:b w:val="0"/>
                <w:bCs w:val="0"/>
                <w:sz w:val="20"/>
                <w:szCs w:val="20"/>
              </w:rPr>
              <w:t>Укупни трошкови набавке техничке опреме</w:t>
            </w:r>
          </w:p>
        </w:tc>
        <w:tc>
          <w:tcPr>
            <w:tcW w:w="666" w:type="pct"/>
            <w:shd w:val="clear" w:color="auto" w:fill="E7E6E6" w:themeFill="background2"/>
            <w:hideMark/>
          </w:tcPr>
          <w:p w14:paraId="7CC86AA8"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9</w:t>
            </w:r>
            <w:r>
              <w:rPr>
                <w:sz w:val="20"/>
                <w:szCs w:val="20"/>
              </w:rPr>
              <w:t>.</w:t>
            </w:r>
            <w:r w:rsidRPr="000F0299">
              <w:rPr>
                <w:sz w:val="20"/>
                <w:szCs w:val="20"/>
              </w:rPr>
              <w:t>600</w:t>
            </w:r>
            <w:r>
              <w:rPr>
                <w:sz w:val="20"/>
                <w:szCs w:val="20"/>
              </w:rPr>
              <w:t>.</w:t>
            </w:r>
            <w:r w:rsidRPr="000F0299">
              <w:rPr>
                <w:sz w:val="20"/>
                <w:szCs w:val="20"/>
              </w:rPr>
              <w:t>000</w:t>
            </w:r>
          </w:p>
        </w:tc>
        <w:tc>
          <w:tcPr>
            <w:tcW w:w="670" w:type="pct"/>
            <w:shd w:val="clear" w:color="auto" w:fill="E7E6E6" w:themeFill="background2"/>
            <w:hideMark/>
          </w:tcPr>
          <w:p w14:paraId="2FB0A75E"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9</w:t>
            </w:r>
            <w:r>
              <w:rPr>
                <w:sz w:val="20"/>
                <w:szCs w:val="20"/>
              </w:rPr>
              <w:t>.</w:t>
            </w:r>
            <w:r w:rsidRPr="000F0299">
              <w:rPr>
                <w:sz w:val="20"/>
                <w:szCs w:val="20"/>
              </w:rPr>
              <w:t>600</w:t>
            </w:r>
            <w:r>
              <w:rPr>
                <w:sz w:val="20"/>
                <w:szCs w:val="20"/>
              </w:rPr>
              <w:t>.</w:t>
            </w:r>
            <w:r w:rsidRPr="000F0299">
              <w:rPr>
                <w:sz w:val="20"/>
                <w:szCs w:val="20"/>
              </w:rPr>
              <w:t>000</w:t>
            </w:r>
          </w:p>
        </w:tc>
        <w:tc>
          <w:tcPr>
            <w:tcW w:w="615" w:type="pct"/>
            <w:shd w:val="clear" w:color="auto" w:fill="E7E6E6" w:themeFill="background2"/>
            <w:hideMark/>
          </w:tcPr>
          <w:p w14:paraId="27119033"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3</w:t>
            </w:r>
            <w:r>
              <w:rPr>
                <w:sz w:val="20"/>
                <w:szCs w:val="20"/>
              </w:rPr>
              <w:t>.</w:t>
            </w:r>
            <w:r w:rsidRPr="000F0299">
              <w:rPr>
                <w:sz w:val="20"/>
                <w:szCs w:val="20"/>
              </w:rPr>
              <w:t>000</w:t>
            </w:r>
            <w:r>
              <w:rPr>
                <w:sz w:val="20"/>
                <w:szCs w:val="20"/>
              </w:rPr>
              <w:t>.</w:t>
            </w:r>
            <w:r w:rsidRPr="000F0299">
              <w:rPr>
                <w:sz w:val="20"/>
                <w:szCs w:val="20"/>
              </w:rPr>
              <w:t>000</w:t>
            </w:r>
          </w:p>
        </w:tc>
        <w:tc>
          <w:tcPr>
            <w:tcW w:w="615" w:type="pct"/>
            <w:shd w:val="clear" w:color="auto" w:fill="E7E6E6" w:themeFill="background2"/>
            <w:hideMark/>
          </w:tcPr>
          <w:p w14:paraId="67D5C034"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w:t>
            </w:r>
            <w:r>
              <w:rPr>
                <w:sz w:val="20"/>
                <w:szCs w:val="20"/>
              </w:rPr>
              <w:t>.</w:t>
            </w:r>
            <w:r w:rsidRPr="000F0299">
              <w:rPr>
                <w:sz w:val="20"/>
                <w:szCs w:val="20"/>
              </w:rPr>
              <w:t>200</w:t>
            </w:r>
            <w:r>
              <w:rPr>
                <w:sz w:val="20"/>
                <w:szCs w:val="20"/>
              </w:rPr>
              <w:t>.</w:t>
            </w:r>
            <w:r w:rsidRPr="000F0299">
              <w:rPr>
                <w:sz w:val="20"/>
                <w:szCs w:val="20"/>
              </w:rPr>
              <w:t>000</w:t>
            </w:r>
          </w:p>
        </w:tc>
        <w:tc>
          <w:tcPr>
            <w:tcW w:w="615" w:type="pct"/>
            <w:shd w:val="clear" w:color="auto" w:fill="E7E6E6" w:themeFill="background2"/>
            <w:hideMark/>
          </w:tcPr>
          <w:p w14:paraId="0E3B7644"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4</w:t>
            </w:r>
            <w:r>
              <w:rPr>
                <w:sz w:val="20"/>
                <w:szCs w:val="20"/>
              </w:rPr>
              <w:t>.</w:t>
            </w:r>
            <w:r w:rsidRPr="000F0299">
              <w:rPr>
                <w:sz w:val="20"/>
                <w:szCs w:val="20"/>
              </w:rPr>
              <w:t>800</w:t>
            </w:r>
            <w:r>
              <w:rPr>
                <w:sz w:val="20"/>
                <w:szCs w:val="20"/>
              </w:rPr>
              <w:t>.</w:t>
            </w:r>
            <w:r w:rsidRPr="000F0299">
              <w:rPr>
                <w:sz w:val="20"/>
                <w:szCs w:val="20"/>
              </w:rPr>
              <w:t>000</w:t>
            </w:r>
          </w:p>
        </w:tc>
        <w:tc>
          <w:tcPr>
            <w:tcW w:w="615" w:type="pct"/>
            <w:shd w:val="clear" w:color="auto" w:fill="E7E6E6" w:themeFill="background2"/>
            <w:hideMark/>
          </w:tcPr>
          <w:p w14:paraId="1A34CD59"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4</w:t>
            </w:r>
            <w:r>
              <w:rPr>
                <w:sz w:val="20"/>
                <w:szCs w:val="20"/>
              </w:rPr>
              <w:t>.</w:t>
            </w:r>
            <w:r w:rsidRPr="000F0299">
              <w:rPr>
                <w:sz w:val="20"/>
                <w:szCs w:val="20"/>
              </w:rPr>
              <w:t>800</w:t>
            </w:r>
            <w:r>
              <w:rPr>
                <w:sz w:val="20"/>
                <w:szCs w:val="20"/>
              </w:rPr>
              <w:t>.</w:t>
            </w:r>
            <w:r w:rsidRPr="000F0299">
              <w:rPr>
                <w:sz w:val="20"/>
                <w:szCs w:val="20"/>
              </w:rPr>
              <w:t>000</w:t>
            </w:r>
          </w:p>
        </w:tc>
      </w:tr>
      <w:tr w:rsidR="00EA509E" w:rsidRPr="000F0299" w14:paraId="5ABDF86E"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shd w:val="clear" w:color="auto" w:fill="E7E6E6" w:themeFill="background2"/>
            <w:hideMark/>
          </w:tcPr>
          <w:p w14:paraId="51EA9AB3" w14:textId="77777777" w:rsidR="00EA509E" w:rsidRPr="000F0299" w:rsidRDefault="00EA509E" w:rsidP="00EA509E">
            <w:pPr>
              <w:spacing w:before="0"/>
              <w:ind w:firstLine="0"/>
              <w:rPr>
                <w:b w:val="0"/>
                <w:bCs w:val="0"/>
                <w:sz w:val="20"/>
                <w:szCs w:val="20"/>
              </w:rPr>
            </w:pPr>
            <w:r w:rsidRPr="000F0299">
              <w:rPr>
                <w:b w:val="0"/>
                <w:bCs w:val="0"/>
                <w:sz w:val="20"/>
                <w:szCs w:val="20"/>
              </w:rPr>
              <w:t>Укупни трошкови опремања простора (10м</w:t>
            </w:r>
            <w:r w:rsidRPr="00DD026B">
              <w:rPr>
                <w:sz w:val="20"/>
                <w:szCs w:val="20"/>
                <w:vertAlign w:val="superscript"/>
              </w:rPr>
              <w:t>2</w:t>
            </w:r>
            <w:r w:rsidRPr="000F0299">
              <w:rPr>
                <w:b w:val="0"/>
                <w:bCs w:val="0"/>
                <w:sz w:val="20"/>
                <w:szCs w:val="20"/>
              </w:rPr>
              <w:t xml:space="preserve"> по запосленом)</w:t>
            </w:r>
          </w:p>
        </w:tc>
        <w:tc>
          <w:tcPr>
            <w:tcW w:w="666" w:type="pct"/>
            <w:shd w:val="clear" w:color="auto" w:fill="E7E6E6" w:themeFill="background2"/>
            <w:hideMark/>
          </w:tcPr>
          <w:p w14:paraId="303DA4DD"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28</w:t>
            </w:r>
            <w:r>
              <w:rPr>
                <w:sz w:val="20"/>
                <w:szCs w:val="20"/>
              </w:rPr>
              <w:t>.</w:t>
            </w:r>
            <w:r w:rsidRPr="000F0299">
              <w:rPr>
                <w:sz w:val="20"/>
                <w:szCs w:val="20"/>
              </w:rPr>
              <w:t>800</w:t>
            </w:r>
            <w:r>
              <w:rPr>
                <w:sz w:val="20"/>
                <w:szCs w:val="20"/>
              </w:rPr>
              <w:t>.</w:t>
            </w:r>
            <w:r w:rsidRPr="000F0299">
              <w:rPr>
                <w:sz w:val="20"/>
                <w:szCs w:val="20"/>
              </w:rPr>
              <w:t>000</w:t>
            </w:r>
          </w:p>
        </w:tc>
        <w:tc>
          <w:tcPr>
            <w:tcW w:w="670" w:type="pct"/>
            <w:shd w:val="clear" w:color="auto" w:fill="E7E6E6" w:themeFill="background2"/>
            <w:hideMark/>
          </w:tcPr>
          <w:p w14:paraId="47EA71F9"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28</w:t>
            </w:r>
            <w:r>
              <w:rPr>
                <w:sz w:val="20"/>
                <w:szCs w:val="20"/>
              </w:rPr>
              <w:t>.</w:t>
            </w:r>
            <w:r w:rsidRPr="000F0299">
              <w:rPr>
                <w:sz w:val="20"/>
                <w:szCs w:val="20"/>
              </w:rPr>
              <w:t>800</w:t>
            </w:r>
            <w:r>
              <w:rPr>
                <w:sz w:val="20"/>
                <w:szCs w:val="20"/>
              </w:rPr>
              <w:t>.</w:t>
            </w:r>
            <w:r w:rsidRPr="000F0299">
              <w:rPr>
                <w:sz w:val="20"/>
                <w:szCs w:val="20"/>
              </w:rPr>
              <w:t>000</w:t>
            </w:r>
          </w:p>
        </w:tc>
        <w:tc>
          <w:tcPr>
            <w:tcW w:w="615" w:type="pct"/>
            <w:shd w:val="clear" w:color="auto" w:fill="E7E6E6" w:themeFill="background2"/>
            <w:hideMark/>
          </w:tcPr>
          <w:p w14:paraId="0823466F"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9</w:t>
            </w:r>
            <w:r>
              <w:rPr>
                <w:sz w:val="20"/>
                <w:szCs w:val="20"/>
              </w:rPr>
              <w:t>.</w:t>
            </w:r>
            <w:r w:rsidRPr="000F0299">
              <w:rPr>
                <w:sz w:val="20"/>
                <w:szCs w:val="20"/>
              </w:rPr>
              <w:t>000</w:t>
            </w:r>
            <w:r>
              <w:rPr>
                <w:sz w:val="20"/>
                <w:szCs w:val="20"/>
              </w:rPr>
              <w:t>.</w:t>
            </w:r>
            <w:r w:rsidRPr="000F0299">
              <w:rPr>
                <w:sz w:val="20"/>
                <w:szCs w:val="20"/>
              </w:rPr>
              <w:t>000</w:t>
            </w:r>
          </w:p>
        </w:tc>
        <w:tc>
          <w:tcPr>
            <w:tcW w:w="615" w:type="pct"/>
            <w:shd w:val="clear" w:color="auto" w:fill="E7E6E6" w:themeFill="background2"/>
            <w:hideMark/>
          </w:tcPr>
          <w:p w14:paraId="4C51D628"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3</w:t>
            </w:r>
            <w:r>
              <w:rPr>
                <w:sz w:val="20"/>
                <w:szCs w:val="20"/>
              </w:rPr>
              <w:t>.</w:t>
            </w:r>
            <w:r w:rsidRPr="000F0299">
              <w:rPr>
                <w:sz w:val="20"/>
                <w:szCs w:val="20"/>
              </w:rPr>
              <w:t>600</w:t>
            </w:r>
            <w:r>
              <w:rPr>
                <w:sz w:val="20"/>
                <w:szCs w:val="20"/>
              </w:rPr>
              <w:t>.</w:t>
            </w:r>
            <w:r w:rsidRPr="000F0299">
              <w:rPr>
                <w:sz w:val="20"/>
                <w:szCs w:val="20"/>
              </w:rPr>
              <w:t>000</w:t>
            </w:r>
          </w:p>
        </w:tc>
        <w:tc>
          <w:tcPr>
            <w:tcW w:w="615" w:type="pct"/>
            <w:shd w:val="clear" w:color="auto" w:fill="E7E6E6" w:themeFill="background2"/>
            <w:hideMark/>
          </w:tcPr>
          <w:p w14:paraId="7A91A175"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14</w:t>
            </w:r>
            <w:r>
              <w:rPr>
                <w:sz w:val="20"/>
                <w:szCs w:val="20"/>
              </w:rPr>
              <w:t>.</w:t>
            </w:r>
            <w:r w:rsidRPr="000F0299">
              <w:rPr>
                <w:sz w:val="20"/>
                <w:szCs w:val="20"/>
              </w:rPr>
              <w:t>400</w:t>
            </w:r>
            <w:r>
              <w:rPr>
                <w:sz w:val="20"/>
                <w:szCs w:val="20"/>
              </w:rPr>
              <w:t>.</w:t>
            </w:r>
            <w:r w:rsidRPr="000F0299">
              <w:rPr>
                <w:sz w:val="20"/>
                <w:szCs w:val="20"/>
              </w:rPr>
              <w:t>000</w:t>
            </w:r>
          </w:p>
        </w:tc>
        <w:tc>
          <w:tcPr>
            <w:tcW w:w="615" w:type="pct"/>
            <w:shd w:val="clear" w:color="auto" w:fill="E7E6E6" w:themeFill="background2"/>
            <w:hideMark/>
          </w:tcPr>
          <w:p w14:paraId="3FEBF90B"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F0299">
              <w:rPr>
                <w:sz w:val="20"/>
                <w:szCs w:val="20"/>
              </w:rPr>
              <w:t>14</w:t>
            </w:r>
            <w:r>
              <w:rPr>
                <w:sz w:val="20"/>
                <w:szCs w:val="20"/>
              </w:rPr>
              <w:t>.</w:t>
            </w:r>
            <w:r w:rsidRPr="000F0299">
              <w:rPr>
                <w:sz w:val="20"/>
                <w:szCs w:val="20"/>
              </w:rPr>
              <w:t>400</w:t>
            </w:r>
            <w:r>
              <w:rPr>
                <w:sz w:val="20"/>
                <w:szCs w:val="20"/>
              </w:rPr>
              <w:t>.</w:t>
            </w:r>
            <w:r w:rsidRPr="000F0299">
              <w:rPr>
                <w:sz w:val="20"/>
                <w:szCs w:val="20"/>
              </w:rPr>
              <w:t>000</w:t>
            </w:r>
          </w:p>
        </w:tc>
      </w:tr>
      <w:tr w:rsidR="00EA509E" w:rsidRPr="000F0299" w14:paraId="517A1F66" w14:textId="77777777" w:rsidTr="00EA509E">
        <w:trPr>
          <w:trHeight w:val="253"/>
        </w:trPr>
        <w:tc>
          <w:tcPr>
            <w:cnfStyle w:val="001000000000" w:firstRow="0" w:lastRow="0" w:firstColumn="1" w:lastColumn="0" w:oddVBand="0" w:evenVBand="0" w:oddHBand="0" w:evenHBand="0" w:firstRowFirstColumn="0" w:firstRowLastColumn="0" w:lastRowFirstColumn="0" w:lastRowLastColumn="0"/>
            <w:tcW w:w="1204" w:type="pct"/>
            <w:shd w:val="clear" w:color="auto" w:fill="DEEAF6" w:themeFill="accent5" w:themeFillTint="33"/>
            <w:hideMark/>
          </w:tcPr>
          <w:p w14:paraId="44F08135" w14:textId="77777777" w:rsidR="00EA509E" w:rsidRPr="000F0299" w:rsidRDefault="00EA509E" w:rsidP="00EA509E">
            <w:pPr>
              <w:spacing w:before="0"/>
              <w:ind w:firstLine="0"/>
              <w:rPr>
                <w:b w:val="0"/>
                <w:bCs w:val="0"/>
                <w:sz w:val="20"/>
                <w:szCs w:val="20"/>
              </w:rPr>
            </w:pPr>
            <w:r w:rsidRPr="000F0299">
              <w:rPr>
                <w:b w:val="0"/>
                <w:bCs w:val="0"/>
                <w:sz w:val="20"/>
                <w:szCs w:val="20"/>
              </w:rPr>
              <w:t>УКУПНИ ТРОШКОВИ ОПРЕМАЊА</w:t>
            </w:r>
          </w:p>
        </w:tc>
        <w:tc>
          <w:tcPr>
            <w:tcW w:w="666" w:type="pct"/>
            <w:shd w:val="clear" w:color="auto" w:fill="DEEAF6" w:themeFill="accent5" w:themeFillTint="33"/>
            <w:hideMark/>
          </w:tcPr>
          <w:p w14:paraId="5999A1A6"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38</w:t>
            </w:r>
            <w:r>
              <w:rPr>
                <w:b/>
                <w:bCs/>
                <w:sz w:val="20"/>
                <w:szCs w:val="20"/>
              </w:rPr>
              <w:t>.</w:t>
            </w:r>
            <w:r w:rsidRPr="000F0299">
              <w:rPr>
                <w:b/>
                <w:bCs/>
                <w:sz w:val="20"/>
                <w:szCs w:val="20"/>
              </w:rPr>
              <w:t>400</w:t>
            </w:r>
            <w:r>
              <w:rPr>
                <w:b/>
                <w:bCs/>
                <w:sz w:val="20"/>
                <w:szCs w:val="20"/>
              </w:rPr>
              <w:t>.</w:t>
            </w:r>
            <w:r w:rsidRPr="000F0299">
              <w:rPr>
                <w:b/>
                <w:bCs/>
                <w:sz w:val="20"/>
                <w:szCs w:val="20"/>
              </w:rPr>
              <w:t>000</w:t>
            </w:r>
          </w:p>
        </w:tc>
        <w:tc>
          <w:tcPr>
            <w:tcW w:w="670" w:type="pct"/>
            <w:shd w:val="clear" w:color="auto" w:fill="DEEAF6" w:themeFill="accent5" w:themeFillTint="33"/>
            <w:hideMark/>
          </w:tcPr>
          <w:p w14:paraId="75DB3D82"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38</w:t>
            </w:r>
            <w:r>
              <w:rPr>
                <w:b/>
                <w:bCs/>
                <w:sz w:val="20"/>
                <w:szCs w:val="20"/>
              </w:rPr>
              <w:t>.</w:t>
            </w:r>
            <w:r w:rsidRPr="000F0299">
              <w:rPr>
                <w:b/>
                <w:bCs/>
                <w:sz w:val="20"/>
                <w:szCs w:val="20"/>
              </w:rPr>
              <w:t>400</w:t>
            </w:r>
            <w:r>
              <w:rPr>
                <w:b/>
                <w:bCs/>
                <w:sz w:val="20"/>
                <w:szCs w:val="20"/>
              </w:rPr>
              <w:t>.</w:t>
            </w:r>
            <w:r w:rsidRPr="000F0299">
              <w:rPr>
                <w:b/>
                <w:bCs/>
                <w:sz w:val="20"/>
                <w:szCs w:val="20"/>
              </w:rPr>
              <w:t>000</w:t>
            </w:r>
          </w:p>
        </w:tc>
        <w:tc>
          <w:tcPr>
            <w:tcW w:w="615" w:type="pct"/>
            <w:shd w:val="clear" w:color="auto" w:fill="DEEAF6" w:themeFill="accent5" w:themeFillTint="33"/>
            <w:hideMark/>
          </w:tcPr>
          <w:p w14:paraId="76D3AD1E"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12</w:t>
            </w:r>
            <w:r>
              <w:rPr>
                <w:b/>
                <w:bCs/>
                <w:sz w:val="20"/>
                <w:szCs w:val="20"/>
              </w:rPr>
              <w:t>.</w:t>
            </w:r>
            <w:r w:rsidRPr="000F0299">
              <w:rPr>
                <w:b/>
                <w:bCs/>
                <w:sz w:val="20"/>
                <w:szCs w:val="20"/>
              </w:rPr>
              <w:t>000</w:t>
            </w:r>
            <w:r>
              <w:rPr>
                <w:b/>
                <w:bCs/>
                <w:sz w:val="20"/>
                <w:szCs w:val="20"/>
              </w:rPr>
              <w:t>.</w:t>
            </w:r>
            <w:r w:rsidRPr="000F0299">
              <w:rPr>
                <w:b/>
                <w:bCs/>
                <w:sz w:val="20"/>
                <w:szCs w:val="20"/>
              </w:rPr>
              <w:t>000</w:t>
            </w:r>
          </w:p>
        </w:tc>
        <w:tc>
          <w:tcPr>
            <w:tcW w:w="615" w:type="pct"/>
            <w:shd w:val="clear" w:color="auto" w:fill="DEEAF6" w:themeFill="accent5" w:themeFillTint="33"/>
            <w:hideMark/>
          </w:tcPr>
          <w:p w14:paraId="31A552B5"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4</w:t>
            </w:r>
            <w:r>
              <w:rPr>
                <w:b/>
                <w:bCs/>
                <w:sz w:val="20"/>
                <w:szCs w:val="20"/>
              </w:rPr>
              <w:t>.</w:t>
            </w:r>
            <w:r w:rsidRPr="000F0299">
              <w:rPr>
                <w:b/>
                <w:bCs/>
                <w:sz w:val="20"/>
                <w:szCs w:val="20"/>
              </w:rPr>
              <w:t>800</w:t>
            </w:r>
            <w:r>
              <w:rPr>
                <w:b/>
                <w:bCs/>
                <w:sz w:val="20"/>
                <w:szCs w:val="20"/>
              </w:rPr>
              <w:t>.</w:t>
            </w:r>
            <w:r w:rsidRPr="000F0299">
              <w:rPr>
                <w:b/>
                <w:bCs/>
                <w:sz w:val="20"/>
                <w:szCs w:val="20"/>
              </w:rPr>
              <w:t>000</w:t>
            </w:r>
          </w:p>
        </w:tc>
        <w:tc>
          <w:tcPr>
            <w:tcW w:w="615" w:type="pct"/>
            <w:shd w:val="clear" w:color="auto" w:fill="DEEAF6" w:themeFill="accent5" w:themeFillTint="33"/>
            <w:hideMark/>
          </w:tcPr>
          <w:p w14:paraId="2E62B881"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19</w:t>
            </w:r>
            <w:r>
              <w:rPr>
                <w:b/>
                <w:bCs/>
                <w:sz w:val="20"/>
                <w:szCs w:val="20"/>
              </w:rPr>
              <w:t>.</w:t>
            </w:r>
            <w:r w:rsidRPr="000F0299">
              <w:rPr>
                <w:b/>
                <w:bCs/>
                <w:sz w:val="20"/>
                <w:szCs w:val="20"/>
              </w:rPr>
              <w:t>200</w:t>
            </w:r>
            <w:r>
              <w:rPr>
                <w:b/>
                <w:bCs/>
                <w:sz w:val="20"/>
                <w:szCs w:val="20"/>
              </w:rPr>
              <w:t>.</w:t>
            </w:r>
            <w:r w:rsidRPr="000F0299">
              <w:rPr>
                <w:b/>
                <w:bCs/>
                <w:sz w:val="20"/>
                <w:szCs w:val="20"/>
              </w:rPr>
              <w:t>000</w:t>
            </w:r>
          </w:p>
        </w:tc>
        <w:tc>
          <w:tcPr>
            <w:tcW w:w="615" w:type="pct"/>
            <w:shd w:val="clear" w:color="auto" w:fill="DEEAF6" w:themeFill="accent5" w:themeFillTint="33"/>
            <w:hideMark/>
          </w:tcPr>
          <w:p w14:paraId="1C4D0309" w14:textId="77777777" w:rsidR="00EA509E" w:rsidRPr="000F0299" w:rsidRDefault="00EA509E" w:rsidP="00EA509E">
            <w:pPr>
              <w:spacing w:before="0"/>
              <w:ind w:firstLine="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0F0299">
              <w:rPr>
                <w:b/>
                <w:bCs/>
                <w:sz w:val="20"/>
                <w:szCs w:val="20"/>
              </w:rPr>
              <w:t>19</w:t>
            </w:r>
            <w:r>
              <w:rPr>
                <w:b/>
                <w:bCs/>
                <w:sz w:val="20"/>
                <w:szCs w:val="20"/>
              </w:rPr>
              <w:t>.</w:t>
            </w:r>
            <w:r w:rsidRPr="000F0299">
              <w:rPr>
                <w:b/>
                <w:bCs/>
                <w:sz w:val="20"/>
                <w:szCs w:val="20"/>
              </w:rPr>
              <w:t>200</w:t>
            </w:r>
            <w:r>
              <w:rPr>
                <w:b/>
                <w:bCs/>
                <w:sz w:val="20"/>
                <w:szCs w:val="20"/>
              </w:rPr>
              <w:t>.</w:t>
            </w:r>
            <w:r w:rsidRPr="000F0299">
              <w:rPr>
                <w:b/>
                <w:bCs/>
                <w:sz w:val="20"/>
                <w:szCs w:val="20"/>
              </w:rPr>
              <w:t>000</w:t>
            </w:r>
          </w:p>
        </w:tc>
      </w:tr>
    </w:tbl>
    <w:p w14:paraId="2B0C232A" w14:textId="15044846" w:rsidR="003D5E32" w:rsidRPr="000F0299" w:rsidRDefault="003D5E32" w:rsidP="003D5E32">
      <w:pPr>
        <w:keepNext/>
        <w:spacing w:before="240" w:after="0"/>
        <w:rPr>
          <w:i/>
          <w:iCs/>
          <w:color w:val="44546A" w:themeColor="text2"/>
          <w:sz w:val="18"/>
          <w:szCs w:val="18"/>
        </w:rPr>
      </w:pPr>
    </w:p>
    <w:p w14:paraId="60556F9B" w14:textId="77777777" w:rsidR="003D5E32" w:rsidRPr="000F0299" w:rsidRDefault="003D5E32">
      <w:pPr>
        <w:suppressAutoHyphens w:val="0"/>
        <w:autoSpaceDN/>
        <w:spacing w:before="0" w:after="160" w:line="259" w:lineRule="auto"/>
        <w:ind w:firstLine="0"/>
        <w:jc w:val="left"/>
        <w:textAlignment w:val="auto"/>
        <w:rPr>
          <w:i/>
          <w:iCs/>
          <w:color w:val="44546A" w:themeColor="text2"/>
          <w:sz w:val="18"/>
          <w:szCs w:val="18"/>
        </w:rPr>
      </w:pPr>
      <w:r w:rsidRPr="000F0299">
        <w:rPr>
          <w:i/>
          <w:iCs/>
          <w:color w:val="44546A" w:themeColor="text2"/>
          <w:sz w:val="18"/>
          <w:szCs w:val="18"/>
        </w:rPr>
        <w:br w:type="page"/>
      </w:r>
    </w:p>
    <w:p w14:paraId="6C3412D8" w14:textId="0863B4DE" w:rsidR="009F5263" w:rsidRPr="00952BF5" w:rsidRDefault="009F5263" w:rsidP="003D5E32">
      <w:pPr>
        <w:keepNext/>
        <w:spacing w:before="240" w:after="0"/>
        <w:rPr>
          <w:color w:val="44546A" w:themeColor="text2"/>
          <w:sz w:val="18"/>
          <w:szCs w:val="18"/>
        </w:rPr>
      </w:pPr>
      <w:bookmarkStart w:id="178" w:name="_Toc57665379"/>
      <w:r w:rsidRPr="00952BF5">
        <w:rPr>
          <w:color w:val="44546A" w:themeColor="text2"/>
          <w:sz w:val="18"/>
          <w:szCs w:val="18"/>
        </w:rPr>
        <w:t xml:space="preserve">Табела </w:t>
      </w:r>
      <w:r w:rsidRPr="00952BF5">
        <w:rPr>
          <w:color w:val="44546A" w:themeColor="text2"/>
          <w:sz w:val="18"/>
          <w:szCs w:val="18"/>
        </w:rPr>
        <w:fldChar w:fldCharType="begin"/>
      </w:r>
      <w:r w:rsidRPr="00952BF5">
        <w:rPr>
          <w:color w:val="44546A" w:themeColor="text2"/>
          <w:sz w:val="18"/>
          <w:szCs w:val="18"/>
        </w:rPr>
        <w:instrText xml:space="preserve"> SEQ Табела \* ARABIC </w:instrText>
      </w:r>
      <w:r w:rsidRPr="00952BF5">
        <w:rPr>
          <w:color w:val="44546A" w:themeColor="text2"/>
          <w:sz w:val="18"/>
          <w:szCs w:val="18"/>
        </w:rPr>
        <w:fldChar w:fldCharType="separate"/>
      </w:r>
      <w:r w:rsidR="00772172" w:rsidRPr="00952BF5">
        <w:rPr>
          <w:noProof/>
          <w:color w:val="44546A" w:themeColor="text2"/>
          <w:sz w:val="18"/>
          <w:szCs w:val="18"/>
        </w:rPr>
        <w:t>7</w:t>
      </w:r>
      <w:r w:rsidRPr="00952BF5">
        <w:rPr>
          <w:color w:val="44546A" w:themeColor="text2"/>
          <w:sz w:val="18"/>
          <w:szCs w:val="18"/>
        </w:rPr>
        <w:fldChar w:fldCharType="end"/>
      </w:r>
      <w:r w:rsidRPr="00952BF5">
        <w:rPr>
          <w:color w:val="44546A" w:themeColor="text2"/>
          <w:sz w:val="18"/>
          <w:szCs w:val="18"/>
        </w:rPr>
        <w:t xml:space="preserve"> Табела за одабир опције</w:t>
      </w:r>
      <w:r w:rsidR="00B14976">
        <w:rPr>
          <w:color w:val="44546A" w:themeColor="text2"/>
          <w:sz w:val="18"/>
          <w:szCs w:val="18"/>
        </w:rPr>
        <w:t xml:space="preserve"> за циљ 3.1.</w:t>
      </w:r>
      <w:bookmarkEnd w:id="178"/>
    </w:p>
    <w:tbl>
      <w:tblPr>
        <w:tblStyle w:val="TableGrid1"/>
        <w:tblW w:w="5081" w:type="pct"/>
        <w:tblLayout w:type="fixed"/>
        <w:tblLook w:val="04A0" w:firstRow="1" w:lastRow="0" w:firstColumn="1" w:lastColumn="0" w:noHBand="0" w:noVBand="1"/>
      </w:tblPr>
      <w:tblGrid>
        <w:gridCol w:w="3113"/>
        <w:gridCol w:w="879"/>
        <w:gridCol w:w="877"/>
        <w:gridCol w:w="875"/>
        <w:gridCol w:w="875"/>
        <w:gridCol w:w="875"/>
        <w:gridCol w:w="875"/>
        <w:gridCol w:w="840"/>
      </w:tblGrid>
      <w:tr w:rsidR="009F5263" w:rsidRPr="000F0299" w14:paraId="4F02A9DB" w14:textId="77777777" w:rsidTr="00EA509E">
        <w:trPr>
          <w:trHeight w:val="342"/>
        </w:trPr>
        <w:tc>
          <w:tcPr>
            <w:tcW w:w="1691" w:type="pct"/>
            <w:vMerge w:val="restart"/>
          </w:tcPr>
          <w:p w14:paraId="24C3D9C3" w14:textId="77777777" w:rsidR="009F5263" w:rsidRPr="000F0299" w:rsidRDefault="009F5263" w:rsidP="009F5263">
            <w:pPr>
              <w:spacing w:before="0"/>
              <w:ind w:firstLine="0"/>
              <w:rPr>
                <w:sz w:val="22"/>
                <w:szCs w:val="22"/>
              </w:rPr>
            </w:pPr>
            <w:r w:rsidRPr="000F0299">
              <w:rPr>
                <w:sz w:val="22"/>
                <w:szCs w:val="22"/>
              </w:rPr>
              <w:t>Критеријуми</w:t>
            </w:r>
          </w:p>
          <w:p w14:paraId="0885D9E5" w14:textId="77777777" w:rsidR="009F5263" w:rsidRPr="000F0299" w:rsidRDefault="009F5263" w:rsidP="009F5263">
            <w:pPr>
              <w:spacing w:before="0"/>
              <w:ind w:firstLine="0"/>
              <w:rPr>
                <w:sz w:val="22"/>
                <w:szCs w:val="22"/>
              </w:rPr>
            </w:pPr>
            <w:r w:rsidRPr="000F0299">
              <w:rPr>
                <w:sz w:val="22"/>
                <w:szCs w:val="22"/>
              </w:rPr>
              <w:t>Оцена (1-3)</w:t>
            </w:r>
          </w:p>
          <w:p w14:paraId="1204E7AF" w14:textId="77777777" w:rsidR="009F5263" w:rsidRPr="000F0299" w:rsidRDefault="009F5263" w:rsidP="009F5263">
            <w:pPr>
              <w:spacing w:before="0"/>
              <w:ind w:firstLine="0"/>
              <w:rPr>
                <w:sz w:val="22"/>
                <w:szCs w:val="22"/>
              </w:rPr>
            </w:pPr>
            <w:r w:rsidRPr="000F0299">
              <w:rPr>
                <w:sz w:val="22"/>
                <w:szCs w:val="22"/>
              </w:rPr>
              <w:t>Директан ефекат (пондер 2)</w:t>
            </w:r>
          </w:p>
          <w:p w14:paraId="6138CE9B" w14:textId="77777777" w:rsidR="009F5263" w:rsidRPr="000F0299" w:rsidRDefault="009F5263" w:rsidP="009F5263">
            <w:pPr>
              <w:spacing w:before="0"/>
              <w:ind w:firstLine="0"/>
              <w:rPr>
                <w:sz w:val="22"/>
                <w:szCs w:val="22"/>
              </w:rPr>
            </w:pPr>
            <w:r w:rsidRPr="000F0299">
              <w:rPr>
                <w:sz w:val="22"/>
                <w:szCs w:val="22"/>
              </w:rPr>
              <w:t>индиректан ефекат (пондер 1)</w:t>
            </w:r>
          </w:p>
        </w:tc>
        <w:tc>
          <w:tcPr>
            <w:tcW w:w="3309" w:type="pct"/>
            <w:gridSpan w:val="7"/>
          </w:tcPr>
          <w:p w14:paraId="5B5B0CB0" w14:textId="77777777" w:rsidR="009F5263" w:rsidRPr="000F0299" w:rsidRDefault="009F5263" w:rsidP="009F5263">
            <w:pPr>
              <w:spacing w:before="0"/>
              <w:jc w:val="center"/>
              <w:rPr>
                <w:sz w:val="22"/>
                <w:szCs w:val="22"/>
              </w:rPr>
            </w:pPr>
            <w:r w:rsidRPr="000F0299">
              <w:rPr>
                <w:sz w:val="22"/>
                <w:szCs w:val="22"/>
              </w:rPr>
              <w:t>Укупно</w:t>
            </w:r>
          </w:p>
        </w:tc>
      </w:tr>
      <w:tr w:rsidR="009F5263" w:rsidRPr="000F0299" w14:paraId="6936AE54" w14:textId="77777777" w:rsidTr="00EA509E">
        <w:trPr>
          <w:cantSplit/>
          <w:trHeight w:val="1134"/>
        </w:trPr>
        <w:tc>
          <w:tcPr>
            <w:tcW w:w="1691" w:type="pct"/>
            <w:vMerge/>
          </w:tcPr>
          <w:p w14:paraId="343B224E" w14:textId="77777777" w:rsidR="009F5263" w:rsidRPr="000F0299" w:rsidRDefault="009F5263" w:rsidP="009F5263">
            <w:pPr>
              <w:spacing w:before="0"/>
              <w:rPr>
                <w:sz w:val="22"/>
                <w:szCs w:val="22"/>
              </w:rPr>
            </w:pPr>
          </w:p>
        </w:tc>
        <w:tc>
          <w:tcPr>
            <w:tcW w:w="477" w:type="pct"/>
            <w:textDirection w:val="btLr"/>
          </w:tcPr>
          <w:p w14:paraId="5B9FEBD1" w14:textId="77777777" w:rsidR="009F5263" w:rsidRPr="000F0299" w:rsidRDefault="009F5263" w:rsidP="009F5263">
            <w:pPr>
              <w:spacing w:before="0"/>
              <w:ind w:left="113" w:right="113" w:firstLine="0"/>
              <w:rPr>
                <w:sz w:val="22"/>
                <w:szCs w:val="22"/>
              </w:rPr>
            </w:pPr>
            <w:r w:rsidRPr="000F0299">
              <w:rPr>
                <w:sz w:val="22"/>
                <w:szCs w:val="22"/>
              </w:rPr>
              <w:t>Опција 1</w:t>
            </w:r>
          </w:p>
        </w:tc>
        <w:tc>
          <w:tcPr>
            <w:tcW w:w="476" w:type="pct"/>
            <w:textDirection w:val="btLr"/>
          </w:tcPr>
          <w:p w14:paraId="212696D5" w14:textId="77777777" w:rsidR="009F5263" w:rsidRPr="000F0299" w:rsidRDefault="009F5263" w:rsidP="009F5263">
            <w:pPr>
              <w:spacing w:before="0"/>
              <w:ind w:left="113" w:right="113" w:firstLine="0"/>
              <w:rPr>
                <w:sz w:val="22"/>
                <w:szCs w:val="22"/>
              </w:rPr>
            </w:pPr>
            <w:r w:rsidRPr="000F0299">
              <w:rPr>
                <w:sz w:val="22"/>
                <w:szCs w:val="22"/>
              </w:rPr>
              <w:t>Опција 2</w:t>
            </w:r>
          </w:p>
        </w:tc>
        <w:tc>
          <w:tcPr>
            <w:tcW w:w="475" w:type="pct"/>
            <w:textDirection w:val="btLr"/>
          </w:tcPr>
          <w:p w14:paraId="60751E0D" w14:textId="77777777" w:rsidR="009F5263" w:rsidRPr="000F0299" w:rsidRDefault="009F5263" w:rsidP="009F5263">
            <w:pPr>
              <w:spacing w:before="0"/>
              <w:ind w:left="113" w:right="113" w:firstLine="0"/>
              <w:rPr>
                <w:sz w:val="22"/>
                <w:szCs w:val="22"/>
              </w:rPr>
            </w:pPr>
            <w:r w:rsidRPr="000F0299">
              <w:rPr>
                <w:sz w:val="22"/>
                <w:szCs w:val="22"/>
              </w:rPr>
              <w:t>Опција 3</w:t>
            </w:r>
          </w:p>
        </w:tc>
        <w:tc>
          <w:tcPr>
            <w:tcW w:w="475" w:type="pct"/>
            <w:textDirection w:val="btLr"/>
          </w:tcPr>
          <w:p w14:paraId="080ECD2A" w14:textId="77777777" w:rsidR="009F5263" w:rsidRPr="000F0299" w:rsidRDefault="009F5263" w:rsidP="009F5263">
            <w:pPr>
              <w:spacing w:before="0"/>
              <w:ind w:left="113" w:right="113" w:firstLine="0"/>
              <w:rPr>
                <w:sz w:val="22"/>
                <w:szCs w:val="22"/>
              </w:rPr>
            </w:pPr>
            <w:r w:rsidRPr="000F0299">
              <w:rPr>
                <w:sz w:val="22"/>
                <w:szCs w:val="22"/>
              </w:rPr>
              <w:t>Опција 4</w:t>
            </w:r>
          </w:p>
        </w:tc>
        <w:tc>
          <w:tcPr>
            <w:tcW w:w="475" w:type="pct"/>
            <w:textDirection w:val="btLr"/>
          </w:tcPr>
          <w:p w14:paraId="3AE18213" w14:textId="77777777" w:rsidR="009F5263" w:rsidRPr="000F0299" w:rsidRDefault="009F5263" w:rsidP="009F5263">
            <w:pPr>
              <w:spacing w:before="0"/>
              <w:ind w:left="113" w:right="113" w:firstLine="0"/>
              <w:rPr>
                <w:sz w:val="22"/>
                <w:szCs w:val="22"/>
              </w:rPr>
            </w:pPr>
            <w:r w:rsidRPr="000F0299">
              <w:rPr>
                <w:sz w:val="22"/>
                <w:szCs w:val="22"/>
              </w:rPr>
              <w:t>Опција 5</w:t>
            </w:r>
          </w:p>
        </w:tc>
        <w:tc>
          <w:tcPr>
            <w:tcW w:w="475" w:type="pct"/>
            <w:textDirection w:val="btLr"/>
          </w:tcPr>
          <w:p w14:paraId="7847E71E" w14:textId="77777777" w:rsidR="009F5263" w:rsidRPr="000F0299" w:rsidRDefault="009F5263" w:rsidP="009F5263">
            <w:pPr>
              <w:spacing w:before="0"/>
              <w:ind w:left="113" w:right="113" w:firstLine="0"/>
              <w:rPr>
                <w:sz w:val="22"/>
                <w:szCs w:val="22"/>
              </w:rPr>
            </w:pPr>
            <w:r w:rsidRPr="000F0299">
              <w:rPr>
                <w:sz w:val="22"/>
                <w:szCs w:val="22"/>
              </w:rPr>
              <w:t>Опција 6</w:t>
            </w:r>
          </w:p>
        </w:tc>
        <w:tc>
          <w:tcPr>
            <w:tcW w:w="456" w:type="pct"/>
            <w:textDirection w:val="btLr"/>
          </w:tcPr>
          <w:p w14:paraId="797A7064" w14:textId="77777777" w:rsidR="009F5263" w:rsidRPr="000F0299" w:rsidRDefault="009F5263" w:rsidP="009F5263">
            <w:pPr>
              <w:spacing w:before="0"/>
              <w:ind w:left="113" w:right="113" w:firstLine="0"/>
              <w:rPr>
                <w:sz w:val="22"/>
                <w:szCs w:val="22"/>
              </w:rPr>
            </w:pPr>
            <w:r w:rsidRPr="000F0299">
              <w:rPr>
                <w:sz w:val="22"/>
                <w:szCs w:val="22"/>
              </w:rPr>
              <w:t>Опција 7</w:t>
            </w:r>
          </w:p>
        </w:tc>
      </w:tr>
      <w:tr w:rsidR="009F5263" w:rsidRPr="000F0299" w14:paraId="073738E8" w14:textId="77777777" w:rsidTr="00EA509E">
        <w:trPr>
          <w:trHeight w:val="320"/>
        </w:trPr>
        <w:tc>
          <w:tcPr>
            <w:tcW w:w="5000" w:type="pct"/>
            <w:gridSpan w:val="8"/>
            <w:shd w:val="clear" w:color="auto" w:fill="DEEAF6" w:themeFill="accent5" w:themeFillTint="33"/>
          </w:tcPr>
          <w:p w14:paraId="71CAAC0C" w14:textId="77777777" w:rsidR="009F5263" w:rsidRPr="000F0299" w:rsidRDefault="009F5263" w:rsidP="009F5263">
            <w:pPr>
              <w:spacing w:before="0"/>
              <w:ind w:firstLine="0"/>
              <w:rPr>
                <w:sz w:val="22"/>
                <w:szCs w:val="22"/>
              </w:rPr>
            </w:pPr>
            <w:r w:rsidRPr="000F0299">
              <w:rPr>
                <w:sz w:val="22"/>
                <w:szCs w:val="22"/>
              </w:rPr>
              <w:t>Специфични критеријуми</w:t>
            </w:r>
          </w:p>
        </w:tc>
      </w:tr>
      <w:tr w:rsidR="009F5263" w:rsidRPr="000F0299" w14:paraId="01D39F89" w14:textId="77777777" w:rsidTr="00EA509E">
        <w:trPr>
          <w:trHeight w:val="108"/>
        </w:trPr>
        <w:tc>
          <w:tcPr>
            <w:tcW w:w="1691" w:type="pct"/>
          </w:tcPr>
          <w:p w14:paraId="6C8EC929" w14:textId="77777777" w:rsidR="009F5263" w:rsidRPr="000F0299" w:rsidRDefault="009F5263" w:rsidP="009F5263">
            <w:pPr>
              <w:spacing w:before="0"/>
              <w:ind w:firstLine="0"/>
              <w:rPr>
                <w:sz w:val="22"/>
                <w:szCs w:val="22"/>
              </w:rPr>
            </w:pPr>
            <w:r w:rsidRPr="000F0299">
              <w:rPr>
                <w:sz w:val="22"/>
                <w:szCs w:val="22"/>
              </w:rPr>
              <w:t>Какав утицај има опција на грађане?</w:t>
            </w:r>
          </w:p>
        </w:tc>
        <w:tc>
          <w:tcPr>
            <w:tcW w:w="477" w:type="pct"/>
          </w:tcPr>
          <w:p w14:paraId="3CC82288" w14:textId="77777777" w:rsidR="009F5263" w:rsidRPr="000F0299" w:rsidRDefault="009F5263" w:rsidP="009F5263">
            <w:pPr>
              <w:spacing w:before="0"/>
              <w:ind w:firstLine="0"/>
              <w:rPr>
                <w:sz w:val="22"/>
                <w:szCs w:val="22"/>
              </w:rPr>
            </w:pPr>
            <w:r w:rsidRPr="000F0299">
              <w:rPr>
                <w:sz w:val="22"/>
                <w:szCs w:val="22"/>
              </w:rPr>
              <w:t>1x1=1</w:t>
            </w:r>
          </w:p>
        </w:tc>
        <w:tc>
          <w:tcPr>
            <w:tcW w:w="476" w:type="pct"/>
          </w:tcPr>
          <w:p w14:paraId="64E17FF7" w14:textId="77777777" w:rsidR="009F5263" w:rsidRPr="000F0299" w:rsidRDefault="009F5263" w:rsidP="009F5263">
            <w:pPr>
              <w:spacing w:before="0"/>
              <w:ind w:firstLine="0"/>
              <w:rPr>
                <w:sz w:val="22"/>
                <w:szCs w:val="22"/>
              </w:rPr>
            </w:pPr>
            <w:r w:rsidRPr="000F0299">
              <w:rPr>
                <w:sz w:val="22"/>
                <w:szCs w:val="22"/>
              </w:rPr>
              <w:t>2x2=4</w:t>
            </w:r>
          </w:p>
        </w:tc>
        <w:tc>
          <w:tcPr>
            <w:tcW w:w="475" w:type="pct"/>
          </w:tcPr>
          <w:p w14:paraId="39F7084A"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5505C564"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5972643E"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147C9357" w14:textId="77777777" w:rsidR="009F5263" w:rsidRPr="000F0299" w:rsidRDefault="009F5263" w:rsidP="009F5263">
            <w:pPr>
              <w:spacing w:before="0"/>
              <w:ind w:firstLine="0"/>
              <w:rPr>
                <w:sz w:val="22"/>
                <w:szCs w:val="22"/>
              </w:rPr>
            </w:pPr>
            <w:r w:rsidRPr="000F0299">
              <w:rPr>
                <w:sz w:val="22"/>
                <w:szCs w:val="22"/>
              </w:rPr>
              <w:t>2x2=4</w:t>
            </w:r>
          </w:p>
        </w:tc>
        <w:tc>
          <w:tcPr>
            <w:tcW w:w="456" w:type="pct"/>
          </w:tcPr>
          <w:p w14:paraId="0A2D2AE7" w14:textId="77777777" w:rsidR="009F5263" w:rsidRPr="000F0299" w:rsidRDefault="009F5263" w:rsidP="009F5263">
            <w:pPr>
              <w:spacing w:before="0"/>
              <w:ind w:firstLine="0"/>
              <w:rPr>
                <w:sz w:val="22"/>
                <w:szCs w:val="22"/>
              </w:rPr>
            </w:pPr>
            <w:r w:rsidRPr="000F0299">
              <w:rPr>
                <w:sz w:val="22"/>
                <w:szCs w:val="22"/>
              </w:rPr>
              <w:t>3x2 =6</w:t>
            </w:r>
          </w:p>
        </w:tc>
      </w:tr>
      <w:tr w:rsidR="009F5263" w:rsidRPr="000F0299" w14:paraId="5B02196D" w14:textId="77777777" w:rsidTr="00EA509E">
        <w:trPr>
          <w:trHeight w:val="403"/>
        </w:trPr>
        <w:tc>
          <w:tcPr>
            <w:tcW w:w="1691" w:type="pct"/>
          </w:tcPr>
          <w:p w14:paraId="2E9C066A" w14:textId="77777777" w:rsidR="009F5263" w:rsidRPr="000F0299" w:rsidRDefault="009F5263" w:rsidP="009F5263">
            <w:pPr>
              <w:spacing w:before="0"/>
              <w:ind w:firstLine="0"/>
              <w:rPr>
                <w:sz w:val="22"/>
                <w:szCs w:val="22"/>
              </w:rPr>
            </w:pPr>
            <w:r w:rsidRPr="000F0299">
              <w:rPr>
                <w:sz w:val="22"/>
                <w:szCs w:val="22"/>
              </w:rPr>
              <w:t>Какав утицај има опција по привреду?</w:t>
            </w:r>
          </w:p>
        </w:tc>
        <w:tc>
          <w:tcPr>
            <w:tcW w:w="477" w:type="pct"/>
          </w:tcPr>
          <w:p w14:paraId="32AEDA77" w14:textId="77777777" w:rsidR="009F5263" w:rsidRPr="000F0299" w:rsidRDefault="009F5263" w:rsidP="009F5263">
            <w:pPr>
              <w:spacing w:before="0"/>
              <w:ind w:firstLine="0"/>
              <w:rPr>
                <w:sz w:val="22"/>
                <w:szCs w:val="22"/>
              </w:rPr>
            </w:pPr>
            <w:r w:rsidRPr="000F0299">
              <w:rPr>
                <w:sz w:val="22"/>
                <w:szCs w:val="22"/>
              </w:rPr>
              <w:t>1x1=1</w:t>
            </w:r>
          </w:p>
        </w:tc>
        <w:tc>
          <w:tcPr>
            <w:tcW w:w="476" w:type="pct"/>
          </w:tcPr>
          <w:p w14:paraId="78FFDC6C" w14:textId="77777777" w:rsidR="009F5263" w:rsidRPr="000F0299" w:rsidRDefault="009F5263" w:rsidP="009F5263">
            <w:pPr>
              <w:spacing w:before="0"/>
              <w:ind w:firstLine="0"/>
              <w:rPr>
                <w:sz w:val="22"/>
                <w:szCs w:val="22"/>
              </w:rPr>
            </w:pPr>
            <w:r w:rsidRPr="000F0299">
              <w:rPr>
                <w:sz w:val="22"/>
                <w:szCs w:val="22"/>
              </w:rPr>
              <w:t>2x2=4</w:t>
            </w:r>
          </w:p>
        </w:tc>
        <w:tc>
          <w:tcPr>
            <w:tcW w:w="475" w:type="pct"/>
          </w:tcPr>
          <w:p w14:paraId="0AB8093C"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5146E8C9"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285D4462"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1D152385" w14:textId="77777777" w:rsidR="009F5263" w:rsidRPr="000F0299" w:rsidRDefault="009F5263" w:rsidP="009F5263">
            <w:pPr>
              <w:spacing w:before="0"/>
              <w:ind w:firstLine="0"/>
              <w:rPr>
                <w:sz w:val="22"/>
                <w:szCs w:val="22"/>
              </w:rPr>
            </w:pPr>
            <w:r w:rsidRPr="000F0299">
              <w:rPr>
                <w:sz w:val="22"/>
                <w:szCs w:val="22"/>
              </w:rPr>
              <w:t>2x2=4</w:t>
            </w:r>
          </w:p>
        </w:tc>
        <w:tc>
          <w:tcPr>
            <w:tcW w:w="456" w:type="pct"/>
          </w:tcPr>
          <w:p w14:paraId="4F005678" w14:textId="77777777" w:rsidR="009F5263" w:rsidRPr="000F0299" w:rsidRDefault="009F5263" w:rsidP="009F5263">
            <w:pPr>
              <w:spacing w:before="0"/>
              <w:ind w:firstLine="0"/>
              <w:rPr>
                <w:sz w:val="22"/>
                <w:szCs w:val="22"/>
              </w:rPr>
            </w:pPr>
            <w:r w:rsidRPr="000F0299">
              <w:rPr>
                <w:sz w:val="22"/>
                <w:szCs w:val="22"/>
              </w:rPr>
              <w:t>3x2=6</w:t>
            </w:r>
          </w:p>
        </w:tc>
      </w:tr>
      <w:tr w:rsidR="009F5263" w:rsidRPr="000F0299" w14:paraId="787C7A56" w14:textId="77777777" w:rsidTr="00EA509E">
        <w:trPr>
          <w:trHeight w:val="696"/>
        </w:trPr>
        <w:tc>
          <w:tcPr>
            <w:tcW w:w="1691" w:type="pct"/>
          </w:tcPr>
          <w:p w14:paraId="7A9650A6" w14:textId="77777777" w:rsidR="009F5263" w:rsidRPr="000F0299" w:rsidRDefault="009F5263" w:rsidP="009F5263">
            <w:pPr>
              <w:spacing w:before="0"/>
              <w:ind w:firstLine="0"/>
              <w:rPr>
                <w:sz w:val="22"/>
                <w:szCs w:val="22"/>
              </w:rPr>
            </w:pPr>
            <w:r w:rsidRPr="000F0299">
              <w:rPr>
                <w:sz w:val="22"/>
                <w:szCs w:val="22"/>
              </w:rPr>
              <w:t xml:space="preserve">Да ли опција утиче на ефикасност и ефективност у планирању кадрова и њиховом ангажману у пружању услуга крајњим корисницима? </w:t>
            </w:r>
          </w:p>
        </w:tc>
        <w:tc>
          <w:tcPr>
            <w:tcW w:w="477" w:type="pct"/>
          </w:tcPr>
          <w:p w14:paraId="73A0D947" w14:textId="77777777" w:rsidR="009F5263" w:rsidRPr="000F0299" w:rsidRDefault="009F5263" w:rsidP="009F5263">
            <w:pPr>
              <w:spacing w:before="0"/>
              <w:ind w:firstLine="0"/>
              <w:rPr>
                <w:sz w:val="22"/>
                <w:szCs w:val="22"/>
              </w:rPr>
            </w:pPr>
            <w:r w:rsidRPr="000F0299">
              <w:rPr>
                <w:sz w:val="22"/>
                <w:szCs w:val="22"/>
              </w:rPr>
              <w:t>1x1=1</w:t>
            </w:r>
          </w:p>
        </w:tc>
        <w:tc>
          <w:tcPr>
            <w:tcW w:w="476" w:type="pct"/>
          </w:tcPr>
          <w:p w14:paraId="7CBC6510" w14:textId="77777777" w:rsidR="009F5263" w:rsidRPr="000F0299" w:rsidRDefault="009F5263" w:rsidP="009F5263">
            <w:pPr>
              <w:spacing w:before="0"/>
              <w:ind w:firstLine="0"/>
              <w:rPr>
                <w:sz w:val="22"/>
                <w:szCs w:val="22"/>
              </w:rPr>
            </w:pPr>
            <w:r w:rsidRPr="000F0299">
              <w:rPr>
                <w:sz w:val="22"/>
                <w:szCs w:val="22"/>
              </w:rPr>
              <w:t>2x2=4</w:t>
            </w:r>
          </w:p>
        </w:tc>
        <w:tc>
          <w:tcPr>
            <w:tcW w:w="475" w:type="pct"/>
          </w:tcPr>
          <w:p w14:paraId="627E02C8"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173DA91F"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338DC468"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60B4A1D2" w14:textId="77777777" w:rsidR="009F5263" w:rsidRPr="000F0299" w:rsidRDefault="009F5263" w:rsidP="009F5263">
            <w:pPr>
              <w:spacing w:before="0"/>
              <w:ind w:firstLine="0"/>
              <w:rPr>
                <w:sz w:val="22"/>
                <w:szCs w:val="22"/>
              </w:rPr>
            </w:pPr>
            <w:r w:rsidRPr="000F0299">
              <w:rPr>
                <w:sz w:val="22"/>
                <w:szCs w:val="22"/>
              </w:rPr>
              <w:t>2x2=4</w:t>
            </w:r>
          </w:p>
        </w:tc>
        <w:tc>
          <w:tcPr>
            <w:tcW w:w="456" w:type="pct"/>
          </w:tcPr>
          <w:p w14:paraId="0CB0DF8A" w14:textId="77777777" w:rsidR="009F5263" w:rsidRPr="000F0299" w:rsidRDefault="009F5263" w:rsidP="009F5263">
            <w:pPr>
              <w:spacing w:before="0"/>
              <w:ind w:firstLine="0"/>
              <w:rPr>
                <w:sz w:val="22"/>
                <w:szCs w:val="22"/>
              </w:rPr>
            </w:pPr>
            <w:r w:rsidRPr="000F0299">
              <w:rPr>
                <w:sz w:val="22"/>
                <w:szCs w:val="22"/>
              </w:rPr>
              <w:t>3x2=6</w:t>
            </w:r>
          </w:p>
        </w:tc>
      </w:tr>
      <w:tr w:rsidR="009F5263" w:rsidRPr="000F0299" w14:paraId="0149B6CC" w14:textId="77777777" w:rsidTr="00EA509E">
        <w:trPr>
          <w:trHeight w:val="696"/>
        </w:trPr>
        <w:tc>
          <w:tcPr>
            <w:tcW w:w="1691" w:type="pct"/>
          </w:tcPr>
          <w:p w14:paraId="5A6E20D7" w14:textId="77777777" w:rsidR="009F5263" w:rsidRPr="000F0299" w:rsidRDefault="009F5263" w:rsidP="009F5263">
            <w:pPr>
              <w:spacing w:before="0"/>
              <w:ind w:firstLine="0"/>
              <w:rPr>
                <w:sz w:val="22"/>
                <w:szCs w:val="22"/>
              </w:rPr>
            </w:pPr>
            <w:r w:rsidRPr="000F0299">
              <w:rPr>
                <w:sz w:val="22"/>
                <w:szCs w:val="22"/>
              </w:rPr>
              <w:t>Колика је институционална, организациона и управљачка комплексност ове опције?</w:t>
            </w:r>
          </w:p>
        </w:tc>
        <w:tc>
          <w:tcPr>
            <w:tcW w:w="477" w:type="pct"/>
          </w:tcPr>
          <w:p w14:paraId="4DEEABA6" w14:textId="77777777" w:rsidR="009F5263" w:rsidRPr="000F0299" w:rsidRDefault="009F5263" w:rsidP="009F5263">
            <w:pPr>
              <w:spacing w:before="0"/>
              <w:ind w:firstLine="0"/>
              <w:rPr>
                <w:sz w:val="22"/>
                <w:szCs w:val="22"/>
              </w:rPr>
            </w:pPr>
            <w:r w:rsidRPr="000F0299">
              <w:rPr>
                <w:sz w:val="22"/>
                <w:szCs w:val="22"/>
              </w:rPr>
              <w:t>1x1=1</w:t>
            </w:r>
          </w:p>
        </w:tc>
        <w:tc>
          <w:tcPr>
            <w:tcW w:w="476" w:type="pct"/>
          </w:tcPr>
          <w:p w14:paraId="583BED73" w14:textId="77777777" w:rsidR="009F5263" w:rsidRPr="000F0299" w:rsidRDefault="009F5263" w:rsidP="009F5263">
            <w:pPr>
              <w:spacing w:before="0"/>
              <w:ind w:firstLine="0"/>
              <w:rPr>
                <w:sz w:val="22"/>
                <w:szCs w:val="22"/>
              </w:rPr>
            </w:pPr>
            <w:r w:rsidRPr="000F0299">
              <w:rPr>
                <w:sz w:val="22"/>
                <w:szCs w:val="22"/>
              </w:rPr>
              <w:t>2x2=4</w:t>
            </w:r>
          </w:p>
        </w:tc>
        <w:tc>
          <w:tcPr>
            <w:tcW w:w="475" w:type="pct"/>
          </w:tcPr>
          <w:p w14:paraId="0E112F12" w14:textId="77777777" w:rsidR="009F5263" w:rsidRPr="000F0299" w:rsidRDefault="009F5263" w:rsidP="009F5263">
            <w:pPr>
              <w:spacing w:before="0"/>
              <w:ind w:firstLine="0"/>
              <w:rPr>
                <w:sz w:val="22"/>
                <w:szCs w:val="22"/>
              </w:rPr>
            </w:pPr>
            <w:r w:rsidRPr="000F0299">
              <w:rPr>
                <w:sz w:val="22"/>
                <w:szCs w:val="22"/>
              </w:rPr>
              <w:t>2x2=4</w:t>
            </w:r>
          </w:p>
        </w:tc>
        <w:tc>
          <w:tcPr>
            <w:tcW w:w="475" w:type="pct"/>
          </w:tcPr>
          <w:p w14:paraId="4447744B" w14:textId="77777777" w:rsidR="009F5263" w:rsidRPr="000F0299" w:rsidRDefault="009F5263" w:rsidP="009F5263">
            <w:pPr>
              <w:spacing w:before="0"/>
              <w:ind w:firstLine="0"/>
              <w:rPr>
                <w:sz w:val="22"/>
                <w:szCs w:val="22"/>
              </w:rPr>
            </w:pPr>
            <w:r w:rsidRPr="000F0299">
              <w:rPr>
                <w:sz w:val="22"/>
                <w:szCs w:val="22"/>
              </w:rPr>
              <w:t>1x2=2</w:t>
            </w:r>
          </w:p>
        </w:tc>
        <w:tc>
          <w:tcPr>
            <w:tcW w:w="475" w:type="pct"/>
          </w:tcPr>
          <w:p w14:paraId="04454847" w14:textId="77777777" w:rsidR="009F5263" w:rsidRPr="000F0299" w:rsidRDefault="009F5263" w:rsidP="009F5263">
            <w:pPr>
              <w:spacing w:before="0"/>
              <w:ind w:firstLine="0"/>
              <w:rPr>
                <w:sz w:val="22"/>
                <w:szCs w:val="22"/>
              </w:rPr>
            </w:pPr>
            <w:r w:rsidRPr="000F0299">
              <w:rPr>
                <w:sz w:val="22"/>
                <w:szCs w:val="22"/>
              </w:rPr>
              <w:t>2x2=4</w:t>
            </w:r>
          </w:p>
        </w:tc>
        <w:tc>
          <w:tcPr>
            <w:tcW w:w="475" w:type="pct"/>
          </w:tcPr>
          <w:p w14:paraId="70F275E6" w14:textId="77777777" w:rsidR="009F5263" w:rsidRPr="000F0299" w:rsidRDefault="009F5263" w:rsidP="009F5263">
            <w:pPr>
              <w:spacing w:before="0"/>
              <w:ind w:firstLine="0"/>
              <w:rPr>
                <w:sz w:val="22"/>
                <w:szCs w:val="22"/>
              </w:rPr>
            </w:pPr>
            <w:r w:rsidRPr="000F0299">
              <w:rPr>
                <w:sz w:val="22"/>
                <w:szCs w:val="22"/>
              </w:rPr>
              <w:t>2x2=4</w:t>
            </w:r>
          </w:p>
        </w:tc>
        <w:tc>
          <w:tcPr>
            <w:tcW w:w="456" w:type="pct"/>
          </w:tcPr>
          <w:p w14:paraId="20A1FBE8" w14:textId="77777777" w:rsidR="009F5263" w:rsidRPr="000F0299" w:rsidRDefault="009F5263" w:rsidP="009F5263">
            <w:pPr>
              <w:spacing w:before="0"/>
              <w:ind w:firstLine="0"/>
              <w:rPr>
                <w:sz w:val="22"/>
                <w:szCs w:val="22"/>
              </w:rPr>
            </w:pPr>
            <w:r w:rsidRPr="000F0299">
              <w:rPr>
                <w:sz w:val="22"/>
                <w:szCs w:val="22"/>
              </w:rPr>
              <w:t>2x2=4</w:t>
            </w:r>
          </w:p>
        </w:tc>
      </w:tr>
      <w:tr w:rsidR="009F5263" w:rsidRPr="000F0299" w14:paraId="1C6039CD" w14:textId="77777777" w:rsidTr="00EA509E">
        <w:trPr>
          <w:trHeight w:val="320"/>
        </w:trPr>
        <w:tc>
          <w:tcPr>
            <w:tcW w:w="5000" w:type="pct"/>
            <w:gridSpan w:val="8"/>
            <w:shd w:val="clear" w:color="auto" w:fill="DEEAF6" w:themeFill="accent5" w:themeFillTint="33"/>
          </w:tcPr>
          <w:p w14:paraId="03F6567A" w14:textId="77777777" w:rsidR="009F5263" w:rsidRPr="000F0299" w:rsidRDefault="009F5263" w:rsidP="009F5263">
            <w:pPr>
              <w:spacing w:before="0"/>
              <w:ind w:firstLine="0"/>
              <w:rPr>
                <w:sz w:val="22"/>
                <w:szCs w:val="22"/>
              </w:rPr>
            </w:pPr>
            <w:r w:rsidRPr="000F0299">
              <w:rPr>
                <w:sz w:val="22"/>
                <w:szCs w:val="22"/>
              </w:rPr>
              <w:t>Општи критеријуми</w:t>
            </w:r>
          </w:p>
        </w:tc>
      </w:tr>
      <w:tr w:rsidR="009F5263" w:rsidRPr="000F0299" w14:paraId="4DAA511B" w14:textId="77777777" w:rsidTr="00EA509E">
        <w:trPr>
          <w:trHeight w:val="62"/>
        </w:trPr>
        <w:tc>
          <w:tcPr>
            <w:tcW w:w="1691" w:type="pct"/>
          </w:tcPr>
          <w:p w14:paraId="32962447" w14:textId="77777777" w:rsidR="009F5263" w:rsidRPr="000F0299" w:rsidRDefault="009F5263" w:rsidP="009F5263">
            <w:pPr>
              <w:spacing w:before="0"/>
              <w:ind w:firstLine="0"/>
              <w:rPr>
                <w:b/>
                <w:bCs/>
                <w:sz w:val="22"/>
                <w:szCs w:val="22"/>
              </w:rPr>
            </w:pPr>
            <w:r w:rsidRPr="000F0299">
              <w:rPr>
                <w:sz w:val="22"/>
                <w:szCs w:val="22"/>
              </w:rPr>
              <w:t>Да ли опција побољшава транспарентност и приступачност јавне управе и утиче на поверење грађана у јавну управу?</w:t>
            </w:r>
          </w:p>
        </w:tc>
        <w:tc>
          <w:tcPr>
            <w:tcW w:w="477" w:type="pct"/>
          </w:tcPr>
          <w:p w14:paraId="44FA9830" w14:textId="77777777" w:rsidR="009F5263" w:rsidRPr="000F0299" w:rsidRDefault="009F5263" w:rsidP="009F5263">
            <w:pPr>
              <w:spacing w:before="0"/>
              <w:ind w:firstLine="0"/>
              <w:rPr>
                <w:sz w:val="22"/>
                <w:szCs w:val="22"/>
              </w:rPr>
            </w:pPr>
            <w:r w:rsidRPr="000F0299">
              <w:rPr>
                <w:sz w:val="22"/>
                <w:szCs w:val="22"/>
              </w:rPr>
              <w:t>1x1=1</w:t>
            </w:r>
          </w:p>
        </w:tc>
        <w:tc>
          <w:tcPr>
            <w:tcW w:w="476" w:type="pct"/>
          </w:tcPr>
          <w:p w14:paraId="5CAD4A35" w14:textId="77777777" w:rsidR="009F5263" w:rsidRPr="000F0299" w:rsidRDefault="009F5263" w:rsidP="009F5263">
            <w:pPr>
              <w:spacing w:before="0"/>
              <w:ind w:firstLine="0"/>
              <w:rPr>
                <w:sz w:val="22"/>
                <w:szCs w:val="22"/>
              </w:rPr>
            </w:pPr>
            <w:r w:rsidRPr="000F0299">
              <w:rPr>
                <w:sz w:val="22"/>
                <w:szCs w:val="22"/>
              </w:rPr>
              <w:t>2x2=4</w:t>
            </w:r>
          </w:p>
        </w:tc>
        <w:tc>
          <w:tcPr>
            <w:tcW w:w="475" w:type="pct"/>
          </w:tcPr>
          <w:p w14:paraId="7F04B076"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71F29D91" w14:textId="77777777" w:rsidR="009F5263" w:rsidRPr="000F0299" w:rsidRDefault="009F5263" w:rsidP="009F5263">
            <w:pPr>
              <w:spacing w:before="0"/>
              <w:ind w:firstLine="0"/>
              <w:rPr>
                <w:sz w:val="22"/>
                <w:szCs w:val="22"/>
              </w:rPr>
            </w:pPr>
            <w:r w:rsidRPr="000F0299">
              <w:rPr>
                <w:sz w:val="22"/>
                <w:szCs w:val="22"/>
              </w:rPr>
              <w:t>2x2=4</w:t>
            </w:r>
          </w:p>
        </w:tc>
        <w:tc>
          <w:tcPr>
            <w:tcW w:w="475" w:type="pct"/>
          </w:tcPr>
          <w:p w14:paraId="0393C9E0" w14:textId="77777777" w:rsidR="009F5263" w:rsidRPr="000F0299" w:rsidRDefault="009F5263" w:rsidP="009F5263">
            <w:pPr>
              <w:spacing w:before="0"/>
              <w:ind w:firstLine="0"/>
              <w:rPr>
                <w:sz w:val="22"/>
                <w:szCs w:val="22"/>
              </w:rPr>
            </w:pPr>
            <w:r w:rsidRPr="000F0299">
              <w:rPr>
                <w:sz w:val="22"/>
                <w:szCs w:val="22"/>
              </w:rPr>
              <w:t>2x2=4</w:t>
            </w:r>
          </w:p>
        </w:tc>
        <w:tc>
          <w:tcPr>
            <w:tcW w:w="475" w:type="pct"/>
          </w:tcPr>
          <w:p w14:paraId="57B45623" w14:textId="77777777" w:rsidR="009F5263" w:rsidRPr="000F0299" w:rsidRDefault="009F5263" w:rsidP="009F5263">
            <w:pPr>
              <w:spacing w:before="0"/>
              <w:ind w:firstLine="0"/>
              <w:rPr>
                <w:sz w:val="22"/>
                <w:szCs w:val="22"/>
              </w:rPr>
            </w:pPr>
            <w:r w:rsidRPr="000F0299">
              <w:rPr>
                <w:sz w:val="22"/>
                <w:szCs w:val="22"/>
              </w:rPr>
              <w:t>2x2=4</w:t>
            </w:r>
          </w:p>
        </w:tc>
        <w:tc>
          <w:tcPr>
            <w:tcW w:w="456" w:type="pct"/>
          </w:tcPr>
          <w:p w14:paraId="3C596CA9" w14:textId="77777777" w:rsidR="009F5263" w:rsidRPr="000F0299" w:rsidRDefault="009F5263" w:rsidP="009F5263">
            <w:pPr>
              <w:spacing w:before="0"/>
              <w:ind w:firstLine="0"/>
              <w:rPr>
                <w:sz w:val="22"/>
                <w:szCs w:val="22"/>
              </w:rPr>
            </w:pPr>
            <w:r w:rsidRPr="000F0299">
              <w:rPr>
                <w:sz w:val="22"/>
                <w:szCs w:val="22"/>
              </w:rPr>
              <w:t>3x2=6</w:t>
            </w:r>
          </w:p>
        </w:tc>
      </w:tr>
      <w:tr w:rsidR="009F5263" w:rsidRPr="000F0299" w14:paraId="7CEC25E3" w14:textId="77777777" w:rsidTr="00EA509E">
        <w:trPr>
          <w:trHeight w:val="508"/>
        </w:trPr>
        <w:tc>
          <w:tcPr>
            <w:tcW w:w="1691" w:type="pct"/>
          </w:tcPr>
          <w:p w14:paraId="19F65E1D" w14:textId="77777777" w:rsidR="009F5263" w:rsidRPr="000F0299" w:rsidRDefault="009F5263" w:rsidP="009F5263">
            <w:pPr>
              <w:spacing w:before="0"/>
              <w:ind w:firstLine="0"/>
              <w:rPr>
                <w:b/>
                <w:bCs/>
                <w:sz w:val="22"/>
                <w:szCs w:val="22"/>
              </w:rPr>
            </w:pPr>
            <w:r w:rsidRPr="000F0299">
              <w:rPr>
                <w:sz w:val="22"/>
                <w:szCs w:val="22"/>
                <w:lang w:eastAsia="en-GB"/>
              </w:rPr>
              <w:t>Да ли је опција у сагласности са захтевима ЕУ?</w:t>
            </w:r>
          </w:p>
        </w:tc>
        <w:tc>
          <w:tcPr>
            <w:tcW w:w="477" w:type="pct"/>
          </w:tcPr>
          <w:p w14:paraId="1B854831" w14:textId="77777777" w:rsidR="009F5263" w:rsidRPr="000F0299" w:rsidRDefault="009F5263" w:rsidP="009F5263">
            <w:pPr>
              <w:spacing w:before="0"/>
              <w:ind w:firstLine="0"/>
              <w:rPr>
                <w:sz w:val="22"/>
                <w:szCs w:val="22"/>
              </w:rPr>
            </w:pPr>
            <w:r w:rsidRPr="000F0299">
              <w:rPr>
                <w:sz w:val="22"/>
                <w:szCs w:val="22"/>
              </w:rPr>
              <w:t>1x1=1</w:t>
            </w:r>
          </w:p>
        </w:tc>
        <w:tc>
          <w:tcPr>
            <w:tcW w:w="476" w:type="pct"/>
          </w:tcPr>
          <w:p w14:paraId="632F487B"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27FC77DE"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1B8F49AE" w14:textId="77777777" w:rsidR="009F5263" w:rsidRPr="000F0299" w:rsidRDefault="009F5263" w:rsidP="009F5263">
            <w:pPr>
              <w:spacing w:before="0"/>
              <w:ind w:firstLine="0"/>
              <w:rPr>
                <w:sz w:val="22"/>
                <w:szCs w:val="22"/>
              </w:rPr>
            </w:pPr>
            <w:r w:rsidRPr="000F0299">
              <w:rPr>
                <w:sz w:val="22"/>
                <w:szCs w:val="22"/>
              </w:rPr>
              <w:t xml:space="preserve">3x2=6 </w:t>
            </w:r>
          </w:p>
        </w:tc>
        <w:tc>
          <w:tcPr>
            <w:tcW w:w="475" w:type="pct"/>
          </w:tcPr>
          <w:p w14:paraId="630A5D5E"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1FACD217" w14:textId="77777777" w:rsidR="009F5263" w:rsidRPr="000F0299" w:rsidRDefault="009F5263" w:rsidP="009F5263">
            <w:pPr>
              <w:spacing w:before="0"/>
              <w:ind w:firstLine="0"/>
              <w:rPr>
                <w:sz w:val="22"/>
                <w:szCs w:val="22"/>
              </w:rPr>
            </w:pPr>
            <w:r w:rsidRPr="000F0299">
              <w:rPr>
                <w:sz w:val="22"/>
                <w:szCs w:val="22"/>
              </w:rPr>
              <w:t>3x2=6</w:t>
            </w:r>
          </w:p>
        </w:tc>
        <w:tc>
          <w:tcPr>
            <w:tcW w:w="456" w:type="pct"/>
          </w:tcPr>
          <w:p w14:paraId="44048842" w14:textId="77777777" w:rsidR="009F5263" w:rsidRPr="000F0299" w:rsidRDefault="009F5263" w:rsidP="009F5263">
            <w:pPr>
              <w:spacing w:before="0"/>
              <w:ind w:firstLine="0"/>
              <w:rPr>
                <w:sz w:val="22"/>
                <w:szCs w:val="22"/>
              </w:rPr>
            </w:pPr>
            <w:r w:rsidRPr="000F0299">
              <w:rPr>
                <w:sz w:val="22"/>
                <w:szCs w:val="22"/>
              </w:rPr>
              <w:t>3x2=6</w:t>
            </w:r>
          </w:p>
        </w:tc>
      </w:tr>
      <w:tr w:rsidR="009F5263" w:rsidRPr="000F0299" w14:paraId="7D5EF4EF" w14:textId="77777777" w:rsidTr="00EA509E">
        <w:trPr>
          <w:trHeight w:val="320"/>
        </w:trPr>
        <w:tc>
          <w:tcPr>
            <w:tcW w:w="5000" w:type="pct"/>
            <w:gridSpan w:val="8"/>
            <w:shd w:val="clear" w:color="auto" w:fill="DEEAF6" w:themeFill="accent5" w:themeFillTint="33"/>
          </w:tcPr>
          <w:p w14:paraId="0A767479" w14:textId="231E8960" w:rsidR="009F5263" w:rsidRPr="000F0299" w:rsidRDefault="009F5263" w:rsidP="00EA509E">
            <w:pPr>
              <w:spacing w:before="0"/>
              <w:ind w:firstLine="0"/>
              <w:rPr>
                <w:sz w:val="22"/>
                <w:szCs w:val="22"/>
              </w:rPr>
            </w:pPr>
            <w:r w:rsidRPr="000F0299">
              <w:rPr>
                <w:sz w:val="22"/>
                <w:szCs w:val="22"/>
              </w:rPr>
              <w:t xml:space="preserve">Критеријуми </w:t>
            </w:r>
            <w:r w:rsidR="00EA509E">
              <w:rPr>
                <w:sz w:val="22"/>
                <w:szCs w:val="22"/>
              </w:rPr>
              <w:t>спровођења</w:t>
            </w:r>
          </w:p>
        </w:tc>
      </w:tr>
      <w:tr w:rsidR="009F5263" w:rsidRPr="000F0299" w14:paraId="72D4645E" w14:textId="77777777" w:rsidTr="00EA509E">
        <w:trPr>
          <w:trHeight w:val="508"/>
        </w:trPr>
        <w:tc>
          <w:tcPr>
            <w:tcW w:w="1691" w:type="pct"/>
          </w:tcPr>
          <w:p w14:paraId="3EE770C2" w14:textId="77777777" w:rsidR="009F5263" w:rsidRPr="000F0299" w:rsidRDefault="009F5263" w:rsidP="009F5263">
            <w:pPr>
              <w:spacing w:before="0"/>
              <w:ind w:firstLine="0"/>
              <w:rPr>
                <w:b/>
                <w:bCs/>
                <w:sz w:val="22"/>
                <w:szCs w:val="22"/>
              </w:rPr>
            </w:pPr>
            <w:r w:rsidRPr="000F0299">
              <w:rPr>
                <w:sz w:val="22"/>
                <w:szCs w:val="22"/>
              </w:rPr>
              <w:t>Да ли опција изискује велике трошкове спровођења?</w:t>
            </w:r>
          </w:p>
        </w:tc>
        <w:tc>
          <w:tcPr>
            <w:tcW w:w="477" w:type="pct"/>
          </w:tcPr>
          <w:p w14:paraId="4FDD86BC" w14:textId="77777777" w:rsidR="009F5263" w:rsidRPr="000F0299" w:rsidRDefault="009F5263" w:rsidP="009F5263">
            <w:pPr>
              <w:spacing w:before="0"/>
              <w:ind w:firstLine="0"/>
              <w:rPr>
                <w:sz w:val="22"/>
                <w:szCs w:val="22"/>
              </w:rPr>
            </w:pPr>
            <w:r w:rsidRPr="000F0299">
              <w:rPr>
                <w:sz w:val="22"/>
                <w:szCs w:val="22"/>
              </w:rPr>
              <w:t>3x2=6</w:t>
            </w:r>
          </w:p>
        </w:tc>
        <w:tc>
          <w:tcPr>
            <w:tcW w:w="476" w:type="pct"/>
          </w:tcPr>
          <w:p w14:paraId="0086C659" w14:textId="77777777" w:rsidR="009F5263" w:rsidRPr="000F0299" w:rsidRDefault="009F5263" w:rsidP="009F5263">
            <w:pPr>
              <w:spacing w:before="0"/>
              <w:ind w:firstLine="0"/>
              <w:rPr>
                <w:sz w:val="22"/>
                <w:szCs w:val="22"/>
              </w:rPr>
            </w:pPr>
            <w:r w:rsidRPr="000F0299">
              <w:rPr>
                <w:sz w:val="22"/>
                <w:szCs w:val="22"/>
              </w:rPr>
              <w:t>2x2=4</w:t>
            </w:r>
          </w:p>
        </w:tc>
        <w:tc>
          <w:tcPr>
            <w:tcW w:w="475" w:type="pct"/>
          </w:tcPr>
          <w:p w14:paraId="4D73F4F6" w14:textId="77777777" w:rsidR="009F5263" w:rsidRPr="000F0299" w:rsidRDefault="009F5263" w:rsidP="009F5263">
            <w:pPr>
              <w:spacing w:before="0"/>
              <w:ind w:firstLine="0"/>
              <w:rPr>
                <w:sz w:val="22"/>
                <w:szCs w:val="22"/>
              </w:rPr>
            </w:pPr>
            <w:r w:rsidRPr="000F0299">
              <w:rPr>
                <w:sz w:val="22"/>
                <w:szCs w:val="22"/>
              </w:rPr>
              <w:t>1x2=2</w:t>
            </w:r>
          </w:p>
        </w:tc>
        <w:tc>
          <w:tcPr>
            <w:tcW w:w="475" w:type="pct"/>
          </w:tcPr>
          <w:p w14:paraId="748956C9" w14:textId="77777777" w:rsidR="009F5263" w:rsidRPr="000F0299" w:rsidRDefault="009F5263" w:rsidP="009F5263">
            <w:pPr>
              <w:spacing w:before="0"/>
              <w:ind w:firstLine="0"/>
              <w:rPr>
                <w:sz w:val="22"/>
                <w:szCs w:val="22"/>
              </w:rPr>
            </w:pPr>
            <w:r w:rsidRPr="000F0299">
              <w:rPr>
                <w:sz w:val="22"/>
                <w:szCs w:val="22"/>
              </w:rPr>
              <w:t xml:space="preserve">1x2=2 </w:t>
            </w:r>
          </w:p>
        </w:tc>
        <w:tc>
          <w:tcPr>
            <w:tcW w:w="475" w:type="pct"/>
          </w:tcPr>
          <w:p w14:paraId="53D34505" w14:textId="77777777" w:rsidR="009F5263" w:rsidRPr="000F0299" w:rsidRDefault="009F5263" w:rsidP="009F5263">
            <w:pPr>
              <w:spacing w:before="0"/>
              <w:ind w:firstLine="0"/>
              <w:rPr>
                <w:sz w:val="22"/>
                <w:szCs w:val="22"/>
              </w:rPr>
            </w:pPr>
            <w:r w:rsidRPr="000F0299">
              <w:rPr>
                <w:sz w:val="22"/>
                <w:szCs w:val="22"/>
              </w:rPr>
              <w:t>3x2=6</w:t>
            </w:r>
          </w:p>
        </w:tc>
        <w:tc>
          <w:tcPr>
            <w:tcW w:w="475" w:type="pct"/>
          </w:tcPr>
          <w:p w14:paraId="6B0BAF26" w14:textId="77777777" w:rsidR="009F5263" w:rsidRPr="000F0299" w:rsidRDefault="009F5263" w:rsidP="009F5263">
            <w:pPr>
              <w:spacing w:before="0"/>
              <w:ind w:firstLine="0"/>
              <w:rPr>
                <w:sz w:val="22"/>
                <w:szCs w:val="22"/>
              </w:rPr>
            </w:pPr>
            <w:r w:rsidRPr="000F0299">
              <w:rPr>
                <w:sz w:val="22"/>
                <w:szCs w:val="22"/>
              </w:rPr>
              <w:t>2x2=4</w:t>
            </w:r>
          </w:p>
        </w:tc>
        <w:tc>
          <w:tcPr>
            <w:tcW w:w="456" w:type="pct"/>
          </w:tcPr>
          <w:p w14:paraId="3A4B38F2" w14:textId="77777777" w:rsidR="009F5263" w:rsidRPr="000F0299" w:rsidRDefault="009F5263" w:rsidP="009F5263">
            <w:pPr>
              <w:spacing w:before="0"/>
              <w:ind w:firstLine="0"/>
              <w:rPr>
                <w:sz w:val="22"/>
                <w:szCs w:val="22"/>
              </w:rPr>
            </w:pPr>
            <w:r w:rsidRPr="000F0299">
              <w:rPr>
                <w:sz w:val="22"/>
                <w:szCs w:val="22"/>
              </w:rPr>
              <w:t>1x2=2</w:t>
            </w:r>
          </w:p>
        </w:tc>
      </w:tr>
      <w:tr w:rsidR="009F5263" w:rsidRPr="000F0299" w14:paraId="55C53735" w14:textId="77777777" w:rsidTr="00EA509E">
        <w:trPr>
          <w:trHeight w:val="508"/>
        </w:trPr>
        <w:tc>
          <w:tcPr>
            <w:tcW w:w="1691" w:type="pct"/>
            <w:tcBorders>
              <w:bottom w:val="single" w:sz="2" w:space="0" w:color="auto"/>
            </w:tcBorders>
          </w:tcPr>
          <w:p w14:paraId="591B5CCA" w14:textId="77777777" w:rsidR="009F5263" w:rsidRPr="000F0299" w:rsidRDefault="009F5263" w:rsidP="009F5263">
            <w:pPr>
              <w:spacing w:before="0"/>
              <w:ind w:firstLine="0"/>
              <w:rPr>
                <w:b/>
                <w:bCs/>
                <w:sz w:val="22"/>
                <w:szCs w:val="22"/>
              </w:rPr>
            </w:pPr>
            <w:r w:rsidRPr="000F0299">
              <w:rPr>
                <w:sz w:val="22"/>
                <w:szCs w:val="22"/>
              </w:rPr>
              <w:t>Који је временски рок за спровођење опције?</w:t>
            </w:r>
          </w:p>
        </w:tc>
        <w:tc>
          <w:tcPr>
            <w:tcW w:w="477" w:type="pct"/>
            <w:tcBorders>
              <w:bottom w:val="single" w:sz="2" w:space="0" w:color="auto"/>
            </w:tcBorders>
          </w:tcPr>
          <w:p w14:paraId="09C387EE" w14:textId="77777777" w:rsidR="009F5263" w:rsidRPr="000F0299" w:rsidRDefault="009F5263" w:rsidP="009F5263">
            <w:pPr>
              <w:spacing w:before="0"/>
              <w:ind w:firstLine="0"/>
              <w:rPr>
                <w:sz w:val="22"/>
                <w:szCs w:val="22"/>
              </w:rPr>
            </w:pPr>
            <w:r w:rsidRPr="000F0299">
              <w:rPr>
                <w:sz w:val="22"/>
                <w:szCs w:val="22"/>
              </w:rPr>
              <w:t>3x2=6</w:t>
            </w:r>
          </w:p>
        </w:tc>
        <w:tc>
          <w:tcPr>
            <w:tcW w:w="476" w:type="pct"/>
            <w:tcBorders>
              <w:bottom w:val="single" w:sz="2" w:space="0" w:color="auto"/>
            </w:tcBorders>
          </w:tcPr>
          <w:p w14:paraId="2D426112" w14:textId="77777777" w:rsidR="009F5263" w:rsidRPr="000F0299" w:rsidRDefault="009F5263" w:rsidP="009F5263">
            <w:pPr>
              <w:spacing w:before="0"/>
              <w:ind w:firstLine="0"/>
              <w:rPr>
                <w:sz w:val="22"/>
                <w:szCs w:val="22"/>
              </w:rPr>
            </w:pPr>
            <w:r w:rsidRPr="000F0299">
              <w:rPr>
                <w:sz w:val="22"/>
                <w:szCs w:val="22"/>
              </w:rPr>
              <w:t>2x2=4</w:t>
            </w:r>
          </w:p>
        </w:tc>
        <w:tc>
          <w:tcPr>
            <w:tcW w:w="475" w:type="pct"/>
            <w:tcBorders>
              <w:bottom w:val="single" w:sz="2" w:space="0" w:color="auto"/>
            </w:tcBorders>
          </w:tcPr>
          <w:p w14:paraId="6692BE70" w14:textId="77777777" w:rsidR="009F5263" w:rsidRPr="000F0299" w:rsidRDefault="009F5263" w:rsidP="009F5263">
            <w:pPr>
              <w:spacing w:before="0"/>
              <w:ind w:firstLine="0"/>
              <w:rPr>
                <w:sz w:val="22"/>
                <w:szCs w:val="22"/>
              </w:rPr>
            </w:pPr>
            <w:r w:rsidRPr="000F0299">
              <w:rPr>
                <w:sz w:val="22"/>
                <w:szCs w:val="22"/>
              </w:rPr>
              <w:t>1x2=2</w:t>
            </w:r>
          </w:p>
        </w:tc>
        <w:tc>
          <w:tcPr>
            <w:tcW w:w="475" w:type="pct"/>
            <w:tcBorders>
              <w:bottom w:val="single" w:sz="2" w:space="0" w:color="auto"/>
            </w:tcBorders>
          </w:tcPr>
          <w:p w14:paraId="26A0B2CB" w14:textId="77777777" w:rsidR="009F5263" w:rsidRPr="000F0299" w:rsidRDefault="009F5263" w:rsidP="009F5263">
            <w:pPr>
              <w:spacing w:before="0"/>
              <w:ind w:firstLine="0"/>
              <w:rPr>
                <w:sz w:val="22"/>
                <w:szCs w:val="22"/>
              </w:rPr>
            </w:pPr>
            <w:r w:rsidRPr="000F0299">
              <w:rPr>
                <w:sz w:val="22"/>
                <w:szCs w:val="22"/>
              </w:rPr>
              <w:t>2x2=4</w:t>
            </w:r>
          </w:p>
        </w:tc>
        <w:tc>
          <w:tcPr>
            <w:tcW w:w="475" w:type="pct"/>
            <w:tcBorders>
              <w:bottom w:val="single" w:sz="2" w:space="0" w:color="auto"/>
            </w:tcBorders>
          </w:tcPr>
          <w:p w14:paraId="7DF7E2FE" w14:textId="77777777" w:rsidR="009F5263" w:rsidRPr="000F0299" w:rsidRDefault="009F5263" w:rsidP="009F5263">
            <w:pPr>
              <w:spacing w:before="0"/>
              <w:ind w:firstLine="0"/>
              <w:rPr>
                <w:sz w:val="22"/>
                <w:szCs w:val="22"/>
              </w:rPr>
            </w:pPr>
            <w:r w:rsidRPr="000F0299">
              <w:rPr>
                <w:sz w:val="22"/>
                <w:szCs w:val="22"/>
              </w:rPr>
              <w:t>3x2=6</w:t>
            </w:r>
          </w:p>
        </w:tc>
        <w:tc>
          <w:tcPr>
            <w:tcW w:w="475" w:type="pct"/>
            <w:tcBorders>
              <w:bottom w:val="single" w:sz="2" w:space="0" w:color="auto"/>
            </w:tcBorders>
          </w:tcPr>
          <w:p w14:paraId="29CC34E4" w14:textId="77777777" w:rsidR="009F5263" w:rsidRPr="000F0299" w:rsidRDefault="009F5263" w:rsidP="009F5263">
            <w:pPr>
              <w:spacing w:before="0"/>
              <w:ind w:firstLine="0"/>
              <w:rPr>
                <w:sz w:val="22"/>
                <w:szCs w:val="22"/>
              </w:rPr>
            </w:pPr>
            <w:r w:rsidRPr="000F0299">
              <w:rPr>
                <w:sz w:val="22"/>
                <w:szCs w:val="22"/>
              </w:rPr>
              <w:t>2x2=4</w:t>
            </w:r>
          </w:p>
        </w:tc>
        <w:tc>
          <w:tcPr>
            <w:tcW w:w="456" w:type="pct"/>
            <w:tcBorders>
              <w:bottom w:val="single" w:sz="2" w:space="0" w:color="auto"/>
            </w:tcBorders>
          </w:tcPr>
          <w:p w14:paraId="1A15EA2B" w14:textId="77777777" w:rsidR="009F5263" w:rsidRPr="000F0299" w:rsidRDefault="009F5263" w:rsidP="009F5263">
            <w:pPr>
              <w:spacing w:before="0"/>
              <w:ind w:firstLine="0"/>
              <w:rPr>
                <w:sz w:val="22"/>
                <w:szCs w:val="22"/>
              </w:rPr>
            </w:pPr>
            <w:r w:rsidRPr="000F0299">
              <w:rPr>
                <w:sz w:val="22"/>
                <w:szCs w:val="22"/>
              </w:rPr>
              <w:t>1x2=2</w:t>
            </w:r>
          </w:p>
        </w:tc>
      </w:tr>
      <w:tr w:rsidR="009F5263" w:rsidRPr="000F0299" w14:paraId="091C497E" w14:textId="77777777" w:rsidTr="00EA509E">
        <w:trPr>
          <w:trHeight w:val="509"/>
        </w:trPr>
        <w:tc>
          <w:tcPr>
            <w:tcW w:w="1691" w:type="pct"/>
            <w:tcBorders>
              <w:top w:val="single" w:sz="2" w:space="0" w:color="auto"/>
              <w:left w:val="single" w:sz="2" w:space="0" w:color="auto"/>
              <w:bottom w:val="single" w:sz="2" w:space="0" w:color="auto"/>
              <w:right w:val="single" w:sz="2" w:space="0" w:color="auto"/>
            </w:tcBorders>
          </w:tcPr>
          <w:p w14:paraId="09E3BFF4" w14:textId="77777777" w:rsidR="009F5263" w:rsidRPr="000F0299" w:rsidRDefault="009F5263" w:rsidP="009F5263">
            <w:pPr>
              <w:spacing w:before="0"/>
              <w:ind w:firstLine="0"/>
              <w:rPr>
                <w:b/>
                <w:bCs/>
                <w:sz w:val="22"/>
                <w:szCs w:val="22"/>
              </w:rPr>
            </w:pPr>
            <w:r w:rsidRPr="000F0299">
              <w:rPr>
                <w:b/>
                <w:bCs/>
                <w:sz w:val="22"/>
                <w:szCs w:val="22"/>
              </w:rPr>
              <w:t>Укупно по опцијама</w:t>
            </w:r>
          </w:p>
        </w:tc>
        <w:tc>
          <w:tcPr>
            <w:tcW w:w="477" w:type="pct"/>
            <w:tcBorders>
              <w:top w:val="single" w:sz="2" w:space="0" w:color="auto"/>
              <w:left w:val="single" w:sz="2" w:space="0" w:color="auto"/>
              <w:bottom w:val="single" w:sz="2" w:space="0" w:color="auto"/>
              <w:right w:val="single" w:sz="2" w:space="0" w:color="auto"/>
            </w:tcBorders>
          </w:tcPr>
          <w:p w14:paraId="0147A300" w14:textId="77777777" w:rsidR="009F5263" w:rsidRPr="000F0299" w:rsidRDefault="009F5263" w:rsidP="009F5263">
            <w:pPr>
              <w:spacing w:before="0"/>
              <w:ind w:firstLine="0"/>
              <w:rPr>
                <w:b/>
                <w:bCs/>
                <w:sz w:val="22"/>
                <w:szCs w:val="22"/>
              </w:rPr>
            </w:pPr>
            <w:r w:rsidRPr="000F0299">
              <w:rPr>
                <w:b/>
                <w:bCs/>
                <w:sz w:val="22"/>
                <w:szCs w:val="22"/>
              </w:rPr>
              <w:t>18</w:t>
            </w:r>
          </w:p>
        </w:tc>
        <w:tc>
          <w:tcPr>
            <w:tcW w:w="476" w:type="pct"/>
            <w:tcBorders>
              <w:top w:val="single" w:sz="2" w:space="0" w:color="auto"/>
              <w:left w:val="single" w:sz="2" w:space="0" w:color="auto"/>
              <w:bottom w:val="single" w:sz="2" w:space="0" w:color="auto"/>
              <w:right w:val="single" w:sz="2" w:space="0" w:color="auto"/>
            </w:tcBorders>
          </w:tcPr>
          <w:p w14:paraId="3444E2AF" w14:textId="77777777" w:rsidR="009F5263" w:rsidRPr="000F0299" w:rsidRDefault="009F5263" w:rsidP="009F5263">
            <w:pPr>
              <w:spacing w:before="0"/>
              <w:ind w:firstLine="0"/>
              <w:rPr>
                <w:b/>
                <w:bCs/>
                <w:sz w:val="22"/>
                <w:szCs w:val="22"/>
              </w:rPr>
            </w:pPr>
            <w:r w:rsidRPr="000F0299">
              <w:rPr>
                <w:b/>
                <w:bCs/>
                <w:sz w:val="22"/>
                <w:szCs w:val="22"/>
              </w:rPr>
              <w:t>34</w:t>
            </w:r>
          </w:p>
        </w:tc>
        <w:tc>
          <w:tcPr>
            <w:tcW w:w="475"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1B92971" w14:textId="77777777" w:rsidR="009F5263" w:rsidRPr="000F0299" w:rsidRDefault="009F5263" w:rsidP="009F5263">
            <w:pPr>
              <w:spacing w:before="0"/>
              <w:ind w:firstLine="0"/>
              <w:rPr>
                <w:b/>
                <w:bCs/>
                <w:sz w:val="22"/>
                <w:szCs w:val="22"/>
              </w:rPr>
            </w:pPr>
            <w:r w:rsidRPr="000F0299">
              <w:rPr>
                <w:b/>
                <w:bCs/>
                <w:sz w:val="22"/>
                <w:szCs w:val="22"/>
              </w:rPr>
              <w:t>38</w:t>
            </w:r>
          </w:p>
        </w:tc>
        <w:tc>
          <w:tcPr>
            <w:tcW w:w="475" w:type="pct"/>
            <w:tcBorders>
              <w:top w:val="single" w:sz="2" w:space="0" w:color="auto"/>
              <w:left w:val="single" w:sz="2" w:space="0" w:color="auto"/>
              <w:bottom w:val="single" w:sz="2" w:space="0" w:color="auto"/>
              <w:right w:val="single" w:sz="2" w:space="0" w:color="auto"/>
            </w:tcBorders>
          </w:tcPr>
          <w:p w14:paraId="4777BF89" w14:textId="77777777" w:rsidR="009F5263" w:rsidRPr="000F0299" w:rsidRDefault="009F5263" w:rsidP="009F5263">
            <w:pPr>
              <w:spacing w:before="0"/>
              <w:ind w:firstLine="0"/>
              <w:rPr>
                <w:b/>
                <w:bCs/>
                <w:sz w:val="22"/>
                <w:szCs w:val="22"/>
              </w:rPr>
            </w:pPr>
            <w:r w:rsidRPr="000F0299">
              <w:rPr>
                <w:b/>
                <w:bCs/>
                <w:sz w:val="22"/>
                <w:szCs w:val="22"/>
              </w:rPr>
              <w:t>36</w:t>
            </w:r>
          </w:p>
        </w:tc>
        <w:tc>
          <w:tcPr>
            <w:tcW w:w="475"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7FBC714" w14:textId="77777777" w:rsidR="009F5263" w:rsidRPr="000F0299" w:rsidRDefault="009F5263" w:rsidP="009F5263">
            <w:pPr>
              <w:spacing w:before="0"/>
              <w:ind w:firstLine="0"/>
              <w:rPr>
                <w:b/>
                <w:bCs/>
                <w:sz w:val="22"/>
                <w:szCs w:val="22"/>
              </w:rPr>
            </w:pPr>
            <w:r w:rsidRPr="000F0299">
              <w:rPr>
                <w:b/>
                <w:bCs/>
                <w:sz w:val="22"/>
                <w:szCs w:val="22"/>
              </w:rPr>
              <w:t>44</w:t>
            </w:r>
          </w:p>
        </w:tc>
        <w:tc>
          <w:tcPr>
            <w:tcW w:w="475" w:type="pct"/>
            <w:tcBorders>
              <w:top w:val="single" w:sz="2" w:space="0" w:color="auto"/>
              <w:left w:val="single" w:sz="2" w:space="0" w:color="auto"/>
              <w:bottom w:val="single" w:sz="2" w:space="0" w:color="auto"/>
              <w:right w:val="single" w:sz="2" w:space="0" w:color="auto"/>
            </w:tcBorders>
          </w:tcPr>
          <w:p w14:paraId="71114213" w14:textId="77777777" w:rsidR="009F5263" w:rsidRPr="000F0299" w:rsidRDefault="009F5263" w:rsidP="009F5263">
            <w:pPr>
              <w:spacing w:before="0"/>
              <w:ind w:firstLine="0"/>
              <w:rPr>
                <w:b/>
                <w:bCs/>
                <w:sz w:val="22"/>
                <w:szCs w:val="22"/>
              </w:rPr>
            </w:pPr>
            <w:r w:rsidRPr="000F0299">
              <w:rPr>
                <w:b/>
                <w:bCs/>
                <w:sz w:val="22"/>
                <w:szCs w:val="22"/>
              </w:rPr>
              <w:t>34</w:t>
            </w:r>
          </w:p>
        </w:tc>
        <w:tc>
          <w:tcPr>
            <w:tcW w:w="4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E20BDC0" w14:textId="77777777" w:rsidR="009F5263" w:rsidRPr="000F0299" w:rsidRDefault="009F5263" w:rsidP="009F5263">
            <w:pPr>
              <w:spacing w:before="0"/>
              <w:ind w:firstLine="0"/>
              <w:rPr>
                <w:b/>
                <w:bCs/>
                <w:sz w:val="22"/>
                <w:szCs w:val="22"/>
              </w:rPr>
            </w:pPr>
            <w:r w:rsidRPr="000F0299">
              <w:rPr>
                <w:b/>
                <w:bCs/>
                <w:sz w:val="22"/>
                <w:szCs w:val="22"/>
              </w:rPr>
              <w:t>38</w:t>
            </w:r>
          </w:p>
        </w:tc>
      </w:tr>
    </w:tbl>
    <w:p w14:paraId="1D3C18FA" w14:textId="2617EB86" w:rsidR="009F5263" w:rsidRPr="000F0299" w:rsidRDefault="00EA509E" w:rsidP="009F5263">
      <w:r>
        <w:t>Изабране</w:t>
      </w:r>
      <w:r w:rsidR="009F5263" w:rsidRPr="000F0299">
        <w:t xml:space="preserve"> опције означене су сивом бојом.</w:t>
      </w:r>
    </w:p>
    <w:p w14:paraId="2596FD1F" w14:textId="57572C79" w:rsidR="009F5263" w:rsidRPr="000F0299" w:rsidRDefault="00F47F65" w:rsidP="009F5263">
      <w:pPr>
        <w:keepNext/>
        <w:keepLines/>
        <w:spacing w:before="240"/>
        <w:ind w:firstLine="0"/>
        <w:outlineLvl w:val="3"/>
        <w:rPr>
          <w:rFonts w:eastAsiaTheme="minorHAnsi" w:cstheme="majorBidi"/>
          <w:i/>
          <w:iCs/>
          <w:color w:val="2F5496" w:themeColor="accent1" w:themeShade="BF"/>
          <w:lang w:eastAsia="en-US" w:bidi="ar-SA"/>
        </w:rPr>
      </w:pPr>
      <w:hyperlink w:anchor="_Посебан_циљ_3.1:" w:history="1">
        <w:r w:rsidR="009F5263" w:rsidRPr="006442E4">
          <w:rPr>
            <w:rStyle w:val="Hyperlink"/>
            <w:rFonts w:eastAsiaTheme="minorHAnsi" w:cstheme="majorBidi"/>
            <w:i/>
            <w:iCs/>
            <w:lang w:eastAsia="en-US" w:bidi="ar-SA"/>
          </w:rPr>
          <w:t>Мере за остварење циља 3.1</w:t>
        </w:r>
      </w:hyperlink>
    </w:p>
    <w:p w14:paraId="2136FA04" w14:textId="5C4DE5A6" w:rsidR="00EB61A8" w:rsidRPr="000F0299" w:rsidRDefault="00EB61A8" w:rsidP="00EB61A8">
      <w:r w:rsidRPr="000F0299">
        <w:rPr>
          <w:b/>
          <w:bCs/>
        </w:rPr>
        <w:t xml:space="preserve">Мера 1 – Унапређење развоја услуга по мери грађана кроз унапређење процеса развоја и оптимизацију постојећих услуга: </w:t>
      </w:r>
      <w:r>
        <w:t>Мера је усмерена на успостављање</w:t>
      </w:r>
      <w:r w:rsidRPr="000F0299">
        <w:t xml:space="preserve"> систем</w:t>
      </w:r>
      <w:r>
        <w:t>а</w:t>
      </w:r>
      <w:r w:rsidRPr="000F0299">
        <w:t xml:space="preserve"> за развој услуга који полази од принципа усмерености ка крајњим корисницима (грађан</w:t>
      </w:r>
      <w:r>
        <w:t>им</w:t>
      </w:r>
      <w:r w:rsidRPr="000F0299">
        <w:t>а, привредни</w:t>
      </w:r>
      <w:r>
        <w:t>м</w:t>
      </w:r>
      <w:r w:rsidRPr="000F0299">
        <w:t xml:space="preserve"> субјек</w:t>
      </w:r>
      <w:r>
        <w:t>тима</w:t>
      </w:r>
      <w:r w:rsidRPr="000F0299">
        <w:t xml:space="preserve"> и саме државне управе)</w:t>
      </w:r>
      <w:r>
        <w:t xml:space="preserve"> услед чега су </w:t>
      </w:r>
      <w:r w:rsidRPr="000F0299">
        <w:t>скуп</w:t>
      </w:r>
      <w:r>
        <w:t>е</w:t>
      </w:r>
      <w:r w:rsidRPr="000F0299">
        <w:t xml:space="preserve"> и неефикасн</w:t>
      </w:r>
      <w:r>
        <w:t>е</w:t>
      </w:r>
      <w:r w:rsidRPr="000F0299">
        <w:t>м услуг</w:t>
      </w:r>
      <w:r>
        <w:t>е</w:t>
      </w:r>
      <w:r w:rsidRPr="000F0299">
        <w:t xml:space="preserve"> које нису једнако </w:t>
      </w:r>
      <w:r>
        <w:t>доступне</w:t>
      </w:r>
      <w:r w:rsidRPr="000F0299">
        <w:t xml:space="preserve"> свим грађанима. У периоду</w:t>
      </w:r>
      <w:r>
        <w:t xml:space="preserve"> до 2021.</w:t>
      </w:r>
      <w:r w:rsidR="00B40C7C">
        <w:t xml:space="preserve"> </w:t>
      </w:r>
      <w:r>
        <w:t>године</w:t>
      </w:r>
      <w:r w:rsidRPr="000F0299">
        <w:t xml:space="preserve"> напори су били усмерени ка попису 2.600 управних поступака који се односе на привредне субјекте и припрема се њихова оптимизација и дигитализација, а у наредном периоду ће се спровести и попис управних поступака који се односе на грађане. Стога ова мера представља значајну системску реформу која ће темељно променити начин на који се развијају јавне услуге. То ће створити потенцијал за велике уштеде у раду јавне управе, али и уштеде у трошковима и времену потребном за обављање услуга за све крајње кориснике. </w:t>
      </w:r>
    </w:p>
    <w:p w14:paraId="2146CE5C" w14:textId="77777777" w:rsidR="0068146C" w:rsidRPr="000F0299" w:rsidRDefault="0068146C">
      <w:pPr>
        <w:suppressAutoHyphens w:val="0"/>
        <w:autoSpaceDN/>
        <w:spacing w:before="0" w:after="160" w:line="259" w:lineRule="auto"/>
        <w:ind w:firstLine="0"/>
        <w:jc w:val="left"/>
        <w:textAlignment w:val="auto"/>
      </w:pPr>
      <w:r w:rsidRPr="000F0299">
        <w:br w:type="page"/>
      </w:r>
    </w:p>
    <w:tbl>
      <w:tblPr>
        <w:tblW w:w="5000" w:type="pct"/>
        <w:tblLook w:val="00A0" w:firstRow="1" w:lastRow="0" w:firstColumn="1" w:lastColumn="0" w:noHBand="0" w:noVBand="0"/>
      </w:tblPr>
      <w:tblGrid>
        <w:gridCol w:w="337"/>
        <w:gridCol w:w="4621"/>
        <w:gridCol w:w="1867"/>
        <w:gridCol w:w="1867"/>
        <w:gridCol w:w="334"/>
      </w:tblGrid>
      <w:tr w:rsidR="009F5263" w:rsidRPr="000F0299" w14:paraId="4912041C" w14:textId="77777777" w:rsidTr="00EB61A8">
        <w:trPr>
          <w:trHeight w:val="20"/>
        </w:trPr>
        <w:tc>
          <w:tcPr>
            <w:tcW w:w="187" w:type="pct"/>
            <w:tcBorders>
              <w:top w:val="single" w:sz="18" w:space="0" w:color="C00000"/>
              <w:left w:val="single" w:sz="18" w:space="0" w:color="C00000"/>
            </w:tcBorders>
            <w:shd w:val="clear" w:color="auto" w:fill="auto"/>
          </w:tcPr>
          <w:p w14:paraId="478A6B67" w14:textId="77777777" w:rsidR="009F5263" w:rsidRPr="000F0299" w:rsidRDefault="009F5263" w:rsidP="009F5263">
            <w:pPr>
              <w:spacing w:before="0"/>
              <w:ind w:firstLine="0"/>
              <w:rPr>
                <w:b/>
                <w:bCs/>
                <w:sz w:val="16"/>
                <w:szCs w:val="16"/>
              </w:rPr>
            </w:pPr>
          </w:p>
        </w:tc>
        <w:tc>
          <w:tcPr>
            <w:tcW w:w="2560" w:type="pct"/>
            <w:tcBorders>
              <w:top w:val="single" w:sz="18" w:space="0" w:color="C00000"/>
            </w:tcBorders>
            <w:shd w:val="clear" w:color="auto" w:fill="auto"/>
          </w:tcPr>
          <w:p w14:paraId="24472FAD" w14:textId="77777777" w:rsidR="009F5263" w:rsidRPr="000F0299" w:rsidRDefault="009F5263" w:rsidP="009F5263">
            <w:pPr>
              <w:spacing w:before="0"/>
              <w:ind w:firstLine="0"/>
              <w:rPr>
                <w:b/>
                <w:bCs/>
                <w:sz w:val="16"/>
                <w:szCs w:val="16"/>
              </w:rPr>
            </w:pPr>
          </w:p>
        </w:tc>
        <w:tc>
          <w:tcPr>
            <w:tcW w:w="1034" w:type="pct"/>
            <w:tcBorders>
              <w:top w:val="single" w:sz="18" w:space="0" w:color="C00000"/>
            </w:tcBorders>
            <w:shd w:val="clear" w:color="auto" w:fill="auto"/>
            <w:vAlign w:val="center"/>
          </w:tcPr>
          <w:p w14:paraId="59FCD0D8" w14:textId="77777777" w:rsidR="009F5263" w:rsidRPr="000F0299" w:rsidRDefault="009F5263" w:rsidP="009F5263">
            <w:pPr>
              <w:spacing w:before="0"/>
              <w:ind w:firstLine="0"/>
              <w:jc w:val="center"/>
              <w:rPr>
                <w:b/>
                <w:bCs/>
                <w:sz w:val="16"/>
                <w:szCs w:val="16"/>
              </w:rPr>
            </w:pPr>
          </w:p>
        </w:tc>
        <w:tc>
          <w:tcPr>
            <w:tcW w:w="1034" w:type="pct"/>
            <w:tcBorders>
              <w:top w:val="single" w:sz="18" w:space="0" w:color="C00000"/>
            </w:tcBorders>
            <w:shd w:val="clear" w:color="auto" w:fill="auto"/>
            <w:vAlign w:val="center"/>
          </w:tcPr>
          <w:p w14:paraId="52E4D5DE" w14:textId="77777777" w:rsidR="009F5263" w:rsidRPr="000F0299" w:rsidRDefault="009F5263" w:rsidP="009F5263">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2FED98F7" w14:textId="77777777" w:rsidR="009F5263" w:rsidRPr="000F0299" w:rsidRDefault="009F5263" w:rsidP="009F5263">
            <w:pPr>
              <w:spacing w:before="0"/>
              <w:ind w:firstLine="0"/>
              <w:jc w:val="center"/>
              <w:rPr>
                <w:b/>
                <w:bCs/>
                <w:sz w:val="16"/>
                <w:szCs w:val="16"/>
              </w:rPr>
            </w:pPr>
          </w:p>
        </w:tc>
      </w:tr>
      <w:tr w:rsidR="009F5263" w:rsidRPr="000F0299" w14:paraId="0714F686" w14:textId="77777777" w:rsidTr="00EB61A8">
        <w:trPr>
          <w:trHeight w:val="490"/>
        </w:trPr>
        <w:tc>
          <w:tcPr>
            <w:tcW w:w="187" w:type="pct"/>
            <w:tcBorders>
              <w:left w:val="single" w:sz="18" w:space="0" w:color="C00000"/>
            </w:tcBorders>
            <w:shd w:val="clear" w:color="auto" w:fill="auto"/>
          </w:tcPr>
          <w:p w14:paraId="533491D8" w14:textId="77777777" w:rsidR="009F5263" w:rsidRPr="000F0299" w:rsidRDefault="009F5263" w:rsidP="009F5263">
            <w:pPr>
              <w:spacing w:before="0"/>
              <w:ind w:firstLine="0"/>
              <w:rPr>
                <w:b/>
                <w:bCs/>
              </w:rPr>
            </w:pPr>
          </w:p>
        </w:tc>
        <w:tc>
          <w:tcPr>
            <w:tcW w:w="2560" w:type="pct"/>
            <w:tcBorders>
              <w:left w:val="nil"/>
              <w:bottom w:val="single" w:sz="18" w:space="0" w:color="C00000"/>
              <w:right w:val="single" w:sz="18" w:space="0" w:color="D9D9D9" w:themeColor="background1" w:themeShade="D9"/>
            </w:tcBorders>
            <w:shd w:val="clear" w:color="auto" w:fill="auto"/>
          </w:tcPr>
          <w:p w14:paraId="22CBE5FC" w14:textId="77777777" w:rsidR="009F5263" w:rsidRPr="000F0299" w:rsidRDefault="009F5263" w:rsidP="009F5263">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0342B836" w14:textId="77777777" w:rsidR="009F5263" w:rsidRPr="000F0299" w:rsidRDefault="009F5263" w:rsidP="009F5263">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31A1A3EB" w14:textId="77777777" w:rsidR="009F5263" w:rsidRPr="000F0299" w:rsidRDefault="009F5263" w:rsidP="009F5263">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211A3FF9" w14:textId="77777777" w:rsidR="009F5263" w:rsidRPr="000F0299" w:rsidRDefault="009F5263" w:rsidP="009F5263">
            <w:pPr>
              <w:spacing w:before="0"/>
              <w:ind w:firstLine="0"/>
              <w:jc w:val="center"/>
              <w:rPr>
                <w:b/>
                <w:bCs/>
              </w:rPr>
            </w:pPr>
          </w:p>
        </w:tc>
      </w:tr>
      <w:tr w:rsidR="009F5263" w:rsidRPr="000F0299" w14:paraId="442FDC79" w14:textId="77777777" w:rsidTr="00EB61A8">
        <w:trPr>
          <w:trHeight w:val="380"/>
        </w:trPr>
        <w:tc>
          <w:tcPr>
            <w:tcW w:w="187" w:type="pct"/>
            <w:tcBorders>
              <w:left w:val="single" w:sz="18" w:space="0" w:color="C00000"/>
            </w:tcBorders>
            <w:shd w:val="clear" w:color="auto" w:fill="auto"/>
          </w:tcPr>
          <w:p w14:paraId="4A421599" w14:textId="77777777" w:rsidR="009F5263" w:rsidRPr="000F0299" w:rsidRDefault="009F5263" w:rsidP="009F5263">
            <w:pPr>
              <w:spacing w:before="0"/>
              <w:ind w:firstLine="0"/>
            </w:pPr>
          </w:p>
        </w:tc>
        <w:tc>
          <w:tcPr>
            <w:tcW w:w="2560"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64435AC8" w14:textId="77777777" w:rsidR="009F5263" w:rsidRPr="000F0299" w:rsidRDefault="009F5263" w:rsidP="009F5263">
            <w:pPr>
              <w:spacing w:before="0"/>
              <w:ind w:firstLine="0"/>
            </w:pPr>
            <w:r w:rsidRPr="000F0299">
              <w:t>Број поједностављених административних поступака за грађане и привреду</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06FEA073" w14:textId="77777777" w:rsidR="009F5263" w:rsidRPr="000F0299" w:rsidRDefault="009F5263" w:rsidP="009F5263">
            <w:pPr>
              <w:spacing w:before="0"/>
              <w:ind w:firstLine="0"/>
            </w:pPr>
            <w:r w:rsidRPr="000F0299">
              <w:t>(2020): 89</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715DFD91" w14:textId="77777777" w:rsidR="009F5263" w:rsidRPr="000F0299" w:rsidRDefault="009F5263" w:rsidP="009F5263">
            <w:pPr>
              <w:spacing w:before="0"/>
              <w:ind w:firstLine="0"/>
            </w:pPr>
            <w:r w:rsidRPr="000F0299">
              <w:t>(2021): 150</w:t>
            </w:r>
          </w:p>
          <w:p w14:paraId="3DD5A0CE" w14:textId="77777777" w:rsidR="009F5263" w:rsidRPr="000F0299" w:rsidRDefault="009F5263" w:rsidP="009F5263">
            <w:pPr>
              <w:spacing w:before="0"/>
              <w:ind w:firstLine="0"/>
            </w:pPr>
            <w:r w:rsidRPr="000F0299">
              <w:t>(2022): 200</w:t>
            </w:r>
          </w:p>
          <w:p w14:paraId="4786E5DD" w14:textId="77777777" w:rsidR="009F5263" w:rsidRPr="000F0299" w:rsidRDefault="009F5263" w:rsidP="009F5263">
            <w:pPr>
              <w:spacing w:before="0"/>
              <w:ind w:firstLine="0"/>
            </w:pPr>
            <w:r w:rsidRPr="000F0299">
              <w:t>(2023): 250</w:t>
            </w:r>
          </w:p>
          <w:p w14:paraId="1D2D1FC3" w14:textId="77777777" w:rsidR="009F5263" w:rsidRPr="000F0299" w:rsidRDefault="009F5263" w:rsidP="009F5263">
            <w:pPr>
              <w:spacing w:before="0"/>
              <w:ind w:firstLine="0"/>
            </w:pPr>
            <w:r w:rsidRPr="000F0299">
              <w:t>(2024): 300</w:t>
            </w:r>
          </w:p>
          <w:p w14:paraId="67283276" w14:textId="77777777" w:rsidR="009F5263" w:rsidRPr="000F0299" w:rsidRDefault="009F5263" w:rsidP="009F5263">
            <w:pPr>
              <w:spacing w:before="0"/>
              <w:ind w:firstLine="0"/>
            </w:pPr>
            <w:r w:rsidRPr="000F0299">
              <w:t>(2025): 300</w:t>
            </w:r>
          </w:p>
          <w:p w14:paraId="0C24C2AB" w14:textId="77777777" w:rsidR="009F5263" w:rsidRPr="000F0299" w:rsidRDefault="009F5263" w:rsidP="009F5263">
            <w:pPr>
              <w:spacing w:before="0"/>
              <w:ind w:firstLine="0"/>
            </w:pPr>
            <w:r w:rsidRPr="000F0299">
              <w:t>(2027): 400</w:t>
            </w:r>
          </w:p>
          <w:p w14:paraId="794CDFE0" w14:textId="77777777" w:rsidR="009F5263" w:rsidRPr="000F0299" w:rsidRDefault="009F5263" w:rsidP="009F5263">
            <w:pPr>
              <w:spacing w:before="0"/>
              <w:ind w:firstLine="0"/>
            </w:pPr>
            <w:r w:rsidRPr="000F0299">
              <w:t>(2030): 500</w:t>
            </w:r>
          </w:p>
        </w:tc>
        <w:tc>
          <w:tcPr>
            <w:tcW w:w="185" w:type="pct"/>
            <w:tcBorders>
              <w:right w:val="single" w:sz="18" w:space="0" w:color="C00000"/>
            </w:tcBorders>
            <w:shd w:val="clear" w:color="auto" w:fill="auto"/>
          </w:tcPr>
          <w:p w14:paraId="153598B4" w14:textId="77777777" w:rsidR="009F5263" w:rsidRPr="000F0299" w:rsidRDefault="009F5263" w:rsidP="009F5263">
            <w:pPr>
              <w:spacing w:before="0"/>
              <w:ind w:firstLine="0"/>
            </w:pPr>
          </w:p>
        </w:tc>
      </w:tr>
      <w:tr w:rsidR="009F5263" w:rsidRPr="000F0299" w14:paraId="3A6C5F55" w14:textId="77777777" w:rsidTr="00EB61A8">
        <w:trPr>
          <w:trHeight w:val="380"/>
        </w:trPr>
        <w:tc>
          <w:tcPr>
            <w:tcW w:w="187" w:type="pct"/>
            <w:tcBorders>
              <w:left w:val="single" w:sz="18" w:space="0" w:color="C00000"/>
            </w:tcBorders>
            <w:shd w:val="clear" w:color="auto" w:fill="auto"/>
          </w:tcPr>
          <w:p w14:paraId="7B29F8CD" w14:textId="77777777" w:rsidR="009F5263" w:rsidRPr="000F0299" w:rsidRDefault="009F5263" w:rsidP="009F5263">
            <w:pPr>
              <w:spacing w:before="0"/>
              <w:ind w:firstLine="0"/>
            </w:pPr>
          </w:p>
        </w:tc>
        <w:tc>
          <w:tcPr>
            <w:tcW w:w="2560" w:type="pct"/>
            <w:tcBorders>
              <w:top w:val="single" w:sz="18" w:space="0" w:color="D9D9D9" w:themeColor="background1" w:themeShade="D9"/>
              <w:left w:val="nil"/>
              <w:bottom w:val="single" w:sz="18" w:space="0" w:color="D9D9D9" w:themeColor="background1" w:themeShade="D9"/>
              <w:right w:val="single" w:sz="18" w:space="0" w:color="D9D9D9" w:themeColor="background1" w:themeShade="D9"/>
            </w:tcBorders>
            <w:shd w:val="clear" w:color="auto" w:fill="auto"/>
          </w:tcPr>
          <w:p w14:paraId="143AD16D" w14:textId="77777777" w:rsidR="009F5263" w:rsidRPr="000F0299" w:rsidRDefault="009F5263" w:rsidP="009F5263">
            <w:pPr>
              <w:spacing w:before="0"/>
              <w:ind w:firstLine="0"/>
            </w:pPr>
            <w:r w:rsidRPr="000F0299">
              <w:t>Број успостављених јединствених управних места у ЈЛС</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2F810D4D" w14:textId="77777777" w:rsidR="009F5263" w:rsidRPr="000F0299" w:rsidRDefault="009F5263" w:rsidP="009F5263">
            <w:pPr>
              <w:spacing w:before="0"/>
              <w:ind w:firstLine="0"/>
            </w:pPr>
            <w:r w:rsidRPr="000F0299">
              <w:t>(2020): 9</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tcBorders>
            <w:shd w:val="clear" w:color="auto" w:fill="auto"/>
          </w:tcPr>
          <w:p w14:paraId="04E8207D" w14:textId="77777777" w:rsidR="009F5263" w:rsidRPr="000F0299" w:rsidRDefault="009F5263" w:rsidP="009F5263">
            <w:pPr>
              <w:spacing w:before="0"/>
              <w:ind w:firstLine="0"/>
            </w:pPr>
            <w:r w:rsidRPr="000F0299">
              <w:t>(2021): 14</w:t>
            </w:r>
          </w:p>
          <w:p w14:paraId="583302E5" w14:textId="77777777" w:rsidR="009F5263" w:rsidRPr="000F0299" w:rsidRDefault="009F5263" w:rsidP="009F5263">
            <w:pPr>
              <w:spacing w:before="0"/>
              <w:ind w:firstLine="0"/>
            </w:pPr>
            <w:r w:rsidRPr="000F0299">
              <w:t>(2022): 19</w:t>
            </w:r>
          </w:p>
          <w:p w14:paraId="380300D4" w14:textId="77777777" w:rsidR="009F5263" w:rsidRPr="000F0299" w:rsidRDefault="009F5263" w:rsidP="009F5263">
            <w:pPr>
              <w:spacing w:before="0"/>
              <w:ind w:firstLine="0"/>
            </w:pPr>
            <w:r w:rsidRPr="000F0299">
              <w:t>(2023): 24</w:t>
            </w:r>
          </w:p>
          <w:p w14:paraId="6643A599" w14:textId="77777777" w:rsidR="009F5263" w:rsidRPr="000F0299" w:rsidRDefault="009F5263" w:rsidP="009F5263">
            <w:pPr>
              <w:spacing w:before="0"/>
              <w:ind w:firstLine="0"/>
            </w:pPr>
            <w:r w:rsidRPr="000F0299">
              <w:t>(2024): 29</w:t>
            </w:r>
          </w:p>
          <w:p w14:paraId="4C34BD97" w14:textId="77777777" w:rsidR="009F5263" w:rsidRPr="000F0299" w:rsidRDefault="009F5263" w:rsidP="009F5263">
            <w:pPr>
              <w:spacing w:before="0"/>
              <w:ind w:firstLine="0"/>
            </w:pPr>
            <w:r w:rsidRPr="000F0299">
              <w:t>(2025): 34</w:t>
            </w:r>
          </w:p>
          <w:p w14:paraId="1E5A2FFC" w14:textId="77777777" w:rsidR="009F5263" w:rsidRPr="000F0299" w:rsidRDefault="009F5263" w:rsidP="009F5263">
            <w:pPr>
              <w:spacing w:before="0"/>
              <w:ind w:firstLine="0"/>
            </w:pPr>
            <w:r w:rsidRPr="000F0299">
              <w:t>(2027): 50</w:t>
            </w:r>
          </w:p>
          <w:p w14:paraId="04EFA021" w14:textId="77777777" w:rsidR="009F5263" w:rsidRPr="000F0299" w:rsidRDefault="009F5263" w:rsidP="009F5263">
            <w:pPr>
              <w:spacing w:before="0"/>
              <w:ind w:firstLine="0"/>
            </w:pPr>
            <w:r w:rsidRPr="000F0299">
              <w:t>(2030): 80</w:t>
            </w:r>
          </w:p>
        </w:tc>
        <w:tc>
          <w:tcPr>
            <w:tcW w:w="185" w:type="pct"/>
            <w:tcBorders>
              <w:right w:val="single" w:sz="18" w:space="0" w:color="C00000"/>
            </w:tcBorders>
            <w:shd w:val="clear" w:color="auto" w:fill="auto"/>
          </w:tcPr>
          <w:p w14:paraId="77DED3B3" w14:textId="77777777" w:rsidR="009F5263" w:rsidRPr="000F0299" w:rsidRDefault="009F5263" w:rsidP="009F5263">
            <w:pPr>
              <w:spacing w:before="0"/>
              <w:ind w:firstLine="0"/>
            </w:pPr>
          </w:p>
        </w:tc>
      </w:tr>
      <w:tr w:rsidR="009F5263" w:rsidRPr="000F0299" w14:paraId="5C8EDA72" w14:textId="77777777" w:rsidTr="00EB61A8">
        <w:trPr>
          <w:trHeight w:val="340"/>
        </w:trPr>
        <w:tc>
          <w:tcPr>
            <w:tcW w:w="187" w:type="pct"/>
            <w:tcBorders>
              <w:left w:val="single" w:sz="18" w:space="0" w:color="C00000"/>
              <w:bottom w:val="single" w:sz="18" w:space="0" w:color="C00000"/>
            </w:tcBorders>
            <w:shd w:val="clear" w:color="auto" w:fill="auto"/>
          </w:tcPr>
          <w:p w14:paraId="6A920988" w14:textId="77777777" w:rsidR="009F5263" w:rsidRPr="000F0299" w:rsidRDefault="009F5263" w:rsidP="009F5263">
            <w:pPr>
              <w:spacing w:before="0"/>
              <w:ind w:firstLine="0"/>
              <w:rPr>
                <w:sz w:val="16"/>
                <w:szCs w:val="16"/>
              </w:rPr>
            </w:pPr>
          </w:p>
        </w:tc>
        <w:tc>
          <w:tcPr>
            <w:tcW w:w="2560" w:type="pct"/>
            <w:tcBorders>
              <w:top w:val="single" w:sz="18" w:space="0" w:color="D9D9D9" w:themeColor="background1" w:themeShade="D9"/>
              <w:bottom w:val="single" w:sz="18" w:space="0" w:color="C00000"/>
            </w:tcBorders>
            <w:shd w:val="clear" w:color="auto" w:fill="auto"/>
          </w:tcPr>
          <w:p w14:paraId="7F849572" w14:textId="77777777" w:rsidR="009F5263" w:rsidRPr="000F0299" w:rsidRDefault="009F5263" w:rsidP="009F5263">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1C663DF6" w14:textId="77777777" w:rsidR="009F5263" w:rsidRPr="000F0299" w:rsidRDefault="009F5263" w:rsidP="009F5263">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1963D079" w14:textId="77777777" w:rsidR="009F5263" w:rsidRPr="000F0299" w:rsidRDefault="009F5263" w:rsidP="009F5263">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25417E16" w14:textId="77777777" w:rsidR="009F5263" w:rsidRPr="000F0299" w:rsidRDefault="009F5263" w:rsidP="009F5263">
            <w:pPr>
              <w:spacing w:before="0"/>
              <w:ind w:firstLine="0"/>
              <w:rPr>
                <w:sz w:val="16"/>
                <w:szCs w:val="16"/>
              </w:rPr>
            </w:pPr>
          </w:p>
        </w:tc>
      </w:tr>
    </w:tbl>
    <w:p w14:paraId="619F2CF2" w14:textId="77777777" w:rsidR="00EB61A8" w:rsidRPr="000F0299" w:rsidRDefault="00EB61A8" w:rsidP="00EB61A8">
      <w:r w:rsidRPr="000F0299">
        <w:rPr>
          <w:b/>
          <w:bCs/>
        </w:rPr>
        <w:t xml:space="preserve">Мера 2 – Повећање људских и техничко-технолошких капацитета јавне управе за пружање услуга крајњим корисницима: </w:t>
      </w:r>
      <w:r>
        <w:t>Мера је усмерена на успостављање</w:t>
      </w:r>
      <w:r w:rsidRPr="000F0299">
        <w:t xml:space="preserve"> јединствен</w:t>
      </w:r>
      <w:r>
        <w:t>ог</w:t>
      </w:r>
      <w:r w:rsidRPr="000F0299">
        <w:t xml:space="preserve"> приступ</w:t>
      </w:r>
      <w:r>
        <w:t>а</w:t>
      </w:r>
      <w:r w:rsidRPr="000F0299">
        <w:t xml:space="preserve"> за организацију људских капацитета који су ангажовани на пружању услуга, како у погледу систематичног одређивања њиховог броја, размештаја, тако и континуираног стручног усавршавања на принципима усмерености у пружању услуга ка крајњим корисницима. Осим тога, мера тражи и </w:t>
      </w:r>
      <w:r>
        <w:t>да се утврди</w:t>
      </w:r>
      <w:r w:rsidRPr="000F0299">
        <w:t xml:space="preserve"> техничко-технолошко стањ</w:t>
      </w:r>
      <w:r>
        <w:t>е</w:t>
      </w:r>
      <w:r w:rsidRPr="000F0299">
        <w:t xml:space="preserve"> јавне управе у домену пружања услуга, </w:t>
      </w:r>
      <w:r>
        <w:t>као и</w:t>
      </w:r>
      <w:r w:rsidRPr="000F0299">
        <w:t xml:space="preserve"> набавку недостајуће технике и технологије како би се подигли капацитети за ефикасно пружање услуга. </w:t>
      </w:r>
    </w:p>
    <w:tbl>
      <w:tblPr>
        <w:tblW w:w="5000" w:type="pct"/>
        <w:tblLook w:val="00A0" w:firstRow="1" w:lastRow="0" w:firstColumn="1" w:lastColumn="0" w:noHBand="0" w:noVBand="0"/>
      </w:tblPr>
      <w:tblGrid>
        <w:gridCol w:w="338"/>
        <w:gridCol w:w="4620"/>
        <w:gridCol w:w="1867"/>
        <w:gridCol w:w="1867"/>
        <w:gridCol w:w="334"/>
      </w:tblGrid>
      <w:tr w:rsidR="009F5263" w:rsidRPr="000F0299" w14:paraId="145C6217" w14:textId="77777777" w:rsidTr="00EB61A8">
        <w:trPr>
          <w:trHeight w:val="20"/>
        </w:trPr>
        <w:tc>
          <w:tcPr>
            <w:tcW w:w="188" w:type="pct"/>
            <w:tcBorders>
              <w:top w:val="single" w:sz="18" w:space="0" w:color="C00000"/>
              <w:left w:val="single" w:sz="18" w:space="0" w:color="C00000"/>
            </w:tcBorders>
            <w:shd w:val="clear" w:color="auto" w:fill="auto"/>
          </w:tcPr>
          <w:p w14:paraId="3343017B" w14:textId="77777777" w:rsidR="009F5263" w:rsidRPr="000F0299" w:rsidRDefault="009F5263" w:rsidP="009F5263">
            <w:pPr>
              <w:spacing w:before="0"/>
              <w:ind w:firstLine="0"/>
              <w:rPr>
                <w:b/>
                <w:bCs/>
                <w:sz w:val="16"/>
                <w:szCs w:val="16"/>
              </w:rPr>
            </w:pPr>
          </w:p>
        </w:tc>
        <w:tc>
          <w:tcPr>
            <w:tcW w:w="2558" w:type="pct"/>
            <w:tcBorders>
              <w:top w:val="single" w:sz="18" w:space="0" w:color="C00000"/>
            </w:tcBorders>
            <w:shd w:val="clear" w:color="auto" w:fill="auto"/>
          </w:tcPr>
          <w:p w14:paraId="2C9C8FCC" w14:textId="77777777" w:rsidR="009F5263" w:rsidRPr="000F0299" w:rsidRDefault="009F5263" w:rsidP="009F5263">
            <w:pPr>
              <w:spacing w:before="0"/>
              <w:ind w:firstLine="0"/>
              <w:rPr>
                <w:b/>
                <w:bCs/>
                <w:sz w:val="16"/>
                <w:szCs w:val="16"/>
              </w:rPr>
            </w:pPr>
          </w:p>
        </w:tc>
        <w:tc>
          <w:tcPr>
            <w:tcW w:w="1034" w:type="pct"/>
            <w:tcBorders>
              <w:top w:val="single" w:sz="18" w:space="0" w:color="C00000"/>
            </w:tcBorders>
            <w:shd w:val="clear" w:color="auto" w:fill="auto"/>
            <w:vAlign w:val="center"/>
          </w:tcPr>
          <w:p w14:paraId="0D453CDC" w14:textId="77777777" w:rsidR="009F5263" w:rsidRPr="000F0299" w:rsidRDefault="009F5263" w:rsidP="009F5263">
            <w:pPr>
              <w:spacing w:before="0"/>
              <w:ind w:firstLine="0"/>
              <w:jc w:val="center"/>
              <w:rPr>
                <w:b/>
                <w:bCs/>
                <w:sz w:val="16"/>
                <w:szCs w:val="16"/>
              </w:rPr>
            </w:pPr>
          </w:p>
        </w:tc>
        <w:tc>
          <w:tcPr>
            <w:tcW w:w="1034" w:type="pct"/>
            <w:tcBorders>
              <w:top w:val="single" w:sz="18" w:space="0" w:color="C00000"/>
            </w:tcBorders>
            <w:shd w:val="clear" w:color="auto" w:fill="auto"/>
            <w:vAlign w:val="center"/>
          </w:tcPr>
          <w:p w14:paraId="343C7CCB" w14:textId="77777777" w:rsidR="009F5263" w:rsidRPr="000F0299" w:rsidRDefault="009F5263" w:rsidP="009F5263">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0F8C4C6B" w14:textId="77777777" w:rsidR="009F5263" w:rsidRPr="000F0299" w:rsidRDefault="009F5263" w:rsidP="009F5263">
            <w:pPr>
              <w:spacing w:before="0"/>
              <w:ind w:firstLine="0"/>
              <w:jc w:val="center"/>
              <w:rPr>
                <w:b/>
                <w:bCs/>
                <w:sz w:val="16"/>
                <w:szCs w:val="16"/>
              </w:rPr>
            </w:pPr>
          </w:p>
        </w:tc>
      </w:tr>
      <w:tr w:rsidR="009F5263" w:rsidRPr="000F0299" w14:paraId="03668D05" w14:textId="77777777" w:rsidTr="00EB61A8">
        <w:trPr>
          <w:trHeight w:val="374"/>
        </w:trPr>
        <w:tc>
          <w:tcPr>
            <w:tcW w:w="188" w:type="pct"/>
            <w:tcBorders>
              <w:left w:val="single" w:sz="18" w:space="0" w:color="C00000"/>
            </w:tcBorders>
            <w:shd w:val="clear" w:color="auto" w:fill="auto"/>
          </w:tcPr>
          <w:p w14:paraId="372BCF31" w14:textId="77777777" w:rsidR="009F5263" w:rsidRPr="000F0299" w:rsidRDefault="009F5263" w:rsidP="009F5263">
            <w:pPr>
              <w:spacing w:before="0" w:after="0"/>
              <w:ind w:firstLine="0"/>
              <w:rPr>
                <w:b/>
                <w:bCs/>
              </w:rPr>
            </w:pPr>
          </w:p>
        </w:tc>
        <w:tc>
          <w:tcPr>
            <w:tcW w:w="2558" w:type="pct"/>
            <w:tcBorders>
              <w:left w:val="nil"/>
              <w:bottom w:val="single" w:sz="18" w:space="0" w:color="C00000"/>
              <w:right w:val="single" w:sz="18" w:space="0" w:color="D9D9D9" w:themeColor="background1" w:themeShade="D9"/>
            </w:tcBorders>
            <w:shd w:val="clear" w:color="auto" w:fill="auto"/>
          </w:tcPr>
          <w:p w14:paraId="26B8658A" w14:textId="77777777" w:rsidR="009F5263" w:rsidRPr="000F0299" w:rsidRDefault="009F5263" w:rsidP="009F5263">
            <w:pPr>
              <w:spacing w:before="0" w:after="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0B1C37B4" w14:textId="77777777" w:rsidR="009F5263" w:rsidRPr="000F0299" w:rsidRDefault="009F5263" w:rsidP="009F5263">
            <w:pPr>
              <w:spacing w:before="0" w:after="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54919C54" w14:textId="77777777" w:rsidR="009F5263" w:rsidRPr="000F0299" w:rsidRDefault="009F5263" w:rsidP="009F5263">
            <w:pPr>
              <w:spacing w:before="0" w:after="0"/>
              <w:ind w:firstLine="0"/>
              <w:jc w:val="center"/>
              <w:rPr>
                <w:b/>
                <w:bCs/>
              </w:rPr>
            </w:pPr>
            <w:r w:rsidRPr="000F0299">
              <w:rPr>
                <w:b/>
                <w:bCs/>
              </w:rPr>
              <w:t>ЦВ</w:t>
            </w:r>
          </w:p>
        </w:tc>
        <w:tc>
          <w:tcPr>
            <w:tcW w:w="185" w:type="pct"/>
            <w:tcBorders>
              <w:right w:val="single" w:sz="18" w:space="0" w:color="C00000"/>
            </w:tcBorders>
            <w:shd w:val="clear" w:color="auto" w:fill="auto"/>
          </w:tcPr>
          <w:p w14:paraId="7127153C" w14:textId="77777777" w:rsidR="009F5263" w:rsidRPr="000F0299" w:rsidRDefault="009F5263" w:rsidP="009F5263">
            <w:pPr>
              <w:spacing w:before="0" w:after="0"/>
              <w:ind w:firstLine="0"/>
              <w:jc w:val="center"/>
              <w:rPr>
                <w:b/>
                <w:bCs/>
              </w:rPr>
            </w:pPr>
          </w:p>
        </w:tc>
      </w:tr>
      <w:tr w:rsidR="009F5263" w:rsidRPr="000F0299" w14:paraId="02F75EFF" w14:textId="77777777" w:rsidTr="00EB61A8">
        <w:trPr>
          <w:trHeight w:val="2263"/>
        </w:trPr>
        <w:tc>
          <w:tcPr>
            <w:tcW w:w="188" w:type="pct"/>
            <w:tcBorders>
              <w:left w:val="single" w:sz="18" w:space="0" w:color="C00000"/>
            </w:tcBorders>
            <w:shd w:val="clear" w:color="auto" w:fill="auto"/>
          </w:tcPr>
          <w:p w14:paraId="103CB3CA" w14:textId="77777777" w:rsidR="009F5263" w:rsidRPr="000F0299" w:rsidRDefault="009F5263" w:rsidP="009F5263">
            <w:pPr>
              <w:spacing w:before="0"/>
              <w:ind w:firstLine="0"/>
            </w:pPr>
          </w:p>
        </w:tc>
        <w:tc>
          <w:tcPr>
            <w:tcW w:w="2558"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03C9FDFD" w14:textId="1975248D" w:rsidR="009F5263" w:rsidRPr="000F0299" w:rsidRDefault="009F5263" w:rsidP="009F5263">
            <w:pPr>
              <w:spacing w:before="0"/>
              <w:ind w:firstLine="0"/>
            </w:pPr>
            <w:r w:rsidRPr="000F0299">
              <w:t xml:space="preserve">Број службеника државне управе и локалне самоуправе запослених на пословима пружања услуга који су обухваћени обукама у области унапређења квалитета пружања </w:t>
            </w:r>
            <w:r w:rsidR="00684034" w:rsidRPr="000F0299">
              <w:t>услуга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77218FD3" w14:textId="77777777" w:rsidR="009F5263" w:rsidRPr="000F0299" w:rsidRDefault="009F5263" w:rsidP="009F5263">
            <w:pPr>
              <w:spacing w:before="0"/>
              <w:ind w:firstLine="0"/>
            </w:pPr>
            <w:r w:rsidRPr="000F0299">
              <w:t>(2019): 5687</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5D978557" w14:textId="77777777" w:rsidR="009F5263" w:rsidRPr="000F0299" w:rsidRDefault="009F5263" w:rsidP="009F5263">
            <w:pPr>
              <w:spacing w:before="0"/>
              <w:ind w:firstLine="0"/>
            </w:pPr>
            <w:r w:rsidRPr="000F0299">
              <w:t>(2021): 10000</w:t>
            </w:r>
          </w:p>
          <w:p w14:paraId="18E345D5" w14:textId="77777777" w:rsidR="009F5263" w:rsidRPr="000F0299" w:rsidRDefault="009F5263" w:rsidP="009F5263">
            <w:pPr>
              <w:spacing w:before="0"/>
              <w:ind w:firstLine="0"/>
            </w:pPr>
            <w:r w:rsidRPr="000F0299">
              <w:t>(2022): 15000</w:t>
            </w:r>
          </w:p>
          <w:p w14:paraId="61FAAD15" w14:textId="77777777" w:rsidR="009F5263" w:rsidRPr="000F0299" w:rsidRDefault="009F5263" w:rsidP="009F5263">
            <w:pPr>
              <w:spacing w:before="0"/>
              <w:ind w:firstLine="0"/>
            </w:pPr>
            <w:r w:rsidRPr="000F0299">
              <w:t>(2023): 20000</w:t>
            </w:r>
          </w:p>
          <w:p w14:paraId="68CEDB03" w14:textId="77777777" w:rsidR="009F5263" w:rsidRPr="000F0299" w:rsidRDefault="009F5263" w:rsidP="009F5263">
            <w:pPr>
              <w:spacing w:before="0"/>
              <w:ind w:firstLine="0"/>
            </w:pPr>
            <w:r w:rsidRPr="000F0299">
              <w:t>(2024): 25000</w:t>
            </w:r>
          </w:p>
          <w:p w14:paraId="62B500DE" w14:textId="77777777" w:rsidR="009F5263" w:rsidRPr="000F0299" w:rsidRDefault="009F5263" w:rsidP="009F5263">
            <w:pPr>
              <w:spacing w:before="0"/>
              <w:ind w:firstLine="0"/>
            </w:pPr>
            <w:r w:rsidRPr="000F0299">
              <w:t>(2025): 30000</w:t>
            </w:r>
          </w:p>
          <w:p w14:paraId="54EF2B60" w14:textId="77777777" w:rsidR="009F5263" w:rsidRPr="000F0299" w:rsidRDefault="009F5263" w:rsidP="009F5263">
            <w:pPr>
              <w:spacing w:before="0"/>
              <w:ind w:firstLine="0"/>
            </w:pPr>
            <w:r w:rsidRPr="000F0299">
              <w:t>(2027): 40000</w:t>
            </w:r>
          </w:p>
          <w:p w14:paraId="765FDCD6" w14:textId="77777777" w:rsidR="009F5263" w:rsidRPr="000F0299" w:rsidRDefault="009F5263" w:rsidP="009F5263">
            <w:pPr>
              <w:spacing w:before="0"/>
              <w:ind w:firstLine="0"/>
            </w:pPr>
            <w:r w:rsidRPr="000F0299">
              <w:t>(2030): 50000</w:t>
            </w:r>
          </w:p>
        </w:tc>
        <w:tc>
          <w:tcPr>
            <w:tcW w:w="185" w:type="pct"/>
            <w:tcBorders>
              <w:right w:val="single" w:sz="18" w:space="0" w:color="C00000"/>
            </w:tcBorders>
            <w:shd w:val="clear" w:color="auto" w:fill="auto"/>
          </w:tcPr>
          <w:p w14:paraId="56A7EB36" w14:textId="77777777" w:rsidR="009F5263" w:rsidRPr="000F0299" w:rsidRDefault="009F5263" w:rsidP="009F5263">
            <w:pPr>
              <w:spacing w:before="0"/>
              <w:ind w:firstLine="0"/>
            </w:pPr>
          </w:p>
        </w:tc>
      </w:tr>
      <w:tr w:rsidR="009F5263" w:rsidRPr="000F0299" w14:paraId="694215B1" w14:textId="77777777" w:rsidTr="00EB61A8">
        <w:trPr>
          <w:trHeight w:val="380"/>
        </w:trPr>
        <w:tc>
          <w:tcPr>
            <w:tcW w:w="188" w:type="pct"/>
            <w:tcBorders>
              <w:left w:val="single" w:sz="18" w:space="0" w:color="C00000"/>
            </w:tcBorders>
            <w:shd w:val="clear" w:color="auto" w:fill="auto"/>
          </w:tcPr>
          <w:p w14:paraId="67041116" w14:textId="77777777" w:rsidR="009F5263" w:rsidRPr="000F0299" w:rsidRDefault="009F5263" w:rsidP="009F5263">
            <w:pPr>
              <w:spacing w:before="0"/>
              <w:ind w:firstLine="0"/>
            </w:pPr>
          </w:p>
        </w:tc>
        <w:tc>
          <w:tcPr>
            <w:tcW w:w="2558" w:type="pct"/>
            <w:tcBorders>
              <w:top w:val="single" w:sz="18" w:space="0" w:color="D9D9D9" w:themeColor="background1" w:themeShade="D9"/>
              <w:left w:val="nil"/>
              <w:bottom w:val="single" w:sz="18" w:space="0" w:color="D9D9D9" w:themeColor="background1" w:themeShade="D9"/>
              <w:right w:val="single" w:sz="18" w:space="0" w:color="D9D9D9" w:themeColor="background1" w:themeShade="D9"/>
            </w:tcBorders>
            <w:shd w:val="clear" w:color="auto" w:fill="auto"/>
          </w:tcPr>
          <w:p w14:paraId="22105888" w14:textId="77777777" w:rsidR="009F5263" w:rsidRPr="000F0299" w:rsidRDefault="009F5263" w:rsidP="009F5263">
            <w:pPr>
              <w:spacing w:before="0"/>
              <w:ind w:firstLine="0"/>
            </w:pPr>
            <w:r w:rsidRPr="000F0299">
              <w:t>ЕУ Бенчмарк електронске управе – постојање кључних предуслова</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68211439" w14:textId="77777777" w:rsidR="009F5263" w:rsidRPr="000F0299" w:rsidRDefault="009F5263" w:rsidP="009F5263">
            <w:pPr>
              <w:spacing w:before="0"/>
              <w:ind w:firstLine="0"/>
            </w:pPr>
            <w:r w:rsidRPr="000F0299">
              <w:t>(2020): 35</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tcBorders>
            <w:shd w:val="clear" w:color="auto" w:fill="auto"/>
          </w:tcPr>
          <w:p w14:paraId="5811BF19" w14:textId="77777777" w:rsidR="009F5263" w:rsidRPr="000F0299" w:rsidRDefault="009F5263" w:rsidP="009F5263">
            <w:pPr>
              <w:spacing w:before="0"/>
              <w:ind w:firstLine="0"/>
            </w:pPr>
            <w:r w:rsidRPr="000F0299">
              <w:t>(2021): 37</w:t>
            </w:r>
          </w:p>
          <w:p w14:paraId="3BDD0D9B" w14:textId="77777777" w:rsidR="009F5263" w:rsidRPr="000F0299" w:rsidRDefault="009F5263" w:rsidP="009F5263">
            <w:pPr>
              <w:spacing w:before="0"/>
              <w:ind w:firstLine="0"/>
            </w:pPr>
            <w:r w:rsidRPr="000F0299">
              <w:t>(2022): 45</w:t>
            </w:r>
          </w:p>
          <w:p w14:paraId="2A5FBFE3" w14:textId="77777777" w:rsidR="009F5263" w:rsidRPr="000F0299" w:rsidRDefault="009F5263" w:rsidP="009F5263">
            <w:pPr>
              <w:spacing w:before="0"/>
              <w:ind w:firstLine="0"/>
            </w:pPr>
            <w:r w:rsidRPr="000F0299">
              <w:t>(2023): 60</w:t>
            </w:r>
          </w:p>
          <w:p w14:paraId="3651335E" w14:textId="77777777" w:rsidR="009F5263" w:rsidRPr="000F0299" w:rsidRDefault="009F5263" w:rsidP="009F5263">
            <w:pPr>
              <w:spacing w:before="0"/>
              <w:ind w:firstLine="0"/>
            </w:pPr>
            <w:r w:rsidRPr="000F0299">
              <w:t>(2024): 75</w:t>
            </w:r>
          </w:p>
          <w:p w14:paraId="642C770F" w14:textId="77777777" w:rsidR="009F5263" w:rsidRPr="000F0299" w:rsidRDefault="009F5263" w:rsidP="009F5263">
            <w:pPr>
              <w:spacing w:before="0"/>
              <w:ind w:firstLine="0"/>
            </w:pPr>
            <w:r w:rsidRPr="000F0299">
              <w:t>(2025): 90</w:t>
            </w:r>
          </w:p>
          <w:p w14:paraId="18E07975" w14:textId="77777777" w:rsidR="009F5263" w:rsidRPr="000F0299" w:rsidRDefault="009F5263" w:rsidP="009F5263">
            <w:pPr>
              <w:spacing w:before="0"/>
              <w:ind w:firstLine="0"/>
            </w:pPr>
            <w:r w:rsidRPr="000F0299">
              <w:t>(2027): 94</w:t>
            </w:r>
          </w:p>
          <w:p w14:paraId="76A02C68" w14:textId="77777777" w:rsidR="009F5263" w:rsidRPr="000F0299" w:rsidRDefault="009F5263" w:rsidP="009F5263">
            <w:pPr>
              <w:spacing w:before="0"/>
              <w:ind w:firstLine="0"/>
            </w:pPr>
            <w:r w:rsidRPr="000F0299">
              <w:t>(2030): 96</w:t>
            </w:r>
          </w:p>
        </w:tc>
        <w:tc>
          <w:tcPr>
            <w:tcW w:w="185" w:type="pct"/>
            <w:tcBorders>
              <w:right w:val="single" w:sz="18" w:space="0" w:color="C00000"/>
            </w:tcBorders>
            <w:shd w:val="clear" w:color="auto" w:fill="auto"/>
          </w:tcPr>
          <w:p w14:paraId="79D486BE" w14:textId="77777777" w:rsidR="009F5263" w:rsidRPr="000F0299" w:rsidRDefault="009F5263" w:rsidP="009F5263">
            <w:pPr>
              <w:spacing w:before="0"/>
              <w:ind w:firstLine="0"/>
            </w:pPr>
          </w:p>
        </w:tc>
      </w:tr>
      <w:tr w:rsidR="009F5263" w:rsidRPr="000F0299" w14:paraId="01FF0591" w14:textId="77777777" w:rsidTr="00EB61A8">
        <w:trPr>
          <w:trHeight w:val="106"/>
        </w:trPr>
        <w:tc>
          <w:tcPr>
            <w:tcW w:w="188" w:type="pct"/>
            <w:tcBorders>
              <w:left w:val="single" w:sz="18" w:space="0" w:color="C00000"/>
              <w:bottom w:val="single" w:sz="18" w:space="0" w:color="C00000"/>
            </w:tcBorders>
            <w:shd w:val="clear" w:color="auto" w:fill="auto"/>
          </w:tcPr>
          <w:p w14:paraId="27470C15" w14:textId="77777777" w:rsidR="009F5263" w:rsidRPr="000F0299" w:rsidRDefault="009F5263" w:rsidP="009F5263">
            <w:pPr>
              <w:spacing w:before="0"/>
              <w:ind w:firstLine="0"/>
              <w:rPr>
                <w:sz w:val="16"/>
                <w:szCs w:val="16"/>
              </w:rPr>
            </w:pPr>
          </w:p>
        </w:tc>
        <w:tc>
          <w:tcPr>
            <w:tcW w:w="2558" w:type="pct"/>
            <w:tcBorders>
              <w:top w:val="single" w:sz="18" w:space="0" w:color="D9D9D9" w:themeColor="background1" w:themeShade="D9"/>
              <w:bottom w:val="single" w:sz="18" w:space="0" w:color="C00000"/>
            </w:tcBorders>
            <w:shd w:val="clear" w:color="auto" w:fill="auto"/>
          </w:tcPr>
          <w:p w14:paraId="6BA740DE" w14:textId="77777777" w:rsidR="009F5263" w:rsidRPr="000F0299" w:rsidRDefault="009F5263" w:rsidP="009F5263">
            <w:pPr>
              <w:spacing w:before="0" w:after="0"/>
              <w:ind w:firstLine="0"/>
              <w:rPr>
                <w:rFonts w:eastAsia="Times New Roman"/>
                <w:noProof/>
                <w:sz w:val="20"/>
                <w:szCs w:val="20"/>
              </w:rPr>
            </w:pPr>
          </w:p>
        </w:tc>
        <w:tc>
          <w:tcPr>
            <w:tcW w:w="1034" w:type="pct"/>
            <w:tcBorders>
              <w:top w:val="single" w:sz="18" w:space="0" w:color="D9D9D9" w:themeColor="background1" w:themeShade="D9"/>
              <w:bottom w:val="single" w:sz="18" w:space="0" w:color="C00000"/>
            </w:tcBorders>
            <w:shd w:val="clear" w:color="auto" w:fill="auto"/>
          </w:tcPr>
          <w:p w14:paraId="0A706A2E" w14:textId="77777777" w:rsidR="009F5263" w:rsidRPr="000F0299" w:rsidRDefault="009F5263" w:rsidP="009F5263">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15A61EFC" w14:textId="77777777" w:rsidR="009F5263" w:rsidRPr="000F0299" w:rsidRDefault="009F5263" w:rsidP="009F5263">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20FF6CD6" w14:textId="77777777" w:rsidR="009F5263" w:rsidRPr="000F0299" w:rsidRDefault="009F5263" w:rsidP="009F5263">
            <w:pPr>
              <w:spacing w:before="0"/>
              <w:ind w:firstLine="0"/>
              <w:rPr>
                <w:sz w:val="16"/>
                <w:szCs w:val="16"/>
              </w:rPr>
            </w:pPr>
          </w:p>
        </w:tc>
      </w:tr>
    </w:tbl>
    <w:p w14:paraId="476A1ADB" w14:textId="77777777" w:rsidR="00EB61A8" w:rsidRPr="000F0299" w:rsidRDefault="00EB61A8" w:rsidP="00EB61A8">
      <w:r w:rsidRPr="000F0299">
        <w:rPr>
          <w:b/>
          <w:bCs/>
        </w:rPr>
        <w:t xml:space="preserve">Мера 3 – Унапређен систем контроле и обезбеђења квалитета услуга: </w:t>
      </w:r>
      <w:r w:rsidRPr="000F0299">
        <w:t xml:space="preserve">ефикасно управљање пружањем услуга захтева и </w:t>
      </w:r>
      <w:r>
        <w:t xml:space="preserve">да се </w:t>
      </w:r>
      <w:r w:rsidRPr="000F0299">
        <w:t>успостав</w:t>
      </w:r>
      <w:r>
        <w:t>и</w:t>
      </w:r>
      <w:r w:rsidRPr="000F0299">
        <w:t xml:space="preserve"> ефикасн</w:t>
      </w:r>
      <w:r>
        <w:t>а</w:t>
      </w:r>
      <w:r w:rsidRPr="000F0299">
        <w:t xml:space="preserve"> контрол</w:t>
      </w:r>
      <w:r>
        <w:t>а</w:t>
      </w:r>
      <w:r w:rsidRPr="000F0299">
        <w:t xml:space="preserve"> квалитета </w:t>
      </w:r>
      <w:r>
        <w:t xml:space="preserve">коју ће вршити </w:t>
      </w:r>
      <w:r w:rsidRPr="000F0299">
        <w:t>инспекциј</w:t>
      </w:r>
      <w:r>
        <w:t>е</w:t>
      </w:r>
      <w:r w:rsidRPr="000F0299">
        <w:t xml:space="preserve"> које још нису оформљене. Мера подразумева изградњу система за праћење и контролу квалитета пружених услуга што захтева и </w:t>
      </w:r>
      <w:r>
        <w:t xml:space="preserve">да се </w:t>
      </w:r>
      <w:r w:rsidRPr="000F0299">
        <w:t>стандард</w:t>
      </w:r>
      <w:r>
        <w:t xml:space="preserve">изује </w:t>
      </w:r>
      <w:r w:rsidRPr="000F0299">
        <w:t>пружањ</w:t>
      </w:r>
      <w:r>
        <w:t>е</w:t>
      </w:r>
      <w:r w:rsidRPr="000F0299">
        <w:t xml:space="preserve"> услуга, као и праћење задовољства крајњих корисника пруженим услугама. </w:t>
      </w:r>
    </w:p>
    <w:tbl>
      <w:tblPr>
        <w:tblW w:w="5000" w:type="pct"/>
        <w:tblLook w:val="00A0" w:firstRow="1" w:lastRow="0" w:firstColumn="1" w:lastColumn="0" w:noHBand="0" w:noVBand="0"/>
      </w:tblPr>
      <w:tblGrid>
        <w:gridCol w:w="338"/>
        <w:gridCol w:w="4620"/>
        <w:gridCol w:w="1867"/>
        <w:gridCol w:w="1867"/>
        <w:gridCol w:w="334"/>
      </w:tblGrid>
      <w:tr w:rsidR="009F5263" w:rsidRPr="000F0299" w14:paraId="3DAB02D2" w14:textId="77777777" w:rsidTr="009F5263">
        <w:trPr>
          <w:trHeight w:val="20"/>
        </w:trPr>
        <w:tc>
          <w:tcPr>
            <w:tcW w:w="188" w:type="pct"/>
            <w:tcBorders>
              <w:top w:val="single" w:sz="18" w:space="0" w:color="C00000"/>
              <w:left w:val="single" w:sz="18" w:space="0" w:color="C00000"/>
            </w:tcBorders>
            <w:shd w:val="clear" w:color="auto" w:fill="auto"/>
          </w:tcPr>
          <w:p w14:paraId="27AED781" w14:textId="77777777" w:rsidR="009F5263" w:rsidRPr="000F0299" w:rsidRDefault="009F5263" w:rsidP="009F5263">
            <w:pPr>
              <w:spacing w:before="0"/>
              <w:ind w:firstLine="0"/>
              <w:rPr>
                <w:b/>
                <w:bCs/>
                <w:sz w:val="16"/>
                <w:szCs w:val="16"/>
              </w:rPr>
            </w:pPr>
          </w:p>
        </w:tc>
        <w:tc>
          <w:tcPr>
            <w:tcW w:w="2558" w:type="pct"/>
            <w:tcBorders>
              <w:top w:val="single" w:sz="18" w:space="0" w:color="C00000"/>
            </w:tcBorders>
            <w:shd w:val="clear" w:color="auto" w:fill="auto"/>
          </w:tcPr>
          <w:p w14:paraId="798E4474" w14:textId="77777777" w:rsidR="009F5263" w:rsidRPr="000F0299" w:rsidRDefault="009F5263" w:rsidP="009F5263">
            <w:pPr>
              <w:spacing w:before="0"/>
              <w:ind w:firstLine="0"/>
              <w:rPr>
                <w:b/>
                <w:bCs/>
                <w:sz w:val="16"/>
                <w:szCs w:val="16"/>
              </w:rPr>
            </w:pPr>
          </w:p>
        </w:tc>
        <w:tc>
          <w:tcPr>
            <w:tcW w:w="1034" w:type="pct"/>
            <w:tcBorders>
              <w:top w:val="single" w:sz="18" w:space="0" w:color="C00000"/>
            </w:tcBorders>
            <w:shd w:val="clear" w:color="auto" w:fill="auto"/>
            <w:vAlign w:val="center"/>
          </w:tcPr>
          <w:p w14:paraId="61E5191D" w14:textId="77777777" w:rsidR="009F5263" w:rsidRPr="000F0299" w:rsidRDefault="009F5263" w:rsidP="009F5263">
            <w:pPr>
              <w:spacing w:before="0"/>
              <w:ind w:firstLine="0"/>
              <w:jc w:val="center"/>
              <w:rPr>
                <w:b/>
                <w:bCs/>
                <w:sz w:val="16"/>
                <w:szCs w:val="16"/>
              </w:rPr>
            </w:pPr>
          </w:p>
        </w:tc>
        <w:tc>
          <w:tcPr>
            <w:tcW w:w="1034" w:type="pct"/>
            <w:tcBorders>
              <w:top w:val="single" w:sz="18" w:space="0" w:color="C00000"/>
            </w:tcBorders>
            <w:shd w:val="clear" w:color="auto" w:fill="auto"/>
            <w:vAlign w:val="center"/>
          </w:tcPr>
          <w:p w14:paraId="2D015ADB" w14:textId="77777777" w:rsidR="009F5263" w:rsidRPr="000F0299" w:rsidRDefault="009F5263" w:rsidP="009F5263">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28075DED" w14:textId="77777777" w:rsidR="009F5263" w:rsidRPr="000F0299" w:rsidRDefault="009F5263" w:rsidP="009F5263">
            <w:pPr>
              <w:spacing w:before="0"/>
              <w:ind w:firstLine="0"/>
              <w:jc w:val="center"/>
              <w:rPr>
                <w:b/>
                <w:bCs/>
                <w:sz w:val="16"/>
                <w:szCs w:val="16"/>
              </w:rPr>
            </w:pPr>
          </w:p>
        </w:tc>
      </w:tr>
      <w:tr w:rsidR="009F5263" w:rsidRPr="000F0299" w14:paraId="7ECB0B3B" w14:textId="77777777" w:rsidTr="009F5263">
        <w:trPr>
          <w:trHeight w:val="490"/>
        </w:trPr>
        <w:tc>
          <w:tcPr>
            <w:tcW w:w="188" w:type="pct"/>
            <w:tcBorders>
              <w:left w:val="single" w:sz="18" w:space="0" w:color="C00000"/>
            </w:tcBorders>
            <w:shd w:val="clear" w:color="auto" w:fill="auto"/>
          </w:tcPr>
          <w:p w14:paraId="64981531" w14:textId="77777777" w:rsidR="009F5263" w:rsidRPr="000F0299" w:rsidRDefault="009F5263" w:rsidP="009F5263">
            <w:pPr>
              <w:spacing w:before="0"/>
              <w:ind w:firstLine="0"/>
              <w:rPr>
                <w:b/>
                <w:bCs/>
              </w:rPr>
            </w:pPr>
          </w:p>
        </w:tc>
        <w:tc>
          <w:tcPr>
            <w:tcW w:w="2558" w:type="pct"/>
            <w:tcBorders>
              <w:left w:val="nil"/>
              <w:bottom w:val="single" w:sz="18" w:space="0" w:color="C00000"/>
              <w:right w:val="single" w:sz="18" w:space="0" w:color="D9D9D9" w:themeColor="background1" w:themeShade="D9"/>
            </w:tcBorders>
            <w:shd w:val="clear" w:color="auto" w:fill="auto"/>
          </w:tcPr>
          <w:p w14:paraId="3971F003" w14:textId="77777777" w:rsidR="009F5263" w:rsidRPr="000F0299" w:rsidRDefault="009F5263" w:rsidP="009F5263">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63117C8D" w14:textId="77777777" w:rsidR="009F5263" w:rsidRPr="000F0299" w:rsidRDefault="009F5263" w:rsidP="009F5263">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30E428C8" w14:textId="77777777" w:rsidR="009F5263" w:rsidRPr="000F0299" w:rsidRDefault="009F5263" w:rsidP="009F5263">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3BFD484A" w14:textId="77777777" w:rsidR="009F5263" w:rsidRPr="000F0299" w:rsidRDefault="009F5263" w:rsidP="009F5263">
            <w:pPr>
              <w:spacing w:before="0"/>
              <w:ind w:firstLine="0"/>
              <w:jc w:val="center"/>
              <w:rPr>
                <w:b/>
                <w:bCs/>
              </w:rPr>
            </w:pPr>
          </w:p>
        </w:tc>
      </w:tr>
      <w:tr w:rsidR="009F5263" w:rsidRPr="000F0299" w14:paraId="522A21D5" w14:textId="77777777" w:rsidTr="009F5263">
        <w:trPr>
          <w:trHeight w:val="380"/>
        </w:trPr>
        <w:tc>
          <w:tcPr>
            <w:tcW w:w="188" w:type="pct"/>
            <w:tcBorders>
              <w:left w:val="single" w:sz="18" w:space="0" w:color="C00000"/>
            </w:tcBorders>
            <w:shd w:val="clear" w:color="auto" w:fill="auto"/>
          </w:tcPr>
          <w:p w14:paraId="4E7ADA28" w14:textId="77777777" w:rsidR="009F5263" w:rsidRPr="000F0299" w:rsidRDefault="009F5263" w:rsidP="009F5263">
            <w:pPr>
              <w:spacing w:before="0"/>
              <w:ind w:firstLine="0"/>
            </w:pPr>
          </w:p>
        </w:tc>
        <w:tc>
          <w:tcPr>
            <w:tcW w:w="2558"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5A1016F5" w14:textId="77777777" w:rsidR="009F5263" w:rsidRPr="000F0299" w:rsidRDefault="009F5263" w:rsidP="009F5263">
            <w:pPr>
              <w:spacing w:before="0"/>
              <w:ind w:firstLine="0"/>
            </w:pPr>
            <w:r w:rsidRPr="000F0299">
              <w:t xml:space="preserve">Број органа који су имплементирали </w:t>
            </w:r>
            <w:r w:rsidRPr="00164337">
              <w:rPr>
                <w:i/>
                <w:iCs/>
              </w:rPr>
              <w:t>CAF</w:t>
            </w:r>
            <w:r w:rsidRPr="000F0299">
              <w:t xml:space="preserve"> као алат за управљање квалитетом</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364D9A75" w14:textId="77777777" w:rsidR="009F5263" w:rsidRPr="000F0299" w:rsidRDefault="009F5263" w:rsidP="009F5263">
            <w:pPr>
              <w:spacing w:before="0"/>
              <w:ind w:firstLine="0"/>
            </w:pPr>
            <w:r w:rsidRPr="000F0299">
              <w:t>(2020): 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5A2B5218" w14:textId="77777777" w:rsidR="009F5263" w:rsidRPr="000F0299" w:rsidRDefault="009F5263" w:rsidP="009F5263">
            <w:pPr>
              <w:spacing w:before="0"/>
              <w:ind w:firstLine="0"/>
            </w:pPr>
            <w:r w:rsidRPr="000F0299">
              <w:t>(2021): 2</w:t>
            </w:r>
          </w:p>
          <w:p w14:paraId="4AF94985" w14:textId="77777777" w:rsidR="009F5263" w:rsidRPr="000F0299" w:rsidRDefault="009F5263" w:rsidP="009F5263">
            <w:pPr>
              <w:spacing w:before="0"/>
              <w:ind w:firstLine="0"/>
            </w:pPr>
            <w:r w:rsidRPr="000F0299">
              <w:t>(2022): 4</w:t>
            </w:r>
          </w:p>
          <w:p w14:paraId="5886553F" w14:textId="77777777" w:rsidR="009F5263" w:rsidRPr="000F0299" w:rsidRDefault="009F5263" w:rsidP="009F5263">
            <w:pPr>
              <w:spacing w:before="0"/>
              <w:ind w:firstLine="0"/>
            </w:pPr>
            <w:r w:rsidRPr="000F0299">
              <w:t>(2023): 6</w:t>
            </w:r>
          </w:p>
          <w:p w14:paraId="34813B3D" w14:textId="77777777" w:rsidR="009F5263" w:rsidRPr="000F0299" w:rsidRDefault="009F5263" w:rsidP="009F5263">
            <w:pPr>
              <w:spacing w:before="0"/>
              <w:ind w:firstLine="0"/>
            </w:pPr>
            <w:r w:rsidRPr="000F0299">
              <w:t>(2024): 8</w:t>
            </w:r>
          </w:p>
          <w:p w14:paraId="5CCA5578" w14:textId="77777777" w:rsidR="009F5263" w:rsidRPr="000F0299" w:rsidRDefault="009F5263" w:rsidP="009F5263">
            <w:pPr>
              <w:spacing w:before="0"/>
              <w:ind w:firstLine="0"/>
            </w:pPr>
            <w:r w:rsidRPr="000F0299">
              <w:t>(2025): 10</w:t>
            </w:r>
          </w:p>
          <w:p w14:paraId="593DD347" w14:textId="77777777" w:rsidR="009F5263" w:rsidRPr="000F0299" w:rsidRDefault="009F5263" w:rsidP="009F5263">
            <w:pPr>
              <w:spacing w:before="0"/>
              <w:ind w:firstLine="0"/>
            </w:pPr>
            <w:r w:rsidRPr="000F0299">
              <w:t>(2027): 14</w:t>
            </w:r>
          </w:p>
          <w:p w14:paraId="33DF4035" w14:textId="77777777" w:rsidR="009F5263" w:rsidRPr="000F0299" w:rsidRDefault="009F5263" w:rsidP="009F5263">
            <w:pPr>
              <w:spacing w:before="0"/>
              <w:ind w:firstLine="0"/>
            </w:pPr>
            <w:r w:rsidRPr="000F0299">
              <w:t>(2030): 20</w:t>
            </w:r>
          </w:p>
        </w:tc>
        <w:tc>
          <w:tcPr>
            <w:tcW w:w="185" w:type="pct"/>
            <w:tcBorders>
              <w:right w:val="single" w:sz="18" w:space="0" w:color="C00000"/>
            </w:tcBorders>
            <w:shd w:val="clear" w:color="auto" w:fill="auto"/>
          </w:tcPr>
          <w:p w14:paraId="16AEFCEF" w14:textId="77777777" w:rsidR="009F5263" w:rsidRPr="000F0299" w:rsidRDefault="009F5263" w:rsidP="009F5263">
            <w:pPr>
              <w:spacing w:before="0"/>
              <w:ind w:firstLine="0"/>
            </w:pPr>
          </w:p>
        </w:tc>
      </w:tr>
      <w:tr w:rsidR="009F5263" w:rsidRPr="000F0299" w14:paraId="3425D3E9" w14:textId="77777777" w:rsidTr="009F5263">
        <w:trPr>
          <w:trHeight w:val="340"/>
        </w:trPr>
        <w:tc>
          <w:tcPr>
            <w:tcW w:w="188" w:type="pct"/>
            <w:tcBorders>
              <w:left w:val="single" w:sz="18" w:space="0" w:color="C00000"/>
              <w:bottom w:val="single" w:sz="18" w:space="0" w:color="C00000"/>
            </w:tcBorders>
            <w:shd w:val="clear" w:color="auto" w:fill="auto"/>
          </w:tcPr>
          <w:p w14:paraId="3560CD62" w14:textId="77777777" w:rsidR="009F5263" w:rsidRPr="000F0299" w:rsidRDefault="009F5263" w:rsidP="009F5263">
            <w:pPr>
              <w:spacing w:before="0"/>
              <w:ind w:firstLine="0"/>
              <w:rPr>
                <w:sz w:val="16"/>
                <w:szCs w:val="16"/>
              </w:rPr>
            </w:pPr>
          </w:p>
        </w:tc>
        <w:tc>
          <w:tcPr>
            <w:tcW w:w="2558" w:type="pct"/>
            <w:tcBorders>
              <w:top w:val="single" w:sz="18" w:space="0" w:color="D9D9D9" w:themeColor="background1" w:themeShade="D9"/>
              <w:bottom w:val="single" w:sz="18" w:space="0" w:color="C00000"/>
            </w:tcBorders>
            <w:shd w:val="clear" w:color="auto" w:fill="auto"/>
          </w:tcPr>
          <w:p w14:paraId="5DB3FCBF" w14:textId="77777777" w:rsidR="009F5263" w:rsidRPr="000F0299" w:rsidRDefault="009F5263" w:rsidP="009F5263">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5CF4048D" w14:textId="77777777" w:rsidR="009F5263" w:rsidRPr="000F0299" w:rsidRDefault="009F5263" w:rsidP="009F5263">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185F74E9" w14:textId="77777777" w:rsidR="009F5263" w:rsidRPr="000F0299" w:rsidRDefault="009F5263" w:rsidP="009F5263">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2114C066" w14:textId="77777777" w:rsidR="009F5263" w:rsidRPr="000F0299" w:rsidRDefault="009F5263" w:rsidP="009F5263">
            <w:pPr>
              <w:spacing w:before="0"/>
              <w:ind w:firstLine="0"/>
              <w:rPr>
                <w:sz w:val="16"/>
                <w:szCs w:val="16"/>
              </w:rPr>
            </w:pPr>
          </w:p>
        </w:tc>
      </w:tr>
    </w:tbl>
    <w:p w14:paraId="212E2C21" w14:textId="243A4DC4" w:rsidR="008D7AAF" w:rsidRPr="000F0299" w:rsidRDefault="008D7AAF" w:rsidP="009F5263">
      <w:pPr>
        <w:ind w:firstLine="0"/>
        <w:rPr>
          <w:lang w:eastAsia="de-DE"/>
        </w:rPr>
      </w:pPr>
    </w:p>
    <w:p w14:paraId="6BC61544" w14:textId="292AD355" w:rsidR="009F5263" w:rsidRPr="000F0299" w:rsidRDefault="009F5263" w:rsidP="00244E7C">
      <w:pPr>
        <w:rPr>
          <w:lang w:eastAsia="de-DE"/>
        </w:rPr>
      </w:pPr>
    </w:p>
    <w:p w14:paraId="035FA849" w14:textId="77777777" w:rsidR="008D7AAF" w:rsidRPr="000F0299" w:rsidRDefault="008D7AAF" w:rsidP="000105B5">
      <w:pPr>
        <w:ind w:firstLine="0"/>
        <w:sectPr w:rsidR="008D7AAF" w:rsidRPr="000F0299">
          <w:headerReference w:type="default" r:id="rId143"/>
          <w:footerReference w:type="default" r:id="rId144"/>
          <w:pgSz w:w="11906" w:h="16838"/>
          <w:pgMar w:top="1417" w:right="1417" w:bottom="1134" w:left="1417" w:header="708" w:footer="708" w:gutter="0"/>
          <w:cols w:space="708"/>
          <w:docGrid w:linePitch="360"/>
        </w:sectPr>
      </w:pPr>
    </w:p>
    <w:p w14:paraId="1D3974CF" w14:textId="2E4AFF0D" w:rsidR="00787F1E" w:rsidRPr="000F0299" w:rsidRDefault="00787F1E" w:rsidP="00BF3F95">
      <w:pPr>
        <w:pStyle w:val="Heading3"/>
        <w:rPr>
          <w:rFonts w:eastAsiaTheme="minorHAnsi"/>
          <w:lang w:val="sr-Cyrl-RS" w:eastAsia="en-US" w:bidi="ar-SA"/>
        </w:rPr>
      </w:pPr>
      <w:bookmarkStart w:id="179" w:name="_Toc57661487"/>
      <w:r w:rsidRPr="000F0299">
        <w:rPr>
          <w:rFonts w:eastAsiaTheme="minorHAnsi"/>
          <w:lang w:val="sr-Cyrl-RS" w:eastAsia="en-US" w:bidi="ar-SA"/>
        </w:rPr>
        <w:t xml:space="preserve">Дрво циљева – </w:t>
      </w:r>
      <w:r w:rsidR="00BF3F95" w:rsidRPr="000F0299">
        <w:rPr>
          <w:rFonts w:eastAsiaTheme="minorHAnsi"/>
          <w:lang w:val="sr-Cyrl-RS" w:eastAsia="en-US" w:bidi="ar-SA"/>
        </w:rPr>
        <w:t>П</w:t>
      </w:r>
      <w:r w:rsidRPr="000F0299">
        <w:rPr>
          <w:rFonts w:eastAsiaTheme="minorHAnsi"/>
          <w:lang w:val="sr-Cyrl-RS" w:eastAsia="en-US" w:bidi="ar-SA"/>
        </w:rPr>
        <w:t>ружање услуга</w:t>
      </w:r>
      <w:bookmarkEnd w:id="179"/>
    </w:p>
    <w:p w14:paraId="2BFB97BB" w14:textId="230DA2ED" w:rsidR="00125849" w:rsidRPr="000F0299" w:rsidRDefault="00BF3F95" w:rsidP="00BF3F95">
      <w:pPr>
        <w:rPr>
          <w:rFonts w:eastAsia="Times New Roman"/>
          <w:b/>
          <w:color w:val="9CC2E5" w:themeColor="accent5" w:themeTint="99"/>
          <w:position w:val="-2"/>
          <w:sz w:val="56"/>
          <w:szCs w:val="56"/>
        </w:rPr>
      </w:pPr>
      <w:r w:rsidRPr="000F0299">
        <w:rPr>
          <w:noProof/>
          <w:lang w:val="en-US" w:eastAsia="en-US" w:bidi="ar-SA"/>
        </w:rPr>
        <mc:AlternateContent>
          <mc:Choice Requires="wps">
            <w:drawing>
              <wp:anchor distT="0" distB="0" distL="114300" distR="114300" simplePos="0" relativeHeight="251492864" behindDoc="1" locked="0" layoutInCell="1" allowOverlap="1" wp14:anchorId="52D5AD21" wp14:editId="388C3905">
                <wp:simplePos x="0" y="0"/>
                <wp:positionH relativeFrom="margin">
                  <wp:posOffset>-5715</wp:posOffset>
                </wp:positionH>
                <wp:positionV relativeFrom="paragraph">
                  <wp:posOffset>292100</wp:posOffset>
                </wp:positionV>
                <wp:extent cx="13280390" cy="881380"/>
                <wp:effectExtent l="0" t="0" r="16510" b="13970"/>
                <wp:wrapNone/>
                <wp:docPr id="611" name="Rounded Rectangle 276"/>
                <wp:cNvGraphicFramePr/>
                <a:graphic xmlns:a="http://schemas.openxmlformats.org/drawingml/2006/main">
                  <a:graphicData uri="http://schemas.microsoft.com/office/word/2010/wordprocessingShape">
                    <wps:wsp>
                      <wps:cNvSpPr/>
                      <wps:spPr>
                        <a:xfrm>
                          <a:off x="0" y="0"/>
                          <a:ext cx="13280390" cy="881380"/>
                        </a:xfrm>
                        <a:prstGeom prst="roundRect">
                          <a:avLst/>
                        </a:prstGeom>
                        <a:solidFill>
                          <a:schemeClr val="accent5">
                            <a:lumMod val="40000"/>
                            <a:lumOff val="60000"/>
                          </a:schemeClr>
                        </a:solidFill>
                        <a:ln w="12700" cap="flat" cmpd="sng" algn="ctr">
                          <a:solidFill>
                            <a:schemeClr val="accent5">
                              <a:lumMod val="40000"/>
                              <a:lumOff val="60000"/>
                            </a:schemeClr>
                          </a:solidFill>
                          <a:prstDash val="solid"/>
                          <a:miter lim="800000"/>
                        </a:ln>
                        <a:effectLst/>
                      </wps:spPr>
                      <wps:txbx>
                        <w:txbxContent>
                          <w:p w14:paraId="00DD867D" w14:textId="7E29BC6D" w:rsidR="00876FFE" w:rsidRPr="00125849" w:rsidRDefault="00876FFE" w:rsidP="00125849">
                            <w:pPr>
                              <w:jc w:val="center"/>
                              <w:rPr>
                                <w:rFonts w:ascii="Verdana" w:hAnsi="Verdana"/>
                                <w:b/>
                                <w:color w:val="FFFFFF"/>
                                <w:sz w:val="32"/>
                                <w:szCs w:val="32"/>
                              </w:rPr>
                            </w:pPr>
                            <w:r w:rsidRPr="00125849">
                              <w:rPr>
                                <w:rFonts w:ascii="Verdana" w:hAnsi="Verdana"/>
                                <w:b/>
                                <w:color w:val="FFFFFF"/>
                                <w:sz w:val="32"/>
                                <w:szCs w:val="32"/>
                              </w:rPr>
                              <w:t>ЈАВНА УПРАВА НА ЕФИКАСАН И ИНОВАТИВАН НАЧИН ПРУЖА УСЛУГЕ КОЈЕ ОДГОВАРАЈУ НА ПОТРЕБЕ КРАЈЊИХ КОРИСНИКА И УНАПРЕЂУЈУ ЊИХОВО КОРИСНИЧКО ИСКУСТВО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D5AD21" id="_x0000_s1255" style="position:absolute;left:0;text-align:left;margin-left:-.45pt;margin-top:23pt;width:1045.7pt;height:69.4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" fillcolor="#bdd6ee [1304]" strokecolor="#bdd6ee [1304]" strokeweight="1pt">
                <v:stroke joinstyle="miter"/>
                <v:textbox>
                  <w:txbxContent>
                    <w:p w14:paraId="00DD867D" w14:textId="7E29BC6D" w:rsidR="00876FFE" w:rsidRPr="00125849" w:rsidRDefault="00876FFE" w:rsidP="00125849">
                      <w:pPr>
                        <w:jc w:val="center"/>
                        <w:rPr>
                          <w:rFonts w:ascii="Verdana" w:hAnsi="Verdana"/>
                          <w:b/>
                          <w:color w:val="FFFFFF"/>
                          <w:sz w:val="32"/>
                          <w:szCs w:val="32"/>
                        </w:rPr>
                      </w:pPr>
                      <w:r w:rsidRPr="00125849">
                        <w:rPr>
                          <w:rFonts w:ascii="Verdana" w:hAnsi="Verdana"/>
                          <w:b/>
                          <w:color w:val="FFFFFF"/>
                          <w:sz w:val="32"/>
                          <w:szCs w:val="32"/>
                        </w:rPr>
                        <w:t xml:space="preserve">ЈАВНА </w:t>
                      </w:r>
                      <w:r w:rsidRPr="00125849">
                        <w:rPr>
                          <w:rFonts w:ascii="Verdana" w:hAnsi="Verdana"/>
                          <w:b/>
                          <w:color w:val="FFFFFF"/>
                          <w:sz w:val="32"/>
                          <w:szCs w:val="32"/>
                        </w:rPr>
                        <w:t>УПРАВА НА ЕФИКАСАН И ИНОВАТИВАН НАЧИН ПРУЖА УСЛУГЕ КОЈЕ ОДГОВАРАЈУ НА ПОТРЕБЕ КРАЈЊИХ КОРИСНИКА И УНАПРЕЂУЈУ ЊИХОВО КОРИСНИЧКО ИСКУСТВО</w:t>
                      </w:r>
                    </w:p>
                  </w:txbxContent>
                </v:textbox>
                <w10:wrap anchorx="margin"/>
              </v:roundrect>
            </w:pict>
          </mc:Fallback>
        </mc:AlternateContent>
      </w:r>
    </w:p>
    <w:p w14:paraId="1DB34151" w14:textId="6BD34512" w:rsidR="00125849" w:rsidRPr="000F0299" w:rsidRDefault="00125849" w:rsidP="00125849">
      <w:pPr>
        <w:jc w:val="center"/>
        <w:rPr>
          <w:noProof/>
          <w:color w:val="9CC2E5" w:themeColor="accent5" w:themeTint="99"/>
        </w:rPr>
      </w:pPr>
    </w:p>
    <w:p w14:paraId="13EFD25C" w14:textId="37E2188F" w:rsidR="008D7AAF" w:rsidRPr="000F0299" w:rsidRDefault="003F0CC2" w:rsidP="00244E7C">
      <w:pPr>
        <w:rPr>
          <w:rFonts w:ascii="Calibri" w:eastAsia="Times New Roman" w:hAnsi="Calibri"/>
          <w:sz w:val="60"/>
          <w:szCs w:val="60"/>
        </w:rPr>
      </w:pPr>
      <w:r w:rsidRPr="000F0299">
        <w:rPr>
          <w:rFonts w:ascii="Calibri" w:eastAsia="Times New Roman" w:hAnsi="Calibri"/>
          <w:noProof/>
          <w:sz w:val="20"/>
          <w:szCs w:val="20"/>
          <w:lang w:val="en-US" w:eastAsia="en-US" w:bidi="ar-SA"/>
        </w:rPr>
        <mc:AlternateContent>
          <mc:Choice Requires="wpg">
            <w:drawing>
              <wp:anchor distT="0" distB="0" distL="114300" distR="114300" simplePos="0" relativeHeight="251503104" behindDoc="0" locked="0" layoutInCell="1" allowOverlap="1" wp14:anchorId="406F30C4" wp14:editId="76744091">
                <wp:simplePos x="0" y="0"/>
                <wp:positionH relativeFrom="column">
                  <wp:posOffset>-350520</wp:posOffset>
                </wp:positionH>
                <wp:positionV relativeFrom="paragraph">
                  <wp:posOffset>471079</wp:posOffset>
                </wp:positionV>
                <wp:extent cx="13788390" cy="1489075"/>
                <wp:effectExtent l="19050" t="0" r="22860" b="15875"/>
                <wp:wrapNone/>
                <wp:docPr id="612" name="Group 612"/>
                <wp:cNvGraphicFramePr/>
                <a:graphic xmlns:a="http://schemas.openxmlformats.org/drawingml/2006/main">
                  <a:graphicData uri="http://schemas.microsoft.com/office/word/2010/wordprocessingGroup">
                    <wpg:wgp>
                      <wpg:cNvGrpSpPr/>
                      <wpg:grpSpPr>
                        <a:xfrm>
                          <a:off x="0" y="0"/>
                          <a:ext cx="13788390" cy="1489075"/>
                          <a:chOff x="0" y="0"/>
                          <a:chExt cx="13788662" cy="1489075"/>
                        </a:xfrm>
                      </wpg:grpSpPr>
                      <wps:wsp>
                        <wps:cNvPr id="346" name="Text Box 346"/>
                        <wps:cNvSpPr txBox="1"/>
                        <wps:spPr>
                          <a:xfrm>
                            <a:off x="0" y="628650"/>
                            <a:ext cx="3316605" cy="860425"/>
                          </a:xfrm>
                          <a:prstGeom prst="roundRect">
                            <a:avLst/>
                          </a:prstGeom>
                          <a:solidFill>
                            <a:sysClr val="window" lastClr="FFFFFF"/>
                          </a:solidFill>
                          <a:ln w="38100" cmpd="dbl">
                            <a:solidFill>
                              <a:schemeClr val="accent5">
                                <a:lumMod val="60000"/>
                                <a:lumOff val="40000"/>
                              </a:schemeClr>
                            </a:solidFill>
                          </a:ln>
                          <a:effectLst/>
                        </wps:spPr>
                        <wps:txbx>
                          <w:txbxContent>
                            <w:p w14:paraId="59134D3E" w14:textId="77777777" w:rsidR="00876FFE" w:rsidRPr="003F0CC2" w:rsidRDefault="00876FFE" w:rsidP="003F0CC2">
                              <w:pPr>
                                <w:spacing w:before="0" w:after="0"/>
                                <w:jc w:val="center"/>
                                <w:rPr>
                                  <w:rFonts w:asciiTheme="minorHAnsi" w:hAnsiTheme="minorHAnsi" w:cstheme="minorHAnsi"/>
                                </w:rPr>
                              </w:pPr>
                              <w:r w:rsidRPr="003F0CC2">
                                <w:rPr>
                                  <w:rFonts w:asciiTheme="minorHAnsi" w:hAnsiTheme="minorHAnsi" w:cstheme="minorHAnsi"/>
                                  <w:b/>
                                </w:rPr>
                                <w:t>Унапређење развоја услуга</w:t>
                              </w:r>
                              <w:r w:rsidRPr="003F0CC2">
                                <w:rPr>
                                  <w:rFonts w:asciiTheme="minorHAnsi" w:hAnsiTheme="minorHAnsi" w:cstheme="minorHAnsi"/>
                                </w:rPr>
                                <w:t xml:space="preserve"> по мери</w:t>
                              </w:r>
                            </w:p>
                            <w:p w14:paraId="54872DB2" w14:textId="77777777" w:rsidR="00876FFE" w:rsidRPr="003F0CC2" w:rsidRDefault="00876FFE" w:rsidP="003F0CC2">
                              <w:pPr>
                                <w:spacing w:before="0" w:after="0"/>
                                <w:jc w:val="center"/>
                                <w:rPr>
                                  <w:rFonts w:asciiTheme="minorHAnsi" w:hAnsiTheme="minorHAnsi" w:cstheme="minorHAnsi"/>
                                </w:rPr>
                              </w:pPr>
                              <w:r w:rsidRPr="003F0CC2">
                                <w:rPr>
                                  <w:rFonts w:asciiTheme="minorHAnsi" w:hAnsiTheme="minorHAnsi" w:cstheme="minorHAnsi"/>
                                </w:rPr>
                                <w:t>грађана кроз унапређење процеса развоја</w:t>
                              </w:r>
                              <w:r w:rsidRPr="003F0CC2">
                                <w:rPr>
                                  <w:rFonts w:asciiTheme="minorHAnsi" w:hAnsiTheme="minorHAnsi" w:cstheme="minorHAnsi"/>
                                </w:rPr>
                                <w:br/>
                                <w:t>и оптимизацију постојећих услуга</w:t>
                              </w:r>
                            </w:p>
                            <w:p w14:paraId="60F0EE43" w14:textId="77777777" w:rsidR="00876FFE" w:rsidRPr="003F0CC2" w:rsidRDefault="00876FFE" w:rsidP="003F0CC2">
                              <w:pPr>
                                <w:spacing w:after="0"/>
                                <w:jc w:val="center"/>
                                <w:rPr>
                                  <w:rFonts w:asciiTheme="minorHAnsi" w:hAnsiTheme="minorHAnsi" w:cstheme="minorHAnsi"/>
                                  <w14:textOutline w14:w="9525" w14:cap="rnd" w14:cmpd="thinThick" w14:algn="ctr">
                                    <w14:solidFill>
                                      <w14:srgbClr w14:val="219990"/>
                                    </w14:solidFill>
                                    <w14:prstDash w14:val="solid"/>
                                    <w14:bevel/>
                                  </w14:textOutline>
                                </w:rPr>
                              </w:pPr>
                            </w:p>
                          </w:txbxContent>
                        </wps:txbx>
                        <wps:bodyPr rot="0" spcFirstLastPara="0" vertOverflow="overflow" horzOverflow="overflow" vert="horz" wrap="square" lIns="72000" tIns="36000" rIns="72000" bIns="0" numCol="1" spcCol="0" rtlCol="0" fromWordArt="0" anchor="b" anchorCtr="0" forceAA="0" compatLnSpc="1">
                          <a:prstTxWarp prst="textNoShape">
                            <a:avLst/>
                          </a:prstTxWarp>
                          <a:noAutofit/>
                        </wps:bodyPr>
                      </wps:wsp>
                      <wps:wsp>
                        <wps:cNvPr id="345" name="Text Box 345"/>
                        <wps:cNvSpPr txBox="1"/>
                        <wps:spPr>
                          <a:xfrm>
                            <a:off x="5236028" y="628650"/>
                            <a:ext cx="3316605" cy="860425"/>
                          </a:xfrm>
                          <a:prstGeom prst="roundRect">
                            <a:avLst/>
                          </a:prstGeom>
                          <a:solidFill>
                            <a:sysClr val="window" lastClr="FFFFFF"/>
                          </a:solidFill>
                          <a:ln w="38100" cmpd="dbl">
                            <a:solidFill>
                              <a:schemeClr val="accent5">
                                <a:lumMod val="60000"/>
                                <a:lumOff val="40000"/>
                              </a:schemeClr>
                            </a:solidFill>
                          </a:ln>
                          <a:effectLst/>
                        </wps:spPr>
                        <wps:txbx>
                          <w:txbxContent>
                            <w:p w14:paraId="2AE61DD5" w14:textId="77777777" w:rsidR="00876FFE" w:rsidRPr="003F0CC2" w:rsidRDefault="00876FFE" w:rsidP="003F0CC2">
                              <w:pPr>
                                <w:spacing w:before="0" w:after="0"/>
                                <w:jc w:val="center"/>
                                <w:rPr>
                                  <w:rFonts w:asciiTheme="minorHAnsi" w:hAnsiTheme="minorHAnsi" w:cstheme="minorHAnsi"/>
                                  <w14:textOutline w14:w="9525" w14:cap="rnd" w14:cmpd="thinThick" w14:algn="ctr">
                                    <w14:solidFill>
                                      <w14:srgbClr w14:val="219990"/>
                                    </w14:solidFill>
                                    <w14:prstDash w14:val="solid"/>
                                    <w14:bevel/>
                                  </w14:textOutline>
                                </w:rPr>
                              </w:pPr>
                              <w:r w:rsidRPr="003F0CC2">
                                <w:rPr>
                                  <w:rFonts w:asciiTheme="minorHAnsi" w:hAnsiTheme="minorHAnsi" w:cstheme="minorHAnsi"/>
                                  <w:b/>
                                </w:rPr>
                                <w:t>Повећање</w:t>
                              </w:r>
                              <w:r w:rsidRPr="003F0CC2">
                                <w:rPr>
                                  <w:rFonts w:asciiTheme="minorHAnsi" w:hAnsiTheme="minorHAnsi" w:cstheme="minorHAnsi"/>
                                </w:rPr>
                                <w:t xml:space="preserve"> људских и техничко-технолошких </w:t>
                              </w:r>
                              <w:r w:rsidRPr="003F0CC2">
                                <w:rPr>
                                  <w:rFonts w:asciiTheme="minorHAnsi" w:hAnsiTheme="minorHAnsi" w:cstheme="minorHAnsi"/>
                                  <w:b/>
                                </w:rPr>
                                <w:t>капацитета</w:t>
                              </w:r>
                              <w:r w:rsidRPr="003F0CC2">
                                <w:rPr>
                                  <w:rFonts w:asciiTheme="minorHAnsi" w:hAnsiTheme="minorHAnsi" w:cstheme="minorHAnsi"/>
                                </w:rPr>
                                <w:t xml:space="preserve"> јавне управе за пружање услуга крајњим корисницима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347" name="Text Box 347"/>
                        <wps:cNvSpPr txBox="1"/>
                        <wps:spPr>
                          <a:xfrm>
                            <a:off x="10472057" y="628650"/>
                            <a:ext cx="3316605" cy="860425"/>
                          </a:xfrm>
                          <a:prstGeom prst="roundRect">
                            <a:avLst/>
                          </a:prstGeom>
                          <a:solidFill>
                            <a:sysClr val="window" lastClr="FFFFFF"/>
                          </a:solidFill>
                          <a:ln w="38100" cmpd="dbl">
                            <a:solidFill>
                              <a:schemeClr val="accent5">
                                <a:lumMod val="60000"/>
                                <a:lumOff val="40000"/>
                              </a:schemeClr>
                            </a:solidFill>
                          </a:ln>
                          <a:effectLst/>
                        </wps:spPr>
                        <wps:txbx>
                          <w:txbxContent>
                            <w:p w14:paraId="15F17010" w14:textId="77777777" w:rsidR="00876FFE" w:rsidRPr="003F0CC2" w:rsidRDefault="00876FFE" w:rsidP="003F0CC2">
                              <w:pPr>
                                <w:spacing w:before="0" w:after="0"/>
                                <w:jc w:val="center"/>
                                <w:rPr>
                                  <w:rFonts w:asciiTheme="minorHAnsi" w:hAnsiTheme="minorHAnsi" w:cstheme="minorHAnsi"/>
                                  <w:b/>
                                  <w14:textOutline w14:w="9525" w14:cap="rnd" w14:cmpd="thinThick" w14:algn="ctr">
                                    <w14:solidFill>
                                      <w14:srgbClr w14:val="219990"/>
                                    </w14:solidFill>
                                    <w14:prstDash w14:val="solid"/>
                                    <w14:bevel/>
                                  </w14:textOutline>
                                </w:rPr>
                              </w:pPr>
                              <w:r w:rsidRPr="003F0CC2">
                                <w:rPr>
                                  <w:rFonts w:asciiTheme="minorHAnsi" w:hAnsiTheme="minorHAnsi" w:cstheme="minorHAnsi"/>
                                  <w:b/>
                                </w:rPr>
                                <w:t xml:space="preserve">Успостављен јединствен систем контроле и обезбеђења </w:t>
                              </w:r>
                              <w:r w:rsidRPr="003F0CC2">
                                <w:rPr>
                                  <w:rFonts w:asciiTheme="minorHAnsi" w:hAnsiTheme="minorHAnsi" w:cstheme="minorHAnsi"/>
                                  <w:b/>
                                </w:rPr>
                                <w:br/>
                                <w:t>квалитета услуга</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325" name="Straight Arrow Connector 325"/>
                        <wps:cNvCnPr/>
                        <wps:spPr>
                          <a:xfrm>
                            <a:off x="6882493" y="0"/>
                            <a:ext cx="0" cy="618490"/>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wps:wsp>
                        <wps:cNvPr id="324" name="Straight Arrow Connector 324"/>
                        <wps:cNvCnPr/>
                        <wps:spPr>
                          <a:xfrm>
                            <a:off x="1657350" y="348343"/>
                            <a:ext cx="0" cy="267970"/>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wps:wsp>
                        <wps:cNvPr id="323" name="Straight Arrow Connector 323"/>
                        <wps:cNvCnPr/>
                        <wps:spPr>
                          <a:xfrm>
                            <a:off x="12118521" y="348343"/>
                            <a:ext cx="0" cy="267970"/>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wps:wsp>
                        <wps:cNvPr id="322" name="Straight Connector 322"/>
                        <wps:cNvCnPr/>
                        <wps:spPr>
                          <a:xfrm>
                            <a:off x="1657350" y="348343"/>
                            <a:ext cx="10464800" cy="0"/>
                          </a:xfrm>
                          <a:prstGeom prst="line">
                            <a:avLst/>
                          </a:prstGeom>
                          <a:noFill/>
                          <a:ln w="19050" cap="flat" cmpd="sng" algn="ctr">
                            <a:solidFill>
                              <a:schemeClr val="accent5">
                                <a:lumMod val="60000"/>
                                <a:lumOff val="40000"/>
                              </a:schemeClr>
                            </a:solidFill>
                            <a:prstDash val="solid"/>
                            <a:miter lim="800000"/>
                          </a:ln>
                          <a:effectLst/>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6F30C4" id="Group 612" o:spid="_x0000_s1256" style="position:absolute;left:0;text-align:left;margin-left:-27.6pt;margin-top:37.1pt;width:1085.7pt;height:117.25pt;z-index:251503104" coordsize="137886,1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">
                <v:roundrect id="Text Box 346" o:spid="_x0000_s1257" style="position:absolute;top:6286;width:33166;height:860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" fillcolor="window" strokecolor="#9cc2e5 [1944]" strokeweight="3pt">
                  <v:stroke linestyle="thinThin"/>
                  <v:textbox inset="2mm,1mm,2mm,0">
                    <w:txbxContent>
                      <w:p w14:paraId="59134D3E" w14:textId="77777777" w:rsidR="00876FFE" w:rsidRPr="003F0CC2" w:rsidRDefault="00876FFE" w:rsidP="003F0CC2">
                        <w:pPr>
                          <w:spacing w:before="0" w:after="0"/>
                          <w:jc w:val="center"/>
                          <w:rPr>
                            <w:rFonts w:asciiTheme="minorHAnsi" w:hAnsiTheme="minorHAnsi" w:cstheme="minorHAnsi"/>
                          </w:rPr>
                        </w:pPr>
                        <w:r w:rsidRPr="003F0CC2">
                          <w:rPr>
                            <w:rFonts w:asciiTheme="minorHAnsi" w:hAnsiTheme="minorHAnsi" w:cstheme="minorHAnsi"/>
                            <w:b/>
                          </w:rPr>
                          <w:t xml:space="preserve">Унапређење </w:t>
                        </w:r>
                        <w:r w:rsidRPr="003F0CC2">
                          <w:rPr>
                            <w:rFonts w:asciiTheme="minorHAnsi" w:hAnsiTheme="minorHAnsi" w:cstheme="minorHAnsi"/>
                            <w:b/>
                          </w:rPr>
                          <w:t>развоја услуга</w:t>
                        </w:r>
                        <w:r w:rsidRPr="003F0CC2">
                          <w:rPr>
                            <w:rFonts w:asciiTheme="minorHAnsi" w:hAnsiTheme="minorHAnsi" w:cstheme="minorHAnsi"/>
                          </w:rPr>
                          <w:t xml:space="preserve"> по мери</w:t>
                        </w:r>
                      </w:p>
                      <w:p w14:paraId="54872DB2" w14:textId="77777777" w:rsidR="00876FFE" w:rsidRPr="003F0CC2" w:rsidRDefault="00876FFE" w:rsidP="003F0CC2">
                        <w:pPr>
                          <w:spacing w:before="0" w:after="0"/>
                          <w:jc w:val="center"/>
                          <w:rPr>
                            <w:rFonts w:asciiTheme="minorHAnsi" w:hAnsiTheme="minorHAnsi" w:cstheme="minorHAnsi"/>
                          </w:rPr>
                        </w:pPr>
                        <w:r w:rsidRPr="003F0CC2">
                          <w:rPr>
                            <w:rFonts w:asciiTheme="minorHAnsi" w:hAnsiTheme="minorHAnsi" w:cstheme="minorHAnsi"/>
                          </w:rPr>
                          <w:t>грађана кроз унапређење процеса развоја</w:t>
                        </w:r>
                        <w:r w:rsidRPr="003F0CC2">
                          <w:rPr>
                            <w:rFonts w:asciiTheme="minorHAnsi" w:hAnsiTheme="minorHAnsi" w:cstheme="minorHAnsi"/>
                          </w:rPr>
                          <w:br/>
                          <w:t>и оптимизацију постојећих услуга</w:t>
                        </w:r>
                      </w:p>
                      <w:p w14:paraId="60F0EE43" w14:textId="77777777" w:rsidR="00876FFE" w:rsidRPr="003F0CC2" w:rsidRDefault="00876FFE" w:rsidP="003F0CC2">
                        <w:pPr>
                          <w:spacing w:after="0"/>
                          <w:jc w:val="center"/>
                          <w:rPr>
                            <w:rFonts w:asciiTheme="minorHAnsi" w:hAnsiTheme="minorHAnsi" w:cstheme="minorHAnsi"/>
                            <w14:textOutline w14:w="9525" w14:cap="rnd" w14:cmpd="thinThick" w14:algn="ctr">
                              <w14:solidFill>
                                <w14:srgbClr w14:val="219990"/>
                              </w14:solidFill>
                              <w14:prstDash w14:val="solid"/>
                              <w14:bevel/>
                            </w14:textOutline>
                          </w:rPr>
                        </w:pPr>
                      </w:p>
                    </w:txbxContent>
                  </v:textbox>
                </v:roundrect>
                <v:roundrect id="Text Box 345" o:spid="_x0000_s1258" style="position:absolute;left:52360;top:6286;width:33166;height:8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" fillcolor="window" strokecolor="#9cc2e5 [1944]" strokeweight="3pt">
                  <v:stroke linestyle="thinThin"/>
                  <v:textbox inset="2mm,0,2mm,0">
                    <w:txbxContent>
                      <w:p w14:paraId="2AE61DD5" w14:textId="77777777" w:rsidR="00876FFE" w:rsidRPr="003F0CC2" w:rsidRDefault="00876FFE" w:rsidP="003F0CC2">
                        <w:pPr>
                          <w:spacing w:before="0" w:after="0"/>
                          <w:jc w:val="center"/>
                          <w:rPr>
                            <w:rFonts w:asciiTheme="minorHAnsi" w:hAnsiTheme="minorHAnsi" w:cstheme="minorHAnsi"/>
                            <w14:textOutline w14:w="9525" w14:cap="rnd" w14:cmpd="thinThick" w14:algn="ctr">
                              <w14:solidFill>
                                <w14:srgbClr w14:val="219990"/>
                              </w14:solidFill>
                              <w14:prstDash w14:val="solid"/>
                              <w14:bevel/>
                            </w14:textOutline>
                          </w:rPr>
                        </w:pPr>
                        <w:r w:rsidRPr="003F0CC2">
                          <w:rPr>
                            <w:rFonts w:asciiTheme="minorHAnsi" w:hAnsiTheme="minorHAnsi" w:cstheme="minorHAnsi"/>
                            <w:b/>
                          </w:rPr>
                          <w:t>Повећање</w:t>
                        </w:r>
                        <w:r w:rsidRPr="003F0CC2">
                          <w:rPr>
                            <w:rFonts w:asciiTheme="minorHAnsi" w:hAnsiTheme="minorHAnsi" w:cstheme="minorHAnsi"/>
                          </w:rPr>
                          <w:t xml:space="preserve"> </w:t>
                        </w:r>
                        <w:r w:rsidRPr="003F0CC2">
                          <w:rPr>
                            <w:rFonts w:asciiTheme="minorHAnsi" w:hAnsiTheme="minorHAnsi" w:cstheme="minorHAnsi"/>
                          </w:rPr>
                          <w:t xml:space="preserve">људских и техничко-технолошких </w:t>
                        </w:r>
                        <w:r w:rsidRPr="003F0CC2">
                          <w:rPr>
                            <w:rFonts w:asciiTheme="minorHAnsi" w:hAnsiTheme="minorHAnsi" w:cstheme="minorHAnsi"/>
                            <w:b/>
                          </w:rPr>
                          <w:t>капацитета</w:t>
                        </w:r>
                        <w:r w:rsidRPr="003F0CC2">
                          <w:rPr>
                            <w:rFonts w:asciiTheme="minorHAnsi" w:hAnsiTheme="minorHAnsi" w:cstheme="minorHAnsi"/>
                          </w:rPr>
                          <w:t xml:space="preserve"> јавне управе за пружање услуга крајњим корисницима </w:t>
                        </w:r>
                      </w:p>
                    </w:txbxContent>
                  </v:textbox>
                </v:roundrect>
                <v:roundrect id="Text Box 347" o:spid="_x0000_s1259" style="position:absolute;left:104720;top:6286;width:33166;height:8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" fillcolor="window" strokecolor="#9cc2e5 [1944]" strokeweight="3pt">
                  <v:stroke linestyle="thinThin"/>
                  <v:textbox inset="2mm,0,2mm,0">
                    <w:txbxContent>
                      <w:p w14:paraId="15F17010" w14:textId="77777777" w:rsidR="00876FFE" w:rsidRPr="003F0CC2" w:rsidRDefault="00876FFE" w:rsidP="003F0CC2">
                        <w:pPr>
                          <w:spacing w:before="0" w:after="0"/>
                          <w:jc w:val="center"/>
                          <w:rPr>
                            <w:rFonts w:asciiTheme="minorHAnsi" w:hAnsiTheme="minorHAnsi" w:cstheme="minorHAnsi"/>
                            <w:b/>
                            <w14:textOutline w14:w="9525" w14:cap="rnd" w14:cmpd="thinThick" w14:algn="ctr">
                              <w14:solidFill>
                                <w14:srgbClr w14:val="219990"/>
                              </w14:solidFill>
                              <w14:prstDash w14:val="solid"/>
                              <w14:bevel/>
                            </w14:textOutline>
                          </w:rPr>
                        </w:pPr>
                        <w:r w:rsidRPr="003F0CC2">
                          <w:rPr>
                            <w:rFonts w:asciiTheme="minorHAnsi" w:hAnsiTheme="minorHAnsi" w:cstheme="minorHAnsi"/>
                            <w:b/>
                          </w:rPr>
                          <w:t xml:space="preserve">Успостављен </w:t>
                        </w:r>
                        <w:r w:rsidRPr="003F0CC2">
                          <w:rPr>
                            <w:rFonts w:asciiTheme="minorHAnsi" w:hAnsiTheme="minorHAnsi" w:cstheme="minorHAnsi"/>
                            <w:b/>
                          </w:rPr>
                          <w:t xml:space="preserve">јединствен систем контроле и обезбеђења </w:t>
                        </w:r>
                        <w:r w:rsidRPr="003F0CC2">
                          <w:rPr>
                            <w:rFonts w:asciiTheme="minorHAnsi" w:hAnsiTheme="minorHAnsi" w:cstheme="minorHAnsi"/>
                            <w:b/>
                          </w:rPr>
                          <w:br/>
                          <w:t>квалитета услуга</w:t>
                        </w:r>
                      </w:p>
                    </w:txbxContent>
                  </v:textbox>
                </v:roundrect>
                <v:shape id="Straight Arrow Connector 325" o:spid="_x0000_s1260" type="#_x0000_t32" style="position:absolute;left:68824;width:0;height:6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" strokecolor="#9cc2e5 [1944]" strokeweight="1.5pt">
                  <v:stroke endarrow="block" joinstyle="miter"/>
                </v:shape>
                <v:shape id="Straight Arrow Connector 324" o:spid="_x0000_s1261" type="#_x0000_t32" style="position:absolute;left:16573;top:3483;width:0;height:2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" strokecolor="#9cc2e5 [1944]" strokeweight="1.5pt">
                  <v:stroke endarrow="block" joinstyle="miter"/>
                </v:shape>
                <v:shape id="Straight Arrow Connector 323" o:spid="_x0000_s1262" type="#_x0000_t32" style="position:absolute;left:121185;top:3483;width:0;height:2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" strokecolor="#9cc2e5 [1944]" strokeweight="1.5pt">
                  <v:stroke endarrow="block" joinstyle="miter"/>
                </v:shape>
                <v:line id="Straight Connector 322" o:spid="_x0000_s1263" style="position:absolute;visibility:visible;mso-wrap-style:square" from="16573,3483" to="121221,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" strokecolor="#9cc2e5 [1944]" strokeweight="1.5pt">
                  <v:stroke joinstyle="miter"/>
                </v:line>
              </v:group>
            </w:pict>
          </mc:Fallback>
        </mc:AlternateContent>
      </w:r>
    </w:p>
    <w:p w14:paraId="7265DD60" w14:textId="629F1644" w:rsidR="008D7AAF" w:rsidRPr="000F0299" w:rsidRDefault="008D7AAF" w:rsidP="00244E7C"/>
    <w:p w14:paraId="6AE164BD" w14:textId="2F164271" w:rsidR="003F0CC2" w:rsidRPr="000F0299" w:rsidRDefault="003F0CC2" w:rsidP="003F0CC2">
      <w:pPr>
        <w:tabs>
          <w:tab w:val="left" w:pos="2998"/>
        </w:tabs>
        <w:spacing w:after="0"/>
        <w:rPr>
          <w:rFonts w:ascii="Calibri" w:eastAsia="Times New Roman" w:hAnsi="Calibri"/>
          <w:sz w:val="20"/>
          <w:szCs w:val="20"/>
        </w:rPr>
      </w:pPr>
      <w:bookmarkStart w:id="180" w:name="_Toc45013961"/>
    </w:p>
    <w:p w14:paraId="63E29614" w14:textId="5F3D5F34" w:rsidR="003F0CC2" w:rsidRPr="000F0299" w:rsidRDefault="003F0CC2" w:rsidP="003F0CC2">
      <w:pPr>
        <w:spacing w:after="0"/>
        <w:rPr>
          <w:rFonts w:ascii="Calibri" w:eastAsia="Times New Roman" w:hAnsi="Calibri"/>
          <w:sz w:val="20"/>
          <w:szCs w:val="20"/>
        </w:rPr>
      </w:pPr>
    </w:p>
    <w:p w14:paraId="06A45B01" w14:textId="2D4AF19F" w:rsidR="003F0CC2" w:rsidRPr="000F0299" w:rsidRDefault="003F0CC2" w:rsidP="003F0CC2">
      <w:pPr>
        <w:spacing w:after="0"/>
        <w:rPr>
          <w:rFonts w:ascii="Calibri" w:eastAsia="Times New Roman" w:hAnsi="Calibri"/>
          <w:sz w:val="20"/>
          <w:szCs w:val="20"/>
        </w:rPr>
      </w:pPr>
    </w:p>
    <w:p w14:paraId="6A43F1C1" w14:textId="4ACD6BB2" w:rsidR="003F0CC2" w:rsidRPr="000F0299" w:rsidRDefault="003F0CC2" w:rsidP="003F0CC2">
      <w:pPr>
        <w:spacing w:after="0"/>
        <w:rPr>
          <w:rFonts w:ascii="Calibri" w:eastAsia="Times New Roman" w:hAnsi="Calibri"/>
          <w:sz w:val="20"/>
          <w:szCs w:val="20"/>
        </w:rPr>
      </w:pPr>
    </w:p>
    <w:p w14:paraId="4B9E6263" w14:textId="5B432C68" w:rsidR="003F0CC2" w:rsidRPr="000F0299" w:rsidRDefault="003F0CC2" w:rsidP="003F0CC2">
      <w:pPr>
        <w:spacing w:after="0"/>
        <w:rPr>
          <w:rFonts w:ascii="Calibri" w:eastAsia="Times New Roman" w:hAnsi="Calibri"/>
          <w:sz w:val="20"/>
          <w:szCs w:val="20"/>
        </w:rPr>
      </w:pPr>
    </w:p>
    <w:p w14:paraId="163151AD" w14:textId="61FFBC4F" w:rsidR="003F0CC2" w:rsidRPr="000F0299" w:rsidRDefault="002D7924" w:rsidP="003F0CC2">
      <w:pPr>
        <w:spacing w:after="0"/>
        <w:rPr>
          <w:rFonts w:ascii="Calibri" w:eastAsia="Times New Roman" w:hAnsi="Calibri"/>
          <w:sz w:val="20"/>
          <w:szCs w:val="20"/>
        </w:rPr>
      </w:pPr>
      <w:r w:rsidRPr="000F0299">
        <w:rPr>
          <w:rFonts w:ascii="Calibri" w:hAnsi="Calibri"/>
          <w:noProof/>
          <w:sz w:val="20"/>
          <w:lang w:val="en-US" w:eastAsia="en-US" w:bidi="ar-SA"/>
        </w:rPr>
        <mc:AlternateContent>
          <mc:Choice Requires="wps">
            <w:drawing>
              <wp:anchor distT="0" distB="0" distL="114300" distR="114300" simplePos="0" relativeHeight="251502080" behindDoc="0" locked="0" layoutInCell="1" allowOverlap="1" wp14:anchorId="7D4A5921" wp14:editId="64DDED04">
                <wp:simplePos x="0" y="0"/>
                <wp:positionH relativeFrom="column">
                  <wp:posOffset>11121390</wp:posOffset>
                </wp:positionH>
                <wp:positionV relativeFrom="paragraph">
                  <wp:posOffset>2411730</wp:posOffset>
                </wp:positionV>
                <wp:extent cx="0" cy="391795"/>
                <wp:effectExtent l="76200" t="0" r="57150" b="65405"/>
                <wp:wrapNone/>
                <wp:docPr id="334" name="Straight Arrow Connector 334"/>
                <wp:cNvGraphicFramePr/>
                <a:graphic xmlns:a="http://schemas.openxmlformats.org/drawingml/2006/main">
                  <a:graphicData uri="http://schemas.microsoft.com/office/word/2010/wordprocessingShape">
                    <wps:wsp>
                      <wps:cNvCnPr/>
                      <wps:spPr>
                        <a:xfrm>
                          <a:off x="0" y="0"/>
                          <a:ext cx="0" cy="391795"/>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46ADFA" id="Straight Arrow Connector 334" o:spid="_x0000_s1026" type="#_x0000_t32" style="position:absolute;margin-left:875.7pt;margin-top:189.9pt;width:0;height:30.85pt;z-index:25150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" strokecolor="#9cc2e5 [1944]" strokeweight="1.5pt">
                <v:stroke endarrow="block" joinstyle="miter"/>
              </v:shape>
            </w:pict>
          </mc:Fallback>
        </mc:AlternateContent>
      </w:r>
      <w:r w:rsidRPr="000F0299">
        <w:rPr>
          <w:rFonts w:ascii="Calibri" w:hAnsi="Calibri"/>
          <w:noProof/>
          <w:sz w:val="20"/>
          <w:lang w:val="en-US" w:eastAsia="en-US" w:bidi="ar-SA"/>
        </w:rPr>
        <mc:AlternateContent>
          <mc:Choice Requires="wps">
            <w:drawing>
              <wp:anchor distT="0" distB="0" distL="114300" distR="114300" simplePos="0" relativeHeight="251505152" behindDoc="0" locked="0" layoutInCell="1" allowOverlap="1" wp14:anchorId="37ED8D6D" wp14:editId="30DA937D">
                <wp:simplePos x="0" y="0"/>
                <wp:positionH relativeFrom="column">
                  <wp:posOffset>11121390</wp:posOffset>
                </wp:positionH>
                <wp:positionV relativeFrom="paragraph">
                  <wp:posOffset>82550</wp:posOffset>
                </wp:positionV>
                <wp:extent cx="0" cy="539115"/>
                <wp:effectExtent l="76200" t="0" r="57150" b="51435"/>
                <wp:wrapNone/>
                <wp:docPr id="338" name="Straight Arrow Connector 338"/>
                <wp:cNvGraphicFramePr/>
                <a:graphic xmlns:a="http://schemas.openxmlformats.org/drawingml/2006/main">
                  <a:graphicData uri="http://schemas.microsoft.com/office/word/2010/wordprocessingShape">
                    <wps:wsp>
                      <wps:cNvCnPr/>
                      <wps:spPr>
                        <a:xfrm>
                          <a:off x="0" y="0"/>
                          <a:ext cx="0" cy="539115"/>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C9A810" id="Straight Arrow Connector 338" o:spid="_x0000_s1026" type="#_x0000_t32" style="position:absolute;margin-left:875.7pt;margin-top:6.5pt;width:0;height:42.45pt;z-index:25150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" strokecolor="#9cc2e5 [1944]" strokeweight="1.5pt">
                <v:stroke endarrow="block" joinstyle="miter"/>
              </v:shape>
            </w:pict>
          </mc:Fallback>
        </mc:AlternateContent>
      </w:r>
      <w:r w:rsidRPr="000F0299">
        <w:rPr>
          <w:rFonts w:ascii="Calibri" w:hAnsi="Calibri"/>
          <w:noProof/>
          <w:sz w:val="20"/>
          <w:lang w:val="en-US" w:eastAsia="en-US" w:bidi="ar-SA"/>
        </w:rPr>
        <mc:AlternateContent>
          <mc:Choice Requires="wps">
            <w:drawing>
              <wp:anchor distT="0" distB="0" distL="114300" distR="114300" simplePos="0" relativeHeight="251494912" behindDoc="0" locked="0" layoutInCell="1" allowOverlap="1" wp14:anchorId="60316863" wp14:editId="4C58DE81">
                <wp:simplePos x="0" y="0"/>
                <wp:positionH relativeFrom="column">
                  <wp:posOffset>10380980</wp:posOffset>
                </wp:positionH>
                <wp:positionV relativeFrom="paragraph">
                  <wp:posOffset>626745</wp:posOffset>
                </wp:positionV>
                <wp:extent cx="1505585" cy="1774825"/>
                <wp:effectExtent l="19050" t="19050" r="18415" b="15875"/>
                <wp:wrapNone/>
                <wp:docPr id="352" name="Text Box 352"/>
                <wp:cNvGraphicFramePr/>
                <a:graphic xmlns:a="http://schemas.openxmlformats.org/drawingml/2006/main">
                  <a:graphicData uri="http://schemas.microsoft.com/office/word/2010/wordprocessingShape">
                    <wps:wsp>
                      <wps:cNvSpPr txBox="1"/>
                      <wps:spPr>
                        <a:xfrm>
                          <a:off x="0" y="0"/>
                          <a:ext cx="1505585" cy="1774825"/>
                        </a:xfrm>
                        <a:prstGeom prst="roundRect">
                          <a:avLst/>
                        </a:prstGeom>
                        <a:solidFill>
                          <a:sysClr val="window" lastClr="FFFFFF"/>
                        </a:solidFill>
                        <a:ln w="28575">
                          <a:solidFill>
                            <a:schemeClr val="accent5">
                              <a:lumMod val="40000"/>
                              <a:lumOff val="60000"/>
                            </a:schemeClr>
                          </a:solidFill>
                        </a:ln>
                        <a:effectLst/>
                      </wps:spPr>
                      <wps:txbx>
                        <w:txbxContent>
                          <w:p w14:paraId="47F851D9" w14:textId="57CFC3F8" w:rsidR="00876FFE" w:rsidRPr="00CE0D1A" w:rsidRDefault="00876FFE" w:rsidP="0025533D">
                            <w:pPr>
                              <w:pStyle w:val="NormalWeb"/>
                              <w:spacing w:before="0" w:beforeAutospacing="0" w:after="120" w:afterAutospacing="0" w:line="216" w:lineRule="auto"/>
                              <w:ind w:firstLine="0"/>
                              <w:jc w:val="center"/>
                              <w:rPr>
                                <w:rFonts w:asciiTheme="minorHAnsi" w:eastAsia="Calibri" w:hAnsiTheme="minorHAnsi" w:cstheme="minorHAnsi"/>
                                <w:b/>
                                <w:sz w:val="22"/>
                                <w:szCs w:val="22"/>
                                <w:lang w:val="sr-Cyrl-RS"/>
                              </w:rPr>
                            </w:pPr>
                            <w:r w:rsidRPr="00CE0D1A">
                              <w:rPr>
                                <w:rFonts w:asciiTheme="minorHAnsi" w:eastAsia="Calibri" w:hAnsiTheme="minorHAnsi" w:cstheme="minorHAnsi"/>
                                <w:sz w:val="22"/>
                                <w:szCs w:val="22"/>
                                <w:lang w:val="sr-Cyrl-RS"/>
                              </w:rPr>
                              <w:t xml:space="preserve">Успостављен </w:t>
                            </w:r>
                            <w:r w:rsidRPr="00CE0D1A">
                              <w:rPr>
                                <w:rFonts w:asciiTheme="minorHAnsi" w:eastAsia="Calibri" w:hAnsiTheme="minorHAnsi" w:cstheme="minorHAnsi"/>
                                <w:b/>
                                <w:sz w:val="22"/>
                                <w:szCs w:val="22"/>
                                <w:lang w:val="sr-Cyrl-RS"/>
                              </w:rPr>
                              <w:t xml:space="preserve">Јединствени јавни регистар </w:t>
                            </w:r>
                            <w:r w:rsidRPr="00CE0D1A">
                              <w:rPr>
                                <w:rFonts w:asciiTheme="minorHAnsi" w:eastAsia="Calibri" w:hAnsiTheme="minorHAnsi" w:cstheme="minorHAnsi"/>
                                <w:b/>
                                <w:spacing w:val="-14"/>
                                <w:sz w:val="22"/>
                                <w:szCs w:val="22"/>
                                <w:lang w:val="sr-Cyrl-RS"/>
                              </w:rPr>
                              <w:t>административних</w:t>
                            </w:r>
                            <w:r w:rsidRPr="00CE0D1A">
                              <w:rPr>
                                <w:rFonts w:asciiTheme="minorHAnsi" w:eastAsia="Calibri" w:hAnsiTheme="minorHAnsi" w:cstheme="minorHAnsi"/>
                                <w:b/>
                                <w:sz w:val="22"/>
                                <w:szCs w:val="22"/>
                                <w:lang w:val="sr-Cyrl-RS"/>
                              </w:rPr>
                              <w:t xml:space="preserve"> поступака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0316863" id="Text Box 352" o:spid="_x0000_s1264" style="position:absolute;left:0;text-align:left;margin-left:817.4pt;margin-top:49.35pt;width:118.55pt;height:139.75pt;z-index:25149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" fillcolor="window" strokecolor="#bdd6ee [1304]" strokeweight="2.25pt">
                <v:textbox>
                  <w:txbxContent>
                    <w:p w14:paraId="47F851D9" w14:textId="57CFC3F8" w:rsidR="00876FFE" w:rsidRPr="00CE0D1A" w:rsidRDefault="00876FFE" w:rsidP="0025533D">
                      <w:pPr>
                        <w:pStyle w:val="NormalWeb"/>
                        <w:spacing w:before="0" w:beforeAutospacing="0" w:after="120" w:afterAutospacing="0" w:line="216" w:lineRule="auto"/>
                        <w:ind w:firstLine="0"/>
                        <w:jc w:val="center"/>
                        <w:rPr>
                          <w:rFonts w:asciiTheme="minorHAnsi" w:eastAsia="Calibri" w:hAnsiTheme="minorHAnsi" w:cstheme="minorHAnsi"/>
                          <w:b/>
                          <w:sz w:val="22"/>
                          <w:szCs w:val="22"/>
                          <w:lang w:val="sr-Cyrl-RS"/>
                        </w:rPr>
                      </w:pPr>
                      <w:r w:rsidRPr="00CE0D1A">
                        <w:rPr>
                          <w:rFonts w:asciiTheme="minorHAnsi" w:eastAsia="Calibri" w:hAnsiTheme="minorHAnsi" w:cstheme="minorHAnsi"/>
                          <w:sz w:val="22"/>
                          <w:szCs w:val="22"/>
                          <w:lang w:val="sr-Cyrl-RS"/>
                        </w:rPr>
                        <w:t xml:space="preserve">Успостављен </w:t>
                      </w:r>
                      <w:r w:rsidRPr="00CE0D1A">
                        <w:rPr>
                          <w:rFonts w:asciiTheme="minorHAnsi" w:eastAsia="Calibri" w:hAnsiTheme="minorHAnsi" w:cstheme="minorHAnsi"/>
                          <w:b/>
                          <w:sz w:val="22"/>
                          <w:szCs w:val="22"/>
                          <w:lang w:val="sr-Cyrl-RS"/>
                        </w:rPr>
                        <w:t xml:space="preserve">Јединствени јавни регистар </w:t>
                      </w:r>
                      <w:r w:rsidRPr="00CE0D1A">
                        <w:rPr>
                          <w:rFonts w:asciiTheme="minorHAnsi" w:eastAsia="Calibri" w:hAnsiTheme="minorHAnsi" w:cstheme="minorHAnsi"/>
                          <w:b/>
                          <w:spacing w:val="-14"/>
                          <w:sz w:val="22"/>
                          <w:szCs w:val="22"/>
                          <w:lang w:val="sr-Cyrl-RS"/>
                        </w:rPr>
                        <w:t>административних</w:t>
                      </w:r>
                      <w:r w:rsidRPr="00CE0D1A">
                        <w:rPr>
                          <w:rFonts w:asciiTheme="minorHAnsi" w:eastAsia="Calibri" w:hAnsiTheme="minorHAnsi" w:cstheme="minorHAnsi"/>
                          <w:b/>
                          <w:sz w:val="22"/>
                          <w:szCs w:val="22"/>
                          <w:lang w:val="sr-Cyrl-RS"/>
                        </w:rPr>
                        <w:t xml:space="preserve"> поступака</w:t>
                      </w:r>
                    </w:p>
                  </w:txbxContent>
                </v:textbox>
              </v:roundrect>
            </w:pict>
          </mc:Fallback>
        </mc:AlternateContent>
      </w:r>
      <w:r w:rsidR="0025533D"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22560" behindDoc="0" locked="0" layoutInCell="1" allowOverlap="1" wp14:anchorId="1E30C295" wp14:editId="085CC845">
                <wp:simplePos x="0" y="0"/>
                <wp:positionH relativeFrom="column">
                  <wp:posOffset>6542314</wp:posOffset>
                </wp:positionH>
                <wp:positionV relativeFrom="paragraph">
                  <wp:posOffset>61232</wp:posOffset>
                </wp:positionV>
                <wp:extent cx="0" cy="324888"/>
                <wp:effectExtent l="0" t="0" r="38100" b="37465"/>
                <wp:wrapNone/>
                <wp:docPr id="326" name="Straight Connector 326"/>
                <wp:cNvGraphicFramePr/>
                <a:graphic xmlns:a="http://schemas.openxmlformats.org/drawingml/2006/main">
                  <a:graphicData uri="http://schemas.microsoft.com/office/word/2010/wordprocessingShape">
                    <wps:wsp>
                      <wps:cNvCnPr/>
                      <wps:spPr>
                        <a:xfrm>
                          <a:off x="0" y="0"/>
                          <a:ext cx="0" cy="324888"/>
                        </a:xfrm>
                        <a:prstGeom prst="line">
                          <a:avLst/>
                        </a:prstGeom>
                        <a:noFill/>
                        <a:ln w="19050" cap="flat" cmpd="sng" algn="ctr">
                          <a:solidFill>
                            <a:schemeClr val="accent5">
                              <a:lumMod val="60000"/>
                              <a:lumOff val="40000"/>
                            </a:schemeClr>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203FF2" id="Straight Connector 326" o:spid="_x0000_s1026" style="position:absolute;z-index:251522560;visibility:visible;mso-wrap-style:square;mso-wrap-distance-left:9pt;mso-wrap-distance-top:0;mso-wrap-distance-right:9pt;mso-wrap-distance-bottom:0;mso-position-horizontal:absolute;mso-position-horizontal-relative:text;mso-position-vertical:absolute;mso-position-vertical-relative:text" from="515.15pt,4.8pt" to="515.1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" strokecolor="#9cc2e5 [1944]" strokeweight="1.5pt">
                <v:stroke joinstyle="miter"/>
              </v:line>
            </w:pict>
          </mc:Fallback>
        </mc:AlternateContent>
      </w:r>
      <w:r w:rsidR="0025533D"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15392" behindDoc="0" locked="0" layoutInCell="1" allowOverlap="1" wp14:anchorId="05F688D8" wp14:editId="6A7BA487">
                <wp:simplePos x="0" y="0"/>
                <wp:positionH relativeFrom="column">
                  <wp:posOffset>1306286</wp:posOffset>
                </wp:positionH>
                <wp:positionV relativeFrom="paragraph">
                  <wp:posOffset>83004</wp:posOffset>
                </wp:positionV>
                <wp:extent cx="0" cy="324485"/>
                <wp:effectExtent l="0" t="0" r="38100" b="37465"/>
                <wp:wrapNone/>
                <wp:docPr id="327" name="Straight Connector 327"/>
                <wp:cNvGraphicFramePr/>
                <a:graphic xmlns:a="http://schemas.openxmlformats.org/drawingml/2006/main">
                  <a:graphicData uri="http://schemas.microsoft.com/office/word/2010/wordprocessingShape">
                    <wps:wsp>
                      <wps:cNvCnPr/>
                      <wps:spPr>
                        <a:xfrm>
                          <a:off x="0" y="0"/>
                          <a:ext cx="0" cy="324485"/>
                        </a:xfrm>
                        <a:prstGeom prst="line">
                          <a:avLst/>
                        </a:prstGeom>
                        <a:noFill/>
                        <a:ln w="19050" cap="flat" cmpd="sng" algn="ctr">
                          <a:solidFill>
                            <a:schemeClr val="accent5">
                              <a:lumMod val="60000"/>
                              <a:lumOff val="40000"/>
                            </a:schemeClr>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8F37C7" id="Straight Connector 327" o:spid="_x0000_s1026" style="position:absolute;z-index:251515392;visibility:visible;mso-wrap-style:square;mso-wrap-distance-left:9pt;mso-wrap-distance-top:0;mso-wrap-distance-right:9pt;mso-wrap-distance-bottom:0;mso-position-horizontal:absolute;mso-position-horizontal-relative:text;mso-position-vertical:absolute;mso-position-vertical-relative:text" from="102.85pt,6.55pt" to="102.8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" strokecolor="#9cc2e5 [1944]" strokeweight="1.5pt">
                <v:stroke joinstyle="miter"/>
              </v:line>
            </w:pict>
          </mc:Fallback>
        </mc:AlternateContent>
      </w:r>
    </w:p>
    <w:p w14:paraId="7D1707ED" w14:textId="3819EA49" w:rsidR="003F0CC2" w:rsidRPr="000F0299" w:rsidRDefault="002D7924" w:rsidP="003F0CC2">
      <w:pPr>
        <w:spacing w:after="0"/>
        <w:rPr>
          <w:rFonts w:ascii="Calibri" w:eastAsia="Times New Roman" w:hAnsi="Calibri"/>
          <w:sz w:val="20"/>
          <w:szCs w:val="20"/>
        </w:rPr>
      </w:pPr>
      <w:r w:rsidRPr="000F0299">
        <w:rPr>
          <w:rFonts w:ascii="Calibri" w:hAnsi="Calibri"/>
          <w:noProof/>
          <w:sz w:val="20"/>
          <w:lang w:val="en-US" w:eastAsia="en-US" w:bidi="ar-SA"/>
        </w:rPr>
        <mc:AlternateContent>
          <mc:Choice Requires="wps">
            <w:drawing>
              <wp:anchor distT="0" distB="0" distL="114300" distR="114300" simplePos="0" relativeHeight="251526656" behindDoc="0" locked="0" layoutInCell="1" allowOverlap="1" wp14:anchorId="42E3B74A" wp14:editId="2463C85B">
                <wp:simplePos x="0" y="0"/>
                <wp:positionH relativeFrom="column">
                  <wp:posOffset>9469211</wp:posOffset>
                </wp:positionH>
                <wp:positionV relativeFrom="paragraph">
                  <wp:posOffset>134620</wp:posOffset>
                </wp:positionV>
                <wp:extent cx="1655445" cy="0"/>
                <wp:effectExtent l="0" t="0" r="0" b="0"/>
                <wp:wrapNone/>
                <wp:docPr id="187" name="Straight Connector 187"/>
                <wp:cNvGraphicFramePr/>
                <a:graphic xmlns:a="http://schemas.openxmlformats.org/drawingml/2006/main">
                  <a:graphicData uri="http://schemas.microsoft.com/office/word/2010/wordprocessingShape">
                    <wps:wsp>
                      <wps:cNvCnPr/>
                      <wps:spPr>
                        <a:xfrm flipV="1">
                          <a:off x="0" y="0"/>
                          <a:ext cx="1655445" cy="0"/>
                        </a:xfrm>
                        <a:prstGeom prst="line">
                          <a:avLst/>
                        </a:prstGeom>
                        <a:noFill/>
                        <a:ln w="19050" cap="flat" cmpd="sng" algn="ctr">
                          <a:solidFill>
                            <a:schemeClr val="accent5">
                              <a:lumMod val="60000"/>
                              <a:lumOff val="4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9DA7A3" id="Straight Connector 187" o:spid="_x0000_s1026" style="position:absolute;flip: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6pt,10.6pt" to="875.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" strokecolor="#9cc2e5 [1944]" strokeweight="1.5pt">
                <v:stroke joinstyle="miter"/>
              </v:line>
            </w:pict>
          </mc:Fallback>
        </mc:AlternateContent>
      </w:r>
      <w:r w:rsidRPr="000F0299">
        <w:rPr>
          <w:rFonts w:ascii="Calibri" w:hAnsi="Calibri"/>
          <w:noProof/>
          <w:sz w:val="20"/>
          <w:lang w:val="en-US" w:eastAsia="en-US" w:bidi="ar-SA"/>
        </w:rPr>
        <mc:AlternateContent>
          <mc:Choice Requires="wps">
            <w:drawing>
              <wp:anchor distT="0" distB="0" distL="114300" distR="114300" simplePos="0" relativeHeight="251504128" behindDoc="0" locked="0" layoutInCell="1" allowOverlap="1" wp14:anchorId="449F6145" wp14:editId="230A0175">
                <wp:simplePos x="0" y="0"/>
                <wp:positionH relativeFrom="column">
                  <wp:posOffset>9485086</wp:posOffset>
                </wp:positionH>
                <wp:positionV relativeFrom="paragraph">
                  <wp:posOffset>133350</wp:posOffset>
                </wp:positionV>
                <wp:extent cx="0" cy="287655"/>
                <wp:effectExtent l="76200" t="0" r="57150" b="55245"/>
                <wp:wrapNone/>
                <wp:docPr id="339" name="Straight Arrow Connector 339"/>
                <wp:cNvGraphicFramePr/>
                <a:graphic xmlns:a="http://schemas.openxmlformats.org/drawingml/2006/main">
                  <a:graphicData uri="http://schemas.microsoft.com/office/word/2010/wordprocessingShape">
                    <wps:wsp>
                      <wps:cNvCnPr/>
                      <wps:spPr>
                        <a:xfrm>
                          <a:off x="0" y="0"/>
                          <a:ext cx="0" cy="287655"/>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D5C6E" id="Straight Arrow Connector 339" o:spid="_x0000_s1026" type="#_x0000_t32" style="position:absolute;margin-left:746.85pt;margin-top:10.5pt;width:0;height:22.65pt;z-index:25150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" strokecolor="#9cc2e5 [1944]" strokeweight="1.5pt">
                <v:stroke endarrow="block" joinstyle="miter"/>
              </v:shape>
            </w:pict>
          </mc:Fallback>
        </mc:AlternateContent>
      </w:r>
      <w:r w:rsidR="0025533D"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19488" behindDoc="0" locked="0" layoutInCell="1" allowOverlap="1" wp14:anchorId="4A22014C" wp14:editId="51E6BA66">
                <wp:simplePos x="0" y="0"/>
                <wp:positionH relativeFrom="column">
                  <wp:posOffset>4180114</wp:posOffset>
                </wp:positionH>
                <wp:positionV relativeFrom="paragraph">
                  <wp:posOffset>156664</wp:posOffset>
                </wp:positionV>
                <wp:extent cx="0" cy="211512"/>
                <wp:effectExtent l="76200" t="0" r="57150" b="55245"/>
                <wp:wrapNone/>
                <wp:docPr id="342" name="Straight Arrow Connector 342"/>
                <wp:cNvGraphicFramePr/>
                <a:graphic xmlns:a="http://schemas.openxmlformats.org/drawingml/2006/main">
                  <a:graphicData uri="http://schemas.microsoft.com/office/word/2010/wordprocessingShape">
                    <wps:wsp>
                      <wps:cNvCnPr/>
                      <wps:spPr>
                        <a:xfrm>
                          <a:off x="0" y="0"/>
                          <a:ext cx="0" cy="211512"/>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E8428" id="Straight Arrow Connector 342" o:spid="_x0000_s1026" type="#_x0000_t32" style="position:absolute;margin-left:329.15pt;margin-top:12.35pt;width:0;height:16.65pt;z-index:25151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" strokecolor="#9cc2e5 [1944]" strokeweight="1.5pt">
                <v:stroke endarrow="block" joinstyle="miter"/>
              </v:shape>
            </w:pict>
          </mc:Fallback>
        </mc:AlternateContent>
      </w:r>
      <w:r w:rsidR="0025533D"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20512" behindDoc="0" locked="0" layoutInCell="1" allowOverlap="1" wp14:anchorId="17D40DF6" wp14:editId="1B89AD2E">
                <wp:simplePos x="0" y="0"/>
                <wp:positionH relativeFrom="column">
                  <wp:posOffset>5758180</wp:posOffset>
                </wp:positionH>
                <wp:positionV relativeFrom="paragraph">
                  <wp:posOffset>156210</wp:posOffset>
                </wp:positionV>
                <wp:extent cx="0" cy="211455"/>
                <wp:effectExtent l="76200" t="0" r="57150" b="55245"/>
                <wp:wrapNone/>
                <wp:docPr id="341" name="Straight Arrow Connector 341"/>
                <wp:cNvGraphicFramePr/>
                <a:graphic xmlns:a="http://schemas.openxmlformats.org/drawingml/2006/main">
                  <a:graphicData uri="http://schemas.microsoft.com/office/word/2010/wordprocessingShape">
                    <wps:wsp>
                      <wps:cNvCnPr/>
                      <wps:spPr>
                        <a:xfrm>
                          <a:off x="0" y="0"/>
                          <a:ext cx="0" cy="211455"/>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27B020" id="Straight Arrow Connector 341" o:spid="_x0000_s1026" type="#_x0000_t32" style="position:absolute;margin-left:453.4pt;margin-top:12.3pt;width:0;height:16.65pt;z-index:25152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" strokecolor="#9cc2e5 [1944]" strokeweight="1.5pt">
                <v:stroke endarrow="block" joinstyle="miter"/>
              </v:shape>
            </w:pict>
          </mc:Fallback>
        </mc:AlternateContent>
      </w:r>
      <w:r w:rsidR="0025533D"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21536" behindDoc="0" locked="0" layoutInCell="1" allowOverlap="1" wp14:anchorId="7E09D512" wp14:editId="0BC57430">
                <wp:simplePos x="0" y="0"/>
                <wp:positionH relativeFrom="column">
                  <wp:posOffset>7347585</wp:posOffset>
                </wp:positionH>
                <wp:positionV relativeFrom="paragraph">
                  <wp:posOffset>156210</wp:posOffset>
                </wp:positionV>
                <wp:extent cx="0" cy="210820"/>
                <wp:effectExtent l="76200" t="0" r="57150" b="55880"/>
                <wp:wrapNone/>
                <wp:docPr id="340" name="Straight Arrow Connector 340"/>
                <wp:cNvGraphicFramePr/>
                <a:graphic xmlns:a="http://schemas.openxmlformats.org/drawingml/2006/main">
                  <a:graphicData uri="http://schemas.microsoft.com/office/word/2010/wordprocessingShape">
                    <wps:wsp>
                      <wps:cNvCnPr/>
                      <wps:spPr>
                        <a:xfrm>
                          <a:off x="0" y="0"/>
                          <a:ext cx="0" cy="210820"/>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D22574" id="Straight Arrow Connector 340" o:spid="_x0000_s1026" type="#_x0000_t32" style="position:absolute;margin-left:578.55pt;margin-top:12.3pt;width:0;height:16.6pt;z-index:25152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" strokecolor="#9cc2e5 [1944]" strokeweight="1.5pt">
                <v:stroke endarrow="block" joinstyle="miter"/>
              </v:shape>
            </w:pict>
          </mc:Fallback>
        </mc:AlternateContent>
      </w:r>
      <w:r w:rsidR="0025533D"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23584" behindDoc="0" locked="0" layoutInCell="1" allowOverlap="1" wp14:anchorId="2A8E4CC6" wp14:editId="31070AF0">
                <wp:simplePos x="0" y="0"/>
                <wp:positionH relativeFrom="column">
                  <wp:posOffset>4179570</wp:posOffset>
                </wp:positionH>
                <wp:positionV relativeFrom="paragraph">
                  <wp:posOffset>145415</wp:posOffset>
                </wp:positionV>
                <wp:extent cx="3174365" cy="5715"/>
                <wp:effectExtent l="0" t="0" r="26035" b="32385"/>
                <wp:wrapNone/>
                <wp:docPr id="328" name="Straight Connector 328"/>
                <wp:cNvGraphicFramePr/>
                <a:graphic xmlns:a="http://schemas.openxmlformats.org/drawingml/2006/main">
                  <a:graphicData uri="http://schemas.microsoft.com/office/word/2010/wordprocessingShape">
                    <wps:wsp>
                      <wps:cNvCnPr/>
                      <wps:spPr>
                        <a:xfrm flipV="1">
                          <a:off x="0" y="0"/>
                          <a:ext cx="3174365" cy="5715"/>
                        </a:xfrm>
                        <a:prstGeom prst="line">
                          <a:avLst/>
                        </a:prstGeom>
                        <a:noFill/>
                        <a:ln w="19050" cap="flat" cmpd="sng" algn="ctr">
                          <a:solidFill>
                            <a:schemeClr val="accent5">
                              <a:lumMod val="60000"/>
                              <a:lumOff val="40000"/>
                            </a:schemeClr>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0AFC19" id="Straight Connector 328" o:spid="_x0000_s1026" style="position:absolute;flip:y;z-index:251523584;visibility:visible;mso-wrap-style:square;mso-wrap-distance-left:9pt;mso-wrap-distance-top:0;mso-wrap-distance-right:9pt;mso-wrap-distance-bottom:0;mso-position-horizontal:absolute;mso-position-horizontal-relative:text;mso-position-vertical:absolute;mso-position-vertical-relative:text" from="329.1pt,11.45pt" to="579.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" strokecolor="#9cc2e5 [1944]" strokeweight="1.5pt">
                <v:stroke joinstyle="miter"/>
              </v:line>
            </w:pict>
          </mc:Fallback>
        </mc:AlternateContent>
      </w:r>
      <w:r w:rsidR="0025533D"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13344" behindDoc="0" locked="0" layoutInCell="1" allowOverlap="1" wp14:anchorId="2D483748" wp14:editId="763B672F">
                <wp:simplePos x="0" y="0"/>
                <wp:positionH relativeFrom="column">
                  <wp:posOffset>478971</wp:posOffset>
                </wp:positionH>
                <wp:positionV relativeFrom="paragraph">
                  <wp:posOffset>178435</wp:posOffset>
                </wp:positionV>
                <wp:extent cx="0" cy="211455"/>
                <wp:effectExtent l="76200" t="0" r="57150" b="55245"/>
                <wp:wrapNone/>
                <wp:docPr id="344" name="Straight Arrow Connector 344"/>
                <wp:cNvGraphicFramePr/>
                <a:graphic xmlns:a="http://schemas.openxmlformats.org/drawingml/2006/main">
                  <a:graphicData uri="http://schemas.microsoft.com/office/word/2010/wordprocessingShape">
                    <wps:wsp>
                      <wps:cNvCnPr/>
                      <wps:spPr>
                        <a:xfrm>
                          <a:off x="0" y="0"/>
                          <a:ext cx="0" cy="211455"/>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E96EC0" id="Straight Arrow Connector 344" o:spid="_x0000_s1026" type="#_x0000_t32" style="position:absolute;margin-left:37.7pt;margin-top:14.05pt;width:0;height:16.65pt;z-index:25151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" strokecolor="#9cc2e5 [1944]" strokeweight="1.5pt">
                <v:stroke endarrow="block" joinstyle="miter"/>
              </v:shape>
            </w:pict>
          </mc:Fallback>
        </mc:AlternateContent>
      </w:r>
      <w:r w:rsidR="0025533D"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14368" behindDoc="0" locked="0" layoutInCell="1" allowOverlap="1" wp14:anchorId="2BE091E1" wp14:editId="5FF279A6">
                <wp:simplePos x="0" y="0"/>
                <wp:positionH relativeFrom="column">
                  <wp:posOffset>2100943</wp:posOffset>
                </wp:positionH>
                <wp:positionV relativeFrom="paragraph">
                  <wp:posOffset>178435</wp:posOffset>
                </wp:positionV>
                <wp:extent cx="0" cy="211455"/>
                <wp:effectExtent l="76200" t="0" r="57150" b="55245"/>
                <wp:wrapNone/>
                <wp:docPr id="343" name="Straight Arrow Connector 343"/>
                <wp:cNvGraphicFramePr/>
                <a:graphic xmlns:a="http://schemas.openxmlformats.org/drawingml/2006/main">
                  <a:graphicData uri="http://schemas.microsoft.com/office/word/2010/wordprocessingShape">
                    <wps:wsp>
                      <wps:cNvCnPr/>
                      <wps:spPr>
                        <a:xfrm>
                          <a:off x="0" y="0"/>
                          <a:ext cx="0" cy="211455"/>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134C59" id="Straight Arrow Connector 343" o:spid="_x0000_s1026" type="#_x0000_t32" style="position:absolute;margin-left:165.45pt;margin-top:14.05pt;width:0;height:16.65pt;z-index:25151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" strokecolor="#9cc2e5 [1944]" strokeweight="1.5pt">
                <v:stroke endarrow="block" joinstyle="miter"/>
              </v:shape>
            </w:pict>
          </mc:Fallback>
        </mc:AlternateContent>
      </w:r>
      <w:r w:rsidR="0025533D"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16416" behindDoc="0" locked="0" layoutInCell="1" allowOverlap="1" wp14:anchorId="1D039BC1" wp14:editId="7431ADA4">
                <wp:simplePos x="0" y="0"/>
                <wp:positionH relativeFrom="column">
                  <wp:posOffset>478971</wp:posOffset>
                </wp:positionH>
                <wp:positionV relativeFrom="paragraph">
                  <wp:posOffset>178435</wp:posOffset>
                </wp:positionV>
                <wp:extent cx="1636395" cy="0"/>
                <wp:effectExtent l="0" t="0" r="0" b="0"/>
                <wp:wrapNone/>
                <wp:docPr id="329" name="Straight Connector 329"/>
                <wp:cNvGraphicFramePr/>
                <a:graphic xmlns:a="http://schemas.openxmlformats.org/drawingml/2006/main">
                  <a:graphicData uri="http://schemas.microsoft.com/office/word/2010/wordprocessingShape">
                    <wps:wsp>
                      <wps:cNvCnPr/>
                      <wps:spPr>
                        <a:xfrm>
                          <a:off x="0" y="0"/>
                          <a:ext cx="1636395" cy="0"/>
                        </a:xfrm>
                        <a:prstGeom prst="line">
                          <a:avLst/>
                        </a:prstGeom>
                        <a:noFill/>
                        <a:ln w="19050" cap="flat" cmpd="sng" algn="ctr">
                          <a:solidFill>
                            <a:schemeClr val="accent5">
                              <a:lumMod val="60000"/>
                              <a:lumOff val="40000"/>
                            </a:schemeClr>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3350AB" id="Straight Connector 329" o:spid="_x0000_s1026" style="position:absolute;z-index:251516416;visibility:visible;mso-wrap-style:square;mso-wrap-distance-left:9pt;mso-wrap-distance-top:0;mso-wrap-distance-right:9pt;mso-wrap-distance-bottom:0;mso-position-horizontal:absolute;mso-position-horizontal-relative:text;mso-position-vertical:absolute;mso-position-vertical-relative:text" from="37.7pt,14.05pt" to="166.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" strokecolor="#9cc2e5 [1944]" strokeweight="1.5pt">
                <v:stroke joinstyle="miter"/>
              </v:line>
            </w:pict>
          </mc:Fallback>
        </mc:AlternateContent>
      </w:r>
    </w:p>
    <w:p w14:paraId="77980422" w14:textId="00F7777D" w:rsidR="003F0CC2" w:rsidRPr="000F0299" w:rsidRDefault="002D7924" w:rsidP="003F0CC2">
      <w:pPr>
        <w:spacing w:after="0"/>
        <w:rPr>
          <w:rFonts w:ascii="Calibri" w:eastAsia="Times New Roman" w:hAnsi="Calibri"/>
          <w:sz w:val="20"/>
          <w:szCs w:val="20"/>
        </w:rPr>
      </w:pPr>
      <w:r w:rsidRPr="000F0299">
        <w:rPr>
          <w:rFonts w:ascii="Calibri" w:hAnsi="Calibri"/>
          <w:noProof/>
          <w:sz w:val="20"/>
          <w:lang w:val="en-US" w:eastAsia="en-US" w:bidi="ar-SA"/>
        </w:rPr>
        <mc:AlternateContent>
          <mc:Choice Requires="wps">
            <w:drawing>
              <wp:anchor distT="0" distB="0" distL="114300" distR="114300" simplePos="0" relativeHeight="251495936" behindDoc="0" locked="0" layoutInCell="1" allowOverlap="1" wp14:anchorId="21328B1A" wp14:editId="30DF72B3">
                <wp:simplePos x="0" y="0"/>
                <wp:positionH relativeFrom="column">
                  <wp:posOffset>8733881</wp:posOffset>
                </wp:positionH>
                <wp:positionV relativeFrom="paragraph">
                  <wp:posOffset>164465</wp:posOffset>
                </wp:positionV>
                <wp:extent cx="1505585" cy="1774825"/>
                <wp:effectExtent l="19050" t="19050" r="18415" b="15875"/>
                <wp:wrapNone/>
                <wp:docPr id="348" name="Text Box 348"/>
                <wp:cNvGraphicFramePr/>
                <a:graphic xmlns:a="http://schemas.openxmlformats.org/drawingml/2006/main">
                  <a:graphicData uri="http://schemas.microsoft.com/office/word/2010/wordprocessingShape">
                    <wps:wsp>
                      <wps:cNvSpPr txBox="1"/>
                      <wps:spPr>
                        <a:xfrm>
                          <a:off x="0" y="0"/>
                          <a:ext cx="1505585" cy="1774825"/>
                        </a:xfrm>
                        <a:prstGeom prst="roundRect">
                          <a:avLst/>
                        </a:prstGeom>
                        <a:solidFill>
                          <a:sysClr val="window" lastClr="FFFFFF"/>
                        </a:solidFill>
                        <a:ln w="28575">
                          <a:solidFill>
                            <a:schemeClr val="accent5">
                              <a:lumMod val="40000"/>
                              <a:lumOff val="60000"/>
                            </a:schemeClr>
                          </a:solidFill>
                        </a:ln>
                        <a:effectLst/>
                      </wps:spPr>
                      <wps:txbx>
                        <w:txbxContent>
                          <w:p w14:paraId="368B1911" w14:textId="7F255F8E" w:rsidR="00876FFE" w:rsidRPr="00CE0D1A" w:rsidRDefault="00876FFE" w:rsidP="0025533D">
                            <w:pPr>
                              <w:pStyle w:val="NormalWeb"/>
                              <w:spacing w:before="0" w:beforeAutospacing="0" w:after="120" w:afterAutospacing="0" w:line="216" w:lineRule="auto"/>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 xml:space="preserve">Успостављен </w:t>
                            </w:r>
                            <w:r w:rsidRPr="00CE0D1A">
                              <w:rPr>
                                <w:rFonts w:asciiTheme="minorHAnsi" w:eastAsia="Calibri" w:hAnsiTheme="minorHAnsi" w:cstheme="minorHAnsi"/>
                                <w:b/>
                                <w:sz w:val="22"/>
                                <w:szCs w:val="22"/>
                                <w:lang w:val="sr-Cyrl-RS"/>
                              </w:rPr>
                              <w:t>систем мерења задовољства</w:t>
                            </w:r>
                            <w:r w:rsidRPr="00CE0D1A">
                              <w:rPr>
                                <w:rFonts w:asciiTheme="minorHAnsi" w:eastAsia="Calibri" w:hAnsiTheme="minorHAnsi" w:cstheme="minorHAnsi"/>
                                <w:sz w:val="22"/>
                                <w:szCs w:val="22"/>
                                <w:lang w:val="sr-Cyrl-RS"/>
                              </w:rPr>
                              <w:t xml:space="preserve"> крајњих корисника пруженим услугама јавне управе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328B1A" id="Text Box 348" o:spid="_x0000_s1265" style="position:absolute;left:0;text-align:left;margin-left:687.7pt;margin-top:12.95pt;width:118.55pt;height:139.75pt;z-index:25149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" fillcolor="window" strokecolor="#bdd6ee [1304]" strokeweight="2.25pt">
                <v:textbox>
                  <w:txbxContent>
                    <w:p w14:paraId="368B1911" w14:textId="7F255F8E" w:rsidR="00876FFE" w:rsidRPr="00CE0D1A" w:rsidRDefault="00876FFE" w:rsidP="0025533D">
                      <w:pPr>
                        <w:pStyle w:val="NormalWeb"/>
                        <w:spacing w:before="0" w:beforeAutospacing="0" w:after="120" w:afterAutospacing="0" w:line="216" w:lineRule="auto"/>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 xml:space="preserve">Успостављен </w:t>
                      </w:r>
                      <w:r w:rsidRPr="00CE0D1A">
                        <w:rPr>
                          <w:rFonts w:asciiTheme="minorHAnsi" w:eastAsia="Calibri" w:hAnsiTheme="minorHAnsi" w:cstheme="minorHAnsi"/>
                          <w:b/>
                          <w:sz w:val="22"/>
                          <w:szCs w:val="22"/>
                          <w:lang w:val="sr-Cyrl-RS"/>
                        </w:rPr>
                        <w:t>систем мерења задовољства</w:t>
                      </w:r>
                      <w:r w:rsidRPr="00CE0D1A">
                        <w:rPr>
                          <w:rFonts w:asciiTheme="minorHAnsi" w:eastAsia="Calibri" w:hAnsiTheme="minorHAnsi" w:cstheme="minorHAnsi"/>
                          <w:sz w:val="22"/>
                          <w:szCs w:val="22"/>
                          <w:lang w:val="sr-Cyrl-RS"/>
                        </w:rPr>
                        <w:t xml:space="preserve"> крајњих корисника пруженим услугама јавне управе</w:t>
                      </w:r>
                    </w:p>
                  </w:txbxContent>
                </v:textbox>
              </v:roundrect>
            </w:pict>
          </mc:Fallback>
        </mc:AlternateContent>
      </w:r>
      <w:r w:rsidRPr="000F0299">
        <w:rPr>
          <w:rFonts w:ascii="Calibri" w:hAnsi="Calibri"/>
          <w:noProof/>
          <w:sz w:val="20"/>
          <w:lang w:val="en-US" w:eastAsia="en-US" w:bidi="ar-SA"/>
        </w:rPr>
        <mc:AlternateContent>
          <mc:Choice Requires="wps">
            <w:drawing>
              <wp:anchor distT="0" distB="0" distL="114300" distR="114300" simplePos="0" relativeHeight="251493888" behindDoc="0" locked="0" layoutInCell="1" allowOverlap="1" wp14:anchorId="29090889" wp14:editId="07401C44">
                <wp:simplePos x="0" y="0"/>
                <wp:positionH relativeFrom="column">
                  <wp:posOffset>12014473</wp:posOffset>
                </wp:positionH>
                <wp:positionV relativeFrom="paragraph">
                  <wp:posOffset>164919</wp:posOffset>
                </wp:positionV>
                <wp:extent cx="1505585" cy="1774825"/>
                <wp:effectExtent l="19050" t="19050" r="18415" b="15875"/>
                <wp:wrapNone/>
                <wp:docPr id="353" name="Text Box 353"/>
                <wp:cNvGraphicFramePr/>
                <a:graphic xmlns:a="http://schemas.openxmlformats.org/drawingml/2006/main">
                  <a:graphicData uri="http://schemas.microsoft.com/office/word/2010/wordprocessingShape">
                    <wps:wsp>
                      <wps:cNvSpPr txBox="1"/>
                      <wps:spPr>
                        <a:xfrm>
                          <a:off x="0" y="0"/>
                          <a:ext cx="1505585" cy="1774825"/>
                        </a:xfrm>
                        <a:prstGeom prst="roundRect">
                          <a:avLst/>
                        </a:prstGeom>
                        <a:solidFill>
                          <a:sysClr val="window" lastClr="FFFFFF"/>
                        </a:solidFill>
                        <a:ln w="28575">
                          <a:solidFill>
                            <a:schemeClr val="accent5">
                              <a:lumMod val="40000"/>
                              <a:lumOff val="60000"/>
                            </a:schemeClr>
                          </a:solidFill>
                        </a:ln>
                        <a:effectLst/>
                      </wps:spPr>
                      <wps:txbx>
                        <w:txbxContent>
                          <w:p w14:paraId="7AC1FE02" w14:textId="54077F18" w:rsidR="00876FFE" w:rsidRPr="00CE0D1A" w:rsidRDefault="00876FFE" w:rsidP="0025533D">
                            <w:pPr>
                              <w:pStyle w:val="NormalWeb"/>
                              <w:spacing w:before="0" w:beforeAutospacing="0" w:after="120" w:afterAutospacing="0" w:line="216" w:lineRule="auto"/>
                              <w:ind w:firstLine="0"/>
                              <w:jc w:val="center"/>
                              <w:rPr>
                                <w:rFonts w:asciiTheme="minorHAnsi" w:hAnsiTheme="minorHAnsi" w:cstheme="minorHAnsi"/>
                                <w:sz w:val="22"/>
                                <w:szCs w:val="22"/>
                              </w:rPr>
                            </w:pPr>
                            <w:r w:rsidRPr="00CE0D1A">
                              <w:rPr>
                                <w:rFonts w:asciiTheme="minorHAnsi" w:eastAsia="Calibri" w:hAnsiTheme="minorHAnsi" w:cstheme="minorHAnsi"/>
                                <w:sz w:val="22"/>
                                <w:szCs w:val="22"/>
                                <w:lang w:val="sr-Cyrl-RS"/>
                              </w:rPr>
                              <w:t xml:space="preserve">Унапређена </w:t>
                            </w:r>
                            <w:r w:rsidRPr="00CE0D1A">
                              <w:rPr>
                                <w:rFonts w:asciiTheme="minorHAnsi" w:eastAsia="Calibri" w:hAnsiTheme="minorHAnsi" w:cstheme="minorHAnsi"/>
                                <w:b/>
                                <w:sz w:val="22"/>
                                <w:szCs w:val="22"/>
                                <w:lang w:val="sr-Cyrl-RS"/>
                              </w:rPr>
                              <w:t xml:space="preserve">приступачност </w:t>
                            </w:r>
                            <w:r w:rsidRPr="00CE0D1A">
                              <w:rPr>
                                <w:rFonts w:asciiTheme="minorHAnsi" w:eastAsia="Calibri" w:hAnsiTheme="minorHAnsi" w:cstheme="minorHAnsi"/>
                                <w:sz w:val="22"/>
                                <w:szCs w:val="22"/>
                                <w:lang w:val="sr-Cyrl-RS"/>
                              </w:rPr>
                              <w:t>јавних услуга за припаднике угрожених и рањивих група као и припадника мањинских заједница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9090889" id="Text Box 353" o:spid="_x0000_s1266" style="position:absolute;left:0;text-align:left;margin-left:946pt;margin-top:13pt;width:118.55pt;height:139.75pt;z-index:25149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" fillcolor="window" strokecolor="#bdd6ee [1304]" strokeweight="2.25pt">
                <v:textbox>
                  <w:txbxContent>
                    <w:p w14:paraId="7AC1FE02" w14:textId="54077F18" w:rsidR="00876FFE" w:rsidRPr="00CE0D1A" w:rsidRDefault="00876FFE" w:rsidP="0025533D">
                      <w:pPr>
                        <w:pStyle w:val="NormalWeb"/>
                        <w:spacing w:before="0" w:beforeAutospacing="0" w:after="120" w:afterAutospacing="0" w:line="216" w:lineRule="auto"/>
                        <w:ind w:firstLine="0"/>
                        <w:jc w:val="center"/>
                        <w:rPr>
                          <w:rFonts w:asciiTheme="minorHAnsi" w:hAnsiTheme="minorHAnsi" w:cstheme="minorHAnsi"/>
                          <w:sz w:val="22"/>
                          <w:szCs w:val="22"/>
                        </w:rPr>
                      </w:pPr>
                      <w:r w:rsidRPr="00CE0D1A">
                        <w:rPr>
                          <w:rFonts w:asciiTheme="minorHAnsi" w:eastAsia="Calibri" w:hAnsiTheme="minorHAnsi" w:cstheme="minorHAnsi"/>
                          <w:sz w:val="22"/>
                          <w:szCs w:val="22"/>
                          <w:lang w:val="sr-Cyrl-RS"/>
                        </w:rPr>
                        <w:t xml:space="preserve">Унапређена </w:t>
                      </w:r>
                      <w:r w:rsidRPr="00CE0D1A">
                        <w:rPr>
                          <w:rFonts w:asciiTheme="minorHAnsi" w:eastAsia="Calibri" w:hAnsiTheme="minorHAnsi" w:cstheme="minorHAnsi"/>
                          <w:b/>
                          <w:sz w:val="22"/>
                          <w:szCs w:val="22"/>
                          <w:lang w:val="sr-Cyrl-RS"/>
                        </w:rPr>
                        <w:t xml:space="preserve">приступачност </w:t>
                      </w:r>
                      <w:r w:rsidRPr="00CE0D1A">
                        <w:rPr>
                          <w:rFonts w:asciiTheme="minorHAnsi" w:eastAsia="Calibri" w:hAnsiTheme="minorHAnsi" w:cstheme="minorHAnsi"/>
                          <w:sz w:val="22"/>
                          <w:szCs w:val="22"/>
                          <w:lang w:val="sr-Cyrl-RS"/>
                        </w:rPr>
                        <w:t>јавних услуга за припаднике угрожених и рањивих група као и припадника мањинских заједница</w:t>
                      </w:r>
                    </w:p>
                  </w:txbxContent>
                </v:textbox>
              </v:roundrect>
            </w:pict>
          </mc:Fallback>
        </mc:AlternateContent>
      </w:r>
      <w:r w:rsidR="0025533D" w:rsidRPr="000F0299">
        <w:rPr>
          <w:rFonts w:ascii="Calibri" w:hAnsi="Calibri"/>
          <w:noProof/>
          <w:sz w:val="20"/>
          <w:lang w:val="en-US" w:eastAsia="en-US" w:bidi="ar-SA"/>
        </w:rPr>
        <mc:AlternateContent>
          <mc:Choice Requires="wps">
            <w:drawing>
              <wp:anchor distT="0" distB="0" distL="114300" distR="114300" simplePos="0" relativeHeight="251496960" behindDoc="0" locked="0" layoutInCell="1" allowOverlap="1" wp14:anchorId="53EBF3AB" wp14:editId="41890B02">
                <wp:simplePos x="0" y="0"/>
                <wp:positionH relativeFrom="column">
                  <wp:posOffset>6596380</wp:posOffset>
                </wp:positionH>
                <wp:positionV relativeFrom="paragraph">
                  <wp:posOffset>152944</wp:posOffset>
                </wp:positionV>
                <wp:extent cx="1505585" cy="1774825"/>
                <wp:effectExtent l="19050" t="19050" r="18415" b="15875"/>
                <wp:wrapNone/>
                <wp:docPr id="350" name="Text Box 350"/>
                <wp:cNvGraphicFramePr/>
                <a:graphic xmlns:a="http://schemas.openxmlformats.org/drawingml/2006/main">
                  <a:graphicData uri="http://schemas.microsoft.com/office/word/2010/wordprocessingShape">
                    <wps:wsp>
                      <wps:cNvSpPr txBox="1"/>
                      <wps:spPr>
                        <a:xfrm>
                          <a:off x="0" y="0"/>
                          <a:ext cx="1505585" cy="1774825"/>
                        </a:xfrm>
                        <a:prstGeom prst="roundRect">
                          <a:avLst/>
                        </a:prstGeom>
                        <a:solidFill>
                          <a:sysClr val="window" lastClr="FFFFFF"/>
                        </a:solidFill>
                        <a:ln w="28575">
                          <a:solidFill>
                            <a:schemeClr val="accent5">
                              <a:lumMod val="40000"/>
                              <a:lumOff val="60000"/>
                            </a:schemeClr>
                          </a:solidFill>
                        </a:ln>
                        <a:effectLst/>
                      </wps:spPr>
                      <wps:txbx>
                        <w:txbxContent>
                          <w:p w14:paraId="4F3B63D7" w14:textId="600069A9" w:rsidR="00876FFE" w:rsidRPr="00CE0D1A" w:rsidRDefault="00876FFE" w:rsidP="0025533D">
                            <w:pPr>
                              <w:pStyle w:val="NormalWeb"/>
                              <w:spacing w:before="0" w:beforeAutospacing="0" w:after="120" w:afterAutospacing="0" w:line="216" w:lineRule="auto"/>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 xml:space="preserve">Ојачани </w:t>
                            </w:r>
                            <w:r w:rsidRPr="00CE0D1A">
                              <w:rPr>
                                <w:rFonts w:asciiTheme="minorHAnsi" w:eastAsia="Calibri" w:hAnsiTheme="minorHAnsi" w:cstheme="minorHAnsi"/>
                                <w:b/>
                                <w:sz w:val="22"/>
                                <w:szCs w:val="22"/>
                                <w:lang w:val="sr-Cyrl-RS"/>
                              </w:rPr>
                              <w:t>капацитети инспекција</w:t>
                            </w:r>
                            <w:r w:rsidRPr="00CE0D1A">
                              <w:rPr>
                                <w:rFonts w:asciiTheme="minorHAnsi" w:eastAsia="Calibri" w:hAnsiTheme="minorHAnsi" w:cstheme="minorHAnsi"/>
                                <w:sz w:val="22"/>
                                <w:szCs w:val="22"/>
                                <w:lang w:val="sr-Cyrl-RS"/>
                              </w:rPr>
                              <w:t xml:space="preserve"> надлежних за контролу пружања услуга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EBF3AB" id="Text Box 350" o:spid="_x0000_s1267" style="position:absolute;left:0;text-align:left;margin-left:519.4pt;margin-top:12.05pt;width:118.55pt;height:139.75pt;z-index:25149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" fillcolor="window" strokecolor="#bdd6ee [1304]" strokeweight="2.25pt">
                <v:textbox>
                  <w:txbxContent>
                    <w:p w14:paraId="4F3B63D7" w14:textId="600069A9" w:rsidR="00876FFE" w:rsidRPr="00CE0D1A" w:rsidRDefault="00876FFE" w:rsidP="0025533D">
                      <w:pPr>
                        <w:pStyle w:val="NormalWeb"/>
                        <w:spacing w:before="0" w:beforeAutospacing="0" w:after="120" w:afterAutospacing="0" w:line="216" w:lineRule="auto"/>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 xml:space="preserve">Ојачани </w:t>
                      </w:r>
                      <w:r w:rsidRPr="00CE0D1A">
                        <w:rPr>
                          <w:rFonts w:asciiTheme="minorHAnsi" w:eastAsia="Calibri" w:hAnsiTheme="minorHAnsi" w:cstheme="minorHAnsi"/>
                          <w:b/>
                          <w:sz w:val="22"/>
                          <w:szCs w:val="22"/>
                          <w:lang w:val="sr-Cyrl-RS"/>
                        </w:rPr>
                        <w:t>капацитети инспекција</w:t>
                      </w:r>
                      <w:r w:rsidRPr="00CE0D1A">
                        <w:rPr>
                          <w:rFonts w:asciiTheme="minorHAnsi" w:eastAsia="Calibri" w:hAnsiTheme="minorHAnsi" w:cstheme="minorHAnsi"/>
                          <w:sz w:val="22"/>
                          <w:szCs w:val="22"/>
                          <w:lang w:val="sr-Cyrl-RS"/>
                        </w:rPr>
                        <w:t xml:space="preserve"> надлежних за контролу пружања услуга</w:t>
                      </w:r>
                    </w:p>
                  </w:txbxContent>
                </v:textbox>
              </v:roundrect>
            </w:pict>
          </mc:Fallback>
        </mc:AlternateContent>
      </w:r>
      <w:r w:rsidR="0025533D" w:rsidRPr="000F0299">
        <w:rPr>
          <w:rFonts w:ascii="Calibri" w:hAnsi="Calibri"/>
          <w:noProof/>
          <w:sz w:val="20"/>
          <w:lang w:val="en-US" w:eastAsia="en-US" w:bidi="ar-SA"/>
        </w:rPr>
        <mc:AlternateContent>
          <mc:Choice Requires="wps">
            <w:drawing>
              <wp:anchor distT="0" distB="0" distL="114300" distR="114300" simplePos="0" relativeHeight="251497984" behindDoc="0" locked="0" layoutInCell="1" allowOverlap="1" wp14:anchorId="15C6E122" wp14:editId="41782F4E">
                <wp:simplePos x="0" y="0"/>
                <wp:positionH relativeFrom="column">
                  <wp:posOffset>5038835</wp:posOffset>
                </wp:positionH>
                <wp:positionV relativeFrom="paragraph">
                  <wp:posOffset>139646</wp:posOffset>
                </wp:positionV>
                <wp:extent cx="1505585" cy="1774825"/>
                <wp:effectExtent l="19050" t="19050" r="18415" b="15875"/>
                <wp:wrapNone/>
                <wp:docPr id="351" name="Text Box 351"/>
                <wp:cNvGraphicFramePr/>
                <a:graphic xmlns:a="http://schemas.openxmlformats.org/drawingml/2006/main">
                  <a:graphicData uri="http://schemas.microsoft.com/office/word/2010/wordprocessingShape">
                    <wps:wsp>
                      <wps:cNvSpPr txBox="1"/>
                      <wps:spPr>
                        <a:xfrm>
                          <a:off x="0" y="0"/>
                          <a:ext cx="1505585" cy="1774825"/>
                        </a:xfrm>
                        <a:prstGeom prst="roundRect">
                          <a:avLst/>
                        </a:prstGeom>
                        <a:solidFill>
                          <a:sysClr val="window" lastClr="FFFFFF"/>
                        </a:solidFill>
                        <a:ln w="28575">
                          <a:solidFill>
                            <a:schemeClr val="accent5">
                              <a:lumMod val="40000"/>
                              <a:lumOff val="60000"/>
                            </a:schemeClr>
                          </a:solidFill>
                        </a:ln>
                        <a:effectLst/>
                      </wps:spPr>
                      <wps:txbx>
                        <w:txbxContent>
                          <w:p w14:paraId="347202CD" w14:textId="77777777" w:rsidR="00876FFE" w:rsidRPr="00CE0D1A" w:rsidRDefault="00876FFE" w:rsidP="0025533D">
                            <w:pPr>
                              <w:spacing w:before="0"/>
                              <w:ind w:firstLine="0"/>
                              <w:jc w:val="center"/>
                              <w:rPr>
                                <w:rFonts w:asciiTheme="minorHAnsi" w:hAnsiTheme="minorHAnsi" w:cstheme="minorHAnsi"/>
                                <w:sz w:val="22"/>
                                <w:szCs w:val="22"/>
                              </w:rPr>
                            </w:pPr>
                            <w:r w:rsidRPr="00CE0D1A">
                              <w:rPr>
                                <w:rFonts w:asciiTheme="minorHAnsi" w:hAnsiTheme="minorHAnsi" w:cstheme="minorHAnsi"/>
                                <w:sz w:val="22"/>
                                <w:szCs w:val="22"/>
                              </w:rPr>
                              <w:t xml:space="preserve">Развијени техничко-технолошки </w:t>
                            </w:r>
                            <w:r w:rsidRPr="00CE0D1A">
                              <w:rPr>
                                <w:rFonts w:asciiTheme="minorHAnsi" w:hAnsiTheme="minorHAnsi" w:cstheme="minorHAnsi"/>
                                <w:b/>
                                <w:sz w:val="22"/>
                                <w:szCs w:val="22"/>
                              </w:rPr>
                              <w:t>капацитети</w:t>
                            </w:r>
                            <w:r w:rsidRPr="00CE0D1A">
                              <w:rPr>
                                <w:rFonts w:asciiTheme="minorHAnsi" w:hAnsiTheme="minorHAnsi" w:cstheme="minorHAnsi"/>
                                <w:sz w:val="22"/>
                                <w:szCs w:val="22"/>
                              </w:rPr>
                              <w:t xml:space="preserve"> </w:t>
                            </w:r>
                            <w:r w:rsidRPr="00CE0D1A">
                              <w:rPr>
                                <w:rFonts w:asciiTheme="minorHAnsi" w:hAnsiTheme="minorHAnsi" w:cstheme="minorHAnsi"/>
                                <w:b/>
                                <w:sz w:val="22"/>
                                <w:szCs w:val="22"/>
                              </w:rPr>
                              <w:t>за пружање услуга</w:t>
                            </w:r>
                            <w:r w:rsidRPr="00CE0D1A">
                              <w:rPr>
                                <w:rFonts w:asciiTheme="minorHAnsi" w:hAnsiTheme="minorHAnsi" w:cstheme="minorHAnsi"/>
                                <w:sz w:val="22"/>
                                <w:szCs w:val="22"/>
                              </w:rPr>
                              <w:t xml:space="preserve"> традиционално и дигитално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C6E122" id="Text Box 351" o:spid="_x0000_s1268" style="position:absolute;left:0;text-align:left;margin-left:396.75pt;margin-top:11pt;width:118.55pt;height:139.7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" fillcolor="window" strokecolor="#bdd6ee [1304]" strokeweight="2.25pt">
                <v:textbox>
                  <w:txbxContent>
                    <w:p w14:paraId="347202CD" w14:textId="77777777" w:rsidR="00876FFE" w:rsidRPr="00CE0D1A" w:rsidRDefault="00876FFE" w:rsidP="0025533D">
                      <w:pPr>
                        <w:spacing w:before="0"/>
                        <w:ind w:firstLine="0"/>
                        <w:jc w:val="center"/>
                        <w:rPr>
                          <w:rFonts w:asciiTheme="minorHAnsi" w:hAnsiTheme="minorHAnsi" w:cstheme="minorHAnsi"/>
                          <w:sz w:val="22"/>
                          <w:szCs w:val="22"/>
                        </w:rPr>
                      </w:pPr>
                      <w:r w:rsidRPr="00CE0D1A">
                        <w:rPr>
                          <w:rFonts w:asciiTheme="minorHAnsi" w:hAnsiTheme="minorHAnsi" w:cstheme="minorHAnsi"/>
                          <w:sz w:val="22"/>
                          <w:szCs w:val="22"/>
                        </w:rPr>
                        <w:t xml:space="preserve">Развијени </w:t>
                      </w:r>
                      <w:r w:rsidRPr="00CE0D1A">
                        <w:rPr>
                          <w:rFonts w:asciiTheme="minorHAnsi" w:hAnsiTheme="minorHAnsi" w:cstheme="minorHAnsi"/>
                          <w:sz w:val="22"/>
                          <w:szCs w:val="22"/>
                        </w:rPr>
                        <w:t xml:space="preserve">техничко-технолошки </w:t>
                      </w:r>
                      <w:r w:rsidRPr="00CE0D1A">
                        <w:rPr>
                          <w:rFonts w:asciiTheme="minorHAnsi" w:hAnsiTheme="minorHAnsi" w:cstheme="minorHAnsi"/>
                          <w:b/>
                          <w:sz w:val="22"/>
                          <w:szCs w:val="22"/>
                        </w:rPr>
                        <w:t>капацитети</w:t>
                      </w:r>
                      <w:r w:rsidRPr="00CE0D1A">
                        <w:rPr>
                          <w:rFonts w:asciiTheme="minorHAnsi" w:hAnsiTheme="minorHAnsi" w:cstheme="minorHAnsi"/>
                          <w:sz w:val="22"/>
                          <w:szCs w:val="22"/>
                        </w:rPr>
                        <w:t xml:space="preserve"> </w:t>
                      </w:r>
                      <w:r w:rsidRPr="00CE0D1A">
                        <w:rPr>
                          <w:rFonts w:asciiTheme="minorHAnsi" w:hAnsiTheme="minorHAnsi" w:cstheme="minorHAnsi"/>
                          <w:b/>
                          <w:sz w:val="22"/>
                          <w:szCs w:val="22"/>
                        </w:rPr>
                        <w:t>за пружање услуга</w:t>
                      </w:r>
                      <w:r w:rsidRPr="00CE0D1A">
                        <w:rPr>
                          <w:rFonts w:asciiTheme="minorHAnsi" w:hAnsiTheme="minorHAnsi" w:cstheme="minorHAnsi"/>
                          <w:sz w:val="22"/>
                          <w:szCs w:val="22"/>
                        </w:rPr>
                        <w:t xml:space="preserve"> традиционално и дигитално</w:t>
                      </w:r>
                    </w:p>
                  </w:txbxContent>
                </v:textbox>
              </v:roundrect>
            </w:pict>
          </mc:Fallback>
        </mc:AlternateContent>
      </w:r>
      <w:r w:rsidR="0025533D" w:rsidRPr="000F0299">
        <w:rPr>
          <w:rFonts w:ascii="Calibri" w:hAnsi="Calibri"/>
          <w:noProof/>
          <w:sz w:val="20"/>
          <w:lang w:val="en-US" w:eastAsia="en-US" w:bidi="ar-SA"/>
        </w:rPr>
        <mc:AlternateContent>
          <mc:Choice Requires="wps">
            <w:drawing>
              <wp:anchor distT="0" distB="0" distL="114300" distR="114300" simplePos="0" relativeHeight="251499008" behindDoc="0" locked="0" layoutInCell="1" allowOverlap="1" wp14:anchorId="7FC48B7E" wp14:editId="3ABBAC89">
                <wp:simplePos x="0" y="0"/>
                <wp:positionH relativeFrom="column">
                  <wp:posOffset>3450772</wp:posOffset>
                </wp:positionH>
                <wp:positionV relativeFrom="paragraph">
                  <wp:posOffset>166007</wp:posOffset>
                </wp:positionV>
                <wp:extent cx="1505585" cy="1774825"/>
                <wp:effectExtent l="19050" t="19050" r="18415" b="15875"/>
                <wp:wrapNone/>
                <wp:docPr id="349" name="Text Box 349"/>
                <wp:cNvGraphicFramePr/>
                <a:graphic xmlns:a="http://schemas.openxmlformats.org/drawingml/2006/main">
                  <a:graphicData uri="http://schemas.microsoft.com/office/word/2010/wordprocessingShape">
                    <wps:wsp>
                      <wps:cNvSpPr txBox="1"/>
                      <wps:spPr>
                        <a:xfrm>
                          <a:off x="0" y="0"/>
                          <a:ext cx="1505585" cy="1774825"/>
                        </a:xfrm>
                        <a:prstGeom prst="roundRect">
                          <a:avLst/>
                        </a:prstGeom>
                        <a:solidFill>
                          <a:sysClr val="window" lastClr="FFFFFF"/>
                        </a:solidFill>
                        <a:ln w="28575">
                          <a:solidFill>
                            <a:schemeClr val="accent5">
                              <a:lumMod val="40000"/>
                              <a:lumOff val="60000"/>
                            </a:schemeClr>
                          </a:solidFill>
                        </a:ln>
                        <a:effectLst/>
                      </wps:spPr>
                      <wps:txbx>
                        <w:txbxContent>
                          <w:p w14:paraId="61DD17FF" w14:textId="1A91A1FF" w:rsidR="00876FFE" w:rsidRPr="00CE0D1A" w:rsidRDefault="00876FFE" w:rsidP="0025533D">
                            <w:pPr>
                              <w:pStyle w:val="NormalWeb"/>
                              <w:spacing w:before="0" w:beforeAutospacing="0" w:after="120" w:afterAutospacing="0" w:line="216" w:lineRule="auto"/>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 xml:space="preserve">Ефикасно пружање услуга грађанима и другим крајњим корисницима, употребом савремених техничких </w:t>
                            </w:r>
                            <w:r w:rsidRPr="00CE0D1A">
                              <w:rPr>
                                <w:rFonts w:asciiTheme="minorHAnsi" w:eastAsia="Calibri" w:hAnsiTheme="minorHAnsi" w:cstheme="minorHAnsi"/>
                                <w:b/>
                                <w:sz w:val="22"/>
                                <w:szCs w:val="22"/>
                                <w:lang w:val="sr-Cyrl-RS"/>
                              </w:rPr>
                              <w:t>алата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C48B7E" id="Text Box 349" o:spid="_x0000_s1269" style="position:absolute;left:0;text-align:left;margin-left:271.7pt;margin-top:13.05pt;width:118.55pt;height:139.75pt;z-index:25149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" fillcolor="window" strokecolor="#bdd6ee [1304]" strokeweight="2.25pt">
                <v:textbox>
                  <w:txbxContent>
                    <w:p w14:paraId="61DD17FF" w14:textId="1A91A1FF" w:rsidR="00876FFE" w:rsidRPr="00CE0D1A" w:rsidRDefault="00876FFE" w:rsidP="0025533D">
                      <w:pPr>
                        <w:pStyle w:val="NormalWeb"/>
                        <w:spacing w:before="0" w:beforeAutospacing="0" w:after="120" w:afterAutospacing="0" w:line="216" w:lineRule="auto"/>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 xml:space="preserve">Ефикасно </w:t>
                      </w:r>
                      <w:r w:rsidRPr="00CE0D1A">
                        <w:rPr>
                          <w:rFonts w:asciiTheme="minorHAnsi" w:eastAsia="Calibri" w:hAnsiTheme="minorHAnsi" w:cstheme="minorHAnsi"/>
                          <w:sz w:val="22"/>
                          <w:szCs w:val="22"/>
                          <w:lang w:val="sr-Cyrl-RS"/>
                        </w:rPr>
                        <w:t xml:space="preserve">пружање услуга грађанима и другим крајњим корисницима, употребом савремених техничких </w:t>
                      </w:r>
                      <w:r w:rsidRPr="00CE0D1A">
                        <w:rPr>
                          <w:rFonts w:asciiTheme="minorHAnsi" w:eastAsia="Calibri" w:hAnsiTheme="minorHAnsi" w:cstheme="minorHAnsi"/>
                          <w:b/>
                          <w:sz w:val="22"/>
                          <w:szCs w:val="22"/>
                          <w:lang w:val="sr-Cyrl-RS"/>
                        </w:rPr>
                        <w:t>алата</w:t>
                      </w:r>
                    </w:p>
                  </w:txbxContent>
                </v:textbox>
              </v:roundrect>
            </w:pict>
          </mc:Fallback>
        </mc:AlternateContent>
      </w:r>
      <w:r w:rsidR="0025533D"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06176" behindDoc="0" locked="0" layoutInCell="1" allowOverlap="1" wp14:anchorId="09D28FEE" wp14:editId="4CD6DE82">
                <wp:simplePos x="0" y="0"/>
                <wp:positionH relativeFrom="column">
                  <wp:posOffset>-274864</wp:posOffset>
                </wp:positionH>
                <wp:positionV relativeFrom="paragraph">
                  <wp:posOffset>151403</wp:posOffset>
                </wp:positionV>
                <wp:extent cx="1505585" cy="1774825"/>
                <wp:effectExtent l="19050" t="19050" r="18415" b="15875"/>
                <wp:wrapNone/>
                <wp:docPr id="26" name="Text Box 26"/>
                <wp:cNvGraphicFramePr/>
                <a:graphic xmlns:a="http://schemas.openxmlformats.org/drawingml/2006/main">
                  <a:graphicData uri="http://schemas.microsoft.com/office/word/2010/wordprocessingShape">
                    <wps:wsp>
                      <wps:cNvSpPr txBox="1"/>
                      <wps:spPr>
                        <a:xfrm>
                          <a:off x="0" y="0"/>
                          <a:ext cx="1505585" cy="1774825"/>
                        </a:xfrm>
                        <a:prstGeom prst="roundRect">
                          <a:avLst/>
                        </a:prstGeom>
                        <a:solidFill>
                          <a:sysClr val="window" lastClr="FFFFFF"/>
                        </a:solidFill>
                        <a:ln w="28575">
                          <a:solidFill>
                            <a:schemeClr val="accent5">
                              <a:lumMod val="40000"/>
                              <a:lumOff val="60000"/>
                            </a:schemeClr>
                          </a:solidFill>
                        </a:ln>
                        <a:effectLst/>
                      </wps:spPr>
                      <wps:txbx>
                        <w:txbxContent>
                          <w:p w14:paraId="5C71328D" w14:textId="7B0E2CBB" w:rsidR="00876FFE" w:rsidRPr="00CE0D1A" w:rsidRDefault="00876FFE" w:rsidP="00B92E7C">
                            <w:pPr>
                              <w:pStyle w:val="NormalWeb"/>
                              <w:spacing w:before="0" w:beforeAutospacing="0" w:after="120" w:afterAutospacing="0" w:line="216" w:lineRule="auto"/>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b/>
                                <w:sz w:val="22"/>
                                <w:szCs w:val="22"/>
                                <w:lang w:val="sr-Cyrl-RS"/>
                              </w:rPr>
                              <w:t xml:space="preserve">Дигитализација </w:t>
                            </w:r>
                            <w:r w:rsidRPr="00CE0D1A">
                              <w:rPr>
                                <w:rFonts w:asciiTheme="minorHAnsi" w:eastAsia="Calibri" w:hAnsiTheme="minorHAnsi" w:cstheme="minorHAnsi"/>
                                <w:spacing w:val="-14"/>
                                <w:sz w:val="22"/>
                                <w:szCs w:val="22"/>
                                <w:lang w:val="sr-Cyrl-RS"/>
                              </w:rPr>
                              <w:t>административних</w:t>
                            </w:r>
                            <w:r w:rsidRPr="00CE0D1A">
                              <w:rPr>
                                <w:rFonts w:asciiTheme="minorHAnsi" w:eastAsia="Calibri" w:hAnsiTheme="minorHAnsi" w:cstheme="minorHAnsi"/>
                                <w:sz w:val="22"/>
                                <w:szCs w:val="22"/>
                                <w:lang w:val="sr-Cyrl-RS"/>
                              </w:rPr>
                              <w:t xml:space="preserve"> поступака</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D28FEE" id="Text Box 26" o:spid="_x0000_s1270" style="position:absolute;left:0;text-align:left;margin-left:-21.65pt;margin-top:11.9pt;width:118.55pt;height:139.75pt;z-index:251506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" fillcolor="window" strokecolor="#bdd6ee [1304]" strokeweight="2.25pt">
                <v:textbox inset="2mm,0,2mm,0">
                  <w:txbxContent>
                    <w:p w14:paraId="5C71328D" w14:textId="7B0E2CBB" w:rsidR="00876FFE" w:rsidRPr="00CE0D1A" w:rsidRDefault="00876FFE" w:rsidP="00B92E7C">
                      <w:pPr>
                        <w:pStyle w:val="NormalWeb"/>
                        <w:spacing w:before="0" w:beforeAutospacing="0" w:after="120" w:afterAutospacing="0" w:line="216" w:lineRule="auto"/>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b/>
                          <w:sz w:val="22"/>
                          <w:szCs w:val="22"/>
                          <w:lang w:val="sr-Cyrl-RS"/>
                        </w:rPr>
                        <w:t xml:space="preserve">Дигитализација </w:t>
                      </w:r>
                      <w:r w:rsidRPr="00CE0D1A">
                        <w:rPr>
                          <w:rFonts w:asciiTheme="minorHAnsi" w:eastAsia="Calibri" w:hAnsiTheme="minorHAnsi" w:cstheme="minorHAnsi"/>
                          <w:spacing w:val="-14"/>
                          <w:sz w:val="22"/>
                          <w:szCs w:val="22"/>
                          <w:lang w:val="sr-Cyrl-RS"/>
                        </w:rPr>
                        <w:t>административних</w:t>
                      </w:r>
                      <w:r w:rsidRPr="00CE0D1A">
                        <w:rPr>
                          <w:rFonts w:asciiTheme="minorHAnsi" w:eastAsia="Calibri" w:hAnsiTheme="minorHAnsi" w:cstheme="minorHAnsi"/>
                          <w:sz w:val="22"/>
                          <w:szCs w:val="22"/>
                          <w:lang w:val="sr-Cyrl-RS"/>
                        </w:rPr>
                        <w:t xml:space="preserve"> поступака</w:t>
                      </w:r>
                    </w:p>
                  </w:txbxContent>
                </v:textbox>
              </v:roundrect>
            </w:pict>
          </mc:Fallback>
        </mc:AlternateContent>
      </w:r>
      <w:r w:rsidR="0025533D"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07200" behindDoc="0" locked="0" layoutInCell="1" allowOverlap="1" wp14:anchorId="04EA3ACF" wp14:editId="6A22F9CA">
                <wp:simplePos x="0" y="0"/>
                <wp:positionH relativeFrom="column">
                  <wp:posOffset>1346853</wp:posOffset>
                </wp:positionH>
                <wp:positionV relativeFrom="paragraph">
                  <wp:posOffset>151227</wp:posOffset>
                </wp:positionV>
                <wp:extent cx="1755575" cy="1774767"/>
                <wp:effectExtent l="19050" t="19050" r="16510" b="16510"/>
                <wp:wrapNone/>
                <wp:docPr id="321" name="Text Box 321"/>
                <wp:cNvGraphicFramePr/>
                <a:graphic xmlns:a="http://schemas.openxmlformats.org/drawingml/2006/main">
                  <a:graphicData uri="http://schemas.microsoft.com/office/word/2010/wordprocessingShape">
                    <wps:wsp>
                      <wps:cNvSpPr txBox="1"/>
                      <wps:spPr>
                        <a:xfrm>
                          <a:off x="0" y="0"/>
                          <a:ext cx="1755575" cy="1774767"/>
                        </a:xfrm>
                        <a:prstGeom prst="roundRect">
                          <a:avLst/>
                        </a:prstGeom>
                        <a:solidFill>
                          <a:sysClr val="window" lastClr="FFFFFF"/>
                        </a:solidFill>
                        <a:ln w="28575">
                          <a:solidFill>
                            <a:schemeClr val="accent5">
                              <a:lumMod val="40000"/>
                              <a:lumOff val="60000"/>
                            </a:schemeClr>
                          </a:solidFill>
                        </a:ln>
                        <a:effectLst/>
                      </wps:spPr>
                      <wps:txbx>
                        <w:txbxContent>
                          <w:p w14:paraId="7DAD438E" w14:textId="77777777" w:rsidR="00876FFE" w:rsidRPr="00CE0D1A" w:rsidRDefault="00876FFE" w:rsidP="00B92E7C">
                            <w:pPr>
                              <w:ind w:firstLine="0"/>
                              <w:jc w:val="center"/>
                              <w:rPr>
                                <w:rFonts w:asciiTheme="minorHAnsi" w:hAnsiTheme="minorHAnsi" w:cstheme="minorHAnsi"/>
                                <w:sz w:val="22"/>
                                <w:szCs w:val="22"/>
                              </w:rPr>
                            </w:pPr>
                            <w:r w:rsidRPr="00CE0D1A">
                              <w:rPr>
                                <w:rFonts w:asciiTheme="minorHAnsi" w:hAnsiTheme="minorHAnsi" w:cstheme="minorHAnsi"/>
                                <w:sz w:val="22"/>
                                <w:szCs w:val="22"/>
                              </w:rPr>
                              <w:t xml:space="preserve">Успостављање </w:t>
                            </w:r>
                            <w:r w:rsidRPr="00CE0D1A">
                              <w:rPr>
                                <w:rFonts w:asciiTheme="minorHAnsi" w:hAnsiTheme="minorHAnsi" w:cstheme="minorHAnsi"/>
                                <w:b/>
                                <w:sz w:val="22"/>
                                <w:szCs w:val="22"/>
                              </w:rPr>
                              <w:t xml:space="preserve">стандарда </w:t>
                            </w:r>
                            <w:r w:rsidRPr="00CE0D1A">
                              <w:rPr>
                                <w:rFonts w:asciiTheme="minorHAnsi" w:hAnsiTheme="minorHAnsi" w:cstheme="minorHAnsi"/>
                                <w:sz w:val="22"/>
                                <w:szCs w:val="22"/>
                              </w:rPr>
                              <w:t>за успостављање јединствених управних места и успостављање јединствених управних места</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EA3ACF" id="Text Box 321" o:spid="_x0000_s1271" style="position:absolute;left:0;text-align:left;margin-left:106.05pt;margin-top:11.9pt;width:138.25pt;height:139.75pt;z-index:251507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" fillcolor="window" strokecolor="#bdd6ee [1304]" strokeweight="2.25pt">
                <v:textbox inset="2mm,0,2mm,0">
                  <w:txbxContent>
                    <w:p w14:paraId="7DAD438E" w14:textId="77777777" w:rsidR="00876FFE" w:rsidRPr="00CE0D1A" w:rsidRDefault="00876FFE" w:rsidP="00B92E7C">
                      <w:pPr>
                        <w:ind w:firstLine="0"/>
                        <w:jc w:val="center"/>
                        <w:rPr>
                          <w:rFonts w:asciiTheme="minorHAnsi" w:hAnsiTheme="minorHAnsi" w:cstheme="minorHAnsi"/>
                          <w:sz w:val="22"/>
                          <w:szCs w:val="22"/>
                        </w:rPr>
                      </w:pPr>
                      <w:r w:rsidRPr="00CE0D1A">
                        <w:rPr>
                          <w:rFonts w:asciiTheme="minorHAnsi" w:hAnsiTheme="minorHAnsi" w:cstheme="minorHAnsi"/>
                          <w:sz w:val="22"/>
                          <w:szCs w:val="22"/>
                        </w:rPr>
                        <w:t xml:space="preserve">Успостављање </w:t>
                      </w:r>
                      <w:r w:rsidRPr="00CE0D1A">
                        <w:rPr>
                          <w:rFonts w:asciiTheme="minorHAnsi" w:hAnsiTheme="minorHAnsi" w:cstheme="minorHAnsi"/>
                          <w:b/>
                          <w:sz w:val="22"/>
                          <w:szCs w:val="22"/>
                        </w:rPr>
                        <w:t xml:space="preserve">стандарда </w:t>
                      </w:r>
                      <w:r w:rsidRPr="00CE0D1A">
                        <w:rPr>
                          <w:rFonts w:asciiTheme="minorHAnsi" w:hAnsiTheme="minorHAnsi" w:cstheme="minorHAnsi"/>
                          <w:sz w:val="22"/>
                          <w:szCs w:val="22"/>
                        </w:rPr>
                        <w:t>за успостављање јединствених управних места и успостављање јединствених управних места</w:t>
                      </w:r>
                    </w:p>
                  </w:txbxContent>
                </v:textbox>
              </v:roundrect>
            </w:pict>
          </mc:Fallback>
        </mc:AlternateContent>
      </w:r>
    </w:p>
    <w:p w14:paraId="1DE38211" w14:textId="6C2DD3D4" w:rsidR="003F0CC2" w:rsidRPr="000F0299" w:rsidRDefault="003F0CC2" w:rsidP="003F0CC2">
      <w:pPr>
        <w:spacing w:after="0"/>
        <w:rPr>
          <w:rFonts w:ascii="Calibri" w:eastAsia="Times New Roman" w:hAnsi="Calibri"/>
          <w:sz w:val="20"/>
          <w:szCs w:val="20"/>
        </w:rPr>
      </w:pPr>
    </w:p>
    <w:p w14:paraId="3C018770" w14:textId="172952A8" w:rsidR="003F0CC2" w:rsidRPr="000F0299" w:rsidRDefault="003F0CC2" w:rsidP="003F0CC2">
      <w:pPr>
        <w:spacing w:after="0"/>
        <w:rPr>
          <w:rFonts w:ascii="Calibri" w:eastAsia="Times New Roman" w:hAnsi="Calibri"/>
          <w:sz w:val="20"/>
          <w:szCs w:val="20"/>
        </w:rPr>
      </w:pPr>
    </w:p>
    <w:p w14:paraId="21B5B58C" w14:textId="493560F4" w:rsidR="003F0CC2" w:rsidRPr="000F0299" w:rsidRDefault="003F0CC2" w:rsidP="003F0CC2">
      <w:pPr>
        <w:spacing w:after="0"/>
        <w:rPr>
          <w:rFonts w:ascii="Calibri" w:eastAsia="Times New Roman" w:hAnsi="Calibri"/>
          <w:sz w:val="20"/>
          <w:szCs w:val="20"/>
        </w:rPr>
      </w:pPr>
    </w:p>
    <w:p w14:paraId="530277E0" w14:textId="77777777" w:rsidR="003F0CC2" w:rsidRPr="000F0299" w:rsidRDefault="003F0CC2" w:rsidP="003F0CC2">
      <w:pPr>
        <w:spacing w:after="0"/>
        <w:rPr>
          <w:rFonts w:ascii="Calibri" w:eastAsia="Times New Roman" w:hAnsi="Calibri"/>
          <w:sz w:val="20"/>
          <w:szCs w:val="20"/>
        </w:rPr>
      </w:pPr>
    </w:p>
    <w:p w14:paraId="20BDB92C" w14:textId="466194B0" w:rsidR="003F0CC2" w:rsidRPr="000F0299" w:rsidRDefault="003F0CC2" w:rsidP="003F0CC2">
      <w:pPr>
        <w:spacing w:after="0"/>
        <w:rPr>
          <w:rFonts w:ascii="Calibri" w:eastAsia="Times New Roman" w:hAnsi="Calibri"/>
          <w:sz w:val="20"/>
          <w:szCs w:val="20"/>
        </w:rPr>
      </w:pPr>
    </w:p>
    <w:p w14:paraId="29759CEF" w14:textId="02464470" w:rsidR="003F0CC2" w:rsidRPr="000F0299" w:rsidRDefault="003F0CC2" w:rsidP="003F0CC2">
      <w:pPr>
        <w:spacing w:after="0"/>
        <w:rPr>
          <w:rFonts w:ascii="Calibri" w:eastAsia="Times New Roman" w:hAnsi="Calibri"/>
          <w:sz w:val="20"/>
          <w:szCs w:val="20"/>
        </w:rPr>
      </w:pPr>
    </w:p>
    <w:p w14:paraId="20124F66" w14:textId="77777777" w:rsidR="003F0CC2" w:rsidRPr="000F0299" w:rsidRDefault="003F0CC2" w:rsidP="003F0CC2">
      <w:pPr>
        <w:spacing w:after="0"/>
        <w:rPr>
          <w:rFonts w:ascii="Calibri" w:eastAsia="Times New Roman" w:hAnsi="Calibri"/>
          <w:sz w:val="20"/>
          <w:szCs w:val="20"/>
        </w:rPr>
      </w:pPr>
    </w:p>
    <w:p w14:paraId="797CB5F9" w14:textId="77EFBDEB" w:rsidR="003F0CC2" w:rsidRPr="000F0299" w:rsidRDefault="002D7924" w:rsidP="003F0CC2">
      <w:pPr>
        <w:spacing w:after="0"/>
        <w:rPr>
          <w:rFonts w:ascii="Calibri" w:eastAsia="Times New Roman" w:hAnsi="Calibri"/>
          <w:sz w:val="20"/>
          <w:szCs w:val="20"/>
        </w:rPr>
      </w:pPr>
      <w:r w:rsidRPr="000F0299">
        <w:rPr>
          <w:rFonts w:ascii="Calibri" w:hAnsi="Calibri"/>
          <w:noProof/>
          <w:sz w:val="20"/>
          <w:lang w:val="en-US" w:eastAsia="en-US" w:bidi="ar-SA"/>
        </w:rPr>
        <mc:AlternateContent>
          <mc:Choice Requires="wps">
            <w:drawing>
              <wp:anchor distT="0" distB="0" distL="114300" distR="114300" simplePos="0" relativeHeight="251501056" behindDoc="0" locked="0" layoutInCell="1" allowOverlap="1" wp14:anchorId="52670AAE" wp14:editId="5AD5AF0B">
                <wp:simplePos x="0" y="0"/>
                <wp:positionH relativeFrom="column">
                  <wp:posOffset>9474291</wp:posOffset>
                </wp:positionH>
                <wp:positionV relativeFrom="paragraph">
                  <wp:posOffset>99695</wp:posOffset>
                </wp:positionV>
                <wp:extent cx="0" cy="391795"/>
                <wp:effectExtent l="76200" t="0" r="57150" b="65405"/>
                <wp:wrapNone/>
                <wp:docPr id="333" name="Straight Arrow Connector 333"/>
                <wp:cNvGraphicFramePr/>
                <a:graphic xmlns:a="http://schemas.openxmlformats.org/drawingml/2006/main">
                  <a:graphicData uri="http://schemas.microsoft.com/office/word/2010/wordprocessingShape">
                    <wps:wsp>
                      <wps:cNvCnPr/>
                      <wps:spPr>
                        <a:xfrm>
                          <a:off x="0" y="0"/>
                          <a:ext cx="0" cy="391795"/>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CF7B3F" id="Straight Arrow Connector 333" o:spid="_x0000_s1026" type="#_x0000_t32" style="position:absolute;margin-left:746pt;margin-top:7.85pt;width:0;height:30.85pt;z-index:25150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" strokecolor="#9cc2e5 [1944]" strokeweight="1.5pt">
                <v:stroke endarrow="block" joinstyle="miter"/>
              </v:shape>
            </w:pict>
          </mc:Fallback>
        </mc:AlternateContent>
      </w:r>
      <w:r w:rsidR="0025533D"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24608" behindDoc="0" locked="0" layoutInCell="1" allowOverlap="1" wp14:anchorId="3CBD50E9" wp14:editId="52A93214">
                <wp:simplePos x="0" y="0"/>
                <wp:positionH relativeFrom="column">
                  <wp:posOffset>4180114</wp:posOffset>
                </wp:positionH>
                <wp:positionV relativeFrom="paragraph">
                  <wp:posOffset>78740</wp:posOffset>
                </wp:positionV>
                <wp:extent cx="0" cy="392374"/>
                <wp:effectExtent l="76200" t="0" r="57150" b="65405"/>
                <wp:wrapNone/>
                <wp:docPr id="332" name="Straight Arrow Connector 332"/>
                <wp:cNvGraphicFramePr/>
                <a:graphic xmlns:a="http://schemas.openxmlformats.org/drawingml/2006/main">
                  <a:graphicData uri="http://schemas.microsoft.com/office/word/2010/wordprocessingShape">
                    <wps:wsp>
                      <wps:cNvCnPr/>
                      <wps:spPr>
                        <a:xfrm>
                          <a:off x="0" y="0"/>
                          <a:ext cx="0" cy="392374"/>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BA718F" id="Straight Arrow Connector 332" o:spid="_x0000_s1026" type="#_x0000_t32" style="position:absolute;margin-left:329.15pt;margin-top:6.2pt;width:0;height:30.9pt;z-index:25152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" strokecolor="#9cc2e5 [1944]" strokeweight="1.5pt">
                <v:stroke endarrow="block" joinstyle="miter"/>
              </v:shape>
            </w:pict>
          </mc:Fallback>
        </mc:AlternateContent>
      </w:r>
      <w:r w:rsidR="0025533D"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10272" behindDoc="0" locked="0" layoutInCell="1" allowOverlap="1" wp14:anchorId="6BC68AD1" wp14:editId="3FF3177C">
                <wp:simplePos x="0" y="0"/>
                <wp:positionH relativeFrom="column">
                  <wp:posOffset>478971</wp:posOffset>
                </wp:positionH>
                <wp:positionV relativeFrom="paragraph">
                  <wp:posOffset>78740</wp:posOffset>
                </wp:positionV>
                <wp:extent cx="0" cy="391795"/>
                <wp:effectExtent l="76200" t="0" r="57150" b="65405"/>
                <wp:wrapNone/>
                <wp:docPr id="320" name="Straight Arrow Connector 320"/>
                <wp:cNvGraphicFramePr/>
                <a:graphic xmlns:a="http://schemas.openxmlformats.org/drawingml/2006/main">
                  <a:graphicData uri="http://schemas.microsoft.com/office/word/2010/wordprocessingShape">
                    <wps:wsp>
                      <wps:cNvCnPr/>
                      <wps:spPr>
                        <a:xfrm>
                          <a:off x="0" y="0"/>
                          <a:ext cx="0" cy="391795"/>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5A1BFF" id="Straight Arrow Connector 320" o:spid="_x0000_s1026" type="#_x0000_t32" style="position:absolute;margin-left:37.7pt;margin-top:6.2pt;width:0;height:30.85pt;z-index:25151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" strokecolor="#9cc2e5 [1944]" strokeweight="1.5pt">
                <v:stroke endarrow="block" joinstyle="miter"/>
              </v:shape>
            </w:pict>
          </mc:Fallback>
        </mc:AlternateContent>
      </w:r>
    </w:p>
    <w:p w14:paraId="405DFAF5" w14:textId="31559C74" w:rsidR="003F0CC2" w:rsidRPr="000F0299" w:rsidRDefault="0025533D" w:rsidP="003F0CC2">
      <w:pPr>
        <w:spacing w:after="0"/>
        <w:rPr>
          <w:rFonts w:ascii="Calibri" w:eastAsia="Times New Roman" w:hAnsi="Calibri"/>
          <w:sz w:val="20"/>
          <w:szCs w:val="20"/>
        </w:rPr>
      </w:pPr>
      <w:r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08224" behindDoc="0" locked="0" layoutInCell="1" allowOverlap="1" wp14:anchorId="3C5FE79B" wp14:editId="6BD8D14D">
                <wp:simplePos x="0" y="0"/>
                <wp:positionH relativeFrom="column">
                  <wp:posOffset>-263981</wp:posOffset>
                </wp:positionH>
                <wp:positionV relativeFrom="paragraph">
                  <wp:posOffset>247204</wp:posOffset>
                </wp:positionV>
                <wp:extent cx="1676400" cy="1135282"/>
                <wp:effectExtent l="19050" t="19050" r="19050" b="27305"/>
                <wp:wrapNone/>
                <wp:docPr id="318" name="Text Box 318"/>
                <wp:cNvGraphicFramePr/>
                <a:graphic xmlns:a="http://schemas.openxmlformats.org/drawingml/2006/main">
                  <a:graphicData uri="http://schemas.microsoft.com/office/word/2010/wordprocessingShape">
                    <wps:wsp>
                      <wps:cNvSpPr txBox="1"/>
                      <wps:spPr>
                        <a:xfrm>
                          <a:off x="0" y="0"/>
                          <a:ext cx="1676400" cy="1135282"/>
                        </a:xfrm>
                        <a:prstGeom prst="roundRect">
                          <a:avLst/>
                        </a:prstGeom>
                        <a:solidFill>
                          <a:sysClr val="window" lastClr="FFFFFF"/>
                        </a:solidFill>
                        <a:ln w="28575">
                          <a:solidFill>
                            <a:schemeClr val="accent5">
                              <a:lumMod val="40000"/>
                              <a:lumOff val="60000"/>
                            </a:schemeClr>
                          </a:solidFill>
                        </a:ln>
                        <a:effectLst/>
                      </wps:spPr>
                      <wps:txbx>
                        <w:txbxContent>
                          <w:p w14:paraId="14596C9B" w14:textId="69D701C2" w:rsidR="00876FFE" w:rsidRPr="00CE0D1A" w:rsidRDefault="00876FFE" w:rsidP="0025533D">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Поједностављење управних поступака процедура</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C5FE79B" id="Text Box 318" o:spid="_x0000_s1272" style="position:absolute;left:0;text-align:left;margin-left:-20.8pt;margin-top:19.45pt;width:132pt;height:89.4pt;z-index:251508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" fillcolor="window" strokecolor="#bdd6ee [1304]" strokeweight="2.25pt">
                <v:textbox inset="2mm,0,2mm,0">
                  <w:txbxContent>
                    <w:p w14:paraId="14596C9B" w14:textId="69D701C2" w:rsidR="00876FFE" w:rsidRPr="00CE0D1A" w:rsidRDefault="00876FFE" w:rsidP="0025533D">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 xml:space="preserve">Поједностављење </w:t>
                      </w:r>
                      <w:r w:rsidRPr="00CE0D1A">
                        <w:rPr>
                          <w:rFonts w:asciiTheme="minorHAnsi" w:eastAsia="Calibri" w:hAnsiTheme="minorHAnsi" w:cstheme="minorHAnsi"/>
                          <w:sz w:val="22"/>
                          <w:szCs w:val="22"/>
                          <w:lang w:val="sr-Cyrl-RS"/>
                        </w:rPr>
                        <w:t>управних поступака процедура</w:t>
                      </w:r>
                    </w:p>
                  </w:txbxContent>
                </v:textbox>
              </v:roundrect>
            </w:pict>
          </mc:Fallback>
        </mc:AlternateContent>
      </w:r>
    </w:p>
    <w:p w14:paraId="70715940" w14:textId="50176040" w:rsidR="003F0CC2" w:rsidRPr="000F0299" w:rsidRDefault="00EB61A8" w:rsidP="003F0CC2">
      <w:pPr>
        <w:spacing w:after="0"/>
        <w:rPr>
          <w:rFonts w:ascii="Calibri" w:eastAsia="Times New Roman" w:hAnsi="Calibri"/>
          <w:sz w:val="20"/>
          <w:szCs w:val="20"/>
        </w:rPr>
      </w:pPr>
      <w:r w:rsidRPr="000F0299">
        <w:rPr>
          <w:rFonts w:ascii="Calibri" w:hAnsi="Calibri"/>
          <w:noProof/>
          <w:sz w:val="20"/>
          <w:lang w:val="en-US" w:eastAsia="en-US" w:bidi="ar-SA"/>
        </w:rPr>
        <mc:AlternateContent>
          <mc:Choice Requires="wps">
            <w:drawing>
              <wp:anchor distT="0" distB="0" distL="114300" distR="114300" simplePos="0" relativeHeight="251500032" behindDoc="0" locked="0" layoutInCell="1" allowOverlap="1" wp14:anchorId="21F87D46" wp14:editId="77E26E55">
                <wp:simplePos x="0" y="0"/>
                <wp:positionH relativeFrom="column">
                  <wp:posOffset>8747760</wp:posOffset>
                </wp:positionH>
                <wp:positionV relativeFrom="paragraph">
                  <wp:posOffset>35560</wp:posOffset>
                </wp:positionV>
                <wp:extent cx="1504950" cy="2324100"/>
                <wp:effectExtent l="19050" t="19050" r="19050" b="19050"/>
                <wp:wrapNone/>
                <wp:docPr id="330" name="Text Box 330"/>
                <wp:cNvGraphicFramePr/>
                <a:graphic xmlns:a="http://schemas.openxmlformats.org/drawingml/2006/main">
                  <a:graphicData uri="http://schemas.microsoft.com/office/word/2010/wordprocessingShape">
                    <wps:wsp>
                      <wps:cNvSpPr txBox="1"/>
                      <wps:spPr>
                        <a:xfrm>
                          <a:off x="0" y="0"/>
                          <a:ext cx="1504950" cy="2324100"/>
                        </a:xfrm>
                        <a:prstGeom prst="roundRect">
                          <a:avLst/>
                        </a:prstGeom>
                        <a:solidFill>
                          <a:sysClr val="window" lastClr="FFFFFF"/>
                        </a:solidFill>
                        <a:ln w="28575">
                          <a:solidFill>
                            <a:schemeClr val="accent5">
                              <a:lumMod val="40000"/>
                              <a:lumOff val="60000"/>
                            </a:schemeClr>
                          </a:solidFill>
                        </a:ln>
                        <a:effectLst/>
                      </wps:spPr>
                      <wps:txbx>
                        <w:txbxContent>
                          <w:p w14:paraId="2005D003" w14:textId="34C73AE4" w:rsidR="00876FFE" w:rsidRPr="00CE0D1A" w:rsidRDefault="00876FFE" w:rsidP="0025533D">
                            <w:pPr>
                              <w:spacing w:after="0"/>
                              <w:ind w:firstLine="0"/>
                              <w:jc w:val="center"/>
                              <w:rPr>
                                <w:rFonts w:asciiTheme="minorHAnsi" w:hAnsiTheme="minorHAnsi" w:cstheme="minorHAnsi"/>
                                <w:sz w:val="22"/>
                                <w:szCs w:val="22"/>
                              </w:rPr>
                            </w:pPr>
                            <w:r w:rsidRPr="00CE0D1A">
                              <w:rPr>
                                <w:rFonts w:asciiTheme="minorHAnsi" w:hAnsiTheme="minorHAnsi" w:cstheme="minorHAnsi"/>
                                <w:sz w:val="22"/>
                                <w:szCs w:val="22"/>
                              </w:rPr>
                              <w:t>Успостављање посебне јединице/ организације за обезбеђење квалитета пружања јавних услуга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F87D46" id="Text Box 330" o:spid="_x0000_s1273" style="position:absolute;left:0;text-align:left;margin-left:688.8pt;margin-top:2.8pt;width:118.5pt;height:183pt;z-index:25150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" fillcolor="window" strokecolor="#bdd6ee [1304]" strokeweight="2.25pt">
                <v:textbox>
                  <w:txbxContent>
                    <w:p w14:paraId="2005D003" w14:textId="34C73AE4" w:rsidR="00876FFE" w:rsidRPr="00CE0D1A" w:rsidRDefault="00876FFE" w:rsidP="0025533D">
                      <w:pPr>
                        <w:spacing w:after="0"/>
                        <w:ind w:firstLine="0"/>
                        <w:jc w:val="center"/>
                        <w:rPr>
                          <w:rFonts w:asciiTheme="minorHAnsi" w:hAnsiTheme="minorHAnsi" w:cstheme="minorHAnsi"/>
                          <w:sz w:val="22"/>
                          <w:szCs w:val="22"/>
                        </w:rPr>
                      </w:pPr>
                      <w:r w:rsidRPr="00CE0D1A">
                        <w:rPr>
                          <w:rFonts w:asciiTheme="minorHAnsi" w:hAnsiTheme="minorHAnsi" w:cstheme="minorHAnsi"/>
                          <w:sz w:val="22"/>
                          <w:szCs w:val="22"/>
                        </w:rPr>
                        <w:t xml:space="preserve">Успостављање </w:t>
                      </w:r>
                      <w:r w:rsidRPr="00CE0D1A">
                        <w:rPr>
                          <w:rFonts w:asciiTheme="minorHAnsi" w:hAnsiTheme="minorHAnsi" w:cstheme="minorHAnsi"/>
                          <w:sz w:val="22"/>
                          <w:szCs w:val="22"/>
                        </w:rPr>
                        <w:t>посебне јединице/ организације за обезбеђење квалитета пружања јавних услуга</w:t>
                      </w:r>
                    </w:p>
                  </w:txbxContent>
                </v:textbox>
              </v:roundrect>
            </w:pict>
          </mc:Fallback>
        </mc:AlternateContent>
      </w:r>
      <w:r w:rsidRPr="000F0299">
        <w:rPr>
          <w:rFonts w:ascii="Calibri" w:eastAsia="Times New Roman" w:hAnsi="Calibri"/>
          <w:noProof/>
          <w:sz w:val="20"/>
          <w:szCs w:val="20"/>
          <w:lang w:val="en-US" w:eastAsia="en-US" w:bidi="ar-SA"/>
        </w:rPr>
        <mc:AlternateContent>
          <mc:Choice Requires="wps">
            <w:drawing>
              <wp:anchor distT="0" distB="0" distL="114300" distR="114300" simplePos="0" relativeHeight="251525632" behindDoc="0" locked="0" layoutInCell="1" allowOverlap="1" wp14:anchorId="1FF751FC" wp14:editId="44AF9A5B">
                <wp:simplePos x="0" y="0"/>
                <wp:positionH relativeFrom="column">
                  <wp:posOffset>3429000</wp:posOffset>
                </wp:positionH>
                <wp:positionV relativeFrom="paragraph">
                  <wp:posOffset>5080</wp:posOffset>
                </wp:positionV>
                <wp:extent cx="1504315" cy="1844040"/>
                <wp:effectExtent l="19050" t="19050" r="19685" b="22860"/>
                <wp:wrapNone/>
                <wp:docPr id="331" name="Text Box 331"/>
                <wp:cNvGraphicFramePr/>
                <a:graphic xmlns:a="http://schemas.openxmlformats.org/drawingml/2006/main">
                  <a:graphicData uri="http://schemas.microsoft.com/office/word/2010/wordprocessingShape">
                    <wps:wsp>
                      <wps:cNvSpPr txBox="1"/>
                      <wps:spPr>
                        <a:xfrm>
                          <a:off x="0" y="0"/>
                          <a:ext cx="1504315" cy="1844040"/>
                        </a:xfrm>
                        <a:prstGeom prst="roundRect">
                          <a:avLst/>
                        </a:prstGeom>
                        <a:solidFill>
                          <a:sysClr val="window" lastClr="FFFFFF"/>
                        </a:solidFill>
                        <a:ln w="28575">
                          <a:solidFill>
                            <a:schemeClr val="accent5">
                              <a:lumMod val="40000"/>
                              <a:lumOff val="60000"/>
                            </a:schemeClr>
                          </a:solidFill>
                        </a:ln>
                        <a:effectLst/>
                      </wps:spPr>
                      <wps:txbx>
                        <w:txbxContent>
                          <w:p w14:paraId="0698B1B5" w14:textId="47B7EEF1" w:rsidR="00876FFE" w:rsidRPr="00CE0D1A" w:rsidRDefault="00876FFE" w:rsidP="0025533D">
                            <w:pPr>
                              <w:pStyle w:val="NormalWeb"/>
                              <w:spacing w:before="0" w:beforeAutospacing="0" w:after="120" w:afterAutospacing="0"/>
                              <w:ind w:firstLine="0"/>
                              <w:jc w:val="center"/>
                              <w:rPr>
                                <w:rFonts w:asciiTheme="minorHAnsi" w:hAnsiTheme="minorHAnsi" w:cstheme="minorHAnsi"/>
                                <w:sz w:val="22"/>
                                <w:szCs w:val="22"/>
                              </w:rPr>
                            </w:pPr>
                            <w:r w:rsidRPr="00CE0D1A">
                              <w:rPr>
                                <w:rFonts w:asciiTheme="minorHAnsi" w:eastAsia="Calibri" w:hAnsiTheme="minorHAnsi" w:cstheme="minorHAnsi"/>
                                <w:sz w:val="22"/>
                                <w:szCs w:val="22"/>
                                <w:lang w:val="sr-Cyrl-RS"/>
                              </w:rPr>
                              <w:t>Развој техничких и међуљудских вештина државних службеника за пружање услуга крајњим корисницима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F751FC" id="Text Box 331" o:spid="_x0000_s1274" style="position:absolute;left:0;text-align:left;margin-left:270pt;margin-top:.4pt;width:118.45pt;height:145.2pt;z-index:25152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" fillcolor="window" strokecolor="#bdd6ee [1304]" strokeweight="2.25pt">
                <v:textbox>
                  <w:txbxContent>
                    <w:p w14:paraId="0698B1B5" w14:textId="47B7EEF1" w:rsidR="00876FFE" w:rsidRPr="00CE0D1A" w:rsidRDefault="00876FFE" w:rsidP="0025533D">
                      <w:pPr>
                        <w:pStyle w:val="NormalWeb"/>
                        <w:spacing w:before="0" w:beforeAutospacing="0" w:after="120" w:afterAutospacing="0"/>
                        <w:ind w:firstLine="0"/>
                        <w:jc w:val="center"/>
                        <w:rPr>
                          <w:rFonts w:asciiTheme="minorHAnsi" w:hAnsiTheme="minorHAnsi" w:cstheme="minorHAnsi"/>
                          <w:sz w:val="22"/>
                          <w:szCs w:val="22"/>
                        </w:rPr>
                      </w:pPr>
                      <w:r w:rsidRPr="00CE0D1A">
                        <w:rPr>
                          <w:rFonts w:asciiTheme="minorHAnsi" w:eastAsia="Calibri" w:hAnsiTheme="minorHAnsi" w:cstheme="minorHAnsi"/>
                          <w:sz w:val="22"/>
                          <w:szCs w:val="22"/>
                          <w:lang w:val="sr-Cyrl-RS"/>
                        </w:rPr>
                        <w:t xml:space="preserve">Развој </w:t>
                      </w:r>
                      <w:r w:rsidRPr="00CE0D1A">
                        <w:rPr>
                          <w:rFonts w:asciiTheme="minorHAnsi" w:eastAsia="Calibri" w:hAnsiTheme="minorHAnsi" w:cstheme="minorHAnsi"/>
                          <w:sz w:val="22"/>
                          <w:szCs w:val="22"/>
                          <w:lang w:val="sr-Cyrl-RS"/>
                        </w:rPr>
                        <w:t>техничких и међуљудских вештина државних службеника за пружање услуга крајњим корисницима</w:t>
                      </w:r>
                    </w:p>
                  </w:txbxContent>
                </v:textbox>
              </v:roundrect>
            </w:pict>
          </mc:Fallback>
        </mc:AlternateContent>
      </w:r>
      <w:r w:rsidR="002D7924" w:rsidRPr="000F0299">
        <w:rPr>
          <w:rFonts w:ascii="Calibri" w:hAnsi="Calibri"/>
          <w:noProof/>
          <w:sz w:val="20"/>
          <w:lang w:val="en-US" w:eastAsia="en-US" w:bidi="ar-SA"/>
        </w:rPr>
        <mc:AlternateContent>
          <mc:Choice Requires="wps">
            <w:drawing>
              <wp:anchor distT="0" distB="0" distL="114300" distR="114300" simplePos="0" relativeHeight="251527680" behindDoc="0" locked="0" layoutInCell="1" allowOverlap="1" wp14:anchorId="6B377199" wp14:editId="1FC1690E">
                <wp:simplePos x="0" y="0"/>
                <wp:positionH relativeFrom="column">
                  <wp:posOffset>10382250</wp:posOffset>
                </wp:positionH>
                <wp:positionV relativeFrom="paragraph">
                  <wp:posOffset>24674</wp:posOffset>
                </wp:positionV>
                <wp:extent cx="1714500" cy="2343150"/>
                <wp:effectExtent l="19050" t="19050" r="19050" b="19050"/>
                <wp:wrapNone/>
                <wp:docPr id="354" name="Text Box 354"/>
                <wp:cNvGraphicFramePr/>
                <a:graphic xmlns:a="http://schemas.openxmlformats.org/drawingml/2006/main">
                  <a:graphicData uri="http://schemas.microsoft.com/office/word/2010/wordprocessingShape">
                    <wps:wsp>
                      <wps:cNvSpPr txBox="1"/>
                      <wps:spPr>
                        <a:xfrm>
                          <a:off x="0" y="0"/>
                          <a:ext cx="1714500" cy="2343150"/>
                        </a:xfrm>
                        <a:prstGeom prst="roundRect">
                          <a:avLst/>
                        </a:prstGeom>
                        <a:solidFill>
                          <a:sysClr val="window" lastClr="FFFFFF"/>
                        </a:solidFill>
                        <a:ln w="28575">
                          <a:solidFill>
                            <a:schemeClr val="accent5">
                              <a:lumMod val="40000"/>
                              <a:lumOff val="60000"/>
                            </a:schemeClr>
                          </a:solidFill>
                        </a:ln>
                        <a:effectLst/>
                      </wps:spPr>
                      <wps:txbx>
                        <w:txbxContent>
                          <w:p w14:paraId="3561F9BE" w14:textId="77777777" w:rsidR="00876FFE" w:rsidRPr="00CE0D1A" w:rsidRDefault="00876FFE" w:rsidP="002D7924">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Успостављен правни оквир којим се прописује формирање свеобухватне и ажурне електронске евиденције административних поступака/услуга у форми јавног регистра</w:t>
                            </w:r>
                          </w:p>
                          <w:p w14:paraId="0AB6AFBD" w14:textId="77777777" w:rsidR="00876FFE" w:rsidRPr="00CE0D1A" w:rsidRDefault="00876FFE" w:rsidP="002D7924">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377199" id="Text Box 354" o:spid="_x0000_s1275" style="position:absolute;left:0;text-align:left;margin-left:817.5pt;margin-top:1.95pt;width:135pt;height:184.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" fillcolor="window" strokecolor="#bdd6ee [1304]" strokeweight="2.25pt">
                <v:textbox>
                  <w:txbxContent>
                    <w:p w14:paraId="3561F9BE" w14:textId="77777777" w:rsidR="00876FFE" w:rsidRPr="00CE0D1A" w:rsidRDefault="00876FFE" w:rsidP="002D7924">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 xml:space="preserve">Успостављен </w:t>
                      </w:r>
                      <w:r w:rsidRPr="00CE0D1A">
                        <w:rPr>
                          <w:rFonts w:asciiTheme="minorHAnsi" w:eastAsia="Calibri" w:hAnsiTheme="minorHAnsi" w:cstheme="minorHAnsi"/>
                          <w:sz w:val="22"/>
                          <w:szCs w:val="22"/>
                          <w:lang w:val="sr-Cyrl-RS"/>
                        </w:rPr>
                        <w:t>правни оквир којим се прописује формирање свеобухватне и ажурне електронске евиденције административних поступака/услуга у форми јавног регистра</w:t>
                      </w:r>
                    </w:p>
                    <w:p w14:paraId="0AB6AFBD" w14:textId="77777777" w:rsidR="00876FFE" w:rsidRPr="00CE0D1A" w:rsidRDefault="00876FFE" w:rsidP="002D7924">
                      <w:pPr>
                        <w:rPr>
                          <w:rFonts w:asciiTheme="minorHAnsi" w:hAnsiTheme="minorHAnsi" w:cstheme="minorHAnsi"/>
                          <w:sz w:val="22"/>
                          <w:szCs w:val="22"/>
                        </w:rPr>
                      </w:pPr>
                    </w:p>
                  </w:txbxContent>
                </v:textbox>
              </v:roundrect>
            </w:pict>
          </mc:Fallback>
        </mc:AlternateContent>
      </w:r>
    </w:p>
    <w:p w14:paraId="4779DAB2" w14:textId="77777777" w:rsidR="003F0CC2" w:rsidRPr="000F0299" w:rsidRDefault="003F0CC2" w:rsidP="003F0CC2">
      <w:pPr>
        <w:spacing w:after="0"/>
        <w:rPr>
          <w:rFonts w:ascii="Calibri" w:eastAsia="Times New Roman" w:hAnsi="Calibri"/>
          <w:sz w:val="20"/>
          <w:szCs w:val="20"/>
        </w:rPr>
      </w:pPr>
    </w:p>
    <w:p w14:paraId="28C7AE9D" w14:textId="77777777" w:rsidR="003F0CC2" w:rsidRPr="000F0299" w:rsidRDefault="003F0CC2" w:rsidP="003F0CC2">
      <w:pPr>
        <w:spacing w:after="0"/>
        <w:rPr>
          <w:rFonts w:ascii="Calibri" w:eastAsia="Times New Roman" w:hAnsi="Calibri"/>
          <w:sz w:val="20"/>
          <w:szCs w:val="20"/>
        </w:rPr>
      </w:pPr>
    </w:p>
    <w:p w14:paraId="0F828F9C" w14:textId="77777777" w:rsidR="003F0CC2" w:rsidRPr="000F0299" w:rsidRDefault="003F0CC2" w:rsidP="003F0CC2">
      <w:pPr>
        <w:spacing w:after="0"/>
        <w:rPr>
          <w:rFonts w:ascii="Calibri" w:eastAsia="Times New Roman" w:hAnsi="Calibri"/>
          <w:sz w:val="20"/>
          <w:szCs w:val="20"/>
        </w:rPr>
      </w:pPr>
    </w:p>
    <w:p w14:paraId="6E3D1CE1" w14:textId="2A503284" w:rsidR="008D7AAF" w:rsidRPr="000F0299" w:rsidRDefault="0025533D" w:rsidP="00244E7C">
      <w:r w:rsidRPr="000F0299">
        <w:rPr>
          <w:noProof/>
          <w:lang w:val="en-US" w:eastAsia="en-US" w:bidi="ar-SA"/>
        </w:rPr>
        <mc:AlternateContent>
          <mc:Choice Requires="wps">
            <w:drawing>
              <wp:anchor distT="0" distB="0" distL="114300" distR="114300" simplePos="0" relativeHeight="251512320" behindDoc="0" locked="0" layoutInCell="1" allowOverlap="1" wp14:anchorId="42C7697F" wp14:editId="59E80950">
                <wp:simplePos x="0" y="0"/>
                <wp:positionH relativeFrom="column">
                  <wp:posOffset>478790</wp:posOffset>
                </wp:positionH>
                <wp:positionV relativeFrom="paragraph">
                  <wp:posOffset>238760</wp:posOffset>
                </wp:positionV>
                <wp:extent cx="0" cy="391795"/>
                <wp:effectExtent l="76200" t="0" r="57150" b="65405"/>
                <wp:wrapNone/>
                <wp:docPr id="335" name="Straight Arrow Connector 335"/>
                <wp:cNvGraphicFramePr/>
                <a:graphic xmlns:a="http://schemas.openxmlformats.org/drawingml/2006/main">
                  <a:graphicData uri="http://schemas.microsoft.com/office/word/2010/wordprocessingShape">
                    <wps:wsp>
                      <wps:cNvCnPr/>
                      <wps:spPr>
                        <a:xfrm>
                          <a:off x="0" y="0"/>
                          <a:ext cx="0" cy="391795"/>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9376A4" id="Straight Arrow Connector 335" o:spid="_x0000_s1026" type="#_x0000_t32" style="position:absolute;margin-left:37.7pt;margin-top:18.8pt;width:0;height:30.85pt;z-index:25151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" strokecolor="#9cc2e5 [1944]" strokeweight="1.5pt">
                <v:stroke endarrow="block" joinstyle="miter"/>
              </v:shape>
            </w:pict>
          </mc:Fallback>
        </mc:AlternateContent>
      </w:r>
      <w:r w:rsidRPr="000F0299">
        <w:rPr>
          <w:noProof/>
          <w:lang w:val="en-US" w:eastAsia="en-US" w:bidi="ar-SA"/>
        </w:rPr>
        <mc:AlternateContent>
          <mc:Choice Requires="wps">
            <w:drawing>
              <wp:anchor distT="0" distB="0" distL="114300" distR="114300" simplePos="0" relativeHeight="251517440" behindDoc="0" locked="0" layoutInCell="1" allowOverlap="1" wp14:anchorId="199E32B0" wp14:editId="35BA29FD">
                <wp:simplePos x="0" y="0"/>
                <wp:positionH relativeFrom="column">
                  <wp:posOffset>478790</wp:posOffset>
                </wp:positionH>
                <wp:positionV relativeFrom="paragraph">
                  <wp:posOffset>413385</wp:posOffset>
                </wp:positionV>
                <wp:extent cx="1636395" cy="0"/>
                <wp:effectExtent l="0" t="0" r="0" b="0"/>
                <wp:wrapNone/>
                <wp:docPr id="336" name="Straight Connector 336"/>
                <wp:cNvGraphicFramePr/>
                <a:graphic xmlns:a="http://schemas.openxmlformats.org/drawingml/2006/main">
                  <a:graphicData uri="http://schemas.microsoft.com/office/word/2010/wordprocessingShape">
                    <wps:wsp>
                      <wps:cNvCnPr/>
                      <wps:spPr>
                        <a:xfrm>
                          <a:off x="0" y="0"/>
                          <a:ext cx="1636395" cy="0"/>
                        </a:xfrm>
                        <a:prstGeom prst="line">
                          <a:avLst/>
                        </a:prstGeom>
                        <a:noFill/>
                        <a:ln w="19050" cap="flat" cmpd="sng" algn="ctr">
                          <a:solidFill>
                            <a:schemeClr val="accent5">
                              <a:lumMod val="60000"/>
                              <a:lumOff val="40000"/>
                            </a:schemeClr>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B86613" id="Straight Connector 336" o:spid="_x0000_s1026" style="position:absolute;z-index:251517440;visibility:visible;mso-wrap-style:square;mso-wrap-distance-left:9pt;mso-wrap-distance-top:0;mso-wrap-distance-right:9pt;mso-wrap-distance-bottom:0;mso-position-horizontal:absolute;mso-position-horizontal-relative:text;mso-position-vertical:absolute;mso-position-vertical-relative:text" from="37.7pt,32.55pt" to="166.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" strokecolor="#9cc2e5 [1944]" strokeweight="1.5pt">
                <v:stroke joinstyle="miter"/>
              </v:line>
            </w:pict>
          </mc:Fallback>
        </mc:AlternateContent>
      </w:r>
      <w:r w:rsidRPr="000F0299">
        <w:rPr>
          <w:noProof/>
          <w:lang w:val="en-US" w:eastAsia="en-US" w:bidi="ar-SA"/>
        </w:rPr>
        <mc:AlternateContent>
          <mc:Choice Requires="wps">
            <w:drawing>
              <wp:anchor distT="0" distB="0" distL="114300" distR="114300" simplePos="0" relativeHeight="251518464" behindDoc="0" locked="0" layoutInCell="1" allowOverlap="1" wp14:anchorId="092D4CDF" wp14:editId="41E9A647">
                <wp:simplePos x="0" y="0"/>
                <wp:positionH relativeFrom="column">
                  <wp:posOffset>2111375</wp:posOffset>
                </wp:positionH>
                <wp:positionV relativeFrom="paragraph">
                  <wp:posOffset>413385</wp:posOffset>
                </wp:positionV>
                <wp:extent cx="0" cy="211455"/>
                <wp:effectExtent l="76200" t="0" r="57150" b="55245"/>
                <wp:wrapNone/>
                <wp:docPr id="337" name="Straight Arrow Connector 337"/>
                <wp:cNvGraphicFramePr/>
                <a:graphic xmlns:a="http://schemas.openxmlformats.org/drawingml/2006/main">
                  <a:graphicData uri="http://schemas.microsoft.com/office/word/2010/wordprocessingShape">
                    <wps:wsp>
                      <wps:cNvCnPr/>
                      <wps:spPr>
                        <a:xfrm>
                          <a:off x="0" y="0"/>
                          <a:ext cx="0" cy="211455"/>
                        </a:xfrm>
                        <a:prstGeom prst="straightConnector1">
                          <a:avLst/>
                        </a:prstGeom>
                        <a:noFill/>
                        <a:ln w="19050" cap="flat" cmpd="sng" algn="ctr">
                          <a:solidFill>
                            <a:schemeClr val="accent5">
                              <a:lumMod val="60000"/>
                              <a:lumOff val="40000"/>
                            </a:schemeClr>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A362B4" id="Straight Arrow Connector 337" o:spid="_x0000_s1026" type="#_x0000_t32" style="position:absolute;margin-left:166.25pt;margin-top:32.55pt;width:0;height:16.65pt;z-index:25151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" strokecolor="#9cc2e5 [1944]" strokeweight="1.5pt">
                <v:stroke endarrow="block" joinstyle="miter"/>
              </v:shape>
            </w:pict>
          </mc:Fallback>
        </mc:AlternateContent>
      </w:r>
    </w:p>
    <w:p w14:paraId="1088F25B" w14:textId="0A9CB3C9" w:rsidR="003F0CC2" w:rsidRPr="000F0299" w:rsidRDefault="00A47702" w:rsidP="00244E7C">
      <w:r>
        <w:rPr>
          <w:noProof/>
          <w:lang w:val="en-US" w:eastAsia="en-US" w:bidi="ar-SA"/>
        </w:rPr>
        <mc:AlternateContent>
          <mc:Choice Requires="wps">
            <w:drawing>
              <wp:anchor distT="0" distB="0" distL="114300" distR="114300" simplePos="0" relativeHeight="252063232" behindDoc="0" locked="0" layoutInCell="1" allowOverlap="1" wp14:anchorId="35C5EE83" wp14:editId="3B9CC3B1">
                <wp:simplePos x="0" y="0"/>
                <wp:positionH relativeFrom="margin">
                  <wp:align>center</wp:align>
                </wp:positionH>
                <wp:positionV relativeFrom="paragraph">
                  <wp:posOffset>1562882</wp:posOffset>
                </wp:positionV>
                <wp:extent cx="3899425" cy="635"/>
                <wp:effectExtent l="0" t="0" r="6350" b="8255"/>
                <wp:wrapNone/>
                <wp:docPr id="403" name="Text Box 403"/>
                <wp:cNvGraphicFramePr/>
                <a:graphic xmlns:a="http://schemas.openxmlformats.org/drawingml/2006/main">
                  <a:graphicData uri="http://schemas.microsoft.com/office/word/2010/wordprocessingShape">
                    <wps:wsp>
                      <wps:cNvSpPr txBox="1"/>
                      <wps:spPr>
                        <a:xfrm>
                          <a:off x="0" y="0"/>
                          <a:ext cx="3899425" cy="635"/>
                        </a:xfrm>
                        <a:prstGeom prst="rect">
                          <a:avLst/>
                        </a:prstGeom>
                        <a:solidFill>
                          <a:prstClr val="white"/>
                        </a:solidFill>
                        <a:ln>
                          <a:noFill/>
                        </a:ln>
                      </wps:spPr>
                      <wps:txbx>
                        <w:txbxContent>
                          <w:p w14:paraId="6ED26A12" w14:textId="1E19461A" w:rsidR="00876FFE" w:rsidRPr="00A47702" w:rsidRDefault="00876FFE" w:rsidP="00A47702">
                            <w:pPr>
                              <w:pStyle w:val="Caption"/>
                              <w:rPr>
                                <w:i w:val="0"/>
                                <w:iCs w:val="0"/>
                                <w:noProof/>
                                <w:sz w:val="24"/>
                                <w:szCs w:val="24"/>
                                <w:lang w:val="sr-Cyrl-RS"/>
                              </w:rPr>
                            </w:pPr>
                            <w:bookmarkStart w:id="181" w:name="_Toc57665365"/>
                            <w:r w:rsidRPr="00A47702">
                              <w:rPr>
                                <w:i w:val="0"/>
                                <w:iCs w:val="0"/>
                              </w:rPr>
                              <w:t xml:space="preserve">Графикон </w:t>
                            </w:r>
                            <w:r w:rsidRPr="00A47702">
                              <w:rPr>
                                <w:i w:val="0"/>
                                <w:iCs w:val="0"/>
                              </w:rPr>
                              <w:fldChar w:fldCharType="begin"/>
                            </w:r>
                            <w:r w:rsidRPr="00A47702">
                              <w:rPr>
                                <w:i w:val="0"/>
                                <w:iCs w:val="0"/>
                              </w:rPr>
                              <w:instrText xml:space="preserve"> SEQ Графикон \* ARABIC </w:instrText>
                            </w:r>
                            <w:r w:rsidRPr="00A47702">
                              <w:rPr>
                                <w:i w:val="0"/>
                                <w:iCs w:val="0"/>
                              </w:rPr>
                              <w:fldChar w:fldCharType="separate"/>
                            </w:r>
                            <w:r>
                              <w:rPr>
                                <w:i w:val="0"/>
                                <w:iCs w:val="0"/>
                                <w:noProof/>
                              </w:rPr>
                              <w:t>29</w:t>
                            </w:r>
                            <w:r w:rsidRPr="00A47702">
                              <w:rPr>
                                <w:i w:val="0"/>
                                <w:iCs w:val="0"/>
                              </w:rPr>
                              <w:fldChar w:fldCharType="end"/>
                            </w:r>
                            <w:r w:rsidRPr="00A47702">
                              <w:rPr>
                                <w:i w:val="0"/>
                                <w:iCs w:val="0"/>
                              </w:rPr>
                              <w:t xml:space="preserve"> </w:t>
                            </w:r>
                            <w:r w:rsidRPr="00A47702">
                              <w:rPr>
                                <w:i w:val="0"/>
                                <w:iCs w:val="0"/>
                                <w:noProof/>
                                <w:lang w:val="sr-Cyrl-RS"/>
                              </w:rPr>
                              <w:t>Дрво циљева Пружање услуга</w:t>
                            </w:r>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5EE83" id="Text Box 403" o:spid="_x0000_s1276" type="#_x0000_t202" style="position:absolute;left:0;text-align:left;margin-left:0;margin-top:123.05pt;width:307.05pt;height:.05pt;z-index:2520632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" stroked="f">
                <v:textbox style="mso-fit-shape-to-text:t" inset="0,0,0,0">
                  <w:txbxContent>
                    <w:p w14:paraId="6ED26A12" w14:textId="1E19461A" w:rsidR="00876FFE" w:rsidRPr="00A47702" w:rsidRDefault="00876FFE" w:rsidP="00A47702">
                      <w:pPr>
                        <w:pStyle w:val="Caption"/>
                        <w:rPr>
                          <w:i w:val="0"/>
                          <w:iCs w:val="0"/>
                          <w:noProof/>
                          <w:sz w:val="24"/>
                          <w:szCs w:val="24"/>
                          <w:lang w:val="sr-Cyrl-RS"/>
                        </w:rPr>
                      </w:pPr>
                      <w:bookmarkStart w:id="197" w:name="_Toc57665365"/>
                      <w:r w:rsidRPr="00A47702">
                        <w:rPr>
                          <w:i w:val="0"/>
                          <w:iCs w:val="0"/>
                        </w:rPr>
                        <w:t xml:space="preserve">Графикон </w:t>
                      </w:r>
                      <w:r w:rsidRPr="00A47702">
                        <w:rPr>
                          <w:i w:val="0"/>
                          <w:iCs w:val="0"/>
                        </w:rPr>
                        <w:fldChar w:fldCharType="begin"/>
                      </w:r>
                      <w:r w:rsidRPr="00A47702">
                        <w:rPr>
                          <w:i w:val="0"/>
                          <w:iCs w:val="0"/>
                        </w:rPr>
                        <w:instrText xml:space="preserve"> SEQ Графикон \* ARABIC </w:instrText>
                      </w:r>
                      <w:r w:rsidRPr="00A47702">
                        <w:rPr>
                          <w:i w:val="0"/>
                          <w:iCs w:val="0"/>
                        </w:rPr>
                        <w:fldChar w:fldCharType="separate"/>
                      </w:r>
                      <w:r>
                        <w:rPr>
                          <w:i w:val="0"/>
                          <w:iCs w:val="0"/>
                          <w:noProof/>
                        </w:rPr>
                        <w:t>29</w:t>
                      </w:r>
                      <w:r w:rsidRPr="00A47702">
                        <w:rPr>
                          <w:i w:val="0"/>
                          <w:iCs w:val="0"/>
                        </w:rPr>
                        <w:fldChar w:fldCharType="end"/>
                      </w:r>
                      <w:r w:rsidRPr="00A47702">
                        <w:rPr>
                          <w:i w:val="0"/>
                          <w:iCs w:val="0"/>
                        </w:rPr>
                        <w:t xml:space="preserve"> </w:t>
                      </w:r>
                      <w:r w:rsidRPr="00A47702">
                        <w:rPr>
                          <w:i w:val="0"/>
                          <w:iCs w:val="0"/>
                          <w:noProof/>
                          <w:lang w:val="sr-Cyrl-RS"/>
                        </w:rPr>
                        <w:t>Дрво циљева Пружање услуга</w:t>
                      </w:r>
                      <w:bookmarkEnd w:id="197"/>
                    </w:p>
                  </w:txbxContent>
                </v:textbox>
                <w10:wrap anchorx="margin"/>
              </v:shape>
            </w:pict>
          </mc:Fallback>
        </mc:AlternateContent>
      </w:r>
      <w:r>
        <w:rPr>
          <w:noProof/>
          <w:lang w:val="en-US" w:eastAsia="en-US" w:bidi="ar-SA"/>
        </w:rPr>
        <mc:AlternateContent>
          <mc:Choice Requires="wps">
            <w:drawing>
              <wp:anchor distT="0" distB="0" distL="114300" distR="114300" simplePos="0" relativeHeight="251994624" behindDoc="0" locked="0" layoutInCell="1" allowOverlap="1" wp14:anchorId="295974C1" wp14:editId="080C253C">
                <wp:simplePos x="0" y="0"/>
                <wp:positionH relativeFrom="column">
                  <wp:posOffset>1348740</wp:posOffset>
                </wp:positionH>
                <wp:positionV relativeFrom="paragraph">
                  <wp:posOffset>337821</wp:posOffset>
                </wp:positionV>
                <wp:extent cx="1733550" cy="1356360"/>
                <wp:effectExtent l="19050" t="19050" r="19050" b="15240"/>
                <wp:wrapNone/>
                <wp:docPr id="319" name="Text Box 319"/>
                <wp:cNvGraphicFramePr/>
                <a:graphic xmlns:a="http://schemas.openxmlformats.org/drawingml/2006/main">
                  <a:graphicData uri="http://schemas.microsoft.com/office/word/2010/wordprocessingShape">
                    <wps:wsp>
                      <wps:cNvSpPr txBox="1"/>
                      <wps:spPr>
                        <a:xfrm>
                          <a:off x="0" y="0"/>
                          <a:ext cx="1733550" cy="1356360"/>
                        </a:xfrm>
                        <a:prstGeom prst="roundRect">
                          <a:avLst/>
                        </a:prstGeom>
                        <a:solidFill>
                          <a:sysClr val="window" lastClr="FFFFFF"/>
                        </a:solidFill>
                        <a:ln w="28575">
                          <a:solidFill>
                            <a:schemeClr val="accent5">
                              <a:lumMod val="40000"/>
                              <a:lumOff val="60000"/>
                            </a:schemeClr>
                          </a:solidFill>
                        </a:ln>
                        <a:effectLst/>
                      </wps:spPr>
                      <wps:txbx>
                        <w:txbxContent>
                          <w:p w14:paraId="45A83ACB" w14:textId="3DB3421A" w:rsidR="00876FFE" w:rsidRPr="00CE0D1A" w:rsidRDefault="00876FFE" w:rsidP="0025533D">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Успостављање механизама за системско укључивање корисника на почетку развоја/дизајна (нових и постојећих) јавних услуга</w:t>
                            </w:r>
                          </w:p>
                          <w:p w14:paraId="61E45855" w14:textId="77777777" w:rsidR="00876FFE" w:rsidRPr="00CE0D1A" w:rsidRDefault="00876FFE" w:rsidP="003F0CC2">
                            <w:pPr>
                              <w:rPr>
                                <w:rFonts w:asciiTheme="minorHAnsi" w:hAnsiTheme="minorHAnsi" w:cstheme="minorHAnsi"/>
                                <w:sz w:val="22"/>
                                <w:szCs w:val="22"/>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95974C1" id="Text Box 319" o:spid="_x0000_s1277" style="position:absolute;left:0;text-align:left;margin-left:106.2pt;margin-top:26.6pt;width:136.5pt;height:106.8pt;z-index:25199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" fillcolor="window" strokecolor="#bdd6ee [1304]" strokeweight="2.25pt">
                <v:textbox inset="2mm,0,2mm,0">
                  <w:txbxContent>
                    <w:p w14:paraId="45A83ACB" w14:textId="3DB3421A" w:rsidR="00876FFE" w:rsidRPr="00CE0D1A" w:rsidRDefault="00876FFE" w:rsidP="0025533D">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Успостављање механизама за системско укључивање корисника на почетку развоја/дизајна (нових и постојећих) јавних услуга</w:t>
                      </w:r>
                    </w:p>
                    <w:p w14:paraId="61E45855" w14:textId="77777777" w:rsidR="00876FFE" w:rsidRPr="00CE0D1A" w:rsidRDefault="00876FFE" w:rsidP="003F0CC2">
                      <w:pPr>
                        <w:rPr>
                          <w:rFonts w:asciiTheme="minorHAnsi" w:hAnsiTheme="minorHAnsi" w:cstheme="minorHAnsi"/>
                          <w:sz w:val="22"/>
                          <w:szCs w:val="22"/>
                        </w:rPr>
                      </w:pPr>
                    </w:p>
                  </w:txbxContent>
                </v:textbox>
              </v:roundrect>
            </w:pict>
          </mc:Fallback>
        </mc:AlternateContent>
      </w:r>
      <w:r w:rsidR="0025533D" w:rsidRPr="000F0299">
        <w:rPr>
          <w:noProof/>
          <w:lang w:val="en-US" w:eastAsia="en-US" w:bidi="ar-SA"/>
        </w:rPr>
        <mc:AlternateContent>
          <mc:Choice Requires="wps">
            <w:drawing>
              <wp:anchor distT="0" distB="0" distL="114300" distR="114300" simplePos="0" relativeHeight="251509248" behindDoc="0" locked="0" layoutInCell="1" allowOverlap="1" wp14:anchorId="12847F8E" wp14:editId="54FD30A8">
                <wp:simplePos x="0" y="0"/>
                <wp:positionH relativeFrom="column">
                  <wp:posOffset>-259080</wp:posOffset>
                </wp:positionH>
                <wp:positionV relativeFrom="paragraph">
                  <wp:posOffset>345440</wp:posOffset>
                </wp:positionV>
                <wp:extent cx="1504950" cy="1385612"/>
                <wp:effectExtent l="19050" t="19050" r="19050" b="24130"/>
                <wp:wrapNone/>
                <wp:docPr id="317" name="Text Box 317"/>
                <wp:cNvGraphicFramePr/>
                <a:graphic xmlns:a="http://schemas.openxmlformats.org/drawingml/2006/main">
                  <a:graphicData uri="http://schemas.microsoft.com/office/word/2010/wordprocessingShape">
                    <wps:wsp>
                      <wps:cNvSpPr txBox="1"/>
                      <wps:spPr>
                        <a:xfrm>
                          <a:off x="0" y="0"/>
                          <a:ext cx="1504950" cy="1385612"/>
                        </a:xfrm>
                        <a:prstGeom prst="roundRect">
                          <a:avLst/>
                        </a:prstGeom>
                        <a:solidFill>
                          <a:sysClr val="window" lastClr="FFFFFF"/>
                        </a:solidFill>
                        <a:ln w="28575">
                          <a:solidFill>
                            <a:schemeClr val="accent5">
                              <a:lumMod val="40000"/>
                              <a:lumOff val="60000"/>
                            </a:schemeClr>
                          </a:solidFill>
                        </a:ln>
                        <a:effectLst/>
                      </wps:spPr>
                      <wps:txbx>
                        <w:txbxContent>
                          <w:p w14:paraId="782A6B79" w14:textId="0CB616E2" w:rsidR="00876FFE" w:rsidRPr="00CE0D1A" w:rsidRDefault="00876FFE" w:rsidP="0025533D">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 xml:space="preserve">Пописане сви </w:t>
                            </w:r>
                            <w:r w:rsidRPr="00CE0D1A">
                              <w:rPr>
                                <w:rFonts w:asciiTheme="minorHAnsi" w:eastAsia="Calibri" w:hAnsiTheme="minorHAnsi" w:cstheme="minorHAnsi"/>
                                <w:spacing w:val="-8"/>
                                <w:sz w:val="22"/>
                                <w:szCs w:val="22"/>
                                <w:lang w:val="sr-Cyrl-RS"/>
                              </w:rPr>
                              <w:t>управни поступци</w:t>
                            </w:r>
                            <w:r w:rsidRPr="00CE0D1A">
                              <w:rPr>
                                <w:rFonts w:asciiTheme="minorHAnsi" w:eastAsia="Calibri" w:hAnsiTheme="minorHAnsi" w:cstheme="minorHAnsi"/>
                                <w:sz w:val="22"/>
                                <w:szCs w:val="22"/>
                                <w:lang w:val="sr-Cyrl-RS"/>
                              </w:rPr>
                              <w:t xml:space="preserve"> државне управе  и ЈЛС које се односе на грађане</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847F8E" id="Text Box 317" o:spid="_x0000_s1278" style="position:absolute;left:0;text-align:left;margin-left:-20.4pt;margin-top:27.2pt;width:118.5pt;height:109.1pt;z-index:25150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" fillcolor="window" strokecolor="#bdd6ee [1304]" strokeweight="2.25pt">
                <v:textbox inset="2mm,0,2mm,0">
                  <w:txbxContent>
                    <w:p w14:paraId="782A6B79" w14:textId="0CB616E2" w:rsidR="00876FFE" w:rsidRPr="00CE0D1A" w:rsidRDefault="00876FFE" w:rsidP="0025533D">
                      <w:pPr>
                        <w:pStyle w:val="NormalWeb"/>
                        <w:spacing w:before="0" w:beforeAutospacing="0" w:after="0" w:afterAutospacing="0"/>
                        <w:ind w:firstLine="0"/>
                        <w:jc w:val="center"/>
                        <w:rPr>
                          <w:rFonts w:asciiTheme="minorHAnsi" w:eastAsia="Calibri" w:hAnsiTheme="minorHAnsi" w:cstheme="minorHAnsi"/>
                          <w:sz w:val="22"/>
                          <w:szCs w:val="22"/>
                          <w:lang w:val="sr-Cyrl-RS"/>
                        </w:rPr>
                      </w:pPr>
                      <w:r w:rsidRPr="00CE0D1A">
                        <w:rPr>
                          <w:rFonts w:asciiTheme="minorHAnsi" w:eastAsia="Calibri" w:hAnsiTheme="minorHAnsi" w:cstheme="minorHAnsi"/>
                          <w:sz w:val="22"/>
                          <w:szCs w:val="22"/>
                          <w:lang w:val="sr-Cyrl-RS"/>
                        </w:rPr>
                        <w:t xml:space="preserve">Пописане </w:t>
                      </w:r>
                      <w:r w:rsidRPr="00CE0D1A">
                        <w:rPr>
                          <w:rFonts w:asciiTheme="minorHAnsi" w:eastAsia="Calibri" w:hAnsiTheme="minorHAnsi" w:cstheme="minorHAnsi"/>
                          <w:sz w:val="22"/>
                          <w:szCs w:val="22"/>
                          <w:lang w:val="sr-Cyrl-RS"/>
                        </w:rPr>
                        <w:t xml:space="preserve">сви </w:t>
                      </w:r>
                      <w:r w:rsidRPr="00CE0D1A">
                        <w:rPr>
                          <w:rFonts w:asciiTheme="minorHAnsi" w:eastAsia="Calibri" w:hAnsiTheme="minorHAnsi" w:cstheme="minorHAnsi"/>
                          <w:spacing w:val="-8"/>
                          <w:sz w:val="22"/>
                          <w:szCs w:val="22"/>
                          <w:lang w:val="sr-Cyrl-RS"/>
                        </w:rPr>
                        <w:t>управни поступци</w:t>
                      </w:r>
                      <w:r w:rsidRPr="00CE0D1A">
                        <w:rPr>
                          <w:rFonts w:asciiTheme="minorHAnsi" w:eastAsia="Calibri" w:hAnsiTheme="minorHAnsi" w:cstheme="minorHAnsi"/>
                          <w:sz w:val="22"/>
                          <w:szCs w:val="22"/>
                          <w:lang w:val="sr-Cyrl-RS"/>
                        </w:rPr>
                        <w:t xml:space="preserve"> државне управе  и ЈЛС које се односе на грађане</w:t>
                      </w:r>
                    </w:p>
                  </w:txbxContent>
                </v:textbox>
              </v:roundrect>
            </w:pict>
          </mc:Fallback>
        </mc:AlternateContent>
      </w:r>
    </w:p>
    <w:p w14:paraId="5FC5C614" w14:textId="6908C560" w:rsidR="003F0CC2" w:rsidRPr="00522701" w:rsidRDefault="003F0CC2" w:rsidP="00244E7C">
      <w:pPr>
        <w:rPr>
          <w:lang w:val="sr-Latn-RS"/>
        </w:rPr>
        <w:sectPr w:rsidR="003F0CC2" w:rsidRPr="00522701" w:rsidSect="003B3B54">
          <w:headerReference w:type="default" r:id="rId145"/>
          <w:footerReference w:type="default" r:id="rId146"/>
          <w:pgSz w:w="23811" w:h="16838" w:orient="landscape" w:code="8"/>
          <w:pgMar w:top="720" w:right="1440" w:bottom="720" w:left="1440" w:header="706" w:footer="706" w:gutter="0"/>
          <w:cols w:space="708"/>
          <w:docGrid w:linePitch="360"/>
        </w:sectPr>
      </w:pPr>
    </w:p>
    <w:p w14:paraId="691727DF" w14:textId="7C7F20BB" w:rsidR="00441BE2" w:rsidRPr="000F0299" w:rsidRDefault="00441BE2" w:rsidP="00F631C3">
      <w:pPr>
        <w:pStyle w:val="Heading2"/>
        <w:rPr>
          <w:lang w:val="sr-Cyrl-RS"/>
        </w:rPr>
      </w:pPr>
      <w:bookmarkStart w:id="182" w:name="_IV_Одговорност_и"/>
      <w:bookmarkStart w:id="183" w:name="_Toc40182237"/>
      <w:bookmarkStart w:id="184" w:name="_Toc40183054"/>
      <w:bookmarkStart w:id="185" w:name="_Toc51601626"/>
      <w:bookmarkStart w:id="186" w:name="_Toc57661488"/>
      <w:bookmarkEnd w:id="180"/>
      <w:bookmarkEnd w:id="182"/>
      <w:r w:rsidRPr="000F0299">
        <w:rPr>
          <w:lang w:val="sr-Cyrl-RS"/>
        </w:rPr>
        <w:t xml:space="preserve">IV </w:t>
      </w:r>
      <w:r w:rsidR="0068146C" w:rsidRPr="000F0299">
        <w:rPr>
          <w:lang w:val="sr-Cyrl-RS"/>
        </w:rPr>
        <w:t>О</w:t>
      </w:r>
      <w:r w:rsidR="007B3049" w:rsidRPr="000F0299">
        <w:rPr>
          <w:lang w:val="sr-Cyrl-RS"/>
        </w:rPr>
        <w:t>дговорност и транспарентност у јавној управи</w:t>
      </w:r>
      <w:bookmarkEnd w:id="183"/>
      <w:bookmarkEnd w:id="184"/>
      <w:bookmarkEnd w:id="185"/>
      <w:bookmarkEnd w:id="186"/>
    </w:p>
    <w:p w14:paraId="682596E4" w14:textId="77777777" w:rsidR="00CE6AC1" w:rsidRPr="000F0299" w:rsidRDefault="00CE6AC1" w:rsidP="00CE6AC1">
      <w:pPr>
        <w:pStyle w:val="Heading3"/>
        <w:rPr>
          <w:rStyle w:val="Emphasis"/>
          <w:lang w:val="sr-Cyrl-RS"/>
        </w:rPr>
      </w:pPr>
      <w:bookmarkStart w:id="187" w:name="_АНАЛИЗА_СТАЊА_3"/>
      <w:bookmarkStart w:id="188" w:name="_Toc40182238"/>
      <w:bookmarkStart w:id="189" w:name="_Toc40183055"/>
      <w:bookmarkStart w:id="190" w:name="_Toc51601627"/>
      <w:bookmarkStart w:id="191" w:name="_Toc57139390"/>
      <w:bookmarkStart w:id="192" w:name="_Toc57661489"/>
      <w:bookmarkEnd w:id="187"/>
      <w:r w:rsidRPr="000F0299">
        <w:rPr>
          <w:rStyle w:val="Emphasis"/>
          <w:rFonts w:cs="Times New Roman"/>
          <w:lang w:val="sr-Cyrl-RS"/>
        </w:rPr>
        <w:t xml:space="preserve">Анализа </w:t>
      </w:r>
      <w:bookmarkEnd w:id="188"/>
      <w:bookmarkEnd w:id="189"/>
      <w:bookmarkEnd w:id="190"/>
      <w:r w:rsidRPr="000F0299">
        <w:rPr>
          <w:rStyle w:val="Emphasis"/>
          <w:rFonts w:cs="Times New Roman"/>
          <w:lang w:val="sr-Cyrl-RS"/>
        </w:rPr>
        <w:t>стања</w:t>
      </w:r>
      <w:bookmarkEnd w:id="191"/>
      <w:bookmarkEnd w:id="192"/>
    </w:p>
    <w:p w14:paraId="051A91BB" w14:textId="77777777" w:rsidR="00CE6AC1" w:rsidRPr="000F0299" w:rsidRDefault="00CE6AC1" w:rsidP="00CE6AC1">
      <w:pPr>
        <w:pStyle w:val="Default"/>
        <w:spacing w:before="0" w:after="120"/>
        <w:ind w:firstLine="357"/>
        <w:rPr>
          <w:bCs/>
          <w:lang w:val="sr-Cyrl-RS"/>
        </w:rPr>
      </w:pPr>
      <w:r w:rsidRPr="000F0299">
        <w:rPr>
          <w:lang w:val="sr-Cyrl-RS"/>
        </w:rPr>
        <w:t xml:space="preserve">Анализа </w:t>
      </w:r>
      <w:r>
        <w:rPr>
          <w:lang w:val="sr-Cyrl-RS"/>
        </w:rPr>
        <w:t>стања</w:t>
      </w:r>
      <w:r w:rsidRPr="000F0299">
        <w:rPr>
          <w:lang w:val="sr-Cyrl-RS"/>
        </w:rPr>
        <w:t xml:space="preserve"> у области </w:t>
      </w:r>
      <w:r>
        <w:rPr>
          <w:lang w:val="sr-Cyrl-RS"/>
        </w:rPr>
        <w:t>о</w:t>
      </w:r>
      <w:r w:rsidRPr="00C5663D">
        <w:rPr>
          <w:lang w:val="sr-Cyrl-RS"/>
        </w:rPr>
        <w:t>дговорност</w:t>
      </w:r>
      <w:r>
        <w:rPr>
          <w:lang w:val="sr-Cyrl-RS"/>
        </w:rPr>
        <w:t>и</w:t>
      </w:r>
      <w:r w:rsidRPr="00C5663D">
        <w:rPr>
          <w:lang w:val="sr-Cyrl-RS"/>
        </w:rPr>
        <w:t xml:space="preserve"> и транспарентност</w:t>
      </w:r>
      <w:r>
        <w:rPr>
          <w:lang w:val="sr-Cyrl-RS"/>
        </w:rPr>
        <w:t>и</w:t>
      </w:r>
      <w:r w:rsidRPr="00C5663D">
        <w:rPr>
          <w:lang w:val="sr-Cyrl-RS"/>
        </w:rPr>
        <w:t xml:space="preserve"> у јавној управи</w:t>
      </w:r>
      <w:r w:rsidRPr="000F0299">
        <w:rPr>
          <w:lang w:val="sr-Cyrl-RS"/>
        </w:rPr>
        <w:t xml:space="preserve"> ослања се у највећој мери на налазе из </w:t>
      </w:r>
      <w:r w:rsidRPr="001C1D72">
        <w:rPr>
          <w:i/>
          <w:lang w:val="sr-Cyrl-RS"/>
        </w:rPr>
        <w:t>OECD</w:t>
      </w:r>
      <w:r w:rsidRPr="000F0299">
        <w:rPr>
          <w:lang w:val="sr-Cyrl-RS"/>
        </w:rPr>
        <w:t>/</w:t>
      </w:r>
      <w:r w:rsidRPr="001C1D72">
        <w:rPr>
          <w:i/>
          <w:lang w:val="sr-Cyrl-RS"/>
        </w:rPr>
        <w:t>SIGMA</w:t>
      </w:r>
      <w:r w:rsidRPr="000F0299">
        <w:rPr>
          <w:lang w:val="sr-Cyrl-RS"/>
        </w:rPr>
        <w:t xml:space="preserve"> извештаја о праћењу реформе јавне управе у Републици Србији из 2015. и 2017. године,</w:t>
      </w:r>
      <w:r w:rsidRPr="000F0299">
        <w:rPr>
          <w:rStyle w:val="FootnoteReference"/>
          <w:lang w:val="sr-Cyrl-RS"/>
        </w:rPr>
        <w:footnoteReference w:id="207"/>
      </w:r>
      <w:r w:rsidRPr="000F0299">
        <w:rPr>
          <w:vertAlign w:val="superscript"/>
          <w:lang w:val="sr-Cyrl-RS"/>
        </w:rPr>
        <w:t xml:space="preserve"> </w:t>
      </w:r>
      <w:r w:rsidRPr="000F0299">
        <w:rPr>
          <w:lang w:val="sr-Cyrl-RS"/>
        </w:rPr>
        <w:t xml:space="preserve">као и </w:t>
      </w:r>
      <w:r>
        <w:rPr>
          <w:lang w:val="sr-Cyrl-RS"/>
        </w:rPr>
        <w:t xml:space="preserve">на </w:t>
      </w:r>
      <w:r w:rsidRPr="000F0299">
        <w:rPr>
          <w:lang w:val="sr-Cyrl-RS"/>
        </w:rPr>
        <w:t>годишњ</w:t>
      </w:r>
      <w:r>
        <w:rPr>
          <w:lang w:val="sr-Cyrl-RS"/>
        </w:rPr>
        <w:t>е</w:t>
      </w:r>
      <w:r w:rsidRPr="000F0299">
        <w:rPr>
          <w:lang w:val="sr-Cyrl-RS"/>
        </w:rPr>
        <w:t xml:space="preserve"> извештај</w:t>
      </w:r>
      <w:r>
        <w:rPr>
          <w:lang w:val="sr-Cyrl-RS"/>
        </w:rPr>
        <w:t>е</w:t>
      </w:r>
      <w:r w:rsidRPr="000F0299">
        <w:rPr>
          <w:lang w:val="sr-Cyrl-RS"/>
        </w:rPr>
        <w:t xml:space="preserve"> о </w:t>
      </w:r>
      <w:r w:rsidRPr="000F0299">
        <w:rPr>
          <w:bCs/>
          <w:lang w:val="sr-Cyrl-RS"/>
        </w:rPr>
        <w:t>напретку Републике Србије у процесу придруживања Европској унији</w:t>
      </w:r>
      <w:bookmarkStart w:id="193" w:name="sdfootnote2anc"/>
      <w:r w:rsidRPr="000F0299">
        <w:rPr>
          <w:bCs/>
          <w:lang w:val="sr-Cyrl-RS"/>
        </w:rPr>
        <w:t>.</w:t>
      </w:r>
      <w:r w:rsidRPr="000F0299">
        <w:rPr>
          <w:bCs/>
          <w:vertAlign w:val="superscript"/>
          <w:lang w:val="sr-Cyrl-RS"/>
        </w:rPr>
        <w:footnoteReference w:id="208"/>
      </w:r>
      <w:bookmarkEnd w:id="193"/>
    </w:p>
    <w:p w14:paraId="675571CC" w14:textId="77777777" w:rsidR="00CE6AC1" w:rsidRPr="000F0299" w:rsidRDefault="00CE6AC1" w:rsidP="00CE6AC1">
      <w:pPr>
        <w:pStyle w:val="Default"/>
        <w:spacing w:before="0" w:after="120"/>
        <w:ind w:firstLine="357"/>
        <w:rPr>
          <w:lang w:val="sr-Cyrl-RS"/>
        </w:rPr>
      </w:pPr>
      <w:r w:rsidRPr="000F0299">
        <w:rPr>
          <w:bCs/>
          <w:lang w:val="sr-Cyrl-RS"/>
        </w:rPr>
        <w:t>За област која се односи на одговорност</w:t>
      </w:r>
      <w:r w:rsidRPr="000F0299">
        <w:rPr>
          <w:i/>
          <w:lang w:val="sr-Cyrl-RS"/>
        </w:rPr>
        <w:t xml:space="preserve"> </w:t>
      </w:r>
      <w:r w:rsidRPr="000F0299">
        <w:rPr>
          <w:lang w:val="sr-Cyrl-RS"/>
        </w:rPr>
        <w:t>установљено је пет ЕУ/</w:t>
      </w:r>
      <w:r w:rsidRPr="001C1D72">
        <w:rPr>
          <w:i/>
          <w:lang w:val="sr-Cyrl-RS"/>
        </w:rPr>
        <w:t>OECD</w:t>
      </w:r>
      <w:r w:rsidRPr="000F0299">
        <w:rPr>
          <w:lang w:val="sr-Cyrl-RS"/>
        </w:rPr>
        <w:t xml:space="preserve"> принципа, који се тичу: а) рационалности и адекватности целокупне организације централне власти и управљачке одговорности; б) права на приступ информацијама од јавног значаја, које је законски уређено и доследно се остварује у пракси; в) постојања функционалних механизама за заштиту права грађана на добру управу и заштиту јавног интереса; г) загарантованости правичног поступања у управним стварима, поред осталог, путем судског преиспитивања одлука и д) права на обештећење и/или адекватну накнаду због кршења прописа од стране органа јавне власти.</w:t>
      </w:r>
      <w:r w:rsidRPr="000F0299">
        <w:rPr>
          <w:rStyle w:val="FootnoteReference"/>
          <w:lang w:val="sr-Cyrl-RS"/>
        </w:rPr>
        <w:footnoteReference w:id="209"/>
      </w:r>
      <w:r w:rsidRPr="000F0299">
        <w:rPr>
          <w:lang w:val="sr-Cyrl-RS"/>
        </w:rPr>
        <w:t xml:space="preserve"> Имајући у виду комплексност области и чињеницу да постоје и други стратешки документи који се тичу одређених аспеката одговорности и транспарентности, Република Србија се определила да се у овој стратегији </w:t>
      </w:r>
      <w:r>
        <w:rPr>
          <w:lang w:val="sr-Cyrl-RS"/>
        </w:rPr>
        <w:t>усредсреди</w:t>
      </w:r>
      <w:r w:rsidRPr="000F0299">
        <w:rPr>
          <w:lang w:val="sr-Cyrl-RS"/>
        </w:rPr>
        <w:t xml:space="preserve"> на први, други и трећи принцип. С друге стране, мере и активности које се тичу правичног поступања у управним стварима (четврти принцип), садржане су у Стратегији развоја правосуђа за период 2020–2025. године</w:t>
      </w:r>
      <w:r w:rsidRPr="000F0299">
        <w:rPr>
          <w:rStyle w:val="FootnoteReference"/>
          <w:lang w:val="sr-Cyrl-RS"/>
        </w:rPr>
        <w:footnoteReference w:id="210"/>
      </w:r>
      <w:r w:rsidRPr="000F0299">
        <w:rPr>
          <w:lang w:val="sr-Cyrl-RS"/>
        </w:rPr>
        <w:t xml:space="preserve"> и ревидираном Акционом плану за Поглавље 23.</w:t>
      </w:r>
      <w:r w:rsidRPr="000F0299">
        <w:rPr>
          <w:rStyle w:val="FootnoteReference"/>
          <w:lang w:val="sr-Cyrl-RS"/>
        </w:rPr>
        <w:footnoteReference w:id="211"/>
      </w:r>
      <w:r w:rsidRPr="000F0299">
        <w:rPr>
          <w:lang w:val="sr-Cyrl-RS"/>
        </w:rPr>
        <w:t xml:space="preserve"> </w:t>
      </w:r>
      <w:r>
        <w:rPr>
          <w:lang w:val="sr-Cyrl-RS"/>
        </w:rPr>
        <w:t>И</w:t>
      </w:r>
      <w:r w:rsidRPr="000F0299">
        <w:rPr>
          <w:lang w:val="sr-Cyrl-RS"/>
        </w:rPr>
        <w:t xml:space="preserve">мајући у виду да је недовољна ефикасност Управног суда у поменутим међународним извештајима </w:t>
      </w:r>
      <w:r>
        <w:rPr>
          <w:lang w:val="sr-Cyrl-RS"/>
        </w:rPr>
        <w:t>уочена</w:t>
      </w:r>
      <w:r w:rsidRPr="000F0299">
        <w:rPr>
          <w:lang w:val="sr-Cyrl-RS"/>
        </w:rPr>
        <w:t xml:space="preserve"> као једна од основних препрека за остваривање права на правично суђење у управним стварима, Стратегија развоја правосуђа за период 2020–2025. године и ревидирани Акциони план за Поглавље 23 садрже мере и активности које с</w:t>
      </w:r>
      <w:r>
        <w:rPr>
          <w:lang w:val="sr-Cyrl-RS"/>
        </w:rPr>
        <w:t>у усмерене на</w:t>
      </w:r>
      <w:r w:rsidRPr="000F0299">
        <w:rPr>
          <w:lang w:val="sr-Cyrl-RS"/>
        </w:rPr>
        <w:t xml:space="preserve"> </w:t>
      </w:r>
      <w:r>
        <w:rPr>
          <w:lang w:val="sr-Cyrl-RS"/>
        </w:rPr>
        <w:t xml:space="preserve">повећање </w:t>
      </w:r>
      <w:r w:rsidRPr="000F0299">
        <w:rPr>
          <w:lang w:val="sr-Cyrl-RS"/>
        </w:rPr>
        <w:t xml:space="preserve">ефикасности рада овог суда. С друге стране, овом стратегијом </w:t>
      </w:r>
      <w:r>
        <w:rPr>
          <w:lang w:val="sr-Cyrl-RS"/>
        </w:rPr>
        <w:t xml:space="preserve">је </w:t>
      </w:r>
      <w:r w:rsidRPr="000F0299">
        <w:rPr>
          <w:lang w:val="sr-Cyrl-RS"/>
        </w:rPr>
        <w:t xml:space="preserve">у области </w:t>
      </w:r>
      <w:r w:rsidRPr="00344138">
        <w:rPr>
          <w:iCs/>
          <w:lang w:val="sr-Cyrl-RS"/>
        </w:rPr>
        <w:t>одговорност</w:t>
      </w:r>
      <w:r>
        <w:rPr>
          <w:iCs/>
          <w:lang w:val="sr-Cyrl-RS"/>
        </w:rPr>
        <w:t>и</w:t>
      </w:r>
      <w:r w:rsidRPr="00344138">
        <w:rPr>
          <w:iCs/>
          <w:lang w:val="sr-Cyrl-RS"/>
        </w:rPr>
        <w:t xml:space="preserve"> и транспарентност</w:t>
      </w:r>
      <w:r>
        <w:rPr>
          <w:iCs/>
          <w:lang w:val="sr-Cyrl-RS"/>
        </w:rPr>
        <w:t xml:space="preserve">и </w:t>
      </w:r>
      <w:r w:rsidRPr="000F0299">
        <w:rPr>
          <w:lang w:val="sr-Cyrl-RS"/>
        </w:rPr>
        <w:t>обухваћено и питање јачања интегритета и етичких стандарда у јавној управи, коме је посвећен један од ЕУ/</w:t>
      </w:r>
      <w:r w:rsidRPr="001C1D72">
        <w:rPr>
          <w:i/>
          <w:lang w:val="sr-Cyrl-RS"/>
        </w:rPr>
        <w:t>OECD</w:t>
      </w:r>
      <w:r w:rsidRPr="000F0299">
        <w:rPr>
          <w:lang w:val="sr-Cyrl-RS"/>
        </w:rPr>
        <w:t xml:space="preserve"> принципа везаних за област </w:t>
      </w:r>
      <w:r>
        <w:rPr>
          <w:iCs/>
          <w:lang w:val="sr-Cyrl-RS"/>
        </w:rPr>
        <w:t>ј</w:t>
      </w:r>
      <w:r w:rsidRPr="00C5663D">
        <w:rPr>
          <w:iCs/>
          <w:lang w:val="sr-Cyrl-RS"/>
        </w:rPr>
        <w:t>авн</w:t>
      </w:r>
      <w:r>
        <w:rPr>
          <w:iCs/>
          <w:lang w:val="sr-Cyrl-RS"/>
        </w:rPr>
        <w:t>е</w:t>
      </w:r>
      <w:r w:rsidRPr="00C5663D">
        <w:rPr>
          <w:iCs/>
          <w:lang w:val="sr-Cyrl-RS"/>
        </w:rPr>
        <w:t xml:space="preserve"> служб</w:t>
      </w:r>
      <w:r>
        <w:rPr>
          <w:iCs/>
          <w:lang w:val="sr-Cyrl-RS"/>
        </w:rPr>
        <w:t>е</w:t>
      </w:r>
      <w:r w:rsidRPr="00C5663D">
        <w:rPr>
          <w:iCs/>
          <w:lang w:val="sr-Cyrl-RS"/>
        </w:rPr>
        <w:t xml:space="preserve"> и управљање људским ресурсима</w:t>
      </w:r>
      <w:r w:rsidRPr="000F0299">
        <w:rPr>
          <w:i/>
          <w:iCs/>
          <w:lang w:val="sr-Cyrl-RS"/>
        </w:rPr>
        <w:t>.</w:t>
      </w:r>
      <w:r w:rsidRPr="000F0299">
        <w:rPr>
          <w:rStyle w:val="FootnoteReference"/>
          <w:lang w:val="sr-Cyrl-RS"/>
        </w:rPr>
        <w:footnoteReference w:id="212"/>
      </w:r>
      <w:r w:rsidRPr="000F0299">
        <w:rPr>
          <w:lang w:val="sr-Cyrl-RS"/>
        </w:rPr>
        <w:t xml:space="preserve"> </w:t>
      </w:r>
    </w:p>
    <w:p w14:paraId="53FB8828" w14:textId="77777777" w:rsidR="00CE6AC1" w:rsidRPr="000F0299" w:rsidRDefault="00CE6AC1" w:rsidP="00CE6AC1">
      <w:pPr>
        <w:pStyle w:val="Default"/>
        <w:spacing w:before="0" w:after="120"/>
        <w:ind w:firstLine="357"/>
        <w:rPr>
          <w:lang w:val="sr-Cyrl-RS"/>
        </w:rPr>
      </w:pPr>
      <w:r w:rsidRPr="000F0299">
        <w:rPr>
          <w:lang w:val="sr-Cyrl-RS"/>
        </w:rPr>
        <w:t xml:space="preserve">Стратегија </w:t>
      </w:r>
      <w:r>
        <w:rPr>
          <w:lang w:val="sr-Cyrl-RS"/>
        </w:rPr>
        <w:t xml:space="preserve">РЈУ </w:t>
      </w:r>
      <w:r w:rsidRPr="000F0299">
        <w:rPr>
          <w:lang w:val="sr-Cyrl-RS"/>
        </w:rPr>
        <w:t>за период од 2021. до 2030. године и пратећи Акциони план за период 2021–2025. године усмерени су ка стварању одговарајућег окружења и предуслова за значајан напредак у области одговорности и транспарентности. У погледу управљачке одговорности предвиђене су активности усмерене на израду анализа, мапирање постојећег стања у јавној управи и формулисање конкретних препорука за сва три стуба (делегирање одговорности, јасне линије одговорности међу институцијама и мерење учинка на институционалним нивоу) које ће бити праћене одговарајућим изменама правног оквира. Акционим планом за спровођење Стратегије реформе јавне управе у Републици Србији за период 2018–2020. године, у оквиру посебног циља који је усмерен на унапређење организационих и функционалних подсистема јавне управе, била је предвиђен</w:t>
      </w:r>
      <w:r>
        <w:rPr>
          <w:lang w:val="sr-Cyrl-RS"/>
        </w:rPr>
        <w:t xml:space="preserve">о да </w:t>
      </w:r>
      <w:r w:rsidRPr="000F0299">
        <w:rPr>
          <w:lang w:val="sr-Cyrl-RS"/>
        </w:rPr>
        <w:t>успостав</w:t>
      </w:r>
      <w:r>
        <w:rPr>
          <w:lang w:val="sr-Cyrl-RS"/>
        </w:rPr>
        <w:t>и</w:t>
      </w:r>
      <w:r w:rsidRPr="000F0299">
        <w:rPr>
          <w:lang w:val="sr-Cyrl-RS"/>
        </w:rPr>
        <w:t xml:space="preserve"> Регист</w:t>
      </w:r>
      <w:r>
        <w:rPr>
          <w:lang w:val="sr-Cyrl-RS"/>
        </w:rPr>
        <w:t>а</w:t>
      </w:r>
      <w:r w:rsidRPr="000F0299">
        <w:rPr>
          <w:lang w:val="sr-Cyrl-RS"/>
        </w:rPr>
        <w:t>р ималаца јавних овлашћења</w:t>
      </w:r>
      <w:r>
        <w:rPr>
          <w:lang w:val="sr-Cyrl-RS"/>
        </w:rPr>
        <w:t xml:space="preserve"> како би се обједињено евидентирали </w:t>
      </w:r>
      <w:r w:rsidRPr="000F0299">
        <w:rPr>
          <w:lang w:val="sr-Cyrl-RS"/>
        </w:rPr>
        <w:t>орган</w:t>
      </w:r>
      <w:r>
        <w:rPr>
          <w:lang w:val="sr-Cyrl-RS"/>
        </w:rPr>
        <w:t>и</w:t>
      </w:r>
      <w:r w:rsidRPr="000F0299">
        <w:rPr>
          <w:lang w:val="sr-Cyrl-RS"/>
        </w:rPr>
        <w:t xml:space="preserve"> јавне управе</w:t>
      </w:r>
      <w:r>
        <w:rPr>
          <w:lang w:val="sr-Cyrl-RS"/>
        </w:rPr>
        <w:t xml:space="preserve"> и</w:t>
      </w:r>
      <w:r w:rsidRPr="000F0299">
        <w:rPr>
          <w:lang w:val="sr-Cyrl-RS"/>
        </w:rPr>
        <w:t xml:space="preserve"> врсте </w:t>
      </w:r>
      <w:r>
        <w:rPr>
          <w:lang w:val="sr-Cyrl-RS"/>
        </w:rPr>
        <w:t xml:space="preserve">њихових </w:t>
      </w:r>
      <w:r w:rsidRPr="000F0299">
        <w:rPr>
          <w:lang w:val="sr-Cyrl-RS"/>
        </w:rPr>
        <w:t>овлашћења и јасно</w:t>
      </w:r>
      <w:r>
        <w:rPr>
          <w:lang w:val="sr-Cyrl-RS"/>
        </w:rPr>
        <w:t xml:space="preserve"> приказао </w:t>
      </w:r>
      <w:r w:rsidRPr="000F0299">
        <w:rPr>
          <w:lang w:val="sr-Cyrl-RS"/>
        </w:rPr>
        <w:t xml:space="preserve">однос вертикалне одговорности између </w:t>
      </w:r>
      <w:r>
        <w:rPr>
          <w:lang w:val="sr-Cyrl-RS"/>
        </w:rPr>
        <w:t>њих</w:t>
      </w:r>
      <w:r w:rsidRPr="000F0299">
        <w:rPr>
          <w:lang w:val="sr-Cyrl-RS"/>
        </w:rPr>
        <w:t xml:space="preserve">. </w:t>
      </w:r>
      <w:r>
        <w:rPr>
          <w:lang w:val="sr-Cyrl-RS"/>
        </w:rPr>
        <w:t>Пошто т</w:t>
      </w:r>
      <w:r w:rsidRPr="000F0299">
        <w:rPr>
          <w:lang w:val="sr-Cyrl-RS"/>
        </w:rPr>
        <w:t xml:space="preserve">а активност </w:t>
      </w:r>
      <w:r>
        <w:rPr>
          <w:lang w:val="sr-Cyrl-RS"/>
        </w:rPr>
        <w:t xml:space="preserve">није спроведена, </w:t>
      </w:r>
      <w:r w:rsidRPr="000F0299">
        <w:rPr>
          <w:lang w:val="sr-Cyrl-RS"/>
        </w:rPr>
        <w:t xml:space="preserve">пренета је у ову </w:t>
      </w:r>
      <w:r>
        <w:rPr>
          <w:lang w:val="sr-Cyrl-RS"/>
        </w:rPr>
        <w:t>с</w:t>
      </w:r>
      <w:r w:rsidRPr="000F0299">
        <w:rPr>
          <w:lang w:val="sr-Cyrl-RS"/>
        </w:rPr>
        <w:t xml:space="preserve">тратегију и </w:t>
      </w:r>
      <w:r>
        <w:rPr>
          <w:lang w:val="sr-Cyrl-RS"/>
        </w:rPr>
        <w:t>а</w:t>
      </w:r>
      <w:r w:rsidRPr="000F0299">
        <w:rPr>
          <w:lang w:val="sr-Cyrl-RS"/>
        </w:rPr>
        <w:t>кциони план</w:t>
      </w:r>
      <w:r>
        <w:rPr>
          <w:lang w:val="sr-Cyrl-RS"/>
        </w:rPr>
        <w:t xml:space="preserve"> за њено спровођење</w:t>
      </w:r>
      <w:r w:rsidRPr="000F0299">
        <w:rPr>
          <w:lang w:val="sr-Cyrl-RS"/>
        </w:rPr>
        <w:t xml:space="preserve">. Успостављању Регистра </w:t>
      </w:r>
      <w:r w:rsidRPr="0085491D">
        <w:rPr>
          <w:lang w:val="sr-Cyrl-RS"/>
        </w:rPr>
        <w:t xml:space="preserve">ималаца јавних овлашћења </w:t>
      </w:r>
      <w:r w:rsidRPr="000F0299">
        <w:rPr>
          <w:lang w:val="sr-Cyrl-RS"/>
        </w:rPr>
        <w:t>ће претходити свеобухватан попис органа јавне власти, а након спроведене анализе изра</w:t>
      </w:r>
      <w:r>
        <w:rPr>
          <w:lang w:val="sr-Cyrl-RS"/>
        </w:rPr>
        <w:t xml:space="preserve">диће се </w:t>
      </w:r>
      <w:r w:rsidRPr="000F0299">
        <w:rPr>
          <w:lang w:val="sr-Cyrl-RS"/>
        </w:rPr>
        <w:t xml:space="preserve">типологија органа јавне управе која ће садржати уједначене називе, дефиниције и опсег њихове надлежности, као и </w:t>
      </w:r>
      <w:r>
        <w:rPr>
          <w:lang w:val="sr-Cyrl-RS"/>
        </w:rPr>
        <w:t>утврђене</w:t>
      </w:r>
      <w:r w:rsidRPr="000F0299">
        <w:rPr>
          <w:lang w:val="sr-Cyrl-RS"/>
        </w:rPr>
        <w:t xml:space="preserve"> вертикалне линије одговорности. Наведени подаци ће омогућити </w:t>
      </w:r>
      <w:r>
        <w:rPr>
          <w:lang w:val="sr-Cyrl-RS"/>
        </w:rPr>
        <w:t xml:space="preserve">да се </w:t>
      </w:r>
      <w:r w:rsidRPr="000F0299">
        <w:rPr>
          <w:lang w:val="sr-Cyrl-RS"/>
        </w:rPr>
        <w:t>спров</w:t>
      </w:r>
      <w:r>
        <w:rPr>
          <w:lang w:val="sr-Cyrl-RS"/>
        </w:rPr>
        <w:t>еде</w:t>
      </w:r>
      <w:r w:rsidRPr="000F0299">
        <w:rPr>
          <w:lang w:val="sr-Cyrl-RS"/>
        </w:rPr>
        <w:t xml:space="preserve"> детаљн</w:t>
      </w:r>
      <w:r>
        <w:rPr>
          <w:lang w:val="sr-Cyrl-RS"/>
        </w:rPr>
        <w:t>а</w:t>
      </w:r>
      <w:r w:rsidRPr="000F0299">
        <w:rPr>
          <w:lang w:val="sr-Cyrl-RS"/>
        </w:rPr>
        <w:t xml:space="preserve"> хоризонталн</w:t>
      </w:r>
      <w:r>
        <w:rPr>
          <w:lang w:val="sr-Cyrl-RS"/>
        </w:rPr>
        <w:t>а</w:t>
      </w:r>
      <w:r w:rsidRPr="000F0299">
        <w:rPr>
          <w:lang w:val="sr-Cyrl-RS"/>
        </w:rPr>
        <w:t>, вертикалн</w:t>
      </w:r>
      <w:r>
        <w:rPr>
          <w:lang w:val="sr-Cyrl-RS"/>
        </w:rPr>
        <w:t>а</w:t>
      </w:r>
      <w:r w:rsidRPr="000F0299">
        <w:rPr>
          <w:lang w:val="sr-Cyrl-RS"/>
        </w:rPr>
        <w:t xml:space="preserve"> и системск</w:t>
      </w:r>
      <w:r>
        <w:rPr>
          <w:lang w:val="sr-Cyrl-RS"/>
        </w:rPr>
        <w:t>а</w:t>
      </w:r>
      <w:r w:rsidRPr="000F0299">
        <w:rPr>
          <w:lang w:val="sr-Cyrl-RS"/>
        </w:rPr>
        <w:t xml:space="preserve"> функционалн</w:t>
      </w:r>
      <w:r>
        <w:rPr>
          <w:lang w:val="sr-Cyrl-RS"/>
        </w:rPr>
        <w:t>а</w:t>
      </w:r>
      <w:r w:rsidRPr="000F0299">
        <w:rPr>
          <w:lang w:val="sr-Cyrl-RS"/>
        </w:rPr>
        <w:t xml:space="preserve"> анализ</w:t>
      </w:r>
      <w:r>
        <w:rPr>
          <w:lang w:val="sr-Cyrl-RS"/>
        </w:rPr>
        <w:t xml:space="preserve">а како би се </w:t>
      </w:r>
      <w:r w:rsidRPr="000F0299">
        <w:rPr>
          <w:lang w:val="sr-Cyrl-RS"/>
        </w:rPr>
        <w:t>утвр</w:t>
      </w:r>
      <w:r>
        <w:rPr>
          <w:lang w:val="sr-Cyrl-RS"/>
        </w:rPr>
        <w:t xml:space="preserve">дило који су </w:t>
      </w:r>
      <w:r w:rsidRPr="000F0299">
        <w:rPr>
          <w:lang w:val="sr-Cyrl-RS"/>
        </w:rPr>
        <w:t>послов</w:t>
      </w:r>
      <w:r>
        <w:rPr>
          <w:lang w:val="sr-Cyrl-RS"/>
        </w:rPr>
        <w:t>и</w:t>
      </w:r>
      <w:r w:rsidRPr="000F0299">
        <w:rPr>
          <w:lang w:val="sr-Cyrl-RS"/>
        </w:rPr>
        <w:t xml:space="preserve"> и зада</w:t>
      </w:r>
      <w:r>
        <w:rPr>
          <w:lang w:val="sr-Cyrl-RS"/>
        </w:rPr>
        <w:t>ци</w:t>
      </w:r>
      <w:r w:rsidRPr="000F0299">
        <w:rPr>
          <w:lang w:val="sr-Cyrl-RS"/>
        </w:rPr>
        <w:t xml:space="preserve"> јавне управе </w:t>
      </w:r>
      <w:r>
        <w:rPr>
          <w:lang w:val="sr-Cyrl-RS"/>
        </w:rPr>
        <w:t xml:space="preserve">потребни </w:t>
      </w:r>
      <w:r w:rsidRPr="000F0299">
        <w:rPr>
          <w:lang w:val="sr-Cyrl-RS"/>
        </w:rPr>
        <w:t>и избег</w:t>
      </w:r>
      <w:r>
        <w:rPr>
          <w:lang w:val="sr-Cyrl-RS"/>
        </w:rPr>
        <w:t>ло</w:t>
      </w:r>
      <w:r w:rsidRPr="000F0299">
        <w:rPr>
          <w:lang w:val="sr-Cyrl-RS"/>
        </w:rPr>
        <w:t xml:space="preserve"> преклапањ</w:t>
      </w:r>
      <w:r>
        <w:rPr>
          <w:lang w:val="sr-Cyrl-RS"/>
        </w:rPr>
        <w:t>е</w:t>
      </w:r>
      <w:r w:rsidRPr="000F0299">
        <w:rPr>
          <w:lang w:val="sr-Cyrl-RS"/>
        </w:rPr>
        <w:t xml:space="preserve"> надлежности. </w:t>
      </w:r>
      <w:r>
        <w:rPr>
          <w:lang w:val="sr-Cyrl-RS"/>
        </w:rPr>
        <w:t>Т</w:t>
      </w:r>
      <w:r w:rsidRPr="000F0299">
        <w:rPr>
          <w:lang w:val="sr-Cyrl-RS"/>
        </w:rPr>
        <w:t xml:space="preserve">а анализа ће бити основ за успостављање </w:t>
      </w:r>
      <w:r>
        <w:rPr>
          <w:lang w:val="sr-Cyrl-RS"/>
        </w:rPr>
        <w:t xml:space="preserve">најбоље </w:t>
      </w:r>
      <w:r w:rsidRPr="000F0299">
        <w:rPr>
          <w:lang w:val="sr-Cyrl-RS"/>
        </w:rPr>
        <w:t xml:space="preserve">организације. У </w:t>
      </w:r>
      <w:r>
        <w:rPr>
          <w:lang w:val="sr-Cyrl-RS"/>
        </w:rPr>
        <w:t xml:space="preserve">првих </w:t>
      </w:r>
      <w:r w:rsidRPr="000F0299">
        <w:rPr>
          <w:lang w:val="sr-Cyrl-RS"/>
        </w:rPr>
        <w:t xml:space="preserve">пет година </w:t>
      </w:r>
      <w:r>
        <w:rPr>
          <w:lang w:val="sr-Cyrl-RS"/>
        </w:rPr>
        <w:t xml:space="preserve">спровођења ове стратегије у овој области </w:t>
      </w:r>
      <w:r w:rsidRPr="000F0299">
        <w:rPr>
          <w:lang w:val="sr-Cyrl-RS"/>
        </w:rPr>
        <w:t xml:space="preserve">фокус </w:t>
      </w:r>
      <w:r>
        <w:rPr>
          <w:lang w:val="sr-Cyrl-RS"/>
        </w:rPr>
        <w:t xml:space="preserve">је </w:t>
      </w:r>
      <w:r w:rsidRPr="000F0299">
        <w:rPr>
          <w:lang w:val="sr-Cyrl-RS"/>
        </w:rPr>
        <w:t>на мерењ</w:t>
      </w:r>
      <w:r>
        <w:rPr>
          <w:lang w:val="sr-Cyrl-RS"/>
        </w:rPr>
        <w:t>у</w:t>
      </w:r>
      <w:r w:rsidRPr="000F0299">
        <w:rPr>
          <w:lang w:val="sr-Cyrl-RS"/>
        </w:rPr>
        <w:t xml:space="preserve"> учинка институција, </w:t>
      </w:r>
      <w:r>
        <w:rPr>
          <w:lang w:val="sr-Cyrl-RS"/>
        </w:rPr>
        <w:t xml:space="preserve">које ће се спроводити у оквиру посебне мере која обухвата </w:t>
      </w:r>
      <w:r w:rsidRPr="000F0299">
        <w:rPr>
          <w:lang w:val="sr-Cyrl-RS"/>
        </w:rPr>
        <w:t>планирање, организационе промене</w:t>
      </w:r>
      <w:r>
        <w:rPr>
          <w:lang w:val="sr-Cyrl-RS"/>
        </w:rPr>
        <w:t xml:space="preserve"> и друге активности</w:t>
      </w:r>
      <w:r w:rsidRPr="000F0299">
        <w:rPr>
          <w:lang w:val="sr-Cyrl-RS"/>
        </w:rPr>
        <w:t xml:space="preserve">. </w:t>
      </w:r>
      <w:r>
        <w:rPr>
          <w:lang w:val="sr-Cyrl-RS"/>
        </w:rPr>
        <w:t xml:space="preserve">Друга посебна мера која је предвиђена за ову </w:t>
      </w:r>
      <w:r w:rsidRPr="000F0299">
        <w:rPr>
          <w:lang w:val="sr-Cyrl-RS"/>
        </w:rPr>
        <w:t>област</w:t>
      </w:r>
      <w:r>
        <w:rPr>
          <w:lang w:val="sr-Cyrl-RS"/>
        </w:rPr>
        <w:t xml:space="preserve"> усмерена је на</w:t>
      </w:r>
      <w:r w:rsidRPr="000F0299">
        <w:rPr>
          <w:lang w:val="sr-Cyrl-RS"/>
        </w:rPr>
        <w:t xml:space="preserve"> стварањ</w:t>
      </w:r>
      <w:r>
        <w:rPr>
          <w:lang w:val="sr-Cyrl-RS"/>
        </w:rPr>
        <w:t>е</w:t>
      </w:r>
      <w:r w:rsidRPr="000F0299">
        <w:rPr>
          <w:lang w:val="sr-Cyrl-RS"/>
        </w:rPr>
        <w:t xml:space="preserve"> предуслова за успостављање ефикасне етичке инфраструктуре у јавној управи, тј. ефикаснијег система за спречавање корупције у органима јавне управе. </w:t>
      </w:r>
      <w:r>
        <w:rPr>
          <w:lang w:val="sr-Cyrl-RS"/>
        </w:rPr>
        <w:t xml:space="preserve">Та мера обухвата </w:t>
      </w:r>
      <w:r w:rsidRPr="000F0299">
        <w:rPr>
          <w:lang w:val="sr-Cyrl-RS"/>
        </w:rPr>
        <w:t>измене и допуне Закона о слободном приступу информацијама од јавног значаја и Закона о Заштитнику грађана</w:t>
      </w:r>
      <w:r>
        <w:rPr>
          <w:lang w:val="sr-Cyrl-RS"/>
        </w:rPr>
        <w:t>, а с</w:t>
      </w:r>
      <w:r w:rsidRPr="000F0299">
        <w:rPr>
          <w:lang w:val="sr-Cyrl-RS"/>
        </w:rPr>
        <w:t xml:space="preserve">провођење </w:t>
      </w:r>
      <w:r>
        <w:rPr>
          <w:lang w:val="sr-Cyrl-RS"/>
        </w:rPr>
        <w:t>т</w:t>
      </w:r>
      <w:r w:rsidRPr="000F0299">
        <w:rPr>
          <w:lang w:val="sr-Cyrl-RS"/>
        </w:rPr>
        <w:t>их активности треба додатно</w:t>
      </w:r>
      <w:r>
        <w:rPr>
          <w:lang w:val="sr-Cyrl-RS"/>
        </w:rPr>
        <w:t xml:space="preserve"> да </w:t>
      </w:r>
      <w:r w:rsidRPr="000F0299">
        <w:rPr>
          <w:lang w:val="sr-Cyrl-RS"/>
        </w:rPr>
        <w:t>приближи функционисање јавне управе Републике Србије принципима ЕУ/</w:t>
      </w:r>
      <w:r w:rsidRPr="001C1D72">
        <w:rPr>
          <w:i/>
          <w:lang w:val="sr-Cyrl-RS"/>
        </w:rPr>
        <w:t>OECD</w:t>
      </w:r>
      <w:r w:rsidRPr="000F0299">
        <w:rPr>
          <w:lang w:val="sr-Cyrl-RS"/>
        </w:rPr>
        <w:t xml:space="preserve"> </w:t>
      </w:r>
      <w:r>
        <w:rPr>
          <w:lang w:val="sr-Cyrl-RS"/>
        </w:rPr>
        <w:t xml:space="preserve">који захтевају да грађани </w:t>
      </w:r>
      <w:r w:rsidRPr="000F0299">
        <w:rPr>
          <w:lang w:val="sr-Cyrl-RS"/>
        </w:rPr>
        <w:t>доследно оствар</w:t>
      </w:r>
      <w:r>
        <w:rPr>
          <w:lang w:val="sr-Cyrl-RS"/>
        </w:rPr>
        <w:t xml:space="preserve">ују своја </w:t>
      </w:r>
      <w:r w:rsidRPr="000F0299">
        <w:rPr>
          <w:lang w:val="sr-Cyrl-RS"/>
        </w:rPr>
        <w:t xml:space="preserve">права на слободан приступ информацијама од јавног значаја и </w:t>
      </w:r>
      <w:r>
        <w:rPr>
          <w:lang w:val="sr-Cyrl-RS"/>
        </w:rPr>
        <w:t xml:space="preserve">да </w:t>
      </w:r>
      <w:r w:rsidRPr="000F0299">
        <w:rPr>
          <w:lang w:val="sr-Cyrl-RS"/>
        </w:rPr>
        <w:t>постој</w:t>
      </w:r>
      <w:r>
        <w:rPr>
          <w:lang w:val="sr-Cyrl-RS"/>
        </w:rPr>
        <w:t>и</w:t>
      </w:r>
      <w:r w:rsidRPr="000F0299">
        <w:rPr>
          <w:lang w:val="sr-Cyrl-RS"/>
        </w:rPr>
        <w:t xml:space="preserve"> функционал</w:t>
      </w:r>
      <w:r>
        <w:rPr>
          <w:lang w:val="sr-Cyrl-RS"/>
        </w:rPr>
        <w:t>а</w:t>
      </w:r>
      <w:r w:rsidRPr="000F0299">
        <w:rPr>
          <w:lang w:val="sr-Cyrl-RS"/>
        </w:rPr>
        <w:t>н механиз</w:t>
      </w:r>
      <w:r>
        <w:rPr>
          <w:lang w:val="sr-Cyrl-RS"/>
        </w:rPr>
        <w:t>а</w:t>
      </w:r>
      <w:r w:rsidRPr="000F0299">
        <w:rPr>
          <w:lang w:val="sr-Cyrl-RS"/>
        </w:rPr>
        <w:t>м за заштиту права грађана на добру управу и заштиту јавног интереса.</w:t>
      </w:r>
    </w:p>
    <w:p w14:paraId="73A359B1" w14:textId="77777777" w:rsidR="00CE6AC1" w:rsidRPr="000F0299" w:rsidRDefault="00CE6AC1" w:rsidP="00CE6AC1">
      <w:pPr>
        <w:pStyle w:val="Heading4"/>
        <w:rPr>
          <w:rStyle w:val="Emphasis"/>
          <w:lang w:val="sr-Cyrl-RS"/>
        </w:rPr>
      </w:pPr>
      <w:bookmarkStart w:id="194" w:name="_Toc51601628"/>
      <w:r w:rsidRPr="000F0299">
        <w:rPr>
          <w:rStyle w:val="Emphasis"/>
          <w:lang w:val="sr-Cyrl-RS"/>
        </w:rPr>
        <w:t>Правни и стратешки оквир</w:t>
      </w:r>
      <w:bookmarkEnd w:id="194"/>
    </w:p>
    <w:p w14:paraId="5CB4E278" w14:textId="77777777" w:rsidR="00CE6AC1" w:rsidRPr="000F0299" w:rsidRDefault="00CE6AC1" w:rsidP="00CE6AC1">
      <w:pPr>
        <w:rPr>
          <w:bCs/>
        </w:rPr>
      </w:pPr>
      <w:r w:rsidRPr="000F0299">
        <w:t xml:space="preserve">У АП Стратегије РЈУ за 2018–2020. године посебан циљ који се </w:t>
      </w:r>
      <w:r>
        <w:t xml:space="preserve">планирао остварити у </w:t>
      </w:r>
      <w:r w:rsidRPr="000F0299">
        <w:t>ов</w:t>
      </w:r>
      <w:r>
        <w:t xml:space="preserve">ој </w:t>
      </w:r>
      <w:r w:rsidRPr="000F0299">
        <w:t>област</w:t>
      </w:r>
      <w:r>
        <w:t>и</w:t>
      </w:r>
      <w:r w:rsidRPr="000F0299">
        <w:t xml:space="preserve"> </w:t>
      </w:r>
      <w:r>
        <w:t xml:space="preserve">био је </w:t>
      </w:r>
      <w:r w:rsidRPr="000F0299">
        <w:rPr>
          <w:iCs/>
        </w:rPr>
        <w:t>повећање партиципације грађана, транспарентност, унапређење етичких стандарда и одговорност у обављању послова.</w:t>
      </w:r>
      <w:r w:rsidRPr="000F0299">
        <w:t xml:space="preserve"> У Извештају о спровођењу </w:t>
      </w:r>
      <w:r>
        <w:t xml:space="preserve">тог плана </w:t>
      </w:r>
      <w:r w:rsidRPr="000F0299">
        <w:t xml:space="preserve">за 2019. годину наведено је да је спроведено 38% </w:t>
      </w:r>
      <w:r>
        <w:t xml:space="preserve">планираних </w:t>
      </w:r>
      <w:r w:rsidRPr="000F0299">
        <w:t xml:space="preserve">активности и остварено 33% </w:t>
      </w:r>
      <w:r>
        <w:t xml:space="preserve">планираних </w:t>
      </w:r>
      <w:r w:rsidRPr="000F0299">
        <w:t>резултата у овој области.</w:t>
      </w:r>
    </w:p>
    <w:p w14:paraId="22610983" w14:textId="77777777" w:rsidR="00CE6AC1" w:rsidRPr="000F0299" w:rsidRDefault="00CE6AC1" w:rsidP="00CE6AC1">
      <w:pPr>
        <w:rPr>
          <w:bCs/>
        </w:rPr>
      </w:pPr>
      <w:r w:rsidRPr="000F0299">
        <w:t xml:space="preserve">У циљу што боље усклађености рада јавне управе са принципима добре управе до </w:t>
      </w:r>
      <w:r>
        <w:t>2020. године</w:t>
      </w:r>
      <w:r w:rsidRPr="000F0299">
        <w:t xml:space="preserve"> је у великој мери унапређен законодавни оквир који регулише области транспарентности, јавности рада, одговорности и управљања људским ресурсима.</w:t>
      </w:r>
      <w:r>
        <w:t xml:space="preserve"> То су Закон о државној управи, Закон о државним службеницима, Закон о локалној самоуправи </w:t>
      </w:r>
      <w:r w:rsidRPr="00441BE2">
        <w:rPr>
          <w:lang w:val="ru-RU"/>
        </w:rPr>
        <w:t>(„Службени гласник РС”, бр. 129/07,</w:t>
      </w:r>
      <w:r w:rsidRPr="00441BE2">
        <w:t> </w:t>
      </w:r>
      <w:r w:rsidRPr="00441BE2">
        <w:rPr>
          <w:lang w:val="ru-RU"/>
        </w:rPr>
        <w:t xml:space="preserve">83/14 </w:t>
      </w:r>
      <w:r>
        <w:rPr>
          <w:lang w:val="ru-RU"/>
        </w:rPr>
        <w:t>–</w:t>
      </w:r>
      <w:r w:rsidRPr="00441BE2">
        <w:t> </w:t>
      </w:r>
      <w:r w:rsidRPr="00441BE2">
        <w:rPr>
          <w:lang w:val="ru-RU"/>
        </w:rPr>
        <w:t>др. закон,</w:t>
      </w:r>
      <w:r w:rsidRPr="00441BE2">
        <w:t> </w:t>
      </w:r>
      <w:r w:rsidRPr="00441BE2">
        <w:rPr>
          <w:lang w:val="ru-RU"/>
        </w:rPr>
        <w:t xml:space="preserve">101/16 </w:t>
      </w:r>
      <w:r>
        <w:rPr>
          <w:lang w:val="ru-RU"/>
        </w:rPr>
        <w:t>–</w:t>
      </w:r>
      <w:r w:rsidRPr="00441BE2">
        <w:t> </w:t>
      </w:r>
      <w:r w:rsidRPr="00441BE2">
        <w:rPr>
          <w:lang w:val="ru-RU"/>
        </w:rPr>
        <w:t>др. закон, 47/18</w:t>
      </w:r>
      <w:r>
        <w:rPr>
          <w:lang w:val="ru-RU"/>
        </w:rPr>
        <w:t xml:space="preserve">), Закон о слободном приступу информацијама од јавног значаја </w:t>
      </w:r>
      <w:r w:rsidRPr="00441BE2">
        <w:t>(,,Службени гласник РС”, бр. 120/04, 54/07, 104/09, 36/10</w:t>
      </w:r>
      <w:r>
        <w:t xml:space="preserve">), Закон о платама државних службеника и намештеника, </w:t>
      </w:r>
      <w:r w:rsidRPr="00441BE2">
        <w:t>Закон о запосленима у аутономним покрајинама и јединицама локалне самоуправе</w:t>
      </w:r>
      <w:r>
        <w:t xml:space="preserve">, </w:t>
      </w:r>
      <w:r w:rsidRPr="00441BE2">
        <w:t>Закон о платама службеника и намештеника у органима аутономне покрајине и јединице локалне самоуправе</w:t>
      </w:r>
      <w:r>
        <w:t xml:space="preserve">, </w:t>
      </w:r>
      <w:r w:rsidRPr="008C7D53">
        <w:t>Закон о начину одређивања максималног броја запослених у јавном сектору</w:t>
      </w:r>
      <w:r>
        <w:t xml:space="preserve">, </w:t>
      </w:r>
      <w:r w:rsidRPr="008C7D53">
        <w:t>Закон о запосленима у јавним службама</w:t>
      </w:r>
      <w:r>
        <w:t xml:space="preserve">, </w:t>
      </w:r>
      <w:r w:rsidRPr="008C7D53">
        <w:t>Закон о систему плата запослених у јавном сектору</w:t>
      </w:r>
      <w:r>
        <w:t xml:space="preserve">, </w:t>
      </w:r>
      <w:r w:rsidRPr="008C7D53">
        <w:t>Закон о платама запослених у јавним агенцијама и другим организацијама које је основала Република Србија, аутономна покрајина или јединица локалне самоуправе</w:t>
      </w:r>
      <w:r>
        <w:t xml:space="preserve"> и </w:t>
      </w:r>
      <w:r w:rsidRPr="008C7D53">
        <w:t>Закон о инспекцијском надзору (,,Службени гласник РС“</w:t>
      </w:r>
      <w:r>
        <w:t>”</w:t>
      </w:r>
      <w:r w:rsidRPr="008C7D53">
        <w:t>, бр. 36/15, 44/18 -</w:t>
      </w:r>
      <w:r>
        <w:t xml:space="preserve"> </w:t>
      </w:r>
      <w:r w:rsidRPr="008C7D53">
        <w:t> др. закон, 95/18.)</w:t>
      </w:r>
      <w:r>
        <w:t xml:space="preserve">. </w:t>
      </w:r>
      <w:r w:rsidRPr="000F0299">
        <w:rPr>
          <w:iCs/>
        </w:rPr>
        <w:t xml:space="preserve"> </w:t>
      </w:r>
      <w:bookmarkStart w:id="195" w:name="_Hlk50981557"/>
      <w:r w:rsidRPr="000F0299">
        <w:t>ЗПС проширује управљачку одговорност на креирање јавних политика (вертикална компонента), уводи мерљиве показатеље и праћење спровођења планских документа</w:t>
      </w:r>
      <w:bookmarkEnd w:id="195"/>
      <w:r w:rsidRPr="000F0299">
        <w:t xml:space="preserve">, </w:t>
      </w:r>
      <w:r>
        <w:t xml:space="preserve">који омогућавају да се лакше </w:t>
      </w:r>
      <w:r w:rsidRPr="000F0299">
        <w:t>успостав</w:t>
      </w:r>
      <w:r>
        <w:t>и</w:t>
      </w:r>
      <w:r w:rsidRPr="000F0299">
        <w:t xml:space="preserve"> </w:t>
      </w:r>
      <w:r>
        <w:t>тај</w:t>
      </w:r>
      <w:r w:rsidRPr="000F0299">
        <w:t xml:space="preserve"> вид одговорности</w:t>
      </w:r>
      <w:r>
        <w:t xml:space="preserve"> и да </w:t>
      </w:r>
      <w:r w:rsidRPr="000F0299">
        <w:t>институциј</w:t>
      </w:r>
      <w:r>
        <w:t>е</w:t>
      </w:r>
      <w:r w:rsidRPr="000F0299">
        <w:t xml:space="preserve"> и њихови функционални делов</w:t>
      </w:r>
      <w:r>
        <w:t xml:space="preserve">и лакше </w:t>
      </w:r>
      <w:r w:rsidRPr="000F0299">
        <w:t>утвр</w:t>
      </w:r>
      <w:r>
        <w:t>де</w:t>
      </w:r>
      <w:r w:rsidRPr="000F0299">
        <w:t xml:space="preserve"> мерљив</w:t>
      </w:r>
      <w:r>
        <w:t>е</w:t>
      </w:r>
      <w:r w:rsidRPr="000F0299">
        <w:t xml:space="preserve"> циљев</w:t>
      </w:r>
      <w:r>
        <w:t>е</w:t>
      </w:r>
      <w:r w:rsidRPr="000F0299">
        <w:t xml:space="preserve"> и показатељ</w:t>
      </w:r>
      <w:r>
        <w:t>е</w:t>
      </w:r>
      <w:r w:rsidRPr="000F0299">
        <w:t xml:space="preserve">. </w:t>
      </w:r>
      <w:r>
        <w:t>Т</w:t>
      </w:r>
      <w:r w:rsidRPr="000F0299">
        <w:t xml:space="preserve">ај закон </w:t>
      </w:r>
      <w:bookmarkStart w:id="196" w:name="_Hlk50981597"/>
      <w:r w:rsidRPr="000F0299">
        <w:t xml:space="preserve">садржи </w:t>
      </w:r>
      <w:r>
        <w:t xml:space="preserve">и </w:t>
      </w:r>
      <w:r w:rsidRPr="000F0299">
        <w:t xml:space="preserve">одредбе које </w:t>
      </w:r>
      <w:r>
        <w:t xml:space="preserve">се односе на већу </w:t>
      </w:r>
      <w:r w:rsidRPr="000F0299">
        <w:t>информисаност и учешће јавности у припреми</w:t>
      </w:r>
      <w:r>
        <w:t xml:space="preserve"> докумената</w:t>
      </w:r>
      <w:r w:rsidRPr="000F0299">
        <w:t xml:space="preserve"> јавних политика и прописа</w:t>
      </w:r>
      <w:bookmarkStart w:id="197" w:name="_Hlk40607782"/>
      <w:r w:rsidRPr="000F0299">
        <w:t xml:space="preserve">. </w:t>
      </w:r>
      <w:bookmarkStart w:id="198" w:name="_Hlk50981691"/>
      <w:bookmarkEnd w:id="196"/>
      <w:r w:rsidRPr="0046371B">
        <w:t xml:space="preserve">Закон о буџетском систему </w:t>
      </w:r>
      <w:bookmarkEnd w:id="197"/>
      <w:r w:rsidRPr="00AB4FED">
        <w:t xml:space="preserve">дефинисао је управљачку одговорност </w:t>
      </w:r>
      <w:bookmarkEnd w:id="198"/>
      <w:r w:rsidRPr="00AB4FED">
        <w:t>као „обавезу руководилаца свих нивоа код корисника јавних средстава да све послове обављају законито, поштујући принципе економичности, ефективности, ефикасности и јавности, као и да за своје одлуке, поступке и резултате одговарају ономе који их је именовао или им пренео одговорност”.</w:t>
      </w:r>
      <w:r w:rsidRPr="00AB4FED" w:rsidDel="00662BFF">
        <w:t xml:space="preserve"> </w:t>
      </w:r>
      <w:r w:rsidRPr="00AB4FED">
        <w:t xml:space="preserve">Основне одредбе из </w:t>
      </w:r>
      <w:r w:rsidRPr="0046371B">
        <w:t>Закона о буџетском систему</w:t>
      </w:r>
      <w:r w:rsidRPr="00AB4FED">
        <w:t xml:space="preserve"> о управљачкој одговорности су детаљније разрађене у Приручнику за финансијско</w:t>
      </w:r>
      <w:r w:rsidRPr="002B797D">
        <w:t xml:space="preserve"> управљање и контролу,</w:t>
      </w:r>
      <w:r w:rsidRPr="000F0299">
        <w:t xml:space="preserve"> као и у методолошким смерницама које израђује </w:t>
      </w:r>
      <w:bookmarkStart w:id="199" w:name="_Hlk40607800"/>
      <w:r w:rsidRPr="000F0299">
        <w:t>Централна јединица за хармонизацију (у даљем тексту: ЦЈХ</w:t>
      </w:r>
      <w:bookmarkEnd w:id="199"/>
      <w:r w:rsidRPr="000F0299">
        <w:t>).</w:t>
      </w:r>
      <w:r w:rsidRPr="000F0299">
        <w:rPr>
          <w:vertAlign w:val="superscript"/>
        </w:rPr>
        <w:footnoteReference w:id="213"/>
      </w:r>
      <w:r w:rsidRPr="000F0299">
        <w:t xml:space="preserve"> Ипак, </w:t>
      </w:r>
      <w:r w:rsidRPr="000F0299">
        <w:rPr>
          <w:b/>
          <w:bCs/>
        </w:rPr>
        <w:t>ови прописи још увек се налазе у раној фази примене</w:t>
      </w:r>
      <w:r w:rsidRPr="000F0299">
        <w:t>.</w:t>
      </w:r>
    </w:p>
    <w:p w14:paraId="7FB699FD" w14:textId="77777777" w:rsidR="00CE6AC1" w:rsidRPr="000F0299" w:rsidRDefault="00CE6AC1" w:rsidP="00CE6AC1">
      <w:r w:rsidRPr="000F0299">
        <w:t xml:space="preserve">У области одговорности, </w:t>
      </w:r>
      <w:r>
        <w:t>до 2021. године</w:t>
      </w:r>
      <w:r w:rsidRPr="000F0299">
        <w:t xml:space="preserve"> донети су закони који су значајни за управљање сукобом интереса јавних функционера, државних службеника, запослених у АП и јединицама локалне самоуправе, као и јавним службама. </w:t>
      </w:r>
      <w:r>
        <w:t>Т</w:t>
      </w:r>
      <w:r w:rsidRPr="000F0299">
        <w:t>и закони, уз Закон о заштити узбуњивача</w:t>
      </w:r>
      <w:r>
        <w:t xml:space="preserve"> </w:t>
      </w:r>
      <w:r w:rsidRPr="008C7D53">
        <w:t>(,,Службени гласник РС</w:t>
      </w:r>
      <w:r>
        <w:t>”</w:t>
      </w:r>
      <w:r w:rsidRPr="008C7D53">
        <w:t>, бр</w:t>
      </w:r>
      <w:r>
        <w:t>ој</w:t>
      </w:r>
      <w:r w:rsidRPr="008C7D53">
        <w:t xml:space="preserve"> 128/</w:t>
      </w:r>
      <w:r w:rsidRPr="00AB4FED">
        <w:t>14)</w:t>
      </w:r>
      <w:r w:rsidRPr="00AB4FED">
        <w:rPr>
          <w:rStyle w:val="FootnoteReference"/>
          <w:color w:val="000000"/>
        </w:rPr>
        <w:footnoteReference w:id="214"/>
      </w:r>
      <w:r w:rsidRPr="000F0299">
        <w:t xml:space="preserve"> и локалне антикорупцијске планове</w:t>
      </w:r>
      <w:r>
        <w:t>,</w:t>
      </w:r>
      <w:r w:rsidRPr="000F0299">
        <w:rPr>
          <w:rStyle w:val="FootnoteReference"/>
          <w:color w:val="000000"/>
        </w:rPr>
        <w:footnoteReference w:id="215"/>
      </w:r>
      <w:r w:rsidRPr="000F0299">
        <w:t xml:space="preserve"> садрже одређене елементе који се могу третирати као почетни кораци ка успостављању свеобухватне и ефикасне етичке инфраструктуре у јавној управи, у складу са 12 начела </w:t>
      </w:r>
      <w:r w:rsidRPr="00AB4FED">
        <w:rPr>
          <w:i/>
          <w:lang w:val="sr-Latn-RS"/>
        </w:rPr>
        <w:t>OECD</w:t>
      </w:r>
      <w:r w:rsidRPr="000F0299">
        <w:rPr>
          <w:rStyle w:val="FootnoteReference"/>
          <w:color w:val="000000"/>
        </w:rPr>
        <w:footnoteReference w:id="216"/>
      </w:r>
      <w:r w:rsidRPr="000F0299">
        <w:t xml:space="preserve"> и упоредним искуствима. </w:t>
      </w:r>
    </w:p>
    <w:p w14:paraId="1B3E6FFB" w14:textId="77777777" w:rsidR="00CE6AC1" w:rsidRPr="000F0299" w:rsidRDefault="00CE6AC1" w:rsidP="00CE6AC1">
      <w:pPr>
        <w:rPr>
          <w:bCs/>
        </w:rPr>
      </w:pPr>
      <w:r>
        <w:t xml:space="preserve">Да би се </w:t>
      </w:r>
      <w:r w:rsidRPr="000F0299">
        <w:t>корисницима јавних средстава помог</w:t>
      </w:r>
      <w:r>
        <w:t>ло</w:t>
      </w:r>
      <w:r w:rsidRPr="000F0299">
        <w:t xml:space="preserve"> да разумеју концепт управљачке одговорности, као и да </w:t>
      </w:r>
      <w:r>
        <w:t xml:space="preserve">би тај концепт могао да се </w:t>
      </w:r>
      <w:r w:rsidRPr="000F0299">
        <w:t>успостав</w:t>
      </w:r>
      <w:r>
        <w:t>и</w:t>
      </w:r>
      <w:r w:rsidRPr="000F0299">
        <w:t xml:space="preserve"> у институцијама у складу са постојећим прописима и организационом структуром, израђене су Смернице о концепту управљачке одговорности.</w:t>
      </w:r>
      <w:r w:rsidRPr="000F0299">
        <w:rPr>
          <w:rStyle w:val="FootnoteReference"/>
          <w:color w:val="000000"/>
        </w:rPr>
        <w:footnoteReference w:id="217"/>
      </w:r>
      <w:r w:rsidRPr="000F0299">
        <w:t xml:space="preserve"> Нови и ажурирани документи ЦЈХ </w:t>
      </w:r>
      <w:r>
        <w:t xml:space="preserve">ће </w:t>
      </w:r>
      <w:r w:rsidRPr="000F0299">
        <w:t>за унапређење одговорности руководилаца и запослених у јавној управи</w:t>
      </w:r>
      <w:r>
        <w:t xml:space="preserve"> </w:t>
      </w:r>
      <w:r w:rsidRPr="000F0299">
        <w:t>пружи</w:t>
      </w:r>
      <w:r>
        <w:t xml:space="preserve">ти </w:t>
      </w:r>
      <w:r w:rsidRPr="000F0299">
        <w:t xml:space="preserve">подршку </w:t>
      </w:r>
      <w:r>
        <w:t xml:space="preserve">за </w:t>
      </w:r>
      <w:r w:rsidRPr="000F0299">
        <w:t>управљање јавним средствима у складу са принципима интерне финансијске контроле, а ради остваривања стратешких циљева јавног сектора и јачања транспарентности и одговорности у вршењу функција државне управе (Смернице о учинку,</w:t>
      </w:r>
      <w:r w:rsidRPr="000F0299">
        <w:rPr>
          <w:vertAlign w:val="superscript"/>
        </w:rPr>
        <w:footnoteReference w:id="218"/>
      </w:r>
      <w:r w:rsidRPr="000F0299">
        <w:t xml:space="preserve"> Смернице о делегирању,</w:t>
      </w:r>
      <w:r w:rsidRPr="000F0299">
        <w:rPr>
          <w:vertAlign w:val="superscript"/>
        </w:rPr>
        <w:footnoteReference w:id="219"/>
      </w:r>
      <w:r w:rsidRPr="000F0299">
        <w:t xml:space="preserve"> Смернице о финансијском управљању и контроли за мале </w:t>
      </w:r>
      <w:bookmarkStart w:id="200" w:name="_Hlk40607849"/>
      <w:r w:rsidRPr="000F0299">
        <w:t xml:space="preserve">КЈС, </w:t>
      </w:r>
      <w:r w:rsidRPr="00DB57DD">
        <w:t>Приручник за финансијско управљање и контролу</w:t>
      </w:r>
      <w:bookmarkEnd w:id="200"/>
      <w:r w:rsidRPr="000F0299">
        <w:t>, смернице за финансијске јединице за извештавање о неправилностима и за сагледавање квалитета система интерних контрола).</w:t>
      </w:r>
    </w:p>
    <w:p w14:paraId="455AA768" w14:textId="77777777" w:rsidR="00CE6AC1" w:rsidRPr="000F0299" w:rsidRDefault="00CE6AC1" w:rsidP="00CE6AC1">
      <w:r w:rsidRPr="000F0299">
        <w:t>Припремљен је Акциони план за спровођење препорука из Хоризонталне функционалне анализе Светске банке</w:t>
      </w:r>
      <w:r>
        <w:t>,</w:t>
      </w:r>
      <w:r w:rsidRPr="000F0299">
        <w:rPr>
          <w:rStyle w:val="FootnoteReference"/>
          <w:color w:val="000000"/>
        </w:rPr>
        <w:footnoteReference w:id="220"/>
      </w:r>
      <w:r w:rsidRPr="000F0299">
        <w:t xml:space="preserve"> који пружа елементе реорганизације, значајне за успостављање јаснијих линија одговорности. Регистар носилаца јавних овлашћења још није формиран, али је припремљена Студија изводљивости</w:t>
      </w:r>
      <w:r>
        <w:t>,</w:t>
      </w:r>
      <w:r w:rsidRPr="000F0299">
        <w:t xml:space="preserve"> као и Методологија развоја и успостављања јединствене евиденције ималаца јавних овлашћења у Републици Србији.</w:t>
      </w:r>
    </w:p>
    <w:p w14:paraId="41D5159A" w14:textId="77777777" w:rsidR="00CE6AC1" w:rsidRPr="000F0299" w:rsidRDefault="00CE6AC1" w:rsidP="00CE6AC1">
      <w:pPr>
        <w:pStyle w:val="Heading4"/>
        <w:rPr>
          <w:rStyle w:val="Emphasis"/>
          <w:lang w:val="sr-Cyrl-RS"/>
        </w:rPr>
      </w:pPr>
      <w:bookmarkStart w:id="201" w:name="_Toc51601629"/>
      <w:r w:rsidRPr="000F0299">
        <w:rPr>
          <w:rStyle w:val="Emphasis"/>
          <w:lang w:val="sr-Cyrl-RS"/>
        </w:rPr>
        <w:t xml:space="preserve">Резултати и </w:t>
      </w:r>
      <w:bookmarkEnd w:id="201"/>
      <w:r w:rsidRPr="000F0299">
        <w:rPr>
          <w:rStyle w:val="Emphasis"/>
          <w:lang w:val="sr-Cyrl-RS"/>
        </w:rPr>
        <w:t>изазови</w:t>
      </w:r>
    </w:p>
    <w:p w14:paraId="26AA801A" w14:textId="77777777" w:rsidR="00CE6AC1" w:rsidRPr="000F0299" w:rsidRDefault="00CE6AC1" w:rsidP="00CE6AC1">
      <w:r w:rsidRPr="000F0299">
        <w:t xml:space="preserve">У протеклом периоду </w:t>
      </w:r>
      <w:r>
        <w:rPr>
          <w:b/>
          <w:bCs/>
        </w:rPr>
        <w:t>повећана</w:t>
      </w:r>
      <w:r w:rsidRPr="000F0299">
        <w:rPr>
          <w:b/>
          <w:bCs/>
        </w:rPr>
        <w:t xml:space="preserve"> је </w:t>
      </w:r>
      <w:bookmarkStart w:id="202" w:name="_Hlk51333538"/>
      <w:r w:rsidRPr="000F0299">
        <w:rPr>
          <w:b/>
          <w:bCs/>
        </w:rPr>
        <w:t>транспарентност рада јавне управе</w:t>
      </w:r>
      <w:bookmarkEnd w:id="202"/>
      <w:r w:rsidRPr="000F0299">
        <w:t xml:space="preserve">. </w:t>
      </w:r>
      <w:r>
        <w:t xml:space="preserve">Кроз ЗПС је уведена </w:t>
      </w:r>
      <w:r w:rsidRPr="000F0299">
        <w:t>закон</w:t>
      </w:r>
      <w:r>
        <w:t>ска</w:t>
      </w:r>
      <w:r w:rsidRPr="000F0299">
        <w:t xml:space="preserve"> обавеза </w:t>
      </w:r>
      <w:r>
        <w:t xml:space="preserve">да се </w:t>
      </w:r>
      <w:r w:rsidRPr="000F0299">
        <w:t>објав</w:t>
      </w:r>
      <w:r>
        <w:t>и</w:t>
      </w:r>
      <w:r w:rsidRPr="000F0299">
        <w:t xml:space="preserve"> почет</w:t>
      </w:r>
      <w:r>
        <w:t>а</w:t>
      </w:r>
      <w:r w:rsidRPr="000F0299">
        <w:t>к припреме документа јавн</w:t>
      </w:r>
      <w:r>
        <w:t>е</w:t>
      </w:r>
      <w:r w:rsidRPr="000F0299">
        <w:t xml:space="preserve"> политик</w:t>
      </w:r>
      <w:r>
        <w:t>е</w:t>
      </w:r>
      <w:r w:rsidRPr="000F0299">
        <w:t xml:space="preserve"> и нацрта закона,</w:t>
      </w:r>
      <w:r w:rsidRPr="000F0299">
        <w:rPr>
          <w:rStyle w:val="FootnoteReference"/>
          <w:rFonts w:eastAsia="Yu Gothic Light"/>
          <w:color w:val="000000"/>
        </w:rPr>
        <w:footnoteReference w:id="221"/>
      </w:r>
      <w:r w:rsidRPr="000F0299">
        <w:t xml:space="preserve"> као и </w:t>
      </w:r>
      <w:r>
        <w:t xml:space="preserve">да се </w:t>
      </w:r>
      <w:r w:rsidRPr="000F0299">
        <w:t>одржава</w:t>
      </w:r>
      <w:r>
        <w:t>ју</w:t>
      </w:r>
      <w:r w:rsidRPr="000F0299">
        <w:t xml:space="preserve"> консултациј</w:t>
      </w:r>
      <w:r>
        <w:t>е</w:t>
      </w:r>
      <w:r w:rsidRPr="000F0299">
        <w:t xml:space="preserve"> и јавн</w:t>
      </w:r>
      <w:r>
        <w:t>е</w:t>
      </w:r>
      <w:r w:rsidRPr="000F0299">
        <w:t xml:space="preserve"> расправ</w:t>
      </w:r>
      <w:r>
        <w:t>е</w:t>
      </w:r>
      <w:r w:rsidRPr="000F0299">
        <w:t xml:space="preserve"> како би јавност била обавештена о припреми нових прописа од самог почетка. Од 2015. године </w:t>
      </w:r>
      <w:r>
        <w:t xml:space="preserve">институције </w:t>
      </w:r>
      <w:r w:rsidRPr="000F0299">
        <w:t xml:space="preserve">у Републици Србији </w:t>
      </w:r>
      <w:r>
        <w:t>отварају податке који су у њиховом поседу</w:t>
      </w:r>
      <w:r w:rsidRPr="000F0299">
        <w:t>. Успостављен је Портал отворених података</w:t>
      </w:r>
      <w:r>
        <w:t>,</w:t>
      </w:r>
      <w:r w:rsidRPr="000F0299">
        <w:rPr>
          <w:rStyle w:val="FootnoteReference"/>
          <w:rFonts w:eastAsia="Yu Gothic Light"/>
          <w:color w:val="000000"/>
        </w:rPr>
        <w:footnoteReference w:id="222"/>
      </w:r>
      <w:r>
        <w:t xml:space="preserve"> </w:t>
      </w:r>
      <w:r w:rsidRPr="000F0299">
        <w:t>који представља централно место где су обједињени отворени подаци јавних институција и стављени на располагање грађанима, приватном и невладином сектору. Законом о електронској управи</w:t>
      </w:r>
      <w:r w:rsidRPr="000F0299">
        <w:rPr>
          <w:vertAlign w:val="superscript"/>
        </w:rPr>
        <w:t xml:space="preserve"> </w:t>
      </w:r>
      <w:r w:rsidRPr="000F0299">
        <w:t>дефинисани су појмови отворених података и поновне употребе података, док је Уредбом о ближим условима за израду и одржавање веб</w:t>
      </w:r>
      <w:r>
        <w:t>-</w:t>
      </w:r>
      <w:r w:rsidRPr="000F0299">
        <w:t>презентације органа</w:t>
      </w:r>
      <w:r>
        <w:t xml:space="preserve"> (</w:t>
      </w:r>
      <w:r w:rsidRPr="00441BE2">
        <w:t>„Службени гласник РС”, бр</w:t>
      </w:r>
      <w:r>
        <w:t>ој</w:t>
      </w:r>
      <w:r w:rsidRPr="00441BE2">
        <w:t xml:space="preserve"> 104/18</w:t>
      </w:r>
      <w:r>
        <w:t>)</w:t>
      </w:r>
      <w:r w:rsidRPr="000F0299">
        <w:rPr>
          <w:rStyle w:val="FootnoteReference"/>
          <w:rFonts w:eastAsia="Yu Gothic Light"/>
          <w:color w:val="000000"/>
        </w:rPr>
        <w:footnoteReference w:id="223"/>
      </w:r>
      <w:r w:rsidRPr="000F0299">
        <w:t xml:space="preserve"> уведена обавеза </w:t>
      </w:r>
      <w:r>
        <w:t xml:space="preserve">да се </w:t>
      </w:r>
      <w:r w:rsidRPr="000F0299">
        <w:t xml:space="preserve">садржај на </w:t>
      </w:r>
      <w:r>
        <w:t>т</w:t>
      </w:r>
      <w:r w:rsidRPr="000F0299">
        <w:t xml:space="preserve">им презентацијама </w:t>
      </w:r>
      <w:r>
        <w:t xml:space="preserve">објављује </w:t>
      </w:r>
      <w:r w:rsidRPr="000F0299">
        <w:t xml:space="preserve">у машински читљивом облику. Циљ </w:t>
      </w:r>
      <w:r w:rsidRPr="000F0299">
        <w:rPr>
          <w:shd w:val="clear" w:color="auto" w:fill="FFFFFF"/>
        </w:rPr>
        <w:t>Уредбе је унифик</w:t>
      </w:r>
      <w:r>
        <w:rPr>
          <w:shd w:val="clear" w:color="auto" w:fill="FFFFFF"/>
        </w:rPr>
        <w:t>ација</w:t>
      </w:r>
      <w:r w:rsidRPr="000F0299">
        <w:rPr>
          <w:shd w:val="clear" w:color="auto" w:fill="FFFFFF"/>
        </w:rPr>
        <w:t xml:space="preserve"> структуре веб</w:t>
      </w:r>
      <w:r>
        <w:rPr>
          <w:shd w:val="clear" w:color="auto" w:fill="FFFFFF"/>
        </w:rPr>
        <w:t>-</w:t>
      </w:r>
      <w:r w:rsidRPr="000F0299">
        <w:rPr>
          <w:shd w:val="clear" w:color="auto" w:fill="FFFFFF"/>
        </w:rPr>
        <w:t>презентација органа</w:t>
      </w:r>
      <w:r>
        <w:rPr>
          <w:shd w:val="clear" w:color="auto" w:fill="FFFFFF"/>
        </w:rPr>
        <w:t xml:space="preserve"> да би се информације </w:t>
      </w:r>
      <w:r w:rsidRPr="000F0299">
        <w:rPr>
          <w:shd w:val="clear" w:color="auto" w:fill="FFFFFF"/>
        </w:rPr>
        <w:t>лакше вид</w:t>
      </w:r>
      <w:r>
        <w:rPr>
          <w:shd w:val="clear" w:color="auto" w:fill="FFFFFF"/>
        </w:rPr>
        <w:t>еле</w:t>
      </w:r>
      <w:r w:rsidRPr="000F0299">
        <w:rPr>
          <w:shd w:val="clear" w:color="auto" w:fill="FFFFFF"/>
        </w:rPr>
        <w:t xml:space="preserve"> и пр</w:t>
      </w:r>
      <w:r>
        <w:rPr>
          <w:shd w:val="clear" w:color="auto" w:fill="FFFFFF"/>
        </w:rPr>
        <w:t>оналазиле</w:t>
      </w:r>
      <w:r w:rsidRPr="000F0299">
        <w:rPr>
          <w:shd w:val="clear" w:color="auto" w:fill="FFFFFF"/>
        </w:rPr>
        <w:t xml:space="preserve">. </w:t>
      </w:r>
      <w:r>
        <w:rPr>
          <w:shd w:val="clear" w:color="auto" w:fill="FFFFFF"/>
        </w:rPr>
        <w:t>П</w:t>
      </w:r>
      <w:r w:rsidRPr="000F0299">
        <w:rPr>
          <w:shd w:val="clear" w:color="auto" w:fill="FFFFFF"/>
        </w:rPr>
        <w:t xml:space="preserve">римена </w:t>
      </w:r>
      <w:r>
        <w:rPr>
          <w:shd w:val="clear" w:color="auto" w:fill="FFFFFF"/>
        </w:rPr>
        <w:t>т</w:t>
      </w:r>
      <w:r w:rsidRPr="000F0299">
        <w:rPr>
          <w:shd w:val="clear" w:color="auto" w:fill="FFFFFF"/>
        </w:rPr>
        <w:t xml:space="preserve">е уредбе још </w:t>
      </w:r>
      <w:r>
        <w:rPr>
          <w:shd w:val="clear" w:color="auto" w:fill="FFFFFF"/>
        </w:rPr>
        <w:t xml:space="preserve">је </w:t>
      </w:r>
      <w:r w:rsidRPr="000F0299">
        <w:rPr>
          <w:shd w:val="clear" w:color="auto" w:fill="FFFFFF"/>
        </w:rPr>
        <w:t xml:space="preserve">у раној фази, </w:t>
      </w:r>
      <w:r>
        <w:rPr>
          <w:shd w:val="clear" w:color="auto" w:fill="FFFFFF"/>
        </w:rPr>
        <w:t xml:space="preserve">па не постоје </w:t>
      </w:r>
      <w:r w:rsidRPr="000F0299">
        <w:t>мерљиви резултат</w:t>
      </w:r>
      <w:r>
        <w:t>и</w:t>
      </w:r>
      <w:r w:rsidRPr="000F0299">
        <w:t xml:space="preserve">. </w:t>
      </w:r>
    </w:p>
    <w:p w14:paraId="76012009" w14:textId="77777777" w:rsidR="00CE6AC1" w:rsidRPr="000F0299" w:rsidRDefault="00CE6AC1" w:rsidP="00CE6AC1">
      <w:r w:rsidRPr="000F0299">
        <w:t>Министарство финансија сваке године објављује Грађански водич кроз буџет Републике Србије</w:t>
      </w:r>
      <w:r>
        <w:t xml:space="preserve">, </w:t>
      </w:r>
      <w:r w:rsidRPr="000F0299">
        <w:rPr>
          <w:rStyle w:val="FootnoteReference"/>
          <w:rFonts w:eastAsia="Yu Gothic Light"/>
          <w:color w:val="000000"/>
        </w:rPr>
        <w:footnoteReference w:id="224"/>
      </w:r>
      <w:r w:rsidRPr="000F0299">
        <w:t xml:space="preserve"> </w:t>
      </w:r>
      <w:r>
        <w:t>а и</w:t>
      </w:r>
      <w:r w:rsidRPr="000F0299">
        <w:t xml:space="preserve"> све више ЈЛС пр</w:t>
      </w:r>
      <w:r>
        <w:t xml:space="preserve">имењује </w:t>
      </w:r>
      <w:r w:rsidRPr="000F0299">
        <w:t>ову добру праксу и објављује своје локалне грађанске буџете</w:t>
      </w:r>
      <w:r>
        <w:t xml:space="preserve">, док </w:t>
      </w:r>
      <w:r w:rsidRPr="000F0299">
        <w:t xml:space="preserve">поједине </w:t>
      </w:r>
      <w:r>
        <w:t>и</w:t>
      </w:r>
      <w:r w:rsidRPr="000F0299">
        <w:t xml:space="preserve"> укључују своје грађане у одлучивање о локалним буџетима, кроз иницијативу партиципативног буџетирања.</w:t>
      </w:r>
      <w:r w:rsidRPr="000F0299">
        <w:rPr>
          <w:rStyle w:val="FootnoteReference"/>
          <w:rFonts w:eastAsia="Yu Gothic Light"/>
          <w:color w:val="000000"/>
        </w:rPr>
        <w:footnoteReference w:id="225"/>
      </w:r>
      <w:r w:rsidRPr="000F0299">
        <w:t xml:space="preserve"> </w:t>
      </w:r>
    </w:p>
    <w:p w14:paraId="2436FB1F" w14:textId="77777777" w:rsidR="00CE6AC1" w:rsidRPr="000F0299" w:rsidRDefault="00CE6AC1" w:rsidP="00CE6AC1">
      <w:r w:rsidRPr="000F0299">
        <w:t>Израђена је апликација еКалендар јавних конкурса</w:t>
      </w:r>
      <w:r w:rsidRPr="000F0299">
        <w:rPr>
          <w:rStyle w:val="FootnoteReference"/>
          <w:rFonts w:eastAsia="Yu Gothic Light"/>
          <w:color w:val="000000"/>
        </w:rPr>
        <w:footnoteReference w:id="226"/>
      </w:r>
      <w:r w:rsidRPr="000F0299">
        <w:t xml:space="preserve"> за финансирање пројеката и програма организација цивилног друштва из средстава буџета органа јавне управе Републике Србије, која доприноси предвид</w:t>
      </w:r>
      <w:r>
        <w:t>љ</w:t>
      </w:r>
      <w:r w:rsidRPr="000F0299">
        <w:t>ивости у планирању активности организација цивилног друштва.</w:t>
      </w:r>
    </w:p>
    <w:p w14:paraId="6C4CA5DB" w14:textId="77777777" w:rsidR="00CE6AC1" w:rsidRPr="000F0299" w:rsidRDefault="00CE6AC1" w:rsidP="00CE6AC1">
      <w:r w:rsidRPr="000F0299">
        <w:t>Влада је у новембру 2018. године покренула нови сајт</w:t>
      </w:r>
      <w:r w:rsidRPr="000F0299">
        <w:rPr>
          <w:rStyle w:val="FootnoteReference"/>
          <w:color w:val="000000"/>
        </w:rPr>
        <w:footnoteReference w:id="227"/>
      </w:r>
      <w:r>
        <w:t xml:space="preserve"> који </w:t>
      </w:r>
      <w:r w:rsidRPr="000F0299">
        <w:t>треба да олакша двосмерну комуникацију надлежних институција са грађанима. Рок за одговоре на питања грађана је 72 сата. Такође, успостављен је и Контакт центар за јавну управу</w:t>
      </w:r>
      <w:r w:rsidRPr="000F0299">
        <w:rPr>
          <w:rStyle w:val="FootnoteReference"/>
          <w:color w:val="000000"/>
        </w:rPr>
        <w:footnoteReference w:id="228"/>
      </w:r>
      <w:r w:rsidRPr="000F0299">
        <w:t xml:space="preserve"> путем кога запослени у ИТ системима еЗУП, еИнспектор, еБеба и јединственом информационом систему </w:t>
      </w:r>
      <w:bookmarkStart w:id="203" w:name="_Hlk40607939"/>
      <w:r w:rsidRPr="000F0299">
        <w:t>локалне пореске управе</w:t>
      </w:r>
      <w:bookmarkEnd w:id="203"/>
      <w:r w:rsidRPr="000F0299">
        <w:t xml:space="preserve"> могу добити све потребне информације, упутства и прописе из ових области.</w:t>
      </w:r>
    </w:p>
    <w:p w14:paraId="5383BB58" w14:textId="77777777" w:rsidR="00CE6AC1" w:rsidRPr="000F0299" w:rsidRDefault="00CE6AC1" w:rsidP="00CE6AC1">
      <w:r w:rsidRPr="000F0299">
        <w:t>Израђен је Каталог органа јавне власти у смислу Закона о слободном приступу информацијама од јавног значаја,</w:t>
      </w:r>
      <w:r w:rsidRPr="000F0299">
        <w:rPr>
          <w:rStyle w:val="FootnoteReference"/>
          <w:rFonts w:eastAsia="Yu Gothic Light"/>
          <w:color w:val="000000"/>
        </w:rPr>
        <w:footnoteReference w:id="229"/>
      </w:r>
      <w:r w:rsidRPr="000F0299">
        <w:t xml:space="preserve"> </w:t>
      </w:r>
      <w:r>
        <w:t xml:space="preserve">у </w:t>
      </w:r>
      <w:r w:rsidRPr="000F0299">
        <w:t>кој</w:t>
      </w:r>
      <w:r>
        <w:t xml:space="preserve">ем су се </w:t>
      </w:r>
      <w:r w:rsidRPr="000F0299">
        <w:t xml:space="preserve">у октобру 2020. године </w:t>
      </w:r>
      <w:r>
        <w:t xml:space="preserve">налазили </w:t>
      </w:r>
      <w:r w:rsidRPr="000F0299">
        <w:t>пода</w:t>
      </w:r>
      <w:r>
        <w:t>ци</w:t>
      </w:r>
      <w:r w:rsidRPr="000F0299">
        <w:t xml:space="preserve"> за 11.075 субјеката. </w:t>
      </w:r>
      <w:r>
        <w:t>Тај</w:t>
      </w:r>
      <w:r w:rsidRPr="000F0299">
        <w:t xml:space="preserve"> број је подложан промени јер је отворен позив свим заинтересованима да дају своје предлоге за допуну или брисање субјеката у Каталогу.</w:t>
      </w:r>
    </w:p>
    <w:p w14:paraId="7FB6F150" w14:textId="77777777" w:rsidR="00CE6AC1" w:rsidRPr="000F0299" w:rsidRDefault="00CE6AC1" w:rsidP="00CE6AC1">
      <w:r w:rsidRPr="000F0299">
        <w:t>У припреми је нови Закон о слободном приступу информацијама од јавног значаја</w:t>
      </w:r>
      <w:r>
        <w:t>,</w:t>
      </w:r>
      <w:r w:rsidRPr="000F0299">
        <w:t xml:space="preserve"> који</w:t>
      </w:r>
      <w:r>
        <w:t>м</w:t>
      </w:r>
      <w:r w:rsidRPr="000F0299">
        <w:t xml:space="preserve"> се планира ув</w:t>
      </w:r>
      <w:r>
        <w:t>ести</w:t>
      </w:r>
      <w:r w:rsidRPr="000F0299">
        <w:t xml:space="preserve"> обавез</w:t>
      </w:r>
      <w:r>
        <w:t>а</w:t>
      </w:r>
      <w:r w:rsidRPr="000F0299">
        <w:t xml:space="preserve"> </w:t>
      </w:r>
      <w:r>
        <w:t xml:space="preserve">да се </w:t>
      </w:r>
      <w:r w:rsidRPr="000F0299">
        <w:t>електронск</w:t>
      </w:r>
      <w:r>
        <w:t>и</w:t>
      </w:r>
      <w:r w:rsidRPr="000F0299">
        <w:t xml:space="preserve"> објављ</w:t>
      </w:r>
      <w:r>
        <w:t xml:space="preserve">ује </w:t>
      </w:r>
      <w:r w:rsidRPr="000F0299">
        <w:t xml:space="preserve"> Информатор о раду</w:t>
      </w:r>
      <w:r>
        <w:t xml:space="preserve">, у којем </w:t>
      </w:r>
      <w:r w:rsidRPr="000F0299">
        <w:t xml:space="preserve">ће сви подаци које обвезници овог закона морају да објаве бити доступни у машински читљивом формату. </w:t>
      </w:r>
      <w:r>
        <w:t xml:space="preserve">Планирано је </w:t>
      </w:r>
      <w:r w:rsidRPr="000F0299">
        <w:t xml:space="preserve">да </w:t>
      </w:r>
      <w:r>
        <w:t>с</w:t>
      </w:r>
      <w:r w:rsidRPr="000F0299">
        <w:t xml:space="preserve">е Закон </w:t>
      </w:r>
      <w:r>
        <w:t>донесе</w:t>
      </w:r>
      <w:r w:rsidRPr="000F0299">
        <w:t xml:space="preserve"> 2021. године. </w:t>
      </w:r>
    </w:p>
    <w:p w14:paraId="28547BCE" w14:textId="77777777" w:rsidR="00CE6AC1" w:rsidRPr="000F0299" w:rsidRDefault="00CE6AC1" w:rsidP="00CE6AC1">
      <w:r w:rsidRPr="000F0299">
        <w:t xml:space="preserve">Република Србија је од 2012. године учесница у међународној иницијативи </w:t>
      </w:r>
      <w:bookmarkStart w:id="204" w:name="_Hlk40607983"/>
      <w:r>
        <w:t>„</w:t>
      </w:r>
      <w:r w:rsidRPr="000F0299">
        <w:t>Партнерство за отворену управу</w:t>
      </w:r>
      <w:r>
        <w:t>”</w:t>
      </w:r>
      <w:r w:rsidRPr="000F0299">
        <w:t>.</w:t>
      </w:r>
      <w:r w:rsidRPr="000F0299">
        <w:rPr>
          <w:rStyle w:val="FootnoteReference"/>
          <w:rFonts w:eastAsia="Yu Gothic Light"/>
          <w:color w:val="000000"/>
        </w:rPr>
        <w:footnoteReference w:id="230"/>
      </w:r>
      <w:bookmarkEnd w:id="204"/>
      <w:r w:rsidRPr="000F0299">
        <w:t xml:space="preserve"> У току је </w:t>
      </w:r>
      <w:r>
        <w:t>спровођење</w:t>
      </w:r>
      <w:r w:rsidRPr="000F0299">
        <w:t xml:space="preserve"> трећег Акционог плана за спровођење иницијативе </w:t>
      </w:r>
      <w:r>
        <w:t>„</w:t>
      </w:r>
      <w:r w:rsidRPr="000F0299">
        <w:t>Партнерство за отворену управу</w:t>
      </w:r>
      <w:r>
        <w:t>”</w:t>
      </w:r>
      <w:r w:rsidRPr="000F0299">
        <w:t xml:space="preserve"> за период 2018–2020. године</w:t>
      </w:r>
      <w:r w:rsidRPr="000F0299">
        <w:rPr>
          <w:rStyle w:val="FootnoteReference"/>
          <w:rFonts w:eastAsia="Yu Gothic Light"/>
          <w:color w:val="000000"/>
        </w:rPr>
        <w:footnoteReference w:id="231"/>
      </w:r>
      <w:r w:rsidRPr="000F0299">
        <w:t xml:space="preserve"> и припрема четвртог Акционог плана за период од 2020–2022. године. </w:t>
      </w:r>
      <w:r>
        <w:t>Т</w:t>
      </w:r>
      <w:r w:rsidRPr="000F0299">
        <w:t xml:space="preserve">ај акциони план садржи конкретне мере за </w:t>
      </w:r>
      <w:r>
        <w:t>повећање</w:t>
      </w:r>
      <w:r w:rsidRPr="000F0299">
        <w:t xml:space="preserve"> транспарентности рада јавне управе, учешћа јавности у одлучивању, као и за отварање података. </w:t>
      </w:r>
      <w:r>
        <w:t>Т</w:t>
      </w:r>
      <w:r w:rsidRPr="000F0299">
        <w:t xml:space="preserve">а иницијатива се константно промовише и на локалном нивоу, па од 2018. године у раду </w:t>
      </w:r>
      <w:r>
        <w:t>Р</w:t>
      </w:r>
      <w:r w:rsidRPr="000F0299">
        <w:t>адне групе за израду Акционог плана учествују и представници пет ЈЛС. Поред тога, три ЈЛС</w:t>
      </w:r>
      <w:r w:rsidRPr="000F0299">
        <w:rPr>
          <w:rStyle w:val="FootnoteReference"/>
          <w:rFonts w:eastAsia="Yu Gothic Light"/>
          <w:color w:val="000000"/>
        </w:rPr>
        <w:footnoteReference w:id="232"/>
      </w:r>
      <w:r w:rsidRPr="000F0299">
        <w:t xml:space="preserve"> су </w:t>
      </w:r>
      <w:r>
        <w:t>донеле</w:t>
      </w:r>
      <w:r w:rsidRPr="000F0299">
        <w:t xml:space="preserve"> своје локалне акционе планове, док</w:t>
      </w:r>
      <w:r>
        <w:t xml:space="preserve"> их</w:t>
      </w:r>
      <w:r w:rsidRPr="000F0299">
        <w:t xml:space="preserve"> две ЈЛС изра</w:t>
      </w:r>
      <w:r>
        <w:t>ђују</w:t>
      </w:r>
      <w:r w:rsidRPr="000F0299">
        <w:t>.</w:t>
      </w:r>
    </w:p>
    <w:p w14:paraId="4C1E5D7C" w14:textId="77777777" w:rsidR="00CE6AC1" w:rsidRPr="000F0299" w:rsidRDefault="00CE6AC1" w:rsidP="00CE6AC1">
      <w:r w:rsidRPr="000F0299">
        <w:t xml:space="preserve">У току је спровођење пројекта унапређења портала еПартиципација. </w:t>
      </w:r>
      <w:r>
        <w:t>Т</w:t>
      </w:r>
      <w:r w:rsidRPr="000F0299">
        <w:t xml:space="preserve">ај пројекат треба да омогући боље функционисање портала у односу на постојећи и свеобухватнији и партиципативнији консултативни процес са јавношћу. </w:t>
      </w:r>
    </w:p>
    <w:p w14:paraId="43F53B1C" w14:textId="77777777" w:rsidR="00CE6AC1" w:rsidRPr="000F0299" w:rsidRDefault="00CE6AC1" w:rsidP="00CE6AC1">
      <w:pPr>
        <w:pStyle w:val="Default"/>
        <w:spacing w:before="0" w:after="120"/>
        <w:ind w:firstLine="357"/>
        <w:rPr>
          <w:lang w:val="sr-Cyrl-RS"/>
        </w:rPr>
      </w:pPr>
      <w:r w:rsidRPr="000F0299">
        <w:rPr>
          <w:lang w:val="sr-Cyrl-RS"/>
        </w:rPr>
        <w:t>У складу са Законом о инспекцијском надзору</w:t>
      </w:r>
      <w:r w:rsidRPr="000F0299">
        <w:rPr>
          <w:rStyle w:val="FootnoteReference"/>
          <w:lang w:val="sr-Cyrl-RS"/>
        </w:rPr>
        <w:footnoteReference w:id="233"/>
      </w:r>
      <w:r w:rsidRPr="000F0299">
        <w:rPr>
          <w:i/>
          <w:lang w:val="sr-Cyrl-RS"/>
        </w:rPr>
        <w:t xml:space="preserve"> </w:t>
      </w:r>
      <w:r w:rsidRPr="000F0299">
        <w:rPr>
          <w:lang w:val="sr-Cyrl-RS"/>
        </w:rPr>
        <w:t xml:space="preserve">и </w:t>
      </w:r>
      <w:bookmarkStart w:id="205" w:name="_Hlk51334410"/>
      <w:r w:rsidRPr="000F0299">
        <w:rPr>
          <w:lang w:val="sr-Cyrl-RS"/>
        </w:rPr>
        <w:t>успостављеним Информационим системом еИнспектор</w:t>
      </w:r>
      <w:r w:rsidRPr="000F0299">
        <w:rPr>
          <w:i/>
          <w:lang w:val="sr-Cyrl-RS"/>
        </w:rPr>
        <w:t xml:space="preserve">, </w:t>
      </w:r>
      <w:r w:rsidRPr="000F0299">
        <w:rPr>
          <w:lang w:val="sr-Cyrl-RS"/>
        </w:rPr>
        <w:t xml:space="preserve">унапређен је рад свих инспекција и омогућен координисан и транспарентан надзор. </w:t>
      </w:r>
      <w:bookmarkEnd w:id="205"/>
      <w:r>
        <w:rPr>
          <w:lang w:val="sr-Cyrl-RS"/>
        </w:rPr>
        <w:t>Т</w:t>
      </w:r>
      <w:r w:rsidRPr="000F0299">
        <w:rPr>
          <w:lang w:val="sr-Cyrl-RS"/>
        </w:rPr>
        <w:t xml:space="preserve">ај јединствени интерни информациони систем омогућава дигитализацију и координацију рада инспекција и аутоматизовану процену ризика, као и планирање инспекцијског надзора. Систем омогућава </w:t>
      </w:r>
      <w:r>
        <w:rPr>
          <w:lang w:val="sr-Cyrl-RS"/>
        </w:rPr>
        <w:t xml:space="preserve">да се </w:t>
      </w:r>
      <w:r w:rsidRPr="000F0299">
        <w:rPr>
          <w:lang w:val="sr-Cyrl-RS"/>
        </w:rPr>
        <w:t>пре</w:t>
      </w:r>
      <w:r>
        <w:rPr>
          <w:lang w:val="sr-Cyrl-RS"/>
        </w:rPr>
        <w:t>ђе</w:t>
      </w:r>
      <w:r w:rsidRPr="000F0299">
        <w:rPr>
          <w:lang w:val="sr-Cyrl-RS"/>
        </w:rPr>
        <w:t xml:space="preserve"> на еПисарницу и еАрхивирање, </w:t>
      </w:r>
      <w:bookmarkStart w:id="206" w:name="_Hlk51334517"/>
      <w:r w:rsidRPr="000F0299">
        <w:rPr>
          <w:lang w:val="sr-Cyrl-RS"/>
        </w:rPr>
        <w:t>ефикасно извештава и координ</w:t>
      </w:r>
      <w:r>
        <w:rPr>
          <w:lang w:val="sr-Cyrl-RS"/>
        </w:rPr>
        <w:t xml:space="preserve">ише рад </w:t>
      </w:r>
      <w:r w:rsidRPr="000F0299">
        <w:rPr>
          <w:lang w:val="sr-Cyrl-RS"/>
        </w:rPr>
        <w:t>инспекција</w:t>
      </w:r>
      <w:r>
        <w:rPr>
          <w:lang w:val="sr-Cyrl-RS"/>
        </w:rPr>
        <w:t xml:space="preserve"> како би се </w:t>
      </w:r>
      <w:r w:rsidRPr="000F0299">
        <w:rPr>
          <w:lang w:val="sr-Cyrl-RS"/>
        </w:rPr>
        <w:t>избег</w:t>
      </w:r>
      <w:r>
        <w:rPr>
          <w:lang w:val="sr-Cyrl-RS"/>
        </w:rPr>
        <w:t>л</w:t>
      </w:r>
      <w:r w:rsidRPr="000F0299">
        <w:rPr>
          <w:lang w:val="sr-Cyrl-RS"/>
        </w:rPr>
        <w:t>а</w:t>
      </w:r>
      <w:r>
        <w:rPr>
          <w:lang w:val="sr-Cyrl-RS"/>
        </w:rPr>
        <w:t xml:space="preserve"> </w:t>
      </w:r>
      <w:r w:rsidRPr="000F0299">
        <w:rPr>
          <w:lang w:val="sr-Cyrl-RS"/>
        </w:rPr>
        <w:t xml:space="preserve">преклапања надзора, </w:t>
      </w:r>
      <w:r>
        <w:rPr>
          <w:lang w:val="sr-Cyrl-RS"/>
        </w:rPr>
        <w:t xml:space="preserve">како би </w:t>
      </w:r>
      <w:r w:rsidRPr="000F0299">
        <w:rPr>
          <w:lang w:val="sr-Cyrl-RS"/>
        </w:rPr>
        <w:t>сви регист</w:t>
      </w:r>
      <w:r>
        <w:rPr>
          <w:lang w:val="sr-Cyrl-RS"/>
        </w:rPr>
        <w:t xml:space="preserve">ри били доступни </w:t>
      </w:r>
      <w:r w:rsidRPr="000F0299">
        <w:rPr>
          <w:lang w:val="sr-Cyrl-RS"/>
        </w:rPr>
        <w:t xml:space="preserve">инспекцијама и </w:t>
      </w:r>
      <w:r>
        <w:rPr>
          <w:lang w:val="sr-Cyrl-RS"/>
        </w:rPr>
        <w:t xml:space="preserve">како би се побољшала </w:t>
      </w:r>
      <w:r w:rsidRPr="000F0299">
        <w:rPr>
          <w:lang w:val="sr-Cyrl-RS"/>
        </w:rPr>
        <w:t>инспекцијско-судск</w:t>
      </w:r>
      <w:r>
        <w:rPr>
          <w:lang w:val="sr-Cyrl-RS"/>
        </w:rPr>
        <w:t>а</w:t>
      </w:r>
      <w:r w:rsidRPr="000F0299">
        <w:rPr>
          <w:lang w:val="sr-Cyrl-RS"/>
        </w:rPr>
        <w:t xml:space="preserve"> пракс</w:t>
      </w:r>
      <w:r>
        <w:rPr>
          <w:lang w:val="sr-Cyrl-RS"/>
        </w:rPr>
        <w:t>а</w:t>
      </w:r>
      <w:r w:rsidRPr="000F0299">
        <w:rPr>
          <w:lang w:val="sr-Cyrl-RS"/>
        </w:rPr>
        <w:t>.</w:t>
      </w:r>
    </w:p>
    <w:bookmarkEnd w:id="206"/>
    <w:p w14:paraId="31E96B94" w14:textId="77777777" w:rsidR="00CE6AC1" w:rsidRPr="000F0299" w:rsidRDefault="00CE6AC1" w:rsidP="00CE6AC1">
      <w:pPr>
        <w:rPr>
          <w:bCs/>
        </w:rPr>
      </w:pPr>
      <w:r w:rsidRPr="000F0299">
        <w:t xml:space="preserve">Иако су остварена описана унапређења, важно је напоменути да доступни подаци из међународних и националних извештаја и истраживања указују на потребу </w:t>
      </w:r>
      <w:r>
        <w:t xml:space="preserve">да се </w:t>
      </w:r>
      <w:r w:rsidRPr="000F0299">
        <w:t>додатно развија како транспарентност</w:t>
      </w:r>
      <w:r>
        <w:t>,</w:t>
      </w:r>
      <w:r w:rsidRPr="000F0299">
        <w:t xml:space="preserve"> тако и сви аспек</w:t>
      </w:r>
      <w:r>
        <w:t>ти</w:t>
      </w:r>
      <w:r w:rsidRPr="000F0299">
        <w:t xml:space="preserve"> одговорности у раду јавне управе.</w:t>
      </w:r>
      <w:r w:rsidRPr="000F0299">
        <w:rPr>
          <w:rStyle w:val="FootnoteReference"/>
          <w:color w:val="000000"/>
        </w:rPr>
        <w:footnoteReference w:id="234"/>
      </w:r>
    </w:p>
    <w:p w14:paraId="62D0CE67" w14:textId="77777777" w:rsidR="00CE6AC1" w:rsidRPr="000F0299" w:rsidRDefault="00CE6AC1" w:rsidP="00CE6AC1">
      <w:pPr>
        <w:pStyle w:val="Default"/>
        <w:spacing w:before="0" w:after="120"/>
        <w:ind w:firstLine="357"/>
        <w:rPr>
          <w:lang w:val="sr-Cyrl-RS"/>
        </w:rPr>
      </w:pPr>
      <w:r w:rsidRPr="000F0299">
        <w:rPr>
          <w:lang w:val="sr-Cyrl-RS"/>
        </w:rPr>
        <w:t xml:space="preserve">Један од заједничких узрока проблема у области одговорности и транспарентности односи се на </w:t>
      </w:r>
      <w:r w:rsidRPr="000F0299">
        <w:rPr>
          <w:b/>
          <w:bCs/>
          <w:lang w:val="sr-Cyrl-RS"/>
        </w:rPr>
        <w:t>неадекватно разматрање извештаја независних државних органа у Народној скупштини</w:t>
      </w:r>
      <w:r w:rsidRPr="000F0299">
        <w:rPr>
          <w:lang w:val="sr-Cyrl-RS"/>
        </w:rPr>
        <w:t xml:space="preserve">. Иако је утврђено као законска обавеза, у периоду од 2015. до 2018. године Народна скупштина није у пленуму разматрала годишње извештаје независних државних органа. Тек 2019. године Народна скупштина је размотрила и </w:t>
      </w:r>
      <w:bookmarkStart w:id="207" w:name="_Hlk51335099"/>
      <w:r w:rsidRPr="000F0299">
        <w:rPr>
          <w:lang w:val="sr-Cyrl-RS"/>
        </w:rPr>
        <w:t xml:space="preserve">расправљала у пленуму о извештајима </w:t>
      </w:r>
      <w:r>
        <w:rPr>
          <w:lang w:val="sr-Cyrl-RS"/>
        </w:rPr>
        <w:t>т</w:t>
      </w:r>
      <w:r w:rsidRPr="000F0299">
        <w:rPr>
          <w:lang w:val="sr-Cyrl-RS"/>
        </w:rPr>
        <w:t xml:space="preserve">их институција за 2018. </w:t>
      </w:r>
      <w:r>
        <w:rPr>
          <w:lang w:val="sr-Cyrl-RS"/>
        </w:rPr>
        <w:t>г</w:t>
      </w:r>
      <w:r w:rsidRPr="000F0299">
        <w:rPr>
          <w:lang w:val="sr-Cyrl-RS"/>
        </w:rPr>
        <w:t>одину</w:t>
      </w:r>
      <w:r>
        <w:rPr>
          <w:lang w:val="sr-Cyrl-RS"/>
        </w:rPr>
        <w:t xml:space="preserve"> и на крају </w:t>
      </w:r>
      <w:r w:rsidRPr="000F0299">
        <w:rPr>
          <w:lang w:val="sr-Cyrl-RS"/>
        </w:rPr>
        <w:t>донела закључке са препорукама</w:t>
      </w:r>
      <w:bookmarkEnd w:id="207"/>
      <w:r w:rsidRPr="000F0299">
        <w:rPr>
          <w:lang w:val="sr-Cyrl-RS"/>
        </w:rPr>
        <w:t>.</w:t>
      </w:r>
      <w:r w:rsidRPr="000F0299">
        <w:rPr>
          <w:rStyle w:val="FootnoteReference"/>
          <w:lang w:val="sr-Cyrl-RS"/>
        </w:rPr>
        <w:footnoteReference w:id="235"/>
      </w:r>
      <w:r w:rsidRPr="000F0299">
        <w:rPr>
          <w:lang w:val="sr-Cyrl-RS"/>
        </w:rPr>
        <w:t xml:space="preserve"> Потребно је додатно развити механизме за спровођење и извештавање јавности о спровођењу препорука Народне скупштине које се тичу побољшања стања у областима из надлежности независних државних органа. </w:t>
      </w:r>
    </w:p>
    <w:p w14:paraId="7F8B23C0" w14:textId="77777777" w:rsidR="00CE6AC1" w:rsidRPr="000F0299" w:rsidRDefault="00CE6AC1" w:rsidP="00CE6AC1">
      <w:r w:rsidRPr="000F0299">
        <w:t xml:space="preserve">У домену одговорности у раду органа јавне управе постигнути су минимални резултати </w:t>
      </w:r>
      <w:r>
        <w:t xml:space="preserve">спровођењем </w:t>
      </w:r>
      <w:r w:rsidRPr="000F0299">
        <w:t>С</w:t>
      </w:r>
      <w:r>
        <w:t>тратегије РЈУ из 2014</w:t>
      </w:r>
      <w:r w:rsidRPr="000F0299">
        <w:t xml:space="preserve">, тако да су сви проблеми који су </w:t>
      </w:r>
      <w:r>
        <w:t xml:space="preserve">утврђени </w:t>
      </w:r>
      <w:r w:rsidRPr="000F0299">
        <w:t xml:space="preserve">у том документу још </w:t>
      </w:r>
      <w:r>
        <w:t>постоје</w:t>
      </w:r>
      <w:r w:rsidRPr="000F0299">
        <w:t>.</w:t>
      </w:r>
      <w:r w:rsidRPr="000F0299">
        <w:rPr>
          <w:color w:val="FF0000"/>
        </w:rPr>
        <w:t xml:space="preserve"> </w:t>
      </w:r>
      <w:r w:rsidRPr="000F0299">
        <w:t xml:space="preserve">У </w:t>
      </w:r>
      <w:r>
        <w:t>т</w:t>
      </w:r>
      <w:r w:rsidRPr="000F0299">
        <w:t xml:space="preserve">ој области један од највећих изазова тиче се организације управљања на централном нивоу. </w:t>
      </w:r>
      <w:bookmarkStart w:id="208" w:name="_Hlk51335925"/>
      <w:r>
        <w:t>П</w:t>
      </w:r>
      <w:r w:rsidRPr="000F0299">
        <w:t xml:space="preserve">равни оквир у </w:t>
      </w:r>
      <w:r>
        <w:t>т</w:t>
      </w:r>
      <w:r w:rsidRPr="000F0299">
        <w:t>ој области је фрагментиран</w:t>
      </w:r>
      <w:bookmarkEnd w:id="208"/>
      <w:r>
        <w:t xml:space="preserve">, </w:t>
      </w:r>
      <w:r w:rsidRPr="000F0299">
        <w:t xml:space="preserve">не постоји процедура која би обезбедила институционални развој јавне управе заснован на претходној анализи, док </w:t>
      </w:r>
      <w:r w:rsidRPr="000F0299">
        <w:rPr>
          <w:b/>
          <w:bCs/>
          <w:color w:val="000000"/>
        </w:rPr>
        <w:t>организациона култура није оријентисана на постизање резултата, односно на управљање према учинку</w:t>
      </w:r>
      <w:r w:rsidRPr="00B96BF9">
        <w:rPr>
          <w:bCs/>
          <w:color w:val="000000"/>
        </w:rPr>
        <w:t>, што потврђује</w:t>
      </w:r>
      <w:r>
        <w:rPr>
          <w:b/>
          <w:bCs/>
          <w:color w:val="000000"/>
        </w:rPr>
        <w:t xml:space="preserve"> </w:t>
      </w:r>
      <w:r w:rsidRPr="000F0299">
        <w:rPr>
          <w:color w:val="000000"/>
        </w:rPr>
        <w:t xml:space="preserve">чињеница да </w:t>
      </w:r>
      <w:bookmarkStart w:id="209" w:name="_Hlk51336016"/>
      <w:r w:rsidRPr="000F0299">
        <w:rPr>
          <w:color w:val="000000"/>
        </w:rPr>
        <w:t>у органима јавне управе није успостављено ни хоризонтално</w:t>
      </w:r>
      <w:r w:rsidRPr="000F0299">
        <w:rPr>
          <w:bCs/>
          <w:color w:val="000000"/>
        </w:rPr>
        <w:t xml:space="preserve"> нии вертикално управљање учинком</w:t>
      </w:r>
      <w:bookmarkEnd w:id="209"/>
      <w:r w:rsidRPr="000F0299">
        <w:rPr>
          <w:bCs/>
          <w:color w:val="000000"/>
        </w:rPr>
        <w:t>.</w:t>
      </w:r>
      <w:r w:rsidRPr="000F0299">
        <w:t xml:space="preserve"> </w:t>
      </w:r>
      <w:r>
        <w:rPr>
          <w:b/>
          <w:bCs/>
        </w:rPr>
        <w:t>Ц</w:t>
      </w:r>
      <w:r w:rsidRPr="000F0299">
        <w:rPr>
          <w:b/>
          <w:bCs/>
        </w:rPr>
        <w:t>ентрализовано управљање</w:t>
      </w:r>
      <w:r w:rsidRPr="000F0299">
        <w:t xml:space="preserve"> омета управљачку аутономију и одговорност на нижим нивоима.</w:t>
      </w:r>
      <w:r w:rsidRPr="000F0299">
        <w:rPr>
          <w:rStyle w:val="FootnoteReference"/>
        </w:rPr>
        <w:footnoteReference w:id="236"/>
      </w:r>
    </w:p>
    <w:p w14:paraId="17E770E4" w14:textId="77777777" w:rsidR="00CE6AC1" w:rsidRPr="000F0299" w:rsidRDefault="00CE6AC1" w:rsidP="00CE6AC1">
      <w:pPr>
        <w:rPr>
          <w:color w:val="000000"/>
        </w:rPr>
      </w:pPr>
      <w:r w:rsidRPr="000F0299">
        <w:t xml:space="preserve">Релевантни закони садрже дефиниције органа у саставу, посебних организација и агенција, али </w:t>
      </w:r>
      <w:r>
        <w:t xml:space="preserve">та подела </w:t>
      </w:r>
      <w:r w:rsidRPr="000F0299">
        <w:t>управних субјеката</w:t>
      </w:r>
      <w:r>
        <w:t xml:space="preserve"> није</w:t>
      </w:r>
      <w:r w:rsidRPr="000F0299">
        <w:t xml:space="preserve"> јасно </w:t>
      </w:r>
      <w:r>
        <w:t>утврђена</w:t>
      </w:r>
      <w:r w:rsidRPr="000F0299">
        <w:t>. Различити органи могу бити успостављени за обављање великог броја сличних послова</w:t>
      </w:r>
      <w:r>
        <w:rPr>
          <w:lang w:val="sr-Latn-RS"/>
        </w:rPr>
        <w:t xml:space="preserve">, </w:t>
      </w:r>
      <w:r>
        <w:t xml:space="preserve">што значи да </w:t>
      </w:r>
      <w:r w:rsidRPr="000F0299">
        <w:rPr>
          <w:b/>
        </w:rPr>
        <w:t xml:space="preserve">законодавни оквир не обезбеђује јасне критеријуме за </w:t>
      </w:r>
      <w:r>
        <w:rPr>
          <w:b/>
        </w:rPr>
        <w:t>избор</w:t>
      </w:r>
      <w:r w:rsidRPr="000F0299">
        <w:rPr>
          <w:b/>
        </w:rPr>
        <w:t xml:space="preserve"> адекватне организационе форме у специфичним случајевима</w:t>
      </w:r>
      <w:r w:rsidRPr="000F0299">
        <w:t>.</w:t>
      </w:r>
      <w:r w:rsidRPr="000F0299">
        <w:rPr>
          <w:rStyle w:val="FootnoteReference"/>
        </w:rPr>
        <w:footnoteReference w:id="237"/>
      </w:r>
    </w:p>
    <w:p w14:paraId="24E2A349" w14:textId="77777777" w:rsidR="00CE6AC1" w:rsidRPr="000F0299" w:rsidRDefault="00CE6AC1" w:rsidP="00CE6AC1">
      <w:r>
        <w:t xml:space="preserve">Услед тога се </w:t>
      </w:r>
      <w:r w:rsidRPr="000F0299">
        <w:t>органи и организације осн</w:t>
      </w:r>
      <w:r>
        <w:t>ивају под</w:t>
      </w:r>
      <w:r w:rsidRPr="000F0299">
        <w:t xml:space="preserve"> неодговарајућим називима, који не одражавају њихове реалне организационе форме</w:t>
      </w:r>
      <w:r>
        <w:t xml:space="preserve">, па се </w:t>
      </w:r>
      <w:r w:rsidRPr="000F0299">
        <w:t>организациони обли</w:t>
      </w:r>
      <w:r>
        <w:t>ци</w:t>
      </w:r>
      <w:r w:rsidRPr="000F0299">
        <w:t xml:space="preserve"> органа државне управе</w:t>
      </w:r>
      <w:r>
        <w:t xml:space="preserve"> мешају и не</w:t>
      </w:r>
      <w:r w:rsidRPr="000F0299">
        <w:t xml:space="preserve"> разлик</w:t>
      </w:r>
      <w:r>
        <w:t>ују од</w:t>
      </w:r>
      <w:r w:rsidRPr="000F0299">
        <w:t xml:space="preserve"> субјек</w:t>
      </w:r>
      <w:r>
        <w:t>ата</w:t>
      </w:r>
      <w:r w:rsidRPr="000F0299">
        <w:t xml:space="preserve"> којима је поверено вршење (управних) јавних овлашћења</w:t>
      </w:r>
      <w:r>
        <w:t xml:space="preserve">, </w:t>
      </w:r>
      <w:r w:rsidRPr="000F0299">
        <w:t xml:space="preserve">нпр. јавне агенције и независне агенције. </w:t>
      </w:r>
      <w:r>
        <w:t>Н</w:t>
      </w:r>
      <w:r w:rsidRPr="000F0299">
        <w:t>ису увек разумљиви разлози због којих неки субјекти</w:t>
      </w:r>
      <w:r>
        <w:t xml:space="preserve">, </w:t>
      </w:r>
      <w:r w:rsidRPr="000F0299">
        <w:t>нпр. јавне агенције</w:t>
      </w:r>
      <w:r>
        <w:t>,</w:t>
      </w:r>
      <w:r w:rsidRPr="000F0299">
        <w:t xml:space="preserve"> функционишу независно од Владе и поседују знатан ниво самосталности, уместо да чине део система државне управе са нижим нивоом организационе самосталности или орган управе у саставу министарстава. </w:t>
      </w:r>
      <w:r>
        <w:t>Н</w:t>
      </w:r>
      <w:r w:rsidRPr="000F0299">
        <w:t xml:space="preserve">ије јасно </w:t>
      </w:r>
      <w:r>
        <w:t xml:space="preserve">ни </w:t>
      </w:r>
      <w:r w:rsidRPr="000F0299">
        <w:t xml:space="preserve">зашто се </w:t>
      </w:r>
      <w:r>
        <w:t>т</w:t>
      </w:r>
      <w:r w:rsidRPr="000F0299">
        <w:t>и субјекти сматрају економичнијим и ефикаснијим од других организационих облика у систему јавне управе.</w:t>
      </w:r>
    </w:p>
    <w:p w14:paraId="259EF3CC" w14:textId="77777777" w:rsidR="00CE6AC1" w:rsidRPr="000F0299" w:rsidRDefault="00CE6AC1" w:rsidP="00CE6AC1">
      <w:r w:rsidRPr="000F0299">
        <w:t>Проблеми у вези са организацијом власти на централном нивоу тичу се и система надзора. Постоје очигледне разлике у надзорном механизму коме су подложни органи исте врсте</w:t>
      </w:r>
      <w:r>
        <w:t>,</w:t>
      </w:r>
      <w:r w:rsidRPr="000F0299">
        <w:t xml:space="preserve"> нпр. надзор над једним бројем посебних организација врше поједина министарства, док за друге посебне организације то није прописано. Важећи закони не пружају јасне критеријуме и разлоге за додељивање статуса правног лица</w:t>
      </w:r>
      <w:r>
        <w:t xml:space="preserve">, па </w:t>
      </w:r>
      <w:r w:rsidRPr="000F0299">
        <w:t>исти статус</w:t>
      </w:r>
      <w:r>
        <w:t xml:space="preserve"> немају </w:t>
      </w:r>
      <w:r w:rsidRPr="000F0299">
        <w:t>сви органи и организације исте врсте.</w:t>
      </w:r>
    </w:p>
    <w:p w14:paraId="5DFBAF80" w14:textId="77777777" w:rsidR="00CE6AC1" w:rsidRPr="000F0299" w:rsidRDefault="00CE6AC1" w:rsidP="00CE6AC1">
      <w:r>
        <w:t>Ј</w:t>
      </w:r>
      <w:r w:rsidRPr="000F0299">
        <w:t>асни критеријум</w:t>
      </w:r>
      <w:r>
        <w:t xml:space="preserve">и не постоје ни за </w:t>
      </w:r>
      <w:r w:rsidRPr="000F0299">
        <w:t>оснива</w:t>
      </w:r>
      <w:r>
        <w:t>ње</w:t>
      </w:r>
      <w:r w:rsidRPr="000F0299">
        <w:t xml:space="preserve"> „регулаторн</w:t>
      </w:r>
      <w:r>
        <w:t>их</w:t>
      </w:r>
      <w:r w:rsidRPr="000F0299">
        <w:t xml:space="preserve"> тела</w:t>
      </w:r>
      <w:r>
        <w:t xml:space="preserve">”. </w:t>
      </w:r>
      <w:r w:rsidRPr="000F0299">
        <w:t>Иако је могућност законског поверавања јавних овлашћења посебним органима преко којих се остварује регулаторна функција у појединим областима или делатностима предвиђена Уставом, ова организациона форма није јасно одређена, нити су успостављени критеријуми за оснивање.</w:t>
      </w:r>
    </w:p>
    <w:p w14:paraId="1B88ABE7" w14:textId="77777777" w:rsidR="00CE6AC1" w:rsidRPr="000F0299" w:rsidRDefault="00CE6AC1" w:rsidP="00CE6AC1">
      <w:r w:rsidRPr="000F0299">
        <w:t xml:space="preserve">Крајња последица наведених проблема јесте неоправдано велик број органа, организација и тела јавне управе. Поред тога, известан број органа, организација и тела јавне управе делује у истој области </w:t>
      </w:r>
      <w:r>
        <w:t xml:space="preserve">и </w:t>
      </w:r>
      <w:r w:rsidRPr="000F0299">
        <w:t xml:space="preserve">често </w:t>
      </w:r>
      <w:r>
        <w:t xml:space="preserve">им се </w:t>
      </w:r>
      <w:r w:rsidRPr="000F0299">
        <w:t>преклапа</w:t>
      </w:r>
      <w:r>
        <w:t>ју</w:t>
      </w:r>
      <w:r w:rsidRPr="000F0299">
        <w:t xml:space="preserve"> надлежности и послов</w:t>
      </w:r>
      <w:r>
        <w:t>и</w:t>
      </w:r>
      <w:r w:rsidRPr="000F0299">
        <w:t xml:space="preserve">. </w:t>
      </w:r>
      <w:r>
        <w:t xml:space="preserve">Услед тога послови </w:t>
      </w:r>
      <w:r w:rsidRPr="000F0299">
        <w:t xml:space="preserve">јавне управе </w:t>
      </w:r>
      <w:r>
        <w:t xml:space="preserve">се обављају </w:t>
      </w:r>
      <w:r w:rsidRPr="000F0299">
        <w:t>неделотворно и неефикасно, број запослених у појединим органима, организацијама и телима</w:t>
      </w:r>
      <w:r w:rsidRPr="008607E2">
        <w:t xml:space="preserve"> </w:t>
      </w:r>
      <w:r>
        <w:t xml:space="preserve">је </w:t>
      </w:r>
      <w:r w:rsidRPr="000F0299">
        <w:t>несразмерно велик</w:t>
      </w:r>
      <w:r>
        <w:t xml:space="preserve">, </w:t>
      </w:r>
      <w:r w:rsidRPr="000F0299">
        <w:t xml:space="preserve">неадекватно </w:t>
      </w:r>
      <w:r>
        <w:t xml:space="preserve">се </w:t>
      </w:r>
      <w:r w:rsidRPr="000F0299">
        <w:t>кори</w:t>
      </w:r>
      <w:r>
        <w:t xml:space="preserve">сте ресурси, па су и </w:t>
      </w:r>
      <w:r w:rsidRPr="000F0299">
        <w:t>трошков</w:t>
      </w:r>
      <w:r>
        <w:t>и</w:t>
      </w:r>
      <w:r w:rsidRPr="000F0299">
        <w:t xml:space="preserve"> јавне управе непотребн</w:t>
      </w:r>
      <w:r>
        <w:t>о</w:t>
      </w:r>
      <w:r w:rsidRPr="000F0299">
        <w:t xml:space="preserve"> високи.</w:t>
      </w:r>
    </w:p>
    <w:p w14:paraId="65376DB2" w14:textId="77777777" w:rsidR="00CE6AC1" w:rsidRPr="000F0299" w:rsidRDefault="00CE6AC1" w:rsidP="00CE6AC1">
      <w:r w:rsidRPr="000F0299">
        <w:t>У јавној управи</w:t>
      </w:r>
      <w:r>
        <w:t xml:space="preserve"> се</w:t>
      </w:r>
      <w:r w:rsidRPr="000F0299">
        <w:t xml:space="preserve"> </w:t>
      </w:r>
      <w:r w:rsidRPr="000F0299">
        <w:rPr>
          <w:b/>
        </w:rPr>
        <w:t>управљачк</w:t>
      </w:r>
      <w:r>
        <w:rPr>
          <w:b/>
        </w:rPr>
        <w:t>а</w:t>
      </w:r>
      <w:r w:rsidRPr="000F0299">
        <w:rPr>
          <w:b/>
        </w:rPr>
        <w:t xml:space="preserve"> одговорност не </w:t>
      </w:r>
      <w:r>
        <w:rPr>
          <w:b/>
        </w:rPr>
        <w:t xml:space="preserve">схвата </w:t>
      </w:r>
      <w:r w:rsidRPr="000F0299">
        <w:rPr>
          <w:b/>
        </w:rPr>
        <w:t>јединствено</w:t>
      </w:r>
      <w:r w:rsidRPr="000F0299">
        <w:t>,</w:t>
      </w:r>
      <w:r w:rsidRPr="000F0299">
        <w:rPr>
          <w:vertAlign w:val="superscript"/>
        </w:rPr>
        <w:footnoteReference w:id="238"/>
      </w:r>
      <w:r w:rsidRPr="000F0299">
        <w:t xml:space="preserve"> односно руководи</w:t>
      </w:r>
      <w:r>
        <w:t xml:space="preserve">оци </w:t>
      </w:r>
      <w:r w:rsidRPr="000F0299">
        <w:t>и запослени</w:t>
      </w:r>
      <w:r>
        <w:t xml:space="preserve"> не знају </w:t>
      </w:r>
      <w:r w:rsidRPr="000F0299">
        <w:t xml:space="preserve">довољно о принципима </w:t>
      </w:r>
      <w:r>
        <w:t>т</w:t>
      </w:r>
      <w:r w:rsidRPr="000F0299">
        <w:t>е врсте одговорности</w:t>
      </w:r>
      <w:r>
        <w:t>, а г</w:t>
      </w:r>
      <w:r w:rsidRPr="000F0299">
        <w:t>лавни узрок</w:t>
      </w:r>
      <w:r>
        <w:t xml:space="preserve"> томе</w:t>
      </w:r>
      <w:r w:rsidRPr="000F0299">
        <w:t xml:space="preserve"> </w:t>
      </w:r>
      <w:r>
        <w:t>је што нема</w:t>
      </w:r>
      <w:r w:rsidRPr="000F0299">
        <w:t xml:space="preserve"> системских решења у овој области.</w:t>
      </w:r>
    </w:p>
    <w:p w14:paraId="1A782906" w14:textId="77777777" w:rsidR="00CE6AC1" w:rsidRPr="000F0299" w:rsidRDefault="00CE6AC1" w:rsidP="00CE6AC1">
      <w:r w:rsidRPr="000F0299">
        <w:t xml:space="preserve">Један од предуслова за ефикасну примену принципа управљачке одговорности на свим нивоима јесте </w:t>
      </w:r>
      <w:r>
        <w:t xml:space="preserve">да се </w:t>
      </w:r>
      <w:r w:rsidRPr="000F0299">
        <w:t>надз</w:t>
      </w:r>
      <w:r>
        <w:t xml:space="preserve">ире испуњавање </w:t>
      </w:r>
      <w:r w:rsidRPr="000F0299">
        <w:t>циљева из планских докумената у органима јавне управе и успостав</w:t>
      </w:r>
      <w:r>
        <w:t>и</w:t>
      </w:r>
      <w:r w:rsidRPr="000F0299">
        <w:t xml:space="preserve"> </w:t>
      </w:r>
      <w:r>
        <w:t xml:space="preserve">њихова </w:t>
      </w:r>
      <w:r w:rsidRPr="000F0299">
        <w:t>координациј</w:t>
      </w:r>
      <w:r>
        <w:t>а</w:t>
      </w:r>
      <w:r w:rsidRPr="000F0299">
        <w:t xml:space="preserve"> и сарадњ</w:t>
      </w:r>
      <w:r>
        <w:t>а</w:t>
      </w:r>
      <w:r w:rsidRPr="000F0299">
        <w:t xml:space="preserve"> у </w:t>
      </w:r>
      <w:r>
        <w:t>т</w:t>
      </w:r>
      <w:r w:rsidRPr="000F0299">
        <w:t xml:space="preserve">им процесима. </w:t>
      </w:r>
      <w:r>
        <w:t>Д</w:t>
      </w:r>
      <w:r w:rsidRPr="000F0299">
        <w:t xml:space="preserve">оступни подаци говоре да у јавној управи још </w:t>
      </w:r>
      <w:r w:rsidRPr="000F0299">
        <w:rPr>
          <w:b/>
        </w:rPr>
        <w:t>нису довољно развијени принцип</w:t>
      </w:r>
      <w:r>
        <w:rPr>
          <w:b/>
        </w:rPr>
        <w:t>и</w:t>
      </w:r>
      <w:r w:rsidRPr="000F0299">
        <w:rPr>
          <w:b/>
        </w:rPr>
        <w:t xml:space="preserve"> поделе одговорности и механизми извештавања између „политичког” и „стручног” дела органа јавне управе</w:t>
      </w:r>
      <w:r w:rsidRPr="000F0299">
        <w:t>.</w:t>
      </w:r>
      <w:r w:rsidRPr="000F0299">
        <w:rPr>
          <w:rStyle w:val="FootnoteReference"/>
          <w:color w:val="000000"/>
        </w:rPr>
        <w:footnoteReference w:id="239"/>
      </w:r>
      <w:r w:rsidRPr="000F0299">
        <w:t xml:space="preserve"> </w:t>
      </w:r>
      <w:r>
        <w:t>ЗПС</w:t>
      </w:r>
      <w:r w:rsidRPr="000F0299">
        <w:t xml:space="preserve"> и пратећи подзаконски ак</w:t>
      </w:r>
      <w:r>
        <w:t>ти</w:t>
      </w:r>
      <w:r w:rsidRPr="000F0299">
        <w:t xml:space="preserve"> успостав</w:t>
      </w:r>
      <w:r>
        <w:t xml:space="preserve">или </w:t>
      </w:r>
      <w:r w:rsidRPr="000F0299">
        <w:t>су механизм</w:t>
      </w:r>
      <w:r>
        <w:t>е</w:t>
      </w:r>
      <w:r w:rsidRPr="000F0299">
        <w:t xml:space="preserve"> планирања и праћења спровођења планских докумената на основу остварених показатеља, утврђених у складу са општим и посебним циљевима. Међутим, уочено је да је потребно предузети даље кораке </w:t>
      </w:r>
      <w:r>
        <w:t>да би се боље</w:t>
      </w:r>
      <w:r w:rsidRPr="000F0299">
        <w:t xml:space="preserve"> </w:t>
      </w:r>
      <w:r>
        <w:t xml:space="preserve">примењивали ти </w:t>
      </w:r>
      <w:r w:rsidRPr="000F0299">
        <w:t>механиз</w:t>
      </w:r>
      <w:r>
        <w:t>ми</w:t>
      </w:r>
      <w:r w:rsidRPr="000F0299">
        <w:t xml:space="preserve">, пре свега у погледу </w:t>
      </w:r>
      <w:r w:rsidRPr="000F0299">
        <w:rPr>
          <w:b/>
        </w:rPr>
        <w:t xml:space="preserve">извештавања о резултатима у </w:t>
      </w:r>
      <w:r>
        <w:rPr>
          <w:b/>
        </w:rPr>
        <w:t xml:space="preserve">постизању </w:t>
      </w:r>
      <w:r w:rsidRPr="000F0299">
        <w:rPr>
          <w:b/>
        </w:rPr>
        <w:t xml:space="preserve">циљева </w:t>
      </w:r>
      <w:r>
        <w:rPr>
          <w:b/>
        </w:rPr>
        <w:t xml:space="preserve">утврђених у </w:t>
      </w:r>
      <w:r w:rsidRPr="000F0299">
        <w:rPr>
          <w:b/>
        </w:rPr>
        <w:t>плански</w:t>
      </w:r>
      <w:r>
        <w:rPr>
          <w:b/>
        </w:rPr>
        <w:t>м</w:t>
      </w:r>
      <w:r w:rsidRPr="000F0299">
        <w:rPr>
          <w:b/>
        </w:rPr>
        <w:t xml:space="preserve"> докумен</w:t>
      </w:r>
      <w:r>
        <w:rPr>
          <w:b/>
        </w:rPr>
        <w:t>тима</w:t>
      </w:r>
      <w:r w:rsidRPr="000F0299">
        <w:t>.</w:t>
      </w:r>
      <w:r w:rsidRPr="000F0299">
        <w:rPr>
          <w:rStyle w:val="FootnoteReference"/>
          <w:color w:val="000000"/>
        </w:rPr>
        <w:footnoteReference w:id="240"/>
      </w:r>
      <w:r w:rsidRPr="000F0299">
        <w:t xml:space="preserve"> </w:t>
      </w:r>
    </w:p>
    <w:p w14:paraId="0ECA791D" w14:textId="77777777" w:rsidR="00CE6AC1" w:rsidRPr="000F0299" w:rsidRDefault="00CE6AC1" w:rsidP="00CE6AC1">
      <w:r w:rsidRPr="000F0299">
        <w:t xml:space="preserve">Неопходно је додатно уредити и систематизовати обавезе органа органа државне управе, државних органа, као и органа аутономне покрајине и јединица локалне самоуправе које су значајне за област </w:t>
      </w:r>
      <w:r w:rsidRPr="000F0299">
        <w:rPr>
          <w:b/>
        </w:rPr>
        <w:t>спречавања корупције</w:t>
      </w:r>
      <w:r w:rsidRPr="000F0299">
        <w:t xml:space="preserve">, </w:t>
      </w:r>
      <w:r w:rsidRPr="000F0299">
        <w:rPr>
          <w:b/>
        </w:rPr>
        <w:t>јачања интегритета и идентификације неправилности и превара</w:t>
      </w:r>
      <w:r w:rsidRPr="000F0299">
        <w:t>.</w:t>
      </w:r>
      <w:r w:rsidRPr="000F0299" w:rsidDel="00F538E7">
        <w:t xml:space="preserve"> </w:t>
      </w:r>
      <w:r w:rsidRPr="000F0299">
        <w:t>Мере из планова интегритета за управљање ризицима за настанак корупције и јачање интегритета, као и препоруке независних државних органа за побољшање организације, ефикасности и ефективности рада органа јавне управе не користе се у довољној мери.</w:t>
      </w:r>
      <w:r w:rsidRPr="000F0299">
        <w:rPr>
          <w:rStyle w:val="FootnoteReference"/>
          <w:color w:val="000000"/>
        </w:rPr>
        <w:footnoteReference w:id="241"/>
      </w:r>
      <w:r w:rsidRPr="000F0299">
        <w:t xml:space="preserve"> За разлику од примера из упоредне праксе, не постоји обавеза, нити препорука органима јавне власти да међу запосленима овла</w:t>
      </w:r>
      <w:r>
        <w:t>сте</w:t>
      </w:r>
      <w:r w:rsidRPr="000F0299">
        <w:t xml:space="preserve"> лица </w:t>
      </w:r>
      <w:r>
        <w:t xml:space="preserve">да </w:t>
      </w:r>
      <w:r w:rsidRPr="000F0299">
        <w:t>пра</w:t>
      </w:r>
      <w:r>
        <w:t>т</w:t>
      </w:r>
      <w:r w:rsidRPr="000F0299">
        <w:t>е спровођењ</w:t>
      </w:r>
      <w:r>
        <w:t>е</w:t>
      </w:r>
      <w:r w:rsidRPr="000F0299">
        <w:t xml:space="preserve"> </w:t>
      </w:r>
      <w:r>
        <w:t>К</w:t>
      </w:r>
      <w:r w:rsidRPr="000F0299">
        <w:t>одекса понашања</w:t>
      </w:r>
      <w:r>
        <w:t xml:space="preserve"> државних службеника,</w:t>
      </w:r>
      <w:r w:rsidRPr="000F0299">
        <w:t xml:space="preserve"> промови</w:t>
      </w:r>
      <w:r>
        <w:t>шу</w:t>
      </w:r>
      <w:r w:rsidRPr="000F0299">
        <w:t xml:space="preserve"> етичко понашањ</w:t>
      </w:r>
      <w:r>
        <w:t>е,</w:t>
      </w:r>
      <w:r w:rsidRPr="000F0299">
        <w:t xml:space="preserve"> пружа</w:t>
      </w:r>
      <w:r>
        <w:t>ју</w:t>
      </w:r>
      <w:r w:rsidRPr="000F0299">
        <w:t xml:space="preserve"> савет</w:t>
      </w:r>
      <w:r>
        <w:t>е</w:t>
      </w:r>
      <w:r w:rsidRPr="000F0299">
        <w:t xml:space="preserve"> запосленима о етичким питањима</w:t>
      </w:r>
      <w:r>
        <w:t>,</w:t>
      </w:r>
      <w:r w:rsidRPr="000F0299">
        <w:t xml:space="preserve"> бри</w:t>
      </w:r>
      <w:r>
        <w:t>н</w:t>
      </w:r>
      <w:r w:rsidRPr="000F0299">
        <w:t>у о редовном стручном усавршавању запослених у овој области и при</w:t>
      </w:r>
      <w:r>
        <w:t xml:space="preserve">мају </w:t>
      </w:r>
      <w:r w:rsidRPr="000F0299">
        <w:t>и поступа</w:t>
      </w:r>
      <w:r>
        <w:t>ју</w:t>
      </w:r>
      <w:r w:rsidRPr="000F0299">
        <w:t xml:space="preserve"> по притужбама на неетичко понашање запослених. Прописима су недовољно разрађене одредбе кој</w:t>
      </w:r>
      <w:r>
        <w:t xml:space="preserve">има </w:t>
      </w:r>
      <w:r w:rsidRPr="000F0299">
        <w:t xml:space="preserve">се </w:t>
      </w:r>
      <w:r>
        <w:t>уређује</w:t>
      </w:r>
      <w:r w:rsidRPr="000F0299">
        <w:t xml:space="preserve"> успостављање система управљања и извештавања о неправилностима и преварама</w:t>
      </w:r>
      <w:r>
        <w:t xml:space="preserve">, а </w:t>
      </w:r>
      <w:r w:rsidRPr="000F0299">
        <w:t xml:space="preserve">у пракси су уочени проблеми у вези за статусом овлашћених лица у органима јавне власти за обављање послова управљања </w:t>
      </w:r>
      <w:r>
        <w:t xml:space="preserve">који се односе на </w:t>
      </w:r>
      <w:r w:rsidRPr="000F0299">
        <w:t xml:space="preserve">сукоб интереса запослених и поступање по пријавама у вези са унутрашњим узбуњивањем. </w:t>
      </w:r>
      <w:r>
        <w:t>И</w:t>
      </w:r>
      <w:r w:rsidRPr="000F0299">
        <w:t xml:space="preserve">дентификоване су и слабости механизама спољашње координације и надзора над </w:t>
      </w:r>
      <w:r>
        <w:t xml:space="preserve">извршавањем </w:t>
      </w:r>
      <w:r w:rsidRPr="000F0299">
        <w:t xml:space="preserve">обавеза органа јавне власти у вези са применом </w:t>
      </w:r>
      <w:r>
        <w:t>т</w:t>
      </w:r>
      <w:r w:rsidRPr="000F0299">
        <w:t xml:space="preserve">их механизама, </w:t>
      </w:r>
      <w:r>
        <w:t xml:space="preserve">који су </w:t>
      </w:r>
      <w:r w:rsidRPr="000F0299">
        <w:t>значајни за спречавање корупције и јачање интегритета.</w:t>
      </w:r>
      <w:r w:rsidRPr="000F0299">
        <w:rPr>
          <w:rStyle w:val="FootnoteReference"/>
          <w:color w:val="000000"/>
        </w:rPr>
        <w:footnoteReference w:id="242"/>
      </w:r>
      <w:r w:rsidRPr="000F0299">
        <w:t xml:space="preserve"> </w:t>
      </w:r>
    </w:p>
    <w:p w14:paraId="08950E47" w14:textId="77777777" w:rsidR="00CE6AC1" w:rsidRPr="000F0299" w:rsidRDefault="00CE6AC1" w:rsidP="00CE6AC1">
      <w:pPr>
        <w:rPr>
          <w:bCs/>
        </w:rPr>
      </w:pPr>
      <w:r w:rsidRPr="000F0299">
        <w:rPr>
          <w:bCs/>
        </w:rPr>
        <w:t xml:space="preserve">У области транспарентности рада јавне управе, напредак на нивоу резултата није у потпуности остварен. </w:t>
      </w:r>
      <w:r w:rsidRPr="000F0299">
        <w:t xml:space="preserve">Maда је сада већи </w:t>
      </w:r>
      <w:r>
        <w:t>број</w:t>
      </w:r>
      <w:r w:rsidRPr="000F0299">
        <w:t xml:space="preserve"> података </w:t>
      </w:r>
      <w:r>
        <w:t xml:space="preserve">које су </w:t>
      </w:r>
      <w:r w:rsidRPr="000F0299">
        <w:t>сакуп</w:t>
      </w:r>
      <w:r>
        <w:t xml:space="preserve">или </w:t>
      </w:r>
      <w:r w:rsidRPr="000F0299">
        <w:t>и обра</w:t>
      </w:r>
      <w:r>
        <w:t xml:space="preserve">дили </w:t>
      </w:r>
      <w:r w:rsidRPr="000F0299">
        <w:t>орган</w:t>
      </w:r>
      <w:r>
        <w:t>и</w:t>
      </w:r>
      <w:r w:rsidRPr="000F0299">
        <w:t xml:space="preserve"> државне управе </w:t>
      </w:r>
      <w:r>
        <w:t xml:space="preserve">којима се може </w:t>
      </w:r>
      <w:r w:rsidRPr="000F0299">
        <w:t xml:space="preserve">слободно </w:t>
      </w:r>
      <w:r>
        <w:t>приступити</w:t>
      </w:r>
      <w:r w:rsidRPr="000F0299">
        <w:t xml:space="preserve">, </w:t>
      </w:r>
      <w:r>
        <w:t>потребно</w:t>
      </w:r>
      <w:r w:rsidRPr="000F0299">
        <w:t xml:space="preserve"> је да органи државне управе </w:t>
      </w:r>
      <w:r w:rsidRPr="000F0299">
        <w:rPr>
          <w:b/>
          <w:bCs/>
        </w:rPr>
        <w:t xml:space="preserve">буду активнији </w:t>
      </w:r>
      <w:r>
        <w:rPr>
          <w:b/>
          <w:bCs/>
        </w:rPr>
        <w:t xml:space="preserve">и </w:t>
      </w:r>
      <w:r w:rsidRPr="000F0299">
        <w:rPr>
          <w:b/>
          <w:bCs/>
        </w:rPr>
        <w:t>проактивн</w:t>
      </w:r>
      <w:r>
        <w:rPr>
          <w:b/>
          <w:bCs/>
        </w:rPr>
        <w:t>о и реактивно</w:t>
      </w:r>
      <w:r w:rsidRPr="000F0299">
        <w:rPr>
          <w:b/>
          <w:bCs/>
        </w:rPr>
        <w:t xml:space="preserve"> у објављивању информација</w:t>
      </w:r>
      <w:r w:rsidRPr="000F0299">
        <w:t xml:space="preserve">. Потребно је </w:t>
      </w:r>
      <w:r>
        <w:t>утврдити</w:t>
      </w:r>
      <w:r w:rsidRPr="000F0299">
        <w:t xml:space="preserve"> већу одговорност и утицати на органе тако да се смањи број случајева ,,ћутања управе”, </w:t>
      </w:r>
      <w:r>
        <w:t xml:space="preserve">у којима се </w:t>
      </w:r>
      <w:r w:rsidRPr="000F0299">
        <w:t>игнори</w:t>
      </w:r>
      <w:r>
        <w:t xml:space="preserve">шу </w:t>
      </w:r>
      <w:r w:rsidRPr="000F0299">
        <w:t>захтев</w:t>
      </w:r>
      <w:r>
        <w:t>и</w:t>
      </w:r>
      <w:r w:rsidRPr="000F0299">
        <w:t xml:space="preserve"> за слободан приступ информацијама од јавног значаја, као и превеликог</w:t>
      </w:r>
      <w:r w:rsidRPr="000F0299">
        <w:rPr>
          <w:bCs/>
        </w:rPr>
        <w:t xml:space="preserve"> броја докумената на које се стављају ознаке тајности. Према Извештају о раду Повереника за информације од јавног значаја и заштиту података о личности за 2018. годину,</w:t>
      </w:r>
      <w:r w:rsidRPr="000F0299">
        <w:rPr>
          <w:rStyle w:val="FootnoteReference"/>
          <w:color w:val="000000"/>
        </w:rPr>
        <w:footnoteReference w:id="243"/>
      </w:r>
      <w:r w:rsidRPr="000F0299">
        <w:rPr>
          <w:bCs/>
        </w:rPr>
        <w:t xml:space="preserve"> органи јавне власти су и у току претходне године одбијали захтеве за приступ информацијама од јавног значаја позивајући се, најчешће, на поверљивост информација, а затим и на злоупотребу права и на повреду приватности. Степен извршења решења Повереника последњих неколико година се смањује, те је у 2018. години био најнижи од почетка рада </w:t>
      </w:r>
      <w:r>
        <w:rPr>
          <w:bCs/>
        </w:rPr>
        <w:t>т</w:t>
      </w:r>
      <w:r w:rsidRPr="000F0299">
        <w:rPr>
          <w:bCs/>
        </w:rPr>
        <w:t>е институције</w:t>
      </w:r>
      <w:r>
        <w:rPr>
          <w:bCs/>
        </w:rPr>
        <w:t xml:space="preserve">, </w:t>
      </w:r>
      <w:r w:rsidRPr="000F0299">
        <w:rPr>
          <w:bCs/>
        </w:rPr>
        <w:t>око 70%.</w:t>
      </w:r>
      <w:r w:rsidRPr="000F0299">
        <w:rPr>
          <w:rStyle w:val="FootnoteReference"/>
          <w:color w:val="000000"/>
        </w:rPr>
        <w:footnoteReference w:id="244"/>
      </w:r>
      <w:r w:rsidRPr="000F0299">
        <w:rPr>
          <w:bCs/>
        </w:rPr>
        <w:t xml:space="preserve"> Овај тренд се наставља и , по подацима из Извештаја о раду, степен извршења решења донетих у 2019. </w:t>
      </w:r>
      <w:r>
        <w:rPr>
          <w:bCs/>
        </w:rPr>
        <w:t>г</w:t>
      </w:r>
      <w:r w:rsidRPr="000F0299">
        <w:rPr>
          <w:bCs/>
        </w:rPr>
        <w:t>одини износи 69,38%.</w:t>
      </w:r>
      <w:r w:rsidRPr="000F0299">
        <w:rPr>
          <w:rStyle w:val="FootnoteReference"/>
          <w:color w:val="000000"/>
        </w:rPr>
        <w:footnoteReference w:id="245"/>
      </w:r>
      <w:r w:rsidRPr="000F0299">
        <w:rPr>
          <w:bCs/>
        </w:rPr>
        <w:t xml:space="preserve"> </w:t>
      </w:r>
      <w:r>
        <w:rPr>
          <w:bCs/>
        </w:rPr>
        <w:t>Т</w:t>
      </w:r>
      <w:r w:rsidRPr="000F0299">
        <w:rPr>
          <w:bCs/>
        </w:rPr>
        <w:t>и подаци указују на слабости у поступању органа јавне власти по Закону о слободном приступу информацијама од јавног значаја.</w:t>
      </w:r>
    </w:p>
    <w:p w14:paraId="59516ADF" w14:textId="77777777" w:rsidR="00CE6AC1" w:rsidRPr="000F0299" w:rsidRDefault="00CE6AC1" w:rsidP="00CE6AC1">
      <w:r w:rsidRPr="000F0299">
        <w:t xml:space="preserve">Потребно је </w:t>
      </w:r>
      <w:r w:rsidRPr="000F0299">
        <w:rPr>
          <w:b/>
        </w:rPr>
        <w:t xml:space="preserve">унапређење у поступању органа јавне управе и у погледу </w:t>
      </w:r>
      <w:r w:rsidRPr="000F0299">
        <w:t>препорука</w:t>
      </w:r>
      <w:r w:rsidRPr="000F0299">
        <w:rPr>
          <w:b/>
        </w:rPr>
        <w:t xml:space="preserve"> других независних државних органа</w:t>
      </w:r>
      <w:r w:rsidRPr="000F0299">
        <w:t xml:space="preserve">. Током 2018. године Заштитник грађана дао је 305 препорука органима јавне власти. Од 59 препорука које су током 2018. године доспеле за реализацију, органи јавне власти су поступили </w:t>
      </w:r>
      <w:r>
        <w:t xml:space="preserve">према </w:t>
      </w:r>
      <w:r w:rsidRPr="000F0299">
        <w:t>44</w:t>
      </w:r>
      <w:r>
        <w:t xml:space="preserve"> </w:t>
      </w:r>
      <w:r w:rsidRPr="000F0299">
        <w:t>у року  (74,58%)</w:t>
      </w:r>
      <w:r>
        <w:t>,</w:t>
      </w:r>
      <w:r w:rsidRPr="000F0299">
        <w:rPr>
          <w:rStyle w:val="FootnoteReference"/>
          <w:color w:val="000000"/>
        </w:rPr>
        <w:footnoteReference w:id="246"/>
      </w:r>
      <w:r w:rsidRPr="000F0299">
        <w:t xml:space="preserve"> </w:t>
      </w:r>
      <w:r>
        <w:t xml:space="preserve">док </w:t>
      </w:r>
      <w:r w:rsidRPr="000F0299">
        <w:t xml:space="preserve">за 246 препорука у периоду објављивања Извештаја о раду за </w:t>
      </w:r>
      <w:r>
        <w:t>ту</w:t>
      </w:r>
      <w:r w:rsidRPr="000F0299">
        <w:t xml:space="preserve"> годину није </w:t>
      </w:r>
      <w:r>
        <w:t xml:space="preserve">био </w:t>
      </w:r>
      <w:r w:rsidRPr="000F0299">
        <w:t>истекао рок остављен органима за поступање.</w:t>
      </w:r>
      <w:r w:rsidRPr="000F0299">
        <w:rPr>
          <w:rStyle w:val="FootnoteReference"/>
          <w:color w:val="000000"/>
        </w:rPr>
        <w:footnoteReference w:id="247"/>
      </w:r>
      <w:r w:rsidRPr="000F0299">
        <w:t xml:space="preserve"> Током 2019. године Заштитник грађана је дао 239 препорука органима јавне власти</w:t>
      </w:r>
      <w:r>
        <w:t>, а од</w:t>
      </w:r>
      <w:r w:rsidRPr="000F0299">
        <w:t xml:space="preserve"> 98 препорука које су током </w:t>
      </w:r>
      <w:r>
        <w:t xml:space="preserve">те </w:t>
      </w:r>
      <w:r w:rsidRPr="000F0299">
        <w:t xml:space="preserve">године доспеле за реализацију, органи јавне власти су поступили </w:t>
      </w:r>
      <w:r>
        <w:t xml:space="preserve">према 81 </w:t>
      </w:r>
      <w:r w:rsidRPr="000F0299">
        <w:t xml:space="preserve">у року (82,65%). </w:t>
      </w:r>
      <w:r>
        <w:t>З</w:t>
      </w:r>
      <w:r w:rsidRPr="000F0299">
        <w:t>а 141 препоруку у периоду објављивања годишњег извештаја о раду за 2019. годину још није истекао рок остављен органима за поступање.</w:t>
      </w:r>
      <w:r w:rsidRPr="000F0299">
        <w:rPr>
          <w:rStyle w:val="FootnoteReference"/>
          <w:color w:val="000000"/>
        </w:rPr>
        <w:footnoteReference w:id="248"/>
      </w:r>
      <w:r w:rsidRPr="000F0299">
        <w:t xml:space="preserve"> Према Извештају Повереника за заштиту равноправности за 2018. годину, у 81 случају донето је мишљење којим је утврђена повреда одредаба Закона о забрани дискриминације и препору</w:t>
      </w:r>
      <w:r>
        <w:t>чена</w:t>
      </w:r>
      <w:r w:rsidRPr="000F0299">
        <w:t xml:space="preserve"> </w:t>
      </w:r>
      <w:r>
        <w:t xml:space="preserve">је </w:t>
      </w:r>
      <w:r w:rsidRPr="000F0299">
        <w:t xml:space="preserve">мера. По </w:t>
      </w:r>
      <w:r>
        <w:t>т</w:t>
      </w:r>
      <w:r w:rsidRPr="000F0299">
        <w:t xml:space="preserve">им препорукама поступљено је у 61 случају (78,2%), док у 17 случајева није поступљено (21,8%), а у три случаја рок за поступање по препоруци још није </w:t>
      </w:r>
      <w:r>
        <w:t xml:space="preserve">био </w:t>
      </w:r>
      <w:r w:rsidRPr="000F0299">
        <w:t>истекао у периоду достављања извештаја Народној скупштини.</w:t>
      </w:r>
      <w:r w:rsidRPr="000F0299">
        <w:rPr>
          <w:rStyle w:val="FootnoteReference"/>
          <w:color w:val="000000"/>
        </w:rPr>
        <w:footnoteReference w:id="249"/>
      </w:r>
      <w:r w:rsidRPr="000F0299">
        <w:t xml:space="preserve"> </w:t>
      </w:r>
      <w:r>
        <w:t>М</w:t>
      </w:r>
      <w:r w:rsidRPr="000F0299">
        <w:t>ер</w:t>
      </w:r>
      <w:r>
        <w:t>е</w:t>
      </w:r>
      <w:r w:rsidRPr="000F0299">
        <w:t xml:space="preserve"> за остваривање равноправности </w:t>
      </w:r>
      <w:r>
        <w:t xml:space="preserve">које су </w:t>
      </w:r>
      <w:r w:rsidRPr="000F0299">
        <w:t>препору</w:t>
      </w:r>
      <w:r>
        <w:t xml:space="preserve">чене </w:t>
      </w:r>
      <w:r w:rsidRPr="000F0299">
        <w:t>органима јавне власти и другим лицима</w:t>
      </w:r>
      <w:r>
        <w:t xml:space="preserve"> спроведене су </w:t>
      </w:r>
      <w:r w:rsidRPr="000F0299">
        <w:t xml:space="preserve">у 98,3% случајева, што укупно са поступањем по препорукама </w:t>
      </w:r>
      <w:r>
        <w:t xml:space="preserve">које су </w:t>
      </w:r>
      <w:r w:rsidRPr="000F0299">
        <w:t>дат</w:t>
      </w:r>
      <w:r>
        <w:t>е</w:t>
      </w:r>
      <w:r w:rsidRPr="000F0299">
        <w:t xml:space="preserve"> у појединачним случајевима у просеку износи 88,2%.</w:t>
      </w:r>
      <w:r w:rsidRPr="000F0299">
        <w:rPr>
          <w:rStyle w:val="FootnoteReference"/>
          <w:color w:val="000000"/>
        </w:rPr>
        <w:footnoteReference w:id="250"/>
      </w:r>
      <w:r w:rsidRPr="000F0299">
        <w:t xml:space="preserve"> Током 2019. </w:t>
      </w:r>
      <w:r>
        <w:t>г</w:t>
      </w:r>
      <w:r w:rsidRPr="000F0299">
        <w:t>одине</w:t>
      </w:r>
      <w:r>
        <w:t xml:space="preserve"> донето </w:t>
      </w:r>
      <w:r w:rsidRPr="000F0299">
        <w:t>у 52 случаја мишљење којим је утврђен</w:t>
      </w:r>
      <w:r>
        <w:t>о</w:t>
      </w:r>
      <w:r w:rsidRPr="000F0299">
        <w:t xml:space="preserve"> </w:t>
      </w:r>
      <w:r>
        <w:t xml:space="preserve">да су </w:t>
      </w:r>
      <w:r w:rsidRPr="000F0299">
        <w:t>повре</w:t>
      </w:r>
      <w:r>
        <w:t xml:space="preserve">ђене </w:t>
      </w:r>
      <w:r w:rsidRPr="000F0299">
        <w:t>одредб</w:t>
      </w:r>
      <w:r>
        <w:t>е</w:t>
      </w:r>
      <w:r w:rsidRPr="000F0299">
        <w:t xml:space="preserve"> Закона о забрани дискриминације и препору</w:t>
      </w:r>
      <w:r>
        <w:t>чене су</w:t>
      </w:r>
      <w:r w:rsidRPr="000F0299">
        <w:t xml:space="preserve"> мер</w:t>
      </w:r>
      <w:r>
        <w:t>е</w:t>
      </w:r>
      <w:r w:rsidRPr="000F0299">
        <w:t xml:space="preserve">. По </w:t>
      </w:r>
      <w:r>
        <w:t>т</w:t>
      </w:r>
      <w:r w:rsidRPr="000F0299">
        <w:t>им препорукама поступљено је у 35 случајева (87,5</w:t>
      </w:r>
      <w:r>
        <w:t>%</w:t>
      </w:r>
      <w:r w:rsidRPr="000F0299">
        <w:t xml:space="preserve">), док у пет случајева није поступљено (12,5%), а у 12 случајева рок за поступање по препоруци још није </w:t>
      </w:r>
      <w:r>
        <w:t xml:space="preserve">био </w:t>
      </w:r>
      <w:r w:rsidRPr="000F0299">
        <w:t>истекао у периоду достављања извештаја Народној скупштини. По препорукама мера за остваривање равноправности органима јавне власти и другим лицима поступљено је у 90,3%, што укупно са поступањем по препорукама датим у појединачним случајевима у просеку износи 88,9%.</w:t>
      </w:r>
      <w:r w:rsidRPr="000F0299">
        <w:rPr>
          <w:rStyle w:val="FootnoteReference"/>
          <w:color w:val="000000"/>
        </w:rPr>
        <w:footnoteReference w:id="251"/>
      </w:r>
    </w:p>
    <w:p w14:paraId="237DC5E1" w14:textId="77777777" w:rsidR="00CE6AC1" w:rsidRPr="000F0299" w:rsidRDefault="00CE6AC1" w:rsidP="00CE6AC1">
      <w:r w:rsidRPr="000F0299">
        <w:t xml:space="preserve">Агенција за борбу против корупције </w:t>
      </w:r>
      <w:r w:rsidRPr="000F0299">
        <w:rPr>
          <w:bCs/>
        </w:rPr>
        <w:t xml:space="preserve">у Годишњем извештају за 2018. годину </w:t>
      </w:r>
      <w:r w:rsidRPr="000F0299">
        <w:t>наводи да је највећи број мера и одлука, укупно 124, изречено функционерима због кумулације функција, а 113 због ситуација које представљају сукоб интереса.</w:t>
      </w:r>
      <w:r w:rsidRPr="000F0299">
        <w:rPr>
          <w:rStyle w:val="FootnoteReference"/>
          <w:color w:val="000000"/>
        </w:rPr>
        <w:footnoteReference w:id="252"/>
      </w:r>
      <w:r w:rsidRPr="000F0299">
        <w:rPr>
          <w:bCs/>
        </w:rPr>
        <w:t xml:space="preserve"> </w:t>
      </w:r>
      <w:r w:rsidRPr="000F0299">
        <w:t xml:space="preserve">Од 124 одлуке које се односе на кумулацију јавних функција, Агенција је изрекла једну меру </w:t>
      </w:r>
      <w:r>
        <w:t xml:space="preserve">да се </w:t>
      </w:r>
      <w:r w:rsidRPr="000F0299">
        <w:t>јавно објав</w:t>
      </w:r>
      <w:r>
        <w:t>и</w:t>
      </w:r>
      <w:r w:rsidRPr="000F0299">
        <w:t xml:space="preserve"> препорук</w:t>
      </w:r>
      <w:r>
        <w:t>а</w:t>
      </w:r>
      <w:r w:rsidRPr="000F0299">
        <w:t xml:space="preserve"> за разрешење са јавне функције, док је у ситуацијама које представљају сукоб интереса, од укупно 113 мера, изрекла 42 мере </w:t>
      </w:r>
      <w:r>
        <w:t xml:space="preserve">да се </w:t>
      </w:r>
      <w:r w:rsidRPr="000F0299">
        <w:t>јавно објав</w:t>
      </w:r>
      <w:r>
        <w:t>е</w:t>
      </w:r>
      <w:r w:rsidRPr="000F0299">
        <w:t xml:space="preserve"> препоруке за разрешење.</w:t>
      </w:r>
      <w:r w:rsidRPr="000F0299">
        <w:rPr>
          <w:rStyle w:val="FootnoteReference"/>
          <w:color w:val="000000"/>
        </w:rPr>
        <w:footnoteReference w:id="253"/>
      </w:r>
      <w:r w:rsidRPr="000F0299">
        <w:t xml:space="preserve"> У пракси се дешава да надлежни органи који су изабрали, именовали или поставили функционере не извршавају и не поштују препоруку Агенције за разрешење, што је пре свега изражено на нижим нивоима власти.</w:t>
      </w:r>
      <w:r w:rsidRPr="000F0299">
        <w:rPr>
          <w:rStyle w:val="FootnoteReference"/>
          <w:color w:val="000000"/>
        </w:rPr>
        <w:footnoteReference w:id="254"/>
      </w:r>
      <w:r w:rsidRPr="000F0299">
        <w:t xml:space="preserve"> </w:t>
      </w:r>
      <w:r>
        <w:t>В</w:t>
      </w:r>
      <w:r w:rsidRPr="000F0299">
        <w:t>ећин</w:t>
      </w:r>
      <w:r>
        <w:t>а</w:t>
      </w:r>
      <w:r w:rsidRPr="000F0299">
        <w:t xml:space="preserve"> органа јавне власти који не поштују одлуке Агенције</w:t>
      </w:r>
      <w:r>
        <w:t xml:space="preserve"> наводи</w:t>
      </w:r>
      <w:r w:rsidRPr="000F0299">
        <w:t xml:space="preserve"> да </w:t>
      </w:r>
      <w:r>
        <w:t>нису</w:t>
      </w:r>
      <w:r w:rsidRPr="000F0299">
        <w:t xml:space="preserve"> поступ</w:t>
      </w:r>
      <w:r>
        <w:t xml:space="preserve">или по одлуци зато што </w:t>
      </w:r>
      <w:r w:rsidRPr="000F0299">
        <w:t xml:space="preserve">су утврдили да нема сукоба интереса, што није у њиховој надлежности и не </w:t>
      </w:r>
      <w:r>
        <w:t xml:space="preserve">води у </w:t>
      </w:r>
      <w:r w:rsidRPr="000F0299">
        <w:t>владавин</w:t>
      </w:r>
      <w:r>
        <w:t>у</w:t>
      </w:r>
      <w:r w:rsidRPr="000F0299">
        <w:t xml:space="preserve"> права и поштовања институција.</w:t>
      </w:r>
      <w:r w:rsidRPr="000F0299">
        <w:rPr>
          <w:rStyle w:val="FootnoteReference"/>
          <w:color w:val="000000"/>
        </w:rPr>
        <w:footnoteReference w:id="255"/>
      </w:r>
      <w:r w:rsidRPr="000F0299">
        <w:t xml:space="preserve"> </w:t>
      </w:r>
      <w:r>
        <w:t>Т</w:t>
      </w:r>
      <w:r w:rsidRPr="000F0299">
        <w:t>оком 2018. године Агенција је израдила мишљења о процени ризика корупције у одредбама четрнаест нацрта закона и два предлога закона</w:t>
      </w:r>
      <w:r>
        <w:t xml:space="preserve"> и заједно их са </w:t>
      </w:r>
      <w:r w:rsidRPr="000F0299">
        <w:t>препорук</w:t>
      </w:r>
      <w:r>
        <w:t>ама</w:t>
      </w:r>
      <w:r w:rsidRPr="000F0299">
        <w:t xml:space="preserve"> за </w:t>
      </w:r>
      <w:r>
        <w:t>измену</w:t>
      </w:r>
      <w:r w:rsidRPr="000F0299">
        <w:t xml:space="preserve"> текста</w:t>
      </w:r>
      <w:r>
        <w:t xml:space="preserve"> </w:t>
      </w:r>
      <w:r w:rsidRPr="000F0299">
        <w:t>доставила министарствима</w:t>
      </w:r>
      <w:r>
        <w:t>, од којих су</w:t>
      </w:r>
      <w:r w:rsidRPr="000F0299">
        <w:t xml:space="preserve"> само неке усвојене у целини или делимично. Ток</w:t>
      </w:r>
      <w:r>
        <w:t>ом</w:t>
      </w:r>
      <w:r w:rsidRPr="000F0299">
        <w:t xml:space="preserve"> 2018. године усвојено 20% препорука Агенције, и то углавном оних техничког карактера</w:t>
      </w:r>
      <w:r>
        <w:t xml:space="preserve">, </w:t>
      </w:r>
      <w:r w:rsidRPr="000F0299">
        <w:t>нпр. прописивање рока за поступање органа јавне власти</w:t>
      </w:r>
      <w:r>
        <w:t xml:space="preserve">, док </w:t>
      </w:r>
      <w:r w:rsidRPr="000F0299">
        <w:t>препоруке које су изискивале значајније интервенције у предлозима прописа, по правилу</w:t>
      </w:r>
      <w:r>
        <w:t>,</w:t>
      </w:r>
      <w:r w:rsidRPr="000F0299">
        <w:t xml:space="preserve"> нису прихватане</w:t>
      </w:r>
      <w:r>
        <w:t xml:space="preserve">, што значи да су </w:t>
      </w:r>
      <w:r w:rsidRPr="000F0299">
        <w:t>у свим законима чије је предлоге Агенција претходно анализирала остала  решења која садрже извесн</w:t>
      </w:r>
      <w:r>
        <w:t>е</w:t>
      </w:r>
      <w:r w:rsidRPr="000F0299">
        <w:t xml:space="preserve"> коруптивне ризике.</w:t>
      </w:r>
      <w:r w:rsidRPr="000F0299">
        <w:rPr>
          <w:rStyle w:val="FootnoteReference"/>
        </w:rPr>
        <w:footnoteReference w:id="256"/>
      </w:r>
      <w:r w:rsidRPr="000F0299">
        <w:t xml:space="preserve"> </w:t>
      </w:r>
      <w:r>
        <w:t xml:space="preserve">У </w:t>
      </w:r>
      <w:r w:rsidRPr="000F0299">
        <w:t>Годишњ</w:t>
      </w:r>
      <w:r>
        <w:t>ем</w:t>
      </w:r>
      <w:r w:rsidRPr="000F0299">
        <w:t xml:space="preserve"> извештај</w:t>
      </w:r>
      <w:r>
        <w:t>у</w:t>
      </w:r>
      <w:r w:rsidRPr="000F0299">
        <w:t xml:space="preserve"> за 2019. годину </w:t>
      </w:r>
      <w:r>
        <w:t>да је највише мера</w:t>
      </w:r>
      <w:r w:rsidRPr="000F0299" w:rsidDel="00DC5A27">
        <w:t xml:space="preserve"> </w:t>
      </w:r>
      <w:r w:rsidRPr="000F0299">
        <w:t>и одлука изречено је функционерима због кумулације функција, док су друге по бројности</w:t>
      </w:r>
      <w:r>
        <w:t xml:space="preserve"> </w:t>
      </w:r>
      <w:r w:rsidRPr="000F0299">
        <w:t xml:space="preserve">мере изречене због ситуација које представљају сукоб интереса. Од укупно 117 одлука које се односе на кумулацију јавних функција, Агенција није изрекла ниједну меру </w:t>
      </w:r>
      <w:r>
        <w:t xml:space="preserve">да се </w:t>
      </w:r>
      <w:r w:rsidRPr="000F0299">
        <w:t>јавно објав</w:t>
      </w:r>
      <w:r>
        <w:t>и</w:t>
      </w:r>
      <w:r w:rsidRPr="000F0299">
        <w:t xml:space="preserve"> препорук</w:t>
      </w:r>
      <w:r>
        <w:t>а</w:t>
      </w:r>
      <w:r w:rsidRPr="000F0299">
        <w:t xml:space="preserve"> за разрешење</w:t>
      </w:r>
      <w:r>
        <w:t>, а</w:t>
      </w:r>
      <w:r w:rsidRPr="000F0299">
        <w:t xml:space="preserve"> од 82 мере </w:t>
      </w:r>
      <w:r>
        <w:t xml:space="preserve">изречене </w:t>
      </w:r>
      <w:r w:rsidRPr="000F0299">
        <w:t xml:space="preserve">због ситуација које представљају сукоб интереса, Агенција је изрекла 32 мере </w:t>
      </w:r>
      <w:r>
        <w:t xml:space="preserve">да се </w:t>
      </w:r>
      <w:r w:rsidRPr="000F0299">
        <w:t>јавно објав</w:t>
      </w:r>
      <w:r>
        <w:t>и</w:t>
      </w:r>
      <w:r w:rsidRPr="000F0299">
        <w:t xml:space="preserve"> препорук</w:t>
      </w:r>
      <w:r>
        <w:t>а</w:t>
      </w:r>
      <w:r w:rsidRPr="000F0299">
        <w:t xml:space="preserve"> за разрешење са јавне функције.</w:t>
      </w:r>
      <w:r w:rsidRPr="000F0299">
        <w:rPr>
          <w:rStyle w:val="FootnoteReference"/>
          <w:color w:val="000000"/>
        </w:rPr>
        <w:footnoteReference w:id="257"/>
      </w:r>
      <w:r w:rsidRPr="000F0299">
        <w:t xml:space="preserve"> Током 2019. године Агенција је због повреде одредаба Закона о Агенцији за борбу против корупције изрекла укупно 295 мера, од чега 41 меру </w:t>
      </w:r>
      <w:r>
        <w:t xml:space="preserve">да се </w:t>
      </w:r>
      <w:r w:rsidRPr="000F0299">
        <w:t>јавно објав</w:t>
      </w:r>
      <w:r>
        <w:t>и</w:t>
      </w:r>
      <w:r w:rsidRPr="000F0299">
        <w:t xml:space="preserve"> препорук</w:t>
      </w:r>
      <w:r>
        <w:t>а</w:t>
      </w:r>
      <w:r w:rsidRPr="000F0299">
        <w:t xml:space="preserve"> за разрешење.</w:t>
      </w:r>
      <w:r w:rsidRPr="000F0299">
        <w:rPr>
          <w:rStyle w:val="FootnoteReference"/>
          <w:color w:val="000000"/>
        </w:rPr>
        <w:footnoteReference w:id="258"/>
      </w:r>
      <w:r w:rsidRPr="000F0299">
        <w:t xml:space="preserve"> </w:t>
      </w:r>
    </w:p>
    <w:p w14:paraId="2B1D0C8D" w14:textId="77777777" w:rsidR="00CE6AC1" w:rsidRPr="000F0299" w:rsidRDefault="00CE6AC1" w:rsidP="00CE6AC1">
      <w:r w:rsidRPr="000F0299">
        <w:t xml:space="preserve">Представљени подаци из годишњих извештаја указују да је у 2019. години учињен известан помак у поступању органа јавне управе поводом препорука независних државних органа. Тако је </w:t>
      </w:r>
      <w:r w:rsidRPr="000F0299">
        <w:rPr>
          <w:color w:val="1A171C"/>
        </w:rPr>
        <w:t>поступањ</w:t>
      </w:r>
      <w:r>
        <w:rPr>
          <w:color w:val="1A171C"/>
        </w:rPr>
        <w:t>е</w:t>
      </w:r>
      <w:r w:rsidRPr="000F0299">
        <w:rPr>
          <w:color w:val="1A171C"/>
        </w:rPr>
        <w:t xml:space="preserve"> по препорукама Повереника за заштиту равноправности увећан</w:t>
      </w:r>
      <w:r>
        <w:rPr>
          <w:color w:val="1A171C"/>
        </w:rPr>
        <w:t>о</w:t>
      </w:r>
      <w:r w:rsidRPr="000F0299">
        <w:rPr>
          <w:color w:val="1A171C"/>
        </w:rPr>
        <w:t xml:space="preserve"> </w:t>
      </w:r>
      <w:r w:rsidRPr="000F0299">
        <w:rPr>
          <w:bCs/>
          <w:color w:val="1A171C"/>
        </w:rPr>
        <w:t>2018. годин</w:t>
      </w:r>
      <w:r>
        <w:rPr>
          <w:bCs/>
          <w:color w:val="1A171C"/>
        </w:rPr>
        <w:t>е</w:t>
      </w:r>
      <w:r w:rsidRPr="000F0299">
        <w:rPr>
          <w:bCs/>
          <w:color w:val="1A171C"/>
        </w:rPr>
        <w:t xml:space="preserve"> са 88,2% на 88,9%</w:t>
      </w:r>
      <w:r>
        <w:rPr>
          <w:bCs/>
          <w:color w:val="1A171C"/>
        </w:rPr>
        <w:t xml:space="preserve">, док је број </w:t>
      </w:r>
      <w:bookmarkStart w:id="210" w:name="_Hlk51414577"/>
      <w:r w:rsidRPr="000F0299">
        <w:rPr>
          <w:color w:val="1A171C"/>
        </w:rPr>
        <w:t xml:space="preserve">прихваћених препорука Заштитника грађана које су </w:t>
      </w:r>
      <w:r w:rsidRPr="000F0299">
        <w:rPr>
          <w:bCs/>
        </w:rPr>
        <w:t>доспеле за реализацију</w:t>
      </w:r>
      <w:r w:rsidRPr="000F0299">
        <w:rPr>
          <w:bCs/>
          <w:color w:val="1A171C"/>
        </w:rPr>
        <w:t xml:space="preserve"> повећан са </w:t>
      </w:r>
      <w:r w:rsidRPr="000F0299">
        <w:rPr>
          <w:bCs/>
        </w:rPr>
        <w:t>74,58% у 2018. на 82,65% у 2019. години</w:t>
      </w:r>
      <w:bookmarkEnd w:id="210"/>
      <w:r w:rsidRPr="000F0299">
        <w:rPr>
          <w:bCs/>
          <w:color w:val="1A171C"/>
        </w:rPr>
        <w:t xml:space="preserve">. </w:t>
      </w:r>
      <w:bookmarkStart w:id="211" w:name="_Hlk51414792"/>
      <w:r>
        <w:rPr>
          <w:bCs/>
          <w:color w:val="1A171C"/>
        </w:rPr>
        <w:t>Д</w:t>
      </w:r>
      <w:r w:rsidRPr="000F0299">
        <w:rPr>
          <w:bCs/>
          <w:color w:val="1A171C"/>
        </w:rPr>
        <w:t>оступни подаци указују и да је проценат</w:t>
      </w:r>
      <w:r w:rsidRPr="000F0299">
        <w:rPr>
          <w:color w:val="488CB5"/>
        </w:rPr>
        <w:t xml:space="preserve"> </w:t>
      </w:r>
      <w:r w:rsidRPr="000F0299">
        <w:rPr>
          <w:bCs/>
          <w:color w:val="1A171C"/>
        </w:rPr>
        <w:t xml:space="preserve">испуњених препорука </w:t>
      </w:r>
      <w:r w:rsidRPr="000F0299">
        <w:rPr>
          <w:color w:val="1A171C"/>
        </w:rPr>
        <w:t xml:space="preserve">Агенције за борбу против корупције </w:t>
      </w:r>
      <w:r w:rsidRPr="000F0299">
        <w:rPr>
          <w:bCs/>
          <w:color w:val="1A171C"/>
        </w:rPr>
        <w:t>за отклањање ризика корупције у анализираним предлозима закона увећан са 20% у 2018. на 30% у 2019. години.</w:t>
      </w:r>
    </w:p>
    <w:bookmarkEnd w:id="211"/>
    <w:p w14:paraId="14773F76" w14:textId="77777777" w:rsidR="00CE6AC1" w:rsidRPr="000F0299" w:rsidRDefault="00CE6AC1" w:rsidP="00CE6AC1">
      <w:pPr>
        <w:rPr>
          <w:rFonts w:ascii="Arial Narrow" w:hAnsi="Arial Narrow"/>
        </w:rPr>
      </w:pPr>
      <w:r w:rsidRPr="000F0299">
        <w:rPr>
          <w:b/>
          <w:bCs/>
        </w:rPr>
        <w:t>Нема довољно података у поседу органа јавне управе објављених у електронском облику</w:t>
      </w:r>
      <w:r w:rsidRPr="000F0299">
        <w:t>, укључујући јавне евиденције</w:t>
      </w:r>
      <w:r>
        <w:t>, а</w:t>
      </w:r>
      <w:r w:rsidRPr="000F0299">
        <w:t xml:space="preserve"> мало је </w:t>
      </w:r>
      <w:r>
        <w:t xml:space="preserve">и </w:t>
      </w:r>
      <w:r w:rsidRPr="000F0299">
        <w:t>података објављених у машински читљивом облику који би обезбедио њихову лакшу и бржу претрагу, анализу и употребу. До 2020. године на Порталу отворених података своје податке у отвореном формату објавило је 46 институција, међу којима је шест министарстава (33%) и 24 ЈЛС (14%). Један од разлога за низак проценат објављивања података у машински читљивом формату јесте т</w:t>
      </w:r>
      <w:r>
        <w:t>о</w:t>
      </w:r>
      <w:r w:rsidRPr="000F0299">
        <w:t xml:space="preserve"> што подаци у поседу јавне управе веома често нису сређени како би се могли објавити у отвореном формату, а услед забране запошљавања и неконкурентних зарада у јавном сектору за ИТ кадар, недостај</w:t>
      </w:r>
      <w:r>
        <w:t>е</w:t>
      </w:r>
      <w:r w:rsidRPr="000F0299">
        <w:t xml:space="preserve"> и кадр</w:t>
      </w:r>
      <w:r>
        <w:t>а</w:t>
      </w:r>
      <w:r w:rsidRPr="000F0299">
        <w:t xml:space="preserve"> који би се бави</w:t>
      </w:r>
      <w:r>
        <w:t>о</w:t>
      </w:r>
      <w:r w:rsidRPr="000F0299">
        <w:t xml:space="preserve"> </w:t>
      </w:r>
      <w:r>
        <w:t>т</w:t>
      </w:r>
      <w:r w:rsidRPr="000F0299">
        <w:t>ом темом. Због тога, као и због недовољне информисаности о предностима отварања података постоји страх од грешке и додатног посла након објављивања података у отвореном формату.</w:t>
      </w:r>
      <w:r w:rsidRPr="000F0299">
        <w:rPr>
          <w:rStyle w:val="FootnoteReference"/>
          <w:color w:val="000000"/>
        </w:rPr>
        <w:footnoteReference w:id="259"/>
      </w:r>
      <w:r w:rsidRPr="000F0299">
        <w:t xml:space="preserve"> Имајући у виду да је проактивна транспарентност заснована на самоиницијативи, неопходно је утицати на доносиоце одлука, </w:t>
      </w:r>
      <w:r>
        <w:t>тј.</w:t>
      </w:r>
      <w:r w:rsidRPr="000F0299">
        <w:t xml:space="preserve"> упознати/обучити их о предностима повећања транспарентности рада органа. </w:t>
      </w:r>
    </w:p>
    <w:p w14:paraId="3DCA5B39" w14:textId="77777777" w:rsidR="00CE6AC1" w:rsidRPr="000F0299" w:rsidRDefault="00CE6AC1" w:rsidP="00CE6AC1">
      <w:pPr>
        <w:pStyle w:val="Heading4"/>
        <w:rPr>
          <w:rStyle w:val="Emphasis"/>
          <w:i/>
          <w:iCs/>
          <w:lang w:val="sr-Cyrl-RS"/>
        </w:rPr>
      </w:pPr>
      <w:r w:rsidRPr="000F0299">
        <w:rPr>
          <w:rStyle w:val="Emphasis"/>
          <w:i/>
          <w:iCs/>
          <w:lang w:val="sr-Cyrl-RS"/>
        </w:rPr>
        <w:t>Приказ упоредне праксе за поједина питања</w:t>
      </w:r>
    </w:p>
    <w:p w14:paraId="171A6CE1" w14:textId="77777777" w:rsidR="00CE6AC1" w:rsidRPr="000F0299" w:rsidRDefault="00CE6AC1" w:rsidP="00CE6AC1">
      <w:r w:rsidRPr="000F0299">
        <w:t>Последњи упоредни подаци о испуњености ЕУ/</w:t>
      </w:r>
      <w:r w:rsidRPr="001C1D72">
        <w:rPr>
          <w:i/>
        </w:rPr>
        <w:t>OECD</w:t>
      </w:r>
      <w:r w:rsidRPr="000F0299">
        <w:t xml:space="preserve"> принципа у области </w:t>
      </w:r>
      <w:r>
        <w:rPr>
          <w:iCs/>
        </w:rPr>
        <w:t>о</w:t>
      </w:r>
      <w:r w:rsidRPr="00B96BF9">
        <w:rPr>
          <w:iCs/>
        </w:rPr>
        <w:t>дговорност</w:t>
      </w:r>
      <w:r>
        <w:rPr>
          <w:iCs/>
        </w:rPr>
        <w:t>и</w:t>
      </w:r>
      <w:r w:rsidRPr="000F0299">
        <w:rPr>
          <w:i/>
          <w:iCs/>
        </w:rPr>
        <w:t xml:space="preserve"> </w:t>
      </w:r>
      <w:r w:rsidRPr="00B96BF9">
        <w:rPr>
          <w:iCs/>
        </w:rPr>
        <w:t>у земљама</w:t>
      </w:r>
      <w:r w:rsidRPr="000F0299">
        <w:t xml:space="preserve"> Западног Балкана могу се пронаћи у </w:t>
      </w:r>
      <w:r w:rsidRPr="001C1D72">
        <w:rPr>
          <w:i/>
        </w:rPr>
        <w:t>SIGMA</w:t>
      </w:r>
      <w:r w:rsidRPr="000F0299">
        <w:t xml:space="preserve"> извештајима о праћењу реформе јавне управе у појединачним државама из 2017. године. Из перспективе главног фокуса </w:t>
      </w:r>
      <w:r>
        <w:t>ове с</w:t>
      </w:r>
      <w:r w:rsidRPr="000F0299">
        <w:t xml:space="preserve">тратегије најзначајнији су подаци </w:t>
      </w:r>
      <w:r>
        <w:t>о</w:t>
      </w:r>
      <w:r w:rsidRPr="000F0299">
        <w:t xml:space="preserve"> испуњеност</w:t>
      </w:r>
      <w:r>
        <w:t>и</w:t>
      </w:r>
      <w:r w:rsidRPr="000F0299">
        <w:t xml:space="preserve"> првог ЕУ/</w:t>
      </w:r>
      <w:r w:rsidRPr="001C1D72">
        <w:rPr>
          <w:i/>
        </w:rPr>
        <w:t>OECD</w:t>
      </w:r>
      <w:r w:rsidRPr="000F0299">
        <w:t xml:space="preserve"> принципа у овој области, који се тиче рационалности и адекватности целокупне организације централне власти и управљачке одговорности. Према </w:t>
      </w:r>
      <w:r w:rsidRPr="001C1D72">
        <w:rPr>
          <w:i/>
        </w:rPr>
        <w:t>SIGMA</w:t>
      </w:r>
      <w:r w:rsidRPr="000F0299">
        <w:t xml:space="preserve"> методологији, постојећи оквир организације централне власти и управљачке одговорности у </w:t>
      </w:r>
      <w:r>
        <w:t xml:space="preserve">Рпублици </w:t>
      </w:r>
      <w:r w:rsidRPr="000F0299">
        <w:t xml:space="preserve">Србији оптерећује неколико типичних недостатака. Правни оквир у </w:t>
      </w:r>
      <w:r>
        <w:t>т</w:t>
      </w:r>
      <w:r w:rsidRPr="000F0299">
        <w:t xml:space="preserve">ој области је фрагментиран и не постоје процедуре које би обезбедиле институционални развој јавне управе заснован на претходној анализи, док </w:t>
      </w:r>
      <w:r w:rsidRPr="000F0299">
        <w:rPr>
          <w:color w:val="000000"/>
        </w:rPr>
        <w:t>организациона култура није оријентисана на постизање резултата, односно на управљање према учинку</w:t>
      </w:r>
      <w:r w:rsidRPr="000F0299">
        <w:t>. Упоредни подаци показују да су Црна Гора, Албанија и Северна Македонија боље оцењене од Србије</w:t>
      </w:r>
      <w:r>
        <w:t xml:space="preserve">, али </w:t>
      </w:r>
      <w:r w:rsidRPr="000F0299">
        <w:t>је Србија боље оцењена по подиндикатору који се тиче јасноће и свеобухватности типологије органа јавне управе</w:t>
      </w:r>
      <w:r>
        <w:t xml:space="preserve"> и добила</w:t>
      </w:r>
      <w:r w:rsidRPr="00D76E88">
        <w:t xml:space="preserve"> </w:t>
      </w:r>
      <w:r w:rsidRPr="000F0299">
        <w:t>четири од максималних пет бодова</w:t>
      </w:r>
      <w:r>
        <w:t xml:space="preserve">, као и </w:t>
      </w:r>
      <w:r w:rsidRPr="000F0299">
        <w:t>Албанија</w:t>
      </w:r>
      <w:r>
        <w:t>,</w:t>
      </w:r>
      <w:r w:rsidRPr="000F0299">
        <w:t xml:space="preserve"> док су Северна Македонија и Црна Гора добиле по два бода. Илустрације ради, по индикатору </w:t>
      </w:r>
      <w:r>
        <w:t xml:space="preserve">на основу ког се мери </w:t>
      </w:r>
      <w:r w:rsidRPr="00B96BF9">
        <w:rPr>
          <w:iCs/>
        </w:rPr>
        <w:t>одговорност и организација власти на централном нивоу</w:t>
      </w:r>
      <w:r w:rsidRPr="000F0299">
        <w:t xml:space="preserve"> Србија је добила свега </w:t>
      </w:r>
      <w:r>
        <w:t>осам</w:t>
      </w:r>
      <w:r w:rsidRPr="000F0299">
        <w:t xml:space="preserve"> од укупно 40 бодова</w:t>
      </w:r>
      <w:r>
        <w:t>,</w:t>
      </w:r>
      <w:r w:rsidRPr="000F0299">
        <w:t xml:space="preserve"> Црна Гора 17</w:t>
      </w:r>
      <w:r>
        <w:t>,</w:t>
      </w:r>
      <w:r w:rsidRPr="000F0299">
        <w:t xml:space="preserve"> </w:t>
      </w:r>
      <w:r>
        <w:t xml:space="preserve">а </w:t>
      </w:r>
      <w:r w:rsidRPr="000F0299">
        <w:t>Северна Македонија 10</w:t>
      </w:r>
      <w:r>
        <w:t xml:space="preserve">, док по </w:t>
      </w:r>
      <w:r w:rsidRPr="000F0299">
        <w:t>подиндикатор</w:t>
      </w:r>
      <w:r>
        <w:t>има</w:t>
      </w:r>
      <w:r w:rsidRPr="000F0299">
        <w:t xml:space="preserve"> који се тичу политика и правног оквира за организацију централне власти </w:t>
      </w:r>
      <w:r>
        <w:t>Србија добила седам</w:t>
      </w:r>
      <w:r w:rsidRPr="000F0299">
        <w:t xml:space="preserve"> од укупно 20 бодова</w:t>
      </w:r>
      <w:r>
        <w:t xml:space="preserve">, Црна Гора </w:t>
      </w:r>
      <w:r w:rsidRPr="000F0299">
        <w:t xml:space="preserve">12. </w:t>
      </w:r>
      <w:r>
        <w:t xml:space="preserve">а Северна Македонија </w:t>
      </w:r>
      <w:r w:rsidRPr="000F0299">
        <w:t>9</w:t>
      </w:r>
      <w:r>
        <w:t>.</w:t>
      </w:r>
      <w:r w:rsidRPr="000F0299">
        <w:t xml:space="preserve"> Србиј</w:t>
      </w:r>
      <w:r>
        <w:t>а</w:t>
      </w:r>
      <w:r w:rsidRPr="000F0299">
        <w:t xml:space="preserve"> </w:t>
      </w:r>
      <w:r>
        <w:t xml:space="preserve">је при том </w:t>
      </w:r>
      <w:r w:rsidRPr="000F0299">
        <w:t>процењен</w:t>
      </w:r>
      <w:r>
        <w:t xml:space="preserve">а по </w:t>
      </w:r>
      <w:r w:rsidRPr="000F0299">
        <w:t xml:space="preserve">четири подиндикатора </w:t>
      </w:r>
      <w:r>
        <w:t>за које није било</w:t>
      </w:r>
      <w:r w:rsidRPr="000F0299">
        <w:t xml:space="preserve"> података или документације</w:t>
      </w:r>
      <w:r>
        <w:t xml:space="preserve">, али пошто се спроводе планиране реформе и прикупљају подаци и документи, </w:t>
      </w:r>
      <w:r w:rsidRPr="000F0299">
        <w:t>претпостав</w:t>
      </w:r>
      <w:r>
        <w:t>ља</w:t>
      </w:r>
      <w:r w:rsidRPr="000F0299">
        <w:t xml:space="preserve"> </w:t>
      </w:r>
      <w:r>
        <w:t xml:space="preserve">се </w:t>
      </w:r>
      <w:r w:rsidRPr="000F0299">
        <w:t xml:space="preserve">да ће будуће процене бити адекватније и садржајније. </w:t>
      </w:r>
      <w:r w:rsidRPr="001C1D72">
        <w:rPr>
          <w:i/>
        </w:rPr>
        <w:t>SIGMA</w:t>
      </w:r>
      <w:r w:rsidRPr="000F0299">
        <w:t xml:space="preserve"> је поново процењивала ову област за Албанију 2019. године. Албанија је добила 15 од укупно 40 бодова по овом индикатору, а у оквиру тога 10 за подиндикаторе који се тичу политика и правног оквира. Укратко, у погледу овог принципа, будуће реформе у свим земљама региона треба да буду усмерене на увођење и даље развијање културе управљања учинком, а у </w:t>
      </w:r>
      <w:r>
        <w:t>Републици</w:t>
      </w:r>
      <w:r w:rsidRPr="000F0299">
        <w:t xml:space="preserve"> Србиј</w:t>
      </w:r>
      <w:r>
        <w:t>и</w:t>
      </w:r>
      <w:r w:rsidRPr="000F0299">
        <w:t xml:space="preserve"> и на додатне нормативне интервенције </w:t>
      </w:r>
      <w:r>
        <w:t xml:space="preserve">како би се </w:t>
      </w:r>
      <w:r w:rsidRPr="000F0299">
        <w:t>ств</w:t>
      </w:r>
      <w:r>
        <w:t>орио</w:t>
      </w:r>
      <w:r w:rsidRPr="000F0299">
        <w:t xml:space="preserve"> одговарајућ</w:t>
      </w:r>
      <w:r>
        <w:t>и</w:t>
      </w:r>
      <w:r w:rsidRPr="000F0299">
        <w:t xml:space="preserve"> регулаторн</w:t>
      </w:r>
      <w:r>
        <w:t>и</w:t>
      </w:r>
      <w:r w:rsidRPr="000F0299">
        <w:t xml:space="preserve"> оквир за организацију централне власти.</w:t>
      </w:r>
    </w:p>
    <w:p w14:paraId="6BCFBF0A" w14:textId="77777777" w:rsidR="00CE6AC1" w:rsidRPr="000F0299" w:rsidRDefault="00CE6AC1" w:rsidP="00CE6AC1">
      <w:r w:rsidRPr="000F0299">
        <w:t xml:space="preserve">За питања јачања интегритета и етичких стандарда у јавној управи, релевантни међународни стандарди и искустава из упоредне праксе, приказани су у упоредној анализи система у Сједињеним Америчким Државама, Холандији и Хрватској. </w:t>
      </w:r>
      <w:r>
        <w:t>Т</w:t>
      </w:r>
      <w:r w:rsidRPr="000F0299">
        <w:t xml:space="preserve">а искуства указују да су међу најзначајнијим предусловима за јачање интегритета и поштовање етичких стандарда у јавној управи једне земље: а) ефективан законодавни оквир, б) спроводиви механизми одговорности запослених, в) спроводив етички кодекс, г) изабрани службеници за етику у сваком органу јавне управе, д) успостављено координационо (надзорно) тело које је задужено </w:t>
      </w:r>
      <w:r>
        <w:t xml:space="preserve">да </w:t>
      </w:r>
      <w:r w:rsidRPr="000F0299">
        <w:t>п</w:t>
      </w:r>
      <w:r>
        <w:t>омаже</w:t>
      </w:r>
      <w:r w:rsidRPr="000F0299">
        <w:t xml:space="preserve"> службеницима за етику</w:t>
      </w:r>
      <w:r>
        <w:t>, да их усмерава како да поступају</w:t>
      </w:r>
      <w:r w:rsidRPr="000F0299">
        <w:t xml:space="preserve"> </w:t>
      </w:r>
      <w:r>
        <w:t xml:space="preserve">и да </w:t>
      </w:r>
      <w:r w:rsidRPr="000F0299">
        <w:t>надз</w:t>
      </w:r>
      <w:r>
        <w:t>ире</w:t>
      </w:r>
      <w:r w:rsidRPr="000F0299">
        <w:t xml:space="preserve"> њихов рад, као и </w:t>
      </w:r>
      <w:r>
        <w:t xml:space="preserve">да </w:t>
      </w:r>
      <w:r w:rsidRPr="000F0299">
        <w:t>да</w:t>
      </w:r>
      <w:r>
        <w:t>ј</w:t>
      </w:r>
      <w:r w:rsidRPr="000F0299">
        <w:t>е предлог</w:t>
      </w:r>
      <w:r>
        <w:t>е</w:t>
      </w:r>
      <w:r w:rsidRPr="000F0299">
        <w:t xml:space="preserve"> за у</w:t>
      </w:r>
      <w:r>
        <w:t xml:space="preserve">склађивање </w:t>
      </w:r>
      <w:r w:rsidRPr="000F0299">
        <w:t>етичких стандарда са међународном праксом</w:t>
      </w:r>
      <w:r>
        <w:t xml:space="preserve"> и</w:t>
      </w:r>
      <w:r w:rsidRPr="000F0299">
        <w:t xml:space="preserve"> е) примена система етичке инфраструктуре у јавној управи на свим нивоима власти</w:t>
      </w:r>
      <w:r>
        <w:t xml:space="preserve">, – </w:t>
      </w:r>
      <w:r w:rsidRPr="000F0299">
        <w:t>централном, регионалном и локалном.</w:t>
      </w:r>
      <w:r w:rsidRPr="000F0299">
        <w:rPr>
          <w:rStyle w:val="FootnoteReference"/>
        </w:rPr>
        <w:footnoteReference w:id="260"/>
      </w:r>
      <w:r w:rsidRPr="000F0299">
        <w:t xml:space="preserve"> Постојећа истраживања o ефективности примене механизама за јачање интегритета и поштовања етичких стандарда говоре </w:t>
      </w:r>
      <w:r>
        <w:t xml:space="preserve">да је </w:t>
      </w:r>
      <w:r w:rsidRPr="000F0299">
        <w:t>поверењ</w:t>
      </w:r>
      <w:r>
        <w:t>е</w:t>
      </w:r>
      <w:r w:rsidRPr="000F0299">
        <w:t xml:space="preserve"> грађана у институције</w:t>
      </w:r>
      <w:r>
        <w:t xml:space="preserve"> знатно веће, односно да је самим тим мања </w:t>
      </w:r>
      <w:r w:rsidRPr="000F0299">
        <w:t xml:space="preserve">перцепција корупције у земљама које </w:t>
      </w:r>
      <w:r>
        <w:t xml:space="preserve">имају </w:t>
      </w:r>
      <w:r w:rsidRPr="000F0299">
        <w:t>развијену етичку инфраструктуру у јавној управи</w:t>
      </w:r>
      <w:r>
        <w:t xml:space="preserve"> него у оним које ту инфраструктуру немају</w:t>
      </w:r>
      <w:r w:rsidRPr="000F0299">
        <w:t>.</w:t>
      </w:r>
      <w:r w:rsidRPr="000F0299">
        <w:rPr>
          <w:rStyle w:val="FootnoteReference"/>
        </w:rPr>
        <w:footnoteReference w:id="261"/>
      </w:r>
      <w:r w:rsidRPr="000F0299">
        <w:t xml:space="preserve"> </w:t>
      </w:r>
    </w:p>
    <w:p w14:paraId="1BE0D187" w14:textId="77777777" w:rsidR="00CE6AC1" w:rsidRPr="000F0299" w:rsidRDefault="00CE6AC1" w:rsidP="00CE6AC1"/>
    <w:p w14:paraId="56A38C07" w14:textId="77777777" w:rsidR="00441BE2" w:rsidRPr="000F0299" w:rsidRDefault="00441BE2" w:rsidP="00244E7C">
      <w:pPr>
        <w:sectPr w:rsidR="00441BE2" w:rsidRPr="000F0299" w:rsidSect="008D0528">
          <w:footerReference w:type="default" r:id="rId147"/>
          <w:pgSz w:w="11906" w:h="16838"/>
          <w:pgMar w:top="1417" w:right="1417" w:bottom="1134" w:left="1417" w:header="708" w:footer="708" w:gutter="0"/>
          <w:cols w:space="708"/>
          <w:docGrid w:linePitch="360"/>
        </w:sectPr>
      </w:pPr>
    </w:p>
    <w:p w14:paraId="11E98216" w14:textId="7C244280" w:rsidR="004627A6" w:rsidRPr="000F0299" w:rsidRDefault="00787F1E" w:rsidP="00F247AF">
      <w:pPr>
        <w:pStyle w:val="Heading3"/>
        <w:rPr>
          <w:rFonts w:ascii="Verdana" w:eastAsia="Times New Roman" w:hAnsi="Verdana" w:cstheme="minorBidi"/>
          <w:b/>
          <w:color w:val="3E8A3D"/>
          <w:spacing w:val="-50"/>
          <w:kern w:val="0"/>
          <w:position w:val="-2"/>
          <w:sz w:val="40"/>
          <w:szCs w:val="40"/>
          <w:lang w:val="sr-Cyrl-RS" w:eastAsia="en-US" w:bidi="ar-SA"/>
        </w:rPr>
      </w:pPr>
      <w:bookmarkStart w:id="212" w:name="_Toc57661490"/>
      <w:r w:rsidRPr="000F0299">
        <w:rPr>
          <w:lang w:val="sr-Cyrl-RS"/>
        </w:rPr>
        <w:t xml:space="preserve">Дрво проблема – </w:t>
      </w:r>
      <w:r w:rsidR="00F631C3" w:rsidRPr="000F0299">
        <w:rPr>
          <w:lang w:val="sr-Cyrl-RS"/>
        </w:rPr>
        <w:t>О</w:t>
      </w:r>
      <w:r w:rsidRPr="000F0299">
        <w:rPr>
          <w:lang w:val="sr-Cyrl-RS"/>
        </w:rPr>
        <w:t>дговорност и транспарентност у јавној управи</w:t>
      </w:r>
      <w:r w:rsidR="004627A6" w:rsidRPr="000F0299">
        <w:rPr>
          <w:rFonts w:ascii="Verdana" w:eastAsia="Times New Roman" w:hAnsi="Verdana" w:cstheme="minorBidi"/>
          <w:b/>
          <w:color w:val="3E8A3D"/>
          <w:spacing w:val="-50"/>
          <w:kern w:val="0"/>
          <w:position w:val="-2"/>
          <w:sz w:val="40"/>
          <w:szCs w:val="40"/>
          <w:lang w:val="sr-Cyrl-RS" w:eastAsia="en-US" w:bidi="ar-SA"/>
        </w:rPr>
        <w:t xml:space="preserve"> </w:t>
      </w:r>
      <w:r w:rsidR="004627A6" w:rsidRPr="000F0299">
        <w:rPr>
          <w:rFonts w:asciiTheme="minorHAnsi" w:eastAsiaTheme="minorHAnsi" w:hAnsiTheme="minorHAnsi" w:cstheme="minorHAnsi"/>
          <w:noProof/>
          <w:color w:val="B4C6E7" w:themeColor="accent1" w:themeTint="66"/>
          <w:kern w:val="0"/>
          <w:sz w:val="44"/>
          <w:szCs w:val="44"/>
          <w:lang w:val="en-US" w:eastAsia="en-US" w:bidi="ar-SA"/>
        </w:rPr>
        <mc:AlternateContent>
          <mc:Choice Requires="wps">
            <w:drawing>
              <wp:anchor distT="0" distB="0" distL="114300" distR="114300" simplePos="0" relativeHeight="251562496" behindDoc="0" locked="0" layoutInCell="1" allowOverlap="1" wp14:anchorId="77C53687" wp14:editId="10409046">
                <wp:simplePos x="0" y="0"/>
                <wp:positionH relativeFrom="column">
                  <wp:posOffset>-480604</wp:posOffset>
                </wp:positionH>
                <wp:positionV relativeFrom="paragraph">
                  <wp:posOffset>424543</wp:posOffset>
                </wp:positionV>
                <wp:extent cx="1970314" cy="1099276"/>
                <wp:effectExtent l="0" t="0" r="11430" b="24765"/>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0314" cy="1099276"/>
                        </a:xfrm>
                        <a:prstGeom prst="roundRect">
                          <a:avLst/>
                        </a:prstGeom>
                        <a:solidFill>
                          <a:sysClr val="window" lastClr="FFFFFF"/>
                        </a:solidFill>
                        <a:ln w="19050">
                          <a:solidFill>
                            <a:schemeClr val="accent1">
                              <a:lumMod val="20000"/>
                              <a:lumOff val="80000"/>
                            </a:schemeClr>
                          </a:solidFill>
                        </a:ln>
                        <a:effectLst/>
                      </wps:spPr>
                      <wps:txbx>
                        <w:txbxContent>
                          <w:p w14:paraId="28FC3171" w14:textId="77777777" w:rsidR="00876FFE" w:rsidRPr="008E12BD" w:rsidRDefault="00876FFE" w:rsidP="00CE6AC1">
                            <w:pPr>
                              <w:pStyle w:val="NormalWeb"/>
                              <w:spacing w:before="0" w:beforeAutospacing="0" w:after="12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Непостојање праћења и надзора над </w:t>
                            </w:r>
                            <w:r>
                              <w:rPr>
                                <w:rFonts w:asciiTheme="minorHAnsi" w:eastAsia="Calibri" w:hAnsiTheme="minorHAnsi" w:cstheme="minorHAnsi"/>
                                <w:sz w:val="22"/>
                                <w:szCs w:val="22"/>
                                <w:lang w:val="sr-Cyrl-RS"/>
                              </w:rPr>
                              <w:t>постизањем</w:t>
                            </w:r>
                            <w:r w:rsidRPr="008E12BD">
                              <w:rPr>
                                <w:rFonts w:asciiTheme="minorHAnsi" w:eastAsia="Calibri" w:hAnsiTheme="minorHAnsi" w:cstheme="minorHAnsi"/>
                                <w:sz w:val="22"/>
                                <w:szCs w:val="22"/>
                                <w:lang w:val="sr-Cyrl-RS"/>
                              </w:rPr>
                              <w:t xml:space="preserve"> циљева </w:t>
                            </w:r>
                            <w:r w:rsidRPr="008E12BD">
                              <w:rPr>
                                <w:rFonts w:asciiTheme="minorHAnsi" w:eastAsia="Calibri" w:hAnsiTheme="minorHAnsi" w:cstheme="minorHAnsi"/>
                                <w:spacing w:val="-14"/>
                                <w:sz w:val="22"/>
                                <w:szCs w:val="22"/>
                                <w:lang w:val="sr-Cyrl-RS"/>
                              </w:rPr>
                              <w:t>из планских  докумената</w:t>
                            </w:r>
                            <w:r w:rsidRPr="008E12BD">
                              <w:rPr>
                                <w:rFonts w:asciiTheme="minorHAnsi" w:eastAsia="Calibri" w:hAnsiTheme="minorHAnsi" w:cstheme="minorHAnsi"/>
                                <w:sz w:val="22"/>
                                <w:szCs w:val="22"/>
                                <w:lang w:val="sr-Cyrl-RS"/>
                              </w:rPr>
                              <w:t xml:space="preserve"> у министарствима и </w:t>
                            </w:r>
                            <w:r w:rsidRPr="008E12BD">
                              <w:rPr>
                                <w:rFonts w:asciiTheme="minorHAnsi" w:eastAsia="Calibri" w:hAnsiTheme="minorHAnsi" w:cstheme="minorHAnsi"/>
                                <w:spacing w:val="-8"/>
                                <w:sz w:val="22"/>
                                <w:szCs w:val="22"/>
                                <w:lang w:val="sr-Cyrl-RS"/>
                              </w:rPr>
                              <w:t>органима јавне управе,</w:t>
                            </w:r>
                            <w:r w:rsidRPr="008E12BD">
                              <w:rPr>
                                <w:rFonts w:asciiTheme="minorHAnsi" w:eastAsia="Calibri" w:hAnsiTheme="minorHAnsi" w:cstheme="minorHAnsi"/>
                                <w:sz w:val="22"/>
                                <w:szCs w:val="22"/>
                                <w:lang w:val="sr-Cyrl-RS"/>
                              </w:rPr>
                              <w:t xml:space="preserve"> као и њихове сарадње у </w:t>
                            </w:r>
                            <w:r>
                              <w:rPr>
                                <w:rFonts w:asciiTheme="minorHAnsi" w:eastAsia="Calibri" w:hAnsiTheme="minorHAnsi" w:cstheme="minorHAnsi"/>
                                <w:sz w:val="22"/>
                                <w:szCs w:val="22"/>
                                <w:lang w:val="sr-Cyrl-RS"/>
                              </w:rPr>
                              <w:t>т</w:t>
                            </w:r>
                            <w:r w:rsidRPr="008E12BD">
                              <w:rPr>
                                <w:rFonts w:asciiTheme="minorHAnsi" w:eastAsia="Calibri" w:hAnsiTheme="minorHAnsi" w:cstheme="minorHAnsi"/>
                                <w:sz w:val="22"/>
                                <w:szCs w:val="22"/>
                                <w:lang w:val="sr-Cyrl-RS"/>
                              </w:rPr>
                              <w:t>им процесима</w:t>
                            </w:r>
                          </w:p>
                          <w:p w14:paraId="68C0D523" w14:textId="0E3BD8E3" w:rsidR="00876FFE" w:rsidRPr="008E12BD" w:rsidRDefault="00876FFE" w:rsidP="004627A6">
                            <w:pPr>
                              <w:pStyle w:val="NormalWeb"/>
                              <w:spacing w:before="0" w:beforeAutospacing="0" w:after="120" w:afterAutospacing="0" w:line="216" w:lineRule="auto"/>
                              <w:jc w:val="center"/>
                              <w:rPr>
                                <w:rFonts w:asciiTheme="minorHAnsi" w:hAnsiTheme="minorHAnsi" w:cstheme="minorHAnsi"/>
                                <w:sz w:val="22"/>
                                <w:szCs w:val="22"/>
                                <w:lang w:val="sr-Cyrl-RS"/>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C53687" id="Text Box 422" o:spid="_x0000_s1279" style="position:absolute;left:0;text-align:left;margin-left:-37.85pt;margin-top:33.45pt;width:155.15pt;height:86.5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" fillcolor="window" strokecolor="#d9e2f3 [660]" strokeweight="1.5pt">
                <v:path arrowok="t"/>
                <v:textbox inset="1mm,0,1mm,0">
                  <w:txbxContent>
                    <w:p w14:paraId="28FC3171" w14:textId="77777777" w:rsidR="00876FFE" w:rsidRPr="008E12BD" w:rsidRDefault="00876FFE" w:rsidP="00CE6AC1">
                      <w:pPr>
                        <w:pStyle w:val="NormalWeb"/>
                        <w:spacing w:before="0" w:beforeAutospacing="0" w:after="12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Непостојање праћења и надзора над </w:t>
                      </w:r>
                      <w:r>
                        <w:rPr>
                          <w:rFonts w:asciiTheme="minorHAnsi" w:eastAsia="Calibri" w:hAnsiTheme="minorHAnsi" w:cstheme="minorHAnsi"/>
                          <w:sz w:val="22"/>
                          <w:szCs w:val="22"/>
                          <w:lang w:val="sr-Cyrl-RS"/>
                        </w:rPr>
                        <w:t>постизањем</w:t>
                      </w:r>
                      <w:r w:rsidRPr="008E12BD">
                        <w:rPr>
                          <w:rFonts w:asciiTheme="minorHAnsi" w:eastAsia="Calibri" w:hAnsiTheme="minorHAnsi" w:cstheme="minorHAnsi"/>
                          <w:sz w:val="22"/>
                          <w:szCs w:val="22"/>
                          <w:lang w:val="sr-Cyrl-RS"/>
                        </w:rPr>
                        <w:t xml:space="preserve"> циљева </w:t>
                      </w:r>
                      <w:r w:rsidRPr="008E12BD">
                        <w:rPr>
                          <w:rFonts w:asciiTheme="minorHAnsi" w:eastAsia="Calibri" w:hAnsiTheme="minorHAnsi" w:cstheme="minorHAnsi"/>
                          <w:spacing w:val="-14"/>
                          <w:sz w:val="22"/>
                          <w:szCs w:val="22"/>
                          <w:lang w:val="sr-Cyrl-RS"/>
                        </w:rPr>
                        <w:t>из планских  докумената</w:t>
                      </w:r>
                      <w:r w:rsidRPr="008E12BD">
                        <w:rPr>
                          <w:rFonts w:asciiTheme="minorHAnsi" w:eastAsia="Calibri" w:hAnsiTheme="minorHAnsi" w:cstheme="minorHAnsi"/>
                          <w:sz w:val="22"/>
                          <w:szCs w:val="22"/>
                          <w:lang w:val="sr-Cyrl-RS"/>
                        </w:rPr>
                        <w:t xml:space="preserve"> у министарствима и </w:t>
                      </w:r>
                      <w:r w:rsidRPr="008E12BD">
                        <w:rPr>
                          <w:rFonts w:asciiTheme="minorHAnsi" w:eastAsia="Calibri" w:hAnsiTheme="minorHAnsi" w:cstheme="minorHAnsi"/>
                          <w:spacing w:val="-8"/>
                          <w:sz w:val="22"/>
                          <w:szCs w:val="22"/>
                          <w:lang w:val="sr-Cyrl-RS"/>
                        </w:rPr>
                        <w:t>органима јавне управе,</w:t>
                      </w:r>
                      <w:r w:rsidRPr="008E12BD">
                        <w:rPr>
                          <w:rFonts w:asciiTheme="minorHAnsi" w:eastAsia="Calibri" w:hAnsiTheme="minorHAnsi" w:cstheme="minorHAnsi"/>
                          <w:sz w:val="22"/>
                          <w:szCs w:val="22"/>
                          <w:lang w:val="sr-Cyrl-RS"/>
                        </w:rPr>
                        <w:t xml:space="preserve"> као и њихове сарадње у </w:t>
                      </w:r>
                      <w:r>
                        <w:rPr>
                          <w:rFonts w:asciiTheme="minorHAnsi" w:eastAsia="Calibri" w:hAnsiTheme="minorHAnsi" w:cstheme="minorHAnsi"/>
                          <w:sz w:val="22"/>
                          <w:szCs w:val="22"/>
                          <w:lang w:val="sr-Cyrl-RS"/>
                        </w:rPr>
                        <w:t>т</w:t>
                      </w:r>
                      <w:r w:rsidRPr="008E12BD">
                        <w:rPr>
                          <w:rFonts w:asciiTheme="minorHAnsi" w:eastAsia="Calibri" w:hAnsiTheme="minorHAnsi" w:cstheme="minorHAnsi"/>
                          <w:sz w:val="22"/>
                          <w:szCs w:val="22"/>
                          <w:lang w:val="sr-Cyrl-RS"/>
                        </w:rPr>
                        <w:t>им процесима</w:t>
                      </w:r>
                    </w:p>
                    <w:p w14:paraId="68C0D523" w14:textId="0E3BD8E3" w:rsidR="00876FFE" w:rsidRPr="008E12BD" w:rsidRDefault="00876FFE" w:rsidP="004627A6">
                      <w:pPr>
                        <w:pStyle w:val="NormalWeb"/>
                        <w:spacing w:before="0" w:beforeAutospacing="0" w:after="120" w:afterAutospacing="0" w:line="216" w:lineRule="auto"/>
                        <w:jc w:val="center"/>
                        <w:rPr>
                          <w:rFonts w:asciiTheme="minorHAnsi" w:hAnsiTheme="minorHAnsi" w:cstheme="minorHAnsi"/>
                          <w:sz w:val="22"/>
                          <w:szCs w:val="22"/>
                          <w:lang w:val="sr-Cyrl-RS"/>
                        </w:rPr>
                      </w:pPr>
                    </w:p>
                  </w:txbxContent>
                </v:textbox>
              </v:roundrect>
            </w:pict>
          </mc:Fallback>
        </mc:AlternateContent>
      </w:r>
      <w:bookmarkEnd w:id="212"/>
    </w:p>
    <w:p w14:paraId="46304442" w14:textId="4A05CD64" w:rsidR="004627A6" w:rsidRPr="000F0299" w:rsidRDefault="00C82BE4" w:rsidP="004627A6">
      <w:pPr>
        <w:suppressAutoHyphens w:val="0"/>
        <w:autoSpaceDN/>
        <w:spacing w:before="0" w:after="0"/>
        <w:ind w:firstLine="0"/>
        <w:jc w:val="left"/>
        <w:textAlignment w:val="auto"/>
        <w:rPr>
          <w:rFonts w:asciiTheme="minorHAnsi" w:eastAsia="Times New Roman" w:hAnsiTheme="minorHAnsi" w:cstheme="minorBidi"/>
          <w:kern w:val="0"/>
          <w:sz w:val="22"/>
          <w:szCs w:val="22"/>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64544" behindDoc="0" locked="0" layoutInCell="1" allowOverlap="1" wp14:anchorId="7F6C5A42" wp14:editId="17EB8ED8">
                <wp:simplePos x="0" y="0"/>
                <wp:positionH relativeFrom="column">
                  <wp:posOffset>9838690</wp:posOffset>
                </wp:positionH>
                <wp:positionV relativeFrom="paragraph">
                  <wp:posOffset>65405</wp:posOffset>
                </wp:positionV>
                <wp:extent cx="1843405" cy="1066800"/>
                <wp:effectExtent l="0" t="0" r="23495" b="1905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1066800"/>
                        </a:xfrm>
                        <a:prstGeom prst="roundRect">
                          <a:avLst/>
                        </a:prstGeom>
                        <a:solidFill>
                          <a:sysClr val="window" lastClr="FFFFFF"/>
                        </a:solidFill>
                        <a:ln w="19050">
                          <a:solidFill>
                            <a:schemeClr val="accent1">
                              <a:lumMod val="20000"/>
                              <a:lumOff val="80000"/>
                            </a:schemeClr>
                          </a:solidFill>
                        </a:ln>
                        <a:effectLst/>
                      </wps:spPr>
                      <wps:txbx>
                        <w:txbxContent>
                          <w:p w14:paraId="708F3813" w14:textId="3ABE3AE1" w:rsidR="00876FFE" w:rsidRPr="008E12BD" w:rsidRDefault="00876FFE" w:rsidP="004627A6">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Смањена одговорност институција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6C5A42" id="Text Box 426" o:spid="_x0000_s1280" style="position:absolute;margin-left:774.7pt;margin-top:5.15pt;width:145.15pt;height:84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" fillcolor="window" strokecolor="#d9e2f3 [660]" strokeweight="1.5pt">
                <v:path arrowok="t"/>
                <v:textbox inset="1mm,0,1mm,0">
                  <w:txbxContent>
                    <w:p w14:paraId="708F3813" w14:textId="3ABE3AE1" w:rsidR="00876FFE" w:rsidRPr="008E12BD" w:rsidRDefault="00876FFE" w:rsidP="004627A6">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 xml:space="preserve">Смањена </w:t>
                      </w:r>
                      <w:r w:rsidRPr="008E12BD">
                        <w:rPr>
                          <w:rFonts w:asciiTheme="minorHAnsi" w:eastAsia="Calibri" w:hAnsiTheme="minorHAnsi" w:cstheme="minorHAnsi"/>
                          <w:sz w:val="22"/>
                          <w:szCs w:val="22"/>
                          <w:lang w:val="sr-Cyrl-RS"/>
                        </w:rPr>
                        <w:t>одговорност институција</w:t>
                      </w:r>
                    </w:p>
                  </w:txbxContent>
                </v:textbox>
              </v:roundrect>
            </w:pict>
          </mc:Fallback>
        </mc:AlternateContent>
      </w:r>
      <w:r w:rsidR="0032015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65568" behindDoc="0" locked="0" layoutInCell="1" allowOverlap="1" wp14:anchorId="7C4272C7" wp14:editId="42D3BDE6">
                <wp:simplePos x="0" y="0"/>
                <wp:positionH relativeFrom="column">
                  <wp:posOffset>11918224</wp:posOffset>
                </wp:positionH>
                <wp:positionV relativeFrom="paragraph">
                  <wp:posOffset>50619</wp:posOffset>
                </wp:positionV>
                <wp:extent cx="1937657" cy="1033780"/>
                <wp:effectExtent l="0" t="0" r="24765" b="1397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657" cy="1033780"/>
                        </a:xfrm>
                        <a:prstGeom prst="roundRect">
                          <a:avLst/>
                        </a:prstGeom>
                        <a:solidFill>
                          <a:sysClr val="window" lastClr="FFFFFF"/>
                        </a:solidFill>
                        <a:ln w="19050">
                          <a:solidFill>
                            <a:schemeClr val="accent1">
                              <a:lumMod val="20000"/>
                              <a:lumOff val="80000"/>
                            </a:schemeClr>
                          </a:solidFill>
                        </a:ln>
                        <a:effectLst/>
                      </wps:spPr>
                      <wps:txbx>
                        <w:txbxContent>
                          <w:p w14:paraId="3CD75D9A" w14:textId="3817F517" w:rsidR="00876FFE" w:rsidRPr="008E12BD" w:rsidRDefault="00876FFE" w:rsidP="004627A6">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Немогућност праћења поднесака у процесу одлучивања у органима јавне управе</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4272C7" id="Text Box 425" o:spid="_x0000_s1281" style="position:absolute;margin-left:938.45pt;margin-top:4pt;width:152.55pt;height:81.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" fillcolor="window" strokecolor="#d9e2f3 [660]" strokeweight="1.5pt">
                <v:path arrowok="t"/>
                <v:textbox inset="1mm,0,1mm,0">
                  <w:txbxContent>
                    <w:p w14:paraId="3CD75D9A" w14:textId="3817F517" w:rsidR="00876FFE" w:rsidRPr="008E12BD" w:rsidRDefault="00876FFE" w:rsidP="004627A6">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 xml:space="preserve">Немогућност </w:t>
                      </w:r>
                      <w:r w:rsidRPr="008E12BD">
                        <w:rPr>
                          <w:rFonts w:asciiTheme="minorHAnsi" w:eastAsia="Calibri" w:hAnsiTheme="minorHAnsi" w:cstheme="minorHAnsi"/>
                          <w:sz w:val="22"/>
                          <w:szCs w:val="22"/>
                          <w:lang w:val="sr-Cyrl-RS"/>
                        </w:rPr>
                        <w:t>праћења поднесака у процесу одлучивања у органима јавне управе</w:t>
                      </w:r>
                    </w:p>
                  </w:txbxContent>
                </v:textbox>
              </v:roundrect>
            </w:pict>
          </mc:Fallback>
        </mc:AlternateContent>
      </w:r>
      <w:r w:rsidR="004627A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63520" behindDoc="0" locked="0" layoutInCell="1" allowOverlap="1" wp14:anchorId="0A00462E" wp14:editId="5028FAB1">
                <wp:simplePos x="0" y="0"/>
                <wp:positionH relativeFrom="column">
                  <wp:posOffset>1554480</wp:posOffset>
                </wp:positionH>
                <wp:positionV relativeFrom="paragraph">
                  <wp:posOffset>50165</wp:posOffset>
                </wp:positionV>
                <wp:extent cx="1843405" cy="1088390"/>
                <wp:effectExtent l="0" t="0" r="23495" b="1651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1088390"/>
                        </a:xfrm>
                        <a:prstGeom prst="roundRect">
                          <a:avLst/>
                        </a:prstGeom>
                        <a:solidFill>
                          <a:sysClr val="window" lastClr="FFFFFF"/>
                        </a:solidFill>
                        <a:ln w="19050">
                          <a:solidFill>
                            <a:schemeClr val="accent1">
                              <a:lumMod val="20000"/>
                              <a:lumOff val="80000"/>
                            </a:schemeClr>
                          </a:solidFill>
                        </a:ln>
                        <a:effectLst/>
                      </wps:spPr>
                      <wps:txbx>
                        <w:txbxContent>
                          <w:p w14:paraId="70F97B67" w14:textId="77777777" w:rsidR="00876FFE" w:rsidRPr="008E12BD" w:rsidRDefault="00876FFE" w:rsidP="00CE6AC1">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 xml:space="preserve">Низак ниво </w:t>
                            </w:r>
                            <w:r>
                              <w:rPr>
                                <w:rFonts w:asciiTheme="minorHAnsi" w:eastAsia="Calibri" w:hAnsiTheme="minorHAnsi" w:cstheme="minorHAnsi"/>
                                <w:sz w:val="22"/>
                                <w:szCs w:val="22"/>
                                <w:lang w:val="sr-Cyrl-RS"/>
                              </w:rPr>
                              <w:t>поступања по</w:t>
                            </w:r>
                            <w:r w:rsidRPr="008E12BD">
                              <w:rPr>
                                <w:rFonts w:asciiTheme="minorHAnsi" w:eastAsia="Calibri" w:hAnsiTheme="minorHAnsi" w:cstheme="minorHAnsi"/>
                                <w:sz w:val="22"/>
                                <w:szCs w:val="22"/>
                                <w:lang w:val="sr-Cyrl-RS"/>
                              </w:rPr>
                              <w:t xml:space="preserve"> препорука</w:t>
                            </w:r>
                            <w:r>
                              <w:rPr>
                                <w:rFonts w:asciiTheme="minorHAnsi" w:eastAsia="Calibri" w:hAnsiTheme="minorHAnsi" w:cstheme="minorHAnsi"/>
                                <w:sz w:val="22"/>
                                <w:szCs w:val="22"/>
                                <w:lang w:val="sr-Cyrl-RS"/>
                              </w:rPr>
                              <w:t>ма</w:t>
                            </w:r>
                            <w:r w:rsidRPr="008E12BD">
                              <w:rPr>
                                <w:rFonts w:asciiTheme="minorHAnsi" w:eastAsia="Calibri" w:hAnsiTheme="minorHAnsi" w:cstheme="minorHAnsi"/>
                                <w:sz w:val="22"/>
                                <w:szCs w:val="22"/>
                                <w:lang w:val="sr-Cyrl-RS"/>
                              </w:rPr>
                              <w:t xml:space="preserve"> из </w:t>
                            </w:r>
                            <w:r w:rsidRPr="008E12BD">
                              <w:rPr>
                                <w:rFonts w:asciiTheme="minorHAnsi" w:eastAsia="Calibri" w:hAnsiTheme="minorHAnsi" w:cstheme="minorHAnsi"/>
                                <w:spacing w:val="-8"/>
                                <w:sz w:val="22"/>
                                <w:szCs w:val="22"/>
                                <w:lang w:val="sr-Cyrl-RS"/>
                              </w:rPr>
                              <w:t>извештаја независних</w:t>
                            </w:r>
                            <w:r w:rsidRPr="008E12BD">
                              <w:rPr>
                                <w:rFonts w:asciiTheme="minorHAnsi" w:eastAsia="Calibri" w:hAnsiTheme="minorHAnsi" w:cstheme="minorHAnsi"/>
                                <w:sz w:val="22"/>
                                <w:szCs w:val="22"/>
                                <w:lang w:val="sr-Cyrl-RS"/>
                              </w:rPr>
                              <w:t xml:space="preserve"> државних органа које се тичу питања одговорности</w:t>
                            </w:r>
                          </w:p>
                          <w:p w14:paraId="2B2A94B8" w14:textId="741F547F" w:rsidR="00876FFE" w:rsidRPr="008E12BD" w:rsidRDefault="00876FFE" w:rsidP="004627A6">
                            <w:pPr>
                              <w:pStyle w:val="NormalWeb"/>
                              <w:spacing w:before="0" w:beforeAutospacing="0" w:after="120" w:afterAutospacing="0"/>
                              <w:jc w:val="center"/>
                              <w:rPr>
                                <w:rFonts w:asciiTheme="minorHAnsi" w:eastAsia="Calibri" w:hAnsiTheme="minorHAnsi" w:cstheme="minorHAnsi"/>
                                <w:sz w:val="22"/>
                                <w:szCs w:val="22"/>
                                <w:lang w:val="sr-Cyrl-RS"/>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A00462E" id="Text Box 427" o:spid="_x0000_s1282" style="position:absolute;margin-left:122.4pt;margin-top:3.95pt;width:145.15pt;height:85.7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" fillcolor="window" strokecolor="#d9e2f3 [660]" strokeweight="1.5pt">
                <v:path arrowok="t"/>
                <v:textbox inset="1mm,0,1mm,0">
                  <w:txbxContent>
                    <w:p w14:paraId="70F97B67" w14:textId="77777777" w:rsidR="00876FFE" w:rsidRPr="008E12BD" w:rsidRDefault="00876FFE" w:rsidP="00CE6AC1">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 xml:space="preserve">Низак </w:t>
                      </w:r>
                      <w:r w:rsidRPr="008E12BD">
                        <w:rPr>
                          <w:rFonts w:asciiTheme="minorHAnsi" w:eastAsia="Calibri" w:hAnsiTheme="minorHAnsi" w:cstheme="minorHAnsi"/>
                          <w:sz w:val="22"/>
                          <w:szCs w:val="22"/>
                          <w:lang w:val="sr-Cyrl-RS"/>
                        </w:rPr>
                        <w:t xml:space="preserve">ниво </w:t>
                      </w:r>
                      <w:r>
                        <w:rPr>
                          <w:rFonts w:asciiTheme="minorHAnsi" w:eastAsia="Calibri" w:hAnsiTheme="minorHAnsi" w:cstheme="minorHAnsi"/>
                          <w:sz w:val="22"/>
                          <w:szCs w:val="22"/>
                          <w:lang w:val="sr-Cyrl-RS"/>
                        </w:rPr>
                        <w:t>поступања по</w:t>
                      </w:r>
                      <w:r w:rsidRPr="008E12BD">
                        <w:rPr>
                          <w:rFonts w:asciiTheme="minorHAnsi" w:eastAsia="Calibri" w:hAnsiTheme="minorHAnsi" w:cstheme="minorHAnsi"/>
                          <w:sz w:val="22"/>
                          <w:szCs w:val="22"/>
                          <w:lang w:val="sr-Cyrl-RS"/>
                        </w:rPr>
                        <w:t xml:space="preserve"> препорука</w:t>
                      </w:r>
                      <w:r>
                        <w:rPr>
                          <w:rFonts w:asciiTheme="minorHAnsi" w:eastAsia="Calibri" w:hAnsiTheme="minorHAnsi" w:cstheme="minorHAnsi"/>
                          <w:sz w:val="22"/>
                          <w:szCs w:val="22"/>
                          <w:lang w:val="sr-Cyrl-RS"/>
                        </w:rPr>
                        <w:t>ма</w:t>
                      </w:r>
                      <w:r w:rsidRPr="008E12BD">
                        <w:rPr>
                          <w:rFonts w:asciiTheme="minorHAnsi" w:eastAsia="Calibri" w:hAnsiTheme="minorHAnsi" w:cstheme="minorHAnsi"/>
                          <w:sz w:val="22"/>
                          <w:szCs w:val="22"/>
                          <w:lang w:val="sr-Cyrl-RS"/>
                        </w:rPr>
                        <w:t xml:space="preserve"> из </w:t>
                      </w:r>
                      <w:r w:rsidRPr="008E12BD">
                        <w:rPr>
                          <w:rFonts w:asciiTheme="minorHAnsi" w:eastAsia="Calibri" w:hAnsiTheme="minorHAnsi" w:cstheme="minorHAnsi"/>
                          <w:spacing w:val="-8"/>
                          <w:sz w:val="22"/>
                          <w:szCs w:val="22"/>
                          <w:lang w:val="sr-Cyrl-RS"/>
                        </w:rPr>
                        <w:t>извештаја независних</w:t>
                      </w:r>
                      <w:r w:rsidRPr="008E12BD">
                        <w:rPr>
                          <w:rFonts w:asciiTheme="minorHAnsi" w:eastAsia="Calibri" w:hAnsiTheme="minorHAnsi" w:cstheme="minorHAnsi"/>
                          <w:sz w:val="22"/>
                          <w:szCs w:val="22"/>
                          <w:lang w:val="sr-Cyrl-RS"/>
                        </w:rPr>
                        <w:t xml:space="preserve"> државних органа које се тичу питања одговорности</w:t>
                      </w:r>
                    </w:p>
                    <w:p w14:paraId="2B2A94B8" w14:textId="741F547F" w:rsidR="00876FFE" w:rsidRPr="008E12BD" w:rsidRDefault="00876FFE" w:rsidP="004627A6">
                      <w:pPr>
                        <w:pStyle w:val="NormalWeb"/>
                        <w:spacing w:before="0" w:beforeAutospacing="0" w:after="120" w:afterAutospacing="0"/>
                        <w:jc w:val="center"/>
                        <w:rPr>
                          <w:rFonts w:asciiTheme="minorHAnsi" w:eastAsia="Calibri" w:hAnsiTheme="minorHAnsi" w:cstheme="minorHAnsi"/>
                          <w:sz w:val="22"/>
                          <w:szCs w:val="22"/>
                          <w:lang w:val="sr-Cyrl-RS"/>
                        </w:rPr>
                      </w:pPr>
                    </w:p>
                  </w:txbxContent>
                </v:textbox>
              </v:roundrect>
            </w:pict>
          </mc:Fallback>
        </mc:AlternateContent>
      </w:r>
      <w:r w:rsidR="004627A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61472" behindDoc="0" locked="0" layoutInCell="1" allowOverlap="1" wp14:anchorId="241F94A9" wp14:editId="4F2645D8">
                <wp:simplePos x="0" y="0"/>
                <wp:positionH relativeFrom="column">
                  <wp:posOffset>3634105</wp:posOffset>
                </wp:positionH>
                <wp:positionV relativeFrom="paragraph">
                  <wp:posOffset>50165</wp:posOffset>
                </wp:positionV>
                <wp:extent cx="1843405" cy="1088390"/>
                <wp:effectExtent l="0" t="0" r="23495" b="1651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1088390"/>
                        </a:xfrm>
                        <a:prstGeom prst="roundRect">
                          <a:avLst/>
                        </a:prstGeom>
                        <a:solidFill>
                          <a:sysClr val="window" lastClr="FFFFFF"/>
                        </a:solidFill>
                        <a:ln w="19050">
                          <a:solidFill>
                            <a:schemeClr val="accent1">
                              <a:lumMod val="20000"/>
                              <a:lumOff val="80000"/>
                            </a:schemeClr>
                          </a:solidFill>
                        </a:ln>
                        <a:effectLst/>
                      </wps:spPr>
                      <wps:txbx>
                        <w:txbxContent>
                          <w:p w14:paraId="33E790EB" w14:textId="44C35076" w:rsidR="00876FFE" w:rsidRPr="008E12BD" w:rsidRDefault="00876FFE" w:rsidP="004627A6">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Слабости у спровођењу надлежности поверених ЈЛС са централног нивоа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41F94A9" id="Text Box 428" o:spid="_x0000_s1283" style="position:absolute;margin-left:286.15pt;margin-top:3.95pt;width:145.15pt;height:85.7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" fillcolor="window" strokecolor="#d9e2f3 [660]" strokeweight="1.5pt">
                <v:path arrowok="t"/>
                <v:textbox inset="1mm,0,1mm,0">
                  <w:txbxContent>
                    <w:p w14:paraId="33E790EB" w14:textId="44C35076" w:rsidR="00876FFE" w:rsidRPr="008E12BD" w:rsidRDefault="00876FFE" w:rsidP="004627A6">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 xml:space="preserve">Слабости </w:t>
                      </w:r>
                      <w:r w:rsidRPr="008E12BD">
                        <w:rPr>
                          <w:rFonts w:asciiTheme="minorHAnsi" w:eastAsia="Calibri" w:hAnsiTheme="minorHAnsi" w:cstheme="minorHAnsi"/>
                          <w:sz w:val="22"/>
                          <w:szCs w:val="22"/>
                          <w:lang w:val="sr-Cyrl-RS"/>
                        </w:rPr>
                        <w:t>у спровођењу надлежности поверених ЈЛС са централног нивоа</w:t>
                      </w:r>
                    </w:p>
                  </w:txbxContent>
                </v:textbox>
              </v:roundrect>
            </w:pict>
          </mc:Fallback>
        </mc:AlternateContent>
      </w:r>
      <w:r w:rsidR="004627A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67616" behindDoc="0" locked="0" layoutInCell="1" allowOverlap="1" wp14:anchorId="514CBB75" wp14:editId="0A525EBE">
                <wp:simplePos x="0" y="0"/>
                <wp:positionH relativeFrom="column">
                  <wp:posOffset>5604510</wp:posOffset>
                </wp:positionH>
                <wp:positionV relativeFrom="paragraph">
                  <wp:posOffset>50165</wp:posOffset>
                </wp:positionV>
                <wp:extent cx="2068195" cy="1120775"/>
                <wp:effectExtent l="0" t="0" r="27305" b="22225"/>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8195" cy="1120775"/>
                        </a:xfrm>
                        <a:prstGeom prst="roundRect">
                          <a:avLst/>
                        </a:prstGeom>
                        <a:solidFill>
                          <a:sysClr val="window" lastClr="FFFFFF"/>
                        </a:solidFill>
                        <a:ln w="19050">
                          <a:solidFill>
                            <a:schemeClr val="accent1">
                              <a:lumMod val="20000"/>
                              <a:lumOff val="80000"/>
                            </a:schemeClr>
                          </a:solidFill>
                        </a:ln>
                        <a:effectLst/>
                      </wps:spPr>
                      <wps:txbx>
                        <w:txbxContent>
                          <w:p w14:paraId="6D2CF5B6" w14:textId="77777777" w:rsidR="00876FFE" w:rsidRPr="008E12BD" w:rsidRDefault="00876FFE" w:rsidP="00CE6AC1">
                            <w:pPr>
                              <w:spacing w:before="0"/>
                              <w:jc w:val="center"/>
                              <w:rPr>
                                <w:rFonts w:asciiTheme="minorHAnsi" w:hAnsiTheme="minorHAnsi" w:cstheme="minorHAnsi"/>
                                <w:sz w:val="22"/>
                                <w:szCs w:val="22"/>
                              </w:rPr>
                            </w:pPr>
                            <w:r w:rsidRPr="008E12BD">
                              <w:rPr>
                                <w:rFonts w:asciiTheme="minorHAnsi" w:hAnsiTheme="minorHAnsi" w:cstheme="minorHAnsi"/>
                                <w:sz w:val="22"/>
                                <w:szCs w:val="22"/>
                              </w:rPr>
                              <w:t>Недовољна обавештеност јавности о праву на коришћење података који су у поседу органа јавне управе на свим нивоима</w:t>
                            </w:r>
                          </w:p>
                          <w:p w14:paraId="48BD914E" w14:textId="129159C1" w:rsidR="00876FFE" w:rsidRPr="008E12BD" w:rsidRDefault="00876FFE" w:rsidP="00885683">
                            <w:pPr>
                              <w:spacing w:before="0"/>
                              <w:jc w:val="center"/>
                              <w:rPr>
                                <w:rFonts w:asciiTheme="minorHAnsi" w:hAnsiTheme="minorHAnsi" w:cstheme="minorHAnsi"/>
                                <w:sz w:val="22"/>
                                <w:szCs w:val="2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14CBB75" id="Text Box 423" o:spid="_x0000_s1284" style="position:absolute;margin-left:441.3pt;margin-top:3.95pt;width:162.85pt;height:88.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" fillcolor="window" strokecolor="#d9e2f3 [660]" strokeweight="1.5pt">
                <v:path arrowok="t"/>
                <v:textbox inset="1mm,0,1mm,0">
                  <w:txbxContent>
                    <w:p w14:paraId="6D2CF5B6" w14:textId="77777777" w:rsidR="00876FFE" w:rsidRPr="008E12BD" w:rsidRDefault="00876FFE" w:rsidP="00CE6AC1">
                      <w:pPr>
                        <w:spacing w:before="0"/>
                        <w:jc w:val="center"/>
                        <w:rPr>
                          <w:rFonts w:asciiTheme="minorHAnsi" w:hAnsiTheme="minorHAnsi" w:cstheme="minorHAnsi"/>
                          <w:sz w:val="22"/>
                          <w:szCs w:val="22"/>
                        </w:rPr>
                      </w:pPr>
                      <w:r w:rsidRPr="008E12BD">
                        <w:rPr>
                          <w:rFonts w:asciiTheme="minorHAnsi" w:hAnsiTheme="minorHAnsi" w:cstheme="minorHAnsi"/>
                          <w:sz w:val="22"/>
                          <w:szCs w:val="22"/>
                        </w:rPr>
                        <w:t xml:space="preserve">Недовољна </w:t>
                      </w:r>
                      <w:r w:rsidRPr="008E12BD">
                        <w:rPr>
                          <w:rFonts w:asciiTheme="minorHAnsi" w:hAnsiTheme="minorHAnsi" w:cstheme="minorHAnsi"/>
                          <w:sz w:val="22"/>
                          <w:szCs w:val="22"/>
                        </w:rPr>
                        <w:t>обавештеност јавности о праву на коришћење података који су у поседу органа јавне управе на свим нивоима</w:t>
                      </w:r>
                    </w:p>
                    <w:p w14:paraId="48BD914E" w14:textId="129159C1" w:rsidR="00876FFE" w:rsidRPr="008E12BD" w:rsidRDefault="00876FFE" w:rsidP="00885683">
                      <w:pPr>
                        <w:spacing w:before="0"/>
                        <w:jc w:val="center"/>
                        <w:rPr>
                          <w:rFonts w:asciiTheme="minorHAnsi" w:hAnsiTheme="minorHAnsi" w:cstheme="minorHAnsi"/>
                          <w:sz w:val="22"/>
                          <w:szCs w:val="22"/>
                        </w:rPr>
                      </w:pPr>
                    </w:p>
                  </w:txbxContent>
                </v:textbox>
              </v:roundrect>
            </w:pict>
          </mc:Fallback>
        </mc:AlternateContent>
      </w:r>
      <w:r w:rsidR="004627A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66592" behindDoc="0" locked="0" layoutInCell="1" allowOverlap="1" wp14:anchorId="7AAC6FBA" wp14:editId="15094863">
                <wp:simplePos x="0" y="0"/>
                <wp:positionH relativeFrom="column">
                  <wp:posOffset>7781290</wp:posOffset>
                </wp:positionH>
                <wp:positionV relativeFrom="paragraph">
                  <wp:posOffset>50165</wp:posOffset>
                </wp:positionV>
                <wp:extent cx="1843405" cy="1099185"/>
                <wp:effectExtent l="0" t="0" r="23495" b="24765"/>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1099185"/>
                        </a:xfrm>
                        <a:prstGeom prst="roundRect">
                          <a:avLst/>
                        </a:prstGeom>
                        <a:solidFill>
                          <a:sysClr val="window" lastClr="FFFFFF"/>
                        </a:solidFill>
                        <a:ln w="19050">
                          <a:solidFill>
                            <a:schemeClr val="accent1">
                              <a:lumMod val="20000"/>
                              <a:lumOff val="80000"/>
                            </a:schemeClr>
                          </a:solidFill>
                        </a:ln>
                        <a:effectLst/>
                      </wps:spPr>
                      <wps:txbx>
                        <w:txbxContent>
                          <w:p w14:paraId="5979F2B4" w14:textId="41700D04" w:rsidR="00876FFE" w:rsidRPr="008E12BD" w:rsidRDefault="00876FFE" w:rsidP="00885683">
                            <w:pPr>
                              <w:spacing w:before="0"/>
                              <w:jc w:val="center"/>
                              <w:rPr>
                                <w:rFonts w:asciiTheme="minorHAnsi" w:eastAsia="Calibri" w:hAnsiTheme="minorHAnsi" w:cstheme="minorHAnsi"/>
                                <w:sz w:val="22"/>
                                <w:szCs w:val="22"/>
                              </w:rPr>
                            </w:pPr>
                            <w:r w:rsidRPr="008E12BD">
                              <w:rPr>
                                <w:rFonts w:asciiTheme="minorHAnsi" w:eastAsia="Calibri" w:hAnsiTheme="minorHAnsi" w:cstheme="minorHAnsi"/>
                                <w:sz w:val="22"/>
                                <w:szCs w:val="22"/>
                              </w:rPr>
                              <w:t>Повећан простор за корупцију</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AC6FBA" id="Text Box 424" o:spid="_x0000_s1285" style="position:absolute;margin-left:612.7pt;margin-top:3.95pt;width:145.15pt;height:86.5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" fillcolor="window" strokecolor="#d9e2f3 [660]" strokeweight="1.5pt">
                <v:path arrowok="t"/>
                <v:textbox inset="1mm,0,1mm,0">
                  <w:txbxContent>
                    <w:p w14:paraId="5979F2B4" w14:textId="41700D04" w:rsidR="00876FFE" w:rsidRPr="008E12BD" w:rsidRDefault="00876FFE" w:rsidP="00885683">
                      <w:pPr>
                        <w:spacing w:before="0"/>
                        <w:jc w:val="center"/>
                        <w:rPr>
                          <w:rFonts w:asciiTheme="minorHAnsi" w:eastAsia="Calibri" w:hAnsiTheme="minorHAnsi" w:cstheme="minorHAnsi"/>
                          <w:sz w:val="22"/>
                          <w:szCs w:val="22"/>
                        </w:rPr>
                      </w:pPr>
                      <w:r w:rsidRPr="008E12BD">
                        <w:rPr>
                          <w:rFonts w:asciiTheme="minorHAnsi" w:eastAsia="Calibri" w:hAnsiTheme="minorHAnsi" w:cstheme="minorHAnsi"/>
                          <w:sz w:val="22"/>
                          <w:szCs w:val="22"/>
                        </w:rPr>
                        <w:t xml:space="preserve">Повећан </w:t>
                      </w:r>
                      <w:r w:rsidRPr="008E12BD">
                        <w:rPr>
                          <w:rFonts w:asciiTheme="minorHAnsi" w:eastAsia="Calibri" w:hAnsiTheme="minorHAnsi" w:cstheme="minorHAnsi"/>
                          <w:sz w:val="22"/>
                          <w:szCs w:val="22"/>
                        </w:rPr>
                        <w:t>простор за корупцију</w:t>
                      </w:r>
                    </w:p>
                  </w:txbxContent>
                </v:textbox>
              </v:roundrect>
            </w:pict>
          </mc:Fallback>
        </mc:AlternateContent>
      </w:r>
    </w:p>
    <w:p w14:paraId="44B76FA5" w14:textId="77777777" w:rsidR="004627A6" w:rsidRPr="000F0299" w:rsidRDefault="004627A6" w:rsidP="004627A6">
      <w:pPr>
        <w:suppressAutoHyphens w:val="0"/>
        <w:autoSpaceDN/>
        <w:spacing w:before="0" w:after="0"/>
        <w:ind w:firstLine="0"/>
        <w:jc w:val="left"/>
        <w:textAlignment w:val="auto"/>
        <w:rPr>
          <w:rFonts w:asciiTheme="minorHAnsi" w:eastAsia="Times New Roman" w:hAnsiTheme="minorHAnsi" w:cstheme="minorBidi"/>
          <w:kern w:val="0"/>
          <w:sz w:val="22"/>
          <w:szCs w:val="22"/>
          <w:lang w:eastAsia="en-US" w:bidi="ar-SA"/>
        </w:rPr>
      </w:pPr>
    </w:p>
    <w:p w14:paraId="4C42D459" w14:textId="77777777" w:rsidR="004627A6" w:rsidRPr="000F0299" w:rsidRDefault="004627A6" w:rsidP="004627A6">
      <w:pPr>
        <w:tabs>
          <w:tab w:val="left" w:pos="2998"/>
        </w:tabs>
        <w:suppressAutoHyphens w:val="0"/>
        <w:autoSpaceDN/>
        <w:spacing w:before="0" w:after="0"/>
        <w:ind w:firstLine="0"/>
        <w:jc w:val="left"/>
        <w:textAlignment w:val="auto"/>
        <w:rPr>
          <w:rFonts w:asciiTheme="minorHAnsi" w:eastAsia="Times New Roman" w:hAnsiTheme="minorHAnsi" w:cstheme="minorBidi"/>
          <w:kern w:val="0"/>
          <w:sz w:val="22"/>
          <w:szCs w:val="22"/>
          <w:lang w:eastAsia="en-US" w:bidi="ar-SA"/>
        </w:rPr>
      </w:pPr>
      <w:r w:rsidRPr="000F0299">
        <w:rPr>
          <w:rFonts w:asciiTheme="minorHAnsi" w:eastAsia="Times New Roman" w:hAnsiTheme="minorHAnsi" w:cstheme="minorBidi"/>
          <w:kern w:val="0"/>
          <w:sz w:val="22"/>
          <w:szCs w:val="22"/>
          <w:lang w:eastAsia="en-US" w:bidi="ar-SA"/>
        </w:rPr>
        <w:tab/>
      </w:r>
      <w:r w:rsidRPr="000F0299">
        <w:rPr>
          <w:rFonts w:asciiTheme="minorHAnsi" w:eastAsia="Times New Roman" w:hAnsiTheme="minorHAnsi" w:cstheme="minorBidi"/>
          <w:noProof/>
          <w:kern w:val="0"/>
          <w:sz w:val="22"/>
          <w:szCs w:val="22"/>
          <w:lang w:eastAsia="en-US" w:bidi="ar-SA"/>
        </w:rPr>
        <w:t xml:space="preserve"> </w:t>
      </w:r>
    </w:p>
    <w:p w14:paraId="3AD93825" w14:textId="77777777" w:rsidR="004627A6" w:rsidRPr="000F0299" w:rsidRDefault="004627A6" w:rsidP="004627A6">
      <w:pPr>
        <w:suppressAutoHyphens w:val="0"/>
        <w:autoSpaceDN/>
        <w:spacing w:before="0" w:after="0"/>
        <w:ind w:firstLine="0"/>
        <w:jc w:val="left"/>
        <w:textAlignment w:val="auto"/>
        <w:rPr>
          <w:rFonts w:asciiTheme="minorHAnsi" w:eastAsia="Times New Roman" w:hAnsiTheme="minorHAnsi" w:cstheme="minorBidi"/>
          <w:kern w:val="0"/>
          <w:sz w:val="22"/>
          <w:szCs w:val="22"/>
          <w:lang w:eastAsia="en-US" w:bidi="ar-SA"/>
        </w:rPr>
      </w:pPr>
    </w:p>
    <w:p w14:paraId="3A4BA6CD" w14:textId="77777777" w:rsidR="004627A6" w:rsidRPr="000F0299" w:rsidRDefault="004627A6" w:rsidP="004627A6">
      <w:pPr>
        <w:suppressAutoHyphens w:val="0"/>
        <w:autoSpaceDN/>
        <w:spacing w:before="0" w:after="0"/>
        <w:ind w:firstLine="0"/>
        <w:jc w:val="left"/>
        <w:textAlignment w:val="auto"/>
        <w:rPr>
          <w:rFonts w:asciiTheme="minorHAnsi" w:eastAsia="Times New Roman" w:hAnsiTheme="minorHAnsi" w:cstheme="minorBidi"/>
          <w:kern w:val="0"/>
          <w:sz w:val="22"/>
          <w:szCs w:val="22"/>
          <w:lang w:eastAsia="en-US" w:bidi="ar-SA"/>
        </w:rPr>
      </w:pPr>
    </w:p>
    <w:p w14:paraId="034AEBA1" w14:textId="71C5536B" w:rsidR="004627A6" w:rsidRPr="000F0299" w:rsidRDefault="004627A6" w:rsidP="004627A6">
      <w:pPr>
        <w:suppressAutoHyphens w:val="0"/>
        <w:autoSpaceDN/>
        <w:spacing w:before="0" w:after="0"/>
        <w:ind w:firstLine="0"/>
        <w:jc w:val="left"/>
        <w:textAlignment w:val="auto"/>
        <w:rPr>
          <w:rFonts w:asciiTheme="minorHAnsi" w:eastAsia="Times New Roman" w:hAnsiTheme="minorHAnsi" w:cstheme="minorBidi"/>
          <w:kern w:val="0"/>
          <w:sz w:val="22"/>
          <w:szCs w:val="22"/>
          <w:lang w:eastAsia="en-US" w:bidi="ar-SA"/>
        </w:rPr>
      </w:pPr>
    </w:p>
    <w:p w14:paraId="6C3E3B34" w14:textId="48C2C53C" w:rsidR="004627A6" w:rsidRPr="000F0299" w:rsidRDefault="00C82BE4" w:rsidP="004627A6">
      <w:pPr>
        <w:suppressAutoHyphens w:val="0"/>
        <w:autoSpaceDN/>
        <w:spacing w:before="0" w:after="0"/>
        <w:ind w:firstLine="0"/>
        <w:jc w:val="left"/>
        <w:textAlignment w:val="auto"/>
        <w:rPr>
          <w:rFonts w:asciiTheme="minorHAnsi" w:eastAsia="Times New Roman" w:hAnsiTheme="minorHAnsi" w:cstheme="minorBidi"/>
          <w:kern w:val="0"/>
          <w:sz w:val="22"/>
          <w:szCs w:val="22"/>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54304" behindDoc="0" locked="0" layoutInCell="1" allowOverlap="1" wp14:anchorId="30D14250" wp14:editId="202ABBA2">
                <wp:simplePos x="0" y="0"/>
                <wp:positionH relativeFrom="column">
                  <wp:posOffset>4568190</wp:posOffset>
                </wp:positionH>
                <wp:positionV relativeFrom="paragraph">
                  <wp:posOffset>116205</wp:posOffset>
                </wp:positionV>
                <wp:extent cx="0" cy="180000"/>
                <wp:effectExtent l="19050" t="0" r="19050" b="29845"/>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000"/>
                        </a:xfrm>
                        <a:prstGeom prst="line">
                          <a:avLst/>
                        </a:prstGeom>
                        <a:noFill/>
                        <a:ln w="28575" cap="flat" cmpd="sng" algn="ctr">
                          <a:solidFill>
                            <a:schemeClr val="accent1">
                              <a:lumMod val="20000"/>
                              <a:lumOff val="80000"/>
                            </a:scheme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C07527" id="Straight Connector 465" o:spid="_x0000_s1026" style="position:absolute;z-index:251554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59.7pt,9.15pt" to="359.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" strokecolor="#d9e2f3 [660]" strokeweight="2.25pt">
                <v:stroke joinstyle="miter"/>
                <o:lock v:ext="edit" shapetype="f"/>
              </v:line>
            </w:pict>
          </mc:Fallback>
        </mc:AlternateContent>
      </w: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55328" behindDoc="0" locked="0" layoutInCell="1" allowOverlap="1" wp14:anchorId="6569BC27" wp14:editId="226CFC23">
                <wp:simplePos x="0" y="0"/>
                <wp:positionH relativeFrom="column">
                  <wp:posOffset>6640830</wp:posOffset>
                </wp:positionH>
                <wp:positionV relativeFrom="paragraph">
                  <wp:posOffset>146685</wp:posOffset>
                </wp:positionV>
                <wp:extent cx="0" cy="144000"/>
                <wp:effectExtent l="19050" t="0" r="19050" b="27940"/>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000"/>
                        </a:xfrm>
                        <a:prstGeom prst="line">
                          <a:avLst/>
                        </a:prstGeom>
                        <a:noFill/>
                        <a:ln w="28575" cap="flat" cmpd="sng" algn="ctr">
                          <a:solidFill>
                            <a:schemeClr val="accent1">
                              <a:lumMod val="20000"/>
                              <a:lumOff val="80000"/>
                            </a:scheme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DA955B" id="Straight Connector 464" o:spid="_x0000_s1026" style="position:absolute;z-index:251555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522.9pt,11.55pt" to="522.9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" strokecolor="#d9e2f3 [660]" strokeweight="2.25pt">
                <v:stroke joinstyle="miter"/>
                <o:lock v:ext="edit" shapetype="f"/>
              </v:line>
            </w:pict>
          </mc:Fallback>
        </mc:AlternateContent>
      </w:r>
      <w:r w:rsidR="005B1C27"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51232" behindDoc="0" locked="0" layoutInCell="1" allowOverlap="1" wp14:anchorId="37FCC726" wp14:editId="4A118CBA">
                <wp:simplePos x="0" y="0"/>
                <wp:positionH relativeFrom="column">
                  <wp:posOffset>422910</wp:posOffset>
                </wp:positionH>
                <wp:positionV relativeFrom="paragraph">
                  <wp:posOffset>100965</wp:posOffset>
                </wp:positionV>
                <wp:extent cx="0" cy="179705"/>
                <wp:effectExtent l="19050" t="0" r="19050" b="29845"/>
                <wp:wrapNone/>
                <wp:docPr id="429" name="Straight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line">
                          <a:avLst/>
                        </a:prstGeom>
                        <a:noFill/>
                        <a:ln w="28575" cap="flat" cmpd="sng" algn="ctr">
                          <a:solidFill>
                            <a:schemeClr val="accent1">
                              <a:lumMod val="20000"/>
                              <a:lumOff val="80000"/>
                            </a:scheme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773632" id="Straight Connector 429" o:spid="_x0000_s1026" style="position:absolute;z-index:251551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3.3pt,7.95pt" to="33.3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" strokecolor="#d9e2f3 [660]" strokeweight="2.25pt">
                <v:stroke joinstyle="miter"/>
                <o:lock v:ext="edit" shapetype="f"/>
              </v:line>
            </w:pict>
          </mc:Fallback>
        </mc:AlternateContent>
      </w:r>
      <w:r w:rsidR="005B1C27"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53280" behindDoc="0" locked="0" layoutInCell="1" allowOverlap="1" wp14:anchorId="338CD941" wp14:editId="1E509663">
                <wp:simplePos x="0" y="0"/>
                <wp:positionH relativeFrom="column">
                  <wp:posOffset>2494280</wp:posOffset>
                </wp:positionH>
                <wp:positionV relativeFrom="paragraph">
                  <wp:posOffset>102144</wp:posOffset>
                </wp:positionV>
                <wp:extent cx="0" cy="179705"/>
                <wp:effectExtent l="19050" t="0" r="19050" b="29845"/>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line">
                          <a:avLst/>
                        </a:prstGeom>
                        <a:noFill/>
                        <a:ln w="28575" cap="flat" cmpd="sng" algn="ctr">
                          <a:solidFill>
                            <a:schemeClr val="accent1">
                              <a:lumMod val="20000"/>
                              <a:lumOff val="80000"/>
                            </a:scheme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20DE11" id="Straight Connector 466" o:spid="_x0000_s1026" style="position:absolute;z-index:251553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96.4pt,8.05pt" to="196.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" strokecolor="#d9e2f3 [660]" strokeweight="2.25pt">
                <v:stroke joinstyle="miter"/>
                <o:lock v:ext="edit" shapetype="f"/>
              </v:line>
            </w:pict>
          </mc:Fallback>
        </mc:AlternateContent>
      </w:r>
      <w:r w:rsidR="0032015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68640" behindDoc="0" locked="0" layoutInCell="1" allowOverlap="1" wp14:anchorId="3BAB6EDC" wp14:editId="14A60D23">
                <wp:simplePos x="0" y="0"/>
                <wp:positionH relativeFrom="column">
                  <wp:posOffset>-502376</wp:posOffset>
                </wp:positionH>
                <wp:positionV relativeFrom="paragraph">
                  <wp:posOffset>257719</wp:posOffset>
                </wp:positionV>
                <wp:extent cx="1937657" cy="1000942"/>
                <wp:effectExtent l="0" t="0" r="24765" b="2794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657" cy="1000942"/>
                        </a:xfrm>
                        <a:prstGeom prst="roundRect">
                          <a:avLst/>
                        </a:prstGeom>
                        <a:solidFill>
                          <a:sysClr val="window" lastClr="FFFFFF"/>
                        </a:solidFill>
                        <a:ln w="19050">
                          <a:solidFill>
                            <a:schemeClr val="accent1">
                              <a:lumMod val="20000"/>
                              <a:lumOff val="80000"/>
                            </a:schemeClr>
                          </a:solidFill>
                        </a:ln>
                        <a:effectLst/>
                      </wps:spPr>
                      <wps:txbx>
                        <w:txbxContent>
                          <w:p w14:paraId="68B72E25" w14:textId="77777777" w:rsidR="00876FFE" w:rsidRPr="008E12BD" w:rsidRDefault="00876FFE" w:rsidP="00CE6AC1">
                            <w:pPr>
                              <w:pStyle w:val="NormalWeb"/>
                              <w:spacing w:before="0" w:beforeAutospacing="0" w:after="120" w:afterAutospacing="0" w:line="216" w:lineRule="auto"/>
                              <w:jc w:val="center"/>
                              <w:rPr>
                                <w:rFonts w:asciiTheme="minorHAnsi" w:eastAsia="Calibri" w:hAnsiTheme="minorHAnsi" w:cstheme="minorHAnsi"/>
                                <w:sz w:val="22"/>
                                <w:szCs w:val="22"/>
                                <w:lang w:val="sr-Cyrl-RS"/>
                              </w:rPr>
                            </w:pPr>
                            <w:r>
                              <w:rPr>
                                <w:rFonts w:asciiTheme="minorHAnsi" w:eastAsia="Calibri" w:hAnsiTheme="minorHAnsi" w:cstheme="minorHAnsi"/>
                                <w:sz w:val="22"/>
                                <w:szCs w:val="22"/>
                                <w:lang w:val="sr-Cyrl-RS"/>
                              </w:rPr>
                              <w:t>П</w:t>
                            </w:r>
                            <w:r w:rsidRPr="008E12BD">
                              <w:rPr>
                                <w:rFonts w:asciiTheme="minorHAnsi" w:eastAsia="Calibri" w:hAnsiTheme="minorHAnsi" w:cstheme="minorHAnsi"/>
                                <w:sz w:val="22"/>
                                <w:szCs w:val="22"/>
                                <w:lang w:val="sr-Cyrl-RS"/>
                              </w:rPr>
                              <w:t>ој</w:t>
                            </w:r>
                            <w:r>
                              <w:rPr>
                                <w:rFonts w:asciiTheme="minorHAnsi" w:eastAsia="Calibri" w:hAnsiTheme="minorHAnsi" w:cstheme="minorHAnsi"/>
                                <w:sz w:val="22"/>
                                <w:szCs w:val="22"/>
                                <w:lang w:val="sr-Cyrl-RS"/>
                              </w:rPr>
                              <w:t>а</w:t>
                            </w:r>
                            <w:r w:rsidRPr="008E12BD">
                              <w:rPr>
                                <w:rFonts w:asciiTheme="minorHAnsi" w:eastAsia="Calibri" w:hAnsiTheme="minorHAnsi" w:cstheme="minorHAnsi"/>
                                <w:sz w:val="22"/>
                                <w:szCs w:val="22"/>
                                <w:lang w:val="sr-Cyrl-RS"/>
                              </w:rPr>
                              <w:t xml:space="preserve">м управљачке одговорности </w:t>
                            </w:r>
                            <w:r>
                              <w:rPr>
                                <w:rFonts w:asciiTheme="minorHAnsi" w:eastAsia="Calibri" w:hAnsiTheme="minorHAnsi" w:cstheme="minorHAnsi"/>
                                <w:sz w:val="22"/>
                                <w:szCs w:val="22"/>
                                <w:lang w:val="sr-Cyrl-RS"/>
                              </w:rPr>
                              <w:t xml:space="preserve">се не схвата јединствено </w:t>
                            </w:r>
                            <w:r w:rsidRPr="008E12BD">
                              <w:rPr>
                                <w:rFonts w:asciiTheme="minorHAnsi" w:eastAsia="Calibri" w:hAnsiTheme="minorHAnsi" w:cstheme="minorHAnsi"/>
                                <w:sz w:val="22"/>
                                <w:szCs w:val="22"/>
                                <w:lang w:val="sr-Cyrl-RS"/>
                              </w:rPr>
                              <w:t xml:space="preserve">и </w:t>
                            </w:r>
                            <w:r>
                              <w:rPr>
                                <w:rFonts w:asciiTheme="minorHAnsi" w:eastAsia="Calibri" w:hAnsiTheme="minorHAnsi" w:cstheme="minorHAnsi"/>
                                <w:sz w:val="22"/>
                                <w:szCs w:val="22"/>
                                <w:lang w:val="sr-Cyrl-RS"/>
                              </w:rPr>
                              <w:t xml:space="preserve">овлашћења се не </w:t>
                            </w:r>
                            <w:r w:rsidRPr="008E12BD">
                              <w:rPr>
                                <w:rFonts w:asciiTheme="minorHAnsi" w:eastAsia="Calibri" w:hAnsiTheme="minorHAnsi" w:cstheme="minorHAnsi"/>
                                <w:spacing w:val="-6"/>
                                <w:sz w:val="22"/>
                                <w:szCs w:val="22"/>
                                <w:lang w:val="sr-Cyrl-RS"/>
                              </w:rPr>
                              <w:t>делегира</w:t>
                            </w:r>
                            <w:r>
                              <w:rPr>
                                <w:rFonts w:asciiTheme="minorHAnsi" w:eastAsia="Calibri" w:hAnsiTheme="minorHAnsi" w:cstheme="minorHAnsi"/>
                                <w:spacing w:val="-6"/>
                                <w:sz w:val="22"/>
                                <w:szCs w:val="22"/>
                                <w:lang w:val="sr-Cyrl-RS"/>
                              </w:rPr>
                              <w:t>ју</w:t>
                            </w:r>
                            <w:r w:rsidRPr="008E12BD">
                              <w:rPr>
                                <w:rFonts w:asciiTheme="minorHAnsi" w:eastAsia="Calibri" w:hAnsiTheme="minorHAnsi" w:cstheme="minorHAnsi"/>
                                <w:spacing w:val="-6"/>
                                <w:sz w:val="22"/>
                                <w:szCs w:val="22"/>
                                <w:lang w:val="sr-Cyrl-RS"/>
                              </w:rPr>
                              <w:t xml:space="preserve"> </w:t>
                            </w:r>
                            <w:r w:rsidRPr="008E12BD">
                              <w:rPr>
                                <w:rFonts w:asciiTheme="minorHAnsi" w:eastAsia="Calibri" w:hAnsiTheme="minorHAnsi" w:cstheme="minorHAnsi"/>
                                <w:sz w:val="22"/>
                                <w:szCs w:val="22"/>
                                <w:lang w:val="sr-Cyrl-RS"/>
                              </w:rPr>
                              <w:t>на свим нивоима</w:t>
                            </w:r>
                          </w:p>
                          <w:p w14:paraId="41B5E2DF" w14:textId="05AD698E" w:rsidR="00876FFE" w:rsidRPr="008E12BD" w:rsidRDefault="00876FFE" w:rsidP="00320156">
                            <w:pPr>
                              <w:pStyle w:val="NormalWeb"/>
                              <w:spacing w:before="0" w:beforeAutospacing="0" w:after="120" w:afterAutospacing="0" w:line="216" w:lineRule="auto"/>
                              <w:jc w:val="center"/>
                              <w:rPr>
                                <w:rFonts w:asciiTheme="minorHAnsi" w:eastAsia="Calibri" w:hAnsiTheme="minorHAnsi" w:cstheme="minorHAnsi"/>
                                <w:sz w:val="22"/>
                                <w:szCs w:val="22"/>
                                <w:lang w:val="sr-Cyrl-RS"/>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BAB6EDC" id="Text Box 430" o:spid="_x0000_s1286" style="position:absolute;margin-left:-39.55pt;margin-top:20.3pt;width:152.55pt;height:78.8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" fillcolor="window" strokecolor="#d9e2f3 [660]" strokeweight="1.5pt">
                <v:path arrowok="t"/>
                <v:textbox inset="1mm,0,1mm,0">
                  <w:txbxContent>
                    <w:p w14:paraId="68B72E25" w14:textId="77777777" w:rsidR="00876FFE" w:rsidRPr="008E12BD" w:rsidRDefault="00876FFE" w:rsidP="00CE6AC1">
                      <w:pPr>
                        <w:pStyle w:val="NormalWeb"/>
                        <w:spacing w:before="0" w:beforeAutospacing="0" w:after="120" w:afterAutospacing="0" w:line="216" w:lineRule="auto"/>
                        <w:jc w:val="center"/>
                        <w:rPr>
                          <w:rFonts w:asciiTheme="minorHAnsi" w:eastAsia="Calibri" w:hAnsiTheme="minorHAnsi" w:cstheme="minorHAnsi"/>
                          <w:sz w:val="22"/>
                          <w:szCs w:val="22"/>
                          <w:lang w:val="sr-Cyrl-RS"/>
                        </w:rPr>
                      </w:pPr>
                      <w:r>
                        <w:rPr>
                          <w:rFonts w:asciiTheme="minorHAnsi" w:eastAsia="Calibri" w:hAnsiTheme="minorHAnsi" w:cstheme="minorHAnsi"/>
                          <w:sz w:val="22"/>
                          <w:szCs w:val="22"/>
                          <w:lang w:val="sr-Cyrl-RS"/>
                        </w:rPr>
                        <w:t>П</w:t>
                      </w:r>
                      <w:r w:rsidRPr="008E12BD">
                        <w:rPr>
                          <w:rFonts w:asciiTheme="minorHAnsi" w:eastAsia="Calibri" w:hAnsiTheme="minorHAnsi" w:cstheme="minorHAnsi"/>
                          <w:sz w:val="22"/>
                          <w:szCs w:val="22"/>
                          <w:lang w:val="sr-Cyrl-RS"/>
                        </w:rPr>
                        <w:t>ој</w:t>
                      </w:r>
                      <w:r>
                        <w:rPr>
                          <w:rFonts w:asciiTheme="minorHAnsi" w:eastAsia="Calibri" w:hAnsiTheme="minorHAnsi" w:cstheme="minorHAnsi"/>
                          <w:sz w:val="22"/>
                          <w:szCs w:val="22"/>
                          <w:lang w:val="sr-Cyrl-RS"/>
                        </w:rPr>
                        <w:t>а</w:t>
                      </w:r>
                      <w:r w:rsidRPr="008E12BD">
                        <w:rPr>
                          <w:rFonts w:asciiTheme="minorHAnsi" w:eastAsia="Calibri" w:hAnsiTheme="minorHAnsi" w:cstheme="minorHAnsi"/>
                          <w:sz w:val="22"/>
                          <w:szCs w:val="22"/>
                          <w:lang w:val="sr-Cyrl-RS"/>
                        </w:rPr>
                        <w:t xml:space="preserve">м </w:t>
                      </w:r>
                      <w:r w:rsidRPr="008E12BD">
                        <w:rPr>
                          <w:rFonts w:asciiTheme="minorHAnsi" w:eastAsia="Calibri" w:hAnsiTheme="minorHAnsi" w:cstheme="minorHAnsi"/>
                          <w:sz w:val="22"/>
                          <w:szCs w:val="22"/>
                          <w:lang w:val="sr-Cyrl-RS"/>
                        </w:rPr>
                        <w:t xml:space="preserve">управљачке одговорности </w:t>
                      </w:r>
                      <w:r>
                        <w:rPr>
                          <w:rFonts w:asciiTheme="minorHAnsi" w:eastAsia="Calibri" w:hAnsiTheme="minorHAnsi" w:cstheme="minorHAnsi"/>
                          <w:sz w:val="22"/>
                          <w:szCs w:val="22"/>
                          <w:lang w:val="sr-Cyrl-RS"/>
                        </w:rPr>
                        <w:t xml:space="preserve">се не схвата јединствено </w:t>
                      </w:r>
                      <w:r w:rsidRPr="008E12BD">
                        <w:rPr>
                          <w:rFonts w:asciiTheme="minorHAnsi" w:eastAsia="Calibri" w:hAnsiTheme="minorHAnsi" w:cstheme="minorHAnsi"/>
                          <w:sz w:val="22"/>
                          <w:szCs w:val="22"/>
                          <w:lang w:val="sr-Cyrl-RS"/>
                        </w:rPr>
                        <w:t xml:space="preserve">и </w:t>
                      </w:r>
                      <w:r>
                        <w:rPr>
                          <w:rFonts w:asciiTheme="minorHAnsi" w:eastAsia="Calibri" w:hAnsiTheme="minorHAnsi" w:cstheme="minorHAnsi"/>
                          <w:sz w:val="22"/>
                          <w:szCs w:val="22"/>
                          <w:lang w:val="sr-Cyrl-RS"/>
                        </w:rPr>
                        <w:t xml:space="preserve">овлашћења се не </w:t>
                      </w:r>
                      <w:r w:rsidRPr="008E12BD">
                        <w:rPr>
                          <w:rFonts w:asciiTheme="minorHAnsi" w:eastAsia="Calibri" w:hAnsiTheme="minorHAnsi" w:cstheme="minorHAnsi"/>
                          <w:spacing w:val="-6"/>
                          <w:sz w:val="22"/>
                          <w:szCs w:val="22"/>
                          <w:lang w:val="sr-Cyrl-RS"/>
                        </w:rPr>
                        <w:t>делегира</w:t>
                      </w:r>
                      <w:r>
                        <w:rPr>
                          <w:rFonts w:asciiTheme="minorHAnsi" w:eastAsia="Calibri" w:hAnsiTheme="minorHAnsi" w:cstheme="minorHAnsi"/>
                          <w:spacing w:val="-6"/>
                          <w:sz w:val="22"/>
                          <w:szCs w:val="22"/>
                          <w:lang w:val="sr-Cyrl-RS"/>
                        </w:rPr>
                        <w:t>ју</w:t>
                      </w:r>
                      <w:r w:rsidRPr="008E12BD">
                        <w:rPr>
                          <w:rFonts w:asciiTheme="minorHAnsi" w:eastAsia="Calibri" w:hAnsiTheme="minorHAnsi" w:cstheme="minorHAnsi"/>
                          <w:spacing w:val="-6"/>
                          <w:sz w:val="22"/>
                          <w:szCs w:val="22"/>
                          <w:lang w:val="sr-Cyrl-RS"/>
                        </w:rPr>
                        <w:t xml:space="preserve"> </w:t>
                      </w:r>
                      <w:r w:rsidRPr="008E12BD">
                        <w:rPr>
                          <w:rFonts w:asciiTheme="minorHAnsi" w:eastAsia="Calibri" w:hAnsiTheme="minorHAnsi" w:cstheme="minorHAnsi"/>
                          <w:sz w:val="22"/>
                          <w:szCs w:val="22"/>
                          <w:lang w:val="sr-Cyrl-RS"/>
                        </w:rPr>
                        <w:t>на свим нивоима</w:t>
                      </w:r>
                    </w:p>
                    <w:p w14:paraId="41B5E2DF" w14:textId="05AD698E" w:rsidR="00876FFE" w:rsidRPr="008E12BD" w:rsidRDefault="00876FFE" w:rsidP="00320156">
                      <w:pPr>
                        <w:pStyle w:val="NormalWeb"/>
                        <w:spacing w:before="0" w:beforeAutospacing="0" w:after="120" w:afterAutospacing="0" w:line="216" w:lineRule="auto"/>
                        <w:jc w:val="center"/>
                        <w:rPr>
                          <w:rFonts w:asciiTheme="minorHAnsi" w:eastAsia="Calibri" w:hAnsiTheme="minorHAnsi" w:cstheme="minorHAnsi"/>
                          <w:sz w:val="22"/>
                          <w:szCs w:val="22"/>
                          <w:lang w:val="sr-Cyrl-RS"/>
                        </w:rPr>
                      </w:pPr>
                    </w:p>
                  </w:txbxContent>
                </v:textbox>
              </v:roundrect>
            </w:pict>
          </mc:Fallback>
        </mc:AlternateContent>
      </w:r>
      <w:r w:rsidR="004627A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52256" behindDoc="0" locked="0" layoutInCell="1" allowOverlap="1" wp14:anchorId="09E71267" wp14:editId="4152C1E5">
                <wp:simplePos x="0" y="0"/>
                <wp:positionH relativeFrom="column">
                  <wp:posOffset>12843510</wp:posOffset>
                </wp:positionH>
                <wp:positionV relativeFrom="paragraph">
                  <wp:posOffset>85725</wp:posOffset>
                </wp:positionV>
                <wp:extent cx="0" cy="180000"/>
                <wp:effectExtent l="19050" t="0" r="19050" b="29845"/>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000"/>
                        </a:xfrm>
                        <a:prstGeom prst="line">
                          <a:avLst/>
                        </a:prstGeom>
                        <a:noFill/>
                        <a:ln w="28575" cap="flat" cmpd="sng" algn="ctr">
                          <a:solidFill>
                            <a:schemeClr val="accent1">
                              <a:lumMod val="20000"/>
                              <a:lumOff val="80000"/>
                            </a:scheme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0D7917" id="Straight Connector 461" o:spid="_x0000_s1026" style="position:absolute;z-index:251552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11.3pt,6.75pt" to="1011.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" strokecolor="#d9e2f3 [660]" strokeweight="2.25pt">
                <v:stroke joinstyle="miter"/>
                <o:lock v:ext="edit" shapetype="f"/>
              </v:line>
            </w:pict>
          </mc:Fallback>
        </mc:AlternateContent>
      </w:r>
      <w:r w:rsidR="004627A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57376" behindDoc="0" locked="0" layoutInCell="1" allowOverlap="1" wp14:anchorId="701348E0" wp14:editId="1EE5414A">
                <wp:simplePos x="0" y="0"/>
                <wp:positionH relativeFrom="column">
                  <wp:posOffset>10778490</wp:posOffset>
                </wp:positionH>
                <wp:positionV relativeFrom="paragraph">
                  <wp:posOffset>116205</wp:posOffset>
                </wp:positionV>
                <wp:extent cx="0" cy="180000"/>
                <wp:effectExtent l="19050" t="0" r="19050" b="29845"/>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000"/>
                        </a:xfrm>
                        <a:prstGeom prst="line">
                          <a:avLst/>
                        </a:prstGeom>
                        <a:noFill/>
                        <a:ln w="28575" cap="flat" cmpd="sng" algn="ctr">
                          <a:solidFill>
                            <a:schemeClr val="accent1">
                              <a:lumMod val="20000"/>
                              <a:lumOff val="80000"/>
                            </a:scheme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B1FA4B" id="Straight Connector 462" o:spid="_x0000_s1026" style="position:absolute;z-index:251557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48.7pt,9.15pt" to="848.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" strokecolor="#d9e2f3 [660]" strokeweight="2.25pt">
                <v:stroke joinstyle="miter"/>
                <o:lock v:ext="edit" shapetype="f"/>
              </v:line>
            </w:pict>
          </mc:Fallback>
        </mc:AlternateContent>
      </w:r>
      <w:r w:rsidR="004627A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56352" behindDoc="0" locked="0" layoutInCell="1" allowOverlap="1" wp14:anchorId="564CD228" wp14:editId="5C067837">
                <wp:simplePos x="0" y="0"/>
                <wp:positionH relativeFrom="column">
                  <wp:posOffset>8705850</wp:posOffset>
                </wp:positionH>
                <wp:positionV relativeFrom="paragraph">
                  <wp:posOffset>146685</wp:posOffset>
                </wp:positionV>
                <wp:extent cx="0" cy="144000"/>
                <wp:effectExtent l="19050" t="0" r="19050" b="27940"/>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000"/>
                        </a:xfrm>
                        <a:prstGeom prst="line">
                          <a:avLst/>
                        </a:prstGeom>
                        <a:noFill/>
                        <a:ln w="28575" cap="flat" cmpd="sng" algn="ctr">
                          <a:solidFill>
                            <a:schemeClr val="accent1">
                              <a:lumMod val="20000"/>
                              <a:lumOff val="80000"/>
                            </a:scheme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D3906F" id="Straight Connector 463" o:spid="_x0000_s1026" style="position:absolute;z-index:251556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685.5pt,11.55pt" to="685.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" strokecolor="#d9e2f3 [660]" strokeweight="2.25pt">
                <v:stroke joinstyle="miter"/>
                <o:lock v:ext="edit" shapetype="f"/>
              </v:line>
            </w:pict>
          </mc:Fallback>
        </mc:AlternateContent>
      </w:r>
    </w:p>
    <w:p w14:paraId="2A72312E" w14:textId="797F7461" w:rsidR="004627A6" w:rsidRPr="000F0299" w:rsidRDefault="00C82BE4" w:rsidP="004627A6">
      <w:pPr>
        <w:tabs>
          <w:tab w:val="left" w:pos="8029"/>
        </w:tabs>
        <w:suppressAutoHyphens w:val="0"/>
        <w:autoSpaceDN/>
        <w:spacing w:before="0" w:after="0"/>
        <w:ind w:firstLine="0"/>
        <w:jc w:val="left"/>
        <w:textAlignment w:val="auto"/>
        <w:rPr>
          <w:rFonts w:asciiTheme="minorHAnsi" w:eastAsia="Times New Roman" w:hAnsiTheme="minorHAnsi" w:cstheme="minorBidi"/>
          <w:kern w:val="0"/>
          <w:sz w:val="22"/>
          <w:szCs w:val="22"/>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73760" behindDoc="0" locked="0" layoutInCell="1" allowOverlap="1" wp14:anchorId="55ACFF19" wp14:editId="7F3EC8FE">
                <wp:simplePos x="0" y="0"/>
                <wp:positionH relativeFrom="column">
                  <wp:posOffset>11743690</wp:posOffset>
                </wp:positionH>
                <wp:positionV relativeFrom="paragraph">
                  <wp:posOffset>85725</wp:posOffset>
                </wp:positionV>
                <wp:extent cx="2143760" cy="979170"/>
                <wp:effectExtent l="0" t="0" r="27940" b="1143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760" cy="979170"/>
                        </a:xfrm>
                        <a:prstGeom prst="roundRect">
                          <a:avLst/>
                        </a:prstGeom>
                        <a:solidFill>
                          <a:sysClr val="window" lastClr="FFFFFF"/>
                        </a:solidFill>
                        <a:ln w="19050">
                          <a:solidFill>
                            <a:schemeClr val="accent1">
                              <a:lumMod val="20000"/>
                              <a:lumOff val="80000"/>
                            </a:schemeClr>
                          </a:solidFill>
                        </a:ln>
                        <a:effectLst/>
                      </wps:spPr>
                      <wps:txbx>
                        <w:txbxContent>
                          <w:p w14:paraId="2698DED9" w14:textId="4C16A442" w:rsidR="00876FFE" w:rsidRPr="008E12BD" w:rsidRDefault="00876FFE" w:rsidP="00320156">
                            <w:pPr>
                              <w:pStyle w:val="NormalWeb"/>
                              <w:spacing w:before="0" w:beforeAutospacing="0" w:after="120" w:afterAutospacing="0"/>
                              <w:jc w:val="center"/>
                              <w:rPr>
                                <w:rFonts w:asciiTheme="minorHAnsi" w:hAnsiTheme="minorHAnsi" w:cstheme="minorHAnsi"/>
                                <w:sz w:val="22"/>
                                <w:szCs w:val="22"/>
                                <w:lang w:val="sr-Cyrl-RS"/>
                              </w:rPr>
                            </w:pPr>
                            <w:r w:rsidRPr="008E12BD">
                              <w:rPr>
                                <w:rFonts w:asciiTheme="minorHAnsi" w:eastAsia="Calibri" w:hAnsiTheme="minorHAnsi" w:cstheme="minorHAnsi"/>
                                <w:spacing w:val="-10"/>
                                <w:sz w:val="22"/>
                                <w:szCs w:val="22"/>
                                <w:lang w:val="sr-Cyrl-RS"/>
                              </w:rPr>
                              <w:t>Недовољни финансијски</w:t>
                            </w:r>
                            <w:r w:rsidRPr="008E12BD">
                              <w:rPr>
                                <w:rFonts w:asciiTheme="minorHAnsi" w:eastAsia="Calibri" w:hAnsiTheme="minorHAnsi" w:cstheme="minorHAnsi"/>
                                <w:sz w:val="22"/>
                                <w:szCs w:val="22"/>
                                <w:lang w:val="sr-Cyrl-RS"/>
                              </w:rPr>
                              <w:t xml:space="preserve"> и људски капацитети за </w:t>
                            </w:r>
                            <w:r w:rsidRPr="008E12BD">
                              <w:rPr>
                                <w:rFonts w:asciiTheme="minorHAnsi" w:eastAsia="Calibri" w:hAnsiTheme="minorHAnsi" w:cstheme="minorHAnsi"/>
                                <w:spacing w:val="-12"/>
                                <w:sz w:val="22"/>
                                <w:szCs w:val="22"/>
                                <w:lang w:val="sr-Cyrl-RS"/>
                              </w:rPr>
                              <w:t>правовремено поступање</w:t>
                            </w:r>
                            <w:r w:rsidRPr="008E12BD">
                              <w:rPr>
                                <w:rFonts w:asciiTheme="minorHAnsi" w:eastAsia="Calibri" w:hAnsiTheme="minorHAnsi" w:cstheme="minorHAnsi"/>
                                <w:sz w:val="22"/>
                                <w:szCs w:val="22"/>
                                <w:lang w:val="sr-Cyrl-RS"/>
                              </w:rPr>
                              <w:t xml:space="preserve"> по захтевима за слободан </w:t>
                            </w:r>
                            <w:r w:rsidRPr="008E12BD">
                              <w:rPr>
                                <w:rFonts w:asciiTheme="minorHAnsi" w:eastAsia="Calibri" w:hAnsiTheme="minorHAnsi" w:cstheme="minorHAnsi"/>
                                <w:spacing w:val="-6"/>
                                <w:sz w:val="22"/>
                                <w:szCs w:val="22"/>
                                <w:lang w:val="sr-Cyrl-RS"/>
                              </w:rPr>
                              <w:t>приступ информацијама</w:t>
                            </w:r>
                            <w:r w:rsidRPr="008E12BD">
                              <w:rPr>
                                <w:rFonts w:asciiTheme="minorHAnsi" w:eastAsia="Calibri" w:hAnsiTheme="minorHAnsi" w:cstheme="minorHAnsi"/>
                                <w:sz w:val="22"/>
                                <w:szCs w:val="22"/>
                                <w:lang w:val="sr-Cyrl-RS"/>
                              </w:rPr>
                              <w:t xml:space="preserve"> од јавног значаја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ACFF19" id="Text Box 485" o:spid="_x0000_s1287" style="position:absolute;margin-left:924.7pt;margin-top:6.75pt;width:168.8pt;height:77.1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" fillcolor="window" strokecolor="#d9e2f3 [660]" strokeweight="1.5pt">
                <v:path arrowok="t"/>
                <v:textbox inset="1mm,0,1mm,0">
                  <w:txbxContent>
                    <w:p w14:paraId="2698DED9" w14:textId="4C16A442" w:rsidR="00876FFE" w:rsidRPr="008E12BD" w:rsidRDefault="00876FFE" w:rsidP="00320156">
                      <w:pPr>
                        <w:pStyle w:val="NormalWeb"/>
                        <w:spacing w:before="0" w:beforeAutospacing="0" w:after="120" w:afterAutospacing="0"/>
                        <w:jc w:val="center"/>
                        <w:rPr>
                          <w:rFonts w:asciiTheme="minorHAnsi" w:hAnsiTheme="minorHAnsi" w:cstheme="minorHAnsi"/>
                          <w:sz w:val="22"/>
                          <w:szCs w:val="22"/>
                          <w:lang w:val="sr-Cyrl-RS"/>
                        </w:rPr>
                      </w:pPr>
                      <w:r w:rsidRPr="008E12BD">
                        <w:rPr>
                          <w:rFonts w:asciiTheme="minorHAnsi" w:eastAsia="Calibri" w:hAnsiTheme="minorHAnsi" w:cstheme="minorHAnsi"/>
                          <w:spacing w:val="-10"/>
                          <w:sz w:val="22"/>
                          <w:szCs w:val="22"/>
                          <w:lang w:val="sr-Cyrl-RS"/>
                        </w:rPr>
                        <w:t xml:space="preserve">Недовољни </w:t>
                      </w:r>
                      <w:r w:rsidRPr="008E12BD">
                        <w:rPr>
                          <w:rFonts w:asciiTheme="minorHAnsi" w:eastAsia="Calibri" w:hAnsiTheme="minorHAnsi" w:cstheme="minorHAnsi"/>
                          <w:spacing w:val="-10"/>
                          <w:sz w:val="22"/>
                          <w:szCs w:val="22"/>
                          <w:lang w:val="sr-Cyrl-RS"/>
                        </w:rPr>
                        <w:t>финансијски</w:t>
                      </w:r>
                      <w:r w:rsidRPr="008E12BD">
                        <w:rPr>
                          <w:rFonts w:asciiTheme="minorHAnsi" w:eastAsia="Calibri" w:hAnsiTheme="minorHAnsi" w:cstheme="minorHAnsi"/>
                          <w:sz w:val="22"/>
                          <w:szCs w:val="22"/>
                          <w:lang w:val="sr-Cyrl-RS"/>
                        </w:rPr>
                        <w:t xml:space="preserve"> и људски капацитети за </w:t>
                      </w:r>
                      <w:r w:rsidRPr="008E12BD">
                        <w:rPr>
                          <w:rFonts w:asciiTheme="minorHAnsi" w:eastAsia="Calibri" w:hAnsiTheme="minorHAnsi" w:cstheme="minorHAnsi"/>
                          <w:spacing w:val="-12"/>
                          <w:sz w:val="22"/>
                          <w:szCs w:val="22"/>
                          <w:lang w:val="sr-Cyrl-RS"/>
                        </w:rPr>
                        <w:t>правовремено поступање</w:t>
                      </w:r>
                      <w:r w:rsidRPr="008E12BD">
                        <w:rPr>
                          <w:rFonts w:asciiTheme="minorHAnsi" w:eastAsia="Calibri" w:hAnsiTheme="minorHAnsi" w:cstheme="minorHAnsi"/>
                          <w:sz w:val="22"/>
                          <w:szCs w:val="22"/>
                          <w:lang w:val="sr-Cyrl-RS"/>
                        </w:rPr>
                        <w:t xml:space="preserve"> по захтевима за слободан </w:t>
                      </w:r>
                      <w:r w:rsidRPr="008E12BD">
                        <w:rPr>
                          <w:rFonts w:asciiTheme="minorHAnsi" w:eastAsia="Calibri" w:hAnsiTheme="minorHAnsi" w:cstheme="minorHAnsi"/>
                          <w:spacing w:val="-6"/>
                          <w:sz w:val="22"/>
                          <w:szCs w:val="22"/>
                          <w:lang w:val="sr-Cyrl-RS"/>
                        </w:rPr>
                        <w:t>приступ информацијама</w:t>
                      </w:r>
                      <w:r w:rsidRPr="008E12BD">
                        <w:rPr>
                          <w:rFonts w:asciiTheme="minorHAnsi" w:eastAsia="Calibri" w:hAnsiTheme="minorHAnsi" w:cstheme="minorHAnsi"/>
                          <w:sz w:val="22"/>
                          <w:szCs w:val="22"/>
                          <w:lang w:val="sr-Cyrl-RS"/>
                        </w:rPr>
                        <w:t xml:space="preserve"> од јавног значаја</w:t>
                      </w:r>
                    </w:p>
                  </w:txbxContent>
                </v:textbox>
              </v:roundrect>
            </w:pict>
          </mc:Fallback>
        </mc:AlternateContent>
      </w:r>
      <w:r w:rsidR="0032015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69664" behindDoc="0" locked="0" layoutInCell="1" allowOverlap="1" wp14:anchorId="101809D8" wp14:editId="26B1B182">
                <wp:simplePos x="0" y="0"/>
                <wp:positionH relativeFrom="column">
                  <wp:posOffset>1555024</wp:posOffset>
                </wp:positionH>
                <wp:positionV relativeFrom="paragraph">
                  <wp:posOffset>108676</wp:posOffset>
                </wp:positionV>
                <wp:extent cx="1843405" cy="990600"/>
                <wp:effectExtent l="0" t="0" r="23495" b="1905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990600"/>
                        </a:xfrm>
                        <a:prstGeom prst="roundRect">
                          <a:avLst/>
                        </a:prstGeom>
                        <a:solidFill>
                          <a:sysClr val="window" lastClr="FFFFFF"/>
                        </a:solidFill>
                        <a:ln w="19050">
                          <a:solidFill>
                            <a:schemeClr val="accent1">
                              <a:lumMod val="20000"/>
                              <a:lumOff val="80000"/>
                            </a:schemeClr>
                          </a:solidFill>
                        </a:ln>
                        <a:effectLst/>
                      </wps:spPr>
                      <wps:txbx>
                        <w:txbxContent>
                          <w:p w14:paraId="712A1C76" w14:textId="7BCDA6C9" w:rsidR="00876FFE" w:rsidRPr="008E12BD" w:rsidRDefault="00876FFE" w:rsidP="00320156">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Смањен демократски капацитет државе и поверење грађана у јавну управу</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1809D8" id="Text Box 488" o:spid="_x0000_s1288" style="position:absolute;margin-left:122.45pt;margin-top:8.55pt;width:145.15pt;height:7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" fillcolor="window" strokecolor="#d9e2f3 [660]" strokeweight="1.5pt">
                <v:path arrowok="t"/>
                <v:textbox inset="1mm,0,1mm,0">
                  <w:txbxContent>
                    <w:p w14:paraId="712A1C76" w14:textId="7BCDA6C9" w:rsidR="00876FFE" w:rsidRPr="008E12BD" w:rsidRDefault="00876FFE" w:rsidP="00320156">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 xml:space="preserve">Смањен </w:t>
                      </w:r>
                      <w:r w:rsidRPr="008E12BD">
                        <w:rPr>
                          <w:rFonts w:asciiTheme="minorHAnsi" w:eastAsia="Calibri" w:hAnsiTheme="minorHAnsi" w:cstheme="minorHAnsi"/>
                          <w:sz w:val="22"/>
                          <w:szCs w:val="22"/>
                          <w:lang w:val="sr-Cyrl-RS"/>
                        </w:rPr>
                        <w:t>демократски капацитет државе и поверење грађана у јавну управу</w:t>
                      </w:r>
                    </w:p>
                  </w:txbxContent>
                </v:textbox>
              </v:roundrect>
            </w:pict>
          </mc:Fallback>
        </mc:AlternateContent>
      </w:r>
      <w:r w:rsidR="0032015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70688" behindDoc="0" locked="0" layoutInCell="1" allowOverlap="1" wp14:anchorId="1EE8432D" wp14:editId="09F39E2C">
                <wp:simplePos x="0" y="0"/>
                <wp:positionH relativeFrom="column">
                  <wp:posOffset>3634105</wp:posOffset>
                </wp:positionH>
                <wp:positionV relativeFrom="paragraph">
                  <wp:posOffset>108585</wp:posOffset>
                </wp:positionV>
                <wp:extent cx="1843405" cy="979170"/>
                <wp:effectExtent l="0" t="0" r="23495" b="1143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979170"/>
                        </a:xfrm>
                        <a:prstGeom prst="roundRect">
                          <a:avLst/>
                        </a:prstGeom>
                        <a:solidFill>
                          <a:sysClr val="window" lastClr="FFFFFF"/>
                        </a:solidFill>
                        <a:ln w="19050">
                          <a:solidFill>
                            <a:schemeClr val="accent1">
                              <a:lumMod val="20000"/>
                              <a:lumOff val="80000"/>
                            </a:schemeClr>
                          </a:solidFill>
                        </a:ln>
                        <a:effectLst/>
                      </wps:spPr>
                      <wps:txbx>
                        <w:txbxContent>
                          <w:p w14:paraId="6D6AF7C5" w14:textId="3386BEAC" w:rsidR="00876FFE" w:rsidRPr="008E12BD" w:rsidRDefault="00876FFE" w:rsidP="00320156">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Неразвијеност механизама за управљање према учинку</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EE8432D" id="Text Box 487" o:spid="_x0000_s1289" style="position:absolute;margin-left:286.15pt;margin-top:8.55pt;width:145.15pt;height:77.1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" fillcolor="window" strokecolor="#d9e2f3 [660]" strokeweight="1.5pt">
                <v:path arrowok="t"/>
                <v:textbox inset="1mm,0,1mm,0">
                  <w:txbxContent>
                    <w:p w14:paraId="6D6AF7C5" w14:textId="3386BEAC" w:rsidR="00876FFE" w:rsidRPr="008E12BD" w:rsidRDefault="00876FFE" w:rsidP="00320156">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 xml:space="preserve">Неразвијеност </w:t>
                      </w:r>
                      <w:r w:rsidRPr="008E12BD">
                        <w:rPr>
                          <w:rFonts w:asciiTheme="minorHAnsi" w:eastAsia="Calibri" w:hAnsiTheme="minorHAnsi" w:cstheme="minorHAnsi"/>
                          <w:sz w:val="22"/>
                          <w:szCs w:val="22"/>
                          <w:lang w:val="sr-Cyrl-RS"/>
                        </w:rPr>
                        <w:t>механизама за управљање према учинку</w:t>
                      </w:r>
                    </w:p>
                  </w:txbxContent>
                </v:textbox>
              </v:roundrect>
            </w:pict>
          </mc:Fallback>
        </mc:AlternateContent>
      </w:r>
      <w:r w:rsidR="0032015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72736" behindDoc="0" locked="0" layoutInCell="1" allowOverlap="1" wp14:anchorId="033A24FE" wp14:editId="6207BE92">
                <wp:simplePos x="0" y="0"/>
                <wp:positionH relativeFrom="column">
                  <wp:posOffset>5702300</wp:posOffset>
                </wp:positionH>
                <wp:positionV relativeFrom="paragraph">
                  <wp:posOffset>108585</wp:posOffset>
                </wp:positionV>
                <wp:extent cx="1843405" cy="935990"/>
                <wp:effectExtent l="0" t="0" r="23495" b="1651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935990"/>
                        </a:xfrm>
                        <a:prstGeom prst="roundRect">
                          <a:avLst/>
                        </a:prstGeom>
                        <a:solidFill>
                          <a:sysClr val="window" lastClr="FFFFFF"/>
                        </a:solidFill>
                        <a:ln w="19050">
                          <a:solidFill>
                            <a:schemeClr val="accent1">
                              <a:lumMod val="20000"/>
                              <a:lumOff val="80000"/>
                            </a:schemeClr>
                          </a:solidFill>
                        </a:ln>
                        <a:effectLst/>
                      </wps:spPr>
                      <wps:txbx>
                        <w:txbxContent>
                          <w:p w14:paraId="46228403" w14:textId="77777777" w:rsidR="00876FFE" w:rsidRPr="008E12BD" w:rsidRDefault="00876FFE" w:rsidP="00CE6AC1">
                            <w:pPr>
                              <w:pStyle w:val="NormalWeb"/>
                              <w:spacing w:before="0" w:beforeAutospacing="0" w:after="120" w:afterAutospacing="0"/>
                              <w:jc w:val="center"/>
                              <w:rPr>
                                <w:rFonts w:asciiTheme="minorHAnsi" w:eastAsia="Calibri" w:hAnsiTheme="minorHAnsi" w:cstheme="minorHAnsi"/>
                                <w:sz w:val="22"/>
                                <w:szCs w:val="22"/>
                                <w:lang w:val="sr-Cyrl-RS"/>
                              </w:rPr>
                            </w:pPr>
                            <w:r>
                              <w:rPr>
                                <w:rFonts w:asciiTheme="minorHAnsi" w:eastAsia="Calibri" w:hAnsiTheme="minorHAnsi" w:cstheme="minorHAnsi"/>
                                <w:sz w:val="22"/>
                                <w:szCs w:val="22"/>
                                <w:lang w:val="sr-Cyrl-RS"/>
                              </w:rPr>
                              <w:t xml:space="preserve">Грађани немају могућност  да </w:t>
                            </w:r>
                            <w:r w:rsidRPr="008E12BD">
                              <w:rPr>
                                <w:rFonts w:asciiTheme="minorHAnsi" w:eastAsia="Calibri" w:hAnsiTheme="minorHAnsi" w:cstheme="minorHAnsi"/>
                                <w:sz w:val="22"/>
                                <w:szCs w:val="22"/>
                                <w:lang w:val="sr-Cyrl-RS"/>
                              </w:rPr>
                              <w:t>пра</w:t>
                            </w:r>
                            <w:r>
                              <w:rPr>
                                <w:rFonts w:asciiTheme="minorHAnsi" w:eastAsia="Calibri" w:hAnsiTheme="minorHAnsi" w:cstheme="minorHAnsi"/>
                                <w:sz w:val="22"/>
                                <w:szCs w:val="22"/>
                                <w:lang w:val="sr-Cyrl-RS"/>
                              </w:rPr>
                              <w:t xml:space="preserve">те </w:t>
                            </w:r>
                            <w:r w:rsidRPr="008E12BD">
                              <w:rPr>
                                <w:rFonts w:asciiTheme="minorHAnsi" w:eastAsia="Calibri" w:hAnsiTheme="minorHAnsi" w:cstheme="minorHAnsi"/>
                                <w:sz w:val="22"/>
                                <w:szCs w:val="22"/>
                                <w:lang w:val="sr-Cyrl-RS"/>
                              </w:rPr>
                              <w:t xml:space="preserve">рад органа јавне управе </w:t>
                            </w:r>
                          </w:p>
                          <w:p w14:paraId="04183DE8" w14:textId="65F01355" w:rsidR="00876FFE" w:rsidRPr="008E12BD" w:rsidRDefault="00876FFE" w:rsidP="00320156">
                            <w:pPr>
                              <w:pStyle w:val="NormalWeb"/>
                              <w:spacing w:before="0" w:beforeAutospacing="0" w:after="120" w:afterAutospacing="0"/>
                              <w:jc w:val="center"/>
                              <w:rPr>
                                <w:rFonts w:asciiTheme="minorHAnsi" w:eastAsia="Calibri" w:hAnsiTheme="minorHAnsi" w:cstheme="minorHAnsi"/>
                                <w:sz w:val="22"/>
                                <w:szCs w:val="22"/>
                                <w:lang w:val="sr-Cyrl-RS"/>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3A24FE" id="Text Box 484" o:spid="_x0000_s1290" style="position:absolute;margin-left:449pt;margin-top:8.55pt;width:145.15pt;height:73.7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" fillcolor="window" strokecolor="#d9e2f3 [660]" strokeweight="1.5pt">
                <v:path arrowok="t"/>
                <v:textbox inset="1mm,0,1mm,0">
                  <w:txbxContent>
                    <w:p w14:paraId="46228403" w14:textId="77777777" w:rsidR="00876FFE" w:rsidRPr="008E12BD" w:rsidRDefault="00876FFE" w:rsidP="00CE6AC1">
                      <w:pPr>
                        <w:pStyle w:val="NormalWeb"/>
                        <w:spacing w:before="0" w:beforeAutospacing="0" w:after="120" w:afterAutospacing="0"/>
                        <w:jc w:val="center"/>
                        <w:rPr>
                          <w:rFonts w:asciiTheme="minorHAnsi" w:eastAsia="Calibri" w:hAnsiTheme="minorHAnsi" w:cstheme="minorHAnsi"/>
                          <w:sz w:val="22"/>
                          <w:szCs w:val="22"/>
                          <w:lang w:val="sr-Cyrl-RS"/>
                        </w:rPr>
                      </w:pPr>
                      <w:r>
                        <w:rPr>
                          <w:rFonts w:asciiTheme="minorHAnsi" w:eastAsia="Calibri" w:hAnsiTheme="minorHAnsi" w:cstheme="minorHAnsi"/>
                          <w:sz w:val="22"/>
                          <w:szCs w:val="22"/>
                          <w:lang w:val="sr-Cyrl-RS"/>
                        </w:rPr>
                        <w:t xml:space="preserve">Грађани </w:t>
                      </w:r>
                      <w:r>
                        <w:rPr>
                          <w:rFonts w:asciiTheme="minorHAnsi" w:eastAsia="Calibri" w:hAnsiTheme="minorHAnsi" w:cstheme="minorHAnsi"/>
                          <w:sz w:val="22"/>
                          <w:szCs w:val="22"/>
                          <w:lang w:val="sr-Cyrl-RS"/>
                        </w:rPr>
                        <w:t xml:space="preserve">немају могућност  да </w:t>
                      </w:r>
                      <w:r w:rsidRPr="008E12BD">
                        <w:rPr>
                          <w:rFonts w:asciiTheme="minorHAnsi" w:eastAsia="Calibri" w:hAnsiTheme="minorHAnsi" w:cstheme="minorHAnsi"/>
                          <w:sz w:val="22"/>
                          <w:szCs w:val="22"/>
                          <w:lang w:val="sr-Cyrl-RS"/>
                        </w:rPr>
                        <w:t>пра</w:t>
                      </w:r>
                      <w:r>
                        <w:rPr>
                          <w:rFonts w:asciiTheme="minorHAnsi" w:eastAsia="Calibri" w:hAnsiTheme="minorHAnsi" w:cstheme="minorHAnsi"/>
                          <w:sz w:val="22"/>
                          <w:szCs w:val="22"/>
                          <w:lang w:val="sr-Cyrl-RS"/>
                        </w:rPr>
                        <w:t xml:space="preserve">те </w:t>
                      </w:r>
                      <w:r w:rsidRPr="008E12BD">
                        <w:rPr>
                          <w:rFonts w:asciiTheme="minorHAnsi" w:eastAsia="Calibri" w:hAnsiTheme="minorHAnsi" w:cstheme="minorHAnsi"/>
                          <w:sz w:val="22"/>
                          <w:szCs w:val="22"/>
                          <w:lang w:val="sr-Cyrl-RS"/>
                        </w:rPr>
                        <w:t xml:space="preserve">рад органа јавне управе </w:t>
                      </w:r>
                    </w:p>
                    <w:p w14:paraId="04183DE8" w14:textId="65F01355" w:rsidR="00876FFE" w:rsidRPr="008E12BD" w:rsidRDefault="00876FFE" w:rsidP="00320156">
                      <w:pPr>
                        <w:pStyle w:val="NormalWeb"/>
                        <w:spacing w:before="0" w:beforeAutospacing="0" w:after="120" w:afterAutospacing="0"/>
                        <w:jc w:val="center"/>
                        <w:rPr>
                          <w:rFonts w:asciiTheme="minorHAnsi" w:eastAsia="Calibri" w:hAnsiTheme="minorHAnsi" w:cstheme="minorHAnsi"/>
                          <w:sz w:val="22"/>
                          <w:szCs w:val="22"/>
                          <w:lang w:val="sr-Cyrl-RS"/>
                        </w:rPr>
                      </w:pPr>
                    </w:p>
                  </w:txbxContent>
                </v:textbox>
              </v:roundrect>
            </w:pict>
          </mc:Fallback>
        </mc:AlternateContent>
      </w:r>
      <w:r w:rsidR="0032015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71712" behindDoc="0" locked="0" layoutInCell="1" allowOverlap="1" wp14:anchorId="095C2109" wp14:editId="5E26D6E8">
                <wp:simplePos x="0" y="0"/>
                <wp:positionH relativeFrom="column">
                  <wp:posOffset>7738110</wp:posOffset>
                </wp:positionH>
                <wp:positionV relativeFrom="paragraph">
                  <wp:posOffset>108585</wp:posOffset>
                </wp:positionV>
                <wp:extent cx="1948180" cy="935990"/>
                <wp:effectExtent l="0" t="0" r="13970" b="1651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935990"/>
                        </a:xfrm>
                        <a:prstGeom prst="roundRect">
                          <a:avLst/>
                        </a:prstGeom>
                        <a:solidFill>
                          <a:sysClr val="window" lastClr="FFFFFF"/>
                        </a:solidFill>
                        <a:ln w="19050">
                          <a:solidFill>
                            <a:schemeClr val="accent1">
                              <a:lumMod val="20000"/>
                              <a:lumOff val="80000"/>
                            </a:schemeClr>
                          </a:solidFill>
                        </a:ln>
                        <a:effectLst/>
                      </wps:spPr>
                      <wps:txbx>
                        <w:txbxContent>
                          <w:p w14:paraId="5D1F6ED5" w14:textId="0B78438E" w:rsidR="00876FFE" w:rsidRPr="008E12BD" w:rsidRDefault="00876FFE" w:rsidP="00320156">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 xml:space="preserve">Смањено поверење </w:t>
                            </w:r>
                            <w:r w:rsidRPr="008E12BD">
                              <w:rPr>
                                <w:rFonts w:asciiTheme="minorHAnsi" w:eastAsia="Calibri" w:hAnsiTheme="minorHAnsi" w:cstheme="minorHAnsi"/>
                                <w:spacing w:val="-14"/>
                                <w:sz w:val="22"/>
                                <w:szCs w:val="22"/>
                                <w:lang w:val="sr-Cyrl-RS"/>
                              </w:rPr>
                              <w:t>грађана у јавну управу</w:t>
                            </w:r>
                            <w:r w:rsidRPr="008E12BD">
                              <w:rPr>
                                <w:rFonts w:asciiTheme="minorHAnsi" w:eastAsia="Calibri" w:hAnsiTheme="minorHAnsi" w:cstheme="minorHAnsi"/>
                                <w:sz w:val="22"/>
                                <w:szCs w:val="22"/>
                                <w:lang w:val="sr-Cyrl-RS"/>
                              </w:rPr>
                              <w:t xml:space="preserve"> </w:t>
                            </w:r>
                            <w:r w:rsidRPr="008E12BD">
                              <w:rPr>
                                <w:rFonts w:asciiTheme="minorHAnsi" w:eastAsia="Calibri" w:hAnsiTheme="minorHAnsi" w:cstheme="minorHAnsi"/>
                                <w:spacing w:val="-18"/>
                                <w:sz w:val="22"/>
                                <w:szCs w:val="22"/>
                                <w:lang w:val="sr-Cyrl-RS"/>
                              </w:rPr>
                              <w:t>у погледу непристрасног</w:t>
                            </w:r>
                            <w:r w:rsidRPr="008E12BD">
                              <w:rPr>
                                <w:rFonts w:asciiTheme="minorHAnsi" w:eastAsia="Calibri" w:hAnsiTheme="minorHAnsi" w:cstheme="minorHAnsi"/>
                                <w:sz w:val="22"/>
                                <w:szCs w:val="22"/>
                                <w:lang w:val="sr-Cyrl-RS"/>
                              </w:rPr>
                              <w:t>, професионалног обављања јавних послова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5C2109" id="Text Box 483" o:spid="_x0000_s1291" style="position:absolute;margin-left:609.3pt;margin-top:8.55pt;width:153.4pt;height:73.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" fillcolor="window" strokecolor="#d9e2f3 [660]" strokeweight="1.5pt">
                <v:path arrowok="t"/>
                <v:textbox inset="1mm,0,1mm,0">
                  <w:txbxContent>
                    <w:p w14:paraId="5D1F6ED5" w14:textId="0B78438E" w:rsidR="00876FFE" w:rsidRPr="008E12BD" w:rsidRDefault="00876FFE" w:rsidP="00320156">
                      <w:pPr>
                        <w:pStyle w:val="NormalWeb"/>
                        <w:spacing w:before="0" w:beforeAutospacing="0" w:after="120" w:afterAutospacing="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 xml:space="preserve">Смањено </w:t>
                      </w:r>
                      <w:r w:rsidRPr="008E12BD">
                        <w:rPr>
                          <w:rFonts w:asciiTheme="minorHAnsi" w:eastAsia="Calibri" w:hAnsiTheme="minorHAnsi" w:cstheme="minorHAnsi"/>
                          <w:sz w:val="22"/>
                          <w:szCs w:val="22"/>
                          <w:lang w:val="sr-Cyrl-RS"/>
                        </w:rPr>
                        <w:t xml:space="preserve">поверење </w:t>
                      </w:r>
                      <w:r w:rsidRPr="008E12BD">
                        <w:rPr>
                          <w:rFonts w:asciiTheme="minorHAnsi" w:eastAsia="Calibri" w:hAnsiTheme="minorHAnsi" w:cstheme="minorHAnsi"/>
                          <w:spacing w:val="-14"/>
                          <w:sz w:val="22"/>
                          <w:szCs w:val="22"/>
                          <w:lang w:val="sr-Cyrl-RS"/>
                        </w:rPr>
                        <w:t>грађана у јавну управу</w:t>
                      </w:r>
                      <w:r w:rsidRPr="008E12BD">
                        <w:rPr>
                          <w:rFonts w:asciiTheme="minorHAnsi" w:eastAsia="Calibri" w:hAnsiTheme="minorHAnsi" w:cstheme="minorHAnsi"/>
                          <w:sz w:val="22"/>
                          <w:szCs w:val="22"/>
                          <w:lang w:val="sr-Cyrl-RS"/>
                        </w:rPr>
                        <w:t xml:space="preserve"> </w:t>
                      </w:r>
                      <w:r w:rsidRPr="008E12BD">
                        <w:rPr>
                          <w:rFonts w:asciiTheme="minorHAnsi" w:eastAsia="Calibri" w:hAnsiTheme="minorHAnsi" w:cstheme="minorHAnsi"/>
                          <w:spacing w:val="-18"/>
                          <w:sz w:val="22"/>
                          <w:szCs w:val="22"/>
                          <w:lang w:val="sr-Cyrl-RS"/>
                        </w:rPr>
                        <w:t>у погледу непристрасног</w:t>
                      </w:r>
                      <w:r w:rsidRPr="008E12BD">
                        <w:rPr>
                          <w:rFonts w:asciiTheme="minorHAnsi" w:eastAsia="Calibri" w:hAnsiTheme="minorHAnsi" w:cstheme="minorHAnsi"/>
                          <w:sz w:val="22"/>
                          <w:szCs w:val="22"/>
                          <w:lang w:val="sr-Cyrl-RS"/>
                        </w:rPr>
                        <w:t>, професионалног обављања јавних послова</w:t>
                      </w:r>
                    </w:p>
                  </w:txbxContent>
                </v:textbox>
              </v:roundrect>
            </w:pict>
          </mc:Fallback>
        </mc:AlternateContent>
      </w:r>
      <w:r w:rsidR="0032015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74784" behindDoc="0" locked="0" layoutInCell="1" allowOverlap="1" wp14:anchorId="258836C7" wp14:editId="130F6364">
                <wp:simplePos x="0" y="0"/>
                <wp:positionH relativeFrom="column">
                  <wp:posOffset>9838690</wp:posOffset>
                </wp:positionH>
                <wp:positionV relativeFrom="paragraph">
                  <wp:posOffset>108585</wp:posOffset>
                </wp:positionV>
                <wp:extent cx="1782445" cy="957580"/>
                <wp:effectExtent l="0" t="0" r="27305" b="1397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2445" cy="957580"/>
                        </a:xfrm>
                        <a:prstGeom prst="roundRect">
                          <a:avLst/>
                        </a:prstGeom>
                        <a:solidFill>
                          <a:sysClr val="window" lastClr="FFFFFF"/>
                        </a:solidFill>
                        <a:ln w="19050">
                          <a:solidFill>
                            <a:schemeClr val="accent1">
                              <a:lumMod val="20000"/>
                              <a:lumOff val="80000"/>
                            </a:schemeClr>
                          </a:solidFill>
                        </a:ln>
                        <a:effectLst/>
                      </wps:spPr>
                      <wps:txbx>
                        <w:txbxContent>
                          <w:p w14:paraId="001DC7B5" w14:textId="21AE23BD" w:rsidR="00876FFE" w:rsidRPr="008E12BD" w:rsidRDefault="00876FFE" w:rsidP="00320156">
                            <w:pPr>
                              <w:pStyle w:val="NormalWeb"/>
                              <w:spacing w:before="0" w:beforeAutospacing="0" w:after="120" w:afterAutospacing="0" w:line="216" w:lineRule="auto"/>
                              <w:ind w:firstLine="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Ћутање управе</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8836C7" id="Text Box 486" o:spid="_x0000_s1292" style="position:absolute;margin-left:774.7pt;margin-top:8.55pt;width:140.35pt;height:75.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" fillcolor="window" strokecolor="#d9e2f3 [660]" strokeweight="1.5pt">
                <v:path arrowok="t"/>
                <v:textbox inset="1mm,0,1mm,0">
                  <w:txbxContent>
                    <w:p w14:paraId="001DC7B5" w14:textId="21AE23BD" w:rsidR="00876FFE" w:rsidRPr="008E12BD" w:rsidRDefault="00876FFE" w:rsidP="00320156">
                      <w:pPr>
                        <w:pStyle w:val="NormalWeb"/>
                        <w:spacing w:before="0" w:beforeAutospacing="0" w:after="120" w:afterAutospacing="0" w:line="216" w:lineRule="auto"/>
                        <w:ind w:firstLine="0"/>
                        <w:jc w:val="center"/>
                        <w:rPr>
                          <w:rFonts w:asciiTheme="minorHAnsi" w:eastAsia="Calibri" w:hAnsiTheme="minorHAnsi" w:cstheme="minorHAnsi"/>
                          <w:sz w:val="22"/>
                          <w:szCs w:val="22"/>
                          <w:lang w:val="sr-Cyrl-RS"/>
                        </w:rPr>
                      </w:pPr>
                      <w:r w:rsidRPr="008E12BD">
                        <w:rPr>
                          <w:rFonts w:asciiTheme="minorHAnsi" w:eastAsia="Calibri" w:hAnsiTheme="minorHAnsi" w:cstheme="minorHAnsi"/>
                          <w:sz w:val="22"/>
                          <w:szCs w:val="22"/>
                          <w:lang w:val="sr-Cyrl-RS"/>
                        </w:rPr>
                        <w:t xml:space="preserve">Ћутање </w:t>
                      </w:r>
                      <w:r w:rsidRPr="008E12BD">
                        <w:rPr>
                          <w:rFonts w:asciiTheme="minorHAnsi" w:eastAsia="Calibri" w:hAnsiTheme="minorHAnsi" w:cstheme="minorHAnsi"/>
                          <w:sz w:val="22"/>
                          <w:szCs w:val="22"/>
                          <w:lang w:val="sr-Cyrl-RS"/>
                        </w:rPr>
                        <w:t>управе</w:t>
                      </w:r>
                    </w:p>
                  </w:txbxContent>
                </v:textbox>
              </v:roundrect>
            </w:pict>
          </mc:Fallback>
        </mc:AlternateContent>
      </w:r>
      <w:r w:rsidR="004627A6" w:rsidRPr="000F0299">
        <w:rPr>
          <w:rFonts w:asciiTheme="minorHAnsi" w:eastAsia="Times New Roman" w:hAnsiTheme="minorHAnsi" w:cstheme="minorBidi"/>
          <w:kern w:val="0"/>
          <w:sz w:val="22"/>
          <w:szCs w:val="22"/>
          <w:lang w:eastAsia="en-US" w:bidi="ar-SA"/>
        </w:rPr>
        <w:tab/>
      </w:r>
    </w:p>
    <w:p w14:paraId="79D582DB" w14:textId="5B8FFB4C" w:rsidR="004627A6" w:rsidRPr="000F0299" w:rsidRDefault="004627A6" w:rsidP="004627A6">
      <w:pPr>
        <w:suppressAutoHyphens w:val="0"/>
        <w:autoSpaceDN/>
        <w:spacing w:before="0" w:after="0"/>
        <w:ind w:firstLine="0"/>
        <w:jc w:val="left"/>
        <w:textAlignment w:val="auto"/>
        <w:rPr>
          <w:rFonts w:asciiTheme="minorHAnsi" w:eastAsia="Times New Roman" w:hAnsiTheme="minorHAnsi" w:cstheme="minorBidi"/>
          <w:kern w:val="0"/>
          <w:sz w:val="22"/>
          <w:szCs w:val="22"/>
          <w:lang w:eastAsia="en-US" w:bidi="ar-SA"/>
        </w:rPr>
      </w:pPr>
    </w:p>
    <w:p w14:paraId="0F0A00E6" w14:textId="406AE7E2" w:rsidR="004627A6" w:rsidRPr="000F0299" w:rsidRDefault="004627A6" w:rsidP="004627A6">
      <w:pPr>
        <w:tabs>
          <w:tab w:val="left" w:pos="2121"/>
        </w:tabs>
        <w:suppressAutoHyphens w:val="0"/>
        <w:autoSpaceDN/>
        <w:spacing w:before="0" w:after="0"/>
        <w:ind w:firstLine="0"/>
        <w:jc w:val="left"/>
        <w:textAlignment w:val="auto"/>
        <w:rPr>
          <w:rFonts w:asciiTheme="minorHAnsi" w:eastAsia="Times New Roman" w:hAnsiTheme="minorHAnsi" w:cstheme="minorBidi"/>
          <w:kern w:val="0"/>
          <w:sz w:val="22"/>
          <w:szCs w:val="22"/>
          <w:lang w:eastAsia="en-US" w:bidi="ar-SA"/>
        </w:rPr>
      </w:pPr>
      <w:r w:rsidRPr="000F0299">
        <w:rPr>
          <w:rFonts w:asciiTheme="minorHAnsi" w:eastAsia="Times New Roman" w:hAnsiTheme="minorHAnsi" w:cstheme="minorBidi"/>
          <w:kern w:val="0"/>
          <w:sz w:val="22"/>
          <w:szCs w:val="22"/>
          <w:lang w:eastAsia="en-US" w:bidi="ar-SA"/>
        </w:rPr>
        <w:tab/>
      </w:r>
    </w:p>
    <w:p w14:paraId="0DD13C6B" w14:textId="77777777" w:rsidR="004627A6" w:rsidRPr="000F0299" w:rsidRDefault="004627A6" w:rsidP="004627A6">
      <w:pPr>
        <w:keepNext/>
        <w:suppressAutoHyphens w:val="0"/>
        <w:autoSpaceDN/>
        <w:spacing w:before="0" w:after="160" w:line="259" w:lineRule="auto"/>
        <w:ind w:firstLine="0"/>
        <w:jc w:val="center"/>
        <w:textAlignment w:val="auto"/>
        <w:rPr>
          <w:rFonts w:eastAsiaTheme="minorHAnsi" w:cstheme="minorBidi"/>
          <w:i/>
          <w:iCs/>
          <w:kern w:val="0"/>
          <w:sz w:val="18"/>
          <w:szCs w:val="18"/>
          <w:lang w:eastAsia="en-US" w:bidi="ar-SA"/>
        </w:rPr>
      </w:pPr>
    </w:p>
    <w:p w14:paraId="2F078593" w14:textId="77777777" w:rsidR="004627A6" w:rsidRPr="000F0299" w:rsidRDefault="004627A6"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p>
    <w:p w14:paraId="4E9C34CA" w14:textId="4A73D99F" w:rsidR="004627A6" w:rsidRPr="000F0299" w:rsidRDefault="00320156"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28704" behindDoc="1" locked="0" layoutInCell="1" allowOverlap="1" wp14:anchorId="53557E75" wp14:editId="5064B663">
                <wp:simplePos x="0" y="0"/>
                <wp:positionH relativeFrom="column">
                  <wp:posOffset>-502376</wp:posOffset>
                </wp:positionH>
                <wp:positionV relativeFrom="paragraph">
                  <wp:posOffset>264341</wp:posOffset>
                </wp:positionV>
                <wp:extent cx="14423572" cy="567055"/>
                <wp:effectExtent l="0" t="0" r="16510" b="23495"/>
                <wp:wrapNone/>
                <wp:docPr id="482" name="Rounded 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23572" cy="567055"/>
                        </a:xfrm>
                        <a:prstGeom prst="roundRect">
                          <a:avLst/>
                        </a:prstGeom>
                        <a:solidFill>
                          <a:srgbClr val="CCD7EA"/>
                        </a:solidFill>
                        <a:ln w="12700" cap="flat" cmpd="sng" algn="ctr">
                          <a:solidFill>
                            <a:srgbClr val="CCD7EA"/>
                          </a:solidFill>
                          <a:prstDash val="solid"/>
                          <a:miter lim="800000"/>
                        </a:ln>
                        <a:effectLst/>
                      </wps:spPr>
                      <wps:txbx>
                        <w:txbxContent>
                          <w:p w14:paraId="623EB3CA" w14:textId="77777777" w:rsidR="00876FFE" w:rsidRPr="00386684" w:rsidRDefault="00876FFE" w:rsidP="004627A6">
                            <w:pPr>
                              <w:jc w:val="center"/>
                              <w:rPr>
                                <w:rFonts w:asciiTheme="minorHAnsi" w:hAnsiTheme="minorHAnsi" w:cstheme="minorHAnsi"/>
                                <w:b/>
                                <w:color w:val="FFFFFF"/>
                                <w:sz w:val="44"/>
                                <w:szCs w:val="44"/>
                              </w:rPr>
                            </w:pPr>
                            <w:r w:rsidRPr="00386684">
                              <w:rPr>
                                <w:rFonts w:asciiTheme="minorHAnsi" w:hAnsiTheme="minorHAnsi" w:cstheme="minorHAnsi"/>
                                <w:b/>
                                <w:color w:val="FFFFFF"/>
                                <w:sz w:val="44"/>
                                <w:szCs w:val="44"/>
                              </w:rPr>
                              <w:t>НЕДОВОЉНО РАЗВИЈЕНЕ ОДГОВОРНОСТ И ТРАНСПАРЕНТНОСТ НА СВИМ НИВОИМА ВЛАСТИ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557E75" id="Rounded Rectangle 482" o:spid="_x0000_s1293" style="position:absolute;margin-left:-39.55pt;margin-top:20.8pt;width:1135.7pt;height:44.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" fillcolor="#ccd7ea" strokecolor="#ccd7ea" strokeweight="1pt">
                <v:stroke joinstyle="miter"/>
                <v:path arrowok="t"/>
                <v:textbox>
                  <w:txbxContent>
                    <w:p w14:paraId="623EB3CA" w14:textId="77777777" w:rsidR="00876FFE" w:rsidRPr="00386684" w:rsidRDefault="00876FFE" w:rsidP="004627A6">
                      <w:pPr>
                        <w:jc w:val="center"/>
                        <w:rPr>
                          <w:rFonts w:asciiTheme="minorHAnsi" w:hAnsiTheme="minorHAnsi" w:cstheme="minorHAnsi"/>
                          <w:b/>
                          <w:color w:val="FFFFFF"/>
                          <w:sz w:val="44"/>
                          <w:szCs w:val="44"/>
                        </w:rPr>
                      </w:pPr>
                      <w:r w:rsidRPr="00386684">
                        <w:rPr>
                          <w:rFonts w:asciiTheme="minorHAnsi" w:hAnsiTheme="minorHAnsi" w:cstheme="minorHAnsi"/>
                          <w:b/>
                          <w:color w:val="FFFFFF"/>
                          <w:sz w:val="44"/>
                          <w:szCs w:val="44"/>
                        </w:rPr>
                        <w:t xml:space="preserve">НЕДОВОЉНО </w:t>
                      </w:r>
                      <w:r w:rsidRPr="00386684">
                        <w:rPr>
                          <w:rFonts w:asciiTheme="minorHAnsi" w:hAnsiTheme="minorHAnsi" w:cstheme="minorHAnsi"/>
                          <w:b/>
                          <w:color w:val="FFFFFF"/>
                          <w:sz w:val="44"/>
                          <w:szCs w:val="44"/>
                        </w:rPr>
                        <w:t>РАЗВИЈЕНЕ ОДГОВОРНОСТ И ТРАНСПАРЕНТНОСТ НА СВИМ НИВОИМА ВЛАСТИ</w:t>
                      </w:r>
                    </w:p>
                  </w:txbxContent>
                </v:textbox>
              </v:roundrect>
            </w:pict>
          </mc:Fallback>
        </mc:AlternateContent>
      </w: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44064" behindDoc="0" locked="0" layoutInCell="1" allowOverlap="1" wp14:anchorId="22C82794" wp14:editId="42B5E39C">
                <wp:simplePos x="0" y="0"/>
                <wp:positionH relativeFrom="column">
                  <wp:posOffset>422910</wp:posOffset>
                </wp:positionH>
                <wp:positionV relativeFrom="paragraph">
                  <wp:posOffset>35560</wp:posOffset>
                </wp:positionV>
                <wp:extent cx="0" cy="231775"/>
                <wp:effectExtent l="95250" t="0" r="57150" b="53975"/>
                <wp:wrapNone/>
                <wp:docPr id="481" name="Straight Arrow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3BDE0B" id="Straight Arrow Connector 481" o:spid="_x0000_s1026" type="#_x0000_t32" style="position:absolute;margin-left:33.3pt;margin-top:2.8pt;width:0;height:18.25pt;z-index:251544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" strokecolor="#d9e2f3 [660]" strokeweight="2.25pt">
                <v:stroke endarrow="block" joinstyle="miter"/>
                <o:lock v:ext="edit" shapetype="f"/>
              </v:shape>
            </w:pict>
          </mc:Fallback>
        </mc:AlternateContent>
      </w: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45088" behindDoc="0" locked="0" layoutInCell="1" allowOverlap="1" wp14:anchorId="0698C01B" wp14:editId="56E9A3DF">
                <wp:simplePos x="0" y="0"/>
                <wp:positionH relativeFrom="column">
                  <wp:posOffset>12843510</wp:posOffset>
                </wp:positionH>
                <wp:positionV relativeFrom="paragraph">
                  <wp:posOffset>35560</wp:posOffset>
                </wp:positionV>
                <wp:extent cx="0" cy="231775"/>
                <wp:effectExtent l="95250" t="0" r="57150" b="53975"/>
                <wp:wrapNone/>
                <wp:docPr id="480" name="Straight Arrow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4F34D" id="Straight Arrow Connector 480" o:spid="_x0000_s1026" type="#_x0000_t32" style="position:absolute;margin-left:1011.3pt;margin-top:2.8pt;width:0;height:18.25pt;z-index:251545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" strokecolor="#d9e2f3 [660]" strokeweight="2.25pt">
                <v:stroke endarrow="block" joinstyle="miter"/>
                <o:lock v:ext="edit" shapetype="f"/>
              </v:shape>
            </w:pict>
          </mc:Fallback>
        </mc:AlternateContent>
      </w: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46112" behindDoc="0" locked="0" layoutInCell="1" allowOverlap="1" wp14:anchorId="4B2DDFC4" wp14:editId="5C4097CC">
                <wp:simplePos x="0" y="0"/>
                <wp:positionH relativeFrom="column">
                  <wp:posOffset>2491105</wp:posOffset>
                </wp:positionH>
                <wp:positionV relativeFrom="paragraph">
                  <wp:posOffset>35560</wp:posOffset>
                </wp:positionV>
                <wp:extent cx="0" cy="231775"/>
                <wp:effectExtent l="95250" t="0" r="57150" b="53975"/>
                <wp:wrapNone/>
                <wp:docPr id="479" name="Straight Arrow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495C61" id="Straight Arrow Connector 479" o:spid="_x0000_s1026" type="#_x0000_t32" style="position:absolute;margin-left:196.15pt;margin-top:2.8pt;width:0;height:18.25pt;z-index:251546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" strokecolor="#d9e2f3 [660]" strokeweight="2.25pt">
                <v:stroke endarrow="block" joinstyle="miter"/>
                <o:lock v:ext="edit" shapetype="f"/>
              </v:shape>
            </w:pict>
          </mc:Fallback>
        </mc:AlternateContent>
      </w: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47136" behindDoc="0" locked="0" layoutInCell="1" allowOverlap="1" wp14:anchorId="6E01FA5D" wp14:editId="350C5BA1">
                <wp:simplePos x="0" y="0"/>
                <wp:positionH relativeFrom="column">
                  <wp:posOffset>4570095</wp:posOffset>
                </wp:positionH>
                <wp:positionV relativeFrom="paragraph">
                  <wp:posOffset>35560</wp:posOffset>
                </wp:positionV>
                <wp:extent cx="0" cy="231775"/>
                <wp:effectExtent l="95250" t="0" r="57150" b="53975"/>
                <wp:wrapNone/>
                <wp:docPr id="478" name="Straight Arrow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9F79DB" id="Straight Arrow Connector 478" o:spid="_x0000_s1026" type="#_x0000_t32" style="position:absolute;margin-left:359.85pt;margin-top:2.8pt;width:0;height:18.25pt;z-index:251547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" strokecolor="#d9e2f3 [660]" strokeweight="2.25pt">
                <v:stroke endarrow="block" joinstyle="miter"/>
                <o:lock v:ext="edit" shapetype="f"/>
              </v:shape>
            </w:pict>
          </mc:Fallback>
        </mc:AlternateContent>
      </w: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48160" behindDoc="0" locked="0" layoutInCell="1" allowOverlap="1" wp14:anchorId="45A72033" wp14:editId="36240642">
                <wp:simplePos x="0" y="0"/>
                <wp:positionH relativeFrom="column">
                  <wp:posOffset>6638290</wp:posOffset>
                </wp:positionH>
                <wp:positionV relativeFrom="paragraph">
                  <wp:posOffset>35560</wp:posOffset>
                </wp:positionV>
                <wp:extent cx="0" cy="231775"/>
                <wp:effectExtent l="95250" t="0" r="57150" b="5397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AC8A7" id="Straight Arrow Connector 147" o:spid="_x0000_s1026" type="#_x0000_t32" style="position:absolute;margin-left:522.7pt;margin-top:2.8pt;width:0;height:18.25pt;z-index:251548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" strokecolor="#d9e2f3 [660]" strokeweight="2.25pt">
                <v:stroke endarrow="block" joinstyle="miter"/>
                <o:lock v:ext="edit" shapetype="f"/>
              </v:shape>
            </w:pict>
          </mc:Fallback>
        </mc:AlternateContent>
      </w: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49184" behindDoc="0" locked="0" layoutInCell="1" allowOverlap="1" wp14:anchorId="32E00275" wp14:editId="1F10D27E">
                <wp:simplePos x="0" y="0"/>
                <wp:positionH relativeFrom="column">
                  <wp:posOffset>8706485</wp:posOffset>
                </wp:positionH>
                <wp:positionV relativeFrom="paragraph">
                  <wp:posOffset>35560</wp:posOffset>
                </wp:positionV>
                <wp:extent cx="0" cy="231775"/>
                <wp:effectExtent l="95250" t="0" r="57150" b="53975"/>
                <wp:wrapNone/>
                <wp:docPr id="477" name="Straight Arrow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6B94E0" id="Straight Arrow Connector 477" o:spid="_x0000_s1026" type="#_x0000_t32" style="position:absolute;margin-left:685.55pt;margin-top:2.8pt;width:0;height:18.25pt;z-index:251549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" strokecolor="#d9e2f3 [660]" strokeweight="2.25pt">
                <v:stroke endarrow="block" joinstyle="miter"/>
                <o:lock v:ext="edit" shapetype="f"/>
              </v:shape>
            </w:pict>
          </mc:Fallback>
        </mc:AlternateContent>
      </w: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50208" behindDoc="0" locked="0" layoutInCell="1" allowOverlap="1" wp14:anchorId="4DC7B488" wp14:editId="6367EE4F">
                <wp:simplePos x="0" y="0"/>
                <wp:positionH relativeFrom="column">
                  <wp:posOffset>10774680</wp:posOffset>
                </wp:positionH>
                <wp:positionV relativeFrom="paragraph">
                  <wp:posOffset>35560</wp:posOffset>
                </wp:positionV>
                <wp:extent cx="0" cy="231775"/>
                <wp:effectExtent l="95250" t="0" r="57150" b="53975"/>
                <wp:wrapNone/>
                <wp:docPr id="476" name="Straight Arrow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0CB736" id="Straight Arrow Connector 476" o:spid="_x0000_s1026" type="#_x0000_t32" style="position:absolute;margin-left:848.4pt;margin-top:2.8pt;width:0;height:18.25pt;z-index:251550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" strokecolor="#d9e2f3 [660]" strokeweight="2.25pt">
                <v:stroke endarrow="block" joinstyle="miter"/>
                <o:lock v:ext="edit" shapetype="f"/>
              </v:shape>
            </w:pict>
          </mc:Fallback>
        </mc:AlternateContent>
      </w:r>
    </w:p>
    <w:p w14:paraId="59A201CC" w14:textId="71F31203" w:rsidR="004627A6" w:rsidRPr="000F0299" w:rsidRDefault="004627A6"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p>
    <w:p w14:paraId="372BD5D6" w14:textId="65112819" w:rsidR="004627A6" w:rsidRPr="000F0299" w:rsidRDefault="004627A6"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p>
    <w:p w14:paraId="27B74DB5" w14:textId="11B8054E" w:rsidR="004627A6" w:rsidRPr="000F0299" w:rsidRDefault="005B1C27"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315712" behindDoc="0" locked="0" layoutInCell="1" allowOverlap="1" wp14:anchorId="393687DA" wp14:editId="252E31EE">
                <wp:simplePos x="0" y="0"/>
                <wp:positionH relativeFrom="column">
                  <wp:posOffset>5473700</wp:posOffset>
                </wp:positionH>
                <wp:positionV relativeFrom="paragraph">
                  <wp:posOffset>83276</wp:posOffset>
                </wp:positionV>
                <wp:extent cx="0" cy="5147945"/>
                <wp:effectExtent l="57150" t="38100" r="57150" b="14605"/>
                <wp:wrapNone/>
                <wp:docPr id="441" name="Straight Arrow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5147945"/>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059629" id="Straight Arrow Connector 441" o:spid="_x0000_s1026" type="#_x0000_t32" style="position:absolute;margin-left:431pt;margin-top:6.55pt;width:0;height:405.35pt;flip:x y;z-index:251315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" strokecolor="#d9e2f3 [660]" strokeweight="2.25pt">
                <v:stroke endarrow="block" joinstyle="miter"/>
                <o:lock v:ext="edit" shapetype="f"/>
              </v:shape>
            </w:pict>
          </mc:Fallback>
        </mc:AlternateContent>
      </w: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40992" behindDoc="0" locked="0" layoutInCell="1" allowOverlap="1" wp14:anchorId="194FE50F" wp14:editId="783E3A25">
                <wp:simplePos x="0" y="0"/>
                <wp:positionH relativeFrom="column">
                  <wp:posOffset>3056890</wp:posOffset>
                </wp:positionH>
                <wp:positionV relativeFrom="paragraph">
                  <wp:posOffset>83276</wp:posOffset>
                </wp:positionV>
                <wp:extent cx="0" cy="231775"/>
                <wp:effectExtent l="57150" t="38100" r="57150" b="15875"/>
                <wp:wrapNone/>
                <wp:docPr id="451" name="Straight Arrow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775"/>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10A447" id="Straight Arrow Connector 451" o:spid="_x0000_s1026" type="#_x0000_t32" style="position:absolute;margin-left:240.7pt;margin-top:6.55pt;width:0;height:18.25pt;flip:y;z-index:251540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" strokecolor="#d9e2f3 [660]" strokeweight="2.25pt">
                <v:stroke endarrow="block" joinstyle="miter"/>
                <o:lock v:ext="edit" shapetype="f"/>
              </v:shape>
            </w:pict>
          </mc:Fallback>
        </mc:AlternateContent>
      </w: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38944" behindDoc="0" locked="0" layoutInCell="1" allowOverlap="1" wp14:anchorId="59A5C838" wp14:editId="0649909C">
                <wp:simplePos x="0" y="0"/>
                <wp:positionH relativeFrom="column">
                  <wp:posOffset>640080</wp:posOffset>
                </wp:positionH>
                <wp:positionV relativeFrom="paragraph">
                  <wp:posOffset>72481</wp:posOffset>
                </wp:positionV>
                <wp:extent cx="0" cy="231775"/>
                <wp:effectExtent l="57150" t="38100" r="57150" b="15875"/>
                <wp:wrapNone/>
                <wp:docPr id="450" name="Straight Arrow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775"/>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63AA26" id="Straight Arrow Connector 450" o:spid="_x0000_s1026" type="#_x0000_t32" style="position:absolute;margin-left:50.4pt;margin-top:5.7pt;width:0;height:18.25pt;flip:y;z-index:25153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" strokecolor="#d9e2f3 [660]" strokeweight="2.25pt">
                <v:stroke endarrow="block" joinstyle="miter"/>
                <o:lock v:ext="edit" shapetype="f"/>
              </v:shape>
            </w:pict>
          </mc:Fallback>
        </mc:AlternateContent>
      </w: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42016" behindDoc="0" locked="0" layoutInCell="1" allowOverlap="1" wp14:anchorId="14ED2382" wp14:editId="4F3D6B31">
                <wp:simplePos x="0" y="0"/>
                <wp:positionH relativeFrom="column">
                  <wp:posOffset>7879080</wp:posOffset>
                </wp:positionH>
                <wp:positionV relativeFrom="paragraph">
                  <wp:posOffset>72481</wp:posOffset>
                </wp:positionV>
                <wp:extent cx="0" cy="231775"/>
                <wp:effectExtent l="57150" t="38100" r="57150" b="15875"/>
                <wp:wrapNone/>
                <wp:docPr id="449" name="Straight Arrow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775"/>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022C4" id="Straight Arrow Connector 449" o:spid="_x0000_s1026" type="#_x0000_t32" style="position:absolute;margin-left:620.4pt;margin-top:5.7pt;width:0;height:18.25pt;flip:y;z-index:251542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" strokecolor="#d9e2f3 [660]" strokeweight="2.25pt">
                <v:stroke endarrow="block" joinstyle="miter"/>
                <o:lock v:ext="edit" shapetype="f"/>
              </v:shape>
            </w:pict>
          </mc:Fallback>
        </mc:AlternateContent>
      </w:r>
      <w:r w:rsidR="002618EB"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37920" behindDoc="0" locked="0" layoutInCell="1" allowOverlap="1" wp14:anchorId="7A8EB745" wp14:editId="02460B53">
                <wp:simplePos x="0" y="0"/>
                <wp:positionH relativeFrom="column">
                  <wp:posOffset>12658453</wp:posOffset>
                </wp:positionH>
                <wp:positionV relativeFrom="paragraph">
                  <wp:posOffset>2816134</wp:posOffset>
                </wp:positionV>
                <wp:extent cx="0" cy="231140"/>
                <wp:effectExtent l="57150" t="38100" r="57150" b="16510"/>
                <wp:wrapNone/>
                <wp:docPr id="445" name="Straight Arrow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140"/>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F5B599" id="Straight Arrow Connector 445" o:spid="_x0000_s1026" type="#_x0000_t32" style="position:absolute;margin-left:996.75pt;margin-top:221.75pt;width:0;height:18.2pt;flip:y;z-index:251537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" strokecolor="#d9e2f3 [660]" strokeweight="2.25pt">
                <v:stroke endarrow="block" joinstyle="miter"/>
                <o:lock v:ext="edit" shapetype="f"/>
              </v:shape>
            </w:pict>
          </mc:Fallback>
        </mc:AlternateContent>
      </w:r>
      <w:r w:rsidR="002618EB"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96288" behindDoc="0" locked="0" layoutInCell="1" allowOverlap="1" wp14:anchorId="0AF1E3D1" wp14:editId="542D1E6E">
                <wp:simplePos x="0" y="0"/>
                <wp:positionH relativeFrom="column">
                  <wp:posOffset>11602085</wp:posOffset>
                </wp:positionH>
                <wp:positionV relativeFrom="paragraph">
                  <wp:posOffset>1874520</wp:posOffset>
                </wp:positionV>
                <wp:extent cx="2209800" cy="963295"/>
                <wp:effectExtent l="0" t="0" r="19050" b="27305"/>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963295"/>
                        </a:xfrm>
                        <a:prstGeom prst="roundRect">
                          <a:avLst/>
                        </a:prstGeom>
                        <a:solidFill>
                          <a:sysClr val="window" lastClr="FFFFFF"/>
                        </a:solidFill>
                        <a:ln w="19050">
                          <a:solidFill>
                            <a:srgbClr val="CCD7EA"/>
                          </a:solidFill>
                        </a:ln>
                        <a:effectLst/>
                      </wps:spPr>
                      <wps:txbx>
                        <w:txbxContent>
                          <w:p w14:paraId="431A1A86" w14:textId="6B32B982" w:rsidR="00876FFE" w:rsidRPr="008E12BD" w:rsidRDefault="00876FFE" w:rsidP="002618EB">
                            <w:pPr>
                              <w:pStyle w:val="NormalWeb"/>
                              <w:spacing w:before="0" w:beforeAutospacing="0" w:after="12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Одсуство системског праћења поступања органа по препорукама/одлукама </w:t>
                            </w:r>
                            <w:r w:rsidRPr="008E12BD">
                              <w:rPr>
                                <w:rFonts w:asciiTheme="minorHAnsi" w:eastAsia="Calibri" w:hAnsiTheme="minorHAnsi" w:cstheme="minorHAnsi"/>
                                <w:sz w:val="22"/>
                                <w:szCs w:val="22"/>
                                <w:lang w:val="sr-Cyrl-RS"/>
                              </w:rPr>
                              <w:br/>
                              <w:t>независних тела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AF1E3D1" id="Text Box 446" o:spid="_x0000_s1294" style="position:absolute;margin-left:913.55pt;margin-top:147.6pt;width:174pt;height:75.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" fillcolor="window" strokecolor="#ccd7ea" strokeweight="1.5pt">
                <v:path arrowok="t"/>
                <v:textbox inset="1mm,0,1mm,0">
                  <w:txbxContent>
                    <w:p w14:paraId="431A1A86" w14:textId="6B32B982" w:rsidR="00876FFE" w:rsidRPr="008E12BD" w:rsidRDefault="00876FFE" w:rsidP="002618EB">
                      <w:pPr>
                        <w:pStyle w:val="NormalWeb"/>
                        <w:spacing w:before="0" w:beforeAutospacing="0" w:after="12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Одсуство </w:t>
                      </w:r>
                      <w:r w:rsidRPr="008E12BD">
                        <w:rPr>
                          <w:rFonts w:asciiTheme="minorHAnsi" w:eastAsia="Calibri" w:hAnsiTheme="minorHAnsi" w:cstheme="minorHAnsi"/>
                          <w:sz w:val="22"/>
                          <w:szCs w:val="22"/>
                          <w:lang w:val="sr-Cyrl-RS"/>
                        </w:rPr>
                        <w:t xml:space="preserve">системског праћења поступања органа по препорукама/одлукама </w:t>
                      </w:r>
                      <w:r w:rsidRPr="008E12BD">
                        <w:rPr>
                          <w:rFonts w:asciiTheme="minorHAnsi" w:eastAsia="Calibri" w:hAnsiTheme="minorHAnsi" w:cstheme="minorHAnsi"/>
                          <w:sz w:val="22"/>
                          <w:szCs w:val="22"/>
                          <w:lang w:val="sr-Cyrl-RS"/>
                        </w:rPr>
                        <w:br/>
                        <w:t>независних тела</w:t>
                      </w:r>
                    </w:p>
                  </w:txbxContent>
                </v:textbox>
              </v:roundrect>
            </w:pict>
          </mc:Fallback>
        </mc:AlternateContent>
      </w:r>
      <w:r w:rsidR="002618EB"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39968" behindDoc="0" locked="0" layoutInCell="1" allowOverlap="1" wp14:anchorId="0AAE005D" wp14:editId="61F55367">
                <wp:simplePos x="0" y="0"/>
                <wp:positionH relativeFrom="column">
                  <wp:posOffset>12701905</wp:posOffset>
                </wp:positionH>
                <wp:positionV relativeFrom="paragraph">
                  <wp:posOffset>83820</wp:posOffset>
                </wp:positionV>
                <wp:extent cx="0" cy="231775"/>
                <wp:effectExtent l="57150" t="38100" r="57150" b="15875"/>
                <wp:wrapNone/>
                <wp:docPr id="447" name="Straight Arrow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775"/>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BB2D49" id="Straight Arrow Connector 447" o:spid="_x0000_s1026" type="#_x0000_t32" style="position:absolute;margin-left:1000.15pt;margin-top:6.6pt;width:0;height:18.25pt;flip:y;z-index:251539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" strokecolor="#d9e2f3 [660]" strokeweight="2.25pt">
                <v:stroke endarrow="block" joinstyle="miter"/>
                <o:lock v:ext="edit" shapetype="f"/>
              </v:shape>
            </w:pict>
          </mc:Fallback>
        </mc:AlternateContent>
      </w:r>
      <w:r w:rsidR="002618EB"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95264" behindDoc="0" locked="0" layoutInCell="1" allowOverlap="1" wp14:anchorId="42A1D262" wp14:editId="1B8D876A">
                <wp:simplePos x="0" y="0"/>
                <wp:positionH relativeFrom="column">
                  <wp:posOffset>11621135</wp:posOffset>
                </wp:positionH>
                <wp:positionV relativeFrom="paragraph">
                  <wp:posOffset>325755</wp:posOffset>
                </wp:positionV>
                <wp:extent cx="2194560" cy="1316990"/>
                <wp:effectExtent l="19050" t="19050" r="15240" b="1651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1316990"/>
                        </a:xfrm>
                        <a:prstGeom prst="roundRect">
                          <a:avLst/>
                        </a:prstGeom>
                        <a:solidFill>
                          <a:sysClr val="window" lastClr="FFFFFF"/>
                        </a:solidFill>
                        <a:ln w="38100" cmpd="dbl">
                          <a:solidFill>
                            <a:schemeClr val="accent1">
                              <a:lumMod val="40000"/>
                              <a:lumOff val="60000"/>
                            </a:schemeClr>
                          </a:solidFill>
                        </a:ln>
                        <a:effectLst/>
                      </wps:spPr>
                      <wps:txbx>
                        <w:txbxContent>
                          <w:p w14:paraId="3E306926" w14:textId="67BD7B5E" w:rsidR="00876FFE" w:rsidRPr="001B2E03" w:rsidRDefault="00876FFE" w:rsidP="002618EB">
                            <w:pPr>
                              <w:pStyle w:val="NormalWeb"/>
                              <w:spacing w:before="0" w:beforeAutospacing="0" w:after="120" w:afterAutospacing="0"/>
                              <w:jc w:val="center"/>
                              <w:rPr>
                                <w:rFonts w:asciiTheme="minorHAns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Незадовољавајући ниво </w:t>
                            </w:r>
                            <w:r w:rsidRPr="001B2E03">
                              <w:rPr>
                                <w:rFonts w:asciiTheme="minorHAnsi" w:eastAsia="Calibri" w:hAnsiTheme="minorHAnsi" w:cstheme="minorHAnsi"/>
                                <w:b/>
                                <w:sz w:val="22"/>
                                <w:szCs w:val="22"/>
                                <w:lang w:val="sr-Cyrl-RS"/>
                              </w:rPr>
                              <w:t>проактивног објављивања података</w:t>
                            </w:r>
                            <w:r w:rsidRPr="001B2E03">
                              <w:rPr>
                                <w:rFonts w:asciiTheme="minorHAnsi" w:eastAsia="Calibri" w:hAnsiTheme="minorHAnsi" w:cstheme="minorHAnsi"/>
                                <w:sz w:val="22"/>
                                <w:szCs w:val="22"/>
                                <w:lang w:val="sr-Cyrl-RS"/>
                              </w:rPr>
                              <w:t xml:space="preserve"> у поседу органа </w:t>
                            </w:r>
                            <w:r w:rsidRPr="001B2E03">
                              <w:rPr>
                                <w:rFonts w:asciiTheme="minorHAnsi" w:eastAsia="Calibri" w:hAnsiTheme="minorHAnsi" w:cstheme="minorHAnsi"/>
                                <w:sz w:val="22"/>
                                <w:szCs w:val="22"/>
                                <w:lang w:val="sr-Cyrl-RS"/>
                              </w:rPr>
                              <w:br/>
                              <w:t>јавне управе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A1D262" id="Text Box 472" o:spid="_x0000_s1295" style="position:absolute;margin-left:915.05pt;margin-top:25.65pt;width:172.8pt;height:103.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" fillcolor="window" strokecolor="#b4c6e7 [1300]" strokeweight="3pt">
                <v:stroke linestyle="thinThin"/>
                <v:path arrowok="t"/>
                <v:textbox inset="0,0,0,0">
                  <w:txbxContent>
                    <w:p w14:paraId="3E306926" w14:textId="67BD7B5E" w:rsidR="00876FFE" w:rsidRPr="001B2E03" w:rsidRDefault="00876FFE" w:rsidP="002618EB">
                      <w:pPr>
                        <w:pStyle w:val="NormalWeb"/>
                        <w:spacing w:before="0" w:beforeAutospacing="0" w:after="120" w:afterAutospacing="0"/>
                        <w:jc w:val="center"/>
                        <w:rPr>
                          <w:rFonts w:asciiTheme="minorHAns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Незадовољавајући </w:t>
                      </w:r>
                      <w:r w:rsidRPr="001B2E03">
                        <w:rPr>
                          <w:rFonts w:asciiTheme="minorHAnsi" w:eastAsia="Calibri" w:hAnsiTheme="minorHAnsi" w:cstheme="minorHAnsi"/>
                          <w:sz w:val="22"/>
                          <w:szCs w:val="22"/>
                          <w:lang w:val="sr-Cyrl-RS"/>
                        </w:rPr>
                        <w:t xml:space="preserve">ниво </w:t>
                      </w:r>
                      <w:r w:rsidRPr="001B2E03">
                        <w:rPr>
                          <w:rFonts w:asciiTheme="minorHAnsi" w:eastAsia="Calibri" w:hAnsiTheme="minorHAnsi" w:cstheme="minorHAnsi"/>
                          <w:b/>
                          <w:sz w:val="22"/>
                          <w:szCs w:val="22"/>
                          <w:lang w:val="sr-Cyrl-RS"/>
                        </w:rPr>
                        <w:t>проактивног објављивања података</w:t>
                      </w:r>
                      <w:r w:rsidRPr="001B2E03">
                        <w:rPr>
                          <w:rFonts w:asciiTheme="minorHAnsi" w:eastAsia="Calibri" w:hAnsiTheme="minorHAnsi" w:cstheme="minorHAnsi"/>
                          <w:sz w:val="22"/>
                          <w:szCs w:val="22"/>
                          <w:lang w:val="sr-Cyrl-RS"/>
                        </w:rPr>
                        <w:t xml:space="preserve"> у поседу органа </w:t>
                      </w:r>
                      <w:r w:rsidRPr="001B2E03">
                        <w:rPr>
                          <w:rFonts w:asciiTheme="minorHAnsi" w:eastAsia="Calibri" w:hAnsiTheme="minorHAnsi" w:cstheme="minorHAnsi"/>
                          <w:sz w:val="22"/>
                          <w:szCs w:val="22"/>
                          <w:lang w:val="sr-Cyrl-RS"/>
                        </w:rPr>
                        <w:br/>
                        <w:t>јавне управе</w:t>
                      </w:r>
                    </w:p>
                  </w:txbxContent>
                </v:textbox>
              </v:roundrect>
            </w:pict>
          </mc:Fallback>
        </mc:AlternateContent>
      </w:r>
      <w:r w:rsidR="002618EB"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35872" behindDoc="0" locked="0" layoutInCell="1" allowOverlap="1" wp14:anchorId="7F8F9E9C" wp14:editId="1F909DB0">
                <wp:simplePos x="0" y="0"/>
                <wp:positionH relativeFrom="column">
                  <wp:posOffset>12658090</wp:posOffset>
                </wp:positionH>
                <wp:positionV relativeFrom="paragraph">
                  <wp:posOffset>1640205</wp:posOffset>
                </wp:positionV>
                <wp:extent cx="0" cy="231140"/>
                <wp:effectExtent l="57150" t="38100" r="57150" b="16510"/>
                <wp:wrapNone/>
                <wp:docPr id="473" name="Straight Arrow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140"/>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D98D9" id="Straight Arrow Connector 473" o:spid="_x0000_s1026" type="#_x0000_t32" style="position:absolute;margin-left:996.7pt;margin-top:129.15pt;width:0;height:18.2pt;flip:y;z-index:251535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" strokecolor="#d9e2f3 [660]" strokeweight="2.25pt">
                <v:stroke endarrow="block" joinstyle="miter"/>
                <o:lock v:ext="edit" shapetype="f"/>
              </v:shape>
            </w:pict>
          </mc:Fallback>
        </mc:AlternateContent>
      </w:r>
      <w:r w:rsidR="002618EB"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97312" behindDoc="0" locked="0" layoutInCell="1" allowOverlap="1" wp14:anchorId="799DD7DF" wp14:editId="09FE3AEA">
                <wp:simplePos x="0" y="0"/>
                <wp:positionH relativeFrom="column">
                  <wp:posOffset>11591290</wp:posOffset>
                </wp:positionH>
                <wp:positionV relativeFrom="paragraph">
                  <wp:posOffset>3082290</wp:posOffset>
                </wp:positionV>
                <wp:extent cx="2209800" cy="848995"/>
                <wp:effectExtent l="0" t="0" r="19050" b="27305"/>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848995"/>
                        </a:xfrm>
                        <a:prstGeom prst="roundRect">
                          <a:avLst/>
                        </a:prstGeom>
                        <a:solidFill>
                          <a:sysClr val="window" lastClr="FFFFFF"/>
                        </a:solidFill>
                        <a:ln w="19050">
                          <a:solidFill>
                            <a:schemeClr val="accent1">
                              <a:lumMod val="20000"/>
                              <a:lumOff val="80000"/>
                            </a:schemeClr>
                          </a:solidFill>
                        </a:ln>
                        <a:effectLst/>
                      </wps:spPr>
                      <wps:txbx>
                        <w:txbxContent>
                          <w:p w14:paraId="408854F1" w14:textId="6D1597D0" w:rsidR="00876FFE" w:rsidRPr="008E12BD" w:rsidRDefault="00876FFE" w:rsidP="002618EB">
                            <w:pPr>
                              <w:pStyle w:val="NormalWeb"/>
                              <w:spacing w:before="0" w:beforeAutospacing="0" w:after="120" w:afterAutospacing="0"/>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Одсуство адекватног санкционисања за непоступање органа по препорукама Повереника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9DD7DF" id="Text Box 444" o:spid="_x0000_s1296" style="position:absolute;margin-left:912.7pt;margin-top:242.7pt;width:174pt;height:66.8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" fillcolor="window" strokecolor="#d9e2f3 [660]" strokeweight="1.5pt">
                <v:path arrowok="t"/>
                <v:textbox inset="1mm,0,1mm,0">
                  <w:txbxContent>
                    <w:p w14:paraId="408854F1" w14:textId="6D1597D0" w:rsidR="00876FFE" w:rsidRPr="008E12BD" w:rsidRDefault="00876FFE" w:rsidP="002618EB">
                      <w:pPr>
                        <w:pStyle w:val="NormalWeb"/>
                        <w:spacing w:before="0" w:beforeAutospacing="0" w:after="120" w:afterAutospacing="0"/>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Одсуство </w:t>
                      </w:r>
                      <w:r w:rsidRPr="008E12BD">
                        <w:rPr>
                          <w:rFonts w:asciiTheme="minorHAnsi" w:eastAsia="Calibri" w:hAnsiTheme="minorHAnsi" w:cstheme="minorHAnsi"/>
                          <w:sz w:val="22"/>
                          <w:szCs w:val="22"/>
                          <w:lang w:val="sr-Cyrl-RS"/>
                        </w:rPr>
                        <w:t>адекватног санкционисања за непоступање органа по препорукама Повереника</w:t>
                      </w:r>
                    </w:p>
                  </w:txbxContent>
                </v:textbox>
              </v:roundrect>
            </w:pict>
          </mc:Fallback>
        </mc:AlternateContent>
      </w:r>
      <w:r w:rsidR="002F32C8"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43040" behindDoc="0" locked="0" layoutInCell="1" allowOverlap="1" wp14:anchorId="408E5345" wp14:editId="7926CB8A">
                <wp:simplePos x="0" y="0"/>
                <wp:positionH relativeFrom="column">
                  <wp:posOffset>10285095</wp:posOffset>
                </wp:positionH>
                <wp:positionV relativeFrom="paragraph">
                  <wp:posOffset>83820</wp:posOffset>
                </wp:positionV>
                <wp:extent cx="0" cy="231775"/>
                <wp:effectExtent l="57150" t="38100" r="57150" b="15875"/>
                <wp:wrapNone/>
                <wp:docPr id="448"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775"/>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15A8C9" id="Straight Arrow Connector 448" o:spid="_x0000_s1026" type="#_x0000_t32" style="position:absolute;margin-left:809.85pt;margin-top:6.6pt;width:0;height:18.25pt;flip:y;z-index:251543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" strokecolor="#d9e2f3 [660]" strokeweight="2.25pt">
                <v:stroke endarrow="block" joinstyle="miter"/>
                <o:lock v:ext="edit" shapetype="f"/>
              </v:shape>
            </w:pict>
          </mc:Fallback>
        </mc:AlternateContent>
      </w:r>
      <w:r w:rsidR="001E0653"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31776" behindDoc="0" locked="0" layoutInCell="1" allowOverlap="1" wp14:anchorId="6F1130EA" wp14:editId="605B7799">
                <wp:simplePos x="0" y="0"/>
                <wp:positionH relativeFrom="column">
                  <wp:posOffset>3046095</wp:posOffset>
                </wp:positionH>
                <wp:positionV relativeFrom="paragraph">
                  <wp:posOffset>1596390</wp:posOffset>
                </wp:positionV>
                <wp:extent cx="0" cy="231140"/>
                <wp:effectExtent l="57150" t="38100" r="57150" b="16510"/>
                <wp:wrapNone/>
                <wp:docPr id="474" name="Straight Arrow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140"/>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41B77B" id="Straight Arrow Connector 474" o:spid="_x0000_s1026" type="#_x0000_t32" style="position:absolute;margin-left:239.85pt;margin-top:125.7pt;width:0;height:18.2pt;flip:y;z-index:251531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" strokecolor="#d9e2f3 [660]" strokeweight="2.25pt">
                <v:stroke endarrow="block" joinstyle="miter"/>
                <o:lock v:ext="edit" shapetype="f"/>
              </v:shape>
            </w:pict>
          </mc:Fallback>
        </mc:AlternateContent>
      </w:r>
      <w:r w:rsidR="001E0653"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78880" behindDoc="0" locked="0" layoutInCell="1" allowOverlap="1" wp14:anchorId="3591A0C4" wp14:editId="30081C33">
                <wp:simplePos x="0" y="0"/>
                <wp:positionH relativeFrom="column">
                  <wp:posOffset>1965960</wp:posOffset>
                </wp:positionH>
                <wp:positionV relativeFrom="paragraph">
                  <wp:posOffset>293370</wp:posOffset>
                </wp:positionV>
                <wp:extent cx="2194560" cy="1316990"/>
                <wp:effectExtent l="19050" t="19050" r="15240" b="1651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1316990"/>
                        </a:xfrm>
                        <a:prstGeom prst="roundRect">
                          <a:avLst/>
                        </a:prstGeom>
                        <a:solidFill>
                          <a:sysClr val="window" lastClr="FFFFFF"/>
                        </a:solidFill>
                        <a:ln w="38100" cmpd="dbl">
                          <a:solidFill>
                            <a:schemeClr val="accent1">
                              <a:lumMod val="40000"/>
                              <a:lumOff val="60000"/>
                            </a:schemeClr>
                          </a:solidFill>
                        </a:ln>
                        <a:effectLst/>
                      </wps:spPr>
                      <wps:txbx>
                        <w:txbxContent>
                          <w:p w14:paraId="43358315" w14:textId="77777777" w:rsidR="00876FFE" w:rsidRPr="001B2E03" w:rsidRDefault="00876FFE" w:rsidP="00CE6AC1">
                            <w:pPr>
                              <w:pStyle w:val="NormalWeb"/>
                              <w:spacing w:before="0" w:beforeAutospacing="0" w:after="120" w:afterAutospacing="0" w:line="216" w:lineRule="auto"/>
                              <w:jc w:val="center"/>
                              <w:rPr>
                                <w:rFonts w:asciiTheme="minorHAnsi" w:eastAsia="Calibr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Недовољно развијен </w:t>
                            </w:r>
                            <w:r w:rsidRPr="001B2E03">
                              <w:rPr>
                                <w:rFonts w:asciiTheme="minorHAnsi" w:eastAsia="Calibri" w:hAnsiTheme="minorHAnsi" w:cstheme="minorHAnsi"/>
                                <w:spacing w:val="-12"/>
                                <w:sz w:val="22"/>
                                <w:szCs w:val="22"/>
                                <w:lang w:val="sr-Cyrl-RS"/>
                              </w:rPr>
                              <w:t>вертикални и  хоризонтални</w:t>
                            </w:r>
                            <w:r w:rsidRPr="001B2E03">
                              <w:rPr>
                                <w:rFonts w:asciiTheme="minorHAnsi" w:eastAsia="Calibri" w:hAnsiTheme="minorHAnsi" w:cstheme="minorHAnsi"/>
                                <w:sz w:val="22"/>
                                <w:szCs w:val="22"/>
                                <w:lang w:val="sr-Cyrl-RS"/>
                              </w:rPr>
                              <w:t xml:space="preserve"> </w:t>
                            </w:r>
                            <w:r w:rsidRPr="001B2E03">
                              <w:rPr>
                                <w:rFonts w:asciiTheme="minorHAnsi" w:eastAsia="Calibri" w:hAnsiTheme="minorHAnsi" w:cstheme="minorHAnsi"/>
                                <w:spacing w:val="-12"/>
                                <w:sz w:val="22"/>
                                <w:szCs w:val="22"/>
                                <w:lang w:val="sr-Cyrl-RS"/>
                              </w:rPr>
                              <w:t xml:space="preserve">систем надзора </w:t>
                            </w:r>
                            <w:r>
                              <w:rPr>
                                <w:rFonts w:asciiTheme="minorHAnsi" w:eastAsia="Calibri" w:hAnsiTheme="minorHAnsi" w:cstheme="minorHAnsi"/>
                                <w:spacing w:val="-12"/>
                                <w:sz w:val="22"/>
                                <w:szCs w:val="22"/>
                                <w:lang w:val="sr-Cyrl-RS"/>
                              </w:rPr>
                              <w:t xml:space="preserve">над </w:t>
                            </w:r>
                            <w:r>
                              <w:rPr>
                                <w:rFonts w:asciiTheme="minorHAnsi" w:eastAsia="Calibri" w:hAnsiTheme="minorHAnsi" w:cstheme="minorHAnsi"/>
                                <w:sz w:val="22"/>
                                <w:szCs w:val="22"/>
                                <w:lang w:val="sr-Cyrl-RS"/>
                              </w:rPr>
                              <w:t>радом</w:t>
                            </w:r>
                            <w:r w:rsidRPr="001B2E03">
                              <w:rPr>
                                <w:rFonts w:asciiTheme="minorHAnsi" w:eastAsia="Calibri" w:hAnsiTheme="minorHAnsi" w:cstheme="minorHAnsi"/>
                                <w:sz w:val="22"/>
                                <w:szCs w:val="22"/>
                                <w:lang w:val="sr-Cyrl-RS"/>
                              </w:rPr>
                              <w:t xml:space="preserve"> у јавној управи (</w:t>
                            </w:r>
                            <w:r w:rsidRPr="001B2E03">
                              <w:rPr>
                                <w:rFonts w:asciiTheme="minorHAnsi" w:eastAsia="Calibri" w:hAnsiTheme="minorHAnsi" w:cstheme="minorHAnsi"/>
                                <w:b/>
                                <w:sz w:val="22"/>
                                <w:szCs w:val="22"/>
                                <w:lang w:val="sr-Cyrl-RS"/>
                              </w:rPr>
                              <w:t>механизам за управљање према учинку органа јавне управе</w:t>
                            </w:r>
                            <w:r w:rsidRPr="001B2E03">
                              <w:rPr>
                                <w:rFonts w:asciiTheme="minorHAnsi" w:eastAsia="Calibri" w:hAnsiTheme="minorHAnsi" w:cstheme="minorHAnsi"/>
                                <w:sz w:val="22"/>
                                <w:szCs w:val="22"/>
                                <w:lang w:val="sr-Cyrl-RS"/>
                              </w:rPr>
                              <w:t>)</w:t>
                            </w:r>
                          </w:p>
                          <w:p w14:paraId="23045096" w14:textId="181D9DA5" w:rsidR="00876FFE" w:rsidRPr="001B2E03" w:rsidRDefault="00876FFE" w:rsidP="001E0653">
                            <w:pPr>
                              <w:pStyle w:val="NormalWeb"/>
                              <w:spacing w:before="0" w:beforeAutospacing="0" w:after="120" w:afterAutospacing="0" w:line="216" w:lineRule="auto"/>
                              <w:jc w:val="center"/>
                              <w:rPr>
                                <w:rFonts w:asciiTheme="minorHAnsi" w:eastAsia="Calibri" w:hAnsiTheme="minorHAnsi" w:cstheme="minorHAnsi"/>
                                <w:sz w:val="22"/>
                                <w:szCs w:val="22"/>
                                <w:lang w:val="sr-Cyrl-R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91A0C4" id="Text Box 470" o:spid="_x0000_s1297" style="position:absolute;margin-left:154.8pt;margin-top:23.1pt;width:172.8pt;height:103.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" fillcolor="window" strokecolor="#b4c6e7 [1300]" strokeweight="3pt">
                <v:stroke linestyle="thinThin"/>
                <v:path arrowok="t"/>
                <v:textbox inset="0,0,0,0">
                  <w:txbxContent>
                    <w:p w14:paraId="43358315" w14:textId="77777777" w:rsidR="00876FFE" w:rsidRPr="001B2E03" w:rsidRDefault="00876FFE" w:rsidP="00CE6AC1">
                      <w:pPr>
                        <w:pStyle w:val="NormalWeb"/>
                        <w:spacing w:before="0" w:beforeAutospacing="0" w:after="120" w:afterAutospacing="0" w:line="216" w:lineRule="auto"/>
                        <w:jc w:val="center"/>
                        <w:rPr>
                          <w:rFonts w:asciiTheme="minorHAnsi" w:eastAsia="Calibr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Недовољно </w:t>
                      </w:r>
                      <w:r w:rsidRPr="001B2E03">
                        <w:rPr>
                          <w:rFonts w:asciiTheme="minorHAnsi" w:eastAsia="Calibri" w:hAnsiTheme="minorHAnsi" w:cstheme="minorHAnsi"/>
                          <w:sz w:val="22"/>
                          <w:szCs w:val="22"/>
                          <w:lang w:val="sr-Cyrl-RS"/>
                        </w:rPr>
                        <w:t xml:space="preserve">развијен </w:t>
                      </w:r>
                      <w:r w:rsidRPr="001B2E03">
                        <w:rPr>
                          <w:rFonts w:asciiTheme="minorHAnsi" w:eastAsia="Calibri" w:hAnsiTheme="minorHAnsi" w:cstheme="minorHAnsi"/>
                          <w:spacing w:val="-12"/>
                          <w:sz w:val="22"/>
                          <w:szCs w:val="22"/>
                          <w:lang w:val="sr-Cyrl-RS"/>
                        </w:rPr>
                        <w:t>вертикални и  хоризонтални</w:t>
                      </w:r>
                      <w:r w:rsidRPr="001B2E03">
                        <w:rPr>
                          <w:rFonts w:asciiTheme="minorHAnsi" w:eastAsia="Calibri" w:hAnsiTheme="minorHAnsi" w:cstheme="minorHAnsi"/>
                          <w:sz w:val="22"/>
                          <w:szCs w:val="22"/>
                          <w:lang w:val="sr-Cyrl-RS"/>
                        </w:rPr>
                        <w:t xml:space="preserve"> </w:t>
                      </w:r>
                      <w:r w:rsidRPr="001B2E03">
                        <w:rPr>
                          <w:rFonts w:asciiTheme="minorHAnsi" w:eastAsia="Calibri" w:hAnsiTheme="minorHAnsi" w:cstheme="minorHAnsi"/>
                          <w:spacing w:val="-12"/>
                          <w:sz w:val="22"/>
                          <w:szCs w:val="22"/>
                          <w:lang w:val="sr-Cyrl-RS"/>
                        </w:rPr>
                        <w:t xml:space="preserve">систем надзора </w:t>
                      </w:r>
                      <w:r>
                        <w:rPr>
                          <w:rFonts w:asciiTheme="minorHAnsi" w:eastAsia="Calibri" w:hAnsiTheme="minorHAnsi" w:cstheme="minorHAnsi"/>
                          <w:spacing w:val="-12"/>
                          <w:sz w:val="22"/>
                          <w:szCs w:val="22"/>
                          <w:lang w:val="sr-Cyrl-RS"/>
                        </w:rPr>
                        <w:t xml:space="preserve">над </w:t>
                      </w:r>
                      <w:r>
                        <w:rPr>
                          <w:rFonts w:asciiTheme="minorHAnsi" w:eastAsia="Calibri" w:hAnsiTheme="minorHAnsi" w:cstheme="minorHAnsi"/>
                          <w:sz w:val="22"/>
                          <w:szCs w:val="22"/>
                          <w:lang w:val="sr-Cyrl-RS"/>
                        </w:rPr>
                        <w:t>радом</w:t>
                      </w:r>
                      <w:r w:rsidRPr="001B2E03">
                        <w:rPr>
                          <w:rFonts w:asciiTheme="minorHAnsi" w:eastAsia="Calibri" w:hAnsiTheme="minorHAnsi" w:cstheme="minorHAnsi"/>
                          <w:sz w:val="22"/>
                          <w:szCs w:val="22"/>
                          <w:lang w:val="sr-Cyrl-RS"/>
                        </w:rPr>
                        <w:t xml:space="preserve"> у јавној управи (</w:t>
                      </w:r>
                      <w:r w:rsidRPr="001B2E03">
                        <w:rPr>
                          <w:rFonts w:asciiTheme="minorHAnsi" w:eastAsia="Calibri" w:hAnsiTheme="minorHAnsi" w:cstheme="minorHAnsi"/>
                          <w:b/>
                          <w:sz w:val="22"/>
                          <w:szCs w:val="22"/>
                          <w:lang w:val="sr-Cyrl-RS"/>
                        </w:rPr>
                        <w:t>механизам за управљање према учинку органа јавне управе</w:t>
                      </w:r>
                      <w:r w:rsidRPr="001B2E03">
                        <w:rPr>
                          <w:rFonts w:asciiTheme="minorHAnsi" w:eastAsia="Calibri" w:hAnsiTheme="minorHAnsi" w:cstheme="minorHAnsi"/>
                          <w:sz w:val="22"/>
                          <w:szCs w:val="22"/>
                          <w:lang w:val="sr-Cyrl-RS"/>
                        </w:rPr>
                        <w:t>)</w:t>
                      </w:r>
                    </w:p>
                    <w:p w14:paraId="23045096" w14:textId="181D9DA5" w:rsidR="00876FFE" w:rsidRPr="001B2E03" w:rsidRDefault="00876FFE" w:rsidP="001E0653">
                      <w:pPr>
                        <w:pStyle w:val="NormalWeb"/>
                        <w:spacing w:before="0" w:beforeAutospacing="0" w:after="120" w:afterAutospacing="0" w:line="216" w:lineRule="auto"/>
                        <w:jc w:val="center"/>
                        <w:rPr>
                          <w:rFonts w:asciiTheme="minorHAnsi" w:eastAsia="Calibri" w:hAnsiTheme="minorHAnsi" w:cstheme="minorHAnsi"/>
                          <w:sz w:val="22"/>
                          <w:szCs w:val="22"/>
                          <w:lang w:val="sr-Cyrl-RS"/>
                        </w:rPr>
                      </w:pPr>
                    </w:p>
                  </w:txbxContent>
                </v:textbox>
              </v:roundrect>
            </w:pict>
          </mc:Fallback>
        </mc:AlternateContent>
      </w:r>
      <w:r w:rsidR="0032015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29728" behindDoc="0" locked="0" layoutInCell="1" allowOverlap="1" wp14:anchorId="52506E54" wp14:editId="422E8E6B">
                <wp:simplePos x="0" y="0"/>
                <wp:positionH relativeFrom="column">
                  <wp:posOffset>629285</wp:posOffset>
                </wp:positionH>
                <wp:positionV relativeFrom="paragraph">
                  <wp:posOffset>1574800</wp:posOffset>
                </wp:positionV>
                <wp:extent cx="0" cy="231140"/>
                <wp:effectExtent l="57150" t="38100" r="57150" b="16510"/>
                <wp:wrapNone/>
                <wp:docPr id="475" name="Straight Arrow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140"/>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8D80E4" id="Straight Arrow Connector 475" o:spid="_x0000_s1026" type="#_x0000_t32" style="position:absolute;margin-left:49.55pt;margin-top:124pt;width:0;height:18.2pt;flip:y;z-index:251529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" strokecolor="#d9e2f3 [660]" strokeweight="2.25pt">
                <v:stroke endarrow="block" joinstyle="miter"/>
                <o:lock v:ext="edit" shapetype="f"/>
              </v:shape>
            </w:pict>
          </mc:Fallback>
        </mc:AlternateContent>
      </w:r>
      <w:r w:rsidR="0032015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75808" behindDoc="0" locked="0" layoutInCell="1" allowOverlap="1" wp14:anchorId="2DBF8A49" wp14:editId="0F1A7A10">
                <wp:simplePos x="0" y="0"/>
                <wp:positionH relativeFrom="column">
                  <wp:posOffset>-450850</wp:posOffset>
                </wp:positionH>
                <wp:positionV relativeFrom="paragraph">
                  <wp:posOffset>267970</wp:posOffset>
                </wp:positionV>
                <wp:extent cx="2194560" cy="1316990"/>
                <wp:effectExtent l="19050" t="19050" r="15240" b="1651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1316990"/>
                        </a:xfrm>
                        <a:prstGeom prst="roundRect">
                          <a:avLst/>
                        </a:prstGeom>
                        <a:solidFill>
                          <a:sysClr val="window" lastClr="FFFFFF"/>
                        </a:solidFill>
                        <a:ln w="38100" cmpd="dbl">
                          <a:solidFill>
                            <a:schemeClr val="accent1">
                              <a:lumMod val="40000"/>
                              <a:lumOff val="60000"/>
                            </a:schemeClr>
                          </a:solidFill>
                        </a:ln>
                        <a:effectLst/>
                      </wps:spPr>
                      <wps:txbx>
                        <w:txbxContent>
                          <w:p w14:paraId="10338113" w14:textId="3B62804B" w:rsidR="00876FFE" w:rsidRPr="001B2E03" w:rsidRDefault="00876FFE" w:rsidP="00320156">
                            <w:pPr>
                              <w:pStyle w:val="NormalWeb"/>
                              <w:spacing w:before="0" w:beforeAutospacing="0" w:after="120" w:afterAutospacing="0" w:line="216" w:lineRule="auto"/>
                              <w:jc w:val="center"/>
                              <w:rPr>
                                <w:rFonts w:asciiTheme="minorHAnsi" w:eastAsia="Calibr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Недостатак </w:t>
                            </w:r>
                            <w:r w:rsidRPr="001B2E03">
                              <w:rPr>
                                <w:rFonts w:asciiTheme="minorHAnsi" w:eastAsia="Calibri" w:hAnsiTheme="minorHAnsi" w:cstheme="minorHAnsi"/>
                                <w:b/>
                                <w:sz w:val="22"/>
                                <w:szCs w:val="22"/>
                                <w:lang w:val="sr-Cyrl-RS"/>
                              </w:rPr>
                              <w:t>системских решења за управљачку одговорност</w:t>
                            </w:r>
                            <w:r w:rsidRPr="001B2E03">
                              <w:rPr>
                                <w:rFonts w:asciiTheme="minorHAnsi" w:eastAsia="Calibri" w:hAnsiTheme="minorHAnsi" w:cstheme="minorHAnsi"/>
                                <w:sz w:val="22"/>
                                <w:szCs w:val="22"/>
                                <w:lang w:val="sr-Cyrl-RS"/>
                              </w:rPr>
                              <w:t xml:space="preserve"> и делегирање/пренос управљачке одговорности за техничке послове у органима јавне управе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BF8A49" id="Text Box 471" o:spid="_x0000_s1298" style="position:absolute;margin-left:-35.5pt;margin-top:21.1pt;width:172.8pt;height:103.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" fillcolor="window" strokecolor="#b4c6e7 [1300]" strokeweight="3pt">
                <v:stroke linestyle="thinThin"/>
                <v:path arrowok="t"/>
                <v:textbox inset="0,0,0,0">
                  <w:txbxContent>
                    <w:p w14:paraId="10338113" w14:textId="3B62804B" w:rsidR="00876FFE" w:rsidRPr="001B2E03" w:rsidRDefault="00876FFE" w:rsidP="00320156">
                      <w:pPr>
                        <w:pStyle w:val="NormalWeb"/>
                        <w:spacing w:before="0" w:beforeAutospacing="0" w:after="120" w:afterAutospacing="0" w:line="216" w:lineRule="auto"/>
                        <w:jc w:val="center"/>
                        <w:rPr>
                          <w:rFonts w:asciiTheme="minorHAnsi" w:eastAsia="Calibr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Недостатак </w:t>
                      </w:r>
                      <w:r w:rsidRPr="001B2E03">
                        <w:rPr>
                          <w:rFonts w:asciiTheme="minorHAnsi" w:eastAsia="Calibri" w:hAnsiTheme="minorHAnsi" w:cstheme="minorHAnsi"/>
                          <w:b/>
                          <w:sz w:val="22"/>
                          <w:szCs w:val="22"/>
                          <w:lang w:val="sr-Cyrl-RS"/>
                        </w:rPr>
                        <w:t>системских решења за управљачку одговорност</w:t>
                      </w:r>
                      <w:r w:rsidRPr="001B2E03">
                        <w:rPr>
                          <w:rFonts w:asciiTheme="minorHAnsi" w:eastAsia="Calibri" w:hAnsiTheme="minorHAnsi" w:cstheme="minorHAnsi"/>
                          <w:sz w:val="22"/>
                          <w:szCs w:val="22"/>
                          <w:lang w:val="sr-Cyrl-RS"/>
                        </w:rPr>
                        <w:t xml:space="preserve"> и делегирање/пренос управљачке одговорности за техничке послове у органима јавне управе</w:t>
                      </w:r>
                    </w:p>
                  </w:txbxContent>
                </v:textbox>
              </v:roundrect>
            </w:pict>
          </mc:Fallback>
        </mc:AlternateContent>
      </w:r>
      <w:r w:rsidR="0032015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77856" behindDoc="0" locked="0" layoutInCell="1" allowOverlap="1" wp14:anchorId="5718AFE6" wp14:editId="05C96D77">
                <wp:simplePos x="0" y="0"/>
                <wp:positionH relativeFrom="column">
                  <wp:posOffset>-437515</wp:posOffset>
                </wp:positionH>
                <wp:positionV relativeFrom="paragraph">
                  <wp:posOffset>3452495</wp:posOffset>
                </wp:positionV>
                <wp:extent cx="2209800" cy="1158240"/>
                <wp:effectExtent l="0" t="0" r="19050" b="2286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1158240"/>
                        </a:xfrm>
                        <a:prstGeom prst="roundRect">
                          <a:avLst/>
                        </a:prstGeom>
                        <a:solidFill>
                          <a:sysClr val="window" lastClr="FFFFFF"/>
                        </a:solidFill>
                        <a:ln w="19050">
                          <a:solidFill>
                            <a:schemeClr val="accent1">
                              <a:lumMod val="20000"/>
                              <a:lumOff val="80000"/>
                            </a:schemeClr>
                          </a:solidFill>
                        </a:ln>
                        <a:effectLst/>
                      </wps:spPr>
                      <wps:txbx>
                        <w:txbxContent>
                          <w:p w14:paraId="3F59EE46" w14:textId="31203373" w:rsidR="00876FFE" w:rsidRPr="008E12BD" w:rsidRDefault="00876FFE" w:rsidP="00320156">
                            <w:pPr>
                              <w:pStyle w:val="NormalWeb"/>
                              <w:spacing w:before="0" w:beforeAutospacing="0" w:after="120" w:afterAutospacing="0"/>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Недовољни капацитети, знање и информисаност руководилаца и запослених у органима јавне управе за примену принципа одговорности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18AFE6" id="Text Box 435" o:spid="_x0000_s1299" style="position:absolute;margin-left:-34.45pt;margin-top:271.85pt;width:174pt;height:91.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" fillcolor="window" strokecolor="#d9e2f3 [660]" strokeweight="1.5pt">
                <v:path arrowok="t"/>
                <v:textbox inset="1mm,0,1mm,0">
                  <w:txbxContent>
                    <w:p w14:paraId="3F59EE46" w14:textId="31203373" w:rsidR="00876FFE" w:rsidRPr="008E12BD" w:rsidRDefault="00876FFE" w:rsidP="00320156">
                      <w:pPr>
                        <w:pStyle w:val="NormalWeb"/>
                        <w:spacing w:before="0" w:beforeAutospacing="0" w:after="120" w:afterAutospacing="0"/>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Недовољни </w:t>
                      </w:r>
                      <w:r w:rsidRPr="008E12BD">
                        <w:rPr>
                          <w:rFonts w:asciiTheme="minorHAnsi" w:eastAsia="Calibri" w:hAnsiTheme="minorHAnsi" w:cstheme="minorHAnsi"/>
                          <w:sz w:val="22"/>
                          <w:szCs w:val="22"/>
                          <w:lang w:val="sr-Cyrl-RS"/>
                        </w:rPr>
                        <w:t>капацитети, знање и информисаност руководилаца и запослених у органима јавне управе за примену принципа одговорности</w:t>
                      </w:r>
                    </w:p>
                  </w:txbxContent>
                </v:textbox>
              </v:roundrect>
            </w:pict>
          </mc:Fallback>
        </mc:AlternateContent>
      </w:r>
      <w:r w:rsidR="0032015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76832" behindDoc="0" locked="0" layoutInCell="1" allowOverlap="1" wp14:anchorId="2B27331C" wp14:editId="1B7923CF">
                <wp:simplePos x="0" y="0"/>
                <wp:positionH relativeFrom="column">
                  <wp:posOffset>-437515</wp:posOffset>
                </wp:positionH>
                <wp:positionV relativeFrom="paragraph">
                  <wp:posOffset>1809115</wp:posOffset>
                </wp:positionV>
                <wp:extent cx="2209800" cy="1391285"/>
                <wp:effectExtent l="0" t="0" r="19050" b="1841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1391285"/>
                        </a:xfrm>
                        <a:prstGeom prst="roundRect">
                          <a:avLst/>
                        </a:prstGeom>
                        <a:solidFill>
                          <a:sysClr val="window" lastClr="FFFFFF"/>
                        </a:solidFill>
                        <a:ln w="19050">
                          <a:solidFill>
                            <a:schemeClr val="accent1">
                              <a:lumMod val="20000"/>
                              <a:lumOff val="80000"/>
                            </a:schemeClr>
                          </a:solidFill>
                        </a:ln>
                        <a:effectLst/>
                      </wps:spPr>
                      <wps:txbx>
                        <w:txbxContent>
                          <w:p w14:paraId="293EBA8D" w14:textId="77777777" w:rsidR="00876FFE" w:rsidRPr="008E12BD" w:rsidRDefault="00876FFE" w:rsidP="00CE6AC1">
                            <w:pPr>
                              <w:pStyle w:val="NormalWeb"/>
                              <w:spacing w:before="0" w:beforeAutospacing="0" w:after="12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Концентрација управљачке одговорности код руководилаца </w:t>
                            </w:r>
                            <w:r w:rsidRPr="008E12BD">
                              <w:rPr>
                                <w:rFonts w:asciiTheme="minorHAnsi" w:eastAsia="Calibri" w:hAnsiTheme="minorHAnsi" w:cstheme="minorHAnsi"/>
                                <w:sz w:val="22"/>
                                <w:szCs w:val="22"/>
                                <w:lang w:val="sr-Cyrl-RS"/>
                              </w:rPr>
                              <w:br/>
                              <w:t>са широким дискреционим овлашћењима, к</w:t>
                            </w:r>
                            <w:r>
                              <w:rPr>
                                <w:rFonts w:asciiTheme="minorHAnsi" w:eastAsia="Calibri" w:hAnsiTheme="minorHAnsi" w:cstheme="minorHAnsi"/>
                                <w:sz w:val="22"/>
                                <w:szCs w:val="22"/>
                                <w:lang w:val="sr-Cyrl-RS"/>
                              </w:rPr>
                              <w:t xml:space="preserve">оји </w:t>
                            </w:r>
                            <w:r>
                              <w:rPr>
                                <w:rFonts w:asciiTheme="minorHAnsi" w:eastAsia="Calibri" w:hAnsiTheme="minorHAnsi" w:cstheme="minorHAnsi"/>
                                <w:spacing w:val="-2"/>
                                <w:sz w:val="22"/>
                                <w:szCs w:val="22"/>
                                <w:lang w:val="sr-Cyrl-RS"/>
                              </w:rPr>
                              <w:t>стр</w:t>
                            </w:r>
                            <w:r w:rsidRPr="008E12BD">
                              <w:rPr>
                                <w:rFonts w:asciiTheme="minorHAnsi" w:eastAsia="Calibri" w:hAnsiTheme="minorHAnsi" w:cstheme="minorHAnsi"/>
                                <w:spacing w:val="-2"/>
                                <w:sz w:val="22"/>
                                <w:szCs w:val="22"/>
                                <w:lang w:val="sr-Cyrl-RS"/>
                              </w:rPr>
                              <w:t>ах</w:t>
                            </w:r>
                            <w:r>
                              <w:rPr>
                                <w:rFonts w:asciiTheme="minorHAnsi" w:eastAsia="Calibri" w:hAnsiTheme="minorHAnsi" w:cstheme="minorHAnsi"/>
                                <w:spacing w:val="-2"/>
                                <w:sz w:val="22"/>
                                <w:szCs w:val="22"/>
                                <w:lang w:val="sr-Cyrl-RS"/>
                              </w:rPr>
                              <w:t>ују</w:t>
                            </w:r>
                            <w:r w:rsidRPr="008E12BD">
                              <w:rPr>
                                <w:rFonts w:asciiTheme="minorHAnsi" w:eastAsia="Calibri" w:hAnsiTheme="minorHAnsi" w:cstheme="minorHAnsi"/>
                                <w:spacing w:val="-2"/>
                                <w:sz w:val="22"/>
                                <w:szCs w:val="22"/>
                                <w:lang w:val="sr-Cyrl-RS"/>
                              </w:rPr>
                              <w:t xml:space="preserve"> да ће </w:t>
                            </w:r>
                            <w:r>
                              <w:rPr>
                                <w:rFonts w:asciiTheme="minorHAnsi" w:eastAsia="Calibri" w:hAnsiTheme="minorHAnsi" w:cstheme="minorHAnsi"/>
                                <w:spacing w:val="-2"/>
                                <w:sz w:val="22"/>
                                <w:szCs w:val="22"/>
                                <w:lang w:val="sr-Cyrl-RS"/>
                              </w:rPr>
                              <w:t>ако</w:t>
                            </w:r>
                            <w:r w:rsidRPr="008E12BD">
                              <w:rPr>
                                <w:rFonts w:asciiTheme="minorHAnsi" w:eastAsia="Calibri" w:hAnsiTheme="minorHAnsi" w:cstheme="minorHAnsi"/>
                                <w:spacing w:val="-2"/>
                                <w:sz w:val="22"/>
                                <w:szCs w:val="22"/>
                                <w:lang w:val="sr-Cyrl-RS"/>
                              </w:rPr>
                              <w:t xml:space="preserve"> делегира</w:t>
                            </w:r>
                            <w:r>
                              <w:rPr>
                                <w:rFonts w:asciiTheme="minorHAnsi" w:eastAsia="Calibri" w:hAnsiTheme="minorHAnsi" w:cstheme="minorHAnsi"/>
                                <w:spacing w:val="-2"/>
                                <w:sz w:val="22"/>
                                <w:szCs w:val="22"/>
                                <w:lang w:val="sr-Cyrl-RS"/>
                              </w:rPr>
                              <w:t>ју</w:t>
                            </w:r>
                            <w:r w:rsidRPr="008E12BD">
                              <w:rPr>
                                <w:rFonts w:asciiTheme="minorHAnsi" w:eastAsia="Calibri" w:hAnsiTheme="minorHAnsi" w:cstheme="minorHAnsi"/>
                                <w:sz w:val="22"/>
                                <w:szCs w:val="22"/>
                                <w:lang w:val="sr-Cyrl-RS"/>
                              </w:rPr>
                              <w:t xml:space="preserve"> </w:t>
                            </w:r>
                            <w:r>
                              <w:rPr>
                                <w:rFonts w:asciiTheme="minorHAnsi" w:eastAsia="Calibri" w:hAnsiTheme="minorHAnsi" w:cstheme="minorHAnsi"/>
                                <w:sz w:val="22"/>
                                <w:szCs w:val="22"/>
                                <w:lang w:val="sr-Cyrl-RS"/>
                              </w:rPr>
                              <w:t xml:space="preserve">овлашћења </w:t>
                            </w:r>
                            <w:r w:rsidRPr="008E12BD">
                              <w:rPr>
                                <w:rFonts w:asciiTheme="minorHAnsi" w:eastAsia="Calibri" w:hAnsiTheme="minorHAnsi" w:cstheme="minorHAnsi"/>
                                <w:sz w:val="22"/>
                                <w:szCs w:val="22"/>
                                <w:lang w:val="sr-Cyrl-RS"/>
                              </w:rPr>
                              <w:t>изгубити контрол</w:t>
                            </w:r>
                            <w:r>
                              <w:rPr>
                                <w:rFonts w:asciiTheme="minorHAnsi" w:eastAsia="Calibri" w:hAnsiTheme="minorHAnsi" w:cstheme="minorHAnsi"/>
                                <w:sz w:val="22"/>
                                <w:szCs w:val="22"/>
                                <w:lang w:val="sr-Cyrl-RS"/>
                              </w:rPr>
                              <w:t>у</w:t>
                            </w:r>
                            <w:r w:rsidRPr="008E12BD">
                              <w:rPr>
                                <w:rFonts w:asciiTheme="minorHAnsi" w:eastAsia="Calibri" w:hAnsiTheme="minorHAnsi" w:cstheme="minorHAnsi"/>
                                <w:sz w:val="22"/>
                                <w:szCs w:val="22"/>
                                <w:lang w:val="sr-Cyrl-RS"/>
                              </w:rPr>
                              <w:t xml:space="preserve"> у доношењу одлука</w:t>
                            </w:r>
                          </w:p>
                          <w:p w14:paraId="3D857950" w14:textId="7B4BE28A" w:rsidR="00876FFE" w:rsidRPr="008E12BD" w:rsidRDefault="00876FFE" w:rsidP="00320156">
                            <w:pPr>
                              <w:pStyle w:val="NormalWeb"/>
                              <w:spacing w:before="0" w:beforeAutospacing="0" w:after="120" w:afterAutospacing="0" w:line="216" w:lineRule="auto"/>
                              <w:jc w:val="center"/>
                              <w:rPr>
                                <w:rFonts w:asciiTheme="minorHAnsi" w:hAnsiTheme="minorHAnsi" w:cstheme="minorHAnsi"/>
                                <w:sz w:val="22"/>
                                <w:szCs w:val="22"/>
                                <w:lang w:val="sr-Cyrl-RS"/>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27331C" id="Text Box 29" o:spid="_x0000_s1300" style="position:absolute;margin-left:-34.45pt;margin-top:142.45pt;width:174pt;height:109.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" fillcolor="window" strokecolor="#d9e2f3 [660]" strokeweight="1.5pt">
                <v:path arrowok="t"/>
                <v:textbox inset="1mm,0,1mm,0">
                  <w:txbxContent>
                    <w:p w14:paraId="293EBA8D" w14:textId="77777777" w:rsidR="00876FFE" w:rsidRPr="008E12BD" w:rsidRDefault="00876FFE" w:rsidP="00CE6AC1">
                      <w:pPr>
                        <w:pStyle w:val="NormalWeb"/>
                        <w:spacing w:before="0" w:beforeAutospacing="0" w:after="12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Концентрација </w:t>
                      </w:r>
                      <w:r w:rsidRPr="008E12BD">
                        <w:rPr>
                          <w:rFonts w:asciiTheme="minorHAnsi" w:eastAsia="Calibri" w:hAnsiTheme="minorHAnsi" w:cstheme="minorHAnsi"/>
                          <w:sz w:val="22"/>
                          <w:szCs w:val="22"/>
                          <w:lang w:val="sr-Cyrl-RS"/>
                        </w:rPr>
                        <w:t xml:space="preserve">управљачке одговорности код руководилаца </w:t>
                      </w:r>
                      <w:r w:rsidRPr="008E12BD">
                        <w:rPr>
                          <w:rFonts w:asciiTheme="minorHAnsi" w:eastAsia="Calibri" w:hAnsiTheme="minorHAnsi" w:cstheme="minorHAnsi"/>
                          <w:sz w:val="22"/>
                          <w:szCs w:val="22"/>
                          <w:lang w:val="sr-Cyrl-RS"/>
                        </w:rPr>
                        <w:br/>
                        <w:t>са широким дискреционим овлашћењима, к</w:t>
                      </w:r>
                      <w:r>
                        <w:rPr>
                          <w:rFonts w:asciiTheme="minorHAnsi" w:eastAsia="Calibri" w:hAnsiTheme="minorHAnsi" w:cstheme="minorHAnsi"/>
                          <w:sz w:val="22"/>
                          <w:szCs w:val="22"/>
                          <w:lang w:val="sr-Cyrl-RS"/>
                        </w:rPr>
                        <w:t xml:space="preserve">оји </w:t>
                      </w:r>
                      <w:r>
                        <w:rPr>
                          <w:rFonts w:asciiTheme="minorHAnsi" w:eastAsia="Calibri" w:hAnsiTheme="minorHAnsi" w:cstheme="minorHAnsi"/>
                          <w:spacing w:val="-2"/>
                          <w:sz w:val="22"/>
                          <w:szCs w:val="22"/>
                          <w:lang w:val="sr-Cyrl-RS"/>
                        </w:rPr>
                        <w:t>стр</w:t>
                      </w:r>
                      <w:r w:rsidRPr="008E12BD">
                        <w:rPr>
                          <w:rFonts w:asciiTheme="minorHAnsi" w:eastAsia="Calibri" w:hAnsiTheme="minorHAnsi" w:cstheme="minorHAnsi"/>
                          <w:spacing w:val="-2"/>
                          <w:sz w:val="22"/>
                          <w:szCs w:val="22"/>
                          <w:lang w:val="sr-Cyrl-RS"/>
                        </w:rPr>
                        <w:t>ах</w:t>
                      </w:r>
                      <w:r>
                        <w:rPr>
                          <w:rFonts w:asciiTheme="minorHAnsi" w:eastAsia="Calibri" w:hAnsiTheme="minorHAnsi" w:cstheme="minorHAnsi"/>
                          <w:spacing w:val="-2"/>
                          <w:sz w:val="22"/>
                          <w:szCs w:val="22"/>
                          <w:lang w:val="sr-Cyrl-RS"/>
                        </w:rPr>
                        <w:t>ују</w:t>
                      </w:r>
                      <w:r w:rsidRPr="008E12BD">
                        <w:rPr>
                          <w:rFonts w:asciiTheme="minorHAnsi" w:eastAsia="Calibri" w:hAnsiTheme="minorHAnsi" w:cstheme="minorHAnsi"/>
                          <w:spacing w:val="-2"/>
                          <w:sz w:val="22"/>
                          <w:szCs w:val="22"/>
                          <w:lang w:val="sr-Cyrl-RS"/>
                        </w:rPr>
                        <w:t xml:space="preserve"> да ће </w:t>
                      </w:r>
                      <w:r>
                        <w:rPr>
                          <w:rFonts w:asciiTheme="minorHAnsi" w:eastAsia="Calibri" w:hAnsiTheme="minorHAnsi" w:cstheme="minorHAnsi"/>
                          <w:spacing w:val="-2"/>
                          <w:sz w:val="22"/>
                          <w:szCs w:val="22"/>
                          <w:lang w:val="sr-Cyrl-RS"/>
                        </w:rPr>
                        <w:t>ако</w:t>
                      </w:r>
                      <w:r w:rsidRPr="008E12BD">
                        <w:rPr>
                          <w:rFonts w:asciiTheme="minorHAnsi" w:eastAsia="Calibri" w:hAnsiTheme="minorHAnsi" w:cstheme="minorHAnsi"/>
                          <w:spacing w:val="-2"/>
                          <w:sz w:val="22"/>
                          <w:szCs w:val="22"/>
                          <w:lang w:val="sr-Cyrl-RS"/>
                        </w:rPr>
                        <w:t xml:space="preserve"> делегира</w:t>
                      </w:r>
                      <w:r>
                        <w:rPr>
                          <w:rFonts w:asciiTheme="minorHAnsi" w:eastAsia="Calibri" w:hAnsiTheme="minorHAnsi" w:cstheme="minorHAnsi"/>
                          <w:spacing w:val="-2"/>
                          <w:sz w:val="22"/>
                          <w:szCs w:val="22"/>
                          <w:lang w:val="sr-Cyrl-RS"/>
                        </w:rPr>
                        <w:t>ју</w:t>
                      </w:r>
                      <w:r w:rsidRPr="008E12BD">
                        <w:rPr>
                          <w:rFonts w:asciiTheme="minorHAnsi" w:eastAsia="Calibri" w:hAnsiTheme="minorHAnsi" w:cstheme="minorHAnsi"/>
                          <w:sz w:val="22"/>
                          <w:szCs w:val="22"/>
                          <w:lang w:val="sr-Cyrl-RS"/>
                        </w:rPr>
                        <w:t xml:space="preserve"> </w:t>
                      </w:r>
                      <w:r>
                        <w:rPr>
                          <w:rFonts w:asciiTheme="minorHAnsi" w:eastAsia="Calibri" w:hAnsiTheme="minorHAnsi" w:cstheme="minorHAnsi"/>
                          <w:sz w:val="22"/>
                          <w:szCs w:val="22"/>
                          <w:lang w:val="sr-Cyrl-RS"/>
                        </w:rPr>
                        <w:t xml:space="preserve">овлашћења </w:t>
                      </w:r>
                      <w:r w:rsidRPr="008E12BD">
                        <w:rPr>
                          <w:rFonts w:asciiTheme="minorHAnsi" w:eastAsia="Calibri" w:hAnsiTheme="minorHAnsi" w:cstheme="minorHAnsi"/>
                          <w:sz w:val="22"/>
                          <w:szCs w:val="22"/>
                          <w:lang w:val="sr-Cyrl-RS"/>
                        </w:rPr>
                        <w:t>изгубити контрол</w:t>
                      </w:r>
                      <w:r>
                        <w:rPr>
                          <w:rFonts w:asciiTheme="minorHAnsi" w:eastAsia="Calibri" w:hAnsiTheme="minorHAnsi" w:cstheme="minorHAnsi"/>
                          <w:sz w:val="22"/>
                          <w:szCs w:val="22"/>
                          <w:lang w:val="sr-Cyrl-RS"/>
                        </w:rPr>
                        <w:t>у</w:t>
                      </w:r>
                      <w:r w:rsidRPr="008E12BD">
                        <w:rPr>
                          <w:rFonts w:asciiTheme="minorHAnsi" w:eastAsia="Calibri" w:hAnsiTheme="minorHAnsi" w:cstheme="minorHAnsi"/>
                          <w:sz w:val="22"/>
                          <w:szCs w:val="22"/>
                          <w:lang w:val="sr-Cyrl-RS"/>
                        </w:rPr>
                        <w:t xml:space="preserve"> у доношењу одлука</w:t>
                      </w:r>
                    </w:p>
                    <w:p w14:paraId="3D857950" w14:textId="7B4BE28A" w:rsidR="00876FFE" w:rsidRPr="008E12BD" w:rsidRDefault="00876FFE" w:rsidP="00320156">
                      <w:pPr>
                        <w:pStyle w:val="NormalWeb"/>
                        <w:spacing w:before="0" w:beforeAutospacing="0" w:after="120" w:afterAutospacing="0" w:line="216" w:lineRule="auto"/>
                        <w:jc w:val="center"/>
                        <w:rPr>
                          <w:rFonts w:asciiTheme="minorHAnsi" w:hAnsiTheme="minorHAnsi" w:cstheme="minorHAnsi"/>
                          <w:sz w:val="22"/>
                          <w:szCs w:val="22"/>
                          <w:lang w:val="sr-Cyrl-RS"/>
                        </w:rPr>
                      </w:pPr>
                    </w:p>
                  </w:txbxContent>
                </v:textbox>
              </v:roundrect>
            </w:pict>
          </mc:Fallback>
        </mc:AlternateContent>
      </w:r>
      <w:r w:rsidR="00320156"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30752" behindDoc="0" locked="0" layoutInCell="1" allowOverlap="1" wp14:anchorId="433CDA2B" wp14:editId="115F6ACF">
                <wp:simplePos x="0" y="0"/>
                <wp:positionH relativeFrom="column">
                  <wp:posOffset>629920</wp:posOffset>
                </wp:positionH>
                <wp:positionV relativeFrom="paragraph">
                  <wp:posOffset>3201670</wp:posOffset>
                </wp:positionV>
                <wp:extent cx="0" cy="231140"/>
                <wp:effectExtent l="57150" t="38100" r="57150" b="16510"/>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140"/>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B5C3C" id="Straight Arrow Connector 434" o:spid="_x0000_s1026" type="#_x0000_t32" style="position:absolute;margin-left:49.6pt;margin-top:252.1pt;width:0;height:18.2pt;flip:y;z-index:251530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" strokecolor="#d9e2f3 [660]" strokeweight="2.25pt">
                <v:stroke endarrow="block" joinstyle="miter"/>
                <o:lock v:ext="edit" shapetype="f"/>
              </v:shape>
            </w:pict>
          </mc:Fallback>
        </mc:AlternateContent>
      </w:r>
    </w:p>
    <w:p w14:paraId="3E2CDFDC" w14:textId="3429FCDF" w:rsidR="004627A6" w:rsidRPr="000F0299" w:rsidRDefault="002F32C8"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90144" behindDoc="0" locked="0" layoutInCell="1" allowOverlap="1" wp14:anchorId="27F3220D" wp14:editId="149139EE">
                <wp:simplePos x="0" y="0"/>
                <wp:positionH relativeFrom="column">
                  <wp:posOffset>9204960</wp:posOffset>
                </wp:positionH>
                <wp:positionV relativeFrom="paragraph">
                  <wp:posOffset>71301</wp:posOffset>
                </wp:positionV>
                <wp:extent cx="2194560" cy="1102179"/>
                <wp:effectExtent l="19050" t="19050" r="15240" b="22225"/>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1102179"/>
                        </a:xfrm>
                        <a:prstGeom prst="roundRect">
                          <a:avLst/>
                        </a:prstGeom>
                        <a:solidFill>
                          <a:sysClr val="window" lastClr="FFFFFF"/>
                        </a:solidFill>
                        <a:ln w="38100" cmpd="dbl">
                          <a:solidFill>
                            <a:schemeClr val="accent1">
                              <a:lumMod val="40000"/>
                              <a:lumOff val="60000"/>
                            </a:schemeClr>
                          </a:solidFill>
                        </a:ln>
                        <a:effectLst/>
                      </wps:spPr>
                      <wps:txbx>
                        <w:txbxContent>
                          <w:p w14:paraId="5B7865FD" w14:textId="77777777" w:rsidR="00876FFE" w:rsidRPr="001B2E03" w:rsidRDefault="00876FFE" w:rsidP="002F32C8">
                            <w:pPr>
                              <w:spacing w:before="0"/>
                              <w:jc w:val="center"/>
                              <w:rPr>
                                <w:rFonts w:asciiTheme="minorHAnsi" w:hAnsiTheme="minorHAnsi" w:cstheme="minorHAnsi"/>
                                <w:sz w:val="22"/>
                                <w:szCs w:val="22"/>
                              </w:rPr>
                            </w:pPr>
                            <w:r w:rsidRPr="001B2E03">
                              <w:rPr>
                                <w:rFonts w:asciiTheme="minorHAnsi" w:hAnsiTheme="minorHAnsi" w:cstheme="minorHAnsi"/>
                                <w:sz w:val="22"/>
                                <w:szCs w:val="22"/>
                              </w:rPr>
                              <w:t xml:space="preserve">Незадовољавајући ниво </w:t>
                            </w:r>
                            <w:r w:rsidRPr="001B2E03">
                              <w:rPr>
                                <w:rFonts w:asciiTheme="minorHAnsi" w:hAnsiTheme="minorHAnsi" w:cstheme="minorHAnsi"/>
                                <w:spacing w:val="-12"/>
                                <w:sz w:val="22"/>
                                <w:szCs w:val="22"/>
                              </w:rPr>
                              <w:t>реактивне транспарентности</w:t>
                            </w:r>
                            <w:r w:rsidRPr="001B2E03">
                              <w:rPr>
                                <w:rFonts w:asciiTheme="minorHAnsi" w:hAnsiTheme="minorHAnsi" w:cstheme="minorHAnsi"/>
                                <w:sz w:val="22"/>
                                <w:szCs w:val="22"/>
                              </w:rPr>
                              <w:t xml:space="preserve"> </w:t>
                            </w:r>
                            <w:r w:rsidRPr="001B2E03">
                              <w:rPr>
                                <w:rFonts w:asciiTheme="minorHAnsi" w:hAnsiTheme="minorHAnsi" w:cstheme="minorHAnsi"/>
                                <w:b/>
                                <w:sz w:val="22"/>
                                <w:szCs w:val="22"/>
                              </w:rPr>
                              <w:t>поступања</w:t>
                            </w:r>
                            <w:r w:rsidRPr="001B2E03">
                              <w:rPr>
                                <w:rFonts w:asciiTheme="minorHAnsi" w:hAnsiTheme="minorHAnsi" w:cstheme="minorHAnsi"/>
                                <w:sz w:val="22"/>
                                <w:szCs w:val="22"/>
                              </w:rPr>
                              <w:t xml:space="preserve"> по прописима /</w:t>
                            </w:r>
                            <w:r w:rsidRPr="001B2E03">
                              <w:rPr>
                                <w:rFonts w:asciiTheme="minorHAnsi" w:hAnsiTheme="minorHAnsi" w:cstheme="minorHAnsi"/>
                                <w:b/>
                                <w:sz w:val="22"/>
                                <w:szCs w:val="22"/>
                              </w:rPr>
                              <w:t>препорукама</w:t>
                            </w:r>
                            <w:r w:rsidRPr="001B2E03">
                              <w:rPr>
                                <w:rFonts w:asciiTheme="minorHAnsi" w:hAnsiTheme="minorHAnsi" w:cstheme="minorHAnsi"/>
                                <w:sz w:val="22"/>
                                <w:szCs w:val="22"/>
                              </w:rPr>
                              <w:t xml:space="preserve"> из делокруга </w:t>
                            </w:r>
                            <w:r w:rsidRPr="001B2E03">
                              <w:rPr>
                                <w:rFonts w:asciiTheme="minorHAnsi" w:hAnsiTheme="minorHAnsi" w:cstheme="minorHAnsi"/>
                                <w:b/>
                                <w:sz w:val="22"/>
                                <w:szCs w:val="22"/>
                              </w:rPr>
                              <w:t>независних државних органа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F3220D" id="Text Box 467" o:spid="_x0000_s1301" style="position:absolute;margin-left:724.8pt;margin-top:5.6pt;width:172.8pt;height:86.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" fillcolor="window" strokecolor="#b4c6e7 [1300]" strokeweight="3pt">
                <v:stroke linestyle="thinThin"/>
                <v:path arrowok="t"/>
                <v:textbox inset="0,0,0,0">
                  <w:txbxContent>
                    <w:p w14:paraId="5B7865FD" w14:textId="77777777" w:rsidR="00876FFE" w:rsidRPr="001B2E03" w:rsidRDefault="00876FFE" w:rsidP="002F32C8">
                      <w:pPr>
                        <w:spacing w:before="0"/>
                        <w:jc w:val="center"/>
                        <w:rPr>
                          <w:rFonts w:asciiTheme="minorHAnsi" w:hAnsiTheme="minorHAnsi" w:cstheme="minorHAnsi"/>
                          <w:sz w:val="22"/>
                          <w:szCs w:val="22"/>
                        </w:rPr>
                      </w:pPr>
                      <w:r w:rsidRPr="001B2E03">
                        <w:rPr>
                          <w:rFonts w:asciiTheme="minorHAnsi" w:hAnsiTheme="minorHAnsi" w:cstheme="minorHAnsi"/>
                          <w:sz w:val="22"/>
                          <w:szCs w:val="22"/>
                        </w:rPr>
                        <w:t xml:space="preserve">Незадовољавајући </w:t>
                      </w:r>
                      <w:r w:rsidRPr="001B2E03">
                        <w:rPr>
                          <w:rFonts w:asciiTheme="minorHAnsi" w:hAnsiTheme="minorHAnsi" w:cstheme="minorHAnsi"/>
                          <w:sz w:val="22"/>
                          <w:szCs w:val="22"/>
                        </w:rPr>
                        <w:t xml:space="preserve">ниво </w:t>
                      </w:r>
                      <w:r w:rsidRPr="001B2E03">
                        <w:rPr>
                          <w:rFonts w:asciiTheme="minorHAnsi" w:hAnsiTheme="minorHAnsi" w:cstheme="minorHAnsi"/>
                          <w:spacing w:val="-12"/>
                          <w:sz w:val="22"/>
                          <w:szCs w:val="22"/>
                        </w:rPr>
                        <w:t>реактивне транспарентности</w:t>
                      </w:r>
                      <w:r w:rsidRPr="001B2E03">
                        <w:rPr>
                          <w:rFonts w:asciiTheme="minorHAnsi" w:hAnsiTheme="minorHAnsi" w:cstheme="minorHAnsi"/>
                          <w:sz w:val="22"/>
                          <w:szCs w:val="22"/>
                        </w:rPr>
                        <w:t xml:space="preserve"> </w:t>
                      </w:r>
                      <w:r w:rsidRPr="001B2E03">
                        <w:rPr>
                          <w:rFonts w:asciiTheme="minorHAnsi" w:hAnsiTheme="minorHAnsi" w:cstheme="minorHAnsi"/>
                          <w:b/>
                          <w:sz w:val="22"/>
                          <w:szCs w:val="22"/>
                        </w:rPr>
                        <w:t>поступања</w:t>
                      </w:r>
                      <w:r w:rsidRPr="001B2E03">
                        <w:rPr>
                          <w:rFonts w:asciiTheme="minorHAnsi" w:hAnsiTheme="minorHAnsi" w:cstheme="minorHAnsi"/>
                          <w:sz w:val="22"/>
                          <w:szCs w:val="22"/>
                        </w:rPr>
                        <w:t xml:space="preserve"> по прописима /</w:t>
                      </w:r>
                      <w:r w:rsidRPr="001B2E03">
                        <w:rPr>
                          <w:rFonts w:asciiTheme="minorHAnsi" w:hAnsiTheme="minorHAnsi" w:cstheme="minorHAnsi"/>
                          <w:b/>
                          <w:sz w:val="22"/>
                          <w:szCs w:val="22"/>
                        </w:rPr>
                        <w:t>препорукама</w:t>
                      </w:r>
                      <w:r w:rsidRPr="001B2E03">
                        <w:rPr>
                          <w:rFonts w:asciiTheme="minorHAnsi" w:hAnsiTheme="minorHAnsi" w:cstheme="minorHAnsi"/>
                          <w:sz w:val="22"/>
                          <w:szCs w:val="22"/>
                        </w:rPr>
                        <w:t xml:space="preserve"> из делокруга </w:t>
                      </w:r>
                      <w:r w:rsidRPr="001B2E03">
                        <w:rPr>
                          <w:rFonts w:asciiTheme="minorHAnsi" w:hAnsiTheme="minorHAnsi" w:cstheme="minorHAnsi"/>
                          <w:b/>
                          <w:sz w:val="22"/>
                          <w:szCs w:val="22"/>
                        </w:rPr>
                        <w:t>независних државних органа</w:t>
                      </w:r>
                    </w:p>
                  </w:txbxContent>
                </v:textbox>
              </v:roundrect>
            </w:pict>
          </mc:Fallback>
        </mc:AlternateContent>
      </w:r>
      <w:r w:rsidR="001E0653"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86048" behindDoc="0" locked="0" layoutInCell="1" allowOverlap="1" wp14:anchorId="58D0CD46" wp14:editId="226811D1">
                <wp:simplePos x="0" y="0"/>
                <wp:positionH relativeFrom="column">
                  <wp:posOffset>6809740</wp:posOffset>
                </wp:positionH>
                <wp:positionV relativeFrom="paragraph">
                  <wp:posOffset>38100</wp:posOffset>
                </wp:positionV>
                <wp:extent cx="2194560" cy="1047750"/>
                <wp:effectExtent l="19050" t="19050" r="15240" b="1905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1047750"/>
                        </a:xfrm>
                        <a:prstGeom prst="roundRect">
                          <a:avLst/>
                        </a:prstGeom>
                        <a:solidFill>
                          <a:sysClr val="window" lastClr="FFFFFF"/>
                        </a:solidFill>
                        <a:ln w="38100" cmpd="dbl">
                          <a:solidFill>
                            <a:schemeClr val="accent1">
                              <a:lumMod val="40000"/>
                              <a:lumOff val="60000"/>
                            </a:schemeClr>
                          </a:solidFill>
                        </a:ln>
                        <a:effectLst/>
                      </wps:spPr>
                      <wps:txbx>
                        <w:txbxContent>
                          <w:p w14:paraId="14E9B852" w14:textId="6F9B1FA7" w:rsidR="00876FFE" w:rsidRPr="001B2E03" w:rsidRDefault="00876FFE" w:rsidP="001E0653">
                            <w:pPr>
                              <w:pStyle w:val="NormalWeb"/>
                              <w:spacing w:before="0" w:beforeAutospacing="0" w:after="120" w:afterAutospacing="0"/>
                              <w:jc w:val="center"/>
                              <w:rPr>
                                <w:rFonts w:asciiTheme="minorHAnsi" w:eastAsia="Calibr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Недовољно уређене и систематизоване </w:t>
                            </w:r>
                            <w:r w:rsidRPr="001B2E03">
                              <w:rPr>
                                <w:rFonts w:asciiTheme="minorHAnsi" w:eastAsia="Calibri" w:hAnsiTheme="minorHAnsi" w:cstheme="minorHAnsi"/>
                                <w:b/>
                                <w:sz w:val="22"/>
                                <w:szCs w:val="22"/>
                                <w:lang w:val="sr-Cyrl-RS"/>
                              </w:rPr>
                              <w:t>обавезе органа јавне управе у области спречавања корупције и јачања интегритета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D0CD46" id="Text Box 468" o:spid="_x0000_s1302" style="position:absolute;margin-left:536.2pt;margin-top:3pt;width:172.8pt;height:8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" fillcolor="window" strokecolor="#b4c6e7 [1300]" strokeweight="3pt">
                <v:stroke linestyle="thinThin"/>
                <v:path arrowok="t"/>
                <v:textbox inset="0,0,0,0">
                  <w:txbxContent>
                    <w:p w14:paraId="14E9B852" w14:textId="6F9B1FA7" w:rsidR="00876FFE" w:rsidRPr="001B2E03" w:rsidRDefault="00876FFE" w:rsidP="001E0653">
                      <w:pPr>
                        <w:pStyle w:val="NormalWeb"/>
                        <w:spacing w:before="0" w:beforeAutospacing="0" w:after="120" w:afterAutospacing="0"/>
                        <w:jc w:val="center"/>
                        <w:rPr>
                          <w:rFonts w:asciiTheme="minorHAnsi" w:eastAsia="Calibr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Недовољно </w:t>
                      </w:r>
                      <w:r w:rsidRPr="001B2E03">
                        <w:rPr>
                          <w:rFonts w:asciiTheme="minorHAnsi" w:eastAsia="Calibri" w:hAnsiTheme="minorHAnsi" w:cstheme="minorHAnsi"/>
                          <w:sz w:val="22"/>
                          <w:szCs w:val="22"/>
                          <w:lang w:val="sr-Cyrl-RS"/>
                        </w:rPr>
                        <w:t xml:space="preserve">уређене и систематизоване </w:t>
                      </w:r>
                      <w:r w:rsidRPr="001B2E03">
                        <w:rPr>
                          <w:rFonts w:asciiTheme="minorHAnsi" w:eastAsia="Calibri" w:hAnsiTheme="minorHAnsi" w:cstheme="minorHAnsi"/>
                          <w:b/>
                          <w:sz w:val="22"/>
                          <w:szCs w:val="22"/>
                          <w:lang w:val="sr-Cyrl-RS"/>
                        </w:rPr>
                        <w:t>обавезе органа јавне управе у области спречавања корупције и јачања интегритета</w:t>
                      </w:r>
                    </w:p>
                  </w:txbxContent>
                </v:textbox>
              </v:roundrect>
            </w:pict>
          </mc:Fallback>
        </mc:AlternateContent>
      </w:r>
      <w:r w:rsidR="001E0653"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82976" behindDoc="0" locked="0" layoutInCell="1" allowOverlap="1" wp14:anchorId="4315B296" wp14:editId="0D8034CD">
                <wp:simplePos x="0" y="0"/>
                <wp:positionH relativeFrom="column">
                  <wp:posOffset>4371340</wp:posOffset>
                </wp:positionH>
                <wp:positionV relativeFrom="paragraph">
                  <wp:posOffset>49530</wp:posOffset>
                </wp:positionV>
                <wp:extent cx="2194560" cy="1316990"/>
                <wp:effectExtent l="19050" t="19050" r="15240" b="1651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1316990"/>
                        </a:xfrm>
                        <a:prstGeom prst="roundRect">
                          <a:avLst/>
                        </a:prstGeom>
                        <a:solidFill>
                          <a:sysClr val="window" lastClr="FFFFFF"/>
                        </a:solidFill>
                        <a:ln w="38100" cmpd="dbl">
                          <a:solidFill>
                            <a:schemeClr val="accent1">
                              <a:lumMod val="40000"/>
                              <a:lumOff val="60000"/>
                            </a:schemeClr>
                          </a:solidFill>
                        </a:ln>
                        <a:effectLst/>
                      </wps:spPr>
                      <wps:txbx>
                        <w:txbxContent>
                          <w:p w14:paraId="6B6E0837" w14:textId="6D1765F2" w:rsidR="00876FFE" w:rsidRPr="001B2E03" w:rsidRDefault="00876FFE" w:rsidP="001E0653">
                            <w:pPr>
                              <w:pStyle w:val="NormalWeb"/>
                              <w:spacing w:before="0" w:beforeAutospacing="0" w:after="120" w:afterAutospacing="0"/>
                              <w:jc w:val="center"/>
                              <w:rPr>
                                <w:rFonts w:asciiTheme="minorHAnsi" w:eastAsia="Calibri" w:hAnsiTheme="minorHAnsi" w:cstheme="minorHAnsi"/>
                                <w:b/>
                                <w:sz w:val="22"/>
                                <w:szCs w:val="22"/>
                                <w:lang w:val="sr-Cyrl-RS"/>
                              </w:rPr>
                            </w:pPr>
                            <w:r w:rsidRPr="001B2E03">
                              <w:rPr>
                                <w:rFonts w:asciiTheme="minorHAnsi" w:eastAsia="Calibri" w:hAnsiTheme="minorHAnsi" w:cstheme="minorHAnsi"/>
                                <w:b/>
                                <w:sz w:val="22"/>
                                <w:szCs w:val="22"/>
                                <w:lang w:val="sr-Cyrl-RS"/>
                              </w:rPr>
                              <w:t xml:space="preserve">Неадекватно разматрање извештаја независних </w:t>
                            </w:r>
                            <w:r w:rsidRPr="001B2E03">
                              <w:rPr>
                                <w:rFonts w:asciiTheme="minorHAnsi" w:eastAsia="Calibri" w:hAnsiTheme="minorHAnsi" w:cstheme="minorHAnsi"/>
                                <w:b/>
                                <w:sz w:val="22"/>
                                <w:szCs w:val="22"/>
                                <w:lang w:val="sr-Cyrl-RS"/>
                              </w:rPr>
                              <w:br/>
                              <w:t>државних органа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15B296" id="Text Box 469" o:spid="_x0000_s1303" style="position:absolute;margin-left:344.2pt;margin-top:3.9pt;width:172.8pt;height:103.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" fillcolor="window" strokecolor="#b4c6e7 [1300]" strokeweight="3pt">
                <v:stroke linestyle="thinThin"/>
                <v:path arrowok="t"/>
                <v:textbox inset="0,0,0,0">
                  <w:txbxContent>
                    <w:p w14:paraId="6B6E0837" w14:textId="6D1765F2" w:rsidR="00876FFE" w:rsidRPr="001B2E03" w:rsidRDefault="00876FFE" w:rsidP="001E0653">
                      <w:pPr>
                        <w:pStyle w:val="NormalWeb"/>
                        <w:spacing w:before="0" w:beforeAutospacing="0" w:after="120" w:afterAutospacing="0"/>
                        <w:jc w:val="center"/>
                        <w:rPr>
                          <w:rFonts w:asciiTheme="minorHAnsi" w:eastAsia="Calibri" w:hAnsiTheme="minorHAnsi" w:cstheme="minorHAnsi"/>
                          <w:b/>
                          <w:sz w:val="22"/>
                          <w:szCs w:val="22"/>
                          <w:lang w:val="sr-Cyrl-RS"/>
                        </w:rPr>
                      </w:pPr>
                      <w:r w:rsidRPr="001B2E03">
                        <w:rPr>
                          <w:rFonts w:asciiTheme="minorHAnsi" w:eastAsia="Calibri" w:hAnsiTheme="minorHAnsi" w:cstheme="minorHAnsi"/>
                          <w:b/>
                          <w:sz w:val="22"/>
                          <w:szCs w:val="22"/>
                          <w:lang w:val="sr-Cyrl-RS"/>
                        </w:rPr>
                        <w:t xml:space="preserve">Неадекватно разматрање извештаја независних </w:t>
                      </w:r>
                      <w:r w:rsidRPr="001B2E03">
                        <w:rPr>
                          <w:rFonts w:asciiTheme="minorHAnsi" w:eastAsia="Calibri" w:hAnsiTheme="minorHAnsi" w:cstheme="minorHAnsi"/>
                          <w:b/>
                          <w:sz w:val="22"/>
                          <w:szCs w:val="22"/>
                          <w:lang w:val="sr-Cyrl-RS"/>
                        </w:rPr>
                        <w:br/>
                        <w:t>државних органа</w:t>
                      </w:r>
                    </w:p>
                  </w:txbxContent>
                </v:textbox>
              </v:roundrect>
            </w:pict>
          </mc:Fallback>
        </mc:AlternateContent>
      </w:r>
    </w:p>
    <w:p w14:paraId="5A94E339" w14:textId="76F6C616" w:rsidR="004627A6" w:rsidRPr="000F0299" w:rsidRDefault="004627A6"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p>
    <w:p w14:paraId="1CDDD58E" w14:textId="63E8B909" w:rsidR="004627A6" w:rsidRPr="000F0299" w:rsidRDefault="004627A6"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p>
    <w:p w14:paraId="055665E2" w14:textId="77777777" w:rsidR="004627A6" w:rsidRPr="000F0299" w:rsidRDefault="004627A6"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p>
    <w:p w14:paraId="5E8F328B" w14:textId="22AF40A9" w:rsidR="004627A6" w:rsidRPr="000F0299" w:rsidRDefault="002F32C8"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34848" behindDoc="0" locked="0" layoutInCell="1" allowOverlap="1" wp14:anchorId="5FD73B70" wp14:editId="0A7666F4">
                <wp:simplePos x="0" y="0"/>
                <wp:positionH relativeFrom="column">
                  <wp:posOffset>10296253</wp:posOffset>
                </wp:positionH>
                <wp:positionV relativeFrom="paragraph">
                  <wp:posOffset>183696</wp:posOffset>
                </wp:positionV>
                <wp:extent cx="0" cy="231140"/>
                <wp:effectExtent l="57150" t="38100" r="57150" b="16510"/>
                <wp:wrapNone/>
                <wp:docPr id="459" name="Straight Arrow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140"/>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6AF05E" id="Straight Arrow Connector 459" o:spid="_x0000_s1026" type="#_x0000_t32" style="position:absolute;margin-left:810.75pt;margin-top:14.45pt;width:0;height:18.2pt;flip:y;z-index:251534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" strokecolor="#d9e2f3 [660]" strokeweight="2.25pt">
                <v:stroke endarrow="block" joinstyle="miter"/>
                <o:lock v:ext="edit" shapetype="f"/>
              </v:shape>
            </w:pict>
          </mc:Fallback>
        </mc:AlternateContent>
      </w:r>
      <w:r w:rsidR="001E0653" w:rsidRPr="000F0299">
        <w:rPr>
          <w:rFonts w:eastAsiaTheme="minorHAnsi" w:cstheme="minorBidi"/>
          <w:noProof/>
          <w:kern w:val="0"/>
          <w:sz w:val="18"/>
          <w:szCs w:val="22"/>
          <w:lang w:val="en-US" w:eastAsia="en-US" w:bidi="ar-SA"/>
        </w:rPr>
        <mc:AlternateContent>
          <mc:Choice Requires="wps">
            <w:drawing>
              <wp:anchor distT="0" distB="0" distL="114300" distR="114300" simplePos="0" relativeHeight="251560448" behindDoc="0" locked="0" layoutInCell="1" allowOverlap="1" wp14:anchorId="435B166E" wp14:editId="7B58673E">
                <wp:simplePos x="0" y="0"/>
                <wp:positionH relativeFrom="column">
                  <wp:posOffset>7890510</wp:posOffset>
                </wp:positionH>
                <wp:positionV relativeFrom="paragraph">
                  <wp:posOffset>118110</wp:posOffset>
                </wp:positionV>
                <wp:extent cx="0" cy="216000"/>
                <wp:effectExtent l="57150" t="38100" r="57150" b="12700"/>
                <wp:wrapNone/>
                <wp:docPr id="151" name="Straight Arrow Connector 151"/>
                <wp:cNvGraphicFramePr/>
                <a:graphic xmlns:a="http://schemas.openxmlformats.org/drawingml/2006/main">
                  <a:graphicData uri="http://schemas.microsoft.com/office/word/2010/wordprocessingShape">
                    <wps:wsp>
                      <wps:cNvCnPr/>
                      <wps:spPr>
                        <a:xfrm flipV="1">
                          <a:off x="0" y="0"/>
                          <a:ext cx="0" cy="216000"/>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D3AA26" id="Straight Arrow Connector 151" o:spid="_x0000_s1026" type="#_x0000_t32" style="position:absolute;margin-left:621.3pt;margin-top:9.3pt;width:0;height:17pt;flip:y;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" strokecolor="#d9e2f3 [660]" strokeweight="2.25pt">
                <v:stroke endarrow="block" joinstyle="miter"/>
              </v:shape>
            </w:pict>
          </mc:Fallback>
        </mc:AlternateContent>
      </w:r>
    </w:p>
    <w:p w14:paraId="3692D51D" w14:textId="2FFD72C6" w:rsidR="004627A6" w:rsidRPr="000F0299" w:rsidRDefault="002F32C8"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87072" behindDoc="0" locked="0" layoutInCell="1" allowOverlap="1" wp14:anchorId="519E6B1A" wp14:editId="097DB61B">
                <wp:simplePos x="0" y="0"/>
                <wp:positionH relativeFrom="column">
                  <wp:posOffset>6758396</wp:posOffset>
                </wp:positionH>
                <wp:positionV relativeFrom="paragraph">
                  <wp:posOffset>65042</wp:posOffset>
                </wp:positionV>
                <wp:extent cx="2313940" cy="1556657"/>
                <wp:effectExtent l="0" t="0" r="10160" b="24765"/>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3940" cy="1556657"/>
                        </a:xfrm>
                        <a:prstGeom prst="roundRect">
                          <a:avLst/>
                        </a:prstGeom>
                        <a:solidFill>
                          <a:sysClr val="window" lastClr="FFFFFF"/>
                        </a:solidFill>
                        <a:ln w="19050">
                          <a:solidFill>
                            <a:schemeClr val="accent1">
                              <a:lumMod val="20000"/>
                              <a:lumOff val="80000"/>
                            </a:schemeClr>
                          </a:solidFill>
                        </a:ln>
                        <a:effectLst/>
                      </wps:spPr>
                      <wps:txbx>
                        <w:txbxContent>
                          <w:p w14:paraId="1A5F36A0" w14:textId="2D1A3AD0" w:rsidR="00876FFE" w:rsidRPr="001B2E03" w:rsidRDefault="00876FFE" w:rsidP="001E0653">
                            <w:pPr>
                              <w:pStyle w:val="NormalWeb"/>
                              <w:spacing w:before="0" w:beforeAutospacing="0" w:after="0" w:afterAutospacing="0" w:line="216" w:lineRule="auto"/>
                              <w:jc w:val="center"/>
                              <w:rPr>
                                <w:rFonts w:asciiTheme="minorHAnsi" w:hAnsiTheme="minorHAnsi" w:cstheme="minorHAnsi"/>
                                <w:sz w:val="22"/>
                                <w:szCs w:val="22"/>
                                <w:lang w:val="sr-Cyrl-RS"/>
                              </w:rPr>
                            </w:pPr>
                            <w:r w:rsidRPr="001B2E03">
                              <w:rPr>
                                <w:rFonts w:asciiTheme="minorHAnsi" w:eastAsia="Calibri" w:hAnsiTheme="minorHAnsi" w:cstheme="minorHAnsi"/>
                                <w:spacing w:val="-14"/>
                                <w:sz w:val="22"/>
                                <w:szCs w:val="22"/>
                                <w:lang w:val="sr-Cyrl-RS"/>
                              </w:rPr>
                              <w:t>Недостатак обавезе органа јавне власти да одреде овлашћена лица за праћење спровођења кодекса  понашања; пружање савета запосленима о етичким питањима; бригу о редовној едукацији запослених у овој области и поступање по притужбама на неетичко</w:t>
                            </w:r>
                            <w:r w:rsidRPr="001B2E03">
                              <w:rPr>
                                <w:rFonts w:asciiTheme="minorHAnsi" w:eastAsia="Calibri" w:hAnsiTheme="minorHAnsi" w:cstheme="minorHAnsi"/>
                                <w:sz w:val="22"/>
                                <w:szCs w:val="22"/>
                                <w:lang w:val="sr-Cyrl-RS"/>
                              </w:rPr>
                              <w:t xml:space="preserve"> понашање запослених</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19E6B1A" id="Text Box 433" o:spid="_x0000_s1304" style="position:absolute;margin-left:532.15pt;margin-top:5.1pt;width:182.2pt;height:122.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" fillcolor="window" strokecolor="#d9e2f3 [660]" strokeweight="1.5pt">
                <v:path arrowok="t"/>
                <v:textbox inset="1mm,0,1mm,0">
                  <w:txbxContent>
                    <w:p w14:paraId="1A5F36A0" w14:textId="2D1A3AD0" w:rsidR="00876FFE" w:rsidRPr="001B2E03" w:rsidRDefault="00876FFE" w:rsidP="001E0653">
                      <w:pPr>
                        <w:pStyle w:val="NormalWeb"/>
                        <w:spacing w:before="0" w:beforeAutospacing="0" w:after="0" w:afterAutospacing="0" w:line="216" w:lineRule="auto"/>
                        <w:jc w:val="center"/>
                        <w:rPr>
                          <w:rFonts w:asciiTheme="minorHAnsi" w:hAnsiTheme="minorHAnsi" w:cstheme="minorHAnsi"/>
                          <w:sz w:val="22"/>
                          <w:szCs w:val="22"/>
                          <w:lang w:val="sr-Cyrl-RS"/>
                        </w:rPr>
                      </w:pPr>
                      <w:r w:rsidRPr="001B2E03">
                        <w:rPr>
                          <w:rFonts w:asciiTheme="minorHAnsi" w:eastAsia="Calibri" w:hAnsiTheme="minorHAnsi" w:cstheme="minorHAnsi"/>
                          <w:spacing w:val="-14"/>
                          <w:sz w:val="22"/>
                          <w:szCs w:val="22"/>
                          <w:lang w:val="sr-Cyrl-RS"/>
                        </w:rPr>
                        <w:t xml:space="preserve">Недостатак </w:t>
                      </w:r>
                      <w:r w:rsidRPr="001B2E03">
                        <w:rPr>
                          <w:rFonts w:asciiTheme="minorHAnsi" w:eastAsia="Calibri" w:hAnsiTheme="minorHAnsi" w:cstheme="minorHAnsi"/>
                          <w:spacing w:val="-14"/>
                          <w:sz w:val="22"/>
                          <w:szCs w:val="22"/>
                          <w:lang w:val="sr-Cyrl-RS"/>
                        </w:rPr>
                        <w:t>обавезе органа јавне власти да одреде овлашћена лица за праћење спровођења кодекса  понашања; пружање савета запосленима о етичким питањима; бригу о редовној едукацији запослених у овој области и поступање по притужбама на неетичко</w:t>
                      </w:r>
                      <w:r w:rsidRPr="001B2E03">
                        <w:rPr>
                          <w:rFonts w:asciiTheme="minorHAnsi" w:eastAsia="Calibri" w:hAnsiTheme="minorHAnsi" w:cstheme="minorHAnsi"/>
                          <w:sz w:val="22"/>
                          <w:szCs w:val="22"/>
                          <w:lang w:val="sr-Cyrl-RS"/>
                        </w:rPr>
                        <w:t xml:space="preserve"> понашање запослених</w:t>
                      </w:r>
                    </w:p>
                  </w:txbxContent>
                </v:textbox>
              </v:roundrect>
            </w:pict>
          </mc:Fallback>
        </mc:AlternateContent>
      </w: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91168" behindDoc="0" locked="0" layoutInCell="1" allowOverlap="1" wp14:anchorId="5D3919DD" wp14:editId="36BFD199">
                <wp:simplePos x="0" y="0"/>
                <wp:positionH relativeFrom="column">
                  <wp:posOffset>9272905</wp:posOffset>
                </wp:positionH>
                <wp:positionV relativeFrom="paragraph">
                  <wp:posOffset>162560</wp:posOffset>
                </wp:positionV>
                <wp:extent cx="2209800" cy="951230"/>
                <wp:effectExtent l="0" t="0" r="19050" b="2032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951230"/>
                        </a:xfrm>
                        <a:prstGeom prst="roundRect">
                          <a:avLst/>
                        </a:prstGeom>
                        <a:solidFill>
                          <a:sysClr val="window" lastClr="FFFFFF"/>
                        </a:solidFill>
                        <a:ln w="19050">
                          <a:solidFill>
                            <a:schemeClr val="accent1">
                              <a:lumMod val="20000"/>
                              <a:lumOff val="80000"/>
                            </a:schemeClr>
                          </a:solidFill>
                        </a:ln>
                        <a:effectLst/>
                      </wps:spPr>
                      <wps:txbx>
                        <w:txbxContent>
                          <w:p w14:paraId="478816BC" w14:textId="3D158C9F" w:rsidR="00876FFE" w:rsidRPr="008E12BD" w:rsidRDefault="00876FFE" w:rsidP="002F32C8">
                            <w:pPr>
                              <w:pStyle w:val="NormalWeb"/>
                              <w:spacing w:before="0" w:beforeAutospacing="0" w:after="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Недостају стручни кадрови и процена трошкова за пренос докумената и евиденција у машински читљив формат</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3919DD" id="Text Box 455" o:spid="_x0000_s1305" style="position:absolute;margin-left:730.15pt;margin-top:12.8pt;width:174pt;height:74.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" fillcolor="window" strokecolor="#d9e2f3 [660]" strokeweight="1.5pt">
                <v:path arrowok="t"/>
                <v:textbox inset="1mm,0,1mm,0">
                  <w:txbxContent>
                    <w:p w14:paraId="478816BC" w14:textId="3D158C9F" w:rsidR="00876FFE" w:rsidRPr="008E12BD" w:rsidRDefault="00876FFE" w:rsidP="002F32C8">
                      <w:pPr>
                        <w:pStyle w:val="NormalWeb"/>
                        <w:spacing w:before="0" w:beforeAutospacing="0" w:after="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Недостају </w:t>
                      </w:r>
                      <w:r w:rsidRPr="008E12BD">
                        <w:rPr>
                          <w:rFonts w:asciiTheme="minorHAnsi" w:eastAsia="Calibri" w:hAnsiTheme="minorHAnsi" w:cstheme="minorHAnsi"/>
                          <w:sz w:val="22"/>
                          <w:szCs w:val="22"/>
                          <w:lang w:val="sr-Cyrl-RS"/>
                        </w:rPr>
                        <w:t>стручни кадрови и процена трошкова за пренос докумената и евиденција у машински читљив формат</w:t>
                      </w:r>
                    </w:p>
                  </w:txbxContent>
                </v:textbox>
              </v:roundrect>
            </w:pict>
          </mc:Fallback>
        </mc:AlternateContent>
      </w:r>
    </w:p>
    <w:p w14:paraId="3A06927A" w14:textId="3E6F3BD0" w:rsidR="004627A6" w:rsidRPr="000F0299" w:rsidRDefault="002618EB"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79904" behindDoc="0" locked="0" layoutInCell="1" allowOverlap="1" wp14:anchorId="3DD97785" wp14:editId="77D89F5D">
                <wp:simplePos x="0" y="0"/>
                <wp:positionH relativeFrom="column">
                  <wp:posOffset>1946910</wp:posOffset>
                </wp:positionH>
                <wp:positionV relativeFrom="paragraph">
                  <wp:posOffset>126637</wp:posOffset>
                </wp:positionV>
                <wp:extent cx="2209800" cy="1164772"/>
                <wp:effectExtent l="0" t="0" r="19050" b="1651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1164772"/>
                        </a:xfrm>
                        <a:prstGeom prst="roundRect">
                          <a:avLst/>
                        </a:prstGeom>
                        <a:solidFill>
                          <a:sysClr val="window" lastClr="FFFFFF"/>
                        </a:solidFill>
                        <a:ln w="19050">
                          <a:solidFill>
                            <a:schemeClr val="accent1">
                              <a:lumMod val="20000"/>
                              <a:lumOff val="80000"/>
                            </a:schemeClr>
                          </a:solidFill>
                        </a:ln>
                        <a:effectLst/>
                      </wps:spPr>
                      <wps:txbx>
                        <w:txbxContent>
                          <w:p w14:paraId="2BF108CB" w14:textId="6DA01C0E" w:rsidR="00876FFE" w:rsidRPr="008E12BD" w:rsidRDefault="00876FFE" w:rsidP="002618EB">
                            <w:pPr>
                              <w:spacing w:before="0" w:line="216" w:lineRule="auto"/>
                              <w:jc w:val="center"/>
                              <w:rPr>
                                <w:rFonts w:asciiTheme="minorHAnsi" w:hAnsiTheme="minorHAnsi" w:cstheme="minorHAnsi"/>
                                <w:sz w:val="22"/>
                                <w:szCs w:val="22"/>
                              </w:rPr>
                            </w:pPr>
                            <w:r w:rsidRPr="008E12BD">
                              <w:rPr>
                                <w:rFonts w:asciiTheme="minorHAnsi" w:hAnsiTheme="minorHAnsi" w:cstheme="minorHAnsi"/>
                                <w:sz w:val="22"/>
                                <w:szCs w:val="22"/>
                              </w:rPr>
                              <w:t xml:space="preserve">Непостојање </w:t>
                            </w:r>
                            <w:r w:rsidRPr="008E12BD">
                              <w:rPr>
                                <w:rFonts w:asciiTheme="minorHAnsi" w:hAnsiTheme="minorHAnsi" w:cstheme="minorHAnsi"/>
                                <w:sz w:val="22"/>
                                <w:szCs w:val="22"/>
                              </w:rPr>
                              <w:br/>
                              <w:t xml:space="preserve">интер-институционалног </w:t>
                            </w:r>
                            <w:r w:rsidRPr="008E12BD">
                              <w:rPr>
                                <w:rFonts w:asciiTheme="minorHAnsi" w:hAnsiTheme="minorHAnsi" w:cstheme="minorHAnsi"/>
                                <w:sz w:val="22"/>
                                <w:szCs w:val="22"/>
                              </w:rPr>
                              <w:br/>
                              <w:t xml:space="preserve">надзора (матична институција – орган у саставу или орган </w:t>
                            </w:r>
                            <w:r w:rsidRPr="008E12BD">
                              <w:rPr>
                                <w:rFonts w:asciiTheme="minorHAnsi" w:hAnsiTheme="minorHAnsi" w:cstheme="minorHAnsi"/>
                                <w:sz w:val="22"/>
                                <w:szCs w:val="22"/>
                              </w:rPr>
                              <w:br/>
                              <w:t>повезан са матичном институцијом, агенција)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D97785" id="Text Box 440" o:spid="_x0000_s1306" style="position:absolute;margin-left:153.3pt;margin-top:9.95pt;width:174pt;height:91.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" fillcolor="window" strokecolor="#d9e2f3 [660]" strokeweight="1.5pt">
                <v:path arrowok="t"/>
                <v:textbox inset="1mm,0,1mm,0">
                  <w:txbxContent>
                    <w:p w14:paraId="2BF108CB" w14:textId="6DA01C0E" w:rsidR="00876FFE" w:rsidRPr="008E12BD" w:rsidRDefault="00876FFE" w:rsidP="002618EB">
                      <w:pPr>
                        <w:spacing w:before="0" w:line="216" w:lineRule="auto"/>
                        <w:jc w:val="center"/>
                        <w:rPr>
                          <w:rFonts w:asciiTheme="minorHAnsi" w:hAnsiTheme="minorHAnsi" w:cstheme="minorHAnsi"/>
                          <w:sz w:val="22"/>
                          <w:szCs w:val="22"/>
                        </w:rPr>
                      </w:pPr>
                      <w:r w:rsidRPr="008E12BD">
                        <w:rPr>
                          <w:rFonts w:asciiTheme="minorHAnsi" w:hAnsiTheme="minorHAnsi" w:cstheme="minorHAnsi"/>
                          <w:sz w:val="22"/>
                          <w:szCs w:val="22"/>
                        </w:rPr>
                        <w:t xml:space="preserve">Непостојање </w:t>
                      </w:r>
                      <w:r w:rsidRPr="008E12BD">
                        <w:rPr>
                          <w:rFonts w:asciiTheme="minorHAnsi" w:hAnsiTheme="minorHAnsi" w:cstheme="minorHAnsi"/>
                          <w:sz w:val="22"/>
                          <w:szCs w:val="22"/>
                        </w:rPr>
                        <w:br/>
                      </w:r>
                      <w:r w:rsidRPr="008E12BD">
                        <w:rPr>
                          <w:rFonts w:asciiTheme="minorHAnsi" w:hAnsiTheme="minorHAnsi" w:cstheme="minorHAnsi"/>
                          <w:sz w:val="22"/>
                          <w:szCs w:val="22"/>
                        </w:rPr>
                        <w:t xml:space="preserve">интер-институционалног </w:t>
                      </w:r>
                      <w:r w:rsidRPr="008E12BD">
                        <w:rPr>
                          <w:rFonts w:asciiTheme="minorHAnsi" w:hAnsiTheme="minorHAnsi" w:cstheme="minorHAnsi"/>
                          <w:sz w:val="22"/>
                          <w:szCs w:val="22"/>
                        </w:rPr>
                        <w:br/>
                        <w:t xml:space="preserve">надзора (матична институција – орган у саставу или орган </w:t>
                      </w:r>
                      <w:r w:rsidRPr="008E12BD">
                        <w:rPr>
                          <w:rFonts w:asciiTheme="minorHAnsi" w:hAnsiTheme="minorHAnsi" w:cstheme="minorHAnsi"/>
                          <w:sz w:val="22"/>
                          <w:szCs w:val="22"/>
                        </w:rPr>
                        <w:br/>
                        <w:t>повезан са матичном институцијом, агенција)</w:t>
                      </w:r>
                    </w:p>
                  </w:txbxContent>
                </v:textbox>
              </v:roundrect>
            </w:pict>
          </mc:Fallback>
        </mc:AlternateContent>
      </w:r>
      <w:r w:rsidR="001E0653"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84000" behindDoc="0" locked="0" layoutInCell="1" allowOverlap="1" wp14:anchorId="64D2D25F" wp14:editId="4C66A93F">
                <wp:simplePos x="0" y="0"/>
                <wp:positionH relativeFrom="column">
                  <wp:posOffset>4385310</wp:posOffset>
                </wp:positionH>
                <wp:positionV relativeFrom="paragraph">
                  <wp:posOffset>71755</wp:posOffset>
                </wp:positionV>
                <wp:extent cx="2194560" cy="1779905"/>
                <wp:effectExtent l="0" t="0" r="15240" b="10795"/>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1779905"/>
                        </a:xfrm>
                        <a:prstGeom prst="roundRect">
                          <a:avLst/>
                        </a:prstGeom>
                        <a:solidFill>
                          <a:sysClr val="window" lastClr="FFFFFF"/>
                        </a:solidFill>
                        <a:ln w="19050">
                          <a:solidFill>
                            <a:schemeClr val="accent1">
                              <a:lumMod val="20000"/>
                              <a:lumOff val="80000"/>
                            </a:schemeClr>
                          </a:solidFill>
                        </a:ln>
                        <a:effectLst/>
                      </wps:spPr>
                      <wps:txbx>
                        <w:txbxContent>
                          <w:p w14:paraId="69FAF8C3" w14:textId="35AED93E" w:rsidR="00876FFE" w:rsidRPr="001B2E03" w:rsidRDefault="00876FFE" w:rsidP="001E0653">
                            <w:pPr>
                              <w:pStyle w:val="NormalWeb"/>
                              <w:spacing w:before="0" w:beforeAutospacing="0" w:after="0" w:afterAutospacing="0" w:line="216" w:lineRule="auto"/>
                              <w:jc w:val="center"/>
                              <w:rPr>
                                <w:rFonts w:asciiTheme="minorHAns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Нејасне границе одговорности између локалних и државних органа приликом делегирања послова / </w:t>
                            </w:r>
                            <w:r w:rsidRPr="001B2E03">
                              <w:rPr>
                                <w:rFonts w:asciiTheme="minorHAnsi" w:eastAsia="Calibri" w:hAnsiTheme="minorHAnsi" w:cstheme="minorHAnsi"/>
                                <w:sz w:val="22"/>
                                <w:szCs w:val="22"/>
                                <w:lang w:val="sr-Cyrl-RS"/>
                              </w:rPr>
                              <w:br/>
                              <w:t xml:space="preserve">Пренос надлежности на </w:t>
                            </w:r>
                            <w:r w:rsidRPr="001B2E03">
                              <w:rPr>
                                <w:rFonts w:asciiTheme="minorHAnsi" w:eastAsia="Calibri" w:hAnsiTheme="minorHAnsi" w:cstheme="minorHAnsi"/>
                                <w:spacing w:val="-16"/>
                                <w:sz w:val="22"/>
                                <w:szCs w:val="22"/>
                                <w:lang w:val="sr-Cyrl-RS"/>
                              </w:rPr>
                              <w:t>ЈЛС се врши без претходних</w:t>
                            </w:r>
                            <w:r w:rsidRPr="001B2E03">
                              <w:rPr>
                                <w:rFonts w:asciiTheme="minorHAnsi" w:eastAsia="Calibri" w:hAnsiTheme="minorHAnsi" w:cstheme="minorHAnsi"/>
                                <w:sz w:val="22"/>
                                <w:szCs w:val="22"/>
                                <w:lang w:val="sr-Cyrl-RS"/>
                              </w:rPr>
                              <w:t xml:space="preserve"> анализа њиховог </w:t>
                            </w:r>
                            <w:r w:rsidRPr="001B2E03">
                              <w:rPr>
                                <w:rFonts w:asciiTheme="minorHAnsi" w:eastAsia="Calibri" w:hAnsiTheme="minorHAnsi" w:cstheme="minorHAnsi"/>
                                <w:spacing w:val="-18"/>
                                <w:sz w:val="22"/>
                                <w:szCs w:val="22"/>
                                <w:lang w:val="sr-Cyrl-RS"/>
                              </w:rPr>
                              <w:t>капацитета за спровођење</w:t>
                            </w:r>
                            <w:r w:rsidRPr="001B2E03">
                              <w:rPr>
                                <w:rFonts w:asciiTheme="minorHAnsi" w:eastAsia="Calibri" w:hAnsiTheme="minorHAnsi" w:cstheme="minorHAnsi"/>
                                <w:sz w:val="22"/>
                                <w:szCs w:val="22"/>
                                <w:lang w:val="sr-Cyrl-RS"/>
                              </w:rPr>
                              <w:t xml:space="preserve"> поверених послова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D2D25F" id="Text Box 443" o:spid="_x0000_s1307" style="position:absolute;margin-left:345.3pt;margin-top:5.65pt;width:172.8pt;height:140.1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" fillcolor="window" strokecolor="#d9e2f3 [660]" strokeweight="1.5pt">
                <v:path arrowok="t"/>
                <v:textbox inset="1mm,0,1mm,0">
                  <w:txbxContent>
                    <w:p w14:paraId="69FAF8C3" w14:textId="35AED93E" w:rsidR="00876FFE" w:rsidRPr="001B2E03" w:rsidRDefault="00876FFE" w:rsidP="001E0653">
                      <w:pPr>
                        <w:pStyle w:val="NormalWeb"/>
                        <w:spacing w:before="0" w:beforeAutospacing="0" w:after="0" w:afterAutospacing="0" w:line="216" w:lineRule="auto"/>
                        <w:jc w:val="center"/>
                        <w:rPr>
                          <w:rFonts w:asciiTheme="minorHAns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Нејасне </w:t>
                      </w:r>
                      <w:r w:rsidRPr="001B2E03">
                        <w:rPr>
                          <w:rFonts w:asciiTheme="minorHAnsi" w:eastAsia="Calibri" w:hAnsiTheme="minorHAnsi" w:cstheme="minorHAnsi"/>
                          <w:sz w:val="22"/>
                          <w:szCs w:val="22"/>
                          <w:lang w:val="sr-Cyrl-RS"/>
                        </w:rPr>
                        <w:t xml:space="preserve">границе одговорности између локалних и државних органа приликом делегирања послова / </w:t>
                      </w:r>
                      <w:r w:rsidRPr="001B2E03">
                        <w:rPr>
                          <w:rFonts w:asciiTheme="minorHAnsi" w:eastAsia="Calibri" w:hAnsiTheme="minorHAnsi" w:cstheme="minorHAnsi"/>
                          <w:sz w:val="22"/>
                          <w:szCs w:val="22"/>
                          <w:lang w:val="sr-Cyrl-RS"/>
                        </w:rPr>
                        <w:br/>
                        <w:t xml:space="preserve">Пренос надлежности на </w:t>
                      </w:r>
                      <w:r w:rsidRPr="001B2E03">
                        <w:rPr>
                          <w:rFonts w:asciiTheme="minorHAnsi" w:eastAsia="Calibri" w:hAnsiTheme="minorHAnsi" w:cstheme="minorHAnsi"/>
                          <w:spacing w:val="-16"/>
                          <w:sz w:val="22"/>
                          <w:szCs w:val="22"/>
                          <w:lang w:val="sr-Cyrl-RS"/>
                        </w:rPr>
                        <w:t>ЈЛС се врши без претходних</w:t>
                      </w:r>
                      <w:r w:rsidRPr="001B2E03">
                        <w:rPr>
                          <w:rFonts w:asciiTheme="minorHAnsi" w:eastAsia="Calibri" w:hAnsiTheme="minorHAnsi" w:cstheme="minorHAnsi"/>
                          <w:sz w:val="22"/>
                          <w:szCs w:val="22"/>
                          <w:lang w:val="sr-Cyrl-RS"/>
                        </w:rPr>
                        <w:t xml:space="preserve"> анализа њиховог </w:t>
                      </w:r>
                      <w:r w:rsidRPr="001B2E03">
                        <w:rPr>
                          <w:rFonts w:asciiTheme="minorHAnsi" w:eastAsia="Calibri" w:hAnsiTheme="minorHAnsi" w:cstheme="minorHAnsi"/>
                          <w:spacing w:val="-18"/>
                          <w:sz w:val="22"/>
                          <w:szCs w:val="22"/>
                          <w:lang w:val="sr-Cyrl-RS"/>
                        </w:rPr>
                        <w:t>капацитета за спровођење</w:t>
                      </w:r>
                      <w:r w:rsidRPr="001B2E03">
                        <w:rPr>
                          <w:rFonts w:asciiTheme="minorHAnsi" w:eastAsia="Calibri" w:hAnsiTheme="minorHAnsi" w:cstheme="minorHAnsi"/>
                          <w:sz w:val="22"/>
                          <w:szCs w:val="22"/>
                          <w:lang w:val="sr-Cyrl-RS"/>
                        </w:rPr>
                        <w:t xml:space="preserve"> поверених послова</w:t>
                      </w:r>
                    </w:p>
                  </w:txbxContent>
                </v:textbox>
              </v:roundrect>
            </w:pict>
          </mc:Fallback>
        </mc:AlternateContent>
      </w:r>
    </w:p>
    <w:p w14:paraId="292E1D1A" w14:textId="5102267F" w:rsidR="004627A6" w:rsidRPr="000F0299" w:rsidRDefault="004627A6"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p>
    <w:p w14:paraId="691F2C8F" w14:textId="1FAAE2C1" w:rsidR="004627A6" w:rsidRPr="000F0299" w:rsidRDefault="004627A6"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p>
    <w:p w14:paraId="6BFD5A0A" w14:textId="03C56BFF" w:rsidR="004627A6" w:rsidRPr="000F0299" w:rsidRDefault="002F32C8"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59424" behindDoc="0" locked="0" layoutInCell="1" allowOverlap="1" wp14:anchorId="61BBBD59" wp14:editId="1977B679">
                <wp:simplePos x="0" y="0"/>
                <wp:positionH relativeFrom="column">
                  <wp:posOffset>10296253</wp:posOffset>
                </wp:positionH>
                <wp:positionV relativeFrom="paragraph">
                  <wp:posOffset>131173</wp:posOffset>
                </wp:positionV>
                <wp:extent cx="0" cy="153670"/>
                <wp:effectExtent l="57150" t="38100" r="57150" b="17780"/>
                <wp:wrapNone/>
                <wp:docPr id="490" name="Straight Arrow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53670"/>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CAA36" id="Straight Arrow Connector 490" o:spid="_x0000_s1026" type="#_x0000_t32" style="position:absolute;margin-left:810.75pt;margin-top:10.35pt;width:0;height:12.1pt;flip:x y;z-index:251559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" strokecolor="#d9e2f3 [660]" strokeweight="2.25pt">
                <v:stroke endarrow="block" joinstyle="miter"/>
                <o:lock v:ext="edit" shapetype="f"/>
              </v:shape>
            </w:pict>
          </mc:Fallback>
        </mc:AlternateContent>
      </w:r>
    </w:p>
    <w:p w14:paraId="717427A4" w14:textId="614AF7E8" w:rsidR="004627A6" w:rsidRPr="000F0299" w:rsidRDefault="002F32C8"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92192" behindDoc="0" locked="0" layoutInCell="1" allowOverlap="1" wp14:anchorId="32566B42" wp14:editId="209FF89B">
                <wp:simplePos x="0" y="0"/>
                <wp:positionH relativeFrom="column">
                  <wp:posOffset>9262110</wp:posOffset>
                </wp:positionH>
                <wp:positionV relativeFrom="paragraph">
                  <wp:posOffset>66947</wp:posOffset>
                </wp:positionV>
                <wp:extent cx="2209800" cy="902970"/>
                <wp:effectExtent l="0" t="0" r="19050" b="1143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902970"/>
                        </a:xfrm>
                        <a:prstGeom prst="roundRect">
                          <a:avLst/>
                        </a:prstGeom>
                        <a:solidFill>
                          <a:sysClr val="window" lastClr="FFFFFF"/>
                        </a:solidFill>
                        <a:ln w="19050">
                          <a:solidFill>
                            <a:schemeClr val="accent1">
                              <a:lumMod val="20000"/>
                              <a:lumOff val="80000"/>
                            </a:schemeClr>
                          </a:solidFill>
                        </a:ln>
                        <a:effectLst/>
                      </wps:spPr>
                      <wps:txbx>
                        <w:txbxContent>
                          <w:p w14:paraId="4D79A399" w14:textId="7EC07777" w:rsidR="00876FFE" w:rsidRPr="008E12BD" w:rsidRDefault="00876FFE" w:rsidP="002F32C8">
                            <w:pPr>
                              <w:pStyle w:val="NormalWeb"/>
                              <w:spacing w:before="0" w:beforeAutospacing="0" w:after="12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Незадовољавајући ниво информисаности јавности/ОЦД о степену остварености циљева из </w:t>
                            </w:r>
                            <w:r w:rsidRPr="008E12BD">
                              <w:rPr>
                                <w:rFonts w:asciiTheme="minorHAnsi" w:eastAsia="Calibri" w:hAnsiTheme="minorHAnsi" w:cstheme="minorHAnsi"/>
                                <w:spacing w:val="-10"/>
                                <w:sz w:val="22"/>
                                <w:szCs w:val="22"/>
                                <w:lang w:val="sr-Cyrl-RS"/>
                              </w:rPr>
                              <w:t>докумената јавних</w:t>
                            </w:r>
                            <w:r w:rsidRPr="008E12BD">
                              <w:rPr>
                                <w:rFonts w:asciiTheme="minorHAnsi" w:eastAsia="Calibri" w:hAnsiTheme="minorHAnsi" w:cstheme="minorHAnsi"/>
                                <w:sz w:val="22"/>
                                <w:szCs w:val="22"/>
                                <w:lang w:val="sr-Cyrl-RS"/>
                              </w:rPr>
                              <w:t xml:space="preserve"> политика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2566B42" id="Text Box 454" o:spid="_x0000_s1308" style="position:absolute;margin-left:729.3pt;margin-top:5.25pt;width:174pt;height:71.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" fillcolor="window" strokecolor="#d9e2f3 [660]" strokeweight="1.5pt">
                <v:path arrowok="t"/>
                <v:textbox inset="1mm,0,1mm,0">
                  <w:txbxContent>
                    <w:p w14:paraId="4D79A399" w14:textId="7EC07777" w:rsidR="00876FFE" w:rsidRPr="008E12BD" w:rsidRDefault="00876FFE" w:rsidP="002F32C8">
                      <w:pPr>
                        <w:pStyle w:val="NormalWeb"/>
                        <w:spacing w:before="0" w:beforeAutospacing="0" w:after="12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Незадовољавајући </w:t>
                      </w:r>
                      <w:r w:rsidRPr="008E12BD">
                        <w:rPr>
                          <w:rFonts w:asciiTheme="minorHAnsi" w:eastAsia="Calibri" w:hAnsiTheme="minorHAnsi" w:cstheme="minorHAnsi"/>
                          <w:sz w:val="22"/>
                          <w:szCs w:val="22"/>
                          <w:lang w:val="sr-Cyrl-RS"/>
                        </w:rPr>
                        <w:t xml:space="preserve">ниво информисаности јавности/ОЦД о степену остварености циљева из </w:t>
                      </w:r>
                      <w:r w:rsidRPr="008E12BD">
                        <w:rPr>
                          <w:rFonts w:asciiTheme="minorHAnsi" w:eastAsia="Calibri" w:hAnsiTheme="minorHAnsi" w:cstheme="minorHAnsi"/>
                          <w:spacing w:val="-10"/>
                          <w:sz w:val="22"/>
                          <w:szCs w:val="22"/>
                          <w:lang w:val="sr-Cyrl-RS"/>
                        </w:rPr>
                        <w:t>докумената јавних</w:t>
                      </w:r>
                      <w:r w:rsidRPr="008E12BD">
                        <w:rPr>
                          <w:rFonts w:asciiTheme="minorHAnsi" w:eastAsia="Calibri" w:hAnsiTheme="minorHAnsi" w:cstheme="minorHAnsi"/>
                          <w:sz w:val="22"/>
                          <w:szCs w:val="22"/>
                          <w:lang w:val="sr-Cyrl-RS"/>
                        </w:rPr>
                        <w:t xml:space="preserve"> политика</w:t>
                      </w:r>
                    </w:p>
                  </w:txbxContent>
                </v:textbox>
              </v:roundrect>
            </w:pict>
          </mc:Fallback>
        </mc:AlternateContent>
      </w:r>
    </w:p>
    <w:p w14:paraId="1021C215" w14:textId="47CCBE79" w:rsidR="004627A6" w:rsidRPr="000F0299" w:rsidRDefault="005B1C27"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316736" behindDoc="0" locked="0" layoutInCell="1" allowOverlap="1" wp14:anchorId="0030E663" wp14:editId="34111213">
                <wp:simplePos x="0" y="0"/>
                <wp:positionH relativeFrom="column">
                  <wp:posOffset>7879080</wp:posOffset>
                </wp:positionH>
                <wp:positionV relativeFrom="paragraph">
                  <wp:posOffset>152309</wp:posOffset>
                </wp:positionV>
                <wp:extent cx="0" cy="2304000"/>
                <wp:effectExtent l="57150" t="38100" r="57150" b="1270"/>
                <wp:wrapNone/>
                <wp:docPr id="431" name="Straight Arrow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04000"/>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09F4B6" id="Straight Arrow Connector 431" o:spid="_x0000_s1026" type="#_x0000_t32" style="position:absolute;margin-left:620.4pt;margin-top:12pt;width:0;height:181.4pt;flip:x y;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" strokecolor="#d9e2f3 [660]" strokeweight="2.25pt">
                <v:stroke endarrow="block" joinstyle="miter"/>
                <o:lock v:ext="edit" shapetype="f"/>
              </v:shape>
            </w:pict>
          </mc:Fallback>
        </mc:AlternateContent>
      </w:r>
      <w:r w:rsidR="002618EB"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32800" behindDoc="0" locked="0" layoutInCell="1" allowOverlap="1" wp14:anchorId="718FF655" wp14:editId="0DEF2C7C">
                <wp:simplePos x="0" y="0"/>
                <wp:positionH relativeFrom="column">
                  <wp:posOffset>3024596</wp:posOffset>
                </wp:positionH>
                <wp:positionV relativeFrom="paragraph">
                  <wp:posOffset>90442</wp:posOffset>
                </wp:positionV>
                <wp:extent cx="0" cy="231140"/>
                <wp:effectExtent l="57150" t="38100" r="57150" b="1651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140"/>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946F42" id="Straight Arrow Connector 439" o:spid="_x0000_s1026" type="#_x0000_t32" style="position:absolute;margin-left:238.15pt;margin-top:7.1pt;width:0;height:18.2pt;flip:y;z-index:251532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" strokecolor="#d9e2f3 [660]" strokeweight="2.25pt">
                <v:stroke endarrow="block" joinstyle="miter"/>
                <o:lock v:ext="edit" shapetype="f"/>
              </v:shape>
            </w:pict>
          </mc:Fallback>
        </mc:AlternateContent>
      </w:r>
    </w:p>
    <w:p w14:paraId="7A1F4AB6" w14:textId="1418871F" w:rsidR="004627A6" w:rsidRPr="000F0299" w:rsidRDefault="005B1C27"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88096" behindDoc="0" locked="0" layoutInCell="1" allowOverlap="1" wp14:anchorId="4C8920F3" wp14:editId="2B8A52C3">
                <wp:simplePos x="0" y="0"/>
                <wp:positionH relativeFrom="column">
                  <wp:posOffset>6758305</wp:posOffset>
                </wp:positionH>
                <wp:positionV relativeFrom="paragraph">
                  <wp:posOffset>89444</wp:posOffset>
                </wp:positionV>
                <wp:extent cx="2310765" cy="1207770"/>
                <wp:effectExtent l="0" t="0" r="13335" b="1143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0765" cy="1207770"/>
                        </a:xfrm>
                        <a:prstGeom prst="roundRect">
                          <a:avLst/>
                        </a:prstGeom>
                        <a:solidFill>
                          <a:sysClr val="window" lastClr="FFFFFF"/>
                        </a:solidFill>
                        <a:ln w="19050">
                          <a:solidFill>
                            <a:schemeClr val="accent1">
                              <a:lumMod val="20000"/>
                              <a:lumOff val="80000"/>
                            </a:schemeClr>
                          </a:solidFill>
                        </a:ln>
                        <a:effectLst/>
                      </wps:spPr>
                      <wps:txbx>
                        <w:txbxContent>
                          <w:p w14:paraId="338A7BB2" w14:textId="624EFBD3" w:rsidR="00876FFE" w:rsidRPr="001B2E03" w:rsidRDefault="00876FFE" w:rsidP="001E0653">
                            <w:pPr>
                              <w:pStyle w:val="NormalWeb"/>
                              <w:spacing w:before="0" w:beforeAutospacing="0" w:after="120" w:afterAutospacing="0" w:line="192" w:lineRule="auto"/>
                              <w:jc w:val="center"/>
                              <w:rPr>
                                <w:rFonts w:asciiTheme="minorHAns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Недовољна ефикасност </w:t>
                            </w:r>
                            <w:r w:rsidRPr="001B2E03">
                              <w:rPr>
                                <w:rFonts w:asciiTheme="minorHAnsi" w:eastAsia="Calibri" w:hAnsiTheme="minorHAnsi" w:cstheme="minorHAnsi"/>
                                <w:sz w:val="22"/>
                                <w:szCs w:val="22"/>
                                <w:lang w:val="sr-Cyrl-RS"/>
                              </w:rPr>
                              <w:br/>
                              <w:t xml:space="preserve">спољашње координације и надзора над спровођењем </w:t>
                            </w:r>
                            <w:r w:rsidRPr="001B2E03">
                              <w:rPr>
                                <w:rFonts w:asciiTheme="minorHAnsi" w:eastAsia="Calibri" w:hAnsiTheme="minorHAnsi" w:cstheme="minorHAnsi"/>
                                <w:sz w:val="22"/>
                                <w:szCs w:val="22"/>
                                <w:lang w:val="sr-Cyrl-RS"/>
                              </w:rPr>
                              <w:br/>
                              <w:t xml:space="preserve">обавеза органа јавне </w:t>
                            </w:r>
                            <w:r w:rsidRPr="001B2E03">
                              <w:rPr>
                                <w:rFonts w:asciiTheme="minorHAnsi" w:eastAsia="Calibri" w:hAnsiTheme="minorHAnsi" w:cstheme="minorHAnsi"/>
                                <w:spacing w:val="-8"/>
                                <w:sz w:val="22"/>
                                <w:szCs w:val="22"/>
                                <w:lang w:val="sr-Cyrl-RS"/>
                              </w:rPr>
                              <w:t>власти везаних за примену</w:t>
                            </w:r>
                            <w:r w:rsidRPr="001B2E03">
                              <w:rPr>
                                <w:rFonts w:asciiTheme="minorHAnsi" w:eastAsia="Calibri" w:hAnsiTheme="minorHAnsi" w:cstheme="minorHAnsi"/>
                                <w:sz w:val="22"/>
                                <w:szCs w:val="22"/>
                                <w:lang w:val="sr-Cyrl-RS"/>
                              </w:rPr>
                              <w:t xml:space="preserve"> механизама значајних за спречавање корупције и јачање интегритета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8920F3" id="Text Box 432" o:spid="_x0000_s1309" style="position:absolute;margin-left:532.15pt;margin-top:7.05pt;width:181.95pt;height:95.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" fillcolor="window" strokecolor="#d9e2f3 [660]" strokeweight="1.5pt">
                <v:path arrowok="t"/>
                <v:textbox inset="1mm,0,1mm,0">
                  <w:txbxContent>
                    <w:p w14:paraId="338A7BB2" w14:textId="624EFBD3" w:rsidR="00876FFE" w:rsidRPr="001B2E03" w:rsidRDefault="00876FFE" w:rsidP="001E0653">
                      <w:pPr>
                        <w:pStyle w:val="NormalWeb"/>
                        <w:spacing w:before="0" w:beforeAutospacing="0" w:after="120" w:afterAutospacing="0" w:line="192" w:lineRule="auto"/>
                        <w:jc w:val="center"/>
                        <w:rPr>
                          <w:rFonts w:asciiTheme="minorHAns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Недовољна ефикасност </w:t>
                      </w:r>
                      <w:r w:rsidRPr="001B2E03">
                        <w:rPr>
                          <w:rFonts w:asciiTheme="minorHAnsi" w:eastAsia="Calibri" w:hAnsiTheme="minorHAnsi" w:cstheme="minorHAnsi"/>
                          <w:sz w:val="22"/>
                          <w:szCs w:val="22"/>
                          <w:lang w:val="sr-Cyrl-RS"/>
                        </w:rPr>
                        <w:br/>
                        <w:t xml:space="preserve">спољашње координације и надзора над спровођењем </w:t>
                      </w:r>
                      <w:r w:rsidRPr="001B2E03">
                        <w:rPr>
                          <w:rFonts w:asciiTheme="minorHAnsi" w:eastAsia="Calibri" w:hAnsiTheme="minorHAnsi" w:cstheme="minorHAnsi"/>
                          <w:sz w:val="22"/>
                          <w:szCs w:val="22"/>
                          <w:lang w:val="sr-Cyrl-RS"/>
                        </w:rPr>
                        <w:br/>
                        <w:t xml:space="preserve">обавеза органа јавне </w:t>
                      </w:r>
                      <w:r w:rsidRPr="001B2E03">
                        <w:rPr>
                          <w:rFonts w:asciiTheme="minorHAnsi" w:eastAsia="Calibri" w:hAnsiTheme="minorHAnsi" w:cstheme="minorHAnsi"/>
                          <w:spacing w:val="-8"/>
                          <w:sz w:val="22"/>
                          <w:szCs w:val="22"/>
                          <w:lang w:val="sr-Cyrl-RS"/>
                        </w:rPr>
                        <w:t>власти везаних за примену</w:t>
                      </w:r>
                      <w:r w:rsidRPr="001B2E03">
                        <w:rPr>
                          <w:rFonts w:asciiTheme="minorHAnsi" w:eastAsia="Calibri" w:hAnsiTheme="minorHAnsi" w:cstheme="minorHAnsi"/>
                          <w:sz w:val="22"/>
                          <w:szCs w:val="22"/>
                          <w:lang w:val="sr-Cyrl-RS"/>
                        </w:rPr>
                        <w:t xml:space="preserve"> механизама значајних за спречавање корупције и јачање интегритета</w:t>
                      </w:r>
                    </w:p>
                  </w:txbxContent>
                </v:textbox>
              </v:roundrect>
            </w:pict>
          </mc:Fallback>
        </mc:AlternateContent>
      </w:r>
      <w:r w:rsidR="002618EB"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80928" behindDoc="0" locked="0" layoutInCell="1" allowOverlap="1" wp14:anchorId="614A4BDA" wp14:editId="7495C1C7">
                <wp:simplePos x="0" y="0"/>
                <wp:positionH relativeFrom="column">
                  <wp:posOffset>1914253</wp:posOffset>
                </wp:positionH>
                <wp:positionV relativeFrom="paragraph">
                  <wp:posOffset>70394</wp:posOffset>
                </wp:positionV>
                <wp:extent cx="2209800" cy="720090"/>
                <wp:effectExtent l="0" t="0" r="19050" b="2286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720090"/>
                        </a:xfrm>
                        <a:prstGeom prst="roundRect">
                          <a:avLst/>
                        </a:prstGeom>
                        <a:solidFill>
                          <a:sysClr val="window" lastClr="FFFFFF"/>
                        </a:solidFill>
                        <a:ln w="19050">
                          <a:solidFill>
                            <a:schemeClr val="accent1">
                              <a:lumMod val="20000"/>
                              <a:lumOff val="80000"/>
                            </a:schemeClr>
                          </a:solidFill>
                        </a:ln>
                        <a:effectLst/>
                      </wps:spPr>
                      <wps:txbx>
                        <w:txbxContent>
                          <w:p w14:paraId="715E0E85" w14:textId="77777777" w:rsidR="00876FFE" w:rsidRPr="008E12BD" w:rsidRDefault="00876FFE" w:rsidP="00CE6AC1">
                            <w:pPr>
                              <w:pStyle w:val="NormalWeb"/>
                              <w:spacing w:before="0" w:beforeAutospacing="0" w:after="120" w:afterAutospacing="0"/>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Неизграђен систем мерења и </w:t>
                            </w:r>
                            <w:r>
                              <w:rPr>
                                <w:rFonts w:asciiTheme="minorHAnsi" w:eastAsia="Calibri" w:hAnsiTheme="minorHAnsi" w:cstheme="minorHAnsi"/>
                                <w:sz w:val="22"/>
                                <w:szCs w:val="22"/>
                                <w:lang w:val="sr-Cyrl-RS"/>
                              </w:rPr>
                              <w:t xml:space="preserve">вредновања </w:t>
                            </w:r>
                            <w:r w:rsidRPr="008E12BD">
                              <w:rPr>
                                <w:rFonts w:asciiTheme="minorHAnsi" w:eastAsia="Calibri" w:hAnsiTheme="minorHAnsi" w:cstheme="minorHAnsi"/>
                                <w:sz w:val="22"/>
                                <w:szCs w:val="22"/>
                                <w:lang w:val="sr-Cyrl-RS"/>
                              </w:rPr>
                              <w:t>резултата у органима јавне управе</w:t>
                            </w:r>
                          </w:p>
                          <w:p w14:paraId="3D200279" w14:textId="4EECE6C6" w:rsidR="00876FFE" w:rsidRPr="008E12BD" w:rsidRDefault="00876FFE" w:rsidP="001E0653">
                            <w:pPr>
                              <w:pStyle w:val="NormalWeb"/>
                              <w:spacing w:before="0" w:beforeAutospacing="0" w:after="120" w:afterAutospacing="0"/>
                              <w:jc w:val="center"/>
                              <w:rPr>
                                <w:rFonts w:asciiTheme="minorHAnsi" w:hAnsiTheme="minorHAnsi" w:cstheme="minorHAnsi"/>
                                <w:sz w:val="22"/>
                                <w:szCs w:val="22"/>
                                <w:lang w:val="sr-Cyrl-RS"/>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4A4BDA" id="Text Box 438" o:spid="_x0000_s1310" style="position:absolute;margin-left:150.75pt;margin-top:5.55pt;width:174pt;height:56.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" fillcolor="window" strokecolor="#d9e2f3 [660]" strokeweight="1.5pt">
                <v:path arrowok="t"/>
                <v:textbox inset="1mm,0,1mm,0">
                  <w:txbxContent>
                    <w:p w14:paraId="715E0E85" w14:textId="77777777" w:rsidR="00876FFE" w:rsidRPr="008E12BD" w:rsidRDefault="00876FFE" w:rsidP="00CE6AC1">
                      <w:pPr>
                        <w:pStyle w:val="NormalWeb"/>
                        <w:spacing w:before="0" w:beforeAutospacing="0" w:after="120" w:afterAutospacing="0"/>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Неизграђен </w:t>
                      </w:r>
                      <w:r w:rsidRPr="008E12BD">
                        <w:rPr>
                          <w:rFonts w:asciiTheme="minorHAnsi" w:eastAsia="Calibri" w:hAnsiTheme="minorHAnsi" w:cstheme="minorHAnsi"/>
                          <w:sz w:val="22"/>
                          <w:szCs w:val="22"/>
                          <w:lang w:val="sr-Cyrl-RS"/>
                        </w:rPr>
                        <w:t xml:space="preserve">систем мерења и </w:t>
                      </w:r>
                      <w:r>
                        <w:rPr>
                          <w:rFonts w:asciiTheme="minorHAnsi" w:eastAsia="Calibri" w:hAnsiTheme="minorHAnsi" w:cstheme="minorHAnsi"/>
                          <w:sz w:val="22"/>
                          <w:szCs w:val="22"/>
                          <w:lang w:val="sr-Cyrl-RS"/>
                        </w:rPr>
                        <w:t xml:space="preserve">вредновања </w:t>
                      </w:r>
                      <w:r w:rsidRPr="008E12BD">
                        <w:rPr>
                          <w:rFonts w:asciiTheme="minorHAnsi" w:eastAsia="Calibri" w:hAnsiTheme="minorHAnsi" w:cstheme="minorHAnsi"/>
                          <w:sz w:val="22"/>
                          <w:szCs w:val="22"/>
                          <w:lang w:val="sr-Cyrl-RS"/>
                        </w:rPr>
                        <w:t>резултата у органима јавне управе</w:t>
                      </w:r>
                    </w:p>
                    <w:p w14:paraId="3D200279" w14:textId="4EECE6C6" w:rsidR="00876FFE" w:rsidRPr="008E12BD" w:rsidRDefault="00876FFE" w:rsidP="001E0653">
                      <w:pPr>
                        <w:pStyle w:val="NormalWeb"/>
                        <w:spacing w:before="0" w:beforeAutospacing="0" w:after="120" w:afterAutospacing="0"/>
                        <w:jc w:val="center"/>
                        <w:rPr>
                          <w:rFonts w:asciiTheme="minorHAnsi" w:hAnsiTheme="minorHAnsi" w:cstheme="minorHAnsi"/>
                          <w:sz w:val="22"/>
                          <w:szCs w:val="22"/>
                          <w:lang w:val="sr-Cyrl-RS"/>
                        </w:rPr>
                      </w:pPr>
                    </w:p>
                  </w:txbxContent>
                </v:textbox>
              </v:roundrect>
            </w:pict>
          </mc:Fallback>
        </mc:AlternateContent>
      </w:r>
    </w:p>
    <w:p w14:paraId="1D8212F8" w14:textId="79AA3EA6" w:rsidR="004627A6" w:rsidRPr="000F0299" w:rsidRDefault="002F32C8"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58400" behindDoc="0" locked="0" layoutInCell="1" allowOverlap="1" wp14:anchorId="4BB386C8" wp14:editId="3037DF50">
                <wp:simplePos x="0" y="0"/>
                <wp:positionH relativeFrom="column">
                  <wp:posOffset>10296253</wp:posOffset>
                </wp:positionH>
                <wp:positionV relativeFrom="paragraph">
                  <wp:posOffset>245654</wp:posOffset>
                </wp:positionV>
                <wp:extent cx="0" cy="153670"/>
                <wp:effectExtent l="57150" t="38100" r="57150" b="17780"/>
                <wp:wrapNone/>
                <wp:docPr id="489"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53670"/>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F70421" id="Straight Arrow Connector 489" o:spid="_x0000_s1026" type="#_x0000_t32" style="position:absolute;margin-left:810.75pt;margin-top:19.35pt;width:0;height:12.1pt;flip:x y;z-index:251558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" strokecolor="#d9e2f3 [660]" strokeweight="2.25pt">
                <v:stroke endarrow="block" joinstyle="miter"/>
                <o:lock v:ext="edit" shapetype="f"/>
              </v:shape>
            </w:pict>
          </mc:Fallback>
        </mc:AlternateContent>
      </w:r>
    </w:p>
    <w:p w14:paraId="221E6879" w14:textId="2DBC78D1" w:rsidR="004627A6" w:rsidRPr="000F0299" w:rsidRDefault="002F32C8"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93216" behindDoc="0" locked="0" layoutInCell="1" allowOverlap="1" wp14:anchorId="46F34E5F" wp14:editId="6A7EC8D1">
                <wp:simplePos x="0" y="0"/>
                <wp:positionH relativeFrom="column">
                  <wp:posOffset>9262110</wp:posOffset>
                </wp:positionH>
                <wp:positionV relativeFrom="paragraph">
                  <wp:posOffset>160292</wp:posOffset>
                </wp:positionV>
                <wp:extent cx="2209800" cy="642620"/>
                <wp:effectExtent l="0" t="0" r="19050" b="2413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642620"/>
                        </a:xfrm>
                        <a:prstGeom prst="roundRect">
                          <a:avLst/>
                        </a:prstGeom>
                        <a:solidFill>
                          <a:sysClr val="window" lastClr="FFFFFF"/>
                        </a:solidFill>
                        <a:ln w="19050">
                          <a:solidFill>
                            <a:schemeClr val="accent1">
                              <a:lumMod val="20000"/>
                              <a:lumOff val="80000"/>
                            </a:schemeClr>
                          </a:solidFill>
                        </a:ln>
                        <a:effectLst/>
                      </wps:spPr>
                      <wps:txbx>
                        <w:txbxContent>
                          <w:p w14:paraId="14C5CBAD" w14:textId="6DED2F3F" w:rsidR="00876FFE" w:rsidRPr="008E12BD" w:rsidRDefault="00876FFE" w:rsidP="002F32C8">
                            <w:pPr>
                              <w:pStyle w:val="NormalWeb"/>
                              <w:spacing w:before="0" w:beforeAutospacing="0" w:after="12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pacing w:val="-6"/>
                                <w:sz w:val="22"/>
                                <w:szCs w:val="22"/>
                                <w:lang w:val="sr-Cyrl-RS"/>
                              </w:rPr>
                              <w:t>Подаци о раду и резултатима</w:t>
                            </w:r>
                            <w:r w:rsidRPr="008E12BD">
                              <w:rPr>
                                <w:rFonts w:asciiTheme="minorHAnsi" w:eastAsia="Calibri" w:hAnsiTheme="minorHAnsi" w:cstheme="minorHAnsi"/>
                                <w:sz w:val="22"/>
                                <w:szCs w:val="22"/>
                                <w:lang w:val="sr-Cyrl-RS"/>
                              </w:rPr>
                              <w:t xml:space="preserve"> рада се не прикупљају на </w:t>
                            </w:r>
                            <w:r w:rsidRPr="008E12BD">
                              <w:rPr>
                                <w:rFonts w:asciiTheme="minorHAnsi" w:eastAsia="Calibri" w:hAnsiTheme="minorHAnsi" w:cstheme="minorHAnsi"/>
                                <w:sz w:val="22"/>
                                <w:szCs w:val="22"/>
                                <w:lang w:val="sr-Cyrl-RS"/>
                              </w:rPr>
                              <w:br/>
                              <w:t>адекватан начин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F34E5F" id="Text Box 458" o:spid="_x0000_s1311" style="position:absolute;margin-left:729.3pt;margin-top:12.6pt;width:174pt;height:50.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" fillcolor="window" strokecolor="#d9e2f3 [660]" strokeweight="1.5pt">
                <v:path arrowok="t"/>
                <v:textbox inset="1mm,0,1mm,0">
                  <w:txbxContent>
                    <w:p w14:paraId="14C5CBAD" w14:textId="6DED2F3F" w:rsidR="00876FFE" w:rsidRPr="008E12BD" w:rsidRDefault="00876FFE" w:rsidP="002F32C8">
                      <w:pPr>
                        <w:pStyle w:val="NormalWeb"/>
                        <w:spacing w:before="0" w:beforeAutospacing="0" w:after="12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pacing w:val="-6"/>
                          <w:sz w:val="22"/>
                          <w:szCs w:val="22"/>
                          <w:lang w:val="sr-Cyrl-RS"/>
                        </w:rPr>
                        <w:t xml:space="preserve">Подаци </w:t>
                      </w:r>
                      <w:r w:rsidRPr="008E12BD">
                        <w:rPr>
                          <w:rFonts w:asciiTheme="minorHAnsi" w:eastAsia="Calibri" w:hAnsiTheme="minorHAnsi" w:cstheme="minorHAnsi"/>
                          <w:spacing w:val="-6"/>
                          <w:sz w:val="22"/>
                          <w:szCs w:val="22"/>
                          <w:lang w:val="sr-Cyrl-RS"/>
                        </w:rPr>
                        <w:t>о раду и резултатима</w:t>
                      </w:r>
                      <w:r w:rsidRPr="008E12BD">
                        <w:rPr>
                          <w:rFonts w:asciiTheme="minorHAnsi" w:eastAsia="Calibri" w:hAnsiTheme="minorHAnsi" w:cstheme="minorHAnsi"/>
                          <w:sz w:val="22"/>
                          <w:szCs w:val="22"/>
                          <w:lang w:val="sr-Cyrl-RS"/>
                        </w:rPr>
                        <w:t xml:space="preserve"> рада се не прикупљају на </w:t>
                      </w:r>
                      <w:r w:rsidRPr="008E12BD">
                        <w:rPr>
                          <w:rFonts w:asciiTheme="minorHAnsi" w:eastAsia="Calibri" w:hAnsiTheme="minorHAnsi" w:cstheme="minorHAnsi"/>
                          <w:sz w:val="22"/>
                          <w:szCs w:val="22"/>
                          <w:lang w:val="sr-Cyrl-RS"/>
                        </w:rPr>
                        <w:br/>
                        <w:t>адекватан начин</w:t>
                      </w:r>
                    </w:p>
                  </w:txbxContent>
                </v:textbox>
              </v:roundrect>
            </w:pict>
          </mc:Fallback>
        </mc:AlternateContent>
      </w:r>
      <w:r w:rsidR="001E0653"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85024" behindDoc="0" locked="0" layoutInCell="1" allowOverlap="1" wp14:anchorId="2015FA5F" wp14:editId="1CEAE214">
                <wp:simplePos x="0" y="0"/>
                <wp:positionH relativeFrom="column">
                  <wp:posOffset>4385310</wp:posOffset>
                </wp:positionH>
                <wp:positionV relativeFrom="paragraph">
                  <wp:posOffset>105410</wp:posOffset>
                </wp:positionV>
                <wp:extent cx="2194560" cy="1512570"/>
                <wp:effectExtent l="0" t="0" r="15240" b="11430"/>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1512570"/>
                        </a:xfrm>
                        <a:prstGeom prst="roundRect">
                          <a:avLst/>
                        </a:prstGeom>
                        <a:solidFill>
                          <a:sysClr val="window" lastClr="FFFFFF"/>
                        </a:solidFill>
                        <a:ln w="19050">
                          <a:solidFill>
                            <a:schemeClr val="accent1">
                              <a:lumMod val="20000"/>
                              <a:lumOff val="80000"/>
                            </a:schemeClr>
                          </a:solidFill>
                        </a:ln>
                        <a:effectLst/>
                      </wps:spPr>
                      <wps:txbx>
                        <w:txbxContent>
                          <w:p w14:paraId="4D55724C" w14:textId="0FD101C2" w:rsidR="00876FFE" w:rsidRPr="001B2E03" w:rsidRDefault="00876FFE" w:rsidP="001E0653">
                            <w:pPr>
                              <w:pStyle w:val="NormalWeb"/>
                              <w:spacing w:before="0" w:beforeAutospacing="0" w:after="120" w:afterAutospacing="0" w:line="216" w:lineRule="auto"/>
                              <w:jc w:val="center"/>
                              <w:rPr>
                                <w:rFonts w:asciiTheme="minorHAns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Недостатак мерљивих оперативних планова и извештавања о њиховој реализацији, уз низак </w:t>
                            </w:r>
                            <w:r w:rsidRPr="001B2E03">
                              <w:rPr>
                                <w:rFonts w:asciiTheme="minorHAnsi" w:eastAsia="Calibri" w:hAnsiTheme="minorHAnsi" w:cstheme="minorHAnsi"/>
                                <w:spacing w:val="-16"/>
                                <w:sz w:val="22"/>
                                <w:szCs w:val="22"/>
                                <w:lang w:val="sr-Cyrl-RS"/>
                              </w:rPr>
                              <w:t>ниво коришћења препорука</w:t>
                            </w:r>
                            <w:r w:rsidRPr="001B2E03">
                              <w:rPr>
                                <w:rFonts w:asciiTheme="minorHAnsi" w:eastAsia="Calibri" w:hAnsiTheme="minorHAnsi" w:cstheme="minorHAnsi"/>
                                <w:sz w:val="22"/>
                                <w:szCs w:val="22"/>
                                <w:lang w:val="sr-Cyrl-RS"/>
                              </w:rPr>
                              <w:t xml:space="preserve"> независних тела за </w:t>
                            </w:r>
                            <w:r w:rsidRPr="001B2E03">
                              <w:rPr>
                                <w:rFonts w:asciiTheme="minorHAnsi" w:eastAsia="Calibri" w:hAnsiTheme="minorHAnsi" w:cstheme="minorHAnsi"/>
                                <w:spacing w:val="-8"/>
                                <w:sz w:val="22"/>
                                <w:szCs w:val="22"/>
                                <w:lang w:val="sr-Cyrl-RS"/>
                              </w:rPr>
                              <w:t>побољшање организације,</w:t>
                            </w:r>
                            <w:r w:rsidRPr="001B2E03">
                              <w:rPr>
                                <w:rFonts w:asciiTheme="minorHAnsi" w:eastAsia="Calibri" w:hAnsiTheme="minorHAnsi" w:cstheme="minorHAnsi"/>
                                <w:sz w:val="22"/>
                                <w:szCs w:val="22"/>
                                <w:lang w:val="sr-Cyrl-RS"/>
                              </w:rPr>
                              <w:t xml:space="preserve"> ефикасности и ефективности рада органа јавне управе</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15FA5F" id="Text Box 442" o:spid="_x0000_s1312" style="position:absolute;margin-left:345.3pt;margin-top:8.3pt;width:172.8pt;height:119.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" fillcolor="window" strokecolor="#d9e2f3 [660]" strokeweight="1.5pt">
                <v:path arrowok="t"/>
                <v:textbox inset="1mm,0,1mm,0">
                  <w:txbxContent>
                    <w:p w14:paraId="4D55724C" w14:textId="0FD101C2" w:rsidR="00876FFE" w:rsidRPr="001B2E03" w:rsidRDefault="00876FFE" w:rsidP="001E0653">
                      <w:pPr>
                        <w:pStyle w:val="NormalWeb"/>
                        <w:spacing w:before="0" w:beforeAutospacing="0" w:after="120" w:afterAutospacing="0" w:line="216" w:lineRule="auto"/>
                        <w:jc w:val="center"/>
                        <w:rPr>
                          <w:rFonts w:asciiTheme="minorHAns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Недостатак </w:t>
                      </w:r>
                      <w:r w:rsidRPr="001B2E03">
                        <w:rPr>
                          <w:rFonts w:asciiTheme="minorHAnsi" w:eastAsia="Calibri" w:hAnsiTheme="minorHAnsi" w:cstheme="minorHAnsi"/>
                          <w:sz w:val="22"/>
                          <w:szCs w:val="22"/>
                          <w:lang w:val="sr-Cyrl-RS"/>
                        </w:rPr>
                        <w:t xml:space="preserve">мерљивих оперативних планова и извештавања о њиховој реализацији, уз низак </w:t>
                      </w:r>
                      <w:r w:rsidRPr="001B2E03">
                        <w:rPr>
                          <w:rFonts w:asciiTheme="minorHAnsi" w:eastAsia="Calibri" w:hAnsiTheme="minorHAnsi" w:cstheme="minorHAnsi"/>
                          <w:spacing w:val="-16"/>
                          <w:sz w:val="22"/>
                          <w:szCs w:val="22"/>
                          <w:lang w:val="sr-Cyrl-RS"/>
                        </w:rPr>
                        <w:t>ниво коришћења препорука</w:t>
                      </w:r>
                      <w:r w:rsidRPr="001B2E03">
                        <w:rPr>
                          <w:rFonts w:asciiTheme="minorHAnsi" w:eastAsia="Calibri" w:hAnsiTheme="minorHAnsi" w:cstheme="minorHAnsi"/>
                          <w:sz w:val="22"/>
                          <w:szCs w:val="22"/>
                          <w:lang w:val="sr-Cyrl-RS"/>
                        </w:rPr>
                        <w:t xml:space="preserve"> независних тела за </w:t>
                      </w:r>
                      <w:r w:rsidRPr="001B2E03">
                        <w:rPr>
                          <w:rFonts w:asciiTheme="minorHAnsi" w:eastAsia="Calibri" w:hAnsiTheme="minorHAnsi" w:cstheme="minorHAnsi"/>
                          <w:spacing w:val="-8"/>
                          <w:sz w:val="22"/>
                          <w:szCs w:val="22"/>
                          <w:lang w:val="sr-Cyrl-RS"/>
                        </w:rPr>
                        <w:t>побољшање организације,</w:t>
                      </w:r>
                      <w:r w:rsidRPr="001B2E03">
                        <w:rPr>
                          <w:rFonts w:asciiTheme="minorHAnsi" w:eastAsia="Calibri" w:hAnsiTheme="minorHAnsi" w:cstheme="minorHAnsi"/>
                          <w:sz w:val="22"/>
                          <w:szCs w:val="22"/>
                          <w:lang w:val="sr-Cyrl-RS"/>
                        </w:rPr>
                        <w:t xml:space="preserve"> ефикасности и ефективности рада органа јавне управе</w:t>
                      </w:r>
                    </w:p>
                  </w:txbxContent>
                </v:textbox>
              </v:roundrect>
            </w:pict>
          </mc:Fallback>
        </mc:AlternateContent>
      </w:r>
    </w:p>
    <w:p w14:paraId="039A9C2A" w14:textId="447CC5CE" w:rsidR="004627A6" w:rsidRPr="000F0299" w:rsidRDefault="002618EB"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33824" behindDoc="0" locked="0" layoutInCell="1" allowOverlap="1" wp14:anchorId="607BE5C6" wp14:editId="79EFDF2C">
                <wp:simplePos x="0" y="0"/>
                <wp:positionH relativeFrom="column">
                  <wp:posOffset>3024596</wp:posOffset>
                </wp:positionH>
                <wp:positionV relativeFrom="paragraph">
                  <wp:posOffset>64044</wp:posOffset>
                </wp:positionV>
                <wp:extent cx="0" cy="231140"/>
                <wp:effectExtent l="57150" t="38100" r="57150" b="16510"/>
                <wp:wrapNone/>
                <wp:docPr id="437" name="Straight Arrow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1140"/>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558B5D" id="Straight Arrow Connector 437" o:spid="_x0000_s1026" type="#_x0000_t32" style="position:absolute;margin-left:238.15pt;margin-top:5.05pt;width:0;height:18.2pt;flip:y;z-index:251533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" strokecolor="#d9e2f3 [660]" strokeweight="2.25pt">
                <v:stroke endarrow="block" joinstyle="miter"/>
                <o:lock v:ext="edit" shapetype="f"/>
              </v:shape>
            </w:pict>
          </mc:Fallback>
        </mc:AlternateContent>
      </w:r>
    </w:p>
    <w:p w14:paraId="5D659F31" w14:textId="01BD41A9" w:rsidR="004627A6" w:rsidRPr="000F0299" w:rsidRDefault="002618EB"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81952" behindDoc="0" locked="0" layoutInCell="1" allowOverlap="1" wp14:anchorId="30596C2C" wp14:editId="025186E3">
                <wp:simplePos x="0" y="0"/>
                <wp:positionH relativeFrom="column">
                  <wp:posOffset>1914253</wp:posOffset>
                </wp:positionH>
                <wp:positionV relativeFrom="paragraph">
                  <wp:posOffset>21590</wp:posOffset>
                </wp:positionV>
                <wp:extent cx="2209800" cy="1240790"/>
                <wp:effectExtent l="0" t="0" r="19050" b="1651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1240790"/>
                        </a:xfrm>
                        <a:prstGeom prst="roundRect">
                          <a:avLst/>
                        </a:prstGeom>
                        <a:solidFill>
                          <a:sysClr val="window" lastClr="FFFFFF"/>
                        </a:solidFill>
                        <a:ln w="19050">
                          <a:solidFill>
                            <a:schemeClr val="accent1">
                              <a:lumMod val="20000"/>
                              <a:lumOff val="80000"/>
                            </a:schemeClr>
                          </a:solidFill>
                        </a:ln>
                        <a:effectLst/>
                      </wps:spPr>
                      <wps:txbx>
                        <w:txbxContent>
                          <w:p w14:paraId="15F199F6" w14:textId="555120E5" w:rsidR="00876FFE" w:rsidRPr="008E12BD" w:rsidRDefault="00876FFE" w:rsidP="001E0653">
                            <w:pPr>
                              <w:pStyle w:val="NormalWeb"/>
                              <w:spacing w:before="0" w:beforeAutospacing="0" w:after="12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Недовољан број оперативних планова институција, повезаних </w:t>
                            </w:r>
                            <w:r w:rsidRPr="008E12BD">
                              <w:rPr>
                                <w:rFonts w:asciiTheme="minorHAnsi" w:eastAsia="Calibri" w:hAnsiTheme="minorHAnsi" w:cstheme="minorHAnsi"/>
                                <w:sz w:val="22"/>
                                <w:szCs w:val="22"/>
                                <w:lang w:val="sr-Cyrl-RS"/>
                              </w:rPr>
                              <w:br/>
                              <w:t xml:space="preserve">са програмским буџетом и индикаторима мерења </w:t>
                            </w:r>
                            <w:r w:rsidRPr="008E12BD">
                              <w:rPr>
                                <w:rFonts w:asciiTheme="minorHAnsi" w:eastAsia="Calibri" w:hAnsiTheme="minorHAnsi" w:cstheme="minorHAnsi"/>
                                <w:sz w:val="22"/>
                                <w:szCs w:val="22"/>
                                <w:lang w:val="sr-Cyrl-RS"/>
                              </w:rPr>
                              <w:br/>
                            </w:r>
                            <w:r w:rsidRPr="008E12BD">
                              <w:rPr>
                                <w:rFonts w:asciiTheme="minorHAnsi" w:eastAsia="Calibri" w:hAnsiTheme="minorHAnsi" w:cstheme="minorHAnsi"/>
                                <w:spacing w:val="-20"/>
                                <w:sz w:val="22"/>
                                <w:szCs w:val="22"/>
                                <w:lang w:val="sr-Cyrl-RS"/>
                              </w:rPr>
                              <w:t>резултата, као и извештавања</w:t>
                            </w:r>
                            <w:r w:rsidRPr="008E12BD">
                              <w:rPr>
                                <w:rFonts w:asciiTheme="minorHAnsi" w:eastAsia="Calibri" w:hAnsiTheme="minorHAnsi" w:cstheme="minorHAnsi"/>
                                <w:sz w:val="22"/>
                                <w:szCs w:val="22"/>
                                <w:lang w:val="sr-Cyrl-RS"/>
                              </w:rPr>
                              <w:t xml:space="preserve"> </w:t>
                            </w:r>
                            <w:r w:rsidRPr="008E12BD">
                              <w:rPr>
                                <w:rFonts w:asciiTheme="minorHAnsi" w:eastAsia="Calibri" w:hAnsiTheme="minorHAnsi" w:cstheme="minorHAnsi"/>
                                <w:spacing w:val="-10"/>
                                <w:sz w:val="22"/>
                                <w:szCs w:val="22"/>
                                <w:lang w:val="sr-Cyrl-RS"/>
                              </w:rPr>
                              <w:t>о резултатима у спровођењу</w:t>
                            </w:r>
                            <w:r w:rsidRPr="008E12BD">
                              <w:rPr>
                                <w:rFonts w:asciiTheme="minorHAnsi" w:eastAsia="Calibri" w:hAnsiTheme="minorHAnsi" w:cstheme="minorHAnsi"/>
                                <w:sz w:val="22"/>
                                <w:szCs w:val="22"/>
                                <w:lang w:val="sr-Cyrl-RS"/>
                              </w:rPr>
                              <w:t xml:space="preserve"> постављених циљева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596C2C" id="Text Box 436" o:spid="_x0000_s1313" style="position:absolute;margin-left:150.75pt;margin-top:1.7pt;width:174pt;height:97.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" fillcolor="window" strokecolor="#d9e2f3 [660]" strokeweight="1.5pt">
                <v:path arrowok="t"/>
                <v:textbox inset="1mm,0,1mm,0">
                  <w:txbxContent>
                    <w:p w14:paraId="15F199F6" w14:textId="555120E5" w:rsidR="00876FFE" w:rsidRPr="008E12BD" w:rsidRDefault="00876FFE" w:rsidP="001E0653">
                      <w:pPr>
                        <w:pStyle w:val="NormalWeb"/>
                        <w:spacing w:before="0" w:beforeAutospacing="0" w:after="120" w:afterAutospacing="0" w:line="216"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Недовољан </w:t>
                      </w:r>
                      <w:r w:rsidRPr="008E12BD">
                        <w:rPr>
                          <w:rFonts w:asciiTheme="minorHAnsi" w:eastAsia="Calibri" w:hAnsiTheme="minorHAnsi" w:cstheme="minorHAnsi"/>
                          <w:sz w:val="22"/>
                          <w:szCs w:val="22"/>
                          <w:lang w:val="sr-Cyrl-RS"/>
                        </w:rPr>
                        <w:t xml:space="preserve">број оперативних планова институција, повезаних </w:t>
                      </w:r>
                      <w:r w:rsidRPr="008E12BD">
                        <w:rPr>
                          <w:rFonts w:asciiTheme="minorHAnsi" w:eastAsia="Calibri" w:hAnsiTheme="minorHAnsi" w:cstheme="minorHAnsi"/>
                          <w:sz w:val="22"/>
                          <w:szCs w:val="22"/>
                          <w:lang w:val="sr-Cyrl-RS"/>
                        </w:rPr>
                        <w:br/>
                        <w:t xml:space="preserve">са програмским буџетом и индикаторима мерења </w:t>
                      </w:r>
                      <w:r w:rsidRPr="008E12BD">
                        <w:rPr>
                          <w:rFonts w:asciiTheme="minorHAnsi" w:eastAsia="Calibri" w:hAnsiTheme="minorHAnsi" w:cstheme="minorHAnsi"/>
                          <w:sz w:val="22"/>
                          <w:szCs w:val="22"/>
                          <w:lang w:val="sr-Cyrl-RS"/>
                        </w:rPr>
                        <w:br/>
                      </w:r>
                      <w:r w:rsidRPr="008E12BD">
                        <w:rPr>
                          <w:rFonts w:asciiTheme="minorHAnsi" w:eastAsia="Calibri" w:hAnsiTheme="minorHAnsi" w:cstheme="minorHAnsi"/>
                          <w:spacing w:val="-20"/>
                          <w:sz w:val="22"/>
                          <w:szCs w:val="22"/>
                          <w:lang w:val="sr-Cyrl-RS"/>
                        </w:rPr>
                        <w:t>резултата, као и извештавања</w:t>
                      </w:r>
                      <w:r w:rsidRPr="008E12BD">
                        <w:rPr>
                          <w:rFonts w:asciiTheme="minorHAnsi" w:eastAsia="Calibri" w:hAnsiTheme="minorHAnsi" w:cstheme="minorHAnsi"/>
                          <w:sz w:val="22"/>
                          <w:szCs w:val="22"/>
                          <w:lang w:val="sr-Cyrl-RS"/>
                        </w:rPr>
                        <w:t xml:space="preserve"> </w:t>
                      </w:r>
                      <w:r w:rsidRPr="008E12BD">
                        <w:rPr>
                          <w:rFonts w:asciiTheme="minorHAnsi" w:eastAsia="Calibri" w:hAnsiTheme="minorHAnsi" w:cstheme="minorHAnsi"/>
                          <w:spacing w:val="-10"/>
                          <w:sz w:val="22"/>
                          <w:szCs w:val="22"/>
                          <w:lang w:val="sr-Cyrl-RS"/>
                        </w:rPr>
                        <w:t>о резултатима у спровођењу</w:t>
                      </w:r>
                      <w:r w:rsidRPr="008E12BD">
                        <w:rPr>
                          <w:rFonts w:asciiTheme="minorHAnsi" w:eastAsia="Calibri" w:hAnsiTheme="minorHAnsi" w:cstheme="minorHAnsi"/>
                          <w:sz w:val="22"/>
                          <w:szCs w:val="22"/>
                          <w:lang w:val="sr-Cyrl-RS"/>
                        </w:rPr>
                        <w:t xml:space="preserve"> постављених циљева</w:t>
                      </w:r>
                    </w:p>
                  </w:txbxContent>
                </v:textbox>
              </v:roundrect>
            </w:pict>
          </mc:Fallback>
        </mc:AlternateContent>
      </w:r>
    </w:p>
    <w:p w14:paraId="1E9913E3" w14:textId="1968FB3B" w:rsidR="004627A6" w:rsidRPr="000F0299" w:rsidRDefault="00952BF5"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r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94240" behindDoc="0" locked="0" layoutInCell="1" allowOverlap="1" wp14:anchorId="2FCF8054" wp14:editId="0CB05529">
                <wp:simplePos x="0" y="0"/>
                <wp:positionH relativeFrom="margin">
                  <wp:posOffset>9270297</wp:posOffset>
                </wp:positionH>
                <wp:positionV relativeFrom="paragraph">
                  <wp:posOffset>236064</wp:posOffset>
                </wp:positionV>
                <wp:extent cx="2209800" cy="801044"/>
                <wp:effectExtent l="0" t="0" r="19050" b="18415"/>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801044"/>
                        </a:xfrm>
                        <a:prstGeom prst="roundRect">
                          <a:avLst/>
                        </a:prstGeom>
                        <a:solidFill>
                          <a:sysClr val="window" lastClr="FFFFFF"/>
                        </a:solidFill>
                        <a:ln w="19050">
                          <a:solidFill>
                            <a:schemeClr val="accent1">
                              <a:lumMod val="20000"/>
                              <a:lumOff val="80000"/>
                            </a:schemeClr>
                          </a:solidFill>
                        </a:ln>
                        <a:effectLst/>
                      </wps:spPr>
                      <wps:txbx>
                        <w:txbxContent>
                          <w:p w14:paraId="760C3D6A" w14:textId="3F160447" w:rsidR="00876FFE" w:rsidRPr="008E12BD" w:rsidRDefault="00876FFE" w:rsidP="002F32C8">
                            <w:pPr>
                              <w:pStyle w:val="NormalWeb"/>
                              <w:spacing w:before="0" w:beforeAutospacing="0" w:after="120" w:afterAutospacing="0" w:line="192"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Недовољно знање/ информисаност о позитивним ефектима повећања јавности у раду код руководилаца органа јавне управе</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CF8054" id="Text Box 452" o:spid="_x0000_s1314" style="position:absolute;margin-left:729.95pt;margin-top:18.6pt;width:174pt;height:63.0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" fillcolor="window" strokecolor="#d9e2f3 [660]" strokeweight="1.5pt">
                <v:path arrowok="t"/>
                <v:textbox inset="1mm,0,1mm,0">
                  <w:txbxContent>
                    <w:p w14:paraId="760C3D6A" w14:textId="3F160447" w:rsidR="00876FFE" w:rsidRPr="008E12BD" w:rsidRDefault="00876FFE" w:rsidP="002F32C8">
                      <w:pPr>
                        <w:pStyle w:val="NormalWeb"/>
                        <w:spacing w:before="0" w:beforeAutospacing="0" w:after="120" w:afterAutospacing="0" w:line="192" w:lineRule="auto"/>
                        <w:jc w:val="center"/>
                        <w:rPr>
                          <w:rFonts w:asciiTheme="minorHAnsi" w:hAnsiTheme="minorHAnsi" w:cstheme="minorHAnsi"/>
                          <w:sz w:val="22"/>
                          <w:szCs w:val="22"/>
                          <w:lang w:val="sr-Cyrl-RS"/>
                        </w:rPr>
                      </w:pPr>
                      <w:r w:rsidRPr="008E12BD">
                        <w:rPr>
                          <w:rFonts w:asciiTheme="minorHAnsi" w:eastAsia="Calibri" w:hAnsiTheme="minorHAnsi" w:cstheme="minorHAnsi"/>
                          <w:sz w:val="22"/>
                          <w:szCs w:val="22"/>
                          <w:lang w:val="sr-Cyrl-RS"/>
                        </w:rPr>
                        <w:t xml:space="preserve">Недовољно </w:t>
                      </w:r>
                      <w:r w:rsidRPr="008E12BD">
                        <w:rPr>
                          <w:rFonts w:asciiTheme="minorHAnsi" w:eastAsia="Calibri" w:hAnsiTheme="minorHAnsi" w:cstheme="minorHAnsi"/>
                          <w:sz w:val="22"/>
                          <w:szCs w:val="22"/>
                          <w:lang w:val="sr-Cyrl-RS"/>
                        </w:rPr>
                        <w:t>знање/ информисаност о позитивним ефектима повећања јавности у раду код руководилаца органа јавне управе</w:t>
                      </w:r>
                    </w:p>
                  </w:txbxContent>
                </v:textbox>
                <w10:wrap anchorx="margin"/>
              </v:roundrect>
            </w:pict>
          </mc:Fallback>
        </mc:AlternateContent>
      </w:r>
      <w:r w:rsidR="005B1C27"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300" distR="114300" simplePos="0" relativeHeight="251589120" behindDoc="0" locked="0" layoutInCell="1" allowOverlap="1" wp14:anchorId="73279E77" wp14:editId="63BFBD31">
                <wp:simplePos x="0" y="0"/>
                <wp:positionH relativeFrom="column">
                  <wp:posOffset>6738693</wp:posOffset>
                </wp:positionH>
                <wp:positionV relativeFrom="paragraph">
                  <wp:posOffset>228506</wp:posOffset>
                </wp:positionV>
                <wp:extent cx="2310765" cy="787368"/>
                <wp:effectExtent l="0" t="0" r="13335" b="1333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0765" cy="787368"/>
                        </a:xfrm>
                        <a:prstGeom prst="roundRect">
                          <a:avLst/>
                        </a:prstGeom>
                        <a:solidFill>
                          <a:sysClr val="window" lastClr="FFFFFF"/>
                        </a:solidFill>
                        <a:ln w="19050">
                          <a:solidFill>
                            <a:schemeClr val="accent1">
                              <a:lumMod val="20000"/>
                              <a:lumOff val="80000"/>
                            </a:schemeClr>
                          </a:solidFill>
                        </a:ln>
                        <a:effectLst/>
                      </wps:spPr>
                      <wps:txbx>
                        <w:txbxContent>
                          <w:p w14:paraId="775BA583" w14:textId="413CFAE0" w:rsidR="00876FFE" w:rsidRPr="001B2E03" w:rsidRDefault="00876FFE" w:rsidP="001E0653">
                            <w:pPr>
                              <w:pStyle w:val="NormalWeb"/>
                              <w:spacing w:before="0" w:beforeAutospacing="0" w:after="120" w:afterAutospacing="0" w:line="216" w:lineRule="auto"/>
                              <w:jc w:val="center"/>
                              <w:rPr>
                                <w:rFonts w:asciiTheme="minorHAns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Незадовољавајући ниво </w:t>
                            </w:r>
                            <w:r w:rsidRPr="001B2E03">
                              <w:rPr>
                                <w:rFonts w:asciiTheme="minorHAnsi" w:eastAsia="Calibri" w:hAnsiTheme="minorHAnsi" w:cstheme="minorHAnsi"/>
                                <w:sz w:val="22"/>
                                <w:szCs w:val="22"/>
                                <w:lang w:val="sr-Cyrl-RS"/>
                              </w:rPr>
                              <w:br/>
                              <w:t xml:space="preserve">поступања по мерама и </w:t>
                            </w:r>
                            <w:r w:rsidRPr="001B2E03">
                              <w:rPr>
                                <w:rFonts w:asciiTheme="minorHAnsi" w:eastAsia="Calibri" w:hAnsiTheme="minorHAnsi" w:cstheme="minorHAnsi"/>
                                <w:spacing w:val="-16"/>
                                <w:sz w:val="22"/>
                                <w:szCs w:val="22"/>
                                <w:lang w:val="sr-Cyrl-RS"/>
                              </w:rPr>
                              <w:t>препорукама за управљање</w:t>
                            </w:r>
                            <w:r w:rsidRPr="001B2E03">
                              <w:rPr>
                                <w:rFonts w:asciiTheme="minorHAnsi" w:eastAsia="Calibri" w:hAnsiTheme="minorHAnsi" w:cstheme="minorHAnsi"/>
                                <w:sz w:val="22"/>
                                <w:szCs w:val="22"/>
                                <w:lang w:val="sr-Cyrl-RS"/>
                              </w:rPr>
                              <w:t xml:space="preserve"> ризицима корупције у органима јавне управе</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279E77" id="Text Box 460" o:spid="_x0000_s1315" style="position:absolute;margin-left:530.6pt;margin-top:18pt;width:181.95pt;height:6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" fillcolor="window" strokecolor="#d9e2f3 [660]" strokeweight="1.5pt">
                <v:path arrowok="t"/>
                <v:textbox inset="1mm,0,1mm,0">
                  <w:txbxContent>
                    <w:p w14:paraId="775BA583" w14:textId="413CFAE0" w:rsidR="00876FFE" w:rsidRPr="001B2E03" w:rsidRDefault="00876FFE" w:rsidP="001E0653">
                      <w:pPr>
                        <w:pStyle w:val="NormalWeb"/>
                        <w:spacing w:before="0" w:beforeAutospacing="0" w:after="120" w:afterAutospacing="0" w:line="216" w:lineRule="auto"/>
                        <w:jc w:val="center"/>
                        <w:rPr>
                          <w:rFonts w:asciiTheme="minorHAnsi" w:hAnsiTheme="minorHAnsi" w:cstheme="minorHAnsi"/>
                          <w:sz w:val="22"/>
                          <w:szCs w:val="22"/>
                          <w:lang w:val="sr-Cyrl-RS"/>
                        </w:rPr>
                      </w:pPr>
                      <w:r w:rsidRPr="001B2E03">
                        <w:rPr>
                          <w:rFonts w:asciiTheme="minorHAnsi" w:eastAsia="Calibri" w:hAnsiTheme="minorHAnsi" w:cstheme="minorHAnsi"/>
                          <w:sz w:val="22"/>
                          <w:szCs w:val="22"/>
                          <w:lang w:val="sr-Cyrl-RS"/>
                        </w:rPr>
                        <w:t xml:space="preserve">Незадовољавајући </w:t>
                      </w:r>
                      <w:r w:rsidRPr="001B2E03">
                        <w:rPr>
                          <w:rFonts w:asciiTheme="minorHAnsi" w:eastAsia="Calibri" w:hAnsiTheme="minorHAnsi" w:cstheme="minorHAnsi"/>
                          <w:sz w:val="22"/>
                          <w:szCs w:val="22"/>
                          <w:lang w:val="sr-Cyrl-RS"/>
                        </w:rPr>
                        <w:t xml:space="preserve">ниво </w:t>
                      </w:r>
                      <w:r w:rsidRPr="001B2E03">
                        <w:rPr>
                          <w:rFonts w:asciiTheme="minorHAnsi" w:eastAsia="Calibri" w:hAnsiTheme="minorHAnsi" w:cstheme="minorHAnsi"/>
                          <w:sz w:val="22"/>
                          <w:szCs w:val="22"/>
                          <w:lang w:val="sr-Cyrl-RS"/>
                        </w:rPr>
                        <w:br/>
                        <w:t xml:space="preserve">поступања по мерама и </w:t>
                      </w:r>
                      <w:r w:rsidRPr="001B2E03">
                        <w:rPr>
                          <w:rFonts w:asciiTheme="minorHAnsi" w:eastAsia="Calibri" w:hAnsiTheme="minorHAnsi" w:cstheme="minorHAnsi"/>
                          <w:spacing w:val="-16"/>
                          <w:sz w:val="22"/>
                          <w:szCs w:val="22"/>
                          <w:lang w:val="sr-Cyrl-RS"/>
                        </w:rPr>
                        <w:t>препорукама за управљање</w:t>
                      </w:r>
                      <w:r w:rsidRPr="001B2E03">
                        <w:rPr>
                          <w:rFonts w:asciiTheme="minorHAnsi" w:eastAsia="Calibri" w:hAnsiTheme="minorHAnsi" w:cstheme="minorHAnsi"/>
                          <w:sz w:val="22"/>
                          <w:szCs w:val="22"/>
                          <w:lang w:val="sr-Cyrl-RS"/>
                        </w:rPr>
                        <w:t xml:space="preserve"> ризицима корупције у органима јавне управе</w:t>
                      </w:r>
                    </w:p>
                  </w:txbxContent>
                </v:textbox>
              </v:roundrect>
            </w:pict>
          </mc:Fallback>
        </mc:AlternateContent>
      </w:r>
      <w:r w:rsidR="002F32C8" w:rsidRPr="000F0299">
        <w:rPr>
          <w:rFonts w:asciiTheme="minorHAnsi" w:eastAsiaTheme="minorHAnsi" w:hAnsiTheme="minorHAnsi" w:cstheme="minorBidi"/>
          <w:noProof/>
          <w:kern w:val="0"/>
          <w:sz w:val="22"/>
          <w:szCs w:val="22"/>
          <w:lang w:val="en-US" w:eastAsia="en-US" w:bidi="ar-SA"/>
        </w:rPr>
        <mc:AlternateContent>
          <mc:Choice Requires="wps">
            <w:drawing>
              <wp:anchor distT="0" distB="0" distL="114298" distR="114298" simplePos="0" relativeHeight="251536896" behindDoc="0" locked="0" layoutInCell="1" allowOverlap="1" wp14:anchorId="013825D8" wp14:editId="4DC9F395">
                <wp:simplePos x="0" y="0"/>
                <wp:positionH relativeFrom="column">
                  <wp:posOffset>10295890</wp:posOffset>
                </wp:positionH>
                <wp:positionV relativeFrom="paragraph">
                  <wp:posOffset>55880</wp:posOffset>
                </wp:positionV>
                <wp:extent cx="0" cy="153670"/>
                <wp:effectExtent l="57150" t="38100" r="57150" b="17780"/>
                <wp:wrapNone/>
                <wp:docPr id="456" name="Straight Arrow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53670"/>
                        </a:xfrm>
                        <a:prstGeom prst="straightConnector1">
                          <a:avLst/>
                        </a:prstGeom>
                        <a:noFill/>
                        <a:ln w="28575" cap="flat" cmpd="sng" algn="ctr">
                          <a:solidFill>
                            <a:schemeClr val="accent1">
                              <a:lumMod val="20000"/>
                              <a:lumOff val="8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2BD58F" id="Straight Arrow Connector 456" o:spid="_x0000_s1026" type="#_x0000_t32" style="position:absolute;margin-left:810.7pt;margin-top:4.4pt;width:0;height:12.1pt;flip:x y;z-index:251536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" strokecolor="#d9e2f3 [660]" strokeweight="2.25pt">
                <v:stroke endarrow="block" joinstyle="miter"/>
                <o:lock v:ext="edit" shapetype="f"/>
              </v:shape>
            </w:pict>
          </mc:Fallback>
        </mc:AlternateContent>
      </w:r>
    </w:p>
    <w:p w14:paraId="719CB352" w14:textId="31592B44" w:rsidR="004627A6" w:rsidRPr="000F0299" w:rsidRDefault="004627A6"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p>
    <w:p w14:paraId="2398320C" w14:textId="1C832AA8" w:rsidR="004627A6" w:rsidRPr="000F0299" w:rsidRDefault="004627A6"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p>
    <w:p w14:paraId="39A983A3" w14:textId="7A92B36A" w:rsidR="00952BF5" w:rsidRPr="000F0299" w:rsidRDefault="00952BF5" w:rsidP="004627A6">
      <w:pPr>
        <w:suppressAutoHyphens w:val="0"/>
        <w:autoSpaceDN/>
        <w:spacing w:before="0" w:after="160" w:line="259" w:lineRule="auto"/>
        <w:ind w:firstLine="0"/>
        <w:jc w:val="left"/>
        <w:textAlignment w:val="auto"/>
        <w:rPr>
          <w:rFonts w:eastAsiaTheme="minorHAnsi" w:cstheme="minorBidi"/>
          <w:kern w:val="0"/>
          <w:sz w:val="18"/>
          <w:szCs w:val="18"/>
          <w:lang w:eastAsia="en-US" w:bidi="ar-SA"/>
        </w:rPr>
      </w:pPr>
    </w:p>
    <w:p w14:paraId="117AD13F" w14:textId="68F9D241" w:rsidR="00B97D19" w:rsidRPr="000F0299" w:rsidRDefault="00A47702" w:rsidP="00B97D19">
      <w:r w:rsidRPr="000F0299">
        <w:rPr>
          <w:noProof/>
          <w:lang w:val="en-US" w:eastAsia="en-US" w:bidi="ar-SA"/>
        </w:rPr>
        <mc:AlternateContent>
          <mc:Choice Requires="wps">
            <w:drawing>
              <wp:anchor distT="0" distB="0" distL="114300" distR="114300" simplePos="0" relativeHeight="251996672" behindDoc="0" locked="0" layoutInCell="1" allowOverlap="1" wp14:anchorId="108F6E7B" wp14:editId="5792702C">
                <wp:simplePos x="0" y="0"/>
                <wp:positionH relativeFrom="column">
                  <wp:posOffset>3564197</wp:posOffset>
                </wp:positionH>
                <wp:positionV relativeFrom="paragraph">
                  <wp:posOffset>261583</wp:posOffset>
                </wp:positionV>
                <wp:extent cx="4559940" cy="274189"/>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4559940" cy="274189"/>
                        </a:xfrm>
                        <a:prstGeom prst="rect">
                          <a:avLst/>
                        </a:prstGeom>
                        <a:solidFill>
                          <a:prstClr val="white"/>
                        </a:solidFill>
                        <a:ln>
                          <a:noFill/>
                        </a:ln>
                      </wps:spPr>
                      <wps:txbx>
                        <w:txbxContent>
                          <w:p w14:paraId="13391752" w14:textId="7E668734" w:rsidR="00876FFE" w:rsidRPr="00A47702" w:rsidRDefault="00876FFE" w:rsidP="00A47702">
                            <w:pPr>
                              <w:pStyle w:val="Caption"/>
                              <w:rPr>
                                <w:i w:val="0"/>
                                <w:iCs w:val="0"/>
                              </w:rPr>
                            </w:pPr>
                            <w:bookmarkStart w:id="213" w:name="_Toc57665366"/>
                            <w:r w:rsidRPr="00A47702">
                              <w:rPr>
                                <w:i w:val="0"/>
                                <w:iCs w:val="0"/>
                              </w:rPr>
                              <w:t xml:space="preserve">Графикон </w:t>
                            </w:r>
                            <w:r w:rsidRPr="00A47702">
                              <w:rPr>
                                <w:i w:val="0"/>
                                <w:iCs w:val="0"/>
                              </w:rPr>
                              <w:fldChar w:fldCharType="begin"/>
                            </w:r>
                            <w:r w:rsidRPr="00A47702">
                              <w:rPr>
                                <w:i w:val="0"/>
                                <w:iCs w:val="0"/>
                              </w:rPr>
                              <w:instrText xml:space="preserve"> SEQ Графикон \* ARABIC </w:instrText>
                            </w:r>
                            <w:r w:rsidRPr="00A47702">
                              <w:rPr>
                                <w:i w:val="0"/>
                                <w:iCs w:val="0"/>
                              </w:rPr>
                              <w:fldChar w:fldCharType="separate"/>
                            </w:r>
                            <w:r>
                              <w:rPr>
                                <w:i w:val="0"/>
                                <w:iCs w:val="0"/>
                                <w:noProof/>
                              </w:rPr>
                              <w:t>30</w:t>
                            </w:r>
                            <w:r w:rsidRPr="00A47702">
                              <w:rPr>
                                <w:i w:val="0"/>
                                <w:iCs w:val="0"/>
                              </w:rPr>
                              <w:fldChar w:fldCharType="end"/>
                            </w:r>
                            <w:r w:rsidRPr="00A47702">
                              <w:rPr>
                                <w:i w:val="0"/>
                                <w:iCs w:val="0"/>
                              </w:rPr>
                              <w:t xml:space="preserve"> Дрво проблема – Одговорност и транспарентност у јавној управи</w:t>
                            </w:r>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8F6E7B" id="Text Box 124" o:spid="_x0000_s1316" type="#_x0000_t202" style="position:absolute;left:0;text-align:left;margin-left:280.65pt;margin-top:20.6pt;width:359.05pt;height:21.6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" stroked="f">
                <v:textbox inset="0,0,0,0">
                  <w:txbxContent>
                    <w:p w14:paraId="13391752" w14:textId="7E668734" w:rsidR="00876FFE" w:rsidRPr="00A47702" w:rsidRDefault="00876FFE" w:rsidP="00A47702">
                      <w:pPr>
                        <w:pStyle w:val="Caption"/>
                        <w:rPr>
                          <w:i w:val="0"/>
                          <w:iCs w:val="0"/>
                        </w:rPr>
                      </w:pPr>
                      <w:bookmarkStart w:id="230" w:name="_Toc57665366"/>
                      <w:r w:rsidRPr="00A47702">
                        <w:rPr>
                          <w:i w:val="0"/>
                          <w:iCs w:val="0"/>
                        </w:rPr>
                        <w:t xml:space="preserve">Графикон </w:t>
                      </w:r>
                      <w:r w:rsidRPr="00A47702">
                        <w:rPr>
                          <w:i w:val="0"/>
                          <w:iCs w:val="0"/>
                        </w:rPr>
                        <w:fldChar w:fldCharType="begin"/>
                      </w:r>
                      <w:r w:rsidRPr="00A47702">
                        <w:rPr>
                          <w:i w:val="0"/>
                          <w:iCs w:val="0"/>
                        </w:rPr>
                        <w:instrText xml:space="preserve"> SEQ Графикон \* ARABIC </w:instrText>
                      </w:r>
                      <w:r w:rsidRPr="00A47702">
                        <w:rPr>
                          <w:i w:val="0"/>
                          <w:iCs w:val="0"/>
                        </w:rPr>
                        <w:fldChar w:fldCharType="separate"/>
                      </w:r>
                      <w:r>
                        <w:rPr>
                          <w:i w:val="0"/>
                          <w:iCs w:val="0"/>
                          <w:noProof/>
                        </w:rPr>
                        <w:t>30</w:t>
                      </w:r>
                      <w:r w:rsidRPr="00A47702">
                        <w:rPr>
                          <w:i w:val="0"/>
                          <w:iCs w:val="0"/>
                        </w:rPr>
                        <w:fldChar w:fldCharType="end"/>
                      </w:r>
                      <w:r w:rsidRPr="00A47702">
                        <w:rPr>
                          <w:i w:val="0"/>
                          <w:iCs w:val="0"/>
                        </w:rPr>
                        <w:t xml:space="preserve"> Дрво проблема – Одговорност и транспарентност у јавној управи</w:t>
                      </w:r>
                      <w:bookmarkEnd w:id="230"/>
                    </w:p>
                  </w:txbxContent>
                </v:textbox>
              </v:shape>
            </w:pict>
          </mc:Fallback>
        </mc:AlternateContent>
      </w:r>
    </w:p>
    <w:p w14:paraId="749CBA17" w14:textId="575FCE51" w:rsidR="00B97D19" w:rsidRPr="000F0299" w:rsidRDefault="00B97D19" w:rsidP="00B97D19">
      <w:pPr>
        <w:sectPr w:rsidR="00B97D19" w:rsidRPr="000F0299" w:rsidSect="004627A6">
          <w:headerReference w:type="default" r:id="rId148"/>
          <w:footerReference w:type="default" r:id="rId149"/>
          <w:pgSz w:w="23811" w:h="16838" w:orient="landscape" w:code="8"/>
          <w:pgMar w:top="993" w:right="1417" w:bottom="1417" w:left="1134" w:header="708" w:footer="708" w:gutter="0"/>
          <w:cols w:space="708"/>
          <w:docGrid w:linePitch="360"/>
        </w:sectPr>
      </w:pPr>
    </w:p>
    <w:p w14:paraId="6087CD5F" w14:textId="77777777" w:rsidR="00841714" w:rsidRPr="000F0299" w:rsidRDefault="00841714" w:rsidP="00841714">
      <w:pPr>
        <w:pStyle w:val="Heading3"/>
        <w:rPr>
          <w:rStyle w:val="Emphasis"/>
          <w:i w:val="0"/>
          <w:iCs w:val="0"/>
          <w:lang w:val="sr-Cyrl-RS"/>
        </w:rPr>
      </w:pPr>
      <w:bookmarkStart w:id="214" w:name="_ЦИЉ,_АНАЛИЗА_ЕФЕКАТА_2"/>
      <w:bookmarkStart w:id="215" w:name="_Toc57139392"/>
      <w:bookmarkStart w:id="216" w:name="_Toc57661491"/>
      <w:bookmarkStart w:id="217" w:name="_Toc51601590"/>
      <w:bookmarkStart w:id="218" w:name="_Hlk55294229"/>
      <w:bookmarkStart w:id="219" w:name="_Toc40611667"/>
      <w:bookmarkEnd w:id="214"/>
      <w:r w:rsidRPr="000F0299">
        <w:rPr>
          <w:rStyle w:val="Emphasis"/>
          <w:i w:val="0"/>
          <w:iCs w:val="0"/>
          <w:lang w:val="sr-Cyrl-RS"/>
        </w:rPr>
        <w:t>Циљ, анализа ефеката и мере</w:t>
      </w:r>
      <w:bookmarkEnd w:id="215"/>
      <w:bookmarkEnd w:id="216"/>
    </w:p>
    <w:p w14:paraId="54DE938C" w14:textId="77777777" w:rsidR="00841714" w:rsidRPr="000F0299" w:rsidRDefault="00841714" w:rsidP="00841714">
      <w:r w:rsidRPr="000F0299">
        <w:t>Општи правац деловањ</w:t>
      </w:r>
      <w:r>
        <w:t>е</w:t>
      </w:r>
      <w:r w:rsidRPr="000F0299">
        <w:t xml:space="preserve"> до 2030. године </w:t>
      </w:r>
      <w:r>
        <w:t>усмерено је</w:t>
      </w:r>
      <w:r w:rsidRPr="000F0299">
        <w:t xml:space="preserve"> </w:t>
      </w:r>
      <w:r>
        <w:t xml:space="preserve">на </w:t>
      </w:r>
      <w:r w:rsidRPr="000F0299">
        <w:t>стварање јавне управе у коју грађани имају поверења</w:t>
      </w:r>
      <w:r>
        <w:t>,</w:t>
      </w:r>
      <w:r w:rsidRPr="000F0299">
        <w:t xml:space="preserve"> у </w:t>
      </w:r>
      <w:r>
        <w:t xml:space="preserve">којој се </w:t>
      </w:r>
      <w:r w:rsidRPr="000F0299">
        <w:t>непристрасно</w:t>
      </w:r>
      <w:r>
        <w:t xml:space="preserve"> и</w:t>
      </w:r>
      <w:r w:rsidRPr="000F0299">
        <w:t xml:space="preserve"> професионално обавља</w:t>
      </w:r>
      <w:r>
        <w:t>ју</w:t>
      </w:r>
      <w:r w:rsidRPr="000F0299">
        <w:t xml:space="preserve"> јавни послов</w:t>
      </w:r>
      <w:r>
        <w:t>и</w:t>
      </w:r>
      <w:r w:rsidRPr="000F0299">
        <w:t xml:space="preserve"> и у којој су успостављени ефикасни системи надзора </w:t>
      </w:r>
      <w:r>
        <w:t xml:space="preserve">над </w:t>
      </w:r>
      <w:r w:rsidRPr="000F0299">
        <w:t>рад</w:t>
      </w:r>
      <w:r>
        <w:t>ом</w:t>
      </w:r>
      <w:r w:rsidRPr="000F0299">
        <w:t xml:space="preserve"> који омогућавају управљање према учинку и обезбеђују делотворност у раду. </w:t>
      </w:r>
      <w:r>
        <w:t>У оквиру овог</w:t>
      </w:r>
      <w:r w:rsidRPr="000F0299">
        <w:t>посеб</w:t>
      </w:r>
      <w:r>
        <w:t>ног</w:t>
      </w:r>
      <w:r w:rsidRPr="000F0299">
        <w:t xml:space="preserve"> циљ</w:t>
      </w:r>
      <w:r>
        <w:t xml:space="preserve">а, </w:t>
      </w:r>
      <w:r w:rsidRPr="000F0299">
        <w:t>успостав</w:t>
      </w:r>
      <w:r>
        <w:t>иће сеити</w:t>
      </w:r>
      <w:r w:rsidRPr="000F0299">
        <w:t xml:space="preserve"> ефикасниј</w:t>
      </w:r>
      <w:r>
        <w:t>а</w:t>
      </w:r>
      <w:r w:rsidRPr="000F0299">
        <w:t xml:space="preserve"> етичк</w:t>
      </w:r>
      <w:r>
        <w:t>а</w:t>
      </w:r>
      <w:r w:rsidRPr="000F0299">
        <w:t xml:space="preserve"> инфраструктур</w:t>
      </w:r>
      <w:r>
        <w:t>а</w:t>
      </w:r>
      <w:r w:rsidRPr="000F0299">
        <w:t xml:space="preserve"> у јавној управи са одрживим капацитетима и на најмању могућу меру смањен</w:t>
      </w:r>
      <w:r>
        <w:t>им</w:t>
      </w:r>
      <w:r w:rsidRPr="000F0299">
        <w:t xml:space="preserve"> ризик</w:t>
      </w:r>
      <w:r>
        <w:t>ом</w:t>
      </w:r>
      <w:r w:rsidRPr="000F0299">
        <w:t xml:space="preserve"> </w:t>
      </w:r>
      <w:r>
        <w:t xml:space="preserve">од </w:t>
      </w:r>
      <w:r w:rsidRPr="000F0299">
        <w:t>корупције и неетичког понашања. Нагласак ће бити стављен и на редовно објављивање отворених података и информисање јавности о свим аспектима рада јавне управе, како би се грађанима омогућило да прате и утичу на њен рад, укључујући и извештаје о остварености циљева из докумената јавних политика.</w:t>
      </w:r>
    </w:p>
    <w:p w14:paraId="79CF3A1F" w14:textId="77777777" w:rsidR="00841714" w:rsidRPr="000F0299" w:rsidRDefault="00841714" w:rsidP="00841714">
      <w:pPr>
        <w:pStyle w:val="Heading4"/>
        <w:rPr>
          <w:lang w:val="sr-Cyrl-RS"/>
        </w:rPr>
      </w:pPr>
      <w:r w:rsidRPr="000F0299">
        <w:rPr>
          <w:lang w:val="sr-Cyrl-RS"/>
        </w:rPr>
        <w:t>Посебан циљ 4.1: Унапређен ниво одговорности и транспарентност на свим нивоима власти</w:t>
      </w:r>
      <w:r>
        <w:rPr>
          <w:lang w:val="sr-Cyrl-RS"/>
        </w:rPr>
        <w:t>.</w:t>
      </w:r>
    </w:p>
    <w:tbl>
      <w:tblPr>
        <w:tblW w:w="5000" w:type="pct"/>
        <w:shd w:val="clear" w:color="auto" w:fill="E7E6E6" w:themeFill="background2"/>
        <w:tblLook w:val="00A0" w:firstRow="1" w:lastRow="0" w:firstColumn="1" w:lastColumn="0" w:noHBand="0" w:noVBand="0"/>
      </w:tblPr>
      <w:tblGrid>
        <w:gridCol w:w="342"/>
        <w:gridCol w:w="4616"/>
        <w:gridCol w:w="1867"/>
        <w:gridCol w:w="1867"/>
        <w:gridCol w:w="334"/>
      </w:tblGrid>
      <w:tr w:rsidR="00841714" w:rsidRPr="000F0299" w14:paraId="078040CD" w14:textId="77777777" w:rsidTr="00841714">
        <w:trPr>
          <w:trHeight w:val="20"/>
        </w:trPr>
        <w:tc>
          <w:tcPr>
            <w:tcW w:w="190" w:type="pct"/>
            <w:tcBorders>
              <w:top w:val="single" w:sz="18" w:space="0" w:color="C00000"/>
              <w:left w:val="single" w:sz="18" w:space="0" w:color="C00000"/>
            </w:tcBorders>
            <w:shd w:val="clear" w:color="auto" w:fill="F2F2F2" w:themeFill="background1" w:themeFillShade="F2"/>
          </w:tcPr>
          <w:p w14:paraId="1DF5B66B" w14:textId="77777777" w:rsidR="00841714" w:rsidRPr="000F0299" w:rsidRDefault="00841714" w:rsidP="00841714">
            <w:pPr>
              <w:spacing w:before="0"/>
              <w:ind w:firstLine="0"/>
              <w:rPr>
                <w:b/>
                <w:bCs/>
                <w:sz w:val="16"/>
                <w:szCs w:val="16"/>
              </w:rPr>
            </w:pPr>
          </w:p>
        </w:tc>
        <w:tc>
          <w:tcPr>
            <w:tcW w:w="2556" w:type="pct"/>
            <w:tcBorders>
              <w:top w:val="single" w:sz="18" w:space="0" w:color="C00000"/>
            </w:tcBorders>
            <w:shd w:val="clear" w:color="auto" w:fill="F2F2F2" w:themeFill="background1" w:themeFillShade="F2"/>
          </w:tcPr>
          <w:p w14:paraId="7663E3C9" w14:textId="77777777" w:rsidR="00841714" w:rsidRPr="000F0299" w:rsidRDefault="00841714" w:rsidP="00841714">
            <w:pPr>
              <w:spacing w:before="0"/>
              <w:ind w:firstLine="0"/>
              <w:rPr>
                <w:b/>
                <w:bCs/>
                <w:sz w:val="16"/>
                <w:szCs w:val="16"/>
              </w:rPr>
            </w:pPr>
          </w:p>
        </w:tc>
        <w:tc>
          <w:tcPr>
            <w:tcW w:w="1034" w:type="pct"/>
            <w:tcBorders>
              <w:top w:val="single" w:sz="18" w:space="0" w:color="C00000"/>
            </w:tcBorders>
            <w:shd w:val="clear" w:color="auto" w:fill="F2F2F2" w:themeFill="background1" w:themeFillShade="F2"/>
            <w:vAlign w:val="center"/>
          </w:tcPr>
          <w:p w14:paraId="712689B5" w14:textId="77777777" w:rsidR="00841714" w:rsidRPr="000F0299" w:rsidRDefault="00841714" w:rsidP="00841714">
            <w:pPr>
              <w:spacing w:before="0"/>
              <w:ind w:firstLine="0"/>
              <w:jc w:val="center"/>
              <w:rPr>
                <w:b/>
                <w:bCs/>
                <w:sz w:val="16"/>
                <w:szCs w:val="16"/>
              </w:rPr>
            </w:pPr>
          </w:p>
        </w:tc>
        <w:tc>
          <w:tcPr>
            <w:tcW w:w="1034" w:type="pct"/>
            <w:tcBorders>
              <w:top w:val="single" w:sz="18" w:space="0" w:color="C00000"/>
            </w:tcBorders>
            <w:shd w:val="clear" w:color="auto" w:fill="F2F2F2" w:themeFill="background1" w:themeFillShade="F2"/>
            <w:vAlign w:val="center"/>
          </w:tcPr>
          <w:p w14:paraId="6E7DCFF9" w14:textId="77777777" w:rsidR="00841714" w:rsidRPr="000F0299" w:rsidRDefault="00841714" w:rsidP="00841714">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F2F2F2" w:themeFill="background1" w:themeFillShade="F2"/>
          </w:tcPr>
          <w:p w14:paraId="6BA080F6" w14:textId="77777777" w:rsidR="00841714" w:rsidRPr="000F0299" w:rsidRDefault="00841714" w:rsidP="00841714">
            <w:pPr>
              <w:spacing w:before="0"/>
              <w:ind w:firstLine="0"/>
              <w:jc w:val="center"/>
              <w:rPr>
                <w:b/>
                <w:bCs/>
                <w:sz w:val="16"/>
                <w:szCs w:val="16"/>
              </w:rPr>
            </w:pPr>
          </w:p>
        </w:tc>
      </w:tr>
      <w:tr w:rsidR="00841714" w:rsidRPr="000F0299" w14:paraId="5182D319" w14:textId="77777777" w:rsidTr="00841714">
        <w:trPr>
          <w:trHeight w:val="490"/>
        </w:trPr>
        <w:tc>
          <w:tcPr>
            <w:tcW w:w="190" w:type="pct"/>
            <w:tcBorders>
              <w:left w:val="single" w:sz="18" w:space="0" w:color="C00000"/>
            </w:tcBorders>
            <w:shd w:val="clear" w:color="auto" w:fill="F2F2F2" w:themeFill="background1" w:themeFillShade="F2"/>
          </w:tcPr>
          <w:p w14:paraId="5E42AD72" w14:textId="77777777" w:rsidR="00841714" w:rsidRPr="000F0299" w:rsidRDefault="00841714" w:rsidP="00841714">
            <w:pPr>
              <w:spacing w:before="0"/>
              <w:ind w:firstLine="0"/>
              <w:rPr>
                <w:b/>
                <w:bCs/>
              </w:rPr>
            </w:pPr>
          </w:p>
        </w:tc>
        <w:tc>
          <w:tcPr>
            <w:tcW w:w="2556" w:type="pct"/>
            <w:tcBorders>
              <w:left w:val="nil"/>
              <w:bottom w:val="single" w:sz="18" w:space="0" w:color="C00000"/>
              <w:right w:val="single" w:sz="18" w:space="0" w:color="FFFFFF" w:themeColor="background1"/>
            </w:tcBorders>
            <w:shd w:val="clear" w:color="auto" w:fill="F2F2F2" w:themeFill="background1" w:themeFillShade="F2"/>
          </w:tcPr>
          <w:p w14:paraId="3F04D85D" w14:textId="77777777" w:rsidR="00841714" w:rsidRPr="000F0299" w:rsidRDefault="00841714" w:rsidP="00841714">
            <w:pPr>
              <w:spacing w:before="0"/>
              <w:ind w:firstLine="0"/>
              <w:rPr>
                <w:b/>
                <w:bCs/>
              </w:rPr>
            </w:pPr>
            <w:r w:rsidRPr="000F0299">
              <w:rPr>
                <w:b/>
                <w:bCs/>
              </w:rPr>
              <w:t>Показатељ исхода</w:t>
            </w:r>
          </w:p>
        </w:tc>
        <w:tc>
          <w:tcPr>
            <w:tcW w:w="1034"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37ED3B7B" w14:textId="77777777" w:rsidR="00841714" w:rsidRPr="000F0299" w:rsidRDefault="00841714" w:rsidP="00841714">
            <w:pPr>
              <w:spacing w:before="0"/>
              <w:ind w:firstLine="0"/>
              <w:jc w:val="center"/>
              <w:rPr>
                <w:b/>
                <w:bCs/>
              </w:rPr>
            </w:pPr>
            <w:r w:rsidRPr="000F0299">
              <w:rPr>
                <w:b/>
                <w:bCs/>
              </w:rPr>
              <w:t>ПВ</w:t>
            </w:r>
          </w:p>
        </w:tc>
        <w:tc>
          <w:tcPr>
            <w:tcW w:w="1034" w:type="pct"/>
            <w:tcBorders>
              <w:left w:val="single" w:sz="18" w:space="0" w:color="FFFFFF" w:themeColor="background1"/>
              <w:bottom w:val="single" w:sz="18" w:space="0" w:color="C00000"/>
            </w:tcBorders>
            <w:shd w:val="clear" w:color="auto" w:fill="F2F2F2" w:themeFill="background1" w:themeFillShade="F2"/>
            <w:vAlign w:val="center"/>
          </w:tcPr>
          <w:p w14:paraId="230FB367" w14:textId="77777777" w:rsidR="00841714" w:rsidRPr="000F0299" w:rsidRDefault="00841714" w:rsidP="00841714">
            <w:pPr>
              <w:spacing w:before="0"/>
              <w:ind w:firstLine="0"/>
              <w:jc w:val="center"/>
              <w:rPr>
                <w:b/>
                <w:bCs/>
              </w:rPr>
            </w:pPr>
            <w:r w:rsidRPr="000F0299">
              <w:rPr>
                <w:b/>
                <w:bCs/>
              </w:rPr>
              <w:t>ЦВ</w:t>
            </w:r>
          </w:p>
        </w:tc>
        <w:tc>
          <w:tcPr>
            <w:tcW w:w="185" w:type="pct"/>
            <w:tcBorders>
              <w:right w:val="single" w:sz="18" w:space="0" w:color="C00000"/>
            </w:tcBorders>
            <w:shd w:val="clear" w:color="auto" w:fill="F2F2F2" w:themeFill="background1" w:themeFillShade="F2"/>
          </w:tcPr>
          <w:p w14:paraId="2C624877" w14:textId="77777777" w:rsidR="00841714" w:rsidRPr="000F0299" w:rsidRDefault="00841714" w:rsidP="00841714">
            <w:pPr>
              <w:spacing w:before="0"/>
              <w:ind w:firstLine="0"/>
              <w:jc w:val="center"/>
              <w:rPr>
                <w:b/>
                <w:bCs/>
              </w:rPr>
            </w:pPr>
          </w:p>
        </w:tc>
      </w:tr>
      <w:tr w:rsidR="00841714" w:rsidRPr="000F0299" w14:paraId="6E47CA5D" w14:textId="77777777" w:rsidTr="00841714">
        <w:trPr>
          <w:trHeight w:val="1082"/>
        </w:trPr>
        <w:tc>
          <w:tcPr>
            <w:tcW w:w="190" w:type="pct"/>
            <w:tcBorders>
              <w:left w:val="single" w:sz="18" w:space="0" w:color="C00000"/>
            </w:tcBorders>
            <w:shd w:val="clear" w:color="auto" w:fill="F2F2F2" w:themeFill="background1" w:themeFillShade="F2"/>
          </w:tcPr>
          <w:p w14:paraId="22E94611" w14:textId="77777777" w:rsidR="00841714" w:rsidRPr="000F0299" w:rsidRDefault="00841714" w:rsidP="00841714">
            <w:pPr>
              <w:spacing w:before="0"/>
              <w:ind w:firstLine="0"/>
            </w:pPr>
          </w:p>
        </w:tc>
        <w:tc>
          <w:tcPr>
            <w:tcW w:w="2556"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6A31C7CD" w14:textId="77777777" w:rsidR="00841714" w:rsidRPr="000F0299" w:rsidRDefault="00841714" w:rsidP="00841714">
            <w:pPr>
              <w:spacing w:before="0"/>
              <w:ind w:firstLine="0"/>
            </w:pPr>
            <w:r w:rsidRPr="000F0299">
              <w:t>Годишња процена Е</w:t>
            </w:r>
            <w:r>
              <w:t>вропске комисије</w:t>
            </w:r>
            <w:r w:rsidRPr="000F0299">
              <w:t xml:space="preserve"> о напретку у области одговорности   </w:t>
            </w:r>
          </w:p>
        </w:tc>
        <w:tc>
          <w:tcPr>
            <w:tcW w:w="1034"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12CAE435" w14:textId="77777777" w:rsidR="00841714" w:rsidRPr="000F0299" w:rsidRDefault="00841714" w:rsidP="00841714">
            <w:pPr>
              <w:spacing w:before="0"/>
              <w:ind w:firstLine="0"/>
            </w:pPr>
            <w:r w:rsidRPr="000F0299">
              <w:t>(2020): не</w:t>
            </w:r>
          </w:p>
        </w:tc>
        <w:tc>
          <w:tcPr>
            <w:tcW w:w="1034"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0CA18BD7" w14:textId="77777777" w:rsidR="00841714" w:rsidRPr="000F0299" w:rsidRDefault="00841714" w:rsidP="00841714">
            <w:pPr>
              <w:spacing w:before="0"/>
              <w:ind w:firstLine="0"/>
            </w:pPr>
            <w:r w:rsidRPr="000F0299">
              <w:t>(2021): не</w:t>
            </w:r>
          </w:p>
          <w:p w14:paraId="2C7E6EA1" w14:textId="77777777" w:rsidR="00841714" w:rsidRPr="000F0299" w:rsidRDefault="00841714" w:rsidP="00841714">
            <w:pPr>
              <w:spacing w:before="0"/>
              <w:ind w:firstLine="0"/>
            </w:pPr>
            <w:r w:rsidRPr="000F0299">
              <w:t>(2022): да</w:t>
            </w:r>
          </w:p>
          <w:p w14:paraId="0966E0D2" w14:textId="77777777" w:rsidR="00841714" w:rsidRPr="000F0299" w:rsidRDefault="00841714" w:rsidP="00841714">
            <w:pPr>
              <w:spacing w:before="0"/>
              <w:ind w:firstLine="0"/>
            </w:pPr>
            <w:r w:rsidRPr="000F0299">
              <w:t>(2023): да</w:t>
            </w:r>
          </w:p>
          <w:p w14:paraId="4ACB92F5" w14:textId="77777777" w:rsidR="00841714" w:rsidRPr="000F0299" w:rsidRDefault="00841714" w:rsidP="00841714">
            <w:pPr>
              <w:spacing w:before="0"/>
              <w:ind w:firstLine="0"/>
            </w:pPr>
            <w:r w:rsidRPr="000F0299">
              <w:t>(2024): да</w:t>
            </w:r>
          </w:p>
          <w:p w14:paraId="7ED1A375" w14:textId="77777777" w:rsidR="00841714" w:rsidRPr="000F0299" w:rsidRDefault="00841714" w:rsidP="00841714">
            <w:pPr>
              <w:spacing w:before="0"/>
              <w:ind w:firstLine="0"/>
            </w:pPr>
            <w:r w:rsidRPr="000F0299">
              <w:t>(2025): да</w:t>
            </w:r>
          </w:p>
          <w:p w14:paraId="4B78B345" w14:textId="77777777" w:rsidR="00841714" w:rsidRPr="000F0299" w:rsidRDefault="00841714" w:rsidP="00841714">
            <w:pPr>
              <w:spacing w:before="0"/>
              <w:ind w:firstLine="0"/>
            </w:pPr>
            <w:r w:rsidRPr="000F0299">
              <w:t>(2027): -</w:t>
            </w:r>
          </w:p>
          <w:p w14:paraId="708229F7" w14:textId="77777777" w:rsidR="00841714" w:rsidRPr="000F0299" w:rsidRDefault="00841714" w:rsidP="00841714">
            <w:pPr>
              <w:spacing w:before="0"/>
              <w:ind w:firstLine="0"/>
            </w:pPr>
            <w:r w:rsidRPr="000F0299">
              <w:t>(2030): -</w:t>
            </w:r>
          </w:p>
        </w:tc>
        <w:tc>
          <w:tcPr>
            <w:tcW w:w="185" w:type="pct"/>
            <w:tcBorders>
              <w:right w:val="single" w:sz="18" w:space="0" w:color="C00000"/>
            </w:tcBorders>
            <w:shd w:val="clear" w:color="auto" w:fill="F2F2F2" w:themeFill="background1" w:themeFillShade="F2"/>
          </w:tcPr>
          <w:p w14:paraId="4C90E902" w14:textId="77777777" w:rsidR="00841714" w:rsidRPr="000F0299" w:rsidRDefault="00841714" w:rsidP="00841714">
            <w:pPr>
              <w:spacing w:before="0"/>
              <w:ind w:firstLine="0"/>
            </w:pPr>
          </w:p>
        </w:tc>
      </w:tr>
      <w:tr w:rsidR="00841714" w:rsidRPr="000F0299" w14:paraId="55E939DE" w14:textId="77777777" w:rsidTr="00841714">
        <w:trPr>
          <w:trHeight w:val="381"/>
        </w:trPr>
        <w:tc>
          <w:tcPr>
            <w:tcW w:w="190" w:type="pct"/>
            <w:tcBorders>
              <w:left w:val="single" w:sz="18" w:space="0" w:color="C00000"/>
            </w:tcBorders>
            <w:shd w:val="clear" w:color="auto" w:fill="F2F2F2" w:themeFill="background1" w:themeFillShade="F2"/>
          </w:tcPr>
          <w:p w14:paraId="532B4D6A" w14:textId="77777777" w:rsidR="00841714" w:rsidRPr="000F0299" w:rsidRDefault="00841714" w:rsidP="00841714">
            <w:pPr>
              <w:spacing w:before="0"/>
              <w:ind w:firstLine="0"/>
            </w:pPr>
          </w:p>
        </w:tc>
        <w:tc>
          <w:tcPr>
            <w:tcW w:w="2556"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3F45D09F" w14:textId="77777777" w:rsidR="00841714" w:rsidRPr="000F0299" w:rsidRDefault="00841714" w:rsidP="00841714">
            <w:pPr>
              <w:spacing w:before="0"/>
              <w:ind w:firstLine="0"/>
            </w:pPr>
            <w:r w:rsidRPr="001C1D72">
              <w:rPr>
                <w:i/>
              </w:rPr>
              <w:t>SIGMA</w:t>
            </w:r>
            <w:r w:rsidRPr="000F0299">
              <w:t xml:space="preserve"> показатељ: Приступ информацијама од јавног значаја</w:t>
            </w:r>
          </w:p>
        </w:tc>
        <w:tc>
          <w:tcPr>
            <w:tcW w:w="1034"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746139ED" w14:textId="77777777" w:rsidR="00841714" w:rsidRPr="000F0299" w:rsidRDefault="00841714" w:rsidP="00841714">
            <w:pPr>
              <w:spacing w:before="0"/>
              <w:ind w:firstLine="0"/>
            </w:pPr>
            <w:r w:rsidRPr="000F0299">
              <w:t>(2017): 21/30 (4)</w:t>
            </w:r>
          </w:p>
        </w:tc>
        <w:tc>
          <w:tcPr>
            <w:tcW w:w="1034"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50F834F4" w14:textId="77777777" w:rsidR="00841714" w:rsidRPr="000F0299" w:rsidRDefault="00841714" w:rsidP="00841714">
            <w:pPr>
              <w:spacing w:before="0"/>
              <w:ind w:firstLine="0"/>
            </w:pPr>
            <w:r w:rsidRPr="000F0299">
              <w:t>(2021): -</w:t>
            </w:r>
          </w:p>
          <w:p w14:paraId="5D145838" w14:textId="77777777" w:rsidR="00841714" w:rsidRPr="000F0299" w:rsidRDefault="00841714" w:rsidP="00841714">
            <w:pPr>
              <w:spacing w:before="0"/>
              <w:ind w:firstLine="0"/>
            </w:pPr>
            <w:r w:rsidRPr="000F0299">
              <w:t>(2022): -</w:t>
            </w:r>
          </w:p>
          <w:p w14:paraId="7089458A" w14:textId="77777777" w:rsidR="00841714" w:rsidRPr="000F0299" w:rsidRDefault="00841714" w:rsidP="00841714">
            <w:pPr>
              <w:spacing w:before="0"/>
              <w:ind w:firstLine="0"/>
            </w:pPr>
            <w:r w:rsidRPr="000F0299">
              <w:t>(2023): -</w:t>
            </w:r>
          </w:p>
          <w:p w14:paraId="5D3DC03C" w14:textId="77777777" w:rsidR="00841714" w:rsidRPr="000F0299" w:rsidRDefault="00841714" w:rsidP="00841714">
            <w:pPr>
              <w:spacing w:before="0"/>
              <w:ind w:firstLine="0"/>
            </w:pPr>
            <w:r w:rsidRPr="000F0299">
              <w:t>(2024): -</w:t>
            </w:r>
          </w:p>
          <w:p w14:paraId="25049670" w14:textId="77777777" w:rsidR="00841714" w:rsidRPr="000F0299" w:rsidRDefault="00841714" w:rsidP="00841714">
            <w:pPr>
              <w:spacing w:before="0"/>
              <w:ind w:firstLine="0"/>
            </w:pPr>
            <w:r w:rsidRPr="000F0299">
              <w:t>(2025): 30/30 (5)</w:t>
            </w:r>
          </w:p>
          <w:p w14:paraId="3C0C1BF5" w14:textId="77777777" w:rsidR="00841714" w:rsidRPr="000F0299" w:rsidRDefault="00841714" w:rsidP="00841714">
            <w:pPr>
              <w:spacing w:before="0"/>
              <w:ind w:firstLine="0"/>
            </w:pPr>
            <w:r w:rsidRPr="000F0299">
              <w:t>(2027): -</w:t>
            </w:r>
          </w:p>
          <w:p w14:paraId="3799549B" w14:textId="77777777" w:rsidR="00841714" w:rsidRPr="000F0299" w:rsidRDefault="00841714" w:rsidP="00841714">
            <w:pPr>
              <w:spacing w:before="0"/>
              <w:ind w:firstLine="0"/>
            </w:pPr>
            <w:r w:rsidRPr="000F0299">
              <w:t>(2030): -</w:t>
            </w:r>
          </w:p>
        </w:tc>
        <w:tc>
          <w:tcPr>
            <w:tcW w:w="185" w:type="pct"/>
            <w:tcBorders>
              <w:right w:val="single" w:sz="18" w:space="0" w:color="C00000"/>
            </w:tcBorders>
            <w:shd w:val="clear" w:color="auto" w:fill="F2F2F2" w:themeFill="background1" w:themeFillShade="F2"/>
          </w:tcPr>
          <w:p w14:paraId="104F868B" w14:textId="77777777" w:rsidR="00841714" w:rsidRPr="000F0299" w:rsidRDefault="00841714" w:rsidP="00841714">
            <w:pPr>
              <w:spacing w:before="0"/>
              <w:ind w:firstLine="0"/>
            </w:pPr>
          </w:p>
        </w:tc>
      </w:tr>
      <w:tr w:rsidR="00841714" w:rsidRPr="000F0299" w14:paraId="739A5FAF" w14:textId="77777777" w:rsidTr="00841714">
        <w:trPr>
          <w:trHeight w:val="340"/>
        </w:trPr>
        <w:tc>
          <w:tcPr>
            <w:tcW w:w="190" w:type="pct"/>
            <w:tcBorders>
              <w:left w:val="single" w:sz="18" w:space="0" w:color="C00000"/>
              <w:bottom w:val="single" w:sz="18" w:space="0" w:color="C00000"/>
            </w:tcBorders>
            <w:shd w:val="clear" w:color="auto" w:fill="F2F2F2" w:themeFill="background1" w:themeFillShade="F2"/>
          </w:tcPr>
          <w:p w14:paraId="6F5DDC67" w14:textId="77777777" w:rsidR="00841714" w:rsidRPr="000F0299" w:rsidRDefault="00841714" w:rsidP="00841714">
            <w:pPr>
              <w:spacing w:before="0"/>
              <w:ind w:firstLine="0"/>
              <w:rPr>
                <w:sz w:val="16"/>
                <w:szCs w:val="16"/>
              </w:rPr>
            </w:pPr>
          </w:p>
        </w:tc>
        <w:tc>
          <w:tcPr>
            <w:tcW w:w="2556" w:type="pct"/>
            <w:tcBorders>
              <w:bottom w:val="single" w:sz="18" w:space="0" w:color="C00000"/>
            </w:tcBorders>
            <w:shd w:val="clear" w:color="auto" w:fill="F2F2F2" w:themeFill="background1" w:themeFillShade="F2"/>
          </w:tcPr>
          <w:p w14:paraId="7EDD44B0" w14:textId="77777777" w:rsidR="00841714" w:rsidRPr="000F0299" w:rsidRDefault="00841714" w:rsidP="00841714">
            <w:pPr>
              <w:spacing w:before="0"/>
              <w:ind w:firstLine="0"/>
              <w:rPr>
                <w:sz w:val="16"/>
                <w:szCs w:val="16"/>
              </w:rPr>
            </w:pPr>
          </w:p>
        </w:tc>
        <w:tc>
          <w:tcPr>
            <w:tcW w:w="1034" w:type="pct"/>
            <w:tcBorders>
              <w:bottom w:val="single" w:sz="18" w:space="0" w:color="C00000"/>
            </w:tcBorders>
            <w:shd w:val="clear" w:color="auto" w:fill="F2F2F2" w:themeFill="background1" w:themeFillShade="F2"/>
          </w:tcPr>
          <w:p w14:paraId="09A11C16" w14:textId="77777777" w:rsidR="00841714" w:rsidRPr="000F0299" w:rsidRDefault="00841714" w:rsidP="00841714">
            <w:pPr>
              <w:spacing w:before="0"/>
              <w:ind w:firstLine="0"/>
              <w:rPr>
                <w:sz w:val="16"/>
                <w:szCs w:val="16"/>
              </w:rPr>
            </w:pPr>
          </w:p>
        </w:tc>
        <w:tc>
          <w:tcPr>
            <w:tcW w:w="1034" w:type="pct"/>
            <w:tcBorders>
              <w:bottom w:val="single" w:sz="18" w:space="0" w:color="C00000"/>
            </w:tcBorders>
            <w:shd w:val="clear" w:color="auto" w:fill="F2F2F2" w:themeFill="background1" w:themeFillShade="F2"/>
          </w:tcPr>
          <w:p w14:paraId="04BF2D1F" w14:textId="77777777" w:rsidR="00841714" w:rsidRPr="000F0299" w:rsidRDefault="00841714" w:rsidP="00841714">
            <w:pPr>
              <w:spacing w:before="0"/>
              <w:ind w:firstLine="0"/>
              <w:rPr>
                <w:sz w:val="16"/>
                <w:szCs w:val="16"/>
              </w:rPr>
            </w:pPr>
          </w:p>
        </w:tc>
        <w:tc>
          <w:tcPr>
            <w:tcW w:w="185" w:type="pct"/>
            <w:tcBorders>
              <w:bottom w:val="single" w:sz="18" w:space="0" w:color="C00000"/>
              <w:right w:val="single" w:sz="18" w:space="0" w:color="C00000"/>
            </w:tcBorders>
            <w:shd w:val="clear" w:color="auto" w:fill="F2F2F2" w:themeFill="background1" w:themeFillShade="F2"/>
          </w:tcPr>
          <w:p w14:paraId="3532A96C" w14:textId="77777777" w:rsidR="00841714" w:rsidRPr="000F0299" w:rsidRDefault="00841714" w:rsidP="00841714">
            <w:pPr>
              <w:spacing w:before="0"/>
              <w:ind w:firstLine="0"/>
              <w:rPr>
                <w:sz w:val="16"/>
                <w:szCs w:val="16"/>
              </w:rPr>
            </w:pPr>
          </w:p>
        </w:tc>
      </w:tr>
    </w:tbl>
    <w:bookmarkEnd w:id="217"/>
    <w:p w14:paraId="0455B969" w14:textId="77777777" w:rsidR="00841714" w:rsidRPr="000F0299" w:rsidRDefault="00841714" w:rsidP="00841714">
      <w:pPr>
        <w:pStyle w:val="Heading4"/>
        <w:rPr>
          <w:lang w:val="sr-Cyrl-RS"/>
        </w:rPr>
      </w:pPr>
      <w:r w:rsidRPr="000F0299">
        <w:rPr>
          <w:lang w:val="sr-Cyrl-RS"/>
        </w:rPr>
        <w:t>Анализа ефеката опција за циљ 4.1</w:t>
      </w:r>
    </w:p>
    <w:p w14:paraId="67B695EF" w14:textId="77777777" w:rsidR="00841714" w:rsidRPr="000F0299" w:rsidRDefault="00841714" w:rsidP="00841714">
      <w:r w:rsidRPr="00971C46">
        <w:t xml:space="preserve">Тест утицаја опција предвиђених за постизање овог циља има у потпуности или умерено релевантан утицај на критеријуме. Постигнуто је </w:t>
      </w:r>
      <w:r>
        <w:t>11</w:t>
      </w:r>
      <w:r w:rsidRPr="00971C46">
        <w:t xml:space="preserve"> од максимално 14 бодова, што налаже да се </w:t>
      </w:r>
      <w:r>
        <w:t xml:space="preserve">детаљно </w:t>
      </w:r>
      <w:r w:rsidRPr="00971C46">
        <w:t>анализирају ефекти опција.</w:t>
      </w:r>
    </w:p>
    <w:p w14:paraId="62A2D2C8" w14:textId="77777777" w:rsidR="00841714" w:rsidRPr="00531E12" w:rsidRDefault="00841714" w:rsidP="00841714">
      <w:r w:rsidRPr="000F0299">
        <w:t xml:space="preserve">Пошто поједине </w:t>
      </w:r>
      <w:r>
        <w:t>мапиране</w:t>
      </w:r>
      <w:r w:rsidRPr="000F0299">
        <w:t xml:space="preserve"> мере за постизање овог циља немају алтернативу, а при том не утичу значајно на постављене критеријуме оне нису разматране у анализи. </w:t>
      </w:r>
    </w:p>
    <w:p w14:paraId="1B7D1E25" w14:textId="77777777" w:rsidR="00841714" w:rsidRPr="000F0299" w:rsidRDefault="00841714" w:rsidP="00841714">
      <w:pPr>
        <w:suppressAutoHyphens w:val="0"/>
        <w:autoSpaceDN/>
        <w:spacing w:before="0" w:after="160" w:line="259" w:lineRule="auto"/>
        <w:ind w:firstLine="0"/>
        <w:jc w:val="left"/>
        <w:textAlignment w:val="auto"/>
        <w:rPr>
          <w:rStyle w:val="Emphasis"/>
          <w:b/>
          <w:bCs/>
          <w:i w:val="0"/>
          <w:iCs w:val="0"/>
        </w:rPr>
      </w:pPr>
      <w:r w:rsidRPr="000F0299">
        <w:rPr>
          <w:rStyle w:val="Emphasis"/>
          <w:b/>
          <w:bCs/>
          <w:i w:val="0"/>
          <w:iCs w:val="0"/>
        </w:rPr>
        <w:br w:type="page"/>
      </w:r>
    </w:p>
    <w:p w14:paraId="29FA42F7" w14:textId="77777777" w:rsidR="00841714" w:rsidRPr="000F0299" w:rsidRDefault="00841714" w:rsidP="00841714">
      <w:pPr>
        <w:ind w:firstLine="0"/>
        <w:rPr>
          <w:rStyle w:val="Emphasis"/>
          <w:b/>
          <w:bCs/>
          <w:i w:val="0"/>
          <w:iCs w:val="0"/>
        </w:rPr>
      </w:pPr>
      <w:r w:rsidRPr="000F0299">
        <w:rPr>
          <w:rStyle w:val="Emphasis"/>
          <w:b/>
          <w:bCs/>
          <w:i w:val="0"/>
          <w:iCs w:val="0"/>
        </w:rPr>
        <w:t>Тест утицаја</w:t>
      </w:r>
    </w:p>
    <w:tbl>
      <w:tblPr>
        <w:tblStyle w:val="ListTable2-Accent31"/>
        <w:tblW w:w="9567" w:type="dxa"/>
        <w:tblLayout w:type="fixed"/>
        <w:tblLook w:val="0620" w:firstRow="1" w:lastRow="0" w:firstColumn="0" w:lastColumn="0" w:noHBand="1" w:noVBand="1"/>
      </w:tblPr>
      <w:tblGrid>
        <w:gridCol w:w="7576"/>
        <w:gridCol w:w="79"/>
        <w:gridCol w:w="1906"/>
        <w:gridCol w:w="6"/>
      </w:tblGrid>
      <w:tr w:rsidR="00841714" w:rsidRPr="000F0299" w14:paraId="31222D80" w14:textId="77777777" w:rsidTr="00841714">
        <w:trPr>
          <w:cnfStyle w:val="100000000000" w:firstRow="1" w:lastRow="0" w:firstColumn="0" w:lastColumn="0" w:oddVBand="0" w:evenVBand="0" w:oddHBand="0" w:evenHBand="0" w:firstRowFirstColumn="0" w:firstRowLastColumn="0" w:lastRowFirstColumn="0" w:lastRowLastColumn="0"/>
        </w:trPr>
        <w:tc>
          <w:tcPr>
            <w:tcW w:w="7655" w:type="dxa"/>
            <w:gridSpan w:val="2"/>
          </w:tcPr>
          <w:p w14:paraId="00E7C930" w14:textId="77777777" w:rsidR="00841714" w:rsidRPr="000F0299" w:rsidRDefault="00841714" w:rsidP="00841714">
            <w:pPr>
              <w:ind w:right="601" w:firstLine="0"/>
              <w:rPr>
                <w:rStyle w:val="SubtleEmphasis"/>
                <w:b w:val="0"/>
                <w:bCs w:val="0"/>
                <w:i w:val="0"/>
                <w:color w:val="1F4E79" w:themeColor="accent5" w:themeShade="80"/>
              </w:rPr>
            </w:pPr>
            <w:r w:rsidRPr="000F0299">
              <w:t>Посебан циљ 4.1: Унапређен ниво одговорности и транспарентност на свим нивоима власти</w:t>
            </w:r>
          </w:p>
        </w:tc>
        <w:tc>
          <w:tcPr>
            <w:tcW w:w="1912" w:type="dxa"/>
            <w:gridSpan w:val="2"/>
          </w:tcPr>
          <w:p w14:paraId="571DE68A" w14:textId="77777777" w:rsidR="00841714" w:rsidRPr="000F0299" w:rsidRDefault="00841714" w:rsidP="00841714">
            <w:pPr>
              <w:ind w:firstLine="0"/>
              <w:jc w:val="center"/>
              <w:rPr>
                <w:rStyle w:val="SubtleEmphasis"/>
                <w:i w:val="0"/>
                <w:color w:val="1F4E79" w:themeColor="accent5" w:themeShade="80"/>
              </w:rPr>
            </w:pPr>
            <w:r w:rsidRPr="000F0299">
              <w:rPr>
                <w:rStyle w:val="SubtleEmphasis"/>
                <w:i w:val="0"/>
                <w:color w:val="auto"/>
              </w:rPr>
              <w:t>Бодови</w:t>
            </w:r>
          </w:p>
        </w:tc>
      </w:tr>
      <w:tr w:rsidR="00841714" w:rsidRPr="000F0299" w14:paraId="19AD5043" w14:textId="77777777" w:rsidTr="00841714">
        <w:trPr>
          <w:gridAfter w:val="1"/>
          <w:wAfter w:w="6" w:type="dxa"/>
        </w:trPr>
        <w:tc>
          <w:tcPr>
            <w:tcW w:w="9561" w:type="dxa"/>
            <w:gridSpan w:val="3"/>
            <w:shd w:val="clear" w:color="auto" w:fill="D5DEEE"/>
          </w:tcPr>
          <w:p w14:paraId="073865FD" w14:textId="77777777" w:rsidR="00841714" w:rsidRPr="000F0299" w:rsidRDefault="00841714" w:rsidP="00841714">
            <w:pPr>
              <w:ind w:firstLine="0"/>
            </w:pPr>
            <w:r w:rsidRPr="000F0299">
              <w:rPr>
                <w:b/>
                <w:bCs/>
              </w:rPr>
              <w:t>Квантитативни критеријуми</w:t>
            </w:r>
            <w:r w:rsidRPr="000F0299">
              <w:t xml:space="preserve"> који налажу да се обавезно спроведе детаљна анализа ефеката</w:t>
            </w:r>
          </w:p>
        </w:tc>
      </w:tr>
      <w:tr w:rsidR="00841714" w:rsidRPr="000F0299" w14:paraId="4DD9F09A" w14:textId="77777777" w:rsidTr="00841714">
        <w:trPr>
          <w:gridAfter w:val="1"/>
          <w:wAfter w:w="6" w:type="dxa"/>
        </w:trPr>
        <w:tc>
          <w:tcPr>
            <w:tcW w:w="7576" w:type="dxa"/>
          </w:tcPr>
          <w:p w14:paraId="28ECDA68" w14:textId="77777777" w:rsidR="00841714" w:rsidRPr="008147DA" w:rsidRDefault="00841714" w:rsidP="00841714">
            <w:pPr>
              <w:ind w:firstLine="0"/>
            </w:pPr>
            <w:r w:rsidRPr="000F0299">
              <w:t xml:space="preserve">Промена у приходима и расходима, као и примањима и издацима </w:t>
            </w:r>
            <w:r>
              <w:t>органа државне управе</w:t>
            </w:r>
            <w:r w:rsidRPr="000F0299">
              <w:t xml:space="preserve">/буџету РС, на годишњем нивоу већа од 10% буџета у </w:t>
            </w:r>
            <w:r>
              <w:t xml:space="preserve">односу на </w:t>
            </w:r>
            <w:r w:rsidRPr="000F0299">
              <w:t>п</w:t>
            </w:r>
            <w:r>
              <w:t>ретходну</w:t>
            </w:r>
            <w:r w:rsidRPr="000F0299">
              <w:t xml:space="preserve"> фискалној години</w:t>
            </w:r>
          </w:p>
        </w:tc>
        <w:tc>
          <w:tcPr>
            <w:tcW w:w="1985" w:type="dxa"/>
            <w:gridSpan w:val="2"/>
          </w:tcPr>
          <w:p w14:paraId="218386E0" w14:textId="77777777" w:rsidR="00841714" w:rsidRPr="000F0299" w:rsidRDefault="00841714" w:rsidP="00841714">
            <w:pPr>
              <w:jc w:val="center"/>
            </w:pPr>
            <w:r w:rsidRPr="000F0299">
              <w:t>1</w:t>
            </w:r>
          </w:p>
        </w:tc>
      </w:tr>
      <w:tr w:rsidR="00841714" w:rsidRPr="000F0299" w14:paraId="1FE5E3C7" w14:textId="77777777" w:rsidTr="00841714">
        <w:trPr>
          <w:gridAfter w:val="1"/>
          <w:wAfter w:w="6" w:type="dxa"/>
        </w:trPr>
        <w:tc>
          <w:tcPr>
            <w:tcW w:w="7576" w:type="dxa"/>
          </w:tcPr>
          <w:p w14:paraId="3CF02ABF" w14:textId="77777777" w:rsidR="00841714" w:rsidRPr="000F0299" w:rsidRDefault="00841714" w:rsidP="00841714">
            <w:pPr>
              <w:ind w:firstLine="0"/>
            </w:pPr>
            <w:r w:rsidRPr="000F0299">
              <w:t>Утицај на више од 200.000 грађана</w:t>
            </w:r>
          </w:p>
        </w:tc>
        <w:tc>
          <w:tcPr>
            <w:tcW w:w="1985" w:type="dxa"/>
            <w:gridSpan w:val="2"/>
          </w:tcPr>
          <w:p w14:paraId="64A4C351" w14:textId="77777777" w:rsidR="00841714" w:rsidRPr="000F0299" w:rsidRDefault="00841714" w:rsidP="00841714">
            <w:pPr>
              <w:jc w:val="center"/>
            </w:pPr>
            <w:r w:rsidRPr="000F0299">
              <w:t>2</w:t>
            </w:r>
          </w:p>
        </w:tc>
      </w:tr>
      <w:tr w:rsidR="00841714" w:rsidRPr="000F0299" w14:paraId="52405AE6" w14:textId="77777777" w:rsidTr="00841714">
        <w:trPr>
          <w:gridAfter w:val="1"/>
          <w:wAfter w:w="6" w:type="dxa"/>
        </w:trPr>
        <w:tc>
          <w:tcPr>
            <w:tcW w:w="7576" w:type="dxa"/>
          </w:tcPr>
          <w:p w14:paraId="51600B9B" w14:textId="77777777" w:rsidR="00841714" w:rsidRPr="000F0299" w:rsidRDefault="00841714" w:rsidP="00841714">
            <w:pPr>
              <w:ind w:firstLine="0"/>
            </w:pPr>
            <w:r w:rsidRPr="000F0299">
              <w:t>Утицај на више од 5% предузетника или правних лица, или на више од 20% тих лица у одређеној делатности</w:t>
            </w:r>
          </w:p>
        </w:tc>
        <w:tc>
          <w:tcPr>
            <w:tcW w:w="1985" w:type="dxa"/>
            <w:gridSpan w:val="2"/>
          </w:tcPr>
          <w:p w14:paraId="6CAA09A1" w14:textId="77777777" w:rsidR="00841714" w:rsidRPr="000F0299" w:rsidRDefault="00841714" w:rsidP="00841714">
            <w:pPr>
              <w:jc w:val="center"/>
            </w:pPr>
            <w:r w:rsidRPr="000F0299">
              <w:t>0</w:t>
            </w:r>
          </w:p>
        </w:tc>
      </w:tr>
      <w:tr w:rsidR="00841714" w:rsidRPr="000F0299" w14:paraId="41EE6176" w14:textId="77777777" w:rsidTr="00841714">
        <w:trPr>
          <w:gridAfter w:val="1"/>
          <w:wAfter w:w="6" w:type="dxa"/>
        </w:trPr>
        <w:tc>
          <w:tcPr>
            <w:tcW w:w="9561" w:type="dxa"/>
            <w:gridSpan w:val="3"/>
            <w:shd w:val="clear" w:color="auto" w:fill="D5DEEE"/>
          </w:tcPr>
          <w:p w14:paraId="09EC1BAD" w14:textId="77777777" w:rsidR="00841714" w:rsidRPr="000F0299" w:rsidRDefault="00841714" w:rsidP="00841714">
            <w:pPr>
              <w:ind w:firstLine="0"/>
            </w:pPr>
            <w:r w:rsidRPr="000F0299">
              <w:rPr>
                <w:b/>
              </w:rPr>
              <w:t xml:space="preserve">Квалитативни критеријуми </w:t>
            </w:r>
            <w:r w:rsidRPr="000F0299">
              <w:t>који налажу да се обавезно спроведе детаљна анализа ефеката</w:t>
            </w:r>
          </w:p>
        </w:tc>
      </w:tr>
      <w:tr w:rsidR="00841714" w:rsidRPr="000F0299" w14:paraId="2A114AB6" w14:textId="77777777" w:rsidTr="00841714">
        <w:trPr>
          <w:gridAfter w:val="1"/>
          <w:wAfter w:w="6" w:type="dxa"/>
        </w:trPr>
        <w:tc>
          <w:tcPr>
            <w:tcW w:w="7576" w:type="dxa"/>
          </w:tcPr>
          <w:p w14:paraId="711DCCBF" w14:textId="77777777" w:rsidR="00841714" w:rsidRPr="000F0299" w:rsidRDefault="00841714" w:rsidP="00841714">
            <w:pPr>
              <w:ind w:firstLine="0"/>
            </w:pPr>
            <w:r w:rsidRPr="000F0299">
              <w:t>Утицај на тржиште и услове конкуренције/конкурентности</w:t>
            </w:r>
          </w:p>
        </w:tc>
        <w:tc>
          <w:tcPr>
            <w:tcW w:w="1985" w:type="dxa"/>
            <w:gridSpan w:val="2"/>
          </w:tcPr>
          <w:p w14:paraId="1F44B645" w14:textId="77777777" w:rsidR="00841714" w:rsidRPr="000F0299" w:rsidRDefault="00841714" w:rsidP="00841714">
            <w:pPr>
              <w:jc w:val="center"/>
            </w:pPr>
            <w:r w:rsidRPr="000F0299">
              <w:t>0</w:t>
            </w:r>
          </w:p>
        </w:tc>
      </w:tr>
      <w:tr w:rsidR="00841714" w:rsidRPr="000F0299" w14:paraId="5EAF7ADA" w14:textId="77777777" w:rsidTr="00841714">
        <w:trPr>
          <w:gridAfter w:val="1"/>
          <w:wAfter w:w="6" w:type="dxa"/>
        </w:trPr>
        <w:tc>
          <w:tcPr>
            <w:tcW w:w="7576" w:type="dxa"/>
          </w:tcPr>
          <w:p w14:paraId="746BF331" w14:textId="77777777" w:rsidR="00841714" w:rsidRPr="000F0299" w:rsidRDefault="00841714" w:rsidP="00841714">
            <w:pPr>
              <w:ind w:firstLine="0"/>
            </w:pPr>
            <w:r w:rsidRPr="000F0299">
              <w:t xml:space="preserve">Увођење значајних реформских, односно системских промена </w:t>
            </w:r>
          </w:p>
        </w:tc>
        <w:tc>
          <w:tcPr>
            <w:tcW w:w="1985" w:type="dxa"/>
            <w:gridSpan w:val="2"/>
          </w:tcPr>
          <w:p w14:paraId="6C5D9F27" w14:textId="77777777" w:rsidR="00841714" w:rsidRPr="000F0299" w:rsidRDefault="00841714" w:rsidP="00841714">
            <w:pPr>
              <w:jc w:val="center"/>
            </w:pPr>
            <w:r w:rsidRPr="000F0299">
              <w:t>2</w:t>
            </w:r>
          </w:p>
        </w:tc>
      </w:tr>
      <w:tr w:rsidR="00841714" w:rsidRPr="000F0299" w14:paraId="26EF08CA" w14:textId="77777777" w:rsidTr="00841714">
        <w:trPr>
          <w:gridAfter w:val="1"/>
          <w:wAfter w:w="6" w:type="dxa"/>
        </w:trPr>
        <w:tc>
          <w:tcPr>
            <w:tcW w:w="9561" w:type="dxa"/>
            <w:gridSpan w:val="3"/>
            <w:shd w:val="clear" w:color="auto" w:fill="D5DEEE"/>
          </w:tcPr>
          <w:p w14:paraId="0D08D564" w14:textId="77777777" w:rsidR="00841714" w:rsidRPr="000F0299" w:rsidRDefault="00841714" w:rsidP="00841714">
            <w:pPr>
              <w:ind w:firstLine="0"/>
            </w:pPr>
            <w:r w:rsidRPr="000F0299">
              <w:t>Хоризонтални критеријуми</w:t>
            </w:r>
          </w:p>
        </w:tc>
      </w:tr>
      <w:tr w:rsidR="00841714" w:rsidRPr="000F0299" w14:paraId="7EDDF9ED" w14:textId="77777777" w:rsidTr="00841714">
        <w:trPr>
          <w:gridAfter w:val="1"/>
          <w:wAfter w:w="6" w:type="dxa"/>
        </w:trPr>
        <w:tc>
          <w:tcPr>
            <w:tcW w:w="7576" w:type="dxa"/>
          </w:tcPr>
          <w:p w14:paraId="3B30EE59" w14:textId="77777777" w:rsidR="00841714" w:rsidRPr="000F0299" w:rsidRDefault="00841714" w:rsidP="00841714">
            <w:pPr>
              <w:ind w:firstLine="0"/>
            </w:pPr>
            <w:r w:rsidRPr="000F0299">
              <w:t xml:space="preserve">Од значаја за остварење једнаког третмана и истих могућности за све, </w:t>
            </w:r>
            <w:r w:rsidRPr="000F0299">
              <w:rPr>
                <w:bCs/>
              </w:rPr>
              <w:t>недискриминације и родне равноправности</w:t>
            </w:r>
          </w:p>
        </w:tc>
        <w:tc>
          <w:tcPr>
            <w:tcW w:w="1985" w:type="dxa"/>
            <w:gridSpan w:val="2"/>
          </w:tcPr>
          <w:p w14:paraId="5F349250" w14:textId="77777777" w:rsidR="00841714" w:rsidRPr="000F0299" w:rsidRDefault="00841714" w:rsidP="00841714">
            <w:pPr>
              <w:jc w:val="center"/>
            </w:pPr>
            <w:r w:rsidRPr="000F0299">
              <w:t>1</w:t>
            </w:r>
          </w:p>
        </w:tc>
      </w:tr>
      <w:tr w:rsidR="00841714" w:rsidRPr="000F0299" w14:paraId="704BD4B9" w14:textId="77777777" w:rsidTr="00841714">
        <w:trPr>
          <w:gridAfter w:val="1"/>
          <w:wAfter w:w="6" w:type="dxa"/>
        </w:trPr>
        <w:tc>
          <w:tcPr>
            <w:tcW w:w="9561" w:type="dxa"/>
            <w:gridSpan w:val="3"/>
            <w:shd w:val="clear" w:color="auto" w:fill="D5DEEE"/>
          </w:tcPr>
          <w:p w14:paraId="24C9E466" w14:textId="77777777" w:rsidR="00841714" w:rsidRPr="000F0299" w:rsidRDefault="00841714" w:rsidP="00841714">
            <w:pPr>
              <w:ind w:firstLine="0"/>
            </w:pPr>
            <w:r>
              <w:t>Иновативна пракса</w:t>
            </w:r>
          </w:p>
        </w:tc>
      </w:tr>
      <w:tr w:rsidR="00841714" w:rsidRPr="000F0299" w14:paraId="3B61D95A" w14:textId="77777777" w:rsidTr="00841714">
        <w:trPr>
          <w:gridAfter w:val="1"/>
          <w:wAfter w:w="6" w:type="dxa"/>
        </w:trPr>
        <w:tc>
          <w:tcPr>
            <w:tcW w:w="7576" w:type="dxa"/>
          </w:tcPr>
          <w:p w14:paraId="282CBBD6" w14:textId="77777777" w:rsidR="00841714" w:rsidRPr="000F0299" w:rsidRDefault="00841714" w:rsidP="00841714">
            <w:pPr>
              <w:ind w:firstLine="0"/>
            </w:pPr>
            <w:r w:rsidRPr="000F0299">
              <w:t>Новине у односу на текуће реформске процесе унутар РЈУ</w:t>
            </w:r>
          </w:p>
        </w:tc>
        <w:tc>
          <w:tcPr>
            <w:tcW w:w="1985" w:type="dxa"/>
            <w:gridSpan w:val="2"/>
          </w:tcPr>
          <w:p w14:paraId="572ED9AE" w14:textId="77777777" w:rsidR="00841714" w:rsidRPr="000F0299" w:rsidRDefault="00841714" w:rsidP="00841714">
            <w:pPr>
              <w:jc w:val="center"/>
            </w:pPr>
            <w:r w:rsidRPr="000F0299">
              <w:t>2</w:t>
            </w:r>
          </w:p>
        </w:tc>
      </w:tr>
      <w:tr w:rsidR="00841714" w:rsidRPr="000F0299" w14:paraId="6D1C9CE9" w14:textId="77777777" w:rsidTr="00841714">
        <w:trPr>
          <w:gridAfter w:val="1"/>
          <w:wAfter w:w="6" w:type="dxa"/>
        </w:trPr>
        <w:tc>
          <w:tcPr>
            <w:tcW w:w="7576" w:type="dxa"/>
          </w:tcPr>
          <w:p w14:paraId="33DC362D" w14:textId="77777777" w:rsidR="00841714" w:rsidRPr="000F0299" w:rsidRDefault="00841714" w:rsidP="00841714">
            <w:pPr>
              <w:ind w:firstLine="0"/>
              <w:rPr>
                <w:b/>
                <w:bCs/>
              </w:rPr>
            </w:pPr>
            <w:r w:rsidRPr="000F0299">
              <w:rPr>
                <w:b/>
                <w:bCs/>
              </w:rPr>
              <w:t>УКУПНО:</w:t>
            </w:r>
          </w:p>
        </w:tc>
        <w:tc>
          <w:tcPr>
            <w:tcW w:w="1985" w:type="dxa"/>
            <w:gridSpan w:val="2"/>
          </w:tcPr>
          <w:p w14:paraId="22172614" w14:textId="77777777" w:rsidR="00841714" w:rsidRPr="000F0299" w:rsidRDefault="00841714" w:rsidP="00841714">
            <w:pPr>
              <w:jc w:val="center"/>
              <w:rPr>
                <w:b/>
                <w:bCs/>
              </w:rPr>
            </w:pPr>
            <w:r w:rsidRPr="000F0299">
              <w:rPr>
                <w:b/>
                <w:bCs/>
              </w:rPr>
              <w:t>8/14</w:t>
            </w:r>
          </w:p>
        </w:tc>
      </w:tr>
    </w:tbl>
    <w:p w14:paraId="7DBC9A11" w14:textId="77777777" w:rsidR="00841714" w:rsidRPr="000F0299" w:rsidRDefault="00841714" w:rsidP="00841714"/>
    <w:p w14:paraId="476F6F18" w14:textId="77777777" w:rsidR="00841714" w:rsidRPr="000F0299" w:rsidRDefault="00841714" w:rsidP="00841714">
      <w:pPr>
        <w:suppressAutoHyphens w:val="0"/>
        <w:autoSpaceDN/>
        <w:spacing w:before="0" w:after="160" w:line="259" w:lineRule="auto"/>
        <w:ind w:firstLine="0"/>
        <w:jc w:val="left"/>
        <w:textAlignment w:val="auto"/>
      </w:pPr>
      <w:r w:rsidRPr="000F0299">
        <w:br w:type="page"/>
      </w:r>
    </w:p>
    <w:p w14:paraId="1905BB5F" w14:textId="77777777" w:rsidR="00841714" w:rsidRPr="000F0299" w:rsidRDefault="00841714" w:rsidP="00841714">
      <w:pPr>
        <w:pStyle w:val="Heading4"/>
        <w:rPr>
          <w:lang w:val="sr-Cyrl-RS"/>
        </w:rPr>
      </w:pPr>
      <w:r w:rsidRPr="000F0299">
        <w:rPr>
          <w:lang w:val="sr-Cyrl-RS"/>
        </w:rPr>
        <w:t xml:space="preserve">Детаљна анализа </w:t>
      </w:r>
      <w:r>
        <w:rPr>
          <w:lang w:val="sr-Cyrl-RS"/>
        </w:rPr>
        <w:t xml:space="preserve">ефеката </w:t>
      </w:r>
      <w:r w:rsidRPr="000F0299">
        <w:rPr>
          <w:lang w:val="sr-Cyrl-RS"/>
        </w:rPr>
        <w:t>опција</w:t>
      </w:r>
    </w:p>
    <w:p w14:paraId="0BF1E236" w14:textId="77777777" w:rsidR="00841714" w:rsidRPr="000F0299" w:rsidRDefault="00841714" w:rsidP="00841714">
      <w:r w:rsidRPr="000F0299">
        <w:rPr>
          <w:noProof/>
          <w:lang w:val="en-US" w:eastAsia="en-US" w:bidi="ar-SA"/>
        </w:rPr>
        <w:drawing>
          <wp:inline distT="0" distB="0" distL="0" distR="0" wp14:anchorId="117FA50B" wp14:editId="27E6280B">
            <wp:extent cx="5730240" cy="5349240"/>
            <wp:effectExtent l="0" t="57150" r="22860" b="6096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bookmarkEnd w:id="218"/>
    <w:p w14:paraId="597FFC05" w14:textId="77777777" w:rsidR="00841714" w:rsidRPr="000F0299" w:rsidRDefault="00841714" w:rsidP="00841714">
      <w:pPr>
        <w:pStyle w:val="Heading5"/>
        <w:rPr>
          <w:lang w:val="sr-Cyrl-RS"/>
        </w:rPr>
      </w:pPr>
      <w:r w:rsidRPr="000F0299">
        <w:rPr>
          <w:lang w:val="sr-Cyrl-RS"/>
        </w:rPr>
        <w:t>Опција 1</w:t>
      </w:r>
      <w:r>
        <w:rPr>
          <w:lang w:val="sr-Cyrl-RS"/>
        </w:rPr>
        <w:t>–</w:t>
      </w:r>
      <w:r w:rsidRPr="000F0299">
        <w:rPr>
          <w:lang w:val="sr-Cyrl-RS"/>
        </w:rPr>
        <w:t xml:space="preserve"> </w:t>
      </w:r>
      <w:r w:rsidRPr="00EA6ECD">
        <w:rPr>
          <w:i/>
          <w:lang w:val="sr-Cyrl-RS"/>
        </w:rPr>
        <w:t>Status quo</w:t>
      </w:r>
      <w:r w:rsidRPr="000F0299">
        <w:rPr>
          <w:lang w:val="sr-Cyrl-RS"/>
        </w:rPr>
        <w:t xml:space="preserve"> </w:t>
      </w:r>
    </w:p>
    <w:p w14:paraId="1DF433D2" w14:textId="77777777" w:rsidR="00841714" w:rsidRPr="000F0299" w:rsidRDefault="00841714" w:rsidP="00841714">
      <w:r w:rsidRPr="000F0299">
        <w:t>Појам управљачке одговорности делимично је дефинисан Закон</w:t>
      </w:r>
      <w:r>
        <w:t>ом</w:t>
      </w:r>
      <w:r w:rsidRPr="000F0299">
        <w:t xml:space="preserve"> о буџетском систему, чије су одредбе разрађене у Приручнику за финансијско управљање и контролу, као и у </w:t>
      </w:r>
      <w:r>
        <w:t>М</w:t>
      </w:r>
      <w:r w:rsidRPr="000F0299">
        <w:t xml:space="preserve">етодолошким смерницама које је израдила </w:t>
      </w:r>
      <w:r>
        <w:t>ЦЈХ</w:t>
      </w:r>
      <w:r w:rsidRPr="000F0299">
        <w:t xml:space="preserve">. </w:t>
      </w:r>
      <w:r>
        <w:t>ЦЈХ</w:t>
      </w:r>
      <w:r w:rsidRPr="000F0299">
        <w:t xml:space="preserve"> је припремила и Смернице о концепту управљачке одговорности </w:t>
      </w:r>
      <w:r>
        <w:t xml:space="preserve">да би се он </w:t>
      </w:r>
      <w:r w:rsidRPr="000F0299">
        <w:t>успостав</w:t>
      </w:r>
      <w:r>
        <w:t xml:space="preserve">ио </w:t>
      </w:r>
      <w:r w:rsidRPr="000F0299">
        <w:t>у складу са постојећим прописима и организационом структуром. Међутим, концепт управљачке одговорности</w:t>
      </w:r>
      <w:r>
        <w:t>,</w:t>
      </w:r>
      <w:r w:rsidRPr="000F0299">
        <w:t xml:space="preserve"> који обухвата делегирање одговорности, јасне линије одговорности међу институцијама и мерење учинка на институционалним нивоу</w:t>
      </w:r>
      <w:r>
        <w:t xml:space="preserve">, није </w:t>
      </w:r>
      <w:r w:rsidRPr="000F0299">
        <w:t xml:space="preserve"> зажив</w:t>
      </w:r>
      <w:r>
        <w:t>ео</w:t>
      </w:r>
      <w:r w:rsidRPr="000F0299">
        <w:t xml:space="preserve"> у пракси, па </w:t>
      </w:r>
      <w:r w:rsidRPr="000F0299">
        <w:rPr>
          <w:bCs/>
        </w:rPr>
        <w:t xml:space="preserve">у јавној управи и даље не постоји јединствено схватање </w:t>
      </w:r>
      <w:r>
        <w:rPr>
          <w:bCs/>
        </w:rPr>
        <w:t>т</w:t>
      </w:r>
      <w:r w:rsidRPr="000F0299">
        <w:rPr>
          <w:bCs/>
        </w:rPr>
        <w:t>ог појма, односно руководи</w:t>
      </w:r>
      <w:r>
        <w:rPr>
          <w:bCs/>
        </w:rPr>
        <w:t>оци</w:t>
      </w:r>
      <w:r w:rsidRPr="000F0299">
        <w:rPr>
          <w:bCs/>
        </w:rPr>
        <w:t xml:space="preserve"> и запослени</w:t>
      </w:r>
      <w:r>
        <w:rPr>
          <w:bCs/>
        </w:rPr>
        <w:t xml:space="preserve"> не знају</w:t>
      </w:r>
      <w:r w:rsidRPr="000F0299">
        <w:rPr>
          <w:bCs/>
        </w:rPr>
        <w:t xml:space="preserve"> довољно о принципима </w:t>
      </w:r>
      <w:r>
        <w:rPr>
          <w:bCs/>
        </w:rPr>
        <w:t>т</w:t>
      </w:r>
      <w:r w:rsidRPr="000F0299">
        <w:rPr>
          <w:bCs/>
        </w:rPr>
        <w:t>е врсте одговорности. Доступни подаци говоре да нису довољно развијени принцип поделе одговорности и механизми извештавања између „политичког” и „стручног” дела органа јавне управе.</w:t>
      </w:r>
      <w:r w:rsidRPr="000F0299">
        <w:rPr>
          <w:b/>
        </w:rPr>
        <w:t xml:space="preserve"> </w:t>
      </w:r>
      <w:r>
        <w:rPr>
          <w:bCs/>
        </w:rPr>
        <w:t>ЗПС</w:t>
      </w:r>
      <w:r w:rsidRPr="000F0299">
        <w:rPr>
          <w:bCs/>
        </w:rPr>
        <w:t xml:space="preserve"> и пратећи подзаконски акт</w:t>
      </w:r>
      <w:r>
        <w:rPr>
          <w:bCs/>
        </w:rPr>
        <w:t>и</w:t>
      </w:r>
      <w:r w:rsidRPr="000F0299">
        <w:rPr>
          <w:bCs/>
        </w:rPr>
        <w:t xml:space="preserve"> ни</w:t>
      </w:r>
      <w:r>
        <w:rPr>
          <w:bCs/>
        </w:rPr>
        <w:t xml:space="preserve">су </w:t>
      </w:r>
      <w:r w:rsidRPr="000F0299">
        <w:rPr>
          <w:bCs/>
        </w:rPr>
        <w:t>бил</w:t>
      </w:r>
      <w:r>
        <w:rPr>
          <w:bCs/>
        </w:rPr>
        <w:t>и</w:t>
      </w:r>
      <w:r w:rsidRPr="000F0299">
        <w:rPr>
          <w:bCs/>
        </w:rPr>
        <w:t xml:space="preserve"> довољн</w:t>
      </w:r>
      <w:r>
        <w:rPr>
          <w:bCs/>
        </w:rPr>
        <w:t>и</w:t>
      </w:r>
      <w:r w:rsidRPr="000F0299">
        <w:rPr>
          <w:bCs/>
        </w:rPr>
        <w:t xml:space="preserve"> да се у јавн</w:t>
      </w:r>
      <w:r>
        <w:rPr>
          <w:bCs/>
        </w:rPr>
        <w:t>ој</w:t>
      </w:r>
      <w:r w:rsidRPr="000F0299">
        <w:rPr>
          <w:bCs/>
        </w:rPr>
        <w:t xml:space="preserve"> управ</w:t>
      </w:r>
      <w:r>
        <w:rPr>
          <w:bCs/>
        </w:rPr>
        <w:t>и</w:t>
      </w:r>
      <w:r w:rsidRPr="000F0299">
        <w:rPr>
          <w:bCs/>
        </w:rPr>
        <w:t xml:space="preserve"> успостави систем </w:t>
      </w:r>
      <w:r w:rsidRPr="000F0299">
        <w:t>мерењ</w:t>
      </w:r>
      <w:r>
        <w:t>а</w:t>
      </w:r>
      <w:r w:rsidRPr="000F0299">
        <w:t xml:space="preserve"> учинка институци</w:t>
      </w:r>
      <w:r>
        <w:t xml:space="preserve">ја </w:t>
      </w:r>
      <w:r w:rsidRPr="000F0299">
        <w:t xml:space="preserve">у </w:t>
      </w:r>
      <w:r>
        <w:t>постизању</w:t>
      </w:r>
      <w:r w:rsidRPr="000F0299">
        <w:t xml:space="preserve"> циљева</w:t>
      </w:r>
      <w:r>
        <w:t xml:space="preserve"> који су утврђени у</w:t>
      </w:r>
      <w:r w:rsidRPr="000F0299">
        <w:t xml:space="preserve"> </w:t>
      </w:r>
      <w:r>
        <w:t>т</w:t>
      </w:r>
      <w:r w:rsidRPr="000F0299">
        <w:t>и</w:t>
      </w:r>
      <w:r>
        <w:t>м</w:t>
      </w:r>
      <w:r w:rsidRPr="000F0299">
        <w:t xml:space="preserve"> докумен</w:t>
      </w:r>
      <w:r>
        <w:t>тима</w:t>
      </w:r>
      <w:r w:rsidRPr="000F0299">
        <w:t xml:space="preserve">. Имајући </w:t>
      </w:r>
      <w:r>
        <w:t xml:space="preserve">то </w:t>
      </w:r>
      <w:r w:rsidRPr="000F0299">
        <w:t xml:space="preserve">у виду </w:t>
      </w:r>
      <w:r>
        <w:t>опција</w:t>
      </w:r>
      <w:r w:rsidRPr="000F0299">
        <w:t xml:space="preserve"> </w:t>
      </w:r>
      <w:r w:rsidRPr="000F0299">
        <w:rPr>
          <w:i/>
          <w:iCs/>
        </w:rPr>
        <w:t>status quo</w:t>
      </w:r>
      <w:r w:rsidRPr="000F0299">
        <w:t xml:space="preserve"> не омогућава </w:t>
      </w:r>
      <w:r>
        <w:t xml:space="preserve">да се </w:t>
      </w:r>
      <w:r w:rsidRPr="000F0299">
        <w:t>даљ</w:t>
      </w:r>
      <w:r>
        <w:t xml:space="preserve">е у пракси </w:t>
      </w:r>
      <w:r w:rsidRPr="000F0299">
        <w:t>разв</w:t>
      </w:r>
      <w:r>
        <w:t xml:space="preserve">ијају </w:t>
      </w:r>
      <w:r w:rsidRPr="000F0299">
        <w:t>принцип</w:t>
      </w:r>
      <w:r>
        <w:t>и</w:t>
      </w:r>
      <w:r w:rsidRPr="000F0299">
        <w:t xml:space="preserve"> управљачке одговорности, нити </w:t>
      </w:r>
      <w:r>
        <w:t xml:space="preserve">да се </w:t>
      </w:r>
      <w:r w:rsidRPr="000F0299">
        <w:t>повећа</w:t>
      </w:r>
      <w:r>
        <w:t>ју</w:t>
      </w:r>
      <w:r w:rsidRPr="000F0299">
        <w:t xml:space="preserve"> аутономије у органима јавне управе, што су предуслови за професионализацију управе и изградњу организационе културе ор</w:t>
      </w:r>
      <w:r>
        <w:t>и</w:t>
      </w:r>
      <w:r w:rsidRPr="000F0299">
        <w:t xml:space="preserve">јентисане ка постизању резултата. </w:t>
      </w:r>
    </w:p>
    <w:p w14:paraId="3C74B743" w14:textId="77777777" w:rsidR="00841714" w:rsidRPr="000F0299" w:rsidRDefault="00841714" w:rsidP="00841714">
      <w:r w:rsidRPr="000F0299">
        <w:t xml:space="preserve">Обавезе органа јавне управе које су значајне за област спречавања корупције и јачања интегритета нису у потпуности уређене и систематизоване, док постоје одређена нормативна и институционална решења која се могу третирати као први кораци ка успостављању свеобухватне </w:t>
      </w:r>
      <w:r w:rsidRPr="00EA6ECD">
        <w:rPr>
          <w:iCs/>
        </w:rPr>
        <w:t>етичке инфраструктуре</w:t>
      </w:r>
      <w:r w:rsidRPr="000F0299">
        <w:rPr>
          <w:i/>
          <w:iCs/>
        </w:rPr>
        <w:t xml:space="preserve"> </w:t>
      </w:r>
      <w:r w:rsidRPr="000F0299">
        <w:t xml:space="preserve">у јавној управи. </w:t>
      </w:r>
      <w:r>
        <w:t>П</w:t>
      </w:r>
      <w:r w:rsidRPr="000F0299">
        <w:t xml:space="preserve">остоје прописи који </w:t>
      </w:r>
      <w:r>
        <w:t>у</w:t>
      </w:r>
      <w:r w:rsidRPr="000F0299">
        <w:t>ре</w:t>
      </w:r>
      <w:r>
        <w:t>ђују</w:t>
      </w:r>
      <w:r w:rsidRPr="000F0299">
        <w:t xml:space="preserve"> спречавање корупције, статус јавних службеника на централном, покрајинском и локалном нивоу, као и узбуњивање и заштиту узбуњивача. </w:t>
      </w:r>
      <w:r>
        <w:t>Ти</w:t>
      </w:r>
      <w:r w:rsidRPr="000F0299">
        <w:t xml:space="preserve"> прописи</w:t>
      </w:r>
      <w:r>
        <w:t xml:space="preserve"> и</w:t>
      </w:r>
      <w:r w:rsidRPr="000F0299">
        <w:t xml:space="preserve"> локалн</w:t>
      </w:r>
      <w:r>
        <w:t>и</w:t>
      </w:r>
      <w:r w:rsidRPr="000F0299">
        <w:t xml:space="preserve"> антикорупцијск</w:t>
      </w:r>
      <w:r>
        <w:t>и</w:t>
      </w:r>
      <w:r w:rsidRPr="000F0299">
        <w:t xml:space="preserve"> планов</w:t>
      </w:r>
      <w:r>
        <w:t>и</w:t>
      </w:r>
      <w:r w:rsidRPr="000F0299">
        <w:t xml:space="preserve"> предвиђају обавезу или препоручују да органи јавне управе одреде међу запосленима лица чија су задужења повезана са улогом службеника за етику и интегритет</w:t>
      </w:r>
      <w:r>
        <w:t xml:space="preserve">, каква постоје у </w:t>
      </w:r>
      <w:r w:rsidRPr="000F0299">
        <w:t>упоредн</w:t>
      </w:r>
      <w:r>
        <w:t>ој</w:t>
      </w:r>
      <w:r w:rsidRPr="000F0299">
        <w:t xml:space="preserve"> пракс</w:t>
      </w:r>
      <w:r>
        <w:t>и</w:t>
      </w:r>
      <w:r w:rsidRPr="000F0299">
        <w:t xml:space="preserve">. Међутим, за разлику од примера из упоредне праксе, у </w:t>
      </w:r>
      <w:r>
        <w:t xml:space="preserve">Републици </w:t>
      </w:r>
      <w:r w:rsidRPr="000F0299">
        <w:t>Србији не постоји обавеза, нити препорука органима јавне управе да међу запосленима овла</w:t>
      </w:r>
      <w:r>
        <w:t>сте</w:t>
      </w:r>
      <w:r w:rsidRPr="000F0299">
        <w:t xml:space="preserve"> лиц</w:t>
      </w:r>
      <w:r>
        <w:t>е</w:t>
      </w:r>
      <w:r w:rsidRPr="000F0299">
        <w:t xml:space="preserve"> </w:t>
      </w:r>
      <w:r>
        <w:t xml:space="preserve">да </w:t>
      </w:r>
      <w:r w:rsidRPr="000F0299">
        <w:t>пра</w:t>
      </w:r>
      <w:r>
        <w:t>ти</w:t>
      </w:r>
      <w:r w:rsidRPr="000F0299">
        <w:t xml:space="preserve"> спровођењ</w:t>
      </w:r>
      <w:r>
        <w:t>е</w:t>
      </w:r>
      <w:r w:rsidRPr="000F0299">
        <w:t xml:space="preserve"> </w:t>
      </w:r>
      <w:r>
        <w:t>К</w:t>
      </w:r>
      <w:r w:rsidRPr="000F0299">
        <w:t>одекса понашања</w:t>
      </w:r>
      <w:r>
        <w:t xml:space="preserve"> јавних службеника</w:t>
      </w:r>
      <w:r w:rsidRPr="000F0299">
        <w:t>; промови</w:t>
      </w:r>
      <w:r>
        <w:t>ше</w:t>
      </w:r>
      <w:r w:rsidRPr="000F0299">
        <w:t xml:space="preserve"> етичко понашањ</w:t>
      </w:r>
      <w:r>
        <w:t>е</w:t>
      </w:r>
      <w:r w:rsidRPr="000F0299">
        <w:t>; пружа савет</w:t>
      </w:r>
      <w:r>
        <w:t>е</w:t>
      </w:r>
      <w:r w:rsidRPr="000F0299">
        <w:t xml:space="preserve"> запосленима о етичким питањима; бри</w:t>
      </w:r>
      <w:r>
        <w:t>не</w:t>
      </w:r>
      <w:r w:rsidRPr="000F0299">
        <w:t xml:space="preserve"> о редовној едукацији запослених у овој области и при</w:t>
      </w:r>
      <w:r>
        <w:t>ма</w:t>
      </w:r>
      <w:r w:rsidRPr="000F0299">
        <w:t xml:space="preserve"> и поступ</w:t>
      </w:r>
      <w:r>
        <w:t>а</w:t>
      </w:r>
      <w:r w:rsidRPr="000F0299">
        <w:t xml:space="preserve"> по притужбама на неетичко понашање запослених. Подаци који су последњих година прикупљени приликом спровођења различитих пројеката подршке органима јавне управе за примену антикорупцијских механизама показују да постоји више проблема </w:t>
      </w:r>
      <w:r>
        <w:t>у вези са</w:t>
      </w:r>
      <w:r w:rsidRPr="000F0299">
        <w:t xml:space="preserve"> статус</w:t>
      </w:r>
      <w:r>
        <w:t>ом</w:t>
      </w:r>
      <w:r w:rsidRPr="000F0299">
        <w:t xml:space="preserve"> </w:t>
      </w:r>
      <w:r>
        <w:t>т</w:t>
      </w:r>
      <w:r w:rsidRPr="000F0299">
        <w:t>их лица</w:t>
      </w:r>
      <w:r>
        <w:t>: нису</w:t>
      </w:r>
      <w:r w:rsidRPr="000F0299">
        <w:t xml:space="preserve"> претходно </w:t>
      </w:r>
      <w:r>
        <w:t>утврђени</w:t>
      </w:r>
      <w:r w:rsidRPr="000F0299">
        <w:t xml:space="preserve"> услови и критеријуми, нити униформан начин за одређивање овлашћених лица за обављање различитих послова </w:t>
      </w:r>
      <w:r>
        <w:t>који се односе н</w:t>
      </w:r>
      <w:r w:rsidRPr="000F0299">
        <w:t>а спречавање корупције и јачање интегритета у органима јавне управе</w:t>
      </w:r>
      <w:r>
        <w:t xml:space="preserve"> и</w:t>
      </w:r>
      <w:r w:rsidRPr="000F0299">
        <w:t xml:space="preserve"> неретко је једно лице у органу јавне управе овлашћено за обављање свих или већине поменутих послова, а да ти послови нису </w:t>
      </w:r>
      <w:r>
        <w:t>описани</w:t>
      </w:r>
      <w:r w:rsidRPr="000F0299">
        <w:t xml:space="preserve"> у актима о унутрашњем уређењу и систематизацији радних места. У пракси су уочени и проблеми </w:t>
      </w:r>
      <w:r>
        <w:t xml:space="preserve">који настајуу услед </w:t>
      </w:r>
      <w:r w:rsidRPr="000F0299">
        <w:t>недостат</w:t>
      </w:r>
      <w:r>
        <w:t>а</w:t>
      </w:r>
      <w:r w:rsidRPr="000F0299">
        <w:t>к</w:t>
      </w:r>
      <w:r>
        <w:t>а</w:t>
      </w:r>
      <w:r w:rsidRPr="000F0299">
        <w:t xml:space="preserve"> и слабости механизама екстерне координације и надзора над спровођењем обавеза органа јавне управе везаних, пре свега, за управљање сукобом интереса запослених и поступање по пријавама у вези са унутрашњим узбуњивањем.</w:t>
      </w:r>
    </w:p>
    <w:p w14:paraId="64A7531D" w14:textId="77777777" w:rsidR="00841714" w:rsidRPr="000F0299" w:rsidRDefault="00841714" w:rsidP="00841714">
      <w:r w:rsidRPr="000F0299">
        <w:t xml:space="preserve">Постојећа истраживања o ефективности примене механизама за јачање интегритета и поштовања етичких стандарда говоре о њиховом значајном утицају на повећање поверења грађана у институције. С друге стране, евидентирано је и да уређена етичка инфраструктура позитивно утиче на мотивисаност, задовољство послом и продуктивност запослених у јавној управи. Самим тим, перцепција корупције у земљама са развијеном етичком инфраструктуром у јавној управи је мања </w:t>
      </w:r>
      <w:r>
        <w:t>него у</w:t>
      </w:r>
      <w:r w:rsidRPr="000F0299">
        <w:t xml:space="preserve"> он</w:t>
      </w:r>
      <w:r>
        <w:t>има са неразвијеном етичком структуром</w:t>
      </w:r>
      <w:r w:rsidRPr="000F0299">
        <w:t xml:space="preserve">. </w:t>
      </w:r>
      <w:r>
        <w:t>П</w:t>
      </w:r>
      <w:r w:rsidRPr="000F0299">
        <w:t xml:space="preserve">рема Индексу перцепције корупције, САД и Холандија </w:t>
      </w:r>
      <w:r>
        <w:t xml:space="preserve">се </w:t>
      </w:r>
      <w:r w:rsidRPr="000F0299">
        <w:t>годинама уназад рангирају као земље са веома ниским нивоом перципиране корупције, док је Хрватска међу најбоље позиционираним земљама региона</w:t>
      </w:r>
      <w:r>
        <w:t>.</w:t>
      </w:r>
      <w:r w:rsidRPr="000F0299">
        <w:rPr>
          <w:rStyle w:val="FootnoteReference"/>
          <w:rFonts w:eastAsia="Calibri"/>
        </w:rPr>
        <w:footnoteReference w:id="262"/>
      </w:r>
    </w:p>
    <w:p w14:paraId="022C6E35" w14:textId="77777777" w:rsidR="00841714" w:rsidRPr="000F0299" w:rsidRDefault="00841714" w:rsidP="00841714">
      <w:pPr>
        <w:pStyle w:val="Heading5"/>
        <w:rPr>
          <w:lang w:val="sr-Cyrl-RS"/>
        </w:rPr>
      </w:pPr>
      <w:r w:rsidRPr="000F0299">
        <w:rPr>
          <w:lang w:val="sr-Cyrl-RS"/>
        </w:rPr>
        <w:t>Опција 2 – Јачање индивидуалних капацитета руководилаца за примену принципа управљачке одговорности кроз спровођење обука и одржавање стручних скупова у циљу размене искустава и примера добре праксе у овој области</w:t>
      </w:r>
    </w:p>
    <w:p w14:paraId="7D8CA597" w14:textId="77777777" w:rsidR="00841714" w:rsidRPr="000F0299" w:rsidRDefault="00841714" w:rsidP="00841714">
      <w:pPr>
        <w:rPr>
          <w:b/>
          <w:bCs/>
        </w:rPr>
      </w:pPr>
      <w:r w:rsidRPr="000F0299">
        <w:t xml:space="preserve">Делегирање одговорности представља поступак којим се овлашћења за управљање радним процесима и јавним ресурсима преносе са министара и руководилаца органа јавне управе на руководиоце нижих нивоа. </w:t>
      </w:r>
      <w:r>
        <w:t>Да</w:t>
      </w:r>
      <w:r w:rsidRPr="000F0299">
        <w:t xml:space="preserve"> би управљачка одговорност заиста заживела у пракси, неопходно је да постоји </w:t>
      </w:r>
      <w:r w:rsidRPr="000F0299">
        <w:rPr>
          <w:color w:val="000000"/>
        </w:rPr>
        <w:t>довољно развијен принцип поделе одговорности између „политичког” и „стручног” дела органа јавне управе.</w:t>
      </w:r>
      <w:r w:rsidRPr="000F0299">
        <w:rPr>
          <w:bCs/>
          <w:color w:val="000000"/>
        </w:rPr>
        <w:t xml:space="preserve"> Развој у овој области може се заснивати на </w:t>
      </w:r>
      <w:r>
        <w:rPr>
          <w:bCs/>
          <w:color w:val="000000"/>
        </w:rPr>
        <w:t xml:space="preserve">томе да се </w:t>
      </w:r>
      <w:r w:rsidRPr="000F0299">
        <w:rPr>
          <w:bCs/>
          <w:color w:val="000000"/>
        </w:rPr>
        <w:t>капацитет</w:t>
      </w:r>
      <w:r>
        <w:rPr>
          <w:bCs/>
          <w:color w:val="000000"/>
        </w:rPr>
        <w:t>и</w:t>
      </w:r>
      <w:r w:rsidRPr="000F0299">
        <w:rPr>
          <w:bCs/>
          <w:color w:val="000000"/>
        </w:rPr>
        <w:t xml:space="preserve"> руководилаца </w:t>
      </w:r>
      <w:r w:rsidRPr="000F0299">
        <w:t xml:space="preserve">за примену принципа управљачке одговорности </w:t>
      </w:r>
      <w:r w:rsidRPr="000F0299">
        <w:rPr>
          <w:bCs/>
          <w:color w:val="000000"/>
        </w:rPr>
        <w:t>јача</w:t>
      </w:r>
      <w:r>
        <w:rPr>
          <w:bCs/>
          <w:color w:val="000000"/>
        </w:rPr>
        <w:t>ј</w:t>
      </w:r>
      <w:r w:rsidRPr="000F0299">
        <w:rPr>
          <w:bCs/>
          <w:color w:val="000000"/>
        </w:rPr>
        <w:t>у</w:t>
      </w:r>
      <w:r w:rsidRPr="000F0299">
        <w:t xml:space="preserve"> кроз </w:t>
      </w:r>
      <w:r w:rsidRPr="000F0299">
        <w:rPr>
          <w:bCs/>
        </w:rPr>
        <w:t>обук</w:t>
      </w:r>
      <w:r>
        <w:rPr>
          <w:bCs/>
        </w:rPr>
        <w:t>е</w:t>
      </w:r>
      <w:r w:rsidRPr="000F0299">
        <w:rPr>
          <w:bCs/>
        </w:rPr>
        <w:t xml:space="preserve"> и стручн</w:t>
      </w:r>
      <w:r>
        <w:rPr>
          <w:bCs/>
        </w:rPr>
        <w:t>е</w:t>
      </w:r>
      <w:r w:rsidRPr="000F0299">
        <w:rPr>
          <w:bCs/>
        </w:rPr>
        <w:t xml:space="preserve"> скупов</w:t>
      </w:r>
      <w:r>
        <w:rPr>
          <w:bCs/>
        </w:rPr>
        <w:t xml:space="preserve">е на којима се </w:t>
      </w:r>
      <w:r w:rsidRPr="000F0299">
        <w:rPr>
          <w:bCs/>
        </w:rPr>
        <w:t>разме</w:t>
      </w:r>
      <w:r>
        <w:rPr>
          <w:bCs/>
        </w:rPr>
        <w:t>њују</w:t>
      </w:r>
      <w:r w:rsidRPr="000F0299">
        <w:rPr>
          <w:bCs/>
        </w:rPr>
        <w:t xml:space="preserve"> искуства и пример</w:t>
      </w:r>
      <w:r>
        <w:rPr>
          <w:bCs/>
        </w:rPr>
        <w:t>и</w:t>
      </w:r>
      <w:r w:rsidRPr="000F0299">
        <w:rPr>
          <w:bCs/>
        </w:rPr>
        <w:t xml:space="preserve"> добре праксе у делегирању овлашћења и мерењу учинка </w:t>
      </w:r>
      <w:r>
        <w:rPr>
          <w:bCs/>
        </w:rPr>
        <w:t xml:space="preserve">у </w:t>
      </w:r>
      <w:r w:rsidRPr="000F0299">
        <w:rPr>
          <w:bCs/>
        </w:rPr>
        <w:t>институци</w:t>
      </w:r>
      <w:r>
        <w:rPr>
          <w:bCs/>
        </w:rPr>
        <w:t>ји</w:t>
      </w:r>
      <w:r w:rsidRPr="000F0299">
        <w:rPr>
          <w:bCs/>
        </w:rPr>
        <w:t xml:space="preserve">. </w:t>
      </w:r>
      <w:r>
        <w:rPr>
          <w:bCs/>
        </w:rPr>
        <w:t>С обзиром на о</w:t>
      </w:r>
      <w:r w:rsidRPr="000F0299">
        <w:rPr>
          <w:bCs/>
        </w:rPr>
        <w:t>бухват органа јавне управе у којима управљачка одгов</w:t>
      </w:r>
      <w:r>
        <w:rPr>
          <w:bCs/>
        </w:rPr>
        <w:t>ор</w:t>
      </w:r>
      <w:r w:rsidRPr="000F0299">
        <w:rPr>
          <w:bCs/>
        </w:rPr>
        <w:t xml:space="preserve">ност треба да заживи, као и комплексност реформе која подразумева потпуно другачији начин управљања, оваква опција би </w:t>
      </w:r>
      <w:r>
        <w:rPr>
          <w:bCs/>
        </w:rPr>
        <w:t>ограничено</w:t>
      </w:r>
      <w:r w:rsidRPr="000F0299">
        <w:rPr>
          <w:bCs/>
        </w:rPr>
        <w:t xml:space="preserve"> утица</w:t>
      </w:r>
      <w:r>
        <w:rPr>
          <w:bCs/>
        </w:rPr>
        <w:t>ла</w:t>
      </w:r>
      <w:r w:rsidRPr="000F0299">
        <w:rPr>
          <w:bCs/>
        </w:rPr>
        <w:t xml:space="preserve">, тј. не би могла да доведе у потпуности до </w:t>
      </w:r>
      <w:r>
        <w:rPr>
          <w:bCs/>
        </w:rPr>
        <w:t>предвиђеног</w:t>
      </w:r>
      <w:r w:rsidRPr="000F0299">
        <w:rPr>
          <w:bCs/>
        </w:rPr>
        <w:t xml:space="preserve"> исхода у овој области.</w:t>
      </w:r>
    </w:p>
    <w:p w14:paraId="17B996DC" w14:textId="77777777" w:rsidR="00841714" w:rsidRPr="000F0299" w:rsidRDefault="00841714" w:rsidP="00841714">
      <w:pPr>
        <w:pStyle w:val="Heading5"/>
        <w:rPr>
          <w:lang w:val="sr-Cyrl-RS"/>
        </w:rPr>
      </w:pPr>
      <w:r w:rsidRPr="000F0299">
        <w:rPr>
          <w:lang w:val="sr-Cyrl-RS"/>
        </w:rPr>
        <w:t>Опција</w:t>
      </w:r>
      <w:r w:rsidRPr="000F0299">
        <w:rPr>
          <w:bCs/>
          <w:color w:val="000000"/>
          <w:lang w:val="sr-Cyrl-RS"/>
        </w:rPr>
        <w:t xml:space="preserve"> 3 – </w:t>
      </w:r>
      <w:r w:rsidRPr="000F0299">
        <w:rPr>
          <w:rFonts w:eastAsia="Calibri"/>
          <w:lang w:val="sr-Cyrl-RS"/>
        </w:rPr>
        <w:t>У</w:t>
      </w:r>
      <w:r w:rsidRPr="000F0299">
        <w:rPr>
          <w:lang w:val="sr-Cyrl-RS"/>
        </w:rPr>
        <w:t>спостављање системских решења за управљачку одговорност у органима јавне управе кроз усаглашавање правног оквира и изградњу капацитета и механизама за његову доследну примену</w:t>
      </w:r>
    </w:p>
    <w:p w14:paraId="45DD29D9" w14:textId="77777777" w:rsidR="00841714" w:rsidRPr="000F0299" w:rsidRDefault="00841714" w:rsidP="00841714">
      <w:r w:rsidRPr="000F0299">
        <w:t>Досадашње нормативне интервенције и друге активности нису биле довољне да концепт управљачке одговорности заживи у пракси</w:t>
      </w:r>
      <w:r>
        <w:t>, па је</w:t>
      </w:r>
      <w:r w:rsidRPr="000F0299">
        <w:t xml:space="preserve"> неопходно успоставити системска решења кој</w:t>
      </w:r>
      <w:r>
        <w:t>им</w:t>
      </w:r>
      <w:r w:rsidRPr="000F0299">
        <w:t xml:space="preserve">а би </w:t>
      </w:r>
      <w:r>
        <w:t xml:space="preserve">се даље </w:t>
      </w:r>
      <w:r w:rsidRPr="000F0299">
        <w:t>разрад</w:t>
      </w:r>
      <w:r>
        <w:t>ио</w:t>
      </w:r>
      <w:r w:rsidRPr="000F0299">
        <w:t xml:space="preserve"> и унапре</w:t>
      </w:r>
      <w:r>
        <w:t>дио</w:t>
      </w:r>
      <w:r w:rsidRPr="000F0299">
        <w:t xml:space="preserve"> правн</w:t>
      </w:r>
      <w:r>
        <w:t>и</w:t>
      </w:r>
      <w:r w:rsidRPr="000F0299">
        <w:t xml:space="preserve"> оквир, као и изград</w:t>
      </w:r>
      <w:r>
        <w:t>ити</w:t>
      </w:r>
      <w:r w:rsidRPr="000F0299">
        <w:t xml:space="preserve"> институционалн</w:t>
      </w:r>
      <w:r>
        <w:t>е</w:t>
      </w:r>
      <w:r w:rsidRPr="000F0299">
        <w:t xml:space="preserve"> и личн</w:t>
      </w:r>
      <w:r>
        <w:t>е</w:t>
      </w:r>
      <w:r w:rsidRPr="000F0299">
        <w:t xml:space="preserve"> капацитет</w:t>
      </w:r>
      <w:r>
        <w:t>е</w:t>
      </w:r>
      <w:r w:rsidRPr="000F0299">
        <w:t xml:space="preserve"> руководилаца у јавној управи за примену принципа управљачке одговорности. </w:t>
      </w:r>
      <w:r>
        <w:t>Да</w:t>
      </w:r>
      <w:r w:rsidRPr="000F0299">
        <w:t xml:space="preserve"> би се </w:t>
      </w:r>
      <w:r>
        <w:t>т</w:t>
      </w:r>
      <w:r w:rsidRPr="000F0299">
        <w:t xml:space="preserve">е измене спровеле на најадекватнији начин, неопходно је претходно </w:t>
      </w:r>
      <w:r>
        <w:t>спровести</w:t>
      </w:r>
      <w:r w:rsidRPr="000F0299">
        <w:t xml:space="preserve"> свеобухватну анализу постојећег стања и формулисати конкретне препоруке за системска решења за сва три стуба управљачке одговорности</w:t>
      </w:r>
      <w:r>
        <w:t xml:space="preserve">, тј. за </w:t>
      </w:r>
      <w:r w:rsidRPr="000F0299">
        <w:t xml:space="preserve">делегирање одговорности, јасне линије одговорности међу институцијама и мерење учинка на институционалним нивоу. Након </w:t>
      </w:r>
      <w:r>
        <w:t xml:space="preserve">што се </w:t>
      </w:r>
      <w:r w:rsidRPr="000F0299">
        <w:t>правн</w:t>
      </w:r>
      <w:r>
        <w:t>и</w:t>
      </w:r>
      <w:r w:rsidRPr="000F0299">
        <w:t xml:space="preserve"> оквир</w:t>
      </w:r>
      <w:r>
        <w:t xml:space="preserve"> усагласи</w:t>
      </w:r>
      <w:r w:rsidRPr="000F0299">
        <w:t xml:space="preserve"> са овим препорукама</w:t>
      </w:r>
      <w:r>
        <w:t>,</w:t>
      </w:r>
      <w:r w:rsidRPr="000F0299">
        <w:t xml:space="preserve"> треба даље јача</w:t>
      </w:r>
      <w:r>
        <w:t>ти</w:t>
      </w:r>
      <w:r w:rsidRPr="000F0299">
        <w:t xml:space="preserve"> инфраструктурн</w:t>
      </w:r>
      <w:r>
        <w:t>е</w:t>
      </w:r>
      <w:r w:rsidRPr="000F0299">
        <w:t xml:space="preserve"> капацитет</w:t>
      </w:r>
      <w:r>
        <w:t>е</w:t>
      </w:r>
      <w:r w:rsidRPr="000F0299">
        <w:t xml:space="preserve"> за управљачку одговорност. Тако би Регист</w:t>
      </w:r>
      <w:r>
        <w:t>а</w:t>
      </w:r>
      <w:r w:rsidRPr="000F0299">
        <w:t xml:space="preserve">р ималаца јавних овлашћења </w:t>
      </w:r>
      <w:r>
        <w:t>помогао</w:t>
      </w:r>
      <w:r w:rsidRPr="000F0299">
        <w:t xml:space="preserve"> </w:t>
      </w:r>
      <w:r>
        <w:t xml:space="preserve">да се </w:t>
      </w:r>
      <w:r w:rsidRPr="000F0299">
        <w:t>успостав</w:t>
      </w:r>
      <w:r>
        <w:t>и</w:t>
      </w:r>
      <w:r w:rsidRPr="000F0299">
        <w:t xml:space="preserve"> јединствен</w:t>
      </w:r>
      <w:r>
        <w:t>а</w:t>
      </w:r>
      <w:r w:rsidRPr="000F0299">
        <w:t xml:space="preserve"> евиденциј</w:t>
      </w:r>
      <w:r>
        <w:t>а</w:t>
      </w:r>
      <w:r w:rsidRPr="000F0299">
        <w:t xml:space="preserve"> органа јавне управе, врсте њихових надлежности и овлашћења, као и </w:t>
      </w:r>
      <w:r>
        <w:t xml:space="preserve">да се </w:t>
      </w:r>
      <w:r w:rsidRPr="000F0299">
        <w:t xml:space="preserve">јасно </w:t>
      </w:r>
      <w:r>
        <w:t>утврде</w:t>
      </w:r>
      <w:r w:rsidRPr="000F0299">
        <w:t xml:space="preserve"> вертикалн</w:t>
      </w:r>
      <w:r>
        <w:t>е</w:t>
      </w:r>
      <w:r w:rsidRPr="000F0299">
        <w:t xml:space="preserve"> линиј</w:t>
      </w:r>
      <w:r>
        <w:t>е</w:t>
      </w:r>
      <w:r w:rsidRPr="000F0299">
        <w:t xml:space="preserve"> одговорности. </w:t>
      </w:r>
      <w:r>
        <w:t>И</w:t>
      </w:r>
      <w:r w:rsidRPr="000F0299">
        <w:t xml:space="preserve">нституционални </w:t>
      </w:r>
      <w:r>
        <w:t xml:space="preserve">капацитети </w:t>
      </w:r>
      <w:r w:rsidRPr="000F0299">
        <w:t xml:space="preserve">и лични капацитети руководилаца у органима јавне управе за управљачку одговорност били би ојачани </w:t>
      </w:r>
      <w:r>
        <w:t xml:space="preserve">кроз </w:t>
      </w:r>
      <w:r w:rsidRPr="000F0299">
        <w:t>практичн</w:t>
      </w:r>
      <w:r>
        <w:t>у примену</w:t>
      </w:r>
      <w:r w:rsidRPr="000F0299">
        <w:t xml:space="preserve"> упутст</w:t>
      </w:r>
      <w:r>
        <w:t>а</w:t>
      </w:r>
      <w:r w:rsidRPr="000F0299">
        <w:t xml:space="preserve">ва </w:t>
      </w:r>
      <w:r>
        <w:t xml:space="preserve">усредсређених </w:t>
      </w:r>
      <w:r w:rsidRPr="000F0299">
        <w:t xml:space="preserve">на основна питања руковођења у контексту јавне управе (управљање ресурсима; планирање; управљање учинком и извештавање), </w:t>
      </w:r>
      <w:r>
        <w:t xml:space="preserve">кроз </w:t>
      </w:r>
      <w:r w:rsidRPr="000F0299">
        <w:t>обука и стручн</w:t>
      </w:r>
      <w:r>
        <w:t>е</w:t>
      </w:r>
      <w:r w:rsidRPr="000F0299">
        <w:t xml:space="preserve"> скупов</w:t>
      </w:r>
      <w:r>
        <w:t>е</w:t>
      </w:r>
      <w:r w:rsidRPr="000F0299">
        <w:t xml:space="preserve"> за размену знања и искустава. </w:t>
      </w:r>
    </w:p>
    <w:p w14:paraId="509B3EF3" w14:textId="77777777" w:rsidR="00841714" w:rsidRPr="000F0299" w:rsidRDefault="00841714" w:rsidP="00841714">
      <w:pPr>
        <w:pStyle w:val="Heading5"/>
        <w:rPr>
          <w:lang w:val="sr-Cyrl-RS"/>
        </w:rPr>
      </w:pPr>
      <w:r w:rsidRPr="000F0299">
        <w:rPr>
          <w:lang w:val="sr-Cyrl-RS"/>
        </w:rPr>
        <w:t>Опција 4: Доношење смерница/препорука органима јавне управе да одреде службенике за етику и интегритет</w:t>
      </w:r>
    </w:p>
    <w:p w14:paraId="6ECAD74D" w14:textId="77777777" w:rsidR="00841714" w:rsidRPr="000F0299" w:rsidRDefault="00841714" w:rsidP="00841714">
      <w:r w:rsidRPr="000F0299">
        <w:t xml:space="preserve">Даљи кораци ка успостављању свеобухватне етичке инфраструктуре у јавној управи у </w:t>
      </w:r>
      <w:r>
        <w:t xml:space="preserve">Републици </w:t>
      </w:r>
      <w:r w:rsidRPr="000F0299">
        <w:t>Србији би могли да буду засновани на томе да надлежни државни органи – Агенција за спречавање корупције, М</w:t>
      </w:r>
      <w:r>
        <w:t>ДУЛС</w:t>
      </w:r>
      <w:r w:rsidRPr="000F0299">
        <w:t xml:space="preserve"> и Високи службенички савет припреме смернице са препорукама органима јавне управе да одреде службенике за етику и интегритет који би обављали одређен</w:t>
      </w:r>
      <w:r>
        <w:t>е</w:t>
      </w:r>
      <w:r w:rsidRPr="000F0299">
        <w:t xml:space="preserve"> задатке значајне за спречавање корупције и јачање интегритета. </w:t>
      </w:r>
      <w:r>
        <w:t>У</w:t>
      </w:r>
      <w:r w:rsidRPr="000F0299">
        <w:t>поредна искуства</w:t>
      </w:r>
      <w:r w:rsidRPr="000F0299">
        <w:rPr>
          <w:rStyle w:val="FootnoteReference"/>
        </w:rPr>
        <w:footnoteReference w:id="263"/>
      </w:r>
      <w:r w:rsidRPr="000F0299">
        <w:t>, као и на</w:t>
      </w:r>
      <w:r>
        <w:t>ш</w:t>
      </w:r>
      <w:r w:rsidRPr="000F0299">
        <w:t xml:space="preserve">а искуства у другим областима где су се интервенције заснивале на препорукама упућеним органима јавне управе указују да </w:t>
      </w:r>
      <w:r>
        <w:t>т</w:t>
      </w:r>
      <w:r w:rsidRPr="000F0299">
        <w:t xml:space="preserve">о решење не би било ефикасно и ефективно. На </w:t>
      </w:r>
      <w:r>
        <w:t>т</w:t>
      </w:r>
      <w:r w:rsidRPr="000F0299">
        <w:t xml:space="preserve">ај начин </w:t>
      </w:r>
      <w:r w:rsidRPr="0006098D">
        <w:t>службеници за етику и интегритет не би  се одређивали по претходно утврђеној униформној процедури  у свим органиима јавне управе, нити би у њима имали идентичне задатке.</w:t>
      </w:r>
    </w:p>
    <w:p w14:paraId="76B29BCE" w14:textId="77777777" w:rsidR="00841714" w:rsidRPr="000F0299" w:rsidRDefault="00841714" w:rsidP="00841714">
      <w:pPr>
        <w:pStyle w:val="Heading5"/>
        <w:rPr>
          <w:lang w:val="sr-Cyrl-RS"/>
        </w:rPr>
      </w:pPr>
      <w:r w:rsidRPr="000F0299">
        <w:rPr>
          <w:lang w:val="sr-Cyrl-RS"/>
        </w:rPr>
        <w:t xml:space="preserve">Опција 5: Успостављање система етичке инфраструктуре у органима јавне управе у складу са међународним стандардима и примерима из упоредне праксе држава </w:t>
      </w:r>
    </w:p>
    <w:p w14:paraId="3D103156" w14:textId="77777777" w:rsidR="00841714" w:rsidRPr="000F0299" w:rsidRDefault="00841714" w:rsidP="00841714">
      <w:r w:rsidRPr="000F0299">
        <w:rPr>
          <w:iCs/>
          <w:lang w:eastAsia="de-DE"/>
        </w:rPr>
        <w:t>Ова опција</w:t>
      </w:r>
      <w:r w:rsidRPr="000F0299">
        <w:rPr>
          <w:lang w:eastAsia="de-DE"/>
        </w:rPr>
        <w:t xml:space="preserve"> заснива се на успостављању система </w:t>
      </w:r>
      <w:bookmarkStart w:id="220" w:name="_Hlk55240378"/>
      <w:r w:rsidRPr="000F0299">
        <w:rPr>
          <w:lang w:eastAsia="de-DE"/>
        </w:rPr>
        <w:t xml:space="preserve">етичке инфраструктуре </w:t>
      </w:r>
      <w:bookmarkEnd w:id="220"/>
      <w:r w:rsidRPr="000F0299">
        <w:rPr>
          <w:lang w:eastAsia="de-DE"/>
        </w:rPr>
        <w:t>у органима јавне управе у складу са међународним стандардима и примерима из упоредне праксе</w:t>
      </w:r>
      <w:r>
        <w:rPr>
          <w:lang w:eastAsia="de-DE"/>
        </w:rPr>
        <w:t xml:space="preserve"> и </w:t>
      </w:r>
      <w:r w:rsidRPr="000F0299">
        <w:rPr>
          <w:lang w:eastAsia="de-DE"/>
        </w:rPr>
        <w:t>подразумева бројне реформске интервенције. Окосницу овог система требало</w:t>
      </w:r>
      <w:r w:rsidRPr="000F0299">
        <w:t xml:space="preserve"> </w:t>
      </w:r>
      <w:r w:rsidRPr="000F0299">
        <w:rPr>
          <w:lang w:eastAsia="de-DE"/>
        </w:rPr>
        <w:t xml:space="preserve">би да чине службеници за етику и интегритет, који би </w:t>
      </w:r>
      <w:r>
        <w:rPr>
          <w:lang w:eastAsia="de-DE"/>
        </w:rPr>
        <w:t xml:space="preserve">усмеравали </w:t>
      </w:r>
      <w:r w:rsidRPr="000F0299">
        <w:rPr>
          <w:lang w:eastAsia="de-DE"/>
        </w:rPr>
        <w:t>развој организационе културе засноване на етици и интегритету и обавља</w:t>
      </w:r>
      <w:r>
        <w:rPr>
          <w:lang w:eastAsia="de-DE"/>
        </w:rPr>
        <w:t>ли</w:t>
      </w:r>
      <w:r w:rsidRPr="000F0299">
        <w:rPr>
          <w:lang w:eastAsia="de-DE"/>
        </w:rPr>
        <w:t xml:space="preserve"> послов</w:t>
      </w:r>
      <w:r>
        <w:rPr>
          <w:lang w:eastAsia="de-DE"/>
        </w:rPr>
        <w:t>е</w:t>
      </w:r>
      <w:r w:rsidRPr="000F0299">
        <w:rPr>
          <w:lang w:eastAsia="de-DE"/>
        </w:rPr>
        <w:t xml:space="preserve"> значајн</w:t>
      </w:r>
      <w:r>
        <w:rPr>
          <w:lang w:eastAsia="de-DE"/>
        </w:rPr>
        <w:t>е</w:t>
      </w:r>
      <w:r w:rsidRPr="000F0299">
        <w:rPr>
          <w:lang w:eastAsia="de-DE"/>
        </w:rPr>
        <w:t xml:space="preserve"> за спречавање корупције у свим органима јавне управе. </w:t>
      </w:r>
      <w:r>
        <w:rPr>
          <w:lang w:eastAsia="de-DE"/>
        </w:rPr>
        <w:t xml:space="preserve">Да </w:t>
      </w:r>
      <w:r w:rsidRPr="000F0299">
        <w:rPr>
          <w:lang w:eastAsia="de-DE"/>
        </w:rPr>
        <w:t>би се најадекватни</w:t>
      </w:r>
      <w:r>
        <w:rPr>
          <w:lang w:eastAsia="de-DE"/>
        </w:rPr>
        <w:t>е</w:t>
      </w:r>
      <w:r w:rsidRPr="000F0299">
        <w:rPr>
          <w:lang w:eastAsia="de-DE"/>
        </w:rPr>
        <w:t xml:space="preserve"> утврдили задаци и статус </w:t>
      </w:r>
      <w:r w:rsidRPr="000F0299">
        <w:t>службеника за етику и интегритет</w:t>
      </w:r>
      <w:r w:rsidRPr="000F0299">
        <w:rPr>
          <w:lang w:eastAsia="de-DE"/>
        </w:rPr>
        <w:t>, потребно је најпре, полазећи од већ израђених докумената</w:t>
      </w:r>
      <w:r>
        <w:rPr>
          <w:lang w:eastAsia="de-DE"/>
        </w:rPr>
        <w:t>,</w:t>
      </w:r>
      <w:r w:rsidRPr="000F0299">
        <w:rPr>
          <w:rStyle w:val="FootnoteReference"/>
        </w:rPr>
        <w:footnoteReference w:id="264"/>
      </w:r>
      <w:r w:rsidRPr="000F0299">
        <w:t xml:space="preserve"> израдити смернице са препорукама за систематизовање и интегрисање различитих послова везаних за спречавање корупције и јачање интегритета у органима јавне управе</w:t>
      </w:r>
      <w:r>
        <w:t>,</w:t>
      </w:r>
      <w:r w:rsidRPr="000F0299">
        <w:t xml:space="preserve"> </w:t>
      </w:r>
      <w:r>
        <w:t xml:space="preserve">утврдити </w:t>
      </w:r>
      <w:r w:rsidRPr="000F0299">
        <w:t>услов</w:t>
      </w:r>
      <w:r>
        <w:t>е</w:t>
      </w:r>
      <w:r w:rsidRPr="000F0299">
        <w:t xml:space="preserve"> и критеријум</w:t>
      </w:r>
      <w:r>
        <w:t>е</w:t>
      </w:r>
      <w:r w:rsidRPr="000F0299">
        <w:t xml:space="preserve"> за одређивање </w:t>
      </w:r>
      <w:r>
        <w:t>т</w:t>
      </w:r>
      <w:r w:rsidRPr="000F0299">
        <w:t xml:space="preserve">их лица и правила њиховог поступања. У складу са смерницама и препорукама, </w:t>
      </w:r>
      <w:r>
        <w:t>т</w:t>
      </w:r>
      <w:r w:rsidRPr="000F0299">
        <w:t>ај систем би потом био тестиран у одабраном броју органа јавне управе</w:t>
      </w:r>
      <w:r>
        <w:rPr>
          <w:lang w:eastAsia="de-DE"/>
        </w:rPr>
        <w:t xml:space="preserve">, а </w:t>
      </w:r>
      <w:r w:rsidRPr="000F0299">
        <w:rPr>
          <w:lang w:eastAsia="de-DE"/>
        </w:rPr>
        <w:t xml:space="preserve">на основу искустава, налаза и препорука </w:t>
      </w:r>
      <w:r>
        <w:rPr>
          <w:lang w:eastAsia="de-DE"/>
        </w:rPr>
        <w:t>стечених на тај начин</w:t>
      </w:r>
      <w:r w:rsidRPr="000F0299">
        <w:rPr>
          <w:lang w:eastAsia="de-DE"/>
        </w:rPr>
        <w:t xml:space="preserve"> приступило би се унапређењу правног оквира у </w:t>
      </w:r>
      <w:r>
        <w:rPr>
          <w:lang w:eastAsia="de-DE"/>
        </w:rPr>
        <w:t>т</w:t>
      </w:r>
      <w:r w:rsidRPr="000F0299">
        <w:rPr>
          <w:lang w:eastAsia="de-DE"/>
        </w:rPr>
        <w:t>ој области и</w:t>
      </w:r>
      <w:r w:rsidRPr="000F0299">
        <w:rPr>
          <w:bCs/>
          <w:color w:val="000000"/>
        </w:rPr>
        <w:t xml:space="preserve"> </w:t>
      </w:r>
      <w:r>
        <w:rPr>
          <w:bCs/>
          <w:color w:val="000000"/>
        </w:rPr>
        <w:t>повећању</w:t>
      </w:r>
      <w:r w:rsidRPr="000F0299">
        <w:rPr>
          <w:bCs/>
          <w:color w:val="000000"/>
        </w:rPr>
        <w:t xml:space="preserve"> институционалних и личних капацитета за даљи развој етичке инфраструктуре </w:t>
      </w:r>
      <w:r>
        <w:rPr>
          <w:bCs/>
          <w:color w:val="000000"/>
        </w:rPr>
        <w:t xml:space="preserve">кроз </w:t>
      </w:r>
      <w:r w:rsidRPr="000F0299">
        <w:t>посебн</w:t>
      </w:r>
      <w:r>
        <w:t>е</w:t>
      </w:r>
      <w:r w:rsidRPr="000F0299">
        <w:t xml:space="preserve"> програме обука за руководиоце, службенике за етику и интегритет у органима јавне управе и остале запослене, израд</w:t>
      </w:r>
      <w:r>
        <w:t>у</w:t>
      </w:r>
      <w:r w:rsidRPr="000F0299">
        <w:t xml:space="preserve"> додатн</w:t>
      </w:r>
      <w:r>
        <w:t>ог</w:t>
      </w:r>
      <w:r w:rsidRPr="000F0299">
        <w:t xml:space="preserve"> едукативн</w:t>
      </w:r>
      <w:r>
        <w:t>ог</w:t>
      </w:r>
      <w:r w:rsidRPr="000F0299">
        <w:t xml:space="preserve"> материјала и слично. </w:t>
      </w:r>
    </w:p>
    <w:p w14:paraId="314181B1" w14:textId="77777777" w:rsidR="00841714" w:rsidRPr="000F0299" w:rsidRDefault="00841714" w:rsidP="00841714">
      <w:r>
        <w:t>Т</w:t>
      </w:r>
      <w:r w:rsidRPr="000F0299">
        <w:t>а</w:t>
      </w:r>
      <w:r>
        <w:t>кав приступ омогућује</w:t>
      </w:r>
      <w:r w:rsidRPr="000F0299">
        <w:t xml:space="preserve"> </w:t>
      </w:r>
      <w:r>
        <w:t xml:space="preserve">да се </w:t>
      </w:r>
      <w:r w:rsidRPr="000F0299">
        <w:t xml:space="preserve">систематично </w:t>
      </w:r>
      <w:r>
        <w:t>уреде</w:t>
      </w:r>
      <w:r w:rsidRPr="000F0299">
        <w:t xml:space="preserve"> св</w:t>
      </w:r>
      <w:r>
        <w:t>а</w:t>
      </w:r>
      <w:r w:rsidRPr="000F0299">
        <w:t xml:space="preserve"> питања значајн</w:t>
      </w:r>
      <w:r>
        <w:t>а</w:t>
      </w:r>
      <w:r w:rsidRPr="000F0299">
        <w:t xml:space="preserve"> за успостављање свеобухватне и ефикасне етичке инфраструктуре</w:t>
      </w:r>
      <w:r>
        <w:t xml:space="preserve">, као и да се смањи </w:t>
      </w:r>
      <w:r w:rsidRPr="000F0299">
        <w:t>ризик од различитог тумачења обавеза органа јавне власти у овој области.</w:t>
      </w:r>
    </w:p>
    <w:p w14:paraId="391927C9" w14:textId="5A51BBF7" w:rsidR="00841714" w:rsidRPr="000F0299" w:rsidRDefault="00841714" w:rsidP="00841714">
      <w:pPr>
        <w:pStyle w:val="Caption"/>
        <w:keepNext/>
        <w:rPr>
          <w:lang w:val="sr-Cyrl-RS"/>
        </w:rPr>
      </w:pPr>
      <w:bookmarkStart w:id="221" w:name="_Toc57139476"/>
      <w:bookmarkStart w:id="222" w:name="_Toc57665380"/>
      <w:r w:rsidRPr="000F0299">
        <w:rPr>
          <w:lang w:val="sr-Cyrl-RS"/>
        </w:rPr>
        <w:t xml:space="preserve">Табела </w:t>
      </w:r>
      <w:r w:rsidRPr="000F0299">
        <w:rPr>
          <w:lang w:val="sr-Cyrl-RS"/>
        </w:rPr>
        <w:fldChar w:fldCharType="begin"/>
      </w:r>
      <w:r w:rsidRPr="000F0299">
        <w:rPr>
          <w:lang w:val="sr-Cyrl-RS"/>
        </w:rPr>
        <w:instrText xml:space="preserve"> SEQ Табела \* ARABIC </w:instrText>
      </w:r>
      <w:r w:rsidRPr="000F0299">
        <w:rPr>
          <w:lang w:val="sr-Cyrl-RS"/>
        </w:rPr>
        <w:fldChar w:fldCharType="separate"/>
      </w:r>
      <w:r w:rsidRPr="000F0299">
        <w:rPr>
          <w:noProof/>
          <w:lang w:val="sr-Cyrl-RS"/>
        </w:rPr>
        <w:t>8</w:t>
      </w:r>
      <w:r w:rsidRPr="000F0299">
        <w:rPr>
          <w:lang w:val="sr-Cyrl-RS"/>
        </w:rPr>
        <w:fldChar w:fldCharType="end"/>
      </w:r>
      <w:r>
        <w:rPr>
          <w:lang w:val="sr-Cyrl-RS"/>
        </w:rPr>
        <w:t>.</w:t>
      </w:r>
      <w:r w:rsidRPr="000F0299">
        <w:rPr>
          <w:lang w:val="sr-Cyrl-RS"/>
        </w:rPr>
        <w:t xml:space="preserve"> Табела за одабир опције</w:t>
      </w:r>
      <w:bookmarkEnd w:id="221"/>
      <w:r w:rsidR="00B14976">
        <w:rPr>
          <w:lang w:val="sr-Cyrl-RS"/>
        </w:rPr>
        <w:t xml:space="preserve"> за циљ 4.1.</w:t>
      </w:r>
      <w:bookmarkEnd w:id="222"/>
    </w:p>
    <w:tbl>
      <w:tblPr>
        <w:tblStyle w:val="TableGrid"/>
        <w:tblW w:w="5000" w:type="pct"/>
        <w:tblInd w:w="0" w:type="dxa"/>
        <w:tblLayout w:type="fixed"/>
        <w:tblLook w:val="06A0" w:firstRow="1" w:lastRow="0" w:firstColumn="1" w:lastColumn="0" w:noHBand="1" w:noVBand="1"/>
      </w:tblPr>
      <w:tblGrid>
        <w:gridCol w:w="4593"/>
        <w:gridCol w:w="971"/>
        <w:gridCol w:w="841"/>
        <w:gridCol w:w="834"/>
        <w:gridCol w:w="973"/>
        <w:gridCol w:w="837"/>
        <w:gridCol w:w="13"/>
      </w:tblGrid>
      <w:tr w:rsidR="00841714" w:rsidRPr="000F0299" w14:paraId="2E9154BE" w14:textId="77777777" w:rsidTr="00841714">
        <w:trPr>
          <w:gridAfter w:val="1"/>
          <w:wAfter w:w="7" w:type="pct"/>
          <w:trHeight w:val="429"/>
        </w:trPr>
        <w:tc>
          <w:tcPr>
            <w:tcW w:w="2534" w:type="pct"/>
            <w:vMerge w:val="restart"/>
          </w:tcPr>
          <w:p w14:paraId="1518249C" w14:textId="77777777" w:rsidR="00841714" w:rsidRPr="000F0299" w:rsidRDefault="00841714" w:rsidP="00841714">
            <w:pPr>
              <w:spacing w:before="0"/>
              <w:ind w:firstLine="0"/>
            </w:pPr>
            <w:r w:rsidRPr="000F0299">
              <w:t>Критеријуми</w:t>
            </w:r>
          </w:p>
          <w:p w14:paraId="5A413F4D" w14:textId="77777777" w:rsidR="00841714" w:rsidRPr="000F0299" w:rsidRDefault="00841714" w:rsidP="00841714">
            <w:pPr>
              <w:spacing w:before="0"/>
              <w:ind w:firstLine="0"/>
            </w:pPr>
            <w:r w:rsidRPr="000F0299">
              <w:t>Оцена (1</w:t>
            </w:r>
            <w:r>
              <w:t>–</w:t>
            </w:r>
            <w:r w:rsidRPr="000F0299">
              <w:t>3)</w:t>
            </w:r>
          </w:p>
          <w:p w14:paraId="14264385" w14:textId="77777777" w:rsidR="00841714" w:rsidRPr="000F0299" w:rsidRDefault="00841714" w:rsidP="00841714">
            <w:pPr>
              <w:spacing w:before="0"/>
              <w:ind w:firstLine="0"/>
            </w:pPr>
            <w:r w:rsidRPr="000F0299">
              <w:t>Директан ефекат (пондер 2)</w:t>
            </w:r>
          </w:p>
          <w:p w14:paraId="1AF8F0ED" w14:textId="77777777" w:rsidR="00841714" w:rsidRPr="000F0299" w:rsidRDefault="00841714" w:rsidP="00841714">
            <w:pPr>
              <w:spacing w:before="0"/>
              <w:ind w:firstLine="0"/>
            </w:pPr>
            <w:r w:rsidRPr="000F0299">
              <w:t>Индиректан ефекат (пондер 1)</w:t>
            </w:r>
          </w:p>
        </w:tc>
        <w:tc>
          <w:tcPr>
            <w:tcW w:w="2459" w:type="pct"/>
            <w:gridSpan w:val="5"/>
          </w:tcPr>
          <w:p w14:paraId="5B3F82FF" w14:textId="77777777" w:rsidR="00841714" w:rsidRPr="000F0299" w:rsidRDefault="00841714" w:rsidP="00841714">
            <w:pPr>
              <w:spacing w:before="0"/>
              <w:jc w:val="center"/>
            </w:pPr>
            <w:r w:rsidRPr="000F0299">
              <w:t>Укупно</w:t>
            </w:r>
          </w:p>
        </w:tc>
      </w:tr>
      <w:tr w:rsidR="00841714" w:rsidRPr="000F0299" w14:paraId="02628575" w14:textId="77777777" w:rsidTr="00841714">
        <w:trPr>
          <w:gridAfter w:val="1"/>
          <w:wAfter w:w="7" w:type="pct"/>
          <w:cantSplit/>
          <w:trHeight w:val="1584"/>
        </w:trPr>
        <w:tc>
          <w:tcPr>
            <w:tcW w:w="2534" w:type="pct"/>
            <w:vMerge/>
          </w:tcPr>
          <w:p w14:paraId="186CCA47" w14:textId="77777777" w:rsidR="00841714" w:rsidRPr="000F0299" w:rsidRDefault="00841714" w:rsidP="00841714">
            <w:pPr>
              <w:spacing w:before="0"/>
            </w:pPr>
          </w:p>
        </w:tc>
        <w:tc>
          <w:tcPr>
            <w:tcW w:w="536" w:type="pct"/>
            <w:textDirection w:val="btLr"/>
          </w:tcPr>
          <w:p w14:paraId="2098C3B0" w14:textId="77777777" w:rsidR="00841714" w:rsidRPr="000F0299" w:rsidRDefault="00841714" w:rsidP="00841714">
            <w:pPr>
              <w:spacing w:before="0"/>
              <w:ind w:left="113" w:right="113" w:firstLine="0"/>
            </w:pPr>
            <w:r w:rsidRPr="000F0299">
              <w:t>Опција 1</w:t>
            </w:r>
          </w:p>
          <w:p w14:paraId="1F97EBC4" w14:textId="77777777" w:rsidR="00841714" w:rsidRPr="0068456A" w:rsidRDefault="00841714" w:rsidP="00841714">
            <w:pPr>
              <w:spacing w:before="0"/>
              <w:ind w:left="113" w:right="113" w:firstLine="0"/>
              <w:rPr>
                <w:i/>
              </w:rPr>
            </w:pPr>
            <w:r w:rsidRPr="0068456A">
              <w:rPr>
                <w:i/>
              </w:rPr>
              <w:t>Status quo</w:t>
            </w:r>
          </w:p>
        </w:tc>
        <w:tc>
          <w:tcPr>
            <w:tcW w:w="464" w:type="pct"/>
            <w:textDirection w:val="btLr"/>
          </w:tcPr>
          <w:p w14:paraId="223C73DB" w14:textId="77777777" w:rsidR="00841714" w:rsidRPr="000F0299" w:rsidRDefault="00841714" w:rsidP="00841714">
            <w:pPr>
              <w:spacing w:before="0"/>
              <w:ind w:left="113" w:right="113" w:firstLine="0"/>
            </w:pPr>
            <w:r w:rsidRPr="000F0299">
              <w:t>Опција 2</w:t>
            </w:r>
          </w:p>
        </w:tc>
        <w:tc>
          <w:tcPr>
            <w:tcW w:w="460" w:type="pct"/>
            <w:textDirection w:val="btLr"/>
          </w:tcPr>
          <w:p w14:paraId="04354E23" w14:textId="77777777" w:rsidR="00841714" w:rsidRPr="000F0299" w:rsidRDefault="00841714" w:rsidP="00841714">
            <w:pPr>
              <w:spacing w:before="0"/>
              <w:ind w:left="113" w:right="113" w:firstLine="0"/>
            </w:pPr>
            <w:r w:rsidRPr="000F0299">
              <w:t>Опција 3</w:t>
            </w:r>
          </w:p>
        </w:tc>
        <w:tc>
          <w:tcPr>
            <w:tcW w:w="537" w:type="pct"/>
            <w:textDirection w:val="btLr"/>
          </w:tcPr>
          <w:p w14:paraId="0C034353" w14:textId="77777777" w:rsidR="00841714" w:rsidRPr="000F0299" w:rsidRDefault="00841714" w:rsidP="00841714">
            <w:pPr>
              <w:spacing w:before="0"/>
              <w:ind w:left="113" w:right="113" w:firstLine="0"/>
            </w:pPr>
            <w:r w:rsidRPr="000F0299">
              <w:t>Опција 4</w:t>
            </w:r>
          </w:p>
        </w:tc>
        <w:tc>
          <w:tcPr>
            <w:tcW w:w="462" w:type="pct"/>
            <w:textDirection w:val="btLr"/>
          </w:tcPr>
          <w:p w14:paraId="743A79E0" w14:textId="77777777" w:rsidR="00841714" w:rsidRPr="000F0299" w:rsidRDefault="00841714" w:rsidP="00841714">
            <w:pPr>
              <w:spacing w:before="0"/>
              <w:ind w:left="113" w:right="113" w:firstLine="0"/>
            </w:pPr>
            <w:r w:rsidRPr="000F0299">
              <w:t>Опција 5</w:t>
            </w:r>
          </w:p>
        </w:tc>
      </w:tr>
      <w:tr w:rsidR="00841714" w:rsidRPr="000F0299" w14:paraId="48D746B8" w14:textId="77777777" w:rsidTr="00841714">
        <w:tc>
          <w:tcPr>
            <w:tcW w:w="5000" w:type="pct"/>
            <w:gridSpan w:val="7"/>
            <w:shd w:val="clear" w:color="auto" w:fill="D5DEEE"/>
          </w:tcPr>
          <w:p w14:paraId="18A68F61" w14:textId="77777777" w:rsidR="00841714" w:rsidRPr="000F0299" w:rsidRDefault="00841714" w:rsidP="00841714">
            <w:pPr>
              <w:spacing w:before="0"/>
              <w:ind w:firstLine="0"/>
            </w:pPr>
            <w:r w:rsidRPr="000F0299">
              <w:t>Специфични критеријуми</w:t>
            </w:r>
          </w:p>
        </w:tc>
      </w:tr>
      <w:tr w:rsidR="00841714" w:rsidRPr="000F0299" w14:paraId="71C5C91E" w14:textId="77777777" w:rsidTr="00841714">
        <w:trPr>
          <w:gridAfter w:val="1"/>
          <w:wAfter w:w="7" w:type="pct"/>
        </w:trPr>
        <w:tc>
          <w:tcPr>
            <w:tcW w:w="2534" w:type="pct"/>
          </w:tcPr>
          <w:p w14:paraId="05C0E075" w14:textId="77777777" w:rsidR="00841714" w:rsidRPr="000F0299" w:rsidRDefault="00841714" w:rsidP="00841714">
            <w:pPr>
              <w:spacing w:before="0"/>
              <w:ind w:firstLine="0"/>
            </w:pPr>
            <w:r w:rsidRPr="000F0299">
              <w:t>Да ли опција позитив</w:t>
            </w:r>
            <w:r>
              <w:t>но</w:t>
            </w:r>
            <w:r w:rsidRPr="000F0299">
              <w:t xml:space="preserve"> ути</w:t>
            </w:r>
            <w:r>
              <w:t>че</w:t>
            </w:r>
            <w:r w:rsidRPr="000F0299">
              <w:t xml:space="preserve"> на антикорупцијско понашање?</w:t>
            </w:r>
          </w:p>
        </w:tc>
        <w:tc>
          <w:tcPr>
            <w:tcW w:w="536" w:type="pct"/>
          </w:tcPr>
          <w:p w14:paraId="536F9349" w14:textId="77777777" w:rsidR="00841714" w:rsidRPr="000F0299" w:rsidRDefault="00841714" w:rsidP="00841714">
            <w:pPr>
              <w:spacing w:before="0"/>
              <w:ind w:firstLine="0"/>
            </w:pPr>
            <w:r w:rsidRPr="000F0299">
              <w:t>1x1=1</w:t>
            </w:r>
          </w:p>
        </w:tc>
        <w:tc>
          <w:tcPr>
            <w:tcW w:w="464" w:type="pct"/>
          </w:tcPr>
          <w:p w14:paraId="7A724CDB" w14:textId="77777777" w:rsidR="00841714" w:rsidRPr="000F0299" w:rsidRDefault="00841714" w:rsidP="00841714">
            <w:pPr>
              <w:spacing w:before="0"/>
              <w:ind w:firstLine="0"/>
            </w:pPr>
            <w:r w:rsidRPr="000F0299">
              <w:t>2x1=2</w:t>
            </w:r>
          </w:p>
        </w:tc>
        <w:tc>
          <w:tcPr>
            <w:tcW w:w="460" w:type="pct"/>
          </w:tcPr>
          <w:p w14:paraId="0DFB58A2" w14:textId="77777777" w:rsidR="00841714" w:rsidRPr="000F0299" w:rsidRDefault="00841714" w:rsidP="00841714">
            <w:pPr>
              <w:spacing w:before="0"/>
              <w:ind w:firstLine="0"/>
            </w:pPr>
            <w:r w:rsidRPr="000F0299">
              <w:t>2x2=4</w:t>
            </w:r>
          </w:p>
        </w:tc>
        <w:tc>
          <w:tcPr>
            <w:tcW w:w="537" w:type="pct"/>
          </w:tcPr>
          <w:p w14:paraId="7E84080E" w14:textId="77777777" w:rsidR="00841714" w:rsidRPr="000F0299" w:rsidRDefault="00841714" w:rsidP="00841714">
            <w:pPr>
              <w:spacing w:before="0"/>
              <w:ind w:firstLine="0"/>
            </w:pPr>
            <w:r w:rsidRPr="000F0299">
              <w:t>2x2=4</w:t>
            </w:r>
          </w:p>
        </w:tc>
        <w:tc>
          <w:tcPr>
            <w:tcW w:w="462" w:type="pct"/>
          </w:tcPr>
          <w:p w14:paraId="2A35ECAF" w14:textId="77777777" w:rsidR="00841714" w:rsidRPr="000F0299" w:rsidRDefault="00841714" w:rsidP="00841714">
            <w:pPr>
              <w:spacing w:before="0"/>
              <w:ind w:firstLine="0"/>
            </w:pPr>
            <w:r w:rsidRPr="000F0299">
              <w:t>3x2=6</w:t>
            </w:r>
          </w:p>
        </w:tc>
      </w:tr>
      <w:tr w:rsidR="00841714" w:rsidRPr="000F0299" w14:paraId="471A1944" w14:textId="77777777" w:rsidTr="00841714">
        <w:trPr>
          <w:gridAfter w:val="1"/>
          <w:wAfter w:w="7" w:type="pct"/>
        </w:trPr>
        <w:tc>
          <w:tcPr>
            <w:tcW w:w="2534" w:type="pct"/>
          </w:tcPr>
          <w:p w14:paraId="4BC1720B" w14:textId="77777777" w:rsidR="00841714" w:rsidRPr="000F0299" w:rsidRDefault="00841714" w:rsidP="00841714">
            <w:pPr>
              <w:spacing w:before="0"/>
              <w:ind w:firstLine="0"/>
            </w:pPr>
            <w:r w:rsidRPr="000F0299">
              <w:t>Да ли опција подржава ефикасно делегирањ</w:t>
            </w:r>
            <w:r>
              <w:t>е</w:t>
            </w:r>
            <w:r w:rsidRPr="000F0299">
              <w:t xml:space="preserve"> управљачке одговорности у државним органима? </w:t>
            </w:r>
          </w:p>
        </w:tc>
        <w:tc>
          <w:tcPr>
            <w:tcW w:w="536" w:type="pct"/>
          </w:tcPr>
          <w:p w14:paraId="5740EA6F" w14:textId="77777777" w:rsidR="00841714" w:rsidRPr="000F0299" w:rsidRDefault="00841714" w:rsidP="00841714">
            <w:pPr>
              <w:spacing w:before="0"/>
              <w:ind w:firstLine="0"/>
            </w:pPr>
            <w:r w:rsidRPr="000F0299">
              <w:t>1x1=1</w:t>
            </w:r>
          </w:p>
        </w:tc>
        <w:tc>
          <w:tcPr>
            <w:tcW w:w="464" w:type="pct"/>
          </w:tcPr>
          <w:p w14:paraId="706E8760" w14:textId="77777777" w:rsidR="00841714" w:rsidRPr="000F0299" w:rsidRDefault="00841714" w:rsidP="00841714">
            <w:pPr>
              <w:spacing w:before="0"/>
              <w:ind w:firstLine="0"/>
            </w:pPr>
            <w:r w:rsidRPr="000F0299">
              <w:t>2x2=4</w:t>
            </w:r>
          </w:p>
        </w:tc>
        <w:tc>
          <w:tcPr>
            <w:tcW w:w="460" w:type="pct"/>
          </w:tcPr>
          <w:p w14:paraId="5B4C7305" w14:textId="77777777" w:rsidR="00841714" w:rsidRPr="000F0299" w:rsidRDefault="00841714" w:rsidP="00841714">
            <w:pPr>
              <w:spacing w:before="0"/>
              <w:ind w:firstLine="0"/>
            </w:pPr>
            <w:r w:rsidRPr="000F0299">
              <w:t>3x2=6</w:t>
            </w:r>
          </w:p>
        </w:tc>
        <w:tc>
          <w:tcPr>
            <w:tcW w:w="537" w:type="pct"/>
          </w:tcPr>
          <w:p w14:paraId="1EE57E7B" w14:textId="77777777" w:rsidR="00841714" w:rsidRPr="000F0299" w:rsidRDefault="00841714" w:rsidP="00841714">
            <w:pPr>
              <w:spacing w:before="0"/>
              <w:ind w:firstLine="0"/>
            </w:pPr>
            <w:r w:rsidRPr="000F0299">
              <w:t>1x1=2</w:t>
            </w:r>
          </w:p>
        </w:tc>
        <w:tc>
          <w:tcPr>
            <w:tcW w:w="462" w:type="pct"/>
          </w:tcPr>
          <w:p w14:paraId="6531EB3B" w14:textId="77777777" w:rsidR="00841714" w:rsidRPr="000F0299" w:rsidRDefault="00841714" w:rsidP="00841714">
            <w:pPr>
              <w:spacing w:before="0"/>
              <w:ind w:firstLine="0"/>
            </w:pPr>
            <w:r w:rsidRPr="000F0299">
              <w:t>1x1=2</w:t>
            </w:r>
          </w:p>
        </w:tc>
      </w:tr>
      <w:tr w:rsidR="00841714" w:rsidRPr="000F0299" w14:paraId="42723A4A" w14:textId="77777777" w:rsidTr="00841714">
        <w:trPr>
          <w:gridAfter w:val="1"/>
          <w:wAfter w:w="7" w:type="pct"/>
        </w:trPr>
        <w:tc>
          <w:tcPr>
            <w:tcW w:w="2534" w:type="pct"/>
          </w:tcPr>
          <w:p w14:paraId="4F480F95" w14:textId="77777777" w:rsidR="00841714" w:rsidRPr="000F0299" w:rsidRDefault="00841714" w:rsidP="00841714">
            <w:pPr>
              <w:spacing w:before="0"/>
              <w:ind w:firstLine="0"/>
            </w:pPr>
            <w:r w:rsidRPr="000F0299">
              <w:t>Да ли опција ути</w:t>
            </w:r>
            <w:r>
              <w:t>че</w:t>
            </w:r>
            <w:r w:rsidRPr="000F0299">
              <w:t xml:space="preserve"> на одговорно располагање финансијским ресурсима?</w:t>
            </w:r>
          </w:p>
        </w:tc>
        <w:tc>
          <w:tcPr>
            <w:tcW w:w="536" w:type="pct"/>
          </w:tcPr>
          <w:p w14:paraId="1A8AA4B8" w14:textId="77777777" w:rsidR="00841714" w:rsidRPr="000F0299" w:rsidRDefault="00841714" w:rsidP="00841714">
            <w:pPr>
              <w:spacing w:before="0"/>
              <w:ind w:firstLine="0"/>
            </w:pPr>
            <w:r w:rsidRPr="000F0299">
              <w:t>1x1=1</w:t>
            </w:r>
          </w:p>
        </w:tc>
        <w:tc>
          <w:tcPr>
            <w:tcW w:w="464" w:type="pct"/>
          </w:tcPr>
          <w:p w14:paraId="53DDD54C" w14:textId="77777777" w:rsidR="00841714" w:rsidRPr="000F0299" w:rsidRDefault="00841714" w:rsidP="00841714">
            <w:pPr>
              <w:spacing w:before="0"/>
              <w:ind w:firstLine="0"/>
            </w:pPr>
            <w:r w:rsidRPr="000F0299">
              <w:t>2x1=2</w:t>
            </w:r>
          </w:p>
        </w:tc>
        <w:tc>
          <w:tcPr>
            <w:tcW w:w="460" w:type="pct"/>
          </w:tcPr>
          <w:p w14:paraId="004CB621" w14:textId="77777777" w:rsidR="00841714" w:rsidRPr="000F0299" w:rsidRDefault="00841714" w:rsidP="00841714">
            <w:pPr>
              <w:spacing w:before="0"/>
              <w:ind w:firstLine="0"/>
            </w:pPr>
            <w:r w:rsidRPr="000F0299">
              <w:t>3x2=6</w:t>
            </w:r>
          </w:p>
        </w:tc>
        <w:tc>
          <w:tcPr>
            <w:tcW w:w="537" w:type="pct"/>
          </w:tcPr>
          <w:p w14:paraId="19F3CA96" w14:textId="77777777" w:rsidR="00841714" w:rsidRPr="000F0299" w:rsidRDefault="00841714" w:rsidP="00841714">
            <w:pPr>
              <w:spacing w:before="0"/>
              <w:ind w:firstLine="0"/>
            </w:pPr>
            <w:r w:rsidRPr="000F0299">
              <w:t>2x1=2</w:t>
            </w:r>
          </w:p>
        </w:tc>
        <w:tc>
          <w:tcPr>
            <w:tcW w:w="462" w:type="pct"/>
          </w:tcPr>
          <w:p w14:paraId="38AF919E" w14:textId="77777777" w:rsidR="00841714" w:rsidRPr="000F0299" w:rsidRDefault="00841714" w:rsidP="00841714">
            <w:pPr>
              <w:spacing w:before="0"/>
              <w:ind w:firstLine="0"/>
            </w:pPr>
            <w:r w:rsidRPr="000F0299">
              <w:t>3x2=6</w:t>
            </w:r>
          </w:p>
        </w:tc>
      </w:tr>
      <w:tr w:rsidR="00841714" w:rsidRPr="000F0299" w14:paraId="454A3868" w14:textId="77777777" w:rsidTr="00841714">
        <w:tc>
          <w:tcPr>
            <w:tcW w:w="5000" w:type="pct"/>
            <w:gridSpan w:val="7"/>
            <w:shd w:val="clear" w:color="auto" w:fill="D5DEEE"/>
          </w:tcPr>
          <w:p w14:paraId="3332F769" w14:textId="77777777" w:rsidR="00841714" w:rsidRPr="000F0299" w:rsidRDefault="00841714" w:rsidP="00841714">
            <w:pPr>
              <w:spacing w:before="0"/>
              <w:ind w:firstLine="0"/>
            </w:pPr>
            <w:r w:rsidRPr="000F0299">
              <w:t>Општи критеријуми</w:t>
            </w:r>
          </w:p>
        </w:tc>
      </w:tr>
      <w:tr w:rsidR="00841714" w:rsidRPr="000F0299" w14:paraId="25F1074D" w14:textId="77777777" w:rsidTr="00841714">
        <w:trPr>
          <w:gridAfter w:val="1"/>
          <w:wAfter w:w="7" w:type="pct"/>
        </w:trPr>
        <w:tc>
          <w:tcPr>
            <w:tcW w:w="2534" w:type="pct"/>
          </w:tcPr>
          <w:p w14:paraId="4B62CFA3" w14:textId="77777777" w:rsidR="00841714" w:rsidRPr="000F0299" w:rsidRDefault="00841714" w:rsidP="00841714">
            <w:pPr>
              <w:spacing w:before="0"/>
              <w:ind w:firstLine="0"/>
              <w:rPr>
                <w:b/>
                <w:bCs/>
              </w:rPr>
            </w:pPr>
            <w:r w:rsidRPr="000F0299">
              <w:t>Да ли опција по</w:t>
            </w:r>
            <w:r>
              <w:t>веећава</w:t>
            </w:r>
            <w:r w:rsidRPr="000F0299">
              <w:t xml:space="preserve"> транспарентност и приступачност јавне управе и утиче на поверење грађана у јавну управу?</w:t>
            </w:r>
          </w:p>
        </w:tc>
        <w:tc>
          <w:tcPr>
            <w:tcW w:w="536" w:type="pct"/>
          </w:tcPr>
          <w:p w14:paraId="28C48299" w14:textId="77777777" w:rsidR="00841714" w:rsidRPr="000F0299" w:rsidRDefault="00841714" w:rsidP="00841714">
            <w:pPr>
              <w:spacing w:before="0"/>
              <w:ind w:firstLine="0"/>
            </w:pPr>
            <w:r w:rsidRPr="000F0299">
              <w:t>1x1=1</w:t>
            </w:r>
          </w:p>
        </w:tc>
        <w:tc>
          <w:tcPr>
            <w:tcW w:w="464" w:type="pct"/>
          </w:tcPr>
          <w:p w14:paraId="15D2EE04" w14:textId="77777777" w:rsidR="00841714" w:rsidRPr="000F0299" w:rsidRDefault="00841714" w:rsidP="00841714">
            <w:pPr>
              <w:spacing w:before="0"/>
              <w:ind w:firstLine="0"/>
            </w:pPr>
            <w:r w:rsidRPr="000F0299">
              <w:t>2x1=2</w:t>
            </w:r>
          </w:p>
        </w:tc>
        <w:tc>
          <w:tcPr>
            <w:tcW w:w="460" w:type="pct"/>
          </w:tcPr>
          <w:p w14:paraId="5801DF67" w14:textId="77777777" w:rsidR="00841714" w:rsidRPr="000F0299" w:rsidRDefault="00841714" w:rsidP="00841714">
            <w:pPr>
              <w:spacing w:before="0"/>
              <w:ind w:firstLine="0"/>
            </w:pPr>
            <w:r w:rsidRPr="000F0299">
              <w:t>3x1=3</w:t>
            </w:r>
          </w:p>
        </w:tc>
        <w:tc>
          <w:tcPr>
            <w:tcW w:w="537" w:type="pct"/>
          </w:tcPr>
          <w:p w14:paraId="5AE444FD" w14:textId="77777777" w:rsidR="00841714" w:rsidRPr="000F0299" w:rsidRDefault="00841714" w:rsidP="00841714">
            <w:pPr>
              <w:spacing w:before="0"/>
              <w:ind w:firstLine="0"/>
            </w:pPr>
            <w:r w:rsidRPr="000F0299">
              <w:t>3x1=3</w:t>
            </w:r>
          </w:p>
        </w:tc>
        <w:tc>
          <w:tcPr>
            <w:tcW w:w="462" w:type="pct"/>
          </w:tcPr>
          <w:p w14:paraId="02377E32" w14:textId="77777777" w:rsidR="00841714" w:rsidRPr="000F0299" w:rsidRDefault="00841714" w:rsidP="00841714">
            <w:pPr>
              <w:spacing w:before="0"/>
              <w:ind w:firstLine="0"/>
            </w:pPr>
            <w:r w:rsidRPr="000F0299">
              <w:t>3x2=6</w:t>
            </w:r>
          </w:p>
        </w:tc>
      </w:tr>
      <w:tr w:rsidR="00841714" w:rsidRPr="000F0299" w14:paraId="038E8325" w14:textId="77777777" w:rsidTr="00841714">
        <w:trPr>
          <w:gridAfter w:val="1"/>
          <w:wAfter w:w="7" w:type="pct"/>
        </w:trPr>
        <w:tc>
          <w:tcPr>
            <w:tcW w:w="2534" w:type="pct"/>
          </w:tcPr>
          <w:p w14:paraId="2AB1E53A" w14:textId="77777777" w:rsidR="00841714" w:rsidRPr="000F0299" w:rsidRDefault="00841714" w:rsidP="00841714">
            <w:pPr>
              <w:spacing w:before="0"/>
              <w:ind w:firstLine="0"/>
              <w:rPr>
                <w:b/>
                <w:bCs/>
              </w:rPr>
            </w:pPr>
            <w:r w:rsidRPr="000F0299">
              <w:rPr>
                <w:noProof/>
              </w:rPr>
              <w:t>Да ли је опција у сагласности са захтевима ЕУ?</w:t>
            </w:r>
          </w:p>
        </w:tc>
        <w:tc>
          <w:tcPr>
            <w:tcW w:w="536" w:type="pct"/>
          </w:tcPr>
          <w:p w14:paraId="05B39ACB" w14:textId="77777777" w:rsidR="00841714" w:rsidRPr="000F0299" w:rsidRDefault="00841714" w:rsidP="00841714">
            <w:pPr>
              <w:spacing w:before="0"/>
              <w:ind w:firstLine="0"/>
            </w:pPr>
            <w:r w:rsidRPr="000F0299">
              <w:t>1x1=1</w:t>
            </w:r>
          </w:p>
        </w:tc>
        <w:tc>
          <w:tcPr>
            <w:tcW w:w="464" w:type="pct"/>
          </w:tcPr>
          <w:p w14:paraId="5646247A" w14:textId="77777777" w:rsidR="00841714" w:rsidRPr="000F0299" w:rsidRDefault="00841714" w:rsidP="00841714">
            <w:pPr>
              <w:spacing w:before="0"/>
              <w:ind w:firstLine="0"/>
            </w:pPr>
            <w:r w:rsidRPr="000F0299">
              <w:t>2x1=2</w:t>
            </w:r>
          </w:p>
        </w:tc>
        <w:tc>
          <w:tcPr>
            <w:tcW w:w="460" w:type="pct"/>
          </w:tcPr>
          <w:p w14:paraId="5BF24824" w14:textId="77777777" w:rsidR="00841714" w:rsidRPr="000F0299" w:rsidRDefault="00841714" w:rsidP="00841714">
            <w:pPr>
              <w:spacing w:before="0"/>
              <w:ind w:firstLine="0"/>
            </w:pPr>
            <w:r w:rsidRPr="000F0299">
              <w:t>3x2=6</w:t>
            </w:r>
          </w:p>
        </w:tc>
        <w:tc>
          <w:tcPr>
            <w:tcW w:w="537" w:type="pct"/>
          </w:tcPr>
          <w:p w14:paraId="78C67586" w14:textId="77777777" w:rsidR="00841714" w:rsidRPr="000F0299" w:rsidRDefault="00841714" w:rsidP="00841714">
            <w:pPr>
              <w:spacing w:before="0"/>
              <w:ind w:firstLine="0"/>
            </w:pPr>
            <w:r w:rsidRPr="000F0299">
              <w:t>2x1=2</w:t>
            </w:r>
          </w:p>
        </w:tc>
        <w:tc>
          <w:tcPr>
            <w:tcW w:w="462" w:type="pct"/>
          </w:tcPr>
          <w:p w14:paraId="70979DD2" w14:textId="77777777" w:rsidR="00841714" w:rsidRPr="000F0299" w:rsidRDefault="00841714" w:rsidP="00841714">
            <w:pPr>
              <w:spacing w:before="0"/>
              <w:ind w:firstLine="0"/>
            </w:pPr>
            <w:r w:rsidRPr="000F0299">
              <w:t>3x2=6</w:t>
            </w:r>
          </w:p>
        </w:tc>
      </w:tr>
      <w:tr w:rsidR="00841714" w:rsidRPr="000F0299" w14:paraId="63643844" w14:textId="77777777" w:rsidTr="00841714">
        <w:tc>
          <w:tcPr>
            <w:tcW w:w="5000" w:type="pct"/>
            <w:gridSpan w:val="7"/>
            <w:shd w:val="clear" w:color="auto" w:fill="D5DEEE"/>
          </w:tcPr>
          <w:p w14:paraId="0D49CDAE" w14:textId="77777777" w:rsidR="00841714" w:rsidRPr="000F0299" w:rsidRDefault="00841714" w:rsidP="00841714">
            <w:pPr>
              <w:spacing w:before="0"/>
              <w:ind w:firstLine="0"/>
            </w:pPr>
            <w:r w:rsidRPr="000F0299">
              <w:t xml:space="preserve">Критеријуми </w:t>
            </w:r>
            <w:r>
              <w:t>за спровођење</w:t>
            </w:r>
          </w:p>
        </w:tc>
      </w:tr>
      <w:tr w:rsidR="00841714" w:rsidRPr="000F0299" w14:paraId="71C0D79A" w14:textId="77777777" w:rsidTr="00841714">
        <w:trPr>
          <w:gridAfter w:val="1"/>
          <w:wAfter w:w="7" w:type="pct"/>
        </w:trPr>
        <w:tc>
          <w:tcPr>
            <w:tcW w:w="2534" w:type="pct"/>
          </w:tcPr>
          <w:p w14:paraId="16CF816A" w14:textId="77777777" w:rsidR="00841714" w:rsidRPr="000F0299" w:rsidRDefault="00841714" w:rsidP="00841714">
            <w:pPr>
              <w:spacing w:before="0"/>
              <w:ind w:firstLine="0"/>
              <w:rPr>
                <w:b/>
                <w:bCs/>
              </w:rPr>
            </w:pPr>
            <w:r w:rsidRPr="000F0299">
              <w:t xml:space="preserve">Да ли се опција може </w:t>
            </w:r>
            <w:r>
              <w:t>спровести</w:t>
            </w:r>
            <w:r w:rsidRPr="000F0299">
              <w:t xml:space="preserve"> без великих трошкова?</w:t>
            </w:r>
          </w:p>
        </w:tc>
        <w:tc>
          <w:tcPr>
            <w:tcW w:w="536" w:type="pct"/>
          </w:tcPr>
          <w:p w14:paraId="31A48AE3" w14:textId="77777777" w:rsidR="00841714" w:rsidRPr="000F0299" w:rsidRDefault="00841714" w:rsidP="00841714">
            <w:pPr>
              <w:spacing w:before="0"/>
              <w:ind w:firstLine="0"/>
            </w:pPr>
            <w:r w:rsidRPr="000F0299">
              <w:t>3x2=6</w:t>
            </w:r>
          </w:p>
        </w:tc>
        <w:tc>
          <w:tcPr>
            <w:tcW w:w="464" w:type="pct"/>
          </w:tcPr>
          <w:p w14:paraId="1070F5F8" w14:textId="77777777" w:rsidR="00841714" w:rsidRPr="000F0299" w:rsidRDefault="00841714" w:rsidP="00841714">
            <w:pPr>
              <w:spacing w:before="0"/>
              <w:ind w:firstLine="0"/>
            </w:pPr>
            <w:r w:rsidRPr="000F0299">
              <w:t>3x2=6</w:t>
            </w:r>
          </w:p>
        </w:tc>
        <w:tc>
          <w:tcPr>
            <w:tcW w:w="460" w:type="pct"/>
          </w:tcPr>
          <w:p w14:paraId="5898D3DB" w14:textId="77777777" w:rsidR="00841714" w:rsidRPr="000F0299" w:rsidRDefault="00841714" w:rsidP="00841714">
            <w:pPr>
              <w:spacing w:before="0"/>
              <w:ind w:firstLine="0"/>
            </w:pPr>
            <w:r w:rsidRPr="000F0299">
              <w:t>2x2=4</w:t>
            </w:r>
          </w:p>
        </w:tc>
        <w:tc>
          <w:tcPr>
            <w:tcW w:w="537" w:type="pct"/>
          </w:tcPr>
          <w:p w14:paraId="7A044B34" w14:textId="77777777" w:rsidR="00841714" w:rsidRPr="000F0299" w:rsidRDefault="00841714" w:rsidP="00841714">
            <w:pPr>
              <w:spacing w:before="0"/>
              <w:ind w:firstLine="0"/>
            </w:pPr>
            <w:r w:rsidRPr="000F0299">
              <w:t>3x2=6</w:t>
            </w:r>
          </w:p>
        </w:tc>
        <w:tc>
          <w:tcPr>
            <w:tcW w:w="462" w:type="pct"/>
          </w:tcPr>
          <w:p w14:paraId="11C5F125" w14:textId="77777777" w:rsidR="00841714" w:rsidRPr="000F0299" w:rsidRDefault="00841714" w:rsidP="00841714">
            <w:pPr>
              <w:spacing w:before="0"/>
              <w:ind w:firstLine="0"/>
            </w:pPr>
            <w:r w:rsidRPr="000F0299">
              <w:t>2x2=4</w:t>
            </w:r>
          </w:p>
        </w:tc>
      </w:tr>
      <w:tr w:rsidR="00841714" w:rsidRPr="000F0299" w14:paraId="1B26B2A6" w14:textId="77777777" w:rsidTr="00841714">
        <w:trPr>
          <w:gridAfter w:val="1"/>
          <w:wAfter w:w="7" w:type="pct"/>
        </w:trPr>
        <w:tc>
          <w:tcPr>
            <w:tcW w:w="2534" w:type="pct"/>
            <w:tcBorders>
              <w:bottom w:val="single" w:sz="2" w:space="0" w:color="auto"/>
            </w:tcBorders>
          </w:tcPr>
          <w:p w14:paraId="0E1C33DF" w14:textId="77777777" w:rsidR="00841714" w:rsidRPr="000F0299" w:rsidRDefault="00841714" w:rsidP="00841714">
            <w:pPr>
              <w:spacing w:before="0"/>
              <w:ind w:firstLine="0"/>
              <w:rPr>
                <w:b/>
                <w:bCs/>
              </w:rPr>
            </w:pPr>
            <w:r w:rsidRPr="000F0299">
              <w:t xml:space="preserve">Да ли се опција може </w:t>
            </w:r>
            <w:r>
              <w:t>спровести</w:t>
            </w:r>
            <w:r w:rsidRPr="000F0299">
              <w:t xml:space="preserve"> у кратком року?</w:t>
            </w:r>
          </w:p>
        </w:tc>
        <w:tc>
          <w:tcPr>
            <w:tcW w:w="536" w:type="pct"/>
            <w:tcBorders>
              <w:bottom w:val="single" w:sz="2" w:space="0" w:color="auto"/>
            </w:tcBorders>
          </w:tcPr>
          <w:p w14:paraId="6AFEAE7A" w14:textId="77777777" w:rsidR="00841714" w:rsidRPr="000F0299" w:rsidRDefault="00841714" w:rsidP="00841714">
            <w:pPr>
              <w:spacing w:before="0"/>
              <w:ind w:firstLine="0"/>
              <w:rPr>
                <w:b/>
                <w:bCs/>
              </w:rPr>
            </w:pPr>
            <w:r w:rsidRPr="000F0299">
              <w:t>3x2=6</w:t>
            </w:r>
          </w:p>
        </w:tc>
        <w:tc>
          <w:tcPr>
            <w:tcW w:w="464" w:type="pct"/>
            <w:tcBorders>
              <w:bottom w:val="single" w:sz="2" w:space="0" w:color="auto"/>
            </w:tcBorders>
          </w:tcPr>
          <w:p w14:paraId="47786E90" w14:textId="77777777" w:rsidR="00841714" w:rsidRPr="000F0299" w:rsidRDefault="00841714" w:rsidP="00841714">
            <w:pPr>
              <w:spacing w:before="0"/>
              <w:ind w:firstLine="0"/>
            </w:pPr>
            <w:r w:rsidRPr="000F0299">
              <w:t>1x1=2</w:t>
            </w:r>
          </w:p>
        </w:tc>
        <w:tc>
          <w:tcPr>
            <w:tcW w:w="460" w:type="pct"/>
            <w:tcBorders>
              <w:bottom w:val="single" w:sz="2" w:space="0" w:color="auto"/>
            </w:tcBorders>
          </w:tcPr>
          <w:p w14:paraId="7236680C" w14:textId="77777777" w:rsidR="00841714" w:rsidRPr="000F0299" w:rsidRDefault="00841714" w:rsidP="00841714">
            <w:pPr>
              <w:spacing w:before="0"/>
              <w:ind w:firstLine="0"/>
            </w:pPr>
            <w:r w:rsidRPr="000F0299">
              <w:t>1x1=2</w:t>
            </w:r>
          </w:p>
        </w:tc>
        <w:tc>
          <w:tcPr>
            <w:tcW w:w="537" w:type="pct"/>
            <w:tcBorders>
              <w:bottom w:val="single" w:sz="2" w:space="0" w:color="auto"/>
            </w:tcBorders>
          </w:tcPr>
          <w:p w14:paraId="2C42771E" w14:textId="77777777" w:rsidR="00841714" w:rsidRPr="000F0299" w:rsidRDefault="00841714" w:rsidP="00841714">
            <w:pPr>
              <w:spacing w:before="0"/>
              <w:ind w:firstLine="0"/>
            </w:pPr>
            <w:r w:rsidRPr="000F0299">
              <w:t>3x2=6</w:t>
            </w:r>
          </w:p>
        </w:tc>
        <w:tc>
          <w:tcPr>
            <w:tcW w:w="462" w:type="pct"/>
            <w:tcBorders>
              <w:bottom w:val="single" w:sz="2" w:space="0" w:color="auto"/>
            </w:tcBorders>
          </w:tcPr>
          <w:p w14:paraId="0CE07CF6" w14:textId="77777777" w:rsidR="00841714" w:rsidRPr="000F0299" w:rsidRDefault="00841714" w:rsidP="00841714">
            <w:pPr>
              <w:spacing w:before="0"/>
              <w:ind w:firstLine="0"/>
            </w:pPr>
            <w:r w:rsidRPr="000F0299">
              <w:t>1x1=2</w:t>
            </w:r>
          </w:p>
        </w:tc>
      </w:tr>
      <w:tr w:rsidR="00841714" w:rsidRPr="000F0299" w14:paraId="555343BF" w14:textId="77777777" w:rsidTr="00841714">
        <w:trPr>
          <w:gridAfter w:val="1"/>
          <w:wAfter w:w="7" w:type="pct"/>
          <w:trHeight w:val="497"/>
        </w:trPr>
        <w:tc>
          <w:tcPr>
            <w:tcW w:w="2534" w:type="pct"/>
            <w:tcBorders>
              <w:top w:val="single" w:sz="2" w:space="0" w:color="auto"/>
              <w:left w:val="single" w:sz="2" w:space="0" w:color="auto"/>
              <w:bottom w:val="single" w:sz="2" w:space="0" w:color="auto"/>
              <w:right w:val="single" w:sz="2" w:space="0" w:color="auto"/>
            </w:tcBorders>
          </w:tcPr>
          <w:p w14:paraId="36A05682" w14:textId="77777777" w:rsidR="00841714" w:rsidRPr="000F0299" w:rsidRDefault="00841714" w:rsidP="00841714">
            <w:pPr>
              <w:spacing w:before="0"/>
              <w:ind w:firstLine="0"/>
              <w:rPr>
                <w:b/>
                <w:bCs/>
              </w:rPr>
            </w:pPr>
            <w:r w:rsidRPr="000F0299">
              <w:rPr>
                <w:b/>
                <w:bCs/>
              </w:rPr>
              <w:t>Укупно по опцијама</w:t>
            </w:r>
          </w:p>
        </w:tc>
        <w:tc>
          <w:tcPr>
            <w:tcW w:w="536" w:type="pct"/>
            <w:tcBorders>
              <w:top w:val="single" w:sz="2" w:space="0" w:color="auto"/>
              <w:left w:val="single" w:sz="2" w:space="0" w:color="auto"/>
              <w:bottom w:val="single" w:sz="2" w:space="0" w:color="auto"/>
              <w:right w:val="single" w:sz="2" w:space="0" w:color="auto"/>
            </w:tcBorders>
          </w:tcPr>
          <w:p w14:paraId="402388A7" w14:textId="77777777" w:rsidR="00841714" w:rsidRPr="000F0299" w:rsidRDefault="00841714" w:rsidP="00841714">
            <w:pPr>
              <w:spacing w:before="0"/>
              <w:rPr>
                <w:b/>
                <w:bCs/>
              </w:rPr>
            </w:pPr>
            <w:r w:rsidRPr="000F0299">
              <w:rPr>
                <w:b/>
                <w:bCs/>
              </w:rPr>
              <w:t>17</w:t>
            </w:r>
          </w:p>
        </w:tc>
        <w:tc>
          <w:tcPr>
            <w:tcW w:w="464" w:type="pct"/>
            <w:tcBorders>
              <w:top w:val="single" w:sz="2" w:space="0" w:color="auto"/>
              <w:left w:val="single" w:sz="2" w:space="0" w:color="auto"/>
              <w:bottom w:val="single" w:sz="2" w:space="0" w:color="auto"/>
              <w:right w:val="single" w:sz="2" w:space="0" w:color="auto"/>
            </w:tcBorders>
          </w:tcPr>
          <w:p w14:paraId="2E3E36D3" w14:textId="77777777" w:rsidR="00841714" w:rsidRPr="000F0299" w:rsidRDefault="00841714" w:rsidP="00841714">
            <w:pPr>
              <w:spacing w:before="0"/>
              <w:rPr>
                <w:b/>
                <w:bCs/>
              </w:rPr>
            </w:pPr>
            <w:r w:rsidRPr="000F0299">
              <w:rPr>
                <w:b/>
                <w:bCs/>
              </w:rPr>
              <w:t>20</w:t>
            </w:r>
          </w:p>
        </w:tc>
        <w:tc>
          <w:tcPr>
            <w:tcW w:w="460" w:type="pct"/>
            <w:tcBorders>
              <w:top w:val="single" w:sz="2" w:space="0" w:color="auto"/>
              <w:left w:val="single" w:sz="2" w:space="0" w:color="auto"/>
              <w:bottom w:val="single" w:sz="2" w:space="0" w:color="auto"/>
              <w:right w:val="single" w:sz="2" w:space="0" w:color="auto"/>
            </w:tcBorders>
          </w:tcPr>
          <w:p w14:paraId="23CA136C" w14:textId="77777777" w:rsidR="00841714" w:rsidRPr="000F0299" w:rsidRDefault="00841714" w:rsidP="00841714">
            <w:pPr>
              <w:spacing w:before="0"/>
              <w:rPr>
                <w:b/>
                <w:bCs/>
              </w:rPr>
            </w:pPr>
            <w:r w:rsidRPr="000F0299">
              <w:rPr>
                <w:b/>
                <w:bCs/>
              </w:rPr>
              <w:t>31</w:t>
            </w:r>
          </w:p>
        </w:tc>
        <w:tc>
          <w:tcPr>
            <w:tcW w:w="537" w:type="pct"/>
            <w:tcBorders>
              <w:top w:val="single" w:sz="2" w:space="0" w:color="auto"/>
              <w:left w:val="single" w:sz="2" w:space="0" w:color="auto"/>
              <w:bottom w:val="single" w:sz="2" w:space="0" w:color="auto"/>
              <w:right w:val="single" w:sz="2" w:space="0" w:color="auto"/>
            </w:tcBorders>
          </w:tcPr>
          <w:p w14:paraId="1A57D6C0" w14:textId="77777777" w:rsidR="00841714" w:rsidRPr="000F0299" w:rsidRDefault="00841714" w:rsidP="00841714">
            <w:pPr>
              <w:spacing w:before="0"/>
              <w:rPr>
                <w:b/>
                <w:bCs/>
              </w:rPr>
            </w:pPr>
            <w:r w:rsidRPr="000F0299">
              <w:rPr>
                <w:b/>
                <w:bCs/>
              </w:rPr>
              <w:t>27</w:t>
            </w:r>
          </w:p>
        </w:tc>
        <w:tc>
          <w:tcPr>
            <w:tcW w:w="462" w:type="pct"/>
            <w:tcBorders>
              <w:top w:val="single" w:sz="2" w:space="0" w:color="auto"/>
              <w:left w:val="single" w:sz="2" w:space="0" w:color="auto"/>
              <w:bottom w:val="single" w:sz="2" w:space="0" w:color="auto"/>
              <w:right w:val="single" w:sz="2" w:space="0" w:color="auto"/>
            </w:tcBorders>
          </w:tcPr>
          <w:p w14:paraId="36D6464A" w14:textId="77777777" w:rsidR="00841714" w:rsidRPr="000F0299" w:rsidRDefault="00841714" w:rsidP="00841714">
            <w:pPr>
              <w:spacing w:before="0"/>
              <w:rPr>
                <w:b/>
                <w:bCs/>
              </w:rPr>
            </w:pPr>
            <w:r w:rsidRPr="000F0299">
              <w:rPr>
                <w:b/>
                <w:bCs/>
              </w:rPr>
              <w:t>32</w:t>
            </w:r>
          </w:p>
        </w:tc>
      </w:tr>
    </w:tbl>
    <w:p w14:paraId="765ADF6F" w14:textId="77777777" w:rsidR="00841714" w:rsidRPr="000F0299" w:rsidRDefault="00841714" w:rsidP="00841714">
      <w:pPr>
        <w:rPr>
          <w:lang w:eastAsia="de-DE"/>
        </w:rPr>
      </w:pPr>
      <w:r w:rsidRPr="000F0299">
        <w:t xml:space="preserve">Поред мера за које није било алтернатива, на основу спроведене анализе и остварених бодова по одабраним критеријумима за </w:t>
      </w:r>
      <w:r>
        <w:t>постизање</w:t>
      </w:r>
      <w:r w:rsidRPr="000F0299">
        <w:t xml:space="preserve"> циља 4.1 одабрана је додатно комбинација опције 3 и 5.</w:t>
      </w:r>
    </w:p>
    <w:p w14:paraId="173A987E" w14:textId="77777777" w:rsidR="00841714" w:rsidRPr="000F0299" w:rsidRDefault="00841714" w:rsidP="00841714">
      <w:pPr>
        <w:pStyle w:val="Heading4"/>
        <w:rPr>
          <w:lang w:val="sr-Cyrl-RS"/>
        </w:rPr>
      </w:pPr>
      <w:bookmarkStart w:id="223" w:name="_Toc51601605"/>
      <w:r w:rsidRPr="000F0299">
        <w:rPr>
          <w:lang w:val="sr-Cyrl-RS"/>
        </w:rPr>
        <w:t>Мере за циљ 4.1: Унапређен ниво одговорности и транспарентности на свим нивоима власти</w:t>
      </w:r>
      <w:bookmarkEnd w:id="223"/>
    </w:p>
    <w:p w14:paraId="3DF8D44B" w14:textId="77777777" w:rsidR="00841714" w:rsidRPr="000F0299" w:rsidRDefault="00841714" w:rsidP="00841714">
      <w:r w:rsidRPr="000F0299">
        <w:rPr>
          <w:b/>
          <w:bCs/>
          <w:lang w:eastAsia="de-DE"/>
        </w:rPr>
        <w:t xml:space="preserve">Мера 4.1.1 – </w:t>
      </w:r>
      <w:r w:rsidRPr="000F0299">
        <w:rPr>
          <w:b/>
          <w:bCs/>
        </w:rPr>
        <w:t>Успостављање системских решења за управљачку одговорност у органима јавне управе (повећање аутономије)</w:t>
      </w:r>
      <w:r w:rsidRPr="000F0299">
        <w:rPr>
          <w:lang w:eastAsia="de-DE"/>
        </w:rPr>
        <w:t xml:space="preserve">: Ова мера </w:t>
      </w:r>
      <w:r>
        <w:rPr>
          <w:lang w:eastAsia="de-DE"/>
        </w:rPr>
        <w:t xml:space="preserve">је усмерена на спровођење </w:t>
      </w:r>
      <w:r w:rsidRPr="000F0299">
        <w:t>анализа, мапирањ</w:t>
      </w:r>
      <w:r>
        <w:t>е</w:t>
      </w:r>
      <w:r w:rsidRPr="000F0299">
        <w:t xml:space="preserve"> постојећег стања у јавној управи и формулисањ</w:t>
      </w:r>
      <w:r>
        <w:t>е</w:t>
      </w:r>
      <w:r w:rsidRPr="000F0299">
        <w:t xml:space="preserve"> конкретних препорука за сва три стуба управљачке одговорности</w:t>
      </w:r>
      <w:r>
        <w:t xml:space="preserve"> – </w:t>
      </w:r>
      <w:r w:rsidRPr="000F0299">
        <w:t xml:space="preserve"> делегирање одговорности, јасне линије одговорности међу институцијама и мерење учинка на институционалним нивоу</w:t>
      </w:r>
      <w:r>
        <w:t xml:space="preserve">, као </w:t>
      </w:r>
      <w:r w:rsidRPr="000F0299">
        <w:t xml:space="preserve">и </w:t>
      </w:r>
      <w:r>
        <w:t xml:space="preserve">на </w:t>
      </w:r>
      <w:r w:rsidRPr="000F0299">
        <w:t>одговарајућ</w:t>
      </w:r>
      <w:r>
        <w:t>е</w:t>
      </w:r>
      <w:r w:rsidRPr="000F0299">
        <w:t xml:space="preserve"> измен</w:t>
      </w:r>
      <w:r>
        <w:t>е</w:t>
      </w:r>
      <w:r w:rsidRPr="000F0299">
        <w:t xml:space="preserve"> правног оквира</w:t>
      </w:r>
      <w:r>
        <w:t>, спровођење о</w:t>
      </w:r>
      <w:r w:rsidRPr="000F0299">
        <w:t>бук</w:t>
      </w:r>
      <w:r>
        <w:t>а</w:t>
      </w:r>
      <w:r w:rsidRPr="000F0299">
        <w:t>, размен</w:t>
      </w:r>
      <w:r>
        <w:t>у</w:t>
      </w:r>
      <w:r w:rsidRPr="000F0299">
        <w:t xml:space="preserve"> знања и искустава, израд</w:t>
      </w:r>
      <w:r>
        <w:t>у</w:t>
      </w:r>
      <w:r w:rsidRPr="000F0299">
        <w:t xml:space="preserve"> приручника</w:t>
      </w:r>
      <w:r>
        <w:t xml:space="preserve"> </w:t>
      </w:r>
      <w:r w:rsidRPr="000F0299">
        <w:t>и подизање свести руководилаца и запослених у јавној управи</w:t>
      </w:r>
      <w:r w:rsidRPr="000F0299">
        <w:rPr>
          <w:lang w:eastAsia="de-DE"/>
        </w:rPr>
        <w:t xml:space="preserve">. </w:t>
      </w:r>
      <w:r>
        <w:rPr>
          <w:lang w:eastAsia="de-DE"/>
        </w:rPr>
        <w:t>П</w:t>
      </w:r>
      <w:r w:rsidRPr="000F0299">
        <w:rPr>
          <w:lang w:eastAsia="de-DE"/>
        </w:rPr>
        <w:t xml:space="preserve">редвиђено је и </w:t>
      </w:r>
      <w:r>
        <w:rPr>
          <w:lang w:eastAsia="de-DE"/>
        </w:rPr>
        <w:t xml:space="preserve">да се </w:t>
      </w:r>
      <w:r w:rsidRPr="000F0299">
        <w:rPr>
          <w:lang w:eastAsia="de-DE"/>
        </w:rPr>
        <w:t>успостав</w:t>
      </w:r>
      <w:r>
        <w:rPr>
          <w:lang w:eastAsia="de-DE"/>
        </w:rPr>
        <w:t>и</w:t>
      </w:r>
      <w:r w:rsidRPr="000F0299">
        <w:rPr>
          <w:lang w:eastAsia="de-DE"/>
        </w:rPr>
        <w:t xml:space="preserve"> </w:t>
      </w:r>
      <w:r w:rsidRPr="000F0299">
        <w:t>Регист</w:t>
      </w:r>
      <w:r>
        <w:t>а</w:t>
      </w:r>
      <w:r w:rsidRPr="000F0299">
        <w:t xml:space="preserve">р ималаца јавних овлашћења, </w:t>
      </w:r>
      <w:r>
        <w:t xml:space="preserve">на основу којег би се водила </w:t>
      </w:r>
      <w:r w:rsidRPr="000F0299">
        <w:t>јединствен</w:t>
      </w:r>
      <w:r>
        <w:t>а</w:t>
      </w:r>
      <w:r w:rsidRPr="000F0299">
        <w:t xml:space="preserve"> евиденциј</w:t>
      </w:r>
      <w:r>
        <w:t>а</w:t>
      </w:r>
      <w:r w:rsidRPr="000F0299">
        <w:t xml:space="preserve"> органа јавне управе, врст</w:t>
      </w:r>
      <w:r>
        <w:t>а</w:t>
      </w:r>
      <w:r w:rsidRPr="000F0299">
        <w:t xml:space="preserve"> њихових надлежности и овлашћења, као и јасно </w:t>
      </w:r>
      <w:r>
        <w:t>утврдила</w:t>
      </w:r>
      <w:r w:rsidRPr="000F0299">
        <w:t xml:space="preserve"> вертикалн</w:t>
      </w:r>
      <w:r>
        <w:t>а</w:t>
      </w:r>
      <w:r w:rsidRPr="000F0299">
        <w:t xml:space="preserve"> линија одговорности. Предвиђен</w:t>
      </w:r>
      <w:r>
        <w:t>е</w:t>
      </w:r>
      <w:r w:rsidRPr="000F0299">
        <w:t xml:space="preserve"> </w:t>
      </w:r>
      <w:r>
        <w:t>активности</w:t>
      </w:r>
      <w:r w:rsidRPr="000F0299">
        <w:t xml:space="preserve"> треба да допринесу унапређењу управљачке одговорности у јавној управи. </w:t>
      </w:r>
    </w:p>
    <w:tbl>
      <w:tblPr>
        <w:tblW w:w="5000" w:type="pct"/>
        <w:tblLook w:val="00A0" w:firstRow="1" w:lastRow="0" w:firstColumn="1" w:lastColumn="0" w:noHBand="0" w:noVBand="0"/>
      </w:tblPr>
      <w:tblGrid>
        <w:gridCol w:w="340"/>
        <w:gridCol w:w="4618"/>
        <w:gridCol w:w="1867"/>
        <w:gridCol w:w="1867"/>
        <w:gridCol w:w="334"/>
      </w:tblGrid>
      <w:tr w:rsidR="00841714" w:rsidRPr="000F0299" w14:paraId="33C1A204" w14:textId="77777777" w:rsidTr="00841714">
        <w:trPr>
          <w:trHeight w:val="20"/>
        </w:trPr>
        <w:tc>
          <w:tcPr>
            <w:tcW w:w="189" w:type="pct"/>
            <w:tcBorders>
              <w:top w:val="single" w:sz="18" w:space="0" w:color="C00000"/>
              <w:left w:val="single" w:sz="18" w:space="0" w:color="C00000"/>
            </w:tcBorders>
            <w:shd w:val="clear" w:color="auto" w:fill="auto"/>
          </w:tcPr>
          <w:p w14:paraId="0DF515C5" w14:textId="77777777" w:rsidR="00841714" w:rsidRPr="000F0299" w:rsidRDefault="00841714" w:rsidP="00841714">
            <w:pPr>
              <w:spacing w:before="60"/>
              <w:ind w:firstLine="0"/>
              <w:rPr>
                <w:b/>
                <w:bCs/>
                <w:sz w:val="16"/>
                <w:szCs w:val="16"/>
              </w:rPr>
            </w:pPr>
          </w:p>
        </w:tc>
        <w:tc>
          <w:tcPr>
            <w:tcW w:w="2557" w:type="pct"/>
            <w:tcBorders>
              <w:top w:val="single" w:sz="18" w:space="0" w:color="C00000"/>
            </w:tcBorders>
            <w:shd w:val="clear" w:color="auto" w:fill="auto"/>
          </w:tcPr>
          <w:p w14:paraId="0E50D5D9" w14:textId="77777777" w:rsidR="00841714" w:rsidRPr="000F0299" w:rsidRDefault="00841714" w:rsidP="00841714">
            <w:pPr>
              <w:spacing w:before="60"/>
              <w:ind w:firstLine="0"/>
              <w:rPr>
                <w:b/>
                <w:bCs/>
                <w:sz w:val="16"/>
                <w:szCs w:val="16"/>
              </w:rPr>
            </w:pPr>
          </w:p>
        </w:tc>
        <w:tc>
          <w:tcPr>
            <w:tcW w:w="1034" w:type="pct"/>
            <w:tcBorders>
              <w:top w:val="single" w:sz="18" w:space="0" w:color="C00000"/>
            </w:tcBorders>
            <w:shd w:val="clear" w:color="auto" w:fill="auto"/>
            <w:vAlign w:val="center"/>
          </w:tcPr>
          <w:p w14:paraId="4E28B0E9" w14:textId="77777777" w:rsidR="00841714" w:rsidRPr="000F0299" w:rsidRDefault="00841714" w:rsidP="00841714">
            <w:pPr>
              <w:spacing w:before="60"/>
              <w:ind w:firstLine="0"/>
              <w:jc w:val="center"/>
              <w:rPr>
                <w:b/>
                <w:bCs/>
                <w:sz w:val="16"/>
                <w:szCs w:val="16"/>
              </w:rPr>
            </w:pPr>
          </w:p>
        </w:tc>
        <w:tc>
          <w:tcPr>
            <w:tcW w:w="1034" w:type="pct"/>
            <w:tcBorders>
              <w:top w:val="single" w:sz="18" w:space="0" w:color="C00000"/>
            </w:tcBorders>
            <w:shd w:val="clear" w:color="auto" w:fill="auto"/>
            <w:vAlign w:val="center"/>
          </w:tcPr>
          <w:p w14:paraId="0A17B4A3" w14:textId="77777777" w:rsidR="00841714" w:rsidRPr="000F0299" w:rsidRDefault="00841714" w:rsidP="00841714">
            <w:pPr>
              <w:spacing w:before="6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4A798A76" w14:textId="77777777" w:rsidR="00841714" w:rsidRPr="000F0299" w:rsidRDefault="00841714" w:rsidP="00841714">
            <w:pPr>
              <w:spacing w:before="60"/>
              <w:ind w:firstLine="0"/>
              <w:jc w:val="center"/>
              <w:rPr>
                <w:b/>
                <w:bCs/>
                <w:sz w:val="16"/>
                <w:szCs w:val="16"/>
              </w:rPr>
            </w:pPr>
          </w:p>
        </w:tc>
      </w:tr>
      <w:tr w:rsidR="00841714" w:rsidRPr="000F0299" w14:paraId="3B11B228" w14:textId="77777777" w:rsidTr="00841714">
        <w:trPr>
          <w:trHeight w:val="490"/>
        </w:trPr>
        <w:tc>
          <w:tcPr>
            <w:tcW w:w="189" w:type="pct"/>
            <w:tcBorders>
              <w:left w:val="single" w:sz="18" w:space="0" w:color="C00000"/>
            </w:tcBorders>
            <w:shd w:val="clear" w:color="auto" w:fill="auto"/>
          </w:tcPr>
          <w:p w14:paraId="2671426E" w14:textId="77777777" w:rsidR="00841714" w:rsidRPr="000F0299" w:rsidRDefault="00841714" w:rsidP="00841714">
            <w:pPr>
              <w:spacing w:before="60"/>
              <w:ind w:firstLine="0"/>
              <w:rPr>
                <w:b/>
                <w:bCs/>
              </w:rPr>
            </w:pPr>
          </w:p>
        </w:tc>
        <w:tc>
          <w:tcPr>
            <w:tcW w:w="2557" w:type="pct"/>
            <w:tcBorders>
              <w:left w:val="nil"/>
              <w:bottom w:val="single" w:sz="18" w:space="0" w:color="C00000"/>
              <w:right w:val="single" w:sz="18" w:space="0" w:color="D9D9D9" w:themeColor="background1" w:themeShade="D9"/>
            </w:tcBorders>
            <w:shd w:val="clear" w:color="auto" w:fill="auto"/>
          </w:tcPr>
          <w:p w14:paraId="620E3AAB" w14:textId="77777777" w:rsidR="00841714" w:rsidRPr="000F0299" w:rsidRDefault="00841714" w:rsidP="00841714">
            <w:pPr>
              <w:spacing w:before="6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56EDA19D" w14:textId="77777777" w:rsidR="00841714" w:rsidRPr="000F0299" w:rsidRDefault="00841714" w:rsidP="00841714">
            <w:pPr>
              <w:spacing w:before="6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755DE8A9" w14:textId="77777777" w:rsidR="00841714" w:rsidRPr="000F0299" w:rsidRDefault="00841714" w:rsidP="00841714">
            <w:pPr>
              <w:spacing w:before="60"/>
              <w:ind w:firstLine="0"/>
              <w:jc w:val="center"/>
              <w:rPr>
                <w:b/>
                <w:bCs/>
              </w:rPr>
            </w:pPr>
            <w:r w:rsidRPr="000F0299">
              <w:rPr>
                <w:b/>
                <w:bCs/>
              </w:rPr>
              <w:t>ЦВ</w:t>
            </w:r>
          </w:p>
        </w:tc>
        <w:tc>
          <w:tcPr>
            <w:tcW w:w="185" w:type="pct"/>
            <w:tcBorders>
              <w:right w:val="single" w:sz="18" w:space="0" w:color="C00000"/>
            </w:tcBorders>
            <w:shd w:val="clear" w:color="auto" w:fill="auto"/>
          </w:tcPr>
          <w:p w14:paraId="2EB3996D" w14:textId="77777777" w:rsidR="00841714" w:rsidRPr="000F0299" w:rsidRDefault="00841714" w:rsidP="00841714">
            <w:pPr>
              <w:spacing w:before="60"/>
              <w:ind w:firstLine="0"/>
              <w:jc w:val="center"/>
              <w:rPr>
                <w:b/>
                <w:bCs/>
              </w:rPr>
            </w:pPr>
          </w:p>
        </w:tc>
      </w:tr>
      <w:tr w:rsidR="00841714" w:rsidRPr="000F0299" w14:paraId="452050C7" w14:textId="77777777" w:rsidTr="00841714">
        <w:trPr>
          <w:trHeight w:val="380"/>
        </w:trPr>
        <w:tc>
          <w:tcPr>
            <w:tcW w:w="189" w:type="pct"/>
            <w:tcBorders>
              <w:left w:val="single" w:sz="18" w:space="0" w:color="C00000"/>
            </w:tcBorders>
            <w:shd w:val="clear" w:color="auto" w:fill="auto"/>
          </w:tcPr>
          <w:p w14:paraId="30EC6DEB" w14:textId="77777777" w:rsidR="00841714" w:rsidRPr="000F0299" w:rsidRDefault="00841714" w:rsidP="00841714">
            <w:pPr>
              <w:spacing w:before="60"/>
              <w:ind w:firstLine="0"/>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79418B7D" w14:textId="77777777" w:rsidR="00841714" w:rsidRPr="000F0299" w:rsidRDefault="00841714" w:rsidP="00841714">
            <w:pPr>
              <w:spacing w:before="60"/>
              <w:ind w:firstLine="0"/>
            </w:pPr>
            <w:r w:rsidRPr="000F0299">
              <w:t>Проценат органа јавне управе на централном нивоу у којима су овлашћен</w:t>
            </w:r>
            <w:r>
              <w:t>и</w:t>
            </w:r>
            <w:r w:rsidRPr="000F0299">
              <w:t xml:space="preserve"> службениц</w:t>
            </w:r>
            <w:r>
              <w:t>и</w:t>
            </w:r>
            <w:r w:rsidRPr="000F0299">
              <w:t xml:space="preserve"> за вођење управног поступка и одлучивање у управним стварима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62912050" w14:textId="77777777" w:rsidR="00841714" w:rsidRPr="000F0299" w:rsidRDefault="00841714" w:rsidP="00841714">
            <w:pPr>
              <w:spacing w:before="60"/>
              <w:ind w:firstLine="0"/>
            </w:pPr>
            <w:r w:rsidRPr="000F0299">
              <w:t>(2020): 23%</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74917819" w14:textId="77777777" w:rsidR="00841714" w:rsidRPr="000F0299" w:rsidRDefault="00841714" w:rsidP="00841714">
            <w:pPr>
              <w:spacing w:before="60"/>
              <w:ind w:firstLine="0"/>
            </w:pPr>
            <w:r w:rsidRPr="000F0299">
              <w:t>(2021): 25%</w:t>
            </w:r>
          </w:p>
          <w:p w14:paraId="0BB94B86" w14:textId="77777777" w:rsidR="00841714" w:rsidRPr="000F0299" w:rsidRDefault="00841714" w:rsidP="00841714">
            <w:pPr>
              <w:spacing w:before="60"/>
              <w:ind w:firstLine="0"/>
            </w:pPr>
            <w:r w:rsidRPr="000F0299">
              <w:t>(2022): 25%</w:t>
            </w:r>
          </w:p>
          <w:p w14:paraId="5E9311A5" w14:textId="77777777" w:rsidR="00841714" w:rsidRPr="000F0299" w:rsidRDefault="00841714" w:rsidP="00841714">
            <w:pPr>
              <w:spacing w:before="60"/>
              <w:ind w:firstLine="0"/>
            </w:pPr>
            <w:r w:rsidRPr="000F0299">
              <w:t>(2023): 25%</w:t>
            </w:r>
          </w:p>
          <w:p w14:paraId="4B18C919" w14:textId="77777777" w:rsidR="00841714" w:rsidRPr="000F0299" w:rsidRDefault="00841714" w:rsidP="00841714">
            <w:pPr>
              <w:spacing w:before="60"/>
              <w:ind w:firstLine="0"/>
            </w:pPr>
            <w:r w:rsidRPr="000F0299">
              <w:t>(2024): 35%</w:t>
            </w:r>
          </w:p>
          <w:p w14:paraId="10E79BFA" w14:textId="77777777" w:rsidR="00841714" w:rsidRPr="000F0299" w:rsidRDefault="00841714" w:rsidP="00841714">
            <w:pPr>
              <w:spacing w:before="60"/>
              <w:ind w:firstLine="0"/>
            </w:pPr>
            <w:r w:rsidRPr="000F0299">
              <w:t>(2025): 45%</w:t>
            </w:r>
          </w:p>
          <w:p w14:paraId="20577BC5" w14:textId="77777777" w:rsidR="00841714" w:rsidRPr="000F0299" w:rsidRDefault="00841714" w:rsidP="00841714">
            <w:pPr>
              <w:spacing w:before="60"/>
              <w:ind w:firstLine="0"/>
            </w:pPr>
            <w:r w:rsidRPr="000F0299">
              <w:t>(2027): -</w:t>
            </w:r>
          </w:p>
          <w:p w14:paraId="57340603" w14:textId="77777777" w:rsidR="00841714" w:rsidRPr="000F0299" w:rsidRDefault="00841714" w:rsidP="00841714">
            <w:pPr>
              <w:spacing w:before="60"/>
              <w:ind w:firstLine="0"/>
            </w:pPr>
            <w:r w:rsidRPr="000F0299">
              <w:t>(2030): -</w:t>
            </w:r>
          </w:p>
        </w:tc>
        <w:tc>
          <w:tcPr>
            <w:tcW w:w="185" w:type="pct"/>
            <w:tcBorders>
              <w:right w:val="single" w:sz="18" w:space="0" w:color="C00000"/>
            </w:tcBorders>
            <w:shd w:val="clear" w:color="auto" w:fill="auto"/>
          </w:tcPr>
          <w:p w14:paraId="01D78BF1" w14:textId="77777777" w:rsidR="00841714" w:rsidRPr="000F0299" w:rsidRDefault="00841714" w:rsidP="00841714">
            <w:pPr>
              <w:spacing w:before="60"/>
              <w:ind w:firstLine="0"/>
            </w:pPr>
          </w:p>
        </w:tc>
      </w:tr>
      <w:tr w:rsidR="00841714" w:rsidRPr="000F0299" w14:paraId="1D12EBBF" w14:textId="77777777" w:rsidTr="00841714">
        <w:trPr>
          <w:trHeight w:val="380"/>
        </w:trPr>
        <w:tc>
          <w:tcPr>
            <w:tcW w:w="189" w:type="pct"/>
            <w:tcBorders>
              <w:left w:val="single" w:sz="18" w:space="0" w:color="C00000"/>
            </w:tcBorders>
            <w:shd w:val="clear" w:color="auto" w:fill="auto"/>
          </w:tcPr>
          <w:p w14:paraId="03C7ACEE" w14:textId="77777777" w:rsidR="00841714" w:rsidRPr="000F0299" w:rsidRDefault="00841714" w:rsidP="00841714">
            <w:pPr>
              <w:spacing w:before="60"/>
              <w:ind w:firstLine="0"/>
            </w:pPr>
          </w:p>
        </w:tc>
        <w:tc>
          <w:tcPr>
            <w:tcW w:w="2557" w:type="pct"/>
            <w:tcBorders>
              <w:top w:val="single" w:sz="18" w:space="0" w:color="D9D9D9" w:themeColor="background1" w:themeShade="D9"/>
              <w:left w:val="nil"/>
              <w:bottom w:val="single" w:sz="18" w:space="0" w:color="D9D9D9" w:themeColor="background1" w:themeShade="D9"/>
              <w:right w:val="single" w:sz="18" w:space="0" w:color="D9D9D9" w:themeColor="background1" w:themeShade="D9"/>
            </w:tcBorders>
            <w:shd w:val="clear" w:color="auto" w:fill="auto"/>
          </w:tcPr>
          <w:p w14:paraId="1E41C748" w14:textId="77777777" w:rsidR="00841714" w:rsidRPr="000F0299" w:rsidRDefault="00841714" w:rsidP="00841714">
            <w:pPr>
              <w:spacing w:before="60"/>
              <w:ind w:firstLine="0"/>
            </w:pPr>
            <w:r w:rsidRPr="000F0299">
              <w:t>ЕУ Бенчмарк електронске управе – постојање кључних предуслова</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5C86DE0F" w14:textId="77777777" w:rsidR="00841714" w:rsidRPr="000F0299" w:rsidRDefault="00841714" w:rsidP="00841714">
            <w:pPr>
              <w:spacing w:before="60"/>
              <w:ind w:firstLine="0"/>
            </w:pPr>
            <w:r w:rsidRPr="000F0299">
              <w:t>(2020): 0%</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tcBorders>
            <w:shd w:val="clear" w:color="auto" w:fill="auto"/>
          </w:tcPr>
          <w:p w14:paraId="3D01DB89" w14:textId="77777777" w:rsidR="00841714" w:rsidRPr="000F0299" w:rsidRDefault="00841714" w:rsidP="00841714">
            <w:pPr>
              <w:spacing w:before="60"/>
              <w:ind w:firstLine="0"/>
            </w:pPr>
            <w:r w:rsidRPr="000F0299">
              <w:t>(2021): 5%</w:t>
            </w:r>
          </w:p>
          <w:p w14:paraId="0B4FFACD" w14:textId="77777777" w:rsidR="00841714" w:rsidRPr="000F0299" w:rsidRDefault="00841714" w:rsidP="00841714">
            <w:pPr>
              <w:spacing w:before="60"/>
              <w:ind w:firstLine="0"/>
            </w:pPr>
            <w:r w:rsidRPr="000F0299">
              <w:t>(2022): 10%</w:t>
            </w:r>
          </w:p>
          <w:p w14:paraId="165550C2" w14:textId="77777777" w:rsidR="00841714" w:rsidRPr="000F0299" w:rsidRDefault="00841714" w:rsidP="00841714">
            <w:pPr>
              <w:spacing w:before="60"/>
              <w:ind w:firstLine="0"/>
            </w:pPr>
            <w:r w:rsidRPr="000F0299">
              <w:t>(2023): 15%</w:t>
            </w:r>
          </w:p>
          <w:p w14:paraId="6207E47D" w14:textId="77777777" w:rsidR="00841714" w:rsidRPr="000F0299" w:rsidRDefault="00841714" w:rsidP="00841714">
            <w:pPr>
              <w:spacing w:before="60"/>
              <w:ind w:firstLine="0"/>
            </w:pPr>
            <w:r w:rsidRPr="000F0299">
              <w:t>(2024): 20%</w:t>
            </w:r>
          </w:p>
          <w:p w14:paraId="63D56A39" w14:textId="77777777" w:rsidR="00841714" w:rsidRPr="000F0299" w:rsidRDefault="00841714" w:rsidP="00841714">
            <w:pPr>
              <w:spacing w:before="60"/>
              <w:ind w:firstLine="0"/>
            </w:pPr>
            <w:r w:rsidRPr="000F0299">
              <w:t>(2025): 25%</w:t>
            </w:r>
          </w:p>
          <w:p w14:paraId="0D58EC3E" w14:textId="77777777" w:rsidR="00841714" w:rsidRPr="000F0299" w:rsidRDefault="00841714" w:rsidP="00841714">
            <w:pPr>
              <w:spacing w:before="60"/>
              <w:ind w:firstLine="0"/>
            </w:pPr>
            <w:r w:rsidRPr="000F0299">
              <w:t>(2027): -</w:t>
            </w:r>
          </w:p>
          <w:p w14:paraId="276BD0B4" w14:textId="77777777" w:rsidR="00841714" w:rsidRPr="000F0299" w:rsidRDefault="00841714" w:rsidP="00841714">
            <w:pPr>
              <w:spacing w:before="60"/>
              <w:ind w:firstLine="0"/>
            </w:pPr>
            <w:r w:rsidRPr="000F0299">
              <w:t>(2030): -</w:t>
            </w:r>
          </w:p>
        </w:tc>
        <w:tc>
          <w:tcPr>
            <w:tcW w:w="185" w:type="pct"/>
            <w:tcBorders>
              <w:right w:val="single" w:sz="18" w:space="0" w:color="C00000"/>
            </w:tcBorders>
            <w:shd w:val="clear" w:color="auto" w:fill="auto"/>
          </w:tcPr>
          <w:p w14:paraId="6E325C7C" w14:textId="77777777" w:rsidR="00841714" w:rsidRPr="000F0299" w:rsidRDefault="00841714" w:rsidP="00841714">
            <w:pPr>
              <w:spacing w:before="60"/>
              <w:ind w:firstLine="0"/>
            </w:pPr>
          </w:p>
        </w:tc>
      </w:tr>
      <w:tr w:rsidR="00841714" w:rsidRPr="000F0299" w14:paraId="24475B93" w14:textId="77777777" w:rsidTr="00841714">
        <w:trPr>
          <w:trHeight w:val="340"/>
        </w:trPr>
        <w:tc>
          <w:tcPr>
            <w:tcW w:w="189" w:type="pct"/>
            <w:tcBorders>
              <w:left w:val="single" w:sz="18" w:space="0" w:color="C00000"/>
              <w:bottom w:val="single" w:sz="18" w:space="0" w:color="C00000"/>
            </w:tcBorders>
            <w:shd w:val="clear" w:color="auto" w:fill="auto"/>
          </w:tcPr>
          <w:p w14:paraId="79EACB09" w14:textId="77777777" w:rsidR="00841714" w:rsidRPr="000F0299" w:rsidRDefault="00841714" w:rsidP="00841714">
            <w:pPr>
              <w:spacing w:before="60"/>
              <w:ind w:firstLine="0"/>
              <w:rPr>
                <w:sz w:val="16"/>
                <w:szCs w:val="16"/>
              </w:rPr>
            </w:pPr>
          </w:p>
        </w:tc>
        <w:tc>
          <w:tcPr>
            <w:tcW w:w="2557" w:type="pct"/>
            <w:tcBorders>
              <w:top w:val="single" w:sz="18" w:space="0" w:color="D9D9D9" w:themeColor="background1" w:themeShade="D9"/>
              <w:bottom w:val="single" w:sz="18" w:space="0" w:color="C00000"/>
            </w:tcBorders>
            <w:shd w:val="clear" w:color="auto" w:fill="auto"/>
          </w:tcPr>
          <w:p w14:paraId="3F7C1181" w14:textId="77777777" w:rsidR="00841714" w:rsidRPr="000F0299" w:rsidRDefault="00841714" w:rsidP="00841714">
            <w:pPr>
              <w:spacing w:before="6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15B857CF" w14:textId="77777777" w:rsidR="00841714" w:rsidRPr="000F0299" w:rsidRDefault="00841714" w:rsidP="00841714">
            <w:pPr>
              <w:spacing w:before="6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5C0D60C9" w14:textId="77777777" w:rsidR="00841714" w:rsidRPr="000F0299" w:rsidRDefault="00841714" w:rsidP="00841714">
            <w:pPr>
              <w:spacing w:before="60"/>
              <w:ind w:firstLine="0"/>
              <w:rPr>
                <w:sz w:val="16"/>
                <w:szCs w:val="16"/>
              </w:rPr>
            </w:pPr>
          </w:p>
        </w:tc>
        <w:tc>
          <w:tcPr>
            <w:tcW w:w="185" w:type="pct"/>
            <w:tcBorders>
              <w:bottom w:val="single" w:sz="18" w:space="0" w:color="C00000"/>
              <w:right w:val="single" w:sz="18" w:space="0" w:color="C00000"/>
            </w:tcBorders>
            <w:shd w:val="clear" w:color="auto" w:fill="auto"/>
          </w:tcPr>
          <w:p w14:paraId="0846EEE4" w14:textId="77777777" w:rsidR="00841714" w:rsidRPr="000F0299" w:rsidRDefault="00841714" w:rsidP="00841714">
            <w:pPr>
              <w:spacing w:before="60"/>
              <w:ind w:firstLine="0"/>
              <w:rPr>
                <w:sz w:val="16"/>
                <w:szCs w:val="16"/>
              </w:rPr>
            </w:pPr>
          </w:p>
        </w:tc>
      </w:tr>
    </w:tbl>
    <w:p w14:paraId="6090D976" w14:textId="77777777" w:rsidR="00841714" w:rsidRPr="000F0299" w:rsidRDefault="00841714" w:rsidP="00841714"/>
    <w:p w14:paraId="2FF37383" w14:textId="77777777" w:rsidR="00841714" w:rsidRPr="000F0299" w:rsidRDefault="00841714" w:rsidP="00841714">
      <w:pPr>
        <w:suppressAutoHyphens w:val="0"/>
        <w:autoSpaceDN/>
        <w:spacing w:before="0" w:after="160" w:line="259" w:lineRule="auto"/>
        <w:ind w:firstLine="0"/>
        <w:jc w:val="left"/>
        <w:textAlignment w:val="auto"/>
      </w:pPr>
      <w:r w:rsidRPr="000F0299">
        <w:br w:type="page"/>
      </w:r>
    </w:p>
    <w:p w14:paraId="29A334CB" w14:textId="77777777" w:rsidR="00841714" w:rsidRPr="000F0299" w:rsidRDefault="00841714" w:rsidP="00841714">
      <w:pPr>
        <w:rPr>
          <w:rFonts w:eastAsia="Times New Roman"/>
          <w:lang w:eastAsia="de-DE"/>
        </w:rPr>
      </w:pPr>
      <w:r w:rsidRPr="000F0299">
        <w:rPr>
          <w:rFonts w:eastAsia="Times New Roman"/>
          <w:b/>
          <w:bCs/>
          <w:lang w:eastAsia="de-DE"/>
        </w:rPr>
        <w:t xml:space="preserve">Мера 4.1.2 – </w:t>
      </w:r>
      <w:r w:rsidRPr="000F0299">
        <w:rPr>
          <w:b/>
          <w:bCs/>
        </w:rPr>
        <w:t>Унапређење вертикалног и хоризонталног система контроле и праћења рада у јавној управи (Успостављен механизам за управљање према учинку органа јавне управе)</w:t>
      </w:r>
      <w:r w:rsidRPr="000F0299">
        <w:rPr>
          <w:rFonts w:eastAsia="Times New Roman"/>
          <w:lang w:eastAsia="de-DE"/>
        </w:rPr>
        <w:t>: Управљање према учинку</w:t>
      </w:r>
      <w:r>
        <w:rPr>
          <w:rFonts w:eastAsia="Times New Roman"/>
          <w:lang w:eastAsia="de-DE"/>
        </w:rPr>
        <w:t xml:space="preserve"> односно резултатима</w:t>
      </w:r>
      <w:r w:rsidRPr="000F0299">
        <w:rPr>
          <w:rFonts w:eastAsia="Times New Roman"/>
          <w:lang w:eastAsia="de-DE"/>
        </w:rPr>
        <w:t xml:space="preserve"> претпоставља да сваки орган јавне управе </w:t>
      </w:r>
      <w:r>
        <w:rPr>
          <w:rFonts w:eastAsia="Times New Roman"/>
          <w:lang w:eastAsia="de-DE"/>
        </w:rPr>
        <w:t>брине</w:t>
      </w:r>
      <w:r w:rsidRPr="000F0299">
        <w:rPr>
          <w:rFonts w:eastAsia="Times New Roman"/>
          <w:lang w:eastAsia="de-DE"/>
        </w:rPr>
        <w:t xml:space="preserve"> о спровођењу мера и активности из планских докумената за које је задужен и којима </w:t>
      </w:r>
      <w:r>
        <w:rPr>
          <w:rFonts w:eastAsia="Times New Roman"/>
          <w:lang w:eastAsia="de-DE"/>
        </w:rPr>
        <w:t>постиже утврђене</w:t>
      </w:r>
      <w:r w:rsidRPr="000F0299">
        <w:rPr>
          <w:rFonts w:eastAsia="Times New Roman"/>
          <w:lang w:eastAsia="de-DE"/>
        </w:rPr>
        <w:t xml:space="preserve"> циљеве, односно да у синергији са осталим органима јавне управе доприноси достизању планираних друштвених промена. Кључ успешности управљања према учинку јесте мерење и </w:t>
      </w:r>
      <w:r>
        <w:rPr>
          <w:rFonts w:eastAsia="Times New Roman"/>
          <w:lang w:eastAsia="de-DE"/>
        </w:rPr>
        <w:t>вредновање</w:t>
      </w:r>
      <w:r w:rsidRPr="000F0299">
        <w:rPr>
          <w:rFonts w:eastAsia="Times New Roman"/>
          <w:lang w:eastAsia="de-DE"/>
        </w:rPr>
        <w:t xml:space="preserve"> резултата, исхода и ефеката </w:t>
      </w:r>
      <w:r>
        <w:rPr>
          <w:rFonts w:eastAsia="Times New Roman"/>
          <w:lang w:eastAsia="de-DE"/>
        </w:rPr>
        <w:t>спровођења докумената</w:t>
      </w:r>
      <w:r w:rsidRPr="000F0299">
        <w:rPr>
          <w:rFonts w:eastAsia="Times New Roman"/>
          <w:lang w:eastAsia="de-DE"/>
        </w:rPr>
        <w:t xml:space="preserve"> јавних политика током целокупног </w:t>
      </w:r>
      <w:r>
        <w:rPr>
          <w:rFonts w:eastAsia="Times New Roman"/>
          <w:lang w:eastAsia="de-DE"/>
        </w:rPr>
        <w:t xml:space="preserve">тог </w:t>
      </w:r>
      <w:r w:rsidRPr="000F0299">
        <w:rPr>
          <w:rFonts w:eastAsia="Times New Roman"/>
          <w:lang w:eastAsia="de-DE"/>
        </w:rPr>
        <w:t>процеса</w:t>
      </w:r>
      <w:r>
        <w:rPr>
          <w:rFonts w:eastAsia="Times New Roman"/>
          <w:lang w:eastAsia="de-DE"/>
        </w:rPr>
        <w:t>. Мера је усмерена на</w:t>
      </w:r>
      <w:r w:rsidRPr="000F0299">
        <w:rPr>
          <w:rFonts w:eastAsia="Times New Roman"/>
          <w:lang w:eastAsia="de-DE"/>
        </w:rPr>
        <w:t xml:space="preserve"> успостав</w:t>
      </w:r>
      <w:r>
        <w:rPr>
          <w:rFonts w:eastAsia="Times New Roman"/>
          <w:lang w:eastAsia="de-DE"/>
        </w:rPr>
        <w:t>љање</w:t>
      </w:r>
      <w:r w:rsidRPr="000F0299">
        <w:rPr>
          <w:rFonts w:eastAsia="Times New Roman"/>
          <w:lang w:eastAsia="de-DE"/>
        </w:rPr>
        <w:t xml:space="preserve"> квалитет</w:t>
      </w:r>
      <w:r>
        <w:rPr>
          <w:rFonts w:eastAsia="Times New Roman"/>
          <w:lang w:eastAsia="de-DE"/>
        </w:rPr>
        <w:t>ног</w:t>
      </w:r>
      <w:r w:rsidRPr="000F0299">
        <w:rPr>
          <w:rFonts w:eastAsia="Times New Roman"/>
          <w:lang w:eastAsia="de-DE"/>
        </w:rPr>
        <w:t xml:space="preserve"> систем</w:t>
      </w:r>
      <w:r>
        <w:rPr>
          <w:rFonts w:eastAsia="Times New Roman"/>
          <w:lang w:eastAsia="de-DE"/>
        </w:rPr>
        <w:t>а</w:t>
      </w:r>
      <w:r w:rsidRPr="000F0299">
        <w:rPr>
          <w:rFonts w:eastAsia="Times New Roman"/>
          <w:lang w:eastAsia="de-DE"/>
        </w:rPr>
        <w:t xml:space="preserve"> надзора како на централном, тако и на нивоу појединачних органа јавне управе. </w:t>
      </w:r>
    </w:p>
    <w:tbl>
      <w:tblPr>
        <w:tblW w:w="5000" w:type="pct"/>
        <w:tblLook w:val="00A0" w:firstRow="1" w:lastRow="0" w:firstColumn="1" w:lastColumn="0" w:noHBand="0" w:noVBand="0"/>
      </w:tblPr>
      <w:tblGrid>
        <w:gridCol w:w="340"/>
        <w:gridCol w:w="4618"/>
        <w:gridCol w:w="1867"/>
        <w:gridCol w:w="1867"/>
        <w:gridCol w:w="334"/>
      </w:tblGrid>
      <w:tr w:rsidR="00841714" w:rsidRPr="000F0299" w14:paraId="106F9928" w14:textId="77777777" w:rsidTr="00841714">
        <w:trPr>
          <w:trHeight w:val="20"/>
        </w:trPr>
        <w:tc>
          <w:tcPr>
            <w:tcW w:w="189" w:type="pct"/>
            <w:tcBorders>
              <w:top w:val="single" w:sz="18" w:space="0" w:color="C00000"/>
              <w:left w:val="single" w:sz="18" w:space="0" w:color="C00000"/>
            </w:tcBorders>
            <w:shd w:val="clear" w:color="auto" w:fill="auto"/>
          </w:tcPr>
          <w:p w14:paraId="752D1F2B" w14:textId="77777777" w:rsidR="00841714" w:rsidRPr="000F0299" w:rsidRDefault="00841714" w:rsidP="00841714">
            <w:pPr>
              <w:spacing w:before="60"/>
              <w:ind w:firstLine="0"/>
              <w:rPr>
                <w:b/>
                <w:bCs/>
                <w:sz w:val="16"/>
                <w:szCs w:val="16"/>
              </w:rPr>
            </w:pPr>
          </w:p>
        </w:tc>
        <w:tc>
          <w:tcPr>
            <w:tcW w:w="2557" w:type="pct"/>
            <w:tcBorders>
              <w:top w:val="single" w:sz="18" w:space="0" w:color="C00000"/>
            </w:tcBorders>
            <w:shd w:val="clear" w:color="auto" w:fill="auto"/>
          </w:tcPr>
          <w:p w14:paraId="5F11A324" w14:textId="77777777" w:rsidR="00841714" w:rsidRPr="000F0299" w:rsidRDefault="00841714" w:rsidP="00841714">
            <w:pPr>
              <w:spacing w:before="60"/>
              <w:ind w:firstLine="0"/>
              <w:rPr>
                <w:b/>
                <w:bCs/>
                <w:sz w:val="16"/>
                <w:szCs w:val="16"/>
              </w:rPr>
            </w:pPr>
          </w:p>
        </w:tc>
        <w:tc>
          <w:tcPr>
            <w:tcW w:w="1034" w:type="pct"/>
            <w:tcBorders>
              <w:top w:val="single" w:sz="18" w:space="0" w:color="C00000"/>
            </w:tcBorders>
            <w:shd w:val="clear" w:color="auto" w:fill="auto"/>
            <w:vAlign w:val="center"/>
          </w:tcPr>
          <w:p w14:paraId="42AC72EC" w14:textId="77777777" w:rsidR="00841714" w:rsidRPr="000F0299" w:rsidRDefault="00841714" w:rsidP="00841714">
            <w:pPr>
              <w:spacing w:before="60"/>
              <w:ind w:firstLine="0"/>
              <w:jc w:val="center"/>
              <w:rPr>
                <w:b/>
                <w:bCs/>
                <w:sz w:val="16"/>
                <w:szCs w:val="16"/>
              </w:rPr>
            </w:pPr>
          </w:p>
        </w:tc>
        <w:tc>
          <w:tcPr>
            <w:tcW w:w="1034" w:type="pct"/>
            <w:tcBorders>
              <w:top w:val="single" w:sz="18" w:space="0" w:color="C00000"/>
            </w:tcBorders>
            <w:shd w:val="clear" w:color="auto" w:fill="auto"/>
            <w:vAlign w:val="center"/>
          </w:tcPr>
          <w:p w14:paraId="6CC18F37" w14:textId="77777777" w:rsidR="00841714" w:rsidRPr="000F0299" w:rsidRDefault="00841714" w:rsidP="00841714">
            <w:pPr>
              <w:spacing w:before="6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58A015C2" w14:textId="77777777" w:rsidR="00841714" w:rsidRPr="000F0299" w:rsidRDefault="00841714" w:rsidP="00841714">
            <w:pPr>
              <w:spacing w:before="60"/>
              <w:ind w:firstLine="0"/>
              <w:jc w:val="center"/>
              <w:rPr>
                <w:b/>
                <w:bCs/>
                <w:sz w:val="16"/>
                <w:szCs w:val="16"/>
              </w:rPr>
            </w:pPr>
          </w:p>
        </w:tc>
      </w:tr>
      <w:tr w:rsidR="00841714" w:rsidRPr="000F0299" w14:paraId="576D3D8F" w14:textId="77777777" w:rsidTr="00841714">
        <w:trPr>
          <w:trHeight w:val="490"/>
        </w:trPr>
        <w:tc>
          <w:tcPr>
            <w:tcW w:w="189" w:type="pct"/>
            <w:tcBorders>
              <w:left w:val="single" w:sz="18" w:space="0" w:color="C00000"/>
            </w:tcBorders>
            <w:shd w:val="clear" w:color="auto" w:fill="auto"/>
          </w:tcPr>
          <w:p w14:paraId="245359AB" w14:textId="77777777" w:rsidR="00841714" w:rsidRPr="000F0299" w:rsidRDefault="00841714" w:rsidP="00841714">
            <w:pPr>
              <w:spacing w:before="60"/>
              <w:ind w:firstLine="0"/>
              <w:rPr>
                <w:b/>
                <w:bCs/>
              </w:rPr>
            </w:pPr>
          </w:p>
        </w:tc>
        <w:tc>
          <w:tcPr>
            <w:tcW w:w="2557" w:type="pct"/>
            <w:tcBorders>
              <w:left w:val="nil"/>
              <w:bottom w:val="single" w:sz="18" w:space="0" w:color="C00000"/>
              <w:right w:val="single" w:sz="18" w:space="0" w:color="D9D9D9" w:themeColor="background1" w:themeShade="D9"/>
            </w:tcBorders>
            <w:shd w:val="clear" w:color="auto" w:fill="auto"/>
          </w:tcPr>
          <w:p w14:paraId="2CA3A933" w14:textId="77777777" w:rsidR="00841714" w:rsidRPr="000F0299" w:rsidRDefault="00841714" w:rsidP="00841714">
            <w:pPr>
              <w:spacing w:before="6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1D9EC639" w14:textId="77777777" w:rsidR="00841714" w:rsidRPr="000F0299" w:rsidRDefault="00841714" w:rsidP="00841714">
            <w:pPr>
              <w:spacing w:before="6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6F273120" w14:textId="77777777" w:rsidR="00841714" w:rsidRPr="000F0299" w:rsidRDefault="00841714" w:rsidP="00841714">
            <w:pPr>
              <w:spacing w:before="60"/>
              <w:ind w:firstLine="0"/>
              <w:jc w:val="center"/>
              <w:rPr>
                <w:b/>
                <w:bCs/>
              </w:rPr>
            </w:pPr>
            <w:r w:rsidRPr="000F0299">
              <w:rPr>
                <w:b/>
                <w:bCs/>
              </w:rPr>
              <w:t>ЦВ</w:t>
            </w:r>
          </w:p>
        </w:tc>
        <w:tc>
          <w:tcPr>
            <w:tcW w:w="185" w:type="pct"/>
            <w:tcBorders>
              <w:right w:val="single" w:sz="18" w:space="0" w:color="C00000"/>
            </w:tcBorders>
            <w:shd w:val="clear" w:color="auto" w:fill="auto"/>
          </w:tcPr>
          <w:p w14:paraId="4D949036" w14:textId="77777777" w:rsidR="00841714" w:rsidRPr="000F0299" w:rsidRDefault="00841714" w:rsidP="00841714">
            <w:pPr>
              <w:spacing w:before="60"/>
              <w:ind w:firstLine="0"/>
              <w:jc w:val="center"/>
              <w:rPr>
                <w:b/>
                <w:bCs/>
              </w:rPr>
            </w:pPr>
          </w:p>
        </w:tc>
      </w:tr>
      <w:tr w:rsidR="00841714" w:rsidRPr="000F0299" w14:paraId="6DC1EF57" w14:textId="77777777" w:rsidTr="00841714">
        <w:trPr>
          <w:trHeight w:val="380"/>
        </w:trPr>
        <w:tc>
          <w:tcPr>
            <w:tcW w:w="189" w:type="pct"/>
            <w:tcBorders>
              <w:left w:val="single" w:sz="18" w:space="0" w:color="C00000"/>
            </w:tcBorders>
            <w:shd w:val="clear" w:color="auto" w:fill="auto"/>
          </w:tcPr>
          <w:p w14:paraId="14DF7DE7" w14:textId="77777777" w:rsidR="00841714" w:rsidRPr="000F0299" w:rsidRDefault="00841714" w:rsidP="00841714">
            <w:pPr>
              <w:spacing w:before="60"/>
              <w:ind w:firstLine="0"/>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5CEDD06C" w14:textId="77777777" w:rsidR="00841714" w:rsidRPr="000F0299" w:rsidRDefault="00841714" w:rsidP="00841714">
            <w:pPr>
              <w:spacing w:before="60"/>
              <w:ind w:firstLine="0"/>
            </w:pPr>
            <w:r w:rsidRPr="000F0299">
              <w:t xml:space="preserve">Проценат приоритетних циљева из </w:t>
            </w:r>
            <w:r>
              <w:t>АПСПВ</w:t>
            </w:r>
            <w:r w:rsidRPr="000F0299">
              <w:t xml:space="preserve"> који се односе на орган јавне управе, а који су узети у обзир приликом припреме средњорочних планова органа јавне управе на централном нивоу</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2A61A058" w14:textId="77777777" w:rsidR="00841714" w:rsidRPr="000F0299" w:rsidRDefault="00841714" w:rsidP="00841714">
            <w:pPr>
              <w:spacing w:before="60"/>
              <w:ind w:firstLine="0"/>
            </w:pPr>
            <w:r w:rsidRPr="000F0299">
              <w:t>(2020): 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7E511307" w14:textId="77777777" w:rsidR="00841714" w:rsidRPr="000F0299" w:rsidRDefault="00841714" w:rsidP="00841714">
            <w:pPr>
              <w:spacing w:before="60"/>
              <w:ind w:firstLine="0"/>
            </w:pPr>
            <w:r w:rsidRPr="000F0299">
              <w:t>(2021): 25%</w:t>
            </w:r>
          </w:p>
          <w:p w14:paraId="0753E331" w14:textId="77777777" w:rsidR="00841714" w:rsidRPr="000F0299" w:rsidRDefault="00841714" w:rsidP="00841714">
            <w:pPr>
              <w:spacing w:before="60"/>
              <w:ind w:firstLine="0"/>
            </w:pPr>
            <w:r w:rsidRPr="000F0299">
              <w:t>(2022): 30%</w:t>
            </w:r>
          </w:p>
          <w:p w14:paraId="383F74CA" w14:textId="77777777" w:rsidR="00841714" w:rsidRPr="000F0299" w:rsidRDefault="00841714" w:rsidP="00841714">
            <w:pPr>
              <w:spacing w:before="60"/>
              <w:ind w:firstLine="0"/>
            </w:pPr>
            <w:r w:rsidRPr="000F0299">
              <w:t>(2023): 35%</w:t>
            </w:r>
          </w:p>
          <w:p w14:paraId="757046BE" w14:textId="77777777" w:rsidR="00841714" w:rsidRPr="000F0299" w:rsidRDefault="00841714" w:rsidP="00841714">
            <w:pPr>
              <w:spacing w:before="60"/>
              <w:ind w:firstLine="0"/>
            </w:pPr>
            <w:r w:rsidRPr="000F0299">
              <w:t>(2024): 40%</w:t>
            </w:r>
          </w:p>
          <w:p w14:paraId="6F56CD4C" w14:textId="77777777" w:rsidR="00841714" w:rsidRPr="000F0299" w:rsidRDefault="00841714" w:rsidP="00841714">
            <w:pPr>
              <w:spacing w:before="60"/>
              <w:ind w:firstLine="0"/>
            </w:pPr>
            <w:r w:rsidRPr="000F0299">
              <w:t>(2025): 45%</w:t>
            </w:r>
          </w:p>
          <w:p w14:paraId="700EDA90" w14:textId="77777777" w:rsidR="00841714" w:rsidRPr="000F0299" w:rsidRDefault="00841714" w:rsidP="00841714">
            <w:pPr>
              <w:spacing w:before="60"/>
              <w:ind w:firstLine="0"/>
            </w:pPr>
            <w:r w:rsidRPr="000F0299">
              <w:t>(2027): -</w:t>
            </w:r>
          </w:p>
          <w:p w14:paraId="04E3AD31" w14:textId="77777777" w:rsidR="00841714" w:rsidRPr="000F0299" w:rsidRDefault="00841714" w:rsidP="00841714">
            <w:pPr>
              <w:spacing w:before="60"/>
              <w:ind w:firstLine="0"/>
            </w:pPr>
            <w:r w:rsidRPr="000F0299">
              <w:t>(2030): -</w:t>
            </w:r>
          </w:p>
        </w:tc>
        <w:tc>
          <w:tcPr>
            <w:tcW w:w="185" w:type="pct"/>
            <w:tcBorders>
              <w:right w:val="single" w:sz="18" w:space="0" w:color="C00000"/>
            </w:tcBorders>
            <w:shd w:val="clear" w:color="auto" w:fill="auto"/>
          </w:tcPr>
          <w:p w14:paraId="2D77F36A" w14:textId="77777777" w:rsidR="00841714" w:rsidRPr="000F0299" w:rsidRDefault="00841714" w:rsidP="00841714">
            <w:pPr>
              <w:spacing w:before="60"/>
              <w:ind w:firstLine="0"/>
            </w:pPr>
          </w:p>
        </w:tc>
      </w:tr>
      <w:tr w:rsidR="00841714" w:rsidRPr="000F0299" w14:paraId="3B04AF63" w14:textId="77777777" w:rsidTr="00841714">
        <w:trPr>
          <w:trHeight w:val="380"/>
        </w:trPr>
        <w:tc>
          <w:tcPr>
            <w:tcW w:w="189" w:type="pct"/>
            <w:tcBorders>
              <w:left w:val="single" w:sz="18" w:space="0" w:color="C00000"/>
            </w:tcBorders>
            <w:shd w:val="clear" w:color="auto" w:fill="auto"/>
          </w:tcPr>
          <w:p w14:paraId="4407C189" w14:textId="77777777" w:rsidR="00841714" w:rsidRPr="000F0299" w:rsidRDefault="00841714" w:rsidP="00841714">
            <w:pPr>
              <w:spacing w:before="60"/>
              <w:ind w:firstLine="0"/>
            </w:pPr>
          </w:p>
        </w:tc>
        <w:tc>
          <w:tcPr>
            <w:tcW w:w="2557" w:type="pct"/>
            <w:tcBorders>
              <w:top w:val="single" w:sz="18" w:space="0" w:color="D9D9D9" w:themeColor="background1" w:themeShade="D9"/>
              <w:left w:val="nil"/>
              <w:bottom w:val="single" w:sz="18" w:space="0" w:color="D9D9D9" w:themeColor="background1" w:themeShade="D9"/>
              <w:right w:val="single" w:sz="18" w:space="0" w:color="D9D9D9" w:themeColor="background1" w:themeShade="D9"/>
            </w:tcBorders>
            <w:shd w:val="clear" w:color="auto" w:fill="auto"/>
          </w:tcPr>
          <w:p w14:paraId="78987204" w14:textId="77777777" w:rsidR="00841714" w:rsidRPr="000F0299" w:rsidRDefault="00841714" w:rsidP="00841714">
            <w:pPr>
              <w:spacing w:before="60"/>
              <w:ind w:firstLine="0"/>
            </w:pPr>
            <w:r w:rsidRPr="000F0299">
              <w:t xml:space="preserve">Проценат органа јавне управе на централном нивоу чији су руководиоци похађали обуке о примени јединствене методологије за управљање </w:t>
            </w:r>
            <w:r>
              <w:t xml:space="preserve">према </w:t>
            </w:r>
            <w:r w:rsidRPr="000F0299">
              <w:t>учинк</w:t>
            </w:r>
            <w:r>
              <w:t>у</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0B5B0E13" w14:textId="77777777" w:rsidR="00841714" w:rsidRPr="000F0299" w:rsidRDefault="00841714" w:rsidP="00841714">
            <w:pPr>
              <w:spacing w:before="60"/>
              <w:ind w:firstLine="0"/>
            </w:pPr>
            <w:r w:rsidRPr="000F0299">
              <w:t>(2020): 0%</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tcBorders>
            <w:shd w:val="clear" w:color="auto" w:fill="auto"/>
          </w:tcPr>
          <w:p w14:paraId="3F37A3E1" w14:textId="77777777" w:rsidR="00841714" w:rsidRPr="000F0299" w:rsidRDefault="00841714" w:rsidP="00841714">
            <w:pPr>
              <w:spacing w:before="60"/>
              <w:ind w:firstLine="0"/>
            </w:pPr>
            <w:r w:rsidRPr="000F0299">
              <w:t>(2021): 0%</w:t>
            </w:r>
          </w:p>
          <w:p w14:paraId="5496B253" w14:textId="77777777" w:rsidR="00841714" w:rsidRPr="000F0299" w:rsidRDefault="00841714" w:rsidP="00841714">
            <w:pPr>
              <w:spacing w:before="60"/>
              <w:ind w:firstLine="0"/>
            </w:pPr>
            <w:r w:rsidRPr="000F0299">
              <w:t>(2022): 0%</w:t>
            </w:r>
          </w:p>
          <w:p w14:paraId="3443EDD9" w14:textId="77777777" w:rsidR="00841714" w:rsidRPr="000F0299" w:rsidRDefault="00841714" w:rsidP="00841714">
            <w:pPr>
              <w:spacing w:before="60"/>
              <w:ind w:firstLine="0"/>
            </w:pPr>
            <w:r w:rsidRPr="000F0299">
              <w:t>(2023): 0%</w:t>
            </w:r>
          </w:p>
          <w:p w14:paraId="2D08738D" w14:textId="77777777" w:rsidR="00841714" w:rsidRPr="000F0299" w:rsidRDefault="00841714" w:rsidP="00841714">
            <w:pPr>
              <w:spacing w:before="60"/>
              <w:ind w:firstLine="0"/>
            </w:pPr>
            <w:r w:rsidRPr="000F0299">
              <w:t>(2024): 3%</w:t>
            </w:r>
          </w:p>
          <w:p w14:paraId="3845BA45" w14:textId="77777777" w:rsidR="00841714" w:rsidRPr="000F0299" w:rsidRDefault="00841714" w:rsidP="00841714">
            <w:pPr>
              <w:spacing w:before="60"/>
              <w:ind w:firstLine="0"/>
            </w:pPr>
            <w:r w:rsidRPr="000F0299">
              <w:t>(2025): 5%</w:t>
            </w:r>
          </w:p>
          <w:p w14:paraId="6607BEEF" w14:textId="77777777" w:rsidR="00841714" w:rsidRPr="000F0299" w:rsidRDefault="00841714" w:rsidP="00841714">
            <w:pPr>
              <w:spacing w:before="60"/>
              <w:ind w:firstLine="0"/>
            </w:pPr>
            <w:r w:rsidRPr="000F0299">
              <w:t>(2027): -</w:t>
            </w:r>
          </w:p>
          <w:p w14:paraId="5234B6CE" w14:textId="77777777" w:rsidR="00841714" w:rsidRPr="000F0299" w:rsidRDefault="00841714" w:rsidP="00841714">
            <w:pPr>
              <w:spacing w:before="60"/>
              <w:ind w:firstLine="0"/>
            </w:pPr>
            <w:r w:rsidRPr="000F0299">
              <w:t>(2030): -</w:t>
            </w:r>
          </w:p>
        </w:tc>
        <w:tc>
          <w:tcPr>
            <w:tcW w:w="185" w:type="pct"/>
            <w:tcBorders>
              <w:right w:val="single" w:sz="18" w:space="0" w:color="C00000"/>
            </w:tcBorders>
            <w:shd w:val="clear" w:color="auto" w:fill="auto"/>
          </w:tcPr>
          <w:p w14:paraId="4B55F0D3" w14:textId="77777777" w:rsidR="00841714" w:rsidRPr="000F0299" w:rsidRDefault="00841714" w:rsidP="00841714">
            <w:pPr>
              <w:spacing w:before="60"/>
              <w:ind w:firstLine="0"/>
            </w:pPr>
          </w:p>
        </w:tc>
      </w:tr>
      <w:tr w:rsidR="00841714" w:rsidRPr="000F0299" w14:paraId="6518EAC2" w14:textId="77777777" w:rsidTr="00841714">
        <w:trPr>
          <w:trHeight w:val="340"/>
        </w:trPr>
        <w:tc>
          <w:tcPr>
            <w:tcW w:w="189" w:type="pct"/>
            <w:tcBorders>
              <w:left w:val="single" w:sz="18" w:space="0" w:color="C00000"/>
              <w:bottom w:val="single" w:sz="18" w:space="0" w:color="C00000"/>
            </w:tcBorders>
            <w:shd w:val="clear" w:color="auto" w:fill="auto"/>
          </w:tcPr>
          <w:p w14:paraId="3DC92F8C" w14:textId="77777777" w:rsidR="00841714" w:rsidRPr="000F0299" w:rsidRDefault="00841714" w:rsidP="00841714">
            <w:pPr>
              <w:spacing w:before="60"/>
              <w:ind w:firstLine="0"/>
              <w:rPr>
                <w:sz w:val="16"/>
                <w:szCs w:val="16"/>
              </w:rPr>
            </w:pPr>
          </w:p>
        </w:tc>
        <w:tc>
          <w:tcPr>
            <w:tcW w:w="2557" w:type="pct"/>
            <w:tcBorders>
              <w:top w:val="single" w:sz="18" w:space="0" w:color="D9D9D9" w:themeColor="background1" w:themeShade="D9"/>
              <w:bottom w:val="single" w:sz="18" w:space="0" w:color="C00000"/>
            </w:tcBorders>
            <w:shd w:val="clear" w:color="auto" w:fill="auto"/>
          </w:tcPr>
          <w:p w14:paraId="6A31EBBE" w14:textId="77777777" w:rsidR="00841714" w:rsidRPr="000F0299" w:rsidRDefault="00841714" w:rsidP="00841714">
            <w:pPr>
              <w:spacing w:before="6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182DC8B8" w14:textId="77777777" w:rsidR="00841714" w:rsidRPr="000F0299" w:rsidRDefault="00841714" w:rsidP="00841714">
            <w:pPr>
              <w:spacing w:before="6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2F79F584" w14:textId="77777777" w:rsidR="00841714" w:rsidRPr="000F0299" w:rsidRDefault="00841714" w:rsidP="00841714">
            <w:pPr>
              <w:spacing w:before="60"/>
              <w:ind w:firstLine="0"/>
              <w:rPr>
                <w:sz w:val="16"/>
                <w:szCs w:val="16"/>
              </w:rPr>
            </w:pPr>
          </w:p>
        </w:tc>
        <w:tc>
          <w:tcPr>
            <w:tcW w:w="185" w:type="pct"/>
            <w:tcBorders>
              <w:bottom w:val="single" w:sz="18" w:space="0" w:color="C00000"/>
              <w:right w:val="single" w:sz="18" w:space="0" w:color="C00000"/>
            </w:tcBorders>
            <w:shd w:val="clear" w:color="auto" w:fill="auto"/>
          </w:tcPr>
          <w:p w14:paraId="74CC850B" w14:textId="77777777" w:rsidR="00841714" w:rsidRPr="000F0299" w:rsidRDefault="00841714" w:rsidP="00841714">
            <w:pPr>
              <w:spacing w:before="60"/>
              <w:ind w:firstLine="0"/>
              <w:rPr>
                <w:sz w:val="16"/>
                <w:szCs w:val="16"/>
              </w:rPr>
            </w:pPr>
          </w:p>
        </w:tc>
      </w:tr>
    </w:tbl>
    <w:p w14:paraId="07F306BF" w14:textId="77777777" w:rsidR="00841714" w:rsidRPr="000F0299" w:rsidRDefault="00841714" w:rsidP="00841714">
      <w:pPr>
        <w:rPr>
          <w:lang w:eastAsia="de-DE"/>
        </w:rPr>
      </w:pPr>
      <w:r w:rsidRPr="000F0299">
        <w:rPr>
          <w:rStyle w:val="FootnoteReference"/>
        </w:rPr>
        <w:t xml:space="preserve"> </w:t>
      </w:r>
      <w:r w:rsidRPr="000F0299">
        <w:rPr>
          <w:b/>
          <w:bCs/>
          <w:lang w:eastAsia="de-DE"/>
        </w:rPr>
        <w:t>Мера</w:t>
      </w:r>
      <w:r w:rsidRPr="000F0299">
        <w:rPr>
          <w:b/>
          <w:bCs/>
          <w:i/>
          <w:iCs/>
          <w:lang w:eastAsia="de-DE"/>
        </w:rPr>
        <w:t xml:space="preserve"> </w:t>
      </w:r>
      <w:r w:rsidRPr="000F0299">
        <w:rPr>
          <w:b/>
          <w:bCs/>
          <w:lang w:eastAsia="de-DE"/>
        </w:rPr>
        <w:t>4.1.3</w:t>
      </w:r>
      <w:r w:rsidRPr="000F0299">
        <w:rPr>
          <w:b/>
          <w:bCs/>
          <w:i/>
          <w:iCs/>
          <w:lang w:eastAsia="de-DE"/>
        </w:rPr>
        <w:t xml:space="preserve"> –</w:t>
      </w:r>
      <w:r w:rsidRPr="000F0299">
        <w:rPr>
          <w:rStyle w:val="SubtleEmphasis"/>
          <w:color w:val="auto"/>
        </w:rPr>
        <w:t xml:space="preserve"> </w:t>
      </w:r>
      <w:r w:rsidRPr="000F0299">
        <w:rPr>
          <w:rStyle w:val="SubtleEmphasis"/>
          <w:b/>
          <w:bCs/>
          <w:i w:val="0"/>
          <w:iCs w:val="0"/>
          <w:color w:val="auto"/>
        </w:rPr>
        <w:t>Јачање интегритета и етичких стандарда у јавној управи</w:t>
      </w:r>
      <w:r w:rsidRPr="000F0299">
        <w:rPr>
          <w:i/>
          <w:iCs/>
          <w:lang w:eastAsia="de-DE"/>
        </w:rPr>
        <w:t xml:space="preserve">: </w:t>
      </w:r>
      <w:r w:rsidRPr="000F0299">
        <w:rPr>
          <w:iCs/>
          <w:lang w:eastAsia="de-DE"/>
        </w:rPr>
        <w:t xml:space="preserve">Ова мера </w:t>
      </w:r>
      <w:r>
        <w:rPr>
          <w:iCs/>
          <w:lang w:eastAsia="de-DE"/>
        </w:rPr>
        <w:t xml:space="preserve">је усмерена </w:t>
      </w:r>
      <w:r w:rsidRPr="000F0299">
        <w:rPr>
          <w:lang w:eastAsia="de-DE"/>
        </w:rPr>
        <w:t>на успостављањ</w:t>
      </w:r>
      <w:r>
        <w:rPr>
          <w:lang w:eastAsia="de-DE"/>
        </w:rPr>
        <w:t>е</w:t>
      </w:r>
      <w:r w:rsidRPr="000F0299">
        <w:rPr>
          <w:lang w:eastAsia="de-DE"/>
        </w:rPr>
        <w:t xml:space="preserve"> етичке инфраструктуре у органима јавне управе у складу са међународним стандардима и примерима из упоредне праксе</w:t>
      </w:r>
      <w:r>
        <w:rPr>
          <w:lang w:eastAsia="de-DE"/>
        </w:rPr>
        <w:t xml:space="preserve"> и обухвата </w:t>
      </w:r>
      <w:r w:rsidRPr="000F0299">
        <w:rPr>
          <w:lang w:eastAsia="de-DE"/>
        </w:rPr>
        <w:t xml:space="preserve">бројне реформске </w:t>
      </w:r>
      <w:r>
        <w:rPr>
          <w:lang w:eastAsia="de-DE"/>
        </w:rPr>
        <w:t>активности, а о</w:t>
      </w:r>
      <w:r w:rsidRPr="000F0299">
        <w:rPr>
          <w:lang w:eastAsia="de-DE"/>
        </w:rPr>
        <w:t>косниц</w:t>
      </w:r>
      <w:r>
        <w:rPr>
          <w:lang w:eastAsia="de-DE"/>
        </w:rPr>
        <w:t xml:space="preserve">а </w:t>
      </w:r>
      <w:r w:rsidRPr="000F0299">
        <w:rPr>
          <w:lang w:eastAsia="de-DE"/>
        </w:rPr>
        <w:t xml:space="preserve">у </w:t>
      </w:r>
      <w:r>
        <w:rPr>
          <w:lang w:eastAsia="de-DE"/>
        </w:rPr>
        <w:t>њиховом спровођењу и</w:t>
      </w:r>
      <w:r w:rsidRPr="000F0299">
        <w:rPr>
          <w:lang w:eastAsia="de-DE"/>
        </w:rPr>
        <w:t xml:space="preserve"> развоју организационе културе засноване на етици и интегритету</w:t>
      </w:r>
      <w:r>
        <w:rPr>
          <w:lang w:eastAsia="de-DE"/>
        </w:rPr>
        <w:t xml:space="preserve"> су</w:t>
      </w:r>
      <w:r w:rsidRPr="000F0299">
        <w:rPr>
          <w:lang w:eastAsia="de-DE"/>
        </w:rPr>
        <w:t xml:space="preserve"> службеници за етику и интегритет</w:t>
      </w:r>
      <w:r>
        <w:rPr>
          <w:lang w:eastAsia="de-DE"/>
        </w:rPr>
        <w:t xml:space="preserve"> </w:t>
      </w:r>
      <w:r w:rsidRPr="000F0299">
        <w:rPr>
          <w:lang w:eastAsia="de-DE"/>
        </w:rPr>
        <w:t>који обавља</w:t>
      </w:r>
      <w:r>
        <w:rPr>
          <w:lang w:eastAsia="de-DE"/>
        </w:rPr>
        <w:t>ј</w:t>
      </w:r>
      <w:r w:rsidRPr="000F0299">
        <w:rPr>
          <w:lang w:eastAsia="de-DE"/>
        </w:rPr>
        <w:t>у послов</w:t>
      </w:r>
      <w:r>
        <w:rPr>
          <w:lang w:eastAsia="de-DE"/>
        </w:rPr>
        <w:t>е</w:t>
      </w:r>
      <w:r w:rsidRPr="000F0299">
        <w:rPr>
          <w:lang w:eastAsia="de-DE"/>
        </w:rPr>
        <w:t xml:space="preserve"> значајн</w:t>
      </w:r>
      <w:r>
        <w:rPr>
          <w:lang w:eastAsia="de-DE"/>
        </w:rPr>
        <w:t>е</w:t>
      </w:r>
      <w:r w:rsidRPr="000F0299">
        <w:rPr>
          <w:lang w:eastAsia="de-DE"/>
        </w:rPr>
        <w:t xml:space="preserve"> за спречавање корупције у свим органима јавне управе. У наредних пет година планиране су активности које </w:t>
      </w:r>
      <w:r>
        <w:rPr>
          <w:lang w:eastAsia="de-DE"/>
        </w:rPr>
        <w:t xml:space="preserve">су усмерене на тестирање </w:t>
      </w:r>
      <w:r w:rsidRPr="000F0299">
        <w:rPr>
          <w:lang w:eastAsia="de-DE"/>
        </w:rPr>
        <w:t xml:space="preserve">одређивања службеника за етику и интегритет у одабраном броју органа јавне управе, припрему и спровођење програма обука за </w:t>
      </w:r>
      <w:r>
        <w:rPr>
          <w:lang w:eastAsia="de-DE"/>
        </w:rPr>
        <w:t>т</w:t>
      </w:r>
      <w:r w:rsidRPr="000F0299">
        <w:rPr>
          <w:lang w:eastAsia="de-DE"/>
        </w:rPr>
        <w:t xml:space="preserve">е службенике; анализу садржаја Кодекса понашања државних службеника и процедура за прикупљање података и извештавање, као и </w:t>
      </w:r>
      <w:r>
        <w:rPr>
          <w:lang w:eastAsia="de-DE"/>
        </w:rPr>
        <w:t xml:space="preserve">на </w:t>
      </w:r>
      <w:r w:rsidRPr="000F0299">
        <w:rPr>
          <w:lang w:eastAsia="de-DE"/>
        </w:rPr>
        <w:t>унапређење правног оквира у складу са налазима и препорукама из претходних активности.</w:t>
      </w:r>
    </w:p>
    <w:p w14:paraId="115680F1" w14:textId="77777777" w:rsidR="00841714" w:rsidRPr="000F0299" w:rsidRDefault="00841714" w:rsidP="00841714">
      <w:pPr>
        <w:suppressAutoHyphens w:val="0"/>
        <w:autoSpaceDN/>
        <w:spacing w:before="0" w:after="160" w:line="259" w:lineRule="auto"/>
        <w:ind w:firstLine="0"/>
        <w:jc w:val="left"/>
        <w:textAlignment w:val="auto"/>
        <w:rPr>
          <w:lang w:eastAsia="de-DE"/>
        </w:rPr>
      </w:pPr>
      <w:r w:rsidRPr="000F0299">
        <w:rPr>
          <w:lang w:eastAsia="de-DE"/>
        </w:rPr>
        <w:br w:type="page"/>
      </w:r>
    </w:p>
    <w:tbl>
      <w:tblPr>
        <w:tblW w:w="5000" w:type="pct"/>
        <w:tblLook w:val="00A0" w:firstRow="1" w:lastRow="0" w:firstColumn="1" w:lastColumn="0" w:noHBand="0" w:noVBand="0"/>
      </w:tblPr>
      <w:tblGrid>
        <w:gridCol w:w="337"/>
        <w:gridCol w:w="4621"/>
        <w:gridCol w:w="1867"/>
        <w:gridCol w:w="1867"/>
        <w:gridCol w:w="334"/>
      </w:tblGrid>
      <w:tr w:rsidR="00841714" w:rsidRPr="000F0299" w14:paraId="2FDEEDFC" w14:textId="77777777" w:rsidTr="00841714">
        <w:trPr>
          <w:trHeight w:val="20"/>
        </w:trPr>
        <w:tc>
          <w:tcPr>
            <w:tcW w:w="187" w:type="pct"/>
            <w:tcBorders>
              <w:top w:val="single" w:sz="18" w:space="0" w:color="C00000"/>
              <w:left w:val="single" w:sz="18" w:space="0" w:color="C00000"/>
            </w:tcBorders>
            <w:shd w:val="clear" w:color="auto" w:fill="auto"/>
          </w:tcPr>
          <w:p w14:paraId="3E9D4FD4" w14:textId="77777777" w:rsidR="00841714" w:rsidRPr="000F0299" w:rsidRDefault="00841714" w:rsidP="00841714">
            <w:pPr>
              <w:spacing w:before="0"/>
              <w:ind w:firstLine="0"/>
              <w:rPr>
                <w:b/>
                <w:bCs/>
                <w:sz w:val="16"/>
                <w:szCs w:val="16"/>
              </w:rPr>
            </w:pPr>
          </w:p>
        </w:tc>
        <w:tc>
          <w:tcPr>
            <w:tcW w:w="2559" w:type="pct"/>
            <w:tcBorders>
              <w:top w:val="single" w:sz="18" w:space="0" w:color="C00000"/>
            </w:tcBorders>
            <w:shd w:val="clear" w:color="auto" w:fill="auto"/>
          </w:tcPr>
          <w:p w14:paraId="340C4D49" w14:textId="77777777" w:rsidR="00841714" w:rsidRPr="000F0299" w:rsidRDefault="00841714" w:rsidP="00841714">
            <w:pPr>
              <w:spacing w:before="0"/>
              <w:ind w:firstLine="0"/>
              <w:rPr>
                <w:b/>
                <w:bCs/>
                <w:sz w:val="16"/>
                <w:szCs w:val="16"/>
              </w:rPr>
            </w:pPr>
          </w:p>
        </w:tc>
        <w:tc>
          <w:tcPr>
            <w:tcW w:w="1034" w:type="pct"/>
            <w:tcBorders>
              <w:top w:val="single" w:sz="18" w:space="0" w:color="C00000"/>
            </w:tcBorders>
            <w:shd w:val="clear" w:color="auto" w:fill="auto"/>
            <w:vAlign w:val="center"/>
          </w:tcPr>
          <w:p w14:paraId="56FDB81E" w14:textId="77777777" w:rsidR="00841714" w:rsidRPr="000F0299" w:rsidRDefault="00841714" w:rsidP="00841714">
            <w:pPr>
              <w:spacing w:before="0"/>
              <w:ind w:firstLine="0"/>
              <w:jc w:val="center"/>
              <w:rPr>
                <w:b/>
                <w:bCs/>
                <w:sz w:val="16"/>
                <w:szCs w:val="16"/>
              </w:rPr>
            </w:pPr>
          </w:p>
        </w:tc>
        <w:tc>
          <w:tcPr>
            <w:tcW w:w="1034" w:type="pct"/>
            <w:tcBorders>
              <w:top w:val="single" w:sz="18" w:space="0" w:color="C00000"/>
            </w:tcBorders>
            <w:shd w:val="clear" w:color="auto" w:fill="auto"/>
            <w:vAlign w:val="center"/>
          </w:tcPr>
          <w:p w14:paraId="5E8D457E" w14:textId="77777777" w:rsidR="00841714" w:rsidRPr="000F0299" w:rsidRDefault="00841714" w:rsidP="00841714">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6CAFD082" w14:textId="77777777" w:rsidR="00841714" w:rsidRPr="000F0299" w:rsidRDefault="00841714" w:rsidP="00841714">
            <w:pPr>
              <w:spacing w:before="0"/>
              <w:ind w:firstLine="0"/>
              <w:jc w:val="center"/>
              <w:rPr>
                <w:b/>
                <w:bCs/>
                <w:sz w:val="16"/>
                <w:szCs w:val="16"/>
              </w:rPr>
            </w:pPr>
          </w:p>
        </w:tc>
      </w:tr>
      <w:tr w:rsidR="00841714" w:rsidRPr="000F0299" w14:paraId="364278FE" w14:textId="77777777" w:rsidTr="00841714">
        <w:trPr>
          <w:trHeight w:val="490"/>
        </w:trPr>
        <w:tc>
          <w:tcPr>
            <w:tcW w:w="187" w:type="pct"/>
            <w:tcBorders>
              <w:left w:val="single" w:sz="18" w:space="0" w:color="C00000"/>
            </w:tcBorders>
            <w:shd w:val="clear" w:color="auto" w:fill="auto"/>
          </w:tcPr>
          <w:p w14:paraId="165C9F9C" w14:textId="77777777" w:rsidR="00841714" w:rsidRPr="000F0299" w:rsidRDefault="00841714" w:rsidP="00841714">
            <w:pPr>
              <w:spacing w:before="0"/>
              <w:ind w:firstLine="0"/>
              <w:rPr>
                <w:b/>
                <w:bCs/>
              </w:rPr>
            </w:pPr>
          </w:p>
        </w:tc>
        <w:tc>
          <w:tcPr>
            <w:tcW w:w="2559" w:type="pct"/>
            <w:tcBorders>
              <w:left w:val="nil"/>
              <w:bottom w:val="single" w:sz="18" w:space="0" w:color="C00000"/>
              <w:right w:val="single" w:sz="18" w:space="0" w:color="D9D9D9" w:themeColor="background1" w:themeShade="D9"/>
            </w:tcBorders>
            <w:shd w:val="clear" w:color="auto" w:fill="auto"/>
          </w:tcPr>
          <w:p w14:paraId="7A63ECF3" w14:textId="77777777" w:rsidR="00841714" w:rsidRPr="000F0299" w:rsidRDefault="00841714" w:rsidP="00841714">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668618D7" w14:textId="77777777" w:rsidR="00841714" w:rsidRPr="000F0299" w:rsidRDefault="00841714" w:rsidP="00841714">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4173E5F8" w14:textId="77777777" w:rsidR="00841714" w:rsidRPr="000F0299" w:rsidRDefault="00841714" w:rsidP="00841714">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164A2A39" w14:textId="77777777" w:rsidR="00841714" w:rsidRPr="000F0299" w:rsidRDefault="00841714" w:rsidP="00841714">
            <w:pPr>
              <w:spacing w:before="0"/>
              <w:ind w:firstLine="0"/>
              <w:jc w:val="center"/>
              <w:rPr>
                <w:b/>
                <w:bCs/>
              </w:rPr>
            </w:pPr>
          </w:p>
        </w:tc>
      </w:tr>
      <w:tr w:rsidR="00841714" w:rsidRPr="000F0299" w14:paraId="4EDF9ED0" w14:textId="77777777" w:rsidTr="00841714">
        <w:trPr>
          <w:trHeight w:val="380"/>
        </w:trPr>
        <w:tc>
          <w:tcPr>
            <w:tcW w:w="187" w:type="pct"/>
            <w:tcBorders>
              <w:left w:val="single" w:sz="18" w:space="0" w:color="C00000"/>
            </w:tcBorders>
            <w:shd w:val="clear" w:color="auto" w:fill="auto"/>
          </w:tcPr>
          <w:p w14:paraId="2F28692A" w14:textId="77777777" w:rsidR="00841714" w:rsidRPr="000F0299" w:rsidRDefault="00841714" w:rsidP="00841714">
            <w:pPr>
              <w:spacing w:before="0"/>
              <w:ind w:firstLine="0"/>
            </w:pPr>
          </w:p>
        </w:tc>
        <w:tc>
          <w:tcPr>
            <w:tcW w:w="2559"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3C572F46" w14:textId="77777777" w:rsidR="00841714" w:rsidRPr="000F0299" w:rsidRDefault="00841714" w:rsidP="00841714">
            <w:pPr>
              <w:spacing w:before="0"/>
              <w:ind w:firstLine="0"/>
            </w:pPr>
            <w:r w:rsidRPr="000F0299">
              <w:t>Проценат органа јавне управе на централном нивоу који организују и спроводе обуку о етици и интегритету за своје руководиоце и запослене</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77BD610D" w14:textId="77777777" w:rsidR="00841714" w:rsidRPr="000F0299" w:rsidRDefault="00841714" w:rsidP="00841714">
            <w:pPr>
              <w:spacing w:before="0"/>
              <w:ind w:firstLine="0"/>
            </w:pPr>
            <w:r w:rsidRPr="000F0299">
              <w:t>(2020): 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37411AA5" w14:textId="77777777" w:rsidR="00841714" w:rsidRPr="000F0299" w:rsidRDefault="00841714" w:rsidP="00841714">
            <w:pPr>
              <w:spacing w:before="0"/>
              <w:ind w:firstLine="0"/>
            </w:pPr>
            <w:r w:rsidRPr="000F0299">
              <w:t>(2021): 25%</w:t>
            </w:r>
          </w:p>
          <w:p w14:paraId="57A80D92" w14:textId="77777777" w:rsidR="00841714" w:rsidRPr="000F0299" w:rsidRDefault="00841714" w:rsidP="00841714">
            <w:pPr>
              <w:spacing w:before="0"/>
              <w:ind w:firstLine="0"/>
            </w:pPr>
            <w:r w:rsidRPr="000F0299">
              <w:t>(2022): 25%</w:t>
            </w:r>
          </w:p>
          <w:p w14:paraId="651D8DE0" w14:textId="77777777" w:rsidR="00841714" w:rsidRPr="000F0299" w:rsidRDefault="00841714" w:rsidP="00841714">
            <w:pPr>
              <w:spacing w:before="0"/>
              <w:ind w:firstLine="0"/>
            </w:pPr>
            <w:r w:rsidRPr="000F0299">
              <w:t>(2023): 25%</w:t>
            </w:r>
          </w:p>
          <w:p w14:paraId="39D8C389" w14:textId="77777777" w:rsidR="00841714" w:rsidRPr="000F0299" w:rsidRDefault="00841714" w:rsidP="00841714">
            <w:pPr>
              <w:spacing w:before="0"/>
              <w:ind w:firstLine="0"/>
            </w:pPr>
            <w:r w:rsidRPr="000F0299">
              <w:t>(2024): 50%</w:t>
            </w:r>
          </w:p>
          <w:p w14:paraId="4BD22D98" w14:textId="77777777" w:rsidR="00841714" w:rsidRPr="000F0299" w:rsidRDefault="00841714" w:rsidP="00841714">
            <w:pPr>
              <w:spacing w:before="0"/>
              <w:ind w:firstLine="0"/>
            </w:pPr>
            <w:r w:rsidRPr="000F0299">
              <w:t>(2025): 50%</w:t>
            </w:r>
          </w:p>
          <w:p w14:paraId="592BFD5A" w14:textId="77777777" w:rsidR="00841714" w:rsidRPr="000F0299" w:rsidRDefault="00841714" w:rsidP="00841714">
            <w:pPr>
              <w:spacing w:before="0"/>
              <w:ind w:firstLine="0"/>
            </w:pPr>
            <w:r w:rsidRPr="000F0299">
              <w:t>(2027): -</w:t>
            </w:r>
          </w:p>
          <w:p w14:paraId="07A35D6F" w14:textId="77777777" w:rsidR="00841714" w:rsidRPr="000F0299" w:rsidRDefault="00841714" w:rsidP="00841714">
            <w:pPr>
              <w:spacing w:before="0"/>
              <w:ind w:firstLine="0"/>
            </w:pPr>
            <w:r w:rsidRPr="000F0299">
              <w:t>(2030): -</w:t>
            </w:r>
          </w:p>
        </w:tc>
        <w:tc>
          <w:tcPr>
            <w:tcW w:w="185" w:type="pct"/>
            <w:tcBorders>
              <w:right w:val="single" w:sz="18" w:space="0" w:color="C00000"/>
            </w:tcBorders>
            <w:shd w:val="clear" w:color="auto" w:fill="auto"/>
          </w:tcPr>
          <w:p w14:paraId="214428D8" w14:textId="77777777" w:rsidR="00841714" w:rsidRPr="000F0299" w:rsidRDefault="00841714" w:rsidP="00841714">
            <w:pPr>
              <w:spacing w:before="0"/>
              <w:ind w:firstLine="0"/>
            </w:pPr>
          </w:p>
        </w:tc>
      </w:tr>
      <w:tr w:rsidR="00841714" w:rsidRPr="000F0299" w14:paraId="149B8538" w14:textId="77777777" w:rsidTr="00841714">
        <w:trPr>
          <w:trHeight w:val="340"/>
        </w:trPr>
        <w:tc>
          <w:tcPr>
            <w:tcW w:w="187" w:type="pct"/>
            <w:tcBorders>
              <w:left w:val="single" w:sz="18" w:space="0" w:color="C00000"/>
              <w:bottom w:val="single" w:sz="18" w:space="0" w:color="C00000"/>
            </w:tcBorders>
            <w:shd w:val="clear" w:color="auto" w:fill="auto"/>
          </w:tcPr>
          <w:p w14:paraId="73DC822D" w14:textId="77777777" w:rsidR="00841714" w:rsidRPr="000F0299" w:rsidRDefault="00841714" w:rsidP="00841714">
            <w:pPr>
              <w:spacing w:before="0"/>
              <w:ind w:firstLine="0"/>
              <w:rPr>
                <w:sz w:val="16"/>
                <w:szCs w:val="16"/>
              </w:rPr>
            </w:pPr>
          </w:p>
        </w:tc>
        <w:tc>
          <w:tcPr>
            <w:tcW w:w="2559" w:type="pct"/>
            <w:tcBorders>
              <w:top w:val="single" w:sz="18" w:space="0" w:color="D9D9D9" w:themeColor="background1" w:themeShade="D9"/>
              <w:bottom w:val="single" w:sz="18" w:space="0" w:color="C00000"/>
            </w:tcBorders>
            <w:shd w:val="clear" w:color="auto" w:fill="auto"/>
          </w:tcPr>
          <w:p w14:paraId="6D7AF8C6" w14:textId="77777777" w:rsidR="00841714" w:rsidRPr="000F0299" w:rsidRDefault="00841714" w:rsidP="00841714">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21A6AAA9" w14:textId="77777777" w:rsidR="00841714" w:rsidRPr="000F0299" w:rsidRDefault="00841714" w:rsidP="00841714">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11EDCA12" w14:textId="77777777" w:rsidR="00841714" w:rsidRPr="000F0299" w:rsidRDefault="00841714" w:rsidP="00841714">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6A6DE29D" w14:textId="77777777" w:rsidR="00841714" w:rsidRPr="000F0299" w:rsidRDefault="00841714" w:rsidP="00841714">
            <w:pPr>
              <w:spacing w:before="0"/>
              <w:ind w:firstLine="0"/>
              <w:rPr>
                <w:sz w:val="16"/>
                <w:szCs w:val="16"/>
              </w:rPr>
            </w:pPr>
          </w:p>
        </w:tc>
      </w:tr>
    </w:tbl>
    <w:p w14:paraId="2D526334" w14:textId="77777777" w:rsidR="00841714" w:rsidRPr="000F0299" w:rsidRDefault="00841714" w:rsidP="00841714">
      <w:r w:rsidRPr="000F0299">
        <w:rPr>
          <w:rFonts w:eastAsia="Times New Roman"/>
          <w:b/>
          <w:bCs/>
          <w:lang w:eastAsia="de-DE"/>
        </w:rPr>
        <w:t>Мера 4.1.4 –</w:t>
      </w:r>
      <w:r w:rsidRPr="000F0299">
        <w:rPr>
          <w:rStyle w:val="SubtleEmphasis"/>
          <w:color w:val="auto"/>
        </w:rPr>
        <w:t xml:space="preserve"> </w:t>
      </w:r>
      <w:r w:rsidRPr="000F0299">
        <w:rPr>
          <w:rStyle w:val="SubtleEmphasis"/>
          <w:b/>
          <w:bCs/>
          <w:i w:val="0"/>
          <w:iCs w:val="0"/>
          <w:color w:val="auto"/>
        </w:rPr>
        <w:t>Унапређење проактивног објављивања података у поседу органа јавне управе</w:t>
      </w:r>
      <w:r w:rsidRPr="000F0299">
        <w:rPr>
          <w:rStyle w:val="SubtleEmphasis"/>
          <w:b/>
          <w:bCs/>
          <w:i w:val="0"/>
          <w:iCs w:val="0"/>
        </w:rPr>
        <w:t>:</w:t>
      </w:r>
      <w:r w:rsidRPr="000F0299">
        <w:t xml:space="preserve"> Проактивно објављивање података </w:t>
      </w:r>
      <w:r>
        <w:t>које</w:t>
      </w:r>
      <w:r w:rsidRPr="000F0299">
        <w:t xml:space="preserve"> поседу</w:t>
      </w:r>
      <w:r>
        <w:t>ју</w:t>
      </w:r>
      <w:r w:rsidRPr="000F0299">
        <w:t xml:space="preserve"> орган</w:t>
      </w:r>
      <w:r>
        <w:t>и</w:t>
      </w:r>
      <w:r w:rsidRPr="000F0299">
        <w:t xml:space="preserve"> јавне управе представља област у којој је нормативни оквир </w:t>
      </w:r>
      <w:r>
        <w:t xml:space="preserve">успостављен </w:t>
      </w:r>
      <w:r w:rsidRPr="000F0299">
        <w:t>и у којој су предузети значајни кораци</w:t>
      </w:r>
      <w:r>
        <w:t xml:space="preserve">, па је </w:t>
      </w:r>
      <w:r w:rsidRPr="000F0299">
        <w:t>ов</w:t>
      </w:r>
      <w:r>
        <w:t>а</w:t>
      </w:r>
      <w:r w:rsidRPr="000F0299">
        <w:t xml:space="preserve"> мер</w:t>
      </w:r>
      <w:r>
        <w:t xml:space="preserve">а усмерена </w:t>
      </w:r>
      <w:r w:rsidRPr="000F0299">
        <w:t>на јачањ</w:t>
      </w:r>
      <w:r>
        <w:t>е</w:t>
      </w:r>
      <w:r w:rsidRPr="000F0299">
        <w:t xml:space="preserve"> свести руководилаца о позитивним ефектима које </w:t>
      </w:r>
      <w:r>
        <w:t>н</w:t>
      </w:r>
      <w:r w:rsidRPr="000F0299">
        <w:t xml:space="preserve">а рад органа јавне управе </w:t>
      </w:r>
      <w:r>
        <w:t xml:space="preserve">има </w:t>
      </w:r>
      <w:r w:rsidRPr="000F0299">
        <w:t xml:space="preserve">повећање </w:t>
      </w:r>
      <w:r>
        <w:t xml:space="preserve">транспарнтности </w:t>
      </w:r>
      <w:r w:rsidRPr="000F0299">
        <w:t>и отварање података, оспособљавањ</w:t>
      </w:r>
      <w:r>
        <w:t>е</w:t>
      </w:r>
      <w:r w:rsidRPr="000F0299">
        <w:t xml:space="preserve"> запослених за рад са отвореним подацима и унапређењ</w:t>
      </w:r>
      <w:r>
        <w:t>е</w:t>
      </w:r>
      <w:r w:rsidRPr="000F0299">
        <w:t xml:space="preserve"> Портала отворених података. </w:t>
      </w:r>
      <w:r>
        <w:t xml:space="preserve">Спровођењем ове мере </w:t>
      </w:r>
      <w:r w:rsidRPr="000F0299">
        <w:t xml:space="preserve">стварају </w:t>
      </w:r>
      <w:r>
        <w:t xml:space="preserve">се </w:t>
      </w:r>
      <w:r w:rsidRPr="000F0299">
        <w:t>услови за ефикаснију примену нормативног оквира и додатно унапређење праксе у овој области.</w:t>
      </w:r>
    </w:p>
    <w:tbl>
      <w:tblPr>
        <w:tblW w:w="5000" w:type="pct"/>
        <w:tblLook w:val="00A0" w:firstRow="1" w:lastRow="0" w:firstColumn="1" w:lastColumn="0" w:noHBand="0" w:noVBand="0"/>
      </w:tblPr>
      <w:tblGrid>
        <w:gridCol w:w="340"/>
        <w:gridCol w:w="4618"/>
        <w:gridCol w:w="1867"/>
        <w:gridCol w:w="1867"/>
        <w:gridCol w:w="334"/>
      </w:tblGrid>
      <w:tr w:rsidR="00841714" w:rsidRPr="000F0299" w14:paraId="4C0F992B" w14:textId="77777777" w:rsidTr="00841714">
        <w:trPr>
          <w:trHeight w:val="20"/>
        </w:trPr>
        <w:tc>
          <w:tcPr>
            <w:tcW w:w="189" w:type="pct"/>
            <w:tcBorders>
              <w:top w:val="single" w:sz="18" w:space="0" w:color="C00000"/>
              <w:left w:val="single" w:sz="18" w:space="0" w:color="C00000"/>
            </w:tcBorders>
            <w:shd w:val="clear" w:color="auto" w:fill="auto"/>
          </w:tcPr>
          <w:p w14:paraId="4CB47BA9" w14:textId="77777777" w:rsidR="00841714" w:rsidRPr="000F0299" w:rsidRDefault="00841714" w:rsidP="00841714">
            <w:pPr>
              <w:spacing w:before="0"/>
              <w:ind w:firstLine="0"/>
              <w:rPr>
                <w:b/>
                <w:bCs/>
                <w:sz w:val="16"/>
                <w:szCs w:val="16"/>
              </w:rPr>
            </w:pPr>
          </w:p>
        </w:tc>
        <w:tc>
          <w:tcPr>
            <w:tcW w:w="2557" w:type="pct"/>
            <w:tcBorders>
              <w:top w:val="single" w:sz="18" w:space="0" w:color="C00000"/>
            </w:tcBorders>
            <w:shd w:val="clear" w:color="auto" w:fill="auto"/>
          </w:tcPr>
          <w:p w14:paraId="42F8DDF5" w14:textId="77777777" w:rsidR="00841714" w:rsidRPr="000F0299" w:rsidRDefault="00841714" w:rsidP="00841714">
            <w:pPr>
              <w:spacing w:before="0"/>
              <w:ind w:firstLine="0"/>
              <w:rPr>
                <w:b/>
                <w:bCs/>
                <w:sz w:val="16"/>
                <w:szCs w:val="16"/>
              </w:rPr>
            </w:pPr>
          </w:p>
        </w:tc>
        <w:tc>
          <w:tcPr>
            <w:tcW w:w="1034" w:type="pct"/>
            <w:tcBorders>
              <w:top w:val="single" w:sz="18" w:space="0" w:color="C00000"/>
            </w:tcBorders>
            <w:shd w:val="clear" w:color="auto" w:fill="auto"/>
            <w:vAlign w:val="center"/>
          </w:tcPr>
          <w:p w14:paraId="6067D87E" w14:textId="77777777" w:rsidR="00841714" w:rsidRPr="000F0299" w:rsidRDefault="00841714" w:rsidP="00841714">
            <w:pPr>
              <w:spacing w:before="0"/>
              <w:ind w:firstLine="0"/>
              <w:jc w:val="center"/>
              <w:rPr>
                <w:b/>
                <w:bCs/>
                <w:sz w:val="16"/>
                <w:szCs w:val="16"/>
              </w:rPr>
            </w:pPr>
          </w:p>
        </w:tc>
        <w:tc>
          <w:tcPr>
            <w:tcW w:w="1034" w:type="pct"/>
            <w:tcBorders>
              <w:top w:val="single" w:sz="18" w:space="0" w:color="C00000"/>
            </w:tcBorders>
            <w:shd w:val="clear" w:color="auto" w:fill="auto"/>
            <w:vAlign w:val="center"/>
          </w:tcPr>
          <w:p w14:paraId="0AE94779" w14:textId="77777777" w:rsidR="00841714" w:rsidRPr="000F0299" w:rsidRDefault="00841714" w:rsidP="00841714">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32679D70" w14:textId="77777777" w:rsidR="00841714" w:rsidRPr="000F0299" w:rsidRDefault="00841714" w:rsidP="00841714">
            <w:pPr>
              <w:spacing w:before="0"/>
              <w:ind w:firstLine="0"/>
              <w:jc w:val="center"/>
              <w:rPr>
                <w:b/>
                <w:bCs/>
                <w:sz w:val="16"/>
                <w:szCs w:val="16"/>
              </w:rPr>
            </w:pPr>
          </w:p>
        </w:tc>
      </w:tr>
      <w:tr w:rsidR="00841714" w:rsidRPr="000F0299" w14:paraId="3AFF9296" w14:textId="77777777" w:rsidTr="00841714">
        <w:trPr>
          <w:trHeight w:val="490"/>
        </w:trPr>
        <w:tc>
          <w:tcPr>
            <w:tcW w:w="189" w:type="pct"/>
            <w:tcBorders>
              <w:left w:val="single" w:sz="18" w:space="0" w:color="C00000"/>
            </w:tcBorders>
            <w:shd w:val="clear" w:color="auto" w:fill="auto"/>
          </w:tcPr>
          <w:p w14:paraId="0D73EB67" w14:textId="77777777" w:rsidR="00841714" w:rsidRPr="000F0299" w:rsidRDefault="00841714" w:rsidP="00841714">
            <w:pPr>
              <w:spacing w:before="0"/>
              <w:ind w:firstLine="0"/>
              <w:rPr>
                <w:b/>
                <w:bCs/>
              </w:rPr>
            </w:pPr>
          </w:p>
        </w:tc>
        <w:tc>
          <w:tcPr>
            <w:tcW w:w="2557" w:type="pct"/>
            <w:tcBorders>
              <w:left w:val="nil"/>
              <w:bottom w:val="single" w:sz="18" w:space="0" w:color="C00000"/>
              <w:right w:val="single" w:sz="18" w:space="0" w:color="D9D9D9" w:themeColor="background1" w:themeShade="D9"/>
            </w:tcBorders>
            <w:shd w:val="clear" w:color="auto" w:fill="auto"/>
          </w:tcPr>
          <w:p w14:paraId="331A8DA9" w14:textId="77777777" w:rsidR="00841714" w:rsidRPr="000F0299" w:rsidRDefault="00841714" w:rsidP="00841714">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1CB94B90" w14:textId="77777777" w:rsidR="00841714" w:rsidRPr="000F0299" w:rsidRDefault="00841714" w:rsidP="00841714">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0B948B83" w14:textId="77777777" w:rsidR="00841714" w:rsidRPr="000F0299" w:rsidRDefault="00841714" w:rsidP="00841714">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5CB8DCE8" w14:textId="77777777" w:rsidR="00841714" w:rsidRPr="000F0299" w:rsidRDefault="00841714" w:rsidP="00841714">
            <w:pPr>
              <w:spacing w:before="0"/>
              <w:ind w:firstLine="0"/>
              <w:jc w:val="center"/>
              <w:rPr>
                <w:b/>
                <w:bCs/>
              </w:rPr>
            </w:pPr>
          </w:p>
        </w:tc>
      </w:tr>
      <w:tr w:rsidR="00841714" w:rsidRPr="000F0299" w14:paraId="5212E059" w14:textId="77777777" w:rsidTr="00841714">
        <w:trPr>
          <w:trHeight w:val="380"/>
        </w:trPr>
        <w:tc>
          <w:tcPr>
            <w:tcW w:w="189" w:type="pct"/>
            <w:tcBorders>
              <w:left w:val="single" w:sz="18" w:space="0" w:color="C00000"/>
            </w:tcBorders>
            <w:shd w:val="clear" w:color="auto" w:fill="auto"/>
          </w:tcPr>
          <w:p w14:paraId="79A76A51" w14:textId="77777777" w:rsidR="00841714" w:rsidRPr="000F0299" w:rsidRDefault="00841714" w:rsidP="00841714">
            <w:pPr>
              <w:spacing w:before="0"/>
              <w:ind w:firstLine="0"/>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26A69FDC" w14:textId="77777777" w:rsidR="00841714" w:rsidRPr="000F0299" w:rsidRDefault="00841714" w:rsidP="00841714">
            <w:pPr>
              <w:spacing w:before="0"/>
              <w:ind w:firstLine="0"/>
            </w:pPr>
            <w:r w:rsidRPr="000F0299">
              <w:t>Број органа јавне управе и других ималаца јавних овлашћења који деле/објављују отворене податке на Порталу отворених података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614F8D44" w14:textId="77777777" w:rsidR="00841714" w:rsidRPr="000F0299" w:rsidRDefault="00841714" w:rsidP="00841714">
            <w:pPr>
              <w:spacing w:before="0"/>
              <w:ind w:firstLine="0"/>
            </w:pPr>
            <w:r w:rsidRPr="000F0299">
              <w:t>(2020): 45</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43EB5B72" w14:textId="77777777" w:rsidR="00841714" w:rsidRPr="000F0299" w:rsidRDefault="00841714" w:rsidP="00841714">
            <w:pPr>
              <w:spacing w:before="0"/>
              <w:ind w:firstLine="0"/>
            </w:pPr>
            <w:r w:rsidRPr="000F0299">
              <w:t>(2021): 60</w:t>
            </w:r>
          </w:p>
          <w:p w14:paraId="371FF3EA" w14:textId="77777777" w:rsidR="00841714" w:rsidRPr="000F0299" w:rsidRDefault="00841714" w:rsidP="00841714">
            <w:pPr>
              <w:spacing w:before="0"/>
              <w:ind w:firstLine="0"/>
            </w:pPr>
            <w:r w:rsidRPr="000F0299">
              <w:t>(2022): 100</w:t>
            </w:r>
          </w:p>
          <w:p w14:paraId="5FDD2721" w14:textId="77777777" w:rsidR="00841714" w:rsidRPr="000F0299" w:rsidRDefault="00841714" w:rsidP="00841714">
            <w:pPr>
              <w:spacing w:before="0"/>
              <w:ind w:firstLine="0"/>
            </w:pPr>
            <w:r w:rsidRPr="000F0299">
              <w:t>(2023): 120</w:t>
            </w:r>
          </w:p>
          <w:p w14:paraId="423315FF" w14:textId="77777777" w:rsidR="00841714" w:rsidRPr="000F0299" w:rsidRDefault="00841714" w:rsidP="00841714">
            <w:pPr>
              <w:spacing w:before="0"/>
              <w:ind w:firstLine="0"/>
            </w:pPr>
            <w:r w:rsidRPr="000F0299">
              <w:t>(2024): 140</w:t>
            </w:r>
          </w:p>
          <w:p w14:paraId="3CDFBEE3" w14:textId="77777777" w:rsidR="00841714" w:rsidRPr="000F0299" w:rsidRDefault="00841714" w:rsidP="00841714">
            <w:pPr>
              <w:spacing w:before="0"/>
              <w:ind w:firstLine="0"/>
            </w:pPr>
            <w:r w:rsidRPr="000F0299">
              <w:t>(2025): 160</w:t>
            </w:r>
          </w:p>
          <w:p w14:paraId="6EAAEFD7" w14:textId="77777777" w:rsidR="00841714" w:rsidRPr="000F0299" w:rsidRDefault="00841714" w:rsidP="00841714">
            <w:pPr>
              <w:spacing w:before="0"/>
              <w:ind w:firstLine="0"/>
            </w:pPr>
            <w:r w:rsidRPr="000F0299">
              <w:t>(2027): -</w:t>
            </w:r>
          </w:p>
          <w:p w14:paraId="2EC00218" w14:textId="77777777" w:rsidR="00841714" w:rsidRPr="000F0299" w:rsidRDefault="00841714" w:rsidP="00841714">
            <w:pPr>
              <w:spacing w:before="0"/>
              <w:ind w:firstLine="0"/>
            </w:pPr>
            <w:r w:rsidRPr="000F0299">
              <w:t>(2030): -</w:t>
            </w:r>
          </w:p>
        </w:tc>
        <w:tc>
          <w:tcPr>
            <w:tcW w:w="185" w:type="pct"/>
            <w:tcBorders>
              <w:right w:val="single" w:sz="18" w:space="0" w:color="C00000"/>
            </w:tcBorders>
            <w:shd w:val="clear" w:color="auto" w:fill="auto"/>
          </w:tcPr>
          <w:p w14:paraId="171D1748" w14:textId="77777777" w:rsidR="00841714" w:rsidRPr="000F0299" w:rsidRDefault="00841714" w:rsidP="00841714">
            <w:pPr>
              <w:spacing w:before="0"/>
              <w:ind w:firstLine="0"/>
            </w:pPr>
          </w:p>
        </w:tc>
      </w:tr>
      <w:tr w:rsidR="00841714" w:rsidRPr="000F0299" w14:paraId="4A6C1C73" w14:textId="77777777" w:rsidTr="00841714">
        <w:trPr>
          <w:trHeight w:val="380"/>
        </w:trPr>
        <w:tc>
          <w:tcPr>
            <w:tcW w:w="189" w:type="pct"/>
            <w:tcBorders>
              <w:left w:val="single" w:sz="18" w:space="0" w:color="C00000"/>
            </w:tcBorders>
            <w:shd w:val="clear" w:color="auto" w:fill="auto"/>
          </w:tcPr>
          <w:p w14:paraId="3935A334" w14:textId="77777777" w:rsidR="00841714" w:rsidRPr="000F0299" w:rsidRDefault="00841714" w:rsidP="00841714">
            <w:pPr>
              <w:spacing w:before="0"/>
              <w:ind w:firstLine="0"/>
            </w:pPr>
          </w:p>
        </w:tc>
        <w:tc>
          <w:tcPr>
            <w:tcW w:w="2557" w:type="pct"/>
            <w:tcBorders>
              <w:top w:val="single" w:sz="18" w:space="0" w:color="D9D9D9" w:themeColor="background1" w:themeShade="D9"/>
              <w:left w:val="nil"/>
              <w:bottom w:val="single" w:sz="18" w:space="0" w:color="D9D9D9" w:themeColor="background1" w:themeShade="D9"/>
              <w:right w:val="single" w:sz="18" w:space="0" w:color="D9D9D9" w:themeColor="background1" w:themeShade="D9"/>
            </w:tcBorders>
            <w:shd w:val="clear" w:color="auto" w:fill="auto"/>
          </w:tcPr>
          <w:p w14:paraId="59C2D8CE" w14:textId="77777777" w:rsidR="00841714" w:rsidRPr="000F0299" w:rsidRDefault="00841714" w:rsidP="00841714">
            <w:pPr>
              <w:spacing w:before="0"/>
              <w:ind w:firstLine="0"/>
            </w:pPr>
            <w:r w:rsidRPr="000F0299">
              <w:t>Проценат органа јавне управе на централном нивоу чији су запослени похађали обуке o стандардима отворених података и рада са Порталом отворених података</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23044BA7" w14:textId="77777777" w:rsidR="00841714" w:rsidRPr="000F0299" w:rsidRDefault="00841714" w:rsidP="00841714">
            <w:pPr>
              <w:spacing w:before="0"/>
              <w:ind w:firstLine="0"/>
            </w:pPr>
            <w:r w:rsidRPr="000F0299">
              <w:t>(2020): 0%</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tcBorders>
            <w:shd w:val="clear" w:color="auto" w:fill="auto"/>
          </w:tcPr>
          <w:p w14:paraId="76D6FFF6" w14:textId="77777777" w:rsidR="00841714" w:rsidRPr="000F0299" w:rsidRDefault="00841714" w:rsidP="00841714">
            <w:pPr>
              <w:spacing w:before="0"/>
              <w:ind w:firstLine="0"/>
            </w:pPr>
            <w:r w:rsidRPr="000F0299">
              <w:t>(2021): 5%</w:t>
            </w:r>
          </w:p>
          <w:p w14:paraId="31266659" w14:textId="77777777" w:rsidR="00841714" w:rsidRPr="000F0299" w:rsidRDefault="00841714" w:rsidP="00841714">
            <w:pPr>
              <w:spacing w:before="0"/>
              <w:ind w:firstLine="0"/>
            </w:pPr>
            <w:r w:rsidRPr="000F0299">
              <w:t>(2022): 10%</w:t>
            </w:r>
          </w:p>
          <w:p w14:paraId="2931200D" w14:textId="77777777" w:rsidR="00841714" w:rsidRPr="000F0299" w:rsidRDefault="00841714" w:rsidP="00841714">
            <w:pPr>
              <w:spacing w:before="0"/>
              <w:ind w:firstLine="0"/>
            </w:pPr>
            <w:r w:rsidRPr="000F0299">
              <w:t>(2023): 15%</w:t>
            </w:r>
          </w:p>
          <w:p w14:paraId="5CA763A5" w14:textId="77777777" w:rsidR="00841714" w:rsidRPr="000F0299" w:rsidRDefault="00841714" w:rsidP="00841714">
            <w:pPr>
              <w:spacing w:before="0"/>
              <w:ind w:firstLine="0"/>
            </w:pPr>
            <w:r w:rsidRPr="000F0299">
              <w:t>(2024): 20%</w:t>
            </w:r>
          </w:p>
          <w:p w14:paraId="1CA69160" w14:textId="77777777" w:rsidR="00841714" w:rsidRPr="000F0299" w:rsidRDefault="00841714" w:rsidP="00841714">
            <w:pPr>
              <w:spacing w:before="0"/>
              <w:ind w:firstLine="0"/>
            </w:pPr>
            <w:r w:rsidRPr="000F0299">
              <w:t>(2025): 25%</w:t>
            </w:r>
          </w:p>
          <w:p w14:paraId="3D23E0F3" w14:textId="77777777" w:rsidR="00841714" w:rsidRPr="000F0299" w:rsidRDefault="00841714" w:rsidP="00841714">
            <w:pPr>
              <w:spacing w:before="0"/>
              <w:ind w:firstLine="0"/>
            </w:pPr>
            <w:r w:rsidRPr="000F0299">
              <w:t>(2027): -</w:t>
            </w:r>
          </w:p>
          <w:p w14:paraId="24799249" w14:textId="77777777" w:rsidR="00841714" w:rsidRPr="000F0299" w:rsidRDefault="00841714" w:rsidP="00841714">
            <w:pPr>
              <w:spacing w:before="0"/>
              <w:ind w:firstLine="0"/>
            </w:pPr>
            <w:r w:rsidRPr="000F0299">
              <w:t>(2030): -</w:t>
            </w:r>
          </w:p>
        </w:tc>
        <w:tc>
          <w:tcPr>
            <w:tcW w:w="185" w:type="pct"/>
            <w:tcBorders>
              <w:right w:val="single" w:sz="18" w:space="0" w:color="C00000"/>
            </w:tcBorders>
            <w:shd w:val="clear" w:color="auto" w:fill="auto"/>
          </w:tcPr>
          <w:p w14:paraId="66EDC359" w14:textId="77777777" w:rsidR="00841714" w:rsidRPr="000F0299" w:rsidRDefault="00841714" w:rsidP="00841714">
            <w:pPr>
              <w:spacing w:before="0"/>
              <w:ind w:firstLine="0"/>
            </w:pPr>
          </w:p>
        </w:tc>
      </w:tr>
      <w:tr w:rsidR="00841714" w:rsidRPr="000F0299" w14:paraId="0B14A769" w14:textId="77777777" w:rsidTr="00841714">
        <w:trPr>
          <w:trHeight w:val="340"/>
        </w:trPr>
        <w:tc>
          <w:tcPr>
            <w:tcW w:w="189" w:type="pct"/>
            <w:tcBorders>
              <w:left w:val="single" w:sz="18" w:space="0" w:color="C00000"/>
              <w:bottom w:val="single" w:sz="18" w:space="0" w:color="C00000"/>
            </w:tcBorders>
            <w:shd w:val="clear" w:color="auto" w:fill="auto"/>
          </w:tcPr>
          <w:p w14:paraId="308C4FEE" w14:textId="77777777" w:rsidR="00841714" w:rsidRPr="000F0299" w:rsidRDefault="00841714" w:rsidP="00841714">
            <w:pPr>
              <w:spacing w:before="0"/>
              <w:ind w:firstLine="0"/>
              <w:rPr>
                <w:sz w:val="16"/>
                <w:szCs w:val="16"/>
              </w:rPr>
            </w:pPr>
          </w:p>
        </w:tc>
        <w:tc>
          <w:tcPr>
            <w:tcW w:w="2557" w:type="pct"/>
            <w:tcBorders>
              <w:top w:val="single" w:sz="18" w:space="0" w:color="D9D9D9" w:themeColor="background1" w:themeShade="D9"/>
              <w:bottom w:val="single" w:sz="18" w:space="0" w:color="C00000"/>
            </w:tcBorders>
            <w:shd w:val="clear" w:color="auto" w:fill="auto"/>
          </w:tcPr>
          <w:p w14:paraId="11E3235F" w14:textId="77777777" w:rsidR="00841714" w:rsidRPr="000F0299" w:rsidRDefault="00841714" w:rsidP="00841714">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51D0B90B" w14:textId="77777777" w:rsidR="00841714" w:rsidRPr="000F0299" w:rsidRDefault="00841714" w:rsidP="00841714">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4F57CA6A" w14:textId="77777777" w:rsidR="00841714" w:rsidRPr="000F0299" w:rsidRDefault="00841714" w:rsidP="00841714">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75FD222A" w14:textId="77777777" w:rsidR="00841714" w:rsidRPr="000F0299" w:rsidRDefault="00841714" w:rsidP="00841714">
            <w:pPr>
              <w:spacing w:before="0"/>
              <w:ind w:firstLine="0"/>
              <w:rPr>
                <w:sz w:val="16"/>
                <w:szCs w:val="16"/>
              </w:rPr>
            </w:pPr>
          </w:p>
        </w:tc>
      </w:tr>
    </w:tbl>
    <w:p w14:paraId="32672E41" w14:textId="77777777" w:rsidR="00841714" w:rsidRPr="000F0299" w:rsidRDefault="00841714" w:rsidP="00841714">
      <w:r w:rsidRPr="000F0299">
        <w:rPr>
          <w:b/>
          <w:bCs/>
        </w:rPr>
        <w:t>Мера 4.1.5 –</w:t>
      </w:r>
      <w:r w:rsidRPr="000F0299">
        <w:t xml:space="preserve"> </w:t>
      </w:r>
      <w:r w:rsidRPr="000F0299">
        <w:rPr>
          <w:rStyle w:val="SubtleEmphasis"/>
          <w:b/>
          <w:bCs/>
          <w:i w:val="0"/>
          <w:iCs w:val="0"/>
          <w:color w:val="auto"/>
        </w:rPr>
        <w:t>Унапређење реактивне транспарентности, поступања по прописима из делокруга независних државних органа, односно по препорукама независних државних органа</w:t>
      </w:r>
      <w:r w:rsidRPr="000F0299">
        <w:t xml:space="preserve">: </w:t>
      </w:r>
      <w:r>
        <w:t>Ова мера је усмерена на</w:t>
      </w:r>
      <w:r w:rsidRPr="000F0299">
        <w:t xml:space="preserve"> одређене измене нормативног оквира како би се о</w:t>
      </w:r>
      <w:r>
        <w:t xml:space="preserve">сигурало </w:t>
      </w:r>
      <w:r w:rsidRPr="000F0299">
        <w:t>остваривањ</w:t>
      </w:r>
      <w:r>
        <w:t>е</w:t>
      </w:r>
      <w:r w:rsidRPr="000F0299">
        <w:t xml:space="preserve"> права на приступ информацијама од јавног значаја, као и поступањ</w:t>
      </w:r>
      <w:r>
        <w:t>е</w:t>
      </w:r>
      <w:r w:rsidRPr="000F0299">
        <w:t xml:space="preserve"> по препорукама Заштитника грађана</w:t>
      </w:r>
      <w:r>
        <w:t xml:space="preserve">, као и на </w:t>
      </w:r>
      <w:r w:rsidRPr="000F0299">
        <w:t>јачање капацитета Повереника за информације од јавног значаја и заштиту података о личности, односно органа задуженог за вршење послова инспекцијског надзора над спровођењем Закона о слободном приступу информацијама од јавног значаја.</w:t>
      </w:r>
    </w:p>
    <w:tbl>
      <w:tblPr>
        <w:tblW w:w="5000" w:type="pct"/>
        <w:tblLook w:val="00A0" w:firstRow="1" w:lastRow="0" w:firstColumn="1" w:lastColumn="0" w:noHBand="0" w:noVBand="0"/>
      </w:tblPr>
      <w:tblGrid>
        <w:gridCol w:w="337"/>
        <w:gridCol w:w="4621"/>
        <w:gridCol w:w="1867"/>
        <w:gridCol w:w="1867"/>
        <w:gridCol w:w="334"/>
      </w:tblGrid>
      <w:tr w:rsidR="00841714" w:rsidRPr="000F0299" w14:paraId="5D5D7A3D" w14:textId="77777777" w:rsidTr="00841714">
        <w:trPr>
          <w:trHeight w:val="20"/>
        </w:trPr>
        <w:tc>
          <w:tcPr>
            <w:tcW w:w="187" w:type="pct"/>
            <w:tcBorders>
              <w:top w:val="single" w:sz="18" w:space="0" w:color="C00000"/>
              <w:left w:val="single" w:sz="18" w:space="0" w:color="C00000"/>
            </w:tcBorders>
            <w:shd w:val="clear" w:color="auto" w:fill="auto"/>
          </w:tcPr>
          <w:p w14:paraId="3B66358D" w14:textId="77777777" w:rsidR="00841714" w:rsidRPr="000F0299" w:rsidRDefault="00841714" w:rsidP="00841714">
            <w:pPr>
              <w:spacing w:before="0"/>
              <w:ind w:firstLine="0"/>
              <w:rPr>
                <w:b/>
                <w:bCs/>
                <w:sz w:val="16"/>
                <w:szCs w:val="16"/>
              </w:rPr>
            </w:pPr>
          </w:p>
        </w:tc>
        <w:tc>
          <w:tcPr>
            <w:tcW w:w="2560" w:type="pct"/>
            <w:tcBorders>
              <w:top w:val="single" w:sz="18" w:space="0" w:color="C00000"/>
            </w:tcBorders>
            <w:shd w:val="clear" w:color="auto" w:fill="auto"/>
          </w:tcPr>
          <w:p w14:paraId="5B213611" w14:textId="77777777" w:rsidR="00841714" w:rsidRPr="000F0299" w:rsidRDefault="00841714" w:rsidP="00841714">
            <w:pPr>
              <w:spacing w:before="0"/>
              <w:ind w:firstLine="0"/>
              <w:rPr>
                <w:b/>
                <w:bCs/>
                <w:sz w:val="16"/>
                <w:szCs w:val="16"/>
              </w:rPr>
            </w:pPr>
          </w:p>
        </w:tc>
        <w:tc>
          <w:tcPr>
            <w:tcW w:w="1034" w:type="pct"/>
            <w:tcBorders>
              <w:top w:val="single" w:sz="18" w:space="0" w:color="C00000"/>
            </w:tcBorders>
            <w:shd w:val="clear" w:color="auto" w:fill="auto"/>
            <w:vAlign w:val="center"/>
          </w:tcPr>
          <w:p w14:paraId="24240DD5" w14:textId="77777777" w:rsidR="00841714" w:rsidRPr="000F0299" w:rsidRDefault="00841714" w:rsidP="00841714">
            <w:pPr>
              <w:spacing w:before="0"/>
              <w:ind w:firstLine="0"/>
              <w:jc w:val="center"/>
              <w:rPr>
                <w:b/>
                <w:bCs/>
                <w:sz w:val="16"/>
                <w:szCs w:val="16"/>
              </w:rPr>
            </w:pPr>
          </w:p>
        </w:tc>
        <w:tc>
          <w:tcPr>
            <w:tcW w:w="1034" w:type="pct"/>
            <w:tcBorders>
              <w:top w:val="single" w:sz="18" w:space="0" w:color="C00000"/>
            </w:tcBorders>
            <w:shd w:val="clear" w:color="auto" w:fill="auto"/>
            <w:vAlign w:val="center"/>
          </w:tcPr>
          <w:p w14:paraId="16336E30" w14:textId="77777777" w:rsidR="00841714" w:rsidRPr="000F0299" w:rsidRDefault="00841714" w:rsidP="00841714">
            <w:pPr>
              <w:spacing w:before="0"/>
              <w:ind w:firstLine="0"/>
              <w:jc w:val="center"/>
              <w:rPr>
                <w:b/>
                <w:bCs/>
                <w:sz w:val="16"/>
                <w:szCs w:val="16"/>
              </w:rPr>
            </w:pPr>
          </w:p>
        </w:tc>
        <w:tc>
          <w:tcPr>
            <w:tcW w:w="185" w:type="pct"/>
            <w:tcBorders>
              <w:top w:val="single" w:sz="18" w:space="0" w:color="C00000"/>
              <w:right w:val="single" w:sz="18" w:space="0" w:color="C00000"/>
            </w:tcBorders>
            <w:shd w:val="clear" w:color="auto" w:fill="auto"/>
          </w:tcPr>
          <w:p w14:paraId="4E16D7B1" w14:textId="77777777" w:rsidR="00841714" w:rsidRPr="000F0299" w:rsidRDefault="00841714" w:rsidP="00841714">
            <w:pPr>
              <w:spacing w:before="0"/>
              <w:ind w:firstLine="0"/>
              <w:jc w:val="center"/>
              <w:rPr>
                <w:b/>
                <w:bCs/>
                <w:sz w:val="16"/>
                <w:szCs w:val="16"/>
              </w:rPr>
            </w:pPr>
          </w:p>
        </w:tc>
      </w:tr>
      <w:tr w:rsidR="00841714" w:rsidRPr="000F0299" w14:paraId="22BC4D0F" w14:textId="77777777" w:rsidTr="00841714">
        <w:trPr>
          <w:trHeight w:val="490"/>
        </w:trPr>
        <w:tc>
          <w:tcPr>
            <w:tcW w:w="187" w:type="pct"/>
            <w:tcBorders>
              <w:left w:val="single" w:sz="18" w:space="0" w:color="C00000"/>
            </w:tcBorders>
            <w:shd w:val="clear" w:color="auto" w:fill="auto"/>
          </w:tcPr>
          <w:p w14:paraId="6627674D" w14:textId="77777777" w:rsidR="00841714" w:rsidRPr="000F0299" w:rsidRDefault="00841714" w:rsidP="00841714">
            <w:pPr>
              <w:spacing w:before="0"/>
              <w:ind w:firstLine="0"/>
              <w:rPr>
                <w:b/>
                <w:bCs/>
              </w:rPr>
            </w:pPr>
          </w:p>
        </w:tc>
        <w:tc>
          <w:tcPr>
            <w:tcW w:w="2560" w:type="pct"/>
            <w:tcBorders>
              <w:left w:val="nil"/>
              <w:bottom w:val="single" w:sz="18" w:space="0" w:color="C00000"/>
              <w:right w:val="single" w:sz="18" w:space="0" w:color="D9D9D9" w:themeColor="background1" w:themeShade="D9"/>
            </w:tcBorders>
            <w:shd w:val="clear" w:color="auto" w:fill="auto"/>
          </w:tcPr>
          <w:p w14:paraId="10B2D974" w14:textId="77777777" w:rsidR="00841714" w:rsidRPr="000F0299" w:rsidRDefault="00841714" w:rsidP="00841714">
            <w:pPr>
              <w:spacing w:before="0"/>
              <w:ind w:firstLine="0"/>
              <w:rPr>
                <w:b/>
                <w:bCs/>
              </w:rPr>
            </w:pPr>
            <w:r w:rsidRPr="000F0299">
              <w:rPr>
                <w:b/>
                <w:bCs/>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384D00DF" w14:textId="77777777" w:rsidR="00841714" w:rsidRPr="000F0299" w:rsidRDefault="00841714" w:rsidP="00841714">
            <w:pPr>
              <w:spacing w:before="0"/>
              <w:ind w:firstLine="0"/>
              <w:jc w:val="center"/>
              <w:rPr>
                <w:b/>
                <w:bCs/>
              </w:rPr>
            </w:pPr>
            <w:r w:rsidRPr="000F0299">
              <w:rPr>
                <w:b/>
                <w:bCs/>
              </w:rPr>
              <w:t>ПВ</w:t>
            </w:r>
          </w:p>
        </w:tc>
        <w:tc>
          <w:tcPr>
            <w:tcW w:w="1034" w:type="pct"/>
            <w:tcBorders>
              <w:left w:val="single" w:sz="18" w:space="0" w:color="D9D9D9" w:themeColor="background1" w:themeShade="D9"/>
              <w:bottom w:val="single" w:sz="18" w:space="0" w:color="C00000"/>
            </w:tcBorders>
            <w:shd w:val="clear" w:color="auto" w:fill="auto"/>
            <w:vAlign w:val="center"/>
          </w:tcPr>
          <w:p w14:paraId="7D273AA8" w14:textId="77777777" w:rsidR="00841714" w:rsidRPr="000F0299" w:rsidRDefault="00841714" w:rsidP="00841714">
            <w:pPr>
              <w:spacing w:before="0"/>
              <w:ind w:firstLine="0"/>
              <w:jc w:val="center"/>
              <w:rPr>
                <w:b/>
                <w:bCs/>
              </w:rPr>
            </w:pPr>
            <w:r w:rsidRPr="000F0299">
              <w:rPr>
                <w:b/>
                <w:bCs/>
              </w:rPr>
              <w:t>ЦВ</w:t>
            </w:r>
          </w:p>
        </w:tc>
        <w:tc>
          <w:tcPr>
            <w:tcW w:w="185" w:type="pct"/>
            <w:tcBorders>
              <w:right w:val="single" w:sz="18" w:space="0" w:color="C00000"/>
            </w:tcBorders>
            <w:shd w:val="clear" w:color="auto" w:fill="auto"/>
          </w:tcPr>
          <w:p w14:paraId="65024274" w14:textId="77777777" w:rsidR="00841714" w:rsidRPr="000F0299" w:rsidRDefault="00841714" w:rsidP="00841714">
            <w:pPr>
              <w:spacing w:before="0"/>
              <w:ind w:firstLine="0"/>
              <w:jc w:val="center"/>
              <w:rPr>
                <w:b/>
                <w:bCs/>
              </w:rPr>
            </w:pPr>
          </w:p>
        </w:tc>
      </w:tr>
      <w:tr w:rsidR="00841714" w:rsidRPr="000F0299" w14:paraId="22D8120B" w14:textId="77777777" w:rsidTr="00841714">
        <w:trPr>
          <w:trHeight w:val="380"/>
        </w:trPr>
        <w:tc>
          <w:tcPr>
            <w:tcW w:w="187" w:type="pct"/>
            <w:tcBorders>
              <w:left w:val="single" w:sz="18" w:space="0" w:color="C00000"/>
            </w:tcBorders>
            <w:shd w:val="clear" w:color="auto" w:fill="auto"/>
          </w:tcPr>
          <w:p w14:paraId="2CE50806" w14:textId="77777777" w:rsidR="00841714" w:rsidRPr="000F0299" w:rsidRDefault="00841714" w:rsidP="00841714">
            <w:pPr>
              <w:spacing w:before="0"/>
              <w:ind w:firstLine="0"/>
            </w:pPr>
          </w:p>
        </w:tc>
        <w:tc>
          <w:tcPr>
            <w:tcW w:w="2560"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6971A445" w14:textId="77777777" w:rsidR="00841714" w:rsidRPr="000F0299" w:rsidRDefault="00841714" w:rsidP="00841714">
            <w:pPr>
              <w:spacing w:before="0"/>
              <w:ind w:firstLine="0"/>
            </w:pPr>
            <w:r w:rsidRPr="000F0299">
              <w:t>Проценат извршења предложених</w:t>
            </w:r>
            <w:r>
              <w:t>,</w:t>
            </w:r>
            <w:r w:rsidRPr="000F0299">
              <w:t xml:space="preserve"> односно наложених мера у инспекцијском надзору над применом прописа о слободном приступу информацијама од јавног значаја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47B7DFF4" w14:textId="77777777" w:rsidR="00841714" w:rsidRPr="000F0299" w:rsidRDefault="00841714" w:rsidP="00841714">
            <w:pPr>
              <w:spacing w:before="0"/>
              <w:ind w:firstLine="0"/>
            </w:pPr>
            <w:r w:rsidRPr="000F0299">
              <w:t>(2020): 75%</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74177B43" w14:textId="77777777" w:rsidR="00841714" w:rsidRPr="000F0299" w:rsidRDefault="00841714" w:rsidP="00841714">
            <w:pPr>
              <w:spacing w:before="0"/>
              <w:ind w:firstLine="0"/>
            </w:pPr>
            <w:r w:rsidRPr="000F0299">
              <w:t>(2021): 80%</w:t>
            </w:r>
          </w:p>
          <w:p w14:paraId="43E0C18F" w14:textId="77777777" w:rsidR="00841714" w:rsidRPr="000F0299" w:rsidRDefault="00841714" w:rsidP="00841714">
            <w:pPr>
              <w:spacing w:before="0"/>
              <w:ind w:firstLine="0"/>
            </w:pPr>
            <w:r w:rsidRPr="000F0299">
              <w:t>(2022): 83%</w:t>
            </w:r>
          </w:p>
          <w:p w14:paraId="206E6D7B" w14:textId="77777777" w:rsidR="00841714" w:rsidRPr="000F0299" w:rsidRDefault="00841714" w:rsidP="00841714">
            <w:pPr>
              <w:spacing w:before="0"/>
              <w:ind w:firstLine="0"/>
            </w:pPr>
            <w:r w:rsidRPr="000F0299">
              <w:t>(2023): 85%</w:t>
            </w:r>
          </w:p>
          <w:p w14:paraId="476ADC0D" w14:textId="77777777" w:rsidR="00841714" w:rsidRPr="000F0299" w:rsidRDefault="00841714" w:rsidP="00841714">
            <w:pPr>
              <w:spacing w:before="0"/>
              <w:ind w:firstLine="0"/>
            </w:pPr>
            <w:r w:rsidRPr="000F0299">
              <w:t>(2024): 88%</w:t>
            </w:r>
          </w:p>
          <w:p w14:paraId="6988CCCA" w14:textId="77777777" w:rsidR="00841714" w:rsidRPr="000F0299" w:rsidRDefault="00841714" w:rsidP="00841714">
            <w:pPr>
              <w:spacing w:before="0"/>
              <w:ind w:firstLine="0"/>
            </w:pPr>
            <w:r w:rsidRPr="000F0299">
              <w:t>(2025): 90%</w:t>
            </w:r>
          </w:p>
          <w:p w14:paraId="40255B11" w14:textId="77777777" w:rsidR="00841714" w:rsidRPr="000F0299" w:rsidRDefault="00841714" w:rsidP="00841714">
            <w:pPr>
              <w:spacing w:before="0"/>
              <w:ind w:firstLine="0"/>
            </w:pPr>
            <w:r w:rsidRPr="000F0299">
              <w:t>(2027): -</w:t>
            </w:r>
          </w:p>
          <w:p w14:paraId="7423746A" w14:textId="77777777" w:rsidR="00841714" w:rsidRPr="000F0299" w:rsidRDefault="00841714" w:rsidP="00841714">
            <w:pPr>
              <w:spacing w:before="0"/>
              <w:ind w:firstLine="0"/>
            </w:pPr>
            <w:r w:rsidRPr="000F0299">
              <w:t>(2030): -</w:t>
            </w:r>
          </w:p>
        </w:tc>
        <w:tc>
          <w:tcPr>
            <w:tcW w:w="185" w:type="pct"/>
            <w:tcBorders>
              <w:right w:val="single" w:sz="18" w:space="0" w:color="C00000"/>
            </w:tcBorders>
            <w:shd w:val="clear" w:color="auto" w:fill="auto"/>
          </w:tcPr>
          <w:p w14:paraId="0F35ED2A" w14:textId="77777777" w:rsidR="00841714" w:rsidRPr="000F0299" w:rsidRDefault="00841714" w:rsidP="00841714">
            <w:pPr>
              <w:spacing w:before="0"/>
              <w:ind w:firstLine="0"/>
            </w:pPr>
          </w:p>
        </w:tc>
      </w:tr>
      <w:tr w:rsidR="00841714" w:rsidRPr="000F0299" w14:paraId="020C6325" w14:textId="77777777" w:rsidTr="00841714">
        <w:trPr>
          <w:trHeight w:val="380"/>
        </w:trPr>
        <w:tc>
          <w:tcPr>
            <w:tcW w:w="187" w:type="pct"/>
            <w:tcBorders>
              <w:left w:val="single" w:sz="18" w:space="0" w:color="C00000"/>
            </w:tcBorders>
            <w:shd w:val="clear" w:color="auto" w:fill="auto"/>
          </w:tcPr>
          <w:p w14:paraId="5638E2CC" w14:textId="77777777" w:rsidR="00841714" w:rsidRPr="000F0299" w:rsidRDefault="00841714" w:rsidP="00841714">
            <w:pPr>
              <w:spacing w:before="0"/>
              <w:ind w:firstLine="0"/>
            </w:pPr>
          </w:p>
        </w:tc>
        <w:tc>
          <w:tcPr>
            <w:tcW w:w="4628" w:type="pct"/>
            <w:gridSpan w:val="3"/>
            <w:tcBorders>
              <w:top w:val="single" w:sz="18" w:space="0" w:color="D9D9D9" w:themeColor="background1" w:themeShade="D9"/>
              <w:left w:val="nil"/>
              <w:bottom w:val="single" w:sz="18" w:space="0" w:color="D9D9D9" w:themeColor="background1" w:themeShade="D9"/>
            </w:tcBorders>
            <w:shd w:val="clear" w:color="auto" w:fill="auto"/>
          </w:tcPr>
          <w:p w14:paraId="5F618BCB" w14:textId="77777777" w:rsidR="00841714" w:rsidRPr="000F0299" w:rsidRDefault="00841714" w:rsidP="00841714">
            <w:pPr>
              <w:spacing w:before="0"/>
              <w:ind w:firstLine="0"/>
            </w:pPr>
            <w:r w:rsidRPr="000F0299">
              <w:t>Проценат органа јавне управе на централном нивоу који поступају по одлукама/препорукама Повереника за информације од јавног значаја и заштиту података о личности и Заштитника грађана</w:t>
            </w:r>
          </w:p>
        </w:tc>
        <w:tc>
          <w:tcPr>
            <w:tcW w:w="185" w:type="pct"/>
            <w:tcBorders>
              <w:right w:val="single" w:sz="18" w:space="0" w:color="C00000"/>
            </w:tcBorders>
            <w:shd w:val="clear" w:color="auto" w:fill="auto"/>
          </w:tcPr>
          <w:p w14:paraId="3C3CC2DD" w14:textId="77777777" w:rsidR="00841714" w:rsidRPr="000F0299" w:rsidRDefault="00841714" w:rsidP="00841714">
            <w:pPr>
              <w:spacing w:before="0"/>
              <w:ind w:firstLine="0"/>
            </w:pPr>
          </w:p>
        </w:tc>
      </w:tr>
      <w:tr w:rsidR="00841714" w:rsidRPr="000F0299" w14:paraId="41D7EC52" w14:textId="77777777" w:rsidTr="00841714">
        <w:trPr>
          <w:trHeight w:val="380"/>
        </w:trPr>
        <w:tc>
          <w:tcPr>
            <w:tcW w:w="187" w:type="pct"/>
            <w:tcBorders>
              <w:left w:val="single" w:sz="18" w:space="0" w:color="C00000"/>
            </w:tcBorders>
            <w:shd w:val="clear" w:color="auto" w:fill="auto"/>
          </w:tcPr>
          <w:p w14:paraId="3044212A" w14:textId="77777777" w:rsidR="00841714" w:rsidRPr="000F0299" w:rsidRDefault="00841714" w:rsidP="00841714">
            <w:pPr>
              <w:spacing w:before="0"/>
              <w:ind w:firstLine="0"/>
            </w:pPr>
          </w:p>
        </w:tc>
        <w:tc>
          <w:tcPr>
            <w:tcW w:w="2560" w:type="pct"/>
            <w:tcBorders>
              <w:top w:val="single" w:sz="18" w:space="0" w:color="D9D9D9" w:themeColor="background1" w:themeShade="D9"/>
              <w:left w:val="nil"/>
              <w:bottom w:val="single" w:sz="18" w:space="0" w:color="D9D9D9" w:themeColor="background1" w:themeShade="D9"/>
              <w:right w:val="single" w:sz="18" w:space="0" w:color="D9D9D9" w:themeColor="background1" w:themeShade="D9"/>
            </w:tcBorders>
            <w:shd w:val="clear" w:color="auto" w:fill="auto"/>
          </w:tcPr>
          <w:p w14:paraId="40B90DDE" w14:textId="77777777" w:rsidR="00841714" w:rsidRPr="000F0299" w:rsidRDefault="00841714" w:rsidP="00841714">
            <w:pPr>
              <w:spacing w:before="0"/>
              <w:ind w:firstLine="0"/>
            </w:pPr>
            <w:r w:rsidRPr="000F0299">
              <w:t>Повереник за информације од јавног значаја и заштиту података о личности</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1655E4AD" w14:textId="77777777" w:rsidR="00841714" w:rsidRPr="000F0299" w:rsidRDefault="00841714" w:rsidP="00841714">
            <w:pPr>
              <w:spacing w:before="0"/>
              <w:ind w:firstLine="0"/>
            </w:pPr>
            <w:r w:rsidRPr="000F0299">
              <w:t>(2020): 65%</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tcBorders>
            <w:shd w:val="clear" w:color="auto" w:fill="auto"/>
          </w:tcPr>
          <w:p w14:paraId="78329151" w14:textId="77777777" w:rsidR="00841714" w:rsidRPr="000F0299" w:rsidRDefault="00841714" w:rsidP="00841714">
            <w:pPr>
              <w:spacing w:before="0"/>
              <w:ind w:firstLine="0"/>
            </w:pPr>
            <w:r w:rsidRPr="000F0299">
              <w:t>(2021): 65%</w:t>
            </w:r>
          </w:p>
          <w:p w14:paraId="46FDD3C6" w14:textId="77777777" w:rsidR="00841714" w:rsidRPr="000F0299" w:rsidRDefault="00841714" w:rsidP="00841714">
            <w:pPr>
              <w:spacing w:before="0"/>
              <w:ind w:firstLine="0"/>
            </w:pPr>
            <w:r w:rsidRPr="000F0299">
              <w:t>(2022): 68%</w:t>
            </w:r>
          </w:p>
          <w:p w14:paraId="12B23CCE" w14:textId="77777777" w:rsidR="00841714" w:rsidRPr="000F0299" w:rsidRDefault="00841714" w:rsidP="00841714">
            <w:pPr>
              <w:spacing w:before="0"/>
              <w:ind w:firstLine="0"/>
            </w:pPr>
            <w:r w:rsidRPr="000F0299">
              <w:t>(2023): 72%</w:t>
            </w:r>
          </w:p>
          <w:p w14:paraId="5AD37790" w14:textId="77777777" w:rsidR="00841714" w:rsidRPr="000F0299" w:rsidRDefault="00841714" w:rsidP="00841714">
            <w:pPr>
              <w:spacing w:before="0"/>
              <w:ind w:firstLine="0"/>
            </w:pPr>
            <w:r w:rsidRPr="000F0299">
              <w:t>(2024): 76%</w:t>
            </w:r>
          </w:p>
          <w:p w14:paraId="7D9EA926" w14:textId="77777777" w:rsidR="00841714" w:rsidRPr="000F0299" w:rsidRDefault="00841714" w:rsidP="00841714">
            <w:pPr>
              <w:spacing w:before="0"/>
              <w:ind w:firstLine="0"/>
            </w:pPr>
            <w:r w:rsidRPr="000F0299">
              <w:t>(2025): 80%</w:t>
            </w:r>
          </w:p>
          <w:p w14:paraId="4ACC0ED7" w14:textId="77777777" w:rsidR="00841714" w:rsidRPr="000F0299" w:rsidRDefault="00841714" w:rsidP="00841714">
            <w:pPr>
              <w:spacing w:before="0"/>
              <w:ind w:firstLine="0"/>
            </w:pPr>
            <w:r w:rsidRPr="000F0299">
              <w:t>(2027): -</w:t>
            </w:r>
          </w:p>
          <w:p w14:paraId="116227A6" w14:textId="77777777" w:rsidR="00841714" w:rsidRPr="000F0299" w:rsidRDefault="00841714" w:rsidP="00841714">
            <w:pPr>
              <w:spacing w:before="0"/>
              <w:ind w:firstLine="0"/>
            </w:pPr>
            <w:r w:rsidRPr="000F0299">
              <w:t>(2030): -</w:t>
            </w:r>
          </w:p>
        </w:tc>
        <w:tc>
          <w:tcPr>
            <w:tcW w:w="185" w:type="pct"/>
            <w:tcBorders>
              <w:right w:val="single" w:sz="18" w:space="0" w:color="C00000"/>
            </w:tcBorders>
            <w:shd w:val="clear" w:color="auto" w:fill="auto"/>
          </w:tcPr>
          <w:p w14:paraId="7D97C11A" w14:textId="77777777" w:rsidR="00841714" w:rsidRPr="000F0299" w:rsidRDefault="00841714" w:rsidP="00841714">
            <w:pPr>
              <w:spacing w:before="0"/>
              <w:ind w:firstLine="0"/>
            </w:pPr>
          </w:p>
        </w:tc>
      </w:tr>
      <w:tr w:rsidR="00841714" w:rsidRPr="000F0299" w14:paraId="24A79D44" w14:textId="77777777" w:rsidTr="00841714">
        <w:trPr>
          <w:trHeight w:val="380"/>
        </w:trPr>
        <w:tc>
          <w:tcPr>
            <w:tcW w:w="187" w:type="pct"/>
            <w:tcBorders>
              <w:left w:val="single" w:sz="18" w:space="0" w:color="C00000"/>
            </w:tcBorders>
            <w:shd w:val="clear" w:color="auto" w:fill="auto"/>
          </w:tcPr>
          <w:p w14:paraId="1391D298" w14:textId="77777777" w:rsidR="00841714" w:rsidRPr="000F0299" w:rsidRDefault="00841714" w:rsidP="00841714">
            <w:pPr>
              <w:spacing w:before="0"/>
              <w:ind w:firstLine="0"/>
            </w:pPr>
          </w:p>
        </w:tc>
        <w:tc>
          <w:tcPr>
            <w:tcW w:w="2560" w:type="pct"/>
            <w:tcBorders>
              <w:top w:val="single" w:sz="18" w:space="0" w:color="D9D9D9" w:themeColor="background1" w:themeShade="D9"/>
              <w:left w:val="nil"/>
              <w:bottom w:val="single" w:sz="18" w:space="0" w:color="D9D9D9" w:themeColor="background1" w:themeShade="D9"/>
              <w:right w:val="single" w:sz="18" w:space="0" w:color="D9D9D9" w:themeColor="background1" w:themeShade="D9"/>
            </w:tcBorders>
            <w:shd w:val="clear" w:color="auto" w:fill="auto"/>
          </w:tcPr>
          <w:p w14:paraId="5C48CBA9" w14:textId="77777777" w:rsidR="00841714" w:rsidRPr="000F0299" w:rsidRDefault="00841714" w:rsidP="00841714">
            <w:pPr>
              <w:spacing w:before="0"/>
              <w:ind w:firstLine="0"/>
            </w:pPr>
            <w:r w:rsidRPr="000F0299">
              <w:t>Заштитник грађана</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6FBA064E" w14:textId="77777777" w:rsidR="00841714" w:rsidRPr="000F0299" w:rsidRDefault="00841714" w:rsidP="00841714">
            <w:pPr>
              <w:spacing w:before="0"/>
              <w:ind w:firstLine="0"/>
            </w:pPr>
            <w:r w:rsidRPr="000F0299">
              <w:t>(2020): 81</w:t>
            </w:r>
            <w:r>
              <w:t>,</w:t>
            </w:r>
            <w:r w:rsidRPr="000F0299">
              <w:t>43%</w:t>
            </w:r>
          </w:p>
        </w:tc>
        <w:tc>
          <w:tcPr>
            <w:tcW w:w="1034" w:type="pct"/>
            <w:tcBorders>
              <w:top w:val="single" w:sz="18" w:space="0" w:color="D9D9D9" w:themeColor="background1" w:themeShade="D9"/>
              <w:left w:val="single" w:sz="18" w:space="0" w:color="D9D9D9" w:themeColor="background1" w:themeShade="D9"/>
              <w:bottom w:val="single" w:sz="18" w:space="0" w:color="D9D9D9" w:themeColor="background1" w:themeShade="D9"/>
            </w:tcBorders>
            <w:shd w:val="clear" w:color="auto" w:fill="auto"/>
          </w:tcPr>
          <w:p w14:paraId="4E90DE76" w14:textId="77777777" w:rsidR="00841714" w:rsidRPr="000F0299" w:rsidRDefault="00841714" w:rsidP="00841714">
            <w:pPr>
              <w:spacing w:before="0"/>
              <w:ind w:firstLine="0"/>
            </w:pPr>
            <w:r w:rsidRPr="000F0299">
              <w:t>(2021): 82%</w:t>
            </w:r>
          </w:p>
          <w:p w14:paraId="26B34616" w14:textId="77777777" w:rsidR="00841714" w:rsidRPr="000F0299" w:rsidRDefault="00841714" w:rsidP="00841714">
            <w:pPr>
              <w:spacing w:before="0"/>
              <w:ind w:firstLine="0"/>
            </w:pPr>
            <w:r w:rsidRPr="000F0299">
              <w:t>(2022): 85%</w:t>
            </w:r>
          </w:p>
          <w:p w14:paraId="46947F13" w14:textId="77777777" w:rsidR="00841714" w:rsidRPr="000F0299" w:rsidRDefault="00841714" w:rsidP="00841714">
            <w:pPr>
              <w:spacing w:before="0"/>
              <w:ind w:firstLine="0"/>
            </w:pPr>
            <w:r w:rsidRPr="000F0299">
              <w:t>(2023): 87%</w:t>
            </w:r>
          </w:p>
          <w:p w14:paraId="49DBE7E0" w14:textId="77777777" w:rsidR="00841714" w:rsidRPr="000F0299" w:rsidRDefault="00841714" w:rsidP="00841714">
            <w:pPr>
              <w:spacing w:before="0"/>
              <w:ind w:firstLine="0"/>
            </w:pPr>
            <w:r w:rsidRPr="000F0299">
              <w:t>(2024): 89%</w:t>
            </w:r>
          </w:p>
          <w:p w14:paraId="145B4C67" w14:textId="77777777" w:rsidR="00841714" w:rsidRPr="000F0299" w:rsidRDefault="00841714" w:rsidP="00841714">
            <w:pPr>
              <w:spacing w:before="0"/>
              <w:ind w:firstLine="0"/>
            </w:pPr>
            <w:r w:rsidRPr="000F0299">
              <w:t>(2025): 91,2%</w:t>
            </w:r>
          </w:p>
          <w:p w14:paraId="0D8EBE99" w14:textId="77777777" w:rsidR="00841714" w:rsidRPr="000F0299" w:rsidRDefault="00841714" w:rsidP="00841714">
            <w:pPr>
              <w:spacing w:before="0"/>
              <w:ind w:firstLine="0"/>
            </w:pPr>
            <w:r w:rsidRPr="000F0299">
              <w:t>(2027): -</w:t>
            </w:r>
          </w:p>
          <w:p w14:paraId="3832A962" w14:textId="77777777" w:rsidR="00841714" w:rsidRPr="000F0299" w:rsidRDefault="00841714" w:rsidP="00841714">
            <w:pPr>
              <w:spacing w:before="0"/>
              <w:ind w:firstLine="0"/>
            </w:pPr>
            <w:r w:rsidRPr="000F0299">
              <w:t>(2030): -</w:t>
            </w:r>
          </w:p>
        </w:tc>
        <w:tc>
          <w:tcPr>
            <w:tcW w:w="185" w:type="pct"/>
            <w:tcBorders>
              <w:right w:val="single" w:sz="18" w:space="0" w:color="C00000"/>
            </w:tcBorders>
            <w:shd w:val="clear" w:color="auto" w:fill="auto"/>
          </w:tcPr>
          <w:p w14:paraId="0A98D81E" w14:textId="77777777" w:rsidR="00841714" w:rsidRPr="000F0299" w:rsidRDefault="00841714" w:rsidP="00841714">
            <w:pPr>
              <w:spacing w:before="0"/>
              <w:ind w:firstLine="0"/>
            </w:pPr>
          </w:p>
        </w:tc>
      </w:tr>
      <w:tr w:rsidR="00841714" w:rsidRPr="000F0299" w14:paraId="5EC3C909" w14:textId="77777777" w:rsidTr="00841714">
        <w:trPr>
          <w:trHeight w:val="340"/>
        </w:trPr>
        <w:tc>
          <w:tcPr>
            <w:tcW w:w="187" w:type="pct"/>
            <w:tcBorders>
              <w:left w:val="single" w:sz="18" w:space="0" w:color="C00000"/>
              <w:bottom w:val="single" w:sz="18" w:space="0" w:color="C00000"/>
            </w:tcBorders>
            <w:shd w:val="clear" w:color="auto" w:fill="auto"/>
          </w:tcPr>
          <w:p w14:paraId="4D48ED2E" w14:textId="77777777" w:rsidR="00841714" w:rsidRPr="000F0299" w:rsidRDefault="00841714" w:rsidP="00841714">
            <w:pPr>
              <w:spacing w:before="0"/>
              <w:ind w:firstLine="0"/>
              <w:rPr>
                <w:sz w:val="16"/>
                <w:szCs w:val="16"/>
              </w:rPr>
            </w:pPr>
          </w:p>
        </w:tc>
        <w:tc>
          <w:tcPr>
            <w:tcW w:w="2560" w:type="pct"/>
            <w:tcBorders>
              <w:top w:val="single" w:sz="18" w:space="0" w:color="D9D9D9" w:themeColor="background1" w:themeShade="D9"/>
              <w:bottom w:val="single" w:sz="18" w:space="0" w:color="C00000"/>
            </w:tcBorders>
            <w:shd w:val="clear" w:color="auto" w:fill="auto"/>
          </w:tcPr>
          <w:p w14:paraId="01BFCF63" w14:textId="77777777" w:rsidR="00841714" w:rsidRPr="000F0299" w:rsidRDefault="00841714" w:rsidP="00841714">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3683BBFE" w14:textId="77777777" w:rsidR="00841714" w:rsidRPr="000F0299" w:rsidRDefault="00841714" w:rsidP="00841714">
            <w:pPr>
              <w:spacing w:before="0"/>
              <w:ind w:firstLine="0"/>
              <w:rPr>
                <w:sz w:val="16"/>
                <w:szCs w:val="16"/>
              </w:rPr>
            </w:pPr>
          </w:p>
        </w:tc>
        <w:tc>
          <w:tcPr>
            <w:tcW w:w="1034" w:type="pct"/>
            <w:tcBorders>
              <w:top w:val="single" w:sz="18" w:space="0" w:color="D9D9D9" w:themeColor="background1" w:themeShade="D9"/>
              <w:bottom w:val="single" w:sz="18" w:space="0" w:color="C00000"/>
            </w:tcBorders>
            <w:shd w:val="clear" w:color="auto" w:fill="auto"/>
          </w:tcPr>
          <w:p w14:paraId="76CFCD7F" w14:textId="77777777" w:rsidR="00841714" w:rsidRPr="000F0299" w:rsidRDefault="00841714" w:rsidP="00841714">
            <w:pPr>
              <w:spacing w:before="0"/>
              <w:ind w:firstLine="0"/>
              <w:rPr>
                <w:sz w:val="16"/>
                <w:szCs w:val="16"/>
              </w:rPr>
            </w:pPr>
          </w:p>
        </w:tc>
        <w:tc>
          <w:tcPr>
            <w:tcW w:w="185" w:type="pct"/>
            <w:tcBorders>
              <w:bottom w:val="single" w:sz="18" w:space="0" w:color="C00000"/>
              <w:right w:val="single" w:sz="18" w:space="0" w:color="C00000"/>
            </w:tcBorders>
            <w:shd w:val="clear" w:color="auto" w:fill="auto"/>
          </w:tcPr>
          <w:p w14:paraId="1D0B8A42" w14:textId="77777777" w:rsidR="00841714" w:rsidRPr="000F0299" w:rsidRDefault="00841714" w:rsidP="00841714">
            <w:pPr>
              <w:spacing w:before="0"/>
              <w:ind w:firstLine="0"/>
              <w:rPr>
                <w:sz w:val="16"/>
                <w:szCs w:val="16"/>
              </w:rPr>
            </w:pPr>
          </w:p>
        </w:tc>
      </w:tr>
    </w:tbl>
    <w:p w14:paraId="18044DEA" w14:textId="77777777" w:rsidR="00841714" w:rsidRPr="000F0299" w:rsidRDefault="00841714" w:rsidP="00841714"/>
    <w:p w14:paraId="782DD635" w14:textId="77777777" w:rsidR="00841714" w:rsidRPr="000F0299" w:rsidRDefault="00841714" w:rsidP="00841714">
      <w:pPr>
        <w:rPr>
          <w:lang w:eastAsia="de-DE"/>
        </w:rPr>
        <w:sectPr w:rsidR="00841714" w:rsidRPr="000F0299">
          <w:headerReference w:type="default" r:id="rId155"/>
          <w:footerReference w:type="default" r:id="rId156"/>
          <w:pgSz w:w="11906" w:h="16838"/>
          <w:pgMar w:top="1417" w:right="1417" w:bottom="1134" w:left="1417" w:header="708" w:footer="708" w:gutter="0"/>
          <w:cols w:space="708"/>
          <w:docGrid w:linePitch="360"/>
        </w:sectPr>
      </w:pPr>
      <w:r w:rsidRPr="000F0299">
        <w:rPr>
          <w:lang w:eastAsia="de-DE"/>
        </w:rPr>
        <w:tab/>
      </w:r>
    </w:p>
    <w:p w14:paraId="79406EB9" w14:textId="25F4203A" w:rsidR="00B10543" w:rsidRPr="000F0299" w:rsidRDefault="00CB1AD5" w:rsidP="000D7EF9">
      <w:pPr>
        <w:pStyle w:val="Heading3"/>
        <w:rPr>
          <w:lang w:val="sr-Cyrl-RS"/>
        </w:rPr>
      </w:pPr>
      <w:bookmarkStart w:id="224" w:name="_Toc57661492"/>
      <w:bookmarkEnd w:id="219"/>
      <w:r w:rsidRPr="000F0299">
        <w:rPr>
          <w:lang w:val="sr-Cyrl-RS"/>
        </w:rPr>
        <w:t xml:space="preserve">Дрво циљева – </w:t>
      </w:r>
      <w:r w:rsidR="002324BC" w:rsidRPr="000F0299">
        <w:rPr>
          <w:lang w:val="sr-Cyrl-RS"/>
        </w:rPr>
        <w:t>О</w:t>
      </w:r>
      <w:r w:rsidRPr="000F0299">
        <w:rPr>
          <w:lang w:val="sr-Cyrl-RS"/>
        </w:rPr>
        <w:t>дговорност и транспарентност у јавној управи</w:t>
      </w:r>
      <w:bookmarkEnd w:id="224"/>
    </w:p>
    <w:p w14:paraId="7904723A" w14:textId="77777777" w:rsidR="0037461F" w:rsidRPr="000F0299" w:rsidRDefault="0037461F" w:rsidP="00244E7C"/>
    <w:p w14:paraId="63C647B4" w14:textId="7CB3264F" w:rsidR="00441BE2" w:rsidRPr="000F0299" w:rsidRDefault="00121529" w:rsidP="00244E7C">
      <w:pPr>
        <w:rPr>
          <w:rFonts w:eastAsia="Times New Roman"/>
        </w:rPr>
        <w:sectPr w:rsidR="00441BE2" w:rsidRPr="000F0299" w:rsidSect="008D0528">
          <w:headerReference w:type="default" r:id="rId157"/>
          <w:footerReference w:type="default" r:id="rId158"/>
          <w:pgSz w:w="23814" w:h="16839" w:orient="landscape" w:code="8"/>
          <w:pgMar w:top="720" w:right="1440" w:bottom="720" w:left="1440" w:header="706" w:footer="706" w:gutter="0"/>
          <w:cols w:space="708"/>
          <w:docGrid w:linePitch="360"/>
        </w:sectPr>
      </w:pPr>
      <w:r>
        <w:rPr>
          <w:noProof/>
          <w:lang w:val="en-US" w:eastAsia="en-US" w:bidi="ar-SA"/>
        </w:rPr>
        <mc:AlternateContent>
          <mc:Choice Requires="wps">
            <w:drawing>
              <wp:anchor distT="0" distB="0" distL="114300" distR="114300" simplePos="0" relativeHeight="252065280" behindDoc="0" locked="0" layoutInCell="1" allowOverlap="1" wp14:anchorId="78997CEE" wp14:editId="439B0297">
                <wp:simplePos x="0" y="0"/>
                <wp:positionH relativeFrom="column">
                  <wp:posOffset>3672713</wp:posOffset>
                </wp:positionH>
                <wp:positionV relativeFrom="paragraph">
                  <wp:posOffset>6225052</wp:posOffset>
                </wp:positionV>
                <wp:extent cx="7122769" cy="289723"/>
                <wp:effectExtent l="0" t="0" r="2540" b="0"/>
                <wp:wrapNone/>
                <wp:docPr id="405" name="Text Box 405"/>
                <wp:cNvGraphicFramePr/>
                <a:graphic xmlns:a="http://schemas.openxmlformats.org/drawingml/2006/main">
                  <a:graphicData uri="http://schemas.microsoft.com/office/word/2010/wordprocessingShape">
                    <wps:wsp>
                      <wps:cNvSpPr txBox="1"/>
                      <wps:spPr>
                        <a:xfrm>
                          <a:off x="0" y="0"/>
                          <a:ext cx="7122769" cy="289723"/>
                        </a:xfrm>
                        <a:prstGeom prst="rect">
                          <a:avLst/>
                        </a:prstGeom>
                        <a:solidFill>
                          <a:prstClr val="white"/>
                        </a:solidFill>
                        <a:ln>
                          <a:noFill/>
                        </a:ln>
                      </wps:spPr>
                      <wps:txbx>
                        <w:txbxContent>
                          <w:p w14:paraId="715C8425" w14:textId="77C522BF" w:rsidR="00876FFE" w:rsidRPr="00A47702" w:rsidRDefault="00876FFE" w:rsidP="00A47702">
                            <w:pPr>
                              <w:pStyle w:val="Caption"/>
                              <w:rPr>
                                <w:i w:val="0"/>
                                <w:iCs w:val="0"/>
                                <w:noProof/>
                                <w:sz w:val="24"/>
                                <w:szCs w:val="24"/>
                              </w:rPr>
                            </w:pPr>
                            <w:bookmarkStart w:id="225" w:name="_Toc57665367"/>
                            <w:r w:rsidRPr="00A47702">
                              <w:rPr>
                                <w:i w:val="0"/>
                                <w:iCs w:val="0"/>
                              </w:rPr>
                              <w:t xml:space="preserve">Графикон </w:t>
                            </w:r>
                            <w:r w:rsidRPr="00A47702">
                              <w:rPr>
                                <w:i w:val="0"/>
                                <w:iCs w:val="0"/>
                              </w:rPr>
                              <w:fldChar w:fldCharType="begin"/>
                            </w:r>
                            <w:r w:rsidRPr="00A47702">
                              <w:rPr>
                                <w:i w:val="0"/>
                                <w:iCs w:val="0"/>
                              </w:rPr>
                              <w:instrText xml:space="preserve"> SEQ Графикон \* ARABIC </w:instrText>
                            </w:r>
                            <w:r w:rsidRPr="00A47702">
                              <w:rPr>
                                <w:i w:val="0"/>
                                <w:iCs w:val="0"/>
                              </w:rPr>
                              <w:fldChar w:fldCharType="separate"/>
                            </w:r>
                            <w:r>
                              <w:rPr>
                                <w:i w:val="0"/>
                                <w:iCs w:val="0"/>
                                <w:noProof/>
                              </w:rPr>
                              <w:t>31</w:t>
                            </w:r>
                            <w:r w:rsidRPr="00A47702">
                              <w:rPr>
                                <w:i w:val="0"/>
                                <w:iCs w:val="0"/>
                              </w:rPr>
                              <w:fldChar w:fldCharType="end"/>
                            </w:r>
                            <w:r w:rsidRPr="00A47702">
                              <w:rPr>
                                <w:i w:val="0"/>
                                <w:iCs w:val="0"/>
                              </w:rPr>
                              <w:t xml:space="preserve"> Дрво циљева – Одговорност и транспарентност у јавној управи</w:t>
                            </w:r>
                            <w:bookmarkEnd w:id="2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997CEE" id="Text Box 405" o:spid="_x0000_s1317" type="#_x0000_t202" style="position:absolute;left:0;text-align:left;margin-left:289.2pt;margin-top:490.15pt;width:560.85pt;height:22.8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" stroked="f">
                <v:textbox inset="0,0,0,0">
                  <w:txbxContent>
                    <w:p w14:paraId="715C8425" w14:textId="77C522BF" w:rsidR="00876FFE" w:rsidRPr="00A47702" w:rsidRDefault="00876FFE" w:rsidP="00A47702">
                      <w:pPr>
                        <w:pStyle w:val="Caption"/>
                        <w:rPr>
                          <w:i w:val="0"/>
                          <w:iCs w:val="0"/>
                          <w:noProof/>
                          <w:sz w:val="24"/>
                          <w:szCs w:val="24"/>
                        </w:rPr>
                      </w:pPr>
                      <w:bookmarkStart w:id="243" w:name="_Toc57665367"/>
                      <w:r w:rsidRPr="00A47702">
                        <w:rPr>
                          <w:i w:val="0"/>
                          <w:iCs w:val="0"/>
                        </w:rPr>
                        <w:t xml:space="preserve">Графикон </w:t>
                      </w:r>
                      <w:r w:rsidRPr="00A47702">
                        <w:rPr>
                          <w:i w:val="0"/>
                          <w:iCs w:val="0"/>
                        </w:rPr>
                        <w:fldChar w:fldCharType="begin"/>
                      </w:r>
                      <w:r w:rsidRPr="00A47702">
                        <w:rPr>
                          <w:i w:val="0"/>
                          <w:iCs w:val="0"/>
                        </w:rPr>
                        <w:instrText xml:space="preserve"> SEQ Графикон \* ARABIC </w:instrText>
                      </w:r>
                      <w:r w:rsidRPr="00A47702">
                        <w:rPr>
                          <w:i w:val="0"/>
                          <w:iCs w:val="0"/>
                        </w:rPr>
                        <w:fldChar w:fldCharType="separate"/>
                      </w:r>
                      <w:r>
                        <w:rPr>
                          <w:i w:val="0"/>
                          <w:iCs w:val="0"/>
                          <w:noProof/>
                        </w:rPr>
                        <w:t>31</w:t>
                      </w:r>
                      <w:r w:rsidRPr="00A47702">
                        <w:rPr>
                          <w:i w:val="0"/>
                          <w:iCs w:val="0"/>
                        </w:rPr>
                        <w:fldChar w:fldCharType="end"/>
                      </w:r>
                      <w:r w:rsidRPr="00A47702">
                        <w:rPr>
                          <w:i w:val="0"/>
                          <w:iCs w:val="0"/>
                        </w:rPr>
                        <w:t xml:space="preserve"> </w:t>
                      </w:r>
                      <w:r w:rsidRPr="00A47702">
                        <w:rPr>
                          <w:i w:val="0"/>
                          <w:iCs w:val="0"/>
                        </w:rPr>
                        <w:t>Дрво циљева – Одговорност и транспарентност у јавној управи</w:t>
                      </w:r>
                      <w:bookmarkEnd w:id="243"/>
                    </w:p>
                  </w:txbxContent>
                </v:textbox>
              </v:shape>
            </w:pict>
          </mc:Fallback>
        </mc:AlternateContent>
      </w:r>
      <w:r>
        <w:rPr>
          <w:noProof/>
          <w:lang w:val="en-US" w:eastAsia="en-US" w:bidi="ar-SA"/>
        </w:rPr>
        <mc:AlternateContent>
          <mc:Choice Requires="wps">
            <w:drawing>
              <wp:anchor distT="0" distB="0" distL="114300" distR="114300" simplePos="0" relativeHeight="252000768" behindDoc="0" locked="0" layoutInCell="1" allowOverlap="1" wp14:anchorId="6DA3542A" wp14:editId="2CBF3778">
                <wp:simplePos x="0" y="0"/>
                <wp:positionH relativeFrom="column">
                  <wp:posOffset>8187967</wp:posOffset>
                </wp:positionH>
                <wp:positionV relativeFrom="paragraph">
                  <wp:posOffset>4879902</wp:posOffset>
                </wp:positionV>
                <wp:extent cx="2668905" cy="1231900"/>
                <wp:effectExtent l="0" t="0" r="17145" b="2540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8905" cy="1231900"/>
                        </a:xfrm>
                        <a:prstGeom prst="roundRect">
                          <a:avLst/>
                        </a:prstGeom>
                        <a:solidFill>
                          <a:schemeClr val="bg1"/>
                        </a:solidFill>
                        <a:ln w="19050">
                          <a:solidFill>
                            <a:srgbClr val="CCD7EA"/>
                          </a:solidFill>
                        </a:ln>
                        <a:effectLst/>
                      </wps:spPr>
                      <wps:txbx>
                        <w:txbxContent>
                          <w:p w14:paraId="585CE767" w14:textId="77777777" w:rsidR="00876FFE" w:rsidRPr="00841714" w:rsidRDefault="00876FFE" w:rsidP="00D00C27">
                            <w:pPr>
                              <w:spacing w:before="0"/>
                              <w:ind w:firstLine="0"/>
                              <w:jc w:val="center"/>
                              <w:rPr>
                                <w:rFonts w:asciiTheme="minorHAnsi" w:hAnsiTheme="minorHAnsi" w:cstheme="minorHAnsi"/>
                                <w:sz w:val="22"/>
                                <w:szCs w:val="22"/>
                              </w:rPr>
                            </w:pPr>
                            <w:r w:rsidRPr="00841714">
                              <w:rPr>
                                <w:rFonts w:asciiTheme="minorHAnsi" w:hAnsiTheme="minorHAnsi" w:cstheme="minorHAnsi"/>
                                <w:sz w:val="22"/>
                                <w:szCs w:val="22"/>
                              </w:rPr>
                              <w:t>Израда едукативних материјала и спровођење обука о стандардима отворених података и раду са Порталом отворених података за запослене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A3542A" id="Text Box 500" o:spid="_x0000_s1318" style="position:absolute;left:0;text-align:left;margin-left:644.7pt;margin-top:384.25pt;width:210.15pt;height:97pt;z-index:25200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" fillcolor="white [3212]" strokecolor="#ccd7ea" strokeweight="1.5pt">
                <v:path arrowok="t"/>
                <v:textbox inset="0,0,0,0">
                  <w:txbxContent>
                    <w:p w14:paraId="585CE767" w14:textId="77777777" w:rsidR="00876FFE" w:rsidRPr="00841714" w:rsidRDefault="00876FFE" w:rsidP="00D00C27">
                      <w:pPr>
                        <w:spacing w:before="0"/>
                        <w:ind w:firstLine="0"/>
                        <w:jc w:val="center"/>
                        <w:rPr>
                          <w:rFonts w:asciiTheme="minorHAnsi" w:hAnsiTheme="minorHAnsi" w:cstheme="minorHAnsi"/>
                          <w:sz w:val="22"/>
                          <w:szCs w:val="22"/>
                        </w:rPr>
                      </w:pPr>
                      <w:r w:rsidRPr="00841714">
                        <w:rPr>
                          <w:rFonts w:asciiTheme="minorHAnsi" w:hAnsiTheme="minorHAnsi" w:cstheme="minorHAnsi"/>
                          <w:sz w:val="22"/>
                          <w:szCs w:val="22"/>
                        </w:rPr>
                        <w:t>Израда едукативних материјала и спровођење обука о стандардима отворених података и раду са Порталом отворених података за запослене</w:t>
                      </w:r>
                    </w:p>
                  </w:txbxContent>
                </v:textbox>
              </v:roundrect>
            </w:pict>
          </mc:Fallback>
        </mc:AlternateContent>
      </w:r>
      <w:r w:rsidR="00D00C27" w:rsidRPr="000F0299">
        <w:rPr>
          <w:noProof/>
          <w:lang w:val="en-US" w:eastAsia="en-US" w:bidi="ar-SA"/>
        </w:rPr>
        <mc:AlternateContent>
          <mc:Choice Requires="wps">
            <w:drawing>
              <wp:anchor distT="0" distB="0" distL="114300" distR="114300" simplePos="0" relativeHeight="251322880" behindDoc="0" locked="0" layoutInCell="1" allowOverlap="1" wp14:anchorId="556421B7" wp14:editId="3EBFBD8D">
                <wp:simplePos x="0" y="0"/>
                <wp:positionH relativeFrom="column">
                  <wp:posOffset>11068050</wp:posOffset>
                </wp:positionH>
                <wp:positionV relativeFrom="paragraph">
                  <wp:posOffset>1212215</wp:posOffset>
                </wp:positionV>
                <wp:extent cx="2656840" cy="1377950"/>
                <wp:effectExtent l="19050" t="19050" r="10160" b="1270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840" cy="1377950"/>
                        </a:xfrm>
                        <a:prstGeom prst="roundRect">
                          <a:avLst/>
                        </a:prstGeom>
                        <a:solidFill>
                          <a:sysClr val="window" lastClr="FFFFFF"/>
                        </a:solidFill>
                        <a:ln w="38100" cmpd="dbl">
                          <a:solidFill>
                            <a:srgbClr val="839DCC"/>
                          </a:solidFill>
                        </a:ln>
                        <a:effectLst/>
                      </wps:spPr>
                      <wps:txbx>
                        <w:txbxContent>
                          <w:p w14:paraId="1625D510" w14:textId="66AEA5AA" w:rsidR="00876FFE" w:rsidRPr="00D00C27" w:rsidRDefault="00876FFE" w:rsidP="00D00C27">
                            <w:pPr>
                              <w:spacing w:before="0"/>
                              <w:ind w:firstLine="0"/>
                              <w:jc w:val="center"/>
                              <w:rPr>
                                <w:rFonts w:asciiTheme="minorHAnsi" w:hAnsiTheme="minorHAnsi" w:cstheme="minorHAnsi"/>
                              </w:rPr>
                            </w:pPr>
                            <w:r w:rsidRPr="00D00C27">
                              <w:rPr>
                                <w:rFonts w:asciiTheme="minorHAnsi" w:hAnsiTheme="minorHAnsi" w:cstheme="minorHAnsi"/>
                              </w:rPr>
                              <w:t xml:space="preserve">Унапређење </w:t>
                            </w:r>
                            <w:r w:rsidRPr="00D00C27">
                              <w:rPr>
                                <w:rFonts w:asciiTheme="minorHAnsi" w:hAnsiTheme="minorHAnsi" w:cstheme="minorHAnsi"/>
                                <w:b/>
                              </w:rPr>
                              <w:t>реактивне транспарентности</w:t>
                            </w:r>
                            <w:r w:rsidRPr="00D00C27">
                              <w:rPr>
                                <w:rFonts w:asciiTheme="minorHAnsi" w:hAnsiTheme="minorHAnsi" w:cstheme="minorHAnsi"/>
                              </w:rPr>
                              <w:t>, поступања по прописима из делокруга независних државних органа, односно по препорукама независних државних органа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6421B7" id="Text Box 523" o:spid="_x0000_s1319" style="position:absolute;left:0;text-align:left;margin-left:871.5pt;margin-top:95.45pt;width:209.2pt;height:108.5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" fillcolor="window" strokecolor="#839dcc" strokeweight="3pt">
                <v:stroke linestyle="thinThin"/>
                <v:path arrowok="t"/>
                <v:textbox inset="0,0,0,0">
                  <w:txbxContent>
                    <w:p w14:paraId="1625D510" w14:textId="66AEA5AA" w:rsidR="00876FFE" w:rsidRPr="00D00C27" w:rsidRDefault="00876FFE" w:rsidP="00D00C27">
                      <w:pPr>
                        <w:spacing w:before="0"/>
                        <w:ind w:firstLine="0"/>
                        <w:jc w:val="center"/>
                        <w:rPr>
                          <w:rFonts w:asciiTheme="minorHAnsi" w:hAnsiTheme="minorHAnsi" w:cstheme="minorHAnsi"/>
                        </w:rPr>
                      </w:pPr>
                      <w:r w:rsidRPr="00D00C27">
                        <w:rPr>
                          <w:rFonts w:asciiTheme="minorHAnsi" w:hAnsiTheme="minorHAnsi" w:cstheme="minorHAnsi"/>
                        </w:rPr>
                        <w:t xml:space="preserve">Унапређење </w:t>
                      </w:r>
                      <w:r w:rsidRPr="00D00C27">
                        <w:rPr>
                          <w:rFonts w:asciiTheme="minorHAnsi" w:hAnsiTheme="minorHAnsi" w:cstheme="minorHAnsi"/>
                          <w:b/>
                        </w:rPr>
                        <w:t>реактивне транспарентности</w:t>
                      </w:r>
                      <w:r w:rsidRPr="00D00C27">
                        <w:rPr>
                          <w:rFonts w:asciiTheme="minorHAnsi" w:hAnsiTheme="minorHAnsi" w:cstheme="minorHAnsi"/>
                        </w:rPr>
                        <w:t>, поступања по прописима из делокруга независних државних органа, односно по препорукама независних државних органа</w:t>
                      </w:r>
                    </w:p>
                  </w:txbxContent>
                </v:textbox>
              </v:roundrect>
            </w:pict>
          </mc:Fallback>
        </mc:AlternateContent>
      </w:r>
      <w:r w:rsidR="00D00C27" w:rsidRPr="000F0299">
        <w:rPr>
          <w:noProof/>
          <w:lang w:val="en-US" w:eastAsia="en-US" w:bidi="ar-SA"/>
        </w:rPr>
        <mc:AlternateContent>
          <mc:Choice Requires="wps">
            <w:drawing>
              <wp:anchor distT="0" distB="0" distL="114298" distR="114298" simplePos="0" relativeHeight="251324928" behindDoc="0" locked="0" layoutInCell="1" allowOverlap="1" wp14:anchorId="6484BB6A" wp14:editId="5CD7A496">
                <wp:simplePos x="0" y="0"/>
                <wp:positionH relativeFrom="column">
                  <wp:posOffset>101600</wp:posOffset>
                </wp:positionH>
                <wp:positionV relativeFrom="paragraph">
                  <wp:posOffset>2475865</wp:posOffset>
                </wp:positionV>
                <wp:extent cx="0" cy="427355"/>
                <wp:effectExtent l="57150" t="38100" r="57150" b="10795"/>
                <wp:wrapNone/>
                <wp:docPr id="517" name="Straight Arrow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7355"/>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67A827" id="Straight Arrow Connector 517" o:spid="_x0000_s1026" type="#_x0000_t32" style="position:absolute;margin-left:8pt;margin-top:194.95pt;width:0;height:33.65pt;flip:y;z-index:251324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" strokecolor="#ccd7ea" strokeweight="2.25pt">
                <v:stroke endarrow="block" joinstyle="miter"/>
                <o:lock v:ext="edit" shapetype="f"/>
              </v:shape>
            </w:pict>
          </mc:Fallback>
        </mc:AlternateContent>
      </w:r>
      <w:r w:rsidR="00D00C27" w:rsidRPr="000F0299">
        <w:rPr>
          <w:noProof/>
          <w:lang w:val="en-US" w:eastAsia="en-US" w:bidi="ar-SA"/>
        </w:rPr>
        <mc:AlternateContent>
          <mc:Choice Requires="wps">
            <w:drawing>
              <wp:anchor distT="0" distB="0" distL="114298" distR="114298" simplePos="0" relativeHeight="251333120" behindDoc="0" locked="0" layoutInCell="1" allowOverlap="1" wp14:anchorId="0F8DFE97" wp14:editId="57D1EA94">
                <wp:simplePos x="0" y="0"/>
                <wp:positionH relativeFrom="column">
                  <wp:posOffset>3009900</wp:posOffset>
                </wp:positionH>
                <wp:positionV relativeFrom="paragraph">
                  <wp:posOffset>2475865</wp:posOffset>
                </wp:positionV>
                <wp:extent cx="0" cy="427355"/>
                <wp:effectExtent l="57150" t="38100" r="57150" b="10795"/>
                <wp:wrapNone/>
                <wp:docPr id="514" name="Straight Arrow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7355"/>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9075FC" id="Straight Arrow Connector 514" o:spid="_x0000_s1026" type="#_x0000_t32" style="position:absolute;margin-left:237pt;margin-top:194.95pt;width:0;height:33.65pt;flip:y;z-index:25133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" strokecolor="#ccd7ea" strokeweight="2.25pt">
                <v:stroke endarrow="block" joinstyle="miter"/>
                <o:lock v:ext="edit" shapetype="f"/>
              </v:shape>
            </w:pict>
          </mc:Fallback>
        </mc:AlternateContent>
      </w:r>
      <w:r w:rsidR="00D00C27" w:rsidRPr="000F0299">
        <w:rPr>
          <w:noProof/>
          <w:lang w:val="en-US" w:eastAsia="en-US" w:bidi="ar-SA"/>
        </w:rPr>
        <mc:AlternateContent>
          <mc:Choice Requires="wps">
            <w:drawing>
              <wp:anchor distT="0" distB="0" distL="114298" distR="114298" simplePos="0" relativeHeight="251342336" behindDoc="0" locked="0" layoutInCell="1" allowOverlap="1" wp14:anchorId="1061659F" wp14:editId="2B2112AC">
                <wp:simplePos x="0" y="0"/>
                <wp:positionH relativeFrom="column">
                  <wp:posOffset>13106400</wp:posOffset>
                </wp:positionH>
                <wp:positionV relativeFrom="paragraph">
                  <wp:posOffset>2615565</wp:posOffset>
                </wp:positionV>
                <wp:extent cx="0" cy="427355"/>
                <wp:effectExtent l="57150" t="38100" r="57150" b="10795"/>
                <wp:wrapNone/>
                <wp:docPr id="510" name="Straight Arrow Connector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7355"/>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B3DD8D" id="Straight Arrow Connector 510" o:spid="_x0000_s1026" type="#_x0000_t32" style="position:absolute;margin-left:1032pt;margin-top:205.95pt;width:0;height:33.65pt;flip:y;z-index:25134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" strokecolor="#ccd7ea" strokeweight="2.25pt">
                <v:stroke endarrow="block" joinstyle="miter"/>
                <o:lock v:ext="edit" shapetype="f"/>
              </v:shape>
            </w:pict>
          </mc:Fallback>
        </mc:AlternateContent>
      </w:r>
      <w:r w:rsidR="00D00C27" w:rsidRPr="000F0299">
        <w:rPr>
          <w:noProof/>
          <w:lang w:val="en-US" w:eastAsia="en-US" w:bidi="ar-SA"/>
        </w:rPr>
        <mc:AlternateContent>
          <mc:Choice Requires="wps">
            <w:drawing>
              <wp:anchor distT="0" distB="0" distL="114298" distR="114298" simplePos="0" relativeHeight="251341312" behindDoc="0" locked="0" layoutInCell="1" allowOverlap="1" wp14:anchorId="0B4906F6" wp14:editId="2ED62155">
                <wp:simplePos x="0" y="0"/>
                <wp:positionH relativeFrom="column">
                  <wp:posOffset>11696700</wp:posOffset>
                </wp:positionH>
                <wp:positionV relativeFrom="paragraph">
                  <wp:posOffset>2602865</wp:posOffset>
                </wp:positionV>
                <wp:extent cx="0" cy="360000"/>
                <wp:effectExtent l="57150" t="38100" r="57150" b="2540"/>
                <wp:wrapNone/>
                <wp:docPr id="503" name="Straight Arrow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0000"/>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91C93" id="Straight Arrow Connector 503" o:spid="_x0000_s1026" type="#_x0000_t32" style="position:absolute;margin-left:921pt;margin-top:204.95pt;width:0;height:28.35pt;flip:y;z-index:25134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" strokecolor="#ccd7ea" strokeweight="2.25pt">
                <v:stroke endarrow="block" joinstyle="miter"/>
                <o:lock v:ext="edit" shapetype="f"/>
              </v:shape>
            </w:pict>
          </mc:Fallback>
        </mc:AlternateContent>
      </w:r>
      <w:r w:rsidR="00D00C27" w:rsidRPr="000F0299">
        <w:rPr>
          <w:noProof/>
          <w:lang w:val="en-US" w:eastAsia="en-US" w:bidi="ar-SA"/>
        </w:rPr>
        <mc:AlternateContent>
          <mc:Choice Requires="wps">
            <w:drawing>
              <wp:anchor distT="0" distB="0" distL="114300" distR="114300" simplePos="0" relativeHeight="251340288" behindDoc="0" locked="0" layoutInCell="1" allowOverlap="1" wp14:anchorId="52620198" wp14:editId="67C99357">
                <wp:simplePos x="0" y="0"/>
                <wp:positionH relativeFrom="column">
                  <wp:posOffset>11010900</wp:posOffset>
                </wp:positionH>
                <wp:positionV relativeFrom="paragraph">
                  <wp:posOffset>2935605</wp:posOffset>
                </wp:positionV>
                <wp:extent cx="1384300" cy="3186462"/>
                <wp:effectExtent l="0" t="0" r="25400" b="1397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0" cy="3186462"/>
                        </a:xfrm>
                        <a:prstGeom prst="roundRect">
                          <a:avLst/>
                        </a:prstGeom>
                        <a:solidFill>
                          <a:schemeClr val="bg1"/>
                        </a:solidFill>
                        <a:ln w="19050">
                          <a:solidFill>
                            <a:srgbClr val="CCD7EA"/>
                          </a:solidFill>
                        </a:ln>
                        <a:effectLst/>
                      </wps:spPr>
                      <wps:txbx>
                        <w:txbxContent>
                          <w:p w14:paraId="4897A7EE" w14:textId="77777777" w:rsidR="00876FFE" w:rsidRPr="00841714" w:rsidRDefault="00876FFE" w:rsidP="00D00C27">
                            <w:pPr>
                              <w:ind w:firstLine="0"/>
                              <w:jc w:val="center"/>
                              <w:rPr>
                                <w:rFonts w:asciiTheme="minorHAnsi" w:hAnsiTheme="minorHAnsi" w:cstheme="minorHAnsi"/>
                                <w:sz w:val="22"/>
                                <w:szCs w:val="22"/>
                              </w:rPr>
                            </w:pPr>
                            <w:r w:rsidRPr="00841714">
                              <w:rPr>
                                <w:rFonts w:asciiTheme="minorHAnsi" w:hAnsiTheme="minorHAnsi" w:cstheme="minorHAnsi"/>
                                <w:sz w:val="22"/>
                                <w:szCs w:val="22"/>
                              </w:rPr>
                              <w:t xml:space="preserve">Унапређење нормативног и </w:t>
                            </w:r>
                            <w:r w:rsidRPr="00841714">
                              <w:rPr>
                                <w:rFonts w:asciiTheme="minorHAnsi" w:hAnsiTheme="minorHAnsi" w:cstheme="minorHAnsi"/>
                                <w:spacing w:val="-24"/>
                                <w:sz w:val="22"/>
                                <w:szCs w:val="22"/>
                              </w:rPr>
                              <w:t xml:space="preserve">институционалног </w:t>
                            </w:r>
                            <w:r w:rsidRPr="00841714">
                              <w:rPr>
                                <w:rFonts w:asciiTheme="minorHAnsi" w:hAnsiTheme="minorHAnsi" w:cstheme="minorHAnsi"/>
                                <w:sz w:val="22"/>
                                <w:szCs w:val="22"/>
                              </w:rPr>
                              <w:t xml:space="preserve">оквира за вршење надзора над спровођењем Закона о слободном приступу </w:t>
                            </w:r>
                            <w:r w:rsidRPr="00841714">
                              <w:rPr>
                                <w:rFonts w:asciiTheme="minorHAnsi" w:hAnsiTheme="minorHAnsi" w:cstheme="minorHAnsi"/>
                                <w:spacing w:val="-8"/>
                                <w:sz w:val="22"/>
                                <w:szCs w:val="22"/>
                              </w:rPr>
                              <w:t xml:space="preserve">информацијама </w:t>
                            </w:r>
                            <w:r w:rsidRPr="00841714">
                              <w:rPr>
                                <w:rFonts w:asciiTheme="minorHAnsi" w:hAnsiTheme="minorHAnsi" w:cstheme="minorHAnsi"/>
                                <w:sz w:val="22"/>
                                <w:szCs w:val="22"/>
                              </w:rPr>
                              <w:t>од јавног значаја и обезбеђивање извршења решења Повереника непосредном принудом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620198" id="Text Box 502" o:spid="_x0000_s1320" style="position:absolute;left:0;text-align:left;margin-left:867pt;margin-top:231.15pt;width:109pt;height:250.9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" fillcolor="white [3212]" strokecolor="#ccd7ea" strokeweight="1.5pt">
                <v:path arrowok="t"/>
                <v:textbox inset="0,0,0,0">
                  <w:txbxContent>
                    <w:p w14:paraId="4897A7EE" w14:textId="77777777" w:rsidR="00876FFE" w:rsidRPr="00841714" w:rsidRDefault="00876FFE" w:rsidP="00D00C27">
                      <w:pPr>
                        <w:ind w:firstLine="0"/>
                        <w:jc w:val="center"/>
                        <w:rPr>
                          <w:rFonts w:asciiTheme="minorHAnsi" w:hAnsiTheme="minorHAnsi" w:cstheme="minorHAnsi"/>
                          <w:sz w:val="22"/>
                          <w:szCs w:val="22"/>
                        </w:rPr>
                      </w:pPr>
                      <w:r w:rsidRPr="00841714">
                        <w:rPr>
                          <w:rFonts w:asciiTheme="minorHAnsi" w:hAnsiTheme="minorHAnsi" w:cstheme="minorHAnsi"/>
                          <w:sz w:val="22"/>
                          <w:szCs w:val="22"/>
                        </w:rPr>
                        <w:t xml:space="preserve">Унапређење </w:t>
                      </w:r>
                      <w:r w:rsidRPr="00841714">
                        <w:rPr>
                          <w:rFonts w:asciiTheme="minorHAnsi" w:hAnsiTheme="minorHAnsi" w:cstheme="minorHAnsi"/>
                          <w:sz w:val="22"/>
                          <w:szCs w:val="22"/>
                        </w:rPr>
                        <w:t xml:space="preserve">нормативног и </w:t>
                      </w:r>
                      <w:r w:rsidRPr="00841714">
                        <w:rPr>
                          <w:rFonts w:asciiTheme="minorHAnsi" w:hAnsiTheme="minorHAnsi" w:cstheme="minorHAnsi"/>
                          <w:spacing w:val="-24"/>
                          <w:sz w:val="22"/>
                          <w:szCs w:val="22"/>
                        </w:rPr>
                        <w:t xml:space="preserve">институционалног </w:t>
                      </w:r>
                      <w:r w:rsidRPr="00841714">
                        <w:rPr>
                          <w:rFonts w:asciiTheme="minorHAnsi" w:hAnsiTheme="minorHAnsi" w:cstheme="minorHAnsi"/>
                          <w:sz w:val="22"/>
                          <w:szCs w:val="22"/>
                        </w:rPr>
                        <w:t xml:space="preserve">оквира за вршење надзора над спровођењем Закона о слободном приступу </w:t>
                      </w:r>
                      <w:r w:rsidRPr="00841714">
                        <w:rPr>
                          <w:rFonts w:asciiTheme="minorHAnsi" w:hAnsiTheme="minorHAnsi" w:cstheme="minorHAnsi"/>
                          <w:spacing w:val="-8"/>
                          <w:sz w:val="22"/>
                          <w:szCs w:val="22"/>
                        </w:rPr>
                        <w:t xml:space="preserve">информацијама </w:t>
                      </w:r>
                      <w:r w:rsidRPr="00841714">
                        <w:rPr>
                          <w:rFonts w:asciiTheme="minorHAnsi" w:hAnsiTheme="minorHAnsi" w:cstheme="minorHAnsi"/>
                          <w:sz w:val="22"/>
                          <w:szCs w:val="22"/>
                        </w:rPr>
                        <w:t>од јавног значаја и обезбеђивање извршења решења Повереника непосредном принудом</w:t>
                      </w:r>
                    </w:p>
                  </w:txbxContent>
                </v:textbox>
              </v:roundrect>
            </w:pict>
          </mc:Fallback>
        </mc:AlternateContent>
      </w:r>
      <w:r w:rsidR="00D00C27" w:rsidRPr="000F0299">
        <w:rPr>
          <w:noProof/>
          <w:lang w:val="en-US" w:eastAsia="en-US" w:bidi="ar-SA"/>
        </w:rPr>
        <mc:AlternateContent>
          <mc:Choice Requires="wps">
            <w:drawing>
              <wp:anchor distT="0" distB="0" distL="114300" distR="114300" simplePos="0" relativeHeight="251328000" behindDoc="0" locked="0" layoutInCell="1" allowOverlap="1" wp14:anchorId="69AEE5D7" wp14:editId="3B266C2A">
                <wp:simplePos x="0" y="0"/>
                <wp:positionH relativeFrom="column">
                  <wp:posOffset>12395200</wp:posOffset>
                </wp:positionH>
                <wp:positionV relativeFrom="paragraph">
                  <wp:posOffset>748665</wp:posOffset>
                </wp:positionV>
                <wp:extent cx="635" cy="481330"/>
                <wp:effectExtent l="57150" t="38100" r="75565" b="13970"/>
                <wp:wrapNone/>
                <wp:docPr id="493" name="Straight Arrow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481330"/>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B16AB" id="Straight Arrow Connector 493" o:spid="_x0000_s1026" type="#_x0000_t32" style="position:absolute;margin-left:976pt;margin-top:58.95pt;width:.05pt;height:37.9pt;flip:y;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" strokecolor="#ccd7ea" strokeweight="2.25pt">
                <v:stroke endarrow="block" joinstyle="miter"/>
                <o:lock v:ext="edit" shapetype="f"/>
              </v:shape>
            </w:pict>
          </mc:Fallback>
        </mc:AlternateContent>
      </w:r>
      <w:r w:rsidR="00D00C27" w:rsidRPr="000F0299">
        <w:rPr>
          <w:noProof/>
          <w:lang w:val="en-US" w:eastAsia="en-US" w:bidi="ar-SA"/>
        </w:rPr>
        <mc:AlternateContent>
          <mc:Choice Requires="wps">
            <w:drawing>
              <wp:anchor distT="0" distB="0" distL="114300" distR="114300" simplePos="0" relativeHeight="251343360" behindDoc="0" locked="0" layoutInCell="1" allowOverlap="1" wp14:anchorId="23178E48" wp14:editId="4C104EE4">
                <wp:simplePos x="0" y="0"/>
                <wp:positionH relativeFrom="column">
                  <wp:posOffset>12473940</wp:posOffset>
                </wp:positionH>
                <wp:positionV relativeFrom="paragraph">
                  <wp:posOffset>2935605</wp:posOffset>
                </wp:positionV>
                <wp:extent cx="1384300" cy="3175000"/>
                <wp:effectExtent l="0" t="0" r="25400" b="2540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0" cy="3175000"/>
                        </a:xfrm>
                        <a:prstGeom prst="roundRect">
                          <a:avLst/>
                        </a:prstGeom>
                        <a:solidFill>
                          <a:schemeClr val="bg1"/>
                        </a:solidFill>
                        <a:ln w="19050">
                          <a:solidFill>
                            <a:srgbClr val="CCD7EA"/>
                          </a:solidFill>
                        </a:ln>
                        <a:effectLst/>
                      </wps:spPr>
                      <wps:txbx>
                        <w:txbxContent>
                          <w:p w14:paraId="492769E8" w14:textId="77777777" w:rsidR="00876FFE" w:rsidRPr="00841714" w:rsidRDefault="00876FFE" w:rsidP="00841714">
                            <w:pPr>
                              <w:ind w:firstLine="0"/>
                              <w:jc w:val="center"/>
                              <w:rPr>
                                <w:rFonts w:asciiTheme="minorHAnsi" w:hAnsiTheme="minorHAnsi" w:cstheme="minorHAnsi"/>
                                <w:sz w:val="22"/>
                                <w:szCs w:val="22"/>
                              </w:rPr>
                            </w:pPr>
                            <w:r w:rsidRPr="00841714">
                              <w:rPr>
                                <w:rFonts w:asciiTheme="minorHAnsi" w:hAnsiTheme="minorHAnsi" w:cstheme="minorHAnsi"/>
                                <w:sz w:val="22"/>
                                <w:szCs w:val="22"/>
                              </w:rPr>
                              <w:t>Успостављање механизма системског праћења поступања органа јавне управе по препорукама/одлукама независних државних органа и обавезе за органе јавне управе да објаве извештај о примени тих препорука/одлука</w:t>
                            </w:r>
                          </w:p>
                          <w:p w14:paraId="7814351E" w14:textId="6938F54D" w:rsidR="00876FFE" w:rsidRPr="00841714" w:rsidRDefault="00876FFE" w:rsidP="00D00C27">
                            <w:pPr>
                              <w:ind w:firstLine="0"/>
                              <w:jc w:val="center"/>
                              <w:rPr>
                                <w:rFonts w:asciiTheme="minorHAnsi" w:hAnsiTheme="minorHAnsi" w:cstheme="minorHAnsi"/>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178E48" id="Text Box 501" o:spid="_x0000_s1321" style="position:absolute;left:0;text-align:left;margin-left:982.2pt;margin-top:231.15pt;width:109pt;height:250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" fillcolor="white [3212]" strokecolor="#ccd7ea" strokeweight="1.5pt">
                <v:path arrowok="t"/>
                <v:textbox inset="0,0,0,0">
                  <w:txbxContent>
                    <w:p w14:paraId="492769E8" w14:textId="77777777" w:rsidR="00876FFE" w:rsidRPr="00841714" w:rsidRDefault="00876FFE" w:rsidP="00841714">
                      <w:pPr>
                        <w:ind w:firstLine="0"/>
                        <w:jc w:val="center"/>
                        <w:rPr>
                          <w:rFonts w:asciiTheme="minorHAnsi" w:hAnsiTheme="minorHAnsi" w:cstheme="minorHAnsi"/>
                          <w:sz w:val="22"/>
                          <w:szCs w:val="22"/>
                        </w:rPr>
                      </w:pPr>
                      <w:r w:rsidRPr="00841714">
                        <w:rPr>
                          <w:rFonts w:asciiTheme="minorHAnsi" w:hAnsiTheme="minorHAnsi" w:cstheme="minorHAnsi"/>
                          <w:sz w:val="22"/>
                          <w:szCs w:val="22"/>
                        </w:rPr>
                        <w:t xml:space="preserve">Успостављање </w:t>
                      </w:r>
                      <w:r w:rsidRPr="00841714">
                        <w:rPr>
                          <w:rFonts w:asciiTheme="minorHAnsi" w:hAnsiTheme="minorHAnsi" w:cstheme="minorHAnsi"/>
                          <w:sz w:val="22"/>
                          <w:szCs w:val="22"/>
                        </w:rPr>
                        <w:t>механизма системског праћења поступања органа јавне управе по препорукама/одлукама независних државних органа и обавезе за органе јавне управе да објаве извештај о примени тих препорука/одлука</w:t>
                      </w:r>
                    </w:p>
                    <w:p w14:paraId="7814351E" w14:textId="6938F54D" w:rsidR="00876FFE" w:rsidRPr="00841714" w:rsidRDefault="00876FFE" w:rsidP="00D00C27">
                      <w:pPr>
                        <w:ind w:firstLine="0"/>
                        <w:jc w:val="center"/>
                        <w:rPr>
                          <w:rFonts w:asciiTheme="minorHAnsi" w:hAnsiTheme="minorHAnsi" w:cstheme="minorHAnsi"/>
                          <w:sz w:val="22"/>
                          <w:szCs w:val="22"/>
                        </w:rPr>
                      </w:pPr>
                    </w:p>
                  </w:txbxContent>
                </v:textbox>
              </v:roundrect>
            </w:pict>
          </mc:Fallback>
        </mc:AlternateContent>
      </w:r>
      <w:r w:rsidR="00D00C27" w:rsidRPr="000F0299">
        <w:rPr>
          <w:noProof/>
          <w:lang w:val="en-US" w:eastAsia="en-US" w:bidi="ar-SA"/>
        </w:rPr>
        <mc:AlternateContent>
          <mc:Choice Requires="wps">
            <w:drawing>
              <wp:anchor distT="0" distB="0" distL="114298" distR="114298" simplePos="0" relativeHeight="251350528" behindDoc="0" locked="0" layoutInCell="1" allowOverlap="1" wp14:anchorId="0D9422E8" wp14:editId="28AF4D2F">
                <wp:simplePos x="0" y="0"/>
                <wp:positionH relativeFrom="column">
                  <wp:posOffset>9500235</wp:posOffset>
                </wp:positionH>
                <wp:positionV relativeFrom="paragraph">
                  <wp:posOffset>755015</wp:posOffset>
                </wp:positionV>
                <wp:extent cx="0" cy="481965"/>
                <wp:effectExtent l="57150" t="38100" r="57150" b="13335"/>
                <wp:wrapNone/>
                <wp:docPr id="492" name="Straight Arrow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1965"/>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D0434" id="Straight Arrow Connector 492" o:spid="_x0000_s1026" type="#_x0000_t32" style="position:absolute;margin-left:748.05pt;margin-top:59.45pt;width:0;height:37.95pt;flip:y;z-index:25135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" strokecolor="#ccd7ea" strokeweight="2.25pt">
                <v:stroke endarrow="block" joinstyle="miter"/>
                <o:lock v:ext="edit" shapetype="f"/>
              </v:shape>
            </w:pict>
          </mc:Fallback>
        </mc:AlternateContent>
      </w:r>
      <w:r w:rsidR="00D00C27" w:rsidRPr="000F0299">
        <w:rPr>
          <w:noProof/>
          <w:lang w:val="en-US" w:eastAsia="en-US" w:bidi="ar-SA"/>
        </w:rPr>
        <mc:AlternateContent>
          <mc:Choice Requires="wps">
            <w:drawing>
              <wp:anchor distT="0" distB="0" distL="114300" distR="114300" simplePos="0" relativeHeight="251317760" behindDoc="1" locked="0" layoutInCell="1" allowOverlap="1" wp14:anchorId="1CFA7F54" wp14:editId="6830BB12">
                <wp:simplePos x="0" y="0"/>
                <wp:positionH relativeFrom="column">
                  <wp:posOffset>-499110</wp:posOffset>
                </wp:positionH>
                <wp:positionV relativeFrom="paragraph">
                  <wp:posOffset>158750</wp:posOffset>
                </wp:positionV>
                <wp:extent cx="14269720" cy="566420"/>
                <wp:effectExtent l="0" t="0" r="17780" b="24130"/>
                <wp:wrapNone/>
                <wp:docPr id="491" name="Rounded 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69720" cy="566420"/>
                        </a:xfrm>
                        <a:prstGeom prst="roundRect">
                          <a:avLst/>
                        </a:prstGeom>
                        <a:solidFill>
                          <a:srgbClr val="CCD7EA"/>
                        </a:solidFill>
                        <a:ln w="12700" cap="flat" cmpd="sng" algn="ctr">
                          <a:solidFill>
                            <a:srgbClr val="CCD7EA"/>
                          </a:solidFill>
                          <a:prstDash val="solid"/>
                          <a:miter lim="800000"/>
                        </a:ln>
                        <a:effectLst/>
                      </wps:spPr>
                      <wps:txbx>
                        <w:txbxContent>
                          <w:p w14:paraId="2A0C3BE2" w14:textId="77777777" w:rsidR="00876FFE" w:rsidRPr="00B10543" w:rsidRDefault="00876FFE" w:rsidP="00386684">
                            <w:pPr>
                              <w:spacing w:before="0"/>
                              <w:jc w:val="center"/>
                              <w:rPr>
                                <w:rFonts w:asciiTheme="minorHAnsi" w:hAnsiTheme="minorHAnsi" w:cstheme="minorHAnsi"/>
                                <w:b/>
                                <w:bCs/>
                                <w:color w:val="FFFFFF" w:themeColor="background1"/>
                                <w:sz w:val="52"/>
                                <w:szCs w:val="52"/>
                              </w:rPr>
                            </w:pPr>
                            <w:bookmarkStart w:id="226" w:name="_Hlk47439325"/>
                            <w:bookmarkStart w:id="227" w:name="_Hlk47439326"/>
                            <w:r w:rsidRPr="00B10543">
                              <w:rPr>
                                <w:rFonts w:asciiTheme="minorHAnsi" w:hAnsiTheme="minorHAnsi" w:cstheme="minorHAnsi"/>
                                <w:b/>
                                <w:bCs/>
                                <w:color w:val="FFFFFF" w:themeColor="background1"/>
                                <w:sz w:val="52"/>
                                <w:szCs w:val="52"/>
                              </w:rPr>
                              <w:t>УНАПРЕЂЕН НИВО ОДГОВОРНОСТИ И ТРАНСПАРЕНТНОСТИ НА СВИМ НИВОИМА ВЛАСТИ</w:t>
                            </w:r>
                            <w:bookmarkEnd w:id="226"/>
                            <w:bookmarkEnd w:id="2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FA7F54" id="Rounded Rectangle 491" o:spid="_x0000_s1322" style="position:absolute;left:0;text-align:left;margin-left:-39.3pt;margin-top:12.5pt;width:1123.6pt;height:44.6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" fillcolor="#ccd7ea" strokecolor="#ccd7ea" strokeweight="1pt">
                <v:stroke joinstyle="miter"/>
                <v:path arrowok="t"/>
                <v:textbox>
                  <w:txbxContent>
                    <w:p w14:paraId="2A0C3BE2" w14:textId="77777777" w:rsidR="00876FFE" w:rsidRPr="00B10543" w:rsidRDefault="00876FFE" w:rsidP="00386684">
                      <w:pPr>
                        <w:spacing w:before="0"/>
                        <w:jc w:val="center"/>
                        <w:rPr>
                          <w:rFonts w:asciiTheme="minorHAnsi" w:hAnsiTheme="minorHAnsi" w:cstheme="minorHAnsi"/>
                          <w:b/>
                          <w:bCs/>
                          <w:color w:val="FFFFFF" w:themeColor="background1"/>
                          <w:sz w:val="52"/>
                          <w:szCs w:val="52"/>
                        </w:rPr>
                      </w:pPr>
                      <w:bookmarkStart w:id="246" w:name="_Hlk47439325"/>
                      <w:bookmarkStart w:id="247" w:name="_Hlk47439326"/>
                      <w:r w:rsidRPr="00B10543">
                        <w:rPr>
                          <w:rFonts w:asciiTheme="minorHAnsi" w:hAnsiTheme="minorHAnsi" w:cstheme="minorHAnsi"/>
                          <w:b/>
                          <w:bCs/>
                          <w:color w:val="FFFFFF" w:themeColor="background1"/>
                          <w:sz w:val="52"/>
                          <w:szCs w:val="52"/>
                        </w:rPr>
                        <w:t xml:space="preserve">УНАПРЕЂЕН </w:t>
                      </w:r>
                      <w:r w:rsidRPr="00B10543">
                        <w:rPr>
                          <w:rFonts w:asciiTheme="minorHAnsi" w:hAnsiTheme="minorHAnsi" w:cstheme="minorHAnsi"/>
                          <w:b/>
                          <w:bCs/>
                          <w:color w:val="FFFFFF" w:themeColor="background1"/>
                          <w:sz w:val="52"/>
                          <w:szCs w:val="52"/>
                        </w:rPr>
                        <w:t>НИВО ОДГОВОРНОСТИ И ТРАНСПАРЕНТНОСТИ НА СВИМ НИВОИМА ВЛАСТИ</w:t>
                      </w:r>
                      <w:bookmarkEnd w:id="246"/>
                      <w:bookmarkEnd w:id="247"/>
                    </w:p>
                  </w:txbxContent>
                </v:textbox>
              </v:roundrect>
            </w:pict>
          </mc:Fallback>
        </mc:AlternateContent>
      </w:r>
      <w:r w:rsidR="00D00C27" w:rsidRPr="000F0299">
        <w:rPr>
          <w:noProof/>
          <w:lang w:val="en-US" w:eastAsia="en-US" w:bidi="ar-SA"/>
        </w:rPr>
        <mc:AlternateContent>
          <mc:Choice Requires="wps">
            <w:drawing>
              <wp:anchor distT="0" distB="0" distL="114300" distR="114300" simplePos="0" relativeHeight="251321856" behindDoc="0" locked="0" layoutInCell="1" allowOverlap="1" wp14:anchorId="70A25601" wp14:editId="308587D1">
                <wp:simplePos x="0" y="0"/>
                <wp:positionH relativeFrom="column">
                  <wp:posOffset>8197850</wp:posOffset>
                </wp:positionH>
                <wp:positionV relativeFrom="paragraph">
                  <wp:posOffset>1224915</wp:posOffset>
                </wp:positionV>
                <wp:extent cx="2656840" cy="1263015"/>
                <wp:effectExtent l="19050" t="19050" r="10160" b="13335"/>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840" cy="1263015"/>
                        </a:xfrm>
                        <a:prstGeom prst="roundRect">
                          <a:avLst/>
                        </a:prstGeom>
                        <a:solidFill>
                          <a:sysClr val="window" lastClr="FFFFFF"/>
                        </a:solidFill>
                        <a:ln w="38100" cmpd="dbl">
                          <a:solidFill>
                            <a:srgbClr val="839DCC"/>
                          </a:solidFill>
                        </a:ln>
                        <a:effectLst/>
                      </wps:spPr>
                      <wps:txbx>
                        <w:txbxContent>
                          <w:p w14:paraId="26F52E3C" w14:textId="77777777" w:rsidR="00876FFE" w:rsidRPr="00D00C27" w:rsidRDefault="00876FFE" w:rsidP="00D00C27">
                            <w:pPr>
                              <w:spacing w:before="0"/>
                              <w:ind w:firstLine="0"/>
                              <w:jc w:val="center"/>
                              <w:rPr>
                                <w:rFonts w:asciiTheme="minorHAnsi" w:hAnsiTheme="minorHAnsi" w:cstheme="minorHAnsi"/>
                              </w:rPr>
                            </w:pPr>
                            <w:r w:rsidRPr="00D00C27">
                              <w:rPr>
                                <w:rFonts w:asciiTheme="minorHAnsi" w:hAnsiTheme="minorHAnsi" w:cstheme="minorHAnsi"/>
                              </w:rPr>
                              <w:t xml:space="preserve">Унапређење </w:t>
                            </w:r>
                            <w:r w:rsidRPr="00D00C27">
                              <w:rPr>
                                <w:rFonts w:asciiTheme="minorHAnsi" w:hAnsiTheme="minorHAnsi" w:cstheme="minorHAnsi"/>
                                <w:b/>
                              </w:rPr>
                              <w:t>проактивног објављивања података</w:t>
                            </w:r>
                            <w:r w:rsidRPr="00D00C27">
                              <w:rPr>
                                <w:rFonts w:asciiTheme="minorHAnsi" w:hAnsiTheme="minorHAnsi" w:cstheme="minorHAnsi"/>
                              </w:rPr>
                              <w:t xml:space="preserve"> у поседу органа јавне управе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A25601" id="Text Box 522" o:spid="_x0000_s1323" style="position:absolute;left:0;text-align:left;margin-left:645.5pt;margin-top:96.45pt;width:209.2pt;height:99.45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" fillcolor="window" strokecolor="#839dcc" strokeweight="3pt">
                <v:stroke linestyle="thinThin"/>
                <v:path arrowok="t"/>
                <v:textbox inset="0,0,0,0">
                  <w:txbxContent>
                    <w:p w14:paraId="26F52E3C" w14:textId="77777777" w:rsidR="00876FFE" w:rsidRPr="00D00C27" w:rsidRDefault="00876FFE" w:rsidP="00D00C27">
                      <w:pPr>
                        <w:spacing w:before="0"/>
                        <w:ind w:firstLine="0"/>
                        <w:jc w:val="center"/>
                        <w:rPr>
                          <w:rFonts w:asciiTheme="minorHAnsi" w:hAnsiTheme="minorHAnsi" w:cstheme="minorHAnsi"/>
                        </w:rPr>
                      </w:pPr>
                      <w:r w:rsidRPr="00D00C27">
                        <w:rPr>
                          <w:rFonts w:asciiTheme="minorHAnsi" w:hAnsiTheme="minorHAnsi" w:cstheme="minorHAnsi"/>
                        </w:rPr>
                        <w:t xml:space="preserve">Унапређење </w:t>
                      </w:r>
                      <w:r w:rsidRPr="00D00C27">
                        <w:rPr>
                          <w:rFonts w:asciiTheme="minorHAnsi" w:hAnsiTheme="minorHAnsi" w:cstheme="minorHAnsi"/>
                          <w:b/>
                        </w:rPr>
                        <w:t>проактивног објављивања података</w:t>
                      </w:r>
                      <w:r w:rsidRPr="00D00C27">
                        <w:rPr>
                          <w:rFonts w:asciiTheme="minorHAnsi" w:hAnsiTheme="minorHAnsi" w:cstheme="minorHAnsi"/>
                        </w:rPr>
                        <w:t xml:space="preserve"> у поседу органа јавне управе</w:t>
                      </w:r>
                    </w:p>
                  </w:txbxContent>
                </v:textbox>
              </v:roundrect>
            </w:pict>
          </mc:Fallback>
        </mc:AlternateContent>
      </w:r>
      <w:r w:rsidR="00D00C27" w:rsidRPr="000F0299">
        <w:rPr>
          <w:noProof/>
          <w:lang w:val="en-US" w:eastAsia="en-US" w:bidi="ar-SA"/>
        </w:rPr>
        <mc:AlternateContent>
          <mc:Choice Requires="wps">
            <w:drawing>
              <wp:anchor distT="0" distB="0" distL="114300" distR="114300" simplePos="0" relativeHeight="251344384" behindDoc="0" locked="0" layoutInCell="1" allowOverlap="1" wp14:anchorId="420E97A1" wp14:editId="0DB83472">
                <wp:simplePos x="0" y="0"/>
                <wp:positionH relativeFrom="column">
                  <wp:posOffset>8115300</wp:posOffset>
                </wp:positionH>
                <wp:positionV relativeFrom="paragraph">
                  <wp:posOffset>2920365</wp:posOffset>
                </wp:positionV>
                <wp:extent cx="1360805" cy="1679575"/>
                <wp:effectExtent l="0" t="0" r="10795" b="15875"/>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679575"/>
                        </a:xfrm>
                        <a:prstGeom prst="roundRect">
                          <a:avLst/>
                        </a:prstGeom>
                        <a:solidFill>
                          <a:schemeClr val="bg1"/>
                        </a:solidFill>
                        <a:ln w="19050">
                          <a:solidFill>
                            <a:srgbClr val="CCD7EA"/>
                          </a:solidFill>
                        </a:ln>
                        <a:effectLst/>
                      </wps:spPr>
                      <wps:txbx>
                        <w:txbxContent>
                          <w:p w14:paraId="6F4BB40A" w14:textId="77777777" w:rsidR="00876FFE" w:rsidRPr="0003642F" w:rsidRDefault="00876FFE" w:rsidP="00841714">
                            <w:pPr>
                              <w:spacing w:before="0"/>
                              <w:ind w:firstLine="0"/>
                              <w:jc w:val="center"/>
                              <w:rPr>
                                <w:rFonts w:asciiTheme="minorHAnsi" w:hAnsiTheme="minorHAnsi" w:cstheme="minorHAnsi"/>
                                <w:sz w:val="22"/>
                                <w:szCs w:val="22"/>
                              </w:rPr>
                            </w:pPr>
                            <w:r w:rsidRPr="0003642F">
                              <w:rPr>
                                <w:rFonts w:asciiTheme="minorHAnsi" w:hAnsiTheme="minorHAnsi" w:cstheme="minorHAnsi"/>
                                <w:sz w:val="22"/>
                                <w:szCs w:val="22"/>
                              </w:rPr>
                              <w:t xml:space="preserve">Повећање </w:t>
                            </w:r>
                            <w:r w:rsidRPr="0003642F">
                              <w:rPr>
                                <w:rFonts w:asciiTheme="minorHAnsi" w:hAnsiTheme="minorHAnsi" w:cstheme="minorHAnsi"/>
                                <w:spacing w:val="-18"/>
                                <w:sz w:val="22"/>
                                <w:szCs w:val="22"/>
                              </w:rPr>
                              <w:t>информисања</w:t>
                            </w:r>
                            <w:r w:rsidRPr="0003642F">
                              <w:rPr>
                                <w:rFonts w:asciiTheme="minorHAnsi" w:hAnsiTheme="minorHAnsi" w:cstheme="minorHAnsi"/>
                                <w:sz w:val="22"/>
                                <w:szCs w:val="22"/>
                              </w:rPr>
                              <w:t xml:space="preserve"> јавности о достизању циљева који су утврђени у   документима </w:t>
                            </w:r>
                            <w:r w:rsidRPr="0003642F">
                              <w:rPr>
                                <w:rFonts w:asciiTheme="minorHAnsi" w:hAnsiTheme="minorHAnsi" w:cstheme="minorHAnsi"/>
                                <w:spacing w:val="-14"/>
                                <w:sz w:val="22"/>
                                <w:szCs w:val="22"/>
                              </w:rPr>
                              <w:t xml:space="preserve">јавних политика </w:t>
                            </w:r>
                          </w:p>
                          <w:p w14:paraId="22803B90" w14:textId="0D757D11" w:rsidR="00876FFE" w:rsidRPr="00D00C27" w:rsidRDefault="00876FFE" w:rsidP="00D00C27">
                            <w:pPr>
                              <w:spacing w:before="0"/>
                              <w:ind w:firstLine="0"/>
                              <w:jc w:val="center"/>
                              <w:rPr>
                                <w:rFonts w:asciiTheme="minorHAnsi" w:hAnsiTheme="minorHAnsi" w:cstheme="minorHAnsi"/>
                              </w:rPr>
                            </w:pPr>
                            <w:r w:rsidRPr="00D00C27">
                              <w:rPr>
                                <w:rFonts w:asciiTheme="minorHAnsi" w:hAnsiTheme="minorHAnsi" w:cstheme="minorHAnsi"/>
                                <w:spacing w:val="-14"/>
                              </w:rPr>
                              <w:t>политика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0E97A1" id="Text Box 499" o:spid="_x0000_s1324" style="position:absolute;left:0;text-align:left;margin-left:639pt;margin-top:229.95pt;width:107.15pt;height:132.25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" fillcolor="white [3212]" strokecolor="#ccd7ea" strokeweight="1.5pt">
                <v:path arrowok="t"/>
                <v:textbox inset="0,0,0,0">
                  <w:txbxContent>
                    <w:p w14:paraId="6F4BB40A" w14:textId="77777777" w:rsidR="00876FFE" w:rsidRPr="0003642F" w:rsidRDefault="00876FFE" w:rsidP="00841714">
                      <w:pPr>
                        <w:spacing w:before="0"/>
                        <w:ind w:firstLine="0"/>
                        <w:jc w:val="center"/>
                        <w:rPr>
                          <w:rFonts w:asciiTheme="minorHAnsi" w:hAnsiTheme="minorHAnsi" w:cstheme="minorHAnsi"/>
                          <w:sz w:val="22"/>
                          <w:szCs w:val="22"/>
                        </w:rPr>
                      </w:pPr>
                      <w:r w:rsidRPr="0003642F">
                        <w:rPr>
                          <w:rFonts w:asciiTheme="minorHAnsi" w:hAnsiTheme="minorHAnsi" w:cstheme="minorHAnsi"/>
                          <w:sz w:val="22"/>
                          <w:szCs w:val="22"/>
                        </w:rPr>
                        <w:t xml:space="preserve">Повећање </w:t>
                      </w:r>
                      <w:r w:rsidRPr="0003642F">
                        <w:rPr>
                          <w:rFonts w:asciiTheme="minorHAnsi" w:hAnsiTheme="minorHAnsi" w:cstheme="minorHAnsi"/>
                          <w:spacing w:val="-18"/>
                          <w:sz w:val="22"/>
                          <w:szCs w:val="22"/>
                        </w:rPr>
                        <w:t>информисања</w:t>
                      </w:r>
                      <w:r w:rsidRPr="0003642F">
                        <w:rPr>
                          <w:rFonts w:asciiTheme="minorHAnsi" w:hAnsiTheme="minorHAnsi" w:cstheme="minorHAnsi"/>
                          <w:sz w:val="22"/>
                          <w:szCs w:val="22"/>
                        </w:rPr>
                        <w:t xml:space="preserve"> јавности о достизању циљева који су утврђени у   документима </w:t>
                      </w:r>
                      <w:r w:rsidRPr="0003642F">
                        <w:rPr>
                          <w:rFonts w:asciiTheme="minorHAnsi" w:hAnsiTheme="minorHAnsi" w:cstheme="minorHAnsi"/>
                          <w:spacing w:val="-14"/>
                          <w:sz w:val="22"/>
                          <w:szCs w:val="22"/>
                        </w:rPr>
                        <w:t xml:space="preserve">јавних политика </w:t>
                      </w:r>
                    </w:p>
                    <w:p w14:paraId="22803B90" w14:textId="0D757D11" w:rsidR="00876FFE" w:rsidRPr="00D00C27" w:rsidRDefault="00876FFE" w:rsidP="00D00C27">
                      <w:pPr>
                        <w:spacing w:before="0"/>
                        <w:ind w:firstLine="0"/>
                        <w:jc w:val="center"/>
                        <w:rPr>
                          <w:rFonts w:asciiTheme="minorHAnsi" w:hAnsiTheme="minorHAnsi" w:cstheme="minorHAnsi"/>
                        </w:rPr>
                      </w:pPr>
                      <w:r w:rsidRPr="00D00C27">
                        <w:rPr>
                          <w:rFonts w:asciiTheme="minorHAnsi" w:hAnsiTheme="minorHAnsi" w:cstheme="minorHAnsi"/>
                          <w:spacing w:val="-14"/>
                        </w:rPr>
                        <w:t>политика</w:t>
                      </w:r>
                    </w:p>
                  </w:txbxContent>
                </v:textbox>
              </v:roundrect>
            </w:pict>
          </mc:Fallback>
        </mc:AlternateContent>
      </w:r>
      <w:r w:rsidR="00D00C27" w:rsidRPr="000F0299">
        <w:rPr>
          <w:noProof/>
          <w:lang w:val="en-US" w:eastAsia="en-US" w:bidi="ar-SA"/>
        </w:rPr>
        <mc:AlternateContent>
          <mc:Choice Requires="wps">
            <w:drawing>
              <wp:anchor distT="0" distB="0" distL="114300" distR="114300" simplePos="0" relativeHeight="251347456" behindDoc="0" locked="0" layoutInCell="1" allowOverlap="1" wp14:anchorId="40E52456" wp14:editId="6EC0B2E2">
                <wp:simplePos x="0" y="0"/>
                <wp:positionH relativeFrom="column">
                  <wp:posOffset>9588500</wp:posOffset>
                </wp:positionH>
                <wp:positionV relativeFrom="paragraph">
                  <wp:posOffset>2920365</wp:posOffset>
                </wp:positionV>
                <wp:extent cx="1375410" cy="1686560"/>
                <wp:effectExtent l="0" t="0" r="15240" b="2794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5410" cy="1686560"/>
                        </a:xfrm>
                        <a:prstGeom prst="roundRect">
                          <a:avLst/>
                        </a:prstGeom>
                        <a:solidFill>
                          <a:schemeClr val="bg1"/>
                        </a:solidFill>
                        <a:ln w="19050">
                          <a:solidFill>
                            <a:srgbClr val="CCD7EA"/>
                          </a:solidFill>
                        </a:ln>
                        <a:effectLst/>
                      </wps:spPr>
                      <wps:txbx>
                        <w:txbxContent>
                          <w:p w14:paraId="2E819B57" w14:textId="77777777" w:rsidR="00876FFE" w:rsidRPr="00841714" w:rsidRDefault="00876FFE" w:rsidP="00D00C27">
                            <w:pPr>
                              <w:spacing w:before="0"/>
                              <w:ind w:firstLine="0"/>
                              <w:jc w:val="center"/>
                              <w:rPr>
                                <w:rFonts w:asciiTheme="minorHAnsi" w:hAnsiTheme="minorHAnsi" w:cstheme="minorHAnsi"/>
                                <w:sz w:val="22"/>
                                <w:szCs w:val="22"/>
                              </w:rPr>
                            </w:pPr>
                            <w:r w:rsidRPr="00841714">
                              <w:rPr>
                                <w:rFonts w:asciiTheme="minorHAnsi" w:hAnsiTheme="minorHAnsi" w:cstheme="minorHAnsi"/>
                                <w:sz w:val="22"/>
                                <w:szCs w:val="22"/>
                              </w:rPr>
                              <w:t xml:space="preserve">Израда едукативних материјала и спровођење обука о проактивној </w:t>
                            </w:r>
                            <w:r w:rsidRPr="00841714">
                              <w:rPr>
                                <w:rFonts w:asciiTheme="minorHAnsi" w:hAnsiTheme="minorHAnsi" w:cstheme="minorHAnsi"/>
                                <w:spacing w:val="-20"/>
                                <w:sz w:val="22"/>
                                <w:szCs w:val="22"/>
                              </w:rPr>
                              <w:t>транспарентности</w:t>
                            </w:r>
                            <w:r w:rsidRPr="00841714">
                              <w:rPr>
                                <w:rFonts w:asciiTheme="minorHAnsi" w:hAnsiTheme="minorHAnsi" w:cstheme="minorHAnsi"/>
                                <w:sz w:val="22"/>
                                <w:szCs w:val="22"/>
                              </w:rPr>
                              <w:t xml:space="preserve"> за руководиоце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E52456" id="Text Box 497" o:spid="_x0000_s1325" style="position:absolute;left:0;text-align:left;margin-left:755pt;margin-top:229.95pt;width:108.3pt;height:132.8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" fillcolor="white [3212]" strokecolor="#ccd7ea" strokeweight="1.5pt">
                <v:path arrowok="t"/>
                <v:textbox inset="0,0,0,0">
                  <w:txbxContent>
                    <w:p w14:paraId="2E819B57" w14:textId="77777777" w:rsidR="00876FFE" w:rsidRPr="00841714" w:rsidRDefault="00876FFE" w:rsidP="00D00C27">
                      <w:pPr>
                        <w:spacing w:before="0"/>
                        <w:ind w:firstLine="0"/>
                        <w:jc w:val="center"/>
                        <w:rPr>
                          <w:rFonts w:asciiTheme="minorHAnsi" w:hAnsiTheme="minorHAnsi" w:cstheme="minorHAnsi"/>
                          <w:sz w:val="22"/>
                          <w:szCs w:val="22"/>
                        </w:rPr>
                      </w:pPr>
                      <w:r w:rsidRPr="00841714">
                        <w:rPr>
                          <w:rFonts w:asciiTheme="minorHAnsi" w:hAnsiTheme="minorHAnsi" w:cstheme="minorHAnsi"/>
                          <w:sz w:val="22"/>
                          <w:szCs w:val="22"/>
                        </w:rPr>
                        <w:t xml:space="preserve">Израда едукативних материјала и спровођење обука о проактивној </w:t>
                      </w:r>
                      <w:r w:rsidRPr="00841714">
                        <w:rPr>
                          <w:rFonts w:asciiTheme="minorHAnsi" w:hAnsiTheme="minorHAnsi" w:cstheme="minorHAnsi"/>
                          <w:spacing w:val="-20"/>
                          <w:sz w:val="22"/>
                          <w:szCs w:val="22"/>
                        </w:rPr>
                        <w:t>транспарентности</w:t>
                      </w:r>
                      <w:r w:rsidRPr="00841714">
                        <w:rPr>
                          <w:rFonts w:asciiTheme="minorHAnsi" w:hAnsiTheme="minorHAnsi" w:cstheme="minorHAnsi"/>
                          <w:sz w:val="22"/>
                          <w:szCs w:val="22"/>
                        </w:rPr>
                        <w:t xml:space="preserve"> за руководиоце</w:t>
                      </w:r>
                    </w:p>
                  </w:txbxContent>
                </v:textbox>
              </v:roundrect>
            </w:pict>
          </mc:Fallback>
        </mc:AlternateContent>
      </w:r>
      <w:r w:rsidR="00D00C27" w:rsidRPr="000F0299">
        <w:rPr>
          <w:noProof/>
          <w:lang w:val="en-US" w:eastAsia="en-US" w:bidi="ar-SA"/>
        </w:rPr>
        <mc:AlternateContent>
          <mc:Choice Requires="wps">
            <w:drawing>
              <wp:anchor distT="0" distB="0" distL="114298" distR="114298" simplePos="0" relativeHeight="251346432" behindDoc="0" locked="0" layoutInCell="1" allowOverlap="1" wp14:anchorId="3B2D0A19" wp14:editId="719B6E27">
                <wp:simplePos x="0" y="0"/>
                <wp:positionH relativeFrom="column">
                  <wp:posOffset>10223500</wp:posOffset>
                </wp:positionH>
                <wp:positionV relativeFrom="paragraph">
                  <wp:posOffset>2526665</wp:posOffset>
                </wp:positionV>
                <wp:extent cx="0" cy="427355"/>
                <wp:effectExtent l="57150" t="38100" r="57150" b="10795"/>
                <wp:wrapNone/>
                <wp:docPr id="509" name="Straight Arrow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7355"/>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212EC7" id="Straight Arrow Connector 509" o:spid="_x0000_s1026" type="#_x0000_t32" style="position:absolute;margin-left:805pt;margin-top:198.95pt;width:0;height:33.65pt;flip:y;z-index:25134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" strokecolor="#ccd7ea" strokeweight="2.25pt">
                <v:stroke endarrow="block" joinstyle="miter"/>
                <o:lock v:ext="edit" shapetype="f"/>
              </v:shape>
            </w:pict>
          </mc:Fallback>
        </mc:AlternateContent>
      </w:r>
      <w:r w:rsidR="00D00C27" w:rsidRPr="000F0299">
        <w:rPr>
          <w:noProof/>
          <w:lang w:val="en-US" w:eastAsia="en-US" w:bidi="ar-SA"/>
        </w:rPr>
        <mc:AlternateContent>
          <mc:Choice Requires="wps">
            <w:drawing>
              <wp:anchor distT="0" distB="0" distL="114298" distR="114298" simplePos="0" relativeHeight="251345408" behindDoc="0" locked="0" layoutInCell="1" allowOverlap="1" wp14:anchorId="1871A936" wp14:editId="72DDB74A">
                <wp:simplePos x="0" y="0"/>
                <wp:positionH relativeFrom="column">
                  <wp:posOffset>8864600</wp:posOffset>
                </wp:positionH>
                <wp:positionV relativeFrom="paragraph">
                  <wp:posOffset>2526665</wp:posOffset>
                </wp:positionV>
                <wp:extent cx="0" cy="396000"/>
                <wp:effectExtent l="57150" t="38100" r="57150" b="4445"/>
                <wp:wrapNone/>
                <wp:docPr id="508" name="Straight Arrow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96000"/>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C9DD2B" id="Straight Arrow Connector 508" o:spid="_x0000_s1026" type="#_x0000_t32" style="position:absolute;margin-left:698pt;margin-top:198.95pt;width:0;height:31.2pt;flip:y;z-index:25134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" strokecolor="#ccd7ea" strokeweight="2.25pt">
                <v:stroke endarrow="block" joinstyle="miter"/>
                <o:lock v:ext="edit" shapetype="f"/>
              </v:shape>
            </w:pict>
          </mc:Fallback>
        </mc:AlternateContent>
      </w:r>
      <w:r w:rsidR="00D00C27" w:rsidRPr="000F0299">
        <w:rPr>
          <w:noProof/>
          <w:lang w:val="en-US" w:eastAsia="en-US" w:bidi="ar-SA"/>
        </w:rPr>
        <mc:AlternateContent>
          <mc:Choice Requires="wps">
            <w:drawing>
              <wp:anchor distT="0" distB="0" distL="114298" distR="114298" simplePos="0" relativeHeight="251349504" behindDoc="0" locked="0" layoutInCell="1" allowOverlap="1" wp14:anchorId="28E4F8B3" wp14:editId="3ECD8C17">
                <wp:simplePos x="0" y="0"/>
                <wp:positionH relativeFrom="column">
                  <wp:posOffset>9525000</wp:posOffset>
                </wp:positionH>
                <wp:positionV relativeFrom="paragraph">
                  <wp:posOffset>2526665</wp:posOffset>
                </wp:positionV>
                <wp:extent cx="0" cy="2376000"/>
                <wp:effectExtent l="57150" t="38100" r="57150" b="5715"/>
                <wp:wrapNone/>
                <wp:docPr id="498" name="Straight Arrow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76000"/>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C4209" id="Straight Arrow Connector 498" o:spid="_x0000_s1026" type="#_x0000_t32" style="position:absolute;margin-left:750pt;margin-top:198.95pt;width:0;height:187.1pt;flip:y;z-index:25134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" strokecolor="#ccd7ea" strokeweight="2.25pt">
                <v:stroke endarrow="block" joinstyle="miter"/>
                <o:lock v:ext="edit" shapetype="f"/>
              </v:shape>
            </w:pict>
          </mc:Fallback>
        </mc:AlternateContent>
      </w:r>
      <w:r w:rsidR="00E838A3" w:rsidRPr="000F0299">
        <w:rPr>
          <w:noProof/>
          <w:lang w:val="en-US" w:eastAsia="en-US" w:bidi="ar-SA"/>
        </w:rPr>
        <mc:AlternateContent>
          <mc:Choice Requires="wps">
            <w:drawing>
              <wp:anchor distT="0" distB="0" distL="114300" distR="114300" simplePos="0" relativeHeight="251320832" behindDoc="0" locked="0" layoutInCell="1" allowOverlap="1" wp14:anchorId="0C86890B" wp14:editId="6E843215">
                <wp:simplePos x="0" y="0"/>
                <wp:positionH relativeFrom="column">
                  <wp:posOffset>5276850</wp:posOffset>
                </wp:positionH>
                <wp:positionV relativeFrom="paragraph">
                  <wp:posOffset>1199515</wp:posOffset>
                </wp:positionV>
                <wp:extent cx="2656840" cy="1263015"/>
                <wp:effectExtent l="19050" t="19050" r="10160" b="13335"/>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840" cy="1263015"/>
                        </a:xfrm>
                        <a:prstGeom prst="roundRect">
                          <a:avLst/>
                        </a:prstGeom>
                        <a:solidFill>
                          <a:sysClr val="window" lastClr="FFFFFF"/>
                        </a:solidFill>
                        <a:ln w="38100" cmpd="dbl">
                          <a:solidFill>
                            <a:srgbClr val="839DCC"/>
                          </a:solidFill>
                        </a:ln>
                        <a:effectLst/>
                      </wps:spPr>
                      <wps:txbx>
                        <w:txbxContent>
                          <w:p w14:paraId="08DB5B9E" w14:textId="77777777" w:rsidR="00876FFE" w:rsidRPr="00D00C27" w:rsidRDefault="00876FFE" w:rsidP="00D00C27">
                            <w:pPr>
                              <w:spacing w:before="0"/>
                              <w:ind w:firstLine="0"/>
                              <w:jc w:val="center"/>
                              <w:rPr>
                                <w:rFonts w:asciiTheme="minorHAnsi" w:hAnsiTheme="minorHAnsi" w:cstheme="minorHAnsi"/>
                              </w:rPr>
                            </w:pPr>
                            <w:r w:rsidRPr="00D00C27">
                              <w:rPr>
                                <w:rFonts w:asciiTheme="minorHAnsi" w:hAnsiTheme="minorHAnsi" w:cstheme="minorHAnsi"/>
                              </w:rPr>
                              <w:t xml:space="preserve">Јачање </w:t>
                            </w:r>
                            <w:r w:rsidRPr="00841714">
                              <w:rPr>
                                <w:rFonts w:asciiTheme="minorHAnsi" w:hAnsiTheme="minorHAnsi" w:cstheme="minorHAnsi"/>
                                <w:b/>
                              </w:rPr>
                              <w:t>интегритета и етичких стандарда</w:t>
                            </w:r>
                            <w:r w:rsidRPr="00D00C27">
                              <w:rPr>
                                <w:rFonts w:asciiTheme="minorHAnsi" w:hAnsiTheme="minorHAnsi" w:cstheme="minorHAnsi"/>
                              </w:rPr>
                              <w:t xml:space="preserve"> у јавној управи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C86890B" id="Text Box 521" o:spid="_x0000_s1326" style="position:absolute;left:0;text-align:left;margin-left:415.5pt;margin-top:94.45pt;width:209.2pt;height:99.45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" fillcolor="window" strokecolor="#839dcc" strokeweight="3pt">
                <v:stroke linestyle="thinThin"/>
                <v:path arrowok="t"/>
                <v:textbox inset="0,0,0,0">
                  <w:txbxContent>
                    <w:p w14:paraId="08DB5B9E" w14:textId="77777777" w:rsidR="00876FFE" w:rsidRPr="00D00C27" w:rsidRDefault="00876FFE" w:rsidP="00D00C27">
                      <w:pPr>
                        <w:spacing w:before="0"/>
                        <w:ind w:firstLine="0"/>
                        <w:jc w:val="center"/>
                        <w:rPr>
                          <w:rFonts w:asciiTheme="minorHAnsi" w:hAnsiTheme="minorHAnsi" w:cstheme="minorHAnsi"/>
                        </w:rPr>
                      </w:pPr>
                      <w:r w:rsidRPr="00D00C27">
                        <w:rPr>
                          <w:rFonts w:asciiTheme="minorHAnsi" w:hAnsiTheme="minorHAnsi" w:cstheme="minorHAnsi"/>
                        </w:rPr>
                        <w:t xml:space="preserve">Јачање </w:t>
                      </w:r>
                      <w:r w:rsidRPr="00841714">
                        <w:rPr>
                          <w:rFonts w:asciiTheme="minorHAnsi" w:hAnsiTheme="minorHAnsi" w:cstheme="minorHAnsi"/>
                          <w:b/>
                        </w:rPr>
                        <w:t>интегритета и етичких стандарда</w:t>
                      </w:r>
                      <w:r w:rsidRPr="00D00C27">
                        <w:rPr>
                          <w:rFonts w:asciiTheme="minorHAnsi" w:hAnsiTheme="minorHAnsi" w:cstheme="minorHAnsi"/>
                        </w:rPr>
                        <w:t xml:space="preserve"> у јавној управи</w:t>
                      </w:r>
                    </w:p>
                  </w:txbxContent>
                </v:textbox>
              </v:roundrect>
            </w:pict>
          </mc:Fallback>
        </mc:AlternateContent>
      </w:r>
      <w:r w:rsidR="00E838A3" w:rsidRPr="000F0299">
        <w:rPr>
          <w:noProof/>
          <w:lang w:val="en-US" w:eastAsia="en-US" w:bidi="ar-SA"/>
        </w:rPr>
        <mc:AlternateContent>
          <mc:Choice Requires="wps">
            <w:drawing>
              <wp:anchor distT="0" distB="0" distL="114300" distR="114300" simplePos="0" relativeHeight="251336192" behindDoc="0" locked="0" layoutInCell="1" allowOverlap="1" wp14:anchorId="08C2EB7B" wp14:editId="608246C3">
                <wp:simplePos x="0" y="0"/>
                <wp:positionH relativeFrom="column">
                  <wp:posOffset>5232400</wp:posOffset>
                </wp:positionH>
                <wp:positionV relativeFrom="paragraph">
                  <wp:posOffset>2894965</wp:posOffset>
                </wp:positionV>
                <wp:extent cx="1297305" cy="3048000"/>
                <wp:effectExtent l="0" t="0" r="17145" b="1905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3048000"/>
                        </a:xfrm>
                        <a:prstGeom prst="roundRect">
                          <a:avLst/>
                        </a:prstGeom>
                        <a:solidFill>
                          <a:schemeClr val="bg1"/>
                        </a:solidFill>
                        <a:ln w="19050">
                          <a:solidFill>
                            <a:srgbClr val="CCD7EA"/>
                          </a:solidFill>
                        </a:ln>
                        <a:effectLst/>
                      </wps:spPr>
                      <wps:txbx>
                        <w:txbxContent>
                          <w:p w14:paraId="5BD19582" w14:textId="77777777" w:rsidR="00876FFE" w:rsidRPr="0003642F" w:rsidRDefault="00876FFE" w:rsidP="00841714">
                            <w:pPr>
                              <w:spacing w:before="0"/>
                              <w:ind w:firstLine="0"/>
                              <w:jc w:val="center"/>
                              <w:rPr>
                                <w:rFonts w:asciiTheme="minorHAnsi" w:hAnsiTheme="minorHAnsi" w:cstheme="minorHAnsi"/>
                                <w:sz w:val="22"/>
                                <w:szCs w:val="22"/>
                              </w:rPr>
                            </w:pPr>
                            <w:r w:rsidRPr="0003642F">
                              <w:rPr>
                                <w:rFonts w:asciiTheme="minorHAnsi" w:hAnsiTheme="minorHAnsi" w:cstheme="minorHAnsi"/>
                                <w:spacing w:val="-6"/>
                                <w:sz w:val="22"/>
                                <w:szCs w:val="22"/>
                              </w:rPr>
                              <w:t xml:space="preserve">Успостављање </w:t>
                            </w:r>
                            <w:r w:rsidRPr="0003642F">
                              <w:rPr>
                                <w:rFonts w:asciiTheme="minorHAnsi" w:hAnsiTheme="minorHAnsi" w:cstheme="minorHAnsi"/>
                                <w:sz w:val="22"/>
                                <w:szCs w:val="22"/>
                              </w:rPr>
                              <w:t xml:space="preserve">етичке </w:t>
                            </w:r>
                            <w:r w:rsidRPr="0003642F">
                              <w:rPr>
                                <w:rFonts w:asciiTheme="minorHAnsi" w:hAnsiTheme="minorHAnsi" w:cstheme="minorHAnsi"/>
                                <w:spacing w:val="-20"/>
                                <w:sz w:val="22"/>
                                <w:szCs w:val="22"/>
                              </w:rPr>
                              <w:t>инфраструктуре</w:t>
                            </w:r>
                            <w:r w:rsidRPr="0003642F">
                              <w:rPr>
                                <w:rFonts w:asciiTheme="minorHAnsi" w:hAnsiTheme="minorHAnsi" w:cstheme="minorHAnsi"/>
                                <w:sz w:val="22"/>
                                <w:szCs w:val="22"/>
                              </w:rPr>
                              <w:t xml:space="preserve"> која подразумева да се одреде службеници за етику и интегритет у органима јавне управе и </w:t>
                            </w:r>
                            <w:r w:rsidRPr="0003642F">
                              <w:rPr>
                                <w:rFonts w:asciiTheme="minorHAnsi" w:hAnsiTheme="minorHAnsi" w:cstheme="minorHAnsi"/>
                                <w:spacing w:val="-8"/>
                                <w:sz w:val="22"/>
                                <w:szCs w:val="22"/>
                              </w:rPr>
                              <w:t xml:space="preserve">успоставе </w:t>
                            </w:r>
                            <w:r w:rsidRPr="0003642F">
                              <w:rPr>
                                <w:rFonts w:asciiTheme="minorHAnsi" w:hAnsiTheme="minorHAnsi" w:cstheme="minorHAnsi"/>
                                <w:sz w:val="22"/>
                                <w:szCs w:val="22"/>
                              </w:rPr>
                              <w:t>надзорна тела на свим нивоима власти</w:t>
                            </w:r>
                          </w:p>
                          <w:p w14:paraId="57617346" w14:textId="2EE32A11" w:rsidR="00876FFE" w:rsidRPr="00841714" w:rsidRDefault="00876FFE" w:rsidP="00D00C27">
                            <w:pPr>
                              <w:spacing w:before="0"/>
                              <w:ind w:firstLine="0"/>
                              <w:jc w:val="center"/>
                              <w:rPr>
                                <w:rFonts w:asciiTheme="minorHAnsi" w:hAnsiTheme="minorHAnsi" w:cstheme="minorHAnsi"/>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C2EB7B" id="Text Box 505" o:spid="_x0000_s1327" style="position:absolute;left:0;text-align:left;margin-left:412pt;margin-top:227.95pt;width:102.15pt;height:240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" fillcolor="white [3212]" strokecolor="#ccd7ea" strokeweight="1.5pt">
                <v:path arrowok="t"/>
                <v:textbox inset="0,0,0,0">
                  <w:txbxContent>
                    <w:p w14:paraId="5BD19582" w14:textId="77777777" w:rsidR="00876FFE" w:rsidRPr="0003642F" w:rsidRDefault="00876FFE" w:rsidP="00841714">
                      <w:pPr>
                        <w:spacing w:before="0"/>
                        <w:ind w:firstLine="0"/>
                        <w:jc w:val="center"/>
                        <w:rPr>
                          <w:rFonts w:asciiTheme="minorHAnsi" w:hAnsiTheme="minorHAnsi" w:cstheme="minorHAnsi"/>
                          <w:sz w:val="22"/>
                          <w:szCs w:val="22"/>
                        </w:rPr>
                      </w:pPr>
                      <w:r w:rsidRPr="0003642F">
                        <w:rPr>
                          <w:rFonts w:asciiTheme="minorHAnsi" w:hAnsiTheme="minorHAnsi" w:cstheme="minorHAnsi"/>
                          <w:spacing w:val="-6"/>
                          <w:sz w:val="22"/>
                          <w:szCs w:val="22"/>
                        </w:rPr>
                        <w:t xml:space="preserve">Успостављање </w:t>
                      </w:r>
                      <w:r w:rsidRPr="0003642F">
                        <w:rPr>
                          <w:rFonts w:asciiTheme="minorHAnsi" w:hAnsiTheme="minorHAnsi" w:cstheme="minorHAnsi"/>
                          <w:sz w:val="22"/>
                          <w:szCs w:val="22"/>
                        </w:rPr>
                        <w:t xml:space="preserve">етичке </w:t>
                      </w:r>
                      <w:r w:rsidRPr="0003642F">
                        <w:rPr>
                          <w:rFonts w:asciiTheme="minorHAnsi" w:hAnsiTheme="minorHAnsi" w:cstheme="minorHAnsi"/>
                          <w:spacing w:val="-20"/>
                          <w:sz w:val="22"/>
                          <w:szCs w:val="22"/>
                        </w:rPr>
                        <w:t>инфраструктуре</w:t>
                      </w:r>
                      <w:r w:rsidRPr="0003642F">
                        <w:rPr>
                          <w:rFonts w:asciiTheme="minorHAnsi" w:hAnsiTheme="minorHAnsi" w:cstheme="minorHAnsi"/>
                          <w:sz w:val="22"/>
                          <w:szCs w:val="22"/>
                        </w:rPr>
                        <w:t xml:space="preserve"> која подразумева да се одреде службеници за етику и интегритет у органима јавне управе и </w:t>
                      </w:r>
                      <w:r w:rsidRPr="0003642F">
                        <w:rPr>
                          <w:rFonts w:asciiTheme="minorHAnsi" w:hAnsiTheme="minorHAnsi" w:cstheme="minorHAnsi"/>
                          <w:spacing w:val="-8"/>
                          <w:sz w:val="22"/>
                          <w:szCs w:val="22"/>
                        </w:rPr>
                        <w:t xml:space="preserve">успоставе </w:t>
                      </w:r>
                      <w:r w:rsidRPr="0003642F">
                        <w:rPr>
                          <w:rFonts w:asciiTheme="minorHAnsi" w:hAnsiTheme="minorHAnsi" w:cstheme="minorHAnsi"/>
                          <w:sz w:val="22"/>
                          <w:szCs w:val="22"/>
                        </w:rPr>
                        <w:t>надзорна тела на свим нивоима власти</w:t>
                      </w:r>
                    </w:p>
                    <w:p w14:paraId="57617346" w14:textId="2EE32A11" w:rsidR="00876FFE" w:rsidRPr="00841714" w:rsidRDefault="00876FFE" w:rsidP="00D00C27">
                      <w:pPr>
                        <w:spacing w:before="0"/>
                        <w:ind w:firstLine="0"/>
                        <w:jc w:val="center"/>
                        <w:rPr>
                          <w:rFonts w:asciiTheme="minorHAnsi" w:hAnsiTheme="minorHAnsi" w:cstheme="minorHAnsi"/>
                          <w:sz w:val="22"/>
                          <w:szCs w:val="22"/>
                        </w:rPr>
                      </w:pPr>
                    </w:p>
                  </w:txbxContent>
                </v:textbox>
              </v:roundrect>
            </w:pict>
          </mc:Fallback>
        </mc:AlternateContent>
      </w:r>
      <w:r w:rsidR="00E838A3" w:rsidRPr="000F0299">
        <w:rPr>
          <w:noProof/>
          <w:lang w:val="en-US" w:eastAsia="en-US" w:bidi="ar-SA"/>
        </w:rPr>
        <mc:AlternateContent>
          <mc:Choice Requires="wps">
            <w:drawing>
              <wp:anchor distT="0" distB="0" distL="114300" distR="114300" simplePos="0" relativeHeight="251339264" behindDoc="0" locked="0" layoutInCell="1" allowOverlap="1" wp14:anchorId="07E72A86" wp14:editId="00E19FDA">
                <wp:simplePos x="0" y="0"/>
                <wp:positionH relativeFrom="column">
                  <wp:posOffset>6629400</wp:posOffset>
                </wp:positionH>
                <wp:positionV relativeFrom="paragraph">
                  <wp:posOffset>2894965</wp:posOffset>
                </wp:positionV>
                <wp:extent cx="1297305" cy="3162300"/>
                <wp:effectExtent l="0" t="0" r="17145" b="1905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3162300"/>
                        </a:xfrm>
                        <a:prstGeom prst="roundRect">
                          <a:avLst/>
                        </a:prstGeom>
                        <a:solidFill>
                          <a:schemeClr val="bg1"/>
                        </a:solidFill>
                        <a:ln w="19050">
                          <a:solidFill>
                            <a:srgbClr val="CCD7EA"/>
                          </a:solidFill>
                        </a:ln>
                        <a:effectLst/>
                      </wps:spPr>
                      <wps:txbx>
                        <w:txbxContent>
                          <w:p w14:paraId="4084ADED" w14:textId="77777777" w:rsidR="00876FFE" w:rsidRPr="00841714" w:rsidRDefault="00876FFE" w:rsidP="00D00C27">
                            <w:pPr>
                              <w:spacing w:before="0"/>
                              <w:ind w:firstLine="0"/>
                              <w:jc w:val="center"/>
                              <w:rPr>
                                <w:rFonts w:asciiTheme="minorHAnsi" w:hAnsiTheme="minorHAnsi" w:cstheme="minorHAnsi"/>
                                <w:sz w:val="22"/>
                                <w:szCs w:val="22"/>
                              </w:rPr>
                            </w:pPr>
                            <w:r w:rsidRPr="00841714">
                              <w:rPr>
                                <w:rFonts w:asciiTheme="minorHAnsi" w:hAnsiTheme="minorHAnsi" w:cstheme="minorHAnsi"/>
                                <w:sz w:val="22"/>
                                <w:szCs w:val="22"/>
                              </w:rPr>
                              <w:t xml:space="preserve">Спровођење обука о механизмима за спречавање корупције, јачање интегритета и етичких стандарда у јавној управи – </w:t>
                            </w:r>
                            <w:r w:rsidRPr="00841714">
                              <w:rPr>
                                <w:rFonts w:asciiTheme="minorHAnsi" w:hAnsiTheme="minorHAnsi" w:cstheme="minorHAnsi"/>
                                <w:spacing w:val="-8"/>
                                <w:sz w:val="22"/>
                                <w:szCs w:val="22"/>
                              </w:rPr>
                              <w:t xml:space="preserve">успостављање </w:t>
                            </w:r>
                            <w:r w:rsidRPr="00841714">
                              <w:rPr>
                                <w:rFonts w:asciiTheme="minorHAnsi" w:hAnsiTheme="minorHAnsi" w:cstheme="minorHAnsi"/>
                                <w:sz w:val="22"/>
                                <w:szCs w:val="22"/>
                              </w:rPr>
                              <w:t xml:space="preserve">ефикасне етичке </w:t>
                            </w:r>
                            <w:r w:rsidRPr="00841714">
                              <w:rPr>
                                <w:rFonts w:asciiTheme="minorHAnsi" w:hAnsiTheme="minorHAnsi" w:cstheme="minorHAnsi"/>
                                <w:spacing w:val="-18"/>
                                <w:sz w:val="22"/>
                                <w:szCs w:val="22"/>
                              </w:rPr>
                              <w:t xml:space="preserve">инфраструктуре </w:t>
                            </w:r>
                            <w:r w:rsidRPr="00841714">
                              <w:rPr>
                                <w:rFonts w:asciiTheme="minorHAnsi" w:hAnsiTheme="minorHAnsi" w:cstheme="minorHAnsi"/>
                                <w:sz w:val="22"/>
                                <w:szCs w:val="22"/>
                              </w:rPr>
                              <w:t>за руководиоце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E72A86" id="Text Box 504" o:spid="_x0000_s1328" style="position:absolute;left:0;text-align:left;margin-left:522pt;margin-top:227.95pt;width:102.15pt;height:249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" fillcolor="white [3212]" strokecolor="#ccd7ea" strokeweight="1.5pt">
                <v:path arrowok="t"/>
                <v:textbox inset="0,0,0,0">
                  <w:txbxContent>
                    <w:p w14:paraId="4084ADED" w14:textId="77777777" w:rsidR="00876FFE" w:rsidRPr="00841714" w:rsidRDefault="00876FFE" w:rsidP="00D00C27">
                      <w:pPr>
                        <w:spacing w:before="0"/>
                        <w:ind w:firstLine="0"/>
                        <w:jc w:val="center"/>
                        <w:rPr>
                          <w:rFonts w:asciiTheme="minorHAnsi" w:hAnsiTheme="minorHAnsi" w:cstheme="minorHAnsi"/>
                          <w:sz w:val="22"/>
                          <w:szCs w:val="22"/>
                        </w:rPr>
                      </w:pPr>
                      <w:r w:rsidRPr="00841714">
                        <w:rPr>
                          <w:rFonts w:asciiTheme="minorHAnsi" w:hAnsiTheme="minorHAnsi" w:cstheme="minorHAnsi"/>
                          <w:sz w:val="22"/>
                          <w:szCs w:val="22"/>
                        </w:rPr>
                        <w:t xml:space="preserve">Спровођење </w:t>
                      </w:r>
                      <w:r w:rsidRPr="00841714">
                        <w:rPr>
                          <w:rFonts w:asciiTheme="minorHAnsi" w:hAnsiTheme="minorHAnsi" w:cstheme="minorHAnsi"/>
                          <w:sz w:val="22"/>
                          <w:szCs w:val="22"/>
                        </w:rPr>
                        <w:t xml:space="preserve">обука о механизмима за спречавање корупције, јачање интегритета и етичких стандарда у јавној управи – </w:t>
                      </w:r>
                      <w:r w:rsidRPr="00841714">
                        <w:rPr>
                          <w:rFonts w:asciiTheme="minorHAnsi" w:hAnsiTheme="minorHAnsi" w:cstheme="minorHAnsi"/>
                          <w:spacing w:val="-8"/>
                          <w:sz w:val="22"/>
                          <w:szCs w:val="22"/>
                        </w:rPr>
                        <w:t xml:space="preserve">успостављање </w:t>
                      </w:r>
                      <w:r w:rsidRPr="00841714">
                        <w:rPr>
                          <w:rFonts w:asciiTheme="minorHAnsi" w:hAnsiTheme="minorHAnsi" w:cstheme="minorHAnsi"/>
                          <w:sz w:val="22"/>
                          <w:szCs w:val="22"/>
                        </w:rPr>
                        <w:t xml:space="preserve">ефикасне етичке </w:t>
                      </w:r>
                      <w:r w:rsidRPr="00841714">
                        <w:rPr>
                          <w:rFonts w:asciiTheme="minorHAnsi" w:hAnsiTheme="minorHAnsi" w:cstheme="minorHAnsi"/>
                          <w:spacing w:val="-18"/>
                          <w:sz w:val="22"/>
                          <w:szCs w:val="22"/>
                        </w:rPr>
                        <w:t xml:space="preserve">инфраструктуре </w:t>
                      </w:r>
                      <w:r w:rsidRPr="00841714">
                        <w:rPr>
                          <w:rFonts w:asciiTheme="minorHAnsi" w:hAnsiTheme="minorHAnsi" w:cstheme="minorHAnsi"/>
                          <w:sz w:val="22"/>
                          <w:szCs w:val="22"/>
                        </w:rPr>
                        <w:t>за руководиоце</w:t>
                      </w:r>
                    </w:p>
                  </w:txbxContent>
                </v:textbox>
              </v:roundrect>
            </w:pict>
          </mc:Fallback>
        </mc:AlternateContent>
      </w:r>
      <w:r w:rsidR="00E838A3" w:rsidRPr="000F0299">
        <w:rPr>
          <w:noProof/>
          <w:lang w:val="en-US" w:eastAsia="en-US" w:bidi="ar-SA"/>
        </w:rPr>
        <mc:AlternateContent>
          <mc:Choice Requires="wps">
            <w:drawing>
              <wp:anchor distT="0" distB="0" distL="114298" distR="114298" simplePos="0" relativeHeight="251329024" behindDoc="0" locked="0" layoutInCell="1" allowOverlap="1" wp14:anchorId="207BC3F3" wp14:editId="6ABE2F15">
                <wp:simplePos x="0" y="0"/>
                <wp:positionH relativeFrom="column">
                  <wp:posOffset>6604000</wp:posOffset>
                </wp:positionH>
                <wp:positionV relativeFrom="paragraph">
                  <wp:posOffset>710565</wp:posOffset>
                </wp:positionV>
                <wp:extent cx="0" cy="481965"/>
                <wp:effectExtent l="57150" t="38100" r="57150" b="13335"/>
                <wp:wrapNone/>
                <wp:docPr id="494" name="Straight Arrow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1965"/>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1B7D1" id="Straight Arrow Connector 494" o:spid="_x0000_s1026" type="#_x0000_t32" style="position:absolute;margin-left:520pt;margin-top:55.95pt;width:0;height:37.95pt;flip:y;z-index:25132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" strokecolor="#ccd7ea" strokeweight="2.25pt">
                <v:stroke endarrow="block" joinstyle="miter"/>
                <o:lock v:ext="edit" shapetype="f"/>
              </v:shape>
            </w:pict>
          </mc:Fallback>
        </mc:AlternateContent>
      </w:r>
      <w:r w:rsidR="00E838A3" w:rsidRPr="000F0299">
        <w:rPr>
          <w:noProof/>
          <w:lang w:val="en-US" w:eastAsia="en-US" w:bidi="ar-SA"/>
        </w:rPr>
        <mc:AlternateContent>
          <mc:Choice Requires="wps">
            <w:drawing>
              <wp:anchor distT="0" distB="0" distL="114298" distR="114298" simplePos="0" relativeHeight="251337216" behindDoc="0" locked="0" layoutInCell="1" allowOverlap="1" wp14:anchorId="5A1BA3B0" wp14:editId="1D211E03">
                <wp:simplePos x="0" y="0"/>
                <wp:positionH relativeFrom="column">
                  <wp:posOffset>5905500</wp:posOffset>
                </wp:positionH>
                <wp:positionV relativeFrom="paragraph">
                  <wp:posOffset>2475865</wp:posOffset>
                </wp:positionV>
                <wp:extent cx="0" cy="427355"/>
                <wp:effectExtent l="57150" t="38100" r="57150" b="10795"/>
                <wp:wrapNone/>
                <wp:docPr id="512" name="Straight Arrow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7355"/>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2A4334" id="Straight Arrow Connector 512" o:spid="_x0000_s1026" type="#_x0000_t32" style="position:absolute;margin-left:465pt;margin-top:194.95pt;width:0;height:33.65pt;flip:y;z-index:25133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" strokecolor="#ccd7ea" strokeweight="2.25pt">
                <v:stroke endarrow="block" joinstyle="miter"/>
                <o:lock v:ext="edit" shapetype="f"/>
              </v:shape>
            </w:pict>
          </mc:Fallback>
        </mc:AlternateContent>
      </w:r>
      <w:r w:rsidR="00E838A3" w:rsidRPr="000F0299">
        <w:rPr>
          <w:noProof/>
          <w:lang w:val="en-US" w:eastAsia="en-US" w:bidi="ar-SA"/>
        </w:rPr>
        <mc:AlternateContent>
          <mc:Choice Requires="wps">
            <w:drawing>
              <wp:anchor distT="0" distB="0" distL="114298" distR="114298" simplePos="0" relativeHeight="251338240" behindDoc="0" locked="0" layoutInCell="1" allowOverlap="1" wp14:anchorId="02D00970" wp14:editId="1A890ED1">
                <wp:simplePos x="0" y="0"/>
                <wp:positionH relativeFrom="column">
                  <wp:posOffset>7264400</wp:posOffset>
                </wp:positionH>
                <wp:positionV relativeFrom="paragraph">
                  <wp:posOffset>2488565</wp:posOffset>
                </wp:positionV>
                <wp:extent cx="0" cy="427355"/>
                <wp:effectExtent l="57150" t="38100" r="57150" b="10795"/>
                <wp:wrapNone/>
                <wp:docPr id="511" name="Straight Arrow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7355"/>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C63E7" id="Straight Arrow Connector 511" o:spid="_x0000_s1026" type="#_x0000_t32" style="position:absolute;margin-left:572pt;margin-top:195.95pt;width:0;height:33.65pt;flip:y;z-index:25133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" strokecolor="#ccd7ea" strokeweight="2.25pt">
                <v:stroke endarrow="block" joinstyle="miter"/>
                <o:lock v:ext="edit" shapetype="f"/>
              </v:shape>
            </w:pict>
          </mc:Fallback>
        </mc:AlternateContent>
      </w:r>
      <w:r w:rsidR="00E838A3" w:rsidRPr="000F0299">
        <w:rPr>
          <w:noProof/>
          <w:lang w:val="en-US" w:eastAsia="en-US" w:bidi="ar-SA"/>
        </w:rPr>
        <mc:AlternateContent>
          <mc:Choice Requires="wps">
            <w:drawing>
              <wp:anchor distT="0" distB="0" distL="114300" distR="114300" simplePos="0" relativeHeight="251332096" behindDoc="0" locked="0" layoutInCell="1" allowOverlap="1" wp14:anchorId="2BA09A00" wp14:editId="170A2478">
                <wp:simplePos x="0" y="0"/>
                <wp:positionH relativeFrom="column">
                  <wp:posOffset>2260600</wp:posOffset>
                </wp:positionH>
                <wp:positionV relativeFrom="paragraph">
                  <wp:posOffset>2907665</wp:posOffset>
                </wp:positionV>
                <wp:extent cx="1386205" cy="3251200"/>
                <wp:effectExtent l="0" t="0" r="23495" b="2540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205" cy="3251200"/>
                        </a:xfrm>
                        <a:prstGeom prst="roundRect">
                          <a:avLst/>
                        </a:prstGeom>
                        <a:solidFill>
                          <a:schemeClr val="bg1"/>
                        </a:solidFill>
                        <a:ln w="19050">
                          <a:solidFill>
                            <a:srgbClr val="CCD7EA"/>
                          </a:solidFill>
                        </a:ln>
                        <a:effectLst/>
                      </wps:spPr>
                      <wps:txbx>
                        <w:txbxContent>
                          <w:p w14:paraId="78FE6E6B" w14:textId="1E0C3BC7" w:rsidR="00876FFE" w:rsidRPr="00841714" w:rsidRDefault="00876FFE" w:rsidP="00E838A3">
                            <w:pPr>
                              <w:ind w:firstLine="0"/>
                              <w:jc w:val="center"/>
                              <w:rPr>
                                <w:rFonts w:asciiTheme="minorHAnsi" w:hAnsiTheme="minorHAnsi" w:cstheme="minorHAnsi"/>
                                <w:sz w:val="22"/>
                                <w:szCs w:val="22"/>
                              </w:rPr>
                            </w:pPr>
                            <w:r w:rsidRPr="00841714">
                              <w:rPr>
                                <w:rFonts w:asciiTheme="minorHAnsi" w:hAnsiTheme="minorHAnsi" w:cstheme="minorHAnsi"/>
                                <w:sz w:val="22"/>
                                <w:szCs w:val="22"/>
                              </w:rPr>
                              <w:t>Успостављање институционалног надзора који подразумева обавезу органа у саставу и повезаних органа да израђују и достављају годишње оперативне планове и извештаје о раду матичним институцијама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A09A00" id="Text Box 507" o:spid="_x0000_s1329" style="position:absolute;left:0;text-align:left;margin-left:178pt;margin-top:228.95pt;width:109.15pt;height:256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" fillcolor="white [3212]" strokecolor="#ccd7ea" strokeweight="1.5pt">
                <v:path arrowok="t"/>
                <v:textbox inset="0,0,0,0">
                  <w:txbxContent>
                    <w:p w14:paraId="78FE6E6B" w14:textId="1E0C3BC7" w:rsidR="00876FFE" w:rsidRPr="00841714" w:rsidRDefault="00876FFE" w:rsidP="00E838A3">
                      <w:pPr>
                        <w:ind w:firstLine="0"/>
                        <w:jc w:val="center"/>
                        <w:rPr>
                          <w:rFonts w:asciiTheme="minorHAnsi" w:hAnsiTheme="minorHAnsi" w:cstheme="minorHAnsi"/>
                          <w:sz w:val="22"/>
                          <w:szCs w:val="22"/>
                        </w:rPr>
                      </w:pPr>
                      <w:r w:rsidRPr="00841714">
                        <w:rPr>
                          <w:rFonts w:asciiTheme="minorHAnsi" w:hAnsiTheme="minorHAnsi" w:cstheme="minorHAnsi"/>
                          <w:sz w:val="22"/>
                          <w:szCs w:val="22"/>
                        </w:rPr>
                        <w:t xml:space="preserve">Успостављање </w:t>
                      </w:r>
                      <w:r w:rsidRPr="00841714">
                        <w:rPr>
                          <w:rFonts w:asciiTheme="minorHAnsi" w:hAnsiTheme="minorHAnsi" w:cstheme="minorHAnsi"/>
                          <w:sz w:val="22"/>
                          <w:szCs w:val="22"/>
                        </w:rPr>
                        <w:t>институционалног надзора који подразумева обавезу органа у саставу и повезаних органа да израђују и достављају годишње оперативне планове и извештаје о раду матичним институцијама</w:t>
                      </w:r>
                    </w:p>
                  </w:txbxContent>
                </v:textbox>
              </v:roundrect>
            </w:pict>
          </mc:Fallback>
        </mc:AlternateContent>
      </w:r>
      <w:r w:rsidR="00E838A3" w:rsidRPr="000F0299">
        <w:rPr>
          <w:noProof/>
          <w:lang w:val="en-US" w:eastAsia="en-US" w:bidi="ar-SA"/>
        </w:rPr>
        <mc:AlternateContent>
          <mc:Choice Requires="wps">
            <w:drawing>
              <wp:anchor distT="0" distB="0" distL="114298" distR="114298" simplePos="0" relativeHeight="251334144" behindDoc="0" locked="0" layoutInCell="1" allowOverlap="1" wp14:anchorId="445DAA0C" wp14:editId="7B25E070">
                <wp:simplePos x="0" y="0"/>
                <wp:positionH relativeFrom="column">
                  <wp:posOffset>4368800</wp:posOffset>
                </wp:positionH>
                <wp:positionV relativeFrom="paragraph">
                  <wp:posOffset>2513965</wp:posOffset>
                </wp:positionV>
                <wp:extent cx="0" cy="427355"/>
                <wp:effectExtent l="57150" t="38100" r="57150" b="10795"/>
                <wp:wrapNone/>
                <wp:docPr id="515" name="Straight Arrow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7355"/>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685F9A" id="Straight Arrow Connector 515" o:spid="_x0000_s1026" type="#_x0000_t32" style="position:absolute;margin-left:344pt;margin-top:197.95pt;width:0;height:33.65pt;flip:y;z-index:25133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" strokecolor="#ccd7ea" strokeweight="2.25pt">
                <v:stroke endarrow="block" joinstyle="miter"/>
                <o:lock v:ext="edit" shapetype="f"/>
              </v:shape>
            </w:pict>
          </mc:Fallback>
        </mc:AlternateContent>
      </w:r>
      <w:r w:rsidR="00E838A3" w:rsidRPr="000F0299">
        <w:rPr>
          <w:noProof/>
          <w:lang w:val="en-US" w:eastAsia="en-US" w:bidi="ar-SA"/>
        </w:rPr>
        <mc:AlternateContent>
          <mc:Choice Requires="wps">
            <w:drawing>
              <wp:anchor distT="0" distB="0" distL="114298" distR="114298" simplePos="0" relativeHeight="251330048" behindDoc="0" locked="0" layoutInCell="1" allowOverlap="1" wp14:anchorId="2549CC94" wp14:editId="77202883">
                <wp:simplePos x="0" y="0"/>
                <wp:positionH relativeFrom="column">
                  <wp:posOffset>3721100</wp:posOffset>
                </wp:positionH>
                <wp:positionV relativeFrom="paragraph">
                  <wp:posOffset>723265</wp:posOffset>
                </wp:positionV>
                <wp:extent cx="0" cy="481965"/>
                <wp:effectExtent l="57150" t="38100" r="57150" b="13335"/>
                <wp:wrapNone/>
                <wp:docPr id="495" name="Straight Arrow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1965"/>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84FE5F" id="Straight Arrow Connector 495" o:spid="_x0000_s1026" type="#_x0000_t32" style="position:absolute;margin-left:293pt;margin-top:56.95pt;width:0;height:37.95pt;flip:y;z-index:251330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" strokecolor="#ccd7ea" strokeweight="2.25pt">
                <v:stroke endarrow="block" joinstyle="miter"/>
                <o:lock v:ext="edit" shapetype="f"/>
              </v:shape>
            </w:pict>
          </mc:Fallback>
        </mc:AlternateContent>
      </w:r>
      <w:r w:rsidR="00E838A3" w:rsidRPr="000F0299">
        <w:rPr>
          <w:noProof/>
          <w:lang w:val="en-US" w:eastAsia="en-US" w:bidi="ar-SA"/>
        </w:rPr>
        <mc:AlternateContent>
          <mc:Choice Requires="wps">
            <w:drawing>
              <wp:anchor distT="0" distB="0" distL="114300" distR="114300" simplePos="0" relativeHeight="251335168" behindDoc="0" locked="0" layoutInCell="1" allowOverlap="1" wp14:anchorId="5F5B532B" wp14:editId="27BF254C">
                <wp:simplePos x="0" y="0"/>
                <wp:positionH relativeFrom="column">
                  <wp:posOffset>3721100</wp:posOffset>
                </wp:positionH>
                <wp:positionV relativeFrom="paragraph">
                  <wp:posOffset>2907665</wp:posOffset>
                </wp:positionV>
                <wp:extent cx="1297305" cy="2819400"/>
                <wp:effectExtent l="0" t="0" r="17145" b="1905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819400"/>
                        </a:xfrm>
                        <a:prstGeom prst="roundRect">
                          <a:avLst/>
                        </a:prstGeom>
                        <a:solidFill>
                          <a:schemeClr val="bg1"/>
                        </a:solidFill>
                        <a:ln w="19050">
                          <a:solidFill>
                            <a:srgbClr val="CCD7EA"/>
                          </a:solidFill>
                        </a:ln>
                        <a:effectLst/>
                      </wps:spPr>
                      <wps:txbx>
                        <w:txbxContent>
                          <w:p w14:paraId="2B6AFA2D" w14:textId="77777777" w:rsidR="00876FFE" w:rsidRPr="00841714" w:rsidRDefault="00876FFE" w:rsidP="00E838A3">
                            <w:pPr>
                              <w:ind w:firstLine="0"/>
                              <w:jc w:val="center"/>
                              <w:rPr>
                                <w:rFonts w:asciiTheme="minorHAnsi" w:hAnsiTheme="minorHAnsi" w:cstheme="minorHAnsi"/>
                                <w:sz w:val="22"/>
                                <w:szCs w:val="22"/>
                              </w:rPr>
                            </w:pPr>
                            <w:r w:rsidRPr="00841714">
                              <w:rPr>
                                <w:rFonts w:asciiTheme="minorHAnsi" w:hAnsiTheme="minorHAnsi" w:cstheme="minorHAnsi"/>
                                <w:spacing w:val="-6"/>
                                <w:sz w:val="22"/>
                                <w:szCs w:val="22"/>
                              </w:rPr>
                              <w:t>Успостављање методолошких</w:t>
                            </w:r>
                            <w:r w:rsidRPr="00841714">
                              <w:rPr>
                                <w:rFonts w:asciiTheme="minorHAnsi" w:hAnsiTheme="minorHAnsi" w:cstheme="minorHAnsi"/>
                                <w:sz w:val="22"/>
                                <w:szCs w:val="22"/>
                              </w:rPr>
                              <w:t xml:space="preserve"> правила за надзор и извештавање о резултатима рада органа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5B532B" id="Text Box 513" o:spid="_x0000_s1330" style="position:absolute;left:0;text-align:left;margin-left:293pt;margin-top:228.95pt;width:102.15pt;height:222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" fillcolor="white [3212]" strokecolor="#ccd7ea" strokeweight="1.5pt">
                <v:path arrowok="t"/>
                <v:textbox inset="0,0,0,0">
                  <w:txbxContent>
                    <w:p w14:paraId="2B6AFA2D" w14:textId="77777777" w:rsidR="00876FFE" w:rsidRPr="00841714" w:rsidRDefault="00876FFE" w:rsidP="00E838A3">
                      <w:pPr>
                        <w:ind w:firstLine="0"/>
                        <w:jc w:val="center"/>
                        <w:rPr>
                          <w:rFonts w:asciiTheme="minorHAnsi" w:hAnsiTheme="minorHAnsi" w:cstheme="minorHAnsi"/>
                          <w:sz w:val="22"/>
                          <w:szCs w:val="22"/>
                        </w:rPr>
                      </w:pPr>
                      <w:r w:rsidRPr="00841714">
                        <w:rPr>
                          <w:rFonts w:asciiTheme="minorHAnsi" w:hAnsiTheme="minorHAnsi" w:cstheme="minorHAnsi"/>
                          <w:spacing w:val="-6"/>
                          <w:sz w:val="22"/>
                          <w:szCs w:val="22"/>
                        </w:rPr>
                        <w:t xml:space="preserve">Успостављање </w:t>
                      </w:r>
                      <w:r w:rsidRPr="00841714">
                        <w:rPr>
                          <w:rFonts w:asciiTheme="minorHAnsi" w:hAnsiTheme="minorHAnsi" w:cstheme="minorHAnsi"/>
                          <w:spacing w:val="-6"/>
                          <w:sz w:val="22"/>
                          <w:szCs w:val="22"/>
                        </w:rPr>
                        <w:t>методолошких</w:t>
                      </w:r>
                      <w:r w:rsidRPr="00841714">
                        <w:rPr>
                          <w:rFonts w:asciiTheme="minorHAnsi" w:hAnsiTheme="minorHAnsi" w:cstheme="minorHAnsi"/>
                          <w:sz w:val="22"/>
                          <w:szCs w:val="22"/>
                        </w:rPr>
                        <w:t xml:space="preserve"> правила за надзор и извештавање о резултатима рада органа</w:t>
                      </w:r>
                    </w:p>
                  </w:txbxContent>
                </v:textbox>
              </v:roundrect>
            </w:pict>
          </mc:Fallback>
        </mc:AlternateContent>
      </w:r>
      <w:r w:rsidR="00E838A3" w:rsidRPr="000F0299">
        <w:rPr>
          <w:noProof/>
          <w:lang w:val="en-US" w:eastAsia="en-US" w:bidi="ar-SA"/>
        </w:rPr>
        <mc:AlternateContent>
          <mc:Choice Requires="wps">
            <w:drawing>
              <wp:anchor distT="0" distB="0" distL="114300" distR="114300" simplePos="0" relativeHeight="251318784" behindDoc="0" locked="0" layoutInCell="1" allowOverlap="1" wp14:anchorId="20050760" wp14:editId="6B06AA40">
                <wp:simplePos x="0" y="0"/>
                <wp:positionH relativeFrom="column">
                  <wp:posOffset>2381250</wp:posOffset>
                </wp:positionH>
                <wp:positionV relativeFrom="paragraph">
                  <wp:posOffset>1186815</wp:posOffset>
                </wp:positionV>
                <wp:extent cx="2656840" cy="1280795"/>
                <wp:effectExtent l="19050" t="19050" r="10160" b="14605"/>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840" cy="1280795"/>
                        </a:xfrm>
                        <a:prstGeom prst="roundRect">
                          <a:avLst/>
                        </a:prstGeom>
                        <a:solidFill>
                          <a:sysClr val="window" lastClr="FFFFFF"/>
                        </a:solidFill>
                        <a:ln w="38100" cmpd="dbl">
                          <a:solidFill>
                            <a:srgbClr val="839DCC"/>
                          </a:solidFill>
                        </a:ln>
                        <a:effectLst/>
                      </wps:spPr>
                      <wps:txbx>
                        <w:txbxContent>
                          <w:p w14:paraId="18A30F4A" w14:textId="77777777" w:rsidR="00876FFE" w:rsidRPr="00E838A3" w:rsidRDefault="00876FFE" w:rsidP="00E838A3">
                            <w:pPr>
                              <w:spacing w:before="0"/>
                              <w:ind w:firstLine="0"/>
                              <w:jc w:val="center"/>
                              <w:rPr>
                                <w:rFonts w:asciiTheme="minorHAnsi" w:hAnsiTheme="minorHAnsi" w:cstheme="minorHAnsi"/>
                              </w:rPr>
                            </w:pPr>
                            <w:r w:rsidRPr="00E838A3">
                              <w:rPr>
                                <w:rFonts w:asciiTheme="minorHAnsi" w:hAnsiTheme="minorHAnsi" w:cstheme="minorHAnsi"/>
                              </w:rPr>
                              <w:t>Унапређење вертикалног и хоризонталног система надзора и праћења рада у јавној управи (</w:t>
                            </w:r>
                            <w:r w:rsidRPr="00E838A3">
                              <w:rPr>
                                <w:rFonts w:asciiTheme="minorHAnsi" w:hAnsiTheme="minorHAnsi" w:cstheme="minorHAnsi"/>
                                <w:b/>
                              </w:rPr>
                              <w:t>Успостављен механизам за управљање према учинку органа јавне управе</w:t>
                            </w:r>
                            <w:r w:rsidRPr="00E838A3">
                              <w:rPr>
                                <w:rFonts w:asciiTheme="minorHAnsi" w:hAnsiTheme="minorHAnsi" w:cstheme="minorHAnsi"/>
                              </w:rPr>
                              <w:t>)</w:t>
                            </w:r>
                          </w:p>
                          <w:p w14:paraId="428E448D" w14:textId="77777777" w:rsidR="00876FFE" w:rsidRPr="00E838A3" w:rsidRDefault="00876FFE" w:rsidP="00244E7C">
                            <w:pPr>
                              <w:rPr>
                                <w:rFonts w:asciiTheme="minorHAnsi" w:hAnsiTheme="minorHAnsi" w:cstheme="minorHAnsi"/>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050760" id="Text Box 520" o:spid="_x0000_s1331" style="position:absolute;left:0;text-align:left;margin-left:187.5pt;margin-top:93.45pt;width:209.2pt;height:100.85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" fillcolor="window" strokecolor="#839dcc" strokeweight="3pt">
                <v:stroke linestyle="thinThin"/>
                <v:path arrowok="t"/>
                <v:textbox inset="0,0,0,0">
                  <w:txbxContent>
                    <w:p w14:paraId="18A30F4A" w14:textId="77777777" w:rsidR="00876FFE" w:rsidRPr="00E838A3" w:rsidRDefault="00876FFE" w:rsidP="00E838A3">
                      <w:pPr>
                        <w:spacing w:before="0"/>
                        <w:ind w:firstLine="0"/>
                        <w:jc w:val="center"/>
                        <w:rPr>
                          <w:rFonts w:asciiTheme="minorHAnsi" w:hAnsiTheme="minorHAnsi" w:cstheme="minorHAnsi"/>
                        </w:rPr>
                      </w:pPr>
                      <w:r w:rsidRPr="00E838A3">
                        <w:rPr>
                          <w:rFonts w:asciiTheme="minorHAnsi" w:hAnsiTheme="minorHAnsi" w:cstheme="minorHAnsi"/>
                        </w:rPr>
                        <w:t xml:space="preserve">Унапређење </w:t>
                      </w:r>
                      <w:r w:rsidRPr="00E838A3">
                        <w:rPr>
                          <w:rFonts w:asciiTheme="minorHAnsi" w:hAnsiTheme="minorHAnsi" w:cstheme="minorHAnsi"/>
                        </w:rPr>
                        <w:t>вертикалног и хоризонталног система надзора и праћења рада у јавној управи (</w:t>
                      </w:r>
                      <w:r w:rsidRPr="00E838A3">
                        <w:rPr>
                          <w:rFonts w:asciiTheme="minorHAnsi" w:hAnsiTheme="minorHAnsi" w:cstheme="minorHAnsi"/>
                          <w:b/>
                        </w:rPr>
                        <w:t>Успостављен механизам за управљање према учинку органа јавне управе</w:t>
                      </w:r>
                      <w:r w:rsidRPr="00E838A3">
                        <w:rPr>
                          <w:rFonts w:asciiTheme="minorHAnsi" w:hAnsiTheme="minorHAnsi" w:cstheme="minorHAnsi"/>
                        </w:rPr>
                        <w:t>)</w:t>
                      </w:r>
                    </w:p>
                    <w:p w14:paraId="428E448D" w14:textId="77777777" w:rsidR="00876FFE" w:rsidRPr="00E838A3" w:rsidRDefault="00876FFE" w:rsidP="00244E7C">
                      <w:pPr>
                        <w:rPr>
                          <w:rFonts w:asciiTheme="minorHAnsi" w:hAnsiTheme="minorHAnsi" w:cstheme="minorHAnsi"/>
                        </w:rPr>
                      </w:pPr>
                    </w:p>
                  </w:txbxContent>
                </v:textbox>
              </v:roundrect>
            </w:pict>
          </mc:Fallback>
        </mc:AlternateContent>
      </w:r>
      <w:r w:rsidR="00E838A3" w:rsidRPr="000F0299">
        <w:rPr>
          <w:noProof/>
          <w:lang w:val="en-US" w:eastAsia="en-US" w:bidi="ar-SA"/>
        </w:rPr>
        <mc:AlternateContent>
          <mc:Choice Requires="wps">
            <w:drawing>
              <wp:anchor distT="0" distB="0" distL="114300" distR="114300" simplePos="0" relativeHeight="251323904" behindDoc="0" locked="0" layoutInCell="1" allowOverlap="1" wp14:anchorId="3447F8ED" wp14:editId="79BE4AB0">
                <wp:simplePos x="0" y="0"/>
                <wp:positionH relativeFrom="column">
                  <wp:posOffset>-558800</wp:posOffset>
                </wp:positionH>
                <wp:positionV relativeFrom="paragraph">
                  <wp:posOffset>2882265</wp:posOffset>
                </wp:positionV>
                <wp:extent cx="1297305" cy="3302000"/>
                <wp:effectExtent l="0" t="0" r="17145" b="1270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3302000"/>
                        </a:xfrm>
                        <a:prstGeom prst="roundRect">
                          <a:avLst/>
                        </a:prstGeom>
                        <a:solidFill>
                          <a:schemeClr val="bg1"/>
                        </a:solidFill>
                        <a:ln w="19050">
                          <a:solidFill>
                            <a:srgbClr val="CCD7EA"/>
                          </a:solidFill>
                        </a:ln>
                        <a:effectLst/>
                      </wps:spPr>
                      <wps:txbx>
                        <w:txbxContent>
                          <w:p w14:paraId="45A0BAD2" w14:textId="77777777" w:rsidR="00876FFE" w:rsidRPr="00841714" w:rsidRDefault="00876FFE" w:rsidP="00E838A3">
                            <w:pPr>
                              <w:spacing w:before="0"/>
                              <w:ind w:firstLine="0"/>
                              <w:jc w:val="center"/>
                              <w:rPr>
                                <w:rFonts w:asciiTheme="minorHAnsi" w:hAnsiTheme="minorHAnsi" w:cstheme="minorHAnsi"/>
                                <w:sz w:val="22"/>
                                <w:szCs w:val="22"/>
                              </w:rPr>
                            </w:pPr>
                            <w:r w:rsidRPr="00841714">
                              <w:rPr>
                                <w:rFonts w:asciiTheme="minorHAnsi" w:hAnsiTheme="minorHAnsi" w:cstheme="minorHAnsi"/>
                                <w:sz w:val="22"/>
                                <w:szCs w:val="22"/>
                              </w:rPr>
                              <w:t xml:space="preserve">Увођење обавезног делегирања одговорности и овлашћења за управљање кадровским и финансијским ресурсима на државне службенике </w:t>
                            </w:r>
                            <w:r w:rsidRPr="00841714">
                              <w:rPr>
                                <w:rFonts w:asciiTheme="minorHAnsi" w:hAnsiTheme="minorHAnsi" w:cstheme="minorHAnsi"/>
                                <w:spacing w:val="-4"/>
                                <w:sz w:val="22"/>
                                <w:szCs w:val="22"/>
                              </w:rPr>
                              <w:t>на положају и</w:t>
                            </w:r>
                            <w:r w:rsidRPr="00841714">
                              <w:rPr>
                                <w:rFonts w:asciiTheme="minorHAnsi" w:hAnsiTheme="minorHAnsi" w:cstheme="minorHAnsi"/>
                                <w:sz w:val="22"/>
                                <w:szCs w:val="22"/>
                              </w:rPr>
                              <w:t xml:space="preserve"> руководиоце ужих </w:t>
                            </w:r>
                            <w:r w:rsidRPr="00841714">
                              <w:rPr>
                                <w:rFonts w:asciiTheme="minorHAnsi" w:hAnsiTheme="minorHAnsi" w:cstheme="minorHAnsi"/>
                                <w:spacing w:val="-18"/>
                                <w:sz w:val="22"/>
                                <w:szCs w:val="22"/>
                              </w:rPr>
                              <w:t xml:space="preserve">организационих </w:t>
                            </w:r>
                            <w:r w:rsidRPr="00841714">
                              <w:rPr>
                                <w:rFonts w:asciiTheme="minorHAnsi" w:hAnsiTheme="minorHAnsi" w:cstheme="minorHAnsi"/>
                                <w:sz w:val="22"/>
                                <w:szCs w:val="22"/>
                              </w:rPr>
                              <w:t>јединица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47F8ED" id="Text Box 506" o:spid="_x0000_s1332" style="position:absolute;left:0;text-align:left;margin-left:-44pt;margin-top:226.95pt;width:102.15pt;height:260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" fillcolor="white [3212]" strokecolor="#ccd7ea" strokeweight="1.5pt">
                <v:path arrowok="t"/>
                <v:textbox inset="0,0,0,0">
                  <w:txbxContent>
                    <w:p w14:paraId="45A0BAD2" w14:textId="77777777" w:rsidR="00876FFE" w:rsidRPr="00841714" w:rsidRDefault="00876FFE" w:rsidP="00E838A3">
                      <w:pPr>
                        <w:spacing w:before="0"/>
                        <w:ind w:firstLine="0"/>
                        <w:jc w:val="center"/>
                        <w:rPr>
                          <w:rFonts w:asciiTheme="minorHAnsi" w:hAnsiTheme="minorHAnsi" w:cstheme="minorHAnsi"/>
                          <w:sz w:val="22"/>
                          <w:szCs w:val="22"/>
                        </w:rPr>
                      </w:pPr>
                      <w:r w:rsidRPr="00841714">
                        <w:rPr>
                          <w:rFonts w:asciiTheme="minorHAnsi" w:hAnsiTheme="minorHAnsi" w:cstheme="minorHAnsi"/>
                          <w:sz w:val="22"/>
                          <w:szCs w:val="22"/>
                        </w:rPr>
                        <w:t xml:space="preserve">Увођење обавезног делегирања одговорности и овлашћења за управљање кадровским и финансијским ресурсима на државне службенике </w:t>
                      </w:r>
                      <w:r w:rsidRPr="00841714">
                        <w:rPr>
                          <w:rFonts w:asciiTheme="minorHAnsi" w:hAnsiTheme="minorHAnsi" w:cstheme="minorHAnsi"/>
                          <w:spacing w:val="-4"/>
                          <w:sz w:val="22"/>
                          <w:szCs w:val="22"/>
                        </w:rPr>
                        <w:t>на положају и</w:t>
                      </w:r>
                      <w:r w:rsidRPr="00841714">
                        <w:rPr>
                          <w:rFonts w:asciiTheme="minorHAnsi" w:hAnsiTheme="minorHAnsi" w:cstheme="minorHAnsi"/>
                          <w:sz w:val="22"/>
                          <w:szCs w:val="22"/>
                        </w:rPr>
                        <w:t xml:space="preserve"> руководиоце ужих </w:t>
                      </w:r>
                      <w:r w:rsidRPr="00841714">
                        <w:rPr>
                          <w:rFonts w:asciiTheme="minorHAnsi" w:hAnsiTheme="minorHAnsi" w:cstheme="minorHAnsi"/>
                          <w:spacing w:val="-18"/>
                          <w:sz w:val="22"/>
                          <w:szCs w:val="22"/>
                        </w:rPr>
                        <w:t xml:space="preserve">организационих </w:t>
                      </w:r>
                      <w:r w:rsidRPr="00841714">
                        <w:rPr>
                          <w:rFonts w:asciiTheme="minorHAnsi" w:hAnsiTheme="minorHAnsi" w:cstheme="minorHAnsi"/>
                          <w:sz w:val="22"/>
                          <w:szCs w:val="22"/>
                        </w:rPr>
                        <w:t>јединица</w:t>
                      </w:r>
                    </w:p>
                  </w:txbxContent>
                </v:textbox>
              </v:roundrect>
            </w:pict>
          </mc:Fallback>
        </mc:AlternateContent>
      </w:r>
      <w:r w:rsidR="00E838A3" w:rsidRPr="000F0299">
        <w:rPr>
          <w:noProof/>
          <w:lang w:val="en-US" w:eastAsia="en-US" w:bidi="ar-SA"/>
        </w:rPr>
        <mc:AlternateContent>
          <mc:Choice Requires="wps">
            <w:drawing>
              <wp:anchor distT="0" distB="0" distL="114298" distR="114298" simplePos="0" relativeHeight="251325952" behindDoc="0" locked="0" layoutInCell="1" allowOverlap="1" wp14:anchorId="47CC2A8B" wp14:editId="14444271">
                <wp:simplePos x="0" y="0"/>
                <wp:positionH relativeFrom="column">
                  <wp:posOffset>1460500</wp:posOffset>
                </wp:positionH>
                <wp:positionV relativeFrom="paragraph">
                  <wp:posOffset>2488565</wp:posOffset>
                </wp:positionV>
                <wp:extent cx="0" cy="427355"/>
                <wp:effectExtent l="57150" t="38100" r="57150" b="10795"/>
                <wp:wrapNone/>
                <wp:docPr id="516" name="Straight Arrow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7355"/>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502027" id="Straight Arrow Connector 516" o:spid="_x0000_s1026" type="#_x0000_t32" style="position:absolute;margin-left:115pt;margin-top:195.95pt;width:0;height:33.65pt;flip:y;z-index:251325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" strokecolor="#ccd7ea" strokeweight="2.25pt">
                <v:stroke endarrow="block" joinstyle="miter"/>
                <o:lock v:ext="edit" shapetype="f"/>
              </v:shape>
            </w:pict>
          </mc:Fallback>
        </mc:AlternateContent>
      </w:r>
      <w:r w:rsidR="00E838A3" w:rsidRPr="000F0299">
        <w:rPr>
          <w:noProof/>
          <w:lang w:val="en-US" w:eastAsia="en-US" w:bidi="ar-SA"/>
        </w:rPr>
        <mc:AlternateContent>
          <mc:Choice Requires="wps">
            <w:drawing>
              <wp:anchor distT="0" distB="0" distL="114298" distR="114298" simplePos="0" relativeHeight="251326976" behindDoc="0" locked="0" layoutInCell="1" allowOverlap="1" wp14:anchorId="1CD72CA0" wp14:editId="19B5B04F">
                <wp:simplePos x="0" y="0"/>
                <wp:positionH relativeFrom="column">
                  <wp:posOffset>825500</wp:posOffset>
                </wp:positionH>
                <wp:positionV relativeFrom="paragraph">
                  <wp:posOffset>697865</wp:posOffset>
                </wp:positionV>
                <wp:extent cx="0" cy="481965"/>
                <wp:effectExtent l="57150" t="38100" r="57150" b="13335"/>
                <wp:wrapNone/>
                <wp:docPr id="496" name="Straight Arrow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1965"/>
                        </a:xfrm>
                        <a:prstGeom prst="straightConnector1">
                          <a:avLst/>
                        </a:prstGeom>
                        <a:noFill/>
                        <a:ln w="28575" cap="flat" cmpd="sng" algn="ctr">
                          <a:solidFill>
                            <a:srgbClr val="CCD7EA"/>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4EAC5" id="Straight Arrow Connector 496" o:spid="_x0000_s1026" type="#_x0000_t32" style="position:absolute;margin-left:65pt;margin-top:54.95pt;width:0;height:37.95pt;flip:y;z-index:251326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" strokecolor="#ccd7ea" strokeweight="2.25pt">
                <v:stroke endarrow="block" joinstyle="miter"/>
                <o:lock v:ext="edit" shapetype="f"/>
              </v:shape>
            </w:pict>
          </mc:Fallback>
        </mc:AlternateContent>
      </w:r>
      <w:r w:rsidR="00E838A3" w:rsidRPr="000F0299">
        <w:rPr>
          <w:noProof/>
          <w:lang w:val="en-US" w:eastAsia="en-US" w:bidi="ar-SA"/>
        </w:rPr>
        <mc:AlternateContent>
          <mc:Choice Requires="wps">
            <w:drawing>
              <wp:anchor distT="0" distB="0" distL="114300" distR="114300" simplePos="0" relativeHeight="251331072" behindDoc="0" locked="0" layoutInCell="1" allowOverlap="1" wp14:anchorId="0A657AB1" wp14:editId="6A399692">
                <wp:simplePos x="0" y="0"/>
                <wp:positionH relativeFrom="column">
                  <wp:posOffset>825500</wp:posOffset>
                </wp:positionH>
                <wp:positionV relativeFrom="paragraph">
                  <wp:posOffset>2882265</wp:posOffset>
                </wp:positionV>
                <wp:extent cx="1297305" cy="2819400"/>
                <wp:effectExtent l="0" t="0" r="17145" b="1905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2819400"/>
                        </a:xfrm>
                        <a:prstGeom prst="roundRect">
                          <a:avLst/>
                        </a:prstGeom>
                        <a:solidFill>
                          <a:schemeClr val="bg1"/>
                        </a:solidFill>
                        <a:ln w="19050">
                          <a:solidFill>
                            <a:srgbClr val="CCD7EA"/>
                          </a:solidFill>
                        </a:ln>
                        <a:effectLst/>
                      </wps:spPr>
                      <wps:txbx>
                        <w:txbxContent>
                          <w:p w14:paraId="6E6CE679" w14:textId="77777777" w:rsidR="00876FFE" w:rsidRPr="00841714" w:rsidRDefault="00876FFE" w:rsidP="00E838A3">
                            <w:pPr>
                              <w:ind w:firstLine="0"/>
                              <w:jc w:val="center"/>
                              <w:rPr>
                                <w:rFonts w:asciiTheme="minorHAnsi" w:hAnsiTheme="minorHAnsi" w:cstheme="minorHAnsi"/>
                                <w:sz w:val="22"/>
                                <w:szCs w:val="22"/>
                              </w:rPr>
                            </w:pPr>
                            <w:r w:rsidRPr="00841714">
                              <w:rPr>
                                <w:rFonts w:asciiTheme="minorHAnsi" w:hAnsiTheme="minorHAnsi" w:cstheme="minorHAnsi"/>
                                <w:sz w:val="22"/>
                                <w:szCs w:val="22"/>
                              </w:rPr>
                              <w:t>Израда едукативних материјала и спровођење обука о примени принципа управљачке одговорности за руководиоце и запослене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A657AB1" id="Text Box 518" o:spid="_x0000_s1333" style="position:absolute;left:0;text-align:left;margin-left:65pt;margin-top:226.95pt;width:102.15pt;height:222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" fillcolor="white [3212]" strokecolor="#ccd7ea" strokeweight="1.5pt">
                <v:path arrowok="t"/>
                <v:textbox inset="0,0,0,0">
                  <w:txbxContent>
                    <w:p w14:paraId="6E6CE679" w14:textId="77777777" w:rsidR="00876FFE" w:rsidRPr="00841714" w:rsidRDefault="00876FFE" w:rsidP="00E838A3">
                      <w:pPr>
                        <w:ind w:firstLine="0"/>
                        <w:jc w:val="center"/>
                        <w:rPr>
                          <w:rFonts w:asciiTheme="minorHAnsi" w:hAnsiTheme="minorHAnsi" w:cstheme="minorHAnsi"/>
                          <w:sz w:val="22"/>
                          <w:szCs w:val="22"/>
                        </w:rPr>
                      </w:pPr>
                      <w:r w:rsidRPr="00841714">
                        <w:rPr>
                          <w:rFonts w:asciiTheme="minorHAnsi" w:hAnsiTheme="minorHAnsi" w:cstheme="minorHAnsi"/>
                          <w:sz w:val="22"/>
                          <w:szCs w:val="22"/>
                        </w:rPr>
                        <w:t xml:space="preserve">Израда </w:t>
                      </w:r>
                      <w:r w:rsidRPr="00841714">
                        <w:rPr>
                          <w:rFonts w:asciiTheme="minorHAnsi" w:hAnsiTheme="minorHAnsi" w:cstheme="minorHAnsi"/>
                          <w:sz w:val="22"/>
                          <w:szCs w:val="22"/>
                        </w:rPr>
                        <w:t>едукативних материјала и спровођење обука о примени принципа управљачке одговорности за руководиоце и запослене</w:t>
                      </w:r>
                    </w:p>
                  </w:txbxContent>
                </v:textbox>
              </v:roundrect>
            </w:pict>
          </mc:Fallback>
        </mc:AlternateContent>
      </w:r>
      <w:r w:rsidR="00E838A3" w:rsidRPr="000F0299">
        <w:rPr>
          <w:noProof/>
          <w:lang w:val="en-US" w:eastAsia="en-US" w:bidi="ar-SA"/>
        </w:rPr>
        <mc:AlternateContent>
          <mc:Choice Requires="wps">
            <w:drawing>
              <wp:anchor distT="0" distB="0" distL="114300" distR="114300" simplePos="0" relativeHeight="251319808" behindDoc="0" locked="0" layoutInCell="1" allowOverlap="1" wp14:anchorId="670392ED" wp14:editId="3E525101">
                <wp:simplePos x="0" y="0"/>
                <wp:positionH relativeFrom="column">
                  <wp:posOffset>-494030</wp:posOffset>
                </wp:positionH>
                <wp:positionV relativeFrom="paragraph">
                  <wp:posOffset>1186180</wp:posOffset>
                </wp:positionV>
                <wp:extent cx="2656840" cy="1263015"/>
                <wp:effectExtent l="19050" t="19050" r="10160" b="13335"/>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840" cy="1263015"/>
                        </a:xfrm>
                        <a:prstGeom prst="roundRect">
                          <a:avLst/>
                        </a:prstGeom>
                        <a:solidFill>
                          <a:sysClr val="window" lastClr="FFFFFF"/>
                        </a:solidFill>
                        <a:ln w="38100" cmpd="dbl">
                          <a:solidFill>
                            <a:srgbClr val="839DCC"/>
                          </a:solidFill>
                        </a:ln>
                        <a:effectLst/>
                      </wps:spPr>
                      <wps:txbx>
                        <w:txbxContent>
                          <w:p w14:paraId="4607FA4C" w14:textId="77777777" w:rsidR="00876FFE" w:rsidRPr="00E838A3" w:rsidRDefault="00876FFE" w:rsidP="00E838A3">
                            <w:pPr>
                              <w:ind w:firstLine="0"/>
                              <w:jc w:val="center"/>
                              <w:rPr>
                                <w:rFonts w:asciiTheme="minorHAnsi" w:hAnsiTheme="minorHAnsi" w:cstheme="minorHAnsi"/>
                              </w:rPr>
                            </w:pPr>
                            <w:r w:rsidRPr="00E838A3">
                              <w:rPr>
                                <w:rFonts w:asciiTheme="minorHAnsi" w:hAnsiTheme="minorHAnsi" w:cstheme="minorHAnsi"/>
                              </w:rPr>
                              <w:t xml:space="preserve">Успостављање системских решења за </w:t>
                            </w:r>
                            <w:r w:rsidRPr="00E838A3">
                              <w:rPr>
                                <w:rFonts w:asciiTheme="minorHAnsi" w:hAnsiTheme="minorHAnsi" w:cstheme="minorHAnsi"/>
                                <w:b/>
                              </w:rPr>
                              <w:t>управљачку одговорност и децентрализацију овлашћења</w:t>
                            </w:r>
                            <w:r w:rsidRPr="00E838A3">
                              <w:rPr>
                                <w:rFonts w:asciiTheme="minorHAnsi" w:hAnsiTheme="minorHAnsi" w:cstheme="minorHAnsi"/>
                              </w:rPr>
                              <w:t xml:space="preserve"> у органима јавне управе (повећање аутономије)</w:t>
                            </w:r>
                          </w:p>
                          <w:p w14:paraId="3B1A228E" w14:textId="77777777" w:rsidR="00876FFE" w:rsidRPr="00E838A3" w:rsidRDefault="00876FFE" w:rsidP="00244E7C">
                            <w:pPr>
                              <w:rPr>
                                <w:rFonts w:asciiTheme="minorHAnsi" w:hAnsiTheme="minorHAnsi" w:cstheme="minorHAnsi"/>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0392ED" id="Text Box 519" o:spid="_x0000_s1334" style="position:absolute;left:0;text-align:left;margin-left:-38.9pt;margin-top:93.4pt;width:209.2pt;height:99.45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" fillcolor="window" strokecolor="#839dcc" strokeweight="3pt">
                <v:stroke linestyle="thinThin"/>
                <v:path arrowok="t"/>
                <v:textbox inset="0,0,0,0">
                  <w:txbxContent>
                    <w:p w14:paraId="4607FA4C" w14:textId="77777777" w:rsidR="00876FFE" w:rsidRPr="00E838A3" w:rsidRDefault="00876FFE" w:rsidP="00E838A3">
                      <w:pPr>
                        <w:ind w:firstLine="0"/>
                        <w:jc w:val="center"/>
                        <w:rPr>
                          <w:rFonts w:asciiTheme="minorHAnsi" w:hAnsiTheme="minorHAnsi" w:cstheme="minorHAnsi"/>
                        </w:rPr>
                      </w:pPr>
                      <w:r w:rsidRPr="00E838A3">
                        <w:rPr>
                          <w:rFonts w:asciiTheme="minorHAnsi" w:hAnsiTheme="minorHAnsi" w:cstheme="minorHAnsi"/>
                        </w:rPr>
                        <w:t xml:space="preserve">Успостављање </w:t>
                      </w:r>
                      <w:r w:rsidRPr="00E838A3">
                        <w:rPr>
                          <w:rFonts w:asciiTheme="minorHAnsi" w:hAnsiTheme="minorHAnsi" w:cstheme="minorHAnsi"/>
                        </w:rPr>
                        <w:t xml:space="preserve">системских решења за </w:t>
                      </w:r>
                      <w:r w:rsidRPr="00E838A3">
                        <w:rPr>
                          <w:rFonts w:asciiTheme="minorHAnsi" w:hAnsiTheme="minorHAnsi" w:cstheme="minorHAnsi"/>
                          <w:b/>
                        </w:rPr>
                        <w:t>управљачку одговорност и децентрализацију овлашћења</w:t>
                      </w:r>
                      <w:r w:rsidRPr="00E838A3">
                        <w:rPr>
                          <w:rFonts w:asciiTheme="minorHAnsi" w:hAnsiTheme="minorHAnsi" w:cstheme="minorHAnsi"/>
                        </w:rPr>
                        <w:t xml:space="preserve"> у органима јавне управе (повећање аутономије)</w:t>
                      </w:r>
                    </w:p>
                    <w:p w14:paraId="3B1A228E" w14:textId="77777777" w:rsidR="00876FFE" w:rsidRPr="00E838A3" w:rsidRDefault="00876FFE" w:rsidP="00244E7C">
                      <w:pPr>
                        <w:rPr>
                          <w:rFonts w:asciiTheme="minorHAnsi" w:hAnsiTheme="minorHAnsi" w:cstheme="minorHAnsi"/>
                        </w:rPr>
                      </w:pPr>
                    </w:p>
                  </w:txbxContent>
                </v:textbox>
              </v:roundrect>
            </w:pict>
          </mc:Fallback>
        </mc:AlternateContent>
      </w:r>
    </w:p>
    <w:p w14:paraId="301470CF" w14:textId="204D048B" w:rsidR="0044238D" w:rsidRPr="000F0299" w:rsidRDefault="0044238D" w:rsidP="000D7EF9">
      <w:pPr>
        <w:pStyle w:val="Heading2"/>
        <w:rPr>
          <w:lang w:val="sr-Cyrl-RS"/>
        </w:rPr>
      </w:pPr>
      <w:bookmarkStart w:id="228" w:name="_V._Управљање_јавним"/>
      <w:bookmarkStart w:id="229" w:name="_Toc40182239"/>
      <w:bookmarkStart w:id="230" w:name="_Toc40183056"/>
      <w:bookmarkStart w:id="231" w:name="_Toc40613470"/>
      <w:bookmarkStart w:id="232" w:name="_Toc57661493"/>
      <w:bookmarkEnd w:id="228"/>
      <w:r w:rsidRPr="000F0299">
        <w:rPr>
          <w:lang w:val="sr-Cyrl-RS"/>
        </w:rPr>
        <w:t xml:space="preserve">V. </w:t>
      </w:r>
      <w:r w:rsidR="002A63CA" w:rsidRPr="000F0299">
        <w:rPr>
          <w:lang w:val="sr-Cyrl-RS"/>
        </w:rPr>
        <w:t>Управљање јавним финансијама</w:t>
      </w:r>
      <w:bookmarkEnd w:id="229"/>
      <w:bookmarkEnd w:id="230"/>
      <w:bookmarkEnd w:id="231"/>
      <w:bookmarkEnd w:id="232"/>
    </w:p>
    <w:p w14:paraId="66CA5F7E" w14:textId="77777777" w:rsidR="00BE0973" w:rsidRPr="00884B37" w:rsidRDefault="00BE0973" w:rsidP="00BE0973">
      <w:pPr>
        <w:pStyle w:val="Heading3"/>
        <w:rPr>
          <w:rStyle w:val="Emphasis"/>
          <w:i w:val="0"/>
          <w:iCs w:val="0"/>
          <w:lang w:val="sr-Cyrl-RS"/>
        </w:rPr>
      </w:pPr>
      <w:bookmarkStart w:id="233" w:name="_Toc40182240"/>
      <w:bookmarkStart w:id="234" w:name="_Toc40183057"/>
      <w:bookmarkStart w:id="235" w:name="_Toc40613471"/>
      <w:bookmarkStart w:id="236" w:name="_Toc57139395"/>
      <w:bookmarkStart w:id="237" w:name="_Toc57661494"/>
      <w:r w:rsidRPr="00884B37">
        <w:rPr>
          <w:rStyle w:val="Emphasis"/>
          <w:lang w:val="sr-Cyrl-RS"/>
        </w:rPr>
        <w:t>Анализа стања</w:t>
      </w:r>
      <w:bookmarkEnd w:id="233"/>
      <w:bookmarkEnd w:id="234"/>
      <w:bookmarkEnd w:id="235"/>
      <w:bookmarkEnd w:id="236"/>
      <w:bookmarkEnd w:id="237"/>
    </w:p>
    <w:p w14:paraId="7CBE54CA" w14:textId="77777777" w:rsidR="00BE0973" w:rsidRPr="000F0299" w:rsidRDefault="00BE0973" w:rsidP="00BE0973">
      <w:pPr>
        <w:pStyle w:val="Heading4"/>
        <w:rPr>
          <w:lang w:val="sr-Cyrl-RS"/>
        </w:rPr>
      </w:pPr>
      <w:bookmarkStart w:id="238" w:name="_Toc40613472"/>
      <w:r w:rsidRPr="000F0299">
        <w:rPr>
          <w:lang w:val="sr-Cyrl-RS"/>
        </w:rPr>
        <w:t>Правни и стратешки оквир</w:t>
      </w:r>
      <w:bookmarkEnd w:id="238"/>
    </w:p>
    <w:p w14:paraId="2CC7B86E" w14:textId="77777777" w:rsidR="00BE0973" w:rsidRPr="000F0299" w:rsidRDefault="00BE0973" w:rsidP="00BE0973">
      <w:r w:rsidRPr="000F0299">
        <w:t xml:space="preserve">Стратегија РЈУ и </w:t>
      </w:r>
      <w:r>
        <w:t xml:space="preserve">Програм реформе јавних финансија (у даљем тексту: </w:t>
      </w:r>
      <w:r w:rsidRPr="000F0299">
        <w:t>ПРУЈФ</w:t>
      </w:r>
      <w:r>
        <w:t>)</w:t>
      </w:r>
      <w:r w:rsidRPr="000F0299">
        <w:t xml:space="preserve"> за период од 2016 до 2020. године</w:t>
      </w:r>
      <w:r>
        <w:rPr>
          <w:rStyle w:val="FootnoteReference"/>
        </w:rPr>
        <w:footnoteReference w:id="265"/>
      </w:r>
      <w:r w:rsidRPr="000F0299">
        <w:t xml:space="preserve"> представљају два кључна документа јавних политика која </w:t>
      </w:r>
      <w:r>
        <w:t>утврђују</w:t>
      </w:r>
      <w:r w:rsidRPr="000F0299">
        <w:t xml:space="preserve"> стратешки оквир за реформу управљања јавним финансијама</w:t>
      </w:r>
      <w:r>
        <w:t xml:space="preserve"> </w:t>
      </w:r>
      <w:r w:rsidRPr="00B65E6D">
        <w:t>(у даљем тексту: УЈФ)</w:t>
      </w:r>
      <w:r w:rsidRPr="000F0299">
        <w:t xml:space="preserve"> заједно са другим релевантним документима. </w:t>
      </w:r>
      <w:r>
        <w:t xml:space="preserve">Реформа у области </w:t>
      </w:r>
      <w:r w:rsidRPr="000F0299">
        <w:t xml:space="preserve">УЈФ </w:t>
      </w:r>
      <w:r>
        <w:t>предвиђена овом с</w:t>
      </w:r>
      <w:r w:rsidRPr="000F0299">
        <w:t>тратегиј</w:t>
      </w:r>
      <w:r>
        <w:t>ом</w:t>
      </w:r>
      <w:r w:rsidRPr="000F0299">
        <w:t xml:space="preserve"> је усклађена са </w:t>
      </w:r>
      <w:r w:rsidRPr="001C1D72">
        <w:rPr>
          <w:i/>
        </w:rPr>
        <w:t>SIGMA</w:t>
      </w:r>
      <w:r w:rsidRPr="000F0299">
        <w:t xml:space="preserve"> принципима, док је ПРУЈФ примарно заснован на аналитичком оквиру Светске банке ПЕФА</w:t>
      </w:r>
      <w:r w:rsidRPr="000F0299">
        <w:rPr>
          <w:vertAlign w:val="superscript"/>
        </w:rPr>
        <w:footnoteReference w:id="266"/>
      </w:r>
      <w:r w:rsidRPr="000F0299">
        <w:t xml:space="preserve">и </w:t>
      </w:r>
      <w:r>
        <w:t xml:space="preserve">обухвата </w:t>
      </w:r>
      <w:r w:rsidRPr="000F0299">
        <w:t xml:space="preserve">ширу област УЈФ у контексту Закона о буџетском систему. </w:t>
      </w:r>
    </w:p>
    <w:p w14:paraId="04FB0EEF" w14:textId="77777777" w:rsidR="00BE0973" w:rsidRPr="000F0299" w:rsidRDefault="00BE0973" w:rsidP="00BE0973">
      <w:r w:rsidRPr="000F0299">
        <w:t xml:space="preserve">Стратегија РЈУ </w:t>
      </w:r>
      <w:r>
        <w:t>из</w:t>
      </w:r>
      <w:r w:rsidRPr="000F0299">
        <w:t xml:space="preserve"> 2014. године</w:t>
      </w:r>
      <w:r>
        <w:t xml:space="preserve"> и</w:t>
      </w:r>
      <w:r w:rsidRPr="000F0299">
        <w:t xml:space="preserve"> ПРУЈФ</w:t>
      </w:r>
      <w:r>
        <w:t>, који је донет</w:t>
      </w:r>
      <w:r w:rsidRPr="000F0299">
        <w:t xml:space="preserve"> 2015. годин</w:t>
      </w:r>
      <w:r>
        <w:t xml:space="preserve">и </w:t>
      </w:r>
      <w:r w:rsidRPr="000F0299">
        <w:t>нису синхронизован</w:t>
      </w:r>
      <w:r>
        <w:t>и пошто нису истовремено припремани</w:t>
      </w:r>
      <w:r w:rsidRPr="000F0299">
        <w:t xml:space="preserve">. Стратегија РЈУ </w:t>
      </w:r>
      <w:r>
        <w:t xml:space="preserve">из 2014. </w:t>
      </w:r>
      <w:r w:rsidRPr="000F0299">
        <w:t>је обухватила свега неколико сегмената реформских процеса УЈФ, док је ПРУЈФ заснован на оквиру ПЕФА</w:t>
      </w:r>
      <w:r>
        <w:t xml:space="preserve"> </w:t>
      </w:r>
      <w:r w:rsidRPr="000F0299">
        <w:t xml:space="preserve">обухватио комплетан буџетски циклус подељен у шест стубова (Ревидирани ПРУЈФ из 2019. године је сужен на пет стубова). </w:t>
      </w:r>
    </w:p>
    <w:p w14:paraId="2E78986E" w14:textId="77777777" w:rsidR="00BE0973" w:rsidRPr="0090352B" w:rsidRDefault="00BE0973" w:rsidP="00BE0973">
      <w:pPr>
        <w:pStyle w:val="CommentText"/>
        <w:rPr>
          <w:sz w:val="24"/>
          <w:szCs w:val="24"/>
          <w:lang w:val="sr-Cyrl-RS"/>
        </w:rPr>
      </w:pPr>
      <w:r w:rsidRPr="0090352B">
        <w:rPr>
          <w:sz w:val="24"/>
          <w:szCs w:val="24"/>
          <w:lang w:val="sr-Cyrl-RS"/>
        </w:rPr>
        <w:t>Планирање буџета, управљање јавним набавкама и финансијска контрола представљају области УЈФ које су биле обухваћене и С</w:t>
      </w:r>
      <w:r>
        <w:rPr>
          <w:sz w:val="24"/>
          <w:szCs w:val="24"/>
          <w:lang w:val="sr-Cyrl-RS"/>
        </w:rPr>
        <w:t xml:space="preserve">тратегијом </w:t>
      </w:r>
      <w:r w:rsidRPr="0090352B">
        <w:rPr>
          <w:sz w:val="24"/>
          <w:szCs w:val="24"/>
          <w:lang w:val="sr-Cyrl-RS"/>
        </w:rPr>
        <w:t>РЈУ из 2014, а значајно детаљније и ПРУЈФ 2016–2020, који поред тих области обухвата одрживи фискални и буџетски оквир, извршење буџета, финансијско извештавање и екстерни надзор над јавним средствиима. Ова стратегија и нови ПРУЈФ су припремљени паралелно, у складу са Законом о планском систему. Да се не би дуплирале и преклапале активности и извештавања, ова стратегија успоставља стратег</w:t>
      </w:r>
      <w:r>
        <w:rPr>
          <w:sz w:val="24"/>
          <w:szCs w:val="24"/>
          <w:lang w:val="sr-Cyrl-RS"/>
        </w:rPr>
        <w:t>шки</w:t>
      </w:r>
      <w:r w:rsidRPr="0090352B">
        <w:rPr>
          <w:sz w:val="24"/>
          <w:szCs w:val="24"/>
          <w:lang w:val="sr-Cyrl-RS"/>
        </w:rPr>
        <w:t xml:space="preserve"> оквир УЈФ, док ће се детаљна анализа у области УЈФ и одговарајући акциони план припремати у оквиру новог ПРУЈФ. Како би се осигурала потпуна интегрисаност у оквиру планског система, документ јавних политика који се односи на интерну финансијску контролу у јавном сектору биће посебан циљ новог ПРУЈФ, како је договорено са релевантним заинтересованим странама (ЕК – Генерални директорат за суседство и проширење – </w:t>
      </w:r>
      <w:r w:rsidRPr="0090352B">
        <w:rPr>
          <w:i/>
          <w:iCs/>
          <w:sz w:val="24"/>
          <w:szCs w:val="24"/>
        </w:rPr>
        <w:t>DG</w:t>
      </w:r>
      <w:r w:rsidRPr="0090352B">
        <w:rPr>
          <w:i/>
          <w:iCs/>
          <w:sz w:val="24"/>
          <w:szCs w:val="24"/>
          <w:lang w:val="sr-Cyrl-RS"/>
        </w:rPr>
        <w:t xml:space="preserve"> </w:t>
      </w:r>
      <w:r w:rsidRPr="0090352B">
        <w:rPr>
          <w:i/>
          <w:iCs/>
          <w:sz w:val="24"/>
          <w:szCs w:val="24"/>
        </w:rPr>
        <w:t>NEAR</w:t>
      </w:r>
      <w:r w:rsidRPr="0090352B">
        <w:rPr>
          <w:sz w:val="24"/>
          <w:szCs w:val="24"/>
          <w:lang w:val="sr-Cyrl-RS"/>
        </w:rPr>
        <w:t xml:space="preserve">, Генерални директорат за буџет – </w:t>
      </w:r>
      <w:r w:rsidRPr="0090352B">
        <w:rPr>
          <w:i/>
          <w:iCs/>
          <w:sz w:val="24"/>
          <w:szCs w:val="24"/>
        </w:rPr>
        <w:t>DG</w:t>
      </w:r>
      <w:r w:rsidRPr="0090352B">
        <w:rPr>
          <w:i/>
          <w:iCs/>
          <w:sz w:val="24"/>
          <w:szCs w:val="24"/>
          <w:lang w:val="sr-Cyrl-RS"/>
        </w:rPr>
        <w:t xml:space="preserve"> </w:t>
      </w:r>
      <w:r w:rsidRPr="0090352B">
        <w:rPr>
          <w:i/>
          <w:iCs/>
          <w:sz w:val="24"/>
          <w:szCs w:val="24"/>
        </w:rPr>
        <w:t>BUDGET</w:t>
      </w:r>
      <w:r w:rsidRPr="0090352B">
        <w:rPr>
          <w:sz w:val="24"/>
          <w:szCs w:val="24"/>
          <w:lang w:val="sr-Cyrl-RS"/>
        </w:rPr>
        <w:t xml:space="preserve">, </w:t>
      </w:r>
      <w:r w:rsidRPr="0090352B">
        <w:rPr>
          <w:i/>
          <w:sz w:val="24"/>
          <w:szCs w:val="24"/>
        </w:rPr>
        <w:t>SIGMA</w:t>
      </w:r>
      <w:r w:rsidRPr="0090352B">
        <w:rPr>
          <w:sz w:val="24"/>
          <w:szCs w:val="24"/>
          <w:lang w:val="sr-Cyrl-RS"/>
        </w:rPr>
        <w:t xml:space="preserve"> и ЕУД). Област управљачке одговорности, која је била саставни део Стратегије развоја интерне финансијске контроле у јавном сектору у Републици Србији за период 2017–2020. Године („Службени гласник РС, бр.ој 51/17), предвиђена је у тематској области ове стратегије која се односи на транспарентност и одговорност како би се осигурала посвећеност и већи учинак спровођења.</w:t>
      </w:r>
    </w:p>
    <w:p w14:paraId="637C70E0" w14:textId="77777777" w:rsidR="00BE0973" w:rsidRPr="000F0299" w:rsidRDefault="00BE0973" w:rsidP="00BE0973">
      <w:r w:rsidRPr="000F0299">
        <w:t>Иако не постоји као посебно преговарачко поглавље, области УЈФ су значајно садржане у седам преговарачких поглавља којима већином управља Министарство финансија</w:t>
      </w:r>
      <w:r>
        <w:t xml:space="preserve">, а то су </w:t>
      </w:r>
      <w:r w:rsidRPr="000F0299">
        <w:t xml:space="preserve">Поглавље 5 </w:t>
      </w:r>
      <w:r>
        <w:t>–</w:t>
      </w:r>
      <w:r w:rsidRPr="000F0299">
        <w:t xml:space="preserve"> Јавне набавке, Поглавље 16 – Опорезивање, Поглавље 17 </w:t>
      </w:r>
      <w:r>
        <w:t>–</w:t>
      </w:r>
      <w:r w:rsidRPr="000F0299">
        <w:t xml:space="preserve"> Економска и монетарна политика, Поглавље 29 </w:t>
      </w:r>
      <w:r>
        <w:t>–</w:t>
      </w:r>
      <w:r w:rsidRPr="000F0299">
        <w:t xml:space="preserve"> Царинска унија, Поглавље 32 </w:t>
      </w:r>
      <w:r>
        <w:t>–</w:t>
      </w:r>
      <w:r w:rsidRPr="000F0299">
        <w:t xml:space="preserve"> Финансијски надзор, Поглавље 33 </w:t>
      </w:r>
      <w:r>
        <w:t>–</w:t>
      </w:r>
      <w:r w:rsidRPr="000F0299">
        <w:t xml:space="preserve"> Финансијске и буџетске одредбе, </w:t>
      </w:r>
      <w:r>
        <w:t>М</w:t>
      </w:r>
      <w:r w:rsidRPr="000F0299">
        <w:t xml:space="preserve">ерила и препоруке </w:t>
      </w:r>
      <w:r>
        <w:t>т</w:t>
      </w:r>
      <w:r w:rsidRPr="000F0299">
        <w:t>их поглавља такође представљају значајне стратешке смернице за процес реформе јавне управе. Стабилност УЈФ је један од основних предуслова за коришћење ИПА инструмента Секторска буџетска подршка.</w:t>
      </w:r>
    </w:p>
    <w:p w14:paraId="38033511" w14:textId="77777777" w:rsidR="00BE0973" w:rsidRPr="000F0299" w:rsidRDefault="00BE0973" w:rsidP="00BE0973"/>
    <w:p w14:paraId="6E179208" w14:textId="77777777" w:rsidR="00BE0973" w:rsidRPr="000F0299" w:rsidRDefault="00BE0973" w:rsidP="00BE0973">
      <w:pPr>
        <w:pStyle w:val="Heading4"/>
        <w:rPr>
          <w:lang w:val="sr-Cyrl-RS"/>
        </w:rPr>
      </w:pPr>
      <w:bookmarkStart w:id="239" w:name="_Toc40613473"/>
      <w:r w:rsidRPr="000F0299">
        <w:rPr>
          <w:lang w:val="sr-Cyrl-RS"/>
        </w:rPr>
        <w:t>Резултати и изазови</w:t>
      </w:r>
      <w:bookmarkEnd w:id="239"/>
    </w:p>
    <w:p w14:paraId="194A3A57" w14:textId="77777777" w:rsidR="00BE0973" w:rsidRPr="000F0299" w:rsidRDefault="00BE0973" w:rsidP="00BE0973">
      <w:r w:rsidRPr="000F0299">
        <w:t xml:space="preserve">Унапређење </w:t>
      </w:r>
      <w:r>
        <w:t>УЈФ</w:t>
      </w:r>
      <w:r w:rsidRPr="000F0299">
        <w:t xml:space="preserve"> и </w:t>
      </w:r>
      <w:r>
        <w:t xml:space="preserve">управљања </w:t>
      </w:r>
      <w:r w:rsidRPr="000F0299">
        <w:t xml:space="preserve">јавним набавкама </w:t>
      </w:r>
      <w:r>
        <w:t>утврђено је</w:t>
      </w:r>
      <w:r w:rsidRPr="000F0299">
        <w:t xml:space="preserve"> као посебан циљ 3 у оквиру Стратегије РЈУ</w:t>
      </w:r>
      <w:r>
        <w:t xml:space="preserve"> од 2014. године</w:t>
      </w:r>
      <w:r w:rsidRPr="000F0299">
        <w:t xml:space="preserve">, и </w:t>
      </w:r>
      <w:r>
        <w:t>разрађено у а</w:t>
      </w:r>
      <w:r w:rsidRPr="000F0299">
        <w:t xml:space="preserve">кционим плановима </w:t>
      </w:r>
      <w:r>
        <w:t xml:space="preserve">за период </w:t>
      </w:r>
      <w:r w:rsidRPr="000F0299">
        <w:t xml:space="preserve">2015–2017. и </w:t>
      </w:r>
      <w:r>
        <w:t xml:space="preserve">период </w:t>
      </w:r>
      <w:r w:rsidRPr="000F0299">
        <w:t xml:space="preserve">2018–2020. године. У 2019. години </w:t>
      </w:r>
      <w:r>
        <w:t>донети</w:t>
      </w:r>
      <w:r w:rsidRPr="000F0299">
        <w:t xml:space="preserve"> </w:t>
      </w:r>
      <w:r>
        <w:t>су</w:t>
      </w:r>
      <w:r w:rsidRPr="000F0299">
        <w:t xml:space="preserve"> </w:t>
      </w:r>
      <w:r>
        <w:t>Р</w:t>
      </w:r>
      <w:r w:rsidRPr="000F0299">
        <w:t xml:space="preserve">евидирани ПРУЈФ 2019–2020 и </w:t>
      </w:r>
      <w:r>
        <w:t xml:space="preserve">акциони план </w:t>
      </w:r>
      <w:r w:rsidRPr="000F0299">
        <w:t xml:space="preserve">за његово спровођење. На основу анализе учинка </w:t>
      </w:r>
      <w:r>
        <w:t>Р</w:t>
      </w:r>
      <w:r w:rsidRPr="000F0299">
        <w:t xml:space="preserve">евидираног ПРУЈФ заснованој на показатељима, закључно са јулом 2020. године </w:t>
      </w:r>
      <w:r>
        <w:t xml:space="preserve">било је спроведено </w:t>
      </w:r>
      <w:r w:rsidRPr="000F0299">
        <w:t xml:space="preserve">у потпуности 44% свих планираних активности је спроведено, 40% </w:t>
      </w:r>
      <w:r>
        <w:t xml:space="preserve">је било </w:t>
      </w:r>
      <w:r w:rsidRPr="000F0299">
        <w:t>делимично спроведено</w:t>
      </w:r>
      <w:r>
        <w:t>, а</w:t>
      </w:r>
      <w:r w:rsidRPr="000F0299">
        <w:t xml:space="preserve"> 16% није </w:t>
      </w:r>
      <w:r>
        <w:t xml:space="preserve">било </w:t>
      </w:r>
      <w:r w:rsidRPr="000F0299">
        <w:t>спроведено. Такође, пет преговарачких поглавља везано за УЈФ је отворено.</w:t>
      </w:r>
      <w:r w:rsidRPr="000F0299">
        <w:rPr>
          <w:vertAlign w:val="superscript"/>
        </w:rPr>
        <w:footnoteReference w:id="267"/>
      </w:r>
    </w:p>
    <w:p w14:paraId="4FACD1C7" w14:textId="77777777" w:rsidR="00BE0973" w:rsidRPr="000F0299" w:rsidRDefault="00BE0973" w:rsidP="00BE0973">
      <w:r w:rsidRPr="000F0299">
        <w:t xml:space="preserve">Припрема ПРУЈФ 2016–2020 је започета у исто време када и фискална консолидација усмерена </w:t>
      </w:r>
      <w:r>
        <w:t>н</w:t>
      </w:r>
      <w:r w:rsidRPr="000F0299">
        <w:t>а остварењ</w:t>
      </w:r>
      <w:r>
        <w:t>е</w:t>
      </w:r>
      <w:r w:rsidRPr="000F0299">
        <w:t xml:space="preserve"> стабилног привредног раста уз постепено смањење јавног дуга. Током година фискалне консолидације, </w:t>
      </w:r>
      <w:r>
        <w:t xml:space="preserve">Република </w:t>
      </w:r>
      <w:r w:rsidRPr="000F0299">
        <w:t xml:space="preserve">Србија је успела да оствари реални раст БДП-а од 3,3% у 2016. години, 2% у 2017. години, 4,3% у 2018. и 4,2% у 2019. години. Позитиван тренд започет 2015. године наставио се до почетка 2020. године, када га је прекинула епидемија </w:t>
      </w:r>
      <w:r>
        <w:t>ковид-19</w:t>
      </w:r>
      <w:r w:rsidRPr="000F0299">
        <w:t>. Доступни подаци показују да је стопа раста у 2019. години износила 4,2%, чиме је премашена пројекција од 3,5%, при чему је убрзање раста крајем године производ раста грађевинарства, наставка јавних инвестиција и опоравка индустријске производње.</w:t>
      </w:r>
    </w:p>
    <w:p w14:paraId="33F8A5A5" w14:textId="77777777" w:rsidR="00BE0973" w:rsidRPr="000F0299" w:rsidRDefault="00BE0973" w:rsidP="00BE0973">
      <w:r w:rsidRPr="000F0299">
        <w:t>Такође, захваљујући стабилним јавним финансијама и макроекономском окружењу, ниво јавног дуга је на стабилној силазној путањи, од 71,2% у 2015. години на 52,9% на крају 2019. године. Добри резултати и напори</w:t>
      </w:r>
      <w:r>
        <w:t>,</w:t>
      </w:r>
      <w:r w:rsidRPr="000F0299">
        <w:t xml:space="preserve"> </w:t>
      </w:r>
      <w:r>
        <w:t xml:space="preserve">које су уочиле и </w:t>
      </w:r>
      <w:r w:rsidRPr="000F0299">
        <w:t>стране кредитн</w:t>
      </w:r>
      <w:r>
        <w:t>е</w:t>
      </w:r>
      <w:r w:rsidRPr="000F0299">
        <w:t xml:space="preserve"> агенциј</w:t>
      </w:r>
      <w:r>
        <w:t>е</w:t>
      </w:r>
      <w:r w:rsidRPr="000F0299">
        <w:t xml:space="preserve">, </w:t>
      </w:r>
      <w:r>
        <w:t xml:space="preserve">одразили су се </w:t>
      </w:r>
      <w:r w:rsidRPr="000F0299">
        <w:t xml:space="preserve">у </w:t>
      </w:r>
      <w:r>
        <w:t xml:space="preserve">бољој </w:t>
      </w:r>
      <w:r w:rsidRPr="000F0299">
        <w:t>кредитно</w:t>
      </w:r>
      <w:r>
        <w:t>ј</w:t>
      </w:r>
      <w:r w:rsidRPr="000F0299">
        <w:t xml:space="preserve"> </w:t>
      </w:r>
      <w:r>
        <w:t xml:space="preserve">способности, која је оцењена са </w:t>
      </w:r>
      <w:r w:rsidRPr="004C5BBA">
        <w:rPr>
          <w:i/>
        </w:rPr>
        <w:t>BB+</w:t>
      </w:r>
      <w:r>
        <w:rPr>
          <w:i/>
        </w:rPr>
        <w:t xml:space="preserve"> </w:t>
      </w:r>
      <w:r>
        <w:t xml:space="preserve">у кредитном </w:t>
      </w:r>
      <w:r w:rsidRPr="000F0299">
        <w:t>рејтинг</w:t>
      </w:r>
      <w:r>
        <w:t>у који је</w:t>
      </w:r>
      <w:r w:rsidRPr="000F0299">
        <w:t xml:space="preserve"> објав</w:t>
      </w:r>
      <w:r>
        <w:t>ила</w:t>
      </w:r>
      <w:r w:rsidRPr="000F0299">
        <w:t xml:space="preserve"> 13.</w:t>
      </w:r>
      <w:r>
        <w:t xml:space="preserve"> децембра </w:t>
      </w:r>
      <w:r w:rsidRPr="000F0299">
        <w:t>2019. године Агенциј</w:t>
      </w:r>
      <w:r>
        <w:t>а</w:t>
      </w:r>
      <w:r w:rsidRPr="000F0299">
        <w:t xml:space="preserve"> за кредитн</w:t>
      </w:r>
      <w:r>
        <w:t>и</w:t>
      </w:r>
      <w:r w:rsidRPr="000F0299">
        <w:t xml:space="preserve"> рејтинг </w:t>
      </w:r>
      <w:r w:rsidRPr="000F0299">
        <w:rPr>
          <w:i/>
        </w:rPr>
        <w:t>Standard and Poor’s</w:t>
      </w:r>
      <w:r w:rsidRPr="000F0299">
        <w:t xml:space="preserve">. Стопа незапослености је у последњих седам година смањена за више од 50% (9,5% у трећем кварталу 2019. године наспрам 25% у 2013. години), </w:t>
      </w:r>
      <w:r>
        <w:t xml:space="preserve">при чему је запослен велики број </w:t>
      </w:r>
      <w:r w:rsidRPr="000F0299">
        <w:t>жена и младих</w:t>
      </w:r>
      <w:r>
        <w:t>,</w:t>
      </w:r>
      <w:r w:rsidRPr="000F0299">
        <w:t xml:space="preserve"> што је побољша</w:t>
      </w:r>
      <w:r>
        <w:t>ло</w:t>
      </w:r>
      <w:r w:rsidRPr="000F0299">
        <w:t xml:space="preserve"> тржишт</w:t>
      </w:r>
      <w:r>
        <w:t>е</w:t>
      </w:r>
      <w:r w:rsidRPr="000F0299">
        <w:t xml:space="preserve"> рада </w:t>
      </w:r>
      <w:r>
        <w:t xml:space="preserve">и </w:t>
      </w:r>
      <w:r w:rsidRPr="000F0299">
        <w:t>трајно смањ</w:t>
      </w:r>
      <w:r>
        <w:t>ило</w:t>
      </w:r>
      <w:r w:rsidRPr="000F0299">
        <w:t xml:space="preserve"> број незапослених.</w:t>
      </w:r>
    </w:p>
    <w:p w14:paraId="64F7896D" w14:textId="77777777" w:rsidR="00BE0973" w:rsidRPr="000F0299" w:rsidRDefault="00BE0973" w:rsidP="00BE0973">
      <w:r w:rsidRPr="000F0299">
        <w:t xml:space="preserve">Унапређење кредибилитета макроекономских пројекција </w:t>
      </w:r>
      <w:r>
        <w:t xml:space="preserve">на који је била усмерена једна </w:t>
      </w:r>
      <w:r w:rsidRPr="000F0299">
        <w:t xml:space="preserve">од мера Акционог плана ПРУЈФ 2015–2017. године, значајно је допринело унапређењу фискалних перформанси, што је </w:t>
      </w:r>
      <w:r>
        <w:t>уочено</w:t>
      </w:r>
      <w:r w:rsidRPr="000F0299">
        <w:t xml:space="preserve"> и потврђено </w:t>
      </w:r>
      <w:r>
        <w:t xml:space="preserve">у </w:t>
      </w:r>
      <w:r w:rsidRPr="000F0299">
        <w:t>извештајима ЕК</w:t>
      </w:r>
      <w:r w:rsidRPr="000F0299">
        <w:rPr>
          <w:vertAlign w:val="superscript"/>
        </w:rPr>
        <w:footnoteReference w:id="268"/>
      </w:r>
      <w:r w:rsidRPr="000F0299">
        <w:t xml:space="preserve"> и ММФ</w:t>
      </w:r>
      <w:r w:rsidRPr="000F0299">
        <w:rPr>
          <w:vertAlign w:val="superscript"/>
        </w:rPr>
        <w:footnoteReference w:id="269"/>
      </w:r>
      <w:r w:rsidRPr="000F0299">
        <w:t>.</w:t>
      </w:r>
      <w:r>
        <w:t xml:space="preserve"> С</w:t>
      </w:r>
      <w:r w:rsidRPr="000F0299">
        <w:t xml:space="preserve">табилност јавних финансија успела </w:t>
      </w:r>
      <w:r>
        <w:t xml:space="preserve">се </w:t>
      </w:r>
      <w:r w:rsidRPr="000F0299">
        <w:t>одрж</w:t>
      </w:r>
      <w:r>
        <w:t>ати</w:t>
      </w:r>
      <w:r w:rsidRPr="000F0299">
        <w:t xml:space="preserve"> реалистичнијим планирањем и пројекцијама прихода и расхода.</w:t>
      </w:r>
      <w:r w:rsidRPr="000F0299">
        <w:rPr>
          <w:sz w:val="23"/>
          <w:szCs w:val="23"/>
          <w:vertAlign w:val="superscript"/>
        </w:rPr>
        <w:footnoteReference w:id="270"/>
      </w:r>
      <w:r w:rsidRPr="000F0299">
        <w:t xml:space="preserve"> Основу за унапређење средњорочног буџетског оквира представљало је увођење програмског буџетирања 2015. године. Закључно са 2018. годином, 87% буџетских корисника је усагласило планиране буџете са смерницама за израду програмског буџета. </w:t>
      </w:r>
    </w:p>
    <w:p w14:paraId="075FF650" w14:textId="77777777" w:rsidR="00BE0973" w:rsidRPr="000F0299" w:rsidRDefault="00BE0973" w:rsidP="00BE0973">
      <w:r w:rsidRPr="000F0299">
        <w:t>Спровођење буџетских процедура је унапређено. Циљеви који се односе на родно одговорно буџетирање су достигнути.</w:t>
      </w:r>
      <w:r w:rsidRPr="000F0299">
        <w:rPr>
          <w:vertAlign w:val="superscript"/>
        </w:rPr>
        <w:footnoteReference w:id="271"/>
      </w:r>
      <w:r w:rsidRPr="000F0299">
        <w:rPr>
          <w:vertAlign w:val="superscript"/>
        </w:rPr>
        <w:t xml:space="preserve"> </w:t>
      </w:r>
      <w:r>
        <w:t>Н</w:t>
      </w:r>
      <w:r w:rsidRPr="000F0299">
        <w:t xml:space="preserve">ацрт буџета за 2020. годину </w:t>
      </w:r>
      <w:r>
        <w:t>поднет је у предвиђеном року, па је б</w:t>
      </w:r>
      <w:r w:rsidRPr="000F0299">
        <w:t xml:space="preserve">ило више времена за скупштинску расправу </w:t>
      </w:r>
      <w:r>
        <w:t>него</w:t>
      </w:r>
      <w:r w:rsidRPr="000F0299">
        <w:t xml:space="preserve"> претходн</w:t>
      </w:r>
      <w:r>
        <w:t>е</w:t>
      </w:r>
      <w:r w:rsidRPr="000F0299">
        <w:t xml:space="preserve"> годин</w:t>
      </w:r>
      <w:r>
        <w:t>е</w:t>
      </w:r>
      <w:r w:rsidRPr="000F0299">
        <w:t>. Након четири године, Народној скупштини су поднесени и завршни извештаји о извршењу годишњег буџета за период 2014–2018. године.</w:t>
      </w:r>
      <w:r w:rsidRPr="000F0299">
        <w:rPr>
          <w:sz w:val="23"/>
          <w:szCs w:val="23"/>
          <w:vertAlign w:val="superscript"/>
        </w:rPr>
        <w:footnoteReference w:id="272"/>
      </w:r>
      <w:r w:rsidRPr="000F0299">
        <w:rPr>
          <w:sz w:val="23"/>
          <w:szCs w:val="23"/>
        </w:rPr>
        <w:t xml:space="preserve"> </w:t>
      </w:r>
      <w:r>
        <w:t>Предлог</w:t>
      </w:r>
      <w:r w:rsidRPr="000F0299">
        <w:t xml:space="preserve"> </w:t>
      </w:r>
      <w:r>
        <w:t>з</w:t>
      </w:r>
      <w:r w:rsidRPr="000F0299">
        <w:t>акона о буџету подне</w:t>
      </w:r>
      <w:r>
        <w:t xml:space="preserve">т и усвојен </w:t>
      </w:r>
      <w:r w:rsidRPr="000F0299">
        <w:t xml:space="preserve">у роковима </w:t>
      </w:r>
      <w:r>
        <w:t xml:space="preserve">који су </w:t>
      </w:r>
      <w:r w:rsidRPr="000F0299">
        <w:t xml:space="preserve">предвиђени Законом о буџетском систему, при чему је продужено време за расправу о буџету за 2020. годину. </w:t>
      </w:r>
      <w:r>
        <w:t>У</w:t>
      </w:r>
      <w:r w:rsidRPr="000F0299">
        <w:t xml:space="preserve"> скупштинску процедуру </w:t>
      </w:r>
      <w:r>
        <w:t>су упућени и предлози</w:t>
      </w:r>
      <w:r w:rsidRPr="000F0299">
        <w:t xml:space="preserve"> </w:t>
      </w:r>
      <w:r>
        <w:t>з</w:t>
      </w:r>
      <w:r w:rsidRPr="000F0299">
        <w:t xml:space="preserve">акона о завршним рачунима буџета (укупно 17) за период 2002–2018. </w:t>
      </w:r>
      <w:r>
        <w:t>г</w:t>
      </w:r>
      <w:r w:rsidRPr="000F0299">
        <w:t>одине</w:t>
      </w:r>
      <w:r>
        <w:t xml:space="preserve">, </w:t>
      </w:r>
      <w:r w:rsidRPr="000F0299">
        <w:t>кој</w:t>
      </w:r>
      <w:r>
        <w:t>и су донети</w:t>
      </w:r>
      <w:r w:rsidRPr="000F0299">
        <w:t xml:space="preserve"> у децембру 2019. године.</w:t>
      </w:r>
    </w:p>
    <w:p w14:paraId="07791B21" w14:textId="77777777" w:rsidR="00BE0973" w:rsidRPr="000F0299" w:rsidRDefault="00BE0973" w:rsidP="00BE0973">
      <w:pPr>
        <w:rPr>
          <w:vertAlign w:val="superscript"/>
        </w:rPr>
      </w:pPr>
      <w:r w:rsidRPr="000F0299">
        <w:rPr>
          <w:vertAlign w:val="superscript"/>
        </w:rPr>
        <w:t xml:space="preserve"> </w:t>
      </w:r>
      <w:r>
        <w:t>Доношењем</w:t>
      </w:r>
      <w:r w:rsidRPr="000F0299">
        <w:t xml:space="preserve"> </w:t>
      </w:r>
      <w:r w:rsidRPr="000F0299" w:rsidDel="00C25E13">
        <w:t xml:space="preserve">Уредбе о </w:t>
      </w:r>
      <w:r w:rsidRPr="000F0299">
        <w:t xml:space="preserve">управљању капиталним пројектима </w:t>
      </w:r>
      <w:r>
        <w:t>(„Службени гласник, број 51/19)</w:t>
      </w:r>
      <w:r w:rsidRPr="000F0299" w:rsidDel="00C25E13">
        <w:t xml:space="preserve"> </w:t>
      </w:r>
      <w:r w:rsidRPr="000F0299">
        <w:t xml:space="preserve">и пратећих правилника успостављен је законодавни оквир за успостављање јединственог система приоритизације уз пуну интеграцију планирања и вредновања капиталних пројеката у процесу буџетског планирања. </w:t>
      </w:r>
      <w:r>
        <w:t>Та у</w:t>
      </w:r>
      <w:r w:rsidRPr="000F0299">
        <w:t xml:space="preserve">редба је заснована на </w:t>
      </w:r>
      <w:r>
        <w:t>П</w:t>
      </w:r>
      <w:r w:rsidRPr="000F0299">
        <w:t xml:space="preserve">редлогу методологије управљања јавним инвестицијама Светске банке </w:t>
      </w:r>
      <w:r>
        <w:t xml:space="preserve">и </w:t>
      </w:r>
      <w:r w:rsidRPr="000F0299">
        <w:t>уз уважавање најбоље светске праксе.</w:t>
      </w:r>
      <w:r w:rsidRPr="000F0299">
        <w:rPr>
          <w:vertAlign w:val="superscript"/>
        </w:rPr>
        <w:footnoteReference w:id="273"/>
      </w:r>
      <w:r w:rsidRPr="000F0299">
        <w:rPr>
          <w:vertAlign w:val="superscript"/>
        </w:rPr>
        <w:t xml:space="preserve"> </w:t>
      </w:r>
    </w:p>
    <w:p w14:paraId="4C128014" w14:textId="77777777" w:rsidR="00BE0973" w:rsidRPr="000F0299" w:rsidRDefault="00BE0973" w:rsidP="00BE0973">
      <w:r w:rsidRPr="000F0299">
        <w:t>Поред стабилизациј</w:t>
      </w:r>
      <w:r>
        <w:t>е</w:t>
      </w:r>
      <w:r w:rsidRPr="000F0299">
        <w:t xml:space="preserve"> јавних финансија, транспарентност буџета </w:t>
      </w:r>
      <w:r>
        <w:t>је</w:t>
      </w:r>
      <w:r w:rsidRPr="000F0299">
        <w:t xml:space="preserve"> један од кључних елемената добре управе</w:t>
      </w:r>
      <w:r>
        <w:t xml:space="preserve">. Подаци </w:t>
      </w:r>
      <w:r w:rsidRPr="000F0299">
        <w:t>о буџету су видљиви у документима јавних политика који се односе на реформу јавне управе и реформу јавних финансија. Транспарентности буџета допринел</w:t>
      </w:r>
      <w:r>
        <w:t xml:space="preserve">а </w:t>
      </w:r>
      <w:r w:rsidRPr="000F0299">
        <w:t xml:space="preserve">је </w:t>
      </w:r>
      <w:r>
        <w:t>боља</w:t>
      </w:r>
      <w:r w:rsidRPr="000F0299">
        <w:t xml:space="preserve"> усклађеност програмских структура буџетских корисника са Упутством за израду програмског буџета (</w:t>
      </w:r>
      <w:r>
        <w:t>о</w:t>
      </w:r>
      <w:r w:rsidRPr="000F0299">
        <w:t>д 61% у 2016. до 87% у 2019. години) и објављивање Грађанског буџета на годишњем нивоу који јавности пружа све релевантне информације о буџетском циклусу</w:t>
      </w:r>
      <w:r>
        <w:t xml:space="preserve">, као и </w:t>
      </w:r>
      <w:r w:rsidRPr="000F0299">
        <w:t>З</w:t>
      </w:r>
      <w:r>
        <w:t>ПС</w:t>
      </w:r>
      <w:r w:rsidRPr="000F0299">
        <w:t xml:space="preserve">, </w:t>
      </w:r>
      <w:r>
        <w:t xml:space="preserve">који </w:t>
      </w:r>
      <w:r w:rsidRPr="000F0299">
        <w:t>омогућава бољу координацију планирања и буџетирања јавних политика.</w:t>
      </w:r>
    </w:p>
    <w:p w14:paraId="7CC856DA" w14:textId="77777777" w:rsidR="00BE0973" w:rsidRPr="000F0299" w:rsidRDefault="00BE0973" w:rsidP="00BE0973">
      <w:pPr>
        <w:rPr>
          <w:rFonts w:ascii="Arial Narrow" w:hAnsi="Arial Narrow" w:cs="Arial"/>
          <w:color w:val="000000"/>
          <w14:textFill>
            <w14:solidFill>
              <w14:srgbClr w14:val="000000">
                <w14:alpha w14:val="20000"/>
              </w14:srgbClr>
            </w14:solidFill>
          </w14:textFill>
        </w:rPr>
      </w:pPr>
      <w:r w:rsidRPr="000F0299">
        <w:t xml:space="preserve">Значајно су унапређени и капацитети ИТ система Министарства финансија. Развијен je Буџетски информациони систем за израду буџета. </w:t>
      </w:r>
      <w:r>
        <w:t>У</w:t>
      </w:r>
      <w:r w:rsidRPr="000F0299">
        <w:t>напређен је Информациони систем за извршење буџета (ИСИБ)</w:t>
      </w:r>
      <w:r>
        <w:t>,</w:t>
      </w:r>
      <w:r w:rsidRPr="000F0299">
        <w:t xml:space="preserve"> </w:t>
      </w:r>
      <w:r>
        <w:t xml:space="preserve">у који је </w:t>
      </w:r>
      <w:r w:rsidRPr="000F0299">
        <w:t>укључ</w:t>
      </w:r>
      <w:r>
        <w:t>ено</w:t>
      </w:r>
      <w:r w:rsidRPr="000F0299">
        <w:t xml:space="preserve"> 529 индиректних буџетских корисника. Систем за електронско попуњавање и прикупљање годишњих извештаја о стању финансијског управљања и контроле </w:t>
      </w:r>
      <w:r>
        <w:t xml:space="preserve">коју врше </w:t>
      </w:r>
      <w:r w:rsidRPr="000F0299">
        <w:t>корисни</w:t>
      </w:r>
      <w:r>
        <w:t>ци</w:t>
      </w:r>
      <w:r w:rsidRPr="000F0299">
        <w:t xml:space="preserve"> јавних средстава развијен </w:t>
      </w:r>
      <w:r>
        <w:t xml:space="preserve">је </w:t>
      </w:r>
      <w:r w:rsidRPr="000F0299">
        <w:t xml:space="preserve">и тестиран. Поред уобичајеног подношења извештаја </w:t>
      </w:r>
      <w:r>
        <w:t>на папиру</w:t>
      </w:r>
      <w:r w:rsidRPr="000F0299">
        <w:t xml:space="preserve">, у 2020. години се први пут </w:t>
      </w:r>
      <w:r>
        <w:t xml:space="preserve">испробава </w:t>
      </w:r>
      <w:r w:rsidRPr="000F0299">
        <w:t>Систем електронског извештавања</w:t>
      </w:r>
      <w:r>
        <w:t>,</w:t>
      </w:r>
      <w:r w:rsidRPr="000F0299">
        <w:t xml:space="preserve"> који </w:t>
      </w:r>
      <w:r>
        <w:t xml:space="preserve">се </w:t>
      </w:r>
      <w:r w:rsidRPr="000F0299">
        <w:t>план</w:t>
      </w:r>
      <w:r>
        <w:t xml:space="preserve">ира увести </w:t>
      </w:r>
      <w:r w:rsidRPr="000F0299">
        <w:t xml:space="preserve">од 2021. </w:t>
      </w:r>
      <w:r>
        <w:t>г</w:t>
      </w:r>
      <w:r w:rsidRPr="000F0299">
        <w:t>одине</w:t>
      </w:r>
      <w:r>
        <w:t>, а тада и подношење извештаја у електронском облику постаје обавезно</w:t>
      </w:r>
      <w:r w:rsidRPr="000F0299">
        <w:t xml:space="preserve">. Унапређен је Систем за управљање јавним дугом, уведен је софтвер </w:t>
      </w:r>
      <w:r w:rsidRPr="000F0299">
        <w:rPr>
          <w:i/>
          <w:iCs/>
        </w:rPr>
        <w:t>AuditDoc</w:t>
      </w:r>
      <w:r w:rsidRPr="000F0299">
        <w:t xml:space="preserve"> за ревизију и руковање документима, a успостављен је и ЈИС</w:t>
      </w:r>
      <w:r>
        <w:t>,</w:t>
      </w:r>
      <w:r w:rsidRPr="000F0299">
        <w:t xml:space="preserve"> којим управља РСЈП. У наредном периоду се </w:t>
      </w:r>
      <w:r>
        <w:t>предвиђа</w:t>
      </w:r>
      <w:r w:rsidRPr="000F0299">
        <w:t xml:space="preserve"> унапређење </w:t>
      </w:r>
      <w:r>
        <w:t>т</w:t>
      </w:r>
      <w:r w:rsidRPr="000F0299">
        <w:t>их система и њихове интероперабилности у процесу јачања капацитета за планирање и буџетирање јавних расхода</w:t>
      </w:r>
      <w:r w:rsidRPr="000F0299">
        <w:rPr>
          <w:rFonts w:ascii="Arial Narrow" w:hAnsi="Arial Narrow" w:cs="Arial"/>
          <w:color w:val="000000"/>
          <w14:textFill>
            <w14:solidFill>
              <w14:srgbClr w14:val="000000">
                <w14:alpha w14:val="20000"/>
              </w14:srgbClr>
            </w14:solidFill>
          </w14:textFill>
        </w:rPr>
        <w:t>.</w:t>
      </w:r>
    </w:p>
    <w:p w14:paraId="2CB8F65D" w14:textId="77777777" w:rsidR="00BE0973" w:rsidRPr="000F0299" w:rsidRDefault="00BE0973" w:rsidP="00BE0973">
      <w:r w:rsidRPr="000F0299">
        <w:t xml:space="preserve">Када је у питању извршење буџета, активности реформе УЈФ су биле </w:t>
      </w:r>
      <w:r>
        <w:t>усредсређене</w:t>
      </w:r>
      <w:r w:rsidRPr="000F0299">
        <w:t xml:space="preserve"> на модернизацију рада </w:t>
      </w:r>
      <w:bookmarkStart w:id="243" w:name="_Hlk40608884"/>
      <w:r w:rsidRPr="000F0299">
        <w:t xml:space="preserve">Пореске управе, Управе царина </w:t>
      </w:r>
      <w:bookmarkEnd w:id="243"/>
      <w:r w:rsidRPr="000F0299">
        <w:t xml:space="preserve">и система јавних набавки, које уједно представљају и предмет засебних преговарачких поглавља. </w:t>
      </w:r>
      <w:r>
        <w:t>П</w:t>
      </w:r>
      <w:r w:rsidRPr="000F0299">
        <w:t xml:space="preserve">осебно </w:t>
      </w:r>
      <w:r>
        <w:t xml:space="preserve">је важна </w:t>
      </w:r>
      <w:r w:rsidRPr="000F0299">
        <w:t xml:space="preserve"> реформа Пореске управе</w:t>
      </w:r>
      <w:r>
        <w:t>,</w:t>
      </w:r>
      <w:r w:rsidRPr="000F0299">
        <w:t xml:space="preserve"> заснована на Програму трансформације Пореске управе 2015–2020</w:t>
      </w:r>
      <w:r>
        <w:t>. године</w:t>
      </w:r>
      <w:r w:rsidRPr="000F0299">
        <w:t xml:space="preserve"> и А</w:t>
      </w:r>
      <w:r>
        <w:t>кционог плана за спровођење</w:t>
      </w:r>
      <w:r w:rsidRPr="000F0299">
        <w:t xml:space="preserve"> Програма трансформације 2018–2023</w:t>
      </w:r>
      <w:r>
        <w:rPr>
          <w:rStyle w:val="FootnoteReference"/>
        </w:rPr>
        <w:footnoteReference w:id="274"/>
      </w:r>
      <w:r w:rsidRPr="000F0299">
        <w:t xml:space="preserve">. Опорезивање представља једино преговарачко поглавље у области УЈФ које није отворено. Модернизација Управе царина добро напредује, што се </w:t>
      </w:r>
      <w:r>
        <w:t xml:space="preserve">одражава </w:t>
      </w:r>
      <w:r w:rsidRPr="000F0299">
        <w:t>кроз висок ниво усаглашености са регулативом ЕУ и добром припремљеношћу за приступање ЕУ царинској унији.</w:t>
      </w:r>
      <w:r w:rsidRPr="000F0299">
        <w:rPr>
          <w:vertAlign w:val="superscript"/>
        </w:rPr>
        <w:footnoteReference w:id="275"/>
      </w:r>
      <w:r w:rsidRPr="000F0299">
        <w:t xml:space="preserve"> Управа царина је наставила са јачањем административних и оперативних капацитета, као и спровођењем активности релевантни</w:t>
      </w:r>
      <w:r>
        <w:t>х</w:t>
      </w:r>
      <w:r w:rsidRPr="000F0299">
        <w:t xml:space="preserve"> за успостављање ЕУ система за традиционално управљање сопственим средствима </w:t>
      </w:r>
      <w:r w:rsidRPr="000F0299">
        <w:rPr>
          <w:i/>
          <w:iCs/>
        </w:rPr>
        <w:t>ERIAN</w:t>
      </w:r>
      <w:r>
        <w:rPr>
          <w:iCs/>
        </w:rPr>
        <w:t>,</w:t>
      </w:r>
      <w:r w:rsidRPr="000F0299">
        <w:rPr>
          <w:vertAlign w:val="superscript"/>
        </w:rPr>
        <w:footnoteReference w:id="276"/>
      </w:r>
      <w:r w:rsidRPr="000F0299">
        <w:t xml:space="preserve"> система анализе ризика, модернизације царинске лабораторије и унапређења антикорупцијских мера.</w:t>
      </w:r>
    </w:p>
    <w:p w14:paraId="4ED0095A" w14:textId="77777777" w:rsidR="00BE0973" w:rsidRPr="000F0299" w:rsidRDefault="00BE0973" w:rsidP="00BE0973">
      <w:r w:rsidRPr="000F0299">
        <w:t xml:space="preserve">Правни и институционални оквир </w:t>
      </w:r>
      <w:r>
        <w:t xml:space="preserve">за </w:t>
      </w:r>
      <w:r w:rsidRPr="000F0299">
        <w:t>о</w:t>
      </w:r>
      <w:r>
        <w:t>бласт</w:t>
      </w:r>
      <w:r w:rsidRPr="000F0299">
        <w:t xml:space="preserve"> јавни</w:t>
      </w:r>
      <w:r>
        <w:t>х</w:t>
      </w:r>
      <w:r w:rsidRPr="000F0299">
        <w:t xml:space="preserve"> набавк</w:t>
      </w:r>
      <w:r>
        <w:t>и</w:t>
      </w:r>
      <w:r w:rsidRPr="000F0299">
        <w:t xml:space="preserve"> начелно је усклађен са правним тековинама ЕУ. Донет је Закон о јавним набавкама</w:t>
      </w:r>
      <w:r>
        <w:t xml:space="preserve"> </w:t>
      </w:r>
      <w:r>
        <w:rPr>
          <w:bCs/>
          <w:lang w:val="uz-Cyrl-UZ"/>
        </w:rPr>
        <w:t>(</w:t>
      </w:r>
      <w:r w:rsidRPr="00E351B0">
        <w:rPr>
          <w:lang w:val="uz-Cyrl-UZ"/>
        </w:rPr>
        <w:t>„</w:t>
      </w:r>
      <w:r w:rsidRPr="00E351B0">
        <w:t>Сл</w:t>
      </w:r>
      <w:r w:rsidRPr="00E351B0">
        <w:rPr>
          <w:lang w:val="uz-Cyrl-UZ"/>
        </w:rPr>
        <w:t xml:space="preserve">ужбени </w:t>
      </w:r>
      <w:r w:rsidRPr="00E351B0">
        <w:t>гласник</w:t>
      </w:r>
      <w:r w:rsidRPr="00E351B0">
        <w:rPr>
          <w:lang w:val="uz-Cyrl-UZ"/>
        </w:rPr>
        <w:t xml:space="preserve"> </w:t>
      </w:r>
      <w:r w:rsidRPr="00E351B0">
        <w:t>РС</w:t>
      </w:r>
      <w:r w:rsidRPr="00E351B0">
        <w:rPr>
          <w:lang w:val="uz-Cyrl-UZ"/>
        </w:rPr>
        <w:t xml:space="preserve">”, </w:t>
      </w:r>
      <w:r w:rsidRPr="00E351B0">
        <w:t>бр</w:t>
      </w:r>
      <w:r>
        <w:rPr>
          <w:lang w:val="uz-Cyrl-UZ"/>
        </w:rPr>
        <w:t>ој</w:t>
      </w:r>
      <w:r w:rsidRPr="00E351B0">
        <w:rPr>
          <w:lang w:val="uz-Cyrl-UZ"/>
        </w:rPr>
        <w:t xml:space="preserve"> 91</w:t>
      </w:r>
      <w:r>
        <w:rPr>
          <w:lang w:val="uz-Cyrl-UZ"/>
        </w:rPr>
        <w:t>/</w:t>
      </w:r>
      <w:r w:rsidRPr="00E351B0">
        <w:rPr>
          <w:lang w:val="uz-Cyrl-UZ"/>
        </w:rPr>
        <w:t>19</w:t>
      </w:r>
      <w:r>
        <w:rPr>
          <w:lang w:val="uz-Cyrl-UZ"/>
        </w:rPr>
        <w:t>)</w:t>
      </w:r>
      <w:r w:rsidRPr="000F0299">
        <w:t xml:space="preserve"> којим се подстиче учешће малих и средњих предузећа у поступцима јавних набавки, као и ефикаснија заштита права у тим поступцима. Програм развоја јавних набавки за период 2019–2023. године дефинисао је као општи циљ даљи развој модерног и ефикасног система јавних набавки, који </w:t>
      </w:r>
      <w:r>
        <w:t xml:space="preserve">се планира остварити тако што ће се </w:t>
      </w:r>
      <w:r w:rsidRPr="000F0299">
        <w:t>повећа</w:t>
      </w:r>
      <w:r>
        <w:t>ти</w:t>
      </w:r>
      <w:r w:rsidRPr="000F0299">
        <w:t xml:space="preserve"> ефикасност и економичност поступака јавних набавки, </w:t>
      </w:r>
      <w:r>
        <w:t>о</w:t>
      </w:r>
      <w:r w:rsidRPr="000F0299">
        <w:t>јача</w:t>
      </w:r>
      <w:r>
        <w:t>ти</w:t>
      </w:r>
      <w:r w:rsidRPr="000F0299">
        <w:t xml:space="preserve"> конкуренциј</w:t>
      </w:r>
      <w:r>
        <w:t>а</w:t>
      </w:r>
      <w:r w:rsidRPr="000F0299">
        <w:t xml:space="preserve"> на тржишту јавних набавки, смањ</w:t>
      </w:r>
      <w:r>
        <w:t>ити</w:t>
      </w:r>
      <w:r w:rsidRPr="000F0299">
        <w:t xml:space="preserve"> ризик од нерегуларности у систему јавних набавки и промовиса</w:t>
      </w:r>
      <w:r>
        <w:t>ти</w:t>
      </w:r>
      <w:r w:rsidRPr="000F0299">
        <w:t xml:space="preserve"> и подстица</w:t>
      </w:r>
      <w:r>
        <w:t>ти</w:t>
      </w:r>
      <w:r w:rsidRPr="000F0299">
        <w:t xml:space="preserve"> еколошк</w:t>
      </w:r>
      <w:r>
        <w:t>и</w:t>
      </w:r>
      <w:r w:rsidRPr="000F0299">
        <w:t xml:space="preserve"> и социјалн</w:t>
      </w:r>
      <w:r>
        <w:t>и</w:t>
      </w:r>
      <w:r w:rsidRPr="000F0299">
        <w:t xml:space="preserve"> аспект у јавним набавкама и иновациј</w:t>
      </w:r>
      <w:r>
        <w:t>е</w:t>
      </w:r>
      <w:r w:rsidRPr="000F0299">
        <w:t xml:space="preserve">. Институционална структура за функционалан систем јавних набавки је ојачана. </w:t>
      </w:r>
      <w:r>
        <w:t>П</w:t>
      </w:r>
      <w:r w:rsidRPr="000F0299">
        <w:t>ортал јавних набавки</w:t>
      </w:r>
      <w:r>
        <w:t>,</w:t>
      </w:r>
      <w:r w:rsidRPr="000F0299">
        <w:t xml:space="preserve"> </w:t>
      </w:r>
      <w:r>
        <w:t xml:space="preserve">који </w:t>
      </w:r>
      <w:r w:rsidRPr="000F0299">
        <w:t xml:space="preserve">је успостављен у јулу 2020. </w:t>
      </w:r>
      <w:r>
        <w:t>г</w:t>
      </w:r>
      <w:r w:rsidRPr="000F0299">
        <w:t>одине</w:t>
      </w:r>
      <w:r>
        <w:t>,</w:t>
      </w:r>
      <w:r w:rsidRPr="000F0299">
        <w:t xml:space="preserve"> представља значајан корак у процесу дигитализације поступака јавних набавки. Портал је потпуно оперативан, усаглашен за новим Законом о јавним набавкама и усмерен ка испуњењу циљева Програма развоја</w:t>
      </w:r>
      <w:r>
        <w:t xml:space="preserve"> јавних набавки</w:t>
      </w:r>
      <w:r w:rsidRPr="000F0299">
        <w:t xml:space="preserve">. Напредак је остварен у погледу броја </w:t>
      </w:r>
      <w:r>
        <w:t>ц</w:t>
      </w:r>
      <w:r w:rsidRPr="000F0299">
        <w:t xml:space="preserve">ертификованих службеника за јавне набавке, а опао је и проценат нерегуларности </w:t>
      </w:r>
      <w:r>
        <w:t xml:space="preserve">у поступцима </w:t>
      </w:r>
      <w:r w:rsidRPr="000F0299">
        <w:t>јавн</w:t>
      </w:r>
      <w:r>
        <w:t>их</w:t>
      </w:r>
      <w:r w:rsidRPr="000F0299">
        <w:t xml:space="preserve"> набавк</w:t>
      </w:r>
      <w:r>
        <w:t>и</w:t>
      </w:r>
      <w:r w:rsidRPr="000F0299">
        <w:t>.</w:t>
      </w:r>
      <w:r w:rsidRPr="000F0299">
        <w:rPr>
          <w:vertAlign w:val="superscript"/>
        </w:rPr>
        <w:footnoteReference w:id="277"/>
      </w:r>
    </w:p>
    <w:p w14:paraId="1E03AB0C" w14:textId="77777777" w:rsidR="00BE0973" w:rsidRPr="000F0299" w:rsidRDefault="00BE0973" w:rsidP="00BE0973">
      <w:r w:rsidRPr="000F0299">
        <w:t xml:space="preserve">Спровођење </w:t>
      </w:r>
      <w:r w:rsidRPr="000F0299">
        <w:rPr>
          <w:bCs/>
        </w:rPr>
        <w:t>реформе рачуноводства је у почетној</w:t>
      </w:r>
      <w:r w:rsidRPr="000F0299">
        <w:t xml:space="preserve"> </w:t>
      </w:r>
      <w:r w:rsidRPr="000F0299">
        <w:rPr>
          <w:bCs/>
        </w:rPr>
        <w:t>фази</w:t>
      </w:r>
      <w:r w:rsidRPr="000F0299">
        <w:t xml:space="preserve"> пошто је предвиђено да се </w:t>
      </w:r>
      <w:bookmarkStart w:id="244" w:name="_Hlk40608936"/>
      <w:r w:rsidRPr="000F0299">
        <w:rPr>
          <w:i/>
          <w:iCs/>
        </w:rPr>
        <w:t>IPSAS</w:t>
      </w:r>
      <w:r w:rsidRPr="000F0299">
        <w:rPr>
          <w:vertAlign w:val="superscript"/>
        </w:rPr>
        <w:footnoteReference w:id="278"/>
      </w:r>
      <w:r w:rsidRPr="000F0299">
        <w:t xml:space="preserve"> </w:t>
      </w:r>
      <w:bookmarkEnd w:id="244"/>
      <w:r w:rsidRPr="000F0299">
        <w:t xml:space="preserve">стандарди обрачунског рачуноводства усвоје до 2034. године. Реформе у </w:t>
      </w:r>
      <w:r>
        <w:t>т</w:t>
      </w:r>
      <w:r w:rsidRPr="000F0299">
        <w:t xml:space="preserve">ој области ће бити поступно планиране и спроведене у средњорочном/дугорочном периоду како би се обезбедило довољно времена за припрему детаљних планова </w:t>
      </w:r>
      <w:r>
        <w:t>за њихово спровођење</w:t>
      </w:r>
      <w:r w:rsidRPr="000F0299">
        <w:t xml:space="preserve">, израду </w:t>
      </w:r>
      <w:r>
        <w:t xml:space="preserve">докумената </w:t>
      </w:r>
      <w:r w:rsidRPr="000F0299">
        <w:t xml:space="preserve">рачуноводствених политика и примену и тестирање новог система. Да би се </w:t>
      </w:r>
      <w:r>
        <w:t xml:space="preserve">побољшала </w:t>
      </w:r>
      <w:r w:rsidRPr="000F0299">
        <w:t xml:space="preserve">полазна основа, потребно је прво ојачати систем готовинског рачуноводства у складу са </w:t>
      </w:r>
      <w:r w:rsidRPr="000F0299">
        <w:rPr>
          <w:i/>
          <w:iCs/>
        </w:rPr>
        <w:t xml:space="preserve">IPSAS </w:t>
      </w:r>
      <w:r w:rsidRPr="000F0299">
        <w:t>стандардима.</w:t>
      </w:r>
      <w:r w:rsidRPr="000F0299">
        <w:rPr>
          <w:vertAlign w:val="superscript"/>
        </w:rPr>
        <w:footnoteReference w:id="279"/>
      </w:r>
    </w:p>
    <w:p w14:paraId="0DC5ADAD" w14:textId="77777777" w:rsidR="00BE0973" w:rsidRPr="0037479A" w:rsidRDefault="00BE0973" w:rsidP="00BE0973">
      <w:pPr>
        <w:pStyle w:val="CommentText"/>
        <w:rPr>
          <w:sz w:val="24"/>
          <w:szCs w:val="24"/>
          <w:lang w:val="sr-Cyrl-RS"/>
        </w:rPr>
      </w:pPr>
      <w:r w:rsidRPr="00884B37">
        <w:rPr>
          <w:sz w:val="24"/>
          <w:szCs w:val="24"/>
          <w:lang w:val="sr-Cyrl-RS"/>
        </w:rPr>
        <w:t xml:space="preserve">У процесу ЕУ преговора отворено је Преговарачко поглавље 32 – Финансијски надзор и постављена су четири мерила за његово затварање, од којих су три директно везана за реформу УЈФ, и то: </w:t>
      </w:r>
      <w:bookmarkStart w:id="246" w:name="_Hlk40608973"/>
      <w:r w:rsidRPr="00884B37">
        <w:rPr>
          <w:sz w:val="24"/>
          <w:szCs w:val="24"/>
          <w:lang w:val="sr-Cyrl-RS"/>
        </w:rPr>
        <w:t>интерна финансијска контрола</w:t>
      </w:r>
      <w:bookmarkEnd w:id="246"/>
      <w:r w:rsidRPr="00884B37">
        <w:rPr>
          <w:sz w:val="24"/>
          <w:szCs w:val="24"/>
          <w:lang w:val="sr-Cyrl-RS"/>
        </w:rPr>
        <w:t xml:space="preserve"> у јавном сектору, екстерна ревизија и заштита финансијских интереса ЕУ. Извештај Европске комисије о напретку за 2020. годину констатује да је напредак у Поглављу 32 добар.</w:t>
      </w:r>
      <w:r w:rsidRPr="0037479A">
        <w:rPr>
          <w:rFonts w:asciiTheme="majorBidi" w:hAnsiTheme="majorBidi"/>
          <w:sz w:val="24"/>
          <w:szCs w:val="24"/>
          <w:vertAlign w:val="superscript"/>
        </w:rPr>
        <w:footnoteReference w:id="280"/>
      </w:r>
      <w:r w:rsidRPr="00884B37">
        <w:rPr>
          <w:sz w:val="24"/>
          <w:szCs w:val="24"/>
          <w:lang w:val="sr-Cyrl-RS"/>
        </w:rPr>
        <w:t xml:space="preserve"> Стратегија развоја интерне финансијске контроле у јавном сектору у Републици Србији за период 2017–2020. године ће по истеку важења бити интегрисана у нови ПРУЈФ, док је управљачка одговорност бити обухваћена овом стратегијом у оквиру циља 4. Законодавни оквир интерне контроле и интерне ревизије су у складу са међународним стандардима.</w:t>
      </w:r>
      <w:r w:rsidRPr="0037479A">
        <w:rPr>
          <w:sz w:val="24"/>
          <w:szCs w:val="24"/>
          <w:vertAlign w:val="superscript"/>
        </w:rPr>
        <w:footnoteReference w:id="281"/>
      </w:r>
      <w:r w:rsidRPr="00884B37">
        <w:rPr>
          <w:sz w:val="24"/>
          <w:szCs w:val="24"/>
          <w:lang w:val="sr-Cyrl-RS"/>
        </w:rPr>
        <w:t xml:space="preserve"> Приручник за финансијско управљање и контролу је допуњен са 14 методолошких смерница које су садржане у документима који су објављени на сајту Министарства финансија.</w:t>
      </w:r>
      <w:r w:rsidRPr="0037479A">
        <w:rPr>
          <w:rFonts w:asciiTheme="majorBidi" w:hAnsiTheme="majorBidi"/>
          <w:sz w:val="24"/>
          <w:szCs w:val="24"/>
          <w:vertAlign w:val="superscript"/>
        </w:rPr>
        <w:footnoteReference w:id="282"/>
      </w:r>
      <w:r w:rsidRPr="00884B37">
        <w:rPr>
          <w:sz w:val="24"/>
          <w:szCs w:val="24"/>
          <w:lang w:val="sr-Cyrl-RS"/>
        </w:rPr>
        <w:t xml:space="preserve"> Такође су припремљене и провере квалитета финансијског управљања и контроле (у даљем тексту: ФУК) и интерне ревизије коју обавља ЦЈХ. Кључне институције јавног сектора су већински ускладиле своје системе ФУК са међународним принципима </w:t>
      </w:r>
      <w:r w:rsidRPr="0037479A">
        <w:rPr>
          <w:i/>
          <w:iCs/>
          <w:sz w:val="24"/>
          <w:szCs w:val="24"/>
        </w:rPr>
        <w:t>COSO</w:t>
      </w:r>
      <w:r w:rsidRPr="0037479A">
        <w:rPr>
          <w:rFonts w:asciiTheme="majorBidi" w:hAnsiTheme="majorBidi"/>
          <w:sz w:val="24"/>
          <w:szCs w:val="24"/>
          <w:vertAlign w:val="superscript"/>
        </w:rPr>
        <w:footnoteReference w:id="283"/>
      </w:r>
      <w:r w:rsidRPr="00884B37">
        <w:rPr>
          <w:sz w:val="24"/>
          <w:szCs w:val="24"/>
          <w:lang w:val="sr-Cyrl-RS"/>
        </w:rPr>
        <w:t xml:space="preserve"> и стандардима </w:t>
      </w:r>
      <w:r w:rsidRPr="0037479A">
        <w:rPr>
          <w:i/>
          <w:iCs/>
          <w:sz w:val="24"/>
          <w:szCs w:val="24"/>
        </w:rPr>
        <w:t>INTOSAI</w:t>
      </w:r>
      <w:r w:rsidRPr="0037479A">
        <w:rPr>
          <w:sz w:val="24"/>
          <w:szCs w:val="24"/>
          <w:vertAlign w:val="superscript"/>
        </w:rPr>
        <w:footnoteReference w:id="284"/>
      </w:r>
      <w:r w:rsidRPr="00884B37">
        <w:rPr>
          <w:sz w:val="24"/>
          <w:szCs w:val="24"/>
          <w:lang w:val="sr-Cyrl-RS"/>
        </w:rPr>
        <w:t xml:space="preserve"> и редовно извештавају ЦЈХ о нивоу усаглашености својих система ФУК. Развијен је систем националне цертификације који омогућава да се стекне звање цертификованог интерног ревизора у јавном сектору у складу са међународним стандардима професионалне праксе интерне ревизије </w:t>
      </w:r>
      <w:r w:rsidRPr="0037479A">
        <w:rPr>
          <w:i/>
          <w:sz w:val="24"/>
          <w:szCs w:val="24"/>
        </w:rPr>
        <w:t>ISPPIA</w:t>
      </w:r>
      <w:r w:rsidRPr="00884B37">
        <w:rPr>
          <w:sz w:val="24"/>
          <w:szCs w:val="24"/>
          <w:lang w:val="sr-Cyrl-RS"/>
        </w:rPr>
        <w:t>,</w:t>
      </w:r>
      <w:r w:rsidRPr="0037479A">
        <w:rPr>
          <w:sz w:val="24"/>
          <w:szCs w:val="24"/>
          <w:vertAlign w:val="superscript"/>
        </w:rPr>
        <w:footnoteReference w:id="285"/>
      </w:r>
      <w:r w:rsidRPr="00884B37">
        <w:rPr>
          <w:sz w:val="24"/>
          <w:szCs w:val="24"/>
          <w:lang w:val="sr-Cyrl-RS"/>
        </w:rPr>
        <w:t xml:space="preserve"> а које је стекло 478 интерних ревизора. У јавном сектору је ангажовано укупно 485 интерних ревизора, од чега се 167 обучава за стицање цертификата. Иинтерна годишња контрола се спроводи у оквиру консолидоване интерне финансијске контроле у јавном сектору (у даљем тексту: ФУК). </w:t>
      </w:r>
    </w:p>
    <w:p w14:paraId="73A46FCE" w14:textId="77777777" w:rsidR="00BE0973" w:rsidRPr="0037479A" w:rsidRDefault="00BE0973" w:rsidP="00BE0973">
      <w:pPr>
        <w:pStyle w:val="CommentText"/>
        <w:rPr>
          <w:sz w:val="24"/>
          <w:szCs w:val="24"/>
          <w:lang w:val="sr-Cyrl-RS"/>
        </w:rPr>
      </w:pPr>
      <w:r w:rsidRPr="0037479A">
        <w:rPr>
          <w:sz w:val="24"/>
          <w:szCs w:val="24"/>
          <w:lang w:val="sr-Cyrl-RS"/>
        </w:rPr>
        <w:t>Обавезни извештаји о идентификованим слабостима и препорукама за унапређење све су потпунији</w:t>
      </w:r>
    </w:p>
    <w:p w14:paraId="06622741" w14:textId="77777777" w:rsidR="00BE0973" w:rsidRPr="000F0299" w:rsidRDefault="00BE0973" w:rsidP="00BE0973">
      <w:r w:rsidRPr="0037479A">
        <w:t xml:space="preserve">. Већина препорука из Извештаја о напретку у Поглављу 32 које се односе на област </w:t>
      </w:r>
      <w:r>
        <w:t>ФУК</w:t>
      </w:r>
      <w:r w:rsidRPr="0037479A">
        <w:t xml:space="preserve"> примењена је, а спроводе се и активности утврђене у Стратегији </w:t>
      </w:r>
      <w:r>
        <w:t>ФУК</w:t>
      </w:r>
      <w:r w:rsidRPr="0037479A">
        <w:t>, уз поједине застоје, али</w:t>
      </w:r>
      <w:r>
        <w:t xml:space="preserve"> с</w:t>
      </w:r>
      <w:r w:rsidRPr="000F0299">
        <w:t xml:space="preserve">веукупно </w:t>
      </w:r>
      <w:r>
        <w:t>гледано, ФУК</w:t>
      </w:r>
      <w:r w:rsidRPr="000F0299">
        <w:t>константно напредује.</w:t>
      </w:r>
    </w:p>
    <w:p w14:paraId="7E888E00" w14:textId="77777777" w:rsidR="00BE0973" w:rsidRPr="000F0299" w:rsidRDefault="00BE0973" w:rsidP="00BE0973">
      <w:r w:rsidRPr="000F0299">
        <w:t xml:space="preserve">Изменама Закона о буџетском систему </w:t>
      </w:r>
      <w:r>
        <w:t>утврђена</w:t>
      </w:r>
      <w:r w:rsidRPr="000F0299">
        <w:t xml:space="preserve"> је разлика између рада </w:t>
      </w:r>
      <w:r>
        <w:t>б</w:t>
      </w:r>
      <w:r w:rsidRPr="000F0299">
        <w:t xml:space="preserve">уџетске инспекције и </w:t>
      </w:r>
      <w:r>
        <w:t>и</w:t>
      </w:r>
      <w:r w:rsidRPr="000F0299">
        <w:t>нтерне ревизије.</w:t>
      </w:r>
      <w:r w:rsidRPr="000F0299">
        <w:rPr>
          <w:vertAlign w:val="superscript"/>
        </w:rPr>
        <w:footnoteReference w:id="286"/>
      </w:r>
      <w:r w:rsidRPr="000F0299">
        <w:t xml:space="preserve"> У децембру 2018. </w:t>
      </w:r>
      <w:r>
        <w:t>г</w:t>
      </w:r>
      <w:r w:rsidRPr="000F0299">
        <w:t>одине</w:t>
      </w:r>
      <w:r>
        <w:rPr>
          <w:lang w:val="sr-Latn-RS"/>
        </w:rPr>
        <w:t xml:space="preserve"> </w:t>
      </w:r>
      <w:r>
        <w:t xml:space="preserve">су </w:t>
      </w:r>
      <w:r w:rsidRPr="000F0299">
        <w:t>од Сектора за контролу јавних средстава формиране две уже организационе јединице</w:t>
      </w:r>
      <w:r>
        <w:t>,</w:t>
      </w:r>
      <w:r w:rsidRPr="000F0299">
        <w:t xml:space="preserve"> Сектор за буџетску инспекцију и </w:t>
      </w:r>
      <w:bookmarkStart w:id="248" w:name="_Hlk40609086"/>
      <w:r w:rsidRPr="000F0299">
        <w:t>Одељење за сузбијање неправилности и превара у поступању са средствима ЕУ</w:t>
      </w:r>
      <w:bookmarkEnd w:id="248"/>
      <w:r w:rsidRPr="000F0299">
        <w:t xml:space="preserve"> (АФКОС).</w:t>
      </w:r>
      <w:r w:rsidRPr="000F0299">
        <w:rPr>
          <w:vertAlign w:val="superscript"/>
        </w:rPr>
        <w:footnoteReference w:id="287"/>
      </w:r>
      <w:r w:rsidRPr="000F0299">
        <w:t xml:space="preserve"> </w:t>
      </w:r>
    </w:p>
    <w:p w14:paraId="57BC8857" w14:textId="77777777" w:rsidR="00BE0973" w:rsidRPr="000F0299" w:rsidRDefault="00BE0973" w:rsidP="00BE0973">
      <w:r w:rsidRPr="000F0299">
        <w:t>Министар финансија је 5. септембра 2019. године издао Директиву о раду и начину поступања Одељења за сузбијање неправилности и превара у поступању са финансијским средствима Европске уније поводом пријављених и, на друге начине евидентираних неправилности и сумњи на превару у поступању са финансијским средствима Европске уније у Републици Србији</w:t>
      </w:r>
      <w:r>
        <w:t>.</w:t>
      </w:r>
      <w:r w:rsidRPr="000F0299">
        <w:t xml:space="preserve"> </w:t>
      </w:r>
      <w:r>
        <w:t>Т</w:t>
      </w:r>
      <w:r w:rsidRPr="000F0299">
        <w:t xml:space="preserve">име је </w:t>
      </w:r>
      <w:r>
        <w:t>то о</w:t>
      </w:r>
      <w:r w:rsidRPr="000F0299">
        <w:t>дељење</w:t>
      </w:r>
      <w:r w:rsidRPr="00BA51C6">
        <w:t xml:space="preserve"> </w:t>
      </w:r>
      <w:r w:rsidRPr="000F0299">
        <w:t xml:space="preserve">ојачано и преузете административне провере пријављених неправилности у поступању са финансијским средствима Европске уније. </w:t>
      </w:r>
      <w:r>
        <w:t xml:space="preserve">Спроведена </w:t>
      </w:r>
      <w:r w:rsidRPr="000F0299">
        <w:t xml:space="preserve">је анализа ризика свих тела која учествују у управљању средствима ЕУ </w:t>
      </w:r>
      <w:r>
        <w:t xml:space="preserve">како би се утврдила </w:t>
      </w:r>
      <w:r w:rsidRPr="000F0299">
        <w:t xml:space="preserve">подручја </w:t>
      </w:r>
      <w:r>
        <w:t xml:space="preserve">у којима постоји </w:t>
      </w:r>
      <w:r w:rsidRPr="000F0299">
        <w:t xml:space="preserve">ризик од неправилности и превара и </w:t>
      </w:r>
      <w:r>
        <w:t xml:space="preserve">донето је </w:t>
      </w:r>
      <w:r w:rsidRPr="000F0299">
        <w:t xml:space="preserve">Методолошко упутство за управљање ризицима </w:t>
      </w:r>
      <w:r>
        <w:t xml:space="preserve">од </w:t>
      </w:r>
      <w:r w:rsidRPr="000F0299">
        <w:t>неправилности</w:t>
      </w:r>
      <w:r>
        <w:t>ма</w:t>
      </w:r>
      <w:r w:rsidRPr="000F0299">
        <w:t xml:space="preserve"> и превара у поступању са финансијским средствима Европске уније, укључујући и пратеће анексе.</w:t>
      </w:r>
    </w:p>
    <w:p w14:paraId="76C752A2" w14:textId="77777777" w:rsidR="00BE0973" w:rsidRPr="000F0299" w:rsidRDefault="00BE0973" w:rsidP="00BE0973">
      <w:r w:rsidRPr="000F0299">
        <w:t>У новембру 2019. године донет је Правилник о начину и поступању буџетске инспекције у вршењу надзора над спровођењем Закона о роковима измирења новчаних обавеза у комерцијалним трансакцијама („Службени гласник РС</w:t>
      </w:r>
      <w:r>
        <w:t>”</w:t>
      </w:r>
      <w:r w:rsidRPr="000F0299">
        <w:t xml:space="preserve">, број 78/19). </w:t>
      </w:r>
      <w:r>
        <w:t>Т</w:t>
      </w:r>
      <w:r w:rsidRPr="000F0299">
        <w:t xml:space="preserve">им правилником се прописује начин и поступак вршења надзора над спровођењем </w:t>
      </w:r>
      <w:r>
        <w:t>т</w:t>
      </w:r>
      <w:r w:rsidRPr="000F0299">
        <w:t xml:space="preserve">ог закона када се трансакције обављају између јавног сектора и привредних субјеката у којима су субјекти јавног сектора дужници и </w:t>
      </w:r>
      <w:r w:rsidRPr="00BA51C6">
        <w:t xml:space="preserve">када се трансакције обављају </w:t>
      </w:r>
      <w:r w:rsidRPr="000F0299">
        <w:t xml:space="preserve">између субјеката јавног сектора, као и начин и поступак преузимања података о неизмиреним обавезама јавних предузећа из информационог система Управе за трезор. У децембру 2019. године донета је Методологија рада буџетске инспекције у циљу правилног и уједначеног поступања и рада буџетске инспекције Министарства финансија, Службе за буџетску инспекцију аутономне покрајине и Службе за буџетску инспекцију јединица локалне самоуправе. Припрема стратешког плана буџетске инспекције и </w:t>
      </w:r>
      <w:r>
        <w:t xml:space="preserve">пратећег </w:t>
      </w:r>
      <w:r w:rsidRPr="000F0299">
        <w:t>акционог плана за период 2020–2022</w:t>
      </w:r>
      <w:r>
        <w:t>.</w:t>
      </w:r>
      <w:r w:rsidRPr="000F0299">
        <w:t xml:space="preserve"> је у току.</w:t>
      </w:r>
    </w:p>
    <w:p w14:paraId="57BA19AB" w14:textId="77777777" w:rsidR="00BE0973" w:rsidRPr="000F0299" w:rsidRDefault="00BE0973" w:rsidP="00BE0973">
      <w:bookmarkStart w:id="249" w:name="_Hlk40609046"/>
      <w:r w:rsidRPr="000F0299">
        <w:t xml:space="preserve">Државна ревизорска институција </w:t>
      </w:r>
      <w:bookmarkEnd w:id="249"/>
      <w:r w:rsidRPr="000F0299">
        <w:t xml:space="preserve">је наставила да повећава утицај свог ревизорског рада и да прати спровођење својих препорука у погледу ревизије. </w:t>
      </w:r>
    </w:p>
    <w:p w14:paraId="1977A90A" w14:textId="77777777" w:rsidR="00BE0973" w:rsidRPr="000F0299" w:rsidRDefault="00BE0973" w:rsidP="00BE0973">
      <w:r w:rsidRPr="000F0299">
        <w:t xml:space="preserve">Од почетка </w:t>
      </w:r>
      <w:r>
        <w:t>спровођења</w:t>
      </w:r>
      <w:r w:rsidRPr="000F0299">
        <w:t xml:space="preserve"> </w:t>
      </w:r>
      <w:r>
        <w:t>ПРУЈФ</w:t>
      </w:r>
      <w:r w:rsidRPr="000F0299">
        <w:t xml:space="preserve">, остварен је значајан напредак у многим областима. </w:t>
      </w:r>
      <w:r>
        <w:t>Спровођење</w:t>
      </w:r>
      <w:r w:rsidRPr="000F0299">
        <w:t xml:space="preserve"> </w:t>
      </w:r>
      <w:r>
        <w:t>ПРУЈФ</w:t>
      </w:r>
      <w:r w:rsidRPr="000F0299">
        <w:t xml:space="preserve"> </w:t>
      </w:r>
      <w:r>
        <w:t>и</w:t>
      </w:r>
      <w:r w:rsidRPr="000F0299">
        <w:t xml:space="preserve"> мер</w:t>
      </w:r>
      <w:r>
        <w:t>а</w:t>
      </w:r>
      <w:r w:rsidRPr="000F0299">
        <w:t xml:space="preserve"> фискалне консолидације</w:t>
      </w:r>
      <w:r>
        <w:t xml:space="preserve"> </w:t>
      </w:r>
      <w:r w:rsidRPr="000F0299">
        <w:t>допринел</w:t>
      </w:r>
      <w:r>
        <w:t>о</w:t>
      </w:r>
      <w:r w:rsidRPr="000F0299">
        <w:t xml:space="preserve"> је стабилизацији јавних финансија</w:t>
      </w:r>
      <w:r>
        <w:t xml:space="preserve">, што је створило услове да се </w:t>
      </w:r>
      <w:r w:rsidRPr="000F0299">
        <w:t>остваре резултати у последњих неколико година. У 2019. години настављено је унапређење процеса програмског буџетирања и средњорочног планирања; побољшано је планирање и праћење капиталних пројеката; убрзан је процес трансформације Пореске управе; настављено је унапређење управљања јавним дугом; постигнут је даљи напредак у области јавних набавки; ојачана је област финансијског управљања и контроле и интерне ревизије; остварен је даљи напредак у области сузбијања неправилности и превара у поступању са финансијским средствима Европске уније и повраћај</w:t>
      </w:r>
      <w:r>
        <w:t>а</w:t>
      </w:r>
      <w:r w:rsidRPr="000F0299">
        <w:t xml:space="preserve"> средстава; ојачан је рад буџетске инспекције; додатно је ојачан скупштински надзор над јавним финансијама и рад Државне ревизорске институције. </w:t>
      </w:r>
    </w:p>
    <w:p w14:paraId="1E9C9809" w14:textId="77777777" w:rsidR="00BE0973" w:rsidRPr="000F0299" w:rsidRDefault="00BE0973" w:rsidP="00BE0973">
      <w:r w:rsidRPr="000F0299">
        <w:t>У</w:t>
      </w:r>
      <w:r>
        <w:t xml:space="preserve"> спровођењу одређених </w:t>
      </w:r>
      <w:r w:rsidRPr="000F0299">
        <w:t xml:space="preserve">активности ПРУЈФ </w:t>
      </w:r>
      <w:r>
        <w:t xml:space="preserve">постојали су </w:t>
      </w:r>
      <w:r w:rsidRPr="000F0299">
        <w:t>застој</w:t>
      </w:r>
      <w:r>
        <w:t xml:space="preserve">и и кашњења, и то из различитих разлога, </w:t>
      </w:r>
      <w:r w:rsidRPr="000F0299">
        <w:t>углавном техничке природе</w:t>
      </w:r>
      <w:r>
        <w:t>,</w:t>
      </w:r>
      <w:r w:rsidRPr="000F0299">
        <w:rPr>
          <w:vertAlign w:val="superscript"/>
        </w:rPr>
        <w:footnoteReference w:id="288"/>
      </w:r>
      <w:r w:rsidRPr="000F0299">
        <w:t xml:space="preserve"> </w:t>
      </w:r>
      <w:r>
        <w:t>н</w:t>
      </w:r>
      <w:r w:rsidRPr="000F0299">
        <w:t>а пример</w:t>
      </w:r>
      <w:r>
        <w:t xml:space="preserve"> </w:t>
      </w:r>
      <w:r w:rsidRPr="000F0299">
        <w:t>због предугих међусекторских консултација</w:t>
      </w:r>
      <w:r>
        <w:t xml:space="preserve"> одлагано је доношење прописа.</w:t>
      </w:r>
    </w:p>
    <w:p w14:paraId="78815BF8" w14:textId="77777777" w:rsidR="00BE0973" w:rsidRPr="000F0299" w:rsidRDefault="00BE0973" w:rsidP="00BE0973">
      <w:r w:rsidRPr="000F0299">
        <w:t>Недостатак административних капацитета због ограничених могућности нових запошљавања, као и одлазак стручн</w:t>
      </w:r>
      <w:r>
        <w:t>ог</w:t>
      </w:r>
      <w:r w:rsidRPr="000F0299">
        <w:t xml:space="preserve"> кадра, идентификован је као огроман изазов у претходном периоду и биће му посвећена нарочита пажња у новом ПРУЈФ.</w:t>
      </w:r>
      <w:r w:rsidRPr="000F0299">
        <w:rPr>
          <w:rFonts w:asciiTheme="majorBidi" w:hAnsiTheme="majorBidi"/>
          <w:vertAlign w:val="superscript"/>
        </w:rPr>
        <w:footnoteReference w:id="289"/>
      </w:r>
    </w:p>
    <w:p w14:paraId="15B23CF8" w14:textId="77777777" w:rsidR="00BE0973" w:rsidRPr="000F0299" w:rsidRDefault="00BE0973" w:rsidP="00BE0973">
      <w:r>
        <w:t>Доношењем</w:t>
      </w:r>
      <w:r w:rsidRPr="000F0299">
        <w:t xml:space="preserve"> новог ПРУЈФ реформски процеси ће бити настављени </w:t>
      </w:r>
      <w:r>
        <w:t>и редовним</w:t>
      </w:r>
      <w:r w:rsidRPr="000F0299">
        <w:t xml:space="preserve"> извештавањем које ће омогућити </w:t>
      </w:r>
      <w:r>
        <w:t>да се на време утврде</w:t>
      </w:r>
      <w:r w:rsidRPr="000F0299">
        <w:t xml:space="preserve"> кључни реформски приоритет</w:t>
      </w:r>
      <w:r>
        <w:t>и</w:t>
      </w:r>
      <w:r w:rsidRPr="000F0299">
        <w:t>, највећи изазов</w:t>
      </w:r>
      <w:r>
        <w:t>и</w:t>
      </w:r>
      <w:r w:rsidRPr="000F0299">
        <w:t xml:space="preserve"> и стратегијски одговор</w:t>
      </w:r>
      <w:r>
        <w:t>и</w:t>
      </w:r>
      <w:r w:rsidRPr="000F0299">
        <w:t>.</w:t>
      </w:r>
    </w:p>
    <w:p w14:paraId="71D9C3F1" w14:textId="77777777" w:rsidR="00BE0973" w:rsidRPr="000F0299" w:rsidRDefault="00BE0973" w:rsidP="00BE0973">
      <w:r w:rsidRPr="000F0299">
        <w:t>Закон о буџетском систему ће бити допуњен током усаглашавања са регулативом</w:t>
      </w:r>
      <w:r w:rsidRPr="002012AC">
        <w:t xml:space="preserve"> </w:t>
      </w:r>
      <w:r w:rsidRPr="000F0299">
        <w:t>ЕУ</w:t>
      </w:r>
      <w:r>
        <w:t xml:space="preserve"> тако да омогући </w:t>
      </w:r>
      <w:r w:rsidRPr="000F0299">
        <w:t>очување фискалне стабилности</w:t>
      </w:r>
      <w:r>
        <w:t xml:space="preserve"> и утврди </w:t>
      </w:r>
      <w:r w:rsidRPr="000F0299">
        <w:t>кредибилнија обавезујућа</w:t>
      </w:r>
      <w:r>
        <w:t xml:space="preserve"> </w:t>
      </w:r>
      <w:r w:rsidRPr="000F0299">
        <w:t>фискална правила</w:t>
      </w:r>
      <w:r>
        <w:t>, која би</w:t>
      </w:r>
      <w:r w:rsidRPr="000F0299">
        <w:t xml:space="preserve"> представљала ослонац фискалне политике.</w:t>
      </w:r>
      <w:r w:rsidRPr="000F0299">
        <w:rPr>
          <w:rFonts w:asciiTheme="majorBidi" w:hAnsiTheme="majorBidi"/>
          <w:vertAlign w:val="superscript"/>
        </w:rPr>
        <w:footnoteReference w:id="290"/>
      </w:r>
      <w:r w:rsidRPr="000F0299">
        <w:t xml:space="preserve"> Слабост фискалних правила је констатована и слабим рејтингом (два од пет) индекса јачине фискалних правила у </w:t>
      </w:r>
      <w:r w:rsidRPr="001C1D72">
        <w:rPr>
          <w:i/>
        </w:rPr>
        <w:t>SIGMA</w:t>
      </w:r>
      <w:r w:rsidRPr="000F0299">
        <w:t xml:space="preserve"> извештај</w:t>
      </w:r>
      <w:r>
        <w:t>у</w:t>
      </w:r>
      <w:r w:rsidRPr="000F0299">
        <w:t>.</w:t>
      </w:r>
      <w:r w:rsidRPr="000F0299">
        <w:rPr>
          <w:vertAlign w:val="superscript"/>
        </w:rPr>
        <w:footnoteReference w:id="291"/>
      </w:r>
      <w:r w:rsidRPr="000F0299">
        <w:rPr>
          <w:vertAlign w:val="superscript"/>
        </w:rPr>
        <w:t xml:space="preserve"> </w:t>
      </w:r>
      <w:r w:rsidRPr="000F0299">
        <w:t xml:space="preserve">Србија се у оквиру преговарачке позиције за </w:t>
      </w:r>
      <w:r>
        <w:t>П</w:t>
      </w:r>
      <w:r w:rsidRPr="000F0299">
        <w:t>оглавље 17</w:t>
      </w:r>
      <w:r>
        <w:t xml:space="preserve"> –</w:t>
      </w:r>
      <w:r w:rsidRPr="000F0299">
        <w:t xml:space="preserve"> Монетарна и економска политика</w:t>
      </w:r>
      <w:r w:rsidRPr="000F0299">
        <w:rPr>
          <w:vertAlign w:val="superscript"/>
        </w:rPr>
        <w:footnoteReference w:id="292"/>
      </w:r>
      <w:r w:rsidRPr="000F0299">
        <w:t xml:space="preserve"> обавезала на ревизију фискалних правила у З</w:t>
      </w:r>
      <w:r>
        <w:t xml:space="preserve">акону о буџетском систему </w:t>
      </w:r>
      <w:r w:rsidRPr="000F0299">
        <w:t xml:space="preserve">до краја 2021. године. Такође је планирано да се сваке године повећава број буџетских корисника </w:t>
      </w:r>
      <w:r>
        <w:t xml:space="preserve">у складу </w:t>
      </w:r>
      <w:r w:rsidRPr="000F0299">
        <w:t>са успостављеним родно сензитивним циљевима и показатељима.</w:t>
      </w:r>
      <w:r w:rsidRPr="000F0299">
        <w:rPr>
          <w:vertAlign w:val="superscript"/>
        </w:rPr>
        <w:footnoteReference w:id="293"/>
      </w:r>
      <w:r w:rsidRPr="000F0299">
        <w:t xml:space="preserve"> </w:t>
      </w:r>
    </w:p>
    <w:p w14:paraId="4A3EEA30" w14:textId="77777777" w:rsidR="00BE0973" w:rsidRPr="000F0299" w:rsidRDefault="00BE0973" w:rsidP="00BE0973">
      <w:r w:rsidRPr="000F0299">
        <w:t xml:space="preserve">Пре </w:t>
      </w:r>
      <w:r>
        <w:t xml:space="preserve">доношења </w:t>
      </w:r>
      <w:r w:rsidRPr="000F0299">
        <w:t>ЗПС није постојао адекватан законски оквир који би систематски регулисао усклађивање планског система и буџетског планирања</w:t>
      </w:r>
      <w:r>
        <w:t>, па</w:t>
      </w:r>
      <w:r w:rsidRPr="000F0299">
        <w:t xml:space="preserve"> документи јавних политика нису били увезани са годишњим буџетом и фискалном стратегијом.</w:t>
      </w:r>
      <w:r w:rsidRPr="000F0299">
        <w:rPr>
          <w:vertAlign w:val="superscript"/>
        </w:rPr>
        <w:footnoteReference w:id="294"/>
      </w:r>
      <w:r w:rsidRPr="000F0299">
        <w:t xml:space="preserve"> Чак и након увођења програмског буџета, </w:t>
      </w:r>
      <w:r w:rsidRPr="000F0299">
        <w:rPr>
          <w:bCs/>
        </w:rPr>
        <w:t>везе између буџета и стратешких приоритета и планова су остале слабе</w:t>
      </w:r>
      <w:r w:rsidRPr="000F0299">
        <w:t>,</w:t>
      </w:r>
      <w:r w:rsidRPr="000F0299">
        <w:rPr>
          <w:vertAlign w:val="superscript"/>
        </w:rPr>
        <w:footnoteReference w:id="295"/>
      </w:r>
      <w:r w:rsidRPr="000F0299">
        <w:t xml:space="preserve"> без нагласка на планиране резултате.</w:t>
      </w:r>
      <w:r w:rsidRPr="000F0299">
        <w:rPr>
          <w:vertAlign w:val="superscript"/>
        </w:rPr>
        <w:footnoteReference w:id="296"/>
      </w:r>
      <w:r w:rsidRPr="000F0299">
        <w:t xml:space="preserve"> </w:t>
      </w:r>
      <w:r>
        <w:t>Доношењем</w:t>
      </w:r>
      <w:r w:rsidRPr="000F0299">
        <w:t xml:space="preserve"> Уредбе о методологији за израду средњорочних планова</w:t>
      </w:r>
      <w:r>
        <w:t xml:space="preserve"> омогућено је</w:t>
      </w:r>
      <w:r w:rsidRPr="000F0299">
        <w:t xml:space="preserve"> да се веза између буџетског и планског процеса непосредно успостави, са средњорочним планом као кариком која је у пракси недостајала. Пратећи прописи</w:t>
      </w:r>
      <w:r w:rsidRPr="000F0299" w:rsidDel="00C25E13">
        <w:t xml:space="preserve"> Уредбе о </w:t>
      </w:r>
      <w:r w:rsidRPr="000F0299">
        <w:t>управљању капиталним пројектима</w:t>
      </w:r>
      <w:r w:rsidRPr="000F0299" w:rsidDel="00C25E13">
        <w:t xml:space="preserve"> </w:t>
      </w:r>
      <w:r w:rsidRPr="000F0299">
        <w:t xml:space="preserve">су донети крајем 2019, а пуна </w:t>
      </w:r>
      <w:r>
        <w:t>примена</w:t>
      </w:r>
      <w:r w:rsidRPr="000F0299" w:rsidDel="00C25E13">
        <w:t xml:space="preserve"> </w:t>
      </w:r>
      <w:r w:rsidRPr="000F0299">
        <w:t xml:space="preserve">новог </w:t>
      </w:r>
      <w:r w:rsidRPr="000F0299" w:rsidDel="00C25E13">
        <w:t>правног о</w:t>
      </w:r>
      <w:r w:rsidRPr="000F0299">
        <w:t>к</w:t>
      </w:r>
      <w:r w:rsidRPr="000F0299" w:rsidDel="00C25E13">
        <w:t xml:space="preserve">вира </w:t>
      </w:r>
      <w:r w:rsidRPr="000F0299">
        <w:t xml:space="preserve">о </w:t>
      </w:r>
      <w:r w:rsidRPr="000F0299">
        <w:rPr>
          <w:bCs/>
        </w:rPr>
        <w:t>јединственом систему управљања јавним инвестицијама</w:t>
      </w:r>
      <w:r w:rsidRPr="000F0299">
        <w:t xml:space="preserve"> ће представљати велики изазов са становишта </w:t>
      </w:r>
      <w:r w:rsidRPr="000F0299">
        <w:rPr>
          <w:bCs/>
        </w:rPr>
        <w:t>развоја адекватних људских, институционалних и техничких капацитета</w:t>
      </w:r>
      <w:r w:rsidRPr="000F0299">
        <w:t>.</w:t>
      </w:r>
    </w:p>
    <w:p w14:paraId="6AAB142B" w14:textId="77777777" w:rsidR="00BE0973" w:rsidRPr="000F0299" w:rsidRDefault="00BE0973" w:rsidP="00BE0973">
      <w:r w:rsidRPr="000F0299">
        <w:t xml:space="preserve">Трансформација Пореске управе у наредној фази </w:t>
      </w:r>
      <w:r>
        <w:t>захтева</w:t>
      </w:r>
      <w:r w:rsidRPr="000F0299">
        <w:t xml:space="preserve"> </w:t>
      </w:r>
      <w:r>
        <w:t xml:space="preserve">да се </w:t>
      </w:r>
      <w:r w:rsidRPr="000F0299">
        <w:t>анализ</w:t>
      </w:r>
      <w:r>
        <w:t xml:space="preserve">ира </w:t>
      </w:r>
      <w:r w:rsidRPr="000F0299">
        <w:t>правн</w:t>
      </w:r>
      <w:r>
        <w:t>и</w:t>
      </w:r>
      <w:r w:rsidRPr="000F0299">
        <w:t xml:space="preserve"> оквир и откл</w:t>
      </w:r>
      <w:r>
        <w:t>оне</w:t>
      </w:r>
      <w:r w:rsidRPr="000F0299">
        <w:t xml:space="preserve"> ограничења како би се омогућио делотворан рад у складу са најбољим светским праксама, </w:t>
      </w:r>
      <w:r>
        <w:t xml:space="preserve">да се </w:t>
      </w:r>
      <w:r w:rsidRPr="000F0299">
        <w:t>ств</w:t>
      </w:r>
      <w:r>
        <w:t>оре</w:t>
      </w:r>
      <w:r w:rsidRPr="000F0299">
        <w:t xml:space="preserve"> технички предуслов</w:t>
      </w:r>
      <w:r>
        <w:t>и</w:t>
      </w:r>
      <w:r w:rsidRPr="000F0299">
        <w:t xml:space="preserve"> за даљу фазу консолидације пословне мреже и модернизацију пословних процеса Пореске управе</w:t>
      </w:r>
      <w:r>
        <w:t xml:space="preserve">, као и да се </w:t>
      </w:r>
      <w:r w:rsidRPr="000F0299">
        <w:t>модерниз</w:t>
      </w:r>
      <w:r>
        <w:t>ује</w:t>
      </w:r>
      <w:r w:rsidRPr="000F0299">
        <w:t xml:space="preserve"> информацион</w:t>
      </w:r>
      <w:r>
        <w:t>и</w:t>
      </w:r>
      <w:r w:rsidRPr="000F0299">
        <w:t xml:space="preserve"> систем</w:t>
      </w:r>
      <w:r>
        <w:t xml:space="preserve"> </w:t>
      </w:r>
      <w:r w:rsidRPr="000F0299">
        <w:t xml:space="preserve">и </w:t>
      </w:r>
      <w:r>
        <w:t xml:space="preserve">наново успоставе </w:t>
      </w:r>
      <w:r w:rsidRPr="000F0299">
        <w:t>пословни процес</w:t>
      </w:r>
      <w:r>
        <w:t>и</w:t>
      </w:r>
      <w:r w:rsidRPr="000F0299">
        <w:t>.</w:t>
      </w:r>
      <w:r w:rsidRPr="000F0299">
        <w:rPr>
          <w:vertAlign w:val="superscript"/>
        </w:rPr>
        <w:footnoteReference w:id="297"/>
      </w:r>
      <w:r w:rsidRPr="000F0299">
        <w:t xml:space="preserve"> Сврха Програма трансформације П</w:t>
      </w:r>
      <w:r>
        <w:t xml:space="preserve">ореске управе </w:t>
      </w:r>
      <w:r w:rsidRPr="000F0299">
        <w:t xml:space="preserve">је достизање </w:t>
      </w:r>
      <w:r>
        <w:t>кључног</w:t>
      </w:r>
      <w:r w:rsidRPr="000F0299">
        <w:t xml:space="preserve"> циља реформе П</w:t>
      </w:r>
      <w:r>
        <w:t>ореске управе</w:t>
      </w:r>
      <w:r w:rsidRPr="000F0299">
        <w:t>: модерна и ефикасна П</w:t>
      </w:r>
      <w:r>
        <w:t>ореска управа</w:t>
      </w:r>
      <w:r w:rsidRPr="000F0299">
        <w:t xml:space="preserve"> у 2025. Години</w:t>
      </w:r>
      <w:r>
        <w:t>,</w:t>
      </w:r>
      <w:r w:rsidRPr="000F0299">
        <w:t xml:space="preserve"> која обезбеђује стабилност и предвидљивост јавних финансија, чије су услуге у сваком тренутку видљиве, присутне и доступне пореским обвезницима, која представља природно окружење пореских обвезника и која </w:t>
      </w:r>
      <w:r>
        <w:t xml:space="preserve">представља </w:t>
      </w:r>
      <w:r w:rsidRPr="000F0299">
        <w:t xml:space="preserve">интересе и потребе пословних субјеката Министарству финансија и Влади. Пореској администрацији недостају административни капацитети и поред </w:t>
      </w:r>
      <w:r>
        <w:t xml:space="preserve">тога што су </w:t>
      </w:r>
      <w:r w:rsidRPr="000F0299">
        <w:t>2018. годин</w:t>
      </w:r>
      <w:r>
        <w:t>е запослени нови службеници</w:t>
      </w:r>
      <w:r w:rsidRPr="000F0299">
        <w:t>.</w:t>
      </w:r>
      <w:r w:rsidRPr="000F0299">
        <w:rPr>
          <w:vertAlign w:val="superscript"/>
        </w:rPr>
        <w:footnoteReference w:id="298"/>
      </w:r>
      <w:r w:rsidRPr="000F0299">
        <w:t xml:space="preserve"> </w:t>
      </w:r>
    </w:p>
    <w:p w14:paraId="4031A291" w14:textId="77777777" w:rsidR="00BE0973" w:rsidRPr="000F0299" w:rsidRDefault="00BE0973" w:rsidP="00BE0973">
      <w:r w:rsidRPr="000F0299">
        <w:t xml:space="preserve">Управа царина планира да настави са започетим активностима на аутоматизацији пословних процеса, тј. </w:t>
      </w:r>
      <w:r>
        <w:t>да уведе</w:t>
      </w:r>
      <w:r w:rsidRPr="000F0299">
        <w:t xml:space="preserve"> аутоматск</w:t>
      </w:r>
      <w:r>
        <w:t>и</w:t>
      </w:r>
      <w:r w:rsidRPr="000F0299">
        <w:t xml:space="preserve"> извозн</w:t>
      </w:r>
      <w:r>
        <w:t>и</w:t>
      </w:r>
      <w:r w:rsidRPr="000F0299">
        <w:t xml:space="preserve"> и увозн</w:t>
      </w:r>
      <w:r>
        <w:t>и</w:t>
      </w:r>
      <w:r w:rsidRPr="000F0299">
        <w:t xml:space="preserve"> систем и систем управљања царинским одлукама</w:t>
      </w:r>
      <w:r>
        <w:t xml:space="preserve">, што су предуслови </w:t>
      </w:r>
      <w:r w:rsidRPr="000F0299">
        <w:t>за приступање ЕУ</w:t>
      </w:r>
      <w:r>
        <w:t xml:space="preserve">, као и </w:t>
      </w:r>
      <w:r w:rsidRPr="000F0299">
        <w:t xml:space="preserve">да настави рад на локалном повезивању свих неопходних ИТ система </w:t>
      </w:r>
      <w:r>
        <w:t xml:space="preserve">како би били </w:t>
      </w:r>
      <w:r w:rsidRPr="000F0299">
        <w:t>интероперабилни са ИТ системима</w:t>
      </w:r>
      <w:r w:rsidRPr="00EE0761">
        <w:t xml:space="preserve"> </w:t>
      </w:r>
      <w:r w:rsidRPr="000F0299">
        <w:t xml:space="preserve">ЕУ. </w:t>
      </w:r>
      <w:r>
        <w:t>Ти</w:t>
      </w:r>
      <w:r w:rsidRPr="000F0299">
        <w:t xml:space="preserve"> ИТ систем</w:t>
      </w:r>
      <w:r>
        <w:t>и</w:t>
      </w:r>
      <w:r w:rsidRPr="000F0299">
        <w:t xml:space="preserve"> </w:t>
      </w:r>
      <w:r>
        <w:t xml:space="preserve">треба да буду успостављени </w:t>
      </w:r>
      <w:r w:rsidRPr="000F0299">
        <w:t>као и раније</w:t>
      </w:r>
      <w:r>
        <w:t xml:space="preserve"> –</w:t>
      </w:r>
      <w:r w:rsidRPr="000F0299">
        <w:t xml:space="preserve"> уз подршку </w:t>
      </w:r>
      <w:r w:rsidRPr="00A967A7">
        <w:rPr>
          <w:i/>
          <w:lang w:val="sr-Latn-RS"/>
        </w:rPr>
        <w:t>IPA</w:t>
      </w:r>
      <w:r w:rsidRPr="000F0299">
        <w:t xml:space="preserve"> фондова и пројектно руковођење међународних организација и дон</w:t>
      </w:r>
      <w:r>
        <w:t>ат</w:t>
      </w:r>
      <w:r w:rsidRPr="000F0299">
        <w:t>ора.</w:t>
      </w:r>
    </w:p>
    <w:p w14:paraId="4B367290" w14:textId="77777777" w:rsidR="00BE0973" w:rsidRPr="000F0299" w:rsidRDefault="00BE0973" w:rsidP="00BE0973">
      <w:r w:rsidRPr="000F0299">
        <w:t xml:space="preserve">Поред техничких унапређења, Управа царина </w:t>
      </w:r>
      <w:r>
        <w:t xml:space="preserve">треба да непрекидно </w:t>
      </w:r>
      <w:r w:rsidRPr="000F0299">
        <w:t>јача капацитет</w:t>
      </w:r>
      <w:r>
        <w:t>е</w:t>
      </w:r>
      <w:r w:rsidRPr="000F0299">
        <w:t xml:space="preserve"> и модерниз</w:t>
      </w:r>
      <w:r>
        <w:t xml:space="preserve">ује </w:t>
      </w:r>
      <w:r w:rsidRPr="000F0299">
        <w:t>пословн</w:t>
      </w:r>
      <w:r>
        <w:t>е</w:t>
      </w:r>
      <w:r w:rsidRPr="000F0299">
        <w:t xml:space="preserve"> процес</w:t>
      </w:r>
      <w:r>
        <w:t xml:space="preserve">е, што </w:t>
      </w:r>
      <w:r w:rsidRPr="000F0299">
        <w:t>произлаз</w:t>
      </w:r>
      <w:r>
        <w:t>и</w:t>
      </w:r>
      <w:r w:rsidRPr="000F0299">
        <w:t xml:space="preserve"> не само из обавеза Поглавља 29 – Царинска унија већ и из поглавља 33, 23, 24 и 28, као и поглавља 1, 7, 16, 18, 27 и 30.</w:t>
      </w:r>
    </w:p>
    <w:p w14:paraId="02D5C8A5" w14:textId="77777777" w:rsidR="00BE0973" w:rsidRPr="000F0299" w:rsidRDefault="00BE0973" w:rsidP="00BE0973">
      <w:r w:rsidRPr="000F0299">
        <w:t xml:space="preserve">У фебруару 2020. </w:t>
      </w:r>
      <w:r>
        <w:t>г</w:t>
      </w:r>
      <w:r w:rsidRPr="000F0299">
        <w:t>одине</w:t>
      </w:r>
      <w:r>
        <w:t xml:space="preserve"> донета су</w:t>
      </w:r>
      <w:r w:rsidRPr="000F0299">
        <w:t xml:space="preserve"> два битна стратешка документа: Пословни план за унапређење организације и рада царинске службе МФ 2020–2024</w:t>
      </w:r>
      <w:r>
        <w:t>.</w:t>
      </w:r>
      <w:r w:rsidRPr="000F0299">
        <w:t xml:space="preserve"> и План рада за развој и коришћење електронских система царинске службе МФ 2020–2024</w:t>
      </w:r>
      <w:r>
        <w:t>.</w:t>
      </w:r>
      <w:r w:rsidRPr="000F0299">
        <w:t xml:space="preserve"> Оба документа су </w:t>
      </w:r>
      <w:r>
        <w:t xml:space="preserve">израђена су </w:t>
      </w:r>
      <w:r w:rsidRPr="000F0299">
        <w:t xml:space="preserve">у складу са препорукама ЕК из годишњег извештаја о напретку, </w:t>
      </w:r>
      <w:r>
        <w:t>а</w:t>
      </w:r>
      <w:r w:rsidRPr="000F0299">
        <w:t xml:space="preserve"> дигитализација и развој ИТК су </w:t>
      </w:r>
      <w:r>
        <w:t xml:space="preserve">у њима </w:t>
      </w:r>
      <w:r w:rsidRPr="000F0299">
        <w:t>најбитнији сегменти.</w:t>
      </w:r>
    </w:p>
    <w:p w14:paraId="5E7F1C9C" w14:textId="77777777" w:rsidR="00BE0973" w:rsidRPr="000F0299" w:rsidRDefault="00BE0973" w:rsidP="00BE0973">
      <w:r w:rsidRPr="000F0299">
        <w:t>У управљањ</w:t>
      </w:r>
      <w:r>
        <w:t>у</w:t>
      </w:r>
      <w:r w:rsidRPr="000F0299">
        <w:t xml:space="preserve"> системом јавних набавки велики изазов представља </w:t>
      </w:r>
      <w:r w:rsidRPr="000F0299">
        <w:rPr>
          <w:bCs/>
        </w:rPr>
        <w:t>унапређење е-набавки</w:t>
      </w:r>
      <w:r w:rsidRPr="000F0299">
        <w:t xml:space="preserve"> и свеобухватног система мониторинга заснованог на анализи прикупљених података.</w:t>
      </w:r>
      <w:r w:rsidRPr="000F0299">
        <w:rPr>
          <w:vertAlign w:val="superscript"/>
        </w:rPr>
        <w:footnoteReference w:id="299"/>
      </w:r>
      <w:r w:rsidRPr="000F0299">
        <w:t xml:space="preserve"> Административни капацитети Канцеларије за јавне набавке су унапређени након </w:t>
      </w:r>
      <w:r>
        <w:t xml:space="preserve">доношења </w:t>
      </w:r>
      <w:r w:rsidRPr="000F0299">
        <w:t xml:space="preserve">Правилника о систематизацији радних места, a Републичка комисија за заштиту права у поступцима јавних набавки још не поседује довољне ресурсе и потребан број запослених на неодређено време. Нагласак </w:t>
      </w:r>
      <w:r>
        <w:t xml:space="preserve">је и даље на </w:t>
      </w:r>
      <w:r w:rsidRPr="000F0299">
        <w:t>процедуралн</w:t>
      </w:r>
      <w:r>
        <w:t>им</w:t>
      </w:r>
      <w:r w:rsidRPr="000F0299">
        <w:t xml:space="preserve"> аспект</w:t>
      </w:r>
      <w:r>
        <w:t xml:space="preserve">има, а не </w:t>
      </w:r>
      <w:r w:rsidRPr="000F0299">
        <w:t>на остварењ</w:t>
      </w:r>
      <w:r>
        <w:t>у</w:t>
      </w:r>
      <w:r w:rsidRPr="000F0299">
        <w:t xml:space="preserve"> учинка.</w:t>
      </w:r>
      <w:r w:rsidRPr="000F0299">
        <w:rPr>
          <w:vertAlign w:val="superscript"/>
        </w:rPr>
        <w:footnoteReference w:id="300"/>
      </w:r>
      <w:r w:rsidRPr="000F0299">
        <w:t xml:space="preserve"> </w:t>
      </w:r>
    </w:p>
    <w:p w14:paraId="4D796F21" w14:textId="77777777" w:rsidR="00BE0973" w:rsidRPr="000F0299" w:rsidRDefault="00BE0973" w:rsidP="00BE0973">
      <w:pPr>
        <w:sectPr w:rsidR="00BE0973" w:rsidRPr="000F0299">
          <w:headerReference w:type="default" r:id="rId159"/>
          <w:footerReference w:type="default" r:id="rId160"/>
          <w:pgSz w:w="11906" w:h="16838"/>
          <w:pgMar w:top="1417" w:right="1417" w:bottom="1134" w:left="1417" w:header="708" w:footer="708" w:gutter="0"/>
          <w:cols w:space="708"/>
          <w:docGrid w:linePitch="360"/>
        </w:sectPr>
      </w:pPr>
      <w:r w:rsidRPr="000F0299">
        <w:t xml:space="preserve">Упркос чињеници да </w:t>
      </w:r>
      <w:r>
        <w:t>ФУК</w:t>
      </w:r>
      <w:r w:rsidRPr="000F0299">
        <w:t xml:space="preserve"> константно и стабилно напредује, потребно је да се основн</w:t>
      </w:r>
      <w:r>
        <w:t>и</w:t>
      </w:r>
      <w:r w:rsidRPr="000F0299">
        <w:t xml:space="preserve"> програм обуке </w:t>
      </w:r>
      <w:r>
        <w:t xml:space="preserve">што пре пренесе </w:t>
      </w:r>
      <w:r w:rsidRPr="000F0299">
        <w:t>из ЦЈХ у НАЈУ како би се омогући</w:t>
      </w:r>
      <w:r>
        <w:t>л</w:t>
      </w:r>
      <w:r w:rsidRPr="000F0299">
        <w:t xml:space="preserve">о ЦЈХ </w:t>
      </w:r>
      <w:r>
        <w:t xml:space="preserve">да се усредсреди </w:t>
      </w:r>
      <w:r w:rsidRPr="000F0299">
        <w:t xml:space="preserve">на праћење </w:t>
      </w:r>
      <w:r>
        <w:t>ФУК</w:t>
      </w:r>
      <w:r w:rsidRPr="000F0299">
        <w:t xml:space="preserve"> и даљи развој методолошк</w:t>
      </w:r>
      <w:r>
        <w:t>ог</w:t>
      </w:r>
      <w:r w:rsidRPr="000F0299">
        <w:t xml:space="preserve"> материјала. Контрола квалитета ФУК и интерне ревизије постала </w:t>
      </w:r>
      <w:r>
        <w:t xml:space="preserve">је обавезна </w:t>
      </w:r>
      <w:r w:rsidRPr="000F0299">
        <w:t xml:space="preserve">активност ЦЈХ. Даља побољшања квалитета интерне ревизије су потребна – даља унапређења капацитета интерних ревизора паралелно са екстерном провером квалитета методом независних рецензија. Потребно је успоставити аутоматску функцију праћења препорука које се односе на слабости интерне ревизије. </w:t>
      </w:r>
      <w:r>
        <w:t>Непрекидно</w:t>
      </w:r>
      <w:r w:rsidRPr="000F0299">
        <w:t xml:space="preserve"> подизање свести о </w:t>
      </w:r>
      <w:r>
        <w:t>ФУК</w:t>
      </w:r>
      <w:r w:rsidRPr="000F0299">
        <w:t xml:space="preserve"> је неопходно неовисно да ли програме обуке организује ЦЈХ или НАЈУ, па је потребно да ЦЈХ обликује садржај и усмерава нове програме обука НАЈУ како би се осигурала њихова усклађеност са међународним стандардима и принципима у области </w:t>
      </w:r>
      <w:r>
        <w:t>ФУК</w:t>
      </w:r>
      <w:r w:rsidRPr="000F0299">
        <w:t>.</w:t>
      </w:r>
    </w:p>
    <w:p w14:paraId="374BB8AF" w14:textId="56E33DE5" w:rsidR="0044238D" w:rsidRPr="000F0299" w:rsidRDefault="0044238D" w:rsidP="00244E7C">
      <w:pPr>
        <w:sectPr w:rsidR="0044238D" w:rsidRPr="000F0299">
          <w:headerReference w:type="default" r:id="rId161"/>
          <w:footerReference w:type="default" r:id="rId162"/>
          <w:pgSz w:w="11906" w:h="16838"/>
          <w:pgMar w:top="1417" w:right="1417" w:bottom="1134" w:left="1417" w:header="708" w:footer="708" w:gutter="0"/>
          <w:cols w:space="708"/>
          <w:docGrid w:linePitch="360"/>
        </w:sectPr>
      </w:pPr>
    </w:p>
    <w:p w14:paraId="457AB7E8" w14:textId="092B4D43" w:rsidR="007B1A69" w:rsidRPr="000F0299" w:rsidRDefault="00CB1AD5" w:rsidP="002324BC">
      <w:pPr>
        <w:pStyle w:val="Heading3"/>
        <w:rPr>
          <w:lang w:val="sr-Cyrl-RS"/>
        </w:rPr>
      </w:pPr>
      <w:bookmarkStart w:id="252" w:name="_Toc57661495"/>
      <w:bookmarkStart w:id="253" w:name="_Hlk53494956"/>
      <w:r w:rsidRPr="000F0299">
        <w:rPr>
          <w:lang w:val="sr-Cyrl-RS"/>
        </w:rPr>
        <w:t xml:space="preserve">Дрво проблема – </w:t>
      </w:r>
      <w:r w:rsidR="000D7EF9" w:rsidRPr="000F0299">
        <w:rPr>
          <w:lang w:val="sr-Cyrl-RS"/>
        </w:rPr>
        <w:t>У</w:t>
      </w:r>
      <w:r w:rsidRPr="000F0299">
        <w:rPr>
          <w:lang w:val="sr-Cyrl-RS"/>
        </w:rPr>
        <w:t>прављање јавним финансијама</w:t>
      </w:r>
      <w:bookmarkEnd w:id="252"/>
      <w:r w:rsidR="007B1A69" w:rsidRPr="000F0299">
        <w:rPr>
          <w:lang w:val="sr-Cyrl-RS"/>
        </w:rPr>
        <w:t xml:space="preserve"> </w:t>
      </w:r>
    </w:p>
    <w:p w14:paraId="7A3A495F" w14:textId="5D4FDA5F" w:rsidR="007B1A69" w:rsidRPr="000F0299" w:rsidRDefault="00E2152B"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03456" behindDoc="0" locked="0" layoutInCell="1" allowOverlap="1" wp14:anchorId="184B336F" wp14:editId="76FA77C4">
                <wp:simplePos x="0" y="0"/>
                <wp:positionH relativeFrom="column">
                  <wp:posOffset>-377190</wp:posOffset>
                </wp:positionH>
                <wp:positionV relativeFrom="paragraph">
                  <wp:posOffset>161290</wp:posOffset>
                </wp:positionV>
                <wp:extent cx="2491740" cy="723900"/>
                <wp:effectExtent l="0" t="0" r="22860" b="19050"/>
                <wp:wrapNone/>
                <wp:docPr id="527" name="Text Box 527"/>
                <wp:cNvGraphicFramePr/>
                <a:graphic xmlns:a="http://schemas.openxmlformats.org/drawingml/2006/main">
                  <a:graphicData uri="http://schemas.microsoft.com/office/word/2010/wordprocessingShape">
                    <wps:wsp>
                      <wps:cNvSpPr txBox="1"/>
                      <wps:spPr>
                        <a:xfrm>
                          <a:off x="0" y="0"/>
                          <a:ext cx="2491740" cy="723900"/>
                        </a:xfrm>
                        <a:prstGeom prst="roundRect">
                          <a:avLst/>
                        </a:prstGeom>
                        <a:solidFill>
                          <a:sysClr val="window" lastClr="FFFFFF"/>
                        </a:solidFill>
                        <a:ln w="19050">
                          <a:solidFill>
                            <a:srgbClr val="839DCC"/>
                          </a:solidFill>
                        </a:ln>
                        <a:effectLst/>
                      </wps:spPr>
                      <wps:txbx>
                        <w:txbxContent>
                          <w:p w14:paraId="617660EE" w14:textId="77777777" w:rsidR="00876FFE" w:rsidRPr="00FD419E" w:rsidRDefault="00876FFE" w:rsidP="007B1A69">
                            <w:pPr>
                              <w:jc w:val="center"/>
                              <w:rPr>
                                <w:rFonts w:asciiTheme="minorHAnsi" w:hAnsiTheme="minorHAnsi" w:cstheme="minorHAnsi"/>
                                <w:sz w:val="22"/>
                                <w:szCs w:val="22"/>
                                <w:lang w:val="uz-Cyrl-UZ"/>
                              </w:rPr>
                            </w:pPr>
                            <w:r w:rsidRPr="00FD419E">
                              <w:rPr>
                                <w:rFonts w:asciiTheme="minorHAnsi" w:hAnsiTheme="minorHAnsi" w:cstheme="minorHAnsi"/>
                                <w:sz w:val="22"/>
                                <w:szCs w:val="22"/>
                                <w:lang w:val="sr"/>
                              </w:rPr>
                              <w:t>Буџетско планирање и управљање јавним инвестицијама нису у потпуности развијени</w:t>
                            </w:r>
                            <w:r w:rsidRPr="00FD419E">
                              <w:rPr>
                                <w:rFonts w:asciiTheme="minorHAnsi" w:hAnsiTheme="minorHAnsi" w:cstheme="minorHAnsi"/>
                                <w:sz w:val="22"/>
                                <w:szCs w:val="22"/>
                                <w:lang w:val="uz-Cyrl-UZ"/>
                              </w:rPr>
                              <w:t xml:space="preserve"> </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4B336F" id="Text Box 527" o:spid="_x0000_s1335" style="position:absolute;left:0;text-align:left;margin-left:-29.7pt;margin-top:12.7pt;width:196.2pt;height:57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" fillcolor="window" strokecolor="#839dcc" strokeweight="1.5pt">
                <v:textbox inset="0,0,1mm,0">
                  <w:txbxContent>
                    <w:p w14:paraId="617660EE" w14:textId="77777777" w:rsidR="00876FFE" w:rsidRPr="00FD419E" w:rsidRDefault="00876FFE" w:rsidP="007B1A69">
                      <w:pPr>
                        <w:jc w:val="center"/>
                        <w:rPr>
                          <w:rFonts w:asciiTheme="minorHAnsi" w:hAnsiTheme="minorHAnsi" w:cstheme="minorHAnsi"/>
                          <w:sz w:val="22"/>
                          <w:szCs w:val="22"/>
                          <w:lang w:val="uz-Cyrl-UZ"/>
                        </w:rPr>
                      </w:pPr>
                      <w:r w:rsidRPr="00FD419E">
                        <w:rPr>
                          <w:rFonts w:asciiTheme="minorHAnsi" w:hAnsiTheme="minorHAnsi" w:cstheme="minorHAnsi"/>
                          <w:sz w:val="22"/>
                          <w:szCs w:val="22"/>
                          <w:lang w:val="sr"/>
                        </w:rPr>
                        <w:t>Буџетско планирање и управљање јавним инвестицијама нису у потпуности развијени</w:t>
                      </w:r>
                      <w:r w:rsidRPr="00FD419E">
                        <w:rPr>
                          <w:rFonts w:asciiTheme="minorHAnsi" w:hAnsiTheme="minorHAnsi" w:cstheme="minorHAnsi"/>
                          <w:sz w:val="22"/>
                          <w:szCs w:val="22"/>
                          <w:lang w:val="uz-Cyrl-UZ"/>
                        </w:rPr>
                        <w:t xml:space="preserve"> </w:t>
                      </w:r>
                    </w:p>
                  </w:txbxContent>
                </v:textbox>
              </v:roundrect>
            </w:pict>
          </mc:Fallback>
        </mc:AlternateContent>
      </w:r>
    </w:p>
    <w:p w14:paraId="291DCAEF" w14:textId="5D44C5E2" w:rsidR="007B1A69" w:rsidRPr="000F0299" w:rsidRDefault="00E2152B"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12672" behindDoc="0" locked="0" layoutInCell="1" allowOverlap="1" wp14:anchorId="5CF0EFA4" wp14:editId="01D18355">
                <wp:simplePos x="0" y="0"/>
                <wp:positionH relativeFrom="margin">
                  <wp:posOffset>5414010</wp:posOffset>
                </wp:positionH>
                <wp:positionV relativeFrom="paragraph">
                  <wp:posOffset>15240</wp:posOffset>
                </wp:positionV>
                <wp:extent cx="2832100" cy="739140"/>
                <wp:effectExtent l="0" t="0" r="25400" b="22860"/>
                <wp:wrapNone/>
                <wp:docPr id="524" name="Text Box 524"/>
                <wp:cNvGraphicFramePr/>
                <a:graphic xmlns:a="http://schemas.openxmlformats.org/drawingml/2006/main">
                  <a:graphicData uri="http://schemas.microsoft.com/office/word/2010/wordprocessingShape">
                    <wps:wsp>
                      <wps:cNvSpPr txBox="1"/>
                      <wps:spPr>
                        <a:xfrm>
                          <a:off x="0" y="0"/>
                          <a:ext cx="2832100" cy="739140"/>
                        </a:xfrm>
                        <a:prstGeom prst="roundRect">
                          <a:avLst/>
                        </a:prstGeom>
                        <a:solidFill>
                          <a:sysClr val="window" lastClr="FFFFFF"/>
                        </a:solidFill>
                        <a:ln w="19050">
                          <a:solidFill>
                            <a:srgbClr val="839DCC"/>
                          </a:solidFill>
                        </a:ln>
                        <a:effectLst/>
                      </wps:spPr>
                      <wps:txbx>
                        <w:txbxContent>
                          <w:p w14:paraId="59FAB64A" w14:textId="77777777" w:rsidR="00876FFE" w:rsidRPr="00FD419E" w:rsidRDefault="00876FFE" w:rsidP="007B1A69">
                            <w:pPr>
                              <w:jc w:val="center"/>
                              <w:rPr>
                                <w:rFonts w:asciiTheme="minorHAnsi" w:hAnsiTheme="minorHAnsi" w:cstheme="minorHAnsi"/>
                                <w:sz w:val="22"/>
                                <w:szCs w:val="22"/>
                              </w:rPr>
                            </w:pPr>
                            <w:r w:rsidRPr="00FD419E">
                              <w:rPr>
                                <w:rFonts w:asciiTheme="minorHAnsi" w:hAnsiTheme="minorHAnsi" w:cstheme="minorHAnsi"/>
                                <w:sz w:val="22"/>
                                <w:szCs w:val="22"/>
                              </w:rPr>
                              <w:t>Недовољно развијена и ефикасна интерна финансијска контрола у јавном сектору</w:t>
                            </w:r>
                          </w:p>
                          <w:p w14:paraId="023029A0" w14:textId="77777777" w:rsidR="00876FFE" w:rsidRPr="00FD419E" w:rsidRDefault="00876FFE" w:rsidP="007B1A69">
                            <w:pPr>
                              <w:jc w:val="center"/>
                              <w:rPr>
                                <w:rFonts w:asciiTheme="minorHAnsi" w:hAnsiTheme="minorHAnsi" w:cstheme="minorHAnsi"/>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F0EFA4" id="Text Box 524" o:spid="_x0000_s1336" style="position:absolute;left:0;text-align:left;margin-left:426.3pt;margin-top:1.2pt;width:223pt;height:58.2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" fillcolor="window" strokecolor="#839dcc" strokeweight="1.5pt">
                <v:textbox inset="0,0,1mm,0">
                  <w:txbxContent>
                    <w:p w14:paraId="59FAB64A" w14:textId="77777777" w:rsidR="00876FFE" w:rsidRPr="00FD419E" w:rsidRDefault="00876FFE" w:rsidP="007B1A69">
                      <w:pPr>
                        <w:jc w:val="center"/>
                        <w:rPr>
                          <w:rFonts w:asciiTheme="minorHAnsi" w:hAnsiTheme="minorHAnsi" w:cstheme="minorHAnsi"/>
                          <w:sz w:val="22"/>
                          <w:szCs w:val="22"/>
                        </w:rPr>
                      </w:pPr>
                      <w:r w:rsidRPr="00FD419E">
                        <w:rPr>
                          <w:rFonts w:asciiTheme="minorHAnsi" w:hAnsiTheme="minorHAnsi" w:cstheme="minorHAnsi"/>
                          <w:sz w:val="22"/>
                          <w:szCs w:val="22"/>
                        </w:rPr>
                        <w:t>Недовољно развијена и ефикасна интерна финансијска контрола у јавном сектору</w:t>
                      </w:r>
                    </w:p>
                    <w:p w14:paraId="023029A0" w14:textId="77777777" w:rsidR="00876FFE" w:rsidRPr="00FD419E" w:rsidRDefault="00876FFE" w:rsidP="007B1A69">
                      <w:pPr>
                        <w:jc w:val="center"/>
                        <w:rPr>
                          <w:rFonts w:asciiTheme="minorHAnsi" w:hAnsiTheme="minorHAnsi" w:cstheme="minorHAnsi"/>
                          <w:sz w:val="22"/>
                          <w:szCs w:val="22"/>
                        </w:rPr>
                      </w:pPr>
                    </w:p>
                  </w:txbxContent>
                </v:textbox>
                <w10:wrap anchorx="margin"/>
              </v:roundrect>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11648" behindDoc="0" locked="0" layoutInCell="1" allowOverlap="1" wp14:anchorId="7978AD30" wp14:editId="5DA8015C">
                <wp:simplePos x="0" y="0"/>
                <wp:positionH relativeFrom="column">
                  <wp:posOffset>8423910</wp:posOffset>
                </wp:positionH>
                <wp:positionV relativeFrom="paragraph">
                  <wp:posOffset>15240</wp:posOffset>
                </wp:positionV>
                <wp:extent cx="2637790" cy="723900"/>
                <wp:effectExtent l="0" t="0" r="10160" b="19050"/>
                <wp:wrapNone/>
                <wp:docPr id="525" name="Text Box 525"/>
                <wp:cNvGraphicFramePr/>
                <a:graphic xmlns:a="http://schemas.openxmlformats.org/drawingml/2006/main">
                  <a:graphicData uri="http://schemas.microsoft.com/office/word/2010/wordprocessingShape">
                    <wps:wsp>
                      <wps:cNvSpPr txBox="1"/>
                      <wps:spPr>
                        <a:xfrm>
                          <a:off x="0" y="0"/>
                          <a:ext cx="2637790" cy="723900"/>
                        </a:xfrm>
                        <a:prstGeom prst="roundRect">
                          <a:avLst/>
                        </a:prstGeom>
                        <a:solidFill>
                          <a:sysClr val="window" lastClr="FFFFFF"/>
                        </a:solidFill>
                        <a:ln w="19050">
                          <a:solidFill>
                            <a:srgbClr val="839DCC"/>
                          </a:solidFill>
                        </a:ln>
                        <a:effectLst/>
                      </wps:spPr>
                      <wps:txbx>
                        <w:txbxContent>
                          <w:p w14:paraId="5B1D9D00" w14:textId="1E666083" w:rsidR="00876FFE" w:rsidRPr="00E2152B" w:rsidRDefault="00876FFE" w:rsidP="00E2152B">
                            <w:pPr>
                              <w:jc w:val="center"/>
                              <w:rPr>
                                <w:rFonts w:asciiTheme="minorHAnsi" w:hAnsiTheme="minorHAnsi" w:cstheme="minorHAnsi"/>
                                <w:sz w:val="22"/>
                                <w:szCs w:val="22"/>
                                <w:lang w:val="sr"/>
                              </w:rPr>
                            </w:pPr>
                            <w:r w:rsidRPr="00FD419E">
                              <w:rPr>
                                <w:rFonts w:asciiTheme="minorHAnsi" w:hAnsiTheme="minorHAnsi" w:cstheme="minorHAnsi"/>
                                <w:sz w:val="22"/>
                                <w:szCs w:val="22"/>
                              </w:rPr>
                              <w:t>Недовољно унапређена</w:t>
                            </w:r>
                            <w:r w:rsidRPr="00FD419E">
                              <w:rPr>
                                <w:rFonts w:asciiTheme="minorHAnsi" w:hAnsiTheme="minorHAnsi" w:cstheme="minorHAnsi"/>
                                <w:sz w:val="22"/>
                                <w:szCs w:val="22"/>
                                <w:lang w:val="sr"/>
                              </w:rPr>
                              <w:t xml:space="preserve"> контрола јавних средстава</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78AD30" id="Text Box 525" o:spid="_x0000_s1337" style="position:absolute;left:0;text-align:left;margin-left:663.3pt;margin-top:1.2pt;width:207.7pt;height:57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" fillcolor="window" strokecolor="#839dcc" strokeweight="1.5pt">
                <v:textbox inset="0,0,1mm,0">
                  <w:txbxContent>
                    <w:p w14:paraId="5B1D9D00" w14:textId="1E666083" w:rsidR="00876FFE" w:rsidRPr="00E2152B" w:rsidRDefault="00876FFE" w:rsidP="00E2152B">
                      <w:pPr>
                        <w:jc w:val="center"/>
                        <w:rPr>
                          <w:rFonts w:asciiTheme="minorHAnsi" w:hAnsiTheme="minorHAnsi" w:cstheme="minorHAnsi"/>
                          <w:sz w:val="22"/>
                          <w:szCs w:val="22"/>
                          <w:lang w:val="sr"/>
                        </w:rPr>
                      </w:pPr>
                      <w:r w:rsidRPr="00FD419E">
                        <w:rPr>
                          <w:rFonts w:asciiTheme="minorHAnsi" w:hAnsiTheme="minorHAnsi" w:cstheme="minorHAnsi"/>
                          <w:sz w:val="22"/>
                          <w:szCs w:val="22"/>
                        </w:rPr>
                        <w:t xml:space="preserve">Недовољно </w:t>
                      </w:r>
                      <w:r w:rsidRPr="00FD419E">
                        <w:rPr>
                          <w:rFonts w:asciiTheme="minorHAnsi" w:hAnsiTheme="minorHAnsi" w:cstheme="minorHAnsi"/>
                          <w:sz w:val="22"/>
                          <w:szCs w:val="22"/>
                        </w:rPr>
                        <w:t>унапређена</w:t>
                      </w:r>
                      <w:r w:rsidRPr="00FD419E">
                        <w:rPr>
                          <w:rFonts w:asciiTheme="minorHAnsi" w:hAnsiTheme="minorHAnsi" w:cstheme="minorHAnsi"/>
                          <w:sz w:val="22"/>
                          <w:szCs w:val="22"/>
                          <w:lang w:val="sr"/>
                        </w:rPr>
                        <w:t xml:space="preserve"> контрола јавних средстава</w:t>
                      </w:r>
                    </w:p>
                  </w:txbxContent>
                </v:textbox>
              </v:roundrect>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10624" behindDoc="0" locked="0" layoutInCell="1" allowOverlap="1" wp14:anchorId="30EC75C2" wp14:editId="11490A15">
                <wp:simplePos x="0" y="0"/>
                <wp:positionH relativeFrom="column">
                  <wp:posOffset>11217910</wp:posOffset>
                </wp:positionH>
                <wp:positionV relativeFrom="paragraph">
                  <wp:posOffset>40640</wp:posOffset>
                </wp:positionV>
                <wp:extent cx="2542540" cy="723900"/>
                <wp:effectExtent l="0" t="0" r="10160" b="19050"/>
                <wp:wrapNone/>
                <wp:docPr id="528" name="Text Box 528"/>
                <wp:cNvGraphicFramePr/>
                <a:graphic xmlns:a="http://schemas.openxmlformats.org/drawingml/2006/main">
                  <a:graphicData uri="http://schemas.microsoft.com/office/word/2010/wordprocessingShape">
                    <wps:wsp>
                      <wps:cNvSpPr txBox="1"/>
                      <wps:spPr>
                        <a:xfrm>
                          <a:off x="0" y="0"/>
                          <a:ext cx="2542540" cy="723900"/>
                        </a:xfrm>
                        <a:prstGeom prst="roundRect">
                          <a:avLst/>
                        </a:prstGeom>
                        <a:solidFill>
                          <a:sysClr val="window" lastClr="FFFFFF"/>
                        </a:solidFill>
                        <a:ln w="19050">
                          <a:solidFill>
                            <a:srgbClr val="839DCC"/>
                          </a:solidFill>
                        </a:ln>
                        <a:effectLst/>
                      </wps:spPr>
                      <wps:txbx>
                        <w:txbxContent>
                          <w:p w14:paraId="0CB99274" w14:textId="77777777" w:rsidR="00876FFE" w:rsidRPr="00FD419E" w:rsidRDefault="00876FFE" w:rsidP="007B1A69">
                            <w:pPr>
                              <w:jc w:val="center"/>
                              <w:rPr>
                                <w:rFonts w:asciiTheme="minorHAnsi" w:hAnsiTheme="minorHAnsi" w:cstheme="minorHAnsi"/>
                                <w:sz w:val="22"/>
                                <w:szCs w:val="22"/>
                                <w:lang w:val="sr"/>
                              </w:rPr>
                            </w:pPr>
                            <w:r w:rsidRPr="00FD419E">
                              <w:rPr>
                                <w:rFonts w:asciiTheme="minorHAnsi" w:hAnsiTheme="minorHAnsi" w:cstheme="minorHAnsi"/>
                                <w:sz w:val="22"/>
                                <w:szCs w:val="22"/>
                                <w:lang w:val="sr"/>
                              </w:rPr>
                              <w:t>Недовољно делотворан екстерни надзор јавних финансија</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EC75C2" id="Text Box 528" o:spid="_x0000_s1338" style="position:absolute;left:0;text-align:left;margin-left:883.3pt;margin-top:3.2pt;width:200.2pt;height:57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" fillcolor="window" strokecolor="#839dcc" strokeweight="1.5pt">
                <v:textbox inset="0,0,1mm,0">
                  <w:txbxContent>
                    <w:p w14:paraId="0CB99274" w14:textId="77777777" w:rsidR="00876FFE" w:rsidRPr="00FD419E" w:rsidRDefault="00876FFE" w:rsidP="007B1A69">
                      <w:pPr>
                        <w:jc w:val="center"/>
                        <w:rPr>
                          <w:rFonts w:asciiTheme="minorHAnsi" w:hAnsiTheme="minorHAnsi" w:cstheme="minorHAnsi"/>
                          <w:sz w:val="22"/>
                          <w:szCs w:val="22"/>
                          <w:lang w:val="sr"/>
                        </w:rPr>
                      </w:pPr>
                      <w:r w:rsidRPr="00FD419E">
                        <w:rPr>
                          <w:rFonts w:asciiTheme="minorHAnsi" w:hAnsiTheme="minorHAnsi" w:cstheme="minorHAnsi"/>
                          <w:sz w:val="22"/>
                          <w:szCs w:val="22"/>
                          <w:lang w:val="sr"/>
                        </w:rPr>
                        <w:t xml:space="preserve">Недовољно </w:t>
                      </w:r>
                      <w:r w:rsidRPr="00FD419E">
                        <w:rPr>
                          <w:rFonts w:asciiTheme="minorHAnsi" w:hAnsiTheme="minorHAnsi" w:cstheme="minorHAnsi"/>
                          <w:sz w:val="22"/>
                          <w:szCs w:val="22"/>
                          <w:lang w:val="sr"/>
                        </w:rPr>
                        <w:t>делотворан екстерни надзор јавних финансија</w:t>
                      </w:r>
                    </w:p>
                  </w:txbxContent>
                </v:textbox>
              </v:roundrect>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09600" behindDoc="0" locked="0" layoutInCell="1" allowOverlap="1" wp14:anchorId="7C98B78B" wp14:editId="3A148213">
                <wp:simplePos x="0" y="0"/>
                <wp:positionH relativeFrom="column">
                  <wp:posOffset>2366010</wp:posOffset>
                </wp:positionH>
                <wp:positionV relativeFrom="paragraph">
                  <wp:posOffset>15240</wp:posOffset>
                </wp:positionV>
                <wp:extent cx="2832100" cy="723900"/>
                <wp:effectExtent l="0" t="0" r="25400" b="19050"/>
                <wp:wrapNone/>
                <wp:docPr id="526" name="Text Box 526"/>
                <wp:cNvGraphicFramePr/>
                <a:graphic xmlns:a="http://schemas.openxmlformats.org/drawingml/2006/main">
                  <a:graphicData uri="http://schemas.microsoft.com/office/word/2010/wordprocessingShape">
                    <wps:wsp>
                      <wps:cNvSpPr txBox="1"/>
                      <wps:spPr>
                        <a:xfrm>
                          <a:off x="0" y="0"/>
                          <a:ext cx="2832100" cy="723900"/>
                        </a:xfrm>
                        <a:prstGeom prst="roundRect">
                          <a:avLst/>
                        </a:prstGeom>
                        <a:solidFill>
                          <a:sysClr val="window" lastClr="FFFFFF"/>
                        </a:solidFill>
                        <a:ln w="19050">
                          <a:solidFill>
                            <a:srgbClr val="839DCC"/>
                          </a:solidFill>
                        </a:ln>
                        <a:effectLst/>
                      </wps:spPr>
                      <wps:txbx>
                        <w:txbxContent>
                          <w:p w14:paraId="1A1CE47D" w14:textId="77777777" w:rsidR="00876FFE" w:rsidRPr="00FD419E" w:rsidRDefault="00876FFE" w:rsidP="007B1A69">
                            <w:pPr>
                              <w:jc w:val="center"/>
                              <w:rPr>
                                <w:rFonts w:asciiTheme="minorHAnsi" w:hAnsiTheme="minorHAnsi" w:cstheme="minorHAnsi"/>
                                <w:sz w:val="22"/>
                                <w:szCs w:val="22"/>
                              </w:rPr>
                            </w:pPr>
                            <w:r w:rsidRPr="00FD419E">
                              <w:rPr>
                                <w:rFonts w:asciiTheme="minorHAnsi" w:hAnsiTheme="minorHAnsi" w:cstheme="minorHAnsi"/>
                                <w:sz w:val="22"/>
                                <w:szCs w:val="22"/>
                              </w:rPr>
                              <w:t>Недовољно делотворно трошење јавних средстава</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98B78B" id="Text Box 526" o:spid="_x0000_s1339" style="position:absolute;left:0;text-align:left;margin-left:186.3pt;margin-top:1.2pt;width:223pt;height:57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" fillcolor="window" strokecolor="#839dcc" strokeweight="1.5pt">
                <v:textbox inset="0,0,1mm,0">
                  <w:txbxContent>
                    <w:p w14:paraId="1A1CE47D" w14:textId="77777777" w:rsidR="00876FFE" w:rsidRPr="00FD419E" w:rsidRDefault="00876FFE" w:rsidP="007B1A69">
                      <w:pPr>
                        <w:jc w:val="center"/>
                        <w:rPr>
                          <w:rFonts w:asciiTheme="minorHAnsi" w:hAnsiTheme="minorHAnsi" w:cstheme="minorHAnsi"/>
                          <w:sz w:val="22"/>
                          <w:szCs w:val="22"/>
                        </w:rPr>
                      </w:pPr>
                      <w:r w:rsidRPr="00FD419E">
                        <w:rPr>
                          <w:rFonts w:asciiTheme="minorHAnsi" w:hAnsiTheme="minorHAnsi" w:cstheme="minorHAnsi"/>
                          <w:sz w:val="22"/>
                          <w:szCs w:val="22"/>
                        </w:rPr>
                        <w:t>Недовољно делотворно трошење јавних средстава</w:t>
                      </w:r>
                    </w:p>
                  </w:txbxContent>
                </v:textbox>
              </v:roundrect>
            </w:pict>
          </mc:Fallback>
        </mc:AlternateContent>
      </w:r>
      <w:r w:rsidR="007B1A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15744" behindDoc="0" locked="0" layoutInCell="1" allowOverlap="1" wp14:anchorId="0B523E8F" wp14:editId="3FCEE074">
                <wp:simplePos x="0" y="0"/>
                <wp:positionH relativeFrom="column">
                  <wp:posOffset>3674110</wp:posOffset>
                </wp:positionH>
                <wp:positionV relativeFrom="paragraph">
                  <wp:posOffset>726440</wp:posOffset>
                </wp:positionV>
                <wp:extent cx="0" cy="442595"/>
                <wp:effectExtent l="57150" t="38100" r="57150" b="14605"/>
                <wp:wrapNone/>
                <wp:docPr id="531" name="Straight Arrow Connector 531"/>
                <wp:cNvGraphicFramePr/>
                <a:graphic xmlns:a="http://schemas.openxmlformats.org/drawingml/2006/main">
                  <a:graphicData uri="http://schemas.microsoft.com/office/word/2010/wordprocessingShape">
                    <wps:wsp>
                      <wps:cNvCnPr/>
                      <wps:spPr>
                        <a:xfrm flipV="1">
                          <a:off x="0" y="0"/>
                          <a:ext cx="0" cy="442595"/>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B3F94" id="Straight Arrow Connector 531" o:spid="_x0000_s1026" type="#_x0000_t32" style="position:absolute;margin-left:289.3pt;margin-top:57.2pt;width:0;height:34.85pt;flip:y;z-index:2516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" strokecolor="#839dcc" strokeweight="2.25pt">
                <v:stroke endarrow="block" joinstyle="miter"/>
              </v:shape>
            </w:pict>
          </mc:Fallback>
        </mc:AlternateContent>
      </w:r>
      <w:r w:rsidR="007B1A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14720" behindDoc="0" locked="0" layoutInCell="1" allowOverlap="1" wp14:anchorId="62B3C9EF" wp14:editId="7E859BE7">
                <wp:simplePos x="0" y="0"/>
                <wp:positionH relativeFrom="column">
                  <wp:posOffset>12399010</wp:posOffset>
                </wp:positionH>
                <wp:positionV relativeFrom="paragraph">
                  <wp:posOffset>726440</wp:posOffset>
                </wp:positionV>
                <wp:extent cx="0" cy="442595"/>
                <wp:effectExtent l="57150" t="38100" r="57150" b="14605"/>
                <wp:wrapNone/>
                <wp:docPr id="532" name="Straight Arrow Connector 532"/>
                <wp:cNvGraphicFramePr/>
                <a:graphic xmlns:a="http://schemas.openxmlformats.org/drawingml/2006/main">
                  <a:graphicData uri="http://schemas.microsoft.com/office/word/2010/wordprocessingShape">
                    <wps:wsp>
                      <wps:cNvCnPr/>
                      <wps:spPr>
                        <a:xfrm flipV="1">
                          <a:off x="0" y="0"/>
                          <a:ext cx="0" cy="442595"/>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DEED0" id="Straight Arrow Connector 532" o:spid="_x0000_s1026" type="#_x0000_t32" style="position:absolute;margin-left:976.3pt;margin-top:57.2pt;width:0;height:34.85pt;flip:y;z-index:25161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" strokecolor="#839dcc" strokeweight="2.25pt">
                <v:stroke endarrow="block" joinstyle="miter"/>
              </v:shape>
            </w:pict>
          </mc:Fallback>
        </mc:AlternateContent>
      </w:r>
      <w:r w:rsidR="007B1A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13696" behindDoc="0" locked="0" layoutInCell="1" allowOverlap="1" wp14:anchorId="6A58337E" wp14:editId="66BADDFC">
                <wp:simplePos x="0" y="0"/>
                <wp:positionH relativeFrom="column">
                  <wp:posOffset>762000</wp:posOffset>
                </wp:positionH>
                <wp:positionV relativeFrom="paragraph">
                  <wp:posOffset>729615</wp:posOffset>
                </wp:positionV>
                <wp:extent cx="0" cy="442595"/>
                <wp:effectExtent l="57150" t="38100" r="57150" b="14605"/>
                <wp:wrapNone/>
                <wp:docPr id="533" name="Straight Arrow Connector 533"/>
                <wp:cNvGraphicFramePr/>
                <a:graphic xmlns:a="http://schemas.openxmlformats.org/drawingml/2006/main">
                  <a:graphicData uri="http://schemas.microsoft.com/office/word/2010/wordprocessingShape">
                    <wps:wsp>
                      <wps:cNvCnPr/>
                      <wps:spPr>
                        <a:xfrm flipV="1">
                          <a:off x="0" y="0"/>
                          <a:ext cx="0" cy="442595"/>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E1DF3" id="Straight Arrow Connector 533" o:spid="_x0000_s1026" type="#_x0000_t32" style="position:absolute;margin-left:60pt;margin-top:57.45pt;width:0;height:34.85pt;flip:y;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" strokecolor="#839dcc" strokeweight="2.25pt">
                <v:stroke endarrow="block" joinstyle="miter"/>
              </v:shape>
            </w:pict>
          </mc:Fallback>
        </mc:AlternateContent>
      </w:r>
    </w:p>
    <w:p w14:paraId="76FEEB64" w14:textId="77777777" w:rsidR="007B1A69" w:rsidRPr="000F0299" w:rsidRDefault="007B1A69" w:rsidP="007B1A69">
      <w:pPr>
        <w:tabs>
          <w:tab w:val="left" w:pos="2998"/>
        </w:tabs>
        <w:suppressAutoHyphens w:val="0"/>
        <w:autoSpaceDN/>
        <w:spacing w:before="0" w:after="0"/>
        <w:ind w:firstLine="0"/>
        <w:textAlignment w:val="auto"/>
        <w:rPr>
          <w:rFonts w:eastAsia="Times New Roman"/>
          <w:kern w:val="0"/>
          <w:sz w:val="20"/>
          <w:szCs w:val="20"/>
          <w:lang w:eastAsia="en-GB" w:bidi="ar-SA"/>
        </w:rPr>
      </w:pPr>
      <w:r w:rsidRPr="000F0299">
        <w:rPr>
          <w:rFonts w:eastAsia="Times New Roman"/>
          <w:kern w:val="0"/>
          <w:sz w:val="20"/>
          <w:szCs w:val="20"/>
          <w:lang w:eastAsia="en-GB" w:bidi="ar-SA"/>
        </w:rPr>
        <w:tab/>
      </w:r>
      <w:r w:rsidRPr="000F0299">
        <w:rPr>
          <w:rFonts w:eastAsia="Times New Roman"/>
          <w:kern w:val="0"/>
          <w:sz w:val="20"/>
          <w:lang w:eastAsia="en-GB" w:bidi="ar-SA"/>
        </w:rPr>
        <w:t xml:space="preserve"> </w:t>
      </w:r>
    </w:p>
    <w:p w14:paraId="2C9960DA" w14:textId="77777777"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p>
    <w:p w14:paraId="1325590D" w14:textId="600CE9FC"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p>
    <w:p w14:paraId="1AD5F0A3" w14:textId="32686809" w:rsidR="007B1A69" w:rsidRPr="000F0299" w:rsidRDefault="00E2152B"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17792" behindDoc="0" locked="0" layoutInCell="1" allowOverlap="1" wp14:anchorId="76AFF8C9" wp14:editId="29E2EA22">
                <wp:simplePos x="0" y="0"/>
                <wp:positionH relativeFrom="column">
                  <wp:posOffset>9719310</wp:posOffset>
                </wp:positionH>
                <wp:positionV relativeFrom="paragraph">
                  <wp:posOffset>142875</wp:posOffset>
                </wp:positionV>
                <wp:extent cx="0" cy="442595"/>
                <wp:effectExtent l="57150" t="38100" r="57150" b="14605"/>
                <wp:wrapNone/>
                <wp:docPr id="529" name="Straight Arrow Connector 529"/>
                <wp:cNvGraphicFramePr/>
                <a:graphic xmlns:a="http://schemas.openxmlformats.org/drawingml/2006/main">
                  <a:graphicData uri="http://schemas.microsoft.com/office/word/2010/wordprocessingShape">
                    <wps:wsp>
                      <wps:cNvCnPr/>
                      <wps:spPr>
                        <a:xfrm flipV="1">
                          <a:off x="0" y="0"/>
                          <a:ext cx="0" cy="442595"/>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C46E93" id="Straight Arrow Connector 529" o:spid="_x0000_s1026" type="#_x0000_t32" style="position:absolute;margin-left:765.3pt;margin-top:11.25pt;width:0;height:34.85pt;flip:y;z-index:2516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" strokecolor="#839dcc" strokeweight="2.25pt">
                <v:stroke endarrow="block" joinstyle="miter"/>
              </v:shape>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16768" behindDoc="0" locked="0" layoutInCell="1" allowOverlap="1" wp14:anchorId="0053D1A3" wp14:editId="013CEF2D">
                <wp:simplePos x="0" y="0"/>
                <wp:positionH relativeFrom="column">
                  <wp:posOffset>6798310</wp:posOffset>
                </wp:positionH>
                <wp:positionV relativeFrom="paragraph">
                  <wp:posOffset>142875</wp:posOffset>
                </wp:positionV>
                <wp:extent cx="0" cy="442595"/>
                <wp:effectExtent l="57150" t="38100" r="57150" b="14605"/>
                <wp:wrapNone/>
                <wp:docPr id="530" name="Straight Arrow Connector 530"/>
                <wp:cNvGraphicFramePr/>
                <a:graphic xmlns:a="http://schemas.openxmlformats.org/drawingml/2006/main">
                  <a:graphicData uri="http://schemas.microsoft.com/office/word/2010/wordprocessingShape">
                    <wps:wsp>
                      <wps:cNvCnPr/>
                      <wps:spPr>
                        <a:xfrm flipV="1">
                          <a:off x="0" y="0"/>
                          <a:ext cx="0" cy="442595"/>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6CA8C5" id="Straight Arrow Connector 530" o:spid="_x0000_s1026" type="#_x0000_t32" style="position:absolute;margin-left:535.3pt;margin-top:11.25pt;width:0;height:34.85pt;flip:y;z-index:2516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" strokecolor="#839dcc" strokeweight="2.25pt">
                <v:stroke endarrow="block" joinstyle="miter"/>
              </v:shape>
            </w:pict>
          </mc:Fallback>
        </mc:AlternateContent>
      </w:r>
    </w:p>
    <w:p w14:paraId="1C7D5770" w14:textId="6A7953EB" w:rsidR="007B1A69" w:rsidRPr="000F0299" w:rsidRDefault="00BE0973"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82304" behindDoc="1" locked="0" layoutInCell="1" allowOverlap="1" wp14:anchorId="57317D3D" wp14:editId="19B03624">
                <wp:simplePos x="0" y="0"/>
                <wp:positionH relativeFrom="column">
                  <wp:posOffset>-402590</wp:posOffset>
                </wp:positionH>
                <wp:positionV relativeFrom="paragraph">
                  <wp:posOffset>212725</wp:posOffset>
                </wp:positionV>
                <wp:extent cx="14130020" cy="727710"/>
                <wp:effectExtent l="0" t="0" r="24130" b="15240"/>
                <wp:wrapNone/>
                <wp:docPr id="534" name="Rounded Rectangle 534"/>
                <wp:cNvGraphicFramePr/>
                <a:graphic xmlns:a="http://schemas.openxmlformats.org/drawingml/2006/main">
                  <a:graphicData uri="http://schemas.microsoft.com/office/word/2010/wordprocessingShape">
                    <wps:wsp>
                      <wps:cNvSpPr/>
                      <wps:spPr>
                        <a:xfrm>
                          <a:off x="0" y="0"/>
                          <a:ext cx="14130020" cy="727710"/>
                        </a:xfrm>
                        <a:prstGeom prst="roundRect">
                          <a:avLst/>
                        </a:prstGeom>
                        <a:solidFill>
                          <a:srgbClr val="839DCC"/>
                        </a:solidFill>
                        <a:ln w="12700" cap="flat" cmpd="sng" algn="ctr">
                          <a:solidFill>
                            <a:srgbClr val="839DCC"/>
                          </a:solidFill>
                          <a:prstDash val="solid"/>
                          <a:miter lim="800000"/>
                        </a:ln>
                        <a:effectLst/>
                      </wps:spPr>
                      <wps:txbx>
                        <w:txbxContent>
                          <w:p w14:paraId="3DB98643" w14:textId="46711A70" w:rsidR="00876FFE" w:rsidRPr="007B1A69" w:rsidRDefault="00876FFE" w:rsidP="007B1A69">
                            <w:pPr>
                              <w:spacing w:after="0"/>
                              <w:ind w:firstLine="0"/>
                              <w:jc w:val="center"/>
                              <w:rPr>
                                <w:rFonts w:asciiTheme="minorHAnsi" w:hAnsiTheme="minorHAnsi" w:cstheme="minorHAnsi"/>
                                <w:b/>
                                <w:color w:val="FFFFFF"/>
                                <w:sz w:val="44"/>
                                <w:szCs w:val="44"/>
                                <w:lang w:val="en-US"/>
                              </w:rPr>
                            </w:pPr>
                            <w:r w:rsidRPr="007B1A69">
                              <w:rPr>
                                <w:rFonts w:asciiTheme="minorHAnsi" w:hAnsiTheme="minorHAnsi" w:cstheme="minorHAnsi"/>
                                <w:b/>
                                <w:color w:val="FFFFFF"/>
                                <w:sz w:val="44"/>
                                <w:szCs w:val="44"/>
                                <w:lang w:val="sr"/>
                              </w:rPr>
                              <w:t>НЕДОВОЉНО ЕФИКАСНО И ДЕЛОТВОРНО ФУНКЦИОНИСАЊЕ</w:t>
                            </w:r>
                            <w:r w:rsidRPr="007B1A69">
                              <w:rPr>
                                <w:rFonts w:asciiTheme="minorHAnsi" w:hAnsiTheme="minorHAnsi" w:cstheme="minorHAnsi"/>
                                <w:b/>
                                <w:color w:val="FFFFFF"/>
                                <w:sz w:val="44"/>
                                <w:szCs w:val="44"/>
                              </w:rPr>
                              <w:t xml:space="preserve"> </w:t>
                            </w:r>
                            <w:r w:rsidRPr="007B1A69">
                              <w:rPr>
                                <w:rFonts w:asciiTheme="minorHAnsi" w:hAnsiTheme="minorHAnsi" w:cstheme="minorHAnsi"/>
                                <w:b/>
                                <w:color w:val="FFFFFF"/>
                                <w:sz w:val="44"/>
                                <w:szCs w:val="44"/>
                                <w:lang w:val="sr"/>
                              </w:rPr>
                              <w:t>СИСТЕМА УПРАВЉАЊА ЈАВНИМ ФИНАНСИЈАМА</w:t>
                            </w:r>
                          </w:p>
                          <w:p w14:paraId="11608359" w14:textId="77777777" w:rsidR="00876FFE" w:rsidRPr="007B1A69" w:rsidRDefault="00876FFE" w:rsidP="007B1A69">
                            <w:pPr>
                              <w:ind w:firstLine="0"/>
                              <w:jc w:val="center"/>
                              <w:rPr>
                                <w:rFonts w:asciiTheme="minorHAnsi" w:hAnsiTheme="minorHAnsi" w:cstheme="minorHAnsi"/>
                                <w:b/>
                                <w:color w:val="FFFFFF"/>
                                <w:sz w:val="44"/>
                                <w:szCs w:val="44"/>
                                <w:lang w:val="uz-Cyrl-U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317D3D" id="Rounded Rectangle 534" o:spid="_x0000_s1340" style="position:absolute;left:0;text-align:left;margin-left:-31.7pt;margin-top:16.75pt;width:1112.6pt;height:57.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" fillcolor="#839dcc" strokecolor="#839dcc" strokeweight="1pt">
                <v:stroke joinstyle="miter"/>
                <v:textbox>
                  <w:txbxContent>
                    <w:p w14:paraId="3DB98643" w14:textId="46711A70" w:rsidR="00876FFE" w:rsidRPr="007B1A69" w:rsidRDefault="00876FFE" w:rsidP="007B1A69">
                      <w:pPr>
                        <w:spacing w:after="0"/>
                        <w:ind w:firstLine="0"/>
                        <w:jc w:val="center"/>
                        <w:rPr>
                          <w:rFonts w:asciiTheme="minorHAnsi" w:hAnsiTheme="minorHAnsi" w:cstheme="minorHAnsi"/>
                          <w:b/>
                          <w:color w:val="FFFFFF"/>
                          <w:sz w:val="44"/>
                          <w:szCs w:val="44"/>
                          <w:lang w:val="en-US"/>
                        </w:rPr>
                      </w:pPr>
                      <w:r w:rsidRPr="007B1A69">
                        <w:rPr>
                          <w:rFonts w:asciiTheme="minorHAnsi" w:hAnsiTheme="minorHAnsi" w:cstheme="minorHAnsi"/>
                          <w:b/>
                          <w:color w:val="FFFFFF"/>
                          <w:sz w:val="44"/>
                          <w:szCs w:val="44"/>
                          <w:lang w:val="sr"/>
                        </w:rPr>
                        <w:t>НЕДОВОЉНО ЕФИКАСНО И ДЕЛОТВОРНО ФУНКЦИОНИСАЊЕ</w:t>
                      </w:r>
                      <w:r w:rsidRPr="007B1A69">
                        <w:rPr>
                          <w:rFonts w:asciiTheme="minorHAnsi" w:hAnsiTheme="minorHAnsi" w:cstheme="minorHAnsi"/>
                          <w:b/>
                          <w:color w:val="FFFFFF"/>
                          <w:sz w:val="44"/>
                          <w:szCs w:val="44"/>
                        </w:rPr>
                        <w:t xml:space="preserve"> </w:t>
                      </w:r>
                      <w:r w:rsidRPr="007B1A69">
                        <w:rPr>
                          <w:rFonts w:asciiTheme="minorHAnsi" w:hAnsiTheme="minorHAnsi" w:cstheme="minorHAnsi"/>
                          <w:b/>
                          <w:color w:val="FFFFFF"/>
                          <w:sz w:val="44"/>
                          <w:szCs w:val="44"/>
                          <w:lang w:val="sr"/>
                        </w:rPr>
                        <w:t>СИСТЕМА УПРАВЉАЊА ЈАВНИМ ФИНАНСИЈАМА</w:t>
                      </w:r>
                    </w:p>
                    <w:p w14:paraId="11608359" w14:textId="77777777" w:rsidR="00876FFE" w:rsidRPr="007B1A69" w:rsidRDefault="00876FFE" w:rsidP="007B1A69">
                      <w:pPr>
                        <w:ind w:firstLine="0"/>
                        <w:jc w:val="center"/>
                        <w:rPr>
                          <w:rFonts w:asciiTheme="minorHAnsi" w:hAnsiTheme="minorHAnsi" w:cstheme="minorHAnsi"/>
                          <w:b/>
                          <w:color w:val="FFFFFF"/>
                          <w:sz w:val="44"/>
                          <w:szCs w:val="44"/>
                          <w:lang w:val="uz-Cyrl-UZ"/>
                        </w:rPr>
                      </w:pPr>
                    </w:p>
                  </w:txbxContent>
                </v:textbox>
              </v:roundrect>
            </w:pict>
          </mc:Fallback>
        </mc:AlternateContent>
      </w:r>
    </w:p>
    <w:p w14:paraId="0F901C56" w14:textId="67AB9F43"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p>
    <w:p w14:paraId="269BCF02" w14:textId="77777777"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p>
    <w:p w14:paraId="4261494E" w14:textId="77777777" w:rsidR="007B1A69" w:rsidRPr="000F0299" w:rsidRDefault="007B1A69" w:rsidP="007B1A69">
      <w:pPr>
        <w:tabs>
          <w:tab w:val="left" w:pos="2121"/>
        </w:tabs>
        <w:suppressAutoHyphens w:val="0"/>
        <w:autoSpaceDN/>
        <w:spacing w:before="0" w:after="0"/>
        <w:ind w:firstLine="0"/>
        <w:textAlignment w:val="auto"/>
        <w:rPr>
          <w:rFonts w:eastAsia="Times New Roman"/>
          <w:kern w:val="0"/>
          <w:sz w:val="20"/>
          <w:szCs w:val="20"/>
          <w:lang w:eastAsia="en-GB" w:bidi="ar-SA"/>
        </w:rPr>
      </w:pPr>
      <w:r w:rsidRPr="000F0299">
        <w:rPr>
          <w:rFonts w:eastAsia="Times New Roman"/>
          <w:kern w:val="0"/>
          <w:sz w:val="20"/>
          <w:szCs w:val="20"/>
          <w:lang w:eastAsia="en-GB" w:bidi="ar-SA"/>
        </w:rPr>
        <w:tab/>
      </w:r>
    </w:p>
    <w:p w14:paraId="29461D6A" w14:textId="77777777"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p>
    <w:p w14:paraId="01E32A74" w14:textId="77777777"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p>
    <w:p w14:paraId="02E04770" w14:textId="175B4FDA" w:rsidR="007B1A69" w:rsidRPr="000F0299" w:rsidRDefault="00E2152B"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05504" behindDoc="0" locked="0" layoutInCell="1" allowOverlap="1" wp14:anchorId="26964EE6" wp14:editId="1819BDAD">
                <wp:simplePos x="0" y="0"/>
                <wp:positionH relativeFrom="column">
                  <wp:posOffset>9719310</wp:posOffset>
                </wp:positionH>
                <wp:positionV relativeFrom="paragraph">
                  <wp:posOffset>34925</wp:posOffset>
                </wp:positionV>
                <wp:extent cx="0" cy="281940"/>
                <wp:effectExtent l="57150" t="38100" r="57150" b="3810"/>
                <wp:wrapNone/>
                <wp:docPr id="539" name="Straight Arrow Connector 539"/>
                <wp:cNvGraphicFramePr/>
                <a:graphic xmlns:a="http://schemas.openxmlformats.org/drawingml/2006/main">
                  <a:graphicData uri="http://schemas.microsoft.com/office/word/2010/wordprocessingShape">
                    <wps:wsp>
                      <wps:cNvCnPr/>
                      <wps:spPr>
                        <a:xfrm flipV="1">
                          <a:off x="0" y="0"/>
                          <a:ext cx="0" cy="28194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7A6A9A" id="Straight Arrow Connector 539" o:spid="_x0000_s1026" type="#_x0000_t32" style="position:absolute;margin-left:765.3pt;margin-top:2.75pt;width:0;height:22.2pt;flip:y;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" strokecolor="#839dcc" strokeweight="2.25pt">
                <v:stroke endarrow="block" joinstyle="miter"/>
              </v:shape>
            </w:pict>
          </mc:Fallback>
        </mc:AlternateContent>
      </w:r>
      <w:r w:rsidR="009B4AF3"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04480" behindDoc="0" locked="0" layoutInCell="1" allowOverlap="1" wp14:anchorId="73E0A268" wp14:editId="2E8E567A">
                <wp:simplePos x="0" y="0"/>
                <wp:positionH relativeFrom="column">
                  <wp:posOffset>6798310</wp:posOffset>
                </wp:positionH>
                <wp:positionV relativeFrom="paragraph">
                  <wp:posOffset>34925</wp:posOffset>
                </wp:positionV>
                <wp:extent cx="0" cy="281940"/>
                <wp:effectExtent l="57150" t="38100" r="57150" b="3810"/>
                <wp:wrapNone/>
                <wp:docPr id="540" name="Straight Arrow Connector 540"/>
                <wp:cNvGraphicFramePr/>
                <a:graphic xmlns:a="http://schemas.openxmlformats.org/drawingml/2006/main">
                  <a:graphicData uri="http://schemas.microsoft.com/office/word/2010/wordprocessingShape">
                    <wps:wsp>
                      <wps:cNvCnPr/>
                      <wps:spPr>
                        <a:xfrm flipV="1">
                          <a:off x="0" y="0"/>
                          <a:ext cx="0" cy="28194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F7C754" id="Straight Arrow Connector 540" o:spid="_x0000_s1026" type="#_x0000_t32" style="position:absolute;margin-left:535.3pt;margin-top:2.75pt;width:0;height:22.2pt;flip:y;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" strokecolor="#839dcc" strokeweight="2.25pt">
                <v:stroke endarrow="block" joinstyle="miter"/>
              </v:shape>
            </w:pict>
          </mc:Fallback>
        </mc:AlternateContent>
      </w:r>
      <w:r w:rsidR="007B1A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06528" behindDoc="0" locked="0" layoutInCell="1" allowOverlap="1" wp14:anchorId="78C83253" wp14:editId="25984021">
                <wp:simplePos x="0" y="0"/>
                <wp:positionH relativeFrom="column">
                  <wp:posOffset>12449810</wp:posOffset>
                </wp:positionH>
                <wp:positionV relativeFrom="paragraph">
                  <wp:posOffset>34925</wp:posOffset>
                </wp:positionV>
                <wp:extent cx="0" cy="282388"/>
                <wp:effectExtent l="57150" t="38100" r="57150" b="3810"/>
                <wp:wrapNone/>
                <wp:docPr id="538" name="Straight Arrow Connector 538"/>
                <wp:cNvGraphicFramePr/>
                <a:graphic xmlns:a="http://schemas.openxmlformats.org/drawingml/2006/main">
                  <a:graphicData uri="http://schemas.microsoft.com/office/word/2010/wordprocessingShape">
                    <wps:wsp>
                      <wps:cNvCnPr/>
                      <wps:spPr>
                        <a:xfrm flipV="1">
                          <a:off x="0" y="0"/>
                          <a:ext cx="0" cy="282388"/>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94322B" id="Straight Arrow Connector 538" o:spid="_x0000_s1026" type="#_x0000_t32" style="position:absolute;margin-left:980.3pt;margin-top:2.75pt;width:0;height:22.25pt;flip:y;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" strokecolor="#839dcc" strokeweight="2.25pt">
                <v:stroke endarrow="block" joinstyle="miter"/>
              </v:shape>
            </w:pict>
          </mc:Fallback>
        </mc:AlternateContent>
      </w:r>
      <w:r w:rsidR="007B1A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08576" behindDoc="0" locked="0" layoutInCell="1" allowOverlap="1" wp14:anchorId="64416191" wp14:editId="5CE0FDDA">
                <wp:simplePos x="0" y="0"/>
                <wp:positionH relativeFrom="column">
                  <wp:posOffset>3712210</wp:posOffset>
                </wp:positionH>
                <wp:positionV relativeFrom="paragraph">
                  <wp:posOffset>34925</wp:posOffset>
                </wp:positionV>
                <wp:extent cx="0" cy="241935"/>
                <wp:effectExtent l="57150" t="38100" r="57150" b="5715"/>
                <wp:wrapNone/>
                <wp:docPr id="541" name="Straight Arrow Connector 541"/>
                <wp:cNvGraphicFramePr/>
                <a:graphic xmlns:a="http://schemas.openxmlformats.org/drawingml/2006/main">
                  <a:graphicData uri="http://schemas.microsoft.com/office/word/2010/wordprocessingShape">
                    <wps:wsp>
                      <wps:cNvCnPr/>
                      <wps:spPr>
                        <a:xfrm flipV="1">
                          <a:off x="0" y="0"/>
                          <a:ext cx="0" cy="241935"/>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6E2B7" id="Straight Arrow Connector 541" o:spid="_x0000_s1026" type="#_x0000_t32" style="position:absolute;margin-left:292.3pt;margin-top:2.75pt;width:0;height:19.05pt;flip:y;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" strokecolor="#839dcc" strokeweight="2.25pt">
                <v:stroke endarrow="block" joinstyle="miter"/>
              </v:shape>
            </w:pict>
          </mc:Fallback>
        </mc:AlternateContent>
      </w:r>
      <w:r w:rsidR="007B1A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07552" behindDoc="0" locked="0" layoutInCell="1" allowOverlap="1" wp14:anchorId="76F5FFF4" wp14:editId="3E777DCF">
                <wp:simplePos x="0" y="0"/>
                <wp:positionH relativeFrom="column">
                  <wp:posOffset>816610</wp:posOffset>
                </wp:positionH>
                <wp:positionV relativeFrom="paragraph">
                  <wp:posOffset>34925</wp:posOffset>
                </wp:positionV>
                <wp:extent cx="0" cy="281940"/>
                <wp:effectExtent l="57150" t="38100" r="57150" b="3810"/>
                <wp:wrapNone/>
                <wp:docPr id="542" name="Straight Arrow Connector 542"/>
                <wp:cNvGraphicFramePr/>
                <a:graphic xmlns:a="http://schemas.openxmlformats.org/drawingml/2006/main">
                  <a:graphicData uri="http://schemas.microsoft.com/office/word/2010/wordprocessingShape">
                    <wps:wsp>
                      <wps:cNvCnPr/>
                      <wps:spPr>
                        <a:xfrm flipV="1">
                          <a:off x="0" y="0"/>
                          <a:ext cx="0" cy="28194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D6840D" id="Straight Arrow Connector 542" o:spid="_x0000_s1026" type="#_x0000_t32" style="position:absolute;margin-left:64.3pt;margin-top:2.75pt;width:0;height:22.2pt;flip:y;z-index:25160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" strokecolor="#839dcc" strokeweight="2.25pt">
                <v:stroke endarrow="block" joinstyle="miter"/>
              </v:shape>
            </w:pict>
          </mc:Fallback>
        </mc:AlternateContent>
      </w:r>
    </w:p>
    <w:p w14:paraId="71213601" w14:textId="77B74194" w:rsidR="007B1A69" w:rsidRPr="000F0299" w:rsidRDefault="00E2152B"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599360" behindDoc="0" locked="0" layoutInCell="1" allowOverlap="1" wp14:anchorId="40E0113E" wp14:editId="092235AF">
                <wp:simplePos x="0" y="0"/>
                <wp:positionH relativeFrom="column">
                  <wp:posOffset>-402590</wp:posOffset>
                </wp:positionH>
                <wp:positionV relativeFrom="paragraph">
                  <wp:posOffset>136525</wp:posOffset>
                </wp:positionV>
                <wp:extent cx="2584450" cy="768350"/>
                <wp:effectExtent l="19050" t="19050" r="25400" b="12700"/>
                <wp:wrapNone/>
                <wp:docPr id="547" name="Text Box 547"/>
                <wp:cNvGraphicFramePr/>
                <a:graphic xmlns:a="http://schemas.openxmlformats.org/drawingml/2006/main">
                  <a:graphicData uri="http://schemas.microsoft.com/office/word/2010/wordprocessingShape">
                    <wps:wsp>
                      <wps:cNvSpPr txBox="1"/>
                      <wps:spPr>
                        <a:xfrm>
                          <a:off x="0" y="0"/>
                          <a:ext cx="2584450" cy="768350"/>
                        </a:xfrm>
                        <a:prstGeom prst="roundRect">
                          <a:avLst/>
                        </a:prstGeom>
                        <a:solidFill>
                          <a:sysClr val="window" lastClr="FFFFFF"/>
                        </a:solidFill>
                        <a:ln w="38100" cmpd="dbl">
                          <a:solidFill>
                            <a:srgbClr val="6283BE"/>
                          </a:solidFill>
                        </a:ln>
                        <a:effectLst/>
                      </wps:spPr>
                      <wps:txbx>
                        <w:txbxContent>
                          <w:p w14:paraId="694F11DB" w14:textId="5A9F5BA7" w:rsidR="00876FFE" w:rsidRPr="00FD419E" w:rsidRDefault="00876FFE" w:rsidP="00FD419E">
                            <w:pPr>
                              <w:jc w:val="center"/>
                              <w:rPr>
                                <w:rFonts w:asciiTheme="minorHAnsi" w:hAnsiTheme="minorHAnsi" w:cstheme="minorHAnsi"/>
                                <w:b/>
                                <w:sz w:val="22"/>
                                <w:szCs w:val="22"/>
                                <w:lang w:val="uz-Cyrl-UZ"/>
                                <w14:textOutline w14:w="9525" w14:cap="rnd" w14:cmpd="thinThick" w14:algn="ctr">
                                  <w14:solidFill>
                                    <w14:srgbClr w14:val="219990"/>
                                  </w14:solidFill>
                                  <w14:prstDash w14:val="solid"/>
                                  <w14:bevel/>
                                </w14:textOutline>
                              </w:rPr>
                            </w:pPr>
                            <w:r w:rsidRPr="00FD419E">
                              <w:rPr>
                                <w:rFonts w:asciiTheme="minorHAnsi" w:hAnsiTheme="minorHAnsi" w:cstheme="minorHAnsi"/>
                                <w:sz w:val="22"/>
                                <w:szCs w:val="22"/>
                                <w:lang w:val="sr"/>
                              </w:rPr>
                              <w:t>Капацитети за буџетско планирање и управљање јавним инвестицијама нису у потпуности развијени</w:t>
                            </w:r>
                            <w:r w:rsidRPr="00FD419E">
                              <w:rPr>
                                <w:rFonts w:asciiTheme="minorHAnsi" w:hAnsiTheme="minorHAnsi" w:cstheme="minorHAnsi"/>
                                <w:sz w:val="22"/>
                                <w:szCs w:val="22"/>
                                <w:lang w:val="uz-Cyrl-UZ"/>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E0113E" id="Text Box 547" o:spid="_x0000_s1341" style="position:absolute;left:0;text-align:left;margin-left:-31.7pt;margin-top:10.75pt;width:203.5pt;height:6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" fillcolor="window" strokecolor="#6283be" strokeweight="3pt">
                <v:stroke linestyle="thinThin"/>
                <v:textbox inset="0,0,0,0">
                  <w:txbxContent>
                    <w:p w14:paraId="694F11DB" w14:textId="5A9F5BA7" w:rsidR="00876FFE" w:rsidRPr="00FD419E" w:rsidRDefault="00876FFE" w:rsidP="00FD419E">
                      <w:pPr>
                        <w:jc w:val="center"/>
                        <w:rPr>
                          <w:rFonts w:asciiTheme="minorHAnsi" w:hAnsiTheme="minorHAnsi" w:cstheme="minorHAnsi"/>
                          <w:b/>
                          <w:sz w:val="22"/>
                          <w:szCs w:val="22"/>
                          <w:lang w:val="uz-Cyrl-UZ"/>
                          <w14:textOutline w14:w="9525" w14:cap="rnd" w14:cmpd="thinThick" w14:algn="ctr">
                            <w14:solidFill>
                              <w14:srgbClr w14:val="219990"/>
                            </w14:solidFill>
                            <w14:prstDash w14:val="solid"/>
                            <w14:bevel/>
                          </w14:textOutline>
                        </w:rPr>
                      </w:pPr>
                      <w:r w:rsidRPr="00FD419E">
                        <w:rPr>
                          <w:rFonts w:asciiTheme="minorHAnsi" w:hAnsiTheme="minorHAnsi" w:cstheme="minorHAnsi"/>
                          <w:sz w:val="22"/>
                          <w:szCs w:val="22"/>
                          <w:lang w:val="sr"/>
                        </w:rPr>
                        <w:t>Капацитети за буџетско планирање и управљање јавним инвестицијама нису у потпуности развијени</w:t>
                      </w:r>
                      <w:r w:rsidRPr="00FD419E">
                        <w:rPr>
                          <w:rFonts w:asciiTheme="minorHAnsi" w:hAnsiTheme="minorHAnsi" w:cstheme="minorHAnsi"/>
                          <w:sz w:val="22"/>
                          <w:szCs w:val="22"/>
                          <w:lang w:val="uz-Cyrl-UZ"/>
                        </w:rPr>
                        <w:t xml:space="preserve"> </w:t>
                      </w:r>
                    </w:p>
                  </w:txbxContent>
                </v:textbox>
              </v:roundrect>
            </w:pict>
          </mc:Fallback>
        </mc:AlternateContent>
      </w:r>
      <w:r w:rsidR="00EB1CF4"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01408" behindDoc="0" locked="0" layoutInCell="1" allowOverlap="1" wp14:anchorId="1C361FCF" wp14:editId="007238FE">
                <wp:simplePos x="0" y="0"/>
                <wp:positionH relativeFrom="column">
                  <wp:posOffset>11192510</wp:posOffset>
                </wp:positionH>
                <wp:positionV relativeFrom="paragraph">
                  <wp:posOffset>136525</wp:posOffset>
                </wp:positionV>
                <wp:extent cx="2463800" cy="821055"/>
                <wp:effectExtent l="19050" t="19050" r="12700" b="17145"/>
                <wp:wrapNone/>
                <wp:docPr id="544" name="Text Box 544"/>
                <wp:cNvGraphicFramePr/>
                <a:graphic xmlns:a="http://schemas.openxmlformats.org/drawingml/2006/main">
                  <a:graphicData uri="http://schemas.microsoft.com/office/word/2010/wordprocessingShape">
                    <wps:wsp>
                      <wps:cNvSpPr txBox="1"/>
                      <wps:spPr>
                        <a:xfrm>
                          <a:off x="0" y="0"/>
                          <a:ext cx="2463800" cy="821055"/>
                        </a:xfrm>
                        <a:prstGeom prst="roundRect">
                          <a:avLst/>
                        </a:prstGeom>
                        <a:solidFill>
                          <a:sysClr val="window" lastClr="FFFFFF"/>
                        </a:solidFill>
                        <a:ln w="38100" cmpd="dbl">
                          <a:solidFill>
                            <a:srgbClr val="6283BE"/>
                          </a:solidFill>
                        </a:ln>
                        <a:effectLst/>
                      </wps:spPr>
                      <wps:txbx>
                        <w:txbxContent>
                          <w:p w14:paraId="3E9B99FD" w14:textId="77777777" w:rsidR="00876FFE" w:rsidRPr="00FD419E" w:rsidRDefault="00876FFE" w:rsidP="007B1A69">
                            <w:pPr>
                              <w:jc w:val="center"/>
                              <w:rPr>
                                <w:rFonts w:asciiTheme="minorHAnsi" w:hAnsiTheme="minorHAnsi" w:cstheme="minorHAnsi"/>
                                <w:sz w:val="22"/>
                                <w:szCs w:val="22"/>
                                <w:lang w:val="en-US"/>
                                <w14:textOutline w14:w="9525" w14:cap="rnd" w14:cmpd="thinThick" w14:algn="ctr">
                                  <w14:solidFill>
                                    <w14:srgbClr w14:val="219990"/>
                                  </w14:solidFill>
                                  <w14:prstDash w14:val="solid"/>
                                  <w14:bevel/>
                                </w14:textOutline>
                              </w:rPr>
                            </w:pPr>
                            <w:r w:rsidRPr="00FD419E">
                              <w:rPr>
                                <w:rFonts w:asciiTheme="minorHAnsi" w:hAnsiTheme="minorHAnsi" w:cstheme="minorHAnsi"/>
                                <w:sz w:val="22"/>
                                <w:szCs w:val="22"/>
                                <w:lang w:val="uz-Cyrl-UZ"/>
                              </w:rPr>
                              <w:t>Екстерна ревизија још није довољно делотворна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361FCF" id="Text Box 544" o:spid="_x0000_s1342" style="position:absolute;left:0;text-align:left;margin-left:881.3pt;margin-top:10.75pt;width:194pt;height:64.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" fillcolor="window" strokecolor="#6283be" strokeweight="3pt">
                <v:stroke linestyle="thinThin"/>
                <v:textbox inset="0,0,0,0">
                  <w:txbxContent>
                    <w:p w14:paraId="3E9B99FD" w14:textId="77777777" w:rsidR="00876FFE" w:rsidRPr="00FD419E" w:rsidRDefault="00876FFE" w:rsidP="007B1A69">
                      <w:pPr>
                        <w:jc w:val="center"/>
                        <w:rPr>
                          <w:rFonts w:asciiTheme="minorHAnsi" w:hAnsiTheme="minorHAnsi" w:cstheme="minorHAnsi"/>
                          <w:sz w:val="22"/>
                          <w:szCs w:val="22"/>
                          <w:lang w:val="en-US"/>
                          <w14:textOutline w14:w="9525" w14:cap="rnd" w14:cmpd="thinThick" w14:algn="ctr">
                            <w14:solidFill>
                              <w14:srgbClr w14:val="219990"/>
                            </w14:solidFill>
                            <w14:prstDash w14:val="solid"/>
                            <w14:bevel/>
                          </w14:textOutline>
                        </w:rPr>
                      </w:pPr>
                      <w:r w:rsidRPr="00FD419E">
                        <w:rPr>
                          <w:rFonts w:asciiTheme="minorHAnsi" w:hAnsiTheme="minorHAnsi" w:cstheme="minorHAnsi"/>
                          <w:sz w:val="22"/>
                          <w:szCs w:val="22"/>
                          <w:lang w:val="uz-Cyrl-UZ"/>
                        </w:rPr>
                        <w:t>Екстерна ревизија још није довољно делотворна</w:t>
                      </w:r>
                    </w:p>
                  </w:txbxContent>
                </v:textbox>
              </v:roundrect>
            </w:pict>
          </mc:Fallback>
        </mc:AlternateContent>
      </w:r>
      <w:r w:rsidR="009B4AF3"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02432" behindDoc="0" locked="0" layoutInCell="1" allowOverlap="1" wp14:anchorId="2B58713D" wp14:editId="39012783">
                <wp:simplePos x="0" y="0"/>
                <wp:positionH relativeFrom="margin">
                  <wp:posOffset>5267960</wp:posOffset>
                </wp:positionH>
                <wp:positionV relativeFrom="paragraph">
                  <wp:posOffset>136525</wp:posOffset>
                </wp:positionV>
                <wp:extent cx="2990850" cy="791210"/>
                <wp:effectExtent l="19050" t="19050" r="19050" b="27940"/>
                <wp:wrapNone/>
                <wp:docPr id="543" name="Text Box 543"/>
                <wp:cNvGraphicFramePr/>
                <a:graphic xmlns:a="http://schemas.openxmlformats.org/drawingml/2006/main">
                  <a:graphicData uri="http://schemas.microsoft.com/office/word/2010/wordprocessingShape">
                    <wps:wsp>
                      <wps:cNvSpPr txBox="1"/>
                      <wps:spPr>
                        <a:xfrm>
                          <a:off x="0" y="0"/>
                          <a:ext cx="2990850" cy="791210"/>
                        </a:xfrm>
                        <a:prstGeom prst="roundRect">
                          <a:avLst/>
                        </a:prstGeom>
                        <a:solidFill>
                          <a:sysClr val="window" lastClr="FFFFFF"/>
                        </a:solidFill>
                        <a:ln w="38100" cmpd="dbl">
                          <a:solidFill>
                            <a:srgbClr val="6283BE"/>
                          </a:solidFill>
                        </a:ln>
                        <a:effectLst/>
                      </wps:spPr>
                      <wps:txbx>
                        <w:txbxContent>
                          <w:p w14:paraId="7E5764D1" w14:textId="3A153502" w:rsidR="00876FFE" w:rsidRPr="00FD419E" w:rsidRDefault="00876FFE" w:rsidP="007B1A69">
                            <w:pPr>
                              <w:jc w:val="center"/>
                              <w:rPr>
                                <w:rFonts w:asciiTheme="minorHAnsi" w:hAnsiTheme="minorHAnsi" w:cstheme="minorHAnsi"/>
                                <w:b/>
                                <w:sz w:val="22"/>
                                <w:szCs w:val="22"/>
                                <w14:textOutline w14:w="9525" w14:cap="rnd" w14:cmpd="thinThick" w14:algn="ctr">
                                  <w14:solidFill>
                                    <w14:srgbClr w14:val="219990"/>
                                  </w14:solidFill>
                                  <w14:prstDash w14:val="solid"/>
                                  <w14:bevel/>
                                </w14:textOutline>
                              </w:rPr>
                            </w:pPr>
                            <w:r w:rsidRPr="00FD419E">
                              <w:rPr>
                                <w:rFonts w:asciiTheme="minorHAnsi" w:hAnsiTheme="minorHAnsi" w:cstheme="minorHAnsi"/>
                                <w:sz w:val="22"/>
                                <w:szCs w:val="22"/>
                              </w:rPr>
                              <w:t>Интерна финансијска контрола није у потпуности имплементирана у институцијама јавног сектора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58713D" id="Text Box 543" o:spid="_x0000_s1343" style="position:absolute;left:0;text-align:left;margin-left:414.8pt;margin-top:10.75pt;width:235.5pt;height:62.3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" fillcolor="window" strokecolor="#6283be" strokeweight="3pt">
                <v:stroke linestyle="thinThin"/>
                <v:textbox inset="0,0,0,0">
                  <w:txbxContent>
                    <w:p w14:paraId="7E5764D1" w14:textId="3A153502" w:rsidR="00876FFE" w:rsidRPr="00FD419E" w:rsidRDefault="00876FFE" w:rsidP="007B1A69">
                      <w:pPr>
                        <w:jc w:val="center"/>
                        <w:rPr>
                          <w:rFonts w:asciiTheme="minorHAnsi" w:hAnsiTheme="minorHAnsi" w:cstheme="minorHAnsi"/>
                          <w:b/>
                          <w:sz w:val="22"/>
                          <w:szCs w:val="22"/>
                          <w14:textOutline w14:w="9525" w14:cap="rnd" w14:cmpd="thinThick" w14:algn="ctr">
                            <w14:solidFill>
                              <w14:srgbClr w14:val="219990"/>
                            </w14:solidFill>
                            <w14:prstDash w14:val="solid"/>
                            <w14:bevel/>
                          </w14:textOutline>
                        </w:rPr>
                      </w:pPr>
                      <w:r w:rsidRPr="00FD419E">
                        <w:rPr>
                          <w:rFonts w:asciiTheme="minorHAnsi" w:hAnsiTheme="minorHAnsi" w:cstheme="minorHAnsi"/>
                          <w:sz w:val="22"/>
                          <w:szCs w:val="22"/>
                        </w:rPr>
                        <w:t>Интерна финансијска контрола није у потпуности имплементирана у институцијама јавног сектора</w:t>
                      </w:r>
                    </w:p>
                  </w:txbxContent>
                </v:textbox>
                <w10:wrap anchorx="margin"/>
              </v:roundrect>
            </w:pict>
          </mc:Fallback>
        </mc:AlternateContent>
      </w:r>
      <w:r w:rsidR="009B4AF3"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598336" behindDoc="0" locked="0" layoutInCell="1" allowOverlap="1" wp14:anchorId="34CB013C" wp14:editId="7C55B21E">
                <wp:simplePos x="0" y="0"/>
                <wp:positionH relativeFrom="column">
                  <wp:posOffset>2302510</wp:posOffset>
                </wp:positionH>
                <wp:positionV relativeFrom="paragraph">
                  <wp:posOffset>136525</wp:posOffset>
                </wp:positionV>
                <wp:extent cx="2861945" cy="779780"/>
                <wp:effectExtent l="19050" t="19050" r="14605" b="20320"/>
                <wp:wrapNone/>
                <wp:docPr id="546" name="Text Box 546"/>
                <wp:cNvGraphicFramePr/>
                <a:graphic xmlns:a="http://schemas.openxmlformats.org/drawingml/2006/main">
                  <a:graphicData uri="http://schemas.microsoft.com/office/word/2010/wordprocessingShape">
                    <wps:wsp>
                      <wps:cNvSpPr txBox="1"/>
                      <wps:spPr>
                        <a:xfrm>
                          <a:off x="0" y="0"/>
                          <a:ext cx="2861945" cy="779780"/>
                        </a:xfrm>
                        <a:prstGeom prst="roundRect">
                          <a:avLst/>
                        </a:prstGeom>
                        <a:solidFill>
                          <a:sysClr val="window" lastClr="FFFFFF"/>
                        </a:solidFill>
                        <a:ln w="38100" cmpd="dbl">
                          <a:solidFill>
                            <a:srgbClr val="6283BE"/>
                          </a:solidFill>
                        </a:ln>
                        <a:effectLst/>
                      </wps:spPr>
                      <wps:txbx>
                        <w:txbxContent>
                          <w:p w14:paraId="3627FE5A" w14:textId="1D749A39" w:rsidR="00876FFE" w:rsidRPr="00FD419E" w:rsidRDefault="00876FFE" w:rsidP="007B1A69">
                            <w:pPr>
                              <w:jc w:val="center"/>
                              <w:rPr>
                                <w:rFonts w:asciiTheme="minorHAnsi" w:hAnsiTheme="minorHAnsi" w:cstheme="minorHAnsi"/>
                                <w:sz w:val="22"/>
                                <w:szCs w:val="22"/>
                                <w14:textOutline w14:w="9525" w14:cap="rnd" w14:cmpd="thinThick" w14:algn="ctr">
                                  <w14:solidFill>
                                    <w14:srgbClr w14:val="219990"/>
                                  </w14:solidFill>
                                  <w14:prstDash w14:val="solid"/>
                                  <w14:bevel/>
                                </w14:textOutline>
                              </w:rPr>
                            </w:pPr>
                            <w:r w:rsidRPr="00FD419E">
                              <w:rPr>
                                <w:rFonts w:asciiTheme="minorHAnsi" w:hAnsiTheme="minorHAnsi" w:cstheme="minorHAnsi"/>
                                <w:sz w:val="22"/>
                                <w:szCs w:val="22"/>
                                <w:lang w:val="sr"/>
                              </w:rPr>
                              <w:t>Извршење буџета и извештавање нису довољно делотворни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CB013C" id="Text Box 546" o:spid="_x0000_s1344" style="position:absolute;left:0;text-align:left;margin-left:181.3pt;margin-top:10.75pt;width:225.35pt;height:61.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" fillcolor="window" strokecolor="#6283be" strokeweight="3pt">
                <v:stroke linestyle="thinThin"/>
                <v:textbox inset="0,0,0,0">
                  <w:txbxContent>
                    <w:p w14:paraId="3627FE5A" w14:textId="1D749A39" w:rsidR="00876FFE" w:rsidRPr="00FD419E" w:rsidRDefault="00876FFE" w:rsidP="007B1A69">
                      <w:pPr>
                        <w:jc w:val="center"/>
                        <w:rPr>
                          <w:rFonts w:asciiTheme="minorHAnsi" w:hAnsiTheme="minorHAnsi" w:cstheme="minorHAnsi"/>
                          <w:sz w:val="22"/>
                          <w:szCs w:val="22"/>
                          <w14:textOutline w14:w="9525" w14:cap="rnd" w14:cmpd="thinThick" w14:algn="ctr">
                            <w14:solidFill>
                              <w14:srgbClr w14:val="219990"/>
                            </w14:solidFill>
                            <w14:prstDash w14:val="solid"/>
                            <w14:bevel/>
                          </w14:textOutline>
                        </w:rPr>
                      </w:pPr>
                      <w:r w:rsidRPr="00FD419E">
                        <w:rPr>
                          <w:rFonts w:asciiTheme="minorHAnsi" w:hAnsiTheme="minorHAnsi" w:cstheme="minorHAnsi"/>
                          <w:sz w:val="22"/>
                          <w:szCs w:val="22"/>
                          <w:lang w:val="sr"/>
                        </w:rPr>
                        <w:t>Извршење буџета и извештавање нису довољно делотворни</w:t>
                      </w:r>
                    </w:p>
                  </w:txbxContent>
                </v:textbox>
              </v:roundrect>
            </w:pict>
          </mc:Fallback>
        </mc:AlternateContent>
      </w:r>
      <w:r w:rsidR="00FD419E"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00384" behindDoc="0" locked="0" layoutInCell="1" allowOverlap="1" wp14:anchorId="4679B426" wp14:editId="7E9F12EB">
                <wp:simplePos x="0" y="0"/>
                <wp:positionH relativeFrom="column">
                  <wp:posOffset>8404860</wp:posOffset>
                </wp:positionH>
                <wp:positionV relativeFrom="paragraph">
                  <wp:posOffset>136526</wp:posOffset>
                </wp:positionV>
                <wp:extent cx="2656840" cy="768350"/>
                <wp:effectExtent l="19050" t="19050" r="10160" b="12700"/>
                <wp:wrapNone/>
                <wp:docPr id="545" name="Text Box 545"/>
                <wp:cNvGraphicFramePr/>
                <a:graphic xmlns:a="http://schemas.openxmlformats.org/drawingml/2006/main">
                  <a:graphicData uri="http://schemas.microsoft.com/office/word/2010/wordprocessingShape">
                    <wps:wsp>
                      <wps:cNvSpPr txBox="1"/>
                      <wps:spPr>
                        <a:xfrm>
                          <a:off x="0" y="0"/>
                          <a:ext cx="2656840" cy="768350"/>
                        </a:xfrm>
                        <a:prstGeom prst="roundRect">
                          <a:avLst/>
                        </a:prstGeom>
                        <a:solidFill>
                          <a:sysClr val="window" lastClr="FFFFFF"/>
                        </a:solidFill>
                        <a:ln w="38100" cmpd="dbl">
                          <a:solidFill>
                            <a:srgbClr val="6283BE"/>
                          </a:solidFill>
                        </a:ln>
                        <a:effectLst/>
                      </wps:spPr>
                      <wps:txbx>
                        <w:txbxContent>
                          <w:p w14:paraId="196CE3F0" w14:textId="77777777" w:rsidR="00876FFE" w:rsidRPr="00FD419E" w:rsidRDefault="00876FFE" w:rsidP="007B1A69">
                            <w:pPr>
                              <w:jc w:val="center"/>
                              <w:rPr>
                                <w:rFonts w:asciiTheme="minorHAnsi" w:hAnsiTheme="minorHAnsi" w:cstheme="minorHAnsi"/>
                                <w:sz w:val="22"/>
                                <w:szCs w:val="22"/>
                                <w:lang w:val="uz-Cyrl-UZ"/>
                                <w14:textOutline w14:w="9525" w14:cap="rnd" w14:cmpd="dbl" w14:algn="ctr">
                                  <w14:solidFill>
                                    <w14:srgbClr w14:val="219990"/>
                                  </w14:solidFill>
                                  <w14:prstDash w14:val="solid"/>
                                  <w14:bevel/>
                                </w14:textOutline>
                              </w:rPr>
                            </w:pPr>
                            <w:r w:rsidRPr="00FD419E">
                              <w:rPr>
                                <w:rFonts w:asciiTheme="minorHAnsi" w:hAnsiTheme="minorHAnsi" w:cstheme="minorHAnsi"/>
                                <w:sz w:val="22"/>
                                <w:szCs w:val="22"/>
                                <w:lang w:val="uz-Cyrl-UZ"/>
                              </w:rPr>
                              <w:t>Коришћење јавних средстава није довољно одговорно и транспаретно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79B426" id="Text Box 545" o:spid="_x0000_s1345" style="position:absolute;left:0;text-align:left;margin-left:661.8pt;margin-top:10.75pt;width:209.2pt;height:6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" fillcolor="window" strokecolor="#6283be" strokeweight="3pt">
                <v:stroke linestyle="thinThin"/>
                <v:textbox inset="0,0,0,0">
                  <w:txbxContent>
                    <w:p w14:paraId="196CE3F0" w14:textId="77777777" w:rsidR="00876FFE" w:rsidRPr="00FD419E" w:rsidRDefault="00876FFE" w:rsidP="007B1A69">
                      <w:pPr>
                        <w:jc w:val="center"/>
                        <w:rPr>
                          <w:rFonts w:asciiTheme="minorHAnsi" w:hAnsiTheme="minorHAnsi" w:cstheme="minorHAnsi"/>
                          <w:sz w:val="22"/>
                          <w:szCs w:val="22"/>
                          <w:lang w:val="uz-Cyrl-UZ"/>
                          <w14:textOutline w14:w="9525" w14:cap="rnd" w14:cmpd="dbl" w14:algn="ctr">
                            <w14:solidFill>
                              <w14:srgbClr w14:val="219990"/>
                            </w14:solidFill>
                            <w14:prstDash w14:val="solid"/>
                            <w14:bevel/>
                          </w14:textOutline>
                        </w:rPr>
                      </w:pPr>
                      <w:r w:rsidRPr="00FD419E">
                        <w:rPr>
                          <w:rFonts w:asciiTheme="minorHAnsi" w:hAnsiTheme="minorHAnsi" w:cstheme="minorHAnsi"/>
                          <w:sz w:val="22"/>
                          <w:szCs w:val="22"/>
                          <w:lang w:val="uz-Cyrl-UZ"/>
                        </w:rPr>
                        <w:t>Коришћење јавних средстава није довољно одговорно и транспаретно</w:t>
                      </w:r>
                    </w:p>
                  </w:txbxContent>
                </v:textbox>
              </v:roundrect>
            </w:pict>
          </mc:Fallback>
        </mc:AlternateContent>
      </w:r>
    </w:p>
    <w:p w14:paraId="2221BC8C" w14:textId="34043F18"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p>
    <w:p w14:paraId="034B0055" w14:textId="77777777"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p>
    <w:p w14:paraId="6F587C91" w14:textId="6B783D19"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p>
    <w:p w14:paraId="30AFAFA7" w14:textId="5BB709A8"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p>
    <w:p w14:paraId="5EF27681" w14:textId="397033CA" w:rsidR="007B1A69" w:rsidRPr="000F0299" w:rsidRDefault="00EB1CF4"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59776" behindDoc="0" locked="0" layoutInCell="1" allowOverlap="1" wp14:anchorId="78A0856A" wp14:editId="37A5C279">
                <wp:simplePos x="0" y="0"/>
                <wp:positionH relativeFrom="column">
                  <wp:posOffset>12284710</wp:posOffset>
                </wp:positionH>
                <wp:positionV relativeFrom="paragraph">
                  <wp:posOffset>1127125</wp:posOffset>
                </wp:positionV>
                <wp:extent cx="390525" cy="0"/>
                <wp:effectExtent l="0" t="19050" r="28575" b="19050"/>
                <wp:wrapNone/>
                <wp:docPr id="193" name="Straight Connector 193"/>
                <wp:cNvGraphicFramePr/>
                <a:graphic xmlns:a="http://schemas.openxmlformats.org/drawingml/2006/main">
                  <a:graphicData uri="http://schemas.microsoft.com/office/word/2010/wordprocessingShape">
                    <wps:wsp>
                      <wps:cNvCnPr/>
                      <wps:spPr>
                        <a:xfrm>
                          <a:off x="0" y="0"/>
                          <a:ext cx="390525" cy="0"/>
                        </a:xfrm>
                        <a:prstGeom prst="line">
                          <a:avLst/>
                        </a:prstGeom>
                        <a:noFill/>
                        <a:ln w="28575" cap="flat" cmpd="sng" algn="ctr">
                          <a:solidFill>
                            <a:srgbClr val="839DCC"/>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7342FE" id="Straight Connector 193"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967.3pt,88.75pt" to="998.05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" strokecolor="#839dcc" strokeweight="2.25pt">
                <v:stroke joinstyle="miter"/>
              </v:line>
            </w:pict>
          </mc:Fallback>
        </mc:AlternateContent>
      </w:r>
    </w:p>
    <w:p w14:paraId="16B90EBA" w14:textId="6EDF6248" w:rsidR="007B1A69" w:rsidRPr="000F0299" w:rsidRDefault="00A57F87" w:rsidP="002574D0">
      <w:pPr>
        <w:tabs>
          <w:tab w:val="left" w:pos="17719"/>
        </w:tabs>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70016" behindDoc="0" locked="0" layoutInCell="1" allowOverlap="1" wp14:anchorId="4284A783" wp14:editId="6D227498">
                <wp:simplePos x="0" y="0"/>
                <wp:positionH relativeFrom="column">
                  <wp:posOffset>6861810</wp:posOffset>
                </wp:positionH>
                <wp:positionV relativeFrom="paragraph">
                  <wp:posOffset>41275</wp:posOffset>
                </wp:positionV>
                <wp:extent cx="0" cy="696595"/>
                <wp:effectExtent l="57150" t="38100" r="57150" b="8255"/>
                <wp:wrapNone/>
                <wp:docPr id="184" name="Straight Arrow Connector 184"/>
                <wp:cNvGraphicFramePr/>
                <a:graphic xmlns:a="http://schemas.openxmlformats.org/drawingml/2006/main">
                  <a:graphicData uri="http://schemas.microsoft.com/office/word/2010/wordprocessingShape">
                    <wps:wsp>
                      <wps:cNvCnPr/>
                      <wps:spPr>
                        <a:xfrm flipV="1">
                          <a:off x="0" y="0"/>
                          <a:ext cx="0" cy="696595"/>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F259A1" id="Straight Arrow Connector 184" o:spid="_x0000_s1026" type="#_x0000_t32" style="position:absolute;margin-left:540.3pt;margin-top:3.25pt;width:0;height:54.85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" strokecolor="#839dcc" strokeweight="2.25pt">
                <v:stroke endarrow="block" joinstyle="miter"/>
              </v:shape>
            </w:pict>
          </mc:Fallback>
        </mc:AlternateContent>
      </w:r>
      <w:r w:rsidR="00EB1CF4"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60800" behindDoc="0" locked="0" layoutInCell="1" allowOverlap="1" wp14:anchorId="4397FF02" wp14:editId="5DDFE6D9">
                <wp:simplePos x="0" y="0"/>
                <wp:positionH relativeFrom="column">
                  <wp:posOffset>12487910</wp:posOffset>
                </wp:positionH>
                <wp:positionV relativeFrom="paragraph">
                  <wp:posOffset>117475</wp:posOffset>
                </wp:positionV>
                <wp:extent cx="0" cy="864000"/>
                <wp:effectExtent l="57150" t="38100" r="57150" b="12700"/>
                <wp:wrapNone/>
                <wp:docPr id="190" name="Straight Arrow Connector 190"/>
                <wp:cNvGraphicFramePr/>
                <a:graphic xmlns:a="http://schemas.openxmlformats.org/drawingml/2006/main">
                  <a:graphicData uri="http://schemas.microsoft.com/office/word/2010/wordprocessingShape">
                    <wps:wsp>
                      <wps:cNvCnPr/>
                      <wps:spPr>
                        <a:xfrm flipV="1">
                          <a:off x="0" y="0"/>
                          <a:ext cx="0" cy="86400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3BCEFB" id="Straight Arrow Connector 190" o:spid="_x0000_s1026" type="#_x0000_t32" style="position:absolute;margin-left:983.3pt;margin-top:9.25pt;width:0;height:68.05pt;flip:y;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" strokecolor="#839dcc" strokeweight="2.25pt">
                <v:stroke endarrow="block" joinstyle="miter"/>
              </v:shape>
            </w:pict>
          </mc:Fallback>
        </mc:AlternateContent>
      </w:r>
      <w:r w:rsidR="003028A0"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46464" behindDoc="0" locked="0" layoutInCell="1" allowOverlap="1" wp14:anchorId="761B9054" wp14:editId="71A807F1">
                <wp:simplePos x="0" y="0"/>
                <wp:positionH relativeFrom="column">
                  <wp:posOffset>9706610</wp:posOffset>
                </wp:positionH>
                <wp:positionV relativeFrom="paragraph">
                  <wp:posOffset>53975</wp:posOffset>
                </wp:positionV>
                <wp:extent cx="0" cy="288000"/>
                <wp:effectExtent l="57150" t="38100" r="57150" b="17145"/>
                <wp:wrapNone/>
                <wp:docPr id="551" name="Straight Arrow Connector 551"/>
                <wp:cNvGraphicFramePr/>
                <a:graphic xmlns:a="http://schemas.openxmlformats.org/drawingml/2006/main">
                  <a:graphicData uri="http://schemas.microsoft.com/office/word/2010/wordprocessingShape">
                    <wps:wsp>
                      <wps:cNvCnPr/>
                      <wps:spPr>
                        <a:xfrm flipV="1">
                          <a:off x="0" y="0"/>
                          <a:ext cx="0" cy="28800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F3FEBE" id="Straight Arrow Connector 551" o:spid="_x0000_s1026" type="#_x0000_t32" style="position:absolute;margin-left:764.3pt;margin-top:4.25pt;width:0;height:22.7pt;flip:y;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" strokecolor="#839dcc" strokeweight="2.25pt">
                <v:stroke endarrow="block" joinstyle="miter"/>
              </v:shape>
            </w:pict>
          </mc:Fallback>
        </mc:AlternateContent>
      </w:r>
      <w:r w:rsidR="009B4AF3"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66944" behindDoc="0" locked="0" layoutInCell="1" allowOverlap="1" wp14:anchorId="22396AAE" wp14:editId="5645A515">
                <wp:simplePos x="0" y="0"/>
                <wp:positionH relativeFrom="column">
                  <wp:posOffset>7649210</wp:posOffset>
                </wp:positionH>
                <wp:positionV relativeFrom="paragraph">
                  <wp:posOffset>41275</wp:posOffset>
                </wp:positionV>
                <wp:extent cx="0" cy="292100"/>
                <wp:effectExtent l="57150" t="38100" r="57150" b="12700"/>
                <wp:wrapNone/>
                <wp:docPr id="186" name="Straight Arrow Connector 186"/>
                <wp:cNvGraphicFramePr/>
                <a:graphic xmlns:a="http://schemas.openxmlformats.org/drawingml/2006/main">
                  <a:graphicData uri="http://schemas.microsoft.com/office/word/2010/wordprocessingShape">
                    <wps:wsp>
                      <wps:cNvCnPr/>
                      <wps:spPr>
                        <a:xfrm flipV="1">
                          <a:off x="0" y="0"/>
                          <a:ext cx="0" cy="292100"/>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620F50" id="Straight Arrow Connector 186" o:spid="_x0000_s1026" type="#_x0000_t32" style="position:absolute;margin-left:602.3pt;margin-top:3.25pt;width:0;height:23pt;flip: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" strokecolor="#839dcc" strokeweight="2.25pt">
                <v:stroke endarrow="block" joinstyle="miter"/>
              </v:shape>
            </w:pict>
          </mc:Fallback>
        </mc:AlternateContent>
      </w:r>
      <w:r w:rsidR="009B4AF3"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65920" behindDoc="0" locked="0" layoutInCell="1" allowOverlap="1" wp14:anchorId="167AE5A0" wp14:editId="48DAEC46">
                <wp:simplePos x="0" y="0"/>
                <wp:positionH relativeFrom="column">
                  <wp:posOffset>6023610</wp:posOffset>
                </wp:positionH>
                <wp:positionV relativeFrom="paragraph">
                  <wp:posOffset>41275</wp:posOffset>
                </wp:positionV>
                <wp:extent cx="0" cy="299720"/>
                <wp:effectExtent l="57150" t="38100" r="57150" b="5080"/>
                <wp:wrapNone/>
                <wp:docPr id="188" name="Straight Arrow Connector 188"/>
                <wp:cNvGraphicFramePr/>
                <a:graphic xmlns:a="http://schemas.openxmlformats.org/drawingml/2006/main">
                  <a:graphicData uri="http://schemas.microsoft.com/office/word/2010/wordprocessingShape">
                    <wps:wsp>
                      <wps:cNvCnPr/>
                      <wps:spPr>
                        <a:xfrm flipV="1">
                          <a:off x="0" y="0"/>
                          <a:ext cx="0" cy="299720"/>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1E7B3" id="Straight Arrow Connector 188" o:spid="_x0000_s1026" type="#_x0000_t32" style="position:absolute;margin-left:474.3pt;margin-top:3.25pt;width:0;height:23.6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" strokecolor="#839dcc" strokeweight="2.25pt">
                <v:stroke endarrow="block" joinstyle="miter"/>
              </v:shape>
            </w:pict>
          </mc:Fallback>
        </mc:AlternateContent>
      </w:r>
      <w:r w:rsidR="000F62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67968" behindDoc="0" locked="0" layoutInCell="1" allowOverlap="1" wp14:anchorId="0A929C27" wp14:editId="11A70483">
                <wp:simplePos x="0" y="0"/>
                <wp:positionH relativeFrom="column">
                  <wp:posOffset>3603625</wp:posOffset>
                </wp:positionH>
                <wp:positionV relativeFrom="paragraph">
                  <wp:posOffset>53975</wp:posOffset>
                </wp:positionV>
                <wp:extent cx="0" cy="3096000"/>
                <wp:effectExtent l="57150" t="38100" r="57150" b="9525"/>
                <wp:wrapNone/>
                <wp:docPr id="185" name="Straight Arrow Connector 185"/>
                <wp:cNvGraphicFramePr/>
                <a:graphic xmlns:a="http://schemas.openxmlformats.org/drawingml/2006/main">
                  <a:graphicData uri="http://schemas.microsoft.com/office/word/2010/wordprocessingShape">
                    <wps:wsp>
                      <wps:cNvCnPr/>
                      <wps:spPr>
                        <a:xfrm flipH="1" flipV="1">
                          <a:off x="0" y="0"/>
                          <a:ext cx="0" cy="309600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D2DD3D" id="Straight Arrow Connector 185" o:spid="_x0000_s1026" type="#_x0000_t32" style="position:absolute;margin-left:283.75pt;margin-top:4.25pt;width:0;height:243.8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" strokecolor="#839dcc" strokeweight="2.25pt">
                <v:stroke endarrow="block" joinstyle="miter"/>
              </v:shape>
            </w:pict>
          </mc:Fallback>
        </mc:AlternateContent>
      </w:r>
      <w:r w:rsidR="000F62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64896" behindDoc="0" locked="0" layoutInCell="1" allowOverlap="1" wp14:anchorId="2494188D" wp14:editId="4F64C937">
                <wp:simplePos x="0" y="0"/>
                <wp:positionH relativeFrom="column">
                  <wp:posOffset>4461510</wp:posOffset>
                </wp:positionH>
                <wp:positionV relativeFrom="paragraph">
                  <wp:posOffset>53975</wp:posOffset>
                </wp:positionV>
                <wp:extent cx="0" cy="279400"/>
                <wp:effectExtent l="57150" t="38100" r="57150" b="6350"/>
                <wp:wrapNone/>
                <wp:docPr id="189" name="Straight Arrow Connector 189"/>
                <wp:cNvGraphicFramePr/>
                <a:graphic xmlns:a="http://schemas.openxmlformats.org/drawingml/2006/main">
                  <a:graphicData uri="http://schemas.microsoft.com/office/word/2010/wordprocessingShape">
                    <wps:wsp>
                      <wps:cNvCnPr/>
                      <wps:spPr>
                        <a:xfrm flipV="1">
                          <a:off x="0" y="0"/>
                          <a:ext cx="0" cy="279400"/>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A4FF47" id="Straight Arrow Connector 189" o:spid="_x0000_s1026" type="#_x0000_t32" style="position:absolute;margin-left:351.3pt;margin-top:4.25pt;width:0;height:22pt;flip: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" strokecolor="#839dcc" strokeweight="2.25pt">
                <v:stroke endarrow="block" joinstyle="miter"/>
              </v:shape>
            </w:pict>
          </mc:Fallback>
        </mc:AlternateContent>
      </w:r>
      <w:r w:rsidR="000F62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63872" behindDoc="0" locked="0" layoutInCell="1" allowOverlap="1" wp14:anchorId="557CB4A0" wp14:editId="68882296">
                <wp:simplePos x="0" y="0"/>
                <wp:positionH relativeFrom="column">
                  <wp:posOffset>2988310</wp:posOffset>
                </wp:positionH>
                <wp:positionV relativeFrom="paragraph">
                  <wp:posOffset>53975</wp:posOffset>
                </wp:positionV>
                <wp:extent cx="0" cy="255270"/>
                <wp:effectExtent l="57150" t="38100" r="57150" b="11430"/>
                <wp:wrapNone/>
                <wp:docPr id="181" name="Straight Arrow Connector 181"/>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102E45" id="Straight Arrow Connector 181" o:spid="_x0000_s1026" type="#_x0000_t32" style="position:absolute;margin-left:235.3pt;margin-top:4.25pt;width:0;height:20.1pt;flip:y;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" strokecolor="#839dcc" strokeweight="2.25pt">
                <v:stroke endarrow="block" joinstyle="miter"/>
              </v:shape>
            </w:pict>
          </mc:Fallback>
        </mc:AlternateContent>
      </w:r>
      <w:r w:rsidR="000F62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61824" behindDoc="0" locked="0" layoutInCell="1" allowOverlap="1" wp14:anchorId="68A67C03" wp14:editId="49A3CC01">
                <wp:simplePos x="0" y="0"/>
                <wp:positionH relativeFrom="column">
                  <wp:posOffset>1540510</wp:posOffset>
                </wp:positionH>
                <wp:positionV relativeFrom="paragraph">
                  <wp:posOffset>41275</wp:posOffset>
                </wp:positionV>
                <wp:extent cx="0" cy="300355"/>
                <wp:effectExtent l="57150" t="38100" r="57150" b="4445"/>
                <wp:wrapNone/>
                <wp:docPr id="183" name="Straight Arrow Connector 183"/>
                <wp:cNvGraphicFramePr/>
                <a:graphic xmlns:a="http://schemas.openxmlformats.org/drawingml/2006/main">
                  <a:graphicData uri="http://schemas.microsoft.com/office/word/2010/wordprocessingShape">
                    <wps:wsp>
                      <wps:cNvCnPr/>
                      <wps:spPr>
                        <a:xfrm flipV="1">
                          <a:off x="0" y="0"/>
                          <a:ext cx="0" cy="300355"/>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E6C427" id="Straight Arrow Connector 183" o:spid="_x0000_s1026" type="#_x0000_t32" style="position:absolute;margin-left:121.3pt;margin-top:3.25pt;width:0;height:23.65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" strokecolor="#839dcc" strokeweight="2.25pt">
                <v:stroke endarrow="block" joinstyle="miter"/>
              </v:shape>
            </w:pict>
          </mc:Fallback>
        </mc:AlternateContent>
      </w:r>
      <w:r w:rsidR="000F62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62848" behindDoc="0" locked="0" layoutInCell="1" allowOverlap="1" wp14:anchorId="69D75A3B" wp14:editId="2BD61157">
                <wp:simplePos x="0" y="0"/>
                <wp:positionH relativeFrom="column">
                  <wp:posOffset>168910</wp:posOffset>
                </wp:positionH>
                <wp:positionV relativeFrom="paragraph">
                  <wp:posOffset>41275</wp:posOffset>
                </wp:positionV>
                <wp:extent cx="0" cy="300355"/>
                <wp:effectExtent l="57150" t="38100" r="57150" b="4445"/>
                <wp:wrapNone/>
                <wp:docPr id="182" name="Straight Arrow Connector 182"/>
                <wp:cNvGraphicFramePr/>
                <a:graphic xmlns:a="http://schemas.openxmlformats.org/drawingml/2006/main">
                  <a:graphicData uri="http://schemas.microsoft.com/office/word/2010/wordprocessingShape">
                    <wps:wsp>
                      <wps:cNvCnPr/>
                      <wps:spPr>
                        <a:xfrm flipV="1">
                          <a:off x="0" y="0"/>
                          <a:ext cx="0" cy="300355"/>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61AA87" id="Straight Arrow Connector 182" o:spid="_x0000_s1026" type="#_x0000_t32" style="position:absolute;margin-left:13.3pt;margin-top:3.25pt;width:0;height:23.65pt;flip:y;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" strokecolor="#839dcc" strokeweight="2.25pt">
                <v:stroke endarrow="block" joinstyle="miter"/>
              </v:shape>
            </w:pict>
          </mc:Fallback>
        </mc:AlternateContent>
      </w:r>
    </w:p>
    <w:p w14:paraId="5476C392" w14:textId="3A0BD5A1" w:rsidR="007B1A69" w:rsidRPr="000F0299" w:rsidRDefault="000F6269"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18816" behindDoc="0" locked="0" layoutInCell="1" allowOverlap="1" wp14:anchorId="05C46DB4" wp14:editId="4E63FB50">
                <wp:simplePos x="0" y="0"/>
                <wp:positionH relativeFrom="column">
                  <wp:posOffset>-453390</wp:posOffset>
                </wp:positionH>
                <wp:positionV relativeFrom="paragraph">
                  <wp:posOffset>174625</wp:posOffset>
                </wp:positionV>
                <wp:extent cx="1288415" cy="939800"/>
                <wp:effectExtent l="0" t="0" r="26035" b="12700"/>
                <wp:wrapNone/>
                <wp:docPr id="535" name="Text Box 535"/>
                <wp:cNvGraphicFramePr/>
                <a:graphic xmlns:a="http://schemas.openxmlformats.org/drawingml/2006/main">
                  <a:graphicData uri="http://schemas.microsoft.com/office/word/2010/wordprocessingShape">
                    <wps:wsp>
                      <wps:cNvSpPr txBox="1"/>
                      <wps:spPr>
                        <a:xfrm>
                          <a:off x="0" y="0"/>
                          <a:ext cx="1288415" cy="939800"/>
                        </a:xfrm>
                        <a:prstGeom prst="roundRect">
                          <a:avLst/>
                        </a:prstGeom>
                        <a:solidFill>
                          <a:sysClr val="window" lastClr="FFFFFF"/>
                        </a:solidFill>
                        <a:ln w="19050">
                          <a:solidFill>
                            <a:srgbClr val="839DCC"/>
                          </a:solidFill>
                        </a:ln>
                        <a:effectLst/>
                      </wps:spPr>
                      <wps:txbx>
                        <w:txbxContent>
                          <w:p w14:paraId="2D1F351A" w14:textId="47C57A4B" w:rsidR="00876FFE" w:rsidRPr="000F6269" w:rsidRDefault="00876FFE" w:rsidP="00E2152B">
                            <w:pPr>
                              <w:spacing w:before="0"/>
                              <w:ind w:firstLine="0"/>
                              <w:jc w:val="center"/>
                              <w:rPr>
                                <w:rFonts w:asciiTheme="minorHAnsi" w:hAnsiTheme="minorHAnsi" w:cstheme="minorHAnsi"/>
                                <w:sz w:val="22"/>
                                <w:szCs w:val="22"/>
                                <w:lang w:val="uz-Cyrl-UZ"/>
                              </w:rPr>
                            </w:pPr>
                            <w:r w:rsidRPr="000F6269">
                              <w:rPr>
                                <w:rFonts w:asciiTheme="minorHAnsi" w:hAnsiTheme="minorHAnsi" w:cstheme="minorHAnsi"/>
                                <w:sz w:val="22"/>
                                <w:szCs w:val="22"/>
                                <w:lang w:val="uz-Cyrl-UZ"/>
                              </w:rPr>
                              <w:t>Процене учинка нису довољно побољшане</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C46DB4" id="Text Box 535" o:spid="_x0000_s1346" style="position:absolute;left:0;text-align:left;margin-left:-35.7pt;margin-top:13.75pt;width:101.45pt;height:7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" fillcolor="window" strokecolor="#839dcc" strokeweight="1.5pt">
                <v:textbox inset="0,0,1mm,0">
                  <w:txbxContent>
                    <w:p w14:paraId="2D1F351A" w14:textId="47C57A4B" w:rsidR="00876FFE" w:rsidRPr="000F6269" w:rsidRDefault="00876FFE" w:rsidP="00E2152B">
                      <w:pPr>
                        <w:spacing w:before="0"/>
                        <w:ind w:firstLine="0"/>
                        <w:jc w:val="center"/>
                        <w:rPr>
                          <w:rFonts w:asciiTheme="minorHAnsi" w:hAnsiTheme="minorHAnsi" w:cstheme="minorHAnsi"/>
                          <w:sz w:val="22"/>
                          <w:szCs w:val="22"/>
                          <w:lang w:val="uz-Cyrl-UZ"/>
                        </w:rPr>
                      </w:pPr>
                      <w:r w:rsidRPr="000F6269">
                        <w:rPr>
                          <w:rFonts w:asciiTheme="minorHAnsi" w:hAnsiTheme="minorHAnsi" w:cstheme="minorHAnsi"/>
                          <w:sz w:val="22"/>
                          <w:szCs w:val="22"/>
                          <w:lang w:val="uz-Cyrl-UZ"/>
                        </w:rPr>
                        <w:t xml:space="preserve">Процене </w:t>
                      </w:r>
                      <w:r w:rsidRPr="000F6269">
                        <w:rPr>
                          <w:rFonts w:asciiTheme="minorHAnsi" w:hAnsiTheme="minorHAnsi" w:cstheme="minorHAnsi"/>
                          <w:sz w:val="22"/>
                          <w:szCs w:val="22"/>
                          <w:lang w:val="uz-Cyrl-UZ"/>
                        </w:rPr>
                        <w:t>учинка нису довољно побољшане</w:t>
                      </w:r>
                    </w:p>
                  </w:txbxContent>
                </v:textbox>
              </v:roundrect>
            </w:pict>
          </mc:Fallback>
        </mc:AlternateContent>
      </w:r>
    </w:p>
    <w:p w14:paraId="6B39953F" w14:textId="77136D0F" w:rsidR="007B1A69" w:rsidRPr="000F0299" w:rsidRDefault="00EB1CF4"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25984" behindDoc="0" locked="0" layoutInCell="1" allowOverlap="1" wp14:anchorId="1D480073" wp14:editId="6CAD1B8E">
                <wp:simplePos x="0" y="0"/>
                <wp:positionH relativeFrom="column">
                  <wp:posOffset>12653010</wp:posOffset>
                </wp:positionH>
                <wp:positionV relativeFrom="paragraph">
                  <wp:posOffset>66675</wp:posOffset>
                </wp:positionV>
                <wp:extent cx="1009650" cy="838200"/>
                <wp:effectExtent l="0" t="0" r="19050" b="19050"/>
                <wp:wrapNone/>
                <wp:docPr id="536" name="Text Box 536"/>
                <wp:cNvGraphicFramePr/>
                <a:graphic xmlns:a="http://schemas.openxmlformats.org/drawingml/2006/main">
                  <a:graphicData uri="http://schemas.microsoft.com/office/word/2010/wordprocessingShape">
                    <wps:wsp>
                      <wps:cNvSpPr txBox="1"/>
                      <wps:spPr>
                        <a:xfrm>
                          <a:off x="0" y="0"/>
                          <a:ext cx="1009650" cy="838200"/>
                        </a:xfrm>
                        <a:prstGeom prst="roundRect">
                          <a:avLst/>
                        </a:prstGeom>
                        <a:solidFill>
                          <a:sysClr val="window" lastClr="FFFFFF"/>
                        </a:solidFill>
                        <a:ln w="19050">
                          <a:solidFill>
                            <a:srgbClr val="839DCC"/>
                          </a:solidFill>
                        </a:ln>
                        <a:effectLst/>
                      </wps:spPr>
                      <wps:txbx>
                        <w:txbxContent>
                          <w:p w14:paraId="6B151EC9" w14:textId="77777777" w:rsidR="00876FFE" w:rsidRPr="00EB1CF4" w:rsidRDefault="00876FFE" w:rsidP="00EB1CF4">
                            <w:pPr>
                              <w:spacing w:before="0"/>
                              <w:ind w:firstLine="0"/>
                              <w:jc w:val="center"/>
                              <w:rPr>
                                <w:rFonts w:asciiTheme="minorHAnsi" w:hAnsiTheme="minorHAnsi" w:cstheme="minorHAnsi"/>
                                <w:sz w:val="22"/>
                                <w:szCs w:val="22"/>
                              </w:rPr>
                            </w:pPr>
                            <w:r w:rsidRPr="00EB1CF4">
                              <w:rPr>
                                <w:rFonts w:asciiTheme="minorHAnsi" w:hAnsiTheme="minorHAnsi" w:cstheme="minorHAnsi"/>
                                <w:sz w:val="22"/>
                                <w:szCs w:val="22"/>
                              </w:rPr>
                              <w:t>Утицај ДРИ није довољно ојачан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D480073" id="Text Box 536" o:spid="_x0000_s1347" style="position:absolute;left:0;text-align:left;margin-left:996.3pt;margin-top:5.25pt;width:79.5pt;height:6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" fillcolor="window" strokecolor="#839dcc" strokeweight="1.5pt">
                <v:textbox inset="0,0,0,0">
                  <w:txbxContent>
                    <w:p w14:paraId="6B151EC9" w14:textId="77777777" w:rsidR="00876FFE" w:rsidRPr="00EB1CF4" w:rsidRDefault="00876FFE" w:rsidP="00EB1CF4">
                      <w:pPr>
                        <w:spacing w:before="0"/>
                        <w:ind w:firstLine="0"/>
                        <w:jc w:val="center"/>
                        <w:rPr>
                          <w:rFonts w:asciiTheme="minorHAnsi" w:hAnsiTheme="minorHAnsi" w:cstheme="minorHAnsi"/>
                          <w:sz w:val="22"/>
                          <w:szCs w:val="22"/>
                        </w:rPr>
                      </w:pPr>
                      <w:r w:rsidRPr="00EB1CF4">
                        <w:rPr>
                          <w:rFonts w:asciiTheme="minorHAnsi" w:hAnsiTheme="minorHAnsi" w:cstheme="minorHAnsi"/>
                          <w:sz w:val="22"/>
                          <w:szCs w:val="22"/>
                        </w:rPr>
                        <w:t>Утицај ДРИ није довољно ојачан</w:t>
                      </w:r>
                    </w:p>
                  </w:txbxContent>
                </v:textbox>
              </v:roundrect>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24960" behindDoc="0" locked="0" layoutInCell="1" allowOverlap="1" wp14:anchorId="22AF7167" wp14:editId="4806FB37">
                <wp:simplePos x="0" y="0"/>
                <wp:positionH relativeFrom="column">
                  <wp:posOffset>11167110</wp:posOffset>
                </wp:positionH>
                <wp:positionV relativeFrom="paragraph">
                  <wp:posOffset>53975</wp:posOffset>
                </wp:positionV>
                <wp:extent cx="1143000" cy="1384300"/>
                <wp:effectExtent l="0" t="0" r="19050" b="25400"/>
                <wp:wrapNone/>
                <wp:docPr id="537" name="Text Box 537"/>
                <wp:cNvGraphicFramePr/>
                <a:graphic xmlns:a="http://schemas.openxmlformats.org/drawingml/2006/main">
                  <a:graphicData uri="http://schemas.microsoft.com/office/word/2010/wordprocessingShape">
                    <wps:wsp>
                      <wps:cNvSpPr txBox="1"/>
                      <wps:spPr>
                        <a:xfrm>
                          <a:off x="0" y="0"/>
                          <a:ext cx="1143000" cy="1384300"/>
                        </a:xfrm>
                        <a:prstGeom prst="roundRect">
                          <a:avLst/>
                        </a:prstGeom>
                        <a:solidFill>
                          <a:sysClr val="window" lastClr="FFFFFF"/>
                        </a:solidFill>
                        <a:ln w="19050">
                          <a:solidFill>
                            <a:srgbClr val="839DCC"/>
                          </a:solidFill>
                        </a:ln>
                        <a:effectLst/>
                      </wps:spPr>
                      <wps:txbx>
                        <w:txbxContent>
                          <w:p w14:paraId="314CF6DC" w14:textId="77777777" w:rsidR="00876FFE" w:rsidRPr="00EB1CF4" w:rsidRDefault="00876FFE" w:rsidP="00EB1CF4">
                            <w:pPr>
                              <w:spacing w:before="0"/>
                              <w:ind w:firstLine="0"/>
                              <w:jc w:val="center"/>
                              <w:rPr>
                                <w:rFonts w:asciiTheme="minorHAnsi" w:hAnsiTheme="minorHAnsi" w:cstheme="minorHAnsi"/>
                                <w:sz w:val="22"/>
                                <w:szCs w:val="22"/>
                                <w:lang w:val="sr"/>
                              </w:rPr>
                            </w:pPr>
                            <w:r w:rsidRPr="00EB1CF4">
                              <w:rPr>
                                <w:rFonts w:asciiTheme="minorHAnsi" w:hAnsiTheme="minorHAnsi" w:cstheme="minorHAnsi"/>
                                <w:sz w:val="22"/>
                                <w:szCs w:val="22"/>
                                <w:lang w:val="sr"/>
                              </w:rPr>
                              <w:t>Није успостављено систематско праћење спровођења препорука ревизије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AF7167" id="Text Box 537" o:spid="_x0000_s1348" style="position:absolute;left:0;text-align:left;margin-left:879.3pt;margin-top:4.25pt;width:90pt;height:10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" fillcolor="window" strokecolor="#839dcc" strokeweight="1.5pt">
                <v:textbox inset="0,0,0,0">
                  <w:txbxContent>
                    <w:p w14:paraId="314CF6DC" w14:textId="77777777" w:rsidR="00876FFE" w:rsidRPr="00EB1CF4" w:rsidRDefault="00876FFE" w:rsidP="00EB1CF4">
                      <w:pPr>
                        <w:spacing w:before="0"/>
                        <w:ind w:firstLine="0"/>
                        <w:jc w:val="center"/>
                        <w:rPr>
                          <w:rFonts w:asciiTheme="minorHAnsi" w:hAnsiTheme="minorHAnsi" w:cstheme="minorHAnsi"/>
                          <w:sz w:val="22"/>
                          <w:szCs w:val="22"/>
                          <w:lang w:val="sr"/>
                        </w:rPr>
                      </w:pPr>
                      <w:r w:rsidRPr="00EB1CF4">
                        <w:rPr>
                          <w:rFonts w:asciiTheme="minorHAnsi" w:hAnsiTheme="minorHAnsi" w:cstheme="minorHAnsi"/>
                          <w:sz w:val="22"/>
                          <w:szCs w:val="22"/>
                          <w:lang w:val="sr"/>
                        </w:rPr>
                        <w:t>Није успостављено систематско праћење спровођења препорука ревизије</w:t>
                      </w:r>
                    </w:p>
                  </w:txbxContent>
                </v:textbox>
              </v:roundrect>
            </w:pict>
          </mc:Fallback>
        </mc:AlternateContent>
      </w:r>
      <w:r w:rsidR="00973E51"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37248" behindDoc="0" locked="0" layoutInCell="1" allowOverlap="1" wp14:anchorId="3D074891" wp14:editId="4EE044B9">
                <wp:simplePos x="0" y="0"/>
                <wp:positionH relativeFrom="column">
                  <wp:posOffset>5287010</wp:posOffset>
                </wp:positionH>
                <wp:positionV relativeFrom="paragraph">
                  <wp:posOffset>66675</wp:posOffset>
                </wp:positionV>
                <wp:extent cx="1498600" cy="890905"/>
                <wp:effectExtent l="0" t="0" r="25400" b="23495"/>
                <wp:wrapNone/>
                <wp:docPr id="560" name="Text Box 560"/>
                <wp:cNvGraphicFramePr/>
                <a:graphic xmlns:a="http://schemas.openxmlformats.org/drawingml/2006/main">
                  <a:graphicData uri="http://schemas.microsoft.com/office/word/2010/wordprocessingShape">
                    <wps:wsp>
                      <wps:cNvSpPr txBox="1"/>
                      <wps:spPr>
                        <a:xfrm>
                          <a:off x="0" y="0"/>
                          <a:ext cx="1498600" cy="890905"/>
                        </a:xfrm>
                        <a:prstGeom prst="roundRect">
                          <a:avLst/>
                        </a:prstGeom>
                        <a:solidFill>
                          <a:sysClr val="window" lastClr="FFFFFF"/>
                        </a:solidFill>
                        <a:ln w="19050">
                          <a:solidFill>
                            <a:srgbClr val="839DCC"/>
                          </a:solidFill>
                        </a:ln>
                        <a:effectLst/>
                      </wps:spPr>
                      <wps:txbx>
                        <w:txbxContent>
                          <w:p w14:paraId="55DDC02C" w14:textId="77777777" w:rsidR="00876FFE" w:rsidRPr="009B4AF3" w:rsidRDefault="00876FFE" w:rsidP="009B4AF3">
                            <w:pPr>
                              <w:spacing w:before="0"/>
                              <w:ind w:firstLine="0"/>
                              <w:jc w:val="center"/>
                              <w:rPr>
                                <w:rFonts w:asciiTheme="minorHAnsi" w:hAnsiTheme="minorHAnsi" w:cstheme="minorHAnsi"/>
                                <w:sz w:val="22"/>
                                <w:szCs w:val="22"/>
                                <w:lang w:val="sr"/>
                              </w:rPr>
                            </w:pPr>
                            <w:r w:rsidRPr="009B4AF3">
                              <w:rPr>
                                <w:rFonts w:asciiTheme="minorHAnsi" w:hAnsiTheme="minorHAnsi" w:cstheme="minorHAnsi"/>
                                <w:sz w:val="22"/>
                                <w:szCs w:val="22"/>
                                <w:lang w:val="sr"/>
                              </w:rPr>
                              <w:t xml:space="preserve">Недовољна посвећеност примени </w:t>
                            </w:r>
                            <w:r w:rsidRPr="00B525EB">
                              <w:rPr>
                                <w:rFonts w:asciiTheme="minorHAnsi" w:hAnsiTheme="minorHAnsi" w:cstheme="minorHAnsi"/>
                                <w:i/>
                                <w:sz w:val="22"/>
                                <w:szCs w:val="22"/>
                                <w:lang w:val="en-US"/>
                              </w:rPr>
                              <w:t>COSO</w:t>
                            </w:r>
                            <w:r w:rsidRPr="009B4AF3">
                              <w:rPr>
                                <w:rFonts w:asciiTheme="minorHAnsi" w:hAnsiTheme="minorHAnsi" w:cstheme="minorHAnsi"/>
                                <w:sz w:val="22"/>
                                <w:szCs w:val="22"/>
                                <w:lang w:val="en-US"/>
                              </w:rPr>
                              <w:t xml:space="preserve"> </w:t>
                            </w:r>
                            <w:r w:rsidRPr="009B4AF3">
                              <w:rPr>
                                <w:rFonts w:asciiTheme="minorHAnsi" w:hAnsiTheme="minorHAnsi" w:cstheme="minorHAnsi"/>
                                <w:sz w:val="22"/>
                                <w:szCs w:val="22"/>
                                <w:lang w:val="sr"/>
                              </w:rPr>
                              <w:t xml:space="preserve">принципа у </w:t>
                            </w:r>
                            <w:r w:rsidRPr="009B4AF3">
                              <w:rPr>
                                <w:rFonts w:asciiTheme="minorHAnsi" w:hAnsiTheme="minorHAnsi" w:cstheme="minorHAnsi"/>
                                <w:sz w:val="22"/>
                                <w:szCs w:val="22"/>
                                <w:lang w:val="uz-Cyrl-UZ"/>
                              </w:rPr>
                              <w:t xml:space="preserve"> </w:t>
                            </w:r>
                            <w:r w:rsidRPr="009B4AF3">
                              <w:rPr>
                                <w:rFonts w:asciiTheme="minorHAnsi" w:hAnsiTheme="minorHAnsi" w:cstheme="minorHAnsi"/>
                                <w:sz w:val="22"/>
                                <w:szCs w:val="22"/>
                                <w:lang w:val="sr"/>
                              </w:rPr>
                              <w:t>јавном сектору</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074891" id="Text Box 560" o:spid="_x0000_s1349" style="position:absolute;left:0;text-align:left;margin-left:416.3pt;margin-top:5.25pt;width:118pt;height:70.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" fillcolor="window" strokecolor="#839dcc" strokeweight="1.5pt">
                <v:textbox inset="0,0,1mm,0">
                  <w:txbxContent>
                    <w:p w14:paraId="55DDC02C" w14:textId="77777777" w:rsidR="00876FFE" w:rsidRPr="009B4AF3" w:rsidRDefault="00876FFE" w:rsidP="009B4AF3">
                      <w:pPr>
                        <w:spacing w:before="0"/>
                        <w:ind w:firstLine="0"/>
                        <w:jc w:val="center"/>
                        <w:rPr>
                          <w:rFonts w:asciiTheme="minorHAnsi" w:hAnsiTheme="minorHAnsi" w:cstheme="minorHAnsi"/>
                          <w:sz w:val="22"/>
                          <w:szCs w:val="22"/>
                          <w:lang w:val="sr"/>
                        </w:rPr>
                      </w:pPr>
                      <w:r w:rsidRPr="009B4AF3">
                        <w:rPr>
                          <w:rFonts w:asciiTheme="minorHAnsi" w:hAnsiTheme="minorHAnsi" w:cstheme="minorHAnsi"/>
                          <w:sz w:val="22"/>
                          <w:szCs w:val="22"/>
                          <w:lang w:val="sr"/>
                        </w:rPr>
                        <w:t xml:space="preserve">Недовољна </w:t>
                      </w:r>
                      <w:r w:rsidRPr="009B4AF3">
                        <w:rPr>
                          <w:rFonts w:asciiTheme="minorHAnsi" w:hAnsiTheme="minorHAnsi" w:cstheme="minorHAnsi"/>
                          <w:sz w:val="22"/>
                          <w:szCs w:val="22"/>
                          <w:lang w:val="sr"/>
                        </w:rPr>
                        <w:t xml:space="preserve">посвећеност примени </w:t>
                      </w:r>
                      <w:proofErr w:type="spellStart"/>
                      <w:r w:rsidRPr="00B525EB">
                        <w:rPr>
                          <w:rFonts w:asciiTheme="minorHAnsi" w:hAnsiTheme="minorHAnsi" w:cstheme="minorHAnsi"/>
                          <w:i/>
                          <w:sz w:val="22"/>
                          <w:szCs w:val="22"/>
                          <w:lang w:val="en-US"/>
                        </w:rPr>
                        <w:t>COSO</w:t>
                      </w:r>
                      <w:proofErr w:type="spellEnd"/>
                      <w:r w:rsidRPr="009B4AF3">
                        <w:rPr>
                          <w:rFonts w:asciiTheme="minorHAnsi" w:hAnsiTheme="minorHAnsi" w:cstheme="minorHAnsi"/>
                          <w:sz w:val="22"/>
                          <w:szCs w:val="22"/>
                          <w:lang w:val="en-US"/>
                        </w:rPr>
                        <w:t xml:space="preserve"> </w:t>
                      </w:r>
                      <w:r w:rsidRPr="009B4AF3">
                        <w:rPr>
                          <w:rFonts w:asciiTheme="minorHAnsi" w:hAnsiTheme="minorHAnsi" w:cstheme="minorHAnsi"/>
                          <w:sz w:val="22"/>
                          <w:szCs w:val="22"/>
                          <w:lang w:val="sr"/>
                        </w:rPr>
                        <w:t xml:space="preserve">принципа у </w:t>
                      </w:r>
                      <w:r w:rsidRPr="009B4AF3">
                        <w:rPr>
                          <w:rFonts w:asciiTheme="minorHAnsi" w:hAnsiTheme="minorHAnsi" w:cstheme="minorHAnsi"/>
                          <w:sz w:val="22"/>
                          <w:szCs w:val="22"/>
                          <w:lang w:val="uz-Cyrl-UZ"/>
                        </w:rPr>
                        <w:t xml:space="preserve"> </w:t>
                      </w:r>
                      <w:r w:rsidRPr="009B4AF3">
                        <w:rPr>
                          <w:rFonts w:asciiTheme="minorHAnsi" w:hAnsiTheme="minorHAnsi" w:cstheme="minorHAnsi"/>
                          <w:sz w:val="22"/>
                          <w:szCs w:val="22"/>
                          <w:lang w:val="sr"/>
                        </w:rPr>
                        <w:t>јавном сектору</w:t>
                      </w:r>
                    </w:p>
                  </w:txbxContent>
                </v:textbox>
              </v:roundrect>
            </w:pict>
          </mc:Fallback>
        </mc:AlternateContent>
      </w:r>
      <w:r w:rsidR="00973E51"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38272" behindDoc="0" locked="0" layoutInCell="1" allowOverlap="1" wp14:anchorId="33D0E828" wp14:editId="0CB93B96">
                <wp:simplePos x="0" y="0"/>
                <wp:positionH relativeFrom="page">
                  <wp:posOffset>7823200</wp:posOffset>
                </wp:positionH>
                <wp:positionV relativeFrom="paragraph">
                  <wp:posOffset>66675</wp:posOffset>
                </wp:positionV>
                <wp:extent cx="1244600" cy="914400"/>
                <wp:effectExtent l="0" t="0" r="12700" b="19050"/>
                <wp:wrapNone/>
                <wp:docPr id="559" name="Text Box 559"/>
                <wp:cNvGraphicFramePr/>
                <a:graphic xmlns:a="http://schemas.openxmlformats.org/drawingml/2006/main">
                  <a:graphicData uri="http://schemas.microsoft.com/office/word/2010/wordprocessingShape">
                    <wps:wsp>
                      <wps:cNvSpPr txBox="1"/>
                      <wps:spPr>
                        <a:xfrm>
                          <a:off x="0" y="0"/>
                          <a:ext cx="1244600" cy="914400"/>
                        </a:xfrm>
                        <a:prstGeom prst="roundRect">
                          <a:avLst/>
                        </a:prstGeom>
                        <a:solidFill>
                          <a:sysClr val="window" lastClr="FFFFFF"/>
                        </a:solidFill>
                        <a:ln w="19050">
                          <a:solidFill>
                            <a:srgbClr val="839DCC"/>
                          </a:solidFill>
                        </a:ln>
                        <a:effectLst/>
                      </wps:spPr>
                      <wps:txbx>
                        <w:txbxContent>
                          <w:p w14:paraId="70A71BAD" w14:textId="77777777" w:rsidR="00876FFE" w:rsidRPr="009B4AF3" w:rsidRDefault="00876FFE" w:rsidP="009B4AF3">
                            <w:pPr>
                              <w:spacing w:before="0"/>
                              <w:ind w:firstLine="0"/>
                              <w:jc w:val="center"/>
                              <w:rPr>
                                <w:rFonts w:asciiTheme="minorHAnsi" w:hAnsiTheme="minorHAnsi" w:cstheme="minorHAnsi"/>
                                <w:sz w:val="22"/>
                                <w:szCs w:val="22"/>
                                <w:lang w:val="uz-Cyrl-UZ"/>
                              </w:rPr>
                            </w:pPr>
                            <w:r w:rsidRPr="009B4AF3">
                              <w:rPr>
                                <w:rFonts w:asciiTheme="minorHAnsi" w:hAnsiTheme="minorHAnsi" w:cstheme="minorHAnsi"/>
                                <w:sz w:val="22"/>
                                <w:szCs w:val="22"/>
                                <w:lang w:val="uz-Cyrl-UZ"/>
                              </w:rPr>
                              <w:t>Недовољни капацитети интерних ревизора</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D0E828" id="Text Box 559" o:spid="_x0000_s1350" style="position:absolute;left:0;text-align:left;margin-left:616pt;margin-top:5.25pt;width:98pt;height:1in;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" fillcolor="window" strokecolor="#839dcc" strokeweight="1.5pt">
                <v:textbox inset="0,0,1mm,0">
                  <w:txbxContent>
                    <w:p w14:paraId="70A71BAD" w14:textId="77777777" w:rsidR="00876FFE" w:rsidRPr="009B4AF3" w:rsidRDefault="00876FFE" w:rsidP="009B4AF3">
                      <w:pPr>
                        <w:spacing w:before="0"/>
                        <w:ind w:firstLine="0"/>
                        <w:jc w:val="center"/>
                        <w:rPr>
                          <w:rFonts w:asciiTheme="minorHAnsi" w:hAnsiTheme="minorHAnsi" w:cstheme="minorHAnsi"/>
                          <w:sz w:val="22"/>
                          <w:szCs w:val="22"/>
                          <w:lang w:val="uz-Cyrl-UZ"/>
                        </w:rPr>
                      </w:pPr>
                      <w:r w:rsidRPr="009B4AF3">
                        <w:rPr>
                          <w:rFonts w:asciiTheme="minorHAnsi" w:hAnsiTheme="minorHAnsi" w:cstheme="minorHAnsi"/>
                          <w:sz w:val="22"/>
                          <w:szCs w:val="22"/>
                          <w:lang w:val="uz-Cyrl-UZ"/>
                        </w:rPr>
                        <w:t>Недовољни капацитети интерних ревизора</w:t>
                      </w:r>
                    </w:p>
                  </w:txbxContent>
                </v:textbox>
                <w10:wrap anchorx="page"/>
              </v:roundrect>
            </w:pict>
          </mc:Fallback>
        </mc:AlternateContent>
      </w:r>
      <w:r w:rsidR="003028A0"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23936" behindDoc="0" locked="0" layoutInCell="1" allowOverlap="1" wp14:anchorId="1AFDEBD6" wp14:editId="392F9CD2">
                <wp:simplePos x="0" y="0"/>
                <wp:positionH relativeFrom="column">
                  <wp:posOffset>9033510</wp:posOffset>
                </wp:positionH>
                <wp:positionV relativeFrom="paragraph">
                  <wp:posOffset>53975</wp:posOffset>
                </wp:positionV>
                <wp:extent cx="1317625" cy="901700"/>
                <wp:effectExtent l="0" t="0" r="15875" b="12700"/>
                <wp:wrapNone/>
                <wp:docPr id="564" name="Text Box 564"/>
                <wp:cNvGraphicFramePr/>
                <a:graphic xmlns:a="http://schemas.openxmlformats.org/drawingml/2006/main">
                  <a:graphicData uri="http://schemas.microsoft.com/office/word/2010/wordprocessingShape">
                    <wps:wsp>
                      <wps:cNvSpPr txBox="1"/>
                      <wps:spPr>
                        <a:xfrm>
                          <a:off x="0" y="0"/>
                          <a:ext cx="1317625" cy="901700"/>
                        </a:xfrm>
                        <a:prstGeom prst="roundRect">
                          <a:avLst/>
                        </a:prstGeom>
                        <a:solidFill>
                          <a:sysClr val="window" lastClr="FFFFFF"/>
                        </a:solidFill>
                        <a:ln w="19050">
                          <a:solidFill>
                            <a:srgbClr val="839DCC"/>
                          </a:solidFill>
                        </a:ln>
                        <a:effectLst/>
                      </wps:spPr>
                      <wps:txbx>
                        <w:txbxContent>
                          <w:p w14:paraId="349C4BCF" w14:textId="441823D8" w:rsidR="00876FFE" w:rsidRPr="00973E51" w:rsidRDefault="00876FFE" w:rsidP="00973E51">
                            <w:pPr>
                              <w:spacing w:before="0"/>
                              <w:ind w:firstLine="0"/>
                              <w:jc w:val="center"/>
                              <w:rPr>
                                <w:rFonts w:asciiTheme="minorHAnsi" w:hAnsiTheme="minorHAnsi" w:cstheme="minorHAnsi"/>
                                <w:sz w:val="22"/>
                                <w:szCs w:val="22"/>
                                <w:lang w:val="en-US"/>
                              </w:rPr>
                            </w:pPr>
                            <w:r w:rsidRPr="00973E51">
                              <w:rPr>
                                <w:rFonts w:asciiTheme="minorHAnsi" w:hAnsiTheme="minorHAnsi" w:cstheme="minorHAnsi"/>
                                <w:sz w:val="22"/>
                                <w:szCs w:val="22"/>
                                <w:lang w:val="uz-Cyrl-UZ"/>
                              </w:rPr>
                              <w:t>Непотпуно ојачани и делотворни процес</w:t>
                            </w:r>
                            <w:r w:rsidRPr="00973E51">
                              <w:rPr>
                                <w:rFonts w:asciiTheme="minorHAnsi" w:hAnsiTheme="minorHAnsi" w:cstheme="minorHAnsi"/>
                                <w:sz w:val="22"/>
                                <w:szCs w:val="22"/>
                                <w:lang w:val="sr"/>
                              </w:rPr>
                              <w:t>и</w:t>
                            </w:r>
                            <w:r w:rsidRPr="00973E51">
                              <w:rPr>
                                <w:rFonts w:asciiTheme="minorHAnsi" w:hAnsiTheme="minorHAnsi" w:cstheme="minorHAnsi"/>
                                <w:sz w:val="22"/>
                                <w:szCs w:val="22"/>
                                <w:lang w:val="uz-Cyrl-UZ"/>
                              </w:rPr>
                              <w:t xml:space="preserve"> контроле</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FDEBD6" id="Text Box 564" o:spid="_x0000_s1351" style="position:absolute;left:0;text-align:left;margin-left:711.3pt;margin-top:4.25pt;width:103.75pt;height:7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" fillcolor="window" strokecolor="#839dcc" strokeweight="1.5pt">
                <v:textbox inset="0,0,1mm,0">
                  <w:txbxContent>
                    <w:p w14:paraId="349C4BCF" w14:textId="441823D8" w:rsidR="00876FFE" w:rsidRPr="00973E51" w:rsidRDefault="00876FFE" w:rsidP="00973E51">
                      <w:pPr>
                        <w:spacing w:before="0"/>
                        <w:ind w:firstLine="0"/>
                        <w:jc w:val="center"/>
                        <w:rPr>
                          <w:rFonts w:asciiTheme="minorHAnsi" w:hAnsiTheme="minorHAnsi" w:cstheme="minorHAnsi"/>
                          <w:sz w:val="22"/>
                          <w:szCs w:val="22"/>
                          <w:lang w:val="en-US"/>
                        </w:rPr>
                      </w:pPr>
                      <w:r w:rsidRPr="00973E51">
                        <w:rPr>
                          <w:rFonts w:asciiTheme="minorHAnsi" w:hAnsiTheme="minorHAnsi" w:cstheme="minorHAnsi"/>
                          <w:sz w:val="22"/>
                          <w:szCs w:val="22"/>
                          <w:lang w:val="uz-Cyrl-UZ"/>
                        </w:rPr>
                        <w:t xml:space="preserve">Непотпуно </w:t>
                      </w:r>
                      <w:r w:rsidRPr="00973E51">
                        <w:rPr>
                          <w:rFonts w:asciiTheme="minorHAnsi" w:hAnsiTheme="minorHAnsi" w:cstheme="minorHAnsi"/>
                          <w:sz w:val="22"/>
                          <w:szCs w:val="22"/>
                          <w:lang w:val="uz-Cyrl-UZ"/>
                        </w:rPr>
                        <w:t>ојачани и делотворни процес</w:t>
                      </w:r>
                      <w:r w:rsidRPr="00973E51">
                        <w:rPr>
                          <w:rFonts w:asciiTheme="minorHAnsi" w:hAnsiTheme="minorHAnsi" w:cstheme="minorHAnsi"/>
                          <w:sz w:val="22"/>
                          <w:szCs w:val="22"/>
                          <w:lang w:val="sr"/>
                        </w:rPr>
                        <w:t>и</w:t>
                      </w:r>
                      <w:r w:rsidRPr="00973E51">
                        <w:rPr>
                          <w:rFonts w:asciiTheme="minorHAnsi" w:hAnsiTheme="minorHAnsi" w:cstheme="minorHAnsi"/>
                          <w:sz w:val="22"/>
                          <w:szCs w:val="22"/>
                          <w:lang w:val="uz-Cyrl-UZ"/>
                        </w:rPr>
                        <w:t xml:space="preserve"> контроле</w:t>
                      </w:r>
                    </w:p>
                  </w:txbxContent>
                </v:textbox>
              </v:roundrect>
            </w:pict>
          </mc:Fallback>
        </mc:AlternateContent>
      </w:r>
      <w:r w:rsidR="000F62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20864" behindDoc="0" locked="0" layoutInCell="1" allowOverlap="1" wp14:anchorId="3A98A9E8" wp14:editId="729FE805">
                <wp:simplePos x="0" y="0"/>
                <wp:positionH relativeFrom="column">
                  <wp:posOffset>2226310</wp:posOffset>
                </wp:positionH>
                <wp:positionV relativeFrom="paragraph">
                  <wp:posOffset>28575</wp:posOffset>
                </wp:positionV>
                <wp:extent cx="1276985" cy="966470"/>
                <wp:effectExtent l="0" t="0" r="18415" b="24130"/>
                <wp:wrapNone/>
                <wp:docPr id="562" name="Text Box 562"/>
                <wp:cNvGraphicFramePr/>
                <a:graphic xmlns:a="http://schemas.openxmlformats.org/drawingml/2006/main">
                  <a:graphicData uri="http://schemas.microsoft.com/office/word/2010/wordprocessingShape">
                    <wps:wsp>
                      <wps:cNvSpPr txBox="1"/>
                      <wps:spPr>
                        <a:xfrm>
                          <a:off x="0" y="0"/>
                          <a:ext cx="1276985" cy="966470"/>
                        </a:xfrm>
                        <a:prstGeom prst="roundRect">
                          <a:avLst/>
                        </a:prstGeom>
                        <a:solidFill>
                          <a:sysClr val="window" lastClr="FFFFFF"/>
                        </a:solidFill>
                        <a:ln w="19050">
                          <a:solidFill>
                            <a:srgbClr val="839DCC"/>
                          </a:solidFill>
                        </a:ln>
                        <a:effectLst/>
                      </wps:spPr>
                      <wps:txbx>
                        <w:txbxContent>
                          <w:p w14:paraId="2144F6EC" w14:textId="77777777" w:rsidR="00876FFE" w:rsidRPr="000F6269" w:rsidRDefault="00876FFE" w:rsidP="00B525EB">
                            <w:pPr>
                              <w:jc w:val="center"/>
                              <w:rPr>
                                <w:rFonts w:asciiTheme="minorHAnsi" w:hAnsiTheme="minorHAnsi" w:cstheme="minorHAnsi"/>
                                <w:sz w:val="22"/>
                                <w:szCs w:val="22"/>
                                <w:lang w:val="uz-Cyrl-UZ"/>
                              </w:rPr>
                            </w:pPr>
                            <w:r w:rsidRPr="000F6269">
                              <w:rPr>
                                <w:rFonts w:asciiTheme="minorHAnsi" w:hAnsiTheme="minorHAnsi" w:cstheme="minorHAnsi"/>
                                <w:sz w:val="22"/>
                                <w:szCs w:val="22"/>
                                <w:lang w:val="uz-Cyrl-UZ"/>
                              </w:rPr>
                              <w:t>Систем јавних набаки недовољно развијен</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A98A9E8" id="Text Box 562" o:spid="_x0000_s1352" style="position:absolute;left:0;text-align:left;margin-left:175.3pt;margin-top:2.25pt;width:100.55pt;height:76.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" fillcolor="window" strokecolor="#839dcc" strokeweight="1.5pt">
                <v:textbox inset="0,0,1mm,0">
                  <w:txbxContent>
                    <w:p w14:paraId="2144F6EC" w14:textId="77777777" w:rsidR="00876FFE" w:rsidRPr="000F6269" w:rsidRDefault="00876FFE" w:rsidP="00B525EB">
                      <w:pPr>
                        <w:jc w:val="center"/>
                        <w:rPr>
                          <w:rFonts w:asciiTheme="minorHAnsi" w:hAnsiTheme="minorHAnsi" w:cstheme="minorHAnsi"/>
                          <w:sz w:val="22"/>
                          <w:szCs w:val="22"/>
                          <w:lang w:val="uz-Cyrl-UZ"/>
                        </w:rPr>
                      </w:pPr>
                      <w:r w:rsidRPr="000F6269">
                        <w:rPr>
                          <w:rFonts w:asciiTheme="minorHAnsi" w:hAnsiTheme="minorHAnsi" w:cstheme="minorHAnsi"/>
                          <w:sz w:val="22"/>
                          <w:szCs w:val="22"/>
                          <w:lang w:val="uz-Cyrl-UZ"/>
                        </w:rPr>
                        <w:t xml:space="preserve">Систем </w:t>
                      </w:r>
                      <w:r w:rsidRPr="000F6269">
                        <w:rPr>
                          <w:rFonts w:asciiTheme="minorHAnsi" w:hAnsiTheme="minorHAnsi" w:cstheme="minorHAnsi"/>
                          <w:sz w:val="22"/>
                          <w:szCs w:val="22"/>
                          <w:lang w:val="uz-Cyrl-UZ"/>
                        </w:rPr>
                        <w:t>јавних набаки недовољно развијен</w:t>
                      </w:r>
                    </w:p>
                  </w:txbxContent>
                </v:textbox>
              </v:roundrect>
            </w:pict>
          </mc:Fallback>
        </mc:AlternateContent>
      </w:r>
      <w:r w:rsidR="000F62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21888" behindDoc="0" locked="0" layoutInCell="1" allowOverlap="1" wp14:anchorId="5B3CC4E1" wp14:editId="7B950FCF">
                <wp:simplePos x="0" y="0"/>
                <wp:positionH relativeFrom="column">
                  <wp:posOffset>3712210</wp:posOffset>
                </wp:positionH>
                <wp:positionV relativeFrom="paragraph">
                  <wp:posOffset>53975</wp:posOffset>
                </wp:positionV>
                <wp:extent cx="1452245" cy="952500"/>
                <wp:effectExtent l="0" t="0" r="14605" b="19050"/>
                <wp:wrapNone/>
                <wp:docPr id="561" name="Text Box 561"/>
                <wp:cNvGraphicFramePr/>
                <a:graphic xmlns:a="http://schemas.openxmlformats.org/drawingml/2006/main">
                  <a:graphicData uri="http://schemas.microsoft.com/office/word/2010/wordprocessingShape">
                    <wps:wsp>
                      <wps:cNvSpPr txBox="1"/>
                      <wps:spPr>
                        <a:xfrm>
                          <a:off x="0" y="0"/>
                          <a:ext cx="1452245" cy="952500"/>
                        </a:xfrm>
                        <a:prstGeom prst="roundRect">
                          <a:avLst/>
                        </a:prstGeom>
                        <a:solidFill>
                          <a:sysClr val="window" lastClr="FFFFFF"/>
                        </a:solidFill>
                        <a:ln w="19050">
                          <a:solidFill>
                            <a:srgbClr val="839DCC"/>
                          </a:solidFill>
                        </a:ln>
                        <a:effectLst/>
                      </wps:spPr>
                      <wps:txbx>
                        <w:txbxContent>
                          <w:p w14:paraId="6DC1725B" w14:textId="77777777" w:rsidR="00876FFE" w:rsidRPr="000F6269" w:rsidRDefault="00876FFE" w:rsidP="00EB1CF4">
                            <w:pPr>
                              <w:spacing w:before="0"/>
                              <w:jc w:val="center"/>
                              <w:rPr>
                                <w:rFonts w:asciiTheme="minorHAnsi" w:hAnsiTheme="minorHAnsi" w:cstheme="minorHAnsi"/>
                                <w:sz w:val="22"/>
                                <w:szCs w:val="22"/>
                                <w:lang w:val="sr"/>
                              </w:rPr>
                            </w:pPr>
                            <w:r w:rsidRPr="000F6269">
                              <w:rPr>
                                <w:rFonts w:asciiTheme="minorHAnsi" w:hAnsiTheme="minorHAnsi" w:cstheme="minorHAnsi"/>
                                <w:sz w:val="22"/>
                                <w:szCs w:val="22"/>
                                <w:lang w:val="sr"/>
                              </w:rPr>
                              <w:t xml:space="preserve">Недовољно ојачани процеси </w:t>
                            </w:r>
                            <w:r w:rsidRPr="000F6269">
                              <w:rPr>
                                <w:rFonts w:asciiTheme="minorHAnsi" w:hAnsiTheme="minorHAnsi" w:cstheme="minorHAnsi"/>
                                <w:spacing w:val="-10"/>
                                <w:sz w:val="22"/>
                                <w:szCs w:val="22"/>
                                <w:lang w:val="sr"/>
                              </w:rPr>
                              <w:t>администрирања ј</w:t>
                            </w:r>
                            <w:r w:rsidRPr="000F6269">
                              <w:rPr>
                                <w:rFonts w:asciiTheme="minorHAnsi" w:hAnsiTheme="minorHAnsi" w:cstheme="minorHAnsi"/>
                                <w:sz w:val="22"/>
                                <w:szCs w:val="22"/>
                                <w:lang w:val="sr"/>
                              </w:rPr>
                              <w:t>авних прихода</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3CC4E1" id="Text Box 561" o:spid="_x0000_s1353" style="position:absolute;left:0;text-align:left;margin-left:292.3pt;margin-top:4.25pt;width:114.35pt;height: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" fillcolor="window" strokecolor="#839dcc" strokeweight="1.5pt">
                <v:textbox inset="0,0,1mm,0">
                  <w:txbxContent>
                    <w:p w14:paraId="6DC1725B" w14:textId="77777777" w:rsidR="00876FFE" w:rsidRPr="000F6269" w:rsidRDefault="00876FFE" w:rsidP="00EB1CF4">
                      <w:pPr>
                        <w:spacing w:before="0"/>
                        <w:jc w:val="center"/>
                        <w:rPr>
                          <w:rFonts w:asciiTheme="minorHAnsi" w:hAnsiTheme="minorHAnsi" w:cstheme="minorHAnsi"/>
                          <w:sz w:val="22"/>
                          <w:szCs w:val="22"/>
                          <w:lang w:val="sr"/>
                        </w:rPr>
                      </w:pPr>
                      <w:r w:rsidRPr="000F6269">
                        <w:rPr>
                          <w:rFonts w:asciiTheme="minorHAnsi" w:hAnsiTheme="minorHAnsi" w:cstheme="minorHAnsi"/>
                          <w:sz w:val="22"/>
                          <w:szCs w:val="22"/>
                          <w:lang w:val="sr"/>
                        </w:rPr>
                        <w:t xml:space="preserve">Недовољно ојачани процеси </w:t>
                      </w:r>
                      <w:r w:rsidRPr="000F6269">
                        <w:rPr>
                          <w:rFonts w:asciiTheme="minorHAnsi" w:hAnsiTheme="minorHAnsi" w:cstheme="minorHAnsi"/>
                          <w:spacing w:val="-10"/>
                          <w:sz w:val="22"/>
                          <w:szCs w:val="22"/>
                          <w:lang w:val="sr"/>
                        </w:rPr>
                        <w:t>администрирања ј</w:t>
                      </w:r>
                      <w:r w:rsidRPr="000F6269">
                        <w:rPr>
                          <w:rFonts w:asciiTheme="minorHAnsi" w:hAnsiTheme="minorHAnsi" w:cstheme="minorHAnsi"/>
                          <w:sz w:val="22"/>
                          <w:szCs w:val="22"/>
                          <w:lang w:val="sr"/>
                        </w:rPr>
                        <w:t>авних прихода</w:t>
                      </w:r>
                    </w:p>
                  </w:txbxContent>
                </v:textbox>
              </v:roundrect>
            </w:pict>
          </mc:Fallback>
        </mc:AlternateContent>
      </w:r>
      <w:r w:rsidR="000F62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19840" behindDoc="0" locked="0" layoutInCell="1" allowOverlap="1" wp14:anchorId="6A2DD39E" wp14:editId="208C6C1E">
                <wp:simplePos x="0" y="0"/>
                <wp:positionH relativeFrom="column">
                  <wp:posOffset>905510</wp:posOffset>
                </wp:positionH>
                <wp:positionV relativeFrom="paragraph">
                  <wp:posOffset>28575</wp:posOffset>
                </wp:positionV>
                <wp:extent cx="1243330" cy="966470"/>
                <wp:effectExtent l="0" t="0" r="13970" b="24130"/>
                <wp:wrapNone/>
                <wp:docPr id="563" name="Text Box 563"/>
                <wp:cNvGraphicFramePr/>
                <a:graphic xmlns:a="http://schemas.openxmlformats.org/drawingml/2006/main">
                  <a:graphicData uri="http://schemas.microsoft.com/office/word/2010/wordprocessingShape">
                    <wps:wsp>
                      <wps:cNvSpPr txBox="1"/>
                      <wps:spPr>
                        <a:xfrm>
                          <a:off x="0" y="0"/>
                          <a:ext cx="1243330" cy="966470"/>
                        </a:xfrm>
                        <a:prstGeom prst="roundRect">
                          <a:avLst/>
                        </a:prstGeom>
                        <a:solidFill>
                          <a:sysClr val="window" lastClr="FFFFFF"/>
                        </a:solidFill>
                        <a:ln w="19050">
                          <a:solidFill>
                            <a:srgbClr val="839DCC"/>
                          </a:solidFill>
                        </a:ln>
                        <a:effectLst/>
                      </wps:spPr>
                      <wps:txbx>
                        <w:txbxContent>
                          <w:p w14:paraId="79C39E55" w14:textId="77777777" w:rsidR="00876FFE" w:rsidRPr="000F6269" w:rsidRDefault="00876FFE" w:rsidP="00973E51">
                            <w:pPr>
                              <w:spacing w:before="0"/>
                              <w:ind w:firstLine="0"/>
                              <w:jc w:val="center"/>
                              <w:rPr>
                                <w:rFonts w:asciiTheme="minorHAnsi" w:hAnsiTheme="minorHAnsi" w:cstheme="minorHAnsi"/>
                                <w:spacing w:val="-16"/>
                                <w:sz w:val="22"/>
                                <w:szCs w:val="22"/>
                                <w:lang w:val="uz-Cyrl-UZ"/>
                              </w:rPr>
                            </w:pPr>
                            <w:r w:rsidRPr="000F6269">
                              <w:rPr>
                                <w:rFonts w:asciiTheme="minorHAnsi" w:hAnsiTheme="minorHAnsi" w:cstheme="minorHAnsi"/>
                                <w:sz w:val="22"/>
                                <w:szCs w:val="22"/>
                                <w:lang w:val="uz-Cyrl-UZ"/>
                              </w:rPr>
                              <w:t xml:space="preserve">Недовољно развијен процес управљања јавним </w:t>
                            </w:r>
                            <w:r w:rsidRPr="000F6269">
                              <w:rPr>
                                <w:rFonts w:asciiTheme="minorHAnsi" w:hAnsiTheme="minorHAnsi" w:cstheme="minorHAnsi"/>
                                <w:spacing w:val="-12"/>
                                <w:sz w:val="22"/>
                                <w:szCs w:val="22"/>
                                <w:lang w:val="uz-Cyrl-UZ"/>
                              </w:rPr>
                              <w:t>инвестицијама</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2DD39E" id="Text Box 563" o:spid="_x0000_s1354" style="position:absolute;left:0;text-align:left;margin-left:71.3pt;margin-top:2.25pt;width:97.9pt;height:76.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" fillcolor="window" strokecolor="#839dcc" strokeweight="1.5pt">
                <v:textbox inset="0,0,1mm,0">
                  <w:txbxContent>
                    <w:p w14:paraId="79C39E55" w14:textId="77777777" w:rsidR="00876FFE" w:rsidRPr="000F6269" w:rsidRDefault="00876FFE" w:rsidP="00973E51">
                      <w:pPr>
                        <w:spacing w:before="0"/>
                        <w:ind w:firstLine="0"/>
                        <w:jc w:val="center"/>
                        <w:rPr>
                          <w:rFonts w:asciiTheme="minorHAnsi" w:hAnsiTheme="minorHAnsi" w:cstheme="minorHAnsi"/>
                          <w:spacing w:val="-16"/>
                          <w:sz w:val="22"/>
                          <w:szCs w:val="22"/>
                          <w:lang w:val="uz-Cyrl-UZ"/>
                        </w:rPr>
                      </w:pPr>
                      <w:r w:rsidRPr="000F6269">
                        <w:rPr>
                          <w:rFonts w:asciiTheme="minorHAnsi" w:hAnsiTheme="minorHAnsi" w:cstheme="minorHAnsi"/>
                          <w:sz w:val="22"/>
                          <w:szCs w:val="22"/>
                          <w:lang w:val="uz-Cyrl-UZ"/>
                        </w:rPr>
                        <w:t xml:space="preserve">Недовољно развијен процес управљања јавним </w:t>
                      </w:r>
                      <w:r w:rsidRPr="000F6269">
                        <w:rPr>
                          <w:rFonts w:asciiTheme="minorHAnsi" w:hAnsiTheme="minorHAnsi" w:cstheme="minorHAnsi"/>
                          <w:spacing w:val="-12"/>
                          <w:sz w:val="22"/>
                          <w:szCs w:val="22"/>
                          <w:lang w:val="uz-Cyrl-UZ"/>
                        </w:rPr>
                        <w:t>инвестицијама</w:t>
                      </w:r>
                    </w:p>
                  </w:txbxContent>
                </v:textbox>
              </v:roundrect>
            </w:pict>
          </mc:Fallback>
        </mc:AlternateContent>
      </w:r>
    </w:p>
    <w:p w14:paraId="1B1F9098" w14:textId="060E4126"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p>
    <w:p w14:paraId="24FAD0B1" w14:textId="52FC1423"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p>
    <w:p w14:paraId="4524D5FD" w14:textId="38594570" w:rsidR="007B1A69" w:rsidRPr="000F0299" w:rsidRDefault="0012793E"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76160" behindDoc="0" locked="0" layoutInCell="1" allowOverlap="1" wp14:anchorId="05DB2221" wp14:editId="461C6E60">
                <wp:simplePos x="0" y="0"/>
                <wp:positionH relativeFrom="column">
                  <wp:posOffset>8629015</wp:posOffset>
                </wp:positionH>
                <wp:positionV relativeFrom="paragraph">
                  <wp:posOffset>30480</wp:posOffset>
                </wp:positionV>
                <wp:extent cx="9525" cy="3040380"/>
                <wp:effectExtent l="19050" t="19050" r="28575" b="26670"/>
                <wp:wrapNone/>
                <wp:docPr id="191" name="Straight Connector 191"/>
                <wp:cNvGraphicFramePr/>
                <a:graphic xmlns:a="http://schemas.openxmlformats.org/drawingml/2006/main">
                  <a:graphicData uri="http://schemas.microsoft.com/office/word/2010/wordprocessingShape">
                    <wps:wsp>
                      <wps:cNvCnPr/>
                      <wps:spPr>
                        <a:xfrm>
                          <a:off x="0" y="0"/>
                          <a:ext cx="9525" cy="3040380"/>
                        </a:xfrm>
                        <a:prstGeom prst="line">
                          <a:avLst/>
                        </a:prstGeom>
                        <a:noFill/>
                        <a:ln w="28575" cap="flat" cmpd="sng" algn="ctr">
                          <a:solidFill>
                            <a:srgbClr val="839D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C014BE" id="Straight Connector 19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45pt,2.4pt" to="680.2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" strokecolor="#839dcc" strokeweight="2.25pt">
                <v:stroke joinstyle="miter"/>
              </v:line>
            </w:pict>
          </mc:Fallback>
        </mc:AlternateContent>
      </w:r>
      <w:r w:rsidR="00973E51"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68992" behindDoc="0" locked="0" layoutInCell="1" allowOverlap="1" wp14:anchorId="0C31DFB4" wp14:editId="4BC32A8C">
                <wp:simplePos x="0" y="0"/>
                <wp:positionH relativeFrom="column">
                  <wp:posOffset>6760210</wp:posOffset>
                </wp:positionH>
                <wp:positionV relativeFrom="paragraph">
                  <wp:posOffset>9525</wp:posOffset>
                </wp:positionV>
                <wp:extent cx="359410" cy="0"/>
                <wp:effectExtent l="0" t="19050" r="21590" b="19050"/>
                <wp:wrapNone/>
                <wp:docPr id="3" name="Straight Connector 3"/>
                <wp:cNvGraphicFramePr/>
                <a:graphic xmlns:a="http://schemas.openxmlformats.org/drawingml/2006/main">
                  <a:graphicData uri="http://schemas.microsoft.com/office/word/2010/wordprocessingShape">
                    <wps:wsp>
                      <wps:cNvCnPr/>
                      <wps:spPr>
                        <a:xfrm>
                          <a:off x="0" y="0"/>
                          <a:ext cx="359410" cy="0"/>
                        </a:xfrm>
                        <a:prstGeom prst="line">
                          <a:avLst/>
                        </a:prstGeom>
                        <a:noFill/>
                        <a:ln w="28575" cap="flat" cmpd="sng" algn="ctr">
                          <a:solidFill>
                            <a:srgbClr val="839D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290DEE" id="Straight Connector 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3pt,.75pt" to="560.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" strokecolor="#839dcc" strokeweight="2.25pt">
                <v:stroke joinstyle="miter"/>
              </v:line>
            </w:pict>
          </mc:Fallback>
        </mc:AlternateContent>
      </w:r>
      <w:r w:rsidR="002574D0"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75136" behindDoc="0" locked="0" layoutInCell="1" allowOverlap="1" wp14:anchorId="5ECB2BC4" wp14:editId="19441640">
                <wp:simplePos x="0" y="0"/>
                <wp:positionH relativeFrom="column">
                  <wp:posOffset>8373110</wp:posOffset>
                </wp:positionH>
                <wp:positionV relativeFrom="paragraph">
                  <wp:posOffset>9525</wp:posOffset>
                </wp:positionV>
                <wp:extent cx="262255" cy="0"/>
                <wp:effectExtent l="19050" t="19050" r="4445" b="19050"/>
                <wp:wrapNone/>
                <wp:docPr id="192" name="Straight Connector 192"/>
                <wp:cNvGraphicFramePr/>
                <a:graphic xmlns:a="http://schemas.openxmlformats.org/drawingml/2006/main">
                  <a:graphicData uri="http://schemas.microsoft.com/office/word/2010/wordprocessingShape">
                    <wps:wsp>
                      <wps:cNvCnPr/>
                      <wps:spPr>
                        <a:xfrm flipH="1" flipV="1">
                          <a:off x="0" y="0"/>
                          <a:ext cx="262255" cy="0"/>
                        </a:xfrm>
                        <a:prstGeom prst="line">
                          <a:avLst/>
                        </a:prstGeom>
                        <a:noFill/>
                        <a:ln w="28575" cap="flat" cmpd="sng" algn="ctr">
                          <a:solidFill>
                            <a:srgbClr val="839D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B98093" id="Straight Connector 192" o:spid="_x0000_s1026" style="position:absolute;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3pt,.75pt" to="67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" strokecolor="#839dcc" strokeweight="2.25pt">
                <v:stroke joinstyle="miter"/>
              </v:line>
            </w:pict>
          </mc:Fallback>
        </mc:AlternateContent>
      </w:r>
    </w:p>
    <w:p w14:paraId="313233E3" w14:textId="6DE25CAF"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p>
    <w:p w14:paraId="6DFD514C" w14:textId="03A94D99" w:rsidR="007B1A69" w:rsidRPr="000F0299" w:rsidRDefault="007B1A69"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imes New Roman"/>
          <w:kern w:val="0"/>
          <w:sz w:val="20"/>
          <w:szCs w:val="20"/>
          <w:lang w:eastAsia="en-GB" w:bidi="ar-SA"/>
        </w:rPr>
        <w:t>Misssss</w:t>
      </w:r>
    </w:p>
    <w:p w14:paraId="2A24B58A" w14:textId="0FFC6C5A" w:rsidR="007B1A69" w:rsidRPr="000F0299" w:rsidRDefault="00EB1CF4"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42368" behindDoc="0" locked="0" layoutInCell="1" allowOverlap="1" wp14:anchorId="3C807D0B" wp14:editId="64166379">
                <wp:simplePos x="0" y="0"/>
                <wp:positionH relativeFrom="margin">
                  <wp:posOffset>13161010</wp:posOffset>
                </wp:positionH>
                <wp:positionV relativeFrom="paragraph">
                  <wp:posOffset>28575</wp:posOffset>
                </wp:positionV>
                <wp:extent cx="0" cy="416560"/>
                <wp:effectExtent l="57150" t="38100" r="57150" b="2540"/>
                <wp:wrapNone/>
                <wp:docPr id="568" name="Straight Arrow Connector 568"/>
                <wp:cNvGraphicFramePr/>
                <a:graphic xmlns:a="http://schemas.openxmlformats.org/drawingml/2006/main">
                  <a:graphicData uri="http://schemas.microsoft.com/office/word/2010/wordprocessingShape">
                    <wps:wsp>
                      <wps:cNvCnPr/>
                      <wps:spPr>
                        <a:xfrm flipV="1">
                          <a:off x="0" y="0"/>
                          <a:ext cx="0" cy="41656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0D3BFB" id="Straight Arrow Connector 568" o:spid="_x0000_s1026" type="#_x0000_t32" style="position:absolute;margin-left:1036.3pt;margin-top:2.25pt;width:0;height:32.8pt;flip:y;z-index:25164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" strokecolor="#839dcc" strokeweight="2.25pt">
                <v:stroke endarrow="block" joinstyle="miter"/>
                <w10:wrap anchorx="margin"/>
              </v:shape>
            </w:pict>
          </mc:Fallback>
        </mc:AlternateContent>
      </w:r>
      <w:r w:rsidR="00973E51"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53632" behindDoc="0" locked="0" layoutInCell="1" allowOverlap="1" wp14:anchorId="0D5053BD" wp14:editId="49F30B13">
                <wp:simplePos x="0" y="0"/>
                <wp:positionH relativeFrom="column">
                  <wp:posOffset>9681210</wp:posOffset>
                </wp:positionH>
                <wp:positionV relativeFrom="paragraph">
                  <wp:posOffset>53975</wp:posOffset>
                </wp:positionV>
                <wp:extent cx="0" cy="349885"/>
                <wp:effectExtent l="57150" t="38100" r="57150" b="12065"/>
                <wp:wrapNone/>
                <wp:docPr id="384" name="Straight Arrow Connector 384"/>
                <wp:cNvGraphicFramePr/>
                <a:graphic xmlns:a="http://schemas.openxmlformats.org/drawingml/2006/main">
                  <a:graphicData uri="http://schemas.microsoft.com/office/word/2010/wordprocessingShape">
                    <wps:wsp>
                      <wps:cNvCnPr/>
                      <wps:spPr>
                        <a:xfrm flipV="1">
                          <a:off x="0" y="0"/>
                          <a:ext cx="0" cy="349885"/>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95EBB" id="Straight Arrow Connector 384" o:spid="_x0000_s1026" type="#_x0000_t32" style="position:absolute;margin-left:762.3pt;margin-top:4.25pt;width:0;height:27.55pt;flip:y;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" strokecolor="#839dcc" strokeweight="2.25pt">
                <v:stroke endarrow="block" joinstyle="miter"/>
              </v:shape>
            </w:pict>
          </mc:Fallback>
        </mc:AlternateContent>
      </w:r>
      <w:r w:rsidR="009B4AF3"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49536" behindDoc="0" locked="0" layoutInCell="1" allowOverlap="1" wp14:anchorId="1002E1C8" wp14:editId="0BFCA3E2">
                <wp:simplePos x="0" y="0"/>
                <wp:positionH relativeFrom="column">
                  <wp:posOffset>5334000</wp:posOffset>
                </wp:positionH>
                <wp:positionV relativeFrom="paragraph">
                  <wp:posOffset>26670</wp:posOffset>
                </wp:positionV>
                <wp:extent cx="9525" cy="1656000"/>
                <wp:effectExtent l="19050" t="19050" r="28575" b="20955"/>
                <wp:wrapNone/>
                <wp:docPr id="396" name="Straight Connector 396"/>
                <wp:cNvGraphicFramePr/>
                <a:graphic xmlns:a="http://schemas.openxmlformats.org/drawingml/2006/main">
                  <a:graphicData uri="http://schemas.microsoft.com/office/word/2010/wordprocessingShape">
                    <wps:wsp>
                      <wps:cNvCnPr/>
                      <wps:spPr>
                        <a:xfrm>
                          <a:off x="0" y="0"/>
                          <a:ext cx="9525" cy="1656000"/>
                        </a:xfrm>
                        <a:prstGeom prst="line">
                          <a:avLst/>
                        </a:prstGeom>
                        <a:noFill/>
                        <a:ln w="28575" cap="flat" cmpd="sng" algn="ctr">
                          <a:solidFill>
                            <a:srgbClr val="839D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6EDC53" id="Straight Connector 396"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pt,2.1pt" to="420.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" strokecolor="#839dcc" strokeweight="2.25pt">
                <v:stroke joinstyle="miter"/>
              </v:line>
            </w:pict>
          </mc:Fallback>
        </mc:AlternateContent>
      </w:r>
      <w:r w:rsidR="009A471A"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81280" behindDoc="0" locked="0" layoutInCell="1" allowOverlap="1" wp14:anchorId="1675C1CD" wp14:editId="7627CF9E">
                <wp:simplePos x="0" y="0"/>
                <wp:positionH relativeFrom="column">
                  <wp:posOffset>4474210</wp:posOffset>
                </wp:positionH>
                <wp:positionV relativeFrom="paragraph">
                  <wp:posOffset>117475</wp:posOffset>
                </wp:positionV>
                <wp:extent cx="0" cy="215900"/>
                <wp:effectExtent l="57150" t="38100" r="57150" b="12700"/>
                <wp:wrapNone/>
                <wp:docPr id="157" name="Straight Arrow Connector 157"/>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EBB6AE" id="Straight Arrow Connector 157" o:spid="_x0000_s1026" type="#_x0000_t32" style="position:absolute;margin-left:352.3pt;margin-top:9.25pt;width:0;height:17pt;flip:y;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" strokecolor="#839dcc" strokeweight="2.25pt">
                <v:stroke endarrow="block" joinstyle="miter"/>
              </v:shape>
            </w:pict>
          </mc:Fallback>
        </mc:AlternateContent>
      </w:r>
      <w:r w:rsidR="009A471A"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80256" behindDoc="0" locked="0" layoutInCell="1" allowOverlap="1" wp14:anchorId="7FCFE128" wp14:editId="7054DB47">
                <wp:simplePos x="0" y="0"/>
                <wp:positionH relativeFrom="column">
                  <wp:posOffset>2797810</wp:posOffset>
                </wp:positionH>
                <wp:positionV relativeFrom="paragraph">
                  <wp:posOffset>104775</wp:posOffset>
                </wp:positionV>
                <wp:extent cx="0" cy="215900"/>
                <wp:effectExtent l="57150" t="38100" r="57150" b="12700"/>
                <wp:wrapNone/>
                <wp:docPr id="156" name="Straight Arrow Connector 156"/>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BEF6EA" id="Straight Arrow Connector 156" o:spid="_x0000_s1026" type="#_x0000_t32" style="position:absolute;margin-left:220.3pt;margin-top:8.25pt;width:0;height:17pt;flip:y;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" strokecolor="#839dcc" strokeweight="2.25pt">
                <v:stroke endarrow="block" joinstyle="miter"/>
              </v:shape>
            </w:pict>
          </mc:Fallback>
        </mc:AlternateContent>
      </w:r>
      <w:r w:rsidR="000F62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77184" behindDoc="0" locked="0" layoutInCell="1" allowOverlap="1" wp14:anchorId="759F070A" wp14:editId="026D2ECE">
                <wp:simplePos x="0" y="0"/>
                <wp:positionH relativeFrom="column">
                  <wp:posOffset>156210</wp:posOffset>
                </wp:positionH>
                <wp:positionV relativeFrom="paragraph">
                  <wp:posOffset>66675</wp:posOffset>
                </wp:positionV>
                <wp:extent cx="0" cy="252000"/>
                <wp:effectExtent l="57150" t="38100" r="57150" b="15240"/>
                <wp:wrapNone/>
                <wp:docPr id="152" name="Straight Arrow Connector 152"/>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2FD0F9" id="Straight Arrow Connector 152" o:spid="_x0000_s1026" type="#_x0000_t32" style="position:absolute;margin-left:12.3pt;margin-top:5.25pt;width:0;height:19.85pt;flip:y;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" strokecolor="#839dcc" strokeweight="2.25pt">
                <v:stroke endarrow="block" joinstyle="miter"/>
              </v:shape>
            </w:pict>
          </mc:Fallback>
        </mc:AlternateContent>
      </w:r>
    </w:p>
    <w:p w14:paraId="5D553C62" w14:textId="30AE6799" w:rsidR="007B1A69" w:rsidRPr="000F0299" w:rsidRDefault="00023DF9"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2159488" behindDoc="0" locked="0" layoutInCell="1" allowOverlap="1" wp14:anchorId="61D5DF60" wp14:editId="31A939A0">
                <wp:simplePos x="0" y="0"/>
                <wp:positionH relativeFrom="column">
                  <wp:posOffset>5494646</wp:posOffset>
                </wp:positionH>
                <wp:positionV relativeFrom="paragraph">
                  <wp:posOffset>33655</wp:posOffset>
                </wp:positionV>
                <wp:extent cx="1402724" cy="1059180"/>
                <wp:effectExtent l="0" t="0" r="26035" b="26670"/>
                <wp:wrapNone/>
                <wp:docPr id="395" name="Text Box 395"/>
                <wp:cNvGraphicFramePr/>
                <a:graphic xmlns:a="http://schemas.openxmlformats.org/drawingml/2006/main">
                  <a:graphicData uri="http://schemas.microsoft.com/office/word/2010/wordprocessingShape">
                    <wps:wsp>
                      <wps:cNvSpPr txBox="1"/>
                      <wps:spPr>
                        <a:xfrm>
                          <a:off x="0" y="0"/>
                          <a:ext cx="1402724" cy="1059180"/>
                        </a:xfrm>
                        <a:prstGeom prst="roundRect">
                          <a:avLst/>
                        </a:prstGeom>
                        <a:solidFill>
                          <a:sysClr val="window" lastClr="FFFFFF"/>
                        </a:solidFill>
                        <a:ln w="19050">
                          <a:solidFill>
                            <a:srgbClr val="839DCC"/>
                          </a:solidFill>
                        </a:ln>
                        <a:effectLst/>
                      </wps:spPr>
                      <wps:txbx>
                        <w:txbxContent>
                          <w:p w14:paraId="6ACCA7A1" w14:textId="265C785B" w:rsidR="00876FFE" w:rsidRPr="00023DF9" w:rsidRDefault="00876FFE" w:rsidP="00FB0303">
                            <w:pPr>
                              <w:spacing w:before="0"/>
                              <w:ind w:firstLine="0"/>
                              <w:jc w:val="center"/>
                              <w:rPr>
                                <w:rFonts w:asciiTheme="minorHAnsi" w:hAnsiTheme="minorHAnsi" w:cstheme="minorHAnsi"/>
                                <w:sz w:val="20"/>
                                <w:szCs w:val="20"/>
                                <w:lang w:val="uz-Cyrl-UZ"/>
                              </w:rPr>
                            </w:pPr>
                            <w:r>
                              <w:rPr>
                                <w:rFonts w:asciiTheme="minorHAnsi" w:hAnsiTheme="minorHAnsi" w:cstheme="minorHAnsi"/>
                                <w:sz w:val="20"/>
                                <w:szCs w:val="20"/>
                                <w:lang w:val="uz-Cyrl-UZ"/>
                              </w:rPr>
                              <w:t>Недовољно разумевање суштине ФУК</w:t>
                            </w:r>
                            <w:r w:rsidRPr="00023DF9">
                              <w:rPr>
                                <w:rFonts w:asciiTheme="minorHAnsi" w:hAnsiTheme="minorHAnsi" w:cstheme="minorHAnsi"/>
                                <w:sz w:val="20"/>
                                <w:szCs w:val="20"/>
                                <w:lang w:val="uz-Cyrl-UZ"/>
                              </w:rPr>
                              <w:t xml:space="preserve"> у институцијама јавног сектора</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D5DF60" id="Text Box 395" o:spid="_x0000_s1355" style="position:absolute;left:0;text-align:left;margin-left:432.65pt;margin-top:2.65pt;width:110.45pt;height:83.4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" fillcolor="window" strokecolor="#839dcc" strokeweight="1.5pt">
                <v:textbox inset="0,0,1mm,0">
                  <w:txbxContent>
                    <w:p w14:paraId="6ACCA7A1" w14:textId="265C785B" w:rsidR="00876FFE" w:rsidRPr="00023DF9" w:rsidRDefault="00876FFE" w:rsidP="00FB0303">
                      <w:pPr>
                        <w:spacing w:before="0"/>
                        <w:ind w:firstLine="0"/>
                        <w:jc w:val="center"/>
                        <w:rPr>
                          <w:rFonts w:asciiTheme="minorHAnsi" w:hAnsiTheme="minorHAnsi" w:cstheme="minorHAnsi"/>
                          <w:sz w:val="20"/>
                          <w:szCs w:val="20"/>
                          <w:lang w:val="uz-Cyrl-UZ"/>
                        </w:rPr>
                      </w:pPr>
                      <w:r>
                        <w:rPr>
                          <w:rFonts w:asciiTheme="minorHAnsi" w:hAnsiTheme="minorHAnsi" w:cstheme="minorHAnsi"/>
                          <w:sz w:val="20"/>
                          <w:szCs w:val="20"/>
                          <w:lang w:val="uz-Cyrl-UZ"/>
                        </w:rPr>
                        <w:t>Недовољно разумевање суштине ФУК</w:t>
                      </w:r>
                      <w:r w:rsidRPr="00023DF9">
                        <w:rPr>
                          <w:rFonts w:asciiTheme="minorHAnsi" w:hAnsiTheme="minorHAnsi" w:cstheme="minorHAnsi"/>
                          <w:sz w:val="20"/>
                          <w:szCs w:val="20"/>
                          <w:lang w:val="uz-Cyrl-UZ"/>
                        </w:rPr>
                        <w:t xml:space="preserve"> у институцијама јавног сектора</w:t>
                      </w:r>
                    </w:p>
                  </w:txbxContent>
                </v:textbox>
              </v:roundrect>
            </w:pict>
          </mc:Fallback>
        </mc:AlternateContent>
      </w:r>
      <w:r w:rsidR="00FB0303"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41344" behindDoc="0" locked="0" layoutInCell="1" allowOverlap="1" wp14:anchorId="31F598A8" wp14:editId="44149016">
                <wp:simplePos x="0" y="0"/>
                <wp:positionH relativeFrom="column">
                  <wp:posOffset>7103110</wp:posOffset>
                </wp:positionH>
                <wp:positionV relativeFrom="paragraph">
                  <wp:posOffset>111125</wp:posOffset>
                </wp:positionV>
                <wp:extent cx="1257300" cy="965200"/>
                <wp:effectExtent l="0" t="0" r="19050" b="25400"/>
                <wp:wrapNone/>
                <wp:docPr id="567" name="Text Box 567"/>
                <wp:cNvGraphicFramePr/>
                <a:graphic xmlns:a="http://schemas.openxmlformats.org/drawingml/2006/main">
                  <a:graphicData uri="http://schemas.microsoft.com/office/word/2010/wordprocessingShape">
                    <wps:wsp>
                      <wps:cNvSpPr txBox="1"/>
                      <wps:spPr>
                        <a:xfrm>
                          <a:off x="0" y="0"/>
                          <a:ext cx="1257300" cy="965200"/>
                        </a:xfrm>
                        <a:prstGeom prst="roundRect">
                          <a:avLst/>
                        </a:prstGeom>
                        <a:solidFill>
                          <a:sysClr val="window" lastClr="FFFFFF"/>
                        </a:solidFill>
                        <a:ln w="19050">
                          <a:solidFill>
                            <a:srgbClr val="839DCC"/>
                          </a:solidFill>
                        </a:ln>
                        <a:effectLst/>
                      </wps:spPr>
                      <wps:txbx>
                        <w:txbxContent>
                          <w:p w14:paraId="244AF603" w14:textId="77777777" w:rsidR="00876FFE" w:rsidRPr="00FB0303" w:rsidRDefault="00876FFE" w:rsidP="00FB0303">
                            <w:pPr>
                              <w:spacing w:before="0"/>
                              <w:ind w:firstLine="0"/>
                              <w:jc w:val="center"/>
                              <w:rPr>
                                <w:rFonts w:asciiTheme="minorHAnsi" w:hAnsiTheme="minorHAnsi" w:cstheme="minorHAnsi"/>
                                <w:sz w:val="22"/>
                                <w:szCs w:val="22"/>
                                <w:lang w:val="sr"/>
                              </w:rPr>
                            </w:pPr>
                            <w:r w:rsidRPr="00FB0303">
                              <w:rPr>
                                <w:rFonts w:asciiTheme="minorHAnsi" w:hAnsiTheme="minorHAnsi" w:cstheme="minorHAnsi"/>
                                <w:sz w:val="22"/>
                                <w:szCs w:val="22"/>
                                <w:lang w:val="sr"/>
                              </w:rPr>
                              <w:t>Ограничења постојећег система праћења у области интерне контроле</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F598A8" id="Text Box 567" o:spid="_x0000_s1356" style="position:absolute;left:0;text-align:left;margin-left:559.3pt;margin-top:8.75pt;width:99pt;height:7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" fillcolor="window" strokecolor="#839dcc" strokeweight="1.5pt">
                <v:textbox inset="0,0,1mm,0">
                  <w:txbxContent>
                    <w:p w14:paraId="244AF603" w14:textId="77777777" w:rsidR="00876FFE" w:rsidRPr="00FB0303" w:rsidRDefault="00876FFE" w:rsidP="00FB0303">
                      <w:pPr>
                        <w:spacing w:before="0"/>
                        <w:ind w:firstLine="0"/>
                        <w:jc w:val="center"/>
                        <w:rPr>
                          <w:rFonts w:asciiTheme="minorHAnsi" w:hAnsiTheme="minorHAnsi" w:cstheme="minorHAnsi"/>
                          <w:sz w:val="22"/>
                          <w:szCs w:val="22"/>
                          <w:lang w:val="sr"/>
                        </w:rPr>
                      </w:pPr>
                      <w:r w:rsidRPr="00FB0303">
                        <w:rPr>
                          <w:rFonts w:asciiTheme="minorHAnsi" w:hAnsiTheme="minorHAnsi" w:cstheme="minorHAnsi"/>
                          <w:sz w:val="22"/>
                          <w:szCs w:val="22"/>
                          <w:lang w:val="sr"/>
                        </w:rPr>
                        <w:t>Ограничења постојећег система праћења у области интерне контроле</w:t>
                      </w:r>
                    </w:p>
                  </w:txbxContent>
                </v:textbox>
              </v:roundrect>
            </w:pict>
          </mc:Fallback>
        </mc:AlternateContent>
      </w:r>
      <w:r w:rsidR="000F62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27008" behindDoc="0" locked="0" layoutInCell="1" allowOverlap="1" wp14:anchorId="6F6D1531" wp14:editId="63E8681E">
                <wp:simplePos x="0" y="0"/>
                <wp:positionH relativeFrom="column">
                  <wp:posOffset>-453390</wp:posOffset>
                </wp:positionH>
                <wp:positionV relativeFrom="paragraph">
                  <wp:posOffset>187325</wp:posOffset>
                </wp:positionV>
                <wp:extent cx="1243330" cy="927100"/>
                <wp:effectExtent l="0" t="0" r="13970" b="25400"/>
                <wp:wrapNone/>
                <wp:docPr id="580" name="Text Box 580"/>
                <wp:cNvGraphicFramePr/>
                <a:graphic xmlns:a="http://schemas.openxmlformats.org/drawingml/2006/main">
                  <a:graphicData uri="http://schemas.microsoft.com/office/word/2010/wordprocessingShape">
                    <wps:wsp>
                      <wps:cNvSpPr txBox="1"/>
                      <wps:spPr>
                        <a:xfrm>
                          <a:off x="0" y="0"/>
                          <a:ext cx="1243330" cy="927100"/>
                        </a:xfrm>
                        <a:prstGeom prst="roundRect">
                          <a:avLst/>
                        </a:prstGeom>
                        <a:solidFill>
                          <a:sysClr val="window" lastClr="FFFFFF"/>
                        </a:solidFill>
                        <a:ln w="19050">
                          <a:solidFill>
                            <a:srgbClr val="839DCC"/>
                          </a:solidFill>
                        </a:ln>
                        <a:effectLst/>
                      </wps:spPr>
                      <wps:txbx>
                        <w:txbxContent>
                          <w:p w14:paraId="230A9612" w14:textId="2297CA55" w:rsidR="00876FFE" w:rsidRPr="000F6269" w:rsidRDefault="00876FFE" w:rsidP="00E2152B">
                            <w:pPr>
                              <w:spacing w:before="0"/>
                              <w:ind w:firstLine="0"/>
                              <w:jc w:val="center"/>
                              <w:rPr>
                                <w:rFonts w:asciiTheme="minorHAnsi" w:hAnsiTheme="minorHAnsi" w:cstheme="minorHAnsi"/>
                                <w:sz w:val="22"/>
                                <w:szCs w:val="22"/>
                                <w:lang w:val="uz-Cyrl-UZ"/>
                              </w:rPr>
                            </w:pPr>
                            <w:r w:rsidRPr="000F6269">
                              <w:rPr>
                                <w:rFonts w:asciiTheme="minorHAnsi" w:hAnsiTheme="minorHAnsi" w:cstheme="minorHAnsi"/>
                                <w:sz w:val="22"/>
                                <w:szCs w:val="22"/>
                                <w:lang w:val="uz-Cyrl-UZ"/>
                              </w:rPr>
                              <w:t xml:space="preserve">Неадекватно праћење и </w:t>
                            </w:r>
                            <w:r w:rsidRPr="000F6269">
                              <w:rPr>
                                <w:rFonts w:asciiTheme="minorHAnsi" w:hAnsiTheme="minorHAnsi" w:cstheme="minorHAnsi"/>
                                <w:spacing w:val="-8"/>
                                <w:sz w:val="22"/>
                                <w:szCs w:val="22"/>
                                <w:lang w:val="uz-Cyrl-UZ"/>
                              </w:rPr>
                              <w:t>извештавање</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F6D1531" id="Text Box 580" o:spid="_x0000_s1357" style="position:absolute;left:0;text-align:left;margin-left:-35.7pt;margin-top:14.75pt;width:97.9pt;height:7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" fillcolor="window" strokecolor="#839dcc" strokeweight="1.5pt">
                <v:textbox inset="0,0,1mm,0">
                  <w:txbxContent>
                    <w:p w14:paraId="230A9612" w14:textId="2297CA55" w:rsidR="00876FFE" w:rsidRPr="000F6269" w:rsidRDefault="00876FFE" w:rsidP="00E2152B">
                      <w:pPr>
                        <w:spacing w:before="0"/>
                        <w:ind w:firstLine="0"/>
                        <w:jc w:val="center"/>
                        <w:rPr>
                          <w:rFonts w:asciiTheme="minorHAnsi" w:hAnsiTheme="minorHAnsi" w:cstheme="minorHAnsi"/>
                          <w:sz w:val="22"/>
                          <w:szCs w:val="22"/>
                          <w:lang w:val="uz-Cyrl-UZ"/>
                        </w:rPr>
                      </w:pPr>
                      <w:r w:rsidRPr="000F6269">
                        <w:rPr>
                          <w:rFonts w:asciiTheme="minorHAnsi" w:hAnsiTheme="minorHAnsi" w:cstheme="minorHAnsi"/>
                          <w:sz w:val="22"/>
                          <w:szCs w:val="22"/>
                          <w:lang w:val="uz-Cyrl-UZ"/>
                        </w:rPr>
                        <w:t xml:space="preserve">Неадекватно праћење и </w:t>
                      </w:r>
                      <w:r w:rsidRPr="000F6269">
                        <w:rPr>
                          <w:rFonts w:asciiTheme="minorHAnsi" w:hAnsiTheme="minorHAnsi" w:cstheme="minorHAnsi"/>
                          <w:spacing w:val="-8"/>
                          <w:sz w:val="22"/>
                          <w:szCs w:val="22"/>
                          <w:lang w:val="uz-Cyrl-UZ"/>
                        </w:rPr>
                        <w:t>извештавање</w:t>
                      </w:r>
                    </w:p>
                  </w:txbxContent>
                </v:textbox>
              </v:roundrect>
            </w:pict>
          </mc:Fallback>
        </mc:AlternateContent>
      </w:r>
    </w:p>
    <w:p w14:paraId="29FA5FDB" w14:textId="06539DB5" w:rsidR="007B1A69" w:rsidRPr="000F0299" w:rsidRDefault="00B525EB"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31104" behindDoc="0" locked="0" layoutInCell="1" allowOverlap="1" wp14:anchorId="39DB6A55" wp14:editId="65EF35B7">
                <wp:simplePos x="0" y="0"/>
                <wp:positionH relativeFrom="column">
                  <wp:posOffset>2262596</wp:posOffset>
                </wp:positionH>
                <wp:positionV relativeFrom="paragraph">
                  <wp:posOffset>54155</wp:posOffset>
                </wp:positionV>
                <wp:extent cx="1243330" cy="1654629"/>
                <wp:effectExtent l="0" t="0" r="13970" b="22225"/>
                <wp:wrapNone/>
                <wp:docPr id="591" name="Text Box 591"/>
                <wp:cNvGraphicFramePr/>
                <a:graphic xmlns:a="http://schemas.openxmlformats.org/drawingml/2006/main">
                  <a:graphicData uri="http://schemas.microsoft.com/office/word/2010/wordprocessingShape">
                    <wps:wsp>
                      <wps:cNvSpPr txBox="1"/>
                      <wps:spPr>
                        <a:xfrm>
                          <a:off x="0" y="0"/>
                          <a:ext cx="1243330" cy="1654629"/>
                        </a:xfrm>
                        <a:prstGeom prst="roundRect">
                          <a:avLst/>
                        </a:prstGeom>
                        <a:solidFill>
                          <a:sysClr val="window" lastClr="FFFFFF"/>
                        </a:solidFill>
                        <a:ln w="19050">
                          <a:solidFill>
                            <a:srgbClr val="839DCC"/>
                          </a:solidFill>
                        </a:ln>
                        <a:effectLst/>
                      </wps:spPr>
                      <wps:txbx>
                        <w:txbxContent>
                          <w:p w14:paraId="040BCFC8" w14:textId="69638639" w:rsidR="00876FFE" w:rsidRPr="009A471A" w:rsidRDefault="00876FFE" w:rsidP="009B4AF3">
                            <w:pPr>
                              <w:spacing w:before="0"/>
                              <w:ind w:firstLine="0"/>
                              <w:jc w:val="center"/>
                              <w:rPr>
                                <w:rFonts w:asciiTheme="minorHAnsi" w:hAnsiTheme="minorHAnsi" w:cstheme="minorHAnsi"/>
                                <w:sz w:val="22"/>
                                <w:szCs w:val="22"/>
                                <w:lang w:val="uz-Cyrl-UZ"/>
                              </w:rPr>
                            </w:pPr>
                            <w:r w:rsidRPr="009A471A">
                              <w:rPr>
                                <w:rFonts w:asciiTheme="minorHAnsi" w:hAnsiTheme="minorHAnsi" w:cstheme="minorHAnsi"/>
                                <w:sz w:val="22"/>
                                <w:szCs w:val="22"/>
                                <w:lang w:val="uz-Cyrl-UZ"/>
                              </w:rPr>
                              <w:t xml:space="preserve">Недовољни капацитети </w:t>
                            </w:r>
                            <w:r>
                              <w:rPr>
                                <w:rFonts w:asciiTheme="minorHAnsi" w:hAnsiTheme="minorHAnsi" w:cstheme="minorHAnsi"/>
                                <w:sz w:val="22"/>
                                <w:szCs w:val="22"/>
                                <w:lang w:val="uz-Cyrl-UZ"/>
                              </w:rPr>
                              <w:t>Управе за јавне набавке</w:t>
                            </w:r>
                            <w:r w:rsidRPr="009A471A">
                              <w:rPr>
                                <w:rFonts w:asciiTheme="minorHAnsi" w:hAnsiTheme="minorHAnsi" w:cstheme="minorHAnsi"/>
                                <w:sz w:val="22"/>
                                <w:szCs w:val="22"/>
                                <w:lang w:val="uz-Cyrl-UZ"/>
                              </w:rPr>
                              <w:t xml:space="preserve"> за праћење процедура јавних набавки и </w:t>
                            </w:r>
                            <w:r w:rsidRPr="009A471A">
                              <w:rPr>
                                <w:rFonts w:asciiTheme="minorHAnsi" w:hAnsiTheme="minorHAnsi" w:cstheme="minorHAnsi"/>
                                <w:spacing w:val="-6"/>
                                <w:sz w:val="22"/>
                                <w:szCs w:val="22"/>
                                <w:lang w:val="sr"/>
                              </w:rPr>
                              <w:t>успостављање</w:t>
                            </w:r>
                            <w:r w:rsidRPr="009A471A">
                              <w:rPr>
                                <w:rFonts w:asciiTheme="minorHAnsi" w:hAnsiTheme="minorHAnsi" w:cstheme="minorHAnsi"/>
                                <w:sz w:val="22"/>
                                <w:szCs w:val="22"/>
                                <w:lang w:val="sr"/>
                              </w:rPr>
                              <w:t xml:space="preserve"> зелених набавки</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DB6A55" id="Text Box 591" o:spid="_x0000_s1358" style="position:absolute;left:0;text-align:left;margin-left:178.15pt;margin-top:4.25pt;width:97.9pt;height:130.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" fillcolor="window" strokecolor="#839dcc" strokeweight="1.5pt">
                <v:textbox inset="0,0,1mm,0">
                  <w:txbxContent>
                    <w:p w14:paraId="040BCFC8" w14:textId="69638639" w:rsidR="00876FFE" w:rsidRPr="009A471A" w:rsidRDefault="00876FFE" w:rsidP="009B4AF3">
                      <w:pPr>
                        <w:spacing w:before="0"/>
                        <w:ind w:firstLine="0"/>
                        <w:jc w:val="center"/>
                        <w:rPr>
                          <w:rFonts w:asciiTheme="minorHAnsi" w:hAnsiTheme="minorHAnsi" w:cstheme="minorHAnsi"/>
                          <w:sz w:val="22"/>
                          <w:szCs w:val="22"/>
                          <w:lang w:val="uz-Cyrl-UZ"/>
                        </w:rPr>
                      </w:pPr>
                      <w:r w:rsidRPr="009A471A">
                        <w:rPr>
                          <w:rFonts w:asciiTheme="minorHAnsi" w:hAnsiTheme="minorHAnsi" w:cstheme="minorHAnsi"/>
                          <w:sz w:val="22"/>
                          <w:szCs w:val="22"/>
                          <w:lang w:val="uz-Cyrl-UZ"/>
                        </w:rPr>
                        <w:t xml:space="preserve">Недовољни капацитети </w:t>
                      </w:r>
                      <w:r>
                        <w:rPr>
                          <w:rFonts w:asciiTheme="minorHAnsi" w:hAnsiTheme="minorHAnsi" w:cstheme="minorHAnsi"/>
                          <w:sz w:val="22"/>
                          <w:szCs w:val="22"/>
                          <w:lang w:val="uz-Cyrl-UZ"/>
                        </w:rPr>
                        <w:t>Управе за јавне набавке</w:t>
                      </w:r>
                      <w:r w:rsidRPr="009A471A">
                        <w:rPr>
                          <w:rFonts w:asciiTheme="minorHAnsi" w:hAnsiTheme="minorHAnsi" w:cstheme="minorHAnsi"/>
                          <w:sz w:val="22"/>
                          <w:szCs w:val="22"/>
                          <w:lang w:val="uz-Cyrl-UZ"/>
                        </w:rPr>
                        <w:t xml:space="preserve"> за праћење процедура јавних набавки и </w:t>
                      </w:r>
                      <w:r w:rsidRPr="009A471A">
                        <w:rPr>
                          <w:rFonts w:asciiTheme="minorHAnsi" w:hAnsiTheme="minorHAnsi" w:cstheme="minorHAnsi"/>
                          <w:spacing w:val="-6"/>
                          <w:sz w:val="22"/>
                          <w:szCs w:val="22"/>
                          <w:lang w:val="sr"/>
                        </w:rPr>
                        <w:t>успостављање</w:t>
                      </w:r>
                      <w:r w:rsidRPr="009A471A">
                        <w:rPr>
                          <w:rFonts w:asciiTheme="minorHAnsi" w:hAnsiTheme="minorHAnsi" w:cstheme="minorHAnsi"/>
                          <w:sz w:val="22"/>
                          <w:szCs w:val="22"/>
                          <w:lang w:val="sr"/>
                        </w:rPr>
                        <w:t xml:space="preserve"> зелених набавки</w:t>
                      </w:r>
                    </w:p>
                  </w:txbxContent>
                </v:textbox>
              </v:roundrect>
            </w:pict>
          </mc:Fallback>
        </mc:AlternateContent>
      </w:r>
      <w:r w:rsidR="00973E51"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22912" behindDoc="0" locked="0" layoutInCell="1" allowOverlap="1" wp14:anchorId="5A9F2D9F" wp14:editId="24ECA01F">
                <wp:simplePos x="0" y="0"/>
                <wp:positionH relativeFrom="column">
                  <wp:posOffset>9020810</wp:posOffset>
                </wp:positionH>
                <wp:positionV relativeFrom="paragraph">
                  <wp:posOffset>130176</wp:posOffset>
                </wp:positionV>
                <wp:extent cx="1355090" cy="1739900"/>
                <wp:effectExtent l="0" t="0" r="16510" b="12700"/>
                <wp:wrapNone/>
                <wp:docPr id="565" name="Text Box 565"/>
                <wp:cNvGraphicFramePr/>
                <a:graphic xmlns:a="http://schemas.openxmlformats.org/drawingml/2006/main">
                  <a:graphicData uri="http://schemas.microsoft.com/office/word/2010/wordprocessingShape">
                    <wps:wsp>
                      <wps:cNvSpPr txBox="1"/>
                      <wps:spPr>
                        <a:xfrm>
                          <a:off x="0" y="0"/>
                          <a:ext cx="1355090" cy="1739900"/>
                        </a:xfrm>
                        <a:prstGeom prst="roundRect">
                          <a:avLst/>
                        </a:prstGeom>
                        <a:solidFill>
                          <a:sysClr val="window" lastClr="FFFFFF"/>
                        </a:solidFill>
                        <a:ln w="19050">
                          <a:solidFill>
                            <a:srgbClr val="839DCC"/>
                          </a:solidFill>
                        </a:ln>
                        <a:effectLst/>
                      </wps:spPr>
                      <wps:txbx>
                        <w:txbxContent>
                          <w:p w14:paraId="217DC6EB" w14:textId="05AC29EC" w:rsidR="00876FFE" w:rsidRPr="00973E51" w:rsidRDefault="00876FFE" w:rsidP="00973E51">
                            <w:pPr>
                              <w:spacing w:before="0"/>
                              <w:ind w:firstLine="0"/>
                              <w:jc w:val="center"/>
                              <w:rPr>
                                <w:rFonts w:asciiTheme="minorHAnsi" w:hAnsiTheme="minorHAnsi" w:cstheme="minorHAnsi"/>
                                <w:sz w:val="22"/>
                                <w:szCs w:val="22"/>
                                <w:lang w:val="uz-Cyrl-UZ"/>
                              </w:rPr>
                            </w:pPr>
                            <w:r w:rsidRPr="00973E51">
                              <w:rPr>
                                <w:rFonts w:asciiTheme="minorHAnsi" w:hAnsiTheme="minorHAnsi" w:cstheme="minorHAnsi"/>
                                <w:sz w:val="22"/>
                                <w:szCs w:val="22"/>
                                <w:lang w:val="sr"/>
                              </w:rPr>
                              <w:t>Недовољно ојачани пословни процеси и административни капацитети институција које обављају контрол</w:t>
                            </w:r>
                            <w:r w:rsidRPr="00973E51">
                              <w:rPr>
                                <w:rFonts w:asciiTheme="minorHAnsi" w:hAnsiTheme="minorHAnsi" w:cstheme="minorHAnsi"/>
                                <w:sz w:val="22"/>
                                <w:szCs w:val="22"/>
                              </w:rPr>
                              <w:t>у</w:t>
                            </w:r>
                            <w:r w:rsidRPr="00973E51">
                              <w:rPr>
                                <w:rFonts w:asciiTheme="minorHAnsi" w:hAnsiTheme="minorHAnsi" w:cstheme="minorHAnsi"/>
                                <w:sz w:val="22"/>
                                <w:szCs w:val="22"/>
                                <w:lang w:val="sr"/>
                              </w:rPr>
                              <w:t xml:space="preserve"> јавних средстава</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9F2D9F" id="Text Box 565" o:spid="_x0000_s1359" style="position:absolute;left:0;text-align:left;margin-left:710.3pt;margin-top:10.25pt;width:106.7pt;height:13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" fillcolor="window" strokecolor="#839dcc" strokeweight="1.5pt">
                <v:textbox inset="0,0,1mm,0">
                  <w:txbxContent>
                    <w:p w14:paraId="217DC6EB" w14:textId="05AC29EC" w:rsidR="00876FFE" w:rsidRPr="00973E51" w:rsidRDefault="00876FFE" w:rsidP="00973E51">
                      <w:pPr>
                        <w:spacing w:before="0"/>
                        <w:ind w:firstLine="0"/>
                        <w:jc w:val="center"/>
                        <w:rPr>
                          <w:rFonts w:asciiTheme="minorHAnsi" w:hAnsiTheme="minorHAnsi" w:cstheme="minorHAnsi"/>
                          <w:sz w:val="22"/>
                          <w:szCs w:val="22"/>
                          <w:lang w:val="uz-Cyrl-UZ"/>
                        </w:rPr>
                      </w:pPr>
                      <w:r w:rsidRPr="00973E51">
                        <w:rPr>
                          <w:rFonts w:asciiTheme="minorHAnsi" w:hAnsiTheme="minorHAnsi" w:cstheme="minorHAnsi"/>
                          <w:sz w:val="22"/>
                          <w:szCs w:val="22"/>
                          <w:lang w:val="sr"/>
                        </w:rPr>
                        <w:t xml:space="preserve">Недовољно </w:t>
                      </w:r>
                      <w:r w:rsidRPr="00973E51">
                        <w:rPr>
                          <w:rFonts w:asciiTheme="minorHAnsi" w:hAnsiTheme="minorHAnsi" w:cstheme="minorHAnsi"/>
                          <w:sz w:val="22"/>
                          <w:szCs w:val="22"/>
                          <w:lang w:val="sr"/>
                        </w:rPr>
                        <w:t>ојачани пословни процеси и административни капацитети институција које обављају контрол</w:t>
                      </w:r>
                      <w:r w:rsidRPr="00973E51">
                        <w:rPr>
                          <w:rFonts w:asciiTheme="minorHAnsi" w:hAnsiTheme="minorHAnsi" w:cstheme="minorHAnsi"/>
                          <w:sz w:val="22"/>
                          <w:szCs w:val="22"/>
                        </w:rPr>
                        <w:t>у</w:t>
                      </w:r>
                      <w:r w:rsidRPr="00973E51">
                        <w:rPr>
                          <w:rFonts w:asciiTheme="minorHAnsi" w:hAnsiTheme="minorHAnsi" w:cstheme="minorHAnsi"/>
                          <w:sz w:val="22"/>
                          <w:szCs w:val="22"/>
                          <w:lang w:val="sr"/>
                        </w:rPr>
                        <w:t xml:space="preserve"> јавних средстава</w:t>
                      </w:r>
                    </w:p>
                  </w:txbxContent>
                </v:textbox>
              </v:roundrect>
            </w:pict>
          </mc:Fallback>
        </mc:AlternateContent>
      </w:r>
      <w:r w:rsidR="009A471A"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33152" behindDoc="0" locked="0" layoutInCell="1" allowOverlap="1" wp14:anchorId="14C9C7A9" wp14:editId="24C79BA8">
                <wp:simplePos x="0" y="0"/>
                <wp:positionH relativeFrom="column">
                  <wp:posOffset>3712210</wp:posOffset>
                </wp:positionH>
                <wp:positionV relativeFrom="paragraph">
                  <wp:posOffset>53975</wp:posOffset>
                </wp:positionV>
                <wp:extent cx="1465580" cy="1454785"/>
                <wp:effectExtent l="0" t="0" r="20320" b="12065"/>
                <wp:wrapNone/>
                <wp:docPr id="584" name="Text Box 584"/>
                <wp:cNvGraphicFramePr/>
                <a:graphic xmlns:a="http://schemas.openxmlformats.org/drawingml/2006/main">
                  <a:graphicData uri="http://schemas.microsoft.com/office/word/2010/wordprocessingShape">
                    <wps:wsp>
                      <wps:cNvSpPr txBox="1"/>
                      <wps:spPr>
                        <a:xfrm>
                          <a:off x="0" y="0"/>
                          <a:ext cx="1465580" cy="1454785"/>
                        </a:xfrm>
                        <a:prstGeom prst="roundRect">
                          <a:avLst/>
                        </a:prstGeom>
                        <a:solidFill>
                          <a:sysClr val="window" lastClr="FFFFFF"/>
                        </a:solidFill>
                        <a:ln w="19050">
                          <a:solidFill>
                            <a:srgbClr val="839DCC"/>
                          </a:solidFill>
                        </a:ln>
                        <a:effectLst/>
                      </wps:spPr>
                      <wps:txbx>
                        <w:txbxContent>
                          <w:p w14:paraId="7144DB2B" w14:textId="77777777" w:rsidR="00876FFE" w:rsidRPr="009A471A" w:rsidRDefault="00876FFE" w:rsidP="009B4AF3">
                            <w:pPr>
                              <w:spacing w:before="0"/>
                              <w:ind w:firstLine="0"/>
                              <w:jc w:val="center"/>
                              <w:rPr>
                                <w:rFonts w:asciiTheme="minorHAnsi" w:hAnsiTheme="minorHAnsi" w:cstheme="minorHAnsi"/>
                                <w:sz w:val="22"/>
                                <w:szCs w:val="22"/>
                                <w:lang w:val="sr"/>
                              </w:rPr>
                            </w:pPr>
                            <w:r w:rsidRPr="009A471A">
                              <w:rPr>
                                <w:rFonts w:asciiTheme="minorHAnsi" w:hAnsiTheme="minorHAnsi" w:cstheme="minorHAnsi"/>
                                <w:sz w:val="22"/>
                                <w:szCs w:val="22"/>
                                <w:lang w:val="sr"/>
                              </w:rPr>
                              <w:t>Недовољно усклађени пословни процеси са услугама које треба да пружају модерне јавне администрације</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C9C7A9" id="Text Box 584" o:spid="_x0000_s1360" style="position:absolute;left:0;text-align:left;margin-left:292.3pt;margin-top:4.25pt;width:115.4pt;height:114.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" fillcolor="window" strokecolor="#839dcc" strokeweight="1.5pt">
                <v:textbox inset="0,0,1mm,0">
                  <w:txbxContent>
                    <w:p w14:paraId="7144DB2B" w14:textId="77777777" w:rsidR="00876FFE" w:rsidRPr="009A471A" w:rsidRDefault="00876FFE" w:rsidP="009B4AF3">
                      <w:pPr>
                        <w:spacing w:before="0"/>
                        <w:ind w:firstLine="0"/>
                        <w:jc w:val="center"/>
                        <w:rPr>
                          <w:rFonts w:asciiTheme="minorHAnsi" w:hAnsiTheme="minorHAnsi" w:cstheme="minorHAnsi"/>
                          <w:sz w:val="22"/>
                          <w:szCs w:val="22"/>
                          <w:lang w:val="sr"/>
                        </w:rPr>
                      </w:pPr>
                      <w:r w:rsidRPr="009A471A">
                        <w:rPr>
                          <w:rFonts w:asciiTheme="minorHAnsi" w:hAnsiTheme="minorHAnsi" w:cstheme="minorHAnsi"/>
                          <w:sz w:val="22"/>
                          <w:szCs w:val="22"/>
                          <w:lang w:val="sr"/>
                        </w:rPr>
                        <w:t xml:space="preserve">Недовољно </w:t>
                      </w:r>
                      <w:r w:rsidRPr="009A471A">
                        <w:rPr>
                          <w:rFonts w:asciiTheme="minorHAnsi" w:hAnsiTheme="minorHAnsi" w:cstheme="minorHAnsi"/>
                          <w:sz w:val="22"/>
                          <w:szCs w:val="22"/>
                          <w:lang w:val="sr"/>
                        </w:rPr>
                        <w:t>усклађени пословни процеси са услугама које треба да пружају модерне јавне администрације</w:t>
                      </w:r>
                    </w:p>
                  </w:txbxContent>
                </v:textbox>
              </v:roundrect>
            </w:pict>
          </mc:Fallback>
        </mc:AlternateContent>
      </w:r>
      <w:r w:rsidR="009A471A"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30080" behindDoc="0" locked="0" layoutInCell="1" allowOverlap="1" wp14:anchorId="426E407C" wp14:editId="18AB4012">
                <wp:simplePos x="0" y="0"/>
                <wp:positionH relativeFrom="column">
                  <wp:posOffset>918210</wp:posOffset>
                </wp:positionH>
                <wp:positionV relativeFrom="paragraph">
                  <wp:posOffset>41275</wp:posOffset>
                </wp:positionV>
                <wp:extent cx="1270000" cy="927100"/>
                <wp:effectExtent l="0" t="0" r="25400" b="25400"/>
                <wp:wrapNone/>
                <wp:docPr id="594" name="Text Box 594"/>
                <wp:cNvGraphicFramePr/>
                <a:graphic xmlns:a="http://schemas.openxmlformats.org/drawingml/2006/main">
                  <a:graphicData uri="http://schemas.microsoft.com/office/word/2010/wordprocessingShape">
                    <wps:wsp>
                      <wps:cNvSpPr txBox="1"/>
                      <wps:spPr>
                        <a:xfrm>
                          <a:off x="0" y="0"/>
                          <a:ext cx="1270000" cy="927100"/>
                        </a:xfrm>
                        <a:prstGeom prst="roundRect">
                          <a:avLst/>
                        </a:prstGeom>
                        <a:solidFill>
                          <a:sysClr val="window" lastClr="FFFFFF"/>
                        </a:solidFill>
                        <a:ln w="19050">
                          <a:solidFill>
                            <a:srgbClr val="839DCC"/>
                          </a:solidFill>
                        </a:ln>
                        <a:effectLst/>
                      </wps:spPr>
                      <wps:txbx>
                        <w:txbxContent>
                          <w:p w14:paraId="7BCDC5F6" w14:textId="69A8AEC3" w:rsidR="00876FFE" w:rsidRPr="009A471A" w:rsidRDefault="00876FFE" w:rsidP="009A471A">
                            <w:pPr>
                              <w:ind w:firstLine="0"/>
                              <w:jc w:val="center"/>
                              <w:rPr>
                                <w:rFonts w:asciiTheme="minorHAnsi" w:hAnsiTheme="minorHAnsi" w:cstheme="minorHAnsi"/>
                                <w:sz w:val="22"/>
                                <w:szCs w:val="22"/>
                                <w:lang w:val="sr"/>
                              </w:rPr>
                            </w:pPr>
                            <w:r w:rsidRPr="009A471A">
                              <w:rPr>
                                <w:rFonts w:asciiTheme="minorHAnsi" w:hAnsiTheme="minorHAnsi" w:cstheme="minorHAnsi"/>
                                <w:sz w:val="22"/>
                                <w:szCs w:val="22"/>
                                <w:lang w:val="uz-Cyrl-UZ"/>
                              </w:rPr>
                              <w:t xml:space="preserve">Индикатори нису </w:t>
                            </w:r>
                            <w:r>
                              <w:rPr>
                                <w:rFonts w:asciiTheme="minorHAnsi" w:hAnsiTheme="minorHAnsi" w:cstheme="minorHAnsi"/>
                                <w:sz w:val="22"/>
                                <w:szCs w:val="22"/>
                                <w:lang w:val="uz-Cyrl-UZ"/>
                              </w:rPr>
                              <w:t>адекватно дефинисани</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6E407C" id="Text Box 594" o:spid="_x0000_s1361" style="position:absolute;left:0;text-align:left;margin-left:72.3pt;margin-top:3.25pt;width:100pt;height:7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" fillcolor="window" strokecolor="#839dcc" strokeweight="1.5pt">
                <v:textbox inset="0,0,1mm,0">
                  <w:txbxContent>
                    <w:p w14:paraId="7BCDC5F6" w14:textId="69A8AEC3" w:rsidR="00876FFE" w:rsidRPr="009A471A" w:rsidRDefault="00876FFE" w:rsidP="009A471A">
                      <w:pPr>
                        <w:ind w:firstLine="0"/>
                        <w:jc w:val="center"/>
                        <w:rPr>
                          <w:rFonts w:asciiTheme="minorHAnsi" w:hAnsiTheme="minorHAnsi" w:cstheme="minorHAnsi"/>
                          <w:sz w:val="22"/>
                          <w:szCs w:val="22"/>
                          <w:lang w:val="sr"/>
                        </w:rPr>
                      </w:pPr>
                      <w:r w:rsidRPr="009A471A">
                        <w:rPr>
                          <w:rFonts w:asciiTheme="minorHAnsi" w:hAnsiTheme="minorHAnsi" w:cstheme="minorHAnsi"/>
                          <w:sz w:val="22"/>
                          <w:szCs w:val="22"/>
                          <w:lang w:val="uz-Cyrl-UZ"/>
                        </w:rPr>
                        <w:t xml:space="preserve">Индикатори нису </w:t>
                      </w:r>
                      <w:r>
                        <w:rPr>
                          <w:rFonts w:asciiTheme="minorHAnsi" w:hAnsiTheme="minorHAnsi" w:cstheme="minorHAnsi"/>
                          <w:sz w:val="22"/>
                          <w:szCs w:val="22"/>
                          <w:lang w:val="uz-Cyrl-UZ"/>
                        </w:rPr>
                        <w:t>адекватно дефинисани</w:t>
                      </w:r>
                    </w:p>
                  </w:txbxContent>
                </v:textbox>
              </v:roundrect>
            </w:pict>
          </mc:Fallback>
        </mc:AlternateContent>
      </w:r>
    </w:p>
    <w:p w14:paraId="053C2FC0" w14:textId="40ABAEB0" w:rsidR="007B1A69" w:rsidRPr="000F0299" w:rsidRDefault="00EB1CF4"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34176" behindDoc="0" locked="0" layoutInCell="1" allowOverlap="1" wp14:anchorId="7F2075B0" wp14:editId="7CC5A350">
                <wp:simplePos x="0" y="0"/>
                <wp:positionH relativeFrom="column">
                  <wp:posOffset>12653010</wp:posOffset>
                </wp:positionH>
                <wp:positionV relativeFrom="paragraph">
                  <wp:posOffset>22225</wp:posOffset>
                </wp:positionV>
                <wp:extent cx="1009650" cy="1054100"/>
                <wp:effectExtent l="0" t="0" r="19050" b="12700"/>
                <wp:wrapNone/>
                <wp:docPr id="578" name="Text Box 578"/>
                <wp:cNvGraphicFramePr/>
                <a:graphic xmlns:a="http://schemas.openxmlformats.org/drawingml/2006/main">
                  <a:graphicData uri="http://schemas.microsoft.com/office/word/2010/wordprocessingShape">
                    <wps:wsp>
                      <wps:cNvSpPr txBox="1"/>
                      <wps:spPr>
                        <a:xfrm>
                          <a:off x="0" y="0"/>
                          <a:ext cx="1009650" cy="1054100"/>
                        </a:xfrm>
                        <a:prstGeom prst="roundRect">
                          <a:avLst/>
                        </a:prstGeom>
                        <a:solidFill>
                          <a:sysClr val="window" lastClr="FFFFFF"/>
                        </a:solidFill>
                        <a:ln w="19050">
                          <a:solidFill>
                            <a:srgbClr val="839DCC"/>
                          </a:solidFill>
                        </a:ln>
                        <a:effectLst/>
                      </wps:spPr>
                      <wps:txbx>
                        <w:txbxContent>
                          <w:p w14:paraId="3B261BDD" w14:textId="77777777" w:rsidR="00876FFE" w:rsidRPr="00EB1CF4" w:rsidRDefault="00876FFE" w:rsidP="00EB1CF4">
                            <w:pPr>
                              <w:spacing w:before="0"/>
                              <w:ind w:firstLine="0"/>
                              <w:jc w:val="center"/>
                              <w:rPr>
                                <w:rFonts w:asciiTheme="minorHAnsi" w:hAnsiTheme="minorHAnsi" w:cstheme="minorHAnsi"/>
                                <w:sz w:val="22"/>
                                <w:szCs w:val="22"/>
                              </w:rPr>
                            </w:pPr>
                            <w:r w:rsidRPr="00EB1CF4">
                              <w:rPr>
                                <w:rFonts w:asciiTheme="minorHAnsi" w:hAnsiTheme="minorHAnsi" w:cstheme="minorHAnsi"/>
                                <w:sz w:val="22"/>
                                <w:szCs w:val="22"/>
                              </w:rPr>
                              <w:t>М</w:t>
                            </w:r>
                            <w:r w:rsidRPr="00EB1CF4">
                              <w:rPr>
                                <w:rFonts w:asciiTheme="minorHAnsi" w:hAnsiTheme="minorHAnsi" w:cstheme="minorHAnsi"/>
                                <w:sz w:val="22"/>
                                <w:szCs w:val="22"/>
                                <w:lang w:val="sr"/>
                              </w:rPr>
                              <w:t>ерење учинка ревизије</w:t>
                            </w:r>
                            <w:r w:rsidRPr="00EB1CF4">
                              <w:rPr>
                                <w:rFonts w:asciiTheme="minorHAnsi" w:hAnsiTheme="minorHAnsi" w:cstheme="minorHAnsi"/>
                                <w:sz w:val="22"/>
                                <w:szCs w:val="22"/>
                              </w:rPr>
                              <w:t xml:space="preserve"> није довољно унапређено</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2075B0" id="Text Box 578" o:spid="_x0000_s1362" style="position:absolute;left:0;text-align:left;margin-left:996.3pt;margin-top:1.75pt;width:79.5pt;height:8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" fillcolor="window" strokecolor="#839dcc" strokeweight="1.5pt">
                <v:textbox inset="0,0,1mm,0">
                  <w:txbxContent>
                    <w:p w14:paraId="3B261BDD" w14:textId="77777777" w:rsidR="00876FFE" w:rsidRPr="00EB1CF4" w:rsidRDefault="00876FFE" w:rsidP="00EB1CF4">
                      <w:pPr>
                        <w:spacing w:before="0"/>
                        <w:ind w:firstLine="0"/>
                        <w:jc w:val="center"/>
                        <w:rPr>
                          <w:rFonts w:asciiTheme="minorHAnsi" w:hAnsiTheme="minorHAnsi" w:cstheme="minorHAnsi"/>
                          <w:sz w:val="22"/>
                          <w:szCs w:val="22"/>
                        </w:rPr>
                      </w:pPr>
                      <w:r w:rsidRPr="00EB1CF4">
                        <w:rPr>
                          <w:rFonts w:asciiTheme="minorHAnsi" w:hAnsiTheme="minorHAnsi" w:cstheme="minorHAnsi"/>
                          <w:sz w:val="22"/>
                          <w:szCs w:val="22"/>
                        </w:rPr>
                        <w:t>М</w:t>
                      </w:r>
                      <w:r w:rsidRPr="00EB1CF4">
                        <w:rPr>
                          <w:rFonts w:asciiTheme="minorHAnsi" w:hAnsiTheme="minorHAnsi" w:cstheme="minorHAnsi"/>
                          <w:sz w:val="22"/>
                          <w:szCs w:val="22"/>
                          <w:lang w:val="sr"/>
                        </w:rPr>
                        <w:t>ерење учинка ревизије</w:t>
                      </w:r>
                      <w:r w:rsidRPr="00EB1CF4">
                        <w:rPr>
                          <w:rFonts w:asciiTheme="minorHAnsi" w:hAnsiTheme="minorHAnsi" w:cstheme="minorHAnsi"/>
                          <w:sz w:val="22"/>
                          <w:szCs w:val="22"/>
                        </w:rPr>
                        <w:t xml:space="preserve"> није довољно унапређено</w:t>
                      </w:r>
                    </w:p>
                  </w:txbxContent>
                </v:textbox>
              </v:roundrect>
            </w:pict>
          </mc:Fallback>
        </mc:AlternateContent>
      </w:r>
    </w:p>
    <w:p w14:paraId="71008E65" w14:textId="3E4F2FF1" w:rsidR="007B1A69" w:rsidRPr="000F0299" w:rsidRDefault="00D81D5B" w:rsidP="007B1A69">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2153344" behindDoc="0" locked="0" layoutInCell="1" allowOverlap="1" wp14:anchorId="1DF352BD" wp14:editId="45173DC8">
                <wp:simplePos x="0" y="0"/>
                <wp:positionH relativeFrom="column">
                  <wp:posOffset>8374380</wp:posOffset>
                </wp:positionH>
                <wp:positionV relativeFrom="paragraph">
                  <wp:posOffset>138430</wp:posOffset>
                </wp:positionV>
                <wp:extent cx="258445" cy="0"/>
                <wp:effectExtent l="0" t="95250" r="0" b="95250"/>
                <wp:wrapNone/>
                <wp:docPr id="75" name="Straight Arrow Connector 75"/>
                <wp:cNvGraphicFramePr/>
                <a:graphic xmlns:a="http://schemas.openxmlformats.org/drawingml/2006/main">
                  <a:graphicData uri="http://schemas.microsoft.com/office/word/2010/wordprocessingShape">
                    <wps:wsp>
                      <wps:cNvCnPr/>
                      <wps:spPr>
                        <a:xfrm>
                          <a:off x="0" y="0"/>
                          <a:ext cx="258445" cy="0"/>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C09B8B" id="Straight Arrow Connector 75" o:spid="_x0000_s1026" type="#_x0000_t32" style="position:absolute;margin-left:659.4pt;margin-top:10.9pt;width:20.35pt;height:0;z-index:25215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" strokecolor="#839dcc" strokeweight="2.25pt">
                <v:stroke endarrow="block" joinstyle="miter"/>
              </v:shape>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2151296" behindDoc="0" locked="0" layoutInCell="1" allowOverlap="1" wp14:anchorId="07639801" wp14:editId="27A9F61A">
                <wp:simplePos x="0" y="0"/>
                <wp:positionH relativeFrom="column">
                  <wp:posOffset>6876415</wp:posOffset>
                </wp:positionH>
                <wp:positionV relativeFrom="paragraph">
                  <wp:posOffset>98425</wp:posOffset>
                </wp:positionV>
                <wp:extent cx="258445" cy="0"/>
                <wp:effectExtent l="0" t="95250" r="0" b="95250"/>
                <wp:wrapNone/>
                <wp:docPr id="54" name="Straight Arrow Connector 54"/>
                <wp:cNvGraphicFramePr/>
                <a:graphic xmlns:a="http://schemas.openxmlformats.org/drawingml/2006/main">
                  <a:graphicData uri="http://schemas.microsoft.com/office/word/2010/wordprocessingShape">
                    <wps:wsp>
                      <wps:cNvCnPr/>
                      <wps:spPr>
                        <a:xfrm>
                          <a:off x="0" y="0"/>
                          <a:ext cx="258445" cy="0"/>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F23F0A" id="Straight Arrow Connector 54" o:spid="_x0000_s1026" type="#_x0000_t32" style="position:absolute;margin-left:541.45pt;margin-top:7.75pt;width:20.35pt;height:0;z-index:25215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" strokecolor="#839dcc" strokeweight="2.25pt">
                <v:stroke endarrow="block" joinstyle="miter"/>
              </v:shape>
            </w:pict>
          </mc:Fallback>
        </mc:AlternateContent>
      </w:r>
      <w:r w:rsidR="00FB0303"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50560" behindDoc="0" locked="0" layoutInCell="1" allowOverlap="1" wp14:anchorId="3847D677" wp14:editId="3E53121F">
                <wp:simplePos x="0" y="0"/>
                <wp:positionH relativeFrom="column">
                  <wp:posOffset>5337810</wp:posOffset>
                </wp:positionH>
                <wp:positionV relativeFrom="paragraph">
                  <wp:posOffset>92075</wp:posOffset>
                </wp:positionV>
                <wp:extent cx="258445" cy="0"/>
                <wp:effectExtent l="0" t="95250" r="0" b="95250"/>
                <wp:wrapNone/>
                <wp:docPr id="399" name="Straight Arrow Connector 399"/>
                <wp:cNvGraphicFramePr/>
                <a:graphic xmlns:a="http://schemas.openxmlformats.org/drawingml/2006/main">
                  <a:graphicData uri="http://schemas.microsoft.com/office/word/2010/wordprocessingShape">
                    <wps:wsp>
                      <wps:cNvCnPr/>
                      <wps:spPr>
                        <a:xfrm flipH="1">
                          <a:off x="0" y="0"/>
                          <a:ext cx="258445" cy="0"/>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30744C" id="Straight Arrow Connector 399" o:spid="_x0000_s1026" type="#_x0000_t32" style="position:absolute;margin-left:420.3pt;margin-top:7.25pt;width:20.35pt;height:0;flip:x;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" strokecolor="#839dcc" strokeweight="2.25pt">
                <v:stroke endarrow="block" joinstyle="miter"/>
              </v:shape>
            </w:pict>
          </mc:Fallback>
        </mc:AlternateContent>
      </w:r>
    </w:p>
    <w:p w14:paraId="3D63BAFE" w14:textId="118CE00A" w:rsidR="007B1A69" w:rsidRPr="000F0299" w:rsidRDefault="00B525EB" w:rsidP="007B1A69">
      <w:pPr>
        <w:suppressAutoHyphens w:val="0"/>
        <w:autoSpaceDN/>
        <w:spacing w:after="120" w:line="259" w:lineRule="auto"/>
        <w:ind w:firstLine="0"/>
        <w:textAlignment w:val="auto"/>
        <w:rPr>
          <w:rFonts w:ascii="Arial Narrow" w:eastAsiaTheme="minorHAnsi" w:hAnsi="Arial Narrow" w:cs="Arial"/>
          <w:kern w:val="0"/>
          <w:sz w:val="22"/>
          <w:szCs w:val="22"/>
          <w:lang w:eastAsia="en-US" w:bidi="ar-SA"/>
        </w:rPr>
        <w:sectPr w:rsidR="007B1A69" w:rsidRPr="000F0299" w:rsidSect="00545D24">
          <w:headerReference w:type="default" r:id="rId163"/>
          <w:pgSz w:w="23814" w:h="16840" w:orient="landscape"/>
          <w:pgMar w:top="1418" w:right="1418" w:bottom="1418" w:left="1134" w:header="709" w:footer="709" w:gutter="0"/>
          <w:cols w:space="708"/>
          <w:docGrid w:linePitch="360"/>
        </w:sect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56704" behindDoc="0" locked="0" layoutInCell="1" allowOverlap="1" wp14:anchorId="6432B8A0" wp14:editId="13EAFE77">
                <wp:simplePos x="0" y="0"/>
                <wp:positionH relativeFrom="column">
                  <wp:posOffset>3566160</wp:posOffset>
                </wp:positionH>
                <wp:positionV relativeFrom="paragraph">
                  <wp:posOffset>2008505</wp:posOffset>
                </wp:positionV>
                <wp:extent cx="0" cy="228600"/>
                <wp:effectExtent l="57150" t="38100" r="57150" b="0"/>
                <wp:wrapNone/>
                <wp:docPr id="281" name="Straight Arrow Connector 28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AB61B6" id="Straight Arrow Connector 281" o:spid="_x0000_s1026" type="#_x0000_t32" style="position:absolute;margin-left:280.8pt;margin-top:158.15pt;width:0;height:18pt;flip:y;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" strokecolor="#839dcc" strokeweight="2.25pt">
                <v:stroke endarrow="block" joinstyle="miter"/>
              </v:shape>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55680" behindDoc="0" locked="0" layoutInCell="1" allowOverlap="1" wp14:anchorId="58F001F7" wp14:editId="3930CE7B">
                <wp:simplePos x="0" y="0"/>
                <wp:positionH relativeFrom="margin">
                  <wp:posOffset>2842623</wp:posOffset>
                </wp:positionH>
                <wp:positionV relativeFrom="paragraph">
                  <wp:posOffset>2249896</wp:posOffset>
                </wp:positionV>
                <wp:extent cx="1475105" cy="952500"/>
                <wp:effectExtent l="0" t="0" r="10795" b="19050"/>
                <wp:wrapNone/>
                <wp:docPr id="282" name="Text Box 282"/>
                <wp:cNvGraphicFramePr/>
                <a:graphic xmlns:a="http://schemas.openxmlformats.org/drawingml/2006/main">
                  <a:graphicData uri="http://schemas.microsoft.com/office/word/2010/wordprocessingShape">
                    <wps:wsp>
                      <wps:cNvSpPr txBox="1"/>
                      <wps:spPr>
                        <a:xfrm>
                          <a:off x="0" y="0"/>
                          <a:ext cx="1475105" cy="952500"/>
                        </a:xfrm>
                        <a:prstGeom prst="roundRect">
                          <a:avLst/>
                        </a:prstGeom>
                        <a:solidFill>
                          <a:sysClr val="window" lastClr="FFFFFF"/>
                        </a:solidFill>
                        <a:ln w="19050">
                          <a:solidFill>
                            <a:srgbClr val="839DCC"/>
                          </a:solidFill>
                        </a:ln>
                        <a:effectLst/>
                      </wps:spPr>
                      <wps:txbx>
                        <w:txbxContent>
                          <w:p w14:paraId="4847C3D3" w14:textId="77777777" w:rsidR="00876FFE" w:rsidRPr="009A471A" w:rsidRDefault="00876FFE" w:rsidP="009B4AF3">
                            <w:pPr>
                              <w:ind w:firstLine="0"/>
                              <w:jc w:val="center"/>
                              <w:rPr>
                                <w:rFonts w:asciiTheme="minorHAnsi" w:hAnsiTheme="minorHAnsi" w:cstheme="minorHAnsi"/>
                                <w:sz w:val="22"/>
                                <w:szCs w:val="22"/>
                                <w:lang w:val="sr"/>
                              </w:rPr>
                            </w:pPr>
                            <w:r w:rsidRPr="009A471A">
                              <w:rPr>
                                <w:rFonts w:asciiTheme="minorHAnsi" w:hAnsiTheme="minorHAnsi" w:cstheme="minorHAnsi"/>
                                <w:sz w:val="22"/>
                                <w:szCs w:val="22"/>
                                <w:lang w:val="sr"/>
                              </w:rPr>
                              <w:t xml:space="preserve">Недовољно </w:t>
                            </w:r>
                            <w:r w:rsidRPr="009A471A">
                              <w:rPr>
                                <w:rFonts w:asciiTheme="minorHAnsi" w:hAnsiTheme="minorHAnsi" w:cstheme="minorHAnsi"/>
                                <w:spacing w:val="-8"/>
                                <w:kern w:val="16"/>
                                <w:sz w:val="22"/>
                                <w:szCs w:val="22"/>
                                <w:lang w:val="sr"/>
                              </w:rPr>
                              <w:t>стандардизовани</w:t>
                            </w:r>
                            <w:r w:rsidRPr="009A471A">
                              <w:rPr>
                                <w:rFonts w:asciiTheme="minorHAnsi" w:hAnsiTheme="minorHAnsi" w:cstheme="minorHAnsi"/>
                                <w:sz w:val="22"/>
                                <w:szCs w:val="22"/>
                                <w:lang w:val="sr"/>
                              </w:rPr>
                              <w:t xml:space="preserve"> финансијски извештаји</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F001F7" id="Text Box 282" o:spid="_x0000_s1363" style="position:absolute;left:0;text-align:left;margin-left:223.85pt;margin-top:177.15pt;width:116.15pt;height: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" fillcolor="window" strokecolor="#839dcc" strokeweight="1.5pt">
                <v:textbox inset="0,0,1mm,0">
                  <w:txbxContent>
                    <w:p w14:paraId="4847C3D3" w14:textId="77777777" w:rsidR="00876FFE" w:rsidRPr="009A471A" w:rsidRDefault="00876FFE" w:rsidP="009B4AF3">
                      <w:pPr>
                        <w:ind w:firstLine="0"/>
                        <w:jc w:val="center"/>
                        <w:rPr>
                          <w:rFonts w:asciiTheme="minorHAnsi" w:hAnsiTheme="minorHAnsi" w:cstheme="minorHAnsi"/>
                          <w:sz w:val="22"/>
                          <w:szCs w:val="22"/>
                          <w:lang w:val="sr"/>
                        </w:rPr>
                      </w:pPr>
                      <w:r w:rsidRPr="009A471A">
                        <w:rPr>
                          <w:rFonts w:asciiTheme="minorHAnsi" w:hAnsiTheme="minorHAnsi" w:cstheme="minorHAnsi"/>
                          <w:sz w:val="22"/>
                          <w:szCs w:val="22"/>
                          <w:lang w:val="sr"/>
                        </w:rPr>
                        <w:t xml:space="preserve">Недовољно </w:t>
                      </w:r>
                      <w:r w:rsidRPr="009A471A">
                        <w:rPr>
                          <w:rFonts w:asciiTheme="minorHAnsi" w:hAnsiTheme="minorHAnsi" w:cstheme="minorHAnsi"/>
                          <w:spacing w:val="-8"/>
                          <w:kern w:val="16"/>
                          <w:sz w:val="22"/>
                          <w:szCs w:val="22"/>
                          <w:lang w:val="sr"/>
                        </w:rPr>
                        <w:t>стандардизовани</w:t>
                      </w:r>
                      <w:r w:rsidRPr="009A471A">
                        <w:rPr>
                          <w:rFonts w:asciiTheme="minorHAnsi" w:hAnsiTheme="minorHAnsi" w:cstheme="minorHAnsi"/>
                          <w:sz w:val="22"/>
                          <w:szCs w:val="22"/>
                          <w:lang w:val="sr"/>
                        </w:rPr>
                        <w:t xml:space="preserve"> финансијски извештаји</w:t>
                      </w:r>
                    </w:p>
                  </w:txbxContent>
                </v:textbox>
                <w10:wrap anchorx="margin"/>
              </v:roundrect>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54656" behindDoc="0" locked="0" layoutInCell="1" allowOverlap="1" wp14:anchorId="27C5BE81" wp14:editId="206E27D1">
                <wp:simplePos x="0" y="0"/>
                <wp:positionH relativeFrom="column">
                  <wp:posOffset>2298882</wp:posOffset>
                </wp:positionH>
                <wp:positionV relativeFrom="paragraph">
                  <wp:posOffset>1375682</wp:posOffset>
                </wp:positionV>
                <wp:extent cx="2656840" cy="655320"/>
                <wp:effectExtent l="0" t="0" r="10160" b="11430"/>
                <wp:wrapNone/>
                <wp:docPr id="280" name="Text Box 280"/>
                <wp:cNvGraphicFramePr/>
                <a:graphic xmlns:a="http://schemas.openxmlformats.org/drawingml/2006/main">
                  <a:graphicData uri="http://schemas.microsoft.com/office/word/2010/wordprocessingShape">
                    <wps:wsp>
                      <wps:cNvSpPr txBox="1"/>
                      <wps:spPr>
                        <a:xfrm>
                          <a:off x="0" y="0"/>
                          <a:ext cx="2656840" cy="655320"/>
                        </a:xfrm>
                        <a:prstGeom prst="roundRect">
                          <a:avLst/>
                        </a:prstGeom>
                        <a:solidFill>
                          <a:sysClr val="window" lastClr="FFFFFF"/>
                        </a:solidFill>
                        <a:ln w="19050">
                          <a:solidFill>
                            <a:srgbClr val="839DCC"/>
                          </a:solidFill>
                        </a:ln>
                        <a:effectLst/>
                      </wps:spPr>
                      <wps:txbx>
                        <w:txbxContent>
                          <w:p w14:paraId="4AC87911" w14:textId="69A7E4CE" w:rsidR="00876FFE" w:rsidRPr="009A471A" w:rsidRDefault="00876FFE" w:rsidP="009B4AF3">
                            <w:pPr>
                              <w:ind w:firstLine="0"/>
                              <w:jc w:val="center"/>
                              <w:rPr>
                                <w:rFonts w:asciiTheme="minorHAnsi" w:hAnsiTheme="minorHAnsi" w:cstheme="minorHAnsi"/>
                                <w:sz w:val="22"/>
                                <w:szCs w:val="22"/>
                                <w:lang w:val="uz-Cyrl-UZ"/>
                              </w:rPr>
                            </w:pPr>
                            <w:r w:rsidRPr="009A471A">
                              <w:rPr>
                                <w:rFonts w:asciiTheme="minorHAnsi" w:hAnsiTheme="minorHAnsi" w:cstheme="minorHAnsi"/>
                                <w:sz w:val="22"/>
                                <w:szCs w:val="22"/>
                                <w:lang w:val="uz-Cyrl-UZ"/>
                              </w:rPr>
                              <w:t>Недовољно развијени капацитети за и</w:t>
                            </w:r>
                            <w:r w:rsidRPr="009A471A">
                              <w:rPr>
                                <w:rFonts w:asciiTheme="minorHAnsi" w:hAnsiTheme="minorHAnsi" w:cstheme="minorHAnsi"/>
                                <w:sz w:val="22"/>
                                <w:szCs w:val="22"/>
                                <w:lang w:val="sr"/>
                              </w:rPr>
                              <w:t>з</w:t>
                            </w:r>
                            <w:r w:rsidRPr="009A471A">
                              <w:rPr>
                                <w:rFonts w:asciiTheme="minorHAnsi" w:hAnsiTheme="minorHAnsi" w:cstheme="minorHAnsi"/>
                                <w:sz w:val="22"/>
                                <w:szCs w:val="22"/>
                                <w:lang w:val="uz-Cyrl-UZ"/>
                              </w:rPr>
                              <w:t xml:space="preserve">вештавање у складу са </w:t>
                            </w:r>
                            <w:r w:rsidRPr="00B525EB">
                              <w:rPr>
                                <w:rFonts w:asciiTheme="minorHAnsi" w:hAnsiTheme="minorHAnsi" w:cstheme="minorHAnsi"/>
                                <w:i/>
                                <w:sz w:val="22"/>
                                <w:szCs w:val="22"/>
                                <w:lang w:val="uz-Cyrl-UZ"/>
                              </w:rPr>
                              <w:t>IPSAS</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C5BE81" id="Text Box 280" o:spid="_x0000_s1364" style="position:absolute;left:0;text-align:left;margin-left:181pt;margin-top:108.3pt;width:209.2pt;height:5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" fillcolor="window" strokecolor="#839dcc" strokeweight="1.5pt">
                <v:textbox inset="0,0,1mm,0">
                  <w:txbxContent>
                    <w:p w14:paraId="4AC87911" w14:textId="69A7E4CE" w:rsidR="00876FFE" w:rsidRPr="009A471A" w:rsidRDefault="00876FFE" w:rsidP="009B4AF3">
                      <w:pPr>
                        <w:ind w:firstLine="0"/>
                        <w:jc w:val="center"/>
                        <w:rPr>
                          <w:rFonts w:asciiTheme="minorHAnsi" w:hAnsiTheme="minorHAnsi" w:cstheme="minorHAnsi"/>
                          <w:sz w:val="22"/>
                          <w:szCs w:val="22"/>
                          <w:lang w:val="uz-Cyrl-UZ"/>
                        </w:rPr>
                      </w:pPr>
                      <w:r w:rsidRPr="009A471A">
                        <w:rPr>
                          <w:rFonts w:asciiTheme="minorHAnsi" w:hAnsiTheme="minorHAnsi" w:cstheme="minorHAnsi"/>
                          <w:sz w:val="22"/>
                          <w:szCs w:val="22"/>
                          <w:lang w:val="uz-Cyrl-UZ"/>
                        </w:rPr>
                        <w:t>Недовољно развијени капацитети за и</w:t>
                      </w:r>
                      <w:r w:rsidRPr="009A471A">
                        <w:rPr>
                          <w:rFonts w:asciiTheme="minorHAnsi" w:hAnsiTheme="minorHAnsi" w:cstheme="minorHAnsi"/>
                          <w:sz w:val="22"/>
                          <w:szCs w:val="22"/>
                          <w:lang w:val="sr"/>
                        </w:rPr>
                        <w:t>з</w:t>
                      </w:r>
                      <w:r w:rsidRPr="009A471A">
                        <w:rPr>
                          <w:rFonts w:asciiTheme="minorHAnsi" w:hAnsiTheme="minorHAnsi" w:cstheme="minorHAnsi"/>
                          <w:sz w:val="22"/>
                          <w:szCs w:val="22"/>
                          <w:lang w:val="uz-Cyrl-UZ"/>
                        </w:rPr>
                        <w:t xml:space="preserve">вештавање у складу са </w:t>
                      </w:r>
                      <w:r w:rsidRPr="00B525EB">
                        <w:rPr>
                          <w:rFonts w:asciiTheme="minorHAnsi" w:hAnsiTheme="minorHAnsi" w:cstheme="minorHAnsi"/>
                          <w:i/>
                          <w:sz w:val="22"/>
                          <w:szCs w:val="22"/>
                          <w:lang w:val="uz-Cyrl-UZ"/>
                        </w:rPr>
                        <w:t>IPSAS</w:t>
                      </w:r>
                    </w:p>
                  </w:txbxContent>
                </v:textbox>
              </v:roundrect>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36224" behindDoc="0" locked="0" layoutInCell="1" allowOverlap="1" wp14:anchorId="6265F4DC" wp14:editId="3CFA3C51">
                <wp:simplePos x="0" y="0"/>
                <wp:positionH relativeFrom="column">
                  <wp:posOffset>7106739</wp:posOffset>
                </wp:positionH>
                <wp:positionV relativeFrom="paragraph">
                  <wp:posOffset>595720</wp:posOffset>
                </wp:positionV>
                <wp:extent cx="1257300" cy="1001485"/>
                <wp:effectExtent l="0" t="0" r="19050" b="27305"/>
                <wp:wrapNone/>
                <wp:docPr id="588" name="Text Box 588"/>
                <wp:cNvGraphicFramePr/>
                <a:graphic xmlns:a="http://schemas.openxmlformats.org/drawingml/2006/main">
                  <a:graphicData uri="http://schemas.microsoft.com/office/word/2010/wordprocessingShape">
                    <wps:wsp>
                      <wps:cNvSpPr txBox="1"/>
                      <wps:spPr>
                        <a:xfrm>
                          <a:off x="0" y="0"/>
                          <a:ext cx="1257300" cy="1001485"/>
                        </a:xfrm>
                        <a:prstGeom prst="roundRect">
                          <a:avLst/>
                        </a:prstGeom>
                        <a:solidFill>
                          <a:sysClr val="window" lastClr="FFFFFF"/>
                        </a:solidFill>
                        <a:ln w="19050">
                          <a:solidFill>
                            <a:srgbClr val="839DCC"/>
                          </a:solidFill>
                        </a:ln>
                        <a:effectLst/>
                      </wps:spPr>
                      <wps:txbx>
                        <w:txbxContent>
                          <w:p w14:paraId="4007C16E" w14:textId="77777777" w:rsidR="00876FFE" w:rsidRPr="00FB0303" w:rsidRDefault="00876FFE" w:rsidP="00FB0303">
                            <w:pPr>
                              <w:spacing w:before="0"/>
                              <w:ind w:firstLine="0"/>
                              <w:jc w:val="center"/>
                              <w:rPr>
                                <w:rFonts w:asciiTheme="minorHAnsi" w:hAnsiTheme="minorHAnsi" w:cstheme="minorHAnsi"/>
                                <w:sz w:val="22"/>
                                <w:szCs w:val="22"/>
                                <w:lang w:val="uz-Cyrl-UZ"/>
                              </w:rPr>
                            </w:pPr>
                            <w:r w:rsidRPr="00FB0303">
                              <w:rPr>
                                <w:rFonts w:asciiTheme="minorHAnsi" w:hAnsiTheme="minorHAnsi" w:cstheme="minorHAnsi"/>
                                <w:sz w:val="22"/>
                                <w:szCs w:val="22"/>
                                <w:lang w:val="uz-Cyrl-UZ"/>
                              </w:rPr>
                              <w:t>ЦЈХ троши значајан део ресурса на основне ФУК обуке</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65F4DC" id="Text Box 588" o:spid="_x0000_s1365" style="position:absolute;left:0;text-align:left;margin-left:559.6pt;margin-top:46.9pt;width:99pt;height:78.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" fillcolor="window" strokecolor="#839dcc" strokeweight="1.5pt">
                <v:textbox inset="0,0,1mm,0">
                  <w:txbxContent>
                    <w:p w14:paraId="4007C16E" w14:textId="77777777" w:rsidR="00876FFE" w:rsidRPr="00FB0303" w:rsidRDefault="00876FFE" w:rsidP="00FB0303">
                      <w:pPr>
                        <w:spacing w:before="0"/>
                        <w:ind w:firstLine="0"/>
                        <w:jc w:val="center"/>
                        <w:rPr>
                          <w:rFonts w:asciiTheme="minorHAnsi" w:hAnsiTheme="minorHAnsi" w:cstheme="minorHAnsi"/>
                          <w:sz w:val="22"/>
                          <w:szCs w:val="22"/>
                          <w:lang w:val="uz-Cyrl-UZ"/>
                        </w:rPr>
                      </w:pPr>
                      <w:r w:rsidRPr="00FB0303">
                        <w:rPr>
                          <w:rFonts w:asciiTheme="minorHAnsi" w:hAnsiTheme="minorHAnsi" w:cstheme="minorHAnsi"/>
                          <w:sz w:val="22"/>
                          <w:szCs w:val="22"/>
                          <w:lang w:val="uz-Cyrl-UZ"/>
                        </w:rPr>
                        <w:t>ЦЈХ троши значајан део ресурса на основне ФУК обуке</w:t>
                      </w:r>
                    </w:p>
                  </w:txbxContent>
                </v:textbox>
              </v:roundrect>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40320" behindDoc="0" locked="0" layoutInCell="1" allowOverlap="1" wp14:anchorId="6342C6C4" wp14:editId="66E8BC86">
                <wp:simplePos x="0" y="0"/>
                <wp:positionH relativeFrom="page">
                  <wp:posOffset>7823200</wp:posOffset>
                </wp:positionH>
                <wp:positionV relativeFrom="paragraph">
                  <wp:posOffset>1689554</wp:posOffset>
                </wp:positionV>
                <wp:extent cx="1257300" cy="1092200"/>
                <wp:effectExtent l="0" t="0" r="19050" b="12700"/>
                <wp:wrapNone/>
                <wp:docPr id="573" name="Text Box 573"/>
                <wp:cNvGraphicFramePr/>
                <a:graphic xmlns:a="http://schemas.openxmlformats.org/drawingml/2006/main">
                  <a:graphicData uri="http://schemas.microsoft.com/office/word/2010/wordprocessingShape">
                    <wps:wsp>
                      <wps:cNvSpPr txBox="1"/>
                      <wps:spPr>
                        <a:xfrm>
                          <a:off x="0" y="0"/>
                          <a:ext cx="1257300" cy="1092200"/>
                        </a:xfrm>
                        <a:prstGeom prst="roundRect">
                          <a:avLst/>
                        </a:prstGeom>
                        <a:solidFill>
                          <a:sysClr val="window" lastClr="FFFFFF"/>
                        </a:solidFill>
                        <a:ln w="19050">
                          <a:solidFill>
                            <a:srgbClr val="839DCC"/>
                          </a:solidFill>
                        </a:ln>
                        <a:effectLst/>
                      </wps:spPr>
                      <wps:txbx>
                        <w:txbxContent>
                          <w:p w14:paraId="7998EA7E" w14:textId="77777777" w:rsidR="00876FFE" w:rsidRPr="00FB0303" w:rsidRDefault="00876FFE" w:rsidP="00FB0303">
                            <w:pPr>
                              <w:spacing w:before="0"/>
                              <w:ind w:firstLine="0"/>
                              <w:jc w:val="center"/>
                              <w:rPr>
                                <w:rFonts w:asciiTheme="minorHAnsi" w:hAnsiTheme="minorHAnsi" w:cstheme="minorHAnsi"/>
                                <w:sz w:val="22"/>
                                <w:szCs w:val="22"/>
                                <w:lang w:val="uz-Cyrl-UZ"/>
                              </w:rPr>
                            </w:pPr>
                            <w:r w:rsidRPr="00FB0303">
                              <w:rPr>
                                <w:rFonts w:asciiTheme="minorHAnsi" w:hAnsiTheme="minorHAnsi" w:cstheme="minorHAnsi"/>
                                <w:sz w:val="22"/>
                                <w:szCs w:val="22"/>
                                <w:lang w:val="uz-Cyrl-UZ"/>
                              </w:rPr>
                              <w:t xml:space="preserve">Број институција које надгледа ЦЈХ је </w:t>
                            </w:r>
                            <w:r w:rsidRPr="00FB0303">
                              <w:rPr>
                                <w:rFonts w:asciiTheme="minorHAnsi" w:hAnsiTheme="minorHAnsi" w:cstheme="minorHAnsi"/>
                                <w:spacing w:val="-12"/>
                                <w:sz w:val="22"/>
                                <w:szCs w:val="22"/>
                                <w:lang w:val="uz-Cyrl-UZ"/>
                              </w:rPr>
                              <w:t>преамбициозно</w:t>
                            </w:r>
                            <w:r w:rsidRPr="00FB0303">
                              <w:rPr>
                                <w:rFonts w:asciiTheme="minorHAnsi" w:hAnsiTheme="minorHAnsi" w:cstheme="minorHAnsi"/>
                                <w:sz w:val="22"/>
                                <w:szCs w:val="22"/>
                                <w:lang w:val="uz-Cyrl-UZ"/>
                              </w:rPr>
                              <w:t xml:space="preserve"> дефинисан</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42C6C4" id="Text Box 573" o:spid="_x0000_s1366" style="position:absolute;left:0;text-align:left;margin-left:616pt;margin-top:133.05pt;width:99pt;height:8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" fillcolor="window" strokecolor="#839dcc" strokeweight="1.5pt">
                <v:textbox inset="0,0,1mm,0">
                  <w:txbxContent>
                    <w:p w14:paraId="7998EA7E" w14:textId="77777777" w:rsidR="00876FFE" w:rsidRPr="00FB0303" w:rsidRDefault="00876FFE" w:rsidP="00FB0303">
                      <w:pPr>
                        <w:spacing w:before="0"/>
                        <w:ind w:firstLine="0"/>
                        <w:jc w:val="center"/>
                        <w:rPr>
                          <w:rFonts w:asciiTheme="minorHAnsi" w:hAnsiTheme="minorHAnsi" w:cstheme="minorHAnsi"/>
                          <w:sz w:val="22"/>
                          <w:szCs w:val="22"/>
                          <w:lang w:val="uz-Cyrl-UZ"/>
                        </w:rPr>
                      </w:pPr>
                      <w:r w:rsidRPr="00FB0303">
                        <w:rPr>
                          <w:rFonts w:asciiTheme="minorHAnsi" w:hAnsiTheme="minorHAnsi" w:cstheme="minorHAnsi"/>
                          <w:sz w:val="22"/>
                          <w:szCs w:val="22"/>
                          <w:lang w:val="uz-Cyrl-UZ"/>
                        </w:rPr>
                        <w:t xml:space="preserve">Број </w:t>
                      </w:r>
                      <w:r w:rsidRPr="00FB0303">
                        <w:rPr>
                          <w:rFonts w:asciiTheme="minorHAnsi" w:hAnsiTheme="minorHAnsi" w:cstheme="minorHAnsi"/>
                          <w:sz w:val="22"/>
                          <w:szCs w:val="22"/>
                          <w:lang w:val="uz-Cyrl-UZ"/>
                        </w:rPr>
                        <w:t xml:space="preserve">институција које надгледа ЦЈХ је </w:t>
                      </w:r>
                      <w:r w:rsidRPr="00FB0303">
                        <w:rPr>
                          <w:rFonts w:asciiTheme="minorHAnsi" w:hAnsiTheme="minorHAnsi" w:cstheme="minorHAnsi"/>
                          <w:spacing w:val="-12"/>
                          <w:sz w:val="22"/>
                          <w:szCs w:val="22"/>
                          <w:lang w:val="uz-Cyrl-UZ"/>
                        </w:rPr>
                        <w:t>преамбициозно</w:t>
                      </w:r>
                      <w:r w:rsidRPr="00FB0303">
                        <w:rPr>
                          <w:rFonts w:asciiTheme="minorHAnsi" w:hAnsiTheme="minorHAnsi" w:cstheme="minorHAnsi"/>
                          <w:sz w:val="22"/>
                          <w:szCs w:val="22"/>
                          <w:lang w:val="uz-Cyrl-UZ"/>
                        </w:rPr>
                        <w:t xml:space="preserve"> дефинисан</w:t>
                      </w:r>
                    </w:p>
                  </w:txbxContent>
                </v:textbox>
                <w10:wrap anchorx="page"/>
              </v:roundrect>
            </w:pict>
          </mc:Fallback>
        </mc:AlternateContent>
      </w:r>
      <w:r w:rsidR="00D81D5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2157440" behindDoc="0" locked="0" layoutInCell="1" allowOverlap="1" wp14:anchorId="28F55629" wp14:editId="09955D5D">
                <wp:simplePos x="0" y="0"/>
                <wp:positionH relativeFrom="column">
                  <wp:posOffset>6160770</wp:posOffset>
                </wp:positionH>
                <wp:positionV relativeFrom="paragraph">
                  <wp:posOffset>1323975</wp:posOffset>
                </wp:positionV>
                <wp:extent cx="0" cy="215900"/>
                <wp:effectExtent l="57150" t="38100" r="57150" b="12700"/>
                <wp:wrapNone/>
                <wp:docPr id="102" name="Straight Arrow Connector 102"/>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D6EEA1" id="Straight Arrow Connector 102" o:spid="_x0000_s1026" type="#_x0000_t32" style="position:absolute;margin-left:485.1pt;margin-top:104.25pt;width:0;height:17pt;flip:y;z-index:25215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" strokecolor="#839dcc" strokeweight="2.25pt">
                <v:stroke endarrow="block" joinstyle="miter"/>
              </v:shape>
            </w:pict>
          </mc:Fallback>
        </mc:AlternateContent>
      </w:r>
      <w:r w:rsidR="00D81D5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2155392" behindDoc="0" locked="0" layoutInCell="1" allowOverlap="1" wp14:anchorId="021E9FEE" wp14:editId="422B75DA">
                <wp:simplePos x="0" y="0"/>
                <wp:positionH relativeFrom="column">
                  <wp:posOffset>6206490</wp:posOffset>
                </wp:positionH>
                <wp:positionV relativeFrom="paragraph">
                  <wp:posOffset>2451735</wp:posOffset>
                </wp:positionV>
                <wp:extent cx="0" cy="215900"/>
                <wp:effectExtent l="57150" t="38100" r="57150" b="12700"/>
                <wp:wrapNone/>
                <wp:docPr id="76" name="Straight Arrow Connector 76"/>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61533E" id="Straight Arrow Connector 76" o:spid="_x0000_s1026" type="#_x0000_t32" style="position:absolute;margin-left:488.7pt;margin-top:193.05pt;width:0;height:17pt;flip:y;z-index:25215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" strokecolor="#839dcc" strokeweight="2.25pt">
                <v:stroke endarrow="block" joinstyle="miter"/>
              </v:shape>
            </w:pict>
          </mc:Fallback>
        </mc:AlternateContent>
      </w:r>
      <w:r w:rsidR="000D7EF9" w:rsidRPr="000F0299">
        <w:rPr>
          <w:rFonts w:eastAsiaTheme="minorHAnsi" w:cstheme="minorBidi"/>
          <w:noProof/>
          <w:kern w:val="0"/>
          <w:sz w:val="20"/>
          <w:szCs w:val="22"/>
          <w:lang w:val="en-US" w:eastAsia="en-US" w:bidi="ar-SA"/>
        </w:rPr>
        <mc:AlternateContent>
          <mc:Choice Requires="wpg">
            <w:drawing>
              <wp:anchor distT="0" distB="0" distL="114300" distR="114300" simplePos="0" relativeHeight="252003840" behindDoc="0" locked="0" layoutInCell="1" allowOverlap="1" wp14:anchorId="3E982FCE" wp14:editId="18550776">
                <wp:simplePos x="0" y="0"/>
                <wp:positionH relativeFrom="column">
                  <wp:posOffset>3877310</wp:posOffset>
                </wp:positionH>
                <wp:positionV relativeFrom="paragraph">
                  <wp:posOffset>2625302</wp:posOffset>
                </wp:positionV>
                <wp:extent cx="3810000" cy="1868805"/>
                <wp:effectExtent l="0" t="0" r="0" b="0"/>
                <wp:wrapNone/>
                <wp:docPr id="159" name="Group 159"/>
                <wp:cNvGraphicFramePr/>
                <a:graphic xmlns:a="http://schemas.openxmlformats.org/drawingml/2006/main">
                  <a:graphicData uri="http://schemas.microsoft.com/office/word/2010/wordprocessingGroup">
                    <wpg:wgp>
                      <wpg:cNvGrpSpPr/>
                      <wpg:grpSpPr>
                        <a:xfrm>
                          <a:off x="0" y="0"/>
                          <a:ext cx="3810000" cy="1868805"/>
                          <a:chOff x="0" y="0"/>
                          <a:chExt cx="3810000" cy="1868805"/>
                        </a:xfrm>
                      </wpg:grpSpPr>
                      <wps:wsp>
                        <wps:cNvPr id="401" name="Text Box 401"/>
                        <wps:cNvSpPr txBox="1"/>
                        <wps:spPr>
                          <a:xfrm>
                            <a:off x="1752600" y="0"/>
                            <a:ext cx="1254125" cy="952500"/>
                          </a:xfrm>
                          <a:prstGeom prst="roundRect">
                            <a:avLst/>
                          </a:prstGeom>
                          <a:solidFill>
                            <a:sysClr val="window" lastClr="FFFFFF"/>
                          </a:solidFill>
                          <a:ln w="19050">
                            <a:solidFill>
                              <a:srgbClr val="839DCC"/>
                            </a:solidFill>
                          </a:ln>
                          <a:effectLst/>
                        </wps:spPr>
                        <wps:txbx>
                          <w:txbxContent>
                            <w:p w14:paraId="7A68D6EF" w14:textId="77777777" w:rsidR="00876FFE" w:rsidRPr="00FB0303" w:rsidRDefault="00876FFE" w:rsidP="00FB0303">
                              <w:pPr>
                                <w:spacing w:before="0"/>
                                <w:ind w:firstLine="0"/>
                                <w:jc w:val="center"/>
                                <w:rPr>
                                  <w:rFonts w:asciiTheme="minorHAnsi" w:hAnsiTheme="minorHAnsi" w:cstheme="minorHAnsi"/>
                                  <w:sz w:val="22"/>
                                  <w:szCs w:val="22"/>
                                  <w:lang w:val="sr"/>
                                </w:rPr>
                              </w:pPr>
                              <w:r w:rsidRPr="00FB0303">
                                <w:rPr>
                                  <w:rFonts w:asciiTheme="minorHAnsi" w:hAnsiTheme="minorHAnsi" w:cstheme="minorHAnsi"/>
                                  <w:sz w:val="22"/>
                                  <w:szCs w:val="22"/>
                                  <w:lang w:val="sr"/>
                                </w:rPr>
                                <w:t>Недостатак система за гаранцију квалитета интерне ревизије</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s:wsp>
                        <wps:cNvPr id="158" name="Text Box 158"/>
                        <wps:cNvSpPr txBox="1"/>
                        <wps:spPr>
                          <a:xfrm>
                            <a:off x="0" y="1261110"/>
                            <a:ext cx="3810000" cy="607695"/>
                          </a:xfrm>
                          <a:prstGeom prst="rect">
                            <a:avLst/>
                          </a:prstGeom>
                          <a:solidFill>
                            <a:prstClr val="white"/>
                          </a:solidFill>
                          <a:ln>
                            <a:noFill/>
                          </a:ln>
                        </wps:spPr>
                        <wps:txbx>
                          <w:txbxContent>
                            <w:p w14:paraId="0ECD07F9" w14:textId="18A97738" w:rsidR="00876FFE" w:rsidRPr="00121529" w:rsidRDefault="00876FFE" w:rsidP="00121529">
                              <w:pPr>
                                <w:pStyle w:val="Caption"/>
                                <w:rPr>
                                  <w:rFonts w:eastAsiaTheme="minorHAnsi"/>
                                  <w:i w:val="0"/>
                                  <w:iCs w:val="0"/>
                                  <w:noProof/>
                                  <w:sz w:val="20"/>
                                </w:rPr>
                              </w:pPr>
                              <w:bookmarkStart w:id="254" w:name="_Toc57665368"/>
                              <w:r w:rsidRPr="00121529">
                                <w:rPr>
                                  <w:i w:val="0"/>
                                  <w:iCs w:val="0"/>
                                </w:rPr>
                                <w:t xml:space="preserve">Графикон </w:t>
                              </w:r>
                              <w:r w:rsidRPr="00121529">
                                <w:rPr>
                                  <w:i w:val="0"/>
                                  <w:iCs w:val="0"/>
                                </w:rPr>
                                <w:fldChar w:fldCharType="begin"/>
                              </w:r>
                              <w:r w:rsidRPr="00121529">
                                <w:rPr>
                                  <w:i w:val="0"/>
                                  <w:iCs w:val="0"/>
                                </w:rPr>
                                <w:instrText xml:space="preserve"> SEQ Графикон \* ARABIC </w:instrText>
                              </w:r>
                              <w:r w:rsidRPr="00121529">
                                <w:rPr>
                                  <w:i w:val="0"/>
                                  <w:iCs w:val="0"/>
                                </w:rPr>
                                <w:fldChar w:fldCharType="separate"/>
                              </w:r>
                              <w:r>
                                <w:rPr>
                                  <w:i w:val="0"/>
                                  <w:iCs w:val="0"/>
                                  <w:noProof/>
                                </w:rPr>
                                <w:t>32</w:t>
                              </w:r>
                              <w:r w:rsidRPr="00121529">
                                <w:rPr>
                                  <w:i w:val="0"/>
                                  <w:iCs w:val="0"/>
                                </w:rPr>
                                <w:fldChar w:fldCharType="end"/>
                              </w:r>
                              <w:r w:rsidRPr="00121529">
                                <w:rPr>
                                  <w:i w:val="0"/>
                                  <w:iCs w:val="0"/>
                                </w:rPr>
                                <w:t xml:space="preserve"> Дрво проблема – </w:t>
                              </w:r>
                              <w:r>
                                <w:rPr>
                                  <w:i w:val="0"/>
                                  <w:iCs w:val="0"/>
                                  <w:lang w:val="sr-Cyrl-RS"/>
                                </w:rPr>
                                <w:t>У</w:t>
                              </w:r>
                              <w:r w:rsidRPr="00121529">
                                <w:rPr>
                                  <w:i w:val="0"/>
                                  <w:iCs w:val="0"/>
                                </w:rPr>
                                <w:t>прављање јавним финансијама</w:t>
                              </w:r>
                              <w:bookmarkEnd w:id="254"/>
                            </w:p>
                            <w:p w14:paraId="6AA0C448" w14:textId="1DB3FA26" w:rsidR="00876FFE" w:rsidRPr="00952BF5" w:rsidRDefault="00876FFE" w:rsidP="000D7EF9">
                              <w:pPr>
                                <w:pStyle w:val="Caption"/>
                                <w:rPr>
                                  <w:rFonts w:eastAsiaTheme="minorHAnsi"/>
                                  <w:i w:val="0"/>
                                  <w:iCs w:val="0"/>
                                  <w:noProof/>
                                  <w:sz w:val="20"/>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982FCE" id="Group 159" o:spid="_x0000_s1367" style="position:absolute;left:0;text-align:left;margin-left:305.3pt;margin-top:206.7pt;width:300pt;height:147.15pt;z-index:252003840" coordsize="38100,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">
                <v:roundrect id="Text Box 401" o:spid="_x0000_s1368" style="position:absolute;left:17526;width:12541;height:9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" fillcolor="window" strokecolor="#839dcc" strokeweight="1.5pt">
                  <v:textbox inset="0,0,1mm,0">
                    <w:txbxContent>
                      <w:p w14:paraId="7A68D6EF" w14:textId="77777777" w:rsidR="00876FFE" w:rsidRPr="00FB0303" w:rsidRDefault="00876FFE" w:rsidP="00FB0303">
                        <w:pPr>
                          <w:spacing w:before="0"/>
                          <w:ind w:firstLine="0"/>
                          <w:jc w:val="center"/>
                          <w:rPr>
                            <w:rFonts w:asciiTheme="minorHAnsi" w:hAnsiTheme="minorHAnsi" w:cstheme="minorHAnsi"/>
                            <w:sz w:val="22"/>
                            <w:szCs w:val="22"/>
                            <w:lang w:val="sr"/>
                          </w:rPr>
                        </w:pPr>
                        <w:r w:rsidRPr="00FB0303">
                          <w:rPr>
                            <w:rFonts w:asciiTheme="minorHAnsi" w:hAnsiTheme="minorHAnsi" w:cstheme="minorHAnsi"/>
                            <w:sz w:val="22"/>
                            <w:szCs w:val="22"/>
                            <w:lang w:val="sr"/>
                          </w:rPr>
                          <w:t>Недостатак система за гаранцију квалитета интерне ревизије</w:t>
                        </w:r>
                      </w:p>
                    </w:txbxContent>
                  </v:textbox>
                </v:roundrect>
                <v:shape id="Text Box 158" o:spid="_x0000_s1369" type="#_x0000_t202" style="position:absolute;top:12611;width:38100;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" stroked="f">
                  <v:textbox style="mso-fit-shape-to-text:t" inset="0,0,0,0">
                    <w:txbxContent>
                      <w:p w14:paraId="0ECD07F9" w14:textId="18A97738" w:rsidR="00876FFE" w:rsidRPr="00121529" w:rsidRDefault="00876FFE" w:rsidP="00121529">
                        <w:pPr>
                          <w:pStyle w:val="Caption"/>
                          <w:rPr>
                            <w:rFonts w:eastAsiaTheme="minorHAnsi"/>
                            <w:i w:val="0"/>
                            <w:iCs w:val="0"/>
                            <w:noProof/>
                            <w:sz w:val="20"/>
                          </w:rPr>
                        </w:pPr>
                        <w:bookmarkStart w:id="275" w:name="_Toc57665368"/>
                        <w:r w:rsidRPr="00121529">
                          <w:rPr>
                            <w:i w:val="0"/>
                            <w:iCs w:val="0"/>
                          </w:rPr>
                          <w:t xml:space="preserve">Графикон </w:t>
                        </w:r>
                        <w:r w:rsidRPr="00121529">
                          <w:rPr>
                            <w:i w:val="0"/>
                            <w:iCs w:val="0"/>
                          </w:rPr>
                          <w:fldChar w:fldCharType="begin"/>
                        </w:r>
                        <w:r w:rsidRPr="00121529">
                          <w:rPr>
                            <w:i w:val="0"/>
                            <w:iCs w:val="0"/>
                          </w:rPr>
                          <w:instrText xml:space="preserve"> SEQ Графикон \* ARABIC </w:instrText>
                        </w:r>
                        <w:r w:rsidRPr="00121529">
                          <w:rPr>
                            <w:i w:val="0"/>
                            <w:iCs w:val="0"/>
                          </w:rPr>
                          <w:fldChar w:fldCharType="separate"/>
                        </w:r>
                        <w:r>
                          <w:rPr>
                            <w:i w:val="0"/>
                            <w:iCs w:val="0"/>
                            <w:noProof/>
                          </w:rPr>
                          <w:t>32</w:t>
                        </w:r>
                        <w:r w:rsidRPr="00121529">
                          <w:rPr>
                            <w:i w:val="0"/>
                            <w:iCs w:val="0"/>
                          </w:rPr>
                          <w:fldChar w:fldCharType="end"/>
                        </w:r>
                        <w:r w:rsidRPr="00121529">
                          <w:rPr>
                            <w:i w:val="0"/>
                            <w:iCs w:val="0"/>
                          </w:rPr>
                          <w:t xml:space="preserve"> Дрво проблема – </w:t>
                        </w:r>
                        <w:r>
                          <w:rPr>
                            <w:i w:val="0"/>
                            <w:iCs w:val="0"/>
                            <w:lang w:val="sr-Cyrl-RS"/>
                          </w:rPr>
                          <w:t>У</w:t>
                        </w:r>
                        <w:r w:rsidRPr="00121529">
                          <w:rPr>
                            <w:i w:val="0"/>
                            <w:iCs w:val="0"/>
                          </w:rPr>
                          <w:t>прављање јавним финансијама</w:t>
                        </w:r>
                        <w:bookmarkEnd w:id="275"/>
                      </w:p>
                      <w:p w14:paraId="6AA0C448" w14:textId="1DB3FA26" w:rsidR="00876FFE" w:rsidRPr="00952BF5" w:rsidRDefault="00876FFE" w:rsidP="000D7EF9">
                        <w:pPr>
                          <w:pStyle w:val="Caption"/>
                          <w:rPr>
                            <w:rFonts w:eastAsiaTheme="minorHAnsi"/>
                            <w:i w:val="0"/>
                            <w:iCs w:val="0"/>
                            <w:noProof/>
                            <w:sz w:val="20"/>
                            <w:lang w:val="en-GB" w:eastAsia="en-GB"/>
                          </w:rPr>
                        </w:pPr>
                      </w:p>
                    </w:txbxContent>
                  </v:textbox>
                </v:shape>
              </v:group>
            </w:pict>
          </mc:Fallback>
        </mc:AlternateContent>
      </w:r>
      <w:r w:rsidR="00E215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29056" behindDoc="0" locked="0" layoutInCell="1" allowOverlap="1" wp14:anchorId="726571C4" wp14:editId="110BF67D">
                <wp:simplePos x="0" y="0"/>
                <wp:positionH relativeFrom="column">
                  <wp:posOffset>-440690</wp:posOffset>
                </wp:positionH>
                <wp:positionV relativeFrom="paragraph">
                  <wp:posOffset>2143125</wp:posOffset>
                </wp:positionV>
                <wp:extent cx="1230630" cy="990600"/>
                <wp:effectExtent l="0" t="0" r="26670" b="19050"/>
                <wp:wrapNone/>
                <wp:docPr id="579" name="Text Box 579"/>
                <wp:cNvGraphicFramePr/>
                <a:graphic xmlns:a="http://schemas.openxmlformats.org/drawingml/2006/main">
                  <a:graphicData uri="http://schemas.microsoft.com/office/word/2010/wordprocessingShape">
                    <wps:wsp>
                      <wps:cNvSpPr txBox="1"/>
                      <wps:spPr>
                        <a:xfrm>
                          <a:off x="0" y="0"/>
                          <a:ext cx="1230630" cy="990600"/>
                        </a:xfrm>
                        <a:prstGeom prst="roundRect">
                          <a:avLst/>
                        </a:prstGeom>
                        <a:solidFill>
                          <a:sysClr val="window" lastClr="FFFFFF"/>
                        </a:solidFill>
                        <a:ln w="19050">
                          <a:solidFill>
                            <a:srgbClr val="839DCC"/>
                          </a:solidFill>
                        </a:ln>
                        <a:effectLst/>
                      </wps:spPr>
                      <wps:txbx>
                        <w:txbxContent>
                          <w:p w14:paraId="542EF0BD" w14:textId="77777777" w:rsidR="00876FFE" w:rsidRPr="000F6269" w:rsidRDefault="00876FFE" w:rsidP="00E2152B">
                            <w:pPr>
                              <w:spacing w:before="0"/>
                              <w:ind w:firstLine="0"/>
                              <w:jc w:val="center"/>
                              <w:rPr>
                                <w:rFonts w:asciiTheme="minorHAnsi" w:hAnsiTheme="minorHAnsi" w:cstheme="minorHAnsi"/>
                                <w:sz w:val="22"/>
                                <w:szCs w:val="22"/>
                                <w:lang w:val="sr"/>
                              </w:rPr>
                            </w:pPr>
                            <w:r w:rsidRPr="000F6269">
                              <w:rPr>
                                <w:rFonts w:asciiTheme="minorHAnsi" w:hAnsiTheme="minorHAnsi" w:cstheme="minorHAnsi"/>
                                <w:sz w:val="22"/>
                                <w:szCs w:val="22"/>
                                <w:lang w:val="sr"/>
                              </w:rPr>
                              <w:t>Неадекватно планирање реформских активности</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26571C4" id="Text Box 579" o:spid="_x0000_s1370" style="position:absolute;left:0;text-align:left;margin-left:-34.7pt;margin-top:168.75pt;width:96.9pt;height:7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" fillcolor="window" strokecolor="#839dcc" strokeweight="1.5pt">
                <v:textbox inset="0,0,1mm,0">
                  <w:txbxContent>
                    <w:p w14:paraId="542EF0BD" w14:textId="77777777" w:rsidR="00876FFE" w:rsidRPr="000F6269" w:rsidRDefault="00876FFE" w:rsidP="00E2152B">
                      <w:pPr>
                        <w:spacing w:before="0"/>
                        <w:ind w:firstLine="0"/>
                        <w:jc w:val="center"/>
                        <w:rPr>
                          <w:rFonts w:asciiTheme="minorHAnsi" w:hAnsiTheme="minorHAnsi" w:cstheme="minorHAnsi"/>
                          <w:sz w:val="22"/>
                          <w:szCs w:val="22"/>
                          <w:lang w:val="sr"/>
                        </w:rPr>
                      </w:pPr>
                      <w:r w:rsidRPr="000F6269">
                        <w:rPr>
                          <w:rFonts w:asciiTheme="minorHAnsi" w:hAnsiTheme="minorHAnsi" w:cstheme="minorHAnsi"/>
                          <w:sz w:val="22"/>
                          <w:szCs w:val="22"/>
                          <w:lang w:val="sr"/>
                        </w:rPr>
                        <w:t>Неадекватно планирање реформских активности</w:t>
                      </w:r>
                    </w:p>
                  </w:txbxContent>
                </v:textbox>
              </v:roundrect>
            </w:pict>
          </mc:Fallback>
        </mc:AlternateContent>
      </w:r>
      <w:r w:rsidR="00EB1CF4"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51584" behindDoc="0" locked="0" layoutInCell="1" allowOverlap="1" wp14:anchorId="5B30A992" wp14:editId="12FBCADE">
                <wp:simplePos x="0" y="0"/>
                <wp:positionH relativeFrom="column">
                  <wp:posOffset>5512962</wp:posOffset>
                </wp:positionH>
                <wp:positionV relativeFrom="paragraph">
                  <wp:posOffset>1499235</wp:posOffset>
                </wp:positionV>
                <wp:extent cx="1363453" cy="1007745"/>
                <wp:effectExtent l="0" t="0" r="27305" b="20955"/>
                <wp:wrapNone/>
                <wp:docPr id="400" name="Text Box 400"/>
                <wp:cNvGraphicFramePr/>
                <a:graphic xmlns:a="http://schemas.openxmlformats.org/drawingml/2006/main">
                  <a:graphicData uri="http://schemas.microsoft.com/office/word/2010/wordprocessingShape">
                    <wps:wsp>
                      <wps:cNvSpPr txBox="1"/>
                      <wps:spPr>
                        <a:xfrm>
                          <a:off x="0" y="0"/>
                          <a:ext cx="1363453" cy="1007745"/>
                        </a:xfrm>
                        <a:prstGeom prst="roundRect">
                          <a:avLst/>
                        </a:prstGeom>
                        <a:solidFill>
                          <a:sysClr val="window" lastClr="FFFFFF"/>
                        </a:solidFill>
                        <a:ln w="19050">
                          <a:solidFill>
                            <a:srgbClr val="839DCC"/>
                          </a:solidFill>
                        </a:ln>
                        <a:effectLst/>
                      </wps:spPr>
                      <wps:txbx>
                        <w:txbxContent>
                          <w:p w14:paraId="04947221" w14:textId="77777777" w:rsidR="00876FFE" w:rsidRPr="00FB0303" w:rsidRDefault="00876FFE" w:rsidP="00FB0303">
                            <w:pPr>
                              <w:spacing w:before="0" w:after="0"/>
                              <w:ind w:firstLine="0"/>
                              <w:jc w:val="center"/>
                              <w:rPr>
                                <w:rFonts w:asciiTheme="minorHAnsi" w:hAnsiTheme="minorHAnsi" w:cstheme="minorHAnsi"/>
                                <w:sz w:val="22"/>
                                <w:szCs w:val="22"/>
                                <w:lang w:val="sr"/>
                              </w:rPr>
                            </w:pPr>
                            <w:r w:rsidRPr="00FB0303">
                              <w:rPr>
                                <w:rFonts w:asciiTheme="minorHAnsi" w:hAnsiTheme="minorHAnsi" w:cstheme="minorHAnsi"/>
                                <w:sz w:val="22"/>
                                <w:szCs w:val="22"/>
                                <w:lang w:val="sr"/>
                              </w:rPr>
                              <w:t>Недостатак прилика за конти</w:t>
                            </w:r>
                            <w:r w:rsidRPr="00FB0303">
                              <w:rPr>
                                <w:rFonts w:asciiTheme="minorHAnsi" w:hAnsiTheme="minorHAnsi" w:cstheme="minorHAnsi"/>
                                <w:sz w:val="22"/>
                                <w:szCs w:val="22"/>
                              </w:rPr>
                              <w:t>нуирани</w:t>
                            </w:r>
                            <w:r w:rsidRPr="00FB0303">
                              <w:rPr>
                                <w:rFonts w:asciiTheme="minorHAnsi" w:hAnsiTheme="minorHAnsi" w:cstheme="minorHAnsi"/>
                                <w:sz w:val="22"/>
                                <w:szCs w:val="22"/>
                                <w:lang w:val="sr"/>
                              </w:rPr>
                              <w:t xml:space="preserve"> </w:t>
                            </w:r>
                            <w:r w:rsidRPr="00FB0303">
                              <w:rPr>
                                <w:rFonts w:asciiTheme="minorHAnsi" w:hAnsiTheme="minorHAnsi" w:cstheme="minorHAnsi"/>
                                <w:spacing w:val="-10"/>
                                <w:sz w:val="22"/>
                                <w:szCs w:val="22"/>
                                <w:lang w:val="sr"/>
                              </w:rPr>
                              <w:t>професионални</w:t>
                            </w:r>
                            <w:r w:rsidRPr="00FB0303">
                              <w:rPr>
                                <w:rFonts w:asciiTheme="minorHAnsi" w:hAnsiTheme="minorHAnsi" w:cstheme="minorHAnsi"/>
                                <w:sz w:val="22"/>
                                <w:szCs w:val="22"/>
                                <w:lang w:val="sr"/>
                              </w:rPr>
                              <w:t xml:space="preserve"> развој</w:t>
                            </w:r>
                          </w:p>
                          <w:p w14:paraId="4DEB154F" w14:textId="77777777" w:rsidR="00876FFE" w:rsidRPr="00FB0303" w:rsidRDefault="00876FFE" w:rsidP="007B1A69">
                            <w:pPr>
                              <w:spacing w:after="0"/>
                              <w:jc w:val="center"/>
                              <w:rPr>
                                <w:rFonts w:asciiTheme="minorHAnsi" w:hAnsiTheme="minorHAnsi" w:cstheme="minorHAnsi"/>
                                <w:sz w:val="22"/>
                                <w:szCs w:val="22"/>
                                <w:lang w:val="sr"/>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30A992" id="Text Box 400" o:spid="_x0000_s1371" style="position:absolute;left:0;text-align:left;margin-left:434.1pt;margin-top:118.05pt;width:107.35pt;height:7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" fillcolor="window" strokecolor="#839dcc" strokeweight="1.5pt">
                <v:textbox inset="0,0,1mm,0">
                  <w:txbxContent>
                    <w:p w14:paraId="04947221" w14:textId="77777777" w:rsidR="00876FFE" w:rsidRPr="00FB0303" w:rsidRDefault="00876FFE" w:rsidP="00FB0303">
                      <w:pPr>
                        <w:spacing w:before="0" w:after="0"/>
                        <w:ind w:firstLine="0"/>
                        <w:jc w:val="center"/>
                        <w:rPr>
                          <w:rFonts w:asciiTheme="minorHAnsi" w:hAnsiTheme="minorHAnsi" w:cstheme="minorHAnsi"/>
                          <w:sz w:val="22"/>
                          <w:szCs w:val="22"/>
                          <w:lang w:val="sr"/>
                        </w:rPr>
                      </w:pPr>
                      <w:r w:rsidRPr="00FB0303">
                        <w:rPr>
                          <w:rFonts w:asciiTheme="minorHAnsi" w:hAnsiTheme="minorHAnsi" w:cstheme="minorHAnsi"/>
                          <w:sz w:val="22"/>
                          <w:szCs w:val="22"/>
                          <w:lang w:val="sr"/>
                        </w:rPr>
                        <w:t xml:space="preserve">Недостатак </w:t>
                      </w:r>
                      <w:r w:rsidRPr="00FB0303">
                        <w:rPr>
                          <w:rFonts w:asciiTheme="minorHAnsi" w:hAnsiTheme="minorHAnsi" w:cstheme="minorHAnsi"/>
                          <w:sz w:val="22"/>
                          <w:szCs w:val="22"/>
                          <w:lang w:val="sr"/>
                        </w:rPr>
                        <w:t>прилика за конти</w:t>
                      </w:r>
                      <w:r w:rsidRPr="00FB0303">
                        <w:rPr>
                          <w:rFonts w:asciiTheme="minorHAnsi" w:hAnsiTheme="minorHAnsi" w:cstheme="minorHAnsi"/>
                          <w:sz w:val="22"/>
                          <w:szCs w:val="22"/>
                        </w:rPr>
                        <w:t>нуирани</w:t>
                      </w:r>
                      <w:r w:rsidRPr="00FB0303">
                        <w:rPr>
                          <w:rFonts w:asciiTheme="minorHAnsi" w:hAnsiTheme="minorHAnsi" w:cstheme="minorHAnsi"/>
                          <w:sz w:val="22"/>
                          <w:szCs w:val="22"/>
                          <w:lang w:val="sr"/>
                        </w:rPr>
                        <w:t xml:space="preserve"> </w:t>
                      </w:r>
                      <w:r w:rsidRPr="00FB0303">
                        <w:rPr>
                          <w:rFonts w:asciiTheme="minorHAnsi" w:hAnsiTheme="minorHAnsi" w:cstheme="minorHAnsi"/>
                          <w:spacing w:val="-10"/>
                          <w:sz w:val="22"/>
                          <w:szCs w:val="22"/>
                          <w:lang w:val="sr"/>
                        </w:rPr>
                        <w:t>професионални</w:t>
                      </w:r>
                      <w:r w:rsidRPr="00FB0303">
                        <w:rPr>
                          <w:rFonts w:asciiTheme="minorHAnsi" w:hAnsiTheme="minorHAnsi" w:cstheme="minorHAnsi"/>
                          <w:sz w:val="22"/>
                          <w:szCs w:val="22"/>
                          <w:lang w:val="sr"/>
                        </w:rPr>
                        <w:t xml:space="preserve"> развој</w:t>
                      </w:r>
                    </w:p>
                    <w:p w14:paraId="4DEB154F" w14:textId="77777777" w:rsidR="00876FFE" w:rsidRPr="00FB0303" w:rsidRDefault="00876FFE" w:rsidP="007B1A69">
                      <w:pPr>
                        <w:spacing w:after="0"/>
                        <w:jc w:val="center"/>
                        <w:rPr>
                          <w:rFonts w:asciiTheme="minorHAnsi" w:hAnsiTheme="minorHAnsi" w:cstheme="minorHAnsi"/>
                          <w:sz w:val="22"/>
                          <w:szCs w:val="22"/>
                          <w:lang w:val="sr"/>
                        </w:rPr>
                      </w:pPr>
                    </w:p>
                  </w:txbxContent>
                </v:textbox>
              </v:roundrect>
            </w:pict>
          </mc:Fallback>
        </mc:AlternateContent>
      </w:r>
      <w:r w:rsidR="00EB1CF4"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35200" behindDoc="0" locked="0" layoutInCell="1" allowOverlap="1" wp14:anchorId="353D7A2F" wp14:editId="60A255A0">
                <wp:simplePos x="0" y="0"/>
                <wp:positionH relativeFrom="column">
                  <wp:posOffset>12614910</wp:posOffset>
                </wp:positionH>
                <wp:positionV relativeFrom="paragraph">
                  <wp:posOffset>1139825</wp:posOffset>
                </wp:positionV>
                <wp:extent cx="1066800" cy="1219200"/>
                <wp:effectExtent l="0" t="0" r="19050" b="19050"/>
                <wp:wrapNone/>
                <wp:docPr id="590" name="Text Box 590"/>
                <wp:cNvGraphicFramePr/>
                <a:graphic xmlns:a="http://schemas.openxmlformats.org/drawingml/2006/main">
                  <a:graphicData uri="http://schemas.microsoft.com/office/word/2010/wordprocessingShape">
                    <wps:wsp>
                      <wps:cNvSpPr txBox="1"/>
                      <wps:spPr>
                        <a:xfrm>
                          <a:off x="0" y="0"/>
                          <a:ext cx="1066800" cy="1219200"/>
                        </a:xfrm>
                        <a:prstGeom prst="roundRect">
                          <a:avLst/>
                        </a:prstGeom>
                        <a:solidFill>
                          <a:sysClr val="window" lastClr="FFFFFF"/>
                        </a:solidFill>
                        <a:ln w="19050">
                          <a:solidFill>
                            <a:srgbClr val="839DCC"/>
                          </a:solidFill>
                        </a:ln>
                        <a:effectLst/>
                      </wps:spPr>
                      <wps:txbx>
                        <w:txbxContent>
                          <w:p w14:paraId="07D96C8D" w14:textId="77777777" w:rsidR="00876FFE" w:rsidRPr="00EB1CF4" w:rsidRDefault="00876FFE" w:rsidP="00EB1CF4">
                            <w:pPr>
                              <w:spacing w:before="0"/>
                              <w:ind w:firstLine="0"/>
                              <w:jc w:val="center"/>
                              <w:rPr>
                                <w:rFonts w:asciiTheme="minorHAnsi" w:hAnsiTheme="minorHAnsi" w:cstheme="minorHAnsi"/>
                                <w:sz w:val="22"/>
                                <w:szCs w:val="22"/>
                              </w:rPr>
                            </w:pPr>
                            <w:r w:rsidRPr="00EB1CF4">
                              <w:rPr>
                                <w:rFonts w:asciiTheme="minorHAnsi" w:hAnsiTheme="minorHAnsi" w:cstheme="minorHAnsi"/>
                                <w:sz w:val="22"/>
                                <w:szCs w:val="22"/>
                              </w:rPr>
                              <w:t>Недостаје стратешки опредељен обухват екстерном ревизијом</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3D7A2F" id="Text Box 590" o:spid="_x0000_s1372" style="position:absolute;left:0;text-align:left;margin-left:993.3pt;margin-top:89.75pt;width:84pt;height:9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" fillcolor="window" strokecolor="#839dcc" strokeweight="1.5pt">
                <v:textbox inset="0,0,1mm,0">
                  <w:txbxContent>
                    <w:p w14:paraId="07D96C8D" w14:textId="77777777" w:rsidR="00876FFE" w:rsidRPr="00EB1CF4" w:rsidRDefault="00876FFE" w:rsidP="00EB1CF4">
                      <w:pPr>
                        <w:spacing w:before="0"/>
                        <w:ind w:firstLine="0"/>
                        <w:jc w:val="center"/>
                        <w:rPr>
                          <w:rFonts w:asciiTheme="minorHAnsi" w:hAnsiTheme="minorHAnsi" w:cstheme="minorHAnsi"/>
                          <w:sz w:val="22"/>
                          <w:szCs w:val="22"/>
                        </w:rPr>
                      </w:pPr>
                      <w:r w:rsidRPr="00EB1CF4">
                        <w:rPr>
                          <w:rFonts w:asciiTheme="minorHAnsi" w:hAnsiTheme="minorHAnsi" w:cstheme="minorHAnsi"/>
                          <w:sz w:val="22"/>
                          <w:szCs w:val="22"/>
                        </w:rPr>
                        <w:t>Недостаје стратешки опредељен обухват екстерном ревизијом</w:t>
                      </w:r>
                    </w:p>
                  </w:txbxContent>
                </v:textbox>
              </v:roundrect>
            </w:pict>
          </mc:Fallback>
        </mc:AlternateContent>
      </w:r>
      <w:r w:rsidR="00EB1CF4"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45440" behindDoc="0" locked="0" layoutInCell="1" allowOverlap="1" wp14:anchorId="1CE5F1AE" wp14:editId="4EBBD70E">
                <wp:simplePos x="0" y="0"/>
                <wp:positionH relativeFrom="column">
                  <wp:posOffset>13161010</wp:posOffset>
                </wp:positionH>
                <wp:positionV relativeFrom="paragraph">
                  <wp:posOffset>771525</wp:posOffset>
                </wp:positionV>
                <wp:extent cx="0" cy="359410"/>
                <wp:effectExtent l="57150" t="38100" r="57150" b="2540"/>
                <wp:wrapNone/>
                <wp:docPr id="589" name="Straight Arrow Connector 589"/>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C76E2" id="Straight Arrow Connector 589" o:spid="_x0000_s1026" type="#_x0000_t32" style="position:absolute;margin-left:1036.3pt;margin-top:60.75pt;width:0;height:28.3pt;flip:y;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" strokecolor="#839dcc" strokeweight="2.25pt">
                <v:stroke endarrow="block" joinstyle="miter"/>
              </v:shape>
            </w:pict>
          </mc:Fallback>
        </mc:AlternateContent>
      </w:r>
      <w:r w:rsidR="00973E51"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2158464" behindDoc="0" locked="0" layoutInCell="1" allowOverlap="1" wp14:anchorId="3D8F7352" wp14:editId="17361E90">
                <wp:simplePos x="0" y="0"/>
                <wp:positionH relativeFrom="column">
                  <wp:posOffset>5520690</wp:posOffset>
                </wp:positionH>
                <wp:positionV relativeFrom="paragraph">
                  <wp:posOffset>554355</wp:posOffset>
                </wp:positionV>
                <wp:extent cx="1362075" cy="812800"/>
                <wp:effectExtent l="0" t="0" r="28575" b="25400"/>
                <wp:wrapNone/>
                <wp:docPr id="575" name="Text Box 575"/>
                <wp:cNvGraphicFramePr/>
                <a:graphic xmlns:a="http://schemas.openxmlformats.org/drawingml/2006/main">
                  <a:graphicData uri="http://schemas.microsoft.com/office/word/2010/wordprocessingShape">
                    <wps:wsp>
                      <wps:cNvSpPr txBox="1"/>
                      <wps:spPr>
                        <a:xfrm>
                          <a:off x="0" y="0"/>
                          <a:ext cx="1362075" cy="812800"/>
                        </a:xfrm>
                        <a:prstGeom prst="roundRect">
                          <a:avLst/>
                        </a:prstGeom>
                        <a:solidFill>
                          <a:sysClr val="window" lastClr="FFFFFF"/>
                        </a:solidFill>
                        <a:ln w="19050">
                          <a:solidFill>
                            <a:srgbClr val="839DCC"/>
                          </a:solidFill>
                        </a:ln>
                        <a:effectLst/>
                      </wps:spPr>
                      <wps:txbx>
                        <w:txbxContent>
                          <w:p w14:paraId="4E9D4FD0" w14:textId="77777777" w:rsidR="00876FFE" w:rsidRPr="00FB0303" w:rsidRDefault="00876FFE" w:rsidP="00FB0303">
                            <w:pPr>
                              <w:spacing w:before="0"/>
                              <w:ind w:firstLine="0"/>
                              <w:jc w:val="center"/>
                              <w:rPr>
                                <w:rFonts w:asciiTheme="minorHAnsi" w:hAnsiTheme="minorHAnsi" w:cstheme="minorHAnsi"/>
                                <w:sz w:val="22"/>
                                <w:szCs w:val="22"/>
                                <w:lang w:val="uz-Cyrl-UZ"/>
                              </w:rPr>
                            </w:pPr>
                            <w:r w:rsidRPr="00FB0303">
                              <w:rPr>
                                <w:rFonts w:asciiTheme="minorHAnsi" w:hAnsiTheme="minorHAnsi" w:cstheme="minorHAnsi"/>
                                <w:sz w:val="22"/>
                                <w:szCs w:val="22"/>
                                <w:lang w:val="uz-Cyrl-UZ"/>
                              </w:rPr>
                              <w:t>Једино ЦЈХ реализије програме основних обука за ФУК</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8F7352" id="Text Box 575" o:spid="_x0000_s1373" style="position:absolute;left:0;text-align:left;margin-left:434.7pt;margin-top:43.65pt;width:107.25pt;height:64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" fillcolor="window" strokecolor="#839dcc" strokeweight="1.5pt">
                <v:textbox inset="0,0,1mm,0">
                  <w:txbxContent>
                    <w:p w14:paraId="4E9D4FD0" w14:textId="77777777" w:rsidR="00876FFE" w:rsidRPr="00FB0303" w:rsidRDefault="00876FFE" w:rsidP="00FB0303">
                      <w:pPr>
                        <w:spacing w:before="0"/>
                        <w:ind w:firstLine="0"/>
                        <w:jc w:val="center"/>
                        <w:rPr>
                          <w:rFonts w:asciiTheme="minorHAnsi" w:hAnsiTheme="minorHAnsi" w:cstheme="minorHAnsi"/>
                          <w:sz w:val="22"/>
                          <w:szCs w:val="22"/>
                          <w:lang w:val="uz-Cyrl-UZ"/>
                        </w:rPr>
                      </w:pPr>
                      <w:r w:rsidRPr="00FB0303">
                        <w:rPr>
                          <w:rFonts w:asciiTheme="minorHAnsi" w:hAnsiTheme="minorHAnsi" w:cstheme="minorHAnsi"/>
                          <w:sz w:val="22"/>
                          <w:szCs w:val="22"/>
                          <w:lang w:val="uz-Cyrl-UZ"/>
                        </w:rPr>
                        <w:t>Једино ЦЈХ реализије програме основних обука за ФУК</w:t>
                      </w:r>
                    </w:p>
                  </w:txbxContent>
                </v:textbox>
              </v:roundrect>
            </w:pict>
          </mc:Fallback>
        </mc:AlternateContent>
      </w:r>
      <w:r w:rsidR="003028A0"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73088" behindDoc="0" locked="0" layoutInCell="1" allowOverlap="1" wp14:anchorId="5E0BC11F" wp14:editId="123F3210">
                <wp:simplePos x="0" y="0"/>
                <wp:positionH relativeFrom="column">
                  <wp:posOffset>8347710</wp:posOffset>
                </wp:positionH>
                <wp:positionV relativeFrom="paragraph">
                  <wp:posOffset>1914525</wp:posOffset>
                </wp:positionV>
                <wp:extent cx="287655" cy="0"/>
                <wp:effectExtent l="0" t="95250" r="0" b="95250"/>
                <wp:wrapNone/>
                <wp:docPr id="277" name="Straight Arrow Connector 277"/>
                <wp:cNvGraphicFramePr/>
                <a:graphic xmlns:a="http://schemas.openxmlformats.org/drawingml/2006/main">
                  <a:graphicData uri="http://schemas.microsoft.com/office/word/2010/wordprocessingShape">
                    <wps:wsp>
                      <wps:cNvCnPr/>
                      <wps:spPr>
                        <a:xfrm>
                          <a:off x="0" y="0"/>
                          <a:ext cx="287655" cy="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23360" id="Straight Arrow Connector 277" o:spid="_x0000_s1026" type="#_x0000_t32" style="position:absolute;margin-left:657.3pt;margin-top:150.75pt;width:22.65pt;height:0;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" strokecolor="#839dcc" strokeweight="2.25pt">
                <v:stroke endarrow="block" joinstyle="miter"/>
              </v:shape>
            </w:pict>
          </mc:Fallback>
        </mc:AlternateContent>
      </w:r>
      <w:r w:rsidR="003028A0"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72064" behindDoc="0" locked="0" layoutInCell="1" allowOverlap="1" wp14:anchorId="0FEBA15E" wp14:editId="1D7048AF">
                <wp:simplePos x="0" y="0"/>
                <wp:positionH relativeFrom="column">
                  <wp:posOffset>8335010</wp:posOffset>
                </wp:positionH>
                <wp:positionV relativeFrom="paragraph">
                  <wp:posOffset>987425</wp:posOffset>
                </wp:positionV>
                <wp:extent cx="323850" cy="0"/>
                <wp:effectExtent l="0" t="95250" r="0" b="95250"/>
                <wp:wrapNone/>
                <wp:docPr id="278" name="Straight Arrow Connector 278"/>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94CDB" id="Straight Arrow Connector 278" o:spid="_x0000_s1026" type="#_x0000_t32" style="position:absolute;margin-left:656.3pt;margin-top:77.75pt;width:25.5pt;height:0;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" strokecolor="#839dcc" strokeweight="2.25pt">
                <v:stroke endarrow="block" joinstyle="miter"/>
              </v:shape>
            </w:pict>
          </mc:Fallback>
        </mc:AlternateContent>
      </w:r>
      <w:r w:rsidR="00FB0303"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71040" behindDoc="0" locked="0" layoutInCell="1" allowOverlap="1" wp14:anchorId="024C5D09" wp14:editId="77A1363D">
                <wp:simplePos x="0" y="0"/>
                <wp:positionH relativeFrom="column">
                  <wp:posOffset>5350510</wp:posOffset>
                </wp:positionH>
                <wp:positionV relativeFrom="paragraph">
                  <wp:posOffset>949325</wp:posOffset>
                </wp:positionV>
                <wp:extent cx="273050" cy="0"/>
                <wp:effectExtent l="0" t="95250" r="0" b="95250"/>
                <wp:wrapNone/>
                <wp:docPr id="279" name="Straight Arrow Connector 279"/>
                <wp:cNvGraphicFramePr/>
                <a:graphic xmlns:a="http://schemas.openxmlformats.org/drawingml/2006/main">
                  <a:graphicData uri="http://schemas.microsoft.com/office/word/2010/wordprocessingShape">
                    <wps:wsp>
                      <wps:cNvCnPr/>
                      <wps:spPr>
                        <a:xfrm flipH="1">
                          <a:off x="0" y="0"/>
                          <a:ext cx="273050" cy="0"/>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19FA29" id="Straight Arrow Connector 279" o:spid="_x0000_s1026" type="#_x0000_t32" style="position:absolute;margin-left:421.3pt;margin-top:74.75pt;width:21.5pt;height:0;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" strokecolor="#839dcc" strokeweight="2.25pt">
                <v:stroke endarrow="block" joinstyle="miter"/>
              </v:shape>
            </w:pict>
          </mc:Fallback>
        </mc:AlternateContent>
      </w:r>
      <w:r w:rsidR="009A471A"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32128" behindDoc="0" locked="0" layoutInCell="1" allowOverlap="1" wp14:anchorId="23041704" wp14:editId="7EAACC1A">
                <wp:simplePos x="0" y="0"/>
                <wp:positionH relativeFrom="column">
                  <wp:posOffset>918210</wp:posOffset>
                </wp:positionH>
                <wp:positionV relativeFrom="paragraph">
                  <wp:posOffset>2155825</wp:posOffset>
                </wp:positionV>
                <wp:extent cx="1244600" cy="965200"/>
                <wp:effectExtent l="0" t="0" r="12700" b="25400"/>
                <wp:wrapNone/>
                <wp:docPr id="592" name="Text Box 592"/>
                <wp:cNvGraphicFramePr/>
                <a:graphic xmlns:a="http://schemas.openxmlformats.org/drawingml/2006/main">
                  <a:graphicData uri="http://schemas.microsoft.com/office/word/2010/wordprocessingShape">
                    <wps:wsp>
                      <wps:cNvSpPr txBox="1"/>
                      <wps:spPr>
                        <a:xfrm>
                          <a:off x="0" y="0"/>
                          <a:ext cx="1244600" cy="965200"/>
                        </a:xfrm>
                        <a:prstGeom prst="roundRect">
                          <a:avLst/>
                        </a:prstGeom>
                        <a:solidFill>
                          <a:sysClr val="window" lastClr="FFFFFF"/>
                        </a:solidFill>
                        <a:ln w="19050">
                          <a:solidFill>
                            <a:srgbClr val="839DCC"/>
                          </a:solidFill>
                        </a:ln>
                        <a:effectLst/>
                      </wps:spPr>
                      <wps:txbx>
                        <w:txbxContent>
                          <w:p w14:paraId="682C0522" w14:textId="77777777" w:rsidR="00876FFE" w:rsidRPr="009A471A" w:rsidRDefault="00876FFE" w:rsidP="009A471A">
                            <w:pPr>
                              <w:ind w:firstLine="0"/>
                              <w:jc w:val="center"/>
                              <w:rPr>
                                <w:rFonts w:asciiTheme="minorHAnsi" w:hAnsiTheme="minorHAnsi" w:cstheme="minorHAnsi"/>
                                <w:sz w:val="22"/>
                                <w:szCs w:val="22"/>
                                <w:lang w:val="uz-Cyrl-UZ"/>
                              </w:rPr>
                            </w:pPr>
                            <w:r w:rsidRPr="009A471A">
                              <w:rPr>
                                <w:rFonts w:asciiTheme="minorHAnsi" w:hAnsiTheme="minorHAnsi" w:cstheme="minorHAnsi"/>
                                <w:sz w:val="22"/>
                                <w:szCs w:val="22"/>
                                <w:lang w:val="uz-Cyrl-UZ"/>
                              </w:rPr>
                              <w:t>Недовољно ра</w:t>
                            </w:r>
                            <w:r w:rsidRPr="009A471A">
                              <w:rPr>
                                <w:rFonts w:asciiTheme="minorHAnsi" w:hAnsiTheme="minorHAnsi" w:cstheme="minorHAnsi"/>
                                <w:sz w:val="22"/>
                                <w:szCs w:val="22"/>
                                <w:lang w:val="sr"/>
                              </w:rPr>
                              <w:t>з</w:t>
                            </w:r>
                            <w:r w:rsidRPr="009A471A">
                              <w:rPr>
                                <w:rFonts w:asciiTheme="minorHAnsi" w:hAnsiTheme="minorHAnsi" w:cstheme="minorHAnsi"/>
                                <w:sz w:val="22"/>
                                <w:szCs w:val="22"/>
                                <w:lang w:val="uz-Cyrl-UZ"/>
                              </w:rPr>
                              <w:t>вијено средњорочно планирање</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041704" id="Text Box 592" o:spid="_x0000_s1374" style="position:absolute;left:0;text-align:left;margin-left:72.3pt;margin-top:169.75pt;width:98pt;height:7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" fillcolor="window" strokecolor="#839dcc" strokeweight="1.5pt">
                <v:textbox inset="0,0,1mm,0">
                  <w:txbxContent>
                    <w:p w14:paraId="682C0522" w14:textId="77777777" w:rsidR="00876FFE" w:rsidRPr="009A471A" w:rsidRDefault="00876FFE" w:rsidP="009A471A">
                      <w:pPr>
                        <w:ind w:firstLine="0"/>
                        <w:jc w:val="center"/>
                        <w:rPr>
                          <w:rFonts w:asciiTheme="minorHAnsi" w:hAnsiTheme="minorHAnsi" w:cstheme="minorHAnsi"/>
                          <w:sz w:val="22"/>
                          <w:szCs w:val="22"/>
                          <w:lang w:val="uz-Cyrl-UZ"/>
                        </w:rPr>
                      </w:pPr>
                      <w:r w:rsidRPr="009A471A">
                        <w:rPr>
                          <w:rFonts w:asciiTheme="minorHAnsi" w:hAnsiTheme="minorHAnsi" w:cstheme="minorHAnsi"/>
                          <w:sz w:val="22"/>
                          <w:szCs w:val="22"/>
                          <w:lang w:val="uz-Cyrl-UZ"/>
                        </w:rPr>
                        <w:t xml:space="preserve">Недовољно </w:t>
                      </w:r>
                      <w:r w:rsidRPr="009A471A">
                        <w:rPr>
                          <w:rFonts w:asciiTheme="minorHAnsi" w:hAnsiTheme="minorHAnsi" w:cstheme="minorHAnsi"/>
                          <w:sz w:val="22"/>
                          <w:szCs w:val="22"/>
                          <w:lang w:val="uz-Cyrl-UZ"/>
                        </w:rPr>
                        <w:t>ра</w:t>
                      </w:r>
                      <w:r w:rsidRPr="009A471A">
                        <w:rPr>
                          <w:rFonts w:asciiTheme="minorHAnsi" w:hAnsiTheme="minorHAnsi" w:cstheme="minorHAnsi"/>
                          <w:sz w:val="22"/>
                          <w:szCs w:val="22"/>
                          <w:lang w:val="sr"/>
                        </w:rPr>
                        <w:t>з</w:t>
                      </w:r>
                      <w:r w:rsidRPr="009A471A">
                        <w:rPr>
                          <w:rFonts w:asciiTheme="minorHAnsi" w:hAnsiTheme="minorHAnsi" w:cstheme="minorHAnsi"/>
                          <w:sz w:val="22"/>
                          <w:szCs w:val="22"/>
                          <w:lang w:val="uz-Cyrl-UZ"/>
                        </w:rPr>
                        <w:t>вијено средњорочно планирање</w:t>
                      </w:r>
                    </w:p>
                  </w:txbxContent>
                </v:textbox>
              </v:roundrect>
            </w:pict>
          </mc:Fallback>
        </mc:AlternateContent>
      </w:r>
      <w:r w:rsidR="009A471A"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43392" behindDoc="0" locked="0" layoutInCell="1" allowOverlap="1" wp14:anchorId="6C201EC2" wp14:editId="7964EAB7">
                <wp:simplePos x="0" y="0"/>
                <wp:positionH relativeFrom="column">
                  <wp:posOffset>778510</wp:posOffset>
                </wp:positionH>
                <wp:positionV relativeFrom="paragraph">
                  <wp:posOffset>60325</wp:posOffset>
                </wp:positionV>
                <wp:extent cx="133985" cy="0"/>
                <wp:effectExtent l="0" t="95250" r="18415" b="95250"/>
                <wp:wrapNone/>
                <wp:docPr id="595" name="Straight Arrow Connector 595"/>
                <wp:cNvGraphicFramePr/>
                <a:graphic xmlns:a="http://schemas.openxmlformats.org/drawingml/2006/main">
                  <a:graphicData uri="http://schemas.microsoft.com/office/word/2010/wordprocessingShape">
                    <wps:wsp>
                      <wps:cNvCnPr/>
                      <wps:spPr>
                        <a:xfrm flipH="1">
                          <a:off x="0" y="0"/>
                          <a:ext cx="133985" cy="0"/>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C221EF" id="Straight Arrow Connector 595" o:spid="_x0000_s1026" type="#_x0000_t32" style="position:absolute;margin-left:61.3pt;margin-top:4.75pt;width:10.55pt;height:0;flip:x;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" strokecolor="#839dcc" strokeweight="2.25pt">
                <v:stroke endarrow="block" joinstyle="miter"/>
              </v:shape>
            </w:pict>
          </mc:Fallback>
        </mc:AlternateContent>
      </w:r>
      <w:r w:rsidR="009A471A"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44416" behindDoc="0" locked="0" layoutInCell="1" allowOverlap="1" wp14:anchorId="1458C8D1" wp14:editId="2F8D76A0">
                <wp:simplePos x="0" y="0"/>
                <wp:positionH relativeFrom="column">
                  <wp:posOffset>1540510</wp:posOffset>
                </wp:positionH>
                <wp:positionV relativeFrom="paragraph">
                  <wp:posOffset>517525</wp:posOffset>
                </wp:positionV>
                <wp:extent cx="0" cy="1655445"/>
                <wp:effectExtent l="57150" t="38100" r="57150" b="1905"/>
                <wp:wrapNone/>
                <wp:docPr id="593" name="Straight Arrow Connector 593"/>
                <wp:cNvGraphicFramePr/>
                <a:graphic xmlns:a="http://schemas.openxmlformats.org/drawingml/2006/main">
                  <a:graphicData uri="http://schemas.microsoft.com/office/word/2010/wordprocessingShape">
                    <wps:wsp>
                      <wps:cNvCnPr/>
                      <wps:spPr>
                        <a:xfrm flipV="1">
                          <a:off x="0" y="0"/>
                          <a:ext cx="0" cy="1655445"/>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417554" id="Straight Arrow Connector 593" o:spid="_x0000_s1026" type="#_x0000_t32" style="position:absolute;margin-left:121.3pt;margin-top:40.75pt;width:0;height:130.35pt;flip:y;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" strokecolor="#839dcc" strokeweight="2.25pt">
                <v:stroke endarrow="block" joinstyle="miter"/>
              </v:shape>
            </w:pict>
          </mc:Fallback>
        </mc:AlternateContent>
      </w:r>
      <w:r w:rsidR="009A471A"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78208" behindDoc="0" locked="0" layoutInCell="1" allowOverlap="1" wp14:anchorId="500844F2" wp14:editId="610CB39C">
                <wp:simplePos x="0" y="0"/>
                <wp:positionH relativeFrom="column">
                  <wp:posOffset>118110</wp:posOffset>
                </wp:positionH>
                <wp:positionV relativeFrom="paragraph">
                  <wp:posOffset>504825</wp:posOffset>
                </wp:positionV>
                <wp:extent cx="0" cy="251460"/>
                <wp:effectExtent l="57150" t="38100" r="57150" b="15240"/>
                <wp:wrapNone/>
                <wp:docPr id="154" name="Straight Arrow Connector 154"/>
                <wp:cNvGraphicFramePr/>
                <a:graphic xmlns:a="http://schemas.openxmlformats.org/drawingml/2006/main">
                  <a:graphicData uri="http://schemas.microsoft.com/office/word/2010/wordprocessingShape">
                    <wps:wsp>
                      <wps:cNvCnPr/>
                      <wps:spPr>
                        <a:xfrm flipV="1">
                          <a:off x="0" y="0"/>
                          <a:ext cx="0" cy="25146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1C87D" id="Straight Arrow Connector 154" o:spid="_x0000_s1026" type="#_x0000_t32" style="position:absolute;margin-left:9.3pt;margin-top:39.75pt;width:0;height:19.8pt;flip:y;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" strokecolor="#839dcc" strokeweight="2.25pt">
                <v:stroke endarrow="block" joinstyle="miter"/>
              </v:shape>
            </w:pict>
          </mc:Fallback>
        </mc:AlternateContent>
      </w:r>
      <w:r w:rsidR="000F62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79232" behindDoc="0" locked="0" layoutInCell="1" allowOverlap="1" wp14:anchorId="3F3D6828" wp14:editId="3F535F8F">
                <wp:simplePos x="0" y="0"/>
                <wp:positionH relativeFrom="column">
                  <wp:posOffset>118110</wp:posOffset>
                </wp:positionH>
                <wp:positionV relativeFrom="paragraph">
                  <wp:posOffset>1851025</wp:posOffset>
                </wp:positionV>
                <wp:extent cx="0" cy="251460"/>
                <wp:effectExtent l="57150" t="38100" r="57150" b="15240"/>
                <wp:wrapNone/>
                <wp:docPr id="155" name="Straight Arrow Connector 155"/>
                <wp:cNvGraphicFramePr/>
                <a:graphic xmlns:a="http://schemas.openxmlformats.org/drawingml/2006/main">
                  <a:graphicData uri="http://schemas.microsoft.com/office/word/2010/wordprocessingShape">
                    <wps:wsp>
                      <wps:cNvCnPr/>
                      <wps:spPr>
                        <a:xfrm flipV="1">
                          <a:off x="0" y="0"/>
                          <a:ext cx="0" cy="25146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6DA32" id="Straight Arrow Connector 155" o:spid="_x0000_s1026" type="#_x0000_t32" style="position:absolute;margin-left:9.3pt;margin-top:145.75pt;width:0;height:19.8pt;flip:y;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" strokecolor="#839dcc" strokeweight="2.25pt">
                <v:stroke endarrow="block" joinstyle="miter"/>
              </v:shape>
            </w:pict>
          </mc:Fallback>
        </mc:AlternateContent>
      </w:r>
      <w:r w:rsidR="000F626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28032" behindDoc="0" locked="0" layoutInCell="1" allowOverlap="1" wp14:anchorId="4777317F" wp14:editId="7C85BC66">
                <wp:simplePos x="0" y="0"/>
                <wp:positionH relativeFrom="column">
                  <wp:posOffset>-453390</wp:posOffset>
                </wp:positionH>
                <wp:positionV relativeFrom="paragraph">
                  <wp:posOffset>758825</wp:posOffset>
                </wp:positionV>
                <wp:extent cx="1243330" cy="1097280"/>
                <wp:effectExtent l="0" t="0" r="13970" b="26670"/>
                <wp:wrapNone/>
                <wp:docPr id="582" name="Text Box 582"/>
                <wp:cNvGraphicFramePr/>
                <a:graphic xmlns:a="http://schemas.openxmlformats.org/drawingml/2006/main">
                  <a:graphicData uri="http://schemas.microsoft.com/office/word/2010/wordprocessingShape">
                    <wps:wsp>
                      <wps:cNvSpPr txBox="1"/>
                      <wps:spPr>
                        <a:xfrm>
                          <a:off x="0" y="0"/>
                          <a:ext cx="1243330" cy="1097280"/>
                        </a:xfrm>
                        <a:prstGeom prst="roundRect">
                          <a:avLst/>
                        </a:prstGeom>
                        <a:solidFill>
                          <a:sysClr val="window" lastClr="FFFFFF"/>
                        </a:solidFill>
                        <a:ln w="19050">
                          <a:solidFill>
                            <a:srgbClr val="839DCC"/>
                          </a:solidFill>
                        </a:ln>
                        <a:effectLst/>
                      </wps:spPr>
                      <wps:txbx>
                        <w:txbxContent>
                          <w:p w14:paraId="27D66EA2" w14:textId="77777777" w:rsidR="00876FFE" w:rsidRPr="000F6269" w:rsidRDefault="00876FFE" w:rsidP="000F6269">
                            <w:pPr>
                              <w:ind w:firstLine="0"/>
                              <w:jc w:val="center"/>
                              <w:rPr>
                                <w:rFonts w:asciiTheme="minorHAnsi" w:hAnsiTheme="minorHAnsi" w:cstheme="minorHAnsi"/>
                                <w:sz w:val="22"/>
                                <w:szCs w:val="22"/>
                                <w:lang w:val="uz-Cyrl-UZ"/>
                              </w:rPr>
                            </w:pPr>
                            <w:r w:rsidRPr="000F6269">
                              <w:rPr>
                                <w:rFonts w:asciiTheme="minorHAnsi" w:hAnsiTheme="minorHAnsi" w:cstheme="minorHAnsi"/>
                                <w:sz w:val="22"/>
                                <w:szCs w:val="22"/>
                                <w:lang w:val="uz-Cyrl-UZ"/>
                              </w:rPr>
                              <w:t>Недостатак јединствене методологије за процену трошкова</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77317F" id="Text Box 582" o:spid="_x0000_s1375" style="position:absolute;left:0;text-align:left;margin-left:-35.7pt;margin-top:59.75pt;width:97.9pt;height:86.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" fillcolor="window" strokecolor="#839dcc" strokeweight="1.5pt">
                <v:textbox inset="0,0,1mm,0">
                  <w:txbxContent>
                    <w:p w14:paraId="27D66EA2" w14:textId="77777777" w:rsidR="00876FFE" w:rsidRPr="000F6269" w:rsidRDefault="00876FFE" w:rsidP="000F6269">
                      <w:pPr>
                        <w:ind w:firstLine="0"/>
                        <w:jc w:val="center"/>
                        <w:rPr>
                          <w:rFonts w:asciiTheme="minorHAnsi" w:hAnsiTheme="minorHAnsi" w:cstheme="minorHAnsi"/>
                          <w:sz w:val="22"/>
                          <w:szCs w:val="22"/>
                          <w:lang w:val="uz-Cyrl-UZ"/>
                        </w:rPr>
                      </w:pPr>
                      <w:r w:rsidRPr="000F6269">
                        <w:rPr>
                          <w:rFonts w:asciiTheme="minorHAnsi" w:hAnsiTheme="minorHAnsi" w:cstheme="minorHAnsi"/>
                          <w:sz w:val="22"/>
                          <w:szCs w:val="22"/>
                          <w:lang w:val="uz-Cyrl-UZ"/>
                        </w:rPr>
                        <w:t xml:space="preserve">Недостатак </w:t>
                      </w:r>
                      <w:r w:rsidRPr="000F6269">
                        <w:rPr>
                          <w:rFonts w:asciiTheme="minorHAnsi" w:hAnsiTheme="minorHAnsi" w:cstheme="minorHAnsi"/>
                          <w:sz w:val="22"/>
                          <w:szCs w:val="22"/>
                          <w:lang w:val="uz-Cyrl-UZ"/>
                        </w:rPr>
                        <w:t>јединствене методологије за процену трошкова</w:t>
                      </w:r>
                    </w:p>
                  </w:txbxContent>
                </v:textbox>
              </v:roundrect>
            </w:pict>
          </mc:Fallback>
        </mc:AlternateContent>
      </w:r>
      <w:r w:rsidR="007B1A69" w:rsidRPr="000F0299">
        <w:rPr>
          <w:rFonts w:eastAsia="Times New Roman"/>
          <w:kern w:val="0"/>
          <w:sz w:val="20"/>
          <w:szCs w:val="20"/>
          <w:lang w:eastAsia="en-GB" w:bidi="ar-SA"/>
        </w:rPr>
        <w:tab/>
      </w:r>
    </w:p>
    <w:p w14:paraId="36097751" w14:textId="4810B460" w:rsidR="007B1A69" w:rsidRPr="000F0299" w:rsidRDefault="004A7B8E" w:rsidP="000D7EF9">
      <w:pPr>
        <w:pStyle w:val="Heading3"/>
        <w:rPr>
          <w:lang w:val="sr-Cyrl-RS" w:bidi="ar-SA"/>
        </w:rPr>
      </w:pPr>
      <w:bookmarkStart w:id="255" w:name="_Toc56777984"/>
      <w:bookmarkStart w:id="256" w:name="_Toc57661496"/>
      <w:r w:rsidRPr="000F0299">
        <w:rPr>
          <w:lang w:val="sr-Cyrl-RS" w:bidi="ar-SA"/>
        </w:rPr>
        <w:t>Циљ и правци деловања</w:t>
      </w:r>
      <w:bookmarkEnd w:id="255"/>
      <w:bookmarkEnd w:id="256"/>
    </w:p>
    <w:p w14:paraId="324124EF" w14:textId="27BB3BEB" w:rsidR="0044238D" w:rsidRPr="000F0299" w:rsidRDefault="00B525EB" w:rsidP="00244E7C">
      <w:pPr>
        <w:rPr>
          <w:lang w:eastAsia="de-DE"/>
        </w:rPr>
      </w:pPr>
      <w:bookmarkStart w:id="257" w:name="_ЦИЉ_И_ПРАВЦИ_1"/>
      <w:bookmarkEnd w:id="253"/>
      <w:bookmarkEnd w:id="257"/>
      <w:r>
        <w:rPr>
          <w:lang w:eastAsia="de-DE"/>
        </w:rPr>
        <w:t xml:space="preserve">Правци деловања усмерени су ка томе да </w:t>
      </w:r>
      <w:r w:rsidR="0044238D" w:rsidRPr="000F0299">
        <w:rPr>
          <w:lang w:eastAsia="de-DE"/>
        </w:rPr>
        <w:t>Србија управља својим јавним финансијама на начин који обезбеђује фискалну и макро-економску стабилност, делотворно финансирање приоритета националних политика, транспарентност јавних финансија и ефикасну контролу над јавним трошењем.</w:t>
      </w:r>
    </w:p>
    <w:p w14:paraId="0832AE2F" w14:textId="3BAB4AF0" w:rsidR="0044238D" w:rsidRPr="000F0299" w:rsidRDefault="0044238D" w:rsidP="00244E7C">
      <w:pPr>
        <w:rPr>
          <w:lang w:eastAsia="de-DE"/>
        </w:rPr>
      </w:pPr>
      <w:r w:rsidRPr="000F0299">
        <w:rPr>
          <w:lang w:eastAsia="de-DE"/>
        </w:rPr>
        <w:t xml:space="preserve">Програм реформе управљања јавним финансијама у наредном периоду треба да допринесе остваривању боље балансираног и одрживог буџета, уз смањење нивоа јавног дуга, као и јачању финансијског управљања и контроле и унапређење процеса ревизорске контроле. Програм прати буџетски циклус у целини, са циљем да допринесе да је извршење буџета повезано на најбољи могући начин са различитим политикама Владе, тиме доприносећи повећању транспарентности ових процеса. Укратко, ПРУЈФ представља израз oпрeдeљeнoсти Владе </w:t>
      </w:r>
      <w:r w:rsidR="005E5DCC" w:rsidRPr="000F0299">
        <w:rPr>
          <w:lang w:eastAsia="de-DE"/>
        </w:rPr>
        <w:t>да</w:t>
      </w:r>
      <w:r w:rsidRPr="000F0299">
        <w:rPr>
          <w:lang w:eastAsia="de-DE"/>
        </w:rPr>
        <w:t xml:space="preserve"> </w:t>
      </w:r>
      <w:r w:rsidR="005E5DCC" w:rsidRPr="000F0299">
        <w:rPr>
          <w:lang w:eastAsia="de-DE"/>
        </w:rPr>
        <w:t>спроведе</w:t>
      </w:r>
      <w:r w:rsidRPr="000F0299">
        <w:rPr>
          <w:lang w:eastAsia="de-DE"/>
        </w:rPr>
        <w:t xml:space="preserve"> </w:t>
      </w:r>
      <w:r w:rsidR="005E5DCC" w:rsidRPr="000F0299">
        <w:rPr>
          <w:lang w:eastAsia="de-DE"/>
        </w:rPr>
        <w:t>свеобухватни</w:t>
      </w:r>
      <w:r w:rsidRPr="000F0299">
        <w:rPr>
          <w:lang w:eastAsia="de-DE"/>
        </w:rPr>
        <w:t xml:space="preserve"> скуп </w:t>
      </w:r>
      <w:r w:rsidR="005E5DCC" w:rsidRPr="000F0299">
        <w:rPr>
          <w:lang w:eastAsia="de-DE"/>
        </w:rPr>
        <w:t>међусобно</w:t>
      </w:r>
      <w:r w:rsidRPr="000F0299">
        <w:rPr>
          <w:lang w:eastAsia="de-DE"/>
        </w:rPr>
        <w:t xml:space="preserve"> </w:t>
      </w:r>
      <w:r w:rsidR="005E5DCC" w:rsidRPr="000F0299">
        <w:rPr>
          <w:lang w:eastAsia="de-DE"/>
        </w:rPr>
        <w:t>повезаних</w:t>
      </w:r>
      <w:r w:rsidRPr="000F0299">
        <w:rPr>
          <w:lang w:eastAsia="de-DE"/>
        </w:rPr>
        <w:t xml:space="preserve"> и </w:t>
      </w:r>
      <w:r w:rsidR="005E5DCC" w:rsidRPr="000F0299">
        <w:rPr>
          <w:lang w:eastAsia="de-DE"/>
        </w:rPr>
        <w:t>временски</w:t>
      </w:r>
      <w:r w:rsidRPr="000F0299">
        <w:rPr>
          <w:lang w:eastAsia="de-DE"/>
        </w:rPr>
        <w:t xml:space="preserve"> </w:t>
      </w:r>
      <w:r w:rsidR="005E5DCC" w:rsidRPr="000F0299">
        <w:rPr>
          <w:lang w:eastAsia="de-DE"/>
        </w:rPr>
        <w:t>усклађених</w:t>
      </w:r>
      <w:r w:rsidRPr="000F0299">
        <w:rPr>
          <w:lang w:eastAsia="de-DE"/>
        </w:rPr>
        <w:t xml:space="preserve"> </w:t>
      </w:r>
      <w:r w:rsidR="005E5DCC" w:rsidRPr="000F0299">
        <w:rPr>
          <w:lang w:eastAsia="de-DE"/>
        </w:rPr>
        <w:t>реформи</w:t>
      </w:r>
      <w:r w:rsidRPr="000F0299">
        <w:rPr>
          <w:lang w:eastAsia="de-DE"/>
        </w:rPr>
        <w:t xml:space="preserve"> у </w:t>
      </w:r>
      <w:r w:rsidR="005E5DCC" w:rsidRPr="000F0299">
        <w:rPr>
          <w:lang w:eastAsia="de-DE"/>
        </w:rPr>
        <w:t>области</w:t>
      </w:r>
      <w:r w:rsidRPr="000F0299">
        <w:rPr>
          <w:lang w:eastAsia="de-DE"/>
        </w:rPr>
        <w:t xml:space="preserve"> </w:t>
      </w:r>
      <w:r w:rsidR="005E5DCC" w:rsidRPr="000F0299">
        <w:rPr>
          <w:lang w:eastAsia="de-DE"/>
        </w:rPr>
        <w:t>управљања</w:t>
      </w:r>
      <w:r w:rsidRPr="000F0299">
        <w:rPr>
          <w:lang w:eastAsia="de-DE"/>
        </w:rPr>
        <w:t xml:space="preserve"> jaвним финaнсиjaмa у </w:t>
      </w:r>
      <w:r w:rsidR="005E5DCC" w:rsidRPr="000F0299">
        <w:rPr>
          <w:lang w:eastAsia="de-DE"/>
        </w:rPr>
        <w:t>најширем</w:t>
      </w:r>
      <w:r w:rsidRPr="000F0299">
        <w:rPr>
          <w:lang w:eastAsia="de-DE"/>
        </w:rPr>
        <w:t xml:space="preserve"> смислу, кoje свe </w:t>
      </w:r>
      <w:r w:rsidR="005E5DCC" w:rsidRPr="000F0299">
        <w:rPr>
          <w:lang w:eastAsia="de-DE"/>
        </w:rPr>
        <w:t>имају</w:t>
      </w:r>
      <w:r w:rsidRPr="000F0299">
        <w:rPr>
          <w:lang w:eastAsia="de-DE"/>
        </w:rPr>
        <w:t xml:space="preserve"> зa циљ </w:t>
      </w:r>
      <w:r w:rsidR="005E5DCC" w:rsidRPr="000F0299">
        <w:rPr>
          <w:lang w:eastAsia="de-DE"/>
        </w:rPr>
        <w:t>повећање</w:t>
      </w:r>
      <w:r w:rsidRPr="000F0299">
        <w:rPr>
          <w:lang w:eastAsia="de-DE"/>
        </w:rPr>
        <w:t xml:space="preserve"> oдгoвoрнoсти, oбeзбeђивaњe </w:t>
      </w:r>
      <w:r w:rsidR="005E5DCC" w:rsidRPr="000F0299">
        <w:rPr>
          <w:lang w:eastAsia="de-DE"/>
        </w:rPr>
        <w:t>доброг</w:t>
      </w:r>
      <w:r w:rsidRPr="000F0299">
        <w:rPr>
          <w:lang w:eastAsia="de-DE"/>
        </w:rPr>
        <w:t xml:space="preserve"> </w:t>
      </w:r>
      <w:r w:rsidR="005E5DCC" w:rsidRPr="000F0299">
        <w:rPr>
          <w:lang w:eastAsia="de-DE"/>
        </w:rPr>
        <w:t>финансијског</w:t>
      </w:r>
      <w:r w:rsidRPr="000F0299">
        <w:rPr>
          <w:lang w:eastAsia="de-DE"/>
        </w:rPr>
        <w:t xml:space="preserve"> </w:t>
      </w:r>
      <w:r w:rsidR="005E5DCC" w:rsidRPr="000F0299">
        <w:rPr>
          <w:lang w:eastAsia="de-DE"/>
        </w:rPr>
        <w:t>управљања</w:t>
      </w:r>
      <w:r w:rsidRPr="000F0299">
        <w:rPr>
          <w:lang w:eastAsia="de-DE"/>
        </w:rPr>
        <w:t xml:space="preserve"> и </w:t>
      </w:r>
      <w:r w:rsidR="005E5DCC" w:rsidRPr="000F0299">
        <w:rPr>
          <w:lang w:eastAsia="de-DE"/>
        </w:rPr>
        <w:t>добре</w:t>
      </w:r>
      <w:r w:rsidRPr="000F0299">
        <w:rPr>
          <w:lang w:eastAsia="de-DE"/>
        </w:rPr>
        <w:t xml:space="preserve"> </w:t>
      </w:r>
      <w:r w:rsidR="005E5DCC" w:rsidRPr="000F0299">
        <w:rPr>
          <w:lang w:eastAsia="de-DE"/>
        </w:rPr>
        <w:t>управе</w:t>
      </w:r>
      <w:r w:rsidRPr="000F0299">
        <w:rPr>
          <w:lang w:eastAsia="de-DE"/>
        </w:rPr>
        <w:t xml:space="preserve">, </w:t>
      </w:r>
      <w:r w:rsidR="005E5DCC" w:rsidRPr="000F0299">
        <w:rPr>
          <w:lang w:eastAsia="de-DE"/>
        </w:rPr>
        <w:t>кроз</w:t>
      </w:r>
      <w:r w:rsidRPr="000F0299">
        <w:rPr>
          <w:lang w:eastAsia="de-DE"/>
        </w:rPr>
        <w:t xml:space="preserve"> </w:t>
      </w:r>
      <w:r w:rsidR="005E5DCC" w:rsidRPr="000F0299">
        <w:rPr>
          <w:lang w:eastAsia="de-DE"/>
        </w:rPr>
        <w:t>побољшање</w:t>
      </w:r>
      <w:r w:rsidRPr="000F0299">
        <w:rPr>
          <w:lang w:eastAsia="de-DE"/>
        </w:rPr>
        <w:t xml:space="preserve"> </w:t>
      </w:r>
      <w:r w:rsidR="005E5DCC" w:rsidRPr="000F0299">
        <w:rPr>
          <w:lang w:eastAsia="de-DE"/>
        </w:rPr>
        <w:t>ефикасности</w:t>
      </w:r>
      <w:r w:rsidRPr="000F0299">
        <w:rPr>
          <w:lang w:eastAsia="de-DE"/>
        </w:rPr>
        <w:t xml:space="preserve"> и </w:t>
      </w:r>
      <w:r w:rsidR="005E5DCC" w:rsidRPr="000F0299">
        <w:rPr>
          <w:lang w:eastAsia="de-DE"/>
        </w:rPr>
        <w:t>делотворности</w:t>
      </w:r>
      <w:r w:rsidRPr="000F0299">
        <w:rPr>
          <w:lang w:eastAsia="de-DE"/>
        </w:rPr>
        <w:t xml:space="preserve"> </w:t>
      </w:r>
      <w:r w:rsidR="005E5DCC" w:rsidRPr="000F0299">
        <w:rPr>
          <w:lang w:eastAsia="de-DE"/>
        </w:rPr>
        <w:t>управљања</w:t>
      </w:r>
      <w:r w:rsidRPr="000F0299">
        <w:rPr>
          <w:lang w:eastAsia="de-DE"/>
        </w:rPr>
        <w:t xml:space="preserve"> jaвним </w:t>
      </w:r>
      <w:r w:rsidR="005E5DCC" w:rsidRPr="000F0299">
        <w:rPr>
          <w:lang w:eastAsia="de-DE"/>
        </w:rPr>
        <w:t>ресурсима</w:t>
      </w:r>
      <w:r w:rsidRPr="000F0299">
        <w:rPr>
          <w:lang w:eastAsia="de-DE"/>
        </w:rPr>
        <w:t xml:space="preserve"> у </w:t>
      </w:r>
      <w:r w:rsidR="005E5DCC" w:rsidRPr="000F0299">
        <w:rPr>
          <w:lang w:eastAsia="de-DE"/>
        </w:rPr>
        <w:t>Републици</w:t>
      </w:r>
      <w:r w:rsidRPr="000F0299">
        <w:rPr>
          <w:lang w:eastAsia="de-DE"/>
        </w:rPr>
        <w:t xml:space="preserve"> </w:t>
      </w:r>
      <w:r w:rsidR="005E5DCC" w:rsidRPr="000F0299">
        <w:rPr>
          <w:lang w:eastAsia="de-DE"/>
        </w:rPr>
        <w:t>Србији</w:t>
      </w:r>
      <w:r w:rsidRPr="000F0299">
        <w:rPr>
          <w:lang w:eastAsia="de-DE"/>
        </w:rPr>
        <w:t xml:space="preserve">, </w:t>
      </w:r>
      <w:r w:rsidR="005E5DCC" w:rsidRPr="000F0299">
        <w:rPr>
          <w:lang w:eastAsia="de-DE"/>
        </w:rPr>
        <w:t>како</w:t>
      </w:r>
      <w:r w:rsidRPr="000F0299">
        <w:rPr>
          <w:lang w:eastAsia="de-DE"/>
        </w:rPr>
        <w:t xml:space="preserve"> би </w:t>
      </w:r>
      <w:r w:rsidR="005E5DCC" w:rsidRPr="000F0299">
        <w:rPr>
          <w:lang w:eastAsia="de-DE"/>
        </w:rPr>
        <w:t>се</w:t>
      </w:r>
      <w:r w:rsidRPr="000F0299">
        <w:rPr>
          <w:lang w:eastAsia="de-DE"/>
        </w:rPr>
        <w:t xml:space="preserve"> </w:t>
      </w:r>
      <w:r w:rsidR="005E5DCC" w:rsidRPr="000F0299">
        <w:rPr>
          <w:lang w:eastAsia="de-DE"/>
        </w:rPr>
        <w:t>утабао</w:t>
      </w:r>
      <w:r w:rsidRPr="000F0299">
        <w:rPr>
          <w:lang w:eastAsia="de-DE"/>
        </w:rPr>
        <w:t xml:space="preserve"> пут зa несметани прелазак у jaвни </w:t>
      </w:r>
      <w:r w:rsidR="005E5DCC" w:rsidRPr="000F0299">
        <w:rPr>
          <w:lang w:eastAsia="de-DE"/>
        </w:rPr>
        <w:t>административни</w:t>
      </w:r>
      <w:r w:rsidRPr="000F0299">
        <w:rPr>
          <w:lang w:eastAsia="de-DE"/>
        </w:rPr>
        <w:t xml:space="preserve"> </w:t>
      </w:r>
      <w:r w:rsidR="005E5DCC" w:rsidRPr="000F0299">
        <w:rPr>
          <w:lang w:eastAsia="de-DE"/>
        </w:rPr>
        <w:t>оквир</w:t>
      </w:r>
      <w:r w:rsidRPr="000F0299">
        <w:rPr>
          <w:lang w:eastAsia="de-DE"/>
        </w:rPr>
        <w:t xml:space="preserve"> EУ.</w:t>
      </w:r>
    </w:p>
    <w:p w14:paraId="1B50EDE2" w14:textId="17F396F8" w:rsidR="0044238D" w:rsidRPr="000F0299" w:rsidRDefault="00627323" w:rsidP="00244E7C">
      <w:pPr>
        <w:rPr>
          <w:bCs/>
          <w:i/>
          <w:color w:val="2F5496" w:themeColor="accent1" w:themeShade="BF"/>
          <w:lang w:eastAsia="de-DE"/>
        </w:rPr>
      </w:pPr>
      <w:r w:rsidRPr="000F0299">
        <w:rPr>
          <w:i/>
          <w:color w:val="2F5496" w:themeColor="accent1" w:themeShade="BF"/>
          <w:lang w:eastAsia="de-DE"/>
        </w:rPr>
        <w:t>Посебан циљ 5.1</w:t>
      </w:r>
      <w:r w:rsidR="0044238D" w:rsidRPr="000F0299">
        <w:rPr>
          <w:bCs/>
          <w:i/>
          <w:color w:val="2F5496" w:themeColor="accent1" w:themeShade="BF"/>
          <w:lang w:eastAsia="de-DE"/>
        </w:rPr>
        <w:t>:Остваривање одрживог буџета са стабилним јавним дугом у односу на БДП уз помоћ бољег финансијског управљања и контроле, процеса ревизије и повезивања буџетског планирања са политикама и приоритетима Владе.</w:t>
      </w:r>
    </w:p>
    <w:tbl>
      <w:tblPr>
        <w:tblW w:w="5000" w:type="pct"/>
        <w:shd w:val="clear" w:color="auto" w:fill="E7E6E6" w:themeFill="background2"/>
        <w:tblLook w:val="00A0" w:firstRow="1" w:lastRow="0" w:firstColumn="1" w:lastColumn="0" w:noHBand="0" w:noVBand="0"/>
      </w:tblPr>
      <w:tblGrid>
        <w:gridCol w:w="338"/>
        <w:gridCol w:w="4684"/>
        <w:gridCol w:w="1837"/>
        <w:gridCol w:w="1837"/>
        <w:gridCol w:w="328"/>
      </w:tblGrid>
      <w:tr w:rsidR="004A7B8E" w:rsidRPr="000F0299" w14:paraId="6CE7F03A" w14:textId="77777777" w:rsidTr="00AD1814">
        <w:trPr>
          <w:trHeight w:val="20"/>
        </w:trPr>
        <w:tc>
          <w:tcPr>
            <w:tcW w:w="187" w:type="pct"/>
            <w:tcBorders>
              <w:top w:val="single" w:sz="18" w:space="0" w:color="C00000"/>
              <w:left w:val="single" w:sz="18" w:space="0" w:color="C00000"/>
            </w:tcBorders>
            <w:shd w:val="clear" w:color="auto" w:fill="F2F2F2" w:themeFill="background1" w:themeFillShade="F2"/>
          </w:tcPr>
          <w:p w14:paraId="34999E3C" w14:textId="77777777" w:rsidR="004A7B8E" w:rsidRPr="000F0299" w:rsidRDefault="004A7B8E" w:rsidP="000132F3">
            <w:pPr>
              <w:spacing w:before="60"/>
              <w:ind w:firstLine="0"/>
              <w:rPr>
                <w:b/>
                <w:bCs/>
                <w:sz w:val="16"/>
                <w:szCs w:val="16"/>
              </w:rPr>
            </w:pPr>
          </w:p>
        </w:tc>
        <w:tc>
          <w:tcPr>
            <w:tcW w:w="2594" w:type="pct"/>
            <w:tcBorders>
              <w:top w:val="single" w:sz="18" w:space="0" w:color="C00000"/>
            </w:tcBorders>
            <w:shd w:val="clear" w:color="auto" w:fill="F2F2F2" w:themeFill="background1" w:themeFillShade="F2"/>
          </w:tcPr>
          <w:p w14:paraId="045834CC" w14:textId="77777777" w:rsidR="004A7B8E" w:rsidRPr="000F0299" w:rsidRDefault="004A7B8E" w:rsidP="000132F3">
            <w:pPr>
              <w:spacing w:before="60"/>
              <w:ind w:firstLine="0"/>
              <w:rPr>
                <w:b/>
                <w:bCs/>
                <w:sz w:val="16"/>
                <w:szCs w:val="16"/>
              </w:rPr>
            </w:pPr>
          </w:p>
        </w:tc>
        <w:tc>
          <w:tcPr>
            <w:tcW w:w="1018" w:type="pct"/>
            <w:tcBorders>
              <w:top w:val="single" w:sz="18" w:space="0" w:color="C00000"/>
            </w:tcBorders>
            <w:shd w:val="clear" w:color="auto" w:fill="F2F2F2" w:themeFill="background1" w:themeFillShade="F2"/>
            <w:vAlign w:val="center"/>
          </w:tcPr>
          <w:p w14:paraId="46EE3726" w14:textId="77777777" w:rsidR="004A7B8E" w:rsidRPr="000F0299" w:rsidRDefault="004A7B8E" w:rsidP="000132F3">
            <w:pPr>
              <w:spacing w:before="60"/>
              <w:ind w:firstLine="0"/>
              <w:jc w:val="center"/>
              <w:rPr>
                <w:b/>
                <w:bCs/>
                <w:sz w:val="16"/>
                <w:szCs w:val="16"/>
              </w:rPr>
            </w:pPr>
          </w:p>
        </w:tc>
        <w:tc>
          <w:tcPr>
            <w:tcW w:w="1018" w:type="pct"/>
            <w:tcBorders>
              <w:top w:val="single" w:sz="18" w:space="0" w:color="C00000"/>
            </w:tcBorders>
            <w:shd w:val="clear" w:color="auto" w:fill="F2F2F2" w:themeFill="background1" w:themeFillShade="F2"/>
            <w:vAlign w:val="center"/>
          </w:tcPr>
          <w:p w14:paraId="3BC679C2" w14:textId="77777777" w:rsidR="004A7B8E" w:rsidRPr="000F0299" w:rsidRDefault="004A7B8E" w:rsidP="000132F3">
            <w:pPr>
              <w:spacing w:before="60"/>
              <w:ind w:firstLine="0"/>
              <w:jc w:val="center"/>
              <w:rPr>
                <w:b/>
                <w:bCs/>
                <w:sz w:val="16"/>
                <w:szCs w:val="16"/>
              </w:rPr>
            </w:pPr>
          </w:p>
        </w:tc>
        <w:tc>
          <w:tcPr>
            <w:tcW w:w="182" w:type="pct"/>
            <w:tcBorders>
              <w:top w:val="single" w:sz="18" w:space="0" w:color="C00000"/>
              <w:right w:val="single" w:sz="18" w:space="0" w:color="C00000"/>
            </w:tcBorders>
            <w:shd w:val="clear" w:color="auto" w:fill="F2F2F2" w:themeFill="background1" w:themeFillShade="F2"/>
          </w:tcPr>
          <w:p w14:paraId="4839CFDB" w14:textId="77777777" w:rsidR="004A7B8E" w:rsidRPr="000F0299" w:rsidRDefault="004A7B8E" w:rsidP="000132F3">
            <w:pPr>
              <w:spacing w:before="60"/>
              <w:ind w:firstLine="0"/>
              <w:jc w:val="center"/>
              <w:rPr>
                <w:b/>
                <w:bCs/>
                <w:sz w:val="16"/>
                <w:szCs w:val="16"/>
              </w:rPr>
            </w:pPr>
          </w:p>
        </w:tc>
      </w:tr>
      <w:tr w:rsidR="004A7B8E" w:rsidRPr="000F0299" w14:paraId="500018BF" w14:textId="77777777" w:rsidTr="00AD1814">
        <w:trPr>
          <w:trHeight w:val="490"/>
        </w:trPr>
        <w:tc>
          <w:tcPr>
            <w:tcW w:w="187" w:type="pct"/>
            <w:tcBorders>
              <w:left w:val="single" w:sz="18" w:space="0" w:color="C00000"/>
            </w:tcBorders>
            <w:shd w:val="clear" w:color="auto" w:fill="F2F2F2" w:themeFill="background1" w:themeFillShade="F2"/>
          </w:tcPr>
          <w:p w14:paraId="18F7E1F3" w14:textId="77777777" w:rsidR="004A7B8E" w:rsidRPr="000F0299" w:rsidRDefault="004A7B8E" w:rsidP="000132F3">
            <w:pPr>
              <w:spacing w:before="60"/>
              <w:ind w:firstLine="0"/>
              <w:rPr>
                <w:b/>
                <w:bCs/>
              </w:rPr>
            </w:pPr>
          </w:p>
        </w:tc>
        <w:tc>
          <w:tcPr>
            <w:tcW w:w="2594" w:type="pct"/>
            <w:tcBorders>
              <w:left w:val="nil"/>
              <w:bottom w:val="single" w:sz="18" w:space="0" w:color="C00000"/>
              <w:right w:val="single" w:sz="18" w:space="0" w:color="FFFFFF" w:themeColor="background1"/>
            </w:tcBorders>
            <w:shd w:val="clear" w:color="auto" w:fill="F2F2F2" w:themeFill="background1" w:themeFillShade="F2"/>
          </w:tcPr>
          <w:p w14:paraId="78A3EAEF" w14:textId="77777777" w:rsidR="004A7B8E" w:rsidRPr="000F0299" w:rsidRDefault="004A7B8E" w:rsidP="000132F3">
            <w:pPr>
              <w:spacing w:before="60"/>
              <w:ind w:firstLine="0"/>
              <w:rPr>
                <w:b/>
                <w:bCs/>
              </w:rPr>
            </w:pPr>
            <w:r w:rsidRPr="000F0299">
              <w:rPr>
                <w:b/>
                <w:bCs/>
              </w:rPr>
              <w:t>Показатељ исхода</w:t>
            </w:r>
          </w:p>
        </w:tc>
        <w:tc>
          <w:tcPr>
            <w:tcW w:w="1018"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4378D3DA" w14:textId="77777777" w:rsidR="004A7B8E" w:rsidRPr="000F0299" w:rsidRDefault="004A7B8E" w:rsidP="000132F3">
            <w:pPr>
              <w:spacing w:before="60"/>
              <w:ind w:firstLine="0"/>
              <w:jc w:val="center"/>
              <w:rPr>
                <w:b/>
                <w:bCs/>
              </w:rPr>
            </w:pPr>
            <w:r w:rsidRPr="000F0299">
              <w:rPr>
                <w:b/>
                <w:bCs/>
              </w:rPr>
              <w:t>ПВ</w:t>
            </w:r>
          </w:p>
        </w:tc>
        <w:tc>
          <w:tcPr>
            <w:tcW w:w="1018" w:type="pct"/>
            <w:tcBorders>
              <w:left w:val="single" w:sz="18" w:space="0" w:color="FFFFFF" w:themeColor="background1"/>
              <w:bottom w:val="single" w:sz="18" w:space="0" w:color="C00000"/>
            </w:tcBorders>
            <w:shd w:val="clear" w:color="auto" w:fill="F2F2F2" w:themeFill="background1" w:themeFillShade="F2"/>
            <w:vAlign w:val="center"/>
          </w:tcPr>
          <w:p w14:paraId="0D6423F2" w14:textId="77777777" w:rsidR="004A7B8E" w:rsidRPr="000F0299" w:rsidRDefault="004A7B8E" w:rsidP="000132F3">
            <w:pPr>
              <w:spacing w:before="60"/>
              <w:ind w:firstLine="0"/>
              <w:jc w:val="center"/>
              <w:rPr>
                <w:b/>
                <w:bCs/>
              </w:rPr>
            </w:pPr>
            <w:r w:rsidRPr="000F0299">
              <w:rPr>
                <w:b/>
                <w:bCs/>
              </w:rPr>
              <w:t>ЦВ</w:t>
            </w:r>
          </w:p>
        </w:tc>
        <w:tc>
          <w:tcPr>
            <w:tcW w:w="182" w:type="pct"/>
            <w:tcBorders>
              <w:right w:val="single" w:sz="18" w:space="0" w:color="C00000"/>
            </w:tcBorders>
            <w:shd w:val="clear" w:color="auto" w:fill="F2F2F2" w:themeFill="background1" w:themeFillShade="F2"/>
          </w:tcPr>
          <w:p w14:paraId="55C3B4E8" w14:textId="77777777" w:rsidR="004A7B8E" w:rsidRPr="000F0299" w:rsidRDefault="004A7B8E" w:rsidP="000132F3">
            <w:pPr>
              <w:spacing w:before="60"/>
              <w:ind w:firstLine="0"/>
              <w:jc w:val="center"/>
              <w:rPr>
                <w:b/>
                <w:bCs/>
              </w:rPr>
            </w:pPr>
          </w:p>
        </w:tc>
      </w:tr>
      <w:tr w:rsidR="004A7B8E" w:rsidRPr="000F0299" w14:paraId="1FA452E2" w14:textId="77777777" w:rsidTr="00AD1814">
        <w:trPr>
          <w:trHeight w:val="1082"/>
        </w:trPr>
        <w:tc>
          <w:tcPr>
            <w:tcW w:w="187" w:type="pct"/>
            <w:tcBorders>
              <w:left w:val="single" w:sz="18" w:space="0" w:color="C00000"/>
            </w:tcBorders>
            <w:shd w:val="clear" w:color="auto" w:fill="F2F2F2" w:themeFill="background1" w:themeFillShade="F2"/>
          </w:tcPr>
          <w:p w14:paraId="2EC249E1" w14:textId="77777777" w:rsidR="004A7B8E" w:rsidRPr="000F0299" w:rsidRDefault="004A7B8E" w:rsidP="000132F3">
            <w:pPr>
              <w:spacing w:before="60"/>
              <w:ind w:firstLine="0"/>
            </w:pPr>
          </w:p>
        </w:tc>
        <w:tc>
          <w:tcPr>
            <w:tcW w:w="2594"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6E990531" w14:textId="77777777" w:rsidR="004A7B8E" w:rsidRPr="000F0299" w:rsidRDefault="004A7B8E" w:rsidP="000132F3">
            <w:pPr>
              <w:spacing w:before="60"/>
              <w:ind w:firstLine="0"/>
            </w:pPr>
            <w:r w:rsidRPr="000F0299">
              <w:t>Реални раст бруто домаћег производа (БДП)</w:t>
            </w:r>
          </w:p>
        </w:tc>
        <w:tc>
          <w:tcPr>
            <w:tcW w:w="1018"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7F691B70" w14:textId="77777777" w:rsidR="004A7B8E" w:rsidRPr="000F0299" w:rsidRDefault="004A7B8E" w:rsidP="000132F3">
            <w:pPr>
              <w:spacing w:before="60"/>
              <w:ind w:firstLine="0"/>
            </w:pPr>
            <w:r w:rsidRPr="000F0299">
              <w:t>(2019): 4,2%е</w:t>
            </w:r>
          </w:p>
        </w:tc>
        <w:tc>
          <w:tcPr>
            <w:tcW w:w="1018"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7E4E9497" w14:textId="77777777" w:rsidR="004A7B8E" w:rsidRPr="000F0299" w:rsidRDefault="004A7B8E" w:rsidP="000132F3">
            <w:pPr>
              <w:spacing w:before="60"/>
              <w:ind w:firstLine="0"/>
            </w:pPr>
            <w:r w:rsidRPr="000F0299">
              <w:t>(2021): -2,5%</w:t>
            </w:r>
          </w:p>
          <w:p w14:paraId="27A75D44" w14:textId="77777777" w:rsidR="004A7B8E" w:rsidRPr="000F0299" w:rsidRDefault="004A7B8E" w:rsidP="000132F3">
            <w:pPr>
              <w:spacing w:before="60"/>
              <w:ind w:firstLine="0"/>
            </w:pPr>
            <w:r w:rsidRPr="000F0299">
              <w:t>(2022): 4,0%</w:t>
            </w:r>
          </w:p>
          <w:p w14:paraId="5AB1CFA5" w14:textId="77777777" w:rsidR="004A7B8E" w:rsidRPr="000F0299" w:rsidRDefault="004A7B8E" w:rsidP="000132F3">
            <w:pPr>
              <w:spacing w:before="60"/>
              <w:ind w:firstLine="0"/>
            </w:pPr>
            <w:r w:rsidRPr="000F0299">
              <w:t>(2023): -</w:t>
            </w:r>
          </w:p>
          <w:p w14:paraId="7277D3E4" w14:textId="77777777" w:rsidR="004A7B8E" w:rsidRPr="000F0299" w:rsidRDefault="004A7B8E" w:rsidP="000132F3">
            <w:pPr>
              <w:spacing w:before="60"/>
              <w:ind w:firstLine="0"/>
            </w:pPr>
            <w:r w:rsidRPr="000F0299">
              <w:t>(2024): -</w:t>
            </w:r>
          </w:p>
          <w:p w14:paraId="7A08C1B1" w14:textId="77777777" w:rsidR="004A7B8E" w:rsidRPr="000F0299" w:rsidRDefault="004A7B8E" w:rsidP="000132F3">
            <w:pPr>
              <w:spacing w:before="60"/>
              <w:ind w:firstLine="0"/>
            </w:pPr>
            <w:r w:rsidRPr="000F0299">
              <w:t>(2025): -</w:t>
            </w:r>
          </w:p>
          <w:p w14:paraId="3CFBAAD9" w14:textId="77777777" w:rsidR="004A7B8E" w:rsidRPr="000F0299" w:rsidRDefault="004A7B8E" w:rsidP="000132F3">
            <w:pPr>
              <w:spacing w:before="60"/>
              <w:ind w:firstLine="0"/>
            </w:pPr>
            <w:r w:rsidRPr="000F0299">
              <w:t>(2027): -</w:t>
            </w:r>
          </w:p>
          <w:p w14:paraId="1DD610F0" w14:textId="77777777" w:rsidR="004A7B8E" w:rsidRPr="000F0299" w:rsidRDefault="004A7B8E" w:rsidP="000132F3">
            <w:pPr>
              <w:spacing w:before="60"/>
              <w:ind w:firstLine="0"/>
            </w:pPr>
            <w:r w:rsidRPr="000F0299">
              <w:t>(2030): -</w:t>
            </w:r>
          </w:p>
        </w:tc>
        <w:tc>
          <w:tcPr>
            <w:tcW w:w="182" w:type="pct"/>
            <w:tcBorders>
              <w:right w:val="single" w:sz="18" w:space="0" w:color="C00000"/>
            </w:tcBorders>
            <w:shd w:val="clear" w:color="auto" w:fill="F2F2F2" w:themeFill="background1" w:themeFillShade="F2"/>
          </w:tcPr>
          <w:p w14:paraId="38549351" w14:textId="77777777" w:rsidR="004A7B8E" w:rsidRPr="000F0299" w:rsidRDefault="004A7B8E" w:rsidP="000132F3">
            <w:pPr>
              <w:spacing w:before="60"/>
              <w:ind w:firstLine="0"/>
            </w:pPr>
          </w:p>
        </w:tc>
      </w:tr>
      <w:tr w:rsidR="004A7B8E" w:rsidRPr="000F0299" w14:paraId="37957C3C" w14:textId="77777777" w:rsidTr="00AD1814">
        <w:trPr>
          <w:trHeight w:val="381"/>
        </w:trPr>
        <w:tc>
          <w:tcPr>
            <w:tcW w:w="187" w:type="pct"/>
            <w:tcBorders>
              <w:left w:val="single" w:sz="18" w:space="0" w:color="C00000"/>
            </w:tcBorders>
            <w:shd w:val="clear" w:color="auto" w:fill="F2F2F2" w:themeFill="background1" w:themeFillShade="F2"/>
          </w:tcPr>
          <w:p w14:paraId="7E0C7460" w14:textId="77777777" w:rsidR="004A7B8E" w:rsidRPr="000F0299" w:rsidRDefault="004A7B8E" w:rsidP="000132F3">
            <w:pPr>
              <w:spacing w:before="60"/>
              <w:ind w:firstLine="0"/>
            </w:pPr>
          </w:p>
        </w:tc>
        <w:tc>
          <w:tcPr>
            <w:tcW w:w="2594"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3ED983A2" w14:textId="77777777" w:rsidR="004A7B8E" w:rsidRPr="000F0299" w:rsidRDefault="004A7B8E" w:rsidP="000132F3">
            <w:pPr>
              <w:spacing w:before="60"/>
              <w:ind w:firstLine="0"/>
            </w:pPr>
            <w:r w:rsidRPr="000F0299">
              <w:t>Учешће дуга опште државе у БДП</w:t>
            </w:r>
          </w:p>
        </w:tc>
        <w:tc>
          <w:tcPr>
            <w:tcW w:w="101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399BA1F6" w14:textId="77777777" w:rsidR="004A7B8E" w:rsidRPr="000F0299" w:rsidRDefault="004A7B8E" w:rsidP="000132F3">
            <w:pPr>
              <w:spacing w:before="60"/>
              <w:ind w:firstLine="0"/>
            </w:pPr>
            <w:r w:rsidRPr="000F0299">
              <w:t>(2019): 52,9%</w:t>
            </w:r>
          </w:p>
        </w:tc>
        <w:tc>
          <w:tcPr>
            <w:tcW w:w="1018"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22A1387B" w14:textId="77777777" w:rsidR="004A7B8E" w:rsidRPr="000F0299" w:rsidRDefault="004A7B8E" w:rsidP="000132F3">
            <w:pPr>
              <w:spacing w:before="60"/>
              <w:ind w:firstLine="0"/>
            </w:pPr>
            <w:r w:rsidRPr="000F0299">
              <w:t>(2021): -</w:t>
            </w:r>
          </w:p>
          <w:p w14:paraId="1E007F8E" w14:textId="77777777" w:rsidR="004A7B8E" w:rsidRPr="000F0299" w:rsidRDefault="004A7B8E" w:rsidP="000132F3">
            <w:pPr>
              <w:spacing w:before="60"/>
              <w:ind w:firstLine="0"/>
            </w:pPr>
            <w:r w:rsidRPr="000F0299">
              <w:t>(2022): -</w:t>
            </w:r>
          </w:p>
          <w:p w14:paraId="142A3F42" w14:textId="77777777" w:rsidR="004A7B8E" w:rsidRPr="000F0299" w:rsidRDefault="004A7B8E" w:rsidP="000132F3">
            <w:pPr>
              <w:spacing w:before="60"/>
              <w:ind w:firstLine="0"/>
            </w:pPr>
            <w:r w:rsidRPr="000F0299">
              <w:t>(2023): 56%</w:t>
            </w:r>
          </w:p>
          <w:p w14:paraId="33C98432" w14:textId="77777777" w:rsidR="004A7B8E" w:rsidRPr="000F0299" w:rsidRDefault="004A7B8E" w:rsidP="000132F3">
            <w:pPr>
              <w:spacing w:before="60"/>
              <w:ind w:firstLine="0"/>
            </w:pPr>
            <w:r w:rsidRPr="000F0299">
              <w:t>(2024): 52%</w:t>
            </w:r>
          </w:p>
          <w:p w14:paraId="54E13500" w14:textId="77777777" w:rsidR="004A7B8E" w:rsidRPr="000F0299" w:rsidRDefault="004A7B8E" w:rsidP="000132F3">
            <w:pPr>
              <w:spacing w:before="60"/>
              <w:ind w:firstLine="0"/>
            </w:pPr>
            <w:r w:rsidRPr="000F0299">
              <w:t>(2025): -</w:t>
            </w:r>
          </w:p>
          <w:p w14:paraId="5EBB1BBD" w14:textId="77777777" w:rsidR="004A7B8E" w:rsidRPr="000F0299" w:rsidRDefault="004A7B8E" w:rsidP="000132F3">
            <w:pPr>
              <w:spacing w:before="60"/>
              <w:ind w:firstLine="0"/>
            </w:pPr>
            <w:r w:rsidRPr="000F0299">
              <w:t>(2027): -</w:t>
            </w:r>
          </w:p>
          <w:p w14:paraId="4B23FA3A" w14:textId="77777777" w:rsidR="004A7B8E" w:rsidRPr="000F0299" w:rsidRDefault="004A7B8E" w:rsidP="000132F3">
            <w:pPr>
              <w:spacing w:before="60"/>
              <w:ind w:firstLine="0"/>
            </w:pPr>
            <w:r w:rsidRPr="000F0299">
              <w:t>(2030): -</w:t>
            </w:r>
          </w:p>
        </w:tc>
        <w:tc>
          <w:tcPr>
            <w:tcW w:w="182" w:type="pct"/>
            <w:tcBorders>
              <w:right w:val="single" w:sz="18" w:space="0" w:color="C00000"/>
            </w:tcBorders>
            <w:shd w:val="clear" w:color="auto" w:fill="F2F2F2" w:themeFill="background1" w:themeFillShade="F2"/>
          </w:tcPr>
          <w:p w14:paraId="3E43515F" w14:textId="77777777" w:rsidR="004A7B8E" w:rsidRPr="000F0299" w:rsidRDefault="004A7B8E" w:rsidP="000132F3">
            <w:pPr>
              <w:spacing w:before="60"/>
              <w:ind w:firstLine="0"/>
            </w:pPr>
          </w:p>
        </w:tc>
      </w:tr>
      <w:tr w:rsidR="004A7B8E" w:rsidRPr="000F0299" w14:paraId="63D30D82" w14:textId="77777777" w:rsidTr="00AD1814">
        <w:trPr>
          <w:trHeight w:val="340"/>
        </w:trPr>
        <w:tc>
          <w:tcPr>
            <w:tcW w:w="187" w:type="pct"/>
            <w:tcBorders>
              <w:left w:val="single" w:sz="18" w:space="0" w:color="C00000"/>
              <w:bottom w:val="single" w:sz="18" w:space="0" w:color="C00000"/>
            </w:tcBorders>
            <w:shd w:val="clear" w:color="auto" w:fill="F2F2F2" w:themeFill="background1" w:themeFillShade="F2"/>
          </w:tcPr>
          <w:p w14:paraId="7CCBD1A6" w14:textId="77777777" w:rsidR="004A7B8E" w:rsidRPr="000F0299" w:rsidRDefault="004A7B8E" w:rsidP="000132F3">
            <w:pPr>
              <w:spacing w:before="60"/>
              <w:ind w:firstLine="0"/>
              <w:rPr>
                <w:sz w:val="16"/>
                <w:szCs w:val="16"/>
              </w:rPr>
            </w:pPr>
          </w:p>
        </w:tc>
        <w:tc>
          <w:tcPr>
            <w:tcW w:w="2594" w:type="pct"/>
            <w:tcBorders>
              <w:bottom w:val="single" w:sz="18" w:space="0" w:color="C00000"/>
            </w:tcBorders>
            <w:shd w:val="clear" w:color="auto" w:fill="F2F2F2" w:themeFill="background1" w:themeFillShade="F2"/>
          </w:tcPr>
          <w:p w14:paraId="3236D4ED" w14:textId="77777777" w:rsidR="004A7B8E" w:rsidRPr="000F0299" w:rsidRDefault="004A7B8E" w:rsidP="000132F3">
            <w:pPr>
              <w:spacing w:before="60"/>
              <w:ind w:firstLine="0"/>
              <w:rPr>
                <w:sz w:val="16"/>
                <w:szCs w:val="16"/>
              </w:rPr>
            </w:pPr>
          </w:p>
        </w:tc>
        <w:tc>
          <w:tcPr>
            <w:tcW w:w="1018" w:type="pct"/>
            <w:tcBorders>
              <w:bottom w:val="single" w:sz="18" w:space="0" w:color="C00000"/>
            </w:tcBorders>
            <w:shd w:val="clear" w:color="auto" w:fill="F2F2F2" w:themeFill="background1" w:themeFillShade="F2"/>
          </w:tcPr>
          <w:p w14:paraId="7C93593E" w14:textId="77777777" w:rsidR="004A7B8E" w:rsidRPr="000F0299" w:rsidRDefault="004A7B8E" w:rsidP="000132F3">
            <w:pPr>
              <w:spacing w:before="60"/>
              <w:ind w:firstLine="0"/>
              <w:rPr>
                <w:sz w:val="16"/>
                <w:szCs w:val="16"/>
              </w:rPr>
            </w:pPr>
          </w:p>
        </w:tc>
        <w:tc>
          <w:tcPr>
            <w:tcW w:w="1018" w:type="pct"/>
            <w:tcBorders>
              <w:bottom w:val="single" w:sz="18" w:space="0" w:color="C00000"/>
            </w:tcBorders>
            <w:shd w:val="clear" w:color="auto" w:fill="F2F2F2" w:themeFill="background1" w:themeFillShade="F2"/>
          </w:tcPr>
          <w:p w14:paraId="3BD394DD" w14:textId="77777777" w:rsidR="004A7B8E" w:rsidRPr="000F0299" w:rsidRDefault="004A7B8E" w:rsidP="000132F3">
            <w:pPr>
              <w:spacing w:before="60"/>
              <w:ind w:firstLine="0"/>
              <w:rPr>
                <w:sz w:val="16"/>
                <w:szCs w:val="16"/>
              </w:rPr>
            </w:pPr>
          </w:p>
        </w:tc>
        <w:tc>
          <w:tcPr>
            <w:tcW w:w="182" w:type="pct"/>
            <w:tcBorders>
              <w:bottom w:val="single" w:sz="18" w:space="0" w:color="C00000"/>
              <w:right w:val="single" w:sz="18" w:space="0" w:color="C00000"/>
            </w:tcBorders>
            <w:shd w:val="clear" w:color="auto" w:fill="F2F2F2" w:themeFill="background1" w:themeFillShade="F2"/>
          </w:tcPr>
          <w:p w14:paraId="3F02A725" w14:textId="77777777" w:rsidR="004A7B8E" w:rsidRPr="000F0299" w:rsidRDefault="004A7B8E" w:rsidP="000132F3">
            <w:pPr>
              <w:spacing w:before="60"/>
              <w:ind w:firstLine="0"/>
              <w:rPr>
                <w:sz w:val="16"/>
                <w:szCs w:val="16"/>
              </w:rPr>
            </w:pPr>
          </w:p>
        </w:tc>
      </w:tr>
    </w:tbl>
    <w:p w14:paraId="010713A7" w14:textId="494108A4" w:rsidR="0044238D" w:rsidRPr="000F0299" w:rsidRDefault="0044238D" w:rsidP="00244E7C">
      <w:r w:rsidRPr="000F0299">
        <w:t>Управљање јавним финансијама је од суштинског значаја за процес европских интеграција због повезаности са великим бројем преговарачких поглавља, од којих је већина отворена током преговарачког процеса</w:t>
      </w:r>
      <w:r w:rsidR="00B525EB">
        <w:t>.</w:t>
      </w:r>
      <w:r w:rsidRPr="000F0299">
        <w:t xml:space="preserve"> Са становишта праћења и имплементације Споразума о стабилизацији и придруживању, дискусију о реформи управљања јавним финансијама са Европском комисијом води специјална група за реформу јавне управе.</w:t>
      </w:r>
    </w:p>
    <w:p w14:paraId="0789A741" w14:textId="77777777" w:rsidR="0044238D" w:rsidRPr="000F0299" w:rsidRDefault="0044238D" w:rsidP="00244E7C">
      <w:r w:rsidRPr="000F0299">
        <w:t xml:space="preserve">Главни циљ ПРУЈФ је </w:t>
      </w:r>
      <w:bookmarkStart w:id="258" w:name="_Hlk55227456"/>
      <w:r w:rsidRPr="000F0299">
        <w:t xml:space="preserve">остваривање одрживог буџета са стабилним јавним дугом у односу на БДП уз помоћ бољег финансијског управљања и контроле, процеса ревизије и повезивања буџетског планирања са политикама и приоритетима Владе. </w:t>
      </w:r>
      <w:bookmarkEnd w:id="258"/>
      <w:r w:rsidRPr="000F0299">
        <w:t>Нови ПРУЈФ 2021–2025 предвиђа пет специфичних циљева који се односе на следеће области:</w:t>
      </w:r>
    </w:p>
    <w:p w14:paraId="46E21F93" w14:textId="3D9AEAD2" w:rsidR="0044238D" w:rsidRPr="000F0299" w:rsidRDefault="0044238D" w:rsidP="000132F3">
      <w:pPr>
        <w:spacing w:after="0"/>
        <w:rPr>
          <w:b/>
          <w:bCs/>
        </w:rPr>
      </w:pPr>
      <w:r w:rsidRPr="000F0299">
        <w:rPr>
          <w:b/>
          <w:bCs/>
        </w:rPr>
        <w:t>Програмско буџетирање, средњорочно планирање и планирање јавних инвестиција</w:t>
      </w:r>
    </w:p>
    <w:p w14:paraId="6BE22583" w14:textId="262163F6" w:rsidR="0044238D" w:rsidRPr="000F0299" w:rsidRDefault="0044238D" w:rsidP="00244E7C">
      <w:r w:rsidRPr="000F0299">
        <w:t>Увођење програмског буџетирања, започето 2015. године, је дугорочан процес који се унапређује из године у годину. ПРУЈФ 2021-2025 предвиђа даље унапређење процеса буџетског програмирања, са посебним нагласком на програмску структуру и извештавање о учинку буџетских програма засновано</w:t>
      </w:r>
      <w:r w:rsidR="00B525EB">
        <w:t>г</w:t>
      </w:r>
      <w:r w:rsidRPr="000F0299">
        <w:t xml:space="preserve"> на резултатима. Додатни напори ће бити усмерени ка унапређењу средњорочног планирања и пуној имплементацији Уредбе о управљању капиталним пројектима.</w:t>
      </w:r>
    </w:p>
    <w:p w14:paraId="5DC60DFF" w14:textId="77777777" w:rsidR="0044238D" w:rsidRPr="000F0299" w:rsidRDefault="0044238D" w:rsidP="000132F3">
      <w:pPr>
        <w:spacing w:after="0"/>
        <w:rPr>
          <w:b/>
          <w:bCs/>
        </w:rPr>
      </w:pPr>
      <w:r w:rsidRPr="000F0299">
        <w:rPr>
          <w:b/>
          <w:bCs/>
        </w:rPr>
        <w:t>Ефикасно и делотворно извршење буџета и извештавање</w:t>
      </w:r>
    </w:p>
    <w:p w14:paraId="1213CFC6" w14:textId="7C9C76A0" w:rsidR="0044238D" w:rsidRPr="000F0299" w:rsidRDefault="0044238D" w:rsidP="00244E7C">
      <w:r w:rsidRPr="000F0299">
        <w:t xml:space="preserve">У периоду 2016–2020. године значајан напредак је остварен у унапређењу процеса извршења буџета и извештавања. Пореска управа је наставила са имплементацијом Програма трансформације Пореске управе и Акционог плана за период 2018-2023. Наредни кораци имплементације обухватају редизајнирање пословних процеса и унапређење ИТ инфраструктуре. Управа царина ће наставити да се модернизује и јача капацитете у циљу усаглашавања са ЕУ регулативом и стандардима. У области управљања јавним дугом су остварени значајни резултати пре ескалације </w:t>
      </w:r>
      <w:r w:rsidRPr="000F0299">
        <w:rPr>
          <w:i/>
        </w:rPr>
        <w:t>COVID-19</w:t>
      </w:r>
      <w:r w:rsidRPr="000F0299">
        <w:t xml:space="preserve"> пандемије, а наставак реформи је предвиђен у периоду 2021–2025. године. Даљи кораци ће бити усмерени ка наставку израде методологије за анализу одрживости јавног дуга и нацрт регулативе за увођење система примарних дилера на тржишту хартија од вредности, уз сталну сарадњу са ММФ како би се максимизирали ефекти на развој тржишта ХоВ уз смањење ризика. </w:t>
      </w:r>
      <w:r w:rsidR="00B525EB">
        <w:t>Н</w:t>
      </w:r>
      <w:r w:rsidRPr="000F0299">
        <w:t>ајбитнији реформски кораци укључују унапређење портала јавних набавки. Даље рефор</w:t>
      </w:r>
      <w:r w:rsidR="00B525EB">
        <w:t>ме Управе за трезор обухватају ц</w:t>
      </w:r>
      <w:r w:rsidRPr="000F0299">
        <w:t xml:space="preserve">ертификацију рачуновођа у јавном сектору и унапређење примене </w:t>
      </w:r>
      <w:r w:rsidR="00B525EB" w:rsidRPr="00B525EB">
        <w:rPr>
          <w:i/>
          <w:lang w:val="sr-Latn-RS"/>
        </w:rPr>
        <w:t>IPSAS</w:t>
      </w:r>
      <w:r w:rsidRPr="000F0299">
        <w:t xml:space="preserve"> стандарда за готовинско рачуноводство.</w:t>
      </w:r>
    </w:p>
    <w:p w14:paraId="1D169422" w14:textId="77777777" w:rsidR="0044238D" w:rsidRPr="000F0299" w:rsidRDefault="0044238D" w:rsidP="000132F3">
      <w:pPr>
        <w:spacing w:after="0"/>
        <w:rPr>
          <w:b/>
          <w:bCs/>
        </w:rPr>
      </w:pPr>
      <w:r w:rsidRPr="000F0299">
        <w:rPr>
          <w:b/>
          <w:bCs/>
        </w:rPr>
        <w:t>Ефикасан и делотворан систем интерне финансијске контроле у јавном сектору</w:t>
      </w:r>
    </w:p>
    <w:p w14:paraId="063D8E7C" w14:textId="77777777" w:rsidR="0044238D" w:rsidRPr="000F0299" w:rsidRDefault="0044238D" w:rsidP="00244E7C">
      <w:r w:rsidRPr="000F0299">
        <w:t>У складу са консултацијама са Европском комисијом, целокупан систем интерне финансијске контроле ће бити интегрисан у једну област ПРУЈФ као специфични циљ 3. Додатно, управљачка одговорност ће бити обухваћена специфичним циљем 4 у оквиру РЈУ Стратегије.</w:t>
      </w:r>
    </w:p>
    <w:p w14:paraId="028FCC05" w14:textId="77777777" w:rsidR="0044238D" w:rsidRPr="000F0299" w:rsidRDefault="0044238D" w:rsidP="000132F3">
      <w:pPr>
        <w:spacing w:after="0"/>
        <w:rPr>
          <w:b/>
          <w:bCs/>
        </w:rPr>
      </w:pPr>
      <w:r w:rsidRPr="000F0299">
        <w:rPr>
          <w:b/>
          <w:bCs/>
        </w:rPr>
        <w:t>Ефикасна контрола јавних средстава</w:t>
      </w:r>
    </w:p>
    <w:p w14:paraId="61928C4B" w14:textId="79B684F2" w:rsidR="0044238D" w:rsidRPr="000F0299" w:rsidRDefault="0044238D" w:rsidP="00244E7C">
      <w:r w:rsidRPr="000F0299">
        <w:t xml:space="preserve">Предвиђено је да </w:t>
      </w:r>
      <w:r w:rsidR="00AA6340" w:rsidRPr="00AA6340">
        <w:t>Одељење за сузбијање неправилности и превара у поступању са средствима Европске уније</w:t>
      </w:r>
      <w:r w:rsidR="00AA6340">
        <w:t xml:space="preserve"> </w:t>
      </w:r>
      <w:r w:rsidRPr="000F0299">
        <w:t>креира нови документ јавних политика у области сузбијања нерегуларности и превара у вези за заштитом финансијских средстава ЕУ. Напори у циљу јачања капацитета буџетске инспекције и проширења делокруга њеног деловања ће бити настављени.</w:t>
      </w:r>
    </w:p>
    <w:p w14:paraId="4E1D0718" w14:textId="77777777" w:rsidR="0044238D" w:rsidRPr="000F0299" w:rsidRDefault="0044238D" w:rsidP="000132F3">
      <w:pPr>
        <w:spacing w:after="0"/>
        <w:rPr>
          <w:b/>
          <w:bCs/>
        </w:rPr>
      </w:pPr>
      <w:r w:rsidRPr="000F0299">
        <w:rPr>
          <w:b/>
          <w:bCs/>
        </w:rPr>
        <w:t>Екстерни надзор јавних финансија</w:t>
      </w:r>
    </w:p>
    <w:p w14:paraId="4AA5F923" w14:textId="5DD54E5C" w:rsidR="0044238D" w:rsidRPr="000F0299" w:rsidRDefault="0044238D" w:rsidP="00244E7C">
      <w:r w:rsidRPr="000F0299">
        <w:t>ДРИ ће наставити да имплементира свој стратешки план за период 2019–2023. године и спроводи ревизију коришћења јавних средстава у складу са програмом рада. У оквиру свог мандата, ДРИ ће присуствовати седницама Пододбора и Одбора Народне скупштине на којима ће презентовати извештаје о ревизији, и на којима ће у присуству представника ДРИ и субјеката ревизије бити разматране активности субјеката ревизије предузете у складу са налазима, закључцима и препорукама садржаним у извештају. Истоветну активност ће ДРИ спроводити и на седницама које се одржавају ван седишта Народне скупштине у јединицама локалне самоуправе, а којима присуствују представници ДРИ, локалне самоуправе и субјеката ревизије, уколико таква пракса буде настављена.</w:t>
      </w:r>
    </w:p>
    <w:p w14:paraId="5C539040" w14:textId="77777777" w:rsidR="0044238D" w:rsidRPr="000F0299" w:rsidRDefault="0044238D" w:rsidP="00244E7C">
      <w:pPr>
        <w:rPr>
          <w:lang w:eastAsia="de-DE"/>
        </w:rPr>
        <w:sectPr w:rsidR="0044238D" w:rsidRPr="000F0299" w:rsidSect="0068146C">
          <w:headerReference w:type="default" r:id="rId164"/>
          <w:footerReference w:type="default" r:id="rId165"/>
          <w:pgSz w:w="11906" w:h="16838"/>
          <w:pgMar w:top="1418" w:right="1418" w:bottom="1134" w:left="1418" w:header="709" w:footer="709" w:gutter="0"/>
          <w:cols w:space="708"/>
          <w:docGrid w:linePitch="360"/>
        </w:sectPr>
      </w:pPr>
    </w:p>
    <w:p w14:paraId="52C299AB" w14:textId="0854E649" w:rsidR="00CB1AD5" w:rsidRPr="000F0299" w:rsidRDefault="007C50C5" w:rsidP="00F247AF">
      <w:pPr>
        <w:pStyle w:val="Heading3"/>
        <w:rPr>
          <w:lang w:val="sr-Cyrl-RS"/>
        </w:rPr>
      </w:pPr>
      <w:bookmarkStart w:id="259" w:name="_Toc57661497"/>
      <w:r w:rsidRPr="000F0299">
        <w:rPr>
          <w:lang w:val="sr-Cyrl-RS"/>
        </w:rPr>
        <w:t>Правци деловања Програма реформе управљања јавним финансијама</w:t>
      </w:r>
      <w:bookmarkEnd w:id="259"/>
      <w:r w:rsidR="00627323" w:rsidRPr="000F0299">
        <w:rPr>
          <w:lang w:val="sr-Cyrl-RS"/>
        </w:rPr>
        <w:t xml:space="preserve"> </w:t>
      </w:r>
    </w:p>
    <w:p w14:paraId="23A5772B" w14:textId="26B587CC" w:rsidR="002B4D2B" w:rsidRPr="000F0299" w:rsidRDefault="002B4D2B" w:rsidP="00696BDB">
      <w:pPr>
        <w:tabs>
          <w:tab w:val="left" w:pos="2998"/>
        </w:tabs>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06880" behindDoc="0" locked="0" layoutInCell="1" allowOverlap="1" wp14:anchorId="76F0F79C" wp14:editId="319991E3">
                <wp:simplePos x="0" y="0"/>
                <wp:positionH relativeFrom="column">
                  <wp:posOffset>723900</wp:posOffset>
                </wp:positionH>
                <wp:positionV relativeFrom="paragraph">
                  <wp:posOffset>4697730</wp:posOffset>
                </wp:positionV>
                <wp:extent cx="241935" cy="0"/>
                <wp:effectExtent l="0" t="95250" r="0" b="95250"/>
                <wp:wrapNone/>
                <wp:docPr id="631" name="Straight Arrow Connector 631"/>
                <wp:cNvGraphicFramePr/>
                <a:graphic xmlns:a="http://schemas.openxmlformats.org/drawingml/2006/main">
                  <a:graphicData uri="http://schemas.microsoft.com/office/word/2010/wordprocessingShape">
                    <wps:wsp>
                      <wps:cNvCnPr/>
                      <wps:spPr>
                        <a:xfrm flipH="1">
                          <a:off x="0" y="0"/>
                          <a:ext cx="241935" cy="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E98A4" id="Straight Arrow Connector 631" o:spid="_x0000_s1026" type="#_x0000_t32" style="position:absolute;margin-left:57pt;margin-top:369.9pt;width:19.05pt;height:0;flip:x;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" strokecolor="#839dcc" strokeweight="2.25pt">
                <v:stroke endarrow="block" joinstyle="miter"/>
              </v:shape>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87424" behindDoc="0" locked="0" layoutInCell="1" allowOverlap="1" wp14:anchorId="6DA2CF9B" wp14:editId="6B7E7C9E">
                <wp:simplePos x="0" y="0"/>
                <wp:positionH relativeFrom="column">
                  <wp:posOffset>-497205</wp:posOffset>
                </wp:positionH>
                <wp:positionV relativeFrom="paragraph">
                  <wp:posOffset>1703705</wp:posOffset>
                </wp:positionV>
                <wp:extent cx="2656840" cy="1035424"/>
                <wp:effectExtent l="19050" t="19050" r="10160" b="12700"/>
                <wp:wrapNone/>
                <wp:docPr id="635" name="Text Box 635"/>
                <wp:cNvGraphicFramePr/>
                <a:graphic xmlns:a="http://schemas.openxmlformats.org/drawingml/2006/main">
                  <a:graphicData uri="http://schemas.microsoft.com/office/word/2010/wordprocessingShape">
                    <wps:wsp>
                      <wps:cNvSpPr txBox="1"/>
                      <wps:spPr>
                        <a:xfrm>
                          <a:off x="0" y="0"/>
                          <a:ext cx="2656840" cy="1035424"/>
                        </a:xfrm>
                        <a:prstGeom prst="roundRect">
                          <a:avLst/>
                        </a:prstGeom>
                        <a:solidFill>
                          <a:sysClr val="window" lastClr="FFFFFF"/>
                        </a:solidFill>
                        <a:ln w="38100" cmpd="dbl">
                          <a:solidFill>
                            <a:srgbClr val="6283BE"/>
                          </a:solidFill>
                        </a:ln>
                        <a:effectLst/>
                      </wps:spPr>
                      <wps:txbx>
                        <w:txbxContent>
                          <w:p w14:paraId="03C6381F" w14:textId="6C2B24BC" w:rsidR="00876FFE" w:rsidRPr="00696BDB" w:rsidRDefault="00876FFE" w:rsidP="00696BDB">
                            <w:pPr>
                              <w:spacing w:before="0"/>
                              <w:jc w:val="center"/>
                              <w:rPr>
                                <w:rFonts w:asciiTheme="minorHAnsi" w:hAnsiTheme="minorHAnsi" w:cstheme="minorHAnsi"/>
                                <w:lang w:val="uz-Cyrl-UZ"/>
                              </w:rPr>
                            </w:pPr>
                            <w:r w:rsidRPr="00696BDB">
                              <w:rPr>
                                <w:rFonts w:asciiTheme="minorHAnsi" w:hAnsiTheme="minorHAnsi" w:cstheme="minorHAnsi"/>
                                <w:lang w:val="sr"/>
                              </w:rPr>
                              <w:t xml:space="preserve">Унапређени капацитети за буџетско планирање и управљање јавним инвестицијама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A2CF9B" id="Text Box 635" o:spid="_x0000_s1376" style="position:absolute;left:0;text-align:left;margin-left:-39.15pt;margin-top:134.15pt;width:209.2pt;height:81.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" fillcolor="window" strokecolor="#6283be" strokeweight="3pt">
                <v:stroke linestyle="thinThin"/>
                <v:textbox inset="0,0,0,0">
                  <w:txbxContent>
                    <w:p w14:paraId="03C6381F" w14:textId="6C2B24BC" w:rsidR="00876FFE" w:rsidRPr="00696BDB" w:rsidRDefault="00876FFE" w:rsidP="00696BDB">
                      <w:pPr>
                        <w:spacing w:before="0"/>
                        <w:jc w:val="center"/>
                        <w:rPr>
                          <w:rFonts w:asciiTheme="minorHAnsi" w:hAnsiTheme="minorHAnsi" w:cstheme="minorHAnsi"/>
                          <w:lang w:val="uz-Cyrl-UZ"/>
                        </w:rPr>
                      </w:pPr>
                      <w:r w:rsidRPr="00696BDB">
                        <w:rPr>
                          <w:rFonts w:asciiTheme="minorHAnsi" w:hAnsiTheme="minorHAnsi" w:cstheme="minorHAnsi"/>
                          <w:lang w:val="sr"/>
                        </w:rPr>
                        <w:t xml:space="preserve">Унапређени капацитети за буџетско планирање и управљање јавним инвестицијама </w:t>
                      </w:r>
                    </w:p>
                  </w:txbxContent>
                </v:textbox>
              </v:roundrect>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14048" behindDoc="0" locked="0" layoutInCell="1" allowOverlap="1" wp14:anchorId="0E9BC2CA" wp14:editId="6E7F9A5A">
                <wp:simplePos x="0" y="0"/>
                <wp:positionH relativeFrom="column">
                  <wp:posOffset>10210800</wp:posOffset>
                </wp:positionH>
                <wp:positionV relativeFrom="paragraph">
                  <wp:posOffset>2754630</wp:posOffset>
                </wp:positionV>
                <wp:extent cx="0" cy="388620"/>
                <wp:effectExtent l="57150" t="38100" r="57150" b="11430"/>
                <wp:wrapNone/>
                <wp:docPr id="642" name="Straight Arrow Connector 642"/>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2D1AEA" id="Straight Arrow Connector 642" o:spid="_x0000_s1026" type="#_x0000_t32" style="position:absolute;margin-left:804pt;margin-top:216.9pt;width:0;height:30.6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" strokecolor="#839dcc" strokeweight="2.25pt">
                <v:stroke endarrow="block" joinstyle="miter"/>
              </v:shape>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85376" behindDoc="1" locked="0" layoutInCell="1" allowOverlap="1" wp14:anchorId="0EC057DD" wp14:editId="305170B2">
                <wp:simplePos x="0" y="0"/>
                <wp:positionH relativeFrom="column">
                  <wp:posOffset>-528955</wp:posOffset>
                </wp:positionH>
                <wp:positionV relativeFrom="paragraph">
                  <wp:posOffset>116877</wp:posOffset>
                </wp:positionV>
                <wp:extent cx="14269720" cy="1328420"/>
                <wp:effectExtent l="0" t="0" r="17780" b="24130"/>
                <wp:wrapNone/>
                <wp:docPr id="655" name="Rounded Rectangle 655"/>
                <wp:cNvGraphicFramePr/>
                <a:graphic xmlns:a="http://schemas.openxmlformats.org/drawingml/2006/main">
                  <a:graphicData uri="http://schemas.microsoft.com/office/word/2010/wordprocessingShape">
                    <wps:wsp>
                      <wps:cNvSpPr/>
                      <wps:spPr>
                        <a:xfrm>
                          <a:off x="0" y="0"/>
                          <a:ext cx="14269720" cy="1328420"/>
                        </a:xfrm>
                        <a:prstGeom prst="roundRect">
                          <a:avLst/>
                        </a:prstGeom>
                        <a:solidFill>
                          <a:srgbClr val="839DCC"/>
                        </a:solidFill>
                        <a:ln w="12700" cap="flat" cmpd="sng" algn="ctr">
                          <a:solidFill>
                            <a:srgbClr val="839DCC"/>
                          </a:solidFill>
                          <a:prstDash val="solid"/>
                          <a:miter lim="800000"/>
                        </a:ln>
                        <a:effectLst/>
                      </wps:spPr>
                      <wps:txbx>
                        <w:txbxContent>
                          <w:p w14:paraId="6663A6D8" w14:textId="77777777" w:rsidR="00876FFE" w:rsidRPr="00696BDB" w:rsidRDefault="00876FFE" w:rsidP="002B4D2B">
                            <w:pPr>
                              <w:spacing w:line="264" w:lineRule="auto"/>
                              <w:jc w:val="center"/>
                              <w:rPr>
                                <w:rFonts w:asciiTheme="minorHAnsi" w:hAnsiTheme="minorHAnsi" w:cstheme="minorHAnsi"/>
                                <w:b/>
                                <w:color w:val="FFFFFF" w:themeColor="background1"/>
                                <w:sz w:val="44"/>
                                <w:szCs w:val="44"/>
                                <w:lang w:val="en-US"/>
                              </w:rPr>
                            </w:pPr>
                            <w:r w:rsidRPr="00696BDB">
                              <w:rPr>
                                <w:rFonts w:asciiTheme="minorHAnsi" w:hAnsiTheme="minorHAnsi" w:cstheme="minorHAnsi"/>
                                <w:b/>
                                <w:color w:val="FFFFFF" w:themeColor="background1"/>
                                <w:sz w:val="44"/>
                                <w:szCs w:val="44"/>
                                <w:lang w:val="sr"/>
                              </w:rPr>
                              <w:t>О</w:t>
                            </w:r>
                            <w:r w:rsidRPr="00696BDB">
                              <w:rPr>
                                <w:rFonts w:asciiTheme="minorHAnsi" w:hAnsiTheme="minorHAnsi" w:cstheme="minorHAnsi"/>
                                <w:b/>
                                <w:color w:val="FFFFFF" w:themeColor="background1"/>
                                <w:sz w:val="44"/>
                                <w:szCs w:val="44"/>
                              </w:rPr>
                              <w:t xml:space="preserve">СТВАРИВАЊЕ ОДРЖИВОГ БУЏЕТА СА СТАБИЛНИМ ЈАВНИМ ДУГОМ У ОДНОСУ НА БДП УЗ ПОМОЋ БОЉЕГ ФИНАНСИЈСКОГ УПРАВЉАЊА И КОНТРОЛЕ, ПРОЦЕСА РЕВИЗИЈЕ И ПОВЕЗИВАЊA БУЏЕТСКОГ ПЛАНИРАЊА СА ПОЛИТИКАМА </w:t>
                            </w:r>
                            <w:r w:rsidRPr="00696BDB">
                              <w:rPr>
                                <w:rFonts w:asciiTheme="minorHAnsi" w:hAnsiTheme="minorHAnsi" w:cstheme="minorHAnsi"/>
                                <w:b/>
                                <w:color w:val="FFFFFF" w:themeColor="background1"/>
                                <w:sz w:val="44"/>
                                <w:szCs w:val="44"/>
                                <w:lang w:val="sr"/>
                              </w:rPr>
                              <w:t>И ПРИОРИТЕТИМА</w:t>
                            </w:r>
                            <w:r w:rsidRPr="00696BDB">
                              <w:rPr>
                                <w:rFonts w:asciiTheme="minorHAnsi" w:hAnsiTheme="minorHAnsi" w:cstheme="minorHAnsi"/>
                                <w:b/>
                                <w:color w:val="FFFFFF" w:themeColor="background1"/>
                                <w:sz w:val="44"/>
                                <w:szCs w:val="44"/>
                              </w:rPr>
                              <w:t xml:space="preserve"> ВЛАДЕ</w:t>
                            </w:r>
                          </w:p>
                          <w:p w14:paraId="1804A568" w14:textId="77777777" w:rsidR="00876FFE" w:rsidRPr="0015750E" w:rsidRDefault="00876FFE" w:rsidP="002B4D2B">
                            <w:pPr>
                              <w:spacing w:line="264" w:lineRule="auto"/>
                              <w:jc w:val="center"/>
                              <w:rPr>
                                <w:rFonts w:ascii="Verdana" w:hAnsi="Verdana"/>
                                <w:b/>
                                <w:color w:val="FFFFFF"/>
                                <w:sz w:val="36"/>
                                <w:szCs w:val="36"/>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C057DD" id="Rounded Rectangle 655" o:spid="_x0000_s1377" style="position:absolute;left:0;text-align:left;margin-left:-41.65pt;margin-top:9.2pt;width:1123.6pt;height:104.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" fillcolor="#839dcc" strokecolor="#839dcc" strokeweight="1pt">
                <v:stroke joinstyle="miter"/>
                <v:textbox inset="0,0,0,0">
                  <w:txbxContent>
                    <w:p w14:paraId="6663A6D8" w14:textId="77777777" w:rsidR="00876FFE" w:rsidRPr="00696BDB" w:rsidRDefault="00876FFE" w:rsidP="002B4D2B">
                      <w:pPr>
                        <w:spacing w:line="264" w:lineRule="auto"/>
                        <w:jc w:val="center"/>
                        <w:rPr>
                          <w:rFonts w:asciiTheme="minorHAnsi" w:hAnsiTheme="minorHAnsi" w:cstheme="minorHAnsi"/>
                          <w:b/>
                          <w:color w:val="FFFFFF" w:themeColor="background1"/>
                          <w:sz w:val="44"/>
                          <w:szCs w:val="44"/>
                          <w:lang w:val="en-US"/>
                        </w:rPr>
                      </w:pPr>
                      <w:r w:rsidRPr="00696BDB">
                        <w:rPr>
                          <w:rFonts w:asciiTheme="minorHAnsi" w:hAnsiTheme="minorHAnsi" w:cstheme="minorHAnsi"/>
                          <w:b/>
                          <w:color w:val="FFFFFF" w:themeColor="background1"/>
                          <w:sz w:val="44"/>
                          <w:szCs w:val="44"/>
                          <w:lang w:val="sr"/>
                        </w:rPr>
                        <w:t>О</w:t>
                      </w:r>
                      <w:r w:rsidRPr="00696BDB">
                        <w:rPr>
                          <w:rFonts w:asciiTheme="minorHAnsi" w:hAnsiTheme="minorHAnsi" w:cstheme="minorHAnsi"/>
                          <w:b/>
                          <w:color w:val="FFFFFF" w:themeColor="background1"/>
                          <w:sz w:val="44"/>
                          <w:szCs w:val="44"/>
                        </w:rPr>
                        <w:t xml:space="preserve">СТВАРИВАЊЕ ОДРЖИВОГ БУЏЕТА СА СТАБИЛНИМ ЈАВНИМ ДУГОМ У ОДНОСУ НА БДП УЗ ПОМОЋ БОЉЕГ ФИНАНСИЈСКОГ УПРАВЉАЊА И КОНТРОЛЕ, ПРОЦЕСА РЕВИЗИЈЕ И ПОВЕЗИВАЊA БУЏЕТСКОГ ПЛАНИРАЊА СА ПОЛИТИКАМА </w:t>
                      </w:r>
                      <w:r w:rsidRPr="00696BDB">
                        <w:rPr>
                          <w:rFonts w:asciiTheme="minorHAnsi" w:hAnsiTheme="minorHAnsi" w:cstheme="minorHAnsi"/>
                          <w:b/>
                          <w:color w:val="FFFFFF" w:themeColor="background1"/>
                          <w:sz w:val="44"/>
                          <w:szCs w:val="44"/>
                          <w:lang w:val="sr"/>
                        </w:rPr>
                        <w:t>И ПРИОРИТЕТИМА</w:t>
                      </w:r>
                      <w:r w:rsidRPr="00696BDB">
                        <w:rPr>
                          <w:rFonts w:asciiTheme="minorHAnsi" w:hAnsiTheme="minorHAnsi" w:cstheme="minorHAnsi"/>
                          <w:b/>
                          <w:color w:val="FFFFFF" w:themeColor="background1"/>
                          <w:sz w:val="44"/>
                          <w:szCs w:val="44"/>
                        </w:rPr>
                        <w:t xml:space="preserve"> ВЛАДЕ</w:t>
                      </w:r>
                    </w:p>
                    <w:p w14:paraId="1804A568" w14:textId="77777777" w:rsidR="00876FFE" w:rsidRPr="0015750E" w:rsidRDefault="00876FFE" w:rsidP="002B4D2B">
                      <w:pPr>
                        <w:spacing w:line="264" w:lineRule="auto"/>
                        <w:jc w:val="center"/>
                        <w:rPr>
                          <w:rFonts w:ascii="Verdana" w:hAnsi="Verdana"/>
                          <w:b/>
                          <w:color w:val="FFFFFF"/>
                          <w:sz w:val="36"/>
                          <w:szCs w:val="36"/>
                          <w:lang w:val="en-US"/>
                        </w:rPr>
                      </w:pPr>
                    </w:p>
                  </w:txbxContent>
                </v:textbox>
              </v:roundrect>
            </w:pict>
          </mc:Fallback>
        </mc:AlternateContent>
      </w:r>
      <w:r w:rsidRPr="000F0299">
        <w:rPr>
          <w:rFonts w:eastAsia="Times New Roman"/>
          <w:kern w:val="0"/>
          <w:sz w:val="20"/>
          <w:szCs w:val="20"/>
          <w:lang w:eastAsia="en-GB" w:bidi="ar-SA"/>
        </w:rPr>
        <w:tab/>
      </w:r>
    </w:p>
    <w:p w14:paraId="1DD97634"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3A986A9A"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043E7B41"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6C0B0FE7"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7F6DFFF5"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3A0161B3"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620DE811"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4A8CBE6C"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147224CE"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93568" behindDoc="0" locked="0" layoutInCell="1" allowOverlap="1" wp14:anchorId="49250335" wp14:editId="3F5D3C33">
                <wp:simplePos x="0" y="0"/>
                <wp:positionH relativeFrom="column">
                  <wp:posOffset>819785</wp:posOffset>
                </wp:positionH>
                <wp:positionV relativeFrom="paragraph">
                  <wp:posOffset>133350</wp:posOffset>
                </wp:positionV>
                <wp:extent cx="0" cy="255270"/>
                <wp:effectExtent l="57150" t="38100" r="57150" b="11430"/>
                <wp:wrapNone/>
                <wp:docPr id="636" name="Straight Arrow Connector 636"/>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03465D" id="Straight Arrow Connector 636" o:spid="_x0000_s1026" type="#_x0000_t32" style="position:absolute;margin-left:64.55pt;margin-top:10.5pt;width:0;height:20.1pt;flip:y;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" strokecolor="#839dcc" strokeweight="2.25pt">
                <v:stroke endarrow="block" joinstyle="miter"/>
              </v:shape>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94592" behindDoc="0" locked="0" layoutInCell="1" allowOverlap="1" wp14:anchorId="04153AC5" wp14:editId="76DB3AB4">
                <wp:simplePos x="0" y="0"/>
                <wp:positionH relativeFrom="column">
                  <wp:posOffset>3721100</wp:posOffset>
                </wp:positionH>
                <wp:positionV relativeFrom="paragraph">
                  <wp:posOffset>132715</wp:posOffset>
                </wp:positionV>
                <wp:extent cx="0" cy="241935"/>
                <wp:effectExtent l="57150" t="38100" r="57150" b="5715"/>
                <wp:wrapNone/>
                <wp:docPr id="637" name="Straight Arrow Connector 637"/>
                <wp:cNvGraphicFramePr/>
                <a:graphic xmlns:a="http://schemas.openxmlformats.org/drawingml/2006/main">
                  <a:graphicData uri="http://schemas.microsoft.com/office/word/2010/wordprocessingShape">
                    <wps:wsp>
                      <wps:cNvCnPr/>
                      <wps:spPr>
                        <a:xfrm flipV="1">
                          <a:off x="0" y="0"/>
                          <a:ext cx="0" cy="241935"/>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C53A27" id="Straight Arrow Connector 637" o:spid="_x0000_s1026" type="#_x0000_t32" style="position:absolute;margin-left:293pt;margin-top:10.45pt;width:0;height:19.0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" strokecolor="#839dcc" strokeweight="2.25pt">
                <v:stroke endarrow="block" joinstyle="miter"/>
              </v:shape>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91520" behindDoc="0" locked="0" layoutInCell="1" allowOverlap="1" wp14:anchorId="61E232FD" wp14:editId="536804D9">
                <wp:simplePos x="0" y="0"/>
                <wp:positionH relativeFrom="column">
                  <wp:posOffset>6629400</wp:posOffset>
                </wp:positionH>
                <wp:positionV relativeFrom="paragraph">
                  <wp:posOffset>132715</wp:posOffset>
                </wp:positionV>
                <wp:extent cx="0" cy="255270"/>
                <wp:effectExtent l="57150" t="38100" r="57150" b="11430"/>
                <wp:wrapNone/>
                <wp:docPr id="638" name="Straight Arrow Connector 638"/>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8F69C8" id="Straight Arrow Connector 638" o:spid="_x0000_s1026" type="#_x0000_t32" style="position:absolute;margin-left:522pt;margin-top:10.45pt;width:0;height:20.1pt;flip:y;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" strokecolor="#839dcc" strokeweight="2.25pt">
                <v:stroke endarrow="block" joinstyle="miter"/>
              </v:shape>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37600" behindDoc="0" locked="0" layoutInCell="1" allowOverlap="1" wp14:anchorId="3003AE69" wp14:editId="588EE39B">
                <wp:simplePos x="0" y="0"/>
                <wp:positionH relativeFrom="column">
                  <wp:posOffset>12750800</wp:posOffset>
                </wp:positionH>
                <wp:positionV relativeFrom="paragraph">
                  <wp:posOffset>132715</wp:posOffset>
                </wp:positionV>
                <wp:extent cx="0" cy="255270"/>
                <wp:effectExtent l="57150" t="38100" r="57150" b="11430"/>
                <wp:wrapNone/>
                <wp:docPr id="294" name="Straight Arrow Connector 294"/>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BA9E6B" id="Straight Arrow Connector 294" o:spid="_x0000_s1026" type="#_x0000_t32" style="position:absolute;margin-left:1004pt;margin-top:10.45pt;width:0;height:20.1pt;flip:y;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" strokecolor="#839dcc" strokeweight="2.25pt">
                <v:stroke endarrow="block" joinstyle="miter"/>
              </v:shape>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92544" behindDoc="0" locked="0" layoutInCell="1" allowOverlap="1" wp14:anchorId="6D8845AD" wp14:editId="7CBE84ED">
                <wp:simplePos x="0" y="0"/>
                <wp:positionH relativeFrom="column">
                  <wp:posOffset>10160000</wp:posOffset>
                </wp:positionH>
                <wp:positionV relativeFrom="paragraph">
                  <wp:posOffset>132715</wp:posOffset>
                </wp:positionV>
                <wp:extent cx="0" cy="255270"/>
                <wp:effectExtent l="57150" t="38100" r="57150" b="11430"/>
                <wp:wrapNone/>
                <wp:docPr id="639" name="Straight Arrow Connector 639"/>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F42F4C" id="Straight Arrow Connector 639" o:spid="_x0000_s1026" type="#_x0000_t32" style="position:absolute;margin-left:800pt;margin-top:10.45pt;width:0;height:20.1pt;flip:y;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" strokecolor="#839dcc" strokeweight="2.25pt">
                <v:stroke endarrow="block" joinstyle="miter"/>
              </v:shape>
            </w:pict>
          </mc:Fallback>
        </mc:AlternateContent>
      </w:r>
    </w:p>
    <w:p w14:paraId="79FAB811"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22745E16"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86400" behindDoc="0" locked="0" layoutInCell="1" allowOverlap="1" wp14:anchorId="5261CC4C" wp14:editId="33FE6D36">
                <wp:simplePos x="0" y="0"/>
                <wp:positionH relativeFrom="column">
                  <wp:posOffset>2368550</wp:posOffset>
                </wp:positionH>
                <wp:positionV relativeFrom="paragraph">
                  <wp:posOffset>88265</wp:posOffset>
                </wp:positionV>
                <wp:extent cx="2656840" cy="1035685"/>
                <wp:effectExtent l="19050" t="19050" r="10160" b="12065"/>
                <wp:wrapNone/>
                <wp:docPr id="650" name="Text Box 650"/>
                <wp:cNvGraphicFramePr/>
                <a:graphic xmlns:a="http://schemas.openxmlformats.org/drawingml/2006/main">
                  <a:graphicData uri="http://schemas.microsoft.com/office/word/2010/wordprocessingShape">
                    <wps:wsp>
                      <wps:cNvSpPr txBox="1"/>
                      <wps:spPr>
                        <a:xfrm>
                          <a:off x="0" y="0"/>
                          <a:ext cx="2656840" cy="1035685"/>
                        </a:xfrm>
                        <a:prstGeom prst="roundRect">
                          <a:avLst/>
                        </a:prstGeom>
                        <a:solidFill>
                          <a:sysClr val="window" lastClr="FFFFFF"/>
                        </a:solidFill>
                        <a:ln w="38100" cmpd="dbl">
                          <a:solidFill>
                            <a:srgbClr val="6283BE"/>
                          </a:solidFill>
                        </a:ln>
                        <a:effectLst/>
                      </wps:spPr>
                      <wps:txbx>
                        <w:txbxContent>
                          <w:p w14:paraId="0CA0FC88" w14:textId="4E2D3256" w:rsidR="00876FFE" w:rsidRPr="00696BDB" w:rsidRDefault="00876FFE" w:rsidP="00696BDB">
                            <w:pPr>
                              <w:spacing w:before="0"/>
                              <w:jc w:val="center"/>
                              <w:rPr>
                                <w:rFonts w:asciiTheme="minorHAnsi" w:hAnsiTheme="minorHAnsi" w:cstheme="minorHAnsi"/>
                                <w:lang w:val="en-US"/>
                              </w:rPr>
                            </w:pPr>
                            <w:r w:rsidRPr="00696BDB">
                              <w:rPr>
                                <w:rFonts w:asciiTheme="minorHAnsi" w:hAnsiTheme="minorHAnsi" w:cstheme="minorHAnsi"/>
                                <w:lang w:val="uz-Cyrl-UZ"/>
                              </w:rPr>
                              <w:t>Унапређена ефикасност и делотворност извршења буџета и извештавања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61CC4C" id="Text Box 650" o:spid="_x0000_s1378" style="position:absolute;left:0;text-align:left;margin-left:186.5pt;margin-top:6.95pt;width:209.2pt;height:81.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" fillcolor="window" strokecolor="#6283be" strokeweight="3pt">
                <v:stroke linestyle="thinThin"/>
                <v:textbox inset="0,0,0,0">
                  <w:txbxContent>
                    <w:p w14:paraId="0CA0FC88" w14:textId="4E2D3256" w:rsidR="00876FFE" w:rsidRPr="00696BDB" w:rsidRDefault="00876FFE" w:rsidP="00696BDB">
                      <w:pPr>
                        <w:spacing w:before="0"/>
                        <w:jc w:val="center"/>
                        <w:rPr>
                          <w:rFonts w:asciiTheme="minorHAnsi" w:hAnsiTheme="minorHAnsi" w:cstheme="minorHAnsi"/>
                          <w:lang w:val="en-US"/>
                        </w:rPr>
                      </w:pPr>
                      <w:r w:rsidRPr="00696BDB">
                        <w:rPr>
                          <w:rFonts w:asciiTheme="minorHAnsi" w:hAnsiTheme="minorHAnsi" w:cstheme="minorHAnsi"/>
                          <w:lang w:val="uz-Cyrl-UZ"/>
                        </w:rPr>
                        <w:t>Унапређена ефикасност и делотворност извршења буџета и извештавања</w:t>
                      </w:r>
                    </w:p>
                  </w:txbxContent>
                </v:textbox>
              </v:roundrect>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36576" behindDoc="0" locked="0" layoutInCell="1" allowOverlap="1" wp14:anchorId="249B68B7" wp14:editId="42B086DC">
                <wp:simplePos x="0" y="0"/>
                <wp:positionH relativeFrom="column">
                  <wp:posOffset>11322050</wp:posOffset>
                </wp:positionH>
                <wp:positionV relativeFrom="paragraph">
                  <wp:posOffset>100965</wp:posOffset>
                </wp:positionV>
                <wp:extent cx="2656840" cy="1037590"/>
                <wp:effectExtent l="19050" t="19050" r="10160" b="10160"/>
                <wp:wrapNone/>
                <wp:docPr id="295" name="Text Box 295"/>
                <wp:cNvGraphicFramePr/>
                <a:graphic xmlns:a="http://schemas.openxmlformats.org/drawingml/2006/main">
                  <a:graphicData uri="http://schemas.microsoft.com/office/word/2010/wordprocessingShape">
                    <wps:wsp>
                      <wps:cNvSpPr txBox="1"/>
                      <wps:spPr>
                        <a:xfrm>
                          <a:off x="0" y="0"/>
                          <a:ext cx="2656840" cy="1037590"/>
                        </a:xfrm>
                        <a:prstGeom prst="roundRect">
                          <a:avLst/>
                        </a:prstGeom>
                        <a:solidFill>
                          <a:sysClr val="window" lastClr="FFFFFF"/>
                        </a:solidFill>
                        <a:ln w="38100" cmpd="dbl">
                          <a:solidFill>
                            <a:srgbClr val="6283BE"/>
                          </a:solidFill>
                        </a:ln>
                        <a:effectLst/>
                      </wps:spPr>
                      <wps:txbx>
                        <w:txbxContent>
                          <w:p w14:paraId="1704974B" w14:textId="383A4D5D" w:rsidR="00876FFE" w:rsidRPr="00696BDB" w:rsidRDefault="00876FFE" w:rsidP="002B4D2B">
                            <w:pPr>
                              <w:jc w:val="center"/>
                              <w:rPr>
                                <w:rFonts w:asciiTheme="minorHAnsi" w:hAnsiTheme="minorHAnsi" w:cstheme="minorHAnsi"/>
                                <w:lang w:val="en-US"/>
                                <w14:textOutline w14:w="9525" w14:cap="rnd" w14:cmpd="thinThick" w14:algn="ctr">
                                  <w14:solidFill>
                                    <w14:srgbClr w14:val="219990"/>
                                  </w14:solidFill>
                                  <w14:prstDash w14:val="solid"/>
                                  <w14:bevel/>
                                </w14:textOutline>
                              </w:rPr>
                            </w:pPr>
                            <w:r w:rsidRPr="00696BDB">
                              <w:rPr>
                                <w:rFonts w:asciiTheme="minorHAnsi" w:hAnsiTheme="minorHAnsi" w:cstheme="minorHAnsi"/>
                                <w:lang w:val="uz-Cyrl-UZ"/>
                              </w:rPr>
                              <w:t>Делотворнија екстерна ревизија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49B68B7" id="Text Box 295" o:spid="_x0000_s1379" style="position:absolute;left:0;text-align:left;margin-left:891.5pt;margin-top:7.95pt;width:209.2pt;height:81.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" fillcolor="window" strokecolor="#6283be" strokeweight="3pt">
                <v:stroke linestyle="thinThin"/>
                <v:textbox inset="0,0,0,0">
                  <w:txbxContent>
                    <w:p w14:paraId="1704974B" w14:textId="383A4D5D" w:rsidR="00876FFE" w:rsidRPr="00696BDB" w:rsidRDefault="00876FFE" w:rsidP="002B4D2B">
                      <w:pPr>
                        <w:jc w:val="center"/>
                        <w:rPr>
                          <w:rFonts w:asciiTheme="minorHAnsi" w:hAnsiTheme="minorHAnsi" w:cstheme="minorHAnsi"/>
                          <w:lang w:val="en-US"/>
                          <w14:textOutline w14:w="9525" w14:cap="rnd" w14:cmpd="thinThick" w14:algn="ctr">
                            <w14:solidFill>
                              <w14:srgbClr w14:val="219990"/>
                            </w14:solidFill>
                            <w14:prstDash w14:val="solid"/>
                            <w14:bevel/>
                          </w14:textOutline>
                        </w:rPr>
                      </w:pPr>
                      <w:r w:rsidRPr="00696BDB">
                        <w:rPr>
                          <w:rFonts w:asciiTheme="minorHAnsi" w:hAnsiTheme="minorHAnsi" w:cstheme="minorHAnsi"/>
                          <w:lang w:val="uz-Cyrl-UZ"/>
                        </w:rPr>
                        <w:t xml:space="preserve">Делотворнија </w:t>
                      </w:r>
                      <w:r w:rsidRPr="00696BDB">
                        <w:rPr>
                          <w:rFonts w:asciiTheme="minorHAnsi" w:hAnsiTheme="minorHAnsi" w:cstheme="minorHAnsi"/>
                          <w:lang w:val="uz-Cyrl-UZ"/>
                        </w:rPr>
                        <w:t>екстерна ревизија</w:t>
                      </w:r>
                    </w:p>
                  </w:txbxContent>
                </v:textbox>
              </v:roundrect>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88448" behindDoc="0" locked="0" layoutInCell="1" allowOverlap="1" wp14:anchorId="02AF2B33" wp14:editId="09328263">
                <wp:simplePos x="0" y="0"/>
                <wp:positionH relativeFrom="column">
                  <wp:posOffset>8959850</wp:posOffset>
                </wp:positionH>
                <wp:positionV relativeFrom="paragraph">
                  <wp:posOffset>100965</wp:posOffset>
                </wp:positionV>
                <wp:extent cx="2257425" cy="1021715"/>
                <wp:effectExtent l="19050" t="19050" r="28575" b="26035"/>
                <wp:wrapNone/>
                <wp:docPr id="652" name="Text Box 652"/>
                <wp:cNvGraphicFramePr/>
                <a:graphic xmlns:a="http://schemas.openxmlformats.org/drawingml/2006/main">
                  <a:graphicData uri="http://schemas.microsoft.com/office/word/2010/wordprocessingShape">
                    <wps:wsp>
                      <wps:cNvSpPr txBox="1"/>
                      <wps:spPr>
                        <a:xfrm>
                          <a:off x="0" y="0"/>
                          <a:ext cx="2257425" cy="1021715"/>
                        </a:xfrm>
                        <a:prstGeom prst="roundRect">
                          <a:avLst/>
                        </a:prstGeom>
                        <a:solidFill>
                          <a:sysClr val="window" lastClr="FFFFFF"/>
                        </a:solidFill>
                        <a:ln w="38100" cmpd="dbl">
                          <a:solidFill>
                            <a:srgbClr val="6283BE"/>
                          </a:solidFill>
                        </a:ln>
                        <a:effectLst/>
                      </wps:spPr>
                      <wps:txbx>
                        <w:txbxContent>
                          <w:p w14:paraId="262CE054" w14:textId="77777777" w:rsidR="00876FFE" w:rsidRPr="00696BDB" w:rsidRDefault="00876FFE" w:rsidP="00696BDB">
                            <w:pPr>
                              <w:spacing w:before="0"/>
                              <w:jc w:val="center"/>
                              <w:rPr>
                                <w:rFonts w:asciiTheme="minorHAnsi" w:hAnsiTheme="minorHAnsi" w:cstheme="minorHAnsi"/>
                                <w:lang w:val="sr"/>
                                <w14:textOutline w14:w="9525" w14:cap="rnd" w14:cmpd="thinThick" w14:algn="ctr">
                                  <w14:solidFill>
                                    <w14:srgbClr w14:val="219990"/>
                                  </w14:solidFill>
                                  <w14:prstDash w14:val="solid"/>
                                  <w14:bevel/>
                                </w14:textOutline>
                              </w:rPr>
                            </w:pPr>
                            <w:r w:rsidRPr="00696BDB">
                              <w:rPr>
                                <w:rFonts w:asciiTheme="minorHAnsi" w:hAnsiTheme="minorHAnsi" w:cstheme="minorHAnsi"/>
                                <w:lang w:val="sr"/>
                              </w:rPr>
                              <w:t>Одговорно и транспарентно коришћење јавних средстава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AF2B33" id="Text Box 652" o:spid="_x0000_s1380" style="position:absolute;left:0;text-align:left;margin-left:705.5pt;margin-top:7.95pt;width:177.75pt;height:80.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" fillcolor="window" strokecolor="#6283be" strokeweight="3pt">
                <v:stroke linestyle="thinThin"/>
                <v:textbox inset="0,0,0,0">
                  <w:txbxContent>
                    <w:p w14:paraId="262CE054" w14:textId="77777777" w:rsidR="00876FFE" w:rsidRPr="00696BDB" w:rsidRDefault="00876FFE" w:rsidP="00696BDB">
                      <w:pPr>
                        <w:spacing w:before="0"/>
                        <w:jc w:val="center"/>
                        <w:rPr>
                          <w:rFonts w:asciiTheme="minorHAnsi" w:hAnsiTheme="minorHAnsi" w:cstheme="minorHAnsi"/>
                          <w:lang w:val="sr"/>
                          <w14:textOutline w14:w="9525" w14:cap="rnd" w14:cmpd="thinThick" w14:algn="ctr">
                            <w14:solidFill>
                              <w14:srgbClr w14:val="219990"/>
                            </w14:solidFill>
                            <w14:prstDash w14:val="solid"/>
                            <w14:bevel/>
                          </w14:textOutline>
                        </w:rPr>
                      </w:pPr>
                      <w:r w:rsidRPr="00696BDB">
                        <w:rPr>
                          <w:rFonts w:asciiTheme="minorHAnsi" w:hAnsiTheme="minorHAnsi" w:cstheme="minorHAnsi"/>
                          <w:lang w:val="sr"/>
                        </w:rPr>
                        <w:t>Одговорно и транспарентно коришћење јавних средстава</w:t>
                      </w:r>
                    </w:p>
                  </w:txbxContent>
                </v:textbox>
              </v:roundrect>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89472" behindDoc="0" locked="0" layoutInCell="1" allowOverlap="1" wp14:anchorId="7BE51AB9" wp14:editId="71C0C8FC">
                <wp:simplePos x="0" y="0"/>
                <wp:positionH relativeFrom="column">
                  <wp:posOffset>5149850</wp:posOffset>
                </wp:positionH>
                <wp:positionV relativeFrom="paragraph">
                  <wp:posOffset>100965</wp:posOffset>
                </wp:positionV>
                <wp:extent cx="3620770" cy="1021715"/>
                <wp:effectExtent l="19050" t="19050" r="17780" b="26035"/>
                <wp:wrapNone/>
                <wp:docPr id="653" name="Text Box 653"/>
                <wp:cNvGraphicFramePr/>
                <a:graphic xmlns:a="http://schemas.openxmlformats.org/drawingml/2006/main">
                  <a:graphicData uri="http://schemas.microsoft.com/office/word/2010/wordprocessingShape">
                    <wps:wsp>
                      <wps:cNvSpPr txBox="1"/>
                      <wps:spPr>
                        <a:xfrm>
                          <a:off x="0" y="0"/>
                          <a:ext cx="3620770" cy="1021715"/>
                        </a:xfrm>
                        <a:prstGeom prst="roundRect">
                          <a:avLst/>
                        </a:prstGeom>
                        <a:solidFill>
                          <a:sysClr val="window" lastClr="FFFFFF"/>
                        </a:solidFill>
                        <a:ln w="38100" cmpd="dbl">
                          <a:solidFill>
                            <a:srgbClr val="6283BE"/>
                          </a:solidFill>
                        </a:ln>
                        <a:effectLst/>
                      </wps:spPr>
                      <wps:txbx>
                        <w:txbxContent>
                          <w:p w14:paraId="7312D60F" w14:textId="288F7977" w:rsidR="00876FFE" w:rsidRPr="00696BDB" w:rsidRDefault="00876FFE" w:rsidP="00696BDB">
                            <w:pPr>
                              <w:spacing w:before="0"/>
                              <w:jc w:val="center"/>
                              <w:rPr>
                                <w:rFonts w:asciiTheme="minorHAnsi" w:hAnsiTheme="minorHAnsi" w:cstheme="minorHAnsi"/>
                                <w:lang w:val="sr"/>
                              </w:rPr>
                            </w:pPr>
                            <w:r w:rsidRPr="00696BDB">
                              <w:rPr>
                                <w:rFonts w:asciiTheme="minorHAnsi" w:hAnsiTheme="minorHAnsi" w:cstheme="minorHAnsi"/>
                                <w:lang w:val="sr"/>
                              </w:rPr>
                              <w:t xml:space="preserve">Унапређена посвећеност примени </w:t>
                            </w:r>
                            <w:r w:rsidRPr="00696BDB">
                              <w:rPr>
                                <w:rFonts w:asciiTheme="minorHAnsi" w:hAnsiTheme="minorHAnsi" w:cstheme="minorHAnsi"/>
                                <w:lang w:val="en-US"/>
                              </w:rPr>
                              <w:t xml:space="preserve">COSO </w:t>
                            </w:r>
                            <w:r w:rsidRPr="00696BDB">
                              <w:rPr>
                                <w:rFonts w:asciiTheme="minorHAnsi" w:hAnsiTheme="minorHAnsi" w:cstheme="minorHAnsi"/>
                                <w:lang w:val="sr"/>
                              </w:rPr>
                              <w:t xml:space="preserve">принципа у </w:t>
                            </w:r>
                            <w:r w:rsidRPr="00696BDB">
                              <w:rPr>
                                <w:rFonts w:asciiTheme="minorHAnsi" w:hAnsiTheme="minorHAnsi" w:cstheme="minorHAnsi"/>
                                <w:lang w:val="uz-Cyrl-UZ"/>
                              </w:rPr>
                              <w:t xml:space="preserve"> </w:t>
                            </w:r>
                            <w:r w:rsidRPr="00696BDB">
                              <w:rPr>
                                <w:rFonts w:asciiTheme="minorHAnsi" w:hAnsiTheme="minorHAnsi" w:cstheme="minorHAnsi"/>
                                <w:lang w:val="sr"/>
                              </w:rPr>
                              <w:t>јавном сектору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E51AB9" id="Text Box 653" o:spid="_x0000_s1381" style="position:absolute;left:0;text-align:left;margin-left:405.5pt;margin-top:7.95pt;width:285.1pt;height:80.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" fillcolor="window" strokecolor="#6283be" strokeweight="3pt">
                <v:stroke linestyle="thinThin"/>
                <v:textbox inset="0,0,0,0">
                  <w:txbxContent>
                    <w:p w14:paraId="7312D60F" w14:textId="288F7977" w:rsidR="00876FFE" w:rsidRPr="00696BDB" w:rsidRDefault="00876FFE" w:rsidP="00696BDB">
                      <w:pPr>
                        <w:spacing w:before="0"/>
                        <w:jc w:val="center"/>
                        <w:rPr>
                          <w:rFonts w:asciiTheme="minorHAnsi" w:hAnsiTheme="minorHAnsi" w:cstheme="minorHAnsi"/>
                          <w:lang w:val="sr"/>
                        </w:rPr>
                      </w:pPr>
                      <w:r w:rsidRPr="00696BDB">
                        <w:rPr>
                          <w:rFonts w:asciiTheme="minorHAnsi" w:hAnsiTheme="minorHAnsi" w:cstheme="minorHAnsi"/>
                          <w:lang w:val="sr"/>
                        </w:rPr>
                        <w:t xml:space="preserve">Унапређена </w:t>
                      </w:r>
                      <w:r w:rsidRPr="00696BDB">
                        <w:rPr>
                          <w:rFonts w:asciiTheme="minorHAnsi" w:hAnsiTheme="minorHAnsi" w:cstheme="minorHAnsi"/>
                          <w:lang w:val="sr"/>
                        </w:rPr>
                        <w:t xml:space="preserve">посвећеност примени </w:t>
                      </w:r>
                      <w:proofErr w:type="spellStart"/>
                      <w:r w:rsidRPr="00696BDB">
                        <w:rPr>
                          <w:rFonts w:asciiTheme="minorHAnsi" w:hAnsiTheme="minorHAnsi" w:cstheme="minorHAnsi"/>
                          <w:lang w:val="en-US"/>
                        </w:rPr>
                        <w:t>COSO</w:t>
                      </w:r>
                      <w:proofErr w:type="spellEnd"/>
                      <w:r w:rsidRPr="00696BDB">
                        <w:rPr>
                          <w:rFonts w:asciiTheme="minorHAnsi" w:hAnsiTheme="minorHAnsi" w:cstheme="minorHAnsi"/>
                          <w:lang w:val="en-US"/>
                        </w:rPr>
                        <w:t xml:space="preserve"> </w:t>
                      </w:r>
                      <w:r w:rsidRPr="00696BDB">
                        <w:rPr>
                          <w:rFonts w:asciiTheme="minorHAnsi" w:hAnsiTheme="minorHAnsi" w:cstheme="minorHAnsi"/>
                          <w:lang w:val="sr"/>
                        </w:rPr>
                        <w:t xml:space="preserve">принципа у </w:t>
                      </w:r>
                      <w:r w:rsidRPr="00696BDB">
                        <w:rPr>
                          <w:rFonts w:asciiTheme="minorHAnsi" w:hAnsiTheme="minorHAnsi" w:cstheme="minorHAnsi"/>
                          <w:lang w:val="uz-Cyrl-UZ"/>
                        </w:rPr>
                        <w:t xml:space="preserve"> </w:t>
                      </w:r>
                      <w:r w:rsidRPr="00696BDB">
                        <w:rPr>
                          <w:rFonts w:asciiTheme="minorHAnsi" w:hAnsiTheme="minorHAnsi" w:cstheme="minorHAnsi"/>
                          <w:lang w:val="sr"/>
                        </w:rPr>
                        <w:t>јавном сектору</w:t>
                      </w:r>
                    </w:p>
                  </w:txbxContent>
                </v:textbox>
              </v:roundrect>
            </w:pict>
          </mc:Fallback>
        </mc:AlternateContent>
      </w:r>
    </w:p>
    <w:p w14:paraId="654A39D9"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6B9A1B16"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120E125B"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40E2EE2C"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5CD7E1E7"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6102458A" w14:textId="77777777"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2F32AB2E" w14:textId="00A8E27D" w:rsidR="002B4D2B" w:rsidRPr="000F0299" w:rsidRDefault="004279F8"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43744" behindDoc="0" locked="0" layoutInCell="1" allowOverlap="1" wp14:anchorId="0F31C627" wp14:editId="0BEB4E28">
                <wp:simplePos x="0" y="0"/>
                <wp:positionH relativeFrom="column">
                  <wp:posOffset>12738100</wp:posOffset>
                </wp:positionH>
                <wp:positionV relativeFrom="paragraph">
                  <wp:posOffset>126365</wp:posOffset>
                </wp:positionV>
                <wp:extent cx="0" cy="838200"/>
                <wp:effectExtent l="57150" t="38100" r="57150" b="0"/>
                <wp:wrapNone/>
                <wp:docPr id="297" name="Straight Arrow Connector 297"/>
                <wp:cNvGraphicFramePr/>
                <a:graphic xmlns:a="http://schemas.openxmlformats.org/drawingml/2006/main">
                  <a:graphicData uri="http://schemas.microsoft.com/office/word/2010/wordprocessingShape">
                    <wps:wsp>
                      <wps:cNvCnPr/>
                      <wps:spPr>
                        <a:xfrm flipV="1">
                          <a:off x="0" y="0"/>
                          <a:ext cx="0" cy="83820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46262" id="Straight Arrow Connector 297" o:spid="_x0000_s1026" type="#_x0000_t32" style="position:absolute;margin-left:1003pt;margin-top:9.95pt;width:0;height:66pt;flip:y;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" strokecolor="#839dcc" strokeweight="2.25pt">
                <v:stroke endarrow="block" joinstyle="miter"/>
              </v:shape>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13024" behindDoc="0" locked="0" layoutInCell="1" allowOverlap="1" wp14:anchorId="17E92A93" wp14:editId="5D220981">
                <wp:simplePos x="0" y="0"/>
                <wp:positionH relativeFrom="column">
                  <wp:posOffset>8420100</wp:posOffset>
                </wp:positionH>
                <wp:positionV relativeFrom="paragraph">
                  <wp:posOffset>126365</wp:posOffset>
                </wp:positionV>
                <wp:extent cx="0" cy="388620"/>
                <wp:effectExtent l="57150" t="38100" r="57150" b="11430"/>
                <wp:wrapNone/>
                <wp:docPr id="643" name="Straight Arrow Connector 643"/>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BB97E1" id="Straight Arrow Connector 643" o:spid="_x0000_s1026" type="#_x0000_t32" style="position:absolute;margin-left:663pt;margin-top:9.95pt;width:0;height:30.6pt;flip:y;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" strokecolor="#839dcc" strokeweight="2.25pt">
                <v:stroke endarrow="block" joinstyle="miter"/>
              </v:shape>
            </w:pict>
          </mc:Fallback>
        </mc:AlternateContent>
      </w:r>
      <w:r w:rsidR="00BC2EBD"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35552" behindDoc="0" locked="0" layoutInCell="1" allowOverlap="1" wp14:anchorId="037F7AD8" wp14:editId="7DD383CF">
                <wp:simplePos x="0" y="0"/>
                <wp:positionH relativeFrom="column">
                  <wp:posOffset>3619500</wp:posOffset>
                </wp:positionH>
                <wp:positionV relativeFrom="paragraph">
                  <wp:posOffset>75565</wp:posOffset>
                </wp:positionV>
                <wp:extent cx="0" cy="3671570"/>
                <wp:effectExtent l="57150" t="38100" r="57150" b="5080"/>
                <wp:wrapNone/>
                <wp:docPr id="296" name="Straight Arrow Connector 296"/>
                <wp:cNvGraphicFramePr/>
                <a:graphic xmlns:a="http://schemas.openxmlformats.org/drawingml/2006/main">
                  <a:graphicData uri="http://schemas.microsoft.com/office/word/2010/wordprocessingShape">
                    <wps:wsp>
                      <wps:cNvCnPr/>
                      <wps:spPr>
                        <a:xfrm flipH="1" flipV="1">
                          <a:off x="0" y="0"/>
                          <a:ext cx="0" cy="367157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7CFE42" id="Straight Arrow Connector 296" o:spid="_x0000_s1026" type="#_x0000_t32" style="position:absolute;margin-left:285pt;margin-top:5.95pt;width:0;height:289.1pt;flip:x 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" strokecolor="#839dcc" strokeweight="2.25pt">
                <v:stroke endarrow="block" joinstyle="miter"/>
              </v:shape>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58080" behindDoc="0" locked="0" layoutInCell="1" allowOverlap="1" wp14:anchorId="51F33509" wp14:editId="36749642">
                <wp:simplePos x="0" y="0"/>
                <wp:positionH relativeFrom="column">
                  <wp:posOffset>736600</wp:posOffset>
                </wp:positionH>
                <wp:positionV relativeFrom="paragraph">
                  <wp:posOffset>100965</wp:posOffset>
                </wp:positionV>
                <wp:extent cx="0" cy="388882"/>
                <wp:effectExtent l="57150" t="38100" r="57150" b="11430"/>
                <wp:wrapNone/>
                <wp:docPr id="15" name="Straight Arrow Connector 15"/>
                <wp:cNvGraphicFramePr/>
                <a:graphic xmlns:a="http://schemas.openxmlformats.org/drawingml/2006/main">
                  <a:graphicData uri="http://schemas.microsoft.com/office/word/2010/wordprocessingShape">
                    <wps:wsp>
                      <wps:cNvCnPr/>
                      <wps:spPr>
                        <a:xfrm flipV="1">
                          <a:off x="0" y="0"/>
                          <a:ext cx="0" cy="388882"/>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ACF3B8" id="Straight Arrow Connector 15" o:spid="_x0000_s1026" type="#_x0000_t32" style="position:absolute;margin-left:58pt;margin-top:7.95pt;width:0;height:30.6pt;flip:y;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" strokecolor="#839dcc" strokeweight="2.25pt">
                <v:stroke endarrow="block" joinstyle="miter"/>
              </v:shape>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57056" behindDoc="0" locked="0" layoutInCell="1" allowOverlap="1" wp14:anchorId="7E28AD96" wp14:editId="31B537C5">
                <wp:simplePos x="0" y="0"/>
                <wp:positionH relativeFrom="column">
                  <wp:posOffset>4394200</wp:posOffset>
                </wp:positionH>
                <wp:positionV relativeFrom="paragraph">
                  <wp:posOffset>100965</wp:posOffset>
                </wp:positionV>
                <wp:extent cx="0" cy="388620"/>
                <wp:effectExtent l="57150" t="38100" r="57150" b="11430"/>
                <wp:wrapNone/>
                <wp:docPr id="16" name="Straight Arrow Connector 16"/>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A2C42C" id="Straight Arrow Connector 16" o:spid="_x0000_s1026" type="#_x0000_t32" style="position:absolute;margin-left:346pt;margin-top:7.95pt;width:0;height:30.6pt;flip:y;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" strokecolor="#839dcc" strokeweight="2.25pt">
                <v:stroke endarrow="block" joinstyle="miter"/>
              </v:shape>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56032" behindDoc="0" locked="0" layoutInCell="1" allowOverlap="1" wp14:anchorId="64DDD941" wp14:editId="10295996">
                <wp:simplePos x="0" y="0"/>
                <wp:positionH relativeFrom="column">
                  <wp:posOffset>3009900</wp:posOffset>
                </wp:positionH>
                <wp:positionV relativeFrom="paragraph">
                  <wp:posOffset>88265</wp:posOffset>
                </wp:positionV>
                <wp:extent cx="0" cy="388620"/>
                <wp:effectExtent l="57150" t="38100" r="57150" b="11430"/>
                <wp:wrapNone/>
                <wp:docPr id="17" name="Straight Arrow Connector 17"/>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230D61" id="Straight Arrow Connector 17" o:spid="_x0000_s1026" type="#_x0000_t32" style="position:absolute;margin-left:237pt;margin-top:6.95pt;width:0;height:30.6pt;flip:y;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" strokecolor="#839dcc" strokeweight="2.25pt">
                <v:stroke endarrow="block" joinstyle="miter"/>
              </v:shape>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55008" behindDoc="0" locked="0" layoutInCell="1" allowOverlap="1" wp14:anchorId="2F8EAAE6" wp14:editId="1D5E7AE1">
                <wp:simplePos x="0" y="0"/>
                <wp:positionH relativeFrom="column">
                  <wp:posOffset>5943600</wp:posOffset>
                </wp:positionH>
                <wp:positionV relativeFrom="paragraph">
                  <wp:posOffset>113665</wp:posOffset>
                </wp:positionV>
                <wp:extent cx="0" cy="388620"/>
                <wp:effectExtent l="57150" t="38100" r="57150" b="11430"/>
                <wp:wrapNone/>
                <wp:docPr id="18" name="Straight Arrow Connector 18"/>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E2C2AE" id="Straight Arrow Connector 18" o:spid="_x0000_s1026" type="#_x0000_t32" style="position:absolute;margin-left:468pt;margin-top:8.95pt;width:0;height:30.6pt;flip:y;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" strokecolor="#839dcc" strokeweight="2.25pt">
                <v:stroke endarrow="block" joinstyle="miter"/>
              </v:shape>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53984" behindDoc="0" locked="0" layoutInCell="1" allowOverlap="1" wp14:anchorId="014DE193" wp14:editId="4C9CC3BB">
                <wp:simplePos x="0" y="0"/>
                <wp:positionH relativeFrom="column">
                  <wp:posOffset>7251700</wp:posOffset>
                </wp:positionH>
                <wp:positionV relativeFrom="paragraph">
                  <wp:posOffset>100965</wp:posOffset>
                </wp:positionV>
                <wp:extent cx="0" cy="388620"/>
                <wp:effectExtent l="57150" t="38100" r="57150" b="11430"/>
                <wp:wrapNone/>
                <wp:docPr id="19" name="Straight Arrow Connector 19"/>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B2B3BC" id="Straight Arrow Connector 19" o:spid="_x0000_s1026" type="#_x0000_t32" style="position:absolute;margin-left:571pt;margin-top:7.95pt;width:0;height:30.6pt;flip:y;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" strokecolor="#839dcc" strokeweight="2.25pt">
                <v:stroke endarrow="block" joinstyle="miter"/>
              </v:shape>
            </w:pict>
          </mc:Fallback>
        </mc:AlternateContent>
      </w:r>
    </w:p>
    <w:p w14:paraId="45DDDAB4" w14:textId="30E58304"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6B1C00CE" w14:textId="53445D43" w:rsidR="002B4D2B" w:rsidRPr="000F0299" w:rsidRDefault="006865AE"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90496" behindDoc="0" locked="0" layoutInCell="1" allowOverlap="1" wp14:anchorId="496A6913" wp14:editId="350DCD67">
                <wp:simplePos x="0" y="0"/>
                <wp:positionH relativeFrom="column">
                  <wp:posOffset>-509270</wp:posOffset>
                </wp:positionH>
                <wp:positionV relativeFrom="paragraph">
                  <wp:posOffset>173355</wp:posOffset>
                </wp:positionV>
                <wp:extent cx="2656840" cy="655320"/>
                <wp:effectExtent l="0" t="0" r="10160" b="11430"/>
                <wp:wrapNone/>
                <wp:docPr id="604" name="Text Box 604"/>
                <wp:cNvGraphicFramePr/>
                <a:graphic xmlns:a="http://schemas.openxmlformats.org/drawingml/2006/main">
                  <a:graphicData uri="http://schemas.microsoft.com/office/word/2010/wordprocessingShape">
                    <wps:wsp>
                      <wps:cNvSpPr txBox="1"/>
                      <wps:spPr>
                        <a:xfrm>
                          <a:off x="0" y="0"/>
                          <a:ext cx="2656840" cy="655320"/>
                        </a:xfrm>
                        <a:prstGeom prst="roundRect">
                          <a:avLst/>
                        </a:prstGeom>
                        <a:solidFill>
                          <a:sysClr val="window" lastClr="FFFFFF"/>
                        </a:solidFill>
                        <a:ln w="19050">
                          <a:solidFill>
                            <a:srgbClr val="839DCC"/>
                          </a:solidFill>
                        </a:ln>
                        <a:effectLst/>
                      </wps:spPr>
                      <wps:txbx>
                        <w:txbxContent>
                          <w:p w14:paraId="3FB5838C" w14:textId="77777777" w:rsidR="00876FFE" w:rsidRPr="006865AE" w:rsidRDefault="00876FFE" w:rsidP="006865AE">
                            <w:pPr>
                              <w:spacing w:before="0"/>
                              <w:ind w:firstLine="0"/>
                              <w:jc w:val="center"/>
                              <w:rPr>
                                <w:rFonts w:asciiTheme="minorHAnsi" w:hAnsiTheme="minorHAnsi" w:cstheme="minorHAnsi"/>
                                <w:lang w:val="uz-Cyrl-UZ"/>
                              </w:rPr>
                            </w:pPr>
                            <w:r w:rsidRPr="006865AE">
                              <w:rPr>
                                <w:rFonts w:asciiTheme="minorHAnsi" w:hAnsiTheme="minorHAnsi" w:cstheme="minorHAnsi"/>
                                <w:lang w:val="uz-Cyrl-UZ"/>
                              </w:rPr>
                              <w:t>Јасан учинак буџетских програма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6A6913" id="Text Box 604" o:spid="_x0000_s1382" style="position:absolute;left:0;text-align:left;margin-left:-40.1pt;margin-top:13.65pt;width:209.2pt;height:5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" fillcolor="window" strokecolor="#839dcc" strokeweight="1.5pt">
                <v:textbox inset="0,0,0,0">
                  <w:txbxContent>
                    <w:p w14:paraId="3FB5838C" w14:textId="77777777" w:rsidR="00876FFE" w:rsidRPr="006865AE" w:rsidRDefault="00876FFE" w:rsidP="006865AE">
                      <w:pPr>
                        <w:spacing w:before="0"/>
                        <w:ind w:firstLine="0"/>
                        <w:jc w:val="center"/>
                        <w:rPr>
                          <w:rFonts w:asciiTheme="minorHAnsi" w:hAnsiTheme="minorHAnsi" w:cstheme="minorHAnsi"/>
                          <w:lang w:val="uz-Cyrl-UZ"/>
                        </w:rPr>
                      </w:pPr>
                      <w:r w:rsidRPr="006865AE">
                        <w:rPr>
                          <w:rFonts w:asciiTheme="minorHAnsi" w:hAnsiTheme="minorHAnsi" w:cstheme="minorHAnsi"/>
                          <w:lang w:val="uz-Cyrl-UZ"/>
                        </w:rPr>
                        <w:t>Јасан учинак буџетских програма</w:t>
                      </w:r>
                    </w:p>
                  </w:txbxContent>
                </v:textbox>
              </v:roundrect>
            </w:pict>
          </mc:Fallback>
        </mc:AlternateContent>
      </w:r>
    </w:p>
    <w:p w14:paraId="2C57E1BD" w14:textId="005A321F" w:rsidR="002B4D2B" w:rsidRPr="000F0299" w:rsidRDefault="004279F8"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20192" behindDoc="0" locked="0" layoutInCell="1" allowOverlap="1" wp14:anchorId="713AEB0A" wp14:editId="6D8DB48B">
                <wp:simplePos x="0" y="0"/>
                <wp:positionH relativeFrom="column">
                  <wp:posOffset>8128000</wp:posOffset>
                </wp:positionH>
                <wp:positionV relativeFrom="paragraph">
                  <wp:posOffset>31115</wp:posOffset>
                </wp:positionV>
                <wp:extent cx="1316990" cy="1778000"/>
                <wp:effectExtent l="0" t="0" r="16510" b="12700"/>
                <wp:wrapNone/>
                <wp:docPr id="407" name="Text Box 407"/>
                <wp:cNvGraphicFramePr/>
                <a:graphic xmlns:a="http://schemas.openxmlformats.org/drawingml/2006/main">
                  <a:graphicData uri="http://schemas.microsoft.com/office/word/2010/wordprocessingShape">
                    <wps:wsp>
                      <wps:cNvSpPr txBox="1"/>
                      <wps:spPr>
                        <a:xfrm>
                          <a:off x="0" y="0"/>
                          <a:ext cx="1316990" cy="1778000"/>
                        </a:xfrm>
                        <a:prstGeom prst="roundRect">
                          <a:avLst/>
                        </a:prstGeom>
                        <a:solidFill>
                          <a:sysClr val="window" lastClr="FFFFFF"/>
                        </a:solidFill>
                        <a:ln w="19050">
                          <a:solidFill>
                            <a:srgbClr val="839DCC"/>
                          </a:solidFill>
                        </a:ln>
                        <a:effectLst/>
                      </wps:spPr>
                      <wps:txbx>
                        <w:txbxContent>
                          <w:p w14:paraId="28D7AD8C" w14:textId="77777777" w:rsidR="00876FFE" w:rsidRPr="006865AE" w:rsidRDefault="00876FFE" w:rsidP="006865AE">
                            <w:pPr>
                              <w:spacing w:before="0"/>
                              <w:ind w:firstLine="0"/>
                              <w:jc w:val="center"/>
                              <w:rPr>
                                <w:rFonts w:asciiTheme="minorHAnsi" w:hAnsiTheme="minorHAnsi" w:cstheme="minorHAnsi"/>
                                <w:spacing w:val="-20"/>
                                <w:lang w:val="en-US"/>
                              </w:rPr>
                            </w:pPr>
                            <w:r w:rsidRPr="006865AE">
                              <w:rPr>
                                <w:rFonts w:asciiTheme="minorHAnsi" w:hAnsiTheme="minorHAnsi" w:cstheme="minorHAnsi"/>
                                <w:lang w:val="uz-Cyrl-UZ"/>
                              </w:rPr>
                              <w:t>Даља унапређења у процесу подизања свести, нивоа знања и успостављања добрих пракси у области ФУК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13AEB0A" id="Text Box 407" o:spid="_x0000_s1383" style="position:absolute;left:0;text-align:left;margin-left:640pt;margin-top:2.45pt;width:103.7pt;height:140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" fillcolor="window" strokecolor="#839dcc" strokeweight="1.5pt">
                <v:textbox inset="0,0,0,0">
                  <w:txbxContent>
                    <w:p w14:paraId="28D7AD8C" w14:textId="77777777" w:rsidR="00876FFE" w:rsidRPr="006865AE" w:rsidRDefault="00876FFE" w:rsidP="006865AE">
                      <w:pPr>
                        <w:spacing w:before="0"/>
                        <w:ind w:firstLine="0"/>
                        <w:jc w:val="center"/>
                        <w:rPr>
                          <w:rFonts w:asciiTheme="minorHAnsi" w:hAnsiTheme="minorHAnsi" w:cstheme="minorHAnsi"/>
                          <w:spacing w:val="-20"/>
                          <w:lang w:val="en-US"/>
                        </w:rPr>
                      </w:pPr>
                      <w:r w:rsidRPr="006865AE">
                        <w:rPr>
                          <w:rFonts w:asciiTheme="minorHAnsi" w:hAnsiTheme="minorHAnsi" w:cstheme="minorHAnsi"/>
                          <w:lang w:val="uz-Cyrl-UZ"/>
                        </w:rPr>
                        <w:t xml:space="preserve">Даља </w:t>
                      </w:r>
                      <w:r w:rsidRPr="006865AE">
                        <w:rPr>
                          <w:rFonts w:asciiTheme="minorHAnsi" w:hAnsiTheme="minorHAnsi" w:cstheme="minorHAnsi"/>
                          <w:lang w:val="uz-Cyrl-UZ"/>
                        </w:rPr>
                        <w:t>унапређења у процесу подизања свести, нивоа знања и успостављања добрих пракси у области ФУК</w:t>
                      </w:r>
                    </w:p>
                  </w:txbxContent>
                </v:textbox>
              </v:roundrect>
            </w:pict>
          </mc:Fallback>
        </mc:AlternateContent>
      </w:r>
      <w:r w:rsidR="00BC2EBD"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95616" behindDoc="0" locked="0" layoutInCell="1" allowOverlap="1" wp14:anchorId="26A3589E" wp14:editId="70542750">
                <wp:simplePos x="0" y="0"/>
                <wp:positionH relativeFrom="column">
                  <wp:posOffset>2298701</wp:posOffset>
                </wp:positionH>
                <wp:positionV relativeFrom="paragraph">
                  <wp:posOffset>31115</wp:posOffset>
                </wp:positionV>
                <wp:extent cx="1257300" cy="860425"/>
                <wp:effectExtent l="0" t="0" r="19050" b="15875"/>
                <wp:wrapNone/>
                <wp:docPr id="627" name="Text Box 627"/>
                <wp:cNvGraphicFramePr/>
                <a:graphic xmlns:a="http://schemas.openxmlformats.org/drawingml/2006/main">
                  <a:graphicData uri="http://schemas.microsoft.com/office/word/2010/wordprocessingShape">
                    <wps:wsp>
                      <wps:cNvSpPr txBox="1"/>
                      <wps:spPr>
                        <a:xfrm>
                          <a:off x="0" y="0"/>
                          <a:ext cx="1257300" cy="860425"/>
                        </a:xfrm>
                        <a:prstGeom prst="roundRect">
                          <a:avLst/>
                        </a:prstGeom>
                        <a:solidFill>
                          <a:sysClr val="window" lastClr="FFFFFF"/>
                        </a:solidFill>
                        <a:ln w="19050">
                          <a:solidFill>
                            <a:srgbClr val="839DCC"/>
                          </a:solidFill>
                        </a:ln>
                        <a:effectLst/>
                      </wps:spPr>
                      <wps:txbx>
                        <w:txbxContent>
                          <w:p w14:paraId="4854CDED" w14:textId="5EEA2FE8" w:rsidR="00876FFE" w:rsidRPr="006865AE" w:rsidRDefault="00876FFE" w:rsidP="006865AE">
                            <w:pPr>
                              <w:spacing w:before="0"/>
                              <w:ind w:firstLine="0"/>
                              <w:jc w:val="center"/>
                              <w:rPr>
                                <w:rFonts w:asciiTheme="minorHAnsi" w:hAnsiTheme="minorHAnsi" w:cstheme="minorHAnsi"/>
                                <w:lang w:val="uz-Cyrl-UZ"/>
                              </w:rPr>
                            </w:pPr>
                            <w:r w:rsidRPr="006865AE">
                              <w:rPr>
                                <w:rFonts w:asciiTheme="minorHAnsi" w:hAnsiTheme="minorHAnsi" w:cstheme="minorHAnsi"/>
                                <w:lang w:val="uz-Cyrl-UZ"/>
                              </w:rPr>
                              <w:t>Систем јавних набавки у потпуности развијен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6A3589E" id="Text Box 627" o:spid="_x0000_s1384" style="position:absolute;left:0;text-align:left;margin-left:181pt;margin-top:2.45pt;width:99pt;height:67.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" fillcolor="window" strokecolor="#839dcc" strokeweight="1.5pt">
                <v:textbox inset="0,0,0,0">
                  <w:txbxContent>
                    <w:p w14:paraId="4854CDED" w14:textId="5EEA2FE8" w:rsidR="00876FFE" w:rsidRPr="006865AE" w:rsidRDefault="00876FFE" w:rsidP="006865AE">
                      <w:pPr>
                        <w:spacing w:before="0"/>
                        <w:ind w:firstLine="0"/>
                        <w:jc w:val="center"/>
                        <w:rPr>
                          <w:rFonts w:asciiTheme="minorHAnsi" w:hAnsiTheme="minorHAnsi" w:cstheme="minorHAnsi"/>
                          <w:lang w:val="uz-Cyrl-UZ"/>
                        </w:rPr>
                      </w:pPr>
                      <w:r w:rsidRPr="006865AE">
                        <w:rPr>
                          <w:rFonts w:asciiTheme="minorHAnsi" w:hAnsiTheme="minorHAnsi" w:cstheme="minorHAnsi"/>
                          <w:lang w:val="uz-Cyrl-UZ"/>
                        </w:rPr>
                        <w:t xml:space="preserve">Систем </w:t>
                      </w:r>
                      <w:r w:rsidRPr="006865AE">
                        <w:rPr>
                          <w:rFonts w:asciiTheme="minorHAnsi" w:hAnsiTheme="minorHAnsi" w:cstheme="minorHAnsi"/>
                          <w:lang w:val="uz-Cyrl-UZ"/>
                        </w:rPr>
                        <w:t>јавних набавки у потпуности развијен</w:t>
                      </w:r>
                    </w:p>
                  </w:txbxContent>
                </v:textbox>
              </v:roundrect>
            </w:pict>
          </mc:Fallback>
        </mc:AlternateContent>
      </w:r>
      <w:r w:rsidR="00BC2EBD"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96640" behindDoc="0" locked="0" layoutInCell="1" allowOverlap="1" wp14:anchorId="50969778" wp14:editId="67751AC7">
                <wp:simplePos x="0" y="0"/>
                <wp:positionH relativeFrom="column">
                  <wp:posOffset>3733800</wp:posOffset>
                </wp:positionH>
                <wp:positionV relativeFrom="paragraph">
                  <wp:posOffset>31115</wp:posOffset>
                </wp:positionV>
                <wp:extent cx="1291590" cy="860425"/>
                <wp:effectExtent l="0" t="0" r="22860" b="15875"/>
                <wp:wrapNone/>
                <wp:docPr id="623" name="Text Box 623"/>
                <wp:cNvGraphicFramePr/>
                <a:graphic xmlns:a="http://schemas.openxmlformats.org/drawingml/2006/main">
                  <a:graphicData uri="http://schemas.microsoft.com/office/word/2010/wordprocessingShape">
                    <wps:wsp>
                      <wps:cNvSpPr txBox="1"/>
                      <wps:spPr>
                        <a:xfrm>
                          <a:off x="0" y="0"/>
                          <a:ext cx="1291590" cy="860425"/>
                        </a:xfrm>
                        <a:prstGeom prst="roundRect">
                          <a:avLst/>
                        </a:prstGeom>
                        <a:solidFill>
                          <a:sysClr val="window" lastClr="FFFFFF"/>
                        </a:solidFill>
                        <a:ln w="19050">
                          <a:solidFill>
                            <a:srgbClr val="839DCC"/>
                          </a:solidFill>
                        </a:ln>
                        <a:effectLst/>
                      </wps:spPr>
                      <wps:txbx>
                        <w:txbxContent>
                          <w:p w14:paraId="3E72773A" w14:textId="593CB624" w:rsidR="00876FFE" w:rsidRPr="006865AE" w:rsidRDefault="00876FFE" w:rsidP="006865AE">
                            <w:pPr>
                              <w:spacing w:before="0"/>
                              <w:ind w:firstLine="0"/>
                              <w:jc w:val="center"/>
                              <w:rPr>
                                <w:rFonts w:asciiTheme="minorHAnsi" w:hAnsiTheme="minorHAnsi" w:cstheme="minorHAnsi"/>
                                <w:lang w:val="en-US"/>
                              </w:rPr>
                            </w:pPr>
                            <w:r w:rsidRPr="006865AE">
                              <w:rPr>
                                <w:rFonts w:asciiTheme="minorHAnsi" w:hAnsiTheme="minorHAnsi" w:cstheme="minorHAnsi"/>
                                <w:lang w:val="sr"/>
                              </w:rPr>
                              <w:t xml:space="preserve">Oјачани процеси </w:t>
                            </w:r>
                            <w:r w:rsidRPr="006865AE">
                              <w:rPr>
                                <w:rFonts w:asciiTheme="minorHAnsi" w:hAnsiTheme="minorHAnsi" w:cstheme="minorHAnsi"/>
                                <w:spacing w:val="-10"/>
                                <w:lang w:val="sr"/>
                              </w:rPr>
                              <w:t>администрирања</w:t>
                            </w:r>
                            <w:r w:rsidRPr="006865AE">
                              <w:rPr>
                                <w:rFonts w:asciiTheme="minorHAnsi" w:hAnsiTheme="minorHAnsi" w:cstheme="minorHAnsi"/>
                                <w:lang w:val="sr"/>
                              </w:rPr>
                              <w:t xml:space="preserve"> јавних прихода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969778" id="Text Box 623" o:spid="_x0000_s1385" style="position:absolute;left:0;text-align:left;margin-left:294pt;margin-top:2.45pt;width:101.7pt;height:67.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" fillcolor="window" strokecolor="#839dcc" strokeweight="1.5pt">
                <v:textbox inset="0,0,0,0">
                  <w:txbxContent>
                    <w:p w14:paraId="3E72773A" w14:textId="593CB624" w:rsidR="00876FFE" w:rsidRPr="006865AE" w:rsidRDefault="00876FFE" w:rsidP="006865AE">
                      <w:pPr>
                        <w:spacing w:before="0"/>
                        <w:ind w:firstLine="0"/>
                        <w:jc w:val="center"/>
                        <w:rPr>
                          <w:rFonts w:asciiTheme="minorHAnsi" w:hAnsiTheme="minorHAnsi" w:cstheme="minorHAnsi"/>
                          <w:lang w:val="en-US"/>
                        </w:rPr>
                      </w:pPr>
                      <w:r w:rsidRPr="006865AE">
                        <w:rPr>
                          <w:rFonts w:asciiTheme="minorHAnsi" w:hAnsiTheme="minorHAnsi" w:cstheme="minorHAnsi"/>
                          <w:lang w:val="sr"/>
                        </w:rPr>
                        <w:t xml:space="preserve">Oјачани процеси </w:t>
                      </w:r>
                      <w:r w:rsidRPr="006865AE">
                        <w:rPr>
                          <w:rFonts w:asciiTheme="minorHAnsi" w:hAnsiTheme="minorHAnsi" w:cstheme="minorHAnsi"/>
                          <w:spacing w:val="-10"/>
                          <w:lang w:val="sr"/>
                        </w:rPr>
                        <w:t>администрирања</w:t>
                      </w:r>
                      <w:r w:rsidRPr="006865AE">
                        <w:rPr>
                          <w:rFonts w:asciiTheme="minorHAnsi" w:hAnsiTheme="minorHAnsi" w:cstheme="minorHAnsi"/>
                          <w:lang w:val="sr"/>
                        </w:rPr>
                        <w:t xml:space="preserve"> јавних прихода</w:t>
                      </w:r>
                    </w:p>
                  </w:txbxContent>
                </v:textbox>
              </v:roundrect>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39648" behindDoc="0" locked="0" layoutInCell="1" allowOverlap="1" wp14:anchorId="5FFA6435" wp14:editId="129121BB">
                <wp:simplePos x="0" y="0"/>
                <wp:positionH relativeFrom="column">
                  <wp:posOffset>12845667</wp:posOffset>
                </wp:positionH>
                <wp:positionV relativeFrom="paragraph">
                  <wp:posOffset>33976</wp:posOffset>
                </wp:positionV>
                <wp:extent cx="1243584" cy="1235684"/>
                <wp:effectExtent l="0" t="0" r="13970" b="22225"/>
                <wp:wrapNone/>
                <wp:docPr id="298" name="Text Box 298"/>
                <wp:cNvGraphicFramePr/>
                <a:graphic xmlns:a="http://schemas.openxmlformats.org/drawingml/2006/main">
                  <a:graphicData uri="http://schemas.microsoft.com/office/word/2010/wordprocessingShape">
                    <wps:wsp>
                      <wps:cNvSpPr txBox="1"/>
                      <wps:spPr>
                        <a:xfrm>
                          <a:off x="0" y="0"/>
                          <a:ext cx="1243584" cy="1235684"/>
                        </a:xfrm>
                        <a:prstGeom prst="roundRect">
                          <a:avLst/>
                        </a:prstGeom>
                        <a:solidFill>
                          <a:sysClr val="window" lastClr="FFFFFF"/>
                        </a:solidFill>
                        <a:ln w="19050">
                          <a:solidFill>
                            <a:srgbClr val="839DCC"/>
                          </a:solidFill>
                        </a:ln>
                        <a:effectLst/>
                      </wps:spPr>
                      <wps:txbx>
                        <w:txbxContent>
                          <w:p w14:paraId="34AAE5FA" w14:textId="77777777" w:rsidR="00876FFE" w:rsidRPr="006865AE" w:rsidRDefault="00876FFE" w:rsidP="006865AE">
                            <w:pPr>
                              <w:spacing w:before="0"/>
                              <w:ind w:firstLine="0"/>
                              <w:jc w:val="center"/>
                              <w:rPr>
                                <w:rFonts w:asciiTheme="minorHAnsi" w:hAnsiTheme="minorHAnsi" w:cstheme="minorHAnsi"/>
                              </w:rPr>
                            </w:pPr>
                            <w:r w:rsidRPr="006865AE">
                              <w:rPr>
                                <w:rFonts w:asciiTheme="minorHAnsi" w:hAnsiTheme="minorHAnsi" w:cstheme="minorHAnsi"/>
                              </w:rPr>
                              <w:t>Повећан утицај ДРИ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FA6435" id="Text Box 298" o:spid="_x0000_s1386" style="position:absolute;left:0;text-align:left;margin-left:1011.45pt;margin-top:2.7pt;width:97.9pt;height:97.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" fillcolor="window" strokecolor="#839dcc" strokeweight="1.5pt">
                <v:textbox inset="0,0,0,0">
                  <w:txbxContent>
                    <w:p w14:paraId="34AAE5FA" w14:textId="77777777" w:rsidR="00876FFE" w:rsidRPr="006865AE" w:rsidRDefault="00876FFE" w:rsidP="006865AE">
                      <w:pPr>
                        <w:spacing w:before="0"/>
                        <w:ind w:firstLine="0"/>
                        <w:jc w:val="center"/>
                        <w:rPr>
                          <w:rFonts w:asciiTheme="minorHAnsi" w:hAnsiTheme="minorHAnsi" w:cstheme="minorHAnsi"/>
                        </w:rPr>
                      </w:pPr>
                      <w:r w:rsidRPr="006865AE">
                        <w:rPr>
                          <w:rFonts w:asciiTheme="minorHAnsi" w:hAnsiTheme="minorHAnsi" w:cstheme="minorHAnsi"/>
                        </w:rPr>
                        <w:t>Повећан утицај ДРИ</w:t>
                      </w:r>
                    </w:p>
                  </w:txbxContent>
                </v:textbox>
              </v:roundrect>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38624" behindDoc="0" locked="0" layoutInCell="1" allowOverlap="1" wp14:anchorId="5F349EF6" wp14:editId="64C7C9D0">
                <wp:simplePos x="0" y="0"/>
                <wp:positionH relativeFrom="column">
                  <wp:posOffset>11149070</wp:posOffset>
                </wp:positionH>
                <wp:positionV relativeFrom="paragraph">
                  <wp:posOffset>33976</wp:posOffset>
                </wp:positionV>
                <wp:extent cx="1529080" cy="1244906"/>
                <wp:effectExtent l="0" t="0" r="13970" b="12700"/>
                <wp:wrapNone/>
                <wp:docPr id="299" name="Text Box 299"/>
                <wp:cNvGraphicFramePr/>
                <a:graphic xmlns:a="http://schemas.openxmlformats.org/drawingml/2006/main">
                  <a:graphicData uri="http://schemas.microsoft.com/office/word/2010/wordprocessingShape">
                    <wps:wsp>
                      <wps:cNvSpPr txBox="1"/>
                      <wps:spPr>
                        <a:xfrm>
                          <a:off x="0" y="0"/>
                          <a:ext cx="1529080" cy="1244906"/>
                        </a:xfrm>
                        <a:prstGeom prst="roundRect">
                          <a:avLst/>
                        </a:prstGeom>
                        <a:solidFill>
                          <a:sysClr val="window" lastClr="FFFFFF"/>
                        </a:solidFill>
                        <a:ln w="19050">
                          <a:solidFill>
                            <a:srgbClr val="839DCC"/>
                          </a:solidFill>
                        </a:ln>
                        <a:effectLst/>
                      </wps:spPr>
                      <wps:txbx>
                        <w:txbxContent>
                          <w:p w14:paraId="1B456A49" w14:textId="77777777" w:rsidR="00876FFE" w:rsidRPr="006865AE" w:rsidRDefault="00876FFE" w:rsidP="006865AE">
                            <w:pPr>
                              <w:spacing w:before="0"/>
                              <w:ind w:firstLine="0"/>
                              <w:jc w:val="center"/>
                              <w:rPr>
                                <w:rFonts w:asciiTheme="minorHAnsi" w:hAnsiTheme="minorHAnsi" w:cstheme="minorHAnsi"/>
                                <w:lang w:val="en-US"/>
                              </w:rPr>
                            </w:pPr>
                            <w:r w:rsidRPr="006865AE">
                              <w:rPr>
                                <w:rFonts w:asciiTheme="minorHAnsi" w:hAnsiTheme="minorHAnsi" w:cstheme="minorHAnsi"/>
                                <w:lang w:val="sr"/>
                              </w:rPr>
                              <w:t>Успостављено систематско праћење спровођења препорука ревизије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349EF6" id="Text Box 299" o:spid="_x0000_s1387" style="position:absolute;left:0;text-align:left;margin-left:877.9pt;margin-top:2.7pt;width:120.4pt;height:9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" fillcolor="window" strokecolor="#839dcc" strokeweight="1.5pt">
                <v:textbox inset="0,0,0,0">
                  <w:txbxContent>
                    <w:p w14:paraId="1B456A49" w14:textId="77777777" w:rsidR="00876FFE" w:rsidRPr="006865AE" w:rsidRDefault="00876FFE" w:rsidP="006865AE">
                      <w:pPr>
                        <w:spacing w:before="0"/>
                        <w:ind w:firstLine="0"/>
                        <w:jc w:val="center"/>
                        <w:rPr>
                          <w:rFonts w:asciiTheme="minorHAnsi" w:hAnsiTheme="minorHAnsi" w:cstheme="minorHAnsi"/>
                          <w:lang w:val="en-US"/>
                        </w:rPr>
                      </w:pPr>
                      <w:r w:rsidRPr="006865AE">
                        <w:rPr>
                          <w:rFonts w:asciiTheme="minorHAnsi" w:hAnsiTheme="minorHAnsi" w:cstheme="minorHAnsi"/>
                          <w:lang w:val="sr"/>
                        </w:rPr>
                        <w:t>Успостављено систематско праћење спровођења препорука ревизије</w:t>
                      </w:r>
                    </w:p>
                  </w:txbxContent>
                </v:textbox>
              </v:roundrect>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97664" behindDoc="0" locked="0" layoutInCell="1" allowOverlap="1" wp14:anchorId="5AB40FDC" wp14:editId="5F962A52">
                <wp:simplePos x="0" y="0"/>
                <wp:positionH relativeFrom="column">
                  <wp:posOffset>5448300</wp:posOffset>
                </wp:positionH>
                <wp:positionV relativeFrom="paragraph">
                  <wp:posOffset>27305</wp:posOffset>
                </wp:positionV>
                <wp:extent cx="1181100" cy="876300"/>
                <wp:effectExtent l="0" t="0" r="19050" b="19050"/>
                <wp:wrapNone/>
                <wp:docPr id="300" name="Text Box 300"/>
                <wp:cNvGraphicFramePr/>
                <a:graphic xmlns:a="http://schemas.openxmlformats.org/drawingml/2006/main">
                  <a:graphicData uri="http://schemas.microsoft.com/office/word/2010/wordprocessingShape">
                    <wps:wsp>
                      <wps:cNvSpPr txBox="1"/>
                      <wps:spPr>
                        <a:xfrm>
                          <a:off x="0" y="0"/>
                          <a:ext cx="1181100" cy="876300"/>
                        </a:xfrm>
                        <a:prstGeom prst="roundRect">
                          <a:avLst/>
                        </a:prstGeom>
                        <a:solidFill>
                          <a:sysClr val="window" lastClr="FFFFFF"/>
                        </a:solidFill>
                        <a:ln w="19050">
                          <a:solidFill>
                            <a:srgbClr val="839DCC"/>
                          </a:solidFill>
                        </a:ln>
                        <a:effectLst/>
                      </wps:spPr>
                      <wps:txbx>
                        <w:txbxContent>
                          <w:p w14:paraId="510B2A6A" w14:textId="77777777" w:rsidR="00876FFE" w:rsidRPr="00BC2EBD" w:rsidRDefault="00876FFE" w:rsidP="006865AE">
                            <w:pPr>
                              <w:spacing w:before="0"/>
                              <w:ind w:firstLine="0"/>
                              <w:jc w:val="center"/>
                              <w:rPr>
                                <w:rFonts w:asciiTheme="minorHAnsi" w:hAnsiTheme="minorHAnsi" w:cstheme="minorHAnsi"/>
                              </w:rPr>
                            </w:pPr>
                            <w:r w:rsidRPr="00BC2EBD">
                              <w:rPr>
                                <w:rFonts w:asciiTheme="minorHAnsi" w:hAnsiTheme="minorHAnsi" w:cstheme="minorHAnsi"/>
                              </w:rPr>
                              <w:t>Унапређен квалитет интерне ревизије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B40FDC" id="Text Box 300" o:spid="_x0000_s1388" style="position:absolute;left:0;text-align:left;margin-left:429pt;margin-top:2.15pt;width:93pt;height:6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" fillcolor="window" strokecolor="#839dcc" strokeweight="1.5pt">
                <v:textbox inset="0,0,0,0">
                  <w:txbxContent>
                    <w:p w14:paraId="510B2A6A" w14:textId="77777777" w:rsidR="00876FFE" w:rsidRPr="00BC2EBD" w:rsidRDefault="00876FFE" w:rsidP="006865AE">
                      <w:pPr>
                        <w:spacing w:before="0"/>
                        <w:ind w:firstLine="0"/>
                        <w:jc w:val="center"/>
                        <w:rPr>
                          <w:rFonts w:asciiTheme="minorHAnsi" w:hAnsiTheme="minorHAnsi" w:cstheme="minorHAnsi"/>
                        </w:rPr>
                      </w:pPr>
                      <w:r w:rsidRPr="00BC2EBD">
                        <w:rPr>
                          <w:rFonts w:asciiTheme="minorHAnsi" w:hAnsiTheme="minorHAnsi" w:cstheme="minorHAnsi"/>
                        </w:rPr>
                        <w:t>Унапређен квалитет интерне ревизије</w:t>
                      </w:r>
                    </w:p>
                  </w:txbxContent>
                </v:textbox>
              </v:roundrect>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15072" behindDoc="0" locked="0" layoutInCell="1" allowOverlap="1" wp14:anchorId="232D3D1A" wp14:editId="1EE26C00">
                <wp:simplePos x="0" y="0"/>
                <wp:positionH relativeFrom="column">
                  <wp:posOffset>9681845</wp:posOffset>
                </wp:positionH>
                <wp:positionV relativeFrom="paragraph">
                  <wp:posOffset>28575</wp:posOffset>
                </wp:positionV>
                <wp:extent cx="1181100" cy="1169035"/>
                <wp:effectExtent l="0" t="0" r="19050" b="12065"/>
                <wp:wrapNone/>
                <wp:docPr id="617" name="Text Box 617"/>
                <wp:cNvGraphicFramePr/>
                <a:graphic xmlns:a="http://schemas.openxmlformats.org/drawingml/2006/main">
                  <a:graphicData uri="http://schemas.microsoft.com/office/word/2010/wordprocessingShape">
                    <wps:wsp>
                      <wps:cNvSpPr txBox="1"/>
                      <wps:spPr>
                        <a:xfrm>
                          <a:off x="0" y="0"/>
                          <a:ext cx="1181100" cy="1169035"/>
                        </a:xfrm>
                        <a:prstGeom prst="roundRect">
                          <a:avLst/>
                        </a:prstGeom>
                        <a:solidFill>
                          <a:sysClr val="window" lastClr="FFFFFF"/>
                        </a:solidFill>
                        <a:ln w="19050">
                          <a:solidFill>
                            <a:srgbClr val="839DCC"/>
                          </a:solidFill>
                        </a:ln>
                        <a:effectLst/>
                      </wps:spPr>
                      <wps:txbx>
                        <w:txbxContent>
                          <w:p w14:paraId="711E0CA3" w14:textId="1408FEA0" w:rsidR="00876FFE" w:rsidRPr="004279F8" w:rsidRDefault="00876FFE" w:rsidP="006865AE">
                            <w:pPr>
                              <w:spacing w:before="0"/>
                              <w:ind w:firstLine="0"/>
                              <w:jc w:val="center"/>
                              <w:rPr>
                                <w:rFonts w:asciiTheme="minorHAnsi" w:hAnsiTheme="minorHAnsi" w:cstheme="minorHAnsi"/>
                                <w:lang w:val="uz-Cyrl-UZ"/>
                              </w:rPr>
                            </w:pPr>
                            <w:r w:rsidRPr="004279F8">
                              <w:rPr>
                                <w:rFonts w:asciiTheme="minorHAnsi" w:hAnsiTheme="minorHAnsi" w:cstheme="minorHAnsi"/>
                                <w:lang w:val="uz-Cyrl-UZ"/>
                              </w:rPr>
                              <w:t>Делотворни процес контроле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2D3D1A" id="Text Box 617" o:spid="_x0000_s1389" style="position:absolute;left:0;text-align:left;margin-left:762.35pt;margin-top:2.25pt;width:93pt;height:92.0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" fillcolor="window" strokecolor="#839dcc" strokeweight="1.5pt">
                <v:textbox inset="0,0,0,0">
                  <w:txbxContent>
                    <w:p w14:paraId="711E0CA3" w14:textId="1408FEA0" w:rsidR="00876FFE" w:rsidRPr="004279F8" w:rsidRDefault="00876FFE" w:rsidP="006865AE">
                      <w:pPr>
                        <w:spacing w:before="0"/>
                        <w:ind w:firstLine="0"/>
                        <w:jc w:val="center"/>
                        <w:rPr>
                          <w:rFonts w:asciiTheme="minorHAnsi" w:hAnsiTheme="minorHAnsi" w:cstheme="minorHAnsi"/>
                          <w:lang w:val="uz-Cyrl-UZ"/>
                        </w:rPr>
                      </w:pPr>
                      <w:r w:rsidRPr="004279F8">
                        <w:rPr>
                          <w:rFonts w:asciiTheme="minorHAnsi" w:hAnsiTheme="minorHAnsi" w:cstheme="minorHAnsi"/>
                          <w:lang w:val="uz-Cyrl-UZ"/>
                        </w:rPr>
                        <w:t>Делотворни процес контроле</w:t>
                      </w:r>
                    </w:p>
                  </w:txbxContent>
                </v:textbox>
              </v:roundrect>
            </w:pict>
          </mc:Fallback>
        </mc:AlternateContent>
      </w:r>
    </w:p>
    <w:p w14:paraId="427BCFB9" w14:textId="207ABEEE"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98688" behindDoc="0" locked="0" layoutInCell="1" allowOverlap="1" wp14:anchorId="4DDF3999" wp14:editId="6F55F82A">
                <wp:simplePos x="0" y="0"/>
                <wp:positionH relativeFrom="column">
                  <wp:posOffset>6781800</wp:posOffset>
                </wp:positionH>
                <wp:positionV relativeFrom="paragraph">
                  <wp:posOffset>-114935</wp:posOffset>
                </wp:positionV>
                <wp:extent cx="1110615" cy="879475"/>
                <wp:effectExtent l="0" t="0" r="13335" b="15875"/>
                <wp:wrapNone/>
                <wp:docPr id="610" name="Text Box 610"/>
                <wp:cNvGraphicFramePr/>
                <a:graphic xmlns:a="http://schemas.openxmlformats.org/drawingml/2006/main">
                  <a:graphicData uri="http://schemas.microsoft.com/office/word/2010/wordprocessingShape">
                    <wps:wsp>
                      <wps:cNvSpPr txBox="1"/>
                      <wps:spPr>
                        <a:xfrm>
                          <a:off x="0" y="0"/>
                          <a:ext cx="1110615" cy="879475"/>
                        </a:xfrm>
                        <a:prstGeom prst="roundRect">
                          <a:avLst/>
                        </a:prstGeom>
                        <a:solidFill>
                          <a:sysClr val="window" lastClr="FFFFFF"/>
                        </a:solidFill>
                        <a:ln w="19050">
                          <a:solidFill>
                            <a:srgbClr val="839DCC"/>
                          </a:solidFill>
                        </a:ln>
                        <a:effectLst/>
                      </wps:spPr>
                      <wps:txbx>
                        <w:txbxContent>
                          <w:p w14:paraId="75298FB9" w14:textId="77777777" w:rsidR="00876FFE" w:rsidRPr="00DB5379" w:rsidRDefault="00876FFE" w:rsidP="006865AE">
                            <w:pPr>
                              <w:spacing w:before="0"/>
                              <w:ind w:firstLine="0"/>
                              <w:jc w:val="center"/>
                              <w:rPr>
                                <w:rFonts w:asciiTheme="minorHAnsi" w:hAnsiTheme="minorHAnsi" w:cstheme="minorHAnsi"/>
                                <w:lang w:val="uz-Cyrl-UZ"/>
                              </w:rPr>
                            </w:pPr>
                            <w:r w:rsidRPr="00DB5379">
                              <w:rPr>
                                <w:rFonts w:asciiTheme="minorHAnsi" w:hAnsiTheme="minorHAnsi" w:cstheme="minorHAnsi"/>
                                <w:lang w:val="uz-Cyrl-UZ"/>
                              </w:rPr>
                              <w:t>Оптимизованопраћење у области ФУК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DF3999" id="Text Box 610" o:spid="_x0000_s1390" style="position:absolute;left:0;text-align:left;margin-left:534pt;margin-top:-9.05pt;width:87.45pt;height:6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" fillcolor="window" strokecolor="#839dcc" strokeweight="1.5pt">
                <v:textbox inset="0,0,0,0">
                  <w:txbxContent>
                    <w:p w14:paraId="75298FB9" w14:textId="77777777" w:rsidR="00876FFE" w:rsidRPr="00DB5379" w:rsidRDefault="00876FFE" w:rsidP="006865AE">
                      <w:pPr>
                        <w:spacing w:before="0"/>
                        <w:ind w:firstLine="0"/>
                        <w:jc w:val="center"/>
                        <w:rPr>
                          <w:rFonts w:asciiTheme="minorHAnsi" w:hAnsiTheme="minorHAnsi" w:cstheme="minorHAnsi"/>
                          <w:lang w:val="uz-Cyrl-UZ"/>
                        </w:rPr>
                      </w:pPr>
                      <w:r w:rsidRPr="00DB5379">
                        <w:rPr>
                          <w:rFonts w:asciiTheme="minorHAnsi" w:hAnsiTheme="minorHAnsi" w:cstheme="minorHAnsi"/>
                          <w:lang w:val="uz-Cyrl-UZ"/>
                        </w:rPr>
                        <w:t xml:space="preserve">Оптимизованопраћење </w:t>
                      </w:r>
                      <w:r w:rsidRPr="00DB5379">
                        <w:rPr>
                          <w:rFonts w:asciiTheme="minorHAnsi" w:hAnsiTheme="minorHAnsi" w:cstheme="minorHAnsi"/>
                          <w:lang w:val="uz-Cyrl-UZ"/>
                        </w:rPr>
                        <w:t>у области ФУК</w:t>
                      </w:r>
                    </w:p>
                  </w:txbxContent>
                </v:textbox>
              </v:roundrect>
            </w:pict>
          </mc:Fallback>
        </mc:AlternateContent>
      </w:r>
    </w:p>
    <w:p w14:paraId="22DCD1A9" w14:textId="2CB5BC68"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0C6417FD" w14:textId="5139D89A" w:rsidR="002B4D2B" w:rsidRPr="000F0299" w:rsidRDefault="004279F8"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42720" behindDoc="0" locked="0" layoutInCell="1" allowOverlap="1" wp14:anchorId="3FC2841D" wp14:editId="501E5DFD">
                <wp:simplePos x="0" y="0"/>
                <wp:positionH relativeFrom="column">
                  <wp:posOffset>12674600</wp:posOffset>
                </wp:positionH>
                <wp:positionV relativeFrom="paragraph">
                  <wp:posOffset>88265</wp:posOffset>
                </wp:positionV>
                <wp:extent cx="171450" cy="0"/>
                <wp:effectExtent l="0" t="19050" r="19050" b="19050"/>
                <wp:wrapNone/>
                <wp:docPr id="301" name="Straight Connector 301"/>
                <wp:cNvGraphicFramePr/>
                <a:graphic xmlns:a="http://schemas.openxmlformats.org/drawingml/2006/main">
                  <a:graphicData uri="http://schemas.microsoft.com/office/word/2010/wordprocessingShape">
                    <wps:wsp>
                      <wps:cNvCnPr/>
                      <wps:spPr>
                        <a:xfrm>
                          <a:off x="0" y="0"/>
                          <a:ext cx="171450" cy="0"/>
                        </a:xfrm>
                        <a:prstGeom prst="line">
                          <a:avLst/>
                        </a:prstGeom>
                        <a:noFill/>
                        <a:ln w="28575" cap="flat" cmpd="sng" algn="ctr">
                          <a:solidFill>
                            <a:srgbClr val="839DCC"/>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ED8CE0" id="Straight Connector 301" o:spid="_x0000_s1026" style="position:absolute;z-index:251742720;visibility:visible;mso-wrap-style:square;mso-wrap-distance-left:9pt;mso-wrap-distance-top:0;mso-wrap-distance-right:9pt;mso-wrap-distance-bottom:0;mso-position-horizontal:absolute;mso-position-horizontal-relative:text;mso-position-vertical:absolute;mso-position-vertical-relative:text" from="998pt,6.95pt" to="101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" strokecolor="#839dcc" strokeweight="2.25pt">
                <v:stroke joinstyle="miter"/>
              </v:line>
            </w:pict>
          </mc:Fallback>
        </mc:AlternateContent>
      </w:r>
      <w:r w:rsidR="00DB537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27360" behindDoc="0" locked="0" layoutInCell="1" allowOverlap="1" wp14:anchorId="331464C7" wp14:editId="3808A121">
                <wp:simplePos x="0" y="0"/>
                <wp:positionH relativeFrom="column">
                  <wp:posOffset>5205730</wp:posOffset>
                </wp:positionH>
                <wp:positionV relativeFrom="paragraph">
                  <wp:posOffset>158114</wp:posOffset>
                </wp:positionV>
                <wp:extent cx="229870" cy="314325"/>
                <wp:effectExtent l="19050" t="19050" r="36830" b="28575"/>
                <wp:wrapNone/>
                <wp:docPr id="302" name="Straight Connector 302"/>
                <wp:cNvGraphicFramePr/>
                <a:graphic xmlns:a="http://schemas.openxmlformats.org/drawingml/2006/main">
                  <a:graphicData uri="http://schemas.microsoft.com/office/word/2010/wordprocessingShape">
                    <wps:wsp>
                      <wps:cNvCnPr/>
                      <wps:spPr>
                        <a:xfrm flipV="1">
                          <a:off x="0" y="0"/>
                          <a:ext cx="229870" cy="314325"/>
                        </a:xfrm>
                        <a:prstGeom prst="line">
                          <a:avLst/>
                        </a:prstGeom>
                        <a:noFill/>
                        <a:ln w="28575" cap="flat" cmpd="sng" algn="ctr">
                          <a:solidFill>
                            <a:srgbClr val="839D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C61469" id="Straight Connector 302"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9pt,12.45pt" to="42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" strokecolor="#839dcc" strokeweight="2.25pt">
                <v:stroke joinstyle="miter"/>
              </v:line>
            </w:pict>
          </mc:Fallback>
        </mc:AlternateContent>
      </w:r>
    </w:p>
    <w:p w14:paraId="76F90558" w14:textId="065C7FA6" w:rsidR="002B4D2B" w:rsidRPr="000F0299" w:rsidRDefault="00F57B16"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61152" behindDoc="0" locked="0" layoutInCell="1" allowOverlap="1" wp14:anchorId="60348D2F" wp14:editId="3E1A503F">
                <wp:simplePos x="0" y="0"/>
                <wp:positionH relativeFrom="page">
                  <wp:posOffset>7620000</wp:posOffset>
                </wp:positionH>
                <wp:positionV relativeFrom="paragraph">
                  <wp:posOffset>37465</wp:posOffset>
                </wp:positionV>
                <wp:extent cx="45720" cy="158750"/>
                <wp:effectExtent l="19050" t="19050" r="30480" b="12700"/>
                <wp:wrapNone/>
                <wp:docPr id="646" name="Straight Connector 646"/>
                <wp:cNvGraphicFramePr/>
                <a:graphic xmlns:a="http://schemas.openxmlformats.org/drawingml/2006/main">
                  <a:graphicData uri="http://schemas.microsoft.com/office/word/2010/wordprocessingShape">
                    <wps:wsp>
                      <wps:cNvCnPr/>
                      <wps:spPr>
                        <a:xfrm flipV="1">
                          <a:off x="0" y="0"/>
                          <a:ext cx="45720" cy="158750"/>
                        </a:xfrm>
                        <a:prstGeom prst="line">
                          <a:avLst/>
                        </a:prstGeom>
                        <a:noFill/>
                        <a:ln w="28575" cap="flat" cmpd="sng" algn="ctr">
                          <a:solidFill>
                            <a:srgbClr val="839D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5C57B3" id="Straight Connector 646" o:spid="_x0000_s1026" style="position:absolute;flip:y;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00pt,2.95pt" to="603.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" strokecolor="#839dcc" strokeweight="2.25pt">
                <v:stroke joinstyle="miter"/>
                <w10:wrap anchorx="page"/>
              </v:line>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05856" behindDoc="0" locked="0" layoutInCell="1" allowOverlap="1" wp14:anchorId="23225780" wp14:editId="128551E3">
                <wp:simplePos x="0" y="0"/>
                <wp:positionH relativeFrom="column">
                  <wp:posOffset>88900</wp:posOffset>
                </wp:positionH>
                <wp:positionV relativeFrom="paragraph">
                  <wp:posOffset>132715</wp:posOffset>
                </wp:positionV>
                <wp:extent cx="0" cy="335915"/>
                <wp:effectExtent l="57150" t="38100" r="57150" b="6985"/>
                <wp:wrapNone/>
                <wp:docPr id="632" name="Straight Arrow Connector 632"/>
                <wp:cNvGraphicFramePr/>
                <a:graphic xmlns:a="http://schemas.openxmlformats.org/drawingml/2006/main">
                  <a:graphicData uri="http://schemas.microsoft.com/office/word/2010/wordprocessingShape">
                    <wps:wsp>
                      <wps:cNvCnPr/>
                      <wps:spPr>
                        <a:xfrm flipV="1">
                          <a:off x="0" y="0"/>
                          <a:ext cx="0" cy="335915"/>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2BBF54" id="Straight Arrow Connector 632" o:spid="_x0000_s1026" type="#_x0000_t32" style="position:absolute;margin-left:7pt;margin-top:10.45pt;width:0;height:26.45pt;flip:y;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" strokecolor="#839dcc" strokeweight="2.25pt">
                <v:stroke endarrow="block" joinstyle="miter"/>
              </v:shape>
            </w:pict>
          </mc:Fallback>
        </mc:AlternateContent>
      </w:r>
    </w:p>
    <w:p w14:paraId="4A4F0943" w14:textId="1544360F" w:rsidR="002B4D2B" w:rsidRPr="000F0299" w:rsidRDefault="00DB5379"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50912" behindDoc="0" locked="0" layoutInCell="1" allowOverlap="1" wp14:anchorId="14472626" wp14:editId="1FA33281">
                <wp:simplePos x="0" y="0"/>
                <wp:positionH relativeFrom="column">
                  <wp:posOffset>6705600</wp:posOffset>
                </wp:positionH>
                <wp:positionV relativeFrom="paragraph">
                  <wp:posOffset>62865</wp:posOffset>
                </wp:positionV>
                <wp:extent cx="0" cy="2653030"/>
                <wp:effectExtent l="19050" t="0" r="19050" b="33020"/>
                <wp:wrapNone/>
                <wp:docPr id="21" name="Straight Connector 21"/>
                <wp:cNvGraphicFramePr/>
                <a:graphic xmlns:a="http://schemas.openxmlformats.org/drawingml/2006/main">
                  <a:graphicData uri="http://schemas.microsoft.com/office/word/2010/wordprocessingShape">
                    <wps:wsp>
                      <wps:cNvCnPr/>
                      <wps:spPr>
                        <a:xfrm>
                          <a:off x="0" y="0"/>
                          <a:ext cx="0" cy="2653030"/>
                        </a:xfrm>
                        <a:prstGeom prst="line">
                          <a:avLst/>
                        </a:prstGeom>
                        <a:noFill/>
                        <a:ln w="28575" cap="flat" cmpd="sng" algn="ctr">
                          <a:solidFill>
                            <a:srgbClr val="839DCC"/>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94C7D8" id="Straight Connector 21" o:spid="_x0000_s1026" style="position:absolute;z-index:251750912;visibility:visible;mso-wrap-style:square;mso-wrap-distance-left:9pt;mso-wrap-distance-top:0;mso-wrap-distance-right:9pt;mso-wrap-distance-bottom:0;mso-position-horizontal:absolute;mso-position-horizontal-relative:text;mso-position-vertical:absolute;mso-position-vertical-relative:text" from="528pt,4.95pt" to="528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" strokecolor="#839dcc" strokeweight="2.25pt">
                <v:stroke joinstyle="miter"/>
              </v:line>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10976" behindDoc="0" locked="0" layoutInCell="1" allowOverlap="1" wp14:anchorId="14DE5BC8" wp14:editId="52D54BD0">
                <wp:simplePos x="0" y="0"/>
                <wp:positionH relativeFrom="column">
                  <wp:posOffset>2997200</wp:posOffset>
                </wp:positionH>
                <wp:positionV relativeFrom="paragraph">
                  <wp:posOffset>145415</wp:posOffset>
                </wp:positionV>
                <wp:extent cx="0" cy="362585"/>
                <wp:effectExtent l="57150" t="38100" r="57150" b="18415"/>
                <wp:wrapNone/>
                <wp:docPr id="626" name="Straight Arrow Connector 626"/>
                <wp:cNvGraphicFramePr/>
                <a:graphic xmlns:a="http://schemas.openxmlformats.org/drawingml/2006/main">
                  <a:graphicData uri="http://schemas.microsoft.com/office/word/2010/wordprocessingShape">
                    <wps:wsp>
                      <wps:cNvCnPr/>
                      <wps:spPr>
                        <a:xfrm flipV="1">
                          <a:off x="0" y="0"/>
                          <a:ext cx="0" cy="362585"/>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05B7C" id="Straight Arrow Connector 626" o:spid="_x0000_s1026" type="#_x0000_t32" style="position:absolute;margin-left:236pt;margin-top:11.45pt;width:0;height:28.55pt;flip:y;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" strokecolor="#839dcc" strokeweight="2.25pt">
                <v:stroke endarrow="block" joinstyle="miter"/>
              </v:shape>
            </w:pict>
          </mc:Fallback>
        </mc:AlternateContent>
      </w:r>
    </w:p>
    <w:p w14:paraId="552338C3" w14:textId="335841F6" w:rsidR="002B4D2B" w:rsidRPr="000F0299" w:rsidRDefault="00975737" w:rsidP="00975737">
      <w:pPr>
        <w:tabs>
          <w:tab w:val="left" w:pos="16302"/>
        </w:tabs>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30432" behindDoc="0" locked="0" layoutInCell="1" allowOverlap="1" wp14:anchorId="77563258" wp14:editId="5BCA594E">
                <wp:simplePos x="0" y="0"/>
                <wp:positionH relativeFrom="column">
                  <wp:posOffset>7734300</wp:posOffset>
                </wp:positionH>
                <wp:positionV relativeFrom="paragraph">
                  <wp:posOffset>31115</wp:posOffset>
                </wp:positionV>
                <wp:extent cx="468000" cy="1080000"/>
                <wp:effectExtent l="19050" t="19050" r="46355" b="44450"/>
                <wp:wrapNone/>
                <wp:docPr id="303" name="Straight Arrow Connector 303"/>
                <wp:cNvGraphicFramePr/>
                <a:graphic xmlns:a="http://schemas.openxmlformats.org/drawingml/2006/main">
                  <a:graphicData uri="http://schemas.microsoft.com/office/word/2010/wordprocessingShape">
                    <wps:wsp>
                      <wps:cNvCnPr/>
                      <wps:spPr>
                        <a:xfrm>
                          <a:off x="0" y="0"/>
                          <a:ext cx="468000" cy="108000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49C77C" id="Straight Arrow Connector 303" o:spid="_x0000_s1026" type="#_x0000_t32" style="position:absolute;margin-left:609pt;margin-top:2.45pt;width:36.85pt;height:85.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" strokecolor="#839dcc" strokeweight="2.25pt">
                <v:stroke endarrow="block" joinstyle="miter"/>
              </v:shape>
            </w:pict>
          </mc:Fallback>
        </mc:AlternateContent>
      </w:r>
      <w:r w:rsidR="004279F8"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62176" behindDoc="0" locked="0" layoutInCell="1" allowOverlap="1" wp14:anchorId="76F131B7" wp14:editId="7CD0F101">
                <wp:simplePos x="0" y="0"/>
                <wp:positionH relativeFrom="page">
                  <wp:posOffset>8870950</wp:posOffset>
                </wp:positionH>
                <wp:positionV relativeFrom="paragraph">
                  <wp:posOffset>113665</wp:posOffset>
                </wp:positionV>
                <wp:extent cx="180000" cy="158750"/>
                <wp:effectExtent l="19050" t="19050" r="29845" b="31750"/>
                <wp:wrapNone/>
                <wp:docPr id="647" name="Straight Connector 647"/>
                <wp:cNvGraphicFramePr/>
                <a:graphic xmlns:a="http://schemas.openxmlformats.org/drawingml/2006/main">
                  <a:graphicData uri="http://schemas.microsoft.com/office/word/2010/wordprocessingShape">
                    <wps:wsp>
                      <wps:cNvCnPr/>
                      <wps:spPr>
                        <a:xfrm flipV="1">
                          <a:off x="0" y="0"/>
                          <a:ext cx="180000" cy="158750"/>
                        </a:xfrm>
                        <a:prstGeom prst="line">
                          <a:avLst/>
                        </a:prstGeom>
                        <a:noFill/>
                        <a:ln w="28575" cap="flat" cmpd="sng" algn="ctr">
                          <a:solidFill>
                            <a:srgbClr val="839D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4B9C48" id="Straight Connector 647" o:spid="_x0000_s1026" style="position:absolute;flip:y;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98.5pt,8.95pt" to="712.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" strokecolor="#839dcc" strokeweight="2.25pt">
                <v:stroke joinstyle="miter"/>
                <w10:wrap anchorx="page"/>
              </v:line>
            </w:pict>
          </mc:Fallback>
        </mc:AlternateContent>
      </w:r>
      <w:r w:rsidR="00DB537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26336" behindDoc="0" locked="0" layoutInCell="1" allowOverlap="1" wp14:anchorId="41CD42C8" wp14:editId="76BAB43D">
                <wp:simplePos x="0" y="0"/>
                <wp:positionH relativeFrom="column">
                  <wp:posOffset>5181600</wp:posOffset>
                </wp:positionH>
                <wp:positionV relativeFrom="paragraph">
                  <wp:posOffset>12065</wp:posOffset>
                </wp:positionV>
                <wp:extent cx="24130" cy="4140000"/>
                <wp:effectExtent l="19050" t="19050" r="33020" b="32385"/>
                <wp:wrapNone/>
                <wp:docPr id="794" name="Straight Connector 794"/>
                <wp:cNvGraphicFramePr/>
                <a:graphic xmlns:a="http://schemas.openxmlformats.org/drawingml/2006/main">
                  <a:graphicData uri="http://schemas.microsoft.com/office/word/2010/wordprocessingShape">
                    <wps:wsp>
                      <wps:cNvCnPr/>
                      <wps:spPr>
                        <a:xfrm flipH="1">
                          <a:off x="0" y="0"/>
                          <a:ext cx="24130" cy="4140000"/>
                        </a:xfrm>
                        <a:prstGeom prst="line">
                          <a:avLst/>
                        </a:prstGeom>
                        <a:noFill/>
                        <a:ln w="28575" cap="flat" cmpd="sng" algn="ctr">
                          <a:solidFill>
                            <a:srgbClr val="839D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A8CBFD" id="Straight Connector 794"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95pt" to="409.9pt,3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" strokecolor="#839dcc" strokeweight="2.25pt">
                <v:stroke joinstyle="miter"/>
              </v:line>
            </w:pict>
          </mc:Fallback>
        </mc:AlternateContent>
      </w:r>
      <w:r w:rsidR="006865AE"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02784" behindDoc="0" locked="0" layoutInCell="1" allowOverlap="1" wp14:anchorId="0C9D3AA1" wp14:editId="73A1722E">
                <wp:simplePos x="0" y="0"/>
                <wp:positionH relativeFrom="column">
                  <wp:posOffset>-508000</wp:posOffset>
                </wp:positionH>
                <wp:positionV relativeFrom="paragraph">
                  <wp:posOffset>183515</wp:posOffset>
                </wp:positionV>
                <wp:extent cx="1250315" cy="1066800"/>
                <wp:effectExtent l="0" t="0" r="26035" b="19050"/>
                <wp:wrapNone/>
                <wp:docPr id="633" name="Text Box 633"/>
                <wp:cNvGraphicFramePr/>
                <a:graphic xmlns:a="http://schemas.openxmlformats.org/drawingml/2006/main">
                  <a:graphicData uri="http://schemas.microsoft.com/office/word/2010/wordprocessingShape">
                    <wps:wsp>
                      <wps:cNvSpPr txBox="1"/>
                      <wps:spPr>
                        <a:xfrm>
                          <a:off x="0" y="0"/>
                          <a:ext cx="1250315" cy="1066800"/>
                        </a:xfrm>
                        <a:prstGeom prst="roundRect">
                          <a:avLst/>
                        </a:prstGeom>
                        <a:solidFill>
                          <a:sysClr val="window" lastClr="FFFFFF"/>
                        </a:solidFill>
                        <a:ln w="19050">
                          <a:solidFill>
                            <a:srgbClr val="839DCC"/>
                          </a:solidFill>
                        </a:ln>
                        <a:effectLst/>
                      </wps:spPr>
                      <wps:txbx>
                        <w:txbxContent>
                          <w:p w14:paraId="567BB16E" w14:textId="6D28A72A" w:rsidR="00876FFE" w:rsidRPr="006865AE" w:rsidRDefault="00876FFE" w:rsidP="006865AE">
                            <w:pPr>
                              <w:spacing w:before="0"/>
                              <w:ind w:firstLine="0"/>
                              <w:jc w:val="center"/>
                              <w:rPr>
                                <w:rFonts w:asciiTheme="minorHAnsi" w:hAnsiTheme="minorHAnsi" w:cstheme="minorHAnsi"/>
                                <w:lang w:val="uz-Cyrl-UZ"/>
                              </w:rPr>
                            </w:pPr>
                            <w:r w:rsidRPr="006865AE">
                              <w:rPr>
                                <w:rFonts w:asciiTheme="minorHAnsi" w:hAnsiTheme="minorHAnsi" w:cstheme="minorHAnsi"/>
                                <w:lang w:val="uz-Cyrl-UZ"/>
                              </w:rPr>
                              <w:t>Адекватно праћење и извештавање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C9D3AA1" id="Text Box 633" o:spid="_x0000_s1391" style="position:absolute;left:0;text-align:left;margin-left:-40pt;margin-top:14.45pt;width:98.45pt;height:8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" fillcolor="window" strokecolor="#839dcc" strokeweight="1.5pt">
                <v:textbox inset="0,0,0,0">
                  <w:txbxContent>
                    <w:p w14:paraId="567BB16E" w14:textId="6D28A72A" w:rsidR="00876FFE" w:rsidRPr="006865AE" w:rsidRDefault="00876FFE" w:rsidP="006865AE">
                      <w:pPr>
                        <w:spacing w:before="0"/>
                        <w:ind w:firstLine="0"/>
                        <w:jc w:val="center"/>
                        <w:rPr>
                          <w:rFonts w:asciiTheme="minorHAnsi" w:hAnsiTheme="minorHAnsi" w:cstheme="minorHAnsi"/>
                          <w:lang w:val="uz-Cyrl-UZ"/>
                        </w:rPr>
                      </w:pPr>
                      <w:r w:rsidRPr="006865AE">
                        <w:rPr>
                          <w:rFonts w:asciiTheme="minorHAnsi" w:hAnsiTheme="minorHAnsi" w:cstheme="minorHAnsi"/>
                          <w:lang w:val="uz-Cyrl-UZ"/>
                        </w:rPr>
                        <w:t xml:space="preserve">Адекватно </w:t>
                      </w:r>
                      <w:r w:rsidRPr="006865AE">
                        <w:rPr>
                          <w:rFonts w:asciiTheme="minorHAnsi" w:hAnsiTheme="minorHAnsi" w:cstheme="minorHAnsi"/>
                          <w:lang w:val="uz-Cyrl-UZ"/>
                        </w:rPr>
                        <w:t>праћење и извештавање</w:t>
                      </w:r>
                    </w:p>
                  </w:txbxContent>
                </v:textbox>
              </v:roundrect>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12000" behindDoc="0" locked="0" layoutInCell="1" allowOverlap="1" wp14:anchorId="799BE3BF" wp14:editId="13A64FD1">
                <wp:simplePos x="0" y="0"/>
                <wp:positionH relativeFrom="column">
                  <wp:posOffset>4432300</wp:posOffset>
                </wp:positionH>
                <wp:positionV relativeFrom="paragraph">
                  <wp:posOffset>18415</wp:posOffset>
                </wp:positionV>
                <wp:extent cx="0" cy="339090"/>
                <wp:effectExtent l="57150" t="38100" r="57150" b="3810"/>
                <wp:wrapNone/>
                <wp:docPr id="622" name="Straight Arrow Connector 622"/>
                <wp:cNvGraphicFramePr/>
                <a:graphic xmlns:a="http://schemas.openxmlformats.org/drawingml/2006/main">
                  <a:graphicData uri="http://schemas.microsoft.com/office/word/2010/wordprocessingShape">
                    <wps:wsp>
                      <wps:cNvCnPr/>
                      <wps:spPr>
                        <a:xfrm flipV="1">
                          <a:off x="0" y="0"/>
                          <a:ext cx="0" cy="339090"/>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9B980" id="Straight Arrow Connector 622" o:spid="_x0000_s1026" type="#_x0000_t32" style="position:absolute;margin-left:349pt;margin-top:1.45pt;width:0;height:26.7pt;flip:y;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" strokecolor="#839dcc" strokeweight="2.25pt">
                <v:stroke endarrow="block" joinstyle="miter"/>
              </v:shape>
            </w:pict>
          </mc:Fallback>
        </mc:AlternateContent>
      </w:r>
    </w:p>
    <w:p w14:paraId="4345807C" w14:textId="1C5D7B30" w:rsidR="002B4D2B" w:rsidRPr="000F0299" w:rsidRDefault="00BC2EBD" w:rsidP="00696BDB">
      <w:pPr>
        <w:tabs>
          <w:tab w:val="left" w:pos="12282"/>
        </w:tabs>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17120" behindDoc="0" locked="0" layoutInCell="1" allowOverlap="1" wp14:anchorId="1ABE1F64" wp14:editId="6E50B733">
                <wp:simplePos x="0" y="0"/>
                <wp:positionH relativeFrom="column">
                  <wp:posOffset>5397501</wp:posOffset>
                </wp:positionH>
                <wp:positionV relativeFrom="paragraph">
                  <wp:posOffset>12065</wp:posOffset>
                </wp:positionV>
                <wp:extent cx="1193800" cy="1460500"/>
                <wp:effectExtent l="0" t="0" r="25400" b="25400"/>
                <wp:wrapNone/>
                <wp:docPr id="305" name="Text Box 305"/>
                <wp:cNvGraphicFramePr/>
                <a:graphic xmlns:a="http://schemas.openxmlformats.org/drawingml/2006/main">
                  <a:graphicData uri="http://schemas.microsoft.com/office/word/2010/wordprocessingShape">
                    <wps:wsp>
                      <wps:cNvSpPr txBox="1"/>
                      <wps:spPr>
                        <a:xfrm>
                          <a:off x="0" y="0"/>
                          <a:ext cx="1193800" cy="1460500"/>
                        </a:xfrm>
                        <a:prstGeom prst="roundRect">
                          <a:avLst/>
                        </a:prstGeom>
                        <a:solidFill>
                          <a:sysClr val="window" lastClr="FFFFFF"/>
                        </a:solidFill>
                        <a:ln w="19050">
                          <a:solidFill>
                            <a:srgbClr val="839DCC"/>
                          </a:solidFill>
                        </a:ln>
                        <a:effectLst/>
                      </wps:spPr>
                      <wps:txbx>
                        <w:txbxContent>
                          <w:p w14:paraId="6252A14D" w14:textId="2E8D1C82" w:rsidR="00876FFE" w:rsidRPr="00BC2EBD" w:rsidRDefault="00876FFE" w:rsidP="00DB5379">
                            <w:pPr>
                              <w:spacing w:before="0"/>
                              <w:ind w:firstLine="0"/>
                              <w:jc w:val="center"/>
                              <w:rPr>
                                <w:rFonts w:asciiTheme="minorHAnsi" w:hAnsiTheme="minorHAnsi" w:cstheme="minorHAnsi"/>
                                <w:lang w:val="sr"/>
                              </w:rPr>
                            </w:pPr>
                            <w:r w:rsidRPr="00BC2EBD">
                              <w:rPr>
                                <w:rFonts w:asciiTheme="minorHAnsi" w:hAnsiTheme="minorHAnsi" w:cstheme="minorHAnsi"/>
                                <w:lang w:val="sr"/>
                              </w:rPr>
                              <w:t>Унапређено знање ревизора израдом методолошких материјала и програмима обуке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BE1F64" id="Text Box 305" o:spid="_x0000_s1392" style="position:absolute;left:0;text-align:left;margin-left:425pt;margin-top:.95pt;width:94pt;height:1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" fillcolor="window" strokecolor="#839dcc" strokeweight="1.5pt">
                <v:textbox inset="0,0,0,0">
                  <w:txbxContent>
                    <w:p w14:paraId="6252A14D" w14:textId="2E8D1C82" w:rsidR="00876FFE" w:rsidRPr="00BC2EBD" w:rsidRDefault="00876FFE" w:rsidP="00DB5379">
                      <w:pPr>
                        <w:spacing w:before="0"/>
                        <w:ind w:firstLine="0"/>
                        <w:jc w:val="center"/>
                        <w:rPr>
                          <w:rFonts w:asciiTheme="minorHAnsi" w:hAnsiTheme="minorHAnsi" w:cstheme="minorHAnsi"/>
                          <w:lang w:val="sr"/>
                        </w:rPr>
                      </w:pPr>
                      <w:r w:rsidRPr="00BC2EBD">
                        <w:rPr>
                          <w:rFonts w:asciiTheme="minorHAnsi" w:hAnsiTheme="minorHAnsi" w:cstheme="minorHAnsi"/>
                          <w:lang w:val="sr"/>
                        </w:rPr>
                        <w:t>Унапређено знање ревизора израдом методолошких материјала и програмима обуке</w:t>
                      </w:r>
                    </w:p>
                  </w:txbxContent>
                </v:textbox>
              </v:roundrect>
            </w:pict>
          </mc:Fallback>
        </mc:AlternateContent>
      </w:r>
      <w:r w:rsidR="006865AE"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01760" behindDoc="0" locked="0" layoutInCell="1" allowOverlap="1" wp14:anchorId="666EF563" wp14:editId="29911B29">
                <wp:simplePos x="0" y="0"/>
                <wp:positionH relativeFrom="column">
                  <wp:posOffset>977900</wp:posOffset>
                </wp:positionH>
                <wp:positionV relativeFrom="paragraph">
                  <wp:posOffset>62865</wp:posOffset>
                </wp:positionV>
                <wp:extent cx="1054100" cy="1041400"/>
                <wp:effectExtent l="0" t="0" r="12700" b="25400"/>
                <wp:wrapNone/>
                <wp:docPr id="634" name="Text Box 634"/>
                <wp:cNvGraphicFramePr/>
                <a:graphic xmlns:a="http://schemas.openxmlformats.org/drawingml/2006/main">
                  <a:graphicData uri="http://schemas.microsoft.com/office/word/2010/wordprocessingShape">
                    <wps:wsp>
                      <wps:cNvSpPr txBox="1"/>
                      <wps:spPr>
                        <a:xfrm>
                          <a:off x="0" y="0"/>
                          <a:ext cx="1054100" cy="1041400"/>
                        </a:xfrm>
                        <a:prstGeom prst="roundRect">
                          <a:avLst/>
                        </a:prstGeom>
                        <a:solidFill>
                          <a:sysClr val="window" lastClr="FFFFFF"/>
                        </a:solidFill>
                        <a:ln w="19050">
                          <a:solidFill>
                            <a:srgbClr val="839DCC"/>
                          </a:solidFill>
                        </a:ln>
                        <a:effectLst/>
                      </wps:spPr>
                      <wps:txbx>
                        <w:txbxContent>
                          <w:p w14:paraId="655A7304" w14:textId="4D7C5A68" w:rsidR="00876FFE" w:rsidRPr="006865AE" w:rsidRDefault="00876FFE" w:rsidP="006865AE">
                            <w:pPr>
                              <w:spacing w:before="0"/>
                              <w:ind w:firstLine="0"/>
                              <w:jc w:val="center"/>
                              <w:rPr>
                                <w:rFonts w:asciiTheme="minorHAnsi" w:hAnsiTheme="minorHAnsi" w:cstheme="minorHAnsi"/>
                                <w:lang w:val="sr"/>
                              </w:rPr>
                            </w:pPr>
                            <w:r w:rsidRPr="006865AE">
                              <w:rPr>
                                <w:rFonts w:asciiTheme="minorHAnsi" w:hAnsiTheme="minorHAnsi" w:cstheme="minorHAnsi"/>
                                <w:lang w:val="sr"/>
                              </w:rPr>
                              <w:t>Даље унапређење средњорочног планирања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6EF563" id="Text Box 634" o:spid="_x0000_s1393" style="position:absolute;left:0;text-align:left;margin-left:77pt;margin-top:4.95pt;width:83pt;height:8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" fillcolor="window" strokecolor="#839dcc" strokeweight="1.5pt">
                <v:textbox inset="0,0,0,0">
                  <w:txbxContent>
                    <w:p w14:paraId="655A7304" w14:textId="4D7C5A68" w:rsidR="00876FFE" w:rsidRPr="006865AE" w:rsidRDefault="00876FFE" w:rsidP="006865AE">
                      <w:pPr>
                        <w:spacing w:before="0"/>
                        <w:ind w:firstLine="0"/>
                        <w:jc w:val="center"/>
                        <w:rPr>
                          <w:rFonts w:asciiTheme="minorHAnsi" w:hAnsiTheme="minorHAnsi" w:cstheme="minorHAnsi"/>
                          <w:lang w:val="sr"/>
                        </w:rPr>
                      </w:pPr>
                      <w:r w:rsidRPr="006865AE">
                        <w:rPr>
                          <w:rFonts w:asciiTheme="minorHAnsi" w:hAnsiTheme="minorHAnsi" w:cstheme="minorHAnsi"/>
                          <w:lang w:val="sr"/>
                        </w:rPr>
                        <w:t xml:space="preserve">Даље </w:t>
                      </w:r>
                      <w:r w:rsidRPr="006865AE">
                        <w:rPr>
                          <w:rFonts w:asciiTheme="minorHAnsi" w:hAnsiTheme="minorHAnsi" w:cstheme="minorHAnsi"/>
                          <w:lang w:val="sr"/>
                        </w:rPr>
                        <w:t>унапређење средњорочног планирања</w:t>
                      </w:r>
                    </w:p>
                  </w:txbxContent>
                </v:textbox>
              </v:roundrect>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29408" behindDoc="0" locked="0" layoutInCell="1" allowOverlap="1" wp14:anchorId="43EE5624" wp14:editId="3ECBC2A5">
                <wp:simplePos x="0" y="0"/>
                <wp:positionH relativeFrom="column">
                  <wp:posOffset>7950200</wp:posOffset>
                </wp:positionH>
                <wp:positionV relativeFrom="paragraph">
                  <wp:posOffset>126365</wp:posOffset>
                </wp:positionV>
                <wp:extent cx="7620" cy="2772000"/>
                <wp:effectExtent l="19050" t="19050" r="30480" b="28575"/>
                <wp:wrapNone/>
                <wp:docPr id="304" name="Straight Connector 304"/>
                <wp:cNvGraphicFramePr/>
                <a:graphic xmlns:a="http://schemas.openxmlformats.org/drawingml/2006/main">
                  <a:graphicData uri="http://schemas.microsoft.com/office/word/2010/wordprocessingShape">
                    <wps:wsp>
                      <wps:cNvCnPr/>
                      <wps:spPr>
                        <a:xfrm>
                          <a:off x="0" y="0"/>
                          <a:ext cx="7620" cy="2772000"/>
                        </a:xfrm>
                        <a:prstGeom prst="line">
                          <a:avLst/>
                        </a:prstGeom>
                        <a:noFill/>
                        <a:ln w="28575" cap="flat" cmpd="sng" algn="ctr">
                          <a:solidFill>
                            <a:srgbClr val="839D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B4911A" id="Straight Connector 304"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9.95pt" to="626.6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" strokecolor="#839dcc" strokeweight="2.25pt">
                <v:stroke joinstyle="miter"/>
              </v:line>
            </w:pict>
          </mc:Fallback>
        </mc:AlternateContent>
      </w:r>
      <w:r w:rsidR="002B4D2B" w:rsidRPr="000F0299">
        <w:rPr>
          <w:rFonts w:eastAsia="Times New Roman"/>
          <w:kern w:val="0"/>
          <w:sz w:val="20"/>
          <w:szCs w:val="20"/>
          <w:lang w:eastAsia="en-GB" w:bidi="ar-SA"/>
        </w:rPr>
        <w:tab/>
      </w:r>
    </w:p>
    <w:p w14:paraId="5C5EE13F" w14:textId="1A087F09" w:rsidR="002B4D2B" w:rsidRPr="000F0299" w:rsidRDefault="004279F8"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23264" behindDoc="0" locked="0" layoutInCell="1" allowOverlap="1" wp14:anchorId="36A8F8AD" wp14:editId="29F70A1C">
                <wp:simplePos x="0" y="0"/>
                <wp:positionH relativeFrom="margin">
                  <wp:posOffset>6845300</wp:posOffset>
                </wp:positionH>
                <wp:positionV relativeFrom="paragraph">
                  <wp:posOffset>145415</wp:posOffset>
                </wp:positionV>
                <wp:extent cx="1069975" cy="1216660"/>
                <wp:effectExtent l="0" t="0" r="15875" b="21590"/>
                <wp:wrapNone/>
                <wp:docPr id="413" name="Text Box 413"/>
                <wp:cNvGraphicFramePr/>
                <a:graphic xmlns:a="http://schemas.openxmlformats.org/drawingml/2006/main">
                  <a:graphicData uri="http://schemas.microsoft.com/office/word/2010/wordprocessingShape">
                    <wps:wsp>
                      <wps:cNvSpPr txBox="1"/>
                      <wps:spPr>
                        <a:xfrm>
                          <a:off x="0" y="0"/>
                          <a:ext cx="1069975" cy="1216660"/>
                        </a:xfrm>
                        <a:prstGeom prst="roundRect">
                          <a:avLst/>
                        </a:prstGeom>
                        <a:solidFill>
                          <a:sysClr val="window" lastClr="FFFFFF"/>
                        </a:solidFill>
                        <a:ln w="19050">
                          <a:solidFill>
                            <a:srgbClr val="839DCC"/>
                          </a:solidFill>
                        </a:ln>
                        <a:effectLst/>
                      </wps:spPr>
                      <wps:txbx>
                        <w:txbxContent>
                          <w:p w14:paraId="59FB4D8C" w14:textId="0ADFCD24" w:rsidR="00876FFE" w:rsidRPr="00DB5379" w:rsidRDefault="00876FFE" w:rsidP="00F57B16">
                            <w:pPr>
                              <w:spacing w:before="0"/>
                              <w:ind w:firstLine="0"/>
                              <w:jc w:val="center"/>
                              <w:rPr>
                                <w:rFonts w:asciiTheme="minorHAnsi" w:hAnsiTheme="minorHAnsi" w:cstheme="minorHAnsi"/>
                                <w:lang w:val="uz-Cyrl-UZ"/>
                              </w:rPr>
                            </w:pPr>
                            <w:r w:rsidRPr="00DB5379">
                              <w:rPr>
                                <w:rFonts w:asciiTheme="minorHAnsi" w:hAnsiTheme="minorHAnsi" w:cstheme="minorHAnsi"/>
                                <w:spacing w:val="-10"/>
                                <w:lang w:val="uz-Cyrl-UZ"/>
                              </w:rPr>
                              <w:t>Приоритизација</w:t>
                            </w:r>
                            <w:r w:rsidRPr="00DB5379">
                              <w:rPr>
                                <w:rFonts w:asciiTheme="minorHAnsi" w:hAnsiTheme="minorHAnsi" w:cstheme="minorHAnsi"/>
                                <w:spacing w:val="-16"/>
                                <w:lang w:val="uz-Cyrl-UZ"/>
                              </w:rPr>
                              <w:t xml:space="preserve"> </w:t>
                            </w:r>
                            <w:r w:rsidRPr="00DB5379">
                              <w:rPr>
                                <w:rFonts w:asciiTheme="minorHAnsi" w:hAnsiTheme="minorHAnsi" w:cstheme="minorHAnsi"/>
                                <w:spacing w:val="-10"/>
                                <w:lang w:val="uz-Cyrl-UZ"/>
                              </w:rPr>
                              <w:t>институција</w:t>
                            </w:r>
                            <w:r w:rsidRPr="00DB5379">
                              <w:rPr>
                                <w:rFonts w:asciiTheme="minorHAnsi" w:hAnsiTheme="minorHAnsi" w:cstheme="minorHAnsi"/>
                                <w:lang w:val="uz-Cyrl-UZ"/>
                              </w:rPr>
                              <w:t xml:space="preserve"> које надгледа ЦЈХ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A8F8AD" id="Text Box 413" o:spid="_x0000_s1394" style="position:absolute;left:0;text-align:left;margin-left:539pt;margin-top:11.45pt;width:84.25pt;height:95.8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" fillcolor="window" strokecolor="#839dcc" strokeweight="1.5pt">
                <v:textbox inset="0,0,0,0">
                  <w:txbxContent>
                    <w:p w14:paraId="59FB4D8C" w14:textId="0ADFCD24" w:rsidR="00876FFE" w:rsidRPr="00DB5379" w:rsidRDefault="00876FFE" w:rsidP="00F57B16">
                      <w:pPr>
                        <w:spacing w:before="0"/>
                        <w:ind w:firstLine="0"/>
                        <w:jc w:val="center"/>
                        <w:rPr>
                          <w:rFonts w:asciiTheme="minorHAnsi" w:hAnsiTheme="minorHAnsi" w:cstheme="minorHAnsi"/>
                          <w:lang w:val="uz-Cyrl-UZ"/>
                        </w:rPr>
                      </w:pPr>
                      <w:r w:rsidRPr="00DB5379">
                        <w:rPr>
                          <w:rFonts w:asciiTheme="minorHAnsi" w:hAnsiTheme="minorHAnsi" w:cstheme="minorHAnsi"/>
                          <w:spacing w:val="-10"/>
                          <w:lang w:val="uz-Cyrl-UZ"/>
                        </w:rPr>
                        <w:t>Приоритизација</w:t>
                      </w:r>
                      <w:r w:rsidRPr="00DB5379">
                        <w:rPr>
                          <w:rFonts w:asciiTheme="minorHAnsi" w:hAnsiTheme="minorHAnsi" w:cstheme="minorHAnsi"/>
                          <w:spacing w:val="-16"/>
                          <w:lang w:val="uz-Cyrl-UZ"/>
                        </w:rPr>
                        <w:t xml:space="preserve"> </w:t>
                      </w:r>
                      <w:r w:rsidRPr="00DB5379">
                        <w:rPr>
                          <w:rFonts w:asciiTheme="minorHAnsi" w:hAnsiTheme="minorHAnsi" w:cstheme="minorHAnsi"/>
                          <w:spacing w:val="-10"/>
                          <w:lang w:val="uz-Cyrl-UZ"/>
                        </w:rPr>
                        <w:t>институција</w:t>
                      </w:r>
                      <w:r w:rsidRPr="00DB5379">
                        <w:rPr>
                          <w:rFonts w:asciiTheme="minorHAnsi" w:hAnsiTheme="minorHAnsi" w:cstheme="minorHAnsi"/>
                          <w:lang w:val="uz-Cyrl-UZ"/>
                        </w:rPr>
                        <w:t xml:space="preserve"> које надгледа ЦЈХ</w:t>
                      </w:r>
                    </w:p>
                  </w:txbxContent>
                </v:textbox>
                <w10:wrap anchorx="margin"/>
              </v:roundrect>
            </w:pict>
          </mc:Fallback>
        </mc:AlternateContent>
      </w:r>
      <w:r w:rsidR="00BC2EBD"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04832" behindDoc="0" locked="0" layoutInCell="1" allowOverlap="1" wp14:anchorId="230B6AFA" wp14:editId="054BA9AB">
                <wp:simplePos x="0" y="0"/>
                <wp:positionH relativeFrom="column">
                  <wp:posOffset>3746501</wp:posOffset>
                </wp:positionH>
                <wp:positionV relativeFrom="paragraph">
                  <wp:posOffset>81915</wp:posOffset>
                </wp:positionV>
                <wp:extent cx="1314450" cy="1790700"/>
                <wp:effectExtent l="0" t="0" r="19050" b="19050"/>
                <wp:wrapNone/>
                <wp:docPr id="624" name="Text Box 624"/>
                <wp:cNvGraphicFramePr/>
                <a:graphic xmlns:a="http://schemas.openxmlformats.org/drawingml/2006/main">
                  <a:graphicData uri="http://schemas.microsoft.com/office/word/2010/wordprocessingShape">
                    <wps:wsp>
                      <wps:cNvSpPr txBox="1"/>
                      <wps:spPr>
                        <a:xfrm>
                          <a:off x="0" y="0"/>
                          <a:ext cx="1314450" cy="1790700"/>
                        </a:xfrm>
                        <a:prstGeom prst="roundRect">
                          <a:avLst/>
                        </a:prstGeom>
                        <a:solidFill>
                          <a:sysClr val="window" lastClr="FFFFFF"/>
                        </a:solidFill>
                        <a:ln w="19050">
                          <a:solidFill>
                            <a:srgbClr val="839DCC"/>
                          </a:solidFill>
                        </a:ln>
                        <a:effectLst/>
                      </wps:spPr>
                      <wps:txbx>
                        <w:txbxContent>
                          <w:p w14:paraId="3D0D7B2D" w14:textId="103A33C9" w:rsidR="00876FFE" w:rsidRPr="00BC2EBD" w:rsidRDefault="00876FFE" w:rsidP="00DB5379">
                            <w:pPr>
                              <w:spacing w:before="0"/>
                              <w:ind w:firstLine="0"/>
                              <w:jc w:val="center"/>
                              <w:rPr>
                                <w:rFonts w:asciiTheme="minorHAnsi" w:hAnsiTheme="minorHAnsi" w:cstheme="minorHAnsi"/>
                                <w:lang w:val="sr"/>
                              </w:rPr>
                            </w:pPr>
                            <w:r w:rsidRPr="00BC2EBD">
                              <w:rPr>
                                <w:rFonts w:asciiTheme="minorHAnsi" w:hAnsiTheme="minorHAnsi" w:cstheme="minorHAnsi"/>
                                <w:lang w:val="sr"/>
                              </w:rPr>
                              <w:t xml:space="preserve">Пословни процеси су у складу са услугама које треба да пружају модерне јавне </w:t>
                            </w:r>
                            <w:r w:rsidRPr="00BC2EBD">
                              <w:rPr>
                                <w:rFonts w:asciiTheme="minorHAnsi" w:hAnsiTheme="minorHAnsi" w:cstheme="minorHAnsi"/>
                                <w:spacing w:val="-6"/>
                                <w:lang w:val="sr"/>
                              </w:rPr>
                              <w:t>администрације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0B6AFA" id="Text Box 624" o:spid="_x0000_s1395" style="position:absolute;left:0;text-align:left;margin-left:295pt;margin-top:6.45pt;width:103.5pt;height:14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" fillcolor="window" strokecolor="#839dcc" strokeweight="1.5pt">
                <v:textbox inset="0,0,0,0">
                  <w:txbxContent>
                    <w:p w14:paraId="3D0D7B2D" w14:textId="103A33C9" w:rsidR="00876FFE" w:rsidRPr="00BC2EBD" w:rsidRDefault="00876FFE" w:rsidP="00DB5379">
                      <w:pPr>
                        <w:spacing w:before="0"/>
                        <w:ind w:firstLine="0"/>
                        <w:jc w:val="center"/>
                        <w:rPr>
                          <w:rFonts w:asciiTheme="minorHAnsi" w:hAnsiTheme="minorHAnsi" w:cstheme="minorHAnsi"/>
                          <w:lang w:val="sr"/>
                        </w:rPr>
                      </w:pPr>
                      <w:r w:rsidRPr="00BC2EBD">
                        <w:rPr>
                          <w:rFonts w:asciiTheme="minorHAnsi" w:hAnsiTheme="minorHAnsi" w:cstheme="minorHAnsi"/>
                          <w:lang w:val="sr"/>
                        </w:rPr>
                        <w:t xml:space="preserve">Пословни процеси су у складу са услугама које треба да пружају модерне јавне </w:t>
                      </w:r>
                      <w:r w:rsidRPr="00BC2EBD">
                        <w:rPr>
                          <w:rFonts w:asciiTheme="minorHAnsi" w:hAnsiTheme="minorHAnsi" w:cstheme="minorHAnsi"/>
                          <w:spacing w:val="-6"/>
                          <w:lang w:val="sr"/>
                        </w:rPr>
                        <w:t>администрације</w:t>
                      </w:r>
                    </w:p>
                  </w:txbxContent>
                </v:textbox>
              </v:roundrect>
            </w:pict>
          </mc:Fallback>
        </mc:AlternateContent>
      </w:r>
      <w:r w:rsidR="00BC2EBD"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03808" behindDoc="0" locked="0" layoutInCell="1" allowOverlap="1" wp14:anchorId="0EE7E7D7" wp14:editId="42B8C243">
                <wp:simplePos x="0" y="0"/>
                <wp:positionH relativeFrom="column">
                  <wp:posOffset>2286000</wp:posOffset>
                </wp:positionH>
                <wp:positionV relativeFrom="paragraph">
                  <wp:posOffset>81915</wp:posOffset>
                </wp:positionV>
                <wp:extent cx="1219200" cy="1765300"/>
                <wp:effectExtent l="0" t="0" r="19050" b="25400"/>
                <wp:wrapNone/>
                <wp:docPr id="625" name="Text Box 625"/>
                <wp:cNvGraphicFramePr/>
                <a:graphic xmlns:a="http://schemas.openxmlformats.org/drawingml/2006/main">
                  <a:graphicData uri="http://schemas.microsoft.com/office/word/2010/wordprocessingShape">
                    <wps:wsp>
                      <wps:cNvSpPr txBox="1"/>
                      <wps:spPr>
                        <a:xfrm>
                          <a:off x="0" y="0"/>
                          <a:ext cx="1219200" cy="1765300"/>
                        </a:xfrm>
                        <a:prstGeom prst="roundRect">
                          <a:avLst/>
                        </a:prstGeom>
                        <a:solidFill>
                          <a:sysClr val="window" lastClr="FFFFFF"/>
                        </a:solidFill>
                        <a:ln w="19050">
                          <a:solidFill>
                            <a:srgbClr val="839DCC"/>
                          </a:solidFill>
                        </a:ln>
                        <a:effectLst/>
                      </wps:spPr>
                      <wps:txbx>
                        <w:txbxContent>
                          <w:p w14:paraId="1702E6BC" w14:textId="77777777" w:rsidR="00876FFE" w:rsidRPr="00BC2EBD" w:rsidRDefault="00876FFE" w:rsidP="00DB5379">
                            <w:pPr>
                              <w:spacing w:before="0"/>
                              <w:ind w:firstLine="0"/>
                              <w:jc w:val="center"/>
                              <w:rPr>
                                <w:rFonts w:asciiTheme="minorHAnsi" w:hAnsiTheme="minorHAnsi" w:cstheme="minorHAnsi"/>
                                <w:lang w:val="uz-Cyrl-UZ"/>
                              </w:rPr>
                            </w:pPr>
                            <w:r w:rsidRPr="00BC2EBD">
                              <w:rPr>
                                <w:rFonts w:asciiTheme="minorHAnsi" w:hAnsiTheme="minorHAnsi" w:cstheme="minorHAnsi"/>
                                <w:lang w:val="sr"/>
                              </w:rPr>
                              <w:t xml:space="preserve">Адекватни </w:t>
                            </w:r>
                            <w:r w:rsidRPr="00BC2EBD">
                              <w:rPr>
                                <w:rFonts w:asciiTheme="minorHAnsi" w:hAnsiTheme="minorHAnsi" w:cstheme="minorHAnsi"/>
                                <w:lang w:val="uz-Cyrl-UZ"/>
                              </w:rPr>
                              <w:t xml:space="preserve">капацитети УЈН за праћење процедура јавних набавки и </w:t>
                            </w:r>
                            <w:r w:rsidRPr="00BC2EBD">
                              <w:rPr>
                                <w:rFonts w:asciiTheme="minorHAnsi" w:hAnsiTheme="minorHAnsi" w:cstheme="minorHAnsi"/>
                                <w:lang w:val="sr"/>
                              </w:rPr>
                              <w:t>успостављање зелених набавки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E7E7D7" id="Text Box 625" o:spid="_x0000_s1396" style="position:absolute;left:0;text-align:left;margin-left:180pt;margin-top:6.45pt;width:96pt;height:13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" fillcolor="window" strokecolor="#839dcc" strokeweight="1.5pt">
                <v:textbox inset="0,0,0,0">
                  <w:txbxContent>
                    <w:p w14:paraId="1702E6BC" w14:textId="77777777" w:rsidR="00876FFE" w:rsidRPr="00BC2EBD" w:rsidRDefault="00876FFE" w:rsidP="00DB5379">
                      <w:pPr>
                        <w:spacing w:before="0"/>
                        <w:ind w:firstLine="0"/>
                        <w:jc w:val="center"/>
                        <w:rPr>
                          <w:rFonts w:asciiTheme="minorHAnsi" w:hAnsiTheme="minorHAnsi" w:cstheme="minorHAnsi"/>
                          <w:lang w:val="uz-Cyrl-UZ"/>
                        </w:rPr>
                      </w:pPr>
                      <w:r w:rsidRPr="00BC2EBD">
                        <w:rPr>
                          <w:rFonts w:asciiTheme="minorHAnsi" w:hAnsiTheme="minorHAnsi" w:cstheme="minorHAnsi"/>
                          <w:lang w:val="sr"/>
                        </w:rPr>
                        <w:t xml:space="preserve">Адекватни </w:t>
                      </w:r>
                      <w:r w:rsidRPr="00BC2EBD">
                        <w:rPr>
                          <w:rFonts w:asciiTheme="minorHAnsi" w:hAnsiTheme="minorHAnsi" w:cstheme="minorHAnsi"/>
                          <w:lang w:val="uz-Cyrl-UZ"/>
                        </w:rPr>
                        <w:t xml:space="preserve">капацитети УЈН за праћење процедура јавних набавки и </w:t>
                      </w:r>
                      <w:r w:rsidRPr="00BC2EBD">
                        <w:rPr>
                          <w:rFonts w:asciiTheme="minorHAnsi" w:hAnsiTheme="minorHAnsi" w:cstheme="minorHAnsi"/>
                          <w:lang w:val="sr"/>
                        </w:rPr>
                        <w:t>успостављање зелених набавки</w:t>
                      </w:r>
                    </w:p>
                  </w:txbxContent>
                </v:textbox>
              </v:roundrect>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59104" behindDoc="0" locked="0" layoutInCell="1" allowOverlap="1" wp14:anchorId="10B633F9" wp14:editId="45016692">
                <wp:simplePos x="0" y="0"/>
                <wp:positionH relativeFrom="column">
                  <wp:posOffset>13436600</wp:posOffset>
                </wp:positionH>
                <wp:positionV relativeFrom="paragraph">
                  <wp:posOffset>107315</wp:posOffset>
                </wp:positionV>
                <wp:extent cx="0" cy="234950"/>
                <wp:effectExtent l="57150" t="38100" r="57150" b="12700"/>
                <wp:wrapNone/>
                <wp:docPr id="23" name="Straight Arrow Connector 23"/>
                <wp:cNvGraphicFramePr/>
                <a:graphic xmlns:a="http://schemas.openxmlformats.org/drawingml/2006/main">
                  <a:graphicData uri="http://schemas.microsoft.com/office/word/2010/wordprocessingShape">
                    <wps:wsp>
                      <wps:cNvCnPr/>
                      <wps:spPr>
                        <a:xfrm flipV="1">
                          <a:off x="0" y="0"/>
                          <a:ext cx="0" cy="234950"/>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942AA" id="Straight Arrow Connector 23" o:spid="_x0000_s1026" type="#_x0000_t32" style="position:absolute;margin-left:1058pt;margin-top:8.45pt;width:0;height:18.5pt;flip:y;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" strokecolor="#839dcc" strokeweight="2.25pt">
                <v:stroke endarrow="block" joinstyle="miter"/>
              </v:shape>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19168" behindDoc="0" locked="0" layoutInCell="1" allowOverlap="1" wp14:anchorId="1860460D" wp14:editId="61C8CDE6">
                <wp:simplePos x="0" y="0"/>
                <wp:positionH relativeFrom="column">
                  <wp:posOffset>10248900</wp:posOffset>
                </wp:positionH>
                <wp:positionV relativeFrom="paragraph">
                  <wp:posOffset>56515</wp:posOffset>
                </wp:positionV>
                <wp:extent cx="0" cy="344170"/>
                <wp:effectExtent l="57150" t="38100" r="57150" b="17780"/>
                <wp:wrapNone/>
                <wp:docPr id="618" name="Straight Arrow Connector 618"/>
                <wp:cNvGraphicFramePr/>
                <a:graphic xmlns:a="http://schemas.openxmlformats.org/drawingml/2006/main">
                  <a:graphicData uri="http://schemas.microsoft.com/office/word/2010/wordprocessingShape">
                    <wps:wsp>
                      <wps:cNvCnPr/>
                      <wps:spPr>
                        <a:xfrm flipV="1">
                          <a:off x="0" y="0"/>
                          <a:ext cx="0" cy="344170"/>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107E42" id="Straight Arrow Connector 618" o:spid="_x0000_s1026" type="#_x0000_t32" style="position:absolute;margin-left:807pt;margin-top:4.45pt;width:0;height:27.1pt;flip:y;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" strokecolor="#839dcc" strokeweight="2.25pt">
                <v:stroke endarrow="block" joinstyle="miter"/>
              </v:shape>
            </w:pict>
          </mc:Fallback>
        </mc:AlternateContent>
      </w:r>
    </w:p>
    <w:p w14:paraId="3EF423AD" w14:textId="05F17995"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37096C01" w14:textId="682B71D0"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16096" behindDoc="0" locked="0" layoutInCell="1" allowOverlap="1" wp14:anchorId="7818B682" wp14:editId="6F8FC8BE">
                <wp:simplePos x="0" y="0"/>
                <wp:positionH relativeFrom="column">
                  <wp:posOffset>9626600</wp:posOffset>
                </wp:positionH>
                <wp:positionV relativeFrom="paragraph">
                  <wp:posOffset>120015</wp:posOffset>
                </wp:positionV>
                <wp:extent cx="1229995" cy="2171700"/>
                <wp:effectExtent l="0" t="0" r="27305" b="19050"/>
                <wp:wrapNone/>
                <wp:docPr id="312" name="Text Box 312"/>
                <wp:cNvGraphicFramePr/>
                <a:graphic xmlns:a="http://schemas.openxmlformats.org/drawingml/2006/main">
                  <a:graphicData uri="http://schemas.microsoft.com/office/word/2010/wordprocessingShape">
                    <wps:wsp>
                      <wps:cNvSpPr txBox="1"/>
                      <wps:spPr>
                        <a:xfrm>
                          <a:off x="0" y="0"/>
                          <a:ext cx="1229995" cy="2171700"/>
                        </a:xfrm>
                        <a:prstGeom prst="roundRect">
                          <a:avLst/>
                        </a:prstGeom>
                        <a:solidFill>
                          <a:sysClr val="window" lastClr="FFFFFF"/>
                        </a:solidFill>
                        <a:ln w="19050">
                          <a:solidFill>
                            <a:srgbClr val="839DCC"/>
                          </a:solidFill>
                        </a:ln>
                        <a:effectLst/>
                      </wps:spPr>
                      <wps:txbx>
                        <w:txbxContent>
                          <w:p w14:paraId="02632B66" w14:textId="57ADB8D1" w:rsidR="00876FFE" w:rsidRPr="004279F8" w:rsidRDefault="00876FFE" w:rsidP="004279F8">
                            <w:pPr>
                              <w:ind w:firstLine="0"/>
                              <w:jc w:val="center"/>
                              <w:rPr>
                                <w:rFonts w:asciiTheme="minorHAnsi" w:hAnsiTheme="minorHAnsi" w:cstheme="minorHAnsi"/>
                                <w:lang w:val="en-US"/>
                              </w:rPr>
                            </w:pPr>
                            <w:r w:rsidRPr="004279F8">
                              <w:rPr>
                                <w:rFonts w:asciiTheme="minorHAnsi" w:hAnsiTheme="minorHAnsi" w:cstheme="minorHAnsi"/>
                                <w:lang w:val="sr"/>
                              </w:rPr>
                              <w:t>Успостављени адекватни пословни процеси и административни капацитети институција које обављају контролу јавних средстава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818B682" id="Text Box 312" o:spid="_x0000_s1397" style="position:absolute;left:0;text-align:left;margin-left:758pt;margin-top:9.45pt;width:96.85pt;height:17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" fillcolor="window" strokecolor="#839dcc" strokeweight="1.5pt">
                <v:textbox inset="0,0,0,0">
                  <w:txbxContent>
                    <w:p w14:paraId="02632B66" w14:textId="57ADB8D1" w:rsidR="00876FFE" w:rsidRPr="004279F8" w:rsidRDefault="00876FFE" w:rsidP="004279F8">
                      <w:pPr>
                        <w:ind w:firstLine="0"/>
                        <w:jc w:val="center"/>
                        <w:rPr>
                          <w:rFonts w:asciiTheme="minorHAnsi" w:hAnsiTheme="minorHAnsi" w:cstheme="minorHAnsi"/>
                          <w:lang w:val="en-US"/>
                        </w:rPr>
                      </w:pPr>
                      <w:r w:rsidRPr="004279F8">
                        <w:rPr>
                          <w:rFonts w:asciiTheme="minorHAnsi" w:hAnsiTheme="minorHAnsi" w:cstheme="minorHAnsi"/>
                          <w:lang w:val="sr"/>
                        </w:rPr>
                        <w:t xml:space="preserve">Успостављени </w:t>
                      </w:r>
                      <w:r w:rsidRPr="004279F8">
                        <w:rPr>
                          <w:rFonts w:asciiTheme="minorHAnsi" w:hAnsiTheme="minorHAnsi" w:cstheme="minorHAnsi"/>
                          <w:lang w:val="sr"/>
                        </w:rPr>
                        <w:t>адекватни пословни процеси и административни капацитети институција које обављају контролу јавних средстава</w:t>
                      </w:r>
                    </w:p>
                  </w:txbxContent>
                </v:textbox>
              </v:roundrect>
            </w:pict>
          </mc:Fallback>
        </mc:AlternateContent>
      </w: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40672" behindDoc="0" locked="0" layoutInCell="1" allowOverlap="1" wp14:anchorId="1A83D30F" wp14:editId="7A151935">
                <wp:simplePos x="0" y="0"/>
                <wp:positionH relativeFrom="column">
                  <wp:posOffset>12611100</wp:posOffset>
                </wp:positionH>
                <wp:positionV relativeFrom="paragraph">
                  <wp:posOffset>81915</wp:posOffset>
                </wp:positionV>
                <wp:extent cx="1432560" cy="1177925"/>
                <wp:effectExtent l="0" t="0" r="15240" b="22225"/>
                <wp:wrapNone/>
                <wp:docPr id="311" name="Text Box 311"/>
                <wp:cNvGraphicFramePr/>
                <a:graphic xmlns:a="http://schemas.openxmlformats.org/drawingml/2006/main">
                  <a:graphicData uri="http://schemas.microsoft.com/office/word/2010/wordprocessingShape">
                    <wps:wsp>
                      <wps:cNvSpPr txBox="1"/>
                      <wps:spPr>
                        <a:xfrm>
                          <a:off x="0" y="0"/>
                          <a:ext cx="1432560" cy="1177925"/>
                        </a:xfrm>
                        <a:prstGeom prst="roundRect">
                          <a:avLst/>
                        </a:prstGeom>
                        <a:solidFill>
                          <a:sysClr val="window" lastClr="FFFFFF"/>
                        </a:solidFill>
                        <a:ln w="19050">
                          <a:solidFill>
                            <a:srgbClr val="839DCC"/>
                          </a:solidFill>
                        </a:ln>
                        <a:effectLst/>
                      </wps:spPr>
                      <wps:txbx>
                        <w:txbxContent>
                          <w:p w14:paraId="31849144" w14:textId="7646EB43" w:rsidR="00876FFE" w:rsidRPr="004279F8" w:rsidRDefault="00876FFE" w:rsidP="004279F8">
                            <w:pPr>
                              <w:spacing w:before="0"/>
                              <w:ind w:firstLine="0"/>
                              <w:jc w:val="center"/>
                              <w:rPr>
                                <w:rFonts w:asciiTheme="minorHAnsi" w:hAnsiTheme="minorHAnsi" w:cstheme="minorHAnsi"/>
                              </w:rPr>
                            </w:pPr>
                            <w:r w:rsidRPr="004279F8">
                              <w:rPr>
                                <w:rFonts w:asciiTheme="minorHAnsi" w:hAnsiTheme="minorHAnsi" w:cstheme="minorHAnsi"/>
                              </w:rPr>
                              <w:t>Унапређено мерење учинка ревизије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83D30F" id="Text Box 311" o:spid="_x0000_s1398" style="position:absolute;left:0;text-align:left;margin-left:993pt;margin-top:6.45pt;width:112.8pt;height:92.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" fillcolor="window" strokecolor="#839dcc" strokeweight="1.5pt">
                <v:textbox inset="0,0,0,0">
                  <w:txbxContent>
                    <w:p w14:paraId="31849144" w14:textId="7646EB43" w:rsidR="00876FFE" w:rsidRPr="004279F8" w:rsidRDefault="00876FFE" w:rsidP="004279F8">
                      <w:pPr>
                        <w:spacing w:before="0"/>
                        <w:ind w:firstLine="0"/>
                        <w:jc w:val="center"/>
                        <w:rPr>
                          <w:rFonts w:asciiTheme="minorHAnsi" w:hAnsiTheme="minorHAnsi" w:cstheme="minorHAnsi"/>
                        </w:rPr>
                      </w:pPr>
                      <w:r w:rsidRPr="004279F8">
                        <w:rPr>
                          <w:rFonts w:asciiTheme="minorHAnsi" w:hAnsiTheme="minorHAnsi" w:cstheme="minorHAnsi"/>
                        </w:rPr>
                        <w:t>Унапређено мерење учинка ревизије</w:t>
                      </w:r>
                    </w:p>
                  </w:txbxContent>
                </v:textbox>
              </v:roundrect>
            </w:pict>
          </mc:Fallback>
        </mc:AlternateContent>
      </w:r>
    </w:p>
    <w:p w14:paraId="7F813920" w14:textId="2ACEBA4A"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44768" behindDoc="0" locked="0" layoutInCell="1" allowOverlap="1" wp14:anchorId="3C7260FF" wp14:editId="1674ED95">
                <wp:simplePos x="0" y="0"/>
                <wp:positionH relativeFrom="column">
                  <wp:posOffset>5219700</wp:posOffset>
                </wp:positionH>
                <wp:positionV relativeFrom="paragraph">
                  <wp:posOffset>62865</wp:posOffset>
                </wp:positionV>
                <wp:extent cx="180000" cy="0"/>
                <wp:effectExtent l="0" t="95250" r="0" b="95250"/>
                <wp:wrapNone/>
                <wp:docPr id="313" name="Straight Arrow Connector 313"/>
                <wp:cNvGraphicFramePr/>
                <a:graphic xmlns:a="http://schemas.openxmlformats.org/drawingml/2006/main">
                  <a:graphicData uri="http://schemas.microsoft.com/office/word/2010/wordprocessingShape">
                    <wps:wsp>
                      <wps:cNvCnPr/>
                      <wps:spPr>
                        <a:xfrm>
                          <a:off x="0" y="0"/>
                          <a:ext cx="180000" cy="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FE49A2" id="Straight Arrow Connector 313" o:spid="_x0000_s1026" type="#_x0000_t32" style="position:absolute;margin-left:411pt;margin-top:4.95pt;width:14.15pt;height:0;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" strokecolor="#839dcc" strokeweight="2.25pt">
                <v:stroke endarrow="block" joinstyle="miter"/>
              </v:shape>
            </w:pict>
          </mc:Fallback>
        </mc:AlternateContent>
      </w:r>
    </w:p>
    <w:p w14:paraId="1B798DDE" w14:textId="64A703E2"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21444043" w14:textId="157770EA" w:rsidR="002B4D2B" w:rsidRPr="000F0299" w:rsidRDefault="004279F8"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25312" behindDoc="0" locked="0" layoutInCell="1" allowOverlap="1" wp14:anchorId="6AD41E13" wp14:editId="1ECB3330">
                <wp:simplePos x="0" y="0"/>
                <wp:positionH relativeFrom="rightMargin">
                  <wp:posOffset>-5126990</wp:posOffset>
                </wp:positionH>
                <wp:positionV relativeFrom="paragraph">
                  <wp:posOffset>62865</wp:posOffset>
                </wp:positionV>
                <wp:extent cx="1231900" cy="1016000"/>
                <wp:effectExtent l="0" t="0" r="25400" b="12700"/>
                <wp:wrapNone/>
                <wp:docPr id="415" name="Text Box 415"/>
                <wp:cNvGraphicFramePr/>
                <a:graphic xmlns:a="http://schemas.openxmlformats.org/drawingml/2006/main">
                  <a:graphicData uri="http://schemas.microsoft.com/office/word/2010/wordprocessingShape">
                    <wps:wsp>
                      <wps:cNvSpPr txBox="1"/>
                      <wps:spPr>
                        <a:xfrm>
                          <a:off x="0" y="0"/>
                          <a:ext cx="1231900" cy="1016000"/>
                        </a:xfrm>
                        <a:prstGeom prst="roundRect">
                          <a:avLst/>
                        </a:prstGeom>
                        <a:solidFill>
                          <a:sysClr val="window" lastClr="FFFFFF"/>
                        </a:solidFill>
                        <a:ln w="19050">
                          <a:solidFill>
                            <a:srgbClr val="839DCC"/>
                          </a:solidFill>
                        </a:ln>
                        <a:effectLst/>
                      </wps:spPr>
                      <wps:txbx>
                        <w:txbxContent>
                          <w:p w14:paraId="18DADFAF" w14:textId="5A58FF1C" w:rsidR="00876FFE" w:rsidRPr="00F57B16" w:rsidRDefault="00876FFE" w:rsidP="004279F8">
                            <w:pPr>
                              <w:spacing w:before="0"/>
                              <w:ind w:firstLine="0"/>
                              <w:jc w:val="center"/>
                              <w:rPr>
                                <w:rFonts w:asciiTheme="minorHAnsi" w:hAnsiTheme="minorHAnsi" w:cstheme="minorHAnsi"/>
                                <w:lang w:val="uz-Cyrl-UZ"/>
                              </w:rPr>
                            </w:pPr>
                            <w:r w:rsidRPr="00F57B16">
                              <w:rPr>
                                <w:rFonts w:asciiTheme="minorHAnsi" w:hAnsiTheme="minorHAnsi" w:cstheme="minorHAnsi"/>
                                <w:lang w:val="uz-Cyrl-UZ"/>
                              </w:rPr>
                              <w:t>Измештање програма основних обука из ЦЈХ у НАЈУ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D41E13" id="Text Box 415" o:spid="_x0000_s1399" style="position:absolute;left:0;text-align:left;margin-left:-403.7pt;margin-top:4.95pt;width:97pt;height:80pt;z-index:251725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" fillcolor="window" strokecolor="#839dcc" strokeweight="1.5pt">
                <v:textbox inset="0,0,0,0">
                  <w:txbxContent>
                    <w:p w14:paraId="18DADFAF" w14:textId="5A58FF1C" w:rsidR="00876FFE" w:rsidRPr="00F57B16" w:rsidRDefault="00876FFE" w:rsidP="004279F8">
                      <w:pPr>
                        <w:spacing w:before="0"/>
                        <w:ind w:firstLine="0"/>
                        <w:jc w:val="center"/>
                        <w:rPr>
                          <w:rFonts w:asciiTheme="minorHAnsi" w:hAnsiTheme="minorHAnsi" w:cstheme="minorHAnsi"/>
                          <w:lang w:val="uz-Cyrl-UZ"/>
                        </w:rPr>
                      </w:pPr>
                      <w:r w:rsidRPr="00F57B16">
                        <w:rPr>
                          <w:rFonts w:asciiTheme="minorHAnsi" w:hAnsiTheme="minorHAnsi" w:cstheme="minorHAnsi"/>
                          <w:lang w:val="uz-Cyrl-UZ"/>
                        </w:rPr>
                        <w:t>Измештање програма основних обука из ЦЈХ у НАЈУ</w:t>
                      </w:r>
                    </w:p>
                  </w:txbxContent>
                </v:textbox>
                <w10:wrap anchorx="margin"/>
              </v:roundrect>
            </w:pict>
          </mc:Fallback>
        </mc:AlternateContent>
      </w:r>
      <w:r w:rsidR="00DB537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51936" behindDoc="0" locked="0" layoutInCell="1" allowOverlap="1" wp14:anchorId="5904EC32" wp14:editId="74778BE8">
                <wp:simplePos x="0" y="0"/>
                <wp:positionH relativeFrom="column">
                  <wp:posOffset>6705600</wp:posOffset>
                </wp:positionH>
                <wp:positionV relativeFrom="paragraph">
                  <wp:posOffset>100965</wp:posOffset>
                </wp:positionV>
                <wp:extent cx="144000" cy="0"/>
                <wp:effectExtent l="0" t="95250" r="0" b="95250"/>
                <wp:wrapNone/>
                <wp:docPr id="27" name="Straight Arrow Connector 27"/>
                <wp:cNvGraphicFramePr/>
                <a:graphic xmlns:a="http://schemas.openxmlformats.org/drawingml/2006/main">
                  <a:graphicData uri="http://schemas.microsoft.com/office/word/2010/wordprocessingShape">
                    <wps:wsp>
                      <wps:cNvCnPr/>
                      <wps:spPr>
                        <a:xfrm>
                          <a:off x="0" y="0"/>
                          <a:ext cx="144000" cy="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A00330" id="Straight Arrow Connector 27" o:spid="_x0000_s1026" type="#_x0000_t32" style="position:absolute;margin-left:528pt;margin-top:7.95pt;width:11.35pt;height:0;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" strokecolor="#839dcc" strokeweight="2.25pt">
                <v:stroke endarrow="block" joinstyle="miter"/>
              </v:shape>
            </w:pict>
          </mc:Fallback>
        </mc:AlternateContent>
      </w:r>
    </w:p>
    <w:p w14:paraId="5262102C" w14:textId="7D321234" w:rsidR="002B4D2B" w:rsidRPr="000F0299" w:rsidRDefault="006865AE"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07904" behindDoc="0" locked="0" layoutInCell="1" allowOverlap="1" wp14:anchorId="334432F5" wp14:editId="293F2A76">
                <wp:simplePos x="0" y="0"/>
                <wp:positionH relativeFrom="column">
                  <wp:posOffset>63500</wp:posOffset>
                </wp:positionH>
                <wp:positionV relativeFrom="paragraph">
                  <wp:posOffset>94615</wp:posOffset>
                </wp:positionV>
                <wp:extent cx="0" cy="539750"/>
                <wp:effectExtent l="57150" t="38100" r="57150" b="12700"/>
                <wp:wrapNone/>
                <wp:docPr id="630" name="Straight Arrow Connector 630"/>
                <wp:cNvGraphicFramePr/>
                <a:graphic xmlns:a="http://schemas.openxmlformats.org/drawingml/2006/main">
                  <a:graphicData uri="http://schemas.microsoft.com/office/word/2010/wordprocessingShape">
                    <wps:wsp>
                      <wps:cNvCnPr/>
                      <wps:spPr>
                        <a:xfrm flipV="1">
                          <a:off x="0" y="0"/>
                          <a:ext cx="0" cy="53975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6A3BF6" id="Straight Arrow Connector 630" o:spid="_x0000_s1026" type="#_x0000_t32" style="position:absolute;margin-left:5pt;margin-top:7.45pt;width:0;height:42.5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" strokecolor="#839dcc" strokeweight="2.25pt">
                <v:stroke endarrow="block" joinstyle="miter"/>
              </v:shape>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08928" behindDoc="0" locked="0" layoutInCell="1" allowOverlap="1" wp14:anchorId="11581F03" wp14:editId="774CA8FC">
                <wp:simplePos x="0" y="0"/>
                <wp:positionH relativeFrom="column">
                  <wp:posOffset>1422400</wp:posOffset>
                </wp:positionH>
                <wp:positionV relativeFrom="paragraph">
                  <wp:posOffset>69215</wp:posOffset>
                </wp:positionV>
                <wp:extent cx="0" cy="575945"/>
                <wp:effectExtent l="57150" t="38100" r="57150" b="14605"/>
                <wp:wrapNone/>
                <wp:docPr id="648" name="Straight Arrow Connector 648"/>
                <wp:cNvGraphicFramePr/>
                <a:graphic xmlns:a="http://schemas.openxmlformats.org/drawingml/2006/main">
                  <a:graphicData uri="http://schemas.microsoft.com/office/word/2010/wordprocessingShape">
                    <wps:wsp>
                      <wps:cNvCnPr/>
                      <wps:spPr>
                        <a:xfrm flipV="1">
                          <a:off x="0" y="0"/>
                          <a:ext cx="0" cy="575945"/>
                        </a:xfrm>
                        <a:prstGeom prst="straightConnector1">
                          <a:avLst/>
                        </a:prstGeom>
                        <a:noFill/>
                        <a:ln w="28575" cap="flat" cmpd="sng" algn="ctr">
                          <a:solidFill>
                            <a:srgbClr val="839DCC"/>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A90C36" id="Straight Arrow Connector 648" o:spid="_x0000_s1026" type="#_x0000_t32" style="position:absolute;margin-left:112pt;margin-top:5.45pt;width:0;height:45.35pt;flip:y;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" strokecolor="#839dcc" strokeweight="2.25pt">
                <v:stroke endarrow="block" joinstyle="miter"/>
              </v:shape>
            </w:pict>
          </mc:Fallback>
        </mc:AlternateContent>
      </w:r>
    </w:p>
    <w:p w14:paraId="17134CEA" w14:textId="2123B69E"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5A7A7A2F" w14:textId="4D3A3405"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p>
    <w:p w14:paraId="27AE3A5D" w14:textId="14EF331E" w:rsidR="002B4D2B" w:rsidRPr="000F0299" w:rsidRDefault="00975737"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24288" behindDoc="0" locked="0" layoutInCell="1" allowOverlap="1" wp14:anchorId="1A0BD1B6" wp14:editId="52FBCD9F">
                <wp:simplePos x="0" y="0"/>
                <wp:positionH relativeFrom="column">
                  <wp:posOffset>6832600</wp:posOffset>
                </wp:positionH>
                <wp:positionV relativeFrom="paragraph">
                  <wp:posOffset>151765</wp:posOffset>
                </wp:positionV>
                <wp:extent cx="1082675" cy="1079500"/>
                <wp:effectExtent l="0" t="0" r="22225" b="25400"/>
                <wp:wrapNone/>
                <wp:docPr id="414" name="Text Box 414"/>
                <wp:cNvGraphicFramePr/>
                <a:graphic xmlns:a="http://schemas.openxmlformats.org/drawingml/2006/main">
                  <a:graphicData uri="http://schemas.microsoft.com/office/word/2010/wordprocessingShape">
                    <wps:wsp>
                      <wps:cNvSpPr txBox="1"/>
                      <wps:spPr>
                        <a:xfrm>
                          <a:off x="0" y="0"/>
                          <a:ext cx="1082675" cy="1079500"/>
                        </a:xfrm>
                        <a:prstGeom prst="roundRect">
                          <a:avLst/>
                        </a:prstGeom>
                        <a:solidFill>
                          <a:sysClr val="window" lastClr="FFFFFF"/>
                        </a:solidFill>
                        <a:ln w="19050">
                          <a:solidFill>
                            <a:srgbClr val="839DCC"/>
                          </a:solidFill>
                        </a:ln>
                        <a:effectLst/>
                      </wps:spPr>
                      <wps:txbx>
                        <w:txbxContent>
                          <w:p w14:paraId="0B9231FB" w14:textId="52B995A7" w:rsidR="00876FFE" w:rsidRPr="00DB5379" w:rsidRDefault="00876FFE" w:rsidP="00F57B16">
                            <w:pPr>
                              <w:spacing w:before="0"/>
                              <w:ind w:firstLine="0"/>
                              <w:jc w:val="center"/>
                              <w:rPr>
                                <w:rFonts w:asciiTheme="minorHAnsi" w:hAnsiTheme="minorHAnsi" w:cstheme="minorHAnsi"/>
                                <w:lang w:val="uz-Cyrl-UZ"/>
                              </w:rPr>
                            </w:pPr>
                            <w:r w:rsidRPr="00DB5379">
                              <w:rPr>
                                <w:rFonts w:asciiTheme="minorHAnsi" w:hAnsiTheme="minorHAnsi" w:cstheme="minorHAnsi"/>
                                <w:spacing w:val="-16"/>
                                <w:lang w:val="uz-Cyrl-UZ"/>
                              </w:rPr>
                              <w:t xml:space="preserve">Аутоматизација </w:t>
                            </w:r>
                            <w:r w:rsidRPr="00DB5379">
                              <w:rPr>
                                <w:rFonts w:asciiTheme="minorHAnsi" w:hAnsiTheme="minorHAnsi" w:cstheme="minorHAnsi"/>
                                <w:lang w:val="uz-Cyrl-UZ"/>
                              </w:rPr>
                              <w:t>препорука у области ФУК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0BD1B6" id="Text Box 414" o:spid="_x0000_s1400" style="position:absolute;left:0;text-align:left;margin-left:538pt;margin-top:11.95pt;width:85.25pt;height: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" fillcolor="window" strokecolor="#839dcc" strokeweight="1.5pt">
                <v:textbox inset="0,0,0,0">
                  <w:txbxContent>
                    <w:p w14:paraId="0B9231FB" w14:textId="52B995A7" w:rsidR="00876FFE" w:rsidRPr="00DB5379" w:rsidRDefault="00876FFE" w:rsidP="00F57B16">
                      <w:pPr>
                        <w:spacing w:before="0"/>
                        <w:ind w:firstLine="0"/>
                        <w:jc w:val="center"/>
                        <w:rPr>
                          <w:rFonts w:asciiTheme="minorHAnsi" w:hAnsiTheme="minorHAnsi" w:cstheme="minorHAnsi"/>
                          <w:lang w:val="uz-Cyrl-UZ"/>
                        </w:rPr>
                      </w:pPr>
                      <w:r w:rsidRPr="00DB5379">
                        <w:rPr>
                          <w:rFonts w:asciiTheme="minorHAnsi" w:hAnsiTheme="minorHAnsi" w:cstheme="minorHAnsi"/>
                          <w:spacing w:val="-16"/>
                          <w:lang w:val="uz-Cyrl-UZ"/>
                        </w:rPr>
                        <w:t xml:space="preserve">Аутоматизација </w:t>
                      </w:r>
                      <w:r w:rsidRPr="00DB5379">
                        <w:rPr>
                          <w:rFonts w:asciiTheme="minorHAnsi" w:hAnsiTheme="minorHAnsi" w:cstheme="minorHAnsi"/>
                          <w:lang w:val="uz-Cyrl-UZ"/>
                        </w:rPr>
                        <w:t>препорука у области ФУК</w:t>
                      </w:r>
                    </w:p>
                  </w:txbxContent>
                </v:textbox>
              </v:roundrect>
            </w:pict>
          </mc:Fallback>
        </mc:AlternateContent>
      </w:r>
      <w:r w:rsidR="004279F8"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47840" behindDoc="0" locked="0" layoutInCell="1" allowOverlap="1" wp14:anchorId="196596BA" wp14:editId="210C3331">
                <wp:simplePos x="0" y="0"/>
                <wp:positionH relativeFrom="column">
                  <wp:posOffset>7975600</wp:posOffset>
                </wp:positionH>
                <wp:positionV relativeFrom="paragraph">
                  <wp:posOffset>24765</wp:posOffset>
                </wp:positionV>
                <wp:extent cx="180000" cy="0"/>
                <wp:effectExtent l="0" t="95250" r="0" b="95250"/>
                <wp:wrapNone/>
                <wp:docPr id="24" name="Straight Arrow Connector 24"/>
                <wp:cNvGraphicFramePr/>
                <a:graphic xmlns:a="http://schemas.openxmlformats.org/drawingml/2006/main">
                  <a:graphicData uri="http://schemas.microsoft.com/office/word/2010/wordprocessingShape">
                    <wps:wsp>
                      <wps:cNvCnPr/>
                      <wps:spPr>
                        <a:xfrm>
                          <a:off x="0" y="0"/>
                          <a:ext cx="180000" cy="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C8398" id="Straight Arrow Connector 24" o:spid="_x0000_s1026" type="#_x0000_t32" style="position:absolute;margin-left:628pt;margin-top:1.95pt;width:14.15pt;height:0;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" strokecolor="#839dcc" strokeweight="2.25pt">
                <v:stroke endarrow="block" joinstyle="miter"/>
              </v:shape>
            </w:pict>
          </mc:Fallback>
        </mc:AlternateContent>
      </w:r>
      <w:r w:rsidR="00BC2EBD"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18144" behindDoc="0" locked="0" layoutInCell="1" allowOverlap="1" wp14:anchorId="5BC89536" wp14:editId="6C149DE3">
                <wp:simplePos x="0" y="0"/>
                <wp:positionH relativeFrom="column">
                  <wp:posOffset>5372100</wp:posOffset>
                </wp:positionH>
                <wp:positionV relativeFrom="paragraph">
                  <wp:posOffset>139065</wp:posOffset>
                </wp:positionV>
                <wp:extent cx="1231900" cy="1062990"/>
                <wp:effectExtent l="0" t="0" r="25400" b="22860"/>
                <wp:wrapNone/>
                <wp:docPr id="615" name="Text Box 615"/>
                <wp:cNvGraphicFramePr/>
                <a:graphic xmlns:a="http://schemas.openxmlformats.org/drawingml/2006/main">
                  <a:graphicData uri="http://schemas.microsoft.com/office/word/2010/wordprocessingShape">
                    <wps:wsp>
                      <wps:cNvSpPr txBox="1"/>
                      <wps:spPr>
                        <a:xfrm>
                          <a:off x="0" y="0"/>
                          <a:ext cx="1231900" cy="1062990"/>
                        </a:xfrm>
                        <a:prstGeom prst="roundRect">
                          <a:avLst/>
                        </a:prstGeom>
                        <a:solidFill>
                          <a:sysClr val="window" lastClr="FFFFFF"/>
                        </a:solidFill>
                        <a:ln w="19050">
                          <a:solidFill>
                            <a:srgbClr val="839DCC"/>
                          </a:solidFill>
                        </a:ln>
                        <a:effectLst/>
                      </wps:spPr>
                      <wps:txbx>
                        <w:txbxContent>
                          <w:p w14:paraId="0F88BB9D" w14:textId="77777777" w:rsidR="00876FFE" w:rsidRPr="00BC2EBD" w:rsidRDefault="00876FFE" w:rsidP="00DB5379">
                            <w:pPr>
                              <w:spacing w:before="0"/>
                              <w:ind w:firstLine="0"/>
                              <w:jc w:val="center"/>
                              <w:rPr>
                                <w:rFonts w:asciiTheme="minorHAnsi" w:hAnsiTheme="minorHAnsi" w:cstheme="minorHAnsi"/>
                                <w:lang w:val="sr"/>
                              </w:rPr>
                            </w:pPr>
                            <w:r w:rsidRPr="00BC2EBD">
                              <w:rPr>
                                <w:rFonts w:asciiTheme="minorHAnsi" w:hAnsiTheme="minorHAnsi" w:cstheme="minorHAnsi"/>
                                <w:lang w:val="sr"/>
                              </w:rPr>
                              <w:t>Екстерна провера квалитета ИР независним рецензијама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C89536" id="Text Box 615" o:spid="_x0000_s1401" style="position:absolute;left:0;text-align:left;margin-left:423pt;margin-top:10.95pt;width:97pt;height:83.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" fillcolor="window" strokecolor="#839dcc" strokeweight="1.5pt">
                <v:textbox inset="0,0,0,0">
                  <w:txbxContent>
                    <w:p w14:paraId="0F88BB9D" w14:textId="77777777" w:rsidR="00876FFE" w:rsidRPr="00BC2EBD" w:rsidRDefault="00876FFE" w:rsidP="00DB5379">
                      <w:pPr>
                        <w:spacing w:before="0"/>
                        <w:ind w:firstLine="0"/>
                        <w:jc w:val="center"/>
                        <w:rPr>
                          <w:rFonts w:asciiTheme="minorHAnsi" w:hAnsiTheme="minorHAnsi" w:cstheme="minorHAnsi"/>
                          <w:lang w:val="sr"/>
                        </w:rPr>
                      </w:pPr>
                      <w:r w:rsidRPr="00BC2EBD">
                        <w:rPr>
                          <w:rFonts w:asciiTheme="minorHAnsi" w:hAnsiTheme="minorHAnsi" w:cstheme="minorHAnsi"/>
                          <w:lang w:val="sr"/>
                        </w:rPr>
                        <w:t>Екстерна провера квалитета ИР независним рецензијама</w:t>
                      </w:r>
                    </w:p>
                  </w:txbxContent>
                </v:textbox>
              </v:roundrect>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699712" behindDoc="0" locked="0" layoutInCell="1" allowOverlap="1" wp14:anchorId="775FE775" wp14:editId="6DFA0B6B">
                <wp:simplePos x="0" y="0"/>
                <wp:positionH relativeFrom="column">
                  <wp:posOffset>-520700</wp:posOffset>
                </wp:positionH>
                <wp:positionV relativeFrom="paragraph">
                  <wp:posOffset>202565</wp:posOffset>
                </wp:positionV>
                <wp:extent cx="2628900" cy="728345"/>
                <wp:effectExtent l="0" t="0" r="19050" b="14605"/>
                <wp:wrapNone/>
                <wp:docPr id="649" name="Text Box 649"/>
                <wp:cNvGraphicFramePr/>
                <a:graphic xmlns:a="http://schemas.openxmlformats.org/drawingml/2006/main">
                  <a:graphicData uri="http://schemas.microsoft.com/office/word/2010/wordprocessingShape">
                    <wps:wsp>
                      <wps:cNvSpPr txBox="1"/>
                      <wps:spPr>
                        <a:xfrm>
                          <a:off x="0" y="0"/>
                          <a:ext cx="2628900" cy="728345"/>
                        </a:xfrm>
                        <a:prstGeom prst="roundRect">
                          <a:avLst/>
                        </a:prstGeom>
                        <a:solidFill>
                          <a:sysClr val="window" lastClr="FFFFFF"/>
                        </a:solidFill>
                        <a:ln w="19050">
                          <a:solidFill>
                            <a:srgbClr val="839DCC"/>
                          </a:solidFill>
                        </a:ln>
                        <a:effectLst/>
                      </wps:spPr>
                      <wps:txbx>
                        <w:txbxContent>
                          <w:p w14:paraId="37FA11C6" w14:textId="1DC06D61" w:rsidR="00876FFE" w:rsidRPr="006865AE" w:rsidRDefault="00876FFE" w:rsidP="006865AE">
                            <w:pPr>
                              <w:spacing w:before="0"/>
                              <w:ind w:firstLine="0"/>
                              <w:jc w:val="center"/>
                              <w:rPr>
                                <w:rFonts w:asciiTheme="minorHAnsi" w:hAnsiTheme="minorHAnsi" w:cstheme="minorHAnsi"/>
                                <w:lang w:val="en-US"/>
                              </w:rPr>
                            </w:pPr>
                            <w:r w:rsidRPr="006865AE">
                              <w:rPr>
                                <w:rFonts w:asciiTheme="minorHAnsi" w:hAnsiTheme="minorHAnsi" w:cstheme="minorHAnsi"/>
                                <w:lang w:val="sr"/>
                              </w:rPr>
                              <w:t>Унапређена јединствена методологија за процену трошкова</w:t>
                            </w:r>
                            <w:r w:rsidRPr="006865AE">
                              <w:rPr>
                                <w:rFonts w:asciiTheme="minorHAnsi" w:hAnsiTheme="minorHAnsi" w:cstheme="minorHAnsi"/>
                                <w:lang w:val="en-US"/>
                              </w:rPr>
                              <w:t xml:space="preserve"> (</w:t>
                            </w:r>
                            <w:r w:rsidRPr="006865AE">
                              <w:rPr>
                                <w:rFonts w:asciiTheme="minorHAnsi" w:hAnsiTheme="minorHAnsi" w:cstheme="minorHAnsi"/>
                                <w:lang w:val="sr"/>
                              </w:rPr>
                              <w:t>путем уредби</w:t>
                            </w:r>
                            <w:r w:rsidRPr="006865AE">
                              <w:rPr>
                                <w:rFonts w:asciiTheme="minorHAnsi" w:hAnsiTheme="minorHAnsi" w:cstheme="minorHAnsi"/>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5FE775" id="Text Box 649" o:spid="_x0000_s1402" style="position:absolute;left:0;text-align:left;margin-left:-41pt;margin-top:15.95pt;width:207pt;height:57.3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" fillcolor="window" strokecolor="#839dcc" strokeweight="1.5pt">
                <v:textbox inset="0,0,0,0">
                  <w:txbxContent>
                    <w:p w14:paraId="37FA11C6" w14:textId="1DC06D61" w:rsidR="00876FFE" w:rsidRPr="006865AE" w:rsidRDefault="00876FFE" w:rsidP="006865AE">
                      <w:pPr>
                        <w:spacing w:before="0"/>
                        <w:ind w:firstLine="0"/>
                        <w:jc w:val="center"/>
                        <w:rPr>
                          <w:rFonts w:asciiTheme="minorHAnsi" w:hAnsiTheme="minorHAnsi" w:cstheme="minorHAnsi"/>
                          <w:lang w:val="en-US"/>
                        </w:rPr>
                      </w:pPr>
                      <w:r w:rsidRPr="006865AE">
                        <w:rPr>
                          <w:rFonts w:asciiTheme="minorHAnsi" w:hAnsiTheme="minorHAnsi" w:cstheme="minorHAnsi"/>
                          <w:lang w:val="sr"/>
                        </w:rPr>
                        <w:t xml:space="preserve">Унапређена </w:t>
                      </w:r>
                      <w:r w:rsidRPr="006865AE">
                        <w:rPr>
                          <w:rFonts w:asciiTheme="minorHAnsi" w:hAnsiTheme="minorHAnsi" w:cstheme="minorHAnsi"/>
                          <w:lang w:val="sr"/>
                        </w:rPr>
                        <w:t>јединствена методологија за процену трошкова</w:t>
                      </w:r>
                      <w:r w:rsidRPr="006865AE">
                        <w:rPr>
                          <w:rFonts w:asciiTheme="minorHAnsi" w:hAnsiTheme="minorHAnsi" w:cstheme="minorHAnsi"/>
                          <w:lang w:val="en-US"/>
                        </w:rPr>
                        <w:t xml:space="preserve"> (</w:t>
                      </w:r>
                      <w:r w:rsidRPr="006865AE">
                        <w:rPr>
                          <w:rFonts w:asciiTheme="minorHAnsi" w:hAnsiTheme="minorHAnsi" w:cstheme="minorHAnsi"/>
                          <w:lang w:val="sr"/>
                        </w:rPr>
                        <w:t>путем уредби</w:t>
                      </w:r>
                      <w:r w:rsidRPr="006865AE">
                        <w:rPr>
                          <w:rFonts w:asciiTheme="minorHAnsi" w:hAnsiTheme="minorHAnsi" w:cstheme="minorHAnsi"/>
                          <w:lang w:val="en-US"/>
                        </w:rPr>
                        <w:t>)</w:t>
                      </w:r>
                    </w:p>
                  </w:txbxContent>
                </v:textbox>
              </v:roundrect>
            </w:pict>
          </mc:Fallback>
        </mc:AlternateContent>
      </w:r>
    </w:p>
    <w:p w14:paraId="6201BABB" w14:textId="1E614B40" w:rsidR="002B4D2B" w:rsidRPr="000F0299" w:rsidRDefault="002B4D2B" w:rsidP="00696BDB">
      <w:pPr>
        <w:suppressAutoHyphens w:val="0"/>
        <w:autoSpaceDN/>
        <w:spacing w:before="0" w:after="0"/>
        <w:ind w:firstLine="0"/>
        <w:textAlignment w:val="auto"/>
        <w:rPr>
          <w:rFonts w:eastAsia="Times New Roman"/>
          <w:kern w:val="0"/>
          <w:sz w:val="20"/>
          <w:szCs w:val="20"/>
          <w:lang w:eastAsia="en-GB"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60128" behindDoc="0" locked="0" layoutInCell="1" allowOverlap="1" wp14:anchorId="5F17C303" wp14:editId="2C94EEC0">
                <wp:simplePos x="0" y="0"/>
                <wp:positionH relativeFrom="column">
                  <wp:posOffset>13436600</wp:posOffset>
                </wp:positionH>
                <wp:positionV relativeFrom="paragraph">
                  <wp:posOffset>81915</wp:posOffset>
                </wp:positionV>
                <wp:extent cx="0" cy="363855"/>
                <wp:effectExtent l="57150" t="38100" r="57150" b="17145"/>
                <wp:wrapNone/>
                <wp:docPr id="57" name="Straight Arrow Connector 57"/>
                <wp:cNvGraphicFramePr/>
                <a:graphic xmlns:a="http://schemas.openxmlformats.org/drawingml/2006/main">
                  <a:graphicData uri="http://schemas.microsoft.com/office/word/2010/wordprocessingShape">
                    <wps:wsp>
                      <wps:cNvCnPr/>
                      <wps:spPr>
                        <a:xfrm flipV="1">
                          <a:off x="0" y="0"/>
                          <a:ext cx="0" cy="363855"/>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2B9A7E" id="Straight Arrow Connector 57" o:spid="_x0000_s1026" type="#_x0000_t32" style="position:absolute;margin-left:1058pt;margin-top:6.45pt;width:0;height:28.65pt;flip:y;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" strokecolor="#839dcc" strokeweight="2.25pt">
                <v:stroke endarrow="block" joinstyle="miter"/>
              </v:shape>
            </w:pict>
          </mc:Fallback>
        </mc:AlternateContent>
      </w:r>
    </w:p>
    <w:p w14:paraId="77657391" w14:textId="48BAFC93" w:rsidR="002B4D2B" w:rsidRPr="000F0299" w:rsidRDefault="000D7EF9" w:rsidP="00696BDB">
      <w:pPr>
        <w:suppressAutoHyphens w:val="0"/>
        <w:autoSpaceDN/>
        <w:spacing w:before="0" w:after="0"/>
        <w:ind w:firstLine="0"/>
        <w:textAlignment w:val="auto"/>
        <w:rPr>
          <w:rFonts w:eastAsia="Times New Roman"/>
          <w:kern w:val="0"/>
          <w:sz w:val="20"/>
          <w:szCs w:val="20"/>
          <w:lang w:eastAsia="en-GB" w:bidi="ar-SA"/>
        </w:rPr>
        <w:sectPr w:rsidR="002B4D2B" w:rsidRPr="000F0299" w:rsidSect="00545D24">
          <w:headerReference w:type="default" r:id="rId166"/>
          <w:footerReference w:type="default" r:id="rId167"/>
          <w:pgSz w:w="23814" w:h="16839" w:orient="landscape" w:code="8"/>
          <w:pgMar w:top="720" w:right="1440" w:bottom="720" w:left="1440" w:header="706" w:footer="706" w:gutter="0"/>
          <w:cols w:space="708"/>
          <w:docGrid w:linePitch="360"/>
        </w:sectPr>
      </w:pPr>
      <w:r w:rsidRPr="000F0299">
        <w:rPr>
          <w:rFonts w:eastAsiaTheme="minorHAnsi" w:cstheme="minorBidi"/>
          <w:noProof/>
          <w:kern w:val="0"/>
          <w:sz w:val="20"/>
          <w:szCs w:val="22"/>
          <w:lang w:val="en-US" w:eastAsia="en-US" w:bidi="ar-SA"/>
        </w:rPr>
        <mc:AlternateContent>
          <mc:Choice Requires="wpg">
            <w:drawing>
              <wp:anchor distT="0" distB="0" distL="114300" distR="114300" simplePos="0" relativeHeight="252006912" behindDoc="0" locked="0" layoutInCell="1" allowOverlap="1" wp14:anchorId="3A7E7A53" wp14:editId="6897FE5C">
                <wp:simplePos x="0" y="0"/>
                <wp:positionH relativeFrom="column">
                  <wp:posOffset>5105400</wp:posOffset>
                </wp:positionH>
                <wp:positionV relativeFrom="paragraph">
                  <wp:posOffset>2075180</wp:posOffset>
                </wp:positionV>
                <wp:extent cx="4394200" cy="1036955"/>
                <wp:effectExtent l="0" t="0" r="6350" b="0"/>
                <wp:wrapNone/>
                <wp:docPr id="161" name="Group 161"/>
                <wp:cNvGraphicFramePr/>
                <a:graphic xmlns:a="http://schemas.openxmlformats.org/drawingml/2006/main">
                  <a:graphicData uri="http://schemas.microsoft.com/office/word/2010/wordprocessingGroup">
                    <wpg:wgp>
                      <wpg:cNvGrpSpPr/>
                      <wpg:grpSpPr>
                        <a:xfrm>
                          <a:off x="0" y="0"/>
                          <a:ext cx="4394200" cy="1036955"/>
                          <a:chOff x="0" y="0"/>
                          <a:chExt cx="4394200" cy="1036955"/>
                        </a:xfrm>
                      </wpg:grpSpPr>
                      <wps:wsp>
                        <wps:cNvPr id="412" name="Text Box 412"/>
                        <wps:cNvSpPr txBox="1"/>
                        <wps:spPr>
                          <a:xfrm>
                            <a:off x="304800" y="0"/>
                            <a:ext cx="2425700" cy="647700"/>
                          </a:xfrm>
                          <a:prstGeom prst="roundRect">
                            <a:avLst/>
                          </a:prstGeom>
                          <a:solidFill>
                            <a:sysClr val="window" lastClr="FFFFFF"/>
                          </a:solidFill>
                          <a:ln w="19050">
                            <a:solidFill>
                              <a:srgbClr val="839DCC"/>
                            </a:solidFill>
                          </a:ln>
                          <a:effectLst/>
                        </wps:spPr>
                        <wps:txbx>
                          <w:txbxContent>
                            <w:p w14:paraId="029429A7" w14:textId="77777777" w:rsidR="00876FFE" w:rsidRPr="00BC2EBD" w:rsidRDefault="00876FFE" w:rsidP="00DB5379">
                              <w:pPr>
                                <w:spacing w:before="0"/>
                                <w:ind w:firstLine="0"/>
                                <w:jc w:val="center"/>
                                <w:rPr>
                                  <w:rFonts w:asciiTheme="minorHAnsi" w:hAnsiTheme="minorHAnsi" w:cstheme="minorHAnsi"/>
                                  <w:lang w:val="uz-Cyrl-UZ"/>
                                </w:rPr>
                              </w:pPr>
                              <w:r w:rsidRPr="00BC2EBD">
                                <w:rPr>
                                  <w:rFonts w:asciiTheme="minorHAnsi" w:hAnsiTheme="minorHAnsi" w:cstheme="minorHAnsi"/>
                                  <w:lang w:val="uz-Cyrl-UZ"/>
                                </w:rPr>
                                <w:t>Ојачани капацитети интерних ревизора како би се осигурао квалитет ИР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 name="Text Box 160"/>
                        <wps:cNvSpPr txBox="1"/>
                        <wps:spPr>
                          <a:xfrm>
                            <a:off x="0" y="702310"/>
                            <a:ext cx="4394200" cy="334645"/>
                          </a:xfrm>
                          <a:prstGeom prst="rect">
                            <a:avLst/>
                          </a:prstGeom>
                          <a:solidFill>
                            <a:prstClr val="white"/>
                          </a:solidFill>
                          <a:ln>
                            <a:noFill/>
                          </a:ln>
                        </wps:spPr>
                        <wps:txbx>
                          <w:txbxContent>
                            <w:p w14:paraId="3154D515" w14:textId="51B4C555" w:rsidR="00876FFE" w:rsidRPr="00121529" w:rsidRDefault="00876FFE" w:rsidP="00121529">
                              <w:pPr>
                                <w:pStyle w:val="Caption"/>
                                <w:rPr>
                                  <w:rFonts w:eastAsiaTheme="minorHAnsi"/>
                                  <w:i w:val="0"/>
                                  <w:iCs w:val="0"/>
                                  <w:noProof/>
                                  <w:sz w:val="20"/>
                                </w:rPr>
                              </w:pPr>
                              <w:bookmarkStart w:id="260" w:name="_Toc57665369"/>
                              <w:r w:rsidRPr="00121529">
                                <w:rPr>
                                  <w:i w:val="0"/>
                                  <w:iCs w:val="0"/>
                                </w:rPr>
                                <w:t xml:space="preserve">Графикон </w:t>
                              </w:r>
                              <w:r w:rsidRPr="00121529">
                                <w:rPr>
                                  <w:i w:val="0"/>
                                  <w:iCs w:val="0"/>
                                </w:rPr>
                                <w:fldChar w:fldCharType="begin"/>
                              </w:r>
                              <w:r w:rsidRPr="00121529">
                                <w:rPr>
                                  <w:i w:val="0"/>
                                  <w:iCs w:val="0"/>
                                </w:rPr>
                                <w:instrText xml:space="preserve"> SEQ Графикон \* ARABIC </w:instrText>
                              </w:r>
                              <w:r w:rsidRPr="00121529">
                                <w:rPr>
                                  <w:i w:val="0"/>
                                  <w:iCs w:val="0"/>
                                </w:rPr>
                                <w:fldChar w:fldCharType="separate"/>
                              </w:r>
                              <w:r>
                                <w:rPr>
                                  <w:i w:val="0"/>
                                  <w:iCs w:val="0"/>
                                  <w:noProof/>
                                </w:rPr>
                                <w:t>33</w:t>
                              </w:r>
                              <w:r w:rsidRPr="00121529">
                                <w:rPr>
                                  <w:i w:val="0"/>
                                  <w:iCs w:val="0"/>
                                </w:rPr>
                                <w:fldChar w:fldCharType="end"/>
                              </w:r>
                              <w:r w:rsidRPr="00121529">
                                <w:rPr>
                                  <w:i w:val="0"/>
                                  <w:iCs w:val="0"/>
                                </w:rPr>
                                <w:t xml:space="preserve"> Правци деловања Програма реформе управљања јавним финансијама</w:t>
                              </w:r>
                              <w:bookmarkEnd w:id="2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7E7A53" id="Group 161" o:spid="_x0000_s1403" style="position:absolute;left:0;text-align:left;margin-left:402pt;margin-top:163.4pt;width:346pt;height:81.65pt;z-index:252006912;mso-width-relative:margin" coordsize="43942,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">
                <v:roundrect id="Text Box 412" o:spid="_x0000_s1404" style="position:absolute;left:3048;width:24257;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" fillcolor="window" strokecolor="#839dcc" strokeweight="1.5pt">
                  <v:textbox inset="0,0,0,0">
                    <w:txbxContent>
                      <w:p w14:paraId="029429A7" w14:textId="77777777" w:rsidR="00876FFE" w:rsidRPr="00BC2EBD" w:rsidRDefault="00876FFE" w:rsidP="00DB5379">
                        <w:pPr>
                          <w:spacing w:before="0"/>
                          <w:ind w:firstLine="0"/>
                          <w:jc w:val="center"/>
                          <w:rPr>
                            <w:rFonts w:asciiTheme="minorHAnsi" w:hAnsiTheme="minorHAnsi" w:cstheme="minorHAnsi"/>
                            <w:lang w:val="uz-Cyrl-UZ"/>
                          </w:rPr>
                        </w:pPr>
                        <w:r w:rsidRPr="00BC2EBD">
                          <w:rPr>
                            <w:rFonts w:asciiTheme="minorHAnsi" w:hAnsiTheme="minorHAnsi" w:cstheme="minorHAnsi"/>
                            <w:lang w:val="uz-Cyrl-UZ"/>
                          </w:rPr>
                          <w:t>Ојачани капацитети интерних ревизора како би се осигурао квалитет ИР</w:t>
                        </w:r>
                      </w:p>
                    </w:txbxContent>
                  </v:textbox>
                </v:roundrect>
                <v:shape id="Text Box 160" o:spid="_x0000_s1405" type="#_x0000_t202" style="position:absolute;top:7023;width:43942;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" stroked="f">
                  <v:textbox style="mso-fit-shape-to-text:t" inset="0,0,0,0">
                    <w:txbxContent>
                      <w:p w14:paraId="3154D515" w14:textId="51B4C555" w:rsidR="00876FFE" w:rsidRPr="00121529" w:rsidRDefault="00876FFE" w:rsidP="00121529">
                        <w:pPr>
                          <w:pStyle w:val="Caption"/>
                          <w:rPr>
                            <w:rFonts w:eastAsiaTheme="minorHAnsi"/>
                            <w:i w:val="0"/>
                            <w:iCs w:val="0"/>
                            <w:noProof/>
                            <w:sz w:val="20"/>
                          </w:rPr>
                        </w:pPr>
                        <w:bookmarkStart w:id="282" w:name="_Toc57665369"/>
                        <w:r w:rsidRPr="00121529">
                          <w:rPr>
                            <w:i w:val="0"/>
                            <w:iCs w:val="0"/>
                          </w:rPr>
                          <w:t xml:space="preserve">Графикон </w:t>
                        </w:r>
                        <w:r w:rsidRPr="00121529">
                          <w:rPr>
                            <w:i w:val="0"/>
                            <w:iCs w:val="0"/>
                          </w:rPr>
                          <w:fldChar w:fldCharType="begin"/>
                        </w:r>
                        <w:r w:rsidRPr="00121529">
                          <w:rPr>
                            <w:i w:val="0"/>
                            <w:iCs w:val="0"/>
                          </w:rPr>
                          <w:instrText xml:space="preserve"> SEQ Графикон \* ARABIC </w:instrText>
                        </w:r>
                        <w:r w:rsidRPr="00121529">
                          <w:rPr>
                            <w:i w:val="0"/>
                            <w:iCs w:val="0"/>
                          </w:rPr>
                          <w:fldChar w:fldCharType="separate"/>
                        </w:r>
                        <w:r>
                          <w:rPr>
                            <w:i w:val="0"/>
                            <w:iCs w:val="0"/>
                            <w:noProof/>
                          </w:rPr>
                          <w:t>33</w:t>
                        </w:r>
                        <w:r w:rsidRPr="00121529">
                          <w:rPr>
                            <w:i w:val="0"/>
                            <w:iCs w:val="0"/>
                          </w:rPr>
                          <w:fldChar w:fldCharType="end"/>
                        </w:r>
                        <w:r w:rsidRPr="00121529">
                          <w:rPr>
                            <w:i w:val="0"/>
                            <w:iCs w:val="0"/>
                          </w:rPr>
                          <w:t xml:space="preserve"> Правци деловања Програма реформе управљања јавним финансијама</w:t>
                        </w:r>
                        <w:bookmarkEnd w:id="282"/>
                      </w:p>
                    </w:txbxContent>
                  </v:textbox>
                </v:shape>
              </v:group>
            </w:pict>
          </mc:Fallback>
        </mc:AlternateContent>
      </w:r>
      <w:r w:rsidR="00975737"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63200" behindDoc="0" locked="0" layoutInCell="1" allowOverlap="1" wp14:anchorId="3E8E55EC" wp14:editId="2A05FB9F">
                <wp:simplePos x="0" y="0"/>
                <wp:positionH relativeFrom="column">
                  <wp:posOffset>6635750</wp:posOffset>
                </wp:positionH>
                <wp:positionV relativeFrom="paragraph">
                  <wp:posOffset>1416050</wp:posOffset>
                </wp:positionV>
                <wp:extent cx="612000" cy="0"/>
                <wp:effectExtent l="0" t="95250" r="0" b="95250"/>
                <wp:wrapNone/>
                <wp:docPr id="651" name="Straight Arrow Connector 651"/>
                <wp:cNvGraphicFramePr/>
                <a:graphic xmlns:a="http://schemas.openxmlformats.org/drawingml/2006/main">
                  <a:graphicData uri="http://schemas.microsoft.com/office/word/2010/wordprocessingShape">
                    <wps:wsp>
                      <wps:cNvCnPr/>
                      <wps:spPr>
                        <a:xfrm flipH="1">
                          <a:off x="0" y="0"/>
                          <a:ext cx="612000" cy="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62E4B5" id="Straight Arrow Connector 651" o:spid="_x0000_s1026" type="#_x0000_t32" style="position:absolute;margin-left:522.5pt;margin-top:111.5pt;width:48.2pt;height:0;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" strokecolor="#839dcc" strokeweight="2.25pt">
                <v:stroke endarrow="block" joinstyle="miter"/>
              </v:shape>
            </w:pict>
          </mc:Fallback>
        </mc:AlternateContent>
      </w:r>
      <w:r w:rsidR="00975737"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31456" behindDoc="0" locked="0" layoutInCell="1" allowOverlap="1" wp14:anchorId="1FE7F84B" wp14:editId="4292C154">
                <wp:simplePos x="0" y="0"/>
                <wp:positionH relativeFrom="page">
                  <wp:posOffset>8153400</wp:posOffset>
                </wp:positionH>
                <wp:positionV relativeFrom="paragraph">
                  <wp:posOffset>977265</wp:posOffset>
                </wp:positionV>
                <wp:extent cx="0" cy="468000"/>
                <wp:effectExtent l="19050" t="0" r="19050" b="27305"/>
                <wp:wrapNone/>
                <wp:docPr id="315" name="Straight Arrow Connector 315"/>
                <wp:cNvGraphicFramePr/>
                <a:graphic xmlns:a="http://schemas.openxmlformats.org/drawingml/2006/main">
                  <a:graphicData uri="http://schemas.microsoft.com/office/word/2010/wordprocessingShape">
                    <wps:wsp>
                      <wps:cNvCnPr/>
                      <wps:spPr>
                        <a:xfrm>
                          <a:off x="0" y="0"/>
                          <a:ext cx="0" cy="468000"/>
                        </a:xfrm>
                        <a:prstGeom prst="straightConnector1">
                          <a:avLst/>
                        </a:prstGeom>
                        <a:noFill/>
                        <a:ln w="28575" cap="flat" cmpd="sng" algn="ctr">
                          <a:solidFill>
                            <a:srgbClr val="839D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9A5B17" id="Straight Arrow Connector 315" o:spid="_x0000_s1026" type="#_x0000_t32" style="position:absolute;margin-left:642pt;margin-top:76.95pt;width:0;height:36.8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" strokecolor="#839dcc" strokeweight="2.25pt">
                <v:stroke joinstyle="miter"/>
                <w10:wrap anchorx="page"/>
              </v:shape>
            </w:pict>
          </mc:Fallback>
        </mc:AlternateContent>
      </w:r>
      <w:r w:rsidR="004279F8"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46816" behindDoc="0" locked="0" layoutInCell="1" allowOverlap="1" wp14:anchorId="5ABC8FF6" wp14:editId="130F80B2">
                <wp:simplePos x="0" y="0"/>
                <wp:positionH relativeFrom="column">
                  <wp:posOffset>7962900</wp:posOffset>
                </wp:positionH>
                <wp:positionV relativeFrom="paragraph">
                  <wp:posOffset>1167765</wp:posOffset>
                </wp:positionV>
                <wp:extent cx="168910" cy="0"/>
                <wp:effectExtent l="0" t="95250" r="0" b="95250"/>
                <wp:wrapNone/>
                <wp:docPr id="28" name="Straight Arrow Connector 28"/>
                <wp:cNvGraphicFramePr/>
                <a:graphic xmlns:a="http://schemas.openxmlformats.org/drawingml/2006/main">
                  <a:graphicData uri="http://schemas.microsoft.com/office/word/2010/wordprocessingShape">
                    <wps:wsp>
                      <wps:cNvCnPr/>
                      <wps:spPr>
                        <a:xfrm>
                          <a:off x="0" y="0"/>
                          <a:ext cx="168910" cy="0"/>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2FB16E" id="Straight Arrow Connector 28" o:spid="_x0000_s1026" type="#_x0000_t32" style="position:absolute;margin-left:627pt;margin-top:91.95pt;width:13.3pt;height:0;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" strokecolor="#839dcc" strokeweight="2.25pt">
                <v:stroke endarrow="block" joinstyle="miter"/>
              </v:shape>
            </w:pict>
          </mc:Fallback>
        </mc:AlternateContent>
      </w:r>
      <w:r w:rsidR="004279F8"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28384" behindDoc="0" locked="0" layoutInCell="1" allowOverlap="1" wp14:anchorId="3D8E12F4" wp14:editId="54C8E396">
                <wp:simplePos x="0" y="0"/>
                <wp:positionH relativeFrom="column">
                  <wp:posOffset>8111490</wp:posOffset>
                </wp:positionH>
                <wp:positionV relativeFrom="paragraph">
                  <wp:posOffset>354965</wp:posOffset>
                </wp:positionV>
                <wp:extent cx="1333500" cy="1685581"/>
                <wp:effectExtent l="0" t="0" r="19050" b="10160"/>
                <wp:wrapNone/>
                <wp:docPr id="314" name="Text Box 314"/>
                <wp:cNvGraphicFramePr/>
                <a:graphic xmlns:a="http://schemas.openxmlformats.org/drawingml/2006/main">
                  <a:graphicData uri="http://schemas.microsoft.com/office/word/2010/wordprocessingShape">
                    <wps:wsp>
                      <wps:cNvSpPr txBox="1"/>
                      <wps:spPr>
                        <a:xfrm>
                          <a:off x="0" y="0"/>
                          <a:ext cx="1333500" cy="1685581"/>
                        </a:xfrm>
                        <a:prstGeom prst="roundRect">
                          <a:avLst/>
                        </a:prstGeom>
                        <a:solidFill>
                          <a:sysClr val="window" lastClr="FFFFFF"/>
                        </a:solidFill>
                        <a:ln w="19050">
                          <a:solidFill>
                            <a:srgbClr val="839DCC"/>
                          </a:solidFill>
                        </a:ln>
                        <a:effectLst/>
                      </wps:spPr>
                      <wps:txbx>
                        <w:txbxContent>
                          <w:p w14:paraId="45C5B3CC" w14:textId="77777777" w:rsidR="00876FFE" w:rsidRPr="00F57B16" w:rsidRDefault="00876FFE" w:rsidP="004279F8">
                            <w:pPr>
                              <w:spacing w:before="0"/>
                              <w:ind w:firstLine="0"/>
                              <w:jc w:val="center"/>
                              <w:rPr>
                                <w:rFonts w:asciiTheme="minorHAnsi" w:hAnsiTheme="minorHAnsi" w:cstheme="minorHAnsi"/>
                                <w:lang w:val="uz-Cyrl-UZ"/>
                              </w:rPr>
                            </w:pPr>
                            <w:r w:rsidRPr="00F57B16">
                              <w:rPr>
                                <w:rFonts w:asciiTheme="minorHAnsi" w:hAnsiTheme="minorHAnsi" w:cstheme="minorHAnsi"/>
                                <w:lang w:val="uz-Cyrl-UZ"/>
                              </w:rPr>
                              <w:t>Израда методолошких алата прилагођених потребама корисника јавнох средстава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8E12F4" id="Text Box 314" o:spid="_x0000_s1406" style="position:absolute;left:0;text-align:left;margin-left:638.7pt;margin-top:27.95pt;width:105pt;height:132.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" fillcolor="window" strokecolor="#839dcc" strokeweight="1.5pt">
                <v:textbox inset="0,0,0,0">
                  <w:txbxContent>
                    <w:p w14:paraId="45C5B3CC" w14:textId="77777777" w:rsidR="00876FFE" w:rsidRPr="00F57B16" w:rsidRDefault="00876FFE" w:rsidP="004279F8">
                      <w:pPr>
                        <w:spacing w:before="0"/>
                        <w:ind w:firstLine="0"/>
                        <w:jc w:val="center"/>
                        <w:rPr>
                          <w:rFonts w:asciiTheme="minorHAnsi" w:hAnsiTheme="minorHAnsi" w:cstheme="minorHAnsi"/>
                          <w:lang w:val="uz-Cyrl-UZ"/>
                        </w:rPr>
                      </w:pPr>
                      <w:r w:rsidRPr="00F57B16">
                        <w:rPr>
                          <w:rFonts w:asciiTheme="minorHAnsi" w:hAnsiTheme="minorHAnsi" w:cstheme="minorHAnsi"/>
                          <w:lang w:val="uz-Cyrl-UZ"/>
                        </w:rPr>
                        <w:t>Израда методолошких алата прилагођених потребама корисника јавнох средстава</w:t>
                      </w:r>
                    </w:p>
                  </w:txbxContent>
                </v:textbox>
              </v:roundrect>
            </w:pict>
          </mc:Fallback>
        </mc:AlternateContent>
      </w:r>
      <w:r w:rsidR="00F57B16"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52960" behindDoc="0" locked="0" layoutInCell="1" allowOverlap="1" wp14:anchorId="690D7503" wp14:editId="39CFD0CD">
                <wp:simplePos x="0" y="0"/>
                <wp:positionH relativeFrom="column">
                  <wp:posOffset>6692900</wp:posOffset>
                </wp:positionH>
                <wp:positionV relativeFrom="paragraph">
                  <wp:posOffset>672465</wp:posOffset>
                </wp:positionV>
                <wp:extent cx="143510" cy="0"/>
                <wp:effectExtent l="0" t="95250" r="0" b="95250"/>
                <wp:wrapNone/>
                <wp:docPr id="34" name="Straight Arrow Connector 34"/>
                <wp:cNvGraphicFramePr/>
                <a:graphic xmlns:a="http://schemas.openxmlformats.org/drawingml/2006/main">
                  <a:graphicData uri="http://schemas.microsoft.com/office/word/2010/wordprocessingShape">
                    <wps:wsp>
                      <wps:cNvCnPr/>
                      <wps:spPr>
                        <a:xfrm>
                          <a:off x="0" y="0"/>
                          <a:ext cx="143510" cy="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19269D" id="Straight Arrow Connector 34" o:spid="_x0000_s1026" type="#_x0000_t32" style="position:absolute;margin-left:527pt;margin-top:52.95pt;width:11.3pt;height:0;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" strokecolor="#839dcc" strokeweight="2.25pt">
                <v:stroke endarrow="block" joinstyle="miter"/>
              </v:shape>
            </w:pict>
          </mc:Fallback>
        </mc:AlternateContent>
      </w:r>
      <w:r w:rsidR="00DB537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21216" behindDoc="0" locked="0" layoutInCell="1" allowOverlap="1" wp14:anchorId="01D685F7" wp14:editId="748A241B">
                <wp:simplePos x="0" y="0"/>
                <wp:positionH relativeFrom="column">
                  <wp:posOffset>5410200</wp:posOffset>
                </wp:positionH>
                <wp:positionV relativeFrom="paragraph">
                  <wp:posOffset>1015365</wp:posOffset>
                </wp:positionV>
                <wp:extent cx="1219200" cy="952500"/>
                <wp:effectExtent l="0" t="0" r="19050" b="19050"/>
                <wp:wrapNone/>
                <wp:docPr id="411" name="Text Box 411"/>
                <wp:cNvGraphicFramePr/>
                <a:graphic xmlns:a="http://schemas.openxmlformats.org/drawingml/2006/main">
                  <a:graphicData uri="http://schemas.microsoft.com/office/word/2010/wordprocessingShape">
                    <wps:wsp>
                      <wps:cNvSpPr txBox="1"/>
                      <wps:spPr>
                        <a:xfrm>
                          <a:off x="0" y="0"/>
                          <a:ext cx="1219200" cy="952500"/>
                        </a:xfrm>
                        <a:prstGeom prst="roundRect">
                          <a:avLst/>
                        </a:prstGeom>
                        <a:solidFill>
                          <a:sysClr val="window" lastClr="FFFFFF"/>
                        </a:solidFill>
                        <a:ln w="19050">
                          <a:solidFill>
                            <a:srgbClr val="839DCC"/>
                          </a:solidFill>
                        </a:ln>
                        <a:effectLst/>
                      </wps:spPr>
                      <wps:txbx>
                        <w:txbxContent>
                          <w:p w14:paraId="33C06103" w14:textId="77777777" w:rsidR="00876FFE" w:rsidRPr="00BC2EBD" w:rsidRDefault="00876FFE" w:rsidP="00DB5379">
                            <w:pPr>
                              <w:spacing w:before="0"/>
                              <w:ind w:firstLine="0"/>
                              <w:jc w:val="center"/>
                              <w:rPr>
                                <w:rFonts w:asciiTheme="minorHAnsi" w:hAnsiTheme="minorHAnsi" w:cstheme="minorHAnsi"/>
                                <w:lang w:val="sr"/>
                              </w:rPr>
                            </w:pPr>
                            <w:r w:rsidRPr="00BC2EBD">
                              <w:rPr>
                                <w:rFonts w:asciiTheme="minorHAnsi" w:hAnsiTheme="minorHAnsi" w:cstheme="minorHAnsi"/>
                                <w:lang w:val="sr"/>
                              </w:rPr>
                              <w:t>Софтвер за хармонизацију интерне ревизије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D685F7" id="Text Box 411" o:spid="_x0000_s1407" style="position:absolute;left:0;text-align:left;margin-left:426pt;margin-top:79.95pt;width:96pt;height: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" fillcolor="window" strokecolor="#839dcc" strokeweight="1.5pt">
                <v:textbox inset="0,0,0,0">
                  <w:txbxContent>
                    <w:p w14:paraId="33C06103" w14:textId="77777777" w:rsidR="00876FFE" w:rsidRPr="00BC2EBD" w:rsidRDefault="00876FFE" w:rsidP="00DB5379">
                      <w:pPr>
                        <w:spacing w:before="0"/>
                        <w:ind w:firstLine="0"/>
                        <w:jc w:val="center"/>
                        <w:rPr>
                          <w:rFonts w:asciiTheme="minorHAnsi" w:hAnsiTheme="minorHAnsi" w:cstheme="minorHAnsi"/>
                          <w:lang w:val="sr"/>
                        </w:rPr>
                      </w:pPr>
                      <w:r w:rsidRPr="00BC2EBD">
                        <w:rPr>
                          <w:rFonts w:asciiTheme="minorHAnsi" w:hAnsiTheme="minorHAnsi" w:cstheme="minorHAnsi"/>
                          <w:lang w:val="sr"/>
                        </w:rPr>
                        <w:t>Софтвер за хармонизацију интерне ревизије</w:t>
                      </w:r>
                    </w:p>
                  </w:txbxContent>
                </v:textbox>
              </v:roundrect>
            </w:pict>
          </mc:Fallback>
        </mc:AlternateContent>
      </w:r>
      <w:r w:rsidR="00DB537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49888" behindDoc="0" locked="0" layoutInCell="1" allowOverlap="1" wp14:anchorId="23CDD51E" wp14:editId="729825A1">
                <wp:simplePos x="0" y="0"/>
                <wp:positionH relativeFrom="column">
                  <wp:posOffset>5194300</wp:posOffset>
                </wp:positionH>
                <wp:positionV relativeFrom="paragraph">
                  <wp:posOffset>2247265</wp:posOffset>
                </wp:positionV>
                <wp:extent cx="215900" cy="0"/>
                <wp:effectExtent l="0" t="95250" r="0" b="95250"/>
                <wp:wrapNone/>
                <wp:docPr id="35" name="Straight Arrow Connector 35"/>
                <wp:cNvGraphicFramePr/>
                <a:graphic xmlns:a="http://schemas.openxmlformats.org/drawingml/2006/main">
                  <a:graphicData uri="http://schemas.microsoft.com/office/word/2010/wordprocessingShape">
                    <wps:wsp>
                      <wps:cNvCnPr/>
                      <wps:spPr>
                        <a:xfrm>
                          <a:off x="0" y="0"/>
                          <a:ext cx="215900" cy="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4C35D8" id="Straight Arrow Connector 35" o:spid="_x0000_s1026" type="#_x0000_t32" style="position:absolute;margin-left:409pt;margin-top:176.95pt;width:17pt;height:0;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" strokecolor="#839dcc" strokeweight="2.25pt">
                <v:stroke endarrow="block" joinstyle="miter"/>
              </v:shape>
            </w:pict>
          </mc:Fallback>
        </mc:AlternateContent>
      </w:r>
      <w:r w:rsidR="00DB537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45792" behindDoc="0" locked="0" layoutInCell="1" allowOverlap="1" wp14:anchorId="5D0AC107" wp14:editId="51E87B36">
                <wp:simplePos x="0" y="0"/>
                <wp:positionH relativeFrom="column">
                  <wp:posOffset>5181600</wp:posOffset>
                </wp:positionH>
                <wp:positionV relativeFrom="paragraph">
                  <wp:posOffset>393065</wp:posOffset>
                </wp:positionV>
                <wp:extent cx="215900" cy="0"/>
                <wp:effectExtent l="0" t="95250" r="0" b="95250"/>
                <wp:wrapNone/>
                <wp:docPr id="316" name="Straight Arrow Connector 316"/>
                <wp:cNvGraphicFramePr/>
                <a:graphic xmlns:a="http://schemas.openxmlformats.org/drawingml/2006/main">
                  <a:graphicData uri="http://schemas.microsoft.com/office/word/2010/wordprocessingShape">
                    <wps:wsp>
                      <wps:cNvCnPr/>
                      <wps:spPr>
                        <a:xfrm>
                          <a:off x="0" y="0"/>
                          <a:ext cx="215900" cy="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9AE56" id="Straight Arrow Connector 316" o:spid="_x0000_s1026" type="#_x0000_t32" style="position:absolute;margin-left:408pt;margin-top:30.95pt;width:17pt;height:0;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" strokecolor="#839dcc" strokeweight="2.25pt">
                <v:stroke endarrow="block" joinstyle="miter"/>
              </v:shape>
            </w:pict>
          </mc:Fallback>
        </mc:AlternateContent>
      </w:r>
      <w:r w:rsidR="00DB5379"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48864" behindDoc="0" locked="0" layoutInCell="1" allowOverlap="1" wp14:anchorId="0052459F" wp14:editId="5ECBABD8">
                <wp:simplePos x="0" y="0"/>
                <wp:positionH relativeFrom="column">
                  <wp:posOffset>5181600</wp:posOffset>
                </wp:positionH>
                <wp:positionV relativeFrom="paragraph">
                  <wp:posOffset>1434465</wp:posOffset>
                </wp:positionV>
                <wp:extent cx="215900" cy="0"/>
                <wp:effectExtent l="0" t="95250" r="0" b="95250"/>
                <wp:wrapNone/>
                <wp:docPr id="36" name="Straight Arrow Connector 36"/>
                <wp:cNvGraphicFramePr/>
                <a:graphic xmlns:a="http://schemas.openxmlformats.org/drawingml/2006/main">
                  <a:graphicData uri="http://schemas.microsoft.com/office/word/2010/wordprocessingShape">
                    <wps:wsp>
                      <wps:cNvCnPr/>
                      <wps:spPr>
                        <a:xfrm>
                          <a:off x="0" y="0"/>
                          <a:ext cx="215900" cy="0"/>
                        </a:xfrm>
                        <a:prstGeom prst="straightConnector1">
                          <a:avLst/>
                        </a:prstGeom>
                        <a:noFill/>
                        <a:ln w="28575" cap="flat" cmpd="sng" algn="ctr">
                          <a:solidFill>
                            <a:srgbClr val="839DCC"/>
                          </a:solidFill>
                          <a:prstDash val="solid"/>
                          <a:miter lim="800000"/>
                          <a:tailEnd type="triangle"/>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C161A8" id="Straight Arrow Connector 36" o:spid="_x0000_s1026" type="#_x0000_t32" style="position:absolute;margin-left:408pt;margin-top:112.95pt;width:17pt;height:0;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" strokecolor="#839dcc" strokeweight="2.25pt">
                <v:stroke endarrow="block" joinstyle="miter"/>
              </v:shape>
            </w:pict>
          </mc:Fallback>
        </mc:AlternateContent>
      </w:r>
      <w:r w:rsidR="00BC2EBD"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32480" behindDoc="0" locked="0" layoutInCell="1" allowOverlap="1" wp14:anchorId="4834ED1C" wp14:editId="468C6685">
                <wp:simplePos x="0" y="0"/>
                <wp:positionH relativeFrom="column">
                  <wp:posOffset>2362200</wp:posOffset>
                </wp:positionH>
                <wp:positionV relativeFrom="paragraph">
                  <wp:posOffset>545465</wp:posOffset>
                </wp:positionV>
                <wp:extent cx="2663190" cy="719455"/>
                <wp:effectExtent l="0" t="0" r="22860" b="23495"/>
                <wp:wrapNone/>
                <wp:docPr id="31" name="Text Box 31"/>
                <wp:cNvGraphicFramePr/>
                <a:graphic xmlns:a="http://schemas.openxmlformats.org/drawingml/2006/main">
                  <a:graphicData uri="http://schemas.microsoft.com/office/word/2010/wordprocessingShape">
                    <wps:wsp>
                      <wps:cNvSpPr txBox="1"/>
                      <wps:spPr>
                        <a:xfrm>
                          <a:off x="0" y="0"/>
                          <a:ext cx="2663190" cy="719455"/>
                        </a:xfrm>
                        <a:prstGeom prst="roundRect">
                          <a:avLst/>
                        </a:prstGeom>
                        <a:solidFill>
                          <a:sysClr val="window" lastClr="FFFFFF"/>
                        </a:solidFill>
                        <a:ln w="19050">
                          <a:solidFill>
                            <a:srgbClr val="839DCC"/>
                          </a:solidFill>
                        </a:ln>
                        <a:effectLst/>
                      </wps:spPr>
                      <wps:txbx>
                        <w:txbxContent>
                          <w:p w14:paraId="780BC7E2" w14:textId="23E17286" w:rsidR="00876FFE" w:rsidRPr="00BC2EBD" w:rsidRDefault="00876FFE" w:rsidP="00DB5379">
                            <w:pPr>
                              <w:spacing w:before="0"/>
                              <w:ind w:firstLine="0"/>
                              <w:jc w:val="center"/>
                              <w:rPr>
                                <w:rFonts w:asciiTheme="minorHAnsi" w:hAnsiTheme="minorHAnsi" w:cstheme="minorHAnsi"/>
                                <w:lang w:val="uz-Cyrl-UZ"/>
                              </w:rPr>
                            </w:pPr>
                            <w:r w:rsidRPr="00BC2EBD">
                              <w:rPr>
                                <w:rFonts w:asciiTheme="minorHAnsi" w:hAnsiTheme="minorHAnsi" w:cstheme="minorHAnsi"/>
                                <w:lang w:val="uz-Cyrl-UZ"/>
                              </w:rPr>
                              <w:t>Ојачани рачуноводствени капацитети у циљу стандардизације финансијског и</w:t>
                            </w:r>
                            <w:r w:rsidRPr="00BC2EBD">
                              <w:rPr>
                                <w:rFonts w:asciiTheme="minorHAnsi" w:hAnsiTheme="minorHAnsi" w:cstheme="minorHAnsi"/>
                                <w:lang w:val="sr"/>
                              </w:rPr>
                              <w:t>з</w:t>
                            </w:r>
                            <w:r w:rsidRPr="00BC2EBD">
                              <w:rPr>
                                <w:rFonts w:asciiTheme="minorHAnsi" w:hAnsiTheme="minorHAnsi" w:cstheme="minorHAnsi"/>
                                <w:lang w:val="uz-Cyrl-UZ"/>
                              </w:rPr>
                              <w:t>вештавања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34ED1C" id="Text Box 31" o:spid="_x0000_s1408" style="position:absolute;left:0;text-align:left;margin-left:186pt;margin-top:42.95pt;width:209.7pt;height:56.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" fillcolor="window" strokecolor="#839dcc" strokeweight="1.5pt">
                <v:textbox inset="0,0,0,0">
                  <w:txbxContent>
                    <w:p w14:paraId="780BC7E2" w14:textId="23E17286" w:rsidR="00876FFE" w:rsidRPr="00BC2EBD" w:rsidRDefault="00876FFE" w:rsidP="00DB5379">
                      <w:pPr>
                        <w:spacing w:before="0"/>
                        <w:ind w:firstLine="0"/>
                        <w:jc w:val="center"/>
                        <w:rPr>
                          <w:rFonts w:asciiTheme="minorHAnsi" w:hAnsiTheme="minorHAnsi" w:cstheme="minorHAnsi"/>
                          <w:lang w:val="uz-Cyrl-UZ"/>
                        </w:rPr>
                      </w:pPr>
                      <w:r w:rsidRPr="00BC2EBD">
                        <w:rPr>
                          <w:rFonts w:asciiTheme="minorHAnsi" w:hAnsiTheme="minorHAnsi" w:cstheme="minorHAnsi"/>
                          <w:lang w:val="uz-Cyrl-UZ"/>
                        </w:rPr>
                        <w:t>Ојачани рачуноводствени капацитети у циљу стандардизације финансијског и</w:t>
                      </w:r>
                      <w:r w:rsidRPr="00BC2EBD">
                        <w:rPr>
                          <w:rFonts w:asciiTheme="minorHAnsi" w:hAnsiTheme="minorHAnsi" w:cstheme="minorHAnsi"/>
                          <w:lang w:val="sr"/>
                        </w:rPr>
                        <w:t>з</w:t>
                      </w:r>
                      <w:r w:rsidRPr="00BC2EBD">
                        <w:rPr>
                          <w:rFonts w:asciiTheme="minorHAnsi" w:hAnsiTheme="minorHAnsi" w:cstheme="minorHAnsi"/>
                          <w:lang w:val="uz-Cyrl-UZ"/>
                        </w:rPr>
                        <w:t>вештавања</w:t>
                      </w:r>
                    </w:p>
                  </w:txbxContent>
                </v:textbox>
              </v:roundrect>
            </w:pict>
          </mc:Fallback>
        </mc:AlternateContent>
      </w:r>
      <w:r w:rsidR="00BC2EBD"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34528" behindDoc="0" locked="0" layoutInCell="1" allowOverlap="1" wp14:anchorId="6815E04F" wp14:editId="1345C91F">
                <wp:simplePos x="0" y="0"/>
                <wp:positionH relativeFrom="column">
                  <wp:posOffset>3733800</wp:posOffset>
                </wp:positionH>
                <wp:positionV relativeFrom="paragraph">
                  <wp:posOffset>1256665</wp:posOffset>
                </wp:positionV>
                <wp:extent cx="0" cy="275590"/>
                <wp:effectExtent l="57150" t="38100" r="57150" b="10160"/>
                <wp:wrapNone/>
                <wp:docPr id="355" name="Straight Arrow Connector 355"/>
                <wp:cNvGraphicFramePr/>
                <a:graphic xmlns:a="http://schemas.openxmlformats.org/drawingml/2006/main">
                  <a:graphicData uri="http://schemas.microsoft.com/office/word/2010/wordprocessingShape">
                    <wps:wsp>
                      <wps:cNvCnPr/>
                      <wps:spPr>
                        <a:xfrm flipV="1">
                          <a:off x="0" y="0"/>
                          <a:ext cx="0" cy="275590"/>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4E6222" id="Straight Arrow Connector 355" o:spid="_x0000_s1026" type="#_x0000_t32" style="position:absolute;margin-left:294pt;margin-top:98.95pt;width:0;height:21.7pt;flip:y;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" strokecolor="#839dcc" strokeweight="2.25pt">
                <v:stroke endarrow="block" joinstyle="miter"/>
              </v:shape>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33504" behindDoc="0" locked="0" layoutInCell="1" allowOverlap="1" wp14:anchorId="20EB0016" wp14:editId="774164B4">
                <wp:simplePos x="0" y="0"/>
                <wp:positionH relativeFrom="margin">
                  <wp:posOffset>2349500</wp:posOffset>
                </wp:positionH>
                <wp:positionV relativeFrom="paragraph">
                  <wp:posOffset>1561465</wp:posOffset>
                </wp:positionV>
                <wp:extent cx="2721610" cy="510540"/>
                <wp:effectExtent l="0" t="0" r="21590" b="22860"/>
                <wp:wrapNone/>
                <wp:docPr id="48" name="Text Box 48"/>
                <wp:cNvGraphicFramePr/>
                <a:graphic xmlns:a="http://schemas.openxmlformats.org/drawingml/2006/main">
                  <a:graphicData uri="http://schemas.microsoft.com/office/word/2010/wordprocessingShape">
                    <wps:wsp>
                      <wps:cNvSpPr txBox="1"/>
                      <wps:spPr>
                        <a:xfrm>
                          <a:off x="0" y="0"/>
                          <a:ext cx="2721610" cy="510540"/>
                        </a:xfrm>
                        <a:prstGeom prst="roundRect">
                          <a:avLst>
                            <a:gd name="adj" fmla="val 22381"/>
                          </a:avLst>
                        </a:prstGeom>
                        <a:solidFill>
                          <a:sysClr val="window" lastClr="FFFFFF"/>
                        </a:solidFill>
                        <a:ln w="19050">
                          <a:solidFill>
                            <a:srgbClr val="839DCC"/>
                          </a:solidFill>
                        </a:ln>
                        <a:effectLst/>
                      </wps:spPr>
                      <wps:txbx>
                        <w:txbxContent>
                          <w:p w14:paraId="090E9961" w14:textId="77777777" w:rsidR="00876FFE" w:rsidRPr="00BC2EBD" w:rsidRDefault="00876FFE" w:rsidP="00DB5379">
                            <w:pPr>
                              <w:spacing w:before="0"/>
                              <w:ind w:firstLine="0"/>
                              <w:jc w:val="center"/>
                              <w:rPr>
                                <w:rFonts w:asciiTheme="minorHAnsi" w:hAnsiTheme="minorHAnsi" w:cstheme="minorHAnsi"/>
                                <w:lang w:val="uz-Cyrl-UZ"/>
                              </w:rPr>
                            </w:pPr>
                            <w:r w:rsidRPr="00BC2EBD">
                              <w:rPr>
                                <w:rFonts w:asciiTheme="minorHAnsi" w:hAnsiTheme="minorHAnsi" w:cstheme="minorHAnsi"/>
                                <w:lang w:val="uz-Cyrl-UZ"/>
                              </w:rPr>
                              <w:t>Финансијски извештаји су усклађени са IPSAS</w:t>
                            </w:r>
                          </w:p>
                          <w:p w14:paraId="101ECA14" w14:textId="77777777" w:rsidR="00876FFE" w:rsidRPr="00BC2EBD" w:rsidRDefault="00876FFE" w:rsidP="002B4D2B">
                            <w:pPr>
                              <w:jc w:val="center"/>
                              <w:rPr>
                                <w:rFonts w:asciiTheme="minorHAnsi" w:hAnsiTheme="minorHAnsi" w:cstheme="minorHAnsi"/>
                                <w:lang w:val="en-GB"/>
                              </w:rPr>
                            </w:pPr>
                          </w:p>
                          <w:p w14:paraId="083B0F57" w14:textId="77777777" w:rsidR="00876FFE" w:rsidRPr="00BC2EBD" w:rsidRDefault="00876FFE" w:rsidP="002B4D2B">
                            <w:pPr>
                              <w:jc w:val="center"/>
                              <w:rPr>
                                <w:rFonts w:asciiTheme="minorHAnsi" w:hAnsiTheme="minorHAnsi" w:cstheme="minorHAnsi"/>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EB0016" id="Text Box 48" o:spid="_x0000_s1409" style="position:absolute;left:0;text-align:left;margin-left:185pt;margin-top:122.95pt;width:214.3pt;height:40.2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" fillcolor="window" strokecolor="#839dcc" strokeweight="1.5pt">
                <v:textbox inset="0,0,0,0">
                  <w:txbxContent>
                    <w:p w14:paraId="090E9961" w14:textId="77777777" w:rsidR="00876FFE" w:rsidRPr="00BC2EBD" w:rsidRDefault="00876FFE" w:rsidP="00DB5379">
                      <w:pPr>
                        <w:spacing w:before="0"/>
                        <w:ind w:firstLine="0"/>
                        <w:jc w:val="center"/>
                        <w:rPr>
                          <w:rFonts w:asciiTheme="minorHAnsi" w:hAnsiTheme="minorHAnsi" w:cstheme="minorHAnsi"/>
                          <w:lang w:val="uz-Cyrl-UZ"/>
                        </w:rPr>
                      </w:pPr>
                      <w:r w:rsidRPr="00BC2EBD">
                        <w:rPr>
                          <w:rFonts w:asciiTheme="minorHAnsi" w:hAnsiTheme="minorHAnsi" w:cstheme="minorHAnsi"/>
                          <w:lang w:val="uz-Cyrl-UZ"/>
                        </w:rPr>
                        <w:t xml:space="preserve">Финансијски </w:t>
                      </w:r>
                      <w:r w:rsidRPr="00BC2EBD">
                        <w:rPr>
                          <w:rFonts w:asciiTheme="minorHAnsi" w:hAnsiTheme="minorHAnsi" w:cstheme="minorHAnsi"/>
                          <w:lang w:val="uz-Cyrl-UZ"/>
                        </w:rPr>
                        <w:t>извештаји су усклађени са IPSAS</w:t>
                      </w:r>
                    </w:p>
                    <w:p w14:paraId="101ECA14" w14:textId="77777777" w:rsidR="00876FFE" w:rsidRPr="00BC2EBD" w:rsidRDefault="00876FFE" w:rsidP="002B4D2B">
                      <w:pPr>
                        <w:jc w:val="center"/>
                        <w:rPr>
                          <w:rFonts w:asciiTheme="minorHAnsi" w:hAnsiTheme="minorHAnsi" w:cstheme="minorHAnsi"/>
                          <w:lang w:val="en-GB"/>
                        </w:rPr>
                      </w:pPr>
                    </w:p>
                    <w:p w14:paraId="083B0F57" w14:textId="77777777" w:rsidR="00876FFE" w:rsidRPr="00BC2EBD" w:rsidRDefault="00876FFE" w:rsidP="002B4D2B">
                      <w:pPr>
                        <w:jc w:val="center"/>
                        <w:rPr>
                          <w:rFonts w:asciiTheme="minorHAnsi" w:hAnsiTheme="minorHAnsi" w:cstheme="minorHAnsi"/>
                          <w:lang w:val="en-GB"/>
                        </w:rPr>
                      </w:pPr>
                    </w:p>
                  </w:txbxContent>
                </v:textbox>
                <w10:wrap anchorx="margin"/>
              </v:roundrect>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41696" behindDoc="0" locked="0" layoutInCell="1" allowOverlap="1" wp14:anchorId="294DF91E" wp14:editId="22C1414F">
                <wp:simplePos x="0" y="0"/>
                <wp:positionH relativeFrom="margin">
                  <wp:posOffset>12649200</wp:posOffset>
                </wp:positionH>
                <wp:positionV relativeFrom="paragraph">
                  <wp:posOffset>304165</wp:posOffset>
                </wp:positionV>
                <wp:extent cx="1416050" cy="1194435"/>
                <wp:effectExtent l="0" t="0" r="12700" b="24765"/>
                <wp:wrapNone/>
                <wp:docPr id="47" name="Text Box 47"/>
                <wp:cNvGraphicFramePr/>
                <a:graphic xmlns:a="http://schemas.openxmlformats.org/drawingml/2006/main">
                  <a:graphicData uri="http://schemas.microsoft.com/office/word/2010/wordprocessingShape">
                    <wps:wsp>
                      <wps:cNvSpPr txBox="1"/>
                      <wps:spPr>
                        <a:xfrm>
                          <a:off x="0" y="0"/>
                          <a:ext cx="1416050" cy="1194435"/>
                        </a:xfrm>
                        <a:prstGeom prst="roundRect">
                          <a:avLst/>
                        </a:prstGeom>
                        <a:solidFill>
                          <a:sysClr val="window" lastClr="FFFFFF"/>
                        </a:solidFill>
                        <a:ln w="19050">
                          <a:solidFill>
                            <a:srgbClr val="839DCC"/>
                          </a:solidFill>
                        </a:ln>
                        <a:effectLst/>
                      </wps:spPr>
                      <wps:txbx>
                        <w:txbxContent>
                          <w:p w14:paraId="5CC83C08" w14:textId="77777777" w:rsidR="00876FFE" w:rsidRPr="004279F8" w:rsidRDefault="00876FFE" w:rsidP="004279F8">
                            <w:pPr>
                              <w:spacing w:before="0"/>
                              <w:ind w:firstLine="0"/>
                              <w:jc w:val="center"/>
                              <w:rPr>
                                <w:rFonts w:asciiTheme="minorHAnsi" w:hAnsiTheme="minorHAnsi" w:cstheme="minorHAnsi"/>
                              </w:rPr>
                            </w:pPr>
                            <w:r w:rsidRPr="004279F8">
                              <w:rPr>
                                <w:rFonts w:asciiTheme="minorHAnsi" w:hAnsiTheme="minorHAnsi" w:cstheme="minorHAnsi"/>
                              </w:rPr>
                              <w:t>Стратегијски дефинисана покривеност ревизијом</w:t>
                            </w:r>
                            <w:r w:rsidRPr="004279F8">
                              <w:rPr>
                                <w:rFonts w:asciiTheme="minorHAnsi" w:hAnsiTheme="minorHAnsi" w:cstheme="minorHAnsi"/>
                                <w:lang w:val="en-GB"/>
                              </w:rPr>
                              <w:t xml:space="preserve"> </w:t>
                            </w:r>
                            <w:r w:rsidRPr="004279F8">
                              <w:rPr>
                                <w:rFonts w:asciiTheme="minorHAnsi" w:hAnsiTheme="minorHAnsi" w:cstheme="minorHAnsi"/>
                              </w:rPr>
                              <w:t>имплементирана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94DF91E" id="Text Box 47" o:spid="_x0000_s1410" style="position:absolute;left:0;text-align:left;margin-left:996pt;margin-top:23.95pt;width:111.5pt;height:94.0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" fillcolor="window" strokecolor="#839dcc" strokeweight="1.5pt">
                <v:textbox inset="0,0,0,0">
                  <w:txbxContent>
                    <w:p w14:paraId="5CC83C08" w14:textId="77777777" w:rsidR="00876FFE" w:rsidRPr="004279F8" w:rsidRDefault="00876FFE" w:rsidP="004279F8">
                      <w:pPr>
                        <w:spacing w:before="0"/>
                        <w:ind w:firstLine="0"/>
                        <w:jc w:val="center"/>
                        <w:rPr>
                          <w:rFonts w:asciiTheme="minorHAnsi" w:hAnsiTheme="minorHAnsi" w:cstheme="minorHAnsi"/>
                        </w:rPr>
                      </w:pPr>
                      <w:r w:rsidRPr="004279F8">
                        <w:rPr>
                          <w:rFonts w:asciiTheme="minorHAnsi" w:hAnsiTheme="minorHAnsi" w:cstheme="minorHAnsi"/>
                        </w:rPr>
                        <w:t>Стратегијски дефинисана покривеност ревизијом</w:t>
                      </w:r>
                      <w:r w:rsidRPr="004279F8">
                        <w:rPr>
                          <w:rFonts w:asciiTheme="minorHAnsi" w:hAnsiTheme="minorHAnsi" w:cstheme="minorHAnsi"/>
                          <w:lang w:val="en-GB"/>
                        </w:rPr>
                        <w:t xml:space="preserve"> </w:t>
                      </w:r>
                      <w:r w:rsidRPr="004279F8">
                        <w:rPr>
                          <w:rFonts w:asciiTheme="minorHAnsi" w:hAnsiTheme="minorHAnsi" w:cstheme="minorHAnsi"/>
                        </w:rPr>
                        <w:t>имплементирана</w:t>
                      </w:r>
                    </w:p>
                  </w:txbxContent>
                </v:textbox>
                <w10:wrap anchorx="margin"/>
              </v:roundrect>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09952" behindDoc="0" locked="0" layoutInCell="1" allowOverlap="1" wp14:anchorId="1017AF8F" wp14:editId="6AF3272C">
                <wp:simplePos x="0" y="0"/>
                <wp:positionH relativeFrom="column">
                  <wp:posOffset>812800</wp:posOffset>
                </wp:positionH>
                <wp:positionV relativeFrom="paragraph">
                  <wp:posOffset>634365</wp:posOffset>
                </wp:positionV>
                <wp:extent cx="0" cy="275590"/>
                <wp:effectExtent l="57150" t="38100" r="57150" b="10160"/>
                <wp:wrapNone/>
                <wp:docPr id="628" name="Straight Arrow Connector 628"/>
                <wp:cNvGraphicFramePr/>
                <a:graphic xmlns:a="http://schemas.openxmlformats.org/drawingml/2006/main">
                  <a:graphicData uri="http://schemas.microsoft.com/office/word/2010/wordprocessingShape">
                    <wps:wsp>
                      <wps:cNvCnPr/>
                      <wps:spPr>
                        <a:xfrm flipV="1">
                          <a:off x="0" y="0"/>
                          <a:ext cx="0" cy="275590"/>
                        </a:xfrm>
                        <a:prstGeom prst="straightConnector1">
                          <a:avLst/>
                        </a:prstGeom>
                        <a:noFill/>
                        <a:ln w="28575" cap="flat" cmpd="sng" algn="ctr">
                          <a:solidFill>
                            <a:srgbClr val="839DCC"/>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0770DE" id="Straight Arrow Connector 628" o:spid="_x0000_s1026" type="#_x0000_t32" style="position:absolute;margin-left:64pt;margin-top:49.95pt;width:0;height:21.7pt;flip:y;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" strokecolor="#839dcc" strokeweight="2.25pt">
                <v:stroke endarrow="block" joinstyle="miter"/>
              </v:shape>
            </w:pict>
          </mc:Fallback>
        </mc:AlternateContent>
      </w:r>
      <w:r w:rsidR="002B4D2B"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700736" behindDoc="0" locked="0" layoutInCell="1" allowOverlap="1" wp14:anchorId="363D5664" wp14:editId="0D32BB06">
                <wp:simplePos x="0" y="0"/>
                <wp:positionH relativeFrom="column">
                  <wp:posOffset>-508000</wp:posOffset>
                </wp:positionH>
                <wp:positionV relativeFrom="paragraph">
                  <wp:posOffset>901065</wp:posOffset>
                </wp:positionV>
                <wp:extent cx="2628900" cy="671830"/>
                <wp:effectExtent l="0" t="0" r="19050" b="13970"/>
                <wp:wrapNone/>
                <wp:docPr id="629" name="Text Box 629"/>
                <wp:cNvGraphicFramePr/>
                <a:graphic xmlns:a="http://schemas.openxmlformats.org/drawingml/2006/main">
                  <a:graphicData uri="http://schemas.microsoft.com/office/word/2010/wordprocessingShape">
                    <wps:wsp>
                      <wps:cNvSpPr txBox="1"/>
                      <wps:spPr>
                        <a:xfrm>
                          <a:off x="0" y="0"/>
                          <a:ext cx="2628900" cy="671830"/>
                        </a:xfrm>
                        <a:prstGeom prst="roundRect">
                          <a:avLst/>
                        </a:prstGeom>
                        <a:solidFill>
                          <a:sysClr val="window" lastClr="FFFFFF"/>
                        </a:solidFill>
                        <a:ln w="19050">
                          <a:solidFill>
                            <a:srgbClr val="839DCC"/>
                          </a:solidFill>
                        </a:ln>
                        <a:effectLst/>
                      </wps:spPr>
                      <wps:txbx>
                        <w:txbxContent>
                          <w:p w14:paraId="23594BDF" w14:textId="7564C62E" w:rsidR="00876FFE" w:rsidRPr="006865AE" w:rsidRDefault="00876FFE" w:rsidP="006865AE">
                            <w:pPr>
                              <w:spacing w:before="0"/>
                              <w:ind w:firstLine="0"/>
                              <w:jc w:val="center"/>
                              <w:rPr>
                                <w:rFonts w:asciiTheme="minorHAnsi" w:hAnsiTheme="minorHAnsi" w:cstheme="minorHAnsi"/>
                                <w:lang w:val="uz-Cyrl-UZ"/>
                              </w:rPr>
                            </w:pPr>
                            <w:r w:rsidRPr="006865AE">
                              <w:rPr>
                                <w:rFonts w:asciiTheme="minorHAnsi" w:hAnsiTheme="minorHAnsi" w:cstheme="minorHAnsi"/>
                                <w:lang w:val="sr"/>
                              </w:rPr>
                              <w:t>Адекватно планирање реформских активности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3D5664" id="Text Box 629" o:spid="_x0000_s1411" style="position:absolute;left:0;text-align:left;margin-left:-40pt;margin-top:70.95pt;width:207pt;height:52.9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" fillcolor="window" strokecolor="#839dcc" strokeweight="1.5pt">
                <v:textbox inset="0,0,0,0">
                  <w:txbxContent>
                    <w:p w14:paraId="23594BDF" w14:textId="7564C62E" w:rsidR="00876FFE" w:rsidRPr="006865AE" w:rsidRDefault="00876FFE" w:rsidP="006865AE">
                      <w:pPr>
                        <w:spacing w:before="0"/>
                        <w:ind w:firstLine="0"/>
                        <w:jc w:val="center"/>
                        <w:rPr>
                          <w:rFonts w:asciiTheme="minorHAnsi" w:hAnsiTheme="minorHAnsi" w:cstheme="minorHAnsi"/>
                          <w:lang w:val="uz-Cyrl-UZ"/>
                        </w:rPr>
                      </w:pPr>
                      <w:r w:rsidRPr="006865AE">
                        <w:rPr>
                          <w:rFonts w:asciiTheme="minorHAnsi" w:hAnsiTheme="minorHAnsi" w:cstheme="minorHAnsi"/>
                          <w:lang w:val="sr"/>
                        </w:rPr>
                        <w:t>Адекватно планирање реформских активности</w:t>
                      </w:r>
                    </w:p>
                  </w:txbxContent>
                </v:textbox>
              </v:roundrect>
            </w:pict>
          </mc:Fallback>
        </mc:AlternateContent>
      </w:r>
    </w:p>
    <w:p w14:paraId="77232015" w14:textId="246AE782" w:rsidR="00E122F0" w:rsidRPr="000F0299" w:rsidRDefault="00E122F0" w:rsidP="000D7EF9">
      <w:pPr>
        <w:pStyle w:val="Heading2"/>
        <w:rPr>
          <w:lang w:val="sr-Cyrl-RS"/>
        </w:rPr>
      </w:pPr>
      <w:bookmarkStart w:id="261" w:name="_VI._Систем_локалне"/>
      <w:bookmarkStart w:id="262" w:name="_Toc45013974"/>
      <w:bookmarkStart w:id="263" w:name="_Toc57661498"/>
      <w:bookmarkStart w:id="264" w:name="_Hlk44416206"/>
      <w:bookmarkEnd w:id="261"/>
      <w:r w:rsidRPr="000F0299">
        <w:rPr>
          <w:lang w:val="sr-Cyrl-RS"/>
        </w:rPr>
        <w:t xml:space="preserve">VI. </w:t>
      </w:r>
      <w:r w:rsidR="009F7EE9" w:rsidRPr="000F0299">
        <w:rPr>
          <w:lang w:val="sr-Cyrl-RS"/>
        </w:rPr>
        <w:t>Систем локалне самоуправе</w:t>
      </w:r>
      <w:bookmarkEnd w:id="262"/>
      <w:bookmarkEnd w:id="263"/>
    </w:p>
    <w:p w14:paraId="306F3FC8" w14:textId="77777777" w:rsidR="00E57949" w:rsidRPr="00E57949" w:rsidRDefault="00E57949" w:rsidP="00E57949">
      <w:pPr>
        <w:pStyle w:val="Heading3"/>
        <w:rPr>
          <w:rStyle w:val="Emphasis"/>
          <w:i w:val="0"/>
          <w:iCs w:val="0"/>
          <w:lang w:val="sr-Cyrl-RS"/>
        </w:rPr>
      </w:pPr>
      <w:bookmarkStart w:id="265" w:name="_АНАЛИЗА_СТАЊА_4"/>
      <w:bookmarkStart w:id="266" w:name="_Toc40182242"/>
      <w:bookmarkStart w:id="267" w:name="_Toc40183059"/>
      <w:bookmarkStart w:id="268" w:name="_Toc45013975"/>
      <w:bookmarkStart w:id="269" w:name="_Toc57139400"/>
      <w:bookmarkStart w:id="270" w:name="_Toc57661499"/>
      <w:bookmarkStart w:id="271" w:name="_Hlk49103769"/>
      <w:bookmarkEnd w:id="265"/>
      <w:r w:rsidRPr="00E57949">
        <w:rPr>
          <w:rStyle w:val="Emphasis"/>
          <w:i w:val="0"/>
          <w:iCs w:val="0"/>
          <w:lang w:val="sr-Cyrl-RS"/>
        </w:rPr>
        <w:t>Анализа стања</w:t>
      </w:r>
      <w:bookmarkEnd w:id="266"/>
      <w:bookmarkEnd w:id="267"/>
      <w:bookmarkEnd w:id="268"/>
      <w:bookmarkEnd w:id="269"/>
      <w:bookmarkEnd w:id="270"/>
    </w:p>
    <w:p w14:paraId="36EEA456" w14:textId="77777777" w:rsidR="00E57949" w:rsidRPr="00E57949" w:rsidRDefault="00E57949" w:rsidP="00E57949">
      <w:pPr>
        <w:pStyle w:val="Heading4"/>
        <w:rPr>
          <w:lang w:val="sr-Cyrl-RS"/>
        </w:rPr>
      </w:pPr>
      <w:bookmarkStart w:id="272" w:name="_Toc45013976"/>
      <w:r w:rsidRPr="00E57949">
        <w:rPr>
          <w:lang w:val="sr-Cyrl-RS"/>
        </w:rPr>
        <w:t>Правни и стратешки оквир</w:t>
      </w:r>
      <w:bookmarkEnd w:id="272"/>
    </w:p>
    <w:p w14:paraId="7C23586C" w14:textId="77777777" w:rsidR="00E57949" w:rsidRPr="00E57949" w:rsidRDefault="00E57949" w:rsidP="00E57949">
      <w:r w:rsidRPr="00E57949">
        <w:t>Општи оквир чини Устав Републике Србије (,,Службени гласник РС“, број 98/2006) (у даљем тексту: Устав), Закон о локалној самоуправи (,,</w:t>
      </w:r>
      <w:r w:rsidRPr="00E57949">
        <w:rPr>
          <w:iCs/>
        </w:rPr>
        <w:t>Службени гласник РС“</w:t>
      </w:r>
      <w:r w:rsidRPr="00E57949">
        <w:t>, број 129/2007, 83/2014 - др. закон, 101/2016 - др. закон и 47/2018), важећа Стратегија РЈУ, и Европска повеља о локалној самоуправи (,,</w:t>
      </w:r>
      <w:r w:rsidRPr="00E57949">
        <w:rPr>
          <w:iCs/>
        </w:rPr>
        <w:t>Службени гласник РС“</w:t>
      </w:r>
      <w:r w:rsidRPr="00E57949">
        <w:t>, број 9/2014, 42/2014 – исправка и 54/2018) и одређен број других закона и докумената јавних политика.</w:t>
      </w:r>
      <w:r w:rsidRPr="00E57949">
        <w:rPr>
          <w:vertAlign w:val="superscript"/>
        </w:rPr>
        <w:footnoteReference w:id="301"/>
      </w:r>
    </w:p>
    <w:p w14:paraId="730417A0" w14:textId="77777777" w:rsidR="00E57949" w:rsidRPr="00E57949" w:rsidRDefault="00E57949" w:rsidP="00E57949">
      <w:r w:rsidRPr="00E57949">
        <w:t xml:space="preserve">Устав у члану 179. утврђује: „Аутономне покрајине, у складу са Уставом и статутом аутономне покрајине, а јединице локалне самоуправе, у складу са Уставом и законом, самостално прописују уређење и надлежност својих органа и јавних служби.”, док </w:t>
      </w:r>
      <w:bookmarkStart w:id="273" w:name="_Hlk40610085"/>
      <w:r w:rsidRPr="00E57949">
        <w:t xml:space="preserve">Европска повеља о локалној самоуправи </w:t>
      </w:r>
      <w:bookmarkEnd w:id="273"/>
      <w:r w:rsidRPr="00E57949">
        <w:t>у члану 3. ст. 1. утврђује: „Локална самоуправа означава право и способност локалних власти да, у оквиру законских ограничења, уређују послове и управљају битним делом јавних послова под својом одговорношћу и у интересу локалног становништва”.</w:t>
      </w:r>
    </w:p>
    <w:p w14:paraId="7F0B40A5" w14:textId="77777777" w:rsidR="00E57949" w:rsidRPr="00E57949" w:rsidRDefault="00E57949" w:rsidP="00E57949">
      <w:r w:rsidRPr="00E57949">
        <w:t xml:space="preserve">Важећа Стратегија РЈУ не препознаје децентрализацију и развој локалне самоуправе као један од посебних циљева, већ се овом темом бави приликом разраде мера и активности за реализацију свих пет посебних циљева. Мера 1.2 Унапређење послова ЈУ у области децентрализације и деконцентрације искључиво је посвећена локалној самоуправи. </w:t>
      </w:r>
    </w:p>
    <w:p w14:paraId="6DBBECF4" w14:textId="77777777" w:rsidR="00E57949" w:rsidRPr="00E57949" w:rsidRDefault="00E57949" w:rsidP="00E57949">
      <w:r w:rsidRPr="00E57949">
        <w:t>МДУЛС у сарадњи са Сталном конференцијом градова и општина (у даљем тексту: СКГО) припрема документ јавне политике за реформу система локалне самоуправе у Републици Србији, а у складу са Закључком Савета за реформу јавне управе</w:t>
      </w:r>
      <w:r w:rsidRPr="00E57949">
        <w:rPr>
          <w:vertAlign w:val="superscript"/>
        </w:rPr>
        <w:footnoteReference w:id="302"/>
      </w:r>
      <w:r w:rsidRPr="00E57949">
        <w:t xml:space="preserve"> којим су усвојене Полазне основе за припрему програма за реформу система локалне самоуправе у Републици Србији (у даљем тексту: Полазне основе). Овај документ разрађује посебан циљ Стратегије РЈУ и треба да утврди циљеве и мере који ће осигурати даљу децентрализацију, функционалнију расподелу послова и надлежности и интензивнији развој положаја и организације локалне самоуправе у систему јавне власти. </w:t>
      </w:r>
    </w:p>
    <w:p w14:paraId="5D7E45F3" w14:textId="77777777" w:rsidR="00E57949" w:rsidRPr="00E57949" w:rsidRDefault="00E57949" w:rsidP="00E57949">
      <w:r w:rsidRPr="00E57949">
        <w:t>Трећи ревидирани и допуњени Национални програм за усвајање правних тековина ЕУ за период 2018–2021. године</w:t>
      </w:r>
      <w:r w:rsidRPr="00E57949">
        <w:rPr>
          <w:vertAlign w:val="superscript"/>
        </w:rPr>
        <w:footnoteReference w:id="303"/>
      </w:r>
      <w:r w:rsidRPr="00E57949">
        <w:t xml:space="preserve"> у оквиру извештавања о Политичким критеријумима, Демократије и владавине права, Потпоглавље 1.1.4. Државна управа, даје преглед стања и приоритета у области локалне самоуправе и то: законодавног оквира, институционалног оквира, административних капацитета и ванзаконодавних мера. Такође, одређене обавезе локалне самоуправе су предвиђене у делу Културна права и заштита мањина и Регионалне сарадње, Правосуђе и основна права – слободе окупљања, мере против расизма и ксенофобије, Правда, слобода и безбедност – миграције, затим по појединачним поглављима у делу који се тиче ветеринарске политике, социјалне политике и запошљавања, животне средине, образовања, омладине и спорта, културе, заштите потрошача.</w:t>
      </w:r>
    </w:p>
    <w:p w14:paraId="504E581D" w14:textId="77777777" w:rsidR="00E57949" w:rsidRPr="00E57949" w:rsidRDefault="00E57949" w:rsidP="00E57949">
      <w:r w:rsidRPr="00E57949">
        <w:t>Изменама и допунама Закона о локалној самоуправи обезбеђен је садржајнији правни оквир за успостављање и развој међуопштинске сарадње. Такође, већи број секторских закона који уређују поједине области, посебно оних новијег датума, пружио је мање или више конкретизована нормативна решења за моделе сарадње између јединица локалне самоуправе, прилагођене одговарајућим областима које ти закони уређују.</w:t>
      </w:r>
      <w:r w:rsidRPr="00E57949">
        <w:rPr>
          <w:vertAlign w:val="superscript"/>
        </w:rPr>
        <w:footnoteReference w:id="304"/>
      </w:r>
      <w:r w:rsidRPr="00E57949">
        <w:t xml:space="preserve"> Додатно, измене Закона о локалној самоуправи и ЗПС оснажују учешће јавности у изради закона и креирању политика, од јавних расправа о нацртима закона и докумената јавних политика до учешћа јавности током целог процеса израде нацрта и њиховог спровођења и дају оквир за унапређење управљачке одговорности у обављању послова заснованих на остварењу резултата и циљева.</w:t>
      </w:r>
    </w:p>
    <w:p w14:paraId="68972C65" w14:textId="77777777" w:rsidR="00E57949" w:rsidRPr="00E57949" w:rsidRDefault="00E57949" w:rsidP="00E57949">
      <w:r w:rsidRPr="00E57949">
        <w:t>Закон о јавној својини</w:t>
      </w:r>
      <w:r w:rsidRPr="00E57949">
        <w:rPr>
          <w:lang w:val="sr-Latn-RS"/>
        </w:rPr>
        <w:t xml:space="preserve"> </w:t>
      </w:r>
      <w:r w:rsidRPr="00E57949">
        <w:t>(,,Службени гласник РС“, број 72/11, 88/13, 105/14, 104/16 - др. закон, 108/16, 113/17 и 95/18</w:t>
      </w:r>
      <w:r w:rsidRPr="00E57949">
        <w:rPr>
          <w:sz w:val="18"/>
          <w:szCs w:val="18"/>
          <w:lang w:val="sr-Latn-RS"/>
        </w:rPr>
        <w:t>)</w:t>
      </w:r>
      <w:r w:rsidRPr="00E57949">
        <w:t xml:space="preserve"> утврђује успостављање права јавне својине ЈЛС над имовином чиме је омогућено проширење локалних надлежности и финансијске аутономије. Додатно се очекује усвајање новог Закона о референдуму и народној иницијативи у циљу унапређења механизама за изјашњавање грађана.</w:t>
      </w:r>
    </w:p>
    <w:p w14:paraId="0A8F130F" w14:textId="77777777" w:rsidR="00E57949" w:rsidRPr="00E57949" w:rsidRDefault="00E57949" w:rsidP="00E57949">
      <w:r w:rsidRPr="00E57949">
        <w:t>Доношењем Уредбе о јединственом управном месту успоставља се нов национални систем за јединствена управна места у ЈЛС који треба да приближи услуге управе грађанима и привредним субјектима.</w:t>
      </w:r>
    </w:p>
    <w:p w14:paraId="2DDADD4C" w14:textId="77777777" w:rsidR="00E57949" w:rsidRPr="00E57949" w:rsidRDefault="00E57949" w:rsidP="00E57949">
      <w:r w:rsidRPr="00E57949">
        <w:t>Кроз Закон о запосленима у аутономним покрајинама и ЈЛС успостављен је нов јавно-службенички систем за АП и ЈЛС у правцу уређивања радно-правног положаја службеника, нових компетенција и реформе система плата. Он је удвостручио обухват јавно-службеничког система у Републици Србији, тако да се сада два закона односе на плате запослених у јавном сектору: Закон о систему плата запослених у јавном сектору и Закон о платама службеника и намештеника у органима АП и ЈЛС. Овим се испуњавају основне претпоставке за професионализацију, деполитизацију, каријерни развој, напредовање у служби и стручно усавршавање службеника.</w:t>
      </w:r>
    </w:p>
    <w:p w14:paraId="406884F3" w14:textId="77777777" w:rsidR="00E57949" w:rsidRPr="00E57949" w:rsidRDefault="00E57949" w:rsidP="00E57949">
      <w:r w:rsidRPr="00E57949">
        <w:t>Измене Закона о локалној самоуправи у члану 13. уводе правни основ за праћење процеса ЕУ интеграција и успостављање релевантних административних капацитета.</w:t>
      </w:r>
      <w:r w:rsidRPr="00E57949">
        <w:rPr>
          <w:vertAlign w:val="superscript"/>
        </w:rPr>
        <w:footnoteReference w:id="305"/>
      </w:r>
    </w:p>
    <w:p w14:paraId="04C13E0A" w14:textId="77777777" w:rsidR="00E57949" w:rsidRPr="00E57949" w:rsidRDefault="00E57949" w:rsidP="00E57949">
      <w:r w:rsidRPr="00E57949">
        <w:t>Правне тековине ЕУ имају велики утицај на локалне и регионалне власти држава чланица. Степен утицаја европског законодавства на надлежност локалног и регионалног нивоа држава чланица креће се од 50% до 80%, у зависности од тога које су надлежности локалне и регионалне самоуправе утврђене у датом националном систему.</w:t>
      </w:r>
      <w:r w:rsidRPr="00E57949">
        <w:rPr>
          <w:vertAlign w:val="superscript"/>
        </w:rPr>
        <w:footnoteReference w:id="306"/>
      </w:r>
      <w:r w:rsidRPr="00E57949">
        <w:t xml:space="preserve"> У Лисабонском уговору</w:t>
      </w:r>
      <w:r w:rsidRPr="00E57949">
        <w:rPr>
          <w:rStyle w:val="FootnoteReference"/>
        </w:rPr>
        <w:footnoteReference w:id="307"/>
      </w:r>
      <w:r w:rsidRPr="00E57949">
        <w:t xml:space="preserve"> се први пут помиње принцип регионалне и локалне самоуправе.</w:t>
      </w:r>
      <w:r w:rsidRPr="00E57949">
        <w:rPr>
          <w:vertAlign w:val="superscript"/>
        </w:rPr>
        <w:footnoteReference w:id="308"/>
      </w:r>
      <w:r w:rsidRPr="00E57949">
        <w:t xml:space="preserve"> Уговор даје већу улогу локалним и регионалним властима као консултативним телима у законодавној процедури. Наиме, он осигурава да припрема сваког европског прописа започне разматрањем ефеката на локалном и регионалном нивоу. Такође, Уговор уочава улогу локалних власти у организовању и пружању јавних услуга. Одлуком Савета Европске уније и ЕК (2013/489/EU, Euroatom)</w:t>
      </w:r>
      <w:r w:rsidRPr="00E57949">
        <w:rPr>
          <w:vertAlign w:val="superscript"/>
        </w:rPr>
        <w:footnoteReference w:id="309"/>
      </w:r>
      <w:r w:rsidRPr="00E57949">
        <w:t xml:space="preserve"> утврђено је да се оснива Заједнички консултативни одбор састављен од представника Комитета региона ЕУ и локалних и регионалних власти у Републици Србији. Задатак овог одбора је да помогне Савету у промоцији дијалога и сарадње између локалних и регионалних органа власти у ЕУ и Републици Србији и представља место за припрему регионалних и локалних власти у Републици Србији за учешће у раду Комитета региона по ступању у чланство у ЕУ. Како би се имао увид у обим и врсту обавеза које локалној самоуправи доноси процес ЕУ интеграције, СКГО је препознао 21 преговарачко поглавље од утицаја на ЈЛС и припремио 15 анализа утицаја ЕУ прописа на надлежности и капацитете ЈЛС</w:t>
      </w:r>
      <w:r w:rsidRPr="00E57949">
        <w:rPr>
          <w:vertAlign w:val="superscript"/>
        </w:rPr>
        <w:footnoteReference w:id="310"/>
      </w:r>
      <w:r w:rsidRPr="00E57949">
        <w:t xml:space="preserve"> у периоду од 2013. до 2019. године (јавне набавке, државна помоћ, политика конкуренције, транспортна политика, енергетика, рурални развој, институције, социјална политика и запошљавање, заштита здравља и заштита потрошача, правосуђе и основна права, институције, итд.).</w:t>
      </w:r>
    </w:p>
    <w:p w14:paraId="0475BE5C" w14:textId="77777777" w:rsidR="00E57949" w:rsidRPr="00E57949" w:rsidRDefault="00E57949" w:rsidP="00E57949">
      <w:pPr>
        <w:pStyle w:val="Heading4"/>
        <w:rPr>
          <w:lang w:val="sr-Cyrl-RS"/>
        </w:rPr>
      </w:pPr>
      <w:bookmarkStart w:id="274" w:name="_Toc45013977"/>
      <w:r w:rsidRPr="00E57949">
        <w:rPr>
          <w:lang w:val="sr-Cyrl-RS"/>
        </w:rPr>
        <w:t>Резултати и изазови</w:t>
      </w:r>
      <w:bookmarkEnd w:id="274"/>
    </w:p>
    <w:p w14:paraId="34146FCB" w14:textId="77777777" w:rsidR="00E57949" w:rsidRPr="00E57949" w:rsidRDefault="00E57949" w:rsidP="00E57949">
      <w:pPr>
        <w:spacing w:after="120"/>
        <w:ind w:firstLine="360"/>
        <w:rPr>
          <w:bCs/>
          <w:color w:val="000000" w:themeColor="text1"/>
        </w:rPr>
      </w:pPr>
      <w:r w:rsidRPr="00E57949">
        <w:rPr>
          <w:bCs/>
          <w:color w:val="000000" w:themeColor="text1"/>
        </w:rPr>
        <w:t xml:space="preserve">Остварени су бројни резултати утврђени Стратегијом РЈУ од 2014. године који се односе на локални ниво. Израђене су Полазне основе, које представљају темељ новог програма реформе система локалне самоуправе. Изменама Закона о локалној самоуправи и Закона о државној управи успостављен је правни оквир за развој међуопштинске сарадње у обављању изворних и поверених послова јединица локалне самоуправе. </w:t>
      </w:r>
    </w:p>
    <w:p w14:paraId="0F118435" w14:textId="77777777" w:rsidR="00E57949" w:rsidRPr="00E57949" w:rsidRDefault="00E57949" w:rsidP="00E57949">
      <w:pPr>
        <w:spacing w:after="120"/>
        <w:ind w:firstLine="360"/>
        <w:rPr>
          <w:bCs/>
          <w:color w:val="000000" w:themeColor="text1"/>
        </w:rPr>
      </w:pPr>
      <w:r w:rsidRPr="00E57949">
        <w:rPr>
          <w:bCs/>
          <w:color w:val="000000" w:themeColor="text1"/>
        </w:rPr>
        <w:t xml:space="preserve">Један од системских изазова за реформу система локалне самоуправе је асиметрична децентрализација. </w:t>
      </w:r>
      <w:r w:rsidRPr="00E57949">
        <w:rPr>
          <w:b/>
          <w:color w:val="000000" w:themeColor="text1"/>
        </w:rPr>
        <w:t>Монотипни (једнообразни) систем локалне самоуправе</w:t>
      </w:r>
      <w:r w:rsidRPr="00E57949">
        <w:rPr>
          <w:bCs/>
          <w:color w:val="000000" w:themeColor="text1"/>
        </w:rPr>
        <w:t xml:space="preserve"> има за последицу </w:t>
      </w:r>
      <w:r w:rsidRPr="00E57949">
        <w:rPr>
          <w:b/>
          <w:color w:val="000000" w:themeColor="text1"/>
        </w:rPr>
        <w:t>несразмеру између величине јединице локалне самоуправе и послова који су јој додељени</w:t>
      </w:r>
      <w:r w:rsidRPr="00E57949">
        <w:rPr>
          <w:bCs/>
          <w:color w:val="000000" w:themeColor="text1"/>
        </w:rPr>
        <w:t xml:space="preserve">. Неопходно је разграничити надлежности и врсте послова различитих нивоа власти у управљању јавним пословима, уз ефективну примену супсидијарности и приближавања власти грађанима, сем кад ефикасност и економичност не налажу да их треба спроводити на вишем нивоу управе. То подразумева анализу и изградњу капацитета ЈЛС да ефективно спроводе послове који су јој додељени. Додатно, систем изворних и поверених надлежности није доречен - један број изворних надлежности није комплетан, или је ограничен формалним законским решењима, док се обим поверених послова разликује од једне управне области до друге. </w:t>
      </w:r>
    </w:p>
    <w:p w14:paraId="2E09A758" w14:textId="77777777" w:rsidR="00E57949" w:rsidRPr="00E57949" w:rsidRDefault="00E57949" w:rsidP="00E57949">
      <w:r w:rsidRPr="00E57949">
        <w:rPr>
          <w:b/>
        </w:rPr>
        <w:t>Начин додељивања нових послова локалној самоуправи је такође системски изазов</w:t>
      </w:r>
      <w:r w:rsidRPr="00E57949">
        <w:t>. Не постоји сразмера у броју функција по запосленом као последица немогућности прописивања свих радних места у малим ЈЛС, описи послова једног радног места обухватају послове више радних места а пратеће функције имају непотребно велики удео у пословима које обављају запослени у свим анализираним ЈЛС и то што нису прописани посебни услови за поједина радна места.</w:t>
      </w:r>
      <w:r w:rsidRPr="00E57949">
        <w:rPr>
          <w:vertAlign w:val="superscript"/>
        </w:rPr>
        <w:footnoteReference w:id="311"/>
      </w:r>
    </w:p>
    <w:p w14:paraId="43659663" w14:textId="77777777" w:rsidR="00E57949" w:rsidRPr="00E57949" w:rsidRDefault="00E57949" w:rsidP="00E57949">
      <w:r w:rsidRPr="00E57949">
        <w:t>У складу са Законом о локалној самоуправи, МДУЛС је припремило и објавило Јединствени попис послова на локалном нивоу,</w:t>
      </w:r>
      <w:r w:rsidRPr="00E57949">
        <w:rPr>
          <w:vertAlign w:val="superscript"/>
        </w:rPr>
        <w:footnoteReference w:id="312"/>
      </w:r>
      <w:r w:rsidRPr="00E57949">
        <w:t xml:space="preserve"> за који је развијена посебна методологија која омогућава попис и дефинисање појединачних послова у 41 области и подобласти у којима ЈЛС имају надлежност са укупно 1.134 послова. Ипак, додељивање послова ЈЛС није праћено обезбеђењем потребних финансијских, кадровских и других ресурса,</w:t>
      </w:r>
      <w:r w:rsidRPr="00E57949">
        <w:rPr>
          <w:vertAlign w:val="superscript"/>
        </w:rPr>
        <w:footnoteReference w:id="313"/>
      </w:r>
      <w:r w:rsidRPr="00E57949">
        <w:t xml:space="preserve"> нити су одговарајуће политике и прописи донети уз одговарајуће спровођење консултација. Секторски закони не утврђују увек једнозначно да ли су одређени послови у изворном или повереном делокругу локалних органа. </w:t>
      </w:r>
    </w:p>
    <w:p w14:paraId="2B472F61" w14:textId="77777777" w:rsidR="00E57949" w:rsidRPr="00E57949" w:rsidRDefault="00E57949" w:rsidP="00E57949">
      <w:pPr>
        <w:rPr>
          <w:bCs/>
        </w:rPr>
      </w:pPr>
      <w:r w:rsidRPr="00E57949">
        <w:rPr>
          <w:b/>
          <w:bCs/>
        </w:rPr>
        <w:t>Не постоји јасна и конзистентна типологија организационих облика, односно субјеката којима је поверено вршење управних јавних овлашћења.</w:t>
      </w:r>
      <w:r w:rsidRPr="00E57949">
        <w:t xml:space="preserve"> </w:t>
      </w:r>
      <w:r w:rsidRPr="00E57949">
        <w:rPr>
          <w:bCs/>
        </w:rPr>
        <w:t>Ово отежава доношење одлуке при избору типа организационе форме јавне управе, која има за циљ да се изабере најделотворнија, најефикаснија и најекономичнија форма за сваки појединачни случај. Такође, постоје дилеме и разлике у поступању између ЈЛС у погледу надзорног механизма коме су подложне основане организације, а чест случај је да сам надзор изостаје обзиром на нејасан положај основаних организација.</w:t>
      </w:r>
      <w:r w:rsidRPr="00E57949">
        <w:rPr>
          <w:bCs/>
          <w:vertAlign w:val="superscript"/>
        </w:rPr>
        <w:footnoteReference w:id="314"/>
      </w:r>
    </w:p>
    <w:p w14:paraId="64F166CA" w14:textId="77777777" w:rsidR="00E57949" w:rsidRPr="00E57949" w:rsidRDefault="00E57949" w:rsidP="00E57949">
      <w:r w:rsidRPr="00E57949">
        <w:t xml:space="preserve">У </w:t>
      </w:r>
      <w:r w:rsidRPr="00E57949">
        <w:rPr>
          <w:b/>
          <w:bCs/>
        </w:rPr>
        <w:t>области</w:t>
      </w:r>
      <w:r w:rsidRPr="00E57949">
        <w:t xml:space="preserve"> </w:t>
      </w:r>
      <w:r w:rsidRPr="00E57949">
        <w:rPr>
          <w:b/>
          <w:bCs/>
        </w:rPr>
        <w:t>планирања и координације и политика</w:t>
      </w:r>
      <w:r w:rsidRPr="00E57949">
        <w:t>, велики изазов за локалну самоуправу представља пуна примена ЗПС-а и ЈИС-а . МДУЛС је у сарадњи са РСЈП, покренуло нови аналитички сервис за ЈЛС, који треба да обезбеди обједињене и упоредиве друштвено-економске податке о ЈЛС из више база података, који раније нису били на располагању креаторима политике, пословним субјектима и грађанима.</w:t>
      </w:r>
      <w:r w:rsidRPr="00E57949">
        <w:rPr>
          <w:vertAlign w:val="superscript"/>
        </w:rPr>
        <w:footnoteReference w:id="315"/>
      </w:r>
      <w:r w:rsidRPr="00E57949">
        <w:t xml:space="preserve"> Интегрисање националних стратешких праваца у локалне развојне планове, друга документа јавних политика на локалном нивоу и напокон средњорочне планове и буџете, захтеваће од локалне самоуправе да </w:t>
      </w:r>
      <w:r w:rsidRPr="00E57949">
        <w:rPr>
          <w:b/>
          <w:bCs/>
        </w:rPr>
        <w:t>унапреди капацитете</w:t>
      </w:r>
      <w:r w:rsidRPr="00E57949">
        <w:t>. Већина ЈЛС има усвојене кровне стратегије, као и одређени број секторских стратегија и акционих планова, али њихово спровођење није задовољавајуће. Само 13% анализираних ЈЛС има тело које се стара о спровођењу развојних планова, као и капацитете за праћење и извештавање о спровођењу, а само 6 % анализираних ЈЛС поступа у складу са сопственим смерницама за ревизију, праћење, анализу ефеката и извештавање о спровођењу стратегије развоја као кровног планског документа ЈЛС. Доношењем ЗПС успостављена је за сваку ЈЛС обавеза усвајања плана развоја, као кровног планског документа (почев од 2021. године на период од најмање седам година), уз примену широког транспарентног и партиципативног процеса. ЈЛС у периоду припреме нове Стратегије РЈУ тек крећу са радом на овим документима, док је мање од 5% ЈЛС већ усвојило план развоја (крајем 2019/почетком 2020). Стопа планирања капиталних пројеката је ниска, што додатно подрива значај планских докумената (20%).</w:t>
      </w:r>
      <w:r w:rsidRPr="00E57949">
        <w:rPr>
          <w:vertAlign w:val="superscript"/>
        </w:rPr>
        <w:footnoteReference w:id="316"/>
      </w:r>
    </w:p>
    <w:p w14:paraId="1C014953" w14:textId="77777777" w:rsidR="00E57949" w:rsidRPr="00E57949" w:rsidRDefault="00E57949" w:rsidP="00E57949">
      <w:r w:rsidRPr="00E57949">
        <w:t xml:space="preserve">Кључни резултат у </w:t>
      </w:r>
      <w:r w:rsidRPr="00E57949">
        <w:rPr>
          <w:b/>
          <w:bCs/>
        </w:rPr>
        <w:t xml:space="preserve">области управљања јавним финансијама </w:t>
      </w:r>
      <w:r w:rsidRPr="00E57949">
        <w:t>се односи на имплементацију Закона о буџетском система који је прописао да је прелазак са линијског буџета на програмски буџет обавезан. ЈЛС су у складу са тим израдиле своје буџете у претходних шест буџетских циклуса, односно увеле су програмску класификацију, али је квалитет њихових програмских буџета и усклађеност са прописаном методологијом захтевала значајну подршку, посебно у првим годинама примене. На годишњем нивоу спроведено је по 12 регионалних обука за све ЈЛС у сваком од буџетских циклуса а пружана је и директна техничка подршка по конкурсном принципу. У првом циклусу за израду буџета 2015. године је 45,56% ЈЛС применило минималне захтеве из методологије програмског буџета, да би се проценат стално повећавао (46,5%-2016; 61,53%-2017; 67,65%-2018; 78%-2019) до 81% код израде буџета за 2020. годину. Закон о буџетском систему предвиђа и обавезну израду и објављивање извештаја о извршењу програмског буџета у ЈЛС у Службеном гласнику у оквиру образложења Одлуке о завршном рачуну и половина ЈЛС ове извештаје објављује на својим интернет страницама. Изменама Закона о локалној самоуправи је утврђена обавеза ЈЛС да спроведу поступак јавне расправе за припрему одлуке о буџету, у делу који се односи на инвестиције. Теме у вези са јавним расправама, транспарентношћу буџета и примени родног буџетирања су тесно повезане са аспектима програмског буџетирања и биле су саставни део изградње капацитета ЈЛС у претходним годинама. Модел за израду грађанског водича кроз буџет (посебно за градове и посебно за општине) развили су СКГО и Министарство финансија и он је стављен на располагање свим ЈЛС тако да све већи број њих објављује и ове водиче (број таквих ЈЛС је готово учетворостручен у 2020. годину у односу на 2018. годину, али и даље износи испод половине ЈЛС у Србији). Ради успешније примене Закона о јавној својини,</w:t>
      </w:r>
      <w:r w:rsidRPr="00E57949">
        <w:rPr>
          <w:vertAlign w:val="superscript"/>
        </w:rPr>
        <w:footnoteReference w:id="317"/>
      </w:r>
      <w:r w:rsidRPr="00E57949">
        <w:t xml:space="preserve"> развијене су и спроводе се регионалне обуке за управљање јавном својином на локалном нивоу, директна финансијска помоћ ЕУ у овој области реализује се од краја 2018. године са 48 ЈЛС у оквиру Програма </w:t>
      </w:r>
      <w:r w:rsidRPr="00E57949">
        <w:rPr>
          <w:i/>
        </w:rPr>
        <w:t>EXCHANGE 5</w:t>
      </w:r>
      <w:r w:rsidRPr="00E57949">
        <w:t>, а од средине 2019. године спроводе се и пакети техничке подршке за управљање имовином (са 20 ЈЛС).</w:t>
      </w:r>
    </w:p>
    <w:p w14:paraId="7866A4E1" w14:textId="77777777" w:rsidR="00E57949" w:rsidRPr="00E57949" w:rsidRDefault="00E57949" w:rsidP="00E57949">
      <w:r w:rsidRPr="00E57949">
        <w:rPr>
          <w:b/>
          <w:bCs/>
        </w:rPr>
        <w:t>Недостатак стабилности и предвидљивости у погледу финансирања ЈЛС</w:t>
      </w:r>
      <w:r w:rsidRPr="00E57949">
        <w:t xml:space="preserve"> је велики изазов. Измене законског оквира система финансирања ЈЛС, које су проузроковале вертикалну неравнотежу између прихода и расхода локалних буџета, отежавају дугорочно планирање и планирање капиталних улагања. Иако локалне власти у Србији у просеку располажу значајаним уделом изворних прихода и у великој мери су слободне да одређују намену сопствених прихода, по проценту учешћа капиталних расхода, односно расхода за локалне инвестиције, локална самоуправа у Србији је на самом зачељу листе земаља региона. По проценама СКГО, учешће укупних прихода и примања локалне самоуправе у БДП у 2015. години било је 5.75% што је на нивоу из 2005. године (5,8%).</w:t>
      </w:r>
      <w:r w:rsidRPr="00E57949">
        <w:rPr>
          <w:vertAlign w:val="superscript"/>
        </w:rPr>
        <w:footnoteReference w:id="318"/>
      </w:r>
      <w:r w:rsidRPr="00E57949">
        <w:t xml:space="preserve"> Имајући у виду значајно увећане надлежности локалне самоуправе, стагнантни раст учешћа укупних примања ЈЛС у БДП-у је препрека за стабилно финансирање.</w:t>
      </w:r>
    </w:p>
    <w:p w14:paraId="14D040A1" w14:textId="77777777" w:rsidR="00E57949" w:rsidRPr="00E57949" w:rsidRDefault="00E57949" w:rsidP="00E57949">
      <w:r w:rsidRPr="00E57949">
        <w:t>Обједињени Информациони систем за локалну пореску управу упрошћава плаћање пореза за око 135.000 предузећа и 258.000 предузетника.</w:t>
      </w:r>
      <w:r w:rsidRPr="00E57949">
        <w:rPr>
          <w:vertAlign w:val="superscript"/>
        </w:rPr>
        <w:footnoteReference w:id="319"/>
      </w:r>
      <w:r w:rsidRPr="00E57949">
        <w:t xml:space="preserve"> Овај систем је само једна карика у спровођењу свеобухватног система управљања у електронском облику који треба да допринесе бржој и квалитетнијој реформи катастра.</w:t>
      </w:r>
      <w:r w:rsidRPr="00E57949">
        <w:rPr>
          <w:vertAlign w:val="superscript"/>
        </w:rPr>
        <w:footnoteReference w:id="320"/>
      </w:r>
    </w:p>
    <w:p w14:paraId="144C21C1" w14:textId="77777777" w:rsidR="00E57949" w:rsidRPr="00E57949" w:rsidRDefault="00E57949" w:rsidP="00E57949">
      <w:r w:rsidRPr="00E57949">
        <w:rPr>
          <w:b/>
        </w:rPr>
        <w:t>Постојећи систем надзора над радом локалне самоуправе и систем уређених односа</w:t>
      </w:r>
      <w:r w:rsidRPr="00E57949">
        <w:t xml:space="preserve"> у погледу сарадње и превентивног деловања од стране централног нивоа власти </w:t>
      </w:r>
      <w:r w:rsidRPr="00E57949">
        <w:rPr>
          <w:b/>
        </w:rPr>
        <w:t>није довољно развијен</w:t>
      </w:r>
      <w:r w:rsidRPr="00E57949">
        <w:t>. Надзор над локалним изворним пословима постављен је у складу са Европском повељом о локалној самоуправи као надзор над законитошћу рада локалне самоуправе.</w:t>
      </w:r>
      <w:r w:rsidRPr="00E57949">
        <w:rPr>
          <w:vertAlign w:val="superscript"/>
        </w:rPr>
        <w:footnoteReference w:id="321"/>
      </w:r>
      <w:r w:rsidRPr="00E57949">
        <w:t xml:space="preserve"> С друге стране надзор над спровођењем поверених послова није сталан нити довољно развијен а инспекцијски надзор ретко има превентивни и саветодавни карактер. Спољна финансијска контрола стално се развија преко Државне ревизорске институције, а ЈЛС користе и повећани број овлашћених ревизора.</w:t>
      </w:r>
    </w:p>
    <w:p w14:paraId="47B7A49B" w14:textId="5F59B68E" w:rsidR="00E57949" w:rsidRPr="00E57949" w:rsidRDefault="00E57949" w:rsidP="00E57949">
      <w:r w:rsidRPr="00E57949">
        <w:t xml:space="preserve">У </w:t>
      </w:r>
      <w:r w:rsidRPr="00E57949">
        <w:rPr>
          <w:b/>
        </w:rPr>
        <w:t>области пружања услуга</w:t>
      </w:r>
      <w:r w:rsidRPr="00E57949">
        <w:t>, напори су усмерени на спровођењу Закона о управном поступку и поједностављењу и дигитализацији управних поступака. Први кораци у поједностављењу управних поступака учињени су мапирањем потреба и израдом модела свих локалних управних поступака који се односе на грађане и привреду.</w:t>
      </w:r>
      <w:r w:rsidRPr="00E57949">
        <w:rPr>
          <w:vertAlign w:val="superscript"/>
        </w:rPr>
        <w:footnoteReference w:id="322"/>
      </w:r>
      <w:r w:rsidRPr="00E57949">
        <w:t xml:space="preserve"> Поједностављење, односно оптимизација и дигитализација управних поступака и смањење регулаторног финансијског оптерећења побољшали су не само услуге јавне управе и пословно окружење, већ су произвели и додатне уштеде. На исти начин, остварен је значајан утицај реформе јавне управе на јавне набавке, инспекције, и издавање грађевинских дозвола.</w:t>
      </w:r>
      <w:r w:rsidRPr="00E57949">
        <w:rPr>
          <w:vertAlign w:val="superscript"/>
        </w:rPr>
        <w:footnoteReference w:id="323"/>
      </w:r>
      <w:r w:rsidRPr="00E57949">
        <w:t xml:space="preserve"> Пораст грађевинских активности због </w:t>
      </w:r>
      <w:r w:rsidR="00023DF9">
        <w:t>једноставнијег</w:t>
      </w:r>
      <w:r w:rsidRPr="00E57949">
        <w:t xml:space="preserve"> и бржег издавања дозвола довео је до већих прихода у ЈЛС. Током првих шест месеци 2017. године, локалне власти наплатиле су скоро пет милијарди динара у доприносима за грађевинско земљиште, што је пораст од 19% у односу на исти период из 2014. године, пре реформи.</w:t>
      </w:r>
      <w:r w:rsidRPr="00E57949">
        <w:rPr>
          <w:vertAlign w:val="superscript"/>
        </w:rPr>
        <w:footnoteReference w:id="324"/>
      </w:r>
      <w:r w:rsidRPr="00E57949">
        <w:t xml:space="preserve"> </w:t>
      </w:r>
    </w:p>
    <w:p w14:paraId="6B32B0B0" w14:textId="69791BBC" w:rsidR="00E57949" w:rsidRPr="00E57949" w:rsidRDefault="00023DF9" w:rsidP="00E57949">
      <w:r>
        <w:t>П</w:t>
      </w:r>
      <w:r w:rsidR="00E57949" w:rsidRPr="00E57949">
        <w:t>роблеми у ефикасности управног поступања</w:t>
      </w:r>
      <w:r>
        <w:t xml:space="preserve"> су очигледни</w:t>
      </w:r>
      <w:r w:rsidR="00E57949" w:rsidRPr="00E57949">
        <w:t>, као и разлике међу ЈЛС у погледу трајања или садржине управних поступака.</w:t>
      </w:r>
      <w:r w:rsidR="00E57949" w:rsidRPr="00E57949">
        <w:rPr>
          <w:vertAlign w:val="superscript"/>
        </w:rPr>
        <w:footnoteReference w:id="325"/>
      </w:r>
      <w:r w:rsidR="00E57949" w:rsidRPr="00E57949">
        <w:t xml:space="preserve"> Процес трансформације локалне управе подразумева наставак интензивног развоја електронске управе и дигитализације јавних услуга,</w:t>
      </w:r>
      <w:r w:rsidR="00E57949" w:rsidRPr="00E57949">
        <w:rPr>
          <w:vertAlign w:val="superscript"/>
        </w:rPr>
        <w:footnoteReference w:id="326"/>
      </w:r>
      <w:r w:rsidR="00E57949" w:rsidRPr="00E57949">
        <w:t xml:space="preserve"> јер су то кључни алати за знатно већу ефикасност јавне управе и за „локализацију” јавних услуга. Разлози за неефикасно управно поступање леже у ниским, или </w:t>
      </w:r>
      <w:r w:rsidR="00E57949" w:rsidRPr="00E57949">
        <w:rPr>
          <w:b/>
        </w:rPr>
        <w:t>неуједначеним организационим и управним капацитетима, као и недостатку адекватних кадровских, техничких и финансијских ресурса ЈЛС</w:t>
      </w:r>
      <w:r w:rsidR="00E57949" w:rsidRPr="00E57949">
        <w:t xml:space="preserve">. Градови углавном имају </w:t>
      </w:r>
      <w:r w:rsidR="00B03994">
        <w:t>одговарајуће</w:t>
      </w:r>
      <w:r w:rsidR="00E57949" w:rsidRPr="00E57949">
        <w:t xml:space="preserve"> управне капацитете, док у већем броју </w:t>
      </w:r>
      <w:r w:rsidR="00B03994">
        <w:t>ЈЛС</w:t>
      </w:r>
      <w:r w:rsidR="00E57949" w:rsidRPr="00E57949">
        <w:t xml:space="preserve"> то није случај. Додатна препрека у прошлости је било ограничавање запошљавања (у периоду од 2014. до 2017. године забележен је пад од 12,68%),</w:t>
      </w:r>
      <w:r w:rsidR="00E57949" w:rsidRPr="00E57949">
        <w:rPr>
          <w:vertAlign w:val="superscript"/>
        </w:rPr>
        <w:footnoteReference w:id="327"/>
      </w:r>
      <w:r w:rsidR="00E57949" w:rsidRPr="00E57949">
        <w:t xml:space="preserve"> дуго запостављање кадрова у локалној самоуправи, непостојање система заслуга приликом запошљавања и напредовања, ниске зараде, недовољан ниво професионализације управе и висок утицај локалних политичких односа и промена на њен рад.</w:t>
      </w:r>
      <w:r w:rsidR="00E57949" w:rsidRPr="00E57949">
        <w:rPr>
          <w:vertAlign w:val="superscript"/>
        </w:rPr>
        <w:footnoteReference w:id="328"/>
      </w:r>
    </w:p>
    <w:p w14:paraId="12B13CBD" w14:textId="77777777" w:rsidR="00E57949" w:rsidRPr="00E57949" w:rsidRDefault="00E57949" w:rsidP="00E57949">
      <w:r w:rsidRPr="00E57949">
        <w:t xml:space="preserve">Кључне надлежности локалне самоуправе, као што су </w:t>
      </w:r>
      <w:r w:rsidRPr="00E57949">
        <w:rPr>
          <w:b/>
        </w:rPr>
        <w:t>комуналне делатности и остваривање јавног интереса</w:t>
      </w:r>
      <w:r w:rsidRPr="00E57949">
        <w:t xml:space="preserve"> оптерећене су наслеђеним проблемима, који обухватају застарелост инфраструктуре и опреме, недостатак финансијских средстава за инвестиције, нерешен статус имовине јавних комуналних предузећа, неефикасно управљање, неадекватни паритети цена комуналних услуга и политички утицај на рад јавних комуналних предузећа.</w:t>
      </w:r>
      <w:r w:rsidRPr="00E57949">
        <w:rPr>
          <w:vertAlign w:val="superscript"/>
        </w:rPr>
        <w:footnoteReference w:id="329"/>
      </w:r>
      <w:r w:rsidRPr="00E57949">
        <w:t xml:space="preserve"> Додатно, кључни проблем код локалних установа уочен је у систему организовања и управљања радом установа, као што су двојна одговорност дела локалних установа, недостатак капацитета управе за надзор, недостатак, или неодговарајући квалитет инфраструктуре и опреме.</w:t>
      </w:r>
    </w:p>
    <w:p w14:paraId="3473C83F" w14:textId="77777777" w:rsidR="00E57949" w:rsidRPr="00E57949" w:rsidRDefault="00E57949" w:rsidP="00E57949">
      <w:r w:rsidRPr="00E57949">
        <w:rPr>
          <w:b/>
          <w:bCs/>
        </w:rPr>
        <w:t xml:space="preserve">Функција </w:t>
      </w:r>
      <w:r w:rsidRPr="00E57949">
        <w:rPr>
          <w:b/>
        </w:rPr>
        <w:t>УЉР</w:t>
      </w:r>
      <w:r w:rsidRPr="00E57949">
        <w:rPr>
          <w:bCs/>
        </w:rPr>
        <w:t xml:space="preserve"> је окосница</w:t>
      </w:r>
      <w:r w:rsidRPr="00E57949">
        <w:t xml:space="preserve"> новог службеничког система. Међу резултатима треба истаћи оснивање Савета за стручно усавршавање локалних службеника, процес акредитације спроводилаца обуке, део градова и општина покренуо је локалне процесе стручног усавршавања службеника, а основана је и Национална академија за јавну управу. У циљу изградње капацитета на локалном нивоу, СКГО је формирао мрежу за управљање кадровима са 272 координатора, која се састоји од 133 запослених из ЈЛС и 139 запослених у органима државне управе.</w:t>
      </w:r>
      <w:r w:rsidRPr="00E57949">
        <w:rPr>
          <w:vertAlign w:val="superscript"/>
        </w:rPr>
        <w:footnoteReference w:id="330"/>
      </w:r>
    </w:p>
    <w:p w14:paraId="58D5EB75" w14:textId="77777777" w:rsidR="00E57949" w:rsidRPr="00E57949" w:rsidRDefault="00E57949" w:rsidP="00E57949">
      <w:r w:rsidRPr="00E57949">
        <w:t>Ниједна ЈЛС нема до краја успостављен систем вођења евиденције о запосленима, на начин како то подразумева савремени концепт УЉР. ЈЛС не поседују свеобухватни информациони систем који би омогућио успостављање ефикасне електронске евиденције података о запосленима и интегрисани приступ управљању подацима о људским ресурсима.</w:t>
      </w:r>
      <w:r w:rsidRPr="00E57949">
        <w:rPr>
          <w:vertAlign w:val="superscript"/>
        </w:rPr>
        <w:footnoteReference w:id="331"/>
      </w:r>
      <w:r w:rsidRPr="00E57949">
        <w:t xml:space="preserve"> Заступљена је пракса да се једна до две особе баве кадровском евиденцијом и радно-правним питањима запослених, док су остале кључне функције управљања људским ресурсима запостављене, или се обављају са непуним радним временом (транспарентно попуњавање радних места, стручно усавршавање, оцењивање запослених).</w:t>
      </w:r>
      <w:r w:rsidRPr="00E57949">
        <w:rPr>
          <w:vertAlign w:val="superscript"/>
        </w:rPr>
        <w:footnoteReference w:id="332"/>
      </w:r>
      <w:r w:rsidRPr="00E57949">
        <w:t xml:space="preserve"> СКГО је развила је онлајн инструмент за самопроцену стања у области управљања људским ресурсима у локалној самоуправи (</w:t>
      </w:r>
      <w:r w:rsidRPr="00E57949">
        <w:rPr>
          <w:iCs/>
        </w:rPr>
        <w:t>индекс за управљање људским ресурсима у ЈЛС</w:t>
      </w:r>
      <w:r w:rsidRPr="00E57949">
        <w:t xml:space="preserve">). Резултати првог круга попуњавања индекса крајем 2016. године показали су да је у првој години примене Закона само мали број ЈЛС на било који начин институционализовао послове управљања људским ресурсима. На крају 2017. године се показало да је само око половине њих испунило форму, тако што је неком од већ постојећих описа послова додата и листа послова која се односи на управљање људским ресурсима, без претходне анализе послова. У 2020. години, СКГО је у сарадњи са Саветом Европе спровела процену стања и капацитета за управљање људским ресурсима у 50 ЈЛС које учествују у пројекту: Управљање људским ресурсима – друга фаза. </w:t>
      </w:r>
      <w:r w:rsidRPr="00E57949">
        <w:rPr>
          <w:rFonts w:eastAsia="Times New Roman"/>
          <w:lang w:eastAsia="ar-SA"/>
        </w:rPr>
        <w:t>Према прелиминарним резултатима истраживања, тренутна просечна вредност стања капацитета ЈЛС односно индекса износи 54% што показује да је потребно наставити и интензивирати реформе у области УЉР, а посебно стручног усавршавања локалних службеника.</w:t>
      </w:r>
      <w:r w:rsidRPr="00E57949">
        <w:rPr>
          <w:rFonts w:eastAsia="Times New Roman"/>
          <w:vertAlign w:val="superscript"/>
          <w:lang w:eastAsia="ar-SA"/>
        </w:rPr>
        <w:footnoteReference w:id="333"/>
      </w:r>
      <w:r w:rsidRPr="00E57949">
        <w:rPr>
          <w:rFonts w:eastAsia="Times New Roman"/>
          <w:lang w:eastAsia="ar-SA"/>
        </w:rPr>
        <w:t xml:space="preserve"> </w:t>
      </w:r>
    </w:p>
    <w:p w14:paraId="21B6C7CA" w14:textId="60C226B0" w:rsidR="00E57949" w:rsidRPr="000F0299" w:rsidRDefault="00E57949" w:rsidP="00E57949">
      <w:r w:rsidRPr="00E57949">
        <w:t xml:space="preserve">Још увек има доста изазова за локалну самоуправу у вези са применом </w:t>
      </w:r>
      <w:r w:rsidRPr="00E57949">
        <w:rPr>
          <w:b/>
        </w:rPr>
        <w:t>начела доброг управљања</w:t>
      </w:r>
      <w:r w:rsidRPr="00E57949">
        <w:t xml:space="preserve">, </w:t>
      </w:r>
      <w:r w:rsidRPr="00E57949">
        <w:rPr>
          <w:b/>
        </w:rPr>
        <w:t>одговорности и транспарентности</w:t>
      </w:r>
      <w:r w:rsidRPr="00E57949">
        <w:t xml:space="preserve"> у раду локалне самоуправе. Постојећи изборни систем не фаворизује избор одборника и носилаца извршних функција који би пред грађанима били непосредније одговорни за вршење својих функција. Иако је преко 100 ЈЛС усвојило локалне планове за борбу против корупције, значајан број њих још није започео адекватну примену. Стога је СКГО, у сарадњи са МДУЛС, ЈЛС, независним државним органима, невладиним сектором и међународним организацијама, развио </w:t>
      </w:r>
      <w:r w:rsidRPr="00E57949">
        <w:rPr>
          <w:b/>
        </w:rPr>
        <w:t>Индекс добре управе</w:t>
      </w:r>
      <w:r w:rsidRPr="00E57949">
        <w:t xml:space="preserve"> на локалном нивоу и он треба да послужи као барометар стања у области одговорности, транспарентности, партиципације, економичности и делотворности, равноправности и антикорупције.</w:t>
      </w:r>
      <w:r w:rsidRPr="00E57949">
        <w:rPr>
          <w:vertAlign w:val="superscript"/>
        </w:rPr>
        <w:footnoteReference w:id="334"/>
      </w:r>
      <w:r w:rsidRPr="00E57949">
        <w:t xml:space="preserve"> Он садржи објективне и мерљиве показатеље за сагледавање реалног стања у остваривању јавних политика и законских права и дужности. Овај инструмент ће пружити основ за системску, институционалну подршку примерима добре праксе међу ЈЛС у Србији. СКГО је анализирао податке добијене од 60 пилот ЈЛС које су учествовале у давању одговора 2018. године и показало се да су се укупне оцене на скали од 1 до 100% кретале у распону од 18 % (најслабије рангирана) до 63,6%. Просечна оцена је 39,1%. У области добре управе најнижи резултат био је у области антикорупције (испод 25%).</w:t>
      </w:r>
      <w:r w:rsidRPr="00E57949">
        <w:rPr>
          <w:vertAlign w:val="superscript"/>
        </w:rPr>
        <w:footnoteReference w:id="335"/>
      </w:r>
      <w:r w:rsidRPr="00E57949">
        <w:t xml:space="preserve"> У области принципа предвидивости, економичности и делотворности просечна оцена била је 42%. Међутим, када је предвидивост у питању најлошији резултати су у домену постојања и примене механизама за уједначавања управне праксе (свега 10%).</w:t>
      </w:r>
      <w:r w:rsidRPr="00E57949">
        <w:rPr>
          <w:vertAlign w:val="superscript"/>
        </w:rPr>
        <w:footnoteReference w:id="336"/>
      </w:r>
    </w:p>
    <w:p w14:paraId="40D7B21C" w14:textId="77777777" w:rsidR="00E122F0" w:rsidRPr="000F0299" w:rsidRDefault="00E122F0" w:rsidP="00244E7C">
      <w:pPr>
        <w:sectPr w:rsidR="00E122F0" w:rsidRPr="000F0299">
          <w:headerReference w:type="default" r:id="rId168"/>
          <w:footerReference w:type="default" r:id="rId169"/>
          <w:pgSz w:w="11906" w:h="16838"/>
          <w:pgMar w:top="1417" w:right="1417" w:bottom="1134" w:left="1417" w:header="708" w:footer="708" w:gutter="0"/>
          <w:cols w:space="708"/>
          <w:docGrid w:linePitch="360"/>
        </w:sectPr>
      </w:pPr>
    </w:p>
    <w:p w14:paraId="66D3FF91" w14:textId="77777777" w:rsidR="00BC55F6" w:rsidRPr="000F0299" w:rsidRDefault="00BC55F6" w:rsidP="00BC55F6">
      <w:pPr>
        <w:pStyle w:val="Heading3"/>
        <w:rPr>
          <w:lang w:val="sr-Cyrl-RS"/>
        </w:rPr>
      </w:pPr>
      <w:bookmarkStart w:id="275" w:name="_Toc57139401"/>
      <w:bookmarkStart w:id="276" w:name="_Toc57661500"/>
      <w:bookmarkStart w:id="277" w:name="_Toc51601596"/>
      <w:r w:rsidRPr="000F0299">
        <w:rPr>
          <w:lang w:val="sr-Cyrl-RS"/>
        </w:rPr>
        <w:t>Дрво проблема – Систем локалне самоуправе</w:t>
      </w:r>
      <w:bookmarkEnd w:id="275"/>
      <w:bookmarkEnd w:id="276"/>
    </w:p>
    <w:p w14:paraId="6E005B7A" w14:textId="77777777" w:rsidR="00BC55F6" w:rsidRPr="000F0299" w:rsidRDefault="00BC55F6" w:rsidP="00BC55F6">
      <w:pPr>
        <w:suppressAutoHyphens w:val="0"/>
        <w:autoSpaceDN/>
        <w:spacing w:before="0" w:after="120"/>
        <w:ind w:left="-547" w:firstLine="0"/>
        <w:jc w:val="center"/>
        <w:textAlignment w:val="auto"/>
        <w:rPr>
          <w:rFonts w:ascii="Calibri" w:eastAsia="Times New Roman" w:hAnsi="Calibri"/>
          <w:color w:val="666D88"/>
          <w:kern w:val="0"/>
          <w:sz w:val="20"/>
          <w:szCs w:val="20"/>
          <w:lang w:eastAsia="en-US" w:bidi="ar-SA"/>
        </w:rPr>
      </w:pPr>
      <w:r w:rsidRPr="000F0299">
        <w:rPr>
          <w:rFonts w:ascii="Verdana" w:eastAsia="Times New Roman" w:hAnsi="Verdana"/>
          <w:b/>
          <w:noProof/>
          <w:color w:val="666D88"/>
          <w:kern w:val="0"/>
          <w:position w:val="-2"/>
          <w:sz w:val="56"/>
          <w:szCs w:val="56"/>
          <w:lang w:val="en-US" w:eastAsia="en-US" w:bidi="ar-SA"/>
        </w:rPr>
        <mc:AlternateContent>
          <mc:Choice Requires="wps">
            <w:drawing>
              <wp:anchor distT="0" distB="0" distL="114300" distR="114300" simplePos="0" relativeHeight="252137984" behindDoc="0" locked="0" layoutInCell="1" allowOverlap="1" wp14:anchorId="6D4E04BA" wp14:editId="6E3D885A">
                <wp:simplePos x="0" y="0"/>
                <wp:positionH relativeFrom="column">
                  <wp:posOffset>5308375</wp:posOffset>
                </wp:positionH>
                <wp:positionV relativeFrom="paragraph">
                  <wp:posOffset>567741</wp:posOffset>
                </wp:positionV>
                <wp:extent cx="5389296" cy="918210"/>
                <wp:effectExtent l="0" t="0" r="20955" b="15240"/>
                <wp:wrapNone/>
                <wp:docPr id="660" name="Text Box 660"/>
                <wp:cNvGraphicFramePr/>
                <a:graphic xmlns:a="http://schemas.openxmlformats.org/drawingml/2006/main">
                  <a:graphicData uri="http://schemas.microsoft.com/office/word/2010/wordprocessingShape">
                    <wps:wsp>
                      <wps:cNvSpPr txBox="1"/>
                      <wps:spPr>
                        <a:xfrm>
                          <a:off x="0" y="0"/>
                          <a:ext cx="5389296" cy="918210"/>
                        </a:xfrm>
                        <a:prstGeom prst="roundRect">
                          <a:avLst/>
                        </a:prstGeom>
                        <a:solidFill>
                          <a:schemeClr val="bg1"/>
                        </a:solidFill>
                        <a:ln w="19050">
                          <a:solidFill>
                            <a:srgbClr val="666D88"/>
                          </a:solidFill>
                        </a:ln>
                        <a:effectLst/>
                      </wps:spPr>
                      <wps:txbx>
                        <w:txbxContent>
                          <w:p w14:paraId="5E20B45C" w14:textId="77777777" w:rsidR="00876FFE" w:rsidRPr="00641667" w:rsidRDefault="00876FFE" w:rsidP="00BC55F6">
                            <w:pPr>
                              <w:spacing w:before="0"/>
                              <w:jc w:val="center"/>
                              <w:rPr>
                                <w:rFonts w:asciiTheme="minorHAnsi" w:hAnsiTheme="minorHAnsi" w:cstheme="minorHAnsi"/>
                              </w:rPr>
                            </w:pPr>
                            <w:r w:rsidRPr="00641667">
                              <w:rPr>
                                <w:rFonts w:asciiTheme="minorHAnsi" w:hAnsiTheme="minorHAnsi" w:cstheme="minorHAnsi"/>
                              </w:rPr>
                              <w:t xml:space="preserve">Законске обавезе </w:t>
                            </w:r>
                            <w:r>
                              <w:rPr>
                                <w:rFonts w:asciiTheme="minorHAnsi" w:hAnsiTheme="minorHAnsi" w:cstheme="minorHAnsi"/>
                              </w:rPr>
                              <w:t>Ј</w:t>
                            </w:r>
                            <w:r w:rsidRPr="00641667">
                              <w:rPr>
                                <w:rFonts w:asciiTheme="minorHAnsi" w:hAnsiTheme="minorHAnsi" w:cstheme="minorHAnsi"/>
                              </w:rPr>
                              <w:t>ЛС нису усклађене са њиховим објективним капацитетима</w:t>
                            </w:r>
                            <w:r>
                              <w:rPr>
                                <w:rFonts w:asciiTheme="minorHAnsi" w:hAnsiTheme="minorHAnsi" w:cstheme="minorHAnsi"/>
                              </w:rPr>
                              <w:t>, већ су једнаке за све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4E04BA" id="Text Box 660" o:spid="_x0000_s1412" style="position:absolute;left:0;text-align:left;margin-left:418pt;margin-top:44.7pt;width:424.35pt;height:72.3pt;z-index:25213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" fillcolor="white [3212]" strokecolor="#666d88" strokeweight="1.5pt">
                <v:textbox inset="0,0,0,0">
                  <w:txbxContent>
                    <w:p w14:paraId="5E20B45C" w14:textId="77777777" w:rsidR="00876FFE" w:rsidRPr="00641667" w:rsidRDefault="00876FFE" w:rsidP="00BC55F6">
                      <w:pPr>
                        <w:spacing w:before="0"/>
                        <w:jc w:val="center"/>
                        <w:rPr>
                          <w:rFonts w:asciiTheme="minorHAnsi" w:hAnsiTheme="minorHAnsi" w:cstheme="minorHAnsi"/>
                        </w:rPr>
                      </w:pPr>
                      <w:r w:rsidRPr="00641667">
                        <w:rPr>
                          <w:rFonts w:asciiTheme="minorHAnsi" w:hAnsiTheme="minorHAnsi" w:cstheme="minorHAnsi"/>
                        </w:rPr>
                        <w:t xml:space="preserve">Законске обавезе </w:t>
                      </w:r>
                      <w:r>
                        <w:rPr>
                          <w:rFonts w:asciiTheme="minorHAnsi" w:hAnsiTheme="minorHAnsi" w:cstheme="minorHAnsi"/>
                        </w:rPr>
                        <w:t>Ј</w:t>
                      </w:r>
                      <w:r w:rsidRPr="00641667">
                        <w:rPr>
                          <w:rFonts w:asciiTheme="minorHAnsi" w:hAnsiTheme="minorHAnsi" w:cstheme="minorHAnsi"/>
                        </w:rPr>
                        <w:t>ЛС нису усклађене са њиховим објективним капацитетима</w:t>
                      </w:r>
                      <w:r>
                        <w:rPr>
                          <w:rFonts w:asciiTheme="minorHAnsi" w:hAnsiTheme="minorHAnsi" w:cstheme="minorHAnsi"/>
                        </w:rPr>
                        <w:t>, већ су једнаке за све</w:t>
                      </w:r>
                    </w:p>
                  </w:txbxContent>
                </v:textbox>
              </v:roundrect>
            </w:pict>
          </mc:Fallback>
        </mc:AlternateContent>
      </w:r>
      <w:r w:rsidRPr="000F0299">
        <w:rPr>
          <w:rFonts w:ascii="Verdana" w:eastAsia="Times New Roman" w:hAnsi="Verdana"/>
          <w:b/>
          <w:noProof/>
          <w:color w:val="666D88"/>
          <w:kern w:val="0"/>
          <w:position w:val="-2"/>
          <w:sz w:val="56"/>
          <w:szCs w:val="56"/>
          <w:lang w:val="en-US" w:eastAsia="en-US" w:bidi="ar-SA"/>
        </w:rPr>
        <mc:AlternateContent>
          <mc:Choice Requires="wps">
            <w:drawing>
              <wp:anchor distT="0" distB="0" distL="114300" distR="114300" simplePos="0" relativeHeight="252135936" behindDoc="0" locked="0" layoutInCell="1" allowOverlap="1" wp14:anchorId="70F9889C" wp14:editId="49A4E738">
                <wp:simplePos x="0" y="0"/>
                <wp:positionH relativeFrom="column">
                  <wp:posOffset>-500743</wp:posOffset>
                </wp:positionH>
                <wp:positionV relativeFrom="paragraph">
                  <wp:posOffset>571228</wp:posOffset>
                </wp:positionV>
                <wp:extent cx="2631440" cy="918835"/>
                <wp:effectExtent l="0" t="0" r="16510" b="15240"/>
                <wp:wrapNone/>
                <wp:docPr id="661" name="Text Box 661"/>
                <wp:cNvGraphicFramePr/>
                <a:graphic xmlns:a="http://schemas.openxmlformats.org/drawingml/2006/main">
                  <a:graphicData uri="http://schemas.microsoft.com/office/word/2010/wordprocessingShape">
                    <wps:wsp>
                      <wps:cNvSpPr txBox="1"/>
                      <wps:spPr>
                        <a:xfrm>
                          <a:off x="0" y="0"/>
                          <a:ext cx="2631440" cy="918835"/>
                        </a:xfrm>
                        <a:prstGeom prst="roundRect">
                          <a:avLst/>
                        </a:prstGeom>
                        <a:solidFill>
                          <a:schemeClr val="bg1"/>
                        </a:solidFill>
                        <a:ln w="19050">
                          <a:solidFill>
                            <a:srgbClr val="666D88"/>
                          </a:solidFill>
                        </a:ln>
                        <a:effectLst/>
                      </wps:spPr>
                      <wps:txbx>
                        <w:txbxContent>
                          <w:p w14:paraId="27B4077D" w14:textId="77777777" w:rsidR="00876FFE" w:rsidRPr="00641667" w:rsidRDefault="00876FFE" w:rsidP="00BC55F6">
                            <w:pPr>
                              <w:spacing w:before="0"/>
                              <w:ind w:firstLine="0"/>
                              <w:jc w:val="center"/>
                              <w:rPr>
                                <w:rFonts w:asciiTheme="minorHAnsi" w:hAnsiTheme="minorHAnsi" w:cstheme="minorHAnsi"/>
                              </w:rPr>
                            </w:pPr>
                            <w:r w:rsidRPr="00641667">
                              <w:rPr>
                                <w:rFonts w:asciiTheme="minorHAnsi" w:hAnsiTheme="minorHAnsi" w:cstheme="minorHAnsi"/>
                              </w:rPr>
                              <w:t>Неизграђени капацитети за уједначено пружање свих услуга истог  квалитета свим грађанима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F9889C" id="Text Box 661" o:spid="_x0000_s1413" style="position:absolute;left:0;text-align:left;margin-left:-39.45pt;margin-top:45pt;width:207.2pt;height:72.35pt;z-index:252135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" fillcolor="white [3212]" strokecolor="#666d88" strokeweight="1.5pt">
                <v:textbox inset="0,0,0,0">
                  <w:txbxContent>
                    <w:p w14:paraId="27B4077D" w14:textId="77777777" w:rsidR="00876FFE" w:rsidRPr="00641667" w:rsidRDefault="00876FFE" w:rsidP="00BC55F6">
                      <w:pPr>
                        <w:spacing w:before="0"/>
                        <w:ind w:firstLine="0"/>
                        <w:jc w:val="center"/>
                        <w:rPr>
                          <w:rFonts w:asciiTheme="minorHAnsi" w:hAnsiTheme="minorHAnsi" w:cstheme="minorHAnsi"/>
                        </w:rPr>
                      </w:pPr>
                      <w:r w:rsidRPr="00641667">
                        <w:rPr>
                          <w:rFonts w:asciiTheme="minorHAnsi" w:hAnsiTheme="minorHAnsi" w:cstheme="minorHAnsi"/>
                        </w:rPr>
                        <w:t xml:space="preserve">Неизграђени </w:t>
                      </w:r>
                      <w:r w:rsidRPr="00641667">
                        <w:rPr>
                          <w:rFonts w:asciiTheme="minorHAnsi" w:hAnsiTheme="minorHAnsi" w:cstheme="minorHAnsi"/>
                        </w:rPr>
                        <w:t>капацитети за уједначено пружање свих услуга истог  квалитета свим грађанима</w:t>
                      </w:r>
                    </w:p>
                  </w:txbxContent>
                </v:textbox>
              </v:roundrect>
            </w:pict>
          </mc:Fallback>
        </mc:AlternateContent>
      </w:r>
      <w:r w:rsidRPr="000F0299">
        <w:rPr>
          <w:rFonts w:ascii="Verdana" w:eastAsia="Times New Roman" w:hAnsi="Verdana"/>
          <w:b/>
          <w:noProof/>
          <w:color w:val="666D88"/>
          <w:kern w:val="0"/>
          <w:position w:val="-2"/>
          <w:sz w:val="56"/>
          <w:szCs w:val="56"/>
          <w:lang w:val="en-US" w:eastAsia="en-US" w:bidi="ar-SA"/>
        </w:rPr>
        <mc:AlternateContent>
          <mc:Choice Requires="wps">
            <w:drawing>
              <wp:anchor distT="0" distB="0" distL="114300" distR="114300" simplePos="0" relativeHeight="252136960" behindDoc="0" locked="0" layoutInCell="1" allowOverlap="1" wp14:anchorId="3F0DD855" wp14:editId="5647395E">
                <wp:simplePos x="0" y="0"/>
                <wp:positionH relativeFrom="column">
                  <wp:posOffset>2416629</wp:posOffset>
                </wp:positionH>
                <wp:positionV relativeFrom="paragraph">
                  <wp:posOffset>571228</wp:posOffset>
                </wp:positionV>
                <wp:extent cx="2631440" cy="918835"/>
                <wp:effectExtent l="0" t="0" r="16510" b="15240"/>
                <wp:wrapNone/>
                <wp:docPr id="658" name="Text Box 658"/>
                <wp:cNvGraphicFramePr/>
                <a:graphic xmlns:a="http://schemas.openxmlformats.org/drawingml/2006/main">
                  <a:graphicData uri="http://schemas.microsoft.com/office/word/2010/wordprocessingShape">
                    <wps:wsp>
                      <wps:cNvSpPr txBox="1"/>
                      <wps:spPr>
                        <a:xfrm>
                          <a:off x="0" y="0"/>
                          <a:ext cx="2631440" cy="918835"/>
                        </a:xfrm>
                        <a:prstGeom prst="roundRect">
                          <a:avLst/>
                        </a:prstGeom>
                        <a:solidFill>
                          <a:schemeClr val="bg1"/>
                        </a:solidFill>
                        <a:ln w="19050">
                          <a:solidFill>
                            <a:srgbClr val="666D88"/>
                          </a:solidFill>
                        </a:ln>
                        <a:effectLst/>
                      </wps:spPr>
                      <wps:txbx>
                        <w:txbxContent>
                          <w:p w14:paraId="409006A0" w14:textId="77777777" w:rsidR="00876FFE" w:rsidRPr="00641667" w:rsidRDefault="00876FFE" w:rsidP="00BC55F6">
                            <w:pPr>
                              <w:spacing w:before="0"/>
                              <w:jc w:val="center"/>
                              <w:rPr>
                                <w:rFonts w:asciiTheme="minorHAnsi" w:hAnsiTheme="minorHAnsi" w:cstheme="minorHAnsi"/>
                              </w:rPr>
                            </w:pPr>
                            <w:r w:rsidRPr="00641667">
                              <w:rPr>
                                <w:rFonts w:asciiTheme="minorHAnsi" w:hAnsiTheme="minorHAnsi" w:cstheme="minorHAnsi"/>
                              </w:rPr>
                              <w:t>Недовољна финансијска средства за развој капацитета за пружање услуга грађанима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0DD855" id="Text Box 658" o:spid="_x0000_s1414" style="position:absolute;left:0;text-align:left;margin-left:190.3pt;margin-top:45pt;width:207.2pt;height:72.35pt;z-index:25213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" fillcolor="white [3212]" strokecolor="#666d88" strokeweight="1.5pt">
                <v:textbox inset="0,0,0,0">
                  <w:txbxContent>
                    <w:p w14:paraId="409006A0" w14:textId="77777777" w:rsidR="00876FFE" w:rsidRPr="00641667" w:rsidRDefault="00876FFE" w:rsidP="00BC55F6">
                      <w:pPr>
                        <w:spacing w:before="0"/>
                        <w:jc w:val="center"/>
                        <w:rPr>
                          <w:rFonts w:asciiTheme="minorHAnsi" w:hAnsiTheme="minorHAnsi" w:cstheme="minorHAnsi"/>
                        </w:rPr>
                      </w:pPr>
                      <w:r w:rsidRPr="00641667">
                        <w:rPr>
                          <w:rFonts w:asciiTheme="minorHAnsi" w:hAnsiTheme="minorHAnsi" w:cstheme="minorHAnsi"/>
                        </w:rPr>
                        <w:t>Недовољна финансијска средства за развој капацитета за пружање услуга грађанима</w:t>
                      </w:r>
                    </w:p>
                  </w:txbxContent>
                </v:textbox>
              </v:roundrect>
            </w:pict>
          </mc:Fallback>
        </mc:AlternateContent>
      </w:r>
      <w:r w:rsidRPr="000F0299">
        <w:rPr>
          <w:rFonts w:ascii="Verdana" w:eastAsia="Times New Roman" w:hAnsi="Verdana"/>
          <w:b/>
          <w:noProof/>
          <w:color w:val="666D88"/>
          <w:kern w:val="0"/>
          <w:position w:val="-2"/>
          <w:sz w:val="56"/>
          <w:szCs w:val="56"/>
          <w:lang w:val="en-US" w:eastAsia="en-US" w:bidi="ar-SA"/>
        </w:rPr>
        <mc:AlternateContent>
          <mc:Choice Requires="wps">
            <w:drawing>
              <wp:anchor distT="0" distB="0" distL="114300" distR="114300" simplePos="0" relativeHeight="252139008" behindDoc="0" locked="0" layoutInCell="1" allowOverlap="1" wp14:anchorId="2125A4FE" wp14:editId="0570A5D1">
                <wp:simplePos x="0" y="0"/>
                <wp:positionH relativeFrom="column">
                  <wp:posOffset>11125200</wp:posOffset>
                </wp:positionH>
                <wp:positionV relativeFrom="paragraph">
                  <wp:posOffset>571228</wp:posOffset>
                </wp:positionV>
                <wp:extent cx="2631440" cy="918835"/>
                <wp:effectExtent l="0" t="0" r="16510" b="15240"/>
                <wp:wrapNone/>
                <wp:docPr id="657" name="Text Box 657"/>
                <wp:cNvGraphicFramePr/>
                <a:graphic xmlns:a="http://schemas.openxmlformats.org/drawingml/2006/main">
                  <a:graphicData uri="http://schemas.microsoft.com/office/word/2010/wordprocessingShape">
                    <wps:wsp>
                      <wps:cNvSpPr txBox="1"/>
                      <wps:spPr>
                        <a:xfrm>
                          <a:off x="0" y="0"/>
                          <a:ext cx="2631440" cy="918835"/>
                        </a:xfrm>
                        <a:prstGeom prst="roundRect">
                          <a:avLst/>
                        </a:prstGeom>
                        <a:solidFill>
                          <a:schemeClr val="bg1"/>
                        </a:solidFill>
                        <a:ln w="19050">
                          <a:solidFill>
                            <a:srgbClr val="666D88"/>
                          </a:solidFill>
                        </a:ln>
                        <a:effectLst/>
                      </wps:spPr>
                      <wps:txbx>
                        <w:txbxContent>
                          <w:p w14:paraId="705AF526" w14:textId="77777777" w:rsidR="00876FFE" w:rsidRPr="00641667" w:rsidRDefault="00876FFE" w:rsidP="00BC55F6">
                            <w:pPr>
                              <w:spacing w:before="0" w:line="216" w:lineRule="auto"/>
                              <w:jc w:val="center"/>
                              <w:rPr>
                                <w:rFonts w:asciiTheme="minorHAnsi" w:hAnsiTheme="minorHAnsi" w:cstheme="minorHAnsi"/>
                              </w:rPr>
                            </w:pPr>
                            <w:r w:rsidRPr="00641667">
                              <w:rPr>
                                <w:rFonts w:asciiTheme="minorHAnsi" w:hAnsiTheme="minorHAnsi" w:cstheme="minorHAnsi"/>
                              </w:rPr>
                              <w:t>Државни органи примењују овлашћења у вршењу надзора по правилу након јављања одређених проблема у вршењу</w:t>
                            </w:r>
                            <w:r w:rsidRPr="00641667">
                              <w:rPr>
                                <w:rFonts w:asciiTheme="minorHAnsi" w:hAnsiTheme="minorHAnsi" w:cstheme="minorHAnsi"/>
                              </w:rPr>
                              <w:br/>
                              <w:t xml:space="preserve">послова </w:t>
                            </w:r>
                            <w:r>
                              <w:rPr>
                                <w:rFonts w:asciiTheme="minorHAnsi" w:hAnsiTheme="minorHAnsi" w:cstheme="minorHAnsi"/>
                              </w:rPr>
                              <w:t>Ј</w:t>
                            </w:r>
                            <w:r w:rsidRPr="00641667">
                              <w:rPr>
                                <w:rFonts w:asciiTheme="minorHAnsi" w:hAnsiTheme="minorHAnsi" w:cstheme="minorHAnsi"/>
                              </w:rPr>
                              <w:t>ЛС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25A4FE" id="Text Box 657" o:spid="_x0000_s1415" style="position:absolute;left:0;text-align:left;margin-left:876pt;margin-top:45pt;width:207.2pt;height:72.35pt;z-index:25213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" fillcolor="white [3212]" strokecolor="#666d88" strokeweight="1.5pt">
                <v:textbox inset="0,0,0,0">
                  <w:txbxContent>
                    <w:p w14:paraId="705AF526" w14:textId="77777777" w:rsidR="00876FFE" w:rsidRPr="00641667" w:rsidRDefault="00876FFE" w:rsidP="00BC55F6">
                      <w:pPr>
                        <w:spacing w:before="0" w:line="216" w:lineRule="auto"/>
                        <w:jc w:val="center"/>
                        <w:rPr>
                          <w:rFonts w:asciiTheme="minorHAnsi" w:hAnsiTheme="minorHAnsi" w:cstheme="minorHAnsi"/>
                        </w:rPr>
                      </w:pPr>
                      <w:r w:rsidRPr="00641667">
                        <w:rPr>
                          <w:rFonts w:asciiTheme="minorHAnsi" w:hAnsiTheme="minorHAnsi" w:cstheme="minorHAnsi"/>
                        </w:rPr>
                        <w:t xml:space="preserve">Државни </w:t>
                      </w:r>
                      <w:r w:rsidRPr="00641667">
                        <w:rPr>
                          <w:rFonts w:asciiTheme="minorHAnsi" w:hAnsiTheme="minorHAnsi" w:cstheme="minorHAnsi"/>
                        </w:rPr>
                        <w:t>органи примењују овлашћења у вршењу надзора по правилу након јављања одређених проблема у вршењу</w:t>
                      </w:r>
                      <w:r w:rsidRPr="00641667">
                        <w:rPr>
                          <w:rFonts w:asciiTheme="minorHAnsi" w:hAnsiTheme="minorHAnsi" w:cstheme="minorHAnsi"/>
                        </w:rPr>
                        <w:br/>
                        <w:t xml:space="preserve">послова </w:t>
                      </w:r>
                      <w:r>
                        <w:rPr>
                          <w:rFonts w:asciiTheme="minorHAnsi" w:hAnsiTheme="minorHAnsi" w:cstheme="minorHAnsi"/>
                        </w:rPr>
                        <w:t>Ј</w:t>
                      </w:r>
                      <w:r w:rsidRPr="00641667">
                        <w:rPr>
                          <w:rFonts w:asciiTheme="minorHAnsi" w:hAnsiTheme="minorHAnsi" w:cstheme="minorHAnsi"/>
                        </w:rPr>
                        <w:t>ЛС</w:t>
                      </w:r>
                    </w:p>
                  </w:txbxContent>
                </v:textbox>
              </v:roundrect>
            </w:pict>
          </mc:Fallback>
        </mc:AlternateContent>
      </w:r>
      <w:r w:rsidRPr="000F0299">
        <w:rPr>
          <w:rFonts w:ascii="Verdana" w:eastAsia="Times New Roman" w:hAnsi="Verdana"/>
          <w:b/>
          <w:color w:val="666D88"/>
          <w:kern w:val="0"/>
          <w:position w:val="-2"/>
          <w:sz w:val="56"/>
          <w:szCs w:val="56"/>
          <w:lang w:eastAsia="en-US" w:bidi="ar-SA"/>
        </w:rPr>
        <w:br/>
      </w:r>
    </w:p>
    <w:p w14:paraId="1EC2568D"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p>
    <w:p w14:paraId="207F232F"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p>
    <w:p w14:paraId="4875923F" w14:textId="77777777" w:rsidR="00BC55F6" w:rsidRPr="000F0299" w:rsidRDefault="00BC55F6" w:rsidP="00BC55F6">
      <w:pPr>
        <w:tabs>
          <w:tab w:val="left" w:pos="2998"/>
        </w:tabs>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imes New Roman" w:hAnsi="Calibri"/>
          <w:kern w:val="0"/>
          <w:sz w:val="20"/>
          <w:szCs w:val="20"/>
          <w:lang w:eastAsia="en-US" w:bidi="ar-SA"/>
        </w:rPr>
        <w:tab/>
      </w:r>
      <w:r w:rsidRPr="000F0299">
        <w:rPr>
          <w:rFonts w:ascii="Calibri" w:eastAsia="Times New Roman" w:hAnsi="Calibri"/>
          <w:noProof/>
          <w:kern w:val="0"/>
          <w:sz w:val="20"/>
          <w:szCs w:val="20"/>
          <w:lang w:eastAsia="en-GB" w:bidi="ar-SA"/>
        </w:rPr>
        <w:t xml:space="preserve"> </w:t>
      </w:r>
    </w:p>
    <w:p w14:paraId="6178625C"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p>
    <w:p w14:paraId="62625DB4"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p>
    <w:p w14:paraId="72B1AD03"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imes New Roman" w:hAnsi="Calibri"/>
          <w:noProof/>
          <w:kern w:val="0"/>
          <w:sz w:val="20"/>
          <w:szCs w:val="20"/>
          <w:lang w:val="en-US" w:eastAsia="en-US" w:bidi="ar-SA"/>
        </w:rPr>
        <mc:AlternateContent>
          <mc:Choice Requires="wps">
            <w:drawing>
              <wp:anchor distT="0" distB="0" distL="114300" distR="114300" simplePos="0" relativeHeight="252140032" behindDoc="0" locked="0" layoutInCell="1" allowOverlap="1" wp14:anchorId="3624E4C5" wp14:editId="4D95EE29">
                <wp:simplePos x="0" y="0"/>
                <wp:positionH relativeFrom="column">
                  <wp:posOffset>-500743</wp:posOffset>
                </wp:positionH>
                <wp:positionV relativeFrom="paragraph">
                  <wp:posOffset>243056</wp:posOffset>
                </wp:positionV>
                <wp:extent cx="14269720" cy="566297"/>
                <wp:effectExtent l="0" t="0" r="17780" b="24765"/>
                <wp:wrapNone/>
                <wp:docPr id="664" name="Rounded Rectangle 664"/>
                <wp:cNvGraphicFramePr/>
                <a:graphic xmlns:a="http://schemas.openxmlformats.org/drawingml/2006/main">
                  <a:graphicData uri="http://schemas.microsoft.com/office/word/2010/wordprocessingShape">
                    <wps:wsp>
                      <wps:cNvSpPr/>
                      <wps:spPr>
                        <a:xfrm>
                          <a:off x="0" y="0"/>
                          <a:ext cx="14269720" cy="566297"/>
                        </a:xfrm>
                        <a:prstGeom prst="roundRect">
                          <a:avLst/>
                        </a:prstGeom>
                        <a:solidFill>
                          <a:srgbClr val="666D88"/>
                        </a:solidFill>
                        <a:ln w="12700" cap="flat" cmpd="sng" algn="ctr">
                          <a:solidFill>
                            <a:srgbClr val="666D88"/>
                          </a:solidFill>
                          <a:prstDash val="solid"/>
                          <a:miter lim="800000"/>
                        </a:ln>
                        <a:effectLst/>
                      </wps:spPr>
                      <wps:txbx>
                        <w:txbxContent>
                          <w:p w14:paraId="6C7BA884" w14:textId="77777777" w:rsidR="00876FFE" w:rsidRPr="00641667" w:rsidRDefault="00876FFE" w:rsidP="00BC55F6">
                            <w:pPr>
                              <w:spacing w:before="0"/>
                              <w:jc w:val="center"/>
                              <w:rPr>
                                <w:rFonts w:asciiTheme="minorHAnsi" w:hAnsiTheme="minorHAnsi" w:cstheme="minorHAnsi"/>
                                <w:b/>
                                <w:color w:val="FFFFFF"/>
                                <w:sz w:val="56"/>
                                <w:szCs w:val="56"/>
                              </w:rPr>
                            </w:pPr>
                            <w:r w:rsidRPr="00641667">
                              <w:rPr>
                                <w:rFonts w:asciiTheme="minorHAnsi" w:hAnsiTheme="minorHAnsi" w:cstheme="minorHAnsi"/>
                                <w:b/>
                                <w:color w:val="FFFFFF"/>
                                <w:sz w:val="56"/>
                                <w:szCs w:val="56"/>
                              </w:rPr>
                              <w:t>НЕДОВОЉНО ЕФИКАСАН И ФУНКЦИОНАЛАН СИСТЕМ ЛОКАЛНЕ САМОУПРАВЕ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24E4C5" id="Rounded Rectangle 664" o:spid="_x0000_s1416" style="position:absolute;margin-left:-39.45pt;margin-top:19.15pt;width:1123.6pt;height:44.6pt;z-index:25214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" fillcolor="#666d88" strokecolor="#666d88" strokeweight="1pt">
                <v:stroke joinstyle="miter"/>
                <v:textbox inset="0,0,0,0">
                  <w:txbxContent>
                    <w:p w14:paraId="6C7BA884" w14:textId="77777777" w:rsidR="00876FFE" w:rsidRPr="00641667" w:rsidRDefault="00876FFE" w:rsidP="00BC55F6">
                      <w:pPr>
                        <w:spacing w:before="0"/>
                        <w:jc w:val="center"/>
                        <w:rPr>
                          <w:rFonts w:asciiTheme="minorHAnsi" w:hAnsiTheme="minorHAnsi" w:cstheme="minorHAnsi"/>
                          <w:b/>
                          <w:color w:val="FFFFFF"/>
                          <w:sz w:val="56"/>
                          <w:szCs w:val="56"/>
                        </w:rPr>
                      </w:pPr>
                      <w:r w:rsidRPr="00641667">
                        <w:rPr>
                          <w:rFonts w:asciiTheme="minorHAnsi" w:hAnsiTheme="minorHAnsi" w:cstheme="minorHAnsi"/>
                          <w:b/>
                          <w:color w:val="FFFFFF"/>
                          <w:sz w:val="56"/>
                          <w:szCs w:val="56"/>
                        </w:rPr>
                        <w:t>НЕДОВОЉНО ЕФИКАСАН И ФУНКЦИОНАЛАН СИСТЕМ ЛОКАЛНЕ САМОУПРАВЕ</w:t>
                      </w:r>
                    </w:p>
                  </w:txbxContent>
                </v:textbox>
              </v:roundrect>
            </w:pict>
          </mc:Fallback>
        </mc:AlternateContent>
      </w:r>
      <w:r w:rsidRPr="000F0299">
        <w:rPr>
          <w:rFonts w:ascii="Calibri" w:eastAsia="Times New Roman" w:hAnsi="Calibri"/>
          <w:noProof/>
          <w:kern w:val="0"/>
          <w:sz w:val="20"/>
          <w:szCs w:val="20"/>
          <w:lang w:val="en-US" w:eastAsia="en-US" w:bidi="ar-SA"/>
        </w:rPr>
        <mc:AlternateContent>
          <mc:Choice Requires="wps">
            <w:drawing>
              <wp:anchor distT="0" distB="0" distL="114300" distR="114300" simplePos="0" relativeHeight="252141056" behindDoc="0" locked="0" layoutInCell="1" allowOverlap="1" wp14:anchorId="1F4A89EE" wp14:editId="0BDE6D52">
                <wp:simplePos x="0" y="0"/>
                <wp:positionH relativeFrom="column">
                  <wp:posOffset>808264</wp:posOffset>
                </wp:positionH>
                <wp:positionV relativeFrom="paragraph">
                  <wp:posOffset>52597</wp:posOffset>
                </wp:positionV>
                <wp:extent cx="0" cy="215953"/>
                <wp:effectExtent l="57150" t="38100" r="57150" b="12700"/>
                <wp:wrapNone/>
                <wp:docPr id="662" name="Straight Arrow Connector 662"/>
                <wp:cNvGraphicFramePr/>
                <a:graphic xmlns:a="http://schemas.openxmlformats.org/drawingml/2006/main">
                  <a:graphicData uri="http://schemas.microsoft.com/office/word/2010/wordprocessingShape">
                    <wps:wsp>
                      <wps:cNvCnPr/>
                      <wps:spPr>
                        <a:xfrm flipV="1">
                          <a:off x="0" y="0"/>
                          <a:ext cx="0" cy="215953"/>
                        </a:xfrm>
                        <a:prstGeom prst="straightConnector1">
                          <a:avLst/>
                        </a:prstGeom>
                        <a:noFill/>
                        <a:ln w="28575" cap="flat" cmpd="sng" algn="ctr">
                          <a:solidFill>
                            <a:srgbClr val="666D88"/>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A4140F" id="Straight Arrow Connector 662" o:spid="_x0000_s1026" type="#_x0000_t32" style="position:absolute;margin-left:63.65pt;margin-top:4.15pt;width:0;height:17pt;flip:y;z-index:25214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" strokecolor="#666d88" strokeweight="2.25pt">
                <v:stroke endarrow="block" joinstyle="miter"/>
              </v:shape>
            </w:pict>
          </mc:Fallback>
        </mc:AlternateContent>
      </w:r>
      <w:r w:rsidRPr="000F0299">
        <w:rPr>
          <w:rFonts w:ascii="Calibri" w:eastAsia="Times New Roman" w:hAnsi="Calibri"/>
          <w:noProof/>
          <w:kern w:val="0"/>
          <w:sz w:val="20"/>
          <w:szCs w:val="20"/>
          <w:lang w:val="en-US" w:eastAsia="en-US" w:bidi="ar-SA"/>
        </w:rPr>
        <mc:AlternateContent>
          <mc:Choice Requires="wps">
            <w:drawing>
              <wp:anchor distT="0" distB="0" distL="114300" distR="114300" simplePos="0" relativeHeight="252142080" behindDoc="0" locked="0" layoutInCell="1" allowOverlap="1" wp14:anchorId="7A8B73BA" wp14:editId="6F148EC5">
                <wp:simplePos x="0" y="0"/>
                <wp:positionH relativeFrom="column">
                  <wp:posOffset>12455979</wp:posOffset>
                </wp:positionH>
                <wp:positionV relativeFrom="paragraph">
                  <wp:posOffset>30831</wp:posOffset>
                </wp:positionV>
                <wp:extent cx="0" cy="215953"/>
                <wp:effectExtent l="57150" t="38100" r="57150" b="12700"/>
                <wp:wrapNone/>
                <wp:docPr id="663" name="Straight Arrow Connector 663"/>
                <wp:cNvGraphicFramePr/>
                <a:graphic xmlns:a="http://schemas.openxmlformats.org/drawingml/2006/main">
                  <a:graphicData uri="http://schemas.microsoft.com/office/word/2010/wordprocessingShape">
                    <wps:wsp>
                      <wps:cNvCnPr/>
                      <wps:spPr>
                        <a:xfrm flipV="1">
                          <a:off x="0" y="0"/>
                          <a:ext cx="0" cy="215953"/>
                        </a:xfrm>
                        <a:prstGeom prst="straightConnector1">
                          <a:avLst/>
                        </a:prstGeom>
                        <a:noFill/>
                        <a:ln w="28575" cap="flat" cmpd="sng" algn="ctr">
                          <a:solidFill>
                            <a:srgbClr val="666D88"/>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0DC00E" id="Straight Arrow Connector 663" o:spid="_x0000_s1026" type="#_x0000_t32" style="position:absolute;margin-left:980.8pt;margin-top:2.45pt;width:0;height:17pt;flip:y;z-index:25214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" strokecolor="#666d88" strokeweight="2.25pt">
                <v:stroke endarrow="block" joinstyle="miter"/>
              </v:shape>
            </w:pict>
          </mc:Fallback>
        </mc:AlternateContent>
      </w:r>
      <w:r w:rsidRPr="000F0299">
        <w:rPr>
          <w:rFonts w:ascii="Calibri" w:eastAsia="Times New Roman" w:hAnsi="Calibri"/>
          <w:noProof/>
          <w:kern w:val="0"/>
          <w:sz w:val="20"/>
          <w:szCs w:val="20"/>
          <w:lang w:val="en-US" w:eastAsia="en-US" w:bidi="ar-SA"/>
        </w:rPr>
        <mc:AlternateContent>
          <mc:Choice Requires="wps">
            <w:drawing>
              <wp:anchor distT="0" distB="0" distL="114300" distR="114300" simplePos="0" relativeHeight="252143104" behindDoc="0" locked="0" layoutInCell="1" allowOverlap="1" wp14:anchorId="7F2C1228" wp14:editId="02B60D50">
                <wp:simplePos x="0" y="0"/>
                <wp:positionH relativeFrom="column">
                  <wp:posOffset>3682093</wp:posOffset>
                </wp:positionH>
                <wp:positionV relativeFrom="paragraph">
                  <wp:posOffset>41713</wp:posOffset>
                </wp:positionV>
                <wp:extent cx="0" cy="215953"/>
                <wp:effectExtent l="57150" t="38100" r="57150" b="12700"/>
                <wp:wrapNone/>
                <wp:docPr id="654" name="Straight Arrow Connector 654"/>
                <wp:cNvGraphicFramePr/>
                <a:graphic xmlns:a="http://schemas.openxmlformats.org/drawingml/2006/main">
                  <a:graphicData uri="http://schemas.microsoft.com/office/word/2010/wordprocessingShape">
                    <wps:wsp>
                      <wps:cNvCnPr/>
                      <wps:spPr>
                        <a:xfrm flipV="1">
                          <a:off x="0" y="0"/>
                          <a:ext cx="0" cy="215953"/>
                        </a:xfrm>
                        <a:prstGeom prst="straightConnector1">
                          <a:avLst/>
                        </a:prstGeom>
                        <a:noFill/>
                        <a:ln w="28575" cap="flat" cmpd="sng" algn="ctr">
                          <a:solidFill>
                            <a:srgbClr val="666D88"/>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95C9D4" id="Straight Arrow Connector 654" o:spid="_x0000_s1026" type="#_x0000_t32" style="position:absolute;margin-left:289.95pt;margin-top:3.3pt;width:0;height:17pt;flip:y;z-index:25214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" strokecolor="#666d88" strokeweight="2.25pt">
                <v:stroke endarrow="block" joinstyle="miter"/>
              </v:shape>
            </w:pict>
          </mc:Fallback>
        </mc:AlternateContent>
      </w:r>
      <w:r w:rsidRPr="000F0299">
        <w:rPr>
          <w:rFonts w:ascii="Calibri" w:eastAsia="Times New Roman" w:hAnsi="Calibri"/>
          <w:noProof/>
          <w:kern w:val="0"/>
          <w:sz w:val="20"/>
          <w:szCs w:val="20"/>
          <w:lang w:val="en-US" w:eastAsia="en-US" w:bidi="ar-SA"/>
        </w:rPr>
        <mc:AlternateContent>
          <mc:Choice Requires="wps">
            <w:drawing>
              <wp:anchor distT="0" distB="0" distL="114300" distR="114300" simplePos="0" relativeHeight="252144128" behindDoc="0" locked="0" layoutInCell="1" allowOverlap="1" wp14:anchorId="151FF52E" wp14:editId="1D295F5A">
                <wp:simplePos x="0" y="0"/>
                <wp:positionH relativeFrom="column">
                  <wp:posOffset>6534150</wp:posOffset>
                </wp:positionH>
                <wp:positionV relativeFrom="paragraph">
                  <wp:posOffset>30831</wp:posOffset>
                </wp:positionV>
                <wp:extent cx="0" cy="215953"/>
                <wp:effectExtent l="57150" t="38100" r="57150" b="12700"/>
                <wp:wrapNone/>
                <wp:docPr id="656" name="Straight Arrow Connector 656"/>
                <wp:cNvGraphicFramePr/>
                <a:graphic xmlns:a="http://schemas.openxmlformats.org/drawingml/2006/main">
                  <a:graphicData uri="http://schemas.microsoft.com/office/word/2010/wordprocessingShape">
                    <wps:wsp>
                      <wps:cNvCnPr/>
                      <wps:spPr>
                        <a:xfrm flipV="1">
                          <a:off x="0" y="0"/>
                          <a:ext cx="0" cy="215953"/>
                        </a:xfrm>
                        <a:prstGeom prst="straightConnector1">
                          <a:avLst/>
                        </a:prstGeom>
                        <a:noFill/>
                        <a:ln w="28575" cap="flat" cmpd="sng" algn="ctr">
                          <a:solidFill>
                            <a:srgbClr val="666D88"/>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3FCACA" id="Straight Arrow Connector 656" o:spid="_x0000_s1026" type="#_x0000_t32" style="position:absolute;margin-left:514.5pt;margin-top:2.45pt;width:0;height:17pt;flip:y;z-index:25214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" strokecolor="#666d88" strokeweight="2.25pt">
                <v:stroke endarrow="block" joinstyle="miter"/>
              </v:shape>
            </w:pict>
          </mc:Fallback>
        </mc:AlternateContent>
      </w:r>
      <w:r w:rsidRPr="000F0299">
        <w:rPr>
          <w:rFonts w:ascii="Calibri" w:eastAsia="Times New Roman" w:hAnsi="Calibri"/>
          <w:noProof/>
          <w:kern w:val="0"/>
          <w:sz w:val="20"/>
          <w:szCs w:val="20"/>
          <w:lang w:val="en-US" w:eastAsia="en-US" w:bidi="ar-SA"/>
        </w:rPr>
        <mc:AlternateContent>
          <mc:Choice Requires="wps">
            <w:drawing>
              <wp:anchor distT="0" distB="0" distL="114300" distR="114300" simplePos="0" relativeHeight="252145152" behindDoc="0" locked="0" layoutInCell="1" allowOverlap="1" wp14:anchorId="5455A59D" wp14:editId="573BB665">
                <wp:simplePos x="0" y="0"/>
                <wp:positionH relativeFrom="column">
                  <wp:posOffset>9505950</wp:posOffset>
                </wp:positionH>
                <wp:positionV relativeFrom="paragraph">
                  <wp:posOffset>41713</wp:posOffset>
                </wp:positionV>
                <wp:extent cx="0" cy="215953"/>
                <wp:effectExtent l="57150" t="38100" r="57150" b="12700"/>
                <wp:wrapNone/>
                <wp:docPr id="766" name="Straight Arrow Connector 766"/>
                <wp:cNvGraphicFramePr/>
                <a:graphic xmlns:a="http://schemas.openxmlformats.org/drawingml/2006/main">
                  <a:graphicData uri="http://schemas.microsoft.com/office/word/2010/wordprocessingShape">
                    <wps:wsp>
                      <wps:cNvCnPr/>
                      <wps:spPr>
                        <a:xfrm flipV="1">
                          <a:off x="0" y="0"/>
                          <a:ext cx="0" cy="215953"/>
                        </a:xfrm>
                        <a:prstGeom prst="straightConnector1">
                          <a:avLst/>
                        </a:prstGeom>
                        <a:noFill/>
                        <a:ln w="28575" cap="flat" cmpd="sng" algn="ctr">
                          <a:solidFill>
                            <a:srgbClr val="666D88"/>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F26003" id="Straight Arrow Connector 766" o:spid="_x0000_s1026" type="#_x0000_t32" style="position:absolute;margin-left:748.5pt;margin-top:3.3pt;width:0;height:17pt;flip:y;z-index:25214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" strokecolor="#666d88" strokeweight="2.25pt">
                <v:stroke endarrow="block" joinstyle="miter"/>
              </v:shape>
            </w:pict>
          </mc:Fallback>
        </mc:AlternateContent>
      </w:r>
    </w:p>
    <w:p w14:paraId="25473823"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p>
    <w:p w14:paraId="38416DDB"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p>
    <w:p w14:paraId="41204DEA"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p>
    <w:p w14:paraId="0F59DE4E" w14:textId="77777777" w:rsidR="00BC55F6" w:rsidRPr="000F0299" w:rsidRDefault="00BC55F6" w:rsidP="00BC55F6">
      <w:pPr>
        <w:tabs>
          <w:tab w:val="left" w:pos="2121"/>
          <w:tab w:val="left" w:pos="2520"/>
        </w:tabs>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imes New Roman" w:hAnsi="Calibri"/>
          <w:kern w:val="0"/>
          <w:sz w:val="20"/>
          <w:szCs w:val="20"/>
          <w:lang w:eastAsia="en-US" w:bidi="ar-SA"/>
        </w:rPr>
        <w:tab/>
      </w:r>
    </w:p>
    <w:p w14:paraId="05B21714"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22624" behindDoc="0" locked="0" layoutInCell="1" allowOverlap="1" wp14:anchorId="6E4F8688" wp14:editId="28D1221A">
                <wp:simplePos x="0" y="0"/>
                <wp:positionH relativeFrom="column">
                  <wp:posOffset>12661900</wp:posOffset>
                </wp:positionH>
                <wp:positionV relativeFrom="paragraph">
                  <wp:posOffset>23495</wp:posOffset>
                </wp:positionV>
                <wp:extent cx="0" cy="252000"/>
                <wp:effectExtent l="57150" t="38100" r="57150" b="15240"/>
                <wp:wrapNone/>
                <wp:docPr id="676" name="Straight Arrow Connector 676"/>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28575" cap="flat" cmpd="sng" algn="ctr">
                          <a:solidFill>
                            <a:srgbClr val="666D88"/>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F2F5D2" id="Straight Arrow Connector 676" o:spid="_x0000_s1026" type="#_x0000_t32" style="position:absolute;margin-left:997pt;margin-top:1.85pt;width:0;height:19.85pt;flip:y;z-index:25212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" strokecolor="#666d88" strokeweight="2.25pt">
                <v:stroke endarrow="block" joinstyle="miter"/>
              </v:shap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21600" behindDoc="0" locked="0" layoutInCell="1" allowOverlap="1" wp14:anchorId="34344603" wp14:editId="7A15F803">
                <wp:simplePos x="0" y="0"/>
                <wp:positionH relativeFrom="column">
                  <wp:posOffset>10248900</wp:posOffset>
                </wp:positionH>
                <wp:positionV relativeFrom="paragraph">
                  <wp:posOffset>23495</wp:posOffset>
                </wp:positionV>
                <wp:extent cx="0" cy="252000"/>
                <wp:effectExtent l="57150" t="38100" r="57150" b="15240"/>
                <wp:wrapNone/>
                <wp:docPr id="677" name="Straight Arrow Connector 677"/>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28575" cap="flat" cmpd="sng" algn="ctr">
                          <a:solidFill>
                            <a:srgbClr val="666D88"/>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D305F" id="Straight Arrow Connector 677" o:spid="_x0000_s1026" type="#_x0000_t32" style="position:absolute;margin-left:807pt;margin-top:1.85pt;width:0;height:19.85pt;flip:y;z-index:25212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" strokecolor="#666d88" strokeweight="2.25pt">
                <v:stroke endarrow="block" joinstyle="miter"/>
              </v:shap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20576" behindDoc="0" locked="0" layoutInCell="1" allowOverlap="1" wp14:anchorId="32AAC050" wp14:editId="37D8909D">
                <wp:simplePos x="0" y="0"/>
                <wp:positionH relativeFrom="column">
                  <wp:posOffset>7835900</wp:posOffset>
                </wp:positionH>
                <wp:positionV relativeFrom="paragraph">
                  <wp:posOffset>23495</wp:posOffset>
                </wp:positionV>
                <wp:extent cx="0" cy="252000"/>
                <wp:effectExtent l="57150" t="38100" r="57150" b="15240"/>
                <wp:wrapNone/>
                <wp:docPr id="678" name="Straight Arrow Connector 678"/>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28575" cap="flat" cmpd="sng" algn="ctr">
                          <a:solidFill>
                            <a:srgbClr val="666D88"/>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CA32A4" id="Straight Arrow Connector 678" o:spid="_x0000_s1026" type="#_x0000_t32" style="position:absolute;margin-left:617pt;margin-top:1.85pt;width:0;height:19.85pt;flip:y;z-index:25212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" strokecolor="#666d88" strokeweight="2.25pt">
                <v:stroke endarrow="block" joinstyle="miter"/>
              </v:shap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19552" behindDoc="0" locked="0" layoutInCell="1" allowOverlap="1" wp14:anchorId="38E14393" wp14:editId="0A30A4E4">
                <wp:simplePos x="0" y="0"/>
                <wp:positionH relativeFrom="column">
                  <wp:posOffset>5435600</wp:posOffset>
                </wp:positionH>
                <wp:positionV relativeFrom="paragraph">
                  <wp:posOffset>23495</wp:posOffset>
                </wp:positionV>
                <wp:extent cx="0" cy="252000"/>
                <wp:effectExtent l="57150" t="38100" r="57150" b="15240"/>
                <wp:wrapNone/>
                <wp:docPr id="679" name="Straight Arrow Connector 679"/>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28575" cap="flat" cmpd="sng" algn="ctr">
                          <a:solidFill>
                            <a:srgbClr val="666D88"/>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58E24" id="Straight Arrow Connector 679" o:spid="_x0000_s1026" type="#_x0000_t32" style="position:absolute;margin-left:428pt;margin-top:1.85pt;width:0;height:19.85pt;flip:y;z-index:25211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" strokecolor="#666d88" strokeweight="2.25pt">
                <v:stroke endarrow="block" joinstyle="miter"/>
              </v:shap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18528" behindDoc="0" locked="0" layoutInCell="1" allowOverlap="1" wp14:anchorId="19EC63A5" wp14:editId="073267BE">
                <wp:simplePos x="0" y="0"/>
                <wp:positionH relativeFrom="column">
                  <wp:posOffset>3022600</wp:posOffset>
                </wp:positionH>
                <wp:positionV relativeFrom="paragraph">
                  <wp:posOffset>23495</wp:posOffset>
                </wp:positionV>
                <wp:extent cx="0" cy="252000"/>
                <wp:effectExtent l="57150" t="38100" r="57150" b="15240"/>
                <wp:wrapNone/>
                <wp:docPr id="680" name="Straight Arrow Connector 680"/>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28575" cap="flat" cmpd="sng" algn="ctr">
                          <a:solidFill>
                            <a:srgbClr val="666D88"/>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811017" id="Straight Arrow Connector 680" o:spid="_x0000_s1026" type="#_x0000_t32" style="position:absolute;margin-left:238pt;margin-top:1.85pt;width:0;height:19.85pt;flip:y;z-index:25211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" strokecolor="#666d88" strokeweight="2.25pt">
                <v:stroke endarrow="block" joinstyle="miter"/>
              </v:shap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17504" behindDoc="0" locked="0" layoutInCell="1" allowOverlap="1" wp14:anchorId="43F2DEC4" wp14:editId="33C29E3E">
                <wp:simplePos x="0" y="0"/>
                <wp:positionH relativeFrom="column">
                  <wp:posOffset>609600</wp:posOffset>
                </wp:positionH>
                <wp:positionV relativeFrom="paragraph">
                  <wp:posOffset>23495</wp:posOffset>
                </wp:positionV>
                <wp:extent cx="0" cy="252000"/>
                <wp:effectExtent l="57150" t="38100" r="57150" b="15240"/>
                <wp:wrapNone/>
                <wp:docPr id="681" name="Straight Arrow Connector 681"/>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28575" cap="flat" cmpd="sng" algn="ctr">
                          <a:solidFill>
                            <a:srgbClr val="666D88"/>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088831" id="Straight Arrow Connector 681" o:spid="_x0000_s1026" type="#_x0000_t32" style="position:absolute;margin-left:48pt;margin-top:1.85pt;width:0;height:19.85pt;flip:y;z-index:25211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" strokecolor="#666d88" strokeweight="2.25pt">
                <v:stroke endarrow="block" joinstyle="miter"/>
              </v:shape>
            </w:pict>
          </mc:Fallback>
        </mc:AlternateContent>
      </w:r>
    </w:p>
    <w:p w14:paraId="1C2C0B59"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74496" behindDoc="0" locked="0" layoutInCell="1" allowOverlap="1" wp14:anchorId="06C5026E" wp14:editId="4C3D8F88">
                <wp:simplePos x="0" y="0"/>
                <wp:positionH relativeFrom="column">
                  <wp:posOffset>9144000</wp:posOffset>
                </wp:positionH>
                <wp:positionV relativeFrom="paragraph">
                  <wp:posOffset>132080</wp:posOffset>
                </wp:positionV>
                <wp:extent cx="2211705" cy="670560"/>
                <wp:effectExtent l="19050" t="19050" r="17145" b="15240"/>
                <wp:wrapNone/>
                <wp:docPr id="682" name="Text Box 682"/>
                <wp:cNvGraphicFramePr/>
                <a:graphic xmlns:a="http://schemas.openxmlformats.org/drawingml/2006/main">
                  <a:graphicData uri="http://schemas.microsoft.com/office/word/2010/wordprocessingShape">
                    <wps:wsp>
                      <wps:cNvSpPr txBox="1"/>
                      <wps:spPr>
                        <a:xfrm>
                          <a:off x="0" y="0"/>
                          <a:ext cx="2211705" cy="670560"/>
                        </a:xfrm>
                        <a:prstGeom prst="roundRect">
                          <a:avLst/>
                        </a:prstGeom>
                        <a:solidFill>
                          <a:sysClr val="window" lastClr="FFFFFF"/>
                        </a:solidFill>
                        <a:ln w="38100" cmpd="dbl">
                          <a:solidFill>
                            <a:srgbClr val="666D88"/>
                          </a:solidFill>
                        </a:ln>
                        <a:effectLst/>
                      </wps:spPr>
                      <wps:txbx>
                        <w:txbxContent>
                          <w:p w14:paraId="5EFCB794" w14:textId="77777777" w:rsidR="00876FFE" w:rsidRPr="00641667" w:rsidRDefault="00876FFE" w:rsidP="00BC55F6">
                            <w:pPr>
                              <w:spacing w:before="0" w:after="0"/>
                              <w:jc w:val="center"/>
                              <w:rPr>
                                <w:rFonts w:asciiTheme="minorHAnsi" w:hAnsiTheme="minorHAnsi" w:cstheme="minorHAnsi"/>
                                <w14:textOutline w14:w="9525" w14:cap="rnd" w14:cmpd="thinThick" w14:algn="ctr">
                                  <w14:solidFill>
                                    <w14:srgbClr w14:val="219990"/>
                                  </w14:solidFill>
                                  <w14:prstDash w14:val="solid"/>
                                  <w14:bevel/>
                                </w14:textOutline>
                              </w:rPr>
                            </w:pPr>
                            <w:r w:rsidRPr="00641667">
                              <w:rPr>
                                <w:rFonts w:asciiTheme="minorHAnsi" w:hAnsiTheme="minorHAnsi" w:cstheme="minorHAnsi"/>
                              </w:rPr>
                              <w:t xml:space="preserve">Недовољни </w:t>
                            </w:r>
                            <w:r w:rsidRPr="005C41CD">
                              <w:rPr>
                                <w:rFonts w:asciiTheme="minorHAnsi" w:hAnsiTheme="minorHAnsi" w:cstheme="minorHAnsi"/>
                                <w:b/>
                              </w:rPr>
                              <w:t xml:space="preserve">управни </w:t>
                            </w:r>
                            <w:r w:rsidRPr="005C41CD">
                              <w:rPr>
                                <w:rFonts w:asciiTheme="minorHAnsi" w:hAnsiTheme="minorHAnsi" w:cstheme="minorHAnsi"/>
                                <w:b/>
                              </w:rPr>
                              <w:br/>
                              <w:t xml:space="preserve">капацитети </w:t>
                            </w:r>
                            <w:r w:rsidRPr="00641667">
                              <w:rPr>
                                <w:rFonts w:asciiTheme="minorHAnsi" w:hAnsiTheme="minorHAnsi" w:cstheme="minorHAnsi"/>
                              </w:rPr>
                              <w:t>и неадекватно</w:t>
                            </w:r>
                            <w:r>
                              <w:rPr>
                                <w:rFonts w:asciiTheme="minorHAnsi" w:hAnsiTheme="minorHAnsi" w:cstheme="minorHAnsi"/>
                              </w:rPr>
                              <w:t xml:space="preserve"> </w:t>
                            </w:r>
                            <w:r w:rsidRPr="005C41CD">
                              <w:rPr>
                                <w:rFonts w:asciiTheme="minorHAnsi" w:hAnsiTheme="minorHAnsi" w:cstheme="minorHAnsi"/>
                                <w:b/>
                              </w:rPr>
                              <w:t>УЉР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C5026E" id="Text Box 682" o:spid="_x0000_s1417" style="position:absolute;margin-left:10in;margin-top:10.4pt;width:174.15pt;height:52.8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" fillcolor="window" strokecolor="#666d88" strokeweight="3pt">
                <v:stroke linestyle="thinThin"/>
                <v:textbox inset="0,0,0,0">
                  <w:txbxContent>
                    <w:p w14:paraId="5EFCB794" w14:textId="77777777" w:rsidR="00876FFE" w:rsidRPr="00641667" w:rsidRDefault="00876FFE" w:rsidP="00BC55F6">
                      <w:pPr>
                        <w:spacing w:before="0" w:after="0"/>
                        <w:jc w:val="center"/>
                        <w:rPr>
                          <w:rFonts w:asciiTheme="minorHAnsi" w:hAnsiTheme="minorHAnsi" w:cstheme="minorHAnsi"/>
                          <w14:textOutline w14:w="9525" w14:cap="rnd" w14:cmpd="thinThick" w14:algn="ctr">
                            <w14:solidFill>
                              <w14:srgbClr w14:val="219990"/>
                            </w14:solidFill>
                            <w14:prstDash w14:val="solid"/>
                            <w14:bevel/>
                          </w14:textOutline>
                        </w:rPr>
                      </w:pPr>
                      <w:r w:rsidRPr="00641667">
                        <w:rPr>
                          <w:rFonts w:asciiTheme="minorHAnsi" w:hAnsiTheme="minorHAnsi" w:cstheme="minorHAnsi"/>
                        </w:rPr>
                        <w:t xml:space="preserve">Недовољни </w:t>
                      </w:r>
                      <w:r w:rsidRPr="005C41CD">
                        <w:rPr>
                          <w:rFonts w:asciiTheme="minorHAnsi" w:hAnsiTheme="minorHAnsi" w:cstheme="minorHAnsi"/>
                          <w:b/>
                        </w:rPr>
                        <w:t xml:space="preserve">управни </w:t>
                      </w:r>
                      <w:r w:rsidRPr="005C41CD">
                        <w:rPr>
                          <w:rFonts w:asciiTheme="minorHAnsi" w:hAnsiTheme="minorHAnsi" w:cstheme="minorHAnsi"/>
                          <w:b/>
                        </w:rPr>
                        <w:br/>
                        <w:t xml:space="preserve">капацитети </w:t>
                      </w:r>
                      <w:r w:rsidRPr="00641667">
                        <w:rPr>
                          <w:rFonts w:asciiTheme="minorHAnsi" w:hAnsiTheme="minorHAnsi" w:cstheme="minorHAnsi"/>
                        </w:rPr>
                        <w:t>и неадекватно</w:t>
                      </w:r>
                      <w:r>
                        <w:rPr>
                          <w:rFonts w:asciiTheme="minorHAnsi" w:hAnsiTheme="minorHAnsi" w:cstheme="minorHAnsi"/>
                        </w:rPr>
                        <w:t xml:space="preserve"> </w:t>
                      </w:r>
                      <w:r w:rsidRPr="005C41CD">
                        <w:rPr>
                          <w:rFonts w:asciiTheme="minorHAnsi" w:hAnsiTheme="minorHAnsi" w:cstheme="minorHAnsi"/>
                          <w:b/>
                        </w:rPr>
                        <w:t>УЉР</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71424" behindDoc="0" locked="0" layoutInCell="1" allowOverlap="1" wp14:anchorId="0D5862A7" wp14:editId="70B83A88">
                <wp:simplePos x="0" y="0"/>
                <wp:positionH relativeFrom="column">
                  <wp:posOffset>6741795</wp:posOffset>
                </wp:positionH>
                <wp:positionV relativeFrom="paragraph">
                  <wp:posOffset>132080</wp:posOffset>
                </wp:positionV>
                <wp:extent cx="2211705" cy="670560"/>
                <wp:effectExtent l="19050" t="19050" r="17145" b="15240"/>
                <wp:wrapNone/>
                <wp:docPr id="683" name="Text Box 683"/>
                <wp:cNvGraphicFramePr/>
                <a:graphic xmlns:a="http://schemas.openxmlformats.org/drawingml/2006/main">
                  <a:graphicData uri="http://schemas.microsoft.com/office/word/2010/wordprocessingShape">
                    <wps:wsp>
                      <wps:cNvSpPr txBox="1"/>
                      <wps:spPr>
                        <a:xfrm>
                          <a:off x="0" y="0"/>
                          <a:ext cx="2211705" cy="670560"/>
                        </a:xfrm>
                        <a:prstGeom prst="roundRect">
                          <a:avLst/>
                        </a:prstGeom>
                        <a:solidFill>
                          <a:sysClr val="window" lastClr="FFFFFF"/>
                        </a:solidFill>
                        <a:ln w="38100" cmpd="dbl">
                          <a:solidFill>
                            <a:srgbClr val="666D88"/>
                          </a:solidFill>
                        </a:ln>
                        <a:effectLst/>
                      </wps:spPr>
                      <wps:txbx>
                        <w:txbxContent>
                          <w:p w14:paraId="201B8AB3" w14:textId="77777777" w:rsidR="00876FFE" w:rsidRPr="00641667" w:rsidRDefault="00876FFE" w:rsidP="00BC55F6">
                            <w:pPr>
                              <w:spacing w:before="0"/>
                              <w:jc w:val="center"/>
                              <w:rPr>
                                <w:rFonts w:asciiTheme="minorHAnsi" w:hAnsiTheme="minorHAnsi" w:cstheme="minorHAnsi"/>
                                <w14:textOutline w14:w="9525" w14:cap="rnd" w14:cmpd="thinThick" w14:algn="ctr">
                                  <w14:solidFill>
                                    <w14:srgbClr w14:val="219990"/>
                                  </w14:solidFill>
                                  <w14:prstDash w14:val="solid"/>
                                  <w14:bevel/>
                                </w14:textOutline>
                              </w:rPr>
                            </w:pPr>
                            <w:r w:rsidRPr="00641667">
                              <w:rPr>
                                <w:rFonts w:asciiTheme="minorHAnsi" w:hAnsiTheme="minorHAnsi" w:cstheme="minorHAnsi"/>
                                <w:spacing w:val="-12"/>
                              </w:rPr>
                              <w:t>Недовољно изграђени односи</w:t>
                            </w:r>
                            <w:r w:rsidRPr="00641667">
                              <w:rPr>
                                <w:rFonts w:asciiTheme="minorHAnsi" w:hAnsiTheme="minorHAnsi" w:cstheme="minorHAnsi"/>
                              </w:rPr>
                              <w:t xml:space="preserve"> и </w:t>
                            </w:r>
                            <w:r w:rsidRPr="005C41CD">
                              <w:rPr>
                                <w:rFonts w:asciiTheme="minorHAnsi" w:hAnsiTheme="minorHAnsi" w:cstheme="minorHAnsi"/>
                                <w:b/>
                              </w:rPr>
                              <w:t>надзор државне управе</w:t>
                            </w:r>
                            <w:r w:rsidRPr="00641667">
                              <w:rPr>
                                <w:rFonts w:asciiTheme="minorHAnsi" w:hAnsiTheme="minorHAnsi" w:cstheme="minorHAnsi"/>
                              </w:rPr>
                              <w:t xml:space="preserve"> и локалне самоуправе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5862A7" id="Text Box 683" o:spid="_x0000_s1418" style="position:absolute;margin-left:530.85pt;margin-top:10.4pt;width:174.15pt;height:52.8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" fillcolor="window" strokecolor="#666d88" strokeweight="3pt">
                <v:stroke linestyle="thinThin"/>
                <v:textbox inset="0,0,0,0">
                  <w:txbxContent>
                    <w:p w14:paraId="201B8AB3" w14:textId="77777777" w:rsidR="00876FFE" w:rsidRPr="00641667" w:rsidRDefault="00876FFE" w:rsidP="00BC55F6">
                      <w:pPr>
                        <w:spacing w:before="0"/>
                        <w:jc w:val="center"/>
                        <w:rPr>
                          <w:rFonts w:asciiTheme="minorHAnsi" w:hAnsiTheme="minorHAnsi" w:cstheme="minorHAnsi"/>
                          <w14:textOutline w14:w="9525" w14:cap="rnd" w14:cmpd="thinThick" w14:algn="ctr">
                            <w14:solidFill>
                              <w14:srgbClr w14:val="219990"/>
                            </w14:solidFill>
                            <w14:prstDash w14:val="solid"/>
                            <w14:bevel/>
                          </w14:textOutline>
                        </w:rPr>
                      </w:pPr>
                      <w:r w:rsidRPr="00641667">
                        <w:rPr>
                          <w:rFonts w:asciiTheme="minorHAnsi" w:hAnsiTheme="minorHAnsi" w:cstheme="minorHAnsi"/>
                          <w:spacing w:val="-12"/>
                        </w:rPr>
                        <w:t>Недовољно изграђени односи</w:t>
                      </w:r>
                      <w:r w:rsidRPr="00641667">
                        <w:rPr>
                          <w:rFonts w:asciiTheme="minorHAnsi" w:hAnsiTheme="minorHAnsi" w:cstheme="minorHAnsi"/>
                        </w:rPr>
                        <w:t xml:space="preserve"> и </w:t>
                      </w:r>
                      <w:r w:rsidRPr="005C41CD">
                        <w:rPr>
                          <w:rFonts w:asciiTheme="minorHAnsi" w:hAnsiTheme="minorHAnsi" w:cstheme="minorHAnsi"/>
                          <w:b/>
                        </w:rPr>
                        <w:t>надзор државне управе</w:t>
                      </w:r>
                      <w:r w:rsidRPr="00641667">
                        <w:rPr>
                          <w:rFonts w:asciiTheme="minorHAnsi" w:hAnsiTheme="minorHAnsi" w:cstheme="minorHAnsi"/>
                        </w:rPr>
                        <w:t xml:space="preserve"> и локалне самоуправе</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72448" behindDoc="0" locked="0" layoutInCell="1" allowOverlap="1" wp14:anchorId="6AF0D7CD" wp14:editId="66AA6359">
                <wp:simplePos x="0" y="0"/>
                <wp:positionH relativeFrom="column">
                  <wp:posOffset>4328160</wp:posOffset>
                </wp:positionH>
                <wp:positionV relativeFrom="paragraph">
                  <wp:posOffset>132080</wp:posOffset>
                </wp:positionV>
                <wp:extent cx="2211705" cy="670560"/>
                <wp:effectExtent l="19050" t="19050" r="17145" b="15240"/>
                <wp:wrapNone/>
                <wp:docPr id="684" name="Text Box 684"/>
                <wp:cNvGraphicFramePr/>
                <a:graphic xmlns:a="http://schemas.openxmlformats.org/drawingml/2006/main">
                  <a:graphicData uri="http://schemas.microsoft.com/office/word/2010/wordprocessingShape">
                    <wps:wsp>
                      <wps:cNvSpPr txBox="1"/>
                      <wps:spPr>
                        <a:xfrm>
                          <a:off x="0" y="0"/>
                          <a:ext cx="2211705" cy="670560"/>
                        </a:xfrm>
                        <a:prstGeom prst="roundRect">
                          <a:avLst/>
                        </a:prstGeom>
                        <a:solidFill>
                          <a:sysClr val="window" lastClr="FFFFFF"/>
                        </a:solidFill>
                        <a:ln w="38100" cmpd="dbl">
                          <a:solidFill>
                            <a:srgbClr val="666D88"/>
                          </a:solidFill>
                        </a:ln>
                        <a:effectLst/>
                      </wps:spPr>
                      <wps:txbx>
                        <w:txbxContent>
                          <w:p w14:paraId="5BA4B803" w14:textId="77777777" w:rsidR="00876FFE" w:rsidRPr="00641667" w:rsidRDefault="00876FFE" w:rsidP="00BC55F6">
                            <w:pPr>
                              <w:spacing w:before="0" w:after="0"/>
                              <w:jc w:val="center"/>
                              <w:rPr>
                                <w:rFonts w:asciiTheme="minorHAnsi" w:hAnsiTheme="minorHAnsi" w:cstheme="minorHAnsi"/>
                                <w14:textOutline w14:w="9525" w14:cap="rnd" w14:cmpd="thinThick" w14:algn="ctr">
                                  <w14:solidFill>
                                    <w14:srgbClr w14:val="219990"/>
                                  </w14:solidFill>
                                  <w14:prstDash w14:val="solid"/>
                                  <w14:bevel/>
                                </w14:textOutline>
                              </w:rPr>
                            </w:pPr>
                            <w:r w:rsidRPr="004F7DEB">
                              <w:rPr>
                                <w:rFonts w:asciiTheme="minorHAnsi" w:hAnsiTheme="minorHAnsi" w:cstheme="minorHAnsi"/>
                                <w:b/>
                              </w:rPr>
                              <w:t>Управљање пословима</w:t>
                            </w:r>
                            <w:r w:rsidRPr="00641667">
                              <w:rPr>
                                <w:rFonts w:asciiTheme="minorHAnsi" w:hAnsiTheme="minorHAnsi" w:cstheme="minorHAnsi"/>
                              </w:rPr>
                              <w:t xml:space="preserve"> локалне самоуправе</w:t>
                            </w:r>
                            <w:r>
                              <w:rPr>
                                <w:rFonts w:asciiTheme="minorHAnsi" w:hAnsiTheme="minorHAnsi" w:cstheme="minorHAnsi"/>
                              </w:rPr>
                              <w:t xml:space="preserve"> није довољно функционално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F0D7CD" id="Text Box 684" o:spid="_x0000_s1419" style="position:absolute;margin-left:340.8pt;margin-top:10.4pt;width:174.15pt;height:52.8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" fillcolor="window" strokecolor="#666d88" strokeweight="3pt">
                <v:stroke linestyle="thinThin"/>
                <v:textbox inset="0,0,0,0">
                  <w:txbxContent>
                    <w:p w14:paraId="5BA4B803" w14:textId="77777777" w:rsidR="00876FFE" w:rsidRPr="00641667" w:rsidRDefault="00876FFE" w:rsidP="00BC55F6">
                      <w:pPr>
                        <w:spacing w:before="0" w:after="0"/>
                        <w:jc w:val="center"/>
                        <w:rPr>
                          <w:rFonts w:asciiTheme="minorHAnsi" w:hAnsiTheme="minorHAnsi" w:cstheme="minorHAnsi"/>
                          <w14:textOutline w14:w="9525" w14:cap="rnd" w14:cmpd="thinThick" w14:algn="ctr">
                            <w14:solidFill>
                              <w14:srgbClr w14:val="219990"/>
                            </w14:solidFill>
                            <w14:prstDash w14:val="solid"/>
                            <w14:bevel/>
                          </w14:textOutline>
                        </w:rPr>
                      </w:pPr>
                      <w:r w:rsidRPr="004F7DEB">
                        <w:rPr>
                          <w:rFonts w:asciiTheme="minorHAnsi" w:hAnsiTheme="minorHAnsi" w:cstheme="minorHAnsi"/>
                          <w:b/>
                        </w:rPr>
                        <w:t xml:space="preserve">Управљање </w:t>
                      </w:r>
                      <w:r w:rsidRPr="004F7DEB">
                        <w:rPr>
                          <w:rFonts w:asciiTheme="minorHAnsi" w:hAnsiTheme="minorHAnsi" w:cstheme="minorHAnsi"/>
                          <w:b/>
                        </w:rPr>
                        <w:t>пословима</w:t>
                      </w:r>
                      <w:r w:rsidRPr="00641667">
                        <w:rPr>
                          <w:rFonts w:asciiTheme="minorHAnsi" w:hAnsiTheme="minorHAnsi" w:cstheme="minorHAnsi"/>
                        </w:rPr>
                        <w:t xml:space="preserve"> локалне самоуправе</w:t>
                      </w:r>
                      <w:r>
                        <w:rPr>
                          <w:rFonts w:asciiTheme="minorHAnsi" w:hAnsiTheme="minorHAnsi" w:cstheme="minorHAnsi"/>
                        </w:rPr>
                        <w:t xml:space="preserve"> није довољно функционално</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73472" behindDoc="0" locked="0" layoutInCell="1" allowOverlap="1" wp14:anchorId="21E25700" wp14:editId="31B2358F">
                <wp:simplePos x="0" y="0"/>
                <wp:positionH relativeFrom="column">
                  <wp:posOffset>1913890</wp:posOffset>
                </wp:positionH>
                <wp:positionV relativeFrom="paragraph">
                  <wp:posOffset>132080</wp:posOffset>
                </wp:positionV>
                <wp:extent cx="2211705" cy="670560"/>
                <wp:effectExtent l="19050" t="19050" r="17145" b="15240"/>
                <wp:wrapNone/>
                <wp:docPr id="685" name="Text Box 685"/>
                <wp:cNvGraphicFramePr/>
                <a:graphic xmlns:a="http://schemas.openxmlformats.org/drawingml/2006/main">
                  <a:graphicData uri="http://schemas.microsoft.com/office/word/2010/wordprocessingShape">
                    <wps:wsp>
                      <wps:cNvSpPr txBox="1"/>
                      <wps:spPr>
                        <a:xfrm>
                          <a:off x="0" y="0"/>
                          <a:ext cx="2211705" cy="670560"/>
                        </a:xfrm>
                        <a:prstGeom prst="roundRect">
                          <a:avLst/>
                        </a:prstGeom>
                        <a:solidFill>
                          <a:sysClr val="window" lastClr="FFFFFF"/>
                        </a:solidFill>
                        <a:ln w="38100" cmpd="dbl">
                          <a:solidFill>
                            <a:srgbClr val="666D88"/>
                          </a:solidFill>
                        </a:ln>
                        <a:effectLst/>
                      </wps:spPr>
                      <wps:txbx>
                        <w:txbxContent>
                          <w:p w14:paraId="593433C3" w14:textId="77777777" w:rsidR="00876FFE" w:rsidRPr="00641667" w:rsidRDefault="00876FFE" w:rsidP="00BC55F6">
                            <w:pPr>
                              <w:spacing w:before="0" w:after="0"/>
                              <w:jc w:val="center"/>
                              <w:rPr>
                                <w:rFonts w:asciiTheme="minorHAnsi" w:hAnsiTheme="minorHAnsi" w:cstheme="minorHAnsi"/>
                              </w:rPr>
                            </w:pPr>
                            <w:r>
                              <w:rPr>
                                <w:rFonts w:asciiTheme="minorHAnsi" w:hAnsiTheme="minorHAnsi" w:cstheme="minorHAnsi"/>
                              </w:rPr>
                              <w:t>У</w:t>
                            </w:r>
                            <w:r w:rsidRPr="00641667">
                              <w:rPr>
                                <w:rFonts w:asciiTheme="minorHAnsi" w:hAnsiTheme="minorHAnsi" w:cstheme="minorHAnsi"/>
                              </w:rPr>
                              <w:t xml:space="preserve">прављање </w:t>
                            </w:r>
                            <w:r w:rsidRPr="004F7DEB">
                              <w:rPr>
                                <w:rFonts w:asciiTheme="minorHAnsi" w:hAnsiTheme="minorHAnsi" w:cstheme="minorHAnsi"/>
                                <w:b/>
                              </w:rPr>
                              <w:t>локалним финансијама</w:t>
                            </w:r>
                            <w:r>
                              <w:rPr>
                                <w:rFonts w:asciiTheme="minorHAnsi" w:hAnsiTheme="minorHAnsi" w:cstheme="minorHAnsi"/>
                              </w:rPr>
                              <w:t xml:space="preserve"> није ефикасно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E25700" id="Text Box 685" o:spid="_x0000_s1420" style="position:absolute;margin-left:150.7pt;margin-top:10.4pt;width:174.15pt;height:52.8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" fillcolor="window" strokecolor="#666d88" strokeweight="3pt">
                <v:stroke linestyle="thinThin"/>
                <v:textbox inset="0,0,0,0">
                  <w:txbxContent>
                    <w:p w14:paraId="593433C3" w14:textId="77777777" w:rsidR="00876FFE" w:rsidRPr="00641667" w:rsidRDefault="00876FFE" w:rsidP="00BC55F6">
                      <w:pPr>
                        <w:spacing w:before="0" w:after="0"/>
                        <w:jc w:val="center"/>
                        <w:rPr>
                          <w:rFonts w:asciiTheme="minorHAnsi" w:hAnsiTheme="minorHAnsi" w:cstheme="minorHAnsi"/>
                        </w:rPr>
                      </w:pPr>
                      <w:r>
                        <w:rPr>
                          <w:rFonts w:asciiTheme="minorHAnsi" w:hAnsiTheme="minorHAnsi" w:cstheme="minorHAnsi"/>
                        </w:rPr>
                        <w:t>У</w:t>
                      </w:r>
                      <w:r w:rsidRPr="00641667">
                        <w:rPr>
                          <w:rFonts w:asciiTheme="minorHAnsi" w:hAnsiTheme="minorHAnsi" w:cstheme="minorHAnsi"/>
                        </w:rPr>
                        <w:t xml:space="preserve">прављање </w:t>
                      </w:r>
                      <w:r w:rsidRPr="004F7DEB">
                        <w:rPr>
                          <w:rFonts w:asciiTheme="minorHAnsi" w:hAnsiTheme="minorHAnsi" w:cstheme="minorHAnsi"/>
                          <w:b/>
                        </w:rPr>
                        <w:t>локалним финансијама</w:t>
                      </w:r>
                      <w:r>
                        <w:rPr>
                          <w:rFonts w:asciiTheme="minorHAnsi" w:hAnsiTheme="minorHAnsi" w:cstheme="minorHAnsi"/>
                        </w:rPr>
                        <w:t xml:space="preserve"> није ефикасно</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69376" behindDoc="0" locked="0" layoutInCell="1" allowOverlap="1" wp14:anchorId="706D4269" wp14:editId="1CBD7BD4">
                <wp:simplePos x="0" y="0"/>
                <wp:positionH relativeFrom="column">
                  <wp:posOffset>-504825</wp:posOffset>
                </wp:positionH>
                <wp:positionV relativeFrom="paragraph">
                  <wp:posOffset>132080</wp:posOffset>
                </wp:positionV>
                <wp:extent cx="2211705" cy="670560"/>
                <wp:effectExtent l="19050" t="19050" r="17145" b="15240"/>
                <wp:wrapNone/>
                <wp:docPr id="686" name="Text Box 686"/>
                <wp:cNvGraphicFramePr/>
                <a:graphic xmlns:a="http://schemas.openxmlformats.org/drawingml/2006/main">
                  <a:graphicData uri="http://schemas.microsoft.com/office/word/2010/wordprocessingShape">
                    <wps:wsp>
                      <wps:cNvSpPr txBox="1"/>
                      <wps:spPr>
                        <a:xfrm>
                          <a:off x="0" y="0"/>
                          <a:ext cx="2211705" cy="670560"/>
                        </a:xfrm>
                        <a:prstGeom prst="roundRect">
                          <a:avLst/>
                        </a:prstGeom>
                        <a:solidFill>
                          <a:sysClr val="window" lastClr="FFFFFF"/>
                        </a:solidFill>
                        <a:ln w="38100" cmpd="dbl">
                          <a:solidFill>
                            <a:srgbClr val="666D88"/>
                          </a:solidFill>
                        </a:ln>
                        <a:effectLst/>
                      </wps:spPr>
                      <wps:txbx>
                        <w:txbxContent>
                          <w:p w14:paraId="42B2B687" w14:textId="77777777" w:rsidR="00876FFE" w:rsidRPr="00641667" w:rsidRDefault="00876FFE" w:rsidP="00BC55F6">
                            <w:pPr>
                              <w:spacing w:before="0"/>
                              <w:jc w:val="center"/>
                              <w:rPr>
                                <w:rFonts w:asciiTheme="minorHAnsi" w:hAnsiTheme="minorHAnsi" w:cstheme="minorHAnsi"/>
                              </w:rPr>
                            </w:pPr>
                            <w:r w:rsidRPr="00641667">
                              <w:rPr>
                                <w:rFonts w:asciiTheme="minorHAnsi" w:hAnsiTheme="minorHAnsi" w:cstheme="minorHAnsi"/>
                              </w:rPr>
                              <w:t xml:space="preserve">Неодговарајући </w:t>
                            </w:r>
                            <w:r w:rsidRPr="004F7DEB">
                              <w:rPr>
                                <w:rFonts w:asciiTheme="minorHAnsi" w:hAnsiTheme="minorHAnsi" w:cstheme="minorHAnsi"/>
                                <w:b/>
                              </w:rPr>
                              <w:t>монотипски систем</w:t>
                            </w:r>
                            <w:r w:rsidRPr="00641667">
                              <w:rPr>
                                <w:rFonts w:asciiTheme="minorHAnsi" w:hAnsiTheme="minorHAnsi" w:cstheme="minorHAnsi"/>
                              </w:rPr>
                              <w:t xml:space="preserve"> локалне самоуправе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6D4269" id="Text Box 686" o:spid="_x0000_s1421" style="position:absolute;margin-left:-39.75pt;margin-top:10.4pt;width:174.15pt;height:52.8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" fillcolor="window" strokecolor="#666d88" strokeweight="3pt">
                <v:stroke linestyle="thinThin"/>
                <v:textbox inset="0,0,0,0">
                  <w:txbxContent>
                    <w:p w14:paraId="42B2B687" w14:textId="77777777" w:rsidR="00876FFE" w:rsidRPr="00641667" w:rsidRDefault="00876FFE" w:rsidP="00BC55F6">
                      <w:pPr>
                        <w:spacing w:before="0"/>
                        <w:jc w:val="center"/>
                        <w:rPr>
                          <w:rFonts w:asciiTheme="minorHAnsi" w:hAnsiTheme="minorHAnsi" w:cstheme="minorHAnsi"/>
                        </w:rPr>
                      </w:pPr>
                      <w:r w:rsidRPr="00641667">
                        <w:rPr>
                          <w:rFonts w:asciiTheme="minorHAnsi" w:hAnsiTheme="minorHAnsi" w:cstheme="minorHAnsi"/>
                        </w:rPr>
                        <w:t xml:space="preserve">Неодговарајући </w:t>
                      </w:r>
                      <w:r w:rsidRPr="004F7DEB">
                        <w:rPr>
                          <w:rFonts w:asciiTheme="minorHAnsi" w:hAnsiTheme="minorHAnsi" w:cstheme="minorHAnsi"/>
                          <w:b/>
                        </w:rPr>
                        <w:t>монотипски систем</w:t>
                      </w:r>
                      <w:r w:rsidRPr="00641667">
                        <w:rPr>
                          <w:rFonts w:asciiTheme="minorHAnsi" w:hAnsiTheme="minorHAnsi" w:cstheme="minorHAnsi"/>
                        </w:rPr>
                        <w:t xml:space="preserve"> локалне самоуправе</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70400" behindDoc="0" locked="0" layoutInCell="1" allowOverlap="1" wp14:anchorId="64491059" wp14:editId="2C44356E">
                <wp:simplePos x="0" y="0"/>
                <wp:positionH relativeFrom="column">
                  <wp:posOffset>11549380</wp:posOffset>
                </wp:positionH>
                <wp:positionV relativeFrom="paragraph">
                  <wp:posOffset>130901</wp:posOffset>
                </wp:positionV>
                <wp:extent cx="2211705" cy="670560"/>
                <wp:effectExtent l="19050" t="19050" r="17145" b="15240"/>
                <wp:wrapNone/>
                <wp:docPr id="687" name="Text Box 687"/>
                <wp:cNvGraphicFramePr/>
                <a:graphic xmlns:a="http://schemas.openxmlformats.org/drawingml/2006/main">
                  <a:graphicData uri="http://schemas.microsoft.com/office/word/2010/wordprocessingShape">
                    <wps:wsp>
                      <wps:cNvSpPr txBox="1"/>
                      <wps:spPr>
                        <a:xfrm>
                          <a:off x="0" y="0"/>
                          <a:ext cx="2211705" cy="670560"/>
                        </a:xfrm>
                        <a:prstGeom prst="roundRect">
                          <a:avLst/>
                        </a:prstGeom>
                        <a:solidFill>
                          <a:sysClr val="window" lastClr="FFFFFF"/>
                        </a:solidFill>
                        <a:ln w="38100" cmpd="dbl">
                          <a:solidFill>
                            <a:srgbClr val="666D88"/>
                          </a:solidFill>
                        </a:ln>
                        <a:effectLst/>
                      </wps:spPr>
                      <wps:txbx>
                        <w:txbxContent>
                          <w:p w14:paraId="5D112817" w14:textId="77777777" w:rsidR="00876FFE" w:rsidRPr="00641667" w:rsidRDefault="00876FFE" w:rsidP="00BC55F6">
                            <w:pPr>
                              <w:spacing w:before="0"/>
                              <w:jc w:val="center"/>
                              <w:rPr>
                                <w:rFonts w:asciiTheme="minorHAnsi" w:hAnsiTheme="minorHAnsi" w:cstheme="minorHAnsi"/>
                                <w14:textOutline w14:w="9525" w14:cap="rnd" w14:cmpd="thinThick" w14:algn="ctr">
                                  <w14:solidFill>
                                    <w14:srgbClr w14:val="219990"/>
                                  </w14:solidFill>
                                  <w14:prstDash w14:val="solid"/>
                                  <w14:bevel/>
                                </w14:textOutline>
                              </w:rPr>
                            </w:pPr>
                            <w:r w:rsidRPr="00641667">
                              <w:rPr>
                                <w:rFonts w:asciiTheme="minorHAnsi" w:hAnsiTheme="minorHAnsi" w:cstheme="minorHAnsi"/>
                              </w:rPr>
                              <w:t xml:space="preserve">Недовољан </w:t>
                            </w:r>
                            <w:r w:rsidRPr="005C41CD">
                              <w:rPr>
                                <w:rFonts w:asciiTheme="minorHAnsi" w:hAnsiTheme="minorHAnsi" w:cstheme="minorHAnsi"/>
                                <w:b/>
                              </w:rPr>
                              <w:t>квалитет</w:t>
                            </w:r>
                            <w:r w:rsidRPr="00641667">
                              <w:rPr>
                                <w:rFonts w:asciiTheme="minorHAnsi" w:hAnsiTheme="minorHAnsi" w:cstheme="minorHAnsi"/>
                              </w:rPr>
                              <w:t xml:space="preserve"> и</w:t>
                            </w:r>
                            <w:r w:rsidRPr="00641667">
                              <w:rPr>
                                <w:rFonts w:asciiTheme="minorHAnsi" w:hAnsiTheme="minorHAnsi" w:cstheme="minorHAnsi"/>
                              </w:rPr>
                              <w:br/>
                              <w:t>неравномерна</w:t>
                            </w:r>
                            <w:r w:rsidRPr="00641667">
                              <w:rPr>
                                <w:rFonts w:asciiTheme="minorHAnsi" w:hAnsiTheme="minorHAnsi" w:cstheme="minorHAnsi"/>
                                <w:spacing w:val="-18"/>
                              </w:rPr>
                              <w:br/>
                            </w:r>
                            <w:r w:rsidRPr="005C41CD">
                              <w:rPr>
                                <w:rFonts w:asciiTheme="minorHAnsi" w:hAnsiTheme="minorHAnsi" w:cstheme="minorHAnsi"/>
                                <w:b/>
                                <w:spacing w:val="-8"/>
                              </w:rPr>
                              <w:t>доступност</w:t>
                            </w:r>
                            <w:r w:rsidRPr="00641667">
                              <w:rPr>
                                <w:rFonts w:asciiTheme="minorHAnsi" w:hAnsiTheme="minorHAnsi" w:cstheme="minorHAnsi"/>
                                <w:spacing w:val="-8"/>
                              </w:rPr>
                              <w:t xml:space="preserve"> </w:t>
                            </w:r>
                            <w:r w:rsidRPr="005C41CD">
                              <w:rPr>
                                <w:rFonts w:asciiTheme="minorHAnsi" w:hAnsiTheme="minorHAnsi" w:cstheme="minorHAnsi"/>
                                <w:b/>
                                <w:spacing w:val="-8"/>
                              </w:rPr>
                              <w:t>јавних услуга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491059" id="Text Box 687" o:spid="_x0000_s1422" style="position:absolute;margin-left:909.4pt;margin-top:10.3pt;width:174.15pt;height:52.8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" fillcolor="window" strokecolor="#666d88" strokeweight="3pt">
                <v:stroke linestyle="thinThin"/>
                <v:textbox inset="0,0,0,0">
                  <w:txbxContent>
                    <w:p w14:paraId="5D112817" w14:textId="77777777" w:rsidR="00876FFE" w:rsidRPr="00641667" w:rsidRDefault="00876FFE" w:rsidP="00BC55F6">
                      <w:pPr>
                        <w:spacing w:before="0"/>
                        <w:jc w:val="center"/>
                        <w:rPr>
                          <w:rFonts w:asciiTheme="minorHAnsi" w:hAnsiTheme="minorHAnsi" w:cstheme="minorHAnsi"/>
                          <w14:textOutline w14:w="9525" w14:cap="rnd" w14:cmpd="thinThick" w14:algn="ctr">
                            <w14:solidFill>
                              <w14:srgbClr w14:val="219990"/>
                            </w14:solidFill>
                            <w14:prstDash w14:val="solid"/>
                            <w14:bevel/>
                          </w14:textOutline>
                        </w:rPr>
                      </w:pPr>
                      <w:r w:rsidRPr="00641667">
                        <w:rPr>
                          <w:rFonts w:asciiTheme="minorHAnsi" w:hAnsiTheme="minorHAnsi" w:cstheme="minorHAnsi"/>
                        </w:rPr>
                        <w:t xml:space="preserve">Недовољан </w:t>
                      </w:r>
                      <w:r w:rsidRPr="005C41CD">
                        <w:rPr>
                          <w:rFonts w:asciiTheme="minorHAnsi" w:hAnsiTheme="minorHAnsi" w:cstheme="minorHAnsi"/>
                          <w:b/>
                        </w:rPr>
                        <w:t>квалитет</w:t>
                      </w:r>
                      <w:r w:rsidRPr="00641667">
                        <w:rPr>
                          <w:rFonts w:asciiTheme="minorHAnsi" w:hAnsiTheme="minorHAnsi" w:cstheme="minorHAnsi"/>
                        </w:rPr>
                        <w:t xml:space="preserve"> и</w:t>
                      </w:r>
                      <w:r w:rsidRPr="00641667">
                        <w:rPr>
                          <w:rFonts w:asciiTheme="minorHAnsi" w:hAnsiTheme="minorHAnsi" w:cstheme="minorHAnsi"/>
                        </w:rPr>
                        <w:br/>
                        <w:t>неравномерна</w:t>
                      </w:r>
                      <w:r w:rsidRPr="00641667">
                        <w:rPr>
                          <w:rFonts w:asciiTheme="minorHAnsi" w:hAnsiTheme="minorHAnsi" w:cstheme="minorHAnsi"/>
                          <w:spacing w:val="-18"/>
                        </w:rPr>
                        <w:br/>
                      </w:r>
                      <w:r w:rsidRPr="005C41CD">
                        <w:rPr>
                          <w:rFonts w:asciiTheme="minorHAnsi" w:hAnsiTheme="minorHAnsi" w:cstheme="minorHAnsi"/>
                          <w:b/>
                          <w:spacing w:val="-8"/>
                        </w:rPr>
                        <w:t>доступност</w:t>
                      </w:r>
                      <w:r w:rsidRPr="00641667">
                        <w:rPr>
                          <w:rFonts w:asciiTheme="minorHAnsi" w:hAnsiTheme="minorHAnsi" w:cstheme="minorHAnsi"/>
                          <w:spacing w:val="-8"/>
                        </w:rPr>
                        <w:t xml:space="preserve"> </w:t>
                      </w:r>
                      <w:r w:rsidRPr="005C41CD">
                        <w:rPr>
                          <w:rFonts w:asciiTheme="minorHAnsi" w:hAnsiTheme="minorHAnsi" w:cstheme="minorHAnsi"/>
                          <w:b/>
                          <w:spacing w:val="-8"/>
                        </w:rPr>
                        <w:t>јавних услуга</w:t>
                      </w:r>
                    </w:p>
                  </w:txbxContent>
                </v:textbox>
              </v:roundrect>
            </w:pict>
          </mc:Fallback>
        </mc:AlternateContent>
      </w:r>
    </w:p>
    <w:p w14:paraId="60BC07D5"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p>
    <w:p w14:paraId="2885608E"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p>
    <w:p w14:paraId="1FD5E9D3"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p>
    <w:p w14:paraId="6C780D01"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p>
    <w:p w14:paraId="5497D8E5"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48224" behindDoc="0" locked="0" layoutInCell="1" allowOverlap="1" wp14:anchorId="7A4B0B72" wp14:editId="4FC28664">
                <wp:simplePos x="0" y="0"/>
                <wp:positionH relativeFrom="column">
                  <wp:posOffset>-512064</wp:posOffset>
                </wp:positionH>
                <wp:positionV relativeFrom="paragraph">
                  <wp:posOffset>159004</wp:posOffset>
                </wp:positionV>
                <wp:extent cx="2199005" cy="361569"/>
                <wp:effectExtent l="0" t="0" r="10795" b="19685"/>
                <wp:wrapNone/>
                <wp:docPr id="689" name="Text Box 689"/>
                <wp:cNvGraphicFramePr/>
                <a:graphic xmlns:a="http://schemas.openxmlformats.org/drawingml/2006/main">
                  <a:graphicData uri="http://schemas.microsoft.com/office/word/2010/wordprocessingShape">
                    <wps:wsp>
                      <wps:cNvSpPr txBox="1"/>
                      <wps:spPr>
                        <a:xfrm>
                          <a:off x="0" y="0"/>
                          <a:ext cx="2199005" cy="361569"/>
                        </a:xfrm>
                        <a:prstGeom prst="roundRect">
                          <a:avLst/>
                        </a:prstGeom>
                        <a:solidFill>
                          <a:schemeClr val="bg1"/>
                        </a:solidFill>
                        <a:ln w="19050">
                          <a:solidFill>
                            <a:srgbClr val="666D88"/>
                          </a:solidFill>
                        </a:ln>
                        <a:effectLst/>
                      </wps:spPr>
                      <wps:txbx>
                        <w:txbxContent>
                          <w:p w14:paraId="763BEC65" w14:textId="77777777" w:rsidR="00876FFE" w:rsidRPr="00AC774E" w:rsidRDefault="00876FFE" w:rsidP="00BC55F6">
                            <w:pPr>
                              <w:spacing w:before="0"/>
                              <w:ind w:firstLine="0"/>
                              <w:jc w:val="center"/>
                              <w:rPr>
                                <w:rFonts w:asciiTheme="minorHAnsi" w:hAnsiTheme="minorHAnsi" w:cstheme="minorHAnsi"/>
                                <w:sz w:val="22"/>
                                <w:szCs w:val="22"/>
                              </w:rPr>
                            </w:pPr>
                            <w:r>
                              <w:rPr>
                                <w:rFonts w:asciiTheme="minorHAnsi" w:hAnsiTheme="minorHAnsi" w:cstheme="minorHAnsi"/>
                                <w:sz w:val="22"/>
                                <w:szCs w:val="22"/>
                              </w:rPr>
                              <w:t>Неадекватан положај градских општина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4B0B72" id="Text Box 689" o:spid="_x0000_s1423" style="position:absolute;margin-left:-40.3pt;margin-top:12.5pt;width:173.15pt;height:28.45pt;z-index:25214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" fillcolor="white [3212]" strokecolor="#666d88" strokeweight="1.5pt">
                <v:textbox inset="0,0,0,0">
                  <w:txbxContent>
                    <w:p w14:paraId="763BEC65" w14:textId="77777777" w:rsidR="00876FFE" w:rsidRPr="00AC774E" w:rsidRDefault="00876FFE" w:rsidP="00BC55F6">
                      <w:pPr>
                        <w:spacing w:before="0"/>
                        <w:ind w:firstLine="0"/>
                        <w:jc w:val="center"/>
                        <w:rPr>
                          <w:rFonts w:asciiTheme="minorHAnsi" w:hAnsiTheme="minorHAnsi" w:cstheme="minorHAnsi"/>
                          <w:sz w:val="22"/>
                          <w:szCs w:val="22"/>
                        </w:rPr>
                      </w:pPr>
                      <w:r>
                        <w:rPr>
                          <w:rFonts w:asciiTheme="minorHAnsi" w:hAnsiTheme="minorHAnsi" w:cstheme="minorHAnsi"/>
                          <w:sz w:val="22"/>
                          <w:szCs w:val="22"/>
                        </w:rPr>
                        <w:t xml:space="preserve">Неадекватан </w:t>
                      </w:r>
                      <w:r>
                        <w:rPr>
                          <w:rFonts w:asciiTheme="minorHAnsi" w:hAnsiTheme="minorHAnsi" w:cstheme="minorHAnsi"/>
                          <w:sz w:val="22"/>
                          <w:szCs w:val="22"/>
                        </w:rPr>
                        <w:t>положај градских општина</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23648" behindDoc="0" locked="0" layoutInCell="1" allowOverlap="1" wp14:anchorId="0F0F4E25" wp14:editId="74AA8477">
                <wp:simplePos x="0" y="0"/>
                <wp:positionH relativeFrom="column">
                  <wp:posOffset>587375</wp:posOffset>
                </wp:positionH>
                <wp:positionV relativeFrom="paragraph">
                  <wp:posOffset>15875</wp:posOffset>
                </wp:positionV>
                <wp:extent cx="0" cy="218440"/>
                <wp:effectExtent l="57150" t="38100" r="57150" b="10160"/>
                <wp:wrapNone/>
                <wp:docPr id="688" name="Straight Arrow Connector 688"/>
                <wp:cNvGraphicFramePr/>
                <a:graphic xmlns:a="http://schemas.openxmlformats.org/drawingml/2006/main">
                  <a:graphicData uri="http://schemas.microsoft.com/office/word/2010/wordprocessingShape">
                    <wps:wsp>
                      <wps:cNvCnPr/>
                      <wps:spPr>
                        <a:xfrm flipV="1">
                          <a:off x="0" y="0"/>
                          <a:ext cx="0" cy="218440"/>
                        </a:xfrm>
                        <a:prstGeom prst="straightConnector1">
                          <a:avLst/>
                        </a:prstGeom>
                        <a:noFill/>
                        <a:ln w="28575" cap="flat" cmpd="sng" algn="ctr">
                          <a:solidFill>
                            <a:srgbClr val="666D88"/>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F9D084" id="Straight Arrow Connector 688" o:spid="_x0000_s1026" type="#_x0000_t32" style="position:absolute;margin-left:46.25pt;margin-top:1.25pt;width:0;height:17.2pt;flip:y;z-index:25212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" strokecolor="#666d88" strokeweight="2.25pt">
                <v:stroke endarrow="block" joinstyle="miter"/>
              </v:shap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28768" behindDoc="0" locked="0" layoutInCell="1" allowOverlap="1" wp14:anchorId="76B5F784" wp14:editId="4CA8B6C6">
                <wp:simplePos x="0" y="0"/>
                <wp:positionH relativeFrom="column">
                  <wp:posOffset>12637770</wp:posOffset>
                </wp:positionH>
                <wp:positionV relativeFrom="paragraph">
                  <wp:posOffset>26670</wp:posOffset>
                </wp:positionV>
                <wp:extent cx="0" cy="218440"/>
                <wp:effectExtent l="57150" t="38100" r="57150" b="10160"/>
                <wp:wrapNone/>
                <wp:docPr id="665" name="Straight Arrow Connector 665"/>
                <wp:cNvGraphicFramePr/>
                <a:graphic xmlns:a="http://schemas.openxmlformats.org/drawingml/2006/main">
                  <a:graphicData uri="http://schemas.microsoft.com/office/word/2010/wordprocessingShape">
                    <wps:wsp>
                      <wps:cNvCnPr/>
                      <wps:spPr>
                        <a:xfrm flipV="1">
                          <a:off x="0" y="0"/>
                          <a:ext cx="0" cy="218440"/>
                        </a:xfrm>
                        <a:prstGeom prst="straightConnector1">
                          <a:avLst/>
                        </a:prstGeom>
                        <a:noFill/>
                        <a:ln w="28575" cap="flat" cmpd="sng" algn="ctr">
                          <a:solidFill>
                            <a:srgbClr val="666D88"/>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DD092D" id="Straight Arrow Connector 665" o:spid="_x0000_s1026" type="#_x0000_t32" style="position:absolute;margin-left:995.1pt;margin-top:2.1pt;width:0;height:17.2pt;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" strokecolor="#666d88" strokeweight="2.25pt">
                <v:stroke endarrow="block" joinstyle="miter"/>
              </v:shap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27744" behindDoc="0" locked="0" layoutInCell="1" allowOverlap="1" wp14:anchorId="271C5BC5" wp14:editId="7F78B958">
                <wp:simplePos x="0" y="0"/>
                <wp:positionH relativeFrom="column">
                  <wp:posOffset>10232390</wp:posOffset>
                </wp:positionH>
                <wp:positionV relativeFrom="paragraph">
                  <wp:posOffset>26670</wp:posOffset>
                </wp:positionV>
                <wp:extent cx="0" cy="252000"/>
                <wp:effectExtent l="57150" t="38100" r="57150" b="15240"/>
                <wp:wrapNone/>
                <wp:docPr id="666" name="Straight Arrow Connector 666"/>
                <wp:cNvGraphicFramePr/>
                <a:graphic xmlns:a="http://schemas.openxmlformats.org/drawingml/2006/main">
                  <a:graphicData uri="http://schemas.microsoft.com/office/word/2010/wordprocessingShape">
                    <wps:wsp>
                      <wps:cNvCnPr/>
                      <wps:spPr>
                        <a:xfrm flipV="1">
                          <a:off x="0" y="0"/>
                          <a:ext cx="0" cy="252000"/>
                        </a:xfrm>
                        <a:prstGeom prst="straightConnector1">
                          <a:avLst/>
                        </a:prstGeom>
                        <a:noFill/>
                        <a:ln w="28575" cap="flat" cmpd="sng" algn="ctr">
                          <a:solidFill>
                            <a:srgbClr val="666D88"/>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7909C4" id="Straight Arrow Connector 666" o:spid="_x0000_s1026" type="#_x0000_t32" style="position:absolute;margin-left:805.7pt;margin-top:2.1pt;width:0;height:19.85pt;flip:y;z-index:25212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" strokecolor="#666d88" strokeweight="2.25pt">
                <v:stroke endarrow="block" joinstyle="miter"/>
              </v:shap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26720" behindDoc="0" locked="0" layoutInCell="1" allowOverlap="1" wp14:anchorId="47B23B24" wp14:editId="556B68FE">
                <wp:simplePos x="0" y="0"/>
                <wp:positionH relativeFrom="column">
                  <wp:posOffset>7848600</wp:posOffset>
                </wp:positionH>
                <wp:positionV relativeFrom="paragraph">
                  <wp:posOffset>26670</wp:posOffset>
                </wp:positionV>
                <wp:extent cx="0" cy="218440"/>
                <wp:effectExtent l="57150" t="38100" r="57150" b="10160"/>
                <wp:wrapNone/>
                <wp:docPr id="667" name="Straight Arrow Connector 667"/>
                <wp:cNvGraphicFramePr/>
                <a:graphic xmlns:a="http://schemas.openxmlformats.org/drawingml/2006/main">
                  <a:graphicData uri="http://schemas.microsoft.com/office/word/2010/wordprocessingShape">
                    <wps:wsp>
                      <wps:cNvCnPr/>
                      <wps:spPr>
                        <a:xfrm flipV="1">
                          <a:off x="0" y="0"/>
                          <a:ext cx="0" cy="218440"/>
                        </a:xfrm>
                        <a:prstGeom prst="straightConnector1">
                          <a:avLst/>
                        </a:prstGeom>
                        <a:noFill/>
                        <a:ln w="28575" cap="flat" cmpd="sng" algn="ctr">
                          <a:solidFill>
                            <a:srgbClr val="666D88"/>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5357D" id="Straight Arrow Connector 667" o:spid="_x0000_s1026" type="#_x0000_t32" style="position:absolute;margin-left:618pt;margin-top:2.1pt;width:0;height:17.2pt;flip:y;z-index:25212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" strokecolor="#666d88" strokeweight="2.25pt">
                <v:stroke endarrow="block" joinstyle="miter"/>
              </v:shap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25696" behindDoc="0" locked="0" layoutInCell="1" allowOverlap="1" wp14:anchorId="0CD432EA" wp14:editId="14A7B437">
                <wp:simplePos x="0" y="0"/>
                <wp:positionH relativeFrom="column">
                  <wp:posOffset>5420995</wp:posOffset>
                </wp:positionH>
                <wp:positionV relativeFrom="paragraph">
                  <wp:posOffset>26670</wp:posOffset>
                </wp:positionV>
                <wp:extent cx="0" cy="218440"/>
                <wp:effectExtent l="57150" t="38100" r="57150" b="10160"/>
                <wp:wrapNone/>
                <wp:docPr id="668" name="Straight Arrow Connector 668"/>
                <wp:cNvGraphicFramePr/>
                <a:graphic xmlns:a="http://schemas.openxmlformats.org/drawingml/2006/main">
                  <a:graphicData uri="http://schemas.microsoft.com/office/word/2010/wordprocessingShape">
                    <wps:wsp>
                      <wps:cNvCnPr/>
                      <wps:spPr>
                        <a:xfrm flipV="1">
                          <a:off x="0" y="0"/>
                          <a:ext cx="0" cy="218440"/>
                        </a:xfrm>
                        <a:prstGeom prst="straightConnector1">
                          <a:avLst/>
                        </a:prstGeom>
                        <a:noFill/>
                        <a:ln w="28575" cap="flat" cmpd="sng" algn="ctr">
                          <a:solidFill>
                            <a:srgbClr val="666D88"/>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DD36D4" id="Straight Arrow Connector 668" o:spid="_x0000_s1026" type="#_x0000_t32" style="position:absolute;margin-left:426.85pt;margin-top:2.1pt;width:0;height:17.2pt;flip:y;z-index:25212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" strokecolor="#666d88" strokeweight="2.25pt">
                <v:stroke endarrow="block" joinstyle="miter"/>
              </v:shap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24672" behindDoc="0" locked="0" layoutInCell="1" allowOverlap="1" wp14:anchorId="1E80E0EB" wp14:editId="00B95097">
                <wp:simplePos x="0" y="0"/>
                <wp:positionH relativeFrom="column">
                  <wp:posOffset>3014980</wp:posOffset>
                </wp:positionH>
                <wp:positionV relativeFrom="paragraph">
                  <wp:posOffset>27214</wp:posOffset>
                </wp:positionV>
                <wp:extent cx="0" cy="218440"/>
                <wp:effectExtent l="57150" t="38100" r="57150" b="10160"/>
                <wp:wrapNone/>
                <wp:docPr id="669" name="Straight Arrow Connector 669"/>
                <wp:cNvGraphicFramePr/>
                <a:graphic xmlns:a="http://schemas.openxmlformats.org/drawingml/2006/main">
                  <a:graphicData uri="http://schemas.microsoft.com/office/word/2010/wordprocessingShape">
                    <wps:wsp>
                      <wps:cNvCnPr/>
                      <wps:spPr>
                        <a:xfrm flipV="1">
                          <a:off x="0" y="0"/>
                          <a:ext cx="0" cy="218440"/>
                        </a:xfrm>
                        <a:prstGeom prst="straightConnector1">
                          <a:avLst/>
                        </a:prstGeom>
                        <a:noFill/>
                        <a:ln w="28575" cap="flat" cmpd="sng" algn="ctr">
                          <a:solidFill>
                            <a:srgbClr val="666D88"/>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C1F08F" id="Straight Arrow Connector 669" o:spid="_x0000_s1026" type="#_x0000_t32" style="position:absolute;margin-left:237.4pt;margin-top:2.15pt;width:0;height:17.2pt;flip:y;z-index:25212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" strokecolor="#666d88" strokeweight="2.25pt">
                <v:stroke endarrow="block" joinstyle="miter"/>
              </v:shape>
            </w:pict>
          </mc:Fallback>
        </mc:AlternateContent>
      </w:r>
    </w:p>
    <w:p w14:paraId="6068BB01"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75520" behindDoc="0" locked="0" layoutInCell="1" allowOverlap="1" wp14:anchorId="50431F9E" wp14:editId="60556395">
                <wp:simplePos x="0" y="0"/>
                <wp:positionH relativeFrom="column">
                  <wp:posOffset>1906524</wp:posOffset>
                </wp:positionH>
                <wp:positionV relativeFrom="paragraph">
                  <wp:posOffset>22352</wp:posOffset>
                </wp:positionV>
                <wp:extent cx="2199005" cy="536067"/>
                <wp:effectExtent l="0" t="0" r="10795" b="16510"/>
                <wp:wrapNone/>
                <wp:docPr id="691" name="Text Box 691"/>
                <wp:cNvGraphicFramePr/>
                <a:graphic xmlns:a="http://schemas.openxmlformats.org/drawingml/2006/main">
                  <a:graphicData uri="http://schemas.microsoft.com/office/word/2010/wordprocessingShape">
                    <wps:wsp>
                      <wps:cNvSpPr txBox="1"/>
                      <wps:spPr>
                        <a:xfrm>
                          <a:off x="0" y="0"/>
                          <a:ext cx="2199005" cy="536067"/>
                        </a:xfrm>
                        <a:prstGeom prst="roundRect">
                          <a:avLst/>
                        </a:prstGeom>
                        <a:solidFill>
                          <a:schemeClr val="bg1"/>
                        </a:solidFill>
                        <a:ln w="19050">
                          <a:solidFill>
                            <a:srgbClr val="666D88"/>
                          </a:solidFill>
                        </a:ln>
                        <a:effectLst/>
                      </wps:spPr>
                      <wps:txbx>
                        <w:txbxContent>
                          <w:p w14:paraId="73E8CA10" w14:textId="77777777" w:rsidR="00876FFE" w:rsidRPr="00AC774E" w:rsidRDefault="00876FFE" w:rsidP="00BC55F6">
                            <w:pPr>
                              <w:spacing w:before="0"/>
                              <w:jc w:val="center"/>
                              <w:rPr>
                                <w:rFonts w:asciiTheme="minorHAnsi" w:hAnsiTheme="minorHAnsi" w:cstheme="minorHAnsi"/>
                                <w:sz w:val="22"/>
                                <w:szCs w:val="22"/>
                              </w:rPr>
                            </w:pPr>
                            <w:r w:rsidRPr="00AC774E">
                              <w:rPr>
                                <w:rFonts w:asciiTheme="minorHAnsi" w:hAnsiTheme="minorHAnsi" w:cstheme="minorHAnsi"/>
                                <w:sz w:val="22"/>
                                <w:szCs w:val="22"/>
                              </w:rPr>
                              <w:t>Недовољно учешће прихода ЈЛС у</w:t>
                            </w:r>
                            <w:r>
                              <w:rPr>
                                <w:rFonts w:asciiTheme="minorHAnsi" w:hAnsiTheme="minorHAnsi" w:cstheme="minorHAnsi"/>
                                <w:sz w:val="22"/>
                                <w:szCs w:val="22"/>
                              </w:rPr>
                              <w:t xml:space="preserve"> </w:t>
                            </w:r>
                            <w:r w:rsidRPr="00AC774E">
                              <w:rPr>
                                <w:rFonts w:asciiTheme="minorHAnsi" w:hAnsiTheme="minorHAnsi" w:cstheme="minorHAnsi"/>
                                <w:sz w:val="22"/>
                                <w:szCs w:val="22"/>
                              </w:rPr>
                              <w:t>укупним јавним приходима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431F9E" id="Text Box 691" o:spid="_x0000_s1424" style="position:absolute;margin-left:150.1pt;margin-top:1.75pt;width:173.15pt;height:42.2pt;z-index:25207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" fillcolor="white [3212]" strokecolor="#666d88" strokeweight="1.5pt">
                <v:textbox inset="0,0,0,0">
                  <w:txbxContent>
                    <w:p w14:paraId="73E8CA10" w14:textId="77777777" w:rsidR="00876FFE" w:rsidRPr="00AC774E" w:rsidRDefault="00876FFE" w:rsidP="00BC55F6">
                      <w:pPr>
                        <w:spacing w:before="0"/>
                        <w:jc w:val="center"/>
                        <w:rPr>
                          <w:rFonts w:asciiTheme="minorHAnsi" w:hAnsiTheme="minorHAnsi" w:cstheme="minorHAnsi"/>
                          <w:sz w:val="22"/>
                          <w:szCs w:val="22"/>
                        </w:rPr>
                      </w:pPr>
                      <w:r w:rsidRPr="00AC774E">
                        <w:rPr>
                          <w:rFonts w:asciiTheme="minorHAnsi" w:hAnsiTheme="minorHAnsi" w:cstheme="minorHAnsi"/>
                          <w:sz w:val="22"/>
                          <w:szCs w:val="22"/>
                        </w:rPr>
                        <w:t xml:space="preserve">Недовољно </w:t>
                      </w:r>
                      <w:r w:rsidRPr="00AC774E">
                        <w:rPr>
                          <w:rFonts w:asciiTheme="minorHAnsi" w:hAnsiTheme="minorHAnsi" w:cstheme="minorHAnsi"/>
                          <w:sz w:val="22"/>
                          <w:szCs w:val="22"/>
                        </w:rPr>
                        <w:t>учешће прихода ЈЛС у</w:t>
                      </w:r>
                      <w:r>
                        <w:rPr>
                          <w:rFonts w:asciiTheme="minorHAnsi" w:hAnsiTheme="minorHAnsi" w:cstheme="minorHAnsi"/>
                          <w:sz w:val="22"/>
                          <w:szCs w:val="22"/>
                        </w:rPr>
                        <w:t xml:space="preserve"> </w:t>
                      </w:r>
                      <w:r w:rsidRPr="00AC774E">
                        <w:rPr>
                          <w:rFonts w:asciiTheme="minorHAnsi" w:hAnsiTheme="minorHAnsi" w:cstheme="minorHAnsi"/>
                          <w:sz w:val="22"/>
                          <w:szCs w:val="22"/>
                        </w:rPr>
                        <w:t>укупним јавним приходима</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49248" behindDoc="0" locked="0" layoutInCell="1" allowOverlap="1" wp14:anchorId="1662FEB0" wp14:editId="46DA23D8">
                <wp:simplePos x="0" y="0"/>
                <wp:positionH relativeFrom="column">
                  <wp:posOffset>4334256</wp:posOffset>
                </wp:positionH>
                <wp:positionV relativeFrom="paragraph">
                  <wp:posOffset>13208</wp:posOffset>
                </wp:positionV>
                <wp:extent cx="2199005" cy="375285"/>
                <wp:effectExtent l="0" t="0" r="10795" b="24765"/>
                <wp:wrapNone/>
                <wp:docPr id="693" name="Text Box 693"/>
                <wp:cNvGraphicFramePr/>
                <a:graphic xmlns:a="http://schemas.openxmlformats.org/drawingml/2006/main">
                  <a:graphicData uri="http://schemas.microsoft.com/office/word/2010/wordprocessingShape">
                    <wps:wsp>
                      <wps:cNvSpPr txBox="1"/>
                      <wps:spPr>
                        <a:xfrm>
                          <a:off x="0" y="0"/>
                          <a:ext cx="2199005" cy="375285"/>
                        </a:xfrm>
                        <a:prstGeom prst="roundRect">
                          <a:avLst/>
                        </a:prstGeom>
                        <a:solidFill>
                          <a:schemeClr val="bg1"/>
                        </a:solidFill>
                        <a:ln w="19050">
                          <a:solidFill>
                            <a:srgbClr val="666D88"/>
                          </a:solidFill>
                        </a:ln>
                        <a:effectLst/>
                      </wps:spPr>
                      <wps:txbx>
                        <w:txbxContent>
                          <w:p w14:paraId="449CACE4" w14:textId="77777777" w:rsidR="00876FFE" w:rsidRPr="00164DCB" w:rsidRDefault="00876FFE" w:rsidP="00BC55F6">
                            <w:pPr>
                              <w:spacing w:before="0"/>
                              <w:jc w:val="center"/>
                              <w:rPr>
                                <w:rFonts w:asciiTheme="minorHAnsi" w:hAnsiTheme="minorHAnsi" w:cstheme="minorHAnsi"/>
                                <w:sz w:val="22"/>
                                <w:szCs w:val="22"/>
                              </w:rPr>
                            </w:pPr>
                            <w:r>
                              <w:rPr>
                                <w:rFonts w:asciiTheme="minorHAnsi" w:hAnsiTheme="minorHAnsi" w:cstheme="minorHAnsi"/>
                                <w:sz w:val="22"/>
                                <w:szCs w:val="22"/>
                              </w:rPr>
                              <w:t>Низак ниво међуопштинске сарадње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662FEB0" id="Text Box 693" o:spid="_x0000_s1425" style="position:absolute;margin-left:341.3pt;margin-top:1.05pt;width:173.15pt;height:29.5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" fillcolor="white [3212]" strokecolor="#666d88" strokeweight="1.5pt">
                <v:textbox inset="0,0,0,0">
                  <w:txbxContent>
                    <w:p w14:paraId="449CACE4" w14:textId="77777777" w:rsidR="00876FFE" w:rsidRPr="00164DCB" w:rsidRDefault="00876FFE" w:rsidP="00BC55F6">
                      <w:pPr>
                        <w:spacing w:before="0"/>
                        <w:jc w:val="center"/>
                        <w:rPr>
                          <w:rFonts w:asciiTheme="minorHAnsi" w:hAnsiTheme="minorHAnsi" w:cstheme="minorHAnsi"/>
                          <w:sz w:val="22"/>
                          <w:szCs w:val="22"/>
                        </w:rPr>
                      </w:pPr>
                      <w:r>
                        <w:rPr>
                          <w:rFonts w:asciiTheme="minorHAnsi" w:hAnsiTheme="minorHAnsi" w:cstheme="minorHAnsi"/>
                          <w:sz w:val="22"/>
                          <w:szCs w:val="22"/>
                        </w:rPr>
                        <w:t xml:space="preserve">Низак </w:t>
                      </w:r>
                      <w:r>
                        <w:rPr>
                          <w:rFonts w:asciiTheme="minorHAnsi" w:hAnsiTheme="minorHAnsi" w:cstheme="minorHAnsi"/>
                          <w:sz w:val="22"/>
                          <w:szCs w:val="22"/>
                        </w:rPr>
                        <w:t>ниво међуопштинске сарадње</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08288" behindDoc="0" locked="0" layoutInCell="1" allowOverlap="1" wp14:anchorId="744B3C0B" wp14:editId="399DFD2C">
                <wp:simplePos x="0" y="0"/>
                <wp:positionH relativeFrom="column">
                  <wp:posOffset>11565467</wp:posOffset>
                </wp:positionH>
                <wp:positionV relativeFrom="paragraph">
                  <wp:posOffset>115993</wp:posOffset>
                </wp:positionV>
                <wp:extent cx="2199005" cy="499534"/>
                <wp:effectExtent l="0" t="0" r="10795" b="15240"/>
                <wp:wrapNone/>
                <wp:docPr id="694" name="Text Box 694"/>
                <wp:cNvGraphicFramePr/>
                <a:graphic xmlns:a="http://schemas.openxmlformats.org/drawingml/2006/main">
                  <a:graphicData uri="http://schemas.microsoft.com/office/word/2010/wordprocessingShape">
                    <wps:wsp>
                      <wps:cNvSpPr txBox="1"/>
                      <wps:spPr>
                        <a:xfrm>
                          <a:off x="0" y="0"/>
                          <a:ext cx="2199005" cy="499534"/>
                        </a:xfrm>
                        <a:prstGeom prst="roundRect">
                          <a:avLst/>
                        </a:prstGeom>
                        <a:solidFill>
                          <a:schemeClr val="bg1"/>
                        </a:solidFill>
                        <a:ln w="19050">
                          <a:solidFill>
                            <a:srgbClr val="666D88"/>
                          </a:solidFill>
                        </a:ln>
                        <a:effectLst/>
                      </wps:spPr>
                      <wps:txbx>
                        <w:txbxContent>
                          <w:p w14:paraId="49A18204" w14:textId="77777777" w:rsidR="00876FFE" w:rsidRPr="00D81F46" w:rsidRDefault="00876FFE" w:rsidP="00BC55F6">
                            <w:pPr>
                              <w:spacing w:before="0" w:after="0"/>
                              <w:jc w:val="center"/>
                              <w:rPr>
                                <w:rFonts w:asciiTheme="minorHAnsi" w:hAnsiTheme="minorHAnsi" w:cstheme="minorHAnsi"/>
                                <w:sz w:val="22"/>
                                <w:szCs w:val="22"/>
                              </w:rPr>
                            </w:pPr>
                            <w:r w:rsidRPr="00D81F46">
                              <w:rPr>
                                <w:rFonts w:asciiTheme="minorHAnsi" w:hAnsiTheme="minorHAnsi" w:cstheme="minorHAnsi"/>
                                <w:sz w:val="22"/>
                                <w:szCs w:val="22"/>
                              </w:rPr>
                              <w:t>Неадекватан ниво у пружању комуналних услуга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44B3C0B" id="Text Box 694" o:spid="_x0000_s1426" style="position:absolute;margin-left:910.65pt;margin-top:9.15pt;width:173.15pt;height:39.35pt;z-index:25210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" fillcolor="white [3212]" strokecolor="#666d88" strokeweight="1.5pt">
                <v:textbox inset="0,0,0,0">
                  <w:txbxContent>
                    <w:p w14:paraId="49A18204" w14:textId="77777777" w:rsidR="00876FFE" w:rsidRPr="00D81F46" w:rsidRDefault="00876FFE" w:rsidP="00BC55F6">
                      <w:pPr>
                        <w:spacing w:before="0" w:after="0"/>
                        <w:jc w:val="center"/>
                        <w:rPr>
                          <w:rFonts w:asciiTheme="minorHAnsi" w:hAnsiTheme="minorHAnsi" w:cstheme="minorHAnsi"/>
                          <w:sz w:val="22"/>
                          <w:szCs w:val="22"/>
                        </w:rPr>
                      </w:pPr>
                      <w:r w:rsidRPr="00D81F46">
                        <w:rPr>
                          <w:rFonts w:asciiTheme="minorHAnsi" w:hAnsiTheme="minorHAnsi" w:cstheme="minorHAnsi"/>
                          <w:sz w:val="22"/>
                          <w:szCs w:val="22"/>
                        </w:rPr>
                        <w:t xml:space="preserve">Неадекватан </w:t>
                      </w:r>
                      <w:r w:rsidRPr="00D81F46">
                        <w:rPr>
                          <w:rFonts w:asciiTheme="minorHAnsi" w:hAnsiTheme="minorHAnsi" w:cstheme="minorHAnsi"/>
                          <w:sz w:val="22"/>
                          <w:szCs w:val="22"/>
                        </w:rPr>
                        <w:t>ниво у пружању комуналних услуга</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99072" behindDoc="0" locked="0" layoutInCell="1" allowOverlap="1" wp14:anchorId="37890162" wp14:editId="7D064371">
                <wp:simplePos x="0" y="0"/>
                <wp:positionH relativeFrom="column">
                  <wp:posOffset>6756400</wp:posOffset>
                </wp:positionH>
                <wp:positionV relativeFrom="paragraph">
                  <wp:posOffset>124460</wp:posOffset>
                </wp:positionV>
                <wp:extent cx="2199005" cy="462280"/>
                <wp:effectExtent l="0" t="0" r="10795" b="13970"/>
                <wp:wrapNone/>
                <wp:docPr id="692" name="Text Box 692"/>
                <wp:cNvGraphicFramePr/>
                <a:graphic xmlns:a="http://schemas.openxmlformats.org/drawingml/2006/main">
                  <a:graphicData uri="http://schemas.microsoft.com/office/word/2010/wordprocessingShape">
                    <wps:wsp>
                      <wps:cNvSpPr txBox="1"/>
                      <wps:spPr>
                        <a:xfrm>
                          <a:off x="0" y="0"/>
                          <a:ext cx="2199005" cy="462280"/>
                        </a:xfrm>
                        <a:prstGeom prst="roundRect">
                          <a:avLst/>
                        </a:prstGeom>
                        <a:solidFill>
                          <a:schemeClr val="bg1"/>
                        </a:solidFill>
                        <a:ln w="19050">
                          <a:solidFill>
                            <a:srgbClr val="666D88"/>
                          </a:solidFill>
                        </a:ln>
                        <a:effectLst/>
                      </wps:spPr>
                      <wps:txbx>
                        <w:txbxContent>
                          <w:p w14:paraId="5405AF77" w14:textId="77777777" w:rsidR="00876FFE" w:rsidRPr="00434116" w:rsidRDefault="00876FFE" w:rsidP="00BC55F6">
                            <w:pPr>
                              <w:spacing w:before="0"/>
                              <w:jc w:val="center"/>
                              <w:rPr>
                                <w:rFonts w:asciiTheme="minorHAnsi" w:hAnsiTheme="minorHAnsi" w:cstheme="minorHAnsi"/>
                                <w:sz w:val="22"/>
                                <w:szCs w:val="22"/>
                              </w:rPr>
                            </w:pPr>
                            <w:r>
                              <w:rPr>
                                <w:rFonts w:asciiTheme="minorHAnsi" w:hAnsiTheme="minorHAnsi" w:cstheme="minorHAnsi"/>
                                <w:sz w:val="22"/>
                                <w:szCs w:val="22"/>
                              </w:rPr>
                              <w:t>Недовољна стручна помоћ државних органа</w:t>
                            </w:r>
                            <w:r w:rsidRPr="00434116">
                              <w:rPr>
                                <w:rFonts w:asciiTheme="minorHAnsi" w:hAnsiTheme="minorHAnsi" w:cstheme="minorHAnsi"/>
                                <w:sz w:val="22"/>
                                <w:szCs w:val="22"/>
                              </w:rPr>
                              <w:t xml:space="preserve"> </w:t>
                            </w:r>
                            <w:r>
                              <w:rPr>
                                <w:rFonts w:asciiTheme="minorHAnsi" w:hAnsiTheme="minorHAnsi" w:cstheme="minorHAnsi"/>
                                <w:sz w:val="22"/>
                                <w:szCs w:val="22"/>
                              </w:rPr>
                              <w:t>према</w:t>
                            </w:r>
                            <w:r w:rsidRPr="00434116">
                              <w:rPr>
                                <w:rFonts w:asciiTheme="minorHAnsi" w:hAnsiTheme="minorHAnsi" w:cstheme="minorHAnsi"/>
                                <w:sz w:val="22"/>
                                <w:szCs w:val="22"/>
                              </w:rPr>
                              <w:t xml:space="preserve"> ЈЛС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890162" id="Text Box 692" o:spid="_x0000_s1427" style="position:absolute;margin-left:532pt;margin-top:9.8pt;width:173.15pt;height:36.4pt;z-index:25209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" fillcolor="white [3212]" strokecolor="#666d88" strokeweight="1.5pt">
                <v:textbox inset="0,0,0,0">
                  <w:txbxContent>
                    <w:p w14:paraId="5405AF77" w14:textId="77777777" w:rsidR="00876FFE" w:rsidRPr="00434116" w:rsidRDefault="00876FFE" w:rsidP="00BC55F6">
                      <w:pPr>
                        <w:spacing w:before="0"/>
                        <w:jc w:val="center"/>
                        <w:rPr>
                          <w:rFonts w:asciiTheme="minorHAnsi" w:hAnsiTheme="minorHAnsi" w:cstheme="minorHAnsi"/>
                          <w:sz w:val="22"/>
                          <w:szCs w:val="22"/>
                        </w:rPr>
                      </w:pPr>
                      <w:r>
                        <w:rPr>
                          <w:rFonts w:asciiTheme="minorHAnsi" w:hAnsiTheme="minorHAnsi" w:cstheme="minorHAnsi"/>
                          <w:sz w:val="22"/>
                          <w:szCs w:val="22"/>
                        </w:rPr>
                        <w:t xml:space="preserve">Недовољна </w:t>
                      </w:r>
                      <w:r>
                        <w:rPr>
                          <w:rFonts w:asciiTheme="minorHAnsi" w:hAnsiTheme="minorHAnsi" w:cstheme="minorHAnsi"/>
                          <w:sz w:val="22"/>
                          <w:szCs w:val="22"/>
                        </w:rPr>
                        <w:t>стручна помоћ државних органа</w:t>
                      </w:r>
                      <w:r w:rsidRPr="00434116">
                        <w:rPr>
                          <w:rFonts w:asciiTheme="minorHAnsi" w:hAnsiTheme="minorHAnsi" w:cstheme="minorHAnsi"/>
                          <w:sz w:val="22"/>
                          <w:szCs w:val="22"/>
                        </w:rPr>
                        <w:t xml:space="preserve"> </w:t>
                      </w:r>
                      <w:r>
                        <w:rPr>
                          <w:rFonts w:asciiTheme="minorHAnsi" w:hAnsiTheme="minorHAnsi" w:cstheme="minorHAnsi"/>
                          <w:sz w:val="22"/>
                          <w:szCs w:val="22"/>
                        </w:rPr>
                        <w:t>према</w:t>
                      </w:r>
                      <w:r w:rsidRPr="00434116">
                        <w:rPr>
                          <w:rFonts w:asciiTheme="minorHAnsi" w:hAnsiTheme="minorHAnsi" w:cstheme="minorHAnsi"/>
                          <w:sz w:val="22"/>
                          <w:szCs w:val="22"/>
                        </w:rPr>
                        <w:t xml:space="preserve"> ЈЛС</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02144" behindDoc="0" locked="0" layoutInCell="1" allowOverlap="1" wp14:anchorId="07DD8495" wp14:editId="74564AAC">
                <wp:simplePos x="0" y="0"/>
                <wp:positionH relativeFrom="column">
                  <wp:posOffset>9144000</wp:posOffset>
                </wp:positionH>
                <wp:positionV relativeFrom="paragraph">
                  <wp:posOffset>123190</wp:posOffset>
                </wp:positionV>
                <wp:extent cx="2203450" cy="612000"/>
                <wp:effectExtent l="0" t="0" r="25400" b="17145"/>
                <wp:wrapNone/>
                <wp:docPr id="690" name="Text Box 690"/>
                <wp:cNvGraphicFramePr/>
                <a:graphic xmlns:a="http://schemas.openxmlformats.org/drawingml/2006/main">
                  <a:graphicData uri="http://schemas.microsoft.com/office/word/2010/wordprocessingShape">
                    <wps:wsp>
                      <wps:cNvSpPr txBox="1"/>
                      <wps:spPr>
                        <a:xfrm>
                          <a:off x="0" y="0"/>
                          <a:ext cx="2203450" cy="612000"/>
                        </a:xfrm>
                        <a:prstGeom prst="roundRect">
                          <a:avLst/>
                        </a:prstGeom>
                        <a:solidFill>
                          <a:schemeClr val="bg1"/>
                        </a:solidFill>
                        <a:ln w="19050">
                          <a:solidFill>
                            <a:srgbClr val="666D88"/>
                          </a:solidFill>
                        </a:ln>
                        <a:effectLst/>
                      </wps:spPr>
                      <wps:txbx>
                        <w:txbxContent>
                          <w:p w14:paraId="7929442A" w14:textId="77777777" w:rsidR="00876FFE" w:rsidRPr="006E43E3" w:rsidRDefault="00876FFE" w:rsidP="00BC55F6">
                            <w:pPr>
                              <w:spacing w:before="0"/>
                              <w:jc w:val="center"/>
                              <w:rPr>
                                <w:rFonts w:asciiTheme="minorHAnsi" w:hAnsiTheme="minorHAnsi" w:cstheme="minorHAnsi"/>
                                <w:sz w:val="22"/>
                                <w:szCs w:val="22"/>
                              </w:rPr>
                            </w:pPr>
                            <w:r w:rsidRPr="006E43E3">
                              <w:rPr>
                                <w:rFonts w:asciiTheme="minorHAnsi" w:hAnsiTheme="minorHAnsi" w:cstheme="minorHAnsi"/>
                                <w:sz w:val="22"/>
                                <w:szCs w:val="22"/>
                              </w:rPr>
                              <w:t>Недовољно развијен систем континуираног стручног усавршавања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DD8495" id="Text Box 690" o:spid="_x0000_s1428" style="position:absolute;margin-left:10in;margin-top:9.7pt;width:173.5pt;height:48.2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" fillcolor="white [3212]" strokecolor="#666d88" strokeweight="1.5pt">
                <v:textbox inset="0,0,0,0">
                  <w:txbxContent>
                    <w:p w14:paraId="7929442A" w14:textId="77777777" w:rsidR="00876FFE" w:rsidRPr="006E43E3" w:rsidRDefault="00876FFE" w:rsidP="00BC55F6">
                      <w:pPr>
                        <w:spacing w:before="0"/>
                        <w:jc w:val="center"/>
                        <w:rPr>
                          <w:rFonts w:asciiTheme="minorHAnsi" w:hAnsiTheme="minorHAnsi" w:cstheme="minorHAnsi"/>
                          <w:sz w:val="22"/>
                          <w:szCs w:val="22"/>
                        </w:rPr>
                      </w:pPr>
                      <w:r w:rsidRPr="006E43E3">
                        <w:rPr>
                          <w:rFonts w:asciiTheme="minorHAnsi" w:hAnsiTheme="minorHAnsi" w:cstheme="minorHAnsi"/>
                          <w:sz w:val="22"/>
                          <w:szCs w:val="22"/>
                        </w:rPr>
                        <w:t xml:space="preserve">Недовољно </w:t>
                      </w:r>
                      <w:r w:rsidRPr="006E43E3">
                        <w:rPr>
                          <w:rFonts w:asciiTheme="minorHAnsi" w:hAnsiTheme="minorHAnsi" w:cstheme="minorHAnsi"/>
                          <w:sz w:val="22"/>
                          <w:szCs w:val="22"/>
                        </w:rPr>
                        <w:t>развијен систем континуираног стручног усавршавања</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82688" behindDoc="0" locked="0" layoutInCell="1" allowOverlap="1" wp14:anchorId="5E1A118A" wp14:editId="2D7B95CE">
                <wp:simplePos x="0" y="0"/>
                <wp:positionH relativeFrom="column">
                  <wp:posOffset>1905000</wp:posOffset>
                </wp:positionH>
                <wp:positionV relativeFrom="paragraph">
                  <wp:posOffset>759460</wp:posOffset>
                </wp:positionV>
                <wp:extent cx="2199005" cy="462915"/>
                <wp:effectExtent l="0" t="0" r="10795" b="13335"/>
                <wp:wrapNone/>
                <wp:docPr id="356" name="Text Box 356"/>
                <wp:cNvGraphicFramePr/>
                <a:graphic xmlns:a="http://schemas.openxmlformats.org/drawingml/2006/main">
                  <a:graphicData uri="http://schemas.microsoft.com/office/word/2010/wordprocessingShape">
                    <wps:wsp>
                      <wps:cNvSpPr txBox="1"/>
                      <wps:spPr>
                        <a:xfrm>
                          <a:off x="0" y="0"/>
                          <a:ext cx="2199005" cy="462915"/>
                        </a:xfrm>
                        <a:prstGeom prst="roundRect">
                          <a:avLst/>
                        </a:prstGeom>
                        <a:solidFill>
                          <a:schemeClr val="bg1"/>
                        </a:solidFill>
                        <a:ln w="19050">
                          <a:solidFill>
                            <a:srgbClr val="666D88"/>
                          </a:solidFill>
                        </a:ln>
                        <a:effectLst/>
                      </wps:spPr>
                      <wps:txbx>
                        <w:txbxContent>
                          <w:p w14:paraId="3F28FA97" w14:textId="77777777" w:rsidR="00876FFE" w:rsidRPr="00AC774E" w:rsidRDefault="00876FFE" w:rsidP="00BC55F6">
                            <w:pPr>
                              <w:spacing w:before="0"/>
                              <w:jc w:val="center"/>
                              <w:rPr>
                                <w:rFonts w:asciiTheme="minorHAnsi" w:hAnsiTheme="minorHAnsi" w:cstheme="minorHAnsi"/>
                                <w:sz w:val="22"/>
                                <w:szCs w:val="22"/>
                              </w:rPr>
                            </w:pPr>
                            <w:r w:rsidRPr="00AC774E">
                              <w:rPr>
                                <w:rFonts w:asciiTheme="minorHAnsi" w:hAnsiTheme="minorHAnsi" w:cstheme="minorHAnsi"/>
                                <w:sz w:val="22"/>
                                <w:szCs w:val="22"/>
                              </w:rPr>
                              <w:t>Неефикасан финансијски</w:t>
                            </w:r>
                            <w:r>
                              <w:rPr>
                                <w:rFonts w:asciiTheme="minorHAnsi" w:hAnsiTheme="minorHAnsi" w:cstheme="minorHAnsi"/>
                                <w:sz w:val="22"/>
                                <w:szCs w:val="22"/>
                              </w:rPr>
                              <w:t xml:space="preserve"> </w:t>
                            </w:r>
                            <w:r w:rsidRPr="00AC774E">
                              <w:rPr>
                                <w:rFonts w:asciiTheme="minorHAnsi" w:hAnsiTheme="minorHAnsi" w:cstheme="minorHAnsi"/>
                                <w:sz w:val="22"/>
                                <w:szCs w:val="22"/>
                              </w:rPr>
                              <w:t>надзор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1A118A" id="Text Box 356" o:spid="_x0000_s1429" style="position:absolute;margin-left:150pt;margin-top:59.8pt;width:173.15pt;height:36.45pt;z-index:25208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" fillcolor="white [3212]" strokecolor="#666d88" strokeweight="1.5pt">
                <v:textbox inset="0,0,0,0">
                  <w:txbxContent>
                    <w:p w14:paraId="3F28FA97" w14:textId="77777777" w:rsidR="00876FFE" w:rsidRPr="00AC774E" w:rsidRDefault="00876FFE" w:rsidP="00BC55F6">
                      <w:pPr>
                        <w:spacing w:before="0"/>
                        <w:jc w:val="center"/>
                        <w:rPr>
                          <w:rFonts w:asciiTheme="minorHAnsi" w:hAnsiTheme="minorHAnsi" w:cstheme="minorHAnsi"/>
                          <w:sz w:val="22"/>
                          <w:szCs w:val="22"/>
                        </w:rPr>
                      </w:pPr>
                      <w:r w:rsidRPr="00AC774E">
                        <w:rPr>
                          <w:rFonts w:asciiTheme="minorHAnsi" w:hAnsiTheme="minorHAnsi" w:cstheme="minorHAnsi"/>
                          <w:sz w:val="22"/>
                          <w:szCs w:val="22"/>
                        </w:rPr>
                        <w:t xml:space="preserve">Неефикасан </w:t>
                      </w:r>
                      <w:r w:rsidRPr="00AC774E">
                        <w:rPr>
                          <w:rFonts w:asciiTheme="minorHAnsi" w:hAnsiTheme="minorHAnsi" w:cstheme="minorHAnsi"/>
                          <w:sz w:val="22"/>
                          <w:szCs w:val="22"/>
                        </w:rPr>
                        <w:t>финансијски</w:t>
                      </w:r>
                      <w:r>
                        <w:rPr>
                          <w:rFonts w:asciiTheme="minorHAnsi" w:hAnsiTheme="minorHAnsi" w:cstheme="minorHAnsi"/>
                          <w:sz w:val="22"/>
                          <w:szCs w:val="22"/>
                        </w:rPr>
                        <w:t xml:space="preserve"> </w:t>
                      </w:r>
                      <w:r w:rsidRPr="00AC774E">
                        <w:rPr>
                          <w:rFonts w:asciiTheme="minorHAnsi" w:hAnsiTheme="minorHAnsi" w:cstheme="minorHAnsi"/>
                          <w:sz w:val="22"/>
                          <w:szCs w:val="22"/>
                        </w:rPr>
                        <w:t>надзор</w:t>
                      </w:r>
                    </w:p>
                  </w:txbxContent>
                </v:textbox>
              </v:roundrect>
            </w:pict>
          </mc:Fallback>
        </mc:AlternateContent>
      </w:r>
    </w:p>
    <w:p w14:paraId="2CDB1232"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p>
    <w:p w14:paraId="6B55D32A"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34912" behindDoc="1" locked="0" layoutInCell="1" allowOverlap="1" wp14:anchorId="41461C6E" wp14:editId="792EDA45">
                <wp:simplePos x="0" y="0"/>
                <wp:positionH relativeFrom="column">
                  <wp:posOffset>5426710</wp:posOffset>
                </wp:positionH>
                <wp:positionV relativeFrom="paragraph">
                  <wp:posOffset>7620</wp:posOffset>
                </wp:positionV>
                <wp:extent cx="0" cy="5364000"/>
                <wp:effectExtent l="19050" t="19050" r="19050" b="8255"/>
                <wp:wrapNone/>
                <wp:docPr id="695" name="Straight Connector 695"/>
                <wp:cNvGraphicFramePr/>
                <a:graphic xmlns:a="http://schemas.openxmlformats.org/drawingml/2006/main">
                  <a:graphicData uri="http://schemas.microsoft.com/office/word/2010/wordprocessingShape">
                    <wps:wsp>
                      <wps:cNvCnPr/>
                      <wps:spPr>
                        <a:xfrm flipV="1">
                          <a:off x="0" y="0"/>
                          <a:ext cx="0" cy="5364000"/>
                        </a:xfrm>
                        <a:prstGeom prst="line">
                          <a:avLst/>
                        </a:prstGeom>
                        <a:noFill/>
                        <a:ln w="28575" cap="flat" cmpd="sng" algn="ctr">
                          <a:solidFill>
                            <a:srgbClr val="666D88"/>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FE7A63" id="Straight Connector 695" o:spid="_x0000_s1026" style="position:absolute;flip:y;z-index:-25118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7.3pt,.6pt" to="427.3pt,4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" strokecolor="#666d88" strokeweight="2.25pt">
                <v:stroke joinstyle="miter"/>
              </v:lin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83712" behindDoc="0" locked="0" layoutInCell="1" allowOverlap="1" wp14:anchorId="35C4CBAC" wp14:editId="1578927D">
                <wp:simplePos x="0" y="0"/>
                <wp:positionH relativeFrom="column">
                  <wp:posOffset>4334510</wp:posOffset>
                </wp:positionH>
                <wp:positionV relativeFrom="paragraph">
                  <wp:posOffset>152612</wp:posOffset>
                </wp:positionV>
                <wp:extent cx="2199005" cy="541867"/>
                <wp:effectExtent l="0" t="0" r="10795" b="10795"/>
                <wp:wrapNone/>
                <wp:docPr id="702" name="Text Box 702"/>
                <wp:cNvGraphicFramePr/>
                <a:graphic xmlns:a="http://schemas.openxmlformats.org/drawingml/2006/main">
                  <a:graphicData uri="http://schemas.microsoft.com/office/word/2010/wordprocessingShape">
                    <wps:wsp>
                      <wps:cNvSpPr txBox="1"/>
                      <wps:spPr>
                        <a:xfrm>
                          <a:off x="0" y="0"/>
                          <a:ext cx="2199005" cy="541867"/>
                        </a:xfrm>
                        <a:prstGeom prst="roundRect">
                          <a:avLst/>
                        </a:prstGeom>
                        <a:solidFill>
                          <a:schemeClr val="bg1"/>
                        </a:solidFill>
                        <a:ln w="19050">
                          <a:solidFill>
                            <a:srgbClr val="666D88"/>
                          </a:solidFill>
                        </a:ln>
                        <a:effectLst/>
                      </wps:spPr>
                      <wps:txbx>
                        <w:txbxContent>
                          <w:p w14:paraId="22224C19" w14:textId="77777777" w:rsidR="00876FFE" w:rsidRPr="00164DCB" w:rsidRDefault="00876FFE" w:rsidP="00BC55F6">
                            <w:pPr>
                              <w:spacing w:before="0" w:after="0" w:line="216" w:lineRule="auto"/>
                              <w:jc w:val="center"/>
                              <w:rPr>
                                <w:rFonts w:asciiTheme="minorHAnsi" w:hAnsiTheme="minorHAnsi" w:cstheme="minorHAnsi"/>
                                <w:sz w:val="22"/>
                                <w:szCs w:val="22"/>
                              </w:rPr>
                            </w:pPr>
                            <w:r>
                              <w:rPr>
                                <w:rFonts w:asciiTheme="minorHAnsi" w:hAnsiTheme="minorHAnsi" w:cstheme="minorHAnsi"/>
                                <w:sz w:val="22"/>
                                <w:szCs w:val="22"/>
                              </w:rPr>
                              <w:t>Неодговарајућа расподела</w:t>
                            </w:r>
                            <w:r w:rsidRPr="00164DCB">
                              <w:rPr>
                                <w:rFonts w:asciiTheme="minorHAnsi" w:hAnsiTheme="minorHAnsi" w:cstheme="minorHAnsi"/>
                                <w:sz w:val="22"/>
                                <w:szCs w:val="22"/>
                              </w:rPr>
                              <w:t xml:space="preserve"> надлежности послова у јавној управи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C4CBAC" id="Text Box 702" o:spid="_x0000_s1430" style="position:absolute;margin-left:341.3pt;margin-top:12pt;width:173.15pt;height:42.6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" fillcolor="white [3212]" strokecolor="#666d88" strokeweight="1.5pt">
                <v:textbox inset="0,0,0,0">
                  <w:txbxContent>
                    <w:p w14:paraId="22224C19" w14:textId="77777777" w:rsidR="00876FFE" w:rsidRPr="00164DCB" w:rsidRDefault="00876FFE" w:rsidP="00BC55F6">
                      <w:pPr>
                        <w:spacing w:before="0" w:after="0" w:line="216" w:lineRule="auto"/>
                        <w:jc w:val="center"/>
                        <w:rPr>
                          <w:rFonts w:asciiTheme="minorHAnsi" w:hAnsiTheme="minorHAnsi" w:cstheme="minorHAnsi"/>
                          <w:sz w:val="22"/>
                          <w:szCs w:val="22"/>
                        </w:rPr>
                      </w:pPr>
                      <w:r>
                        <w:rPr>
                          <w:rFonts w:asciiTheme="minorHAnsi" w:hAnsiTheme="minorHAnsi" w:cstheme="minorHAnsi"/>
                          <w:sz w:val="22"/>
                          <w:szCs w:val="22"/>
                        </w:rPr>
                        <w:t>Неодговарајућа расподела</w:t>
                      </w:r>
                      <w:r w:rsidRPr="00164DCB">
                        <w:rPr>
                          <w:rFonts w:asciiTheme="minorHAnsi" w:hAnsiTheme="minorHAnsi" w:cstheme="minorHAnsi"/>
                          <w:sz w:val="22"/>
                          <w:szCs w:val="22"/>
                        </w:rPr>
                        <w:t xml:space="preserve"> надлежности послова у јавној управи </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92928" behindDoc="0" locked="0" layoutInCell="1" allowOverlap="1" wp14:anchorId="28D0F582" wp14:editId="4D987DFB">
                <wp:simplePos x="0" y="0"/>
                <wp:positionH relativeFrom="column">
                  <wp:posOffset>-511810</wp:posOffset>
                </wp:positionH>
                <wp:positionV relativeFrom="paragraph">
                  <wp:posOffset>225969</wp:posOffset>
                </wp:positionV>
                <wp:extent cx="2199005" cy="283845"/>
                <wp:effectExtent l="0" t="0" r="10795" b="20955"/>
                <wp:wrapNone/>
                <wp:docPr id="701" name="Text Box 701"/>
                <wp:cNvGraphicFramePr/>
                <a:graphic xmlns:a="http://schemas.openxmlformats.org/drawingml/2006/main">
                  <a:graphicData uri="http://schemas.microsoft.com/office/word/2010/wordprocessingShape">
                    <wps:wsp>
                      <wps:cNvSpPr txBox="1"/>
                      <wps:spPr>
                        <a:xfrm>
                          <a:off x="0" y="0"/>
                          <a:ext cx="2199005" cy="283845"/>
                        </a:xfrm>
                        <a:prstGeom prst="roundRect">
                          <a:avLst/>
                        </a:prstGeom>
                        <a:solidFill>
                          <a:schemeClr val="bg1"/>
                        </a:solidFill>
                        <a:ln w="19050">
                          <a:solidFill>
                            <a:srgbClr val="666D88"/>
                          </a:solidFill>
                        </a:ln>
                        <a:effectLst/>
                      </wps:spPr>
                      <wps:txbx>
                        <w:txbxContent>
                          <w:p w14:paraId="18CE1B60" w14:textId="77777777" w:rsidR="00876FFE" w:rsidRPr="00AC774E" w:rsidRDefault="00876FFE" w:rsidP="00BC55F6">
                            <w:pPr>
                              <w:spacing w:before="0"/>
                              <w:ind w:firstLine="0"/>
                              <w:jc w:val="center"/>
                              <w:rPr>
                                <w:rFonts w:asciiTheme="minorHAnsi" w:hAnsiTheme="minorHAnsi" w:cstheme="minorHAnsi"/>
                                <w:sz w:val="22"/>
                                <w:szCs w:val="22"/>
                              </w:rPr>
                            </w:pPr>
                            <w:r w:rsidRPr="00AC774E">
                              <w:rPr>
                                <w:rFonts w:asciiTheme="minorHAnsi" w:hAnsiTheme="minorHAnsi" w:cstheme="minorHAnsi"/>
                                <w:sz w:val="22"/>
                                <w:szCs w:val="22"/>
                              </w:rPr>
                              <w:t>Политика најслабије карике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8D0F582" id="Text Box 701" o:spid="_x0000_s1431" style="position:absolute;margin-left:-40.3pt;margin-top:17.8pt;width:173.15pt;height:22.35pt;z-index:25209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" fillcolor="white [3212]" strokecolor="#666d88" strokeweight="1.5pt">
                <v:textbox inset="0,0,0,0">
                  <w:txbxContent>
                    <w:p w14:paraId="18CE1B60" w14:textId="77777777" w:rsidR="00876FFE" w:rsidRPr="00AC774E" w:rsidRDefault="00876FFE" w:rsidP="00BC55F6">
                      <w:pPr>
                        <w:spacing w:before="0"/>
                        <w:ind w:firstLine="0"/>
                        <w:jc w:val="center"/>
                        <w:rPr>
                          <w:rFonts w:asciiTheme="minorHAnsi" w:hAnsiTheme="minorHAnsi" w:cstheme="minorHAnsi"/>
                          <w:sz w:val="22"/>
                          <w:szCs w:val="22"/>
                        </w:rPr>
                      </w:pPr>
                      <w:r w:rsidRPr="00AC774E">
                        <w:rPr>
                          <w:rFonts w:asciiTheme="minorHAnsi" w:hAnsiTheme="minorHAnsi" w:cstheme="minorHAnsi"/>
                          <w:sz w:val="22"/>
                          <w:szCs w:val="22"/>
                        </w:rPr>
                        <w:t xml:space="preserve">Политика </w:t>
                      </w:r>
                      <w:r w:rsidRPr="00AC774E">
                        <w:rPr>
                          <w:rFonts w:asciiTheme="minorHAnsi" w:hAnsiTheme="minorHAnsi" w:cstheme="minorHAnsi"/>
                          <w:sz w:val="22"/>
                          <w:szCs w:val="22"/>
                        </w:rPr>
                        <w:t>најслабије карике</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32864" behindDoc="1" locked="0" layoutInCell="1" allowOverlap="1" wp14:anchorId="5D7A8610" wp14:editId="6E25E557">
                <wp:simplePos x="0" y="0"/>
                <wp:positionH relativeFrom="column">
                  <wp:posOffset>584200</wp:posOffset>
                </wp:positionH>
                <wp:positionV relativeFrom="paragraph">
                  <wp:posOffset>54610</wp:posOffset>
                </wp:positionV>
                <wp:extent cx="0" cy="2268000"/>
                <wp:effectExtent l="19050" t="19050" r="19050" b="18415"/>
                <wp:wrapNone/>
                <wp:docPr id="696" name="Straight Connector 696"/>
                <wp:cNvGraphicFramePr/>
                <a:graphic xmlns:a="http://schemas.openxmlformats.org/drawingml/2006/main">
                  <a:graphicData uri="http://schemas.microsoft.com/office/word/2010/wordprocessingShape">
                    <wps:wsp>
                      <wps:cNvCnPr/>
                      <wps:spPr>
                        <a:xfrm flipV="1">
                          <a:off x="0" y="0"/>
                          <a:ext cx="0" cy="2268000"/>
                        </a:xfrm>
                        <a:prstGeom prst="line">
                          <a:avLst/>
                        </a:prstGeom>
                        <a:noFill/>
                        <a:ln w="28575" cap="flat" cmpd="sng" algn="ctr">
                          <a:solidFill>
                            <a:srgbClr val="666D88"/>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343C30" id="Straight Connector 696" o:spid="_x0000_s1026" style="position:absolute;flip:y;z-index:-25118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pt,4.3pt" to="46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" strokecolor="#666d88" strokeweight="2.25pt">
                <v:stroke joinstyle="miter"/>
              </v:line>
            </w:pict>
          </mc:Fallback>
        </mc:AlternateContent>
      </w:r>
    </w:p>
    <w:p w14:paraId="5692EBA4"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30816" behindDoc="1" locked="0" layoutInCell="1" allowOverlap="1" wp14:anchorId="09E851CA" wp14:editId="3EDC2EAB">
                <wp:simplePos x="0" y="0"/>
                <wp:positionH relativeFrom="column">
                  <wp:posOffset>7840980</wp:posOffset>
                </wp:positionH>
                <wp:positionV relativeFrom="paragraph">
                  <wp:posOffset>97028</wp:posOffset>
                </wp:positionV>
                <wp:extent cx="9144" cy="2555748"/>
                <wp:effectExtent l="19050" t="19050" r="29210" b="16510"/>
                <wp:wrapNone/>
                <wp:docPr id="697" name="Straight Connector 697"/>
                <wp:cNvGraphicFramePr/>
                <a:graphic xmlns:a="http://schemas.openxmlformats.org/drawingml/2006/main">
                  <a:graphicData uri="http://schemas.microsoft.com/office/word/2010/wordprocessingShape">
                    <wps:wsp>
                      <wps:cNvCnPr/>
                      <wps:spPr>
                        <a:xfrm flipV="1">
                          <a:off x="0" y="0"/>
                          <a:ext cx="9144" cy="2555748"/>
                        </a:xfrm>
                        <a:prstGeom prst="line">
                          <a:avLst/>
                        </a:prstGeom>
                        <a:noFill/>
                        <a:ln w="28575" cap="flat" cmpd="sng" algn="ctr">
                          <a:solidFill>
                            <a:srgbClr val="666D8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566425" id="Straight Connector 697" o:spid="_x0000_s1026" style="position:absolute;flip:y;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4pt,7.65pt" to="618.1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" strokecolor="#666d88" strokeweight="2.25pt">
                <v:stroke joinstyle="miter"/>
              </v:lin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33888" behindDoc="1" locked="0" layoutInCell="1" allowOverlap="1" wp14:anchorId="1386C957" wp14:editId="1FF73DE6">
                <wp:simplePos x="0" y="0"/>
                <wp:positionH relativeFrom="column">
                  <wp:posOffset>12640310</wp:posOffset>
                </wp:positionH>
                <wp:positionV relativeFrom="paragraph">
                  <wp:posOffset>76200</wp:posOffset>
                </wp:positionV>
                <wp:extent cx="0" cy="3924000"/>
                <wp:effectExtent l="19050" t="19050" r="19050" b="635"/>
                <wp:wrapNone/>
                <wp:docPr id="698" name="Straight Connector 698"/>
                <wp:cNvGraphicFramePr/>
                <a:graphic xmlns:a="http://schemas.openxmlformats.org/drawingml/2006/main">
                  <a:graphicData uri="http://schemas.microsoft.com/office/word/2010/wordprocessingShape">
                    <wps:wsp>
                      <wps:cNvCnPr/>
                      <wps:spPr>
                        <a:xfrm flipV="1">
                          <a:off x="0" y="0"/>
                          <a:ext cx="0" cy="3924000"/>
                        </a:xfrm>
                        <a:prstGeom prst="line">
                          <a:avLst/>
                        </a:prstGeom>
                        <a:noFill/>
                        <a:ln w="28575" cap="flat" cmpd="sng" algn="ctr">
                          <a:solidFill>
                            <a:srgbClr val="666D88"/>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24E699" id="Straight Connector 698" o:spid="_x0000_s1026" style="position:absolute;flip:y;z-index:-25118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5.3pt,6pt" to="995.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" strokecolor="#666d88" strokeweight="2.25pt">
                <v:stroke joinstyle="miter"/>
              </v:lin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29792" behindDoc="1" locked="0" layoutInCell="1" allowOverlap="1" wp14:anchorId="150961C9" wp14:editId="6B0E69FB">
                <wp:simplePos x="0" y="0"/>
                <wp:positionH relativeFrom="column">
                  <wp:posOffset>10244455</wp:posOffset>
                </wp:positionH>
                <wp:positionV relativeFrom="paragraph">
                  <wp:posOffset>31538</wp:posOffset>
                </wp:positionV>
                <wp:extent cx="0" cy="3636000"/>
                <wp:effectExtent l="19050" t="19050" r="19050" b="3175"/>
                <wp:wrapNone/>
                <wp:docPr id="704" name="Straight Connector 704"/>
                <wp:cNvGraphicFramePr/>
                <a:graphic xmlns:a="http://schemas.openxmlformats.org/drawingml/2006/main">
                  <a:graphicData uri="http://schemas.microsoft.com/office/word/2010/wordprocessingShape">
                    <wps:wsp>
                      <wps:cNvCnPr/>
                      <wps:spPr>
                        <a:xfrm flipV="1">
                          <a:off x="0" y="0"/>
                          <a:ext cx="0" cy="3636000"/>
                        </a:xfrm>
                        <a:prstGeom prst="line">
                          <a:avLst/>
                        </a:prstGeom>
                        <a:noFill/>
                        <a:ln w="28575" cap="flat" cmpd="sng" algn="ctr">
                          <a:solidFill>
                            <a:srgbClr val="666D88"/>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DCC7AC" id="Straight Connector 704" o:spid="_x0000_s1026" style="position:absolute;flip:y;z-index:-25118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6.65pt,2.5pt" to="806.65pt,2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" strokecolor="#666d88" strokeweight="2.25pt">
                <v:stroke joinstyle="miter"/>
              </v:line>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31840" behindDoc="1" locked="0" layoutInCell="1" allowOverlap="1" wp14:anchorId="25640658" wp14:editId="2304C2B0">
                <wp:simplePos x="0" y="0"/>
                <wp:positionH relativeFrom="column">
                  <wp:posOffset>2993390</wp:posOffset>
                </wp:positionH>
                <wp:positionV relativeFrom="paragraph">
                  <wp:posOffset>53884</wp:posOffset>
                </wp:positionV>
                <wp:extent cx="0" cy="4724400"/>
                <wp:effectExtent l="19050" t="19050" r="19050" b="0"/>
                <wp:wrapNone/>
                <wp:docPr id="699" name="Straight Connector 699"/>
                <wp:cNvGraphicFramePr/>
                <a:graphic xmlns:a="http://schemas.openxmlformats.org/drawingml/2006/main">
                  <a:graphicData uri="http://schemas.microsoft.com/office/word/2010/wordprocessingShape">
                    <wps:wsp>
                      <wps:cNvCnPr/>
                      <wps:spPr>
                        <a:xfrm flipV="1">
                          <a:off x="0" y="0"/>
                          <a:ext cx="0" cy="4724400"/>
                        </a:xfrm>
                        <a:prstGeom prst="line">
                          <a:avLst/>
                        </a:prstGeom>
                        <a:noFill/>
                        <a:ln w="28575" cap="flat" cmpd="sng" algn="ctr">
                          <a:solidFill>
                            <a:srgbClr val="666D88"/>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7DE512" id="Straight Connector 699" o:spid="_x0000_s1026" style="position:absolute;flip:y;z-index:-251184640;visibility:visible;mso-wrap-style:square;mso-wrap-distance-left:9pt;mso-wrap-distance-top:0;mso-wrap-distance-right:9pt;mso-wrap-distance-bottom:0;mso-position-horizontal:absolute;mso-position-horizontal-relative:text;mso-position-vertical:absolute;mso-position-vertical-relative:text" from="235.7pt,4.25pt" to="235.7pt,3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" strokecolor="#666d88" strokeweight="2.25pt">
                <v:stroke joinstyle="miter"/>
              </v:line>
            </w:pict>
          </mc:Fallback>
        </mc:AlternateContent>
      </w:r>
    </w:p>
    <w:p w14:paraId="5D66D64E"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09312" behindDoc="0" locked="0" layoutInCell="1" allowOverlap="1" wp14:anchorId="7CBA6B37" wp14:editId="08ADA133">
                <wp:simplePos x="0" y="0"/>
                <wp:positionH relativeFrom="column">
                  <wp:posOffset>11565255</wp:posOffset>
                </wp:positionH>
                <wp:positionV relativeFrom="paragraph">
                  <wp:posOffset>105833</wp:posOffset>
                </wp:positionV>
                <wp:extent cx="2199005" cy="327025"/>
                <wp:effectExtent l="0" t="0" r="10795" b="15875"/>
                <wp:wrapNone/>
                <wp:docPr id="705" name="Text Box 705"/>
                <wp:cNvGraphicFramePr/>
                <a:graphic xmlns:a="http://schemas.openxmlformats.org/drawingml/2006/main">
                  <a:graphicData uri="http://schemas.microsoft.com/office/word/2010/wordprocessingShape">
                    <wps:wsp>
                      <wps:cNvSpPr txBox="1"/>
                      <wps:spPr>
                        <a:xfrm>
                          <a:off x="0" y="0"/>
                          <a:ext cx="2199005" cy="327025"/>
                        </a:xfrm>
                        <a:prstGeom prst="roundRect">
                          <a:avLst/>
                        </a:prstGeom>
                        <a:solidFill>
                          <a:schemeClr val="bg1"/>
                        </a:solidFill>
                        <a:ln w="19050">
                          <a:solidFill>
                            <a:srgbClr val="666D88"/>
                          </a:solidFill>
                        </a:ln>
                        <a:effectLst/>
                      </wps:spPr>
                      <wps:txbx>
                        <w:txbxContent>
                          <w:p w14:paraId="35FCDF82" w14:textId="77777777" w:rsidR="00876FFE" w:rsidRPr="00D81F46" w:rsidRDefault="00876FFE" w:rsidP="00BC55F6">
                            <w:pPr>
                              <w:spacing w:before="0"/>
                              <w:ind w:firstLine="0"/>
                              <w:jc w:val="center"/>
                              <w:rPr>
                                <w:rFonts w:asciiTheme="minorHAnsi" w:hAnsiTheme="minorHAnsi" w:cstheme="minorHAnsi"/>
                                <w:sz w:val="22"/>
                                <w:szCs w:val="22"/>
                              </w:rPr>
                            </w:pPr>
                            <w:r w:rsidRPr="00D81F46">
                              <w:rPr>
                                <w:rFonts w:asciiTheme="minorHAnsi" w:hAnsiTheme="minorHAnsi" w:cstheme="minorHAnsi"/>
                                <w:sz w:val="22"/>
                                <w:szCs w:val="22"/>
                              </w:rPr>
                              <w:t>Нерешен статус јавних установа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BA6B37" id="Text Box 705" o:spid="_x0000_s1432" style="position:absolute;margin-left:910.65pt;margin-top:8.35pt;width:173.15pt;height:25.75pt;z-index:25210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" fillcolor="white [3212]" strokecolor="#666d88" strokeweight="1.5pt">
                <v:textbox inset="0,0,0,0">
                  <w:txbxContent>
                    <w:p w14:paraId="35FCDF82" w14:textId="77777777" w:rsidR="00876FFE" w:rsidRPr="00D81F46" w:rsidRDefault="00876FFE" w:rsidP="00BC55F6">
                      <w:pPr>
                        <w:spacing w:before="0"/>
                        <w:ind w:firstLine="0"/>
                        <w:jc w:val="center"/>
                        <w:rPr>
                          <w:rFonts w:asciiTheme="minorHAnsi" w:hAnsiTheme="minorHAnsi" w:cstheme="minorHAnsi"/>
                          <w:sz w:val="22"/>
                          <w:szCs w:val="22"/>
                        </w:rPr>
                      </w:pPr>
                      <w:r w:rsidRPr="00D81F46">
                        <w:rPr>
                          <w:rFonts w:asciiTheme="minorHAnsi" w:hAnsiTheme="minorHAnsi" w:cstheme="minorHAnsi"/>
                          <w:sz w:val="22"/>
                          <w:szCs w:val="22"/>
                        </w:rPr>
                        <w:t xml:space="preserve">Нерешен </w:t>
                      </w:r>
                      <w:r w:rsidRPr="00D81F46">
                        <w:rPr>
                          <w:rFonts w:asciiTheme="minorHAnsi" w:hAnsiTheme="minorHAnsi" w:cstheme="minorHAnsi"/>
                          <w:sz w:val="22"/>
                          <w:szCs w:val="22"/>
                        </w:rPr>
                        <w:t>статус јавних установа</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00096" behindDoc="0" locked="0" layoutInCell="1" allowOverlap="1" wp14:anchorId="7D9BA2F9" wp14:editId="080DCB0B">
                <wp:simplePos x="0" y="0"/>
                <wp:positionH relativeFrom="column">
                  <wp:posOffset>6764655</wp:posOffset>
                </wp:positionH>
                <wp:positionV relativeFrom="paragraph">
                  <wp:posOffset>103082</wp:posOffset>
                </wp:positionV>
                <wp:extent cx="2199005" cy="651933"/>
                <wp:effectExtent l="0" t="0" r="10795" b="15240"/>
                <wp:wrapNone/>
                <wp:docPr id="703" name="Text Box 703"/>
                <wp:cNvGraphicFramePr/>
                <a:graphic xmlns:a="http://schemas.openxmlformats.org/drawingml/2006/main">
                  <a:graphicData uri="http://schemas.microsoft.com/office/word/2010/wordprocessingShape">
                    <wps:wsp>
                      <wps:cNvSpPr txBox="1"/>
                      <wps:spPr>
                        <a:xfrm>
                          <a:off x="0" y="0"/>
                          <a:ext cx="2199005" cy="651933"/>
                        </a:xfrm>
                        <a:prstGeom prst="roundRect">
                          <a:avLst/>
                        </a:prstGeom>
                        <a:solidFill>
                          <a:schemeClr val="bg1"/>
                        </a:solidFill>
                        <a:ln w="19050">
                          <a:solidFill>
                            <a:srgbClr val="666D88"/>
                          </a:solidFill>
                        </a:ln>
                        <a:effectLst/>
                      </wps:spPr>
                      <wps:txbx>
                        <w:txbxContent>
                          <w:p w14:paraId="41174974" w14:textId="77777777" w:rsidR="00876FFE" w:rsidRPr="00434116" w:rsidRDefault="00876FFE" w:rsidP="00BC55F6">
                            <w:pPr>
                              <w:spacing w:before="0" w:after="0"/>
                              <w:jc w:val="center"/>
                              <w:rPr>
                                <w:rFonts w:asciiTheme="minorHAnsi" w:hAnsiTheme="minorHAnsi" w:cstheme="minorHAnsi"/>
                                <w:sz w:val="22"/>
                                <w:szCs w:val="22"/>
                              </w:rPr>
                            </w:pPr>
                            <w:r>
                              <w:rPr>
                                <w:rFonts w:asciiTheme="minorHAnsi" w:hAnsiTheme="minorHAnsi" w:cstheme="minorHAnsi"/>
                                <w:sz w:val="22"/>
                                <w:szCs w:val="22"/>
                              </w:rPr>
                              <w:t>Нема правог</w:t>
                            </w:r>
                            <w:r w:rsidRPr="00434116">
                              <w:rPr>
                                <w:rFonts w:asciiTheme="minorHAnsi" w:hAnsiTheme="minorHAnsi" w:cstheme="minorHAnsi"/>
                                <w:sz w:val="22"/>
                                <w:szCs w:val="22"/>
                              </w:rPr>
                              <w:t xml:space="preserve"> дијалога</w:t>
                            </w:r>
                            <w:r w:rsidRPr="00434116">
                              <w:rPr>
                                <w:rFonts w:asciiTheme="minorHAnsi" w:hAnsiTheme="minorHAnsi" w:cstheme="minorHAnsi"/>
                                <w:sz w:val="22"/>
                                <w:szCs w:val="22"/>
                              </w:rPr>
                              <w:br/>
                              <w:t>приликом припреме јавних политика, прописа</w:t>
                            </w:r>
                            <w:r>
                              <w:rPr>
                                <w:rFonts w:asciiTheme="minorHAnsi" w:hAnsiTheme="minorHAnsi" w:cstheme="minorHAnsi"/>
                                <w:sz w:val="22"/>
                                <w:szCs w:val="22"/>
                              </w:rPr>
                              <w:t xml:space="preserve"> </w:t>
                            </w:r>
                            <w:r w:rsidRPr="00434116">
                              <w:rPr>
                                <w:rFonts w:asciiTheme="minorHAnsi" w:hAnsiTheme="minorHAnsi" w:cstheme="minorHAnsi"/>
                                <w:sz w:val="22"/>
                                <w:szCs w:val="22"/>
                              </w:rPr>
                              <w:t>(и послова ЈЛС)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9BA2F9" id="Text Box 703" o:spid="_x0000_s1433" style="position:absolute;margin-left:532.65pt;margin-top:8.1pt;width:173.15pt;height:51.35pt;z-index:25210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" fillcolor="white [3212]" strokecolor="#666d88" strokeweight="1.5pt">
                <v:textbox inset="0,0,0,0">
                  <w:txbxContent>
                    <w:p w14:paraId="41174974" w14:textId="77777777" w:rsidR="00876FFE" w:rsidRPr="00434116" w:rsidRDefault="00876FFE" w:rsidP="00BC55F6">
                      <w:pPr>
                        <w:spacing w:before="0" w:after="0"/>
                        <w:jc w:val="center"/>
                        <w:rPr>
                          <w:rFonts w:asciiTheme="minorHAnsi" w:hAnsiTheme="minorHAnsi" w:cstheme="minorHAnsi"/>
                          <w:sz w:val="22"/>
                          <w:szCs w:val="22"/>
                        </w:rPr>
                      </w:pPr>
                      <w:r>
                        <w:rPr>
                          <w:rFonts w:asciiTheme="minorHAnsi" w:hAnsiTheme="minorHAnsi" w:cstheme="minorHAnsi"/>
                          <w:sz w:val="22"/>
                          <w:szCs w:val="22"/>
                        </w:rPr>
                        <w:t xml:space="preserve">Нема </w:t>
                      </w:r>
                      <w:r>
                        <w:rPr>
                          <w:rFonts w:asciiTheme="minorHAnsi" w:hAnsiTheme="minorHAnsi" w:cstheme="minorHAnsi"/>
                          <w:sz w:val="22"/>
                          <w:szCs w:val="22"/>
                        </w:rPr>
                        <w:t>правог</w:t>
                      </w:r>
                      <w:r w:rsidRPr="00434116">
                        <w:rPr>
                          <w:rFonts w:asciiTheme="minorHAnsi" w:hAnsiTheme="minorHAnsi" w:cstheme="minorHAnsi"/>
                          <w:sz w:val="22"/>
                          <w:szCs w:val="22"/>
                        </w:rPr>
                        <w:t xml:space="preserve"> дијалога</w:t>
                      </w:r>
                      <w:r w:rsidRPr="00434116">
                        <w:rPr>
                          <w:rFonts w:asciiTheme="minorHAnsi" w:hAnsiTheme="minorHAnsi" w:cstheme="minorHAnsi"/>
                          <w:sz w:val="22"/>
                          <w:szCs w:val="22"/>
                        </w:rPr>
                        <w:br/>
                        <w:t>приликом припреме јавних политика, прописа</w:t>
                      </w:r>
                      <w:r>
                        <w:rPr>
                          <w:rFonts w:asciiTheme="minorHAnsi" w:hAnsiTheme="minorHAnsi" w:cstheme="minorHAnsi"/>
                          <w:sz w:val="22"/>
                          <w:szCs w:val="22"/>
                        </w:rPr>
                        <w:t xml:space="preserve"> </w:t>
                      </w:r>
                      <w:r w:rsidRPr="00434116">
                        <w:rPr>
                          <w:rFonts w:asciiTheme="minorHAnsi" w:hAnsiTheme="minorHAnsi" w:cstheme="minorHAnsi"/>
                          <w:sz w:val="22"/>
                          <w:szCs w:val="22"/>
                        </w:rPr>
                        <w:t>(и послова ЈЛС)</w:t>
                      </w:r>
                    </w:p>
                  </w:txbxContent>
                </v:textbox>
              </v:roundrect>
            </w:pict>
          </mc:Fallback>
        </mc:AlternateContent>
      </w:r>
    </w:p>
    <w:p w14:paraId="4D386579"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03168" behindDoc="0" locked="0" layoutInCell="1" allowOverlap="1" wp14:anchorId="56FCD3DE" wp14:editId="14330A3D">
                <wp:simplePos x="0" y="0"/>
                <wp:positionH relativeFrom="column">
                  <wp:posOffset>9144000</wp:posOffset>
                </wp:positionH>
                <wp:positionV relativeFrom="paragraph">
                  <wp:posOffset>74083</wp:posOffset>
                </wp:positionV>
                <wp:extent cx="2203450" cy="462280"/>
                <wp:effectExtent l="0" t="0" r="25400" b="13970"/>
                <wp:wrapNone/>
                <wp:docPr id="671" name="Text Box 671"/>
                <wp:cNvGraphicFramePr/>
                <a:graphic xmlns:a="http://schemas.openxmlformats.org/drawingml/2006/main">
                  <a:graphicData uri="http://schemas.microsoft.com/office/word/2010/wordprocessingShape">
                    <wps:wsp>
                      <wps:cNvSpPr txBox="1"/>
                      <wps:spPr>
                        <a:xfrm>
                          <a:off x="0" y="0"/>
                          <a:ext cx="2203450" cy="462280"/>
                        </a:xfrm>
                        <a:prstGeom prst="roundRect">
                          <a:avLst/>
                        </a:prstGeom>
                        <a:solidFill>
                          <a:schemeClr val="bg1"/>
                        </a:solidFill>
                        <a:ln w="19050">
                          <a:solidFill>
                            <a:srgbClr val="666D88"/>
                          </a:solidFill>
                        </a:ln>
                        <a:effectLst/>
                      </wps:spPr>
                      <wps:txbx>
                        <w:txbxContent>
                          <w:p w14:paraId="3569CF11" w14:textId="77777777" w:rsidR="00876FFE" w:rsidRPr="006E43E3" w:rsidRDefault="00876FFE" w:rsidP="00BC55F6">
                            <w:pPr>
                              <w:spacing w:before="0"/>
                              <w:jc w:val="center"/>
                              <w:rPr>
                                <w:rFonts w:asciiTheme="minorHAnsi" w:hAnsiTheme="minorHAnsi" w:cstheme="minorHAnsi"/>
                                <w:sz w:val="22"/>
                                <w:szCs w:val="22"/>
                              </w:rPr>
                            </w:pPr>
                            <w:r w:rsidRPr="006E43E3">
                              <w:rPr>
                                <w:rFonts w:asciiTheme="minorHAnsi" w:hAnsiTheme="minorHAnsi" w:cstheme="minorHAnsi"/>
                                <w:sz w:val="22"/>
                                <w:szCs w:val="22"/>
                              </w:rPr>
                              <w:t>Изразито скромни управни капацитети у малим ЈЛС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FCD3DE" id="Text Box 671" o:spid="_x0000_s1434" style="position:absolute;margin-left:10in;margin-top:5.85pt;width:173.5pt;height:36.4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" fillcolor="white [3212]" strokecolor="#666d88" strokeweight="1.5pt">
                <v:textbox inset="0,0,0,0">
                  <w:txbxContent>
                    <w:p w14:paraId="3569CF11" w14:textId="77777777" w:rsidR="00876FFE" w:rsidRPr="006E43E3" w:rsidRDefault="00876FFE" w:rsidP="00BC55F6">
                      <w:pPr>
                        <w:spacing w:before="0"/>
                        <w:jc w:val="center"/>
                        <w:rPr>
                          <w:rFonts w:asciiTheme="minorHAnsi" w:hAnsiTheme="minorHAnsi" w:cstheme="minorHAnsi"/>
                          <w:sz w:val="22"/>
                          <w:szCs w:val="22"/>
                        </w:rPr>
                      </w:pPr>
                      <w:r w:rsidRPr="006E43E3">
                        <w:rPr>
                          <w:rFonts w:asciiTheme="minorHAnsi" w:hAnsiTheme="minorHAnsi" w:cstheme="minorHAnsi"/>
                          <w:sz w:val="22"/>
                          <w:szCs w:val="22"/>
                        </w:rPr>
                        <w:t xml:space="preserve">Изразито </w:t>
                      </w:r>
                      <w:r w:rsidRPr="006E43E3">
                        <w:rPr>
                          <w:rFonts w:asciiTheme="minorHAnsi" w:hAnsiTheme="minorHAnsi" w:cstheme="minorHAnsi"/>
                          <w:sz w:val="22"/>
                          <w:szCs w:val="22"/>
                        </w:rPr>
                        <w:t>скромни управни капацитети у малим ЈЛС</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93952" behindDoc="0" locked="0" layoutInCell="1" allowOverlap="1" wp14:anchorId="383214D4" wp14:editId="051C8434">
                <wp:simplePos x="0" y="0"/>
                <wp:positionH relativeFrom="column">
                  <wp:posOffset>-511810</wp:posOffset>
                </wp:positionH>
                <wp:positionV relativeFrom="paragraph">
                  <wp:posOffset>206919</wp:posOffset>
                </wp:positionV>
                <wp:extent cx="2199005" cy="283845"/>
                <wp:effectExtent l="0" t="0" r="10795" b="20955"/>
                <wp:wrapNone/>
                <wp:docPr id="700" name="Text Box 700"/>
                <wp:cNvGraphicFramePr/>
                <a:graphic xmlns:a="http://schemas.openxmlformats.org/drawingml/2006/main">
                  <a:graphicData uri="http://schemas.microsoft.com/office/word/2010/wordprocessingShape">
                    <wps:wsp>
                      <wps:cNvSpPr txBox="1"/>
                      <wps:spPr>
                        <a:xfrm>
                          <a:off x="0" y="0"/>
                          <a:ext cx="2199005" cy="283845"/>
                        </a:xfrm>
                        <a:prstGeom prst="roundRect">
                          <a:avLst/>
                        </a:prstGeom>
                        <a:solidFill>
                          <a:schemeClr val="bg1"/>
                        </a:solidFill>
                        <a:ln w="19050">
                          <a:solidFill>
                            <a:srgbClr val="666D88"/>
                          </a:solidFill>
                        </a:ln>
                        <a:effectLst/>
                      </wps:spPr>
                      <wps:txbx>
                        <w:txbxContent>
                          <w:p w14:paraId="3739968B" w14:textId="77777777" w:rsidR="00876FFE" w:rsidRPr="00AC774E" w:rsidRDefault="00876FFE" w:rsidP="00BC55F6">
                            <w:pPr>
                              <w:spacing w:before="0"/>
                              <w:ind w:firstLine="0"/>
                              <w:jc w:val="center"/>
                              <w:rPr>
                                <w:rFonts w:asciiTheme="minorHAnsi" w:hAnsiTheme="minorHAnsi" w:cstheme="minorHAnsi"/>
                                <w:sz w:val="22"/>
                                <w:szCs w:val="22"/>
                              </w:rPr>
                            </w:pPr>
                            <w:r w:rsidRPr="00AC774E">
                              <w:rPr>
                                <w:rFonts w:asciiTheme="minorHAnsi" w:hAnsiTheme="minorHAnsi" w:cstheme="minorHAnsi"/>
                                <w:sz w:val="22"/>
                                <w:szCs w:val="22"/>
                              </w:rPr>
                              <w:t>Неискоришћен потенцијал градова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3214D4" id="Text Box 700" o:spid="_x0000_s1435" style="position:absolute;margin-left:-40.3pt;margin-top:16.3pt;width:173.15pt;height:22.35pt;z-index:25209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" fillcolor="white [3212]" strokecolor="#666d88" strokeweight="1.5pt">
                <v:textbox inset="0,0,0,0">
                  <w:txbxContent>
                    <w:p w14:paraId="3739968B" w14:textId="77777777" w:rsidR="00876FFE" w:rsidRPr="00AC774E" w:rsidRDefault="00876FFE" w:rsidP="00BC55F6">
                      <w:pPr>
                        <w:spacing w:before="0"/>
                        <w:ind w:firstLine="0"/>
                        <w:jc w:val="center"/>
                        <w:rPr>
                          <w:rFonts w:asciiTheme="minorHAnsi" w:hAnsiTheme="minorHAnsi" w:cstheme="minorHAnsi"/>
                          <w:sz w:val="22"/>
                          <w:szCs w:val="22"/>
                        </w:rPr>
                      </w:pPr>
                      <w:r w:rsidRPr="00AC774E">
                        <w:rPr>
                          <w:rFonts w:asciiTheme="minorHAnsi" w:hAnsiTheme="minorHAnsi" w:cstheme="minorHAnsi"/>
                          <w:sz w:val="22"/>
                          <w:szCs w:val="22"/>
                        </w:rPr>
                        <w:t xml:space="preserve">Неискоришћен </w:t>
                      </w:r>
                      <w:r w:rsidRPr="00AC774E">
                        <w:rPr>
                          <w:rFonts w:asciiTheme="minorHAnsi" w:hAnsiTheme="minorHAnsi" w:cstheme="minorHAnsi"/>
                          <w:sz w:val="22"/>
                          <w:szCs w:val="22"/>
                        </w:rPr>
                        <w:t>потенцијал градова</w:t>
                      </w:r>
                    </w:p>
                  </w:txbxContent>
                </v:textbox>
              </v:roundrect>
            </w:pict>
          </mc:Fallback>
        </mc:AlternateContent>
      </w:r>
    </w:p>
    <w:p w14:paraId="0799A575"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84736" behindDoc="0" locked="0" layoutInCell="1" allowOverlap="1" wp14:anchorId="1C51AFBA" wp14:editId="320881A7">
                <wp:simplePos x="0" y="0"/>
                <wp:positionH relativeFrom="column">
                  <wp:posOffset>4334510</wp:posOffset>
                </wp:positionH>
                <wp:positionV relativeFrom="paragraph">
                  <wp:posOffset>132503</wp:posOffset>
                </wp:positionV>
                <wp:extent cx="2199005" cy="397510"/>
                <wp:effectExtent l="0" t="0" r="10795" b="21590"/>
                <wp:wrapNone/>
                <wp:docPr id="708" name="Text Box 708"/>
                <wp:cNvGraphicFramePr/>
                <a:graphic xmlns:a="http://schemas.openxmlformats.org/drawingml/2006/main">
                  <a:graphicData uri="http://schemas.microsoft.com/office/word/2010/wordprocessingShape">
                    <wps:wsp>
                      <wps:cNvSpPr txBox="1"/>
                      <wps:spPr>
                        <a:xfrm>
                          <a:off x="0" y="0"/>
                          <a:ext cx="2199005" cy="397510"/>
                        </a:xfrm>
                        <a:prstGeom prst="roundRect">
                          <a:avLst/>
                        </a:prstGeom>
                        <a:solidFill>
                          <a:schemeClr val="bg1"/>
                        </a:solidFill>
                        <a:ln w="19050">
                          <a:solidFill>
                            <a:srgbClr val="666D88"/>
                          </a:solidFill>
                        </a:ln>
                        <a:effectLst/>
                      </wps:spPr>
                      <wps:txbx>
                        <w:txbxContent>
                          <w:p w14:paraId="37512465" w14:textId="77777777" w:rsidR="00876FFE" w:rsidRPr="00164DCB" w:rsidRDefault="00876FFE" w:rsidP="00BC55F6">
                            <w:pPr>
                              <w:spacing w:before="0" w:after="0" w:line="216" w:lineRule="auto"/>
                              <w:jc w:val="center"/>
                              <w:rPr>
                                <w:rFonts w:asciiTheme="minorHAnsi" w:hAnsiTheme="minorHAnsi" w:cstheme="minorHAnsi"/>
                                <w:sz w:val="22"/>
                                <w:szCs w:val="22"/>
                              </w:rPr>
                            </w:pPr>
                            <w:r w:rsidRPr="00164DCB">
                              <w:rPr>
                                <w:rFonts w:asciiTheme="minorHAnsi" w:hAnsiTheme="minorHAnsi" w:cstheme="minorHAnsi"/>
                                <w:sz w:val="22"/>
                                <w:szCs w:val="22"/>
                              </w:rPr>
                              <w:t>Недостатак адекватног планирања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51AFBA" id="Text Box 708" o:spid="_x0000_s1436" style="position:absolute;margin-left:341.3pt;margin-top:10.45pt;width:173.15pt;height:31.3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" fillcolor="white [3212]" strokecolor="#666d88" strokeweight="1.5pt">
                <v:textbox inset="0,0,0,0">
                  <w:txbxContent>
                    <w:p w14:paraId="37512465" w14:textId="77777777" w:rsidR="00876FFE" w:rsidRPr="00164DCB" w:rsidRDefault="00876FFE" w:rsidP="00BC55F6">
                      <w:pPr>
                        <w:spacing w:before="0" w:after="0" w:line="216" w:lineRule="auto"/>
                        <w:jc w:val="center"/>
                        <w:rPr>
                          <w:rFonts w:asciiTheme="minorHAnsi" w:hAnsiTheme="minorHAnsi" w:cstheme="minorHAnsi"/>
                          <w:sz w:val="22"/>
                          <w:szCs w:val="22"/>
                        </w:rPr>
                      </w:pPr>
                      <w:r w:rsidRPr="00164DCB">
                        <w:rPr>
                          <w:rFonts w:asciiTheme="minorHAnsi" w:hAnsiTheme="minorHAnsi" w:cstheme="minorHAnsi"/>
                          <w:sz w:val="22"/>
                          <w:szCs w:val="22"/>
                        </w:rPr>
                        <w:t xml:space="preserve">Недостатак </w:t>
                      </w:r>
                      <w:r w:rsidRPr="00164DCB">
                        <w:rPr>
                          <w:rFonts w:asciiTheme="minorHAnsi" w:hAnsiTheme="minorHAnsi" w:cstheme="minorHAnsi"/>
                          <w:sz w:val="22"/>
                          <w:szCs w:val="22"/>
                        </w:rPr>
                        <w:t>адекватног планирања</w:t>
                      </w:r>
                    </w:p>
                  </w:txbxContent>
                </v:textbox>
              </v:roundrect>
            </w:pict>
          </mc:Fallback>
        </mc:AlternateContent>
      </w:r>
    </w:p>
    <w:p w14:paraId="2C6D2C75"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10336" behindDoc="0" locked="0" layoutInCell="1" allowOverlap="1" wp14:anchorId="1BF8D4C1" wp14:editId="0B62B771">
                <wp:simplePos x="0" y="0"/>
                <wp:positionH relativeFrom="column">
                  <wp:posOffset>11565255</wp:posOffset>
                </wp:positionH>
                <wp:positionV relativeFrom="paragraph">
                  <wp:posOffset>106468</wp:posOffset>
                </wp:positionV>
                <wp:extent cx="2199005" cy="457200"/>
                <wp:effectExtent l="0" t="0" r="10795" b="19050"/>
                <wp:wrapNone/>
                <wp:docPr id="723" name="Text Box 723"/>
                <wp:cNvGraphicFramePr/>
                <a:graphic xmlns:a="http://schemas.openxmlformats.org/drawingml/2006/main">
                  <a:graphicData uri="http://schemas.microsoft.com/office/word/2010/wordprocessingShape">
                    <wps:wsp>
                      <wps:cNvSpPr txBox="1"/>
                      <wps:spPr>
                        <a:xfrm>
                          <a:off x="0" y="0"/>
                          <a:ext cx="2199005" cy="457200"/>
                        </a:xfrm>
                        <a:prstGeom prst="roundRect">
                          <a:avLst/>
                        </a:prstGeom>
                        <a:solidFill>
                          <a:schemeClr val="bg1"/>
                        </a:solidFill>
                        <a:ln w="19050">
                          <a:solidFill>
                            <a:srgbClr val="666D88"/>
                          </a:solidFill>
                        </a:ln>
                        <a:effectLst/>
                      </wps:spPr>
                      <wps:txbx>
                        <w:txbxContent>
                          <w:p w14:paraId="3EEDFE9F" w14:textId="77777777" w:rsidR="00876FFE" w:rsidRPr="00D81F46" w:rsidRDefault="00876FFE" w:rsidP="00BC55F6">
                            <w:pPr>
                              <w:spacing w:before="0"/>
                              <w:jc w:val="center"/>
                              <w:rPr>
                                <w:rFonts w:asciiTheme="minorHAnsi" w:hAnsiTheme="minorHAnsi" w:cstheme="minorHAnsi"/>
                                <w:sz w:val="22"/>
                                <w:szCs w:val="22"/>
                              </w:rPr>
                            </w:pPr>
                            <w:r w:rsidRPr="00D81F46">
                              <w:rPr>
                                <w:rFonts w:asciiTheme="minorHAnsi" w:hAnsiTheme="minorHAnsi" w:cstheme="minorHAnsi"/>
                                <w:sz w:val="22"/>
                                <w:szCs w:val="22"/>
                              </w:rPr>
                              <w:t>Неефикасно управљање локалним јавним предузећима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F8D4C1" id="Text Box 723" o:spid="_x0000_s1437" style="position:absolute;margin-left:910.65pt;margin-top:8.4pt;width:173.15pt;height:36pt;z-index:25211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" fillcolor="white [3212]" strokecolor="#666d88" strokeweight="1.5pt">
                <v:textbox inset="0,0,0,0">
                  <w:txbxContent>
                    <w:p w14:paraId="3EEDFE9F" w14:textId="77777777" w:rsidR="00876FFE" w:rsidRPr="00D81F46" w:rsidRDefault="00876FFE" w:rsidP="00BC55F6">
                      <w:pPr>
                        <w:spacing w:before="0"/>
                        <w:jc w:val="center"/>
                        <w:rPr>
                          <w:rFonts w:asciiTheme="minorHAnsi" w:hAnsiTheme="minorHAnsi" w:cstheme="minorHAnsi"/>
                          <w:sz w:val="22"/>
                          <w:szCs w:val="22"/>
                        </w:rPr>
                      </w:pPr>
                      <w:r w:rsidRPr="00D81F46">
                        <w:rPr>
                          <w:rFonts w:asciiTheme="minorHAnsi" w:hAnsiTheme="minorHAnsi" w:cstheme="minorHAnsi"/>
                          <w:sz w:val="22"/>
                          <w:szCs w:val="22"/>
                        </w:rPr>
                        <w:t xml:space="preserve">Неефикасно </w:t>
                      </w:r>
                      <w:r w:rsidRPr="00D81F46">
                        <w:rPr>
                          <w:rFonts w:asciiTheme="minorHAnsi" w:hAnsiTheme="minorHAnsi" w:cstheme="minorHAnsi"/>
                          <w:sz w:val="22"/>
                          <w:szCs w:val="22"/>
                        </w:rPr>
                        <w:t>управљање локалним јавним предузећима</w:t>
                      </w:r>
                    </w:p>
                  </w:txbxContent>
                </v:textbox>
              </v:roundrect>
            </w:pict>
          </mc:Fallback>
        </mc:AlternateContent>
      </w:r>
    </w:p>
    <w:p w14:paraId="734F4BC2"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94976" behindDoc="0" locked="0" layoutInCell="1" allowOverlap="1" wp14:anchorId="017EBE56" wp14:editId="6524205F">
                <wp:simplePos x="0" y="0"/>
                <wp:positionH relativeFrom="column">
                  <wp:posOffset>-501015</wp:posOffset>
                </wp:positionH>
                <wp:positionV relativeFrom="paragraph">
                  <wp:posOffset>175804</wp:posOffset>
                </wp:positionV>
                <wp:extent cx="2199005" cy="652145"/>
                <wp:effectExtent l="0" t="0" r="10795" b="14605"/>
                <wp:wrapNone/>
                <wp:docPr id="707" name="Text Box 707"/>
                <wp:cNvGraphicFramePr/>
                <a:graphic xmlns:a="http://schemas.openxmlformats.org/drawingml/2006/main">
                  <a:graphicData uri="http://schemas.microsoft.com/office/word/2010/wordprocessingShape">
                    <wps:wsp>
                      <wps:cNvSpPr txBox="1"/>
                      <wps:spPr>
                        <a:xfrm>
                          <a:off x="0" y="0"/>
                          <a:ext cx="2199005" cy="652145"/>
                        </a:xfrm>
                        <a:prstGeom prst="roundRect">
                          <a:avLst/>
                        </a:prstGeom>
                        <a:solidFill>
                          <a:schemeClr val="bg1"/>
                        </a:solidFill>
                        <a:ln w="19050">
                          <a:solidFill>
                            <a:srgbClr val="666D88"/>
                          </a:solidFill>
                        </a:ln>
                        <a:effectLst/>
                      </wps:spPr>
                      <wps:txbx>
                        <w:txbxContent>
                          <w:p w14:paraId="4B4E01FD" w14:textId="77777777" w:rsidR="00876FFE" w:rsidRPr="00AC774E" w:rsidRDefault="00876FFE" w:rsidP="00BC55F6">
                            <w:pPr>
                              <w:spacing w:before="0"/>
                              <w:ind w:firstLine="0"/>
                              <w:jc w:val="center"/>
                              <w:rPr>
                                <w:rFonts w:asciiTheme="minorHAnsi" w:hAnsiTheme="minorHAnsi" w:cstheme="minorHAnsi"/>
                                <w:sz w:val="22"/>
                                <w:szCs w:val="22"/>
                              </w:rPr>
                            </w:pPr>
                            <w:r w:rsidRPr="00AC774E">
                              <w:rPr>
                                <w:rFonts w:asciiTheme="minorHAnsi" w:hAnsiTheme="minorHAnsi" w:cstheme="minorHAnsi"/>
                                <w:sz w:val="22"/>
                                <w:szCs w:val="22"/>
                              </w:rPr>
                              <w:t>Несразмера између величине ЈЛС и послова који су им додељени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7EBE56" id="Text Box 707" o:spid="_x0000_s1438" style="position:absolute;margin-left:-39.45pt;margin-top:13.85pt;width:173.15pt;height:51.35pt;z-index:25209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" fillcolor="white [3212]" strokecolor="#666d88" strokeweight="1.5pt">
                <v:textbox inset="0,0,0,0">
                  <w:txbxContent>
                    <w:p w14:paraId="4B4E01FD" w14:textId="77777777" w:rsidR="00876FFE" w:rsidRPr="00AC774E" w:rsidRDefault="00876FFE" w:rsidP="00BC55F6">
                      <w:pPr>
                        <w:spacing w:before="0"/>
                        <w:ind w:firstLine="0"/>
                        <w:jc w:val="center"/>
                        <w:rPr>
                          <w:rFonts w:asciiTheme="minorHAnsi" w:hAnsiTheme="minorHAnsi" w:cstheme="minorHAnsi"/>
                          <w:sz w:val="22"/>
                          <w:szCs w:val="22"/>
                        </w:rPr>
                      </w:pPr>
                      <w:r w:rsidRPr="00AC774E">
                        <w:rPr>
                          <w:rFonts w:asciiTheme="minorHAnsi" w:hAnsiTheme="minorHAnsi" w:cstheme="minorHAnsi"/>
                          <w:sz w:val="22"/>
                          <w:szCs w:val="22"/>
                        </w:rPr>
                        <w:t xml:space="preserve">Несразмера </w:t>
                      </w:r>
                      <w:r w:rsidRPr="00AC774E">
                        <w:rPr>
                          <w:rFonts w:asciiTheme="minorHAnsi" w:hAnsiTheme="minorHAnsi" w:cstheme="minorHAnsi"/>
                          <w:sz w:val="22"/>
                          <w:szCs w:val="22"/>
                        </w:rPr>
                        <w:t>између величине ЈЛС и послова који су им додељени</w:t>
                      </w:r>
                    </w:p>
                  </w:txbxContent>
                </v:textbox>
              </v:roundrect>
            </w:pict>
          </mc:Fallback>
        </mc:AlternateContent>
      </w:r>
    </w:p>
    <w:p w14:paraId="441A47B7"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85760" behindDoc="0" locked="0" layoutInCell="1" allowOverlap="1" wp14:anchorId="41220946" wp14:editId="35FAD0CD">
                <wp:simplePos x="0" y="0"/>
                <wp:positionH relativeFrom="column">
                  <wp:posOffset>4334256</wp:posOffset>
                </wp:positionH>
                <wp:positionV relativeFrom="paragraph">
                  <wp:posOffset>131445</wp:posOffset>
                </wp:positionV>
                <wp:extent cx="2199005" cy="644652"/>
                <wp:effectExtent l="0" t="0" r="10795" b="22225"/>
                <wp:wrapNone/>
                <wp:docPr id="675" name="Text Box 675"/>
                <wp:cNvGraphicFramePr/>
                <a:graphic xmlns:a="http://schemas.openxmlformats.org/drawingml/2006/main">
                  <a:graphicData uri="http://schemas.microsoft.com/office/word/2010/wordprocessingShape">
                    <wps:wsp>
                      <wps:cNvSpPr txBox="1"/>
                      <wps:spPr>
                        <a:xfrm>
                          <a:off x="0" y="0"/>
                          <a:ext cx="2199005" cy="644652"/>
                        </a:xfrm>
                        <a:prstGeom prst="roundRect">
                          <a:avLst/>
                        </a:prstGeom>
                        <a:solidFill>
                          <a:schemeClr val="bg1"/>
                        </a:solidFill>
                        <a:ln w="19050">
                          <a:solidFill>
                            <a:srgbClr val="666D88"/>
                          </a:solidFill>
                        </a:ln>
                        <a:effectLst/>
                      </wps:spPr>
                      <wps:txbx>
                        <w:txbxContent>
                          <w:p w14:paraId="0AAF13CA" w14:textId="77777777" w:rsidR="00876FFE" w:rsidRPr="00164DCB" w:rsidRDefault="00876FFE" w:rsidP="00BC55F6">
                            <w:pPr>
                              <w:spacing w:before="0" w:after="0" w:line="216" w:lineRule="auto"/>
                              <w:jc w:val="center"/>
                              <w:rPr>
                                <w:rFonts w:asciiTheme="minorHAnsi" w:hAnsiTheme="minorHAnsi" w:cstheme="minorHAnsi"/>
                                <w:sz w:val="22"/>
                                <w:szCs w:val="22"/>
                              </w:rPr>
                            </w:pPr>
                            <w:r w:rsidRPr="00164DCB">
                              <w:rPr>
                                <w:rFonts w:asciiTheme="minorHAnsi" w:hAnsiTheme="minorHAnsi" w:cstheme="minorHAnsi"/>
                                <w:sz w:val="22"/>
                                <w:szCs w:val="22"/>
                              </w:rPr>
                              <w:t>Неефика</w:t>
                            </w:r>
                            <w:r>
                              <w:rPr>
                                <w:rFonts w:asciiTheme="minorHAnsi" w:hAnsiTheme="minorHAnsi" w:cstheme="minorHAnsi"/>
                                <w:sz w:val="22"/>
                                <w:szCs w:val="22"/>
                              </w:rPr>
                              <w:t>сно и политизовано управљање јавно комуналним предузећима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1220946" id="Text Box 675" o:spid="_x0000_s1439" style="position:absolute;margin-left:341.3pt;margin-top:10.35pt;width:173.15pt;height:50.7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" fillcolor="white [3212]" strokecolor="#666d88" strokeweight="1.5pt">
                <v:textbox inset="0,0,0,0">
                  <w:txbxContent>
                    <w:p w14:paraId="0AAF13CA" w14:textId="77777777" w:rsidR="00876FFE" w:rsidRPr="00164DCB" w:rsidRDefault="00876FFE" w:rsidP="00BC55F6">
                      <w:pPr>
                        <w:spacing w:before="0" w:after="0" w:line="216" w:lineRule="auto"/>
                        <w:jc w:val="center"/>
                        <w:rPr>
                          <w:rFonts w:asciiTheme="minorHAnsi" w:hAnsiTheme="minorHAnsi" w:cstheme="minorHAnsi"/>
                          <w:sz w:val="22"/>
                          <w:szCs w:val="22"/>
                        </w:rPr>
                      </w:pPr>
                      <w:r w:rsidRPr="00164DCB">
                        <w:rPr>
                          <w:rFonts w:asciiTheme="minorHAnsi" w:hAnsiTheme="minorHAnsi" w:cstheme="minorHAnsi"/>
                          <w:sz w:val="22"/>
                          <w:szCs w:val="22"/>
                        </w:rPr>
                        <w:t>Неефика</w:t>
                      </w:r>
                      <w:r>
                        <w:rPr>
                          <w:rFonts w:asciiTheme="minorHAnsi" w:hAnsiTheme="minorHAnsi" w:cstheme="minorHAnsi"/>
                          <w:sz w:val="22"/>
                          <w:szCs w:val="22"/>
                        </w:rPr>
                        <w:t xml:space="preserve">сно </w:t>
                      </w:r>
                      <w:r>
                        <w:rPr>
                          <w:rFonts w:asciiTheme="minorHAnsi" w:hAnsiTheme="minorHAnsi" w:cstheme="minorHAnsi"/>
                          <w:sz w:val="22"/>
                          <w:szCs w:val="22"/>
                        </w:rPr>
                        <w:t>и политизовано управљање јавно комуналним предузећима</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04192" behindDoc="0" locked="0" layoutInCell="1" allowOverlap="1" wp14:anchorId="666C42A1" wp14:editId="72291EB6">
                <wp:simplePos x="0" y="0"/>
                <wp:positionH relativeFrom="column">
                  <wp:posOffset>9144000</wp:posOffset>
                </wp:positionH>
                <wp:positionV relativeFrom="paragraph">
                  <wp:posOffset>78528</wp:posOffset>
                </wp:positionV>
                <wp:extent cx="2203450" cy="643255"/>
                <wp:effectExtent l="0" t="0" r="25400" b="23495"/>
                <wp:wrapNone/>
                <wp:docPr id="717" name="Text Box 717"/>
                <wp:cNvGraphicFramePr/>
                <a:graphic xmlns:a="http://schemas.openxmlformats.org/drawingml/2006/main">
                  <a:graphicData uri="http://schemas.microsoft.com/office/word/2010/wordprocessingShape">
                    <wps:wsp>
                      <wps:cNvSpPr txBox="1"/>
                      <wps:spPr>
                        <a:xfrm>
                          <a:off x="0" y="0"/>
                          <a:ext cx="2203450" cy="643255"/>
                        </a:xfrm>
                        <a:prstGeom prst="roundRect">
                          <a:avLst/>
                        </a:prstGeom>
                        <a:solidFill>
                          <a:schemeClr val="bg1"/>
                        </a:solidFill>
                        <a:ln w="19050">
                          <a:solidFill>
                            <a:srgbClr val="666D88"/>
                          </a:solidFill>
                        </a:ln>
                        <a:effectLst/>
                      </wps:spPr>
                      <wps:txbx>
                        <w:txbxContent>
                          <w:p w14:paraId="7996EDCB" w14:textId="77777777" w:rsidR="00876FFE" w:rsidRPr="006E43E3" w:rsidRDefault="00876FFE" w:rsidP="00BC55F6">
                            <w:pPr>
                              <w:spacing w:before="0"/>
                              <w:jc w:val="center"/>
                              <w:rPr>
                                <w:rFonts w:asciiTheme="minorHAnsi" w:hAnsiTheme="minorHAnsi" w:cstheme="minorHAnsi"/>
                                <w:sz w:val="22"/>
                                <w:szCs w:val="22"/>
                              </w:rPr>
                            </w:pPr>
                            <w:r w:rsidRPr="006E43E3">
                              <w:rPr>
                                <w:rFonts w:asciiTheme="minorHAnsi" w:hAnsiTheme="minorHAnsi" w:cstheme="minorHAnsi"/>
                                <w:sz w:val="22"/>
                                <w:szCs w:val="22"/>
                              </w:rPr>
                              <w:t xml:space="preserve">Преношење надлежности без успостављених потребних </w:t>
                            </w:r>
                            <w:r w:rsidRPr="006E43E3">
                              <w:rPr>
                                <w:rFonts w:asciiTheme="minorHAnsi" w:hAnsiTheme="minorHAnsi" w:cstheme="minorHAnsi"/>
                                <w:sz w:val="22"/>
                                <w:szCs w:val="22"/>
                              </w:rPr>
                              <w:br/>
                              <w:t>људских капацитета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6C42A1" id="Text Box 717" o:spid="_x0000_s1440" style="position:absolute;margin-left:10in;margin-top:6.2pt;width:173.5pt;height:50.6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" fillcolor="white [3212]" strokecolor="#666d88" strokeweight="1.5pt">
                <v:textbox inset="0,0,0,0">
                  <w:txbxContent>
                    <w:p w14:paraId="7996EDCB" w14:textId="77777777" w:rsidR="00876FFE" w:rsidRPr="006E43E3" w:rsidRDefault="00876FFE" w:rsidP="00BC55F6">
                      <w:pPr>
                        <w:spacing w:before="0"/>
                        <w:jc w:val="center"/>
                        <w:rPr>
                          <w:rFonts w:asciiTheme="minorHAnsi" w:hAnsiTheme="minorHAnsi" w:cstheme="minorHAnsi"/>
                          <w:sz w:val="22"/>
                          <w:szCs w:val="22"/>
                        </w:rPr>
                      </w:pPr>
                      <w:r w:rsidRPr="006E43E3">
                        <w:rPr>
                          <w:rFonts w:asciiTheme="minorHAnsi" w:hAnsiTheme="minorHAnsi" w:cstheme="minorHAnsi"/>
                          <w:sz w:val="22"/>
                          <w:szCs w:val="22"/>
                        </w:rPr>
                        <w:t xml:space="preserve">Преношење надлежности без успостављених потребних </w:t>
                      </w:r>
                      <w:r w:rsidRPr="006E43E3">
                        <w:rPr>
                          <w:rFonts w:asciiTheme="minorHAnsi" w:hAnsiTheme="minorHAnsi" w:cstheme="minorHAnsi"/>
                          <w:sz w:val="22"/>
                          <w:szCs w:val="22"/>
                        </w:rPr>
                        <w:br/>
                        <w:t>људских капацитета</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01120" behindDoc="0" locked="0" layoutInCell="1" allowOverlap="1" wp14:anchorId="0FD30D57" wp14:editId="2E8C2EF2">
                <wp:simplePos x="0" y="0"/>
                <wp:positionH relativeFrom="column">
                  <wp:posOffset>6764655</wp:posOffset>
                </wp:positionH>
                <wp:positionV relativeFrom="paragraph">
                  <wp:posOffset>120438</wp:posOffset>
                </wp:positionV>
                <wp:extent cx="2199005" cy="406400"/>
                <wp:effectExtent l="0" t="0" r="10795" b="12700"/>
                <wp:wrapNone/>
                <wp:docPr id="710" name="Text Box 710"/>
                <wp:cNvGraphicFramePr/>
                <a:graphic xmlns:a="http://schemas.openxmlformats.org/drawingml/2006/main">
                  <a:graphicData uri="http://schemas.microsoft.com/office/word/2010/wordprocessingShape">
                    <wps:wsp>
                      <wps:cNvSpPr txBox="1"/>
                      <wps:spPr>
                        <a:xfrm>
                          <a:off x="0" y="0"/>
                          <a:ext cx="2199005" cy="406400"/>
                        </a:xfrm>
                        <a:prstGeom prst="roundRect">
                          <a:avLst/>
                        </a:prstGeom>
                        <a:solidFill>
                          <a:schemeClr val="bg1"/>
                        </a:solidFill>
                        <a:ln w="19050">
                          <a:solidFill>
                            <a:srgbClr val="666D88"/>
                          </a:solidFill>
                        </a:ln>
                        <a:effectLst/>
                      </wps:spPr>
                      <wps:txbx>
                        <w:txbxContent>
                          <w:p w14:paraId="2E2D748A" w14:textId="77777777" w:rsidR="00876FFE" w:rsidRPr="00434116" w:rsidRDefault="00876FFE" w:rsidP="00BC55F6">
                            <w:pPr>
                              <w:spacing w:before="0"/>
                              <w:jc w:val="center"/>
                              <w:rPr>
                                <w:rFonts w:asciiTheme="minorHAnsi" w:hAnsiTheme="minorHAnsi" w:cstheme="minorHAnsi"/>
                                <w:sz w:val="22"/>
                                <w:szCs w:val="22"/>
                              </w:rPr>
                            </w:pPr>
                            <w:r>
                              <w:rPr>
                                <w:rFonts w:asciiTheme="minorHAnsi" w:hAnsiTheme="minorHAnsi" w:cstheme="minorHAnsi"/>
                                <w:sz w:val="22"/>
                                <w:szCs w:val="22"/>
                              </w:rPr>
                              <w:t>Н</w:t>
                            </w:r>
                            <w:r w:rsidRPr="00434116">
                              <w:rPr>
                                <w:rFonts w:asciiTheme="minorHAnsi" w:hAnsiTheme="minorHAnsi" w:cstheme="minorHAnsi"/>
                                <w:sz w:val="22"/>
                                <w:szCs w:val="22"/>
                              </w:rPr>
                              <w:t>адзорна функција С</w:t>
                            </w:r>
                            <w:r>
                              <w:rPr>
                                <w:rFonts w:asciiTheme="minorHAnsi" w:hAnsiTheme="minorHAnsi" w:cstheme="minorHAnsi"/>
                                <w:sz w:val="22"/>
                                <w:szCs w:val="22"/>
                              </w:rPr>
                              <w:t>купштине општина није развијена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D30D57" id="Text Box 710" o:spid="_x0000_s1441" style="position:absolute;margin-left:532.65pt;margin-top:9.5pt;width:173.15pt;height:32pt;z-index:25210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" fillcolor="white [3212]" strokecolor="#666d88" strokeweight="1.5pt">
                <v:textbox inset="0,0,0,0">
                  <w:txbxContent>
                    <w:p w14:paraId="2E2D748A" w14:textId="77777777" w:rsidR="00876FFE" w:rsidRPr="00434116" w:rsidRDefault="00876FFE" w:rsidP="00BC55F6">
                      <w:pPr>
                        <w:spacing w:before="0"/>
                        <w:jc w:val="center"/>
                        <w:rPr>
                          <w:rFonts w:asciiTheme="minorHAnsi" w:hAnsiTheme="minorHAnsi" w:cstheme="minorHAnsi"/>
                          <w:sz w:val="22"/>
                          <w:szCs w:val="22"/>
                        </w:rPr>
                      </w:pPr>
                      <w:r>
                        <w:rPr>
                          <w:rFonts w:asciiTheme="minorHAnsi" w:hAnsiTheme="minorHAnsi" w:cstheme="minorHAnsi"/>
                          <w:sz w:val="22"/>
                          <w:szCs w:val="22"/>
                        </w:rPr>
                        <w:t>Н</w:t>
                      </w:r>
                      <w:r w:rsidRPr="00434116">
                        <w:rPr>
                          <w:rFonts w:asciiTheme="minorHAnsi" w:hAnsiTheme="minorHAnsi" w:cstheme="minorHAnsi"/>
                          <w:sz w:val="22"/>
                          <w:szCs w:val="22"/>
                        </w:rPr>
                        <w:t xml:space="preserve">адзорна </w:t>
                      </w:r>
                      <w:r w:rsidRPr="00434116">
                        <w:rPr>
                          <w:rFonts w:asciiTheme="minorHAnsi" w:hAnsiTheme="minorHAnsi" w:cstheme="minorHAnsi"/>
                          <w:sz w:val="22"/>
                          <w:szCs w:val="22"/>
                        </w:rPr>
                        <w:t>функција С</w:t>
                      </w:r>
                      <w:r>
                        <w:rPr>
                          <w:rFonts w:asciiTheme="minorHAnsi" w:hAnsiTheme="minorHAnsi" w:cstheme="minorHAnsi"/>
                          <w:sz w:val="22"/>
                          <w:szCs w:val="22"/>
                        </w:rPr>
                        <w:t>купштине општина није развијена</w:t>
                      </w:r>
                    </w:p>
                  </w:txbxContent>
                </v:textbox>
              </v:roundrect>
            </w:pict>
          </mc:Fallback>
        </mc:AlternateContent>
      </w: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81664" behindDoc="0" locked="0" layoutInCell="1" allowOverlap="1" wp14:anchorId="3483E3C9" wp14:editId="52F1B315">
                <wp:simplePos x="0" y="0"/>
                <wp:positionH relativeFrom="column">
                  <wp:posOffset>1915886</wp:posOffset>
                </wp:positionH>
                <wp:positionV relativeFrom="paragraph">
                  <wp:posOffset>13879</wp:posOffset>
                </wp:positionV>
                <wp:extent cx="2199005" cy="663031"/>
                <wp:effectExtent l="0" t="0" r="10795" b="22860"/>
                <wp:wrapNone/>
                <wp:docPr id="706" name="Text Box 706"/>
                <wp:cNvGraphicFramePr/>
                <a:graphic xmlns:a="http://schemas.openxmlformats.org/drawingml/2006/main">
                  <a:graphicData uri="http://schemas.microsoft.com/office/word/2010/wordprocessingShape">
                    <wps:wsp>
                      <wps:cNvSpPr txBox="1"/>
                      <wps:spPr>
                        <a:xfrm>
                          <a:off x="0" y="0"/>
                          <a:ext cx="2199005" cy="663031"/>
                        </a:xfrm>
                        <a:prstGeom prst="roundRect">
                          <a:avLst/>
                        </a:prstGeom>
                        <a:solidFill>
                          <a:schemeClr val="bg1"/>
                        </a:solidFill>
                        <a:ln w="19050">
                          <a:solidFill>
                            <a:srgbClr val="666D88"/>
                          </a:solidFill>
                        </a:ln>
                        <a:effectLst/>
                      </wps:spPr>
                      <wps:txbx>
                        <w:txbxContent>
                          <w:p w14:paraId="20DCAC46" w14:textId="77777777" w:rsidR="00876FFE" w:rsidRPr="00AC774E" w:rsidRDefault="00876FFE" w:rsidP="00BC55F6">
                            <w:pPr>
                              <w:spacing w:before="0"/>
                              <w:jc w:val="center"/>
                              <w:rPr>
                                <w:rFonts w:asciiTheme="minorHAnsi" w:hAnsiTheme="minorHAnsi" w:cstheme="minorHAnsi"/>
                                <w:sz w:val="22"/>
                                <w:szCs w:val="22"/>
                              </w:rPr>
                            </w:pPr>
                            <w:r w:rsidRPr="00AC774E">
                              <w:rPr>
                                <w:rFonts w:asciiTheme="minorHAnsi" w:hAnsiTheme="minorHAnsi" w:cstheme="minorHAnsi"/>
                                <w:sz w:val="22"/>
                                <w:szCs w:val="22"/>
                              </w:rPr>
                              <w:t>Одсуство примене принципа довољности прихода приликом</w:t>
                            </w:r>
                            <w:r>
                              <w:rPr>
                                <w:rFonts w:asciiTheme="minorHAnsi" w:hAnsiTheme="minorHAnsi" w:cstheme="minorHAnsi"/>
                                <w:sz w:val="22"/>
                                <w:szCs w:val="22"/>
                              </w:rPr>
                              <w:t xml:space="preserve"> </w:t>
                            </w:r>
                            <w:r w:rsidRPr="00AC774E">
                              <w:rPr>
                                <w:rFonts w:asciiTheme="minorHAnsi" w:hAnsiTheme="minorHAnsi" w:cstheme="minorHAnsi"/>
                                <w:sz w:val="22"/>
                                <w:szCs w:val="22"/>
                              </w:rPr>
                              <w:t>преношења послова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83E3C9" id="Text Box 706" o:spid="_x0000_s1442" style="position:absolute;margin-left:150.85pt;margin-top:1.1pt;width:173.15pt;height:52.2pt;z-index:25208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" fillcolor="white [3212]" strokecolor="#666d88" strokeweight="1.5pt">
                <v:textbox inset="0,0,0,0">
                  <w:txbxContent>
                    <w:p w14:paraId="20DCAC46" w14:textId="77777777" w:rsidR="00876FFE" w:rsidRPr="00AC774E" w:rsidRDefault="00876FFE" w:rsidP="00BC55F6">
                      <w:pPr>
                        <w:spacing w:before="0"/>
                        <w:jc w:val="center"/>
                        <w:rPr>
                          <w:rFonts w:asciiTheme="minorHAnsi" w:hAnsiTheme="minorHAnsi" w:cstheme="minorHAnsi"/>
                          <w:sz w:val="22"/>
                          <w:szCs w:val="22"/>
                        </w:rPr>
                      </w:pPr>
                      <w:r w:rsidRPr="00AC774E">
                        <w:rPr>
                          <w:rFonts w:asciiTheme="minorHAnsi" w:hAnsiTheme="minorHAnsi" w:cstheme="minorHAnsi"/>
                          <w:sz w:val="22"/>
                          <w:szCs w:val="22"/>
                        </w:rPr>
                        <w:t xml:space="preserve">Одсуство </w:t>
                      </w:r>
                      <w:r w:rsidRPr="00AC774E">
                        <w:rPr>
                          <w:rFonts w:asciiTheme="minorHAnsi" w:hAnsiTheme="minorHAnsi" w:cstheme="minorHAnsi"/>
                          <w:sz w:val="22"/>
                          <w:szCs w:val="22"/>
                        </w:rPr>
                        <w:t>примене принципа довољности прихода приликом</w:t>
                      </w:r>
                      <w:r>
                        <w:rPr>
                          <w:rFonts w:asciiTheme="minorHAnsi" w:hAnsiTheme="minorHAnsi" w:cstheme="minorHAnsi"/>
                          <w:sz w:val="22"/>
                          <w:szCs w:val="22"/>
                        </w:rPr>
                        <w:t xml:space="preserve"> </w:t>
                      </w:r>
                      <w:r w:rsidRPr="00AC774E">
                        <w:rPr>
                          <w:rFonts w:asciiTheme="minorHAnsi" w:hAnsiTheme="minorHAnsi" w:cstheme="minorHAnsi"/>
                          <w:sz w:val="22"/>
                          <w:szCs w:val="22"/>
                        </w:rPr>
                        <w:t>преношења послова</w:t>
                      </w:r>
                    </w:p>
                  </w:txbxContent>
                </v:textbox>
              </v:roundrect>
            </w:pict>
          </mc:Fallback>
        </mc:AlternateContent>
      </w:r>
    </w:p>
    <w:p w14:paraId="3F3E033C"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p>
    <w:p w14:paraId="490EE0C6" w14:textId="77777777" w:rsidR="00BC55F6" w:rsidRPr="000F0299" w:rsidRDefault="00BC55F6" w:rsidP="00BC55F6">
      <w:pPr>
        <w:suppressAutoHyphens w:val="0"/>
        <w:autoSpaceDN/>
        <w:spacing w:before="0" w:after="0"/>
        <w:ind w:firstLine="0"/>
        <w:jc w:val="left"/>
        <w:textAlignment w:val="auto"/>
        <w:rPr>
          <w:rFonts w:ascii="Calibri" w:eastAsia="Times New Roman" w:hAnsi="Calibri"/>
          <w:kern w:val="0"/>
          <w:sz w:val="20"/>
          <w:szCs w:val="20"/>
          <w:lang w:eastAsia="en-US" w:bidi="ar-SA"/>
        </w:rPr>
      </w:pPr>
      <w:r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11360" behindDoc="0" locked="0" layoutInCell="1" allowOverlap="1" wp14:anchorId="51DADB4D" wp14:editId="1D701D2C">
                <wp:simplePos x="0" y="0"/>
                <wp:positionH relativeFrom="column">
                  <wp:posOffset>11565255</wp:posOffset>
                </wp:positionH>
                <wp:positionV relativeFrom="paragraph">
                  <wp:posOffset>72178</wp:posOffset>
                </wp:positionV>
                <wp:extent cx="2199005" cy="753110"/>
                <wp:effectExtent l="0" t="0" r="10795" b="27940"/>
                <wp:wrapNone/>
                <wp:docPr id="718" name="Text Box 718"/>
                <wp:cNvGraphicFramePr/>
                <a:graphic xmlns:a="http://schemas.openxmlformats.org/drawingml/2006/main">
                  <a:graphicData uri="http://schemas.microsoft.com/office/word/2010/wordprocessingShape">
                    <wps:wsp>
                      <wps:cNvSpPr txBox="1"/>
                      <wps:spPr>
                        <a:xfrm>
                          <a:off x="0" y="0"/>
                          <a:ext cx="2199005" cy="753110"/>
                        </a:xfrm>
                        <a:prstGeom prst="roundRect">
                          <a:avLst/>
                        </a:prstGeom>
                        <a:solidFill>
                          <a:schemeClr val="bg1"/>
                        </a:solidFill>
                        <a:ln w="19050">
                          <a:solidFill>
                            <a:srgbClr val="666D88"/>
                          </a:solidFill>
                        </a:ln>
                        <a:effectLst/>
                      </wps:spPr>
                      <wps:txbx>
                        <w:txbxContent>
                          <w:p w14:paraId="4CC9C09C" w14:textId="77777777" w:rsidR="00876FFE" w:rsidRPr="00D81F46" w:rsidRDefault="00876FFE" w:rsidP="00BC55F6">
                            <w:pPr>
                              <w:spacing w:before="0"/>
                              <w:jc w:val="center"/>
                              <w:rPr>
                                <w:rFonts w:asciiTheme="minorHAnsi" w:hAnsiTheme="minorHAnsi" w:cstheme="minorHAnsi"/>
                                <w:sz w:val="22"/>
                                <w:szCs w:val="22"/>
                              </w:rPr>
                            </w:pPr>
                            <w:r w:rsidRPr="00D81F46">
                              <w:rPr>
                                <w:rFonts w:asciiTheme="minorHAnsi" w:hAnsiTheme="minorHAnsi" w:cstheme="minorHAnsi"/>
                                <w:spacing w:val="-4"/>
                                <w:sz w:val="22"/>
                                <w:szCs w:val="22"/>
                              </w:rPr>
                              <w:t>Неодговарајући систем организације</w:t>
                            </w:r>
                            <w:r w:rsidRPr="00D81F46">
                              <w:rPr>
                                <w:rFonts w:asciiTheme="minorHAnsi" w:hAnsiTheme="minorHAnsi" w:cstheme="minorHAnsi"/>
                                <w:sz w:val="22"/>
                                <w:szCs w:val="22"/>
                              </w:rPr>
                              <w:t xml:space="preserve"> и управљања процесима и резултатима рада локалне управе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1DADB4D" id="Text Box 718" o:spid="_x0000_s1443" style="position:absolute;margin-left:910.65pt;margin-top:5.7pt;width:173.15pt;height:59.3pt;z-index:25211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" fillcolor="white [3212]" strokecolor="#666d88" strokeweight="1.5pt">
                <v:textbox inset="0,0,0,0">
                  <w:txbxContent>
                    <w:p w14:paraId="4CC9C09C" w14:textId="77777777" w:rsidR="00876FFE" w:rsidRPr="00D81F46" w:rsidRDefault="00876FFE" w:rsidP="00BC55F6">
                      <w:pPr>
                        <w:spacing w:before="0"/>
                        <w:jc w:val="center"/>
                        <w:rPr>
                          <w:rFonts w:asciiTheme="minorHAnsi" w:hAnsiTheme="minorHAnsi" w:cstheme="minorHAnsi"/>
                          <w:sz w:val="22"/>
                          <w:szCs w:val="22"/>
                        </w:rPr>
                      </w:pPr>
                      <w:r w:rsidRPr="00D81F46">
                        <w:rPr>
                          <w:rFonts w:asciiTheme="minorHAnsi" w:hAnsiTheme="minorHAnsi" w:cstheme="minorHAnsi"/>
                          <w:spacing w:val="-4"/>
                          <w:sz w:val="22"/>
                          <w:szCs w:val="22"/>
                        </w:rPr>
                        <w:t xml:space="preserve">Неодговарајући </w:t>
                      </w:r>
                      <w:r w:rsidRPr="00D81F46">
                        <w:rPr>
                          <w:rFonts w:asciiTheme="minorHAnsi" w:hAnsiTheme="minorHAnsi" w:cstheme="minorHAnsi"/>
                          <w:spacing w:val="-4"/>
                          <w:sz w:val="22"/>
                          <w:szCs w:val="22"/>
                        </w:rPr>
                        <w:t>систем организације</w:t>
                      </w:r>
                      <w:r w:rsidRPr="00D81F46">
                        <w:rPr>
                          <w:rFonts w:asciiTheme="minorHAnsi" w:hAnsiTheme="minorHAnsi" w:cstheme="minorHAnsi"/>
                          <w:sz w:val="22"/>
                          <w:szCs w:val="22"/>
                        </w:rPr>
                        <w:t xml:space="preserve"> и управљања процесима и резултатима рада локалне управе</w:t>
                      </w:r>
                    </w:p>
                  </w:txbxContent>
                </v:textbox>
              </v:roundrect>
            </w:pict>
          </mc:Fallback>
        </mc:AlternateContent>
      </w:r>
    </w:p>
    <w:p w14:paraId="5AD1ECD0" w14:textId="5F96BADA" w:rsidR="00BC55F6" w:rsidRPr="000F0299" w:rsidRDefault="00BB48C1" w:rsidP="00BC55F6">
      <w:pPr>
        <w:tabs>
          <w:tab w:val="left" w:pos="12560"/>
        </w:tabs>
        <w:suppressAutoHyphens w:val="0"/>
        <w:autoSpaceDN/>
        <w:spacing w:before="0" w:after="0"/>
        <w:ind w:firstLine="0"/>
        <w:jc w:val="left"/>
        <w:textAlignment w:val="auto"/>
        <w:rPr>
          <w:rFonts w:ascii="Calibri" w:eastAsia="Times New Roman" w:hAnsi="Calibri"/>
          <w:kern w:val="0"/>
          <w:sz w:val="20"/>
          <w:szCs w:val="20"/>
          <w:lang w:eastAsia="en-US" w:bidi="ar-SA"/>
        </w:rPr>
      </w:pPr>
      <w:r>
        <w:rPr>
          <w:noProof/>
          <w:lang w:val="en-US" w:eastAsia="en-US" w:bidi="ar-SA"/>
        </w:rPr>
        <mc:AlternateContent>
          <mc:Choice Requires="wps">
            <w:drawing>
              <wp:anchor distT="0" distB="0" distL="114300" distR="114300" simplePos="0" relativeHeight="252161536" behindDoc="0" locked="0" layoutInCell="1" allowOverlap="1" wp14:anchorId="5640E181" wp14:editId="4EC5739F">
                <wp:simplePos x="0" y="0"/>
                <wp:positionH relativeFrom="column">
                  <wp:posOffset>6887603</wp:posOffset>
                </wp:positionH>
                <wp:positionV relativeFrom="paragraph">
                  <wp:posOffset>2640060</wp:posOffset>
                </wp:positionV>
                <wp:extent cx="4479902" cy="635"/>
                <wp:effectExtent l="0" t="0" r="0" b="8255"/>
                <wp:wrapNone/>
                <wp:docPr id="166" name="Text Box 166"/>
                <wp:cNvGraphicFramePr/>
                <a:graphic xmlns:a="http://schemas.openxmlformats.org/drawingml/2006/main">
                  <a:graphicData uri="http://schemas.microsoft.com/office/word/2010/wordprocessingShape">
                    <wps:wsp>
                      <wps:cNvSpPr txBox="1"/>
                      <wps:spPr>
                        <a:xfrm>
                          <a:off x="0" y="0"/>
                          <a:ext cx="4479902" cy="635"/>
                        </a:xfrm>
                        <a:prstGeom prst="rect">
                          <a:avLst/>
                        </a:prstGeom>
                        <a:solidFill>
                          <a:prstClr val="white"/>
                        </a:solidFill>
                        <a:ln>
                          <a:noFill/>
                        </a:ln>
                      </wps:spPr>
                      <wps:txbx>
                        <w:txbxContent>
                          <w:p w14:paraId="7948767A" w14:textId="7FBBE714" w:rsidR="00876FFE" w:rsidRPr="00BB48C1" w:rsidRDefault="00876FFE" w:rsidP="00BB48C1">
                            <w:pPr>
                              <w:pStyle w:val="Caption"/>
                              <w:rPr>
                                <w:rFonts w:ascii="Calibri" w:eastAsiaTheme="minorHAnsi" w:hAnsi="Calibri"/>
                                <w:i w:val="0"/>
                                <w:iCs w:val="0"/>
                                <w:noProof/>
                                <w:sz w:val="20"/>
                              </w:rPr>
                            </w:pPr>
                            <w:bookmarkStart w:id="278" w:name="_Toc57665370"/>
                            <w:r w:rsidRPr="00BB48C1">
                              <w:rPr>
                                <w:i w:val="0"/>
                                <w:iCs w:val="0"/>
                              </w:rPr>
                              <w:t xml:space="preserve">Графикон </w:t>
                            </w:r>
                            <w:r w:rsidRPr="00BB48C1">
                              <w:rPr>
                                <w:i w:val="0"/>
                                <w:iCs w:val="0"/>
                              </w:rPr>
                              <w:fldChar w:fldCharType="begin"/>
                            </w:r>
                            <w:r w:rsidRPr="00BB48C1">
                              <w:rPr>
                                <w:i w:val="0"/>
                                <w:iCs w:val="0"/>
                              </w:rPr>
                              <w:instrText xml:space="preserve"> SEQ Графикон \* ARABIC </w:instrText>
                            </w:r>
                            <w:r w:rsidRPr="00BB48C1">
                              <w:rPr>
                                <w:i w:val="0"/>
                                <w:iCs w:val="0"/>
                              </w:rPr>
                              <w:fldChar w:fldCharType="separate"/>
                            </w:r>
                            <w:r w:rsidRPr="00BB48C1">
                              <w:rPr>
                                <w:i w:val="0"/>
                                <w:iCs w:val="0"/>
                                <w:noProof/>
                              </w:rPr>
                              <w:t>34</w:t>
                            </w:r>
                            <w:r w:rsidRPr="00BB48C1">
                              <w:rPr>
                                <w:i w:val="0"/>
                                <w:iCs w:val="0"/>
                              </w:rPr>
                              <w:fldChar w:fldCharType="end"/>
                            </w:r>
                            <w:r w:rsidRPr="00BB48C1">
                              <w:rPr>
                                <w:i w:val="0"/>
                                <w:iCs w:val="0"/>
                              </w:rPr>
                              <w:t xml:space="preserve"> Дрво проблема – Систем локалне самоуправе</w:t>
                            </w:r>
                            <w:bookmarkEnd w:id="2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40E181" id="Text Box 166" o:spid="_x0000_s1444" type="#_x0000_t202" style="position:absolute;margin-left:542.35pt;margin-top:207.9pt;width:352.75pt;height:.05pt;z-index:25216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" stroked="f">
                <v:textbox style="mso-fit-shape-to-text:t" inset="0,0,0,0">
                  <w:txbxContent>
                    <w:p w14:paraId="7948767A" w14:textId="7FBBE714" w:rsidR="00876FFE" w:rsidRPr="00BB48C1" w:rsidRDefault="00876FFE" w:rsidP="00BB48C1">
                      <w:pPr>
                        <w:pStyle w:val="Caption"/>
                        <w:rPr>
                          <w:rFonts w:ascii="Calibri" w:eastAsiaTheme="minorHAnsi" w:hAnsi="Calibri"/>
                          <w:i w:val="0"/>
                          <w:iCs w:val="0"/>
                          <w:noProof/>
                          <w:sz w:val="20"/>
                        </w:rPr>
                      </w:pPr>
                      <w:bookmarkStart w:id="301" w:name="_Toc57665370"/>
                      <w:r w:rsidRPr="00BB48C1">
                        <w:rPr>
                          <w:i w:val="0"/>
                          <w:iCs w:val="0"/>
                        </w:rPr>
                        <w:t xml:space="preserve">Графикон </w:t>
                      </w:r>
                      <w:r w:rsidRPr="00BB48C1">
                        <w:rPr>
                          <w:i w:val="0"/>
                          <w:iCs w:val="0"/>
                        </w:rPr>
                        <w:fldChar w:fldCharType="begin"/>
                      </w:r>
                      <w:r w:rsidRPr="00BB48C1">
                        <w:rPr>
                          <w:i w:val="0"/>
                          <w:iCs w:val="0"/>
                        </w:rPr>
                        <w:instrText xml:space="preserve"> SEQ Графикон \* ARABIC </w:instrText>
                      </w:r>
                      <w:r w:rsidRPr="00BB48C1">
                        <w:rPr>
                          <w:i w:val="0"/>
                          <w:iCs w:val="0"/>
                        </w:rPr>
                        <w:fldChar w:fldCharType="separate"/>
                      </w:r>
                      <w:r w:rsidRPr="00BB48C1">
                        <w:rPr>
                          <w:i w:val="0"/>
                          <w:iCs w:val="0"/>
                          <w:noProof/>
                        </w:rPr>
                        <w:t>34</w:t>
                      </w:r>
                      <w:r w:rsidRPr="00BB48C1">
                        <w:rPr>
                          <w:i w:val="0"/>
                          <w:iCs w:val="0"/>
                        </w:rPr>
                        <w:fldChar w:fldCharType="end"/>
                      </w:r>
                      <w:r w:rsidRPr="00BB48C1">
                        <w:rPr>
                          <w:i w:val="0"/>
                          <w:iCs w:val="0"/>
                        </w:rPr>
                        <w:t xml:space="preserve"> Дрво проблема – Систем локалне самоуправе</w:t>
                      </w:r>
                      <w:bookmarkEnd w:id="301"/>
                    </w:p>
                  </w:txbxContent>
                </v:textbox>
              </v:shape>
            </w:pict>
          </mc:Fallback>
        </mc:AlternateContent>
      </w:r>
      <w:r>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47200" behindDoc="0" locked="0" layoutInCell="1" allowOverlap="1" wp14:anchorId="4825F13E" wp14:editId="3698011E">
                <wp:simplePos x="0" y="0"/>
                <wp:positionH relativeFrom="column">
                  <wp:posOffset>4335177</wp:posOffset>
                </wp:positionH>
                <wp:positionV relativeFrom="paragraph">
                  <wp:posOffset>2758472</wp:posOffset>
                </wp:positionV>
                <wp:extent cx="2199005" cy="437515"/>
                <wp:effectExtent l="0" t="0" r="10795" b="19685"/>
                <wp:wrapNone/>
                <wp:docPr id="733" name="Text Box 733"/>
                <wp:cNvGraphicFramePr/>
                <a:graphic xmlns:a="http://schemas.openxmlformats.org/drawingml/2006/main">
                  <a:graphicData uri="http://schemas.microsoft.com/office/word/2010/wordprocessingShape">
                    <wps:wsp>
                      <wps:cNvSpPr txBox="1"/>
                      <wps:spPr>
                        <a:xfrm>
                          <a:off x="0" y="0"/>
                          <a:ext cx="2199005" cy="437515"/>
                        </a:xfrm>
                        <a:prstGeom prst="roundRect">
                          <a:avLst/>
                        </a:prstGeom>
                        <a:solidFill>
                          <a:schemeClr val="bg1"/>
                        </a:solidFill>
                        <a:ln w="19050">
                          <a:solidFill>
                            <a:srgbClr val="666D88"/>
                          </a:solidFill>
                        </a:ln>
                        <a:effectLst/>
                      </wps:spPr>
                      <wps:txbx>
                        <w:txbxContent>
                          <w:p w14:paraId="15C91227" w14:textId="77777777" w:rsidR="00876FFE" w:rsidRPr="00164DCB" w:rsidRDefault="00876FFE" w:rsidP="00BC55F6">
                            <w:pPr>
                              <w:spacing w:before="0" w:after="0" w:line="216" w:lineRule="auto"/>
                              <w:jc w:val="center"/>
                              <w:rPr>
                                <w:rFonts w:asciiTheme="minorHAnsi" w:hAnsiTheme="minorHAnsi" w:cstheme="minorHAnsi"/>
                                <w:spacing w:val="-10"/>
                                <w:sz w:val="22"/>
                                <w:szCs w:val="22"/>
                              </w:rPr>
                            </w:pPr>
                            <w:r w:rsidRPr="00164DCB">
                              <w:rPr>
                                <w:rFonts w:asciiTheme="minorHAnsi" w:hAnsiTheme="minorHAnsi" w:cstheme="minorHAnsi"/>
                                <w:sz w:val="22"/>
                                <w:szCs w:val="22"/>
                              </w:rPr>
                              <w:t xml:space="preserve">Недовољна  транспарентност </w:t>
                            </w:r>
                            <w:r w:rsidRPr="00164DCB">
                              <w:rPr>
                                <w:rFonts w:asciiTheme="minorHAnsi" w:hAnsiTheme="minorHAnsi" w:cstheme="minorHAnsi"/>
                                <w:spacing w:val="-10"/>
                                <w:sz w:val="22"/>
                                <w:szCs w:val="22"/>
                              </w:rPr>
                              <w:t>и одговорност локалних  органа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25F13E" id="Text Box 733" o:spid="_x0000_s1445" style="position:absolute;margin-left:341.35pt;margin-top:217.2pt;width:173.15pt;height:34.45pt;z-index:252147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" fillcolor="white [3212]" strokecolor="#666d88" strokeweight="1.5pt">
                <v:textbox inset="0,0,0,0">
                  <w:txbxContent>
                    <w:p w14:paraId="15C91227" w14:textId="77777777" w:rsidR="00876FFE" w:rsidRPr="00164DCB" w:rsidRDefault="00876FFE" w:rsidP="00BC55F6">
                      <w:pPr>
                        <w:spacing w:before="0" w:after="0" w:line="216" w:lineRule="auto"/>
                        <w:jc w:val="center"/>
                        <w:rPr>
                          <w:rFonts w:asciiTheme="minorHAnsi" w:hAnsiTheme="minorHAnsi" w:cstheme="minorHAnsi"/>
                          <w:spacing w:val="-10"/>
                          <w:sz w:val="22"/>
                          <w:szCs w:val="22"/>
                        </w:rPr>
                      </w:pPr>
                      <w:r w:rsidRPr="00164DCB">
                        <w:rPr>
                          <w:rFonts w:asciiTheme="minorHAnsi" w:hAnsiTheme="minorHAnsi" w:cstheme="minorHAnsi"/>
                          <w:sz w:val="22"/>
                          <w:szCs w:val="22"/>
                        </w:rPr>
                        <w:t xml:space="preserve">Недовољна  транспарентност </w:t>
                      </w:r>
                      <w:r w:rsidRPr="00164DCB">
                        <w:rPr>
                          <w:rFonts w:asciiTheme="minorHAnsi" w:hAnsiTheme="minorHAnsi" w:cstheme="minorHAnsi"/>
                          <w:spacing w:val="-10"/>
                          <w:sz w:val="22"/>
                          <w:szCs w:val="22"/>
                        </w:rPr>
                        <w:t>и одговорност локалних  органа</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12384" behindDoc="0" locked="0" layoutInCell="1" allowOverlap="1" wp14:anchorId="4EC06CED" wp14:editId="586F8DF6">
                <wp:simplePos x="0" y="0"/>
                <wp:positionH relativeFrom="column">
                  <wp:posOffset>11567160</wp:posOffset>
                </wp:positionH>
                <wp:positionV relativeFrom="paragraph">
                  <wp:posOffset>808990</wp:posOffset>
                </wp:positionV>
                <wp:extent cx="2199005" cy="557784"/>
                <wp:effectExtent l="0" t="0" r="10795" b="13970"/>
                <wp:wrapNone/>
                <wp:docPr id="722" name="Text Box 722"/>
                <wp:cNvGraphicFramePr/>
                <a:graphic xmlns:a="http://schemas.openxmlformats.org/drawingml/2006/main">
                  <a:graphicData uri="http://schemas.microsoft.com/office/word/2010/wordprocessingShape">
                    <wps:wsp>
                      <wps:cNvSpPr txBox="1"/>
                      <wps:spPr>
                        <a:xfrm>
                          <a:off x="0" y="0"/>
                          <a:ext cx="2199005" cy="557784"/>
                        </a:xfrm>
                        <a:prstGeom prst="roundRect">
                          <a:avLst/>
                        </a:prstGeom>
                        <a:solidFill>
                          <a:schemeClr val="bg1"/>
                        </a:solidFill>
                        <a:ln w="19050">
                          <a:solidFill>
                            <a:srgbClr val="666D88"/>
                          </a:solidFill>
                        </a:ln>
                        <a:effectLst/>
                      </wps:spPr>
                      <wps:txbx>
                        <w:txbxContent>
                          <w:p w14:paraId="72EF0FF0" w14:textId="77777777" w:rsidR="00876FFE" w:rsidRPr="00D81F46" w:rsidRDefault="00876FFE" w:rsidP="00BC55F6">
                            <w:pPr>
                              <w:spacing w:before="0" w:after="0"/>
                              <w:jc w:val="center"/>
                              <w:rPr>
                                <w:rFonts w:asciiTheme="minorHAnsi" w:hAnsiTheme="minorHAnsi" w:cstheme="minorHAnsi"/>
                                <w:sz w:val="22"/>
                                <w:szCs w:val="22"/>
                              </w:rPr>
                            </w:pPr>
                            <w:r>
                              <w:rPr>
                                <w:rFonts w:asciiTheme="minorHAnsi" w:hAnsiTheme="minorHAnsi" w:cstheme="minorHAnsi"/>
                                <w:sz w:val="22"/>
                                <w:szCs w:val="22"/>
                              </w:rPr>
                              <w:t>Непотпуно извршавање послова локалне самоуправе</w:t>
                            </w:r>
                            <w:r w:rsidRPr="00D81F46">
                              <w:rPr>
                                <w:rFonts w:asciiTheme="minorHAnsi" w:hAnsiTheme="minorHAnsi" w:cstheme="minorHAnsi"/>
                                <w:sz w:val="22"/>
                                <w:szCs w:val="22"/>
                              </w:rPr>
                              <w:t xml:space="preserve"> у свим ЈЛС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C06CED" id="Text Box 722" o:spid="_x0000_s1446" style="position:absolute;margin-left:910.8pt;margin-top:63.7pt;width:173.15pt;height:43.9pt;z-index:25211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" fillcolor="white [3212]" strokecolor="#666d88" strokeweight="1.5pt">
                <v:textbox inset="0,0,0,0">
                  <w:txbxContent>
                    <w:p w14:paraId="72EF0FF0" w14:textId="77777777" w:rsidR="00876FFE" w:rsidRPr="00D81F46" w:rsidRDefault="00876FFE" w:rsidP="00BC55F6">
                      <w:pPr>
                        <w:spacing w:before="0" w:after="0"/>
                        <w:jc w:val="center"/>
                        <w:rPr>
                          <w:rFonts w:asciiTheme="minorHAnsi" w:hAnsiTheme="minorHAnsi" w:cstheme="minorHAnsi"/>
                          <w:sz w:val="22"/>
                          <w:szCs w:val="22"/>
                        </w:rPr>
                      </w:pPr>
                      <w:r>
                        <w:rPr>
                          <w:rFonts w:asciiTheme="minorHAnsi" w:hAnsiTheme="minorHAnsi" w:cstheme="minorHAnsi"/>
                          <w:sz w:val="22"/>
                          <w:szCs w:val="22"/>
                        </w:rPr>
                        <w:t xml:space="preserve">Непотпуно </w:t>
                      </w:r>
                      <w:r>
                        <w:rPr>
                          <w:rFonts w:asciiTheme="minorHAnsi" w:hAnsiTheme="minorHAnsi" w:cstheme="minorHAnsi"/>
                          <w:sz w:val="22"/>
                          <w:szCs w:val="22"/>
                        </w:rPr>
                        <w:t>извршавање послова локалне самоуправе</w:t>
                      </w:r>
                      <w:r w:rsidRPr="00D81F46">
                        <w:rPr>
                          <w:rFonts w:asciiTheme="minorHAnsi" w:hAnsiTheme="minorHAnsi" w:cstheme="minorHAnsi"/>
                          <w:sz w:val="22"/>
                          <w:szCs w:val="22"/>
                        </w:rPr>
                        <w:t xml:space="preserve"> у свим ЈЛС</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14432" behindDoc="0" locked="0" layoutInCell="1" allowOverlap="1" wp14:anchorId="20BDB0BE" wp14:editId="5ED962BC">
                <wp:simplePos x="0" y="0"/>
                <wp:positionH relativeFrom="column">
                  <wp:posOffset>11567160</wp:posOffset>
                </wp:positionH>
                <wp:positionV relativeFrom="paragraph">
                  <wp:posOffset>1851406</wp:posOffset>
                </wp:positionV>
                <wp:extent cx="2199005" cy="386715"/>
                <wp:effectExtent l="0" t="0" r="10795" b="13335"/>
                <wp:wrapNone/>
                <wp:docPr id="721" name="Text Box 721"/>
                <wp:cNvGraphicFramePr/>
                <a:graphic xmlns:a="http://schemas.openxmlformats.org/drawingml/2006/main">
                  <a:graphicData uri="http://schemas.microsoft.com/office/word/2010/wordprocessingShape">
                    <wps:wsp>
                      <wps:cNvSpPr txBox="1"/>
                      <wps:spPr>
                        <a:xfrm>
                          <a:off x="0" y="0"/>
                          <a:ext cx="2199005" cy="386715"/>
                        </a:xfrm>
                        <a:prstGeom prst="roundRect">
                          <a:avLst/>
                        </a:prstGeom>
                        <a:solidFill>
                          <a:schemeClr val="bg1"/>
                        </a:solidFill>
                        <a:ln w="19050">
                          <a:solidFill>
                            <a:srgbClr val="666D88"/>
                          </a:solidFill>
                        </a:ln>
                        <a:effectLst/>
                      </wps:spPr>
                      <wps:txbx>
                        <w:txbxContent>
                          <w:p w14:paraId="58436046" w14:textId="77777777" w:rsidR="00876FFE" w:rsidRDefault="00876FFE" w:rsidP="00BC55F6">
                            <w:pPr>
                              <w:spacing w:before="0" w:after="0"/>
                              <w:jc w:val="center"/>
                              <w:rPr>
                                <w:rFonts w:asciiTheme="minorHAnsi" w:hAnsiTheme="minorHAnsi" w:cstheme="minorHAnsi"/>
                                <w:sz w:val="22"/>
                                <w:szCs w:val="22"/>
                              </w:rPr>
                            </w:pPr>
                            <w:r>
                              <w:rPr>
                                <w:rFonts w:asciiTheme="minorHAnsi" w:hAnsiTheme="minorHAnsi" w:cstheme="minorHAnsi"/>
                                <w:sz w:val="22"/>
                                <w:szCs w:val="22"/>
                              </w:rPr>
                              <w:t>Слаби резултати у локалном</w:t>
                            </w:r>
                          </w:p>
                          <w:p w14:paraId="2BD14176" w14:textId="77777777" w:rsidR="00876FFE" w:rsidRPr="00D81F46" w:rsidRDefault="00876FFE" w:rsidP="00BC55F6">
                            <w:pPr>
                              <w:spacing w:before="0" w:after="0"/>
                              <w:jc w:val="center"/>
                              <w:rPr>
                                <w:rFonts w:asciiTheme="minorHAnsi" w:hAnsiTheme="minorHAnsi" w:cstheme="minorHAnsi"/>
                                <w:sz w:val="22"/>
                                <w:szCs w:val="22"/>
                              </w:rPr>
                            </w:pPr>
                            <w:r>
                              <w:rPr>
                                <w:rFonts w:asciiTheme="minorHAnsi" w:hAnsiTheme="minorHAnsi" w:cstheme="minorHAnsi"/>
                                <w:sz w:val="22"/>
                                <w:szCs w:val="22"/>
                              </w:rPr>
                              <w:t>економском развоју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BDB0BE" id="Text Box 721" o:spid="_x0000_s1447" style="position:absolute;margin-left:910.8pt;margin-top:145.8pt;width:173.15pt;height:30.45pt;z-index:25211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" fillcolor="white [3212]" strokecolor="#666d88" strokeweight="1.5pt">
                <v:textbox inset="0,0,0,0">
                  <w:txbxContent>
                    <w:p w14:paraId="58436046" w14:textId="77777777" w:rsidR="00876FFE" w:rsidRDefault="00876FFE" w:rsidP="00BC55F6">
                      <w:pPr>
                        <w:spacing w:before="0" w:after="0"/>
                        <w:jc w:val="center"/>
                        <w:rPr>
                          <w:rFonts w:asciiTheme="minorHAnsi" w:hAnsiTheme="minorHAnsi" w:cstheme="minorHAnsi"/>
                          <w:sz w:val="22"/>
                          <w:szCs w:val="22"/>
                        </w:rPr>
                      </w:pPr>
                      <w:r>
                        <w:rPr>
                          <w:rFonts w:asciiTheme="minorHAnsi" w:hAnsiTheme="minorHAnsi" w:cstheme="minorHAnsi"/>
                          <w:sz w:val="22"/>
                          <w:szCs w:val="22"/>
                        </w:rPr>
                        <w:t xml:space="preserve">Слаби </w:t>
                      </w:r>
                      <w:r>
                        <w:rPr>
                          <w:rFonts w:asciiTheme="minorHAnsi" w:hAnsiTheme="minorHAnsi" w:cstheme="minorHAnsi"/>
                          <w:sz w:val="22"/>
                          <w:szCs w:val="22"/>
                        </w:rPr>
                        <w:t>резултати у локалном</w:t>
                      </w:r>
                    </w:p>
                    <w:p w14:paraId="2BD14176" w14:textId="77777777" w:rsidR="00876FFE" w:rsidRPr="00D81F46" w:rsidRDefault="00876FFE" w:rsidP="00BC55F6">
                      <w:pPr>
                        <w:spacing w:before="0" w:after="0"/>
                        <w:jc w:val="center"/>
                        <w:rPr>
                          <w:rFonts w:asciiTheme="minorHAnsi" w:hAnsiTheme="minorHAnsi" w:cstheme="minorHAnsi"/>
                          <w:sz w:val="22"/>
                          <w:szCs w:val="22"/>
                        </w:rPr>
                      </w:pPr>
                      <w:r>
                        <w:rPr>
                          <w:rFonts w:asciiTheme="minorHAnsi" w:hAnsiTheme="minorHAnsi" w:cstheme="minorHAnsi"/>
                          <w:sz w:val="22"/>
                          <w:szCs w:val="22"/>
                        </w:rPr>
                        <w:t>економском развоју</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15456" behindDoc="0" locked="0" layoutInCell="1" allowOverlap="1" wp14:anchorId="31778FDA" wp14:editId="716B42BF">
                <wp:simplePos x="0" y="0"/>
                <wp:positionH relativeFrom="column">
                  <wp:posOffset>11539855</wp:posOffset>
                </wp:positionH>
                <wp:positionV relativeFrom="paragraph">
                  <wp:posOffset>2309918</wp:posOffset>
                </wp:positionV>
                <wp:extent cx="2199005" cy="457200"/>
                <wp:effectExtent l="0" t="0" r="10795" b="19050"/>
                <wp:wrapNone/>
                <wp:docPr id="720" name="Text Box 720"/>
                <wp:cNvGraphicFramePr/>
                <a:graphic xmlns:a="http://schemas.openxmlformats.org/drawingml/2006/main">
                  <a:graphicData uri="http://schemas.microsoft.com/office/word/2010/wordprocessingShape">
                    <wps:wsp>
                      <wps:cNvSpPr txBox="1"/>
                      <wps:spPr>
                        <a:xfrm>
                          <a:off x="0" y="0"/>
                          <a:ext cx="2199005" cy="457200"/>
                        </a:xfrm>
                        <a:prstGeom prst="roundRect">
                          <a:avLst/>
                        </a:prstGeom>
                        <a:solidFill>
                          <a:schemeClr val="bg1"/>
                        </a:solidFill>
                        <a:ln w="19050">
                          <a:solidFill>
                            <a:srgbClr val="666D88"/>
                          </a:solidFill>
                        </a:ln>
                        <a:effectLst/>
                      </wps:spPr>
                      <wps:txbx>
                        <w:txbxContent>
                          <w:p w14:paraId="2EDAD387" w14:textId="77777777" w:rsidR="00876FFE" w:rsidRPr="00D81F46" w:rsidRDefault="00876FFE" w:rsidP="00BC55F6">
                            <w:pPr>
                              <w:spacing w:before="0"/>
                              <w:ind w:firstLine="0"/>
                              <w:jc w:val="center"/>
                              <w:rPr>
                                <w:rFonts w:asciiTheme="minorHAnsi" w:hAnsiTheme="minorHAnsi" w:cstheme="minorHAnsi"/>
                                <w:sz w:val="22"/>
                                <w:szCs w:val="22"/>
                              </w:rPr>
                            </w:pPr>
                            <w:r w:rsidRPr="00D81F46">
                              <w:rPr>
                                <w:rFonts w:asciiTheme="minorHAnsi" w:hAnsiTheme="minorHAnsi" w:cstheme="minorHAnsi"/>
                                <w:sz w:val="22"/>
                                <w:szCs w:val="22"/>
                              </w:rPr>
                              <w:t>Неефикасне административне процедуре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778FDA" id="Text Box 720" o:spid="_x0000_s1448" style="position:absolute;margin-left:908.65pt;margin-top:181.9pt;width:173.15pt;height:36pt;z-index:25211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" fillcolor="white [3212]" strokecolor="#666d88" strokeweight="1.5pt">
                <v:textbox inset="0,0,0,0">
                  <w:txbxContent>
                    <w:p w14:paraId="2EDAD387" w14:textId="77777777" w:rsidR="00876FFE" w:rsidRPr="00D81F46" w:rsidRDefault="00876FFE" w:rsidP="00BC55F6">
                      <w:pPr>
                        <w:spacing w:before="0"/>
                        <w:ind w:firstLine="0"/>
                        <w:jc w:val="center"/>
                        <w:rPr>
                          <w:rFonts w:asciiTheme="minorHAnsi" w:hAnsiTheme="minorHAnsi" w:cstheme="minorHAnsi"/>
                          <w:sz w:val="22"/>
                          <w:szCs w:val="22"/>
                        </w:rPr>
                      </w:pPr>
                      <w:r w:rsidRPr="00D81F46">
                        <w:rPr>
                          <w:rFonts w:asciiTheme="minorHAnsi" w:hAnsiTheme="minorHAnsi" w:cstheme="minorHAnsi"/>
                          <w:sz w:val="22"/>
                          <w:szCs w:val="22"/>
                        </w:rPr>
                        <w:t xml:space="preserve">Неефикасне </w:t>
                      </w:r>
                      <w:r w:rsidRPr="00D81F46">
                        <w:rPr>
                          <w:rFonts w:asciiTheme="minorHAnsi" w:hAnsiTheme="minorHAnsi" w:cstheme="minorHAnsi"/>
                          <w:sz w:val="22"/>
                          <w:szCs w:val="22"/>
                        </w:rPr>
                        <w:t>административне процедуре</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13408" behindDoc="0" locked="0" layoutInCell="1" allowOverlap="1" wp14:anchorId="09183F53" wp14:editId="3AEC98C4">
                <wp:simplePos x="0" y="0"/>
                <wp:positionH relativeFrom="column">
                  <wp:posOffset>11570970</wp:posOffset>
                </wp:positionH>
                <wp:positionV relativeFrom="paragraph">
                  <wp:posOffset>1422612</wp:posOffset>
                </wp:positionV>
                <wp:extent cx="2199005" cy="295910"/>
                <wp:effectExtent l="0" t="0" r="10795" b="27940"/>
                <wp:wrapNone/>
                <wp:docPr id="719" name="Text Box 719"/>
                <wp:cNvGraphicFramePr/>
                <a:graphic xmlns:a="http://schemas.openxmlformats.org/drawingml/2006/main">
                  <a:graphicData uri="http://schemas.microsoft.com/office/word/2010/wordprocessingShape">
                    <wps:wsp>
                      <wps:cNvSpPr txBox="1"/>
                      <wps:spPr>
                        <a:xfrm>
                          <a:off x="0" y="0"/>
                          <a:ext cx="2199005" cy="295910"/>
                        </a:xfrm>
                        <a:prstGeom prst="roundRect">
                          <a:avLst/>
                        </a:prstGeom>
                        <a:solidFill>
                          <a:schemeClr val="bg1"/>
                        </a:solidFill>
                        <a:ln w="19050">
                          <a:solidFill>
                            <a:srgbClr val="666D88"/>
                          </a:solidFill>
                        </a:ln>
                        <a:effectLst/>
                      </wps:spPr>
                      <wps:txbx>
                        <w:txbxContent>
                          <w:p w14:paraId="1BF19B37" w14:textId="77777777" w:rsidR="00876FFE" w:rsidRPr="00D81F46" w:rsidRDefault="00876FFE" w:rsidP="00BC55F6">
                            <w:pPr>
                              <w:spacing w:before="0"/>
                              <w:ind w:firstLine="0"/>
                              <w:jc w:val="center"/>
                              <w:rPr>
                                <w:rFonts w:asciiTheme="minorHAnsi" w:hAnsiTheme="minorHAnsi" w:cstheme="minorHAnsi"/>
                                <w:sz w:val="22"/>
                                <w:szCs w:val="22"/>
                              </w:rPr>
                            </w:pPr>
                            <w:r w:rsidRPr="00D81F46">
                              <w:rPr>
                                <w:rFonts w:asciiTheme="minorHAnsi" w:hAnsiTheme="minorHAnsi" w:cstheme="minorHAnsi"/>
                                <w:sz w:val="22"/>
                                <w:szCs w:val="22"/>
                              </w:rPr>
                              <w:t>Застарелост инфраструктуре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183F53" id="Text Box 719" o:spid="_x0000_s1449" style="position:absolute;margin-left:911.1pt;margin-top:112pt;width:173.15pt;height:23.3pt;z-index:25211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" fillcolor="white [3212]" strokecolor="#666d88" strokeweight="1.5pt">
                <v:textbox inset="0,0,0,0">
                  <w:txbxContent>
                    <w:p w14:paraId="1BF19B37" w14:textId="77777777" w:rsidR="00876FFE" w:rsidRPr="00D81F46" w:rsidRDefault="00876FFE" w:rsidP="00BC55F6">
                      <w:pPr>
                        <w:spacing w:before="0"/>
                        <w:ind w:firstLine="0"/>
                        <w:jc w:val="center"/>
                        <w:rPr>
                          <w:rFonts w:asciiTheme="minorHAnsi" w:hAnsiTheme="minorHAnsi" w:cstheme="minorHAnsi"/>
                          <w:sz w:val="22"/>
                          <w:szCs w:val="22"/>
                        </w:rPr>
                      </w:pPr>
                      <w:r w:rsidRPr="00D81F46">
                        <w:rPr>
                          <w:rFonts w:asciiTheme="minorHAnsi" w:hAnsiTheme="minorHAnsi" w:cstheme="minorHAnsi"/>
                          <w:sz w:val="22"/>
                          <w:szCs w:val="22"/>
                        </w:rPr>
                        <w:t xml:space="preserve">Застарелост </w:t>
                      </w:r>
                      <w:r w:rsidRPr="00D81F46">
                        <w:rPr>
                          <w:rFonts w:asciiTheme="minorHAnsi" w:hAnsiTheme="minorHAnsi" w:cstheme="minorHAnsi"/>
                          <w:sz w:val="22"/>
                          <w:szCs w:val="22"/>
                        </w:rPr>
                        <w:t>инфраструктуре</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07264" behindDoc="0" locked="0" layoutInCell="1" allowOverlap="1" wp14:anchorId="39E86174" wp14:editId="21AD68F4">
                <wp:simplePos x="0" y="0"/>
                <wp:positionH relativeFrom="column">
                  <wp:posOffset>9144000</wp:posOffset>
                </wp:positionH>
                <wp:positionV relativeFrom="paragraph">
                  <wp:posOffset>1871557</wp:posOffset>
                </wp:positionV>
                <wp:extent cx="2203450" cy="508000"/>
                <wp:effectExtent l="0" t="0" r="25400" b="25400"/>
                <wp:wrapNone/>
                <wp:docPr id="715" name="Text Box 715"/>
                <wp:cNvGraphicFramePr/>
                <a:graphic xmlns:a="http://schemas.openxmlformats.org/drawingml/2006/main">
                  <a:graphicData uri="http://schemas.microsoft.com/office/word/2010/wordprocessingShape">
                    <wps:wsp>
                      <wps:cNvSpPr txBox="1"/>
                      <wps:spPr>
                        <a:xfrm>
                          <a:off x="0" y="0"/>
                          <a:ext cx="2203450" cy="508000"/>
                        </a:xfrm>
                        <a:prstGeom prst="roundRect">
                          <a:avLst/>
                        </a:prstGeom>
                        <a:solidFill>
                          <a:schemeClr val="bg1"/>
                        </a:solidFill>
                        <a:ln w="19050">
                          <a:solidFill>
                            <a:srgbClr val="666D88"/>
                          </a:solidFill>
                        </a:ln>
                        <a:effectLst/>
                      </wps:spPr>
                      <wps:txbx>
                        <w:txbxContent>
                          <w:p w14:paraId="1EDC5729" w14:textId="77777777" w:rsidR="00876FFE" w:rsidRPr="006E43E3" w:rsidRDefault="00876FFE" w:rsidP="00BC55F6">
                            <w:pPr>
                              <w:spacing w:before="0" w:after="0"/>
                              <w:ind w:firstLine="0"/>
                              <w:jc w:val="center"/>
                              <w:rPr>
                                <w:rFonts w:asciiTheme="minorHAnsi" w:hAnsiTheme="minorHAnsi" w:cstheme="minorHAnsi"/>
                                <w:sz w:val="22"/>
                                <w:szCs w:val="22"/>
                              </w:rPr>
                            </w:pPr>
                            <w:r w:rsidRPr="006E43E3">
                              <w:rPr>
                                <w:rFonts w:asciiTheme="minorHAnsi" w:hAnsiTheme="minorHAnsi" w:cstheme="minorHAnsi"/>
                                <w:sz w:val="22"/>
                                <w:szCs w:val="22"/>
                              </w:rPr>
                              <w:t>Ограничавање запошљавања и недостатак стручних кадрова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E86174" id="Text Box 715" o:spid="_x0000_s1450" style="position:absolute;margin-left:10in;margin-top:147.35pt;width:173.5pt;height:40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" fillcolor="white [3212]" strokecolor="#666d88" strokeweight="1.5pt">
                <v:textbox inset="0,0,0,0">
                  <w:txbxContent>
                    <w:p w14:paraId="1EDC5729" w14:textId="77777777" w:rsidR="00876FFE" w:rsidRPr="006E43E3" w:rsidRDefault="00876FFE" w:rsidP="00BC55F6">
                      <w:pPr>
                        <w:spacing w:before="0" w:after="0"/>
                        <w:ind w:firstLine="0"/>
                        <w:jc w:val="center"/>
                        <w:rPr>
                          <w:rFonts w:asciiTheme="minorHAnsi" w:hAnsiTheme="minorHAnsi" w:cstheme="minorHAnsi"/>
                          <w:sz w:val="22"/>
                          <w:szCs w:val="22"/>
                        </w:rPr>
                      </w:pPr>
                      <w:r w:rsidRPr="006E43E3">
                        <w:rPr>
                          <w:rFonts w:asciiTheme="minorHAnsi" w:hAnsiTheme="minorHAnsi" w:cstheme="minorHAnsi"/>
                          <w:sz w:val="22"/>
                          <w:szCs w:val="22"/>
                        </w:rPr>
                        <w:t xml:space="preserve">Ограничавање </w:t>
                      </w:r>
                      <w:r w:rsidRPr="006E43E3">
                        <w:rPr>
                          <w:rFonts w:asciiTheme="minorHAnsi" w:hAnsiTheme="minorHAnsi" w:cstheme="minorHAnsi"/>
                          <w:sz w:val="22"/>
                          <w:szCs w:val="22"/>
                        </w:rPr>
                        <w:t>запошљавања и недостатак стручних кадрова</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06240" behindDoc="0" locked="0" layoutInCell="1" allowOverlap="1" wp14:anchorId="585D19B8" wp14:editId="14A012A3">
                <wp:simplePos x="0" y="0"/>
                <wp:positionH relativeFrom="column">
                  <wp:posOffset>9144000</wp:posOffset>
                </wp:positionH>
                <wp:positionV relativeFrom="paragraph">
                  <wp:posOffset>1178348</wp:posOffset>
                </wp:positionV>
                <wp:extent cx="2203450" cy="549910"/>
                <wp:effectExtent l="0" t="0" r="25400" b="21590"/>
                <wp:wrapNone/>
                <wp:docPr id="714" name="Text Box 714"/>
                <wp:cNvGraphicFramePr/>
                <a:graphic xmlns:a="http://schemas.openxmlformats.org/drawingml/2006/main">
                  <a:graphicData uri="http://schemas.microsoft.com/office/word/2010/wordprocessingShape">
                    <wps:wsp>
                      <wps:cNvSpPr txBox="1"/>
                      <wps:spPr>
                        <a:xfrm>
                          <a:off x="0" y="0"/>
                          <a:ext cx="2203450" cy="549910"/>
                        </a:xfrm>
                        <a:prstGeom prst="roundRect">
                          <a:avLst/>
                        </a:prstGeom>
                        <a:solidFill>
                          <a:schemeClr val="bg1"/>
                        </a:solidFill>
                        <a:ln w="19050">
                          <a:solidFill>
                            <a:srgbClr val="666D88"/>
                          </a:solidFill>
                        </a:ln>
                        <a:effectLst/>
                      </wps:spPr>
                      <wps:txbx>
                        <w:txbxContent>
                          <w:p w14:paraId="060892FE" w14:textId="77777777" w:rsidR="00876FFE" w:rsidRPr="006E43E3" w:rsidRDefault="00876FFE" w:rsidP="00BC55F6">
                            <w:pPr>
                              <w:spacing w:before="0"/>
                              <w:ind w:firstLine="0"/>
                              <w:jc w:val="center"/>
                              <w:rPr>
                                <w:rFonts w:asciiTheme="minorHAnsi" w:hAnsiTheme="minorHAnsi" w:cstheme="minorHAnsi"/>
                                <w:sz w:val="22"/>
                                <w:szCs w:val="22"/>
                              </w:rPr>
                            </w:pPr>
                            <w:r w:rsidRPr="006E43E3">
                              <w:rPr>
                                <w:rFonts w:asciiTheme="minorHAnsi" w:hAnsiTheme="minorHAnsi" w:cstheme="minorHAnsi"/>
                                <w:sz w:val="22"/>
                                <w:szCs w:val="22"/>
                              </w:rPr>
                              <w:t>Недоследна примена политике каријерног развоја по заслугама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5D19B8" id="Text Box 714" o:spid="_x0000_s1451" style="position:absolute;margin-left:10in;margin-top:92.8pt;width:173.5pt;height:43.3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" fillcolor="white [3212]" strokecolor="#666d88" strokeweight="1.5pt">
                <v:textbox inset="0,0,0,0">
                  <w:txbxContent>
                    <w:p w14:paraId="060892FE" w14:textId="77777777" w:rsidR="00876FFE" w:rsidRPr="006E43E3" w:rsidRDefault="00876FFE" w:rsidP="00BC55F6">
                      <w:pPr>
                        <w:spacing w:before="0"/>
                        <w:ind w:firstLine="0"/>
                        <w:jc w:val="center"/>
                        <w:rPr>
                          <w:rFonts w:asciiTheme="minorHAnsi" w:hAnsiTheme="minorHAnsi" w:cstheme="minorHAnsi"/>
                          <w:sz w:val="22"/>
                          <w:szCs w:val="22"/>
                        </w:rPr>
                      </w:pPr>
                      <w:r w:rsidRPr="006E43E3">
                        <w:rPr>
                          <w:rFonts w:asciiTheme="minorHAnsi" w:hAnsiTheme="minorHAnsi" w:cstheme="minorHAnsi"/>
                          <w:sz w:val="22"/>
                          <w:szCs w:val="22"/>
                        </w:rPr>
                        <w:t xml:space="preserve">Недоследна </w:t>
                      </w:r>
                      <w:r w:rsidRPr="006E43E3">
                        <w:rPr>
                          <w:rFonts w:asciiTheme="minorHAnsi" w:hAnsiTheme="minorHAnsi" w:cstheme="minorHAnsi"/>
                          <w:sz w:val="22"/>
                          <w:szCs w:val="22"/>
                        </w:rPr>
                        <w:t>примена политике каријерног развоја по заслугама</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05216" behindDoc="0" locked="0" layoutInCell="1" allowOverlap="1" wp14:anchorId="3E3AB36D" wp14:editId="5BF7C151">
                <wp:simplePos x="0" y="0"/>
                <wp:positionH relativeFrom="column">
                  <wp:posOffset>9118600</wp:posOffset>
                </wp:positionH>
                <wp:positionV relativeFrom="paragraph">
                  <wp:posOffset>400473</wp:posOffset>
                </wp:positionV>
                <wp:extent cx="2203450" cy="635000"/>
                <wp:effectExtent l="0" t="0" r="25400" b="12700"/>
                <wp:wrapNone/>
                <wp:docPr id="716" name="Text Box 716"/>
                <wp:cNvGraphicFramePr/>
                <a:graphic xmlns:a="http://schemas.openxmlformats.org/drawingml/2006/main">
                  <a:graphicData uri="http://schemas.microsoft.com/office/word/2010/wordprocessingShape">
                    <wps:wsp>
                      <wps:cNvSpPr txBox="1"/>
                      <wps:spPr>
                        <a:xfrm>
                          <a:off x="0" y="0"/>
                          <a:ext cx="2203450" cy="635000"/>
                        </a:xfrm>
                        <a:prstGeom prst="roundRect">
                          <a:avLst/>
                        </a:prstGeom>
                        <a:solidFill>
                          <a:schemeClr val="bg1"/>
                        </a:solidFill>
                        <a:ln w="19050">
                          <a:solidFill>
                            <a:srgbClr val="666D88"/>
                          </a:solidFill>
                        </a:ln>
                        <a:effectLst/>
                      </wps:spPr>
                      <wps:txbx>
                        <w:txbxContent>
                          <w:p w14:paraId="11FBDE9C" w14:textId="77777777" w:rsidR="00876FFE" w:rsidRPr="006E43E3" w:rsidRDefault="00876FFE" w:rsidP="00BC55F6">
                            <w:pPr>
                              <w:spacing w:before="0"/>
                              <w:ind w:firstLine="0"/>
                              <w:jc w:val="center"/>
                              <w:rPr>
                                <w:rFonts w:asciiTheme="minorHAnsi" w:hAnsiTheme="minorHAnsi" w:cstheme="minorHAnsi"/>
                                <w:sz w:val="22"/>
                                <w:szCs w:val="22"/>
                              </w:rPr>
                            </w:pPr>
                            <w:r w:rsidRPr="006E43E3">
                              <w:rPr>
                                <w:rFonts w:asciiTheme="minorHAnsi" w:hAnsiTheme="minorHAnsi" w:cstheme="minorHAnsi"/>
                                <w:sz w:val="22"/>
                                <w:szCs w:val="22"/>
                              </w:rPr>
                              <w:t xml:space="preserve">Неодговарајућа </w:t>
                            </w:r>
                            <w:r w:rsidRPr="006E43E3">
                              <w:rPr>
                                <w:rFonts w:asciiTheme="minorHAnsi" w:hAnsiTheme="minorHAnsi" w:cstheme="minorHAnsi"/>
                                <w:spacing w:val="-6"/>
                                <w:sz w:val="22"/>
                                <w:szCs w:val="22"/>
                              </w:rPr>
                              <w:t>организација и управљање</w:t>
                            </w:r>
                            <w:r w:rsidRPr="006E43E3">
                              <w:rPr>
                                <w:rFonts w:asciiTheme="minorHAnsi" w:hAnsiTheme="minorHAnsi" w:cstheme="minorHAnsi"/>
                                <w:sz w:val="22"/>
                                <w:szCs w:val="22"/>
                              </w:rPr>
                              <w:t xml:space="preserve"> процесима и резултатима рада локалне управе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3AB36D" id="Text Box 716" o:spid="_x0000_s1452" style="position:absolute;margin-left:718pt;margin-top:31.55pt;width:173.5pt;height:50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" fillcolor="white [3212]" strokecolor="#666d88" strokeweight="1.5pt">
                <v:textbox inset="0,0,0,0">
                  <w:txbxContent>
                    <w:p w14:paraId="11FBDE9C" w14:textId="77777777" w:rsidR="00876FFE" w:rsidRPr="006E43E3" w:rsidRDefault="00876FFE" w:rsidP="00BC55F6">
                      <w:pPr>
                        <w:spacing w:before="0"/>
                        <w:ind w:firstLine="0"/>
                        <w:jc w:val="center"/>
                        <w:rPr>
                          <w:rFonts w:asciiTheme="minorHAnsi" w:hAnsiTheme="minorHAnsi" w:cstheme="minorHAnsi"/>
                          <w:sz w:val="22"/>
                          <w:szCs w:val="22"/>
                        </w:rPr>
                      </w:pPr>
                      <w:r w:rsidRPr="006E43E3">
                        <w:rPr>
                          <w:rFonts w:asciiTheme="minorHAnsi" w:hAnsiTheme="minorHAnsi" w:cstheme="minorHAnsi"/>
                          <w:sz w:val="22"/>
                          <w:szCs w:val="22"/>
                        </w:rPr>
                        <w:t xml:space="preserve">Неодговарајућа </w:t>
                      </w:r>
                      <w:r w:rsidRPr="006E43E3">
                        <w:rPr>
                          <w:rFonts w:asciiTheme="minorHAnsi" w:hAnsiTheme="minorHAnsi" w:cstheme="minorHAnsi"/>
                          <w:spacing w:val="-6"/>
                          <w:sz w:val="22"/>
                          <w:szCs w:val="22"/>
                        </w:rPr>
                        <w:t>организација и управљање</w:t>
                      </w:r>
                      <w:r w:rsidRPr="006E43E3">
                        <w:rPr>
                          <w:rFonts w:asciiTheme="minorHAnsi" w:hAnsiTheme="minorHAnsi" w:cstheme="minorHAnsi"/>
                          <w:sz w:val="22"/>
                          <w:szCs w:val="22"/>
                        </w:rPr>
                        <w:t xml:space="preserve"> процесима и резултатима рада локалне управе</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97024" behindDoc="0" locked="0" layoutInCell="1" allowOverlap="1" wp14:anchorId="072BECAB" wp14:editId="4AC032EA">
                <wp:simplePos x="0" y="0"/>
                <wp:positionH relativeFrom="column">
                  <wp:posOffset>6764655</wp:posOffset>
                </wp:positionH>
                <wp:positionV relativeFrom="paragraph">
                  <wp:posOffset>830368</wp:posOffset>
                </wp:positionV>
                <wp:extent cx="2199005" cy="414655"/>
                <wp:effectExtent l="0" t="0" r="10795" b="23495"/>
                <wp:wrapNone/>
                <wp:docPr id="712" name="Text Box 712"/>
                <wp:cNvGraphicFramePr/>
                <a:graphic xmlns:a="http://schemas.openxmlformats.org/drawingml/2006/main">
                  <a:graphicData uri="http://schemas.microsoft.com/office/word/2010/wordprocessingShape">
                    <wps:wsp>
                      <wps:cNvSpPr txBox="1"/>
                      <wps:spPr>
                        <a:xfrm>
                          <a:off x="0" y="0"/>
                          <a:ext cx="2199005" cy="414655"/>
                        </a:xfrm>
                        <a:prstGeom prst="roundRect">
                          <a:avLst/>
                        </a:prstGeom>
                        <a:solidFill>
                          <a:schemeClr val="bg1"/>
                        </a:solidFill>
                        <a:ln w="19050">
                          <a:solidFill>
                            <a:srgbClr val="666D88"/>
                          </a:solidFill>
                        </a:ln>
                        <a:effectLst/>
                      </wps:spPr>
                      <wps:txbx>
                        <w:txbxContent>
                          <w:p w14:paraId="0697D354" w14:textId="77777777" w:rsidR="00876FFE" w:rsidRPr="00434116" w:rsidRDefault="00876FFE" w:rsidP="00BC55F6">
                            <w:pPr>
                              <w:spacing w:before="0"/>
                              <w:jc w:val="center"/>
                              <w:rPr>
                                <w:rFonts w:asciiTheme="minorHAnsi" w:hAnsiTheme="minorHAnsi" w:cstheme="minorHAnsi"/>
                                <w:sz w:val="22"/>
                                <w:szCs w:val="22"/>
                              </w:rPr>
                            </w:pPr>
                            <w:r w:rsidRPr="00434116">
                              <w:rPr>
                                <w:rFonts w:asciiTheme="minorHAnsi" w:hAnsiTheme="minorHAnsi" w:cstheme="minorHAnsi"/>
                                <w:sz w:val="22"/>
                                <w:szCs w:val="22"/>
                              </w:rPr>
                              <w:t>Несистематичан</w:t>
                            </w:r>
                            <w:r>
                              <w:rPr>
                                <w:rFonts w:asciiTheme="minorHAnsi" w:hAnsiTheme="minorHAnsi" w:cstheme="minorHAnsi"/>
                                <w:sz w:val="22"/>
                                <w:szCs w:val="22"/>
                              </w:rPr>
                              <w:t>, повремен</w:t>
                            </w:r>
                            <w:r w:rsidRPr="00434116">
                              <w:rPr>
                                <w:rFonts w:asciiTheme="minorHAnsi" w:hAnsiTheme="minorHAnsi" w:cstheme="minorHAnsi"/>
                                <w:sz w:val="22"/>
                                <w:szCs w:val="22"/>
                              </w:rPr>
                              <w:t xml:space="preserve"> и накнадни надзор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2BECAB" id="Text Box 712" o:spid="_x0000_s1453" style="position:absolute;margin-left:532.65pt;margin-top:65.4pt;width:173.15pt;height:32.65pt;z-index:25209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" fillcolor="white [3212]" strokecolor="#666d88" strokeweight="1.5pt">
                <v:textbox inset="0,0,0,0">
                  <w:txbxContent>
                    <w:p w14:paraId="0697D354" w14:textId="77777777" w:rsidR="00876FFE" w:rsidRPr="00434116" w:rsidRDefault="00876FFE" w:rsidP="00BC55F6">
                      <w:pPr>
                        <w:spacing w:before="0"/>
                        <w:jc w:val="center"/>
                        <w:rPr>
                          <w:rFonts w:asciiTheme="minorHAnsi" w:hAnsiTheme="minorHAnsi" w:cstheme="minorHAnsi"/>
                          <w:sz w:val="22"/>
                          <w:szCs w:val="22"/>
                        </w:rPr>
                      </w:pPr>
                      <w:r w:rsidRPr="00434116">
                        <w:rPr>
                          <w:rFonts w:asciiTheme="minorHAnsi" w:hAnsiTheme="minorHAnsi" w:cstheme="minorHAnsi"/>
                          <w:sz w:val="22"/>
                          <w:szCs w:val="22"/>
                        </w:rPr>
                        <w:t>Несистематичан</w:t>
                      </w:r>
                      <w:r>
                        <w:rPr>
                          <w:rFonts w:asciiTheme="minorHAnsi" w:hAnsiTheme="minorHAnsi" w:cstheme="minorHAnsi"/>
                          <w:sz w:val="22"/>
                          <w:szCs w:val="22"/>
                        </w:rPr>
                        <w:t xml:space="preserve">, </w:t>
                      </w:r>
                      <w:r>
                        <w:rPr>
                          <w:rFonts w:asciiTheme="minorHAnsi" w:hAnsiTheme="minorHAnsi" w:cstheme="minorHAnsi"/>
                          <w:sz w:val="22"/>
                          <w:szCs w:val="22"/>
                        </w:rPr>
                        <w:t>повремен</w:t>
                      </w:r>
                      <w:r w:rsidRPr="00434116">
                        <w:rPr>
                          <w:rFonts w:asciiTheme="minorHAnsi" w:hAnsiTheme="minorHAnsi" w:cstheme="minorHAnsi"/>
                          <w:sz w:val="22"/>
                          <w:szCs w:val="22"/>
                        </w:rPr>
                        <w:t xml:space="preserve"> и накнадни надзор</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98048" behindDoc="0" locked="0" layoutInCell="1" allowOverlap="1" wp14:anchorId="4A457BD3" wp14:editId="4A6E29D4">
                <wp:simplePos x="0" y="0"/>
                <wp:positionH relativeFrom="column">
                  <wp:posOffset>6764655</wp:posOffset>
                </wp:positionH>
                <wp:positionV relativeFrom="paragraph">
                  <wp:posOffset>206798</wp:posOffset>
                </wp:positionV>
                <wp:extent cx="2199005" cy="490855"/>
                <wp:effectExtent l="0" t="0" r="10795" b="23495"/>
                <wp:wrapNone/>
                <wp:docPr id="711" name="Text Box 711"/>
                <wp:cNvGraphicFramePr/>
                <a:graphic xmlns:a="http://schemas.openxmlformats.org/drawingml/2006/main">
                  <a:graphicData uri="http://schemas.microsoft.com/office/word/2010/wordprocessingShape">
                    <wps:wsp>
                      <wps:cNvSpPr txBox="1"/>
                      <wps:spPr>
                        <a:xfrm>
                          <a:off x="0" y="0"/>
                          <a:ext cx="2199005" cy="490855"/>
                        </a:xfrm>
                        <a:prstGeom prst="roundRect">
                          <a:avLst/>
                        </a:prstGeom>
                        <a:solidFill>
                          <a:schemeClr val="bg1"/>
                        </a:solidFill>
                        <a:ln w="19050">
                          <a:solidFill>
                            <a:srgbClr val="666D88"/>
                          </a:solidFill>
                        </a:ln>
                        <a:effectLst/>
                      </wps:spPr>
                      <wps:txbx>
                        <w:txbxContent>
                          <w:p w14:paraId="0992EA07" w14:textId="77777777" w:rsidR="00876FFE" w:rsidRPr="00434116" w:rsidRDefault="00876FFE" w:rsidP="00BC55F6">
                            <w:pPr>
                              <w:spacing w:before="0"/>
                              <w:jc w:val="center"/>
                              <w:rPr>
                                <w:rFonts w:asciiTheme="minorHAnsi" w:hAnsiTheme="minorHAnsi" w:cstheme="minorHAnsi"/>
                                <w:sz w:val="22"/>
                                <w:szCs w:val="22"/>
                              </w:rPr>
                            </w:pPr>
                            <w:r w:rsidRPr="00434116">
                              <w:rPr>
                                <w:rFonts w:asciiTheme="minorHAnsi" w:hAnsiTheme="minorHAnsi" w:cstheme="minorHAnsi"/>
                                <w:sz w:val="22"/>
                                <w:szCs w:val="22"/>
                              </w:rPr>
                              <w:t xml:space="preserve">Фокус на санкцији </w:t>
                            </w:r>
                            <w:r>
                              <w:rPr>
                                <w:rFonts w:asciiTheme="minorHAnsi" w:hAnsiTheme="minorHAnsi" w:cstheme="minorHAnsi"/>
                                <w:sz w:val="22"/>
                                <w:szCs w:val="22"/>
                              </w:rPr>
                              <w:t>а не на</w:t>
                            </w:r>
                            <w:r w:rsidRPr="00434116">
                              <w:rPr>
                                <w:rFonts w:asciiTheme="minorHAnsi" w:hAnsiTheme="minorHAnsi" w:cstheme="minorHAnsi"/>
                                <w:sz w:val="22"/>
                                <w:szCs w:val="22"/>
                              </w:rPr>
                              <w:t xml:space="preserve"> </w:t>
                            </w:r>
                            <w:r>
                              <w:rPr>
                                <w:rFonts w:asciiTheme="minorHAnsi" w:hAnsiTheme="minorHAnsi" w:cstheme="minorHAnsi"/>
                                <w:sz w:val="22"/>
                                <w:szCs w:val="22"/>
                              </w:rPr>
                              <w:t>превенцији и саветовању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457BD3" id="Text Box 711" o:spid="_x0000_s1454" style="position:absolute;margin-left:532.65pt;margin-top:16.3pt;width:173.15pt;height:38.65pt;z-index:25209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" fillcolor="white [3212]" strokecolor="#666d88" strokeweight="1.5pt">
                <v:textbox inset="0,0,0,0">
                  <w:txbxContent>
                    <w:p w14:paraId="0992EA07" w14:textId="77777777" w:rsidR="00876FFE" w:rsidRPr="00434116" w:rsidRDefault="00876FFE" w:rsidP="00BC55F6">
                      <w:pPr>
                        <w:spacing w:before="0"/>
                        <w:jc w:val="center"/>
                        <w:rPr>
                          <w:rFonts w:asciiTheme="minorHAnsi" w:hAnsiTheme="minorHAnsi" w:cstheme="minorHAnsi"/>
                          <w:sz w:val="22"/>
                          <w:szCs w:val="22"/>
                        </w:rPr>
                      </w:pPr>
                      <w:r w:rsidRPr="00434116">
                        <w:rPr>
                          <w:rFonts w:asciiTheme="minorHAnsi" w:hAnsiTheme="minorHAnsi" w:cstheme="minorHAnsi"/>
                          <w:sz w:val="22"/>
                          <w:szCs w:val="22"/>
                        </w:rPr>
                        <w:t xml:space="preserve">Фокус </w:t>
                      </w:r>
                      <w:r w:rsidRPr="00434116">
                        <w:rPr>
                          <w:rFonts w:asciiTheme="minorHAnsi" w:hAnsiTheme="minorHAnsi" w:cstheme="minorHAnsi"/>
                          <w:sz w:val="22"/>
                          <w:szCs w:val="22"/>
                        </w:rPr>
                        <w:t xml:space="preserve">на санкцији </w:t>
                      </w:r>
                      <w:r>
                        <w:rPr>
                          <w:rFonts w:asciiTheme="minorHAnsi" w:hAnsiTheme="minorHAnsi" w:cstheme="minorHAnsi"/>
                          <w:sz w:val="22"/>
                          <w:szCs w:val="22"/>
                        </w:rPr>
                        <w:t>а не на</w:t>
                      </w:r>
                      <w:r w:rsidRPr="00434116">
                        <w:rPr>
                          <w:rFonts w:asciiTheme="minorHAnsi" w:hAnsiTheme="minorHAnsi" w:cstheme="minorHAnsi"/>
                          <w:sz w:val="22"/>
                          <w:szCs w:val="22"/>
                        </w:rPr>
                        <w:t xml:space="preserve"> </w:t>
                      </w:r>
                      <w:r>
                        <w:rPr>
                          <w:rFonts w:asciiTheme="minorHAnsi" w:hAnsiTheme="minorHAnsi" w:cstheme="minorHAnsi"/>
                          <w:sz w:val="22"/>
                          <w:szCs w:val="22"/>
                        </w:rPr>
                        <w:t>превенцији и саветовању</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91904" behindDoc="0" locked="0" layoutInCell="1" allowOverlap="1" wp14:anchorId="7517E295" wp14:editId="7F47764A">
                <wp:simplePos x="0" y="0"/>
                <wp:positionH relativeFrom="column">
                  <wp:posOffset>4331970</wp:posOffset>
                </wp:positionH>
                <wp:positionV relativeFrom="paragraph">
                  <wp:posOffset>3788198</wp:posOffset>
                </wp:positionV>
                <wp:extent cx="2199005" cy="283845"/>
                <wp:effectExtent l="0" t="0" r="10795" b="20955"/>
                <wp:wrapNone/>
                <wp:docPr id="730" name="Text Box 730"/>
                <wp:cNvGraphicFramePr/>
                <a:graphic xmlns:a="http://schemas.openxmlformats.org/drawingml/2006/main">
                  <a:graphicData uri="http://schemas.microsoft.com/office/word/2010/wordprocessingShape">
                    <wps:wsp>
                      <wps:cNvSpPr txBox="1"/>
                      <wps:spPr>
                        <a:xfrm>
                          <a:off x="0" y="0"/>
                          <a:ext cx="2199005" cy="283845"/>
                        </a:xfrm>
                        <a:prstGeom prst="roundRect">
                          <a:avLst/>
                        </a:prstGeom>
                        <a:solidFill>
                          <a:schemeClr val="bg1"/>
                        </a:solidFill>
                        <a:ln w="19050">
                          <a:solidFill>
                            <a:srgbClr val="666D88"/>
                          </a:solidFill>
                        </a:ln>
                        <a:effectLst/>
                      </wps:spPr>
                      <wps:txbx>
                        <w:txbxContent>
                          <w:p w14:paraId="6428BDF8" w14:textId="77777777" w:rsidR="00876FFE" w:rsidRPr="00164DCB" w:rsidRDefault="00876FFE" w:rsidP="00BC55F6">
                            <w:pPr>
                              <w:spacing w:before="0" w:line="216" w:lineRule="auto"/>
                              <w:jc w:val="center"/>
                              <w:rPr>
                                <w:rFonts w:asciiTheme="minorHAnsi" w:hAnsiTheme="minorHAnsi" w:cstheme="minorHAnsi"/>
                                <w:sz w:val="22"/>
                                <w:szCs w:val="22"/>
                              </w:rPr>
                            </w:pPr>
                            <w:r w:rsidRPr="00164DCB">
                              <w:rPr>
                                <w:rFonts w:asciiTheme="minorHAnsi" w:hAnsiTheme="minorHAnsi" w:cstheme="minorHAnsi"/>
                                <w:sz w:val="22"/>
                                <w:szCs w:val="22"/>
                              </w:rPr>
                              <w:t>Демографска кретања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17E295" id="Text Box 730" o:spid="_x0000_s1455" style="position:absolute;margin-left:341.1pt;margin-top:298.3pt;width:173.15pt;height:22.3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" fillcolor="white [3212]" strokecolor="#666d88" strokeweight="1.5pt">
                <v:textbox inset="0,0,0,0">
                  <w:txbxContent>
                    <w:p w14:paraId="6428BDF8" w14:textId="77777777" w:rsidR="00876FFE" w:rsidRPr="00164DCB" w:rsidRDefault="00876FFE" w:rsidP="00BC55F6">
                      <w:pPr>
                        <w:spacing w:before="0" w:line="216" w:lineRule="auto"/>
                        <w:jc w:val="center"/>
                        <w:rPr>
                          <w:rFonts w:asciiTheme="minorHAnsi" w:hAnsiTheme="minorHAnsi" w:cstheme="minorHAnsi"/>
                          <w:sz w:val="22"/>
                          <w:szCs w:val="22"/>
                        </w:rPr>
                      </w:pPr>
                      <w:r w:rsidRPr="00164DCB">
                        <w:rPr>
                          <w:rFonts w:asciiTheme="minorHAnsi" w:hAnsiTheme="minorHAnsi" w:cstheme="minorHAnsi"/>
                          <w:sz w:val="22"/>
                          <w:szCs w:val="22"/>
                        </w:rPr>
                        <w:t xml:space="preserve">Демографска </w:t>
                      </w:r>
                      <w:r w:rsidRPr="00164DCB">
                        <w:rPr>
                          <w:rFonts w:asciiTheme="minorHAnsi" w:hAnsiTheme="minorHAnsi" w:cstheme="minorHAnsi"/>
                          <w:sz w:val="22"/>
                          <w:szCs w:val="22"/>
                        </w:rPr>
                        <w:t>кретања</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116480" behindDoc="0" locked="0" layoutInCell="1" allowOverlap="1" wp14:anchorId="61B46AA5" wp14:editId="7391F1A3">
                <wp:simplePos x="0" y="0"/>
                <wp:positionH relativeFrom="column">
                  <wp:posOffset>4331970</wp:posOffset>
                </wp:positionH>
                <wp:positionV relativeFrom="paragraph">
                  <wp:posOffset>3275118</wp:posOffset>
                </wp:positionV>
                <wp:extent cx="2199005" cy="437515"/>
                <wp:effectExtent l="0" t="0" r="10795" b="19685"/>
                <wp:wrapNone/>
                <wp:docPr id="732" name="Text Box 732"/>
                <wp:cNvGraphicFramePr/>
                <a:graphic xmlns:a="http://schemas.openxmlformats.org/drawingml/2006/main">
                  <a:graphicData uri="http://schemas.microsoft.com/office/word/2010/wordprocessingShape">
                    <wps:wsp>
                      <wps:cNvSpPr txBox="1"/>
                      <wps:spPr>
                        <a:xfrm>
                          <a:off x="0" y="0"/>
                          <a:ext cx="2199005" cy="437515"/>
                        </a:xfrm>
                        <a:prstGeom prst="roundRect">
                          <a:avLst/>
                        </a:prstGeom>
                        <a:solidFill>
                          <a:schemeClr val="bg1"/>
                        </a:solidFill>
                        <a:ln w="19050">
                          <a:solidFill>
                            <a:srgbClr val="666D88"/>
                          </a:solidFill>
                        </a:ln>
                        <a:effectLst/>
                      </wps:spPr>
                      <wps:txbx>
                        <w:txbxContent>
                          <w:p w14:paraId="0A0CD27A" w14:textId="77777777" w:rsidR="00876FFE" w:rsidRPr="00164DCB" w:rsidRDefault="00876FFE" w:rsidP="00BC55F6">
                            <w:pPr>
                              <w:spacing w:before="0" w:line="216" w:lineRule="auto"/>
                              <w:jc w:val="center"/>
                              <w:rPr>
                                <w:rFonts w:asciiTheme="minorHAnsi" w:hAnsiTheme="minorHAnsi" w:cstheme="minorHAnsi"/>
                                <w:sz w:val="22"/>
                                <w:szCs w:val="22"/>
                              </w:rPr>
                            </w:pPr>
                            <w:r w:rsidRPr="00164DCB">
                              <w:rPr>
                                <w:rFonts w:asciiTheme="minorHAnsi" w:hAnsiTheme="minorHAnsi" w:cstheme="minorHAnsi"/>
                                <w:sz w:val="22"/>
                                <w:szCs w:val="22"/>
                              </w:rPr>
                              <w:t>Ниска партиципација заједнице у управљању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B46AA5" id="Text Box 732" o:spid="_x0000_s1456" style="position:absolute;margin-left:341.1pt;margin-top:257.9pt;width:173.15pt;height:34.4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" fillcolor="white [3212]" strokecolor="#666d88" strokeweight="1.5pt">
                <v:textbox inset="0,0,0,0">
                  <w:txbxContent>
                    <w:p w14:paraId="0A0CD27A" w14:textId="77777777" w:rsidR="00876FFE" w:rsidRPr="00164DCB" w:rsidRDefault="00876FFE" w:rsidP="00BC55F6">
                      <w:pPr>
                        <w:spacing w:before="0" w:line="216" w:lineRule="auto"/>
                        <w:jc w:val="center"/>
                        <w:rPr>
                          <w:rFonts w:asciiTheme="minorHAnsi" w:hAnsiTheme="minorHAnsi" w:cstheme="minorHAnsi"/>
                          <w:sz w:val="22"/>
                          <w:szCs w:val="22"/>
                        </w:rPr>
                      </w:pPr>
                      <w:r w:rsidRPr="00164DCB">
                        <w:rPr>
                          <w:rFonts w:asciiTheme="minorHAnsi" w:hAnsiTheme="minorHAnsi" w:cstheme="minorHAnsi"/>
                          <w:sz w:val="22"/>
                          <w:szCs w:val="22"/>
                        </w:rPr>
                        <w:t xml:space="preserve">Ниска </w:t>
                      </w:r>
                      <w:r w:rsidRPr="00164DCB">
                        <w:rPr>
                          <w:rFonts w:asciiTheme="minorHAnsi" w:hAnsiTheme="minorHAnsi" w:cstheme="minorHAnsi"/>
                          <w:sz w:val="22"/>
                          <w:szCs w:val="22"/>
                        </w:rPr>
                        <w:t>партиципација заједнице у управљању</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90880" behindDoc="0" locked="0" layoutInCell="1" allowOverlap="1" wp14:anchorId="0EDF198A" wp14:editId="40EFE4B0">
                <wp:simplePos x="0" y="0"/>
                <wp:positionH relativeFrom="column">
                  <wp:posOffset>4334510</wp:posOffset>
                </wp:positionH>
                <wp:positionV relativeFrom="paragraph">
                  <wp:posOffset>2308648</wp:posOffset>
                </wp:positionV>
                <wp:extent cx="2199005" cy="372110"/>
                <wp:effectExtent l="0" t="0" r="10795" b="27940"/>
                <wp:wrapNone/>
                <wp:docPr id="731" name="Text Box 731"/>
                <wp:cNvGraphicFramePr/>
                <a:graphic xmlns:a="http://schemas.openxmlformats.org/drawingml/2006/main">
                  <a:graphicData uri="http://schemas.microsoft.com/office/word/2010/wordprocessingShape">
                    <wps:wsp>
                      <wps:cNvSpPr txBox="1"/>
                      <wps:spPr>
                        <a:xfrm>
                          <a:off x="0" y="0"/>
                          <a:ext cx="2199005" cy="372110"/>
                        </a:xfrm>
                        <a:prstGeom prst="roundRect">
                          <a:avLst/>
                        </a:prstGeom>
                        <a:solidFill>
                          <a:schemeClr val="bg1"/>
                        </a:solidFill>
                        <a:ln w="19050">
                          <a:solidFill>
                            <a:srgbClr val="666D88"/>
                          </a:solidFill>
                        </a:ln>
                        <a:effectLst/>
                      </wps:spPr>
                      <wps:txbx>
                        <w:txbxContent>
                          <w:p w14:paraId="28F33DB5" w14:textId="77777777" w:rsidR="00876FFE" w:rsidRPr="00164DCB" w:rsidRDefault="00876FFE" w:rsidP="00BC55F6">
                            <w:pPr>
                              <w:spacing w:before="0" w:line="216" w:lineRule="auto"/>
                              <w:jc w:val="center"/>
                              <w:rPr>
                                <w:rFonts w:asciiTheme="minorHAnsi" w:hAnsiTheme="minorHAnsi" w:cstheme="minorHAnsi"/>
                                <w:sz w:val="22"/>
                                <w:szCs w:val="22"/>
                              </w:rPr>
                            </w:pPr>
                            <w:r>
                              <w:rPr>
                                <w:rFonts w:asciiTheme="minorHAnsi" w:hAnsiTheme="minorHAnsi" w:cstheme="minorHAnsi"/>
                                <w:sz w:val="22"/>
                                <w:szCs w:val="22"/>
                              </w:rPr>
                              <w:t>И</w:t>
                            </w:r>
                            <w:r w:rsidRPr="00164DCB">
                              <w:rPr>
                                <w:rFonts w:asciiTheme="minorHAnsi" w:hAnsiTheme="minorHAnsi" w:cstheme="minorHAnsi"/>
                                <w:sz w:val="22"/>
                                <w:szCs w:val="22"/>
                              </w:rPr>
                              <w:t>зборни систем за одборнике</w:t>
                            </w:r>
                            <w:r>
                              <w:rPr>
                                <w:rFonts w:asciiTheme="minorHAnsi" w:hAnsiTheme="minorHAnsi" w:cstheme="minorHAnsi"/>
                                <w:sz w:val="22"/>
                                <w:szCs w:val="22"/>
                              </w:rPr>
                              <w:t xml:space="preserve"> није одговарајући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DF198A" id="Text Box 731" o:spid="_x0000_s1457" style="position:absolute;margin-left:341.3pt;margin-top:181.8pt;width:173.15pt;height:29.3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" fillcolor="white [3212]" strokecolor="#666d88" strokeweight="1.5pt">
                <v:textbox inset="0,0,0,0">
                  <w:txbxContent>
                    <w:p w14:paraId="28F33DB5" w14:textId="77777777" w:rsidR="00876FFE" w:rsidRPr="00164DCB" w:rsidRDefault="00876FFE" w:rsidP="00BC55F6">
                      <w:pPr>
                        <w:spacing w:before="0" w:line="216" w:lineRule="auto"/>
                        <w:jc w:val="center"/>
                        <w:rPr>
                          <w:rFonts w:asciiTheme="minorHAnsi" w:hAnsiTheme="minorHAnsi" w:cstheme="minorHAnsi"/>
                          <w:sz w:val="22"/>
                          <w:szCs w:val="22"/>
                        </w:rPr>
                      </w:pPr>
                      <w:r>
                        <w:rPr>
                          <w:rFonts w:asciiTheme="minorHAnsi" w:hAnsiTheme="minorHAnsi" w:cstheme="minorHAnsi"/>
                          <w:sz w:val="22"/>
                          <w:szCs w:val="22"/>
                        </w:rPr>
                        <w:t>И</w:t>
                      </w:r>
                      <w:r w:rsidRPr="00164DCB">
                        <w:rPr>
                          <w:rFonts w:asciiTheme="minorHAnsi" w:hAnsiTheme="minorHAnsi" w:cstheme="minorHAnsi"/>
                          <w:sz w:val="22"/>
                          <w:szCs w:val="22"/>
                        </w:rPr>
                        <w:t xml:space="preserve">зборни </w:t>
                      </w:r>
                      <w:r w:rsidRPr="00164DCB">
                        <w:rPr>
                          <w:rFonts w:asciiTheme="minorHAnsi" w:hAnsiTheme="minorHAnsi" w:cstheme="minorHAnsi"/>
                          <w:sz w:val="22"/>
                          <w:szCs w:val="22"/>
                        </w:rPr>
                        <w:t>систем за одборнике</w:t>
                      </w:r>
                      <w:r>
                        <w:rPr>
                          <w:rFonts w:asciiTheme="minorHAnsi" w:hAnsiTheme="minorHAnsi" w:cstheme="minorHAnsi"/>
                          <w:sz w:val="22"/>
                          <w:szCs w:val="22"/>
                        </w:rPr>
                        <w:t xml:space="preserve"> није одговарајући</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89856" behindDoc="0" locked="0" layoutInCell="1" allowOverlap="1" wp14:anchorId="77EA8692" wp14:editId="4E25121F">
                <wp:simplePos x="0" y="0"/>
                <wp:positionH relativeFrom="column">
                  <wp:posOffset>4334510</wp:posOffset>
                </wp:positionH>
                <wp:positionV relativeFrom="paragraph">
                  <wp:posOffset>1873673</wp:posOffset>
                </wp:positionV>
                <wp:extent cx="2199005" cy="363855"/>
                <wp:effectExtent l="0" t="0" r="10795" b="17145"/>
                <wp:wrapNone/>
                <wp:docPr id="674" name="Text Box 674"/>
                <wp:cNvGraphicFramePr/>
                <a:graphic xmlns:a="http://schemas.openxmlformats.org/drawingml/2006/main">
                  <a:graphicData uri="http://schemas.microsoft.com/office/word/2010/wordprocessingShape">
                    <wps:wsp>
                      <wps:cNvSpPr txBox="1"/>
                      <wps:spPr>
                        <a:xfrm>
                          <a:off x="0" y="0"/>
                          <a:ext cx="2199005" cy="363855"/>
                        </a:xfrm>
                        <a:prstGeom prst="roundRect">
                          <a:avLst/>
                        </a:prstGeom>
                        <a:solidFill>
                          <a:schemeClr val="bg1"/>
                        </a:solidFill>
                        <a:ln w="19050">
                          <a:solidFill>
                            <a:srgbClr val="666D88"/>
                          </a:solidFill>
                        </a:ln>
                        <a:effectLst/>
                      </wps:spPr>
                      <wps:txbx>
                        <w:txbxContent>
                          <w:p w14:paraId="169302C0" w14:textId="77777777" w:rsidR="00876FFE" w:rsidRPr="00164DCB" w:rsidRDefault="00876FFE" w:rsidP="00BC55F6">
                            <w:pPr>
                              <w:spacing w:before="0" w:line="216" w:lineRule="auto"/>
                              <w:jc w:val="center"/>
                              <w:rPr>
                                <w:rFonts w:asciiTheme="minorHAnsi" w:hAnsiTheme="minorHAnsi" w:cstheme="minorHAnsi"/>
                                <w:sz w:val="22"/>
                                <w:szCs w:val="22"/>
                              </w:rPr>
                            </w:pPr>
                            <w:r w:rsidRPr="00164DCB">
                              <w:rPr>
                                <w:rFonts w:asciiTheme="minorHAnsi" w:hAnsiTheme="minorHAnsi" w:cstheme="minorHAnsi"/>
                                <w:sz w:val="22"/>
                                <w:szCs w:val="22"/>
                              </w:rPr>
                              <w:t xml:space="preserve">Недоречено утврђивање </w:t>
                            </w:r>
                            <w:r w:rsidRPr="00164DCB">
                              <w:rPr>
                                <w:rFonts w:asciiTheme="minorHAnsi" w:hAnsiTheme="minorHAnsi" w:cstheme="minorHAnsi"/>
                                <w:spacing w:val="-6"/>
                                <w:sz w:val="22"/>
                                <w:szCs w:val="22"/>
                              </w:rPr>
                              <w:t>изворних и поверених послова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EA8692" id="Text Box 674" o:spid="_x0000_s1458" style="position:absolute;margin-left:341.3pt;margin-top:147.55pt;width:173.15pt;height:28.6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" fillcolor="white [3212]" strokecolor="#666d88" strokeweight="1.5pt">
                <v:textbox inset="0,0,0,0">
                  <w:txbxContent>
                    <w:p w14:paraId="169302C0" w14:textId="77777777" w:rsidR="00876FFE" w:rsidRPr="00164DCB" w:rsidRDefault="00876FFE" w:rsidP="00BC55F6">
                      <w:pPr>
                        <w:spacing w:before="0" w:line="216" w:lineRule="auto"/>
                        <w:jc w:val="center"/>
                        <w:rPr>
                          <w:rFonts w:asciiTheme="minorHAnsi" w:hAnsiTheme="minorHAnsi" w:cstheme="minorHAnsi"/>
                          <w:sz w:val="22"/>
                          <w:szCs w:val="22"/>
                        </w:rPr>
                      </w:pPr>
                      <w:r w:rsidRPr="00164DCB">
                        <w:rPr>
                          <w:rFonts w:asciiTheme="minorHAnsi" w:hAnsiTheme="minorHAnsi" w:cstheme="minorHAnsi"/>
                          <w:sz w:val="22"/>
                          <w:szCs w:val="22"/>
                        </w:rPr>
                        <w:t xml:space="preserve">Недоречено </w:t>
                      </w:r>
                      <w:r w:rsidRPr="00164DCB">
                        <w:rPr>
                          <w:rFonts w:asciiTheme="minorHAnsi" w:hAnsiTheme="minorHAnsi" w:cstheme="minorHAnsi"/>
                          <w:sz w:val="22"/>
                          <w:szCs w:val="22"/>
                        </w:rPr>
                        <w:t xml:space="preserve">утврђивање </w:t>
                      </w:r>
                      <w:r w:rsidRPr="00164DCB">
                        <w:rPr>
                          <w:rFonts w:asciiTheme="minorHAnsi" w:hAnsiTheme="minorHAnsi" w:cstheme="minorHAnsi"/>
                          <w:spacing w:val="-6"/>
                          <w:sz w:val="22"/>
                          <w:szCs w:val="22"/>
                        </w:rPr>
                        <w:t>изворних и поверених послова</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88832" behindDoc="0" locked="0" layoutInCell="1" allowOverlap="1" wp14:anchorId="66259E23" wp14:editId="7F351576">
                <wp:simplePos x="0" y="0"/>
                <wp:positionH relativeFrom="column">
                  <wp:posOffset>4334510</wp:posOffset>
                </wp:positionH>
                <wp:positionV relativeFrom="paragraph">
                  <wp:posOffset>1451398</wp:posOffset>
                </wp:positionV>
                <wp:extent cx="2199005" cy="346710"/>
                <wp:effectExtent l="0" t="0" r="10795" b="15240"/>
                <wp:wrapNone/>
                <wp:docPr id="673" name="Text Box 673"/>
                <wp:cNvGraphicFramePr/>
                <a:graphic xmlns:a="http://schemas.openxmlformats.org/drawingml/2006/main">
                  <a:graphicData uri="http://schemas.microsoft.com/office/word/2010/wordprocessingShape">
                    <wps:wsp>
                      <wps:cNvSpPr txBox="1"/>
                      <wps:spPr>
                        <a:xfrm>
                          <a:off x="0" y="0"/>
                          <a:ext cx="2199005" cy="346710"/>
                        </a:xfrm>
                        <a:prstGeom prst="roundRect">
                          <a:avLst/>
                        </a:prstGeom>
                        <a:solidFill>
                          <a:schemeClr val="bg1"/>
                        </a:solidFill>
                        <a:ln w="19050">
                          <a:solidFill>
                            <a:srgbClr val="666D88"/>
                          </a:solidFill>
                        </a:ln>
                        <a:effectLst/>
                      </wps:spPr>
                      <wps:txbx>
                        <w:txbxContent>
                          <w:p w14:paraId="20DD49DB" w14:textId="77777777" w:rsidR="00876FFE" w:rsidRPr="00164DCB" w:rsidRDefault="00876FFE" w:rsidP="00BC55F6">
                            <w:pPr>
                              <w:spacing w:before="0" w:line="216" w:lineRule="auto"/>
                              <w:jc w:val="center"/>
                              <w:rPr>
                                <w:rFonts w:asciiTheme="minorHAnsi" w:hAnsiTheme="minorHAnsi" w:cstheme="minorHAnsi"/>
                                <w:sz w:val="22"/>
                                <w:szCs w:val="22"/>
                              </w:rPr>
                            </w:pPr>
                            <w:r w:rsidRPr="00164DCB">
                              <w:rPr>
                                <w:rFonts w:asciiTheme="minorHAnsi" w:hAnsiTheme="minorHAnsi" w:cstheme="minorHAnsi"/>
                                <w:sz w:val="22"/>
                                <w:szCs w:val="22"/>
                              </w:rPr>
                              <w:t>Неусагл</w:t>
                            </w:r>
                            <w:r>
                              <w:rPr>
                                <w:rFonts w:asciiTheme="minorHAnsi" w:hAnsiTheme="minorHAnsi" w:cstheme="minorHAnsi"/>
                                <w:sz w:val="22"/>
                                <w:szCs w:val="22"/>
                              </w:rPr>
                              <w:t>ашеност јавних политика према локалној управи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259E23" id="Text Box 673" o:spid="_x0000_s1459" style="position:absolute;margin-left:341.3pt;margin-top:114.3pt;width:173.15pt;height:27.3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" fillcolor="white [3212]" strokecolor="#666d88" strokeweight="1.5pt">
                <v:textbox inset="0,0,0,0">
                  <w:txbxContent>
                    <w:p w14:paraId="20DD49DB" w14:textId="77777777" w:rsidR="00876FFE" w:rsidRPr="00164DCB" w:rsidRDefault="00876FFE" w:rsidP="00BC55F6">
                      <w:pPr>
                        <w:spacing w:before="0" w:line="216" w:lineRule="auto"/>
                        <w:jc w:val="center"/>
                        <w:rPr>
                          <w:rFonts w:asciiTheme="minorHAnsi" w:hAnsiTheme="minorHAnsi" w:cstheme="minorHAnsi"/>
                          <w:sz w:val="22"/>
                          <w:szCs w:val="22"/>
                        </w:rPr>
                      </w:pPr>
                      <w:r w:rsidRPr="00164DCB">
                        <w:rPr>
                          <w:rFonts w:asciiTheme="minorHAnsi" w:hAnsiTheme="minorHAnsi" w:cstheme="minorHAnsi"/>
                          <w:sz w:val="22"/>
                          <w:szCs w:val="22"/>
                        </w:rPr>
                        <w:t>Неусагл</w:t>
                      </w:r>
                      <w:r>
                        <w:rPr>
                          <w:rFonts w:asciiTheme="minorHAnsi" w:hAnsiTheme="minorHAnsi" w:cstheme="minorHAnsi"/>
                          <w:sz w:val="22"/>
                          <w:szCs w:val="22"/>
                        </w:rPr>
                        <w:t xml:space="preserve">ашеност </w:t>
                      </w:r>
                      <w:r>
                        <w:rPr>
                          <w:rFonts w:asciiTheme="minorHAnsi" w:hAnsiTheme="minorHAnsi" w:cstheme="minorHAnsi"/>
                          <w:sz w:val="22"/>
                          <w:szCs w:val="22"/>
                        </w:rPr>
                        <w:t>јавних политика према локалној управи</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87808" behindDoc="0" locked="0" layoutInCell="1" allowOverlap="1" wp14:anchorId="011C9E15" wp14:editId="328546C8">
                <wp:simplePos x="0" y="0"/>
                <wp:positionH relativeFrom="column">
                  <wp:posOffset>4334510</wp:posOffset>
                </wp:positionH>
                <wp:positionV relativeFrom="paragraph">
                  <wp:posOffset>1007533</wp:posOffset>
                </wp:positionV>
                <wp:extent cx="2199005" cy="372110"/>
                <wp:effectExtent l="0" t="0" r="10795" b="27940"/>
                <wp:wrapNone/>
                <wp:docPr id="672" name="Text Box 672"/>
                <wp:cNvGraphicFramePr/>
                <a:graphic xmlns:a="http://schemas.openxmlformats.org/drawingml/2006/main">
                  <a:graphicData uri="http://schemas.microsoft.com/office/word/2010/wordprocessingShape">
                    <wps:wsp>
                      <wps:cNvSpPr txBox="1"/>
                      <wps:spPr>
                        <a:xfrm>
                          <a:off x="0" y="0"/>
                          <a:ext cx="2199005" cy="372110"/>
                        </a:xfrm>
                        <a:prstGeom prst="roundRect">
                          <a:avLst/>
                        </a:prstGeom>
                        <a:solidFill>
                          <a:schemeClr val="bg1"/>
                        </a:solidFill>
                        <a:ln w="19050">
                          <a:solidFill>
                            <a:srgbClr val="666D88"/>
                          </a:solidFill>
                        </a:ln>
                        <a:effectLst/>
                      </wps:spPr>
                      <wps:txbx>
                        <w:txbxContent>
                          <w:p w14:paraId="646722AF" w14:textId="77777777" w:rsidR="00876FFE" w:rsidRPr="00164DCB" w:rsidRDefault="00876FFE" w:rsidP="00BC55F6">
                            <w:pPr>
                              <w:spacing w:before="0" w:after="0" w:line="216" w:lineRule="auto"/>
                              <w:jc w:val="center"/>
                              <w:rPr>
                                <w:rFonts w:asciiTheme="minorHAnsi" w:hAnsiTheme="minorHAnsi" w:cstheme="minorHAnsi"/>
                                <w:sz w:val="22"/>
                                <w:szCs w:val="22"/>
                              </w:rPr>
                            </w:pPr>
                            <w:r w:rsidRPr="00164DCB">
                              <w:rPr>
                                <w:rFonts w:asciiTheme="minorHAnsi" w:hAnsiTheme="minorHAnsi" w:cstheme="minorHAnsi"/>
                                <w:sz w:val="22"/>
                                <w:szCs w:val="22"/>
                              </w:rPr>
                              <w:t>Недоследна примена принципа супсидијарности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1C9E15" id="Text Box 672" o:spid="_x0000_s1460" style="position:absolute;margin-left:341.3pt;margin-top:79.35pt;width:173.15pt;height:29.3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" fillcolor="white [3212]" strokecolor="#666d88" strokeweight="1.5pt">
                <v:textbox inset="0,0,0,0">
                  <w:txbxContent>
                    <w:p w14:paraId="646722AF" w14:textId="77777777" w:rsidR="00876FFE" w:rsidRPr="00164DCB" w:rsidRDefault="00876FFE" w:rsidP="00BC55F6">
                      <w:pPr>
                        <w:spacing w:before="0" w:after="0" w:line="216" w:lineRule="auto"/>
                        <w:jc w:val="center"/>
                        <w:rPr>
                          <w:rFonts w:asciiTheme="minorHAnsi" w:hAnsiTheme="minorHAnsi" w:cstheme="minorHAnsi"/>
                          <w:sz w:val="22"/>
                          <w:szCs w:val="22"/>
                        </w:rPr>
                      </w:pPr>
                      <w:r w:rsidRPr="00164DCB">
                        <w:rPr>
                          <w:rFonts w:asciiTheme="minorHAnsi" w:hAnsiTheme="minorHAnsi" w:cstheme="minorHAnsi"/>
                          <w:sz w:val="22"/>
                          <w:szCs w:val="22"/>
                        </w:rPr>
                        <w:t xml:space="preserve">Недоследна </w:t>
                      </w:r>
                      <w:r w:rsidRPr="00164DCB">
                        <w:rPr>
                          <w:rFonts w:asciiTheme="minorHAnsi" w:hAnsiTheme="minorHAnsi" w:cstheme="minorHAnsi"/>
                          <w:sz w:val="22"/>
                          <w:szCs w:val="22"/>
                        </w:rPr>
                        <w:t>примена принципа супсидијарности</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86784" behindDoc="0" locked="0" layoutInCell="1" allowOverlap="1" wp14:anchorId="2B468A92" wp14:editId="3DF92453">
                <wp:simplePos x="0" y="0"/>
                <wp:positionH relativeFrom="column">
                  <wp:posOffset>4318000</wp:posOffset>
                </wp:positionH>
                <wp:positionV relativeFrom="paragraph">
                  <wp:posOffset>416983</wp:posOffset>
                </wp:positionV>
                <wp:extent cx="2199005" cy="516255"/>
                <wp:effectExtent l="0" t="0" r="10795" b="17145"/>
                <wp:wrapNone/>
                <wp:docPr id="709" name="Text Box 709"/>
                <wp:cNvGraphicFramePr/>
                <a:graphic xmlns:a="http://schemas.openxmlformats.org/drawingml/2006/main">
                  <a:graphicData uri="http://schemas.microsoft.com/office/word/2010/wordprocessingShape">
                    <wps:wsp>
                      <wps:cNvSpPr txBox="1"/>
                      <wps:spPr>
                        <a:xfrm>
                          <a:off x="0" y="0"/>
                          <a:ext cx="2199005" cy="516255"/>
                        </a:xfrm>
                        <a:prstGeom prst="roundRect">
                          <a:avLst/>
                        </a:prstGeom>
                        <a:solidFill>
                          <a:schemeClr val="bg1"/>
                        </a:solidFill>
                        <a:ln w="19050">
                          <a:solidFill>
                            <a:srgbClr val="666D88"/>
                          </a:solidFill>
                        </a:ln>
                        <a:effectLst/>
                      </wps:spPr>
                      <wps:txbx>
                        <w:txbxContent>
                          <w:p w14:paraId="63AA8264" w14:textId="77777777" w:rsidR="00876FFE" w:rsidRPr="00164DCB" w:rsidRDefault="00876FFE" w:rsidP="00BC55F6">
                            <w:pPr>
                              <w:spacing w:before="0" w:after="0" w:line="216" w:lineRule="auto"/>
                              <w:jc w:val="center"/>
                              <w:rPr>
                                <w:rFonts w:asciiTheme="minorHAnsi" w:hAnsiTheme="minorHAnsi" w:cstheme="minorHAnsi"/>
                                <w:sz w:val="22"/>
                                <w:szCs w:val="22"/>
                              </w:rPr>
                            </w:pPr>
                            <w:r w:rsidRPr="00164DCB">
                              <w:rPr>
                                <w:rFonts w:asciiTheme="minorHAnsi" w:hAnsiTheme="minorHAnsi" w:cstheme="minorHAnsi"/>
                                <w:sz w:val="22"/>
                                <w:szCs w:val="22"/>
                              </w:rPr>
                              <w:t>Нејасно разграничење надлежности различитих нивоа јавне управе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468A92" id="Text Box 709" o:spid="_x0000_s1461" style="position:absolute;margin-left:340pt;margin-top:32.85pt;width:173.15pt;height:40.6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" fillcolor="white [3212]" strokecolor="#666d88" strokeweight="1.5pt">
                <v:textbox inset="0,0,0,0">
                  <w:txbxContent>
                    <w:p w14:paraId="63AA8264" w14:textId="77777777" w:rsidR="00876FFE" w:rsidRPr="00164DCB" w:rsidRDefault="00876FFE" w:rsidP="00BC55F6">
                      <w:pPr>
                        <w:spacing w:before="0" w:after="0" w:line="216" w:lineRule="auto"/>
                        <w:jc w:val="center"/>
                        <w:rPr>
                          <w:rFonts w:asciiTheme="minorHAnsi" w:hAnsiTheme="minorHAnsi" w:cstheme="minorHAnsi"/>
                          <w:sz w:val="22"/>
                          <w:szCs w:val="22"/>
                        </w:rPr>
                      </w:pPr>
                      <w:r w:rsidRPr="00164DCB">
                        <w:rPr>
                          <w:rFonts w:asciiTheme="minorHAnsi" w:hAnsiTheme="minorHAnsi" w:cstheme="minorHAnsi"/>
                          <w:sz w:val="22"/>
                          <w:szCs w:val="22"/>
                        </w:rPr>
                        <w:t xml:space="preserve">Нејасно </w:t>
                      </w:r>
                      <w:r w:rsidRPr="00164DCB">
                        <w:rPr>
                          <w:rFonts w:asciiTheme="minorHAnsi" w:hAnsiTheme="minorHAnsi" w:cstheme="minorHAnsi"/>
                          <w:sz w:val="22"/>
                          <w:szCs w:val="22"/>
                        </w:rPr>
                        <w:t>разграничење надлежности различитих нивоа јавне управе</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76544" behindDoc="0" locked="0" layoutInCell="1" allowOverlap="1" wp14:anchorId="20C0EB87" wp14:editId="19F34A70">
                <wp:simplePos x="0" y="0"/>
                <wp:positionH relativeFrom="column">
                  <wp:posOffset>1905000</wp:posOffset>
                </wp:positionH>
                <wp:positionV relativeFrom="paragraph">
                  <wp:posOffset>2991576</wp:posOffset>
                </wp:positionV>
                <wp:extent cx="2199005" cy="462915"/>
                <wp:effectExtent l="0" t="0" r="10795" b="13335"/>
                <wp:wrapNone/>
                <wp:docPr id="725" name="Text Box 725"/>
                <wp:cNvGraphicFramePr/>
                <a:graphic xmlns:a="http://schemas.openxmlformats.org/drawingml/2006/main">
                  <a:graphicData uri="http://schemas.microsoft.com/office/word/2010/wordprocessingShape">
                    <wps:wsp>
                      <wps:cNvSpPr txBox="1"/>
                      <wps:spPr>
                        <a:xfrm>
                          <a:off x="0" y="0"/>
                          <a:ext cx="2199005" cy="462915"/>
                        </a:xfrm>
                        <a:prstGeom prst="roundRect">
                          <a:avLst/>
                        </a:prstGeom>
                        <a:solidFill>
                          <a:schemeClr val="bg1"/>
                        </a:solidFill>
                        <a:ln w="19050">
                          <a:solidFill>
                            <a:srgbClr val="666D88"/>
                          </a:solidFill>
                        </a:ln>
                        <a:effectLst/>
                      </wps:spPr>
                      <wps:txbx>
                        <w:txbxContent>
                          <w:p w14:paraId="1F5928F9" w14:textId="77777777" w:rsidR="00876FFE" w:rsidRPr="00AC774E" w:rsidRDefault="00876FFE" w:rsidP="00BC55F6">
                            <w:pPr>
                              <w:spacing w:before="0"/>
                              <w:ind w:firstLine="0"/>
                              <w:jc w:val="center"/>
                              <w:rPr>
                                <w:rFonts w:asciiTheme="minorHAnsi" w:hAnsiTheme="minorHAnsi" w:cstheme="minorHAnsi"/>
                                <w:sz w:val="22"/>
                                <w:szCs w:val="22"/>
                              </w:rPr>
                            </w:pPr>
                            <w:r w:rsidRPr="00AC774E">
                              <w:rPr>
                                <w:rFonts w:asciiTheme="minorHAnsi" w:hAnsiTheme="minorHAnsi" w:cstheme="minorHAnsi"/>
                                <w:sz w:val="22"/>
                                <w:szCs w:val="22"/>
                              </w:rPr>
                              <w:t xml:space="preserve">Нестабилност система финансирања </w:t>
                            </w:r>
                            <w:r>
                              <w:rPr>
                                <w:rFonts w:asciiTheme="minorHAnsi" w:hAnsiTheme="minorHAnsi" w:cstheme="minorHAnsi"/>
                                <w:sz w:val="22"/>
                                <w:szCs w:val="22"/>
                              </w:rPr>
                              <w:t>Ј</w:t>
                            </w:r>
                            <w:r w:rsidRPr="00AC774E">
                              <w:rPr>
                                <w:rFonts w:asciiTheme="minorHAnsi" w:hAnsiTheme="minorHAnsi" w:cstheme="minorHAnsi"/>
                                <w:sz w:val="22"/>
                                <w:szCs w:val="22"/>
                              </w:rPr>
                              <w:t>ЛС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C0EB87" id="Text Box 725" o:spid="_x0000_s1462" style="position:absolute;margin-left:150pt;margin-top:235.55pt;width:173.15pt;height:36.45pt;z-index:25207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" fillcolor="white [3212]" strokecolor="#666d88" strokeweight="1.5pt">
                <v:textbox inset="0,0,0,0">
                  <w:txbxContent>
                    <w:p w14:paraId="1F5928F9" w14:textId="77777777" w:rsidR="00876FFE" w:rsidRPr="00AC774E" w:rsidRDefault="00876FFE" w:rsidP="00BC55F6">
                      <w:pPr>
                        <w:spacing w:before="0"/>
                        <w:ind w:firstLine="0"/>
                        <w:jc w:val="center"/>
                        <w:rPr>
                          <w:rFonts w:asciiTheme="minorHAnsi" w:hAnsiTheme="minorHAnsi" w:cstheme="minorHAnsi"/>
                          <w:sz w:val="22"/>
                          <w:szCs w:val="22"/>
                        </w:rPr>
                      </w:pPr>
                      <w:r w:rsidRPr="00AC774E">
                        <w:rPr>
                          <w:rFonts w:asciiTheme="minorHAnsi" w:hAnsiTheme="minorHAnsi" w:cstheme="minorHAnsi"/>
                          <w:sz w:val="22"/>
                          <w:szCs w:val="22"/>
                        </w:rPr>
                        <w:t xml:space="preserve">Нестабилност </w:t>
                      </w:r>
                      <w:r w:rsidRPr="00AC774E">
                        <w:rPr>
                          <w:rFonts w:asciiTheme="minorHAnsi" w:hAnsiTheme="minorHAnsi" w:cstheme="minorHAnsi"/>
                          <w:sz w:val="22"/>
                          <w:szCs w:val="22"/>
                        </w:rPr>
                        <w:t xml:space="preserve">система финансирања </w:t>
                      </w:r>
                      <w:r>
                        <w:rPr>
                          <w:rFonts w:asciiTheme="minorHAnsi" w:hAnsiTheme="minorHAnsi" w:cstheme="minorHAnsi"/>
                          <w:sz w:val="22"/>
                          <w:szCs w:val="22"/>
                        </w:rPr>
                        <w:t>Ј</w:t>
                      </w:r>
                      <w:r w:rsidRPr="00AC774E">
                        <w:rPr>
                          <w:rFonts w:asciiTheme="minorHAnsi" w:hAnsiTheme="minorHAnsi" w:cstheme="minorHAnsi"/>
                          <w:sz w:val="22"/>
                          <w:szCs w:val="22"/>
                        </w:rPr>
                        <w:t>ЛС</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77568" behindDoc="0" locked="0" layoutInCell="1" allowOverlap="1" wp14:anchorId="5570C152" wp14:editId="257B6CB4">
                <wp:simplePos x="0" y="0"/>
                <wp:positionH relativeFrom="column">
                  <wp:posOffset>1915795</wp:posOffset>
                </wp:positionH>
                <wp:positionV relativeFrom="paragraph">
                  <wp:posOffset>2330359</wp:posOffset>
                </wp:positionV>
                <wp:extent cx="2199005" cy="491943"/>
                <wp:effectExtent l="0" t="0" r="10795" b="22860"/>
                <wp:wrapNone/>
                <wp:docPr id="726" name="Text Box 726"/>
                <wp:cNvGraphicFramePr/>
                <a:graphic xmlns:a="http://schemas.openxmlformats.org/drawingml/2006/main">
                  <a:graphicData uri="http://schemas.microsoft.com/office/word/2010/wordprocessingShape">
                    <wps:wsp>
                      <wps:cNvSpPr txBox="1"/>
                      <wps:spPr>
                        <a:xfrm>
                          <a:off x="0" y="0"/>
                          <a:ext cx="2199005" cy="491943"/>
                        </a:xfrm>
                        <a:prstGeom prst="roundRect">
                          <a:avLst/>
                        </a:prstGeom>
                        <a:solidFill>
                          <a:schemeClr val="bg1"/>
                        </a:solidFill>
                        <a:ln w="19050">
                          <a:solidFill>
                            <a:srgbClr val="666D88"/>
                          </a:solidFill>
                        </a:ln>
                        <a:effectLst/>
                      </wps:spPr>
                      <wps:txbx>
                        <w:txbxContent>
                          <w:p w14:paraId="3A85887D" w14:textId="77777777" w:rsidR="00876FFE" w:rsidRPr="00AC774E" w:rsidRDefault="00876FFE" w:rsidP="00BC55F6">
                            <w:pPr>
                              <w:spacing w:before="0"/>
                              <w:jc w:val="center"/>
                              <w:rPr>
                                <w:rFonts w:asciiTheme="minorHAnsi" w:hAnsiTheme="minorHAnsi" w:cstheme="minorHAnsi"/>
                                <w:sz w:val="22"/>
                                <w:szCs w:val="22"/>
                              </w:rPr>
                            </w:pPr>
                            <w:r w:rsidRPr="00AC774E">
                              <w:rPr>
                                <w:rFonts w:asciiTheme="minorHAnsi" w:hAnsiTheme="minorHAnsi" w:cstheme="minorHAnsi"/>
                                <w:sz w:val="22"/>
                                <w:szCs w:val="22"/>
                              </w:rPr>
                              <w:t xml:space="preserve">Недовољно ефикасно убирање сопствених прихода </w:t>
                            </w:r>
                            <w:r>
                              <w:rPr>
                                <w:rFonts w:asciiTheme="minorHAnsi" w:hAnsiTheme="minorHAnsi" w:cstheme="minorHAnsi"/>
                                <w:sz w:val="22"/>
                                <w:szCs w:val="22"/>
                              </w:rPr>
                              <w:t>Ј</w:t>
                            </w:r>
                            <w:r w:rsidRPr="00AC774E">
                              <w:rPr>
                                <w:rFonts w:asciiTheme="minorHAnsi" w:hAnsiTheme="minorHAnsi" w:cstheme="minorHAnsi"/>
                                <w:sz w:val="22"/>
                                <w:szCs w:val="22"/>
                              </w:rPr>
                              <w:t>ЛС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70C152" id="Text Box 726" o:spid="_x0000_s1463" style="position:absolute;margin-left:150.85pt;margin-top:183.5pt;width:173.15pt;height:38.75pt;z-index:25207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" fillcolor="white [3212]" strokecolor="#666d88" strokeweight="1.5pt">
                <v:textbox inset="0,0,0,0">
                  <w:txbxContent>
                    <w:p w14:paraId="3A85887D" w14:textId="77777777" w:rsidR="00876FFE" w:rsidRPr="00AC774E" w:rsidRDefault="00876FFE" w:rsidP="00BC55F6">
                      <w:pPr>
                        <w:spacing w:before="0"/>
                        <w:jc w:val="center"/>
                        <w:rPr>
                          <w:rFonts w:asciiTheme="minorHAnsi" w:hAnsiTheme="minorHAnsi" w:cstheme="minorHAnsi"/>
                          <w:sz w:val="22"/>
                          <w:szCs w:val="22"/>
                        </w:rPr>
                      </w:pPr>
                      <w:r w:rsidRPr="00AC774E">
                        <w:rPr>
                          <w:rFonts w:asciiTheme="minorHAnsi" w:hAnsiTheme="minorHAnsi" w:cstheme="minorHAnsi"/>
                          <w:sz w:val="22"/>
                          <w:szCs w:val="22"/>
                        </w:rPr>
                        <w:t xml:space="preserve">Недовољно ефикасно убирање сопствених прихода </w:t>
                      </w:r>
                      <w:r>
                        <w:rPr>
                          <w:rFonts w:asciiTheme="minorHAnsi" w:hAnsiTheme="minorHAnsi" w:cstheme="minorHAnsi"/>
                          <w:sz w:val="22"/>
                          <w:szCs w:val="22"/>
                        </w:rPr>
                        <w:t>Ј</w:t>
                      </w:r>
                      <w:r w:rsidRPr="00AC774E">
                        <w:rPr>
                          <w:rFonts w:asciiTheme="minorHAnsi" w:hAnsiTheme="minorHAnsi" w:cstheme="minorHAnsi"/>
                          <w:sz w:val="22"/>
                          <w:szCs w:val="22"/>
                        </w:rPr>
                        <w:t>ЛС</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78592" behindDoc="0" locked="0" layoutInCell="1" allowOverlap="1" wp14:anchorId="0362FC4F" wp14:editId="0B05E9D8">
                <wp:simplePos x="0" y="0"/>
                <wp:positionH relativeFrom="column">
                  <wp:posOffset>1905000</wp:posOffset>
                </wp:positionH>
                <wp:positionV relativeFrom="paragraph">
                  <wp:posOffset>1670594</wp:posOffset>
                </wp:positionV>
                <wp:extent cx="2199005" cy="462915"/>
                <wp:effectExtent l="0" t="0" r="10795" b="13335"/>
                <wp:wrapNone/>
                <wp:docPr id="728" name="Text Box 728"/>
                <wp:cNvGraphicFramePr/>
                <a:graphic xmlns:a="http://schemas.openxmlformats.org/drawingml/2006/main">
                  <a:graphicData uri="http://schemas.microsoft.com/office/word/2010/wordprocessingShape">
                    <wps:wsp>
                      <wps:cNvSpPr txBox="1"/>
                      <wps:spPr>
                        <a:xfrm>
                          <a:off x="0" y="0"/>
                          <a:ext cx="2199005" cy="462915"/>
                        </a:xfrm>
                        <a:prstGeom prst="roundRect">
                          <a:avLst/>
                        </a:prstGeom>
                        <a:solidFill>
                          <a:schemeClr val="bg1"/>
                        </a:solidFill>
                        <a:ln w="19050">
                          <a:solidFill>
                            <a:srgbClr val="666D88"/>
                          </a:solidFill>
                        </a:ln>
                        <a:effectLst/>
                      </wps:spPr>
                      <wps:txbx>
                        <w:txbxContent>
                          <w:p w14:paraId="2FD1E772" w14:textId="77777777" w:rsidR="00876FFE" w:rsidRPr="00AC774E" w:rsidRDefault="00876FFE" w:rsidP="00BC55F6">
                            <w:pPr>
                              <w:spacing w:before="0"/>
                              <w:jc w:val="center"/>
                              <w:rPr>
                                <w:rFonts w:asciiTheme="minorHAnsi" w:hAnsiTheme="minorHAnsi" w:cstheme="minorHAnsi"/>
                                <w:sz w:val="22"/>
                                <w:szCs w:val="22"/>
                              </w:rPr>
                            </w:pPr>
                            <w:r>
                              <w:rPr>
                                <w:rFonts w:asciiTheme="minorHAnsi" w:hAnsiTheme="minorHAnsi" w:cstheme="minorHAnsi"/>
                                <w:sz w:val="22"/>
                                <w:szCs w:val="22"/>
                              </w:rPr>
                              <w:t>Низак</w:t>
                            </w:r>
                            <w:r w:rsidRPr="00AC774E">
                              <w:rPr>
                                <w:rFonts w:asciiTheme="minorHAnsi" w:hAnsiTheme="minorHAnsi" w:cstheme="minorHAnsi"/>
                                <w:sz w:val="22"/>
                                <w:szCs w:val="22"/>
                              </w:rPr>
                              <w:t xml:space="preserve"> ниво локалних</w:t>
                            </w:r>
                            <w:r>
                              <w:rPr>
                                <w:rFonts w:asciiTheme="minorHAnsi" w:hAnsiTheme="minorHAnsi" w:cstheme="minorHAnsi"/>
                                <w:sz w:val="22"/>
                                <w:szCs w:val="22"/>
                              </w:rPr>
                              <w:t xml:space="preserve"> </w:t>
                            </w:r>
                            <w:r w:rsidRPr="00AC774E">
                              <w:rPr>
                                <w:rFonts w:asciiTheme="minorHAnsi" w:hAnsiTheme="minorHAnsi" w:cstheme="minorHAnsi"/>
                                <w:sz w:val="22"/>
                                <w:szCs w:val="22"/>
                              </w:rPr>
                              <w:t>инвестиција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62FC4F" id="Text Box 728" o:spid="_x0000_s1464" style="position:absolute;margin-left:150pt;margin-top:131.55pt;width:173.15pt;height:36.45pt;z-index:25207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" fillcolor="white [3212]" strokecolor="#666d88" strokeweight="1.5pt">
                <v:textbox inset="0,0,0,0">
                  <w:txbxContent>
                    <w:p w14:paraId="2FD1E772" w14:textId="77777777" w:rsidR="00876FFE" w:rsidRPr="00AC774E" w:rsidRDefault="00876FFE" w:rsidP="00BC55F6">
                      <w:pPr>
                        <w:spacing w:before="0"/>
                        <w:jc w:val="center"/>
                        <w:rPr>
                          <w:rFonts w:asciiTheme="minorHAnsi" w:hAnsiTheme="minorHAnsi" w:cstheme="minorHAnsi"/>
                          <w:sz w:val="22"/>
                          <w:szCs w:val="22"/>
                        </w:rPr>
                      </w:pPr>
                      <w:r>
                        <w:rPr>
                          <w:rFonts w:asciiTheme="minorHAnsi" w:hAnsiTheme="minorHAnsi" w:cstheme="minorHAnsi"/>
                          <w:sz w:val="22"/>
                          <w:szCs w:val="22"/>
                        </w:rPr>
                        <w:t>Низак</w:t>
                      </w:r>
                      <w:r w:rsidRPr="00AC774E">
                        <w:rPr>
                          <w:rFonts w:asciiTheme="minorHAnsi" w:hAnsiTheme="minorHAnsi" w:cstheme="minorHAnsi"/>
                          <w:sz w:val="22"/>
                          <w:szCs w:val="22"/>
                        </w:rPr>
                        <w:t xml:space="preserve"> ниво локалних</w:t>
                      </w:r>
                      <w:r>
                        <w:rPr>
                          <w:rFonts w:asciiTheme="minorHAnsi" w:hAnsiTheme="minorHAnsi" w:cstheme="minorHAnsi"/>
                          <w:sz w:val="22"/>
                          <w:szCs w:val="22"/>
                        </w:rPr>
                        <w:t xml:space="preserve"> </w:t>
                      </w:r>
                      <w:r w:rsidRPr="00AC774E">
                        <w:rPr>
                          <w:rFonts w:asciiTheme="minorHAnsi" w:hAnsiTheme="minorHAnsi" w:cstheme="minorHAnsi"/>
                          <w:sz w:val="22"/>
                          <w:szCs w:val="22"/>
                        </w:rPr>
                        <w:t>инвестиција</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79616" behindDoc="0" locked="0" layoutInCell="1" allowOverlap="1" wp14:anchorId="57493903" wp14:editId="7CE8BCA3">
                <wp:simplePos x="0" y="0"/>
                <wp:positionH relativeFrom="column">
                  <wp:posOffset>1905000</wp:posOffset>
                </wp:positionH>
                <wp:positionV relativeFrom="paragraph">
                  <wp:posOffset>1016091</wp:posOffset>
                </wp:positionV>
                <wp:extent cx="2199005" cy="462915"/>
                <wp:effectExtent l="0" t="0" r="10795" b="13335"/>
                <wp:wrapNone/>
                <wp:docPr id="727" name="Text Box 727"/>
                <wp:cNvGraphicFramePr/>
                <a:graphic xmlns:a="http://schemas.openxmlformats.org/drawingml/2006/main">
                  <a:graphicData uri="http://schemas.microsoft.com/office/word/2010/wordprocessingShape">
                    <wps:wsp>
                      <wps:cNvSpPr txBox="1"/>
                      <wps:spPr>
                        <a:xfrm>
                          <a:off x="0" y="0"/>
                          <a:ext cx="2199005" cy="462915"/>
                        </a:xfrm>
                        <a:prstGeom prst="roundRect">
                          <a:avLst/>
                        </a:prstGeom>
                        <a:solidFill>
                          <a:schemeClr val="bg1"/>
                        </a:solidFill>
                        <a:ln w="19050">
                          <a:solidFill>
                            <a:srgbClr val="666D88"/>
                          </a:solidFill>
                        </a:ln>
                        <a:effectLst/>
                      </wps:spPr>
                      <wps:txbx>
                        <w:txbxContent>
                          <w:p w14:paraId="22A8D78F" w14:textId="77777777" w:rsidR="00876FFE" w:rsidRPr="00AC774E" w:rsidRDefault="00876FFE" w:rsidP="00BC55F6">
                            <w:pPr>
                              <w:spacing w:before="0" w:after="0"/>
                              <w:jc w:val="center"/>
                              <w:rPr>
                                <w:rFonts w:asciiTheme="minorHAnsi" w:hAnsiTheme="minorHAnsi" w:cstheme="minorHAnsi"/>
                                <w:sz w:val="22"/>
                                <w:szCs w:val="22"/>
                              </w:rPr>
                            </w:pPr>
                            <w:r>
                              <w:rPr>
                                <w:rFonts w:asciiTheme="minorHAnsi" w:hAnsiTheme="minorHAnsi" w:cstheme="minorHAnsi"/>
                                <w:sz w:val="22"/>
                                <w:szCs w:val="22"/>
                              </w:rPr>
                              <w:t xml:space="preserve">Дугорочно планирање   </w:t>
                            </w:r>
                            <w:r w:rsidRPr="00AC774E">
                              <w:rPr>
                                <w:rFonts w:asciiTheme="minorHAnsi" w:hAnsiTheme="minorHAnsi" w:cstheme="minorHAnsi"/>
                                <w:sz w:val="22"/>
                                <w:szCs w:val="22"/>
                              </w:rPr>
                              <w:t>финансија</w:t>
                            </w:r>
                            <w:r>
                              <w:rPr>
                                <w:rFonts w:asciiTheme="minorHAnsi" w:hAnsiTheme="minorHAnsi" w:cstheme="minorHAnsi"/>
                                <w:sz w:val="22"/>
                                <w:szCs w:val="22"/>
                              </w:rPr>
                              <w:t xml:space="preserve"> је отежано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493903" id="Text Box 727" o:spid="_x0000_s1465" style="position:absolute;margin-left:150pt;margin-top:80pt;width:173.15pt;height:36.45pt;z-index:25207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" fillcolor="white [3212]" strokecolor="#666d88" strokeweight="1.5pt">
                <v:textbox inset="0,0,0,0">
                  <w:txbxContent>
                    <w:p w14:paraId="22A8D78F" w14:textId="77777777" w:rsidR="00876FFE" w:rsidRPr="00AC774E" w:rsidRDefault="00876FFE" w:rsidP="00BC55F6">
                      <w:pPr>
                        <w:spacing w:before="0" w:after="0"/>
                        <w:jc w:val="center"/>
                        <w:rPr>
                          <w:rFonts w:asciiTheme="minorHAnsi" w:hAnsiTheme="minorHAnsi" w:cstheme="minorHAnsi"/>
                          <w:sz w:val="22"/>
                          <w:szCs w:val="22"/>
                        </w:rPr>
                      </w:pPr>
                      <w:r>
                        <w:rPr>
                          <w:rFonts w:asciiTheme="minorHAnsi" w:hAnsiTheme="minorHAnsi" w:cstheme="minorHAnsi"/>
                          <w:sz w:val="22"/>
                          <w:szCs w:val="22"/>
                        </w:rPr>
                        <w:t xml:space="preserve">Дугорочно планирање   </w:t>
                      </w:r>
                      <w:r w:rsidRPr="00AC774E">
                        <w:rPr>
                          <w:rFonts w:asciiTheme="minorHAnsi" w:hAnsiTheme="minorHAnsi" w:cstheme="minorHAnsi"/>
                          <w:sz w:val="22"/>
                          <w:szCs w:val="22"/>
                        </w:rPr>
                        <w:t>финансија</w:t>
                      </w:r>
                      <w:r>
                        <w:rPr>
                          <w:rFonts w:asciiTheme="minorHAnsi" w:hAnsiTheme="minorHAnsi" w:cstheme="minorHAnsi"/>
                          <w:sz w:val="22"/>
                          <w:szCs w:val="22"/>
                        </w:rPr>
                        <w:t xml:space="preserve"> је отежано</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80640" behindDoc="0" locked="0" layoutInCell="1" allowOverlap="1" wp14:anchorId="078F313F" wp14:editId="0799A9C3">
                <wp:simplePos x="0" y="0"/>
                <wp:positionH relativeFrom="column">
                  <wp:posOffset>1905000</wp:posOffset>
                </wp:positionH>
                <wp:positionV relativeFrom="paragraph">
                  <wp:posOffset>385173</wp:posOffset>
                </wp:positionV>
                <wp:extent cx="2199005" cy="462915"/>
                <wp:effectExtent l="0" t="0" r="10795" b="13335"/>
                <wp:wrapNone/>
                <wp:docPr id="724" name="Text Box 724"/>
                <wp:cNvGraphicFramePr/>
                <a:graphic xmlns:a="http://schemas.openxmlformats.org/drawingml/2006/main">
                  <a:graphicData uri="http://schemas.microsoft.com/office/word/2010/wordprocessingShape">
                    <wps:wsp>
                      <wps:cNvSpPr txBox="1"/>
                      <wps:spPr>
                        <a:xfrm>
                          <a:off x="0" y="0"/>
                          <a:ext cx="2199005" cy="462915"/>
                        </a:xfrm>
                        <a:prstGeom prst="roundRect">
                          <a:avLst/>
                        </a:prstGeom>
                        <a:solidFill>
                          <a:schemeClr val="bg1"/>
                        </a:solidFill>
                        <a:ln w="19050">
                          <a:solidFill>
                            <a:srgbClr val="666D88"/>
                          </a:solidFill>
                        </a:ln>
                        <a:effectLst/>
                      </wps:spPr>
                      <wps:txbx>
                        <w:txbxContent>
                          <w:p w14:paraId="426245F1" w14:textId="77777777" w:rsidR="00876FFE" w:rsidRPr="00AC774E" w:rsidRDefault="00876FFE" w:rsidP="00BC55F6">
                            <w:pPr>
                              <w:spacing w:before="0"/>
                              <w:jc w:val="center"/>
                              <w:rPr>
                                <w:rFonts w:asciiTheme="minorHAnsi" w:hAnsiTheme="minorHAnsi" w:cstheme="minorHAnsi"/>
                                <w:sz w:val="22"/>
                                <w:szCs w:val="22"/>
                              </w:rPr>
                            </w:pPr>
                            <w:r w:rsidRPr="00AC774E">
                              <w:rPr>
                                <w:rFonts w:asciiTheme="minorHAnsi" w:hAnsiTheme="minorHAnsi" w:cstheme="minorHAnsi"/>
                                <w:sz w:val="22"/>
                                <w:szCs w:val="22"/>
                              </w:rPr>
                              <w:t>Недостаци у управљању</w:t>
                            </w:r>
                            <w:r>
                              <w:rPr>
                                <w:rFonts w:asciiTheme="minorHAnsi" w:hAnsiTheme="minorHAnsi" w:cstheme="minorHAnsi"/>
                                <w:sz w:val="22"/>
                                <w:szCs w:val="22"/>
                              </w:rPr>
                              <w:t xml:space="preserve"> </w:t>
                            </w:r>
                            <w:r w:rsidRPr="00AC774E">
                              <w:rPr>
                                <w:rFonts w:asciiTheme="minorHAnsi" w:hAnsiTheme="minorHAnsi" w:cstheme="minorHAnsi"/>
                                <w:sz w:val="22"/>
                                <w:szCs w:val="22"/>
                              </w:rPr>
                              <w:t>имовином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8F313F" id="Text Box 724" o:spid="_x0000_s1466" style="position:absolute;margin-left:150pt;margin-top:30.35pt;width:173.15pt;height:36.45pt;z-index:25208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" fillcolor="white [3212]" strokecolor="#666d88" strokeweight="1.5pt">
                <v:textbox inset="0,0,0,0">
                  <w:txbxContent>
                    <w:p w14:paraId="426245F1" w14:textId="77777777" w:rsidR="00876FFE" w:rsidRPr="00AC774E" w:rsidRDefault="00876FFE" w:rsidP="00BC55F6">
                      <w:pPr>
                        <w:spacing w:before="0"/>
                        <w:jc w:val="center"/>
                        <w:rPr>
                          <w:rFonts w:asciiTheme="minorHAnsi" w:hAnsiTheme="minorHAnsi" w:cstheme="minorHAnsi"/>
                          <w:sz w:val="22"/>
                          <w:szCs w:val="22"/>
                        </w:rPr>
                      </w:pPr>
                      <w:r w:rsidRPr="00AC774E">
                        <w:rPr>
                          <w:rFonts w:asciiTheme="minorHAnsi" w:hAnsiTheme="minorHAnsi" w:cstheme="minorHAnsi"/>
                          <w:sz w:val="22"/>
                          <w:szCs w:val="22"/>
                        </w:rPr>
                        <w:t>Недостаци у управљању</w:t>
                      </w:r>
                      <w:r>
                        <w:rPr>
                          <w:rFonts w:asciiTheme="minorHAnsi" w:hAnsiTheme="minorHAnsi" w:cstheme="minorHAnsi"/>
                          <w:sz w:val="22"/>
                          <w:szCs w:val="22"/>
                        </w:rPr>
                        <w:t xml:space="preserve"> </w:t>
                      </w:r>
                      <w:r w:rsidRPr="00AC774E">
                        <w:rPr>
                          <w:rFonts w:asciiTheme="minorHAnsi" w:hAnsiTheme="minorHAnsi" w:cstheme="minorHAnsi"/>
                          <w:sz w:val="22"/>
                          <w:szCs w:val="22"/>
                        </w:rPr>
                        <w:t>имовином</w:t>
                      </w:r>
                    </w:p>
                  </w:txbxContent>
                </v:textbox>
              </v:roundrect>
            </w:pict>
          </mc:Fallback>
        </mc:AlternateContent>
      </w:r>
      <w:r w:rsidR="00BC55F6" w:rsidRPr="000F0299">
        <w:rPr>
          <w:rFonts w:ascii="Calibri" w:eastAsiaTheme="minorHAnsi" w:hAnsi="Calibri" w:cstheme="minorBidi"/>
          <w:noProof/>
          <w:kern w:val="0"/>
          <w:sz w:val="20"/>
          <w:szCs w:val="22"/>
          <w:lang w:val="en-US" w:eastAsia="en-US" w:bidi="ar-SA"/>
        </w:rPr>
        <mc:AlternateContent>
          <mc:Choice Requires="wps">
            <w:drawing>
              <wp:anchor distT="0" distB="0" distL="114300" distR="114300" simplePos="0" relativeHeight="252096000" behindDoc="0" locked="0" layoutInCell="1" allowOverlap="1" wp14:anchorId="7399519D" wp14:editId="2D124AB9">
                <wp:simplePos x="0" y="0"/>
                <wp:positionH relativeFrom="column">
                  <wp:posOffset>-511810</wp:posOffset>
                </wp:positionH>
                <wp:positionV relativeFrom="paragraph">
                  <wp:posOffset>358231</wp:posOffset>
                </wp:positionV>
                <wp:extent cx="2199005" cy="462915"/>
                <wp:effectExtent l="0" t="0" r="10795" b="13335"/>
                <wp:wrapNone/>
                <wp:docPr id="729" name="Text Box 729"/>
                <wp:cNvGraphicFramePr/>
                <a:graphic xmlns:a="http://schemas.openxmlformats.org/drawingml/2006/main">
                  <a:graphicData uri="http://schemas.microsoft.com/office/word/2010/wordprocessingShape">
                    <wps:wsp>
                      <wps:cNvSpPr txBox="1"/>
                      <wps:spPr>
                        <a:xfrm>
                          <a:off x="0" y="0"/>
                          <a:ext cx="2199005" cy="462915"/>
                        </a:xfrm>
                        <a:prstGeom prst="roundRect">
                          <a:avLst/>
                        </a:prstGeom>
                        <a:solidFill>
                          <a:schemeClr val="bg1"/>
                        </a:solidFill>
                        <a:ln w="19050">
                          <a:solidFill>
                            <a:srgbClr val="666D88"/>
                          </a:solidFill>
                        </a:ln>
                        <a:effectLst/>
                      </wps:spPr>
                      <wps:txbx>
                        <w:txbxContent>
                          <w:p w14:paraId="4F2202D8" w14:textId="77777777" w:rsidR="00876FFE" w:rsidRPr="00AC774E" w:rsidRDefault="00876FFE" w:rsidP="00BC55F6">
                            <w:pPr>
                              <w:spacing w:before="0"/>
                              <w:ind w:firstLine="0"/>
                              <w:jc w:val="center"/>
                              <w:rPr>
                                <w:rFonts w:asciiTheme="minorHAnsi" w:hAnsiTheme="minorHAnsi" w:cstheme="minorHAnsi"/>
                                <w:sz w:val="22"/>
                                <w:szCs w:val="22"/>
                              </w:rPr>
                            </w:pPr>
                            <w:r w:rsidRPr="00AC774E">
                              <w:rPr>
                                <w:rFonts w:asciiTheme="minorHAnsi" w:hAnsiTheme="minorHAnsi" w:cstheme="minorHAnsi"/>
                                <w:sz w:val="22"/>
                                <w:szCs w:val="22"/>
                              </w:rPr>
                              <w:t>Неразвијено (развојно)</w:t>
                            </w:r>
                            <w:r>
                              <w:rPr>
                                <w:rFonts w:asciiTheme="minorHAnsi" w:hAnsiTheme="minorHAnsi" w:cstheme="minorHAnsi"/>
                                <w:sz w:val="22"/>
                                <w:szCs w:val="22"/>
                              </w:rPr>
                              <w:t xml:space="preserve"> </w:t>
                            </w:r>
                            <w:r w:rsidRPr="00AC774E">
                              <w:rPr>
                                <w:rFonts w:asciiTheme="minorHAnsi" w:hAnsiTheme="minorHAnsi" w:cstheme="minorHAnsi"/>
                                <w:sz w:val="22"/>
                                <w:szCs w:val="22"/>
                              </w:rPr>
                              <w:t>планирање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99519D" id="Text Box 729" o:spid="_x0000_s1467" style="position:absolute;margin-left:-40.3pt;margin-top:28.2pt;width:173.15pt;height:36.45pt;z-index:25209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" fillcolor="white [3212]" strokecolor="#666d88" strokeweight="1.5pt">
                <v:textbox inset="0,0,0,0">
                  <w:txbxContent>
                    <w:p w14:paraId="4F2202D8" w14:textId="77777777" w:rsidR="00876FFE" w:rsidRPr="00AC774E" w:rsidRDefault="00876FFE" w:rsidP="00BC55F6">
                      <w:pPr>
                        <w:spacing w:before="0"/>
                        <w:ind w:firstLine="0"/>
                        <w:jc w:val="center"/>
                        <w:rPr>
                          <w:rFonts w:asciiTheme="minorHAnsi" w:hAnsiTheme="minorHAnsi" w:cstheme="minorHAnsi"/>
                          <w:sz w:val="22"/>
                          <w:szCs w:val="22"/>
                        </w:rPr>
                      </w:pPr>
                      <w:r w:rsidRPr="00AC774E">
                        <w:rPr>
                          <w:rFonts w:asciiTheme="minorHAnsi" w:hAnsiTheme="minorHAnsi" w:cstheme="minorHAnsi"/>
                          <w:sz w:val="22"/>
                          <w:szCs w:val="22"/>
                        </w:rPr>
                        <w:t>Неразвијено (развојно)</w:t>
                      </w:r>
                      <w:r>
                        <w:rPr>
                          <w:rFonts w:asciiTheme="minorHAnsi" w:hAnsiTheme="minorHAnsi" w:cstheme="minorHAnsi"/>
                          <w:sz w:val="22"/>
                          <w:szCs w:val="22"/>
                        </w:rPr>
                        <w:t xml:space="preserve"> </w:t>
                      </w:r>
                      <w:r w:rsidRPr="00AC774E">
                        <w:rPr>
                          <w:rFonts w:asciiTheme="minorHAnsi" w:hAnsiTheme="minorHAnsi" w:cstheme="minorHAnsi"/>
                          <w:sz w:val="22"/>
                          <w:szCs w:val="22"/>
                        </w:rPr>
                        <w:t>планирање</w:t>
                      </w:r>
                    </w:p>
                  </w:txbxContent>
                </v:textbox>
              </v:roundrect>
            </w:pict>
          </mc:Fallback>
        </mc:AlternateContent>
      </w:r>
    </w:p>
    <w:p w14:paraId="4276BC15" w14:textId="77777777" w:rsidR="00BC55F6" w:rsidRPr="000F0299" w:rsidRDefault="00BC55F6" w:rsidP="00BC55F6">
      <w:pPr>
        <w:suppressAutoHyphens w:val="0"/>
        <w:autoSpaceDN/>
        <w:spacing w:before="0" w:after="0"/>
        <w:ind w:firstLine="0"/>
        <w:textAlignment w:val="auto"/>
        <w:rPr>
          <w:rFonts w:ascii="Arial Narrow" w:eastAsia="Times New Roman" w:hAnsi="Arial Narrow" w:cstheme="minorHAnsi"/>
          <w:b/>
          <w:bCs/>
          <w:color w:val="F78721"/>
          <w:kern w:val="0"/>
          <w:sz w:val="28"/>
          <w:szCs w:val="28"/>
          <w:lang w:eastAsia="de-DE" w:bidi="ar-SA"/>
        </w:rPr>
        <w:sectPr w:rsidR="00BC55F6" w:rsidRPr="000F0299" w:rsidSect="00545D24">
          <w:headerReference w:type="default" r:id="rId170"/>
          <w:pgSz w:w="23814" w:h="16839" w:orient="landscape" w:code="8"/>
          <w:pgMar w:top="720" w:right="1440" w:bottom="720" w:left="1440" w:header="706" w:footer="706" w:gutter="0"/>
          <w:cols w:space="708"/>
          <w:docGrid w:linePitch="360"/>
        </w:sectPr>
      </w:pPr>
    </w:p>
    <w:p w14:paraId="601A4745" w14:textId="77777777" w:rsidR="00BC55F6" w:rsidRPr="000F0299" w:rsidRDefault="00BC55F6" w:rsidP="00BC55F6">
      <w:pPr>
        <w:pStyle w:val="Heading3"/>
        <w:rPr>
          <w:lang w:val="sr-Cyrl-RS"/>
        </w:rPr>
      </w:pPr>
      <w:bookmarkStart w:id="279" w:name="_ЦИЉ_И_ПРАВЦИ_2"/>
      <w:bookmarkStart w:id="280" w:name="_Toc45013978"/>
      <w:bookmarkStart w:id="281" w:name="_Toc57139402"/>
      <w:bookmarkStart w:id="282" w:name="_Toc57661501"/>
      <w:bookmarkEnd w:id="279"/>
      <w:r w:rsidRPr="000F0299">
        <w:rPr>
          <w:lang w:val="sr-Cyrl-RS"/>
        </w:rPr>
        <w:t>Циљ</w:t>
      </w:r>
      <w:bookmarkEnd w:id="280"/>
      <w:r w:rsidRPr="000F0299">
        <w:rPr>
          <w:lang w:val="sr-Cyrl-RS"/>
        </w:rPr>
        <w:t xml:space="preserve"> и правци деловања</w:t>
      </w:r>
      <w:bookmarkEnd w:id="281"/>
      <w:bookmarkEnd w:id="282"/>
    </w:p>
    <w:p w14:paraId="6B2D1381" w14:textId="77777777" w:rsidR="00BC55F6" w:rsidRPr="000F0299" w:rsidRDefault="00BC55F6" w:rsidP="00BC55F6">
      <w:r>
        <w:rPr>
          <w:lang w:eastAsia="en-GB"/>
        </w:rPr>
        <w:t>Правци деловања биће усмерени на редефинисање</w:t>
      </w:r>
      <w:r w:rsidRPr="000F0299">
        <w:rPr>
          <w:lang w:eastAsia="en-GB"/>
        </w:rPr>
        <w:t xml:space="preserve"> положај</w:t>
      </w:r>
      <w:r>
        <w:rPr>
          <w:lang w:eastAsia="en-GB"/>
        </w:rPr>
        <w:t>а</w:t>
      </w:r>
      <w:r w:rsidRPr="000F0299">
        <w:rPr>
          <w:lang w:eastAsia="en-GB"/>
        </w:rPr>
        <w:t xml:space="preserve"> и значај</w:t>
      </w:r>
      <w:r>
        <w:rPr>
          <w:lang w:eastAsia="en-GB"/>
        </w:rPr>
        <w:t>а</w:t>
      </w:r>
      <w:r w:rsidRPr="000F0299">
        <w:rPr>
          <w:lang w:eastAsia="en-GB"/>
        </w:rPr>
        <w:t xml:space="preserve"> локалне самоуправе уз примену супсидијарности у управљању јавним пословима, пуно учешће грађана и локалне заједнице у процесу доношења одлука на локалном нивоу, даљи развој капацитета локалне самоуправе и </w:t>
      </w:r>
      <w:r>
        <w:rPr>
          <w:lang w:eastAsia="en-GB"/>
        </w:rPr>
        <w:t>бољу</w:t>
      </w:r>
      <w:r w:rsidRPr="000F0299">
        <w:rPr>
          <w:lang w:eastAsia="en-GB"/>
        </w:rPr>
        <w:t xml:space="preserve"> организацију у складу са потребама локалне заједнице, стабилан и одржив систем финансирањ</w:t>
      </w:r>
      <w:r w:rsidRPr="000F0299">
        <w:t xml:space="preserve">а локалне самоуправе који обезбеђује предвидивост и довољност прихода, </w:t>
      </w:r>
      <w:r w:rsidRPr="000F0299">
        <w:rPr>
          <w:lang w:eastAsia="en-GB"/>
        </w:rPr>
        <w:t>дугорочно планирање и подстицање локалног развоја, ефикасан рад локалне управе и локалних јавних служби са квалитетним и доступним услуга према</w:t>
      </w:r>
      <w:r>
        <w:rPr>
          <w:lang w:eastAsia="en-GB"/>
        </w:rPr>
        <w:t xml:space="preserve"> грађанима и привреди, развој међуопштинске сарадње</w:t>
      </w:r>
      <w:r w:rsidRPr="000F0299">
        <w:rPr>
          <w:lang w:eastAsia="en-GB"/>
        </w:rPr>
        <w:t xml:space="preserve"> и односе различитих нивоа јавне власти у заједничком управљању јавним пословима и развојем Републике Србије.</w:t>
      </w:r>
    </w:p>
    <w:p w14:paraId="3B523C37" w14:textId="77777777" w:rsidR="00BC55F6" w:rsidRPr="000F0299" w:rsidRDefault="00BC55F6" w:rsidP="00BC55F6">
      <w:pPr>
        <w:pStyle w:val="Heading4"/>
        <w:rPr>
          <w:lang w:val="sr-Cyrl-RS"/>
        </w:rPr>
      </w:pPr>
      <w:r w:rsidRPr="000F0299">
        <w:rPr>
          <w:lang w:val="sr-Cyrl-RS"/>
        </w:rPr>
        <w:t>Посебан циљ 6.1: Успостављен систем локалне самоуправе који омогућава делотворно и одрживо остваривање права грађана на локалну самоуправу</w:t>
      </w:r>
    </w:p>
    <w:p w14:paraId="5CDCE9AA" w14:textId="77777777" w:rsidR="00BC55F6" w:rsidRPr="000F0299" w:rsidRDefault="00BC55F6" w:rsidP="00BC55F6">
      <w:pPr>
        <w:rPr>
          <w:lang w:eastAsia="en-GB"/>
        </w:rPr>
      </w:pPr>
      <w:r w:rsidRPr="000F0299">
        <w:rPr>
          <w:lang w:eastAsia="en-GB"/>
        </w:rPr>
        <w:t>Циљ је изградња модерне, професионалне и ефикасне локалне самоуправе</w:t>
      </w:r>
      <w:r w:rsidRPr="000F0299">
        <w:t xml:space="preserve"> </w:t>
      </w:r>
      <w:r w:rsidRPr="000F0299">
        <w:rPr>
          <w:lang w:eastAsia="en-GB"/>
        </w:rPr>
        <w:t xml:space="preserve">која је способна да пружа квалитетне јавне услуге грађанима и привреди, да примењује начела доброг управљања у свом раду и да својим деловањем унапређује квалитет живота грађана и доприноси равномерном развоју Републике Србије. </w:t>
      </w:r>
    </w:p>
    <w:tbl>
      <w:tblPr>
        <w:tblW w:w="5097" w:type="pct"/>
        <w:shd w:val="clear" w:color="auto" w:fill="E7E6E6" w:themeFill="background2"/>
        <w:tblLook w:val="00A0" w:firstRow="1" w:lastRow="0" w:firstColumn="1" w:lastColumn="0" w:noHBand="0" w:noVBand="0"/>
      </w:tblPr>
      <w:tblGrid>
        <w:gridCol w:w="342"/>
        <w:gridCol w:w="4907"/>
        <w:gridCol w:w="1763"/>
        <w:gridCol w:w="1856"/>
        <w:gridCol w:w="331"/>
      </w:tblGrid>
      <w:tr w:rsidR="00BC55F6" w:rsidRPr="000F0299" w14:paraId="6CA44003" w14:textId="77777777" w:rsidTr="00BE0973">
        <w:trPr>
          <w:trHeight w:val="20"/>
        </w:trPr>
        <w:tc>
          <w:tcPr>
            <w:tcW w:w="186" w:type="pct"/>
            <w:tcBorders>
              <w:top w:val="single" w:sz="18" w:space="0" w:color="C00000"/>
              <w:left w:val="single" w:sz="18" w:space="0" w:color="C00000"/>
            </w:tcBorders>
            <w:shd w:val="clear" w:color="auto" w:fill="F2F2F2" w:themeFill="background1" w:themeFillShade="F2"/>
          </w:tcPr>
          <w:p w14:paraId="21FCF6E0" w14:textId="77777777" w:rsidR="00BC55F6" w:rsidRPr="000F0299" w:rsidRDefault="00BC55F6" w:rsidP="00BE0973">
            <w:pPr>
              <w:spacing w:before="0" w:after="0"/>
              <w:ind w:firstLine="0"/>
              <w:rPr>
                <w:b/>
                <w:bCs/>
                <w:sz w:val="16"/>
                <w:szCs w:val="16"/>
              </w:rPr>
            </w:pPr>
          </w:p>
        </w:tc>
        <w:tc>
          <w:tcPr>
            <w:tcW w:w="2667" w:type="pct"/>
            <w:tcBorders>
              <w:top w:val="single" w:sz="18" w:space="0" w:color="C00000"/>
            </w:tcBorders>
            <w:shd w:val="clear" w:color="auto" w:fill="F2F2F2" w:themeFill="background1" w:themeFillShade="F2"/>
          </w:tcPr>
          <w:p w14:paraId="0097BA3C" w14:textId="77777777" w:rsidR="00BC55F6" w:rsidRPr="000F0299" w:rsidRDefault="00BC55F6" w:rsidP="00BE0973">
            <w:pPr>
              <w:spacing w:before="0" w:after="0"/>
              <w:ind w:firstLine="0"/>
              <w:rPr>
                <w:b/>
                <w:bCs/>
                <w:sz w:val="16"/>
                <w:szCs w:val="16"/>
              </w:rPr>
            </w:pPr>
          </w:p>
        </w:tc>
        <w:tc>
          <w:tcPr>
            <w:tcW w:w="958" w:type="pct"/>
            <w:tcBorders>
              <w:top w:val="single" w:sz="18" w:space="0" w:color="C00000"/>
            </w:tcBorders>
            <w:shd w:val="clear" w:color="auto" w:fill="F2F2F2" w:themeFill="background1" w:themeFillShade="F2"/>
            <w:vAlign w:val="center"/>
          </w:tcPr>
          <w:p w14:paraId="57D02E84" w14:textId="77777777" w:rsidR="00BC55F6" w:rsidRPr="000F0299" w:rsidRDefault="00BC55F6" w:rsidP="00BE0973">
            <w:pPr>
              <w:spacing w:before="0" w:after="0"/>
              <w:ind w:firstLine="0"/>
              <w:jc w:val="center"/>
              <w:rPr>
                <w:b/>
                <w:bCs/>
                <w:sz w:val="16"/>
                <w:szCs w:val="16"/>
              </w:rPr>
            </w:pPr>
          </w:p>
        </w:tc>
        <w:tc>
          <w:tcPr>
            <w:tcW w:w="1009" w:type="pct"/>
            <w:tcBorders>
              <w:top w:val="single" w:sz="18" w:space="0" w:color="C00000"/>
            </w:tcBorders>
            <w:shd w:val="clear" w:color="auto" w:fill="F2F2F2" w:themeFill="background1" w:themeFillShade="F2"/>
            <w:vAlign w:val="center"/>
          </w:tcPr>
          <w:p w14:paraId="689569EC" w14:textId="77777777" w:rsidR="00BC55F6" w:rsidRPr="000F0299" w:rsidRDefault="00BC55F6" w:rsidP="00BE0973">
            <w:pPr>
              <w:spacing w:before="0" w:after="0"/>
              <w:ind w:firstLine="0"/>
              <w:jc w:val="center"/>
              <w:rPr>
                <w:b/>
                <w:bCs/>
                <w:sz w:val="16"/>
                <w:szCs w:val="16"/>
              </w:rPr>
            </w:pPr>
          </w:p>
        </w:tc>
        <w:tc>
          <w:tcPr>
            <w:tcW w:w="180" w:type="pct"/>
            <w:tcBorders>
              <w:top w:val="single" w:sz="18" w:space="0" w:color="C00000"/>
              <w:right w:val="single" w:sz="18" w:space="0" w:color="C00000"/>
            </w:tcBorders>
            <w:shd w:val="clear" w:color="auto" w:fill="F2F2F2" w:themeFill="background1" w:themeFillShade="F2"/>
          </w:tcPr>
          <w:p w14:paraId="470D8496" w14:textId="77777777" w:rsidR="00BC55F6" w:rsidRPr="000F0299" w:rsidRDefault="00BC55F6" w:rsidP="00BE0973">
            <w:pPr>
              <w:spacing w:before="0" w:after="0"/>
              <w:ind w:firstLine="0"/>
              <w:jc w:val="center"/>
              <w:rPr>
                <w:b/>
                <w:bCs/>
                <w:sz w:val="16"/>
                <w:szCs w:val="16"/>
              </w:rPr>
            </w:pPr>
          </w:p>
        </w:tc>
      </w:tr>
      <w:tr w:rsidR="00BC55F6" w:rsidRPr="000F0299" w14:paraId="3EBFBEB7" w14:textId="77777777" w:rsidTr="00BE0973">
        <w:trPr>
          <w:trHeight w:val="490"/>
        </w:trPr>
        <w:tc>
          <w:tcPr>
            <w:tcW w:w="186" w:type="pct"/>
            <w:tcBorders>
              <w:left w:val="single" w:sz="18" w:space="0" w:color="C00000"/>
            </w:tcBorders>
            <w:shd w:val="clear" w:color="auto" w:fill="F2F2F2" w:themeFill="background1" w:themeFillShade="F2"/>
          </w:tcPr>
          <w:p w14:paraId="7438A4E7" w14:textId="77777777" w:rsidR="00BC55F6" w:rsidRPr="000F0299" w:rsidRDefault="00BC55F6" w:rsidP="00BE0973">
            <w:pPr>
              <w:spacing w:before="0" w:after="0"/>
              <w:ind w:firstLine="0"/>
              <w:rPr>
                <w:b/>
                <w:bCs/>
              </w:rPr>
            </w:pPr>
          </w:p>
        </w:tc>
        <w:tc>
          <w:tcPr>
            <w:tcW w:w="2667" w:type="pct"/>
            <w:tcBorders>
              <w:left w:val="nil"/>
              <w:bottom w:val="single" w:sz="18" w:space="0" w:color="C00000"/>
              <w:right w:val="single" w:sz="18" w:space="0" w:color="FFFFFF" w:themeColor="background1"/>
            </w:tcBorders>
            <w:shd w:val="clear" w:color="auto" w:fill="F2F2F2" w:themeFill="background1" w:themeFillShade="F2"/>
          </w:tcPr>
          <w:p w14:paraId="3C1B2ED3" w14:textId="77777777" w:rsidR="00BC55F6" w:rsidRPr="000F0299" w:rsidRDefault="00BC55F6" w:rsidP="00BE0973">
            <w:pPr>
              <w:spacing w:before="0" w:after="0"/>
              <w:ind w:firstLine="0"/>
              <w:rPr>
                <w:b/>
                <w:bCs/>
              </w:rPr>
            </w:pPr>
            <w:r w:rsidRPr="000F0299">
              <w:rPr>
                <w:b/>
                <w:bCs/>
              </w:rPr>
              <w:t>Показатељ исхода</w:t>
            </w:r>
          </w:p>
        </w:tc>
        <w:tc>
          <w:tcPr>
            <w:tcW w:w="958" w:type="pct"/>
            <w:tcBorders>
              <w:left w:val="single" w:sz="18" w:space="0" w:color="FFFFFF" w:themeColor="background1"/>
              <w:bottom w:val="single" w:sz="18" w:space="0" w:color="C00000"/>
              <w:right w:val="single" w:sz="18" w:space="0" w:color="FFFFFF" w:themeColor="background1"/>
            </w:tcBorders>
            <w:shd w:val="clear" w:color="auto" w:fill="F2F2F2" w:themeFill="background1" w:themeFillShade="F2"/>
            <w:vAlign w:val="center"/>
          </w:tcPr>
          <w:p w14:paraId="79E026B2" w14:textId="77777777" w:rsidR="00BC55F6" w:rsidRPr="000F0299" w:rsidRDefault="00BC55F6" w:rsidP="00BE0973">
            <w:pPr>
              <w:spacing w:before="0" w:after="0"/>
              <w:ind w:firstLine="0"/>
              <w:jc w:val="center"/>
              <w:rPr>
                <w:b/>
                <w:bCs/>
              </w:rPr>
            </w:pPr>
            <w:r w:rsidRPr="000F0299">
              <w:rPr>
                <w:b/>
                <w:bCs/>
              </w:rPr>
              <w:t>ПВ</w:t>
            </w:r>
          </w:p>
        </w:tc>
        <w:tc>
          <w:tcPr>
            <w:tcW w:w="1009" w:type="pct"/>
            <w:tcBorders>
              <w:left w:val="single" w:sz="18" w:space="0" w:color="FFFFFF" w:themeColor="background1"/>
              <w:bottom w:val="single" w:sz="18" w:space="0" w:color="C00000"/>
            </w:tcBorders>
            <w:shd w:val="clear" w:color="auto" w:fill="F2F2F2" w:themeFill="background1" w:themeFillShade="F2"/>
            <w:vAlign w:val="center"/>
          </w:tcPr>
          <w:p w14:paraId="273976E6" w14:textId="77777777" w:rsidR="00BC55F6" w:rsidRPr="000F0299" w:rsidRDefault="00BC55F6" w:rsidP="00BE0973">
            <w:pPr>
              <w:spacing w:before="0" w:after="0"/>
              <w:ind w:firstLine="0"/>
              <w:jc w:val="center"/>
              <w:rPr>
                <w:b/>
                <w:bCs/>
              </w:rPr>
            </w:pPr>
            <w:r w:rsidRPr="000F0299">
              <w:rPr>
                <w:b/>
                <w:bCs/>
              </w:rPr>
              <w:t>ЦВ</w:t>
            </w:r>
          </w:p>
        </w:tc>
        <w:tc>
          <w:tcPr>
            <w:tcW w:w="180" w:type="pct"/>
            <w:tcBorders>
              <w:right w:val="single" w:sz="18" w:space="0" w:color="C00000"/>
            </w:tcBorders>
            <w:shd w:val="clear" w:color="auto" w:fill="F2F2F2" w:themeFill="background1" w:themeFillShade="F2"/>
          </w:tcPr>
          <w:p w14:paraId="62930F53" w14:textId="77777777" w:rsidR="00BC55F6" w:rsidRPr="000F0299" w:rsidRDefault="00BC55F6" w:rsidP="00BE0973">
            <w:pPr>
              <w:spacing w:before="0" w:after="0"/>
              <w:ind w:firstLine="0"/>
              <w:jc w:val="center"/>
              <w:rPr>
                <w:b/>
                <w:bCs/>
              </w:rPr>
            </w:pPr>
          </w:p>
        </w:tc>
      </w:tr>
      <w:tr w:rsidR="00BC55F6" w:rsidRPr="000F0299" w14:paraId="336E997E" w14:textId="77777777" w:rsidTr="00BE0973">
        <w:trPr>
          <w:trHeight w:val="1082"/>
        </w:trPr>
        <w:tc>
          <w:tcPr>
            <w:tcW w:w="186" w:type="pct"/>
            <w:tcBorders>
              <w:left w:val="single" w:sz="18" w:space="0" w:color="C00000"/>
            </w:tcBorders>
            <w:shd w:val="clear" w:color="auto" w:fill="F2F2F2" w:themeFill="background1" w:themeFillShade="F2"/>
          </w:tcPr>
          <w:p w14:paraId="5D044AF8" w14:textId="77777777" w:rsidR="00BC55F6" w:rsidRPr="000F0299" w:rsidRDefault="00BC55F6" w:rsidP="00BE0973">
            <w:pPr>
              <w:spacing w:before="0" w:after="0"/>
              <w:ind w:firstLine="0"/>
            </w:pPr>
          </w:p>
        </w:tc>
        <w:tc>
          <w:tcPr>
            <w:tcW w:w="2667" w:type="pct"/>
            <w:tcBorders>
              <w:top w:val="single" w:sz="18" w:space="0" w:color="C00000"/>
              <w:left w:val="nil"/>
              <w:bottom w:val="single" w:sz="18" w:space="0" w:color="FFFFFF" w:themeColor="background1"/>
              <w:right w:val="single" w:sz="18" w:space="0" w:color="FFFFFF" w:themeColor="background1"/>
            </w:tcBorders>
            <w:shd w:val="clear" w:color="auto" w:fill="F2F2F2" w:themeFill="background1" w:themeFillShade="F2"/>
          </w:tcPr>
          <w:p w14:paraId="08BCF9CB" w14:textId="77777777" w:rsidR="00BC55F6" w:rsidRPr="000F0299" w:rsidRDefault="00BC55F6" w:rsidP="00BE0973">
            <w:pPr>
              <w:spacing w:before="0" w:after="0"/>
              <w:ind w:firstLine="0"/>
            </w:pPr>
            <w:r w:rsidRPr="000F0299">
              <w:t xml:space="preserve">Усаглашеност система локалне самоуправе са кључним принципима Европске повеље о локалној самоуправи  </w:t>
            </w:r>
          </w:p>
        </w:tc>
        <w:tc>
          <w:tcPr>
            <w:tcW w:w="958" w:type="pct"/>
            <w:tcBorders>
              <w:top w:val="single" w:sz="18" w:space="0" w:color="C00000"/>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4C79139" w14:textId="77777777" w:rsidR="00BC55F6" w:rsidRPr="000F0299" w:rsidRDefault="00BC55F6" w:rsidP="00BE0973">
            <w:pPr>
              <w:spacing w:before="0" w:after="0"/>
              <w:ind w:firstLine="0"/>
            </w:pPr>
            <w:r w:rsidRPr="000F0299">
              <w:t>(2019): 3</w:t>
            </w:r>
          </w:p>
        </w:tc>
        <w:tc>
          <w:tcPr>
            <w:tcW w:w="1009" w:type="pct"/>
            <w:tcBorders>
              <w:top w:val="single" w:sz="18" w:space="0" w:color="C00000"/>
              <w:left w:val="single" w:sz="18" w:space="0" w:color="FFFFFF" w:themeColor="background1"/>
              <w:bottom w:val="single" w:sz="18" w:space="0" w:color="FFFFFF" w:themeColor="background1"/>
            </w:tcBorders>
            <w:shd w:val="clear" w:color="auto" w:fill="F2F2F2" w:themeFill="background1" w:themeFillShade="F2"/>
          </w:tcPr>
          <w:p w14:paraId="071B258E" w14:textId="77777777" w:rsidR="00BC55F6" w:rsidRPr="000F0299" w:rsidRDefault="00BC55F6" w:rsidP="00BE0973">
            <w:pPr>
              <w:spacing w:before="0" w:after="0"/>
              <w:ind w:firstLine="0"/>
            </w:pPr>
            <w:r w:rsidRPr="000F0299">
              <w:t>(2021): -</w:t>
            </w:r>
          </w:p>
          <w:p w14:paraId="377C7701" w14:textId="77777777" w:rsidR="00BC55F6" w:rsidRPr="000F0299" w:rsidRDefault="00BC55F6" w:rsidP="00BE0973">
            <w:pPr>
              <w:spacing w:before="0" w:after="0"/>
              <w:ind w:firstLine="0"/>
            </w:pPr>
            <w:r w:rsidRPr="000F0299">
              <w:t>(2022): -</w:t>
            </w:r>
          </w:p>
          <w:p w14:paraId="3CEE209A" w14:textId="77777777" w:rsidR="00BC55F6" w:rsidRPr="000F0299" w:rsidRDefault="00BC55F6" w:rsidP="00BE0973">
            <w:pPr>
              <w:spacing w:before="0" w:after="0"/>
              <w:ind w:firstLine="0"/>
            </w:pPr>
            <w:r w:rsidRPr="000F0299">
              <w:t>(2023): -</w:t>
            </w:r>
          </w:p>
          <w:p w14:paraId="1665997A" w14:textId="77777777" w:rsidR="00BC55F6" w:rsidRPr="000F0299" w:rsidRDefault="00BC55F6" w:rsidP="00BE0973">
            <w:pPr>
              <w:spacing w:before="0" w:after="0"/>
              <w:ind w:firstLine="0"/>
            </w:pPr>
            <w:r w:rsidRPr="000F0299">
              <w:t>(2024): 4</w:t>
            </w:r>
          </w:p>
          <w:p w14:paraId="52BD9584" w14:textId="77777777" w:rsidR="00BC55F6" w:rsidRPr="000F0299" w:rsidRDefault="00BC55F6" w:rsidP="00BE0973">
            <w:pPr>
              <w:spacing w:before="0" w:after="0"/>
              <w:ind w:firstLine="0"/>
            </w:pPr>
            <w:r w:rsidRPr="000F0299">
              <w:t>(2025): -</w:t>
            </w:r>
          </w:p>
          <w:p w14:paraId="4E1DCBA2" w14:textId="77777777" w:rsidR="00BC55F6" w:rsidRPr="000F0299" w:rsidRDefault="00BC55F6" w:rsidP="00BE0973">
            <w:pPr>
              <w:spacing w:before="0" w:after="0"/>
              <w:ind w:firstLine="0"/>
            </w:pPr>
            <w:r w:rsidRPr="000F0299">
              <w:t>(2027): 5</w:t>
            </w:r>
          </w:p>
          <w:p w14:paraId="6819E828" w14:textId="77777777" w:rsidR="00BC55F6" w:rsidRPr="000F0299" w:rsidRDefault="00BC55F6" w:rsidP="00BE0973">
            <w:pPr>
              <w:spacing w:before="0" w:after="0"/>
              <w:ind w:firstLine="0"/>
            </w:pPr>
            <w:r w:rsidRPr="000F0299">
              <w:t>(2030): 5</w:t>
            </w:r>
          </w:p>
        </w:tc>
        <w:tc>
          <w:tcPr>
            <w:tcW w:w="180" w:type="pct"/>
            <w:tcBorders>
              <w:right w:val="single" w:sz="18" w:space="0" w:color="C00000"/>
            </w:tcBorders>
            <w:shd w:val="clear" w:color="auto" w:fill="F2F2F2" w:themeFill="background1" w:themeFillShade="F2"/>
          </w:tcPr>
          <w:p w14:paraId="44EC2C5C" w14:textId="77777777" w:rsidR="00BC55F6" w:rsidRPr="000F0299" w:rsidRDefault="00BC55F6" w:rsidP="00BE0973">
            <w:pPr>
              <w:spacing w:before="0" w:after="0"/>
              <w:ind w:firstLine="0"/>
            </w:pPr>
          </w:p>
        </w:tc>
      </w:tr>
      <w:tr w:rsidR="00BC55F6" w:rsidRPr="000F0299" w14:paraId="4C2A7B0A" w14:textId="77777777" w:rsidTr="00BE0973">
        <w:trPr>
          <w:trHeight w:val="381"/>
        </w:trPr>
        <w:tc>
          <w:tcPr>
            <w:tcW w:w="186" w:type="pct"/>
            <w:tcBorders>
              <w:left w:val="single" w:sz="18" w:space="0" w:color="C00000"/>
            </w:tcBorders>
            <w:shd w:val="clear" w:color="auto" w:fill="F2F2F2" w:themeFill="background1" w:themeFillShade="F2"/>
          </w:tcPr>
          <w:p w14:paraId="350348F9" w14:textId="77777777" w:rsidR="00BC55F6" w:rsidRPr="000F0299" w:rsidRDefault="00BC55F6" w:rsidP="00BE0973">
            <w:pPr>
              <w:spacing w:before="0" w:after="0"/>
              <w:ind w:firstLine="0"/>
            </w:pPr>
          </w:p>
        </w:tc>
        <w:tc>
          <w:tcPr>
            <w:tcW w:w="2667"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5A1335E6" w14:textId="77777777" w:rsidR="00BC55F6" w:rsidRPr="000F0299" w:rsidRDefault="00BC55F6" w:rsidP="00BE0973">
            <w:pPr>
              <w:spacing w:before="0" w:after="0"/>
              <w:ind w:firstLine="0"/>
            </w:pPr>
            <w:r w:rsidRPr="000F0299">
              <w:t>Удео расхода ЛС и консолидованим јавним расходима у РС</w:t>
            </w:r>
          </w:p>
        </w:tc>
        <w:tc>
          <w:tcPr>
            <w:tcW w:w="95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2E07904C" w14:textId="77777777" w:rsidR="00BC55F6" w:rsidRPr="000F0299" w:rsidRDefault="00BC55F6" w:rsidP="00BE0973">
            <w:pPr>
              <w:spacing w:before="0" w:after="0"/>
              <w:ind w:firstLine="0"/>
            </w:pPr>
            <w:r w:rsidRPr="000F0299">
              <w:t>(2019): 14,75%</w:t>
            </w:r>
          </w:p>
        </w:tc>
        <w:tc>
          <w:tcPr>
            <w:tcW w:w="1009"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733781FB" w14:textId="77777777" w:rsidR="00BC55F6" w:rsidRPr="000F0299" w:rsidRDefault="00BC55F6" w:rsidP="00BE0973">
            <w:pPr>
              <w:spacing w:before="0" w:after="0"/>
              <w:ind w:firstLine="0"/>
            </w:pPr>
            <w:r w:rsidRPr="000F0299">
              <w:t xml:space="preserve">(2021): </w:t>
            </w:r>
            <w:r w:rsidRPr="000F0299">
              <w:rPr>
                <w:color w:val="000000" w:themeColor="text1"/>
              </w:rPr>
              <w:t>14.80%</w:t>
            </w:r>
          </w:p>
          <w:p w14:paraId="33827A3D" w14:textId="77777777" w:rsidR="00BC55F6" w:rsidRPr="000F0299" w:rsidRDefault="00BC55F6" w:rsidP="00BE0973">
            <w:pPr>
              <w:spacing w:before="0" w:after="0"/>
              <w:ind w:firstLine="0"/>
            </w:pPr>
            <w:r w:rsidRPr="000F0299">
              <w:t xml:space="preserve">(2022): </w:t>
            </w:r>
            <w:r w:rsidRPr="000F0299">
              <w:rPr>
                <w:color w:val="000000" w:themeColor="text1"/>
              </w:rPr>
              <w:t>14.90%</w:t>
            </w:r>
          </w:p>
          <w:p w14:paraId="2F9839F9" w14:textId="77777777" w:rsidR="00BC55F6" w:rsidRPr="000F0299" w:rsidRDefault="00BC55F6" w:rsidP="00BE0973">
            <w:pPr>
              <w:spacing w:before="0" w:after="0"/>
              <w:ind w:firstLine="0"/>
            </w:pPr>
            <w:r w:rsidRPr="000F0299">
              <w:t xml:space="preserve">(2023): </w:t>
            </w:r>
            <w:r w:rsidRPr="000F0299">
              <w:rPr>
                <w:color w:val="000000" w:themeColor="text1"/>
              </w:rPr>
              <w:t>15.25%</w:t>
            </w:r>
          </w:p>
          <w:p w14:paraId="7DF4C7B1" w14:textId="77777777" w:rsidR="00BC55F6" w:rsidRPr="000F0299" w:rsidRDefault="00BC55F6" w:rsidP="00BE0973">
            <w:pPr>
              <w:spacing w:before="0" w:after="0"/>
              <w:ind w:firstLine="0"/>
            </w:pPr>
            <w:r w:rsidRPr="000F0299">
              <w:t xml:space="preserve">(2024): </w:t>
            </w:r>
            <w:r w:rsidRPr="000F0299">
              <w:rPr>
                <w:color w:val="000000" w:themeColor="text1"/>
              </w:rPr>
              <w:t>15.50%</w:t>
            </w:r>
          </w:p>
          <w:p w14:paraId="329DC105" w14:textId="77777777" w:rsidR="00BC55F6" w:rsidRPr="000F0299" w:rsidRDefault="00BC55F6" w:rsidP="00BE0973">
            <w:pPr>
              <w:spacing w:before="0" w:after="0"/>
              <w:ind w:firstLine="0"/>
            </w:pPr>
            <w:r w:rsidRPr="000F0299">
              <w:t xml:space="preserve">(2025): </w:t>
            </w:r>
            <w:r w:rsidRPr="000F0299">
              <w:rPr>
                <w:color w:val="000000" w:themeColor="text1"/>
              </w:rPr>
              <w:t>16.00%</w:t>
            </w:r>
          </w:p>
          <w:p w14:paraId="6902B00F" w14:textId="77777777" w:rsidR="00BC55F6" w:rsidRPr="000F0299" w:rsidRDefault="00BC55F6" w:rsidP="00BE0973">
            <w:pPr>
              <w:spacing w:before="0" w:after="0"/>
              <w:ind w:firstLine="0"/>
            </w:pPr>
            <w:r w:rsidRPr="000F0299">
              <w:t xml:space="preserve">(2027): </w:t>
            </w:r>
            <w:r w:rsidRPr="000F0299">
              <w:rPr>
                <w:color w:val="000000" w:themeColor="text1"/>
              </w:rPr>
              <w:t>17.0%</w:t>
            </w:r>
          </w:p>
          <w:p w14:paraId="27292816" w14:textId="77777777" w:rsidR="00BC55F6" w:rsidRPr="000F0299" w:rsidRDefault="00BC55F6" w:rsidP="00BE0973">
            <w:pPr>
              <w:spacing w:before="0" w:after="0"/>
              <w:ind w:firstLine="0"/>
            </w:pPr>
            <w:r w:rsidRPr="000F0299">
              <w:t>(2030): 18%</w:t>
            </w:r>
          </w:p>
        </w:tc>
        <w:tc>
          <w:tcPr>
            <w:tcW w:w="180" w:type="pct"/>
            <w:tcBorders>
              <w:right w:val="single" w:sz="18" w:space="0" w:color="C00000"/>
            </w:tcBorders>
            <w:shd w:val="clear" w:color="auto" w:fill="F2F2F2" w:themeFill="background1" w:themeFillShade="F2"/>
          </w:tcPr>
          <w:p w14:paraId="70F39866" w14:textId="77777777" w:rsidR="00BC55F6" w:rsidRPr="000F0299" w:rsidRDefault="00BC55F6" w:rsidP="00BE0973">
            <w:pPr>
              <w:spacing w:before="0" w:after="0"/>
              <w:ind w:firstLine="0"/>
            </w:pPr>
          </w:p>
        </w:tc>
      </w:tr>
      <w:tr w:rsidR="00BC55F6" w:rsidRPr="000F0299" w14:paraId="4BDBE94B" w14:textId="77777777" w:rsidTr="00BE0973">
        <w:trPr>
          <w:trHeight w:val="381"/>
        </w:trPr>
        <w:tc>
          <w:tcPr>
            <w:tcW w:w="186" w:type="pct"/>
            <w:tcBorders>
              <w:left w:val="single" w:sz="18" w:space="0" w:color="C00000"/>
            </w:tcBorders>
            <w:shd w:val="clear" w:color="auto" w:fill="F2F2F2" w:themeFill="background1" w:themeFillShade="F2"/>
          </w:tcPr>
          <w:p w14:paraId="14BEFD63" w14:textId="77777777" w:rsidR="00BC55F6" w:rsidRPr="000F0299" w:rsidRDefault="00BC55F6" w:rsidP="00BE0973">
            <w:pPr>
              <w:spacing w:before="0" w:after="0"/>
              <w:ind w:firstLine="0"/>
            </w:pPr>
          </w:p>
        </w:tc>
        <w:tc>
          <w:tcPr>
            <w:tcW w:w="2667"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7E0B6EC4" w14:textId="77777777" w:rsidR="00BC55F6" w:rsidRPr="000F0299" w:rsidRDefault="00BC55F6" w:rsidP="00BE0973">
            <w:pPr>
              <w:spacing w:before="0" w:after="0"/>
              <w:ind w:firstLine="0"/>
            </w:pPr>
            <w:r w:rsidRPr="000F0299">
              <w:t>Капацитет ЈЛС за спровођење начела доброг управљања</w:t>
            </w:r>
          </w:p>
        </w:tc>
        <w:tc>
          <w:tcPr>
            <w:tcW w:w="95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17A55110" w14:textId="77777777" w:rsidR="00BC55F6" w:rsidRPr="000F0299" w:rsidRDefault="00BC55F6" w:rsidP="00BE0973">
            <w:pPr>
              <w:spacing w:before="0" w:after="0"/>
              <w:ind w:firstLine="0"/>
            </w:pPr>
            <w:r w:rsidRPr="000F0299">
              <w:t>(2019): 39%</w:t>
            </w:r>
          </w:p>
        </w:tc>
        <w:tc>
          <w:tcPr>
            <w:tcW w:w="1009"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3C239008" w14:textId="77777777" w:rsidR="00BC55F6" w:rsidRPr="000F0299" w:rsidRDefault="00BC55F6" w:rsidP="00BE0973">
            <w:pPr>
              <w:spacing w:before="0" w:after="0"/>
              <w:ind w:firstLine="0"/>
            </w:pPr>
            <w:r w:rsidRPr="000F0299">
              <w:t>(2021): +10%</w:t>
            </w:r>
          </w:p>
          <w:p w14:paraId="3B5945BE" w14:textId="77777777" w:rsidR="00BC55F6" w:rsidRPr="000F0299" w:rsidRDefault="00BC55F6" w:rsidP="00BE0973">
            <w:pPr>
              <w:spacing w:before="0" w:after="0"/>
              <w:ind w:firstLine="0"/>
            </w:pPr>
            <w:r w:rsidRPr="000F0299">
              <w:t>(2022): -</w:t>
            </w:r>
          </w:p>
          <w:p w14:paraId="6AD564C2" w14:textId="77777777" w:rsidR="00BC55F6" w:rsidRPr="000F0299" w:rsidRDefault="00BC55F6" w:rsidP="00BE0973">
            <w:pPr>
              <w:spacing w:before="0" w:after="0"/>
              <w:ind w:firstLine="0"/>
            </w:pPr>
            <w:r w:rsidRPr="000F0299">
              <w:t>(2023): +20%</w:t>
            </w:r>
          </w:p>
          <w:p w14:paraId="17876568" w14:textId="77777777" w:rsidR="00BC55F6" w:rsidRPr="000F0299" w:rsidRDefault="00BC55F6" w:rsidP="00BE0973">
            <w:pPr>
              <w:spacing w:before="0" w:after="0"/>
              <w:ind w:firstLine="0"/>
            </w:pPr>
            <w:r w:rsidRPr="000F0299">
              <w:t>(2024): +40%</w:t>
            </w:r>
          </w:p>
          <w:p w14:paraId="404A153B" w14:textId="77777777" w:rsidR="00BC55F6" w:rsidRPr="000F0299" w:rsidRDefault="00BC55F6" w:rsidP="00BE0973">
            <w:pPr>
              <w:spacing w:before="0" w:after="0"/>
              <w:ind w:firstLine="0"/>
            </w:pPr>
            <w:r w:rsidRPr="000F0299">
              <w:t>(2025): -</w:t>
            </w:r>
          </w:p>
          <w:p w14:paraId="751D5917" w14:textId="77777777" w:rsidR="00BC55F6" w:rsidRPr="000F0299" w:rsidRDefault="00BC55F6" w:rsidP="00BE0973">
            <w:pPr>
              <w:spacing w:before="0" w:after="0"/>
              <w:ind w:firstLine="0"/>
            </w:pPr>
            <w:r w:rsidRPr="000F0299">
              <w:t>(2027): +60%</w:t>
            </w:r>
          </w:p>
          <w:p w14:paraId="01EFAD56" w14:textId="77777777" w:rsidR="00BC55F6" w:rsidRPr="000F0299" w:rsidRDefault="00BC55F6" w:rsidP="00BE0973">
            <w:pPr>
              <w:spacing w:before="0" w:after="0"/>
              <w:ind w:firstLine="0"/>
            </w:pPr>
            <w:r w:rsidRPr="000F0299">
              <w:t>(2030): +100%</w:t>
            </w:r>
          </w:p>
        </w:tc>
        <w:tc>
          <w:tcPr>
            <w:tcW w:w="180" w:type="pct"/>
            <w:tcBorders>
              <w:right w:val="single" w:sz="18" w:space="0" w:color="C00000"/>
            </w:tcBorders>
            <w:shd w:val="clear" w:color="auto" w:fill="F2F2F2" w:themeFill="background1" w:themeFillShade="F2"/>
          </w:tcPr>
          <w:p w14:paraId="62D977F5" w14:textId="77777777" w:rsidR="00BC55F6" w:rsidRPr="000F0299" w:rsidRDefault="00BC55F6" w:rsidP="00BE0973">
            <w:pPr>
              <w:spacing w:before="0" w:after="0"/>
              <w:ind w:firstLine="0"/>
            </w:pPr>
          </w:p>
        </w:tc>
      </w:tr>
      <w:tr w:rsidR="00BC55F6" w:rsidRPr="000F0299" w14:paraId="0C44E485" w14:textId="77777777" w:rsidTr="00BE0973">
        <w:trPr>
          <w:trHeight w:val="381"/>
        </w:trPr>
        <w:tc>
          <w:tcPr>
            <w:tcW w:w="186" w:type="pct"/>
            <w:tcBorders>
              <w:left w:val="single" w:sz="18" w:space="0" w:color="C00000"/>
            </w:tcBorders>
            <w:shd w:val="clear" w:color="auto" w:fill="F2F2F2" w:themeFill="background1" w:themeFillShade="F2"/>
          </w:tcPr>
          <w:p w14:paraId="4E91B351" w14:textId="77777777" w:rsidR="00BC55F6" w:rsidRPr="000F0299" w:rsidRDefault="00BC55F6" w:rsidP="00BE0973">
            <w:pPr>
              <w:spacing w:before="0" w:after="0"/>
              <w:ind w:firstLine="0"/>
            </w:pPr>
          </w:p>
        </w:tc>
        <w:tc>
          <w:tcPr>
            <w:tcW w:w="2667"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469918CC" w14:textId="77777777" w:rsidR="00BC55F6" w:rsidRPr="000F0299" w:rsidRDefault="00BC55F6" w:rsidP="00BE0973">
            <w:pPr>
              <w:spacing w:before="0" w:after="0"/>
              <w:ind w:firstLine="0"/>
            </w:pPr>
            <w:r w:rsidRPr="000F0299">
              <w:t>Капацитет ЈЛС за УЉР у локалној управи</w:t>
            </w:r>
          </w:p>
        </w:tc>
        <w:tc>
          <w:tcPr>
            <w:tcW w:w="95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7A5912F0" w14:textId="77777777" w:rsidR="00BC55F6" w:rsidRPr="000F0299" w:rsidRDefault="00BC55F6" w:rsidP="00BE0973">
            <w:pPr>
              <w:spacing w:before="0" w:after="0"/>
              <w:ind w:firstLine="0"/>
            </w:pPr>
            <w:r w:rsidRPr="000F0299">
              <w:t>(2020): 51%</w:t>
            </w:r>
          </w:p>
        </w:tc>
        <w:tc>
          <w:tcPr>
            <w:tcW w:w="1009"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4638704E" w14:textId="77777777" w:rsidR="00BC55F6" w:rsidRPr="000F0299" w:rsidRDefault="00BC55F6" w:rsidP="00BE0973">
            <w:pPr>
              <w:spacing w:before="0" w:after="0"/>
              <w:ind w:firstLine="0"/>
            </w:pPr>
            <w:r w:rsidRPr="000F0299">
              <w:t>(2021): +10%</w:t>
            </w:r>
          </w:p>
          <w:p w14:paraId="7E39488F" w14:textId="77777777" w:rsidR="00BC55F6" w:rsidRPr="000F0299" w:rsidRDefault="00BC55F6" w:rsidP="00BE0973">
            <w:pPr>
              <w:spacing w:before="0" w:after="0"/>
              <w:ind w:firstLine="0"/>
            </w:pPr>
            <w:r w:rsidRPr="000F0299">
              <w:t>(2022): -</w:t>
            </w:r>
          </w:p>
          <w:p w14:paraId="76A18930" w14:textId="77777777" w:rsidR="00BC55F6" w:rsidRPr="000F0299" w:rsidRDefault="00BC55F6" w:rsidP="00BE0973">
            <w:pPr>
              <w:spacing w:before="0" w:after="0"/>
              <w:ind w:firstLine="0"/>
            </w:pPr>
            <w:r w:rsidRPr="000F0299">
              <w:t>(2023): +30%</w:t>
            </w:r>
          </w:p>
          <w:p w14:paraId="2E18DE5D" w14:textId="77777777" w:rsidR="00BC55F6" w:rsidRPr="000F0299" w:rsidRDefault="00BC55F6" w:rsidP="00BE0973">
            <w:pPr>
              <w:spacing w:before="0" w:after="0"/>
              <w:ind w:firstLine="0"/>
            </w:pPr>
            <w:r w:rsidRPr="000F0299">
              <w:t>(2024): -</w:t>
            </w:r>
          </w:p>
          <w:p w14:paraId="0B176D3B" w14:textId="77777777" w:rsidR="00BC55F6" w:rsidRPr="000F0299" w:rsidRDefault="00BC55F6" w:rsidP="00BE0973">
            <w:pPr>
              <w:spacing w:before="0" w:after="0"/>
              <w:ind w:firstLine="0"/>
            </w:pPr>
            <w:r w:rsidRPr="000F0299">
              <w:t>(2025): +35%</w:t>
            </w:r>
          </w:p>
          <w:p w14:paraId="1CC622F0" w14:textId="77777777" w:rsidR="00BC55F6" w:rsidRPr="000F0299" w:rsidRDefault="00BC55F6" w:rsidP="00BE0973">
            <w:pPr>
              <w:spacing w:before="0" w:after="0"/>
              <w:ind w:firstLine="0"/>
            </w:pPr>
            <w:r w:rsidRPr="000F0299">
              <w:t>(2027): +45%</w:t>
            </w:r>
          </w:p>
          <w:p w14:paraId="783714FF" w14:textId="77777777" w:rsidR="00BC55F6" w:rsidRPr="000F0299" w:rsidRDefault="00BC55F6" w:rsidP="00BE0973">
            <w:pPr>
              <w:spacing w:before="0" w:after="0"/>
              <w:ind w:firstLine="0"/>
            </w:pPr>
            <w:r w:rsidRPr="000F0299">
              <w:t>(2030): +50%</w:t>
            </w:r>
          </w:p>
        </w:tc>
        <w:tc>
          <w:tcPr>
            <w:tcW w:w="180" w:type="pct"/>
            <w:tcBorders>
              <w:right w:val="single" w:sz="18" w:space="0" w:color="C00000"/>
            </w:tcBorders>
            <w:shd w:val="clear" w:color="auto" w:fill="F2F2F2" w:themeFill="background1" w:themeFillShade="F2"/>
          </w:tcPr>
          <w:p w14:paraId="742D633C" w14:textId="77777777" w:rsidR="00BC55F6" w:rsidRPr="000F0299" w:rsidRDefault="00BC55F6" w:rsidP="00BE0973">
            <w:pPr>
              <w:spacing w:before="0" w:after="0"/>
              <w:ind w:firstLine="0"/>
            </w:pPr>
          </w:p>
        </w:tc>
      </w:tr>
      <w:tr w:rsidR="00BC55F6" w:rsidRPr="000F0299" w14:paraId="0CC446C6" w14:textId="77777777" w:rsidTr="00BE0973">
        <w:trPr>
          <w:trHeight w:val="381"/>
        </w:trPr>
        <w:tc>
          <w:tcPr>
            <w:tcW w:w="186" w:type="pct"/>
            <w:tcBorders>
              <w:left w:val="single" w:sz="18" w:space="0" w:color="C00000"/>
            </w:tcBorders>
            <w:shd w:val="clear" w:color="auto" w:fill="F2F2F2" w:themeFill="background1" w:themeFillShade="F2"/>
          </w:tcPr>
          <w:p w14:paraId="49FF6F33" w14:textId="77777777" w:rsidR="00BC55F6" w:rsidRPr="000F0299" w:rsidRDefault="00BC55F6" w:rsidP="00BE0973">
            <w:pPr>
              <w:spacing w:before="0" w:after="0"/>
              <w:ind w:firstLine="0"/>
            </w:pPr>
          </w:p>
        </w:tc>
        <w:tc>
          <w:tcPr>
            <w:tcW w:w="2667"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14:paraId="6759C9CC" w14:textId="77777777" w:rsidR="00BC55F6" w:rsidRPr="000F0299" w:rsidRDefault="00BC55F6" w:rsidP="00BE0973">
            <w:pPr>
              <w:spacing w:before="0" w:after="0"/>
              <w:ind w:firstLine="0"/>
            </w:pPr>
            <w:r w:rsidRPr="000F0299">
              <w:t>Доступност и квалитет спровођења приоритетних јавних услуга ЛС</w:t>
            </w:r>
          </w:p>
        </w:tc>
        <w:tc>
          <w:tcPr>
            <w:tcW w:w="95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7A9F81E1" w14:textId="77777777" w:rsidR="00BC55F6" w:rsidRPr="000F0299" w:rsidRDefault="00BC55F6" w:rsidP="00BE0973">
            <w:pPr>
              <w:spacing w:before="0" w:after="0"/>
              <w:ind w:firstLine="0"/>
            </w:pPr>
            <w:r w:rsidRPr="000F0299">
              <w:t>(2022): Израђен индекс</w:t>
            </w:r>
          </w:p>
        </w:tc>
        <w:tc>
          <w:tcPr>
            <w:tcW w:w="1009" w:type="pct"/>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14:paraId="54468EB8" w14:textId="77777777" w:rsidR="00BC55F6" w:rsidRPr="000F0299" w:rsidRDefault="00BC55F6" w:rsidP="00BE0973">
            <w:pPr>
              <w:spacing w:before="0" w:after="0"/>
              <w:ind w:firstLine="0"/>
            </w:pPr>
            <w:r w:rsidRPr="000F0299">
              <w:t>(2021): -</w:t>
            </w:r>
          </w:p>
          <w:p w14:paraId="31DE1DF5" w14:textId="77777777" w:rsidR="00BC55F6" w:rsidRPr="000F0299" w:rsidRDefault="00BC55F6" w:rsidP="00BE0973">
            <w:pPr>
              <w:spacing w:before="0" w:after="0"/>
              <w:ind w:firstLine="0"/>
            </w:pPr>
            <w:r w:rsidRPr="000F0299">
              <w:t>(2022): Израђен  индекс</w:t>
            </w:r>
          </w:p>
          <w:p w14:paraId="3130162C" w14:textId="77777777" w:rsidR="00BC55F6" w:rsidRPr="000F0299" w:rsidRDefault="00BC55F6" w:rsidP="00BE0973">
            <w:pPr>
              <w:spacing w:before="0" w:after="0"/>
              <w:ind w:firstLine="0"/>
            </w:pPr>
            <w:r w:rsidRPr="000F0299">
              <w:t>(2023): -</w:t>
            </w:r>
          </w:p>
          <w:p w14:paraId="1CCF6B7B" w14:textId="77777777" w:rsidR="00BC55F6" w:rsidRPr="000F0299" w:rsidRDefault="00BC55F6" w:rsidP="00BE0973">
            <w:pPr>
              <w:spacing w:before="0" w:after="0"/>
              <w:ind w:firstLine="0"/>
            </w:pPr>
            <w:r w:rsidRPr="000F0299">
              <w:t>(2024): -</w:t>
            </w:r>
          </w:p>
          <w:p w14:paraId="5C5B0AD3" w14:textId="77777777" w:rsidR="00BC55F6" w:rsidRPr="000F0299" w:rsidRDefault="00BC55F6" w:rsidP="00BE0973">
            <w:pPr>
              <w:spacing w:before="0" w:after="0"/>
              <w:ind w:firstLine="0"/>
            </w:pPr>
            <w:r w:rsidRPr="000F0299">
              <w:t>(2025): -</w:t>
            </w:r>
          </w:p>
          <w:p w14:paraId="2BBB22E3" w14:textId="77777777" w:rsidR="00BC55F6" w:rsidRPr="000F0299" w:rsidRDefault="00BC55F6" w:rsidP="00BE0973">
            <w:pPr>
              <w:spacing w:before="0" w:after="0"/>
              <w:ind w:firstLine="0"/>
            </w:pPr>
            <w:r w:rsidRPr="000F0299">
              <w:t>(2027): -</w:t>
            </w:r>
          </w:p>
          <w:p w14:paraId="453616F6" w14:textId="77777777" w:rsidR="00BC55F6" w:rsidRPr="000F0299" w:rsidRDefault="00BC55F6" w:rsidP="00BE0973">
            <w:pPr>
              <w:spacing w:before="0" w:after="0"/>
              <w:ind w:firstLine="0"/>
            </w:pPr>
            <w:r w:rsidRPr="000F0299">
              <w:t>(2030): Биће утврђено 2023. године</w:t>
            </w:r>
          </w:p>
        </w:tc>
        <w:tc>
          <w:tcPr>
            <w:tcW w:w="180" w:type="pct"/>
            <w:tcBorders>
              <w:right w:val="single" w:sz="18" w:space="0" w:color="C00000"/>
            </w:tcBorders>
            <w:shd w:val="clear" w:color="auto" w:fill="F2F2F2" w:themeFill="background1" w:themeFillShade="F2"/>
          </w:tcPr>
          <w:p w14:paraId="471BB38F" w14:textId="77777777" w:rsidR="00BC55F6" w:rsidRPr="000F0299" w:rsidRDefault="00BC55F6" w:rsidP="00BE0973">
            <w:pPr>
              <w:spacing w:before="0" w:after="0"/>
              <w:ind w:firstLine="0"/>
            </w:pPr>
          </w:p>
        </w:tc>
      </w:tr>
      <w:tr w:rsidR="00BC55F6" w:rsidRPr="000F0299" w14:paraId="4E91D348" w14:textId="77777777" w:rsidTr="00BE0973">
        <w:trPr>
          <w:trHeight w:val="169"/>
        </w:trPr>
        <w:tc>
          <w:tcPr>
            <w:tcW w:w="186" w:type="pct"/>
            <w:tcBorders>
              <w:left w:val="single" w:sz="18" w:space="0" w:color="C00000"/>
              <w:bottom w:val="single" w:sz="18" w:space="0" w:color="C00000"/>
            </w:tcBorders>
            <w:shd w:val="clear" w:color="auto" w:fill="F2F2F2" w:themeFill="background1" w:themeFillShade="F2"/>
          </w:tcPr>
          <w:p w14:paraId="60DBDAE4" w14:textId="77777777" w:rsidR="00BC55F6" w:rsidRPr="000F0299" w:rsidRDefault="00BC55F6" w:rsidP="00BE0973">
            <w:pPr>
              <w:spacing w:before="0" w:after="0"/>
              <w:ind w:firstLine="0"/>
              <w:rPr>
                <w:sz w:val="16"/>
                <w:szCs w:val="16"/>
              </w:rPr>
            </w:pPr>
          </w:p>
        </w:tc>
        <w:tc>
          <w:tcPr>
            <w:tcW w:w="2667" w:type="pct"/>
            <w:tcBorders>
              <w:bottom w:val="single" w:sz="18" w:space="0" w:color="C00000"/>
            </w:tcBorders>
            <w:shd w:val="clear" w:color="auto" w:fill="F2F2F2" w:themeFill="background1" w:themeFillShade="F2"/>
          </w:tcPr>
          <w:p w14:paraId="6D69492C" w14:textId="77777777" w:rsidR="00BC55F6" w:rsidRPr="000F0299" w:rsidRDefault="00BC55F6" w:rsidP="00BE0973">
            <w:pPr>
              <w:spacing w:before="0" w:after="0"/>
              <w:ind w:firstLine="0"/>
              <w:rPr>
                <w:sz w:val="16"/>
                <w:szCs w:val="16"/>
              </w:rPr>
            </w:pPr>
          </w:p>
        </w:tc>
        <w:tc>
          <w:tcPr>
            <w:tcW w:w="958" w:type="pct"/>
            <w:tcBorders>
              <w:bottom w:val="single" w:sz="18" w:space="0" w:color="C00000"/>
            </w:tcBorders>
            <w:shd w:val="clear" w:color="auto" w:fill="F2F2F2" w:themeFill="background1" w:themeFillShade="F2"/>
          </w:tcPr>
          <w:p w14:paraId="7B290FD9" w14:textId="77777777" w:rsidR="00BC55F6" w:rsidRPr="000F0299" w:rsidRDefault="00BC55F6" w:rsidP="00BE0973">
            <w:pPr>
              <w:spacing w:before="0" w:after="0"/>
              <w:ind w:firstLine="0"/>
              <w:rPr>
                <w:sz w:val="16"/>
                <w:szCs w:val="16"/>
              </w:rPr>
            </w:pPr>
          </w:p>
        </w:tc>
        <w:tc>
          <w:tcPr>
            <w:tcW w:w="1009" w:type="pct"/>
            <w:tcBorders>
              <w:bottom w:val="single" w:sz="18" w:space="0" w:color="C00000"/>
            </w:tcBorders>
            <w:shd w:val="clear" w:color="auto" w:fill="F2F2F2" w:themeFill="background1" w:themeFillShade="F2"/>
          </w:tcPr>
          <w:p w14:paraId="7151E334" w14:textId="77777777" w:rsidR="00BC55F6" w:rsidRPr="000F0299" w:rsidRDefault="00BC55F6" w:rsidP="00BE0973">
            <w:pPr>
              <w:spacing w:before="0" w:after="0"/>
              <w:ind w:firstLine="0"/>
              <w:rPr>
                <w:sz w:val="16"/>
                <w:szCs w:val="16"/>
              </w:rPr>
            </w:pPr>
          </w:p>
        </w:tc>
        <w:tc>
          <w:tcPr>
            <w:tcW w:w="180" w:type="pct"/>
            <w:tcBorders>
              <w:bottom w:val="single" w:sz="18" w:space="0" w:color="C00000"/>
              <w:right w:val="single" w:sz="18" w:space="0" w:color="C00000"/>
            </w:tcBorders>
            <w:shd w:val="clear" w:color="auto" w:fill="F2F2F2" w:themeFill="background1" w:themeFillShade="F2"/>
          </w:tcPr>
          <w:p w14:paraId="6D8626F7" w14:textId="77777777" w:rsidR="00BC55F6" w:rsidRPr="000F0299" w:rsidRDefault="00BC55F6" w:rsidP="00BE0973">
            <w:pPr>
              <w:spacing w:before="0" w:after="0"/>
              <w:ind w:firstLine="0"/>
              <w:rPr>
                <w:sz w:val="16"/>
                <w:szCs w:val="16"/>
              </w:rPr>
            </w:pPr>
          </w:p>
        </w:tc>
      </w:tr>
    </w:tbl>
    <w:p w14:paraId="4B634D3E" w14:textId="77777777" w:rsidR="00BC55F6" w:rsidRPr="000F0299" w:rsidRDefault="00BC55F6" w:rsidP="00BC55F6">
      <w:r w:rsidRPr="000F0299">
        <w:t xml:space="preserve">Како би се остварио посебан циљ </w:t>
      </w:r>
      <w:r>
        <w:t xml:space="preserve">6.1. </w:t>
      </w:r>
      <w:r w:rsidRPr="000F0299">
        <w:t>Стратегије РЈУ, очекивано деловање одвија се у четири правца који треба да воде планираним исходима Програма реформе система локалне самоуправе:</w:t>
      </w:r>
    </w:p>
    <w:p w14:paraId="3B97266E" w14:textId="77777777" w:rsidR="00BC55F6" w:rsidRPr="000F0299" w:rsidRDefault="00BC55F6" w:rsidP="00E62A1A">
      <w:pPr>
        <w:pStyle w:val="ListParagraph"/>
        <w:numPr>
          <w:ilvl w:val="0"/>
          <w:numId w:val="10"/>
        </w:numPr>
        <w:spacing w:before="0" w:after="60" w:line="240" w:lineRule="auto"/>
        <w:ind w:left="425" w:hanging="357"/>
        <w:rPr>
          <w:shd w:val="clear" w:color="auto" w:fill="FFFFFF"/>
        </w:rPr>
      </w:pPr>
      <w:r w:rsidRPr="000F0299">
        <w:rPr>
          <w:b/>
          <w:bCs/>
        </w:rPr>
        <w:t xml:space="preserve">Унапређен положај и одговорност локалне самоуправе – </w:t>
      </w:r>
      <w:r w:rsidRPr="000F0299">
        <w:t xml:space="preserve">Овај правац деловања </w:t>
      </w:r>
      <w:r w:rsidRPr="000F0299">
        <w:rPr>
          <w:shd w:val="clear" w:color="auto" w:fill="FFFFFF"/>
        </w:rPr>
        <w:t xml:space="preserve">треба да резултира јачањем локалне самоуправе као посебног нивоа јавне власти и управе, </w:t>
      </w:r>
      <w:r>
        <w:rPr>
          <w:shd w:val="clear" w:color="auto" w:fill="FFFFFF"/>
        </w:rPr>
        <w:t>и то</w:t>
      </w:r>
      <w:r w:rsidRPr="000F0299">
        <w:rPr>
          <w:shd w:val="clear" w:color="auto" w:fill="FFFFFF"/>
        </w:rPr>
        <w:t xml:space="preserve"> у односу </w:t>
      </w:r>
      <w:r>
        <w:rPr>
          <w:shd w:val="clear" w:color="auto" w:fill="FFFFFF"/>
        </w:rPr>
        <w:t>на централни ниво власти</w:t>
      </w:r>
      <w:r w:rsidRPr="000F0299">
        <w:rPr>
          <w:shd w:val="clear" w:color="auto" w:fill="FFFFFF"/>
        </w:rPr>
        <w:t xml:space="preserve"> кроз повећано учешће у формулисању јавних политика и прописа који се односе на локалну самоуправу, тако и кроз даље усаглашавање правног система Републике Србије са Европском повељом о локалној самоуправи и пуно спровођење њених одредби у систему локалне самоуправе у Србији. </w:t>
      </w:r>
      <w:r>
        <w:rPr>
          <w:shd w:val="clear" w:color="auto" w:fill="FFFFFF"/>
        </w:rPr>
        <w:t>Б</w:t>
      </w:r>
      <w:r w:rsidRPr="000F0299">
        <w:rPr>
          <w:shd w:val="clear" w:color="auto" w:fill="FFFFFF"/>
        </w:rPr>
        <w:t xml:space="preserve">итан део овог правца деловања јесте даљи развој примене начела доброг управљања у свим области </w:t>
      </w:r>
      <w:r>
        <w:rPr>
          <w:shd w:val="clear" w:color="auto" w:fill="FFFFFF"/>
        </w:rPr>
        <w:t xml:space="preserve">које су део локалне самоуправе због чега је неопходна </w:t>
      </w:r>
      <w:r w:rsidRPr="000F0299">
        <w:rPr>
          <w:shd w:val="clear" w:color="auto" w:fill="FFFFFF"/>
        </w:rPr>
        <w:t>дубинска подршка и надзор од стране централног или покрајинског нивоа власти, с обзиром на њихове надлежности које се тичу формулисања јавних политика, нормирања система локалне самоуправе и надзора на</w:t>
      </w:r>
      <w:r>
        <w:rPr>
          <w:shd w:val="clear" w:color="auto" w:fill="FFFFFF"/>
        </w:rPr>
        <w:t>д</w:t>
      </w:r>
      <w:r w:rsidRPr="000F0299">
        <w:rPr>
          <w:shd w:val="clear" w:color="auto" w:fill="FFFFFF"/>
        </w:rPr>
        <w:t xml:space="preserve"> извршавањем поверених и изворних надлежности локалне самоуправе. </w:t>
      </w:r>
      <w:r>
        <w:rPr>
          <w:shd w:val="clear" w:color="auto" w:fill="FFFFFF"/>
        </w:rPr>
        <w:t>Н</w:t>
      </w:r>
      <w:r w:rsidRPr="000F0299">
        <w:rPr>
          <w:shd w:val="clear" w:color="auto" w:fill="FFFFFF"/>
        </w:rPr>
        <w:t>еопходно је и да саме локалне власти јачају своје капацитете како би могле да што темељније наставе са имплементацијом својих надлежности и посебно применом начела доброг управљања у пракси локалне самоуправе.</w:t>
      </w:r>
    </w:p>
    <w:p w14:paraId="30AA1ACF" w14:textId="77777777" w:rsidR="00BC55F6" w:rsidRPr="000F0299" w:rsidRDefault="00BC55F6" w:rsidP="00E62A1A">
      <w:pPr>
        <w:pStyle w:val="ListParagraph"/>
        <w:numPr>
          <w:ilvl w:val="0"/>
          <w:numId w:val="10"/>
        </w:numPr>
        <w:spacing w:before="0" w:after="60" w:line="240" w:lineRule="auto"/>
        <w:ind w:left="426"/>
        <w:rPr>
          <w:shd w:val="clear" w:color="auto" w:fill="FFFFFF"/>
        </w:rPr>
      </w:pPr>
      <w:r w:rsidRPr="000F0299">
        <w:rPr>
          <w:b/>
          <w:bCs/>
          <w:color w:val="000000" w:themeColor="text1"/>
        </w:rPr>
        <w:t xml:space="preserve">Унапређен систем финансирања који омогућава адекватно и предвидиво финансирање локалне самоуправе - </w:t>
      </w:r>
      <w:r w:rsidRPr="000F0299">
        <w:rPr>
          <w:color w:val="000000" w:themeColor="text1"/>
        </w:rPr>
        <w:t>С</w:t>
      </w:r>
      <w:r w:rsidRPr="000F0299">
        <w:rPr>
          <w:shd w:val="clear" w:color="auto" w:fill="FFFFFF"/>
        </w:rPr>
        <w:t xml:space="preserve">истем финансирања </w:t>
      </w:r>
      <w:r>
        <w:rPr>
          <w:shd w:val="clear" w:color="auto" w:fill="FFFFFF"/>
        </w:rPr>
        <w:t>Ј</w:t>
      </w:r>
      <w:r w:rsidRPr="000F0299">
        <w:rPr>
          <w:shd w:val="clear" w:color="auto" w:fill="FFFFFF"/>
        </w:rPr>
        <w:t>ЛС треба да буде стабилан и предвидив и да омогући дугорочно планирање локалних јавних финансија и финансирања кључних локалних јавних функција. Правац деловања треба да води расту укупних пр</w:t>
      </w:r>
      <w:r>
        <w:rPr>
          <w:shd w:val="clear" w:color="auto" w:fill="FFFFFF"/>
        </w:rPr>
        <w:t>ихода и капиталних издатака ЈЛС,</w:t>
      </w:r>
      <w:r w:rsidRPr="000F0299">
        <w:rPr>
          <w:iCs/>
          <w:color w:val="000000" w:themeColor="text1"/>
        </w:rPr>
        <w:t xml:space="preserve"> повећању финансијске децентрализације и самосталности локалне самоуправе, кроз повећање локалних прихода, степена учешћа расхода локалне самоуправе у јавним расходима</w:t>
      </w:r>
      <w:r w:rsidRPr="000F0299">
        <w:rPr>
          <w:color w:val="000000" w:themeColor="text1"/>
        </w:rPr>
        <w:t xml:space="preserve"> </w:t>
      </w:r>
      <w:r w:rsidRPr="000F0299">
        <w:rPr>
          <w:shd w:val="clear" w:color="auto" w:fill="FFFFFF"/>
        </w:rPr>
        <w:t xml:space="preserve">и умањење </w:t>
      </w:r>
      <w:r w:rsidRPr="000F0299">
        <w:rPr>
          <w:iCs/>
          <w:color w:val="000000" w:themeColor="text1"/>
        </w:rPr>
        <w:t xml:space="preserve">учешћа </w:t>
      </w:r>
      <w:r w:rsidRPr="000F0299">
        <w:rPr>
          <w:bCs/>
          <w:iCs/>
          <w:color w:val="000000" w:themeColor="text1"/>
          <w:kern w:val="24"/>
        </w:rPr>
        <w:t>трансферних средстава од стране</w:t>
      </w:r>
      <w:r w:rsidRPr="000F0299">
        <w:rPr>
          <w:color w:val="000000" w:themeColor="text1"/>
          <w:kern w:val="24"/>
        </w:rPr>
        <w:t xml:space="preserve"> виших нивоа власти </w:t>
      </w:r>
      <w:r w:rsidRPr="000F0299">
        <w:rPr>
          <w:bCs/>
          <w:iCs/>
          <w:color w:val="000000" w:themeColor="text1"/>
          <w:kern w:val="24"/>
        </w:rPr>
        <w:t>у укупним јавним расходима ЈЛС</w:t>
      </w:r>
      <w:r w:rsidRPr="000F0299">
        <w:rPr>
          <w:shd w:val="clear" w:color="auto" w:fill="FFFFFF"/>
        </w:rPr>
        <w:t>. То претпоставља већу финансијску дисциплину и интерну и екстерну контролу управљања буџетом и финансијама на нивоу ЈЛС, као и одговарајући ниво сарадње са вишим нивоима власти ради адекватнијег планирања и праћење система локалних јавних финансија.</w:t>
      </w:r>
    </w:p>
    <w:p w14:paraId="08D350AB" w14:textId="77777777" w:rsidR="00BC55F6" w:rsidRPr="000F0299" w:rsidRDefault="00BC55F6" w:rsidP="00E62A1A">
      <w:pPr>
        <w:pStyle w:val="ListParagraph"/>
        <w:numPr>
          <w:ilvl w:val="0"/>
          <w:numId w:val="10"/>
        </w:numPr>
        <w:spacing w:before="0" w:after="60" w:line="240" w:lineRule="auto"/>
        <w:ind w:left="426"/>
        <w:rPr>
          <w:color w:val="222222"/>
          <w:shd w:val="clear" w:color="auto" w:fill="FFFFFF"/>
        </w:rPr>
      </w:pPr>
      <w:r w:rsidRPr="000F0299">
        <w:rPr>
          <w:b/>
          <w:bCs/>
        </w:rPr>
        <w:t>Унапређена организација и капацитети локалне самоуправе –</w:t>
      </w:r>
      <w:r w:rsidRPr="000F0299">
        <w:t xml:space="preserve"> Овај правац деловања усмерен је на успостављање јасне и доследне типологије организационих облика (органа, установа, предузећа и организација) које оснивају локалне самоуправе и промену начина управљања локалним пословима</w:t>
      </w:r>
      <w:r>
        <w:t>.</w:t>
      </w:r>
      <w:r w:rsidRPr="000F0299">
        <w:t xml:space="preserve"> </w:t>
      </w:r>
      <w:r>
        <w:t>То подразумева</w:t>
      </w:r>
      <w:r w:rsidRPr="000F0299">
        <w:t xml:space="preserve"> редефинисање модела обављања послова локалне самоуправе (елиминисање</w:t>
      </w:r>
      <w:r>
        <w:t>м</w:t>
      </w:r>
      <w:r w:rsidRPr="000F0299">
        <w:t xml:space="preserve"> прек</w:t>
      </w:r>
      <w:r>
        <w:t>лапања надлежности, заокруживањем</w:t>
      </w:r>
      <w:r w:rsidRPr="000F0299">
        <w:t xml:space="preserve"> надлежности </w:t>
      </w:r>
      <w:r>
        <w:t>Ј</w:t>
      </w:r>
      <w:r w:rsidRPr="000F0299">
        <w:t>ЛС у појединим областима, дефинисање</w:t>
      </w:r>
      <w:r>
        <w:t>м</w:t>
      </w:r>
      <w:r w:rsidRPr="000F0299">
        <w:t xml:space="preserve"> критеријума за процену капацитета </w:t>
      </w:r>
      <w:r>
        <w:t>Ј</w:t>
      </w:r>
      <w:r w:rsidRPr="000F0299">
        <w:t>ЛС за спровођење надлежности и за њихово даље поверавање, увођење</w:t>
      </w:r>
      <w:r>
        <w:t>м</w:t>
      </w:r>
      <w:r w:rsidRPr="000F0299">
        <w:t xml:space="preserve"> могућности преношења послова у две брзине или више корака, увођење</w:t>
      </w:r>
      <w:r>
        <w:t>м</w:t>
      </w:r>
      <w:r w:rsidRPr="000F0299">
        <w:t xml:space="preserve"> могућности факултативних надлежности, јачање</w:t>
      </w:r>
      <w:r>
        <w:t>м</w:t>
      </w:r>
      <w:r w:rsidRPr="000F0299">
        <w:t xml:space="preserve"> позиције градова и др.)</w:t>
      </w:r>
      <w:r>
        <w:t>.</w:t>
      </w:r>
      <w:r w:rsidRPr="000F0299">
        <w:t xml:space="preserve"> </w:t>
      </w:r>
      <w:r>
        <w:t>То подразумева и интензивнији развој</w:t>
      </w:r>
      <w:r w:rsidRPr="000F0299">
        <w:t xml:space="preserve"> међуопштинске сарадње у спровођењу послова локалне самоуправе. Даљи развој капацитета </w:t>
      </w:r>
      <w:r>
        <w:t>усмерен је на</w:t>
      </w:r>
      <w:r w:rsidRPr="000F0299">
        <w:t xml:space="preserve"> јачање </w:t>
      </w:r>
      <w:r>
        <w:t>људских ресурс</w:t>
      </w:r>
      <w:r w:rsidRPr="000F0299">
        <w:t xml:space="preserve">а у локалној самоуправи и </w:t>
      </w:r>
      <w:r>
        <w:t>модерну техничку и другу</w:t>
      </w:r>
      <w:r w:rsidRPr="000F0299">
        <w:t xml:space="preserve"> </w:t>
      </w:r>
      <w:r>
        <w:t>подршку</w:t>
      </w:r>
      <w:r w:rsidRPr="000F0299">
        <w:t xml:space="preserve">, како би обим послова ЈЛС био усклађен са њиховим финансијским, кадровским и другим неопходним ресурсима. </w:t>
      </w:r>
      <w:r>
        <w:t>То посебно обухвата</w:t>
      </w:r>
      <w:r w:rsidRPr="000F0299">
        <w:t xml:space="preserve"> и јачање капацитета локалних власти за планирање развоја локалне заједнице, дефинисање локалних јавних политика и увезивање свих ових активности са организационим, људским и финансијским капацитетима (буџетом) локалне самоуправе.</w:t>
      </w:r>
    </w:p>
    <w:p w14:paraId="2DCA5EF4" w14:textId="114D27FA" w:rsidR="00BC55F6" w:rsidRPr="000F0299" w:rsidRDefault="00BC55F6" w:rsidP="00E62A1A">
      <w:pPr>
        <w:pStyle w:val="ListParagraph"/>
        <w:numPr>
          <w:ilvl w:val="0"/>
          <w:numId w:val="10"/>
        </w:numPr>
        <w:spacing w:before="0" w:after="60" w:line="240" w:lineRule="auto"/>
        <w:ind w:left="426"/>
        <w:rPr>
          <w:shd w:val="clear" w:color="auto" w:fill="FFFFFF"/>
        </w:rPr>
      </w:pPr>
      <w:r w:rsidRPr="000F0299">
        <w:rPr>
          <w:b/>
          <w:bCs/>
        </w:rPr>
        <w:t xml:space="preserve">Унапређен квалитет и доступност управних, комуналних и услуга јавних установа ЛС свим корисницима – </w:t>
      </w:r>
      <w:r w:rsidRPr="000F0299">
        <w:rPr>
          <w:shd w:val="clear" w:color="auto" w:fill="FFFFFF"/>
        </w:rPr>
        <w:t xml:space="preserve">Овај правац деловања усмерен је према крајњим корисницима и треба да има за исход већу доступност и квалитет услуга локалне самоуправе према грађанима и привреди </w:t>
      </w:r>
      <w:r>
        <w:rPr>
          <w:shd w:val="clear" w:color="auto" w:fill="FFFFFF"/>
        </w:rPr>
        <w:t>што треба да води већем задовољству</w:t>
      </w:r>
      <w:r w:rsidRPr="000F0299">
        <w:rPr>
          <w:shd w:val="clear" w:color="auto" w:fill="FFFFFF"/>
        </w:rPr>
        <w:t xml:space="preserve"> услугама које добијају од стране локалних органа, организација, установа и предузећа. </w:t>
      </w:r>
      <w:r>
        <w:rPr>
          <w:shd w:val="clear" w:color="auto" w:fill="FFFFFF"/>
        </w:rPr>
        <w:t>П</w:t>
      </w:r>
      <w:r w:rsidRPr="000F0299">
        <w:rPr>
          <w:shd w:val="clear" w:color="auto" w:fill="FFFFFF"/>
        </w:rPr>
        <w:t xml:space="preserve">осебно је важно наставити даље реформе управних услуга, кроз поједностављење управних поступака и интензиван развој електронске управе и дигиталних услуга локалне самоуправе. </w:t>
      </w:r>
      <w:r>
        <w:rPr>
          <w:shd w:val="clear" w:color="auto" w:fill="FFFFFF"/>
        </w:rPr>
        <w:t>Усмерење је ка</w:t>
      </w:r>
      <w:r w:rsidRPr="000F0299">
        <w:rPr>
          <w:shd w:val="clear" w:color="auto" w:fill="FFFFFF"/>
        </w:rPr>
        <w:t xml:space="preserve"> </w:t>
      </w:r>
      <w:r>
        <w:rPr>
          <w:shd w:val="clear" w:color="auto" w:fill="FFFFFF"/>
        </w:rPr>
        <w:t>интензивнијем</w:t>
      </w:r>
      <w:r w:rsidRPr="000F0299">
        <w:rPr>
          <w:shd w:val="clear" w:color="auto" w:fill="FFFFFF"/>
        </w:rPr>
        <w:t xml:space="preserve"> развој</w:t>
      </w:r>
      <w:r>
        <w:rPr>
          <w:shd w:val="clear" w:color="auto" w:fill="FFFFFF"/>
        </w:rPr>
        <w:t>у</w:t>
      </w:r>
      <w:r w:rsidRPr="000F0299">
        <w:rPr>
          <w:shd w:val="clear" w:color="auto" w:fill="FFFFFF"/>
        </w:rPr>
        <w:t xml:space="preserve"> посебно важних надлежности локалне самоуправе као што је локалних економски развој и подршка локалној привреди</w:t>
      </w:r>
      <w:r>
        <w:rPr>
          <w:shd w:val="clear" w:color="auto" w:fill="FFFFFF"/>
        </w:rPr>
        <w:t>,</w:t>
      </w:r>
      <w:r w:rsidRPr="000F0299">
        <w:rPr>
          <w:shd w:val="clear" w:color="auto" w:fill="FFFFFF"/>
        </w:rPr>
        <w:t xml:space="preserve"> јер од њеног јачања и економских потенцијала локалне заједнице, зависе и могућности локалне самоуправе да развија своје јавне услуге. </w:t>
      </w:r>
      <w:r>
        <w:rPr>
          <w:shd w:val="clear" w:color="auto" w:fill="FFFFFF"/>
        </w:rPr>
        <w:t>Овај</w:t>
      </w:r>
      <w:r w:rsidRPr="000F0299">
        <w:rPr>
          <w:shd w:val="clear" w:color="auto" w:fill="FFFFFF"/>
        </w:rPr>
        <w:t xml:space="preserve"> прав</w:t>
      </w:r>
      <w:r>
        <w:rPr>
          <w:shd w:val="clear" w:color="auto" w:fill="FFFFFF"/>
        </w:rPr>
        <w:t>а</w:t>
      </w:r>
      <w:r w:rsidRPr="000F0299">
        <w:rPr>
          <w:shd w:val="clear" w:color="auto" w:fill="FFFFFF"/>
        </w:rPr>
        <w:t>ц</w:t>
      </w:r>
      <w:r>
        <w:rPr>
          <w:shd w:val="clear" w:color="auto" w:fill="FFFFFF"/>
        </w:rPr>
        <w:t xml:space="preserve"> </w:t>
      </w:r>
      <w:r w:rsidRPr="000F0299">
        <w:rPr>
          <w:shd w:val="clear" w:color="auto" w:fill="FFFFFF"/>
        </w:rPr>
        <w:t xml:space="preserve">деловања </w:t>
      </w:r>
      <w:r>
        <w:rPr>
          <w:shd w:val="clear" w:color="auto" w:fill="FFFFFF"/>
        </w:rPr>
        <w:t>обухвата</w:t>
      </w:r>
      <w:r w:rsidRPr="000F0299">
        <w:rPr>
          <w:shd w:val="clear" w:color="auto" w:fill="FFFFFF"/>
        </w:rPr>
        <w:t xml:space="preserve"> планирање и покретање системских реформи у области услуга јавних установа које су део одговорности локалне самоуправе</w:t>
      </w:r>
      <w:r>
        <w:rPr>
          <w:shd w:val="clear" w:color="auto" w:fill="FFFFFF"/>
        </w:rPr>
        <w:t>,</w:t>
      </w:r>
      <w:r w:rsidRPr="000F0299">
        <w:rPr>
          <w:shd w:val="clear" w:color="auto" w:fill="FFFFFF"/>
        </w:rPr>
        <w:t xml:space="preserve"> као и области функционисања комуналних делатности и јавних предузећа која су за њих задужена. </w:t>
      </w:r>
      <w:r>
        <w:rPr>
          <w:shd w:val="clear" w:color="auto" w:fill="FFFFFF"/>
        </w:rPr>
        <w:t>Предвиђа се</w:t>
      </w:r>
      <w:r w:rsidRPr="000F0299">
        <w:rPr>
          <w:shd w:val="clear" w:color="auto" w:fill="FFFFFF"/>
        </w:rPr>
        <w:t xml:space="preserve"> даљи наставак процеса јачања јавног приватног партнерства као </w:t>
      </w:r>
      <w:r w:rsidR="00D81D5B">
        <w:rPr>
          <w:shd w:val="clear" w:color="auto" w:fill="FFFFFF"/>
        </w:rPr>
        <w:t>модела за обезбеђивање ефикасних и доступн</w:t>
      </w:r>
      <w:r w:rsidRPr="000F0299">
        <w:rPr>
          <w:shd w:val="clear" w:color="auto" w:fill="FFFFFF"/>
        </w:rPr>
        <w:t xml:space="preserve">их јавних услуга локалне самоуправе. </w:t>
      </w:r>
    </w:p>
    <w:p w14:paraId="47A97E46" w14:textId="77777777" w:rsidR="00BC55F6" w:rsidRPr="000F0299" w:rsidRDefault="00BC55F6" w:rsidP="00BC55F6">
      <w:pPr>
        <w:rPr>
          <w:lang w:eastAsia="de-DE"/>
        </w:rPr>
      </w:pPr>
    </w:p>
    <w:p w14:paraId="4C5E0FC8" w14:textId="77777777" w:rsidR="00BC55F6" w:rsidRPr="000F0299" w:rsidRDefault="00BC55F6" w:rsidP="00BC55F6">
      <w:pPr>
        <w:rPr>
          <w:lang w:eastAsia="de-DE"/>
        </w:rPr>
      </w:pPr>
    </w:p>
    <w:p w14:paraId="25025ACF" w14:textId="4F904904" w:rsidR="00E122F0" w:rsidRPr="000F0299" w:rsidRDefault="00BC55F6" w:rsidP="00BC55F6">
      <w:pPr>
        <w:rPr>
          <w:lang w:eastAsia="de-DE"/>
        </w:rPr>
      </w:pPr>
      <w:r w:rsidRPr="000F0299">
        <w:rPr>
          <w:lang w:eastAsia="de-DE"/>
        </w:rPr>
        <w:br w:type="page"/>
      </w:r>
    </w:p>
    <w:p w14:paraId="66628FEA" w14:textId="6B0B8C67" w:rsidR="00E122F0" w:rsidRPr="000F0299" w:rsidRDefault="00E122F0" w:rsidP="00244E7C">
      <w:pPr>
        <w:rPr>
          <w:lang w:eastAsia="de-DE"/>
        </w:rPr>
      </w:pPr>
    </w:p>
    <w:p w14:paraId="4A3F2014" w14:textId="12A0F8A9" w:rsidR="00E122F0" w:rsidRPr="000F0299" w:rsidRDefault="00E122F0" w:rsidP="00244E7C">
      <w:pPr>
        <w:rPr>
          <w:lang w:eastAsia="de-DE"/>
        </w:rPr>
        <w:sectPr w:rsidR="00E122F0" w:rsidRPr="000F0299" w:rsidSect="000631D1">
          <w:headerReference w:type="default" r:id="rId171"/>
          <w:footerReference w:type="default" r:id="rId172"/>
          <w:pgSz w:w="11906" w:h="16838"/>
          <w:pgMar w:top="1418" w:right="1418" w:bottom="1134" w:left="1418" w:header="709" w:footer="709" w:gutter="0"/>
          <w:cols w:space="708"/>
          <w:docGrid w:linePitch="360"/>
        </w:sectPr>
      </w:pPr>
      <w:r w:rsidRPr="000F0299">
        <w:rPr>
          <w:lang w:eastAsia="de-DE"/>
        </w:rPr>
        <w:br w:type="page"/>
      </w:r>
    </w:p>
    <w:p w14:paraId="2A1244DD" w14:textId="77155EEF" w:rsidR="0028402A" w:rsidRPr="000F0299" w:rsidRDefault="0028402A" w:rsidP="009317CC">
      <w:pPr>
        <w:pStyle w:val="Heading3"/>
        <w:rPr>
          <w:lang w:val="sr-Cyrl-RS"/>
        </w:rPr>
      </w:pPr>
      <w:bookmarkStart w:id="283" w:name="_Toc57661502"/>
      <w:r w:rsidRPr="000F0299">
        <w:rPr>
          <w:lang w:val="sr-Cyrl-RS"/>
        </w:rPr>
        <w:t>Правци деловања политика</w:t>
      </w:r>
      <w:r w:rsidR="000D2A69" w:rsidRPr="000F0299">
        <w:rPr>
          <w:lang w:val="sr-Cyrl-RS"/>
        </w:rPr>
        <w:t xml:space="preserve"> – Систем локалне самоуправе</w:t>
      </w:r>
      <w:bookmarkEnd w:id="283"/>
    </w:p>
    <w:p w14:paraId="4CD39554" w14:textId="77777777" w:rsidR="00281418" w:rsidRPr="000F0299" w:rsidRDefault="00281418" w:rsidP="00281418">
      <w:pPr>
        <w:rPr>
          <w:lang w:eastAsia="en-US" w:bidi="ar-SA"/>
        </w:rPr>
      </w:pPr>
    </w:p>
    <w:p w14:paraId="6C149027" w14:textId="77777777" w:rsidR="00281418" w:rsidRPr="000F0299" w:rsidRDefault="00281418" w:rsidP="00281418">
      <w:pPr>
        <w:tabs>
          <w:tab w:val="left" w:pos="2998"/>
        </w:tabs>
        <w:suppressAutoHyphens w:val="0"/>
        <w:autoSpaceDN/>
        <w:spacing w:before="0" w:after="0"/>
        <w:ind w:firstLine="0"/>
        <w:jc w:val="left"/>
        <w:textAlignment w:val="auto"/>
        <w:rPr>
          <w:rFonts w:eastAsia="Times New Roman"/>
          <w:kern w:val="0"/>
          <w:sz w:val="20"/>
          <w:szCs w:val="20"/>
          <w:lang w:eastAsia="en-US" w:bidi="ar-SA"/>
        </w:rPr>
      </w:pPr>
      <w:r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847168" behindDoc="1" locked="0" layoutInCell="1" allowOverlap="1" wp14:anchorId="36C93E39" wp14:editId="31C96D7B">
                <wp:simplePos x="0" y="0"/>
                <wp:positionH relativeFrom="column">
                  <wp:posOffset>-498764</wp:posOffset>
                </wp:positionH>
                <wp:positionV relativeFrom="paragraph">
                  <wp:posOffset>241877</wp:posOffset>
                </wp:positionV>
                <wp:extent cx="14270990" cy="914400"/>
                <wp:effectExtent l="0" t="0" r="16510" b="19050"/>
                <wp:wrapNone/>
                <wp:docPr id="792" name="Rounded Rectangle 734"/>
                <wp:cNvGraphicFramePr/>
                <a:graphic xmlns:a="http://schemas.openxmlformats.org/drawingml/2006/main">
                  <a:graphicData uri="http://schemas.microsoft.com/office/word/2010/wordprocessingShape">
                    <wps:wsp>
                      <wps:cNvSpPr/>
                      <wps:spPr>
                        <a:xfrm>
                          <a:off x="0" y="0"/>
                          <a:ext cx="14270990" cy="914400"/>
                        </a:xfrm>
                        <a:prstGeom prst="roundRect">
                          <a:avLst/>
                        </a:prstGeom>
                        <a:solidFill>
                          <a:srgbClr val="666D88"/>
                        </a:solidFill>
                        <a:ln w="12700" cap="flat" cmpd="sng" algn="ctr">
                          <a:solidFill>
                            <a:srgbClr val="666D88"/>
                          </a:solidFill>
                          <a:prstDash val="solid"/>
                          <a:miter lim="800000"/>
                        </a:ln>
                        <a:effectLst/>
                      </wps:spPr>
                      <wps:txbx>
                        <w:txbxContent>
                          <w:p w14:paraId="5111678C" w14:textId="77777777" w:rsidR="00876FFE" w:rsidRPr="00281418" w:rsidRDefault="00876FFE" w:rsidP="00281418">
                            <w:pPr>
                              <w:spacing w:before="0" w:line="264" w:lineRule="auto"/>
                              <w:jc w:val="center"/>
                              <w:rPr>
                                <w:rFonts w:asciiTheme="minorHAnsi" w:hAnsiTheme="minorHAnsi" w:cstheme="minorHAnsi"/>
                                <w:b/>
                                <w:color w:val="FFFFFF"/>
                                <w:sz w:val="48"/>
                                <w:szCs w:val="48"/>
                              </w:rPr>
                            </w:pPr>
                            <w:r w:rsidRPr="00281418">
                              <w:rPr>
                                <w:rFonts w:asciiTheme="minorHAnsi" w:hAnsiTheme="minorHAnsi" w:cstheme="minorHAnsi"/>
                                <w:b/>
                                <w:color w:val="FFFFFF"/>
                                <w:sz w:val="48"/>
                                <w:szCs w:val="48"/>
                              </w:rPr>
                              <w:t>УСПОСТАВЉЕН СИСТЕМ ЛОКАЛНЕ САМОУПРАВЕ КОЈИ ОМОГУЋАВА ДЕЛОТВОРНО И ОДРЖИВО ОСТВАРИВАЊЕ ПРАВА ГРАЂАНА НА ЛОКАЛНУ САМОУПРАВУ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C93E39" id="Rounded Rectangle 734" o:spid="_x0000_s1468" style="position:absolute;margin-left:-39.25pt;margin-top:19.05pt;width:1123.7pt;height:1in;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" fillcolor="#666d88" strokecolor="#666d88" strokeweight="1pt">
                <v:stroke joinstyle="miter"/>
                <v:textbox inset="0,0,0,0">
                  <w:txbxContent>
                    <w:p w14:paraId="5111678C" w14:textId="77777777" w:rsidR="00876FFE" w:rsidRPr="00281418" w:rsidRDefault="00876FFE" w:rsidP="00281418">
                      <w:pPr>
                        <w:spacing w:before="0" w:line="264" w:lineRule="auto"/>
                        <w:jc w:val="center"/>
                        <w:rPr>
                          <w:rFonts w:asciiTheme="minorHAnsi" w:hAnsiTheme="minorHAnsi" w:cstheme="minorHAnsi"/>
                          <w:b/>
                          <w:color w:val="FFFFFF"/>
                          <w:sz w:val="48"/>
                          <w:szCs w:val="48"/>
                        </w:rPr>
                      </w:pPr>
                      <w:r w:rsidRPr="00281418">
                        <w:rPr>
                          <w:rFonts w:asciiTheme="minorHAnsi" w:hAnsiTheme="minorHAnsi" w:cstheme="minorHAnsi"/>
                          <w:b/>
                          <w:color w:val="FFFFFF"/>
                          <w:sz w:val="48"/>
                          <w:szCs w:val="48"/>
                        </w:rPr>
                        <w:t>УСПОСТАВЉЕН СИСТЕМ ЛОКАЛНЕ САМОУПРАВЕ КОЈИ ОМОГУЋАВА ДЕЛОТВОРНО И ОДРЖИВО ОСТВАРИВАЊЕ ПРАВА ГРАЂАНА НА ЛОКАЛНУ САМОУПРАВУ</w:t>
                      </w:r>
                    </w:p>
                  </w:txbxContent>
                </v:textbox>
              </v:roundrect>
            </w:pict>
          </mc:Fallback>
        </mc:AlternateContent>
      </w:r>
    </w:p>
    <w:p w14:paraId="6BEB23CC" w14:textId="1A8CC96D" w:rsidR="00281418" w:rsidRPr="000F0299" w:rsidRDefault="00121529" w:rsidP="00281418">
      <w:pPr>
        <w:tabs>
          <w:tab w:val="left" w:pos="2121"/>
        </w:tabs>
        <w:suppressAutoHyphens w:val="0"/>
        <w:autoSpaceDN/>
        <w:spacing w:before="0" w:after="0"/>
        <w:ind w:firstLine="0"/>
        <w:jc w:val="left"/>
        <w:textAlignment w:val="auto"/>
        <w:rPr>
          <w:rFonts w:eastAsia="Times New Roman"/>
          <w:kern w:val="0"/>
          <w:sz w:val="20"/>
          <w:szCs w:val="20"/>
          <w:lang w:eastAsia="en-US" w:bidi="ar-SA"/>
        </w:rPr>
        <w:sectPr w:rsidR="00281418" w:rsidRPr="000F0299" w:rsidSect="00545D24">
          <w:footerReference w:type="default" r:id="rId173"/>
          <w:pgSz w:w="23814" w:h="16839" w:orient="landscape" w:code="8"/>
          <w:pgMar w:top="720" w:right="1440" w:bottom="720" w:left="1440" w:header="706" w:footer="706" w:gutter="0"/>
          <w:cols w:space="708"/>
          <w:docGrid w:linePitch="360"/>
        </w:sectPr>
      </w:pPr>
      <w:r>
        <w:rPr>
          <w:noProof/>
          <w:lang w:val="en-US" w:eastAsia="en-US" w:bidi="ar-SA"/>
        </w:rPr>
        <mc:AlternateContent>
          <mc:Choice Requires="wps">
            <w:drawing>
              <wp:anchor distT="0" distB="0" distL="114300" distR="114300" simplePos="0" relativeHeight="252067328" behindDoc="0" locked="0" layoutInCell="1" allowOverlap="1" wp14:anchorId="0F822985" wp14:editId="1779CC19">
                <wp:simplePos x="0" y="0"/>
                <wp:positionH relativeFrom="margin">
                  <wp:align>center</wp:align>
                </wp:positionH>
                <wp:positionV relativeFrom="paragraph">
                  <wp:posOffset>2716000</wp:posOffset>
                </wp:positionV>
                <wp:extent cx="5452110" cy="635"/>
                <wp:effectExtent l="0" t="0" r="0" b="8255"/>
                <wp:wrapNone/>
                <wp:docPr id="410" name="Text Box 410"/>
                <wp:cNvGraphicFramePr/>
                <a:graphic xmlns:a="http://schemas.openxmlformats.org/drawingml/2006/main">
                  <a:graphicData uri="http://schemas.microsoft.com/office/word/2010/wordprocessingShape">
                    <wps:wsp>
                      <wps:cNvSpPr txBox="1"/>
                      <wps:spPr>
                        <a:xfrm>
                          <a:off x="0" y="0"/>
                          <a:ext cx="5452110" cy="635"/>
                        </a:xfrm>
                        <a:prstGeom prst="rect">
                          <a:avLst/>
                        </a:prstGeom>
                        <a:solidFill>
                          <a:prstClr val="white"/>
                        </a:solidFill>
                        <a:ln>
                          <a:noFill/>
                        </a:ln>
                      </wps:spPr>
                      <wps:txbx>
                        <w:txbxContent>
                          <w:p w14:paraId="71570337" w14:textId="21C5DCFE" w:rsidR="00876FFE" w:rsidRPr="00121529" w:rsidRDefault="00876FFE" w:rsidP="00121529">
                            <w:pPr>
                              <w:pStyle w:val="Caption"/>
                              <w:rPr>
                                <w:i w:val="0"/>
                                <w:iCs w:val="0"/>
                                <w:noProof/>
                                <w:sz w:val="24"/>
                                <w:szCs w:val="24"/>
                              </w:rPr>
                            </w:pPr>
                            <w:bookmarkStart w:id="284" w:name="_Toc57665371"/>
                            <w:r w:rsidRPr="00121529">
                              <w:rPr>
                                <w:i w:val="0"/>
                                <w:iCs w:val="0"/>
                              </w:rPr>
                              <w:t xml:space="preserve">Графикон </w:t>
                            </w:r>
                            <w:r w:rsidRPr="00121529">
                              <w:rPr>
                                <w:i w:val="0"/>
                                <w:iCs w:val="0"/>
                              </w:rPr>
                              <w:fldChar w:fldCharType="begin"/>
                            </w:r>
                            <w:r w:rsidRPr="00121529">
                              <w:rPr>
                                <w:i w:val="0"/>
                                <w:iCs w:val="0"/>
                              </w:rPr>
                              <w:instrText xml:space="preserve"> SEQ Графикон \* ARABIC </w:instrText>
                            </w:r>
                            <w:r w:rsidRPr="00121529">
                              <w:rPr>
                                <w:i w:val="0"/>
                                <w:iCs w:val="0"/>
                              </w:rPr>
                              <w:fldChar w:fldCharType="separate"/>
                            </w:r>
                            <w:r>
                              <w:rPr>
                                <w:i w:val="0"/>
                                <w:iCs w:val="0"/>
                                <w:noProof/>
                              </w:rPr>
                              <w:t>35</w:t>
                            </w:r>
                            <w:r w:rsidRPr="00121529">
                              <w:rPr>
                                <w:i w:val="0"/>
                                <w:iCs w:val="0"/>
                              </w:rPr>
                              <w:fldChar w:fldCharType="end"/>
                            </w:r>
                            <w:r w:rsidRPr="00121529">
                              <w:rPr>
                                <w:i w:val="0"/>
                                <w:iCs w:val="0"/>
                              </w:rPr>
                              <w:t xml:space="preserve"> Правци деловања политика – Систем локалне самоуправе</w:t>
                            </w:r>
                            <w:bookmarkEnd w:id="2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822985" id="Text Box 410" o:spid="_x0000_s1469" type="#_x0000_t202" style="position:absolute;margin-left:0;margin-top:213.85pt;width:429.3pt;height:.05pt;z-index:2520673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" stroked="f">
                <v:textbox style="mso-fit-shape-to-text:t" inset="0,0,0,0">
                  <w:txbxContent>
                    <w:p w14:paraId="71570337" w14:textId="21C5DCFE" w:rsidR="00876FFE" w:rsidRPr="00121529" w:rsidRDefault="00876FFE" w:rsidP="00121529">
                      <w:pPr>
                        <w:pStyle w:val="Caption"/>
                        <w:rPr>
                          <w:i w:val="0"/>
                          <w:iCs w:val="0"/>
                          <w:noProof/>
                          <w:sz w:val="24"/>
                          <w:szCs w:val="24"/>
                        </w:rPr>
                      </w:pPr>
                      <w:bookmarkStart w:id="308" w:name="_Toc57665371"/>
                      <w:r w:rsidRPr="00121529">
                        <w:rPr>
                          <w:i w:val="0"/>
                          <w:iCs w:val="0"/>
                        </w:rPr>
                        <w:t xml:space="preserve">Графикон </w:t>
                      </w:r>
                      <w:r w:rsidRPr="00121529">
                        <w:rPr>
                          <w:i w:val="0"/>
                          <w:iCs w:val="0"/>
                        </w:rPr>
                        <w:fldChar w:fldCharType="begin"/>
                      </w:r>
                      <w:r w:rsidRPr="00121529">
                        <w:rPr>
                          <w:i w:val="0"/>
                          <w:iCs w:val="0"/>
                        </w:rPr>
                        <w:instrText xml:space="preserve"> SEQ Графикон \* ARABIC </w:instrText>
                      </w:r>
                      <w:r w:rsidRPr="00121529">
                        <w:rPr>
                          <w:i w:val="0"/>
                          <w:iCs w:val="0"/>
                        </w:rPr>
                        <w:fldChar w:fldCharType="separate"/>
                      </w:r>
                      <w:r>
                        <w:rPr>
                          <w:i w:val="0"/>
                          <w:iCs w:val="0"/>
                          <w:noProof/>
                        </w:rPr>
                        <w:t>35</w:t>
                      </w:r>
                      <w:r w:rsidRPr="00121529">
                        <w:rPr>
                          <w:i w:val="0"/>
                          <w:iCs w:val="0"/>
                        </w:rPr>
                        <w:fldChar w:fldCharType="end"/>
                      </w:r>
                      <w:r w:rsidRPr="00121529">
                        <w:rPr>
                          <w:i w:val="0"/>
                          <w:iCs w:val="0"/>
                        </w:rPr>
                        <w:t xml:space="preserve"> Правци деловања политика – Систем локалне самоуправе</w:t>
                      </w:r>
                      <w:bookmarkEnd w:id="308"/>
                    </w:p>
                  </w:txbxContent>
                </v:textbox>
                <w10:wrap anchorx="margin"/>
              </v:shape>
            </w:pict>
          </mc:Fallback>
        </mc:AlternateContent>
      </w:r>
      <w:r w:rsidR="00281418"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853312" behindDoc="0" locked="0" layoutInCell="1" allowOverlap="1" wp14:anchorId="76FCD4BC" wp14:editId="36978857">
                <wp:simplePos x="0" y="0"/>
                <wp:positionH relativeFrom="column">
                  <wp:posOffset>12126686</wp:posOffset>
                </wp:positionH>
                <wp:positionV relativeFrom="paragraph">
                  <wp:posOffset>1013006</wp:posOffset>
                </wp:positionV>
                <wp:extent cx="0" cy="267970"/>
                <wp:effectExtent l="57150" t="38100" r="57150" b="17780"/>
                <wp:wrapNone/>
                <wp:docPr id="793" name="Straight Arrow Connector 793"/>
                <wp:cNvGraphicFramePr/>
                <a:graphic xmlns:a="http://schemas.openxmlformats.org/drawingml/2006/main">
                  <a:graphicData uri="http://schemas.microsoft.com/office/word/2010/wordprocessingShape">
                    <wps:wsp>
                      <wps:cNvCnPr/>
                      <wps:spPr>
                        <a:xfrm flipV="1">
                          <a:off x="0" y="0"/>
                          <a:ext cx="0" cy="267970"/>
                        </a:xfrm>
                        <a:prstGeom prst="straightConnector1">
                          <a:avLst/>
                        </a:prstGeom>
                        <a:noFill/>
                        <a:ln w="28575" cap="flat" cmpd="sng" algn="ctr">
                          <a:solidFill>
                            <a:srgbClr val="666D88"/>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18AE55" id="Straight Arrow Connector 793" o:spid="_x0000_s1026" type="#_x0000_t32" style="position:absolute;margin-left:954.85pt;margin-top:79.75pt;width:0;height:21.1pt;flip:y;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" strokecolor="#666d88" strokeweight="2.25pt">
                <v:stroke endarrow="block" joinstyle="miter"/>
              </v:shape>
            </w:pict>
          </mc:Fallback>
        </mc:AlternateContent>
      </w:r>
      <w:r w:rsidR="00281418"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851264" behindDoc="0" locked="0" layoutInCell="1" allowOverlap="1" wp14:anchorId="577826AD" wp14:editId="6E56405A">
                <wp:simplePos x="0" y="0"/>
                <wp:positionH relativeFrom="column">
                  <wp:posOffset>10485120</wp:posOffset>
                </wp:positionH>
                <wp:positionV relativeFrom="paragraph">
                  <wp:posOffset>1288415</wp:posOffset>
                </wp:positionV>
                <wp:extent cx="3279140" cy="1003300"/>
                <wp:effectExtent l="19050" t="19050" r="16510" b="25400"/>
                <wp:wrapNone/>
                <wp:docPr id="795" name="Text Box 795"/>
                <wp:cNvGraphicFramePr/>
                <a:graphic xmlns:a="http://schemas.openxmlformats.org/drawingml/2006/main">
                  <a:graphicData uri="http://schemas.microsoft.com/office/word/2010/wordprocessingShape">
                    <wps:wsp>
                      <wps:cNvSpPr txBox="1"/>
                      <wps:spPr>
                        <a:xfrm>
                          <a:off x="0" y="0"/>
                          <a:ext cx="3279140" cy="1003300"/>
                        </a:xfrm>
                        <a:prstGeom prst="roundRect">
                          <a:avLst/>
                        </a:prstGeom>
                        <a:solidFill>
                          <a:sysClr val="window" lastClr="FFFFFF"/>
                        </a:solidFill>
                        <a:ln w="38100" cmpd="dbl">
                          <a:solidFill>
                            <a:srgbClr val="666D88"/>
                          </a:solidFill>
                        </a:ln>
                        <a:effectLst/>
                      </wps:spPr>
                      <wps:txbx>
                        <w:txbxContent>
                          <w:p w14:paraId="23BE55E1" w14:textId="77777777" w:rsidR="00876FFE" w:rsidRPr="00281418" w:rsidRDefault="00876FFE" w:rsidP="00281418">
                            <w:pPr>
                              <w:jc w:val="center"/>
                              <w:rPr>
                                <w:rFonts w:asciiTheme="minorHAnsi" w:hAnsiTheme="minorHAnsi" w:cstheme="minorHAnsi"/>
                                <w14:textOutline w14:w="9525" w14:cap="rnd" w14:cmpd="thinThick" w14:algn="ctr">
                                  <w14:solidFill>
                                    <w14:srgbClr w14:val="219990"/>
                                  </w14:solidFill>
                                  <w14:prstDash w14:val="solid"/>
                                  <w14:bevel/>
                                </w14:textOutline>
                              </w:rPr>
                            </w:pPr>
                            <w:r w:rsidRPr="00281418">
                              <w:rPr>
                                <w:rFonts w:asciiTheme="minorHAnsi" w:hAnsiTheme="minorHAnsi" w:cstheme="minorHAnsi"/>
                              </w:rPr>
                              <w:t>Унапређен квалитет и</w:t>
                            </w:r>
                            <w:r w:rsidRPr="00281418">
                              <w:rPr>
                                <w:rFonts w:asciiTheme="minorHAnsi" w:hAnsiTheme="minorHAnsi" w:cstheme="minorHAnsi"/>
                              </w:rPr>
                              <w:br/>
                              <w:t>доступности управних, комуналних и услуга јавних установа локалне самоуправе свим корисницима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7826AD" id="Text Box 795" o:spid="_x0000_s1470" style="position:absolute;margin-left:825.6pt;margin-top:101.45pt;width:258.2pt;height:79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" fillcolor="window" strokecolor="#666d88" strokeweight="3pt">
                <v:stroke linestyle="thinThin"/>
                <v:textbox>
                  <w:txbxContent>
                    <w:p w14:paraId="23BE55E1" w14:textId="77777777" w:rsidR="00876FFE" w:rsidRPr="00281418" w:rsidRDefault="00876FFE" w:rsidP="00281418">
                      <w:pPr>
                        <w:jc w:val="center"/>
                        <w:rPr>
                          <w:rFonts w:asciiTheme="minorHAnsi" w:hAnsiTheme="minorHAnsi" w:cstheme="minorHAnsi"/>
                          <w14:textOutline w14:w="9525" w14:cap="rnd" w14:cmpd="thinThick" w14:algn="ctr">
                            <w14:solidFill>
                              <w14:srgbClr w14:val="219990"/>
                            </w14:solidFill>
                            <w14:prstDash w14:val="solid"/>
                            <w14:bevel/>
                          </w14:textOutline>
                        </w:rPr>
                      </w:pPr>
                      <w:r w:rsidRPr="00281418">
                        <w:rPr>
                          <w:rFonts w:asciiTheme="minorHAnsi" w:hAnsiTheme="minorHAnsi" w:cstheme="minorHAnsi"/>
                        </w:rPr>
                        <w:t>Унапређен квалитет и</w:t>
                      </w:r>
                      <w:r w:rsidRPr="00281418">
                        <w:rPr>
                          <w:rFonts w:asciiTheme="minorHAnsi" w:hAnsiTheme="minorHAnsi" w:cstheme="minorHAnsi"/>
                        </w:rPr>
                        <w:br/>
                        <w:t>доступности управних, комуналних и услуга јавних установа локалне самоуправе свим корисницима</w:t>
                      </w:r>
                    </w:p>
                  </w:txbxContent>
                </v:textbox>
              </v:roundrect>
            </w:pict>
          </mc:Fallback>
        </mc:AlternateContent>
      </w:r>
      <w:r w:rsidR="00281418"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854336" behindDoc="0" locked="0" layoutInCell="1" allowOverlap="1" wp14:anchorId="7649C6FE" wp14:editId="7DEFB939">
                <wp:simplePos x="0" y="0"/>
                <wp:positionH relativeFrom="column">
                  <wp:posOffset>8468995</wp:posOffset>
                </wp:positionH>
                <wp:positionV relativeFrom="paragraph">
                  <wp:posOffset>1012825</wp:posOffset>
                </wp:positionV>
                <wp:extent cx="0" cy="267970"/>
                <wp:effectExtent l="57150" t="38100" r="57150" b="17780"/>
                <wp:wrapNone/>
                <wp:docPr id="796" name="Straight Arrow Connector 796"/>
                <wp:cNvGraphicFramePr/>
                <a:graphic xmlns:a="http://schemas.openxmlformats.org/drawingml/2006/main">
                  <a:graphicData uri="http://schemas.microsoft.com/office/word/2010/wordprocessingShape">
                    <wps:wsp>
                      <wps:cNvCnPr/>
                      <wps:spPr>
                        <a:xfrm flipV="1">
                          <a:off x="0" y="0"/>
                          <a:ext cx="0" cy="267970"/>
                        </a:xfrm>
                        <a:prstGeom prst="straightConnector1">
                          <a:avLst/>
                        </a:prstGeom>
                        <a:noFill/>
                        <a:ln w="28575" cap="flat" cmpd="sng" algn="ctr">
                          <a:solidFill>
                            <a:srgbClr val="666D88"/>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97AB97" id="Straight Arrow Connector 796" o:spid="_x0000_s1026" type="#_x0000_t32" style="position:absolute;margin-left:666.85pt;margin-top:79.75pt;width:0;height:21.1pt;flip:y;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" strokecolor="#666d88" strokeweight="2.25pt">
                <v:stroke endarrow="block" joinstyle="miter"/>
              </v:shape>
            </w:pict>
          </mc:Fallback>
        </mc:AlternateContent>
      </w:r>
      <w:r w:rsidR="00281418"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850240" behindDoc="0" locked="0" layoutInCell="1" allowOverlap="1" wp14:anchorId="21490A1A" wp14:editId="70A1BBB6">
                <wp:simplePos x="0" y="0"/>
                <wp:positionH relativeFrom="column">
                  <wp:posOffset>6822440</wp:posOffset>
                </wp:positionH>
                <wp:positionV relativeFrom="paragraph">
                  <wp:posOffset>1287780</wp:posOffset>
                </wp:positionV>
                <wp:extent cx="3279140" cy="1009015"/>
                <wp:effectExtent l="19050" t="19050" r="16510" b="19685"/>
                <wp:wrapNone/>
                <wp:docPr id="797" name="Text Box 797"/>
                <wp:cNvGraphicFramePr/>
                <a:graphic xmlns:a="http://schemas.openxmlformats.org/drawingml/2006/main">
                  <a:graphicData uri="http://schemas.microsoft.com/office/word/2010/wordprocessingShape">
                    <wps:wsp>
                      <wps:cNvSpPr txBox="1"/>
                      <wps:spPr>
                        <a:xfrm>
                          <a:off x="0" y="0"/>
                          <a:ext cx="3279140" cy="1009015"/>
                        </a:xfrm>
                        <a:prstGeom prst="roundRect">
                          <a:avLst/>
                        </a:prstGeom>
                        <a:solidFill>
                          <a:sysClr val="window" lastClr="FFFFFF"/>
                        </a:solidFill>
                        <a:ln w="38100" cmpd="dbl">
                          <a:solidFill>
                            <a:srgbClr val="666D88"/>
                          </a:solidFill>
                        </a:ln>
                        <a:effectLst/>
                      </wps:spPr>
                      <wps:txbx>
                        <w:txbxContent>
                          <w:p w14:paraId="57F1616B" w14:textId="77777777" w:rsidR="00876FFE" w:rsidRPr="00281418" w:rsidRDefault="00876FFE" w:rsidP="00281418">
                            <w:pPr>
                              <w:jc w:val="center"/>
                              <w:rPr>
                                <w:rFonts w:asciiTheme="minorHAnsi" w:hAnsiTheme="minorHAnsi" w:cstheme="minorHAnsi"/>
                                <w14:textOutline w14:w="9525" w14:cap="rnd" w14:cmpd="dbl" w14:algn="ctr">
                                  <w14:solidFill>
                                    <w14:srgbClr w14:val="219990"/>
                                  </w14:solidFill>
                                  <w14:prstDash w14:val="solid"/>
                                  <w14:bevel/>
                                </w14:textOutline>
                              </w:rPr>
                            </w:pPr>
                            <w:r w:rsidRPr="00281418">
                              <w:rPr>
                                <w:rFonts w:asciiTheme="minorHAnsi" w:hAnsiTheme="minorHAnsi" w:cstheme="minorHAnsi"/>
                              </w:rPr>
                              <w:t>Унапређена организације и капацитети локалне самоуправе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490A1A" id="Text Box 797" o:spid="_x0000_s1471" style="position:absolute;margin-left:537.2pt;margin-top:101.4pt;width:258.2pt;height:79.4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" fillcolor="window" strokecolor="#666d88" strokeweight="3pt">
                <v:stroke linestyle="thinThin"/>
                <v:textbox>
                  <w:txbxContent>
                    <w:p w14:paraId="57F1616B" w14:textId="77777777" w:rsidR="00876FFE" w:rsidRPr="00281418" w:rsidRDefault="00876FFE" w:rsidP="00281418">
                      <w:pPr>
                        <w:jc w:val="center"/>
                        <w:rPr>
                          <w:rFonts w:asciiTheme="minorHAnsi" w:hAnsiTheme="minorHAnsi" w:cstheme="minorHAnsi"/>
                          <w14:textOutline w14:w="9525" w14:cap="rnd" w14:cmpd="dbl" w14:algn="ctr">
                            <w14:solidFill>
                              <w14:srgbClr w14:val="219990"/>
                            </w14:solidFill>
                            <w14:prstDash w14:val="solid"/>
                            <w14:bevel/>
                          </w14:textOutline>
                        </w:rPr>
                      </w:pPr>
                      <w:r w:rsidRPr="00281418">
                        <w:rPr>
                          <w:rFonts w:asciiTheme="minorHAnsi" w:hAnsiTheme="minorHAnsi" w:cstheme="minorHAnsi"/>
                        </w:rPr>
                        <w:t xml:space="preserve">Унапређена </w:t>
                      </w:r>
                      <w:r w:rsidRPr="00281418">
                        <w:rPr>
                          <w:rFonts w:asciiTheme="minorHAnsi" w:hAnsiTheme="minorHAnsi" w:cstheme="minorHAnsi"/>
                        </w:rPr>
                        <w:t>организације и капацитети локалне самоуправе</w:t>
                      </w:r>
                    </w:p>
                  </w:txbxContent>
                </v:textbox>
              </v:roundrect>
            </w:pict>
          </mc:Fallback>
        </mc:AlternateContent>
      </w:r>
      <w:r w:rsidR="00281418"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855360" behindDoc="0" locked="0" layoutInCell="1" allowOverlap="1" wp14:anchorId="6F173826" wp14:editId="07AB26A3">
                <wp:simplePos x="0" y="0"/>
                <wp:positionH relativeFrom="column">
                  <wp:posOffset>4811395</wp:posOffset>
                </wp:positionH>
                <wp:positionV relativeFrom="paragraph">
                  <wp:posOffset>1012825</wp:posOffset>
                </wp:positionV>
                <wp:extent cx="0" cy="267970"/>
                <wp:effectExtent l="57150" t="38100" r="57150" b="17780"/>
                <wp:wrapNone/>
                <wp:docPr id="814" name="Straight Arrow Connector 814"/>
                <wp:cNvGraphicFramePr/>
                <a:graphic xmlns:a="http://schemas.openxmlformats.org/drawingml/2006/main">
                  <a:graphicData uri="http://schemas.microsoft.com/office/word/2010/wordprocessingShape">
                    <wps:wsp>
                      <wps:cNvCnPr/>
                      <wps:spPr>
                        <a:xfrm flipV="1">
                          <a:off x="0" y="0"/>
                          <a:ext cx="0" cy="267970"/>
                        </a:xfrm>
                        <a:prstGeom prst="straightConnector1">
                          <a:avLst/>
                        </a:prstGeom>
                        <a:noFill/>
                        <a:ln w="28575" cap="flat" cmpd="sng" algn="ctr">
                          <a:solidFill>
                            <a:srgbClr val="666D88"/>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2D70CD" id="Straight Arrow Connector 814" o:spid="_x0000_s1026" type="#_x0000_t32" style="position:absolute;margin-left:378.85pt;margin-top:79.75pt;width:0;height:21.1pt;flip:y;z-index:25185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" strokecolor="#666d88" strokeweight="2.25pt">
                <v:stroke endarrow="block" joinstyle="miter"/>
              </v:shape>
            </w:pict>
          </mc:Fallback>
        </mc:AlternateContent>
      </w:r>
      <w:r w:rsidR="00281418"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849216" behindDoc="0" locked="0" layoutInCell="1" allowOverlap="1" wp14:anchorId="5B3BB2E4" wp14:editId="4BF5F5E2">
                <wp:simplePos x="0" y="0"/>
                <wp:positionH relativeFrom="column">
                  <wp:posOffset>3175635</wp:posOffset>
                </wp:positionH>
                <wp:positionV relativeFrom="paragraph">
                  <wp:posOffset>1265555</wp:posOffset>
                </wp:positionV>
                <wp:extent cx="3279140" cy="995680"/>
                <wp:effectExtent l="19050" t="19050" r="16510" b="13970"/>
                <wp:wrapNone/>
                <wp:docPr id="815" name="Text Box 815"/>
                <wp:cNvGraphicFramePr/>
                <a:graphic xmlns:a="http://schemas.openxmlformats.org/drawingml/2006/main">
                  <a:graphicData uri="http://schemas.microsoft.com/office/word/2010/wordprocessingShape">
                    <wps:wsp>
                      <wps:cNvSpPr txBox="1"/>
                      <wps:spPr>
                        <a:xfrm>
                          <a:off x="0" y="0"/>
                          <a:ext cx="3279140" cy="995680"/>
                        </a:xfrm>
                        <a:prstGeom prst="roundRect">
                          <a:avLst/>
                        </a:prstGeom>
                        <a:solidFill>
                          <a:sysClr val="window" lastClr="FFFFFF"/>
                        </a:solidFill>
                        <a:ln w="38100" cmpd="dbl">
                          <a:solidFill>
                            <a:srgbClr val="666D88"/>
                          </a:solidFill>
                        </a:ln>
                        <a:effectLst/>
                      </wps:spPr>
                      <wps:txbx>
                        <w:txbxContent>
                          <w:p w14:paraId="5F6E0E1D" w14:textId="1A0B1300" w:rsidR="00876FFE" w:rsidRPr="00281418" w:rsidRDefault="00876FFE" w:rsidP="00281418">
                            <w:pPr>
                              <w:jc w:val="center"/>
                              <w:rPr>
                                <w:rFonts w:asciiTheme="minorHAnsi" w:hAnsiTheme="minorHAnsi" w:cstheme="minorHAnsi"/>
                              </w:rPr>
                            </w:pPr>
                            <w:r w:rsidRPr="00281418">
                              <w:rPr>
                                <w:rFonts w:asciiTheme="minorHAnsi" w:hAnsiTheme="minorHAnsi" w:cstheme="minorHAnsi"/>
                              </w:rPr>
                              <w:t xml:space="preserve">Унапређен систем финансирања који омогућава адекватно и предвидиво </w:t>
                            </w:r>
                            <w:r w:rsidRPr="00281418">
                              <w:rPr>
                                <w:rFonts w:asciiTheme="minorHAnsi" w:hAnsiTheme="minorHAnsi" w:cstheme="minorHAnsi"/>
                              </w:rPr>
                              <w:br/>
                              <w:t xml:space="preserve">финансирање локалне самоуправе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3BB2E4" id="Text Box 815" o:spid="_x0000_s1472" style="position:absolute;margin-left:250.05pt;margin-top:99.65pt;width:258.2pt;height:78.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" fillcolor="window" strokecolor="#666d88" strokeweight="3pt">
                <v:stroke linestyle="thinThin"/>
                <v:textbox>
                  <w:txbxContent>
                    <w:p w14:paraId="5F6E0E1D" w14:textId="1A0B1300" w:rsidR="00876FFE" w:rsidRPr="00281418" w:rsidRDefault="00876FFE" w:rsidP="00281418">
                      <w:pPr>
                        <w:jc w:val="center"/>
                        <w:rPr>
                          <w:rFonts w:asciiTheme="minorHAnsi" w:hAnsiTheme="minorHAnsi" w:cstheme="minorHAnsi"/>
                        </w:rPr>
                      </w:pPr>
                      <w:r w:rsidRPr="00281418">
                        <w:rPr>
                          <w:rFonts w:asciiTheme="minorHAnsi" w:hAnsiTheme="minorHAnsi" w:cstheme="minorHAnsi"/>
                        </w:rPr>
                        <w:t xml:space="preserve">Унапређен </w:t>
                      </w:r>
                      <w:r w:rsidRPr="00281418">
                        <w:rPr>
                          <w:rFonts w:asciiTheme="minorHAnsi" w:hAnsiTheme="minorHAnsi" w:cstheme="minorHAnsi"/>
                        </w:rPr>
                        <w:t xml:space="preserve">систем финансирања који омогућава адекватно и предвидиво </w:t>
                      </w:r>
                      <w:r w:rsidRPr="00281418">
                        <w:rPr>
                          <w:rFonts w:asciiTheme="minorHAnsi" w:hAnsiTheme="minorHAnsi" w:cstheme="minorHAnsi"/>
                        </w:rPr>
                        <w:br/>
                        <w:t xml:space="preserve">финансирање локалне самоуправе </w:t>
                      </w:r>
                    </w:p>
                  </w:txbxContent>
                </v:textbox>
              </v:roundrect>
            </w:pict>
          </mc:Fallback>
        </mc:AlternateContent>
      </w:r>
      <w:r w:rsidR="00281418"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852288" behindDoc="0" locked="0" layoutInCell="1" allowOverlap="1" wp14:anchorId="7A1E30A4" wp14:editId="35E6C18F">
                <wp:simplePos x="0" y="0"/>
                <wp:positionH relativeFrom="column">
                  <wp:posOffset>1150620</wp:posOffset>
                </wp:positionH>
                <wp:positionV relativeFrom="paragraph">
                  <wp:posOffset>1009650</wp:posOffset>
                </wp:positionV>
                <wp:extent cx="0" cy="267970"/>
                <wp:effectExtent l="57150" t="38100" r="57150" b="17780"/>
                <wp:wrapNone/>
                <wp:docPr id="816" name="Straight Arrow Connector 816"/>
                <wp:cNvGraphicFramePr/>
                <a:graphic xmlns:a="http://schemas.openxmlformats.org/drawingml/2006/main">
                  <a:graphicData uri="http://schemas.microsoft.com/office/word/2010/wordprocessingShape">
                    <wps:wsp>
                      <wps:cNvCnPr/>
                      <wps:spPr>
                        <a:xfrm flipV="1">
                          <a:off x="0" y="0"/>
                          <a:ext cx="0" cy="267970"/>
                        </a:xfrm>
                        <a:prstGeom prst="straightConnector1">
                          <a:avLst/>
                        </a:prstGeom>
                        <a:noFill/>
                        <a:ln w="28575" cap="flat" cmpd="sng" algn="ctr">
                          <a:solidFill>
                            <a:srgbClr val="666D88"/>
                          </a:solidFill>
                          <a:prstDash val="solid"/>
                          <a:miter lim="800000"/>
                          <a:tailEnd type="triangle"/>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2A85F4" id="Straight Arrow Connector 816" o:spid="_x0000_s1026" type="#_x0000_t32" style="position:absolute;margin-left:90.6pt;margin-top:79.5pt;width:0;height:21.1pt;flip:y;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" strokecolor="#666d88" strokeweight="2.25pt">
                <v:stroke endarrow="block" joinstyle="miter"/>
              </v:shape>
            </w:pict>
          </mc:Fallback>
        </mc:AlternateContent>
      </w:r>
      <w:r w:rsidR="00281418" w:rsidRPr="000F0299">
        <w:rPr>
          <w:rFonts w:eastAsiaTheme="minorHAnsi" w:cstheme="minorBidi"/>
          <w:noProof/>
          <w:kern w:val="0"/>
          <w:sz w:val="20"/>
          <w:szCs w:val="22"/>
          <w:lang w:val="en-US" w:eastAsia="en-US" w:bidi="ar-SA"/>
        </w:rPr>
        <mc:AlternateContent>
          <mc:Choice Requires="wps">
            <w:drawing>
              <wp:anchor distT="0" distB="0" distL="114300" distR="114300" simplePos="0" relativeHeight="251848192" behindDoc="0" locked="0" layoutInCell="1" allowOverlap="1" wp14:anchorId="0565513D" wp14:editId="709C5859">
                <wp:simplePos x="0" y="0"/>
                <wp:positionH relativeFrom="column">
                  <wp:posOffset>-514350</wp:posOffset>
                </wp:positionH>
                <wp:positionV relativeFrom="paragraph">
                  <wp:posOffset>1276985</wp:posOffset>
                </wp:positionV>
                <wp:extent cx="3279140" cy="1009015"/>
                <wp:effectExtent l="19050" t="19050" r="16510" b="19685"/>
                <wp:wrapNone/>
                <wp:docPr id="817" name="Text Box 817"/>
                <wp:cNvGraphicFramePr/>
                <a:graphic xmlns:a="http://schemas.openxmlformats.org/drawingml/2006/main">
                  <a:graphicData uri="http://schemas.microsoft.com/office/word/2010/wordprocessingShape">
                    <wps:wsp>
                      <wps:cNvSpPr txBox="1"/>
                      <wps:spPr>
                        <a:xfrm>
                          <a:off x="0" y="0"/>
                          <a:ext cx="3279140" cy="1009015"/>
                        </a:xfrm>
                        <a:prstGeom prst="roundRect">
                          <a:avLst/>
                        </a:prstGeom>
                        <a:solidFill>
                          <a:sysClr val="window" lastClr="FFFFFF"/>
                        </a:solidFill>
                        <a:ln w="38100" cmpd="dbl">
                          <a:solidFill>
                            <a:srgbClr val="666D88"/>
                          </a:solidFill>
                        </a:ln>
                        <a:effectLst/>
                      </wps:spPr>
                      <wps:txbx>
                        <w:txbxContent>
                          <w:p w14:paraId="202BBE07" w14:textId="091CC275" w:rsidR="00876FFE" w:rsidRPr="00281418" w:rsidRDefault="00876FFE" w:rsidP="00281418">
                            <w:pPr>
                              <w:jc w:val="center"/>
                              <w:rPr>
                                <w:rFonts w:asciiTheme="minorHAnsi" w:hAnsiTheme="minorHAnsi" w:cstheme="minorHAnsi"/>
                              </w:rPr>
                            </w:pPr>
                            <w:r w:rsidRPr="00281418">
                              <w:rPr>
                                <w:rFonts w:asciiTheme="minorHAnsi" w:hAnsiTheme="minorHAnsi" w:cstheme="minorHAnsi"/>
                              </w:rPr>
                              <w:t>Унапређен положај и одговорност локалне самоуправе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65513D" id="Text Box 817" o:spid="_x0000_s1473" style="position:absolute;margin-left:-40.5pt;margin-top:100.55pt;width:258.2pt;height:79.4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" fillcolor="window" strokecolor="#666d88" strokeweight="3pt">
                <v:stroke linestyle="thinThin"/>
                <v:textbox inset="0,0,0,0">
                  <w:txbxContent>
                    <w:p w14:paraId="202BBE07" w14:textId="091CC275" w:rsidR="00876FFE" w:rsidRPr="00281418" w:rsidRDefault="00876FFE" w:rsidP="00281418">
                      <w:pPr>
                        <w:jc w:val="center"/>
                        <w:rPr>
                          <w:rFonts w:asciiTheme="minorHAnsi" w:hAnsiTheme="minorHAnsi" w:cstheme="minorHAnsi"/>
                        </w:rPr>
                      </w:pPr>
                      <w:r w:rsidRPr="00281418">
                        <w:rPr>
                          <w:rFonts w:asciiTheme="minorHAnsi" w:hAnsiTheme="minorHAnsi" w:cstheme="minorHAnsi"/>
                        </w:rPr>
                        <w:t xml:space="preserve">Унапређен </w:t>
                      </w:r>
                      <w:r w:rsidRPr="00281418">
                        <w:rPr>
                          <w:rFonts w:asciiTheme="minorHAnsi" w:hAnsiTheme="minorHAnsi" w:cstheme="minorHAnsi"/>
                        </w:rPr>
                        <w:t>положај и одговорност локалне самоуправе</w:t>
                      </w:r>
                    </w:p>
                  </w:txbxContent>
                </v:textbox>
              </v:roundrect>
            </w:pict>
          </mc:Fallback>
        </mc:AlternateContent>
      </w:r>
    </w:p>
    <w:p w14:paraId="782C10C6" w14:textId="1762B2E6" w:rsidR="00EF2E25" w:rsidRPr="000F0299" w:rsidRDefault="0088622E" w:rsidP="007A0CC3">
      <w:pPr>
        <w:pStyle w:val="Heading1"/>
        <w:rPr>
          <w:lang w:val="sr-Cyrl-RS"/>
        </w:rPr>
      </w:pPr>
      <w:bookmarkStart w:id="285" w:name="_ИНСТИТУЦИОНАЛНИ_ОКВИР_–"/>
      <w:bookmarkStart w:id="286" w:name="_Прилог_3:_Процес"/>
      <w:bookmarkStart w:id="287" w:name="_Ref57059085"/>
      <w:bookmarkStart w:id="288" w:name="_Toc57661503"/>
      <w:bookmarkEnd w:id="264"/>
      <w:bookmarkEnd w:id="271"/>
      <w:bookmarkEnd w:id="277"/>
      <w:bookmarkEnd w:id="285"/>
      <w:bookmarkEnd w:id="286"/>
      <w:r w:rsidRPr="000F0299">
        <w:rPr>
          <w:lang w:val="sr-Cyrl-RS"/>
        </w:rPr>
        <w:t>Прилог 3:</w:t>
      </w:r>
      <w:r w:rsidR="002977D3" w:rsidRPr="000F0299">
        <w:rPr>
          <w:lang w:val="sr-Cyrl-RS"/>
        </w:rPr>
        <w:t xml:space="preserve"> </w:t>
      </w:r>
      <w:r w:rsidRPr="000F0299">
        <w:rPr>
          <w:lang w:val="sr-Cyrl-RS"/>
        </w:rPr>
        <w:t>Процес припреме стратегије и опис консултативног процеса</w:t>
      </w:r>
      <w:bookmarkEnd w:id="287"/>
      <w:bookmarkEnd w:id="288"/>
    </w:p>
    <w:p w14:paraId="6F4D3B10" w14:textId="0C96E956" w:rsidR="00EF2E25" w:rsidRPr="000F0299" w:rsidRDefault="002977D3" w:rsidP="00244E7C">
      <w:r w:rsidRPr="000F0299">
        <w:t xml:space="preserve">Припрема Стратегије РЈУ у Републици Србији за период од 2021. до 2030. године и пратећег Акционог плана за период 2021–2025. године започела је </w:t>
      </w:r>
      <w:r w:rsidRPr="000F0299">
        <w:rPr>
          <w:b/>
        </w:rPr>
        <w:t xml:space="preserve">екстерном </w:t>
      </w:r>
      <w:r w:rsidR="005E5DCC" w:rsidRPr="000F0299">
        <w:rPr>
          <w:b/>
        </w:rPr>
        <w:t>евалуацијом</w:t>
      </w:r>
      <w:r w:rsidRPr="000F0299">
        <w:t xml:space="preserve"> резултата текуће Стратегије РЈУ са препорукама за будућност. Препоруке Извештаја о евалуацији </w:t>
      </w:r>
      <w:r w:rsidR="005E5DCC" w:rsidRPr="000F0299">
        <w:t>представљале</w:t>
      </w:r>
      <w:r w:rsidRPr="000F0299">
        <w:t xml:space="preserve"> су основу за процес израде предлога нове Стратегије РЈУ. Већ у тој фази је </w:t>
      </w:r>
      <w:r w:rsidR="005E5DCC" w:rsidRPr="000F0299">
        <w:t>остварена</w:t>
      </w:r>
      <w:r w:rsidRPr="000F0299">
        <w:t xml:space="preserve"> пуна партиципативност и укључивање свих заинтересованих страна: Референтна група за евалуацију Стратегије РЈУ </w:t>
      </w:r>
      <w:r w:rsidRPr="000F0299">
        <w:rPr>
          <w:b/>
        </w:rPr>
        <w:t>(РГЕ)</w:t>
      </w:r>
      <w:r w:rsidRPr="000F0299">
        <w:t xml:space="preserve"> је поред представника државних органа укључила и три организације цивилног друштва, ЕУ Делегацију у Републици Србији и донаторе: Немачку агенцију за међународну сарадњу (ГИЗ) и Швајцарску агенцију за развој и сарадњу.</w:t>
      </w:r>
      <w:r w:rsidRPr="000F0299">
        <w:rPr>
          <w:vertAlign w:val="superscript"/>
        </w:rPr>
        <w:footnoteReference w:id="337"/>
      </w:r>
      <w:r w:rsidRPr="000F0299">
        <w:t xml:space="preserve"> РГЕ</w:t>
      </w:r>
      <w:r w:rsidR="00CC27EF" w:rsidRPr="000F0299">
        <w:t xml:space="preserve"> </w:t>
      </w:r>
      <w:r w:rsidRPr="000F0299">
        <w:t>је на посебним састанцима дискутовала о методологији евалуације, кључним налазима у фази спровођења евалуације и коначним налазима и препорукама Нацрта извештаја. Додатно, током евалуације, партиципација је била обезбеђена кроз 7 фокус група, 52 појединачна интервјуа, 10 упитника.</w:t>
      </w:r>
      <w:r w:rsidRPr="000F0299">
        <w:rPr>
          <w:vertAlign w:val="superscript"/>
        </w:rPr>
        <w:footnoteReference w:id="338"/>
      </w:r>
      <w:r w:rsidRPr="000F0299">
        <w:t xml:space="preserve"> </w:t>
      </w:r>
    </w:p>
    <w:p w14:paraId="3F6F515A" w14:textId="0C1979A5" w:rsidR="002977D3" w:rsidRPr="000F0299" w:rsidRDefault="002977D3" w:rsidP="00244E7C">
      <w:r w:rsidRPr="000F0299">
        <w:t>Након објављене евалуације, на четири велика скупа представљени су резултати евалуације, како би се омогућила дискусија о препорукама и додатно унапредио процес израде новог стратешког документа (на Међуминистарској пројектној групи</w:t>
      </w:r>
      <w:r w:rsidRPr="000F0299">
        <w:rPr>
          <w:vertAlign w:val="superscript"/>
        </w:rPr>
        <w:footnoteReference w:id="339"/>
      </w:r>
      <w:r w:rsidRPr="000F0299">
        <w:t xml:space="preserve"> 4-5.6. 2019. године,</w:t>
      </w:r>
      <w:r w:rsidRPr="000F0299">
        <w:rPr>
          <w:rFonts w:eastAsia="Calibri"/>
          <w:vertAlign w:val="superscript"/>
        </w:rPr>
        <w:t xml:space="preserve"> </w:t>
      </w:r>
      <w:r w:rsidRPr="000F0299">
        <w:rPr>
          <w:rFonts w:eastAsia="Calibri"/>
          <w:vertAlign w:val="superscript"/>
        </w:rPr>
        <w:footnoteReference w:id="340"/>
      </w:r>
      <w:r w:rsidRPr="000F0299">
        <w:t xml:space="preserve"> Савету за РЈУ 13.6.2019, и првом </w:t>
      </w:r>
      <w:r w:rsidRPr="000F0299">
        <w:rPr>
          <w:i/>
        </w:rPr>
        <w:t>kick off</w:t>
      </w:r>
      <w:r w:rsidRPr="000F0299">
        <w:rPr>
          <w:vertAlign w:val="superscript"/>
        </w:rPr>
        <w:footnoteReference w:id="341"/>
      </w:r>
      <w:r w:rsidRPr="000F0299">
        <w:t xml:space="preserve"> састанку за припрему нове Стратегије 2021-2030. 23.10.2019. године). И пре тога, 22. септембра 2019. године одржан је састанак РГЕ у циљу даљег подизања капацитета у државним органима како би се представиле научене лекције из </w:t>
      </w:r>
      <w:r w:rsidR="005E5DCC" w:rsidRPr="000F0299">
        <w:t>спроведене</w:t>
      </w:r>
      <w:r w:rsidRPr="000F0299">
        <w:t xml:space="preserve"> евалуације и израђен је документ Научене лекције од стране Евалуационог тима ЕУ Пројекта комплементарне подршке за област РЈУ и подељен са главним заинтересованим странама. </w:t>
      </w:r>
    </w:p>
    <w:p w14:paraId="2C90C376" w14:textId="5BCDE2D7" w:rsidR="002977D3" w:rsidRPr="000F0299" w:rsidRDefault="002977D3" w:rsidP="00244E7C">
      <w:r w:rsidRPr="000F0299">
        <w:t>Међуминистарска пројектна група, као административни ниво управљања важећом Стратегијом РЈУ, након разматрања препорука евалуације, предложила је Савету за РЈУ да одобри израду нове Стратегије РЈУ, која ће између осталог, садржати и област која се односи на пружање јавних услуга, унапредити политику управљања људским ресурсима и побољшати структуру и процес координације и праћења спровођења РЈУ</w:t>
      </w:r>
      <w:r w:rsidRPr="000F0299">
        <w:rPr>
          <w:rFonts w:eastAsia="Calibri"/>
        </w:rPr>
        <w:t>.</w:t>
      </w:r>
      <w:r w:rsidRPr="000F0299">
        <w:t xml:space="preserve"> Процес су подржали представници </w:t>
      </w:r>
      <w:r w:rsidR="0070535D" w:rsidRPr="0070535D">
        <w:rPr>
          <w:i/>
        </w:rPr>
        <w:t>SIGMA</w:t>
      </w:r>
      <w:r w:rsidRPr="000F0299">
        <w:t xml:space="preserve"> и Комплементарне подршке ЕУ за област РЈУ, како би се научене лекције уградиле у побољшани систем за координацију и праћење у новој Стратегији РЈУ за период 2021-2030. година. Након тога је Савет за РЈУ, као политички ниво управљања процесом РЈУ, Закључком</w:t>
      </w:r>
      <w:r w:rsidRPr="000F0299">
        <w:rPr>
          <w:vertAlign w:val="superscript"/>
        </w:rPr>
        <w:footnoteReference w:id="342"/>
      </w:r>
      <w:r w:rsidRPr="000F0299">
        <w:t xml:space="preserve"> подржао налазе и препоруке Евалуације </w:t>
      </w:r>
      <w:r w:rsidRPr="000F0299">
        <w:rPr>
          <w:rFonts w:eastAsia="Times New Roman"/>
          <w:lang w:eastAsia="en-GB"/>
        </w:rPr>
        <w:t>и званично покренуо процес израде нове Стратегије РЈУ</w:t>
      </w:r>
      <w:r w:rsidRPr="000F0299">
        <w:rPr>
          <w:rFonts w:eastAsia="Times New Roman"/>
          <w:b/>
          <w:lang w:eastAsia="en-GB"/>
        </w:rPr>
        <w:t xml:space="preserve"> </w:t>
      </w:r>
      <w:r w:rsidRPr="000F0299">
        <w:rPr>
          <w:rFonts w:eastAsia="Times New Roman"/>
          <w:lang w:eastAsia="en-GB"/>
        </w:rPr>
        <w:t>наводећи конкретне надлежности органа државне управе (МДУЛС и РСЈП).</w:t>
      </w:r>
    </w:p>
    <w:p w14:paraId="48A75092" w14:textId="624B1E66" w:rsidR="002977D3" w:rsidRPr="000F0299" w:rsidRDefault="002977D3" w:rsidP="00244E7C">
      <w:r w:rsidRPr="000F0299">
        <w:t xml:space="preserve">У истом периоду је трајао </w:t>
      </w:r>
      <w:r w:rsidRPr="000F0299">
        <w:rPr>
          <w:b/>
        </w:rPr>
        <w:t>процес предконсултација</w:t>
      </w:r>
      <w:r w:rsidRPr="000F0299">
        <w:t xml:space="preserve"> како унутар МДУЛС-а, тако и са осталим органима државне управе (састанци у вези са: хијерархијом докумената и структуром будуће Стратегије са Министарством финансија и РСЈП 8.8.2019; даљим правцима на тему управљачке одговорности (</w:t>
      </w:r>
      <w:r w:rsidR="0070535D" w:rsidRPr="0070535D">
        <w:rPr>
          <w:i/>
        </w:rPr>
        <w:t>SIGMA</w:t>
      </w:r>
      <w:r w:rsidRPr="000F0299">
        <w:t xml:space="preserve">/ОЕЦД, МДУЛС, Генерални секретаријат, Министарство финансија, РСЈП, Делегација ЕУ у РС, Комплементарна подршка ЕУ за област РЈУ, Твининг пројекат при Министарству финансија) 25.9.2019; године, претходно </w:t>
      </w:r>
      <w:r w:rsidR="005E5DCC" w:rsidRPr="000F0299">
        <w:t>мишљење</w:t>
      </w:r>
      <w:r w:rsidRPr="000F0299">
        <w:t xml:space="preserve"> РСЈП поводом </w:t>
      </w:r>
      <w:r w:rsidR="005E5DCC" w:rsidRPr="000F0299">
        <w:t>хијерархије</w:t>
      </w:r>
      <w:r w:rsidRPr="000F0299">
        <w:t xml:space="preserve"> докумената и процеса консултација</w:t>
      </w:r>
      <w:r w:rsidRPr="000F0299">
        <w:rPr>
          <w:vertAlign w:val="superscript"/>
        </w:rPr>
        <w:footnoteReference w:id="343"/>
      </w:r>
      <w:r w:rsidRPr="000F0299">
        <w:t xml:space="preserve"> и сл.).</w:t>
      </w:r>
    </w:p>
    <w:p w14:paraId="55CACE8C" w14:textId="061949A4" w:rsidR="002977D3" w:rsidRPr="006A1FB0" w:rsidRDefault="002977D3" w:rsidP="00244E7C">
      <w:pPr>
        <w:rPr>
          <w:lang w:val="sr-Latn-RS"/>
        </w:rPr>
      </w:pPr>
      <w:r w:rsidRPr="000F0299">
        <w:t xml:space="preserve">Званичан </w:t>
      </w:r>
      <w:r w:rsidRPr="000F0299">
        <w:rPr>
          <w:b/>
        </w:rPr>
        <w:t>процес консултација</w:t>
      </w:r>
      <w:r w:rsidRPr="000F0299">
        <w:t xml:space="preserve"> покренут је и јавно објављен у складу са чланом 32. Закона о планском систему 12. августа 2019. године.</w:t>
      </w:r>
      <w:r w:rsidRPr="000F0299">
        <w:rPr>
          <w:vertAlign w:val="superscript"/>
        </w:rPr>
        <w:footnoteReference w:id="344"/>
      </w:r>
      <w:r w:rsidRPr="000F0299">
        <w:t xml:space="preserve"> Након прибављеног мишљења РСЈП, а у складу са ч</w:t>
      </w:r>
      <w:r w:rsidRPr="000F0299">
        <w:rPr>
          <w:bCs/>
        </w:rPr>
        <w:t xml:space="preserve">ланом 35. </w:t>
      </w:r>
      <w:r w:rsidRPr="000F0299">
        <w:t xml:space="preserve">Закона о планском систему којим се </w:t>
      </w:r>
      <w:r w:rsidRPr="000F0299">
        <w:rPr>
          <w:bCs/>
        </w:rPr>
        <w:t>ближе се уређују специфичности консултација које спроводи орган државне управе</w:t>
      </w:r>
      <w:r w:rsidRPr="000F0299">
        <w:t xml:space="preserve"> кроз формирање широко партиципативне радне групе за израду документа јавне политике, МДУЛС је заједно са Канцеларијом за сарадњу са цивилним друштвом, објавило </w:t>
      </w:r>
      <w:r w:rsidRPr="000F0299">
        <w:rPr>
          <w:b/>
        </w:rPr>
        <w:t>јавни позив за учешће удружења грађана у изради нове десетогодишње стратегије.</w:t>
      </w:r>
      <w:r w:rsidRPr="000F0299">
        <w:rPr>
          <w:b/>
          <w:vertAlign w:val="superscript"/>
        </w:rPr>
        <w:footnoteReference w:id="345"/>
      </w:r>
      <w:r w:rsidR="00CC27EF" w:rsidRPr="000F0299">
        <w:rPr>
          <w:b/>
        </w:rPr>
        <w:t xml:space="preserve"> </w:t>
      </w:r>
      <w:r w:rsidRPr="000F0299">
        <w:t>20. септембра 2019. објављена је листа од</w:t>
      </w:r>
      <w:r w:rsidRPr="000F0299">
        <w:rPr>
          <w:b/>
        </w:rPr>
        <w:t xml:space="preserve"> 6 НВО</w:t>
      </w:r>
      <w:r w:rsidRPr="000F0299">
        <w:rPr>
          <w:vertAlign w:val="superscript"/>
        </w:rPr>
        <w:footnoteReference w:id="346"/>
      </w:r>
      <w:r w:rsidRPr="000F0299">
        <w:t xml:space="preserve"> од којих три имају седиште ван Београда,</w:t>
      </w:r>
      <w:r w:rsidRPr="000F0299">
        <w:rPr>
          <w:vertAlign w:val="superscript"/>
        </w:rPr>
        <w:footnoteReference w:id="347"/>
      </w:r>
      <w:r w:rsidRPr="000F0299">
        <w:t xml:space="preserve"> који представљају цивилни сектор у Посебној радној групи за израду Стратегије РЈУ. Додатно у Посебној радној групи се налазе и представници </w:t>
      </w:r>
      <w:r w:rsidRPr="000F0299">
        <w:rPr>
          <w:b/>
        </w:rPr>
        <w:t xml:space="preserve">Привредне коморе, </w:t>
      </w:r>
      <w:r w:rsidRPr="000F0299">
        <w:t xml:space="preserve">као везе према пословној заједници, и </w:t>
      </w:r>
      <w:r w:rsidRPr="000F0299">
        <w:rPr>
          <w:b/>
        </w:rPr>
        <w:t>Сталне конференције градова и општина</w:t>
      </w:r>
      <w:r w:rsidRPr="000F0299">
        <w:t xml:space="preserve">, као везе са локалном самоуправом. Посебна радна група је све време остала отворена за учешће додатних заинтересованих страна (на пример, иако </w:t>
      </w:r>
      <w:r w:rsidR="005E5DCC" w:rsidRPr="000F0299">
        <w:rPr>
          <w:b/>
        </w:rPr>
        <w:t>Транспарентност</w:t>
      </w:r>
      <w:r w:rsidRPr="000F0299">
        <w:rPr>
          <w:b/>
        </w:rPr>
        <w:t xml:space="preserve"> Србија</w:t>
      </w:r>
      <w:r w:rsidRPr="000F0299">
        <w:t xml:space="preserve"> није учествовала на јавном позиву, изразила</w:t>
      </w:r>
      <w:r w:rsidR="00CC27EF" w:rsidRPr="000F0299">
        <w:t xml:space="preserve"> </w:t>
      </w:r>
      <w:r w:rsidRPr="000F0299">
        <w:t xml:space="preserve">је заинтересованост, као и </w:t>
      </w:r>
      <w:r w:rsidRPr="000F0299">
        <w:rPr>
          <w:b/>
        </w:rPr>
        <w:t>УНДП</w:t>
      </w:r>
      <w:r w:rsidRPr="000F0299">
        <w:t>, који су накнадно учествовали на радним састанцима).</w:t>
      </w:r>
      <w:r w:rsidRPr="000F0299">
        <w:rPr>
          <w:vertAlign w:val="superscript"/>
        </w:rPr>
        <w:footnoteReference w:id="348"/>
      </w:r>
      <w:r w:rsidRPr="000F0299">
        <w:t xml:space="preserve"> Почетни позиви за учешће у Посебној радној групи упућени су органима државне управе (</w:t>
      </w:r>
      <w:r w:rsidRPr="000F0299">
        <w:rPr>
          <w:b/>
        </w:rPr>
        <w:t>свим министарствима, посебним организацијама и службама Владе, као и свим независним државним органима</w:t>
      </w:r>
      <w:r w:rsidRPr="000F0299">
        <w:t xml:space="preserve"> – Државној ревизорској институцији, </w:t>
      </w:r>
      <w:r w:rsidR="005E5DCC" w:rsidRPr="000F0299">
        <w:t>Поверенику</w:t>
      </w:r>
      <w:r w:rsidRPr="000F0299">
        <w:t xml:space="preserve"> за информације од јавног значаја и заштиту података о личности, </w:t>
      </w:r>
      <w:r w:rsidR="005E5DCC" w:rsidRPr="000F0299">
        <w:t>Поверенику</w:t>
      </w:r>
      <w:r w:rsidRPr="000F0299">
        <w:t xml:space="preserve"> за заштиту равноправности, Заштитнику грађана, Агенцији за борбу против корупције). Од независних државних органа, представници Агенције за борбу против корупције и Државне ревизорске институције именовали су своје представнике за чланове Посебне радне групе, док се представници </w:t>
      </w:r>
      <w:r w:rsidR="005E5DCC" w:rsidRPr="000F0299">
        <w:t>Повереника</w:t>
      </w:r>
      <w:r w:rsidRPr="000F0299">
        <w:t xml:space="preserve"> за заштиту равноправности позивају на све састанке као посматрачи, по израженој жељи Повереника за такав начин учествовања. Представници Заштитника грађана и Повереника за информације од јавног значаја и заштиту података о личности, у складу са политиком наведених органа, не учествују у раду радних група органа државне управе, али су изразили спремност за сарадњу кроз писмено давање мишљења на израђен нацрте или посебне састанке у циљу стручних консултација. </w:t>
      </w:r>
      <w:r w:rsidR="008E6ECC">
        <w:t xml:space="preserve">Сличан приступ је заузела ДРИ у </w:t>
      </w:r>
      <w:r w:rsidR="006A1FB0">
        <w:t>завршној фази планирања.</w:t>
      </w:r>
    </w:p>
    <w:p w14:paraId="6062C512" w14:textId="17F7CDBA" w:rsidR="002977D3" w:rsidRPr="000F0299" w:rsidRDefault="002977D3" w:rsidP="00244E7C">
      <w:r w:rsidRPr="000F0299">
        <w:t>У Посебној радној групи је учествовао, према Решењу</w:t>
      </w:r>
      <w:r w:rsidR="00114F43">
        <w:t>,</w:t>
      </w:r>
      <w:r w:rsidRPr="000F0299">
        <w:rPr>
          <w:vertAlign w:val="superscript"/>
        </w:rPr>
        <w:footnoteReference w:id="349"/>
      </w:r>
      <w:r w:rsidR="00114F43">
        <w:t xml:space="preserve"> </w:t>
      </w:r>
      <w:r w:rsidRPr="000F0299">
        <w:rPr>
          <w:b/>
        </w:rPr>
        <w:t>121 представник</w:t>
      </w:r>
      <w:r w:rsidRPr="000F0299">
        <w:t xml:space="preserve"> државних органа укључујући независне државне органе, удружења грађана и Привредну комору РС. Све време у раду и званичној преписци Посебне радне групе били су укључени представници Делегације ЕУ у РС и </w:t>
      </w:r>
      <w:r w:rsidR="0070535D" w:rsidRPr="0070535D">
        <w:rPr>
          <w:i/>
        </w:rPr>
        <w:t>SIGMA</w:t>
      </w:r>
      <w:r w:rsidRPr="000F0299">
        <w:t xml:space="preserve">/ОЕЦД. Размена електронске поште била је потпуно инклузивна и транспарентна и укључивала је поред чланова Посебне радне групе и представнике Делегације ЕУ у РС. У изради Стратегије РЈУ, давањем коментара на прелиминарну верзију и последњу радну верзију, експертску подршку пружила је </w:t>
      </w:r>
      <w:r w:rsidR="0070535D" w:rsidRPr="0070535D">
        <w:rPr>
          <w:i/>
        </w:rPr>
        <w:t>SIGMA</w:t>
      </w:r>
      <w:r w:rsidRPr="000F0299">
        <w:t xml:space="preserve"> при Организацији за економску сарадњу и развој (ОЕЦД). </w:t>
      </w:r>
    </w:p>
    <w:p w14:paraId="482F392D" w14:textId="52004F4D" w:rsidR="002977D3" w:rsidRPr="000F0299" w:rsidRDefault="002977D3" w:rsidP="00244E7C">
      <w:r w:rsidRPr="000F0299">
        <w:t xml:space="preserve">У пракси, одржано је </w:t>
      </w:r>
      <w:r w:rsidRPr="000F0299">
        <w:rPr>
          <w:b/>
        </w:rPr>
        <w:t>4 велика састанка</w:t>
      </w:r>
      <w:r w:rsidRPr="000F0299">
        <w:rPr>
          <w:b/>
          <w:vertAlign w:val="superscript"/>
        </w:rPr>
        <w:footnoteReference w:id="350"/>
      </w:r>
      <w:r w:rsidRPr="000F0299">
        <w:t xml:space="preserve"> Посебне радне групе пре Ковид 19 и ограничења физичког контакта, </w:t>
      </w:r>
      <w:r w:rsidRPr="000F0299">
        <w:rPr>
          <w:b/>
        </w:rPr>
        <w:t>53 онлајн званична састанака подгрупа</w:t>
      </w:r>
      <w:r w:rsidRPr="000F0299">
        <w:t xml:space="preserve">, и </w:t>
      </w:r>
      <w:r w:rsidRPr="000F0299">
        <w:rPr>
          <w:b/>
        </w:rPr>
        <w:t>велики број појединачних састанака ОДУ и заинтересованих страна,</w:t>
      </w:r>
      <w:r w:rsidRPr="000F0299">
        <w:t xml:space="preserve"> на којима је, заједно са удружењима грађана и другим заинтересованим странама, развијена анализа ситуације са анализом проблема, циљеви, индикатори, активности, трошкови за 6 циљева нове Стратегије. Коментарисање материјала, ревидирање текста и усклађивање различитих делова документа обављало се електронским путем, континуирано током периода његове израде (од октобра 2019. године. до децембра 2020. године).</w:t>
      </w:r>
      <w:r w:rsidR="00CC27EF" w:rsidRPr="000F0299">
        <w:t xml:space="preserve"> </w:t>
      </w:r>
      <w:r w:rsidRPr="000F0299">
        <w:t xml:space="preserve">РСЈП и Повереник за информације од јавног значаја и заштиту података личности доставили су мишљења на прелиминарну верзију и њихови коментари су адресирани у финалној верзији. Донатори су били позвани на почетни састанак у 2019. години и састанак у децембру 2020. године након одређивања трошкова Стратегије РЈУ. </w:t>
      </w:r>
    </w:p>
    <w:p w14:paraId="56B153EE" w14:textId="2AE3D756" w:rsidR="002977D3" w:rsidRPr="000F0299" w:rsidRDefault="002977D3" w:rsidP="00244E7C">
      <w:r w:rsidRPr="000F0299">
        <w:t xml:space="preserve">Процес израде Стратегије искоришћен је и као платформа за усклађивање циљева и приоритетних праваца деловања у хијерархијски нижим документима јавних политика (три програма у области реформе регулаторне политике, система локалне самоуправе и управљања јавним финансијама). Све подгрупе су заједно анализирале постојеће стање, постављале опште циљеве и показатеље учинка, да би наставиле паралелан појединачан рад по програмима до нивоа детаљнијих активности. </w:t>
      </w:r>
    </w:p>
    <w:p w14:paraId="3712A8E1" w14:textId="77777777" w:rsidR="000D2A69" w:rsidRPr="000F0299" w:rsidRDefault="009317CC" w:rsidP="000D2A69">
      <w:pPr>
        <w:keepNext/>
        <w:ind w:firstLine="0"/>
      </w:pPr>
      <w:r w:rsidRPr="000F0299">
        <w:rPr>
          <w:noProof/>
          <w:lang w:val="en-US" w:eastAsia="en-US" w:bidi="ar-SA"/>
        </w:rPr>
        <w:drawing>
          <wp:inline distT="0" distB="0" distL="0" distR="0" wp14:anchorId="15E2C05A" wp14:editId="38F64086">
            <wp:extent cx="5562086" cy="38481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568338" cy="3852426"/>
                    </a:xfrm>
                    <a:prstGeom prst="rect">
                      <a:avLst/>
                    </a:prstGeom>
                    <a:noFill/>
                  </pic:spPr>
                </pic:pic>
              </a:graphicData>
            </a:graphic>
          </wp:inline>
        </w:drawing>
      </w:r>
    </w:p>
    <w:p w14:paraId="01C8C25B" w14:textId="79C64B32" w:rsidR="00C47C15" w:rsidRPr="00952BF5" w:rsidRDefault="000D2A69" w:rsidP="000D2A69">
      <w:pPr>
        <w:pStyle w:val="Caption"/>
        <w:rPr>
          <w:i w:val="0"/>
          <w:iCs w:val="0"/>
          <w:lang w:val="sr-Cyrl-RS"/>
        </w:rPr>
      </w:pPr>
      <w:bookmarkStart w:id="289" w:name="_Toc57564502"/>
      <w:r w:rsidRPr="00952BF5">
        <w:rPr>
          <w:i w:val="0"/>
          <w:iCs w:val="0"/>
          <w:lang w:val="sr-Cyrl-RS"/>
        </w:rPr>
        <w:t xml:space="preserve">Слика </w:t>
      </w:r>
      <w:r w:rsidRPr="00952BF5">
        <w:rPr>
          <w:i w:val="0"/>
          <w:iCs w:val="0"/>
          <w:lang w:val="sr-Cyrl-RS"/>
        </w:rPr>
        <w:fldChar w:fldCharType="begin"/>
      </w:r>
      <w:r w:rsidRPr="00952BF5">
        <w:rPr>
          <w:i w:val="0"/>
          <w:iCs w:val="0"/>
          <w:lang w:val="sr-Cyrl-RS"/>
        </w:rPr>
        <w:instrText xml:space="preserve"> SEQ Слика \* ARABIC </w:instrText>
      </w:r>
      <w:r w:rsidRPr="00952BF5">
        <w:rPr>
          <w:i w:val="0"/>
          <w:iCs w:val="0"/>
          <w:lang w:val="sr-Cyrl-RS"/>
        </w:rPr>
        <w:fldChar w:fldCharType="separate"/>
      </w:r>
      <w:r w:rsidR="004A706E" w:rsidRPr="00952BF5">
        <w:rPr>
          <w:i w:val="0"/>
          <w:iCs w:val="0"/>
          <w:noProof/>
          <w:lang w:val="sr-Cyrl-RS"/>
        </w:rPr>
        <w:t>4</w:t>
      </w:r>
      <w:r w:rsidRPr="00952BF5">
        <w:rPr>
          <w:i w:val="0"/>
          <w:iCs w:val="0"/>
          <w:lang w:val="sr-Cyrl-RS"/>
        </w:rPr>
        <w:fldChar w:fldCharType="end"/>
      </w:r>
      <w:r w:rsidRPr="00952BF5">
        <w:rPr>
          <w:i w:val="0"/>
          <w:iCs w:val="0"/>
          <w:lang w:val="sr-Cyrl-RS"/>
        </w:rPr>
        <w:t xml:space="preserve"> Процес израде Стратегије РЈУ и консулта</w:t>
      </w:r>
      <w:r w:rsidR="00602DA9" w:rsidRPr="00952BF5">
        <w:rPr>
          <w:i w:val="0"/>
          <w:iCs w:val="0"/>
          <w:lang w:val="sr-Cyrl-RS"/>
        </w:rPr>
        <w:t>ција</w:t>
      </w:r>
      <w:bookmarkEnd w:id="289"/>
    </w:p>
    <w:p w14:paraId="6BEDB078" w14:textId="5A882D3A" w:rsidR="002977D3" w:rsidRPr="000F0299" w:rsidRDefault="002977D3" w:rsidP="00244E7C">
      <w:r w:rsidRPr="000F0299">
        <w:t xml:space="preserve">Додатно, процес је искоришћен ради обуке свих чланова Посебне радне групе у области планирања јавних политика, имајући у виду нове обавезе које уводи Закон о планском систему и </w:t>
      </w:r>
      <w:r w:rsidRPr="000F0299">
        <w:rPr>
          <w:bCs/>
        </w:rPr>
        <w:t>Уредба о методологији управљања јавним политикама, анализи ефеката јавних политика и прописа и садржају појединачних докумената јавних политика</w:t>
      </w:r>
      <w:r w:rsidRPr="000F0299">
        <w:t xml:space="preserve"> РС. Сваки радни састанак (целодневна радионица) замишљен је као један корак у процесу израде јавне политике (погледати графикон</w:t>
      </w:r>
      <w:r w:rsidR="009317CC" w:rsidRPr="000F0299">
        <w:t xml:space="preserve"> изнад</w:t>
      </w:r>
      <w:r w:rsidRPr="000F0299">
        <w:t>.) и сваки састанак Посебне радне групе започињао је методолошким упутствима и алатима за одговарајућу фазу у изради документа јавне политике, а стечено знање су чланови подгрупа, уз помоћ експерата Комплементарне подршке ЕУ за РЈУ, непосредно и практично примењивали у конкретном раду на документу. Сва методолошка упутства прослеђивана су свим члановима Посебне радне групе. Након сваке радионице учесницима је прослеђен обједињен радни материјал и пружена могућност за достављање допунских коментара и сугестија. Методолошка новина примењена је и у процесу обрачуна трошкова употребом нових инструмената које је развио РСЈП.</w:t>
      </w:r>
      <w:r w:rsidRPr="000F0299">
        <w:rPr>
          <w:vertAlign w:val="superscript"/>
        </w:rPr>
        <w:footnoteReference w:id="351"/>
      </w:r>
      <w:r w:rsidRPr="000F0299">
        <w:t xml:space="preserve"> </w:t>
      </w:r>
    </w:p>
    <w:p w14:paraId="6F3D7AFF" w14:textId="586DF295" w:rsidR="002977D3" w:rsidRPr="000F0299" w:rsidRDefault="002977D3" w:rsidP="00244E7C">
      <w:r w:rsidRPr="000F0299">
        <w:rPr>
          <w:noProof/>
          <w:lang w:val="en-US" w:eastAsia="en-US" w:bidi="ar-SA"/>
        </w:rPr>
        <mc:AlternateContent>
          <mc:Choice Requires="wpg">
            <w:drawing>
              <wp:anchor distT="0" distB="0" distL="114300" distR="114300" simplePos="0" relativeHeight="251351552" behindDoc="0" locked="0" layoutInCell="1" allowOverlap="1" wp14:anchorId="0555619A" wp14:editId="5A1627A0">
                <wp:simplePos x="0" y="0"/>
                <wp:positionH relativeFrom="column">
                  <wp:posOffset>525780</wp:posOffset>
                </wp:positionH>
                <wp:positionV relativeFrom="paragraph">
                  <wp:posOffset>4768850</wp:posOffset>
                </wp:positionV>
                <wp:extent cx="5494020" cy="2994660"/>
                <wp:effectExtent l="0" t="0" r="68580" b="15240"/>
                <wp:wrapNone/>
                <wp:docPr id="367" name="Group 26"/>
                <wp:cNvGraphicFramePr/>
                <a:graphic xmlns:a="http://schemas.openxmlformats.org/drawingml/2006/main">
                  <a:graphicData uri="http://schemas.microsoft.com/office/word/2010/wordprocessingGroup">
                    <wpg:wgp>
                      <wpg:cNvGrpSpPr/>
                      <wpg:grpSpPr>
                        <a:xfrm>
                          <a:off x="0" y="0"/>
                          <a:ext cx="5494020" cy="2994660"/>
                          <a:chOff x="1" y="0"/>
                          <a:chExt cx="4644003" cy="3146471"/>
                        </a:xfrm>
                      </wpg:grpSpPr>
                      <pic:pic xmlns:pic="http://schemas.openxmlformats.org/drawingml/2006/picture">
                        <pic:nvPicPr>
                          <pic:cNvPr id="368" name="Picture 368"/>
                          <pic:cNvPicPr>
                            <a:picLocks noChangeAspect="1"/>
                          </pic:cNvPicPr>
                        </pic:nvPicPr>
                        <pic:blipFill rotWithShape="1">
                          <a:blip r:embed="rId175"/>
                          <a:srcRect l="41510" t="31815" r="25445" b="30957"/>
                          <a:stretch/>
                        </pic:blipFill>
                        <pic:spPr>
                          <a:xfrm>
                            <a:off x="1" y="0"/>
                            <a:ext cx="4514531" cy="2860895"/>
                          </a:xfrm>
                          <a:prstGeom prst="rect">
                            <a:avLst/>
                          </a:prstGeom>
                        </pic:spPr>
                      </pic:pic>
                      <wps:wsp>
                        <wps:cNvPr id="369" name="Rounded Rectangle 12"/>
                        <wps:cNvSpPr/>
                        <wps:spPr>
                          <a:xfrm>
                            <a:off x="1163241" y="570942"/>
                            <a:ext cx="852664" cy="470780"/>
                          </a:xfrm>
                          <a:prstGeom prst="round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noFill/>
                            <a:prstDash val="solid"/>
                            <a:miter lim="800000"/>
                          </a:ln>
                          <a:effectLst>
                            <a:glow rad="63500">
                              <a:srgbClr val="FFC000">
                                <a:satMod val="175000"/>
                                <a:alpha val="40000"/>
                              </a:srgbClr>
                            </a:glow>
                          </a:effectLst>
                        </wps:spPr>
                        <wps:txbx>
                          <w:txbxContent>
                            <w:p w14:paraId="6B29138C" w14:textId="77777777" w:rsidR="00876FFE" w:rsidRDefault="00876FFE" w:rsidP="00244E7C">
                              <w:pPr>
                                <w:pStyle w:val="NormalWeb"/>
                              </w:pPr>
                              <w:r>
                                <w:t>Циклус креирања ЈП</w:t>
                              </w:r>
                            </w:p>
                          </w:txbxContent>
                        </wps:txbx>
                        <wps:bodyPr rtlCol="0" anchor="ctr"/>
                      </wps:wsp>
                      <wps:wsp>
                        <wps:cNvPr id="370" name="Rounded Rectangle 13"/>
                        <wps:cNvSpPr/>
                        <wps:spPr>
                          <a:xfrm>
                            <a:off x="348817" y="1791896"/>
                            <a:ext cx="966497" cy="321371"/>
                          </a:xfrm>
                          <a:prstGeom prst="roundRect">
                            <a:avLst/>
                          </a:prstGeom>
                          <a:solidFill>
                            <a:sysClr val="window" lastClr="FFFFFF"/>
                          </a:solidFill>
                          <a:ln w="12700" cap="flat" cmpd="sng" algn="ctr">
                            <a:solidFill>
                              <a:srgbClr val="4472C4"/>
                            </a:solidFill>
                            <a:prstDash val="solid"/>
                            <a:miter lim="800000"/>
                          </a:ln>
                          <a:effectLst/>
                        </wps:spPr>
                        <wps:txbx>
                          <w:txbxContent>
                            <w:p w14:paraId="231BC691" w14:textId="77777777" w:rsidR="00876FFE" w:rsidRDefault="00876FFE" w:rsidP="00244E7C">
                              <w:pPr>
                                <w:pStyle w:val="NormalWeb"/>
                              </w:pPr>
                              <w:r>
                                <w:t>октобар 2020.</w:t>
                              </w:r>
                            </w:p>
                          </w:txbxContent>
                        </wps:txbx>
                        <wps:bodyPr rtlCol="0" anchor="ctr"/>
                      </wps:wsp>
                      <wps:wsp>
                        <wps:cNvPr id="371" name="Rounded Rectangle 15"/>
                        <wps:cNvSpPr/>
                        <wps:spPr>
                          <a:xfrm>
                            <a:off x="1861766" y="1233438"/>
                            <a:ext cx="920385" cy="462012"/>
                          </a:xfrm>
                          <a:prstGeom prst="roundRect">
                            <a:avLst/>
                          </a:prstGeom>
                          <a:solidFill>
                            <a:srgbClr val="0070C0"/>
                          </a:solidFill>
                          <a:ln w="12700" cap="flat" cmpd="sng" algn="ctr">
                            <a:noFill/>
                            <a:prstDash val="solid"/>
                            <a:miter lim="800000"/>
                          </a:ln>
                          <a:effectLst>
                            <a:glow rad="63500">
                              <a:srgbClr val="4472C4">
                                <a:satMod val="175000"/>
                                <a:alpha val="40000"/>
                              </a:srgbClr>
                            </a:glow>
                          </a:effectLst>
                        </wps:spPr>
                        <wps:txbx>
                          <w:txbxContent>
                            <w:p w14:paraId="61C214DC" w14:textId="77777777" w:rsidR="00876FFE" w:rsidRDefault="00876FFE" w:rsidP="00244E7C">
                              <w:pPr>
                                <w:pStyle w:val="NormalWeb"/>
                              </w:pPr>
                              <w:r>
                                <w:rPr>
                                  <w:lang w:val="el-GR"/>
                                </w:rPr>
                                <w:t xml:space="preserve">Ι </w:t>
                              </w:r>
                              <w:r>
                                <w:t>Нацрт Стратегије</w:t>
                              </w:r>
                            </w:p>
                          </w:txbxContent>
                        </wps:txbx>
                        <wps:bodyPr rtlCol="0" anchor="ctr"/>
                      </wps:wsp>
                      <wps:wsp>
                        <wps:cNvPr id="372" name="Rounded Rectangle 16"/>
                        <wps:cNvSpPr/>
                        <wps:spPr>
                          <a:xfrm>
                            <a:off x="1674275" y="2277405"/>
                            <a:ext cx="915857" cy="454610"/>
                          </a:xfrm>
                          <a:prstGeom prst="roundRect">
                            <a:avLst/>
                          </a:prstGeom>
                          <a:solidFill>
                            <a:sysClr val="window" lastClr="FFFFFF"/>
                          </a:solidFill>
                          <a:ln w="12700" cap="flat" cmpd="sng" algn="ctr">
                            <a:solidFill>
                              <a:srgbClr val="4472C4"/>
                            </a:solidFill>
                            <a:prstDash val="solid"/>
                            <a:miter lim="800000"/>
                          </a:ln>
                          <a:effectLst/>
                        </wps:spPr>
                        <wps:txbx>
                          <w:txbxContent>
                            <w:p w14:paraId="416A43F0" w14:textId="77777777" w:rsidR="00876FFE" w:rsidRDefault="00876FFE" w:rsidP="00244E7C">
                              <w:pPr>
                                <w:pStyle w:val="NormalWeb"/>
                              </w:pPr>
                              <w:r>
                                <w:t>мај – јун 2020.</w:t>
                              </w:r>
                            </w:p>
                          </w:txbxContent>
                        </wps:txbx>
                        <wps:bodyPr rtlCol="0" anchor="ctr"/>
                      </wps:wsp>
                      <wps:wsp>
                        <wps:cNvPr id="373" name="Rounded Rectangle 17"/>
                        <wps:cNvSpPr/>
                        <wps:spPr>
                          <a:xfrm>
                            <a:off x="2782301" y="708810"/>
                            <a:ext cx="888993" cy="470780"/>
                          </a:xfrm>
                          <a:prstGeom prst="round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noFill/>
                            <a:prstDash val="solid"/>
                            <a:miter lim="800000"/>
                          </a:ln>
                          <a:effectLst>
                            <a:glow rad="63500">
                              <a:srgbClr val="FFC000">
                                <a:satMod val="175000"/>
                                <a:alpha val="40000"/>
                              </a:srgbClr>
                            </a:glow>
                          </a:effectLst>
                        </wps:spPr>
                        <wps:txbx>
                          <w:txbxContent>
                            <w:p w14:paraId="0861DE75" w14:textId="77777777" w:rsidR="00876FFE" w:rsidRDefault="00876FFE" w:rsidP="00244E7C">
                              <w:pPr>
                                <w:pStyle w:val="NormalWeb"/>
                              </w:pPr>
                              <w:r>
                                <w:t>Јавна расправа</w:t>
                              </w:r>
                            </w:p>
                          </w:txbxContent>
                        </wps:txbx>
                        <wps:bodyPr rtlCol="0" anchor="ctr"/>
                      </wps:wsp>
                      <wps:wsp>
                        <wps:cNvPr id="374" name="Rounded Rectangle 19"/>
                        <wps:cNvSpPr/>
                        <wps:spPr>
                          <a:xfrm>
                            <a:off x="3671294" y="1530035"/>
                            <a:ext cx="972710" cy="649046"/>
                          </a:xfrm>
                          <a:prstGeom prst="roundRect">
                            <a:avLst/>
                          </a:prstGeom>
                          <a:solidFill>
                            <a:srgbClr val="0070C0"/>
                          </a:solidFill>
                          <a:ln w="12700" cap="flat" cmpd="sng" algn="ctr">
                            <a:noFill/>
                            <a:prstDash val="solid"/>
                            <a:miter lim="800000"/>
                          </a:ln>
                          <a:effectLst>
                            <a:glow rad="63500">
                              <a:srgbClr val="4472C4">
                                <a:satMod val="175000"/>
                                <a:alpha val="40000"/>
                              </a:srgbClr>
                            </a:glow>
                          </a:effectLst>
                        </wps:spPr>
                        <wps:txbx>
                          <w:txbxContent>
                            <w:p w14:paraId="6CCC47E7" w14:textId="77777777" w:rsidR="00876FFE" w:rsidRDefault="00876FFE" w:rsidP="00244E7C">
                              <w:pPr>
                                <w:pStyle w:val="NormalWeb"/>
                              </w:pPr>
                              <w:r>
                                <w:t>Процедура по Пословнику/Усвајање</w:t>
                              </w:r>
                            </w:p>
                          </w:txbxContent>
                        </wps:txbx>
                        <wps:bodyPr rtlCol="0" anchor="ctr"/>
                      </wps:wsp>
                      <wps:wsp>
                        <wps:cNvPr id="375" name="Rounded Rectangle 20"/>
                        <wps:cNvSpPr/>
                        <wps:spPr>
                          <a:xfrm>
                            <a:off x="2782157" y="2833828"/>
                            <a:ext cx="914478" cy="312643"/>
                          </a:xfrm>
                          <a:prstGeom prst="roundRect">
                            <a:avLst/>
                          </a:prstGeom>
                          <a:solidFill>
                            <a:sysClr val="window" lastClr="FFFFFF"/>
                          </a:solidFill>
                          <a:ln w="12700" cap="flat" cmpd="sng" algn="ctr">
                            <a:solidFill>
                              <a:srgbClr val="FFC000"/>
                            </a:solidFill>
                            <a:prstDash val="solid"/>
                            <a:miter lim="800000"/>
                          </a:ln>
                          <a:effectLst/>
                        </wps:spPr>
                        <wps:txbx>
                          <w:txbxContent>
                            <w:p w14:paraId="3D98D5F2" w14:textId="7EDDDA6E" w:rsidR="00876FFE" w:rsidRPr="005332F4" w:rsidRDefault="00876FFE" w:rsidP="00244E7C">
                              <w:pPr>
                                <w:pStyle w:val="NormalWeb"/>
                              </w:pPr>
                              <w:r>
                                <w:t>дец</w:t>
                              </w:r>
                              <w:r w:rsidRPr="00B84A31">
                                <w:t>. 2020.</w:t>
                              </w: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55619A" id="Group 26" o:spid="_x0000_s1474" style="position:absolute;left:0;text-align:left;margin-left:41.4pt;margin-top:375.5pt;width:432.6pt;height:235.8pt;z-index:251351552;mso-width-relative:margin;mso-height-relative:margin" coordorigin="" coordsize="46440,3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">
                <v:shape id="Picture 368" o:spid="_x0000_s1475" type="#_x0000_t75" style="position:absolute;width:45145;height:28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">
                  <v:imagedata r:id="rId176" o:title="" croptop="20850f" cropbottom="20288f" cropleft="27204f" cropright="16676f"/>
                </v:shape>
                <v:roundrect id="Rounded Rectangle 12" o:spid="_x0000_s1476" style="position:absolute;left:11632;top:5709;width:8527;height:4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" fillcolor="#ffc746" stroked="f" strokeweight=".5pt">
                  <v:fill color2="#e5b600" rotate="t" colors="0 #ffc746;.5 #ffc600;1 #e5b600" focus="100%" type="gradient">
                    <o:fill v:ext="view" type="gradientUnscaled"/>
                  </v:fill>
                  <v:stroke joinstyle="miter"/>
                  <v:textbox>
                    <w:txbxContent>
                      <w:p w14:paraId="6B29138C" w14:textId="77777777" w:rsidR="00876FFE" w:rsidRDefault="00876FFE" w:rsidP="00244E7C">
                        <w:pPr>
                          <w:pStyle w:val="NormalWeb"/>
                        </w:pPr>
                        <w:proofErr w:type="spellStart"/>
                        <w:r>
                          <w:t>Циклус</w:t>
                        </w:r>
                        <w:proofErr w:type="spellEnd"/>
                        <w:r>
                          <w:t xml:space="preserve"> </w:t>
                        </w:r>
                        <w:proofErr w:type="spellStart"/>
                        <w:r>
                          <w:t>креирања</w:t>
                        </w:r>
                        <w:proofErr w:type="spellEnd"/>
                        <w:r>
                          <w:t xml:space="preserve"> </w:t>
                        </w:r>
                        <w:proofErr w:type="spellStart"/>
                        <w:r>
                          <w:t>ЈП</w:t>
                        </w:r>
                        <w:proofErr w:type="spellEnd"/>
                      </w:p>
                    </w:txbxContent>
                  </v:textbox>
                </v:roundrect>
                <v:roundrect id="Rounded Rectangle 13" o:spid="_x0000_s1477" style="position:absolute;left:3488;top:17918;width:9665;height:32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" fillcolor="window" strokecolor="#4472c4" strokeweight="1pt">
                  <v:stroke joinstyle="miter"/>
                  <v:textbox>
                    <w:txbxContent>
                      <w:p w14:paraId="231BC691" w14:textId="77777777" w:rsidR="00876FFE" w:rsidRDefault="00876FFE" w:rsidP="00244E7C">
                        <w:pPr>
                          <w:pStyle w:val="NormalWeb"/>
                        </w:pPr>
                        <w:proofErr w:type="spellStart"/>
                        <w:r>
                          <w:t>октобар</w:t>
                        </w:r>
                        <w:proofErr w:type="spellEnd"/>
                        <w:r>
                          <w:t xml:space="preserve"> 2020.</w:t>
                        </w:r>
                      </w:p>
                    </w:txbxContent>
                  </v:textbox>
                </v:roundrect>
                <v:roundrect id="Rounded Rectangle 15" o:spid="_x0000_s1478" style="position:absolute;left:18617;top:12334;width:9204;height:4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" fillcolor="#0070c0" stroked="f" strokeweight="1pt">
                  <v:stroke joinstyle="miter"/>
                  <v:textbox>
                    <w:txbxContent>
                      <w:p w14:paraId="61C214DC" w14:textId="77777777" w:rsidR="00876FFE" w:rsidRDefault="00876FFE" w:rsidP="00244E7C">
                        <w:pPr>
                          <w:pStyle w:val="NormalWeb"/>
                        </w:pPr>
                        <w:r>
                          <w:rPr>
                            <w:lang w:val="el-GR"/>
                          </w:rPr>
                          <w:t xml:space="preserve">Ι </w:t>
                        </w:r>
                        <w:proofErr w:type="spellStart"/>
                        <w:r>
                          <w:t>Нацрт</w:t>
                        </w:r>
                        <w:proofErr w:type="spellEnd"/>
                        <w:r>
                          <w:t xml:space="preserve"> </w:t>
                        </w:r>
                        <w:proofErr w:type="spellStart"/>
                        <w:r>
                          <w:t>Стратегије</w:t>
                        </w:r>
                        <w:proofErr w:type="spellEnd"/>
                      </w:p>
                    </w:txbxContent>
                  </v:textbox>
                </v:roundrect>
                <v:roundrect id="Rounded Rectangle 16" o:spid="_x0000_s1479" style="position:absolute;left:16742;top:22774;width:9159;height:4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" fillcolor="window" strokecolor="#4472c4" strokeweight="1pt">
                  <v:stroke joinstyle="miter"/>
                  <v:textbox>
                    <w:txbxContent>
                      <w:p w14:paraId="416A43F0" w14:textId="77777777" w:rsidR="00876FFE" w:rsidRDefault="00876FFE" w:rsidP="00244E7C">
                        <w:pPr>
                          <w:pStyle w:val="NormalWeb"/>
                        </w:pPr>
                        <w:proofErr w:type="spellStart"/>
                        <w:r>
                          <w:t>мај</w:t>
                        </w:r>
                        <w:proofErr w:type="spellEnd"/>
                        <w:r>
                          <w:t xml:space="preserve"> – </w:t>
                        </w:r>
                        <w:proofErr w:type="spellStart"/>
                        <w:r>
                          <w:t>јун</w:t>
                        </w:r>
                        <w:proofErr w:type="spellEnd"/>
                        <w:r>
                          <w:t xml:space="preserve"> 2020.</w:t>
                        </w:r>
                      </w:p>
                    </w:txbxContent>
                  </v:textbox>
                </v:roundrect>
                <v:roundrect id="Rounded Rectangle 17" o:spid="_x0000_s1480" style="position:absolute;left:27823;top:7088;width:8889;height:4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" fillcolor="#ffc746" stroked="f" strokeweight=".5pt">
                  <v:fill color2="#e5b600" rotate="t" colors="0 #ffc746;.5 #ffc600;1 #e5b600" focus="100%" type="gradient">
                    <o:fill v:ext="view" type="gradientUnscaled"/>
                  </v:fill>
                  <v:stroke joinstyle="miter"/>
                  <v:textbox>
                    <w:txbxContent>
                      <w:p w14:paraId="0861DE75" w14:textId="77777777" w:rsidR="00876FFE" w:rsidRDefault="00876FFE" w:rsidP="00244E7C">
                        <w:pPr>
                          <w:pStyle w:val="NormalWeb"/>
                        </w:pPr>
                        <w:proofErr w:type="spellStart"/>
                        <w:r>
                          <w:t>Јавна</w:t>
                        </w:r>
                        <w:proofErr w:type="spellEnd"/>
                        <w:r>
                          <w:t xml:space="preserve"> </w:t>
                        </w:r>
                        <w:proofErr w:type="spellStart"/>
                        <w:r>
                          <w:t>расправа</w:t>
                        </w:r>
                        <w:proofErr w:type="spellEnd"/>
                      </w:p>
                    </w:txbxContent>
                  </v:textbox>
                </v:roundrect>
                <v:roundrect id="Rounded Rectangle 19" o:spid="_x0000_s1481" style="position:absolute;left:36712;top:15300;width:9728;height:64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" fillcolor="#0070c0" stroked="f" strokeweight="1pt">
                  <v:stroke joinstyle="miter"/>
                  <v:textbox>
                    <w:txbxContent>
                      <w:p w14:paraId="6CCC47E7" w14:textId="77777777" w:rsidR="00876FFE" w:rsidRDefault="00876FFE" w:rsidP="00244E7C">
                        <w:pPr>
                          <w:pStyle w:val="NormalWeb"/>
                        </w:pPr>
                        <w:proofErr w:type="spellStart"/>
                        <w:r>
                          <w:t>Процедура</w:t>
                        </w:r>
                        <w:proofErr w:type="spellEnd"/>
                        <w:r>
                          <w:t xml:space="preserve"> </w:t>
                        </w:r>
                        <w:proofErr w:type="spellStart"/>
                        <w:r>
                          <w:t>по</w:t>
                        </w:r>
                        <w:proofErr w:type="spellEnd"/>
                        <w:r>
                          <w:t xml:space="preserve"> </w:t>
                        </w:r>
                        <w:proofErr w:type="spellStart"/>
                        <w:r>
                          <w:t>Пословнику</w:t>
                        </w:r>
                        <w:proofErr w:type="spellEnd"/>
                        <w:r>
                          <w:t>/</w:t>
                        </w:r>
                        <w:proofErr w:type="spellStart"/>
                        <w:r>
                          <w:t>Усвајање</w:t>
                        </w:r>
                        <w:proofErr w:type="spellEnd"/>
                      </w:p>
                    </w:txbxContent>
                  </v:textbox>
                </v:roundrect>
                <v:roundrect id="Rounded Rectangle 20" o:spid="_x0000_s1482" style="position:absolute;left:27821;top:28338;width:9145;height:31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" fillcolor="window" strokecolor="#ffc000" strokeweight="1pt">
                  <v:stroke joinstyle="miter"/>
                  <v:textbox>
                    <w:txbxContent>
                      <w:p w14:paraId="3D98D5F2" w14:textId="7EDDDA6E" w:rsidR="00876FFE" w:rsidRPr="005332F4" w:rsidRDefault="00876FFE" w:rsidP="00244E7C">
                        <w:pPr>
                          <w:pStyle w:val="NormalWeb"/>
                        </w:pPr>
                        <w:proofErr w:type="spellStart"/>
                        <w:r>
                          <w:t>дец</w:t>
                        </w:r>
                        <w:proofErr w:type="spellEnd"/>
                        <w:r w:rsidRPr="00B84A31">
                          <w:t>. 2020.</w:t>
                        </w:r>
                      </w:p>
                    </w:txbxContent>
                  </v:textbox>
                </v:roundrect>
              </v:group>
            </w:pict>
          </mc:Fallback>
        </mc:AlternateContent>
      </w:r>
      <w:r w:rsidRPr="000F0299">
        <w:rPr>
          <w:lang w:eastAsia="en-GB"/>
        </w:rPr>
        <w:t>У циљу додатног усклађивања Стратегије РЈУ и европских Принципа јавне управе, као и олакшаног процеса националног и ЕУ праћења напретка у области РЈУ, структура Стратегије и рад Посебне радне групе пратила је</w:t>
      </w:r>
      <w:r w:rsidRPr="000F0299">
        <w:rPr>
          <w:b/>
          <w:lang w:eastAsia="en-GB"/>
        </w:rPr>
        <w:t xml:space="preserve"> </w:t>
      </w:r>
      <w:r w:rsidRPr="000F0299">
        <w:rPr>
          <w:lang w:eastAsia="en-GB"/>
        </w:rPr>
        <w:t>тематске области Принципа јавне управе ЕУ/ОЕЦД, уз додатну област реформе локалне самоуправе. У складу са Решењем о образовању Посебне радне групе, образована је Кровна радна група</w:t>
      </w:r>
      <w:r w:rsidRPr="000F0299">
        <w:t xml:space="preserve"> на нивоу функционера, лица на положају и државних службеника како би се обезбедила хоризонтална и вертикална координација активности подгрупа и одлучивање о најважнијим питањима. Задатак кровне групе био је да обезбеди координацију активности подгрупа, утврди стратешки оквир реформе јавне управе, формулише визију и општи циљ јавне управе, даје стручне коментаре, сугестије и предлоге у току израде Нацрта стратегије РЈУ за период од 2021. до 2030. године. Задатак чланова 6 подгрупа</w:t>
      </w:r>
      <w:r w:rsidRPr="000F0299">
        <w:rPr>
          <w:vertAlign w:val="superscript"/>
        </w:rPr>
        <w:footnoteReference w:id="352"/>
      </w:r>
      <w:r w:rsidRPr="000F0299">
        <w:t xml:space="preserve"> на чијем челу су били координатори, била је израда анализе ситуације са анализом проблема, дефинисање посебних циљева, показатеља учинка, праваца деловања политика и показатеља учинка за оне тематске области које се разрађују посебним програмима</w:t>
      </w:r>
      <w:r w:rsidR="00966E04">
        <w:t>,</w:t>
      </w:r>
      <w:r w:rsidRPr="000F0299">
        <w:rPr>
          <w:vertAlign w:val="superscript"/>
        </w:rPr>
        <w:footnoteReference w:id="353"/>
      </w:r>
      <w:r w:rsidR="00966E04">
        <w:t xml:space="preserve"> </w:t>
      </w:r>
      <w:r w:rsidRPr="000F0299">
        <w:t>опција мера, дефинисање очекиваних резултата, активности и трошкова спровођења за три тематске области</w:t>
      </w:r>
      <w:r w:rsidRPr="000F0299">
        <w:rPr>
          <w:vertAlign w:val="superscript"/>
        </w:rPr>
        <w:footnoteReference w:id="354"/>
      </w:r>
      <w:r w:rsidRPr="000F0299">
        <w:t xml:space="preserve"> које се детаљно разрађују Акционом планом Стратегије за период 2021-2025. године. </w:t>
      </w:r>
    </w:p>
    <w:p w14:paraId="12A50B65" w14:textId="77777777" w:rsidR="0044238D" w:rsidRPr="000F0299" w:rsidRDefault="0044238D" w:rsidP="00244E7C"/>
    <w:p w14:paraId="48B99FE1" w14:textId="5C7CBC71" w:rsidR="002977D3" w:rsidRPr="000F0299" w:rsidRDefault="002977D3" w:rsidP="00244E7C">
      <w:r w:rsidRPr="000F0299">
        <w:br w:type="page"/>
      </w:r>
    </w:p>
    <w:p w14:paraId="2F20D2DD" w14:textId="71CB5D5F" w:rsidR="002977D3" w:rsidRPr="000F0299" w:rsidRDefault="00314E9B" w:rsidP="007A0CC3">
      <w:pPr>
        <w:pStyle w:val="Heading1"/>
        <w:rPr>
          <w:lang w:val="sr-Cyrl-RS"/>
        </w:rPr>
      </w:pPr>
      <w:bookmarkStart w:id="290" w:name="_Прилог_4:_Координација,"/>
      <w:bookmarkStart w:id="291" w:name="_Toc51601642"/>
      <w:bookmarkStart w:id="292" w:name="_Toc57661504"/>
      <w:bookmarkEnd w:id="290"/>
      <w:r w:rsidRPr="000F0299">
        <w:rPr>
          <w:lang w:val="sr-Cyrl-RS"/>
        </w:rPr>
        <w:t>Прилог 4: Координација</w:t>
      </w:r>
      <w:r w:rsidR="004421D2" w:rsidRPr="000F0299">
        <w:rPr>
          <w:lang w:val="sr-Cyrl-RS"/>
        </w:rPr>
        <w:t>,</w:t>
      </w:r>
      <w:r w:rsidRPr="000F0299">
        <w:rPr>
          <w:lang w:val="sr-Cyrl-RS"/>
        </w:rPr>
        <w:t xml:space="preserve"> управљање </w:t>
      </w:r>
      <w:r w:rsidR="004421D2" w:rsidRPr="000F0299">
        <w:rPr>
          <w:lang w:val="sr-Cyrl-RS"/>
        </w:rPr>
        <w:t xml:space="preserve">и извештавање о спровођењу </w:t>
      </w:r>
      <w:r w:rsidRPr="000F0299">
        <w:rPr>
          <w:lang w:val="sr-Cyrl-RS"/>
        </w:rPr>
        <w:t>РЈУ</w:t>
      </w:r>
      <w:bookmarkEnd w:id="291"/>
      <w:bookmarkEnd w:id="292"/>
    </w:p>
    <w:p w14:paraId="493647CB" w14:textId="6ABFE029" w:rsidR="004421D2" w:rsidRPr="000F0299" w:rsidRDefault="004421D2" w:rsidP="009726E6">
      <w:pPr>
        <w:pStyle w:val="Heading2"/>
        <w:rPr>
          <w:lang w:val="sr-Cyrl-RS"/>
        </w:rPr>
      </w:pPr>
      <w:bookmarkStart w:id="293" w:name="_Toc57661505"/>
      <w:r w:rsidRPr="000F0299">
        <w:rPr>
          <w:lang w:val="sr-Cyrl-RS"/>
        </w:rPr>
        <w:t>Координација и управљ</w:t>
      </w:r>
      <w:r w:rsidR="00E72FC1" w:rsidRPr="000F0299">
        <w:rPr>
          <w:lang w:val="sr-Cyrl-RS"/>
        </w:rPr>
        <w:t>а</w:t>
      </w:r>
      <w:r w:rsidRPr="000F0299">
        <w:rPr>
          <w:lang w:val="sr-Cyrl-RS"/>
        </w:rPr>
        <w:t>ње РЈУ</w:t>
      </w:r>
      <w:bookmarkEnd w:id="293"/>
    </w:p>
    <w:p w14:paraId="194626A1" w14:textId="4002780A" w:rsidR="002977D3" w:rsidRPr="000F0299" w:rsidRDefault="002977D3" w:rsidP="00244E7C">
      <w:r w:rsidRPr="000F0299">
        <w:t xml:space="preserve">У циљу ефикаснијег система управљања и координације, како на политичком тако на административном и оперативном нивоу, Стратегија РЈУ успоставља тростепену структуру: </w:t>
      </w:r>
      <w:r w:rsidRPr="000F0299">
        <w:rPr>
          <w:b/>
        </w:rPr>
        <w:t xml:space="preserve">Министарство државне управе и локалне самоуправе </w:t>
      </w:r>
      <w:r w:rsidRPr="000F0299">
        <w:t xml:space="preserve">представља ниво стручне и оперативне подршке, </w:t>
      </w:r>
      <w:r w:rsidRPr="000F0299">
        <w:rPr>
          <w:b/>
        </w:rPr>
        <w:t>Међуминистарска пројектна група</w:t>
      </w:r>
      <w:r w:rsidR="0023676B">
        <w:t xml:space="preserve"> (МПГ)</w:t>
      </w:r>
      <w:r w:rsidRPr="000F0299">
        <w:t xml:space="preserve"> међуресорски ниво административне координације. Политички ниво координације и одлучивања о најважнијим питањима у области имплементације РЈУ представља </w:t>
      </w:r>
      <w:r w:rsidRPr="000F0299">
        <w:rPr>
          <w:b/>
        </w:rPr>
        <w:t>Савет за РЈУ</w:t>
      </w:r>
      <w:r w:rsidRPr="000F0299">
        <w:t>.</w:t>
      </w:r>
    </w:p>
    <w:p w14:paraId="3344A6C3" w14:textId="77777777" w:rsidR="002977D3" w:rsidRPr="000F0299" w:rsidRDefault="002977D3" w:rsidP="00244E7C">
      <w:pPr>
        <w:rPr>
          <w:b/>
          <w:bCs/>
        </w:rPr>
      </w:pPr>
      <w:bookmarkStart w:id="294" w:name="_Toc40182249"/>
      <w:bookmarkStart w:id="295" w:name="_Toc40183066"/>
      <w:bookmarkStart w:id="296" w:name="_Hlk39869885"/>
      <w:bookmarkStart w:id="297" w:name="_Hlk39868821"/>
      <w:r w:rsidRPr="000F0299">
        <w:rPr>
          <w:b/>
          <w:bCs/>
        </w:rPr>
        <w:t>Први ниво координације и управљања</w:t>
      </w:r>
      <w:bookmarkEnd w:id="294"/>
      <w:bookmarkEnd w:id="295"/>
    </w:p>
    <w:p w14:paraId="6BBE4A20" w14:textId="77777777" w:rsidR="002977D3" w:rsidRPr="000F0299" w:rsidRDefault="002977D3" w:rsidP="000631D1">
      <w:pPr>
        <w:spacing w:after="0"/>
      </w:pPr>
      <w:r w:rsidRPr="000F0299">
        <w:t>Први ниво координације РЈУ, на којем се првенствено обављају стручни и оперативни послови процеса РЈУ, у је надлежности МДУЛС-а. У циљу успешне реализације постављених задатака и осигурања одрживости процеса, евидентирана је неопходност унапређења унутрашњих капацитета МДУЛС. Унутрашња организациона јединица за управљање реформом јавне управе у МДУЛС-у обавља послове који се односе првенствено на:</w:t>
      </w:r>
    </w:p>
    <w:p w14:paraId="7E2E8BCE" w14:textId="77777777" w:rsidR="002977D3" w:rsidRPr="000F0299" w:rsidRDefault="002977D3" w:rsidP="00244E7C">
      <w:pPr>
        <w:pStyle w:val="ListParagraph"/>
        <w:numPr>
          <w:ilvl w:val="0"/>
          <w:numId w:val="2"/>
        </w:numPr>
      </w:pPr>
      <w:r w:rsidRPr="000F0299">
        <w:t xml:space="preserve">координацију и учешће у припреми и праћењу спровођења докумената јавних политика у области реформе јавне управе; </w:t>
      </w:r>
    </w:p>
    <w:p w14:paraId="5AB66A7A" w14:textId="77777777" w:rsidR="002977D3" w:rsidRPr="000F0299" w:rsidRDefault="002977D3" w:rsidP="00244E7C">
      <w:pPr>
        <w:pStyle w:val="ListParagraph"/>
        <w:numPr>
          <w:ilvl w:val="0"/>
          <w:numId w:val="2"/>
        </w:numPr>
      </w:pPr>
      <w:r w:rsidRPr="000F0299">
        <w:t>координацију и учешће у припреми и праћењу спровођења акционих планова за спровођење међународне иницијативе Партнерство за отворену управу;</w:t>
      </w:r>
    </w:p>
    <w:p w14:paraId="231FA1EA" w14:textId="77777777" w:rsidR="002977D3" w:rsidRPr="000F0299" w:rsidRDefault="002977D3" w:rsidP="00244E7C">
      <w:pPr>
        <w:pStyle w:val="ListParagraph"/>
        <w:numPr>
          <w:ilvl w:val="0"/>
          <w:numId w:val="2"/>
        </w:numPr>
      </w:pPr>
      <w:r w:rsidRPr="000F0299">
        <w:t>стручне послове за потребе Савета за реформу јавне управе и Међуминистарске пројектне групе;</w:t>
      </w:r>
    </w:p>
    <w:p w14:paraId="0F934E73" w14:textId="77777777" w:rsidR="002977D3" w:rsidRPr="000F0299" w:rsidRDefault="002977D3" w:rsidP="00244E7C">
      <w:pPr>
        <w:pStyle w:val="ListParagraph"/>
        <w:numPr>
          <w:ilvl w:val="0"/>
          <w:numId w:val="2"/>
        </w:numPr>
      </w:pPr>
      <w:r w:rsidRPr="000F0299">
        <w:t>припрему извештаја у процесу европских интеграција са аспекта спровођења докумената јавних политика у области реформе јавне управе и Партнерства за отворену управу.</w:t>
      </w:r>
    </w:p>
    <w:p w14:paraId="21354D59" w14:textId="77777777" w:rsidR="002977D3" w:rsidRPr="000F0299" w:rsidRDefault="002977D3" w:rsidP="000631D1">
      <w:r w:rsidRPr="000F0299">
        <w:t>У претходном периоду, формирањем организационе јединице за РЈУ начињен је први корак ка успостављању интерних капацитета МДУЛС, док је у наредном периоду, неопходно је организационо и кадровско јачање јединице.</w:t>
      </w:r>
    </w:p>
    <w:p w14:paraId="4AAD29B8" w14:textId="77777777" w:rsidR="00046767" w:rsidRDefault="00046767" w:rsidP="00244E7C">
      <w:pPr>
        <w:rPr>
          <w:b/>
          <w:bCs/>
        </w:rPr>
      </w:pPr>
      <w:bookmarkStart w:id="298" w:name="_Toc411236690"/>
      <w:bookmarkStart w:id="299" w:name="_Toc40182250"/>
      <w:bookmarkStart w:id="300" w:name="_Toc40183067"/>
      <w:bookmarkEnd w:id="296"/>
    </w:p>
    <w:p w14:paraId="32FC961A" w14:textId="0660CD35" w:rsidR="002977D3" w:rsidRPr="000F0299" w:rsidRDefault="002977D3" w:rsidP="00244E7C">
      <w:pPr>
        <w:rPr>
          <w:b/>
          <w:bCs/>
        </w:rPr>
      </w:pPr>
      <w:r w:rsidRPr="000F0299">
        <w:rPr>
          <w:b/>
          <w:bCs/>
        </w:rPr>
        <w:t>Други ниво координације и управљања</w:t>
      </w:r>
      <w:bookmarkEnd w:id="297"/>
      <w:bookmarkEnd w:id="298"/>
      <w:bookmarkEnd w:id="299"/>
      <w:bookmarkEnd w:id="300"/>
    </w:p>
    <w:p w14:paraId="58DB0813" w14:textId="64FA14CF" w:rsidR="002977D3" w:rsidRPr="000F0299" w:rsidRDefault="002977D3" w:rsidP="00046767">
      <w:pPr>
        <w:spacing w:before="240"/>
        <w:ind w:firstLine="360"/>
      </w:pPr>
      <w:r w:rsidRPr="000F0299">
        <w:rPr>
          <w:b/>
        </w:rPr>
        <w:t xml:space="preserve">Међуминистарска пројектна група (МПГ) </w:t>
      </w:r>
      <w:r w:rsidRPr="000F0299">
        <w:t xml:space="preserve">представља административни ниво координације РЈУ и праћења процеса спровођења и извештавања о РЈУ. Међуминистарском пројектном групом председава секретар министарства надлежног за послове државне управе, а у њен рад су укључени координатори тематских области Стратегије РЈУ односно одговорна лица за сваки посебан циљ или мере Стратегије РЈУ. Поред наведених, чланови МПГ су и релевантни представници удружења грађана који се бирају преко јавног позива </w:t>
      </w:r>
      <w:r w:rsidR="006E38BF">
        <w:t>надлежног органа за с</w:t>
      </w:r>
      <w:r w:rsidRPr="000F0299">
        <w:t xml:space="preserve">арадњу са цивилним друштвом. </w:t>
      </w:r>
      <w:r w:rsidR="00046767">
        <w:t xml:space="preserve">МПГ ће имати </w:t>
      </w:r>
      <w:r w:rsidR="00124FAC">
        <w:t xml:space="preserve">кровну групу и </w:t>
      </w:r>
      <w:r w:rsidR="00046767">
        <w:t xml:space="preserve">уже подгрупе које ће координирати тематске области у којима </w:t>
      </w:r>
      <w:r w:rsidR="00124FAC">
        <w:t>постоје</w:t>
      </w:r>
      <w:r w:rsidR="00046767">
        <w:t xml:space="preserve"> акциони планови (за област УЉР, Пружања услуга и Одговорности и транспарен</w:t>
      </w:r>
      <w:r w:rsidR="00124FAC">
        <w:t>т</w:t>
      </w:r>
      <w:r w:rsidR="00046767">
        <w:t>ости), а за три  програма ће постојати координатори као представници оперативних група на том нивоу.</w:t>
      </w:r>
      <w:r w:rsidR="00124FAC">
        <w:t xml:space="preserve"> </w:t>
      </w:r>
    </w:p>
    <w:p w14:paraId="65D1AC46" w14:textId="77777777" w:rsidR="002977D3" w:rsidRPr="000F0299" w:rsidRDefault="002977D3" w:rsidP="00244E7C">
      <w:r w:rsidRPr="000F0299">
        <w:t>Специфични задаци Међуминистарске пројектне групе су:</w:t>
      </w:r>
    </w:p>
    <w:p w14:paraId="37CADE6F" w14:textId="77777777" w:rsidR="002977D3" w:rsidRPr="000F0299" w:rsidRDefault="002977D3" w:rsidP="00244E7C">
      <w:pPr>
        <w:pStyle w:val="ListParagraph"/>
        <w:numPr>
          <w:ilvl w:val="0"/>
          <w:numId w:val="4"/>
        </w:numPr>
      </w:pPr>
      <w:r w:rsidRPr="000F0299">
        <w:t xml:space="preserve">учествовање у креирању докумената јавних политика у области реформе јавне управе </w:t>
      </w:r>
      <w:r w:rsidRPr="000F0299">
        <w:rPr>
          <w:bCs/>
        </w:rPr>
        <w:t>уз предлоге за усклађивање других планских докумената са Стратегијом РЈУ;</w:t>
      </w:r>
    </w:p>
    <w:p w14:paraId="7CC41C77" w14:textId="77777777" w:rsidR="002977D3" w:rsidRPr="000F0299" w:rsidRDefault="002977D3" w:rsidP="00244E7C">
      <w:pPr>
        <w:pStyle w:val="ListParagraph"/>
        <w:numPr>
          <w:ilvl w:val="0"/>
          <w:numId w:val="4"/>
        </w:numPr>
      </w:pPr>
      <w:r w:rsidRPr="000F0299">
        <w:t xml:space="preserve">разматрање и укључивање нових активности и пројеката у Стратегију РЈУ, у сарадњи са министарством надлежним за послове државне управе; </w:t>
      </w:r>
    </w:p>
    <w:p w14:paraId="0A8500C3" w14:textId="77777777" w:rsidR="002977D3" w:rsidRPr="000F0299" w:rsidRDefault="002977D3" w:rsidP="00244E7C">
      <w:pPr>
        <w:pStyle w:val="ListParagraph"/>
        <w:numPr>
          <w:ilvl w:val="0"/>
          <w:numId w:val="4"/>
        </w:numPr>
      </w:pPr>
      <w:r w:rsidRPr="000F0299">
        <w:t>разматрање и усвајање извештаја о спровођењу и евалуацији резултата постигнутих Стратегијом РЈУ и Акционим планом за спровођење, а на основу анализа и предлога које ће припремати организациона јединица за реформу јавне управе у МДУЛС;</w:t>
      </w:r>
    </w:p>
    <w:p w14:paraId="2B7AF250" w14:textId="77777777" w:rsidR="002977D3" w:rsidRPr="000F0299" w:rsidRDefault="002977D3" w:rsidP="00244E7C">
      <w:pPr>
        <w:pStyle w:val="ListParagraph"/>
        <w:numPr>
          <w:ilvl w:val="0"/>
          <w:numId w:val="4"/>
        </w:numPr>
      </w:pPr>
      <w:r w:rsidRPr="000F0299">
        <w:t>разматрање оперативних ризика у процесу спровођења Стратегије РЈУ и одлучивање о мерама за ублажавање ризика;</w:t>
      </w:r>
    </w:p>
    <w:p w14:paraId="26AEA6C1" w14:textId="77777777" w:rsidR="002977D3" w:rsidRPr="000F0299" w:rsidRDefault="002977D3" w:rsidP="00244E7C">
      <w:pPr>
        <w:pStyle w:val="ListParagraph"/>
        <w:numPr>
          <w:ilvl w:val="0"/>
          <w:numId w:val="4"/>
        </w:numPr>
      </w:pPr>
      <w:r w:rsidRPr="000F0299">
        <w:t xml:space="preserve">предлагање Савету за реформу јавне управе, за расправу и усвајање, одлука, а посебно оних о којима се не постигне консензус у оквиру рада МПГ; </w:t>
      </w:r>
    </w:p>
    <w:p w14:paraId="153FFCBA" w14:textId="77777777" w:rsidR="002977D3" w:rsidRPr="000F0299" w:rsidRDefault="002977D3" w:rsidP="00244E7C">
      <w:pPr>
        <w:pStyle w:val="ListParagraph"/>
        <w:numPr>
          <w:ilvl w:val="0"/>
          <w:numId w:val="4"/>
        </w:numPr>
      </w:pPr>
      <w:r w:rsidRPr="000F0299">
        <w:t>учествовање у евалуацији резултата спровођења Стратегије РЈУ у складу са методологијом евалуације (сваки члан из делокруга рада свог органа).</w:t>
      </w:r>
    </w:p>
    <w:p w14:paraId="52CF3167" w14:textId="77777777" w:rsidR="002977D3" w:rsidRPr="000F0299" w:rsidRDefault="002977D3" w:rsidP="00244E7C">
      <w:r w:rsidRPr="000F0299">
        <w:t xml:space="preserve">За сваку појединачну меру у Стратегији РЈУ могуће је одредити посебне контакт особе као чланове МПГ који извештавају координаторе тематских области о резултатима и спроведеним активностима, вредностима измерених показатеља за сваку од спроведених мера. Координатори тематских области на захтев МДУЛС, у складу са потребама извештавања, достављају извештај о резултатима и спроведеним активностима за сваку појединачну тематску област, организационој јединици за координацију реформе јавне управе у министарству надлежном за послове државне управе. </w:t>
      </w:r>
    </w:p>
    <w:p w14:paraId="71A72158" w14:textId="77777777" w:rsidR="002977D3" w:rsidRPr="000F0299" w:rsidRDefault="002977D3" w:rsidP="00244E7C">
      <w:r w:rsidRPr="000F0299">
        <w:rPr>
          <w:bCs/>
        </w:rPr>
        <w:t>Састанци МПГ одржаваће се квартално, на предлог МДУЛС-а.</w:t>
      </w:r>
      <w:r w:rsidRPr="000F0299">
        <w:t xml:space="preserve"> </w:t>
      </w:r>
      <w:r w:rsidRPr="000F0299">
        <w:rPr>
          <w:bCs/>
        </w:rPr>
        <w:t xml:space="preserve">МДУЛС ће припремити Предлог пословника о раду МПГ. </w:t>
      </w:r>
      <w:r w:rsidRPr="000F0299">
        <w:t xml:space="preserve">Пословником МПГ ће се дефинисати могућност одржавања електронских седница Радне групе, јер се у пракси, због величине Радне групе, показало се да месечни састанци захтевају просторне и организационе капацитете. Секретар МПГ ће бити државни службеник организационе јединице за управљање реформом јавне управе у МДУЛС-у. </w:t>
      </w:r>
    </w:p>
    <w:p w14:paraId="555A0F2E" w14:textId="4F90639A" w:rsidR="002977D3" w:rsidRPr="000F0299" w:rsidRDefault="002977D3" w:rsidP="00B7281A">
      <w:pPr>
        <w:ind w:firstLine="0"/>
      </w:pPr>
    </w:p>
    <w:p w14:paraId="28871117" w14:textId="77777777" w:rsidR="002977D3" w:rsidRPr="000F0299" w:rsidRDefault="002977D3" w:rsidP="00244E7C">
      <w:pPr>
        <w:rPr>
          <w:b/>
          <w:bCs/>
        </w:rPr>
      </w:pPr>
      <w:bookmarkStart w:id="301" w:name="_Toc411236691"/>
      <w:bookmarkStart w:id="302" w:name="_Toc40182251"/>
      <w:bookmarkStart w:id="303" w:name="_Toc40183068"/>
      <w:r w:rsidRPr="000F0299">
        <w:rPr>
          <w:b/>
          <w:bCs/>
        </w:rPr>
        <w:t>Трећи ниво координације и управљања</w:t>
      </w:r>
      <w:bookmarkEnd w:id="301"/>
      <w:bookmarkEnd w:id="302"/>
      <w:bookmarkEnd w:id="303"/>
    </w:p>
    <w:p w14:paraId="79AD0FCE" w14:textId="77777777" w:rsidR="00E358D7" w:rsidRPr="000F0299" w:rsidRDefault="00E358D7" w:rsidP="00E358D7">
      <w:pPr>
        <w:widowControl w:val="0"/>
        <w:autoSpaceDE w:val="0"/>
        <w:spacing w:after="0"/>
        <w:ind w:right="113"/>
      </w:pPr>
      <w:r w:rsidRPr="000F0299">
        <w:t>Влада Републике Србије је Одлуком о образовању Савета за реформу јавне управе</w:t>
      </w:r>
      <w:r w:rsidRPr="000F0299">
        <w:rPr>
          <w:rStyle w:val="FootnoteReference"/>
        </w:rPr>
        <w:footnoteReference w:id="355"/>
      </w:r>
      <w:r w:rsidRPr="000F0299">
        <w:t xml:space="preserve"> формирала Савет за РЈУ као централно стратешко тело Владе за реформу јавне управе. Савет представља заједнички политички ниво координације процеса реформе јавне управе и реформе јавних финансија за нову Стратегију РЈУ. </w:t>
      </w:r>
    </w:p>
    <w:p w14:paraId="7F443929" w14:textId="77777777" w:rsidR="00E358D7" w:rsidRPr="000F0299" w:rsidRDefault="00E358D7" w:rsidP="00E358D7">
      <w:pPr>
        <w:spacing w:before="0" w:after="160"/>
        <w:ind w:firstLine="0"/>
        <w:jc w:val="left"/>
      </w:pPr>
      <w:r w:rsidRPr="000F0299">
        <w:t xml:space="preserve">Задаци Савета су да: </w:t>
      </w:r>
    </w:p>
    <w:p w14:paraId="7751C650" w14:textId="77777777" w:rsidR="00E358D7" w:rsidRPr="000F0299" w:rsidRDefault="00E358D7" w:rsidP="00E358D7">
      <w:pPr>
        <w:pStyle w:val="ListParagraph"/>
        <w:numPr>
          <w:ilvl w:val="0"/>
          <w:numId w:val="3"/>
        </w:numPr>
        <w:suppressAutoHyphens w:val="0"/>
        <w:autoSpaceDN/>
        <w:spacing w:before="0" w:after="0" w:line="240" w:lineRule="auto"/>
        <w:contextualSpacing w:val="0"/>
        <w:textAlignment w:val="auto"/>
      </w:pPr>
      <w:r w:rsidRPr="000F0299">
        <w:t xml:space="preserve">утврђује предлоге стратешког развоја јавне управе и реформе јавних финансија у Републици Србији; </w:t>
      </w:r>
    </w:p>
    <w:p w14:paraId="1731E4F9" w14:textId="77777777" w:rsidR="00E358D7" w:rsidRPr="000F0299" w:rsidRDefault="00E358D7" w:rsidP="00E358D7">
      <w:pPr>
        <w:pStyle w:val="ListParagraph"/>
        <w:numPr>
          <w:ilvl w:val="0"/>
          <w:numId w:val="3"/>
        </w:numPr>
        <w:suppressAutoHyphens w:val="0"/>
        <w:autoSpaceDN/>
        <w:spacing w:before="0" w:after="0" w:line="240" w:lineRule="auto"/>
        <w:contextualSpacing w:val="0"/>
        <w:textAlignment w:val="auto"/>
      </w:pPr>
      <w:r w:rsidRPr="000F0299">
        <w:t xml:space="preserve">иницира и предлаже Влади предузимање мера и активности које се односе на РЈУ и реформу јавних финансија; </w:t>
      </w:r>
    </w:p>
    <w:p w14:paraId="7029EC50" w14:textId="77777777" w:rsidR="00E358D7" w:rsidRPr="000F0299" w:rsidRDefault="00E358D7" w:rsidP="00E358D7">
      <w:pPr>
        <w:pStyle w:val="ListParagraph"/>
        <w:numPr>
          <w:ilvl w:val="0"/>
          <w:numId w:val="3"/>
        </w:numPr>
        <w:suppressAutoHyphens w:val="0"/>
        <w:autoSpaceDN/>
        <w:spacing w:before="0" w:after="0" w:line="240" w:lineRule="auto"/>
        <w:contextualSpacing w:val="0"/>
        <w:textAlignment w:val="auto"/>
      </w:pPr>
      <w:r w:rsidRPr="000F0299">
        <w:t>разматра и усваја извештаје о постигнутим циљевима у области РЈУ и реформе јавних финансија;</w:t>
      </w:r>
    </w:p>
    <w:p w14:paraId="135B9A53" w14:textId="77777777" w:rsidR="00E358D7" w:rsidRPr="000F0299" w:rsidRDefault="00E358D7" w:rsidP="00E358D7">
      <w:pPr>
        <w:pStyle w:val="ListParagraph"/>
        <w:numPr>
          <w:ilvl w:val="0"/>
          <w:numId w:val="3"/>
        </w:numPr>
        <w:suppressAutoHyphens w:val="0"/>
        <w:autoSpaceDN/>
        <w:spacing w:before="0" w:after="0" w:line="240" w:lineRule="auto"/>
        <w:contextualSpacing w:val="0"/>
        <w:textAlignment w:val="auto"/>
      </w:pPr>
      <w:r w:rsidRPr="000F0299">
        <w:t xml:space="preserve">промовише и прати спровођење Стратегије РЈУ и свих других </w:t>
      </w:r>
      <w:r w:rsidRPr="000F0299">
        <w:rPr>
          <w:shd w:val="clear" w:color="auto" w:fill="FFFFFF"/>
        </w:rPr>
        <w:t>хијерархијских нижих докумената јавних политика РЈУ</w:t>
      </w:r>
      <w:r w:rsidRPr="000F0299">
        <w:t>, нарочито са становишта укључивања принципа и циљева реформе јавне управе у друге документе јавних политика;</w:t>
      </w:r>
    </w:p>
    <w:p w14:paraId="3C3C0CF0" w14:textId="77777777" w:rsidR="00E358D7" w:rsidRPr="000F0299" w:rsidRDefault="00E358D7" w:rsidP="00E358D7">
      <w:pPr>
        <w:pStyle w:val="ListParagraph"/>
        <w:numPr>
          <w:ilvl w:val="0"/>
          <w:numId w:val="3"/>
        </w:numPr>
        <w:suppressAutoHyphens w:val="0"/>
        <w:autoSpaceDN/>
        <w:spacing w:before="0" w:after="0" w:line="240" w:lineRule="auto"/>
        <w:contextualSpacing w:val="0"/>
        <w:textAlignment w:val="auto"/>
      </w:pPr>
      <w:r w:rsidRPr="000F0299">
        <w:rPr>
          <w:shd w:val="clear" w:color="auto" w:fill="FFFFFF"/>
        </w:rPr>
        <w:t>утврђује предлоге за усклађивање хијерархијски нижих планских докумената са хијерархијски вишим планским документима у области реформе јавне управе и јавних финансија, усклађеност планских докумената у наведеним областима са преузетим међународним обавезама, као и усклађеност прописа са усвојеним планским документима;</w:t>
      </w:r>
    </w:p>
    <w:p w14:paraId="66C92229" w14:textId="77777777" w:rsidR="00E358D7" w:rsidRPr="000F0299" w:rsidRDefault="00E358D7" w:rsidP="00E358D7">
      <w:pPr>
        <w:pStyle w:val="ListParagraph"/>
        <w:numPr>
          <w:ilvl w:val="0"/>
          <w:numId w:val="3"/>
        </w:numPr>
        <w:suppressAutoHyphens w:val="0"/>
        <w:autoSpaceDN/>
        <w:spacing w:before="0" w:after="0" w:line="240" w:lineRule="auto"/>
        <w:contextualSpacing w:val="0"/>
        <w:textAlignment w:val="auto"/>
      </w:pPr>
      <w:r w:rsidRPr="000F0299">
        <w:t>разматра и даје претходно мишљење Влади о документима јавних политика, нацртима закона и другим актима који се односе на организацију и рад Владе, органа државне управе, а нарочито оне којима се предлаже оснивање нових државних органа, организација, служби или тела Владе.</w:t>
      </w:r>
    </w:p>
    <w:p w14:paraId="555E1839" w14:textId="0B9257B6" w:rsidR="00E358D7" w:rsidRPr="000F0299" w:rsidRDefault="00E358D7" w:rsidP="00E358D7">
      <w:r w:rsidRPr="000F0299">
        <w:t xml:space="preserve">Саветом председава министар државне управе и локалне самоуправе, а замењује га министар финансија. С обзиром да се Стратегија РЈУ односи на шири систем управе, не само на државну управу, поред министра државне управе и локалне самоуправе и министра финансија, велики број ресорних министара и представника других државних органа именује се за чланове Савета. </w:t>
      </w:r>
      <w:r w:rsidR="00AF7DC3" w:rsidRPr="000F0299">
        <w:t xml:space="preserve">Потребно је проширити састав Савета и чланом који долази из покрајинске Владе АП Војводина и представницима градова и општина (СКГО), с обзиром да је Савет </w:t>
      </w:r>
      <w:r w:rsidR="00BB1C3D" w:rsidRPr="000F0299">
        <w:t>политички</w:t>
      </w:r>
      <w:r w:rsidR="00AF7DC3" w:rsidRPr="000F0299">
        <w:t xml:space="preserve"> ниво координације за сва нижа документа јавних политика (тј. за три програма у области реформе локалне самоуправе, регулаторне реформе и управљања јавим </w:t>
      </w:r>
      <w:r w:rsidR="00BB1C3D" w:rsidRPr="000F0299">
        <w:t>финансијама</w:t>
      </w:r>
      <w:r w:rsidR="00AF7DC3" w:rsidRPr="000F0299">
        <w:t xml:space="preserve">). </w:t>
      </w:r>
      <w:r w:rsidRPr="000F0299">
        <w:t>Чланови Савета</w:t>
      </w:r>
      <w:r w:rsidR="00CD65F7">
        <w:t xml:space="preserve">, поред министра </w:t>
      </w:r>
      <w:r w:rsidR="00CD65F7" w:rsidRPr="000F0299">
        <w:t>државне управе и локалне самоуправе и министра финансија</w:t>
      </w:r>
      <w:r w:rsidR="00CD65F7">
        <w:t>,</w:t>
      </w:r>
      <w:r w:rsidR="00CD65F7" w:rsidRPr="000F0299">
        <w:t xml:space="preserve"> </w:t>
      </w:r>
      <w:r w:rsidRPr="000F0299">
        <w:t xml:space="preserve">су: </w:t>
      </w:r>
    </w:p>
    <w:p w14:paraId="61F0CED5" w14:textId="77777777" w:rsidR="002F7C60" w:rsidRPr="000F0299" w:rsidRDefault="002F7C60" w:rsidP="00E62A1A">
      <w:pPr>
        <w:pStyle w:val="ListParagraph"/>
        <w:numPr>
          <w:ilvl w:val="0"/>
          <w:numId w:val="55"/>
        </w:numPr>
        <w:suppressAutoHyphens w:val="0"/>
        <w:autoSpaceDN/>
        <w:spacing w:before="0" w:after="0" w:line="240" w:lineRule="auto"/>
        <w:contextualSpacing w:val="0"/>
        <w:textAlignment w:val="auto"/>
      </w:pPr>
      <w:r w:rsidRPr="000F0299">
        <w:t>министар привреде;</w:t>
      </w:r>
    </w:p>
    <w:p w14:paraId="70511E8B" w14:textId="78016AF1" w:rsidR="002F7C60" w:rsidRDefault="002F7C60" w:rsidP="00E62A1A">
      <w:pPr>
        <w:pStyle w:val="ListParagraph"/>
        <w:numPr>
          <w:ilvl w:val="0"/>
          <w:numId w:val="55"/>
        </w:numPr>
        <w:suppressAutoHyphens w:val="0"/>
        <w:autoSpaceDN/>
        <w:spacing w:before="0" w:after="0" w:line="240" w:lineRule="auto"/>
        <w:contextualSpacing w:val="0"/>
        <w:textAlignment w:val="auto"/>
      </w:pPr>
      <w:r w:rsidRPr="000F0299">
        <w:t>министар грађевинарства, саобраћаја и инфраструктуре</w:t>
      </w:r>
      <w:r>
        <w:t>;</w:t>
      </w:r>
    </w:p>
    <w:p w14:paraId="69709C14" w14:textId="7F95B123" w:rsidR="002F7C60" w:rsidRPr="000F0299" w:rsidRDefault="002F7C60" w:rsidP="00E62A1A">
      <w:pPr>
        <w:pStyle w:val="ListParagraph"/>
        <w:numPr>
          <w:ilvl w:val="0"/>
          <w:numId w:val="55"/>
        </w:numPr>
        <w:suppressAutoHyphens w:val="0"/>
        <w:autoSpaceDN/>
        <w:spacing w:before="0" w:after="0" w:line="240" w:lineRule="auto"/>
        <w:contextualSpacing w:val="0"/>
        <w:textAlignment w:val="auto"/>
      </w:pPr>
      <w:r>
        <w:t>министар трговине, туризма и телекомуникација;</w:t>
      </w:r>
    </w:p>
    <w:p w14:paraId="7332A4B6" w14:textId="77777777" w:rsidR="00A50201" w:rsidRDefault="002F7C60" w:rsidP="00E62A1A">
      <w:pPr>
        <w:pStyle w:val="ListParagraph"/>
        <w:numPr>
          <w:ilvl w:val="0"/>
          <w:numId w:val="55"/>
        </w:numPr>
        <w:suppressAutoHyphens w:val="0"/>
        <w:autoSpaceDN/>
        <w:spacing w:before="0" w:after="0" w:line="240" w:lineRule="auto"/>
        <w:contextualSpacing w:val="0"/>
        <w:textAlignment w:val="auto"/>
      </w:pPr>
      <w:r w:rsidRPr="000F0299">
        <w:t>министар правде;</w:t>
      </w:r>
    </w:p>
    <w:p w14:paraId="19EC78B7" w14:textId="157CE38F" w:rsidR="002F7C60" w:rsidRPr="000F0299" w:rsidRDefault="002F7C60" w:rsidP="00E62A1A">
      <w:pPr>
        <w:pStyle w:val="ListParagraph"/>
        <w:numPr>
          <w:ilvl w:val="0"/>
          <w:numId w:val="55"/>
        </w:numPr>
        <w:suppressAutoHyphens w:val="0"/>
        <w:autoSpaceDN/>
        <w:spacing w:before="0" w:after="0" w:line="240" w:lineRule="auto"/>
        <w:contextualSpacing w:val="0"/>
        <w:textAlignment w:val="auto"/>
      </w:pPr>
      <w:r>
        <w:t>министар за људска и мањинска права и друштвени дијалог;</w:t>
      </w:r>
    </w:p>
    <w:p w14:paraId="37B00F10" w14:textId="77777777" w:rsidR="002F7C60" w:rsidRPr="000F0299" w:rsidRDefault="002F7C60" w:rsidP="00E62A1A">
      <w:pPr>
        <w:pStyle w:val="ListParagraph"/>
        <w:numPr>
          <w:ilvl w:val="0"/>
          <w:numId w:val="55"/>
        </w:numPr>
        <w:suppressAutoHyphens w:val="0"/>
        <w:autoSpaceDN/>
        <w:spacing w:before="0" w:after="0" w:line="240" w:lineRule="auto"/>
        <w:contextualSpacing w:val="0"/>
        <w:textAlignment w:val="auto"/>
      </w:pPr>
      <w:r w:rsidRPr="000F0299">
        <w:t>министар унутрашњих послова;</w:t>
      </w:r>
    </w:p>
    <w:p w14:paraId="183CFC40" w14:textId="77777777" w:rsidR="00E358D7" w:rsidRPr="000F0299" w:rsidRDefault="00E358D7" w:rsidP="00E62A1A">
      <w:pPr>
        <w:pStyle w:val="ListParagraph"/>
        <w:numPr>
          <w:ilvl w:val="0"/>
          <w:numId w:val="55"/>
        </w:numPr>
        <w:suppressAutoHyphens w:val="0"/>
        <w:autoSpaceDN/>
        <w:spacing w:before="0" w:after="0" w:line="240" w:lineRule="auto"/>
        <w:contextualSpacing w:val="0"/>
        <w:textAlignment w:val="auto"/>
      </w:pPr>
      <w:r w:rsidRPr="000F0299">
        <w:t>министар спољних послова;</w:t>
      </w:r>
    </w:p>
    <w:p w14:paraId="0A58168F" w14:textId="77777777" w:rsidR="00E358D7" w:rsidRPr="000F0299" w:rsidRDefault="00E358D7" w:rsidP="00E62A1A">
      <w:pPr>
        <w:pStyle w:val="ListParagraph"/>
        <w:numPr>
          <w:ilvl w:val="0"/>
          <w:numId w:val="55"/>
        </w:numPr>
        <w:suppressAutoHyphens w:val="0"/>
        <w:autoSpaceDN/>
        <w:spacing w:before="0" w:after="0" w:line="240" w:lineRule="auto"/>
        <w:contextualSpacing w:val="0"/>
        <w:textAlignment w:val="auto"/>
      </w:pPr>
      <w:r w:rsidRPr="000F0299">
        <w:t>министар за европске интеграције;</w:t>
      </w:r>
    </w:p>
    <w:p w14:paraId="70661635" w14:textId="77777777" w:rsidR="00E358D7" w:rsidRPr="000F0299" w:rsidRDefault="00E358D7" w:rsidP="00E62A1A">
      <w:pPr>
        <w:pStyle w:val="ListParagraph"/>
        <w:numPr>
          <w:ilvl w:val="0"/>
          <w:numId w:val="55"/>
        </w:numPr>
        <w:suppressAutoHyphens w:val="0"/>
        <w:autoSpaceDN/>
        <w:spacing w:before="0" w:after="0" w:line="240" w:lineRule="auto"/>
        <w:contextualSpacing w:val="0"/>
        <w:textAlignment w:val="auto"/>
      </w:pPr>
      <w:r w:rsidRPr="000F0299">
        <w:t>министар просвете, науке и технолошког развоја;</w:t>
      </w:r>
    </w:p>
    <w:p w14:paraId="12B4D1FB" w14:textId="77777777" w:rsidR="00E358D7" w:rsidRPr="000F0299" w:rsidRDefault="00E358D7" w:rsidP="00E62A1A">
      <w:pPr>
        <w:pStyle w:val="ListParagraph"/>
        <w:numPr>
          <w:ilvl w:val="0"/>
          <w:numId w:val="55"/>
        </w:numPr>
        <w:suppressAutoHyphens w:val="0"/>
        <w:autoSpaceDN/>
        <w:spacing w:before="0" w:after="0" w:line="240" w:lineRule="auto"/>
        <w:contextualSpacing w:val="0"/>
        <w:textAlignment w:val="auto"/>
      </w:pPr>
      <w:r w:rsidRPr="000F0299">
        <w:t>министар здравља;</w:t>
      </w:r>
    </w:p>
    <w:p w14:paraId="130B6F4A" w14:textId="77777777" w:rsidR="002F7C60" w:rsidRPr="000F0299" w:rsidRDefault="002F7C60" w:rsidP="00E62A1A">
      <w:pPr>
        <w:pStyle w:val="ListParagraph"/>
        <w:numPr>
          <w:ilvl w:val="0"/>
          <w:numId w:val="55"/>
        </w:numPr>
        <w:suppressAutoHyphens w:val="0"/>
        <w:autoSpaceDN/>
        <w:spacing w:before="0" w:after="0" w:line="240" w:lineRule="auto"/>
        <w:contextualSpacing w:val="0"/>
        <w:textAlignment w:val="auto"/>
      </w:pPr>
      <w:r w:rsidRPr="000F0299">
        <w:t>министар за рад, запошљавање, борачка и социјална питања;</w:t>
      </w:r>
    </w:p>
    <w:p w14:paraId="3DE857A9" w14:textId="77777777" w:rsidR="00E358D7" w:rsidRPr="000F0299" w:rsidRDefault="00E358D7" w:rsidP="00E62A1A">
      <w:pPr>
        <w:pStyle w:val="ListParagraph"/>
        <w:numPr>
          <w:ilvl w:val="0"/>
          <w:numId w:val="55"/>
        </w:numPr>
        <w:suppressAutoHyphens w:val="0"/>
        <w:autoSpaceDN/>
        <w:spacing w:before="0" w:after="0" w:line="240" w:lineRule="auto"/>
        <w:contextualSpacing w:val="0"/>
        <w:textAlignment w:val="auto"/>
      </w:pPr>
      <w:r w:rsidRPr="000F0299">
        <w:t>министар културе и информисања;</w:t>
      </w:r>
    </w:p>
    <w:p w14:paraId="1577C131" w14:textId="77777777" w:rsidR="00E358D7" w:rsidRPr="000F0299" w:rsidRDefault="00E358D7" w:rsidP="00E62A1A">
      <w:pPr>
        <w:pStyle w:val="ListParagraph"/>
        <w:numPr>
          <w:ilvl w:val="0"/>
          <w:numId w:val="55"/>
        </w:numPr>
        <w:suppressAutoHyphens w:val="0"/>
        <w:autoSpaceDN/>
        <w:spacing w:before="0" w:after="0" w:line="240" w:lineRule="auto"/>
        <w:contextualSpacing w:val="0"/>
        <w:textAlignment w:val="auto"/>
      </w:pPr>
      <w:r w:rsidRPr="000F0299">
        <w:t>министар омладине и спорта;</w:t>
      </w:r>
    </w:p>
    <w:p w14:paraId="2E3B43A0" w14:textId="77777777" w:rsidR="00E358D7" w:rsidRPr="000F0299" w:rsidRDefault="00E358D7" w:rsidP="00E62A1A">
      <w:pPr>
        <w:pStyle w:val="ListParagraph"/>
        <w:numPr>
          <w:ilvl w:val="0"/>
          <w:numId w:val="55"/>
        </w:numPr>
        <w:suppressAutoHyphens w:val="0"/>
        <w:autoSpaceDN/>
        <w:spacing w:before="0" w:after="0" w:line="240" w:lineRule="auto"/>
        <w:contextualSpacing w:val="0"/>
        <w:textAlignment w:val="auto"/>
      </w:pPr>
      <w:r w:rsidRPr="000F0299">
        <w:t>директор Републичког секретаријата за законодавство;</w:t>
      </w:r>
    </w:p>
    <w:p w14:paraId="6C6A6CB6" w14:textId="1F471DAE" w:rsidR="002F7C60" w:rsidRPr="000F0299" w:rsidRDefault="001E04F8" w:rsidP="00E62A1A">
      <w:pPr>
        <w:pStyle w:val="ListParagraph"/>
        <w:numPr>
          <w:ilvl w:val="0"/>
          <w:numId w:val="55"/>
        </w:numPr>
        <w:suppressAutoHyphens w:val="0"/>
        <w:autoSpaceDN/>
        <w:spacing w:before="0" w:after="0" w:line="240" w:lineRule="auto"/>
        <w:contextualSpacing w:val="0"/>
        <w:textAlignment w:val="auto"/>
      </w:pPr>
      <w:r w:rsidRPr="000F0299">
        <w:t>директор Републичког секретаријата з</w:t>
      </w:r>
      <w:r>
        <w:t>а јавне политике;</w:t>
      </w:r>
    </w:p>
    <w:p w14:paraId="329E2E43" w14:textId="32544A8D" w:rsidR="00E358D7" w:rsidRDefault="00E358D7" w:rsidP="00E62A1A">
      <w:pPr>
        <w:pStyle w:val="ListParagraph"/>
        <w:numPr>
          <w:ilvl w:val="0"/>
          <w:numId w:val="55"/>
        </w:numPr>
        <w:suppressAutoHyphens w:val="0"/>
        <w:autoSpaceDN/>
        <w:spacing w:before="0" w:after="0" w:line="240" w:lineRule="auto"/>
        <w:contextualSpacing w:val="0"/>
        <w:textAlignment w:val="auto"/>
      </w:pPr>
      <w:r w:rsidRPr="000F0299">
        <w:t>Генерални секретар Владе;</w:t>
      </w:r>
    </w:p>
    <w:p w14:paraId="66BCC588" w14:textId="23A2468C" w:rsidR="001E04F8" w:rsidRPr="000F0299" w:rsidRDefault="001E04F8" w:rsidP="00E62A1A">
      <w:pPr>
        <w:pStyle w:val="ListParagraph"/>
        <w:numPr>
          <w:ilvl w:val="0"/>
          <w:numId w:val="55"/>
        </w:numPr>
        <w:suppressAutoHyphens w:val="0"/>
        <w:autoSpaceDN/>
        <w:spacing w:before="0" w:after="0" w:line="240" w:lineRule="auto"/>
        <w:contextualSpacing w:val="0"/>
        <w:textAlignment w:val="auto"/>
      </w:pPr>
      <w:r>
        <w:t>директор Канцеларије за информационе технологије и електронску у праву;</w:t>
      </w:r>
    </w:p>
    <w:p w14:paraId="2F1FD6FF" w14:textId="356B7CAB" w:rsidR="00E358D7" w:rsidRPr="000F0299" w:rsidRDefault="00E358D7" w:rsidP="00E62A1A">
      <w:pPr>
        <w:pStyle w:val="ListParagraph"/>
        <w:numPr>
          <w:ilvl w:val="0"/>
          <w:numId w:val="56"/>
        </w:numPr>
        <w:suppressAutoHyphens w:val="0"/>
        <w:autoSpaceDN/>
        <w:spacing w:before="0" w:after="0" w:line="240" w:lineRule="auto"/>
        <w:contextualSpacing w:val="0"/>
        <w:textAlignment w:val="auto"/>
      </w:pPr>
      <w:r w:rsidRPr="000F0299">
        <w:t>представник покрајинске Владе АП Војводине</w:t>
      </w:r>
      <w:r w:rsidR="001E04F8">
        <w:t>;</w:t>
      </w:r>
    </w:p>
    <w:p w14:paraId="7387D36B" w14:textId="77777777" w:rsidR="00E358D7" w:rsidRPr="000F0299" w:rsidRDefault="00E358D7" w:rsidP="00E62A1A">
      <w:pPr>
        <w:pStyle w:val="ListParagraph"/>
        <w:numPr>
          <w:ilvl w:val="0"/>
          <w:numId w:val="56"/>
        </w:numPr>
        <w:suppressAutoHyphens w:val="0"/>
        <w:autoSpaceDN/>
        <w:spacing w:before="0" w:after="0" w:line="240" w:lineRule="auto"/>
        <w:contextualSpacing w:val="0"/>
        <w:textAlignment w:val="auto"/>
      </w:pPr>
      <w:r w:rsidRPr="000F0299">
        <w:t>представник Сталне конференције градова и општина.</w:t>
      </w:r>
    </w:p>
    <w:p w14:paraId="09715AC5" w14:textId="52805050" w:rsidR="002977D3" w:rsidRPr="000F0299" w:rsidRDefault="002977D3" w:rsidP="00244E7C">
      <w:r w:rsidRPr="000F0299">
        <w:t>Савет има секретара</w:t>
      </w:r>
      <w:r w:rsidR="00643483">
        <w:t>,</w:t>
      </w:r>
      <w:r w:rsidRPr="000F0299">
        <w:t xml:space="preserve"> кога из реда државних службеника, на предлог министра државне управе и локалне самоуправе, решењем именује Савет. Чињеница д</w:t>
      </w:r>
      <w:r w:rsidR="00A50201">
        <w:t>а се 15</w:t>
      </w:r>
      <w:r w:rsidRPr="000F0299">
        <w:t xml:space="preserve"> чланова Владе именује за чланове Савета, обезбеђује Савету кредибилитет и легитимитет у управљању целокупним процесом РЈУ. </w:t>
      </w:r>
    </w:p>
    <w:p w14:paraId="5CB3F3BB" w14:textId="6AEDDAB3" w:rsidR="002977D3" w:rsidRPr="000F0299" w:rsidRDefault="002977D3" w:rsidP="00244E7C">
      <w:r w:rsidRPr="000F0299">
        <w:rPr>
          <w:shd w:val="clear" w:color="auto" w:fill="FFFFFF"/>
        </w:rPr>
        <w:t>У складу са чланом 22. Пословника Владе</w:t>
      </w:r>
      <w:r w:rsidR="00643483">
        <w:rPr>
          <w:shd w:val="clear" w:color="auto" w:fill="FFFFFF"/>
        </w:rPr>
        <w:t>,</w:t>
      </w:r>
      <w:r w:rsidRPr="000F0299">
        <w:rPr>
          <w:shd w:val="clear" w:color="auto" w:fill="FFFFFF"/>
          <w:vertAlign w:val="superscript"/>
        </w:rPr>
        <w:footnoteReference w:id="356"/>
      </w:r>
      <w:r w:rsidRPr="000F0299">
        <w:rPr>
          <w:shd w:val="clear" w:color="auto" w:fill="FFFFFF"/>
        </w:rPr>
        <w:t xml:space="preserve"> повремена радна тела попут савета су у обавези да достављају редовне извештаје Влади сваких 90 дана, односно квартално. Кроз извештаје које подноси Влади, Савет може да управља препознатим ризицима и указује да је неопходно донети одређене мере на Влади ради уклањања појединих утврђених ризика. Пословник о Влади уређује да се </w:t>
      </w:r>
      <w:r w:rsidRPr="000F0299">
        <w:t>одлуком о образовању повременог радног тела одређују послови за које се тело образује, време на које се образује, рокови у којима подноси извештај о свом раду и друга питања везана за његов рад. Предлоге, мишљења и стручна образложења, као акте које може да усваја, повремено радно тело упућује органу државне управе у чијем делокругу је претежни део послова за које је образовано – да их он, ако оцени да је потребно, као своје припреми за Владу.</w:t>
      </w:r>
    </w:p>
    <w:p w14:paraId="7E9A47AA" w14:textId="77777777" w:rsidR="002977D3" w:rsidRPr="000F0299" w:rsidRDefault="002977D3" w:rsidP="00244E7C">
      <w:r w:rsidRPr="000F0299">
        <w:t xml:space="preserve">Савет може, ради проучавања појединих нарочито сложених питања која се односе на реформу јавне управе, ангажовати стручне и образовне институције и истакнуте стручњаке, као и стручну помоћ која му се пружа у виду међународних пројеката. Као принцип рада Савета, утврђује се да је рад Савета јаван и да се остварује према закону којим се уређује слободан приступ информацијама од јавног значаја, односно да Савет давањем саопштењем за јавност обавештава јавност о свом раду. Савет једном годишње може позвати представнике удружења грађана изабраних у МПГ да учествују на седници Савета, ради добијања информација о перцепцији спровођења реформе јавне управе са становишта организација цивилног друштва које се баве питањима од важности за област реформе јавне управе и јавних финансија. </w:t>
      </w:r>
    </w:p>
    <w:p w14:paraId="7FBC32D3" w14:textId="77777777" w:rsidR="002977D3" w:rsidRPr="000F0299" w:rsidRDefault="002977D3" w:rsidP="00244E7C">
      <w:pPr>
        <w:rPr>
          <w:shd w:val="clear" w:color="auto" w:fill="FFFFFF"/>
        </w:rPr>
      </w:pPr>
      <w:r w:rsidRPr="000F0299">
        <w:rPr>
          <w:shd w:val="clear" w:color="auto" w:fill="FFFFFF"/>
        </w:rPr>
        <w:t xml:space="preserve">Административно-техничке послове за потребе Савета обавља Генерални секретаријат Владе, а стручне министарство надлежно за послове државне управе односно </w:t>
      </w:r>
      <w:r w:rsidRPr="000F0299">
        <w:rPr>
          <w:bCs/>
        </w:rPr>
        <w:t>организациона јединица за управљање реформом јавне управе у оквиру министарства</w:t>
      </w:r>
      <w:r w:rsidRPr="000F0299">
        <w:rPr>
          <w:shd w:val="clear" w:color="auto" w:fill="FFFFFF"/>
        </w:rPr>
        <w:t>.</w:t>
      </w:r>
    </w:p>
    <w:p w14:paraId="47DD790B" w14:textId="77777777" w:rsidR="00E358D7" w:rsidRPr="000F0299" w:rsidRDefault="00E358D7" w:rsidP="003D3BC5">
      <w:pPr>
        <w:pStyle w:val="Heading2"/>
        <w:rPr>
          <w:lang w:val="sr-Cyrl-RS"/>
        </w:rPr>
      </w:pPr>
      <w:bookmarkStart w:id="304" w:name="_Праћење_и_извештавање"/>
      <w:bookmarkStart w:id="305" w:name="_Toc57661506"/>
      <w:bookmarkEnd w:id="304"/>
      <w:r w:rsidRPr="000F0299">
        <w:rPr>
          <w:lang w:val="sr-Cyrl-RS"/>
        </w:rPr>
        <w:t>Праћење и извештавање</w:t>
      </w:r>
      <w:bookmarkEnd w:id="305"/>
    </w:p>
    <w:p w14:paraId="36C95100" w14:textId="77777777" w:rsidR="009A71B8" w:rsidRPr="000F0299" w:rsidRDefault="00E358D7" w:rsidP="009A71B8">
      <w:pPr>
        <w:widowControl w:val="0"/>
        <w:autoSpaceDE w:val="0"/>
        <w:spacing w:after="120"/>
        <w:ind w:right="113"/>
        <w:rPr>
          <w:bCs/>
        </w:rPr>
      </w:pPr>
      <w:r w:rsidRPr="000F0299">
        <w:t xml:space="preserve">Праћење спровођења Стратегије РЈУ подразумева редовно прикупљање података о спровођењу активности дефинисаних кроз акционе планове у односу на планирану динамику и анализу остварености циљева и мера, како би се оценио напредак или мапирали ризици који захтевају прилагођавање и доношење правовремених одлука у циљу постизања жељених резултата. </w:t>
      </w:r>
      <w:r w:rsidRPr="000F0299">
        <w:rPr>
          <w:rFonts w:eastAsia="Times New Roman"/>
          <w:lang w:eastAsia="de-DE"/>
        </w:rPr>
        <w:t xml:space="preserve">Праћење спровођења и извештавање о резултатима Стратегије РЈУ врши се </w:t>
      </w:r>
      <w:r w:rsidRPr="000F0299">
        <w:rPr>
          <w:lang w:eastAsia="de-DE"/>
        </w:rPr>
        <w:t>у складу са Законом о планском систему</w:t>
      </w:r>
      <w:r w:rsidRPr="000F0299">
        <w:rPr>
          <w:rStyle w:val="FootnoteReference"/>
          <w:lang w:eastAsia="de-DE"/>
        </w:rPr>
        <w:footnoteReference w:id="357"/>
      </w:r>
      <w:r w:rsidRPr="000F0299">
        <w:rPr>
          <w:lang w:eastAsia="de-DE"/>
        </w:rPr>
        <w:t xml:space="preserve"> и подзаконским актима којима је уређена обавезна садржина </w:t>
      </w:r>
      <w:r w:rsidRPr="000F0299">
        <w:rPr>
          <w:rFonts w:eastAsia="Times New Roman"/>
          <w:lang w:eastAsia="de-DE"/>
        </w:rPr>
        <w:t>извештаја</w:t>
      </w:r>
      <w:r w:rsidRPr="000F0299">
        <w:rPr>
          <w:lang w:eastAsia="de-DE"/>
        </w:rPr>
        <w:t>, информациони систем у коме се уносе подаци (ЈИС), начин на који се извештава и к</w:t>
      </w:r>
      <w:r w:rsidR="009A71B8">
        <w:rPr>
          <w:lang w:eastAsia="de-DE"/>
        </w:rPr>
        <w:t xml:space="preserve">оординира прикупљање података. </w:t>
      </w:r>
      <w:r w:rsidR="009A71B8" w:rsidRPr="000F0299">
        <w:rPr>
          <w:bCs/>
        </w:rPr>
        <w:t xml:space="preserve">Извештавање </w:t>
      </w:r>
      <w:r w:rsidR="009A71B8">
        <w:rPr>
          <w:bCs/>
        </w:rPr>
        <w:t xml:space="preserve">према Влади </w:t>
      </w:r>
      <w:r w:rsidR="009A71B8" w:rsidRPr="000F0299">
        <w:rPr>
          <w:bCs/>
        </w:rPr>
        <w:t>о оствареним циљевима Стратегије РЈУ вршиће се преко ЈИС-а, у сарадњи са надлежним органом државне управе за послове планирања јавних политика.</w:t>
      </w:r>
    </w:p>
    <w:p w14:paraId="4A39A1CC" w14:textId="77777777" w:rsidR="00E358D7" w:rsidRPr="000F0299" w:rsidRDefault="00E358D7" w:rsidP="00E358D7">
      <w:pPr>
        <w:widowControl w:val="0"/>
        <w:autoSpaceDE w:val="0"/>
        <w:spacing w:after="120"/>
        <w:ind w:right="113"/>
      </w:pPr>
      <w:r w:rsidRPr="000F0299">
        <w:t xml:space="preserve">Имајући у виду да је Стратегија РЈУ кровни документ јавне политике за област планирања јавне управе у РС и да обухвата шест тематских области од којих су три разрађене кроз посебне програме, а три непосредно кроз Акциони план за спровођење Стратегије РЈУ, праћење реформе јавне управе заснива се на праћењу спровођења не само Акционог плана Стратегије РЈУ већ и спровођења свих нижих докумената јавних политика (три програма у области: регулаторне реформе, система локалне самоуправе и управљања јавним финансијама). </w:t>
      </w:r>
    </w:p>
    <w:p w14:paraId="2000E534" w14:textId="77777777" w:rsidR="00E358D7" w:rsidRPr="000F0299" w:rsidRDefault="00E358D7" w:rsidP="00E358D7">
      <w:pPr>
        <w:pStyle w:val="Heading3"/>
        <w:rPr>
          <w:lang w:val="sr-Cyrl-RS"/>
        </w:rPr>
      </w:pPr>
      <w:bookmarkStart w:id="306" w:name="_Toc57661507"/>
      <w:r w:rsidRPr="000F0299">
        <w:rPr>
          <w:lang w:val="sr-Cyrl-RS"/>
        </w:rPr>
        <w:t xml:space="preserve">Обрасци и алати за </w:t>
      </w:r>
      <w:r w:rsidRPr="000F0299">
        <w:rPr>
          <w:rFonts w:eastAsia="Times New Roman"/>
          <w:lang w:val="sr-Cyrl-RS" w:eastAsia="de-DE"/>
        </w:rPr>
        <w:t xml:space="preserve">прикупљање података и </w:t>
      </w:r>
      <w:r w:rsidRPr="000F0299">
        <w:rPr>
          <w:lang w:val="sr-Cyrl-RS"/>
        </w:rPr>
        <w:t>извештавање</w:t>
      </w:r>
      <w:bookmarkEnd w:id="306"/>
    </w:p>
    <w:p w14:paraId="5D65CA6A" w14:textId="50256453" w:rsidR="00E358D7" w:rsidRPr="000F0299" w:rsidRDefault="00E358D7" w:rsidP="00E358D7">
      <w:pPr>
        <w:widowControl w:val="0"/>
        <w:autoSpaceDE w:val="0"/>
        <w:spacing w:after="120"/>
        <w:ind w:right="113"/>
      </w:pPr>
      <w:r w:rsidRPr="000F0299">
        <w:t xml:space="preserve">Законски оквир планског система у делу планирања прописује обавезне елементе и садржину акционих планова (члан 19. Закона о планском систему) који подразумевају дефинисане опште и посебне циљеве, мере и активности, институцију носиоца и партнере, рок за завршетак предвиђених мера и активности, потребна средства за спровођење мера, уз навођење извора финансирања за обезбеђена средства; показатеље учинака на нивоу мера јавних политика; информације о прописима које би требало донети односно изменити како би се реализовале мере јавне политике. У том смислу је већ </w:t>
      </w:r>
      <w:r w:rsidRPr="000F0299">
        <w:rPr>
          <w:b/>
        </w:rPr>
        <w:t>на страни</w:t>
      </w:r>
      <w:r w:rsidRPr="000F0299">
        <w:t xml:space="preserve"> </w:t>
      </w:r>
      <w:r w:rsidRPr="000F0299">
        <w:rPr>
          <w:b/>
        </w:rPr>
        <w:t xml:space="preserve">планирања обезбеђена структура која омогућава извештавање на основу резултата </w:t>
      </w:r>
      <w:r w:rsidRPr="000F0299">
        <w:t>(</w:t>
      </w:r>
      <w:r w:rsidR="00BB1C3D" w:rsidRPr="000F0299">
        <w:t>енгл.</w:t>
      </w:r>
      <w:r w:rsidRPr="000F0299">
        <w:rPr>
          <w:b/>
        </w:rPr>
        <w:t xml:space="preserve"> </w:t>
      </w:r>
      <w:r w:rsidRPr="000F0299">
        <w:rPr>
          <w:i/>
          <w:iCs/>
        </w:rPr>
        <w:t>Result-based monitoring</w:t>
      </w:r>
      <w:r w:rsidRPr="000F0299">
        <w:t xml:space="preserve"> –</w:t>
      </w:r>
      <w:r w:rsidRPr="000F0299">
        <w:rPr>
          <w:b/>
        </w:rPr>
        <w:t xml:space="preserve"> RBM</w:t>
      </w:r>
      <w:r w:rsidRPr="000F0299">
        <w:t>)</w:t>
      </w:r>
      <w:r w:rsidRPr="000F0299">
        <w:rPr>
          <w:b/>
        </w:rPr>
        <w:t xml:space="preserve">. </w:t>
      </w:r>
      <w:r w:rsidRPr="000F0299">
        <w:t xml:space="preserve">Примена овог приступа подразумева да је већина елемената Стратегије и акционих планова дефинисана на нивоу резултата (или </w:t>
      </w:r>
      <w:r w:rsidRPr="000F0299">
        <w:rPr>
          <w:i/>
        </w:rPr>
        <w:t>мера</w:t>
      </w:r>
      <w:r w:rsidRPr="000F0299">
        <w:t xml:space="preserve"> у терминологији Закона о планском систему), уз одређене мерљиве показатеље и потребне ресурсе за имплементацију. </w:t>
      </w:r>
    </w:p>
    <w:p w14:paraId="25132C23" w14:textId="577F3DA9" w:rsidR="00E358D7" w:rsidRPr="000F0299" w:rsidRDefault="00E358D7" w:rsidP="00E358D7">
      <w:pPr>
        <w:widowControl w:val="0"/>
        <w:autoSpaceDE w:val="0"/>
        <w:spacing w:after="120"/>
        <w:ind w:right="113"/>
      </w:pPr>
      <w:r w:rsidRPr="000F0299">
        <w:t xml:space="preserve">Кроз процес планирања, за показатеље су </w:t>
      </w:r>
      <w:r w:rsidRPr="000F0299">
        <w:rPr>
          <w:bCs/>
        </w:rPr>
        <w:t>израђени</w:t>
      </w:r>
      <w:r w:rsidRPr="000F0299">
        <w:rPr>
          <w:b/>
          <w:bCs/>
        </w:rPr>
        <w:t xml:space="preserve"> „пасоши“</w:t>
      </w:r>
      <w:r w:rsidRPr="000F0299">
        <w:t xml:space="preserve"> односно техничке спецификације показатеља који омогућавају да се на једном месту прикупе основне информације о свим дефинисаним показатељима, укључујући и неке од њихових кључних институционалних аспеката, нпр. која институција прикупља податке за мерење ког показатеља и колико често то чини, када су доступни подаци, по којој формули се израчунава вредност показатеља и сл. У циљу редовног ажурирања информација, пасоше показатеља потребно је редовно разматрати (минимум једном годишње) и уносити нове информације. Податке ће ажурирати надлежне институције на иницијативу МДУЛС. У </w:t>
      </w:r>
      <w:hyperlink w:anchor="_Прилог_6:_Пасош" w:history="1">
        <w:r w:rsidR="00EE5F09" w:rsidRPr="000F0299">
          <w:rPr>
            <w:rStyle w:val="Hyperlink"/>
          </w:rPr>
          <w:t>Прилогу 6 - Пасош показатеља</w:t>
        </w:r>
      </w:hyperlink>
      <w:r w:rsidRPr="000F0299">
        <w:t xml:space="preserve"> се налази образац са упутством за израду пасоша показатеља.</w:t>
      </w:r>
    </w:p>
    <w:p w14:paraId="6B90F635" w14:textId="58148EB2" w:rsidR="00E358D7" w:rsidRPr="000F0299" w:rsidRDefault="00E358D7" w:rsidP="00E358D7">
      <w:pPr>
        <w:widowControl w:val="0"/>
        <w:autoSpaceDE w:val="0"/>
        <w:spacing w:after="120"/>
        <w:ind w:right="113"/>
      </w:pPr>
      <w:r w:rsidRPr="000F0299">
        <w:rPr>
          <w:rFonts w:eastAsia="Times New Roman"/>
        </w:rPr>
        <w:t xml:space="preserve">Садржина извештаја о резултатима спровођења документа јавних политика дефинисана је Уредбом о методологији </w:t>
      </w:r>
      <w:r w:rsidR="00BB1C3D" w:rsidRPr="000F0299">
        <w:rPr>
          <w:rFonts w:eastAsia="Times New Roman"/>
        </w:rPr>
        <w:t>управљања</w:t>
      </w:r>
      <w:r w:rsidRPr="000F0299">
        <w:rPr>
          <w:rFonts w:eastAsia="Times New Roman"/>
        </w:rPr>
        <w:t xml:space="preserve"> јавним политикама, анализи ефеката јавних политика и прописа и садржају појединачних докумената јавних политика</w:t>
      </w:r>
      <w:r w:rsidRPr="000F0299">
        <w:t>.</w:t>
      </w:r>
      <w:r w:rsidRPr="000F0299">
        <w:rPr>
          <w:rStyle w:val="FootnoteReference"/>
          <w:rFonts w:eastAsia="Times New Roman"/>
        </w:rPr>
        <w:footnoteReference w:id="358"/>
      </w:r>
      <w:r w:rsidRPr="000F0299">
        <w:t xml:space="preserve"> Став 2. члан 70. наведене уредбе гласи да: </w:t>
      </w:r>
      <w:r w:rsidRPr="000F0299">
        <w:rPr>
          <w:i/>
        </w:rPr>
        <w:t>„</w:t>
      </w:r>
      <w:r w:rsidRPr="000F0299">
        <w:rPr>
          <w:i/>
          <w:shd w:val="clear" w:color="auto" w:fill="FFFFFF"/>
        </w:rPr>
        <w:t xml:space="preserve">Органи државне управе </w:t>
      </w:r>
      <w:r w:rsidRPr="009A71B8">
        <w:rPr>
          <w:b/>
          <w:i/>
          <w:shd w:val="clear" w:color="auto" w:fill="FFFFFF"/>
        </w:rPr>
        <w:t>извештавају Владу</w:t>
      </w:r>
      <w:r w:rsidRPr="000F0299">
        <w:rPr>
          <w:i/>
          <w:shd w:val="clear" w:color="auto" w:fill="FFFFFF"/>
        </w:rPr>
        <w:t xml:space="preserve"> о спровођењу документа јавне политике кроз </w:t>
      </w:r>
      <w:r w:rsidRPr="000F0299">
        <w:rPr>
          <w:b/>
          <w:i/>
          <w:shd w:val="clear" w:color="auto" w:fill="FFFFFF"/>
        </w:rPr>
        <w:t>Јединствени информациони систем</w:t>
      </w:r>
      <w:r w:rsidRPr="000F0299">
        <w:rPr>
          <w:i/>
          <w:shd w:val="clear" w:color="auto" w:fill="FFFFFF"/>
        </w:rPr>
        <w:t>“</w:t>
      </w:r>
      <w:r w:rsidRPr="000F0299">
        <w:rPr>
          <w:shd w:val="clear" w:color="auto" w:fill="FFFFFF"/>
        </w:rPr>
        <w:t>.</w:t>
      </w:r>
      <w:r w:rsidRPr="000F0299">
        <w:t xml:space="preserve"> Структуром ЈИС-а одређени су и обрасци за прикупљање података који се добијају из РСЈП, као надлежног органа, а затим се подаци убацују у ЈИС од стране одговорних органа државне управе за појединачну меру/активност/показатељ. Методологија која се примењује кроз ЈИС, примењена је за прикупљање и обраду података за годишње извештаје о имплементацији у 2018. и 2019. години Акционог плана за спровођење Стратегије РЈУ за период 2018</w:t>
      </w:r>
      <m:oMath>
        <m:r>
          <w:rPr>
            <w:rFonts w:ascii="Cambria Math" w:hAnsi="Cambria Math"/>
          </w:rPr>
          <m:t>-</m:t>
        </m:r>
      </m:oMath>
      <w:r w:rsidRPr="000F0299">
        <w:t>2020. година. Генерисани извештаји из ЈИС-а се, у складу са Уредбом (члан 71.) објављују на интернет страници предлагача документа јавне политике</w:t>
      </w:r>
      <w:r w:rsidRPr="000F0299">
        <w:rPr>
          <w:rFonts w:ascii="Verdana" w:hAnsi="Verdana"/>
          <w:color w:val="333333"/>
          <w:sz w:val="18"/>
          <w:szCs w:val="18"/>
          <w:shd w:val="clear" w:color="auto" w:fill="FFFFFF"/>
        </w:rPr>
        <w:t xml:space="preserve"> </w:t>
      </w:r>
      <w:r w:rsidRPr="000F0299">
        <w:rPr>
          <w:shd w:val="clear" w:color="auto" w:fill="FFFFFF"/>
        </w:rPr>
        <w:t>у роковима који су прописани за извештавање, у складу са законом којим се уређује плански систем.</w:t>
      </w:r>
    </w:p>
    <w:p w14:paraId="334231A3" w14:textId="5B54175D" w:rsidR="00E358D7" w:rsidRPr="000F0299" w:rsidRDefault="00E358D7" w:rsidP="00E358D7">
      <w:pPr>
        <w:widowControl w:val="0"/>
        <w:autoSpaceDE w:val="0"/>
        <w:spacing w:after="120"/>
        <w:ind w:right="113"/>
      </w:pPr>
      <w:r w:rsidRPr="000F0299">
        <w:t xml:space="preserve">ЈИС, као интерни систем чијим подацима могу да приступе органи државне управе, представља примарни извор података и широкој јавности доступну кроз </w:t>
      </w:r>
      <w:r w:rsidRPr="000F0299">
        <w:rPr>
          <w:i/>
          <w:iCs/>
        </w:rPr>
        <w:t xml:space="preserve">on line </w:t>
      </w:r>
      <w:r w:rsidRPr="000F0299">
        <w:rPr>
          <w:b/>
        </w:rPr>
        <w:t>мониторинг апликацију за област РЈУ (</w:t>
      </w:r>
      <w:r w:rsidR="00BB1C3D" w:rsidRPr="000F0299">
        <w:t>енгл.</w:t>
      </w:r>
      <w:r w:rsidRPr="000F0299">
        <w:rPr>
          <w:b/>
        </w:rPr>
        <w:t xml:space="preserve"> </w:t>
      </w:r>
      <w:r w:rsidRPr="000F0299">
        <w:rPr>
          <w:b/>
          <w:i/>
          <w:iCs/>
        </w:rPr>
        <w:t>on line monitoring tool</w:t>
      </w:r>
      <w:r w:rsidRPr="000F0299">
        <w:rPr>
          <w:b/>
        </w:rPr>
        <w:t xml:space="preserve"> – OMT)</w:t>
      </w:r>
      <w:r w:rsidRPr="000F0299">
        <w:t xml:space="preserve">, која је постала активна од априла 2020. године: </w:t>
      </w:r>
      <w:hyperlink r:id="rId177" w:history="1">
        <w:r w:rsidRPr="000F0299">
          <w:rPr>
            <w:rStyle w:val="Hyperlink"/>
          </w:rPr>
          <w:t>https://monitoring.mduls.gov.rs/</w:t>
        </w:r>
      </w:hyperlink>
      <w:hyperlink r:id="rId178" w:tgtFrame="_blank" w:history="1"/>
      <w:r w:rsidRPr="000F0299">
        <w:t xml:space="preserve">. Даље развијање ЈИС-а и проширење обухвата </w:t>
      </w:r>
      <w:r w:rsidRPr="000F0299">
        <w:rPr>
          <w:i/>
          <w:iCs/>
        </w:rPr>
        <w:t xml:space="preserve">on line </w:t>
      </w:r>
      <w:r w:rsidRPr="000F0299">
        <w:t xml:space="preserve">мониторинг апликације на сва хијерархијски нижа документа јавних политика у области реформе јавне управе представља могућност за унапређење и транспарентност процеса праћења и извештавања као и подршке стандардизовању целокупног процеса планирања РЈУ, бољим резултатима и већој одговорности институција. </w:t>
      </w:r>
    </w:p>
    <w:p w14:paraId="0D7700BA" w14:textId="77777777" w:rsidR="00E358D7" w:rsidRPr="000F0299" w:rsidRDefault="00E358D7" w:rsidP="000D2A69">
      <w:pPr>
        <w:pStyle w:val="Heading3"/>
        <w:rPr>
          <w:rFonts w:eastAsia="Times New Roman"/>
          <w:lang w:val="sr-Cyrl-RS" w:eastAsia="de-DE"/>
        </w:rPr>
      </w:pPr>
      <w:bookmarkStart w:id="307" w:name="_Toc57661508"/>
      <w:r w:rsidRPr="000F0299">
        <w:rPr>
          <w:rFonts w:eastAsia="Times New Roman"/>
          <w:lang w:val="sr-Cyrl-RS" w:eastAsia="de-DE"/>
        </w:rPr>
        <w:t xml:space="preserve">Учесници и календар </w:t>
      </w:r>
      <w:r w:rsidRPr="000F0299">
        <w:rPr>
          <w:lang w:val="sr-Cyrl-RS"/>
        </w:rPr>
        <w:t>прикупљања</w:t>
      </w:r>
      <w:r w:rsidRPr="000F0299">
        <w:rPr>
          <w:rFonts w:eastAsia="Times New Roman"/>
          <w:lang w:val="sr-Cyrl-RS" w:eastAsia="de-DE"/>
        </w:rPr>
        <w:t xml:space="preserve"> података и извештавања</w:t>
      </w:r>
      <w:bookmarkEnd w:id="307"/>
    </w:p>
    <w:p w14:paraId="29639020" w14:textId="77777777" w:rsidR="00E358D7" w:rsidRPr="000F0299" w:rsidRDefault="00E358D7" w:rsidP="00E358D7">
      <w:pPr>
        <w:widowControl w:val="0"/>
        <w:autoSpaceDE w:val="0"/>
        <w:spacing w:after="120"/>
        <w:ind w:right="113"/>
      </w:pPr>
      <w:r w:rsidRPr="000F0299">
        <w:t xml:space="preserve">У складу са чланом 43. Закона о планском систему, предлагач документа јавне политике (МДУЛС) извештава Владу преко органа државне управе надлежног за координацију јавних политика (РСЈП) о резултатима спровођења документа јавне политике и то у случају стратегије по истеку сваке треће календарске године од дана усвајања, као и финалним извештајем који се подноси најкасније шест месеци након истека примене тог документа. У случају акционог плана и програма подаци се прикупљају и уносе у ЈИС по истеку сваке календарске године. Истим чланом Закона уређено је да орган државне управе надлежан за координацију јавних политика (РСЈП) овлашћен је да извести Владу ако се одређени документи јавних политика не спроводе или постоји међусобна неусклађеност докумената јавних политика као и да је субјект, који је документом јавне политике задужен за спровођење конкретне мере, дужан да на захтев предлагача тог документа или органа државне управе задуженог за координацију јавних политика извести тај орган о резултатима спровођења конкретних мера или активности. У складу са ставом 4. чланом 47. Закона, </w:t>
      </w:r>
      <w:r w:rsidRPr="000F0299">
        <w:rPr>
          <w:shd w:val="clear" w:color="auto" w:fill="FFFFFF"/>
        </w:rPr>
        <w:t>кроз Јединствени информациони систем обезбеђује се благовремено извештавање о оствареним циљевима и праћење остварених вредности показатеља учинка.</w:t>
      </w:r>
    </w:p>
    <w:p w14:paraId="6B9CEA13" w14:textId="77777777" w:rsidR="00E358D7" w:rsidRPr="000F0299" w:rsidRDefault="00E358D7" w:rsidP="00E358D7">
      <w:pPr>
        <w:widowControl w:val="0"/>
        <w:autoSpaceDE w:val="0"/>
        <w:spacing w:after="120"/>
        <w:ind w:right="113"/>
      </w:pPr>
      <w:r w:rsidRPr="000F0299">
        <w:t xml:space="preserve">Другим речима, институције које су надлежне за активности, мере и показатеље, потребно је да именују </w:t>
      </w:r>
      <w:r w:rsidRPr="000F0299">
        <w:rPr>
          <w:b/>
        </w:rPr>
        <w:t>контакт особе за уношење података у ЈИС</w:t>
      </w:r>
      <w:r w:rsidRPr="000F0299">
        <w:t xml:space="preserve"> и ту листу доставе надлежном органу за ЈИС (РСЈП). Додатно, кроз административни ниво праћења спровођења Стратегије РЈУ, одредиће се </w:t>
      </w:r>
      <w:r w:rsidRPr="000F0299">
        <w:rPr>
          <w:b/>
        </w:rPr>
        <w:t>координатори тематских области</w:t>
      </w:r>
      <w:r w:rsidRPr="000F0299">
        <w:t xml:space="preserve"> за Стратегију РЈУ који ће координирати прикупљање података за конкретну тематску област на годишњем нивоу и њихово уношење у ЈИС и достављаће потребне наративне извештаје надлежном органу (МДУЛС) у случају израде наративног извештаја (обавезног трогодишњег извештаја за Стратегију и програме или по потреби). На основу података који су унети у ЈИС, а чије уношење координира у овом случају МДУЛС, РСЈП као надлежни орган извештава Владу на годишњем нивоу или чешће (уколико је потребно) о постигнутим резултатима.</w:t>
      </w:r>
    </w:p>
    <w:p w14:paraId="71C1695E" w14:textId="5B85406C" w:rsidR="002977D3" w:rsidRPr="000F0299" w:rsidRDefault="00E358D7" w:rsidP="00E358D7">
      <w:r w:rsidRPr="000F0299">
        <w:rPr>
          <w:rFonts w:eastAsia="Times New Roman"/>
          <w:lang w:eastAsia="de-DE"/>
        </w:rPr>
        <w:tab/>
        <w:t xml:space="preserve">Закон о планском систему предвиђа и рокове за извештавање (120 дана од истека претходне календарске године). Како би се постигла усклађеност виших и нижих хијерархијских докумената јавних политика и њихових извештаја, потребно је да сви подаци за акционе планове и програме у области РЈУ буду унети најкасније до 1. фебруара календарске године, како би се извештај за целокупну Стратегију РЈУ могао израдити до предвиђеног законског рока од 120 дана од истека претходне календарске године. Календар и </w:t>
      </w:r>
      <w:r w:rsidRPr="000F0299">
        <w:t>п</w:t>
      </w:r>
      <w:r w:rsidRPr="000F0299">
        <w:rPr>
          <w:rFonts w:eastAsia="Times New Roman"/>
        </w:rPr>
        <w:t>роцес</w:t>
      </w:r>
      <w:r w:rsidRPr="000F0299">
        <w:t xml:space="preserve"> прикупљања података и извештавања приказан је на Графикону </w:t>
      </w:r>
      <w:r w:rsidR="004A706E" w:rsidRPr="000F0299">
        <w:t>ниже</w:t>
      </w:r>
      <w:r w:rsidRPr="000F0299">
        <w:t>.</w:t>
      </w:r>
    </w:p>
    <w:p w14:paraId="3231A25F" w14:textId="77777777" w:rsidR="004917EA" w:rsidRPr="000F0299" w:rsidRDefault="004917EA" w:rsidP="00244E7C">
      <w:pPr>
        <w:sectPr w:rsidR="004917EA" w:rsidRPr="000F0299" w:rsidSect="0068146C">
          <w:headerReference w:type="default" r:id="rId179"/>
          <w:footerReference w:type="default" r:id="rId180"/>
          <w:pgSz w:w="11906" w:h="16838"/>
          <w:pgMar w:top="1418" w:right="1418" w:bottom="1134" w:left="1418" w:header="720" w:footer="720" w:gutter="0"/>
          <w:cols w:space="720"/>
          <w:docGrid w:linePitch="360"/>
        </w:sectPr>
      </w:pPr>
    </w:p>
    <w:p w14:paraId="3856314A" w14:textId="2FE59AF3" w:rsidR="00441BE2" w:rsidRPr="000F0299" w:rsidRDefault="0031250A" w:rsidP="00244E7C">
      <w:r w:rsidRPr="000F0299">
        <w:rPr>
          <w:noProof/>
          <w:lang w:val="en-US" w:eastAsia="en-US" w:bidi="ar-SA"/>
        </w:rPr>
        <mc:AlternateContent>
          <mc:Choice Requires="wpg">
            <w:drawing>
              <wp:anchor distT="0" distB="0" distL="114300" distR="114300" simplePos="0" relativeHeight="251954688" behindDoc="0" locked="0" layoutInCell="1" allowOverlap="1" wp14:anchorId="567ABA3C" wp14:editId="1EFB01E3">
                <wp:simplePos x="0" y="0"/>
                <wp:positionH relativeFrom="column">
                  <wp:posOffset>674370</wp:posOffset>
                </wp:positionH>
                <wp:positionV relativeFrom="paragraph">
                  <wp:posOffset>1140460</wp:posOffset>
                </wp:positionV>
                <wp:extent cx="7914507" cy="2158618"/>
                <wp:effectExtent l="19050" t="19050" r="10795" b="13335"/>
                <wp:wrapNone/>
                <wp:docPr id="1093" name="Group 66"/>
                <wp:cNvGraphicFramePr/>
                <a:graphic xmlns:a="http://schemas.openxmlformats.org/drawingml/2006/main">
                  <a:graphicData uri="http://schemas.microsoft.com/office/word/2010/wordprocessingGroup">
                    <wpg:wgp>
                      <wpg:cNvGrpSpPr/>
                      <wpg:grpSpPr>
                        <a:xfrm>
                          <a:off x="0" y="0"/>
                          <a:ext cx="7914507" cy="2158618"/>
                          <a:chOff x="674548" y="1121635"/>
                          <a:chExt cx="7914507" cy="2158618"/>
                        </a:xfrm>
                      </wpg:grpSpPr>
                      <wps:wsp>
                        <wps:cNvPr id="1094" name="Line 47"/>
                        <wps:cNvCnPr/>
                        <wps:spPr bwMode="blackWhite">
                          <a:xfrm flipV="1">
                            <a:off x="2438747" y="1283072"/>
                            <a:ext cx="1558851" cy="911817"/>
                          </a:xfrm>
                          <a:prstGeom prst="line">
                            <a:avLst/>
                          </a:prstGeom>
                          <a:noFill/>
                          <a:ln w="57150">
                            <a:solidFill>
                              <a:srgbClr val="000000"/>
                            </a:solidFill>
                            <a:round/>
                            <a:headEnd/>
                            <a:tailEnd/>
                          </a:ln>
                        </wps:spPr>
                        <wps:bodyPr/>
                      </wps:wsp>
                      <wps:wsp>
                        <wps:cNvPr id="1095" name="Line 48"/>
                        <wps:cNvCnPr/>
                        <wps:spPr bwMode="blackWhite">
                          <a:xfrm>
                            <a:off x="4104737" y="1283073"/>
                            <a:ext cx="4399781" cy="0"/>
                          </a:xfrm>
                          <a:prstGeom prst="line">
                            <a:avLst/>
                          </a:prstGeom>
                          <a:noFill/>
                          <a:ln w="57150">
                            <a:solidFill>
                              <a:srgbClr val="000000"/>
                            </a:solidFill>
                            <a:round/>
                            <a:headEnd/>
                            <a:tailEnd/>
                          </a:ln>
                        </wps:spPr>
                        <wps:bodyPr/>
                      </wps:wsp>
                      <wps:wsp>
                        <wps:cNvPr id="1096" name="Line 49"/>
                        <wps:cNvCnPr/>
                        <wps:spPr bwMode="blackWhite">
                          <a:xfrm flipV="1">
                            <a:off x="4104735" y="3112689"/>
                            <a:ext cx="4399781" cy="5980"/>
                          </a:xfrm>
                          <a:prstGeom prst="line">
                            <a:avLst/>
                          </a:prstGeom>
                          <a:noFill/>
                          <a:ln w="57150">
                            <a:solidFill>
                              <a:srgbClr val="000000"/>
                            </a:solidFill>
                            <a:round/>
                            <a:headEnd/>
                            <a:tailEnd/>
                          </a:ln>
                        </wps:spPr>
                        <wps:bodyPr/>
                      </wps:wsp>
                      <wps:wsp>
                        <wps:cNvPr id="1097" name="Line 50"/>
                        <wps:cNvCnPr/>
                        <wps:spPr bwMode="blackWhite">
                          <a:xfrm>
                            <a:off x="2438747" y="2194890"/>
                            <a:ext cx="1558851" cy="923778"/>
                          </a:xfrm>
                          <a:prstGeom prst="line">
                            <a:avLst/>
                          </a:prstGeom>
                          <a:noFill/>
                          <a:ln w="57150">
                            <a:solidFill>
                              <a:srgbClr val="000000"/>
                            </a:solidFill>
                            <a:round/>
                            <a:headEnd/>
                            <a:tailEnd/>
                          </a:ln>
                        </wps:spPr>
                        <wps:bodyPr/>
                      </wps:wsp>
                      <wps:wsp>
                        <wps:cNvPr id="1098" name="Oval 1098"/>
                        <wps:cNvSpPr>
                          <a:spLocks noChangeArrowheads="1"/>
                        </wps:cNvSpPr>
                        <wps:spPr bwMode="blackWhite">
                          <a:xfrm>
                            <a:off x="3945220" y="2961218"/>
                            <a:ext cx="319035" cy="319035"/>
                          </a:xfrm>
                          <a:prstGeom prst="ellipse">
                            <a:avLst/>
                          </a:prstGeom>
                          <a:solidFill>
                            <a:srgbClr val="FFFFFF"/>
                          </a:solidFill>
                          <a:ln w="28575">
                            <a:solidFill>
                              <a:srgbClr val="C00000"/>
                            </a:solidFill>
                            <a:round/>
                            <a:headEnd/>
                            <a:tailEnd/>
                          </a:ln>
                        </wps:spPr>
                        <wps:bodyPr wrap="none" lIns="61257" tIns="0" rIns="62511" bIns="0" anchor="ctr"/>
                      </wps:wsp>
                      <wps:wsp>
                        <wps:cNvPr id="1099" name="Oval 1099"/>
                        <wps:cNvSpPr>
                          <a:spLocks noChangeArrowheads="1"/>
                        </wps:cNvSpPr>
                        <wps:spPr bwMode="blackWhite">
                          <a:xfrm>
                            <a:off x="3939396" y="1121635"/>
                            <a:ext cx="319035" cy="319035"/>
                          </a:xfrm>
                          <a:prstGeom prst="ellipse">
                            <a:avLst/>
                          </a:prstGeom>
                          <a:solidFill>
                            <a:srgbClr val="FFFFFF"/>
                          </a:solidFill>
                          <a:ln w="28575">
                            <a:solidFill>
                              <a:srgbClr val="C00000"/>
                            </a:solidFill>
                            <a:round/>
                            <a:headEnd/>
                            <a:tailEnd/>
                          </a:ln>
                        </wps:spPr>
                        <wps:bodyPr wrap="none" lIns="61257" tIns="0" rIns="62511" bIns="0" anchor="ctr"/>
                      </wps:wsp>
                      <wps:wsp>
                        <wps:cNvPr id="1100" name="Oval 1100"/>
                        <wps:cNvSpPr>
                          <a:spLocks noChangeArrowheads="1"/>
                        </wps:cNvSpPr>
                        <wps:spPr bwMode="blackWhite">
                          <a:xfrm>
                            <a:off x="6174275" y="2961218"/>
                            <a:ext cx="319035" cy="319035"/>
                          </a:xfrm>
                          <a:prstGeom prst="ellipse">
                            <a:avLst/>
                          </a:prstGeom>
                          <a:solidFill>
                            <a:srgbClr val="FFFFFF"/>
                          </a:solidFill>
                          <a:ln w="28575">
                            <a:solidFill>
                              <a:srgbClr val="C00000"/>
                            </a:solidFill>
                            <a:round/>
                            <a:headEnd/>
                            <a:tailEnd/>
                          </a:ln>
                        </wps:spPr>
                        <wps:bodyPr wrap="none" lIns="61257" tIns="0" rIns="62511" bIns="0" anchor="ctr"/>
                      </wps:wsp>
                      <wps:wsp>
                        <wps:cNvPr id="1101" name="Oval 1101"/>
                        <wps:cNvSpPr>
                          <a:spLocks noChangeArrowheads="1"/>
                        </wps:cNvSpPr>
                        <wps:spPr bwMode="blackWhite">
                          <a:xfrm>
                            <a:off x="8270020" y="1121635"/>
                            <a:ext cx="319035" cy="319035"/>
                          </a:xfrm>
                          <a:prstGeom prst="ellipse">
                            <a:avLst/>
                          </a:prstGeom>
                          <a:solidFill>
                            <a:srgbClr val="FFFFFF"/>
                          </a:solidFill>
                          <a:ln w="28575">
                            <a:solidFill>
                              <a:srgbClr val="C00000"/>
                            </a:solidFill>
                            <a:round/>
                            <a:headEnd/>
                            <a:tailEnd/>
                          </a:ln>
                        </wps:spPr>
                        <wps:bodyPr wrap="none" lIns="61257" tIns="0" rIns="62511" bIns="0" anchor="ctr"/>
                      </wps:wsp>
                      <wps:wsp>
                        <wps:cNvPr id="1102" name="AutoShape 75"/>
                        <wps:cNvSpPr>
                          <a:spLocks noChangeArrowheads="1"/>
                        </wps:cNvSpPr>
                        <wps:spPr bwMode="blackWhite">
                          <a:xfrm rot="5400000">
                            <a:off x="4575724" y="1177306"/>
                            <a:ext cx="251123" cy="203561"/>
                          </a:xfrm>
                          <a:prstGeom prst="triangle">
                            <a:avLst>
                              <a:gd name="adj" fmla="val 50000"/>
                            </a:avLst>
                          </a:prstGeom>
                          <a:solidFill>
                            <a:srgbClr val="C00000"/>
                          </a:solidFill>
                          <a:ln w="9525">
                            <a:solidFill>
                              <a:srgbClr val="C00000"/>
                            </a:solidFill>
                            <a:miter lim="800000"/>
                            <a:headEnd/>
                            <a:tailEnd/>
                          </a:ln>
                        </wps:spPr>
                        <wps:bodyPr wrap="none" lIns="61257" tIns="0" rIns="62511" bIns="0" anchor="ctr"/>
                      </wps:wsp>
                      <wps:wsp>
                        <wps:cNvPr id="1103" name="AutoShape 79"/>
                        <wps:cNvSpPr>
                          <a:spLocks noChangeArrowheads="1"/>
                        </wps:cNvSpPr>
                        <wps:spPr bwMode="blackWhite">
                          <a:xfrm rot="5400000">
                            <a:off x="4575724" y="3014896"/>
                            <a:ext cx="251123" cy="203561"/>
                          </a:xfrm>
                          <a:prstGeom prst="triangle">
                            <a:avLst>
                              <a:gd name="adj" fmla="val 50000"/>
                            </a:avLst>
                          </a:prstGeom>
                          <a:solidFill>
                            <a:srgbClr val="C00000"/>
                          </a:solidFill>
                          <a:ln w="9525">
                            <a:solidFill>
                              <a:srgbClr val="C00000"/>
                            </a:solidFill>
                            <a:miter lim="800000"/>
                            <a:headEnd/>
                            <a:tailEnd/>
                          </a:ln>
                        </wps:spPr>
                        <wps:bodyPr wrap="none" lIns="61257" tIns="0" rIns="62511" bIns="0" anchor="ctr"/>
                      </wps:wsp>
                      <wps:wsp>
                        <wps:cNvPr id="1104" name="AutoShape 81"/>
                        <wps:cNvSpPr>
                          <a:spLocks noChangeArrowheads="1"/>
                        </wps:cNvSpPr>
                        <wps:spPr bwMode="blackWhite">
                          <a:xfrm rot="5400000">
                            <a:off x="6752402" y="3014896"/>
                            <a:ext cx="251123" cy="203561"/>
                          </a:xfrm>
                          <a:prstGeom prst="triangle">
                            <a:avLst>
                              <a:gd name="adj" fmla="val 50000"/>
                            </a:avLst>
                          </a:prstGeom>
                          <a:solidFill>
                            <a:srgbClr val="C00000"/>
                          </a:solidFill>
                          <a:ln w="9525">
                            <a:solidFill>
                              <a:srgbClr val="C00000"/>
                            </a:solidFill>
                            <a:miter lim="800000"/>
                            <a:headEnd/>
                            <a:tailEnd/>
                          </a:ln>
                        </wps:spPr>
                        <wps:bodyPr wrap="none" lIns="61257" tIns="0" rIns="62511" bIns="0" anchor="ctr"/>
                      </wps:wsp>
                      <wps:wsp>
                        <wps:cNvPr id="1105" name="Line 51"/>
                        <wps:cNvCnPr/>
                        <wps:spPr bwMode="blackWhite">
                          <a:xfrm>
                            <a:off x="790615" y="2194890"/>
                            <a:ext cx="1635634" cy="0"/>
                          </a:xfrm>
                          <a:prstGeom prst="line">
                            <a:avLst/>
                          </a:prstGeom>
                          <a:noFill/>
                          <a:ln w="57150">
                            <a:solidFill>
                              <a:srgbClr val="000000"/>
                            </a:solidFill>
                            <a:round/>
                            <a:headEnd/>
                            <a:tailEnd/>
                          </a:ln>
                        </wps:spPr>
                        <wps:bodyPr/>
                      </wps:wsp>
                      <wps:wsp>
                        <wps:cNvPr id="1106" name="AutoShape 74"/>
                        <wps:cNvSpPr>
                          <a:spLocks noChangeArrowheads="1"/>
                        </wps:cNvSpPr>
                        <wps:spPr bwMode="blackWhite">
                          <a:xfrm rot="5400000">
                            <a:off x="1511439" y="2091117"/>
                            <a:ext cx="251123" cy="203561"/>
                          </a:xfrm>
                          <a:prstGeom prst="triangle">
                            <a:avLst>
                              <a:gd name="adj" fmla="val 50000"/>
                            </a:avLst>
                          </a:prstGeom>
                          <a:solidFill>
                            <a:srgbClr val="C00000"/>
                          </a:solidFill>
                          <a:ln w="9525">
                            <a:solidFill>
                              <a:srgbClr val="C00000"/>
                            </a:solidFill>
                            <a:miter lim="800000"/>
                            <a:headEnd/>
                            <a:tailEnd/>
                          </a:ln>
                        </wps:spPr>
                        <wps:bodyPr wrap="none" lIns="61257" tIns="0" rIns="62511" bIns="0" anchor="ctr"/>
                      </wps:wsp>
                      <wps:wsp>
                        <wps:cNvPr id="1107" name="Oval 1107"/>
                        <wps:cNvSpPr>
                          <a:spLocks noChangeArrowheads="1"/>
                        </wps:cNvSpPr>
                        <wps:spPr bwMode="blackWhite">
                          <a:xfrm>
                            <a:off x="2303039" y="2041426"/>
                            <a:ext cx="319035" cy="319035"/>
                          </a:xfrm>
                          <a:prstGeom prst="ellipse">
                            <a:avLst/>
                          </a:prstGeom>
                          <a:solidFill>
                            <a:srgbClr val="FFFFFF"/>
                          </a:solidFill>
                          <a:ln w="28575">
                            <a:solidFill>
                              <a:srgbClr val="C00000"/>
                            </a:solidFill>
                            <a:round/>
                            <a:headEnd/>
                            <a:tailEnd/>
                          </a:ln>
                        </wps:spPr>
                        <wps:bodyPr wrap="none" lIns="61257" tIns="0" rIns="62511" bIns="0" anchor="ctr"/>
                      </wps:wsp>
                      <wps:wsp>
                        <wps:cNvPr id="1108" name="Oval 1108"/>
                        <wps:cNvSpPr>
                          <a:spLocks noChangeArrowheads="1"/>
                        </wps:cNvSpPr>
                        <wps:spPr bwMode="blackWhite">
                          <a:xfrm>
                            <a:off x="674548" y="2041426"/>
                            <a:ext cx="319035" cy="319035"/>
                          </a:xfrm>
                          <a:prstGeom prst="ellipse">
                            <a:avLst/>
                          </a:prstGeom>
                          <a:solidFill>
                            <a:srgbClr val="FFFFFF"/>
                          </a:solidFill>
                          <a:ln w="28575">
                            <a:solidFill>
                              <a:srgbClr val="C00000"/>
                            </a:solidFill>
                            <a:round/>
                            <a:headEnd/>
                            <a:tailEnd/>
                          </a:ln>
                        </wps:spPr>
                        <wps:bodyPr wrap="none" lIns="61257" tIns="0" rIns="62511" bIns="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000C4D" id="Group 66" o:spid="_x0000_s1026" style="position:absolute;margin-left:53.1pt;margin-top:89.8pt;width:623.2pt;height:169.95pt;z-index:251954688" coordorigin="6745,11216" coordsize="79145,2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">
                <v:line id="Line 47" o:spid="_x0000_s1027" style="position:absolute;flip:y;visibility:visible;mso-wrap-style:square" from="24387,12830" to="39975,21948"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" strokeweight="4.5pt"/>
                <v:line id="Line 48" o:spid="_x0000_s1028" style="position:absolute;visibility:visible;mso-wrap-style:square" from="41047,12830" to="85045,12830"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" strokeweight="4.5pt"/>
                <v:line id="Line 49" o:spid="_x0000_s1029" style="position:absolute;flip:y;visibility:visible;mso-wrap-style:square" from="41047,31126" to="85045,31186"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" strokeweight="4.5pt"/>
                <v:line id="Line 50" o:spid="_x0000_s1030" style="position:absolute;visibility:visible;mso-wrap-style:square" from="24387,21948" to="39975,31186"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" strokeweight="4.5pt"/>
                <v:oval id="Oval 1098" o:spid="_x0000_s1031" style="position:absolute;left:39452;top:29612;width:3190;height:3190;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" strokecolor="#c00000" strokeweight="2.25pt">
                  <v:textbox inset="1.70158mm,0,1.73642mm,0"/>
                </v:oval>
                <v:oval id="Oval 1099" o:spid="_x0000_s1032" style="position:absolute;left:39393;top:11216;width:3191;height:3190;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" strokecolor="#c00000" strokeweight="2.25pt">
                  <v:textbox inset="1.70158mm,0,1.73642mm,0"/>
                </v:oval>
                <v:oval id="Oval 1100" o:spid="_x0000_s1033" style="position:absolute;left:61742;top:29612;width:3191;height:3190;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" strokecolor="#c00000" strokeweight="2.25pt">
                  <v:textbox inset="1.70158mm,0,1.73642mm,0"/>
                </v:oval>
                <v:oval id="Oval 1101" o:spid="_x0000_s1034" style="position:absolute;left:82700;top:11216;width:3190;height:3190;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" strokecolor="#c00000" strokeweight="2.25pt">
                  <v:textbox inset="1.70158mm,0,1.73642mm,0"/>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5" o:spid="_x0000_s1035" type="#_x0000_t5" style="position:absolute;left:45757;top:11773;width:2511;height:2035;rotation:90;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" fillcolor="#c00000" strokecolor="#c00000">
                  <v:textbox inset="1.70158mm,0,1.73642mm,0"/>
                </v:shape>
                <v:shape id="AutoShape 79" o:spid="_x0000_s1036" type="#_x0000_t5" style="position:absolute;left:45757;top:30149;width:2511;height:2035;rotation:90;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" fillcolor="#c00000" strokecolor="#c00000">
                  <v:textbox inset="1.70158mm,0,1.73642mm,0"/>
                </v:shape>
                <v:shape id="AutoShape 81" o:spid="_x0000_s1037" type="#_x0000_t5" style="position:absolute;left:67523;top:30149;width:2511;height:2036;rotation:90;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" fillcolor="#c00000" strokecolor="#c00000">
                  <v:textbox inset="1.70158mm,0,1.73642mm,0"/>
                </v:shape>
                <v:line id="Line 51" o:spid="_x0000_s1038" style="position:absolute;visibility:visible;mso-wrap-style:square" from="7906,21948" to="24262,21948"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" strokeweight="4.5pt"/>
                <v:shape id="AutoShape 74" o:spid="_x0000_s1039" type="#_x0000_t5" style="position:absolute;left:15114;top:20911;width:2511;height:2035;rotation:90;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" fillcolor="#c00000" strokecolor="#c00000">
                  <v:textbox inset="1.70158mm,0,1.73642mm,0"/>
                </v:shape>
                <v:oval id="Oval 1107" o:spid="_x0000_s1040" style="position:absolute;left:23030;top:20414;width:3190;height:3190;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" strokecolor="#c00000" strokeweight="2.25pt">
                  <v:textbox inset="1.70158mm,0,1.73642mm,0"/>
                </v:oval>
                <v:oval id="Oval 1108" o:spid="_x0000_s1041" style="position:absolute;left:6745;top:20414;width:3190;height:3190;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" strokecolor="#c00000" strokeweight="2.25pt">
                  <v:textbox inset="1.70158mm,0,1.73642mm,0"/>
                </v:oval>
              </v:group>
            </w:pict>
          </mc:Fallback>
        </mc:AlternateContent>
      </w:r>
      <w:r w:rsidRPr="000F0299">
        <w:rPr>
          <w:noProof/>
          <w:lang w:val="en-US" w:eastAsia="en-US" w:bidi="ar-SA"/>
        </w:rPr>
        <w:drawing>
          <wp:anchor distT="0" distB="0" distL="114300" distR="114300" simplePos="0" relativeHeight="251955712" behindDoc="0" locked="0" layoutInCell="1" allowOverlap="1" wp14:anchorId="7927D2D0" wp14:editId="1E84365C">
            <wp:simplePos x="0" y="0"/>
            <wp:positionH relativeFrom="column">
              <wp:posOffset>0</wp:posOffset>
            </wp:positionH>
            <wp:positionV relativeFrom="paragraph">
              <wp:posOffset>2776855</wp:posOffset>
            </wp:positionV>
            <wp:extent cx="1659322" cy="929640"/>
            <wp:effectExtent l="0" t="0" r="0" b="3810"/>
            <wp:wrapNone/>
            <wp:docPr id="1116" name="table">
              <a:extLst xmlns:a="http://schemas.openxmlformats.org/drawingml/2006/main">
                <a:ext uri="{FF2B5EF4-FFF2-40B4-BE49-F238E27FC236}">
                  <a16:creationId xmlns:a16="http://schemas.microsoft.com/office/drawing/2014/main" id="{DC696200-B270-4721-A62F-9877ADE22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a:extLst>
                        <a:ext uri="{FF2B5EF4-FFF2-40B4-BE49-F238E27FC236}">
                          <a16:creationId xmlns:a16="http://schemas.microsoft.com/office/drawing/2014/main" id="{DC696200-B270-4721-A62F-9877ADE22070}"/>
                        </a:ext>
                      </a:extLst>
                    </pic:cNvPr>
                    <pic:cNvPicPr>
                      <a:picLocks noChangeAspect="1"/>
                    </pic:cNvPicPr>
                  </pic:nvPicPr>
                  <pic:blipFill>
                    <a:blip r:embed="rId181"/>
                    <a:stretch>
                      <a:fillRect/>
                    </a:stretch>
                  </pic:blipFill>
                  <pic:spPr>
                    <a:xfrm>
                      <a:off x="0" y="0"/>
                      <a:ext cx="1659322" cy="929640"/>
                    </a:xfrm>
                    <a:prstGeom prst="rect">
                      <a:avLst/>
                    </a:prstGeom>
                  </pic:spPr>
                </pic:pic>
              </a:graphicData>
            </a:graphic>
          </wp:anchor>
        </w:drawing>
      </w:r>
      <w:r w:rsidRPr="000F0299">
        <w:rPr>
          <w:noProof/>
          <w:lang w:val="en-US" w:eastAsia="en-US" w:bidi="ar-SA"/>
        </w:rPr>
        <w:drawing>
          <wp:anchor distT="0" distB="0" distL="114300" distR="114300" simplePos="0" relativeHeight="251956736" behindDoc="0" locked="0" layoutInCell="1" allowOverlap="1" wp14:anchorId="3BCBFEA0" wp14:editId="5126398B">
            <wp:simplePos x="0" y="0"/>
            <wp:positionH relativeFrom="column">
              <wp:posOffset>1325880</wp:posOffset>
            </wp:positionH>
            <wp:positionV relativeFrom="paragraph">
              <wp:posOffset>671195</wp:posOffset>
            </wp:positionV>
            <wp:extent cx="1659322" cy="929640"/>
            <wp:effectExtent l="0" t="0" r="0" b="3810"/>
            <wp:wrapNone/>
            <wp:docPr id="1117" name="table">
              <a:extLst xmlns:a="http://schemas.openxmlformats.org/drawingml/2006/main">
                <a:ext uri="{FF2B5EF4-FFF2-40B4-BE49-F238E27FC236}">
                  <a16:creationId xmlns:a16="http://schemas.microsoft.com/office/drawing/2014/main" id="{459B988D-868D-45FC-B8DB-CD5A78BEA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a:extLst>
                        <a:ext uri="{FF2B5EF4-FFF2-40B4-BE49-F238E27FC236}">
                          <a16:creationId xmlns:a16="http://schemas.microsoft.com/office/drawing/2014/main" id="{459B988D-868D-45FC-B8DB-CD5A78BEA8A2}"/>
                        </a:ext>
                      </a:extLst>
                    </pic:cNvPr>
                    <pic:cNvPicPr>
                      <a:picLocks noChangeAspect="1"/>
                    </pic:cNvPicPr>
                  </pic:nvPicPr>
                  <pic:blipFill>
                    <a:blip r:embed="rId182"/>
                    <a:stretch>
                      <a:fillRect/>
                    </a:stretch>
                  </pic:blipFill>
                  <pic:spPr>
                    <a:xfrm>
                      <a:off x="0" y="0"/>
                      <a:ext cx="1659322" cy="929640"/>
                    </a:xfrm>
                    <a:prstGeom prst="rect">
                      <a:avLst/>
                    </a:prstGeom>
                  </pic:spPr>
                </pic:pic>
              </a:graphicData>
            </a:graphic>
          </wp:anchor>
        </w:drawing>
      </w:r>
      <w:r w:rsidRPr="000F0299">
        <w:rPr>
          <w:noProof/>
          <w:lang w:val="en-US" w:eastAsia="en-US" w:bidi="ar-SA"/>
        </w:rPr>
        <w:drawing>
          <wp:anchor distT="0" distB="0" distL="114300" distR="114300" simplePos="0" relativeHeight="251957760" behindDoc="0" locked="0" layoutInCell="1" allowOverlap="1" wp14:anchorId="7CD75E72" wp14:editId="427A6655">
            <wp:simplePos x="0" y="0"/>
            <wp:positionH relativeFrom="column">
              <wp:posOffset>3274695</wp:posOffset>
            </wp:positionH>
            <wp:positionV relativeFrom="paragraph">
              <wp:posOffset>117475</wp:posOffset>
            </wp:positionV>
            <wp:extent cx="1659322" cy="762000"/>
            <wp:effectExtent l="0" t="0" r="0" b="0"/>
            <wp:wrapNone/>
            <wp:docPr id="1118" name="table">
              <a:extLst xmlns:a="http://schemas.openxmlformats.org/drawingml/2006/main">
                <a:ext uri="{FF2B5EF4-FFF2-40B4-BE49-F238E27FC236}">
                  <a16:creationId xmlns:a16="http://schemas.microsoft.com/office/drawing/2014/main" id="{7A235463-50D6-4AFA-B71F-D9C9B554A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le">
                      <a:extLst>
                        <a:ext uri="{FF2B5EF4-FFF2-40B4-BE49-F238E27FC236}">
                          <a16:creationId xmlns:a16="http://schemas.microsoft.com/office/drawing/2014/main" id="{7A235463-50D6-4AFA-B71F-D9C9B554A350}"/>
                        </a:ext>
                      </a:extLst>
                    </pic:cNvPr>
                    <pic:cNvPicPr>
                      <a:picLocks noChangeAspect="1"/>
                    </pic:cNvPicPr>
                  </pic:nvPicPr>
                  <pic:blipFill>
                    <a:blip r:embed="rId183"/>
                    <a:stretch>
                      <a:fillRect/>
                    </a:stretch>
                  </pic:blipFill>
                  <pic:spPr>
                    <a:xfrm>
                      <a:off x="0" y="0"/>
                      <a:ext cx="1659322" cy="762000"/>
                    </a:xfrm>
                    <a:prstGeom prst="rect">
                      <a:avLst/>
                    </a:prstGeom>
                  </pic:spPr>
                </pic:pic>
              </a:graphicData>
            </a:graphic>
          </wp:anchor>
        </w:drawing>
      </w:r>
      <w:r w:rsidRPr="000F0299">
        <w:rPr>
          <w:noProof/>
          <w:lang w:val="en-US" w:eastAsia="en-US" w:bidi="ar-SA"/>
        </w:rPr>
        <w:drawing>
          <wp:anchor distT="0" distB="0" distL="114300" distR="114300" simplePos="0" relativeHeight="251958784" behindDoc="0" locked="0" layoutInCell="1" allowOverlap="1" wp14:anchorId="119B2626" wp14:editId="6CB4A6BD">
            <wp:simplePos x="0" y="0"/>
            <wp:positionH relativeFrom="column">
              <wp:posOffset>3142615</wp:posOffset>
            </wp:positionH>
            <wp:positionV relativeFrom="paragraph">
              <wp:posOffset>3601720</wp:posOffset>
            </wp:positionV>
            <wp:extent cx="1923824" cy="1264920"/>
            <wp:effectExtent l="0" t="0" r="635" b="0"/>
            <wp:wrapNone/>
            <wp:docPr id="1119" name="table">
              <a:extLst xmlns:a="http://schemas.openxmlformats.org/drawingml/2006/main">
                <a:ext uri="{FF2B5EF4-FFF2-40B4-BE49-F238E27FC236}">
                  <a16:creationId xmlns:a16="http://schemas.microsoft.com/office/drawing/2014/main" id="{31FB95C1-62AE-4580-8CDD-42C4B5F901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le">
                      <a:extLst>
                        <a:ext uri="{FF2B5EF4-FFF2-40B4-BE49-F238E27FC236}">
                          <a16:creationId xmlns:a16="http://schemas.microsoft.com/office/drawing/2014/main" id="{31FB95C1-62AE-4580-8CDD-42C4B5F901D7}"/>
                        </a:ext>
                      </a:extLst>
                    </pic:cNvPr>
                    <pic:cNvPicPr>
                      <a:picLocks noChangeAspect="1"/>
                    </pic:cNvPicPr>
                  </pic:nvPicPr>
                  <pic:blipFill>
                    <a:blip r:embed="rId184"/>
                    <a:stretch>
                      <a:fillRect/>
                    </a:stretch>
                  </pic:blipFill>
                  <pic:spPr>
                    <a:xfrm>
                      <a:off x="0" y="0"/>
                      <a:ext cx="1923824" cy="1264920"/>
                    </a:xfrm>
                    <a:prstGeom prst="rect">
                      <a:avLst/>
                    </a:prstGeom>
                  </pic:spPr>
                </pic:pic>
              </a:graphicData>
            </a:graphic>
          </wp:anchor>
        </w:drawing>
      </w:r>
      <w:r w:rsidRPr="000F0299">
        <w:rPr>
          <w:noProof/>
          <w:lang w:val="en-US" w:eastAsia="en-US" w:bidi="ar-SA"/>
        </w:rPr>
        <w:drawing>
          <wp:anchor distT="0" distB="0" distL="114300" distR="114300" simplePos="0" relativeHeight="251959808" behindDoc="0" locked="0" layoutInCell="1" allowOverlap="1" wp14:anchorId="64F093D3" wp14:editId="696D9506">
            <wp:simplePos x="0" y="0"/>
            <wp:positionH relativeFrom="column">
              <wp:posOffset>5371465</wp:posOffset>
            </wp:positionH>
            <wp:positionV relativeFrom="paragraph">
              <wp:posOffset>3649345</wp:posOffset>
            </wp:positionV>
            <wp:extent cx="1923825" cy="929640"/>
            <wp:effectExtent l="0" t="0" r="635" b="3810"/>
            <wp:wrapNone/>
            <wp:docPr id="1120" name="table">
              <a:extLst xmlns:a="http://schemas.openxmlformats.org/drawingml/2006/main">
                <a:ext uri="{FF2B5EF4-FFF2-40B4-BE49-F238E27FC236}">
                  <a16:creationId xmlns:a16="http://schemas.microsoft.com/office/drawing/2014/main" id="{6C3E6D03-C866-4E80-9F89-5AF53C711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ble">
                      <a:extLst>
                        <a:ext uri="{FF2B5EF4-FFF2-40B4-BE49-F238E27FC236}">
                          <a16:creationId xmlns:a16="http://schemas.microsoft.com/office/drawing/2014/main" id="{6C3E6D03-C866-4E80-9F89-5AF53C7115F7}"/>
                        </a:ext>
                      </a:extLst>
                    </pic:cNvPr>
                    <pic:cNvPicPr>
                      <a:picLocks noChangeAspect="1"/>
                    </pic:cNvPicPr>
                  </pic:nvPicPr>
                  <pic:blipFill>
                    <a:blip r:embed="rId185"/>
                    <a:stretch>
                      <a:fillRect/>
                    </a:stretch>
                  </pic:blipFill>
                  <pic:spPr>
                    <a:xfrm>
                      <a:off x="0" y="0"/>
                      <a:ext cx="1923825" cy="929640"/>
                    </a:xfrm>
                    <a:prstGeom prst="rect">
                      <a:avLst/>
                    </a:prstGeom>
                  </pic:spPr>
                </pic:pic>
              </a:graphicData>
            </a:graphic>
          </wp:anchor>
        </w:drawing>
      </w:r>
      <w:r w:rsidRPr="000F0299">
        <w:rPr>
          <w:noProof/>
          <w:lang w:val="en-US" w:eastAsia="en-US" w:bidi="ar-SA"/>
        </w:rPr>
        <w:drawing>
          <wp:anchor distT="0" distB="0" distL="114300" distR="114300" simplePos="0" relativeHeight="251960832" behindDoc="0" locked="0" layoutInCell="1" allowOverlap="1" wp14:anchorId="2189D388" wp14:editId="2BFAE478">
            <wp:simplePos x="0" y="0"/>
            <wp:positionH relativeFrom="column">
              <wp:posOffset>7706360</wp:posOffset>
            </wp:positionH>
            <wp:positionV relativeFrom="paragraph">
              <wp:posOffset>3649345</wp:posOffset>
            </wp:positionV>
            <wp:extent cx="1659322" cy="594360"/>
            <wp:effectExtent l="0" t="0" r="0" b="0"/>
            <wp:wrapNone/>
            <wp:docPr id="1121" name="table">
              <a:extLst xmlns:a="http://schemas.openxmlformats.org/drawingml/2006/main">
                <a:ext uri="{FF2B5EF4-FFF2-40B4-BE49-F238E27FC236}">
                  <a16:creationId xmlns:a16="http://schemas.microsoft.com/office/drawing/2014/main" id="{60C78E4D-1FD7-4C50-B528-DAFF49F57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ble">
                      <a:extLst>
                        <a:ext uri="{FF2B5EF4-FFF2-40B4-BE49-F238E27FC236}">
                          <a16:creationId xmlns:a16="http://schemas.microsoft.com/office/drawing/2014/main" id="{60C78E4D-1FD7-4C50-B528-DAFF49F574DB}"/>
                        </a:ext>
                      </a:extLst>
                    </pic:cNvPr>
                    <pic:cNvPicPr>
                      <a:picLocks noChangeAspect="1"/>
                    </pic:cNvPicPr>
                  </pic:nvPicPr>
                  <pic:blipFill>
                    <a:blip r:embed="rId186"/>
                    <a:stretch>
                      <a:fillRect/>
                    </a:stretch>
                  </pic:blipFill>
                  <pic:spPr>
                    <a:xfrm>
                      <a:off x="0" y="0"/>
                      <a:ext cx="1659322" cy="594360"/>
                    </a:xfrm>
                    <a:prstGeom prst="rect">
                      <a:avLst/>
                    </a:prstGeom>
                  </pic:spPr>
                </pic:pic>
              </a:graphicData>
            </a:graphic>
          </wp:anchor>
        </w:drawing>
      </w:r>
      <w:r w:rsidRPr="000F0299">
        <w:rPr>
          <w:noProof/>
          <w:lang w:val="en-US" w:eastAsia="en-US" w:bidi="ar-SA"/>
        </w:rPr>
        <w:drawing>
          <wp:anchor distT="0" distB="0" distL="114300" distR="114300" simplePos="0" relativeHeight="251961856" behindDoc="0" locked="0" layoutInCell="1" allowOverlap="1" wp14:anchorId="62119FCE" wp14:editId="531B888A">
            <wp:simplePos x="0" y="0"/>
            <wp:positionH relativeFrom="column">
              <wp:posOffset>7706360</wp:posOffset>
            </wp:positionH>
            <wp:positionV relativeFrom="paragraph">
              <wp:posOffset>0</wp:posOffset>
            </wp:positionV>
            <wp:extent cx="1445286" cy="929640"/>
            <wp:effectExtent l="0" t="0" r="2540" b="3810"/>
            <wp:wrapNone/>
            <wp:docPr id="1122" name="table">
              <a:extLst xmlns:a="http://schemas.openxmlformats.org/drawingml/2006/main">
                <a:ext uri="{FF2B5EF4-FFF2-40B4-BE49-F238E27FC236}">
                  <a16:creationId xmlns:a16="http://schemas.microsoft.com/office/drawing/2014/main" id="{E90E3520-62C9-4894-8225-824EC4B60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ble">
                      <a:extLst>
                        <a:ext uri="{FF2B5EF4-FFF2-40B4-BE49-F238E27FC236}">
                          <a16:creationId xmlns:a16="http://schemas.microsoft.com/office/drawing/2014/main" id="{E90E3520-62C9-4894-8225-824EC4B60C10}"/>
                        </a:ext>
                      </a:extLst>
                    </pic:cNvPr>
                    <pic:cNvPicPr>
                      <a:picLocks noChangeAspect="1"/>
                    </pic:cNvPicPr>
                  </pic:nvPicPr>
                  <pic:blipFill>
                    <a:blip r:embed="rId187"/>
                    <a:stretch>
                      <a:fillRect/>
                    </a:stretch>
                  </pic:blipFill>
                  <pic:spPr>
                    <a:xfrm>
                      <a:off x="0" y="0"/>
                      <a:ext cx="1445286" cy="929640"/>
                    </a:xfrm>
                    <a:prstGeom prst="rect">
                      <a:avLst/>
                    </a:prstGeom>
                  </pic:spPr>
                </pic:pic>
              </a:graphicData>
            </a:graphic>
          </wp:anchor>
        </w:drawing>
      </w:r>
      <w:r w:rsidRPr="000F0299">
        <w:rPr>
          <w:noProof/>
          <w:lang w:val="en-US" w:eastAsia="en-US" w:bidi="ar-SA"/>
        </w:rPr>
        <mc:AlternateContent>
          <mc:Choice Requires="wps">
            <w:drawing>
              <wp:anchor distT="0" distB="0" distL="114300" distR="114300" simplePos="0" relativeHeight="251962880" behindDoc="0" locked="0" layoutInCell="1" allowOverlap="1" wp14:anchorId="1F70F565" wp14:editId="6251F1C5">
                <wp:simplePos x="0" y="0"/>
                <wp:positionH relativeFrom="column">
                  <wp:posOffset>8376920</wp:posOffset>
                </wp:positionH>
                <wp:positionV relativeFrom="paragraph">
                  <wp:posOffset>2941955</wp:posOffset>
                </wp:positionV>
                <wp:extent cx="319035" cy="319035"/>
                <wp:effectExtent l="19050" t="19050" r="24130" b="24130"/>
                <wp:wrapNone/>
                <wp:docPr id="63" name="Oval 59">
                  <a:extLst xmlns:a="http://schemas.openxmlformats.org/drawingml/2006/main">
                    <a:ext uri="{FF2B5EF4-FFF2-40B4-BE49-F238E27FC236}">
                      <a16:creationId xmlns:a16="http://schemas.microsoft.com/office/drawing/2014/main" id="{A7EC698C-DEB6-4243-AF91-BC780BA0B9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blackWhite">
                        <a:xfrm>
                          <a:off x="0" y="0"/>
                          <a:ext cx="319035" cy="319035"/>
                        </a:xfrm>
                        <a:prstGeom prst="ellipse">
                          <a:avLst/>
                        </a:prstGeom>
                        <a:solidFill>
                          <a:srgbClr val="FFFFFF"/>
                        </a:solidFill>
                        <a:ln w="28575">
                          <a:solidFill>
                            <a:srgbClr val="C00000"/>
                          </a:solidFill>
                          <a:round/>
                          <a:headEnd/>
                          <a:tailEnd/>
                        </a:ln>
                      </wps:spPr>
                      <wps:bodyPr wrap="none" lIns="61257" tIns="0" rIns="62511" bIns="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49DD365" id="Oval 59" o:spid="_x0000_s1026" style="position:absolute;margin-left:659.6pt;margin-top:231.65pt;width:25.1pt;height:25.1pt;z-index:251962880;visibility:visible;mso-wrap-style:none;mso-wrap-distance-left:9pt;mso-wrap-distance-top:0;mso-wrap-distance-right:9pt;mso-wrap-distance-bottom:0;mso-position-horizontal:absolute;mso-position-horizontal-relative:text;mso-position-vertical:absolute;mso-position-vertical-relative:text;v-text-anchor:middle" o:bwmode="highContras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" strokecolor="#c00000" strokeweight="2.25pt">
                <v:textbox inset="1.70158mm,0,1.73642mm,0"/>
              </v:oval>
            </w:pict>
          </mc:Fallback>
        </mc:AlternateContent>
      </w:r>
      <w:r w:rsidRPr="000F0299">
        <w:rPr>
          <w:noProof/>
          <w:lang w:val="en-US" w:eastAsia="en-US" w:bidi="ar-SA"/>
        </w:rPr>
        <mc:AlternateContent>
          <mc:Choice Requires="wps">
            <w:drawing>
              <wp:anchor distT="0" distB="0" distL="114300" distR="114300" simplePos="0" relativeHeight="251963904" behindDoc="0" locked="0" layoutInCell="1" allowOverlap="1" wp14:anchorId="77A1C5FA" wp14:editId="7CB4F206">
                <wp:simplePos x="0" y="0"/>
                <wp:positionH relativeFrom="column">
                  <wp:posOffset>829310</wp:posOffset>
                </wp:positionH>
                <wp:positionV relativeFrom="paragraph">
                  <wp:posOffset>2360295</wp:posOffset>
                </wp:positionV>
                <wp:extent cx="4405" cy="416957"/>
                <wp:effectExtent l="0" t="0" r="34290" b="21590"/>
                <wp:wrapNone/>
                <wp:docPr id="1109" name="Straight Connector 9"/>
                <wp:cNvGraphicFramePr/>
                <a:graphic xmlns:a="http://schemas.openxmlformats.org/drawingml/2006/main">
                  <a:graphicData uri="http://schemas.microsoft.com/office/word/2010/wordprocessingShape">
                    <wps:wsp>
                      <wps:cNvCnPr/>
                      <wps:spPr>
                        <a:xfrm flipH="1">
                          <a:off x="0" y="0"/>
                          <a:ext cx="4405" cy="416957"/>
                        </a:xfrm>
                        <a:prstGeom prst="line">
                          <a:avLst/>
                        </a:prstGeom>
                        <a:noFill/>
                        <a:ln w="9525" cap="flat" cmpd="sng" algn="ctr">
                          <a:solidFill>
                            <a:srgbClr val="000000"/>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C0E74D" id="Straight Connector 9" o:spid="_x0000_s1026" style="position:absolute;flip:x;z-index:251963904;visibility:visible;mso-wrap-style:square;mso-wrap-distance-left:9pt;mso-wrap-distance-top:0;mso-wrap-distance-right:9pt;mso-wrap-distance-bottom:0;mso-position-horizontal:absolute;mso-position-horizontal-relative:text;mso-position-vertical:absolute;mso-position-vertical-relative:text" from="65.3pt,185.85pt" to="65.65pt,2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"/>
            </w:pict>
          </mc:Fallback>
        </mc:AlternateContent>
      </w:r>
      <w:r w:rsidRPr="000F0299">
        <w:rPr>
          <w:noProof/>
          <w:lang w:val="en-US" w:eastAsia="en-US" w:bidi="ar-SA"/>
        </w:rPr>
        <mc:AlternateContent>
          <mc:Choice Requires="wps">
            <w:drawing>
              <wp:anchor distT="0" distB="0" distL="114300" distR="114300" simplePos="0" relativeHeight="251964928" behindDoc="0" locked="0" layoutInCell="1" allowOverlap="1" wp14:anchorId="5050EDA2" wp14:editId="44B5B9C1">
                <wp:simplePos x="0" y="0"/>
                <wp:positionH relativeFrom="column">
                  <wp:posOffset>2462530</wp:posOffset>
                </wp:positionH>
                <wp:positionV relativeFrom="paragraph">
                  <wp:posOffset>1612265</wp:posOffset>
                </wp:positionV>
                <wp:extent cx="1" cy="429063"/>
                <wp:effectExtent l="0" t="0" r="38100" b="9525"/>
                <wp:wrapNone/>
                <wp:docPr id="1110" name="Straight Connector 11"/>
                <wp:cNvGraphicFramePr/>
                <a:graphic xmlns:a="http://schemas.openxmlformats.org/drawingml/2006/main">
                  <a:graphicData uri="http://schemas.microsoft.com/office/word/2010/wordprocessingShape">
                    <wps:wsp>
                      <wps:cNvCnPr/>
                      <wps:spPr>
                        <a:xfrm flipH="1" flipV="1">
                          <a:off x="0" y="0"/>
                          <a:ext cx="1" cy="429063"/>
                        </a:xfrm>
                        <a:prstGeom prst="line">
                          <a:avLst/>
                        </a:prstGeom>
                        <a:noFill/>
                        <a:ln w="9525" cap="flat" cmpd="sng" algn="ctr">
                          <a:solidFill>
                            <a:srgbClr val="000000"/>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DB63B3" id="Straight Connector 11" o:spid="_x0000_s1026" style="position:absolute;flip:x y;z-index:251964928;visibility:visible;mso-wrap-style:square;mso-wrap-distance-left:9pt;mso-wrap-distance-top:0;mso-wrap-distance-right:9pt;mso-wrap-distance-bottom:0;mso-position-horizontal:absolute;mso-position-horizontal-relative:text;mso-position-vertical:absolute;mso-position-vertical-relative:text" from="193.9pt,126.95pt" to="193.9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"/>
            </w:pict>
          </mc:Fallback>
        </mc:AlternateContent>
      </w:r>
      <w:r w:rsidRPr="000F0299">
        <w:rPr>
          <w:noProof/>
          <w:lang w:val="en-US" w:eastAsia="en-US" w:bidi="ar-SA"/>
        </w:rPr>
        <mc:AlternateContent>
          <mc:Choice Requires="wps">
            <w:drawing>
              <wp:anchor distT="0" distB="0" distL="114300" distR="114300" simplePos="0" relativeHeight="251965952" behindDoc="0" locked="0" layoutInCell="1" allowOverlap="1" wp14:anchorId="1F1A481E" wp14:editId="0AA3F869">
                <wp:simplePos x="0" y="0"/>
                <wp:positionH relativeFrom="column">
                  <wp:posOffset>4104640</wp:posOffset>
                </wp:positionH>
                <wp:positionV relativeFrom="paragraph">
                  <wp:posOffset>3279775</wp:posOffset>
                </wp:positionV>
                <wp:extent cx="1" cy="321547"/>
                <wp:effectExtent l="0" t="0" r="38100" b="21590"/>
                <wp:wrapNone/>
                <wp:docPr id="1111" name="Straight Connector 13"/>
                <wp:cNvGraphicFramePr/>
                <a:graphic xmlns:a="http://schemas.openxmlformats.org/drawingml/2006/main">
                  <a:graphicData uri="http://schemas.microsoft.com/office/word/2010/wordprocessingShape">
                    <wps:wsp>
                      <wps:cNvCnPr/>
                      <wps:spPr>
                        <a:xfrm flipH="1">
                          <a:off x="0" y="0"/>
                          <a:ext cx="1" cy="321547"/>
                        </a:xfrm>
                        <a:prstGeom prst="line">
                          <a:avLst/>
                        </a:prstGeom>
                        <a:noFill/>
                        <a:ln w="9525" cap="flat" cmpd="sng" algn="ctr">
                          <a:solidFill>
                            <a:srgbClr val="000000"/>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EE0477" id="Straight Connector 13" o:spid="_x0000_s1026" style="position:absolute;flip:x;z-index:251965952;visibility:visible;mso-wrap-style:square;mso-wrap-distance-left:9pt;mso-wrap-distance-top:0;mso-wrap-distance-right:9pt;mso-wrap-distance-bottom:0;mso-position-horizontal:absolute;mso-position-horizontal-relative:text;mso-position-vertical:absolute;mso-position-vertical-relative:text" from="323.2pt,258.25pt" to="323.2pt,2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"/>
            </w:pict>
          </mc:Fallback>
        </mc:AlternateContent>
      </w:r>
      <w:r w:rsidRPr="000F0299">
        <w:rPr>
          <w:noProof/>
          <w:lang w:val="en-US" w:eastAsia="en-US" w:bidi="ar-SA"/>
        </w:rPr>
        <mc:AlternateContent>
          <mc:Choice Requires="wps">
            <w:drawing>
              <wp:anchor distT="0" distB="0" distL="114300" distR="114300" simplePos="0" relativeHeight="251966976" behindDoc="0" locked="0" layoutInCell="1" allowOverlap="1" wp14:anchorId="0AB5EDD9" wp14:editId="4F7D78B5">
                <wp:simplePos x="0" y="0"/>
                <wp:positionH relativeFrom="column">
                  <wp:posOffset>4098290</wp:posOffset>
                </wp:positionH>
                <wp:positionV relativeFrom="paragraph">
                  <wp:posOffset>879475</wp:posOffset>
                </wp:positionV>
                <wp:extent cx="5824" cy="241566"/>
                <wp:effectExtent l="0" t="0" r="32385" b="25400"/>
                <wp:wrapNone/>
                <wp:docPr id="111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4" cy="241566"/>
                        </a:xfrm>
                        <a:prstGeom prst="line">
                          <a:avLst/>
                        </a:prstGeom>
                        <a:noFill/>
                        <a:ln w="9525" cap="flat" cmpd="sng" algn="ctr">
                          <a:solidFill>
                            <a:srgbClr val="000000"/>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47D6D7" id="Straight Connector 15" o:spid="_x0000_s1026" style="position:absolute;flip:y;z-index:251966976;visibility:visible;mso-wrap-style:square;mso-wrap-distance-left:9pt;mso-wrap-distance-top:0;mso-wrap-distance-right:9pt;mso-wrap-distance-bottom:0;mso-position-horizontal:absolute;mso-position-horizontal-relative:text;mso-position-vertical:absolute;mso-position-vertical-relative:text" from="322.7pt,69.25pt" to="323.15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">
                <o:lock v:ext="edit" shapetype="f"/>
              </v:line>
            </w:pict>
          </mc:Fallback>
        </mc:AlternateContent>
      </w:r>
      <w:r w:rsidRPr="000F0299">
        <w:rPr>
          <w:noProof/>
          <w:lang w:val="en-US" w:eastAsia="en-US" w:bidi="ar-SA"/>
        </w:rPr>
        <mc:AlternateContent>
          <mc:Choice Requires="wps">
            <w:drawing>
              <wp:anchor distT="0" distB="0" distL="114300" distR="114300" simplePos="0" relativeHeight="251968000" behindDoc="0" locked="0" layoutInCell="1" allowOverlap="1" wp14:anchorId="3F5AD634" wp14:editId="1B8CAA2C">
                <wp:simplePos x="0" y="0"/>
                <wp:positionH relativeFrom="column">
                  <wp:posOffset>8428990</wp:posOffset>
                </wp:positionH>
                <wp:positionV relativeFrom="paragraph">
                  <wp:posOffset>929640</wp:posOffset>
                </wp:positionV>
                <wp:extent cx="1" cy="191995"/>
                <wp:effectExtent l="0" t="0" r="38100" b="17780"/>
                <wp:wrapNone/>
                <wp:docPr id="111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 cy="191995"/>
                        </a:xfrm>
                        <a:prstGeom prst="line">
                          <a:avLst/>
                        </a:prstGeom>
                        <a:noFill/>
                        <a:ln w="9525" cap="flat" cmpd="sng" algn="ctr">
                          <a:solidFill>
                            <a:srgbClr val="000000"/>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F12B9D" id="Straight Connector 17" o:spid="_x0000_s1026" style="position:absolute;flip:x y;z-index:251968000;visibility:visible;mso-wrap-style:square;mso-wrap-distance-left:9pt;mso-wrap-distance-top:0;mso-wrap-distance-right:9pt;mso-wrap-distance-bottom:0;mso-position-horizontal:absolute;mso-position-horizontal-relative:text;mso-position-vertical:absolute;mso-position-vertical-relative:text" from="663.7pt,73.2pt" to="663.7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">
                <o:lock v:ext="edit" shapetype="f"/>
              </v:line>
            </w:pict>
          </mc:Fallback>
        </mc:AlternateContent>
      </w:r>
      <w:r w:rsidRPr="000F0299">
        <w:rPr>
          <w:noProof/>
          <w:lang w:val="en-US" w:eastAsia="en-US" w:bidi="ar-SA"/>
        </w:rPr>
        <mc:AlternateContent>
          <mc:Choice Requires="wps">
            <w:drawing>
              <wp:anchor distT="0" distB="0" distL="114300" distR="114300" simplePos="0" relativeHeight="251969024" behindDoc="0" locked="0" layoutInCell="1" allowOverlap="1" wp14:anchorId="7AE31678" wp14:editId="7E691B78">
                <wp:simplePos x="0" y="0"/>
                <wp:positionH relativeFrom="column">
                  <wp:posOffset>6333490</wp:posOffset>
                </wp:positionH>
                <wp:positionV relativeFrom="paragraph">
                  <wp:posOffset>3279775</wp:posOffset>
                </wp:positionV>
                <wp:extent cx="1" cy="369167"/>
                <wp:effectExtent l="0" t="0" r="38100" b="31115"/>
                <wp:wrapNone/>
                <wp:docPr id="1114" name="Straight Connector 19"/>
                <wp:cNvGraphicFramePr/>
                <a:graphic xmlns:a="http://schemas.openxmlformats.org/drawingml/2006/main">
                  <a:graphicData uri="http://schemas.microsoft.com/office/word/2010/wordprocessingShape">
                    <wps:wsp>
                      <wps:cNvCnPr/>
                      <wps:spPr>
                        <a:xfrm flipH="1">
                          <a:off x="0" y="0"/>
                          <a:ext cx="1" cy="369167"/>
                        </a:xfrm>
                        <a:prstGeom prst="line">
                          <a:avLst/>
                        </a:prstGeom>
                        <a:noFill/>
                        <a:ln w="9525" cap="flat" cmpd="sng" algn="ctr">
                          <a:solidFill>
                            <a:srgbClr val="000000"/>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82F4D3" id="Straight Connector 19" o:spid="_x0000_s1026" style="position:absolute;flip:x;z-index:251969024;visibility:visible;mso-wrap-style:square;mso-wrap-distance-left:9pt;mso-wrap-distance-top:0;mso-wrap-distance-right:9pt;mso-wrap-distance-bottom:0;mso-position-horizontal:absolute;mso-position-horizontal-relative:text;mso-position-vertical:absolute;mso-position-vertical-relative:text" from="498.7pt,258.25pt" to="498.7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"/>
            </w:pict>
          </mc:Fallback>
        </mc:AlternateContent>
      </w:r>
      <w:r w:rsidRPr="000F0299">
        <w:rPr>
          <w:noProof/>
          <w:lang w:val="en-US" w:eastAsia="en-US" w:bidi="ar-SA"/>
        </w:rPr>
        <mc:AlternateContent>
          <mc:Choice Requires="wps">
            <w:drawing>
              <wp:anchor distT="0" distB="0" distL="114300" distR="114300" simplePos="0" relativeHeight="251970048" behindDoc="0" locked="0" layoutInCell="1" allowOverlap="1" wp14:anchorId="1DF384F1" wp14:editId="214FC15B">
                <wp:simplePos x="0" y="0"/>
                <wp:positionH relativeFrom="column">
                  <wp:posOffset>8536305</wp:posOffset>
                </wp:positionH>
                <wp:positionV relativeFrom="paragraph">
                  <wp:posOffset>3241675</wp:posOffset>
                </wp:positionV>
                <wp:extent cx="1" cy="407182"/>
                <wp:effectExtent l="0" t="0" r="38100" b="31115"/>
                <wp:wrapNone/>
                <wp:docPr id="1115" name="Straight Connector 63"/>
                <wp:cNvGraphicFramePr/>
                <a:graphic xmlns:a="http://schemas.openxmlformats.org/drawingml/2006/main">
                  <a:graphicData uri="http://schemas.microsoft.com/office/word/2010/wordprocessingShape">
                    <wps:wsp>
                      <wps:cNvCnPr/>
                      <wps:spPr>
                        <a:xfrm flipH="1">
                          <a:off x="0" y="0"/>
                          <a:ext cx="1" cy="407182"/>
                        </a:xfrm>
                        <a:prstGeom prst="line">
                          <a:avLst/>
                        </a:prstGeom>
                        <a:noFill/>
                        <a:ln w="9525" cap="flat" cmpd="sng" algn="ctr">
                          <a:solidFill>
                            <a:srgbClr val="000000"/>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0BAF9A" id="Straight Connector 63" o:spid="_x0000_s1026" style="position:absolute;flip:x;z-index:251970048;visibility:visible;mso-wrap-style:square;mso-wrap-distance-left:9pt;mso-wrap-distance-top:0;mso-wrap-distance-right:9pt;mso-wrap-distance-bottom:0;mso-position-horizontal:absolute;mso-position-horizontal-relative:text;mso-position-vertical:absolute;mso-position-vertical-relative:text" from="672.15pt,255.25pt" to="672.15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"/>
            </w:pict>
          </mc:Fallback>
        </mc:AlternateContent>
      </w:r>
    </w:p>
    <w:p w14:paraId="6446964C" w14:textId="0C6E0D5A" w:rsidR="00314E9B" w:rsidRPr="000F0299" w:rsidRDefault="00314E9B" w:rsidP="00244E7C"/>
    <w:p w14:paraId="7502E4E6" w14:textId="0B143608" w:rsidR="00314E9B" w:rsidRPr="000F0299" w:rsidRDefault="00314E9B" w:rsidP="00244E7C"/>
    <w:p w14:paraId="216988BB" w14:textId="77777777" w:rsidR="00314E9B" w:rsidRPr="000F0299" w:rsidRDefault="00314E9B" w:rsidP="00244E7C"/>
    <w:p w14:paraId="6B2A4001" w14:textId="2937BCEB" w:rsidR="004917EA" w:rsidRPr="000F0299" w:rsidRDefault="004917EA" w:rsidP="00244E7C"/>
    <w:p w14:paraId="652C19D7" w14:textId="1676263C" w:rsidR="004917EA" w:rsidRPr="000F0299" w:rsidRDefault="00FB0E7C" w:rsidP="00244E7C">
      <w:r w:rsidRPr="000F0299">
        <w:rPr>
          <w:noProof/>
          <w:lang w:val="en-US" w:eastAsia="en-US" w:bidi="ar-SA"/>
        </w:rPr>
        <mc:AlternateContent>
          <mc:Choice Requires="wps">
            <w:drawing>
              <wp:anchor distT="0" distB="0" distL="114300" distR="114300" simplePos="0" relativeHeight="252020224" behindDoc="0" locked="0" layoutInCell="1" allowOverlap="1" wp14:anchorId="6D324792" wp14:editId="0BB99628">
                <wp:simplePos x="0" y="0"/>
                <wp:positionH relativeFrom="column">
                  <wp:posOffset>2980055</wp:posOffset>
                </wp:positionH>
                <wp:positionV relativeFrom="paragraph">
                  <wp:posOffset>3822700</wp:posOffset>
                </wp:positionV>
                <wp:extent cx="3606800" cy="635"/>
                <wp:effectExtent l="0" t="0" r="0" b="8255"/>
                <wp:wrapNone/>
                <wp:docPr id="169" name="Text Box 169"/>
                <wp:cNvGraphicFramePr/>
                <a:graphic xmlns:a="http://schemas.openxmlformats.org/drawingml/2006/main">
                  <a:graphicData uri="http://schemas.microsoft.com/office/word/2010/wordprocessingShape">
                    <wps:wsp>
                      <wps:cNvSpPr txBox="1"/>
                      <wps:spPr>
                        <a:xfrm>
                          <a:off x="0" y="0"/>
                          <a:ext cx="3606800" cy="635"/>
                        </a:xfrm>
                        <a:prstGeom prst="rect">
                          <a:avLst/>
                        </a:prstGeom>
                        <a:solidFill>
                          <a:prstClr val="white"/>
                        </a:solidFill>
                        <a:ln>
                          <a:noFill/>
                        </a:ln>
                      </wps:spPr>
                      <wps:txbx>
                        <w:txbxContent>
                          <w:p w14:paraId="222B1C66" w14:textId="63AEBB4B" w:rsidR="00876FFE" w:rsidRPr="00952BF5" w:rsidRDefault="00876FFE" w:rsidP="00FB0E7C">
                            <w:pPr>
                              <w:pStyle w:val="Caption"/>
                              <w:rPr>
                                <w:i w:val="0"/>
                                <w:iCs w:val="0"/>
                                <w:noProof/>
                                <w:sz w:val="24"/>
                                <w:szCs w:val="24"/>
                                <w:lang w:val="sr-Cyrl-RS" w:eastAsia="en-GB"/>
                              </w:rPr>
                            </w:pPr>
                            <w:bookmarkStart w:id="308" w:name="_Toc57564503"/>
                            <w:r w:rsidRPr="00952BF5">
                              <w:rPr>
                                <w:i w:val="0"/>
                                <w:iCs w:val="0"/>
                                <w:lang w:val="sr-Cyrl-RS"/>
                              </w:rPr>
                              <w:t xml:space="preserve">Слика </w:t>
                            </w:r>
                            <w:r w:rsidRPr="00952BF5">
                              <w:rPr>
                                <w:i w:val="0"/>
                                <w:iCs w:val="0"/>
                                <w:lang w:val="sr-Cyrl-RS"/>
                              </w:rPr>
                              <w:fldChar w:fldCharType="begin"/>
                            </w:r>
                            <w:r w:rsidRPr="00952BF5">
                              <w:rPr>
                                <w:i w:val="0"/>
                                <w:iCs w:val="0"/>
                                <w:lang w:val="sr-Cyrl-RS"/>
                              </w:rPr>
                              <w:instrText xml:space="preserve"> SEQ Слика \* ARABIC </w:instrText>
                            </w:r>
                            <w:r w:rsidRPr="00952BF5">
                              <w:rPr>
                                <w:i w:val="0"/>
                                <w:iCs w:val="0"/>
                                <w:lang w:val="sr-Cyrl-RS"/>
                              </w:rPr>
                              <w:fldChar w:fldCharType="separate"/>
                            </w:r>
                            <w:r w:rsidRPr="00952BF5">
                              <w:rPr>
                                <w:i w:val="0"/>
                                <w:iCs w:val="0"/>
                                <w:noProof/>
                                <w:lang w:val="sr-Cyrl-RS"/>
                              </w:rPr>
                              <w:t>5</w:t>
                            </w:r>
                            <w:r w:rsidRPr="00952BF5">
                              <w:rPr>
                                <w:i w:val="0"/>
                                <w:iCs w:val="0"/>
                                <w:lang w:val="sr-Cyrl-RS"/>
                              </w:rPr>
                              <w:fldChar w:fldCharType="end"/>
                            </w:r>
                            <w:r w:rsidRPr="00952BF5">
                              <w:rPr>
                                <w:i w:val="0"/>
                                <w:iCs w:val="0"/>
                                <w:lang w:val="sr-Cyrl-RS"/>
                              </w:rPr>
                              <w:t xml:space="preserve"> Процес извештавања о спровођењу Стратегије РЈУ</w:t>
                            </w:r>
                            <w:bookmarkEnd w:id="3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324792" id="Text Box 169" o:spid="_x0000_s1483" type="#_x0000_t202" style="position:absolute;left:0;text-align:left;margin-left:234.65pt;margin-top:301pt;width:284pt;height:.05pt;z-index:25202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" stroked="f">
                <v:textbox style="mso-fit-shape-to-text:t" inset="0,0,0,0">
                  <w:txbxContent>
                    <w:p w14:paraId="222B1C66" w14:textId="63AEBB4B" w:rsidR="00876FFE" w:rsidRPr="00952BF5" w:rsidRDefault="00876FFE" w:rsidP="00FB0E7C">
                      <w:pPr>
                        <w:pStyle w:val="Caption"/>
                        <w:rPr>
                          <w:i w:val="0"/>
                          <w:iCs w:val="0"/>
                          <w:noProof/>
                          <w:sz w:val="24"/>
                          <w:szCs w:val="24"/>
                          <w:lang w:val="sr-Cyrl-RS" w:eastAsia="en-GB"/>
                        </w:rPr>
                      </w:pPr>
                      <w:bookmarkStart w:id="333" w:name="_Toc57564503"/>
                      <w:r w:rsidRPr="00952BF5">
                        <w:rPr>
                          <w:i w:val="0"/>
                          <w:iCs w:val="0"/>
                          <w:lang w:val="sr-Cyrl-RS"/>
                        </w:rPr>
                        <w:t xml:space="preserve">Слика </w:t>
                      </w:r>
                      <w:r w:rsidRPr="00952BF5">
                        <w:rPr>
                          <w:i w:val="0"/>
                          <w:iCs w:val="0"/>
                          <w:lang w:val="sr-Cyrl-RS"/>
                        </w:rPr>
                        <w:fldChar w:fldCharType="begin"/>
                      </w:r>
                      <w:r w:rsidRPr="00952BF5">
                        <w:rPr>
                          <w:i w:val="0"/>
                          <w:iCs w:val="0"/>
                          <w:lang w:val="sr-Cyrl-RS"/>
                        </w:rPr>
                        <w:instrText xml:space="preserve"> SEQ Слика \* ARABIC </w:instrText>
                      </w:r>
                      <w:r w:rsidRPr="00952BF5">
                        <w:rPr>
                          <w:i w:val="0"/>
                          <w:iCs w:val="0"/>
                          <w:lang w:val="sr-Cyrl-RS"/>
                        </w:rPr>
                        <w:fldChar w:fldCharType="separate"/>
                      </w:r>
                      <w:r w:rsidRPr="00952BF5">
                        <w:rPr>
                          <w:i w:val="0"/>
                          <w:iCs w:val="0"/>
                          <w:noProof/>
                          <w:lang w:val="sr-Cyrl-RS"/>
                        </w:rPr>
                        <w:t>5</w:t>
                      </w:r>
                      <w:r w:rsidRPr="00952BF5">
                        <w:rPr>
                          <w:i w:val="0"/>
                          <w:iCs w:val="0"/>
                          <w:lang w:val="sr-Cyrl-RS"/>
                        </w:rPr>
                        <w:fldChar w:fldCharType="end"/>
                      </w:r>
                      <w:r w:rsidRPr="00952BF5">
                        <w:rPr>
                          <w:i w:val="0"/>
                          <w:iCs w:val="0"/>
                          <w:lang w:val="sr-Cyrl-RS"/>
                        </w:rPr>
                        <w:t xml:space="preserve"> Процес извештавања о спровођењу Стратегије РЈУ</w:t>
                      </w:r>
                      <w:bookmarkEnd w:id="333"/>
                    </w:p>
                  </w:txbxContent>
                </v:textbox>
              </v:shape>
            </w:pict>
          </mc:Fallback>
        </mc:AlternateContent>
      </w:r>
    </w:p>
    <w:p w14:paraId="2F79B60D" w14:textId="77777777" w:rsidR="004917EA" w:rsidRPr="000F0299" w:rsidRDefault="004917EA" w:rsidP="00244E7C">
      <w:pPr>
        <w:sectPr w:rsidR="004917EA" w:rsidRPr="000F0299" w:rsidSect="0043200F">
          <w:headerReference w:type="default" r:id="rId188"/>
          <w:footerReference w:type="default" r:id="rId189"/>
          <w:pgSz w:w="16838" w:h="11906" w:orient="landscape"/>
          <w:pgMar w:top="1418" w:right="1418" w:bottom="1418" w:left="1134" w:header="720" w:footer="720" w:gutter="0"/>
          <w:cols w:space="720"/>
          <w:docGrid w:linePitch="360"/>
        </w:sectPr>
      </w:pPr>
    </w:p>
    <w:p w14:paraId="150B2DCA" w14:textId="77777777" w:rsidR="004917EA" w:rsidRPr="000F0299" w:rsidRDefault="004917EA" w:rsidP="004917EA">
      <w:pPr>
        <w:ind w:firstLine="708"/>
        <w:rPr>
          <w:rFonts w:eastAsia="Times New Roman"/>
        </w:rPr>
      </w:pPr>
      <w:r w:rsidRPr="000F0299">
        <w:rPr>
          <w:rFonts w:eastAsia="Times New Roman"/>
        </w:rPr>
        <w:t xml:space="preserve">Одговорне институције дефинисане као носиоци активности у АП Стратегије РЈУ у континуитету прате статус спровођења активности. Уколико у процесу праћења спровођења Стратегије РЈУ дође до одступања и/или одустајања од планираних активности, појаве ризика или се уоче негативне последице по спровођење Стратегије РЈУ, носиоци активности о томе обавештавају МПГ координаторе за дату тематску област СРЈУ или МДУЛС, како би се предузели одговарајући кораци за ублажавање уочених ризика. </w:t>
      </w:r>
    </w:p>
    <w:p w14:paraId="75A26223" w14:textId="3F71200C" w:rsidR="001110FB" w:rsidRPr="000F0299" w:rsidRDefault="00462789" w:rsidP="000631D1">
      <w:pPr>
        <w:ind w:firstLine="708"/>
      </w:pPr>
      <w:r w:rsidRPr="000F0299">
        <w:rPr>
          <w:noProof/>
          <w:lang w:val="en-US" w:eastAsia="en-US" w:bidi="ar-SA"/>
        </w:rPr>
        <mc:AlternateContent>
          <mc:Choice Requires="wpg">
            <w:drawing>
              <wp:anchor distT="0" distB="0" distL="114300" distR="114300" simplePos="0" relativeHeight="251856384" behindDoc="0" locked="0" layoutInCell="1" allowOverlap="1" wp14:anchorId="561D8A87" wp14:editId="4D1D17C5">
                <wp:simplePos x="0" y="0"/>
                <wp:positionH relativeFrom="margin">
                  <wp:posOffset>337820</wp:posOffset>
                </wp:positionH>
                <wp:positionV relativeFrom="paragraph">
                  <wp:posOffset>577850</wp:posOffset>
                </wp:positionV>
                <wp:extent cx="5091430" cy="2799715"/>
                <wp:effectExtent l="19050" t="19050" r="33020" b="19685"/>
                <wp:wrapTopAndBottom/>
                <wp:docPr id="897" name="Group 13"/>
                <wp:cNvGraphicFramePr/>
                <a:graphic xmlns:a="http://schemas.openxmlformats.org/drawingml/2006/main">
                  <a:graphicData uri="http://schemas.microsoft.com/office/word/2010/wordprocessingGroup">
                    <wpg:wgp>
                      <wpg:cNvGrpSpPr/>
                      <wpg:grpSpPr>
                        <a:xfrm>
                          <a:off x="0" y="0"/>
                          <a:ext cx="5091430" cy="2799715"/>
                          <a:chOff x="0" y="0"/>
                          <a:chExt cx="5091960" cy="2800349"/>
                        </a:xfrm>
                      </wpg:grpSpPr>
                      <wps:wsp>
                        <wps:cNvPr id="898" name="Isosceles Triangle 898"/>
                        <wps:cNvSpPr/>
                        <wps:spPr>
                          <a:xfrm>
                            <a:off x="0" y="0"/>
                            <a:ext cx="5091960" cy="2800349"/>
                          </a:xfrm>
                          <a:prstGeom prst="triangle">
                            <a:avLst/>
                          </a:prstGeom>
                          <a:solidFill>
                            <a:srgbClr val="002060"/>
                          </a:solidFill>
                          <a:ln>
                            <a:solidFill>
                              <a:schemeClr val="tx1"/>
                            </a:solidFill>
                          </a:ln>
                        </wps:spPr>
                        <wps:style>
                          <a:lnRef idx="2">
                            <a:schemeClr val="accent3">
                              <a:shade val="80000"/>
                              <a:hueOff val="0"/>
                              <a:satOff val="0"/>
                              <a:lumOff val="0"/>
                              <a:alphaOff val="0"/>
                            </a:schemeClr>
                          </a:lnRef>
                          <a:fillRef idx="1">
                            <a:scrgbClr r="0" g="0" b="0"/>
                          </a:fillRef>
                          <a:effectRef idx="0">
                            <a:schemeClr val="lt1">
                              <a:hueOff val="0"/>
                              <a:satOff val="0"/>
                              <a:lumOff val="0"/>
                              <a:alphaOff val="0"/>
                            </a:schemeClr>
                          </a:effectRef>
                          <a:fontRef idx="minor">
                            <a:schemeClr val="dk1">
                              <a:hueOff val="0"/>
                              <a:satOff val="0"/>
                              <a:lumOff val="0"/>
                              <a:alphaOff val="0"/>
                            </a:schemeClr>
                          </a:fontRef>
                        </wps:style>
                        <wps:bodyPr/>
                      </wps:wsp>
                      <wps:wsp>
                        <wps:cNvPr id="899" name="Freeform: Shape 899"/>
                        <wps:cNvSpPr/>
                        <wps:spPr>
                          <a:xfrm>
                            <a:off x="401353" y="183557"/>
                            <a:ext cx="4220124" cy="326536"/>
                          </a:xfrm>
                          <a:custGeom>
                            <a:avLst/>
                            <a:gdLst>
                              <a:gd name="connsiteX0" fmla="*/ 0 w 4220124"/>
                              <a:gd name="connsiteY0" fmla="*/ 54424 h 326536"/>
                              <a:gd name="connsiteX1" fmla="*/ 54424 w 4220124"/>
                              <a:gd name="connsiteY1" fmla="*/ 0 h 326536"/>
                              <a:gd name="connsiteX2" fmla="*/ 4165700 w 4220124"/>
                              <a:gd name="connsiteY2" fmla="*/ 0 h 326536"/>
                              <a:gd name="connsiteX3" fmla="*/ 4220124 w 4220124"/>
                              <a:gd name="connsiteY3" fmla="*/ 54424 h 326536"/>
                              <a:gd name="connsiteX4" fmla="*/ 4220124 w 4220124"/>
                              <a:gd name="connsiteY4" fmla="*/ 272112 h 326536"/>
                              <a:gd name="connsiteX5" fmla="*/ 4165700 w 4220124"/>
                              <a:gd name="connsiteY5" fmla="*/ 326536 h 326536"/>
                              <a:gd name="connsiteX6" fmla="*/ 54424 w 4220124"/>
                              <a:gd name="connsiteY6" fmla="*/ 326536 h 326536"/>
                              <a:gd name="connsiteX7" fmla="*/ 0 w 4220124"/>
                              <a:gd name="connsiteY7" fmla="*/ 272112 h 326536"/>
                              <a:gd name="connsiteX8" fmla="*/ 0 w 4220124"/>
                              <a:gd name="connsiteY8" fmla="*/ 54424 h 326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20124" h="326536">
                                <a:moveTo>
                                  <a:pt x="0" y="54424"/>
                                </a:moveTo>
                                <a:cubicBezTo>
                                  <a:pt x="0" y="24366"/>
                                  <a:pt x="24366" y="0"/>
                                  <a:pt x="54424" y="0"/>
                                </a:cubicBezTo>
                                <a:lnTo>
                                  <a:pt x="4165700" y="0"/>
                                </a:lnTo>
                                <a:cubicBezTo>
                                  <a:pt x="4195758" y="0"/>
                                  <a:pt x="4220124" y="24366"/>
                                  <a:pt x="4220124" y="54424"/>
                                </a:cubicBezTo>
                                <a:lnTo>
                                  <a:pt x="4220124" y="272112"/>
                                </a:lnTo>
                                <a:cubicBezTo>
                                  <a:pt x="4220124" y="302170"/>
                                  <a:pt x="4195758" y="326536"/>
                                  <a:pt x="4165700" y="326536"/>
                                </a:cubicBezTo>
                                <a:lnTo>
                                  <a:pt x="54424" y="326536"/>
                                </a:lnTo>
                                <a:cubicBezTo>
                                  <a:pt x="24366" y="326536"/>
                                  <a:pt x="0" y="302170"/>
                                  <a:pt x="0" y="272112"/>
                                </a:cubicBezTo>
                                <a:lnTo>
                                  <a:pt x="0" y="54424"/>
                                </a:lnTo>
                                <a:close/>
                              </a:path>
                            </a:pathLst>
                          </a:custGeom>
                        </wps:spPr>
                        <wps:style>
                          <a:lnRef idx="2">
                            <a:schemeClr val="accent3">
                              <a:hueOff val="0"/>
                              <a:satOff val="0"/>
                              <a:lumOff val="0"/>
                              <a:alphaOff val="0"/>
                            </a:schemeClr>
                          </a:lnRef>
                          <a:fillRef idx="1">
                            <a:schemeClr val="accent3">
                              <a:alpha val="90000"/>
                              <a:tint val="40000"/>
                              <a:hueOff val="0"/>
                              <a:satOff val="0"/>
                              <a:lumOff val="0"/>
                              <a:alphaOff val="0"/>
                            </a:schemeClr>
                          </a:fillRef>
                          <a:effectRef idx="0">
                            <a:schemeClr val="accent3">
                              <a:alpha val="90000"/>
                              <a:tint val="40000"/>
                              <a:hueOff val="0"/>
                              <a:satOff val="0"/>
                              <a:lumOff val="0"/>
                              <a:alphaOff val="0"/>
                            </a:schemeClr>
                          </a:effectRef>
                          <a:fontRef idx="minor">
                            <a:schemeClr val="dk1">
                              <a:hueOff val="0"/>
                              <a:satOff val="0"/>
                              <a:lumOff val="0"/>
                              <a:alphaOff val="0"/>
                            </a:schemeClr>
                          </a:fontRef>
                        </wps:style>
                        <wps:txbx>
                          <w:txbxContent>
                            <w:p w14:paraId="71F387EC" w14:textId="66AA6C00" w:rsidR="00876FFE" w:rsidRDefault="00876FFE" w:rsidP="00DF3441">
                              <w:pPr>
                                <w:spacing w:before="0" w:after="101" w:line="216" w:lineRule="auto"/>
                                <w:jc w:val="center"/>
                              </w:pPr>
                              <w:r>
                                <w:rPr>
                                  <w:color w:val="000000" w:themeColor="dark1"/>
                                  <w:kern w:val="24"/>
                                  <w14:textFill>
                                    <w14:solidFill>
                                      <w14:schemeClr w14:val="dk1">
                                        <w14:satOff w14:val="0"/>
                                        <w14:lumOff w14:val="0"/>
                                      </w14:schemeClr>
                                    </w14:solidFill>
                                  </w14:textFill>
                                </w:rPr>
                                <w:t>Политички ниво координације и одлучивања</w:t>
                              </w:r>
                            </w:p>
                          </w:txbxContent>
                        </wps:txbx>
                        <wps:bodyPr spcFirstLastPara="0" vert="horz" wrap="square" lIns="54040" tIns="54040" rIns="54040" bIns="54040" numCol="1" spcCol="1270" anchor="ctr" anchorCtr="0">
                          <a:noAutofit/>
                        </wps:bodyPr>
                      </wps:wsp>
                      <wps:wsp>
                        <wps:cNvPr id="900" name="Freeform: Shape 900"/>
                        <wps:cNvSpPr/>
                        <wps:spPr>
                          <a:xfrm>
                            <a:off x="409544" y="615807"/>
                            <a:ext cx="4193403" cy="353947"/>
                          </a:xfrm>
                          <a:custGeom>
                            <a:avLst/>
                            <a:gdLst>
                              <a:gd name="connsiteX0" fmla="*/ 0 w 4193403"/>
                              <a:gd name="connsiteY0" fmla="*/ 58992 h 353947"/>
                              <a:gd name="connsiteX1" fmla="*/ 58992 w 4193403"/>
                              <a:gd name="connsiteY1" fmla="*/ 0 h 353947"/>
                              <a:gd name="connsiteX2" fmla="*/ 4134411 w 4193403"/>
                              <a:gd name="connsiteY2" fmla="*/ 0 h 353947"/>
                              <a:gd name="connsiteX3" fmla="*/ 4193403 w 4193403"/>
                              <a:gd name="connsiteY3" fmla="*/ 58992 h 353947"/>
                              <a:gd name="connsiteX4" fmla="*/ 4193403 w 4193403"/>
                              <a:gd name="connsiteY4" fmla="*/ 294955 h 353947"/>
                              <a:gd name="connsiteX5" fmla="*/ 4134411 w 4193403"/>
                              <a:gd name="connsiteY5" fmla="*/ 353947 h 353947"/>
                              <a:gd name="connsiteX6" fmla="*/ 58992 w 4193403"/>
                              <a:gd name="connsiteY6" fmla="*/ 353947 h 353947"/>
                              <a:gd name="connsiteX7" fmla="*/ 0 w 4193403"/>
                              <a:gd name="connsiteY7" fmla="*/ 294955 h 353947"/>
                              <a:gd name="connsiteX8" fmla="*/ 0 w 4193403"/>
                              <a:gd name="connsiteY8" fmla="*/ 58992 h 353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93403" h="353947">
                                <a:moveTo>
                                  <a:pt x="0" y="58992"/>
                                </a:moveTo>
                                <a:cubicBezTo>
                                  <a:pt x="0" y="26412"/>
                                  <a:pt x="26412" y="0"/>
                                  <a:pt x="58992" y="0"/>
                                </a:cubicBezTo>
                                <a:lnTo>
                                  <a:pt x="4134411" y="0"/>
                                </a:lnTo>
                                <a:cubicBezTo>
                                  <a:pt x="4166991" y="0"/>
                                  <a:pt x="4193403" y="26412"/>
                                  <a:pt x="4193403" y="58992"/>
                                </a:cubicBezTo>
                                <a:lnTo>
                                  <a:pt x="4193403" y="294955"/>
                                </a:lnTo>
                                <a:cubicBezTo>
                                  <a:pt x="4193403" y="327535"/>
                                  <a:pt x="4166991" y="353947"/>
                                  <a:pt x="4134411" y="353947"/>
                                </a:cubicBezTo>
                                <a:lnTo>
                                  <a:pt x="58992" y="353947"/>
                                </a:lnTo>
                                <a:cubicBezTo>
                                  <a:pt x="26412" y="353947"/>
                                  <a:pt x="0" y="327535"/>
                                  <a:pt x="0" y="294955"/>
                                </a:cubicBezTo>
                                <a:lnTo>
                                  <a:pt x="0" y="58992"/>
                                </a:lnTo>
                                <a:close/>
                              </a:path>
                            </a:pathLst>
                          </a:custGeom>
                        </wps:spPr>
                        <wps:style>
                          <a:lnRef idx="2">
                            <a:schemeClr val="accent3">
                              <a:hueOff val="0"/>
                              <a:satOff val="0"/>
                              <a:lumOff val="0"/>
                              <a:alphaOff val="0"/>
                            </a:schemeClr>
                          </a:lnRef>
                          <a:fillRef idx="1">
                            <a:schemeClr val="accent3">
                              <a:alpha val="90000"/>
                              <a:tint val="40000"/>
                              <a:hueOff val="0"/>
                              <a:satOff val="0"/>
                              <a:lumOff val="0"/>
                              <a:alphaOff val="0"/>
                            </a:schemeClr>
                          </a:fillRef>
                          <a:effectRef idx="0">
                            <a:schemeClr val="accent3">
                              <a:alpha val="90000"/>
                              <a:tint val="40000"/>
                              <a:hueOff val="0"/>
                              <a:satOff val="0"/>
                              <a:lumOff val="0"/>
                              <a:alphaOff val="0"/>
                            </a:schemeClr>
                          </a:effectRef>
                          <a:fontRef idx="minor">
                            <a:schemeClr val="dk1">
                              <a:hueOff val="0"/>
                              <a:satOff val="0"/>
                              <a:lumOff val="0"/>
                              <a:alphaOff val="0"/>
                            </a:schemeClr>
                          </a:fontRef>
                        </wps:style>
                        <wps:txbx>
                          <w:txbxContent>
                            <w:p w14:paraId="26B24EF0" w14:textId="77777777" w:rsidR="00876FFE" w:rsidRDefault="00876FFE" w:rsidP="00DF3441">
                              <w:pPr>
                                <w:spacing w:before="0" w:after="101" w:line="216" w:lineRule="auto"/>
                                <w:jc w:val="center"/>
                              </w:pPr>
                              <w:r>
                                <w:rPr>
                                  <w:color w:val="000000" w:themeColor="dark1"/>
                                  <w:kern w:val="24"/>
                                  <w14:textFill>
                                    <w14:solidFill>
                                      <w14:schemeClr w14:val="dk1">
                                        <w14:satOff w14:val="0"/>
                                        <w14:lumOff w14:val="0"/>
                                      </w14:schemeClr>
                                    </w14:solidFill>
                                  </w14:textFill>
                                </w:rPr>
                                <w:t>Административни ниво координације и одлучивања</w:t>
                              </w:r>
                            </w:p>
                          </w:txbxContent>
                        </wps:txbx>
                        <wps:bodyPr spcFirstLastPara="0" vert="horz" wrap="square" lIns="55378" tIns="55378" rIns="55378" bIns="55378" numCol="1" spcCol="1270" anchor="ctr" anchorCtr="0">
                          <a:noAutofit/>
                        </wps:bodyPr>
                      </wps:wsp>
                      <wps:wsp>
                        <wps:cNvPr id="901" name="Freeform: Shape 901"/>
                        <wps:cNvSpPr/>
                        <wps:spPr>
                          <a:xfrm>
                            <a:off x="438286" y="2400458"/>
                            <a:ext cx="4179606" cy="399891"/>
                          </a:xfrm>
                          <a:custGeom>
                            <a:avLst/>
                            <a:gdLst>
                              <a:gd name="connsiteX0" fmla="*/ 0 w 4179606"/>
                              <a:gd name="connsiteY0" fmla="*/ 66650 h 399891"/>
                              <a:gd name="connsiteX1" fmla="*/ 66650 w 4179606"/>
                              <a:gd name="connsiteY1" fmla="*/ 0 h 399891"/>
                              <a:gd name="connsiteX2" fmla="*/ 4112956 w 4179606"/>
                              <a:gd name="connsiteY2" fmla="*/ 0 h 399891"/>
                              <a:gd name="connsiteX3" fmla="*/ 4179606 w 4179606"/>
                              <a:gd name="connsiteY3" fmla="*/ 66650 h 399891"/>
                              <a:gd name="connsiteX4" fmla="*/ 4179606 w 4179606"/>
                              <a:gd name="connsiteY4" fmla="*/ 333241 h 399891"/>
                              <a:gd name="connsiteX5" fmla="*/ 4112956 w 4179606"/>
                              <a:gd name="connsiteY5" fmla="*/ 399891 h 399891"/>
                              <a:gd name="connsiteX6" fmla="*/ 66650 w 4179606"/>
                              <a:gd name="connsiteY6" fmla="*/ 399891 h 399891"/>
                              <a:gd name="connsiteX7" fmla="*/ 0 w 4179606"/>
                              <a:gd name="connsiteY7" fmla="*/ 333241 h 399891"/>
                              <a:gd name="connsiteX8" fmla="*/ 0 w 4179606"/>
                              <a:gd name="connsiteY8" fmla="*/ 66650 h 399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79606" h="399891">
                                <a:moveTo>
                                  <a:pt x="0" y="66650"/>
                                </a:moveTo>
                                <a:cubicBezTo>
                                  <a:pt x="0" y="29840"/>
                                  <a:pt x="29840" y="0"/>
                                  <a:pt x="66650" y="0"/>
                                </a:cubicBezTo>
                                <a:lnTo>
                                  <a:pt x="4112956" y="0"/>
                                </a:lnTo>
                                <a:cubicBezTo>
                                  <a:pt x="4149766" y="0"/>
                                  <a:pt x="4179606" y="29840"/>
                                  <a:pt x="4179606" y="66650"/>
                                </a:cubicBezTo>
                                <a:lnTo>
                                  <a:pt x="4179606" y="333241"/>
                                </a:lnTo>
                                <a:cubicBezTo>
                                  <a:pt x="4179606" y="370051"/>
                                  <a:pt x="4149766" y="399891"/>
                                  <a:pt x="4112956" y="399891"/>
                                </a:cubicBezTo>
                                <a:lnTo>
                                  <a:pt x="66650" y="399891"/>
                                </a:lnTo>
                                <a:cubicBezTo>
                                  <a:pt x="29840" y="399891"/>
                                  <a:pt x="0" y="370051"/>
                                  <a:pt x="0" y="333241"/>
                                </a:cubicBezTo>
                                <a:lnTo>
                                  <a:pt x="0" y="66650"/>
                                </a:lnTo>
                                <a:close/>
                              </a:path>
                            </a:pathLst>
                          </a:custGeom>
                        </wps:spPr>
                        <wps:style>
                          <a:lnRef idx="2">
                            <a:schemeClr val="accent3">
                              <a:hueOff val="0"/>
                              <a:satOff val="0"/>
                              <a:lumOff val="0"/>
                              <a:alphaOff val="0"/>
                            </a:schemeClr>
                          </a:lnRef>
                          <a:fillRef idx="1">
                            <a:schemeClr val="accent3">
                              <a:alpha val="90000"/>
                              <a:tint val="40000"/>
                              <a:hueOff val="0"/>
                              <a:satOff val="0"/>
                              <a:lumOff val="0"/>
                              <a:alphaOff val="0"/>
                            </a:schemeClr>
                          </a:fillRef>
                          <a:effectRef idx="0">
                            <a:schemeClr val="accent3">
                              <a:alpha val="90000"/>
                              <a:tint val="40000"/>
                              <a:hueOff val="0"/>
                              <a:satOff val="0"/>
                              <a:lumOff val="0"/>
                              <a:alphaOff val="0"/>
                            </a:schemeClr>
                          </a:effectRef>
                          <a:fontRef idx="minor">
                            <a:schemeClr val="dk1">
                              <a:hueOff val="0"/>
                              <a:satOff val="0"/>
                              <a:lumOff val="0"/>
                              <a:alphaOff val="0"/>
                            </a:schemeClr>
                          </a:fontRef>
                        </wps:style>
                        <wps:txbx>
                          <w:txbxContent>
                            <w:p w14:paraId="218B1DBD" w14:textId="77777777" w:rsidR="00876FFE" w:rsidRDefault="00876FFE" w:rsidP="004917EA">
                              <w:pPr>
                                <w:spacing w:after="101" w:line="216" w:lineRule="auto"/>
                                <w:jc w:val="center"/>
                              </w:pPr>
                              <w:r>
                                <w:rPr>
                                  <w:color w:val="000000" w:themeColor="dark1"/>
                                  <w:kern w:val="24"/>
                                  <w14:textFill>
                                    <w14:solidFill>
                                      <w14:schemeClr w14:val="dk1">
                                        <w14:satOff w14:val="0"/>
                                        <w14:lumOff w14:val="0"/>
                                      </w14:schemeClr>
                                    </w14:solidFill>
                                  </w14:textFill>
                                </w:rPr>
                                <w:t>Оперативни ниво координације - орган државне управе предлагач документа јавне политике</w:t>
                              </w:r>
                            </w:p>
                          </w:txbxContent>
                        </wps:txbx>
                        <wps:bodyPr spcFirstLastPara="0" vert="horz" wrap="square" lIns="57621" tIns="57621" rIns="57621" bIns="57621" numCol="1" spcCol="1270" anchor="ctr" anchorCtr="0">
                          <a:noAutofit/>
                        </wps:bodyPr>
                      </wps:wsp>
                      <wps:wsp>
                        <wps:cNvPr id="902" name="Freeform: Shape 902"/>
                        <wps:cNvSpPr/>
                        <wps:spPr>
                          <a:xfrm>
                            <a:off x="1113475" y="1381439"/>
                            <a:ext cx="2844000" cy="400141"/>
                          </a:xfrm>
                          <a:custGeom>
                            <a:avLst/>
                            <a:gdLst>
                              <a:gd name="connsiteX0" fmla="*/ 0 w 2677281"/>
                              <a:gd name="connsiteY0" fmla="*/ 49335 h 296004"/>
                              <a:gd name="connsiteX1" fmla="*/ 49335 w 2677281"/>
                              <a:gd name="connsiteY1" fmla="*/ 0 h 296004"/>
                              <a:gd name="connsiteX2" fmla="*/ 2627946 w 2677281"/>
                              <a:gd name="connsiteY2" fmla="*/ 0 h 296004"/>
                              <a:gd name="connsiteX3" fmla="*/ 2677281 w 2677281"/>
                              <a:gd name="connsiteY3" fmla="*/ 49335 h 296004"/>
                              <a:gd name="connsiteX4" fmla="*/ 2677281 w 2677281"/>
                              <a:gd name="connsiteY4" fmla="*/ 246669 h 296004"/>
                              <a:gd name="connsiteX5" fmla="*/ 2627946 w 2677281"/>
                              <a:gd name="connsiteY5" fmla="*/ 296004 h 296004"/>
                              <a:gd name="connsiteX6" fmla="*/ 49335 w 2677281"/>
                              <a:gd name="connsiteY6" fmla="*/ 296004 h 296004"/>
                              <a:gd name="connsiteX7" fmla="*/ 0 w 2677281"/>
                              <a:gd name="connsiteY7" fmla="*/ 246669 h 296004"/>
                              <a:gd name="connsiteX8" fmla="*/ 0 w 2677281"/>
                              <a:gd name="connsiteY8" fmla="*/ 49335 h 296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77281" h="296004">
                                <a:moveTo>
                                  <a:pt x="0" y="49335"/>
                                </a:moveTo>
                                <a:cubicBezTo>
                                  <a:pt x="0" y="22088"/>
                                  <a:pt x="22088" y="0"/>
                                  <a:pt x="49335" y="0"/>
                                </a:cubicBezTo>
                                <a:lnTo>
                                  <a:pt x="2627946" y="0"/>
                                </a:lnTo>
                                <a:cubicBezTo>
                                  <a:pt x="2655193" y="0"/>
                                  <a:pt x="2677281" y="22088"/>
                                  <a:pt x="2677281" y="49335"/>
                                </a:cubicBezTo>
                                <a:lnTo>
                                  <a:pt x="2677281" y="246669"/>
                                </a:lnTo>
                                <a:cubicBezTo>
                                  <a:pt x="2677281" y="273916"/>
                                  <a:pt x="2655193" y="296004"/>
                                  <a:pt x="2627946" y="296004"/>
                                </a:cubicBezTo>
                                <a:lnTo>
                                  <a:pt x="49335" y="296004"/>
                                </a:lnTo>
                                <a:cubicBezTo>
                                  <a:pt x="22088" y="296004"/>
                                  <a:pt x="0" y="273916"/>
                                  <a:pt x="0" y="246669"/>
                                </a:cubicBezTo>
                                <a:lnTo>
                                  <a:pt x="0" y="49335"/>
                                </a:lnTo>
                                <a:close/>
                              </a:path>
                            </a:pathLst>
                          </a:custGeom>
                          <a:solidFill>
                            <a:schemeClr val="lt1">
                              <a:alpha val="83000"/>
                            </a:schemeClr>
                          </a:solidFill>
                          <a:ln>
                            <a:solidFill>
                              <a:schemeClr val="bg1"/>
                            </a:solidFill>
                          </a:ln>
                        </wps:spPr>
                        <wps:style>
                          <a:lnRef idx="2">
                            <a:schemeClr val="accent6"/>
                          </a:lnRef>
                          <a:fillRef idx="1">
                            <a:schemeClr val="lt1"/>
                          </a:fillRef>
                          <a:effectRef idx="0">
                            <a:schemeClr val="accent6"/>
                          </a:effectRef>
                          <a:fontRef idx="minor">
                            <a:schemeClr val="dk1">
                              <a:hueOff val="0"/>
                              <a:satOff val="0"/>
                              <a:lumOff val="0"/>
                              <a:alphaOff val="0"/>
                            </a:schemeClr>
                          </a:fontRef>
                        </wps:style>
                        <wps:txbx>
                          <w:txbxContent>
                            <w:p w14:paraId="71009940" w14:textId="77777777" w:rsidR="00876FFE" w:rsidRDefault="00876FFE" w:rsidP="00DF3441">
                              <w:pPr>
                                <w:spacing w:before="0" w:after="101" w:line="216" w:lineRule="auto"/>
                                <w:jc w:val="center"/>
                              </w:pPr>
                              <w:r>
                                <w:rPr>
                                  <w:color w:val="000000" w:themeColor="dark1"/>
                                  <w:kern w:val="24"/>
                                  <w14:textFill>
                                    <w14:solidFill>
                                      <w14:schemeClr w14:val="dk1">
                                        <w14:satOff w14:val="0"/>
                                        <w14:lumOff w14:val="0"/>
                                      </w14:schemeClr>
                                    </w14:solidFill>
                                  </w14:textFill>
                                </w:rPr>
                                <w:t>Јединствени информациони систем (ЈИС)</w:t>
                              </w:r>
                            </w:p>
                          </w:txbxContent>
                        </wps:txbx>
                        <wps:bodyPr spcFirstLastPara="0" vert="horz" wrap="square" lIns="52550" tIns="52550" rIns="52550" bIns="52550" numCol="1" spcCol="1270" anchor="ctr" anchorCtr="0">
                          <a:noAutofit/>
                        </wps:bodyPr>
                      </wps:wsp>
                      <wps:wsp>
                        <wps:cNvPr id="903" name="Freeform: Shape 903"/>
                        <wps:cNvSpPr/>
                        <wps:spPr>
                          <a:xfrm>
                            <a:off x="585142" y="1868123"/>
                            <a:ext cx="3924408" cy="296004"/>
                          </a:xfrm>
                          <a:custGeom>
                            <a:avLst/>
                            <a:gdLst>
                              <a:gd name="connsiteX0" fmla="*/ 0 w 2677281"/>
                              <a:gd name="connsiteY0" fmla="*/ 49335 h 296004"/>
                              <a:gd name="connsiteX1" fmla="*/ 49335 w 2677281"/>
                              <a:gd name="connsiteY1" fmla="*/ 0 h 296004"/>
                              <a:gd name="connsiteX2" fmla="*/ 2627946 w 2677281"/>
                              <a:gd name="connsiteY2" fmla="*/ 0 h 296004"/>
                              <a:gd name="connsiteX3" fmla="*/ 2677281 w 2677281"/>
                              <a:gd name="connsiteY3" fmla="*/ 49335 h 296004"/>
                              <a:gd name="connsiteX4" fmla="*/ 2677281 w 2677281"/>
                              <a:gd name="connsiteY4" fmla="*/ 246669 h 296004"/>
                              <a:gd name="connsiteX5" fmla="*/ 2627946 w 2677281"/>
                              <a:gd name="connsiteY5" fmla="*/ 296004 h 296004"/>
                              <a:gd name="connsiteX6" fmla="*/ 49335 w 2677281"/>
                              <a:gd name="connsiteY6" fmla="*/ 296004 h 296004"/>
                              <a:gd name="connsiteX7" fmla="*/ 0 w 2677281"/>
                              <a:gd name="connsiteY7" fmla="*/ 246669 h 296004"/>
                              <a:gd name="connsiteX8" fmla="*/ 0 w 2677281"/>
                              <a:gd name="connsiteY8" fmla="*/ 49335 h 296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77281" h="296004">
                                <a:moveTo>
                                  <a:pt x="0" y="49335"/>
                                </a:moveTo>
                                <a:cubicBezTo>
                                  <a:pt x="0" y="22088"/>
                                  <a:pt x="22088" y="0"/>
                                  <a:pt x="49335" y="0"/>
                                </a:cubicBezTo>
                                <a:lnTo>
                                  <a:pt x="2627946" y="0"/>
                                </a:lnTo>
                                <a:cubicBezTo>
                                  <a:pt x="2655193" y="0"/>
                                  <a:pt x="2677281" y="22088"/>
                                  <a:pt x="2677281" y="49335"/>
                                </a:cubicBezTo>
                                <a:lnTo>
                                  <a:pt x="2677281" y="246669"/>
                                </a:lnTo>
                                <a:cubicBezTo>
                                  <a:pt x="2677281" y="273916"/>
                                  <a:pt x="2655193" y="296004"/>
                                  <a:pt x="2627946" y="296004"/>
                                </a:cubicBezTo>
                                <a:lnTo>
                                  <a:pt x="49335" y="296004"/>
                                </a:lnTo>
                                <a:cubicBezTo>
                                  <a:pt x="22088" y="296004"/>
                                  <a:pt x="0" y="273916"/>
                                  <a:pt x="0" y="246669"/>
                                </a:cubicBezTo>
                                <a:lnTo>
                                  <a:pt x="0" y="49335"/>
                                </a:lnTo>
                                <a:close/>
                              </a:path>
                            </a:pathLst>
                          </a:custGeom>
                          <a:solidFill>
                            <a:schemeClr val="accent5">
                              <a:lumMod val="50000"/>
                            </a:schemeClr>
                          </a:solidFill>
                          <a:ln>
                            <a:solidFill>
                              <a:schemeClr val="accent5">
                                <a:lumMod val="50000"/>
                              </a:schemeClr>
                            </a:solidFill>
                          </a:ln>
                        </wps:spPr>
                        <wps:style>
                          <a:lnRef idx="2">
                            <a:schemeClr val="accent6"/>
                          </a:lnRef>
                          <a:fillRef idx="1">
                            <a:schemeClr val="lt1"/>
                          </a:fillRef>
                          <a:effectRef idx="0">
                            <a:schemeClr val="accent6"/>
                          </a:effectRef>
                          <a:fontRef idx="minor">
                            <a:schemeClr val="dk1">
                              <a:hueOff val="0"/>
                              <a:satOff val="0"/>
                              <a:lumOff val="0"/>
                              <a:alphaOff val="0"/>
                            </a:schemeClr>
                          </a:fontRef>
                        </wps:style>
                        <wps:txbx>
                          <w:txbxContent>
                            <w:p w14:paraId="3F0411EE" w14:textId="665723F9" w:rsidR="00876FFE" w:rsidRDefault="00876FFE" w:rsidP="00DF3441">
                              <w:pPr>
                                <w:spacing w:before="0" w:after="101" w:line="216" w:lineRule="auto"/>
                                <w:jc w:val="center"/>
                              </w:pPr>
                              <w:r>
                                <w:rPr>
                                  <w:color w:val="FFFFFF" w:themeColor="background1"/>
                                  <w:kern w:val="24"/>
                                </w:rPr>
                                <w:t xml:space="preserve">Носиоци активности – ОДУ </w:t>
                              </w:r>
                            </w:p>
                          </w:txbxContent>
                        </wps:txbx>
                        <wps:bodyPr spcFirstLastPara="0" vert="horz" wrap="square" lIns="52550" tIns="52550" rIns="52550" bIns="52550" numCol="1" spcCol="1270" anchor="ctr" anchorCtr="0">
                          <a:noAutofit/>
                        </wps:bodyPr>
                      </wps:wsp>
                      <wps:wsp>
                        <wps:cNvPr id="904" name="Arrow: Up 904"/>
                        <wps:cNvSpPr/>
                        <wps:spPr>
                          <a:xfrm>
                            <a:off x="2456974" y="1075468"/>
                            <a:ext cx="140335" cy="212725"/>
                          </a:xfrm>
                          <a:prstGeom prst="upArrow">
                            <a:avLst/>
                          </a:prstGeom>
                          <a:solidFill>
                            <a:schemeClr val="bg1"/>
                          </a:solidFill>
                          <a:ln w="12700" cap="flat" cmpd="sng" algn="ctr">
                            <a:solidFill>
                              <a:schemeClr val="bg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5" name="Arrow: Up 905"/>
                        <wps:cNvSpPr/>
                        <wps:spPr>
                          <a:xfrm>
                            <a:off x="1564346" y="2185894"/>
                            <a:ext cx="140335" cy="212725"/>
                          </a:xfrm>
                          <a:prstGeom prst="upArrow">
                            <a:avLst/>
                          </a:prstGeom>
                          <a:solidFill>
                            <a:schemeClr val="bg1"/>
                          </a:solidFill>
                          <a:ln w="12700" cap="flat" cmpd="sng" algn="ctr">
                            <a:solidFill>
                              <a:schemeClr val="bg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6" name="Arrow: Up 906"/>
                        <wps:cNvSpPr/>
                        <wps:spPr>
                          <a:xfrm>
                            <a:off x="2436076" y="2178853"/>
                            <a:ext cx="140335" cy="212725"/>
                          </a:xfrm>
                          <a:prstGeom prst="upArrow">
                            <a:avLst/>
                          </a:prstGeom>
                          <a:solidFill>
                            <a:schemeClr val="bg1"/>
                          </a:solidFill>
                          <a:ln w="12700" cap="flat" cmpd="sng" algn="ctr">
                            <a:solidFill>
                              <a:schemeClr val="bg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7" name="Arrow: Up 907"/>
                        <wps:cNvSpPr/>
                        <wps:spPr>
                          <a:xfrm>
                            <a:off x="3362235" y="2195262"/>
                            <a:ext cx="140335" cy="212725"/>
                          </a:xfrm>
                          <a:prstGeom prst="upArrow">
                            <a:avLst/>
                          </a:prstGeom>
                          <a:solidFill>
                            <a:schemeClr val="bg1"/>
                          </a:solidFill>
                          <a:ln w="12700" cap="flat" cmpd="sng" algn="ctr">
                            <a:solidFill>
                              <a:schemeClr val="bg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1D8A87" id="Group 13" o:spid="_x0000_s1484" style="position:absolute;left:0;text-align:left;margin-left:26.6pt;margin-top:45.5pt;width:400.9pt;height:220.45pt;z-index:251856384;mso-position-horizontal-relative:margin" coordsize="50919,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98" o:spid="_x0000_s1485" type="#_x0000_t5" style="position:absolute;width:50919;height:2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" fillcolor="#002060" strokecolor="black [3213]" strokeweight="1pt"/>
                <v:shape id="Freeform: Shape 899" o:spid="_x0000_s1486" style="position:absolute;left:4013;top:1835;width:42201;height:3265;visibility:visible;mso-wrap-style:square;v-text-anchor:middle" coordsize="4220124,326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" adj="-11796480,,5400" path="m,54424c,24366,24366,,54424,l4165700,v30058,,54424,24366,54424,54424l4220124,272112v,30058,-24366,54424,-54424,54424l54424,326536c24366,326536,,302170,,272112l,54424xe" fillcolor="#dbdbdb [1302]" strokecolor="#a5a5a5 [3206]" strokeweight="1pt">
                  <v:fill opacity="59110f"/>
                  <v:stroke joinstyle="miter"/>
                  <v:formulas/>
                  <v:path arrowok="t" o:connecttype="custom" o:connectlocs="0,54424;54424,0;4165700,0;4220124,54424;4220124,272112;4165700,326536;54424,326536;0,272112;0,54424" o:connectangles="0,0,0,0,0,0,0,0,0" textboxrect="0,0,4220124,326536"/>
                  <v:textbox inset="1.50111mm,1.50111mm,1.50111mm,1.50111mm">
                    <w:txbxContent>
                      <w:p w14:paraId="71F387EC" w14:textId="66AA6C00" w:rsidR="00876FFE" w:rsidRDefault="00876FFE" w:rsidP="00DF3441">
                        <w:pPr>
                          <w:spacing w:before="0" w:after="101" w:line="216" w:lineRule="auto"/>
                          <w:jc w:val="center"/>
                        </w:pPr>
                        <w:r>
                          <w:rPr>
                            <w:color w:val="000000" w:themeColor="dark1"/>
                            <w:kern w:val="24"/>
                            <w14:textFill>
                              <w14:solidFill>
                                <w14:schemeClr w14:val="dk1">
                                  <w14:satOff w14:val="0"/>
                                  <w14:lumOff w14:val="0"/>
                                </w14:schemeClr>
                              </w14:solidFill>
                            </w14:textFill>
                          </w:rPr>
                          <w:t xml:space="preserve">Политички </w:t>
                        </w:r>
                        <w:r>
                          <w:rPr>
                            <w:color w:val="000000" w:themeColor="dark1"/>
                            <w:kern w:val="24"/>
                            <w14:textFill>
                              <w14:solidFill>
                                <w14:schemeClr w14:val="dk1">
                                  <w14:satOff w14:val="0"/>
                                  <w14:lumOff w14:val="0"/>
                                </w14:schemeClr>
                              </w14:solidFill>
                            </w14:textFill>
                          </w:rPr>
                          <w:t>ниво координације и одлучивања</w:t>
                        </w:r>
                      </w:p>
                    </w:txbxContent>
                  </v:textbox>
                </v:shape>
                <v:shape id="Freeform: Shape 900" o:spid="_x0000_s1487" style="position:absolute;left:4095;top:6158;width:41934;height:3539;visibility:visible;mso-wrap-style:square;v-text-anchor:middle" coordsize="4193403,3539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" adj="-11796480,,5400" path="m,58992c,26412,26412,,58992,l4134411,v32580,,58992,26412,58992,58992l4193403,294955v,32580,-26412,58992,-58992,58992l58992,353947c26412,353947,,327535,,294955l,58992xe" fillcolor="#dbdbdb [1302]" strokecolor="#a5a5a5 [3206]" strokeweight="1pt">
                  <v:fill opacity="59110f"/>
                  <v:stroke joinstyle="miter"/>
                  <v:formulas/>
                  <v:path arrowok="t" o:connecttype="custom" o:connectlocs="0,58992;58992,0;4134411,0;4193403,58992;4193403,294955;4134411,353947;58992,353947;0,294955;0,58992" o:connectangles="0,0,0,0,0,0,0,0,0" textboxrect="0,0,4193403,353947"/>
                  <v:textbox inset="1.53828mm,1.53828mm,1.53828mm,1.53828mm">
                    <w:txbxContent>
                      <w:p w14:paraId="26B24EF0" w14:textId="77777777" w:rsidR="00876FFE" w:rsidRDefault="00876FFE" w:rsidP="00DF3441">
                        <w:pPr>
                          <w:spacing w:before="0" w:after="101" w:line="216" w:lineRule="auto"/>
                          <w:jc w:val="center"/>
                        </w:pPr>
                        <w:r>
                          <w:rPr>
                            <w:color w:val="000000" w:themeColor="dark1"/>
                            <w:kern w:val="24"/>
                            <w14:textFill>
                              <w14:solidFill>
                                <w14:schemeClr w14:val="dk1">
                                  <w14:satOff w14:val="0"/>
                                  <w14:lumOff w14:val="0"/>
                                </w14:schemeClr>
                              </w14:solidFill>
                            </w14:textFill>
                          </w:rPr>
                          <w:t xml:space="preserve">Административни </w:t>
                        </w:r>
                        <w:r>
                          <w:rPr>
                            <w:color w:val="000000" w:themeColor="dark1"/>
                            <w:kern w:val="24"/>
                            <w14:textFill>
                              <w14:solidFill>
                                <w14:schemeClr w14:val="dk1">
                                  <w14:satOff w14:val="0"/>
                                  <w14:lumOff w14:val="0"/>
                                </w14:schemeClr>
                              </w14:solidFill>
                            </w14:textFill>
                          </w:rPr>
                          <w:t>ниво координације и одлучивања</w:t>
                        </w:r>
                      </w:p>
                    </w:txbxContent>
                  </v:textbox>
                </v:shape>
                <v:shape id="Freeform: Shape 901" o:spid="_x0000_s1488" style="position:absolute;left:4382;top:24004;width:41796;height:3999;visibility:visible;mso-wrap-style:square;v-text-anchor:middle" coordsize="4179606,399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" adj="-11796480,,5400" path="m,66650c,29840,29840,,66650,l4112956,v36810,,66650,29840,66650,66650l4179606,333241v,36810,-29840,66650,-66650,66650l66650,399891c29840,399891,,370051,,333241l,66650xe" fillcolor="#dbdbdb [1302]" strokecolor="#a5a5a5 [3206]" strokeweight="1pt">
                  <v:fill opacity="59110f"/>
                  <v:stroke joinstyle="miter"/>
                  <v:formulas/>
                  <v:path arrowok="t" o:connecttype="custom" o:connectlocs="0,66650;66650,0;4112956,0;4179606,66650;4179606,333241;4112956,399891;66650,399891;0,333241;0,66650" o:connectangles="0,0,0,0,0,0,0,0,0" textboxrect="0,0,4179606,399891"/>
                  <v:textbox inset="1.60058mm,1.60058mm,1.60058mm,1.60058mm">
                    <w:txbxContent>
                      <w:p w14:paraId="218B1DBD" w14:textId="77777777" w:rsidR="00876FFE" w:rsidRDefault="00876FFE" w:rsidP="004917EA">
                        <w:pPr>
                          <w:spacing w:after="101" w:line="216" w:lineRule="auto"/>
                          <w:jc w:val="center"/>
                        </w:pPr>
                        <w:r>
                          <w:rPr>
                            <w:color w:val="000000" w:themeColor="dark1"/>
                            <w:kern w:val="24"/>
                            <w14:textFill>
                              <w14:solidFill>
                                <w14:schemeClr w14:val="dk1">
                                  <w14:satOff w14:val="0"/>
                                  <w14:lumOff w14:val="0"/>
                                </w14:schemeClr>
                              </w14:solidFill>
                            </w14:textFill>
                          </w:rPr>
                          <w:t xml:space="preserve">Оперативни </w:t>
                        </w:r>
                        <w:r>
                          <w:rPr>
                            <w:color w:val="000000" w:themeColor="dark1"/>
                            <w:kern w:val="24"/>
                            <w14:textFill>
                              <w14:solidFill>
                                <w14:schemeClr w14:val="dk1">
                                  <w14:satOff w14:val="0"/>
                                  <w14:lumOff w14:val="0"/>
                                </w14:schemeClr>
                              </w14:solidFill>
                            </w14:textFill>
                          </w:rPr>
                          <w:t>ниво координације - орган државне управе предлагач документа јавне политике</w:t>
                        </w:r>
                      </w:p>
                    </w:txbxContent>
                  </v:textbox>
                </v:shape>
                <v:shape id="Freeform: Shape 902" o:spid="_x0000_s1489" style="position:absolute;left:11134;top:13814;width:28440;height:4001;visibility:visible;mso-wrap-style:square;v-text-anchor:middle" coordsize="2677281,2960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" adj="-11796480,,5400" path="m,49335c,22088,22088,,49335,l2627946,v27247,,49335,22088,49335,49335l2677281,246669v,27247,-22088,49335,-49335,49335l49335,296004c22088,296004,,273916,,246669l,49335xe" fillcolor="white [3201]" strokecolor="white [3212]" strokeweight="1pt">
                  <v:fill opacity="54484f"/>
                  <v:stroke joinstyle="miter"/>
                  <v:formulas/>
                  <v:path arrowok="t" o:connecttype="custom" o:connectlocs="0,66692;52407,0;2791593,0;2844000,66692;2844000,333449;2791593,400141;52407,400141;0,333449;0,66692" o:connectangles="0,0,0,0,0,0,0,0,0" textboxrect="0,0,2677281,296004"/>
                  <v:textbox inset="1.45972mm,1.45972mm,1.45972mm,1.45972mm">
                    <w:txbxContent>
                      <w:p w14:paraId="71009940" w14:textId="77777777" w:rsidR="00876FFE" w:rsidRDefault="00876FFE" w:rsidP="00DF3441">
                        <w:pPr>
                          <w:spacing w:before="0" w:after="101" w:line="216" w:lineRule="auto"/>
                          <w:jc w:val="center"/>
                        </w:pPr>
                        <w:r>
                          <w:rPr>
                            <w:color w:val="000000" w:themeColor="dark1"/>
                            <w:kern w:val="24"/>
                            <w14:textFill>
                              <w14:solidFill>
                                <w14:schemeClr w14:val="dk1">
                                  <w14:satOff w14:val="0"/>
                                  <w14:lumOff w14:val="0"/>
                                </w14:schemeClr>
                              </w14:solidFill>
                            </w14:textFill>
                          </w:rPr>
                          <w:t xml:space="preserve">Јединствени </w:t>
                        </w:r>
                        <w:r>
                          <w:rPr>
                            <w:color w:val="000000" w:themeColor="dark1"/>
                            <w:kern w:val="24"/>
                            <w14:textFill>
                              <w14:solidFill>
                                <w14:schemeClr w14:val="dk1">
                                  <w14:satOff w14:val="0"/>
                                  <w14:lumOff w14:val="0"/>
                                </w14:schemeClr>
                              </w14:solidFill>
                            </w14:textFill>
                          </w:rPr>
                          <w:t>информациони систем (ЈИС)</w:t>
                        </w:r>
                      </w:p>
                    </w:txbxContent>
                  </v:textbox>
                </v:shape>
                <v:shape id="Freeform: Shape 903" o:spid="_x0000_s1490" style="position:absolute;left:5851;top:18681;width:39244;height:2960;visibility:visible;mso-wrap-style:square;v-text-anchor:middle" coordsize="2677281,2960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" adj="-11796480,,5400" path="m,49335c,22088,22088,,49335,l2627946,v27247,,49335,22088,49335,49335l2677281,246669v,27247,-22088,49335,-49335,49335l49335,296004c22088,296004,,273916,,246669l,49335xe" fillcolor="#1f4d78 [1608]" strokecolor="#1f4d78 [1608]" strokeweight="1pt">
                  <v:stroke joinstyle="miter"/>
                  <v:formulas/>
                  <v:path arrowok="t" o:connecttype="custom" o:connectlocs="0,49335;72316,0;3852092,0;3924408,49335;3924408,246669;3852092,296004;72316,296004;0,246669;0,49335" o:connectangles="0,0,0,0,0,0,0,0,0" textboxrect="0,0,2677281,296004"/>
                  <v:textbox inset="1.45972mm,1.45972mm,1.45972mm,1.45972mm">
                    <w:txbxContent>
                      <w:p w14:paraId="3F0411EE" w14:textId="665723F9" w:rsidR="00876FFE" w:rsidRDefault="00876FFE" w:rsidP="00DF3441">
                        <w:pPr>
                          <w:spacing w:before="0" w:after="101" w:line="216" w:lineRule="auto"/>
                          <w:jc w:val="center"/>
                        </w:pPr>
                        <w:r>
                          <w:rPr>
                            <w:color w:val="FFFFFF" w:themeColor="background1"/>
                            <w:kern w:val="24"/>
                          </w:rPr>
                          <w:t xml:space="preserve">Носиоци </w:t>
                        </w:r>
                        <w:r>
                          <w:rPr>
                            <w:color w:val="FFFFFF" w:themeColor="background1"/>
                            <w:kern w:val="24"/>
                          </w:rPr>
                          <w:t xml:space="preserve">активности – ОДУ </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04" o:spid="_x0000_s1491" type="#_x0000_t68" style="position:absolute;left:24569;top:10754;width:1404;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" adj="7125" fillcolor="white [3212]" strokecolor="white [3212]" strokeweight="1pt"/>
                <v:shape id="Arrow: Up 905" o:spid="_x0000_s1492" type="#_x0000_t68" style="position:absolute;left:15643;top:21858;width:1403;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" adj="7125" fillcolor="white [3212]" strokecolor="white [3212]" strokeweight="1pt"/>
                <v:shape id="Arrow: Up 906" o:spid="_x0000_s1493" type="#_x0000_t68" style="position:absolute;left:24360;top:21788;width:1404;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" adj="7125" fillcolor="white [3212]" strokecolor="white [3212]" strokeweight="1pt"/>
                <v:shape id="Arrow: Up 907" o:spid="_x0000_s1494" type="#_x0000_t68" style="position:absolute;left:33622;top:21952;width:1403;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" adj="7125" fillcolor="white [3212]" strokecolor="white [3212]" strokeweight="1pt"/>
                <w10:wrap type="topAndBottom" anchorx="margin"/>
              </v:group>
            </w:pict>
          </mc:Fallback>
        </mc:AlternateContent>
      </w:r>
      <w:r w:rsidR="000631D1" w:rsidRPr="000F0299">
        <w:rPr>
          <w:noProof/>
          <w:lang w:val="en-US" w:eastAsia="en-US" w:bidi="ar-SA"/>
        </w:rPr>
        <mc:AlternateContent>
          <mc:Choice Requires="wps">
            <w:drawing>
              <wp:anchor distT="0" distB="0" distL="114300" distR="114300" simplePos="0" relativeHeight="252016128" behindDoc="0" locked="0" layoutInCell="1" allowOverlap="1" wp14:anchorId="7A36B2D3" wp14:editId="71E73470">
                <wp:simplePos x="0" y="0"/>
                <wp:positionH relativeFrom="margin">
                  <wp:align>left</wp:align>
                </wp:positionH>
                <wp:positionV relativeFrom="paragraph">
                  <wp:posOffset>3474085</wp:posOffset>
                </wp:positionV>
                <wp:extent cx="5680710" cy="635"/>
                <wp:effectExtent l="0" t="0" r="0" b="8255"/>
                <wp:wrapTopAndBottom/>
                <wp:docPr id="168" name="Text Box 168"/>
                <wp:cNvGraphicFramePr/>
                <a:graphic xmlns:a="http://schemas.openxmlformats.org/drawingml/2006/main">
                  <a:graphicData uri="http://schemas.microsoft.com/office/word/2010/wordprocessingShape">
                    <wps:wsp>
                      <wps:cNvSpPr txBox="1"/>
                      <wps:spPr>
                        <a:xfrm>
                          <a:off x="0" y="0"/>
                          <a:ext cx="5680710" cy="635"/>
                        </a:xfrm>
                        <a:prstGeom prst="rect">
                          <a:avLst/>
                        </a:prstGeom>
                        <a:solidFill>
                          <a:prstClr val="white"/>
                        </a:solidFill>
                        <a:ln>
                          <a:noFill/>
                        </a:ln>
                      </wps:spPr>
                      <wps:txbx>
                        <w:txbxContent>
                          <w:p w14:paraId="3F3A3010" w14:textId="2B54EBFE" w:rsidR="00876FFE" w:rsidRPr="00121529" w:rsidRDefault="00876FFE" w:rsidP="00121529">
                            <w:pPr>
                              <w:pStyle w:val="Caption"/>
                              <w:rPr>
                                <w:i w:val="0"/>
                                <w:iCs w:val="0"/>
                                <w:noProof/>
                                <w:sz w:val="24"/>
                                <w:szCs w:val="24"/>
                              </w:rPr>
                            </w:pPr>
                            <w:bookmarkStart w:id="309" w:name="_Toc57665372"/>
                            <w:r w:rsidRPr="00121529">
                              <w:rPr>
                                <w:i w:val="0"/>
                                <w:iCs w:val="0"/>
                              </w:rPr>
                              <w:t xml:space="preserve">Графикон </w:t>
                            </w:r>
                            <w:r w:rsidRPr="00121529">
                              <w:rPr>
                                <w:i w:val="0"/>
                                <w:iCs w:val="0"/>
                              </w:rPr>
                              <w:fldChar w:fldCharType="begin"/>
                            </w:r>
                            <w:r w:rsidRPr="00121529">
                              <w:rPr>
                                <w:i w:val="0"/>
                                <w:iCs w:val="0"/>
                              </w:rPr>
                              <w:instrText xml:space="preserve"> SEQ Графикон \* ARABIC </w:instrText>
                            </w:r>
                            <w:r w:rsidRPr="00121529">
                              <w:rPr>
                                <w:i w:val="0"/>
                                <w:iCs w:val="0"/>
                              </w:rPr>
                              <w:fldChar w:fldCharType="separate"/>
                            </w:r>
                            <w:r>
                              <w:rPr>
                                <w:i w:val="0"/>
                                <w:iCs w:val="0"/>
                                <w:noProof/>
                              </w:rPr>
                              <w:t>36</w:t>
                            </w:r>
                            <w:r w:rsidRPr="00121529">
                              <w:rPr>
                                <w:i w:val="0"/>
                                <w:iCs w:val="0"/>
                              </w:rPr>
                              <w:fldChar w:fldCharType="end"/>
                            </w:r>
                            <w:r w:rsidRPr="00121529">
                              <w:rPr>
                                <w:i w:val="0"/>
                                <w:iCs w:val="0"/>
                              </w:rPr>
                              <w:t xml:space="preserve"> Учесници и улоге у систему координације праћења и извештавања о спровођењу Стратегије РЈУ</w:t>
                            </w:r>
                            <w:bookmarkEnd w:id="3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36B2D3" id="Text Box 168" o:spid="_x0000_s1495" type="#_x0000_t202" style="position:absolute;left:0;text-align:left;margin-left:0;margin-top:273.55pt;width:447.3pt;height:.05pt;z-index:25201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" stroked="f">
                <v:textbox style="mso-fit-shape-to-text:t" inset="0,0,0,0">
                  <w:txbxContent>
                    <w:p w14:paraId="3F3A3010" w14:textId="2B54EBFE" w:rsidR="00876FFE" w:rsidRPr="00121529" w:rsidRDefault="00876FFE" w:rsidP="00121529">
                      <w:pPr>
                        <w:pStyle w:val="Caption"/>
                        <w:rPr>
                          <w:i w:val="0"/>
                          <w:iCs w:val="0"/>
                          <w:noProof/>
                          <w:sz w:val="24"/>
                          <w:szCs w:val="24"/>
                        </w:rPr>
                      </w:pPr>
                      <w:bookmarkStart w:id="335" w:name="_Toc57665372"/>
                      <w:r w:rsidRPr="00121529">
                        <w:rPr>
                          <w:i w:val="0"/>
                          <w:iCs w:val="0"/>
                        </w:rPr>
                        <w:t xml:space="preserve">Графикон </w:t>
                      </w:r>
                      <w:r w:rsidRPr="00121529">
                        <w:rPr>
                          <w:i w:val="0"/>
                          <w:iCs w:val="0"/>
                        </w:rPr>
                        <w:fldChar w:fldCharType="begin"/>
                      </w:r>
                      <w:r w:rsidRPr="00121529">
                        <w:rPr>
                          <w:i w:val="0"/>
                          <w:iCs w:val="0"/>
                        </w:rPr>
                        <w:instrText xml:space="preserve"> SEQ Графикон \* ARABIC </w:instrText>
                      </w:r>
                      <w:r w:rsidRPr="00121529">
                        <w:rPr>
                          <w:i w:val="0"/>
                          <w:iCs w:val="0"/>
                        </w:rPr>
                        <w:fldChar w:fldCharType="separate"/>
                      </w:r>
                      <w:r>
                        <w:rPr>
                          <w:i w:val="0"/>
                          <w:iCs w:val="0"/>
                          <w:noProof/>
                        </w:rPr>
                        <w:t>36</w:t>
                      </w:r>
                      <w:r w:rsidRPr="00121529">
                        <w:rPr>
                          <w:i w:val="0"/>
                          <w:iCs w:val="0"/>
                        </w:rPr>
                        <w:fldChar w:fldCharType="end"/>
                      </w:r>
                      <w:r w:rsidRPr="00121529">
                        <w:rPr>
                          <w:i w:val="0"/>
                          <w:iCs w:val="0"/>
                        </w:rPr>
                        <w:t xml:space="preserve"> Учесници и улоге у систему координације праћења и извештавања о спровођењу Стратегије РЈУ</w:t>
                      </w:r>
                      <w:bookmarkEnd w:id="335"/>
                    </w:p>
                  </w:txbxContent>
                </v:textbox>
                <w10:wrap type="topAndBottom" anchorx="margin"/>
              </v:shape>
            </w:pict>
          </mc:Fallback>
        </mc:AlternateContent>
      </w:r>
      <w:r w:rsidR="004917EA" w:rsidRPr="000F0299">
        <w:t>Учесници и улоге у систему координације праћења и извештавања о спровођењу Стратегије РЈУ приказани су на графикон</w:t>
      </w:r>
      <w:r w:rsidR="004A318D" w:rsidRPr="000F0299">
        <w:t>у испод</w:t>
      </w:r>
      <w:r w:rsidR="004917EA" w:rsidRPr="000F0299">
        <w:t>.</w:t>
      </w:r>
    </w:p>
    <w:p w14:paraId="2E41E1D6" w14:textId="77777777" w:rsidR="004917EA" w:rsidRPr="000F0299" w:rsidRDefault="004917EA" w:rsidP="003D3BC5">
      <w:pPr>
        <w:pStyle w:val="Heading2"/>
        <w:rPr>
          <w:lang w:val="sr-Cyrl-RS"/>
        </w:rPr>
      </w:pPr>
      <w:bookmarkStart w:id="310" w:name="_Toc57661509"/>
      <w:r w:rsidRPr="000F0299">
        <w:rPr>
          <w:lang w:val="sr-Cyrl-RS"/>
        </w:rPr>
        <w:t>Вредновање учинка</w:t>
      </w:r>
      <w:bookmarkEnd w:id="310"/>
      <w:r w:rsidRPr="000F0299">
        <w:rPr>
          <w:lang w:val="sr-Cyrl-RS"/>
        </w:rPr>
        <w:t xml:space="preserve"> </w:t>
      </w:r>
    </w:p>
    <w:p w14:paraId="30819B9F" w14:textId="77777777" w:rsidR="004917EA" w:rsidRPr="000F0299" w:rsidRDefault="004917EA" w:rsidP="004917EA">
      <w:pPr>
        <w:widowControl w:val="0"/>
        <w:autoSpaceDE w:val="0"/>
        <w:spacing w:after="120"/>
        <w:ind w:right="113"/>
      </w:pPr>
      <w:r w:rsidRPr="000F0299">
        <w:t xml:space="preserve">Имајући у виду да Стратегија РЈУ покрива период од 2021. до 2030. године, а у циљу вредновања учинака, преиспитивања правца и фокуса реформе и могућих измена и допуна, предвиђене су две интерим евалуације (2023. и 2027.) и </w:t>
      </w:r>
      <w:r w:rsidRPr="000F0299">
        <w:rPr>
          <w:i/>
          <w:iCs/>
        </w:rPr>
        <w:t>ex post</w:t>
      </w:r>
      <w:r w:rsidRPr="000F0299">
        <w:t xml:space="preserve"> анализа ефеката по завршетку спровођења Стратегије РЈУ. Вредновање учинка, а нарочито прва интерим евалуација биће коришћена за могућу ревизију Акционог плана 2021-2025, као и израду наредног Акционог плана.</w:t>
      </w:r>
    </w:p>
    <w:p w14:paraId="773BE42C" w14:textId="77777777" w:rsidR="004917EA" w:rsidRPr="000F0299" w:rsidRDefault="004917EA" w:rsidP="004917EA">
      <w:pPr>
        <w:widowControl w:val="0"/>
        <w:autoSpaceDE w:val="0"/>
        <w:spacing w:after="120"/>
        <w:ind w:right="113"/>
      </w:pPr>
      <w:r w:rsidRPr="000F0299">
        <w:t xml:space="preserve">Извештаје о евалуацији (вредновању учинка) потребно је да разматра политички ниво координације РЈУ, ради одлуке о примени препорука и даљем правцу реформи. </w:t>
      </w:r>
    </w:p>
    <w:p w14:paraId="4FAD5BC7" w14:textId="054A83E3" w:rsidR="00C152CF" w:rsidRPr="000F0299" w:rsidRDefault="00C152CF">
      <w:pPr>
        <w:suppressAutoHyphens w:val="0"/>
        <w:autoSpaceDN/>
        <w:spacing w:before="0" w:after="160" w:line="259" w:lineRule="auto"/>
        <w:ind w:firstLine="0"/>
        <w:jc w:val="left"/>
        <w:textAlignment w:val="auto"/>
        <w:rPr>
          <w:rFonts w:asciiTheme="minorHAnsi" w:hAnsiTheme="minorHAnsi"/>
          <w:sz w:val="22"/>
        </w:rPr>
      </w:pPr>
      <w:r w:rsidRPr="000F0299">
        <w:rPr>
          <w:rFonts w:asciiTheme="minorHAnsi" w:hAnsiTheme="minorHAnsi"/>
          <w:sz w:val="22"/>
        </w:rPr>
        <w:br w:type="page"/>
      </w:r>
    </w:p>
    <w:p w14:paraId="6FE6AC25" w14:textId="534B7093" w:rsidR="003F3312" w:rsidRPr="000F0299" w:rsidRDefault="004917EA" w:rsidP="007A0CC3">
      <w:pPr>
        <w:pStyle w:val="Heading1"/>
        <w:rPr>
          <w:lang w:val="sr-Cyrl-RS"/>
        </w:rPr>
      </w:pPr>
      <w:bookmarkStart w:id="311" w:name="_Toc57661510"/>
      <w:r w:rsidRPr="000F0299">
        <w:rPr>
          <w:lang w:val="sr-Cyrl-RS"/>
        </w:rPr>
        <w:t>Прилог 5: Анализа ризика</w:t>
      </w:r>
      <w:bookmarkEnd w:id="311"/>
    </w:p>
    <w:p w14:paraId="5026D542" w14:textId="3B62E32E" w:rsidR="00C152CF" w:rsidRPr="000F0299" w:rsidRDefault="00C152CF" w:rsidP="00C152CF">
      <w:pPr>
        <w:ind w:firstLine="360"/>
      </w:pPr>
      <w:r w:rsidRPr="000F0299">
        <w:t xml:space="preserve">Анализа ризика обухвата само оне релевантне активности, или правце деловања политика чије кашњење, или неспровођење може имати негативне последице по ефекте реформе. Идентификовани ризици и могућа решења приказани су у </w:t>
      </w:r>
      <w:r w:rsidR="00772172" w:rsidRPr="000F0299">
        <w:t>наредној т</w:t>
      </w:r>
      <w:r w:rsidRPr="000F0299">
        <w:t xml:space="preserve">абели. Органи носиоци појединачних идентификованих активности су одговорни за праћење појаве ризика и благовремено обавештавање о њима и спровођење активности за ублажавање и отклањање ризика по спровођење. Поред одређених специфичности у понуђеним решењима за ублажавање ризика, бројне активности/правци деловања политика деле заједничке предуслове. То су: </w:t>
      </w:r>
    </w:p>
    <w:p w14:paraId="7CD02AA7" w14:textId="1C59B2A1" w:rsidR="00C152CF" w:rsidRPr="000F0299" w:rsidRDefault="00C152CF" w:rsidP="00E62A1A">
      <w:pPr>
        <w:pStyle w:val="ListParagraph"/>
        <w:numPr>
          <w:ilvl w:val="0"/>
          <w:numId w:val="11"/>
        </w:numPr>
        <w:suppressAutoHyphens w:val="0"/>
        <w:autoSpaceDN/>
        <w:spacing w:before="0" w:after="0" w:line="259" w:lineRule="auto"/>
        <w:textAlignment w:val="auto"/>
      </w:pPr>
      <w:r w:rsidRPr="000F0299">
        <w:t xml:space="preserve">политичка посвећеност (ангажованост политички именованих лица) </w:t>
      </w:r>
    </w:p>
    <w:p w14:paraId="5901352A" w14:textId="438C6DC7" w:rsidR="00C152CF" w:rsidRPr="000F0299" w:rsidRDefault="00C152CF" w:rsidP="00E62A1A">
      <w:pPr>
        <w:pStyle w:val="ListParagraph"/>
        <w:numPr>
          <w:ilvl w:val="0"/>
          <w:numId w:val="11"/>
        </w:numPr>
        <w:suppressAutoHyphens w:val="0"/>
        <w:autoSpaceDN/>
        <w:spacing w:before="0" w:after="0" w:line="259" w:lineRule="auto"/>
        <w:textAlignment w:val="auto"/>
      </w:pPr>
      <w:r w:rsidRPr="000F0299">
        <w:t xml:space="preserve">расположиви финансијски ресурси и људски капацитети за спровођење </w:t>
      </w:r>
    </w:p>
    <w:p w14:paraId="1E6166B3" w14:textId="595629B1" w:rsidR="00C152CF" w:rsidRPr="000F0299" w:rsidRDefault="00C152CF" w:rsidP="00E62A1A">
      <w:pPr>
        <w:pStyle w:val="ListParagraph"/>
        <w:numPr>
          <w:ilvl w:val="0"/>
          <w:numId w:val="11"/>
        </w:numPr>
        <w:suppressAutoHyphens w:val="0"/>
        <w:autoSpaceDN/>
        <w:spacing w:before="0" w:after="0" w:line="259" w:lineRule="auto"/>
        <w:textAlignment w:val="auto"/>
      </w:pPr>
      <w:r w:rsidRPr="000F0299">
        <w:t xml:space="preserve">ефикасно управљање и координација спровођења </w:t>
      </w:r>
    </w:p>
    <w:p w14:paraId="19AD9DB9" w14:textId="44F5EE79" w:rsidR="00C152CF" w:rsidRPr="000F0299" w:rsidRDefault="00C152CF" w:rsidP="004A318D">
      <w:pPr>
        <w:sectPr w:rsidR="00C152CF" w:rsidRPr="000F0299" w:rsidSect="000631D1">
          <w:headerReference w:type="default" r:id="rId190"/>
          <w:pgSz w:w="11906" w:h="16838"/>
          <w:pgMar w:top="1418" w:right="1418" w:bottom="1134" w:left="1418" w:header="720" w:footer="720" w:gutter="0"/>
          <w:cols w:space="720"/>
          <w:docGrid w:linePitch="360"/>
        </w:sectPr>
      </w:pPr>
      <w:r w:rsidRPr="000F0299">
        <w:t xml:space="preserve">Ангажованија политичка подршка може се придобити добром стратегијом видљивости и интерне и екстерне комуникације о спровођењу и резултатима РЈУ и утицају на управу, грађане и привреду. Обезбеђење одговарајућих и благовремених финансијских ресурса могуће је само уколико су активности и трошкови из акционих планова свих докумената јавних политика под СРЈУ доследно пренети у средњорочне планове носилаца активности, уз непосредну сарадњу са Министарством финансија у благовременом планирању приоритетних области финансирања. Претходна искуства у спровођењу РЈУ указују на </w:t>
      </w:r>
      <w:r w:rsidR="00BB1C3D" w:rsidRPr="000F0299">
        <w:t>преоптерећеност</w:t>
      </w:r>
      <w:r w:rsidRPr="000F0299">
        <w:t xml:space="preserve"> спроводиоца, односно недостатак, и/или неодговарајуће распоређене капацитете, како за спровођење реформе, тако и за координацију спровођења. Решење за овај вид ризика је благовремено планирање или прерасподела капацитета, док се ефикасност координације може обезбедити систематичним и континуираним праћењем, откривањем застоја и системом брзог упозоравања</w:t>
      </w:r>
    </w:p>
    <w:p w14:paraId="0D1AA4EF" w14:textId="3313B737" w:rsidR="004A318D" w:rsidRPr="00C73175" w:rsidRDefault="004A318D" w:rsidP="004A318D">
      <w:pPr>
        <w:pStyle w:val="Caption"/>
        <w:keepNext/>
        <w:rPr>
          <w:i w:val="0"/>
          <w:iCs w:val="0"/>
          <w:lang w:val="sr-Cyrl-RS"/>
        </w:rPr>
      </w:pPr>
      <w:bookmarkStart w:id="312" w:name="_Toc57665381"/>
      <w:r w:rsidRPr="00C73175">
        <w:rPr>
          <w:i w:val="0"/>
          <w:iCs w:val="0"/>
          <w:lang w:val="sr-Cyrl-RS"/>
        </w:rPr>
        <w:t xml:space="preserve">Табела </w:t>
      </w:r>
      <w:r w:rsidRPr="00C73175">
        <w:rPr>
          <w:i w:val="0"/>
          <w:iCs w:val="0"/>
          <w:lang w:val="sr-Cyrl-RS"/>
        </w:rPr>
        <w:fldChar w:fldCharType="begin"/>
      </w:r>
      <w:r w:rsidRPr="00C73175">
        <w:rPr>
          <w:i w:val="0"/>
          <w:iCs w:val="0"/>
          <w:lang w:val="sr-Cyrl-RS"/>
        </w:rPr>
        <w:instrText xml:space="preserve"> SEQ Табела \* ARABIC </w:instrText>
      </w:r>
      <w:r w:rsidRPr="00C73175">
        <w:rPr>
          <w:i w:val="0"/>
          <w:iCs w:val="0"/>
          <w:lang w:val="sr-Cyrl-RS"/>
        </w:rPr>
        <w:fldChar w:fldCharType="separate"/>
      </w:r>
      <w:r w:rsidR="004A706E" w:rsidRPr="00C73175">
        <w:rPr>
          <w:i w:val="0"/>
          <w:iCs w:val="0"/>
          <w:noProof/>
          <w:lang w:val="sr-Cyrl-RS"/>
        </w:rPr>
        <w:t>9</w:t>
      </w:r>
      <w:r w:rsidRPr="00C73175">
        <w:rPr>
          <w:i w:val="0"/>
          <w:iCs w:val="0"/>
          <w:lang w:val="sr-Cyrl-RS"/>
        </w:rPr>
        <w:fldChar w:fldCharType="end"/>
      </w:r>
      <w:r w:rsidRPr="00C73175">
        <w:rPr>
          <w:i w:val="0"/>
          <w:iCs w:val="0"/>
          <w:lang w:val="sr-Cyrl-RS"/>
        </w:rPr>
        <w:t xml:space="preserve"> Анализа ризика</w:t>
      </w:r>
      <w:bookmarkEnd w:id="312"/>
    </w:p>
    <w:tbl>
      <w:tblPr>
        <w:tblStyle w:val="ListTable2-Accent3"/>
        <w:tblW w:w="5000" w:type="pct"/>
        <w:tblLook w:val="06A0" w:firstRow="1" w:lastRow="0" w:firstColumn="1" w:lastColumn="0" w:noHBand="1" w:noVBand="1"/>
      </w:tblPr>
      <w:tblGrid>
        <w:gridCol w:w="2113"/>
        <w:gridCol w:w="2289"/>
        <w:gridCol w:w="2384"/>
        <w:gridCol w:w="3331"/>
        <w:gridCol w:w="4169"/>
      </w:tblGrid>
      <w:tr w:rsidR="00C152CF" w:rsidRPr="000F0299" w14:paraId="12A45B43" w14:textId="77777777" w:rsidTr="004A31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2C4DCBFC" w14:textId="428F3113" w:rsidR="00C152CF" w:rsidRPr="000F0299" w:rsidRDefault="00BA5D28" w:rsidP="004A318D">
            <w:pPr>
              <w:suppressAutoHyphens w:val="0"/>
              <w:autoSpaceDN/>
              <w:spacing w:before="0"/>
              <w:ind w:firstLine="0"/>
              <w:jc w:val="left"/>
              <w:textAlignment w:val="auto"/>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Посебан циљ</w:t>
            </w:r>
          </w:p>
        </w:tc>
        <w:tc>
          <w:tcPr>
            <w:tcW w:w="801" w:type="pct"/>
          </w:tcPr>
          <w:p w14:paraId="3F975292" w14:textId="77777777" w:rsidR="00C152CF" w:rsidRPr="000F0299" w:rsidRDefault="00C152CF" w:rsidP="004A318D">
            <w:pPr>
              <w:suppressAutoHyphens w:val="0"/>
              <w:autoSpaceDN/>
              <w:spacing w:before="0"/>
              <w:ind w:firstLine="0"/>
              <w:jc w:val="left"/>
              <w:textAlignment w:val="auto"/>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Активности/правци деловања политика</w:t>
            </w:r>
          </w:p>
        </w:tc>
        <w:tc>
          <w:tcPr>
            <w:tcW w:w="834" w:type="pct"/>
          </w:tcPr>
          <w:p w14:paraId="2B478494" w14:textId="77777777" w:rsidR="00C152CF" w:rsidRPr="000F0299" w:rsidRDefault="00C152CF" w:rsidP="004A318D">
            <w:pPr>
              <w:suppressAutoHyphens w:val="0"/>
              <w:autoSpaceDN/>
              <w:spacing w:before="0"/>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Претпоставке</w:t>
            </w:r>
          </w:p>
        </w:tc>
        <w:tc>
          <w:tcPr>
            <w:tcW w:w="1166" w:type="pct"/>
          </w:tcPr>
          <w:p w14:paraId="71B5FDED" w14:textId="77777777" w:rsidR="00C152CF" w:rsidRPr="000F0299" w:rsidRDefault="00C152CF" w:rsidP="004A318D">
            <w:pPr>
              <w:suppressAutoHyphens w:val="0"/>
              <w:autoSpaceDN/>
              <w:spacing w:before="0"/>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Опис ризика</w:t>
            </w:r>
          </w:p>
        </w:tc>
        <w:tc>
          <w:tcPr>
            <w:tcW w:w="1459" w:type="pct"/>
          </w:tcPr>
          <w:p w14:paraId="6DDB56F8" w14:textId="77777777" w:rsidR="00C152CF" w:rsidRPr="000F0299" w:rsidRDefault="00C152CF" w:rsidP="004A318D">
            <w:pPr>
              <w:suppressAutoHyphens w:val="0"/>
              <w:autoSpaceDN/>
              <w:spacing w:before="0"/>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Решење/мере за ублажавање ризика</w:t>
            </w:r>
          </w:p>
        </w:tc>
      </w:tr>
      <w:tr w:rsidR="00C152CF" w:rsidRPr="000F0299" w14:paraId="32C57371" w14:textId="77777777" w:rsidTr="004A318D">
        <w:trPr>
          <w:trHeight w:val="176"/>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7E6E6" w:themeFill="background2"/>
            <w:vAlign w:val="center"/>
          </w:tcPr>
          <w:p w14:paraId="464DD3DC" w14:textId="4CE08DD3" w:rsidR="00C152CF" w:rsidRPr="000F0299" w:rsidRDefault="00BA5D28" w:rsidP="004A318D">
            <w:pPr>
              <w:suppressAutoHyphens w:val="0"/>
              <w:autoSpaceDN/>
              <w:spacing w:before="0"/>
              <w:ind w:firstLine="0"/>
              <w:jc w:val="left"/>
              <w:textAlignment w:val="auto"/>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Планирање и координација политика</w:t>
            </w:r>
          </w:p>
        </w:tc>
      </w:tr>
      <w:tr w:rsidR="00C152CF" w:rsidRPr="000F0299" w14:paraId="3F912CBC" w14:textId="77777777" w:rsidTr="004A318D">
        <w:tc>
          <w:tcPr>
            <w:cnfStyle w:val="001000000000" w:firstRow="0" w:lastRow="0" w:firstColumn="1" w:lastColumn="0" w:oddVBand="0" w:evenVBand="0" w:oddHBand="0" w:evenHBand="0" w:firstRowFirstColumn="0" w:firstRowLastColumn="0" w:lastRowFirstColumn="0" w:lastRowLastColumn="0"/>
            <w:tcW w:w="740" w:type="pct"/>
            <w:hideMark/>
          </w:tcPr>
          <w:p w14:paraId="5BEA8BB1" w14:textId="77777777" w:rsidR="00C152CF" w:rsidRPr="000F0299" w:rsidRDefault="00C152CF" w:rsidP="004A318D">
            <w:pPr>
              <w:suppressAutoHyphens w:val="0"/>
              <w:autoSpaceDN/>
              <w:spacing w:before="0"/>
              <w:ind w:firstLine="0"/>
              <w:textAlignment w:val="auto"/>
              <w:rPr>
                <w:rFonts w:eastAsia="Times New Roman"/>
                <w:color w:val="000000"/>
                <w:kern w:val="0"/>
                <w:sz w:val="22"/>
                <w:szCs w:val="22"/>
                <w:lang w:eastAsia="en-US" w:bidi="ar-SA"/>
              </w:rPr>
            </w:pPr>
            <w:r w:rsidRPr="000F0299">
              <w:rPr>
                <w:rFonts w:eastAsia="Calibri"/>
                <w:kern w:val="0"/>
                <w:sz w:val="22"/>
                <w:szCs w:val="22"/>
                <w:lang w:eastAsia="en-US" w:bidi="ar-SA"/>
              </w:rPr>
              <w:t xml:space="preserve">Посебан циљ 1.1: </w:t>
            </w:r>
            <w:r w:rsidRPr="000F0299">
              <w:rPr>
                <w:rFonts w:eastAsia="Times New Roman"/>
                <w:color w:val="000000"/>
                <w:kern w:val="0"/>
                <w:sz w:val="22"/>
                <w:szCs w:val="22"/>
                <w:lang w:eastAsia="en-US" w:bidi="ar-SA"/>
              </w:rPr>
              <w:t>Јавне политике засноване на чињеницама су ефективне, припремљене на транспарентан, инклузиван и координисан начин и оснажене даљим спровођењем регулаторне реформе</w:t>
            </w:r>
          </w:p>
        </w:tc>
        <w:tc>
          <w:tcPr>
            <w:tcW w:w="801" w:type="pct"/>
            <w:hideMark/>
          </w:tcPr>
          <w:p w14:paraId="4FFDF6BE"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Регулаторна реформа у функцији унапређења пословног окружења и смањења непотребног оптерећења за грађане, привреду и управу.</w:t>
            </w:r>
          </w:p>
        </w:tc>
        <w:tc>
          <w:tcPr>
            <w:tcW w:w="834" w:type="pct"/>
          </w:tcPr>
          <w:p w14:paraId="5CEFB103"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Промена досадашње праксе у припреми прописа и праћењу ефеката спровођења доследним спровођењем ЗПС, као и систематичним прикупљањем података и њиховом аналитичком обрадом.</w:t>
            </w:r>
          </w:p>
        </w:tc>
        <w:tc>
          <w:tcPr>
            <w:tcW w:w="1166" w:type="pct"/>
            <w:hideMark/>
          </w:tcPr>
          <w:p w14:paraId="72669FB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Недостатак политичког лидерства за спровођење свеобухватне регулаторне реформе, која захтева значајну промену у култури јавне управе у припреми нових прописа и континуираној евалуацији и измени постојећих може довести до успоравања реформе.</w:t>
            </w:r>
          </w:p>
        </w:tc>
        <w:tc>
          <w:tcPr>
            <w:tcW w:w="1459" w:type="pct"/>
            <w:hideMark/>
          </w:tcPr>
          <w:p w14:paraId="11C7F866" w14:textId="0FE88E9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Потребно је на време мобилисати политичку подршку кабинета Председника Владе РС,  Министарства финансија и упознати их са процесом регулаторне реформе и нарочито ефектима које је свеобухватна регулаторна реформа имала на друштва која су је спровела у последњих 35 година.</w:t>
            </w:r>
          </w:p>
        </w:tc>
      </w:tr>
      <w:tr w:rsidR="00C152CF" w:rsidRPr="000F0299" w14:paraId="7F3FDBC1" w14:textId="77777777" w:rsidTr="004A318D">
        <w:tc>
          <w:tcPr>
            <w:cnfStyle w:val="001000000000" w:firstRow="0" w:lastRow="0" w:firstColumn="1" w:lastColumn="0" w:oddVBand="0" w:evenVBand="0" w:oddHBand="0" w:evenHBand="0" w:firstRowFirstColumn="0" w:firstRowLastColumn="0" w:lastRowFirstColumn="0" w:lastRowLastColumn="0"/>
            <w:tcW w:w="740" w:type="pct"/>
            <w:hideMark/>
          </w:tcPr>
          <w:p w14:paraId="3F6DED4E" w14:textId="77777777" w:rsidR="00C152CF" w:rsidRPr="000F0299" w:rsidRDefault="00C152CF" w:rsidP="004A318D">
            <w:pPr>
              <w:suppressAutoHyphens w:val="0"/>
              <w:autoSpaceDN/>
              <w:spacing w:before="0"/>
              <w:ind w:firstLine="0"/>
              <w:textAlignment w:val="auto"/>
              <w:rPr>
                <w:rFonts w:eastAsia="Times New Roman"/>
                <w:color w:val="000000"/>
                <w:kern w:val="0"/>
                <w:sz w:val="22"/>
                <w:szCs w:val="22"/>
                <w:lang w:eastAsia="en-US" w:bidi="ar-SA"/>
              </w:rPr>
            </w:pPr>
            <w:r w:rsidRPr="000F0299">
              <w:rPr>
                <w:rFonts w:eastAsia="Calibri"/>
                <w:kern w:val="0"/>
                <w:sz w:val="22"/>
                <w:szCs w:val="22"/>
                <w:lang w:eastAsia="en-US" w:bidi="ar-SA"/>
              </w:rPr>
              <w:t>Посебан циљ 1.1.</w:t>
            </w:r>
          </w:p>
        </w:tc>
        <w:tc>
          <w:tcPr>
            <w:tcW w:w="801" w:type="pct"/>
            <w:hideMark/>
          </w:tcPr>
          <w:p w14:paraId="7735AE56"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Регулаторна реформа у функцији унапређења пословног окружења и смањења непотребног оптерећења за јавну управу, грађане и привреду</w:t>
            </w:r>
          </w:p>
        </w:tc>
        <w:tc>
          <w:tcPr>
            <w:tcW w:w="834" w:type="pct"/>
          </w:tcPr>
          <w:p w14:paraId="616E13C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Обезбеђење довољног броја службеника државне управе и ЈЛС који разумеју значај процеса регулаторне реформе и обучени су за спровођење регулаторне реформе.</w:t>
            </w:r>
          </w:p>
        </w:tc>
        <w:tc>
          <w:tcPr>
            <w:tcW w:w="1166" w:type="pct"/>
            <w:hideMark/>
          </w:tcPr>
          <w:p w14:paraId="56F885FD" w14:textId="552C1FE9"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Недостатак експертизе и недовољних људских капацитета у органима државне управе као и суштинског разумевања процеса регулаторне реформе, потреба и очекивања крај</w:t>
            </w:r>
            <w:r w:rsidR="00BB1C3D">
              <w:rPr>
                <w:rFonts w:eastAsia="Times New Roman"/>
                <w:color w:val="000000"/>
                <w:kern w:val="0"/>
                <w:sz w:val="22"/>
                <w:szCs w:val="22"/>
                <w:lang w:eastAsia="en-US" w:bidi="ar-SA"/>
              </w:rPr>
              <w:t>њ</w:t>
            </w:r>
            <w:r w:rsidRPr="000F0299">
              <w:rPr>
                <w:rFonts w:eastAsia="Times New Roman"/>
                <w:color w:val="000000"/>
                <w:kern w:val="0"/>
                <w:sz w:val="22"/>
                <w:szCs w:val="22"/>
                <w:lang w:eastAsia="en-US" w:bidi="ar-SA"/>
              </w:rPr>
              <w:t>их корисника од стране државних службеника и функционера може да успори процес реформе.</w:t>
            </w:r>
          </w:p>
          <w:p w14:paraId="05C96550" w14:textId="2549810D"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Захтев ОДУ да оптимизују све прописе у својој надлежности одједном, може довести то отпора и преоптерећења недовољног броја државних службеника за спровођење ове реформе.</w:t>
            </w:r>
          </w:p>
        </w:tc>
        <w:tc>
          <w:tcPr>
            <w:tcW w:w="1459" w:type="pct"/>
            <w:hideMark/>
          </w:tcPr>
          <w:p w14:paraId="1A4052EE" w14:textId="6A61DC12"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 xml:space="preserve">Потребно је спровести правовремену интерну кампању у оквиру јавне управе у циљу подизања свести о значају регулаторне реформе за унапређење пословног окружења као и спровести обуке у </w:t>
            </w:r>
            <w:r w:rsidR="00BB1C3D" w:rsidRPr="000F0299">
              <w:rPr>
                <w:rFonts w:eastAsia="Times New Roman"/>
                <w:color w:val="000000"/>
                <w:kern w:val="0"/>
                <w:sz w:val="22"/>
                <w:szCs w:val="22"/>
                <w:lang w:eastAsia="en-US" w:bidi="ar-SA"/>
              </w:rPr>
              <w:t>државној</w:t>
            </w:r>
            <w:r w:rsidRPr="000F0299">
              <w:rPr>
                <w:rFonts w:eastAsia="Times New Roman"/>
                <w:color w:val="000000"/>
                <w:kern w:val="0"/>
                <w:sz w:val="22"/>
                <w:szCs w:val="22"/>
                <w:lang w:eastAsia="en-US" w:bidi="ar-SA"/>
              </w:rPr>
              <w:t xml:space="preserve"> управи и ЈЛС о алатима који им стоје на располагању у циљу унапређења квалитета прописа.</w:t>
            </w:r>
          </w:p>
          <w:p w14:paraId="30BA3606"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У циљу ублажавања ризика недовољних људских капацитета, потребно је на време испланирати ангажман екстерне експертске подршке и оснаживања постојећих стручних капацитета у самој јавној управи.</w:t>
            </w:r>
          </w:p>
          <w:p w14:paraId="72B75B8B"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p>
        </w:tc>
      </w:tr>
      <w:tr w:rsidR="00C152CF" w:rsidRPr="000F0299" w14:paraId="34EF984E" w14:textId="77777777" w:rsidTr="004A318D">
        <w:tc>
          <w:tcPr>
            <w:cnfStyle w:val="001000000000" w:firstRow="0" w:lastRow="0" w:firstColumn="1" w:lastColumn="0" w:oddVBand="0" w:evenVBand="0" w:oddHBand="0" w:evenHBand="0" w:firstRowFirstColumn="0" w:firstRowLastColumn="0" w:lastRowFirstColumn="0" w:lastRowLastColumn="0"/>
            <w:tcW w:w="740" w:type="pct"/>
            <w:hideMark/>
          </w:tcPr>
          <w:p w14:paraId="4FDE697B" w14:textId="77777777" w:rsidR="00C152CF" w:rsidRPr="000F0299" w:rsidRDefault="00C152CF" w:rsidP="004A318D">
            <w:pPr>
              <w:suppressAutoHyphens w:val="0"/>
              <w:autoSpaceDN/>
              <w:spacing w:before="0"/>
              <w:ind w:firstLine="0"/>
              <w:textAlignment w:val="auto"/>
              <w:rPr>
                <w:rFonts w:eastAsia="Times New Roman"/>
                <w:color w:val="000000"/>
                <w:kern w:val="0"/>
                <w:sz w:val="22"/>
                <w:szCs w:val="22"/>
                <w:lang w:eastAsia="en-US" w:bidi="ar-SA"/>
              </w:rPr>
            </w:pPr>
            <w:r w:rsidRPr="000F0299">
              <w:rPr>
                <w:rFonts w:eastAsia="Calibri"/>
                <w:kern w:val="0"/>
                <w:sz w:val="22"/>
                <w:szCs w:val="22"/>
                <w:lang w:eastAsia="en-US" w:bidi="ar-SA"/>
              </w:rPr>
              <w:t>Посебан циљ 1.1.</w:t>
            </w:r>
          </w:p>
        </w:tc>
        <w:tc>
          <w:tcPr>
            <w:tcW w:w="801" w:type="pct"/>
            <w:hideMark/>
          </w:tcPr>
          <w:p w14:paraId="228182F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Јачање капацитета и обезбеђивање инструмената за квалитетно управљање јавним политикама</w:t>
            </w:r>
          </w:p>
        </w:tc>
        <w:tc>
          <w:tcPr>
            <w:tcW w:w="834" w:type="pct"/>
          </w:tcPr>
          <w:p w14:paraId="5D899A5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Заинтересованост државних службеника да се пријаве за обуку тренера у области управљања јавним политикама, како би се обучио довољан број.</w:t>
            </w:r>
          </w:p>
        </w:tc>
        <w:tc>
          <w:tcPr>
            <w:tcW w:w="1166" w:type="pct"/>
            <w:hideMark/>
          </w:tcPr>
          <w:p w14:paraId="5CF8A935" w14:textId="1F3A9D9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Постојећи капацитети за обуке су ограничени и могу бити недовољни да се обучи критичан број државних службеника за управљање јавним политикама.</w:t>
            </w:r>
            <w:r w:rsidRPr="000F0299">
              <w:rPr>
                <w:rFonts w:eastAsia="Times New Roman"/>
                <w:color w:val="000000"/>
                <w:kern w:val="0"/>
                <w:sz w:val="22"/>
                <w:szCs w:val="22"/>
                <w:vertAlign w:val="superscript"/>
                <w:lang w:eastAsia="en-US" w:bidi="ar-SA"/>
              </w:rPr>
              <w:footnoteReference w:id="359"/>
            </w:r>
          </w:p>
        </w:tc>
        <w:tc>
          <w:tcPr>
            <w:tcW w:w="1459" w:type="pct"/>
            <w:hideMark/>
          </w:tcPr>
          <w:p w14:paraId="4A803EA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 xml:space="preserve">Потребно је припремити нови план обука тренера у области управљања јавним политикама, како би се њихов број повећао, а тиме и повећао капацитет НАЈУ да пружи обуке у овој области. </w:t>
            </w:r>
          </w:p>
        </w:tc>
      </w:tr>
      <w:tr w:rsidR="00C152CF" w:rsidRPr="000F0299" w14:paraId="3BF70105" w14:textId="77777777" w:rsidTr="004A318D">
        <w:trPr>
          <w:trHeight w:val="1944"/>
        </w:trPr>
        <w:tc>
          <w:tcPr>
            <w:cnfStyle w:val="001000000000" w:firstRow="0" w:lastRow="0" w:firstColumn="1" w:lastColumn="0" w:oddVBand="0" w:evenVBand="0" w:oddHBand="0" w:evenHBand="0" w:firstRowFirstColumn="0" w:firstRowLastColumn="0" w:lastRowFirstColumn="0" w:lastRowLastColumn="0"/>
            <w:tcW w:w="740" w:type="pct"/>
            <w:hideMark/>
          </w:tcPr>
          <w:p w14:paraId="66B2BECD" w14:textId="5BB22763" w:rsidR="00C152CF" w:rsidRPr="000F0299" w:rsidRDefault="00C152CF" w:rsidP="004A318D">
            <w:pPr>
              <w:suppressAutoHyphens w:val="0"/>
              <w:autoSpaceDN/>
              <w:spacing w:before="0"/>
              <w:ind w:firstLine="0"/>
              <w:textAlignment w:val="auto"/>
              <w:rPr>
                <w:rFonts w:eastAsia="Times New Roman"/>
                <w:color w:val="000000"/>
                <w:kern w:val="0"/>
                <w:sz w:val="22"/>
                <w:szCs w:val="22"/>
                <w:lang w:eastAsia="en-US" w:bidi="ar-SA"/>
              </w:rPr>
            </w:pPr>
            <w:r w:rsidRPr="000F0299">
              <w:rPr>
                <w:rFonts w:eastAsia="Calibri"/>
                <w:kern w:val="0"/>
                <w:sz w:val="22"/>
                <w:szCs w:val="22"/>
                <w:lang w:eastAsia="en-US" w:bidi="ar-SA"/>
              </w:rPr>
              <w:t>Посебан циљ 1.1.</w:t>
            </w:r>
          </w:p>
        </w:tc>
        <w:tc>
          <w:tcPr>
            <w:tcW w:w="801" w:type="pct"/>
            <w:hideMark/>
          </w:tcPr>
          <w:p w14:paraId="724EAFD6"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 xml:space="preserve">Повећање учешћа јавности у креирању ЈП и прописа и праћењу њихових ефеката </w:t>
            </w:r>
          </w:p>
        </w:tc>
        <w:tc>
          <w:tcPr>
            <w:tcW w:w="834" w:type="pct"/>
          </w:tcPr>
          <w:p w14:paraId="4FBC9E2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Једноставан и јасан правни оквир за спровођење консултација.</w:t>
            </w:r>
          </w:p>
          <w:p w14:paraId="120B155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Обезбеђење довољног броја службеника државне управе и ЈЛС који разумеју значај консултација и мотивисани су да се обуче и примењују стечена знања и вештине.</w:t>
            </w:r>
          </w:p>
        </w:tc>
        <w:tc>
          <w:tcPr>
            <w:tcW w:w="1166" w:type="pct"/>
            <w:hideMark/>
          </w:tcPr>
          <w:p w14:paraId="650F01DF" w14:textId="4D127AF9"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Недовољна експертиза у државној управи за спровођење консултација и активније учешће јавности у процесу, због чега постоји ризик да се консултације спроводе само про форме, а не ради утврђивања потреба и прикупљања предлога оних на које јавна политика утиче. Такође, постоји ризик да постојећи прани оквир за консултације, који се често квалификује као нејасан и пренормиран, може отежати активније укључивање заинтересованих страна у процес припреме докумената јавних политика и прописа.</w:t>
            </w:r>
          </w:p>
        </w:tc>
        <w:tc>
          <w:tcPr>
            <w:tcW w:w="1459" w:type="pct"/>
            <w:hideMark/>
          </w:tcPr>
          <w:p w14:paraId="0BC7C7B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Припрема плана обука државних службеника за подстицање и активно укључивање заинтересованих страна у процес консултација.</w:t>
            </w:r>
          </w:p>
          <w:p w14:paraId="0A44989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Успостављање контроле квалитета спровођења консултација, како би државни органи били подстакнути да их спроводе благовремено и адекватно.</w:t>
            </w:r>
          </w:p>
          <w:p w14:paraId="049D75D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p>
          <w:p w14:paraId="27BDEB4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У циљу унапређења правног оквира за консултације, потребно је припремити измене Закона о планском систему у деловима који се односе на спровођење консултација.</w:t>
            </w:r>
          </w:p>
        </w:tc>
      </w:tr>
      <w:tr w:rsidR="00C152CF" w:rsidRPr="000F0299" w14:paraId="73E12F5A" w14:textId="77777777" w:rsidTr="004A318D">
        <w:trPr>
          <w:trHeight w:val="1944"/>
        </w:trPr>
        <w:tc>
          <w:tcPr>
            <w:cnfStyle w:val="001000000000" w:firstRow="0" w:lastRow="0" w:firstColumn="1" w:lastColumn="0" w:oddVBand="0" w:evenVBand="0" w:oddHBand="0" w:evenHBand="0" w:firstRowFirstColumn="0" w:firstRowLastColumn="0" w:lastRowFirstColumn="0" w:lastRowLastColumn="0"/>
            <w:tcW w:w="740" w:type="pct"/>
          </w:tcPr>
          <w:p w14:paraId="0DEEDF95" w14:textId="77777777" w:rsidR="00C152CF" w:rsidRPr="000F0299" w:rsidRDefault="00C152CF" w:rsidP="004A318D">
            <w:pPr>
              <w:suppressAutoHyphens w:val="0"/>
              <w:autoSpaceDN/>
              <w:spacing w:before="0"/>
              <w:ind w:firstLine="0"/>
              <w:textAlignment w:val="auto"/>
              <w:rPr>
                <w:rFonts w:eastAsia="Times New Roman"/>
                <w:color w:val="000000"/>
                <w:kern w:val="0"/>
                <w:sz w:val="22"/>
                <w:szCs w:val="22"/>
                <w:lang w:eastAsia="en-US" w:bidi="ar-SA"/>
              </w:rPr>
            </w:pPr>
            <w:r w:rsidRPr="000F0299">
              <w:rPr>
                <w:rFonts w:eastAsia="Calibri"/>
                <w:kern w:val="0"/>
                <w:sz w:val="22"/>
                <w:szCs w:val="22"/>
                <w:lang w:eastAsia="en-US" w:bidi="ar-SA"/>
              </w:rPr>
              <w:t>Посебан циљ 1.1.</w:t>
            </w:r>
          </w:p>
        </w:tc>
        <w:tc>
          <w:tcPr>
            <w:tcW w:w="801" w:type="pct"/>
          </w:tcPr>
          <w:p w14:paraId="2004048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 xml:space="preserve">Повећање учешћа јавности у креирању ЈП и прописа и праћењу њихових ефеката </w:t>
            </w:r>
          </w:p>
        </w:tc>
        <w:tc>
          <w:tcPr>
            <w:tcW w:w="834" w:type="pct"/>
          </w:tcPr>
          <w:p w14:paraId="552ED87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Оснажени надлежни органи за надзор примене Закона о лобирању да правовремено реагују у случају непоштовања закона</w:t>
            </w:r>
          </w:p>
        </w:tc>
        <w:tc>
          <w:tcPr>
            <w:tcW w:w="1166" w:type="pct"/>
          </w:tcPr>
          <w:p w14:paraId="0132CE6F"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Недостатак транспарентности у погледу утицаја посебних група на припрему јавних политика може да угрози кредибилитет реформе управљања јавним политикама.</w:t>
            </w:r>
          </w:p>
        </w:tc>
        <w:tc>
          <w:tcPr>
            <w:tcW w:w="1459" w:type="pct"/>
          </w:tcPr>
          <w:p w14:paraId="15262835"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 xml:space="preserve">Неопходна је честа комуникација и јавно извештавање о примени Закона о лобирању. </w:t>
            </w:r>
          </w:p>
        </w:tc>
      </w:tr>
      <w:tr w:rsidR="00C152CF" w:rsidRPr="000F0299" w14:paraId="2B857122" w14:textId="77777777" w:rsidTr="004A318D">
        <w:trPr>
          <w:trHeight w:val="54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vAlign w:val="center"/>
          </w:tcPr>
          <w:p w14:paraId="20E27A95" w14:textId="06F3D1E9" w:rsidR="00C152CF" w:rsidRPr="000F0299" w:rsidRDefault="00D220E9" w:rsidP="004A318D">
            <w:pPr>
              <w:suppressAutoHyphens w:val="0"/>
              <w:autoSpaceDN/>
              <w:spacing w:before="0"/>
              <w:ind w:firstLine="0"/>
              <w:jc w:val="left"/>
              <w:textAlignment w:val="auto"/>
              <w:rPr>
                <w:rFonts w:eastAsia="Times New Roman"/>
                <w:color w:val="000000"/>
                <w:kern w:val="0"/>
                <w:sz w:val="22"/>
                <w:szCs w:val="22"/>
                <w:lang w:eastAsia="en-US" w:bidi="ar-SA"/>
              </w:rPr>
            </w:pPr>
            <w:r w:rsidRPr="000F0299">
              <w:rPr>
                <w:rFonts w:eastAsia="Calibri"/>
                <w:kern w:val="0"/>
                <w:sz w:val="22"/>
                <w:szCs w:val="22"/>
                <w:lang w:eastAsia="en-US" w:bidi="ar-SA"/>
              </w:rPr>
              <w:t>Управљање људским ресурсима</w:t>
            </w:r>
          </w:p>
        </w:tc>
      </w:tr>
      <w:tr w:rsidR="00C152CF" w:rsidRPr="000F0299" w14:paraId="444175FA" w14:textId="77777777" w:rsidTr="004A318D">
        <w:trPr>
          <w:trHeight w:val="1944"/>
        </w:trPr>
        <w:tc>
          <w:tcPr>
            <w:cnfStyle w:val="001000000000" w:firstRow="0" w:lastRow="0" w:firstColumn="1" w:lastColumn="0" w:oddVBand="0" w:evenVBand="0" w:oddHBand="0" w:evenHBand="0" w:firstRowFirstColumn="0" w:firstRowLastColumn="0" w:lastRowFirstColumn="0" w:lastRowLastColumn="0"/>
            <w:tcW w:w="740" w:type="pct"/>
          </w:tcPr>
          <w:p w14:paraId="3951F85F"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2.1. Унапређен процес регрутације у јавној управи</w:t>
            </w:r>
          </w:p>
        </w:tc>
        <w:tc>
          <w:tcPr>
            <w:tcW w:w="801" w:type="pct"/>
          </w:tcPr>
          <w:p w14:paraId="18B2383E"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Израда кадровског плана органа државне управе за 2024. годину у складу са иновираном методологијом за планирање кадрова</w:t>
            </w:r>
          </w:p>
        </w:tc>
        <w:tc>
          <w:tcPr>
            <w:tcW w:w="834" w:type="pct"/>
          </w:tcPr>
          <w:p w14:paraId="0824734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Иновирана методологија за планирање кадрова</w:t>
            </w:r>
          </w:p>
          <w:p w14:paraId="7967FD1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Омогућено  запошљавање у складу са реалним потребама</w:t>
            </w:r>
          </w:p>
        </w:tc>
        <w:tc>
          <w:tcPr>
            <w:tcW w:w="1166" w:type="pct"/>
          </w:tcPr>
          <w:p w14:paraId="2565CE2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 xml:space="preserve">Устаљена пракса недоношења кадровских планова у органима државне управе у протеклом периоду услед увођења забране запошљавања, запошљавање које је пре свега условљено расположивим финансијским средствима, као и непознавање нове методологије и новог приступа у планирању кадрова од стране запослених који раде на припреми кадровских планова, може да угрози планирање кадрова у складу са реалним потребама. </w:t>
            </w:r>
          </w:p>
        </w:tc>
        <w:tc>
          <w:tcPr>
            <w:tcW w:w="1459" w:type="pct"/>
          </w:tcPr>
          <w:p w14:paraId="4DA168E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Кључно је јачати кадровске капацитете који раде на планирању кадрова, али и обезбедити координацију буџетског и кадровског планирање, односно да кадровски план буде усаглашен са финансијским планом. Такође, потребно је унапредити и информациони систем за УЉР, који би се створили услови за аналитички приступ кадровима и његовом планирању.</w:t>
            </w:r>
          </w:p>
        </w:tc>
      </w:tr>
      <w:tr w:rsidR="00C152CF" w:rsidRPr="000F0299" w14:paraId="61FAAA1F" w14:textId="77777777" w:rsidTr="004A318D">
        <w:trPr>
          <w:trHeight w:val="558"/>
        </w:trPr>
        <w:tc>
          <w:tcPr>
            <w:cnfStyle w:val="001000000000" w:firstRow="0" w:lastRow="0" w:firstColumn="1" w:lastColumn="0" w:oddVBand="0" w:evenVBand="0" w:oddHBand="0" w:evenHBand="0" w:firstRowFirstColumn="0" w:firstRowLastColumn="0" w:lastRowFirstColumn="0" w:lastRowLastColumn="0"/>
            <w:tcW w:w="740" w:type="pct"/>
          </w:tcPr>
          <w:p w14:paraId="1E57C36D"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 xml:space="preserve">Посебан циљ 2.1. </w:t>
            </w:r>
          </w:p>
        </w:tc>
        <w:tc>
          <w:tcPr>
            <w:tcW w:w="801" w:type="pct"/>
          </w:tcPr>
          <w:p w14:paraId="27F0EAA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Развој и спровођење обука за запослене у кадровским јединицама и руководиоце у органима АП и ЈЛС за примену Оквира компетенција</w:t>
            </w:r>
          </w:p>
        </w:tc>
        <w:tc>
          <w:tcPr>
            <w:tcW w:w="834" w:type="pct"/>
          </w:tcPr>
          <w:p w14:paraId="60665856"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Усвојен Оквир компетенција за запослене у АП и ЈЛС</w:t>
            </w:r>
          </w:p>
          <w:p w14:paraId="5157D56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Довољан број обучених тренера за спровођење обука. </w:t>
            </w:r>
          </w:p>
        </w:tc>
        <w:tc>
          <w:tcPr>
            <w:tcW w:w="1166" w:type="pct"/>
          </w:tcPr>
          <w:p w14:paraId="31A1A09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 xml:space="preserve"> Велико радно оптерећење руководиоца на нивоу Аутономне покрајине и локалне самоуправе, као и низак приоритет који придају учешћу на обукама могу да ограниче њихово разумевање за нови систем компетенција, а самим тим и његову имплементацију.</w:t>
            </w:r>
          </w:p>
        </w:tc>
        <w:tc>
          <w:tcPr>
            <w:tcW w:w="1459" w:type="pct"/>
          </w:tcPr>
          <w:p w14:paraId="2099823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Потребно је благовремено информисати руководиоце о терминима за обуке и понудити флексибилније методе рада и обука. </w:t>
            </w:r>
          </w:p>
          <w:p w14:paraId="3C263467"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Потребно је радити на подизању свести, али и обавеза код руководилаца у АП и ЈЛС да похађају ове обуке. </w:t>
            </w:r>
          </w:p>
          <w:p w14:paraId="20B52FE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Континуирано праћење присуства руководиоца указаће да ли се ризик манифестује и тад се може укључити и руководство ЈЛС.</w:t>
            </w:r>
          </w:p>
        </w:tc>
      </w:tr>
      <w:tr w:rsidR="00C152CF" w:rsidRPr="000F0299" w14:paraId="6CD155DB" w14:textId="77777777" w:rsidTr="004A318D">
        <w:trPr>
          <w:trHeight w:val="1944"/>
        </w:trPr>
        <w:tc>
          <w:tcPr>
            <w:cnfStyle w:val="001000000000" w:firstRow="0" w:lastRow="0" w:firstColumn="1" w:lastColumn="0" w:oddVBand="0" w:evenVBand="0" w:oddHBand="0" w:evenHBand="0" w:firstRowFirstColumn="0" w:firstRowLastColumn="0" w:lastRowFirstColumn="0" w:lastRowLastColumn="0"/>
            <w:tcW w:w="740" w:type="pct"/>
          </w:tcPr>
          <w:p w14:paraId="685D49DD"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2.1.</w:t>
            </w:r>
          </w:p>
        </w:tc>
        <w:tc>
          <w:tcPr>
            <w:tcW w:w="801" w:type="pct"/>
          </w:tcPr>
          <w:p w14:paraId="5DE7A4F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Измена нормативног оквира у делу постављења на положај вршиоца дужности у складу са предлогом мера за унапређење</w:t>
            </w:r>
          </w:p>
        </w:tc>
        <w:tc>
          <w:tcPr>
            <w:tcW w:w="834" w:type="pct"/>
          </w:tcPr>
          <w:p w14:paraId="1AB1418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Консензус око потребе да се професионализује државна управа кроз унапређење процеса запошљавања лица на положају, укључујући и постављење  на положај вршиоца дужности</w:t>
            </w:r>
          </w:p>
          <w:p w14:paraId="1D2A78D6"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Спроведена анализа законодавног оквира којим се уређује поступак и овлашћење за постављење на положај и вршиоци дужности и предлози мера за унапређење</w:t>
            </w:r>
          </w:p>
        </w:tc>
        <w:tc>
          <w:tcPr>
            <w:tcW w:w="1166" w:type="pct"/>
          </w:tcPr>
          <w:p w14:paraId="016A591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 xml:space="preserve">Отпор професионализацији и деполитизацији, као и отпор променама унутар система могу отежати измену нормативног оквира који би унапредио процес постављења на положај вршиоца дужности тако што би смањио политички утицај на службеничким систем. </w:t>
            </w:r>
          </w:p>
        </w:tc>
        <w:tc>
          <w:tcPr>
            <w:tcW w:w="1459" w:type="pct"/>
          </w:tcPr>
          <w:p w14:paraId="67E8E62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Изградити „коалицију“ састављену од политичког вођства, државних службеника на положају, Високог службеничког савета, предвођене МДУЛС и ГС за препознавање значаја системског уређења попуњавања радних места државних службеника на положају, укључујући постављење вршиоца дужности.</w:t>
            </w:r>
          </w:p>
        </w:tc>
      </w:tr>
      <w:tr w:rsidR="00C152CF" w:rsidRPr="000F0299" w14:paraId="1A1AF1CD" w14:textId="77777777" w:rsidTr="004A318D">
        <w:trPr>
          <w:trHeight w:val="983"/>
        </w:trPr>
        <w:tc>
          <w:tcPr>
            <w:cnfStyle w:val="001000000000" w:firstRow="0" w:lastRow="0" w:firstColumn="1" w:lastColumn="0" w:oddVBand="0" w:evenVBand="0" w:oddHBand="0" w:evenHBand="0" w:firstRowFirstColumn="0" w:firstRowLastColumn="0" w:lastRowFirstColumn="0" w:lastRowLastColumn="0"/>
            <w:tcW w:w="740" w:type="pct"/>
          </w:tcPr>
          <w:p w14:paraId="35D79E02"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2.2. Ефикасан систем за управљање каријером примењен у пракси</w:t>
            </w:r>
          </w:p>
        </w:tc>
        <w:tc>
          <w:tcPr>
            <w:tcW w:w="801" w:type="pct"/>
          </w:tcPr>
          <w:p w14:paraId="2BD5787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Развој  обука за руководиоце и јединице за кадрове засноване на компетенцијама</w:t>
            </w:r>
          </w:p>
        </w:tc>
        <w:tc>
          <w:tcPr>
            <w:tcW w:w="834" w:type="pct"/>
          </w:tcPr>
          <w:p w14:paraId="377C0B0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Унапређен Оквир компетенција за све државне службенике</w:t>
            </w:r>
          </w:p>
          <w:p w14:paraId="2CBF1D06"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Усвојен Оквир компетенција за запослене у АП и ЈЛС и </w:t>
            </w:r>
          </w:p>
          <w:p w14:paraId="3AC94C17"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Довољан број тренера за спровођење обука.</w:t>
            </w:r>
          </w:p>
        </w:tc>
        <w:tc>
          <w:tcPr>
            <w:tcW w:w="1166" w:type="pct"/>
          </w:tcPr>
          <w:p w14:paraId="5778F12F"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 xml:space="preserve">Велико радно оптерећење руководиоца може негативно да се одрази на њихово присуство на обукама којима би се јачале њихове понашајне компетенција, а које су неопходне за адекватно обављање послова руковођена у органима. </w:t>
            </w:r>
          </w:p>
        </w:tc>
        <w:tc>
          <w:tcPr>
            <w:tcW w:w="1459" w:type="pct"/>
          </w:tcPr>
          <w:p w14:paraId="55C9885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Потребно је благовремено информисати руководиоце о терминима за обуке и понудити флексибилније методе рада и обука. </w:t>
            </w:r>
          </w:p>
          <w:p w14:paraId="2F7F6903"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Потребно је радити на подизању свести, али и обавеза код руководилаца да похађају ове обуке. </w:t>
            </w:r>
          </w:p>
          <w:p w14:paraId="45EC6CE9"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Континуирано праћење присуства руководиоца указаће да ли се ризик манифестује и тад се може и Савет за РЈУ укључити и ставити нагласак на значају ове и повезаних активности.</w:t>
            </w:r>
          </w:p>
        </w:tc>
      </w:tr>
      <w:tr w:rsidR="00C152CF" w:rsidRPr="000F0299" w14:paraId="754D16A6" w14:textId="77777777" w:rsidTr="004A318D">
        <w:trPr>
          <w:trHeight w:val="1266"/>
        </w:trPr>
        <w:tc>
          <w:tcPr>
            <w:cnfStyle w:val="001000000000" w:firstRow="0" w:lastRow="0" w:firstColumn="1" w:lastColumn="0" w:oddVBand="0" w:evenVBand="0" w:oddHBand="0" w:evenHBand="0" w:firstRowFirstColumn="0" w:firstRowLastColumn="0" w:lastRowFirstColumn="0" w:lastRowLastColumn="0"/>
            <w:tcW w:w="740" w:type="pct"/>
          </w:tcPr>
          <w:p w14:paraId="16BB0012"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 xml:space="preserve">Посебан циљ 2.2. </w:t>
            </w:r>
          </w:p>
        </w:tc>
        <w:tc>
          <w:tcPr>
            <w:tcW w:w="801" w:type="pct"/>
          </w:tcPr>
          <w:p w14:paraId="1EFE67A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Имплементација реформе система плата у јавном сектору</w:t>
            </w:r>
          </w:p>
        </w:tc>
        <w:tc>
          <w:tcPr>
            <w:tcW w:w="834" w:type="pct"/>
          </w:tcPr>
          <w:p w14:paraId="20DBB648"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Консензус око ефикасног спровођења реформе плате</w:t>
            </w:r>
          </w:p>
        </w:tc>
        <w:tc>
          <w:tcPr>
            <w:tcW w:w="1166" w:type="pct"/>
          </w:tcPr>
          <w:p w14:paraId="27ECB39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Континуирано одлагање усвајања посебних закона могу да отежају спровођење системског закона (2016) који поставља основ система плата у целој јавној управи.</w:t>
            </w:r>
          </w:p>
        </w:tc>
        <w:tc>
          <w:tcPr>
            <w:tcW w:w="1459" w:type="pct"/>
          </w:tcPr>
          <w:p w14:paraId="3EB33E2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Развити и договорити се око мапе пута/временског распореда за припрему нацрта и усвајање посебних закона (на свим нивоима власти).</w:t>
            </w:r>
          </w:p>
          <w:p w14:paraId="7D63B61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Ова мапа пута може да служи за праћење напретка на највишем политичком нивоу.</w:t>
            </w:r>
          </w:p>
        </w:tc>
      </w:tr>
      <w:tr w:rsidR="00C152CF" w:rsidRPr="000F0299" w14:paraId="5A71C60F" w14:textId="77777777" w:rsidTr="004A318D">
        <w:trPr>
          <w:trHeight w:val="1944"/>
        </w:trPr>
        <w:tc>
          <w:tcPr>
            <w:cnfStyle w:val="001000000000" w:firstRow="0" w:lastRow="0" w:firstColumn="1" w:lastColumn="0" w:oddVBand="0" w:evenVBand="0" w:oddHBand="0" w:evenHBand="0" w:firstRowFirstColumn="0" w:firstRowLastColumn="0" w:lastRowFirstColumn="0" w:lastRowLastColumn="0"/>
            <w:tcW w:w="740" w:type="pct"/>
          </w:tcPr>
          <w:p w14:paraId="296AC209"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 xml:space="preserve">Посебан циљ 2.2. </w:t>
            </w:r>
          </w:p>
        </w:tc>
        <w:tc>
          <w:tcPr>
            <w:tcW w:w="801" w:type="pct"/>
          </w:tcPr>
          <w:p w14:paraId="7FA2A41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Имплементација политике о управљању државних службеника на положају у нормативни оквир </w:t>
            </w:r>
          </w:p>
        </w:tc>
        <w:tc>
          <w:tcPr>
            <w:tcW w:w="834" w:type="pct"/>
          </w:tcPr>
          <w:p w14:paraId="1D7EEC5E"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Консензус око потребе да се државна управа професионализује и деполитизује.</w:t>
            </w:r>
          </w:p>
        </w:tc>
        <w:tc>
          <w:tcPr>
            <w:tcW w:w="1166" w:type="pct"/>
          </w:tcPr>
          <w:p w14:paraId="293E812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Незаинтересованост за развој стратешког документа за управљање руководиоцима и службеницима на положају са мапом пута за усвајање посебних закона може негативно да утиче на професионализацију и деполитизацију администрације.</w:t>
            </w:r>
          </w:p>
        </w:tc>
        <w:tc>
          <w:tcPr>
            <w:tcW w:w="1459" w:type="pct"/>
          </w:tcPr>
          <w:p w14:paraId="5DECA48E"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Треба креирати посебан консултативни механизам за политички дијалог на највишем нивоу о управљању руководиоцима и службеницима на положају.</w:t>
            </w:r>
          </w:p>
        </w:tc>
      </w:tr>
      <w:tr w:rsidR="00C152CF" w:rsidRPr="000F0299" w14:paraId="2A626D4C" w14:textId="77777777" w:rsidTr="004A318D">
        <w:trPr>
          <w:trHeight w:val="1944"/>
        </w:trPr>
        <w:tc>
          <w:tcPr>
            <w:cnfStyle w:val="001000000000" w:firstRow="0" w:lastRow="0" w:firstColumn="1" w:lastColumn="0" w:oddVBand="0" w:evenVBand="0" w:oddHBand="0" w:evenHBand="0" w:firstRowFirstColumn="0" w:firstRowLastColumn="0" w:lastRowFirstColumn="0" w:lastRowLastColumn="0"/>
            <w:tcW w:w="740" w:type="pct"/>
          </w:tcPr>
          <w:p w14:paraId="59C80B8F"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2.3: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w:t>
            </w:r>
          </w:p>
        </w:tc>
        <w:tc>
          <w:tcPr>
            <w:tcW w:w="801" w:type="pct"/>
          </w:tcPr>
          <w:p w14:paraId="6A704C2E"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Унапређење капацитета државних органа и органа јединица локалне самоуправе за успешно управљање и спровођење процеса јединственог система стручног усавршавања у државним органима и органима јединица локалне самоуправе</w:t>
            </w:r>
          </w:p>
        </w:tc>
        <w:tc>
          <w:tcPr>
            <w:tcW w:w="834" w:type="pct"/>
          </w:tcPr>
          <w:p w14:paraId="71277BBE"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Адекватно учешће и сарадња свих надлежних институција</w:t>
            </w:r>
          </w:p>
          <w:p w14:paraId="12C30B9B"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Повећање броја запослених и унапређење њихових компетенција кроз обуке</w:t>
            </w:r>
          </w:p>
        </w:tc>
        <w:tc>
          <w:tcPr>
            <w:tcW w:w="1166" w:type="pct"/>
          </w:tcPr>
          <w:p w14:paraId="5FA0FC38"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У органима државне управе и ЈЛС неретко не постоји довољно свести о значају не само стручног усавршавања, него и шире управљањем људским ресурсима, што је по правилу праћено недовољним људским капацитетима за адекватно бављење људским ресурсима, а нарочито за стручно усавршавање које је само једна од функција УЉР.</w:t>
            </w:r>
          </w:p>
        </w:tc>
        <w:tc>
          <w:tcPr>
            <w:tcW w:w="1459" w:type="pct"/>
          </w:tcPr>
          <w:p w14:paraId="3DF8D20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Потребно је посебан фокус ставити на праћење реализације ове активности јер она у великој мери може усмерити успех целог циља. </w:t>
            </w:r>
          </w:p>
          <w:p w14:paraId="0D9F112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Треба даље промовисати значај стручног усавршавања, и обезбедити средства за новозапослене и њихово обучавање да се баве стручним усавршавањем запослених.</w:t>
            </w:r>
          </w:p>
        </w:tc>
      </w:tr>
      <w:tr w:rsidR="00C152CF" w:rsidRPr="000F0299" w14:paraId="049DA754" w14:textId="77777777" w:rsidTr="004A318D">
        <w:trPr>
          <w:trHeight w:val="1944"/>
        </w:trPr>
        <w:tc>
          <w:tcPr>
            <w:cnfStyle w:val="001000000000" w:firstRow="0" w:lastRow="0" w:firstColumn="1" w:lastColumn="0" w:oddVBand="0" w:evenVBand="0" w:oddHBand="0" w:evenHBand="0" w:firstRowFirstColumn="0" w:firstRowLastColumn="0" w:lastRowFirstColumn="0" w:lastRowLastColumn="0"/>
            <w:tcW w:w="740" w:type="pct"/>
          </w:tcPr>
          <w:p w14:paraId="1D07CBD0"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2.3.</w:t>
            </w:r>
          </w:p>
        </w:tc>
        <w:tc>
          <w:tcPr>
            <w:tcW w:w="801" w:type="pct"/>
          </w:tcPr>
          <w:p w14:paraId="4F229DD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Успостављање оквира за унапређење  сарадње институција  у чијем делокругу су послови организовања и спровођења програма стручног усавршавања запослених у државним и другим органима (мрежа школа)</w:t>
            </w:r>
          </w:p>
        </w:tc>
        <w:tc>
          <w:tcPr>
            <w:tcW w:w="834" w:type="pct"/>
          </w:tcPr>
          <w:p w14:paraId="7E0D17B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Заинтересованост за међуинституционалну сарадња и координацију и препознавање потребе за активним учешћем свих надлежних институција.</w:t>
            </w:r>
          </w:p>
          <w:p w14:paraId="5752C70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p>
        </w:tc>
        <w:tc>
          <w:tcPr>
            <w:tcW w:w="1166" w:type="pct"/>
          </w:tcPr>
          <w:p w14:paraId="1DAB3157"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 xml:space="preserve">Зависност од великог броја институција МДУЛС, НАЈУ, Правосудна академија, Дипломатска академија и свих осталих органа који су развили посебне програме стручног усавршавања могу да одложе успостављање мреже школа, или смање њихову делотворност. </w:t>
            </w:r>
          </w:p>
        </w:tc>
        <w:tc>
          <w:tcPr>
            <w:tcW w:w="1459" w:type="pct"/>
          </w:tcPr>
          <w:p w14:paraId="4B90947F"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Развити план спровођења са свим релевантним заинтересованим странама и успоставити механизам за праћење напретка како би се решила могућа уска грла.. </w:t>
            </w:r>
          </w:p>
        </w:tc>
      </w:tr>
      <w:tr w:rsidR="00C152CF" w:rsidRPr="000F0299" w14:paraId="519EE232" w14:textId="77777777" w:rsidTr="004A318D">
        <w:trPr>
          <w:trHeight w:val="504"/>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EEAF6" w:themeFill="accent5" w:themeFillTint="33"/>
            <w:vAlign w:val="center"/>
          </w:tcPr>
          <w:p w14:paraId="2F28F72A" w14:textId="7C103D89" w:rsidR="00C152CF" w:rsidRPr="000F0299" w:rsidRDefault="00D220E9" w:rsidP="004A318D">
            <w:pPr>
              <w:suppressAutoHyphens w:val="0"/>
              <w:autoSpaceDN/>
              <w:spacing w:before="0"/>
              <w:ind w:firstLine="0"/>
              <w:jc w:val="left"/>
              <w:textAlignment w:val="auto"/>
              <w:rPr>
                <w:rFonts w:eastAsia="Calibri"/>
                <w:kern w:val="0"/>
                <w:sz w:val="22"/>
                <w:szCs w:val="22"/>
                <w:lang w:eastAsia="en-US" w:bidi="ar-SA"/>
              </w:rPr>
            </w:pPr>
            <w:r w:rsidRPr="000F0299">
              <w:rPr>
                <w:rFonts w:eastAsia="Calibri"/>
                <w:kern w:val="0"/>
                <w:sz w:val="22"/>
                <w:szCs w:val="22"/>
                <w:lang w:eastAsia="en-US" w:bidi="ar-SA"/>
              </w:rPr>
              <w:t>Пружање услуга</w:t>
            </w:r>
          </w:p>
        </w:tc>
      </w:tr>
      <w:tr w:rsidR="00C152CF" w:rsidRPr="000F0299" w14:paraId="69E4EE7C" w14:textId="77777777" w:rsidTr="004A318D">
        <w:trPr>
          <w:trHeight w:val="1944"/>
        </w:trPr>
        <w:tc>
          <w:tcPr>
            <w:cnfStyle w:val="001000000000" w:firstRow="0" w:lastRow="0" w:firstColumn="1" w:lastColumn="0" w:oddVBand="0" w:evenVBand="0" w:oddHBand="0" w:evenHBand="0" w:firstRowFirstColumn="0" w:firstRowLastColumn="0" w:lastRowFirstColumn="0" w:lastRowLastColumn="0"/>
            <w:tcW w:w="740" w:type="pct"/>
          </w:tcPr>
          <w:p w14:paraId="57586D22"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3.1: Унапређен квалитет услуга</w:t>
            </w:r>
          </w:p>
        </w:tc>
        <w:tc>
          <w:tcPr>
            <w:tcW w:w="801" w:type="pct"/>
          </w:tcPr>
          <w:p w14:paraId="765F8A7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Times New Roman"/>
                <w:color w:val="000000"/>
                <w:kern w:val="0"/>
                <w:sz w:val="22"/>
                <w:szCs w:val="22"/>
                <w:lang w:eastAsia="en-US" w:bidi="ar-SA"/>
              </w:rPr>
              <w:t>Утврђивање методологије за развој нових, односно оптимизације постојећих услуга заснованих на систематском укључивању крајњих корисника у свим фазама развоја уз употребу напредних и иновативних алата</w:t>
            </w:r>
          </w:p>
        </w:tc>
        <w:tc>
          <w:tcPr>
            <w:tcW w:w="834" w:type="pct"/>
          </w:tcPr>
          <w:p w14:paraId="4A4EE9C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Times New Roman"/>
                <w:color w:val="000000"/>
                <w:kern w:val="0"/>
                <w:sz w:val="22"/>
                <w:szCs w:val="22"/>
                <w:lang w:eastAsia="en-US" w:bidi="ar-SA"/>
              </w:rPr>
              <w:t>Службеници државне управе и ЈЛС препознају потребу за новим приступом у пружању услуга спремни су да се оспособе да га примењују у свом свакодневном раду.</w:t>
            </w:r>
          </w:p>
        </w:tc>
        <w:tc>
          <w:tcPr>
            <w:tcW w:w="1166" w:type="pct"/>
          </w:tcPr>
          <w:p w14:paraId="506AE07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Times New Roman"/>
                <w:color w:val="000000"/>
                <w:kern w:val="0"/>
                <w:sz w:val="22"/>
                <w:szCs w:val="22"/>
                <w:lang w:eastAsia="en-US" w:bidi="ar-SA"/>
              </w:rPr>
              <w:t>Недостатак људских капацитета (недостатак аналитичких капацитета у државној управи Србије и критична зависност од екстерне експертске подршке у формулисању политика) могу да успоравају напредак у развоју нових јавних услуга. Отпор променама и другачијем начину рада такође представља ризик за имплементацију ове активности, с обзиром да подразумева значајну промену у култури рада јавне управе.</w:t>
            </w:r>
          </w:p>
          <w:p w14:paraId="2F311988"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 </w:t>
            </w:r>
          </w:p>
        </w:tc>
        <w:tc>
          <w:tcPr>
            <w:tcW w:w="1459" w:type="pct"/>
          </w:tcPr>
          <w:p w14:paraId="09AD3F04" w14:textId="2B8E1319"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 xml:space="preserve">Кроз наставак спровођења обука унапређење аналитичких капацитета државне управе да анализирају постојеће услуге и пословне процесе везане за њих, како би се одговорило на потребе и захтеве </w:t>
            </w:r>
            <w:r w:rsidR="00BB1C3D" w:rsidRPr="000F0299">
              <w:rPr>
                <w:rFonts w:eastAsia="Times New Roman"/>
                <w:color w:val="000000"/>
                <w:kern w:val="0"/>
                <w:sz w:val="22"/>
                <w:szCs w:val="22"/>
                <w:lang w:eastAsia="en-US" w:bidi="ar-SA"/>
              </w:rPr>
              <w:t>крајњих</w:t>
            </w:r>
            <w:r w:rsidRPr="000F0299">
              <w:rPr>
                <w:rFonts w:eastAsia="Times New Roman"/>
                <w:color w:val="000000"/>
                <w:kern w:val="0"/>
                <w:sz w:val="22"/>
                <w:szCs w:val="22"/>
                <w:lang w:eastAsia="en-US" w:bidi="ar-SA"/>
              </w:rPr>
              <w:t xml:space="preserve"> корисника. У недостатку специјализоване експертиза унутар институције треба правовремено планирати и ангажовати екстерну експертску подршку.</w:t>
            </w:r>
          </w:p>
          <w:p w14:paraId="5657304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Times New Roman"/>
                <w:color w:val="000000"/>
                <w:kern w:val="0"/>
                <w:sz w:val="22"/>
                <w:szCs w:val="22"/>
                <w:lang w:eastAsia="en-US" w:bidi="ar-SA"/>
              </w:rPr>
              <w:t>Потребно је спровести интерну кампању која ће државним службеницима приближити нов концепт пружања услуга, а у циљу уклањања евентуалне баријере за промену културе развоја и пружања услуга у оквиру јавне управе.</w:t>
            </w:r>
          </w:p>
        </w:tc>
      </w:tr>
      <w:tr w:rsidR="00C152CF" w:rsidRPr="000F0299" w14:paraId="40DF3618" w14:textId="77777777" w:rsidTr="004A318D">
        <w:trPr>
          <w:trHeight w:val="1944"/>
        </w:trPr>
        <w:tc>
          <w:tcPr>
            <w:cnfStyle w:val="001000000000" w:firstRow="0" w:lastRow="0" w:firstColumn="1" w:lastColumn="0" w:oddVBand="0" w:evenVBand="0" w:oddHBand="0" w:evenHBand="0" w:firstRowFirstColumn="0" w:firstRowLastColumn="0" w:lastRowFirstColumn="0" w:lastRowLastColumn="0"/>
            <w:tcW w:w="740" w:type="pct"/>
          </w:tcPr>
          <w:p w14:paraId="0E9DF633"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3.1.</w:t>
            </w:r>
          </w:p>
        </w:tc>
        <w:tc>
          <w:tcPr>
            <w:tcW w:w="801" w:type="pct"/>
          </w:tcPr>
          <w:p w14:paraId="5CFAAC43"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Спровођење анализе расположивости и структуре људских капацитета у оквиру државне управе и локалне самоуправе за пружање јавних услуга</w:t>
            </w:r>
            <w:r w:rsidRPr="000F0299" w:rsidDel="00B65CDE">
              <w:rPr>
                <w:rFonts w:eastAsia="Times New Roman"/>
                <w:color w:val="000000"/>
                <w:kern w:val="0"/>
                <w:sz w:val="22"/>
                <w:szCs w:val="22"/>
                <w:lang w:eastAsia="en-US" w:bidi="ar-SA"/>
              </w:rPr>
              <w:t xml:space="preserve"> </w:t>
            </w:r>
          </w:p>
        </w:tc>
        <w:tc>
          <w:tcPr>
            <w:tcW w:w="834" w:type="pct"/>
          </w:tcPr>
          <w:p w14:paraId="17AF66DA" w14:textId="27D76F61"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Обезбеђен довољан број службеника државне управе и ЈЛС који су оспо</w:t>
            </w:r>
            <w:r w:rsidR="00BB1C3D">
              <w:rPr>
                <w:rFonts w:eastAsia="Times New Roman"/>
                <w:color w:val="000000"/>
                <w:kern w:val="0"/>
                <w:sz w:val="22"/>
                <w:szCs w:val="22"/>
                <w:lang w:eastAsia="en-US" w:bidi="ar-SA"/>
              </w:rPr>
              <w:t>со</w:t>
            </w:r>
            <w:r w:rsidRPr="000F0299">
              <w:rPr>
                <w:rFonts w:eastAsia="Times New Roman"/>
                <w:color w:val="000000"/>
                <w:kern w:val="0"/>
                <w:sz w:val="22"/>
                <w:szCs w:val="22"/>
                <w:lang w:eastAsia="en-US" w:bidi="ar-SA"/>
              </w:rPr>
              <w:t>бљени за спровођење анализа пословних процеса или обезбеђена екстерна експертска подршка.</w:t>
            </w:r>
          </w:p>
        </w:tc>
        <w:tc>
          <w:tcPr>
            <w:tcW w:w="1166" w:type="pct"/>
          </w:tcPr>
          <w:p w14:paraId="3F096AE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Недостатак људских капацитета за анализу пословних процеса за кључне јавне услуге може да отежа процену неопходних капацитета и планове за њихово јачање.</w:t>
            </w:r>
          </w:p>
          <w:p w14:paraId="6755D74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 </w:t>
            </w:r>
          </w:p>
        </w:tc>
        <w:tc>
          <w:tcPr>
            <w:tcW w:w="1459" w:type="pct"/>
          </w:tcPr>
          <w:p w14:paraId="632FEE8B"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Приоритизација посебних јавних услуга са посебним нагласком на процени неопходних капацитета за њихово унапређење.</w:t>
            </w:r>
          </w:p>
        </w:tc>
      </w:tr>
      <w:tr w:rsidR="00C152CF" w:rsidRPr="000F0299" w14:paraId="76F7C93C" w14:textId="77777777" w:rsidTr="004A318D">
        <w:trPr>
          <w:trHeight w:val="1944"/>
        </w:trPr>
        <w:tc>
          <w:tcPr>
            <w:cnfStyle w:val="001000000000" w:firstRow="0" w:lastRow="0" w:firstColumn="1" w:lastColumn="0" w:oddVBand="0" w:evenVBand="0" w:oddHBand="0" w:evenHBand="0" w:firstRowFirstColumn="0" w:firstRowLastColumn="0" w:lastRowFirstColumn="0" w:lastRowLastColumn="0"/>
            <w:tcW w:w="740" w:type="pct"/>
          </w:tcPr>
          <w:p w14:paraId="4E2B0A43"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3.1.</w:t>
            </w:r>
          </w:p>
        </w:tc>
        <w:tc>
          <w:tcPr>
            <w:tcW w:w="801" w:type="pct"/>
          </w:tcPr>
          <w:p w14:paraId="64359A7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Спровођење анализе расположивости техничко-технолошких капацитета за пружање јавних услуга</w:t>
            </w:r>
            <w:r w:rsidRPr="000F0299" w:rsidDel="00B65CDE">
              <w:rPr>
                <w:rFonts w:eastAsia="Times New Roman"/>
                <w:color w:val="000000"/>
                <w:kern w:val="0"/>
                <w:sz w:val="22"/>
                <w:szCs w:val="22"/>
                <w:lang w:eastAsia="en-US" w:bidi="ar-SA"/>
              </w:rPr>
              <w:t xml:space="preserve"> </w:t>
            </w:r>
          </w:p>
        </w:tc>
        <w:tc>
          <w:tcPr>
            <w:tcW w:w="834" w:type="pct"/>
          </w:tcPr>
          <w:p w14:paraId="77746155" w14:textId="2558EDCB"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Обезбеђен довољан број службеника државне управе и ЈЛС који су оспо</w:t>
            </w:r>
            <w:r w:rsidR="00BB1C3D">
              <w:rPr>
                <w:rFonts w:eastAsia="Times New Roman"/>
                <w:color w:val="000000"/>
                <w:kern w:val="0"/>
                <w:sz w:val="22"/>
                <w:szCs w:val="22"/>
                <w:lang w:eastAsia="en-US" w:bidi="ar-SA"/>
              </w:rPr>
              <w:t>со</w:t>
            </w:r>
            <w:r w:rsidRPr="000F0299">
              <w:rPr>
                <w:rFonts w:eastAsia="Times New Roman"/>
                <w:color w:val="000000"/>
                <w:kern w:val="0"/>
                <w:sz w:val="22"/>
                <w:szCs w:val="22"/>
                <w:lang w:eastAsia="en-US" w:bidi="ar-SA"/>
              </w:rPr>
              <w:t>бљени за спровођење анализа расположивости техничких и технолошких капацитета или обезбеђена екстерна експертска подршка.</w:t>
            </w:r>
          </w:p>
        </w:tc>
        <w:tc>
          <w:tcPr>
            <w:tcW w:w="1166" w:type="pct"/>
          </w:tcPr>
          <w:p w14:paraId="46C6F55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Резултат ове активности је предуслов за одговарајуће планирање инвестиција у изградњу техничко- технолошких капацитета Недостатак људских капацитета у јавној управи за анализу расположивости техничких и технолошких капацитета може да закочи израду и квалитет анализе, а последично и унапређење и бољи квалитет пружања услуга.</w:t>
            </w:r>
          </w:p>
        </w:tc>
        <w:tc>
          <w:tcPr>
            <w:tcW w:w="1459" w:type="pct"/>
          </w:tcPr>
          <w:p w14:paraId="59BFB17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Унапређење аналитичких капацитета државне управе кроз наставак спровођења обука.</w:t>
            </w:r>
          </w:p>
          <w:p w14:paraId="2A07594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Правовремено ангажовање екстерне експертске подршке како би се надоместио недостатак експертизе и искуства у области пружања услуга које полази од принципа усмерености на кориснике.</w:t>
            </w:r>
          </w:p>
        </w:tc>
      </w:tr>
      <w:tr w:rsidR="00C152CF" w:rsidRPr="000F0299" w14:paraId="3CB0D337" w14:textId="77777777" w:rsidTr="00616FD0">
        <w:trPr>
          <w:trHeight w:val="566"/>
        </w:trPr>
        <w:tc>
          <w:tcPr>
            <w:cnfStyle w:val="001000000000" w:firstRow="0" w:lastRow="0" w:firstColumn="1" w:lastColumn="0" w:oddVBand="0" w:evenVBand="0" w:oddHBand="0" w:evenHBand="0" w:firstRowFirstColumn="0" w:firstRowLastColumn="0" w:lastRowFirstColumn="0" w:lastRowLastColumn="0"/>
            <w:tcW w:w="740" w:type="pct"/>
          </w:tcPr>
          <w:p w14:paraId="1AEFEC99"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3.1</w:t>
            </w:r>
          </w:p>
        </w:tc>
        <w:tc>
          <w:tcPr>
            <w:tcW w:w="801" w:type="pct"/>
          </w:tcPr>
          <w:p w14:paraId="01546F58"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Успостављање програма стипендирања (</w:t>
            </w:r>
            <w:r w:rsidRPr="000F0299">
              <w:rPr>
                <w:rFonts w:eastAsia="Times New Roman"/>
                <w:i/>
                <w:iCs/>
                <w:color w:val="000000"/>
                <w:kern w:val="0"/>
                <w:sz w:val="22"/>
                <w:szCs w:val="22"/>
                <w:lang w:eastAsia="en-US" w:bidi="ar-SA"/>
              </w:rPr>
              <w:t>fellowship</w:t>
            </w:r>
            <w:r w:rsidRPr="000F0299">
              <w:rPr>
                <w:rFonts w:eastAsia="Times New Roman"/>
                <w:color w:val="000000"/>
                <w:kern w:val="0"/>
                <w:sz w:val="22"/>
                <w:szCs w:val="22"/>
                <w:lang w:eastAsia="en-US" w:bidi="ar-SA"/>
              </w:rPr>
              <w:t>) талентованих младих стручњака у области ИТ који ће заједно с државним службеницима радити на решавању појединачних проблема пружања услуга</w:t>
            </w:r>
          </w:p>
        </w:tc>
        <w:tc>
          <w:tcPr>
            <w:tcW w:w="834" w:type="pct"/>
          </w:tcPr>
          <w:p w14:paraId="1F403A9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Израда програма стипендирања и обезбеђење подршке за успостављање дугорочног механизма финансирања</w:t>
            </w:r>
          </w:p>
        </w:tc>
        <w:tc>
          <w:tcPr>
            <w:tcW w:w="1166" w:type="pct"/>
          </w:tcPr>
          <w:p w14:paraId="7E139DF8"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Задржавање младих обучених ИТ кадрова може да буде ризично, пошто су плате за ИТ стручњаке у јавном сектору неконкурентне у односу на приватни сектор.</w:t>
            </w:r>
          </w:p>
          <w:p w14:paraId="51A041DE"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 </w:t>
            </w:r>
          </w:p>
        </w:tc>
        <w:tc>
          <w:tcPr>
            <w:tcW w:w="1459" w:type="pct"/>
          </w:tcPr>
          <w:p w14:paraId="0C0BD32B"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 xml:space="preserve">Осигурати уговорне обавезе и аранжмане који ће омогућити повратак инвестиција кроз стипендирање младих кадрова. </w:t>
            </w:r>
          </w:p>
        </w:tc>
      </w:tr>
      <w:tr w:rsidR="00C152CF" w:rsidRPr="000F0299" w14:paraId="4B9A7EF1" w14:textId="77777777" w:rsidTr="004A318D">
        <w:trPr>
          <w:trHeight w:val="1944"/>
        </w:trPr>
        <w:tc>
          <w:tcPr>
            <w:cnfStyle w:val="001000000000" w:firstRow="0" w:lastRow="0" w:firstColumn="1" w:lastColumn="0" w:oddVBand="0" w:evenVBand="0" w:oddHBand="0" w:evenHBand="0" w:firstRowFirstColumn="0" w:firstRowLastColumn="0" w:lastRowFirstColumn="0" w:lastRowLastColumn="0"/>
            <w:tcW w:w="740" w:type="pct"/>
          </w:tcPr>
          <w:p w14:paraId="66A3C077"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3.1</w:t>
            </w:r>
          </w:p>
        </w:tc>
        <w:tc>
          <w:tcPr>
            <w:tcW w:w="801" w:type="pct"/>
          </w:tcPr>
          <w:p w14:paraId="331B8D1E" w14:textId="07AA23B3"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 xml:space="preserve">Јачање капацитета управне инспекције у надзору спровођења стандарда пружања јавних услуга за потребе обављања интерне контроле квалитета пружања </w:t>
            </w:r>
            <w:r w:rsidR="00BB1C3D" w:rsidRPr="000F0299">
              <w:rPr>
                <w:rFonts w:eastAsia="Times New Roman"/>
                <w:color w:val="000000"/>
                <w:kern w:val="0"/>
                <w:sz w:val="22"/>
                <w:szCs w:val="22"/>
                <w:lang w:eastAsia="en-US" w:bidi="ar-SA"/>
              </w:rPr>
              <w:t>услуга</w:t>
            </w:r>
            <w:r w:rsidRPr="000F0299">
              <w:rPr>
                <w:rFonts w:eastAsia="Times New Roman"/>
                <w:color w:val="000000"/>
                <w:kern w:val="0"/>
                <w:sz w:val="22"/>
                <w:szCs w:val="22"/>
                <w:lang w:eastAsia="en-US" w:bidi="ar-SA"/>
              </w:rPr>
              <w:t xml:space="preserve"> и пружање подршке министарству надлежном за политику пружања услуга за ефикасно обезбеђивање квалитета пружених услуга</w:t>
            </w:r>
          </w:p>
        </w:tc>
        <w:tc>
          <w:tcPr>
            <w:tcW w:w="834" w:type="pct"/>
          </w:tcPr>
          <w:p w14:paraId="4301835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Израђени програми обуке за примену унапређених пословних процеса и развијени софтвери који то подржавају.</w:t>
            </w:r>
          </w:p>
          <w:p w14:paraId="2C18EA2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p>
        </w:tc>
        <w:tc>
          <w:tcPr>
            <w:tcW w:w="1166" w:type="pct"/>
          </w:tcPr>
          <w:p w14:paraId="52DC1843"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Недовољни капацитети управне инспекције или кашњења у алокацији ресурса може да умањи напоре за побољшање контроле квалитета услуга.</w:t>
            </w:r>
          </w:p>
          <w:p w14:paraId="609B955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 </w:t>
            </w:r>
          </w:p>
        </w:tc>
        <w:tc>
          <w:tcPr>
            <w:tcW w:w="1459" w:type="pct"/>
          </w:tcPr>
          <w:p w14:paraId="4BBDCE27"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Благовремено и усклађено планирање и обезбеђење финансијских средстава за спровођење програма обуке, оптимизацију пословних процеса и набавке опреме/софтвера.</w:t>
            </w:r>
          </w:p>
        </w:tc>
      </w:tr>
      <w:tr w:rsidR="00C152CF" w:rsidRPr="000F0299" w14:paraId="506F4F00" w14:textId="77777777" w:rsidTr="004A318D">
        <w:trPr>
          <w:trHeight w:val="1204"/>
        </w:trPr>
        <w:tc>
          <w:tcPr>
            <w:cnfStyle w:val="001000000000" w:firstRow="0" w:lastRow="0" w:firstColumn="1" w:lastColumn="0" w:oddVBand="0" w:evenVBand="0" w:oddHBand="0" w:evenHBand="0" w:firstRowFirstColumn="0" w:firstRowLastColumn="0" w:lastRowFirstColumn="0" w:lastRowLastColumn="0"/>
            <w:tcW w:w="740" w:type="pct"/>
          </w:tcPr>
          <w:p w14:paraId="0104B60D"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3.1</w:t>
            </w:r>
          </w:p>
        </w:tc>
        <w:tc>
          <w:tcPr>
            <w:tcW w:w="801" w:type="pct"/>
          </w:tcPr>
          <w:p w14:paraId="2CC8C3A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Успостављање јединствених управних места на територији јединица локалне самоуправе</w:t>
            </w:r>
          </w:p>
          <w:p w14:paraId="2D078B1B"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p>
        </w:tc>
        <w:tc>
          <w:tcPr>
            <w:tcW w:w="834" w:type="pct"/>
          </w:tcPr>
          <w:p w14:paraId="1570663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ЈЛС су у целости укључене и оспособљене за учествовање у изради стандарда за успостављање ЈУМ.</w:t>
            </w:r>
          </w:p>
        </w:tc>
        <w:tc>
          <w:tcPr>
            <w:tcW w:w="1166" w:type="pct"/>
          </w:tcPr>
          <w:p w14:paraId="140CF35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Стандарди могу бити неадекватни за одређене локалне самоуправе, или сувише крути да стимулишу иновације и прилагођавају се потребама заједнице, што може да успори њихово успостављање.</w:t>
            </w:r>
          </w:p>
        </w:tc>
        <w:tc>
          <w:tcPr>
            <w:tcW w:w="1459" w:type="pct"/>
          </w:tcPr>
          <w:p w14:paraId="4FDF9BF8"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Times New Roman"/>
                <w:color w:val="000000"/>
                <w:kern w:val="0"/>
                <w:sz w:val="22"/>
                <w:szCs w:val="22"/>
                <w:lang w:eastAsia="en-US" w:bidi="ar-SA"/>
              </w:rPr>
              <w:t>Укључити довољан број и довољно широк спектар ЈЛС (величина, регион, привредни развој, итд.) у развој стандарда за јединствена управна места.</w:t>
            </w:r>
          </w:p>
        </w:tc>
      </w:tr>
      <w:tr w:rsidR="00C152CF" w:rsidRPr="000F0299" w14:paraId="1B58D634" w14:textId="77777777" w:rsidTr="004A318D">
        <w:trPr>
          <w:trHeight w:val="475"/>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E2F3" w:themeFill="accent1" w:themeFillTint="33"/>
            <w:vAlign w:val="center"/>
          </w:tcPr>
          <w:p w14:paraId="59368352" w14:textId="67CD0F04" w:rsidR="00C152CF" w:rsidRPr="000F0299" w:rsidRDefault="00D220E9" w:rsidP="004A318D">
            <w:pPr>
              <w:suppressAutoHyphens w:val="0"/>
              <w:autoSpaceDN/>
              <w:spacing w:before="0"/>
              <w:ind w:firstLine="0"/>
              <w:jc w:val="left"/>
              <w:textAlignment w:val="auto"/>
              <w:rPr>
                <w:rFonts w:eastAsia="Times New Roman"/>
                <w:color w:val="000000"/>
                <w:kern w:val="0"/>
                <w:sz w:val="22"/>
                <w:szCs w:val="22"/>
                <w:lang w:eastAsia="en-US" w:bidi="ar-SA"/>
              </w:rPr>
            </w:pPr>
            <w:r w:rsidRPr="000F0299">
              <w:rPr>
                <w:rFonts w:eastAsia="Calibri"/>
                <w:kern w:val="0"/>
                <w:sz w:val="22"/>
                <w:szCs w:val="22"/>
                <w:lang w:eastAsia="en-US" w:bidi="ar-SA"/>
              </w:rPr>
              <w:t>Транспарентност и одговорност</w:t>
            </w:r>
          </w:p>
        </w:tc>
      </w:tr>
      <w:tr w:rsidR="00C152CF" w:rsidRPr="000F0299" w14:paraId="79D7BF50"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3A1E5492" w14:textId="3B3EE8EF" w:rsidR="00C152CF" w:rsidRPr="000F0299" w:rsidRDefault="00487FD1" w:rsidP="004A318D">
            <w:pPr>
              <w:suppressAutoHyphens w:val="0"/>
              <w:autoSpaceDN/>
              <w:spacing w:before="0"/>
              <w:ind w:firstLine="0"/>
              <w:textAlignment w:val="auto"/>
              <w:rPr>
                <w:rFonts w:eastAsia="Calibri"/>
                <w:kern w:val="0"/>
                <w:sz w:val="22"/>
                <w:szCs w:val="22"/>
                <w:lang w:eastAsia="en-US" w:bidi="ar-SA"/>
              </w:rPr>
            </w:pPr>
            <w:r w:rsidRPr="000F0299">
              <w:rPr>
                <w:rFonts w:eastAsia="Calibri"/>
                <w:color w:val="000000"/>
                <w:kern w:val="0"/>
                <w:sz w:val="22"/>
                <w:szCs w:val="22"/>
                <w:lang w:eastAsia="en-US" w:bidi="ar-SA"/>
              </w:rPr>
              <w:t xml:space="preserve">Посебан циљ </w:t>
            </w:r>
            <w:r w:rsidR="00C152CF" w:rsidRPr="000F0299">
              <w:rPr>
                <w:rFonts w:eastAsia="Calibri"/>
                <w:color w:val="000000"/>
                <w:kern w:val="0"/>
                <w:sz w:val="22"/>
                <w:szCs w:val="22"/>
                <w:lang w:eastAsia="en-US" w:bidi="ar-SA"/>
              </w:rPr>
              <w:t>4.1. Унапређен ниво одговорности и транспарентности на свим нивоима власти</w:t>
            </w:r>
          </w:p>
        </w:tc>
        <w:tc>
          <w:tcPr>
            <w:tcW w:w="801" w:type="pct"/>
          </w:tcPr>
          <w:p w14:paraId="389F2A0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color w:val="000000"/>
                <w:kern w:val="0"/>
                <w:sz w:val="22"/>
                <w:szCs w:val="22"/>
                <w:lang w:eastAsia="en-US" w:bidi="ar-SA"/>
              </w:rPr>
              <w:t>Израда свеобухватне анализе постојећег стања и смерница за дефинисање системских решења у правном и институционалном оквиру Републике Србије за управљачку одговорност  у органима јавне управе.</w:t>
            </w:r>
          </w:p>
        </w:tc>
        <w:tc>
          <w:tcPr>
            <w:tcW w:w="834" w:type="pct"/>
          </w:tcPr>
          <w:p w14:paraId="4D1CF35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Препознавање значаја управљачке одговорности и потребе да се успостави делегирање одговорности,</w:t>
            </w:r>
            <w:r w:rsidRPr="000F0299">
              <w:rPr>
                <w:rFonts w:eastAsia="Calibri"/>
                <w:color w:val="000000"/>
                <w:kern w:val="0"/>
                <w:sz w:val="22"/>
                <w:szCs w:val="22"/>
                <w:lang w:eastAsia="en-US" w:bidi="ar-SA"/>
              </w:rPr>
              <w:t xml:space="preserve"> јасне линије одговорности међу институцијама и мерење учинка на институционалним нивоу</w:t>
            </w:r>
            <w:r w:rsidRPr="000F0299">
              <w:rPr>
                <w:rFonts w:eastAsia="Calibri"/>
                <w:kern w:val="0"/>
                <w:sz w:val="22"/>
                <w:szCs w:val="22"/>
                <w:lang w:eastAsia="en-US" w:bidi="ar-SA"/>
              </w:rPr>
              <w:t xml:space="preserve"> </w:t>
            </w:r>
          </w:p>
          <w:p w14:paraId="6AB10AE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Адекватно учешће свих надлежних органа јавне управе у свим фазама припреме смерница.</w:t>
            </w:r>
          </w:p>
        </w:tc>
        <w:tc>
          <w:tcPr>
            <w:tcW w:w="1166" w:type="pct"/>
          </w:tcPr>
          <w:p w14:paraId="24FD25A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 xml:space="preserve">Сврха анализе и смерница није у потпуности схваћена од стране корисника, што може да резултује препорукама и усмерењима који не адресирају праве потребе. Налази и препоруке анализе, као и предложена решења, укључујући делегирање одговорности, не морају нужно бити  прихваћена од стране оних који би требало да их спроводе. </w:t>
            </w:r>
          </w:p>
        </w:tc>
        <w:tc>
          <w:tcPr>
            <w:tcW w:w="1459" w:type="pct"/>
          </w:tcPr>
          <w:p w14:paraId="1E994AD0" w14:textId="168DE543"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 xml:space="preserve">Треба обезбедити да доносиоци одлука и заинтересоване стране  од самог почетка буду укључене у поставку и спровођење анализе и формулисање препорука. Тиме ће се обезбедити њихово </w:t>
            </w:r>
            <w:r w:rsidR="00BB1C3D" w:rsidRPr="000F0299">
              <w:rPr>
                <w:rFonts w:eastAsia="Calibri"/>
                <w:kern w:val="0"/>
                <w:sz w:val="22"/>
                <w:szCs w:val="22"/>
                <w:lang w:eastAsia="en-US" w:bidi="ar-SA"/>
              </w:rPr>
              <w:t>власништво. Након</w:t>
            </w:r>
            <w:r w:rsidRPr="000F0299">
              <w:rPr>
                <w:rFonts w:eastAsia="Calibri"/>
                <w:kern w:val="0"/>
                <w:sz w:val="22"/>
                <w:szCs w:val="22"/>
                <w:lang w:eastAsia="en-US" w:bidi="ar-SA"/>
              </w:rPr>
              <w:t xml:space="preserve"> финализације анализе и смерница, потребно је детаљно представити налазе и наредне кораке свим заинтересованим странама.</w:t>
            </w:r>
          </w:p>
        </w:tc>
      </w:tr>
      <w:tr w:rsidR="00C152CF" w:rsidRPr="000F0299" w14:paraId="04B65880"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19E1FC51" w14:textId="5EC2D7A1" w:rsidR="00C152CF" w:rsidRPr="000F0299" w:rsidRDefault="00487FD1" w:rsidP="004A318D">
            <w:pPr>
              <w:suppressAutoHyphens w:val="0"/>
              <w:autoSpaceDN/>
              <w:spacing w:before="0"/>
              <w:ind w:firstLine="0"/>
              <w:textAlignment w:val="auto"/>
              <w:rPr>
                <w:rFonts w:eastAsia="Calibri"/>
                <w:color w:val="000000"/>
                <w:kern w:val="0"/>
                <w:sz w:val="22"/>
                <w:szCs w:val="22"/>
                <w:lang w:eastAsia="en-US" w:bidi="ar-SA"/>
              </w:rPr>
            </w:pPr>
            <w:r w:rsidRPr="000F0299">
              <w:rPr>
                <w:rFonts w:eastAsia="Calibri"/>
                <w:color w:val="000000"/>
                <w:kern w:val="0"/>
                <w:sz w:val="22"/>
                <w:szCs w:val="22"/>
                <w:lang w:eastAsia="en-US" w:bidi="ar-SA"/>
              </w:rPr>
              <w:t>Посебан циљ 4.1.</w:t>
            </w:r>
          </w:p>
        </w:tc>
        <w:tc>
          <w:tcPr>
            <w:tcW w:w="801" w:type="pct"/>
          </w:tcPr>
          <w:p w14:paraId="0D997C0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color w:val="000000"/>
                <w:kern w:val="0"/>
                <w:sz w:val="22"/>
                <w:szCs w:val="22"/>
                <w:lang w:eastAsia="en-US" w:bidi="ar-SA"/>
              </w:rPr>
            </w:pPr>
            <w:r w:rsidRPr="000F0299">
              <w:rPr>
                <w:rFonts w:eastAsia="Calibri"/>
                <w:color w:val="000000"/>
                <w:kern w:val="0"/>
                <w:sz w:val="22"/>
                <w:szCs w:val="22"/>
                <w:lang w:eastAsia="en-US" w:bidi="ar-SA"/>
              </w:rPr>
              <w:t xml:space="preserve">Спровођење модула обуке на тему Примена принципа управљачке одговорности за руководиоце </w:t>
            </w:r>
          </w:p>
          <w:p w14:paraId="5436FE4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color w:val="000000"/>
                <w:kern w:val="0"/>
                <w:sz w:val="22"/>
                <w:szCs w:val="22"/>
                <w:lang w:eastAsia="en-US" w:bidi="ar-SA"/>
              </w:rPr>
            </w:pPr>
            <w:r w:rsidRPr="000F0299">
              <w:rPr>
                <w:rFonts w:eastAsia="Calibri"/>
                <w:color w:val="000000"/>
                <w:kern w:val="0"/>
                <w:sz w:val="22"/>
                <w:szCs w:val="22"/>
                <w:lang w:eastAsia="en-US" w:bidi="ar-SA"/>
              </w:rPr>
              <w:t>Спровођење модула обуке на тему примене јединствене методологије за управљање  учинком - контролу рада, надзор и интерно и екстерно извештавање о резултатима рада из надлежности органа јавне управе у оквиру програма обуке за руководиоце и запослене.</w:t>
            </w:r>
          </w:p>
          <w:p w14:paraId="18B2960B"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color w:val="000000"/>
                <w:kern w:val="0"/>
                <w:sz w:val="22"/>
                <w:szCs w:val="22"/>
                <w:lang w:eastAsia="en-US" w:bidi="ar-SA"/>
              </w:rPr>
            </w:pPr>
          </w:p>
        </w:tc>
        <w:tc>
          <w:tcPr>
            <w:tcW w:w="834" w:type="pct"/>
          </w:tcPr>
          <w:p w14:paraId="1632D2E7"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Адекватно дефинисани програми обука.</w:t>
            </w:r>
          </w:p>
          <w:p w14:paraId="36D1B685"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Препознавање важности и заинтересованост за примену принципа управљачке одговорности, односно методологије за управљање учинком од стране руководилаца. </w:t>
            </w:r>
          </w:p>
        </w:tc>
        <w:tc>
          <w:tcPr>
            <w:tcW w:w="1166" w:type="pct"/>
          </w:tcPr>
          <w:p w14:paraId="2653D48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Велико радно оптерећење руководилаца органа јавне управе не омогућава одсуство са посла и присуство на обукама што може довести до слабије посећености обука. </w:t>
            </w:r>
          </w:p>
          <w:p w14:paraId="790DDC97"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Садржај обука може носити ризик недовољне примењивости у пракси, односно недовољно јасног начина на који се новостечена знања могу пренети на конкретно радно окружење. У том случају, руководиоци могу бити демотивисани да примене новостечена знања у свом радном окружењу.</w:t>
            </w:r>
          </w:p>
        </w:tc>
        <w:tc>
          <w:tcPr>
            <w:tcW w:w="1459" w:type="pct"/>
          </w:tcPr>
          <w:p w14:paraId="23D495F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Благовремено планирање и информисање руководилаца о обукама како би могли на време да ускладе њихово похађање са другим обавезама.</w:t>
            </w:r>
          </w:p>
          <w:p w14:paraId="2D8A5AE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Понудити флексибилније методе рада како би обука могла лакше да се усклади са другим обавезама руководилаца.</w:t>
            </w:r>
          </w:p>
          <w:p w14:paraId="2FCD596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Истицање значаја ових обука и позивање руководилаца да их похађају. </w:t>
            </w:r>
          </w:p>
          <w:p w14:paraId="73EAD0C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Редовно праћење присуства руководилаца обукама и рано упозоравање у случају недовољног одзива.</w:t>
            </w:r>
          </w:p>
          <w:p w14:paraId="12593E43"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Садржај програма обука и методе рада омогућавају руководиоцима повезивање представљеног садржаја са њиховим конкретним искуствима, као и пружање јасних смерница за примену знања и вештина у пракси. За подршку даљој примени новостечених знања и вештина у пракси, потребно је користити технике као што су менторство, коучинг, пилотирање и сл.</w:t>
            </w:r>
          </w:p>
        </w:tc>
      </w:tr>
      <w:tr w:rsidR="00C152CF" w:rsidRPr="000F0299" w14:paraId="497A22FE"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626DD6E7" w14:textId="369B7E76" w:rsidR="00C152CF" w:rsidRPr="000F0299" w:rsidRDefault="00487FD1" w:rsidP="004A318D">
            <w:pPr>
              <w:suppressAutoHyphens w:val="0"/>
              <w:autoSpaceDN/>
              <w:spacing w:before="0"/>
              <w:ind w:firstLine="0"/>
              <w:textAlignment w:val="auto"/>
              <w:rPr>
                <w:rFonts w:eastAsia="Calibri"/>
                <w:color w:val="000000"/>
                <w:kern w:val="0"/>
                <w:sz w:val="22"/>
                <w:szCs w:val="22"/>
                <w:lang w:eastAsia="en-US" w:bidi="ar-SA"/>
              </w:rPr>
            </w:pPr>
            <w:r w:rsidRPr="000F0299">
              <w:rPr>
                <w:rFonts w:eastAsia="Calibri"/>
                <w:color w:val="000000"/>
                <w:kern w:val="0"/>
                <w:sz w:val="22"/>
                <w:szCs w:val="22"/>
                <w:lang w:eastAsia="en-US" w:bidi="ar-SA"/>
              </w:rPr>
              <w:t>Посебан циљ 4.1.</w:t>
            </w:r>
          </w:p>
        </w:tc>
        <w:tc>
          <w:tcPr>
            <w:tcW w:w="801" w:type="pct"/>
          </w:tcPr>
          <w:p w14:paraId="2ADA42CC" w14:textId="06261714"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color w:val="000000"/>
                <w:kern w:val="0"/>
                <w:sz w:val="22"/>
                <w:szCs w:val="22"/>
                <w:lang w:eastAsia="en-US" w:bidi="ar-SA"/>
              </w:rPr>
            </w:pPr>
            <w:r w:rsidRPr="000F0299">
              <w:rPr>
                <w:rFonts w:eastAsia="Calibri"/>
                <w:color w:val="000000"/>
                <w:kern w:val="0"/>
                <w:sz w:val="22"/>
                <w:szCs w:val="22"/>
                <w:lang w:eastAsia="en-US" w:bidi="ar-SA"/>
              </w:rPr>
              <w:t xml:space="preserve">Спровођење пилот пројекта са фокусом на унапређење управљања учинком, </w:t>
            </w:r>
            <w:r w:rsidR="00BB1C3D" w:rsidRPr="000F0299">
              <w:rPr>
                <w:rFonts w:eastAsia="Calibri"/>
                <w:color w:val="000000"/>
                <w:kern w:val="0"/>
                <w:sz w:val="22"/>
                <w:szCs w:val="22"/>
                <w:lang w:eastAsia="en-US" w:bidi="ar-SA"/>
              </w:rPr>
              <w:t>испитивање</w:t>
            </w:r>
            <w:r w:rsidRPr="000F0299">
              <w:rPr>
                <w:rFonts w:eastAsia="Calibri"/>
                <w:color w:val="000000"/>
                <w:kern w:val="0"/>
                <w:sz w:val="22"/>
                <w:szCs w:val="22"/>
                <w:lang w:eastAsia="en-US" w:bidi="ar-SA"/>
              </w:rPr>
              <w:t xml:space="preserve"> и </w:t>
            </w:r>
            <w:r w:rsidR="00BB1C3D" w:rsidRPr="000F0299">
              <w:rPr>
                <w:rFonts w:eastAsia="Calibri"/>
                <w:color w:val="000000"/>
                <w:kern w:val="0"/>
                <w:sz w:val="22"/>
                <w:szCs w:val="22"/>
                <w:lang w:eastAsia="en-US" w:bidi="ar-SA"/>
              </w:rPr>
              <w:t>утврђивања</w:t>
            </w:r>
            <w:r w:rsidRPr="000F0299">
              <w:rPr>
                <w:rFonts w:eastAsia="Calibri"/>
                <w:color w:val="000000"/>
                <w:kern w:val="0"/>
                <w:sz w:val="22"/>
                <w:szCs w:val="22"/>
                <w:lang w:eastAsia="en-US" w:bidi="ar-SA"/>
              </w:rPr>
              <w:t xml:space="preserve"> адекватног механизма за прикупљање и обраду релевантних података за мерење и извештавање о </w:t>
            </w:r>
            <w:r w:rsidR="00BB1C3D" w:rsidRPr="000F0299">
              <w:rPr>
                <w:rFonts w:eastAsia="Calibri"/>
                <w:color w:val="000000"/>
                <w:kern w:val="0"/>
                <w:sz w:val="22"/>
                <w:szCs w:val="22"/>
                <w:lang w:eastAsia="en-US" w:bidi="ar-SA"/>
              </w:rPr>
              <w:t>учинку</w:t>
            </w:r>
            <w:r w:rsidRPr="000F0299">
              <w:rPr>
                <w:rFonts w:eastAsia="Calibri"/>
                <w:color w:val="000000"/>
                <w:kern w:val="0"/>
                <w:sz w:val="22"/>
                <w:szCs w:val="22"/>
                <w:lang w:eastAsia="en-US" w:bidi="ar-SA"/>
              </w:rPr>
              <w:t>, односно утврђивања потребних капацитета и описа послова за ове задатке у одабраном броју органа јавне управе.</w:t>
            </w:r>
          </w:p>
        </w:tc>
        <w:tc>
          <w:tcPr>
            <w:tcW w:w="834" w:type="pct"/>
          </w:tcPr>
          <w:p w14:paraId="12414EA6"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Препознавање важности и заинтересованост органа за спровођење пилот пројекта који имају за циљ унапређења управљања учинком од стране руководилаца и запослених у одабраним органима.</w:t>
            </w:r>
          </w:p>
        </w:tc>
        <w:tc>
          <w:tcPr>
            <w:tcW w:w="1166" w:type="pct"/>
          </w:tcPr>
          <w:p w14:paraId="6E72F52B" w14:textId="6D4A0411"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Недостатак финансијских и временских ресурса за спровођење пилот пројеката.</w:t>
            </w:r>
          </w:p>
          <w:p w14:paraId="4B345BA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Недовољна заинтересованост руководилаца и запослених у одабраним органима за питања која су обухваћена пилот пројектом и  учешће у пилотирању.</w:t>
            </w:r>
          </w:p>
          <w:p w14:paraId="32ADA27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Запослени у одабраним органима који учествују у пилотирању могу имати негативан став према прикупљању података који се тичу мерења учинка и активно или пасивно пружати отпор.</w:t>
            </w:r>
          </w:p>
        </w:tc>
        <w:tc>
          <w:tcPr>
            <w:tcW w:w="1459" w:type="pct"/>
          </w:tcPr>
          <w:p w14:paraId="4A3D6B1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Укључивање планираних активности у средњорочне планове и тражење алтернативних извора финансирања у односу на републички буџет.</w:t>
            </w:r>
          </w:p>
          <w:p w14:paraId="314156D9"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Организовање консултација/састанка административног и по потреби политичког нивоа координације  како би се мобилисали неопходни ресурси за спровођење пилот пројекта.</w:t>
            </w:r>
          </w:p>
          <w:p w14:paraId="32AD9D59"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Развијање и комуникација критеријума за избор пилот учесника. Детаљно информисање о сврси пилотирања, процесу спровођења и наредним корацима.</w:t>
            </w:r>
          </w:p>
        </w:tc>
      </w:tr>
      <w:tr w:rsidR="00C152CF" w:rsidRPr="000F0299" w14:paraId="771F3803" w14:textId="77777777" w:rsidTr="009F5263">
        <w:trPr>
          <w:trHeight w:val="708"/>
        </w:trPr>
        <w:tc>
          <w:tcPr>
            <w:cnfStyle w:val="001000000000" w:firstRow="0" w:lastRow="0" w:firstColumn="1" w:lastColumn="0" w:oddVBand="0" w:evenVBand="0" w:oddHBand="0" w:evenHBand="0" w:firstRowFirstColumn="0" w:firstRowLastColumn="0" w:lastRowFirstColumn="0" w:lastRowLastColumn="0"/>
            <w:tcW w:w="740" w:type="pct"/>
          </w:tcPr>
          <w:p w14:paraId="6D9D44EF" w14:textId="79BF87E6" w:rsidR="00C152CF" w:rsidRPr="000F0299" w:rsidRDefault="00487FD1" w:rsidP="004A318D">
            <w:pPr>
              <w:suppressAutoHyphens w:val="0"/>
              <w:autoSpaceDN/>
              <w:spacing w:before="0"/>
              <w:ind w:firstLine="0"/>
              <w:textAlignment w:val="auto"/>
              <w:rPr>
                <w:rFonts w:eastAsia="Calibri"/>
                <w:color w:val="000000"/>
                <w:kern w:val="0"/>
                <w:sz w:val="22"/>
                <w:szCs w:val="22"/>
                <w:lang w:eastAsia="en-US" w:bidi="ar-SA"/>
              </w:rPr>
            </w:pPr>
            <w:r w:rsidRPr="000F0299">
              <w:rPr>
                <w:rFonts w:eastAsia="Calibri"/>
                <w:color w:val="000000"/>
                <w:kern w:val="0"/>
                <w:sz w:val="22"/>
                <w:szCs w:val="22"/>
                <w:lang w:eastAsia="en-US" w:bidi="ar-SA"/>
              </w:rPr>
              <w:t>Посебан циљ 4.1.</w:t>
            </w:r>
          </w:p>
        </w:tc>
        <w:tc>
          <w:tcPr>
            <w:tcW w:w="801" w:type="pct"/>
          </w:tcPr>
          <w:p w14:paraId="456A7CC9"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color w:val="000000"/>
                <w:kern w:val="0"/>
                <w:sz w:val="22"/>
                <w:szCs w:val="22"/>
                <w:lang w:eastAsia="en-US" w:bidi="ar-SA"/>
              </w:rPr>
            </w:pPr>
            <w:r w:rsidRPr="000F0299">
              <w:rPr>
                <w:rFonts w:eastAsia="Calibri"/>
                <w:color w:val="000000"/>
                <w:kern w:val="0"/>
                <w:sz w:val="22"/>
                <w:szCs w:val="22"/>
                <w:lang w:eastAsia="en-US" w:bidi="ar-SA"/>
              </w:rPr>
              <w:t xml:space="preserve">Израда документа са препорукама за систематизовање и интегрисање различитих послова везаних за спречавање корупције и јачање интегритета у органима јавне управе; условима и критеријумима за одређивање службеника за етику и интегритет и правилима њиховог поступања. </w:t>
            </w:r>
          </w:p>
        </w:tc>
        <w:tc>
          <w:tcPr>
            <w:tcW w:w="834" w:type="pct"/>
          </w:tcPr>
          <w:p w14:paraId="2141FD85" w14:textId="6DC0185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Јасна опредељеност и посвећеност за смањење корупције у јавној управи кроз институционализовано јачање интегритета и </w:t>
            </w:r>
            <w:r w:rsidR="00BB1C3D" w:rsidRPr="000F0299">
              <w:rPr>
                <w:rFonts w:eastAsia="Calibri"/>
                <w:kern w:val="0"/>
                <w:sz w:val="22"/>
                <w:szCs w:val="22"/>
                <w:lang w:eastAsia="en-US" w:bidi="ar-SA"/>
              </w:rPr>
              <w:t>етичких</w:t>
            </w:r>
            <w:r w:rsidRPr="000F0299">
              <w:rPr>
                <w:rFonts w:eastAsia="Calibri"/>
                <w:kern w:val="0"/>
                <w:sz w:val="22"/>
                <w:szCs w:val="22"/>
                <w:lang w:eastAsia="en-US" w:bidi="ar-SA"/>
              </w:rPr>
              <w:t xml:space="preserve"> стандарда. </w:t>
            </w:r>
          </w:p>
        </w:tc>
        <w:tc>
          <w:tcPr>
            <w:tcW w:w="1166" w:type="pct"/>
          </w:tcPr>
          <w:p w14:paraId="7BA78A4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Недостатак финансијских и временских ресурса за спровођење активности.</w:t>
            </w:r>
          </w:p>
        </w:tc>
        <w:tc>
          <w:tcPr>
            <w:tcW w:w="1459" w:type="pct"/>
          </w:tcPr>
          <w:p w14:paraId="6570405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Тражење алтернативних извора финансирања у односу на републички буџет (донације, пројекти и сл.).</w:t>
            </w:r>
          </w:p>
          <w:p w14:paraId="1E60801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Организовање консултација/састанка административног и, по потреби, политичког нивоа координације, како би се мобилисали неопходни ресурси за спровођење активности.</w:t>
            </w:r>
          </w:p>
        </w:tc>
      </w:tr>
      <w:tr w:rsidR="00C152CF" w:rsidRPr="000F0299" w14:paraId="70FDA2C2"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03B4D1BD" w14:textId="519710FE" w:rsidR="00C152CF" w:rsidRPr="000F0299" w:rsidRDefault="00487FD1" w:rsidP="004A318D">
            <w:pPr>
              <w:suppressAutoHyphens w:val="0"/>
              <w:autoSpaceDN/>
              <w:spacing w:before="0"/>
              <w:ind w:firstLine="0"/>
              <w:textAlignment w:val="auto"/>
              <w:rPr>
                <w:rFonts w:eastAsia="Calibri"/>
                <w:b w:val="0"/>
                <w:bCs w:val="0"/>
                <w:color w:val="000000"/>
                <w:kern w:val="0"/>
                <w:sz w:val="22"/>
                <w:szCs w:val="22"/>
                <w:lang w:eastAsia="en-US" w:bidi="ar-SA"/>
              </w:rPr>
            </w:pPr>
            <w:r w:rsidRPr="000F0299">
              <w:rPr>
                <w:rFonts w:eastAsia="Calibri"/>
                <w:color w:val="000000"/>
                <w:kern w:val="0"/>
                <w:sz w:val="22"/>
                <w:szCs w:val="22"/>
                <w:lang w:eastAsia="en-US" w:bidi="ar-SA"/>
              </w:rPr>
              <w:t>Посебан циљ 4.1.</w:t>
            </w:r>
          </w:p>
        </w:tc>
        <w:tc>
          <w:tcPr>
            <w:tcW w:w="801" w:type="pct"/>
          </w:tcPr>
          <w:p w14:paraId="4ADF02DF"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color w:val="000000"/>
                <w:kern w:val="0"/>
                <w:sz w:val="22"/>
                <w:szCs w:val="22"/>
                <w:lang w:eastAsia="en-US" w:bidi="ar-SA"/>
              </w:rPr>
            </w:pPr>
            <w:r w:rsidRPr="000F0299">
              <w:rPr>
                <w:rFonts w:eastAsia="Calibri"/>
                <w:color w:val="000000"/>
                <w:kern w:val="0"/>
                <w:sz w:val="22"/>
                <w:szCs w:val="22"/>
                <w:lang w:eastAsia="en-US" w:bidi="ar-SA"/>
              </w:rPr>
              <w:t>Спровођење пилот пројекта одређивања службеника за етику и интегритет у одабраном броју органа јавне управе, који ће обухватити и припрему и спровођење програма обука за ове службенике.</w:t>
            </w:r>
          </w:p>
        </w:tc>
        <w:tc>
          <w:tcPr>
            <w:tcW w:w="834" w:type="pct"/>
          </w:tcPr>
          <w:p w14:paraId="687DFC3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Препознавање важности, заинтересованост и спремност за спровођење пилот пројекта и успостављање ефикасније етичке инфраструктуре од стране руководилаца и запослених у одабраним органима.</w:t>
            </w:r>
          </w:p>
        </w:tc>
        <w:tc>
          <w:tcPr>
            <w:tcW w:w="1166" w:type="pct"/>
          </w:tcPr>
          <w:p w14:paraId="44422765"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 xml:space="preserve">Недовољна заинтересованост руководилаца и запослених у одабраним државним органима да учествују у реализацији пилот пројекта. </w:t>
            </w:r>
          </w:p>
        </w:tc>
        <w:tc>
          <w:tcPr>
            <w:tcW w:w="1459" w:type="pct"/>
          </w:tcPr>
          <w:p w14:paraId="38EE1DDE"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Организовање консултација/састанка административног и, по потреби, политичког нивоа координације, како би се мобилисали неопходни ресурси за спровођење пилот пројекта.</w:t>
            </w:r>
          </w:p>
          <w:p w14:paraId="21FC8EC3"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Развијање и комуникација критеријума за избор пилот учесника. Детаљно информисање о сврси пилотирања, процесу спровођења и наредним корацима.</w:t>
            </w:r>
          </w:p>
        </w:tc>
      </w:tr>
      <w:tr w:rsidR="00C152CF" w:rsidRPr="000F0299" w14:paraId="4E2BF022"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4D59D719" w14:textId="0C0B008C" w:rsidR="00C152CF" w:rsidRPr="000F0299" w:rsidRDefault="00487FD1" w:rsidP="004A318D">
            <w:pPr>
              <w:suppressAutoHyphens w:val="0"/>
              <w:autoSpaceDN/>
              <w:spacing w:before="0"/>
              <w:ind w:firstLine="0"/>
              <w:textAlignment w:val="auto"/>
              <w:rPr>
                <w:rFonts w:eastAsia="Calibri"/>
                <w:color w:val="000000"/>
                <w:kern w:val="0"/>
                <w:sz w:val="22"/>
                <w:szCs w:val="22"/>
                <w:lang w:eastAsia="en-US" w:bidi="ar-SA"/>
              </w:rPr>
            </w:pPr>
            <w:r w:rsidRPr="000F0299">
              <w:rPr>
                <w:rFonts w:eastAsia="Calibri"/>
                <w:color w:val="000000"/>
                <w:kern w:val="0"/>
                <w:sz w:val="22"/>
                <w:szCs w:val="22"/>
                <w:lang w:eastAsia="en-US" w:bidi="ar-SA"/>
              </w:rPr>
              <w:t>Посебан циљ 4.1.</w:t>
            </w:r>
          </w:p>
        </w:tc>
        <w:tc>
          <w:tcPr>
            <w:tcW w:w="801" w:type="pct"/>
          </w:tcPr>
          <w:p w14:paraId="0A9DC635"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color w:val="000000"/>
                <w:kern w:val="0"/>
                <w:sz w:val="22"/>
                <w:szCs w:val="22"/>
                <w:lang w:eastAsia="en-US" w:bidi="ar-SA"/>
              </w:rPr>
              <w:t>Израда приручника/смерница за руководиоце о позитивним ефектима повећања јавности у раду органа јавне управе и  израде е-информатора органа јавне управе</w:t>
            </w:r>
          </w:p>
          <w:p w14:paraId="61C996D9"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color w:val="000000"/>
                <w:kern w:val="0"/>
                <w:sz w:val="22"/>
                <w:szCs w:val="22"/>
                <w:lang w:eastAsia="en-US" w:bidi="ar-SA"/>
              </w:rPr>
            </w:pPr>
          </w:p>
        </w:tc>
        <w:tc>
          <w:tcPr>
            <w:tcW w:w="834" w:type="pct"/>
          </w:tcPr>
          <w:p w14:paraId="401290AF" w14:textId="2C52CA61"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color w:val="000000"/>
                <w:kern w:val="0"/>
                <w:sz w:val="22"/>
                <w:szCs w:val="22"/>
                <w:lang w:eastAsia="en-US" w:bidi="ar-SA"/>
              </w:rPr>
            </w:pPr>
            <w:r w:rsidRPr="000F0299">
              <w:rPr>
                <w:rFonts w:eastAsia="Calibri"/>
                <w:kern w:val="0"/>
                <w:sz w:val="22"/>
                <w:szCs w:val="22"/>
                <w:lang w:eastAsia="en-US" w:bidi="ar-SA"/>
              </w:rPr>
              <w:t xml:space="preserve">Постојање релевантних претходних истраживања и анализа о  </w:t>
            </w:r>
            <w:r w:rsidRPr="000F0299">
              <w:rPr>
                <w:rFonts w:eastAsia="Calibri"/>
                <w:color w:val="000000"/>
                <w:kern w:val="0"/>
                <w:sz w:val="22"/>
                <w:szCs w:val="22"/>
                <w:lang w:eastAsia="en-US" w:bidi="ar-SA"/>
              </w:rPr>
              <w:t xml:space="preserve"> позитивним ефектима повећања јавности у раду органа јавне управе</w:t>
            </w:r>
          </w:p>
          <w:p w14:paraId="23456C68"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Препознавање важности и заинтересованост за позитивне ефекте повећања јавности у раду органа јавне управе и израде е-информатора органа јавне управе од стране руководилаца. </w:t>
            </w:r>
          </w:p>
        </w:tc>
        <w:tc>
          <w:tcPr>
            <w:tcW w:w="1166" w:type="pct"/>
          </w:tcPr>
          <w:p w14:paraId="395C9BA9"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Недостатак финансијских ресурса за реализацију ове активности.</w:t>
            </w:r>
          </w:p>
          <w:p w14:paraId="30CC7FFB"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Недовољна заинтересованост и коришћење приручника/смерница од стране  руководилаца органа јавне управе.</w:t>
            </w:r>
          </w:p>
        </w:tc>
        <w:tc>
          <w:tcPr>
            <w:tcW w:w="1459" w:type="pct"/>
          </w:tcPr>
          <w:p w14:paraId="3056950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Укључивање активности у средњорочне планове и тражење алтернативних извора финансирања у односу на републички буџет.</w:t>
            </w:r>
          </w:p>
          <w:p w14:paraId="049F1285"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Мобилизација донаторске техничке и финансијске помоћи или израда посебног предлога пројекта специјално за ову намену и идентификовање потенцијалних донатора који би могли бити заинтересовани да тај пројекат финансирају.</w:t>
            </w:r>
          </w:p>
          <w:p w14:paraId="659632E9"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Након финализације приручника/смерница, потребно је представити налазе руководиоцима органа јавне управе.  Евентуално, развити и   план за унапређење коришћења приручника.</w:t>
            </w:r>
          </w:p>
        </w:tc>
      </w:tr>
      <w:tr w:rsidR="00C152CF" w:rsidRPr="000F0299" w14:paraId="26E820D0"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06A819E1" w14:textId="1C2991B7" w:rsidR="00C152CF" w:rsidRPr="000F0299" w:rsidRDefault="00487FD1" w:rsidP="004A318D">
            <w:pPr>
              <w:suppressAutoHyphens w:val="0"/>
              <w:autoSpaceDN/>
              <w:spacing w:before="0"/>
              <w:ind w:firstLine="0"/>
              <w:textAlignment w:val="auto"/>
              <w:rPr>
                <w:rFonts w:eastAsia="Calibri"/>
                <w:color w:val="000000"/>
                <w:kern w:val="0"/>
                <w:sz w:val="22"/>
                <w:szCs w:val="22"/>
                <w:lang w:eastAsia="en-US" w:bidi="ar-SA"/>
              </w:rPr>
            </w:pPr>
            <w:r w:rsidRPr="000F0299">
              <w:rPr>
                <w:rFonts w:eastAsia="Calibri"/>
                <w:color w:val="000000"/>
                <w:kern w:val="0"/>
                <w:sz w:val="22"/>
                <w:szCs w:val="22"/>
                <w:lang w:eastAsia="en-US" w:bidi="ar-SA"/>
              </w:rPr>
              <w:t>Посебан циљ 4.1.</w:t>
            </w:r>
          </w:p>
        </w:tc>
        <w:tc>
          <w:tcPr>
            <w:tcW w:w="801" w:type="pct"/>
          </w:tcPr>
          <w:p w14:paraId="581CA87B" w14:textId="3041C676"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color w:val="000000"/>
                <w:kern w:val="0"/>
                <w:sz w:val="22"/>
                <w:szCs w:val="22"/>
                <w:lang w:eastAsia="en-US" w:bidi="ar-SA"/>
              </w:rPr>
              <w:t>Јачање кадровских капацитета, повећање броја и едукација запослених у надлежном органу за вршење послова инспекцијског надзора над спровођењем Закона о слободном приступу информацијама од јавног значаја</w:t>
            </w:r>
          </w:p>
        </w:tc>
        <w:tc>
          <w:tcPr>
            <w:tcW w:w="834" w:type="pct"/>
          </w:tcPr>
          <w:p w14:paraId="5E786833"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Доношење Закона о изменама и допунама Закона о слободном приступу информацијама од јавног значаја.</w:t>
            </w:r>
          </w:p>
          <w:p w14:paraId="4C424D7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Доношење и спровођење подзаконских аката. </w:t>
            </w:r>
          </w:p>
        </w:tc>
        <w:tc>
          <w:tcPr>
            <w:tcW w:w="1166" w:type="pct"/>
          </w:tcPr>
          <w:p w14:paraId="3B3DCEB3" w14:textId="7F2ABC02"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Недостатак финансијских ресурса за реализацију активности.</w:t>
            </w:r>
          </w:p>
          <w:p w14:paraId="4D2F7F7E"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Недовољан број пријављених кандидата на конкурс/е који поседују одговарајуће компетенције за обављање овог посла може да смањи ефекте едукације.</w:t>
            </w:r>
          </w:p>
        </w:tc>
        <w:tc>
          <w:tcPr>
            <w:tcW w:w="1459" w:type="pct"/>
          </w:tcPr>
          <w:p w14:paraId="323AF62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Организовање консултација/састанка административног и, по потреби, политичког нивоа координације, како би се мобилисали неопходни ресурси за спровођење активности.</w:t>
            </w:r>
          </w:p>
          <w:p w14:paraId="1B01961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Информисање и подизање интересовања потенцијалних кандидата који поседују одговарајуће компетенције путем медија (укључујући и друштвене мреже) да се пријаве на конкурс/е. </w:t>
            </w:r>
          </w:p>
        </w:tc>
      </w:tr>
      <w:tr w:rsidR="00C152CF" w:rsidRPr="000F0299" w14:paraId="27FEA14C"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323F9C56" w14:textId="6970CAED" w:rsidR="00C152CF" w:rsidRPr="000F0299" w:rsidRDefault="00487FD1" w:rsidP="004A318D">
            <w:pPr>
              <w:suppressAutoHyphens w:val="0"/>
              <w:autoSpaceDN/>
              <w:spacing w:before="0"/>
              <w:ind w:firstLine="0"/>
              <w:textAlignment w:val="auto"/>
              <w:rPr>
                <w:rFonts w:eastAsia="Calibri"/>
                <w:color w:val="000000"/>
                <w:kern w:val="0"/>
                <w:sz w:val="22"/>
                <w:szCs w:val="22"/>
                <w:lang w:eastAsia="en-US" w:bidi="ar-SA"/>
              </w:rPr>
            </w:pPr>
            <w:r w:rsidRPr="000F0299">
              <w:rPr>
                <w:rFonts w:eastAsia="Calibri"/>
                <w:color w:val="000000"/>
                <w:kern w:val="0"/>
                <w:sz w:val="22"/>
                <w:szCs w:val="22"/>
                <w:lang w:eastAsia="en-US" w:bidi="ar-SA"/>
              </w:rPr>
              <w:t>Посебан циљ 4.1.</w:t>
            </w:r>
          </w:p>
        </w:tc>
        <w:tc>
          <w:tcPr>
            <w:tcW w:w="801" w:type="pct"/>
          </w:tcPr>
          <w:p w14:paraId="127B68FA" w14:textId="36D9AD20" w:rsidR="00616FD0"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color w:val="000000"/>
                <w:kern w:val="0"/>
                <w:sz w:val="22"/>
                <w:szCs w:val="22"/>
                <w:lang w:eastAsia="en-US" w:bidi="ar-SA"/>
              </w:rPr>
            </w:pPr>
            <w:r w:rsidRPr="000F0299">
              <w:rPr>
                <w:rFonts w:eastAsia="Calibri"/>
                <w:color w:val="000000"/>
                <w:kern w:val="0"/>
                <w:sz w:val="22"/>
                <w:szCs w:val="22"/>
                <w:lang w:eastAsia="en-US" w:bidi="ar-SA"/>
              </w:rPr>
              <w:t>Унапређење техничких и просторних капацитета неопходних за вршење надлежности – инспекцијског надзора над спровођењем Закона о слободном приступу информацијама од јавног значаја</w:t>
            </w:r>
          </w:p>
        </w:tc>
        <w:tc>
          <w:tcPr>
            <w:tcW w:w="834" w:type="pct"/>
          </w:tcPr>
          <w:p w14:paraId="2377061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Доношење Закона о изменама и допунама Закона о слободном приступу информацијама од јавног значаја.</w:t>
            </w:r>
          </w:p>
          <w:p w14:paraId="2830FD2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Доношење и спровођење подзаконских аката.</w:t>
            </w:r>
          </w:p>
          <w:p w14:paraId="7A6C19A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Довољан број кадрова.</w:t>
            </w:r>
          </w:p>
        </w:tc>
        <w:tc>
          <w:tcPr>
            <w:tcW w:w="1166" w:type="pct"/>
          </w:tcPr>
          <w:p w14:paraId="20220C9E"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ИТ решења (софтвер и хардвер) која нису лака за коришћење или довољно корисна за процес инспекцијског надзора биће недовољно коришћена или одбијена.</w:t>
            </w:r>
          </w:p>
          <w:p w14:paraId="318714A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 xml:space="preserve">Неопходан простор за смештај повећаног броја инспектора може бити недоступан у захтеваном времену, а то може да доведе до смањене делотворности њиховог рада. </w:t>
            </w:r>
          </w:p>
        </w:tc>
        <w:tc>
          <w:tcPr>
            <w:tcW w:w="1459" w:type="pct"/>
          </w:tcPr>
          <w:p w14:paraId="26309A7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Вишеструко укључивање будућих корисника у развој  ИТ решења пре усвајања коначног. </w:t>
            </w:r>
          </w:p>
          <w:p w14:paraId="31A1D557"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Укључивање активности у средњорочни план.</w:t>
            </w:r>
          </w:p>
          <w:p w14:paraId="288240D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Организовање консултација/састанка административног и, по потреби, политичког нивоа координације, како би се мобилисали неопходни ресурси за спровођење активности.</w:t>
            </w:r>
          </w:p>
        </w:tc>
      </w:tr>
      <w:tr w:rsidR="00C152CF" w:rsidRPr="000F0299" w14:paraId="09D89819" w14:textId="77777777" w:rsidTr="004A318D">
        <w:trPr>
          <w:trHeight w:val="558"/>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839DCC"/>
            <w:vAlign w:val="center"/>
          </w:tcPr>
          <w:p w14:paraId="6E7E99A1" w14:textId="4B66DF3D" w:rsidR="00C152CF" w:rsidRPr="000F0299" w:rsidRDefault="00C152CF" w:rsidP="004A318D">
            <w:pPr>
              <w:suppressAutoHyphens w:val="0"/>
              <w:autoSpaceDN/>
              <w:spacing w:before="0"/>
              <w:ind w:firstLine="0"/>
              <w:jc w:val="left"/>
              <w:textAlignment w:val="auto"/>
              <w:rPr>
                <w:rFonts w:eastAsia="Calibri"/>
                <w:kern w:val="0"/>
                <w:sz w:val="22"/>
                <w:szCs w:val="22"/>
                <w:lang w:eastAsia="en-US" w:bidi="ar-SA"/>
              </w:rPr>
            </w:pPr>
            <w:r w:rsidRPr="000F0299">
              <w:rPr>
                <w:rFonts w:eastAsia="Calibri"/>
                <w:kern w:val="0"/>
                <w:sz w:val="22"/>
                <w:szCs w:val="22"/>
                <w:lang w:eastAsia="en-US" w:bidi="ar-SA"/>
              </w:rPr>
              <w:br w:type="page"/>
            </w:r>
            <w:r w:rsidR="00C83141" w:rsidRPr="000F0299">
              <w:rPr>
                <w:rFonts w:eastAsia="Calibri"/>
                <w:kern w:val="0"/>
                <w:sz w:val="22"/>
                <w:szCs w:val="22"/>
                <w:lang w:eastAsia="en-US" w:bidi="ar-SA"/>
              </w:rPr>
              <w:t>Управљање јавним финансијама</w:t>
            </w:r>
          </w:p>
        </w:tc>
      </w:tr>
      <w:tr w:rsidR="00C152CF" w:rsidRPr="000F0299" w14:paraId="62A2721A"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554FAC0E" w14:textId="35F51A5C" w:rsidR="00C152CF" w:rsidRPr="000F0299" w:rsidRDefault="00C152CF" w:rsidP="004A318D">
            <w:pPr>
              <w:suppressAutoHyphens w:val="0"/>
              <w:autoSpaceDN/>
              <w:spacing w:before="0"/>
              <w:ind w:firstLine="0"/>
              <w:textAlignment w:val="auto"/>
              <w:rPr>
                <w:rFonts w:eastAsia="Calibri"/>
                <w:color w:val="000000"/>
                <w:kern w:val="0"/>
                <w:sz w:val="22"/>
                <w:szCs w:val="22"/>
                <w:lang w:eastAsia="en-US" w:bidi="ar-SA"/>
              </w:rPr>
            </w:pPr>
            <w:r w:rsidRPr="000F0299">
              <w:rPr>
                <w:rFonts w:eastAsia="Calibri"/>
                <w:kern w:val="0"/>
                <w:sz w:val="22"/>
                <w:szCs w:val="22"/>
                <w:lang w:eastAsia="en-US" w:bidi="ar-SA"/>
              </w:rPr>
              <w:t xml:space="preserve">Посебан циљ 5.1:  Остваривање одрживог буџета са стабилним јавним дугом у односу на БДП уз помоћ бољег финансијског управљања и контроле, процеса ревизије и </w:t>
            </w:r>
            <w:r w:rsidR="00BB1C3D" w:rsidRPr="000F0299">
              <w:rPr>
                <w:rFonts w:eastAsia="Calibri"/>
                <w:kern w:val="0"/>
                <w:sz w:val="22"/>
                <w:szCs w:val="22"/>
                <w:lang w:eastAsia="en-US" w:bidi="ar-SA"/>
              </w:rPr>
              <w:t>повезивања</w:t>
            </w:r>
            <w:r w:rsidRPr="000F0299">
              <w:rPr>
                <w:rFonts w:eastAsia="Calibri"/>
                <w:kern w:val="0"/>
                <w:sz w:val="22"/>
                <w:szCs w:val="22"/>
                <w:lang w:eastAsia="en-US" w:bidi="ar-SA"/>
              </w:rPr>
              <w:t xml:space="preserve"> буџетског планирања са политикама и приоритетима Владе.</w:t>
            </w:r>
          </w:p>
        </w:tc>
        <w:tc>
          <w:tcPr>
            <w:tcW w:w="801" w:type="pct"/>
          </w:tcPr>
          <w:p w14:paraId="6C887F08"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Програмско буџетирање, средњорочно планирање и планирање јавних инвестиција</w:t>
            </w:r>
          </w:p>
          <w:p w14:paraId="4B7E4FF7"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color w:val="000000"/>
                <w:kern w:val="0"/>
                <w:sz w:val="22"/>
                <w:szCs w:val="22"/>
                <w:lang w:eastAsia="en-US" w:bidi="ar-SA"/>
              </w:rPr>
            </w:pPr>
          </w:p>
        </w:tc>
        <w:tc>
          <w:tcPr>
            <w:tcW w:w="834" w:type="pct"/>
          </w:tcPr>
          <w:p w14:paraId="47CE8C86"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Заокруживање регулаторног и методолошког оквира</w:t>
            </w:r>
          </w:p>
          <w:p w14:paraId="59F1C9B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Дугорочна стабилност финансијског оквира</w:t>
            </w:r>
          </w:p>
          <w:p w14:paraId="2BD3836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p>
          <w:p w14:paraId="6C65338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p>
        </w:tc>
        <w:tc>
          <w:tcPr>
            <w:tcW w:w="1166" w:type="pct"/>
          </w:tcPr>
          <w:p w14:paraId="0175A5F9" w14:textId="459A962B"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Недовољно разумевање и посвећеност буџетских корисника унапређењу </w:t>
            </w:r>
            <w:r w:rsidR="00BB1C3D" w:rsidRPr="000F0299">
              <w:rPr>
                <w:rFonts w:eastAsia="Calibri"/>
                <w:kern w:val="0"/>
                <w:sz w:val="22"/>
                <w:szCs w:val="22"/>
                <w:lang w:eastAsia="en-US" w:bidi="ar-SA"/>
              </w:rPr>
              <w:t>транспарентности</w:t>
            </w:r>
            <w:r w:rsidRPr="000F0299">
              <w:rPr>
                <w:rFonts w:eastAsia="Calibri"/>
                <w:kern w:val="0"/>
                <w:sz w:val="22"/>
                <w:szCs w:val="22"/>
                <w:lang w:eastAsia="en-US" w:bidi="ar-SA"/>
              </w:rPr>
              <w:t xml:space="preserve"> буџета</w:t>
            </w:r>
          </w:p>
          <w:p w14:paraId="196CE74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p>
        </w:tc>
        <w:tc>
          <w:tcPr>
            <w:tcW w:w="1459" w:type="pct"/>
          </w:tcPr>
          <w:p w14:paraId="01F21E0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Треба омогућити доследну имплементацију законских и подзаконских аката којим се регулише програмско буџетирање, средњорочно планирање и управљање јавним инвестицијама</w:t>
            </w:r>
          </w:p>
          <w:p w14:paraId="407712E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i/>
                <w:iCs/>
                <w:color w:val="404040"/>
                <w:kern w:val="0"/>
                <w:sz w:val="22"/>
                <w:szCs w:val="22"/>
                <w:lang w:eastAsia="en-US" w:bidi="ar-SA"/>
              </w:rPr>
            </w:pPr>
            <w:r w:rsidRPr="000F0299">
              <w:rPr>
                <w:rFonts w:eastAsia="Calibri"/>
                <w:kern w:val="0"/>
                <w:sz w:val="22"/>
                <w:szCs w:val="22"/>
                <w:lang w:eastAsia="en-US" w:bidi="ar-SA"/>
              </w:rPr>
              <w:t>Даљи развој и јачање ИТ система за израду и извршење буџета и управљање јавним инвестицијама.</w:t>
            </w:r>
          </w:p>
          <w:p w14:paraId="331DF38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i/>
                <w:iCs/>
                <w:color w:val="404040"/>
                <w:kern w:val="0"/>
                <w:sz w:val="22"/>
                <w:szCs w:val="22"/>
                <w:lang w:eastAsia="en-US" w:bidi="ar-SA"/>
              </w:rPr>
            </w:pPr>
            <w:r w:rsidRPr="000F0299">
              <w:rPr>
                <w:rFonts w:eastAsia="Calibri"/>
                <w:kern w:val="0"/>
                <w:sz w:val="22"/>
                <w:szCs w:val="22"/>
                <w:lang w:eastAsia="en-US" w:bidi="ar-SA"/>
              </w:rPr>
              <w:t>Промовисање размене са скупштинским Одбором за буџет и синергија са пројектима који подржавају скупштински надзор.</w:t>
            </w:r>
          </w:p>
          <w:p w14:paraId="1F13E6D9"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i/>
                <w:iCs/>
                <w:color w:val="404040"/>
                <w:kern w:val="0"/>
                <w:sz w:val="22"/>
                <w:szCs w:val="22"/>
                <w:lang w:eastAsia="en-US" w:bidi="ar-SA"/>
              </w:rPr>
            </w:pPr>
            <w:r w:rsidRPr="000F0299">
              <w:rPr>
                <w:rFonts w:eastAsia="Calibri"/>
                <w:kern w:val="0"/>
                <w:sz w:val="22"/>
                <w:szCs w:val="22"/>
                <w:lang w:eastAsia="en-US" w:bidi="ar-SA"/>
              </w:rPr>
              <w:t>Развијање и подршка за мрежу службеника који се баве буџетом.</w:t>
            </w:r>
          </w:p>
          <w:p w14:paraId="598BC8C7"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Праћење буџетског процеса и рано упозоравање на непоштовање буџетског календара.</w:t>
            </w:r>
          </w:p>
        </w:tc>
      </w:tr>
      <w:tr w:rsidR="00C152CF" w:rsidRPr="000F0299" w14:paraId="39FCB2B4" w14:textId="77777777" w:rsidTr="004A318D">
        <w:trPr>
          <w:trHeight w:val="699"/>
        </w:trPr>
        <w:tc>
          <w:tcPr>
            <w:cnfStyle w:val="001000000000" w:firstRow="0" w:lastRow="0" w:firstColumn="1" w:lastColumn="0" w:oddVBand="0" w:evenVBand="0" w:oddHBand="0" w:evenHBand="0" w:firstRowFirstColumn="0" w:firstRowLastColumn="0" w:lastRowFirstColumn="0" w:lastRowLastColumn="0"/>
            <w:tcW w:w="740" w:type="pct"/>
          </w:tcPr>
          <w:p w14:paraId="0D003A4C"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 xml:space="preserve">Посебан циљ 5.1:   </w:t>
            </w:r>
          </w:p>
        </w:tc>
        <w:tc>
          <w:tcPr>
            <w:tcW w:w="801" w:type="pct"/>
          </w:tcPr>
          <w:p w14:paraId="5CC929D5"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Програмско буџетирање, средњорочно планирање и планирање јавних инвестиција</w:t>
            </w:r>
          </w:p>
          <w:p w14:paraId="2C56C15F"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p>
        </w:tc>
        <w:tc>
          <w:tcPr>
            <w:tcW w:w="834" w:type="pct"/>
          </w:tcPr>
          <w:p w14:paraId="54515B0E" w14:textId="04568BE2"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Заокруживање регулаторног и методолошког оквира</w:t>
            </w:r>
          </w:p>
          <w:p w14:paraId="54B5C36F" w14:textId="7D389E5E"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Довољан број обучених тренера у области финансијског и средњорочног </w:t>
            </w:r>
            <w:r w:rsidR="00BB1C3D" w:rsidRPr="000F0299">
              <w:rPr>
                <w:rFonts w:eastAsia="Calibri"/>
                <w:kern w:val="0"/>
                <w:sz w:val="22"/>
                <w:szCs w:val="22"/>
                <w:lang w:eastAsia="en-US" w:bidi="ar-SA"/>
              </w:rPr>
              <w:t>планирања</w:t>
            </w:r>
          </w:p>
          <w:p w14:paraId="5C176CF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Дугорочна стабилност финансијског оквира</w:t>
            </w:r>
          </w:p>
        </w:tc>
        <w:tc>
          <w:tcPr>
            <w:tcW w:w="1166" w:type="pct"/>
          </w:tcPr>
          <w:p w14:paraId="09BB1772" w14:textId="7716340C"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Недостатак </w:t>
            </w:r>
            <w:r w:rsidR="00BB1C3D" w:rsidRPr="000F0299">
              <w:rPr>
                <w:rFonts w:eastAsia="Calibri"/>
                <w:kern w:val="0"/>
                <w:sz w:val="22"/>
                <w:szCs w:val="22"/>
                <w:lang w:eastAsia="en-US" w:bidi="ar-SA"/>
              </w:rPr>
              <w:t>људских</w:t>
            </w:r>
            <w:r w:rsidRPr="000F0299">
              <w:rPr>
                <w:rFonts w:eastAsia="Calibri"/>
                <w:kern w:val="0"/>
                <w:sz w:val="22"/>
                <w:szCs w:val="22"/>
                <w:lang w:eastAsia="en-US" w:bidi="ar-SA"/>
              </w:rPr>
              <w:t xml:space="preserve"> капацитета (недовољан број запослених и ниво знања и стручности, нарочито на локалу)</w:t>
            </w:r>
          </w:p>
          <w:p w14:paraId="697F253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p>
        </w:tc>
        <w:tc>
          <w:tcPr>
            <w:tcW w:w="1459" w:type="pct"/>
          </w:tcPr>
          <w:p w14:paraId="4DC4712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i/>
                <w:iCs/>
                <w:color w:val="404040"/>
                <w:kern w:val="0"/>
                <w:sz w:val="22"/>
                <w:szCs w:val="22"/>
                <w:lang w:eastAsia="en-US" w:bidi="ar-SA"/>
              </w:rPr>
            </w:pPr>
            <w:r w:rsidRPr="000F0299">
              <w:rPr>
                <w:rFonts w:eastAsia="Calibri"/>
                <w:kern w:val="0"/>
                <w:sz w:val="22"/>
                <w:szCs w:val="22"/>
                <w:lang w:eastAsia="en-US" w:bidi="ar-SA"/>
              </w:rPr>
              <w:t>Мобилизација ресурса за обуку запослених у МФИН и на нивоу ЈЛС.</w:t>
            </w:r>
          </w:p>
          <w:p w14:paraId="043680ED" w14:textId="5A2FAE7C" w:rsidR="00C152CF" w:rsidRPr="000F0299" w:rsidRDefault="00BB1C3D"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Јачање</w:t>
            </w:r>
            <w:r w:rsidR="00C152CF" w:rsidRPr="000F0299">
              <w:rPr>
                <w:rFonts w:eastAsia="Calibri"/>
                <w:kern w:val="0"/>
                <w:sz w:val="22"/>
                <w:szCs w:val="22"/>
                <w:lang w:eastAsia="en-US" w:bidi="ar-SA"/>
              </w:rPr>
              <w:t xml:space="preserve"> едукационих капацитета Националне академије за јавну управу у области транспарентног управљања буџетом</w:t>
            </w:r>
          </w:p>
        </w:tc>
      </w:tr>
      <w:tr w:rsidR="00C152CF" w:rsidRPr="000F0299" w14:paraId="4091A4C1" w14:textId="77777777" w:rsidTr="004A318D">
        <w:trPr>
          <w:trHeight w:val="2503"/>
        </w:trPr>
        <w:tc>
          <w:tcPr>
            <w:cnfStyle w:val="001000000000" w:firstRow="0" w:lastRow="0" w:firstColumn="1" w:lastColumn="0" w:oddVBand="0" w:evenVBand="0" w:oddHBand="0" w:evenHBand="0" w:firstRowFirstColumn="0" w:firstRowLastColumn="0" w:lastRowFirstColumn="0" w:lastRowLastColumn="0"/>
            <w:tcW w:w="740" w:type="pct"/>
          </w:tcPr>
          <w:p w14:paraId="2E607C7B"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 xml:space="preserve">Посебан циљ 5.1:   </w:t>
            </w:r>
          </w:p>
        </w:tc>
        <w:tc>
          <w:tcPr>
            <w:tcW w:w="801" w:type="pct"/>
          </w:tcPr>
          <w:p w14:paraId="46945366"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Ефикасно и делотворно извршење буџета и извештавање</w:t>
            </w:r>
          </w:p>
          <w:p w14:paraId="43504C4B"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p>
        </w:tc>
        <w:tc>
          <w:tcPr>
            <w:tcW w:w="834" w:type="pct"/>
          </w:tcPr>
          <w:p w14:paraId="7A8BA3B9"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Доследна примена докумената јавних политика на нижем хијерархијском нивоу од стране институција које су надлежне за извршење буџета и извештавање</w:t>
            </w:r>
          </w:p>
          <w:p w14:paraId="5A14DF2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p>
        </w:tc>
        <w:tc>
          <w:tcPr>
            <w:tcW w:w="1166" w:type="pct"/>
          </w:tcPr>
          <w:p w14:paraId="6DC29BA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i/>
                <w:iCs/>
                <w:color w:val="404040"/>
                <w:kern w:val="0"/>
                <w:sz w:val="22"/>
                <w:szCs w:val="22"/>
                <w:lang w:eastAsia="en-US" w:bidi="ar-SA"/>
              </w:rPr>
            </w:pPr>
            <w:r w:rsidRPr="000F0299">
              <w:rPr>
                <w:rFonts w:eastAsia="Calibri"/>
                <w:kern w:val="0"/>
                <w:sz w:val="22"/>
                <w:szCs w:val="22"/>
                <w:lang w:eastAsia="en-US" w:bidi="ar-SA"/>
              </w:rPr>
              <w:t>Недовољна политичка посвећеност и сарадња надлежних институција у борби против сиве економије и недоследна примена законских санкција против физичких и правних лица укључених у активности у вези са сивом економијом што је предуслов за администрирање јавних прихода.</w:t>
            </w:r>
          </w:p>
          <w:p w14:paraId="5DD99155"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p>
        </w:tc>
        <w:tc>
          <w:tcPr>
            <w:tcW w:w="1459" w:type="pct"/>
          </w:tcPr>
          <w:p w14:paraId="7EA950E7"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Пуна подршка у спровођењу Програма за борбу против сиве економије (усвојеног 2019.) и подизање свести о њему кроз редовно извештавање јавности о спровођењу и постигнутим резултатима. Преиспитивање успостављеног механизма за спровођење програма и осигурање комуникације и брзог упозоравања руководиоца и политичког нивоа одлучивања уколико је испуњење циља упитно.</w:t>
            </w:r>
          </w:p>
        </w:tc>
      </w:tr>
      <w:tr w:rsidR="00C152CF" w:rsidRPr="000F0299" w14:paraId="5FF0C600"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2E6A5D40"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 xml:space="preserve">Посебан циљ 5.1:   </w:t>
            </w:r>
          </w:p>
        </w:tc>
        <w:tc>
          <w:tcPr>
            <w:tcW w:w="801" w:type="pct"/>
          </w:tcPr>
          <w:p w14:paraId="4188319F"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Ефикасно и делотворно извршење буџета и извештавање</w:t>
            </w:r>
          </w:p>
          <w:p w14:paraId="20E484A5"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p>
        </w:tc>
        <w:tc>
          <w:tcPr>
            <w:tcW w:w="834" w:type="pct"/>
          </w:tcPr>
          <w:p w14:paraId="79C16649"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Доследна примена планова за реорганизацију и модернизацију институција надлежних за извршење буџета</w:t>
            </w:r>
          </w:p>
          <w:p w14:paraId="0B7DEF2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p>
        </w:tc>
        <w:tc>
          <w:tcPr>
            <w:tcW w:w="1166" w:type="pct"/>
          </w:tcPr>
          <w:p w14:paraId="794BEBD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Кашњења у развоју и имплементацији ИТ инфраструктуре за модернизацију рада Пореске управе, Управе царина, Управе за јавни дуг и Управе за јавне набавке</w:t>
            </w:r>
          </w:p>
        </w:tc>
        <w:tc>
          <w:tcPr>
            <w:tcW w:w="1459" w:type="pct"/>
          </w:tcPr>
          <w:p w14:paraId="70A3F7B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i/>
                <w:iCs/>
                <w:color w:val="404040"/>
                <w:kern w:val="0"/>
                <w:sz w:val="22"/>
                <w:szCs w:val="22"/>
                <w:lang w:eastAsia="en-US" w:bidi="ar-SA"/>
              </w:rPr>
            </w:pPr>
            <w:r w:rsidRPr="000F0299">
              <w:rPr>
                <w:rFonts w:eastAsia="Calibri"/>
                <w:kern w:val="0"/>
                <w:sz w:val="22"/>
                <w:szCs w:val="22"/>
                <w:lang w:eastAsia="en-US" w:bidi="ar-SA"/>
              </w:rPr>
              <w:t>Побољшати планирање ИТ инфраструктуре (укључујући планирање јавних набавки) и консеквентно пратити напредак спровођења ИТ пројеката, уз систематичну размену научених лекција.</w:t>
            </w:r>
          </w:p>
          <w:p w14:paraId="5D63FD14" w14:textId="4C97081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Мобилисање домаћих и </w:t>
            </w:r>
            <w:r w:rsidR="00BB1C3D" w:rsidRPr="000F0299">
              <w:rPr>
                <w:rFonts w:eastAsia="Calibri"/>
                <w:kern w:val="0"/>
                <w:sz w:val="22"/>
                <w:szCs w:val="22"/>
                <w:lang w:eastAsia="en-US" w:bidi="ar-SA"/>
              </w:rPr>
              <w:t>донаторских</w:t>
            </w:r>
            <w:r w:rsidRPr="000F0299">
              <w:rPr>
                <w:rFonts w:eastAsia="Calibri"/>
                <w:kern w:val="0"/>
                <w:sz w:val="22"/>
                <w:szCs w:val="22"/>
                <w:lang w:eastAsia="en-US" w:bidi="ar-SA"/>
              </w:rPr>
              <w:t xml:space="preserve"> ресурса за ИТ инфраструктурне пројекте уз осигурање да постоји систематична комуникација и координација између свих иницијатива.</w:t>
            </w:r>
          </w:p>
        </w:tc>
      </w:tr>
      <w:tr w:rsidR="00C152CF" w:rsidRPr="000F0299" w14:paraId="4564ED6F"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32E8D0C2"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 xml:space="preserve">Посебан циљ 5.1:   </w:t>
            </w:r>
          </w:p>
        </w:tc>
        <w:tc>
          <w:tcPr>
            <w:tcW w:w="801" w:type="pct"/>
          </w:tcPr>
          <w:p w14:paraId="289D656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Ефикасно и делотворно извршење буџета и извештавање</w:t>
            </w:r>
          </w:p>
          <w:p w14:paraId="394768A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p>
        </w:tc>
        <w:tc>
          <w:tcPr>
            <w:tcW w:w="834" w:type="pct"/>
          </w:tcPr>
          <w:p w14:paraId="038762EF"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Припрема програма обуке за примену ИПСАС стандарда и обука довољног броја тренера </w:t>
            </w:r>
          </w:p>
          <w:p w14:paraId="7BEB132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p>
        </w:tc>
        <w:tc>
          <w:tcPr>
            <w:tcW w:w="1166" w:type="pct"/>
          </w:tcPr>
          <w:p w14:paraId="0449F4EB" w14:textId="779CCA22"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Недостатак људских капацитета за примену ИПСАС стандарда може да успори увођење међународних рачу</w:t>
            </w:r>
            <w:r w:rsidR="00BB1C3D">
              <w:rPr>
                <w:rFonts w:eastAsia="Calibri"/>
                <w:kern w:val="0"/>
                <w:sz w:val="22"/>
                <w:szCs w:val="22"/>
                <w:lang w:eastAsia="en-US" w:bidi="ar-SA"/>
              </w:rPr>
              <w:t>но</w:t>
            </w:r>
            <w:r w:rsidRPr="000F0299">
              <w:rPr>
                <w:rFonts w:eastAsia="Calibri"/>
                <w:kern w:val="0"/>
                <w:sz w:val="22"/>
                <w:szCs w:val="22"/>
                <w:lang w:eastAsia="en-US" w:bidi="ar-SA"/>
              </w:rPr>
              <w:t>водствених стандарда, које могу да имају импликације на ревизију.</w:t>
            </w:r>
          </w:p>
          <w:p w14:paraId="24458EB3"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p>
        </w:tc>
        <w:tc>
          <w:tcPr>
            <w:tcW w:w="1459" w:type="pct"/>
          </w:tcPr>
          <w:p w14:paraId="1B802CC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Креирање домаћег програма за ИПСАС сертификацију рачуновођа у јавном сектору</w:t>
            </w:r>
          </w:p>
          <w:p w14:paraId="1F421679"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Мобилизација домаћих ресурса и донаторске техничке и финансијске помоћи како би се повећала буџетска издвајања и  за обуку запослених о ИПСАС стандардима.</w:t>
            </w:r>
          </w:p>
        </w:tc>
      </w:tr>
      <w:tr w:rsidR="00C152CF" w:rsidRPr="000F0299" w14:paraId="1D5BE115"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4BF58E1F" w14:textId="77777777" w:rsidR="00C152CF" w:rsidRPr="000F0299" w:rsidRDefault="00C152CF"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 xml:space="preserve">Посебан циљ 5.1.   </w:t>
            </w:r>
          </w:p>
        </w:tc>
        <w:tc>
          <w:tcPr>
            <w:tcW w:w="801" w:type="pct"/>
          </w:tcPr>
          <w:p w14:paraId="265A0A17"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Ефикасан и делотворан систем интерне финансијске контроле у јавном сектору</w:t>
            </w:r>
          </w:p>
        </w:tc>
        <w:tc>
          <w:tcPr>
            <w:tcW w:w="834" w:type="pct"/>
          </w:tcPr>
          <w:p w14:paraId="6741CB2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Руководиоци корисника јавних средстава су посвећени успостављању интерне финансијске контроле </w:t>
            </w:r>
          </w:p>
        </w:tc>
        <w:tc>
          <w:tcPr>
            <w:tcW w:w="1166" w:type="pct"/>
          </w:tcPr>
          <w:p w14:paraId="621A825C" w14:textId="011CCFCA"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Недостатак </w:t>
            </w:r>
            <w:r w:rsidR="00BB1C3D" w:rsidRPr="000F0299">
              <w:rPr>
                <w:rFonts w:eastAsia="Calibri"/>
                <w:kern w:val="0"/>
                <w:sz w:val="22"/>
                <w:szCs w:val="22"/>
                <w:lang w:eastAsia="en-US" w:bidi="ar-SA"/>
              </w:rPr>
              <w:t>људских</w:t>
            </w:r>
            <w:r w:rsidRPr="000F0299">
              <w:rPr>
                <w:rFonts w:eastAsia="Calibri"/>
                <w:kern w:val="0"/>
                <w:sz w:val="22"/>
                <w:szCs w:val="22"/>
                <w:lang w:eastAsia="en-US" w:bidi="ar-SA"/>
              </w:rPr>
              <w:t xml:space="preserve"> капацитета (недовољан број запослених и ниво знања и стручности) може да ограничи делотворност напора у јачању интерне контроле.</w:t>
            </w:r>
          </w:p>
          <w:p w14:paraId="2E07E74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p>
        </w:tc>
        <w:tc>
          <w:tcPr>
            <w:tcW w:w="1459" w:type="pct"/>
          </w:tcPr>
          <w:p w14:paraId="004153B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Повећана буџетска издвајања за обуку запослених и jaчање едукационих капацитета Националне академије за јавну управу да спроводи обуку за интерну контролу.</w:t>
            </w:r>
          </w:p>
          <w:p w14:paraId="65342AD4" w14:textId="3F4A122A" w:rsidR="000631D1"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Мобилизација домаћих ресурса и донаторске техничке и финансијске помоћи како би се повећала буџетска издвајања за развој капацитета за интерну контролу.</w:t>
            </w:r>
          </w:p>
        </w:tc>
      </w:tr>
      <w:tr w:rsidR="00C152CF" w:rsidRPr="000F0299" w14:paraId="0F59ECAB" w14:textId="77777777" w:rsidTr="007F51E0">
        <w:trPr>
          <w:trHeight w:val="509"/>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666D88"/>
          </w:tcPr>
          <w:p w14:paraId="68D6B13A" w14:textId="13EB9CBC" w:rsidR="00C152CF" w:rsidRPr="000F0299" w:rsidRDefault="00C83141" w:rsidP="004A318D">
            <w:pPr>
              <w:suppressAutoHyphens w:val="0"/>
              <w:autoSpaceDN/>
              <w:spacing w:before="0"/>
              <w:ind w:firstLine="0"/>
              <w:jc w:val="left"/>
              <w:textAlignment w:val="auto"/>
              <w:rPr>
                <w:rFonts w:eastAsia="Calibri"/>
                <w:kern w:val="0"/>
                <w:sz w:val="22"/>
                <w:szCs w:val="22"/>
                <w:lang w:eastAsia="en-US" w:bidi="ar-SA"/>
              </w:rPr>
            </w:pPr>
            <w:r w:rsidRPr="000F0299">
              <w:rPr>
                <w:rFonts w:eastAsia="Calibri"/>
                <w:color w:val="FFFFFF" w:themeColor="background1"/>
                <w:kern w:val="0"/>
                <w:sz w:val="22"/>
                <w:szCs w:val="22"/>
                <w:lang w:eastAsia="en-US" w:bidi="ar-SA"/>
              </w:rPr>
              <w:t>Систем локалне самоуправе</w:t>
            </w:r>
          </w:p>
        </w:tc>
      </w:tr>
      <w:tr w:rsidR="00C152CF" w:rsidRPr="000F0299" w14:paraId="308758C9" w14:textId="77777777" w:rsidTr="00A932F9">
        <w:tc>
          <w:tcPr>
            <w:cnfStyle w:val="001000000000" w:firstRow="0" w:lastRow="0" w:firstColumn="1" w:lastColumn="0" w:oddVBand="0" w:evenVBand="0" w:oddHBand="0" w:evenHBand="0" w:firstRowFirstColumn="0" w:firstRowLastColumn="0" w:lastRowFirstColumn="0" w:lastRowLastColumn="0"/>
            <w:tcW w:w="740" w:type="pct"/>
          </w:tcPr>
          <w:p w14:paraId="07D9137F" w14:textId="65E34974" w:rsidR="00C152CF" w:rsidRPr="000F0299" w:rsidRDefault="00487FD1"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 xml:space="preserve">Посебан циљ </w:t>
            </w:r>
            <w:r w:rsidR="00C152CF" w:rsidRPr="000F0299">
              <w:rPr>
                <w:rFonts w:eastAsia="Calibri"/>
                <w:kern w:val="0"/>
                <w:sz w:val="22"/>
                <w:szCs w:val="22"/>
                <w:lang w:eastAsia="en-US" w:bidi="ar-SA"/>
              </w:rPr>
              <w:t>6.1: Систем локалне самоуправе који омогућава ефикасно и одрживо остваривање права грађана на локалну самоуправу</w:t>
            </w:r>
          </w:p>
        </w:tc>
        <w:tc>
          <w:tcPr>
            <w:tcW w:w="801" w:type="pct"/>
          </w:tcPr>
          <w:p w14:paraId="2DCDAB88"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Унапређен положај и одговорности локалне самоуправе – Усаглашеност система ЛС са кључним принципима ЕПЛС (Европска повеља за локалну самоуправу)</w:t>
            </w:r>
          </w:p>
        </w:tc>
        <w:tc>
          <w:tcPr>
            <w:tcW w:w="834" w:type="pct"/>
          </w:tcPr>
          <w:p w14:paraId="463A435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Посвећеност пуној примени Европске повеље за локалну самоуправу</w:t>
            </w:r>
          </w:p>
        </w:tc>
        <w:tc>
          <w:tcPr>
            <w:tcW w:w="1166" w:type="pct"/>
          </w:tcPr>
          <w:p w14:paraId="44355C22" w14:textId="67EC7236"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 xml:space="preserve">Недовољан фокус и приоритизација активности како би се осигурало делегирање власти на локални ниво и гарантовала његова аутономија и приступ приходима могу да успоре пуно </w:t>
            </w:r>
            <w:r w:rsidR="00BB1C3D" w:rsidRPr="000F0299">
              <w:rPr>
                <w:rFonts w:eastAsia="Calibri"/>
                <w:kern w:val="0"/>
                <w:sz w:val="22"/>
                <w:szCs w:val="22"/>
                <w:lang w:eastAsia="en-US" w:bidi="ar-SA"/>
              </w:rPr>
              <w:t>усклађивање правног</w:t>
            </w:r>
            <w:r w:rsidRPr="000F0299">
              <w:rPr>
                <w:rFonts w:eastAsia="Calibri"/>
                <w:kern w:val="0"/>
                <w:sz w:val="22"/>
                <w:szCs w:val="22"/>
                <w:lang w:eastAsia="en-US" w:bidi="ar-SA"/>
              </w:rPr>
              <w:t xml:space="preserve"> система, као и пуну имплементацију прихваћених одредби ЕПЛС у пракси.</w:t>
            </w:r>
          </w:p>
        </w:tc>
        <w:tc>
          <w:tcPr>
            <w:tcW w:w="1459" w:type="pct"/>
          </w:tcPr>
          <w:p w14:paraId="4E1C58C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Интензивније укључивање свих заинтересованих страна како би се приступило пуном усклађивању правног система, и обезбедила пуна имплементација  прихваћених одредби ЕПЛС у пракси.</w:t>
            </w:r>
          </w:p>
        </w:tc>
      </w:tr>
      <w:tr w:rsidR="00C152CF" w:rsidRPr="000F0299" w14:paraId="5143B7CC"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5365E638" w14:textId="33AF2324" w:rsidR="00C152CF" w:rsidRPr="000F0299" w:rsidRDefault="00487FD1"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6.1:</w:t>
            </w:r>
          </w:p>
        </w:tc>
        <w:tc>
          <w:tcPr>
            <w:tcW w:w="801" w:type="pct"/>
          </w:tcPr>
          <w:p w14:paraId="073DCBF6"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Унапређен положај и одговорности локалне самоуправе – Укљученост локалних власти у израду националних прописа који уређују њихов рад</w:t>
            </w:r>
          </w:p>
        </w:tc>
        <w:tc>
          <w:tcPr>
            <w:tcW w:w="834" w:type="pct"/>
          </w:tcPr>
          <w:p w14:paraId="68C65922"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Активна сарадња и учешће  различитих нивоа власти у законодавном процесу</w:t>
            </w:r>
          </w:p>
        </w:tc>
        <w:tc>
          <w:tcPr>
            <w:tcW w:w="1166" w:type="pct"/>
          </w:tcPr>
          <w:p w14:paraId="1C56531B"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 xml:space="preserve">Недовољна укљученост локалних власти у израду релевантних прописа може да утиче на квалитет прописа, нарочито у погледу капацитета за њихово спровођење. </w:t>
            </w:r>
          </w:p>
        </w:tc>
        <w:tc>
          <w:tcPr>
            <w:tcW w:w="1459" w:type="pct"/>
          </w:tcPr>
          <w:p w14:paraId="36BEFFE9"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Праћење законодавних процеса од стране представника локалне власти </w:t>
            </w:r>
          </w:p>
          <w:p w14:paraId="586C63F6"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Промовисање активне сарадње МДУЛС и представника локалне власти са предлагачима идентификованих релевантних прописа у поступку израде истих</w:t>
            </w:r>
          </w:p>
        </w:tc>
      </w:tr>
      <w:tr w:rsidR="00C152CF" w:rsidRPr="000F0299" w14:paraId="6A871968" w14:textId="77777777" w:rsidTr="004A318D">
        <w:trPr>
          <w:trHeight w:val="983"/>
        </w:trPr>
        <w:tc>
          <w:tcPr>
            <w:cnfStyle w:val="001000000000" w:firstRow="0" w:lastRow="0" w:firstColumn="1" w:lastColumn="0" w:oddVBand="0" w:evenVBand="0" w:oddHBand="0" w:evenHBand="0" w:firstRowFirstColumn="0" w:firstRowLastColumn="0" w:lastRowFirstColumn="0" w:lastRowLastColumn="0"/>
            <w:tcW w:w="740" w:type="pct"/>
          </w:tcPr>
          <w:p w14:paraId="2DEEE860" w14:textId="6355679F" w:rsidR="00C152CF" w:rsidRPr="000F0299" w:rsidRDefault="00487FD1"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6.1:</w:t>
            </w:r>
          </w:p>
        </w:tc>
        <w:tc>
          <w:tcPr>
            <w:tcW w:w="801" w:type="pct"/>
          </w:tcPr>
          <w:p w14:paraId="4155677E"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Унапређен систем финансирања који омогућава адекватно и предвидиво финансирање локалне самоуправе – удео прихода ЛС у укупним јавним приходима у РС</w:t>
            </w:r>
          </w:p>
        </w:tc>
        <w:tc>
          <w:tcPr>
            <w:tcW w:w="834" w:type="pct"/>
          </w:tcPr>
          <w:p w14:paraId="04702498"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Ефикасно спровођење Закона о јавној својини и Закона о улагањима </w:t>
            </w:r>
          </w:p>
          <w:p w14:paraId="5D388A33"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p>
          <w:p w14:paraId="5D1A9C18"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Спремност различитих нивоа власти за конструктиван дијалог</w:t>
            </w:r>
          </w:p>
        </w:tc>
        <w:tc>
          <w:tcPr>
            <w:tcW w:w="1166" w:type="pct"/>
          </w:tcPr>
          <w:p w14:paraId="60E32F3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 xml:space="preserve">Уколико се не постигне политички консензус о предвидивом финансирању на локалном нивоу то може за последицу да има успоравање напретка у повећању локалних прихода и инвестиција локалне самоуправе. </w:t>
            </w:r>
          </w:p>
        </w:tc>
        <w:tc>
          <w:tcPr>
            <w:tcW w:w="1459" w:type="pct"/>
          </w:tcPr>
          <w:p w14:paraId="069648EA"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Развој предлога за успостављање платформе за преговарање и изградњу консензуса о систему финансирања на локалном нивоу.</w:t>
            </w:r>
          </w:p>
          <w:p w14:paraId="4E77F1E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Развој мера за подстицање конкурентности у неразвијеним општинама у складу са Законом о улагањима. </w:t>
            </w:r>
          </w:p>
        </w:tc>
      </w:tr>
      <w:tr w:rsidR="00C152CF" w:rsidRPr="000F0299" w14:paraId="5E3AAAE9"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5BE68E5C" w14:textId="25C5B5A7" w:rsidR="00C152CF" w:rsidRPr="000F0299" w:rsidRDefault="00487FD1"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6.1:</w:t>
            </w:r>
          </w:p>
        </w:tc>
        <w:tc>
          <w:tcPr>
            <w:tcW w:w="801" w:type="pct"/>
          </w:tcPr>
          <w:p w14:paraId="36F0489F"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Унапређена организација и капацитет локалне самоуправе – Капацитет ЈЛС за УЉР у локалној управи</w:t>
            </w:r>
          </w:p>
        </w:tc>
        <w:tc>
          <w:tcPr>
            <w:tcW w:w="834" w:type="pct"/>
          </w:tcPr>
          <w:p w14:paraId="3B1ED68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Израђени посебни програми обуке за руководиоце и запослене у ЈЛС са одговарајућим бројем тренера</w:t>
            </w:r>
          </w:p>
        </w:tc>
        <w:tc>
          <w:tcPr>
            <w:tcW w:w="1166" w:type="pct"/>
          </w:tcPr>
          <w:p w14:paraId="2917C51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Недостатак знања и вештина службеника ЈЛС задужених за УЉР за припрему аката о систематизацији, као и временска ограничења за припрему акта може да угрози пуно спровођење оквира компетенција на локалном нивоу.</w:t>
            </w:r>
          </w:p>
        </w:tc>
        <w:tc>
          <w:tcPr>
            <w:tcW w:w="1459" w:type="pct"/>
          </w:tcPr>
          <w:p w14:paraId="0FEFEB7B"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Стална координација централног и локалног нивоа власти у вези са превазилажењем ограничења.</w:t>
            </w:r>
          </w:p>
          <w:p w14:paraId="02297A0C"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Треба обезбедити и олакшати учење (кроз обуке, размену знања, менторства итд.) засновано на претходним искуствима из увођења оквира компетенција у државнослужбенички систем. </w:t>
            </w:r>
          </w:p>
          <w:p w14:paraId="0C3BBFDB"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Градећи на тим искуствима треба информисати и обучити службенике за УЉР на локалном нивоу за примену оквира. </w:t>
            </w:r>
          </w:p>
          <w:p w14:paraId="6B3BEF74"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Правовремено информисати руководиоце о датумима спровођења обука. Понудити флексибилније методе рада и учења.</w:t>
            </w:r>
          </w:p>
          <w:p w14:paraId="755E1D21"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Мотивисати руководиоце и указати на обавезу да присуствовања обукама.</w:t>
            </w:r>
          </w:p>
          <w:p w14:paraId="3690708D"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Развити и усвојити мапу пута за израду одговарајућих посебних аката и користити је за праћење њиховог усвајања.</w:t>
            </w:r>
          </w:p>
        </w:tc>
      </w:tr>
      <w:tr w:rsidR="00C152CF" w:rsidRPr="000F0299" w14:paraId="691EEDC2"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0BBB96BF" w14:textId="39576E33" w:rsidR="00C152CF" w:rsidRPr="000F0299" w:rsidRDefault="00487FD1"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6.1:</w:t>
            </w:r>
          </w:p>
        </w:tc>
        <w:tc>
          <w:tcPr>
            <w:tcW w:w="801" w:type="pct"/>
          </w:tcPr>
          <w:p w14:paraId="3692D8A8"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Унапређена организација и капацитет локалне самоуправе – Капацитет ЈЛС за УЉР у локалној управи</w:t>
            </w:r>
          </w:p>
        </w:tc>
        <w:tc>
          <w:tcPr>
            <w:tcW w:w="834" w:type="pct"/>
          </w:tcPr>
          <w:p w14:paraId="735F8D00" w14:textId="72DBE1D8"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Социјални супстрат који обезбеђује довољан број кандидата са адекватним компетенцијама</w:t>
            </w:r>
          </w:p>
        </w:tc>
        <w:tc>
          <w:tcPr>
            <w:tcW w:w="1166" w:type="pct"/>
          </w:tcPr>
          <w:p w14:paraId="33B13C80"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Негативна демографска кретања смањују способност погођених ЈЛС да привуку сараднике са неопходним сетом вештина што може да ограничи професионализацију УЉР функције у ЈЛС</w:t>
            </w:r>
          </w:p>
        </w:tc>
        <w:tc>
          <w:tcPr>
            <w:tcW w:w="1459" w:type="pct"/>
          </w:tcPr>
          <w:p w14:paraId="316ACBF3" w14:textId="4BD071CA"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Истражити могућности (проучавајући компаративна искуства ЕУ држава чланица) за привлачење кадра за УЉР у ЈЛС кроз унапређење инфраструктуре и немонетарних предности рада у ЈЛС (погодности за чување деце, спорт и рекреацију и </w:t>
            </w:r>
            <w:r w:rsidR="00BB1C3D" w:rsidRPr="000F0299">
              <w:rPr>
                <w:rFonts w:eastAsia="Calibri"/>
                <w:kern w:val="0"/>
                <w:sz w:val="22"/>
                <w:szCs w:val="22"/>
                <w:lang w:eastAsia="en-US" w:bidi="ar-SA"/>
              </w:rPr>
              <w:t>сл.</w:t>
            </w:r>
            <w:r w:rsidRPr="000F0299">
              <w:rPr>
                <w:rFonts w:eastAsia="Calibri"/>
                <w:kern w:val="0"/>
                <w:sz w:val="22"/>
                <w:szCs w:val="22"/>
                <w:lang w:eastAsia="en-US" w:bidi="ar-SA"/>
              </w:rPr>
              <w:t>)</w:t>
            </w:r>
          </w:p>
        </w:tc>
      </w:tr>
      <w:tr w:rsidR="00C152CF" w:rsidRPr="000F0299" w14:paraId="348B0191" w14:textId="77777777" w:rsidTr="004A318D">
        <w:trPr>
          <w:trHeight w:val="1277"/>
        </w:trPr>
        <w:tc>
          <w:tcPr>
            <w:cnfStyle w:val="001000000000" w:firstRow="0" w:lastRow="0" w:firstColumn="1" w:lastColumn="0" w:oddVBand="0" w:evenVBand="0" w:oddHBand="0" w:evenHBand="0" w:firstRowFirstColumn="0" w:firstRowLastColumn="0" w:lastRowFirstColumn="0" w:lastRowLastColumn="0"/>
            <w:tcW w:w="740" w:type="pct"/>
          </w:tcPr>
          <w:p w14:paraId="62942C6D" w14:textId="2590E137" w:rsidR="00C152CF" w:rsidRPr="000F0299" w:rsidRDefault="00487FD1" w:rsidP="004A318D">
            <w:pPr>
              <w:suppressAutoHyphens w:val="0"/>
              <w:autoSpaceDN/>
              <w:spacing w:before="0"/>
              <w:ind w:firstLine="0"/>
              <w:textAlignment w:val="auto"/>
              <w:rPr>
                <w:rFonts w:eastAsia="Calibri"/>
                <w:kern w:val="0"/>
                <w:sz w:val="22"/>
                <w:szCs w:val="22"/>
                <w:lang w:eastAsia="en-US" w:bidi="ar-SA"/>
              </w:rPr>
            </w:pPr>
            <w:r w:rsidRPr="000F0299">
              <w:rPr>
                <w:rFonts w:eastAsia="Calibri"/>
                <w:kern w:val="0"/>
                <w:sz w:val="22"/>
                <w:szCs w:val="22"/>
                <w:lang w:eastAsia="en-US" w:bidi="ar-SA"/>
              </w:rPr>
              <w:t>Посебан циљ 6.1:</w:t>
            </w:r>
          </w:p>
        </w:tc>
        <w:tc>
          <w:tcPr>
            <w:tcW w:w="801" w:type="pct"/>
          </w:tcPr>
          <w:p w14:paraId="69794296"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Унапређена организација и капацитет локалне самоуправе – Увезаност развојног и буџетског планирања на нивоу ЈЛС</w:t>
            </w:r>
          </w:p>
        </w:tc>
        <w:tc>
          <w:tcPr>
            <w:tcW w:w="834" w:type="pct"/>
          </w:tcPr>
          <w:p w14:paraId="6BFC7165"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 xml:space="preserve">Пуна примена Закона о планском систему кроз свеобухватан програм обуке за развојно, средњорочно и буџетско планирање </w:t>
            </w:r>
          </w:p>
        </w:tc>
        <w:tc>
          <w:tcPr>
            <w:tcW w:w="1166" w:type="pct"/>
          </w:tcPr>
          <w:p w14:paraId="4E972807"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22"/>
                <w:szCs w:val="22"/>
                <w:lang w:eastAsia="en-US" w:bidi="ar-SA"/>
              </w:rPr>
            </w:pPr>
            <w:r w:rsidRPr="000F0299">
              <w:rPr>
                <w:rFonts w:eastAsia="Calibri"/>
                <w:kern w:val="0"/>
                <w:sz w:val="22"/>
                <w:szCs w:val="22"/>
                <w:lang w:eastAsia="en-US" w:bidi="ar-SA"/>
              </w:rPr>
              <w:t>Недостатак знања и праксе у примени релевантних одредби Закона о планском систему на локалном нивоу могу негативно да се одразе на успостављање везе између циљева политика и буџета.</w:t>
            </w:r>
          </w:p>
        </w:tc>
        <w:tc>
          <w:tcPr>
            <w:tcW w:w="1459" w:type="pct"/>
          </w:tcPr>
          <w:p w14:paraId="17E76398"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Омогућити редовну обуку, укључујући и програме е-учења о примени Закона о планском систему и пропратних подзаконских аката и приручника.</w:t>
            </w:r>
          </w:p>
          <w:p w14:paraId="22E489E6" w14:textId="77777777" w:rsidR="00C152CF" w:rsidRPr="000F0299" w:rsidRDefault="00C152CF" w:rsidP="004A318D">
            <w:pPr>
              <w:suppressAutoHyphens w:val="0"/>
              <w:autoSpaceDN/>
              <w:spacing w:before="0"/>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 w:val="22"/>
                <w:szCs w:val="22"/>
                <w:lang w:eastAsia="en-US" w:bidi="ar-SA"/>
              </w:rPr>
            </w:pPr>
            <w:r w:rsidRPr="000F0299">
              <w:rPr>
                <w:rFonts w:eastAsia="Calibri"/>
                <w:kern w:val="0"/>
                <w:sz w:val="22"/>
                <w:szCs w:val="22"/>
                <w:lang w:eastAsia="en-US" w:bidi="ar-SA"/>
              </w:rPr>
              <w:t>Наставити и даље развијати програме менторства за специфичне аспекте примене Закона о планском систему.</w:t>
            </w:r>
          </w:p>
        </w:tc>
      </w:tr>
    </w:tbl>
    <w:p w14:paraId="3409E4A9" w14:textId="77777777" w:rsidR="003F3312" w:rsidRPr="000F0299" w:rsidRDefault="003F3312" w:rsidP="00244E7C"/>
    <w:p w14:paraId="07D6C58E" w14:textId="77777777" w:rsidR="003F3312" w:rsidRPr="000F0299" w:rsidRDefault="003F3312" w:rsidP="00244E7C"/>
    <w:p w14:paraId="5565A04B" w14:textId="77777777" w:rsidR="003F3312" w:rsidRPr="000F0299" w:rsidRDefault="003F3312" w:rsidP="00244E7C"/>
    <w:p w14:paraId="36C33091" w14:textId="1B832191" w:rsidR="003F3312" w:rsidRPr="000F0299" w:rsidRDefault="003F3312" w:rsidP="00244E7C">
      <w:r w:rsidRPr="000F0299">
        <w:br w:type="page"/>
      </w:r>
    </w:p>
    <w:p w14:paraId="7802C42D" w14:textId="77777777" w:rsidR="00F30448" w:rsidRPr="000F0299" w:rsidRDefault="00F30448" w:rsidP="00244E7C">
      <w:pPr>
        <w:sectPr w:rsidR="00F30448" w:rsidRPr="000F0299" w:rsidSect="0043200F">
          <w:headerReference w:type="default" r:id="rId191"/>
          <w:footerReference w:type="default" r:id="rId192"/>
          <w:pgSz w:w="16838" w:h="11906" w:orient="landscape" w:code="9"/>
          <w:pgMar w:top="1418" w:right="1418" w:bottom="1418" w:left="1134" w:header="709" w:footer="709" w:gutter="0"/>
          <w:cols w:space="708"/>
          <w:docGrid w:linePitch="360"/>
        </w:sectPr>
      </w:pPr>
    </w:p>
    <w:p w14:paraId="37B8D640" w14:textId="253BB6F0" w:rsidR="003F3312" w:rsidRPr="000F0299" w:rsidRDefault="00AD035D" w:rsidP="007A0CC3">
      <w:pPr>
        <w:pStyle w:val="Heading1"/>
        <w:rPr>
          <w:lang w:val="sr-Cyrl-RS"/>
        </w:rPr>
      </w:pPr>
      <w:bookmarkStart w:id="313" w:name="_Прилог_6:_Пасош"/>
      <w:bookmarkStart w:id="314" w:name="_Toc57661511"/>
      <w:bookmarkEnd w:id="313"/>
      <w:r w:rsidRPr="000F0299">
        <w:rPr>
          <w:lang w:val="sr-Cyrl-RS"/>
        </w:rPr>
        <w:t>Прилог 6: Пасош показатеља</w:t>
      </w:r>
      <w:bookmarkEnd w:id="314"/>
    </w:p>
    <w:p w14:paraId="7059D3B0" w14:textId="27A203F0" w:rsidR="006E62E5" w:rsidRPr="000F0299" w:rsidRDefault="00AD035D" w:rsidP="00BE55B6">
      <w:r w:rsidRPr="000F0299">
        <w:t>Упутство за израду „пасоша“ показатеља</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3"/>
        <w:gridCol w:w="644"/>
        <w:gridCol w:w="644"/>
        <w:gridCol w:w="338"/>
        <w:gridCol w:w="306"/>
        <w:gridCol w:w="643"/>
        <w:gridCol w:w="644"/>
        <w:gridCol w:w="643"/>
        <w:gridCol w:w="643"/>
        <w:gridCol w:w="337"/>
        <w:gridCol w:w="306"/>
        <w:gridCol w:w="643"/>
        <w:gridCol w:w="647"/>
      </w:tblGrid>
      <w:tr w:rsidR="006E62E5" w:rsidRPr="000F0299" w14:paraId="31414B48" w14:textId="77777777" w:rsidTr="007C0360">
        <w:trPr>
          <w:jc w:val="center"/>
        </w:trPr>
        <w:tc>
          <w:tcPr>
            <w:tcW w:w="2494" w:type="dxa"/>
            <w:shd w:val="clear" w:color="auto" w:fill="FFFFFF" w:themeFill="background1"/>
          </w:tcPr>
          <w:p w14:paraId="411B039E" w14:textId="77777777" w:rsidR="006E62E5" w:rsidRPr="000F0299" w:rsidRDefault="006E62E5" w:rsidP="006E109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6437" w:type="dxa"/>
            <w:gridSpan w:val="12"/>
            <w:shd w:val="clear" w:color="auto" w:fill="FFFFFF" w:themeFill="background1"/>
          </w:tcPr>
          <w:p w14:paraId="4466A7D4" w14:textId="77777777" w:rsidR="006E62E5" w:rsidRPr="000F0299" w:rsidRDefault="006E62E5" w:rsidP="006E109E">
            <w:pPr>
              <w:suppressAutoHyphens w:val="0"/>
              <w:autoSpaceDN/>
              <w:spacing w:before="0"/>
              <w:ind w:firstLine="0"/>
              <w:textAlignment w:val="auto"/>
              <w:rPr>
                <w:rFonts w:eastAsiaTheme="minorHAnsi"/>
                <w:i/>
                <w:iCs/>
                <w:kern w:val="0"/>
                <w:sz w:val="20"/>
                <w:szCs w:val="20"/>
                <w:lang w:eastAsia="en-US" w:bidi="ar-SA"/>
              </w:rPr>
            </w:pPr>
            <w:r w:rsidRPr="000F0299">
              <w:rPr>
                <w:rFonts w:eastAsiaTheme="minorHAnsi"/>
                <w:i/>
                <w:iCs/>
                <w:kern w:val="0"/>
                <w:sz w:val="20"/>
                <w:szCs w:val="20"/>
                <w:lang w:eastAsia="en-US" w:bidi="ar-SA"/>
              </w:rPr>
              <w:t xml:space="preserve">Унети </w:t>
            </w:r>
            <w:r w:rsidRPr="000F0299">
              <w:rPr>
                <w:rFonts w:eastAsiaTheme="minorHAnsi"/>
                <w:b/>
                <w:i/>
                <w:iCs/>
                <w:kern w:val="0"/>
                <w:sz w:val="20"/>
                <w:szCs w:val="20"/>
                <w:lang w:eastAsia="en-US" w:bidi="ar-SA"/>
              </w:rPr>
              <w:t>пун назив показатеља</w:t>
            </w:r>
            <w:r w:rsidRPr="000F0299">
              <w:rPr>
                <w:rFonts w:eastAsiaTheme="minorHAnsi"/>
                <w:i/>
                <w:iCs/>
                <w:kern w:val="0"/>
                <w:sz w:val="20"/>
                <w:szCs w:val="20"/>
                <w:lang w:eastAsia="en-US" w:bidi="ar-SA"/>
              </w:rPr>
              <w:t xml:space="preserve"> из Стратегије РЈУ и/или Акционог плана </w:t>
            </w:r>
          </w:p>
        </w:tc>
      </w:tr>
      <w:tr w:rsidR="006E62E5" w:rsidRPr="000F0299" w14:paraId="3051B8BB" w14:textId="77777777" w:rsidTr="009E21AC">
        <w:trPr>
          <w:jc w:val="center"/>
        </w:trPr>
        <w:tc>
          <w:tcPr>
            <w:tcW w:w="2494" w:type="dxa"/>
          </w:tcPr>
          <w:p w14:paraId="30F1C5C6" w14:textId="77777777" w:rsidR="006E62E5" w:rsidRPr="000F0299" w:rsidRDefault="006E62E5" w:rsidP="006E109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437" w:type="dxa"/>
            <w:gridSpan w:val="12"/>
          </w:tcPr>
          <w:p w14:paraId="463D14BF" w14:textId="77777777" w:rsidR="006E62E5" w:rsidRPr="000F0299" w:rsidRDefault="006E62E5" w:rsidP="006E109E">
            <w:pPr>
              <w:suppressAutoHyphens w:val="0"/>
              <w:autoSpaceDN/>
              <w:spacing w:before="0"/>
              <w:ind w:firstLine="0"/>
              <w:textAlignment w:val="auto"/>
              <w:rPr>
                <w:rFonts w:eastAsiaTheme="minorHAnsi"/>
                <w:i/>
                <w:iCs/>
                <w:kern w:val="0"/>
                <w:sz w:val="20"/>
                <w:szCs w:val="20"/>
                <w:lang w:eastAsia="en-US" w:bidi="ar-SA"/>
              </w:rPr>
            </w:pPr>
            <w:r w:rsidRPr="000F0299">
              <w:rPr>
                <w:rFonts w:eastAsiaTheme="minorHAnsi"/>
                <w:i/>
                <w:iCs/>
                <w:kern w:val="0"/>
                <w:sz w:val="20"/>
                <w:szCs w:val="20"/>
                <w:lang w:eastAsia="en-US" w:bidi="ar-SA"/>
              </w:rPr>
              <w:t xml:space="preserve">Унети одговарајући </w:t>
            </w:r>
            <w:r w:rsidRPr="000F0299">
              <w:rPr>
                <w:rFonts w:eastAsiaTheme="minorHAnsi"/>
                <w:b/>
                <w:i/>
                <w:iCs/>
                <w:kern w:val="0"/>
                <w:sz w:val="20"/>
                <w:szCs w:val="20"/>
                <w:lang w:eastAsia="en-US" w:bidi="ar-SA"/>
              </w:rPr>
              <w:t>циљ и меру</w:t>
            </w:r>
            <w:r w:rsidRPr="000F0299">
              <w:rPr>
                <w:rFonts w:eastAsiaTheme="minorHAnsi"/>
                <w:i/>
                <w:iCs/>
                <w:kern w:val="0"/>
                <w:sz w:val="20"/>
                <w:szCs w:val="20"/>
                <w:lang w:eastAsia="en-US" w:bidi="ar-SA"/>
              </w:rPr>
              <w:t xml:space="preserve"> из Стратегије РЈУ или Акционог плана РЈУ 2021-2025. на које се односи конкретни показатељ учинка.</w:t>
            </w:r>
          </w:p>
        </w:tc>
      </w:tr>
      <w:tr w:rsidR="006E62E5" w:rsidRPr="000F0299" w14:paraId="4C25873B" w14:textId="77777777" w:rsidTr="009E21AC">
        <w:trPr>
          <w:jc w:val="center"/>
        </w:trPr>
        <w:tc>
          <w:tcPr>
            <w:tcW w:w="2494" w:type="dxa"/>
          </w:tcPr>
          <w:p w14:paraId="4A28B380" w14:textId="77777777" w:rsidR="006E62E5" w:rsidRPr="000F0299" w:rsidRDefault="006E62E5" w:rsidP="006E109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kern w:val="24"/>
                <w:sz w:val="20"/>
                <w:szCs w:val="20"/>
                <w:lang w:eastAsia="en-US" w:bidi="ar-SA"/>
              </w:rPr>
              <w:t>Тип и ниво показатеља</w:t>
            </w:r>
          </w:p>
        </w:tc>
        <w:tc>
          <w:tcPr>
            <w:tcW w:w="3219" w:type="dxa"/>
            <w:gridSpan w:val="6"/>
          </w:tcPr>
          <w:p w14:paraId="167B1FFA" w14:textId="77777777" w:rsidR="006E62E5" w:rsidRPr="000F0299" w:rsidRDefault="006E62E5" w:rsidP="006E109E">
            <w:pPr>
              <w:suppressAutoHyphens w:val="0"/>
              <w:autoSpaceDN/>
              <w:spacing w:before="0"/>
              <w:ind w:firstLine="0"/>
              <w:textAlignment w:val="auto"/>
              <w:rPr>
                <w:rFonts w:eastAsiaTheme="minorHAnsi"/>
                <w:bCs/>
                <w:i/>
                <w:kern w:val="24"/>
                <w:sz w:val="20"/>
                <w:szCs w:val="20"/>
                <w:lang w:eastAsia="en-US" w:bidi="ar-SA"/>
              </w:rPr>
            </w:pPr>
            <w:r w:rsidRPr="000F0299">
              <w:rPr>
                <w:rFonts w:eastAsiaTheme="minorHAnsi"/>
                <w:bCs/>
                <w:i/>
                <w:kern w:val="24"/>
                <w:sz w:val="20"/>
                <w:szCs w:val="20"/>
                <w:lang w:eastAsia="en-US" w:bidi="ar-SA"/>
              </w:rPr>
              <w:t xml:space="preserve">Навести да ли се ради о: </w:t>
            </w:r>
          </w:p>
          <w:p w14:paraId="0C867192" w14:textId="77777777" w:rsidR="006E62E5" w:rsidRPr="000F0299" w:rsidRDefault="006E62E5" w:rsidP="00E62A1A">
            <w:pPr>
              <w:numPr>
                <w:ilvl w:val="0"/>
                <w:numId w:val="7"/>
              </w:numPr>
              <w:tabs>
                <w:tab w:val="left" w:pos="152"/>
              </w:tabs>
              <w:suppressAutoHyphens w:val="0"/>
              <w:autoSpaceDN/>
              <w:spacing w:before="0"/>
              <w:ind w:left="1" w:firstLine="0"/>
              <w:contextualSpacing/>
              <w:jc w:val="left"/>
              <w:textAlignment w:val="auto"/>
              <w:rPr>
                <w:rFonts w:eastAsiaTheme="minorHAnsi"/>
                <w:bCs/>
                <w:i/>
                <w:kern w:val="24"/>
                <w:sz w:val="20"/>
                <w:szCs w:val="20"/>
                <w:lang w:eastAsia="en-US" w:bidi="ar-SA"/>
              </w:rPr>
            </w:pPr>
            <w:r w:rsidRPr="000F0299">
              <w:rPr>
                <w:rFonts w:eastAsiaTheme="minorHAnsi"/>
                <w:b/>
                <w:bCs/>
                <w:i/>
                <w:kern w:val="24"/>
                <w:sz w:val="20"/>
                <w:szCs w:val="20"/>
                <w:lang w:eastAsia="en-US" w:bidi="ar-SA"/>
              </w:rPr>
              <w:t xml:space="preserve">квантитативном </w:t>
            </w:r>
          </w:p>
          <w:p w14:paraId="1CBFA6EA" w14:textId="77777777" w:rsidR="006E62E5" w:rsidRPr="000F0299" w:rsidRDefault="006E62E5" w:rsidP="00E62A1A">
            <w:pPr>
              <w:numPr>
                <w:ilvl w:val="0"/>
                <w:numId w:val="7"/>
              </w:numPr>
              <w:tabs>
                <w:tab w:val="left" w:pos="152"/>
              </w:tabs>
              <w:suppressAutoHyphens w:val="0"/>
              <w:autoSpaceDN/>
              <w:spacing w:before="0"/>
              <w:ind w:left="1" w:firstLine="0"/>
              <w:contextualSpacing/>
              <w:jc w:val="left"/>
              <w:textAlignment w:val="auto"/>
              <w:rPr>
                <w:rFonts w:eastAsiaTheme="minorHAnsi"/>
                <w:bCs/>
                <w:i/>
                <w:kern w:val="24"/>
                <w:sz w:val="20"/>
                <w:szCs w:val="20"/>
                <w:lang w:eastAsia="en-US" w:bidi="ar-SA"/>
              </w:rPr>
            </w:pPr>
            <w:r w:rsidRPr="000F0299">
              <w:rPr>
                <w:rFonts w:eastAsiaTheme="minorHAnsi"/>
                <w:b/>
                <w:bCs/>
                <w:i/>
                <w:kern w:val="24"/>
                <w:sz w:val="20"/>
                <w:szCs w:val="20"/>
                <w:lang w:eastAsia="en-US" w:bidi="ar-SA"/>
              </w:rPr>
              <w:t>квалитативном</w:t>
            </w:r>
            <w:r w:rsidRPr="000F0299">
              <w:rPr>
                <w:rFonts w:eastAsiaTheme="minorHAnsi"/>
                <w:bCs/>
                <w:i/>
                <w:kern w:val="24"/>
                <w:sz w:val="20"/>
                <w:szCs w:val="20"/>
                <w:lang w:eastAsia="en-US" w:bidi="ar-SA"/>
              </w:rPr>
              <w:t xml:space="preserve"> показатељу. </w:t>
            </w:r>
          </w:p>
        </w:tc>
        <w:tc>
          <w:tcPr>
            <w:tcW w:w="3218" w:type="dxa"/>
            <w:gridSpan w:val="6"/>
          </w:tcPr>
          <w:p w14:paraId="7F730D4F" w14:textId="77777777" w:rsidR="006E62E5" w:rsidRPr="000F0299" w:rsidRDefault="006E62E5" w:rsidP="005D7B50">
            <w:pPr>
              <w:suppressAutoHyphens w:val="0"/>
              <w:autoSpaceDN/>
              <w:spacing w:before="0"/>
              <w:ind w:firstLine="0"/>
              <w:textAlignment w:val="auto"/>
              <w:rPr>
                <w:rFonts w:eastAsiaTheme="minorHAnsi"/>
                <w:bCs/>
                <w:i/>
                <w:kern w:val="24"/>
                <w:sz w:val="20"/>
                <w:szCs w:val="20"/>
                <w:lang w:eastAsia="en-US" w:bidi="ar-SA"/>
              </w:rPr>
            </w:pPr>
            <w:r w:rsidRPr="000F0299">
              <w:rPr>
                <w:rFonts w:eastAsiaTheme="minorHAnsi"/>
                <w:bCs/>
                <w:i/>
                <w:kern w:val="24"/>
                <w:sz w:val="20"/>
                <w:szCs w:val="20"/>
                <w:lang w:eastAsia="en-US" w:bidi="ar-SA"/>
              </w:rPr>
              <w:t>Навести на који ниво сходно логици интервенције се показатељ односи:</w:t>
            </w:r>
          </w:p>
          <w:p w14:paraId="7BD299A4" w14:textId="77777777" w:rsidR="006E62E5" w:rsidRPr="000F0299" w:rsidRDefault="006E62E5" w:rsidP="00E62A1A">
            <w:pPr>
              <w:numPr>
                <w:ilvl w:val="0"/>
                <w:numId w:val="8"/>
              </w:numPr>
              <w:tabs>
                <w:tab w:val="left" w:pos="183"/>
              </w:tabs>
              <w:suppressAutoHyphens w:val="0"/>
              <w:autoSpaceDN/>
              <w:spacing w:before="0"/>
              <w:ind w:left="0" w:firstLine="0"/>
              <w:contextualSpacing/>
              <w:textAlignment w:val="auto"/>
              <w:rPr>
                <w:rFonts w:eastAsiaTheme="minorHAnsi"/>
                <w:i/>
                <w:kern w:val="0"/>
                <w:sz w:val="20"/>
                <w:szCs w:val="20"/>
                <w:shd w:val="clear" w:color="auto" w:fill="FFFFFF"/>
                <w:lang w:eastAsia="en-US" w:bidi="ar-SA"/>
              </w:rPr>
            </w:pPr>
            <w:r w:rsidRPr="000F0299">
              <w:rPr>
                <w:rFonts w:eastAsiaTheme="minorHAnsi"/>
                <w:b/>
                <w:i/>
                <w:kern w:val="0"/>
                <w:sz w:val="20"/>
                <w:szCs w:val="20"/>
                <w:shd w:val="clear" w:color="auto" w:fill="FFFFFF"/>
                <w:lang w:eastAsia="en-US" w:bidi="ar-SA"/>
              </w:rPr>
              <w:t>показатељи ефеката</w:t>
            </w:r>
            <w:r w:rsidRPr="000F0299">
              <w:rPr>
                <w:rFonts w:eastAsiaTheme="minorHAnsi"/>
                <w:i/>
                <w:kern w:val="0"/>
                <w:sz w:val="20"/>
                <w:szCs w:val="20"/>
                <w:shd w:val="clear" w:color="auto" w:fill="FFFFFF"/>
                <w:lang w:eastAsia="en-US" w:bidi="ar-SA"/>
              </w:rPr>
              <w:t xml:space="preserve"> (на нивоу општег циља)</w:t>
            </w:r>
          </w:p>
          <w:p w14:paraId="595D11DA" w14:textId="77777777" w:rsidR="006E62E5" w:rsidRPr="000F0299" w:rsidRDefault="006E62E5" w:rsidP="00E62A1A">
            <w:pPr>
              <w:numPr>
                <w:ilvl w:val="0"/>
                <w:numId w:val="8"/>
              </w:numPr>
              <w:tabs>
                <w:tab w:val="left" w:pos="183"/>
              </w:tabs>
              <w:suppressAutoHyphens w:val="0"/>
              <w:autoSpaceDN/>
              <w:spacing w:before="0"/>
              <w:ind w:left="0" w:firstLine="0"/>
              <w:contextualSpacing/>
              <w:textAlignment w:val="auto"/>
              <w:rPr>
                <w:rFonts w:eastAsiaTheme="minorHAnsi"/>
                <w:i/>
                <w:kern w:val="0"/>
                <w:sz w:val="20"/>
                <w:szCs w:val="20"/>
                <w:shd w:val="clear" w:color="auto" w:fill="FFFFFF"/>
                <w:lang w:eastAsia="en-US" w:bidi="ar-SA"/>
              </w:rPr>
            </w:pPr>
            <w:r w:rsidRPr="000F0299">
              <w:rPr>
                <w:rFonts w:eastAsiaTheme="minorHAnsi"/>
                <w:b/>
                <w:i/>
                <w:kern w:val="0"/>
                <w:sz w:val="20"/>
                <w:szCs w:val="20"/>
                <w:shd w:val="clear" w:color="auto" w:fill="FFFFFF"/>
                <w:lang w:eastAsia="en-US" w:bidi="ar-SA"/>
              </w:rPr>
              <w:t>показатељи исхода</w:t>
            </w:r>
            <w:r w:rsidRPr="000F0299">
              <w:rPr>
                <w:rFonts w:eastAsiaTheme="minorHAnsi"/>
                <w:i/>
                <w:kern w:val="0"/>
                <w:sz w:val="20"/>
                <w:szCs w:val="20"/>
                <w:shd w:val="clear" w:color="auto" w:fill="FFFFFF"/>
                <w:lang w:eastAsia="en-US" w:bidi="ar-SA"/>
              </w:rPr>
              <w:t xml:space="preserve"> (на нивоу посебних циљева) </w:t>
            </w:r>
          </w:p>
          <w:p w14:paraId="6282B9FA" w14:textId="77777777" w:rsidR="006E62E5" w:rsidRPr="000F0299" w:rsidRDefault="006E62E5" w:rsidP="00E62A1A">
            <w:pPr>
              <w:numPr>
                <w:ilvl w:val="0"/>
                <w:numId w:val="8"/>
              </w:numPr>
              <w:tabs>
                <w:tab w:val="left" w:pos="183"/>
              </w:tabs>
              <w:suppressAutoHyphens w:val="0"/>
              <w:autoSpaceDN/>
              <w:spacing w:before="0"/>
              <w:ind w:left="0" w:firstLine="0"/>
              <w:contextualSpacing/>
              <w:textAlignment w:val="auto"/>
              <w:rPr>
                <w:rFonts w:eastAsiaTheme="minorHAnsi"/>
                <w:i/>
                <w:iCs/>
                <w:kern w:val="0"/>
                <w:sz w:val="20"/>
                <w:szCs w:val="20"/>
                <w:lang w:eastAsia="en-US" w:bidi="ar-SA"/>
              </w:rPr>
            </w:pPr>
            <w:r w:rsidRPr="000F0299">
              <w:rPr>
                <w:rFonts w:eastAsiaTheme="minorHAnsi"/>
                <w:b/>
                <w:i/>
                <w:kern w:val="0"/>
                <w:sz w:val="20"/>
                <w:szCs w:val="20"/>
                <w:shd w:val="clear" w:color="auto" w:fill="FFFFFF"/>
                <w:lang w:eastAsia="en-US" w:bidi="ar-SA"/>
              </w:rPr>
              <w:t>показатељи резултата</w:t>
            </w:r>
            <w:r w:rsidRPr="000F0299">
              <w:rPr>
                <w:rFonts w:eastAsiaTheme="minorHAnsi"/>
                <w:i/>
                <w:kern w:val="0"/>
                <w:sz w:val="20"/>
                <w:szCs w:val="20"/>
                <w:shd w:val="clear" w:color="auto" w:fill="FFFFFF"/>
                <w:lang w:eastAsia="en-US" w:bidi="ar-SA"/>
              </w:rPr>
              <w:t xml:space="preserve"> (на нивоу мера јавних политика)</w:t>
            </w:r>
          </w:p>
        </w:tc>
      </w:tr>
      <w:tr w:rsidR="006E62E5" w:rsidRPr="000F0299" w14:paraId="1874D549" w14:textId="77777777" w:rsidTr="009E21AC">
        <w:trPr>
          <w:trHeight w:val="2740"/>
          <w:jc w:val="center"/>
        </w:trPr>
        <w:tc>
          <w:tcPr>
            <w:tcW w:w="2494" w:type="dxa"/>
          </w:tcPr>
          <w:p w14:paraId="56C1D359" w14:textId="77777777" w:rsidR="006E62E5" w:rsidRPr="000F0299" w:rsidRDefault="006E62E5" w:rsidP="006E109E">
            <w:pPr>
              <w:suppressAutoHyphens w:val="0"/>
              <w:autoSpaceDN/>
              <w:spacing w:before="0"/>
              <w:ind w:firstLine="0"/>
              <w:jc w:val="left"/>
              <w:textAlignment w:val="auto"/>
              <w:rPr>
                <w:rFonts w:eastAsiaTheme="minorHAnsi"/>
                <w:b/>
                <w:kern w:val="24"/>
                <w:sz w:val="20"/>
                <w:szCs w:val="20"/>
                <w:lang w:eastAsia="en-US" w:bidi="ar-SA"/>
              </w:rPr>
            </w:pPr>
            <w:r w:rsidRPr="000F0299">
              <w:rPr>
                <w:rFonts w:eastAsiaTheme="minorHAnsi"/>
                <w:b/>
                <w:kern w:val="24"/>
                <w:sz w:val="20"/>
                <w:szCs w:val="20"/>
                <w:lang w:eastAsia="en-US" w:bidi="ar-SA"/>
              </w:rPr>
              <w:t>Јединица мере и природа</w:t>
            </w:r>
          </w:p>
        </w:tc>
        <w:tc>
          <w:tcPr>
            <w:tcW w:w="3218" w:type="dxa"/>
            <w:gridSpan w:val="6"/>
          </w:tcPr>
          <w:p w14:paraId="64D5F344" w14:textId="012AA2C9" w:rsidR="006E62E5" w:rsidRPr="000F0299" w:rsidRDefault="006E62E5" w:rsidP="005D7B50">
            <w:pPr>
              <w:suppressAutoHyphens w:val="0"/>
              <w:autoSpaceDN/>
              <w:spacing w:before="0"/>
              <w:ind w:firstLine="0"/>
              <w:textAlignment w:val="auto"/>
              <w:rPr>
                <w:rFonts w:eastAsia="Times New Roman"/>
                <w:bCs/>
                <w:i/>
                <w:kern w:val="24"/>
                <w:sz w:val="20"/>
                <w:szCs w:val="20"/>
                <w:lang w:eastAsia="en-US" w:bidi="ar-SA"/>
              </w:rPr>
            </w:pPr>
            <w:r w:rsidRPr="000F0299">
              <w:rPr>
                <w:rFonts w:eastAsia="Times New Roman"/>
                <w:bCs/>
                <w:i/>
                <w:kern w:val="24"/>
                <w:sz w:val="20"/>
                <w:szCs w:val="20"/>
                <w:lang w:eastAsia="en-US" w:bidi="ar-SA"/>
              </w:rPr>
              <w:t xml:space="preserve">Унети јединицу мере, </w:t>
            </w:r>
            <w:r w:rsidR="00BB1C3D" w:rsidRPr="000F0299">
              <w:rPr>
                <w:rFonts w:eastAsia="Times New Roman"/>
                <w:bCs/>
                <w:i/>
                <w:kern w:val="24"/>
                <w:sz w:val="20"/>
                <w:szCs w:val="20"/>
                <w:lang w:eastAsia="en-US" w:bidi="ar-SA"/>
              </w:rPr>
              <w:t>нпр.</w:t>
            </w:r>
            <w:r w:rsidRPr="000F0299">
              <w:rPr>
                <w:rFonts w:eastAsia="Times New Roman"/>
                <w:bCs/>
                <w:i/>
                <w:kern w:val="24"/>
                <w:sz w:val="20"/>
                <w:szCs w:val="20"/>
                <w:lang w:eastAsia="en-US" w:bidi="ar-SA"/>
              </w:rPr>
              <w:t>:</w:t>
            </w:r>
          </w:p>
          <w:p w14:paraId="7EE27428" w14:textId="77777777" w:rsidR="006E62E5" w:rsidRPr="000F0299" w:rsidRDefault="006E62E5" w:rsidP="00E62A1A">
            <w:pPr>
              <w:numPr>
                <w:ilvl w:val="1"/>
                <w:numId w:val="9"/>
              </w:numPr>
              <w:tabs>
                <w:tab w:val="num" w:pos="154"/>
              </w:tabs>
              <w:suppressAutoHyphens w:val="0"/>
              <w:autoSpaceDN/>
              <w:spacing w:before="0"/>
              <w:ind w:left="0" w:firstLine="0"/>
              <w:textAlignment w:val="auto"/>
              <w:rPr>
                <w:rFonts w:eastAsia="Times New Roman"/>
                <w:kern w:val="0"/>
                <w:sz w:val="20"/>
                <w:szCs w:val="20"/>
                <w:lang w:eastAsia="en-US" w:bidi="ar-SA"/>
              </w:rPr>
            </w:pPr>
            <w:r w:rsidRPr="000F0299">
              <w:rPr>
                <w:rFonts w:eastAsia="Times New Roman"/>
                <w:kern w:val="0"/>
                <w:sz w:val="20"/>
                <w:szCs w:val="20"/>
                <w:lang w:eastAsia="en-US" w:bidi="ar-SA"/>
              </w:rPr>
              <w:t xml:space="preserve">број/ обухват/ опсег/ </w:t>
            </w:r>
            <w:r w:rsidRPr="000F0299">
              <w:rPr>
                <w:rFonts w:eastAsia="Times New Roman"/>
                <w:color w:val="000000" w:themeColor="dark1"/>
                <w:spacing w:val="-1"/>
                <w:kern w:val="24"/>
                <w:sz w:val="20"/>
                <w:szCs w:val="20"/>
                <w:lang w:eastAsia="en-US" w:bidi="ar-SA"/>
              </w:rPr>
              <w:t>вредност на скали од-до</w:t>
            </w:r>
            <w:r w:rsidRPr="000F0299">
              <w:rPr>
                <w:rFonts w:eastAsia="Times New Roman"/>
                <w:i/>
                <w:color w:val="000000" w:themeColor="dark1"/>
                <w:spacing w:val="-1"/>
                <w:kern w:val="24"/>
                <w:sz w:val="20"/>
                <w:szCs w:val="20"/>
                <w:lang w:eastAsia="en-US" w:bidi="ar-SA"/>
              </w:rPr>
              <w:t xml:space="preserve">, </w:t>
            </w:r>
            <w:r w:rsidRPr="000F0299">
              <w:rPr>
                <w:rFonts w:eastAsia="Times New Roman"/>
                <w:kern w:val="0"/>
                <w:sz w:val="20"/>
                <w:szCs w:val="20"/>
                <w:lang w:eastAsia="en-US" w:bidi="ar-SA"/>
              </w:rPr>
              <w:t>просек (просек времена… А1+А2+А3/n)</w:t>
            </w:r>
          </w:p>
          <w:p w14:paraId="508F176B" w14:textId="77777777" w:rsidR="006E62E5" w:rsidRPr="000F0299" w:rsidRDefault="006E62E5" w:rsidP="00E62A1A">
            <w:pPr>
              <w:numPr>
                <w:ilvl w:val="1"/>
                <w:numId w:val="9"/>
              </w:numPr>
              <w:tabs>
                <w:tab w:val="num" w:pos="154"/>
              </w:tabs>
              <w:suppressAutoHyphens w:val="0"/>
              <w:autoSpaceDN/>
              <w:spacing w:before="0"/>
              <w:ind w:left="0" w:firstLine="0"/>
              <w:textAlignment w:val="auto"/>
              <w:rPr>
                <w:rFonts w:eastAsia="Times New Roman"/>
                <w:kern w:val="0"/>
                <w:sz w:val="20"/>
                <w:szCs w:val="20"/>
                <w:lang w:eastAsia="en-US" w:bidi="ar-SA"/>
              </w:rPr>
            </w:pPr>
            <w:r w:rsidRPr="000F0299">
              <w:rPr>
                <w:rFonts w:eastAsia="Times New Roman"/>
                <w:kern w:val="0"/>
                <w:sz w:val="20"/>
                <w:szCs w:val="20"/>
                <w:lang w:eastAsia="en-US" w:bidi="ar-SA"/>
              </w:rPr>
              <w:t>% / удео (проценат од …. А/Бx100)</w:t>
            </w:r>
          </w:p>
          <w:p w14:paraId="1C824B80" w14:textId="77777777" w:rsidR="006E62E5" w:rsidRPr="000F0299" w:rsidRDefault="006E62E5" w:rsidP="00E62A1A">
            <w:pPr>
              <w:numPr>
                <w:ilvl w:val="1"/>
                <w:numId w:val="9"/>
              </w:numPr>
              <w:tabs>
                <w:tab w:val="left" w:pos="154"/>
                <w:tab w:val="num" w:pos="910"/>
              </w:tabs>
              <w:suppressAutoHyphens w:val="0"/>
              <w:autoSpaceDN/>
              <w:spacing w:before="0"/>
              <w:ind w:left="0" w:firstLine="0"/>
              <w:textAlignment w:val="auto"/>
              <w:rPr>
                <w:rFonts w:eastAsia="Times New Roman"/>
                <w:kern w:val="0"/>
                <w:sz w:val="20"/>
                <w:szCs w:val="20"/>
                <w:lang w:eastAsia="en-US" w:bidi="ar-SA"/>
              </w:rPr>
            </w:pPr>
            <w:r w:rsidRPr="000F0299">
              <w:rPr>
                <w:rFonts w:eastAsia="Times New Roman"/>
                <w:kern w:val="0"/>
                <w:sz w:val="20"/>
                <w:szCs w:val="20"/>
                <w:lang w:eastAsia="en-US" w:bidi="ar-SA"/>
              </w:rPr>
              <w:t>однос (од А до Б, нпр. жена у односу на мушкарце….)</w:t>
            </w:r>
          </w:p>
          <w:p w14:paraId="4D9728FE" w14:textId="77777777" w:rsidR="006E62E5" w:rsidRPr="000F0299" w:rsidRDefault="006E62E5" w:rsidP="00E62A1A">
            <w:pPr>
              <w:numPr>
                <w:ilvl w:val="1"/>
                <w:numId w:val="9"/>
              </w:numPr>
              <w:tabs>
                <w:tab w:val="left" w:pos="154"/>
                <w:tab w:val="num" w:pos="910"/>
              </w:tabs>
              <w:suppressAutoHyphens w:val="0"/>
              <w:autoSpaceDN/>
              <w:spacing w:before="0"/>
              <w:ind w:left="0" w:firstLine="0"/>
              <w:textAlignment w:val="auto"/>
              <w:rPr>
                <w:rFonts w:eastAsia="Times New Roman"/>
                <w:kern w:val="0"/>
                <w:sz w:val="20"/>
                <w:szCs w:val="20"/>
                <w:lang w:eastAsia="en-US" w:bidi="ar-SA"/>
              </w:rPr>
            </w:pPr>
            <w:r w:rsidRPr="000F0299">
              <w:rPr>
                <w:rFonts w:eastAsia="Times New Roman"/>
                <w:kern w:val="0"/>
                <w:sz w:val="20"/>
                <w:szCs w:val="20"/>
                <w:lang w:eastAsia="en-US" w:bidi="ar-SA"/>
              </w:rPr>
              <w:t>Индекс/ сложени или композитни показатељи (сет различитих показатеља у посебној методологији прављеној за потребе конкретне организације)</w:t>
            </w:r>
          </w:p>
        </w:tc>
        <w:tc>
          <w:tcPr>
            <w:tcW w:w="3219" w:type="dxa"/>
            <w:gridSpan w:val="6"/>
          </w:tcPr>
          <w:p w14:paraId="3B0C7AA8" w14:textId="77777777" w:rsidR="006E62E5" w:rsidRPr="000F0299" w:rsidRDefault="006E62E5" w:rsidP="005D7B50">
            <w:pPr>
              <w:suppressAutoHyphens w:val="0"/>
              <w:autoSpaceDN/>
              <w:spacing w:before="0"/>
              <w:ind w:firstLine="0"/>
              <w:textAlignment w:val="auto"/>
              <w:rPr>
                <w:rFonts w:eastAsia="Times New Roman"/>
                <w:i/>
                <w:color w:val="000000" w:themeColor="dark1"/>
                <w:spacing w:val="-1"/>
                <w:kern w:val="24"/>
                <w:sz w:val="20"/>
                <w:szCs w:val="20"/>
                <w:lang w:eastAsia="en-US" w:bidi="ar-SA"/>
              </w:rPr>
            </w:pPr>
            <w:r w:rsidRPr="000F0299">
              <w:rPr>
                <w:rFonts w:eastAsia="Times New Roman"/>
                <w:i/>
                <w:color w:val="000000" w:themeColor="dark1"/>
                <w:spacing w:val="-1"/>
                <w:kern w:val="24"/>
                <w:sz w:val="20"/>
                <w:szCs w:val="20"/>
                <w:lang w:eastAsia="en-US" w:bidi="ar-SA"/>
              </w:rPr>
              <w:t>Назначити да ли је пожељна:</w:t>
            </w:r>
          </w:p>
          <w:p w14:paraId="68CA4576" w14:textId="77777777" w:rsidR="006E62E5" w:rsidRPr="000F0299" w:rsidRDefault="006E62E5" w:rsidP="00E62A1A">
            <w:pPr>
              <w:numPr>
                <w:ilvl w:val="1"/>
                <w:numId w:val="9"/>
              </w:numPr>
              <w:tabs>
                <w:tab w:val="left" w:pos="172"/>
                <w:tab w:val="num" w:pos="928"/>
              </w:tabs>
              <w:suppressAutoHyphens w:val="0"/>
              <w:autoSpaceDN/>
              <w:spacing w:before="0"/>
              <w:ind w:left="-54" w:firstLine="75"/>
              <w:textAlignment w:val="auto"/>
              <w:rPr>
                <w:rFonts w:eastAsia="Times New Roman"/>
                <w:i/>
                <w:color w:val="000000" w:themeColor="dark1"/>
                <w:spacing w:val="-1"/>
                <w:kern w:val="24"/>
                <w:sz w:val="20"/>
                <w:szCs w:val="20"/>
                <w:lang w:eastAsia="en-US" w:bidi="ar-SA"/>
              </w:rPr>
            </w:pPr>
            <w:r w:rsidRPr="000F0299">
              <w:rPr>
                <w:rFonts w:eastAsia="Times New Roman"/>
                <w:i/>
                <w:color w:val="000000" w:themeColor="dark1"/>
                <w:spacing w:val="-1"/>
                <w:kern w:val="24"/>
                <w:sz w:val="20"/>
                <w:szCs w:val="20"/>
                <w:lang w:eastAsia="en-US" w:bidi="ar-SA"/>
              </w:rPr>
              <w:t xml:space="preserve">већа вредност показатеља или </w:t>
            </w:r>
          </w:p>
          <w:p w14:paraId="32D7B62E" w14:textId="77777777" w:rsidR="006E62E5" w:rsidRPr="000F0299" w:rsidRDefault="006E62E5" w:rsidP="00E62A1A">
            <w:pPr>
              <w:numPr>
                <w:ilvl w:val="1"/>
                <w:numId w:val="9"/>
              </w:numPr>
              <w:tabs>
                <w:tab w:val="left" w:pos="172"/>
                <w:tab w:val="num" w:pos="928"/>
              </w:tabs>
              <w:suppressAutoHyphens w:val="0"/>
              <w:autoSpaceDN/>
              <w:spacing w:before="0"/>
              <w:ind w:left="-54" w:firstLine="75"/>
              <w:textAlignment w:val="auto"/>
              <w:rPr>
                <w:rFonts w:eastAsia="Times New Roman"/>
                <w:kern w:val="0"/>
                <w:sz w:val="20"/>
                <w:szCs w:val="20"/>
                <w:lang w:eastAsia="en-US" w:bidi="ar-SA"/>
              </w:rPr>
            </w:pPr>
            <w:r w:rsidRPr="000F0299">
              <w:rPr>
                <w:rFonts w:eastAsia="Times New Roman"/>
                <w:i/>
                <w:color w:val="000000" w:themeColor="dark1"/>
                <w:spacing w:val="-1"/>
                <w:kern w:val="24"/>
                <w:sz w:val="20"/>
                <w:szCs w:val="20"/>
                <w:lang w:eastAsia="en-US" w:bidi="ar-SA"/>
              </w:rPr>
              <w:t>мања вредност показатеља.</w:t>
            </w:r>
          </w:p>
        </w:tc>
      </w:tr>
      <w:tr w:rsidR="006E62E5" w:rsidRPr="000F0299" w14:paraId="199A559E" w14:textId="77777777" w:rsidTr="009E21AC">
        <w:trPr>
          <w:jc w:val="center"/>
        </w:trPr>
        <w:tc>
          <w:tcPr>
            <w:tcW w:w="2494" w:type="dxa"/>
          </w:tcPr>
          <w:p w14:paraId="55270B70" w14:textId="77777777" w:rsidR="006E62E5" w:rsidRPr="000F0299" w:rsidRDefault="006E62E5" w:rsidP="006E109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437" w:type="dxa"/>
            <w:gridSpan w:val="12"/>
          </w:tcPr>
          <w:p w14:paraId="55EEB12F" w14:textId="19F0DECC" w:rsidR="006E62E5" w:rsidRPr="000F0299" w:rsidRDefault="006E62E5" w:rsidP="006E109E">
            <w:pPr>
              <w:suppressAutoHyphens w:val="0"/>
              <w:autoSpaceDN/>
              <w:spacing w:before="0"/>
              <w:ind w:firstLine="0"/>
              <w:textAlignment w:val="auto"/>
              <w:rPr>
                <w:rFonts w:eastAsiaTheme="minorHAnsi"/>
                <w:i/>
                <w:iCs/>
                <w:kern w:val="0"/>
                <w:sz w:val="20"/>
                <w:szCs w:val="20"/>
                <w:lang w:eastAsia="en-US" w:bidi="ar-SA"/>
              </w:rPr>
            </w:pPr>
            <w:r w:rsidRPr="000F0299">
              <w:rPr>
                <w:rFonts w:eastAsiaTheme="minorHAnsi"/>
                <w:i/>
                <w:iCs/>
                <w:kern w:val="0"/>
                <w:sz w:val="20"/>
                <w:szCs w:val="20"/>
                <w:lang w:eastAsia="en-US" w:bidi="ar-SA"/>
              </w:rPr>
              <w:t xml:space="preserve">Унети назив </w:t>
            </w:r>
            <w:r w:rsidRPr="000F0299">
              <w:rPr>
                <w:rFonts w:eastAsiaTheme="minorHAnsi"/>
                <w:b/>
                <w:i/>
                <w:iCs/>
                <w:kern w:val="0"/>
                <w:sz w:val="20"/>
                <w:szCs w:val="20"/>
                <w:lang w:eastAsia="en-US" w:bidi="ar-SA"/>
              </w:rPr>
              <w:t>извора података</w:t>
            </w:r>
            <w:r w:rsidRPr="000F0299">
              <w:rPr>
                <w:rFonts w:eastAsiaTheme="minorHAnsi"/>
                <w:i/>
                <w:iCs/>
                <w:kern w:val="0"/>
                <w:sz w:val="20"/>
                <w:szCs w:val="20"/>
                <w:lang w:eastAsia="en-US" w:bidi="ar-SA"/>
              </w:rPr>
              <w:t xml:space="preserve"> (конкретан документ, базу података, </w:t>
            </w:r>
            <w:r w:rsidR="00BB1C3D" w:rsidRPr="000F0299">
              <w:rPr>
                <w:rFonts w:eastAsiaTheme="minorHAnsi"/>
                <w:i/>
                <w:iCs/>
                <w:kern w:val="0"/>
                <w:sz w:val="20"/>
                <w:szCs w:val="20"/>
                <w:lang w:eastAsia="en-US" w:bidi="ar-SA"/>
              </w:rPr>
              <w:t>интернет</w:t>
            </w:r>
            <w:r w:rsidRPr="000F0299">
              <w:rPr>
                <w:rFonts w:eastAsiaTheme="minorHAnsi"/>
                <w:i/>
                <w:iCs/>
                <w:kern w:val="0"/>
                <w:sz w:val="20"/>
                <w:szCs w:val="20"/>
                <w:lang w:eastAsia="en-US" w:bidi="ar-SA"/>
              </w:rPr>
              <w:t xml:space="preserve"> странице...)</w:t>
            </w:r>
          </w:p>
          <w:p w14:paraId="41104EB0" w14:textId="77777777" w:rsidR="006E62E5" w:rsidRPr="000F0299" w:rsidRDefault="006E62E5" w:rsidP="006E109E">
            <w:pPr>
              <w:suppressAutoHyphens w:val="0"/>
              <w:autoSpaceDN/>
              <w:spacing w:before="0"/>
              <w:ind w:firstLine="0"/>
              <w:textAlignment w:val="auto"/>
              <w:rPr>
                <w:rFonts w:eastAsiaTheme="minorHAnsi"/>
                <w:i/>
                <w:iCs/>
                <w:kern w:val="0"/>
                <w:sz w:val="20"/>
                <w:szCs w:val="20"/>
                <w:lang w:eastAsia="en-US" w:bidi="ar-SA"/>
              </w:rPr>
            </w:pPr>
            <w:r w:rsidRPr="000F0299">
              <w:rPr>
                <w:rFonts w:eastAsiaTheme="minorHAnsi"/>
                <w:i/>
                <w:iCs/>
                <w:kern w:val="0"/>
                <w:sz w:val="20"/>
                <w:szCs w:val="20"/>
                <w:lang w:eastAsia="en-US" w:bidi="ar-SA"/>
              </w:rPr>
              <w:t xml:space="preserve">Унети информације о томе да ли се подаци за праћење показатеља прикупљају на </w:t>
            </w:r>
            <w:r w:rsidRPr="000F0299">
              <w:rPr>
                <w:rFonts w:eastAsiaTheme="minorHAnsi"/>
                <w:b/>
                <w:i/>
                <w:iCs/>
                <w:kern w:val="0"/>
                <w:sz w:val="20"/>
                <w:szCs w:val="20"/>
                <w:lang w:eastAsia="en-US" w:bidi="ar-SA"/>
              </w:rPr>
              <w:t xml:space="preserve">домаћем </w:t>
            </w:r>
            <w:r w:rsidRPr="000F0299">
              <w:rPr>
                <w:rFonts w:eastAsiaTheme="minorHAnsi"/>
                <w:i/>
                <w:iCs/>
                <w:kern w:val="0"/>
                <w:sz w:val="20"/>
                <w:szCs w:val="20"/>
                <w:lang w:eastAsia="en-US" w:bidi="ar-SA"/>
              </w:rPr>
              <w:t>или</w:t>
            </w:r>
            <w:r w:rsidRPr="000F0299">
              <w:rPr>
                <w:rFonts w:eastAsiaTheme="minorHAnsi"/>
                <w:b/>
                <w:i/>
                <w:iCs/>
                <w:kern w:val="0"/>
                <w:sz w:val="20"/>
                <w:szCs w:val="20"/>
                <w:lang w:eastAsia="en-US" w:bidi="ar-SA"/>
              </w:rPr>
              <w:t xml:space="preserve"> међународном</w:t>
            </w:r>
            <w:r w:rsidRPr="000F0299">
              <w:rPr>
                <w:rFonts w:eastAsiaTheme="minorHAnsi"/>
                <w:i/>
                <w:iCs/>
                <w:kern w:val="0"/>
                <w:sz w:val="20"/>
                <w:szCs w:val="20"/>
                <w:lang w:eastAsia="en-US" w:bidi="ar-SA"/>
              </w:rPr>
              <w:t xml:space="preserve"> нивоу. Важно је направити разлику између ових врста показатеља да би се видело у којој мери подаци за праћење показатеља могу да варирају, јер се понекад начин на који се показатељи мере на међународном нивоу значајно мења, или њихово мерење у потпуности изостаје.</w:t>
            </w:r>
          </w:p>
          <w:p w14:paraId="29A77E05" w14:textId="77777777" w:rsidR="006E62E5" w:rsidRPr="000F0299" w:rsidRDefault="006E62E5" w:rsidP="006E109E">
            <w:pPr>
              <w:suppressAutoHyphens w:val="0"/>
              <w:autoSpaceDN/>
              <w:spacing w:before="0"/>
              <w:ind w:firstLine="0"/>
              <w:textAlignment w:val="auto"/>
              <w:rPr>
                <w:rFonts w:eastAsiaTheme="minorHAnsi"/>
                <w:i/>
                <w:iCs/>
                <w:kern w:val="0"/>
                <w:sz w:val="20"/>
                <w:szCs w:val="20"/>
                <w:lang w:eastAsia="en-US" w:bidi="ar-SA"/>
              </w:rPr>
            </w:pPr>
            <w:r w:rsidRPr="000F0299">
              <w:rPr>
                <w:rFonts w:eastAsiaTheme="minorHAnsi"/>
                <w:i/>
                <w:iCs/>
                <w:kern w:val="0"/>
                <w:sz w:val="20"/>
                <w:szCs w:val="20"/>
                <w:lang w:eastAsia="en-US" w:bidi="ar-SA"/>
              </w:rPr>
              <w:t xml:space="preserve">Унети </w:t>
            </w:r>
            <w:r w:rsidRPr="000F0299">
              <w:rPr>
                <w:rFonts w:eastAsiaTheme="minorHAnsi"/>
                <w:b/>
                <w:i/>
                <w:iCs/>
                <w:kern w:val="0"/>
                <w:sz w:val="20"/>
                <w:szCs w:val="20"/>
                <w:lang w:eastAsia="en-US" w:bidi="ar-SA"/>
              </w:rPr>
              <w:t>линк ка извору података</w:t>
            </w:r>
            <w:r w:rsidRPr="000F0299">
              <w:rPr>
                <w:rFonts w:eastAsiaTheme="minorHAnsi"/>
                <w:i/>
                <w:iCs/>
                <w:kern w:val="0"/>
                <w:sz w:val="20"/>
                <w:szCs w:val="20"/>
                <w:lang w:eastAsia="en-US" w:bidi="ar-SA"/>
              </w:rPr>
              <w:t xml:space="preserve"> ако је објављен на Интернету.</w:t>
            </w:r>
          </w:p>
        </w:tc>
      </w:tr>
      <w:tr w:rsidR="006E62E5" w:rsidRPr="000F0299" w14:paraId="34A84369" w14:textId="77777777" w:rsidTr="009E21AC">
        <w:trPr>
          <w:jc w:val="center"/>
        </w:trPr>
        <w:tc>
          <w:tcPr>
            <w:tcW w:w="2494" w:type="dxa"/>
          </w:tcPr>
          <w:p w14:paraId="50D35308" w14:textId="77777777" w:rsidR="006E62E5" w:rsidRPr="000F0299" w:rsidRDefault="006E62E5" w:rsidP="006E109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437" w:type="dxa"/>
            <w:gridSpan w:val="12"/>
          </w:tcPr>
          <w:p w14:paraId="6F63AF54" w14:textId="745BCF2E" w:rsidR="005D7B50" w:rsidRPr="000F0299" w:rsidRDefault="006E62E5" w:rsidP="006E109E">
            <w:pPr>
              <w:suppressAutoHyphens w:val="0"/>
              <w:autoSpaceDN/>
              <w:spacing w:before="0"/>
              <w:ind w:firstLine="0"/>
              <w:textAlignment w:val="auto"/>
              <w:rPr>
                <w:rFonts w:eastAsiaTheme="minorHAnsi"/>
                <w:i/>
                <w:iCs/>
                <w:kern w:val="0"/>
                <w:sz w:val="20"/>
                <w:szCs w:val="20"/>
                <w:lang w:eastAsia="en-US" w:bidi="ar-SA"/>
              </w:rPr>
            </w:pPr>
            <w:r w:rsidRPr="000F0299">
              <w:rPr>
                <w:rFonts w:eastAsiaTheme="minorHAnsi"/>
                <w:i/>
                <w:iCs/>
                <w:kern w:val="0"/>
                <w:sz w:val="20"/>
                <w:szCs w:val="20"/>
                <w:lang w:eastAsia="en-US" w:bidi="ar-SA"/>
              </w:rPr>
              <w:t xml:space="preserve">Унети пун </w:t>
            </w:r>
            <w:r w:rsidRPr="000F0299">
              <w:rPr>
                <w:rFonts w:eastAsiaTheme="minorHAnsi"/>
                <w:b/>
                <w:i/>
                <w:iCs/>
                <w:kern w:val="0"/>
                <w:sz w:val="20"/>
                <w:szCs w:val="20"/>
                <w:lang w:eastAsia="en-US" w:bidi="ar-SA"/>
              </w:rPr>
              <w:t>назив институције</w:t>
            </w:r>
            <w:r w:rsidRPr="000F0299">
              <w:rPr>
                <w:rFonts w:eastAsiaTheme="minorHAnsi"/>
                <w:i/>
                <w:iCs/>
                <w:kern w:val="0"/>
                <w:sz w:val="20"/>
                <w:szCs w:val="20"/>
                <w:lang w:eastAsia="en-US" w:bidi="ar-SA"/>
              </w:rPr>
              <w:t xml:space="preserve"> одговорне за прикупљање података за потребе конкретног показатеља и за објављивање/достављање тих података, као и конкретну </w:t>
            </w:r>
            <w:r w:rsidRPr="000F0299">
              <w:rPr>
                <w:rFonts w:eastAsiaTheme="minorHAnsi"/>
                <w:b/>
                <w:i/>
                <w:iCs/>
                <w:kern w:val="0"/>
                <w:sz w:val="20"/>
                <w:szCs w:val="20"/>
                <w:lang w:eastAsia="en-US" w:bidi="ar-SA"/>
              </w:rPr>
              <w:t>контакт особу и контакт податке</w:t>
            </w:r>
            <w:r w:rsidRPr="000F0299">
              <w:rPr>
                <w:rFonts w:eastAsiaTheme="minorHAnsi"/>
                <w:i/>
                <w:iCs/>
                <w:kern w:val="0"/>
                <w:sz w:val="20"/>
                <w:szCs w:val="20"/>
                <w:lang w:eastAsia="en-US" w:bidi="ar-SA"/>
              </w:rPr>
              <w:t xml:space="preserve"> (телефон и електронску адресу).</w:t>
            </w:r>
            <w:r w:rsidR="005D7B50">
              <w:rPr>
                <w:rFonts w:eastAsiaTheme="minorHAnsi"/>
                <w:i/>
                <w:iCs/>
                <w:kern w:val="0"/>
                <w:sz w:val="20"/>
                <w:szCs w:val="20"/>
                <w:lang w:eastAsia="en-US" w:bidi="ar-SA"/>
              </w:rPr>
              <w:t xml:space="preserve"> Контакт особа се не усваја на Влади, услед могућности персоналних промена.</w:t>
            </w:r>
          </w:p>
          <w:p w14:paraId="6E725EB5" w14:textId="77777777" w:rsidR="006E62E5" w:rsidRPr="000F0299" w:rsidRDefault="006E62E5" w:rsidP="006E109E">
            <w:pPr>
              <w:suppressAutoHyphens w:val="0"/>
              <w:autoSpaceDN/>
              <w:spacing w:before="0"/>
              <w:ind w:firstLine="0"/>
              <w:textAlignment w:val="auto"/>
              <w:rPr>
                <w:rFonts w:eastAsiaTheme="minorHAnsi"/>
                <w:i/>
                <w:iCs/>
                <w:kern w:val="0"/>
                <w:sz w:val="20"/>
                <w:szCs w:val="20"/>
                <w:lang w:eastAsia="en-US" w:bidi="ar-SA"/>
              </w:rPr>
            </w:pPr>
            <w:r w:rsidRPr="000F0299">
              <w:rPr>
                <w:rFonts w:eastAsiaTheme="minorHAnsi"/>
                <w:i/>
                <w:iCs/>
                <w:kern w:val="0"/>
                <w:sz w:val="20"/>
                <w:szCs w:val="20"/>
                <w:lang w:eastAsia="en-US" w:bidi="ar-SA"/>
              </w:rPr>
              <w:t>Ове информације ће се користити како би се одговарајуће институције информисале о својим обавезама, као и како би се пратили резултати институција укључених у целокупни систем за праћење, извештавање и евалуацију у погледу Стратегије РЈУ и акционог плана за њено спровођење.</w:t>
            </w:r>
          </w:p>
        </w:tc>
      </w:tr>
      <w:tr w:rsidR="006E62E5" w:rsidRPr="000F0299" w14:paraId="24EAB460" w14:textId="77777777" w:rsidTr="009E21AC">
        <w:trPr>
          <w:jc w:val="center"/>
        </w:trPr>
        <w:tc>
          <w:tcPr>
            <w:tcW w:w="2494" w:type="dxa"/>
          </w:tcPr>
          <w:p w14:paraId="362EDE26" w14:textId="77777777" w:rsidR="006E62E5" w:rsidRPr="000F0299" w:rsidRDefault="006E62E5" w:rsidP="006E109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437" w:type="dxa"/>
            <w:gridSpan w:val="12"/>
          </w:tcPr>
          <w:p w14:paraId="3F0D2AD3" w14:textId="77777777" w:rsidR="006E62E5" w:rsidRPr="000F0299" w:rsidRDefault="006E62E5" w:rsidP="006E109E">
            <w:pPr>
              <w:suppressAutoHyphens w:val="0"/>
              <w:autoSpaceDN/>
              <w:spacing w:before="0"/>
              <w:ind w:firstLine="0"/>
              <w:textAlignment w:val="auto"/>
              <w:rPr>
                <w:rFonts w:eastAsiaTheme="minorHAnsi"/>
                <w:i/>
                <w:iCs/>
                <w:kern w:val="0"/>
                <w:sz w:val="20"/>
                <w:szCs w:val="20"/>
                <w:lang w:eastAsia="en-US" w:bidi="ar-SA"/>
              </w:rPr>
            </w:pPr>
            <w:r w:rsidRPr="000F0299">
              <w:rPr>
                <w:rFonts w:eastAsiaTheme="minorHAnsi"/>
                <w:i/>
                <w:iCs/>
                <w:kern w:val="0"/>
                <w:sz w:val="20"/>
                <w:szCs w:val="20"/>
                <w:lang w:eastAsia="en-US" w:bidi="ar-SA"/>
              </w:rPr>
              <w:t xml:space="preserve">Унети информације о томе </w:t>
            </w:r>
            <w:r w:rsidRPr="000F0299">
              <w:rPr>
                <w:rFonts w:eastAsiaTheme="minorHAnsi"/>
                <w:b/>
                <w:i/>
                <w:iCs/>
                <w:kern w:val="0"/>
                <w:sz w:val="20"/>
                <w:szCs w:val="20"/>
                <w:lang w:eastAsia="en-US" w:bidi="ar-SA"/>
              </w:rPr>
              <w:t>колико често и кад</w:t>
            </w:r>
            <w:r w:rsidRPr="000F0299">
              <w:rPr>
                <w:rFonts w:eastAsiaTheme="minorHAnsi"/>
                <w:i/>
                <w:iCs/>
                <w:kern w:val="0"/>
                <w:sz w:val="20"/>
                <w:szCs w:val="20"/>
                <w:lang w:eastAsia="en-US" w:bidi="ar-SA"/>
              </w:rPr>
              <w:t xml:space="preserve"> (у ком кварталу календарске године) одговарајуће институције </w:t>
            </w:r>
            <w:r w:rsidRPr="000F0299">
              <w:rPr>
                <w:rFonts w:eastAsiaTheme="minorHAnsi"/>
                <w:b/>
                <w:i/>
                <w:iCs/>
                <w:kern w:val="0"/>
                <w:sz w:val="20"/>
                <w:szCs w:val="20"/>
                <w:lang w:eastAsia="en-US" w:bidi="ar-SA"/>
              </w:rPr>
              <w:t>прикупљају податке</w:t>
            </w:r>
            <w:r w:rsidRPr="000F0299">
              <w:rPr>
                <w:rFonts w:eastAsiaTheme="minorHAnsi"/>
                <w:i/>
                <w:iCs/>
                <w:kern w:val="0"/>
                <w:sz w:val="20"/>
                <w:szCs w:val="20"/>
                <w:lang w:eastAsia="en-US" w:bidi="ar-SA"/>
              </w:rPr>
              <w:t xml:space="preserve"> о конкретном показатељу </w:t>
            </w:r>
            <w:r w:rsidRPr="000F0299">
              <w:rPr>
                <w:rFonts w:eastAsiaTheme="minorHAnsi"/>
                <w:b/>
                <w:i/>
                <w:iCs/>
                <w:kern w:val="0"/>
                <w:sz w:val="20"/>
                <w:szCs w:val="20"/>
                <w:lang w:eastAsia="en-US" w:bidi="ar-SA"/>
              </w:rPr>
              <w:t>и када их објављују</w:t>
            </w:r>
            <w:r w:rsidRPr="000F0299">
              <w:rPr>
                <w:rFonts w:eastAsiaTheme="minorHAnsi"/>
                <w:i/>
                <w:iCs/>
                <w:kern w:val="0"/>
                <w:sz w:val="20"/>
                <w:szCs w:val="20"/>
                <w:lang w:eastAsia="en-US" w:bidi="ar-SA"/>
              </w:rPr>
              <w:t>.</w:t>
            </w:r>
          </w:p>
          <w:p w14:paraId="7730C461" w14:textId="77777777" w:rsidR="006E62E5" w:rsidRPr="000F0299" w:rsidRDefault="006E62E5" w:rsidP="006E109E">
            <w:pPr>
              <w:suppressAutoHyphens w:val="0"/>
              <w:autoSpaceDN/>
              <w:spacing w:before="0"/>
              <w:ind w:firstLine="0"/>
              <w:textAlignment w:val="auto"/>
              <w:rPr>
                <w:rFonts w:eastAsiaTheme="minorHAnsi"/>
                <w:i/>
                <w:iCs/>
                <w:kern w:val="0"/>
                <w:sz w:val="20"/>
                <w:szCs w:val="20"/>
                <w:lang w:eastAsia="en-US" w:bidi="ar-SA"/>
              </w:rPr>
            </w:pPr>
            <w:r w:rsidRPr="000F0299">
              <w:rPr>
                <w:rFonts w:eastAsiaTheme="minorHAnsi"/>
                <w:i/>
                <w:iCs/>
                <w:kern w:val="0"/>
                <w:sz w:val="20"/>
                <w:szCs w:val="20"/>
                <w:lang w:eastAsia="en-US" w:bidi="ar-SA"/>
              </w:rPr>
              <w:t>Ове информације су неопходне како би се разумело кад су подаци доступни за израду извештаја и како би се динамика израде извештаја прилагодила динамици доступности података.</w:t>
            </w:r>
          </w:p>
        </w:tc>
      </w:tr>
      <w:tr w:rsidR="006E62E5" w:rsidRPr="000F0299" w14:paraId="5C5E0B67" w14:textId="77777777" w:rsidTr="009E21AC">
        <w:trPr>
          <w:trHeight w:val="2695"/>
          <w:jc w:val="center"/>
        </w:trPr>
        <w:tc>
          <w:tcPr>
            <w:tcW w:w="2494" w:type="dxa"/>
          </w:tcPr>
          <w:p w14:paraId="5B169985" w14:textId="77777777" w:rsidR="006E62E5" w:rsidRPr="000F0299" w:rsidRDefault="006E62E5" w:rsidP="006E109E">
            <w:pPr>
              <w:suppressAutoHyphens w:val="0"/>
              <w:autoSpaceDN/>
              <w:spacing w:before="0"/>
              <w:ind w:firstLine="0"/>
              <w:jc w:val="left"/>
              <w:textAlignment w:val="auto"/>
              <w:rPr>
                <w:rFonts w:eastAsiaTheme="minorHAnsi"/>
                <w:b/>
                <w:kern w:val="0"/>
                <w:sz w:val="20"/>
                <w:szCs w:val="20"/>
                <w:lang w:eastAsia="en-US" w:bidi="ar-SA"/>
              </w:rPr>
            </w:pPr>
            <w:r w:rsidRPr="000F0299">
              <w:rPr>
                <w:rFonts w:eastAsiaTheme="minorHAnsi"/>
                <w:b/>
                <w:kern w:val="0"/>
                <w:sz w:val="20"/>
                <w:szCs w:val="20"/>
                <w:lang w:eastAsia="en-US" w:bidi="ar-SA"/>
              </w:rPr>
              <w:t>Кратак опис показатеља и методологије израчунавања</w:t>
            </w:r>
          </w:p>
          <w:p w14:paraId="0D0C6A92" w14:textId="77777777" w:rsidR="006E62E5" w:rsidRPr="000F0299" w:rsidRDefault="006E62E5" w:rsidP="006E109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kern w:val="0"/>
                <w:sz w:val="20"/>
                <w:szCs w:val="20"/>
                <w:lang w:eastAsia="en-US" w:bidi="ar-SA"/>
              </w:rPr>
              <w:t>(формуле/ једначине)</w:t>
            </w:r>
          </w:p>
        </w:tc>
        <w:tc>
          <w:tcPr>
            <w:tcW w:w="6437" w:type="dxa"/>
            <w:gridSpan w:val="12"/>
          </w:tcPr>
          <w:p w14:paraId="3061220E" w14:textId="77777777" w:rsidR="006E62E5" w:rsidRPr="000F0299" w:rsidRDefault="006E62E5" w:rsidP="006E109E">
            <w:pPr>
              <w:suppressAutoHyphens w:val="0"/>
              <w:autoSpaceDN/>
              <w:spacing w:before="0"/>
              <w:ind w:firstLine="0"/>
              <w:textAlignment w:val="auto"/>
              <w:rPr>
                <w:rFonts w:eastAsiaTheme="minorHAnsi"/>
                <w:i/>
                <w:kern w:val="0"/>
                <w:sz w:val="20"/>
                <w:szCs w:val="20"/>
                <w:lang w:eastAsia="en-US" w:bidi="ar-SA"/>
              </w:rPr>
            </w:pPr>
            <w:r w:rsidRPr="000F0299">
              <w:rPr>
                <w:rFonts w:eastAsiaTheme="minorHAnsi"/>
                <w:i/>
                <w:kern w:val="0"/>
                <w:sz w:val="20"/>
                <w:szCs w:val="20"/>
                <w:lang w:eastAsia="en-US" w:bidi="ar-SA"/>
              </w:rPr>
              <w:t>Унети кратак опис конструисања и мерења показатеља (</w:t>
            </w:r>
            <w:r w:rsidRPr="000F0299">
              <w:rPr>
                <w:rFonts w:eastAsiaTheme="minorHAnsi"/>
                <w:b/>
                <w:i/>
                <w:kern w:val="0"/>
                <w:sz w:val="20"/>
                <w:szCs w:val="20"/>
                <w:lang w:eastAsia="en-US" w:bidi="ar-SA"/>
              </w:rPr>
              <w:t>шта тачно показује конкретан показатељ</w:t>
            </w:r>
            <w:r w:rsidRPr="000F0299">
              <w:rPr>
                <w:rFonts w:eastAsiaTheme="minorHAnsi"/>
                <w:i/>
                <w:kern w:val="0"/>
                <w:sz w:val="20"/>
                <w:szCs w:val="20"/>
                <w:lang w:eastAsia="en-US" w:bidi="ar-SA"/>
              </w:rPr>
              <w:t xml:space="preserve">, да ли је показатељ релевантан и поуздан за конкретан резултат, </w:t>
            </w:r>
            <w:r w:rsidRPr="000F0299">
              <w:rPr>
                <w:rFonts w:eastAsiaTheme="minorHAnsi"/>
                <w:b/>
                <w:i/>
                <w:kern w:val="0"/>
                <w:sz w:val="20"/>
                <w:szCs w:val="20"/>
                <w:lang w:eastAsia="en-US" w:bidi="ar-SA"/>
              </w:rPr>
              <w:t>формулу како се израчунава показатељ</w:t>
            </w:r>
            <w:r w:rsidRPr="000F0299">
              <w:rPr>
                <w:rFonts w:eastAsiaTheme="minorHAnsi"/>
                <w:i/>
                <w:kern w:val="0"/>
                <w:sz w:val="20"/>
                <w:szCs w:val="20"/>
                <w:lang w:eastAsia="en-US" w:bidi="ar-SA"/>
              </w:rPr>
              <w:t xml:space="preserve">, </w:t>
            </w:r>
            <w:r w:rsidRPr="000F0299">
              <w:rPr>
                <w:rFonts w:eastAsiaTheme="minorHAnsi"/>
                <w:b/>
                <w:i/>
                <w:kern w:val="0"/>
                <w:sz w:val="20"/>
                <w:szCs w:val="20"/>
                <w:lang w:eastAsia="en-US" w:bidi="ar-SA"/>
              </w:rPr>
              <w:t>од којих подинтикатора се састоји ако је сложен показатељ</w:t>
            </w:r>
            <w:r w:rsidRPr="000F0299">
              <w:rPr>
                <w:rFonts w:eastAsiaTheme="minorHAnsi"/>
                <w:i/>
                <w:kern w:val="0"/>
                <w:sz w:val="20"/>
                <w:szCs w:val="20"/>
                <w:lang w:eastAsia="en-US" w:bidi="ar-SA"/>
              </w:rPr>
              <w:t>...) Уколико је методологија за израчунавање показатеља постављена на Интернету, унети линк ка конкретном методолошком документу. Једначина/формула мора бити тако дефинисана да буде јасна за било кога ко врши мерење по њој.</w:t>
            </w:r>
          </w:p>
          <w:p w14:paraId="196443B6" w14:textId="77777777" w:rsidR="006E62E5" w:rsidRPr="000F0299" w:rsidRDefault="006E62E5" w:rsidP="006E109E">
            <w:pPr>
              <w:suppressAutoHyphens w:val="0"/>
              <w:autoSpaceDN/>
              <w:spacing w:before="0"/>
              <w:ind w:firstLine="0"/>
              <w:jc w:val="center"/>
              <w:textAlignment w:val="auto"/>
              <w:rPr>
                <w:rFonts w:eastAsiaTheme="minorHAnsi"/>
                <w:b/>
                <w:bCs/>
                <w:i/>
                <w:iCs/>
                <w:kern w:val="0"/>
                <w:sz w:val="20"/>
                <w:szCs w:val="20"/>
                <w:lang w:eastAsia="en-US" w:bidi="ar-SA"/>
              </w:rPr>
            </w:pPr>
            <w:r w:rsidRPr="000F0299">
              <w:rPr>
                <w:rFonts w:eastAsiaTheme="minorHAnsi"/>
                <w:b/>
                <w:bCs/>
                <w:i/>
                <w:iCs/>
                <w:kern w:val="0"/>
                <w:sz w:val="20"/>
                <w:szCs w:val="20"/>
                <w:lang w:eastAsia="en-US" w:bidi="ar-SA"/>
              </w:rPr>
              <w:t>ФОРМУЛА/ЈЕДНАЧИНА</w:t>
            </w:r>
          </w:p>
          <w:p w14:paraId="368661AD" w14:textId="77777777" w:rsidR="006E62E5" w:rsidRPr="000F0299" w:rsidRDefault="006E62E5" w:rsidP="006E109E">
            <w:pPr>
              <w:suppressAutoHyphens w:val="0"/>
              <w:autoSpaceDN/>
              <w:spacing w:before="0"/>
              <w:ind w:firstLine="0"/>
              <w:textAlignment w:val="auto"/>
              <w:rPr>
                <w:rFonts w:eastAsiaTheme="minorHAnsi"/>
                <w:i/>
                <w:iCs/>
                <w:kern w:val="0"/>
                <w:sz w:val="20"/>
                <w:szCs w:val="20"/>
                <w:lang w:eastAsia="en-US" w:bidi="ar-SA"/>
              </w:rPr>
            </w:pPr>
            <w:r w:rsidRPr="000F0299">
              <w:rPr>
                <w:rFonts w:eastAsiaTheme="minorHAnsi"/>
                <w:i/>
                <w:iCs/>
                <w:kern w:val="0"/>
                <w:sz w:val="20"/>
                <w:szCs w:val="20"/>
                <w:lang w:eastAsia="en-US" w:bidi="ar-SA"/>
              </w:rPr>
              <w:t>Унети кратку формулу/једначину за израчунавање/мерење конкретног показатеља</w:t>
            </w:r>
            <w:r w:rsidRPr="000F0299">
              <w:rPr>
                <w:rFonts w:eastAsiaTheme="minorHAnsi"/>
                <w:b/>
                <w:i/>
                <w:color w:val="0070C0"/>
                <w:kern w:val="0"/>
                <w:sz w:val="20"/>
                <w:szCs w:val="20"/>
                <w:lang w:eastAsia="en-US" w:bidi="ar-SA"/>
              </w:rPr>
              <w:t xml:space="preserve"> </w:t>
            </w:r>
          </w:p>
        </w:tc>
      </w:tr>
      <w:tr w:rsidR="006E62E5" w:rsidRPr="000F0299" w14:paraId="5547C864" w14:textId="77777777" w:rsidTr="00731B68">
        <w:trPr>
          <w:trHeight w:val="265"/>
          <w:jc w:val="center"/>
        </w:trPr>
        <w:tc>
          <w:tcPr>
            <w:tcW w:w="2494" w:type="dxa"/>
            <w:vMerge w:val="restart"/>
          </w:tcPr>
          <w:p w14:paraId="1EE85B4B" w14:textId="77777777" w:rsidR="006E62E5" w:rsidRPr="000F0299" w:rsidRDefault="006E62E5" w:rsidP="006E109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4842" w:type="dxa"/>
            <w:gridSpan w:val="9"/>
            <w:tcBorders>
              <w:bottom w:val="single" w:sz="4" w:space="0" w:color="auto"/>
            </w:tcBorders>
            <w:vAlign w:val="center"/>
          </w:tcPr>
          <w:p w14:paraId="5302FCCC"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Тренд у прошлости</w:t>
            </w:r>
          </w:p>
        </w:tc>
        <w:tc>
          <w:tcPr>
            <w:tcW w:w="1595" w:type="dxa"/>
            <w:gridSpan w:val="3"/>
            <w:shd w:val="clear" w:color="auto" w:fill="D9D9D9" w:themeFill="background1" w:themeFillShade="D9"/>
            <w:vAlign w:val="center"/>
          </w:tcPr>
          <w:p w14:paraId="34A912EC"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Полазна вредност</w:t>
            </w:r>
          </w:p>
        </w:tc>
      </w:tr>
      <w:tr w:rsidR="006E62E5" w:rsidRPr="000F0299" w14:paraId="42DBADA8" w14:textId="77777777" w:rsidTr="00731B68">
        <w:trPr>
          <w:trHeight w:val="137"/>
          <w:jc w:val="center"/>
        </w:trPr>
        <w:tc>
          <w:tcPr>
            <w:tcW w:w="2494" w:type="dxa"/>
            <w:vMerge/>
            <w:tcBorders>
              <w:right w:val="single" w:sz="4" w:space="0" w:color="auto"/>
            </w:tcBorders>
          </w:tcPr>
          <w:p w14:paraId="3DDF8A4E" w14:textId="77777777" w:rsidR="006E62E5" w:rsidRPr="000F0299" w:rsidRDefault="006E62E5" w:rsidP="006E109E">
            <w:pPr>
              <w:suppressAutoHyphens w:val="0"/>
              <w:autoSpaceDN/>
              <w:spacing w:before="0"/>
              <w:ind w:firstLine="0"/>
              <w:jc w:val="left"/>
              <w:textAlignment w:val="auto"/>
              <w:rPr>
                <w:rFonts w:eastAsiaTheme="minorHAnsi"/>
                <w:b/>
                <w:bCs/>
                <w:kern w:val="0"/>
                <w:sz w:val="20"/>
                <w:szCs w:val="20"/>
                <w:lang w:eastAsia="en-US" w:bidi="ar-SA"/>
              </w:rPr>
            </w:pPr>
          </w:p>
        </w:tc>
        <w:tc>
          <w:tcPr>
            <w:tcW w:w="1626" w:type="dxa"/>
            <w:gridSpan w:val="3"/>
            <w:tcBorders>
              <w:top w:val="single" w:sz="4" w:space="0" w:color="auto"/>
              <w:left w:val="single" w:sz="4" w:space="0" w:color="auto"/>
              <w:bottom w:val="single" w:sz="4" w:space="0" w:color="auto"/>
              <w:right w:val="single" w:sz="4" w:space="0" w:color="auto"/>
            </w:tcBorders>
            <w:vAlign w:val="center"/>
          </w:tcPr>
          <w:p w14:paraId="43C9B458"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2016</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2C185DED"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2017</w:t>
            </w:r>
          </w:p>
        </w:tc>
        <w:tc>
          <w:tcPr>
            <w:tcW w:w="1623" w:type="dxa"/>
            <w:gridSpan w:val="3"/>
            <w:tcBorders>
              <w:top w:val="single" w:sz="4" w:space="0" w:color="auto"/>
              <w:left w:val="single" w:sz="4" w:space="0" w:color="auto"/>
              <w:bottom w:val="single" w:sz="4" w:space="0" w:color="auto"/>
              <w:right w:val="single" w:sz="4" w:space="0" w:color="auto"/>
            </w:tcBorders>
            <w:vAlign w:val="center"/>
          </w:tcPr>
          <w:p w14:paraId="3DD80B4A"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2018</w:t>
            </w:r>
          </w:p>
        </w:tc>
        <w:tc>
          <w:tcPr>
            <w:tcW w:w="1595" w:type="dxa"/>
            <w:gridSpan w:val="3"/>
            <w:tcBorders>
              <w:left w:val="single" w:sz="4" w:space="0" w:color="auto"/>
            </w:tcBorders>
            <w:shd w:val="clear" w:color="auto" w:fill="D9D9D9" w:themeFill="background1" w:themeFillShade="D9"/>
            <w:vAlign w:val="center"/>
          </w:tcPr>
          <w:p w14:paraId="2435E695"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2019 или 2020</w:t>
            </w:r>
          </w:p>
        </w:tc>
      </w:tr>
      <w:tr w:rsidR="006E62E5" w:rsidRPr="000F0299" w14:paraId="1773CF3D" w14:textId="77777777" w:rsidTr="00731B68">
        <w:trPr>
          <w:trHeight w:val="323"/>
          <w:jc w:val="center"/>
        </w:trPr>
        <w:tc>
          <w:tcPr>
            <w:tcW w:w="2494" w:type="dxa"/>
            <w:vMerge/>
          </w:tcPr>
          <w:p w14:paraId="00A1E379" w14:textId="77777777" w:rsidR="006E62E5" w:rsidRPr="000F0299" w:rsidRDefault="006E62E5" w:rsidP="006E109E">
            <w:pPr>
              <w:suppressAutoHyphens w:val="0"/>
              <w:autoSpaceDN/>
              <w:spacing w:before="0"/>
              <w:ind w:firstLine="0"/>
              <w:jc w:val="left"/>
              <w:textAlignment w:val="auto"/>
              <w:rPr>
                <w:rFonts w:eastAsiaTheme="minorHAnsi"/>
                <w:b/>
                <w:bCs/>
                <w:kern w:val="0"/>
                <w:sz w:val="20"/>
                <w:szCs w:val="20"/>
                <w:lang w:eastAsia="en-US" w:bidi="ar-SA"/>
              </w:rPr>
            </w:pPr>
          </w:p>
        </w:tc>
        <w:tc>
          <w:tcPr>
            <w:tcW w:w="1626" w:type="dxa"/>
            <w:gridSpan w:val="3"/>
            <w:tcBorders>
              <w:top w:val="single" w:sz="4" w:space="0" w:color="auto"/>
            </w:tcBorders>
            <w:vAlign w:val="center"/>
          </w:tcPr>
          <w:p w14:paraId="5DA03979" w14:textId="77777777" w:rsidR="006E62E5" w:rsidRPr="000F0299" w:rsidRDefault="006E62E5" w:rsidP="006E109E">
            <w:pPr>
              <w:suppressAutoHyphens w:val="0"/>
              <w:autoSpaceDN/>
              <w:spacing w:before="0"/>
              <w:ind w:firstLine="0"/>
              <w:jc w:val="left"/>
              <w:textAlignment w:val="auto"/>
              <w:rPr>
                <w:rFonts w:eastAsiaTheme="minorHAnsi"/>
                <w:i/>
                <w:kern w:val="0"/>
                <w:sz w:val="20"/>
                <w:szCs w:val="20"/>
                <w:lang w:eastAsia="en-US" w:bidi="ar-SA"/>
              </w:rPr>
            </w:pPr>
          </w:p>
        </w:tc>
        <w:tc>
          <w:tcPr>
            <w:tcW w:w="1593" w:type="dxa"/>
            <w:gridSpan w:val="3"/>
            <w:tcBorders>
              <w:top w:val="single" w:sz="4" w:space="0" w:color="auto"/>
            </w:tcBorders>
            <w:vAlign w:val="center"/>
          </w:tcPr>
          <w:p w14:paraId="66C9D0B7"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p>
        </w:tc>
        <w:tc>
          <w:tcPr>
            <w:tcW w:w="1623" w:type="dxa"/>
            <w:gridSpan w:val="3"/>
            <w:tcBorders>
              <w:top w:val="single" w:sz="4" w:space="0" w:color="auto"/>
            </w:tcBorders>
            <w:vAlign w:val="center"/>
          </w:tcPr>
          <w:p w14:paraId="6758E826"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p>
        </w:tc>
        <w:tc>
          <w:tcPr>
            <w:tcW w:w="1595" w:type="dxa"/>
            <w:gridSpan w:val="3"/>
            <w:shd w:val="clear" w:color="auto" w:fill="D9D9D9" w:themeFill="background1" w:themeFillShade="D9"/>
            <w:vAlign w:val="center"/>
          </w:tcPr>
          <w:p w14:paraId="58CEFAAE"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p>
        </w:tc>
      </w:tr>
      <w:tr w:rsidR="006E62E5" w:rsidRPr="000F0299" w14:paraId="2E6DE01B" w14:textId="77777777" w:rsidTr="009E21AC">
        <w:trPr>
          <w:trHeight w:val="274"/>
          <w:jc w:val="center"/>
        </w:trPr>
        <w:tc>
          <w:tcPr>
            <w:tcW w:w="2494" w:type="dxa"/>
            <w:vMerge w:val="restart"/>
          </w:tcPr>
          <w:p w14:paraId="50E20B76" w14:textId="77777777" w:rsidR="006E62E5" w:rsidRPr="000F0299" w:rsidRDefault="006E62E5" w:rsidP="006E109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44" w:type="dxa"/>
            <w:vAlign w:val="center"/>
          </w:tcPr>
          <w:p w14:paraId="0ADE7F78"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2021</w:t>
            </w:r>
          </w:p>
        </w:tc>
        <w:tc>
          <w:tcPr>
            <w:tcW w:w="644" w:type="dxa"/>
            <w:vAlign w:val="center"/>
          </w:tcPr>
          <w:p w14:paraId="14CCCAA8"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2022</w:t>
            </w:r>
          </w:p>
        </w:tc>
        <w:tc>
          <w:tcPr>
            <w:tcW w:w="644" w:type="dxa"/>
            <w:gridSpan w:val="2"/>
            <w:vAlign w:val="center"/>
          </w:tcPr>
          <w:p w14:paraId="0F873B04"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2023</w:t>
            </w:r>
          </w:p>
        </w:tc>
        <w:tc>
          <w:tcPr>
            <w:tcW w:w="643" w:type="dxa"/>
            <w:vAlign w:val="center"/>
          </w:tcPr>
          <w:p w14:paraId="51EFD3D5"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2024</w:t>
            </w:r>
          </w:p>
        </w:tc>
        <w:tc>
          <w:tcPr>
            <w:tcW w:w="644" w:type="dxa"/>
            <w:vAlign w:val="center"/>
          </w:tcPr>
          <w:p w14:paraId="789E61E0"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2025</w:t>
            </w:r>
          </w:p>
        </w:tc>
        <w:tc>
          <w:tcPr>
            <w:tcW w:w="643" w:type="dxa"/>
            <w:vAlign w:val="center"/>
          </w:tcPr>
          <w:p w14:paraId="6F1DC3DC"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2026</w:t>
            </w:r>
          </w:p>
        </w:tc>
        <w:tc>
          <w:tcPr>
            <w:tcW w:w="643" w:type="dxa"/>
            <w:vAlign w:val="center"/>
          </w:tcPr>
          <w:p w14:paraId="63EFC7EE"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2027</w:t>
            </w:r>
          </w:p>
        </w:tc>
        <w:tc>
          <w:tcPr>
            <w:tcW w:w="643" w:type="dxa"/>
            <w:gridSpan w:val="2"/>
            <w:vAlign w:val="center"/>
          </w:tcPr>
          <w:p w14:paraId="00D5DCCB"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2028</w:t>
            </w:r>
          </w:p>
        </w:tc>
        <w:tc>
          <w:tcPr>
            <w:tcW w:w="643" w:type="dxa"/>
            <w:vAlign w:val="center"/>
          </w:tcPr>
          <w:p w14:paraId="2783F75E"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2029</w:t>
            </w:r>
          </w:p>
        </w:tc>
        <w:tc>
          <w:tcPr>
            <w:tcW w:w="646" w:type="dxa"/>
            <w:vAlign w:val="center"/>
          </w:tcPr>
          <w:p w14:paraId="0CB59DA8"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2030</w:t>
            </w:r>
          </w:p>
        </w:tc>
      </w:tr>
      <w:tr w:rsidR="006E62E5" w:rsidRPr="000F0299" w14:paraId="21E490F5" w14:textId="77777777" w:rsidTr="009E21AC">
        <w:trPr>
          <w:trHeight w:val="160"/>
          <w:jc w:val="center"/>
        </w:trPr>
        <w:tc>
          <w:tcPr>
            <w:tcW w:w="2494" w:type="dxa"/>
            <w:vMerge/>
          </w:tcPr>
          <w:p w14:paraId="483B3221" w14:textId="77777777" w:rsidR="006E62E5" w:rsidRPr="000F0299" w:rsidRDefault="006E62E5" w:rsidP="006E109E">
            <w:pPr>
              <w:suppressAutoHyphens w:val="0"/>
              <w:autoSpaceDN/>
              <w:spacing w:before="0"/>
              <w:ind w:firstLine="0"/>
              <w:jc w:val="left"/>
              <w:textAlignment w:val="auto"/>
              <w:rPr>
                <w:rFonts w:eastAsiaTheme="minorHAnsi"/>
                <w:b/>
                <w:bCs/>
                <w:kern w:val="0"/>
                <w:sz w:val="20"/>
                <w:szCs w:val="20"/>
                <w:lang w:eastAsia="en-US" w:bidi="ar-SA"/>
              </w:rPr>
            </w:pPr>
          </w:p>
        </w:tc>
        <w:tc>
          <w:tcPr>
            <w:tcW w:w="644" w:type="dxa"/>
            <w:vAlign w:val="center"/>
          </w:tcPr>
          <w:p w14:paraId="21FEF4AB"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p>
        </w:tc>
        <w:tc>
          <w:tcPr>
            <w:tcW w:w="644" w:type="dxa"/>
            <w:vAlign w:val="center"/>
          </w:tcPr>
          <w:p w14:paraId="4CFD09A7"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p>
        </w:tc>
        <w:tc>
          <w:tcPr>
            <w:tcW w:w="644" w:type="dxa"/>
            <w:gridSpan w:val="2"/>
            <w:vAlign w:val="center"/>
          </w:tcPr>
          <w:p w14:paraId="22683B17"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p>
        </w:tc>
        <w:tc>
          <w:tcPr>
            <w:tcW w:w="643" w:type="dxa"/>
            <w:vAlign w:val="center"/>
          </w:tcPr>
          <w:p w14:paraId="13AF98A8"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p>
        </w:tc>
        <w:tc>
          <w:tcPr>
            <w:tcW w:w="644" w:type="dxa"/>
            <w:vAlign w:val="center"/>
          </w:tcPr>
          <w:p w14:paraId="52801A74" w14:textId="77777777" w:rsidR="006E62E5" w:rsidRPr="000F0299" w:rsidRDefault="006E62E5" w:rsidP="006E109E">
            <w:pPr>
              <w:suppressAutoHyphens w:val="0"/>
              <w:autoSpaceDN/>
              <w:spacing w:before="0"/>
              <w:ind w:firstLine="0"/>
              <w:jc w:val="left"/>
              <w:textAlignment w:val="auto"/>
              <w:rPr>
                <w:rFonts w:eastAsiaTheme="minorHAnsi"/>
                <w:i/>
                <w:kern w:val="0"/>
                <w:sz w:val="20"/>
                <w:szCs w:val="20"/>
                <w:lang w:eastAsia="en-US" w:bidi="ar-SA"/>
              </w:rPr>
            </w:pPr>
          </w:p>
        </w:tc>
        <w:tc>
          <w:tcPr>
            <w:tcW w:w="643" w:type="dxa"/>
            <w:vAlign w:val="center"/>
          </w:tcPr>
          <w:p w14:paraId="1783C18A"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p>
        </w:tc>
        <w:tc>
          <w:tcPr>
            <w:tcW w:w="643" w:type="dxa"/>
            <w:vAlign w:val="center"/>
          </w:tcPr>
          <w:p w14:paraId="34A4861A"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p>
        </w:tc>
        <w:tc>
          <w:tcPr>
            <w:tcW w:w="643" w:type="dxa"/>
            <w:gridSpan w:val="2"/>
            <w:vAlign w:val="center"/>
          </w:tcPr>
          <w:p w14:paraId="26B96B6A"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p>
        </w:tc>
        <w:tc>
          <w:tcPr>
            <w:tcW w:w="643" w:type="dxa"/>
            <w:vAlign w:val="center"/>
          </w:tcPr>
          <w:p w14:paraId="325A7E6D"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p>
        </w:tc>
        <w:tc>
          <w:tcPr>
            <w:tcW w:w="646" w:type="dxa"/>
            <w:vAlign w:val="center"/>
          </w:tcPr>
          <w:p w14:paraId="54B0E8EC" w14:textId="77777777" w:rsidR="006E62E5" w:rsidRPr="000F0299" w:rsidRDefault="006E62E5" w:rsidP="006E109E">
            <w:pPr>
              <w:suppressAutoHyphens w:val="0"/>
              <w:autoSpaceDN/>
              <w:spacing w:before="0"/>
              <w:ind w:firstLine="0"/>
              <w:jc w:val="center"/>
              <w:textAlignment w:val="auto"/>
              <w:rPr>
                <w:rFonts w:eastAsiaTheme="minorHAnsi"/>
                <w:i/>
                <w:kern w:val="0"/>
                <w:sz w:val="20"/>
                <w:szCs w:val="20"/>
                <w:lang w:eastAsia="en-US" w:bidi="ar-SA"/>
              </w:rPr>
            </w:pPr>
          </w:p>
        </w:tc>
      </w:tr>
      <w:tr w:rsidR="006E62E5" w:rsidRPr="000F0299" w14:paraId="0AA04084" w14:textId="77777777" w:rsidTr="009E21AC">
        <w:trPr>
          <w:trHeight w:val="160"/>
          <w:jc w:val="center"/>
        </w:trPr>
        <w:tc>
          <w:tcPr>
            <w:tcW w:w="2494" w:type="dxa"/>
          </w:tcPr>
          <w:p w14:paraId="5899DE12" w14:textId="77777777" w:rsidR="006E62E5" w:rsidRPr="000F0299" w:rsidRDefault="006E62E5" w:rsidP="006E109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437" w:type="dxa"/>
            <w:gridSpan w:val="12"/>
            <w:vAlign w:val="center"/>
          </w:tcPr>
          <w:p w14:paraId="21E934EE" w14:textId="77777777" w:rsidR="006E62E5" w:rsidRPr="000F0299" w:rsidRDefault="006E62E5" w:rsidP="006E109E">
            <w:pPr>
              <w:suppressAutoHyphens w:val="0"/>
              <w:autoSpaceDN/>
              <w:spacing w:before="0"/>
              <w:ind w:firstLine="0"/>
              <w:textAlignment w:val="auto"/>
              <w:rPr>
                <w:rFonts w:eastAsiaTheme="minorHAnsi"/>
                <w:i/>
                <w:kern w:val="0"/>
                <w:sz w:val="20"/>
                <w:szCs w:val="20"/>
                <w:lang w:eastAsia="en-US" w:bidi="ar-SA"/>
              </w:rPr>
            </w:pPr>
            <w:r w:rsidRPr="000F0299">
              <w:rPr>
                <w:rFonts w:eastAsiaTheme="minorHAnsi"/>
                <w:i/>
                <w:kern w:val="0"/>
                <w:sz w:val="20"/>
                <w:szCs w:val="20"/>
                <w:lang w:eastAsia="en-US" w:bidi="ar-SA"/>
              </w:rPr>
              <w:t>Навести који степен одступања од циљне вредности ће се вредновати као успех, како би ЈИС систем за планирање могао аутоматски да вреднује да ли је вредност испуњена и који је праг толеранције.</w:t>
            </w:r>
          </w:p>
        </w:tc>
      </w:tr>
    </w:tbl>
    <w:p w14:paraId="7955F539" w14:textId="77777777" w:rsidR="00626C5A" w:rsidRPr="000F0299" w:rsidRDefault="00626C5A" w:rsidP="006E62E5">
      <w:pPr>
        <w:ind w:firstLine="0"/>
      </w:pPr>
    </w:p>
    <w:p w14:paraId="55DF2CBD" w14:textId="77777777" w:rsidR="003F3312" w:rsidRPr="000F0299" w:rsidRDefault="003F3312" w:rsidP="00244E7C"/>
    <w:p w14:paraId="6DC44199" w14:textId="68BCFFBF" w:rsidR="003F3312" w:rsidRPr="000F0299" w:rsidRDefault="003F3312" w:rsidP="00244E7C">
      <w:r w:rsidRPr="000F0299">
        <w:br w:type="page"/>
      </w:r>
    </w:p>
    <w:p w14:paraId="04163745" w14:textId="78741706" w:rsidR="00672D9F" w:rsidRPr="000F0299" w:rsidRDefault="00AF7DC3" w:rsidP="00BE55B6">
      <w:pPr>
        <w:pStyle w:val="Heading2"/>
        <w:rPr>
          <w:lang w:val="sr-Cyrl-RS"/>
        </w:rPr>
      </w:pPr>
      <w:bookmarkStart w:id="315" w:name="_Toc57661512"/>
      <w:r w:rsidRPr="000F0299">
        <w:rPr>
          <w:lang w:val="sr-Cyrl-RS"/>
        </w:rPr>
        <w:t>Показатељ</w:t>
      </w:r>
      <w:r w:rsidR="00616FD0" w:rsidRPr="000F0299">
        <w:rPr>
          <w:lang w:val="sr-Cyrl-RS"/>
        </w:rPr>
        <w:t>и</w:t>
      </w:r>
      <w:r w:rsidRPr="000F0299">
        <w:rPr>
          <w:lang w:val="sr-Cyrl-RS"/>
        </w:rPr>
        <w:t xml:space="preserve"> учинка за о</w:t>
      </w:r>
      <w:r w:rsidR="00672D9F" w:rsidRPr="000F0299">
        <w:rPr>
          <w:lang w:val="sr-Cyrl-RS"/>
        </w:rPr>
        <w:t>пшти циљ</w:t>
      </w:r>
      <w:r w:rsidRPr="000F0299">
        <w:rPr>
          <w:lang w:val="sr-Cyrl-RS"/>
        </w:rPr>
        <w:t xml:space="preserve"> Стратегије РЈУ у Републици Србији</w:t>
      </w:r>
      <w:bookmarkEnd w:id="315"/>
    </w:p>
    <w:p w14:paraId="69D72DA7" w14:textId="79B6E6BA" w:rsidR="00C8125F" w:rsidRPr="000F0299" w:rsidRDefault="00731B68" w:rsidP="00BE55B6">
      <w:pPr>
        <w:ind w:firstLine="0"/>
        <w:rPr>
          <w:b/>
          <w:bCs/>
          <w:color w:val="2F5496" w:themeColor="accent1" w:themeShade="BF"/>
        </w:rPr>
      </w:pPr>
      <w:r w:rsidRPr="000F0299">
        <w:rPr>
          <w:b/>
          <w:bCs/>
          <w:color w:val="2F5496" w:themeColor="accent1" w:themeShade="BF"/>
        </w:rPr>
        <w:t xml:space="preserve">Показатељ </w:t>
      </w:r>
      <w:r w:rsidR="00D8637F" w:rsidRPr="000F0299">
        <w:rPr>
          <w:b/>
          <w:bCs/>
          <w:color w:val="2F5496" w:themeColor="accent1" w:themeShade="BF"/>
        </w:rPr>
        <w:t>1</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1"/>
        <w:gridCol w:w="764"/>
        <w:gridCol w:w="763"/>
        <w:gridCol w:w="229"/>
        <w:gridCol w:w="534"/>
        <w:gridCol w:w="763"/>
        <w:gridCol w:w="595"/>
        <w:gridCol w:w="171"/>
        <w:gridCol w:w="763"/>
        <w:gridCol w:w="763"/>
        <w:gridCol w:w="351"/>
        <w:gridCol w:w="413"/>
        <w:gridCol w:w="763"/>
        <w:gridCol w:w="763"/>
      </w:tblGrid>
      <w:tr w:rsidR="00D8637F" w:rsidRPr="000F0299" w14:paraId="52DF2CAF" w14:textId="77777777" w:rsidTr="00511166">
        <w:trPr>
          <w:trHeight w:val="555"/>
          <w:jc w:val="center"/>
        </w:trPr>
        <w:tc>
          <w:tcPr>
            <w:tcW w:w="839" w:type="pct"/>
            <w:shd w:val="clear" w:color="auto" w:fill="2F5496" w:themeFill="accent1" w:themeFillShade="BF"/>
          </w:tcPr>
          <w:p w14:paraId="358F3E83" w14:textId="77777777" w:rsidR="00D8637F" w:rsidRPr="000F0299" w:rsidRDefault="00D8637F" w:rsidP="00AC03F7">
            <w:pPr>
              <w:suppressAutoHyphens w:val="0"/>
              <w:autoSpaceDN/>
              <w:spacing w:before="0"/>
              <w:ind w:firstLine="0"/>
              <w:textAlignment w:val="auto"/>
              <w:rPr>
                <w:rFonts w:eastAsia="Calibri"/>
                <w:b/>
                <w:bCs/>
                <w:color w:val="FFFFFF" w:themeColor="background1"/>
                <w:kern w:val="0"/>
                <w:sz w:val="20"/>
                <w:szCs w:val="20"/>
                <w:lang w:eastAsia="en-US" w:bidi="ar-SA"/>
              </w:rPr>
            </w:pPr>
            <w:r w:rsidRPr="000F0299">
              <w:rPr>
                <w:rFonts w:eastAsia="Calibri"/>
                <w:b/>
                <w:bCs/>
                <w:color w:val="FFFFFF" w:themeColor="background1"/>
                <w:kern w:val="0"/>
                <w:sz w:val="20"/>
                <w:szCs w:val="20"/>
                <w:lang w:eastAsia="en-US" w:bidi="ar-SA"/>
              </w:rPr>
              <w:t>Назив показатеља</w:t>
            </w:r>
          </w:p>
        </w:tc>
        <w:tc>
          <w:tcPr>
            <w:tcW w:w="4161" w:type="pct"/>
            <w:gridSpan w:val="13"/>
            <w:shd w:val="clear" w:color="auto" w:fill="2F5496" w:themeFill="accent1" w:themeFillShade="BF"/>
            <w:vAlign w:val="center"/>
          </w:tcPr>
          <w:p w14:paraId="59CE1A98" w14:textId="4D45AE6B" w:rsidR="00D8637F" w:rsidRPr="000F0299" w:rsidRDefault="00D8637F" w:rsidP="00AC03F7">
            <w:pPr>
              <w:suppressAutoHyphens w:val="0"/>
              <w:autoSpaceDN/>
              <w:spacing w:before="0"/>
              <w:ind w:firstLine="0"/>
              <w:textAlignment w:val="auto"/>
              <w:rPr>
                <w:rFonts w:eastAsia="Calibri"/>
                <w:b/>
                <w:color w:val="FFFFFF" w:themeColor="background1"/>
                <w:kern w:val="0"/>
                <w:sz w:val="20"/>
                <w:szCs w:val="20"/>
                <w:lang w:eastAsia="en-US" w:bidi="ar-SA"/>
              </w:rPr>
            </w:pPr>
            <w:r w:rsidRPr="000F0299">
              <w:rPr>
                <w:rFonts w:eastAsia="Calibri"/>
                <w:b/>
                <w:color w:val="FFFFFF" w:themeColor="background1"/>
                <w:kern w:val="0"/>
                <w:sz w:val="20"/>
                <w:szCs w:val="20"/>
                <w:lang w:eastAsia="en-US" w:bidi="ar-SA"/>
              </w:rPr>
              <w:t>Делотворност власти (Светска банка) – перцентилни ранг (0–100)</w:t>
            </w:r>
          </w:p>
        </w:tc>
      </w:tr>
      <w:tr w:rsidR="00D8637F" w:rsidRPr="000F0299" w14:paraId="355D9F4B" w14:textId="77777777" w:rsidTr="00511166">
        <w:trPr>
          <w:trHeight w:val="331"/>
          <w:jc w:val="center"/>
        </w:trPr>
        <w:tc>
          <w:tcPr>
            <w:tcW w:w="839" w:type="pct"/>
            <w:shd w:val="clear" w:color="auto" w:fill="auto"/>
          </w:tcPr>
          <w:p w14:paraId="56C20BE4" w14:textId="77777777" w:rsidR="00D8637F" w:rsidRPr="000F0299" w:rsidRDefault="00D8637F" w:rsidP="00AC03F7">
            <w:pPr>
              <w:suppressAutoHyphens w:val="0"/>
              <w:autoSpaceDN/>
              <w:spacing w:before="0"/>
              <w:ind w:firstLine="0"/>
              <w:textAlignment w:val="auto"/>
              <w:rPr>
                <w:rFonts w:eastAsia="Calibri"/>
                <w:b/>
                <w:bCs/>
                <w:kern w:val="0"/>
                <w:sz w:val="20"/>
                <w:szCs w:val="20"/>
                <w:lang w:eastAsia="en-US" w:bidi="ar-SA"/>
              </w:rPr>
            </w:pPr>
            <w:r w:rsidRPr="000F0299">
              <w:rPr>
                <w:rFonts w:eastAsia="Calibri"/>
                <w:b/>
                <w:bCs/>
                <w:kern w:val="0"/>
                <w:sz w:val="20"/>
                <w:szCs w:val="20"/>
                <w:lang w:eastAsia="en-US" w:bidi="ar-SA"/>
              </w:rPr>
              <w:t>Одговарајући општи, посебни циљ или мера</w:t>
            </w:r>
          </w:p>
        </w:tc>
        <w:tc>
          <w:tcPr>
            <w:tcW w:w="4161" w:type="pct"/>
            <w:gridSpan w:val="13"/>
            <w:shd w:val="clear" w:color="auto" w:fill="auto"/>
          </w:tcPr>
          <w:p w14:paraId="0CBC783E" w14:textId="24538D55" w:rsidR="00D8637F" w:rsidRPr="000F0299" w:rsidRDefault="00D8637F" w:rsidP="00AC03F7">
            <w:pPr>
              <w:suppressAutoHyphens w:val="0"/>
              <w:autoSpaceDN/>
              <w:spacing w:before="0"/>
              <w:ind w:firstLine="0"/>
              <w:textAlignment w:val="auto"/>
              <w:rPr>
                <w:rFonts w:eastAsia="Calibri"/>
                <w:kern w:val="0"/>
                <w:sz w:val="20"/>
                <w:szCs w:val="20"/>
                <w:lang w:eastAsia="en-US" w:bidi="ar-SA"/>
              </w:rPr>
            </w:pPr>
            <w:r w:rsidRPr="000F0299">
              <w:rPr>
                <w:rFonts w:eastAsia="Calibri"/>
                <w:b/>
                <w:bCs/>
                <w:kern w:val="0"/>
                <w:sz w:val="20"/>
                <w:szCs w:val="20"/>
                <w:lang w:eastAsia="en-US" w:bidi="ar-SA"/>
              </w:rPr>
              <w:t>Општи циљ 1:</w:t>
            </w:r>
            <w:r w:rsidRPr="000F0299">
              <w:rPr>
                <w:rFonts w:eastAsia="Calibri"/>
                <w:kern w:val="0"/>
                <w:sz w:val="20"/>
                <w:szCs w:val="20"/>
                <w:lang w:eastAsia="en-US" w:bidi="ar-SA"/>
              </w:rPr>
              <w:t xml:space="preserve"> Даље побољшање рада јавне управе и квалитета креирања јавних политика у складу са европским Принципима јавне управе и обезбеђивање високог квалитета услуга грађанима и привредним субјектима, као и професионалне јавне управе која ће значајно допринети економској стабилности и повећању животног стандарда.</w:t>
            </w:r>
          </w:p>
        </w:tc>
      </w:tr>
      <w:tr w:rsidR="006E109E" w:rsidRPr="000F0299" w14:paraId="4EFE1674" w14:textId="77777777" w:rsidTr="006E109E">
        <w:trPr>
          <w:trHeight w:val="309"/>
          <w:jc w:val="center"/>
        </w:trPr>
        <w:tc>
          <w:tcPr>
            <w:tcW w:w="839" w:type="pct"/>
            <w:shd w:val="clear" w:color="auto" w:fill="auto"/>
          </w:tcPr>
          <w:p w14:paraId="63B4BFA2" w14:textId="77777777" w:rsidR="006E109E" w:rsidRPr="000F0299" w:rsidRDefault="006E109E" w:rsidP="00AC03F7">
            <w:pPr>
              <w:suppressAutoHyphens w:val="0"/>
              <w:autoSpaceDN/>
              <w:spacing w:before="0"/>
              <w:ind w:firstLine="0"/>
              <w:textAlignment w:val="auto"/>
              <w:rPr>
                <w:rFonts w:eastAsia="Calibri"/>
                <w:b/>
                <w:bCs/>
                <w:kern w:val="0"/>
                <w:sz w:val="20"/>
                <w:szCs w:val="20"/>
                <w:lang w:eastAsia="en-US" w:bidi="ar-SA"/>
              </w:rPr>
            </w:pPr>
            <w:r w:rsidRPr="000F0299">
              <w:rPr>
                <w:rFonts w:eastAsia="Calibri"/>
                <w:b/>
                <w:kern w:val="24"/>
                <w:sz w:val="20"/>
                <w:szCs w:val="20"/>
                <w:lang w:eastAsia="en-US" w:bidi="ar-SA"/>
              </w:rPr>
              <w:t>Тип и ниво показатеља</w:t>
            </w:r>
          </w:p>
        </w:tc>
        <w:tc>
          <w:tcPr>
            <w:tcW w:w="2081" w:type="pct"/>
            <w:gridSpan w:val="7"/>
            <w:shd w:val="clear" w:color="auto" w:fill="auto"/>
            <w:vAlign w:val="center"/>
          </w:tcPr>
          <w:p w14:paraId="0FB01111" w14:textId="77777777" w:rsidR="006E109E" w:rsidRPr="000F0299" w:rsidRDefault="006E109E" w:rsidP="00AC03F7">
            <w:pPr>
              <w:tabs>
                <w:tab w:val="left" w:pos="182"/>
              </w:tabs>
              <w:suppressAutoHyphens w:val="0"/>
              <w:autoSpaceDN/>
              <w:spacing w:before="0"/>
              <w:ind w:firstLine="0"/>
              <w:textAlignment w:val="auto"/>
              <w:rPr>
                <w:rFonts w:eastAsia="Calibri"/>
                <w:bCs/>
                <w:kern w:val="24"/>
                <w:sz w:val="20"/>
                <w:szCs w:val="20"/>
                <w:lang w:eastAsia="en-US" w:bidi="ar-SA"/>
              </w:rPr>
            </w:pPr>
            <w:r w:rsidRPr="000F0299">
              <w:rPr>
                <w:rFonts w:eastAsia="Calibri"/>
                <w:bCs/>
                <w:kern w:val="24"/>
                <w:sz w:val="20"/>
                <w:szCs w:val="20"/>
                <w:lang w:eastAsia="en-US" w:bidi="ar-SA"/>
              </w:rPr>
              <w:t xml:space="preserve">Квалитативан показатељ </w:t>
            </w:r>
          </w:p>
        </w:tc>
        <w:tc>
          <w:tcPr>
            <w:tcW w:w="2080" w:type="pct"/>
            <w:gridSpan w:val="6"/>
            <w:shd w:val="clear" w:color="auto" w:fill="auto"/>
            <w:vAlign w:val="center"/>
          </w:tcPr>
          <w:p w14:paraId="392802BE" w14:textId="3D696763" w:rsidR="006E109E" w:rsidRPr="000F0299" w:rsidRDefault="006E109E" w:rsidP="00AC03F7">
            <w:pPr>
              <w:tabs>
                <w:tab w:val="left" w:pos="182"/>
              </w:tabs>
              <w:suppressAutoHyphens w:val="0"/>
              <w:autoSpaceDN/>
              <w:spacing w:before="0"/>
              <w:ind w:firstLine="0"/>
              <w:textAlignment w:val="auto"/>
              <w:rPr>
                <w:rFonts w:eastAsia="Calibri"/>
                <w:bCs/>
                <w:kern w:val="24"/>
                <w:sz w:val="20"/>
                <w:szCs w:val="20"/>
                <w:lang w:eastAsia="en-US" w:bidi="ar-SA"/>
              </w:rPr>
            </w:pPr>
            <w:r w:rsidRPr="000F0299">
              <w:rPr>
                <w:rFonts w:eastAsia="Calibri"/>
                <w:bCs/>
                <w:kern w:val="24"/>
                <w:sz w:val="20"/>
                <w:szCs w:val="20"/>
                <w:lang w:eastAsia="en-US" w:bidi="ar-SA"/>
              </w:rPr>
              <w:t>Показатељ ефекта</w:t>
            </w:r>
          </w:p>
        </w:tc>
      </w:tr>
      <w:tr w:rsidR="006E109E" w:rsidRPr="000F0299" w14:paraId="6775695A" w14:textId="77777777" w:rsidTr="006E109E">
        <w:trPr>
          <w:trHeight w:val="356"/>
          <w:jc w:val="center"/>
        </w:trPr>
        <w:tc>
          <w:tcPr>
            <w:tcW w:w="839" w:type="pct"/>
            <w:shd w:val="clear" w:color="auto" w:fill="auto"/>
          </w:tcPr>
          <w:p w14:paraId="04B03B68" w14:textId="77777777" w:rsidR="006E109E" w:rsidRPr="000F0299" w:rsidRDefault="006E109E" w:rsidP="00AC03F7">
            <w:pPr>
              <w:suppressAutoHyphens w:val="0"/>
              <w:autoSpaceDN/>
              <w:spacing w:before="0"/>
              <w:ind w:firstLine="0"/>
              <w:textAlignment w:val="auto"/>
              <w:rPr>
                <w:rFonts w:eastAsia="Calibri"/>
                <w:b/>
                <w:kern w:val="24"/>
                <w:sz w:val="20"/>
                <w:szCs w:val="20"/>
                <w:lang w:eastAsia="en-US" w:bidi="ar-SA"/>
              </w:rPr>
            </w:pPr>
            <w:r w:rsidRPr="000F0299">
              <w:rPr>
                <w:rFonts w:eastAsia="Calibri"/>
                <w:b/>
                <w:kern w:val="24"/>
                <w:sz w:val="20"/>
                <w:szCs w:val="20"/>
                <w:lang w:eastAsia="en-US" w:bidi="ar-SA"/>
              </w:rPr>
              <w:t>Јединица мере и природа</w:t>
            </w:r>
          </w:p>
        </w:tc>
        <w:tc>
          <w:tcPr>
            <w:tcW w:w="2080" w:type="pct"/>
            <w:gridSpan w:val="7"/>
            <w:shd w:val="clear" w:color="auto" w:fill="auto"/>
            <w:vAlign w:val="center"/>
          </w:tcPr>
          <w:p w14:paraId="6195C28F" w14:textId="77777777" w:rsidR="006E109E" w:rsidRPr="000F0299" w:rsidRDefault="006E109E" w:rsidP="00AC03F7">
            <w:pPr>
              <w:tabs>
                <w:tab w:val="left" w:pos="182"/>
              </w:tabs>
              <w:suppressAutoHyphens w:val="0"/>
              <w:autoSpaceDN/>
              <w:spacing w:before="0"/>
              <w:ind w:firstLine="0"/>
              <w:textAlignment w:val="auto"/>
              <w:rPr>
                <w:rFonts w:eastAsia="Calibri"/>
                <w:bCs/>
                <w:kern w:val="24"/>
                <w:sz w:val="20"/>
                <w:szCs w:val="20"/>
                <w:lang w:eastAsia="en-US" w:bidi="ar-SA"/>
              </w:rPr>
            </w:pPr>
            <w:r w:rsidRPr="000F0299">
              <w:rPr>
                <w:rFonts w:eastAsia="Calibri"/>
                <w:bCs/>
                <w:kern w:val="24"/>
                <w:sz w:val="20"/>
                <w:szCs w:val="20"/>
                <w:lang w:eastAsia="en-US" w:bidi="ar-SA"/>
              </w:rPr>
              <w:t>%</w:t>
            </w:r>
          </w:p>
        </w:tc>
        <w:tc>
          <w:tcPr>
            <w:tcW w:w="2081" w:type="pct"/>
            <w:gridSpan w:val="6"/>
            <w:shd w:val="clear" w:color="auto" w:fill="auto"/>
            <w:vAlign w:val="center"/>
          </w:tcPr>
          <w:p w14:paraId="777F3DDE" w14:textId="67707DC4" w:rsidR="006E109E" w:rsidRPr="000F0299" w:rsidRDefault="006E109E" w:rsidP="00AC03F7">
            <w:pPr>
              <w:tabs>
                <w:tab w:val="left" w:pos="182"/>
              </w:tabs>
              <w:suppressAutoHyphens w:val="0"/>
              <w:autoSpaceDN/>
              <w:spacing w:before="0"/>
              <w:ind w:firstLine="0"/>
              <w:textAlignment w:val="auto"/>
              <w:rPr>
                <w:rFonts w:eastAsia="Calibri"/>
                <w:bCs/>
                <w:kern w:val="24"/>
                <w:sz w:val="20"/>
                <w:szCs w:val="20"/>
                <w:lang w:eastAsia="en-US" w:bidi="ar-SA"/>
              </w:rPr>
            </w:pPr>
            <w:r w:rsidRPr="000F0299">
              <w:rPr>
                <w:rFonts w:eastAsia="Calibri"/>
                <w:bCs/>
                <w:kern w:val="24"/>
                <w:sz w:val="20"/>
                <w:szCs w:val="20"/>
                <w:lang w:eastAsia="en-US" w:bidi="ar-SA"/>
              </w:rPr>
              <w:t>Пожељна је виша вредност</w:t>
            </w:r>
          </w:p>
        </w:tc>
      </w:tr>
      <w:tr w:rsidR="00D8637F" w:rsidRPr="000F0299" w14:paraId="643F89BC" w14:textId="77777777" w:rsidTr="00511166">
        <w:trPr>
          <w:trHeight w:val="715"/>
          <w:jc w:val="center"/>
        </w:trPr>
        <w:tc>
          <w:tcPr>
            <w:tcW w:w="839" w:type="pct"/>
            <w:shd w:val="clear" w:color="auto" w:fill="auto"/>
          </w:tcPr>
          <w:p w14:paraId="1E579DB4" w14:textId="77777777" w:rsidR="00D8637F" w:rsidRPr="000F0299" w:rsidRDefault="00D8637F" w:rsidP="00AC03F7">
            <w:pPr>
              <w:suppressAutoHyphens w:val="0"/>
              <w:autoSpaceDN/>
              <w:spacing w:before="0"/>
              <w:ind w:firstLine="0"/>
              <w:textAlignment w:val="auto"/>
              <w:rPr>
                <w:rFonts w:eastAsia="Calibri"/>
                <w:b/>
                <w:bCs/>
                <w:kern w:val="0"/>
                <w:sz w:val="20"/>
                <w:szCs w:val="20"/>
                <w:lang w:eastAsia="en-US" w:bidi="ar-SA"/>
              </w:rPr>
            </w:pPr>
            <w:r w:rsidRPr="000F0299">
              <w:rPr>
                <w:rFonts w:eastAsia="Calibri"/>
                <w:b/>
                <w:bCs/>
                <w:kern w:val="0"/>
                <w:sz w:val="20"/>
                <w:szCs w:val="20"/>
                <w:lang w:eastAsia="en-US" w:bidi="ar-SA"/>
              </w:rPr>
              <w:t>Извор података за праћење показатеља учинка</w:t>
            </w:r>
          </w:p>
        </w:tc>
        <w:tc>
          <w:tcPr>
            <w:tcW w:w="4161" w:type="pct"/>
            <w:gridSpan w:val="13"/>
            <w:shd w:val="clear" w:color="auto" w:fill="auto"/>
          </w:tcPr>
          <w:p w14:paraId="2249CD79" w14:textId="77777777" w:rsidR="00D8637F" w:rsidRPr="000F0299" w:rsidRDefault="00D8637F" w:rsidP="00AC03F7">
            <w:pPr>
              <w:ind w:firstLine="0"/>
              <w:rPr>
                <w:rFonts w:eastAsia="Calibri"/>
                <w:sz w:val="20"/>
                <w:szCs w:val="20"/>
                <w:lang w:eastAsia="en-US" w:bidi="ar-SA"/>
              </w:rPr>
            </w:pPr>
            <w:r w:rsidRPr="000F0299">
              <w:rPr>
                <w:rFonts w:eastAsia="Calibri"/>
                <w:sz w:val="20"/>
                <w:szCs w:val="20"/>
                <w:lang w:eastAsia="en-US" w:bidi="ar-SA"/>
              </w:rPr>
              <w:t xml:space="preserve">Светска банка, </w:t>
            </w:r>
            <w:hyperlink r:id="rId193" w:history="1">
              <w:r w:rsidRPr="000F0299">
                <w:rPr>
                  <w:rFonts w:eastAsia="Times New Roman"/>
                  <w:color w:val="0000FF"/>
                  <w:sz w:val="20"/>
                  <w:szCs w:val="20"/>
                  <w:u w:val="single"/>
                  <w:lang w:eastAsia="en-US" w:bidi="ar-SA"/>
                </w:rPr>
                <w:t>https://info.worldbank.org/governance/wgi/Home/Documents</w:t>
              </w:r>
            </w:hyperlink>
          </w:p>
          <w:p w14:paraId="045C4E96" w14:textId="77777777" w:rsidR="00D8637F" w:rsidRPr="000F0299" w:rsidRDefault="00D8637F" w:rsidP="00AC03F7">
            <w:pPr>
              <w:ind w:firstLine="0"/>
              <w:rPr>
                <w:rFonts w:eastAsia="Calibri"/>
                <w:lang w:eastAsia="en-US" w:bidi="ar-SA"/>
              </w:rPr>
            </w:pPr>
            <w:r w:rsidRPr="000F0299">
              <w:rPr>
                <w:rFonts w:eastAsia="Calibri"/>
                <w:sz w:val="20"/>
                <w:szCs w:val="20"/>
                <w:lang w:eastAsia="en-US" w:bidi="ar-SA"/>
              </w:rPr>
              <w:t>Међународно упоредив показатељ</w:t>
            </w:r>
          </w:p>
        </w:tc>
      </w:tr>
      <w:tr w:rsidR="00D8637F" w:rsidRPr="000F0299" w14:paraId="1EF2352E" w14:textId="77777777" w:rsidTr="00511166">
        <w:trPr>
          <w:trHeight w:val="512"/>
          <w:jc w:val="center"/>
        </w:trPr>
        <w:tc>
          <w:tcPr>
            <w:tcW w:w="839" w:type="pct"/>
            <w:shd w:val="clear" w:color="auto" w:fill="auto"/>
          </w:tcPr>
          <w:p w14:paraId="7493E8CE" w14:textId="77777777" w:rsidR="00D8637F" w:rsidRPr="000F0299" w:rsidRDefault="00D8637F" w:rsidP="00AC03F7">
            <w:pPr>
              <w:suppressAutoHyphens w:val="0"/>
              <w:autoSpaceDN/>
              <w:spacing w:before="0"/>
              <w:ind w:firstLine="0"/>
              <w:textAlignment w:val="auto"/>
              <w:rPr>
                <w:rFonts w:eastAsia="Calibri"/>
                <w:b/>
                <w:bCs/>
                <w:kern w:val="0"/>
                <w:sz w:val="20"/>
                <w:szCs w:val="20"/>
                <w:lang w:eastAsia="en-US" w:bidi="ar-SA"/>
              </w:rPr>
            </w:pPr>
            <w:r w:rsidRPr="000F0299">
              <w:rPr>
                <w:rFonts w:eastAsia="Calibri"/>
                <w:b/>
                <w:bCs/>
                <w:kern w:val="0"/>
                <w:sz w:val="20"/>
                <w:szCs w:val="20"/>
                <w:lang w:eastAsia="en-US" w:bidi="ar-SA"/>
              </w:rPr>
              <w:t>Назив носиоца прикупљања података</w:t>
            </w:r>
          </w:p>
        </w:tc>
        <w:tc>
          <w:tcPr>
            <w:tcW w:w="4161" w:type="pct"/>
            <w:gridSpan w:val="13"/>
            <w:shd w:val="clear" w:color="auto" w:fill="auto"/>
          </w:tcPr>
          <w:p w14:paraId="1BA835E1" w14:textId="77777777" w:rsidR="007845D2" w:rsidRPr="007845D2" w:rsidRDefault="007845D2" w:rsidP="007845D2">
            <w:pPr>
              <w:spacing w:before="0" w:after="0"/>
              <w:ind w:firstLine="0"/>
              <w:rPr>
                <w:sz w:val="20"/>
                <w:szCs w:val="20"/>
                <w:lang w:val="sr-Cyrl-CS"/>
              </w:rPr>
            </w:pPr>
            <w:r w:rsidRPr="007845D2">
              <w:rPr>
                <w:sz w:val="20"/>
                <w:szCs w:val="20"/>
                <w:lang w:val="sr-Cyrl-CS"/>
              </w:rPr>
              <w:t>Подаци се прикупљају на међународном нивоу, а Министарство државне управе и локалне самоуправе – јединица надлежна за спровођење РЈУ, преузима податке.</w:t>
            </w:r>
          </w:p>
          <w:p w14:paraId="3FAE5B52" w14:textId="4093901F" w:rsidR="00D8637F" w:rsidRPr="000F0299" w:rsidRDefault="00D8637F" w:rsidP="007845D2">
            <w:pPr>
              <w:suppressAutoHyphens w:val="0"/>
              <w:autoSpaceDN/>
              <w:spacing w:before="0" w:after="0"/>
              <w:ind w:firstLine="0"/>
              <w:textAlignment w:val="auto"/>
              <w:rPr>
                <w:rFonts w:eastAsia="Calibri"/>
                <w:kern w:val="0"/>
                <w:sz w:val="20"/>
                <w:szCs w:val="20"/>
                <w:lang w:eastAsia="en-US" w:bidi="ar-SA"/>
              </w:rPr>
            </w:pPr>
          </w:p>
        </w:tc>
      </w:tr>
      <w:tr w:rsidR="00D8637F" w:rsidRPr="000F0299" w14:paraId="746B05AF" w14:textId="77777777" w:rsidTr="00511166">
        <w:trPr>
          <w:trHeight w:val="512"/>
          <w:jc w:val="center"/>
        </w:trPr>
        <w:tc>
          <w:tcPr>
            <w:tcW w:w="839" w:type="pct"/>
            <w:shd w:val="clear" w:color="auto" w:fill="auto"/>
          </w:tcPr>
          <w:p w14:paraId="4CEED7C3" w14:textId="77777777" w:rsidR="00D8637F" w:rsidRPr="000F0299" w:rsidRDefault="00D8637F" w:rsidP="00AC03F7">
            <w:pPr>
              <w:suppressAutoHyphens w:val="0"/>
              <w:autoSpaceDN/>
              <w:spacing w:before="0"/>
              <w:ind w:firstLine="0"/>
              <w:textAlignment w:val="auto"/>
              <w:rPr>
                <w:rFonts w:eastAsia="Calibri"/>
                <w:b/>
                <w:bCs/>
                <w:kern w:val="0"/>
                <w:sz w:val="20"/>
                <w:szCs w:val="20"/>
                <w:lang w:eastAsia="en-US" w:bidi="ar-SA"/>
              </w:rPr>
            </w:pPr>
            <w:r w:rsidRPr="000F0299">
              <w:rPr>
                <w:rFonts w:eastAsia="Calibri"/>
                <w:b/>
                <w:bCs/>
                <w:kern w:val="0"/>
                <w:sz w:val="20"/>
                <w:szCs w:val="20"/>
                <w:lang w:eastAsia="en-US" w:bidi="ar-SA"/>
              </w:rPr>
              <w:t>Учесталост прикупљања података</w:t>
            </w:r>
          </w:p>
        </w:tc>
        <w:tc>
          <w:tcPr>
            <w:tcW w:w="4161" w:type="pct"/>
            <w:gridSpan w:val="13"/>
            <w:shd w:val="clear" w:color="auto" w:fill="auto"/>
          </w:tcPr>
          <w:p w14:paraId="7CA35B1C" w14:textId="77777777" w:rsidR="00F6402A" w:rsidRDefault="007845D2" w:rsidP="00F6402A">
            <w:pPr>
              <w:tabs>
                <w:tab w:val="right" w:pos="2548"/>
              </w:tabs>
              <w:suppressAutoHyphens w:val="0"/>
              <w:autoSpaceDN/>
              <w:spacing w:before="0"/>
              <w:ind w:firstLine="0"/>
              <w:textAlignment w:val="auto"/>
              <w:rPr>
                <w:sz w:val="20"/>
                <w:szCs w:val="20"/>
                <w:lang w:val="sr-Cyrl-CS"/>
              </w:rPr>
            </w:pPr>
            <w:r w:rsidRPr="007845D2">
              <w:rPr>
                <w:sz w:val="20"/>
                <w:szCs w:val="20"/>
              </w:rPr>
              <w:t>Једном годишње</w:t>
            </w:r>
            <w:r w:rsidRPr="007845D2">
              <w:rPr>
                <w:sz w:val="20"/>
                <w:szCs w:val="20"/>
                <w:lang w:val="sr-Latn-CS"/>
              </w:rPr>
              <w:t xml:space="preserve">, </w:t>
            </w:r>
            <w:r w:rsidRPr="007845D2">
              <w:rPr>
                <w:sz w:val="20"/>
                <w:szCs w:val="20"/>
                <w:lang w:val="sr-Cyrl-CS"/>
              </w:rPr>
              <w:t xml:space="preserve">до краја септембра. </w:t>
            </w:r>
          </w:p>
          <w:p w14:paraId="5F4BA7A3" w14:textId="21EB4C51" w:rsidR="00D8637F" w:rsidRPr="007845D2" w:rsidRDefault="007845D2" w:rsidP="00F6402A">
            <w:pPr>
              <w:tabs>
                <w:tab w:val="right" w:pos="2548"/>
              </w:tabs>
              <w:suppressAutoHyphens w:val="0"/>
              <w:autoSpaceDN/>
              <w:spacing w:before="0"/>
              <w:ind w:firstLine="0"/>
              <w:textAlignment w:val="auto"/>
              <w:rPr>
                <w:rFonts w:eastAsia="Calibri"/>
                <w:bCs/>
                <w:kern w:val="0"/>
                <w:sz w:val="20"/>
                <w:szCs w:val="20"/>
                <w:lang w:val="sr-Cyrl-CS" w:eastAsia="en-US" w:bidi="ar-SA"/>
              </w:rPr>
            </w:pPr>
            <w:r w:rsidRPr="007845D2">
              <w:rPr>
                <w:sz w:val="20"/>
                <w:szCs w:val="20"/>
                <w:lang w:val="sr-Cyrl-CS"/>
              </w:rPr>
              <w:t xml:space="preserve">Подаци се објављују </w:t>
            </w:r>
            <w:r w:rsidR="00F6402A" w:rsidRPr="007845D2">
              <w:rPr>
                <w:sz w:val="20"/>
                <w:szCs w:val="20"/>
                <w:lang w:val="sr-Cyrl-CS"/>
              </w:rPr>
              <w:t xml:space="preserve">на сајту Светске банке сваке године </w:t>
            </w:r>
            <w:r w:rsidRPr="007845D2">
              <w:rPr>
                <w:sz w:val="20"/>
                <w:szCs w:val="20"/>
                <w:lang w:val="sr-Cyrl-CS"/>
              </w:rPr>
              <w:t>у септембру</w:t>
            </w:r>
            <w:r w:rsidR="00F6402A" w:rsidRPr="00F6402A">
              <w:rPr>
                <w:sz w:val="20"/>
                <w:szCs w:val="20"/>
                <w:lang w:val="sr-Cyrl-CS"/>
              </w:rPr>
              <w:t xml:space="preserve">, </w:t>
            </w:r>
            <w:r w:rsidRPr="007845D2">
              <w:rPr>
                <w:sz w:val="20"/>
                <w:szCs w:val="20"/>
                <w:lang w:val="sr-Cyrl-CS"/>
              </w:rPr>
              <w:t xml:space="preserve"> </w:t>
            </w:r>
            <w:r w:rsidR="00F6402A" w:rsidRPr="00F6402A">
              <w:rPr>
                <w:sz w:val="20"/>
                <w:szCs w:val="20"/>
                <w:lang w:val="ru-RU"/>
              </w:rPr>
              <w:t xml:space="preserve">са обрађеним подацима </w:t>
            </w:r>
            <w:r w:rsidR="00F6402A" w:rsidRPr="00F6402A">
              <w:rPr>
                <w:bCs/>
                <w:sz w:val="20"/>
                <w:szCs w:val="20"/>
                <w:lang w:val="ru-RU"/>
              </w:rPr>
              <w:t>за претходну годину</w:t>
            </w:r>
            <w:r w:rsidR="00F6402A" w:rsidRPr="00F6402A">
              <w:rPr>
                <w:bCs/>
                <w:sz w:val="20"/>
                <w:szCs w:val="20"/>
                <w:lang w:val="sr-Cyrl-CS"/>
              </w:rPr>
              <w:t xml:space="preserve">: </w:t>
            </w:r>
            <w:hyperlink r:id="rId194" w:history="1">
              <w:r w:rsidRPr="007845D2">
                <w:rPr>
                  <w:rStyle w:val="Hyperlink"/>
                  <w:sz w:val="20"/>
                  <w:szCs w:val="20"/>
                  <w:lang w:val="sr-Latn-CS"/>
                </w:rPr>
                <w:t>http://info.worldbank.org/governance/wgi/index.aspx#home</w:t>
              </w:r>
            </w:hyperlink>
            <w:r w:rsidR="00F6402A">
              <w:rPr>
                <w:rStyle w:val="Hyperlink"/>
                <w:sz w:val="20"/>
                <w:szCs w:val="20"/>
                <w:lang w:val="sr-Latn-CS"/>
              </w:rPr>
              <w:t xml:space="preserve"> </w:t>
            </w:r>
          </w:p>
        </w:tc>
      </w:tr>
      <w:tr w:rsidR="00D8637F" w:rsidRPr="000F0299" w14:paraId="624778FC" w14:textId="77777777" w:rsidTr="00511166">
        <w:trPr>
          <w:trHeight w:val="512"/>
          <w:jc w:val="center"/>
        </w:trPr>
        <w:tc>
          <w:tcPr>
            <w:tcW w:w="839" w:type="pct"/>
            <w:shd w:val="clear" w:color="auto" w:fill="auto"/>
          </w:tcPr>
          <w:p w14:paraId="48C609E1" w14:textId="77777777" w:rsidR="00D8637F" w:rsidRPr="000F0299" w:rsidRDefault="00D8637F" w:rsidP="00AC03F7">
            <w:pPr>
              <w:suppressAutoHyphens w:val="0"/>
              <w:autoSpaceDN/>
              <w:spacing w:before="0"/>
              <w:ind w:firstLine="0"/>
              <w:textAlignment w:val="auto"/>
              <w:rPr>
                <w:rFonts w:eastAsia="Calibri"/>
                <w:b/>
                <w:bCs/>
                <w:kern w:val="0"/>
                <w:sz w:val="20"/>
                <w:szCs w:val="20"/>
                <w:lang w:eastAsia="en-US" w:bidi="ar-SA"/>
              </w:rPr>
            </w:pPr>
            <w:r w:rsidRPr="000F0299">
              <w:rPr>
                <w:rFonts w:eastAsia="Calibri"/>
                <w:b/>
                <w:kern w:val="0"/>
                <w:sz w:val="20"/>
                <w:szCs w:val="20"/>
                <w:lang w:eastAsia="en-US" w:bidi="ar-SA"/>
              </w:rPr>
              <w:t>Кратак опис показатеља и методологије израчунавања</w:t>
            </w:r>
          </w:p>
        </w:tc>
        <w:tc>
          <w:tcPr>
            <w:tcW w:w="4161" w:type="pct"/>
            <w:gridSpan w:val="13"/>
            <w:shd w:val="clear" w:color="auto" w:fill="auto"/>
          </w:tcPr>
          <w:p w14:paraId="7075C797" w14:textId="7CC4A9F7" w:rsidR="00D8637F" w:rsidRPr="000F0299" w:rsidRDefault="00D8637F" w:rsidP="00AC03F7">
            <w:pPr>
              <w:shd w:val="clear" w:color="auto" w:fill="FFFFFF"/>
              <w:suppressAutoHyphens w:val="0"/>
              <w:autoSpaceDN/>
              <w:spacing w:before="0"/>
              <w:ind w:firstLine="0"/>
              <w:textAlignment w:val="auto"/>
              <w:rPr>
                <w:rFonts w:eastAsia="Times New Roman"/>
                <w:kern w:val="0"/>
                <w:sz w:val="20"/>
                <w:szCs w:val="20"/>
                <w:lang w:eastAsia="en-US" w:bidi="ar-SA"/>
              </w:rPr>
            </w:pPr>
            <w:r w:rsidRPr="000F0299">
              <w:rPr>
                <w:rFonts w:eastAsia="Times New Roman"/>
                <w:kern w:val="0"/>
                <w:sz w:val="20"/>
                <w:szCs w:val="20"/>
                <w:lang w:eastAsia="en-US" w:bidi="ar-SA"/>
              </w:rPr>
              <w:t xml:space="preserve">WGI - </w:t>
            </w:r>
            <w:r w:rsidRPr="000F0299">
              <w:rPr>
                <w:rFonts w:eastAsia="Times New Roman"/>
                <w:i/>
                <w:kern w:val="0"/>
                <w:sz w:val="20"/>
                <w:szCs w:val="20"/>
                <w:lang w:eastAsia="en-US" w:bidi="ar-SA"/>
              </w:rPr>
              <w:t>Worldwide Governance Indicators</w:t>
            </w:r>
            <w:r w:rsidRPr="000F0299">
              <w:rPr>
                <w:rFonts w:eastAsia="Times New Roman"/>
                <w:kern w:val="0"/>
                <w:sz w:val="20"/>
                <w:szCs w:val="20"/>
                <w:lang w:eastAsia="en-US" w:bidi="ar-SA"/>
              </w:rPr>
              <w:t xml:space="preserve"> извештавају о шест димензија у вези са добром власти. То су Гласност и Одговорност, политичка стабилност и о</w:t>
            </w:r>
            <w:r w:rsidR="00F6402A">
              <w:rPr>
                <w:rFonts w:eastAsia="Times New Roman"/>
                <w:kern w:val="0"/>
                <w:sz w:val="20"/>
                <w:szCs w:val="20"/>
                <w:lang w:eastAsia="en-US" w:bidi="ar-SA"/>
              </w:rPr>
              <w:t>дсуство насиља, делотворност вла</w:t>
            </w:r>
            <w:r w:rsidRPr="000F0299">
              <w:rPr>
                <w:rFonts w:eastAsia="Times New Roman"/>
                <w:kern w:val="0"/>
                <w:sz w:val="20"/>
                <w:szCs w:val="20"/>
                <w:lang w:eastAsia="en-US" w:bidi="ar-SA"/>
              </w:rPr>
              <w:t>сти, регулаторни квалитет, владавина права и контрола корупције.</w:t>
            </w:r>
          </w:p>
          <w:p w14:paraId="772E9117" w14:textId="77777777" w:rsidR="00D8637F" w:rsidRPr="000F0299" w:rsidRDefault="00D8637F" w:rsidP="00AC03F7">
            <w:pPr>
              <w:tabs>
                <w:tab w:val="right" w:pos="2548"/>
              </w:tabs>
              <w:suppressAutoHyphens w:val="0"/>
              <w:autoSpaceDN/>
              <w:spacing w:before="0"/>
              <w:ind w:firstLine="0"/>
              <w:textAlignment w:val="auto"/>
              <w:rPr>
                <w:rFonts w:eastAsia="Calibri"/>
                <w:kern w:val="0"/>
                <w:sz w:val="20"/>
                <w:szCs w:val="20"/>
                <w:lang w:eastAsia="en-US" w:bidi="ar-SA"/>
              </w:rPr>
            </w:pPr>
            <w:r w:rsidRPr="000F0299">
              <w:rPr>
                <w:rFonts w:eastAsia="Calibri"/>
                <w:kern w:val="0"/>
                <w:sz w:val="20"/>
                <w:szCs w:val="20"/>
                <w:lang w:eastAsia="en-US" w:bidi="ar-SA"/>
              </w:rPr>
              <w:t xml:space="preserve">Показатељ Делотворност власти се заснива на перцепцији различитих извора у погледу квалитета јавних услуга и јавне управе, као и степена независности од политичких притисака, квалитет планирања и спровођења политика и веродостојности владе у посвећености тим политикама. </w:t>
            </w:r>
          </w:p>
          <w:p w14:paraId="05457B75" w14:textId="77777777" w:rsidR="00D8637F" w:rsidRPr="000F0299" w:rsidRDefault="00D8637F" w:rsidP="00AC03F7">
            <w:pPr>
              <w:tabs>
                <w:tab w:val="right" w:pos="2548"/>
              </w:tabs>
              <w:suppressAutoHyphens w:val="0"/>
              <w:autoSpaceDN/>
              <w:spacing w:before="0"/>
              <w:ind w:firstLine="0"/>
              <w:textAlignment w:val="auto"/>
              <w:rPr>
                <w:rFonts w:eastAsia="Calibri"/>
                <w:kern w:val="0"/>
                <w:sz w:val="20"/>
                <w:szCs w:val="20"/>
                <w:lang w:eastAsia="en-US" w:bidi="ar-SA"/>
              </w:rPr>
            </w:pPr>
            <w:r w:rsidRPr="000F0299">
              <w:rPr>
                <w:rFonts w:eastAsia="Calibri"/>
                <w:kern w:val="0"/>
                <w:sz w:val="20"/>
                <w:szCs w:val="20"/>
                <w:lang w:eastAsia="en-US" w:bidi="ar-SA"/>
              </w:rPr>
              <w:t>Методологија</w:t>
            </w:r>
          </w:p>
          <w:p w14:paraId="559DF0E6" w14:textId="77777777" w:rsidR="00D8637F" w:rsidRPr="000F0299" w:rsidRDefault="00D8637F" w:rsidP="00AC03F7">
            <w:pPr>
              <w:tabs>
                <w:tab w:val="right" w:pos="2548"/>
              </w:tabs>
              <w:suppressAutoHyphens w:val="0"/>
              <w:autoSpaceDN/>
              <w:spacing w:before="0"/>
              <w:ind w:firstLine="0"/>
              <w:textAlignment w:val="auto"/>
              <w:rPr>
                <w:rFonts w:eastAsia="Calibri"/>
                <w:kern w:val="0"/>
                <w:sz w:val="20"/>
                <w:szCs w:val="20"/>
                <w:lang w:eastAsia="en-US" w:bidi="ar-SA"/>
              </w:rPr>
            </w:pPr>
            <w:r w:rsidRPr="000F0299">
              <w:rPr>
                <w:rFonts w:eastAsia="Calibri"/>
                <w:i/>
                <w:iCs/>
                <w:kern w:val="0"/>
                <w:sz w:val="20"/>
                <w:szCs w:val="20"/>
                <w:shd w:val="clear" w:color="auto" w:fill="FFFFFF"/>
                <w:lang w:eastAsia="en-US" w:bidi="ar-SA"/>
              </w:rPr>
              <w:t xml:space="preserve">Корак 1:  Додељивање података из појединачних извора једној од шест димензија (за делотворност власти: </w:t>
            </w:r>
            <w:hyperlink r:id="rId195" w:history="1">
              <w:r w:rsidRPr="000F0299">
                <w:rPr>
                  <w:rFonts w:eastAsia="Calibri"/>
                  <w:color w:val="0000FF"/>
                  <w:kern w:val="0"/>
                  <w:sz w:val="20"/>
                  <w:szCs w:val="20"/>
                  <w:lang w:eastAsia="en-US" w:bidi="ar-SA"/>
                </w:rPr>
                <w:t>Government Effectiveness</w:t>
              </w:r>
            </w:hyperlink>
            <w:r w:rsidRPr="000F0299">
              <w:rPr>
                <w:rFonts w:eastAsia="Calibri"/>
                <w:color w:val="333333"/>
                <w:kern w:val="0"/>
                <w:sz w:val="20"/>
                <w:szCs w:val="20"/>
                <w:lang w:eastAsia="en-US" w:bidi="ar-SA"/>
              </w:rPr>
              <w:t>)</w:t>
            </w:r>
          </w:p>
          <w:p w14:paraId="272F86A4" w14:textId="2F2B21E6" w:rsidR="00D8637F" w:rsidRPr="000F0299" w:rsidRDefault="00D8637F" w:rsidP="00AC03F7">
            <w:pPr>
              <w:tabs>
                <w:tab w:val="right" w:pos="2548"/>
              </w:tabs>
              <w:suppressAutoHyphens w:val="0"/>
              <w:autoSpaceDN/>
              <w:spacing w:before="0"/>
              <w:ind w:firstLine="0"/>
              <w:textAlignment w:val="auto"/>
              <w:rPr>
                <w:rFonts w:eastAsia="Calibri"/>
                <w:i/>
                <w:iCs/>
                <w:kern w:val="0"/>
                <w:sz w:val="20"/>
                <w:szCs w:val="20"/>
                <w:shd w:val="clear" w:color="auto" w:fill="FFFFFF"/>
                <w:lang w:eastAsia="en-US" w:bidi="ar-SA"/>
              </w:rPr>
            </w:pPr>
            <w:r w:rsidRPr="000F0299">
              <w:rPr>
                <w:rFonts w:eastAsia="Calibri"/>
                <w:i/>
                <w:iCs/>
                <w:kern w:val="0"/>
                <w:sz w:val="20"/>
                <w:szCs w:val="20"/>
                <w:shd w:val="clear" w:color="auto" w:fill="FFFFFF"/>
                <w:lang w:eastAsia="en-US" w:bidi="ar-SA"/>
              </w:rPr>
              <w:t xml:space="preserve">Корак 2: </w:t>
            </w:r>
            <w:r w:rsidR="00BB1C3D" w:rsidRPr="000F0299">
              <w:rPr>
                <w:rFonts w:eastAsia="Calibri"/>
                <w:i/>
                <w:iCs/>
                <w:kern w:val="0"/>
                <w:sz w:val="20"/>
                <w:szCs w:val="20"/>
                <w:shd w:val="clear" w:color="auto" w:fill="FFFFFF"/>
                <w:lang w:eastAsia="en-US" w:bidi="ar-SA"/>
              </w:rPr>
              <w:t>Прелиминарно</w:t>
            </w:r>
            <w:r w:rsidRPr="000F0299">
              <w:rPr>
                <w:rFonts w:eastAsia="Calibri"/>
                <w:i/>
                <w:iCs/>
                <w:kern w:val="0"/>
                <w:sz w:val="20"/>
                <w:szCs w:val="20"/>
                <w:shd w:val="clear" w:color="auto" w:fill="FFFFFF"/>
                <w:lang w:eastAsia="en-US" w:bidi="ar-SA"/>
              </w:rPr>
              <w:t xml:space="preserve"> скалирање појединачних извора на скали од 0-1.</w:t>
            </w:r>
          </w:p>
          <w:p w14:paraId="654D084F" w14:textId="77777777" w:rsidR="00D8637F" w:rsidRPr="000F0299" w:rsidRDefault="00D8637F" w:rsidP="00AC03F7">
            <w:pPr>
              <w:tabs>
                <w:tab w:val="right" w:pos="2548"/>
              </w:tabs>
              <w:suppressAutoHyphens w:val="0"/>
              <w:autoSpaceDN/>
              <w:spacing w:before="0"/>
              <w:ind w:firstLine="0"/>
              <w:textAlignment w:val="auto"/>
              <w:rPr>
                <w:rFonts w:eastAsia="Calibri"/>
                <w:i/>
                <w:iCs/>
                <w:kern w:val="0"/>
                <w:sz w:val="20"/>
                <w:szCs w:val="20"/>
                <w:shd w:val="clear" w:color="auto" w:fill="FFFFFF"/>
                <w:lang w:eastAsia="en-US" w:bidi="ar-SA"/>
              </w:rPr>
            </w:pPr>
            <w:r w:rsidRPr="000F0299">
              <w:rPr>
                <w:rFonts w:eastAsia="Calibri"/>
                <w:i/>
                <w:iCs/>
                <w:kern w:val="0"/>
                <w:sz w:val="20"/>
                <w:szCs w:val="20"/>
                <w:shd w:val="clear" w:color="auto" w:fill="FFFFFF"/>
                <w:lang w:eastAsia="en-US" w:bidi="ar-SA"/>
              </w:rPr>
              <w:t xml:space="preserve">Корак 3:  Користећи посебан статистички алат (Unobserved Components Model (UCM)) конструисање пондерисаног просека појединачних показатеља за сваки извор, како би скалирани подаци били упоредиви за све изворе из којих се генеришу пондерисани просеци података за сваку државу. </w:t>
            </w:r>
          </w:p>
          <w:p w14:paraId="004E98C5" w14:textId="77777777" w:rsidR="00D8637F" w:rsidRPr="000F0299" w:rsidRDefault="00F47F65" w:rsidP="00AC03F7">
            <w:pPr>
              <w:tabs>
                <w:tab w:val="right" w:pos="2548"/>
              </w:tabs>
              <w:suppressAutoHyphens w:val="0"/>
              <w:autoSpaceDN/>
              <w:spacing w:before="0"/>
              <w:ind w:firstLine="0"/>
              <w:textAlignment w:val="auto"/>
              <w:rPr>
                <w:rFonts w:eastAsia="Calibri"/>
                <w:kern w:val="0"/>
                <w:sz w:val="20"/>
                <w:szCs w:val="20"/>
                <w:lang w:eastAsia="en-US" w:bidi="ar-SA"/>
              </w:rPr>
            </w:pPr>
            <w:hyperlink r:id="rId196" w:anchor="wgiAggMethodology" w:history="1">
              <w:r w:rsidR="00D8637F" w:rsidRPr="000F0299">
                <w:rPr>
                  <w:rFonts w:eastAsia="Calibri"/>
                  <w:color w:val="0000FF"/>
                  <w:kern w:val="0"/>
                  <w:sz w:val="20"/>
                  <w:szCs w:val="20"/>
                  <w:u w:val="single"/>
                  <w:lang w:eastAsia="en-US" w:bidi="ar-SA"/>
                </w:rPr>
                <w:t>https://info.worldbank.org/governance/wgi/Home/Documents#wgiAggMethodology</w:t>
              </w:r>
            </w:hyperlink>
          </w:p>
        </w:tc>
      </w:tr>
      <w:tr w:rsidR="00D8637F" w:rsidRPr="000F0299" w14:paraId="3D6E7DBF" w14:textId="77777777" w:rsidTr="006E109E">
        <w:trPr>
          <w:trHeight w:val="235"/>
          <w:jc w:val="center"/>
        </w:trPr>
        <w:tc>
          <w:tcPr>
            <w:tcW w:w="839" w:type="pct"/>
            <w:vMerge w:val="restart"/>
            <w:shd w:val="clear" w:color="auto" w:fill="auto"/>
          </w:tcPr>
          <w:p w14:paraId="6AF936F5" w14:textId="77777777" w:rsidR="00D8637F" w:rsidRPr="000F0299" w:rsidRDefault="00D8637F" w:rsidP="00AC03F7">
            <w:pPr>
              <w:suppressAutoHyphens w:val="0"/>
              <w:autoSpaceDN/>
              <w:spacing w:before="0"/>
              <w:ind w:firstLine="0"/>
              <w:textAlignment w:val="auto"/>
              <w:rPr>
                <w:rFonts w:eastAsia="Calibri"/>
                <w:b/>
                <w:bCs/>
                <w:kern w:val="0"/>
                <w:sz w:val="20"/>
                <w:szCs w:val="20"/>
                <w:lang w:eastAsia="en-US" w:bidi="ar-SA"/>
              </w:rPr>
            </w:pPr>
            <w:r w:rsidRPr="000F0299">
              <w:rPr>
                <w:rFonts w:eastAsia="Calibri"/>
                <w:b/>
                <w:bCs/>
                <w:kern w:val="0"/>
                <w:sz w:val="20"/>
                <w:szCs w:val="20"/>
                <w:lang w:eastAsia="en-US" w:bidi="ar-SA"/>
              </w:rPr>
              <w:t>Подаци о полазној вредности и години кад је измерена, као и тренду у прошлости</w:t>
            </w:r>
          </w:p>
        </w:tc>
        <w:tc>
          <w:tcPr>
            <w:tcW w:w="3104" w:type="pct"/>
            <w:gridSpan w:val="10"/>
            <w:tcBorders>
              <w:bottom w:val="single" w:sz="4" w:space="0" w:color="auto"/>
            </w:tcBorders>
            <w:shd w:val="clear" w:color="auto" w:fill="auto"/>
            <w:vAlign w:val="center"/>
          </w:tcPr>
          <w:p w14:paraId="75BE544E" w14:textId="77777777" w:rsidR="00D8637F" w:rsidRPr="000F0299" w:rsidRDefault="00D8637F" w:rsidP="00AC03F7">
            <w:pPr>
              <w:suppressAutoHyphens w:val="0"/>
              <w:autoSpaceDN/>
              <w:spacing w:before="0"/>
              <w:ind w:firstLine="0"/>
              <w:textAlignment w:val="auto"/>
              <w:rPr>
                <w:rFonts w:eastAsia="Calibri"/>
                <w:iCs/>
                <w:kern w:val="0"/>
                <w:sz w:val="20"/>
                <w:szCs w:val="20"/>
                <w:lang w:eastAsia="en-US" w:bidi="ar-SA"/>
              </w:rPr>
            </w:pPr>
            <w:r w:rsidRPr="000F0299">
              <w:rPr>
                <w:rFonts w:eastAsia="Calibri"/>
                <w:iCs/>
                <w:kern w:val="0"/>
                <w:sz w:val="20"/>
                <w:szCs w:val="20"/>
                <w:lang w:eastAsia="en-US" w:bidi="ar-SA"/>
              </w:rPr>
              <w:t>Тренд у прошлости</w:t>
            </w:r>
          </w:p>
        </w:tc>
        <w:tc>
          <w:tcPr>
            <w:tcW w:w="1057" w:type="pct"/>
            <w:gridSpan w:val="3"/>
            <w:shd w:val="clear" w:color="auto" w:fill="auto"/>
            <w:vAlign w:val="center"/>
          </w:tcPr>
          <w:p w14:paraId="21B5258E" w14:textId="77777777" w:rsidR="00D8637F" w:rsidRPr="000F0299" w:rsidRDefault="00D8637F" w:rsidP="00AC03F7">
            <w:pPr>
              <w:suppressAutoHyphens w:val="0"/>
              <w:autoSpaceDN/>
              <w:spacing w:before="0"/>
              <w:ind w:firstLine="0"/>
              <w:textAlignment w:val="auto"/>
              <w:rPr>
                <w:rFonts w:eastAsia="Calibri"/>
                <w:iCs/>
                <w:kern w:val="0"/>
                <w:sz w:val="20"/>
                <w:szCs w:val="20"/>
                <w:lang w:eastAsia="en-US" w:bidi="ar-SA"/>
              </w:rPr>
            </w:pPr>
            <w:r w:rsidRPr="000F0299">
              <w:rPr>
                <w:rFonts w:eastAsia="Calibri"/>
                <w:iCs/>
                <w:kern w:val="0"/>
                <w:sz w:val="20"/>
                <w:szCs w:val="20"/>
                <w:lang w:eastAsia="en-US" w:bidi="ar-SA"/>
              </w:rPr>
              <w:t>Полазна вредност</w:t>
            </w:r>
          </w:p>
        </w:tc>
      </w:tr>
      <w:tr w:rsidR="00D8637F" w:rsidRPr="000F0299" w14:paraId="3ED9BA43" w14:textId="77777777" w:rsidTr="006E109E">
        <w:trPr>
          <w:trHeight w:val="121"/>
          <w:jc w:val="center"/>
        </w:trPr>
        <w:tc>
          <w:tcPr>
            <w:tcW w:w="839" w:type="pct"/>
            <w:vMerge/>
            <w:tcBorders>
              <w:right w:val="single" w:sz="4" w:space="0" w:color="auto"/>
            </w:tcBorders>
            <w:shd w:val="clear" w:color="auto" w:fill="auto"/>
          </w:tcPr>
          <w:p w14:paraId="52DAD4F6" w14:textId="77777777" w:rsidR="00D8637F" w:rsidRPr="000F0299" w:rsidRDefault="00D8637F" w:rsidP="00AC03F7">
            <w:pPr>
              <w:suppressAutoHyphens w:val="0"/>
              <w:autoSpaceDN/>
              <w:spacing w:before="0"/>
              <w:ind w:firstLine="0"/>
              <w:textAlignment w:val="auto"/>
              <w:rPr>
                <w:rFonts w:eastAsia="Calibri"/>
                <w:b/>
                <w:bCs/>
                <w:kern w:val="0"/>
                <w:sz w:val="20"/>
                <w:szCs w:val="20"/>
                <w:lang w:eastAsia="en-US" w:bidi="ar-SA"/>
              </w:rPr>
            </w:pPr>
          </w:p>
        </w:tc>
        <w:tc>
          <w:tcPr>
            <w:tcW w:w="95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28D3A2"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2013</w:t>
            </w:r>
          </w:p>
        </w:tc>
        <w:tc>
          <w:tcPr>
            <w:tcW w:w="10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4BC7C4"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2016</w:t>
            </w:r>
          </w:p>
        </w:tc>
        <w:tc>
          <w:tcPr>
            <w:tcW w:w="111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3B82D8"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2018</w:t>
            </w:r>
          </w:p>
        </w:tc>
        <w:tc>
          <w:tcPr>
            <w:tcW w:w="1057" w:type="pct"/>
            <w:gridSpan w:val="3"/>
            <w:tcBorders>
              <w:left w:val="single" w:sz="4" w:space="0" w:color="auto"/>
            </w:tcBorders>
            <w:shd w:val="clear" w:color="auto" w:fill="auto"/>
            <w:vAlign w:val="center"/>
          </w:tcPr>
          <w:p w14:paraId="15176DBD"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2019</w:t>
            </w:r>
          </w:p>
        </w:tc>
      </w:tr>
      <w:tr w:rsidR="00D8637F" w:rsidRPr="000F0299" w14:paraId="3CE6BA94" w14:textId="77777777" w:rsidTr="006E109E">
        <w:trPr>
          <w:trHeight w:val="287"/>
          <w:jc w:val="center"/>
        </w:trPr>
        <w:tc>
          <w:tcPr>
            <w:tcW w:w="839" w:type="pct"/>
            <w:vMerge/>
            <w:shd w:val="clear" w:color="auto" w:fill="auto"/>
          </w:tcPr>
          <w:p w14:paraId="41CB6492" w14:textId="77777777" w:rsidR="00D8637F" w:rsidRPr="000F0299" w:rsidRDefault="00D8637F" w:rsidP="00AC03F7">
            <w:pPr>
              <w:suppressAutoHyphens w:val="0"/>
              <w:autoSpaceDN/>
              <w:spacing w:before="0"/>
              <w:ind w:firstLine="0"/>
              <w:textAlignment w:val="auto"/>
              <w:rPr>
                <w:rFonts w:eastAsia="Calibri"/>
                <w:b/>
                <w:bCs/>
                <w:kern w:val="0"/>
                <w:sz w:val="20"/>
                <w:szCs w:val="20"/>
                <w:lang w:eastAsia="en-US" w:bidi="ar-SA"/>
              </w:rPr>
            </w:pPr>
          </w:p>
        </w:tc>
        <w:tc>
          <w:tcPr>
            <w:tcW w:w="957" w:type="pct"/>
            <w:gridSpan w:val="3"/>
            <w:tcBorders>
              <w:top w:val="single" w:sz="4" w:space="0" w:color="auto"/>
            </w:tcBorders>
            <w:shd w:val="clear" w:color="auto" w:fill="auto"/>
            <w:vAlign w:val="center"/>
          </w:tcPr>
          <w:p w14:paraId="32DE12C7"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51.18</w:t>
            </w:r>
          </w:p>
        </w:tc>
        <w:tc>
          <w:tcPr>
            <w:tcW w:w="1031" w:type="pct"/>
            <w:gridSpan w:val="3"/>
            <w:tcBorders>
              <w:top w:val="single" w:sz="4" w:space="0" w:color="auto"/>
            </w:tcBorders>
            <w:shd w:val="clear" w:color="auto" w:fill="auto"/>
            <w:vAlign w:val="center"/>
          </w:tcPr>
          <w:p w14:paraId="0C8318B0" w14:textId="38F1063C" w:rsidR="00D8637F" w:rsidRPr="000F0299" w:rsidRDefault="0037733D" w:rsidP="00AC03F7">
            <w:pPr>
              <w:suppressAutoHyphens w:val="0"/>
              <w:autoSpaceDN/>
              <w:spacing w:before="0"/>
              <w:ind w:firstLine="0"/>
              <w:jc w:val="center"/>
              <w:textAlignment w:val="auto"/>
              <w:rPr>
                <w:rFonts w:eastAsia="Calibri"/>
                <w:iCs/>
                <w:kern w:val="0"/>
                <w:sz w:val="20"/>
                <w:szCs w:val="20"/>
                <w:lang w:eastAsia="en-US" w:bidi="ar-SA"/>
              </w:rPr>
            </w:pPr>
            <w:r>
              <w:rPr>
                <w:rFonts w:eastAsia="Calibri"/>
                <w:iCs/>
                <w:kern w:val="0"/>
                <w:sz w:val="20"/>
                <w:szCs w:val="20"/>
                <w:lang w:eastAsia="en-US" w:bidi="ar-SA"/>
              </w:rPr>
              <w:t>56.25</w:t>
            </w:r>
          </w:p>
        </w:tc>
        <w:tc>
          <w:tcPr>
            <w:tcW w:w="1116" w:type="pct"/>
            <w:gridSpan w:val="4"/>
            <w:tcBorders>
              <w:top w:val="single" w:sz="4" w:space="0" w:color="auto"/>
            </w:tcBorders>
            <w:shd w:val="clear" w:color="auto" w:fill="auto"/>
            <w:vAlign w:val="center"/>
          </w:tcPr>
          <w:p w14:paraId="1C56DADA" w14:textId="4ED864D6" w:rsidR="00D8637F" w:rsidRPr="000F0299" w:rsidRDefault="0037733D" w:rsidP="00AC03F7">
            <w:pPr>
              <w:suppressAutoHyphens w:val="0"/>
              <w:autoSpaceDN/>
              <w:spacing w:before="0"/>
              <w:ind w:firstLine="0"/>
              <w:jc w:val="center"/>
              <w:textAlignment w:val="auto"/>
              <w:rPr>
                <w:rFonts w:eastAsia="Calibri"/>
                <w:iCs/>
                <w:kern w:val="0"/>
                <w:sz w:val="20"/>
                <w:szCs w:val="20"/>
                <w:lang w:eastAsia="en-US" w:bidi="ar-SA"/>
              </w:rPr>
            </w:pPr>
            <w:r>
              <w:rPr>
                <w:rFonts w:eastAsia="Calibri"/>
                <w:iCs/>
                <w:kern w:val="0"/>
                <w:sz w:val="20"/>
                <w:szCs w:val="20"/>
                <w:lang w:eastAsia="en-US" w:bidi="ar-SA"/>
              </w:rPr>
              <w:t>56.</w:t>
            </w:r>
            <w:r w:rsidR="00D8637F" w:rsidRPr="000F0299">
              <w:rPr>
                <w:rFonts w:eastAsia="Calibri"/>
                <w:iCs/>
                <w:kern w:val="0"/>
                <w:sz w:val="20"/>
                <w:szCs w:val="20"/>
                <w:lang w:eastAsia="en-US" w:bidi="ar-SA"/>
              </w:rPr>
              <w:t>73</w:t>
            </w:r>
          </w:p>
        </w:tc>
        <w:tc>
          <w:tcPr>
            <w:tcW w:w="1057" w:type="pct"/>
            <w:gridSpan w:val="3"/>
            <w:shd w:val="clear" w:color="auto" w:fill="auto"/>
            <w:vAlign w:val="center"/>
          </w:tcPr>
          <w:p w14:paraId="4B16988A"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53.37</w:t>
            </w:r>
          </w:p>
        </w:tc>
      </w:tr>
      <w:tr w:rsidR="00D8637F" w:rsidRPr="000F0299" w14:paraId="1FA695C5" w14:textId="77777777" w:rsidTr="00511166">
        <w:trPr>
          <w:trHeight w:val="243"/>
          <w:jc w:val="center"/>
        </w:trPr>
        <w:tc>
          <w:tcPr>
            <w:tcW w:w="839" w:type="pct"/>
            <w:vMerge w:val="restart"/>
            <w:shd w:val="clear" w:color="auto" w:fill="auto"/>
          </w:tcPr>
          <w:p w14:paraId="7A908E70" w14:textId="77777777" w:rsidR="00D8637F" w:rsidRPr="000F0299" w:rsidRDefault="00D8637F" w:rsidP="00AC03F7">
            <w:pPr>
              <w:suppressAutoHyphens w:val="0"/>
              <w:autoSpaceDN/>
              <w:spacing w:before="0"/>
              <w:ind w:firstLine="0"/>
              <w:textAlignment w:val="auto"/>
              <w:rPr>
                <w:rFonts w:eastAsia="Calibri"/>
                <w:b/>
                <w:bCs/>
                <w:kern w:val="0"/>
                <w:sz w:val="20"/>
                <w:szCs w:val="20"/>
                <w:lang w:eastAsia="en-US" w:bidi="ar-SA"/>
              </w:rPr>
            </w:pPr>
            <w:r w:rsidRPr="000F0299">
              <w:rPr>
                <w:rFonts w:eastAsia="Calibri"/>
                <w:b/>
                <w:bCs/>
                <w:kern w:val="0"/>
                <w:sz w:val="20"/>
                <w:szCs w:val="20"/>
                <w:lang w:eastAsia="en-US" w:bidi="ar-SA"/>
              </w:rPr>
              <w:t>Подаци о циљним вредностима</w:t>
            </w:r>
          </w:p>
        </w:tc>
        <w:tc>
          <w:tcPr>
            <w:tcW w:w="416" w:type="pct"/>
            <w:shd w:val="clear" w:color="auto" w:fill="auto"/>
          </w:tcPr>
          <w:p w14:paraId="16B55441"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2021</w:t>
            </w:r>
          </w:p>
        </w:tc>
        <w:tc>
          <w:tcPr>
            <w:tcW w:w="416" w:type="pct"/>
            <w:shd w:val="clear" w:color="auto" w:fill="auto"/>
          </w:tcPr>
          <w:p w14:paraId="456DF4F0"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2022</w:t>
            </w:r>
          </w:p>
        </w:tc>
        <w:tc>
          <w:tcPr>
            <w:tcW w:w="416" w:type="pct"/>
            <w:gridSpan w:val="2"/>
            <w:shd w:val="clear" w:color="auto" w:fill="auto"/>
          </w:tcPr>
          <w:p w14:paraId="265A854A"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2023</w:t>
            </w:r>
          </w:p>
        </w:tc>
        <w:tc>
          <w:tcPr>
            <w:tcW w:w="416" w:type="pct"/>
            <w:shd w:val="clear" w:color="auto" w:fill="auto"/>
          </w:tcPr>
          <w:p w14:paraId="79B82326"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2024</w:t>
            </w:r>
          </w:p>
        </w:tc>
        <w:tc>
          <w:tcPr>
            <w:tcW w:w="417" w:type="pct"/>
            <w:gridSpan w:val="2"/>
            <w:shd w:val="clear" w:color="auto" w:fill="auto"/>
          </w:tcPr>
          <w:p w14:paraId="28295CA5"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2025</w:t>
            </w:r>
          </w:p>
        </w:tc>
        <w:tc>
          <w:tcPr>
            <w:tcW w:w="416" w:type="pct"/>
            <w:shd w:val="clear" w:color="auto" w:fill="auto"/>
          </w:tcPr>
          <w:p w14:paraId="55D3F8E3"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2026</w:t>
            </w:r>
          </w:p>
        </w:tc>
        <w:tc>
          <w:tcPr>
            <w:tcW w:w="416" w:type="pct"/>
            <w:shd w:val="clear" w:color="auto" w:fill="auto"/>
          </w:tcPr>
          <w:p w14:paraId="3FFFF93A"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2027</w:t>
            </w:r>
          </w:p>
        </w:tc>
        <w:tc>
          <w:tcPr>
            <w:tcW w:w="416" w:type="pct"/>
            <w:gridSpan w:val="2"/>
            <w:shd w:val="clear" w:color="auto" w:fill="auto"/>
          </w:tcPr>
          <w:p w14:paraId="5A08FAF6"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2028</w:t>
            </w:r>
          </w:p>
        </w:tc>
        <w:tc>
          <w:tcPr>
            <w:tcW w:w="416" w:type="pct"/>
            <w:shd w:val="clear" w:color="auto" w:fill="auto"/>
          </w:tcPr>
          <w:p w14:paraId="2590A7DB"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2029</w:t>
            </w:r>
          </w:p>
        </w:tc>
        <w:tc>
          <w:tcPr>
            <w:tcW w:w="416" w:type="pct"/>
            <w:shd w:val="clear" w:color="auto" w:fill="auto"/>
          </w:tcPr>
          <w:p w14:paraId="39843308" w14:textId="77777777" w:rsidR="00D8637F" w:rsidRPr="000F0299" w:rsidRDefault="00D8637F" w:rsidP="00AC03F7">
            <w:pPr>
              <w:suppressAutoHyphens w:val="0"/>
              <w:autoSpaceDN/>
              <w:spacing w:before="0"/>
              <w:ind w:firstLine="0"/>
              <w:jc w:val="center"/>
              <w:textAlignment w:val="auto"/>
              <w:rPr>
                <w:rFonts w:eastAsia="Calibri"/>
                <w:iCs/>
                <w:kern w:val="0"/>
                <w:sz w:val="20"/>
                <w:szCs w:val="20"/>
                <w:lang w:eastAsia="en-US" w:bidi="ar-SA"/>
              </w:rPr>
            </w:pPr>
            <w:r w:rsidRPr="000F0299">
              <w:rPr>
                <w:rFonts w:eastAsia="Calibri"/>
                <w:iCs/>
                <w:kern w:val="0"/>
                <w:sz w:val="20"/>
                <w:szCs w:val="20"/>
                <w:lang w:eastAsia="en-US" w:bidi="ar-SA"/>
              </w:rPr>
              <w:t>2030</w:t>
            </w:r>
          </w:p>
        </w:tc>
      </w:tr>
      <w:tr w:rsidR="00D8637F" w:rsidRPr="000F0299" w14:paraId="092FAA69" w14:textId="77777777" w:rsidTr="00511166">
        <w:trPr>
          <w:trHeight w:val="142"/>
          <w:jc w:val="center"/>
        </w:trPr>
        <w:tc>
          <w:tcPr>
            <w:tcW w:w="839" w:type="pct"/>
            <w:vMerge/>
            <w:shd w:val="clear" w:color="auto" w:fill="auto"/>
          </w:tcPr>
          <w:p w14:paraId="54CC7491" w14:textId="77777777" w:rsidR="00D8637F" w:rsidRPr="000F0299" w:rsidRDefault="00D8637F" w:rsidP="00AC03F7">
            <w:pPr>
              <w:suppressAutoHyphens w:val="0"/>
              <w:autoSpaceDN/>
              <w:spacing w:before="0"/>
              <w:ind w:firstLine="0"/>
              <w:textAlignment w:val="auto"/>
              <w:rPr>
                <w:rFonts w:eastAsia="Calibri"/>
                <w:b/>
                <w:bCs/>
                <w:kern w:val="0"/>
                <w:sz w:val="20"/>
                <w:szCs w:val="20"/>
                <w:lang w:eastAsia="en-US" w:bidi="ar-SA"/>
              </w:rPr>
            </w:pPr>
          </w:p>
        </w:tc>
        <w:tc>
          <w:tcPr>
            <w:tcW w:w="416" w:type="pct"/>
            <w:shd w:val="clear" w:color="auto" w:fill="auto"/>
          </w:tcPr>
          <w:p w14:paraId="42A0BBE3" w14:textId="77777777" w:rsidR="00D8637F" w:rsidRPr="000F0299" w:rsidRDefault="00D8637F" w:rsidP="00AC03F7">
            <w:pPr>
              <w:suppressAutoHyphens w:val="0"/>
              <w:autoSpaceDN/>
              <w:spacing w:before="0"/>
              <w:ind w:firstLine="0"/>
              <w:jc w:val="center"/>
              <w:textAlignment w:val="auto"/>
              <w:rPr>
                <w:rFonts w:eastAsia="Calibri"/>
                <w:kern w:val="0"/>
                <w:sz w:val="20"/>
                <w:szCs w:val="20"/>
                <w:lang w:eastAsia="en-US" w:bidi="ar-SA"/>
              </w:rPr>
            </w:pPr>
            <w:r w:rsidRPr="000F0299">
              <w:rPr>
                <w:rFonts w:eastAsia="Calibri"/>
                <w:kern w:val="0"/>
                <w:sz w:val="20"/>
                <w:szCs w:val="20"/>
                <w:lang w:eastAsia="en-US" w:bidi="ar-SA"/>
              </w:rPr>
              <w:t>54-55</w:t>
            </w:r>
          </w:p>
        </w:tc>
        <w:tc>
          <w:tcPr>
            <w:tcW w:w="416" w:type="pct"/>
            <w:shd w:val="clear" w:color="auto" w:fill="auto"/>
          </w:tcPr>
          <w:p w14:paraId="2B54CBCF" w14:textId="77777777" w:rsidR="00D8637F" w:rsidRPr="000F0299" w:rsidRDefault="00D8637F" w:rsidP="00AC03F7">
            <w:pPr>
              <w:suppressAutoHyphens w:val="0"/>
              <w:autoSpaceDN/>
              <w:spacing w:before="0"/>
              <w:ind w:firstLine="0"/>
              <w:jc w:val="center"/>
              <w:textAlignment w:val="auto"/>
              <w:rPr>
                <w:rFonts w:eastAsia="Calibri"/>
                <w:kern w:val="0"/>
                <w:sz w:val="20"/>
                <w:szCs w:val="20"/>
                <w:lang w:eastAsia="en-US" w:bidi="ar-SA"/>
              </w:rPr>
            </w:pPr>
            <w:r w:rsidRPr="000F0299">
              <w:rPr>
                <w:rFonts w:eastAsia="Calibri"/>
                <w:kern w:val="0"/>
                <w:sz w:val="20"/>
                <w:szCs w:val="20"/>
                <w:lang w:eastAsia="en-US" w:bidi="ar-SA"/>
              </w:rPr>
              <w:t>55-57</w:t>
            </w:r>
          </w:p>
        </w:tc>
        <w:tc>
          <w:tcPr>
            <w:tcW w:w="416" w:type="pct"/>
            <w:gridSpan w:val="2"/>
            <w:shd w:val="clear" w:color="auto" w:fill="auto"/>
          </w:tcPr>
          <w:p w14:paraId="6F1B7D97" w14:textId="77777777" w:rsidR="00D8637F" w:rsidRPr="000F0299" w:rsidRDefault="00D8637F" w:rsidP="00AC03F7">
            <w:pPr>
              <w:suppressAutoHyphens w:val="0"/>
              <w:autoSpaceDN/>
              <w:spacing w:before="0"/>
              <w:ind w:firstLine="0"/>
              <w:jc w:val="center"/>
              <w:textAlignment w:val="auto"/>
              <w:rPr>
                <w:rFonts w:eastAsia="Calibri"/>
                <w:kern w:val="0"/>
                <w:sz w:val="20"/>
                <w:szCs w:val="20"/>
                <w:lang w:eastAsia="en-US" w:bidi="ar-SA"/>
              </w:rPr>
            </w:pPr>
            <w:r w:rsidRPr="000F0299">
              <w:rPr>
                <w:rFonts w:eastAsia="Calibri"/>
                <w:kern w:val="0"/>
                <w:sz w:val="20"/>
                <w:szCs w:val="20"/>
                <w:lang w:eastAsia="en-US" w:bidi="ar-SA"/>
              </w:rPr>
              <w:t>58-59</w:t>
            </w:r>
          </w:p>
        </w:tc>
        <w:tc>
          <w:tcPr>
            <w:tcW w:w="416" w:type="pct"/>
            <w:shd w:val="clear" w:color="auto" w:fill="auto"/>
          </w:tcPr>
          <w:p w14:paraId="0CAE0F4E" w14:textId="77777777" w:rsidR="00D8637F" w:rsidRPr="000F0299" w:rsidRDefault="00D8637F" w:rsidP="00AC03F7">
            <w:pPr>
              <w:suppressAutoHyphens w:val="0"/>
              <w:autoSpaceDN/>
              <w:spacing w:before="0"/>
              <w:ind w:firstLine="0"/>
              <w:jc w:val="center"/>
              <w:textAlignment w:val="auto"/>
              <w:rPr>
                <w:rFonts w:eastAsia="Calibri"/>
                <w:kern w:val="0"/>
                <w:sz w:val="20"/>
                <w:szCs w:val="20"/>
                <w:lang w:eastAsia="en-US" w:bidi="ar-SA"/>
              </w:rPr>
            </w:pPr>
            <w:r w:rsidRPr="000F0299">
              <w:rPr>
                <w:rFonts w:eastAsia="Calibri"/>
                <w:kern w:val="0"/>
                <w:sz w:val="20"/>
                <w:szCs w:val="20"/>
                <w:lang w:eastAsia="en-US" w:bidi="ar-SA"/>
              </w:rPr>
              <w:t>59-60</w:t>
            </w:r>
          </w:p>
        </w:tc>
        <w:tc>
          <w:tcPr>
            <w:tcW w:w="417" w:type="pct"/>
            <w:gridSpan w:val="2"/>
            <w:shd w:val="clear" w:color="auto" w:fill="auto"/>
          </w:tcPr>
          <w:p w14:paraId="0C8DEA26" w14:textId="77777777" w:rsidR="00D8637F" w:rsidRPr="000F0299" w:rsidRDefault="00D8637F" w:rsidP="00AC03F7">
            <w:pPr>
              <w:suppressAutoHyphens w:val="0"/>
              <w:autoSpaceDN/>
              <w:spacing w:before="0"/>
              <w:ind w:firstLine="0"/>
              <w:jc w:val="center"/>
              <w:textAlignment w:val="auto"/>
              <w:rPr>
                <w:rFonts w:eastAsia="Calibri"/>
                <w:kern w:val="0"/>
                <w:sz w:val="20"/>
                <w:szCs w:val="20"/>
                <w:lang w:eastAsia="en-US" w:bidi="ar-SA"/>
              </w:rPr>
            </w:pPr>
            <w:r w:rsidRPr="000F0299">
              <w:rPr>
                <w:rFonts w:eastAsia="Calibri"/>
                <w:color w:val="000000"/>
                <w:kern w:val="0"/>
                <w:sz w:val="20"/>
                <w:szCs w:val="20"/>
                <w:lang w:eastAsia="en-US" w:bidi="ar-SA"/>
              </w:rPr>
              <w:t>60-63</w:t>
            </w:r>
          </w:p>
        </w:tc>
        <w:tc>
          <w:tcPr>
            <w:tcW w:w="416" w:type="pct"/>
            <w:shd w:val="clear" w:color="auto" w:fill="auto"/>
          </w:tcPr>
          <w:p w14:paraId="3B5C59DE" w14:textId="77777777" w:rsidR="00D8637F" w:rsidRPr="000F0299" w:rsidRDefault="00D8637F" w:rsidP="00AC03F7">
            <w:pPr>
              <w:suppressAutoHyphens w:val="0"/>
              <w:autoSpaceDN/>
              <w:spacing w:before="0"/>
              <w:ind w:firstLine="0"/>
              <w:jc w:val="center"/>
              <w:textAlignment w:val="auto"/>
              <w:rPr>
                <w:rFonts w:eastAsia="Calibri"/>
                <w:kern w:val="0"/>
                <w:sz w:val="20"/>
                <w:szCs w:val="20"/>
                <w:lang w:eastAsia="en-US" w:bidi="ar-SA"/>
              </w:rPr>
            </w:pPr>
            <w:r w:rsidRPr="000F0299">
              <w:rPr>
                <w:rFonts w:eastAsia="Calibri"/>
                <w:color w:val="000000"/>
                <w:kern w:val="0"/>
                <w:sz w:val="20"/>
                <w:szCs w:val="20"/>
                <w:lang w:eastAsia="en-US" w:bidi="ar-SA"/>
              </w:rPr>
              <w:t>60-63</w:t>
            </w:r>
          </w:p>
        </w:tc>
        <w:tc>
          <w:tcPr>
            <w:tcW w:w="416" w:type="pct"/>
            <w:shd w:val="clear" w:color="auto" w:fill="auto"/>
          </w:tcPr>
          <w:p w14:paraId="60F07DFA" w14:textId="77777777" w:rsidR="00D8637F" w:rsidRPr="000F0299" w:rsidRDefault="00D8637F" w:rsidP="00AC03F7">
            <w:pPr>
              <w:suppressAutoHyphens w:val="0"/>
              <w:autoSpaceDN/>
              <w:spacing w:before="0"/>
              <w:ind w:firstLine="0"/>
              <w:jc w:val="center"/>
              <w:textAlignment w:val="auto"/>
              <w:rPr>
                <w:rFonts w:eastAsia="Calibri"/>
                <w:kern w:val="0"/>
                <w:sz w:val="20"/>
                <w:szCs w:val="20"/>
                <w:lang w:eastAsia="en-US" w:bidi="ar-SA"/>
              </w:rPr>
            </w:pPr>
            <w:r w:rsidRPr="000F0299">
              <w:rPr>
                <w:rFonts w:eastAsia="Calibri"/>
                <w:color w:val="000000"/>
                <w:kern w:val="0"/>
                <w:sz w:val="20"/>
                <w:szCs w:val="20"/>
                <w:lang w:eastAsia="en-US" w:bidi="ar-SA"/>
              </w:rPr>
              <w:t>60-63</w:t>
            </w:r>
          </w:p>
        </w:tc>
        <w:tc>
          <w:tcPr>
            <w:tcW w:w="416" w:type="pct"/>
            <w:gridSpan w:val="2"/>
            <w:shd w:val="clear" w:color="auto" w:fill="auto"/>
          </w:tcPr>
          <w:p w14:paraId="051DC1FB" w14:textId="77777777" w:rsidR="00D8637F" w:rsidRPr="000F0299" w:rsidRDefault="00D8637F" w:rsidP="00AC03F7">
            <w:pPr>
              <w:suppressAutoHyphens w:val="0"/>
              <w:autoSpaceDN/>
              <w:spacing w:before="0"/>
              <w:ind w:firstLine="0"/>
              <w:jc w:val="center"/>
              <w:textAlignment w:val="auto"/>
              <w:rPr>
                <w:rFonts w:ascii="Calibri" w:eastAsia="Calibri" w:hAnsi="Calibri"/>
                <w:kern w:val="0"/>
                <w:sz w:val="22"/>
                <w:szCs w:val="22"/>
                <w:lang w:eastAsia="en-US" w:bidi="ar-SA"/>
              </w:rPr>
            </w:pPr>
            <w:r w:rsidRPr="000F0299">
              <w:rPr>
                <w:rFonts w:eastAsia="Calibri"/>
                <w:color w:val="000000"/>
                <w:kern w:val="0"/>
                <w:sz w:val="20"/>
                <w:szCs w:val="20"/>
                <w:lang w:eastAsia="en-US" w:bidi="ar-SA"/>
              </w:rPr>
              <w:t>60-63</w:t>
            </w:r>
          </w:p>
        </w:tc>
        <w:tc>
          <w:tcPr>
            <w:tcW w:w="416" w:type="pct"/>
            <w:shd w:val="clear" w:color="auto" w:fill="auto"/>
          </w:tcPr>
          <w:p w14:paraId="61A76BB6" w14:textId="77777777" w:rsidR="00D8637F" w:rsidRPr="000F0299" w:rsidRDefault="00D8637F" w:rsidP="00AC03F7">
            <w:pPr>
              <w:suppressAutoHyphens w:val="0"/>
              <w:autoSpaceDN/>
              <w:spacing w:before="0"/>
              <w:ind w:firstLine="0"/>
              <w:jc w:val="center"/>
              <w:textAlignment w:val="auto"/>
              <w:rPr>
                <w:rFonts w:ascii="Calibri" w:eastAsia="Calibri" w:hAnsi="Calibri"/>
                <w:kern w:val="0"/>
                <w:sz w:val="22"/>
                <w:szCs w:val="22"/>
                <w:lang w:eastAsia="en-US" w:bidi="ar-SA"/>
              </w:rPr>
            </w:pPr>
            <w:r w:rsidRPr="000F0299">
              <w:rPr>
                <w:rFonts w:eastAsia="Calibri"/>
                <w:color w:val="000000"/>
                <w:kern w:val="0"/>
                <w:sz w:val="20"/>
                <w:szCs w:val="20"/>
                <w:lang w:eastAsia="en-US" w:bidi="ar-SA"/>
              </w:rPr>
              <w:t>60-63</w:t>
            </w:r>
          </w:p>
        </w:tc>
        <w:tc>
          <w:tcPr>
            <w:tcW w:w="416" w:type="pct"/>
            <w:shd w:val="clear" w:color="auto" w:fill="auto"/>
          </w:tcPr>
          <w:p w14:paraId="6EDC016D" w14:textId="77777777" w:rsidR="00D8637F" w:rsidRPr="000F0299" w:rsidRDefault="00D8637F" w:rsidP="00AC03F7">
            <w:pPr>
              <w:suppressAutoHyphens w:val="0"/>
              <w:autoSpaceDN/>
              <w:spacing w:before="0"/>
              <w:ind w:firstLine="0"/>
              <w:jc w:val="center"/>
              <w:textAlignment w:val="auto"/>
              <w:rPr>
                <w:rFonts w:ascii="Calibri" w:eastAsia="Calibri" w:hAnsi="Calibri"/>
                <w:kern w:val="0"/>
                <w:sz w:val="22"/>
                <w:szCs w:val="22"/>
                <w:lang w:eastAsia="en-US" w:bidi="ar-SA"/>
              </w:rPr>
            </w:pPr>
            <w:r w:rsidRPr="000F0299">
              <w:rPr>
                <w:rFonts w:eastAsia="Calibri"/>
                <w:color w:val="000000"/>
                <w:kern w:val="0"/>
                <w:sz w:val="20"/>
                <w:szCs w:val="20"/>
                <w:lang w:eastAsia="en-US" w:bidi="ar-SA"/>
              </w:rPr>
              <w:t>60-63</w:t>
            </w:r>
          </w:p>
        </w:tc>
      </w:tr>
      <w:tr w:rsidR="00D8637F" w:rsidRPr="000F0299" w14:paraId="3FA634C9" w14:textId="77777777" w:rsidTr="00511166">
        <w:trPr>
          <w:trHeight w:val="142"/>
          <w:jc w:val="center"/>
        </w:trPr>
        <w:tc>
          <w:tcPr>
            <w:tcW w:w="839" w:type="pct"/>
            <w:shd w:val="clear" w:color="auto" w:fill="auto"/>
          </w:tcPr>
          <w:p w14:paraId="04A942B5" w14:textId="77777777" w:rsidR="00D8637F" w:rsidRPr="000F0299" w:rsidRDefault="00D8637F" w:rsidP="00AC03F7">
            <w:pPr>
              <w:suppressAutoHyphens w:val="0"/>
              <w:autoSpaceDN/>
              <w:spacing w:before="0"/>
              <w:ind w:firstLine="0"/>
              <w:textAlignment w:val="auto"/>
              <w:rPr>
                <w:rFonts w:eastAsia="Calibri"/>
                <w:b/>
                <w:bCs/>
                <w:kern w:val="0"/>
                <w:sz w:val="20"/>
                <w:szCs w:val="20"/>
                <w:lang w:eastAsia="en-US" w:bidi="ar-SA"/>
              </w:rPr>
            </w:pPr>
            <w:r w:rsidRPr="000F0299">
              <w:rPr>
                <w:rFonts w:eastAsia="Calibri"/>
                <w:b/>
                <w:bCs/>
                <w:kern w:val="0"/>
                <w:sz w:val="20"/>
                <w:szCs w:val="20"/>
                <w:lang w:eastAsia="en-US" w:bidi="ar-SA"/>
              </w:rPr>
              <w:t>Процена успешности</w:t>
            </w:r>
          </w:p>
        </w:tc>
        <w:tc>
          <w:tcPr>
            <w:tcW w:w="4161" w:type="pct"/>
            <w:gridSpan w:val="13"/>
            <w:shd w:val="clear" w:color="auto" w:fill="auto"/>
            <w:vAlign w:val="center"/>
          </w:tcPr>
          <w:p w14:paraId="6C70D4F2" w14:textId="77777777" w:rsidR="00D8637F" w:rsidRPr="000F0299" w:rsidRDefault="00D8637F" w:rsidP="00AC03F7">
            <w:pPr>
              <w:suppressAutoHyphens w:val="0"/>
              <w:autoSpaceDN/>
              <w:spacing w:before="0"/>
              <w:ind w:firstLine="0"/>
              <w:textAlignment w:val="auto"/>
              <w:rPr>
                <w:rFonts w:eastAsia="Calibri"/>
                <w:iCs/>
                <w:kern w:val="0"/>
                <w:sz w:val="20"/>
                <w:szCs w:val="20"/>
                <w:lang w:eastAsia="en-US" w:bidi="ar-SA"/>
              </w:rPr>
            </w:pPr>
            <w:r w:rsidRPr="000F0299">
              <w:rPr>
                <w:rFonts w:eastAsia="Calibri"/>
                <w:iCs/>
                <w:kern w:val="0"/>
                <w:sz w:val="20"/>
                <w:szCs w:val="20"/>
                <w:lang w:eastAsia="en-US" w:bidi="ar-SA"/>
              </w:rPr>
              <w:t>Одступање до 2 процентна поена у односу на пројектовану циљну вредност се оцењује као успешно.</w:t>
            </w:r>
          </w:p>
        </w:tc>
      </w:tr>
    </w:tbl>
    <w:p w14:paraId="5DE2045E" w14:textId="7647E0D8" w:rsidR="00D8637F" w:rsidRPr="000F0299" w:rsidRDefault="00D8637F" w:rsidP="00D8637F">
      <w:pPr>
        <w:ind w:firstLine="0"/>
        <w:rPr>
          <w:b/>
          <w:bCs/>
          <w:color w:val="2F5496" w:themeColor="accent1" w:themeShade="BF"/>
        </w:rPr>
      </w:pPr>
      <w:r w:rsidRPr="000F0299">
        <w:rPr>
          <w:b/>
          <w:bCs/>
          <w:color w:val="2F5496" w:themeColor="accent1" w:themeShade="BF"/>
        </w:rPr>
        <w:t xml:space="preserve">Показатељ </w:t>
      </w:r>
      <w:r w:rsidR="00511166" w:rsidRPr="000F0299">
        <w:rPr>
          <w:b/>
          <w:bCs/>
          <w:color w:val="2F5496" w:themeColor="accent1" w:themeShade="BF"/>
        </w:rPr>
        <w:t>2</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7"/>
        <w:gridCol w:w="729"/>
        <w:gridCol w:w="729"/>
        <w:gridCol w:w="402"/>
        <w:gridCol w:w="327"/>
        <w:gridCol w:w="728"/>
        <w:gridCol w:w="590"/>
        <w:gridCol w:w="138"/>
        <w:gridCol w:w="7"/>
        <w:gridCol w:w="721"/>
        <w:gridCol w:w="728"/>
        <w:gridCol w:w="314"/>
        <w:gridCol w:w="414"/>
        <w:gridCol w:w="728"/>
        <w:gridCol w:w="810"/>
      </w:tblGrid>
      <w:tr w:rsidR="00D8637F" w:rsidRPr="000F0299" w14:paraId="5FECA5F1" w14:textId="77777777" w:rsidTr="00487FD1">
        <w:trPr>
          <w:trHeight w:val="555"/>
          <w:jc w:val="center"/>
        </w:trPr>
        <w:tc>
          <w:tcPr>
            <w:tcW w:w="945" w:type="pct"/>
            <w:shd w:val="clear" w:color="auto" w:fill="2F5496" w:themeFill="accent1" w:themeFillShade="BF"/>
          </w:tcPr>
          <w:p w14:paraId="0D0D18FF" w14:textId="77777777" w:rsidR="00D8637F" w:rsidRPr="000F0299" w:rsidRDefault="00D8637F" w:rsidP="00AC03F7">
            <w:pPr>
              <w:spacing w:before="0"/>
              <w:ind w:firstLine="0"/>
              <w:rPr>
                <w:b/>
                <w:bCs/>
                <w:color w:val="FFFFFF" w:themeColor="background1"/>
                <w:sz w:val="20"/>
                <w:szCs w:val="20"/>
              </w:rPr>
            </w:pPr>
            <w:r w:rsidRPr="000F0299">
              <w:rPr>
                <w:b/>
                <w:bCs/>
                <w:color w:val="FFFFFF" w:themeColor="background1"/>
                <w:sz w:val="20"/>
                <w:szCs w:val="20"/>
              </w:rPr>
              <w:t>Назив показатеља</w:t>
            </w:r>
          </w:p>
        </w:tc>
        <w:tc>
          <w:tcPr>
            <w:tcW w:w="4055" w:type="pct"/>
            <w:gridSpan w:val="14"/>
            <w:shd w:val="clear" w:color="auto" w:fill="2F5496" w:themeFill="accent1" w:themeFillShade="BF"/>
            <w:vAlign w:val="center"/>
          </w:tcPr>
          <w:p w14:paraId="4A84B3A5" w14:textId="11D6F330" w:rsidR="00D8637F" w:rsidRPr="000F0299" w:rsidRDefault="00D8637F" w:rsidP="00AC03F7">
            <w:pPr>
              <w:spacing w:before="0"/>
              <w:ind w:firstLine="0"/>
              <w:rPr>
                <w:b/>
                <w:bCs/>
                <w:color w:val="FFFFFF" w:themeColor="background1"/>
                <w:sz w:val="20"/>
                <w:szCs w:val="20"/>
              </w:rPr>
            </w:pPr>
            <w:r w:rsidRPr="000F0299">
              <w:rPr>
                <w:b/>
                <w:bCs/>
                <w:color w:val="FFFFFF" w:themeColor="background1"/>
                <w:sz w:val="20"/>
                <w:szCs w:val="20"/>
              </w:rPr>
              <w:t>Степен задовољства грађана и привреде пруженим услугама јавне управе</w:t>
            </w:r>
          </w:p>
        </w:tc>
      </w:tr>
      <w:tr w:rsidR="00D8637F" w:rsidRPr="000F0299" w14:paraId="6CFB2FB7" w14:textId="77777777" w:rsidTr="00487FD1">
        <w:trPr>
          <w:trHeight w:val="331"/>
          <w:jc w:val="center"/>
        </w:trPr>
        <w:tc>
          <w:tcPr>
            <w:tcW w:w="945" w:type="pct"/>
            <w:shd w:val="clear" w:color="auto" w:fill="auto"/>
          </w:tcPr>
          <w:p w14:paraId="14A70910" w14:textId="77777777" w:rsidR="00D8637F" w:rsidRPr="000F0299" w:rsidRDefault="00D8637F" w:rsidP="00AC03F7">
            <w:pPr>
              <w:spacing w:before="0"/>
              <w:ind w:firstLine="0"/>
              <w:rPr>
                <w:b/>
                <w:bCs/>
                <w:sz w:val="20"/>
                <w:szCs w:val="20"/>
              </w:rPr>
            </w:pPr>
            <w:r w:rsidRPr="000F0299">
              <w:rPr>
                <w:b/>
                <w:bCs/>
                <w:sz w:val="20"/>
                <w:szCs w:val="20"/>
              </w:rPr>
              <w:t>Одговарајући општи, посебни циљ или мера</w:t>
            </w:r>
          </w:p>
        </w:tc>
        <w:tc>
          <w:tcPr>
            <w:tcW w:w="4055" w:type="pct"/>
            <w:gridSpan w:val="14"/>
            <w:shd w:val="clear" w:color="auto" w:fill="auto"/>
          </w:tcPr>
          <w:p w14:paraId="67135D9D" w14:textId="77777777" w:rsidR="00D8637F" w:rsidRPr="000F0299" w:rsidRDefault="00D8637F" w:rsidP="00AC03F7">
            <w:pPr>
              <w:spacing w:before="0"/>
              <w:ind w:firstLine="0"/>
              <w:rPr>
                <w:sz w:val="20"/>
                <w:szCs w:val="20"/>
              </w:rPr>
            </w:pPr>
            <w:r w:rsidRPr="000F0299">
              <w:rPr>
                <w:sz w:val="20"/>
                <w:szCs w:val="20"/>
              </w:rPr>
              <w:t>Даље побољшање рада јавне управе и квалитета креирања јавних политика у складу са европским Принципима јавне управе и обезбеђивање високог квалитета услуга грађанима и привредним субјектима, као и професионалне јавне управе која ће значајно допринети економској стабилности и повећању животног стандарда.</w:t>
            </w:r>
          </w:p>
        </w:tc>
      </w:tr>
      <w:tr w:rsidR="006E109E" w:rsidRPr="000F0299" w14:paraId="583F1D39" w14:textId="77777777" w:rsidTr="00487FD1">
        <w:trPr>
          <w:trHeight w:val="309"/>
          <w:jc w:val="center"/>
        </w:trPr>
        <w:tc>
          <w:tcPr>
            <w:tcW w:w="945" w:type="pct"/>
            <w:shd w:val="clear" w:color="auto" w:fill="auto"/>
          </w:tcPr>
          <w:p w14:paraId="7B627DF5" w14:textId="77777777" w:rsidR="006E109E" w:rsidRPr="000F0299" w:rsidRDefault="006E109E" w:rsidP="00AC03F7">
            <w:pPr>
              <w:spacing w:before="0"/>
              <w:ind w:firstLine="0"/>
              <w:rPr>
                <w:b/>
                <w:bCs/>
                <w:sz w:val="20"/>
                <w:szCs w:val="20"/>
              </w:rPr>
            </w:pPr>
            <w:r w:rsidRPr="000F0299">
              <w:rPr>
                <w:b/>
                <w:kern w:val="24"/>
                <w:sz w:val="20"/>
                <w:szCs w:val="20"/>
              </w:rPr>
              <w:t>Тип и ниво показатеља</w:t>
            </w:r>
          </w:p>
        </w:tc>
        <w:tc>
          <w:tcPr>
            <w:tcW w:w="2009" w:type="pct"/>
            <w:gridSpan w:val="8"/>
            <w:shd w:val="clear" w:color="auto" w:fill="auto"/>
          </w:tcPr>
          <w:p w14:paraId="3263A52B" w14:textId="5CEEA4F7" w:rsidR="006E109E" w:rsidRPr="000F0299" w:rsidRDefault="00D341C9" w:rsidP="00AC03F7">
            <w:pPr>
              <w:tabs>
                <w:tab w:val="left" w:pos="182"/>
              </w:tabs>
              <w:spacing w:before="0"/>
              <w:ind w:firstLine="0"/>
              <w:rPr>
                <w:bCs/>
                <w:kern w:val="24"/>
                <w:sz w:val="20"/>
                <w:szCs w:val="20"/>
              </w:rPr>
            </w:pPr>
            <w:r w:rsidRPr="000F0299">
              <w:rPr>
                <w:bCs/>
                <w:kern w:val="24"/>
                <w:sz w:val="20"/>
                <w:szCs w:val="20"/>
              </w:rPr>
              <w:t>Квалитативан</w:t>
            </w:r>
            <w:r w:rsidR="006E109E" w:rsidRPr="000F0299">
              <w:rPr>
                <w:bCs/>
                <w:kern w:val="24"/>
                <w:sz w:val="20"/>
                <w:szCs w:val="20"/>
              </w:rPr>
              <w:t xml:space="preserve"> показатељ </w:t>
            </w:r>
          </w:p>
        </w:tc>
        <w:tc>
          <w:tcPr>
            <w:tcW w:w="2046" w:type="pct"/>
            <w:gridSpan w:val="6"/>
            <w:shd w:val="clear" w:color="auto" w:fill="auto"/>
          </w:tcPr>
          <w:p w14:paraId="34AC7CDE" w14:textId="5BBE6633" w:rsidR="006E109E" w:rsidRPr="000F0299" w:rsidRDefault="006E109E" w:rsidP="00AC03F7">
            <w:pPr>
              <w:tabs>
                <w:tab w:val="left" w:pos="182"/>
              </w:tabs>
              <w:spacing w:before="0"/>
              <w:ind w:firstLine="0"/>
              <w:rPr>
                <w:bCs/>
                <w:kern w:val="24"/>
                <w:sz w:val="20"/>
                <w:szCs w:val="20"/>
              </w:rPr>
            </w:pPr>
            <w:r w:rsidRPr="000F0299">
              <w:rPr>
                <w:bCs/>
                <w:kern w:val="24"/>
                <w:sz w:val="20"/>
                <w:szCs w:val="20"/>
              </w:rPr>
              <w:t>Показатељ ефекта</w:t>
            </w:r>
          </w:p>
        </w:tc>
      </w:tr>
      <w:tr w:rsidR="006E109E" w:rsidRPr="000F0299" w14:paraId="46E96170" w14:textId="77777777" w:rsidTr="00487FD1">
        <w:trPr>
          <w:trHeight w:val="356"/>
          <w:jc w:val="center"/>
        </w:trPr>
        <w:tc>
          <w:tcPr>
            <w:tcW w:w="945" w:type="pct"/>
            <w:shd w:val="clear" w:color="auto" w:fill="auto"/>
          </w:tcPr>
          <w:p w14:paraId="085105FA" w14:textId="77777777" w:rsidR="006E109E" w:rsidRPr="000F0299" w:rsidRDefault="006E109E" w:rsidP="00AC03F7">
            <w:pPr>
              <w:spacing w:before="0"/>
              <w:ind w:firstLine="0"/>
              <w:rPr>
                <w:b/>
                <w:kern w:val="24"/>
                <w:sz w:val="20"/>
                <w:szCs w:val="20"/>
              </w:rPr>
            </w:pPr>
            <w:r w:rsidRPr="000F0299">
              <w:rPr>
                <w:b/>
                <w:kern w:val="24"/>
                <w:sz w:val="20"/>
                <w:szCs w:val="20"/>
              </w:rPr>
              <w:t>Јединица мере и природа</w:t>
            </w:r>
          </w:p>
        </w:tc>
        <w:tc>
          <w:tcPr>
            <w:tcW w:w="2009" w:type="pct"/>
            <w:gridSpan w:val="8"/>
            <w:shd w:val="clear" w:color="auto" w:fill="auto"/>
          </w:tcPr>
          <w:p w14:paraId="7248505D" w14:textId="77777777" w:rsidR="006E109E" w:rsidRPr="000F0299" w:rsidRDefault="006E109E" w:rsidP="00AC03F7">
            <w:pPr>
              <w:tabs>
                <w:tab w:val="left" w:pos="182"/>
              </w:tabs>
              <w:spacing w:before="0"/>
              <w:ind w:firstLine="0"/>
              <w:rPr>
                <w:bCs/>
                <w:kern w:val="24"/>
                <w:sz w:val="20"/>
                <w:szCs w:val="20"/>
              </w:rPr>
            </w:pPr>
            <w:r w:rsidRPr="000F0299">
              <w:rPr>
                <w:bCs/>
                <w:kern w:val="24"/>
                <w:sz w:val="20"/>
                <w:szCs w:val="20"/>
              </w:rPr>
              <w:t>Оцена, скала 0-9</w:t>
            </w:r>
          </w:p>
        </w:tc>
        <w:tc>
          <w:tcPr>
            <w:tcW w:w="2046" w:type="pct"/>
            <w:gridSpan w:val="6"/>
            <w:shd w:val="clear" w:color="auto" w:fill="auto"/>
          </w:tcPr>
          <w:p w14:paraId="01DE4428" w14:textId="00B67237" w:rsidR="006E109E" w:rsidRPr="000F0299" w:rsidRDefault="006E109E" w:rsidP="00AC03F7">
            <w:pPr>
              <w:tabs>
                <w:tab w:val="left" w:pos="182"/>
              </w:tabs>
              <w:spacing w:before="0"/>
              <w:ind w:firstLine="0"/>
              <w:rPr>
                <w:bCs/>
                <w:kern w:val="24"/>
                <w:sz w:val="20"/>
                <w:szCs w:val="20"/>
              </w:rPr>
            </w:pPr>
            <w:r w:rsidRPr="000F0299">
              <w:rPr>
                <w:bCs/>
                <w:kern w:val="24"/>
                <w:sz w:val="20"/>
                <w:szCs w:val="20"/>
              </w:rPr>
              <w:t>Пожељна је виша вредност</w:t>
            </w:r>
          </w:p>
        </w:tc>
      </w:tr>
      <w:tr w:rsidR="00D8637F" w:rsidRPr="000F0299" w14:paraId="794D921B" w14:textId="77777777" w:rsidTr="00487FD1">
        <w:trPr>
          <w:trHeight w:val="715"/>
          <w:jc w:val="center"/>
        </w:trPr>
        <w:tc>
          <w:tcPr>
            <w:tcW w:w="945" w:type="pct"/>
            <w:shd w:val="clear" w:color="auto" w:fill="auto"/>
          </w:tcPr>
          <w:p w14:paraId="024BD44B" w14:textId="77777777" w:rsidR="00D8637F" w:rsidRPr="000F0299" w:rsidRDefault="00D8637F" w:rsidP="00AC03F7">
            <w:pPr>
              <w:spacing w:before="0"/>
              <w:ind w:firstLine="0"/>
              <w:rPr>
                <w:b/>
                <w:bCs/>
                <w:sz w:val="20"/>
                <w:szCs w:val="20"/>
              </w:rPr>
            </w:pPr>
            <w:r w:rsidRPr="000F0299">
              <w:rPr>
                <w:b/>
                <w:bCs/>
                <w:sz w:val="20"/>
                <w:szCs w:val="20"/>
              </w:rPr>
              <w:t>Извор података за праћење показатеља учинка</w:t>
            </w:r>
          </w:p>
        </w:tc>
        <w:tc>
          <w:tcPr>
            <w:tcW w:w="4055" w:type="pct"/>
            <w:gridSpan w:val="14"/>
            <w:shd w:val="clear" w:color="auto" w:fill="auto"/>
          </w:tcPr>
          <w:p w14:paraId="321BFA1E" w14:textId="77777777" w:rsidR="00D8637F" w:rsidRPr="000F0299" w:rsidRDefault="00D8637F" w:rsidP="00AC03F7">
            <w:pPr>
              <w:spacing w:before="0"/>
              <w:ind w:firstLine="0"/>
              <w:rPr>
                <w:sz w:val="20"/>
                <w:szCs w:val="20"/>
              </w:rPr>
            </w:pPr>
            <w:r w:rsidRPr="000F0299">
              <w:rPr>
                <w:sz w:val="20"/>
                <w:szCs w:val="20"/>
              </w:rPr>
              <w:t>Балкански барометар, Регионални савет за сарадњу</w:t>
            </w:r>
          </w:p>
          <w:p w14:paraId="76572591" w14:textId="77777777" w:rsidR="00D8637F" w:rsidRPr="000F0299" w:rsidRDefault="00D8637F" w:rsidP="00AC03F7">
            <w:pPr>
              <w:spacing w:before="0"/>
              <w:ind w:firstLine="0"/>
              <w:rPr>
                <w:sz w:val="20"/>
                <w:szCs w:val="20"/>
              </w:rPr>
            </w:pPr>
            <w:r w:rsidRPr="000F0299">
              <w:rPr>
                <w:sz w:val="20"/>
                <w:szCs w:val="20"/>
              </w:rPr>
              <w:t xml:space="preserve">Линк: </w:t>
            </w:r>
            <w:hyperlink r:id="rId197" w:history="1">
              <w:r w:rsidRPr="000F0299">
                <w:rPr>
                  <w:rStyle w:val="Hyperlink"/>
                  <w:sz w:val="20"/>
                  <w:szCs w:val="20"/>
                </w:rPr>
                <w:t>https://www.rcc.int/balkanbarometer/publications</w:t>
              </w:r>
            </w:hyperlink>
            <w:r w:rsidRPr="000F0299">
              <w:rPr>
                <w:sz w:val="20"/>
                <w:szCs w:val="20"/>
              </w:rPr>
              <w:t xml:space="preserve"> </w:t>
            </w:r>
          </w:p>
          <w:p w14:paraId="08492643" w14:textId="77777777" w:rsidR="00D8637F" w:rsidRPr="000F0299" w:rsidRDefault="00D8637F" w:rsidP="00AC03F7">
            <w:pPr>
              <w:spacing w:before="0"/>
              <w:ind w:firstLine="0"/>
              <w:rPr>
                <w:sz w:val="20"/>
                <w:szCs w:val="20"/>
              </w:rPr>
            </w:pPr>
            <w:r w:rsidRPr="000F0299">
              <w:rPr>
                <w:sz w:val="20"/>
                <w:szCs w:val="20"/>
              </w:rPr>
              <w:t>Регионално упоредив показатељ.</w:t>
            </w:r>
          </w:p>
        </w:tc>
      </w:tr>
      <w:tr w:rsidR="00D8637F" w:rsidRPr="000F0299" w14:paraId="7E087609" w14:textId="77777777" w:rsidTr="00487FD1">
        <w:trPr>
          <w:trHeight w:val="512"/>
          <w:jc w:val="center"/>
        </w:trPr>
        <w:tc>
          <w:tcPr>
            <w:tcW w:w="945" w:type="pct"/>
            <w:shd w:val="clear" w:color="auto" w:fill="auto"/>
          </w:tcPr>
          <w:p w14:paraId="2FEB17BC" w14:textId="77777777" w:rsidR="00D8637F" w:rsidRPr="000F0299" w:rsidRDefault="00D8637F" w:rsidP="00AC03F7">
            <w:pPr>
              <w:spacing w:before="0"/>
              <w:ind w:firstLine="0"/>
              <w:rPr>
                <w:b/>
                <w:bCs/>
                <w:sz w:val="20"/>
                <w:szCs w:val="20"/>
              </w:rPr>
            </w:pPr>
            <w:r w:rsidRPr="000F0299">
              <w:rPr>
                <w:b/>
                <w:bCs/>
                <w:sz w:val="20"/>
                <w:szCs w:val="20"/>
              </w:rPr>
              <w:t>Назив носиоца прикупљања података</w:t>
            </w:r>
          </w:p>
        </w:tc>
        <w:tc>
          <w:tcPr>
            <w:tcW w:w="4055" w:type="pct"/>
            <w:gridSpan w:val="14"/>
            <w:shd w:val="clear" w:color="auto" w:fill="auto"/>
          </w:tcPr>
          <w:p w14:paraId="68FA5FEF" w14:textId="6177B1C2" w:rsidR="008C7AD9" w:rsidRPr="000F0299" w:rsidRDefault="00D8637F" w:rsidP="008C7AD9">
            <w:pPr>
              <w:spacing w:before="0"/>
              <w:ind w:firstLine="0"/>
              <w:rPr>
                <w:sz w:val="20"/>
                <w:szCs w:val="20"/>
              </w:rPr>
            </w:pPr>
            <w:r w:rsidRPr="000F0299">
              <w:rPr>
                <w:sz w:val="20"/>
                <w:szCs w:val="20"/>
              </w:rPr>
              <w:t xml:space="preserve">Министарство државне управе и локалне самоуправе, </w:t>
            </w:r>
            <w:r w:rsidR="008C7AD9">
              <w:rPr>
                <w:sz w:val="20"/>
                <w:szCs w:val="20"/>
              </w:rPr>
              <w:t>Одељење за стратешко планирање</w:t>
            </w:r>
          </w:p>
          <w:p w14:paraId="5FD80A1A" w14:textId="546789FB" w:rsidR="00D8637F" w:rsidRPr="000F0299" w:rsidRDefault="00D8637F" w:rsidP="00AC03F7">
            <w:pPr>
              <w:spacing w:before="0"/>
              <w:ind w:firstLine="0"/>
              <w:rPr>
                <w:sz w:val="20"/>
                <w:szCs w:val="20"/>
              </w:rPr>
            </w:pPr>
          </w:p>
        </w:tc>
      </w:tr>
      <w:tr w:rsidR="00D8637F" w:rsidRPr="000F0299" w14:paraId="352056E0" w14:textId="77777777" w:rsidTr="00487FD1">
        <w:trPr>
          <w:trHeight w:val="512"/>
          <w:jc w:val="center"/>
        </w:trPr>
        <w:tc>
          <w:tcPr>
            <w:tcW w:w="945" w:type="pct"/>
            <w:shd w:val="clear" w:color="auto" w:fill="auto"/>
          </w:tcPr>
          <w:p w14:paraId="25A53B5F" w14:textId="77777777" w:rsidR="00D8637F" w:rsidRPr="000F0299" w:rsidRDefault="00D8637F" w:rsidP="00AC03F7">
            <w:pPr>
              <w:spacing w:before="0"/>
              <w:ind w:firstLine="0"/>
              <w:rPr>
                <w:b/>
                <w:bCs/>
                <w:sz w:val="20"/>
                <w:szCs w:val="20"/>
              </w:rPr>
            </w:pPr>
            <w:r w:rsidRPr="000F0299">
              <w:rPr>
                <w:b/>
                <w:bCs/>
                <w:sz w:val="20"/>
                <w:szCs w:val="20"/>
              </w:rPr>
              <w:t>Учесталост прикупљања података</w:t>
            </w:r>
          </w:p>
        </w:tc>
        <w:tc>
          <w:tcPr>
            <w:tcW w:w="4055" w:type="pct"/>
            <w:gridSpan w:val="14"/>
            <w:shd w:val="clear" w:color="auto" w:fill="auto"/>
          </w:tcPr>
          <w:p w14:paraId="4EE367FA" w14:textId="77777777" w:rsidR="00D8637F" w:rsidRPr="000F0299" w:rsidRDefault="00D8637F" w:rsidP="00AC03F7">
            <w:pPr>
              <w:tabs>
                <w:tab w:val="right" w:pos="2548"/>
              </w:tabs>
              <w:spacing w:before="0"/>
              <w:ind w:firstLine="0"/>
              <w:rPr>
                <w:bCs/>
                <w:sz w:val="20"/>
                <w:szCs w:val="20"/>
              </w:rPr>
            </w:pPr>
            <w:r w:rsidRPr="000F0299">
              <w:rPr>
                <w:bCs/>
                <w:sz w:val="20"/>
                <w:szCs w:val="20"/>
              </w:rPr>
              <w:t>Истраживање се спроводи сваке године,</w:t>
            </w:r>
          </w:p>
          <w:p w14:paraId="243F8D66" w14:textId="79DFEF93" w:rsidR="00D8637F" w:rsidRPr="000F0299" w:rsidRDefault="00D8637F" w:rsidP="00AC03F7">
            <w:pPr>
              <w:tabs>
                <w:tab w:val="right" w:pos="2548"/>
              </w:tabs>
              <w:spacing w:before="0"/>
              <w:ind w:firstLine="0"/>
              <w:rPr>
                <w:bCs/>
                <w:sz w:val="20"/>
                <w:szCs w:val="20"/>
              </w:rPr>
            </w:pPr>
            <w:r w:rsidRPr="000F0299">
              <w:rPr>
                <w:bCs/>
                <w:sz w:val="20"/>
                <w:szCs w:val="20"/>
              </w:rPr>
              <w:t>Прва следећа публикација извештаја је у априлу 2021.</w:t>
            </w:r>
          </w:p>
        </w:tc>
      </w:tr>
      <w:tr w:rsidR="00D8637F" w:rsidRPr="000F0299" w14:paraId="29D19AD2" w14:textId="77777777" w:rsidTr="00487FD1">
        <w:trPr>
          <w:trHeight w:val="1533"/>
          <w:jc w:val="center"/>
        </w:trPr>
        <w:tc>
          <w:tcPr>
            <w:tcW w:w="945" w:type="pct"/>
            <w:shd w:val="clear" w:color="auto" w:fill="auto"/>
          </w:tcPr>
          <w:p w14:paraId="34B19A87" w14:textId="77777777" w:rsidR="00D8637F" w:rsidRPr="000F0299" w:rsidRDefault="00D8637F" w:rsidP="00AC03F7">
            <w:pPr>
              <w:spacing w:before="0"/>
              <w:ind w:firstLine="0"/>
              <w:rPr>
                <w:b/>
                <w:sz w:val="20"/>
                <w:szCs w:val="20"/>
              </w:rPr>
            </w:pPr>
            <w:r w:rsidRPr="000F0299">
              <w:rPr>
                <w:b/>
                <w:sz w:val="20"/>
                <w:szCs w:val="20"/>
              </w:rPr>
              <w:t>Кратак опис показатеља и методологије израчунавања</w:t>
            </w:r>
          </w:p>
        </w:tc>
        <w:tc>
          <w:tcPr>
            <w:tcW w:w="4055" w:type="pct"/>
            <w:gridSpan w:val="14"/>
            <w:shd w:val="clear" w:color="auto" w:fill="auto"/>
          </w:tcPr>
          <w:p w14:paraId="445FF17D" w14:textId="1EF6C75A" w:rsidR="00D8637F" w:rsidRPr="000F0299" w:rsidRDefault="00D8637F" w:rsidP="00AC03F7">
            <w:pPr>
              <w:tabs>
                <w:tab w:val="right" w:pos="2548"/>
              </w:tabs>
              <w:spacing w:before="0"/>
              <w:ind w:firstLine="0"/>
              <w:rPr>
                <w:bCs/>
                <w:sz w:val="20"/>
                <w:szCs w:val="20"/>
              </w:rPr>
            </w:pPr>
            <w:r w:rsidRPr="000F0299">
              <w:rPr>
                <w:bCs/>
                <w:sz w:val="20"/>
                <w:szCs w:val="20"/>
              </w:rPr>
              <w:t>Показатељ се конструише на основу истраживања ”Балкански барометар” о ставовима јавног мњења о пруженим услугама јавне управе (на узорку од преко 6.000 грађана и 1.200 привредних субјеката) које спроводи Регионални савет за сарадњу у 6 економија Западног Балкана.</w:t>
            </w:r>
          </w:p>
          <w:p w14:paraId="2FC019EF" w14:textId="05AA723E" w:rsidR="00D8637F" w:rsidRPr="000F0299" w:rsidRDefault="00D8637F" w:rsidP="00AC03F7">
            <w:pPr>
              <w:tabs>
                <w:tab w:val="right" w:pos="2548"/>
              </w:tabs>
              <w:spacing w:before="0"/>
              <w:ind w:firstLine="0"/>
              <w:rPr>
                <w:bCs/>
                <w:sz w:val="20"/>
                <w:szCs w:val="20"/>
              </w:rPr>
            </w:pPr>
            <w:r w:rsidRPr="000F0299">
              <w:rPr>
                <w:bCs/>
                <w:sz w:val="20"/>
                <w:szCs w:val="20"/>
              </w:rPr>
              <w:t>Показатељ се обрачунава преузимањем 6 питања о задовољству услугама јавне управе (4 се постављају грађанима, 2 привреди) и трансформисањем одабраних одговора (”Добро”, ”Врло добро” и ”Одлично” које дају грађани на постављена питања и ”</w:t>
            </w:r>
            <w:r w:rsidR="00D341C9" w:rsidRPr="000F0299">
              <w:rPr>
                <w:bCs/>
                <w:sz w:val="20"/>
                <w:szCs w:val="20"/>
              </w:rPr>
              <w:t>Задовољан</w:t>
            </w:r>
            <w:r w:rsidRPr="000F0299">
              <w:rPr>
                <w:bCs/>
                <w:sz w:val="20"/>
                <w:szCs w:val="20"/>
              </w:rPr>
              <w:t xml:space="preserve">/на” и ”Веома задовољан/на” које дају привредни субјекти) који су изворно исказани у процентима оних који су их дали у односу на укупан број анкетираних у скалу која има распон 0-1.5. Свако питање носи једнаку вредност у калкулацији крајњег показатеља, али се померање фокуса на грађане уводи тиме што се у обрачун показатеља укључује два пута више питања која се на њих односе него на привреду. Тако у збиру за свих шест показатеља финална вредност се налази у распону 0-9. Границе скале су усаглашене са мерењима које спроводи </w:t>
            </w:r>
            <w:r w:rsidR="0070535D" w:rsidRPr="0070535D">
              <w:rPr>
                <w:bCs/>
                <w:i/>
                <w:sz w:val="20"/>
                <w:szCs w:val="20"/>
              </w:rPr>
              <w:t>SIGMA</w:t>
            </w:r>
            <w:r w:rsidRPr="000F0299">
              <w:rPr>
                <w:bCs/>
                <w:sz w:val="20"/>
                <w:szCs w:val="20"/>
              </w:rPr>
              <w:t xml:space="preserve">, иако </w:t>
            </w:r>
            <w:r w:rsidR="0070535D" w:rsidRPr="0070535D">
              <w:rPr>
                <w:bCs/>
                <w:i/>
                <w:sz w:val="20"/>
                <w:szCs w:val="20"/>
              </w:rPr>
              <w:t>SIGMA</w:t>
            </w:r>
            <w:r w:rsidRPr="000F0299">
              <w:rPr>
                <w:bCs/>
                <w:sz w:val="20"/>
                <w:szCs w:val="20"/>
              </w:rPr>
              <w:t xml:space="preserve"> даје другачије пондере.</w:t>
            </w:r>
          </w:p>
          <w:p w14:paraId="77AFB146" w14:textId="0066D2F9" w:rsidR="00D8637F" w:rsidRPr="000F0299" w:rsidRDefault="00D8637F" w:rsidP="00E62A1A">
            <w:pPr>
              <w:pStyle w:val="ListParagraph"/>
              <w:numPr>
                <w:ilvl w:val="0"/>
                <w:numId w:val="23"/>
              </w:numPr>
              <w:suppressAutoHyphens w:val="0"/>
              <w:autoSpaceDN/>
              <w:spacing w:before="0" w:after="60" w:line="240" w:lineRule="auto"/>
              <w:ind w:left="456"/>
              <w:textAlignment w:val="auto"/>
              <w:rPr>
                <w:bCs/>
                <w:sz w:val="20"/>
                <w:szCs w:val="20"/>
              </w:rPr>
            </w:pPr>
            <w:r w:rsidRPr="000F0299">
              <w:rPr>
                <w:bCs/>
                <w:sz w:val="20"/>
                <w:szCs w:val="20"/>
              </w:rPr>
              <w:t>Можете ли ми рећи колико сте задовољни сваким од следећег у вашем месту становања - Јавне услуге за предузећа? (</w:t>
            </w:r>
            <w:r w:rsidR="00D341C9" w:rsidRPr="000F0299">
              <w:rPr>
                <w:bCs/>
                <w:sz w:val="20"/>
                <w:szCs w:val="20"/>
              </w:rPr>
              <w:t>енгл.</w:t>
            </w:r>
            <w:r w:rsidRPr="000F0299">
              <w:rPr>
                <w:bCs/>
                <w:sz w:val="20"/>
                <w:szCs w:val="20"/>
              </w:rPr>
              <w:t xml:space="preserve"> Could you please tell me how satisfied you are with each of the following in your place of living - Public services for businesses?); Скалирање 1.5 поен = 65%-100% пожељних одговора ; 1 поен = 50%-64.99%; 0. 5 поена = 35%-49.99% 0 поена = 0%-34.99</w:t>
            </w:r>
            <w:r w:rsidRPr="000F0299">
              <w:t>%</w:t>
            </w:r>
          </w:p>
          <w:p w14:paraId="2A30C743" w14:textId="4F0E8CE8" w:rsidR="00D8637F" w:rsidRPr="000F0299" w:rsidRDefault="00D8637F" w:rsidP="00E62A1A">
            <w:pPr>
              <w:pStyle w:val="ListParagraph"/>
              <w:numPr>
                <w:ilvl w:val="0"/>
                <w:numId w:val="23"/>
              </w:numPr>
              <w:suppressAutoHyphens w:val="0"/>
              <w:autoSpaceDN/>
              <w:spacing w:before="0" w:after="60" w:line="240" w:lineRule="auto"/>
              <w:ind w:left="456"/>
              <w:textAlignment w:val="auto"/>
              <w:rPr>
                <w:bCs/>
                <w:sz w:val="20"/>
                <w:szCs w:val="20"/>
              </w:rPr>
            </w:pPr>
            <w:r w:rsidRPr="000F0299">
              <w:rPr>
                <w:bCs/>
                <w:sz w:val="20"/>
                <w:szCs w:val="20"/>
              </w:rPr>
              <w:t>Можете ли ми рећи како сте задовољни са сваким од следећег у вашем месту становања - Дигиталне услуге које тренутно пружа јавна управа за предузећа? (</w:t>
            </w:r>
            <w:r w:rsidR="00D341C9" w:rsidRPr="000F0299">
              <w:rPr>
                <w:bCs/>
                <w:sz w:val="20"/>
                <w:szCs w:val="20"/>
              </w:rPr>
              <w:t>енгл.</w:t>
            </w:r>
            <w:r w:rsidRPr="000F0299">
              <w:rPr>
                <w:bCs/>
                <w:sz w:val="20"/>
                <w:szCs w:val="20"/>
              </w:rPr>
              <w:t xml:space="preserve"> Could you please tell me how satisfied you are with each of the following in your place of living - Digital services currently provided by the public administration for businesses?); Скалирање 1.5 поен = 65%-100% ; 1 поен = 50%-64.99%; 0. 5 поена = 35%-49.99% 0 поена = 0%-34.99</w:t>
            </w:r>
            <w:r w:rsidRPr="000F0299">
              <w:t>%;</w:t>
            </w:r>
          </w:p>
          <w:p w14:paraId="2C59207F" w14:textId="7F6C71AE" w:rsidR="00D8637F" w:rsidRPr="000F0299" w:rsidRDefault="00D8637F" w:rsidP="00E62A1A">
            <w:pPr>
              <w:pStyle w:val="ListParagraph"/>
              <w:numPr>
                <w:ilvl w:val="0"/>
                <w:numId w:val="23"/>
              </w:numPr>
              <w:suppressAutoHyphens w:val="0"/>
              <w:autoSpaceDN/>
              <w:spacing w:before="0" w:after="60" w:line="240" w:lineRule="auto"/>
              <w:ind w:left="456"/>
              <w:textAlignment w:val="auto"/>
              <w:rPr>
                <w:bCs/>
                <w:sz w:val="20"/>
                <w:szCs w:val="20"/>
              </w:rPr>
            </w:pPr>
            <w:r w:rsidRPr="000F0299">
              <w:rPr>
                <w:bCs/>
                <w:sz w:val="20"/>
                <w:szCs w:val="20"/>
              </w:rPr>
              <w:t>Колико сте уопште задовољни јавним услугама (</w:t>
            </w:r>
            <w:r w:rsidR="00D341C9" w:rsidRPr="000F0299">
              <w:rPr>
                <w:bCs/>
                <w:sz w:val="20"/>
                <w:szCs w:val="20"/>
              </w:rPr>
              <w:t>енгл.</w:t>
            </w:r>
            <w:r w:rsidRPr="000F0299">
              <w:rPr>
                <w:bCs/>
                <w:sz w:val="20"/>
                <w:szCs w:val="20"/>
              </w:rPr>
              <w:t xml:space="preserve"> How satisfied are you with Public services in general?) Скалирање: 1.5 поен = 60%-100%, 1 поен = 45%-59.99%, 0.5 поена = 30%-44.99%, 0 поена = испод 29.99%;</w:t>
            </w:r>
          </w:p>
          <w:p w14:paraId="724062BA" w14:textId="7E5219BE" w:rsidR="00D8637F" w:rsidRPr="000F0299" w:rsidRDefault="00D8637F" w:rsidP="00E62A1A">
            <w:pPr>
              <w:pStyle w:val="ListParagraph"/>
              <w:numPr>
                <w:ilvl w:val="0"/>
                <w:numId w:val="23"/>
              </w:numPr>
              <w:suppressAutoHyphens w:val="0"/>
              <w:autoSpaceDN/>
              <w:spacing w:before="0" w:after="60" w:line="240" w:lineRule="auto"/>
              <w:ind w:left="456"/>
              <w:textAlignment w:val="auto"/>
              <w:rPr>
                <w:bCs/>
                <w:sz w:val="20"/>
                <w:szCs w:val="20"/>
              </w:rPr>
            </w:pPr>
            <w:r w:rsidRPr="000F0299">
              <w:rPr>
                <w:bCs/>
                <w:sz w:val="20"/>
                <w:szCs w:val="20"/>
              </w:rPr>
              <w:t>Колико сте задовољни административним услугама централне владе? (енг</w:t>
            </w:r>
            <w:r w:rsidR="00D341C9">
              <w:rPr>
                <w:bCs/>
                <w:sz w:val="20"/>
                <w:szCs w:val="20"/>
              </w:rPr>
              <w:t>л</w:t>
            </w:r>
            <w:r w:rsidRPr="000F0299">
              <w:rPr>
                <w:bCs/>
                <w:sz w:val="20"/>
                <w:szCs w:val="20"/>
              </w:rPr>
              <w:t xml:space="preserve">. How satisfied are you with Administrative services from central government?); Скалирање: 1.5 поен = 65%-100%, 1 поен = 50%-64.99%, 0.5 поена = 35%-49.99%, 0 поена = испод 35% </w:t>
            </w:r>
          </w:p>
          <w:p w14:paraId="2B187B6C" w14:textId="259F95B2" w:rsidR="00D8637F" w:rsidRPr="000F0299" w:rsidRDefault="00D8637F" w:rsidP="00E62A1A">
            <w:pPr>
              <w:pStyle w:val="ListParagraph"/>
              <w:numPr>
                <w:ilvl w:val="0"/>
                <w:numId w:val="23"/>
              </w:numPr>
              <w:suppressAutoHyphens w:val="0"/>
              <w:autoSpaceDN/>
              <w:spacing w:before="0" w:after="60" w:line="240" w:lineRule="auto"/>
              <w:ind w:left="456"/>
              <w:textAlignment w:val="auto"/>
              <w:rPr>
                <w:bCs/>
                <w:sz w:val="20"/>
                <w:szCs w:val="20"/>
              </w:rPr>
            </w:pPr>
            <w:r w:rsidRPr="000F0299">
              <w:rPr>
                <w:bCs/>
                <w:sz w:val="20"/>
                <w:szCs w:val="20"/>
              </w:rPr>
              <w:t>Како бисте оценили - Цена јавних услуга (нпр. Издавање личних докумената, трошкови судства итд.)? (</w:t>
            </w:r>
            <w:r w:rsidR="00D341C9" w:rsidRPr="000F0299">
              <w:rPr>
                <w:bCs/>
                <w:sz w:val="20"/>
                <w:szCs w:val="20"/>
              </w:rPr>
              <w:t>енгл.</w:t>
            </w:r>
            <w:r w:rsidRPr="000F0299">
              <w:rPr>
                <w:bCs/>
                <w:sz w:val="20"/>
                <w:szCs w:val="20"/>
              </w:rPr>
              <w:t xml:space="preserve"> How would you grade - Price of public services (e.g. issuance of personal documents, judiciary costs, etc.)?); Скалирање: 1.5 поена = 70%-100% ; 1 поен = 55%-69.99% 0.5 поена = 40%-54.99% 0 поена = испод 40%;</w:t>
            </w:r>
          </w:p>
          <w:p w14:paraId="70BD50CC" w14:textId="63CA313C" w:rsidR="00D8637F" w:rsidRPr="000F0299" w:rsidRDefault="00D8637F" w:rsidP="00E62A1A">
            <w:pPr>
              <w:pStyle w:val="ListParagraph"/>
              <w:numPr>
                <w:ilvl w:val="0"/>
                <w:numId w:val="23"/>
              </w:numPr>
              <w:suppressAutoHyphens w:val="0"/>
              <w:autoSpaceDN/>
              <w:spacing w:before="0" w:after="60" w:line="240" w:lineRule="auto"/>
              <w:ind w:left="456"/>
              <w:textAlignment w:val="auto"/>
              <w:rPr>
                <w:bCs/>
                <w:sz w:val="20"/>
                <w:szCs w:val="20"/>
              </w:rPr>
            </w:pPr>
            <w:r w:rsidRPr="000F0299">
              <w:rPr>
                <w:bCs/>
                <w:sz w:val="20"/>
                <w:szCs w:val="20"/>
              </w:rPr>
              <w:t>Како бисте оценили - Време потребно за добијање јавних услуга (полиција, здравствени систем, судство, општина итд.)? (</w:t>
            </w:r>
            <w:r w:rsidR="00D341C9" w:rsidRPr="000F0299">
              <w:rPr>
                <w:bCs/>
                <w:sz w:val="20"/>
                <w:szCs w:val="20"/>
              </w:rPr>
              <w:t>енгл.</w:t>
            </w:r>
            <w:r w:rsidRPr="000F0299">
              <w:rPr>
                <w:bCs/>
                <w:sz w:val="20"/>
                <w:szCs w:val="20"/>
              </w:rPr>
              <w:t xml:space="preserve"> How would you grade - Time required to obtain public services (police, health system, judiciary, township, etc.)?; Скалирање: 1.5 поена = 70%-100% ; 1 поен = 55%-69.99% 0.5 поена = 40%-54.99% 0 поена = испод 40%;</w:t>
            </w:r>
          </w:p>
        </w:tc>
      </w:tr>
      <w:tr w:rsidR="00D8637F" w:rsidRPr="000F0299" w14:paraId="7B40314F" w14:textId="77777777" w:rsidTr="00487FD1">
        <w:trPr>
          <w:trHeight w:val="235"/>
          <w:jc w:val="center"/>
        </w:trPr>
        <w:tc>
          <w:tcPr>
            <w:tcW w:w="945" w:type="pct"/>
            <w:vMerge w:val="restart"/>
            <w:shd w:val="clear" w:color="auto" w:fill="auto"/>
          </w:tcPr>
          <w:p w14:paraId="692D35BD" w14:textId="77777777" w:rsidR="00D8637F" w:rsidRPr="000F0299" w:rsidRDefault="00D8637F" w:rsidP="00AC03F7">
            <w:pPr>
              <w:spacing w:before="0"/>
              <w:ind w:firstLine="0"/>
              <w:rPr>
                <w:b/>
                <w:bCs/>
                <w:sz w:val="20"/>
                <w:szCs w:val="20"/>
              </w:rPr>
            </w:pPr>
            <w:r w:rsidRPr="000F0299">
              <w:rPr>
                <w:b/>
                <w:bCs/>
                <w:sz w:val="20"/>
                <w:szCs w:val="20"/>
              </w:rPr>
              <w:t>Подаци о полазној вредности и години кад је измерена, као и тренду у прошлости</w:t>
            </w:r>
          </w:p>
        </w:tc>
        <w:tc>
          <w:tcPr>
            <w:tcW w:w="2980" w:type="pct"/>
            <w:gridSpan w:val="11"/>
            <w:tcBorders>
              <w:bottom w:val="single" w:sz="4" w:space="0" w:color="auto"/>
            </w:tcBorders>
            <w:shd w:val="clear" w:color="auto" w:fill="auto"/>
            <w:vAlign w:val="center"/>
          </w:tcPr>
          <w:p w14:paraId="0673907F" w14:textId="77777777" w:rsidR="00D8637F" w:rsidRPr="000F0299" w:rsidRDefault="00D8637F" w:rsidP="00AC03F7">
            <w:pPr>
              <w:spacing w:before="0"/>
              <w:rPr>
                <w:iCs/>
                <w:sz w:val="20"/>
                <w:szCs w:val="20"/>
              </w:rPr>
            </w:pPr>
            <w:r w:rsidRPr="000F0299">
              <w:rPr>
                <w:iCs/>
                <w:sz w:val="20"/>
                <w:szCs w:val="20"/>
              </w:rPr>
              <w:t>Тренд у прошлости</w:t>
            </w:r>
          </w:p>
        </w:tc>
        <w:tc>
          <w:tcPr>
            <w:tcW w:w="1075" w:type="pct"/>
            <w:gridSpan w:val="3"/>
            <w:shd w:val="clear" w:color="auto" w:fill="auto"/>
            <w:vAlign w:val="center"/>
          </w:tcPr>
          <w:p w14:paraId="1A7AFCC7" w14:textId="77777777" w:rsidR="00D8637F" w:rsidRPr="000F0299" w:rsidRDefault="00D8637F" w:rsidP="00AC03F7">
            <w:pPr>
              <w:spacing w:before="0"/>
              <w:rPr>
                <w:iCs/>
                <w:sz w:val="20"/>
                <w:szCs w:val="20"/>
              </w:rPr>
            </w:pPr>
            <w:r w:rsidRPr="000F0299">
              <w:rPr>
                <w:iCs/>
                <w:sz w:val="20"/>
                <w:szCs w:val="20"/>
              </w:rPr>
              <w:t>Полазна вредност</w:t>
            </w:r>
          </w:p>
        </w:tc>
      </w:tr>
      <w:tr w:rsidR="00511166" w:rsidRPr="000F0299" w14:paraId="6A9EACE1" w14:textId="77777777" w:rsidTr="00487FD1">
        <w:trPr>
          <w:trHeight w:val="121"/>
          <w:jc w:val="center"/>
        </w:trPr>
        <w:tc>
          <w:tcPr>
            <w:tcW w:w="945" w:type="pct"/>
            <w:vMerge/>
            <w:tcBorders>
              <w:right w:val="single" w:sz="4" w:space="0" w:color="auto"/>
            </w:tcBorders>
            <w:shd w:val="clear" w:color="auto" w:fill="auto"/>
          </w:tcPr>
          <w:p w14:paraId="68B0ADCA" w14:textId="77777777" w:rsidR="00D8637F" w:rsidRPr="000F0299" w:rsidRDefault="00D8637F" w:rsidP="00AC03F7">
            <w:pPr>
              <w:spacing w:before="0"/>
              <w:rPr>
                <w:b/>
                <w:bCs/>
                <w:sz w:val="20"/>
                <w:szCs w:val="20"/>
              </w:rPr>
            </w:pPr>
          </w:p>
        </w:tc>
        <w:tc>
          <w:tcPr>
            <w:tcW w:w="102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081598" w14:textId="77777777" w:rsidR="00D8637F" w:rsidRPr="000F0299" w:rsidRDefault="00D8637F" w:rsidP="00AC03F7">
            <w:pPr>
              <w:spacing w:before="0"/>
              <w:rPr>
                <w:iCs/>
                <w:sz w:val="20"/>
                <w:szCs w:val="20"/>
              </w:rPr>
            </w:pPr>
            <w:r w:rsidRPr="000F0299">
              <w:rPr>
                <w:iCs/>
                <w:sz w:val="20"/>
                <w:szCs w:val="20"/>
              </w:rPr>
              <w:t>2017</w:t>
            </w:r>
          </w:p>
        </w:tc>
        <w:tc>
          <w:tcPr>
            <w:tcW w:w="9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3141B0" w14:textId="77777777" w:rsidR="00D8637F" w:rsidRPr="000F0299" w:rsidRDefault="00D8637F" w:rsidP="00AC03F7">
            <w:pPr>
              <w:spacing w:before="0"/>
              <w:rPr>
                <w:iCs/>
                <w:sz w:val="20"/>
                <w:szCs w:val="20"/>
              </w:rPr>
            </w:pPr>
            <w:r w:rsidRPr="000F0299">
              <w:rPr>
                <w:iCs/>
                <w:sz w:val="20"/>
                <w:szCs w:val="20"/>
              </w:rPr>
              <w:t>2018</w:t>
            </w:r>
          </w:p>
        </w:tc>
        <w:tc>
          <w:tcPr>
            <w:tcW w:w="10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EB1ABC4" w14:textId="77777777" w:rsidR="00D8637F" w:rsidRPr="000F0299" w:rsidRDefault="00D8637F" w:rsidP="00AC03F7">
            <w:pPr>
              <w:spacing w:before="0"/>
              <w:rPr>
                <w:iCs/>
                <w:sz w:val="20"/>
                <w:szCs w:val="20"/>
              </w:rPr>
            </w:pPr>
            <w:r w:rsidRPr="000F0299">
              <w:rPr>
                <w:iCs/>
                <w:sz w:val="20"/>
                <w:szCs w:val="20"/>
              </w:rPr>
              <w:t>2019</w:t>
            </w:r>
          </w:p>
        </w:tc>
        <w:tc>
          <w:tcPr>
            <w:tcW w:w="1075" w:type="pct"/>
            <w:gridSpan w:val="3"/>
            <w:tcBorders>
              <w:left w:val="single" w:sz="4" w:space="0" w:color="auto"/>
            </w:tcBorders>
            <w:shd w:val="clear" w:color="auto" w:fill="auto"/>
            <w:vAlign w:val="center"/>
          </w:tcPr>
          <w:p w14:paraId="31176C33" w14:textId="77777777" w:rsidR="00D8637F" w:rsidRPr="000F0299" w:rsidRDefault="00D8637F" w:rsidP="00AC03F7">
            <w:pPr>
              <w:spacing w:before="0"/>
              <w:rPr>
                <w:iCs/>
                <w:sz w:val="20"/>
                <w:szCs w:val="20"/>
              </w:rPr>
            </w:pPr>
            <w:r w:rsidRPr="000F0299">
              <w:rPr>
                <w:iCs/>
                <w:sz w:val="20"/>
                <w:szCs w:val="20"/>
              </w:rPr>
              <w:t>2020</w:t>
            </w:r>
          </w:p>
        </w:tc>
      </w:tr>
      <w:tr w:rsidR="00511166" w:rsidRPr="000F0299" w14:paraId="0C5A6070" w14:textId="77777777" w:rsidTr="00487FD1">
        <w:trPr>
          <w:trHeight w:val="287"/>
          <w:jc w:val="center"/>
        </w:trPr>
        <w:tc>
          <w:tcPr>
            <w:tcW w:w="945" w:type="pct"/>
            <w:vMerge/>
            <w:shd w:val="clear" w:color="auto" w:fill="auto"/>
          </w:tcPr>
          <w:p w14:paraId="645B1119" w14:textId="77777777" w:rsidR="00D8637F" w:rsidRPr="000F0299" w:rsidRDefault="00D8637F" w:rsidP="00AC03F7">
            <w:pPr>
              <w:spacing w:before="0"/>
              <w:rPr>
                <w:b/>
                <w:bCs/>
                <w:sz w:val="20"/>
                <w:szCs w:val="20"/>
              </w:rPr>
            </w:pPr>
          </w:p>
        </w:tc>
        <w:tc>
          <w:tcPr>
            <w:tcW w:w="1023" w:type="pct"/>
            <w:gridSpan w:val="3"/>
            <w:tcBorders>
              <w:top w:val="single" w:sz="4" w:space="0" w:color="auto"/>
            </w:tcBorders>
            <w:shd w:val="clear" w:color="auto" w:fill="auto"/>
            <w:vAlign w:val="center"/>
          </w:tcPr>
          <w:p w14:paraId="14ABD25D" w14:textId="77777777" w:rsidR="00D8637F" w:rsidRPr="000F0299" w:rsidRDefault="00D8637F" w:rsidP="00AC03F7">
            <w:pPr>
              <w:spacing w:before="0"/>
              <w:ind w:firstLine="0"/>
              <w:rPr>
                <w:iCs/>
                <w:sz w:val="20"/>
                <w:szCs w:val="20"/>
              </w:rPr>
            </w:pPr>
            <w:r w:rsidRPr="000F0299">
              <w:rPr>
                <w:iCs/>
                <w:sz w:val="20"/>
                <w:szCs w:val="20"/>
              </w:rPr>
              <w:t>1.5</w:t>
            </w:r>
          </w:p>
          <w:p w14:paraId="1EB1EAF1" w14:textId="77777777" w:rsidR="00D8637F" w:rsidRPr="000F0299" w:rsidRDefault="00D8637F" w:rsidP="00AC03F7">
            <w:pPr>
              <w:spacing w:before="0"/>
              <w:ind w:firstLine="0"/>
              <w:rPr>
                <w:iCs/>
                <w:sz w:val="20"/>
                <w:szCs w:val="20"/>
              </w:rPr>
            </w:pPr>
            <w:r w:rsidRPr="000F0299">
              <w:rPr>
                <w:iCs/>
                <w:sz w:val="20"/>
                <w:szCs w:val="20"/>
              </w:rPr>
              <w:t>(I: 0.5 поена + 0.5 поена + III: 0 поена + IV: 0 поена + V: 0 поена + VI: 0.5 поена)</w:t>
            </w:r>
          </w:p>
        </w:tc>
        <w:tc>
          <w:tcPr>
            <w:tcW w:w="906" w:type="pct"/>
            <w:gridSpan w:val="3"/>
            <w:tcBorders>
              <w:top w:val="single" w:sz="4" w:space="0" w:color="auto"/>
            </w:tcBorders>
            <w:shd w:val="clear" w:color="auto" w:fill="auto"/>
            <w:vAlign w:val="center"/>
          </w:tcPr>
          <w:p w14:paraId="2A8ED906" w14:textId="77777777" w:rsidR="00D8637F" w:rsidRPr="000F0299" w:rsidRDefault="00D8637F" w:rsidP="00AC03F7">
            <w:pPr>
              <w:spacing w:before="0"/>
              <w:ind w:firstLine="0"/>
              <w:rPr>
                <w:iCs/>
                <w:sz w:val="20"/>
                <w:szCs w:val="20"/>
              </w:rPr>
            </w:pPr>
            <w:r w:rsidRPr="000F0299">
              <w:rPr>
                <w:iCs/>
                <w:sz w:val="20"/>
                <w:szCs w:val="20"/>
              </w:rPr>
              <w:t>3</w:t>
            </w:r>
          </w:p>
          <w:p w14:paraId="45287ADE" w14:textId="77777777" w:rsidR="00D8637F" w:rsidRPr="000F0299" w:rsidRDefault="00D8637F" w:rsidP="00AC03F7">
            <w:pPr>
              <w:spacing w:before="0"/>
              <w:ind w:firstLine="0"/>
              <w:rPr>
                <w:iCs/>
                <w:sz w:val="20"/>
                <w:szCs w:val="20"/>
              </w:rPr>
            </w:pPr>
            <w:r w:rsidRPr="000F0299">
              <w:rPr>
                <w:iCs/>
                <w:sz w:val="20"/>
                <w:szCs w:val="20"/>
              </w:rPr>
              <w:t>(I: 1 поен + II: 1 поен + III: 0 поена + IV: 0 поена + V: 0.5 поена + VI: 0.5 поена)</w:t>
            </w:r>
          </w:p>
        </w:tc>
        <w:tc>
          <w:tcPr>
            <w:tcW w:w="1050" w:type="pct"/>
            <w:gridSpan w:val="5"/>
            <w:tcBorders>
              <w:top w:val="single" w:sz="4" w:space="0" w:color="auto"/>
            </w:tcBorders>
            <w:shd w:val="clear" w:color="auto" w:fill="auto"/>
            <w:vAlign w:val="center"/>
          </w:tcPr>
          <w:p w14:paraId="3CFE7FA0" w14:textId="77777777" w:rsidR="00D8637F" w:rsidRPr="000F0299" w:rsidRDefault="00D8637F" w:rsidP="00AC03F7">
            <w:pPr>
              <w:spacing w:before="0"/>
              <w:ind w:firstLine="0"/>
              <w:rPr>
                <w:iCs/>
                <w:sz w:val="20"/>
                <w:szCs w:val="20"/>
              </w:rPr>
            </w:pPr>
            <w:r w:rsidRPr="000F0299">
              <w:rPr>
                <w:iCs/>
                <w:sz w:val="20"/>
                <w:szCs w:val="20"/>
              </w:rPr>
              <w:t>2</w:t>
            </w:r>
          </w:p>
          <w:p w14:paraId="0A72E2F6" w14:textId="77777777" w:rsidR="00D8637F" w:rsidRPr="000F0299" w:rsidRDefault="00D8637F" w:rsidP="00AC03F7">
            <w:pPr>
              <w:spacing w:before="0"/>
              <w:ind w:firstLine="0"/>
              <w:rPr>
                <w:iCs/>
                <w:sz w:val="20"/>
                <w:szCs w:val="20"/>
              </w:rPr>
            </w:pPr>
            <w:r w:rsidRPr="000F0299">
              <w:rPr>
                <w:iCs/>
                <w:sz w:val="20"/>
                <w:szCs w:val="20"/>
              </w:rPr>
              <w:t>(I: 0 поена + II: 0.5 поена + III: 0 поена + IV: 0.5 поена + V: 0.5 поена + VI: 0.5 поена)</w:t>
            </w:r>
          </w:p>
        </w:tc>
        <w:tc>
          <w:tcPr>
            <w:tcW w:w="1075" w:type="pct"/>
            <w:gridSpan w:val="3"/>
            <w:shd w:val="clear" w:color="auto" w:fill="auto"/>
            <w:vAlign w:val="center"/>
          </w:tcPr>
          <w:p w14:paraId="7479B5EE" w14:textId="77777777" w:rsidR="00D8637F" w:rsidRPr="000F0299" w:rsidRDefault="00D8637F" w:rsidP="00AC03F7">
            <w:pPr>
              <w:spacing w:before="0"/>
              <w:ind w:firstLine="0"/>
              <w:rPr>
                <w:iCs/>
                <w:sz w:val="20"/>
                <w:szCs w:val="20"/>
              </w:rPr>
            </w:pPr>
            <w:r w:rsidRPr="000F0299">
              <w:rPr>
                <w:iCs/>
                <w:sz w:val="20"/>
                <w:szCs w:val="20"/>
              </w:rPr>
              <w:t>4</w:t>
            </w:r>
          </w:p>
          <w:p w14:paraId="7C455EFF" w14:textId="77777777" w:rsidR="00D8637F" w:rsidRPr="000F0299" w:rsidRDefault="00D8637F" w:rsidP="00AC03F7">
            <w:pPr>
              <w:spacing w:before="0"/>
              <w:ind w:firstLine="0"/>
              <w:rPr>
                <w:iCs/>
                <w:sz w:val="20"/>
                <w:szCs w:val="20"/>
              </w:rPr>
            </w:pPr>
            <w:r w:rsidRPr="000F0299">
              <w:rPr>
                <w:iCs/>
                <w:sz w:val="20"/>
                <w:szCs w:val="20"/>
              </w:rPr>
              <w:t>(I: 1 поен + II: 1 поен + III: 0.5 поена + IV: 0.5 поена + V: 0 поена + VI: 1 поен)</w:t>
            </w:r>
          </w:p>
        </w:tc>
      </w:tr>
      <w:tr w:rsidR="00511166" w:rsidRPr="000F0299" w14:paraId="1E0527B7" w14:textId="77777777" w:rsidTr="00487FD1">
        <w:trPr>
          <w:trHeight w:val="243"/>
          <w:jc w:val="center"/>
        </w:trPr>
        <w:tc>
          <w:tcPr>
            <w:tcW w:w="945" w:type="pct"/>
            <w:vMerge w:val="restart"/>
            <w:shd w:val="clear" w:color="auto" w:fill="auto"/>
          </w:tcPr>
          <w:p w14:paraId="02326FA6" w14:textId="77777777" w:rsidR="00D8637F" w:rsidRPr="000F0299" w:rsidRDefault="00D8637F" w:rsidP="00AC03F7">
            <w:pPr>
              <w:spacing w:before="0"/>
              <w:ind w:firstLine="0"/>
              <w:rPr>
                <w:b/>
                <w:bCs/>
                <w:sz w:val="20"/>
                <w:szCs w:val="20"/>
              </w:rPr>
            </w:pPr>
            <w:r w:rsidRPr="000F0299">
              <w:rPr>
                <w:b/>
                <w:bCs/>
                <w:sz w:val="20"/>
                <w:szCs w:val="20"/>
              </w:rPr>
              <w:t>Подаци о циљним вредностима</w:t>
            </w:r>
          </w:p>
        </w:tc>
        <w:tc>
          <w:tcPr>
            <w:tcW w:w="401" w:type="pct"/>
            <w:shd w:val="clear" w:color="auto" w:fill="auto"/>
            <w:vAlign w:val="center"/>
          </w:tcPr>
          <w:p w14:paraId="63F1E74E" w14:textId="77777777" w:rsidR="00D8637F" w:rsidRPr="000F0299" w:rsidRDefault="00D8637F" w:rsidP="00AC03F7">
            <w:pPr>
              <w:spacing w:before="0"/>
              <w:ind w:firstLine="0"/>
              <w:jc w:val="center"/>
              <w:rPr>
                <w:iCs/>
                <w:sz w:val="20"/>
                <w:szCs w:val="20"/>
              </w:rPr>
            </w:pPr>
            <w:r w:rsidRPr="000F0299">
              <w:rPr>
                <w:iCs/>
                <w:sz w:val="20"/>
                <w:szCs w:val="20"/>
              </w:rPr>
              <w:t>2021</w:t>
            </w:r>
          </w:p>
        </w:tc>
        <w:tc>
          <w:tcPr>
            <w:tcW w:w="401" w:type="pct"/>
            <w:shd w:val="clear" w:color="auto" w:fill="auto"/>
            <w:vAlign w:val="center"/>
          </w:tcPr>
          <w:p w14:paraId="5243776D" w14:textId="77777777" w:rsidR="00D8637F" w:rsidRPr="000F0299" w:rsidRDefault="00D8637F" w:rsidP="00AC03F7">
            <w:pPr>
              <w:spacing w:before="0"/>
              <w:ind w:firstLine="0"/>
              <w:jc w:val="center"/>
              <w:rPr>
                <w:iCs/>
                <w:sz w:val="20"/>
                <w:szCs w:val="20"/>
              </w:rPr>
            </w:pPr>
            <w:r w:rsidRPr="000F0299">
              <w:rPr>
                <w:iCs/>
                <w:sz w:val="20"/>
                <w:szCs w:val="20"/>
              </w:rPr>
              <w:t>2022</w:t>
            </w:r>
          </w:p>
        </w:tc>
        <w:tc>
          <w:tcPr>
            <w:tcW w:w="401" w:type="pct"/>
            <w:gridSpan w:val="2"/>
            <w:shd w:val="clear" w:color="auto" w:fill="auto"/>
            <w:vAlign w:val="center"/>
          </w:tcPr>
          <w:p w14:paraId="01496426" w14:textId="77777777" w:rsidR="00D8637F" w:rsidRPr="000F0299" w:rsidRDefault="00D8637F" w:rsidP="00AC03F7">
            <w:pPr>
              <w:spacing w:before="0"/>
              <w:ind w:firstLine="0"/>
              <w:jc w:val="center"/>
              <w:rPr>
                <w:iCs/>
                <w:sz w:val="20"/>
                <w:szCs w:val="20"/>
              </w:rPr>
            </w:pPr>
            <w:r w:rsidRPr="000F0299">
              <w:rPr>
                <w:iCs/>
                <w:sz w:val="20"/>
                <w:szCs w:val="20"/>
              </w:rPr>
              <w:t>2023</w:t>
            </w:r>
          </w:p>
        </w:tc>
        <w:tc>
          <w:tcPr>
            <w:tcW w:w="401" w:type="pct"/>
            <w:shd w:val="clear" w:color="auto" w:fill="auto"/>
            <w:vAlign w:val="center"/>
          </w:tcPr>
          <w:p w14:paraId="7793A738" w14:textId="77777777" w:rsidR="00D8637F" w:rsidRPr="000F0299" w:rsidRDefault="00D8637F" w:rsidP="00AC03F7">
            <w:pPr>
              <w:spacing w:before="0"/>
              <w:ind w:firstLine="0"/>
              <w:jc w:val="center"/>
              <w:rPr>
                <w:iCs/>
                <w:sz w:val="20"/>
                <w:szCs w:val="20"/>
              </w:rPr>
            </w:pPr>
            <w:r w:rsidRPr="000F0299">
              <w:rPr>
                <w:iCs/>
                <w:sz w:val="20"/>
                <w:szCs w:val="20"/>
              </w:rPr>
              <w:t>2024</w:t>
            </w:r>
          </w:p>
        </w:tc>
        <w:tc>
          <w:tcPr>
            <w:tcW w:w="401" w:type="pct"/>
            <w:gridSpan w:val="2"/>
            <w:shd w:val="clear" w:color="auto" w:fill="auto"/>
            <w:vAlign w:val="center"/>
          </w:tcPr>
          <w:p w14:paraId="76830FFE" w14:textId="77777777" w:rsidR="00D8637F" w:rsidRPr="000F0299" w:rsidRDefault="00D8637F" w:rsidP="00AC03F7">
            <w:pPr>
              <w:spacing w:before="0"/>
              <w:ind w:firstLine="0"/>
              <w:jc w:val="center"/>
              <w:rPr>
                <w:iCs/>
                <w:sz w:val="20"/>
                <w:szCs w:val="20"/>
              </w:rPr>
            </w:pPr>
            <w:r w:rsidRPr="000F0299">
              <w:rPr>
                <w:iCs/>
                <w:sz w:val="20"/>
                <w:szCs w:val="20"/>
              </w:rPr>
              <w:t>2025</w:t>
            </w:r>
          </w:p>
        </w:tc>
        <w:tc>
          <w:tcPr>
            <w:tcW w:w="401" w:type="pct"/>
            <w:gridSpan w:val="2"/>
            <w:shd w:val="clear" w:color="auto" w:fill="auto"/>
            <w:vAlign w:val="center"/>
          </w:tcPr>
          <w:p w14:paraId="1D098A5F" w14:textId="77777777" w:rsidR="00D8637F" w:rsidRPr="000F0299" w:rsidRDefault="00D8637F" w:rsidP="00AC03F7">
            <w:pPr>
              <w:spacing w:before="0"/>
              <w:ind w:firstLine="0"/>
              <w:jc w:val="center"/>
              <w:rPr>
                <w:iCs/>
                <w:sz w:val="20"/>
                <w:szCs w:val="20"/>
              </w:rPr>
            </w:pPr>
            <w:r w:rsidRPr="000F0299">
              <w:rPr>
                <w:iCs/>
                <w:sz w:val="20"/>
                <w:szCs w:val="20"/>
              </w:rPr>
              <w:t>2026</w:t>
            </w:r>
          </w:p>
        </w:tc>
        <w:tc>
          <w:tcPr>
            <w:tcW w:w="401" w:type="pct"/>
            <w:shd w:val="clear" w:color="auto" w:fill="auto"/>
            <w:vAlign w:val="center"/>
          </w:tcPr>
          <w:p w14:paraId="120E252C" w14:textId="77777777" w:rsidR="00D8637F" w:rsidRPr="000F0299" w:rsidRDefault="00D8637F" w:rsidP="00AC03F7">
            <w:pPr>
              <w:spacing w:before="0"/>
              <w:ind w:firstLine="0"/>
              <w:jc w:val="center"/>
              <w:rPr>
                <w:iCs/>
                <w:sz w:val="20"/>
                <w:szCs w:val="20"/>
              </w:rPr>
            </w:pPr>
            <w:r w:rsidRPr="000F0299">
              <w:rPr>
                <w:iCs/>
                <w:sz w:val="20"/>
                <w:szCs w:val="20"/>
              </w:rPr>
              <w:t>2027</w:t>
            </w:r>
          </w:p>
        </w:tc>
        <w:tc>
          <w:tcPr>
            <w:tcW w:w="401" w:type="pct"/>
            <w:gridSpan w:val="2"/>
            <w:shd w:val="clear" w:color="auto" w:fill="auto"/>
            <w:vAlign w:val="center"/>
          </w:tcPr>
          <w:p w14:paraId="43B4C77A" w14:textId="77777777" w:rsidR="00D8637F" w:rsidRPr="000F0299" w:rsidRDefault="00D8637F" w:rsidP="00AC03F7">
            <w:pPr>
              <w:spacing w:before="0"/>
              <w:ind w:firstLine="0"/>
              <w:jc w:val="center"/>
              <w:rPr>
                <w:iCs/>
                <w:sz w:val="20"/>
                <w:szCs w:val="20"/>
              </w:rPr>
            </w:pPr>
            <w:r w:rsidRPr="000F0299">
              <w:rPr>
                <w:iCs/>
                <w:sz w:val="20"/>
                <w:szCs w:val="20"/>
              </w:rPr>
              <w:t>2028</w:t>
            </w:r>
          </w:p>
        </w:tc>
        <w:tc>
          <w:tcPr>
            <w:tcW w:w="401" w:type="pct"/>
            <w:shd w:val="clear" w:color="auto" w:fill="auto"/>
            <w:vAlign w:val="center"/>
          </w:tcPr>
          <w:p w14:paraId="09555988" w14:textId="77777777" w:rsidR="00D8637F" w:rsidRPr="000F0299" w:rsidRDefault="00D8637F" w:rsidP="00AC03F7">
            <w:pPr>
              <w:spacing w:before="0"/>
              <w:ind w:firstLine="0"/>
              <w:jc w:val="center"/>
              <w:rPr>
                <w:iCs/>
                <w:sz w:val="20"/>
                <w:szCs w:val="20"/>
              </w:rPr>
            </w:pPr>
            <w:r w:rsidRPr="000F0299">
              <w:rPr>
                <w:iCs/>
                <w:sz w:val="20"/>
                <w:szCs w:val="20"/>
              </w:rPr>
              <w:t>2029</w:t>
            </w:r>
          </w:p>
        </w:tc>
        <w:tc>
          <w:tcPr>
            <w:tcW w:w="445" w:type="pct"/>
            <w:shd w:val="clear" w:color="auto" w:fill="auto"/>
            <w:vAlign w:val="center"/>
          </w:tcPr>
          <w:p w14:paraId="2A587174" w14:textId="77777777" w:rsidR="00D8637F" w:rsidRPr="000F0299" w:rsidRDefault="00D8637F" w:rsidP="00AC03F7">
            <w:pPr>
              <w:spacing w:before="0"/>
              <w:ind w:firstLine="0"/>
              <w:jc w:val="center"/>
              <w:rPr>
                <w:iCs/>
                <w:sz w:val="20"/>
                <w:szCs w:val="20"/>
              </w:rPr>
            </w:pPr>
            <w:r w:rsidRPr="000F0299">
              <w:rPr>
                <w:iCs/>
                <w:sz w:val="20"/>
                <w:szCs w:val="20"/>
              </w:rPr>
              <w:t>2030</w:t>
            </w:r>
          </w:p>
        </w:tc>
      </w:tr>
      <w:tr w:rsidR="00511166" w:rsidRPr="000F0299" w14:paraId="30B52591" w14:textId="77777777" w:rsidTr="00487FD1">
        <w:trPr>
          <w:trHeight w:val="142"/>
          <w:jc w:val="center"/>
        </w:trPr>
        <w:tc>
          <w:tcPr>
            <w:tcW w:w="945" w:type="pct"/>
            <w:vMerge/>
            <w:shd w:val="clear" w:color="auto" w:fill="auto"/>
          </w:tcPr>
          <w:p w14:paraId="46D15047" w14:textId="77777777" w:rsidR="00D8637F" w:rsidRPr="000F0299" w:rsidRDefault="00D8637F" w:rsidP="00AC03F7">
            <w:pPr>
              <w:spacing w:before="0"/>
              <w:rPr>
                <w:b/>
                <w:bCs/>
                <w:sz w:val="20"/>
                <w:szCs w:val="20"/>
              </w:rPr>
            </w:pPr>
          </w:p>
        </w:tc>
        <w:tc>
          <w:tcPr>
            <w:tcW w:w="401" w:type="pct"/>
            <w:shd w:val="clear" w:color="auto" w:fill="auto"/>
          </w:tcPr>
          <w:p w14:paraId="6701817E" w14:textId="77777777" w:rsidR="00D8637F" w:rsidRPr="000F0299" w:rsidRDefault="00D8637F" w:rsidP="00AC03F7">
            <w:pPr>
              <w:spacing w:before="0"/>
              <w:ind w:firstLine="0"/>
              <w:jc w:val="center"/>
              <w:rPr>
                <w:iCs/>
                <w:sz w:val="20"/>
                <w:szCs w:val="20"/>
              </w:rPr>
            </w:pPr>
            <w:r w:rsidRPr="000F0299">
              <w:rPr>
                <w:iCs/>
                <w:sz w:val="20"/>
                <w:szCs w:val="20"/>
              </w:rPr>
              <w:t>4.5</w:t>
            </w:r>
          </w:p>
        </w:tc>
        <w:tc>
          <w:tcPr>
            <w:tcW w:w="401" w:type="pct"/>
            <w:shd w:val="clear" w:color="auto" w:fill="auto"/>
          </w:tcPr>
          <w:p w14:paraId="3FD1A679" w14:textId="77777777" w:rsidR="00D8637F" w:rsidRPr="000F0299" w:rsidRDefault="00D8637F" w:rsidP="00AC03F7">
            <w:pPr>
              <w:spacing w:before="0"/>
              <w:ind w:firstLine="0"/>
              <w:jc w:val="center"/>
              <w:rPr>
                <w:iCs/>
                <w:sz w:val="20"/>
                <w:szCs w:val="20"/>
              </w:rPr>
            </w:pPr>
            <w:r w:rsidRPr="000F0299">
              <w:rPr>
                <w:iCs/>
                <w:sz w:val="20"/>
                <w:szCs w:val="20"/>
              </w:rPr>
              <w:t>5</w:t>
            </w:r>
          </w:p>
        </w:tc>
        <w:tc>
          <w:tcPr>
            <w:tcW w:w="401" w:type="pct"/>
            <w:gridSpan w:val="2"/>
            <w:shd w:val="clear" w:color="auto" w:fill="auto"/>
          </w:tcPr>
          <w:p w14:paraId="68EC58C8" w14:textId="77777777" w:rsidR="00D8637F" w:rsidRPr="000F0299" w:rsidRDefault="00D8637F" w:rsidP="00AC03F7">
            <w:pPr>
              <w:spacing w:before="0"/>
              <w:ind w:firstLine="0"/>
              <w:jc w:val="center"/>
              <w:rPr>
                <w:iCs/>
                <w:sz w:val="20"/>
                <w:szCs w:val="20"/>
              </w:rPr>
            </w:pPr>
            <w:r w:rsidRPr="000F0299">
              <w:rPr>
                <w:iCs/>
                <w:sz w:val="20"/>
                <w:szCs w:val="20"/>
              </w:rPr>
              <w:t>5</w:t>
            </w:r>
          </w:p>
        </w:tc>
        <w:tc>
          <w:tcPr>
            <w:tcW w:w="401" w:type="pct"/>
            <w:shd w:val="clear" w:color="auto" w:fill="auto"/>
          </w:tcPr>
          <w:p w14:paraId="4E16CEEA" w14:textId="77777777" w:rsidR="00D8637F" w:rsidRPr="000F0299" w:rsidRDefault="00D8637F" w:rsidP="00AC03F7">
            <w:pPr>
              <w:spacing w:before="0"/>
              <w:ind w:firstLine="0"/>
              <w:jc w:val="center"/>
              <w:rPr>
                <w:iCs/>
                <w:sz w:val="20"/>
                <w:szCs w:val="20"/>
              </w:rPr>
            </w:pPr>
            <w:r w:rsidRPr="000F0299">
              <w:rPr>
                <w:iCs/>
                <w:sz w:val="20"/>
                <w:szCs w:val="20"/>
              </w:rPr>
              <w:t>6.5</w:t>
            </w:r>
          </w:p>
        </w:tc>
        <w:tc>
          <w:tcPr>
            <w:tcW w:w="401" w:type="pct"/>
            <w:gridSpan w:val="2"/>
            <w:shd w:val="clear" w:color="auto" w:fill="auto"/>
          </w:tcPr>
          <w:p w14:paraId="5C0CD42D" w14:textId="77777777" w:rsidR="00D8637F" w:rsidRPr="000F0299" w:rsidRDefault="00D8637F" w:rsidP="00AC03F7">
            <w:pPr>
              <w:spacing w:before="0"/>
              <w:ind w:firstLine="0"/>
              <w:jc w:val="center"/>
              <w:rPr>
                <w:iCs/>
                <w:sz w:val="20"/>
                <w:szCs w:val="20"/>
              </w:rPr>
            </w:pPr>
            <w:r w:rsidRPr="000F0299">
              <w:rPr>
                <w:iCs/>
                <w:sz w:val="20"/>
                <w:szCs w:val="20"/>
              </w:rPr>
              <w:t>6.5</w:t>
            </w:r>
          </w:p>
        </w:tc>
        <w:tc>
          <w:tcPr>
            <w:tcW w:w="401" w:type="pct"/>
            <w:gridSpan w:val="2"/>
            <w:shd w:val="clear" w:color="auto" w:fill="auto"/>
          </w:tcPr>
          <w:p w14:paraId="7334B523" w14:textId="77777777" w:rsidR="00D8637F" w:rsidRPr="000F0299" w:rsidRDefault="00D8637F" w:rsidP="00AC03F7">
            <w:pPr>
              <w:spacing w:before="0"/>
              <w:ind w:firstLine="0"/>
              <w:jc w:val="center"/>
              <w:rPr>
                <w:iCs/>
                <w:sz w:val="20"/>
                <w:szCs w:val="20"/>
              </w:rPr>
            </w:pPr>
            <w:r w:rsidRPr="000F0299">
              <w:rPr>
                <w:iCs/>
                <w:sz w:val="20"/>
                <w:szCs w:val="20"/>
              </w:rPr>
              <w:t>8</w:t>
            </w:r>
          </w:p>
        </w:tc>
        <w:tc>
          <w:tcPr>
            <w:tcW w:w="401" w:type="pct"/>
            <w:shd w:val="clear" w:color="auto" w:fill="auto"/>
          </w:tcPr>
          <w:p w14:paraId="4815E40B" w14:textId="77777777" w:rsidR="00D8637F" w:rsidRPr="000F0299" w:rsidRDefault="00D8637F" w:rsidP="00AC03F7">
            <w:pPr>
              <w:spacing w:before="0"/>
              <w:ind w:firstLine="0"/>
              <w:jc w:val="center"/>
              <w:rPr>
                <w:iCs/>
                <w:sz w:val="20"/>
                <w:szCs w:val="20"/>
              </w:rPr>
            </w:pPr>
            <w:r w:rsidRPr="000F0299">
              <w:rPr>
                <w:iCs/>
                <w:sz w:val="20"/>
                <w:szCs w:val="20"/>
              </w:rPr>
              <w:t>8</w:t>
            </w:r>
          </w:p>
        </w:tc>
        <w:tc>
          <w:tcPr>
            <w:tcW w:w="401" w:type="pct"/>
            <w:gridSpan w:val="2"/>
            <w:shd w:val="clear" w:color="auto" w:fill="auto"/>
          </w:tcPr>
          <w:p w14:paraId="0ADA5C3B" w14:textId="77777777" w:rsidR="00D8637F" w:rsidRPr="000F0299" w:rsidRDefault="00D8637F" w:rsidP="00AC03F7">
            <w:pPr>
              <w:spacing w:before="0"/>
              <w:ind w:firstLine="0"/>
              <w:jc w:val="center"/>
              <w:rPr>
                <w:iCs/>
                <w:sz w:val="20"/>
                <w:szCs w:val="20"/>
              </w:rPr>
            </w:pPr>
            <w:r w:rsidRPr="000F0299">
              <w:rPr>
                <w:iCs/>
                <w:sz w:val="20"/>
                <w:szCs w:val="20"/>
              </w:rPr>
              <w:t>9</w:t>
            </w:r>
          </w:p>
        </w:tc>
        <w:tc>
          <w:tcPr>
            <w:tcW w:w="401" w:type="pct"/>
            <w:shd w:val="clear" w:color="auto" w:fill="auto"/>
          </w:tcPr>
          <w:p w14:paraId="7610FBED" w14:textId="77777777" w:rsidR="00D8637F" w:rsidRPr="000F0299" w:rsidRDefault="00D8637F" w:rsidP="00AC03F7">
            <w:pPr>
              <w:spacing w:before="0"/>
              <w:ind w:firstLine="0"/>
              <w:jc w:val="center"/>
              <w:rPr>
                <w:iCs/>
                <w:sz w:val="20"/>
                <w:szCs w:val="20"/>
              </w:rPr>
            </w:pPr>
            <w:r w:rsidRPr="000F0299">
              <w:rPr>
                <w:iCs/>
                <w:sz w:val="20"/>
                <w:szCs w:val="20"/>
              </w:rPr>
              <w:t>9</w:t>
            </w:r>
          </w:p>
        </w:tc>
        <w:tc>
          <w:tcPr>
            <w:tcW w:w="445" w:type="pct"/>
            <w:shd w:val="clear" w:color="auto" w:fill="auto"/>
          </w:tcPr>
          <w:p w14:paraId="049DB1A8" w14:textId="77777777" w:rsidR="00D8637F" w:rsidRPr="000F0299" w:rsidRDefault="00D8637F" w:rsidP="00AC03F7">
            <w:pPr>
              <w:spacing w:before="0"/>
              <w:ind w:firstLine="0"/>
              <w:jc w:val="center"/>
              <w:rPr>
                <w:iCs/>
                <w:sz w:val="20"/>
                <w:szCs w:val="20"/>
              </w:rPr>
            </w:pPr>
            <w:r w:rsidRPr="000F0299">
              <w:rPr>
                <w:iCs/>
                <w:sz w:val="20"/>
                <w:szCs w:val="20"/>
              </w:rPr>
              <w:t>9</w:t>
            </w:r>
          </w:p>
        </w:tc>
      </w:tr>
      <w:tr w:rsidR="00D8637F" w:rsidRPr="000F0299" w14:paraId="11D179A6" w14:textId="77777777" w:rsidTr="00487FD1">
        <w:trPr>
          <w:trHeight w:val="142"/>
          <w:jc w:val="center"/>
        </w:trPr>
        <w:tc>
          <w:tcPr>
            <w:tcW w:w="945" w:type="pct"/>
            <w:shd w:val="clear" w:color="auto" w:fill="auto"/>
          </w:tcPr>
          <w:p w14:paraId="306EF39C" w14:textId="77777777" w:rsidR="00D8637F" w:rsidRPr="000F0299" w:rsidRDefault="00D8637F" w:rsidP="00AC03F7">
            <w:pPr>
              <w:spacing w:before="0"/>
              <w:ind w:firstLine="0"/>
              <w:rPr>
                <w:b/>
                <w:bCs/>
                <w:sz w:val="20"/>
                <w:szCs w:val="20"/>
              </w:rPr>
            </w:pPr>
            <w:r w:rsidRPr="000F0299">
              <w:rPr>
                <w:b/>
                <w:bCs/>
                <w:sz w:val="20"/>
                <w:szCs w:val="20"/>
              </w:rPr>
              <w:t>Процена успешности</w:t>
            </w:r>
          </w:p>
        </w:tc>
        <w:tc>
          <w:tcPr>
            <w:tcW w:w="4055" w:type="pct"/>
            <w:gridSpan w:val="14"/>
            <w:shd w:val="clear" w:color="auto" w:fill="auto"/>
            <w:vAlign w:val="center"/>
          </w:tcPr>
          <w:p w14:paraId="2B846989" w14:textId="77777777" w:rsidR="00D8637F" w:rsidRPr="000F0299" w:rsidRDefault="00D8637F" w:rsidP="00AC03F7">
            <w:pPr>
              <w:spacing w:before="0"/>
              <w:ind w:firstLine="0"/>
              <w:rPr>
                <w:iCs/>
                <w:sz w:val="20"/>
                <w:szCs w:val="20"/>
              </w:rPr>
            </w:pPr>
            <w:r w:rsidRPr="000F0299">
              <w:rPr>
                <w:iCs/>
                <w:sz w:val="20"/>
                <w:szCs w:val="20"/>
              </w:rPr>
              <w:t>Одступање до 0.5 у односу на пројектовану оцену оцењује као успешно.</w:t>
            </w:r>
          </w:p>
        </w:tc>
      </w:tr>
    </w:tbl>
    <w:p w14:paraId="710FFA95" w14:textId="77777777" w:rsidR="00D8637F" w:rsidRPr="000F0299" w:rsidRDefault="00D8637F" w:rsidP="00D8637F">
      <w:pPr>
        <w:ind w:firstLine="0"/>
      </w:pPr>
    </w:p>
    <w:p w14:paraId="0FE54391" w14:textId="77777777" w:rsidR="00672D9F" w:rsidRPr="000F0299" w:rsidRDefault="00672D9F" w:rsidP="00731B68">
      <w:pPr>
        <w:ind w:firstLine="0"/>
      </w:pPr>
    </w:p>
    <w:p w14:paraId="4E38071F" w14:textId="5676109E" w:rsidR="00C8125F" w:rsidRPr="000F0299" w:rsidRDefault="00C8125F" w:rsidP="003D3BC5">
      <w:pPr>
        <w:pStyle w:val="Heading2"/>
        <w:rPr>
          <w:lang w:val="sr-Cyrl-RS"/>
        </w:rPr>
      </w:pPr>
      <w:r w:rsidRPr="000F0299">
        <w:rPr>
          <w:lang w:val="sr-Cyrl-RS"/>
        </w:rPr>
        <w:br w:type="page"/>
      </w:r>
    </w:p>
    <w:p w14:paraId="5C636AD2" w14:textId="0FD51FFF" w:rsidR="003F3312" w:rsidRPr="000F0299" w:rsidRDefault="00BE55B6" w:rsidP="003D3BC5">
      <w:pPr>
        <w:pStyle w:val="Heading2"/>
        <w:rPr>
          <w:lang w:val="sr-Cyrl-RS"/>
        </w:rPr>
      </w:pPr>
      <w:bookmarkStart w:id="316" w:name="_Toc57661513"/>
      <w:r w:rsidRPr="000F0299">
        <w:rPr>
          <w:lang w:val="sr-Cyrl-RS"/>
        </w:rPr>
        <w:t xml:space="preserve">Показатељи учинака - </w:t>
      </w:r>
      <w:r w:rsidR="00731B68" w:rsidRPr="000F0299">
        <w:rPr>
          <w:lang w:val="sr-Cyrl-RS"/>
        </w:rPr>
        <w:t>Планирање и координација јавних политика</w:t>
      </w:r>
      <w:bookmarkEnd w:id="316"/>
    </w:p>
    <w:p w14:paraId="7E3938CC" w14:textId="4C718E46" w:rsidR="008B6676" w:rsidRPr="000F0299" w:rsidRDefault="008B6676" w:rsidP="008B6676">
      <w:pPr>
        <w:pStyle w:val="Heading3"/>
        <w:rPr>
          <w:lang w:val="sr-Cyrl-RS"/>
        </w:rPr>
      </w:pPr>
      <w:bookmarkStart w:id="317" w:name="_Посебан_циљ_1.1:"/>
      <w:bookmarkStart w:id="318" w:name="_Toc57661514"/>
      <w:bookmarkEnd w:id="317"/>
      <w:r w:rsidRPr="000F0299">
        <w:rPr>
          <w:rFonts w:eastAsiaTheme="minorHAnsi"/>
          <w:lang w:val="sr-Cyrl-RS" w:eastAsia="en-US" w:bidi="ar-SA"/>
        </w:rPr>
        <w:t>Посебан циљ 1.1:</w:t>
      </w:r>
      <w:r w:rsidRPr="000F0299">
        <w:rPr>
          <w:rFonts w:eastAsiaTheme="minorHAnsi"/>
          <w:b/>
          <w:bCs/>
          <w:lang w:val="sr-Cyrl-RS" w:eastAsia="en-US" w:bidi="ar-SA"/>
        </w:rPr>
        <w:t xml:space="preserve"> </w:t>
      </w:r>
      <w:r w:rsidR="008A5C60">
        <w:rPr>
          <w:rFonts w:eastAsiaTheme="minorHAnsi"/>
          <w:lang w:val="sr-Cyrl-RS" w:eastAsia="en-US" w:bidi="ar-SA"/>
        </w:rPr>
        <w:t>Побољшан</w:t>
      </w:r>
      <w:r w:rsidRPr="000F0299">
        <w:rPr>
          <w:rFonts w:eastAsiaTheme="minorHAnsi"/>
          <w:lang w:val="sr-Cyrl-RS" w:eastAsia="en-US" w:bidi="ar-SA"/>
        </w:rPr>
        <w:t xml:space="preserve"> квалитет јавних политика и прописа</w:t>
      </w:r>
      <w:bookmarkEnd w:id="318"/>
    </w:p>
    <w:p w14:paraId="14851DB4" w14:textId="05BC21D6" w:rsidR="003F3312" w:rsidRPr="000F0299" w:rsidRDefault="00731B68" w:rsidP="00BE55B6">
      <w:pPr>
        <w:ind w:firstLine="0"/>
        <w:rPr>
          <w:b/>
          <w:bCs/>
          <w:color w:val="2F5496" w:themeColor="accent1" w:themeShade="BF"/>
        </w:rPr>
      </w:pPr>
      <w:r w:rsidRPr="000F0299">
        <w:rPr>
          <w:b/>
          <w:bCs/>
          <w:color w:val="2F5496" w:themeColor="accent1" w:themeShade="BF"/>
        </w:rPr>
        <w:t>Показатељ 1</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3"/>
        <w:gridCol w:w="644"/>
        <w:gridCol w:w="644"/>
        <w:gridCol w:w="338"/>
        <w:gridCol w:w="306"/>
        <w:gridCol w:w="643"/>
        <w:gridCol w:w="644"/>
        <w:gridCol w:w="643"/>
        <w:gridCol w:w="643"/>
        <w:gridCol w:w="337"/>
        <w:gridCol w:w="306"/>
        <w:gridCol w:w="643"/>
        <w:gridCol w:w="647"/>
      </w:tblGrid>
      <w:tr w:rsidR="00731B68" w:rsidRPr="000F0299" w14:paraId="6C55CA52" w14:textId="77777777" w:rsidTr="00731B68">
        <w:trPr>
          <w:jc w:val="center"/>
        </w:trPr>
        <w:tc>
          <w:tcPr>
            <w:tcW w:w="2493" w:type="dxa"/>
            <w:shd w:val="clear" w:color="auto" w:fill="E7E6E6" w:themeFill="background2"/>
            <w:vAlign w:val="center"/>
          </w:tcPr>
          <w:p w14:paraId="13A37D4D" w14:textId="77777777" w:rsidR="00731B68" w:rsidRPr="000F0299" w:rsidRDefault="00731B68" w:rsidP="00AC03F7">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6438" w:type="dxa"/>
            <w:gridSpan w:val="12"/>
            <w:shd w:val="clear" w:color="auto" w:fill="E7E6E6" w:themeFill="background2"/>
            <w:vAlign w:val="center"/>
          </w:tcPr>
          <w:p w14:paraId="020A9DD6" w14:textId="77777777" w:rsidR="00731B68" w:rsidRPr="000F0299" w:rsidRDefault="00731B68" w:rsidP="00AC03F7">
            <w:pPr>
              <w:suppressAutoHyphens w:val="0"/>
              <w:autoSpaceDN/>
              <w:spacing w:before="0"/>
              <w:ind w:firstLine="0"/>
              <w:textAlignment w:val="auto"/>
              <w:rPr>
                <w:rFonts w:eastAsiaTheme="minorHAnsi"/>
                <w:b/>
                <w:bCs/>
                <w:color w:val="0070C0"/>
                <w:kern w:val="0"/>
                <w:sz w:val="20"/>
                <w:szCs w:val="20"/>
                <w:lang w:eastAsia="en-US" w:bidi="ar-SA"/>
              </w:rPr>
            </w:pPr>
            <w:r w:rsidRPr="000F0299">
              <w:rPr>
                <w:rFonts w:eastAsiaTheme="minorHAnsi"/>
                <w:b/>
                <w:bCs/>
                <w:kern w:val="0"/>
                <w:sz w:val="20"/>
                <w:szCs w:val="20"/>
                <w:lang w:eastAsia="en-US" w:bidi="ar-SA"/>
              </w:rPr>
              <w:t>Индикатор квалитета прописа (Regulatory quality) – ранг Светске банке</w:t>
            </w:r>
          </w:p>
        </w:tc>
      </w:tr>
      <w:tr w:rsidR="00731B68" w:rsidRPr="000F0299" w14:paraId="6D131051" w14:textId="77777777" w:rsidTr="009E21AC">
        <w:trPr>
          <w:jc w:val="center"/>
        </w:trPr>
        <w:tc>
          <w:tcPr>
            <w:tcW w:w="2493" w:type="dxa"/>
          </w:tcPr>
          <w:p w14:paraId="323F92BE" w14:textId="77777777" w:rsidR="00731B68" w:rsidRPr="000F0299" w:rsidRDefault="00731B68" w:rsidP="00AC03F7">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438" w:type="dxa"/>
            <w:gridSpan w:val="12"/>
          </w:tcPr>
          <w:p w14:paraId="4BED639B" w14:textId="087EDD2E" w:rsidR="00731B68" w:rsidRPr="000F0299" w:rsidRDefault="00AF7DC3" w:rsidP="00AC03F7">
            <w:pPr>
              <w:suppressAutoHyphens w:val="0"/>
              <w:autoSpaceDN/>
              <w:spacing w:before="0"/>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 xml:space="preserve">Посебан циљ 1.1: </w:t>
            </w:r>
            <w:r w:rsidR="00731B68" w:rsidRPr="000F0299">
              <w:rPr>
                <w:rFonts w:eastAsiaTheme="minorHAnsi"/>
                <w:kern w:val="0"/>
                <w:sz w:val="20"/>
                <w:szCs w:val="20"/>
                <w:lang w:eastAsia="en-US" w:bidi="ar-SA"/>
              </w:rPr>
              <w:t xml:space="preserve">Унапређен квалитет јавних политика и прописа </w:t>
            </w:r>
          </w:p>
        </w:tc>
      </w:tr>
      <w:tr w:rsidR="00B53B5C" w:rsidRPr="000F0299" w14:paraId="15BD2913" w14:textId="77777777" w:rsidTr="009F5263">
        <w:trPr>
          <w:jc w:val="center"/>
        </w:trPr>
        <w:tc>
          <w:tcPr>
            <w:tcW w:w="2493" w:type="dxa"/>
          </w:tcPr>
          <w:p w14:paraId="0F65D98E" w14:textId="77777777" w:rsidR="00B53B5C" w:rsidRPr="000F0299" w:rsidRDefault="00B53B5C" w:rsidP="00AC03F7">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kern w:val="24"/>
                <w:sz w:val="20"/>
                <w:szCs w:val="20"/>
                <w:lang w:eastAsia="en-US" w:bidi="ar-SA"/>
              </w:rPr>
              <w:t>Тип и ниво показатеља</w:t>
            </w:r>
          </w:p>
        </w:tc>
        <w:tc>
          <w:tcPr>
            <w:tcW w:w="3219" w:type="dxa"/>
            <w:gridSpan w:val="6"/>
          </w:tcPr>
          <w:p w14:paraId="04641932" w14:textId="77777777" w:rsidR="00B53B5C" w:rsidRPr="000F0299" w:rsidRDefault="00B53B5C" w:rsidP="00E62A1A">
            <w:pPr>
              <w:numPr>
                <w:ilvl w:val="0"/>
                <w:numId w:val="7"/>
              </w:numPr>
              <w:tabs>
                <w:tab w:val="left" w:pos="152"/>
              </w:tabs>
              <w:suppressAutoHyphens w:val="0"/>
              <w:autoSpaceDN/>
              <w:spacing w:before="0"/>
              <w:ind w:left="1" w:firstLine="0"/>
              <w:contextualSpacing/>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Квантитативни</w:t>
            </w:r>
          </w:p>
        </w:tc>
        <w:tc>
          <w:tcPr>
            <w:tcW w:w="3219" w:type="dxa"/>
            <w:gridSpan w:val="6"/>
          </w:tcPr>
          <w:p w14:paraId="3428A134" w14:textId="3388063D" w:rsidR="00B53B5C" w:rsidRPr="000F0299" w:rsidRDefault="00B53B5C" w:rsidP="00E62A1A">
            <w:pPr>
              <w:numPr>
                <w:ilvl w:val="0"/>
                <w:numId w:val="7"/>
              </w:numPr>
              <w:tabs>
                <w:tab w:val="left" w:pos="152"/>
              </w:tabs>
              <w:suppressAutoHyphens w:val="0"/>
              <w:autoSpaceDN/>
              <w:spacing w:before="0"/>
              <w:ind w:left="1" w:firstLine="0"/>
              <w:contextualSpacing/>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Показатељ исхода</w:t>
            </w:r>
          </w:p>
        </w:tc>
      </w:tr>
      <w:tr w:rsidR="00B53B5C" w:rsidRPr="000F0299" w14:paraId="1EC18788" w14:textId="77777777" w:rsidTr="009F5263">
        <w:trPr>
          <w:trHeight w:val="58"/>
          <w:jc w:val="center"/>
        </w:trPr>
        <w:tc>
          <w:tcPr>
            <w:tcW w:w="2493" w:type="dxa"/>
          </w:tcPr>
          <w:p w14:paraId="14DD87EF" w14:textId="77777777" w:rsidR="00B53B5C" w:rsidRPr="000F0299" w:rsidRDefault="00B53B5C" w:rsidP="00AC03F7">
            <w:pPr>
              <w:suppressAutoHyphens w:val="0"/>
              <w:autoSpaceDN/>
              <w:spacing w:before="0"/>
              <w:ind w:firstLine="0"/>
              <w:textAlignment w:val="auto"/>
              <w:rPr>
                <w:rFonts w:eastAsiaTheme="minorHAnsi"/>
                <w:b/>
                <w:kern w:val="24"/>
                <w:sz w:val="20"/>
                <w:szCs w:val="20"/>
                <w:lang w:eastAsia="en-US" w:bidi="ar-SA"/>
              </w:rPr>
            </w:pPr>
            <w:r w:rsidRPr="000F0299">
              <w:rPr>
                <w:rFonts w:eastAsiaTheme="minorHAnsi"/>
                <w:b/>
                <w:kern w:val="24"/>
                <w:sz w:val="20"/>
                <w:szCs w:val="20"/>
                <w:lang w:eastAsia="en-US" w:bidi="ar-SA"/>
              </w:rPr>
              <w:t>Јединица мере и природа</w:t>
            </w:r>
          </w:p>
        </w:tc>
        <w:tc>
          <w:tcPr>
            <w:tcW w:w="3219" w:type="dxa"/>
            <w:gridSpan w:val="6"/>
          </w:tcPr>
          <w:p w14:paraId="1A49575F" w14:textId="77777777" w:rsidR="00B53B5C" w:rsidRPr="000F0299" w:rsidRDefault="00B53B5C" w:rsidP="00E62A1A">
            <w:pPr>
              <w:numPr>
                <w:ilvl w:val="0"/>
                <w:numId w:val="7"/>
              </w:numPr>
              <w:tabs>
                <w:tab w:val="left" w:pos="152"/>
              </w:tabs>
              <w:suppressAutoHyphens w:val="0"/>
              <w:autoSpaceDN/>
              <w:spacing w:before="0"/>
              <w:ind w:left="1" w:firstLine="0"/>
              <w:contextualSpacing/>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Ранг</w:t>
            </w:r>
          </w:p>
        </w:tc>
        <w:tc>
          <w:tcPr>
            <w:tcW w:w="3219" w:type="dxa"/>
            <w:gridSpan w:val="6"/>
          </w:tcPr>
          <w:p w14:paraId="5990B01F" w14:textId="6A27F75B" w:rsidR="00B53B5C" w:rsidRPr="000F0299" w:rsidRDefault="00B53B5C" w:rsidP="00E62A1A">
            <w:pPr>
              <w:numPr>
                <w:ilvl w:val="0"/>
                <w:numId w:val="7"/>
              </w:numPr>
              <w:tabs>
                <w:tab w:val="left" w:pos="152"/>
              </w:tabs>
              <w:suppressAutoHyphens w:val="0"/>
              <w:autoSpaceDN/>
              <w:spacing w:before="0"/>
              <w:ind w:left="1" w:firstLine="0"/>
              <w:contextualSpacing/>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Виша вредност је боља</w:t>
            </w:r>
          </w:p>
        </w:tc>
      </w:tr>
      <w:tr w:rsidR="00731B68" w:rsidRPr="000F0299" w14:paraId="6105C6B7" w14:textId="77777777" w:rsidTr="009E21AC">
        <w:trPr>
          <w:jc w:val="center"/>
        </w:trPr>
        <w:tc>
          <w:tcPr>
            <w:tcW w:w="2493" w:type="dxa"/>
          </w:tcPr>
          <w:p w14:paraId="01791FF6" w14:textId="77777777" w:rsidR="00731B68" w:rsidRPr="000F0299" w:rsidRDefault="00731B68" w:rsidP="00AC03F7">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438" w:type="dxa"/>
            <w:gridSpan w:val="12"/>
          </w:tcPr>
          <w:p w14:paraId="1ECBD2A5" w14:textId="77777777" w:rsidR="00731B68" w:rsidRPr="000F0299" w:rsidRDefault="00731B68" w:rsidP="00AC03F7">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Портал Светске банке -  Worldwide Governance Indicators</w:t>
            </w:r>
          </w:p>
          <w:p w14:paraId="0C5CD937" w14:textId="77777777" w:rsidR="00731B68" w:rsidRPr="000F0299" w:rsidRDefault="00F47F65" w:rsidP="00AC03F7">
            <w:pPr>
              <w:suppressAutoHyphens w:val="0"/>
              <w:autoSpaceDN/>
              <w:spacing w:before="0"/>
              <w:ind w:firstLine="0"/>
              <w:textAlignment w:val="auto"/>
              <w:rPr>
                <w:rFonts w:eastAsiaTheme="minorHAnsi"/>
                <w:kern w:val="0"/>
                <w:sz w:val="20"/>
                <w:szCs w:val="20"/>
                <w:lang w:eastAsia="en-US" w:bidi="ar-SA"/>
              </w:rPr>
            </w:pPr>
            <w:hyperlink r:id="rId198" w:history="1">
              <w:r w:rsidR="00731B68" w:rsidRPr="000F0299">
                <w:rPr>
                  <w:rFonts w:eastAsiaTheme="minorHAnsi"/>
                  <w:color w:val="0563C1" w:themeColor="hyperlink"/>
                  <w:kern w:val="0"/>
                  <w:sz w:val="20"/>
                  <w:szCs w:val="20"/>
                  <w:u w:val="single"/>
                  <w:lang w:eastAsia="en-US" w:bidi="ar-SA"/>
                </w:rPr>
                <w:t>https://info.worldbank.org/governance/wgi/Home/Reports</w:t>
              </w:r>
            </w:hyperlink>
          </w:p>
        </w:tc>
      </w:tr>
      <w:tr w:rsidR="00731B68" w:rsidRPr="000F0299" w14:paraId="184E2CAA" w14:textId="77777777" w:rsidTr="009E21AC">
        <w:trPr>
          <w:jc w:val="center"/>
        </w:trPr>
        <w:tc>
          <w:tcPr>
            <w:tcW w:w="2493" w:type="dxa"/>
          </w:tcPr>
          <w:p w14:paraId="35A557B9" w14:textId="77777777" w:rsidR="00731B68" w:rsidRPr="000F0299" w:rsidRDefault="00731B68" w:rsidP="00AC03F7">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Институција одговорна за реализацију циља/мере</w:t>
            </w:r>
          </w:p>
        </w:tc>
        <w:tc>
          <w:tcPr>
            <w:tcW w:w="6438" w:type="dxa"/>
            <w:gridSpan w:val="12"/>
          </w:tcPr>
          <w:p w14:paraId="23233252" w14:textId="77777777" w:rsidR="00731B68" w:rsidRPr="000F0299" w:rsidRDefault="00731B68" w:rsidP="00AC03F7">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РСЈП</w:t>
            </w:r>
          </w:p>
        </w:tc>
      </w:tr>
      <w:tr w:rsidR="00731B68" w:rsidRPr="000F0299" w14:paraId="58E3AE87" w14:textId="77777777" w:rsidTr="009E21AC">
        <w:trPr>
          <w:jc w:val="center"/>
        </w:trPr>
        <w:tc>
          <w:tcPr>
            <w:tcW w:w="2493" w:type="dxa"/>
          </w:tcPr>
          <w:p w14:paraId="0A142411" w14:textId="77777777" w:rsidR="00731B68" w:rsidRPr="000F0299" w:rsidRDefault="00731B68" w:rsidP="00AC03F7">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438" w:type="dxa"/>
            <w:gridSpan w:val="12"/>
          </w:tcPr>
          <w:p w14:paraId="41B85D64" w14:textId="17BE0064" w:rsidR="00731B68" w:rsidRPr="000F0299" w:rsidRDefault="006E109E" w:rsidP="00AC03F7">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Г</w:t>
            </w:r>
            <w:r w:rsidR="00731B68" w:rsidRPr="000F0299">
              <w:rPr>
                <w:rFonts w:eastAsiaTheme="minorHAnsi"/>
                <w:kern w:val="0"/>
                <w:sz w:val="20"/>
                <w:szCs w:val="20"/>
                <w:lang w:eastAsia="en-US" w:bidi="ar-SA"/>
              </w:rPr>
              <w:t>одишњи податак – показатељ се објављује једном годишње и то у текућој години за претходну годину</w:t>
            </w:r>
          </w:p>
        </w:tc>
      </w:tr>
      <w:tr w:rsidR="00731B68" w:rsidRPr="000F0299" w14:paraId="18E00473" w14:textId="77777777" w:rsidTr="009E21AC">
        <w:trPr>
          <w:jc w:val="center"/>
        </w:trPr>
        <w:tc>
          <w:tcPr>
            <w:tcW w:w="2493" w:type="dxa"/>
          </w:tcPr>
          <w:p w14:paraId="31AB4BC8" w14:textId="77777777" w:rsidR="00731B68" w:rsidRPr="000F0299" w:rsidRDefault="00731B68" w:rsidP="00AC03F7">
            <w:pPr>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Кратак опис показатеља и методологије израчунавања</w:t>
            </w:r>
          </w:p>
          <w:p w14:paraId="13871039" w14:textId="77777777" w:rsidR="00731B68" w:rsidRPr="000F0299" w:rsidRDefault="00731B68" w:rsidP="00AC03F7">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kern w:val="0"/>
                <w:sz w:val="20"/>
                <w:szCs w:val="20"/>
                <w:lang w:eastAsia="en-US" w:bidi="ar-SA"/>
              </w:rPr>
              <w:t>(формуле/једначине)</w:t>
            </w:r>
          </w:p>
        </w:tc>
        <w:tc>
          <w:tcPr>
            <w:tcW w:w="6438" w:type="dxa"/>
            <w:gridSpan w:val="12"/>
          </w:tcPr>
          <w:p w14:paraId="3F862902" w14:textId="77777777" w:rsidR="00731B68" w:rsidRPr="000F0299" w:rsidRDefault="00731B68" w:rsidP="00AC03F7">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Овај композитни показатељ мери способност законодавне и извршне власти да формулише, усвоји и примењује јасне политике и прописе који дозвољавају и промовишу развој приватног сектора. Четири главна стуба овог показатеља су: квалитет текста закона, предпарламентарни поступак доношења закона, парламентарни поступак и примена закона. Показатељ се састоји од 67 променљивих, од којих 50 оцењују у интервалу од 0-100</w:t>
            </w:r>
          </w:p>
        </w:tc>
      </w:tr>
      <w:tr w:rsidR="00731B68" w:rsidRPr="000F0299" w14:paraId="70D52B05" w14:textId="77777777" w:rsidTr="009E21AC">
        <w:trPr>
          <w:trHeight w:val="265"/>
          <w:jc w:val="center"/>
        </w:trPr>
        <w:tc>
          <w:tcPr>
            <w:tcW w:w="2493" w:type="dxa"/>
            <w:vMerge w:val="restart"/>
          </w:tcPr>
          <w:p w14:paraId="651777A2" w14:textId="77777777" w:rsidR="00731B68" w:rsidRPr="000F0299" w:rsidRDefault="00731B68" w:rsidP="00AC03F7">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4842" w:type="dxa"/>
            <w:gridSpan w:val="9"/>
            <w:tcBorders>
              <w:bottom w:val="single" w:sz="4" w:space="0" w:color="auto"/>
            </w:tcBorders>
            <w:vAlign w:val="center"/>
          </w:tcPr>
          <w:p w14:paraId="5055631C" w14:textId="77777777" w:rsidR="00731B68" w:rsidRPr="000F0299" w:rsidRDefault="00731B68" w:rsidP="00AC03F7">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претходном периоду</w:t>
            </w:r>
          </w:p>
        </w:tc>
        <w:tc>
          <w:tcPr>
            <w:tcW w:w="1596" w:type="dxa"/>
            <w:gridSpan w:val="3"/>
            <w:shd w:val="clear" w:color="auto" w:fill="auto"/>
            <w:vAlign w:val="center"/>
          </w:tcPr>
          <w:p w14:paraId="76C7FA2B" w14:textId="77777777" w:rsidR="00731B68" w:rsidRPr="000F0299" w:rsidRDefault="00731B68" w:rsidP="00AC03F7">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731B68" w:rsidRPr="000F0299" w14:paraId="3B2D7C18" w14:textId="77777777" w:rsidTr="009E21AC">
        <w:trPr>
          <w:trHeight w:val="137"/>
          <w:jc w:val="center"/>
        </w:trPr>
        <w:tc>
          <w:tcPr>
            <w:tcW w:w="2493" w:type="dxa"/>
            <w:vMerge/>
            <w:tcBorders>
              <w:right w:val="single" w:sz="4" w:space="0" w:color="auto"/>
            </w:tcBorders>
          </w:tcPr>
          <w:p w14:paraId="3CE05222" w14:textId="77777777" w:rsidR="00731B68" w:rsidRPr="000F0299" w:rsidRDefault="00731B68" w:rsidP="00AC03F7">
            <w:pPr>
              <w:suppressAutoHyphens w:val="0"/>
              <w:autoSpaceDN/>
              <w:spacing w:before="0"/>
              <w:ind w:firstLine="0"/>
              <w:textAlignment w:val="auto"/>
              <w:rPr>
                <w:rFonts w:eastAsiaTheme="minorHAnsi"/>
                <w:b/>
                <w:bCs/>
                <w:kern w:val="0"/>
                <w:sz w:val="20"/>
                <w:szCs w:val="20"/>
                <w:lang w:eastAsia="en-US" w:bidi="ar-SA"/>
              </w:rPr>
            </w:pPr>
          </w:p>
        </w:tc>
        <w:tc>
          <w:tcPr>
            <w:tcW w:w="1626" w:type="dxa"/>
            <w:gridSpan w:val="3"/>
            <w:tcBorders>
              <w:top w:val="single" w:sz="4" w:space="0" w:color="auto"/>
              <w:left w:val="single" w:sz="4" w:space="0" w:color="auto"/>
              <w:bottom w:val="single" w:sz="4" w:space="0" w:color="auto"/>
              <w:right w:val="single" w:sz="4" w:space="0" w:color="auto"/>
            </w:tcBorders>
            <w:vAlign w:val="center"/>
          </w:tcPr>
          <w:p w14:paraId="04BBAAD0"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2008</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2E94937A"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2013</w:t>
            </w:r>
          </w:p>
        </w:tc>
        <w:tc>
          <w:tcPr>
            <w:tcW w:w="1623" w:type="dxa"/>
            <w:gridSpan w:val="3"/>
            <w:tcBorders>
              <w:top w:val="single" w:sz="4" w:space="0" w:color="auto"/>
              <w:left w:val="single" w:sz="4" w:space="0" w:color="auto"/>
              <w:bottom w:val="single" w:sz="4" w:space="0" w:color="auto"/>
              <w:right w:val="single" w:sz="4" w:space="0" w:color="auto"/>
            </w:tcBorders>
            <w:vAlign w:val="center"/>
          </w:tcPr>
          <w:p w14:paraId="14EA85B7"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1596" w:type="dxa"/>
            <w:gridSpan w:val="3"/>
            <w:tcBorders>
              <w:left w:val="single" w:sz="4" w:space="0" w:color="auto"/>
            </w:tcBorders>
            <w:shd w:val="clear" w:color="auto" w:fill="auto"/>
            <w:vAlign w:val="center"/>
          </w:tcPr>
          <w:p w14:paraId="04188185"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2019</w:t>
            </w:r>
          </w:p>
        </w:tc>
      </w:tr>
      <w:tr w:rsidR="00731B68" w:rsidRPr="000F0299" w14:paraId="3ED55482" w14:textId="77777777" w:rsidTr="009E21AC">
        <w:trPr>
          <w:trHeight w:val="323"/>
          <w:jc w:val="center"/>
        </w:trPr>
        <w:tc>
          <w:tcPr>
            <w:tcW w:w="2493" w:type="dxa"/>
            <w:vMerge/>
          </w:tcPr>
          <w:p w14:paraId="5AFE8813" w14:textId="77777777" w:rsidR="00731B68" w:rsidRPr="000F0299" w:rsidRDefault="00731B68" w:rsidP="00AC03F7">
            <w:pPr>
              <w:suppressAutoHyphens w:val="0"/>
              <w:autoSpaceDN/>
              <w:spacing w:before="0"/>
              <w:ind w:firstLine="0"/>
              <w:textAlignment w:val="auto"/>
              <w:rPr>
                <w:rFonts w:eastAsiaTheme="minorHAnsi"/>
                <w:b/>
                <w:bCs/>
                <w:kern w:val="0"/>
                <w:sz w:val="20"/>
                <w:szCs w:val="20"/>
                <w:lang w:eastAsia="en-US" w:bidi="ar-SA"/>
              </w:rPr>
            </w:pPr>
          </w:p>
        </w:tc>
        <w:tc>
          <w:tcPr>
            <w:tcW w:w="1626" w:type="dxa"/>
            <w:gridSpan w:val="3"/>
            <w:tcBorders>
              <w:top w:val="single" w:sz="4" w:space="0" w:color="auto"/>
            </w:tcBorders>
            <w:vAlign w:val="center"/>
          </w:tcPr>
          <w:p w14:paraId="71B71532"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45,63</w:t>
            </w:r>
          </w:p>
        </w:tc>
        <w:tc>
          <w:tcPr>
            <w:tcW w:w="1593" w:type="dxa"/>
            <w:gridSpan w:val="3"/>
            <w:tcBorders>
              <w:top w:val="single" w:sz="4" w:space="0" w:color="auto"/>
            </w:tcBorders>
            <w:vAlign w:val="center"/>
          </w:tcPr>
          <w:p w14:paraId="17B50645"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52,13</w:t>
            </w:r>
          </w:p>
        </w:tc>
        <w:tc>
          <w:tcPr>
            <w:tcW w:w="1623" w:type="dxa"/>
            <w:gridSpan w:val="3"/>
            <w:tcBorders>
              <w:top w:val="single" w:sz="4" w:space="0" w:color="auto"/>
            </w:tcBorders>
            <w:vAlign w:val="center"/>
          </w:tcPr>
          <w:p w14:paraId="16BE3626"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59,62</w:t>
            </w:r>
          </w:p>
        </w:tc>
        <w:tc>
          <w:tcPr>
            <w:tcW w:w="1596" w:type="dxa"/>
            <w:gridSpan w:val="3"/>
            <w:shd w:val="clear" w:color="auto" w:fill="auto"/>
            <w:vAlign w:val="center"/>
          </w:tcPr>
          <w:p w14:paraId="1A30024F"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60,10</w:t>
            </w:r>
          </w:p>
        </w:tc>
      </w:tr>
      <w:tr w:rsidR="00731B68" w:rsidRPr="000F0299" w14:paraId="11CB3950" w14:textId="77777777" w:rsidTr="009E21AC">
        <w:trPr>
          <w:trHeight w:val="274"/>
          <w:jc w:val="center"/>
        </w:trPr>
        <w:tc>
          <w:tcPr>
            <w:tcW w:w="2493" w:type="dxa"/>
            <w:vMerge w:val="restart"/>
          </w:tcPr>
          <w:p w14:paraId="1917E7D4" w14:textId="77777777" w:rsidR="00731B68" w:rsidRPr="000F0299" w:rsidRDefault="00731B68" w:rsidP="00AC03F7">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44" w:type="dxa"/>
            <w:vAlign w:val="center"/>
          </w:tcPr>
          <w:p w14:paraId="4525795F"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644" w:type="dxa"/>
            <w:vAlign w:val="center"/>
          </w:tcPr>
          <w:p w14:paraId="49AE04AF"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644" w:type="dxa"/>
            <w:gridSpan w:val="2"/>
            <w:vAlign w:val="center"/>
          </w:tcPr>
          <w:p w14:paraId="33F678E1"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643" w:type="dxa"/>
            <w:vAlign w:val="center"/>
          </w:tcPr>
          <w:p w14:paraId="11881846"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644" w:type="dxa"/>
            <w:vAlign w:val="center"/>
          </w:tcPr>
          <w:p w14:paraId="2D17E250"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643" w:type="dxa"/>
            <w:vAlign w:val="center"/>
          </w:tcPr>
          <w:p w14:paraId="0851E956"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643" w:type="dxa"/>
            <w:vAlign w:val="center"/>
          </w:tcPr>
          <w:p w14:paraId="49714CA7"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643" w:type="dxa"/>
            <w:gridSpan w:val="2"/>
            <w:vAlign w:val="center"/>
          </w:tcPr>
          <w:p w14:paraId="1A96764A"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643" w:type="dxa"/>
            <w:vAlign w:val="center"/>
          </w:tcPr>
          <w:p w14:paraId="1944C3A3"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647" w:type="dxa"/>
            <w:vAlign w:val="center"/>
          </w:tcPr>
          <w:p w14:paraId="7E11F404"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731B68" w:rsidRPr="000F0299" w14:paraId="1F5BE98B" w14:textId="77777777" w:rsidTr="009E21AC">
        <w:trPr>
          <w:trHeight w:val="160"/>
          <w:jc w:val="center"/>
        </w:trPr>
        <w:tc>
          <w:tcPr>
            <w:tcW w:w="2493" w:type="dxa"/>
            <w:vMerge/>
          </w:tcPr>
          <w:p w14:paraId="3C626F48" w14:textId="77777777" w:rsidR="00731B68" w:rsidRPr="000F0299" w:rsidRDefault="00731B68" w:rsidP="00AC03F7">
            <w:pPr>
              <w:suppressAutoHyphens w:val="0"/>
              <w:autoSpaceDN/>
              <w:spacing w:before="0"/>
              <w:ind w:firstLine="0"/>
              <w:textAlignment w:val="auto"/>
              <w:rPr>
                <w:rFonts w:eastAsiaTheme="minorHAnsi"/>
                <w:b/>
                <w:bCs/>
                <w:kern w:val="0"/>
                <w:sz w:val="20"/>
                <w:szCs w:val="20"/>
                <w:lang w:eastAsia="en-US" w:bidi="ar-SA"/>
              </w:rPr>
            </w:pPr>
          </w:p>
        </w:tc>
        <w:tc>
          <w:tcPr>
            <w:tcW w:w="644" w:type="dxa"/>
            <w:vAlign w:val="center"/>
          </w:tcPr>
          <w:p w14:paraId="2753DFFE"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61</w:t>
            </w:r>
          </w:p>
        </w:tc>
        <w:tc>
          <w:tcPr>
            <w:tcW w:w="644" w:type="dxa"/>
            <w:vAlign w:val="center"/>
          </w:tcPr>
          <w:p w14:paraId="57C4EE03"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62</w:t>
            </w:r>
          </w:p>
        </w:tc>
        <w:tc>
          <w:tcPr>
            <w:tcW w:w="644" w:type="dxa"/>
            <w:gridSpan w:val="2"/>
            <w:vAlign w:val="center"/>
          </w:tcPr>
          <w:p w14:paraId="38EBC1A8"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63</w:t>
            </w:r>
          </w:p>
        </w:tc>
        <w:tc>
          <w:tcPr>
            <w:tcW w:w="643" w:type="dxa"/>
            <w:vAlign w:val="center"/>
          </w:tcPr>
          <w:p w14:paraId="47711855"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64</w:t>
            </w:r>
          </w:p>
        </w:tc>
        <w:tc>
          <w:tcPr>
            <w:tcW w:w="644" w:type="dxa"/>
            <w:vAlign w:val="center"/>
          </w:tcPr>
          <w:p w14:paraId="58BF4799"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65</w:t>
            </w:r>
          </w:p>
        </w:tc>
        <w:tc>
          <w:tcPr>
            <w:tcW w:w="643" w:type="dxa"/>
            <w:vAlign w:val="center"/>
          </w:tcPr>
          <w:p w14:paraId="3D2AA6CD"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66</w:t>
            </w:r>
          </w:p>
        </w:tc>
        <w:tc>
          <w:tcPr>
            <w:tcW w:w="643" w:type="dxa"/>
            <w:vAlign w:val="center"/>
          </w:tcPr>
          <w:p w14:paraId="284DE7BB"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67</w:t>
            </w:r>
          </w:p>
        </w:tc>
        <w:tc>
          <w:tcPr>
            <w:tcW w:w="643" w:type="dxa"/>
            <w:gridSpan w:val="2"/>
            <w:vAlign w:val="center"/>
          </w:tcPr>
          <w:p w14:paraId="4FBFC1EE"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68</w:t>
            </w:r>
          </w:p>
        </w:tc>
        <w:tc>
          <w:tcPr>
            <w:tcW w:w="643" w:type="dxa"/>
            <w:vAlign w:val="center"/>
          </w:tcPr>
          <w:p w14:paraId="0A7FAEDE"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69</w:t>
            </w:r>
          </w:p>
        </w:tc>
        <w:tc>
          <w:tcPr>
            <w:tcW w:w="647" w:type="dxa"/>
            <w:vAlign w:val="center"/>
          </w:tcPr>
          <w:p w14:paraId="5F64213C" w14:textId="77777777" w:rsidR="00731B68" w:rsidRPr="000F0299" w:rsidRDefault="00731B68" w:rsidP="00AC03F7">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color w:val="000000"/>
                <w:kern w:val="0"/>
                <w:sz w:val="20"/>
                <w:szCs w:val="20"/>
                <w:lang w:eastAsia="en-US" w:bidi="ar-SA"/>
              </w:rPr>
              <w:t>70</w:t>
            </w:r>
          </w:p>
        </w:tc>
      </w:tr>
      <w:tr w:rsidR="00731B68" w:rsidRPr="000F0299" w14:paraId="2F9C235B" w14:textId="77777777" w:rsidTr="009E21AC">
        <w:trPr>
          <w:trHeight w:val="160"/>
          <w:jc w:val="center"/>
        </w:trPr>
        <w:tc>
          <w:tcPr>
            <w:tcW w:w="2493" w:type="dxa"/>
          </w:tcPr>
          <w:p w14:paraId="241B3ECF" w14:textId="77777777" w:rsidR="00731B68" w:rsidRPr="000F0299" w:rsidRDefault="00731B68" w:rsidP="00AC03F7">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438" w:type="dxa"/>
            <w:gridSpan w:val="12"/>
            <w:vAlign w:val="center"/>
          </w:tcPr>
          <w:p w14:paraId="44453F59" w14:textId="77777777" w:rsidR="00731B68" w:rsidRPr="000F0299" w:rsidRDefault="00731B68" w:rsidP="00AC03F7">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Без одступања</w:t>
            </w:r>
          </w:p>
        </w:tc>
      </w:tr>
    </w:tbl>
    <w:p w14:paraId="719DA392" w14:textId="501A8CCD" w:rsidR="00620C52" w:rsidRPr="000F0299" w:rsidRDefault="00620C52" w:rsidP="007C0360">
      <w:pPr>
        <w:ind w:firstLine="0"/>
      </w:pPr>
    </w:p>
    <w:p w14:paraId="25987402" w14:textId="77777777" w:rsidR="00620C52" w:rsidRPr="000F0299" w:rsidRDefault="00620C52">
      <w:pPr>
        <w:suppressAutoHyphens w:val="0"/>
        <w:autoSpaceDN/>
        <w:spacing w:before="0" w:after="160" w:line="259" w:lineRule="auto"/>
        <w:ind w:firstLine="0"/>
        <w:jc w:val="left"/>
        <w:textAlignment w:val="auto"/>
      </w:pPr>
      <w:r w:rsidRPr="000F0299">
        <w:br w:type="page"/>
      </w:r>
    </w:p>
    <w:p w14:paraId="4798FF11" w14:textId="61180088" w:rsidR="003F3312" w:rsidRPr="000F0299" w:rsidRDefault="00BE55B6" w:rsidP="003D3BC5">
      <w:pPr>
        <w:pStyle w:val="Heading2"/>
        <w:rPr>
          <w:lang w:val="sr-Cyrl-RS"/>
        </w:rPr>
      </w:pPr>
      <w:bookmarkStart w:id="319" w:name="_Toc57661515"/>
      <w:bookmarkStart w:id="320" w:name="_Hlk55835350"/>
      <w:r w:rsidRPr="000F0299">
        <w:rPr>
          <w:lang w:val="sr-Cyrl-RS"/>
        </w:rPr>
        <w:t xml:space="preserve">Показатељи учинака - </w:t>
      </w:r>
      <w:r w:rsidR="00731B68" w:rsidRPr="000F0299">
        <w:rPr>
          <w:lang w:val="sr-Cyrl-RS"/>
        </w:rPr>
        <w:t>Управљање људским ресурсима</w:t>
      </w:r>
      <w:bookmarkEnd w:id="319"/>
      <w:r w:rsidR="003F3312" w:rsidRPr="000F0299">
        <w:rPr>
          <w:lang w:val="sr-Cyrl-RS"/>
        </w:rPr>
        <w:t xml:space="preserve"> </w:t>
      </w:r>
    </w:p>
    <w:p w14:paraId="03AF53A3" w14:textId="5DC2096E" w:rsidR="00AF7DC3" w:rsidRPr="000F0299" w:rsidRDefault="00AF7DC3" w:rsidP="00322979">
      <w:pPr>
        <w:pStyle w:val="Heading3"/>
        <w:rPr>
          <w:lang w:val="sr-Cyrl-RS"/>
        </w:rPr>
      </w:pPr>
      <w:bookmarkStart w:id="321" w:name="_Посебан_циљ_2.1:"/>
      <w:bookmarkStart w:id="322" w:name="_Toc57661516"/>
      <w:bookmarkEnd w:id="321"/>
      <w:r w:rsidRPr="000F0299">
        <w:rPr>
          <w:lang w:val="sr-Cyrl-RS"/>
        </w:rPr>
        <w:t xml:space="preserve">Посебан циљ 2.1: Унапређен процес </w:t>
      </w:r>
      <w:r w:rsidR="00E95945">
        <w:rPr>
          <w:lang w:val="sr-Cyrl-RS"/>
        </w:rPr>
        <w:t xml:space="preserve">регрутације </w:t>
      </w:r>
      <w:r w:rsidRPr="000F0299">
        <w:rPr>
          <w:lang w:val="sr-Cyrl-RS"/>
        </w:rPr>
        <w:t>у јавној управи</w:t>
      </w:r>
      <w:bookmarkEnd w:id="322"/>
    </w:p>
    <w:p w14:paraId="54524A92" w14:textId="7E372372" w:rsidR="003F3312" w:rsidRPr="000F0299" w:rsidRDefault="00731B68" w:rsidP="00BE55B6">
      <w:pPr>
        <w:ind w:firstLine="0"/>
        <w:rPr>
          <w:b/>
          <w:bCs/>
          <w:color w:val="2F5496" w:themeColor="accent1" w:themeShade="BF"/>
        </w:rPr>
      </w:pPr>
      <w:r w:rsidRPr="000F0299">
        <w:rPr>
          <w:b/>
          <w:bCs/>
          <w:color w:val="2F5496" w:themeColor="accent1" w:themeShade="BF"/>
        </w:rPr>
        <w:t>Показатељ</w:t>
      </w:r>
      <w:r w:rsidR="003F3312" w:rsidRPr="000F0299">
        <w:rPr>
          <w:b/>
          <w:bCs/>
          <w:color w:val="2F5496" w:themeColor="accent1" w:themeShade="BF"/>
        </w:rPr>
        <w:t xml:space="preserve"> 1</w:t>
      </w:r>
    </w:p>
    <w:tbl>
      <w:tblPr>
        <w:tblStyle w:val="TableGrid10"/>
        <w:tblW w:w="0" w:type="auto"/>
        <w:tblInd w:w="0" w:type="dxa"/>
        <w:tblLayout w:type="fixed"/>
        <w:tblLook w:val="04A0" w:firstRow="1" w:lastRow="0" w:firstColumn="1" w:lastColumn="0" w:noHBand="0" w:noVBand="1"/>
      </w:tblPr>
      <w:tblGrid>
        <w:gridCol w:w="1980"/>
        <w:gridCol w:w="708"/>
        <w:gridCol w:w="708"/>
        <w:gridCol w:w="148"/>
        <w:gridCol w:w="560"/>
        <w:gridCol w:w="708"/>
        <w:gridCol w:w="682"/>
        <w:gridCol w:w="27"/>
        <w:gridCol w:w="708"/>
        <w:gridCol w:w="708"/>
        <w:gridCol w:w="507"/>
        <w:gridCol w:w="201"/>
        <w:gridCol w:w="708"/>
        <w:gridCol w:w="709"/>
      </w:tblGrid>
      <w:tr w:rsidR="009E21AC" w:rsidRPr="000F0299" w14:paraId="13C23C3D" w14:textId="77777777" w:rsidTr="00B228D6">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CA0F26" w14:textId="77777777" w:rsidR="009E21AC" w:rsidRPr="000F0299" w:rsidRDefault="009E21AC" w:rsidP="00AC03F7">
            <w:pPr>
              <w:suppressAutoHyphens w:val="0"/>
              <w:autoSpaceDN/>
              <w:spacing w:before="0" w:after="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Назив показатеља</w:t>
            </w:r>
          </w:p>
        </w:tc>
        <w:tc>
          <w:tcPr>
            <w:tcW w:w="7082"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B3D369" w14:textId="23F6AD75" w:rsidR="009E21AC" w:rsidRPr="000F0299" w:rsidRDefault="009E21AC" w:rsidP="00AC03F7">
            <w:pPr>
              <w:suppressAutoHyphens w:val="0"/>
              <w:autoSpaceDN/>
              <w:spacing w:before="0"/>
              <w:ind w:firstLine="0"/>
              <w:textAlignment w:val="auto"/>
              <w:rPr>
                <w:rFonts w:eastAsia="Times New Roman"/>
                <w:b/>
                <w:bCs/>
                <w:color w:val="000000" w:themeColor="text1"/>
                <w:kern w:val="0"/>
                <w:sz w:val="20"/>
                <w:szCs w:val="20"/>
                <w:lang w:eastAsia="en-US" w:bidi="ar-SA"/>
              </w:rPr>
            </w:pPr>
            <w:r w:rsidRPr="000F0299">
              <w:rPr>
                <w:rFonts w:eastAsia="Times New Roman"/>
                <w:b/>
                <w:bCs/>
                <w:color w:val="000000" w:themeColor="text1"/>
                <w:kern w:val="24"/>
                <w:sz w:val="20"/>
                <w:szCs w:val="20"/>
                <w:lang w:eastAsia="en-US" w:bidi="ar-SA"/>
              </w:rPr>
              <w:t>Меритократија и ефикасност запошљавања државних службеника (</w:t>
            </w:r>
            <w:r w:rsidR="0070535D" w:rsidRPr="0070535D">
              <w:rPr>
                <w:rFonts w:eastAsia="Times New Roman"/>
                <w:b/>
                <w:bCs/>
                <w:i/>
                <w:color w:val="000000" w:themeColor="text1"/>
                <w:kern w:val="24"/>
                <w:sz w:val="20"/>
                <w:szCs w:val="20"/>
                <w:lang w:eastAsia="en-US" w:bidi="ar-SA"/>
              </w:rPr>
              <w:t>SIGMA</w:t>
            </w:r>
            <w:r w:rsidRPr="000F0299">
              <w:rPr>
                <w:rFonts w:eastAsia="Times New Roman"/>
                <w:b/>
                <w:bCs/>
                <w:color w:val="000000" w:themeColor="text1"/>
                <w:kern w:val="24"/>
                <w:sz w:val="20"/>
                <w:szCs w:val="20"/>
                <w:lang w:eastAsia="en-US" w:bidi="ar-SA"/>
              </w:rPr>
              <w:t xml:space="preserve"> показатељ)</w:t>
            </w:r>
          </w:p>
        </w:tc>
      </w:tr>
      <w:tr w:rsidR="009E21AC" w:rsidRPr="000F0299" w14:paraId="6B562A7E" w14:textId="77777777" w:rsidTr="00B228D6">
        <w:tc>
          <w:tcPr>
            <w:tcW w:w="1980" w:type="dxa"/>
            <w:tcBorders>
              <w:top w:val="single" w:sz="4" w:space="0" w:color="auto"/>
              <w:left w:val="single" w:sz="4" w:space="0" w:color="auto"/>
              <w:bottom w:val="single" w:sz="4" w:space="0" w:color="auto"/>
              <w:right w:val="single" w:sz="4" w:space="0" w:color="auto"/>
            </w:tcBorders>
            <w:hideMark/>
          </w:tcPr>
          <w:p w14:paraId="1D8DA284" w14:textId="77777777" w:rsidR="009E21AC" w:rsidRPr="000F0299" w:rsidRDefault="009E21AC" w:rsidP="00AC03F7">
            <w:pPr>
              <w:suppressAutoHyphens w:val="0"/>
              <w:autoSpaceDN/>
              <w:spacing w:before="0" w:after="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Одговарајући општи, посебни циљ или мера</w:t>
            </w:r>
          </w:p>
        </w:tc>
        <w:tc>
          <w:tcPr>
            <w:tcW w:w="7082" w:type="dxa"/>
            <w:gridSpan w:val="13"/>
            <w:tcBorders>
              <w:top w:val="single" w:sz="4" w:space="0" w:color="auto"/>
              <w:left w:val="single" w:sz="4" w:space="0" w:color="auto"/>
              <w:bottom w:val="single" w:sz="4" w:space="0" w:color="auto"/>
              <w:right w:val="single" w:sz="4" w:space="0" w:color="auto"/>
            </w:tcBorders>
            <w:shd w:val="clear" w:color="auto" w:fill="FFFFFF" w:themeFill="background1"/>
            <w:hideMark/>
          </w:tcPr>
          <w:p w14:paraId="5DA057D3" w14:textId="61B097E4" w:rsidR="009E21AC" w:rsidRPr="000F0299" w:rsidRDefault="009E21AC" w:rsidP="00AC03F7">
            <w:pPr>
              <w:suppressAutoHyphens w:val="0"/>
              <w:autoSpaceDN/>
              <w:spacing w:before="0"/>
              <w:ind w:firstLine="0"/>
              <w:textAlignment w:val="auto"/>
              <w:rPr>
                <w:rFonts w:eastAsiaTheme="minorHAnsi"/>
                <w:color w:val="000000" w:themeColor="text1"/>
                <w:kern w:val="24"/>
                <w:sz w:val="20"/>
                <w:szCs w:val="20"/>
                <w:lang w:eastAsia="en-US" w:bidi="ar-SA"/>
              </w:rPr>
            </w:pPr>
            <w:r w:rsidRPr="000F0299">
              <w:rPr>
                <w:rFonts w:eastAsiaTheme="minorHAnsi"/>
                <w:b/>
                <w:bCs/>
                <w:color w:val="000000" w:themeColor="text1"/>
                <w:kern w:val="24"/>
                <w:sz w:val="20"/>
                <w:szCs w:val="20"/>
                <w:lang w:eastAsia="en-US" w:bidi="ar-SA"/>
              </w:rPr>
              <w:t>Посебан циљ 2.1:</w:t>
            </w:r>
            <w:r w:rsidRPr="000F0299">
              <w:rPr>
                <w:rFonts w:eastAsiaTheme="minorHAnsi"/>
                <w:color w:val="000000" w:themeColor="text1"/>
                <w:kern w:val="24"/>
                <w:sz w:val="20"/>
                <w:szCs w:val="20"/>
                <w:lang w:eastAsia="en-US" w:bidi="ar-SA"/>
              </w:rPr>
              <w:t xml:space="preserve"> Унапређен процес </w:t>
            </w:r>
            <w:r w:rsidR="00E95945">
              <w:rPr>
                <w:rFonts w:eastAsiaTheme="minorHAnsi"/>
                <w:color w:val="000000" w:themeColor="text1"/>
                <w:kern w:val="24"/>
                <w:sz w:val="20"/>
                <w:szCs w:val="20"/>
                <w:lang w:eastAsia="en-US" w:bidi="ar-SA"/>
              </w:rPr>
              <w:t xml:space="preserve">регрутације </w:t>
            </w:r>
            <w:r w:rsidRPr="000F0299">
              <w:rPr>
                <w:rFonts w:eastAsiaTheme="minorHAnsi"/>
                <w:color w:val="000000" w:themeColor="text1"/>
                <w:kern w:val="24"/>
                <w:sz w:val="20"/>
                <w:szCs w:val="20"/>
                <w:lang w:eastAsia="en-US" w:bidi="ar-SA"/>
              </w:rPr>
              <w:t>у јавној управи</w:t>
            </w:r>
          </w:p>
        </w:tc>
      </w:tr>
      <w:tr w:rsidR="00322979" w:rsidRPr="000F0299" w14:paraId="1B771B2F" w14:textId="77777777" w:rsidTr="00AC03F7">
        <w:trPr>
          <w:trHeight w:val="334"/>
        </w:trPr>
        <w:tc>
          <w:tcPr>
            <w:tcW w:w="1980" w:type="dxa"/>
            <w:tcBorders>
              <w:top w:val="single" w:sz="4" w:space="0" w:color="auto"/>
              <w:left w:val="single" w:sz="4" w:space="0" w:color="auto"/>
              <w:bottom w:val="single" w:sz="4" w:space="0" w:color="auto"/>
              <w:right w:val="single" w:sz="4" w:space="0" w:color="auto"/>
            </w:tcBorders>
            <w:hideMark/>
          </w:tcPr>
          <w:p w14:paraId="63A912BE" w14:textId="77777777" w:rsidR="00322979" w:rsidRPr="000F0299" w:rsidRDefault="00322979" w:rsidP="00AC03F7">
            <w:pPr>
              <w:suppressAutoHyphens w:val="0"/>
              <w:autoSpaceDN/>
              <w:spacing w:before="0" w:after="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Тип и ниво показатеља</w:t>
            </w:r>
          </w:p>
        </w:tc>
        <w:tc>
          <w:tcPr>
            <w:tcW w:w="3541"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14:paraId="274EE5C4" w14:textId="55151627" w:rsidR="00322979" w:rsidRPr="000F0299" w:rsidRDefault="00322979" w:rsidP="00AC03F7">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0"/>
                <w:sz w:val="20"/>
                <w:szCs w:val="20"/>
                <w:lang w:eastAsia="en-US" w:bidi="ar-SA"/>
              </w:rPr>
              <w:t xml:space="preserve">Квалитативни показатељ </w:t>
            </w:r>
          </w:p>
        </w:tc>
        <w:tc>
          <w:tcPr>
            <w:tcW w:w="3541"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840DD4F" w14:textId="35612761" w:rsidR="00322979" w:rsidRPr="000F0299" w:rsidRDefault="00322979" w:rsidP="00AC03F7">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0"/>
                <w:sz w:val="20"/>
                <w:szCs w:val="20"/>
                <w:lang w:eastAsia="en-US" w:bidi="ar-SA"/>
              </w:rPr>
              <w:t>На нивоу исхода</w:t>
            </w:r>
          </w:p>
        </w:tc>
      </w:tr>
      <w:tr w:rsidR="00322979" w:rsidRPr="000F0299" w14:paraId="71364B0A" w14:textId="77777777" w:rsidTr="00B228D6">
        <w:tc>
          <w:tcPr>
            <w:tcW w:w="1980" w:type="dxa"/>
            <w:tcBorders>
              <w:top w:val="single" w:sz="4" w:space="0" w:color="auto"/>
              <w:left w:val="single" w:sz="4" w:space="0" w:color="auto"/>
              <w:bottom w:val="single" w:sz="4" w:space="0" w:color="auto"/>
              <w:right w:val="single" w:sz="4" w:space="0" w:color="auto"/>
            </w:tcBorders>
            <w:hideMark/>
          </w:tcPr>
          <w:p w14:paraId="435A9ABD" w14:textId="77777777" w:rsidR="00322979" w:rsidRPr="000F0299" w:rsidRDefault="00322979" w:rsidP="00AC03F7">
            <w:pPr>
              <w:suppressAutoHyphens w:val="0"/>
              <w:autoSpaceDN/>
              <w:spacing w:before="0" w:after="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Јединица мере и природа</w:t>
            </w:r>
          </w:p>
        </w:tc>
        <w:tc>
          <w:tcPr>
            <w:tcW w:w="3541"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76F0CAD7" w14:textId="7BCE4FCF" w:rsidR="00322979" w:rsidRPr="000F0299" w:rsidRDefault="00322979" w:rsidP="00AC03F7">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Бројчани</w:t>
            </w:r>
          </w:p>
        </w:tc>
        <w:tc>
          <w:tcPr>
            <w:tcW w:w="3541"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400A9657" w14:textId="450E5B8A" w:rsidR="00322979" w:rsidRPr="000F0299" w:rsidRDefault="00322979" w:rsidP="00AC03F7">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Повећана вредност показатеља пожељна</w:t>
            </w:r>
          </w:p>
        </w:tc>
      </w:tr>
      <w:tr w:rsidR="009E21AC" w:rsidRPr="000F0299" w14:paraId="3D9C1A2F" w14:textId="77777777" w:rsidTr="00B228D6">
        <w:tc>
          <w:tcPr>
            <w:tcW w:w="1980" w:type="dxa"/>
            <w:tcBorders>
              <w:top w:val="single" w:sz="4" w:space="0" w:color="auto"/>
              <w:left w:val="single" w:sz="4" w:space="0" w:color="auto"/>
              <w:bottom w:val="single" w:sz="4" w:space="0" w:color="auto"/>
              <w:right w:val="single" w:sz="4" w:space="0" w:color="auto"/>
            </w:tcBorders>
            <w:hideMark/>
          </w:tcPr>
          <w:p w14:paraId="4AE9AAC1" w14:textId="77777777" w:rsidR="009E21AC" w:rsidRPr="000F0299" w:rsidRDefault="009E21AC" w:rsidP="00AC03F7">
            <w:pPr>
              <w:suppressAutoHyphens w:val="0"/>
              <w:autoSpaceDN/>
              <w:spacing w:before="0" w:after="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Извор података за праћење показатеља успешности</w:t>
            </w:r>
          </w:p>
        </w:tc>
        <w:tc>
          <w:tcPr>
            <w:tcW w:w="7082" w:type="dxa"/>
            <w:gridSpan w:val="13"/>
            <w:tcBorders>
              <w:top w:val="single" w:sz="4" w:space="0" w:color="auto"/>
              <w:left w:val="single" w:sz="4" w:space="0" w:color="auto"/>
              <w:bottom w:val="single" w:sz="4" w:space="0" w:color="auto"/>
              <w:right w:val="single" w:sz="4" w:space="0" w:color="auto"/>
            </w:tcBorders>
            <w:shd w:val="clear" w:color="auto" w:fill="FFFFFF" w:themeFill="background1"/>
            <w:hideMark/>
          </w:tcPr>
          <w:p w14:paraId="01488C27" w14:textId="77777777" w:rsidR="009E21AC" w:rsidRPr="000F0299" w:rsidRDefault="009E21AC" w:rsidP="00AC03F7">
            <w:pPr>
              <w:suppressAutoHyphens w:val="0"/>
              <w:autoSpaceDN/>
              <w:spacing w:before="0" w:after="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Подаци ће бити прикупљани  на међународном и националном нивоу.</w:t>
            </w:r>
          </w:p>
          <w:p w14:paraId="21A78196" w14:textId="0E7EE55F" w:rsidR="00B1784C" w:rsidRDefault="009E21AC" w:rsidP="00AC03F7">
            <w:pPr>
              <w:suppressAutoHyphens w:val="0"/>
              <w:autoSpaceDN/>
              <w:spacing w:before="0" w:after="0"/>
              <w:ind w:firstLine="0"/>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Извор:</w:t>
            </w:r>
            <w:r w:rsidR="00322979" w:rsidRPr="000F0299">
              <w:rPr>
                <w:rFonts w:eastAsia="Times New Roman"/>
                <w:color w:val="000000" w:themeColor="text1"/>
                <w:kern w:val="24"/>
                <w:sz w:val="20"/>
                <w:szCs w:val="20"/>
                <w:lang w:eastAsia="en-US" w:bidi="ar-SA"/>
              </w:rPr>
              <w:t xml:space="preserve"> </w:t>
            </w:r>
            <w:r w:rsidR="0070535D" w:rsidRPr="0070535D">
              <w:rPr>
                <w:rFonts w:eastAsia="Times New Roman"/>
                <w:i/>
                <w:color w:val="000000" w:themeColor="text1"/>
                <w:kern w:val="0"/>
                <w:sz w:val="20"/>
                <w:szCs w:val="20"/>
                <w:lang w:eastAsia="en-US" w:bidi="ar-SA"/>
              </w:rPr>
              <w:t>SIGMA</w:t>
            </w:r>
            <w:r w:rsidRPr="000F0299">
              <w:rPr>
                <w:rFonts w:eastAsia="Times New Roman"/>
                <w:color w:val="000000" w:themeColor="text1"/>
                <w:kern w:val="0"/>
                <w:sz w:val="20"/>
                <w:szCs w:val="20"/>
                <w:lang w:eastAsia="en-US" w:bidi="ar-SA"/>
              </w:rPr>
              <w:t xml:space="preserve"> мониторинг извештај</w:t>
            </w:r>
          </w:p>
          <w:p w14:paraId="36999955" w14:textId="00F7132E" w:rsidR="009E21AC" w:rsidRPr="000F0299" w:rsidRDefault="009E21AC" w:rsidP="00AC03F7">
            <w:pPr>
              <w:suppressAutoHyphens w:val="0"/>
              <w:autoSpaceDN/>
              <w:spacing w:before="0" w:after="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0"/>
                <w:sz w:val="20"/>
                <w:szCs w:val="20"/>
                <w:lang w:eastAsia="en-US" w:bidi="ar-SA"/>
              </w:rPr>
              <w:t xml:space="preserve"> </w:t>
            </w:r>
            <w:hyperlink r:id="rId199" w:history="1">
              <w:r w:rsidRPr="000F0299">
                <w:rPr>
                  <w:rFonts w:eastAsiaTheme="majorEastAsia"/>
                  <w:color w:val="0563C1" w:themeColor="hyperlink"/>
                  <w:kern w:val="0"/>
                  <w:sz w:val="20"/>
                  <w:szCs w:val="20"/>
                  <w:u w:val="single"/>
                  <w:lang w:eastAsia="en-US" w:bidi="ar-SA"/>
                </w:rPr>
                <w:t>http://www.sigmaweb.org/publications/monitoring-reports.htm</w:t>
              </w:r>
            </w:hyperlink>
            <w:r w:rsidRPr="000F0299">
              <w:rPr>
                <w:rFonts w:eastAsia="Times New Roman"/>
                <w:color w:val="000000" w:themeColor="text1"/>
                <w:kern w:val="0"/>
                <w:sz w:val="20"/>
                <w:szCs w:val="20"/>
                <w:lang w:eastAsia="en-US" w:bidi="ar-SA"/>
              </w:rPr>
              <w:t xml:space="preserve"> </w:t>
            </w:r>
          </w:p>
        </w:tc>
      </w:tr>
      <w:tr w:rsidR="009E21AC" w:rsidRPr="000F0299" w14:paraId="46662BB9" w14:textId="77777777" w:rsidTr="00B228D6">
        <w:trPr>
          <w:trHeight w:val="755"/>
        </w:trPr>
        <w:tc>
          <w:tcPr>
            <w:tcW w:w="1980" w:type="dxa"/>
            <w:tcBorders>
              <w:top w:val="single" w:sz="4" w:space="0" w:color="auto"/>
              <w:left w:val="single" w:sz="4" w:space="0" w:color="auto"/>
              <w:bottom w:val="single" w:sz="4" w:space="0" w:color="auto"/>
              <w:right w:val="single" w:sz="4" w:space="0" w:color="auto"/>
            </w:tcBorders>
            <w:hideMark/>
          </w:tcPr>
          <w:p w14:paraId="28A561C8" w14:textId="77777777" w:rsidR="009E21AC" w:rsidRPr="000F0299" w:rsidRDefault="009E21AC" w:rsidP="00AC03F7">
            <w:pPr>
              <w:suppressAutoHyphens w:val="0"/>
              <w:autoSpaceDN/>
              <w:spacing w:before="0" w:after="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Назив носиоца прикупљања података</w:t>
            </w:r>
          </w:p>
        </w:tc>
        <w:tc>
          <w:tcPr>
            <w:tcW w:w="7082"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314886BF" w14:textId="334F63BE" w:rsidR="009E21AC" w:rsidRPr="000F0299" w:rsidRDefault="009E21AC" w:rsidP="008C7AD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Министарство државне управе и локалне самоуправе</w:t>
            </w:r>
            <w:r w:rsidR="008C7AD9">
              <w:rPr>
                <w:rFonts w:eastAsia="Times New Roman"/>
                <w:color w:val="000000" w:themeColor="text1"/>
                <w:kern w:val="24"/>
                <w:sz w:val="20"/>
                <w:szCs w:val="20"/>
                <w:lang w:eastAsia="en-US" w:bidi="ar-SA"/>
              </w:rPr>
              <w:t>, Сектор за УЉР, Г</w:t>
            </w:r>
            <w:r w:rsidRPr="000F0299">
              <w:rPr>
                <w:rFonts w:eastAsia="Times New Roman"/>
                <w:color w:val="000000" w:themeColor="text1"/>
                <w:kern w:val="24"/>
                <w:sz w:val="20"/>
                <w:szCs w:val="20"/>
                <w:lang w:eastAsia="en-US" w:bidi="ar-SA"/>
              </w:rPr>
              <w:t>руп</w:t>
            </w:r>
            <w:r w:rsidR="008C7AD9">
              <w:rPr>
                <w:rFonts w:eastAsia="Times New Roman"/>
                <w:color w:val="000000" w:themeColor="text1"/>
                <w:kern w:val="24"/>
                <w:sz w:val="20"/>
                <w:szCs w:val="20"/>
                <w:lang w:eastAsia="en-US" w:bidi="ar-SA"/>
              </w:rPr>
              <w:t>а</w:t>
            </w:r>
            <w:r w:rsidRPr="000F0299">
              <w:rPr>
                <w:rFonts w:eastAsia="Times New Roman"/>
                <w:color w:val="000000" w:themeColor="text1"/>
                <w:kern w:val="24"/>
                <w:sz w:val="20"/>
                <w:szCs w:val="20"/>
                <w:lang w:eastAsia="en-US" w:bidi="ar-SA"/>
              </w:rPr>
              <w:t xml:space="preserve"> за аналитику у облас</w:t>
            </w:r>
            <w:r w:rsidR="008C7AD9">
              <w:rPr>
                <w:rFonts w:eastAsia="Times New Roman"/>
                <w:color w:val="000000" w:themeColor="text1"/>
                <w:kern w:val="24"/>
                <w:sz w:val="20"/>
                <w:szCs w:val="20"/>
                <w:lang w:eastAsia="en-US" w:bidi="ar-SA"/>
              </w:rPr>
              <w:t>ти управљања људским ресурсима</w:t>
            </w:r>
          </w:p>
        </w:tc>
      </w:tr>
      <w:tr w:rsidR="009E21AC" w:rsidRPr="000F0299" w14:paraId="57821BE6" w14:textId="77777777" w:rsidTr="00B228D6">
        <w:tc>
          <w:tcPr>
            <w:tcW w:w="1980" w:type="dxa"/>
            <w:tcBorders>
              <w:top w:val="single" w:sz="4" w:space="0" w:color="auto"/>
              <w:left w:val="single" w:sz="4" w:space="0" w:color="auto"/>
              <w:bottom w:val="single" w:sz="4" w:space="0" w:color="auto"/>
              <w:right w:val="single" w:sz="4" w:space="0" w:color="auto"/>
            </w:tcBorders>
            <w:hideMark/>
          </w:tcPr>
          <w:p w14:paraId="58A825FB" w14:textId="77777777" w:rsidR="009E21AC" w:rsidRPr="000F0299" w:rsidRDefault="009E21AC" w:rsidP="00AC03F7">
            <w:pPr>
              <w:suppressAutoHyphens w:val="0"/>
              <w:autoSpaceDN/>
              <w:spacing w:before="0" w:after="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Учесталост прикупљања података</w:t>
            </w:r>
          </w:p>
        </w:tc>
        <w:tc>
          <w:tcPr>
            <w:tcW w:w="7082" w:type="dxa"/>
            <w:gridSpan w:val="13"/>
            <w:tcBorders>
              <w:top w:val="single" w:sz="4" w:space="0" w:color="auto"/>
              <w:left w:val="single" w:sz="4" w:space="0" w:color="auto"/>
              <w:bottom w:val="single" w:sz="4" w:space="0" w:color="auto"/>
              <w:right w:val="single" w:sz="4" w:space="0" w:color="auto"/>
            </w:tcBorders>
            <w:shd w:val="clear" w:color="auto" w:fill="FFFFFF" w:themeFill="background1"/>
            <w:hideMark/>
          </w:tcPr>
          <w:p w14:paraId="45C5FCDA" w14:textId="2F85053E" w:rsidR="009E21AC" w:rsidRPr="000F0299" w:rsidRDefault="009E21AC" w:rsidP="00AC03F7">
            <w:pPr>
              <w:suppressAutoHyphens w:val="0"/>
              <w:autoSpaceDN/>
              <w:spacing w:before="0" w:after="4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 xml:space="preserve">Сваке године се прикупљају подаци, с тим што се на сваке две године само преузимају резултати из </w:t>
            </w:r>
            <w:r w:rsidR="0070535D" w:rsidRPr="0070535D">
              <w:rPr>
                <w:rFonts w:eastAsia="Times New Roman"/>
                <w:i/>
                <w:color w:val="000000" w:themeColor="text1"/>
                <w:kern w:val="24"/>
                <w:sz w:val="20"/>
                <w:szCs w:val="20"/>
                <w:lang w:eastAsia="en-US" w:bidi="ar-SA"/>
              </w:rPr>
              <w:t>SIGMA</w:t>
            </w:r>
            <w:r w:rsidRPr="000F0299">
              <w:rPr>
                <w:rFonts w:eastAsia="Times New Roman"/>
                <w:color w:val="000000" w:themeColor="text1"/>
                <w:kern w:val="24"/>
                <w:sz w:val="20"/>
                <w:szCs w:val="20"/>
                <w:lang w:eastAsia="en-US" w:bidi="ar-SA"/>
              </w:rPr>
              <w:t xml:space="preserve"> мониторинг извештаја а у годинама у којима </w:t>
            </w:r>
            <w:r w:rsidR="0070535D" w:rsidRPr="0070535D">
              <w:rPr>
                <w:rFonts w:eastAsia="Times New Roman"/>
                <w:i/>
                <w:color w:val="000000" w:themeColor="text1"/>
                <w:kern w:val="24"/>
                <w:sz w:val="20"/>
                <w:szCs w:val="20"/>
                <w:lang w:eastAsia="en-US" w:bidi="ar-SA"/>
              </w:rPr>
              <w:t>SIGMA</w:t>
            </w:r>
            <w:r w:rsidRPr="000F0299">
              <w:rPr>
                <w:rFonts w:eastAsia="Times New Roman"/>
                <w:color w:val="000000" w:themeColor="text1"/>
                <w:kern w:val="24"/>
                <w:sz w:val="20"/>
                <w:szCs w:val="20"/>
                <w:lang w:eastAsia="en-US" w:bidi="ar-SA"/>
              </w:rPr>
              <w:t xml:space="preserve"> не спроводи мониторинг, преузеће се податак из последњег </w:t>
            </w:r>
            <w:r w:rsidR="0070535D" w:rsidRPr="0070535D">
              <w:rPr>
                <w:rFonts w:eastAsia="Times New Roman"/>
                <w:i/>
                <w:color w:val="000000" w:themeColor="text1"/>
                <w:kern w:val="24"/>
                <w:sz w:val="20"/>
                <w:szCs w:val="20"/>
                <w:lang w:eastAsia="en-US" w:bidi="ar-SA"/>
              </w:rPr>
              <w:t>SIGMA</w:t>
            </w:r>
            <w:r w:rsidRPr="000F0299">
              <w:rPr>
                <w:rFonts w:eastAsia="Times New Roman"/>
                <w:color w:val="000000" w:themeColor="text1"/>
                <w:kern w:val="24"/>
                <w:sz w:val="20"/>
                <w:szCs w:val="20"/>
                <w:lang w:eastAsia="en-US" w:bidi="ar-SA"/>
              </w:rPr>
              <w:t xml:space="preserve"> </w:t>
            </w:r>
            <w:r w:rsidR="00D341C9" w:rsidRPr="000F0299">
              <w:rPr>
                <w:rFonts w:eastAsia="Times New Roman"/>
                <w:color w:val="000000" w:themeColor="text1"/>
                <w:kern w:val="24"/>
                <w:sz w:val="20"/>
                <w:szCs w:val="20"/>
                <w:lang w:eastAsia="en-US" w:bidi="ar-SA"/>
              </w:rPr>
              <w:t>извештаја</w:t>
            </w:r>
            <w:r w:rsidRPr="000F0299">
              <w:rPr>
                <w:rFonts w:eastAsia="Times New Roman"/>
                <w:color w:val="000000" w:themeColor="text1"/>
                <w:kern w:val="24"/>
                <w:sz w:val="20"/>
                <w:szCs w:val="20"/>
                <w:lang w:eastAsia="en-US" w:bidi="ar-SA"/>
              </w:rPr>
              <w:t>.</w:t>
            </w:r>
          </w:p>
        </w:tc>
      </w:tr>
      <w:tr w:rsidR="009E21AC" w:rsidRPr="000F0299" w14:paraId="333BB3CE" w14:textId="77777777" w:rsidTr="00B228D6">
        <w:tc>
          <w:tcPr>
            <w:tcW w:w="1980" w:type="dxa"/>
            <w:tcBorders>
              <w:top w:val="single" w:sz="4" w:space="0" w:color="auto"/>
              <w:left w:val="single" w:sz="4" w:space="0" w:color="auto"/>
              <w:bottom w:val="single" w:sz="4" w:space="0" w:color="auto"/>
              <w:right w:val="single" w:sz="4" w:space="0" w:color="auto"/>
            </w:tcBorders>
            <w:hideMark/>
          </w:tcPr>
          <w:p w14:paraId="35752531" w14:textId="77777777" w:rsidR="009E21AC" w:rsidRPr="000F0299" w:rsidRDefault="009E21AC" w:rsidP="00AC03F7">
            <w:pPr>
              <w:suppressAutoHyphens w:val="0"/>
              <w:autoSpaceDN/>
              <w:spacing w:before="0" w:after="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Кратак опис методологије прорачуна</w:t>
            </w:r>
          </w:p>
        </w:tc>
        <w:tc>
          <w:tcPr>
            <w:tcW w:w="7082" w:type="dxa"/>
            <w:gridSpan w:val="13"/>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08C16" w14:textId="77777777" w:rsidR="009E21AC" w:rsidRPr="000F0299" w:rsidRDefault="009E21AC" w:rsidP="00AC03F7">
            <w:pPr>
              <w:suppressAutoHyphens w:val="0"/>
              <w:autoSpaceDN/>
              <w:spacing w:before="0"/>
              <w:ind w:firstLine="0"/>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 xml:space="preserve">Овај индикатор мери степен до којег су правни оквир и процес запошљавања заснива на систему заслуга и ефикасном избору кандидата који се желе придружити државној служби и да се осигурава жељене резултате у смислу конкурентских, фер и недискреционих права приликом избора кандидата а који повећавају и атрактивност за кандидате и учинак државне управе. Овај индикатор прати  само јавне конкурсе. </w:t>
            </w:r>
          </w:p>
          <w:p w14:paraId="7DAB062C" w14:textId="77777777" w:rsidR="009E21AC" w:rsidRPr="000F0299" w:rsidRDefault="009E21AC" w:rsidP="00AC03F7">
            <w:pPr>
              <w:suppressAutoHyphens w:val="0"/>
              <w:autoSpaceDN/>
              <w:spacing w:before="0" w:after="0"/>
              <w:ind w:firstLine="0"/>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 xml:space="preserve">Индикатор садржи шест елемената (подпоказатеља) помоћу којих се утврђује вредност показатеља. То су: </w:t>
            </w:r>
          </w:p>
          <w:p w14:paraId="2518D28D" w14:textId="77777777" w:rsidR="009E21AC" w:rsidRPr="000F0299" w:rsidRDefault="009E21AC" w:rsidP="00E62A1A">
            <w:pPr>
              <w:numPr>
                <w:ilvl w:val="0"/>
                <w:numId w:val="12"/>
              </w:numPr>
              <w:suppressAutoHyphens w:val="0"/>
              <w:autoSpaceDN/>
              <w:spacing w:before="0" w:after="0"/>
              <w:ind w:left="322" w:hanging="302"/>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Адекватност правног оквира за запошљавање државних службеника</w:t>
            </w:r>
          </w:p>
          <w:p w14:paraId="44523BC5" w14:textId="77777777" w:rsidR="009E21AC" w:rsidRPr="000F0299" w:rsidRDefault="009E21AC" w:rsidP="00E62A1A">
            <w:pPr>
              <w:numPr>
                <w:ilvl w:val="0"/>
                <w:numId w:val="12"/>
              </w:numPr>
              <w:suppressAutoHyphens w:val="0"/>
              <w:autoSpaceDN/>
              <w:spacing w:before="0" w:after="0"/>
              <w:ind w:left="322" w:hanging="302"/>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Примена у пракси процедура за запошљавање државних службеника</w:t>
            </w:r>
          </w:p>
          <w:p w14:paraId="21CBD886" w14:textId="77777777" w:rsidR="009E21AC" w:rsidRPr="000F0299" w:rsidRDefault="009E21AC" w:rsidP="00E62A1A">
            <w:pPr>
              <w:numPr>
                <w:ilvl w:val="0"/>
                <w:numId w:val="12"/>
              </w:numPr>
              <w:suppressAutoHyphens w:val="0"/>
              <w:autoSpaceDN/>
              <w:spacing w:before="0" w:after="0"/>
              <w:ind w:left="322" w:hanging="302"/>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Трајање поступка попуњавања радних места (од оглашавања до објављивања резултата конкурса)</w:t>
            </w:r>
          </w:p>
          <w:p w14:paraId="243E4BFF" w14:textId="77777777" w:rsidR="009E21AC" w:rsidRPr="000F0299" w:rsidRDefault="009E21AC" w:rsidP="00E62A1A">
            <w:pPr>
              <w:numPr>
                <w:ilvl w:val="0"/>
                <w:numId w:val="12"/>
              </w:numPr>
              <w:suppressAutoHyphens w:val="0"/>
              <w:autoSpaceDN/>
              <w:spacing w:before="0" w:after="0"/>
              <w:ind w:left="322" w:hanging="302"/>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 xml:space="preserve">Просечан број кандидата који испуњавају формалне услове за рад на радном месту </w:t>
            </w:r>
          </w:p>
          <w:p w14:paraId="04F63BC6" w14:textId="77777777" w:rsidR="009E21AC" w:rsidRPr="000F0299" w:rsidRDefault="009E21AC" w:rsidP="00E62A1A">
            <w:pPr>
              <w:numPr>
                <w:ilvl w:val="0"/>
                <w:numId w:val="12"/>
              </w:numPr>
              <w:suppressAutoHyphens w:val="0"/>
              <w:autoSpaceDN/>
              <w:spacing w:before="0" w:after="0"/>
              <w:ind w:left="322" w:hanging="302"/>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Ефикасност запошљавања кроз проценат кандидата који су распоређени на радна места по основу конкурса у односу на укупан број јавних конкурса;</w:t>
            </w:r>
          </w:p>
          <w:p w14:paraId="755FCF00" w14:textId="77777777" w:rsidR="009E21AC" w:rsidRPr="000F0299" w:rsidRDefault="009E21AC" w:rsidP="00E62A1A">
            <w:pPr>
              <w:numPr>
                <w:ilvl w:val="0"/>
                <w:numId w:val="12"/>
              </w:numPr>
              <w:suppressAutoHyphens w:val="0"/>
              <w:autoSpaceDN/>
              <w:spacing w:before="0" w:after="0"/>
              <w:ind w:left="322" w:hanging="302"/>
              <w:textAlignment w:val="auto"/>
              <w:rPr>
                <w:rFonts w:eastAsia="Times New Roman"/>
                <w:kern w:val="0"/>
                <w:sz w:val="20"/>
                <w:szCs w:val="20"/>
                <w:lang w:eastAsia="en-US" w:bidi="ar-SA"/>
              </w:rPr>
            </w:pPr>
            <w:r w:rsidRPr="000F0299">
              <w:rPr>
                <w:rFonts w:eastAsia="Times New Roman"/>
                <w:color w:val="000000" w:themeColor="text1"/>
                <w:kern w:val="0"/>
                <w:sz w:val="20"/>
                <w:szCs w:val="20"/>
                <w:lang w:eastAsia="en-US" w:bidi="ar-SA"/>
              </w:rPr>
              <w:t>Стопа задржавања новозапослених државних службеника кроз проценат новозапослених који су остали најмање годину дана у државној управи</w:t>
            </w:r>
            <w:r w:rsidRPr="000F0299">
              <w:rPr>
                <w:rFonts w:eastAsiaTheme="minorHAnsi"/>
                <w:kern w:val="0"/>
                <w:sz w:val="20"/>
                <w:szCs w:val="20"/>
                <w:lang w:eastAsia="en-US" w:bidi="ar-SA"/>
              </w:rPr>
              <w:t xml:space="preserve"> након конкурса.</w:t>
            </w:r>
            <w:r w:rsidRPr="000F0299">
              <w:rPr>
                <w:rFonts w:eastAsia="Times New Roman"/>
                <w:kern w:val="0"/>
                <w:sz w:val="20"/>
                <w:szCs w:val="20"/>
                <w:lang w:eastAsia="en-US" w:bidi="ar-SA"/>
              </w:rPr>
              <w:t xml:space="preserve"> </w:t>
            </w:r>
          </w:p>
          <w:p w14:paraId="77953C6A" w14:textId="77777777" w:rsidR="009E21AC" w:rsidRPr="000F0299" w:rsidRDefault="009E21AC" w:rsidP="00AC03F7">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color w:val="000000" w:themeColor="text1"/>
                <w:kern w:val="0"/>
                <w:sz w:val="20"/>
                <w:szCs w:val="20"/>
                <w:lang w:eastAsia="en-US" w:bidi="ar-SA"/>
              </w:rPr>
              <w:t xml:space="preserve">Бодови се додељују за сваки од подпоказатеља и сабирају се. Укупан максимални број бодова је 50, а коначна оцена се додељује на скали од 0 до 5. Детаљније о методологији за израчунавање показатеља видети на: </w:t>
            </w:r>
            <w:hyperlink r:id="rId200" w:history="1">
              <w:r w:rsidRPr="000F0299">
                <w:rPr>
                  <w:rFonts w:eastAsiaTheme="majorEastAsia"/>
                  <w:color w:val="0563C1" w:themeColor="hyperlink"/>
                  <w:kern w:val="0"/>
                  <w:sz w:val="20"/>
                  <w:szCs w:val="20"/>
                  <w:u w:val="single"/>
                  <w:lang w:eastAsia="en-US" w:bidi="ar-SA"/>
                </w:rPr>
                <w:t>http://www.sigmaweb.org/publications/Methodological-Framework-for-the-Principles-of-Public-Administration-May-2019.pdf</w:t>
              </w:r>
            </w:hyperlink>
            <w:r w:rsidRPr="000F0299">
              <w:rPr>
                <w:rFonts w:eastAsiaTheme="minorHAnsi"/>
                <w:kern w:val="0"/>
                <w:sz w:val="20"/>
                <w:szCs w:val="20"/>
                <w:lang w:eastAsia="en-US" w:bidi="ar-SA"/>
              </w:rPr>
              <w:t xml:space="preserve"> стр. 77-82</w:t>
            </w:r>
          </w:p>
        </w:tc>
      </w:tr>
      <w:tr w:rsidR="009E21AC" w:rsidRPr="000F0299" w14:paraId="5768F881" w14:textId="77777777" w:rsidTr="00B228D6">
        <w:tc>
          <w:tcPr>
            <w:tcW w:w="1980" w:type="dxa"/>
            <w:vMerge w:val="restart"/>
            <w:tcBorders>
              <w:top w:val="single" w:sz="4" w:space="0" w:color="auto"/>
              <w:left w:val="single" w:sz="4" w:space="0" w:color="auto"/>
              <w:bottom w:val="single" w:sz="4" w:space="0" w:color="auto"/>
              <w:right w:val="single" w:sz="4" w:space="0" w:color="auto"/>
            </w:tcBorders>
            <w:hideMark/>
          </w:tcPr>
          <w:p w14:paraId="146DC513" w14:textId="77777777" w:rsidR="009E21AC" w:rsidRPr="000F0299" w:rsidRDefault="009E21AC" w:rsidP="00AC03F7">
            <w:pPr>
              <w:suppressAutoHyphens w:val="0"/>
              <w:autoSpaceDN/>
              <w:spacing w:before="0" w:after="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Подаци о полазној вредности и години кад је измерена, као и тренду у прошлости</w:t>
            </w:r>
          </w:p>
        </w:tc>
        <w:tc>
          <w:tcPr>
            <w:tcW w:w="5464" w:type="dxa"/>
            <w:gridSpan w:val="10"/>
            <w:tcBorders>
              <w:top w:val="single" w:sz="4" w:space="0" w:color="auto"/>
              <w:left w:val="single" w:sz="4" w:space="0" w:color="auto"/>
              <w:bottom w:val="single" w:sz="4" w:space="0" w:color="auto"/>
              <w:right w:val="single" w:sz="4" w:space="0" w:color="auto"/>
            </w:tcBorders>
            <w:shd w:val="clear" w:color="auto" w:fill="FFFFFF" w:themeFill="background1"/>
            <w:hideMark/>
          </w:tcPr>
          <w:p w14:paraId="522E1835" w14:textId="77777777" w:rsidR="009E21AC" w:rsidRPr="000F0299" w:rsidRDefault="009E21AC" w:rsidP="00AC03F7">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Тренд у прошлости</w:t>
            </w:r>
          </w:p>
        </w:tc>
        <w:tc>
          <w:tcPr>
            <w:tcW w:w="16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F1EB093" w14:textId="62A49850" w:rsidR="009E21AC" w:rsidRPr="000F0299" w:rsidRDefault="009E21AC" w:rsidP="00AC03F7">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Полазна вредност</w:t>
            </w:r>
          </w:p>
        </w:tc>
      </w:tr>
      <w:tr w:rsidR="009E21AC" w:rsidRPr="000F0299" w14:paraId="39C5CB4A" w14:textId="77777777" w:rsidTr="00B228D6">
        <w:tc>
          <w:tcPr>
            <w:tcW w:w="1980" w:type="dxa"/>
            <w:vMerge/>
            <w:tcBorders>
              <w:top w:val="single" w:sz="4" w:space="0" w:color="auto"/>
              <w:left w:val="single" w:sz="4" w:space="0" w:color="auto"/>
              <w:bottom w:val="single" w:sz="4" w:space="0" w:color="auto"/>
              <w:right w:val="single" w:sz="4" w:space="0" w:color="auto"/>
            </w:tcBorders>
            <w:vAlign w:val="center"/>
            <w:hideMark/>
          </w:tcPr>
          <w:p w14:paraId="71124580" w14:textId="77777777" w:rsidR="009E21AC" w:rsidRPr="000F0299" w:rsidRDefault="009E21AC" w:rsidP="00AC03F7">
            <w:pPr>
              <w:suppressAutoHyphens w:val="0"/>
              <w:autoSpaceDN/>
              <w:spacing w:before="0" w:after="0"/>
              <w:ind w:firstLine="0"/>
              <w:textAlignment w:val="auto"/>
              <w:rPr>
                <w:rFonts w:eastAsiaTheme="minorHAnsi"/>
                <w:b/>
                <w:bCs/>
                <w:kern w:val="0"/>
                <w:sz w:val="20"/>
                <w:szCs w:val="20"/>
                <w:lang w:eastAsia="en-GB" w:bidi="ar-SA"/>
              </w:rPr>
            </w:pPr>
          </w:p>
        </w:tc>
        <w:tc>
          <w:tcPr>
            <w:tcW w:w="156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5013B21" w14:textId="77777777" w:rsidR="009E21AC" w:rsidRPr="000F0299" w:rsidRDefault="009E21AC" w:rsidP="00AC03F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2016</w:t>
            </w:r>
          </w:p>
        </w:tc>
        <w:tc>
          <w:tcPr>
            <w:tcW w:w="195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B465619" w14:textId="77777777" w:rsidR="009E21AC" w:rsidRPr="000F0299" w:rsidRDefault="009E21AC" w:rsidP="00AC03F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2017</w:t>
            </w:r>
          </w:p>
        </w:tc>
        <w:tc>
          <w:tcPr>
            <w:tcW w:w="195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461F99D" w14:textId="77777777" w:rsidR="009E21AC" w:rsidRPr="000F0299" w:rsidRDefault="009E21AC" w:rsidP="00AC03F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2018</w:t>
            </w:r>
          </w:p>
        </w:tc>
        <w:tc>
          <w:tcPr>
            <w:tcW w:w="161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DB1D1AD" w14:textId="77777777" w:rsidR="009E21AC" w:rsidRPr="000F0299" w:rsidRDefault="009E21AC" w:rsidP="00AC03F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2019</w:t>
            </w:r>
          </w:p>
        </w:tc>
      </w:tr>
      <w:tr w:rsidR="009E21AC" w:rsidRPr="000F0299" w14:paraId="7F190515" w14:textId="77777777" w:rsidTr="00B228D6">
        <w:tc>
          <w:tcPr>
            <w:tcW w:w="1980" w:type="dxa"/>
            <w:vMerge/>
            <w:tcBorders>
              <w:top w:val="single" w:sz="4" w:space="0" w:color="auto"/>
              <w:left w:val="single" w:sz="4" w:space="0" w:color="auto"/>
              <w:bottom w:val="single" w:sz="4" w:space="0" w:color="auto"/>
              <w:right w:val="single" w:sz="4" w:space="0" w:color="auto"/>
            </w:tcBorders>
            <w:vAlign w:val="center"/>
            <w:hideMark/>
          </w:tcPr>
          <w:p w14:paraId="7414AFDE" w14:textId="77777777" w:rsidR="009E21AC" w:rsidRPr="000F0299" w:rsidRDefault="009E21AC" w:rsidP="00AC03F7">
            <w:pPr>
              <w:suppressAutoHyphens w:val="0"/>
              <w:autoSpaceDN/>
              <w:spacing w:before="0" w:after="0"/>
              <w:ind w:firstLine="0"/>
              <w:textAlignment w:val="auto"/>
              <w:rPr>
                <w:rFonts w:eastAsiaTheme="minorHAnsi"/>
                <w:b/>
                <w:bCs/>
                <w:kern w:val="0"/>
                <w:sz w:val="20"/>
                <w:szCs w:val="20"/>
                <w:lang w:eastAsia="en-GB" w:bidi="ar-SA"/>
              </w:rPr>
            </w:pPr>
          </w:p>
        </w:tc>
        <w:tc>
          <w:tcPr>
            <w:tcW w:w="156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8ABDD9E" w14:textId="77777777" w:rsidR="009E21AC" w:rsidRPr="000F0299" w:rsidRDefault="009E21AC" w:rsidP="00AC03F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н/а</w:t>
            </w:r>
          </w:p>
        </w:tc>
        <w:tc>
          <w:tcPr>
            <w:tcW w:w="195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461EDE8" w14:textId="77777777" w:rsidR="009E21AC" w:rsidRPr="000F0299" w:rsidRDefault="009E21AC" w:rsidP="00AC03F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w:t>
            </w:r>
          </w:p>
        </w:tc>
        <w:tc>
          <w:tcPr>
            <w:tcW w:w="195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BF0D29E" w14:textId="77777777" w:rsidR="009E21AC" w:rsidRPr="000F0299" w:rsidRDefault="009E21AC" w:rsidP="00AC03F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н/а</w:t>
            </w:r>
          </w:p>
        </w:tc>
        <w:tc>
          <w:tcPr>
            <w:tcW w:w="161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0CCE278" w14:textId="77777777" w:rsidR="009E21AC" w:rsidRPr="000F0299" w:rsidRDefault="009E21AC" w:rsidP="00AC03F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3</w:t>
            </w:r>
          </w:p>
        </w:tc>
      </w:tr>
      <w:tr w:rsidR="009E21AC" w:rsidRPr="000F0299" w14:paraId="24B2DEBD" w14:textId="77777777" w:rsidTr="00B228D6">
        <w:tc>
          <w:tcPr>
            <w:tcW w:w="1980" w:type="dxa"/>
            <w:vMerge w:val="restart"/>
            <w:tcBorders>
              <w:top w:val="single" w:sz="4" w:space="0" w:color="auto"/>
              <w:left w:val="single" w:sz="4" w:space="0" w:color="auto"/>
              <w:bottom w:val="single" w:sz="4" w:space="0" w:color="auto"/>
              <w:right w:val="single" w:sz="4" w:space="0" w:color="auto"/>
            </w:tcBorders>
            <w:hideMark/>
          </w:tcPr>
          <w:p w14:paraId="7DE5019E" w14:textId="77777777" w:rsidR="009E21AC" w:rsidRPr="000F0299" w:rsidRDefault="009E21AC" w:rsidP="00AC03F7">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7C0880" w14:textId="77777777" w:rsidR="009E21AC" w:rsidRPr="000F0299" w:rsidRDefault="009E21AC" w:rsidP="00AC03F7">
            <w:pPr>
              <w:suppressAutoHyphens w:val="0"/>
              <w:autoSpaceDN/>
              <w:spacing w:before="0" w:after="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5F0B51" w14:textId="77777777" w:rsidR="009E21AC" w:rsidRPr="000F0299" w:rsidRDefault="009E21AC" w:rsidP="00AC03F7">
            <w:pPr>
              <w:suppressAutoHyphens w:val="0"/>
              <w:autoSpaceDN/>
              <w:spacing w:before="0" w:after="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2022</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1DCB8" w14:textId="77777777" w:rsidR="009E21AC" w:rsidRPr="000F0299" w:rsidRDefault="009E21AC" w:rsidP="00AC03F7">
            <w:pPr>
              <w:suppressAutoHyphens w:val="0"/>
              <w:autoSpaceDN/>
              <w:spacing w:before="0" w:after="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D64D2" w14:textId="77777777" w:rsidR="009E21AC" w:rsidRPr="000F0299" w:rsidRDefault="009E21AC" w:rsidP="00AC03F7">
            <w:pPr>
              <w:suppressAutoHyphens w:val="0"/>
              <w:autoSpaceDN/>
              <w:spacing w:before="0" w:after="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D1AE4C" w14:textId="77777777" w:rsidR="009E21AC" w:rsidRPr="000F0299" w:rsidRDefault="009E21AC" w:rsidP="00AC03F7">
            <w:pPr>
              <w:suppressAutoHyphens w:val="0"/>
              <w:autoSpaceDN/>
              <w:spacing w:before="0" w:after="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86391" w14:textId="77777777" w:rsidR="009E21AC" w:rsidRPr="000F0299" w:rsidRDefault="009E21AC" w:rsidP="00AC03F7">
            <w:pPr>
              <w:suppressAutoHyphens w:val="0"/>
              <w:autoSpaceDN/>
              <w:spacing w:before="0" w:after="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B06FDD" w14:textId="77777777" w:rsidR="009E21AC" w:rsidRPr="000F0299" w:rsidRDefault="009E21AC" w:rsidP="00AC03F7">
            <w:pPr>
              <w:suppressAutoHyphens w:val="0"/>
              <w:autoSpaceDN/>
              <w:spacing w:before="0" w:after="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2027</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C06859" w14:textId="77777777" w:rsidR="009E21AC" w:rsidRPr="000F0299" w:rsidRDefault="009E21AC" w:rsidP="00AC03F7">
            <w:pPr>
              <w:suppressAutoHyphens w:val="0"/>
              <w:autoSpaceDN/>
              <w:spacing w:before="0" w:after="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000DD" w14:textId="77777777" w:rsidR="009E21AC" w:rsidRPr="000F0299" w:rsidRDefault="009E21AC" w:rsidP="00AC03F7">
            <w:pPr>
              <w:suppressAutoHyphens w:val="0"/>
              <w:autoSpaceDN/>
              <w:spacing w:before="0" w:after="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DF2A7" w14:textId="77777777" w:rsidR="009E21AC" w:rsidRPr="000F0299" w:rsidRDefault="009E21AC" w:rsidP="00AC03F7">
            <w:pPr>
              <w:suppressAutoHyphens w:val="0"/>
              <w:autoSpaceDN/>
              <w:spacing w:before="0" w:after="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2030</w:t>
            </w:r>
          </w:p>
        </w:tc>
      </w:tr>
      <w:tr w:rsidR="009E21AC" w:rsidRPr="000F0299" w14:paraId="692299B7" w14:textId="77777777" w:rsidTr="00B228D6">
        <w:tc>
          <w:tcPr>
            <w:tcW w:w="1980" w:type="dxa"/>
            <w:vMerge/>
            <w:tcBorders>
              <w:top w:val="single" w:sz="4" w:space="0" w:color="auto"/>
              <w:left w:val="single" w:sz="4" w:space="0" w:color="auto"/>
              <w:bottom w:val="single" w:sz="4" w:space="0" w:color="auto"/>
              <w:right w:val="single" w:sz="4" w:space="0" w:color="auto"/>
            </w:tcBorders>
            <w:vAlign w:val="center"/>
            <w:hideMark/>
          </w:tcPr>
          <w:p w14:paraId="7D17CC0D" w14:textId="77777777" w:rsidR="009E21AC" w:rsidRPr="000F0299" w:rsidRDefault="009E21AC" w:rsidP="00AC03F7">
            <w:pPr>
              <w:suppressAutoHyphens w:val="0"/>
              <w:autoSpaceDN/>
              <w:spacing w:before="0" w:after="0"/>
              <w:ind w:firstLine="0"/>
              <w:textAlignment w:val="auto"/>
              <w:rPr>
                <w:rFonts w:eastAsiaTheme="minorHAnsi"/>
                <w:b/>
                <w:bCs/>
                <w:kern w:val="0"/>
                <w:sz w:val="20"/>
                <w:szCs w:val="20"/>
                <w:lang w:eastAsia="en-US" w:bidi="ar-SA"/>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FC154C" w14:textId="77777777" w:rsidR="009E21AC" w:rsidRPr="000F0299" w:rsidRDefault="009E21AC" w:rsidP="00AC03F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C9C0C7" w14:textId="77777777" w:rsidR="009E21AC" w:rsidRPr="000F0299" w:rsidRDefault="009E21AC" w:rsidP="00AC03F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7F566A9" w14:textId="77777777" w:rsidR="009E21AC" w:rsidRPr="000F0299" w:rsidRDefault="009E21AC" w:rsidP="00AC03F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04F77" w14:textId="77777777" w:rsidR="009E21AC" w:rsidRPr="000F0299" w:rsidRDefault="009E21AC" w:rsidP="00AC03F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BA55B8C" w14:textId="77777777" w:rsidR="009E21AC" w:rsidRPr="000F0299" w:rsidRDefault="009E21AC" w:rsidP="00AC03F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B60976" w14:textId="77777777" w:rsidR="009E21AC" w:rsidRPr="000F0299" w:rsidRDefault="009E21AC" w:rsidP="00AC03F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95DA97" w14:textId="77777777" w:rsidR="009E21AC" w:rsidRPr="000F0299" w:rsidRDefault="009E21AC" w:rsidP="00AC03F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2EFD42F" w14:textId="77777777" w:rsidR="009E21AC" w:rsidRPr="000F0299" w:rsidRDefault="009E21AC" w:rsidP="00AC03F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ABD655" w14:textId="77777777" w:rsidR="009E21AC" w:rsidRPr="000F0299" w:rsidRDefault="009E21AC" w:rsidP="00AC03F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4A4AC1" w14:textId="77777777" w:rsidR="009E21AC" w:rsidRPr="000F0299" w:rsidRDefault="009E21AC" w:rsidP="00AC03F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5</w:t>
            </w:r>
          </w:p>
        </w:tc>
      </w:tr>
      <w:tr w:rsidR="009E21AC" w:rsidRPr="000F0299" w14:paraId="62899CEA" w14:textId="77777777" w:rsidTr="00B228D6">
        <w:tc>
          <w:tcPr>
            <w:tcW w:w="1980" w:type="dxa"/>
            <w:tcBorders>
              <w:top w:val="single" w:sz="4" w:space="0" w:color="auto"/>
              <w:left w:val="single" w:sz="4" w:space="0" w:color="auto"/>
              <w:bottom w:val="single" w:sz="4" w:space="0" w:color="auto"/>
              <w:right w:val="single" w:sz="4" w:space="0" w:color="auto"/>
            </w:tcBorders>
            <w:hideMark/>
          </w:tcPr>
          <w:p w14:paraId="6F6FE5E2" w14:textId="77777777" w:rsidR="009E21AC" w:rsidRPr="000F0299" w:rsidRDefault="009E21AC" w:rsidP="00AC03F7">
            <w:pPr>
              <w:suppressAutoHyphens w:val="0"/>
              <w:autoSpaceDN/>
              <w:spacing w:before="0" w:after="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Процена успешности</w:t>
            </w:r>
          </w:p>
        </w:tc>
        <w:tc>
          <w:tcPr>
            <w:tcW w:w="7082"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2F83A" w14:textId="2AADAF09" w:rsidR="009E21AC" w:rsidRPr="000F0299" w:rsidRDefault="00AE0D70" w:rsidP="00AC03F7">
            <w:pPr>
              <w:suppressAutoHyphens w:val="0"/>
              <w:autoSpaceDN/>
              <w:spacing w:before="0" w:after="0"/>
              <w:ind w:firstLine="0"/>
              <w:textAlignment w:val="auto"/>
              <w:rPr>
                <w:rFonts w:eastAsia="Times New Roman"/>
                <w:color w:val="000000" w:themeColor="text1"/>
                <w:kern w:val="0"/>
                <w:sz w:val="20"/>
                <w:szCs w:val="20"/>
                <w:lang w:eastAsia="en-US" w:bidi="ar-SA"/>
              </w:rPr>
            </w:pPr>
            <w:r w:rsidRPr="00AE0D70">
              <w:rPr>
                <w:rFonts w:eastAsia="Times New Roman"/>
                <w:color w:val="000000" w:themeColor="text1"/>
                <w:kern w:val="24"/>
                <w:sz w:val="20"/>
                <w:szCs w:val="20"/>
                <w:lang w:eastAsia="en-US" w:bidi="ar-SA"/>
              </w:rPr>
              <w:t xml:space="preserve">Одступање од циљне вредности се неће сматрати успехом </w:t>
            </w:r>
          </w:p>
        </w:tc>
      </w:tr>
    </w:tbl>
    <w:p w14:paraId="5A56532A" w14:textId="2FEC37E6" w:rsidR="003F3312" w:rsidRPr="000F0299" w:rsidRDefault="009E21AC" w:rsidP="00BE55B6">
      <w:pPr>
        <w:ind w:firstLine="0"/>
        <w:rPr>
          <w:b/>
          <w:bCs/>
          <w:color w:val="2F5496" w:themeColor="accent1" w:themeShade="BF"/>
        </w:rPr>
      </w:pPr>
      <w:r w:rsidRPr="000F0299">
        <w:rPr>
          <w:b/>
          <w:bCs/>
          <w:color w:val="2F5496" w:themeColor="accent1" w:themeShade="BF"/>
        </w:rPr>
        <w:t>Показатељ 2</w:t>
      </w:r>
    </w:p>
    <w:tbl>
      <w:tblPr>
        <w:tblW w:w="908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1"/>
        <w:gridCol w:w="712"/>
        <w:gridCol w:w="712"/>
        <w:gridCol w:w="357"/>
        <w:gridCol w:w="355"/>
        <w:gridCol w:w="712"/>
        <w:gridCol w:w="712"/>
        <w:gridCol w:w="129"/>
        <w:gridCol w:w="583"/>
        <w:gridCol w:w="712"/>
        <w:gridCol w:w="669"/>
        <w:gridCol w:w="43"/>
        <w:gridCol w:w="712"/>
        <w:gridCol w:w="712"/>
      </w:tblGrid>
      <w:tr w:rsidR="009E21AC" w:rsidRPr="000F0299" w14:paraId="664170F2" w14:textId="77777777" w:rsidTr="00B228D6">
        <w:tc>
          <w:tcPr>
            <w:tcW w:w="1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EEAF04"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показатеља</w:t>
            </w:r>
          </w:p>
        </w:tc>
        <w:tc>
          <w:tcPr>
            <w:tcW w:w="7120"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BD325A" w14:textId="77777777" w:rsidR="009E21AC" w:rsidRPr="000F0299" w:rsidRDefault="009E21AC" w:rsidP="00322979">
            <w:pPr>
              <w:suppressAutoHyphens w:val="0"/>
              <w:autoSpaceDN/>
              <w:spacing w:before="0"/>
              <w:ind w:firstLine="0"/>
              <w:textAlignment w:val="auto"/>
              <w:rPr>
                <w:rFonts w:eastAsiaTheme="minorHAnsi"/>
                <w:b/>
                <w:bCs/>
                <w:color w:val="000000" w:themeColor="text1"/>
                <w:kern w:val="0"/>
                <w:sz w:val="20"/>
                <w:szCs w:val="20"/>
                <w:lang w:eastAsia="en-GB" w:bidi="ar-SA"/>
              </w:rPr>
            </w:pPr>
            <w:r w:rsidRPr="000F0299">
              <w:rPr>
                <w:rFonts w:eastAsiaTheme="minorHAnsi"/>
                <w:b/>
                <w:bCs/>
                <w:color w:val="000000" w:themeColor="text1"/>
                <w:kern w:val="24"/>
                <w:sz w:val="20"/>
                <w:szCs w:val="20"/>
                <w:lang w:eastAsia="en-GB" w:bidi="ar-SA"/>
              </w:rPr>
              <w:t>Запошљавање засновано на исказаним кадровским потребама органа</w:t>
            </w:r>
          </w:p>
        </w:tc>
      </w:tr>
      <w:tr w:rsidR="009E21AC" w:rsidRPr="000F0299" w14:paraId="30C99C2D" w14:textId="77777777" w:rsidTr="00B228D6">
        <w:tc>
          <w:tcPr>
            <w:tcW w:w="1961" w:type="dxa"/>
            <w:tcBorders>
              <w:top w:val="single" w:sz="4" w:space="0" w:color="auto"/>
              <w:left w:val="single" w:sz="4" w:space="0" w:color="auto"/>
              <w:bottom w:val="single" w:sz="4" w:space="0" w:color="auto"/>
              <w:right w:val="single" w:sz="4" w:space="0" w:color="auto"/>
            </w:tcBorders>
            <w:hideMark/>
          </w:tcPr>
          <w:p w14:paraId="7796F457"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7120" w:type="dxa"/>
            <w:gridSpan w:val="13"/>
            <w:tcBorders>
              <w:top w:val="single" w:sz="4" w:space="0" w:color="auto"/>
              <w:left w:val="single" w:sz="4" w:space="0" w:color="auto"/>
              <w:bottom w:val="single" w:sz="4" w:space="0" w:color="auto"/>
              <w:right w:val="single" w:sz="4" w:space="0" w:color="auto"/>
            </w:tcBorders>
            <w:hideMark/>
          </w:tcPr>
          <w:p w14:paraId="7528942E" w14:textId="2D4A914B" w:rsidR="009E21AC" w:rsidRPr="000F0299" w:rsidRDefault="00D341C9" w:rsidP="00322979">
            <w:pPr>
              <w:suppressAutoHyphens w:val="0"/>
              <w:autoSpaceDN/>
              <w:spacing w:before="0"/>
              <w:ind w:firstLine="0"/>
              <w:textAlignment w:val="auto"/>
              <w:rPr>
                <w:rFonts w:eastAsiaTheme="minorHAnsi"/>
                <w:color w:val="000000" w:themeColor="text1"/>
                <w:kern w:val="24"/>
                <w:sz w:val="20"/>
                <w:szCs w:val="20"/>
                <w:lang w:eastAsia="en-US" w:bidi="ar-SA"/>
              </w:rPr>
            </w:pPr>
            <w:r w:rsidRPr="000F0299">
              <w:rPr>
                <w:rFonts w:eastAsiaTheme="minorHAnsi"/>
                <w:b/>
                <w:bCs/>
                <w:color w:val="000000" w:themeColor="text1"/>
                <w:kern w:val="24"/>
                <w:sz w:val="20"/>
                <w:szCs w:val="20"/>
                <w:lang w:eastAsia="en-US" w:bidi="ar-SA"/>
              </w:rPr>
              <w:t>Meрa</w:t>
            </w:r>
            <w:r w:rsidR="009E21AC" w:rsidRPr="000F0299">
              <w:rPr>
                <w:rFonts w:eastAsiaTheme="minorHAnsi"/>
                <w:b/>
                <w:bCs/>
                <w:color w:val="000000" w:themeColor="text1"/>
                <w:kern w:val="24"/>
                <w:sz w:val="20"/>
                <w:szCs w:val="20"/>
                <w:lang w:eastAsia="en-US" w:bidi="ar-SA"/>
              </w:rPr>
              <w:t xml:space="preserve"> 2.1.1:</w:t>
            </w:r>
            <w:r w:rsidR="009E21AC" w:rsidRPr="000F0299">
              <w:rPr>
                <w:rFonts w:eastAsiaTheme="minorHAnsi"/>
                <w:color w:val="000000" w:themeColor="text1"/>
                <w:kern w:val="24"/>
                <w:sz w:val="20"/>
                <w:szCs w:val="20"/>
                <w:lang w:eastAsia="en-US" w:bidi="ar-SA"/>
              </w:rPr>
              <w:t xml:space="preserve"> Унапређење кадровског планирања и промовисање државне управе као пожељног послодавца:  </w:t>
            </w:r>
          </w:p>
        </w:tc>
      </w:tr>
      <w:tr w:rsidR="00322979" w:rsidRPr="000F0299" w14:paraId="448B7F97" w14:textId="77777777" w:rsidTr="00B228D6">
        <w:tc>
          <w:tcPr>
            <w:tcW w:w="1961" w:type="dxa"/>
            <w:tcBorders>
              <w:top w:val="single" w:sz="4" w:space="0" w:color="auto"/>
              <w:left w:val="single" w:sz="4" w:space="0" w:color="auto"/>
              <w:bottom w:val="single" w:sz="4" w:space="0" w:color="auto"/>
              <w:right w:val="single" w:sz="4" w:space="0" w:color="auto"/>
            </w:tcBorders>
            <w:hideMark/>
          </w:tcPr>
          <w:p w14:paraId="417940BD" w14:textId="77777777" w:rsidR="00322979" w:rsidRPr="000F0299" w:rsidRDefault="00322979"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560" w:type="dxa"/>
            <w:gridSpan w:val="6"/>
            <w:tcBorders>
              <w:top w:val="single" w:sz="4" w:space="0" w:color="auto"/>
              <w:left w:val="single" w:sz="4" w:space="0" w:color="auto"/>
              <w:bottom w:val="single" w:sz="4" w:space="0" w:color="auto"/>
              <w:right w:val="single" w:sz="4" w:space="0" w:color="auto"/>
            </w:tcBorders>
            <w:hideMark/>
          </w:tcPr>
          <w:p w14:paraId="371AF227" w14:textId="23A38A3F" w:rsidR="00322979" w:rsidRPr="000F0299" w:rsidRDefault="00322979" w:rsidP="0032297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Квантитативни показатељ </w:t>
            </w:r>
          </w:p>
        </w:tc>
        <w:tc>
          <w:tcPr>
            <w:tcW w:w="3560" w:type="dxa"/>
            <w:gridSpan w:val="7"/>
            <w:tcBorders>
              <w:top w:val="single" w:sz="4" w:space="0" w:color="auto"/>
              <w:left w:val="single" w:sz="4" w:space="0" w:color="auto"/>
              <w:bottom w:val="single" w:sz="4" w:space="0" w:color="auto"/>
              <w:right w:val="single" w:sz="4" w:space="0" w:color="auto"/>
            </w:tcBorders>
          </w:tcPr>
          <w:p w14:paraId="63B57D0E" w14:textId="2E2420AD" w:rsidR="00322979" w:rsidRPr="000F0299" w:rsidRDefault="00322979" w:rsidP="0032297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На нивоу излазног резултата</w:t>
            </w:r>
          </w:p>
        </w:tc>
      </w:tr>
      <w:tr w:rsidR="00322979" w:rsidRPr="000F0299" w14:paraId="274729D4" w14:textId="77777777" w:rsidTr="00B228D6">
        <w:tc>
          <w:tcPr>
            <w:tcW w:w="1961" w:type="dxa"/>
            <w:tcBorders>
              <w:top w:val="single" w:sz="4" w:space="0" w:color="auto"/>
              <w:left w:val="single" w:sz="4" w:space="0" w:color="auto"/>
              <w:bottom w:val="single" w:sz="4" w:space="0" w:color="auto"/>
              <w:right w:val="single" w:sz="4" w:space="0" w:color="auto"/>
            </w:tcBorders>
            <w:hideMark/>
          </w:tcPr>
          <w:p w14:paraId="36AAA736" w14:textId="77777777" w:rsidR="00322979" w:rsidRPr="000F0299" w:rsidRDefault="00322979"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560" w:type="dxa"/>
            <w:gridSpan w:val="6"/>
            <w:tcBorders>
              <w:top w:val="single" w:sz="4" w:space="0" w:color="auto"/>
              <w:left w:val="single" w:sz="4" w:space="0" w:color="auto"/>
              <w:bottom w:val="single" w:sz="4" w:space="0" w:color="auto"/>
              <w:right w:val="single" w:sz="4" w:space="0" w:color="auto"/>
            </w:tcBorders>
          </w:tcPr>
          <w:p w14:paraId="7E2C0224" w14:textId="1D0E6228" w:rsidR="00322979" w:rsidRPr="000F0299" w:rsidRDefault="00322979" w:rsidP="0032297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Процентуални на скали од 0-100%</w:t>
            </w:r>
          </w:p>
        </w:tc>
        <w:tc>
          <w:tcPr>
            <w:tcW w:w="3560" w:type="dxa"/>
            <w:gridSpan w:val="7"/>
            <w:tcBorders>
              <w:top w:val="single" w:sz="4" w:space="0" w:color="auto"/>
              <w:left w:val="single" w:sz="4" w:space="0" w:color="auto"/>
              <w:bottom w:val="single" w:sz="4" w:space="0" w:color="auto"/>
              <w:right w:val="single" w:sz="4" w:space="0" w:color="auto"/>
            </w:tcBorders>
          </w:tcPr>
          <w:p w14:paraId="0EF34FC0" w14:textId="5852BDD7" w:rsidR="00322979" w:rsidRPr="000F0299" w:rsidRDefault="00322979" w:rsidP="0032297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Повећана вредност показатеља пожељна</w:t>
            </w:r>
          </w:p>
        </w:tc>
      </w:tr>
      <w:tr w:rsidR="009E21AC" w:rsidRPr="000F0299" w14:paraId="52120E47" w14:textId="77777777" w:rsidTr="00B228D6">
        <w:tc>
          <w:tcPr>
            <w:tcW w:w="1961" w:type="dxa"/>
            <w:tcBorders>
              <w:top w:val="single" w:sz="4" w:space="0" w:color="auto"/>
              <w:left w:val="single" w:sz="4" w:space="0" w:color="auto"/>
              <w:bottom w:val="single" w:sz="4" w:space="0" w:color="auto"/>
              <w:right w:val="single" w:sz="4" w:space="0" w:color="auto"/>
            </w:tcBorders>
            <w:hideMark/>
          </w:tcPr>
          <w:p w14:paraId="701C82E1"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7120" w:type="dxa"/>
            <w:gridSpan w:val="13"/>
            <w:tcBorders>
              <w:top w:val="single" w:sz="4" w:space="0" w:color="auto"/>
              <w:left w:val="single" w:sz="4" w:space="0" w:color="auto"/>
              <w:bottom w:val="single" w:sz="4" w:space="0" w:color="auto"/>
              <w:right w:val="single" w:sz="4" w:space="0" w:color="auto"/>
            </w:tcBorders>
          </w:tcPr>
          <w:p w14:paraId="10D5DBEA" w14:textId="77777777" w:rsidR="009E21AC" w:rsidRPr="000F0299" w:rsidRDefault="009E21AC" w:rsidP="00322979">
            <w:pPr>
              <w:suppressAutoHyphens w:val="0"/>
              <w:autoSpaceDN/>
              <w:spacing w:before="0"/>
              <w:ind w:firstLine="0"/>
              <w:textAlignment w:val="auto"/>
              <w:rPr>
                <w:rFonts w:eastAsiaTheme="minorHAnsi"/>
                <w:kern w:val="24"/>
                <w:sz w:val="20"/>
                <w:szCs w:val="20"/>
                <w:lang w:eastAsia="en-GB" w:bidi="ar-SA"/>
              </w:rPr>
            </w:pPr>
            <w:r w:rsidRPr="000F0299">
              <w:rPr>
                <w:rFonts w:eastAsiaTheme="minorHAnsi"/>
                <w:kern w:val="24"/>
                <w:sz w:val="20"/>
                <w:szCs w:val="20"/>
                <w:lang w:eastAsia="en-GB" w:bidi="ar-SA"/>
              </w:rPr>
              <w:t>Подаци ће бити прикупљани  на националном нивоу.</w:t>
            </w:r>
          </w:p>
          <w:p w14:paraId="1462B41D" w14:textId="77777777" w:rsidR="009E21AC" w:rsidRPr="000F0299" w:rsidRDefault="009E21AC" w:rsidP="00B228D6">
            <w:pPr>
              <w:suppressAutoHyphens w:val="0"/>
              <w:autoSpaceDN/>
              <w:spacing w:before="0" w:after="0"/>
              <w:ind w:firstLine="0"/>
              <w:textAlignment w:val="auto"/>
              <w:rPr>
                <w:rFonts w:eastAsiaTheme="minorHAnsi"/>
                <w:kern w:val="0"/>
                <w:sz w:val="20"/>
                <w:szCs w:val="20"/>
                <w:lang w:eastAsia="en-GB" w:bidi="ar-SA"/>
              </w:rPr>
            </w:pPr>
            <w:r w:rsidRPr="000F0299">
              <w:rPr>
                <w:rFonts w:eastAsiaTheme="minorHAnsi"/>
                <w:kern w:val="0"/>
                <w:sz w:val="20"/>
                <w:szCs w:val="20"/>
                <w:lang w:eastAsia="en-GB" w:bidi="ar-SA"/>
              </w:rPr>
              <w:t>Извори:</w:t>
            </w:r>
          </w:p>
          <w:p w14:paraId="288BC52C" w14:textId="46A61AD8" w:rsidR="009E21AC" w:rsidRPr="000F0299" w:rsidRDefault="00322979" w:rsidP="00B228D6">
            <w:pPr>
              <w:suppressAutoHyphens w:val="0"/>
              <w:autoSpaceDN/>
              <w:spacing w:before="0" w:after="0"/>
              <w:ind w:firstLine="0"/>
              <w:textAlignment w:val="auto"/>
              <w:rPr>
                <w:rFonts w:eastAsiaTheme="minorHAnsi"/>
                <w:kern w:val="0"/>
                <w:sz w:val="20"/>
                <w:szCs w:val="20"/>
                <w:lang w:eastAsia="en-GB" w:bidi="ar-SA"/>
              </w:rPr>
            </w:pPr>
            <w:r w:rsidRPr="000F0299">
              <w:rPr>
                <w:rFonts w:eastAsiaTheme="minorHAnsi"/>
                <w:kern w:val="0"/>
                <w:sz w:val="20"/>
                <w:szCs w:val="20"/>
                <w:lang w:eastAsia="en-GB" w:bidi="ar-SA"/>
              </w:rPr>
              <w:t xml:space="preserve">- </w:t>
            </w:r>
            <w:r w:rsidR="009E21AC" w:rsidRPr="000F0299">
              <w:rPr>
                <w:rFonts w:eastAsiaTheme="minorHAnsi"/>
                <w:kern w:val="0"/>
                <w:sz w:val="20"/>
                <w:szCs w:val="20"/>
                <w:lang w:eastAsia="en-GB" w:bidi="ar-SA"/>
              </w:rPr>
              <w:t xml:space="preserve">Извештаји о квалитету попуњавања радних места у државном органу </w:t>
            </w:r>
          </w:p>
          <w:p w14:paraId="1517EDFF" w14:textId="2F2AB91E" w:rsidR="009E21AC" w:rsidRPr="000F0299" w:rsidRDefault="00322979" w:rsidP="00B228D6">
            <w:pPr>
              <w:suppressAutoHyphens w:val="0"/>
              <w:autoSpaceDN/>
              <w:spacing w:before="0" w:after="0"/>
              <w:ind w:firstLine="0"/>
              <w:textAlignment w:val="auto"/>
              <w:rPr>
                <w:rFonts w:eastAsiaTheme="minorHAnsi"/>
                <w:kern w:val="0"/>
                <w:sz w:val="20"/>
                <w:szCs w:val="20"/>
                <w:lang w:eastAsia="en-GB" w:bidi="ar-SA"/>
              </w:rPr>
            </w:pPr>
            <w:r w:rsidRPr="000F0299">
              <w:rPr>
                <w:rFonts w:eastAsiaTheme="minorHAnsi"/>
                <w:kern w:val="0"/>
                <w:sz w:val="20"/>
                <w:szCs w:val="20"/>
                <w:lang w:eastAsia="en-GB" w:bidi="ar-SA"/>
              </w:rPr>
              <w:t xml:space="preserve">- </w:t>
            </w:r>
            <w:r w:rsidR="009E21AC" w:rsidRPr="000F0299">
              <w:rPr>
                <w:rFonts w:eastAsiaTheme="minorHAnsi"/>
                <w:kern w:val="0"/>
                <w:sz w:val="20"/>
                <w:szCs w:val="20"/>
                <w:lang w:eastAsia="en-GB" w:bidi="ar-SA"/>
              </w:rPr>
              <w:t xml:space="preserve">Увид у кадровски план, односно </w:t>
            </w:r>
            <w:bookmarkStart w:id="323" w:name="_Hlk45209689"/>
            <w:r w:rsidR="009E21AC" w:rsidRPr="000F0299">
              <w:rPr>
                <w:rFonts w:eastAsiaTheme="minorHAnsi"/>
                <w:kern w:val="0"/>
                <w:sz w:val="20"/>
                <w:szCs w:val="20"/>
                <w:lang w:eastAsia="en-GB" w:bidi="ar-SA"/>
              </w:rPr>
              <w:t>правилнике о организацији и систематизацији радних места</w:t>
            </w:r>
            <w:bookmarkEnd w:id="323"/>
            <w:r w:rsidR="009E21AC" w:rsidRPr="000F0299">
              <w:rPr>
                <w:rFonts w:eastAsiaTheme="minorHAnsi"/>
                <w:kern w:val="0"/>
                <w:sz w:val="20"/>
                <w:szCs w:val="20"/>
                <w:lang w:eastAsia="en-GB" w:bidi="ar-SA"/>
              </w:rPr>
              <w:t>.</w:t>
            </w:r>
          </w:p>
        </w:tc>
      </w:tr>
      <w:tr w:rsidR="009E21AC" w:rsidRPr="000F0299" w14:paraId="6606DE5A" w14:textId="77777777" w:rsidTr="00B228D6">
        <w:tc>
          <w:tcPr>
            <w:tcW w:w="1961" w:type="dxa"/>
            <w:tcBorders>
              <w:top w:val="single" w:sz="4" w:space="0" w:color="auto"/>
              <w:left w:val="single" w:sz="4" w:space="0" w:color="auto"/>
              <w:bottom w:val="single" w:sz="4" w:space="0" w:color="auto"/>
              <w:right w:val="single" w:sz="4" w:space="0" w:color="auto"/>
            </w:tcBorders>
            <w:hideMark/>
          </w:tcPr>
          <w:p w14:paraId="19BA8DF1" w14:textId="77777777" w:rsidR="009E21AC" w:rsidRPr="000F0299" w:rsidRDefault="009E21AC" w:rsidP="00322979">
            <w:pPr>
              <w:suppressAutoHyphens w:val="0"/>
              <w:autoSpaceDN/>
              <w:spacing w:before="0"/>
              <w:ind w:firstLine="0"/>
              <w:textAlignment w:val="auto"/>
              <w:rPr>
                <w:rFonts w:eastAsiaTheme="majorEastAsia"/>
                <w:b/>
                <w:bCs/>
                <w:kern w:val="0"/>
                <w:sz w:val="20"/>
                <w:szCs w:val="20"/>
                <w:lang w:eastAsia="en-US" w:bidi="ar-SA"/>
              </w:rPr>
            </w:pPr>
            <w:r w:rsidRPr="000F0299">
              <w:rPr>
                <w:rFonts w:eastAsiaTheme="minorHAnsi"/>
                <w:b/>
                <w:bCs/>
                <w:kern w:val="24"/>
                <w:sz w:val="20"/>
                <w:szCs w:val="20"/>
                <w:lang w:eastAsia="en-GB" w:bidi="ar-SA"/>
              </w:rPr>
              <w:t>Назив носиоца прикупљања података</w:t>
            </w:r>
          </w:p>
        </w:tc>
        <w:tc>
          <w:tcPr>
            <w:tcW w:w="7120" w:type="dxa"/>
            <w:gridSpan w:val="13"/>
            <w:tcBorders>
              <w:top w:val="single" w:sz="4" w:space="0" w:color="auto"/>
              <w:left w:val="single" w:sz="4" w:space="0" w:color="auto"/>
              <w:bottom w:val="single" w:sz="4" w:space="0" w:color="auto"/>
              <w:right w:val="single" w:sz="4" w:space="0" w:color="auto"/>
            </w:tcBorders>
          </w:tcPr>
          <w:p w14:paraId="24E4095B" w14:textId="059DBA50" w:rsidR="008C7AD9" w:rsidRPr="000F0299" w:rsidRDefault="009E21AC" w:rsidP="008C7AD9">
            <w:pPr>
              <w:suppressAutoHyphens w:val="0"/>
              <w:autoSpaceDN/>
              <w:spacing w:before="0"/>
              <w:ind w:firstLine="0"/>
              <w:textAlignment w:val="auto"/>
              <w:rPr>
                <w:rFonts w:eastAsiaTheme="minorHAnsi"/>
                <w:kern w:val="0"/>
                <w:sz w:val="20"/>
                <w:szCs w:val="20"/>
                <w:lang w:eastAsia="en-GB" w:bidi="ar-SA"/>
              </w:rPr>
            </w:pPr>
            <w:r w:rsidRPr="000F0299">
              <w:rPr>
                <w:rFonts w:eastAsiaTheme="minorHAnsi"/>
                <w:kern w:val="0"/>
                <w:sz w:val="20"/>
                <w:szCs w:val="20"/>
                <w:lang w:eastAsia="en-GB" w:bidi="ar-SA"/>
              </w:rPr>
              <w:t xml:space="preserve">Служба за управљање кадровима, </w:t>
            </w:r>
          </w:p>
          <w:p w14:paraId="5B47A161" w14:textId="60D1B41F" w:rsidR="009E21AC" w:rsidRPr="000F0299" w:rsidRDefault="009E21AC" w:rsidP="008C7AD9">
            <w:pPr>
              <w:suppressAutoHyphens w:val="0"/>
              <w:autoSpaceDN/>
              <w:spacing w:before="0"/>
              <w:ind w:firstLine="0"/>
              <w:textAlignment w:val="auto"/>
              <w:rPr>
                <w:rFonts w:eastAsiaTheme="minorHAnsi"/>
                <w:kern w:val="0"/>
                <w:sz w:val="20"/>
                <w:szCs w:val="20"/>
                <w:lang w:eastAsia="en-GB" w:bidi="ar-SA"/>
              </w:rPr>
            </w:pPr>
            <w:r w:rsidRPr="000F0299">
              <w:rPr>
                <w:rFonts w:eastAsiaTheme="minorHAnsi"/>
                <w:kern w:val="0"/>
                <w:sz w:val="20"/>
                <w:szCs w:val="20"/>
                <w:lang w:eastAsia="en-GB" w:bidi="ar-SA"/>
              </w:rPr>
              <w:t>радно место за планирањ</w:t>
            </w:r>
            <w:r w:rsidR="008C7AD9">
              <w:rPr>
                <w:rFonts w:eastAsiaTheme="minorHAnsi"/>
                <w:kern w:val="0"/>
                <w:sz w:val="20"/>
                <w:szCs w:val="20"/>
                <w:lang w:eastAsia="en-GB" w:bidi="ar-SA"/>
              </w:rPr>
              <w:t>е кадрова и аналитичке послове</w:t>
            </w:r>
          </w:p>
        </w:tc>
      </w:tr>
      <w:tr w:rsidR="009E21AC" w:rsidRPr="000F0299" w14:paraId="08000755" w14:textId="77777777" w:rsidTr="00B228D6">
        <w:tc>
          <w:tcPr>
            <w:tcW w:w="1961" w:type="dxa"/>
            <w:tcBorders>
              <w:top w:val="single" w:sz="4" w:space="0" w:color="auto"/>
              <w:left w:val="single" w:sz="4" w:space="0" w:color="auto"/>
              <w:bottom w:val="single" w:sz="4" w:space="0" w:color="auto"/>
              <w:right w:val="single" w:sz="4" w:space="0" w:color="auto"/>
            </w:tcBorders>
            <w:hideMark/>
          </w:tcPr>
          <w:p w14:paraId="308D13EA"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7120" w:type="dxa"/>
            <w:gridSpan w:val="13"/>
            <w:tcBorders>
              <w:top w:val="single" w:sz="4" w:space="0" w:color="auto"/>
              <w:left w:val="single" w:sz="4" w:space="0" w:color="auto"/>
              <w:bottom w:val="single" w:sz="4" w:space="0" w:color="auto"/>
              <w:right w:val="single" w:sz="4" w:space="0" w:color="auto"/>
            </w:tcBorders>
            <w:hideMark/>
          </w:tcPr>
          <w:p w14:paraId="2F41BD18" w14:textId="77777777" w:rsidR="009E21AC" w:rsidRPr="000F0299" w:rsidRDefault="009E21AC" w:rsidP="00322979">
            <w:pPr>
              <w:suppressAutoHyphens w:val="0"/>
              <w:autoSpaceDN/>
              <w:spacing w:before="0"/>
              <w:ind w:firstLine="0"/>
              <w:textAlignment w:val="auto"/>
              <w:rPr>
                <w:rFonts w:eastAsiaTheme="minorHAnsi"/>
                <w:kern w:val="0"/>
                <w:sz w:val="20"/>
                <w:szCs w:val="20"/>
                <w:lang w:eastAsia="en-GB" w:bidi="ar-SA"/>
              </w:rPr>
            </w:pPr>
            <w:r w:rsidRPr="000F0299">
              <w:rPr>
                <w:rFonts w:eastAsiaTheme="minorHAnsi"/>
                <w:kern w:val="24"/>
                <w:sz w:val="20"/>
                <w:szCs w:val="20"/>
                <w:lang w:eastAsia="en-GB" w:bidi="ar-SA"/>
              </w:rPr>
              <w:t>Једном годишње, у првом кварталу текуће за претходну календарску годину</w:t>
            </w:r>
          </w:p>
        </w:tc>
      </w:tr>
      <w:tr w:rsidR="009E21AC" w:rsidRPr="000F0299" w14:paraId="0E6B2FE7" w14:textId="77777777" w:rsidTr="00B228D6">
        <w:tc>
          <w:tcPr>
            <w:tcW w:w="1961" w:type="dxa"/>
            <w:tcBorders>
              <w:top w:val="single" w:sz="4" w:space="0" w:color="auto"/>
              <w:left w:val="single" w:sz="4" w:space="0" w:color="auto"/>
              <w:bottom w:val="single" w:sz="4" w:space="0" w:color="auto"/>
              <w:right w:val="single" w:sz="4" w:space="0" w:color="auto"/>
            </w:tcBorders>
            <w:hideMark/>
          </w:tcPr>
          <w:p w14:paraId="0425F18B"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7120" w:type="dxa"/>
            <w:gridSpan w:val="13"/>
            <w:tcBorders>
              <w:top w:val="single" w:sz="4" w:space="0" w:color="auto"/>
              <w:left w:val="single" w:sz="4" w:space="0" w:color="auto"/>
              <w:bottom w:val="single" w:sz="4" w:space="0" w:color="auto"/>
              <w:right w:val="single" w:sz="4" w:space="0" w:color="auto"/>
            </w:tcBorders>
          </w:tcPr>
          <w:p w14:paraId="3EB014AC" w14:textId="77777777" w:rsidR="009E21AC" w:rsidRPr="000F0299" w:rsidRDefault="009E21AC" w:rsidP="00322979">
            <w:pPr>
              <w:suppressAutoHyphens w:val="0"/>
              <w:autoSpaceDN/>
              <w:spacing w:before="0"/>
              <w:ind w:firstLine="0"/>
              <w:textAlignment w:val="auto"/>
              <w:rPr>
                <w:rFonts w:eastAsiaTheme="minorHAnsi"/>
                <w:kern w:val="24"/>
                <w:sz w:val="20"/>
                <w:szCs w:val="20"/>
                <w:lang w:eastAsia="en-GB" w:bidi="ar-SA"/>
              </w:rPr>
            </w:pPr>
            <w:bookmarkStart w:id="324" w:name="_Hlk45206039"/>
            <w:r w:rsidRPr="000F0299">
              <w:rPr>
                <w:rFonts w:eastAsiaTheme="minorHAnsi"/>
                <w:kern w:val="24"/>
                <w:sz w:val="20"/>
                <w:szCs w:val="20"/>
                <w:lang w:eastAsia="en-GB" w:bidi="ar-SA"/>
              </w:rPr>
              <w:t>При мерењу овог индикатора, биће обухваћени органи државне управе, службе Владе и стручне службе управних округа.</w:t>
            </w:r>
          </w:p>
          <w:p w14:paraId="573E31D0" w14:textId="4EA01685" w:rsidR="009E21AC" w:rsidRPr="000F0299" w:rsidRDefault="009E21AC" w:rsidP="00322979">
            <w:pPr>
              <w:suppressAutoHyphens w:val="0"/>
              <w:autoSpaceDN/>
              <w:spacing w:before="0"/>
              <w:ind w:firstLine="0"/>
              <w:textAlignment w:val="auto"/>
              <w:rPr>
                <w:rFonts w:eastAsiaTheme="minorHAnsi"/>
                <w:kern w:val="24"/>
                <w:sz w:val="20"/>
                <w:szCs w:val="20"/>
                <w:lang w:eastAsia="en-GB" w:bidi="ar-SA"/>
              </w:rPr>
            </w:pPr>
            <w:r w:rsidRPr="000F0299">
              <w:rPr>
                <w:rFonts w:eastAsiaTheme="minorHAnsi"/>
                <w:kern w:val="24"/>
                <w:sz w:val="20"/>
                <w:szCs w:val="20"/>
                <w:lang w:eastAsia="en-GB" w:bidi="ar-SA"/>
              </w:rPr>
              <w:t xml:space="preserve">Циљ је да се утврди проценат извршилаца којима  се (интерним и јавним конкурсом и преузимањем са интерног тржишта рада) попуњавају радна места   у  односу на укупан број извршилаца чије се </w:t>
            </w:r>
            <w:r w:rsidR="00D341C9" w:rsidRPr="000F0299">
              <w:rPr>
                <w:rFonts w:eastAsiaTheme="minorHAnsi"/>
                <w:kern w:val="24"/>
                <w:sz w:val="20"/>
                <w:szCs w:val="20"/>
                <w:lang w:eastAsia="en-GB" w:bidi="ar-SA"/>
              </w:rPr>
              <w:t>запошљавање</w:t>
            </w:r>
            <w:r w:rsidRPr="000F0299">
              <w:rPr>
                <w:rFonts w:eastAsiaTheme="minorHAnsi"/>
                <w:kern w:val="24"/>
                <w:sz w:val="20"/>
                <w:szCs w:val="20"/>
                <w:lang w:eastAsia="en-GB" w:bidi="ar-SA"/>
              </w:rPr>
              <w:t xml:space="preserve"> планира у кадровским плановима.</w:t>
            </w:r>
          </w:p>
          <w:p w14:paraId="7FA23F81" w14:textId="4F7FF6A5" w:rsidR="009E21AC" w:rsidRPr="000F0299" w:rsidRDefault="009E21AC" w:rsidP="00322979">
            <w:pPr>
              <w:suppressAutoHyphens w:val="0"/>
              <w:autoSpaceDN/>
              <w:spacing w:before="0"/>
              <w:ind w:firstLine="0"/>
              <w:textAlignment w:val="auto"/>
              <w:rPr>
                <w:rFonts w:eastAsiaTheme="minorHAnsi"/>
                <w:kern w:val="24"/>
                <w:sz w:val="20"/>
                <w:szCs w:val="20"/>
                <w:lang w:eastAsia="en-GB" w:bidi="ar-SA"/>
              </w:rPr>
            </w:pPr>
            <w:r w:rsidRPr="000F0299">
              <w:rPr>
                <w:rFonts w:eastAsiaTheme="minorHAnsi"/>
                <w:kern w:val="24"/>
                <w:sz w:val="20"/>
                <w:szCs w:val="20"/>
                <w:lang w:eastAsia="en-GB" w:bidi="ar-SA"/>
              </w:rPr>
              <w:t>Формула прорачуна – укупан број извршилаца којима се попуњавају радна места у току године / број извршилаца чије се запошљавање планира кадровским плановима, односно правилницима о организацији и систематизацији * 100</w:t>
            </w:r>
            <w:bookmarkEnd w:id="324"/>
          </w:p>
        </w:tc>
      </w:tr>
      <w:tr w:rsidR="009E21AC" w:rsidRPr="000F0299" w14:paraId="0C6188C2" w14:textId="77777777" w:rsidTr="00B228D6">
        <w:tc>
          <w:tcPr>
            <w:tcW w:w="1961" w:type="dxa"/>
            <w:vMerge w:val="restart"/>
            <w:tcBorders>
              <w:top w:val="single" w:sz="4" w:space="0" w:color="auto"/>
              <w:left w:val="single" w:sz="4" w:space="0" w:color="auto"/>
              <w:bottom w:val="single" w:sz="4" w:space="0" w:color="auto"/>
              <w:right w:val="single" w:sz="4" w:space="0" w:color="auto"/>
            </w:tcBorders>
            <w:hideMark/>
          </w:tcPr>
          <w:p w14:paraId="41196418"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653" w:type="dxa"/>
            <w:gridSpan w:val="10"/>
            <w:tcBorders>
              <w:top w:val="single" w:sz="4" w:space="0" w:color="auto"/>
              <w:left w:val="single" w:sz="4" w:space="0" w:color="auto"/>
              <w:bottom w:val="single" w:sz="4" w:space="0" w:color="auto"/>
              <w:right w:val="single" w:sz="4" w:space="0" w:color="auto"/>
            </w:tcBorders>
          </w:tcPr>
          <w:p w14:paraId="0621C8E2" w14:textId="77777777" w:rsidR="009E21AC" w:rsidRPr="000F0299" w:rsidRDefault="009E21AC" w:rsidP="0032297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Тренд у прошлости</w:t>
            </w:r>
          </w:p>
          <w:p w14:paraId="6028D8C3" w14:textId="77777777" w:rsidR="009E21AC" w:rsidRPr="000F0299" w:rsidRDefault="009E21AC" w:rsidP="00322979">
            <w:pPr>
              <w:suppressAutoHyphens w:val="0"/>
              <w:autoSpaceDN/>
              <w:spacing w:before="0"/>
              <w:ind w:firstLine="0"/>
              <w:textAlignment w:val="auto"/>
              <w:rPr>
                <w:rFonts w:eastAsiaTheme="minorHAnsi"/>
                <w:kern w:val="24"/>
                <w:sz w:val="20"/>
                <w:szCs w:val="20"/>
                <w:lang w:eastAsia="en-GB" w:bidi="ar-SA"/>
              </w:rPr>
            </w:pPr>
            <w:r w:rsidRPr="000F0299">
              <w:rPr>
                <w:rFonts w:eastAsiaTheme="minorHAnsi"/>
                <w:kern w:val="24"/>
                <w:sz w:val="20"/>
                <w:szCs w:val="20"/>
                <w:lang w:eastAsia="en-GB" w:bidi="ar-SA"/>
              </w:rPr>
              <w:t xml:space="preserve">Нема података за тренд у прошлости с обзиром да нису донесени кадровски планови за 2016, 2017. и 2018. годину. </w:t>
            </w:r>
          </w:p>
          <w:p w14:paraId="07A506E3" w14:textId="2D12F63E" w:rsidR="009E21AC" w:rsidRPr="000F0299" w:rsidRDefault="009E21AC" w:rsidP="00322979">
            <w:pPr>
              <w:suppressAutoHyphens w:val="0"/>
              <w:autoSpaceDN/>
              <w:spacing w:before="0"/>
              <w:ind w:firstLine="0"/>
              <w:textAlignment w:val="auto"/>
              <w:rPr>
                <w:rFonts w:eastAsiaTheme="minorHAnsi"/>
                <w:kern w:val="24"/>
                <w:sz w:val="20"/>
                <w:szCs w:val="20"/>
                <w:lang w:eastAsia="en-GB" w:bidi="ar-SA"/>
              </w:rPr>
            </w:pPr>
            <w:r w:rsidRPr="000F0299">
              <w:rPr>
                <w:rFonts w:eastAsiaTheme="minorHAnsi"/>
                <w:kern w:val="24"/>
                <w:sz w:val="20"/>
                <w:szCs w:val="20"/>
                <w:lang w:eastAsia="en-GB" w:bidi="ar-SA"/>
              </w:rPr>
              <w:t xml:space="preserve">Имајући у виду да кадровски план за министарства, посебне организације, службе Владе и стручне службе управних округа није донесен ни за 2019. ни  2020. годину а оне су одређене као полазна вредност, број извршилаца на </w:t>
            </w:r>
            <w:r w:rsidR="00D341C9" w:rsidRPr="000F0299">
              <w:rPr>
                <w:rFonts w:eastAsiaTheme="minorHAnsi"/>
                <w:kern w:val="24"/>
                <w:sz w:val="20"/>
                <w:szCs w:val="20"/>
                <w:lang w:eastAsia="en-GB" w:bidi="ar-SA"/>
              </w:rPr>
              <w:t>радним</w:t>
            </w:r>
            <w:r w:rsidRPr="000F0299">
              <w:rPr>
                <w:rFonts w:eastAsiaTheme="minorHAnsi"/>
                <w:kern w:val="24"/>
                <w:sz w:val="20"/>
                <w:szCs w:val="20"/>
                <w:lang w:eastAsia="en-GB" w:bidi="ar-SA"/>
              </w:rPr>
              <w:t xml:space="preserve"> местима чије се попуњавање планира утврђен је на основу упоредне анализе броја државних службеника приказаног у месечној евиденцији о броју и структури запослених и броја државних службеника на систематизованим радним местима по важећим правилницима о организацији и систематизацији радних места. С обзиром да ће први и</w:t>
            </w:r>
            <w:r w:rsidRPr="000F0299">
              <w:rPr>
                <w:rFonts w:eastAsiaTheme="minorHAnsi"/>
                <w:kern w:val="0"/>
                <w:sz w:val="20"/>
                <w:szCs w:val="20"/>
                <w:lang w:eastAsia="en-GB" w:bidi="ar-SA"/>
              </w:rPr>
              <w:t>звештај о квалитету попуњавања радних места у државном органу бити израђен за 2020.годину, број извршилаца на радним местима је утврђен на основу података које су доставили органи и који су приказани кроз евиденције о конкурсима којима Служба располаже.</w:t>
            </w:r>
          </w:p>
        </w:tc>
        <w:tc>
          <w:tcPr>
            <w:tcW w:w="1467" w:type="dxa"/>
            <w:gridSpan w:val="3"/>
            <w:tcBorders>
              <w:top w:val="single" w:sz="4" w:space="0" w:color="auto"/>
              <w:left w:val="single" w:sz="4" w:space="0" w:color="auto"/>
              <w:bottom w:val="single" w:sz="4" w:space="0" w:color="auto"/>
              <w:right w:val="single" w:sz="4" w:space="0" w:color="auto"/>
            </w:tcBorders>
          </w:tcPr>
          <w:p w14:paraId="6105E57D" w14:textId="77777777" w:rsidR="009E21AC" w:rsidRPr="000F0299" w:rsidRDefault="009E21AC" w:rsidP="0032297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Полазна вредност</w:t>
            </w:r>
          </w:p>
          <w:p w14:paraId="3A41E100" w14:textId="77777777" w:rsidR="009E21AC" w:rsidRPr="000F0299" w:rsidRDefault="009E21AC" w:rsidP="00322979">
            <w:pPr>
              <w:suppressAutoHyphens w:val="0"/>
              <w:autoSpaceDN/>
              <w:spacing w:before="0"/>
              <w:ind w:firstLine="0"/>
              <w:textAlignment w:val="auto"/>
              <w:rPr>
                <w:rFonts w:eastAsiaTheme="minorHAnsi"/>
                <w:color w:val="000000" w:themeColor="text1"/>
                <w:kern w:val="0"/>
                <w:sz w:val="20"/>
                <w:szCs w:val="20"/>
                <w:lang w:eastAsia="en-US" w:bidi="ar-SA"/>
              </w:rPr>
            </w:pPr>
          </w:p>
        </w:tc>
      </w:tr>
      <w:tr w:rsidR="009E21AC" w:rsidRPr="000F0299" w14:paraId="7A5F5633" w14:textId="77777777" w:rsidTr="00B228D6">
        <w:tc>
          <w:tcPr>
            <w:tcW w:w="1961" w:type="dxa"/>
            <w:vMerge/>
            <w:tcBorders>
              <w:top w:val="single" w:sz="4" w:space="0" w:color="auto"/>
              <w:left w:val="single" w:sz="4" w:space="0" w:color="auto"/>
              <w:bottom w:val="single" w:sz="4" w:space="0" w:color="auto"/>
              <w:right w:val="single" w:sz="4" w:space="0" w:color="auto"/>
            </w:tcBorders>
            <w:vAlign w:val="center"/>
            <w:hideMark/>
          </w:tcPr>
          <w:p w14:paraId="14C82018" w14:textId="77777777" w:rsidR="009E21AC" w:rsidRPr="000F0299" w:rsidRDefault="009E21AC" w:rsidP="00322979">
            <w:pPr>
              <w:suppressAutoHyphens w:val="0"/>
              <w:autoSpaceDN/>
              <w:spacing w:before="0"/>
              <w:ind w:firstLine="0"/>
              <w:jc w:val="left"/>
              <w:textAlignment w:val="auto"/>
              <w:rPr>
                <w:rFonts w:eastAsiaTheme="minorHAnsi"/>
                <w:b/>
                <w:bCs/>
                <w:kern w:val="0"/>
                <w:sz w:val="20"/>
                <w:szCs w:val="20"/>
                <w:lang w:eastAsia="en-GB" w:bidi="ar-SA"/>
              </w:rPr>
            </w:pPr>
          </w:p>
        </w:tc>
        <w:tc>
          <w:tcPr>
            <w:tcW w:w="1781" w:type="dxa"/>
            <w:gridSpan w:val="3"/>
            <w:tcBorders>
              <w:top w:val="single" w:sz="4" w:space="0" w:color="auto"/>
              <w:left w:val="single" w:sz="4" w:space="0" w:color="auto"/>
              <w:bottom w:val="single" w:sz="4" w:space="0" w:color="auto"/>
              <w:right w:val="single" w:sz="4" w:space="0" w:color="auto"/>
            </w:tcBorders>
            <w:hideMark/>
          </w:tcPr>
          <w:p w14:paraId="5C83F33D"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2016</w:t>
            </w:r>
          </w:p>
        </w:tc>
        <w:tc>
          <w:tcPr>
            <w:tcW w:w="1908" w:type="dxa"/>
            <w:gridSpan w:val="4"/>
            <w:tcBorders>
              <w:top w:val="single" w:sz="4" w:space="0" w:color="auto"/>
              <w:left w:val="single" w:sz="4" w:space="0" w:color="auto"/>
              <w:bottom w:val="single" w:sz="4" w:space="0" w:color="auto"/>
              <w:right w:val="single" w:sz="4" w:space="0" w:color="auto"/>
            </w:tcBorders>
            <w:hideMark/>
          </w:tcPr>
          <w:p w14:paraId="4D173FAE"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2017</w:t>
            </w:r>
          </w:p>
        </w:tc>
        <w:tc>
          <w:tcPr>
            <w:tcW w:w="1964" w:type="dxa"/>
            <w:gridSpan w:val="3"/>
            <w:tcBorders>
              <w:top w:val="single" w:sz="4" w:space="0" w:color="auto"/>
              <w:left w:val="single" w:sz="4" w:space="0" w:color="auto"/>
              <w:bottom w:val="single" w:sz="4" w:space="0" w:color="auto"/>
              <w:right w:val="single" w:sz="4" w:space="0" w:color="auto"/>
            </w:tcBorders>
            <w:hideMark/>
          </w:tcPr>
          <w:p w14:paraId="0FF2CBDB"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2018</w:t>
            </w:r>
          </w:p>
        </w:tc>
        <w:tc>
          <w:tcPr>
            <w:tcW w:w="1467" w:type="dxa"/>
            <w:gridSpan w:val="3"/>
            <w:tcBorders>
              <w:top w:val="single" w:sz="4" w:space="0" w:color="auto"/>
              <w:left w:val="single" w:sz="4" w:space="0" w:color="auto"/>
              <w:bottom w:val="single" w:sz="4" w:space="0" w:color="auto"/>
              <w:right w:val="single" w:sz="4" w:space="0" w:color="auto"/>
            </w:tcBorders>
            <w:hideMark/>
          </w:tcPr>
          <w:p w14:paraId="70835BA2"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2020</w:t>
            </w:r>
          </w:p>
        </w:tc>
      </w:tr>
      <w:tr w:rsidR="009E21AC" w:rsidRPr="000F0299" w14:paraId="37846A59" w14:textId="77777777" w:rsidTr="00B228D6">
        <w:tc>
          <w:tcPr>
            <w:tcW w:w="1961" w:type="dxa"/>
            <w:vMerge/>
            <w:tcBorders>
              <w:top w:val="single" w:sz="4" w:space="0" w:color="auto"/>
              <w:left w:val="single" w:sz="4" w:space="0" w:color="auto"/>
              <w:bottom w:val="single" w:sz="4" w:space="0" w:color="auto"/>
              <w:right w:val="single" w:sz="4" w:space="0" w:color="auto"/>
            </w:tcBorders>
            <w:vAlign w:val="center"/>
            <w:hideMark/>
          </w:tcPr>
          <w:p w14:paraId="367AE893" w14:textId="77777777" w:rsidR="009E21AC" w:rsidRPr="000F0299" w:rsidRDefault="009E21AC" w:rsidP="00322979">
            <w:pPr>
              <w:suppressAutoHyphens w:val="0"/>
              <w:autoSpaceDN/>
              <w:spacing w:before="0"/>
              <w:ind w:firstLine="0"/>
              <w:jc w:val="left"/>
              <w:textAlignment w:val="auto"/>
              <w:rPr>
                <w:rFonts w:eastAsiaTheme="minorHAnsi"/>
                <w:b/>
                <w:bCs/>
                <w:kern w:val="0"/>
                <w:sz w:val="20"/>
                <w:szCs w:val="20"/>
                <w:lang w:eastAsia="en-GB" w:bidi="ar-SA"/>
              </w:rPr>
            </w:pPr>
          </w:p>
        </w:tc>
        <w:tc>
          <w:tcPr>
            <w:tcW w:w="1781" w:type="dxa"/>
            <w:gridSpan w:val="3"/>
            <w:tcBorders>
              <w:top w:val="single" w:sz="4" w:space="0" w:color="auto"/>
              <w:left w:val="single" w:sz="4" w:space="0" w:color="auto"/>
              <w:bottom w:val="single" w:sz="4" w:space="0" w:color="auto"/>
              <w:right w:val="single" w:sz="4" w:space="0" w:color="auto"/>
            </w:tcBorders>
            <w:hideMark/>
          </w:tcPr>
          <w:p w14:paraId="24392798"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н/а</w:t>
            </w:r>
          </w:p>
        </w:tc>
        <w:tc>
          <w:tcPr>
            <w:tcW w:w="1908" w:type="dxa"/>
            <w:gridSpan w:val="4"/>
            <w:tcBorders>
              <w:top w:val="single" w:sz="4" w:space="0" w:color="auto"/>
              <w:left w:val="single" w:sz="4" w:space="0" w:color="auto"/>
              <w:bottom w:val="single" w:sz="4" w:space="0" w:color="auto"/>
              <w:right w:val="single" w:sz="4" w:space="0" w:color="auto"/>
            </w:tcBorders>
            <w:hideMark/>
          </w:tcPr>
          <w:p w14:paraId="3FB0C40A"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н/а</w:t>
            </w:r>
          </w:p>
        </w:tc>
        <w:tc>
          <w:tcPr>
            <w:tcW w:w="1964" w:type="dxa"/>
            <w:gridSpan w:val="3"/>
            <w:tcBorders>
              <w:top w:val="single" w:sz="4" w:space="0" w:color="auto"/>
              <w:left w:val="single" w:sz="4" w:space="0" w:color="auto"/>
              <w:bottom w:val="single" w:sz="4" w:space="0" w:color="auto"/>
              <w:right w:val="single" w:sz="4" w:space="0" w:color="auto"/>
            </w:tcBorders>
            <w:hideMark/>
          </w:tcPr>
          <w:p w14:paraId="7B5D9AF5"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н/а</w:t>
            </w:r>
          </w:p>
        </w:tc>
        <w:tc>
          <w:tcPr>
            <w:tcW w:w="1467" w:type="dxa"/>
            <w:gridSpan w:val="3"/>
            <w:tcBorders>
              <w:top w:val="single" w:sz="4" w:space="0" w:color="auto"/>
              <w:left w:val="single" w:sz="4" w:space="0" w:color="auto"/>
              <w:bottom w:val="single" w:sz="4" w:space="0" w:color="auto"/>
              <w:right w:val="single" w:sz="4" w:space="0" w:color="auto"/>
            </w:tcBorders>
            <w:hideMark/>
          </w:tcPr>
          <w:p w14:paraId="510E9559"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w:t>
            </w:r>
          </w:p>
        </w:tc>
      </w:tr>
      <w:tr w:rsidR="009E21AC" w:rsidRPr="000F0299" w14:paraId="075119AF" w14:textId="77777777" w:rsidTr="00B228D6">
        <w:tc>
          <w:tcPr>
            <w:tcW w:w="1961" w:type="dxa"/>
            <w:vMerge w:val="restart"/>
            <w:tcBorders>
              <w:top w:val="single" w:sz="4" w:space="0" w:color="auto"/>
              <w:left w:val="single" w:sz="4" w:space="0" w:color="auto"/>
              <w:bottom w:val="single" w:sz="4" w:space="0" w:color="auto"/>
              <w:right w:val="single" w:sz="4" w:space="0" w:color="auto"/>
            </w:tcBorders>
            <w:hideMark/>
          </w:tcPr>
          <w:p w14:paraId="6DF0AB33"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712" w:type="dxa"/>
            <w:tcBorders>
              <w:top w:val="single" w:sz="4" w:space="0" w:color="auto"/>
              <w:left w:val="single" w:sz="4" w:space="0" w:color="auto"/>
              <w:bottom w:val="single" w:sz="4" w:space="0" w:color="auto"/>
              <w:right w:val="single" w:sz="4" w:space="0" w:color="auto"/>
            </w:tcBorders>
            <w:vAlign w:val="center"/>
            <w:hideMark/>
          </w:tcPr>
          <w:p w14:paraId="44E4BFAF"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GB" w:bidi="ar-SA"/>
              </w:rPr>
            </w:pPr>
            <w:r w:rsidRPr="000F0299">
              <w:rPr>
                <w:rFonts w:eastAsiaTheme="minorHAnsi"/>
                <w:kern w:val="24"/>
                <w:sz w:val="20"/>
                <w:szCs w:val="20"/>
                <w:lang w:eastAsia="en-GB" w:bidi="ar-SA"/>
              </w:rPr>
              <w:t>2021</w:t>
            </w:r>
          </w:p>
        </w:tc>
        <w:tc>
          <w:tcPr>
            <w:tcW w:w="712" w:type="dxa"/>
            <w:tcBorders>
              <w:top w:val="single" w:sz="4" w:space="0" w:color="auto"/>
              <w:left w:val="single" w:sz="4" w:space="0" w:color="auto"/>
              <w:bottom w:val="single" w:sz="4" w:space="0" w:color="auto"/>
              <w:right w:val="single" w:sz="4" w:space="0" w:color="auto"/>
            </w:tcBorders>
            <w:vAlign w:val="center"/>
            <w:hideMark/>
          </w:tcPr>
          <w:p w14:paraId="169A75AB"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GB" w:bidi="ar-SA"/>
              </w:rPr>
            </w:pPr>
            <w:r w:rsidRPr="000F0299">
              <w:rPr>
                <w:rFonts w:eastAsiaTheme="minorHAnsi"/>
                <w:kern w:val="24"/>
                <w:sz w:val="20"/>
                <w:szCs w:val="20"/>
                <w:lang w:eastAsia="en-GB" w:bidi="ar-SA"/>
              </w:rPr>
              <w:t>2022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3EA0D379"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GB" w:bidi="ar-SA"/>
              </w:rPr>
            </w:pPr>
            <w:r w:rsidRPr="000F0299">
              <w:rPr>
                <w:rFonts w:eastAsiaTheme="minorHAnsi"/>
                <w:kern w:val="24"/>
                <w:sz w:val="20"/>
                <w:szCs w:val="20"/>
                <w:lang w:eastAsia="en-GB" w:bidi="ar-SA"/>
              </w:rPr>
              <w:t>2023</w:t>
            </w:r>
          </w:p>
        </w:tc>
        <w:tc>
          <w:tcPr>
            <w:tcW w:w="712" w:type="dxa"/>
            <w:tcBorders>
              <w:top w:val="single" w:sz="4" w:space="0" w:color="auto"/>
              <w:left w:val="single" w:sz="4" w:space="0" w:color="auto"/>
              <w:bottom w:val="single" w:sz="4" w:space="0" w:color="auto"/>
              <w:right w:val="single" w:sz="4" w:space="0" w:color="auto"/>
            </w:tcBorders>
            <w:vAlign w:val="center"/>
            <w:hideMark/>
          </w:tcPr>
          <w:p w14:paraId="3ADDA532"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GB" w:bidi="ar-SA"/>
              </w:rPr>
            </w:pPr>
            <w:r w:rsidRPr="000F0299">
              <w:rPr>
                <w:rFonts w:eastAsiaTheme="minorHAnsi"/>
                <w:kern w:val="24"/>
                <w:sz w:val="20"/>
                <w:szCs w:val="20"/>
                <w:lang w:eastAsia="en-GB" w:bidi="ar-SA"/>
              </w:rPr>
              <w:t>2024</w:t>
            </w:r>
          </w:p>
        </w:tc>
        <w:tc>
          <w:tcPr>
            <w:tcW w:w="712" w:type="dxa"/>
            <w:tcBorders>
              <w:top w:val="single" w:sz="4" w:space="0" w:color="auto"/>
              <w:left w:val="single" w:sz="4" w:space="0" w:color="auto"/>
              <w:bottom w:val="single" w:sz="4" w:space="0" w:color="auto"/>
              <w:right w:val="single" w:sz="4" w:space="0" w:color="auto"/>
            </w:tcBorders>
            <w:vAlign w:val="center"/>
            <w:hideMark/>
          </w:tcPr>
          <w:p w14:paraId="641739A4"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GB" w:bidi="ar-SA"/>
              </w:rPr>
            </w:pPr>
            <w:r w:rsidRPr="000F0299">
              <w:rPr>
                <w:rFonts w:eastAsiaTheme="minorHAnsi"/>
                <w:kern w:val="24"/>
                <w:sz w:val="20"/>
                <w:szCs w:val="20"/>
                <w:lang w:eastAsia="en-GB" w:bidi="ar-SA"/>
              </w:rPr>
              <w:t>2025</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6A0B378B"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GB" w:bidi="ar-SA"/>
              </w:rPr>
            </w:pPr>
            <w:r w:rsidRPr="000F0299">
              <w:rPr>
                <w:rFonts w:eastAsiaTheme="minorHAnsi"/>
                <w:kern w:val="24"/>
                <w:sz w:val="20"/>
                <w:szCs w:val="20"/>
                <w:lang w:eastAsia="en-GB" w:bidi="ar-SA"/>
              </w:rPr>
              <w:t>2026</w:t>
            </w:r>
          </w:p>
        </w:tc>
        <w:tc>
          <w:tcPr>
            <w:tcW w:w="712" w:type="dxa"/>
            <w:tcBorders>
              <w:top w:val="single" w:sz="4" w:space="0" w:color="auto"/>
              <w:left w:val="single" w:sz="4" w:space="0" w:color="auto"/>
              <w:bottom w:val="single" w:sz="4" w:space="0" w:color="auto"/>
              <w:right w:val="single" w:sz="4" w:space="0" w:color="auto"/>
            </w:tcBorders>
            <w:vAlign w:val="center"/>
            <w:hideMark/>
          </w:tcPr>
          <w:p w14:paraId="4B5ED013"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GB" w:bidi="ar-SA"/>
              </w:rPr>
            </w:pPr>
            <w:r w:rsidRPr="000F0299">
              <w:rPr>
                <w:rFonts w:eastAsiaTheme="minorHAnsi"/>
                <w:kern w:val="24"/>
                <w:sz w:val="20"/>
                <w:szCs w:val="20"/>
                <w:lang w:eastAsia="en-GB" w:bidi="ar-SA"/>
              </w:rPr>
              <w:t>2027</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0F61370E"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GB" w:bidi="ar-SA"/>
              </w:rPr>
            </w:pPr>
            <w:r w:rsidRPr="000F0299">
              <w:rPr>
                <w:rFonts w:eastAsiaTheme="minorHAnsi"/>
                <w:kern w:val="24"/>
                <w:sz w:val="20"/>
                <w:szCs w:val="20"/>
                <w:lang w:eastAsia="en-GB" w:bidi="ar-SA"/>
              </w:rPr>
              <w:t>2028</w:t>
            </w:r>
          </w:p>
        </w:tc>
        <w:tc>
          <w:tcPr>
            <w:tcW w:w="712" w:type="dxa"/>
            <w:tcBorders>
              <w:top w:val="single" w:sz="4" w:space="0" w:color="auto"/>
              <w:left w:val="single" w:sz="4" w:space="0" w:color="auto"/>
              <w:bottom w:val="single" w:sz="4" w:space="0" w:color="auto"/>
              <w:right w:val="single" w:sz="4" w:space="0" w:color="auto"/>
            </w:tcBorders>
            <w:vAlign w:val="center"/>
            <w:hideMark/>
          </w:tcPr>
          <w:p w14:paraId="1F89D8DF"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GB" w:bidi="ar-SA"/>
              </w:rPr>
            </w:pPr>
            <w:r w:rsidRPr="000F0299">
              <w:rPr>
                <w:rFonts w:eastAsiaTheme="minorHAnsi"/>
                <w:kern w:val="24"/>
                <w:sz w:val="20"/>
                <w:szCs w:val="20"/>
                <w:lang w:eastAsia="en-GB" w:bidi="ar-SA"/>
              </w:rPr>
              <w:t>2029</w:t>
            </w:r>
          </w:p>
        </w:tc>
        <w:tc>
          <w:tcPr>
            <w:tcW w:w="712" w:type="dxa"/>
            <w:tcBorders>
              <w:top w:val="single" w:sz="4" w:space="0" w:color="auto"/>
              <w:left w:val="single" w:sz="4" w:space="0" w:color="auto"/>
              <w:bottom w:val="single" w:sz="4" w:space="0" w:color="auto"/>
              <w:right w:val="single" w:sz="4" w:space="0" w:color="auto"/>
            </w:tcBorders>
            <w:vAlign w:val="center"/>
            <w:hideMark/>
          </w:tcPr>
          <w:p w14:paraId="0651B31D"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GB" w:bidi="ar-SA"/>
              </w:rPr>
            </w:pPr>
            <w:r w:rsidRPr="000F0299">
              <w:rPr>
                <w:rFonts w:eastAsiaTheme="minorHAnsi"/>
                <w:kern w:val="24"/>
                <w:sz w:val="20"/>
                <w:szCs w:val="20"/>
                <w:lang w:eastAsia="en-GB" w:bidi="ar-SA"/>
              </w:rPr>
              <w:t>2030</w:t>
            </w:r>
          </w:p>
        </w:tc>
      </w:tr>
      <w:tr w:rsidR="009E21AC" w:rsidRPr="000F0299" w14:paraId="383599C0" w14:textId="77777777" w:rsidTr="00B228D6">
        <w:tc>
          <w:tcPr>
            <w:tcW w:w="1961" w:type="dxa"/>
            <w:vMerge/>
            <w:tcBorders>
              <w:top w:val="single" w:sz="4" w:space="0" w:color="auto"/>
              <w:left w:val="single" w:sz="4" w:space="0" w:color="auto"/>
              <w:bottom w:val="single" w:sz="4" w:space="0" w:color="auto"/>
              <w:right w:val="single" w:sz="4" w:space="0" w:color="auto"/>
            </w:tcBorders>
            <w:vAlign w:val="center"/>
            <w:hideMark/>
          </w:tcPr>
          <w:p w14:paraId="4D530040" w14:textId="77777777" w:rsidR="009E21AC" w:rsidRPr="000F0299" w:rsidRDefault="009E21AC" w:rsidP="00322979">
            <w:pPr>
              <w:suppressAutoHyphens w:val="0"/>
              <w:autoSpaceDN/>
              <w:spacing w:before="0"/>
              <w:ind w:firstLine="0"/>
              <w:jc w:val="left"/>
              <w:textAlignment w:val="auto"/>
              <w:rPr>
                <w:rFonts w:eastAsiaTheme="minorHAnsi"/>
                <w:b/>
                <w:bCs/>
                <w:kern w:val="0"/>
                <w:sz w:val="20"/>
                <w:szCs w:val="20"/>
                <w:lang w:eastAsia="en-US" w:bidi="ar-SA"/>
              </w:rPr>
            </w:pPr>
          </w:p>
        </w:tc>
        <w:tc>
          <w:tcPr>
            <w:tcW w:w="712" w:type="dxa"/>
            <w:tcBorders>
              <w:top w:val="single" w:sz="4" w:space="0" w:color="auto"/>
              <w:left w:val="single" w:sz="4" w:space="0" w:color="auto"/>
              <w:bottom w:val="single" w:sz="4" w:space="0" w:color="auto"/>
              <w:right w:val="single" w:sz="4" w:space="0" w:color="auto"/>
            </w:tcBorders>
            <w:hideMark/>
          </w:tcPr>
          <w:p w14:paraId="043D8181"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25-30</w:t>
            </w:r>
          </w:p>
          <w:p w14:paraId="469DD4B4"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712" w:type="dxa"/>
            <w:tcBorders>
              <w:top w:val="single" w:sz="4" w:space="0" w:color="auto"/>
              <w:left w:val="single" w:sz="4" w:space="0" w:color="auto"/>
              <w:bottom w:val="single" w:sz="4" w:space="0" w:color="auto"/>
              <w:right w:val="single" w:sz="4" w:space="0" w:color="auto"/>
            </w:tcBorders>
            <w:hideMark/>
          </w:tcPr>
          <w:p w14:paraId="2FF5E8FD"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30-35 %</w:t>
            </w:r>
          </w:p>
        </w:tc>
        <w:tc>
          <w:tcPr>
            <w:tcW w:w="712" w:type="dxa"/>
            <w:gridSpan w:val="2"/>
            <w:tcBorders>
              <w:top w:val="single" w:sz="4" w:space="0" w:color="auto"/>
              <w:left w:val="single" w:sz="4" w:space="0" w:color="auto"/>
              <w:bottom w:val="single" w:sz="4" w:space="0" w:color="auto"/>
              <w:right w:val="single" w:sz="4" w:space="0" w:color="auto"/>
            </w:tcBorders>
            <w:hideMark/>
          </w:tcPr>
          <w:p w14:paraId="07F80575"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35-40</w:t>
            </w:r>
          </w:p>
          <w:p w14:paraId="50F62149"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712" w:type="dxa"/>
            <w:tcBorders>
              <w:top w:val="single" w:sz="4" w:space="0" w:color="auto"/>
              <w:left w:val="single" w:sz="4" w:space="0" w:color="auto"/>
              <w:bottom w:val="single" w:sz="4" w:space="0" w:color="auto"/>
              <w:right w:val="single" w:sz="4" w:space="0" w:color="auto"/>
            </w:tcBorders>
            <w:hideMark/>
          </w:tcPr>
          <w:p w14:paraId="0D67C7D0"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40-45</w:t>
            </w:r>
          </w:p>
          <w:p w14:paraId="61692551"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712" w:type="dxa"/>
            <w:tcBorders>
              <w:top w:val="single" w:sz="4" w:space="0" w:color="auto"/>
              <w:left w:val="single" w:sz="4" w:space="0" w:color="auto"/>
              <w:bottom w:val="single" w:sz="4" w:space="0" w:color="auto"/>
              <w:right w:val="single" w:sz="4" w:space="0" w:color="auto"/>
            </w:tcBorders>
            <w:hideMark/>
          </w:tcPr>
          <w:p w14:paraId="19C97B74"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45-50</w:t>
            </w:r>
          </w:p>
          <w:p w14:paraId="6191E19D"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712" w:type="dxa"/>
            <w:gridSpan w:val="2"/>
            <w:tcBorders>
              <w:top w:val="single" w:sz="4" w:space="0" w:color="auto"/>
              <w:left w:val="single" w:sz="4" w:space="0" w:color="auto"/>
              <w:bottom w:val="single" w:sz="4" w:space="0" w:color="auto"/>
              <w:right w:val="single" w:sz="4" w:space="0" w:color="auto"/>
            </w:tcBorders>
            <w:hideMark/>
          </w:tcPr>
          <w:p w14:paraId="34892106"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50-55</w:t>
            </w:r>
          </w:p>
          <w:p w14:paraId="0BC4A69E"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712" w:type="dxa"/>
            <w:tcBorders>
              <w:top w:val="single" w:sz="4" w:space="0" w:color="auto"/>
              <w:left w:val="single" w:sz="4" w:space="0" w:color="auto"/>
              <w:bottom w:val="single" w:sz="4" w:space="0" w:color="auto"/>
              <w:right w:val="single" w:sz="4" w:space="0" w:color="auto"/>
            </w:tcBorders>
            <w:hideMark/>
          </w:tcPr>
          <w:p w14:paraId="1238C129"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55-60</w:t>
            </w:r>
          </w:p>
          <w:p w14:paraId="2656F97E"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712" w:type="dxa"/>
            <w:gridSpan w:val="2"/>
            <w:tcBorders>
              <w:top w:val="single" w:sz="4" w:space="0" w:color="auto"/>
              <w:left w:val="single" w:sz="4" w:space="0" w:color="auto"/>
              <w:bottom w:val="single" w:sz="4" w:space="0" w:color="auto"/>
              <w:right w:val="single" w:sz="4" w:space="0" w:color="auto"/>
            </w:tcBorders>
            <w:hideMark/>
          </w:tcPr>
          <w:p w14:paraId="71AE2811"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60-70</w:t>
            </w:r>
          </w:p>
          <w:p w14:paraId="41441773"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712" w:type="dxa"/>
            <w:tcBorders>
              <w:top w:val="single" w:sz="4" w:space="0" w:color="auto"/>
              <w:left w:val="single" w:sz="4" w:space="0" w:color="auto"/>
              <w:bottom w:val="single" w:sz="4" w:space="0" w:color="auto"/>
              <w:right w:val="single" w:sz="4" w:space="0" w:color="auto"/>
            </w:tcBorders>
            <w:hideMark/>
          </w:tcPr>
          <w:p w14:paraId="6C44799B"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70-85</w:t>
            </w:r>
          </w:p>
          <w:p w14:paraId="19FA1F8E"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712" w:type="dxa"/>
            <w:tcBorders>
              <w:top w:val="single" w:sz="4" w:space="0" w:color="auto"/>
              <w:left w:val="single" w:sz="4" w:space="0" w:color="auto"/>
              <w:bottom w:val="single" w:sz="4" w:space="0" w:color="auto"/>
              <w:right w:val="single" w:sz="4" w:space="0" w:color="auto"/>
            </w:tcBorders>
            <w:hideMark/>
          </w:tcPr>
          <w:p w14:paraId="2B9941F6"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85-95</w:t>
            </w:r>
          </w:p>
          <w:p w14:paraId="318436C3" w14:textId="77777777" w:rsidR="009E21AC" w:rsidRPr="000F0299" w:rsidRDefault="009E21AC" w:rsidP="00322979">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r>
      <w:tr w:rsidR="009E21AC" w:rsidRPr="000F0299" w14:paraId="3773C107" w14:textId="77777777" w:rsidTr="00B228D6">
        <w:tc>
          <w:tcPr>
            <w:tcW w:w="1961" w:type="dxa"/>
            <w:tcBorders>
              <w:top w:val="single" w:sz="4" w:space="0" w:color="auto"/>
              <w:left w:val="single" w:sz="4" w:space="0" w:color="auto"/>
              <w:bottom w:val="single" w:sz="4" w:space="0" w:color="auto"/>
              <w:right w:val="single" w:sz="4" w:space="0" w:color="auto"/>
            </w:tcBorders>
            <w:hideMark/>
          </w:tcPr>
          <w:p w14:paraId="7B583C74"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7120" w:type="dxa"/>
            <w:gridSpan w:val="13"/>
            <w:tcBorders>
              <w:top w:val="single" w:sz="4" w:space="0" w:color="auto"/>
              <w:left w:val="single" w:sz="4" w:space="0" w:color="auto"/>
              <w:bottom w:val="single" w:sz="4" w:space="0" w:color="auto"/>
              <w:right w:val="single" w:sz="4" w:space="0" w:color="auto"/>
            </w:tcBorders>
            <w:vAlign w:val="center"/>
            <w:hideMark/>
          </w:tcPr>
          <w:p w14:paraId="031428F4" w14:textId="6BD29BC7" w:rsidR="009E21AC" w:rsidRPr="000F0299" w:rsidRDefault="009E21AC" w:rsidP="00322979">
            <w:pPr>
              <w:suppressAutoHyphens w:val="0"/>
              <w:autoSpaceDN/>
              <w:spacing w:before="0"/>
              <w:ind w:firstLine="0"/>
              <w:textAlignment w:val="auto"/>
              <w:rPr>
                <w:rFonts w:eastAsiaTheme="minorHAnsi"/>
                <w:kern w:val="24"/>
                <w:sz w:val="20"/>
                <w:szCs w:val="20"/>
                <w:lang w:eastAsia="en-GB" w:bidi="ar-SA"/>
              </w:rPr>
            </w:pPr>
            <w:r w:rsidRPr="000F0299">
              <w:rPr>
                <w:rFonts w:eastAsiaTheme="minorHAnsi"/>
                <w:kern w:val="24"/>
                <w:sz w:val="20"/>
                <w:szCs w:val="20"/>
                <w:lang w:eastAsia="en-GB" w:bidi="ar-SA"/>
              </w:rPr>
              <w:t>Степен одступања од циљне вредности до 5% ће се вредновати као успех.</w:t>
            </w:r>
          </w:p>
        </w:tc>
      </w:tr>
    </w:tbl>
    <w:p w14:paraId="0E1253F3" w14:textId="77777777" w:rsidR="003C0DA1" w:rsidRPr="000F0299" w:rsidRDefault="003C0DA1">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31CE9629" w14:textId="20F7DDC0" w:rsidR="009E21AC" w:rsidRPr="000F0299" w:rsidRDefault="009E21AC" w:rsidP="00BE55B6">
      <w:pPr>
        <w:ind w:firstLine="0"/>
        <w:rPr>
          <w:b/>
          <w:bCs/>
          <w:color w:val="2F5496" w:themeColor="accent1" w:themeShade="BF"/>
        </w:rPr>
      </w:pPr>
      <w:r w:rsidRPr="000F0299">
        <w:rPr>
          <w:b/>
          <w:bCs/>
          <w:color w:val="2F5496" w:themeColor="accent1" w:themeShade="BF"/>
        </w:rPr>
        <w:t>Показатељ 3</w:t>
      </w:r>
    </w:p>
    <w:tbl>
      <w:tblPr>
        <w:tblStyle w:val="TableGrid11"/>
        <w:tblW w:w="9099" w:type="dxa"/>
        <w:tblInd w:w="0" w:type="dxa"/>
        <w:tblLook w:val="04A0" w:firstRow="1" w:lastRow="0" w:firstColumn="1" w:lastColumn="0" w:noHBand="0" w:noVBand="1"/>
      </w:tblPr>
      <w:tblGrid>
        <w:gridCol w:w="1980"/>
        <w:gridCol w:w="711"/>
        <w:gridCol w:w="712"/>
        <w:gridCol w:w="352"/>
        <w:gridCol w:w="360"/>
        <w:gridCol w:w="712"/>
        <w:gridCol w:w="712"/>
        <w:gridCol w:w="133"/>
        <w:gridCol w:w="579"/>
        <w:gridCol w:w="712"/>
        <w:gridCol w:w="631"/>
        <w:gridCol w:w="81"/>
        <w:gridCol w:w="712"/>
        <w:gridCol w:w="712"/>
      </w:tblGrid>
      <w:tr w:rsidR="009E21AC" w:rsidRPr="000F0299" w14:paraId="7D178EAF" w14:textId="77777777" w:rsidTr="009E21AC">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F79479" w14:textId="77777777" w:rsidR="009E21AC" w:rsidRPr="000F0299" w:rsidRDefault="009E21AC" w:rsidP="0032297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Назив показатеља</w:t>
            </w:r>
          </w:p>
        </w:tc>
        <w:tc>
          <w:tcPr>
            <w:tcW w:w="7119"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079623" w14:textId="65DA706E" w:rsidR="009E21AC" w:rsidRPr="000F0299" w:rsidRDefault="00AE0D70" w:rsidP="00322979">
            <w:pPr>
              <w:suppressAutoHyphens w:val="0"/>
              <w:autoSpaceDN/>
              <w:spacing w:before="0"/>
              <w:ind w:firstLine="0"/>
              <w:textAlignment w:val="auto"/>
              <w:rPr>
                <w:rFonts w:eastAsia="Times New Roman"/>
                <w:b/>
                <w:bCs/>
                <w:color w:val="000000" w:themeColor="text1"/>
                <w:kern w:val="0"/>
                <w:sz w:val="20"/>
                <w:szCs w:val="20"/>
                <w:lang w:eastAsia="en-US" w:bidi="ar-SA"/>
              </w:rPr>
            </w:pPr>
            <w:r w:rsidRPr="00AE0D70">
              <w:rPr>
                <w:rFonts w:eastAsia="Times New Roman"/>
                <w:b/>
                <w:bCs/>
                <w:color w:val="000000" w:themeColor="text1"/>
                <w:kern w:val="0"/>
                <w:sz w:val="20"/>
                <w:szCs w:val="20"/>
                <w:lang w:eastAsia="en-US" w:bidi="ar-SA"/>
              </w:rPr>
              <w:t>Успостављен оквир компетенција у целој јавн</w:t>
            </w:r>
            <w:r>
              <w:rPr>
                <w:rFonts w:eastAsia="Times New Roman"/>
                <w:b/>
                <w:bCs/>
                <w:color w:val="000000" w:themeColor="text1"/>
                <w:kern w:val="0"/>
                <w:sz w:val="20"/>
                <w:szCs w:val="20"/>
                <w:lang w:eastAsia="en-US" w:bidi="ar-SA"/>
              </w:rPr>
              <w:t xml:space="preserve">ој </w:t>
            </w:r>
            <w:r w:rsidRPr="00AE0D70">
              <w:rPr>
                <w:rFonts w:eastAsia="Times New Roman"/>
                <w:b/>
                <w:bCs/>
                <w:color w:val="000000" w:themeColor="text1"/>
                <w:kern w:val="0"/>
                <w:sz w:val="20"/>
                <w:szCs w:val="20"/>
                <w:lang w:eastAsia="en-US" w:bidi="ar-SA"/>
              </w:rPr>
              <w:t>управ</w:t>
            </w:r>
            <w:r>
              <w:rPr>
                <w:rFonts w:eastAsia="Times New Roman"/>
                <w:b/>
                <w:bCs/>
                <w:color w:val="000000" w:themeColor="text1"/>
                <w:kern w:val="0"/>
                <w:sz w:val="20"/>
                <w:szCs w:val="20"/>
                <w:lang w:eastAsia="en-US" w:bidi="ar-SA"/>
              </w:rPr>
              <w:t>и</w:t>
            </w:r>
          </w:p>
        </w:tc>
      </w:tr>
      <w:tr w:rsidR="009E21AC" w:rsidRPr="000F0299" w14:paraId="1A0216F5" w14:textId="77777777" w:rsidTr="009E21AC">
        <w:tc>
          <w:tcPr>
            <w:tcW w:w="1980" w:type="dxa"/>
            <w:tcBorders>
              <w:top w:val="single" w:sz="4" w:space="0" w:color="auto"/>
              <w:left w:val="single" w:sz="4" w:space="0" w:color="auto"/>
              <w:bottom w:val="single" w:sz="4" w:space="0" w:color="auto"/>
              <w:right w:val="single" w:sz="4" w:space="0" w:color="auto"/>
            </w:tcBorders>
            <w:hideMark/>
          </w:tcPr>
          <w:p w14:paraId="0BC9C4D7" w14:textId="77777777" w:rsidR="009E21AC" w:rsidRPr="000F0299" w:rsidRDefault="009E21AC" w:rsidP="0032297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Одговарајући општи, посебни циљ или мера</w:t>
            </w:r>
          </w:p>
        </w:tc>
        <w:tc>
          <w:tcPr>
            <w:tcW w:w="7119" w:type="dxa"/>
            <w:gridSpan w:val="13"/>
            <w:tcBorders>
              <w:top w:val="single" w:sz="4" w:space="0" w:color="auto"/>
              <w:left w:val="single" w:sz="4" w:space="0" w:color="auto"/>
              <w:bottom w:val="single" w:sz="4" w:space="0" w:color="auto"/>
              <w:right w:val="single" w:sz="4" w:space="0" w:color="auto"/>
            </w:tcBorders>
          </w:tcPr>
          <w:p w14:paraId="569129EC" w14:textId="27D408E9" w:rsidR="009E21AC" w:rsidRPr="000F0299" w:rsidRDefault="00D341C9" w:rsidP="00322979">
            <w:pPr>
              <w:suppressAutoHyphens w:val="0"/>
              <w:autoSpaceDN/>
              <w:spacing w:before="0"/>
              <w:ind w:firstLine="0"/>
              <w:textAlignment w:val="auto"/>
              <w:rPr>
                <w:rFonts w:eastAsiaTheme="minorHAnsi"/>
                <w:color w:val="000000" w:themeColor="text1"/>
                <w:kern w:val="24"/>
                <w:sz w:val="20"/>
                <w:szCs w:val="20"/>
                <w:lang w:eastAsia="en-US" w:bidi="ar-SA"/>
              </w:rPr>
            </w:pPr>
            <w:r w:rsidRPr="000F0299">
              <w:rPr>
                <w:rFonts w:eastAsiaTheme="minorHAnsi"/>
                <w:b/>
                <w:bCs/>
                <w:color w:val="000000" w:themeColor="text1"/>
                <w:kern w:val="24"/>
                <w:sz w:val="20"/>
                <w:szCs w:val="20"/>
                <w:lang w:eastAsia="en-US" w:bidi="ar-SA"/>
              </w:rPr>
              <w:t>Meрa</w:t>
            </w:r>
            <w:r w:rsidR="009E21AC" w:rsidRPr="000F0299">
              <w:rPr>
                <w:rFonts w:eastAsiaTheme="minorHAnsi"/>
                <w:b/>
                <w:bCs/>
                <w:color w:val="000000" w:themeColor="text1"/>
                <w:kern w:val="24"/>
                <w:sz w:val="20"/>
                <w:szCs w:val="20"/>
                <w:lang w:eastAsia="en-US" w:bidi="ar-SA"/>
              </w:rPr>
              <w:t xml:space="preserve"> 2.1.2</w:t>
            </w:r>
            <w:r w:rsidR="009E21AC" w:rsidRPr="000F0299">
              <w:rPr>
                <w:rFonts w:eastAsiaTheme="minorHAnsi"/>
                <w:color w:val="000000" w:themeColor="text1"/>
                <w:kern w:val="24"/>
                <w:sz w:val="20"/>
                <w:szCs w:val="20"/>
                <w:lang w:eastAsia="en-US" w:bidi="ar-SA"/>
              </w:rPr>
              <w:t xml:space="preserve"> Унапређење процеса селекције и увођење новозапослених у посао</w:t>
            </w:r>
          </w:p>
        </w:tc>
      </w:tr>
      <w:tr w:rsidR="00322979" w:rsidRPr="000F0299" w14:paraId="78582343" w14:textId="77777777" w:rsidTr="00322979">
        <w:tc>
          <w:tcPr>
            <w:tcW w:w="1980" w:type="dxa"/>
            <w:tcBorders>
              <w:top w:val="single" w:sz="4" w:space="0" w:color="auto"/>
              <w:left w:val="single" w:sz="4" w:space="0" w:color="auto"/>
              <w:bottom w:val="single" w:sz="4" w:space="0" w:color="auto"/>
              <w:right w:val="single" w:sz="4" w:space="0" w:color="auto"/>
            </w:tcBorders>
            <w:hideMark/>
          </w:tcPr>
          <w:p w14:paraId="5D376EC6" w14:textId="77777777" w:rsidR="00322979" w:rsidRPr="000F0299" w:rsidRDefault="00322979" w:rsidP="0032297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Тип и ниво показатеља</w:t>
            </w:r>
          </w:p>
        </w:tc>
        <w:tc>
          <w:tcPr>
            <w:tcW w:w="3559" w:type="dxa"/>
            <w:gridSpan w:val="6"/>
            <w:tcBorders>
              <w:top w:val="single" w:sz="4" w:space="0" w:color="auto"/>
              <w:left w:val="single" w:sz="4" w:space="0" w:color="auto"/>
              <w:bottom w:val="single" w:sz="4" w:space="0" w:color="auto"/>
              <w:right w:val="single" w:sz="4" w:space="0" w:color="auto"/>
            </w:tcBorders>
            <w:hideMark/>
          </w:tcPr>
          <w:p w14:paraId="330F1F94" w14:textId="67D49A0E" w:rsidR="00322979" w:rsidRPr="000F0299" w:rsidRDefault="00322979"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 xml:space="preserve">Квалитативни показатељ </w:t>
            </w:r>
          </w:p>
        </w:tc>
        <w:tc>
          <w:tcPr>
            <w:tcW w:w="3560" w:type="dxa"/>
            <w:gridSpan w:val="7"/>
            <w:tcBorders>
              <w:top w:val="single" w:sz="4" w:space="0" w:color="auto"/>
              <w:left w:val="single" w:sz="4" w:space="0" w:color="auto"/>
              <w:bottom w:val="single" w:sz="4" w:space="0" w:color="auto"/>
              <w:right w:val="single" w:sz="4" w:space="0" w:color="auto"/>
            </w:tcBorders>
          </w:tcPr>
          <w:p w14:paraId="32A17D7E" w14:textId="23D06F47" w:rsidR="00322979" w:rsidRPr="000F0299" w:rsidRDefault="00322979"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На нивоу излазног резултата</w:t>
            </w:r>
          </w:p>
        </w:tc>
      </w:tr>
      <w:tr w:rsidR="00322979" w:rsidRPr="000F0299" w14:paraId="5A89F704" w14:textId="77777777" w:rsidTr="00322979">
        <w:tc>
          <w:tcPr>
            <w:tcW w:w="1980" w:type="dxa"/>
            <w:tcBorders>
              <w:top w:val="single" w:sz="4" w:space="0" w:color="auto"/>
              <w:left w:val="single" w:sz="4" w:space="0" w:color="auto"/>
              <w:bottom w:val="single" w:sz="4" w:space="0" w:color="auto"/>
              <w:right w:val="single" w:sz="4" w:space="0" w:color="auto"/>
            </w:tcBorders>
            <w:hideMark/>
          </w:tcPr>
          <w:p w14:paraId="684DAF08" w14:textId="77777777" w:rsidR="00322979" w:rsidRPr="000F0299" w:rsidRDefault="00322979" w:rsidP="0032297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Јединица мере и природа</w:t>
            </w:r>
          </w:p>
        </w:tc>
        <w:tc>
          <w:tcPr>
            <w:tcW w:w="3559" w:type="dxa"/>
            <w:gridSpan w:val="6"/>
            <w:tcBorders>
              <w:top w:val="single" w:sz="4" w:space="0" w:color="auto"/>
              <w:left w:val="single" w:sz="4" w:space="0" w:color="auto"/>
              <w:bottom w:val="single" w:sz="4" w:space="0" w:color="auto"/>
              <w:right w:val="single" w:sz="4" w:space="0" w:color="auto"/>
            </w:tcBorders>
            <w:hideMark/>
          </w:tcPr>
          <w:p w14:paraId="2818FFFB" w14:textId="6A3E4721" w:rsidR="00322979" w:rsidRPr="000F0299" w:rsidRDefault="00322979" w:rsidP="00322979">
            <w:pPr>
              <w:suppressAutoHyphens w:val="0"/>
              <w:autoSpaceDN/>
              <w:spacing w:before="0"/>
              <w:ind w:firstLine="0"/>
              <w:textAlignment w:val="auto"/>
              <w:rPr>
                <w:rFonts w:eastAsia="Times New Roman"/>
                <w:color w:val="FF0000"/>
                <w:kern w:val="0"/>
                <w:sz w:val="20"/>
                <w:szCs w:val="20"/>
                <w:lang w:eastAsia="en-US" w:bidi="ar-SA"/>
              </w:rPr>
            </w:pPr>
            <w:r w:rsidRPr="000F0299">
              <w:rPr>
                <w:rFonts w:eastAsia="Times New Roman"/>
                <w:kern w:val="0"/>
                <w:sz w:val="20"/>
                <w:szCs w:val="20"/>
                <w:lang w:eastAsia="en-US" w:bidi="ar-SA"/>
              </w:rPr>
              <w:t>Бројчани на скали од 0 до 4</w:t>
            </w:r>
          </w:p>
        </w:tc>
        <w:tc>
          <w:tcPr>
            <w:tcW w:w="3560" w:type="dxa"/>
            <w:gridSpan w:val="7"/>
            <w:tcBorders>
              <w:top w:val="single" w:sz="4" w:space="0" w:color="auto"/>
              <w:left w:val="single" w:sz="4" w:space="0" w:color="auto"/>
              <w:bottom w:val="single" w:sz="4" w:space="0" w:color="auto"/>
              <w:right w:val="single" w:sz="4" w:space="0" w:color="auto"/>
            </w:tcBorders>
          </w:tcPr>
          <w:p w14:paraId="0740C31D" w14:textId="6AE12F9B" w:rsidR="00322979" w:rsidRPr="000F0299" w:rsidRDefault="00322979" w:rsidP="00322979">
            <w:pPr>
              <w:suppressAutoHyphens w:val="0"/>
              <w:autoSpaceDN/>
              <w:spacing w:before="0"/>
              <w:ind w:firstLine="0"/>
              <w:textAlignment w:val="auto"/>
              <w:rPr>
                <w:rFonts w:eastAsia="Times New Roman"/>
                <w:color w:val="FF0000"/>
                <w:kern w:val="0"/>
                <w:sz w:val="20"/>
                <w:szCs w:val="20"/>
                <w:lang w:eastAsia="en-US" w:bidi="ar-SA"/>
              </w:rPr>
            </w:pPr>
            <w:r w:rsidRPr="000F0299">
              <w:rPr>
                <w:rFonts w:eastAsia="Times New Roman"/>
                <w:kern w:val="0"/>
                <w:sz w:val="20"/>
                <w:szCs w:val="20"/>
                <w:lang w:eastAsia="en-US" w:bidi="ar-SA"/>
              </w:rPr>
              <w:t xml:space="preserve">Повећана вредност </w:t>
            </w:r>
            <w:r w:rsidRPr="000F0299">
              <w:rPr>
                <w:rFonts w:eastAsia="Times New Roman"/>
                <w:color w:val="000000" w:themeColor="text1"/>
                <w:kern w:val="0"/>
                <w:sz w:val="20"/>
                <w:szCs w:val="20"/>
                <w:lang w:eastAsia="en-US" w:bidi="ar-SA"/>
              </w:rPr>
              <w:t>показатеља пожељна</w:t>
            </w:r>
          </w:p>
        </w:tc>
      </w:tr>
      <w:tr w:rsidR="009E21AC" w:rsidRPr="000F0299" w14:paraId="036B1ACE" w14:textId="77777777" w:rsidTr="009E21AC">
        <w:tc>
          <w:tcPr>
            <w:tcW w:w="1980" w:type="dxa"/>
            <w:tcBorders>
              <w:top w:val="single" w:sz="4" w:space="0" w:color="auto"/>
              <w:left w:val="single" w:sz="4" w:space="0" w:color="auto"/>
              <w:bottom w:val="single" w:sz="4" w:space="0" w:color="auto"/>
              <w:right w:val="single" w:sz="4" w:space="0" w:color="auto"/>
            </w:tcBorders>
            <w:hideMark/>
          </w:tcPr>
          <w:p w14:paraId="79D6393A" w14:textId="77777777" w:rsidR="009E21AC" w:rsidRPr="000F0299" w:rsidRDefault="009E21AC" w:rsidP="0032297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Извор података за праћење показатеља успешности</w:t>
            </w:r>
          </w:p>
        </w:tc>
        <w:tc>
          <w:tcPr>
            <w:tcW w:w="7119" w:type="dxa"/>
            <w:gridSpan w:val="13"/>
            <w:tcBorders>
              <w:top w:val="single" w:sz="4" w:space="0" w:color="auto"/>
              <w:left w:val="single" w:sz="4" w:space="0" w:color="auto"/>
              <w:bottom w:val="single" w:sz="4" w:space="0" w:color="auto"/>
              <w:right w:val="single" w:sz="4" w:space="0" w:color="auto"/>
            </w:tcBorders>
            <w:hideMark/>
          </w:tcPr>
          <w:p w14:paraId="2A5E720A" w14:textId="77777777" w:rsidR="009E21AC" w:rsidRPr="000F0299" w:rsidRDefault="009E21AC"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Подаци ће бити прикупљани  на националном и локалном нивоу.</w:t>
            </w:r>
          </w:p>
          <w:p w14:paraId="18DD78AC" w14:textId="18AAA6F1" w:rsidR="009E21AC" w:rsidRPr="000F0299" w:rsidRDefault="009E21AC"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Извори: Извештаји МДУЛС, СУК и ЈЛС</w:t>
            </w:r>
          </w:p>
        </w:tc>
      </w:tr>
      <w:tr w:rsidR="009E21AC" w:rsidRPr="000F0299" w14:paraId="56DB3813" w14:textId="77777777" w:rsidTr="009E21AC">
        <w:tc>
          <w:tcPr>
            <w:tcW w:w="1980" w:type="dxa"/>
            <w:tcBorders>
              <w:top w:val="single" w:sz="4" w:space="0" w:color="auto"/>
              <w:left w:val="single" w:sz="4" w:space="0" w:color="auto"/>
              <w:bottom w:val="single" w:sz="4" w:space="0" w:color="auto"/>
              <w:right w:val="single" w:sz="4" w:space="0" w:color="auto"/>
            </w:tcBorders>
            <w:hideMark/>
          </w:tcPr>
          <w:p w14:paraId="3EF00CC7" w14:textId="77777777" w:rsidR="009E21AC" w:rsidRPr="000F0299" w:rsidRDefault="009E21AC" w:rsidP="0032297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Назив носиоца прикупљања података</w:t>
            </w:r>
          </w:p>
        </w:tc>
        <w:tc>
          <w:tcPr>
            <w:tcW w:w="7119" w:type="dxa"/>
            <w:gridSpan w:val="13"/>
            <w:tcBorders>
              <w:top w:val="single" w:sz="4" w:space="0" w:color="auto"/>
              <w:left w:val="single" w:sz="4" w:space="0" w:color="auto"/>
              <w:bottom w:val="single" w:sz="4" w:space="0" w:color="auto"/>
              <w:right w:val="single" w:sz="4" w:space="0" w:color="auto"/>
            </w:tcBorders>
            <w:hideMark/>
          </w:tcPr>
          <w:p w14:paraId="1A271420" w14:textId="7F09EFDA" w:rsidR="009E21AC" w:rsidRPr="000F0299" w:rsidRDefault="009E21AC"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Министарство државне управе и локалне самоуправе</w:t>
            </w:r>
            <w:r w:rsidR="008C7AD9">
              <w:rPr>
                <w:rFonts w:eastAsia="Times New Roman"/>
                <w:color w:val="000000" w:themeColor="text1"/>
                <w:kern w:val="24"/>
                <w:sz w:val="20"/>
                <w:szCs w:val="20"/>
                <w:lang w:eastAsia="en-US" w:bidi="ar-SA"/>
              </w:rPr>
              <w:t>, Сектор за УЉР,</w:t>
            </w:r>
          </w:p>
          <w:p w14:paraId="683BBD54" w14:textId="4C98444C" w:rsidR="009E21AC" w:rsidRPr="000F0299" w:rsidRDefault="008C7AD9" w:rsidP="00C214E4">
            <w:pPr>
              <w:suppressAutoHyphens w:val="0"/>
              <w:autoSpaceDN/>
              <w:spacing w:before="0"/>
              <w:ind w:firstLine="0"/>
              <w:textAlignment w:val="auto"/>
              <w:rPr>
                <w:rFonts w:eastAsia="Times New Roman"/>
                <w:color w:val="000000" w:themeColor="text1"/>
                <w:kern w:val="0"/>
                <w:sz w:val="20"/>
                <w:szCs w:val="20"/>
                <w:lang w:eastAsia="en-US" w:bidi="ar-SA"/>
              </w:rPr>
            </w:pPr>
            <w:r>
              <w:rPr>
                <w:rFonts w:eastAsia="Times New Roman"/>
                <w:color w:val="000000" w:themeColor="text1"/>
                <w:kern w:val="24"/>
                <w:sz w:val="20"/>
                <w:szCs w:val="20"/>
                <w:lang w:eastAsia="en-US" w:bidi="ar-SA"/>
              </w:rPr>
              <w:t>Одсек за систем радних односа</w:t>
            </w:r>
          </w:p>
        </w:tc>
      </w:tr>
      <w:tr w:rsidR="009E21AC" w:rsidRPr="000F0299" w14:paraId="267D4583" w14:textId="77777777" w:rsidTr="009E21AC">
        <w:tc>
          <w:tcPr>
            <w:tcW w:w="1980" w:type="dxa"/>
            <w:tcBorders>
              <w:top w:val="single" w:sz="4" w:space="0" w:color="auto"/>
              <w:left w:val="single" w:sz="4" w:space="0" w:color="auto"/>
              <w:bottom w:val="single" w:sz="4" w:space="0" w:color="auto"/>
              <w:right w:val="single" w:sz="4" w:space="0" w:color="auto"/>
            </w:tcBorders>
            <w:hideMark/>
          </w:tcPr>
          <w:p w14:paraId="330314B5" w14:textId="77777777" w:rsidR="009E21AC" w:rsidRPr="000F0299" w:rsidRDefault="009E21AC" w:rsidP="0032297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Учесталост прикупљања података</w:t>
            </w:r>
          </w:p>
        </w:tc>
        <w:tc>
          <w:tcPr>
            <w:tcW w:w="7119" w:type="dxa"/>
            <w:gridSpan w:val="13"/>
            <w:tcBorders>
              <w:top w:val="single" w:sz="4" w:space="0" w:color="auto"/>
              <w:left w:val="single" w:sz="4" w:space="0" w:color="auto"/>
              <w:bottom w:val="single" w:sz="4" w:space="0" w:color="auto"/>
              <w:right w:val="single" w:sz="4" w:space="0" w:color="auto"/>
            </w:tcBorders>
            <w:hideMark/>
          </w:tcPr>
          <w:p w14:paraId="183E3B7F" w14:textId="77777777" w:rsidR="009E21AC" w:rsidRPr="000F0299" w:rsidRDefault="009E21AC"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Једном годишње, у првом кварталу текуће за претходну календарску годину</w:t>
            </w:r>
          </w:p>
        </w:tc>
      </w:tr>
      <w:tr w:rsidR="009E21AC" w:rsidRPr="000F0299" w14:paraId="37170905" w14:textId="77777777" w:rsidTr="009E21AC">
        <w:tc>
          <w:tcPr>
            <w:tcW w:w="1980" w:type="dxa"/>
            <w:tcBorders>
              <w:top w:val="single" w:sz="4" w:space="0" w:color="auto"/>
              <w:left w:val="single" w:sz="4" w:space="0" w:color="auto"/>
              <w:bottom w:val="single" w:sz="4" w:space="0" w:color="auto"/>
              <w:right w:val="single" w:sz="4" w:space="0" w:color="auto"/>
            </w:tcBorders>
            <w:hideMark/>
          </w:tcPr>
          <w:p w14:paraId="2EE08C48" w14:textId="77777777" w:rsidR="009E21AC" w:rsidRPr="000F0299" w:rsidRDefault="009E21AC" w:rsidP="0032297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Кратак опис методологије прорачуна</w:t>
            </w:r>
          </w:p>
        </w:tc>
        <w:tc>
          <w:tcPr>
            <w:tcW w:w="7119" w:type="dxa"/>
            <w:gridSpan w:val="13"/>
            <w:tcBorders>
              <w:top w:val="single" w:sz="4" w:space="0" w:color="auto"/>
              <w:left w:val="single" w:sz="4" w:space="0" w:color="auto"/>
              <w:bottom w:val="single" w:sz="4" w:space="0" w:color="auto"/>
              <w:right w:val="single" w:sz="4" w:space="0" w:color="auto"/>
            </w:tcBorders>
          </w:tcPr>
          <w:p w14:paraId="7B553175" w14:textId="1DF42E5E" w:rsidR="009E21AC" w:rsidRPr="000F0299" w:rsidRDefault="009E21AC"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 xml:space="preserve">Овај индикатор мери у којој мери </w:t>
            </w:r>
            <w:r w:rsidRPr="000F0299">
              <w:rPr>
                <w:rFonts w:eastAsia="Times New Roman"/>
                <w:color w:val="000000" w:themeColor="text1"/>
                <w:kern w:val="0"/>
                <w:sz w:val="20"/>
                <w:szCs w:val="20"/>
                <w:lang w:eastAsia="en-US" w:bidi="ar-SA"/>
              </w:rPr>
              <w:t>оквир компетенција одговара потребама и кључним вредностима рада јавне управе</w:t>
            </w:r>
            <w:r w:rsidRPr="000F0299">
              <w:rPr>
                <w:rFonts w:eastAsia="Times New Roman"/>
                <w:color w:val="000000" w:themeColor="text1"/>
                <w:kern w:val="24"/>
                <w:sz w:val="20"/>
                <w:szCs w:val="20"/>
                <w:lang w:eastAsia="en-US" w:bidi="ar-SA"/>
              </w:rPr>
              <w:t xml:space="preserve">. Индикатор прати органе државне управе, државне органе  и јединице локалне самоуправе. </w:t>
            </w:r>
          </w:p>
          <w:p w14:paraId="0E57496C" w14:textId="77777777" w:rsidR="009E21AC" w:rsidRPr="000F0299" w:rsidRDefault="009E21AC"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Примену у пракси прати МДУЛС и додељује бодове од 0 до 4 према следећим критеријумима:</w:t>
            </w:r>
          </w:p>
          <w:p w14:paraId="45A867B6" w14:textId="77777777" w:rsidR="009E21AC" w:rsidRPr="000F0299" w:rsidRDefault="009E21AC"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0 – није развијен оквир компетенција</w:t>
            </w:r>
          </w:p>
          <w:p w14:paraId="689F82C9" w14:textId="77777777" w:rsidR="009E21AC" w:rsidRPr="000F0299" w:rsidRDefault="009E21AC"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1 -  успостављен систем оквира компетенција за државне службенике</w:t>
            </w:r>
          </w:p>
          <w:p w14:paraId="4A6958C6" w14:textId="77777777" w:rsidR="009E21AC" w:rsidRPr="000F0299" w:rsidRDefault="009E21AC"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2 -  успостављен систем Оквира компетенција за државнике службенике и службенике у АП и ЈЛС</w:t>
            </w:r>
          </w:p>
          <w:p w14:paraId="467F7228" w14:textId="77777777" w:rsidR="009E21AC" w:rsidRPr="000F0299" w:rsidRDefault="009E21AC"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3 - успостављен систем Оквира компетенција за државнике службенике и службенике у АП и ЈЛС и унапређен оквир компетенција за државне службенике/службенике на положају</w:t>
            </w:r>
          </w:p>
          <w:p w14:paraId="224B3449" w14:textId="77777777" w:rsidR="009E21AC" w:rsidRPr="000F0299" w:rsidRDefault="009E21AC"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4 – Оквир компетенција се примењује у свим областима УЉР у државним органима, органима АП и ЈЛС</w:t>
            </w:r>
          </w:p>
          <w:p w14:paraId="3A21A07F" w14:textId="77777777" w:rsidR="009E21AC" w:rsidRPr="000F0299" w:rsidRDefault="009E21AC" w:rsidP="0032297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 xml:space="preserve">Од 2026. године МДУЛС ће као инструмент за праћење и оцењивања адекватности оквира компетенција, МДУЛС користити анкетирање државних службеника и службеника у АП и ЈЛС који раде на пословима управљања људским ресурсима. На тај начин ће се израчунавати вредност показатеља за 2025. годину и надаље. У периоду 2021-2025. није потребно спровести анкетирање, јер је циљна вредност у тим годинама успостављање оквира на свим нивоима, а квалитет примене ће се пратити почевши од 2025. године. </w:t>
            </w:r>
          </w:p>
        </w:tc>
      </w:tr>
      <w:tr w:rsidR="009E21AC" w:rsidRPr="000F0299" w14:paraId="2A9AB279" w14:textId="77777777" w:rsidTr="009E21AC">
        <w:tc>
          <w:tcPr>
            <w:tcW w:w="1980" w:type="dxa"/>
            <w:vMerge w:val="restart"/>
            <w:tcBorders>
              <w:top w:val="single" w:sz="4" w:space="0" w:color="auto"/>
              <w:left w:val="single" w:sz="4" w:space="0" w:color="auto"/>
              <w:bottom w:val="single" w:sz="4" w:space="0" w:color="auto"/>
              <w:right w:val="single" w:sz="4" w:space="0" w:color="auto"/>
            </w:tcBorders>
            <w:hideMark/>
          </w:tcPr>
          <w:p w14:paraId="09C1D957" w14:textId="77777777" w:rsidR="009E21AC" w:rsidRPr="000F0299" w:rsidRDefault="009E21AC" w:rsidP="0032297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Подаци о полазној вредности и години кад је измерена, као и тренду у прошлости</w:t>
            </w:r>
          </w:p>
        </w:tc>
        <w:tc>
          <w:tcPr>
            <w:tcW w:w="5614" w:type="dxa"/>
            <w:gridSpan w:val="10"/>
            <w:tcBorders>
              <w:top w:val="single" w:sz="4" w:space="0" w:color="auto"/>
              <w:left w:val="single" w:sz="4" w:space="0" w:color="auto"/>
              <w:bottom w:val="single" w:sz="4" w:space="0" w:color="auto"/>
              <w:right w:val="single" w:sz="4" w:space="0" w:color="auto"/>
            </w:tcBorders>
            <w:hideMark/>
          </w:tcPr>
          <w:p w14:paraId="6CBB8DE2" w14:textId="77777777" w:rsidR="009E21AC" w:rsidRPr="000F0299" w:rsidRDefault="009E21AC" w:rsidP="0032297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Тренд у прошлости</w:t>
            </w:r>
          </w:p>
        </w:tc>
        <w:tc>
          <w:tcPr>
            <w:tcW w:w="1505" w:type="dxa"/>
            <w:gridSpan w:val="3"/>
            <w:tcBorders>
              <w:top w:val="single" w:sz="4" w:space="0" w:color="auto"/>
              <w:left w:val="single" w:sz="4" w:space="0" w:color="auto"/>
              <w:bottom w:val="single" w:sz="4" w:space="0" w:color="auto"/>
              <w:right w:val="single" w:sz="4" w:space="0" w:color="auto"/>
            </w:tcBorders>
          </w:tcPr>
          <w:p w14:paraId="723F088A" w14:textId="77777777" w:rsidR="009E21AC" w:rsidRPr="000F0299" w:rsidRDefault="009E21AC" w:rsidP="0032297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Полазна вредност</w:t>
            </w:r>
          </w:p>
          <w:p w14:paraId="773796A2" w14:textId="77777777" w:rsidR="009E21AC" w:rsidRPr="000F0299" w:rsidRDefault="009E21AC" w:rsidP="00322979">
            <w:pPr>
              <w:suppressAutoHyphens w:val="0"/>
              <w:autoSpaceDN/>
              <w:spacing w:before="0"/>
              <w:ind w:firstLine="0"/>
              <w:textAlignment w:val="auto"/>
              <w:rPr>
                <w:rFonts w:eastAsiaTheme="minorHAnsi"/>
                <w:color w:val="000000" w:themeColor="text1"/>
                <w:kern w:val="0"/>
                <w:sz w:val="20"/>
                <w:szCs w:val="20"/>
                <w:lang w:eastAsia="en-US" w:bidi="ar-SA"/>
              </w:rPr>
            </w:pPr>
          </w:p>
        </w:tc>
      </w:tr>
      <w:tr w:rsidR="009E21AC" w:rsidRPr="000F0299" w14:paraId="299DC337" w14:textId="77777777" w:rsidTr="009E21AC">
        <w:tc>
          <w:tcPr>
            <w:tcW w:w="1980" w:type="dxa"/>
            <w:vMerge/>
            <w:tcBorders>
              <w:top w:val="single" w:sz="4" w:space="0" w:color="auto"/>
              <w:left w:val="single" w:sz="4" w:space="0" w:color="auto"/>
              <w:bottom w:val="single" w:sz="4" w:space="0" w:color="auto"/>
              <w:right w:val="single" w:sz="4" w:space="0" w:color="auto"/>
            </w:tcBorders>
            <w:vAlign w:val="center"/>
            <w:hideMark/>
          </w:tcPr>
          <w:p w14:paraId="0BBD9BE9"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p>
        </w:tc>
        <w:tc>
          <w:tcPr>
            <w:tcW w:w="1775" w:type="dxa"/>
            <w:gridSpan w:val="3"/>
            <w:tcBorders>
              <w:top w:val="single" w:sz="4" w:space="0" w:color="auto"/>
              <w:left w:val="single" w:sz="4" w:space="0" w:color="auto"/>
              <w:bottom w:val="single" w:sz="4" w:space="0" w:color="auto"/>
              <w:right w:val="single" w:sz="4" w:space="0" w:color="auto"/>
            </w:tcBorders>
            <w:hideMark/>
          </w:tcPr>
          <w:p w14:paraId="0412E5DB"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2016</w:t>
            </w:r>
          </w:p>
        </w:tc>
        <w:tc>
          <w:tcPr>
            <w:tcW w:w="1917" w:type="dxa"/>
            <w:gridSpan w:val="4"/>
            <w:tcBorders>
              <w:top w:val="single" w:sz="4" w:space="0" w:color="auto"/>
              <w:left w:val="single" w:sz="4" w:space="0" w:color="auto"/>
              <w:bottom w:val="single" w:sz="4" w:space="0" w:color="auto"/>
              <w:right w:val="single" w:sz="4" w:space="0" w:color="auto"/>
            </w:tcBorders>
            <w:hideMark/>
          </w:tcPr>
          <w:p w14:paraId="6408BC7A"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2017</w:t>
            </w:r>
          </w:p>
        </w:tc>
        <w:tc>
          <w:tcPr>
            <w:tcW w:w="1922" w:type="dxa"/>
            <w:gridSpan w:val="3"/>
            <w:tcBorders>
              <w:top w:val="single" w:sz="4" w:space="0" w:color="auto"/>
              <w:left w:val="single" w:sz="4" w:space="0" w:color="auto"/>
              <w:bottom w:val="single" w:sz="4" w:space="0" w:color="auto"/>
              <w:right w:val="single" w:sz="4" w:space="0" w:color="auto"/>
            </w:tcBorders>
            <w:hideMark/>
          </w:tcPr>
          <w:p w14:paraId="3E337DD2"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2018</w:t>
            </w:r>
          </w:p>
        </w:tc>
        <w:tc>
          <w:tcPr>
            <w:tcW w:w="1505" w:type="dxa"/>
            <w:gridSpan w:val="3"/>
            <w:tcBorders>
              <w:top w:val="single" w:sz="4" w:space="0" w:color="auto"/>
              <w:left w:val="single" w:sz="4" w:space="0" w:color="auto"/>
              <w:bottom w:val="single" w:sz="4" w:space="0" w:color="auto"/>
              <w:right w:val="single" w:sz="4" w:space="0" w:color="auto"/>
            </w:tcBorders>
            <w:hideMark/>
          </w:tcPr>
          <w:p w14:paraId="586EB189"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2020</w:t>
            </w:r>
          </w:p>
        </w:tc>
      </w:tr>
      <w:tr w:rsidR="009E21AC" w:rsidRPr="000F0299" w14:paraId="186E4009" w14:textId="77777777" w:rsidTr="009E21AC">
        <w:tc>
          <w:tcPr>
            <w:tcW w:w="1980" w:type="dxa"/>
            <w:vMerge/>
            <w:tcBorders>
              <w:top w:val="single" w:sz="4" w:space="0" w:color="auto"/>
              <w:left w:val="single" w:sz="4" w:space="0" w:color="auto"/>
              <w:bottom w:val="single" w:sz="4" w:space="0" w:color="auto"/>
              <w:right w:val="single" w:sz="4" w:space="0" w:color="auto"/>
            </w:tcBorders>
            <w:vAlign w:val="center"/>
            <w:hideMark/>
          </w:tcPr>
          <w:p w14:paraId="2456E4C8"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p>
        </w:tc>
        <w:tc>
          <w:tcPr>
            <w:tcW w:w="1775" w:type="dxa"/>
            <w:gridSpan w:val="3"/>
            <w:tcBorders>
              <w:top w:val="single" w:sz="4" w:space="0" w:color="auto"/>
              <w:left w:val="single" w:sz="4" w:space="0" w:color="auto"/>
              <w:bottom w:val="single" w:sz="4" w:space="0" w:color="auto"/>
              <w:right w:val="single" w:sz="4" w:space="0" w:color="auto"/>
            </w:tcBorders>
            <w:hideMark/>
          </w:tcPr>
          <w:p w14:paraId="3493914B"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0</w:t>
            </w:r>
          </w:p>
        </w:tc>
        <w:tc>
          <w:tcPr>
            <w:tcW w:w="1917" w:type="dxa"/>
            <w:gridSpan w:val="4"/>
            <w:tcBorders>
              <w:top w:val="single" w:sz="4" w:space="0" w:color="auto"/>
              <w:left w:val="single" w:sz="4" w:space="0" w:color="auto"/>
              <w:bottom w:val="single" w:sz="4" w:space="0" w:color="auto"/>
              <w:right w:val="single" w:sz="4" w:space="0" w:color="auto"/>
            </w:tcBorders>
            <w:hideMark/>
          </w:tcPr>
          <w:p w14:paraId="1C39AC69"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0</w:t>
            </w:r>
          </w:p>
        </w:tc>
        <w:tc>
          <w:tcPr>
            <w:tcW w:w="1922" w:type="dxa"/>
            <w:gridSpan w:val="3"/>
            <w:tcBorders>
              <w:top w:val="single" w:sz="4" w:space="0" w:color="auto"/>
              <w:left w:val="single" w:sz="4" w:space="0" w:color="auto"/>
              <w:bottom w:val="single" w:sz="4" w:space="0" w:color="auto"/>
              <w:right w:val="single" w:sz="4" w:space="0" w:color="auto"/>
            </w:tcBorders>
            <w:hideMark/>
          </w:tcPr>
          <w:p w14:paraId="6B97FA87"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0</w:t>
            </w:r>
          </w:p>
        </w:tc>
        <w:tc>
          <w:tcPr>
            <w:tcW w:w="1505" w:type="dxa"/>
            <w:gridSpan w:val="3"/>
            <w:tcBorders>
              <w:top w:val="single" w:sz="4" w:space="0" w:color="auto"/>
              <w:left w:val="single" w:sz="4" w:space="0" w:color="auto"/>
              <w:bottom w:val="single" w:sz="4" w:space="0" w:color="auto"/>
              <w:right w:val="single" w:sz="4" w:space="0" w:color="auto"/>
            </w:tcBorders>
            <w:hideMark/>
          </w:tcPr>
          <w:p w14:paraId="40730AB3"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w:t>
            </w:r>
          </w:p>
        </w:tc>
      </w:tr>
      <w:tr w:rsidR="009E21AC" w:rsidRPr="000F0299" w14:paraId="5C44C2FD" w14:textId="77777777" w:rsidTr="00322979">
        <w:tc>
          <w:tcPr>
            <w:tcW w:w="1980" w:type="dxa"/>
            <w:vMerge w:val="restart"/>
            <w:tcBorders>
              <w:top w:val="single" w:sz="4" w:space="0" w:color="auto"/>
              <w:left w:val="single" w:sz="4" w:space="0" w:color="auto"/>
              <w:bottom w:val="single" w:sz="4" w:space="0" w:color="auto"/>
              <w:right w:val="single" w:sz="4" w:space="0" w:color="auto"/>
            </w:tcBorders>
            <w:hideMark/>
          </w:tcPr>
          <w:p w14:paraId="589B45ED"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711" w:type="dxa"/>
            <w:tcBorders>
              <w:top w:val="single" w:sz="4" w:space="0" w:color="auto"/>
              <w:left w:val="single" w:sz="4" w:space="0" w:color="auto"/>
              <w:bottom w:val="single" w:sz="4" w:space="0" w:color="auto"/>
              <w:right w:val="single" w:sz="4" w:space="0" w:color="auto"/>
            </w:tcBorders>
            <w:vAlign w:val="center"/>
            <w:hideMark/>
          </w:tcPr>
          <w:p w14:paraId="57D678D3" w14:textId="77777777" w:rsidR="009E21AC" w:rsidRPr="000F0299" w:rsidRDefault="009E21AC" w:rsidP="00322979">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2021</w:t>
            </w:r>
          </w:p>
        </w:tc>
        <w:tc>
          <w:tcPr>
            <w:tcW w:w="712" w:type="dxa"/>
            <w:tcBorders>
              <w:top w:val="single" w:sz="4" w:space="0" w:color="auto"/>
              <w:left w:val="single" w:sz="4" w:space="0" w:color="auto"/>
              <w:bottom w:val="single" w:sz="4" w:space="0" w:color="auto"/>
              <w:right w:val="single" w:sz="4" w:space="0" w:color="auto"/>
            </w:tcBorders>
            <w:vAlign w:val="center"/>
            <w:hideMark/>
          </w:tcPr>
          <w:p w14:paraId="59E62DC9" w14:textId="77777777" w:rsidR="009E21AC" w:rsidRPr="000F0299" w:rsidRDefault="009E21AC" w:rsidP="00322979">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6E7770E0" w14:textId="77777777" w:rsidR="009E21AC" w:rsidRPr="000F0299" w:rsidRDefault="009E21AC" w:rsidP="00322979">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2023</w:t>
            </w:r>
          </w:p>
        </w:tc>
        <w:tc>
          <w:tcPr>
            <w:tcW w:w="712" w:type="dxa"/>
            <w:tcBorders>
              <w:top w:val="single" w:sz="4" w:space="0" w:color="auto"/>
              <w:left w:val="single" w:sz="4" w:space="0" w:color="auto"/>
              <w:bottom w:val="single" w:sz="4" w:space="0" w:color="auto"/>
              <w:right w:val="single" w:sz="4" w:space="0" w:color="auto"/>
            </w:tcBorders>
            <w:vAlign w:val="center"/>
            <w:hideMark/>
          </w:tcPr>
          <w:p w14:paraId="7732410D" w14:textId="77777777" w:rsidR="009E21AC" w:rsidRPr="000F0299" w:rsidRDefault="009E21AC" w:rsidP="00322979">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2024</w:t>
            </w:r>
          </w:p>
        </w:tc>
        <w:tc>
          <w:tcPr>
            <w:tcW w:w="712" w:type="dxa"/>
            <w:tcBorders>
              <w:top w:val="single" w:sz="4" w:space="0" w:color="auto"/>
              <w:left w:val="single" w:sz="4" w:space="0" w:color="auto"/>
              <w:bottom w:val="single" w:sz="4" w:space="0" w:color="auto"/>
              <w:right w:val="single" w:sz="4" w:space="0" w:color="auto"/>
            </w:tcBorders>
            <w:vAlign w:val="center"/>
            <w:hideMark/>
          </w:tcPr>
          <w:p w14:paraId="5DF67D57" w14:textId="77777777" w:rsidR="009E21AC" w:rsidRPr="000F0299" w:rsidRDefault="009E21AC" w:rsidP="00322979">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2025</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543368EB" w14:textId="77777777" w:rsidR="009E21AC" w:rsidRPr="000F0299" w:rsidRDefault="009E21AC" w:rsidP="00322979">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2026</w:t>
            </w:r>
          </w:p>
        </w:tc>
        <w:tc>
          <w:tcPr>
            <w:tcW w:w="712" w:type="dxa"/>
            <w:tcBorders>
              <w:top w:val="single" w:sz="4" w:space="0" w:color="auto"/>
              <w:left w:val="single" w:sz="4" w:space="0" w:color="auto"/>
              <w:bottom w:val="single" w:sz="4" w:space="0" w:color="auto"/>
              <w:right w:val="single" w:sz="4" w:space="0" w:color="auto"/>
            </w:tcBorders>
            <w:vAlign w:val="center"/>
            <w:hideMark/>
          </w:tcPr>
          <w:p w14:paraId="534CD1F1" w14:textId="77777777" w:rsidR="009E21AC" w:rsidRPr="000F0299" w:rsidRDefault="009E21AC" w:rsidP="00322979">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2027</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451EEAD5" w14:textId="77777777" w:rsidR="009E21AC" w:rsidRPr="000F0299" w:rsidRDefault="009E21AC" w:rsidP="00322979">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2028</w:t>
            </w:r>
          </w:p>
        </w:tc>
        <w:tc>
          <w:tcPr>
            <w:tcW w:w="712" w:type="dxa"/>
            <w:tcBorders>
              <w:top w:val="single" w:sz="4" w:space="0" w:color="auto"/>
              <w:left w:val="single" w:sz="4" w:space="0" w:color="auto"/>
              <w:bottom w:val="single" w:sz="4" w:space="0" w:color="auto"/>
              <w:right w:val="single" w:sz="4" w:space="0" w:color="auto"/>
            </w:tcBorders>
            <w:vAlign w:val="center"/>
            <w:hideMark/>
          </w:tcPr>
          <w:p w14:paraId="4E23D6E1" w14:textId="77777777" w:rsidR="009E21AC" w:rsidRPr="000F0299" w:rsidRDefault="009E21AC" w:rsidP="00322979">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2029</w:t>
            </w:r>
          </w:p>
        </w:tc>
        <w:tc>
          <w:tcPr>
            <w:tcW w:w="712" w:type="dxa"/>
            <w:tcBorders>
              <w:top w:val="single" w:sz="4" w:space="0" w:color="auto"/>
              <w:left w:val="single" w:sz="4" w:space="0" w:color="auto"/>
              <w:bottom w:val="single" w:sz="4" w:space="0" w:color="auto"/>
              <w:right w:val="single" w:sz="4" w:space="0" w:color="auto"/>
            </w:tcBorders>
            <w:vAlign w:val="center"/>
            <w:hideMark/>
          </w:tcPr>
          <w:p w14:paraId="4FF745FC" w14:textId="77777777" w:rsidR="009E21AC" w:rsidRPr="000F0299" w:rsidRDefault="009E21AC" w:rsidP="00322979">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2030</w:t>
            </w:r>
          </w:p>
        </w:tc>
      </w:tr>
      <w:tr w:rsidR="009E21AC" w:rsidRPr="000F0299" w14:paraId="5068F822" w14:textId="77777777" w:rsidTr="00322979">
        <w:tc>
          <w:tcPr>
            <w:tcW w:w="1980" w:type="dxa"/>
            <w:vMerge/>
            <w:tcBorders>
              <w:top w:val="single" w:sz="4" w:space="0" w:color="auto"/>
              <w:left w:val="single" w:sz="4" w:space="0" w:color="auto"/>
              <w:bottom w:val="single" w:sz="4" w:space="0" w:color="auto"/>
              <w:right w:val="single" w:sz="4" w:space="0" w:color="auto"/>
            </w:tcBorders>
            <w:vAlign w:val="center"/>
            <w:hideMark/>
          </w:tcPr>
          <w:p w14:paraId="54F95A12"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US" w:bidi="ar-SA"/>
              </w:rPr>
            </w:pPr>
          </w:p>
        </w:tc>
        <w:tc>
          <w:tcPr>
            <w:tcW w:w="711" w:type="dxa"/>
            <w:tcBorders>
              <w:top w:val="single" w:sz="4" w:space="0" w:color="auto"/>
              <w:left w:val="single" w:sz="4" w:space="0" w:color="auto"/>
              <w:bottom w:val="single" w:sz="4" w:space="0" w:color="auto"/>
              <w:right w:val="single" w:sz="4" w:space="0" w:color="auto"/>
            </w:tcBorders>
            <w:hideMark/>
          </w:tcPr>
          <w:p w14:paraId="7D014F89"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w:t>
            </w:r>
          </w:p>
        </w:tc>
        <w:tc>
          <w:tcPr>
            <w:tcW w:w="712" w:type="dxa"/>
            <w:tcBorders>
              <w:top w:val="single" w:sz="4" w:space="0" w:color="auto"/>
              <w:left w:val="single" w:sz="4" w:space="0" w:color="auto"/>
              <w:bottom w:val="single" w:sz="4" w:space="0" w:color="auto"/>
              <w:right w:val="single" w:sz="4" w:space="0" w:color="auto"/>
            </w:tcBorders>
            <w:hideMark/>
          </w:tcPr>
          <w:p w14:paraId="3655234C"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w:t>
            </w:r>
          </w:p>
        </w:tc>
        <w:tc>
          <w:tcPr>
            <w:tcW w:w="712" w:type="dxa"/>
            <w:gridSpan w:val="2"/>
            <w:tcBorders>
              <w:top w:val="single" w:sz="4" w:space="0" w:color="auto"/>
              <w:left w:val="single" w:sz="4" w:space="0" w:color="auto"/>
              <w:bottom w:val="single" w:sz="4" w:space="0" w:color="auto"/>
              <w:right w:val="single" w:sz="4" w:space="0" w:color="auto"/>
            </w:tcBorders>
            <w:hideMark/>
          </w:tcPr>
          <w:p w14:paraId="7B37DD11"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3</w:t>
            </w:r>
          </w:p>
        </w:tc>
        <w:tc>
          <w:tcPr>
            <w:tcW w:w="712" w:type="dxa"/>
            <w:tcBorders>
              <w:top w:val="single" w:sz="4" w:space="0" w:color="auto"/>
              <w:left w:val="single" w:sz="4" w:space="0" w:color="auto"/>
              <w:bottom w:val="single" w:sz="4" w:space="0" w:color="auto"/>
              <w:right w:val="single" w:sz="4" w:space="0" w:color="auto"/>
            </w:tcBorders>
            <w:hideMark/>
          </w:tcPr>
          <w:p w14:paraId="2928D9CD"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3</w:t>
            </w:r>
          </w:p>
        </w:tc>
        <w:tc>
          <w:tcPr>
            <w:tcW w:w="712" w:type="dxa"/>
            <w:tcBorders>
              <w:top w:val="single" w:sz="4" w:space="0" w:color="auto"/>
              <w:left w:val="single" w:sz="4" w:space="0" w:color="auto"/>
              <w:bottom w:val="single" w:sz="4" w:space="0" w:color="auto"/>
              <w:right w:val="single" w:sz="4" w:space="0" w:color="auto"/>
            </w:tcBorders>
            <w:hideMark/>
          </w:tcPr>
          <w:p w14:paraId="1F38546F"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712" w:type="dxa"/>
            <w:gridSpan w:val="2"/>
            <w:tcBorders>
              <w:top w:val="single" w:sz="4" w:space="0" w:color="auto"/>
              <w:left w:val="single" w:sz="4" w:space="0" w:color="auto"/>
              <w:bottom w:val="single" w:sz="4" w:space="0" w:color="auto"/>
              <w:right w:val="single" w:sz="4" w:space="0" w:color="auto"/>
            </w:tcBorders>
            <w:hideMark/>
          </w:tcPr>
          <w:p w14:paraId="4F0BDA53"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712" w:type="dxa"/>
            <w:tcBorders>
              <w:top w:val="single" w:sz="4" w:space="0" w:color="auto"/>
              <w:left w:val="single" w:sz="4" w:space="0" w:color="auto"/>
              <w:bottom w:val="single" w:sz="4" w:space="0" w:color="auto"/>
              <w:right w:val="single" w:sz="4" w:space="0" w:color="auto"/>
            </w:tcBorders>
            <w:hideMark/>
          </w:tcPr>
          <w:p w14:paraId="14C37E3E"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712" w:type="dxa"/>
            <w:gridSpan w:val="2"/>
            <w:tcBorders>
              <w:top w:val="single" w:sz="4" w:space="0" w:color="auto"/>
              <w:left w:val="single" w:sz="4" w:space="0" w:color="auto"/>
              <w:bottom w:val="single" w:sz="4" w:space="0" w:color="auto"/>
              <w:right w:val="single" w:sz="4" w:space="0" w:color="auto"/>
            </w:tcBorders>
            <w:hideMark/>
          </w:tcPr>
          <w:p w14:paraId="2ACECD11"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712" w:type="dxa"/>
            <w:tcBorders>
              <w:top w:val="single" w:sz="4" w:space="0" w:color="auto"/>
              <w:left w:val="single" w:sz="4" w:space="0" w:color="auto"/>
              <w:bottom w:val="single" w:sz="4" w:space="0" w:color="auto"/>
              <w:right w:val="single" w:sz="4" w:space="0" w:color="auto"/>
            </w:tcBorders>
            <w:hideMark/>
          </w:tcPr>
          <w:p w14:paraId="5A9DD606"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712" w:type="dxa"/>
            <w:tcBorders>
              <w:top w:val="single" w:sz="4" w:space="0" w:color="auto"/>
              <w:left w:val="single" w:sz="4" w:space="0" w:color="auto"/>
              <w:bottom w:val="single" w:sz="4" w:space="0" w:color="auto"/>
              <w:right w:val="single" w:sz="4" w:space="0" w:color="auto"/>
            </w:tcBorders>
            <w:hideMark/>
          </w:tcPr>
          <w:p w14:paraId="74287DA4" w14:textId="77777777" w:rsidR="009E21AC" w:rsidRPr="000F0299" w:rsidRDefault="009E21AC" w:rsidP="0032297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r>
      <w:tr w:rsidR="009E21AC" w:rsidRPr="000F0299" w14:paraId="485968D3" w14:textId="77777777" w:rsidTr="009E21AC">
        <w:tc>
          <w:tcPr>
            <w:tcW w:w="1980" w:type="dxa"/>
            <w:tcBorders>
              <w:top w:val="single" w:sz="4" w:space="0" w:color="auto"/>
              <w:left w:val="single" w:sz="4" w:space="0" w:color="auto"/>
              <w:bottom w:val="single" w:sz="4" w:space="0" w:color="auto"/>
              <w:right w:val="single" w:sz="4" w:space="0" w:color="auto"/>
            </w:tcBorders>
            <w:hideMark/>
          </w:tcPr>
          <w:p w14:paraId="66041E6B" w14:textId="77777777" w:rsidR="009E21AC" w:rsidRPr="000F0299" w:rsidRDefault="009E21AC" w:rsidP="0032297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Процена успешности</w:t>
            </w:r>
          </w:p>
        </w:tc>
        <w:tc>
          <w:tcPr>
            <w:tcW w:w="7119" w:type="dxa"/>
            <w:gridSpan w:val="13"/>
            <w:tcBorders>
              <w:top w:val="single" w:sz="4" w:space="0" w:color="auto"/>
              <w:left w:val="single" w:sz="4" w:space="0" w:color="auto"/>
              <w:bottom w:val="single" w:sz="4" w:space="0" w:color="auto"/>
              <w:right w:val="single" w:sz="4" w:space="0" w:color="auto"/>
            </w:tcBorders>
            <w:vAlign w:val="center"/>
            <w:hideMark/>
          </w:tcPr>
          <w:p w14:paraId="470FE88E" w14:textId="0A9CBBD2" w:rsidR="009E21AC" w:rsidRPr="000F0299" w:rsidRDefault="00AE0D70" w:rsidP="00322979">
            <w:pPr>
              <w:suppressAutoHyphens w:val="0"/>
              <w:autoSpaceDN/>
              <w:spacing w:before="0"/>
              <w:ind w:firstLine="0"/>
              <w:textAlignment w:val="auto"/>
              <w:rPr>
                <w:rFonts w:eastAsia="Times New Roman"/>
                <w:color w:val="000000" w:themeColor="text1"/>
                <w:kern w:val="0"/>
                <w:sz w:val="20"/>
                <w:szCs w:val="20"/>
                <w:lang w:eastAsia="en-US" w:bidi="ar-SA"/>
              </w:rPr>
            </w:pPr>
            <w:r w:rsidRPr="00AE0D70">
              <w:rPr>
                <w:rFonts w:eastAsia="Times New Roman"/>
                <w:color w:val="000000" w:themeColor="text1"/>
                <w:kern w:val="24"/>
                <w:sz w:val="20"/>
                <w:szCs w:val="20"/>
                <w:lang w:eastAsia="en-US" w:bidi="ar-SA"/>
              </w:rPr>
              <w:t>Један степен ће бити прихватљиво одступање од циљне вредности</w:t>
            </w:r>
            <w:r>
              <w:rPr>
                <w:rFonts w:eastAsia="Times New Roman"/>
                <w:color w:val="000000" w:themeColor="text1"/>
                <w:kern w:val="24"/>
                <w:sz w:val="20"/>
                <w:szCs w:val="20"/>
                <w:lang w:eastAsia="en-US" w:bidi="ar-SA"/>
              </w:rPr>
              <w:t>.</w:t>
            </w:r>
          </w:p>
        </w:tc>
      </w:tr>
    </w:tbl>
    <w:p w14:paraId="408C649E" w14:textId="77777777" w:rsidR="00B228D6" w:rsidRPr="000F0299" w:rsidRDefault="00B228D6">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47500C29" w14:textId="3BA38671" w:rsidR="003F3312" w:rsidRPr="000F0299" w:rsidRDefault="009E21AC" w:rsidP="00BE55B6">
      <w:pPr>
        <w:ind w:firstLine="0"/>
        <w:rPr>
          <w:b/>
          <w:bCs/>
          <w:color w:val="2F5496" w:themeColor="accent1" w:themeShade="BF"/>
        </w:rPr>
      </w:pPr>
      <w:r w:rsidRPr="000F0299">
        <w:rPr>
          <w:b/>
          <w:bCs/>
          <w:color w:val="2F5496" w:themeColor="accent1" w:themeShade="BF"/>
        </w:rPr>
        <w:t xml:space="preserve">Показатељ </w:t>
      </w:r>
      <w:r w:rsidR="003F3312" w:rsidRPr="000F0299">
        <w:rPr>
          <w:b/>
          <w:bCs/>
          <w:color w:val="2F5496" w:themeColor="accent1" w:themeShade="BF"/>
        </w:rPr>
        <w:t>4</w:t>
      </w:r>
    </w:p>
    <w:tbl>
      <w:tblPr>
        <w:tblW w:w="908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88"/>
        <w:gridCol w:w="696"/>
        <w:gridCol w:w="721"/>
        <w:gridCol w:w="509"/>
        <w:gridCol w:w="212"/>
        <w:gridCol w:w="721"/>
        <w:gridCol w:w="721"/>
        <w:gridCol w:w="405"/>
        <w:gridCol w:w="316"/>
        <w:gridCol w:w="721"/>
        <w:gridCol w:w="721"/>
        <w:gridCol w:w="271"/>
        <w:gridCol w:w="449"/>
        <w:gridCol w:w="730"/>
      </w:tblGrid>
      <w:tr w:rsidR="009E21AC" w:rsidRPr="000F0299" w14:paraId="1DFEC70F" w14:textId="77777777" w:rsidTr="00487FD1">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ED4E7E"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показатеља</w:t>
            </w:r>
          </w:p>
        </w:tc>
        <w:tc>
          <w:tcPr>
            <w:tcW w:w="6959"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E9235F" w14:textId="21A91E64" w:rsidR="009E21AC" w:rsidRPr="000F0299" w:rsidRDefault="00AE0D70" w:rsidP="00322979">
            <w:pPr>
              <w:suppressAutoHyphens w:val="0"/>
              <w:autoSpaceDN/>
              <w:spacing w:before="0"/>
              <w:ind w:firstLine="0"/>
              <w:textAlignment w:val="auto"/>
              <w:rPr>
                <w:rFonts w:eastAsiaTheme="minorHAnsi"/>
                <w:b/>
                <w:bCs/>
                <w:color w:val="000000" w:themeColor="text1"/>
                <w:kern w:val="0"/>
                <w:sz w:val="20"/>
                <w:szCs w:val="20"/>
                <w:lang w:eastAsia="en-GB" w:bidi="ar-SA"/>
              </w:rPr>
            </w:pPr>
            <w:r w:rsidRPr="00AE0D70">
              <w:rPr>
                <w:rFonts w:eastAsiaTheme="minorHAnsi"/>
                <w:b/>
                <w:bCs/>
                <w:color w:val="000000" w:themeColor="text1"/>
                <w:kern w:val="0"/>
                <w:sz w:val="20"/>
                <w:szCs w:val="20"/>
                <w:lang w:eastAsia="en-GB" w:bidi="ar-SA"/>
              </w:rPr>
              <w:t>Укупан број положаја постављених по конкурсу у односу на укупан број положаја</w:t>
            </w:r>
          </w:p>
        </w:tc>
      </w:tr>
      <w:tr w:rsidR="009E21AC" w:rsidRPr="000F0299" w14:paraId="60B93D53" w14:textId="77777777" w:rsidTr="00487FD1">
        <w:tc>
          <w:tcPr>
            <w:tcW w:w="2122" w:type="dxa"/>
            <w:tcBorders>
              <w:top w:val="single" w:sz="4" w:space="0" w:color="auto"/>
              <w:left w:val="single" w:sz="4" w:space="0" w:color="auto"/>
              <w:bottom w:val="single" w:sz="4" w:space="0" w:color="auto"/>
              <w:right w:val="single" w:sz="4" w:space="0" w:color="auto"/>
            </w:tcBorders>
            <w:hideMark/>
          </w:tcPr>
          <w:p w14:paraId="5227523B"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6959" w:type="dxa"/>
            <w:gridSpan w:val="13"/>
            <w:tcBorders>
              <w:top w:val="single" w:sz="4" w:space="0" w:color="auto"/>
              <w:left w:val="single" w:sz="4" w:space="0" w:color="auto"/>
              <w:bottom w:val="single" w:sz="4" w:space="0" w:color="auto"/>
              <w:right w:val="single" w:sz="4" w:space="0" w:color="auto"/>
            </w:tcBorders>
          </w:tcPr>
          <w:p w14:paraId="498A7BB9" w14:textId="4207A940" w:rsidR="009E21AC" w:rsidRPr="000F0299" w:rsidRDefault="00D341C9" w:rsidP="00322979">
            <w:pPr>
              <w:suppressAutoHyphens w:val="0"/>
              <w:autoSpaceDN/>
              <w:spacing w:before="0"/>
              <w:ind w:firstLine="0"/>
              <w:textAlignment w:val="auto"/>
              <w:rPr>
                <w:rFonts w:eastAsiaTheme="minorHAnsi"/>
                <w:color w:val="000000" w:themeColor="text1"/>
                <w:kern w:val="24"/>
                <w:sz w:val="20"/>
                <w:szCs w:val="20"/>
                <w:lang w:eastAsia="en-US" w:bidi="ar-SA"/>
              </w:rPr>
            </w:pPr>
            <w:r w:rsidRPr="000F0299">
              <w:rPr>
                <w:rFonts w:eastAsiaTheme="minorHAnsi"/>
                <w:b/>
                <w:bCs/>
                <w:color w:val="000000" w:themeColor="text1"/>
                <w:kern w:val="24"/>
                <w:sz w:val="20"/>
                <w:szCs w:val="20"/>
                <w:lang w:eastAsia="en-US" w:bidi="ar-SA"/>
              </w:rPr>
              <w:t>Meрa</w:t>
            </w:r>
            <w:r w:rsidR="009E21AC" w:rsidRPr="000F0299">
              <w:rPr>
                <w:rFonts w:eastAsiaTheme="minorHAnsi"/>
                <w:b/>
                <w:bCs/>
                <w:color w:val="000000" w:themeColor="text1"/>
                <w:kern w:val="24"/>
                <w:sz w:val="20"/>
                <w:szCs w:val="20"/>
                <w:lang w:eastAsia="en-US" w:bidi="ar-SA"/>
              </w:rPr>
              <w:t xml:space="preserve"> 2.1.3</w:t>
            </w:r>
            <w:r w:rsidR="009E21AC" w:rsidRPr="000F0299">
              <w:rPr>
                <w:rFonts w:eastAsiaTheme="minorHAnsi"/>
                <w:color w:val="000000" w:themeColor="text1"/>
                <w:kern w:val="24"/>
                <w:sz w:val="20"/>
                <w:szCs w:val="20"/>
                <w:lang w:eastAsia="en-US" w:bidi="ar-SA"/>
              </w:rPr>
              <w:t xml:space="preserve"> Унапређење поступка попуњавања положаја заснованог на заслугама и увођење у посао</w:t>
            </w:r>
          </w:p>
        </w:tc>
      </w:tr>
      <w:tr w:rsidR="00322979" w:rsidRPr="000F0299" w14:paraId="67110E52" w14:textId="77777777" w:rsidTr="00487FD1">
        <w:tc>
          <w:tcPr>
            <w:tcW w:w="2122" w:type="dxa"/>
            <w:tcBorders>
              <w:top w:val="single" w:sz="4" w:space="0" w:color="auto"/>
              <w:left w:val="single" w:sz="4" w:space="0" w:color="auto"/>
              <w:bottom w:val="single" w:sz="4" w:space="0" w:color="auto"/>
              <w:right w:val="single" w:sz="4" w:space="0" w:color="auto"/>
            </w:tcBorders>
            <w:hideMark/>
          </w:tcPr>
          <w:p w14:paraId="3D72802E" w14:textId="77777777" w:rsidR="00322979" w:rsidRPr="000F0299" w:rsidRDefault="00322979"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283" w:type="dxa"/>
            <w:gridSpan w:val="6"/>
            <w:tcBorders>
              <w:top w:val="single" w:sz="4" w:space="0" w:color="auto"/>
              <w:left w:val="single" w:sz="4" w:space="0" w:color="auto"/>
              <w:bottom w:val="single" w:sz="4" w:space="0" w:color="auto"/>
              <w:right w:val="single" w:sz="4" w:space="0" w:color="auto"/>
            </w:tcBorders>
          </w:tcPr>
          <w:p w14:paraId="3F540103" w14:textId="34EE6321" w:rsidR="00322979" w:rsidRPr="000F0299" w:rsidRDefault="00322979" w:rsidP="0032297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Квантитативни показатељ </w:t>
            </w:r>
          </w:p>
        </w:tc>
        <w:tc>
          <w:tcPr>
            <w:tcW w:w="3676" w:type="dxa"/>
            <w:gridSpan w:val="7"/>
            <w:tcBorders>
              <w:top w:val="single" w:sz="4" w:space="0" w:color="auto"/>
              <w:left w:val="single" w:sz="4" w:space="0" w:color="auto"/>
              <w:bottom w:val="single" w:sz="4" w:space="0" w:color="auto"/>
              <w:right w:val="single" w:sz="4" w:space="0" w:color="auto"/>
            </w:tcBorders>
          </w:tcPr>
          <w:p w14:paraId="25812910" w14:textId="74A3442D" w:rsidR="00322979" w:rsidRPr="000F0299" w:rsidRDefault="00322979" w:rsidP="00322979">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0"/>
                <w:sz w:val="20"/>
                <w:szCs w:val="20"/>
                <w:lang w:eastAsia="en-US" w:bidi="ar-SA"/>
              </w:rPr>
              <w:t>На нивоу излазног резултата</w:t>
            </w:r>
          </w:p>
        </w:tc>
      </w:tr>
      <w:tr w:rsidR="00322979" w:rsidRPr="000F0299" w14:paraId="0437B815" w14:textId="77777777" w:rsidTr="00487FD1">
        <w:tc>
          <w:tcPr>
            <w:tcW w:w="2122" w:type="dxa"/>
            <w:tcBorders>
              <w:top w:val="single" w:sz="4" w:space="0" w:color="auto"/>
              <w:left w:val="single" w:sz="4" w:space="0" w:color="auto"/>
              <w:bottom w:val="single" w:sz="4" w:space="0" w:color="auto"/>
              <w:right w:val="single" w:sz="4" w:space="0" w:color="auto"/>
            </w:tcBorders>
            <w:hideMark/>
          </w:tcPr>
          <w:p w14:paraId="145F52E2" w14:textId="77777777" w:rsidR="00322979" w:rsidRPr="000F0299" w:rsidRDefault="00322979"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283" w:type="dxa"/>
            <w:gridSpan w:val="6"/>
            <w:tcBorders>
              <w:top w:val="single" w:sz="4" w:space="0" w:color="auto"/>
              <w:left w:val="single" w:sz="4" w:space="0" w:color="auto"/>
              <w:bottom w:val="single" w:sz="4" w:space="0" w:color="auto"/>
              <w:right w:val="single" w:sz="4" w:space="0" w:color="auto"/>
            </w:tcBorders>
          </w:tcPr>
          <w:p w14:paraId="76A284E1" w14:textId="7A0F8FF2" w:rsidR="00322979" w:rsidRPr="000F0299" w:rsidRDefault="00322979" w:rsidP="0032297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Процентуални на скали од 0-100%</w:t>
            </w:r>
          </w:p>
        </w:tc>
        <w:tc>
          <w:tcPr>
            <w:tcW w:w="3676" w:type="dxa"/>
            <w:gridSpan w:val="7"/>
            <w:tcBorders>
              <w:top w:val="single" w:sz="4" w:space="0" w:color="auto"/>
              <w:left w:val="single" w:sz="4" w:space="0" w:color="auto"/>
              <w:bottom w:val="single" w:sz="4" w:space="0" w:color="auto"/>
              <w:right w:val="single" w:sz="4" w:space="0" w:color="auto"/>
            </w:tcBorders>
          </w:tcPr>
          <w:p w14:paraId="70F50E6F" w14:textId="391A21F0" w:rsidR="00322979" w:rsidRPr="000F0299" w:rsidRDefault="00322979" w:rsidP="00322979">
            <w:pPr>
              <w:suppressAutoHyphens w:val="0"/>
              <w:autoSpaceDN/>
              <w:spacing w:before="0"/>
              <w:ind w:firstLine="0"/>
              <w:textAlignment w:val="auto"/>
              <w:rPr>
                <w:rFonts w:eastAsiaTheme="minorHAnsi"/>
                <w:color w:val="000000" w:themeColor="text1"/>
                <w:kern w:val="0"/>
                <w:sz w:val="20"/>
                <w:szCs w:val="20"/>
                <w:lang w:eastAsia="en-GB" w:bidi="ar-SA"/>
              </w:rPr>
            </w:pPr>
            <w:r w:rsidRPr="000F0299">
              <w:rPr>
                <w:rFonts w:eastAsiaTheme="minorHAnsi"/>
                <w:color w:val="000000" w:themeColor="text1"/>
                <w:kern w:val="0"/>
                <w:sz w:val="20"/>
                <w:szCs w:val="20"/>
                <w:lang w:eastAsia="en-US" w:bidi="ar-SA"/>
              </w:rPr>
              <w:t>Повећана вредност показатеља пожељна</w:t>
            </w:r>
          </w:p>
        </w:tc>
      </w:tr>
      <w:tr w:rsidR="009E21AC" w:rsidRPr="000F0299" w14:paraId="37724AEB" w14:textId="77777777" w:rsidTr="00487FD1">
        <w:tc>
          <w:tcPr>
            <w:tcW w:w="2122" w:type="dxa"/>
            <w:tcBorders>
              <w:top w:val="single" w:sz="4" w:space="0" w:color="auto"/>
              <w:left w:val="single" w:sz="4" w:space="0" w:color="auto"/>
              <w:bottom w:val="single" w:sz="4" w:space="0" w:color="auto"/>
              <w:right w:val="single" w:sz="4" w:space="0" w:color="auto"/>
            </w:tcBorders>
            <w:hideMark/>
          </w:tcPr>
          <w:p w14:paraId="689DA590"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6959" w:type="dxa"/>
            <w:gridSpan w:val="13"/>
            <w:tcBorders>
              <w:top w:val="single" w:sz="4" w:space="0" w:color="auto"/>
              <w:left w:val="single" w:sz="4" w:space="0" w:color="auto"/>
              <w:bottom w:val="single" w:sz="4" w:space="0" w:color="auto"/>
              <w:right w:val="single" w:sz="4" w:space="0" w:color="auto"/>
            </w:tcBorders>
            <w:hideMark/>
          </w:tcPr>
          <w:p w14:paraId="02E57E67" w14:textId="77777777" w:rsidR="009E21AC" w:rsidRPr="000F0299" w:rsidRDefault="009E21AC" w:rsidP="00322979">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Подаци ће бити прикупљани  на националном нивоу.</w:t>
            </w:r>
          </w:p>
          <w:p w14:paraId="54F789E7" w14:textId="4CA61094" w:rsidR="009E21AC" w:rsidRPr="000F0299" w:rsidRDefault="009E21AC" w:rsidP="00322979">
            <w:pPr>
              <w:suppressAutoHyphens w:val="0"/>
              <w:autoSpaceDN/>
              <w:spacing w:before="0"/>
              <w:ind w:firstLine="0"/>
              <w:textAlignment w:val="auto"/>
              <w:rPr>
                <w:rFonts w:eastAsiaTheme="minorHAnsi"/>
                <w:color w:val="000000" w:themeColor="text1"/>
                <w:kern w:val="0"/>
                <w:sz w:val="20"/>
                <w:szCs w:val="20"/>
                <w:lang w:eastAsia="en-GB" w:bidi="ar-SA"/>
              </w:rPr>
            </w:pPr>
            <w:r w:rsidRPr="000F0299">
              <w:rPr>
                <w:rFonts w:eastAsiaTheme="minorHAnsi"/>
                <w:color w:val="000000" w:themeColor="text1"/>
                <w:kern w:val="0"/>
                <w:sz w:val="20"/>
                <w:szCs w:val="20"/>
                <w:lang w:eastAsia="en-GB" w:bidi="ar-SA"/>
              </w:rPr>
              <w:t>Извори:</w:t>
            </w:r>
            <w:r w:rsidR="00322979" w:rsidRPr="000F0299">
              <w:rPr>
                <w:rFonts w:eastAsiaTheme="minorHAnsi"/>
                <w:color w:val="000000" w:themeColor="text1"/>
                <w:kern w:val="0"/>
                <w:sz w:val="20"/>
                <w:szCs w:val="20"/>
                <w:lang w:eastAsia="en-GB" w:bidi="ar-SA"/>
              </w:rPr>
              <w:t xml:space="preserve"> </w:t>
            </w:r>
            <w:r w:rsidRPr="000F0299">
              <w:rPr>
                <w:rFonts w:eastAsiaTheme="minorHAnsi"/>
                <w:color w:val="000000" w:themeColor="text1"/>
                <w:kern w:val="0"/>
                <w:sz w:val="20"/>
                <w:szCs w:val="20"/>
                <w:lang w:eastAsia="en-GB" w:bidi="ar-SA"/>
              </w:rPr>
              <w:t>Извештај СУК</w:t>
            </w:r>
          </w:p>
        </w:tc>
      </w:tr>
      <w:tr w:rsidR="009E21AC" w:rsidRPr="000F0299" w14:paraId="6908F7D2" w14:textId="77777777" w:rsidTr="00487FD1">
        <w:tc>
          <w:tcPr>
            <w:tcW w:w="2122" w:type="dxa"/>
            <w:tcBorders>
              <w:top w:val="single" w:sz="4" w:space="0" w:color="auto"/>
              <w:left w:val="single" w:sz="4" w:space="0" w:color="auto"/>
              <w:bottom w:val="single" w:sz="4" w:space="0" w:color="auto"/>
              <w:right w:val="single" w:sz="4" w:space="0" w:color="auto"/>
            </w:tcBorders>
            <w:hideMark/>
          </w:tcPr>
          <w:p w14:paraId="36B0F7B5"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носиоца прикупљања података</w:t>
            </w:r>
          </w:p>
        </w:tc>
        <w:tc>
          <w:tcPr>
            <w:tcW w:w="6959" w:type="dxa"/>
            <w:gridSpan w:val="13"/>
            <w:tcBorders>
              <w:top w:val="single" w:sz="4" w:space="0" w:color="auto"/>
              <w:left w:val="single" w:sz="4" w:space="0" w:color="auto"/>
              <w:bottom w:val="single" w:sz="4" w:space="0" w:color="auto"/>
              <w:right w:val="single" w:sz="4" w:space="0" w:color="auto"/>
            </w:tcBorders>
          </w:tcPr>
          <w:p w14:paraId="461D31B6" w14:textId="19FA0E4B" w:rsidR="009E21AC" w:rsidRPr="000F0299" w:rsidRDefault="009E21AC" w:rsidP="00AE6044">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 xml:space="preserve">Служба за управљање кадровима, </w:t>
            </w:r>
            <w:r w:rsidR="00AE6044">
              <w:rPr>
                <w:rFonts w:eastAsiaTheme="minorHAnsi"/>
                <w:color w:val="000000" w:themeColor="text1"/>
                <w:kern w:val="24"/>
                <w:sz w:val="20"/>
                <w:szCs w:val="20"/>
                <w:lang w:eastAsia="en-GB" w:bidi="ar-SA"/>
              </w:rPr>
              <w:t>Одсек за подршку ВСС</w:t>
            </w:r>
          </w:p>
        </w:tc>
      </w:tr>
      <w:tr w:rsidR="009E21AC" w:rsidRPr="000F0299" w14:paraId="04A1B1CA" w14:textId="77777777" w:rsidTr="00487FD1">
        <w:tc>
          <w:tcPr>
            <w:tcW w:w="2122" w:type="dxa"/>
            <w:tcBorders>
              <w:top w:val="single" w:sz="4" w:space="0" w:color="auto"/>
              <w:left w:val="single" w:sz="4" w:space="0" w:color="auto"/>
              <w:bottom w:val="single" w:sz="4" w:space="0" w:color="auto"/>
              <w:right w:val="single" w:sz="4" w:space="0" w:color="auto"/>
            </w:tcBorders>
            <w:hideMark/>
          </w:tcPr>
          <w:p w14:paraId="181811ED"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6959" w:type="dxa"/>
            <w:gridSpan w:val="13"/>
            <w:tcBorders>
              <w:top w:val="single" w:sz="4" w:space="0" w:color="auto"/>
              <w:left w:val="single" w:sz="4" w:space="0" w:color="auto"/>
              <w:bottom w:val="single" w:sz="4" w:space="0" w:color="auto"/>
              <w:right w:val="single" w:sz="4" w:space="0" w:color="auto"/>
            </w:tcBorders>
            <w:hideMark/>
          </w:tcPr>
          <w:p w14:paraId="6E747461" w14:textId="77777777" w:rsidR="009E21AC" w:rsidRPr="000F0299" w:rsidRDefault="009E21AC" w:rsidP="00322979">
            <w:pPr>
              <w:suppressAutoHyphens w:val="0"/>
              <w:autoSpaceDN/>
              <w:spacing w:before="0"/>
              <w:ind w:firstLine="0"/>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Једном годишње, у првом кварталу текуће за претходну календарску годину</w:t>
            </w:r>
          </w:p>
        </w:tc>
      </w:tr>
      <w:tr w:rsidR="009E21AC" w:rsidRPr="000F0299" w14:paraId="712D4450" w14:textId="77777777" w:rsidTr="00487FD1">
        <w:tc>
          <w:tcPr>
            <w:tcW w:w="2122" w:type="dxa"/>
            <w:tcBorders>
              <w:top w:val="single" w:sz="4" w:space="0" w:color="auto"/>
              <w:left w:val="single" w:sz="4" w:space="0" w:color="auto"/>
              <w:bottom w:val="single" w:sz="4" w:space="0" w:color="auto"/>
              <w:right w:val="single" w:sz="4" w:space="0" w:color="auto"/>
            </w:tcBorders>
            <w:hideMark/>
          </w:tcPr>
          <w:p w14:paraId="4A2E524C"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6959" w:type="dxa"/>
            <w:gridSpan w:val="13"/>
            <w:tcBorders>
              <w:top w:val="single" w:sz="4" w:space="0" w:color="auto"/>
              <w:left w:val="single" w:sz="4" w:space="0" w:color="auto"/>
              <w:bottom w:val="single" w:sz="4" w:space="0" w:color="auto"/>
              <w:right w:val="single" w:sz="4" w:space="0" w:color="auto"/>
            </w:tcBorders>
          </w:tcPr>
          <w:p w14:paraId="6E180520" w14:textId="5B985208" w:rsidR="009E21AC" w:rsidRPr="000F0299" w:rsidRDefault="009E21AC" w:rsidP="00322979">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 xml:space="preserve">При мерењу овог показатеља, биће обухваћени органи државне управе и </w:t>
            </w:r>
            <w:r w:rsidR="00D341C9" w:rsidRPr="000F0299">
              <w:rPr>
                <w:rFonts w:eastAsiaTheme="minorHAnsi"/>
                <w:color w:val="000000" w:themeColor="text1"/>
                <w:kern w:val="24"/>
                <w:sz w:val="20"/>
                <w:szCs w:val="20"/>
                <w:lang w:eastAsia="en-GB" w:bidi="ar-SA"/>
              </w:rPr>
              <w:t>службе</w:t>
            </w:r>
            <w:r w:rsidRPr="000F0299">
              <w:rPr>
                <w:rFonts w:eastAsiaTheme="minorHAnsi"/>
                <w:color w:val="000000" w:themeColor="text1"/>
                <w:kern w:val="24"/>
                <w:sz w:val="20"/>
                <w:szCs w:val="20"/>
                <w:lang w:eastAsia="en-GB" w:bidi="ar-SA"/>
              </w:rPr>
              <w:t xml:space="preserve"> Владе.</w:t>
            </w:r>
          </w:p>
          <w:p w14:paraId="2A897C76" w14:textId="77777777" w:rsidR="009E21AC" w:rsidRPr="000F0299" w:rsidRDefault="009E21AC" w:rsidP="00322979">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Циљ је да се утврди проценат државних службеника који су распоређени на радно место положаја путем интерног или јавног конкурса у складу са новоусвојеним поступком селекције базиране на провери компетенција.</w:t>
            </w:r>
          </w:p>
          <w:p w14:paraId="77787AA1" w14:textId="77777777" w:rsidR="009E21AC" w:rsidRPr="000F0299" w:rsidRDefault="009E21AC" w:rsidP="00322979">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Од укупног броја систематизованих радних места положаја у органима државне управе и служби Владе одузима се број непопуњених радних места положаја; потом се број постављења на положај дели са укупним бројем попуњених радних места положаја и множи са 100 како би се добио проценат попуњених радних места положаја путем конкурса.</w:t>
            </w:r>
          </w:p>
          <w:p w14:paraId="3D9DFE30" w14:textId="084010B2" w:rsidR="009E21AC" w:rsidRPr="000F0299" w:rsidRDefault="009E21AC" w:rsidP="00322979">
            <w:pPr>
              <w:suppressAutoHyphens w:val="0"/>
              <w:autoSpaceDN/>
              <w:spacing w:before="0"/>
              <w:ind w:firstLine="0"/>
              <w:textAlignment w:val="auto"/>
              <w:rPr>
                <w:rFonts w:eastAsiaTheme="minorHAnsi"/>
                <w:bCs/>
                <w:iCs/>
                <w:kern w:val="0"/>
                <w:sz w:val="20"/>
                <w:szCs w:val="20"/>
                <w:lang w:eastAsia="en-GB" w:bidi="ar-SA"/>
              </w:rPr>
            </w:pPr>
            <w:r w:rsidRPr="000F0299">
              <w:rPr>
                <w:rFonts w:eastAsiaTheme="minorHAnsi"/>
                <w:bCs/>
                <w:color w:val="000000" w:themeColor="text1"/>
                <w:kern w:val="24"/>
                <w:sz w:val="20"/>
                <w:szCs w:val="20"/>
                <w:lang w:eastAsia="en-GB" w:bidi="ar-SA"/>
              </w:rPr>
              <w:t xml:space="preserve">Формула прорачуна – </w:t>
            </w:r>
            <w:r w:rsidRPr="000F0299">
              <w:rPr>
                <w:rFonts w:eastAsiaTheme="minorHAnsi"/>
                <w:bCs/>
                <w:iCs/>
                <w:kern w:val="0"/>
                <w:sz w:val="20"/>
                <w:szCs w:val="20"/>
                <w:lang w:eastAsia="en-GB" w:bidi="ar-SA"/>
              </w:rPr>
              <w:t>Укупан број положаја попуњених путем конкурса/укупан број попуњених радних места-положаја*100</w:t>
            </w:r>
          </w:p>
        </w:tc>
      </w:tr>
      <w:tr w:rsidR="009E21AC" w:rsidRPr="000F0299" w14:paraId="35B9DB04" w14:textId="77777777" w:rsidTr="00487FD1">
        <w:tc>
          <w:tcPr>
            <w:tcW w:w="2122" w:type="dxa"/>
            <w:vMerge w:val="restart"/>
            <w:tcBorders>
              <w:top w:val="single" w:sz="4" w:space="0" w:color="auto"/>
              <w:left w:val="single" w:sz="4" w:space="0" w:color="auto"/>
              <w:bottom w:val="single" w:sz="4" w:space="0" w:color="auto"/>
              <w:right w:val="single" w:sz="4" w:space="0" w:color="auto"/>
            </w:tcBorders>
            <w:hideMark/>
          </w:tcPr>
          <w:p w14:paraId="70A298D6"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770" w:type="dxa"/>
            <w:gridSpan w:val="11"/>
            <w:tcBorders>
              <w:top w:val="single" w:sz="4" w:space="0" w:color="auto"/>
              <w:left w:val="single" w:sz="4" w:space="0" w:color="auto"/>
              <w:bottom w:val="single" w:sz="4" w:space="0" w:color="auto"/>
              <w:right w:val="single" w:sz="4" w:space="0" w:color="auto"/>
            </w:tcBorders>
            <w:hideMark/>
          </w:tcPr>
          <w:p w14:paraId="28CE399D" w14:textId="77777777" w:rsidR="009E21AC" w:rsidRPr="000F0299" w:rsidRDefault="009E21AC" w:rsidP="0032297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Тренд у прошлости</w:t>
            </w:r>
          </w:p>
        </w:tc>
        <w:tc>
          <w:tcPr>
            <w:tcW w:w="1189" w:type="dxa"/>
            <w:gridSpan w:val="2"/>
            <w:tcBorders>
              <w:top w:val="single" w:sz="4" w:space="0" w:color="auto"/>
              <w:left w:val="single" w:sz="4" w:space="0" w:color="auto"/>
              <w:bottom w:val="single" w:sz="4" w:space="0" w:color="auto"/>
              <w:right w:val="single" w:sz="4" w:space="0" w:color="auto"/>
            </w:tcBorders>
          </w:tcPr>
          <w:p w14:paraId="29FEF997" w14:textId="17A79E9E" w:rsidR="009E21AC" w:rsidRPr="000F0299" w:rsidRDefault="009E21AC" w:rsidP="0032297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Полазна вредност</w:t>
            </w:r>
          </w:p>
        </w:tc>
      </w:tr>
      <w:tr w:rsidR="009E21AC" w:rsidRPr="000F0299" w14:paraId="2AD9C5DF" w14:textId="77777777" w:rsidTr="00487FD1">
        <w:tc>
          <w:tcPr>
            <w:tcW w:w="2122" w:type="dxa"/>
            <w:vMerge/>
            <w:tcBorders>
              <w:top w:val="single" w:sz="4" w:space="0" w:color="auto"/>
              <w:left w:val="single" w:sz="4" w:space="0" w:color="auto"/>
              <w:bottom w:val="single" w:sz="4" w:space="0" w:color="auto"/>
              <w:right w:val="single" w:sz="4" w:space="0" w:color="auto"/>
            </w:tcBorders>
            <w:vAlign w:val="center"/>
            <w:hideMark/>
          </w:tcPr>
          <w:p w14:paraId="3613F508" w14:textId="77777777" w:rsidR="009E21AC" w:rsidRPr="000F0299" w:rsidRDefault="009E21AC" w:rsidP="00322979">
            <w:pPr>
              <w:suppressAutoHyphens w:val="0"/>
              <w:autoSpaceDN/>
              <w:spacing w:before="0"/>
              <w:ind w:firstLine="0"/>
              <w:jc w:val="left"/>
              <w:textAlignment w:val="auto"/>
              <w:rPr>
                <w:rFonts w:eastAsiaTheme="minorHAnsi"/>
                <w:b/>
                <w:bCs/>
                <w:kern w:val="0"/>
                <w:sz w:val="20"/>
                <w:szCs w:val="20"/>
                <w:lang w:eastAsia="en-GB" w:bidi="ar-SA"/>
              </w:rPr>
            </w:pPr>
          </w:p>
        </w:tc>
        <w:tc>
          <w:tcPr>
            <w:tcW w:w="1586" w:type="dxa"/>
            <w:gridSpan w:val="3"/>
            <w:tcBorders>
              <w:top w:val="single" w:sz="4" w:space="0" w:color="auto"/>
              <w:left w:val="single" w:sz="4" w:space="0" w:color="auto"/>
              <w:bottom w:val="single" w:sz="4" w:space="0" w:color="auto"/>
              <w:right w:val="single" w:sz="4" w:space="0" w:color="auto"/>
            </w:tcBorders>
            <w:hideMark/>
          </w:tcPr>
          <w:p w14:paraId="36ABFFCF"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2016</w:t>
            </w:r>
          </w:p>
        </w:tc>
        <w:tc>
          <w:tcPr>
            <w:tcW w:w="2102" w:type="dxa"/>
            <w:gridSpan w:val="4"/>
            <w:tcBorders>
              <w:top w:val="single" w:sz="4" w:space="0" w:color="auto"/>
              <w:left w:val="single" w:sz="4" w:space="0" w:color="auto"/>
              <w:bottom w:val="single" w:sz="4" w:space="0" w:color="auto"/>
              <w:right w:val="single" w:sz="4" w:space="0" w:color="auto"/>
            </w:tcBorders>
            <w:hideMark/>
          </w:tcPr>
          <w:p w14:paraId="7F81821C"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2017</w:t>
            </w:r>
          </w:p>
        </w:tc>
        <w:tc>
          <w:tcPr>
            <w:tcW w:w="2082" w:type="dxa"/>
            <w:gridSpan w:val="4"/>
            <w:tcBorders>
              <w:top w:val="single" w:sz="4" w:space="0" w:color="auto"/>
              <w:left w:val="single" w:sz="4" w:space="0" w:color="auto"/>
              <w:bottom w:val="single" w:sz="4" w:space="0" w:color="auto"/>
              <w:right w:val="single" w:sz="4" w:space="0" w:color="auto"/>
            </w:tcBorders>
            <w:hideMark/>
          </w:tcPr>
          <w:p w14:paraId="26696B2D"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2018</w:t>
            </w:r>
          </w:p>
        </w:tc>
        <w:tc>
          <w:tcPr>
            <w:tcW w:w="1189" w:type="dxa"/>
            <w:gridSpan w:val="2"/>
            <w:tcBorders>
              <w:top w:val="single" w:sz="4" w:space="0" w:color="auto"/>
              <w:left w:val="single" w:sz="4" w:space="0" w:color="auto"/>
              <w:bottom w:val="single" w:sz="4" w:space="0" w:color="auto"/>
              <w:right w:val="single" w:sz="4" w:space="0" w:color="auto"/>
            </w:tcBorders>
            <w:hideMark/>
          </w:tcPr>
          <w:p w14:paraId="354172B1" w14:textId="01AB63F9"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2019</w:t>
            </w:r>
          </w:p>
        </w:tc>
      </w:tr>
      <w:tr w:rsidR="009E21AC" w:rsidRPr="000F0299" w14:paraId="1C6A3D09" w14:textId="77777777" w:rsidTr="00487FD1">
        <w:tc>
          <w:tcPr>
            <w:tcW w:w="2122" w:type="dxa"/>
            <w:vMerge/>
            <w:tcBorders>
              <w:top w:val="single" w:sz="4" w:space="0" w:color="auto"/>
              <w:left w:val="single" w:sz="4" w:space="0" w:color="auto"/>
              <w:bottom w:val="single" w:sz="4" w:space="0" w:color="auto"/>
              <w:right w:val="single" w:sz="4" w:space="0" w:color="auto"/>
            </w:tcBorders>
            <w:vAlign w:val="center"/>
            <w:hideMark/>
          </w:tcPr>
          <w:p w14:paraId="7F88C01E" w14:textId="77777777" w:rsidR="009E21AC" w:rsidRPr="000F0299" w:rsidRDefault="009E21AC" w:rsidP="00322979">
            <w:pPr>
              <w:suppressAutoHyphens w:val="0"/>
              <w:autoSpaceDN/>
              <w:spacing w:before="0"/>
              <w:ind w:firstLine="0"/>
              <w:jc w:val="left"/>
              <w:textAlignment w:val="auto"/>
              <w:rPr>
                <w:rFonts w:eastAsiaTheme="minorHAnsi"/>
                <w:b/>
                <w:bCs/>
                <w:kern w:val="0"/>
                <w:sz w:val="20"/>
                <w:szCs w:val="20"/>
                <w:lang w:eastAsia="en-GB" w:bidi="ar-SA"/>
              </w:rPr>
            </w:pPr>
          </w:p>
        </w:tc>
        <w:tc>
          <w:tcPr>
            <w:tcW w:w="1586" w:type="dxa"/>
            <w:gridSpan w:val="3"/>
            <w:tcBorders>
              <w:top w:val="single" w:sz="4" w:space="0" w:color="auto"/>
              <w:left w:val="single" w:sz="4" w:space="0" w:color="auto"/>
              <w:bottom w:val="single" w:sz="4" w:space="0" w:color="auto"/>
              <w:right w:val="single" w:sz="4" w:space="0" w:color="auto"/>
            </w:tcBorders>
            <w:hideMark/>
          </w:tcPr>
          <w:p w14:paraId="3C3F435F"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н/а</w:t>
            </w:r>
          </w:p>
        </w:tc>
        <w:tc>
          <w:tcPr>
            <w:tcW w:w="2102" w:type="dxa"/>
            <w:gridSpan w:val="4"/>
            <w:tcBorders>
              <w:top w:val="single" w:sz="4" w:space="0" w:color="auto"/>
              <w:left w:val="single" w:sz="4" w:space="0" w:color="auto"/>
              <w:bottom w:val="single" w:sz="4" w:space="0" w:color="auto"/>
              <w:right w:val="single" w:sz="4" w:space="0" w:color="auto"/>
            </w:tcBorders>
            <w:hideMark/>
          </w:tcPr>
          <w:p w14:paraId="620872BE"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31%</w:t>
            </w:r>
          </w:p>
        </w:tc>
        <w:tc>
          <w:tcPr>
            <w:tcW w:w="2082" w:type="dxa"/>
            <w:gridSpan w:val="4"/>
            <w:tcBorders>
              <w:top w:val="single" w:sz="4" w:space="0" w:color="auto"/>
              <w:left w:val="single" w:sz="4" w:space="0" w:color="auto"/>
              <w:bottom w:val="single" w:sz="4" w:space="0" w:color="auto"/>
              <w:right w:val="single" w:sz="4" w:space="0" w:color="auto"/>
            </w:tcBorders>
            <w:hideMark/>
          </w:tcPr>
          <w:p w14:paraId="7926DE0D" w14:textId="2726F23E"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33%</w:t>
            </w:r>
          </w:p>
        </w:tc>
        <w:tc>
          <w:tcPr>
            <w:tcW w:w="1189" w:type="dxa"/>
            <w:gridSpan w:val="2"/>
            <w:tcBorders>
              <w:top w:val="single" w:sz="4" w:space="0" w:color="auto"/>
              <w:left w:val="single" w:sz="4" w:space="0" w:color="auto"/>
              <w:bottom w:val="single" w:sz="4" w:space="0" w:color="auto"/>
              <w:right w:val="single" w:sz="4" w:space="0" w:color="auto"/>
            </w:tcBorders>
            <w:hideMark/>
          </w:tcPr>
          <w:p w14:paraId="6321A2AA" w14:textId="77777777" w:rsidR="009E21AC" w:rsidRPr="000F0299" w:rsidRDefault="009E21AC" w:rsidP="00A8707F">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37%</w:t>
            </w:r>
          </w:p>
        </w:tc>
      </w:tr>
      <w:tr w:rsidR="009E21AC" w:rsidRPr="000F0299" w14:paraId="7FD66F44" w14:textId="77777777" w:rsidTr="00487FD1">
        <w:tc>
          <w:tcPr>
            <w:tcW w:w="2122" w:type="dxa"/>
            <w:vMerge w:val="restart"/>
            <w:tcBorders>
              <w:top w:val="single" w:sz="4" w:space="0" w:color="auto"/>
              <w:left w:val="single" w:sz="4" w:space="0" w:color="auto"/>
              <w:bottom w:val="single" w:sz="4" w:space="0" w:color="auto"/>
              <w:right w:val="single" w:sz="4" w:space="0" w:color="auto"/>
            </w:tcBorders>
            <w:hideMark/>
          </w:tcPr>
          <w:p w14:paraId="32B43D9D"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342" w:type="dxa"/>
            <w:tcBorders>
              <w:top w:val="single" w:sz="4" w:space="0" w:color="auto"/>
              <w:left w:val="single" w:sz="4" w:space="0" w:color="auto"/>
              <w:bottom w:val="single" w:sz="4" w:space="0" w:color="auto"/>
              <w:right w:val="single" w:sz="4" w:space="0" w:color="auto"/>
            </w:tcBorders>
            <w:vAlign w:val="center"/>
            <w:hideMark/>
          </w:tcPr>
          <w:p w14:paraId="47AC847B"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2021</w:t>
            </w:r>
          </w:p>
        </w:tc>
        <w:tc>
          <w:tcPr>
            <w:tcW w:w="735" w:type="dxa"/>
            <w:tcBorders>
              <w:top w:val="single" w:sz="4" w:space="0" w:color="auto"/>
              <w:left w:val="single" w:sz="4" w:space="0" w:color="auto"/>
              <w:bottom w:val="single" w:sz="4" w:space="0" w:color="auto"/>
              <w:right w:val="single" w:sz="4" w:space="0" w:color="auto"/>
            </w:tcBorders>
            <w:vAlign w:val="center"/>
            <w:hideMark/>
          </w:tcPr>
          <w:p w14:paraId="4063315C"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2022</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14:paraId="3869659F"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2023</w:t>
            </w:r>
          </w:p>
        </w:tc>
        <w:tc>
          <w:tcPr>
            <w:tcW w:w="735" w:type="dxa"/>
            <w:tcBorders>
              <w:top w:val="single" w:sz="4" w:space="0" w:color="auto"/>
              <w:left w:val="single" w:sz="4" w:space="0" w:color="auto"/>
              <w:bottom w:val="single" w:sz="4" w:space="0" w:color="auto"/>
              <w:right w:val="single" w:sz="4" w:space="0" w:color="auto"/>
            </w:tcBorders>
            <w:vAlign w:val="center"/>
            <w:hideMark/>
          </w:tcPr>
          <w:p w14:paraId="3E6C5E60"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2024</w:t>
            </w:r>
          </w:p>
        </w:tc>
        <w:tc>
          <w:tcPr>
            <w:tcW w:w="736" w:type="dxa"/>
            <w:tcBorders>
              <w:top w:val="single" w:sz="4" w:space="0" w:color="auto"/>
              <w:left w:val="single" w:sz="4" w:space="0" w:color="auto"/>
              <w:bottom w:val="single" w:sz="4" w:space="0" w:color="auto"/>
              <w:right w:val="single" w:sz="4" w:space="0" w:color="auto"/>
            </w:tcBorders>
            <w:vAlign w:val="center"/>
            <w:hideMark/>
          </w:tcPr>
          <w:p w14:paraId="5E6D6C01"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2025</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14:paraId="26D5481E"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2026</w:t>
            </w:r>
          </w:p>
        </w:tc>
        <w:tc>
          <w:tcPr>
            <w:tcW w:w="735" w:type="dxa"/>
            <w:tcBorders>
              <w:top w:val="single" w:sz="4" w:space="0" w:color="auto"/>
              <w:left w:val="single" w:sz="4" w:space="0" w:color="auto"/>
              <w:bottom w:val="single" w:sz="4" w:space="0" w:color="auto"/>
              <w:right w:val="single" w:sz="4" w:space="0" w:color="auto"/>
            </w:tcBorders>
            <w:vAlign w:val="center"/>
            <w:hideMark/>
          </w:tcPr>
          <w:p w14:paraId="5F3C7400"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2027</w:t>
            </w:r>
          </w:p>
        </w:tc>
        <w:tc>
          <w:tcPr>
            <w:tcW w:w="735" w:type="dxa"/>
            <w:tcBorders>
              <w:top w:val="single" w:sz="4" w:space="0" w:color="auto"/>
              <w:left w:val="single" w:sz="4" w:space="0" w:color="auto"/>
              <w:bottom w:val="single" w:sz="4" w:space="0" w:color="auto"/>
              <w:right w:val="single" w:sz="4" w:space="0" w:color="auto"/>
            </w:tcBorders>
            <w:vAlign w:val="center"/>
            <w:hideMark/>
          </w:tcPr>
          <w:p w14:paraId="2D3AFA52"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2028</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14:paraId="4AA1D8DB"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2029</w:t>
            </w:r>
          </w:p>
        </w:tc>
        <w:tc>
          <w:tcPr>
            <w:tcW w:w="736" w:type="dxa"/>
            <w:tcBorders>
              <w:top w:val="single" w:sz="4" w:space="0" w:color="auto"/>
              <w:left w:val="single" w:sz="4" w:space="0" w:color="auto"/>
              <w:bottom w:val="single" w:sz="4" w:space="0" w:color="auto"/>
              <w:right w:val="single" w:sz="4" w:space="0" w:color="auto"/>
            </w:tcBorders>
            <w:vAlign w:val="center"/>
            <w:hideMark/>
          </w:tcPr>
          <w:p w14:paraId="3E0924D2"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2030</w:t>
            </w:r>
          </w:p>
        </w:tc>
      </w:tr>
      <w:tr w:rsidR="009E21AC" w:rsidRPr="000F0299" w14:paraId="7BA48B38" w14:textId="77777777" w:rsidTr="00487FD1">
        <w:tc>
          <w:tcPr>
            <w:tcW w:w="2122" w:type="dxa"/>
            <w:vMerge/>
            <w:tcBorders>
              <w:top w:val="single" w:sz="4" w:space="0" w:color="auto"/>
              <w:left w:val="single" w:sz="4" w:space="0" w:color="auto"/>
              <w:bottom w:val="single" w:sz="4" w:space="0" w:color="auto"/>
              <w:right w:val="single" w:sz="4" w:space="0" w:color="auto"/>
            </w:tcBorders>
            <w:vAlign w:val="center"/>
            <w:hideMark/>
          </w:tcPr>
          <w:p w14:paraId="607781E1" w14:textId="77777777" w:rsidR="009E21AC" w:rsidRPr="000F0299" w:rsidRDefault="009E21AC" w:rsidP="00322979">
            <w:pPr>
              <w:suppressAutoHyphens w:val="0"/>
              <w:autoSpaceDN/>
              <w:spacing w:before="0"/>
              <w:ind w:firstLine="0"/>
              <w:jc w:val="left"/>
              <w:textAlignment w:val="auto"/>
              <w:rPr>
                <w:rFonts w:eastAsiaTheme="minorHAnsi"/>
                <w:b/>
                <w:bCs/>
                <w:kern w:val="0"/>
                <w:sz w:val="20"/>
                <w:szCs w:val="20"/>
                <w:lang w:eastAsia="en-US" w:bidi="ar-SA"/>
              </w:rPr>
            </w:pPr>
          </w:p>
        </w:tc>
        <w:tc>
          <w:tcPr>
            <w:tcW w:w="342" w:type="dxa"/>
            <w:tcBorders>
              <w:top w:val="single" w:sz="4" w:space="0" w:color="auto"/>
              <w:left w:val="single" w:sz="4" w:space="0" w:color="auto"/>
              <w:bottom w:val="single" w:sz="4" w:space="0" w:color="auto"/>
              <w:right w:val="single" w:sz="4" w:space="0" w:color="auto"/>
            </w:tcBorders>
            <w:hideMark/>
          </w:tcPr>
          <w:p w14:paraId="63BE9071"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&gt;40%</w:t>
            </w:r>
          </w:p>
        </w:tc>
        <w:tc>
          <w:tcPr>
            <w:tcW w:w="735" w:type="dxa"/>
            <w:tcBorders>
              <w:top w:val="single" w:sz="4" w:space="0" w:color="auto"/>
              <w:left w:val="single" w:sz="4" w:space="0" w:color="auto"/>
              <w:bottom w:val="single" w:sz="4" w:space="0" w:color="auto"/>
              <w:right w:val="single" w:sz="4" w:space="0" w:color="auto"/>
            </w:tcBorders>
            <w:hideMark/>
          </w:tcPr>
          <w:p w14:paraId="20B83AFC"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&gt;50%</w:t>
            </w:r>
          </w:p>
        </w:tc>
        <w:tc>
          <w:tcPr>
            <w:tcW w:w="735" w:type="dxa"/>
            <w:gridSpan w:val="2"/>
            <w:tcBorders>
              <w:top w:val="single" w:sz="4" w:space="0" w:color="auto"/>
              <w:left w:val="single" w:sz="4" w:space="0" w:color="auto"/>
              <w:bottom w:val="single" w:sz="4" w:space="0" w:color="auto"/>
              <w:right w:val="single" w:sz="4" w:space="0" w:color="auto"/>
            </w:tcBorders>
            <w:hideMark/>
          </w:tcPr>
          <w:p w14:paraId="56BB99A8"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&gt;60%</w:t>
            </w:r>
          </w:p>
        </w:tc>
        <w:tc>
          <w:tcPr>
            <w:tcW w:w="735" w:type="dxa"/>
            <w:tcBorders>
              <w:top w:val="single" w:sz="4" w:space="0" w:color="auto"/>
              <w:left w:val="single" w:sz="4" w:space="0" w:color="auto"/>
              <w:bottom w:val="single" w:sz="4" w:space="0" w:color="auto"/>
              <w:right w:val="single" w:sz="4" w:space="0" w:color="auto"/>
            </w:tcBorders>
            <w:hideMark/>
          </w:tcPr>
          <w:p w14:paraId="7602A023"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&gt;70%</w:t>
            </w:r>
          </w:p>
        </w:tc>
        <w:tc>
          <w:tcPr>
            <w:tcW w:w="736" w:type="dxa"/>
            <w:tcBorders>
              <w:top w:val="single" w:sz="4" w:space="0" w:color="auto"/>
              <w:left w:val="single" w:sz="4" w:space="0" w:color="auto"/>
              <w:bottom w:val="single" w:sz="4" w:space="0" w:color="auto"/>
              <w:right w:val="single" w:sz="4" w:space="0" w:color="auto"/>
            </w:tcBorders>
            <w:hideMark/>
          </w:tcPr>
          <w:p w14:paraId="5DC6644F"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&gt;80%</w:t>
            </w:r>
          </w:p>
        </w:tc>
        <w:tc>
          <w:tcPr>
            <w:tcW w:w="735" w:type="dxa"/>
            <w:gridSpan w:val="2"/>
            <w:tcBorders>
              <w:top w:val="single" w:sz="4" w:space="0" w:color="auto"/>
              <w:left w:val="single" w:sz="4" w:space="0" w:color="auto"/>
              <w:bottom w:val="single" w:sz="4" w:space="0" w:color="auto"/>
              <w:right w:val="single" w:sz="4" w:space="0" w:color="auto"/>
            </w:tcBorders>
            <w:hideMark/>
          </w:tcPr>
          <w:p w14:paraId="1F0325CF"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&gt;85%</w:t>
            </w:r>
          </w:p>
        </w:tc>
        <w:tc>
          <w:tcPr>
            <w:tcW w:w="735" w:type="dxa"/>
            <w:tcBorders>
              <w:top w:val="single" w:sz="4" w:space="0" w:color="auto"/>
              <w:left w:val="single" w:sz="4" w:space="0" w:color="auto"/>
              <w:bottom w:val="single" w:sz="4" w:space="0" w:color="auto"/>
              <w:right w:val="single" w:sz="4" w:space="0" w:color="auto"/>
            </w:tcBorders>
            <w:hideMark/>
          </w:tcPr>
          <w:p w14:paraId="56CE3A62"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&gt;85%</w:t>
            </w:r>
          </w:p>
        </w:tc>
        <w:tc>
          <w:tcPr>
            <w:tcW w:w="735" w:type="dxa"/>
            <w:tcBorders>
              <w:top w:val="single" w:sz="4" w:space="0" w:color="auto"/>
              <w:left w:val="single" w:sz="4" w:space="0" w:color="auto"/>
              <w:bottom w:val="single" w:sz="4" w:space="0" w:color="auto"/>
              <w:right w:val="single" w:sz="4" w:space="0" w:color="auto"/>
            </w:tcBorders>
            <w:hideMark/>
          </w:tcPr>
          <w:p w14:paraId="40A2A6AE"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&gt;85%</w:t>
            </w:r>
          </w:p>
        </w:tc>
        <w:tc>
          <w:tcPr>
            <w:tcW w:w="735" w:type="dxa"/>
            <w:gridSpan w:val="2"/>
            <w:tcBorders>
              <w:top w:val="single" w:sz="4" w:space="0" w:color="auto"/>
              <w:left w:val="single" w:sz="4" w:space="0" w:color="auto"/>
              <w:bottom w:val="single" w:sz="4" w:space="0" w:color="auto"/>
              <w:right w:val="single" w:sz="4" w:space="0" w:color="auto"/>
            </w:tcBorders>
            <w:hideMark/>
          </w:tcPr>
          <w:p w14:paraId="3AE13C53"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&gt;85%</w:t>
            </w:r>
          </w:p>
        </w:tc>
        <w:tc>
          <w:tcPr>
            <w:tcW w:w="736" w:type="dxa"/>
            <w:tcBorders>
              <w:top w:val="single" w:sz="4" w:space="0" w:color="auto"/>
              <w:left w:val="single" w:sz="4" w:space="0" w:color="auto"/>
              <w:bottom w:val="single" w:sz="4" w:space="0" w:color="auto"/>
              <w:right w:val="single" w:sz="4" w:space="0" w:color="auto"/>
            </w:tcBorders>
            <w:hideMark/>
          </w:tcPr>
          <w:p w14:paraId="6DD41132" w14:textId="77777777" w:rsidR="009E21AC" w:rsidRPr="000F0299" w:rsidRDefault="009E21AC"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&gt;85%</w:t>
            </w:r>
          </w:p>
        </w:tc>
      </w:tr>
      <w:tr w:rsidR="009E21AC" w:rsidRPr="000F0299" w14:paraId="626D512D" w14:textId="77777777" w:rsidTr="00487FD1">
        <w:tc>
          <w:tcPr>
            <w:tcW w:w="2122" w:type="dxa"/>
            <w:tcBorders>
              <w:top w:val="single" w:sz="4" w:space="0" w:color="auto"/>
              <w:left w:val="single" w:sz="4" w:space="0" w:color="auto"/>
              <w:bottom w:val="single" w:sz="4" w:space="0" w:color="auto"/>
              <w:right w:val="single" w:sz="4" w:space="0" w:color="auto"/>
            </w:tcBorders>
            <w:hideMark/>
          </w:tcPr>
          <w:p w14:paraId="727DDE73" w14:textId="77777777" w:rsidR="009E21AC" w:rsidRPr="000F0299" w:rsidRDefault="009E21AC" w:rsidP="0032297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6959" w:type="dxa"/>
            <w:gridSpan w:val="13"/>
            <w:tcBorders>
              <w:top w:val="single" w:sz="4" w:space="0" w:color="auto"/>
              <w:left w:val="single" w:sz="4" w:space="0" w:color="auto"/>
              <w:bottom w:val="single" w:sz="4" w:space="0" w:color="auto"/>
              <w:right w:val="single" w:sz="4" w:space="0" w:color="auto"/>
            </w:tcBorders>
            <w:vAlign w:val="center"/>
            <w:hideMark/>
          </w:tcPr>
          <w:p w14:paraId="61CBCC66" w14:textId="1B962F5A" w:rsidR="009E21AC" w:rsidRPr="000F0299" w:rsidRDefault="009E21AC" w:rsidP="00322979">
            <w:pPr>
              <w:suppressAutoHyphens w:val="0"/>
              <w:autoSpaceDN/>
              <w:spacing w:before="0"/>
              <w:ind w:firstLine="0"/>
              <w:textAlignment w:val="auto"/>
              <w:rPr>
                <w:rFonts w:eastAsiaTheme="minorHAnsi"/>
                <w:color w:val="000000" w:themeColor="text1"/>
                <w:kern w:val="0"/>
                <w:sz w:val="20"/>
                <w:szCs w:val="20"/>
                <w:lang w:eastAsia="en-GB" w:bidi="ar-SA"/>
              </w:rPr>
            </w:pPr>
            <w:r w:rsidRPr="000F0299">
              <w:rPr>
                <w:rFonts w:eastAsiaTheme="minorHAnsi"/>
                <w:kern w:val="24"/>
                <w:sz w:val="20"/>
                <w:szCs w:val="20"/>
                <w:lang w:eastAsia="en-GB" w:bidi="ar-SA"/>
              </w:rPr>
              <w:t>Степен одступања од циљне вредности до</w:t>
            </w:r>
            <w:r w:rsidR="00AE0D70">
              <w:rPr>
                <w:rFonts w:eastAsiaTheme="minorHAnsi"/>
                <w:kern w:val="24"/>
                <w:sz w:val="20"/>
                <w:szCs w:val="20"/>
                <w:lang w:eastAsia="en-GB" w:bidi="ar-SA"/>
              </w:rPr>
              <w:t xml:space="preserve"> 5 </w:t>
            </w:r>
            <w:r w:rsidRPr="000F0299">
              <w:rPr>
                <w:rFonts w:eastAsiaTheme="minorHAnsi"/>
                <w:kern w:val="24"/>
                <w:sz w:val="20"/>
                <w:szCs w:val="20"/>
                <w:lang w:eastAsia="en-GB" w:bidi="ar-SA"/>
              </w:rPr>
              <w:t>% ће се вредновати као успех.</w:t>
            </w:r>
          </w:p>
        </w:tc>
      </w:tr>
    </w:tbl>
    <w:p w14:paraId="1434F3F0" w14:textId="2059A55F" w:rsidR="00A8707F" w:rsidRPr="000F0299" w:rsidRDefault="00A8707F" w:rsidP="009E21AC">
      <w:pPr>
        <w:ind w:firstLine="0"/>
      </w:pPr>
    </w:p>
    <w:p w14:paraId="2A29EDF4" w14:textId="77777777" w:rsidR="00A8707F" w:rsidRPr="000F0299" w:rsidRDefault="00A8707F">
      <w:pPr>
        <w:suppressAutoHyphens w:val="0"/>
        <w:autoSpaceDN/>
        <w:spacing w:before="0" w:after="160" w:line="259" w:lineRule="auto"/>
        <w:ind w:firstLine="0"/>
        <w:jc w:val="left"/>
        <w:textAlignment w:val="auto"/>
      </w:pPr>
      <w:r w:rsidRPr="000F0299">
        <w:br w:type="page"/>
      </w:r>
    </w:p>
    <w:p w14:paraId="562FEE35" w14:textId="69D9641B" w:rsidR="00C60FCD" w:rsidRPr="000F0299" w:rsidRDefault="00C60FCD" w:rsidP="00A8707F">
      <w:pPr>
        <w:pStyle w:val="Heading3"/>
        <w:rPr>
          <w:lang w:val="sr-Cyrl-RS"/>
        </w:rPr>
      </w:pPr>
      <w:bookmarkStart w:id="325" w:name="_Посебан_циљ_2.2"/>
      <w:bookmarkStart w:id="326" w:name="_Toc57661517"/>
      <w:bookmarkEnd w:id="325"/>
      <w:r w:rsidRPr="000F0299">
        <w:rPr>
          <w:lang w:val="sr-Cyrl-RS"/>
        </w:rPr>
        <w:t>Посебан циљ 2.2 Ефикасан систем управљања каријером примењен у пракси</w:t>
      </w:r>
      <w:bookmarkEnd w:id="326"/>
    </w:p>
    <w:p w14:paraId="07D24F7C" w14:textId="00199907" w:rsidR="00C60FCD" w:rsidRPr="000F0299" w:rsidRDefault="00C60FCD" w:rsidP="00BE55B6">
      <w:pPr>
        <w:ind w:firstLine="0"/>
        <w:rPr>
          <w:b/>
          <w:bCs/>
          <w:color w:val="2F5496" w:themeColor="accent1" w:themeShade="BF"/>
        </w:rPr>
      </w:pPr>
      <w:r w:rsidRPr="000F0299">
        <w:rPr>
          <w:b/>
          <w:bCs/>
          <w:color w:val="2F5496" w:themeColor="accent1" w:themeShade="BF"/>
        </w:rPr>
        <w:t>Показатељ 1</w:t>
      </w:r>
    </w:p>
    <w:tbl>
      <w:tblPr>
        <w:tblW w:w="90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2"/>
        <w:gridCol w:w="695"/>
        <w:gridCol w:w="696"/>
        <w:gridCol w:w="270"/>
        <w:gridCol w:w="425"/>
        <w:gridCol w:w="696"/>
        <w:gridCol w:w="696"/>
        <w:gridCol w:w="87"/>
        <w:gridCol w:w="608"/>
        <w:gridCol w:w="696"/>
        <w:gridCol w:w="653"/>
        <w:gridCol w:w="42"/>
        <w:gridCol w:w="696"/>
        <w:gridCol w:w="696"/>
      </w:tblGrid>
      <w:tr w:rsidR="00C60FCD" w:rsidRPr="000F0299" w14:paraId="00276801" w14:textId="77777777" w:rsidTr="00A8707F">
        <w:tc>
          <w:tcPr>
            <w:tcW w:w="21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3FEE90" w14:textId="77777777" w:rsidR="00C60FCD" w:rsidRPr="000F0299" w:rsidRDefault="00C60FCD" w:rsidP="00A8707F">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показатеља</w:t>
            </w:r>
          </w:p>
        </w:tc>
        <w:tc>
          <w:tcPr>
            <w:tcW w:w="6956"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AFCBB9" w14:textId="77777777" w:rsidR="00C60FCD" w:rsidRPr="000F0299" w:rsidRDefault="00C60FCD" w:rsidP="00A8707F">
            <w:pPr>
              <w:suppressAutoHyphens w:val="0"/>
              <w:autoSpaceDN/>
              <w:spacing w:before="0"/>
              <w:ind w:firstLine="0"/>
              <w:textAlignment w:val="auto"/>
              <w:rPr>
                <w:rFonts w:eastAsiaTheme="minorHAnsi"/>
                <w:b/>
                <w:bCs/>
                <w:color w:val="000000" w:themeColor="text1"/>
                <w:kern w:val="0"/>
                <w:sz w:val="20"/>
                <w:szCs w:val="20"/>
                <w:lang w:eastAsia="en-US" w:bidi="ar-SA"/>
              </w:rPr>
            </w:pPr>
            <w:r w:rsidRPr="000F0299">
              <w:rPr>
                <w:rFonts w:eastAsiaTheme="minorHAnsi"/>
                <w:b/>
                <w:bCs/>
                <w:color w:val="000000" w:themeColor="text1"/>
                <w:kern w:val="0"/>
                <w:sz w:val="20"/>
                <w:szCs w:val="20"/>
                <w:lang w:eastAsia="en-US" w:bidi="ar-SA"/>
              </w:rPr>
              <w:t>Степен у ком је развијен систем за управљањем каријером државних службеника</w:t>
            </w:r>
          </w:p>
        </w:tc>
      </w:tr>
      <w:tr w:rsidR="00C60FCD" w:rsidRPr="000F0299" w14:paraId="05470FA0" w14:textId="77777777" w:rsidTr="00A8707F">
        <w:tc>
          <w:tcPr>
            <w:tcW w:w="2142" w:type="dxa"/>
            <w:tcBorders>
              <w:top w:val="single" w:sz="4" w:space="0" w:color="auto"/>
              <w:left w:val="single" w:sz="4" w:space="0" w:color="auto"/>
              <w:bottom w:val="single" w:sz="4" w:space="0" w:color="auto"/>
              <w:right w:val="single" w:sz="4" w:space="0" w:color="auto"/>
            </w:tcBorders>
            <w:hideMark/>
          </w:tcPr>
          <w:p w14:paraId="02CDA225" w14:textId="77777777" w:rsidR="00C60FCD" w:rsidRPr="000F0299" w:rsidRDefault="00C60FCD" w:rsidP="00A8707F">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6956" w:type="dxa"/>
            <w:gridSpan w:val="13"/>
            <w:tcBorders>
              <w:top w:val="single" w:sz="4" w:space="0" w:color="auto"/>
              <w:left w:val="single" w:sz="4" w:space="0" w:color="auto"/>
              <w:bottom w:val="single" w:sz="4" w:space="0" w:color="auto"/>
              <w:right w:val="single" w:sz="4" w:space="0" w:color="auto"/>
            </w:tcBorders>
            <w:hideMark/>
          </w:tcPr>
          <w:p w14:paraId="25D20643" w14:textId="74756840"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US" w:bidi="ar-SA"/>
              </w:rPr>
            </w:pPr>
            <w:r w:rsidRPr="000F0299">
              <w:rPr>
                <w:rFonts w:eastAsiaTheme="minorHAnsi"/>
                <w:b/>
                <w:bCs/>
                <w:color w:val="000000" w:themeColor="text1"/>
                <w:kern w:val="24"/>
                <w:sz w:val="20"/>
                <w:szCs w:val="20"/>
                <w:lang w:eastAsia="en-US" w:bidi="ar-SA"/>
              </w:rPr>
              <w:t>Посебан циљ 2.2.:</w:t>
            </w:r>
            <w:r w:rsidRPr="000F0299">
              <w:rPr>
                <w:rFonts w:eastAsiaTheme="minorHAnsi"/>
                <w:kern w:val="24"/>
                <w:sz w:val="20"/>
                <w:szCs w:val="20"/>
                <w:lang w:eastAsia="en-US" w:bidi="ar-SA"/>
              </w:rPr>
              <w:t xml:space="preserve">  </w:t>
            </w:r>
            <w:r w:rsidR="00620C52" w:rsidRPr="000F0299">
              <w:rPr>
                <w:rFonts w:eastAsiaTheme="minorHAnsi"/>
                <w:kern w:val="24"/>
                <w:sz w:val="20"/>
                <w:szCs w:val="20"/>
                <w:lang w:eastAsia="en-US" w:bidi="ar-SA"/>
              </w:rPr>
              <w:t>Е</w:t>
            </w:r>
            <w:r w:rsidR="00620C52" w:rsidRPr="000F0299">
              <w:rPr>
                <w:rFonts w:eastAsiaTheme="minorHAnsi"/>
                <w:kern w:val="0"/>
                <w:sz w:val="20"/>
                <w:szCs w:val="20"/>
                <w:lang w:eastAsia="en-US" w:bidi="ar-SA"/>
              </w:rPr>
              <w:t>фикасан систем управљања каријером примењен у пракси</w:t>
            </w:r>
          </w:p>
        </w:tc>
      </w:tr>
      <w:tr w:rsidR="00A8707F" w:rsidRPr="000F0299" w14:paraId="4E1F4E90" w14:textId="77777777" w:rsidTr="00A8707F">
        <w:tc>
          <w:tcPr>
            <w:tcW w:w="2142" w:type="dxa"/>
            <w:tcBorders>
              <w:top w:val="single" w:sz="4" w:space="0" w:color="auto"/>
              <w:left w:val="single" w:sz="4" w:space="0" w:color="auto"/>
              <w:bottom w:val="single" w:sz="4" w:space="0" w:color="auto"/>
              <w:right w:val="single" w:sz="4" w:space="0" w:color="auto"/>
            </w:tcBorders>
            <w:hideMark/>
          </w:tcPr>
          <w:p w14:paraId="122F11CE" w14:textId="77777777" w:rsidR="00A8707F" w:rsidRPr="000F0299" w:rsidRDefault="00A8707F" w:rsidP="00A8707F">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478" w:type="dxa"/>
            <w:gridSpan w:val="6"/>
            <w:tcBorders>
              <w:top w:val="single" w:sz="4" w:space="0" w:color="auto"/>
              <w:left w:val="single" w:sz="4" w:space="0" w:color="auto"/>
              <w:bottom w:val="single" w:sz="4" w:space="0" w:color="auto"/>
              <w:right w:val="single" w:sz="4" w:space="0" w:color="auto"/>
            </w:tcBorders>
          </w:tcPr>
          <w:p w14:paraId="78C57D3C" w14:textId="193C1D3B" w:rsidR="00A8707F" w:rsidRPr="000F0299" w:rsidRDefault="00A8707F" w:rsidP="004F210F">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Квалитативни показатељ </w:t>
            </w:r>
          </w:p>
        </w:tc>
        <w:tc>
          <w:tcPr>
            <w:tcW w:w="3478" w:type="dxa"/>
            <w:gridSpan w:val="7"/>
            <w:tcBorders>
              <w:top w:val="single" w:sz="4" w:space="0" w:color="auto"/>
              <w:left w:val="single" w:sz="4" w:space="0" w:color="auto"/>
              <w:bottom w:val="single" w:sz="4" w:space="0" w:color="auto"/>
              <w:right w:val="single" w:sz="4" w:space="0" w:color="auto"/>
            </w:tcBorders>
          </w:tcPr>
          <w:p w14:paraId="297A2662" w14:textId="4E1BD710" w:rsidR="00A8707F" w:rsidRPr="000F0299" w:rsidRDefault="00A8707F"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0"/>
                <w:sz w:val="20"/>
                <w:szCs w:val="20"/>
                <w:lang w:eastAsia="en-US" w:bidi="ar-SA"/>
              </w:rPr>
              <w:t>На нивоу исхода</w:t>
            </w:r>
          </w:p>
        </w:tc>
      </w:tr>
      <w:tr w:rsidR="00A8707F" w:rsidRPr="000F0299" w14:paraId="7068A8D7" w14:textId="77777777" w:rsidTr="00C45368">
        <w:tc>
          <w:tcPr>
            <w:tcW w:w="2142" w:type="dxa"/>
            <w:tcBorders>
              <w:top w:val="single" w:sz="4" w:space="0" w:color="auto"/>
              <w:left w:val="single" w:sz="4" w:space="0" w:color="auto"/>
              <w:bottom w:val="single" w:sz="4" w:space="0" w:color="auto"/>
              <w:right w:val="single" w:sz="4" w:space="0" w:color="auto"/>
            </w:tcBorders>
            <w:hideMark/>
          </w:tcPr>
          <w:p w14:paraId="2215BB0D" w14:textId="77777777" w:rsidR="00A8707F" w:rsidRPr="000F0299" w:rsidRDefault="00A8707F" w:rsidP="00A8707F">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478" w:type="dxa"/>
            <w:gridSpan w:val="6"/>
            <w:tcBorders>
              <w:top w:val="single" w:sz="4" w:space="0" w:color="auto"/>
              <w:left w:val="single" w:sz="4" w:space="0" w:color="auto"/>
              <w:bottom w:val="single" w:sz="4" w:space="0" w:color="auto"/>
              <w:right w:val="single" w:sz="4" w:space="0" w:color="auto"/>
            </w:tcBorders>
          </w:tcPr>
          <w:p w14:paraId="5E16C729" w14:textId="7C73D177" w:rsidR="00A8707F" w:rsidRPr="000F0299" w:rsidRDefault="00A8707F" w:rsidP="004F210F">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Бројчани на скали од 0-4</w:t>
            </w:r>
          </w:p>
        </w:tc>
        <w:tc>
          <w:tcPr>
            <w:tcW w:w="3478" w:type="dxa"/>
            <w:gridSpan w:val="7"/>
            <w:tcBorders>
              <w:top w:val="single" w:sz="4" w:space="0" w:color="auto"/>
              <w:left w:val="single" w:sz="4" w:space="0" w:color="auto"/>
              <w:bottom w:val="single" w:sz="4" w:space="0" w:color="auto"/>
              <w:right w:val="single" w:sz="4" w:space="0" w:color="auto"/>
            </w:tcBorders>
          </w:tcPr>
          <w:p w14:paraId="36B59D84" w14:textId="369D3707" w:rsidR="00A8707F" w:rsidRPr="000F0299" w:rsidRDefault="00A8707F" w:rsidP="004F210F">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Повећана вредност показатеља пожељна у оквиру дефинисаног распона</w:t>
            </w:r>
          </w:p>
        </w:tc>
      </w:tr>
      <w:tr w:rsidR="00C60FCD" w:rsidRPr="000F0299" w14:paraId="008CC544" w14:textId="77777777" w:rsidTr="00A8707F">
        <w:tc>
          <w:tcPr>
            <w:tcW w:w="2142" w:type="dxa"/>
            <w:tcBorders>
              <w:top w:val="single" w:sz="4" w:space="0" w:color="auto"/>
              <w:left w:val="single" w:sz="4" w:space="0" w:color="auto"/>
              <w:bottom w:val="single" w:sz="4" w:space="0" w:color="auto"/>
              <w:right w:val="single" w:sz="4" w:space="0" w:color="auto"/>
            </w:tcBorders>
            <w:hideMark/>
          </w:tcPr>
          <w:p w14:paraId="7A2242C7" w14:textId="77777777" w:rsidR="00C60FCD" w:rsidRPr="000F0299" w:rsidRDefault="00C60FCD" w:rsidP="00A8707F">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6956" w:type="dxa"/>
            <w:gridSpan w:val="13"/>
            <w:tcBorders>
              <w:top w:val="single" w:sz="4" w:space="0" w:color="auto"/>
              <w:left w:val="single" w:sz="4" w:space="0" w:color="auto"/>
              <w:bottom w:val="single" w:sz="4" w:space="0" w:color="auto"/>
              <w:right w:val="single" w:sz="4" w:space="0" w:color="auto"/>
            </w:tcBorders>
            <w:hideMark/>
          </w:tcPr>
          <w:p w14:paraId="0F68C41B" w14:textId="77777777"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Подаци ће бити прикупљани  на националном нивоу.</w:t>
            </w:r>
          </w:p>
          <w:p w14:paraId="1D0C6BB5" w14:textId="0237D000" w:rsidR="00C60FCD" w:rsidRPr="000F0299" w:rsidRDefault="00C60FCD" w:rsidP="004F210F">
            <w:pPr>
              <w:suppressAutoHyphens w:val="0"/>
              <w:autoSpaceDN/>
              <w:spacing w:before="0"/>
              <w:ind w:firstLine="0"/>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 xml:space="preserve">Извор: </w:t>
            </w:r>
            <w:r w:rsidRPr="000F0299">
              <w:rPr>
                <w:rFonts w:eastAsiaTheme="minorHAnsi"/>
                <w:color w:val="000000" w:themeColor="text1"/>
                <w:kern w:val="0"/>
                <w:sz w:val="20"/>
                <w:szCs w:val="20"/>
                <w:lang w:eastAsia="en-GB" w:bidi="ar-SA"/>
              </w:rPr>
              <w:t>Извештај о раду Службе за управљање кадровима</w:t>
            </w:r>
          </w:p>
        </w:tc>
      </w:tr>
      <w:tr w:rsidR="00C60FCD" w:rsidRPr="000F0299" w14:paraId="34836DC2" w14:textId="77777777" w:rsidTr="00A8707F">
        <w:tc>
          <w:tcPr>
            <w:tcW w:w="2142" w:type="dxa"/>
            <w:tcBorders>
              <w:top w:val="single" w:sz="4" w:space="0" w:color="auto"/>
              <w:left w:val="single" w:sz="4" w:space="0" w:color="auto"/>
              <w:bottom w:val="single" w:sz="4" w:space="0" w:color="auto"/>
              <w:right w:val="single" w:sz="4" w:space="0" w:color="auto"/>
            </w:tcBorders>
            <w:hideMark/>
          </w:tcPr>
          <w:p w14:paraId="33787242" w14:textId="77777777" w:rsidR="00C60FCD" w:rsidRPr="000F0299" w:rsidRDefault="00C60FCD" w:rsidP="00A8707F">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носиоца прикупљања података</w:t>
            </w:r>
          </w:p>
        </w:tc>
        <w:tc>
          <w:tcPr>
            <w:tcW w:w="6956" w:type="dxa"/>
            <w:gridSpan w:val="13"/>
            <w:tcBorders>
              <w:top w:val="single" w:sz="4" w:space="0" w:color="auto"/>
              <w:left w:val="single" w:sz="4" w:space="0" w:color="auto"/>
              <w:bottom w:val="single" w:sz="4" w:space="0" w:color="auto"/>
              <w:right w:val="single" w:sz="4" w:space="0" w:color="auto"/>
            </w:tcBorders>
          </w:tcPr>
          <w:p w14:paraId="2EC41C6E" w14:textId="44D1079F" w:rsidR="00C60FCD" w:rsidRPr="000F0299" w:rsidRDefault="00C60FCD" w:rsidP="00AE6044">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 xml:space="preserve">Служба за управљање кадровима, </w:t>
            </w:r>
            <w:r w:rsidR="00AE6044">
              <w:rPr>
                <w:rFonts w:eastAsiaTheme="minorHAnsi"/>
                <w:color w:val="000000" w:themeColor="text1"/>
                <w:kern w:val="24"/>
                <w:sz w:val="20"/>
                <w:szCs w:val="20"/>
                <w:lang w:eastAsia="en-GB" w:bidi="ar-SA"/>
              </w:rPr>
              <w:t>Сектор за одабир и развој кадрова</w:t>
            </w:r>
          </w:p>
        </w:tc>
      </w:tr>
      <w:tr w:rsidR="00C60FCD" w:rsidRPr="000F0299" w14:paraId="7FE01E5C" w14:textId="77777777" w:rsidTr="00A8707F">
        <w:tc>
          <w:tcPr>
            <w:tcW w:w="2142" w:type="dxa"/>
            <w:tcBorders>
              <w:top w:val="single" w:sz="4" w:space="0" w:color="auto"/>
              <w:left w:val="single" w:sz="4" w:space="0" w:color="auto"/>
              <w:bottom w:val="single" w:sz="4" w:space="0" w:color="auto"/>
              <w:right w:val="single" w:sz="4" w:space="0" w:color="auto"/>
            </w:tcBorders>
            <w:hideMark/>
          </w:tcPr>
          <w:p w14:paraId="311679BE" w14:textId="77777777" w:rsidR="00C60FCD" w:rsidRPr="000F0299" w:rsidRDefault="00C60FCD" w:rsidP="00A8707F">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6956" w:type="dxa"/>
            <w:gridSpan w:val="13"/>
            <w:tcBorders>
              <w:top w:val="single" w:sz="4" w:space="0" w:color="auto"/>
              <w:left w:val="single" w:sz="4" w:space="0" w:color="auto"/>
              <w:bottom w:val="single" w:sz="4" w:space="0" w:color="auto"/>
              <w:right w:val="single" w:sz="4" w:space="0" w:color="auto"/>
            </w:tcBorders>
            <w:hideMark/>
          </w:tcPr>
          <w:p w14:paraId="46492A14" w14:textId="77777777" w:rsidR="00C60FCD" w:rsidRPr="000F0299" w:rsidRDefault="00C60FCD" w:rsidP="004F210F">
            <w:pPr>
              <w:suppressAutoHyphens w:val="0"/>
              <w:autoSpaceDN/>
              <w:spacing w:before="0"/>
              <w:ind w:firstLine="0"/>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Једном годишње, у првом кварталу текуће за претходну календарску годину</w:t>
            </w:r>
          </w:p>
        </w:tc>
      </w:tr>
      <w:tr w:rsidR="00C60FCD" w:rsidRPr="000F0299" w14:paraId="6CC4E01E" w14:textId="77777777" w:rsidTr="00A8707F">
        <w:tc>
          <w:tcPr>
            <w:tcW w:w="2142" w:type="dxa"/>
            <w:tcBorders>
              <w:top w:val="single" w:sz="4" w:space="0" w:color="auto"/>
              <w:left w:val="single" w:sz="4" w:space="0" w:color="auto"/>
              <w:bottom w:val="single" w:sz="4" w:space="0" w:color="auto"/>
              <w:right w:val="single" w:sz="4" w:space="0" w:color="auto"/>
            </w:tcBorders>
            <w:hideMark/>
          </w:tcPr>
          <w:p w14:paraId="53F9B6E4" w14:textId="77777777" w:rsidR="00C60FCD" w:rsidRPr="000F0299" w:rsidRDefault="00C60FCD" w:rsidP="00A8707F">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6956" w:type="dxa"/>
            <w:gridSpan w:val="13"/>
            <w:tcBorders>
              <w:top w:val="single" w:sz="4" w:space="0" w:color="auto"/>
              <w:left w:val="single" w:sz="4" w:space="0" w:color="auto"/>
              <w:bottom w:val="single" w:sz="4" w:space="0" w:color="auto"/>
              <w:right w:val="single" w:sz="4" w:space="0" w:color="auto"/>
            </w:tcBorders>
          </w:tcPr>
          <w:p w14:paraId="2DEA3241" w14:textId="77777777"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 xml:space="preserve">При мерењу овог показатеља, биће обухваћени државни органи. </w:t>
            </w:r>
          </w:p>
          <w:p w14:paraId="0C96B0E6" w14:textId="6B37E17D"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 xml:space="preserve">Овај индикатор мери у којој мери је развијен систем за управљање каријером државних службеника односно  да ли су развијени различити каријерни модели као што су .анализа индивидуалних потенцијала, 360 степени, интерно тржиште рада, каријерно саветовање, коучинг и др., као и да ли се у </w:t>
            </w:r>
            <w:r w:rsidR="00D341C9" w:rsidRPr="000F0299">
              <w:rPr>
                <w:rFonts w:eastAsiaTheme="minorHAnsi"/>
                <w:color w:val="000000" w:themeColor="text1"/>
                <w:kern w:val="24"/>
                <w:sz w:val="20"/>
                <w:szCs w:val="20"/>
                <w:lang w:eastAsia="en-GB" w:bidi="ar-SA"/>
              </w:rPr>
              <w:t>пракси примењују</w:t>
            </w:r>
            <w:r w:rsidRPr="000F0299">
              <w:rPr>
                <w:rFonts w:eastAsiaTheme="minorHAnsi"/>
                <w:color w:val="000000" w:themeColor="text1"/>
                <w:kern w:val="24"/>
                <w:sz w:val="20"/>
                <w:szCs w:val="20"/>
                <w:lang w:eastAsia="en-GB" w:bidi="ar-SA"/>
              </w:rPr>
              <w:t xml:space="preserve"> различити инструменти за управљање каријером.</w:t>
            </w:r>
          </w:p>
          <w:p w14:paraId="0C0D0D66" w14:textId="77777777"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Примену у пракси прати Служба за управљање кадровима и додељује бодове према следећим критеријумима:</w:t>
            </w:r>
          </w:p>
          <w:p w14:paraId="6BC7AB1D" w14:textId="77777777"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0 – није развијен систем управљања каријером</w:t>
            </w:r>
          </w:p>
          <w:p w14:paraId="65FC660D" w14:textId="0EE729F8"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1 -  у пракси се примењује најмање три карије</w:t>
            </w:r>
            <w:r w:rsidR="00D341C9">
              <w:rPr>
                <w:rFonts w:eastAsiaTheme="minorHAnsi"/>
                <w:color w:val="000000" w:themeColor="text1"/>
                <w:kern w:val="24"/>
                <w:sz w:val="20"/>
                <w:szCs w:val="20"/>
                <w:lang w:eastAsia="en-GB" w:bidi="ar-SA"/>
              </w:rPr>
              <w:t>р</w:t>
            </w:r>
            <w:r w:rsidRPr="000F0299">
              <w:rPr>
                <w:rFonts w:eastAsiaTheme="minorHAnsi"/>
                <w:color w:val="000000" w:themeColor="text1"/>
                <w:kern w:val="24"/>
                <w:sz w:val="20"/>
                <w:szCs w:val="20"/>
                <w:lang w:eastAsia="en-GB" w:bidi="ar-SA"/>
              </w:rPr>
              <w:t>на модела, односно инструмента за управљање каријером (</w:t>
            </w:r>
            <w:r w:rsidR="00D341C9" w:rsidRPr="000F0299">
              <w:rPr>
                <w:rFonts w:eastAsiaTheme="minorHAnsi"/>
                <w:color w:val="000000" w:themeColor="text1"/>
                <w:kern w:val="24"/>
                <w:sz w:val="20"/>
                <w:szCs w:val="20"/>
                <w:lang w:eastAsia="en-GB" w:bidi="ar-SA"/>
              </w:rPr>
              <w:t>нпр. анализа</w:t>
            </w:r>
            <w:r w:rsidRPr="000F0299">
              <w:rPr>
                <w:rFonts w:eastAsiaTheme="minorHAnsi"/>
                <w:color w:val="000000" w:themeColor="text1"/>
                <w:kern w:val="24"/>
                <w:sz w:val="20"/>
                <w:szCs w:val="20"/>
                <w:lang w:eastAsia="en-GB" w:bidi="ar-SA"/>
              </w:rPr>
              <w:t xml:space="preserve"> индивидуалних потенцијала, 360 степени, интерно тржиште рада, каријерно саветовање, коучинг и</w:t>
            </w:r>
            <w:r w:rsidR="00D341C9">
              <w:rPr>
                <w:rFonts w:eastAsiaTheme="minorHAnsi"/>
                <w:color w:val="000000" w:themeColor="text1"/>
                <w:kern w:val="24"/>
                <w:sz w:val="20"/>
                <w:szCs w:val="20"/>
                <w:lang w:eastAsia="en-GB" w:bidi="ar-SA"/>
              </w:rPr>
              <w:t xml:space="preserve"> </w:t>
            </w:r>
            <w:r w:rsidRPr="000F0299">
              <w:rPr>
                <w:rFonts w:eastAsiaTheme="minorHAnsi"/>
                <w:color w:val="000000" w:themeColor="text1"/>
                <w:kern w:val="24"/>
                <w:sz w:val="20"/>
                <w:szCs w:val="20"/>
                <w:lang w:eastAsia="en-GB" w:bidi="ar-SA"/>
              </w:rPr>
              <w:t>др.)</w:t>
            </w:r>
          </w:p>
          <w:p w14:paraId="1EE3FDEE" w14:textId="77777777"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2 -  развијена најмање два каријерна модела</w:t>
            </w:r>
          </w:p>
          <w:p w14:paraId="2B915AF2" w14:textId="77777777"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3 – развијена 3 или више каријерних модела</w:t>
            </w:r>
          </w:p>
          <w:p w14:paraId="025AB455" w14:textId="77777777"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4 – каријерни модели имплементирани у пракси и обухваћено више од сто државних службеника неким од развијених каријерних модела.</w:t>
            </w:r>
          </w:p>
        </w:tc>
      </w:tr>
      <w:tr w:rsidR="00C60FCD" w:rsidRPr="000F0299" w14:paraId="7D78D3A9" w14:textId="77777777" w:rsidTr="00A8707F">
        <w:tc>
          <w:tcPr>
            <w:tcW w:w="2142" w:type="dxa"/>
            <w:vMerge w:val="restart"/>
            <w:tcBorders>
              <w:top w:val="single" w:sz="4" w:space="0" w:color="auto"/>
              <w:left w:val="single" w:sz="4" w:space="0" w:color="auto"/>
              <w:bottom w:val="single" w:sz="4" w:space="0" w:color="auto"/>
              <w:right w:val="single" w:sz="4" w:space="0" w:color="auto"/>
            </w:tcBorders>
            <w:hideMark/>
          </w:tcPr>
          <w:p w14:paraId="57D6C46D" w14:textId="77777777" w:rsidR="00C60FCD" w:rsidRPr="000F0299" w:rsidRDefault="00C60FCD" w:rsidP="00A8707F">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522" w:type="dxa"/>
            <w:gridSpan w:val="10"/>
            <w:tcBorders>
              <w:top w:val="single" w:sz="4" w:space="0" w:color="auto"/>
              <w:left w:val="single" w:sz="4" w:space="0" w:color="auto"/>
              <w:bottom w:val="single" w:sz="4" w:space="0" w:color="auto"/>
              <w:right w:val="single" w:sz="4" w:space="0" w:color="auto"/>
            </w:tcBorders>
            <w:hideMark/>
          </w:tcPr>
          <w:p w14:paraId="653A7F28" w14:textId="77777777" w:rsidR="00C60FCD" w:rsidRPr="000F0299" w:rsidRDefault="00C60FCD" w:rsidP="004F210F">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p w14:paraId="102D2183" w14:textId="57480768" w:rsidR="00C60FCD" w:rsidRPr="000F0299" w:rsidRDefault="00C60FCD" w:rsidP="004F210F">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Након што је формиран као унутрашња јединица у Служби, Центар за развој каријере је развио сет услуга као и капацитета за примену у пракси различитих инструмената за управљање каријером на индивидуалном нивоу (анализа индивидуалних потенцијала за развој, коучинг, каријерно саветовање, индивидуални планови развоја и</w:t>
            </w:r>
            <w:r w:rsidR="00D341C9">
              <w:rPr>
                <w:rFonts w:eastAsiaTheme="minorHAnsi"/>
                <w:kern w:val="0"/>
                <w:sz w:val="20"/>
                <w:szCs w:val="20"/>
                <w:lang w:eastAsia="en-US" w:bidi="ar-SA"/>
              </w:rPr>
              <w:t xml:space="preserve"> </w:t>
            </w:r>
            <w:r w:rsidRPr="000F0299">
              <w:rPr>
                <w:rFonts w:eastAsiaTheme="minorHAnsi"/>
                <w:kern w:val="0"/>
                <w:sz w:val="20"/>
                <w:szCs w:val="20"/>
                <w:lang w:eastAsia="en-US" w:bidi="ar-SA"/>
              </w:rPr>
              <w:t>др</w:t>
            </w:r>
            <w:r w:rsidR="00D341C9">
              <w:rPr>
                <w:rFonts w:eastAsiaTheme="minorHAnsi"/>
                <w:kern w:val="0"/>
                <w:sz w:val="20"/>
                <w:szCs w:val="20"/>
                <w:lang w:eastAsia="en-US" w:bidi="ar-SA"/>
              </w:rPr>
              <w:t>.</w:t>
            </w:r>
            <w:r w:rsidRPr="000F0299">
              <w:rPr>
                <w:rFonts w:eastAsiaTheme="minorHAnsi"/>
                <w:kern w:val="0"/>
                <w:sz w:val="20"/>
                <w:szCs w:val="20"/>
                <w:lang w:eastAsia="en-US" w:bidi="ar-SA"/>
              </w:rPr>
              <w:t>)</w:t>
            </w:r>
          </w:p>
        </w:tc>
        <w:tc>
          <w:tcPr>
            <w:tcW w:w="1434" w:type="dxa"/>
            <w:gridSpan w:val="3"/>
            <w:tcBorders>
              <w:top w:val="single" w:sz="4" w:space="0" w:color="auto"/>
              <w:left w:val="single" w:sz="4" w:space="0" w:color="auto"/>
              <w:bottom w:val="single" w:sz="4" w:space="0" w:color="auto"/>
              <w:right w:val="single" w:sz="4" w:space="0" w:color="auto"/>
            </w:tcBorders>
          </w:tcPr>
          <w:p w14:paraId="2E6B5B5C" w14:textId="77777777" w:rsidR="00C60FCD" w:rsidRPr="000F0299" w:rsidRDefault="00C60FCD" w:rsidP="004F210F">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Полазна вредност</w:t>
            </w:r>
          </w:p>
          <w:p w14:paraId="679C97CF" w14:textId="77777777" w:rsidR="00C60FCD" w:rsidRPr="000F0299" w:rsidRDefault="00C60FCD" w:rsidP="004F210F">
            <w:pPr>
              <w:suppressAutoHyphens w:val="0"/>
              <w:autoSpaceDN/>
              <w:spacing w:before="0"/>
              <w:ind w:firstLine="0"/>
              <w:textAlignment w:val="auto"/>
              <w:rPr>
                <w:rFonts w:eastAsiaTheme="minorHAnsi"/>
                <w:color w:val="000000" w:themeColor="text1"/>
                <w:kern w:val="0"/>
                <w:sz w:val="20"/>
                <w:szCs w:val="20"/>
                <w:lang w:eastAsia="en-US" w:bidi="ar-SA"/>
              </w:rPr>
            </w:pPr>
          </w:p>
        </w:tc>
      </w:tr>
      <w:tr w:rsidR="00C60FCD" w:rsidRPr="000F0299" w14:paraId="10B0080D" w14:textId="77777777" w:rsidTr="00A8707F">
        <w:tc>
          <w:tcPr>
            <w:tcW w:w="0" w:type="auto"/>
            <w:vMerge/>
            <w:tcBorders>
              <w:top w:val="single" w:sz="4" w:space="0" w:color="auto"/>
              <w:left w:val="single" w:sz="4" w:space="0" w:color="auto"/>
              <w:bottom w:val="single" w:sz="4" w:space="0" w:color="auto"/>
              <w:right w:val="single" w:sz="4" w:space="0" w:color="auto"/>
            </w:tcBorders>
            <w:vAlign w:val="center"/>
            <w:hideMark/>
          </w:tcPr>
          <w:p w14:paraId="1F5CF714" w14:textId="77777777" w:rsidR="00C60FCD" w:rsidRPr="000F0299" w:rsidRDefault="00C60FCD" w:rsidP="00A8707F">
            <w:pPr>
              <w:suppressAutoHyphens w:val="0"/>
              <w:autoSpaceDN/>
              <w:spacing w:before="0"/>
              <w:ind w:firstLine="0"/>
              <w:jc w:val="left"/>
              <w:textAlignment w:val="auto"/>
              <w:rPr>
                <w:rFonts w:eastAsiaTheme="minorHAnsi"/>
                <w:b/>
                <w:bCs/>
                <w:kern w:val="0"/>
                <w:sz w:val="20"/>
                <w:szCs w:val="20"/>
                <w:lang w:eastAsia="en-GB" w:bidi="ar-SA"/>
              </w:rPr>
            </w:pPr>
          </w:p>
        </w:tc>
        <w:tc>
          <w:tcPr>
            <w:tcW w:w="1661" w:type="dxa"/>
            <w:gridSpan w:val="3"/>
            <w:tcBorders>
              <w:top w:val="single" w:sz="4" w:space="0" w:color="auto"/>
              <w:left w:val="single" w:sz="4" w:space="0" w:color="auto"/>
              <w:bottom w:val="single" w:sz="4" w:space="0" w:color="auto"/>
              <w:right w:val="single" w:sz="4" w:space="0" w:color="auto"/>
            </w:tcBorders>
            <w:hideMark/>
          </w:tcPr>
          <w:p w14:paraId="4C7F7755"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2016</w:t>
            </w:r>
          </w:p>
        </w:tc>
        <w:tc>
          <w:tcPr>
            <w:tcW w:w="1904" w:type="dxa"/>
            <w:gridSpan w:val="4"/>
            <w:tcBorders>
              <w:top w:val="single" w:sz="4" w:space="0" w:color="auto"/>
              <w:left w:val="single" w:sz="4" w:space="0" w:color="auto"/>
              <w:bottom w:val="single" w:sz="4" w:space="0" w:color="auto"/>
              <w:right w:val="single" w:sz="4" w:space="0" w:color="auto"/>
            </w:tcBorders>
            <w:hideMark/>
          </w:tcPr>
          <w:p w14:paraId="5111D324"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2017</w:t>
            </w:r>
          </w:p>
        </w:tc>
        <w:tc>
          <w:tcPr>
            <w:tcW w:w="1957" w:type="dxa"/>
            <w:gridSpan w:val="3"/>
            <w:tcBorders>
              <w:top w:val="single" w:sz="4" w:space="0" w:color="auto"/>
              <w:left w:val="single" w:sz="4" w:space="0" w:color="auto"/>
              <w:bottom w:val="single" w:sz="4" w:space="0" w:color="auto"/>
              <w:right w:val="single" w:sz="4" w:space="0" w:color="auto"/>
            </w:tcBorders>
            <w:hideMark/>
          </w:tcPr>
          <w:p w14:paraId="33DDEF0F"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2018</w:t>
            </w:r>
          </w:p>
        </w:tc>
        <w:tc>
          <w:tcPr>
            <w:tcW w:w="1434" w:type="dxa"/>
            <w:gridSpan w:val="3"/>
            <w:tcBorders>
              <w:top w:val="single" w:sz="4" w:space="0" w:color="auto"/>
              <w:left w:val="single" w:sz="4" w:space="0" w:color="auto"/>
              <w:bottom w:val="single" w:sz="4" w:space="0" w:color="auto"/>
              <w:right w:val="single" w:sz="4" w:space="0" w:color="auto"/>
            </w:tcBorders>
            <w:hideMark/>
          </w:tcPr>
          <w:p w14:paraId="6428EA43"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2020</w:t>
            </w:r>
          </w:p>
        </w:tc>
      </w:tr>
      <w:tr w:rsidR="00C60FCD" w:rsidRPr="000F0299" w14:paraId="468F288D" w14:textId="77777777" w:rsidTr="00A8707F">
        <w:tc>
          <w:tcPr>
            <w:tcW w:w="0" w:type="auto"/>
            <w:vMerge/>
            <w:tcBorders>
              <w:top w:val="single" w:sz="4" w:space="0" w:color="auto"/>
              <w:left w:val="single" w:sz="4" w:space="0" w:color="auto"/>
              <w:bottom w:val="single" w:sz="4" w:space="0" w:color="auto"/>
              <w:right w:val="single" w:sz="4" w:space="0" w:color="auto"/>
            </w:tcBorders>
            <w:vAlign w:val="center"/>
            <w:hideMark/>
          </w:tcPr>
          <w:p w14:paraId="4C3189ED" w14:textId="77777777" w:rsidR="00C60FCD" w:rsidRPr="000F0299" w:rsidRDefault="00C60FCD" w:rsidP="00A8707F">
            <w:pPr>
              <w:suppressAutoHyphens w:val="0"/>
              <w:autoSpaceDN/>
              <w:spacing w:before="0"/>
              <w:ind w:firstLine="0"/>
              <w:jc w:val="left"/>
              <w:textAlignment w:val="auto"/>
              <w:rPr>
                <w:rFonts w:eastAsiaTheme="minorHAnsi"/>
                <w:b/>
                <w:bCs/>
                <w:kern w:val="0"/>
                <w:sz w:val="20"/>
                <w:szCs w:val="20"/>
                <w:lang w:eastAsia="en-GB" w:bidi="ar-SA"/>
              </w:rPr>
            </w:pPr>
          </w:p>
        </w:tc>
        <w:tc>
          <w:tcPr>
            <w:tcW w:w="1661" w:type="dxa"/>
            <w:gridSpan w:val="3"/>
            <w:tcBorders>
              <w:top w:val="single" w:sz="4" w:space="0" w:color="auto"/>
              <w:left w:val="single" w:sz="4" w:space="0" w:color="auto"/>
              <w:bottom w:val="single" w:sz="4" w:space="0" w:color="auto"/>
              <w:right w:val="single" w:sz="4" w:space="0" w:color="auto"/>
            </w:tcBorders>
          </w:tcPr>
          <w:p w14:paraId="23853393"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p>
        </w:tc>
        <w:tc>
          <w:tcPr>
            <w:tcW w:w="1904" w:type="dxa"/>
            <w:gridSpan w:val="4"/>
            <w:tcBorders>
              <w:top w:val="single" w:sz="4" w:space="0" w:color="auto"/>
              <w:left w:val="single" w:sz="4" w:space="0" w:color="auto"/>
              <w:bottom w:val="single" w:sz="4" w:space="0" w:color="auto"/>
              <w:right w:val="single" w:sz="4" w:space="0" w:color="auto"/>
            </w:tcBorders>
          </w:tcPr>
          <w:p w14:paraId="48184626"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p>
        </w:tc>
        <w:tc>
          <w:tcPr>
            <w:tcW w:w="1957" w:type="dxa"/>
            <w:gridSpan w:val="3"/>
            <w:tcBorders>
              <w:top w:val="single" w:sz="4" w:space="0" w:color="auto"/>
              <w:left w:val="single" w:sz="4" w:space="0" w:color="auto"/>
              <w:bottom w:val="single" w:sz="4" w:space="0" w:color="auto"/>
              <w:right w:val="single" w:sz="4" w:space="0" w:color="auto"/>
            </w:tcBorders>
          </w:tcPr>
          <w:p w14:paraId="6647FF09"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p>
        </w:tc>
        <w:tc>
          <w:tcPr>
            <w:tcW w:w="1434" w:type="dxa"/>
            <w:gridSpan w:val="3"/>
            <w:tcBorders>
              <w:top w:val="single" w:sz="4" w:space="0" w:color="auto"/>
              <w:left w:val="single" w:sz="4" w:space="0" w:color="auto"/>
              <w:bottom w:val="single" w:sz="4" w:space="0" w:color="auto"/>
              <w:right w:val="single" w:sz="4" w:space="0" w:color="auto"/>
            </w:tcBorders>
            <w:hideMark/>
          </w:tcPr>
          <w:p w14:paraId="730FF74D"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w:t>
            </w:r>
          </w:p>
        </w:tc>
      </w:tr>
      <w:tr w:rsidR="00C60FCD" w:rsidRPr="000F0299" w14:paraId="17CA2A00" w14:textId="77777777" w:rsidTr="00A8707F">
        <w:tc>
          <w:tcPr>
            <w:tcW w:w="2142" w:type="dxa"/>
            <w:vMerge w:val="restart"/>
            <w:tcBorders>
              <w:top w:val="single" w:sz="4" w:space="0" w:color="auto"/>
              <w:left w:val="single" w:sz="4" w:space="0" w:color="auto"/>
              <w:bottom w:val="single" w:sz="4" w:space="0" w:color="auto"/>
              <w:right w:val="single" w:sz="4" w:space="0" w:color="auto"/>
            </w:tcBorders>
            <w:hideMark/>
          </w:tcPr>
          <w:p w14:paraId="7D13927E" w14:textId="77777777" w:rsidR="00C60FCD" w:rsidRPr="000F0299" w:rsidRDefault="00C60FCD" w:rsidP="00A8707F">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95" w:type="dxa"/>
            <w:tcBorders>
              <w:top w:val="single" w:sz="4" w:space="0" w:color="auto"/>
              <w:left w:val="single" w:sz="4" w:space="0" w:color="auto"/>
              <w:bottom w:val="single" w:sz="4" w:space="0" w:color="auto"/>
              <w:right w:val="single" w:sz="4" w:space="0" w:color="auto"/>
            </w:tcBorders>
            <w:vAlign w:val="center"/>
            <w:hideMark/>
          </w:tcPr>
          <w:p w14:paraId="72E7F3D7"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2021</w:t>
            </w:r>
          </w:p>
        </w:tc>
        <w:tc>
          <w:tcPr>
            <w:tcW w:w="696" w:type="dxa"/>
            <w:tcBorders>
              <w:top w:val="single" w:sz="4" w:space="0" w:color="auto"/>
              <w:left w:val="single" w:sz="4" w:space="0" w:color="auto"/>
              <w:bottom w:val="single" w:sz="4" w:space="0" w:color="auto"/>
              <w:right w:val="single" w:sz="4" w:space="0" w:color="auto"/>
            </w:tcBorders>
            <w:vAlign w:val="center"/>
            <w:hideMark/>
          </w:tcPr>
          <w:p w14:paraId="478279EA"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2022</w:t>
            </w:r>
          </w:p>
        </w:tc>
        <w:tc>
          <w:tcPr>
            <w:tcW w:w="695" w:type="dxa"/>
            <w:gridSpan w:val="2"/>
            <w:tcBorders>
              <w:top w:val="single" w:sz="4" w:space="0" w:color="auto"/>
              <w:left w:val="single" w:sz="4" w:space="0" w:color="auto"/>
              <w:bottom w:val="single" w:sz="4" w:space="0" w:color="auto"/>
              <w:right w:val="single" w:sz="4" w:space="0" w:color="auto"/>
            </w:tcBorders>
            <w:vAlign w:val="center"/>
            <w:hideMark/>
          </w:tcPr>
          <w:p w14:paraId="738BD4C1"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2023</w:t>
            </w:r>
          </w:p>
        </w:tc>
        <w:tc>
          <w:tcPr>
            <w:tcW w:w="696" w:type="dxa"/>
            <w:tcBorders>
              <w:top w:val="single" w:sz="4" w:space="0" w:color="auto"/>
              <w:left w:val="single" w:sz="4" w:space="0" w:color="auto"/>
              <w:bottom w:val="single" w:sz="4" w:space="0" w:color="auto"/>
              <w:right w:val="single" w:sz="4" w:space="0" w:color="auto"/>
            </w:tcBorders>
            <w:vAlign w:val="center"/>
            <w:hideMark/>
          </w:tcPr>
          <w:p w14:paraId="566DECA5"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2024</w:t>
            </w:r>
          </w:p>
        </w:tc>
        <w:tc>
          <w:tcPr>
            <w:tcW w:w="696" w:type="dxa"/>
            <w:tcBorders>
              <w:top w:val="single" w:sz="4" w:space="0" w:color="auto"/>
              <w:left w:val="single" w:sz="4" w:space="0" w:color="auto"/>
              <w:bottom w:val="single" w:sz="4" w:space="0" w:color="auto"/>
              <w:right w:val="single" w:sz="4" w:space="0" w:color="auto"/>
            </w:tcBorders>
            <w:vAlign w:val="center"/>
            <w:hideMark/>
          </w:tcPr>
          <w:p w14:paraId="521C4B95"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2025</w:t>
            </w:r>
          </w:p>
        </w:tc>
        <w:tc>
          <w:tcPr>
            <w:tcW w:w="695" w:type="dxa"/>
            <w:gridSpan w:val="2"/>
            <w:tcBorders>
              <w:top w:val="single" w:sz="4" w:space="0" w:color="auto"/>
              <w:left w:val="single" w:sz="4" w:space="0" w:color="auto"/>
              <w:bottom w:val="single" w:sz="4" w:space="0" w:color="auto"/>
              <w:right w:val="single" w:sz="4" w:space="0" w:color="auto"/>
            </w:tcBorders>
            <w:vAlign w:val="center"/>
            <w:hideMark/>
          </w:tcPr>
          <w:p w14:paraId="228C8493"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2026</w:t>
            </w:r>
          </w:p>
        </w:tc>
        <w:tc>
          <w:tcPr>
            <w:tcW w:w="696" w:type="dxa"/>
            <w:tcBorders>
              <w:top w:val="single" w:sz="4" w:space="0" w:color="auto"/>
              <w:left w:val="single" w:sz="4" w:space="0" w:color="auto"/>
              <w:bottom w:val="single" w:sz="4" w:space="0" w:color="auto"/>
              <w:right w:val="single" w:sz="4" w:space="0" w:color="auto"/>
            </w:tcBorders>
            <w:vAlign w:val="center"/>
            <w:hideMark/>
          </w:tcPr>
          <w:p w14:paraId="03C6AF08"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2027</w:t>
            </w:r>
          </w:p>
        </w:tc>
        <w:tc>
          <w:tcPr>
            <w:tcW w:w="695" w:type="dxa"/>
            <w:gridSpan w:val="2"/>
            <w:tcBorders>
              <w:top w:val="single" w:sz="4" w:space="0" w:color="auto"/>
              <w:left w:val="single" w:sz="4" w:space="0" w:color="auto"/>
              <w:bottom w:val="single" w:sz="4" w:space="0" w:color="auto"/>
              <w:right w:val="single" w:sz="4" w:space="0" w:color="auto"/>
            </w:tcBorders>
            <w:vAlign w:val="center"/>
            <w:hideMark/>
          </w:tcPr>
          <w:p w14:paraId="78357F26"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2028</w:t>
            </w:r>
          </w:p>
        </w:tc>
        <w:tc>
          <w:tcPr>
            <w:tcW w:w="696" w:type="dxa"/>
            <w:tcBorders>
              <w:top w:val="single" w:sz="4" w:space="0" w:color="auto"/>
              <w:left w:val="single" w:sz="4" w:space="0" w:color="auto"/>
              <w:bottom w:val="single" w:sz="4" w:space="0" w:color="auto"/>
              <w:right w:val="single" w:sz="4" w:space="0" w:color="auto"/>
            </w:tcBorders>
            <w:vAlign w:val="center"/>
            <w:hideMark/>
          </w:tcPr>
          <w:p w14:paraId="375BCC51"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2029</w:t>
            </w:r>
          </w:p>
        </w:tc>
        <w:tc>
          <w:tcPr>
            <w:tcW w:w="696" w:type="dxa"/>
            <w:tcBorders>
              <w:top w:val="single" w:sz="4" w:space="0" w:color="auto"/>
              <w:left w:val="single" w:sz="4" w:space="0" w:color="auto"/>
              <w:bottom w:val="single" w:sz="4" w:space="0" w:color="auto"/>
              <w:right w:val="single" w:sz="4" w:space="0" w:color="auto"/>
            </w:tcBorders>
            <w:vAlign w:val="center"/>
            <w:hideMark/>
          </w:tcPr>
          <w:p w14:paraId="57BA0E79"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2030</w:t>
            </w:r>
          </w:p>
        </w:tc>
      </w:tr>
      <w:tr w:rsidR="00C60FCD" w:rsidRPr="000F0299" w14:paraId="473E0A79" w14:textId="77777777" w:rsidTr="00A8707F">
        <w:tc>
          <w:tcPr>
            <w:tcW w:w="0" w:type="auto"/>
            <w:vMerge/>
            <w:tcBorders>
              <w:top w:val="single" w:sz="4" w:space="0" w:color="auto"/>
              <w:left w:val="single" w:sz="4" w:space="0" w:color="auto"/>
              <w:bottom w:val="single" w:sz="4" w:space="0" w:color="auto"/>
              <w:right w:val="single" w:sz="4" w:space="0" w:color="auto"/>
            </w:tcBorders>
            <w:vAlign w:val="center"/>
            <w:hideMark/>
          </w:tcPr>
          <w:p w14:paraId="41BA0702" w14:textId="77777777" w:rsidR="00C60FCD" w:rsidRPr="000F0299" w:rsidRDefault="00C60FCD" w:rsidP="00A8707F">
            <w:pPr>
              <w:suppressAutoHyphens w:val="0"/>
              <w:autoSpaceDN/>
              <w:spacing w:before="0"/>
              <w:ind w:firstLine="0"/>
              <w:jc w:val="left"/>
              <w:textAlignment w:val="auto"/>
              <w:rPr>
                <w:rFonts w:eastAsiaTheme="minorHAnsi"/>
                <w:b/>
                <w:bCs/>
                <w:kern w:val="0"/>
                <w:sz w:val="20"/>
                <w:szCs w:val="20"/>
                <w:lang w:eastAsia="en-US" w:bidi="ar-SA"/>
              </w:rPr>
            </w:pPr>
          </w:p>
        </w:tc>
        <w:tc>
          <w:tcPr>
            <w:tcW w:w="695" w:type="dxa"/>
            <w:tcBorders>
              <w:top w:val="single" w:sz="4" w:space="0" w:color="auto"/>
              <w:left w:val="single" w:sz="4" w:space="0" w:color="auto"/>
              <w:bottom w:val="single" w:sz="4" w:space="0" w:color="auto"/>
              <w:right w:val="single" w:sz="4" w:space="0" w:color="auto"/>
            </w:tcBorders>
            <w:hideMark/>
          </w:tcPr>
          <w:p w14:paraId="18ABBCBC"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w:t>
            </w:r>
          </w:p>
        </w:tc>
        <w:tc>
          <w:tcPr>
            <w:tcW w:w="696" w:type="dxa"/>
            <w:tcBorders>
              <w:top w:val="single" w:sz="4" w:space="0" w:color="auto"/>
              <w:left w:val="single" w:sz="4" w:space="0" w:color="auto"/>
              <w:bottom w:val="single" w:sz="4" w:space="0" w:color="auto"/>
              <w:right w:val="single" w:sz="4" w:space="0" w:color="auto"/>
            </w:tcBorders>
            <w:hideMark/>
          </w:tcPr>
          <w:p w14:paraId="0F742615"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w:t>
            </w:r>
          </w:p>
        </w:tc>
        <w:tc>
          <w:tcPr>
            <w:tcW w:w="695" w:type="dxa"/>
            <w:gridSpan w:val="2"/>
            <w:tcBorders>
              <w:top w:val="single" w:sz="4" w:space="0" w:color="auto"/>
              <w:left w:val="single" w:sz="4" w:space="0" w:color="auto"/>
              <w:bottom w:val="single" w:sz="4" w:space="0" w:color="auto"/>
              <w:right w:val="single" w:sz="4" w:space="0" w:color="auto"/>
            </w:tcBorders>
            <w:hideMark/>
          </w:tcPr>
          <w:p w14:paraId="75E5A66D"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w:t>
            </w:r>
          </w:p>
        </w:tc>
        <w:tc>
          <w:tcPr>
            <w:tcW w:w="696" w:type="dxa"/>
            <w:tcBorders>
              <w:top w:val="single" w:sz="4" w:space="0" w:color="auto"/>
              <w:left w:val="single" w:sz="4" w:space="0" w:color="auto"/>
              <w:bottom w:val="single" w:sz="4" w:space="0" w:color="auto"/>
              <w:right w:val="single" w:sz="4" w:space="0" w:color="auto"/>
            </w:tcBorders>
            <w:hideMark/>
          </w:tcPr>
          <w:p w14:paraId="062EA9A6"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3</w:t>
            </w:r>
          </w:p>
        </w:tc>
        <w:tc>
          <w:tcPr>
            <w:tcW w:w="696" w:type="dxa"/>
            <w:tcBorders>
              <w:top w:val="single" w:sz="4" w:space="0" w:color="auto"/>
              <w:left w:val="single" w:sz="4" w:space="0" w:color="auto"/>
              <w:bottom w:val="single" w:sz="4" w:space="0" w:color="auto"/>
              <w:right w:val="single" w:sz="4" w:space="0" w:color="auto"/>
            </w:tcBorders>
            <w:hideMark/>
          </w:tcPr>
          <w:p w14:paraId="472EF722"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695" w:type="dxa"/>
            <w:gridSpan w:val="2"/>
            <w:tcBorders>
              <w:top w:val="single" w:sz="4" w:space="0" w:color="auto"/>
              <w:left w:val="single" w:sz="4" w:space="0" w:color="auto"/>
              <w:bottom w:val="single" w:sz="4" w:space="0" w:color="auto"/>
              <w:right w:val="single" w:sz="4" w:space="0" w:color="auto"/>
            </w:tcBorders>
            <w:hideMark/>
          </w:tcPr>
          <w:p w14:paraId="6FCBA52C"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696" w:type="dxa"/>
            <w:tcBorders>
              <w:top w:val="single" w:sz="4" w:space="0" w:color="auto"/>
              <w:left w:val="single" w:sz="4" w:space="0" w:color="auto"/>
              <w:bottom w:val="single" w:sz="4" w:space="0" w:color="auto"/>
              <w:right w:val="single" w:sz="4" w:space="0" w:color="auto"/>
            </w:tcBorders>
            <w:hideMark/>
          </w:tcPr>
          <w:p w14:paraId="728C704F"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695" w:type="dxa"/>
            <w:gridSpan w:val="2"/>
            <w:tcBorders>
              <w:top w:val="single" w:sz="4" w:space="0" w:color="auto"/>
              <w:left w:val="single" w:sz="4" w:space="0" w:color="auto"/>
              <w:bottom w:val="single" w:sz="4" w:space="0" w:color="auto"/>
              <w:right w:val="single" w:sz="4" w:space="0" w:color="auto"/>
            </w:tcBorders>
            <w:hideMark/>
          </w:tcPr>
          <w:p w14:paraId="10BD7320"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696" w:type="dxa"/>
            <w:tcBorders>
              <w:top w:val="single" w:sz="4" w:space="0" w:color="auto"/>
              <w:left w:val="single" w:sz="4" w:space="0" w:color="auto"/>
              <w:bottom w:val="single" w:sz="4" w:space="0" w:color="auto"/>
              <w:right w:val="single" w:sz="4" w:space="0" w:color="auto"/>
            </w:tcBorders>
            <w:hideMark/>
          </w:tcPr>
          <w:p w14:paraId="4EF63FCE"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696" w:type="dxa"/>
            <w:tcBorders>
              <w:top w:val="single" w:sz="4" w:space="0" w:color="auto"/>
              <w:left w:val="single" w:sz="4" w:space="0" w:color="auto"/>
              <w:bottom w:val="single" w:sz="4" w:space="0" w:color="auto"/>
              <w:right w:val="single" w:sz="4" w:space="0" w:color="auto"/>
            </w:tcBorders>
            <w:hideMark/>
          </w:tcPr>
          <w:p w14:paraId="57FAAFFB" w14:textId="77777777" w:rsidR="00C60FCD" w:rsidRPr="000F0299" w:rsidRDefault="00C60FCD" w:rsidP="00A8707F">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r>
      <w:tr w:rsidR="00C60FCD" w:rsidRPr="000F0299" w14:paraId="50F3FEEF" w14:textId="77777777" w:rsidTr="00A8707F">
        <w:tc>
          <w:tcPr>
            <w:tcW w:w="2142" w:type="dxa"/>
            <w:tcBorders>
              <w:top w:val="single" w:sz="4" w:space="0" w:color="auto"/>
              <w:left w:val="single" w:sz="4" w:space="0" w:color="auto"/>
              <w:bottom w:val="single" w:sz="4" w:space="0" w:color="auto"/>
              <w:right w:val="single" w:sz="4" w:space="0" w:color="auto"/>
            </w:tcBorders>
            <w:hideMark/>
          </w:tcPr>
          <w:p w14:paraId="32249914" w14:textId="77777777" w:rsidR="00C60FCD" w:rsidRPr="000F0299" w:rsidRDefault="00C60FCD" w:rsidP="00A8707F">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6956" w:type="dxa"/>
            <w:gridSpan w:val="13"/>
            <w:tcBorders>
              <w:top w:val="single" w:sz="4" w:space="0" w:color="auto"/>
              <w:left w:val="single" w:sz="4" w:space="0" w:color="auto"/>
              <w:bottom w:val="single" w:sz="4" w:space="0" w:color="auto"/>
              <w:right w:val="single" w:sz="4" w:space="0" w:color="auto"/>
            </w:tcBorders>
            <w:vAlign w:val="center"/>
            <w:hideMark/>
          </w:tcPr>
          <w:p w14:paraId="411154EE" w14:textId="57C41DF7" w:rsidR="00C60FCD" w:rsidRPr="000F0299" w:rsidRDefault="006D3202" w:rsidP="00A8707F">
            <w:pPr>
              <w:suppressAutoHyphens w:val="0"/>
              <w:autoSpaceDN/>
              <w:spacing w:before="0"/>
              <w:ind w:firstLine="0"/>
              <w:jc w:val="left"/>
              <w:textAlignment w:val="auto"/>
              <w:rPr>
                <w:rFonts w:eastAsiaTheme="minorHAnsi"/>
                <w:color w:val="000000" w:themeColor="text1"/>
                <w:kern w:val="0"/>
                <w:sz w:val="20"/>
                <w:szCs w:val="20"/>
                <w:lang w:eastAsia="en-GB" w:bidi="ar-SA"/>
              </w:rPr>
            </w:pPr>
            <w:r w:rsidRPr="006D3202">
              <w:rPr>
                <w:rFonts w:eastAsiaTheme="minorHAnsi"/>
                <w:color w:val="000000" w:themeColor="text1"/>
                <w:kern w:val="24"/>
                <w:sz w:val="20"/>
                <w:szCs w:val="20"/>
                <w:lang w:eastAsia="en-US" w:bidi="ar-SA"/>
              </w:rPr>
              <w:t>Одступање од циљне вредности се неће сматрати успехом.</w:t>
            </w:r>
          </w:p>
        </w:tc>
      </w:tr>
    </w:tbl>
    <w:p w14:paraId="231A3F72" w14:textId="77777777" w:rsidR="00A8707F" w:rsidRPr="000F0299" w:rsidRDefault="00A8707F">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69A135FF" w14:textId="32333697" w:rsidR="00C60FCD" w:rsidRPr="000F0299" w:rsidRDefault="00C60FCD" w:rsidP="00BE55B6">
      <w:pPr>
        <w:ind w:firstLine="0"/>
        <w:rPr>
          <w:b/>
          <w:bCs/>
          <w:color w:val="2F5496" w:themeColor="accent1" w:themeShade="BF"/>
        </w:rPr>
      </w:pPr>
      <w:r w:rsidRPr="000F0299">
        <w:rPr>
          <w:b/>
          <w:bCs/>
          <w:color w:val="2F5496" w:themeColor="accent1" w:themeShade="BF"/>
        </w:rPr>
        <w:t>Показатељ 2</w:t>
      </w:r>
    </w:p>
    <w:tbl>
      <w:tblPr>
        <w:tblW w:w="90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87"/>
        <w:gridCol w:w="721"/>
        <w:gridCol w:w="721"/>
        <w:gridCol w:w="328"/>
        <w:gridCol w:w="393"/>
        <w:gridCol w:w="721"/>
        <w:gridCol w:w="721"/>
        <w:gridCol w:w="122"/>
        <w:gridCol w:w="599"/>
        <w:gridCol w:w="721"/>
        <w:gridCol w:w="721"/>
        <w:gridCol w:w="58"/>
        <w:gridCol w:w="663"/>
        <w:gridCol w:w="722"/>
      </w:tblGrid>
      <w:tr w:rsidR="00C60FCD" w:rsidRPr="000F0299" w14:paraId="5CC784FC" w14:textId="77777777" w:rsidTr="00854F19">
        <w:tc>
          <w:tcPr>
            <w:tcW w:w="18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A163C2" w14:textId="77777777" w:rsidR="00C60FCD" w:rsidRPr="000F0299" w:rsidRDefault="00C60FCD" w:rsidP="00854F19">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показатеља</w:t>
            </w:r>
          </w:p>
        </w:tc>
        <w:tc>
          <w:tcPr>
            <w:tcW w:w="7211"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7CE771" w14:textId="77777777" w:rsidR="00C60FCD" w:rsidRPr="000F0299" w:rsidRDefault="00C60FCD" w:rsidP="00854F19">
            <w:pPr>
              <w:suppressAutoHyphens w:val="0"/>
              <w:autoSpaceDN/>
              <w:spacing w:before="0"/>
              <w:ind w:firstLine="0"/>
              <w:textAlignment w:val="auto"/>
              <w:rPr>
                <w:rFonts w:eastAsiaTheme="minorHAnsi"/>
                <w:b/>
                <w:bCs/>
                <w:color w:val="000000" w:themeColor="text1"/>
                <w:kern w:val="0"/>
                <w:sz w:val="20"/>
                <w:szCs w:val="20"/>
                <w:lang w:eastAsia="en-US" w:bidi="ar-SA"/>
              </w:rPr>
            </w:pPr>
            <w:r w:rsidRPr="000F0299">
              <w:rPr>
                <w:rFonts w:eastAsiaTheme="minorHAnsi"/>
                <w:b/>
                <w:bCs/>
                <w:color w:val="000000" w:themeColor="text1"/>
                <w:kern w:val="0"/>
                <w:sz w:val="20"/>
                <w:szCs w:val="20"/>
                <w:lang w:eastAsia="en-US" w:bidi="ar-SA"/>
              </w:rPr>
              <w:t>Дистрибуција исхода вредновања радне успешности одговара стандардима УЉР</w:t>
            </w:r>
          </w:p>
        </w:tc>
      </w:tr>
      <w:tr w:rsidR="00C60FCD" w:rsidRPr="000F0299" w14:paraId="7787BD8A" w14:textId="77777777" w:rsidTr="00854F19">
        <w:tc>
          <w:tcPr>
            <w:tcW w:w="1887" w:type="dxa"/>
            <w:tcBorders>
              <w:top w:val="single" w:sz="4" w:space="0" w:color="auto"/>
              <w:left w:val="single" w:sz="4" w:space="0" w:color="auto"/>
              <w:bottom w:val="single" w:sz="4" w:space="0" w:color="auto"/>
              <w:right w:val="single" w:sz="4" w:space="0" w:color="auto"/>
            </w:tcBorders>
            <w:hideMark/>
          </w:tcPr>
          <w:p w14:paraId="6D459475" w14:textId="77777777" w:rsidR="00C60FCD" w:rsidRPr="000F0299" w:rsidRDefault="00C60FCD" w:rsidP="00854F1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7211" w:type="dxa"/>
            <w:gridSpan w:val="13"/>
            <w:tcBorders>
              <w:top w:val="single" w:sz="4" w:space="0" w:color="auto"/>
              <w:left w:val="single" w:sz="4" w:space="0" w:color="auto"/>
              <w:bottom w:val="single" w:sz="4" w:space="0" w:color="auto"/>
              <w:right w:val="single" w:sz="4" w:space="0" w:color="auto"/>
            </w:tcBorders>
          </w:tcPr>
          <w:p w14:paraId="51F322B8" w14:textId="0B4F6407" w:rsidR="00C60FCD" w:rsidRPr="000F0299" w:rsidRDefault="00D341C9" w:rsidP="004F210F">
            <w:pPr>
              <w:suppressAutoHyphens w:val="0"/>
              <w:autoSpaceDN/>
              <w:spacing w:before="0"/>
              <w:ind w:firstLine="0"/>
              <w:textAlignment w:val="auto"/>
              <w:rPr>
                <w:rFonts w:eastAsiaTheme="minorHAnsi"/>
                <w:color w:val="000000" w:themeColor="text1"/>
                <w:kern w:val="24"/>
                <w:sz w:val="20"/>
                <w:szCs w:val="20"/>
                <w:lang w:eastAsia="en-US" w:bidi="ar-SA"/>
              </w:rPr>
            </w:pPr>
            <w:r w:rsidRPr="000F0299">
              <w:rPr>
                <w:rFonts w:eastAsiaTheme="minorHAnsi"/>
                <w:b/>
                <w:bCs/>
                <w:color w:val="000000" w:themeColor="text1"/>
                <w:kern w:val="24"/>
                <w:sz w:val="20"/>
                <w:szCs w:val="20"/>
                <w:lang w:eastAsia="en-US" w:bidi="ar-SA"/>
              </w:rPr>
              <w:t>Meрa</w:t>
            </w:r>
            <w:r w:rsidR="00C60FCD" w:rsidRPr="000F0299">
              <w:rPr>
                <w:rFonts w:eastAsiaTheme="minorHAnsi"/>
                <w:b/>
                <w:bCs/>
                <w:color w:val="000000" w:themeColor="text1"/>
                <w:kern w:val="24"/>
                <w:sz w:val="20"/>
                <w:szCs w:val="20"/>
                <w:lang w:eastAsia="en-US" w:bidi="ar-SA"/>
              </w:rPr>
              <w:t xml:space="preserve"> 2.2.1:</w:t>
            </w:r>
            <w:r w:rsidR="00C60FCD" w:rsidRPr="000F0299">
              <w:rPr>
                <w:rFonts w:eastAsiaTheme="minorHAnsi"/>
                <w:color w:val="000000" w:themeColor="text1"/>
                <w:kern w:val="24"/>
                <w:sz w:val="20"/>
                <w:szCs w:val="20"/>
                <w:lang w:eastAsia="en-US" w:bidi="ar-SA"/>
              </w:rPr>
              <w:t xml:space="preserve"> Развој окружења за ефикасног, иновативног и мотивисаног државног службеника</w:t>
            </w:r>
          </w:p>
        </w:tc>
      </w:tr>
      <w:tr w:rsidR="00854F19" w:rsidRPr="000F0299" w14:paraId="43D7498D" w14:textId="77777777" w:rsidTr="00854F19">
        <w:tc>
          <w:tcPr>
            <w:tcW w:w="1887" w:type="dxa"/>
            <w:tcBorders>
              <w:top w:val="single" w:sz="4" w:space="0" w:color="auto"/>
              <w:left w:val="single" w:sz="4" w:space="0" w:color="auto"/>
              <w:bottom w:val="single" w:sz="4" w:space="0" w:color="auto"/>
              <w:right w:val="single" w:sz="4" w:space="0" w:color="auto"/>
            </w:tcBorders>
            <w:hideMark/>
          </w:tcPr>
          <w:p w14:paraId="2D7F4906" w14:textId="77777777" w:rsidR="00854F19" w:rsidRPr="000F0299" w:rsidRDefault="00854F19" w:rsidP="00854F1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605" w:type="dxa"/>
            <w:gridSpan w:val="6"/>
            <w:tcBorders>
              <w:top w:val="single" w:sz="4" w:space="0" w:color="auto"/>
              <w:left w:val="single" w:sz="4" w:space="0" w:color="auto"/>
              <w:bottom w:val="single" w:sz="4" w:space="0" w:color="auto"/>
              <w:right w:val="single" w:sz="4" w:space="0" w:color="auto"/>
            </w:tcBorders>
          </w:tcPr>
          <w:p w14:paraId="123C526C" w14:textId="416CFA18" w:rsidR="00854F19" w:rsidRPr="000F0299" w:rsidRDefault="00854F19" w:rsidP="004F210F">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Квантитативни показатељ </w:t>
            </w:r>
          </w:p>
        </w:tc>
        <w:tc>
          <w:tcPr>
            <w:tcW w:w="3606" w:type="dxa"/>
            <w:gridSpan w:val="7"/>
            <w:tcBorders>
              <w:top w:val="single" w:sz="4" w:space="0" w:color="auto"/>
              <w:left w:val="single" w:sz="4" w:space="0" w:color="auto"/>
              <w:bottom w:val="single" w:sz="4" w:space="0" w:color="auto"/>
              <w:right w:val="single" w:sz="4" w:space="0" w:color="auto"/>
            </w:tcBorders>
          </w:tcPr>
          <w:p w14:paraId="22EB9C48" w14:textId="246A187F" w:rsidR="00854F19" w:rsidRPr="000F0299" w:rsidRDefault="00854F19" w:rsidP="004F210F">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На нивоу излазног резултата</w:t>
            </w:r>
          </w:p>
        </w:tc>
      </w:tr>
      <w:tr w:rsidR="00854F19" w:rsidRPr="000F0299" w14:paraId="51A3DD26" w14:textId="77777777" w:rsidTr="00C45368">
        <w:tc>
          <w:tcPr>
            <w:tcW w:w="1887" w:type="dxa"/>
            <w:tcBorders>
              <w:top w:val="single" w:sz="4" w:space="0" w:color="auto"/>
              <w:left w:val="single" w:sz="4" w:space="0" w:color="auto"/>
              <w:bottom w:val="single" w:sz="4" w:space="0" w:color="auto"/>
              <w:right w:val="single" w:sz="4" w:space="0" w:color="auto"/>
            </w:tcBorders>
            <w:hideMark/>
          </w:tcPr>
          <w:p w14:paraId="352D866E" w14:textId="77777777" w:rsidR="00854F19" w:rsidRPr="000F0299" w:rsidRDefault="00854F19" w:rsidP="00854F1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605" w:type="dxa"/>
            <w:gridSpan w:val="6"/>
            <w:tcBorders>
              <w:top w:val="single" w:sz="4" w:space="0" w:color="auto"/>
              <w:left w:val="single" w:sz="4" w:space="0" w:color="auto"/>
              <w:bottom w:val="single" w:sz="4" w:space="0" w:color="auto"/>
              <w:right w:val="single" w:sz="4" w:space="0" w:color="auto"/>
            </w:tcBorders>
          </w:tcPr>
          <w:p w14:paraId="297961F7" w14:textId="57B65DCF" w:rsidR="00854F19" w:rsidRPr="000F0299" w:rsidRDefault="00854F19" w:rsidP="004F210F">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Процентуални на скали од 0-100%</w:t>
            </w:r>
          </w:p>
        </w:tc>
        <w:tc>
          <w:tcPr>
            <w:tcW w:w="3606" w:type="dxa"/>
            <w:gridSpan w:val="7"/>
            <w:tcBorders>
              <w:top w:val="single" w:sz="4" w:space="0" w:color="auto"/>
              <w:left w:val="single" w:sz="4" w:space="0" w:color="auto"/>
              <w:bottom w:val="single" w:sz="4" w:space="0" w:color="auto"/>
              <w:right w:val="single" w:sz="4" w:space="0" w:color="auto"/>
            </w:tcBorders>
          </w:tcPr>
          <w:p w14:paraId="276B1225" w14:textId="4F2C1411" w:rsidR="00854F19" w:rsidRPr="000F0299" w:rsidRDefault="00854F19" w:rsidP="004F210F">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Смањена вредност показатеља пожељна у оквиру дефинисаног распона</w:t>
            </w:r>
          </w:p>
        </w:tc>
      </w:tr>
      <w:tr w:rsidR="00C60FCD" w:rsidRPr="000F0299" w14:paraId="501E1B60" w14:textId="77777777" w:rsidTr="00854F19">
        <w:tc>
          <w:tcPr>
            <w:tcW w:w="1887" w:type="dxa"/>
            <w:tcBorders>
              <w:top w:val="single" w:sz="4" w:space="0" w:color="auto"/>
              <w:left w:val="single" w:sz="4" w:space="0" w:color="auto"/>
              <w:bottom w:val="single" w:sz="4" w:space="0" w:color="auto"/>
              <w:right w:val="single" w:sz="4" w:space="0" w:color="auto"/>
            </w:tcBorders>
            <w:hideMark/>
          </w:tcPr>
          <w:p w14:paraId="1667CE21" w14:textId="77777777" w:rsidR="00C60FCD" w:rsidRPr="000F0299" w:rsidRDefault="00C60FCD" w:rsidP="00854F1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7211" w:type="dxa"/>
            <w:gridSpan w:val="13"/>
            <w:tcBorders>
              <w:top w:val="single" w:sz="4" w:space="0" w:color="auto"/>
              <w:left w:val="single" w:sz="4" w:space="0" w:color="auto"/>
              <w:bottom w:val="single" w:sz="4" w:space="0" w:color="auto"/>
              <w:right w:val="single" w:sz="4" w:space="0" w:color="auto"/>
            </w:tcBorders>
            <w:hideMark/>
          </w:tcPr>
          <w:p w14:paraId="275B7ADE" w14:textId="77777777"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Подаци ће бити прикупљани  на националном нивоу.</w:t>
            </w:r>
          </w:p>
          <w:p w14:paraId="4565092F" w14:textId="0A39A21F" w:rsidR="00C60FCD" w:rsidRPr="000F0299" w:rsidRDefault="00C60FCD" w:rsidP="004F210F">
            <w:pPr>
              <w:suppressAutoHyphens w:val="0"/>
              <w:autoSpaceDN/>
              <w:spacing w:before="0"/>
              <w:ind w:firstLine="0"/>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 xml:space="preserve">Извор: </w:t>
            </w:r>
            <w:r w:rsidRPr="000F0299">
              <w:rPr>
                <w:rFonts w:eastAsiaTheme="minorHAnsi"/>
                <w:color w:val="000000" w:themeColor="text1"/>
                <w:kern w:val="0"/>
                <w:sz w:val="20"/>
                <w:szCs w:val="20"/>
                <w:lang w:eastAsia="en-GB" w:bidi="ar-SA"/>
              </w:rPr>
              <w:t>Извештај СУК-а о вредновању радне успешности</w:t>
            </w:r>
          </w:p>
        </w:tc>
      </w:tr>
      <w:tr w:rsidR="00C60FCD" w:rsidRPr="000F0299" w14:paraId="7B8C15D5" w14:textId="77777777" w:rsidTr="00854F19">
        <w:tc>
          <w:tcPr>
            <w:tcW w:w="1887" w:type="dxa"/>
            <w:tcBorders>
              <w:top w:val="single" w:sz="4" w:space="0" w:color="auto"/>
              <w:left w:val="single" w:sz="4" w:space="0" w:color="auto"/>
              <w:bottom w:val="single" w:sz="4" w:space="0" w:color="auto"/>
              <w:right w:val="single" w:sz="4" w:space="0" w:color="auto"/>
            </w:tcBorders>
            <w:hideMark/>
          </w:tcPr>
          <w:p w14:paraId="2E0D20C5" w14:textId="77777777" w:rsidR="00C60FCD" w:rsidRPr="000F0299" w:rsidRDefault="00C60FCD" w:rsidP="00854F1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носиоца прикупљања података</w:t>
            </w:r>
          </w:p>
        </w:tc>
        <w:tc>
          <w:tcPr>
            <w:tcW w:w="7211" w:type="dxa"/>
            <w:gridSpan w:val="13"/>
            <w:tcBorders>
              <w:top w:val="single" w:sz="4" w:space="0" w:color="auto"/>
              <w:left w:val="single" w:sz="4" w:space="0" w:color="auto"/>
              <w:bottom w:val="single" w:sz="4" w:space="0" w:color="auto"/>
              <w:right w:val="single" w:sz="4" w:space="0" w:color="auto"/>
            </w:tcBorders>
          </w:tcPr>
          <w:p w14:paraId="48AEF8D0" w14:textId="04341915" w:rsidR="00C60FCD" w:rsidRPr="000F0299" w:rsidRDefault="00C60FCD" w:rsidP="00AE6044">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С</w:t>
            </w:r>
            <w:r w:rsidR="00AE6044">
              <w:rPr>
                <w:rFonts w:eastAsiaTheme="minorHAnsi"/>
                <w:color w:val="000000" w:themeColor="text1"/>
                <w:kern w:val="24"/>
                <w:sz w:val="20"/>
                <w:szCs w:val="20"/>
                <w:lang w:eastAsia="en-GB" w:bidi="ar-SA"/>
              </w:rPr>
              <w:t>лужба за управљање кадровима, Центар за управљање каријером</w:t>
            </w:r>
          </w:p>
        </w:tc>
      </w:tr>
      <w:tr w:rsidR="00C60FCD" w:rsidRPr="000F0299" w14:paraId="79AE8200" w14:textId="77777777" w:rsidTr="00854F19">
        <w:tc>
          <w:tcPr>
            <w:tcW w:w="1887" w:type="dxa"/>
            <w:tcBorders>
              <w:top w:val="single" w:sz="4" w:space="0" w:color="auto"/>
              <w:left w:val="single" w:sz="4" w:space="0" w:color="auto"/>
              <w:bottom w:val="single" w:sz="4" w:space="0" w:color="auto"/>
              <w:right w:val="single" w:sz="4" w:space="0" w:color="auto"/>
            </w:tcBorders>
            <w:hideMark/>
          </w:tcPr>
          <w:p w14:paraId="482E7727" w14:textId="77777777" w:rsidR="00C60FCD" w:rsidRPr="000F0299" w:rsidRDefault="00C60FCD" w:rsidP="00854F1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7211" w:type="dxa"/>
            <w:gridSpan w:val="13"/>
            <w:tcBorders>
              <w:top w:val="single" w:sz="4" w:space="0" w:color="auto"/>
              <w:left w:val="single" w:sz="4" w:space="0" w:color="auto"/>
              <w:bottom w:val="single" w:sz="4" w:space="0" w:color="auto"/>
              <w:right w:val="single" w:sz="4" w:space="0" w:color="auto"/>
            </w:tcBorders>
            <w:hideMark/>
          </w:tcPr>
          <w:p w14:paraId="399DE6DD" w14:textId="77777777" w:rsidR="00C60FCD" w:rsidRPr="000F0299" w:rsidRDefault="00C60FCD" w:rsidP="004F210F">
            <w:pPr>
              <w:suppressAutoHyphens w:val="0"/>
              <w:autoSpaceDN/>
              <w:spacing w:before="0"/>
              <w:ind w:firstLine="0"/>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Једном годишње, у првом кварталу текуће за претходну календарску годину</w:t>
            </w:r>
          </w:p>
        </w:tc>
      </w:tr>
      <w:tr w:rsidR="00C60FCD" w:rsidRPr="000F0299" w14:paraId="6D8190FA" w14:textId="77777777" w:rsidTr="00854F19">
        <w:tc>
          <w:tcPr>
            <w:tcW w:w="1887" w:type="dxa"/>
            <w:tcBorders>
              <w:top w:val="single" w:sz="4" w:space="0" w:color="auto"/>
              <w:left w:val="single" w:sz="4" w:space="0" w:color="auto"/>
              <w:bottom w:val="single" w:sz="4" w:space="0" w:color="auto"/>
              <w:right w:val="single" w:sz="4" w:space="0" w:color="auto"/>
            </w:tcBorders>
            <w:hideMark/>
          </w:tcPr>
          <w:p w14:paraId="36BE3269" w14:textId="77777777" w:rsidR="00C60FCD" w:rsidRPr="000F0299" w:rsidRDefault="00C60FCD" w:rsidP="00854F1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7211" w:type="dxa"/>
            <w:gridSpan w:val="13"/>
            <w:tcBorders>
              <w:top w:val="single" w:sz="4" w:space="0" w:color="auto"/>
              <w:left w:val="single" w:sz="4" w:space="0" w:color="auto"/>
              <w:bottom w:val="single" w:sz="4" w:space="0" w:color="auto"/>
              <w:right w:val="single" w:sz="4" w:space="0" w:color="auto"/>
            </w:tcBorders>
            <w:hideMark/>
          </w:tcPr>
          <w:p w14:paraId="39A0BC17" w14:textId="77777777"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При мерењу овог показатеља, биће обухваћени органи државне управе.</w:t>
            </w:r>
          </w:p>
          <w:p w14:paraId="665C7EF1" w14:textId="154F1DB2"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 xml:space="preserve">Циљ је да се утврди да ли расподела резултата/исхода вредновања успешности одступа од пожељне расподеле оцена тако што ће се напредак у спровођењу новоусвојеног поступка вредновања радне успешности заснованог на процени и вредновању организацијских циљева и </w:t>
            </w:r>
            <w:r w:rsidR="00D341C9" w:rsidRPr="000F0299">
              <w:rPr>
                <w:rFonts w:eastAsiaTheme="minorHAnsi"/>
                <w:color w:val="000000" w:themeColor="text1"/>
                <w:kern w:val="24"/>
                <w:sz w:val="20"/>
                <w:szCs w:val="20"/>
                <w:lang w:eastAsia="en-GB" w:bidi="ar-SA"/>
              </w:rPr>
              <w:t>понашајних</w:t>
            </w:r>
            <w:r w:rsidRPr="000F0299">
              <w:rPr>
                <w:rFonts w:eastAsiaTheme="minorHAnsi"/>
                <w:color w:val="000000" w:themeColor="text1"/>
                <w:kern w:val="24"/>
                <w:sz w:val="20"/>
                <w:szCs w:val="20"/>
                <w:lang w:eastAsia="en-GB" w:bidi="ar-SA"/>
              </w:rPr>
              <w:t xml:space="preserve"> компетенција мерити процентом највиших оцена, односно исходом „превазилази очекивања“.</w:t>
            </w:r>
          </w:p>
          <w:p w14:paraId="057ED36C" w14:textId="77777777" w:rsidR="00C60FCD" w:rsidRPr="000F0299" w:rsidRDefault="00C60FCD" w:rsidP="004F210F">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b/>
                <w:color w:val="000000" w:themeColor="text1"/>
                <w:kern w:val="24"/>
                <w:sz w:val="20"/>
                <w:szCs w:val="20"/>
                <w:lang w:eastAsia="en-GB" w:bidi="ar-SA"/>
              </w:rPr>
              <w:t>Формула прорачуна</w:t>
            </w:r>
            <w:r w:rsidRPr="000F0299">
              <w:rPr>
                <w:rFonts w:eastAsiaTheme="minorHAnsi"/>
                <w:color w:val="000000" w:themeColor="text1"/>
                <w:kern w:val="24"/>
                <w:sz w:val="20"/>
                <w:szCs w:val="20"/>
                <w:lang w:eastAsia="en-GB" w:bidi="ar-SA"/>
              </w:rPr>
              <w:t xml:space="preserve"> – број државних службеника чија је радна успешност вреднована највишом оценом / у односу на укупан број државних службеника чија је радна успешност вреднована * 100 </w:t>
            </w:r>
          </w:p>
        </w:tc>
      </w:tr>
      <w:tr w:rsidR="00C60FCD" w:rsidRPr="000F0299" w14:paraId="5A6BE13D" w14:textId="77777777" w:rsidTr="00854F19">
        <w:tc>
          <w:tcPr>
            <w:tcW w:w="1887" w:type="dxa"/>
            <w:vMerge w:val="restart"/>
            <w:tcBorders>
              <w:top w:val="single" w:sz="4" w:space="0" w:color="auto"/>
              <w:left w:val="single" w:sz="4" w:space="0" w:color="auto"/>
              <w:bottom w:val="single" w:sz="4" w:space="0" w:color="auto"/>
              <w:right w:val="single" w:sz="4" w:space="0" w:color="auto"/>
            </w:tcBorders>
            <w:hideMark/>
          </w:tcPr>
          <w:p w14:paraId="1EA3B03F" w14:textId="77777777" w:rsidR="00C60FCD" w:rsidRPr="000F0299" w:rsidRDefault="00C60FCD" w:rsidP="00854F1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826" w:type="dxa"/>
            <w:gridSpan w:val="11"/>
            <w:tcBorders>
              <w:top w:val="single" w:sz="4" w:space="0" w:color="auto"/>
              <w:left w:val="single" w:sz="4" w:space="0" w:color="auto"/>
              <w:bottom w:val="single" w:sz="4" w:space="0" w:color="auto"/>
              <w:right w:val="single" w:sz="4" w:space="0" w:color="auto"/>
            </w:tcBorders>
            <w:hideMark/>
          </w:tcPr>
          <w:p w14:paraId="08AD2A3F" w14:textId="77777777" w:rsidR="00C60FCD" w:rsidRPr="000F0299" w:rsidRDefault="00C60FCD" w:rsidP="004F210F">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Тренд у прошлости</w:t>
            </w:r>
          </w:p>
          <w:p w14:paraId="763A5FB1" w14:textId="77777777" w:rsidR="00C60FCD" w:rsidRPr="000F0299" w:rsidRDefault="00C60FCD" w:rsidP="004F210F">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До 2019.године претходна деценијска примена поступка оцењивања није дала очекиване резултате, пре свега у погледу објективности у процени индивидуалног учинка. Дистрибуција две највише оцене померена је у десно у односу на нормалну расподелу и била је преко 85%</w:t>
            </w:r>
          </w:p>
        </w:tc>
        <w:tc>
          <w:tcPr>
            <w:tcW w:w="1385" w:type="dxa"/>
            <w:gridSpan w:val="2"/>
            <w:tcBorders>
              <w:top w:val="single" w:sz="4" w:space="0" w:color="auto"/>
              <w:left w:val="single" w:sz="4" w:space="0" w:color="auto"/>
              <w:bottom w:val="single" w:sz="4" w:space="0" w:color="auto"/>
              <w:right w:val="single" w:sz="4" w:space="0" w:color="auto"/>
            </w:tcBorders>
          </w:tcPr>
          <w:p w14:paraId="3875FAF8" w14:textId="77777777" w:rsidR="00C60FCD" w:rsidRPr="000F0299" w:rsidRDefault="00C60FCD" w:rsidP="004F210F">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Полазна вредност</w:t>
            </w:r>
          </w:p>
          <w:p w14:paraId="2129C4B4" w14:textId="77777777" w:rsidR="00C60FCD" w:rsidRPr="000F0299" w:rsidRDefault="00C60FCD" w:rsidP="004F210F">
            <w:pPr>
              <w:suppressAutoHyphens w:val="0"/>
              <w:autoSpaceDN/>
              <w:spacing w:before="0"/>
              <w:ind w:firstLine="0"/>
              <w:textAlignment w:val="auto"/>
              <w:rPr>
                <w:rFonts w:eastAsiaTheme="minorHAnsi"/>
                <w:color w:val="000000" w:themeColor="text1"/>
                <w:kern w:val="0"/>
                <w:sz w:val="20"/>
                <w:szCs w:val="20"/>
                <w:lang w:eastAsia="en-US" w:bidi="ar-SA"/>
              </w:rPr>
            </w:pPr>
          </w:p>
        </w:tc>
      </w:tr>
      <w:tr w:rsidR="00C60FCD" w:rsidRPr="000F0299" w14:paraId="5066BF1A" w14:textId="77777777" w:rsidTr="00854F19">
        <w:tc>
          <w:tcPr>
            <w:tcW w:w="0" w:type="auto"/>
            <w:vMerge/>
            <w:tcBorders>
              <w:top w:val="single" w:sz="4" w:space="0" w:color="auto"/>
              <w:left w:val="single" w:sz="4" w:space="0" w:color="auto"/>
              <w:bottom w:val="single" w:sz="4" w:space="0" w:color="auto"/>
              <w:right w:val="single" w:sz="4" w:space="0" w:color="auto"/>
            </w:tcBorders>
            <w:vAlign w:val="center"/>
            <w:hideMark/>
          </w:tcPr>
          <w:p w14:paraId="77ACD5AC" w14:textId="77777777" w:rsidR="00C60FCD" w:rsidRPr="000F0299" w:rsidRDefault="00C60FCD" w:rsidP="00854F19">
            <w:pPr>
              <w:suppressAutoHyphens w:val="0"/>
              <w:autoSpaceDN/>
              <w:spacing w:before="0"/>
              <w:ind w:firstLine="0"/>
              <w:jc w:val="left"/>
              <w:textAlignment w:val="auto"/>
              <w:rPr>
                <w:rFonts w:eastAsiaTheme="minorHAnsi"/>
                <w:b/>
                <w:bCs/>
                <w:kern w:val="0"/>
                <w:sz w:val="20"/>
                <w:szCs w:val="20"/>
                <w:lang w:eastAsia="en-GB" w:bidi="ar-SA"/>
              </w:rPr>
            </w:pPr>
          </w:p>
        </w:tc>
        <w:tc>
          <w:tcPr>
            <w:tcW w:w="1770" w:type="dxa"/>
            <w:gridSpan w:val="3"/>
            <w:tcBorders>
              <w:top w:val="single" w:sz="4" w:space="0" w:color="auto"/>
              <w:left w:val="single" w:sz="4" w:space="0" w:color="auto"/>
              <w:bottom w:val="single" w:sz="4" w:space="0" w:color="auto"/>
              <w:right w:val="single" w:sz="4" w:space="0" w:color="auto"/>
            </w:tcBorders>
            <w:hideMark/>
          </w:tcPr>
          <w:p w14:paraId="3C8E12A2"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2016</w:t>
            </w:r>
          </w:p>
        </w:tc>
        <w:tc>
          <w:tcPr>
            <w:tcW w:w="1957" w:type="dxa"/>
            <w:gridSpan w:val="4"/>
            <w:tcBorders>
              <w:top w:val="single" w:sz="4" w:space="0" w:color="auto"/>
              <w:left w:val="single" w:sz="4" w:space="0" w:color="auto"/>
              <w:bottom w:val="single" w:sz="4" w:space="0" w:color="auto"/>
              <w:right w:val="single" w:sz="4" w:space="0" w:color="auto"/>
            </w:tcBorders>
            <w:hideMark/>
          </w:tcPr>
          <w:p w14:paraId="316DA11A"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2017</w:t>
            </w:r>
          </w:p>
        </w:tc>
        <w:tc>
          <w:tcPr>
            <w:tcW w:w="2099" w:type="dxa"/>
            <w:gridSpan w:val="4"/>
            <w:tcBorders>
              <w:top w:val="single" w:sz="4" w:space="0" w:color="auto"/>
              <w:left w:val="single" w:sz="4" w:space="0" w:color="auto"/>
              <w:bottom w:val="single" w:sz="4" w:space="0" w:color="auto"/>
              <w:right w:val="single" w:sz="4" w:space="0" w:color="auto"/>
            </w:tcBorders>
            <w:hideMark/>
          </w:tcPr>
          <w:p w14:paraId="55CA2A86"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2018</w:t>
            </w:r>
          </w:p>
        </w:tc>
        <w:tc>
          <w:tcPr>
            <w:tcW w:w="1385" w:type="dxa"/>
            <w:gridSpan w:val="2"/>
            <w:tcBorders>
              <w:top w:val="single" w:sz="4" w:space="0" w:color="auto"/>
              <w:left w:val="single" w:sz="4" w:space="0" w:color="auto"/>
              <w:bottom w:val="single" w:sz="4" w:space="0" w:color="auto"/>
              <w:right w:val="single" w:sz="4" w:space="0" w:color="auto"/>
            </w:tcBorders>
            <w:hideMark/>
          </w:tcPr>
          <w:p w14:paraId="47CE4CD7"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2020</w:t>
            </w:r>
          </w:p>
        </w:tc>
      </w:tr>
      <w:tr w:rsidR="00C60FCD" w:rsidRPr="000F0299" w14:paraId="31BEF224" w14:textId="77777777" w:rsidTr="00854F19">
        <w:tc>
          <w:tcPr>
            <w:tcW w:w="0" w:type="auto"/>
            <w:vMerge/>
            <w:tcBorders>
              <w:top w:val="single" w:sz="4" w:space="0" w:color="auto"/>
              <w:left w:val="single" w:sz="4" w:space="0" w:color="auto"/>
              <w:bottom w:val="single" w:sz="4" w:space="0" w:color="auto"/>
              <w:right w:val="single" w:sz="4" w:space="0" w:color="auto"/>
            </w:tcBorders>
            <w:vAlign w:val="center"/>
            <w:hideMark/>
          </w:tcPr>
          <w:p w14:paraId="10BE30F9" w14:textId="77777777" w:rsidR="00C60FCD" w:rsidRPr="000F0299" w:rsidRDefault="00C60FCD" w:rsidP="00854F19">
            <w:pPr>
              <w:suppressAutoHyphens w:val="0"/>
              <w:autoSpaceDN/>
              <w:spacing w:before="0"/>
              <w:ind w:firstLine="0"/>
              <w:jc w:val="left"/>
              <w:textAlignment w:val="auto"/>
              <w:rPr>
                <w:rFonts w:eastAsiaTheme="minorHAnsi"/>
                <w:b/>
                <w:bCs/>
                <w:kern w:val="0"/>
                <w:sz w:val="20"/>
                <w:szCs w:val="20"/>
                <w:lang w:eastAsia="en-GB" w:bidi="ar-SA"/>
              </w:rPr>
            </w:pPr>
          </w:p>
        </w:tc>
        <w:tc>
          <w:tcPr>
            <w:tcW w:w="1770" w:type="dxa"/>
            <w:gridSpan w:val="3"/>
            <w:tcBorders>
              <w:top w:val="single" w:sz="4" w:space="0" w:color="auto"/>
              <w:left w:val="single" w:sz="4" w:space="0" w:color="auto"/>
              <w:bottom w:val="single" w:sz="4" w:space="0" w:color="auto"/>
              <w:right w:val="single" w:sz="4" w:space="0" w:color="auto"/>
            </w:tcBorders>
          </w:tcPr>
          <w:p w14:paraId="6B6982D7"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p>
        </w:tc>
        <w:tc>
          <w:tcPr>
            <w:tcW w:w="1957" w:type="dxa"/>
            <w:gridSpan w:val="4"/>
            <w:tcBorders>
              <w:top w:val="single" w:sz="4" w:space="0" w:color="auto"/>
              <w:left w:val="single" w:sz="4" w:space="0" w:color="auto"/>
              <w:bottom w:val="single" w:sz="4" w:space="0" w:color="auto"/>
              <w:right w:val="single" w:sz="4" w:space="0" w:color="auto"/>
            </w:tcBorders>
          </w:tcPr>
          <w:p w14:paraId="49CD6FC3"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p>
        </w:tc>
        <w:tc>
          <w:tcPr>
            <w:tcW w:w="2099" w:type="dxa"/>
            <w:gridSpan w:val="4"/>
            <w:tcBorders>
              <w:top w:val="single" w:sz="4" w:space="0" w:color="auto"/>
              <w:left w:val="single" w:sz="4" w:space="0" w:color="auto"/>
              <w:bottom w:val="single" w:sz="4" w:space="0" w:color="auto"/>
              <w:right w:val="single" w:sz="4" w:space="0" w:color="auto"/>
            </w:tcBorders>
          </w:tcPr>
          <w:p w14:paraId="694556D7"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24216F7E"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75%</w:t>
            </w:r>
          </w:p>
        </w:tc>
      </w:tr>
      <w:tr w:rsidR="00C60FCD" w:rsidRPr="000F0299" w14:paraId="0E401F22" w14:textId="77777777" w:rsidTr="00854F19">
        <w:tc>
          <w:tcPr>
            <w:tcW w:w="1887" w:type="dxa"/>
            <w:vMerge w:val="restart"/>
            <w:tcBorders>
              <w:top w:val="single" w:sz="4" w:space="0" w:color="auto"/>
              <w:left w:val="single" w:sz="4" w:space="0" w:color="auto"/>
              <w:bottom w:val="single" w:sz="4" w:space="0" w:color="auto"/>
              <w:right w:val="single" w:sz="4" w:space="0" w:color="auto"/>
            </w:tcBorders>
            <w:hideMark/>
          </w:tcPr>
          <w:p w14:paraId="055C1FDB" w14:textId="77777777" w:rsidR="00C60FCD" w:rsidRPr="000F0299" w:rsidRDefault="00C60FCD" w:rsidP="00854F19">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721" w:type="dxa"/>
            <w:tcBorders>
              <w:top w:val="single" w:sz="4" w:space="0" w:color="auto"/>
              <w:left w:val="single" w:sz="4" w:space="0" w:color="auto"/>
              <w:bottom w:val="single" w:sz="4" w:space="0" w:color="auto"/>
              <w:right w:val="single" w:sz="4" w:space="0" w:color="auto"/>
            </w:tcBorders>
            <w:vAlign w:val="center"/>
            <w:hideMark/>
          </w:tcPr>
          <w:p w14:paraId="3A3EC0B1"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2021</w:t>
            </w:r>
          </w:p>
        </w:tc>
        <w:tc>
          <w:tcPr>
            <w:tcW w:w="721" w:type="dxa"/>
            <w:tcBorders>
              <w:top w:val="single" w:sz="4" w:space="0" w:color="auto"/>
              <w:left w:val="single" w:sz="4" w:space="0" w:color="auto"/>
              <w:bottom w:val="single" w:sz="4" w:space="0" w:color="auto"/>
              <w:right w:val="single" w:sz="4" w:space="0" w:color="auto"/>
            </w:tcBorders>
            <w:vAlign w:val="center"/>
            <w:hideMark/>
          </w:tcPr>
          <w:p w14:paraId="14731F9E"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2022</w:t>
            </w:r>
          </w:p>
        </w:tc>
        <w:tc>
          <w:tcPr>
            <w:tcW w:w="721" w:type="dxa"/>
            <w:gridSpan w:val="2"/>
            <w:tcBorders>
              <w:top w:val="single" w:sz="4" w:space="0" w:color="auto"/>
              <w:left w:val="single" w:sz="4" w:space="0" w:color="auto"/>
              <w:bottom w:val="single" w:sz="4" w:space="0" w:color="auto"/>
              <w:right w:val="single" w:sz="4" w:space="0" w:color="auto"/>
            </w:tcBorders>
            <w:vAlign w:val="center"/>
            <w:hideMark/>
          </w:tcPr>
          <w:p w14:paraId="1F90B7A8"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2023</w:t>
            </w:r>
          </w:p>
        </w:tc>
        <w:tc>
          <w:tcPr>
            <w:tcW w:w="721" w:type="dxa"/>
            <w:tcBorders>
              <w:top w:val="single" w:sz="4" w:space="0" w:color="auto"/>
              <w:left w:val="single" w:sz="4" w:space="0" w:color="auto"/>
              <w:bottom w:val="single" w:sz="4" w:space="0" w:color="auto"/>
              <w:right w:val="single" w:sz="4" w:space="0" w:color="auto"/>
            </w:tcBorders>
            <w:vAlign w:val="center"/>
            <w:hideMark/>
          </w:tcPr>
          <w:p w14:paraId="0DE277E8"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2024</w:t>
            </w:r>
          </w:p>
        </w:tc>
        <w:tc>
          <w:tcPr>
            <w:tcW w:w="721" w:type="dxa"/>
            <w:tcBorders>
              <w:top w:val="single" w:sz="4" w:space="0" w:color="auto"/>
              <w:left w:val="single" w:sz="4" w:space="0" w:color="auto"/>
              <w:bottom w:val="single" w:sz="4" w:space="0" w:color="auto"/>
              <w:right w:val="single" w:sz="4" w:space="0" w:color="auto"/>
            </w:tcBorders>
            <w:vAlign w:val="center"/>
            <w:hideMark/>
          </w:tcPr>
          <w:p w14:paraId="441ECAE2"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2025</w:t>
            </w:r>
          </w:p>
        </w:tc>
        <w:tc>
          <w:tcPr>
            <w:tcW w:w="721" w:type="dxa"/>
            <w:gridSpan w:val="2"/>
            <w:tcBorders>
              <w:top w:val="single" w:sz="4" w:space="0" w:color="auto"/>
              <w:left w:val="single" w:sz="4" w:space="0" w:color="auto"/>
              <w:bottom w:val="single" w:sz="4" w:space="0" w:color="auto"/>
              <w:right w:val="single" w:sz="4" w:space="0" w:color="auto"/>
            </w:tcBorders>
            <w:vAlign w:val="center"/>
            <w:hideMark/>
          </w:tcPr>
          <w:p w14:paraId="6C5A2481"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2026</w:t>
            </w:r>
          </w:p>
        </w:tc>
        <w:tc>
          <w:tcPr>
            <w:tcW w:w="721" w:type="dxa"/>
            <w:tcBorders>
              <w:top w:val="single" w:sz="4" w:space="0" w:color="auto"/>
              <w:left w:val="single" w:sz="4" w:space="0" w:color="auto"/>
              <w:bottom w:val="single" w:sz="4" w:space="0" w:color="auto"/>
              <w:right w:val="single" w:sz="4" w:space="0" w:color="auto"/>
            </w:tcBorders>
            <w:vAlign w:val="center"/>
            <w:hideMark/>
          </w:tcPr>
          <w:p w14:paraId="593751FD"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2027</w:t>
            </w:r>
          </w:p>
        </w:tc>
        <w:tc>
          <w:tcPr>
            <w:tcW w:w="721" w:type="dxa"/>
            <w:tcBorders>
              <w:top w:val="single" w:sz="4" w:space="0" w:color="auto"/>
              <w:left w:val="single" w:sz="4" w:space="0" w:color="auto"/>
              <w:bottom w:val="single" w:sz="4" w:space="0" w:color="auto"/>
              <w:right w:val="single" w:sz="4" w:space="0" w:color="auto"/>
            </w:tcBorders>
            <w:vAlign w:val="center"/>
            <w:hideMark/>
          </w:tcPr>
          <w:p w14:paraId="3A512AC1"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2028</w:t>
            </w:r>
          </w:p>
        </w:tc>
        <w:tc>
          <w:tcPr>
            <w:tcW w:w="721" w:type="dxa"/>
            <w:gridSpan w:val="2"/>
            <w:tcBorders>
              <w:top w:val="single" w:sz="4" w:space="0" w:color="auto"/>
              <w:left w:val="single" w:sz="4" w:space="0" w:color="auto"/>
              <w:bottom w:val="single" w:sz="4" w:space="0" w:color="auto"/>
              <w:right w:val="single" w:sz="4" w:space="0" w:color="auto"/>
            </w:tcBorders>
            <w:vAlign w:val="center"/>
            <w:hideMark/>
          </w:tcPr>
          <w:p w14:paraId="56E211C4"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2029</w:t>
            </w:r>
          </w:p>
        </w:tc>
        <w:tc>
          <w:tcPr>
            <w:tcW w:w="722" w:type="dxa"/>
            <w:tcBorders>
              <w:top w:val="single" w:sz="4" w:space="0" w:color="auto"/>
              <w:left w:val="single" w:sz="4" w:space="0" w:color="auto"/>
              <w:bottom w:val="single" w:sz="4" w:space="0" w:color="auto"/>
              <w:right w:val="single" w:sz="4" w:space="0" w:color="auto"/>
            </w:tcBorders>
            <w:vAlign w:val="center"/>
            <w:hideMark/>
          </w:tcPr>
          <w:p w14:paraId="39D07C5F"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2030</w:t>
            </w:r>
          </w:p>
        </w:tc>
      </w:tr>
      <w:tr w:rsidR="00C60FCD" w:rsidRPr="000F0299" w14:paraId="716763EC" w14:textId="77777777" w:rsidTr="00854F19">
        <w:tc>
          <w:tcPr>
            <w:tcW w:w="0" w:type="auto"/>
            <w:vMerge/>
            <w:tcBorders>
              <w:top w:val="single" w:sz="4" w:space="0" w:color="auto"/>
              <w:left w:val="single" w:sz="4" w:space="0" w:color="auto"/>
              <w:bottom w:val="single" w:sz="4" w:space="0" w:color="auto"/>
              <w:right w:val="single" w:sz="4" w:space="0" w:color="auto"/>
            </w:tcBorders>
            <w:vAlign w:val="center"/>
            <w:hideMark/>
          </w:tcPr>
          <w:p w14:paraId="4CF70DED" w14:textId="77777777" w:rsidR="00C60FCD" w:rsidRPr="000F0299" w:rsidRDefault="00C60FCD" w:rsidP="00854F19">
            <w:pPr>
              <w:suppressAutoHyphens w:val="0"/>
              <w:autoSpaceDN/>
              <w:spacing w:before="0"/>
              <w:ind w:firstLine="0"/>
              <w:jc w:val="left"/>
              <w:textAlignment w:val="auto"/>
              <w:rPr>
                <w:rFonts w:eastAsiaTheme="minorHAnsi"/>
                <w:b/>
                <w:bCs/>
                <w:kern w:val="0"/>
                <w:sz w:val="20"/>
                <w:szCs w:val="20"/>
                <w:lang w:eastAsia="en-US" w:bidi="ar-SA"/>
              </w:rPr>
            </w:pPr>
          </w:p>
        </w:tc>
        <w:tc>
          <w:tcPr>
            <w:tcW w:w="721" w:type="dxa"/>
            <w:tcBorders>
              <w:top w:val="single" w:sz="4" w:space="0" w:color="auto"/>
              <w:left w:val="single" w:sz="4" w:space="0" w:color="auto"/>
              <w:bottom w:val="single" w:sz="4" w:space="0" w:color="auto"/>
              <w:right w:val="single" w:sz="4" w:space="0" w:color="auto"/>
            </w:tcBorders>
            <w:hideMark/>
          </w:tcPr>
          <w:p w14:paraId="3CDE2E3D"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70%</w:t>
            </w:r>
          </w:p>
        </w:tc>
        <w:tc>
          <w:tcPr>
            <w:tcW w:w="721" w:type="dxa"/>
            <w:tcBorders>
              <w:top w:val="single" w:sz="4" w:space="0" w:color="auto"/>
              <w:left w:val="single" w:sz="4" w:space="0" w:color="auto"/>
              <w:bottom w:val="single" w:sz="4" w:space="0" w:color="auto"/>
              <w:right w:val="single" w:sz="4" w:space="0" w:color="auto"/>
            </w:tcBorders>
            <w:hideMark/>
          </w:tcPr>
          <w:p w14:paraId="32A0BEA4"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&lt;70%</w:t>
            </w:r>
          </w:p>
        </w:tc>
        <w:tc>
          <w:tcPr>
            <w:tcW w:w="721" w:type="dxa"/>
            <w:gridSpan w:val="2"/>
            <w:tcBorders>
              <w:top w:val="single" w:sz="4" w:space="0" w:color="auto"/>
              <w:left w:val="single" w:sz="4" w:space="0" w:color="auto"/>
              <w:bottom w:val="single" w:sz="4" w:space="0" w:color="auto"/>
              <w:right w:val="single" w:sz="4" w:space="0" w:color="auto"/>
            </w:tcBorders>
            <w:hideMark/>
          </w:tcPr>
          <w:p w14:paraId="5BBE634E"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&lt;65%</w:t>
            </w:r>
          </w:p>
        </w:tc>
        <w:tc>
          <w:tcPr>
            <w:tcW w:w="721" w:type="dxa"/>
            <w:tcBorders>
              <w:top w:val="single" w:sz="4" w:space="0" w:color="auto"/>
              <w:left w:val="single" w:sz="4" w:space="0" w:color="auto"/>
              <w:bottom w:val="single" w:sz="4" w:space="0" w:color="auto"/>
              <w:right w:val="single" w:sz="4" w:space="0" w:color="auto"/>
            </w:tcBorders>
            <w:hideMark/>
          </w:tcPr>
          <w:p w14:paraId="31F49D59"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50-55%</w:t>
            </w:r>
          </w:p>
        </w:tc>
        <w:tc>
          <w:tcPr>
            <w:tcW w:w="721" w:type="dxa"/>
            <w:tcBorders>
              <w:top w:val="single" w:sz="4" w:space="0" w:color="auto"/>
              <w:left w:val="single" w:sz="4" w:space="0" w:color="auto"/>
              <w:bottom w:val="single" w:sz="4" w:space="0" w:color="auto"/>
              <w:right w:val="single" w:sz="4" w:space="0" w:color="auto"/>
            </w:tcBorders>
            <w:hideMark/>
          </w:tcPr>
          <w:p w14:paraId="10453C65"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40-45%</w:t>
            </w:r>
          </w:p>
        </w:tc>
        <w:tc>
          <w:tcPr>
            <w:tcW w:w="721" w:type="dxa"/>
            <w:gridSpan w:val="2"/>
            <w:tcBorders>
              <w:top w:val="single" w:sz="4" w:space="0" w:color="auto"/>
              <w:left w:val="single" w:sz="4" w:space="0" w:color="auto"/>
              <w:bottom w:val="single" w:sz="4" w:space="0" w:color="auto"/>
              <w:right w:val="single" w:sz="4" w:space="0" w:color="auto"/>
            </w:tcBorders>
            <w:hideMark/>
          </w:tcPr>
          <w:p w14:paraId="4B2AB918"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&lt;35%</w:t>
            </w:r>
          </w:p>
        </w:tc>
        <w:tc>
          <w:tcPr>
            <w:tcW w:w="721" w:type="dxa"/>
            <w:tcBorders>
              <w:top w:val="single" w:sz="4" w:space="0" w:color="auto"/>
              <w:left w:val="single" w:sz="4" w:space="0" w:color="auto"/>
              <w:bottom w:val="single" w:sz="4" w:space="0" w:color="auto"/>
              <w:right w:val="single" w:sz="4" w:space="0" w:color="auto"/>
            </w:tcBorders>
            <w:hideMark/>
          </w:tcPr>
          <w:p w14:paraId="410BB5B8"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&lt;35%</w:t>
            </w:r>
          </w:p>
        </w:tc>
        <w:tc>
          <w:tcPr>
            <w:tcW w:w="721" w:type="dxa"/>
            <w:tcBorders>
              <w:top w:val="single" w:sz="4" w:space="0" w:color="auto"/>
              <w:left w:val="single" w:sz="4" w:space="0" w:color="auto"/>
              <w:bottom w:val="single" w:sz="4" w:space="0" w:color="auto"/>
              <w:right w:val="single" w:sz="4" w:space="0" w:color="auto"/>
            </w:tcBorders>
            <w:hideMark/>
          </w:tcPr>
          <w:p w14:paraId="7947322D"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&lt;35%</w:t>
            </w:r>
          </w:p>
        </w:tc>
        <w:tc>
          <w:tcPr>
            <w:tcW w:w="721" w:type="dxa"/>
            <w:gridSpan w:val="2"/>
            <w:tcBorders>
              <w:top w:val="single" w:sz="4" w:space="0" w:color="auto"/>
              <w:left w:val="single" w:sz="4" w:space="0" w:color="auto"/>
              <w:bottom w:val="single" w:sz="4" w:space="0" w:color="auto"/>
              <w:right w:val="single" w:sz="4" w:space="0" w:color="auto"/>
            </w:tcBorders>
            <w:hideMark/>
          </w:tcPr>
          <w:p w14:paraId="3B5CDC7D"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&lt;35%</w:t>
            </w:r>
          </w:p>
        </w:tc>
        <w:tc>
          <w:tcPr>
            <w:tcW w:w="722" w:type="dxa"/>
            <w:tcBorders>
              <w:top w:val="single" w:sz="4" w:space="0" w:color="auto"/>
              <w:left w:val="single" w:sz="4" w:space="0" w:color="auto"/>
              <w:bottom w:val="single" w:sz="4" w:space="0" w:color="auto"/>
              <w:right w:val="single" w:sz="4" w:space="0" w:color="auto"/>
            </w:tcBorders>
            <w:hideMark/>
          </w:tcPr>
          <w:p w14:paraId="74836FDD" w14:textId="77777777" w:rsidR="00C60FCD" w:rsidRPr="000F0299" w:rsidRDefault="00C60FCD" w:rsidP="00854F19">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&lt;35%</w:t>
            </w:r>
          </w:p>
        </w:tc>
      </w:tr>
      <w:tr w:rsidR="00C60FCD" w:rsidRPr="000F0299" w14:paraId="4B7E19FE" w14:textId="77777777" w:rsidTr="00854F19">
        <w:tc>
          <w:tcPr>
            <w:tcW w:w="1887" w:type="dxa"/>
            <w:tcBorders>
              <w:top w:val="single" w:sz="4" w:space="0" w:color="auto"/>
              <w:left w:val="single" w:sz="4" w:space="0" w:color="auto"/>
              <w:bottom w:val="single" w:sz="4" w:space="0" w:color="auto"/>
              <w:right w:val="single" w:sz="4" w:space="0" w:color="auto"/>
            </w:tcBorders>
            <w:hideMark/>
          </w:tcPr>
          <w:p w14:paraId="267151A4" w14:textId="77777777" w:rsidR="00C60FCD" w:rsidRPr="000F0299" w:rsidRDefault="00C60FCD" w:rsidP="00854F19">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7211" w:type="dxa"/>
            <w:gridSpan w:val="13"/>
            <w:tcBorders>
              <w:top w:val="single" w:sz="4" w:space="0" w:color="auto"/>
              <w:left w:val="single" w:sz="4" w:space="0" w:color="auto"/>
              <w:bottom w:val="single" w:sz="4" w:space="0" w:color="auto"/>
              <w:right w:val="single" w:sz="4" w:space="0" w:color="auto"/>
            </w:tcBorders>
            <w:vAlign w:val="center"/>
            <w:hideMark/>
          </w:tcPr>
          <w:p w14:paraId="6455D29F" w14:textId="77777777" w:rsidR="00C60FCD" w:rsidRPr="000F0299" w:rsidRDefault="00C60FCD" w:rsidP="00854F19">
            <w:pPr>
              <w:suppressAutoHyphens w:val="0"/>
              <w:autoSpaceDN/>
              <w:spacing w:before="0"/>
              <w:ind w:firstLine="0"/>
              <w:textAlignment w:val="auto"/>
              <w:rPr>
                <w:rFonts w:eastAsiaTheme="minorHAnsi"/>
                <w:color w:val="000000" w:themeColor="text1"/>
                <w:kern w:val="0"/>
                <w:sz w:val="20"/>
                <w:szCs w:val="20"/>
                <w:lang w:eastAsia="en-GB" w:bidi="ar-SA"/>
              </w:rPr>
            </w:pPr>
            <w:r w:rsidRPr="000F0299">
              <w:rPr>
                <w:rFonts w:eastAsiaTheme="minorHAnsi"/>
                <w:kern w:val="24"/>
                <w:sz w:val="20"/>
                <w:szCs w:val="20"/>
                <w:lang w:eastAsia="en-GB" w:bidi="ar-SA"/>
              </w:rPr>
              <w:t>Степен одступања од циљне вредности до 5% ће се вредновати као успех.</w:t>
            </w:r>
          </w:p>
        </w:tc>
      </w:tr>
    </w:tbl>
    <w:p w14:paraId="0DFE3811" w14:textId="134F3946" w:rsidR="00487FD1" w:rsidRPr="000F0299" w:rsidRDefault="00487FD1" w:rsidP="00BE55B6">
      <w:pPr>
        <w:ind w:firstLine="0"/>
        <w:rPr>
          <w:b/>
          <w:bCs/>
          <w:color w:val="2F5496" w:themeColor="accent1" w:themeShade="BF"/>
        </w:rPr>
      </w:pPr>
    </w:p>
    <w:p w14:paraId="6154EB39" w14:textId="77777777" w:rsidR="00487FD1" w:rsidRPr="000F0299" w:rsidRDefault="00487FD1">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6ED52EAD" w14:textId="3C9A7EC6" w:rsidR="00C60FCD" w:rsidRPr="000F0299" w:rsidRDefault="00C60FCD" w:rsidP="00BE55B6">
      <w:pPr>
        <w:ind w:firstLine="0"/>
        <w:rPr>
          <w:b/>
          <w:bCs/>
          <w:color w:val="2F5496" w:themeColor="accent1" w:themeShade="BF"/>
        </w:rPr>
      </w:pPr>
      <w:r w:rsidRPr="000F0299">
        <w:rPr>
          <w:b/>
          <w:bCs/>
          <w:color w:val="2F5496" w:themeColor="accent1" w:themeShade="BF"/>
        </w:rPr>
        <w:t>Показатељ 3</w:t>
      </w:r>
    </w:p>
    <w:tbl>
      <w:tblPr>
        <w:tblStyle w:val="TableGrid12"/>
        <w:tblW w:w="9098" w:type="dxa"/>
        <w:tblInd w:w="0" w:type="dxa"/>
        <w:tblLook w:val="04A0" w:firstRow="1" w:lastRow="0" w:firstColumn="1" w:lastColumn="0" w:noHBand="0" w:noVBand="1"/>
      </w:tblPr>
      <w:tblGrid>
        <w:gridCol w:w="2142"/>
        <w:gridCol w:w="695"/>
        <w:gridCol w:w="696"/>
        <w:gridCol w:w="269"/>
        <w:gridCol w:w="426"/>
        <w:gridCol w:w="696"/>
        <w:gridCol w:w="696"/>
        <w:gridCol w:w="81"/>
        <w:gridCol w:w="614"/>
        <w:gridCol w:w="696"/>
        <w:gridCol w:w="660"/>
        <w:gridCol w:w="35"/>
        <w:gridCol w:w="696"/>
        <w:gridCol w:w="696"/>
      </w:tblGrid>
      <w:tr w:rsidR="00C60FCD" w:rsidRPr="000F0299" w14:paraId="6D899CEB" w14:textId="77777777" w:rsidTr="00854F19">
        <w:tc>
          <w:tcPr>
            <w:tcW w:w="21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6C8FCC" w14:textId="77777777" w:rsidR="00C60FCD" w:rsidRPr="000F0299" w:rsidRDefault="00C60FCD" w:rsidP="00854F19">
            <w:pPr>
              <w:suppressAutoHyphens w:val="0"/>
              <w:autoSpaceDN/>
              <w:spacing w:before="0"/>
              <w:ind w:firstLine="0"/>
              <w:jc w:val="left"/>
              <w:textAlignment w:val="auto"/>
              <w:rPr>
                <w:rFonts w:eastAsia="Times New Roman"/>
                <w:b/>
                <w:bCs/>
                <w:kern w:val="24"/>
                <w:sz w:val="20"/>
                <w:szCs w:val="20"/>
                <w:lang w:eastAsia="en-US" w:bidi="ar-SA"/>
              </w:rPr>
            </w:pPr>
            <w:r w:rsidRPr="000F0299">
              <w:rPr>
                <w:rFonts w:eastAsia="Times New Roman"/>
                <w:b/>
                <w:bCs/>
                <w:kern w:val="24"/>
                <w:sz w:val="20"/>
                <w:szCs w:val="20"/>
                <w:lang w:eastAsia="en-US" w:bidi="ar-SA"/>
              </w:rPr>
              <w:t>Назив показатеља</w:t>
            </w:r>
          </w:p>
        </w:tc>
        <w:tc>
          <w:tcPr>
            <w:tcW w:w="6956"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D53CC7" w14:textId="77777777" w:rsidR="00C60FCD" w:rsidRPr="000F0299" w:rsidRDefault="00C60FCD" w:rsidP="00854F19">
            <w:pPr>
              <w:suppressAutoHyphens w:val="0"/>
              <w:autoSpaceDN/>
              <w:spacing w:before="0"/>
              <w:ind w:firstLine="0"/>
              <w:textAlignment w:val="auto"/>
              <w:rPr>
                <w:rFonts w:eastAsiaTheme="minorHAnsi"/>
                <w:b/>
                <w:bCs/>
                <w:color w:val="000000" w:themeColor="text1"/>
                <w:kern w:val="24"/>
                <w:sz w:val="20"/>
                <w:szCs w:val="20"/>
                <w:lang w:eastAsia="en-US" w:bidi="ar-SA"/>
              </w:rPr>
            </w:pPr>
            <w:r w:rsidRPr="000F0299">
              <w:rPr>
                <w:rFonts w:eastAsiaTheme="minorHAnsi"/>
                <w:b/>
                <w:bCs/>
                <w:color w:val="000000" w:themeColor="text1"/>
                <w:kern w:val="24"/>
                <w:sz w:val="20"/>
                <w:szCs w:val="20"/>
                <w:lang w:eastAsia="en-US" w:bidi="ar-SA"/>
              </w:rPr>
              <w:t>Степен у коме је извршена стандардизација организације кадровских послова у државним органима</w:t>
            </w:r>
          </w:p>
        </w:tc>
      </w:tr>
      <w:tr w:rsidR="00C60FCD" w:rsidRPr="000F0299" w14:paraId="2BAAAB7A" w14:textId="77777777" w:rsidTr="00854F19">
        <w:tc>
          <w:tcPr>
            <w:tcW w:w="2142" w:type="dxa"/>
            <w:tcBorders>
              <w:top w:val="single" w:sz="4" w:space="0" w:color="auto"/>
              <w:left w:val="single" w:sz="4" w:space="0" w:color="auto"/>
              <w:bottom w:val="single" w:sz="4" w:space="0" w:color="auto"/>
              <w:right w:val="single" w:sz="4" w:space="0" w:color="auto"/>
            </w:tcBorders>
            <w:hideMark/>
          </w:tcPr>
          <w:p w14:paraId="5355E2AC" w14:textId="77777777" w:rsidR="00C60FCD" w:rsidRPr="000F0299" w:rsidRDefault="00C60FCD" w:rsidP="00854F1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Одговарајући општи, посебни циљ или мера</w:t>
            </w:r>
          </w:p>
        </w:tc>
        <w:tc>
          <w:tcPr>
            <w:tcW w:w="6956" w:type="dxa"/>
            <w:gridSpan w:val="13"/>
            <w:tcBorders>
              <w:top w:val="single" w:sz="4" w:space="0" w:color="auto"/>
              <w:left w:val="single" w:sz="4" w:space="0" w:color="auto"/>
              <w:bottom w:val="single" w:sz="4" w:space="0" w:color="auto"/>
              <w:right w:val="single" w:sz="4" w:space="0" w:color="auto"/>
            </w:tcBorders>
            <w:shd w:val="clear" w:color="auto" w:fill="FFFFFF" w:themeFill="background1"/>
            <w:hideMark/>
          </w:tcPr>
          <w:p w14:paraId="20E5D1B4" w14:textId="19154582" w:rsidR="00C60FCD" w:rsidRPr="000F0299" w:rsidRDefault="00D341C9" w:rsidP="00854F19">
            <w:pPr>
              <w:suppressAutoHyphens w:val="0"/>
              <w:autoSpaceDN/>
              <w:spacing w:before="0"/>
              <w:ind w:firstLine="0"/>
              <w:textAlignment w:val="auto"/>
              <w:rPr>
                <w:rFonts w:eastAsiaTheme="minorHAnsi"/>
                <w:color w:val="000000" w:themeColor="text1"/>
                <w:kern w:val="24"/>
                <w:sz w:val="20"/>
                <w:szCs w:val="20"/>
                <w:lang w:eastAsia="en-US" w:bidi="ar-SA"/>
              </w:rPr>
            </w:pPr>
            <w:r w:rsidRPr="000F0299">
              <w:rPr>
                <w:rFonts w:eastAsiaTheme="minorHAnsi"/>
                <w:b/>
                <w:bCs/>
                <w:color w:val="000000" w:themeColor="text1"/>
                <w:kern w:val="24"/>
                <w:sz w:val="20"/>
                <w:szCs w:val="20"/>
                <w:lang w:eastAsia="en-US" w:bidi="ar-SA"/>
              </w:rPr>
              <w:t>Meрa</w:t>
            </w:r>
            <w:r w:rsidR="00C60FCD" w:rsidRPr="000F0299">
              <w:rPr>
                <w:rFonts w:eastAsiaTheme="minorHAnsi"/>
                <w:b/>
                <w:bCs/>
                <w:color w:val="000000" w:themeColor="text1"/>
                <w:kern w:val="24"/>
                <w:sz w:val="20"/>
                <w:szCs w:val="20"/>
                <w:lang w:eastAsia="en-US" w:bidi="ar-SA"/>
              </w:rPr>
              <w:t xml:space="preserve"> 2.2.2.:</w:t>
            </w:r>
            <w:r w:rsidR="00C60FCD" w:rsidRPr="000F0299">
              <w:rPr>
                <w:rFonts w:eastAsiaTheme="minorHAnsi"/>
                <w:color w:val="000000" w:themeColor="text1"/>
                <w:kern w:val="24"/>
                <w:sz w:val="20"/>
                <w:szCs w:val="20"/>
                <w:lang w:eastAsia="en-US" w:bidi="ar-SA"/>
              </w:rPr>
              <w:t xml:space="preserve"> Развој институционалних и административних капацитета за управљање људским ресурсима</w:t>
            </w:r>
          </w:p>
        </w:tc>
      </w:tr>
      <w:tr w:rsidR="00854F19" w:rsidRPr="000F0299" w14:paraId="7AE9F2BA" w14:textId="77777777" w:rsidTr="00854F19">
        <w:tc>
          <w:tcPr>
            <w:tcW w:w="2142" w:type="dxa"/>
            <w:tcBorders>
              <w:top w:val="single" w:sz="4" w:space="0" w:color="auto"/>
              <w:left w:val="single" w:sz="4" w:space="0" w:color="auto"/>
              <w:bottom w:val="single" w:sz="4" w:space="0" w:color="auto"/>
              <w:right w:val="single" w:sz="4" w:space="0" w:color="auto"/>
            </w:tcBorders>
            <w:hideMark/>
          </w:tcPr>
          <w:p w14:paraId="4D812CEE" w14:textId="77777777" w:rsidR="00854F19" w:rsidRPr="000F0299" w:rsidRDefault="00854F19" w:rsidP="00854F1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Тип и ниво показатеља</w:t>
            </w:r>
          </w:p>
        </w:tc>
        <w:tc>
          <w:tcPr>
            <w:tcW w:w="3478"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01F7F0E6" w14:textId="2B1B8073" w:rsidR="00854F19" w:rsidRPr="000F0299" w:rsidRDefault="00854F19" w:rsidP="00854F1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Квалитативни показатељ </w:t>
            </w:r>
          </w:p>
        </w:tc>
        <w:tc>
          <w:tcPr>
            <w:tcW w:w="3478"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39BF4C96" w14:textId="64FD01F5" w:rsidR="00854F19" w:rsidRPr="000F0299" w:rsidRDefault="00854F19" w:rsidP="00854F1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На нивоу излазног резултата</w:t>
            </w:r>
          </w:p>
        </w:tc>
      </w:tr>
      <w:tr w:rsidR="00854F19" w:rsidRPr="000F0299" w14:paraId="76CE568D" w14:textId="77777777" w:rsidTr="00C45368">
        <w:tc>
          <w:tcPr>
            <w:tcW w:w="2142" w:type="dxa"/>
            <w:tcBorders>
              <w:top w:val="single" w:sz="4" w:space="0" w:color="auto"/>
              <w:left w:val="single" w:sz="4" w:space="0" w:color="auto"/>
              <w:bottom w:val="single" w:sz="4" w:space="0" w:color="auto"/>
              <w:right w:val="single" w:sz="4" w:space="0" w:color="auto"/>
            </w:tcBorders>
            <w:hideMark/>
          </w:tcPr>
          <w:p w14:paraId="7C11BA69" w14:textId="77777777" w:rsidR="00854F19" w:rsidRPr="000F0299" w:rsidRDefault="00854F19" w:rsidP="00854F1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Јединица мере и природа</w:t>
            </w:r>
          </w:p>
        </w:tc>
        <w:tc>
          <w:tcPr>
            <w:tcW w:w="3478"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7B26777" w14:textId="5B99C1EC" w:rsidR="00854F19" w:rsidRPr="000F0299" w:rsidRDefault="00854F19" w:rsidP="00854F1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Бројчани на скали од 0-4</w:t>
            </w:r>
          </w:p>
        </w:tc>
        <w:tc>
          <w:tcPr>
            <w:tcW w:w="3478"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7C201B90" w14:textId="4EC5523A" w:rsidR="00854F19" w:rsidRPr="000F0299" w:rsidRDefault="00854F19" w:rsidP="00854F1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Повећана вредност показатеља пожељна</w:t>
            </w:r>
          </w:p>
        </w:tc>
      </w:tr>
      <w:tr w:rsidR="00C60FCD" w:rsidRPr="000F0299" w14:paraId="348BFAC1" w14:textId="77777777" w:rsidTr="00854F19">
        <w:tc>
          <w:tcPr>
            <w:tcW w:w="2142" w:type="dxa"/>
            <w:tcBorders>
              <w:top w:val="single" w:sz="4" w:space="0" w:color="auto"/>
              <w:left w:val="single" w:sz="4" w:space="0" w:color="auto"/>
              <w:bottom w:val="single" w:sz="4" w:space="0" w:color="auto"/>
              <w:right w:val="single" w:sz="4" w:space="0" w:color="auto"/>
            </w:tcBorders>
            <w:hideMark/>
          </w:tcPr>
          <w:p w14:paraId="64DB4725" w14:textId="77777777" w:rsidR="00C60FCD" w:rsidRPr="000F0299" w:rsidRDefault="00C60FCD" w:rsidP="00854F1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Извор података за праћење показатеља успешности</w:t>
            </w:r>
          </w:p>
        </w:tc>
        <w:tc>
          <w:tcPr>
            <w:tcW w:w="6956" w:type="dxa"/>
            <w:gridSpan w:val="13"/>
            <w:tcBorders>
              <w:top w:val="single" w:sz="4" w:space="0" w:color="auto"/>
              <w:left w:val="single" w:sz="4" w:space="0" w:color="auto"/>
              <w:bottom w:val="single" w:sz="4" w:space="0" w:color="auto"/>
              <w:right w:val="single" w:sz="4" w:space="0" w:color="auto"/>
            </w:tcBorders>
            <w:shd w:val="clear" w:color="auto" w:fill="FFFFFF" w:themeFill="background1"/>
            <w:hideMark/>
          </w:tcPr>
          <w:p w14:paraId="4B45543F" w14:textId="77777777" w:rsidR="00C60FCD" w:rsidRPr="000F0299" w:rsidRDefault="00C60FCD" w:rsidP="00854F1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Подаци ће бити прикупљани  на националном нивоу.</w:t>
            </w:r>
          </w:p>
          <w:p w14:paraId="3DBDCDC1" w14:textId="77777777" w:rsidR="00C60FCD" w:rsidRPr="000F0299" w:rsidRDefault="00C60FCD" w:rsidP="00854F1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0"/>
                <w:sz w:val="20"/>
                <w:szCs w:val="20"/>
                <w:lang w:eastAsia="en-US" w:bidi="ar-SA"/>
              </w:rPr>
              <w:t>Извор:</w:t>
            </w:r>
          </w:p>
          <w:p w14:paraId="358B28ED" w14:textId="77777777" w:rsidR="00C60FCD" w:rsidRPr="000F0299" w:rsidRDefault="00C60FCD" w:rsidP="00E62A1A">
            <w:pPr>
              <w:numPr>
                <w:ilvl w:val="0"/>
                <w:numId w:val="15"/>
              </w:numPr>
              <w:suppressAutoHyphens w:val="0"/>
              <w:autoSpaceDN/>
              <w:spacing w:before="0"/>
              <w:ind w:left="604" w:hanging="302"/>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Извештај о анализи капацитета кључних институција за стратешко УЉР</w:t>
            </w:r>
          </w:p>
          <w:p w14:paraId="36ADCE56" w14:textId="77777777" w:rsidR="00C60FCD" w:rsidRPr="000F0299" w:rsidRDefault="00C60FCD" w:rsidP="00E62A1A">
            <w:pPr>
              <w:numPr>
                <w:ilvl w:val="0"/>
                <w:numId w:val="15"/>
              </w:numPr>
              <w:suppressAutoHyphens w:val="0"/>
              <w:autoSpaceDN/>
              <w:spacing w:before="0"/>
              <w:ind w:left="604" w:hanging="302"/>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Информациони систем за УЉР</w:t>
            </w:r>
          </w:p>
          <w:p w14:paraId="44D18299" w14:textId="77777777" w:rsidR="00C60FCD" w:rsidRPr="000F0299" w:rsidRDefault="00C60FCD" w:rsidP="00E62A1A">
            <w:pPr>
              <w:numPr>
                <w:ilvl w:val="0"/>
                <w:numId w:val="15"/>
              </w:numPr>
              <w:suppressAutoHyphens w:val="0"/>
              <w:autoSpaceDN/>
              <w:spacing w:before="0"/>
              <w:ind w:left="604" w:hanging="302"/>
              <w:textAlignment w:val="auto"/>
              <w:rPr>
                <w:rFonts w:eastAsia="Times New Roman"/>
                <w:color w:val="000000" w:themeColor="text1"/>
                <w:kern w:val="24"/>
                <w:sz w:val="20"/>
                <w:szCs w:val="20"/>
                <w:lang w:eastAsia="en-US" w:bidi="ar-SA"/>
              </w:rPr>
            </w:pPr>
            <w:r w:rsidRPr="000F0299">
              <w:rPr>
                <w:rFonts w:eastAsia="Times New Roman"/>
                <w:color w:val="000000" w:themeColor="text1"/>
                <w:kern w:val="0"/>
                <w:sz w:val="20"/>
                <w:szCs w:val="20"/>
                <w:lang w:eastAsia="en-US" w:bidi="ar-SA"/>
              </w:rPr>
              <w:t>Извештај НАЈУ</w:t>
            </w:r>
          </w:p>
        </w:tc>
      </w:tr>
      <w:tr w:rsidR="00C60FCD" w:rsidRPr="000F0299" w14:paraId="10C90C08" w14:textId="77777777" w:rsidTr="00854F19">
        <w:tc>
          <w:tcPr>
            <w:tcW w:w="2142" w:type="dxa"/>
            <w:tcBorders>
              <w:top w:val="single" w:sz="4" w:space="0" w:color="auto"/>
              <w:left w:val="single" w:sz="4" w:space="0" w:color="auto"/>
              <w:bottom w:val="single" w:sz="4" w:space="0" w:color="auto"/>
              <w:right w:val="single" w:sz="4" w:space="0" w:color="auto"/>
            </w:tcBorders>
            <w:hideMark/>
          </w:tcPr>
          <w:p w14:paraId="791F896A" w14:textId="77777777" w:rsidR="00C60FCD" w:rsidRPr="000F0299" w:rsidRDefault="00C60FCD" w:rsidP="00854F1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Назив носиоца прикупљања података</w:t>
            </w:r>
          </w:p>
        </w:tc>
        <w:tc>
          <w:tcPr>
            <w:tcW w:w="6956"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5481C0AA" w14:textId="31870C86" w:rsidR="00C60FCD" w:rsidRPr="000F0299" w:rsidRDefault="00C60FCD" w:rsidP="00AE6044">
            <w:pPr>
              <w:suppressAutoHyphens w:val="0"/>
              <w:autoSpaceDN/>
              <w:spacing w:before="0"/>
              <w:ind w:firstLine="0"/>
              <w:jc w:val="left"/>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 xml:space="preserve">Служба за управљање кадровима, </w:t>
            </w:r>
            <w:r w:rsidR="00AE6044">
              <w:rPr>
                <w:rFonts w:eastAsiaTheme="minorHAnsi"/>
                <w:color w:val="000000" w:themeColor="text1"/>
                <w:kern w:val="24"/>
                <w:sz w:val="20"/>
                <w:szCs w:val="20"/>
                <w:lang w:eastAsia="en-GB" w:bidi="ar-SA"/>
              </w:rPr>
              <w:t>Сектор за одабир и развој кадрова</w:t>
            </w:r>
          </w:p>
        </w:tc>
      </w:tr>
      <w:tr w:rsidR="00C60FCD" w:rsidRPr="000F0299" w14:paraId="4769811C" w14:textId="77777777" w:rsidTr="00854F19">
        <w:tc>
          <w:tcPr>
            <w:tcW w:w="2142" w:type="dxa"/>
            <w:tcBorders>
              <w:top w:val="single" w:sz="4" w:space="0" w:color="auto"/>
              <w:left w:val="single" w:sz="4" w:space="0" w:color="auto"/>
              <w:bottom w:val="single" w:sz="4" w:space="0" w:color="auto"/>
              <w:right w:val="single" w:sz="4" w:space="0" w:color="auto"/>
            </w:tcBorders>
            <w:hideMark/>
          </w:tcPr>
          <w:p w14:paraId="0BDF5352" w14:textId="77777777" w:rsidR="00C60FCD" w:rsidRPr="000F0299" w:rsidRDefault="00C60FCD" w:rsidP="00854F1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Учесталост прикупљања података</w:t>
            </w:r>
          </w:p>
        </w:tc>
        <w:tc>
          <w:tcPr>
            <w:tcW w:w="6956" w:type="dxa"/>
            <w:gridSpan w:val="13"/>
            <w:tcBorders>
              <w:top w:val="single" w:sz="4" w:space="0" w:color="auto"/>
              <w:left w:val="single" w:sz="4" w:space="0" w:color="auto"/>
              <w:bottom w:val="single" w:sz="4" w:space="0" w:color="auto"/>
              <w:right w:val="single" w:sz="4" w:space="0" w:color="auto"/>
            </w:tcBorders>
            <w:shd w:val="clear" w:color="auto" w:fill="FFFFFF" w:themeFill="background1"/>
            <w:hideMark/>
          </w:tcPr>
          <w:p w14:paraId="118C1E0D" w14:textId="77777777" w:rsidR="00C60FCD" w:rsidRPr="000F0299" w:rsidRDefault="00C60FCD" w:rsidP="00854F19">
            <w:pPr>
              <w:suppressAutoHyphens w:val="0"/>
              <w:autoSpaceDN/>
              <w:spacing w:before="0"/>
              <w:ind w:firstLine="0"/>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Једном годишње, у првом кварталу текуће за претходну календарску годину</w:t>
            </w:r>
          </w:p>
        </w:tc>
      </w:tr>
      <w:tr w:rsidR="00C60FCD" w:rsidRPr="000F0299" w14:paraId="46524B03" w14:textId="77777777" w:rsidTr="00854F19">
        <w:tc>
          <w:tcPr>
            <w:tcW w:w="2142" w:type="dxa"/>
            <w:tcBorders>
              <w:top w:val="single" w:sz="4" w:space="0" w:color="auto"/>
              <w:left w:val="single" w:sz="4" w:space="0" w:color="auto"/>
              <w:bottom w:val="single" w:sz="4" w:space="0" w:color="auto"/>
              <w:right w:val="single" w:sz="4" w:space="0" w:color="auto"/>
            </w:tcBorders>
            <w:hideMark/>
          </w:tcPr>
          <w:p w14:paraId="358AE557" w14:textId="77777777" w:rsidR="00C60FCD" w:rsidRPr="000F0299" w:rsidRDefault="00C60FCD" w:rsidP="00854F1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Кратак опис методологије прорачуна</w:t>
            </w:r>
          </w:p>
        </w:tc>
        <w:tc>
          <w:tcPr>
            <w:tcW w:w="6956"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C8D101A" w14:textId="77777777" w:rsidR="00C60FCD" w:rsidRPr="000F0299" w:rsidRDefault="00C60FCD" w:rsidP="00854F19">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Овај индикатор мери у којој мери је извршена стандардизација организације кадровских послова у државним органима. Индикатор прати органе државне управе.</w:t>
            </w:r>
          </w:p>
          <w:p w14:paraId="77CBC6B8" w14:textId="77777777" w:rsidR="00C60FCD" w:rsidRPr="000F0299" w:rsidRDefault="00C60FCD" w:rsidP="00AC03F7">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Примену у пракси прати МДУЛС и СУК и додељује бодове од 0 до 4 према следећим критеријумима:</w:t>
            </w:r>
          </w:p>
          <w:p w14:paraId="5F938611" w14:textId="77777777" w:rsidR="00C60FCD" w:rsidRPr="000F0299" w:rsidRDefault="00C60FCD" w:rsidP="00AC03F7">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0 –  у свим органима државне управе није  успостављена јединица која се искључиво бави управљањем људским ресурсима</w:t>
            </w:r>
          </w:p>
          <w:p w14:paraId="275231B7" w14:textId="2041CC2E" w:rsidR="00C60FCD" w:rsidRPr="000F0299" w:rsidRDefault="00C60FCD" w:rsidP="00AC03F7">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 xml:space="preserve">1 - више од 30% органа државне управе који имају преко 100 запослених је </w:t>
            </w:r>
            <w:r w:rsidR="00D341C9" w:rsidRPr="000F0299">
              <w:rPr>
                <w:rFonts w:eastAsia="Times New Roman"/>
                <w:color w:val="000000" w:themeColor="text1"/>
                <w:kern w:val="24"/>
                <w:sz w:val="20"/>
                <w:szCs w:val="20"/>
                <w:lang w:eastAsia="en-US" w:bidi="ar-SA"/>
              </w:rPr>
              <w:t>актом</w:t>
            </w:r>
            <w:r w:rsidRPr="000F0299">
              <w:rPr>
                <w:rFonts w:eastAsia="Times New Roman"/>
                <w:color w:val="000000" w:themeColor="text1"/>
                <w:kern w:val="24"/>
                <w:sz w:val="20"/>
                <w:szCs w:val="20"/>
                <w:lang w:eastAsia="en-US" w:bidi="ar-SA"/>
              </w:rPr>
              <w:t xml:space="preserve"> о унутрашњем уређењу и систематизацији радних места утврдило посебну јединицу за управљање људским ресурсима или лице задужено за УЉР</w:t>
            </w:r>
          </w:p>
          <w:p w14:paraId="0ADD7BA0" w14:textId="3B979835" w:rsidR="00C60FCD" w:rsidRPr="000F0299" w:rsidRDefault="00C60FCD" w:rsidP="00AC03F7">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 xml:space="preserve">2 – поред услова из оцене 1, овај ниво подразумева да више од 50% органа државне управе који имају јединицу за УЉР је у складу са  актима о унутрашњем уређењу и систематизацији радних места извршило попуњавање више </w:t>
            </w:r>
            <w:r w:rsidR="00D341C9">
              <w:rPr>
                <w:rFonts w:eastAsiaTheme="minorHAnsi"/>
                <w:color w:val="000000" w:themeColor="text1"/>
                <w:kern w:val="24"/>
                <w:sz w:val="20"/>
                <w:szCs w:val="20"/>
                <w:lang w:eastAsia="en-GB" w:bidi="ar-SA"/>
              </w:rPr>
              <w:t>од</w:t>
            </w:r>
            <w:r w:rsidRPr="000F0299">
              <w:rPr>
                <w:rFonts w:eastAsiaTheme="minorHAnsi"/>
                <w:color w:val="000000" w:themeColor="text1"/>
                <w:kern w:val="24"/>
                <w:sz w:val="20"/>
                <w:szCs w:val="20"/>
                <w:lang w:eastAsia="en-GB" w:bidi="ar-SA"/>
              </w:rPr>
              <w:t xml:space="preserve"> 90% систематизованих радних места у јединицама за УЉР</w:t>
            </w:r>
          </w:p>
          <w:p w14:paraId="6DDC6E95" w14:textId="77777777" w:rsidR="00C60FCD" w:rsidRPr="000F0299" w:rsidRDefault="00C60FCD" w:rsidP="00AC03F7">
            <w:pPr>
              <w:suppressAutoHyphens w:val="0"/>
              <w:autoSpaceDN/>
              <w:spacing w:before="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3 - поред услова из оцене 2, овај ниво подразумева да више од 50 % запослених извршилаца у јединицама за УЉР у органима државне управе је похађало програм обуке за запослене у јединицама за управљање људским ресурсима</w:t>
            </w:r>
          </w:p>
          <w:p w14:paraId="432039B2" w14:textId="46502CD0" w:rsidR="00C60FCD" w:rsidRPr="000F0299" w:rsidRDefault="00C60FCD" w:rsidP="00AC03F7">
            <w:pPr>
              <w:suppressAutoHyphens w:val="0"/>
              <w:autoSpaceDN/>
              <w:spacing w:before="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4 – поред услова из оцене 3, овај ниво подразумева да организација и реализација послова у вези са УЉР у више од 50% органа државне управе врши се у складу са постављеним стандардима квалитета</w:t>
            </w:r>
          </w:p>
        </w:tc>
      </w:tr>
      <w:tr w:rsidR="00C60FCD" w:rsidRPr="000F0299" w14:paraId="160007D2" w14:textId="77777777" w:rsidTr="00854F19">
        <w:tc>
          <w:tcPr>
            <w:tcW w:w="2142" w:type="dxa"/>
            <w:vMerge w:val="restart"/>
            <w:tcBorders>
              <w:top w:val="single" w:sz="4" w:space="0" w:color="auto"/>
              <w:left w:val="single" w:sz="4" w:space="0" w:color="auto"/>
              <w:bottom w:val="single" w:sz="4" w:space="0" w:color="auto"/>
              <w:right w:val="single" w:sz="4" w:space="0" w:color="auto"/>
            </w:tcBorders>
            <w:hideMark/>
          </w:tcPr>
          <w:p w14:paraId="5E149AC3" w14:textId="77777777" w:rsidR="00C60FCD" w:rsidRPr="000F0299" w:rsidRDefault="00C60FCD" w:rsidP="00854F1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Подаци о полазној вредности и години кад је измерена, као и тренду у прошлости</w:t>
            </w:r>
          </w:p>
        </w:tc>
        <w:tc>
          <w:tcPr>
            <w:tcW w:w="5529" w:type="dxa"/>
            <w:gridSpan w:val="10"/>
            <w:tcBorders>
              <w:top w:val="single" w:sz="4" w:space="0" w:color="auto"/>
              <w:left w:val="single" w:sz="4" w:space="0" w:color="auto"/>
              <w:bottom w:val="single" w:sz="4" w:space="0" w:color="auto"/>
              <w:right w:val="single" w:sz="4" w:space="0" w:color="auto"/>
            </w:tcBorders>
            <w:shd w:val="clear" w:color="auto" w:fill="FFFFFF" w:themeFill="background1"/>
            <w:hideMark/>
          </w:tcPr>
          <w:p w14:paraId="57822186" w14:textId="77777777" w:rsidR="00C60FCD" w:rsidRPr="000F0299" w:rsidRDefault="00C60FCD" w:rsidP="00854F1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Тренд у прошлости</w:t>
            </w:r>
          </w:p>
          <w:p w14:paraId="364D0718" w14:textId="36FE33DD" w:rsidR="00C60FCD" w:rsidRPr="000F0299" w:rsidRDefault="00C60FCD" w:rsidP="00854F1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У органима државне управе нису </w:t>
            </w:r>
            <w:r w:rsidR="00D341C9" w:rsidRPr="000F0299">
              <w:rPr>
                <w:rFonts w:eastAsiaTheme="minorHAnsi"/>
                <w:color w:val="000000" w:themeColor="text1"/>
                <w:kern w:val="0"/>
                <w:sz w:val="20"/>
                <w:szCs w:val="20"/>
                <w:lang w:eastAsia="en-US" w:bidi="ar-SA"/>
              </w:rPr>
              <w:t>постојале</w:t>
            </w:r>
            <w:r w:rsidRPr="000F0299">
              <w:rPr>
                <w:rFonts w:eastAsiaTheme="minorHAnsi"/>
                <w:color w:val="000000" w:themeColor="text1"/>
                <w:kern w:val="0"/>
                <w:sz w:val="20"/>
                <w:szCs w:val="20"/>
                <w:lang w:eastAsia="en-US" w:bidi="ar-SA"/>
              </w:rPr>
              <w:t xml:space="preserve"> јединице које су се искључиво бавиле кадровским пословима. </w:t>
            </w:r>
          </w:p>
        </w:tc>
        <w:tc>
          <w:tcPr>
            <w:tcW w:w="142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88DE111" w14:textId="147CC035" w:rsidR="00C60FCD" w:rsidRPr="000F0299" w:rsidRDefault="00C60FCD" w:rsidP="00854F19">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Полазна вредност</w:t>
            </w:r>
          </w:p>
        </w:tc>
      </w:tr>
      <w:tr w:rsidR="00C60FCD" w:rsidRPr="000F0299" w14:paraId="48F13B92" w14:textId="77777777" w:rsidTr="00854F19">
        <w:tc>
          <w:tcPr>
            <w:tcW w:w="0" w:type="auto"/>
            <w:vMerge/>
            <w:tcBorders>
              <w:top w:val="single" w:sz="4" w:space="0" w:color="auto"/>
              <w:left w:val="single" w:sz="4" w:space="0" w:color="auto"/>
              <w:bottom w:val="single" w:sz="4" w:space="0" w:color="auto"/>
              <w:right w:val="single" w:sz="4" w:space="0" w:color="auto"/>
            </w:tcBorders>
            <w:vAlign w:val="center"/>
            <w:hideMark/>
          </w:tcPr>
          <w:p w14:paraId="1A38B113" w14:textId="77777777" w:rsidR="00C60FCD" w:rsidRPr="000F0299" w:rsidRDefault="00C60FCD" w:rsidP="00854F19">
            <w:pPr>
              <w:suppressAutoHyphens w:val="0"/>
              <w:autoSpaceDN/>
              <w:spacing w:before="0"/>
              <w:ind w:firstLine="0"/>
              <w:textAlignment w:val="auto"/>
              <w:rPr>
                <w:rFonts w:eastAsiaTheme="minorHAnsi"/>
                <w:b/>
                <w:bCs/>
                <w:kern w:val="0"/>
                <w:sz w:val="20"/>
                <w:szCs w:val="20"/>
                <w:lang w:eastAsia="en-GB" w:bidi="ar-SA"/>
              </w:rPr>
            </w:pPr>
          </w:p>
        </w:tc>
        <w:tc>
          <w:tcPr>
            <w:tcW w:w="166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BEDD8B5"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2016</w:t>
            </w:r>
          </w:p>
        </w:tc>
        <w:tc>
          <w:tcPr>
            <w:tcW w:w="1899"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E9F5113"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2017</w:t>
            </w:r>
          </w:p>
        </w:tc>
        <w:tc>
          <w:tcPr>
            <w:tcW w:w="197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0F61E06"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2018</w:t>
            </w:r>
          </w:p>
        </w:tc>
        <w:tc>
          <w:tcPr>
            <w:tcW w:w="142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CEA70AB"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2020</w:t>
            </w:r>
          </w:p>
        </w:tc>
      </w:tr>
      <w:tr w:rsidR="00C60FCD" w:rsidRPr="000F0299" w14:paraId="1DE1CDA0" w14:textId="77777777" w:rsidTr="00854F19">
        <w:tc>
          <w:tcPr>
            <w:tcW w:w="0" w:type="auto"/>
            <w:vMerge/>
            <w:tcBorders>
              <w:top w:val="single" w:sz="4" w:space="0" w:color="auto"/>
              <w:left w:val="single" w:sz="4" w:space="0" w:color="auto"/>
              <w:bottom w:val="single" w:sz="4" w:space="0" w:color="auto"/>
              <w:right w:val="single" w:sz="4" w:space="0" w:color="auto"/>
            </w:tcBorders>
            <w:vAlign w:val="center"/>
            <w:hideMark/>
          </w:tcPr>
          <w:p w14:paraId="6987212F" w14:textId="77777777" w:rsidR="00C60FCD" w:rsidRPr="000F0299" w:rsidRDefault="00C60FCD" w:rsidP="00854F19">
            <w:pPr>
              <w:suppressAutoHyphens w:val="0"/>
              <w:autoSpaceDN/>
              <w:spacing w:before="0"/>
              <w:ind w:firstLine="0"/>
              <w:textAlignment w:val="auto"/>
              <w:rPr>
                <w:rFonts w:eastAsiaTheme="minorHAnsi"/>
                <w:b/>
                <w:bCs/>
                <w:kern w:val="0"/>
                <w:sz w:val="20"/>
                <w:szCs w:val="20"/>
                <w:lang w:eastAsia="en-GB" w:bidi="ar-SA"/>
              </w:rPr>
            </w:pPr>
          </w:p>
        </w:tc>
        <w:tc>
          <w:tcPr>
            <w:tcW w:w="166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010FD6B"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0</w:t>
            </w:r>
          </w:p>
        </w:tc>
        <w:tc>
          <w:tcPr>
            <w:tcW w:w="1899"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6D69038"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0</w:t>
            </w:r>
          </w:p>
        </w:tc>
        <w:tc>
          <w:tcPr>
            <w:tcW w:w="197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0677D7A"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0</w:t>
            </w:r>
          </w:p>
        </w:tc>
        <w:tc>
          <w:tcPr>
            <w:tcW w:w="142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D457D38"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0</w:t>
            </w:r>
          </w:p>
        </w:tc>
      </w:tr>
      <w:tr w:rsidR="00C60FCD" w:rsidRPr="000F0299" w14:paraId="2E3D79A4" w14:textId="77777777" w:rsidTr="001C2C57">
        <w:tc>
          <w:tcPr>
            <w:tcW w:w="2142" w:type="dxa"/>
            <w:vMerge w:val="restart"/>
            <w:tcBorders>
              <w:top w:val="single" w:sz="4" w:space="0" w:color="auto"/>
              <w:left w:val="single" w:sz="4" w:space="0" w:color="auto"/>
              <w:bottom w:val="single" w:sz="4" w:space="0" w:color="auto"/>
              <w:right w:val="single" w:sz="4" w:space="0" w:color="auto"/>
            </w:tcBorders>
            <w:hideMark/>
          </w:tcPr>
          <w:p w14:paraId="7A9A2566" w14:textId="77777777" w:rsidR="00C60FCD" w:rsidRPr="000F0299" w:rsidRDefault="00C60FCD" w:rsidP="00854F19">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9B5B1" w14:textId="77777777" w:rsidR="00C60FCD" w:rsidRPr="000F0299" w:rsidRDefault="00C60FCD" w:rsidP="001C2C57">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2021</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DBEFB0" w14:textId="77777777" w:rsidR="00C60FCD" w:rsidRPr="000F0299" w:rsidRDefault="00C60FCD" w:rsidP="001C2C57">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2022</w:t>
            </w:r>
          </w:p>
        </w:tc>
        <w:tc>
          <w:tcPr>
            <w:tcW w:w="6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7091A" w14:textId="77777777" w:rsidR="00C60FCD" w:rsidRPr="000F0299" w:rsidRDefault="00C60FCD" w:rsidP="001C2C57">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2023</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75264D" w14:textId="77777777" w:rsidR="00C60FCD" w:rsidRPr="000F0299" w:rsidRDefault="00C60FCD" w:rsidP="001C2C57">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B3B8D" w14:textId="77777777" w:rsidR="00C60FCD" w:rsidRPr="000F0299" w:rsidRDefault="00C60FCD" w:rsidP="001C2C57">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2025</w:t>
            </w:r>
          </w:p>
        </w:tc>
        <w:tc>
          <w:tcPr>
            <w:tcW w:w="6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38796D" w14:textId="77777777" w:rsidR="00C60FCD" w:rsidRPr="000F0299" w:rsidRDefault="00C60FCD" w:rsidP="001C2C57">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2026</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96FEF9" w14:textId="77777777" w:rsidR="00C60FCD" w:rsidRPr="000F0299" w:rsidRDefault="00C60FCD" w:rsidP="001C2C57">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2027</w:t>
            </w:r>
          </w:p>
        </w:tc>
        <w:tc>
          <w:tcPr>
            <w:tcW w:w="6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06F06" w14:textId="77777777" w:rsidR="00C60FCD" w:rsidRPr="000F0299" w:rsidRDefault="00C60FCD" w:rsidP="001C2C57">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2028</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70077B" w14:textId="77777777" w:rsidR="00C60FCD" w:rsidRPr="000F0299" w:rsidRDefault="00C60FCD" w:rsidP="001C2C57">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2029</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CC67" w14:textId="77777777" w:rsidR="00C60FCD" w:rsidRPr="000F0299" w:rsidRDefault="00C60FCD" w:rsidP="001C2C57">
            <w:pPr>
              <w:suppressAutoHyphens w:val="0"/>
              <w:autoSpaceDN/>
              <w:spacing w:before="0"/>
              <w:ind w:firstLine="0"/>
              <w:jc w:val="center"/>
              <w:textAlignment w:val="auto"/>
              <w:rPr>
                <w:rFonts w:eastAsia="Times New Roman"/>
                <w:color w:val="000000" w:themeColor="text1"/>
                <w:kern w:val="0"/>
                <w:sz w:val="20"/>
                <w:szCs w:val="20"/>
                <w:lang w:eastAsia="en-US" w:bidi="ar-SA"/>
              </w:rPr>
            </w:pPr>
            <w:r w:rsidRPr="000F0299">
              <w:rPr>
                <w:rFonts w:eastAsia="Times New Roman"/>
                <w:color w:val="000000" w:themeColor="text1"/>
                <w:kern w:val="24"/>
                <w:sz w:val="20"/>
                <w:szCs w:val="20"/>
                <w:lang w:eastAsia="en-US" w:bidi="ar-SA"/>
              </w:rPr>
              <w:t>2030</w:t>
            </w:r>
          </w:p>
        </w:tc>
      </w:tr>
      <w:tr w:rsidR="00C60FCD" w:rsidRPr="000F0299" w14:paraId="180D54E7" w14:textId="77777777" w:rsidTr="001C2C57">
        <w:tc>
          <w:tcPr>
            <w:tcW w:w="0" w:type="auto"/>
            <w:vMerge/>
            <w:tcBorders>
              <w:top w:val="single" w:sz="4" w:space="0" w:color="auto"/>
              <w:left w:val="single" w:sz="4" w:space="0" w:color="auto"/>
              <w:bottom w:val="single" w:sz="4" w:space="0" w:color="auto"/>
              <w:right w:val="single" w:sz="4" w:space="0" w:color="auto"/>
            </w:tcBorders>
            <w:vAlign w:val="center"/>
            <w:hideMark/>
          </w:tcPr>
          <w:p w14:paraId="0770438D" w14:textId="77777777" w:rsidR="00C60FCD" w:rsidRPr="000F0299" w:rsidRDefault="00C60FCD" w:rsidP="00854F19">
            <w:pPr>
              <w:suppressAutoHyphens w:val="0"/>
              <w:autoSpaceDN/>
              <w:spacing w:before="0"/>
              <w:ind w:firstLine="0"/>
              <w:textAlignment w:val="auto"/>
              <w:rPr>
                <w:rFonts w:eastAsiaTheme="minorHAnsi"/>
                <w:b/>
                <w:bCs/>
                <w:kern w:val="0"/>
                <w:sz w:val="20"/>
                <w:szCs w:val="20"/>
                <w:lang w:eastAsia="en-US" w:bidi="ar-SA"/>
              </w:rPr>
            </w:pP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DC29D2"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3D66EF"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w:t>
            </w:r>
          </w:p>
        </w:tc>
        <w:tc>
          <w:tcPr>
            <w:tcW w:w="6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BA2AC3A"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3</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B5F8E6"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1A6280"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6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941A544"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6DD03C"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6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DDA5FEB"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9E9735"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1BA81E" w14:textId="77777777" w:rsidR="00C60FCD" w:rsidRPr="000F0299" w:rsidRDefault="00C60FCD" w:rsidP="001C2C57">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4</w:t>
            </w:r>
          </w:p>
        </w:tc>
      </w:tr>
      <w:tr w:rsidR="00C60FCD" w:rsidRPr="000F0299" w14:paraId="50B14741" w14:textId="77777777" w:rsidTr="00854F19">
        <w:tc>
          <w:tcPr>
            <w:tcW w:w="2142" w:type="dxa"/>
            <w:tcBorders>
              <w:top w:val="single" w:sz="4" w:space="0" w:color="auto"/>
              <w:left w:val="single" w:sz="4" w:space="0" w:color="auto"/>
              <w:bottom w:val="single" w:sz="4" w:space="0" w:color="auto"/>
              <w:right w:val="single" w:sz="4" w:space="0" w:color="auto"/>
            </w:tcBorders>
            <w:hideMark/>
          </w:tcPr>
          <w:p w14:paraId="527ED8C4" w14:textId="77777777" w:rsidR="00C60FCD" w:rsidRPr="000F0299" w:rsidRDefault="00C60FCD" w:rsidP="00854F19">
            <w:pPr>
              <w:suppressAutoHyphens w:val="0"/>
              <w:autoSpaceDN/>
              <w:spacing w:before="0"/>
              <w:ind w:firstLine="0"/>
              <w:textAlignment w:val="auto"/>
              <w:rPr>
                <w:rFonts w:eastAsia="Times New Roman"/>
                <w:b/>
                <w:bCs/>
                <w:kern w:val="0"/>
                <w:sz w:val="20"/>
                <w:szCs w:val="20"/>
                <w:lang w:eastAsia="en-US" w:bidi="ar-SA"/>
              </w:rPr>
            </w:pPr>
            <w:r w:rsidRPr="000F0299">
              <w:rPr>
                <w:rFonts w:eastAsia="Times New Roman"/>
                <w:b/>
                <w:bCs/>
                <w:kern w:val="24"/>
                <w:sz w:val="20"/>
                <w:szCs w:val="20"/>
                <w:lang w:eastAsia="en-US" w:bidi="ar-SA"/>
              </w:rPr>
              <w:t>Процена успешности</w:t>
            </w:r>
          </w:p>
        </w:tc>
        <w:tc>
          <w:tcPr>
            <w:tcW w:w="6956"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4EAF8B" w14:textId="1C9A9E0C" w:rsidR="00C60FCD" w:rsidRPr="000F0299" w:rsidRDefault="006D3202" w:rsidP="00854F19">
            <w:pPr>
              <w:suppressAutoHyphens w:val="0"/>
              <w:autoSpaceDN/>
              <w:spacing w:before="0"/>
              <w:ind w:firstLine="0"/>
              <w:textAlignment w:val="auto"/>
              <w:rPr>
                <w:rFonts w:eastAsia="Times New Roman"/>
                <w:color w:val="000000" w:themeColor="text1"/>
                <w:kern w:val="0"/>
                <w:sz w:val="20"/>
                <w:szCs w:val="20"/>
                <w:lang w:eastAsia="en-US" w:bidi="ar-SA"/>
              </w:rPr>
            </w:pPr>
            <w:r w:rsidRPr="006D3202">
              <w:rPr>
                <w:rFonts w:eastAsia="Times New Roman"/>
                <w:color w:val="000000" w:themeColor="text1"/>
                <w:kern w:val="24"/>
                <w:sz w:val="20"/>
                <w:szCs w:val="20"/>
                <w:lang w:eastAsia="en-US" w:bidi="ar-SA"/>
              </w:rPr>
              <w:t>Одступање од циљне вредности се неће сматрати успехом.</w:t>
            </w:r>
          </w:p>
        </w:tc>
      </w:tr>
    </w:tbl>
    <w:p w14:paraId="14D8B645" w14:textId="11D7BB25" w:rsidR="00487FD1" w:rsidRPr="000F0299" w:rsidRDefault="00487FD1" w:rsidP="00BE55B6">
      <w:pPr>
        <w:ind w:firstLine="0"/>
        <w:rPr>
          <w:b/>
          <w:bCs/>
          <w:color w:val="2F5496" w:themeColor="accent1" w:themeShade="BF"/>
        </w:rPr>
      </w:pPr>
    </w:p>
    <w:p w14:paraId="1C3346DF" w14:textId="77777777" w:rsidR="00487FD1" w:rsidRPr="000F0299" w:rsidRDefault="00487FD1">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032204C4" w14:textId="11D0DDC6" w:rsidR="00C60FCD" w:rsidRPr="000F0299" w:rsidRDefault="00C60FCD" w:rsidP="00BE55B6">
      <w:pPr>
        <w:ind w:firstLine="0"/>
        <w:rPr>
          <w:b/>
          <w:bCs/>
          <w:color w:val="2F5496" w:themeColor="accent1" w:themeShade="BF"/>
        </w:rPr>
      </w:pPr>
      <w:r w:rsidRPr="000F0299">
        <w:rPr>
          <w:b/>
          <w:bCs/>
          <w:color w:val="2F5496" w:themeColor="accent1" w:themeShade="BF"/>
        </w:rPr>
        <w:t>Показатељ 4</w:t>
      </w:r>
    </w:p>
    <w:tbl>
      <w:tblPr>
        <w:tblW w:w="908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0"/>
        <w:gridCol w:w="703"/>
        <w:gridCol w:w="703"/>
        <w:gridCol w:w="405"/>
        <w:gridCol w:w="298"/>
        <w:gridCol w:w="703"/>
        <w:gridCol w:w="703"/>
        <w:gridCol w:w="238"/>
        <w:gridCol w:w="465"/>
        <w:gridCol w:w="703"/>
        <w:gridCol w:w="703"/>
        <w:gridCol w:w="58"/>
        <w:gridCol w:w="645"/>
        <w:gridCol w:w="704"/>
      </w:tblGrid>
      <w:tr w:rsidR="00C60FCD" w:rsidRPr="000F0299" w14:paraId="5373563C" w14:textId="77777777" w:rsidTr="00C60FCD">
        <w:tc>
          <w:tcPr>
            <w:tcW w:w="20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1D724C" w14:textId="77777777" w:rsidR="00C60FCD" w:rsidRPr="000F0299" w:rsidRDefault="00C60FCD" w:rsidP="00C60FCD">
            <w:pPr>
              <w:suppressAutoHyphens w:val="0"/>
              <w:autoSpaceDN/>
              <w:spacing w:before="100" w:after="10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показатеља</w:t>
            </w:r>
          </w:p>
        </w:tc>
        <w:tc>
          <w:tcPr>
            <w:tcW w:w="7031"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B6B610" w14:textId="6178DA48" w:rsidR="00C60FCD" w:rsidRPr="000F0299" w:rsidRDefault="00C60FCD" w:rsidP="00C60FCD">
            <w:pPr>
              <w:suppressAutoHyphens w:val="0"/>
              <w:autoSpaceDN/>
              <w:spacing w:before="100" w:after="100"/>
              <w:ind w:firstLine="0"/>
              <w:textAlignment w:val="auto"/>
              <w:rPr>
                <w:rFonts w:eastAsiaTheme="minorHAnsi"/>
                <w:b/>
                <w:bCs/>
                <w:color w:val="000000" w:themeColor="text1"/>
                <w:kern w:val="0"/>
                <w:sz w:val="20"/>
                <w:szCs w:val="20"/>
                <w:lang w:eastAsia="en-GB" w:bidi="ar-SA"/>
              </w:rPr>
            </w:pPr>
            <w:r w:rsidRPr="000F0299">
              <w:rPr>
                <w:rFonts w:eastAsiaTheme="minorHAnsi"/>
                <w:b/>
                <w:bCs/>
                <w:color w:val="000000" w:themeColor="text1"/>
                <w:kern w:val="0"/>
                <w:sz w:val="20"/>
                <w:szCs w:val="20"/>
                <w:lang w:eastAsia="en-GB" w:bidi="ar-SA"/>
              </w:rPr>
              <w:t xml:space="preserve">Степен у ком је обезбеђена правна заштита лица на положају/руководилаца (базиран на пет </w:t>
            </w:r>
            <w:r w:rsidR="0070535D" w:rsidRPr="0070535D">
              <w:rPr>
                <w:rFonts w:eastAsiaTheme="minorHAnsi"/>
                <w:b/>
                <w:bCs/>
                <w:i/>
                <w:color w:val="000000" w:themeColor="text1"/>
                <w:kern w:val="0"/>
                <w:sz w:val="20"/>
                <w:szCs w:val="20"/>
                <w:lang w:eastAsia="en-GB" w:bidi="ar-SA"/>
              </w:rPr>
              <w:t>SIGMA</w:t>
            </w:r>
            <w:r w:rsidRPr="000F0299">
              <w:rPr>
                <w:rFonts w:eastAsiaTheme="minorHAnsi"/>
                <w:b/>
                <w:bCs/>
                <w:color w:val="000000" w:themeColor="text1"/>
                <w:kern w:val="0"/>
                <w:sz w:val="20"/>
                <w:szCs w:val="20"/>
                <w:lang w:eastAsia="en-GB" w:bidi="ar-SA"/>
              </w:rPr>
              <w:t xml:space="preserve"> подиндикатора)</w:t>
            </w:r>
          </w:p>
        </w:tc>
      </w:tr>
      <w:tr w:rsidR="00C60FCD" w:rsidRPr="000F0299" w14:paraId="56BA83C9" w14:textId="77777777" w:rsidTr="00C60FCD">
        <w:tc>
          <w:tcPr>
            <w:tcW w:w="2050" w:type="dxa"/>
            <w:tcBorders>
              <w:top w:val="single" w:sz="4" w:space="0" w:color="auto"/>
              <w:left w:val="single" w:sz="4" w:space="0" w:color="auto"/>
              <w:bottom w:val="single" w:sz="4" w:space="0" w:color="auto"/>
              <w:right w:val="single" w:sz="4" w:space="0" w:color="auto"/>
            </w:tcBorders>
            <w:hideMark/>
          </w:tcPr>
          <w:p w14:paraId="0AC00E26" w14:textId="77777777" w:rsidR="00C60FCD" w:rsidRPr="000F0299" w:rsidRDefault="00C60FCD"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7031" w:type="dxa"/>
            <w:gridSpan w:val="13"/>
            <w:tcBorders>
              <w:top w:val="single" w:sz="4" w:space="0" w:color="auto"/>
              <w:left w:val="single" w:sz="4" w:space="0" w:color="auto"/>
              <w:bottom w:val="single" w:sz="4" w:space="0" w:color="auto"/>
              <w:right w:val="single" w:sz="4" w:space="0" w:color="auto"/>
            </w:tcBorders>
            <w:hideMark/>
          </w:tcPr>
          <w:p w14:paraId="04EB6CD3" w14:textId="30E0A22E" w:rsidR="00C60FCD" w:rsidRPr="000F0299" w:rsidRDefault="00D341C9" w:rsidP="00C60FCD">
            <w:pPr>
              <w:suppressAutoHyphens w:val="0"/>
              <w:autoSpaceDN/>
              <w:spacing w:before="0" w:after="0" w:line="259" w:lineRule="auto"/>
              <w:ind w:firstLine="0"/>
              <w:textAlignment w:val="auto"/>
              <w:rPr>
                <w:rFonts w:eastAsiaTheme="minorHAnsi"/>
                <w:color w:val="000000" w:themeColor="text1"/>
                <w:kern w:val="24"/>
                <w:sz w:val="20"/>
                <w:szCs w:val="20"/>
                <w:lang w:eastAsia="en-US" w:bidi="ar-SA"/>
              </w:rPr>
            </w:pPr>
            <w:r w:rsidRPr="000F0299">
              <w:rPr>
                <w:rFonts w:eastAsiaTheme="minorHAnsi"/>
                <w:b/>
                <w:bCs/>
                <w:color w:val="000000" w:themeColor="text1"/>
                <w:kern w:val="24"/>
                <w:sz w:val="20"/>
                <w:szCs w:val="20"/>
                <w:lang w:eastAsia="en-US" w:bidi="ar-SA"/>
              </w:rPr>
              <w:t>Meрa</w:t>
            </w:r>
            <w:r w:rsidR="00C60FCD" w:rsidRPr="000F0299">
              <w:rPr>
                <w:rFonts w:eastAsiaTheme="minorHAnsi"/>
                <w:b/>
                <w:bCs/>
                <w:color w:val="000000" w:themeColor="text1"/>
                <w:kern w:val="24"/>
                <w:sz w:val="20"/>
                <w:szCs w:val="20"/>
                <w:lang w:eastAsia="en-US" w:bidi="ar-SA"/>
              </w:rPr>
              <w:t xml:space="preserve"> 2.2.3:</w:t>
            </w:r>
            <w:r w:rsidR="00C60FCD" w:rsidRPr="000F0299">
              <w:rPr>
                <w:rFonts w:eastAsiaTheme="minorHAnsi"/>
                <w:color w:val="000000" w:themeColor="text1"/>
                <w:kern w:val="24"/>
                <w:sz w:val="20"/>
                <w:szCs w:val="20"/>
                <w:lang w:eastAsia="en-US" w:bidi="ar-SA"/>
              </w:rPr>
              <w:t xml:space="preserve"> Јачање професионализације лица на положају/руководилаца</w:t>
            </w:r>
          </w:p>
        </w:tc>
      </w:tr>
      <w:tr w:rsidR="00033E96" w:rsidRPr="000F0299" w14:paraId="57BD85B7" w14:textId="77777777" w:rsidTr="00C45368">
        <w:tc>
          <w:tcPr>
            <w:tcW w:w="2050" w:type="dxa"/>
            <w:tcBorders>
              <w:top w:val="single" w:sz="4" w:space="0" w:color="auto"/>
              <w:left w:val="single" w:sz="4" w:space="0" w:color="auto"/>
              <w:bottom w:val="single" w:sz="4" w:space="0" w:color="auto"/>
              <w:right w:val="single" w:sz="4" w:space="0" w:color="auto"/>
            </w:tcBorders>
            <w:hideMark/>
          </w:tcPr>
          <w:p w14:paraId="4C5EAB82" w14:textId="77777777" w:rsidR="00033E96" w:rsidRPr="000F0299" w:rsidRDefault="00033E96"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515" w:type="dxa"/>
            <w:gridSpan w:val="6"/>
            <w:tcBorders>
              <w:top w:val="single" w:sz="4" w:space="0" w:color="auto"/>
              <w:left w:val="single" w:sz="4" w:space="0" w:color="auto"/>
              <w:bottom w:val="single" w:sz="4" w:space="0" w:color="auto"/>
              <w:right w:val="single" w:sz="4" w:space="0" w:color="auto"/>
            </w:tcBorders>
          </w:tcPr>
          <w:p w14:paraId="7DCA5E68" w14:textId="22FC8FC2" w:rsidR="00033E96" w:rsidRPr="000F0299" w:rsidRDefault="00033E96" w:rsidP="00C60FCD">
            <w:pPr>
              <w:suppressAutoHyphens w:val="0"/>
              <w:autoSpaceDN/>
              <w:spacing w:before="0" w:after="0" w:line="259" w:lineRule="auto"/>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Квалитативни показатељ </w:t>
            </w:r>
          </w:p>
        </w:tc>
        <w:tc>
          <w:tcPr>
            <w:tcW w:w="3516" w:type="dxa"/>
            <w:gridSpan w:val="7"/>
            <w:tcBorders>
              <w:top w:val="single" w:sz="4" w:space="0" w:color="auto"/>
              <w:left w:val="single" w:sz="4" w:space="0" w:color="auto"/>
              <w:bottom w:val="single" w:sz="4" w:space="0" w:color="auto"/>
              <w:right w:val="single" w:sz="4" w:space="0" w:color="auto"/>
            </w:tcBorders>
          </w:tcPr>
          <w:p w14:paraId="30EB8E44" w14:textId="5A3C9ACD" w:rsidR="00033E96" w:rsidRPr="000F0299" w:rsidRDefault="00033E96" w:rsidP="00C60FCD">
            <w:pPr>
              <w:suppressAutoHyphens w:val="0"/>
              <w:autoSpaceDN/>
              <w:spacing w:before="0" w:after="0" w:line="259" w:lineRule="auto"/>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На нивоу излазног резултата</w:t>
            </w:r>
          </w:p>
        </w:tc>
      </w:tr>
      <w:tr w:rsidR="00033E96" w:rsidRPr="000F0299" w14:paraId="27AF1F15" w14:textId="77777777" w:rsidTr="00C45368">
        <w:tc>
          <w:tcPr>
            <w:tcW w:w="2050" w:type="dxa"/>
            <w:tcBorders>
              <w:top w:val="single" w:sz="4" w:space="0" w:color="auto"/>
              <w:left w:val="single" w:sz="4" w:space="0" w:color="auto"/>
              <w:bottom w:val="single" w:sz="4" w:space="0" w:color="auto"/>
              <w:right w:val="single" w:sz="4" w:space="0" w:color="auto"/>
            </w:tcBorders>
            <w:hideMark/>
          </w:tcPr>
          <w:p w14:paraId="1CBFB478" w14:textId="77777777" w:rsidR="00033E96" w:rsidRPr="000F0299" w:rsidRDefault="00033E96"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515" w:type="dxa"/>
            <w:gridSpan w:val="6"/>
            <w:tcBorders>
              <w:top w:val="single" w:sz="4" w:space="0" w:color="auto"/>
              <w:left w:val="single" w:sz="4" w:space="0" w:color="auto"/>
              <w:bottom w:val="single" w:sz="4" w:space="0" w:color="auto"/>
              <w:right w:val="single" w:sz="4" w:space="0" w:color="auto"/>
            </w:tcBorders>
          </w:tcPr>
          <w:p w14:paraId="15753454" w14:textId="51B5B7B7" w:rsidR="00033E96" w:rsidRPr="000F0299" w:rsidRDefault="00033E96" w:rsidP="00033E96">
            <w:pPr>
              <w:suppressAutoHyphens w:val="0"/>
              <w:autoSpaceDN/>
              <w:spacing w:before="0" w:after="0" w:line="259" w:lineRule="auto"/>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Бројчани</w:t>
            </w:r>
          </w:p>
        </w:tc>
        <w:tc>
          <w:tcPr>
            <w:tcW w:w="3516" w:type="dxa"/>
            <w:gridSpan w:val="7"/>
            <w:tcBorders>
              <w:top w:val="single" w:sz="4" w:space="0" w:color="auto"/>
              <w:left w:val="single" w:sz="4" w:space="0" w:color="auto"/>
              <w:bottom w:val="single" w:sz="4" w:space="0" w:color="auto"/>
              <w:right w:val="single" w:sz="4" w:space="0" w:color="auto"/>
            </w:tcBorders>
          </w:tcPr>
          <w:p w14:paraId="6C26CDB9" w14:textId="6715F717" w:rsidR="00033E96" w:rsidRPr="000F0299" w:rsidRDefault="00033E96" w:rsidP="00033E96">
            <w:pPr>
              <w:suppressAutoHyphens w:val="0"/>
              <w:autoSpaceDN/>
              <w:spacing w:before="0" w:after="0" w:line="259" w:lineRule="auto"/>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Повећана вредност показатеља пожељна</w:t>
            </w:r>
          </w:p>
        </w:tc>
      </w:tr>
      <w:tr w:rsidR="00C60FCD" w:rsidRPr="000F0299" w14:paraId="3C43B48B" w14:textId="77777777" w:rsidTr="00C60FCD">
        <w:tc>
          <w:tcPr>
            <w:tcW w:w="2050" w:type="dxa"/>
            <w:tcBorders>
              <w:top w:val="single" w:sz="4" w:space="0" w:color="auto"/>
              <w:left w:val="single" w:sz="4" w:space="0" w:color="auto"/>
              <w:bottom w:val="single" w:sz="4" w:space="0" w:color="auto"/>
              <w:right w:val="single" w:sz="4" w:space="0" w:color="auto"/>
            </w:tcBorders>
            <w:hideMark/>
          </w:tcPr>
          <w:p w14:paraId="044824CD" w14:textId="77777777" w:rsidR="00C60FCD" w:rsidRPr="000F0299" w:rsidRDefault="00C60FCD"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7031" w:type="dxa"/>
            <w:gridSpan w:val="13"/>
            <w:tcBorders>
              <w:top w:val="single" w:sz="4" w:space="0" w:color="auto"/>
              <w:left w:val="single" w:sz="4" w:space="0" w:color="auto"/>
              <w:bottom w:val="single" w:sz="4" w:space="0" w:color="auto"/>
              <w:right w:val="single" w:sz="4" w:space="0" w:color="auto"/>
            </w:tcBorders>
            <w:hideMark/>
          </w:tcPr>
          <w:p w14:paraId="5EB87A7A" w14:textId="77777777" w:rsidR="00C60FCD" w:rsidRPr="000F0299" w:rsidRDefault="00C60FCD" w:rsidP="00C60FCD">
            <w:pPr>
              <w:suppressAutoHyphens w:val="0"/>
              <w:autoSpaceDN/>
              <w:spacing w:before="0" w:after="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Подаци ће бити прикупљани  на међународном и националном нивоу.</w:t>
            </w:r>
          </w:p>
          <w:p w14:paraId="663F8863" w14:textId="77777777" w:rsidR="00C60FCD" w:rsidRPr="000F0299" w:rsidRDefault="00C60FCD" w:rsidP="00C60FCD">
            <w:pPr>
              <w:suppressAutoHyphens w:val="0"/>
              <w:autoSpaceDN/>
              <w:spacing w:before="0" w:after="0"/>
              <w:ind w:firstLine="0"/>
              <w:textAlignment w:val="auto"/>
              <w:rPr>
                <w:rFonts w:eastAsia="Times New Roman"/>
                <w:color w:val="000000" w:themeColor="text1"/>
                <w:kern w:val="24"/>
                <w:sz w:val="20"/>
                <w:szCs w:val="20"/>
                <w:lang w:eastAsia="en-US" w:bidi="ar-SA"/>
              </w:rPr>
            </w:pPr>
            <w:r w:rsidRPr="000F0299">
              <w:rPr>
                <w:rFonts w:eastAsia="Times New Roman"/>
                <w:color w:val="000000" w:themeColor="text1"/>
                <w:kern w:val="24"/>
                <w:sz w:val="20"/>
                <w:szCs w:val="20"/>
                <w:lang w:eastAsia="en-US" w:bidi="ar-SA"/>
              </w:rPr>
              <w:t xml:space="preserve">Извор: </w:t>
            </w:r>
          </w:p>
          <w:p w14:paraId="2E6037A6" w14:textId="2720D6C3" w:rsidR="00C60FCD" w:rsidRPr="000F0299" w:rsidRDefault="0070535D" w:rsidP="00E62A1A">
            <w:pPr>
              <w:numPr>
                <w:ilvl w:val="0"/>
                <w:numId w:val="13"/>
              </w:numPr>
              <w:suppressAutoHyphens w:val="0"/>
              <w:autoSpaceDN/>
              <w:spacing w:before="0" w:after="0" w:line="259" w:lineRule="auto"/>
              <w:ind w:left="604" w:hanging="302"/>
              <w:jc w:val="left"/>
              <w:textAlignment w:val="auto"/>
              <w:rPr>
                <w:rFonts w:eastAsiaTheme="minorHAnsi"/>
                <w:color w:val="000000" w:themeColor="text1"/>
                <w:kern w:val="0"/>
                <w:sz w:val="20"/>
                <w:szCs w:val="20"/>
                <w:lang w:eastAsia="en-GB" w:bidi="ar-SA"/>
              </w:rPr>
            </w:pPr>
            <w:r w:rsidRPr="0070535D">
              <w:rPr>
                <w:rFonts w:eastAsiaTheme="minorHAnsi"/>
                <w:i/>
                <w:color w:val="000000" w:themeColor="text1"/>
                <w:kern w:val="0"/>
                <w:sz w:val="20"/>
                <w:szCs w:val="20"/>
                <w:lang w:eastAsia="en-US" w:bidi="ar-SA"/>
              </w:rPr>
              <w:t>SIGMA</w:t>
            </w:r>
            <w:r w:rsidR="00C60FCD" w:rsidRPr="000F0299">
              <w:rPr>
                <w:rFonts w:eastAsiaTheme="minorHAnsi"/>
                <w:color w:val="000000" w:themeColor="text1"/>
                <w:kern w:val="0"/>
                <w:sz w:val="20"/>
                <w:szCs w:val="20"/>
                <w:lang w:eastAsia="en-US" w:bidi="ar-SA"/>
              </w:rPr>
              <w:t xml:space="preserve"> мониторинг извештај </w:t>
            </w:r>
            <w:hyperlink r:id="rId201" w:history="1">
              <w:r w:rsidR="00AE6044" w:rsidRPr="00D92D2C">
                <w:rPr>
                  <w:rStyle w:val="Hyperlink"/>
                  <w:rFonts w:eastAsiaTheme="majorEastAsia"/>
                  <w:kern w:val="0"/>
                  <w:sz w:val="20"/>
                  <w:szCs w:val="20"/>
                  <w:lang w:eastAsia="en-US" w:bidi="ar-SA"/>
                </w:rPr>
                <w:t>http://www.sigmaweb.org/publications/monitoring-reports.htm</w:t>
              </w:r>
            </w:hyperlink>
          </w:p>
        </w:tc>
      </w:tr>
      <w:tr w:rsidR="00C60FCD" w:rsidRPr="000F0299" w14:paraId="0B9659F5" w14:textId="77777777" w:rsidTr="00C60FCD">
        <w:tc>
          <w:tcPr>
            <w:tcW w:w="2050" w:type="dxa"/>
            <w:tcBorders>
              <w:top w:val="single" w:sz="4" w:space="0" w:color="auto"/>
              <w:left w:val="single" w:sz="4" w:space="0" w:color="auto"/>
              <w:bottom w:val="single" w:sz="4" w:space="0" w:color="auto"/>
              <w:right w:val="single" w:sz="4" w:space="0" w:color="auto"/>
            </w:tcBorders>
            <w:hideMark/>
          </w:tcPr>
          <w:p w14:paraId="0C721F27" w14:textId="77777777" w:rsidR="00C60FCD" w:rsidRPr="000F0299" w:rsidRDefault="00C60FCD"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носиоца прикупљања података</w:t>
            </w:r>
          </w:p>
        </w:tc>
        <w:tc>
          <w:tcPr>
            <w:tcW w:w="7031" w:type="dxa"/>
            <w:gridSpan w:val="13"/>
            <w:tcBorders>
              <w:top w:val="single" w:sz="4" w:space="0" w:color="auto"/>
              <w:left w:val="single" w:sz="4" w:space="0" w:color="auto"/>
              <w:bottom w:val="single" w:sz="4" w:space="0" w:color="auto"/>
              <w:right w:val="single" w:sz="4" w:space="0" w:color="auto"/>
            </w:tcBorders>
          </w:tcPr>
          <w:p w14:paraId="58212BB3" w14:textId="7C22B197" w:rsidR="00C60FCD" w:rsidRPr="000F0299" w:rsidRDefault="00C60FCD" w:rsidP="00AE6044">
            <w:pPr>
              <w:suppressAutoHyphens w:val="0"/>
              <w:autoSpaceDN/>
              <w:spacing w:before="84" w:beforeAutospacing="1" w:after="84" w:afterAutospacing="1"/>
              <w:ind w:firstLine="0"/>
              <w:jc w:val="left"/>
              <w:textAlignment w:val="auto"/>
              <w:rPr>
                <w:rFonts w:eastAsiaTheme="minorHAnsi"/>
                <w:color w:val="000000" w:themeColor="text1"/>
                <w:kern w:val="24"/>
                <w:sz w:val="20"/>
                <w:szCs w:val="20"/>
                <w:lang w:eastAsia="en-GB" w:bidi="ar-SA"/>
              </w:rPr>
            </w:pPr>
            <w:r w:rsidRPr="000F0299">
              <w:rPr>
                <w:rFonts w:eastAsiaTheme="minorHAnsi"/>
                <w:color w:val="000000" w:themeColor="text1"/>
                <w:kern w:val="24"/>
                <w:sz w:val="20"/>
                <w:szCs w:val="20"/>
                <w:lang w:eastAsia="en-GB" w:bidi="ar-SA"/>
              </w:rPr>
              <w:t xml:space="preserve">Служба за управљање кадровима, </w:t>
            </w:r>
            <w:r w:rsidR="00AE6044">
              <w:rPr>
                <w:rFonts w:eastAsiaTheme="minorHAnsi"/>
                <w:color w:val="000000" w:themeColor="text1"/>
                <w:kern w:val="24"/>
                <w:sz w:val="20"/>
                <w:szCs w:val="20"/>
                <w:lang w:eastAsia="en-GB" w:bidi="ar-SA"/>
              </w:rPr>
              <w:t>Сектор за одабир и развој кадрова</w:t>
            </w:r>
          </w:p>
        </w:tc>
      </w:tr>
      <w:tr w:rsidR="00C60FCD" w:rsidRPr="000F0299" w14:paraId="57670D0E" w14:textId="77777777" w:rsidTr="00C60FCD">
        <w:tc>
          <w:tcPr>
            <w:tcW w:w="2050" w:type="dxa"/>
            <w:tcBorders>
              <w:top w:val="single" w:sz="4" w:space="0" w:color="auto"/>
              <w:left w:val="single" w:sz="4" w:space="0" w:color="auto"/>
              <w:bottom w:val="single" w:sz="4" w:space="0" w:color="auto"/>
              <w:right w:val="single" w:sz="4" w:space="0" w:color="auto"/>
            </w:tcBorders>
            <w:hideMark/>
          </w:tcPr>
          <w:p w14:paraId="2205BD02" w14:textId="77777777" w:rsidR="00C60FCD" w:rsidRPr="000F0299" w:rsidRDefault="00C60FCD"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7031" w:type="dxa"/>
            <w:gridSpan w:val="13"/>
            <w:tcBorders>
              <w:top w:val="single" w:sz="4" w:space="0" w:color="auto"/>
              <w:left w:val="single" w:sz="4" w:space="0" w:color="auto"/>
              <w:bottom w:val="single" w:sz="4" w:space="0" w:color="auto"/>
              <w:right w:val="single" w:sz="4" w:space="0" w:color="auto"/>
            </w:tcBorders>
            <w:hideMark/>
          </w:tcPr>
          <w:p w14:paraId="5130C79F" w14:textId="124DC521" w:rsidR="00C60FCD" w:rsidRPr="000F0299" w:rsidRDefault="00C60FCD" w:rsidP="00C60FCD">
            <w:pPr>
              <w:suppressAutoHyphens w:val="0"/>
              <w:autoSpaceDN/>
              <w:spacing w:before="50" w:after="50"/>
              <w:ind w:firstLine="0"/>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US" w:bidi="ar-SA"/>
              </w:rPr>
              <w:t xml:space="preserve">Сваке године се прикупљају подаци, с тим што се на сваке две године само преузимају резултати из </w:t>
            </w:r>
            <w:r w:rsidR="0070535D" w:rsidRPr="0070535D">
              <w:rPr>
                <w:rFonts w:eastAsiaTheme="minorHAnsi"/>
                <w:i/>
                <w:color w:val="000000" w:themeColor="text1"/>
                <w:kern w:val="24"/>
                <w:sz w:val="20"/>
                <w:szCs w:val="20"/>
                <w:lang w:eastAsia="en-US" w:bidi="ar-SA"/>
              </w:rPr>
              <w:t>SIGMA</w:t>
            </w:r>
            <w:r w:rsidRPr="000F0299">
              <w:rPr>
                <w:rFonts w:eastAsiaTheme="minorHAnsi"/>
                <w:color w:val="000000" w:themeColor="text1"/>
                <w:kern w:val="24"/>
                <w:sz w:val="20"/>
                <w:szCs w:val="20"/>
                <w:lang w:eastAsia="en-US" w:bidi="ar-SA"/>
              </w:rPr>
              <w:t xml:space="preserve"> мониторинг извештаја а у годинама у којима </w:t>
            </w:r>
            <w:r w:rsidR="0070535D" w:rsidRPr="0070535D">
              <w:rPr>
                <w:rFonts w:eastAsiaTheme="minorHAnsi"/>
                <w:i/>
                <w:color w:val="000000" w:themeColor="text1"/>
                <w:kern w:val="24"/>
                <w:sz w:val="20"/>
                <w:szCs w:val="20"/>
                <w:lang w:eastAsia="en-US" w:bidi="ar-SA"/>
              </w:rPr>
              <w:t>SIGMA</w:t>
            </w:r>
            <w:r w:rsidRPr="000F0299">
              <w:rPr>
                <w:rFonts w:eastAsiaTheme="minorHAnsi"/>
                <w:color w:val="000000" w:themeColor="text1"/>
                <w:kern w:val="24"/>
                <w:sz w:val="20"/>
                <w:szCs w:val="20"/>
                <w:lang w:eastAsia="en-US" w:bidi="ar-SA"/>
              </w:rPr>
              <w:t xml:space="preserve"> не спроводи мониторинг, преписаће се </w:t>
            </w:r>
            <w:r w:rsidR="00D341C9" w:rsidRPr="000F0299">
              <w:rPr>
                <w:rFonts w:eastAsiaTheme="minorHAnsi"/>
                <w:color w:val="000000" w:themeColor="text1"/>
                <w:kern w:val="24"/>
                <w:sz w:val="20"/>
                <w:szCs w:val="20"/>
                <w:lang w:eastAsia="en-US" w:bidi="ar-SA"/>
              </w:rPr>
              <w:t>резултат</w:t>
            </w:r>
            <w:r w:rsidRPr="000F0299">
              <w:rPr>
                <w:rFonts w:eastAsiaTheme="minorHAnsi"/>
                <w:color w:val="000000" w:themeColor="text1"/>
                <w:kern w:val="24"/>
                <w:sz w:val="20"/>
                <w:szCs w:val="20"/>
                <w:lang w:eastAsia="en-US" w:bidi="ar-SA"/>
              </w:rPr>
              <w:t xml:space="preserve"> из последњег </w:t>
            </w:r>
            <w:r w:rsidR="0070535D" w:rsidRPr="0070535D">
              <w:rPr>
                <w:rFonts w:eastAsiaTheme="minorHAnsi"/>
                <w:i/>
                <w:color w:val="000000" w:themeColor="text1"/>
                <w:kern w:val="24"/>
                <w:sz w:val="20"/>
                <w:szCs w:val="20"/>
                <w:lang w:eastAsia="en-US" w:bidi="ar-SA"/>
              </w:rPr>
              <w:t>SIGMA</w:t>
            </w:r>
            <w:r w:rsidRPr="000F0299">
              <w:rPr>
                <w:rFonts w:eastAsiaTheme="minorHAnsi"/>
                <w:color w:val="000000" w:themeColor="text1"/>
                <w:kern w:val="24"/>
                <w:sz w:val="20"/>
                <w:szCs w:val="20"/>
                <w:lang w:eastAsia="en-US" w:bidi="ar-SA"/>
              </w:rPr>
              <w:t xml:space="preserve"> извештаја. </w:t>
            </w:r>
          </w:p>
        </w:tc>
      </w:tr>
      <w:tr w:rsidR="00C60FCD" w:rsidRPr="000F0299" w14:paraId="55AA81AF" w14:textId="77777777" w:rsidTr="00C60FCD">
        <w:tc>
          <w:tcPr>
            <w:tcW w:w="2050" w:type="dxa"/>
            <w:tcBorders>
              <w:top w:val="single" w:sz="4" w:space="0" w:color="auto"/>
              <w:left w:val="single" w:sz="4" w:space="0" w:color="auto"/>
              <w:bottom w:val="single" w:sz="4" w:space="0" w:color="auto"/>
              <w:right w:val="single" w:sz="4" w:space="0" w:color="auto"/>
            </w:tcBorders>
            <w:hideMark/>
          </w:tcPr>
          <w:p w14:paraId="276CBA50" w14:textId="77777777" w:rsidR="00C60FCD" w:rsidRPr="000F0299" w:rsidRDefault="00C60FCD" w:rsidP="00C60FCD">
            <w:pPr>
              <w:suppressAutoHyphens w:val="0"/>
              <w:autoSpaceDN/>
              <w:spacing w:before="0" w:after="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7031" w:type="dxa"/>
            <w:gridSpan w:val="13"/>
            <w:tcBorders>
              <w:top w:val="single" w:sz="4" w:space="0" w:color="auto"/>
              <w:left w:val="single" w:sz="4" w:space="0" w:color="auto"/>
              <w:bottom w:val="single" w:sz="4" w:space="0" w:color="auto"/>
              <w:right w:val="single" w:sz="4" w:space="0" w:color="auto"/>
            </w:tcBorders>
          </w:tcPr>
          <w:p w14:paraId="20B7EDF7" w14:textId="55EED929" w:rsidR="00C60FCD" w:rsidRPr="000F0299" w:rsidRDefault="00C60FCD" w:rsidP="00C60FCD">
            <w:pPr>
              <w:suppressAutoHyphens w:val="0"/>
              <w:autoSpaceDN/>
              <w:spacing w:before="0" w:after="0"/>
              <w:ind w:firstLine="0"/>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 xml:space="preserve">Вредност овог показатеља ће се утврдити на основу вредности пет различитих </w:t>
            </w:r>
            <w:r w:rsidR="0070535D" w:rsidRPr="0070535D">
              <w:rPr>
                <w:rFonts w:eastAsia="Times New Roman"/>
                <w:i/>
                <w:color w:val="000000" w:themeColor="text1"/>
                <w:kern w:val="0"/>
                <w:sz w:val="20"/>
                <w:szCs w:val="20"/>
                <w:lang w:eastAsia="en-US" w:bidi="ar-SA"/>
              </w:rPr>
              <w:t>SIGMA</w:t>
            </w:r>
            <w:r w:rsidRPr="000F0299">
              <w:rPr>
                <w:rFonts w:eastAsia="Times New Roman"/>
                <w:color w:val="000000" w:themeColor="text1"/>
                <w:kern w:val="0"/>
                <w:sz w:val="20"/>
                <w:szCs w:val="20"/>
                <w:lang w:eastAsia="en-US" w:bidi="ar-SA"/>
              </w:rPr>
              <w:t xml:space="preserve"> индикатора. То су:</w:t>
            </w:r>
          </w:p>
          <w:p w14:paraId="4B30E629" w14:textId="12E7A9C7" w:rsidR="00C60FCD" w:rsidRPr="000F0299" w:rsidRDefault="00C60FCD" w:rsidP="00E62A1A">
            <w:pPr>
              <w:numPr>
                <w:ilvl w:val="0"/>
                <w:numId w:val="21"/>
              </w:numPr>
              <w:suppressAutoHyphens w:val="0"/>
              <w:autoSpaceDN/>
              <w:spacing w:before="0" w:after="0" w:line="259" w:lineRule="auto"/>
              <w:ind w:left="393" w:hanging="302"/>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 xml:space="preserve">Изузимање функционера (политички </w:t>
            </w:r>
            <w:r w:rsidR="00D341C9" w:rsidRPr="000F0299">
              <w:rPr>
                <w:rFonts w:eastAsia="Times New Roman"/>
                <w:color w:val="000000" w:themeColor="text1"/>
                <w:kern w:val="0"/>
                <w:sz w:val="20"/>
                <w:szCs w:val="20"/>
                <w:lang w:eastAsia="en-US" w:bidi="ar-SA"/>
              </w:rPr>
              <w:t>постављених</w:t>
            </w:r>
            <w:r w:rsidRPr="000F0299">
              <w:rPr>
                <w:rFonts w:eastAsia="Times New Roman"/>
                <w:color w:val="000000" w:themeColor="text1"/>
                <w:kern w:val="0"/>
                <w:sz w:val="20"/>
                <w:szCs w:val="20"/>
                <w:lang w:eastAsia="en-US" w:bidi="ar-SA"/>
              </w:rPr>
              <w:t xml:space="preserve"> лица) из обухвата службеничког система</w:t>
            </w:r>
          </w:p>
          <w:p w14:paraId="2DFA8D09" w14:textId="77777777" w:rsidR="00C60FCD" w:rsidRPr="000F0299" w:rsidRDefault="00C60FCD" w:rsidP="00033E96">
            <w:pPr>
              <w:suppressAutoHyphens w:val="0"/>
              <w:autoSpaceDN/>
              <w:spacing w:before="0" w:after="0"/>
              <w:ind w:left="393" w:firstLine="0"/>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 xml:space="preserve">Вредност овог подиндикатора се одређује према анализи правног оквира који уређује опсег службеничког система. Максимални број бодова за овај подиндикатор је 2 уколико се утврди да је правни оквир јасно искључује политички постављена лица из делокруга службеничког система. Нула бодова се додељује уколико то није случај. </w:t>
            </w:r>
          </w:p>
          <w:p w14:paraId="00015975" w14:textId="77777777" w:rsidR="00C60FCD" w:rsidRPr="000F0299" w:rsidRDefault="00C60FCD" w:rsidP="00E62A1A">
            <w:pPr>
              <w:numPr>
                <w:ilvl w:val="0"/>
                <w:numId w:val="21"/>
              </w:numPr>
              <w:suppressAutoHyphens w:val="0"/>
              <w:autoSpaceDN/>
              <w:spacing w:before="0" w:after="0" w:line="259" w:lineRule="auto"/>
              <w:ind w:left="393" w:hanging="302"/>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Адекватност обухвата државних службеника на положају у правном оквиру</w:t>
            </w:r>
          </w:p>
          <w:p w14:paraId="4ED1800C" w14:textId="400ED8B9" w:rsidR="00C60FCD" w:rsidRPr="000F0299" w:rsidRDefault="00C60FCD" w:rsidP="00033E96">
            <w:pPr>
              <w:suppressAutoHyphens w:val="0"/>
              <w:autoSpaceDN/>
              <w:spacing w:before="0" w:after="0"/>
              <w:ind w:left="393" w:firstLine="0"/>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 xml:space="preserve">Вредност овог подиндикатора се одређује према анализи правног оквира, тако што се по један бод додељује за сваки </w:t>
            </w:r>
            <w:r w:rsidR="00D341C9" w:rsidRPr="000F0299">
              <w:rPr>
                <w:rFonts w:eastAsia="Times New Roman"/>
                <w:color w:val="000000" w:themeColor="text1"/>
                <w:kern w:val="0"/>
                <w:sz w:val="20"/>
                <w:szCs w:val="20"/>
                <w:lang w:eastAsia="en-US" w:bidi="ar-SA"/>
              </w:rPr>
              <w:t>критеријум</w:t>
            </w:r>
            <w:r w:rsidRPr="000F0299">
              <w:rPr>
                <w:rFonts w:eastAsia="Times New Roman"/>
                <w:color w:val="000000" w:themeColor="text1"/>
                <w:kern w:val="0"/>
                <w:sz w:val="20"/>
                <w:szCs w:val="20"/>
                <w:lang w:eastAsia="en-US" w:bidi="ar-SA"/>
              </w:rPr>
              <w:t>: 1. да су радна места на првом нивоу испод министра и руководиоци органа управе у саставу министарстава  лица на положају; 2. да је у делокругу рада секретара министарства или еквивалентне позиција обављање послова у вези са управљањем људским ресурсима укључујући одлуке о запошљавању и отпуштању службеника на извршилачким радним местима; 3. да постоје посебне одредбе које се односе на регрутовање или напредовање на положаје.</w:t>
            </w:r>
          </w:p>
          <w:p w14:paraId="562A1C15" w14:textId="77777777" w:rsidR="00C60FCD" w:rsidRPr="000F0299" w:rsidRDefault="00C60FCD" w:rsidP="00E62A1A">
            <w:pPr>
              <w:numPr>
                <w:ilvl w:val="0"/>
                <w:numId w:val="21"/>
              </w:numPr>
              <w:suppressAutoHyphens w:val="0"/>
              <w:autoSpaceDN/>
              <w:spacing w:before="0" w:after="0" w:line="259" w:lineRule="auto"/>
              <w:ind w:left="393" w:hanging="302"/>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Објективност критеријума за престанак радног односа лица на положају према прописима</w:t>
            </w:r>
          </w:p>
          <w:p w14:paraId="28844386" w14:textId="77777777" w:rsidR="00C60FCD" w:rsidRPr="000F0299" w:rsidRDefault="00C60FCD" w:rsidP="00033E96">
            <w:pPr>
              <w:suppressAutoHyphens w:val="0"/>
              <w:autoSpaceDN/>
              <w:spacing w:before="0" w:after="0"/>
              <w:ind w:left="393" w:firstLine="0"/>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Вредност се утврђује анализом прописа којима се утврђују услови за престанак радног односа лица на положају. Законодавство не би требало да дозвољава отпуштање из било којих разлога, осим престанка периода на који је лице постављено, дисциплинских или правосудних поступака, поновљене негативне оцене вредновања радне успешности, технолошког вишка због процеса реструктурирања или смањења броја или других критеријума, ако они су објективни. Бодови се додељују на следећи начин: 4 бода ако правни оквир садржи само објективне критеријуме за престанак рада лица. • 0 бодова = ако правни оквир омогућава престанак рада и на основу необјективних критеријума.</w:t>
            </w:r>
          </w:p>
          <w:p w14:paraId="751F22C0" w14:textId="77777777" w:rsidR="00C60FCD" w:rsidRPr="000F0299" w:rsidRDefault="00C60FCD" w:rsidP="00E62A1A">
            <w:pPr>
              <w:numPr>
                <w:ilvl w:val="0"/>
                <w:numId w:val="21"/>
              </w:numPr>
              <w:suppressAutoHyphens w:val="0"/>
              <w:autoSpaceDN/>
              <w:spacing w:before="0" w:after="0" w:line="259" w:lineRule="auto"/>
              <w:ind w:left="393" w:hanging="302"/>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Правна заштита лица на положају приликом распоређивања на ниже радно место (назадовање у каријери)</w:t>
            </w:r>
          </w:p>
          <w:p w14:paraId="5A1D9922" w14:textId="6533FA42" w:rsidR="00033E96" w:rsidRPr="000F0299" w:rsidRDefault="00C60FCD" w:rsidP="00033E96">
            <w:pPr>
              <w:suppressAutoHyphens w:val="0"/>
              <w:autoSpaceDN/>
              <w:spacing w:before="0" w:after="0"/>
              <w:ind w:left="393" w:firstLine="0"/>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Вредност се утврђује анализом прописа на основу којих се додељује по један поен ако: 1. лица на положају имају право да буду премештени на претходно радно место или на упоредиво радно место (ово важи за лица која су на пол</w:t>
            </w:r>
            <w:r w:rsidR="00D341C9">
              <w:rPr>
                <w:rFonts w:eastAsia="Times New Roman"/>
                <w:color w:val="000000" w:themeColor="text1"/>
                <w:kern w:val="0"/>
                <w:sz w:val="20"/>
                <w:szCs w:val="20"/>
                <w:lang w:eastAsia="en-US" w:bidi="ar-SA"/>
              </w:rPr>
              <w:t>о</w:t>
            </w:r>
            <w:r w:rsidRPr="000F0299">
              <w:rPr>
                <w:rFonts w:eastAsia="Times New Roman"/>
                <w:color w:val="000000" w:themeColor="text1"/>
                <w:kern w:val="0"/>
                <w:sz w:val="20"/>
                <w:szCs w:val="20"/>
                <w:lang w:eastAsia="en-US" w:bidi="ar-SA"/>
              </w:rPr>
              <w:t xml:space="preserve">жај постављени из реда државних службеника), под условом да назадовање у каријери није резултат дисциплинских поступака; 2. ако  распоређивање на друго радно место захтева писмено образложење. </w:t>
            </w:r>
          </w:p>
          <w:p w14:paraId="7950662E" w14:textId="4CEDCEA6" w:rsidR="00C60FCD" w:rsidRPr="000F0299" w:rsidRDefault="00C60FCD" w:rsidP="00033E96">
            <w:pPr>
              <w:suppressAutoHyphens w:val="0"/>
              <w:autoSpaceDN/>
              <w:spacing w:before="0" w:after="0"/>
              <w:ind w:left="393" w:firstLine="0"/>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Под условом да назадовање у каријери није могуће, за овај подиндикатор додељује се максималан број поена - 2.</w:t>
            </w:r>
          </w:p>
          <w:p w14:paraId="0FAA5B70" w14:textId="77777777" w:rsidR="00033E96" w:rsidRPr="000F0299" w:rsidRDefault="00C60FCD" w:rsidP="00E62A1A">
            <w:pPr>
              <w:numPr>
                <w:ilvl w:val="0"/>
                <w:numId w:val="21"/>
              </w:numPr>
              <w:suppressAutoHyphens w:val="0"/>
              <w:autoSpaceDN/>
              <w:spacing w:before="0" w:after="0" w:line="259" w:lineRule="auto"/>
              <w:ind w:left="393" w:hanging="284"/>
              <w:jc w:val="left"/>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Стабилност у раду лица на положају (%)</w:t>
            </w:r>
          </w:p>
          <w:p w14:paraId="17FB0C00" w14:textId="09F384A3" w:rsidR="00C60FCD" w:rsidRPr="000F0299" w:rsidRDefault="00C60FCD" w:rsidP="00B1535C">
            <w:pPr>
              <w:suppressAutoHyphens w:val="0"/>
              <w:autoSpaceDN/>
              <w:spacing w:before="0" w:after="0" w:line="259" w:lineRule="auto"/>
              <w:ind w:left="393" w:firstLine="0"/>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 xml:space="preserve">Процена се заснива на следећим подацима: • Годишњи обрт на радни местима државних службеника  на положају током године у којој је Влада последњи пут формирана (израчунава се као број државних службеника који су напустили положај, подељен укупним бројем лица на положају на почетку године, изражено у процентима). • Годишњи обрт на радни местима државних службеника  на положају у години након године у којој је Влада последњи пут формирана (израчунава се као број државних службеника који су напустили положај, подељен укупним бројем лица на положају на почетку године, изражено у процентима). • </w:t>
            </w:r>
            <w:r w:rsidR="00864D50">
              <w:rPr>
                <w:rFonts w:eastAsia="Times New Roman"/>
                <w:color w:val="000000" w:themeColor="text1"/>
                <w:kern w:val="0"/>
                <w:sz w:val="20"/>
                <w:szCs w:val="20"/>
                <w:lang w:eastAsia="en-US" w:bidi="ar-SA"/>
              </w:rPr>
              <w:t>Го</w:t>
            </w:r>
            <w:r w:rsidRPr="000F0299">
              <w:rPr>
                <w:rFonts w:eastAsia="Times New Roman"/>
                <w:color w:val="000000" w:themeColor="text1"/>
                <w:kern w:val="0"/>
                <w:sz w:val="20"/>
                <w:szCs w:val="20"/>
                <w:lang w:eastAsia="en-US" w:bidi="ar-SA"/>
              </w:rPr>
              <w:t>дишњи обрт на радни местима државних службеника  на положај током последње пуне календарске године (израчунава се као број државних службеника који су напустили положај, подељен укупним бројем лица на положају на почетку године, изражено у процентима). За израчунавање подиндикатора узима се највећа вредност од три горе поменута. Ако је најновије формирање Владе било у другој половини последње пуне календарске године или касније, анализирају се подаци о претходном формирању Владе. Додељивање бодова се врши на следећи начин: 4 бода = мање од 10%, 3 бода = 10%-19,99%, 2 бода = 20%-29,99%,  1 бод = 30%-40%, 0 бодова = више од 40%</w:t>
            </w:r>
          </w:p>
          <w:p w14:paraId="72A81D15" w14:textId="77777777" w:rsidR="00C60FCD" w:rsidRPr="000F0299" w:rsidRDefault="00C60FCD" w:rsidP="00C60FCD">
            <w:pPr>
              <w:suppressAutoHyphens w:val="0"/>
              <w:autoSpaceDN/>
              <w:spacing w:before="0" w:after="0"/>
              <w:ind w:firstLine="0"/>
              <w:textAlignment w:val="auto"/>
              <w:rPr>
                <w:rFonts w:eastAsiaTheme="minorHAnsi"/>
                <w:color w:val="000000" w:themeColor="text1"/>
                <w:kern w:val="24"/>
                <w:sz w:val="20"/>
                <w:szCs w:val="20"/>
                <w:lang w:eastAsia="en-GB" w:bidi="ar-SA"/>
              </w:rPr>
            </w:pPr>
            <w:r w:rsidRPr="000F0299">
              <w:rPr>
                <w:rFonts w:eastAsiaTheme="minorHAnsi"/>
                <w:color w:val="000000" w:themeColor="text1"/>
                <w:kern w:val="0"/>
                <w:sz w:val="20"/>
                <w:szCs w:val="20"/>
                <w:lang w:eastAsia="en-US" w:bidi="ar-SA"/>
              </w:rPr>
              <w:t xml:space="preserve">Детаљније о методологији за израчунавање показатеља видети на: </w:t>
            </w:r>
            <w:hyperlink r:id="rId202" w:history="1">
              <w:r w:rsidRPr="000F0299">
                <w:rPr>
                  <w:rFonts w:eastAsiaTheme="majorEastAsia"/>
                  <w:color w:val="0563C1" w:themeColor="hyperlink"/>
                  <w:kern w:val="0"/>
                  <w:sz w:val="20"/>
                  <w:szCs w:val="20"/>
                  <w:u w:val="single"/>
                  <w:lang w:eastAsia="en-US" w:bidi="ar-SA"/>
                </w:rPr>
                <w:t>http://www.sigmaweb.org/publications/Methodological-Framework-for-the-Principles-of-Public-Administration-May-2019.pdf</w:t>
              </w:r>
            </w:hyperlink>
            <w:r w:rsidRPr="000F0299">
              <w:rPr>
                <w:rFonts w:eastAsiaTheme="minorHAnsi"/>
                <w:kern w:val="0"/>
                <w:sz w:val="20"/>
                <w:szCs w:val="20"/>
                <w:lang w:eastAsia="en-US" w:bidi="ar-SA"/>
              </w:rPr>
              <w:t xml:space="preserve"> </w:t>
            </w:r>
          </w:p>
          <w:p w14:paraId="1AA561ED" w14:textId="7B12E75A" w:rsidR="00C60FCD" w:rsidRPr="000F0299" w:rsidRDefault="00C60FCD" w:rsidP="00C60FCD">
            <w:pPr>
              <w:suppressAutoHyphens w:val="0"/>
              <w:autoSpaceDN/>
              <w:spacing w:before="0" w:after="0"/>
              <w:ind w:firstLine="0"/>
              <w:textAlignment w:val="auto"/>
              <w:rPr>
                <w:rFonts w:eastAsia="Times New Roman"/>
                <w:color w:val="000000" w:themeColor="text1"/>
                <w:kern w:val="0"/>
                <w:sz w:val="20"/>
                <w:szCs w:val="20"/>
                <w:lang w:eastAsia="en-US" w:bidi="ar-SA"/>
              </w:rPr>
            </w:pPr>
            <w:r w:rsidRPr="000F0299">
              <w:rPr>
                <w:rFonts w:eastAsia="Times New Roman"/>
                <w:color w:val="000000" w:themeColor="text1"/>
                <w:kern w:val="0"/>
                <w:sz w:val="20"/>
                <w:szCs w:val="20"/>
                <w:lang w:eastAsia="en-US" w:bidi="ar-SA"/>
              </w:rPr>
              <w:t xml:space="preserve">Укупан број бодова који се може остварити за испуњеност овог </w:t>
            </w:r>
            <w:r w:rsidR="00864D50" w:rsidRPr="000F0299">
              <w:rPr>
                <w:rFonts w:eastAsia="Times New Roman"/>
                <w:color w:val="000000" w:themeColor="text1"/>
                <w:kern w:val="0"/>
                <w:sz w:val="20"/>
                <w:szCs w:val="20"/>
                <w:lang w:eastAsia="en-US" w:bidi="ar-SA"/>
              </w:rPr>
              <w:t>показатеља</w:t>
            </w:r>
            <w:r w:rsidRPr="000F0299">
              <w:rPr>
                <w:rFonts w:eastAsia="Times New Roman"/>
                <w:color w:val="000000" w:themeColor="text1"/>
                <w:kern w:val="0"/>
                <w:sz w:val="20"/>
                <w:szCs w:val="20"/>
                <w:lang w:eastAsia="en-US" w:bidi="ar-SA"/>
              </w:rPr>
              <w:t xml:space="preserve">, односно ових шест подиндиатора </w:t>
            </w:r>
            <w:r w:rsidR="0070535D" w:rsidRPr="0070535D">
              <w:rPr>
                <w:rFonts w:eastAsia="Times New Roman"/>
                <w:i/>
                <w:color w:val="000000" w:themeColor="text1"/>
                <w:kern w:val="0"/>
                <w:sz w:val="20"/>
                <w:szCs w:val="20"/>
                <w:lang w:eastAsia="en-US" w:bidi="ar-SA"/>
              </w:rPr>
              <w:t>SIGMA</w:t>
            </w:r>
            <w:r w:rsidRPr="000F0299">
              <w:rPr>
                <w:rFonts w:eastAsia="Times New Roman"/>
                <w:color w:val="000000" w:themeColor="text1"/>
                <w:kern w:val="0"/>
                <w:sz w:val="20"/>
                <w:szCs w:val="20"/>
                <w:lang w:eastAsia="en-US" w:bidi="ar-SA"/>
              </w:rPr>
              <w:t xml:space="preserve"> износи 15. </w:t>
            </w:r>
          </w:p>
        </w:tc>
      </w:tr>
      <w:tr w:rsidR="00C60FCD" w:rsidRPr="000F0299" w14:paraId="669791B8" w14:textId="77777777" w:rsidTr="00C60FCD">
        <w:tc>
          <w:tcPr>
            <w:tcW w:w="2050" w:type="dxa"/>
            <w:vMerge w:val="restart"/>
            <w:tcBorders>
              <w:top w:val="single" w:sz="4" w:space="0" w:color="auto"/>
              <w:left w:val="single" w:sz="4" w:space="0" w:color="auto"/>
              <w:bottom w:val="single" w:sz="4" w:space="0" w:color="auto"/>
              <w:right w:val="single" w:sz="4" w:space="0" w:color="auto"/>
            </w:tcBorders>
            <w:hideMark/>
          </w:tcPr>
          <w:p w14:paraId="093E0672" w14:textId="77777777" w:rsidR="00C60FCD" w:rsidRPr="000F0299" w:rsidRDefault="00C60FCD" w:rsidP="00C60FCD">
            <w:pPr>
              <w:suppressAutoHyphens w:val="0"/>
              <w:autoSpaceDN/>
              <w:spacing w:before="50" w:after="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682" w:type="dxa"/>
            <w:gridSpan w:val="11"/>
            <w:tcBorders>
              <w:top w:val="single" w:sz="4" w:space="0" w:color="auto"/>
              <w:left w:val="single" w:sz="4" w:space="0" w:color="auto"/>
              <w:bottom w:val="single" w:sz="4" w:space="0" w:color="auto"/>
              <w:right w:val="single" w:sz="4" w:space="0" w:color="auto"/>
            </w:tcBorders>
            <w:hideMark/>
          </w:tcPr>
          <w:p w14:paraId="2B89FE29" w14:textId="77777777" w:rsidR="00C60FCD" w:rsidRPr="000F0299" w:rsidRDefault="00C60FCD" w:rsidP="00C60FCD">
            <w:pPr>
              <w:suppressAutoHyphens w:val="0"/>
              <w:autoSpaceDN/>
              <w:spacing w:before="0" w:after="0" w:line="259" w:lineRule="auto"/>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Тренд у прошлости</w:t>
            </w:r>
          </w:p>
        </w:tc>
        <w:tc>
          <w:tcPr>
            <w:tcW w:w="1349" w:type="dxa"/>
            <w:gridSpan w:val="2"/>
            <w:tcBorders>
              <w:top w:val="single" w:sz="4" w:space="0" w:color="auto"/>
              <w:left w:val="single" w:sz="4" w:space="0" w:color="auto"/>
              <w:bottom w:val="single" w:sz="4" w:space="0" w:color="auto"/>
              <w:right w:val="single" w:sz="4" w:space="0" w:color="auto"/>
            </w:tcBorders>
          </w:tcPr>
          <w:p w14:paraId="5137D948" w14:textId="10E67C8F" w:rsidR="00C60FCD" w:rsidRPr="000F0299" w:rsidRDefault="00C60FCD" w:rsidP="00C60FCD">
            <w:pPr>
              <w:suppressAutoHyphens w:val="0"/>
              <w:autoSpaceDN/>
              <w:spacing w:before="0" w:after="0" w:line="259" w:lineRule="auto"/>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Полазна вредност</w:t>
            </w:r>
          </w:p>
        </w:tc>
      </w:tr>
      <w:tr w:rsidR="00C60FCD" w:rsidRPr="000F0299" w14:paraId="7C27BC1E" w14:textId="77777777" w:rsidTr="00C60FCD">
        <w:tc>
          <w:tcPr>
            <w:tcW w:w="0" w:type="auto"/>
            <w:vMerge/>
            <w:tcBorders>
              <w:top w:val="single" w:sz="4" w:space="0" w:color="auto"/>
              <w:left w:val="single" w:sz="4" w:space="0" w:color="auto"/>
              <w:bottom w:val="single" w:sz="4" w:space="0" w:color="auto"/>
              <w:right w:val="single" w:sz="4" w:space="0" w:color="auto"/>
            </w:tcBorders>
            <w:vAlign w:val="center"/>
            <w:hideMark/>
          </w:tcPr>
          <w:p w14:paraId="5FBE35A1" w14:textId="77777777" w:rsidR="00C60FCD" w:rsidRPr="000F0299" w:rsidRDefault="00C60FCD" w:rsidP="00C60FCD">
            <w:pPr>
              <w:suppressAutoHyphens w:val="0"/>
              <w:autoSpaceDN/>
              <w:spacing w:before="0" w:after="0"/>
              <w:ind w:firstLine="0"/>
              <w:jc w:val="left"/>
              <w:textAlignment w:val="auto"/>
              <w:rPr>
                <w:rFonts w:eastAsiaTheme="minorHAnsi"/>
                <w:b/>
                <w:bCs/>
                <w:kern w:val="0"/>
                <w:sz w:val="20"/>
                <w:szCs w:val="20"/>
                <w:lang w:eastAsia="en-GB" w:bidi="ar-SA"/>
              </w:rPr>
            </w:pPr>
          </w:p>
        </w:tc>
        <w:tc>
          <w:tcPr>
            <w:tcW w:w="1811" w:type="dxa"/>
            <w:gridSpan w:val="3"/>
            <w:tcBorders>
              <w:top w:val="single" w:sz="4" w:space="0" w:color="auto"/>
              <w:left w:val="single" w:sz="4" w:space="0" w:color="auto"/>
              <w:bottom w:val="single" w:sz="4" w:space="0" w:color="auto"/>
              <w:right w:val="single" w:sz="4" w:space="0" w:color="auto"/>
            </w:tcBorders>
            <w:hideMark/>
          </w:tcPr>
          <w:p w14:paraId="1F1C5003"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2016</w:t>
            </w:r>
          </w:p>
        </w:tc>
        <w:tc>
          <w:tcPr>
            <w:tcW w:w="1942" w:type="dxa"/>
            <w:gridSpan w:val="4"/>
            <w:tcBorders>
              <w:top w:val="single" w:sz="4" w:space="0" w:color="auto"/>
              <w:left w:val="single" w:sz="4" w:space="0" w:color="auto"/>
              <w:bottom w:val="single" w:sz="4" w:space="0" w:color="auto"/>
              <w:right w:val="single" w:sz="4" w:space="0" w:color="auto"/>
            </w:tcBorders>
            <w:hideMark/>
          </w:tcPr>
          <w:p w14:paraId="1C36337F"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2017</w:t>
            </w:r>
          </w:p>
        </w:tc>
        <w:tc>
          <w:tcPr>
            <w:tcW w:w="1929" w:type="dxa"/>
            <w:gridSpan w:val="4"/>
            <w:tcBorders>
              <w:top w:val="single" w:sz="4" w:space="0" w:color="auto"/>
              <w:left w:val="single" w:sz="4" w:space="0" w:color="auto"/>
              <w:bottom w:val="single" w:sz="4" w:space="0" w:color="auto"/>
              <w:right w:val="single" w:sz="4" w:space="0" w:color="auto"/>
            </w:tcBorders>
            <w:hideMark/>
          </w:tcPr>
          <w:p w14:paraId="66624FA6"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2018</w:t>
            </w:r>
          </w:p>
        </w:tc>
        <w:tc>
          <w:tcPr>
            <w:tcW w:w="1349" w:type="dxa"/>
            <w:gridSpan w:val="2"/>
            <w:tcBorders>
              <w:top w:val="single" w:sz="4" w:space="0" w:color="auto"/>
              <w:left w:val="single" w:sz="4" w:space="0" w:color="auto"/>
              <w:bottom w:val="single" w:sz="4" w:space="0" w:color="auto"/>
              <w:right w:val="single" w:sz="4" w:space="0" w:color="auto"/>
            </w:tcBorders>
            <w:hideMark/>
          </w:tcPr>
          <w:p w14:paraId="64967C34" w14:textId="158287CB"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2019</w:t>
            </w:r>
          </w:p>
        </w:tc>
      </w:tr>
      <w:tr w:rsidR="00C60FCD" w:rsidRPr="000F0299" w14:paraId="020600BA" w14:textId="77777777" w:rsidTr="00C60FCD">
        <w:tc>
          <w:tcPr>
            <w:tcW w:w="0" w:type="auto"/>
            <w:vMerge/>
            <w:tcBorders>
              <w:top w:val="single" w:sz="4" w:space="0" w:color="auto"/>
              <w:left w:val="single" w:sz="4" w:space="0" w:color="auto"/>
              <w:bottom w:val="single" w:sz="4" w:space="0" w:color="auto"/>
              <w:right w:val="single" w:sz="4" w:space="0" w:color="auto"/>
            </w:tcBorders>
            <w:vAlign w:val="center"/>
            <w:hideMark/>
          </w:tcPr>
          <w:p w14:paraId="1B68B3F3" w14:textId="77777777" w:rsidR="00C60FCD" w:rsidRPr="000F0299" w:rsidRDefault="00C60FCD" w:rsidP="00C60FCD">
            <w:pPr>
              <w:suppressAutoHyphens w:val="0"/>
              <w:autoSpaceDN/>
              <w:spacing w:before="0" w:after="0"/>
              <w:ind w:firstLine="0"/>
              <w:jc w:val="left"/>
              <w:textAlignment w:val="auto"/>
              <w:rPr>
                <w:rFonts w:eastAsiaTheme="minorHAnsi"/>
                <w:b/>
                <w:bCs/>
                <w:kern w:val="0"/>
                <w:sz w:val="20"/>
                <w:szCs w:val="20"/>
                <w:lang w:eastAsia="en-GB" w:bidi="ar-SA"/>
              </w:rPr>
            </w:pPr>
          </w:p>
        </w:tc>
        <w:tc>
          <w:tcPr>
            <w:tcW w:w="1811" w:type="dxa"/>
            <w:gridSpan w:val="3"/>
            <w:tcBorders>
              <w:top w:val="single" w:sz="4" w:space="0" w:color="auto"/>
              <w:left w:val="single" w:sz="4" w:space="0" w:color="auto"/>
              <w:bottom w:val="single" w:sz="4" w:space="0" w:color="auto"/>
              <w:right w:val="single" w:sz="4" w:space="0" w:color="auto"/>
            </w:tcBorders>
            <w:hideMark/>
          </w:tcPr>
          <w:p w14:paraId="1ACC3E3B"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н/а</w:t>
            </w:r>
          </w:p>
        </w:tc>
        <w:tc>
          <w:tcPr>
            <w:tcW w:w="1942" w:type="dxa"/>
            <w:gridSpan w:val="4"/>
            <w:tcBorders>
              <w:top w:val="single" w:sz="4" w:space="0" w:color="auto"/>
              <w:left w:val="single" w:sz="4" w:space="0" w:color="auto"/>
              <w:bottom w:val="single" w:sz="4" w:space="0" w:color="auto"/>
              <w:right w:val="single" w:sz="4" w:space="0" w:color="auto"/>
            </w:tcBorders>
            <w:hideMark/>
          </w:tcPr>
          <w:p w14:paraId="287C25D1"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6</w:t>
            </w:r>
          </w:p>
        </w:tc>
        <w:tc>
          <w:tcPr>
            <w:tcW w:w="1929" w:type="dxa"/>
            <w:gridSpan w:val="4"/>
            <w:tcBorders>
              <w:top w:val="single" w:sz="4" w:space="0" w:color="auto"/>
              <w:left w:val="single" w:sz="4" w:space="0" w:color="auto"/>
              <w:bottom w:val="single" w:sz="4" w:space="0" w:color="auto"/>
              <w:right w:val="single" w:sz="4" w:space="0" w:color="auto"/>
            </w:tcBorders>
            <w:hideMark/>
          </w:tcPr>
          <w:p w14:paraId="3DC3883C"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6</w:t>
            </w:r>
          </w:p>
        </w:tc>
        <w:tc>
          <w:tcPr>
            <w:tcW w:w="1349" w:type="dxa"/>
            <w:gridSpan w:val="2"/>
            <w:tcBorders>
              <w:top w:val="single" w:sz="4" w:space="0" w:color="auto"/>
              <w:left w:val="single" w:sz="4" w:space="0" w:color="auto"/>
              <w:bottom w:val="single" w:sz="4" w:space="0" w:color="auto"/>
              <w:right w:val="single" w:sz="4" w:space="0" w:color="auto"/>
            </w:tcBorders>
            <w:hideMark/>
          </w:tcPr>
          <w:p w14:paraId="114E4050" w14:textId="77777777" w:rsidR="00C60FCD" w:rsidRPr="000F0299" w:rsidRDefault="00C60FCD" w:rsidP="00033E96">
            <w:pPr>
              <w:suppressAutoHyphens w:val="0"/>
              <w:autoSpaceDN/>
              <w:spacing w:before="0" w:after="0"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9</w:t>
            </w:r>
          </w:p>
        </w:tc>
      </w:tr>
      <w:tr w:rsidR="00C60FCD" w:rsidRPr="000F0299" w14:paraId="7827370E" w14:textId="77777777" w:rsidTr="00033E96">
        <w:tc>
          <w:tcPr>
            <w:tcW w:w="2050" w:type="dxa"/>
            <w:vMerge w:val="restart"/>
            <w:tcBorders>
              <w:top w:val="single" w:sz="4" w:space="0" w:color="auto"/>
              <w:left w:val="single" w:sz="4" w:space="0" w:color="auto"/>
              <w:bottom w:val="single" w:sz="4" w:space="0" w:color="auto"/>
              <w:right w:val="single" w:sz="4" w:space="0" w:color="auto"/>
            </w:tcBorders>
            <w:hideMark/>
          </w:tcPr>
          <w:p w14:paraId="3B5693DF" w14:textId="77777777" w:rsidR="00C60FCD" w:rsidRPr="000F0299" w:rsidRDefault="00C60FCD" w:rsidP="00C60FCD">
            <w:pPr>
              <w:suppressAutoHyphens w:val="0"/>
              <w:autoSpaceDN/>
              <w:spacing w:before="0" w:after="0"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703" w:type="dxa"/>
            <w:tcBorders>
              <w:top w:val="single" w:sz="4" w:space="0" w:color="auto"/>
              <w:left w:val="single" w:sz="4" w:space="0" w:color="auto"/>
              <w:bottom w:val="single" w:sz="4" w:space="0" w:color="auto"/>
              <w:right w:val="single" w:sz="4" w:space="0" w:color="auto"/>
            </w:tcBorders>
            <w:vAlign w:val="center"/>
            <w:hideMark/>
          </w:tcPr>
          <w:p w14:paraId="0373A39D" w14:textId="77777777" w:rsidR="00C60FCD" w:rsidRPr="000F0299" w:rsidRDefault="00C60FCD" w:rsidP="00033E96">
            <w:pPr>
              <w:suppressAutoHyphens w:val="0"/>
              <w:autoSpaceDN/>
              <w:spacing w:before="50" w:after="5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2021</w:t>
            </w:r>
          </w:p>
        </w:tc>
        <w:tc>
          <w:tcPr>
            <w:tcW w:w="703" w:type="dxa"/>
            <w:tcBorders>
              <w:top w:val="single" w:sz="4" w:space="0" w:color="auto"/>
              <w:left w:val="single" w:sz="4" w:space="0" w:color="auto"/>
              <w:bottom w:val="single" w:sz="4" w:space="0" w:color="auto"/>
              <w:right w:val="single" w:sz="4" w:space="0" w:color="auto"/>
            </w:tcBorders>
            <w:vAlign w:val="center"/>
            <w:hideMark/>
          </w:tcPr>
          <w:p w14:paraId="0658811A" w14:textId="77777777" w:rsidR="00C60FCD" w:rsidRPr="000F0299" w:rsidRDefault="00C60FCD" w:rsidP="00033E96">
            <w:pPr>
              <w:suppressAutoHyphens w:val="0"/>
              <w:autoSpaceDN/>
              <w:spacing w:before="50" w:after="5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2022</w:t>
            </w:r>
          </w:p>
        </w:tc>
        <w:tc>
          <w:tcPr>
            <w:tcW w:w="703" w:type="dxa"/>
            <w:gridSpan w:val="2"/>
            <w:tcBorders>
              <w:top w:val="single" w:sz="4" w:space="0" w:color="auto"/>
              <w:left w:val="single" w:sz="4" w:space="0" w:color="auto"/>
              <w:bottom w:val="single" w:sz="4" w:space="0" w:color="auto"/>
              <w:right w:val="single" w:sz="4" w:space="0" w:color="auto"/>
            </w:tcBorders>
            <w:vAlign w:val="center"/>
            <w:hideMark/>
          </w:tcPr>
          <w:p w14:paraId="0C5D655E" w14:textId="77777777" w:rsidR="00C60FCD" w:rsidRPr="000F0299" w:rsidRDefault="00C60FCD" w:rsidP="00033E96">
            <w:pPr>
              <w:suppressAutoHyphens w:val="0"/>
              <w:autoSpaceDN/>
              <w:spacing w:before="50" w:after="5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2023</w:t>
            </w:r>
          </w:p>
        </w:tc>
        <w:tc>
          <w:tcPr>
            <w:tcW w:w="703" w:type="dxa"/>
            <w:tcBorders>
              <w:top w:val="single" w:sz="4" w:space="0" w:color="auto"/>
              <w:left w:val="single" w:sz="4" w:space="0" w:color="auto"/>
              <w:bottom w:val="single" w:sz="4" w:space="0" w:color="auto"/>
              <w:right w:val="single" w:sz="4" w:space="0" w:color="auto"/>
            </w:tcBorders>
            <w:vAlign w:val="center"/>
            <w:hideMark/>
          </w:tcPr>
          <w:p w14:paraId="76066CFC" w14:textId="77777777" w:rsidR="00C60FCD" w:rsidRPr="000F0299" w:rsidRDefault="00C60FCD" w:rsidP="00033E96">
            <w:pPr>
              <w:suppressAutoHyphens w:val="0"/>
              <w:autoSpaceDN/>
              <w:spacing w:before="50" w:after="5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2024</w:t>
            </w:r>
          </w:p>
        </w:tc>
        <w:tc>
          <w:tcPr>
            <w:tcW w:w="703" w:type="dxa"/>
            <w:tcBorders>
              <w:top w:val="single" w:sz="4" w:space="0" w:color="auto"/>
              <w:left w:val="single" w:sz="4" w:space="0" w:color="auto"/>
              <w:bottom w:val="single" w:sz="4" w:space="0" w:color="auto"/>
              <w:right w:val="single" w:sz="4" w:space="0" w:color="auto"/>
            </w:tcBorders>
            <w:vAlign w:val="center"/>
            <w:hideMark/>
          </w:tcPr>
          <w:p w14:paraId="6F8FF555" w14:textId="77777777" w:rsidR="00C60FCD" w:rsidRPr="000F0299" w:rsidRDefault="00C60FCD" w:rsidP="00033E96">
            <w:pPr>
              <w:suppressAutoHyphens w:val="0"/>
              <w:autoSpaceDN/>
              <w:spacing w:before="50" w:after="5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2025</w:t>
            </w:r>
          </w:p>
        </w:tc>
        <w:tc>
          <w:tcPr>
            <w:tcW w:w="703" w:type="dxa"/>
            <w:gridSpan w:val="2"/>
            <w:tcBorders>
              <w:top w:val="single" w:sz="4" w:space="0" w:color="auto"/>
              <w:left w:val="single" w:sz="4" w:space="0" w:color="auto"/>
              <w:bottom w:val="single" w:sz="4" w:space="0" w:color="auto"/>
              <w:right w:val="single" w:sz="4" w:space="0" w:color="auto"/>
            </w:tcBorders>
            <w:vAlign w:val="center"/>
            <w:hideMark/>
          </w:tcPr>
          <w:p w14:paraId="00C3AC67" w14:textId="77777777" w:rsidR="00C60FCD" w:rsidRPr="000F0299" w:rsidRDefault="00C60FCD" w:rsidP="00033E96">
            <w:pPr>
              <w:suppressAutoHyphens w:val="0"/>
              <w:autoSpaceDN/>
              <w:spacing w:before="50" w:after="5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2026</w:t>
            </w:r>
          </w:p>
        </w:tc>
        <w:tc>
          <w:tcPr>
            <w:tcW w:w="703" w:type="dxa"/>
            <w:tcBorders>
              <w:top w:val="single" w:sz="4" w:space="0" w:color="auto"/>
              <w:left w:val="single" w:sz="4" w:space="0" w:color="auto"/>
              <w:bottom w:val="single" w:sz="4" w:space="0" w:color="auto"/>
              <w:right w:val="single" w:sz="4" w:space="0" w:color="auto"/>
            </w:tcBorders>
            <w:vAlign w:val="center"/>
            <w:hideMark/>
          </w:tcPr>
          <w:p w14:paraId="6DB99BE5" w14:textId="77777777" w:rsidR="00C60FCD" w:rsidRPr="000F0299" w:rsidRDefault="00C60FCD" w:rsidP="00033E96">
            <w:pPr>
              <w:suppressAutoHyphens w:val="0"/>
              <w:autoSpaceDN/>
              <w:spacing w:before="50" w:after="5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2027</w:t>
            </w:r>
          </w:p>
        </w:tc>
        <w:tc>
          <w:tcPr>
            <w:tcW w:w="703" w:type="dxa"/>
            <w:tcBorders>
              <w:top w:val="single" w:sz="4" w:space="0" w:color="auto"/>
              <w:left w:val="single" w:sz="4" w:space="0" w:color="auto"/>
              <w:bottom w:val="single" w:sz="4" w:space="0" w:color="auto"/>
              <w:right w:val="single" w:sz="4" w:space="0" w:color="auto"/>
            </w:tcBorders>
            <w:vAlign w:val="center"/>
            <w:hideMark/>
          </w:tcPr>
          <w:p w14:paraId="049E8E0B" w14:textId="77777777" w:rsidR="00C60FCD" w:rsidRPr="000F0299" w:rsidRDefault="00C60FCD" w:rsidP="00033E96">
            <w:pPr>
              <w:suppressAutoHyphens w:val="0"/>
              <w:autoSpaceDN/>
              <w:spacing w:before="50" w:after="5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2028</w:t>
            </w:r>
          </w:p>
        </w:tc>
        <w:tc>
          <w:tcPr>
            <w:tcW w:w="703" w:type="dxa"/>
            <w:gridSpan w:val="2"/>
            <w:tcBorders>
              <w:top w:val="single" w:sz="4" w:space="0" w:color="auto"/>
              <w:left w:val="single" w:sz="4" w:space="0" w:color="auto"/>
              <w:bottom w:val="single" w:sz="4" w:space="0" w:color="auto"/>
              <w:right w:val="single" w:sz="4" w:space="0" w:color="auto"/>
            </w:tcBorders>
            <w:vAlign w:val="center"/>
            <w:hideMark/>
          </w:tcPr>
          <w:p w14:paraId="51BBDF96" w14:textId="77777777" w:rsidR="00C60FCD" w:rsidRPr="000F0299" w:rsidRDefault="00C60FCD" w:rsidP="00033E96">
            <w:pPr>
              <w:suppressAutoHyphens w:val="0"/>
              <w:autoSpaceDN/>
              <w:spacing w:before="50" w:after="5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2029</w:t>
            </w:r>
          </w:p>
        </w:tc>
        <w:tc>
          <w:tcPr>
            <w:tcW w:w="704" w:type="dxa"/>
            <w:tcBorders>
              <w:top w:val="single" w:sz="4" w:space="0" w:color="auto"/>
              <w:left w:val="single" w:sz="4" w:space="0" w:color="auto"/>
              <w:bottom w:val="single" w:sz="4" w:space="0" w:color="auto"/>
              <w:right w:val="single" w:sz="4" w:space="0" w:color="auto"/>
            </w:tcBorders>
            <w:vAlign w:val="center"/>
            <w:hideMark/>
          </w:tcPr>
          <w:p w14:paraId="2F7D620C" w14:textId="77777777" w:rsidR="00C60FCD" w:rsidRPr="000F0299" w:rsidRDefault="00C60FCD" w:rsidP="00033E96">
            <w:pPr>
              <w:suppressAutoHyphens w:val="0"/>
              <w:autoSpaceDN/>
              <w:spacing w:before="50" w:after="50"/>
              <w:ind w:firstLine="0"/>
              <w:jc w:val="center"/>
              <w:textAlignment w:val="auto"/>
              <w:rPr>
                <w:rFonts w:eastAsiaTheme="minorHAnsi"/>
                <w:color w:val="000000" w:themeColor="text1"/>
                <w:kern w:val="0"/>
                <w:sz w:val="20"/>
                <w:szCs w:val="20"/>
                <w:lang w:eastAsia="en-GB" w:bidi="ar-SA"/>
              </w:rPr>
            </w:pPr>
            <w:r w:rsidRPr="000F0299">
              <w:rPr>
                <w:rFonts w:eastAsiaTheme="minorHAnsi"/>
                <w:color w:val="000000" w:themeColor="text1"/>
                <w:kern w:val="24"/>
                <w:sz w:val="20"/>
                <w:szCs w:val="20"/>
                <w:lang w:eastAsia="en-GB" w:bidi="ar-SA"/>
              </w:rPr>
              <w:t>2030</w:t>
            </w:r>
          </w:p>
        </w:tc>
      </w:tr>
      <w:tr w:rsidR="00C60FCD" w:rsidRPr="000F0299" w14:paraId="30741DB2" w14:textId="77777777" w:rsidTr="00033E96">
        <w:tc>
          <w:tcPr>
            <w:tcW w:w="0" w:type="auto"/>
            <w:vMerge/>
            <w:tcBorders>
              <w:top w:val="single" w:sz="4" w:space="0" w:color="auto"/>
              <w:left w:val="single" w:sz="4" w:space="0" w:color="auto"/>
              <w:bottom w:val="single" w:sz="4" w:space="0" w:color="auto"/>
              <w:right w:val="single" w:sz="4" w:space="0" w:color="auto"/>
            </w:tcBorders>
            <w:vAlign w:val="center"/>
            <w:hideMark/>
          </w:tcPr>
          <w:p w14:paraId="137805FB" w14:textId="77777777" w:rsidR="00C60FCD" w:rsidRPr="000F0299" w:rsidRDefault="00C60FCD" w:rsidP="00C60FCD">
            <w:pPr>
              <w:suppressAutoHyphens w:val="0"/>
              <w:autoSpaceDN/>
              <w:spacing w:before="0" w:after="0"/>
              <w:ind w:firstLine="0"/>
              <w:jc w:val="left"/>
              <w:textAlignment w:val="auto"/>
              <w:rPr>
                <w:rFonts w:eastAsiaTheme="minorHAnsi"/>
                <w:b/>
                <w:bCs/>
                <w:kern w:val="0"/>
                <w:sz w:val="20"/>
                <w:szCs w:val="20"/>
                <w:lang w:eastAsia="en-US" w:bidi="ar-SA"/>
              </w:rPr>
            </w:pPr>
          </w:p>
        </w:tc>
        <w:tc>
          <w:tcPr>
            <w:tcW w:w="703" w:type="dxa"/>
            <w:tcBorders>
              <w:top w:val="single" w:sz="4" w:space="0" w:color="auto"/>
              <w:left w:val="single" w:sz="4" w:space="0" w:color="auto"/>
              <w:bottom w:val="single" w:sz="4" w:space="0" w:color="auto"/>
              <w:right w:val="single" w:sz="4" w:space="0" w:color="auto"/>
            </w:tcBorders>
            <w:hideMark/>
          </w:tcPr>
          <w:p w14:paraId="7E8A2541"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11</w:t>
            </w:r>
          </w:p>
        </w:tc>
        <w:tc>
          <w:tcPr>
            <w:tcW w:w="703" w:type="dxa"/>
            <w:tcBorders>
              <w:top w:val="single" w:sz="4" w:space="0" w:color="auto"/>
              <w:left w:val="single" w:sz="4" w:space="0" w:color="auto"/>
              <w:bottom w:val="single" w:sz="4" w:space="0" w:color="auto"/>
              <w:right w:val="single" w:sz="4" w:space="0" w:color="auto"/>
            </w:tcBorders>
            <w:hideMark/>
          </w:tcPr>
          <w:p w14:paraId="14C41BDD"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11</w:t>
            </w:r>
          </w:p>
        </w:tc>
        <w:tc>
          <w:tcPr>
            <w:tcW w:w="703" w:type="dxa"/>
            <w:gridSpan w:val="2"/>
            <w:tcBorders>
              <w:top w:val="single" w:sz="4" w:space="0" w:color="auto"/>
              <w:left w:val="single" w:sz="4" w:space="0" w:color="auto"/>
              <w:bottom w:val="single" w:sz="4" w:space="0" w:color="auto"/>
              <w:right w:val="single" w:sz="4" w:space="0" w:color="auto"/>
            </w:tcBorders>
            <w:hideMark/>
          </w:tcPr>
          <w:p w14:paraId="426D9A78"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13</w:t>
            </w:r>
          </w:p>
        </w:tc>
        <w:tc>
          <w:tcPr>
            <w:tcW w:w="703" w:type="dxa"/>
            <w:tcBorders>
              <w:top w:val="single" w:sz="4" w:space="0" w:color="auto"/>
              <w:left w:val="single" w:sz="4" w:space="0" w:color="auto"/>
              <w:bottom w:val="single" w:sz="4" w:space="0" w:color="auto"/>
              <w:right w:val="single" w:sz="4" w:space="0" w:color="auto"/>
            </w:tcBorders>
            <w:hideMark/>
          </w:tcPr>
          <w:p w14:paraId="01CBB561"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13</w:t>
            </w:r>
          </w:p>
        </w:tc>
        <w:tc>
          <w:tcPr>
            <w:tcW w:w="703" w:type="dxa"/>
            <w:tcBorders>
              <w:top w:val="single" w:sz="4" w:space="0" w:color="auto"/>
              <w:left w:val="single" w:sz="4" w:space="0" w:color="auto"/>
              <w:bottom w:val="single" w:sz="4" w:space="0" w:color="auto"/>
              <w:right w:val="single" w:sz="4" w:space="0" w:color="auto"/>
            </w:tcBorders>
            <w:hideMark/>
          </w:tcPr>
          <w:p w14:paraId="7EF9FE29"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13</w:t>
            </w:r>
          </w:p>
        </w:tc>
        <w:tc>
          <w:tcPr>
            <w:tcW w:w="703" w:type="dxa"/>
            <w:gridSpan w:val="2"/>
            <w:tcBorders>
              <w:top w:val="single" w:sz="4" w:space="0" w:color="auto"/>
              <w:left w:val="single" w:sz="4" w:space="0" w:color="auto"/>
              <w:bottom w:val="single" w:sz="4" w:space="0" w:color="auto"/>
              <w:right w:val="single" w:sz="4" w:space="0" w:color="auto"/>
            </w:tcBorders>
            <w:hideMark/>
          </w:tcPr>
          <w:p w14:paraId="57986661"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15</w:t>
            </w:r>
          </w:p>
        </w:tc>
        <w:tc>
          <w:tcPr>
            <w:tcW w:w="703" w:type="dxa"/>
            <w:tcBorders>
              <w:top w:val="single" w:sz="4" w:space="0" w:color="auto"/>
              <w:left w:val="single" w:sz="4" w:space="0" w:color="auto"/>
              <w:bottom w:val="single" w:sz="4" w:space="0" w:color="auto"/>
              <w:right w:val="single" w:sz="4" w:space="0" w:color="auto"/>
            </w:tcBorders>
            <w:hideMark/>
          </w:tcPr>
          <w:p w14:paraId="0C9C6EFC"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15</w:t>
            </w:r>
          </w:p>
        </w:tc>
        <w:tc>
          <w:tcPr>
            <w:tcW w:w="703" w:type="dxa"/>
            <w:tcBorders>
              <w:top w:val="single" w:sz="4" w:space="0" w:color="auto"/>
              <w:left w:val="single" w:sz="4" w:space="0" w:color="auto"/>
              <w:bottom w:val="single" w:sz="4" w:space="0" w:color="auto"/>
              <w:right w:val="single" w:sz="4" w:space="0" w:color="auto"/>
            </w:tcBorders>
            <w:hideMark/>
          </w:tcPr>
          <w:p w14:paraId="685A618E"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15</w:t>
            </w:r>
          </w:p>
        </w:tc>
        <w:tc>
          <w:tcPr>
            <w:tcW w:w="703" w:type="dxa"/>
            <w:gridSpan w:val="2"/>
            <w:tcBorders>
              <w:top w:val="single" w:sz="4" w:space="0" w:color="auto"/>
              <w:left w:val="single" w:sz="4" w:space="0" w:color="auto"/>
              <w:bottom w:val="single" w:sz="4" w:space="0" w:color="auto"/>
              <w:right w:val="single" w:sz="4" w:space="0" w:color="auto"/>
            </w:tcBorders>
            <w:hideMark/>
          </w:tcPr>
          <w:p w14:paraId="6E5D84A3"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15</w:t>
            </w:r>
          </w:p>
        </w:tc>
        <w:tc>
          <w:tcPr>
            <w:tcW w:w="704" w:type="dxa"/>
            <w:tcBorders>
              <w:top w:val="single" w:sz="4" w:space="0" w:color="auto"/>
              <w:left w:val="single" w:sz="4" w:space="0" w:color="auto"/>
              <w:bottom w:val="single" w:sz="4" w:space="0" w:color="auto"/>
              <w:right w:val="single" w:sz="4" w:space="0" w:color="auto"/>
            </w:tcBorders>
            <w:hideMark/>
          </w:tcPr>
          <w:p w14:paraId="14B64B51" w14:textId="77777777" w:rsidR="00C60FCD" w:rsidRPr="000F0299" w:rsidRDefault="00C60FCD" w:rsidP="00033E96">
            <w:pPr>
              <w:suppressAutoHyphens w:val="0"/>
              <w:autoSpaceDN/>
              <w:spacing w:before="0" w:after="0" w:line="259" w:lineRule="auto"/>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15</w:t>
            </w:r>
          </w:p>
        </w:tc>
      </w:tr>
      <w:tr w:rsidR="00C60FCD" w:rsidRPr="000F0299" w14:paraId="31F3B647" w14:textId="77777777" w:rsidTr="00C60FCD">
        <w:tc>
          <w:tcPr>
            <w:tcW w:w="2050" w:type="dxa"/>
            <w:tcBorders>
              <w:top w:val="single" w:sz="4" w:space="0" w:color="auto"/>
              <w:left w:val="single" w:sz="4" w:space="0" w:color="auto"/>
              <w:bottom w:val="single" w:sz="4" w:space="0" w:color="auto"/>
              <w:right w:val="single" w:sz="4" w:space="0" w:color="auto"/>
            </w:tcBorders>
            <w:hideMark/>
          </w:tcPr>
          <w:p w14:paraId="71A40323" w14:textId="77777777" w:rsidR="00C60FCD" w:rsidRPr="000F0299" w:rsidRDefault="00C60FCD"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7031" w:type="dxa"/>
            <w:gridSpan w:val="13"/>
            <w:tcBorders>
              <w:top w:val="single" w:sz="4" w:space="0" w:color="auto"/>
              <w:left w:val="single" w:sz="4" w:space="0" w:color="auto"/>
              <w:bottom w:val="single" w:sz="4" w:space="0" w:color="auto"/>
              <w:right w:val="single" w:sz="4" w:space="0" w:color="auto"/>
            </w:tcBorders>
            <w:vAlign w:val="center"/>
            <w:hideMark/>
          </w:tcPr>
          <w:p w14:paraId="3C194EE0" w14:textId="30159852" w:rsidR="00C60FCD" w:rsidRPr="000F0299" w:rsidRDefault="006D3202" w:rsidP="00C60FCD">
            <w:pPr>
              <w:suppressAutoHyphens w:val="0"/>
              <w:autoSpaceDN/>
              <w:spacing w:before="50" w:after="50"/>
              <w:ind w:firstLine="0"/>
              <w:textAlignment w:val="auto"/>
              <w:rPr>
                <w:rFonts w:eastAsiaTheme="minorHAnsi"/>
                <w:color w:val="000000" w:themeColor="text1"/>
                <w:kern w:val="0"/>
                <w:sz w:val="20"/>
                <w:szCs w:val="20"/>
                <w:lang w:eastAsia="en-GB" w:bidi="ar-SA"/>
              </w:rPr>
            </w:pPr>
            <w:r w:rsidRPr="006D3202">
              <w:rPr>
                <w:rFonts w:eastAsiaTheme="minorHAnsi"/>
                <w:color w:val="000000" w:themeColor="text1"/>
                <w:kern w:val="0"/>
                <w:sz w:val="20"/>
                <w:szCs w:val="20"/>
                <w:lang w:eastAsia="en-GB" w:bidi="ar-SA"/>
              </w:rPr>
              <w:t>Један степен ће бити прихватљиво одступање од циљне вредности.</w:t>
            </w:r>
          </w:p>
        </w:tc>
      </w:tr>
    </w:tbl>
    <w:p w14:paraId="6DA47F88" w14:textId="2E1BB22F" w:rsidR="00A958B7" w:rsidRPr="000F0299" w:rsidRDefault="00A958B7" w:rsidP="00C60FCD">
      <w:pPr>
        <w:rPr>
          <w:lang w:eastAsia="en-US" w:bidi="ar-SA"/>
        </w:rPr>
      </w:pPr>
    </w:p>
    <w:p w14:paraId="778F72D0" w14:textId="77777777" w:rsidR="00A958B7" w:rsidRPr="000F0299" w:rsidRDefault="00A958B7">
      <w:pPr>
        <w:suppressAutoHyphens w:val="0"/>
        <w:autoSpaceDN/>
        <w:spacing w:before="0" w:after="160" w:line="259" w:lineRule="auto"/>
        <w:ind w:firstLine="0"/>
        <w:jc w:val="left"/>
        <w:textAlignment w:val="auto"/>
        <w:rPr>
          <w:lang w:eastAsia="en-US" w:bidi="ar-SA"/>
        </w:rPr>
      </w:pPr>
      <w:r w:rsidRPr="000F0299">
        <w:rPr>
          <w:lang w:eastAsia="en-US" w:bidi="ar-SA"/>
        </w:rPr>
        <w:br w:type="page"/>
      </w:r>
    </w:p>
    <w:p w14:paraId="1DAD6C68" w14:textId="7DA66EAD" w:rsidR="00C60FCD" w:rsidRPr="000F0299" w:rsidRDefault="00C013C7" w:rsidP="00033E96">
      <w:pPr>
        <w:pStyle w:val="Heading3"/>
        <w:rPr>
          <w:rFonts w:ascii="Arial Narrow" w:eastAsiaTheme="minorHAnsi" w:hAnsi="Arial Narrow" w:cstheme="minorHAnsi"/>
          <w:sz w:val="20"/>
          <w:szCs w:val="20"/>
          <w:lang w:val="sr-Cyrl-RS" w:eastAsia="en-US" w:bidi="ar-SA"/>
        </w:rPr>
      </w:pPr>
      <w:bookmarkStart w:id="327" w:name="_Посебан_циљ_2.3:"/>
      <w:bookmarkStart w:id="328" w:name="_Toc57661518"/>
      <w:bookmarkEnd w:id="327"/>
      <w:r w:rsidRPr="000F0299">
        <w:rPr>
          <w:rFonts w:eastAsiaTheme="minorHAnsi"/>
          <w:lang w:val="sr-Cyrl-RS" w:eastAsia="en-US" w:bidi="ar-SA"/>
        </w:rPr>
        <w:t>Посебан циљ 2.</w:t>
      </w:r>
      <w:r w:rsidR="00C60FCD" w:rsidRPr="000F0299">
        <w:rPr>
          <w:rFonts w:eastAsiaTheme="minorHAnsi"/>
          <w:lang w:val="sr-Cyrl-RS" w:eastAsia="en-US" w:bidi="ar-SA"/>
        </w:rPr>
        <w:t>3</w:t>
      </w:r>
      <w:r w:rsidRPr="000F0299">
        <w:rPr>
          <w:rFonts w:eastAsiaTheme="minorHAnsi"/>
          <w:lang w:val="sr-Cyrl-RS" w:eastAsia="en-US" w:bidi="ar-SA"/>
        </w:rPr>
        <w:t>: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w:t>
      </w:r>
      <w:bookmarkEnd w:id="328"/>
    </w:p>
    <w:p w14:paraId="2124924D" w14:textId="4D46F00A" w:rsidR="00C60FCD" w:rsidRPr="000F0299" w:rsidRDefault="00C013C7" w:rsidP="00BE55B6">
      <w:pPr>
        <w:ind w:firstLine="0"/>
        <w:rPr>
          <w:b/>
          <w:bCs/>
          <w:color w:val="2F5496" w:themeColor="accent1" w:themeShade="BF"/>
        </w:rPr>
      </w:pPr>
      <w:r w:rsidRPr="000F0299">
        <w:rPr>
          <w:b/>
          <w:bCs/>
          <w:color w:val="2F5496" w:themeColor="accent1" w:themeShade="BF"/>
        </w:rPr>
        <w:t>Показатељ 1</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701"/>
        <w:gridCol w:w="702"/>
        <w:gridCol w:w="243"/>
        <w:gridCol w:w="458"/>
        <w:gridCol w:w="702"/>
        <w:gridCol w:w="701"/>
        <w:gridCol w:w="50"/>
        <w:gridCol w:w="652"/>
        <w:gridCol w:w="701"/>
        <w:gridCol w:w="615"/>
        <w:gridCol w:w="87"/>
        <w:gridCol w:w="701"/>
        <w:gridCol w:w="702"/>
      </w:tblGrid>
      <w:tr w:rsidR="00C60FCD" w:rsidRPr="000F0299" w14:paraId="6DB4E59A" w14:textId="77777777" w:rsidTr="00C013C7">
        <w:tc>
          <w:tcPr>
            <w:tcW w:w="2084" w:type="dxa"/>
            <w:shd w:val="clear" w:color="auto" w:fill="BFBFBF" w:themeFill="background1" w:themeFillShade="BF"/>
            <w:vAlign w:val="center"/>
          </w:tcPr>
          <w:p w14:paraId="130D4727" w14:textId="77777777" w:rsidR="00C60FCD" w:rsidRPr="000F0299" w:rsidRDefault="00C60FCD" w:rsidP="00033E96">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показатеља</w:t>
            </w:r>
          </w:p>
        </w:tc>
        <w:tc>
          <w:tcPr>
            <w:tcW w:w="7015" w:type="dxa"/>
            <w:gridSpan w:val="13"/>
            <w:shd w:val="clear" w:color="auto" w:fill="BFBFBF" w:themeFill="background1" w:themeFillShade="BF"/>
            <w:vAlign w:val="center"/>
          </w:tcPr>
          <w:p w14:paraId="7F6F58F7" w14:textId="77777777" w:rsidR="00C60FCD" w:rsidRPr="000F0299" w:rsidRDefault="00C60FCD" w:rsidP="00033E96">
            <w:pPr>
              <w:suppressAutoHyphens w:val="0"/>
              <w:autoSpaceDN/>
              <w:spacing w:before="0"/>
              <w:ind w:firstLine="0"/>
              <w:textAlignment w:val="auto"/>
              <w:rPr>
                <w:rFonts w:eastAsiaTheme="minorHAnsi"/>
                <w:kern w:val="0"/>
                <w:sz w:val="20"/>
                <w:szCs w:val="20"/>
                <w:lang w:eastAsia="en-GB" w:bidi="ar-SA"/>
              </w:rPr>
            </w:pPr>
            <w:r w:rsidRPr="000F0299">
              <w:rPr>
                <w:rFonts w:eastAsiaTheme="minorHAnsi"/>
                <w:b/>
                <w:bCs/>
                <w:color w:val="000000"/>
                <w:kern w:val="0"/>
                <w:sz w:val="20"/>
                <w:szCs w:val="20"/>
                <w:lang w:eastAsia="en-GB" w:bidi="ar-SA"/>
              </w:rPr>
              <w:t>Степен у ком се систем стручног усавршавања и стручних испита у јавној управи   нормативно и у пракси заснива на анализи потреба за  унапређењем компетенција,  односно  квалификација запослених</w:t>
            </w:r>
          </w:p>
        </w:tc>
      </w:tr>
      <w:tr w:rsidR="00C60FCD" w:rsidRPr="000F0299" w14:paraId="50F9CC9B" w14:textId="77777777" w:rsidTr="00C60FCD">
        <w:tc>
          <w:tcPr>
            <w:tcW w:w="2084" w:type="dxa"/>
            <w:shd w:val="clear" w:color="auto" w:fill="auto"/>
          </w:tcPr>
          <w:p w14:paraId="4FD9381C" w14:textId="77777777" w:rsidR="00C60FCD" w:rsidRPr="000F0299" w:rsidRDefault="00C60FCD" w:rsidP="00033E96">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7015" w:type="dxa"/>
            <w:gridSpan w:val="13"/>
            <w:shd w:val="clear" w:color="auto" w:fill="auto"/>
          </w:tcPr>
          <w:p w14:paraId="5B4A6B0E" w14:textId="77777777" w:rsidR="00C60FCD" w:rsidRPr="000F0299" w:rsidRDefault="00C60FCD" w:rsidP="00033E96">
            <w:pPr>
              <w:suppressAutoHyphens w:val="0"/>
              <w:autoSpaceDN/>
              <w:snapToGrid w:val="0"/>
              <w:spacing w:before="0"/>
              <w:ind w:firstLine="0"/>
              <w:textAlignment w:val="auto"/>
              <w:rPr>
                <w:rFonts w:eastAsiaTheme="minorHAnsi"/>
                <w:color w:val="000000"/>
                <w:kern w:val="24"/>
                <w:sz w:val="20"/>
                <w:szCs w:val="20"/>
                <w:lang w:eastAsia="en-US" w:bidi="ar-SA"/>
              </w:rPr>
            </w:pPr>
            <w:r w:rsidRPr="000F0299">
              <w:rPr>
                <w:rFonts w:eastAsiaTheme="minorHAnsi"/>
                <w:b/>
                <w:bCs/>
                <w:color w:val="000000"/>
                <w:kern w:val="24"/>
                <w:sz w:val="20"/>
                <w:szCs w:val="20"/>
                <w:lang w:eastAsia="en-US" w:bidi="ar-SA"/>
              </w:rPr>
              <w:t>Посебан циљ 2.3.:</w:t>
            </w:r>
            <w:r w:rsidRPr="000F0299">
              <w:rPr>
                <w:rFonts w:eastAsiaTheme="minorHAnsi"/>
                <w:color w:val="000000"/>
                <w:kern w:val="24"/>
                <w:sz w:val="20"/>
                <w:szCs w:val="20"/>
                <w:lang w:eastAsia="en-US" w:bidi="ar-SA"/>
              </w:rPr>
              <w:t xml:space="preserve">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w:t>
            </w:r>
          </w:p>
        </w:tc>
      </w:tr>
      <w:tr w:rsidR="00033E96" w:rsidRPr="000F0299" w14:paraId="4F3C3ED5" w14:textId="77777777" w:rsidTr="00C45368">
        <w:tc>
          <w:tcPr>
            <w:tcW w:w="2084" w:type="dxa"/>
            <w:shd w:val="clear" w:color="auto" w:fill="auto"/>
          </w:tcPr>
          <w:p w14:paraId="1A2B2BF4" w14:textId="77777777" w:rsidR="00033E96" w:rsidRPr="000F0299" w:rsidRDefault="00033E96" w:rsidP="00033E96">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507" w:type="dxa"/>
            <w:gridSpan w:val="6"/>
            <w:shd w:val="clear" w:color="auto" w:fill="auto"/>
          </w:tcPr>
          <w:p w14:paraId="1D637F62" w14:textId="30897CE0" w:rsidR="00033E96" w:rsidRPr="000F0299" w:rsidRDefault="00033E96" w:rsidP="00033E96">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 xml:space="preserve">Квалитативни показатељ </w:t>
            </w:r>
          </w:p>
        </w:tc>
        <w:tc>
          <w:tcPr>
            <w:tcW w:w="3508" w:type="dxa"/>
            <w:gridSpan w:val="7"/>
            <w:shd w:val="clear" w:color="auto" w:fill="auto"/>
          </w:tcPr>
          <w:p w14:paraId="0541FAB9" w14:textId="6A15B2E7" w:rsidR="00033E96" w:rsidRPr="000F0299" w:rsidRDefault="00033E96" w:rsidP="00033E96">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На нивоу исхода</w:t>
            </w:r>
          </w:p>
        </w:tc>
      </w:tr>
      <w:tr w:rsidR="00033E96" w:rsidRPr="000F0299" w14:paraId="5828CD6C" w14:textId="77777777" w:rsidTr="00C45368">
        <w:tc>
          <w:tcPr>
            <w:tcW w:w="2084" w:type="dxa"/>
            <w:shd w:val="clear" w:color="auto" w:fill="auto"/>
          </w:tcPr>
          <w:p w14:paraId="554350FD" w14:textId="77777777" w:rsidR="00033E96" w:rsidRPr="000F0299" w:rsidRDefault="00033E96" w:rsidP="00033E96">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507" w:type="dxa"/>
            <w:gridSpan w:val="6"/>
            <w:shd w:val="clear" w:color="auto" w:fill="auto"/>
          </w:tcPr>
          <w:p w14:paraId="16C31BB4" w14:textId="5B8803A9" w:rsidR="00033E96" w:rsidRPr="000F0299" w:rsidRDefault="00033E96" w:rsidP="00033E96">
            <w:pPr>
              <w:suppressAutoHyphens w:val="0"/>
              <w:autoSpaceDN/>
              <w:spacing w:before="0"/>
              <w:ind w:firstLine="0"/>
              <w:textAlignment w:val="auto"/>
              <w:rPr>
                <w:rFonts w:eastAsiaTheme="minorHAnsi"/>
                <w:color w:val="FF0000"/>
                <w:kern w:val="0"/>
                <w:sz w:val="20"/>
                <w:szCs w:val="20"/>
                <w:lang w:eastAsia="en-GB" w:bidi="ar-SA"/>
              </w:rPr>
            </w:pPr>
            <w:r w:rsidRPr="000F0299">
              <w:rPr>
                <w:rFonts w:eastAsiaTheme="minorHAnsi"/>
                <w:kern w:val="0"/>
                <w:sz w:val="20"/>
                <w:szCs w:val="20"/>
                <w:lang w:eastAsia="en-GB" w:bidi="ar-SA"/>
              </w:rPr>
              <w:t>Бројчани на скали од 1 до 5</w:t>
            </w:r>
          </w:p>
        </w:tc>
        <w:tc>
          <w:tcPr>
            <w:tcW w:w="3508" w:type="dxa"/>
            <w:gridSpan w:val="7"/>
            <w:shd w:val="clear" w:color="auto" w:fill="auto"/>
          </w:tcPr>
          <w:p w14:paraId="1286CB10" w14:textId="5212503D" w:rsidR="00033E96" w:rsidRPr="000F0299" w:rsidRDefault="000430C7" w:rsidP="00033E96">
            <w:pPr>
              <w:suppressAutoHyphens w:val="0"/>
              <w:autoSpaceDN/>
              <w:spacing w:before="0"/>
              <w:ind w:firstLine="0"/>
              <w:textAlignment w:val="auto"/>
              <w:rPr>
                <w:rFonts w:eastAsiaTheme="minorHAnsi"/>
                <w:color w:val="FF0000"/>
                <w:kern w:val="0"/>
                <w:sz w:val="20"/>
                <w:szCs w:val="20"/>
                <w:lang w:eastAsia="en-GB" w:bidi="ar-SA"/>
              </w:rPr>
            </w:pPr>
            <w:r w:rsidRPr="000F0299">
              <w:rPr>
                <w:rFonts w:eastAsiaTheme="minorHAnsi"/>
                <w:kern w:val="0"/>
                <w:sz w:val="20"/>
                <w:szCs w:val="20"/>
                <w:lang w:eastAsia="en-GB" w:bidi="ar-SA"/>
              </w:rPr>
              <w:t xml:space="preserve">Повећана вредност </w:t>
            </w:r>
            <w:r w:rsidRPr="000F0299">
              <w:rPr>
                <w:rFonts w:eastAsiaTheme="minorHAnsi"/>
                <w:color w:val="000000"/>
                <w:kern w:val="0"/>
                <w:sz w:val="20"/>
                <w:szCs w:val="20"/>
                <w:lang w:eastAsia="en-GB" w:bidi="ar-SA"/>
              </w:rPr>
              <w:t>показатеља пожељна</w:t>
            </w:r>
          </w:p>
        </w:tc>
      </w:tr>
      <w:tr w:rsidR="00C60FCD" w:rsidRPr="000F0299" w14:paraId="4462A414" w14:textId="77777777" w:rsidTr="00C60FCD">
        <w:tc>
          <w:tcPr>
            <w:tcW w:w="2084" w:type="dxa"/>
            <w:shd w:val="clear" w:color="auto" w:fill="auto"/>
          </w:tcPr>
          <w:p w14:paraId="305D934F" w14:textId="77777777" w:rsidR="00C60FCD" w:rsidRPr="000F0299" w:rsidRDefault="00C60FCD" w:rsidP="00033E96">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7015" w:type="dxa"/>
            <w:gridSpan w:val="13"/>
            <w:shd w:val="clear" w:color="auto" w:fill="auto"/>
          </w:tcPr>
          <w:p w14:paraId="10E906D5" w14:textId="77777777" w:rsidR="00C60FCD" w:rsidRPr="000F0299" w:rsidRDefault="00C60FCD" w:rsidP="00033E96">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Подаци ће бити прикупљани  на националном нивоу.</w:t>
            </w:r>
          </w:p>
          <w:p w14:paraId="65D8AC9B" w14:textId="1B6D3450" w:rsidR="00C60FCD" w:rsidRPr="000F0299" w:rsidRDefault="00C60FCD" w:rsidP="00033E96">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 xml:space="preserve">Извор: Извештај о раду министарства у делу који се односи на број кандидата који су положили државни стручни испит   </w:t>
            </w:r>
          </w:p>
        </w:tc>
      </w:tr>
      <w:tr w:rsidR="00C60FCD" w:rsidRPr="000F0299" w14:paraId="27AB0FE0" w14:textId="77777777" w:rsidTr="00C60FCD">
        <w:tc>
          <w:tcPr>
            <w:tcW w:w="2084" w:type="dxa"/>
            <w:shd w:val="clear" w:color="auto" w:fill="auto"/>
          </w:tcPr>
          <w:p w14:paraId="173D7114" w14:textId="77777777" w:rsidR="00C60FCD" w:rsidRPr="000F0299" w:rsidRDefault="00C60FCD" w:rsidP="00033E96">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носиоца прикупљања података</w:t>
            </w:r>
          </w:p>
        </w:tc>
        <w:tc>
          <w:tcPr>
            <w:tcW w:w="7015" w:type="dxa"/>
            <w:gridSpan w:val="13"/>
            <w:shd w:val="clear" w:color="auto" w:fill="auto"/>
          </w:tcPr>
          <w:p w14:paraId="31551248" w14:textId="770A9E0D" w:rsidR="00C60FCD" w:rsidRPr="000F0299" w:rsidRDefault="00AE6044" w:rsidP="00C214E4">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 xml:space="preserve">Министарство државне управе и локалне самоуправе, </w:t>
            </w:r>
            <w:r>
              <w:rPr>
                <w:rFonts w:eastAsiaTheme="minorHAnsi"/>
                <w:color w:val="000000"/>
                <w:kern w:val="24"/>
                <w:sz w:val="20"/>
                <w:szCs w:val="20"/>
                <w:lang w:eastAsia="en-GB" w:bidi="ar-SA"/>
              </w:rPr>
              <w:t>Сектор за стручно усавршавање</w:t>
            </w:r>
          </w:p>
        </w:tc>
      </w:tr>
      <w:tr w:rsidR="00C60FCD" w:rsidRPr="000F0299" w14:paraId="07CB6813" w14:textId="77777777" w:rsidTr="00C60FCD">
        <w:tc>
          <w:tcPr>
            <w:tcW w:w="2084" w:type="dxa"/>
            <w:shd w:val="clear" w:color="auto" w:fill="auto"/>
          </w:tcPr>
          <w:p w14:paraId="688CD54C" w14:textId="77777777" w:rsidR="00C60FCD" w:rsidRPr="000F0299" w:rsidRDefault="00C60FCD" w:rsidP="00033E96">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7015" w:type="dxa"/>
            <w:gridSpan w:val="13"/>
            <w:shd w:val="clear" w:color="auto" w:fill="auto"/>
          </w:tcPr>
          <w:p w14:paraId="7DDFA50A" w14:textId="77777777" w:rsidR="00C60FCD" w:rsidRPr="000F0299" w:rsidRDefault="00C60FCD" w:rsidP="00033E96">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C60FCD" w:rsidRPr="000F0299" w14:paraId="60D956F4" w14:textId="77777777" w:rsidTr="00C60FCD">
        <w:tc>
          <w:tcPr>
            <w:tcW w:w="2084" w:type="dxa"/>
            <w:shd w:val="clear" w:color="auto" w:fill="auto"/>
          </w:tcPr>
          <w:p w14:paraId="216442B2" w14:textId="77777777" w:rsidR="00C60FCD" w:rsidRPr="000F0299" w:rsidRDefault="00C60FCD" w:rsidP="00033E96">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7015" w:type="dxa"/>
            <w:gridSpan w:val="13"/>
            <w:shd w:val="clear" w:color="auto" w:fill="auto"/>
          </w:tcPr>
          <w:p w14:paraId="10704855" w14:textId="77777777" w:rsidR="006D3202" w:rsidRDefault="00C60FCD" w:rsidP="00033E96">
            <w:pPr>
              <w:suppressAutoHyphens w:val="0"/>
              <w:autoSpaceDN/>
              <w:spacing w:before="0"/>
              <w:ind w:firstLin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 xml:space="preserve">Овај индикатор  вреднује у којој мери се систем стручног усавршавања и стручних испита у јавној управи како нормативно, тако и у пракси заснива на принципу компетенција, односно  квалификација </w:t>
            </w:r>
            <w:r w:rsidR="00864D50" w:rsidRPr="006D3202">
              <w:rPr>
                <w:rFonts w:eastAsia="Times New Roman"/>
                <w:color w:val="000000" w:themeColor="text1"/>
                <w:kern w:val="0"/>
                <w:sz w:val="20"/>
                <w:szCs w:val="20"/>
                <w:lang w:eastAsia="en-US" w:bidi="ar-SA"/>
              </w:rPr>
              <w:t>запослених</w:t>
            </w:r>
            <w:r w:rsidRPr="006D3202">
              <w:rPr>
                <w:rFonts w:eastAsia="Times New Roman"/>
                <w:color w:val="000000" w:themeColor="text1"/>
                <w:kern w:val="0"/>
                <w:sz w:val="20"/>
                <w:szCs w:val="20"/>
                <w:lang w:eastAsia="en-US" w:bidi="ar-SA"/>
              </w:rPr>
              <w:t xml:space="preserve"> за извршавање послова радног места. </w:t>
            </w:r>
            <w:r w:rsidR="006D3202" w:rsidRPr="006D3202">
              <w:rPr>
                <w:rFonts w:eastAsia="Times New Roman"/>
                <w:color w:val="000000" w:themeColor="text1"/>
                <w:kern w:val="0"/>
                <w:sz w:val="20"/>
                <w:szCs w:val="20"/>
                <w:lang w:eastAsia="en-US" w:bidi="ar-SA"/>
              </w:rPr>
              <w:t>. Индикатор прати државне органеи органе јединица локалне самоуправе.</w:t>
            </w:r>
          </w:p>
          <w:p w14:paraId="505BCBD6" w14:textId="774796C7" w:rsidR="00C60FCD" w:rsidRPr="006D3202" w:rsidRDefault="00C60FCD" w:rsidP="00033E96">
            <w:pPr>
              <w:suppressAutoHyphens w:val="0"/>
              <w:autoSpaceDN/>
              <w:spacing w:before="0"/>
              <w:ind w:firstLin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Како би се утврдила вредност показатеља развијена је посебна методологија која предвиђа анализу примене закона којим се уређује стручно усавршавање у поменутим деловима јавне управе и развијене праксе у вези са припремом и доношењем програма обука, као и анализу примене прописа о државном стручном испиту и праксе органа у односу на обавезу полагања овог испита као услова за распоређивање на одговарајуће радно место.</w:t>
            </w:r>
          </w:p>
          <w:p w14:paraId="6CA7B9A4" w14:textId="6E0B4F6A" w:rsidR="00C60FCD" w:rsidRPr="006D3202" w:rsidRDefault="00C60FCD" w:rsidP="00033E96">
            <w:pPr>
              <w:suppressAutoHyphens w:val="0"/>
              <w:autoSpaceDN/>
              <w:spacing w:before="0"/>
              <w:ind w:firstLin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 xml:space="preserve">Правни оквир за све категорије анализира МДУЛС и додељује по четири бода за сваку уколико се према прописима стручно усавршавање заснива на анализи потреба, односно обавези полагања државног стручног испита као услова за рад у државним и другим органима, тако да је максимални број  бодова за правни оквир </w:t>
            </w:r>
            <w:r w:rsidR="006D3202">
              <w:rPr>
                <w:rFonts w:eastAsia="Times New Roman"/>
                <w:color w:val="000000" w:themeColor="text1"/>
                <w:kern w:val="0"/>
                <w:sz w:val="20"/>
                <w:szCs w:val="20"/>
                <w:lang w:eastAsia="en-US" w:bidi="ar-SA"/>
              </w:rPr>
              <w:t>8</w:t>
            </w:r>
            <w:r w:rsidRPr="006D3202">
              <w:rPr>
                <w:rFonts w:eastAsia="Times New Roman"/>
                <w:color w:val="000000" w:themeColor="text1"/>
                <w:kern w:val="0"/>
                <w:sz w:val="20"/>
                <w:szCs w:val="20"/>
                <w:lang w:eastAsia="en-US" w:bidi="ar-SA"/>
              </w:rPr>
              <w:t xml:space="preserve">. </w:t>
            </w:r>
          </w:p>
          <w:p w14:paraId="2946BD87" w14:textId="3001B8E2" w:rsidR="006D3202" w:rsidRPr="006D3202" w:rsidRDefault="00C60FCD" w:rsidP="006D3202">
            <w:pPr>
              <w:suppressAutoHyphens w:val="0"/>
              <w:autoSpaceDN/>
              <w:spacing w:before="0"/>
              <w:ind w:firstLin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 xml:space="preserve">Примену у пракси </w:t>
            </w:r>
            <w:r w:rsidR="006D3202" w:rsidRPr="006D3202">
              <w:rPr>
                <w:rFonts w:eastAsia="Times New Roman"/>
                <w:color w:val="000000" w:themeColor="text1"/>
                <w:kern w:val="0"/>
                <w:sz w:val="20"/>
                <w:szCs w:val="20"/>
                <w:lang w:eastAsia="en-US" w:bidi="ar-SA"/>
              </w:rPr>
              <w:t xml:space="preserve">прати МДУЛС, у сарадњи са НАЈУ на узорку 4 министарства, 1 органа у саставу министарства, 1 посебне организације и 10 ЈЛС. Један бод се додељују за институтцију из узорка уколико је спроведена анализа потреба за стручним усавршавањем у складу са Упутством о методологији за утврђивање потреба за стручним усавршавањем у органима јавне управе. </w:t>
            </w:r>
          </w:p>
          <w:p w14:paraId="38AC0B1D" w14:textId="4DE956DE" w:rsidR="00B1784C" w:rsidRPr="00B1784C" w:rsidRDefault="006D3202" w:rsidP="00B1784C">
            <w:pPr>
              <w:pStyle w:val="CommentText"/>
              <w:rPr>
                <w:kern w:val="24"/>
                <w:lang w:val="sr-Cyrl-RS"/>
              </w:rPr>
            </w:pPr>
            <w:r w:rsidRPr="00B1784C">
              <w:rPr>
                <w:rFonts w:eastAsia="Times New Roman"/>
                <w:color w:val="000000" w:themeColor="text1"/>
                <w:kern w:val="0"/>
                <w:lang w:val="sr-Cyrl-RS" w:eastAsia="en-US" w:bidi="ar-SA"/>
              </w:rPr>
              <w:t xml:space="preserve">Узорак 16 ОДУ и ЈЛС: Министарство државне управе и локалне самоуправе, Министарство просвете, науке и технолошког развоја, Министарство трговине, туризма и телекомуникација, Министарство европксих интеграција, Управа царине МФ, , Републички секретаријат за јавне политике, јединице локалне самоуправе </w:t>
            </w:r>
            <w:r w:rsidR="00B1784C" w:rsidRPr="00C45D63">
              <w:rPr>
                <w:kern w:val="24"/>
                <w:lang w:val="sr-Cyrl-RS"/>
              </w:rPr>
              <w:t>Београд</w:t>
            </w:r>
            <w:r w:rsidR="00B1784C" w:rsidRPr="00B1784C">
              <w:rPr>
                <w:kern w:val="24"/>
                <w:lang w:val="sr-Cyrl-RS"/>
              </w:rPr>
              <w:t xml:space="preserve">, </w:t>
            </w:r>
            <w:r w:rsidR="00B1784C" w:rsidRPr="00C45D63">
              <w:rPr>
                <w:kern w:val="24"/>
                <w:lang w:val="sr-Cyrl-RS"/>
              </w:rPr>
              <w:t>Смедерево</w:t>
            </w:r>
            <w:r w:rsidR="00B1784C" w:rsidRPr="00B1784C">
              <w:rPr>
                <w:kern w:val="24"/>
                <w:lang w:val="sr-Cyrl-RS"/>
              </w:rPr>
              <w:t xml:space="preserve">, </w:t>
            </w:r>
            <w:r w:rsidR="00B1784C" w:rsidRPr="00C45D63">
              <w:rPr>
                <w:kern w:val="24"/>
                <w:lang w:val="sr-Cyrl-RS"/>
              </w:rPr>
              <w:t>Ваљево</w:t>
            </w:r>
            <w:r w:rsidR="00B1784C" w:rsidRPr="00B1784C">
              <w:rPr>
                <w:kern w:val="24"/>
                <w:lang w:val="sr-Cyrl-RS"/>
              </w:rPr>
              <w:t xml:space="preserve">, </w:t>
            </w:r>
            <w:r w:rsidR="00B1784C" w:rsidRPr="00C45D63">
              <w:rPr>
                <w:kern w:val="24"/>
                <w:lang w:val="sr-Cyrl-RS"/>
              </w:rPr>
              <w:t>Пан</w:t>
            </w:r>
            <w:r w:rsidR="00B1784C" w:rsidRPr="00B1784C">
              <w:rPr>
                <w:kern w:val="24"/>
                <w:lang w:val="sr-Cyrl-RS"/>
              </w:rPr>
              <w:t>ч</w:t>
            </w:r>
            <w:r w:rsidR="00B1784C" w:rsidRPr="00C45D63">
              <w:rPr>
                <w:kern w:val="24"/>
                <w:lang w:val="sr-Cyrl-RS"/>
              </w:rPr>
              <w:t>ево</w:t>
            </w:r>
            <w:r w:rsidR="00B1784C" w:rsidRPr="00B1784C">
              <w:rPr>
                <w:kern w:val="24"/>
                <w:lang w:val="sr-Cyrl-RS"/>
              </w:rPr>
              <w:t xml:space="preserve">, </w:t>
            </w:r>
            <w:r w:rsidR="00B1784C" w:rsidRPr="00C45D63">
              <w:rPr>
                <w:kern w:val="24"/>
                <w:lang w:val="sr-Cyrl-RS"/>
              </w:rPr>
              <w:t>Зрењанин</w:t>
            </w:r>
            <w:r w:rsidR="00B1784C" w:rsidRPr="00B1784C">
              <w:rPr>
                <w:kern w:val="24"/>
                <w:lang w:val="sr-Cyrl-RS"/>
              </w:rPr>
              <w:t xml:space="preserve">, </w:t>
            </w:r>
            <w:r w:rsidR="00B1784C" w:rsidRPr="00C45D63">
              <w:rPr>
                <w:kern w:val="24"/>
                <w:lang w:val="sr-Cyrl-RS"/>
              </w:rPr>
              <w:t>Медве</w:t>
            </w:r>
            <w:r w:rsidR="00B1784C" w:rsidRPr="00B1784C">
              <w:rPr>
                <w:kern w:val="24"/>
                <w:lang w:val="sr-Cyrl-RS"/>
              </w:rPr>
              <w:t>ђ</w:t>
            </w:r>
            <w:r w:rsidR="00B1784C" w:rsidRPr="00C45D63">
              <w:rPr>
                <w:kern w:val="24"/>
                <w:lang w:val="sr-Cyrl-RS"/>
              </w:rPr>
              <w:t>а</w:t>
            </w:r>
            <w:r w:rsidR="00B1784C" w:rsidRPr="00B1784C">
              <w:rPr>
                <w:kern w:val="24"/>
                <w:lang w:val="sr-Cyrl-RS"/>
              </w:rPr>
              <w:t xml:space="preserve">, </w:t>
            </w:r>
            <w:r w:rsidR="00B1784C" w:rsidRPr="00C45D63">
              <w:rPr>
                <w:kern w:val="24"/>
                <w:lang w:val="sr-Cyrl-RS"/>
              </w:rPr>
              <w:t>Ни</w:t>
            </w:r>
            <w:r w:rsidR="00B1784C" w:rsidRPr="00B1784C">
              <w:rPr>
                <w:kern w:val="24"/>
                <w:lang w:val="sr-Cyrl-RS"/>
              </w:rPr>
              <w:t>ш, Ж</w:t>
            </w:r>
            <w:r w:rsidR="00B1784C" w:rsidRPr="00C45D63">
              <w:rPr>
                <w:kern w:val="24"/>
                <w:lang w:val="sr-Cyrl-RS"/>
              </w:rPr>
              <w:t>абаљ</w:t>
            </w:r>
            <w:r w:rsidR="00B1784C" w:rsidRPr="00B1784C">
              <w:rPr>
                <w:kern w:val="24"/>
                <w:lang w:val="sr-Cyrl-RS"/>
              </w:rPr>
              <w:t>, Чачак и Ужице.</w:t>
            </w:r>
          </w:p>
          <w:p w14:paraId="5197594C" w14:textId="77777777" w:rsidR="006D3202" w:rsidRPr="006D3202" w:rsidRDefault="006D3202" w:rsidP="006D3202">
            <w:pPr>
              <w:suppressAutoHyphens w:val="0"/>
              <w:autoSpaceDN/>
              <w:spacing w:before="0"/>
              <w:ind w:firstLin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 xml:space="preserve">Додатно, прати се да ли је НАЈУ припремила обједињени извештај о анализи потреба за стручним усавршавањем и припремила програме обуке из свог делокруга за државне службенике и запослене у ЈЛС. За обе категорије која су обухваћене се додељују максимално по три бода (1 уколико је припрељен извештај о анализи потреба и 2 уколико је усвојен програм обука). </w:t>
            </w:r>
          </w:p>
          <w:p w14:paraId="3DFD400A" w14:textId="474DC01A" w:rsidR="006D3202" w:rsidRPr="006D3202" w:rsidRDefault="006D3202" w:rsidP="006D3202">
            <w:pPr>
              <w:suppressAutoHyphens w:val="0"/>
              <w:autoSpaceDN/>
              <w:spacing w:before="0"/>
              <w:ind w:firstLin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Бодови по сваком елементу се сабирају и максимални број бодова за примену у пракси је 22 (16+6).</w:t>
            </w:r>
          </w:p>
          <w:p w14:paraId="378EA756" w14:textId="77777777" w:rsidR="006D3202" w:rsidRPr="006D3202" w:rsidRDefault="006D3202" w:rsidP="006D3202">
            <w:pPr>
              <w:suppressAutoHyphens w:val="0"/>
              <w:autoSpaceDN/>
              <w:spacing w:before="0"/>
              <w:ind w:firstLin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Формула прорачуна – укупан број бодова за правни оквир + укупан број бодова за примену у пракси</w:t>
            </w:r>
          </w:p>
          <w:p w14:paraId="76B650B3" w14:textId="77777777" w:rsidR="006D3202" w:rsidRPr="006D3202" w:rsidRDefault="006D3202" w:rsidP="006D3202">
            <w:pPr>
              <w:suppressAutoHyphens w:val="0"/>
              <w:autoSpaceDN/>
              <w:spacing w:before="0"/>
              <w:ind w:firstLin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 xml:space="preserve">Максимални број бодова је 30 (8+22). </w:t>
            </w:r>
          </w:p>
          <w:p w14:paraId="4B42E7A6" w14:textId="77777777" w:rsidR="006D3202" w:rsidRPr="006D3202" w:rsidRDefault="006D3202" w:rsidP="006D3202">
            <w:pPr>
              <w:suppressAutoHyphens w:val="0"/>
              <w:autoSpaceDN/>
              <w:spacing w:before="0"/>
              <w:ind w:firstLin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 xml:space="preserve">Вредност показатеља се добија транспоновањем на петостепеној скали и то: </w:t>
            </w:r>
          </w:p>
          <w:p w14:paraId="60BDB8A0" w14:textId="6851ECDF" w:rsidR="006D3202" w:rsidRPr="006D3202" w:rsidRDefault="006D3202" w:rsidP="00E62A1A">
            <w:pPr>
              <w:pStyle w:val="ListParagraph"/>
              <w:numPr>
                <w:ilvl w:val="0"/>
                <w:numId w:val="54"/>
              </w:numPr>
              <w:suppressAutoHyphens w:val="0"/>
              <w:autoSpaceDN/>
              <w:spacing w:befor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0-6 бодова – систем стручног усавршавања и стручних испита у јавној управи се не заснива на анализи потреба за  унапређењем компетенција,  односно  стручних знања, оспособљености и вештина запослених</w:t>
            </w:r>
          </w:p>
          <w:p w14:paraId="6960AC7C" w14:textId="78A1CF2C" w:rsidR="006D3202" w:rsidRPr="006D3202" w:rsidRDefault="006D3202" w:rsidP="00E62A1A">
            <w:pPr>
              <w:pStyle w:val="ListParagraph"/>
              <w:numPr>
                <w:ilvl w:val="0"/>
                <w:numId w:val="54"/>
              </w:numPr>
              <w:suppressAutoHyphens w:val="0"/>
              <w:autoSpaceDN/>
              <w:spacing w:befor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7-12 - систем стручног усавршавања и стручних испита у јавној управи се у малој мери заснива на анализи потреба за  унапређењем компетенција,  односно  стручних знања, оспособљености и вештина запослених</w:t>
            </w:r>
          </w:p>
          <w:p w14:paraId="7989ADCE" w14:textId="11B0C1C6" w:rsidR="00C60FCD" w:rsidRPr="006D3202" w:rsidRDefault="006D3202" w:rsidP="00E62A1A">
            <w:pPr>
              <w:pStyle w:val="ListParagraph"/>
              <w:numPr>
                <w:ilvl w:val="0"/>
                <w:numId w:val="54"/>
              </w:numPr>
              <w:suppressAutoHyphens w:val="0"/>
              <w:autoSpaceDN/>
              <w:spacing w:befor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 xml:space="preserve">13-28 -  систем стручног усавршавања и стручних испита у јавној управи се у одређеној мери заснива на принципу компетенција,  односно  стручних знања, оспособљености и вештина запослених </w:t>
            </w:r>
            <w:r w:rsidR="00C60FCD" w:rsidRPr="006D3202">
              <w:rPr>
                <w:rFonts w:eastAsia="Times New Roman"/>
                <w:color w:val="000000" w:themeColor="text1"/>
                <w:kern w:val="0"/>
                <w:sz w:val="20"/>
                <w:szCs w:val="20"/>
                <w:lang w:eastAsia="en-US" w:bidi="ar-SA"/>
              </w:rPr>
              <w:t xml:space="preserve">прати МДУЛС, у сарадњи са НАЈУ на узорку 4 министарства, 2 органа у саставу министарства, 1 посебна организација, 10 ЈЛС. Један бод се додељују за </w:t>
            </w:r>
            <w:r w:rsidR="00864D50" w:rsidRPr="006D3202">
              <w:rPr>
                <w:rFonts w:eastAsia="Times New Roman"/>
                <w:color w:val="000000" w:themeColor="text1"/>
                <w:kern w:val="0"/>
                <w:sz w:val="20"/>
                <w:szCs w:val="20"/>
                <w:lang w:eastAsia="en-US" w:bidi="ar-SA"/>
              </w:rPr>
              <w:t>институцију</w:t>
            </w:r>
            <w:r w:rsidR="00C60FCD" w:rsidRPr="006D3202">
              <w:rPr>
                <w:rFonts w:eastAsia="Times New Roman"/>
                <w:color w:val="000000" w:themeColor="text1"/>
                <w:kern w:val="0"/>
                <w:sz w:val="20"/>
                <w:szCs w:val="20"/>
                <w:lang w:eastAsia="en-US" w:bidi="ar-SA"/>
              </w:rPr>
              <w:t xml:space="preserve"> из узорка уколико је спроведена анализа потреба за стручним усавршавањем у складу са Упутством о методологији за утврђивање потреба за стручним усавршавањем у органима јавне управе. </w:t>
            </w:r>
          </w:p>
          <w:p w14:paraId="0BCC7804" w14:textId="02075ED7" w:rsidR="006D3202" w:rsidRPr="006D3202" w:rsidRDefault="006D3202" w:rsidP="00E62A1A">
            <w:pPr>
              <w:pStyle w:val="ListParagraph"/>
              <w:numPr>
                <w:ilvl w:val="0"/>
                <w:numId w:val="54"/>
              </w:numPr>
              <w:suppressAutoHyphens w:val="0"/>
              <w:autoSpaceDN/>
              <w:spacing w:befor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19- 24- систем стручног усавршавања и стручних испита у јавној управи се у великој мери заснива на анализи потреба за  унапређењем компетенција,  односно  стручних знања, оспособљености и вештина запослених</w:t>
            </w:r>
          </w:p>
          <w:p w14:paraId="472B3D3E" w14:textId="639BBE27" w:rsidR="00C60FCD" w:rsidRPr="006D3202" w:rsidRDefault="006D3202" w:rsidP="00E62A1A">
            <w:pPr>
              <w:pStyle w:val="ListParagraph"/>
              <w:numPr>
                <w:ilvl w:val="0"/>
                <w:numId w:val="54"/>
              </w:numPr>
              <w:suppressAutoHyphens w:val="0"/>
              <w:autoSpaceDN/>
              <w:spacing w:before="0"/>
              <w:textAlignment w:val="auto"/>
              <w:rPr>
                <w:rFonts w:eastAsia="Times New Roman"/>
                <w:color w:val="000000" w:themeColor="text1"/>
                <w:kern w:val="0"/>
                <w:sz w:val="20"/>
                <w:szCs w:val="20"/>
                <w:lang w:eastAsia="en-US" w:bidi="ar-SA"/>
              </w:rPr>
            </w:pPr>
            <w:r w:rsidRPr="006D3202">
              <w:rPr>
                <w:rFonts w:eastAsia="Times New Roman"/>
                <w:color w:val="000000" w:themeColor="text1"/>
                <w:kern w:val="0"/>
                <w:sz w:val="20"/>
                <w:szCs w:val="20"/>
                <w:lang w:eastAsia="en-US" w:bidi="ar-SA"/>
              </w:rPr>
              <w:t>25-30 - систем стручног усавршавања и стручних испита у јавној управи се у потпуности заснива на анализи потреба за  унапређењем компетенција,  односно  стручних знања, оспособљености и вештина запослених</w:t>
            </w:r>
          </w:p>
        </w:tc>
      </w:tr>
      <w:tr w:rsidR="00C60FCD" w:rsidRPr="000F0299" w14:paraId="026891DC" w14:textId="77777777" w:rsidTr="00C60FCD">
        <w:tc>
          <w:tcPr>
            <w:tcW w:w="2084" w:type="dxa"/>
            <w:vMerge w:val="restart"/>
            <w:shd w:val="clear" w:color="auto" w:fill="auto"/>
          </w:tcPr>
          <w:p w14:paraId="0CE9A9E8" w14:textId="77777777" w:rsidR="00C60FCD" w:rsidRPr="000F0299" w:rsidRDefault="00C60FCD" w:rsidP="00033E96">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525" w:type="dxa"/>
            <w:gridSpan w:val="10"/>
            <w:shd w:val="clear" w:color="auto" w:fill="auto"/>
          </w:tcPr>
          <w:p w14:paraId="7B27E5E5" w14:textId="77777777" w:rsidR="00C60FCD" w:rsidRPr="000F0299" w:rsidRDefault="00C60FCD" w:rsidP="00033E96">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Тренд у прошлости</w:t>
            </w:r>
          </w:p>
        </w:tc>
        <w:tc>
          <w:tcPr>
            <w:tcW w:w="1490" w:type="dxa"/>
            <w:gridSpan w:val="3"/>
            <w:shd w:val="clear" w:color="auto" w:fill="auto"/>
          </w:tcPr>
          <w:p w14:paraId="44AB805F" w14:textId="77777777" w:rsidR="00C60FCD" w:rsidRPr="000F0299" w:rsidRDefault="00C60FCD" w:rsidP="00033E96">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Полазна вредност</w:t>
            </w:r>
          </w:p>
        </w:tc>
      </w:tr>
      <w:tr w:rsidR="00C60FCD" w:rsidRPr="000F0299" w14:paraId="5213D75F" w14:textId="77777777" w:rsidTr="00C60FCD">
        <w:tc>
          <w:tcPr>
            <w:tcW w:w="2084" w:type="dxa"/>
            <w:vMerge/>
            <w:shd w:val="clear" w:color="auto" w:fill="auto"/>
            <w:vAlign w:val="center"/>
          </w:tcPr>
          <w:p w14:paraId="00B05422" w14:textId="77777777" w:rsidR="00C60FCD" w:rsidRPr="000F0299" w:rsidRDefault="00C60FCD" w:rsidP="00033E96">
            <w:pPr>
              <w:suppressAutoHyphens w:val="0"/>
              <w:autoSpaceDN/>
              <w:spacing w:before="0"/>
              <w:ind w:firstLine="0"/>
              <w:textAlignment w:val="auto"/>
              <w:rPr>
                <w:rFonts w:eastAsiaTheme="minorHAnsi"/>
                <w:b/>
                <w:bCs/>
                <w:kern w:val="0"/>
                <w:sz w:val="20"/>
                <w:szCs w:val="20"/>
                <w:lang w:eastAsia="en-US" w:bidi="ar-SA"/>
              </w:rPr>
            </w:pPr>
          </w:p>
        </w:tc>
        <w:tc>
          <w:tcPr>
            <w:tcW w:w="1646" w:type="dxa"/>
            <w:gridSpan w:val="3"/>
            <w:shd w:val="clear" w:color="auto" w:fill="auto"/>
          </w:tcPr>
          <w:p w14:paraId="07983A1B"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2016</w:t>
            </w:r>
          </w:p>
        </w:tc>
        <w:tc>
          <w:tcPr>
            <w:tcW w:w="1911" w:type="dxa"/>
            <w:gridSpan w:val="4"/>
            <w:shd w:val="clear" w:color="auto" w:fill="auto"/>
          </w:tcPr>
          <w:p w14:paraId="75F9C630"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2017</w:t>
            </w:r>
          </w:p>
        </w:tc>
        <w:tc>
          <w:tcPr>
            <w:tcW w:w="1968" w:type="dxa"/>
            <w:gridSpan w:val="3"/>
            <w:shd w:val="clear" w:color="auto" w:fill="auto"/>
          </w:tcPr>
          <w:p w14:paraId="0A3508D9"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2018</w:t>
            </w:r>
          </w:p>
        </w:tc>
        <w:tc>
          <w:tcPr>
            <w:tcW w:w="1490" w:type="dxa"/>
            <w:gridSpan w:val="3"/>
            <w:shd w:val="clear" w:color="auto" w:fill="auto"/>
          </w:tcPr>
          <w:p w14:paraId="2FA1179E" w14:textId="4F06B673"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w:t>
            </w:r>
            <w:r w:rsidR="006D3202">
              <w:rPr>
                <w:rFonts w:eastAsiaTheme="minorHAnsi"/>
                <w:color w:val="000000"/>
                <w:kern w:val="0"/>
                <w:sz w:val="20"/>
                <w:szCs w:val="20"/>
                <w:lang w:eastAsia="en-US" w:bidi="ar-SA"/>
              </w:rPr>
              <w:t>20</w:t>
            </w:r>
          </w:p>
        </w:tc>
      </w:tr>
      <w:tr w:rsidR="00C60FCD" w:rsidRPr="000F0299" w14:paraId="34CF23A5" w14:textId="77777777" w:rsidTr="00C60FCD">
        <w:tc>
          <w:tcPr>
            <w:tcW w:w="2084" w:type="dxa"/>
            <w:vMerge/>
            <w:shd w:val="clear" w:color="auto" w:fill="auto"/>
            <w:vAlign w:val="center"/>
          </w:tcPr>
          <w:p w14:paraId="5E3A4295" w14:textId="77777777" w:rsidR="00C60FCD" w:rsidRPr="000F0299" w:rsidRDefault="00C60FCD" w:rsidP="00033E96">
            <w:pPr>
              <w:suppressAutoHyphens w:val="0"/>
              <w:autoSpaceDN/>
              <w:spacing w:before="0"/>
              <w:ind w:firstLine="0"/>
              <w:textAlignment w:val="auto"/>
              <w:rPr>
                <w:rFonts w:eastAsiaTheme="minorHAnsi"/>
                <w:b/>
                <w:bCs/>
                <w:kern w:val="0"/>
                <w:sz w:val="20"/>
                <w:szCs w:val="20"/>
                <w:lang w:eastAsia="en-US" w:bidi="ar-SA"/>
              </w:rPr>
            </w:pPr>
          </w:p>
        </w:tc>
        <w:tc>
          <w:tcPr>
            <w:tcW w:w="1646" w:type="dxa"/>
            <w:gridSpan w:val="3"/>
            <w:shd w:val="clear" w:color="auto" w:fill="auto"/>
          </w:tcPr>
          <w:p w14:paraId="7C193D9E"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11" w:type="dxa"/>
            <w:gridSpan w:val="4"/>
            <w:shd w:val="clear" w:color="auto" w:fill="auto"/>
          </w:tcPr>
          <w:p w14:paraId="6F5DE163"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68" w:type="dxa"/>
            <w:gridSpan w:val="3"/>
            <w:shd w:val="clear" w:color="auto" w:fill="auto"/>
          </w:tcPr>
          <w:p w14:paraId="7F9C9111"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490" w:type="dxa"/>
            <w:gridSpan w:val="3"/>
            <w:shd w:val="clear" w:color="auto" w:fill="auto"/>
          </w:tcPr>
          <w:p w14:paraId="34762DFD" w14:textId="5D7EB047" w:rsidR="00C60FCD" w:rsidRPr="000F0299" w:rsidRDefault="006D3202"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6D3202">
              <w:rPr>
                <w:rFonts w:eastAsiaTheme="minorHAnsi"/>
                <w:color w:val="000000"/>
                <w:kern w:val="0"/>
                <w:sz w:val="20"/>
                <w:szCs w:val="20"/>
                <w:lang w:eastAsia="en-US" w:bidi="ar-SA"/>
              </w:rPr>
              <w:t>Биће накнадно утврђено (у децембру 2020</w:t>
            </w:r>
            <w:r>
              <w:rPr>
                <w:rFonts w:eastAsiaTheme="minorHAnsi"/>
                <w:color w:val="000000"/>
                <w:kern w:val="0"/>
                <w:sz w:val="20"/>
                <w:szCs w:val="20"/>
                <w:lang w:eastAsia="en-US" w:bidi="ar-SA"/>
              </w:rPr>
              <w:t xml:space="preserve"> </w:t>
            </w:r>
          </w:p>
        </w:tc>
      </w:tr>
      <w:tr w:rsidR="00C60FCD" w:rsidRPr="000F0299" w14:paraId="13039808" w14:textId="77777777" w:rsidTr="000430C7">
        <w:tc>
          <w:tcPr>
            <w:tcW w:w="2084" w:type="dxa"/>
            <w:vMerge w:val="restart"/>
            <w:shd w:val="clear" w:color="auto" w:fill="auto"/>
          </w:tcPr>
          <w:p w14:paraId="09973787" w14:textId="77777777" w:rsidR="00C60FCD" w:rsidRPr="000F0299" w:rsidRDefault="00C60FCD" w:rsidP="00033E96">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701" w:type="dxa"/>
            <w:shd w:val="clear" w:color="auto" w:fill="auto"/>
            <w:vAlign w:val="center"/>
          </w:tcPr>
          <w:p w14:paraId="0939ED92"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2021</w:t>
            </w:r>
          </w:p>
        </w:tc>
        <w:tc>
          <w:tcPr>
            <w:tcW w:w="702" w:type="dxa"/>
            <w:shd w:val="clear" w:color="auto" w:fill="auto"/>
            <w:vAlign w:val="center"/>
          </w:tcPr>
          <w:p w14:paraId="0E5B9E02"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2022</w:t>
            </w:r>
          </w:p>
        </w:tc>
        <w:tc>
          <w:tcPr>
            <w:tcW w:w="701" w:type="dxa"/>
            <w:gridSpan w:val="2"/>
            <w:shd w:val="clear" w:color="auto" w:fill="auto"/>
            <w:vAlign w:val="center"/>
          </w:tcPr>
          <w:p w14:paraId="6BC96D65"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2023</w:t>
            </w:r>
          </w:p>
        </w:tc>
        <w:tc>
          <w:tcPr>
            <w:tcW w:w="702" w:type="dxa"/>
            <w:shd w:val="clear" w:color="auto" w:fill="auto"/>
            <w:vAlign w:val="center"/>
          </w:tcPr>
          <w:p w14:paraId="29769E26"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2024</w:t>
            </w:r>
          </w:p>
        </w:tc>
        <w:tc>
          <w:tcPr>
            <w:tcW w:w="701" w:type="dxa"/>
            <w:shd w:val="clear" w:color="auto" w:fill="auto"/>
            <w:vAlign w:val="center"/>
          </w:tcPr>
          <w:p w14:paraId="469DE55B"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2025</w:t>
            </w:r>
          </w:p>
        </w:tc>
        <w:tc>
          <w:tcPr>
            <w:tcW w:w="702" w:type="dxa"/>
            <w:gridSpan w:val="2"/>
            <w:shd w:val="clear" w:color="auto" w:fill="auto"/>
            <w:vAlign w:val="center"/>
          </w:tcPr>
          <w:p w14:paraId="3274ADD3"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2026</w:t>
            </w:r>
          </w:p>
        </w:tc>
        <w:tc>
          <w:tcPr>
            <w:tcW w:w="701" w:type="dxa"/>
            <w:shd w:val="clear" w:color="auto" w:fill="auto"/>
            <w:vAlign w:val="center"/>
          </w:tcPr>
          <w:p w14:paraId="413D425B"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2027</w:t>
            </w:r>
          </w:p>
        </w:tc>
        <w:tc>
          <w:tcPr>
            <w:tcW w:w="702" w:type="dxa"/>
            <w:gridSpan w:val="2"/>
            <w:shd w:val="clear" w:color="auto" w:fill="auto"/>
            <w:vAlign w:val="center"/>
          </w:tcPr>
          <w:p w14:paraId="66277A91"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2028</w:t>
            </w:r>
          </w:p>
        </w:tc>
        <w:tc>
          <w:tcPr>
            <w:tcW w:w="701" w:type="dxa"/>
            <w:shd w:val="clear" w:color="auto" w:fill="auto"/>
            <w:vAlign w:val="center"/>
          </w:tcPr>
          <w:p w14:paraId="139600E5"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2029</w:t>
            </w:r>
          </w:p>
        </w:tc>
        <w:tc>
          <w:tcPr>
            <w:tcW w:w="702" w:type="dxa"/>
            <w:shd w:val="clear" w:color="auto" w:fill="auto"/>
            <w:vAlign w:val="center"/>
          </w:tcPr>
          <w:p w14:paraId="7CACFA19"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2030</w:t>
            </w:r>
          </w:p>
        </w:tc>
      </w:tr>
      <w:tr w:rsidR="00C60FCD" w:rsidRPr="000F0299" w14:paraId="260CFF86" w14:textId="77777777" w:rsidTr="000430C7">
        <w:tc>
          <w:tcPr>
            <w:tcW w:w="2084" w:type="dxa"/>
            <w:vMerge/>
            <w:shd w:val="clear" w:color="auto" w:fill="auto"/>
          </w:tcPr>
          <w:p w14:paraId="0BEC23A1" w14:textId="77777777" w:rsidR="00C60FCD" w:rsidRPr="000F0299" w:rsidRDefault="00C60FCD" w:rsidP="00033E96">
            <w:pPr>
              <w:suppressAutoHyphens w:val="0"/>
              <w:autoSpaceDN/>
              <w:spacing w:before="0"/>
              <w:ind w:firstLine="0"/>
              <w:textAlignment w:val="auto"/>
              <w:rPr>
                <w:rFonts w:eastAsiaTheme="minorHAnsi"/>
                <w:b/>
                <w:bCs/>
                <w:kern w:val="0"/>
                <w:sz w:val="20"/>
                <w:szCs w:val="20"/>
                <w:lang w:eastAsia="en-US" w:bidi="ar-SA"/>
              </w:rPr>
            </w:pPr>
          </w:p>
        </w:tc>
        <w:tc>
          <w:tcPr>
            <w:tcW w:w="701" w:type="dxa"/>
            <w:shd w:val="clear" w:color="auto" w:fill="auto"/>
          </w:tcPr>
          <w:p w14:paraId="7D1F9E38"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4</w:t>
            </w:r>
          </w:p>
        </w:tc>
        <w:tc>
          <w:tcPr>
            <w:tcW w:w="702" w:type="dxa"/>
            <w:shd w:val="clear" w:color="auto" w:fill="auto"/>
          </w:tcPr>
          <w:p w14:paraId="4105B62A"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4</w:t>
            </w:r>
          </w:p>
        </w:tc>
        <w:tc>
          <w:tcPr>
            <w:tcW w:w="701" w:type="dxa"/>
            <w:gridSpan w:val="2"/>
            <w:shd w:val="clear" w:color="auto" w:fill="auto"/>
          </w:tcPr>
          <w:p w14:paraId="132A51C9"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4</w:t>
            </w:r>
          </w:p>
        </w:tc>
        <w:tc>
          <w:tcPr>
            <w:tcW w:w="702" w:type="dxa"/>
            <w:shd w:val="clear" w:color="auto" w:fill="auto"/>
          </w:tcPr>
          <w:p w14:paraId="59904E68"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c>
          <w:tcPr>
            <w:tcW w:w="701" w:type="dxa"/>
            <w:shd w:val="clear" w:color="auto" w:fill="auto"/>
          </w:tcPr>
          <w:p w14:paraId="101CC313"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c>
          <w:tcPr>
            <w:tcW w:w="702" w:type="dxa"/>
            <w:gridSpan w:val="2"/>
            <w:shd w:val="clear" w:color="auto" w:fill="auto"/>
          </w:tcPr>
          <w:p w14:paraId="3A747AD5"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c>
          <w:tcPr>
            <w:tcW w:w="701" w:type="dxa"/>
            <w:shd w:val="clear" w:color="auto" w:fill="auto"/>
          </w:tcPr>
          <w:p w14:paraId="2199096F"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c>
          <w:tcPr>
            <w:tcW w:w="702" w:type="dxa"/>
            <w:gridSpan w:val="2"/>
            <w:shd w:val="clear" w:color="auto" w:fill="auto"/>
          </w:tcPr>
          <w:p w14:paraId="070BA8D1"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c>
          <w:tcPr>
            <w:tcW w:w="701" w:type="dxa"/>
            <w:shd w:val="clear" w:color="auto" w:fill="auto"/>
          </w:tcPr>
          <w:p w14:paraId="655803F5"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c>
          <w:tcPr>
            <w:tcW w:w="702" w:type="dxa"/>
            <w:shd w:val="clear" w:color="auto" w:fill="auto"/>
          </w:tcPr>
          <w:p w14:paraId="7C9CCA62"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r>
      <w:tr w:rsidR="00C60FCD" w:rsidRPr="000F0299" w14:paraId="68AB7D09" w14:textId="77777777" w:rsidTr="00C60FCD">
        <w:tc>
          <w:tcPr>
            <w:tcW w:w="2084" w:type="dxa"/>
            <w:shd w:val="clear" w:color="auto" w:fill="auto"/>
          </w:tcPr>
          <w:p w14:paraId="5BB37D23" w14:textId="77777777" w:rsidR="00C60FCD" w:rsidRPr="000F0299" w:rsidRDefault="00C60FCD" w:rsidP="00033E96">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7015" w:type="dxa"/>
            <w:gridSpan w:val="13"/>
            <w:shd w:val="clear" w:color="auto" w:fill="auto"/>
            <w:vAlign w:val="center"/>
          </w:tcPr>
          <w:p w14:paraId="0FD4902B" w14:textId="77777777" w:rsidR="00C60FCD" w:rsidRPr="000F0299" w:rsidRDefault="00C60FCD" w:rsidP="00033E96">
            <w:pPr>
              <w:suppressAutoHyphens w:val="0"/>
              <w:autoSpaceDN/>
              <w:spacing w:before="0"/>
              <w:ind w:firstLine="0"/>
              <w:textAlignment w:val="auto"/>
              <w:rPr>
                <w:rFonts w:eastAsiaTheme="minorHAnsi"/>
                <w:b/>
                <w:bCs/>
                <w:color w:val="000000"/>
                <w:kern w:val="0"/>
                <w:sz w:val="20"/>
                <w:szCs w:val="20"/>
                <w:lang w:eastAsia="en-GB" w:bidi="ar-SA"/>
              </w:rPr>
            </w:pPr>
            <w:r w:rsidRPr="000F0299">
              <w:rPr>
                <w:rFonts w:eastAsiaTheme="minorHAnsi"/>
                <w:color w:val="000000"/>
                <w:kern w:val="24"/>
                <w:sz w:val="20"/>
                <w:szCs w:val="20"/>
                <w:lang w:eastAsia="en-GB" w:bidi="ar-SA"/>
              </w:rPr>
              <w:t>Без одступања.</w:t>
            </w:r>
          </w:p>
        </w:tc>
      </w:tr>
    </w:tbl>
    <w:p w14:paraId="1DB5CAEA" w14:textId="1BCDD50A" w:rsidR="00C60FCD" w:rsidRPr="000F0299" w:rsidRDefault="00C013C7" w:rsidP="00BE55B6">
      <w:pPr>
        <w:ind w:firstLine="0"/>
        <w:rPr>
          <w:b/>
          <w:bCs/>
          <w:color w:val="2F5496" w:themeColor="accent1" w:themeShade="BF"/>
        </w:rPr>
      </w:pPr>
      <w:r w:rsidRPr="000F0299">
        <w:rPr>
          <w:b/>
          <w:bCs/>
          <w:color w:val="2F5496" w:themeColor="accent1" w:themeShade="BF"/>
        </w:rPr>
        <w:t xml:space="preserve">Показатељ </w:t>
      </w:r>
      <w:r w:rsidR="00C60FCD" w:rsidRPr="000F0299">
        <w:rPr>
          <w:b/>
          <w:bCs/>
          <w:color w:val="2F5496" w:themeColor="accent1" w:themeShade="BF"/>
        </w:rPr>
        <w:t>2</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702"/>
        <w:gridCol w:w="703"/>
        <w:gridCol w:w="260"/>
        <w:gridCol w:w="443"/>
        <w:gridCol w:w="702"/>
        <w:gridCol w:w="703"/>
        <w:gridCol w:w="57"/>
        <w:gridCol w:w="646"/>
        <w:gridCol w:w="702"/>
        <w:gridCol w:w="640"/>
        <w:gridCol w:w="63"/>
        <w:gridCol w:w="703"/>
        <w:gridCol w:w="703"/>
      </w:tblGrid>
      <w:tr w:rsidR="00C60FCD" w:rsidRPr="000F0299" w14:paraId="186B6D3C" w14:textId="77777777" w:rsidTr="00C013C7">
        <w:tc>
          <w:tcPr>
            <w:tcW w:w="2071" w:type="dxa"/>
            <w:shd w:val="clear" w:color="auto" w:fill="BFBFBF" w:themeFill="background1" w:themeFillShade="BF"/>
            <w:vAlign w:val="center"/>
          </w:tcPr>
          <w:p w14:paraId="62364294" w14:textId="77777777" w:rsidR="00C60FCD" w:rsidRPr="000F0299" w:rsidRDefault="00C60FCD" w:rsidP="000430C7">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показатеља</w:t>
            </w:r>
          </w:p>
        </w:tc>
        <w:tc>
          <w:tcPr>
            <w:tcW w:w="7027" w:type="dxa"/>
            <w:gridSpan w:val="13"/>
            <w:shd w:val="clear" w:color="auto" w:fill="BFBFBF" w:themeFill="background1" w:themeFillShade="BF"/>
            <w:vAlign w:val="center"/>
          </w:tcPr>
          <w:p w14:paraId="56A52438" w14:textId="77777777" w:rsidR="00C60FCD" w:rsidRPr="000F0299" w:rsidRDefault="00C60FCD" w:rsidP="000430C7">
            <w:pPr>
              <w:suppressAutoHyphens w:val="0"/>
              <w:autoSpaceDN/>
              <w:spacing w:before="0"/>
              <w:ind w:firstLine="0"/>
              <w:textAlignment w:val="auto"/>
              <w:rPr>
                <w:rFonts w:eastAsiaTheme="minorHAnsi"/>
                <w:b/>
                <w:bCs/>
                <w:color w:val="000000"/>
                <w:kern w:val="0"/>
                <w:sz w:val="20"/>
                <w:szCs w:val="20"/>
                <w:lang w:eastAsia="en-US" w:bidi="ar-SA"/>
              </w:rPr>
            </w:pPr>
            <w:r w:rsidRPr="000F0299">
              <w:rPr>
                <w:rFonts w:eastAsiaTheme="minorHAnsi"/>
                <w:b/>
                <w:bCs/>
                <w:color w:val="000000"/>
                <w:kern w:val="0"/>
                <w:sz w:val="20"/>
                <w:szCs w:val="20"/>
                <w:lang w:eastAsia="en-US" w:bidi="ar-SA"/>
              </w:rPr>
              <w:t>Степен имплементације система квалитета у елементима стручног усавршавања у јавној управи</w:t>
            </w:r>
          </w:p>
        </w:tc>
      </w:tr>
      <w:tr w:rsidR="00C60FCD" w:rsidRPr="000F0299" w14:paraId="3FD4A7DE" w14:textId="77777777" w:rsidTr="00C60FCD">
        <w:tc>
          <w:tcPr>
            <w:tcW w:w="2071" w:type="dxa"/>
            <w:shd w:val="clear" w:color="auto" w:fill="auto"/>
          </w:tcPr>
          <w:p w14:paraId="6C4A580F"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7027" w:type="dxa"/>
            <w:gridSpan w:val="13"/>
            <w:shd w:val="clear" w:color="auto" w:fill="FFFFFF"/>
          </w:tcPr>
          <w:p w14:paraId="7B21194D" w14:textId="3644B0C3" w:rsidR="00C60FCD" w:rsidRPr="000F0299" w:rsidRDefault="00864D50" w:rsidP="000430C7">
            <w:pPr>
              <w:suppressAutoHyphens w:val="0"/>
              <w:autoSpaceDN/>
              <w:spacing w:before="0"/>
              <w:ind w:firstLine="0"/>
              <w:textAlignment w:val="auto"/>
              <w:rPr>
                <w:rFonts w:eastAsiaTheme="minorHAnsi"/>
                <w:color w:val="000000"/>
                <w:kern w:val="24"/>
                <w:sz w:val="20"/>
                <w:szCs w:val="20"/>
                <w:lang w:eastAsia="en-US" w:bidi="ar-SA"/>
              </w:rPr>
            </w:pPr>
            <w:r w:rsidRPr="000F0299">
              <w:rPr>
                <w:rFonts w:eastAsiaTheme="minorHAnsi"/>
                <w:b/>
                <w:bCs/>
                <w:color w:val="000000"/>
                <w:kern w:val="24"/>
                <w:sz w:val="20"/>
                <w:szCs w:val="20"/>
                <w:lang w:eastAsia="en-US" w:bidi="ar-SA"/>
              </w:rPr>
              <w:t>Meрa</w:t>
            </w:r>
            <w:r w:rsidR="00C60FCD" w:rsidRPr="000F0299">
              <w:rPr>
                <w:rFonts w:eastAsiaTheme="minorHAnsi"/>
                <w:b/>
                <w:bCs/>
                <w:color w:val="000000"/>
                <w:kern w:val="24"/>
                <w:sz w:val="20"/>
                <w:szCs w:val="20"/>
                <w:lang w:eastAsia="en-US" w:bidi="ar-SA"/>
              </w:rPr>
              <w:t xml:space="preserve"> 2.3.1:</w:t>
            </w:r>
            <w:r w:rsidR="00C60FCD" w:rsidRPr="000F0299">
              <w:rPr>
                <w:rFonts w:eastAsiaTheme="minorHAnsi"/>
                <w:color w:val="000000"/>
                <w:kern w:val="24"/>
                <w:sz w:val="20"/>
                <w:szCs w:val="20"/>
                <w:lang w:eastAsia="en-US" w:bidi="ar-SA"/>
              </w:rPr>
              <w:t xml:space="preserve"> Унапређење јединственог система стручног усавршавања у државним органима и органима јединица локалне самоуправе</w:t>
            </w:r>
          </w:p>
        </w:tc>
      </w:tr>
      <w:tr w:rsidR="000430C7" w:rsidRPr="000F0299" w14:paraId="01434472" w14:textId="77777777" w:rsidTr="00C45368">
        <w:tc>
          <w:tcPr>
            <w:tcW w:w="2071" w:type="dxa"/>
            <w:shd w:val="clear" w:color="auto" w:fill="auto"/>
          </w:tcPr>
          <w:p w14:paraId="5C38C417" w14:textId="77777777" w:rsidR="000430C7" w:rsidRPr="000F0299" w:rsidRDefault="000430C7"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513" w:type="dxa"/>
            <w:gridSpan w:val="6"/>
            <w:shd w:val="clear" w:color="auto" w:fill="FFFFFF"/>
          </w:tcPr>
          <w:p w14:paraId="1636A795" w14:textId="0A585816" w:rsidR="000430C7" w:rsidRPr="000F0299" w:rsidRDefault="000430C7"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 xml:space="preserve">Квалитативни показатељ </w:t>
            </w:r>
          </w:p>
        </w:tc>
        <w:tc>
          <w:tcPr>
            <w:tcW w:w="3514" w:type="dxa"/>
            <w:gridSpan w:val="7"/>
            <w:shd w:val="clear" w:color="auto" w:fill="FFFFFF"/>
          </w:tcPr>
          <w:p w14:paraId="6CA140E3" w14:textId="07D89CDE" w:rsidR="000430C7" w:rsidRPr="000F0299" w:rsidRDefault="000430C7"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 нивоу излазног резултата</w:t>
            </w:r>
          </w:p>
        </w:tc>
      </w:tr>
      <w:tr w:rsidR="000430C7" w:rsidRPr="000F0299" w14:paraId="7D2F45D4" w14:textId="77777777" w:rsidTr="00C45368">
        <w:tc>
          <w:tcPr>
            <w:tcW w:w="2071" w:type="dxa"/>
            <w:shd w:val="clear" w:color="auto" w:fill="auto"/>
          </w:tcPr>
          <w:p w14:paraId="0CA5862F" w14:textId="77777777" w:rsidR="000430C7" w:rsidRPr="000F0299" w:rsidRDefault="000430C7"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513" w:type="dxa"/>
            <w:gridSpan w:val="6"/>
            <w:shd w:val="clear" w:color="auto" w:fill="FFFFFF"/>
          </w:tcPr>
          <w:p w14:paraId="64755774" w14:textId="4583715E" w:rsidR="000430C7" w:rsidRPr="000F0299" w:rsidRDefault="000430C7"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Бројчани на скали од 0-15</w:t>
            </w:r>
          </w:p>
        </w:tc>
        <w:tc>
          <w:tcPr>
            <w:tcW w:w="3514" w:type="dxa"/>
            <w:gridSpan w:val="7"/>
            <w:shd w:val="clear" w:color="auto" w:fill="FFFFFF"/>
          </w:tcPr>
          <w:p w14:paraId="45197877" w14:textId="7F53AE3C" w:rsidR="000430C7" w:rsidRPr="000F0299" w:rsidRDefault="000430C7"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Повећана вредност показатеља пожељна</w:t>
            </w:r>
          </w:p>
        </w:tc>
      </w:tr>
      <w:tr w:rsidR="00C60FCD" w:rsidRPr="000F0299" w14:paraId="490DD8E8" w14:textId="77777777" w:rsidTr="00C60FCD">
        <w:tc>
          <w:tcPr>
            <w:tcW w:w="2071" w:type="dxa"/>
            <w:shd w:val="clear" w:color="auto" w:fill="auto"/>
          </w:tcPr>
          <w:p w14:paraId="1996E163"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7027" w:type="dxa"/>
            <w:gridSpan w:val="13"/>
            <w:shd w:val="clear" w:color="auto" w:fill="FFFFFF"/>
          </w:tcPr>
          <w:p w14:paraId="4C5140BF" w14:textId="77777777"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0"/>
                <w:sz w:val="20"/>
                <w:szCs w:val="20"/>
                <w:lang w:eastAsia="en-GB" w:bidi="ar-SA"/>
              </w:rPr>
              <w:t>Централна евиденција програма стручног усавршавања у јавној управи</w:t>
            </w:r>
          </w:p>
          <w:p w14:paraId="642DB88D" w14:textId="77777777"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0"/>
                <w:sz w:val="20"/>
                <w:szCs w:val="20"/>
                <w:lang w:eastAsia="en-GB" w:bidi="ar-SA"/>
              </w:rPr>
              <w:t>Извештаји НАЈУ о утврђеним потребама за стручним усавршавањем у јавној управи</w:t>
            </w:r>
          </w:p>
        </w:tc>
      </w:tr>
      <w:tr w:rsidR="00C60FCD" w:rsidRPr="000F0299" w14:paraId="438AAD8B" w14:textId="77777777" w:rsidTr="00C60FCD">
        <w:tc>
          <w:tcPr>
            <w:tcW w:w="2071" w:type="dxa"/>
            <w:shd w:val="clear" w:color="auto" w:fill="auto"/>
          </w:tcPr>
          <w:p w14:paraId="33471466"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носиоца прикупљања података</w:t>
            </w:r>
          </w:p>
        </w:tc>
        <w:tc>
          <w:tcPr>
            <w:tcW w:w="7027" w:type="dxa"/>
            <w:gridSpan w:val="13"/>
            <w:shd w:val="clear" w:color="auto" w:fill="FFFFFF"/>
          </w:tcPr>
          <w:p w14:paraId="48E657E8" w14:textId="0CC8E0DA" w:rsidR="00AE6044" w:rsidRPr="006D3202" w:rsidRDefault="00C60FCD" w:rsidP="00AE6044">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 xml:space="preserve">Национална </w:t>
            </w:r>
            <w:r w:rsidR="00864D50" w:rsidRPr="000F0299">
              <w:rPr>
                <w:rFonts w:eastAsiaTheme="minorHAnsi"/>
                <w:color w:val="000000"/>
                <w:kern w:val="24"/>
                <w:sz w:val="20"/>
                <w:szCs w:val="20"/>
                <w:lang w:eastAsia="en-GB" w:bidi="ar-SA"/>
              </w:rPr>
              <w:t>академија</w:t>
            </w:r>
            <w:r w:rsidR="00AE6044">
              <w:rPr>
                <w:rFonts w:eastAsiaTheme="minorHAnsi"/>
                <w:color w:val="000000"/>
                <w:kern w:val="24"/>
                <w:sz w:val="20"/>
                <w:szCs w:val="20"/>
                <w:lang w:eastAsia="en-GB" w:bidi="ar-SA"/>
              </w:rPr>
              <w:t xml:space="preserve"> за јавну управу,</w:t>
            </w:r>
          </w:p>
          <w:p w14:paraId="47C74ABA" w14:textId="595D08C9" w:rsidR="006D3202" w:rsidRPr="000F0299" w:rsidRDefault="006D3202" w:rsidP="000430C7">
            <w:pPr>
              <w:suppressAutoHyphens w:val="0"/>
              <w:autoSpaceDN/>
              <w:spacing w:before="0"/>
              <w:ind w:firstLine="0"/>
              <w:textAlignment w:val="auto"/>
              <w:rPr>
                <w:rFonts w:eastAsiaTheme="minorHAnsi"/>
                <w:color w:val="000000"/>
                <w:kern w:val="24"/>
                <w:sz w:val="20"/>
                <w:szCs w:val="20"/>
                <w:lang w:eastAsia="en-GB" w:bidi="ar-SA"/>
              </w:rPr>
            </w:pPr>
            <w:r w:rsidRPr="006D3202">
              <w:rPr>
                <w:rFonts w:eastAsiaTheme="minorHAnsi"/>
                <w:color w:val="000000"/>
                <w:kern w:val="24"/>
                <w:sz w:val="20"/>
                <w:szCs w:val="20"/>
                <w:lang w:eastAsia="en-GB" w:bidi="ar-SA"/>
              </w:rPr>
              <w:t>Сектор за припрему програм</w:t>
            </w:r>
            <w:r w:rsidR="00AE6044">
              <w:rPr>
                <w:rFonts w:eastAsiaTheme="minorHAnsi"/>
                <w:color w:val="000000"/>
                <w:kern w:val="24"/>
                <w:sz w:val="20"/>
                <w:szCs w:val="20"/>
                <w:lang w:eastAsia="en-GB" w:bidi="ar-SA"/>
              </w:rPr>
              <w:t>а обуке и управљање квалитетом</w:t>
            </w:r>
          </w:p>
        </w:tc>
      </w:tr>
      <w:tr w:rsidR="00C60FCD" w:rsidRPr="000F0299" w14:paraId="12FB1DB9" w14:textId="77777777" w:rsidTr="00C60FCD">
        <w:tc>
          <w:tcPr>
            <w:tcW w:w="2071" w:type="dxa"/>
            <w:shd w:val="clear" w:color="auto" w:fill="auto"/>
          </w:tcPr>
          <w:p w14:paraId="3A307D85"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7027" w:type="dxa"/>
            <w:gridSpan w:val="13"/>
            <w:shd w:val="clear" w:color="auto" w:fill="FFFFFF"/>
          </w:tcPr>
          <w:p w14:paraId="714C30DA" w14:textId="77777777"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C60FCD" w:rsidRPr="000F0299" w14:paraId="5A15C720" w14:textId="77777777" w:rsidTr="00C60FCD">
        <w:tc>
          <w:tcPr>
            <w:tcW w:w="2071" w:type="dxa"/>
            <w:shd w:val="clear" w:color="auto" w:fill="auto"/>
          </w:tcPr>
          <w:p w14:paraId="46B005DE"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7027" w:type="dxa"/>
            <w:gridSpan w:val="13"/>
            <w:shd w:val="clear" w:color="auto" w:fill="auto"/>
          </w:tcPr>
          <w:p w14:paraId="69DDF04F"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Критеријуми путем којих се одређује с</w:t>
            </w:r>
            <w:r w:rsidRPr="000F0299">
              <w:rPr>
                <w:rFonts w:eastAsiaTheme="minorHAnsi"/>
                <w:color w:val="000000"/>
                <w:kern w:val="0"/>
                <w:sz w:val="20"/>
                <w:szCs w:val="20"/>
                <w:lang w:eastAsia="en-GB" w:bidi="ar-SA"/>
              </w:rPr>
              <w:t>тепен имплементације система квалитета у елементима стручног усавршавања у јавној управи</w:t>
            </w:r>
            <w:r w:rsidRPr="000F0299">
              <w:rPr>
                <w:rFonts w:eastAsiaTheme="minorHAnsi"/>
                <w:color w:val="000000"/>
                <w:kern w:val="24"/>
                <w:sz w:val="20"/>
                <w:szCs w:val="20"/>
                <w:lang w:eastAsia="en-GB" w:bidi="ar-SA"/>
              </w:rPr>
              <w:t xml:space="preserve"> су:</w:t>
            </w:r>
          </w:p>
          <w:p w14:paraId="0258FEAA" w14:textId="77777777" w:rsidR="00C60FCD" w:rsidRPr="000F0299" w:rsidRDefault="00C60FCD" w:rsidP="00E62A1A">
            <w:pPr>
              <w:numPr>
                <w:ilvl w:val="0"/>
                <w:numId w:val="18"/>
              </w:numPr>
              <w:suppressAutoHyphens w:val="0"/>
              <w:autoSpaceDN/>
              <w:spacing w:before="0"/>
              <w:ind w:left="366" w:hanging="302"/>
              <w:jc w:val="left"/>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Да орган управе спроводи годишње анализу потреба за стручним усавршавањем у складу са донетим Упутством о методологији за утврђивање потреба за стручним усавршавањем којим се утврђују релевантне потребе за стручним усавршавањем;</w:t>
            </w:r>
          </w:p>
          <w:p w14:paraId="2B2E6BD1" w14:textId="77777777" w:rsidR="00C60FCD" w:rsidRPr="000F0299" w:rsidRDefault="00C60FCD" w:rsidP="00E62A1A">
            <w:pPr>
              <w:numPr>
                <w:ilvl w:val="0"/>
                <w:numId w:val="18"/>
              </w:numPr>
              <w:suppressAutoHyphens w:val="0"/>
              <w:autoSpaceDN/>
              <w:spacing w:before="0"/>
              <w:ind w:left="366" w:hanging="302"/>
              <w:jc w:val="left"/>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 xml:space="preserve">Да руководилац органа управе доноси посебан програм обуке за запослене у органу којим се задовољавају претходно утврђене приоритетне потребе, а који је припремљен у складу са смерницама за припрему програма обуке НАЈУ </w:t>
            </w:r>
          </w:p>
          <w:p w14:paraId="2EEB0347" w14:textId="77777777" w:rsidR="00C60FCD" w:rsidRPr="000F0299" w:rsidRDefault="00C60FCD" w:rsidP="00E62A1A">
            <w:pPr>
              <w:numPr>
                <w:ilvl w:val="0"/>
                <w:numId w:val="18"/>
              </w:numPr>
              <w:suppressAutoHyphens w:val="0"/>
              <w:autoSpaceDN/>
              <w:spacing w:before="0"/>
              <w:ind w:left="366" w:hanging="302"/>
              <w:jc w:val="left"/>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Да орган управе спроводи посебан програм обуке уз ангажовање реализатора и спроводилаца у складу са релевантним подзаконским актом а на основу претходно планираних средстава (буџетска и донаторска);</w:t>
            </w:r>
          </w:p>
          <w:p w14:paraId="08E976D0" w14:textId="77777777" w:rsidR="00C60FCD" w:rsidRPr="000F0299" w:rsidRDefault="00C60FCD" w:rsidP="00E62A1A">
            <w:pPr>
              <w:numPr>
                <w:ilvl w:val="0"/>
                <w:numId w:val="18"/>
              </w:numPr>
              <w:suppressAutoHyphens w:val="0"/>
              <w:autoSpaceDN/>
              <w:spacing w:before="0"/>
              <w:ind w:left="366" w:hanging="302"/>
              <w:jc w:val="left"/>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Да орган управе прати аспекте реализације посебног програма обуке и остварене ефекте а у складу са релевантним подзаконским актом;</w:t>
            </w:r>
          </w:p>
          <w:p w14:paraId="7F7FCFFE" w14:textId="77777777" w:rsidR="00C60FCD" w:rsidRPr="000F0299" w:rsidRDefault="00C60FCD" w:rsidP="00E62A1A">
            <w:pPr>
              <w:numPr>
                <w:ilvl w:val="0"/>
                <w:numId w:val="18"/>
              </w:numPr>
              <w:suppressAutoHyphens w:val="0"/>
              <w:autoSpaceDN/>
              <w:spacing w:before="0"/>
              <w:ind w:left="366" w:hanging="302"/>
              <w:jc w:val="left"/>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Да је општа оцена реализованих обука од стране полазника изнад 3,4.</w:t>
            </w:r>
          </w:p>
          <w:p w14:paraId="655B3995"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u w:val="single"/>
                <w:lang w:eastAsia="en-GB" w:bidi="ar-SA"/>
              </w:rPr>
              <w:t>Степен имплементације</w:t>
            </w:r>
            <w:r w:rsidRPr="000F0299">
              <w:rPr>
                <w:rFonts w:eastAsiaTheme="minorHAnsi"/>
                <w:color w:val="000000"/>
                <w:kern w:val="24"/>
                <w:sz w:val="20"/>
                <w:szCs w:val="20"/>
                <w:lang w:eastAsia="en-GB" w:bidi="ar-SA"/>
              </w:rPr>
              <w:t xml:space="preserve"> се прати на узорку 3 органа државне управе, 1 државног органа, 1 јавне агенције, 1 органа АП и 6 ЈЛС. </w:t>
            </w:r>
          </w:p>
          <w:p w14:paraId="77BD0223"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Испуњеност критеријума прати НАЈУ и за сваки од поменутих критеријума додељује један бод. Сви критеријуми морају бити кумулативно испуњени да би се сматрало да орган управе има успостављен систем управљања квалитетом стручног усавршавања.</w:t>
            </w:r>
          </w:p>
          <w:p w14:paraId="2907DFF8"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p>
          <w:p w14:paraId="2E27EC42"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 xml:space="preserve">Оцена степена имплементације система управљања квалитетом одређује се на скали од 1 до 5, и то: </w:t>
            </w:r>
          </w:p>
          <w:p w14:paraId="4C9F7E89"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0 – ниједна или једна институција;</w:t>
            </w:r>
          </w:p>
          <w:p w14:paraId="1DC63074"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1 - две или три институције;</w:t>
            </w:r>
          </w:p>
          <w:p w14:paraId="573D8E15"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2 - четири или пет институција;</w:t>
            </w:r>
          </w:p>
          <w:p w14:paraId="6F80A174"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3 - шест или седам институција;</w:t>
            </w:r>
          </w:p>
          <w:p w14:paraId="34BED993"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4 – осам или девет институција;</w:t>
            </w:r>
          </w:p>
          <w:p w14:paraId="18ADAEC0"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5 – свих 10 институција;</w:t>
            </w:r>
          </w:p>
        </w:tc>
      </w:tr>
      <w:tr w:rsidR="00C60FCD" w:rsidRPr="000F0299" w14:paraId="1C3511C3" w14:textId="77777777" w:rsidTr="00C60FCD">
        <w:tc>
          <w:tcPr>
            <w:tcW w:w="2071" w:type="dxa"/>
            <w:vMerge w:val="restart"/>
            <w:shd w:val="clear" w:color="auto" w:fill="auto"/>
          </w:tcPr>
          <w:p w14:paraId="10850C7E"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558" w:type="dxa"/>
            <w:gridSpan w:val="10"/>
            <w:shd w:val="clear" w:color="auto" w:fill="FFFFFF"/>
          </w:tcPr>
          <w:p w14:paraId="5B3CE688" w14:textId="77777777"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Тренд у прошлости</w:t>
            </w:r>
          </w:p>
        </w:tc>
        <w:tc>
          <w:tcPr>
            <w:tcW w:w="1469" w:type="dxa"/>
            <w:gridSpan w:val="3"/>
            <w:shd w:val="clear" w:color="auto" w:fill="FFFFFF"/>
          </w:tcPr>
          <w:p w14:paraId="4A64E86A" w14:textId="77777777"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Полазна вредност</w:t>
            </w:r>
          </w:p>
        </w:tc>
      </w:tr>
      <w:tr w:rsidR="00C60FCD" w:rsidRPr="000F0299" w14:paraId="3E482096" w14:textId="77777777" w:rsidTr="00C60FCD">
        <w:tc>
          <w:tcPr>
            <w:tcW w:w="2071" w:type="dxa"/>
            <w:vMerge/>
            <w:shd w:val="clear" w:color="auto" w:fill="auto"/>
            <w:vAlign w:val="center"/>
          </w:tcPr>
          <w:p w14:paraId="3AF724DB"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US" w:bidi="ar-SA"/>
              </w:rPr>
            </w:pPr>
          </w:p>
        </w:tc>
        <w:tc>
          <w:tcPr>
            <w:tcW w:w="1665" w:type="dxa"/>
            <w:gridSpan w:val="3"/>
            <w:shd w:val="clear" w:color="auto" w:fill="FFFFFF"/>
          </w:tcPr>
          <w:p w14:paraId="364DB62F"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2016</w:t>
            </w:r>
          </w:p>
        </w:tc>
        <w:tc>
          <w:tcPr>
            <w:tcW w:w="1905" w:type="dxa"/>
            <w:gridSpan w:val="4"/>
            <w:shd w:val="clear" w:color="auto" w:fill="FFFFFF"/>
          </w:tcPr>
          <w:p w14:paraId="5E52EDA2"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2017</w:t>
            </w:r>
          </w:p>
        </w:tc>
        <w:tc>
          <w:tcPr>
            <w:tcW w:w="1988" w:type="dxa"/>
            <w:gridSpan w:val="3"/>
            <w:shd w:val="clear" w:color="auto" w:fill="FFFFFF"/>
          </w:tcPr>
          <w:p w14:paraId="2E734169"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2018</w:t>
            </w:r>
          </w:p>
        </w:tc>
        <w:tc>
          <w:tcPr>
            <w:tcW w:w="1469" w:type="dxa"/>
            <w:gridSpan w:val="3"/>
            <w:shd w:val="clear" w:color="auto" w:fill="FFFFFF"/>
          </w:tcPr>
          <w:p w14:paraId="16A11FA8"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2020</w:t>
            </w:r>
          </w:p>
        </w:tc>
      </w:tr>
      <w:tr w:rsidR="00C60FCD" w:rsidRPr="000F0299" w14:paraId="2EB17A53" w14:textId="77777777" w:rsidTr="00C60FCD">
        <w:tc>
          <w:tcPr>
            <w:tcW w:w="2071" w:type="dxa"/>
            <w:vMerge/>
            <w:shd w:val="clear" w:color="auto" w:fill="auto"/>
            <w:vAlign w:val="center"/>
          </w:tcPr>
          <w:p w14:paraId="7016E8F1"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US" w:bidi="ar-SA"/>
              </w:rPr>
            </w:pPr>
          </w:p>
        </w:tc>
        <w:tc>
          <w:tcPr>
            <w:tcW w:w="1665" w:type="dxa"/>
            <w:gridSpan w:val="3"/>
            <w:shd w:val="clear" w:color="auto" w:fill="auto"/>
          </w:tcPr>
          <w:p w14:paraId="39F34636"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05" w:type="dxa"/>
            <w:gridSpan w:val="4"/>
            <w:shd w:val="clear" w:color="auto" w:fill="auto"/>
          </w:tcPr>
          <w:p w14:paraId="44D94562"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88" w:type="dxa"/>
            <w:gridSpan w:val="3"/>
            <w:shd w:val="clear" w:color="auto" w:fill="auto"/>
          </w:tcPr>
          <w:p w14:paraId="5E478A2E"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469" w:type="dxa"/>
            <w:gridSpan w:val="3"/>
            <w:shd w:val="clear" w:color="auto" w:fill="auto"/>
          </w:tcPr>
          <w:p w14:paraId="798CEEC8"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r>
      <w:tr w:rsidR="00C60FCD" w:rsidRPr="000F0299" w14:paraId="77234902" w14:textId="77777777" w:rsidTr="000430C7">
        <w:tc>
          <w:tcPr>
            <w:tcW w:w="2071" w:type="dxa"/>
            <w:vMerge w:val="restart"/>
            <w:shd w:val="clear" w:color="auto" w:fill="auto"/>
          </w:tcPr>
          <w:p w14:paraId="69AE8BCE"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702" w:type="dxa"/>
            <w:shd w:val="clear" w:color="auto" w:fill="auto"/>
            <w:vAlign w:val="center"/>
          </w:tcPr>
          <w:p w14:paraId="68364CE1"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2021</w:t>
            </w:r>
          </w:p>
        </w:tc>
        <w:tc>
          <w:tcPr>
            <w:tcW w:w="703" w:type="dxa"/>
            <w:shd w:val="clear" w:color="auto" w:fill="auto"/>
            <w:vAlign w:val="center"/>
          </w:tcPr>
          <w:p w14:paraId="063034ED"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2022</w:t>
            </w:r>
          </w:p>
        </w:tc>
        <w:tc>
          <w:tcPr>
            <w:tcW w:w="703" w:type="dxa"/>
            <w:gridSpan w:val="2"/>
            <w:shd w:val="clear" w:color="auto" w:fill="auto"/>
            <w:vAlign w:val="center"/>
          </w:tcPr>
          <w:p w14:paraId="026B0BC5"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2023</w:t>
            </w:r>
          </w:p>
        </w:tc>
        <w:tc>
          <w:tcPr>
            <w:tcW w:w="702" w:type="dxa"/>
            <w:shd w:val="clear" w:color="auto" w:fill="auto"/>
            <w:vAlign w:val="center"/>
          </w:tcPr>
          <w:p w14:paraId="5FAF235C"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2024</w:t>
            </w:r>
          </w:p>
        </w:tc>
        <w:tc>
          <w:tcPr>
            <w:tcW w:w="703" w:type="dxa"/>
            <w:shd w:val="clear" w:color="auto" w:fill="auto"/>
            <w:vAlign w:val="center"/>
          </w:tcPr>
          <w:p w14:paraId="5CEC735D"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2025</w:t>
            </w:r>
          </w:p>
        </w:tc>
        <w:tc>
          <w:tcPr>
            <w:tcW w:w="703" w:type="dxa"/>
            <w:gridSpan w:val="2"/>
            <w:shd w:val="clear" w:color="auto" w:fill="auto"/>
            <w:vAlign w:val="center"/>
          </w:tcPr>
          <w:p w14:paraId="761299B0"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2026</w:t>
            </w:r>
          </w:p>
        </w:tc>
        <w:tc>
          <w:tcPr>
            <w:tcW w:w="702" w:type="dxa"/>
            <w:shd w:val="clear" w:color="auto" w:fill="auto"/>
            <w:vAlign w:val="center"/>
          </w:tcPr>
          <w:p w14:paraId="429EEC26"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2027</w:t>
            </w:r>
          </w:p>
        </w:tc>
        <w:tc>
          <w:tcPr>
            <w:tcW w:w="703" w:type="dxa"/>
            <w:gridSpan w:val="2"/>
            <w:shd w:val="clear" w:color="auto" w:fill="auto"/>
            <w:vAlign w:val="center"/>
          </w:tcPr>
          <w:p w14:paraId="65D64758"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2028</w:t>
            </w:r>
          </w:p>
        </w:tc>
        <w:tc>
          <w:tcPr>
            <w:tcW w:w="703" w:type="dxa"/>
            <w:shd w:val="clear" w:color="auto" w:fill="auto"/>
            <w:vAlign w:val="center"/>
          </w:tcPr>
          <w:p w14:paraId="687BD721"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2029</w:t>
            </w:r>
          </w:p>
        </w:tc>
        <w:tc>
          <w:tcPr>
            <w:tcW w:w="703" w:type="dxa"/>
            <w:shd w:val="clear" w:color="auto" w:fill="auto"/>
            <w:vAlign w:val="center"/>
          </w:tcPr>
          <w:p w14:paraId="71F8F6DC"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2030</w:t>
            </w:r>
          </w:p>
        </w:tc>
      </w:tr>
      <w:tr w:rsidR="00C60FCD" w:rsidRPr="000F0299" w14:paraId="1A906542" w14:textId="77777777" w:rsidTr="000430C7">
        <w:tc>
          <w:tcPr>
            <w:tcW w:w="2071" w:type="dxa"/>
            <w:vMerge/>
            <w:shd w:val="clear" w:color="auto" w:fill="auto"/>
          </w:tcPr>
          <w:p w14:paraId="1FB4D1EE"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US" w:bidi="ar-SA"/>
              </w:rPr>
            </w:pPr>
          </w:p>
        </w:tc>
        <w:tc>
          <w:tcPr>
            <w:tcW w:w="702" w:type="dxa"/>
            <w:shd w:val="clear" w:color="auto" w:fill="auto"/>
          </w:tcPr>
          <w:p w14:paraId="76E66934"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w:t>
            </w:r>
          </w:p>
        </w:tc>
        <w:tc>
          <w:tcPr>
            <w:tcW w:w="703" w:type="dxa"/>
            <w:shd w:val="clear" w:color="auto" w:fill="auto"/>
          </w:tcPr>
          <w:p w14:paraId="005EF69E"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3</w:t>
            </w:r>
          </w:p>
        </w:tc>
        <w:tc>
          <w:tcPr>
            <w:tcW w:w="703" w:type="dxa"/>
            <w:gridSpan w:val="2"/>
            <w:shd w:val="clear" w:color="auto" w:fill="auto"/>
          </w:tcPr>
          <w:p w14:paraId="5627AF4A"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4</w:t>
            </w:r>
          </w:p>
        </w:tc>
        <w:tc>
          <w:tcPr>
            <w:tcW w:w="702" w:type="dxa"/>
            <w:shd w:val="clear" w:color="auto" w:fill="auto"/>
          </w:tcPr>
          <w:p w14:paraId="4B7C83F3"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c>
          <w:tcPr>
            <w:tcW w:w="703" w:type="dxa"/>
            <w:shd w:val="clear" w:color="auto" w:fill="auto"/>
          </w:tcPr>
          <w:p w14:paraId="02DECFE2"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c>
          <w:tcPr>
            <w:tcW w:w="703" w:type="dxa"/>
            <w:gridSpan w:val="2"/>
            <w:shd w:val="clear" w:color="auto" w:fill="auto"/>
          </w:tcPr>
          <w:p w14:paraId="38D9B2F8"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c>
          <w:tcPr>
            <w:tcW w:w="702" w:type="dxa"/>
            <w:shd w:val="clear" w:color="auto" w:fill="auto"/>
          </w:tcPr>
          <w:p w14:paraId="12B3B1D6"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c>
          <w:tcPr>
            <w:tcW w:w="703" w:type="dxa"/>
            <w:gridSpan w:val="2"/>
            <w:shd w:val="clear" w:color="auto" w:fill="auto"/>
          </w:tcPr>
          <w:p w14:paraId="12BA0BC7"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c>
          <w:tcPr>
            <w:tcW w:w="703" w:type="dxa"/>
            <w:shd w:val="clear" w:color="auto" w:fill="auto"/>
          </w:tcPr>
          <w:p w14:paraId="06628B24"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c>
          <w:tcPr>
            <w:tcW w:w="703" w:type="dxa"/>
            <w:shd w:val="clear" w:color="auto" w:fill="auto"/>
          </w:tcPr>
          <w:p w14:paraId="0D80A040"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w:t>
            </w:r>
          </w:p>
        </w:tc>
      </w:tr>
      <w:tr w:rsidR="00C60FCD" w:rsidRPr="000F0299" w14:paraId="6CEBC26E" w14:textId="77777777" w:rsidTr="00C60FCD">
        <w:tc>
          <w:tcPr>
            <w:tcW w:w="2071" w:type="dxa"/>
            <w:shd w:val="clear" w:color="auto" w:fill="auto"/>
          </w:tcPr>
          <w:p w14:paraId="30895CAF"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7027" w:type="dxa"/>
            <w:gridSpan w:val="13"/>
            <w:shd w:val="clear" w:color="auto" w:fill="auto"/>
            <w:vAlign w:val="center"/>
          </w:tcPr>
          <w:p w14:paraId="20B578E6" w14:textId="77777777"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Без одступања.</w:t>
            </w:r>
          </w:p>
        </w:tc>
      </w:tr>
    </w:tbl>
    <w:p w14:paraId="0DD6D6FB" w14:textId="78C1E730" w:rsidR="00487FD1" w:rsidRPr="000F0299" w:rsidRDefault="00487FD1" w:rsidP="00BE55B6">
      <w:pPr>
        <w:ind w:firstLine="0"/>
        <w:rPr>
          <w:b/>
          <w:bCs/>
          <w:color w:val="2F5496" w:themeColor="accent1" w:themeShade="BF"/>
        </w:rPr>
      </w:pPr>
    </w:p>
    <w:p w14:paraId="41CF0809" w14:textId="77777777" w:rsidR="00487FD1" w:rsidRPr="000F0299" w:rsidRDefault="00487FD1">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22B2472F" w14:textId="763296F9" w:rsidR="00C60FCD" w:rsidRPr="000F0299" w:rsidRDefault="00C013C7" w:rsidP="00BE55B6">
      <w:pPr>
        <w:ind w:firstLine="0"/>
        <w:rPr>
          <w:b/>
          <w:bCs/>
          <w:color w:val="2F5496" w:themeColor="accent1" w:themeShade="BF"/>
        </w:rPr>
      </w:pPr>
      <w:r w:rsidRPr="000F0299">
        <w:rPr>
          <w:b/>
          <w:bCs/>
          <w:color w:val="2F5496" w:themeColor="accent1" w:themeShade="BF"/>
        </w:rPr>
        <w:t>Показатељ 3</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2"/>
        <w:gridCol w:w="807"/>
        <w:gridCol w:w="708"/>
        <w:gridCol w:w="649"/>
        <w:gridCol w:w="72"/>
        <w:gridCol w:w="650"/>
        <w:gridCol w:w="722"/>
        <w:gridCol w:w="482"/>
        <w:gridCol w:w="239"/>
        <w:gridCol w:w="722"/>
        <w:gridCol w:w="721"/>
        <w:gridCol w:w="223"/>
        <w:gridCol w:w="499"/>
        <w:gridCol w:w="722"/>
      </w:tblGrid>
      <w:tr w:rsidR="00C60FCD" w:rsidRPr="000F0299" w14:paraId="31AFEC91" w14:textId="77777777" w:rsidTr="00C013C7">
        <w:tc>
          <w:tcPr>
            <w:tcW w:w="1882" w:type="dxa"/>
            <w:shd w:val="clear" w:color="auto" w:fill="BFBFBF" w:themeFill="background1" w:themeFillShade="BF"/>
            <w:vAlign w:val="center"/>
          </w:tcPr>
          <w:p w14:paraId="2C6188E1" w14:textId="77777777" w:rsidR="00C60FCD" w:rsidRPr="000F0299" w:rsidRDefault="00C60FCD" w:rsidP="00C013C7">
            <w:pPr>
              <w:suppressAutoHyphens w:val="0"/>
              <w:autoSpaceDN/>
              <w:spacing w:before="100" w:after="10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показатеља</w:t>
            </w:r>
          </w:p>
        </w:tc>
        <w:tc>
          <w:tcPr>
            <w:tcW w:w="7216" w:type="dxa"/>
            <w:gridSpan w:val="13"/>
            <w:shd w:val="clear" w:color="auto" w:fill="BFBFBF" w:themeFill="background1" w:themeFillShade="BF"/>
            <w:vAlign w:val="center"/>
          </w:tcPr>
          <w:p w14:paraId="34CCD90F" w14:textId="3EF2154E" w:rsidR="00C60FCD" w:rsidRPr="000F0299" w:rsidRDefault="00C60FCD" w:rsidP="00C013C7">
            <w:pPr>
              <w:suppressAutoHyphens w:val="0"/>
              <w:autoSpaceDN/>
              <w:spacing w:before="0" w:after="0" w:line="259" w:lineRule="auto"/>
              <w:ind w:firstLine="0"/>
              <w:textAlignment w:val="auto"/>
              <w:rPr>
                <w:rFonts w:eastAsiaTheme="minorHAnsi"/>
                <w:b/>
                <w:bCs/>
                <w:color w:val="000000"/>
                <w:kern w:val="0"/>
                <w:sz w:val="20"/>
                <w:szCs w:val="20"/>
                <w:lang w:eastAsia="en-US" w:bidi="ar-SA"/>
              </w:rPr>
            </w:pPr>
            <w:r w:rsidRPr="000F0299">
              <w:rPr>
                <w:rFonts w:eastAsiaTheme="minorHAnsi"/>
                <w:b/>
                <w:bCs/>
                <w:color w:val="000000"/>
                <w:kern w:val="0"/>
                <w:sz w:val="20"/>
                <w:szCs w:val="20"/>
                <w:lang w:eastAsia="en-US" w:bidi="ar-SA"/>
              </w:rPr>
              <w:t xml:space="preserve">Испуњеност очекивања полазника обукама у којима су </w:t>
            </w:r>
            <w:r w:rsidR="00864D50" w:rsidRPr="000F0299">
              <w:rPr>
                <w:rFonts w:eastAsiaTheme="minorHAnsi"/>
                <w:b/>
                <w:bCs/>
                <w:color w:val="000000"/>
                <w:kern w:val="0"/>
                <w:sz w:val="20"/>
                <w:szCs w:val="20"/>
                <w:lang w:eastAsia="en-US" w:bidi="ar-SA"/>
              </w:rPr>
              <w:t>коришћени</w:t>
            </w:r>
            <w:r w:rsidRPr="000F0299">
              <w:rPr>
                <w:rFonts w:eastAsiaTheme="minorHAnsi"/>
                <w:b/>
                <w:bCs/>
                <w:color w:val="000000"/>
                <w:kern w:val="0"/>
                <w:sz w:val="20"/>
                <w:szCs w:val="20"/>
                <w:lang w:eastAsia="en-US" w:bidi="ar-SA"/>
              </w:rPr>
              <w:t xml:space="preserve"> иновативни облици и методе стручног усавршавања</w:t>
            </w:r>
          </w:p>
        </w:tc>
      </w:tr>
      <w:tr w:rsidR="00C60FCD" w:rsidRPr="000F0299" w14:paraId="53E97E62" w14:textId="77777777" w:rsidTr="00C60FCD">
        <w:tc>
          <w:tcPr>
            <w:tcW w:w="1882" w:type="dxa"/>
            <w:shd w:val="clear" w:color="auto" w:fill="auto"/>
          </w:tcPr>
          <w:p w14:paraId="45134187" w14:textId="77777777" w:rsidR="00C60FCD" w:rsidRPr="000F0299" w:rsidRDefault="00C60FCD"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7216" w:type="dxa"/>
            <w:gridSpan w:val="13"/>
            <w:shd w:val="clear" w:color="auto" w:fill="FFFFFF"/>
          </w:tcPr>
          <w:p w14:paraId="0EC5C37E" w14:textId="77777777" w:rsidR="00C60FCD" w:rsidRPr="000F0299" w:rsidRDefault="00C60FCD" w:rsidP="00C60FCD">
            <w:pPr>
              <w:suppressAutoHyphens w:val="0"/>
              <w:autoSpaceDN/>
              <w:spacing w:before="0" w:after="0" w:line="259" w:lineRule="auto"/>
              <w:ind w:firstLine="0"/>
              <w:textAlignment w:val="auto"/>
              <w:rPr>
                <w:rFonts w:eastAsiaTheme="minorHAnsi"/>
                <w:color w:val="000000"/>
                <w:kern w:val="24"/>
                <w:sz w:val="20"/>
                <w:szCs w:val="20"/>
                <w:lang w:eastAsia="en-US" w:bidi="ar-SA"/>
              </w:rPr>
            </w:pPr>
            <w:r w:rsidRPr="000F0299">
              <w:rPr>
                <w:rFonts w:eastAsiaTheme="minorHAnsi"/>
                <w:b/>
                <w:bCs/>
                <w:color w:val="000000"/>
                <w:kern w:val="24"/>
                <w:sz w:val="20"/>
                <w:szCs w:val="20"/>
                <w:lang w:eastAsia="en-US" w:bidi="ar-SA"/>
              </w:rPr>
              <w:t>Мера 2.3.2:</w:t>
            </w:r>
            <w:r w:rsidRPr="000F0299">
              <w:rPr>
                <w:rFonts w:eastAsiaTheme="minorHAnsi"/>
                <w:color w:val="000000"/>
                <w:kern w:val="24"/>
                <w:sz w:val="20"/>
                <w:szCs w:val="20"/>
                <w:lang w:eastAsia="en-US" w:bidi="ar-SA"/>
              </w:rPr>
              <w:t xml:space="preserve"> </w:t>
            </w:r>
            <w:r w:rsidRPr="000F0299">
              <w:rPr>
                <w:rFonts w:eastAsiaTheme="minorHAnsi"/>
                <w:color w:val="000000"/>
                <w:kern w:val="0"/>
                <w:sz w:val="20"/>
                <w:szCs w:val="20"/>
                <w:lang w:eastAsia="en-US" w:bidi="ar-SA"/>
              </w:rPr>
              <w:t>Унапређење програма стручног усавршавања у државним органима и органима јединица локалне самоуправе и начина њиховог организовања и спровођења</w:t>
            </w:r>
          </w:p>
        </w:tc>
      </w:tr>
      <w:tr w:rsidR="000430C7" w:rsidRPr="000F0299" w14:paraId="787F063E" w14:textId="77777777" w:rsidTr="00C45368">
        <w:tc>
          <w:tcPr>
            <w:tcW w:w="1882" w:type="dxa"/>
            <w:shd w:val="clear" w:color="auto" w:fill="auto"/>
          </w:tcPr>
          <w:p w14:paraId="3FA245A0" w14:textId="77777777" w:rsidR="000430C7" w:rsidRPr="000F0299" w:rsidRDefault="000430C7"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608" w:type="dxa"/>
            <w:gridSpan w:val="6"/>
            <w:shd w:val="clear" w:color="auto" w:fill="FFFFFF"/>
          </w:tcPr>
          <w:p w14:paraId="080CBEDB" w14:textId="537DDE67" w:rsidR="000430C7" w:rsidRPr="000F0299" w:rsidRDefault="000430C7" w:rsidP="000430C7">
            <w:pPr>
              <w:suppressAutoHyphens w:val="0"/>
              <w:autoSpaceDN/>
              <w:spacing w:before="0" w:after="0" w:line="259" w:lineRule="auto"/>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 xml:space="preserve">Квантитативни показатељ </w:t>
            </w:r>
          </w:p>
        </w:tc>
        <w:tc>
          <w:tcPr>
            <w:tcW w:w="3608" w:type="dxa"/>
            <w:gridSpan w:val="7"/>
            <w:shd w:val="clear" w:color="auto" w:fill="FFFFFF"/>
          </w:tcPr>
          <w:p w14:paraId="2D3229EC" w14:textId="448901F5" w:rsidR="000430C7" w:rsidRPr="000F0299" w:rsidRDefault="000430C7" w:rsidP="000430C7">
            <w:pPr>
              <w:suppressAutoHyphens w:val="0"/>
              <w:autoSpaceDN/>
              <w:spacing w:before="0" w:after="0" w:line="259" w:lineRule="auto"/>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 нивоу излазног резултата</w:t>
            </w:r>
          </w:p>
        </w:tc>
      </w:tr>
      <w:tr w:rsidR="000430C7" w:rsidRPr="000F0299" w14:paraId="3BE57AFA" w14:textId="77777777" w:rsidTr="00C45368">
        <w:tc>
          <w:tcPr>
            <w:tcW w:w="1882" w:type="dxa"/>
            <w:shd w:val="clear" w:color="auto" w:fill="auto"/>
          </w:tcPr>
          <w:p w14:paraId="3C1F6B9D" w14:textId="77777777" w:rsidR="000430C7" w:rsidRPr="000F0299" w:rsidRDefault="000430C7"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608" w:type="dxa"/>
            <w:gridSpan w:val="6"/>
            <w:shd w:val="clear" w:color="auto" w:fill="FFFFFF"/>
          </w:tcPr>
          <w:p w14:paraId="78203FB1" w14:textId="2850D8CE" w:rsidR="000430C7" w:rsidRPr="000F0299" w:rsidRDefault="000430C7" w:rsidP="000430C7">
            <w:pPr>
              <w:suppressAutoHyphens w:val="0"/>
              <w:autoSpaceDN/>
              <w:spacing w:before="0" w:after="0" w:line="259" w:lineRule="auto"/>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Процентуални на скали од 0-100%</w:t>
            </w:r>
          </w:p>
        </w:tc>
        <w:tc>
          <w:tcPr>
            <w:tcW w:w="3608" w:type="dxa"/>
            <w:gridSpan w:val="7"/>
            <w:shd w:val="clear" w:color="auto" w:fill="FFFFFF"/>
          </w:tcPr>
          <w:p w14:paraId="113F13C1" w14:textId="4AEB4B7E" w:rsidR="000430C7" w:rsidRPr="000F0299" w:rsidRDefault="000430C7" w:rsidP="000430C7">
            <w:pPr>
              <w:suppressAutoHyphens w:val="0"/>
              <w:autoSpaceDN/>
              <w:spacing w:before="0" w:after="0" w:line="259" w:lineRule="auto"/>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Повећана вредност показатеља пожељна</w:t>
            </w:r>
          </w:p>
        </w:tc>
      </w:tr>
      <w:tr w:rsidR="00C60FCD" w:rsidRPr="000F0299" w14:paraId="44132575" w14:textId="77777777" w:rsidTr="00C60FCD">
        <w:tc>
          <w:tcPr>
            <w:tcW w:w="1882" w:type="dxa"/>
            <w:shd w:val="clear" w:color="auto" w:fill="auto"/>
          </w:tcPr>
          <w:p w14:paraId="6DAB9492" w14:textId="77777777" w:rsidR="00C60FCD" w:rsidRPr="000F0299" w:rsidRDefault="00C60FCD"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7216" w:type="dxa"/>
            <w:gridSpan w:val="13"/>
            <w:shd w:val="clear" w:color="auto" w:fill="FFFFFF"/>
          </w:tcPr>
          <w:p w14:paraId="6A6F9761" w14:textId="77777777" w:rsidR="00C60FCD" w:rsidRPr="000F0299" w:rsidRDefault="00C60FCD" w:rsidP="00C60FCD">
            <w:pPr>
              <w:suppressAutoHyphens w:val="0"/>
              <w:autoSpaceDN/>
              <w:spacing w:before="0" w:after="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Подаци ће бити прикупљани  на националном нивоу.</w:t>
            </w:r>
          </w:p>
          <w:p w14:paraId="560F4545" w14:textId="77777777" w:rsidR="00C60FCD" w:rsidRPr="000F0299" w:rsidRDefault="00C60FCD" w:rsidP="00C60FCD">
            <w:pPr>
              <w:suppressAutoHyphens w:val="0"/>
              <w:autoSpaceDN/>
              <w:spacing w:before="0" w:after="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Извори:</w:t>
            </w:r>
          </w:p>
          <w:p w14:paraId="22E14A86" w14:textId="77777777" w:rsidR="00C60FCD" w:rsidRPr="000F0299" w:rsidRDefault="00C60FCD" w:rsidP="00E62A1A">
            <w:pPr>
              <w:numPr>
                <w:ilvl w:val="0"/>
                <w:numId w:val="14"/>
              </w:numPr>
              <w:suppressAutoHyphens w:val="0"/>
              <w:autoSpaceDN/>
              <w:spacing w:before="0" w:after="0" w:line="259" w:lineRule="auto"/>
              <w:ind w:left="604" w:hanging="302"/>
              <w:jc w:val="left"/>
              <w:textAlignment w:val="auto"/>
              <w:rPr>
                <w:rFonts w:eastAsiaTheme="minorHAnsi"/>
                <w:color w:val="000000"/>
                <w:kern w:val="0"/>
                <w:sz w:val="20"/>
                <w:szCs w:val="20"/>
                <w:lang w:eastAsia="en-GB" w:bidi="ar-SA"/>
              </w:rPr>
            </w:pPr>
            <w:r w:rsidRPr="000F0299">
              <w:rPr>
                <w:rFonts w:eastAsiaTheme="minorHAnsi"/>
                <w:color w:val="000000"/>
                <w:kern w:val="0"/>
                <w:sz w:val="20"/>
                <w:szCs w:val="20"/>
                <w:lang w:eastAsia="en-GB" w:bidi="ar-SA"/>
              </w:rPr>
              <w:t xml:space="preserve">Извештаји о спровођењу програма обука </w:t>
            </w:r>
          </w:p>
          <w:p w14:paraId="37F4C415" w14:textId="77777777" w:rsidR="00C60FCD" w:rsidRPr="000F0299" w:rsidRDefault="00C60FCD" w:rsidP="00E62A1A">
            <w:pPr>
              <w:numPr>
                <w:ilvl w:val="0"/>
                <w:numId w:val="14"/>
              </w:numPr>
              <w:suppressAutoHyphens w:val="0"/>
              <w:autoSpaceDN/>
              <w:spacing w:before="0" w:after="0" w:line="259" w:lineRule="auto"/>
              <w:ind w:left="604" w:hanging="302"/>
              <w:jc w:val="left"/>
              <w:textAlignment w:val="auto"/>
              <w:rPr>
                <w:rFonts w:eastAsiaTheme="minorHAnsi"/>
                <w:color w:val="000000"/>
                <w:kern w:val="0"/>
                <w:sz w:val="20"/>
                <w:szCs w:val="20"/>
                <w:lang w:eastAsia="en-GB" w:bidi="ar-SA"/>
              </w:rPr>
            </w:pPr>
            <w:r w:rsidRPr="000F0299">
              <w:rPr>
                <w:rFonts w:eastAsiaTheme="minorHAnsi"/>
                <w:color w:val="000000"/>
                <w:kern w:val="0"/>
                <w:sz w:val="20"/>
                <w:szCs w:val="20"/>
                <w:lang w:eastAsia="en-GB" w:bidi="ar-SA"/>
              </w:rPr>
              <w:t>Централна евиденција програма стручног усавршавања</w:t>
            </w:r>
          </w:p>
        </w:tc>
      </w:tr>
      <w:tr w:rsidR="00C60FCD" w:rsidRPr="000F0299" w14:paraId="013949AB" w14:textId="77777777" w:rsidTr="00C60FCD">
        <w:tc>
          <w:tcPr>
            <w:tcW w:w="1882" w:type="dxa"/>
            <w:shd w:val="clear" w:color="auto" w:fill="auto"/>
          </w:tcPr>
          <w:p w14:paraId="2D90CC73" w14:textId="77777777" w:rsidR="00C60FCD" w:rsidRPr="000F0299" w:rsidRDefault="00C60FCD"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носиоца прикупљања података</w:t>
            </w:r>
          </w:p>
        </w:tc>
        <w:tc>
          <w:tcPr>
            <w:tcW w:w="7216" w:type="dxa"/>
            <w:gridSpan w:val="13"/>
            <w:shd w:val="clear" w:color="auto" w:fill="FFFFFF"/>
          </w:tcPr>
          <w:p w14:paraId="2700348A" w14:textId="77777777" w:rsidR="00C60FCD" w:rsidRPr="000F0299" w:rsidRDefault="00C60FCD" w:rsidP="00C60FCD">
            <w:pPr>
              <w:suppressAutoHyphens w:val="0"/>
              <w:autoSpaceDN/>
              <w:spacing w:before="0" w:after="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 xml:space="preserve">Национална академија за јавну управу, </w:t>
            </w:r>
          </w:p>
          <w:p w14:paraId="4DEC6707" w14:textId="5BECB5D1" w:rsidR="00C60FCD" w:rsidRPr="000F0299" w:rsidRDefault="00AE6044" w:rsidP="00AE6044">
            <w:pPr>
              <w:suppressAutoHyphens w:val="0"/>
              <w:autoSpaceDN/>
              <w:spacing w:before="50" w:after="50"/>
              <w:ind w:firstLine="0"/>
              <w:textAlignment w:val="auto"/>
              <w:rPr>
                <w:rFonts w:eastAsiaTheme="minorHAnsi"/>
                <w:color w:val="000000"/>
                <w:kern w:val="24"/>
                <w:sz w:val="20"/>
                <w:szCs w:val="20"/>
                <w:lang w:eastAsia="en-GB" w:bidi="ar-SA"/>
              </w:rPr>
            </w:pPr>
            <w:r>
              <w:rPr>
                <w:rFonts w:eastAsiaTheme="minorHAnsi"/>
                <w:color w:val="000000"/>
                <w:kern w:val="24"/>
                <w:sz w:val="20"/>
                <w:szCs w:val="20"/>
                <w:lang w:eastAsia="en-GB" w:bidi="ar-SA"/>
              </w:rPr>
              <w:t>Одељење за спровођење обука</w:t>
            </w:r>
          </w:p>
        </w:tc>
      </w:tr>
      <w:tr w:rsidR="00C60FCD" w:rsidRPr="000F0299" w14:paraId="7BF22921" w14:textId="77777777" w:rsidTr="00C60FCD">
        <w:tc>
          <w:tcPr>
            <w:tcW w:w="1882" w:type="dxa"/>
            <w:shd w:val="clear" w:color="auto" w:fill="auto"/>
          </w:tcPr>
          <w:p w14:paraId="0DCBDB99" w14:textId="77777777" w:rsidR="00C60FCD" w:rsidRPr="000F0299" w:rsidRDefault="00C60FCD"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7216" w:type="dxa"/>
            <w:gridSpan w:val="13"/>
            <w:shd w:val="clear" w:color="auto" w:fill="FFFFFF"/>
          </w:tcPr>
          <w:p w14:paraId="60B43215" w14:textId="77777777" w:rsidR="00C60FCD" w:rsidRPr="000F0299" w:rsidRDefault="00C60FCD" w:rsidP="00C60FCD">
            <w:pPr>
              <w:suppressAutoHyphens w:val="0"/>
              <w:autoSpaceDN/>
              <w:spacing w:before="50" w:after="5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C60FCD" w:rsidRPr="000F0299" w14:paraId="2DD855B9" w14:textId="77777777" w:rsidTr="00C60FCD">
        <w:tc>
          <w:tcPr>
            <w:tcW w:w="1882" w:type="dxa"/>
            <w:shd w:val="clear" w:color="auto" w:fill="auto"/>
          </w:tcPr>
          <w:p w14:paraId="1420C2E3" w14:textId="77777777" w:rsidR="00C60FCD" w:rsidRPr="000F0299" w:rsidRDefault="00C60FCD"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7216" w:type="dxa"/>
            <w:gridSpan w:val="13"/>
            <w:shd w:val="clear" w:color="auto" w:fill="auto"/>
          </w:tcPr>
          <w:p w14:paraId="47E14785" w14:textId="77777777" w:rsidR="00C60FCD" w:rsidRPr="000F0299" w:rsidRDefault="00C60FCD" w:rsidP="00C60FCD">
            <w:pPr>
              <w:suppressAutoHyphens w:val="0"/>
              <w:autoSpaceDN/>
              <w:spacing w:before="0" w:after="0"/>
              <w:ind w:firstLine="0"/>
              <w:textAlignment w:val="auto"/>
              <w:rPr>
                <w:rFonts w:eastAsiaTheme="minorHAnsi"/>
                <w:color w:val="000000"/>
                <w:kern w:val="24"/>
                <w:sz w:val="20"/>
                <w:szCs w:val="20"/>
                <w:lang w:eastAsia="en-GB" w:bidi="ar-SA"/>
              </w:rPr>
            </w:pPr>
            <w:r w:rsidRPr="000F0299">
              <w:rPr>
                <w:rFonts w:eastAsiaTheme="minorHAnsi"/>
                <w:kern w:val="0"/>
                <w:sz w:val="20"/>
                <w:szCs w:val="20"/>
                <w:lang w:eastAsia="en-GB" w:bidi="ar-SA"/>
              </w:rPr>
              <w:t>Вредност овог индикатора се рачуна на основу резултата вредновања програма обука. Узимају се у обзир програми обука који као облик реализације имају иновативне облике и методе усавршавања као што су: онлајн обуке, вебинари, гејмификација, коучинг, менторство и други. По</w:t>
            </w:r>
            <w:r w:rsidRPr="000F0299">
              <w:rPr>
                <w:rFonts w:eastAsiaTheme="minorHAnsi"/>
                <w:color w:val="000000"/>
                <w:kern w:val="24"/>
                <w:sz w:val="20"/>
                <w:szCs w:val="20"/>
                <w:lang w:eastAsia="en-GB" w:bidi="ar-SA"/>
              </w:rPr>
              <w:t xml:space="preserve"> завршетку обуке, полазници попуњавају евалуациони упитник путем којег, између осталог, процењују аспект обуке који се односи на то у којој  мери су испуњена њихова очекивања од обуке на тростепеној скали:</w:t>
            </w:r>
          </w:p>
          <w:p w14:paraId="288196FB" w14:textId="77777777" w:rsidR="00C60FCD" w:rsidRPr="000F0299" w:rsidRDefault="00C60FCD" w:rsidP="00E62A1A">
            <w:pPr>
              <w:numPr>
                <w:ilvl w:val="0"/>
                <w:numId w:val="19"/>
              </w:numPr>
              <w:suppressAutoHyphens w:val="0"/>
              <w:autoSpaceDN/>
              <w:spacing w:before="0" w:after="0" w:line="259" w:lineRule="auto"/>
              <w:ind w:left="416" w:hanging="302"/>
              <w:jc w:val="left"/>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У потпуности испуњена очекивања</w:t>
            </w:r>
          </w:p>
          <w:p w14:paraId="0E89D09C" w14:textId="77777777" w:rsidR="00C60FCD" w:rsidRPr="000F0299" w:rsidRDefault="00C60FCD" w:rsidP="00E62A1A">
            <w:pPr>
              <w:numPr>
                <w:ilvl w:val="0"/>
                <w:numId w:val="19"/>
              </w:numPr>
              <w:suppressAutoHyphens w:val="0"/>
              <w:autoSpaceDN/>
              <w:spacing w:before="0" w:after="0" w:line="259" w:lineRule="auto"/>
              <w:ind w:left="416" w:hanging="302"/>
              <w:jc w:val="left"/>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Делимично испуњена очекивања</w:t>
            </w:r>
          </w:p>
          <w:p w14:paraId="5814B7B4" w14:textId="77777777" w:rsidR="00C60FCD" w:rsidRPr="000F0299" w:rsidRDefault="00C60FCD" w:rsidP="00E62A1A">
            <w:pPr>
              <w:numPr>
                <w:ilvl w:val="0"/>
                <w:numId w:val="19"/>
              </w:numPr>
              <w:suppressAutoHyphens w:val="0"/>
              <w:autoSpaceDN/>
              <w:spacing w:before="0" w:after="0" w:line="259" w:lineRule="auto"/>
              <w:ind w:left="416" w:hanging="302"/>
              <w:jc w:val="left"/>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Нису остварена очекивања</w:t>
            </w:r>
          </w:p>
        </w:tc>
      </w:tr>
      <w:tr w:rsidR="00C60FCD" w:rsidRPr="000F0299" w14:paraId="171BD846" w14:textId="77777777" w:rsidTr="00C60FCD">
        <w:tc>
          <w:tcPr>
            <w:tcW w:w="1882" w:type="dxa"/>
            <w:vMerge w:val="restart"/>
            <w:shd w:val="clear" w:color="auto" w:fill="auto"/>
          </w:tcPr>
          <w:p w14:paraId="5F5D722C" w14:textId="77777777" w:rsidR="00C60FCD" w:rsidRPr="000F0299" w:rsidRDefault="00C60FCD" w:rsidP="00C60FCD">
            <w:pPr>
              <w:suppressAutoHyphens w:val="0"/>
              <w:autoSpaceDN/>
              <w:spacing w:before="50" w:after="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995" w:type="dxa"/>
            <w:gridSpan w:val="11"/>
            <w:shd w:val="clear" w:color="auto" w:fill="FFFFFF"/>
          </w:tcPr>
          <w:p w14:paraId="1EF1E544" w14:textId="77777777" w:rsidR="00C60FCD" w:rsidRPr="000F0299" w:rsidRDefault="00C60FCD" w:rsidP="00C60FCD">
            <w:pPr>
              <w:suppressAutoHyphens w:val="0"/>
              <w:autoSpaceDN/>
              <w:spacing w:before="0" w:after="0" w:line="259" w:lineRule="auto"/>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Тренд у прошлости</w:t>
            </w:r>
          </w:p>
        </w:tc>
        <w:tc>
          <w:tcPr>
            <w:tcW w:w="1221" w:type="dxa"/>
            <w:gridSpan w:val="2"/>
            <w:shd w:val="clear" w:color="auto" w:fill="FFFFFF"/>
          </w:tcPr>
          <w:p w14:paraId="191A0AC5" w14:textId="6DD21ADD" w:rsidR="00C60FCD" w:rsidRPr="000F0299" w:rsidRDefault="00C60FCD" w:rsidP="00C60FCD">
            <w:pPr>
              <w:suppressAutoHyphens w:val="0"/>
              <w:autoSpaceDN/>
              <w:spacing w:before="0" w:after="0" w:line="259" w:lineRule="auto"/>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Полазна вредност</w:t>
            </w:r>
          </w:p>
        </w:tc>
      </w:tr>
      <w:tr w:rsidR="00C60FCD" w:rsidRPr="000F0299" w14:paraId="563B969B" w14:textId="77777777" w:rsidTr="00C60FCD">
        <w:tc>
          <w:tcPr>
            <w:tcW w:w="1882" w:type="dxa"/>
            <w:vMerge/>
            <w:shd w:val="clear" w:color="auto" w:fill="auto"/>
            <w:vAlign w:val="center"/>
          </w:tcPr>
          <w:p w14:paraId="2244AB75" w14:textId="77777777" w:rsidR="00C60FCD" w:rsidRPr="000F0299" w:rsidRDefault="00C60FCD" w:rsidP="00C60FCD">
            <w:pPr>
              <w:suppressAutoHyphens w:val="0"/>
              <w:autoSpaceDN/>
              <w:spacing w:before="0" w:after="0" w:line="259" w:lineRule="auto"/>
              <w:ind w:firstLine="0"/>
              <w:textAlignment w:val="auto"/>
              <w:rPr>
                <w:rFonts w:eastAsiaTheme="minorHAnsi"/>
                <w:b/>
                <w:bCs/>
                <w:kern w:val="0"/>
                <w:sz w:val="20"/>
                <w:szCs w:val="20"/>
                <w:lang w:eastAsia="en-US" w:bidi="ar-SA"/>
              </w:rPr>
            </w:pPr>
          </w:p>
        </w:tc>
        <w:tc>
          <w:tcPr>
            <w:tcW w:w="2236" w:type="dxa"/>
            <w:gridSpan w:val="4"/>
            <w:shd w:val="clear" w:color="auto" w:fill="FFFFFF"/>
          </w:tcPr>
          <w:p w14:paraId="3F72598E" w14:textId="77777777" w:rsidR="00C60FCD" w:rsidRPr="000F0299" w:rsidRDefault="00C60FCD" w:rsidP="000430C7">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2016</w:t>
            </w:r>
          </w:p>
        </w:tc>
        <w:tc>
          <w:tcPr>
            <w:tcW w:w="1854" w:type="dxa"/>
            <w:gridSpan w:val="3"/>
            <w:shd w:val="clear" w:color="auto" w:fill="FFFFFF"/>
          </w:tcPr>
          <w:p w14:paraId="20E28351" w14:textId="77777777" w:rsidR="00C60FCD" w:rsidRPr="000F0299" w:rsidRDefault="00C60FCD" w:rsidP="000430C7">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2017</w:t>
            </w:r>
          </w:p>
        </w:tc>
        <w:tc>
          <w:tcPr>
            <w:tcW w:w="1905" w:type="dxa"/>
            <w:gridSpan w:val="4"/>
            <w:shd w:val="clear" w:color="auto" w:fill="FFFFFF"/>
          </w:tcPr>
          <w:p w14:paraId="2CD46F07" w14:textId="77777777" w:rsidR="00C60FCD" w:rsidRPr="000F0299" w:rsidRDefault="00C60FCD" w:rsidP="000430C7">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2018</w:t>
            </w:r>
          </w:p>
        </w:tc>
        <w:tc>
          <w:tcPr>
            <w:tcW w:w="1221" w:type="dxa"/>
            <w:gridSpan w:val="2"/>
            <w:shd w:val="clear" w:color="auto" w:fill="FFFFFF"/>
          </w:tcPr>
          <w:p w14:paraId="6CB426A6" w14:textId="77777777" w:rsidR="00C60FCD" w:rsidRPr="000F0299" w:rsidRDefault="00C60FCD" w:rsidP="000430C7">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2020</w:t>
            </w:r>
          </w:p>
        </w:tc>
      </w:tr>
      <w:tr w:rsidR="00C60FCD" w:rsidRPr="000F0299" w14:paraId="66688B6E" w14:textId="77777777" w:rsidTr="00C60FCD">
        <w:tc>
          <w:tcPr>
            <w:tcW w:w="1882" w:type="dxa"/>
            <w:vMerge/>
            <w:shd w:val="clear" w:color="auto" w:fill="auto"/>
            <w:vAlign w:val="center"/>
          </w:tcPr>
          <w:p w14:paraId="470D8C27" w14:textId="77777777" w:rsidR="00C60FCD" w:rsidRPr="000F0299" w:rsidRDefault="00C60FCD" w:rsidP="00C60FCD">
            <w:pPr>
              <w:suppressAutoHyphens w:val="0"/>
              <w:autoSpaceDN/>
              <w:spacing w:before="0" w:after="0" w:line="259" w:lineRule="auto"/>
              <w:ind w:firstLine="0"/>
              <w:textAlignment w:val="auto"/>
              <w:rPr>
                <w:rFonts w:eastAsiaTheme="minorHAnsi"/>
                <w:b/>
                <w:bCs/>
                <w:kern w:val="0"/>
                <w:sz w:val="20"/>
                <w:szCs w:val="20"/>
                <w:lang w:eastAsia="en-US" w:bidi="ar-SA"/>
              </w:rPr>
            </w:pPr>
          </w:p>
        </w:tc>
        <w:tc>
          <w:tcPr>
            <w:tcW w:w="2236" w:type="dxa"/>
            <w:gridSpan w:val="4"/>
            <w:shd w:val="clear" w:color="auto" w:fill="auto"/>
          </w:tcPr>
          <w:p w14:paraId="6DC697D2" w14:textId="77777777" w:rsidR="00C60FCD" w:rsidRPr="000F0299" w:rsidRDefault="00C60FCD" w:rsidP="000430C7">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854" w:type="dxa"/>
            <w:gridSpan w:val="3"/>
            <w:shd w:val="clear" w:color="auto" w:fill="auto"/>
          </w:tcPr>
          <w:p w14:paraId="76BB4374" w14:textId="77777777" w:rsidR="00C60FCD" w:rsidRPr="000F0299" w:rsidRDefault="00C60FCD" w:rsidP="000430C7">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05" w:type="dxa"/>
            <w:gridSpan w:val="4"/>
            <w:shd w:val="clear" w:color="auto" w:fill="auto"/>
          </w:tcPr>
          <w:p w14:paraId="0917B633" w14:textId="77777777" w:rsidR="00C60FCD" w:rsidRPr="000F0299" w:rsidRDefault="00C60FCD" w:rsidP="000430C7">
            <w:pPr>
              <w:suppressAutoHyphens w:val="0"/>
              <w:autoSpaceDN/>
              <w:spacing w:before="0" w:after="0"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н/а</w:t>
            </w:r>
          </w:p>
        </w:tc>
        <w:tc>
          <w:tcPr>
            <w:tcW w:w="1221" w:type="dxa"/>
            <w:gridSpan w:val="2"/>
            <w:shd w:val="clear" w:color="auto" w:fill="auto"/>
          </w:tcPr>
          <w:p w14:paraId="6DB57C25" w14:textId="77777777" w:rsidR="00C60FCD" w:rsidRPr="000F0299" w:rsidRDefault="00C60FCD" w:rsidP="000430C7">
            <w:pPr>
              <w:suppressAutoHyphens w:val="0"/>
              <w:autoSpaceDN/>
              <w:spacing w:before="0" w:after="0"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r>
      <w:tr w:rsidR="00C60FCD" w:rsidRPr="000F0299" w14:paraId="4B04F4E9" w14:textId="77777777" w:rsidTr="00C214E4">
        <w:tc>
          <w:tcPr>
            <w:tcW w:w="1882" w:type="dxa"/>
            <w:vMerge w:val="restart"/>
            <w:shd w:val="clear" w:color="auto" w:fill="auto"/>
          </w:tcPr>
          <w:p w14:paraId="53B9DBB1" w14:textId="77777777" w:rsidR="00C60FCD" w:rsidRPr="000F0299" w:rsidRDefault="00C60FCD" w:rsidP="00C60FCD">
            <w:pPr>
              <w:suppressAutoHyphens w:val="0"/>
              <w:autoSpaceDN/>
              <w:spacing w:before="0" w:after="0"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807" w:type="dxa"/>
            <w:shd w:val="clear" w:color="auto" w:fill="auto"/>
            <w:vAlign w:val="center"/>
          </w:tcPr>
          <w:p w14:paraId="1C2E0240" w14:textId="77777777" w:rsidR="00C60FCD" w:rsidRPr="000F0299" w:rsidRDefault="00C60FCD" w:rsidP="000430C7">
            <w:pPr>
              <w:suppressAutoHyphens w:val="0"/>
              <w:autoSpaceDN/>
              <w:spacing w:before="50" w:after="5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2021</w:t>
            </w:r>
          </w:p>
        </w:tc>
        <w:tc>
          <w:tcPr>
            <w:tcW w:w="708" w:type="dxa"/>
            <w:shd w:val="clear" w:color="auto" w:fill="auto"/>
            <w:vAlign w:val="center"/>
          </w:tcPr>
          <w:p w14:paraId="2C1908C6" w14:textId="77777777" w:rsidR="00C60FCD" w:rsidRPr="000F0299" w:rsidRDefault="00C60FCD" w:rsidP="000430C7">
            <w:pPr>
              <w:suppressAutoHyphens w:val="0"/>
              <w:autoSpaceDN/>
              <w:spacing w:before="50" w:after="5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2022</w:t>
            </w:r>
          </w:p>
        </w:tc>
        <w:tc>
          <w:tcPr>
            <w:tcW w:w="649" w:type="dxa"/>
            <w:shd w:val="clear" w:color="auto" w:fill="auto"/>
            <w:vAlign w:val="center"/>
          </w:tcPr>
          <w:p w14:paraId="57725E42" w14:textId="77777777" w:rsidR="00C60FCD" w:rsidRPr="000F0299" w:rsidRDefault="00C60FCD" w:rsidP="000430C7">
            <w:pPr>
              <w:suppressAutoHyphens w:val="0"/>
              <w:autoSpaceDN/>
              <w:spacing w:before="50" w:after="5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2023</w:t>
            </w:r>
          </w:p>
        </w:tc>
        <w:tc>
          <w:tcPr>
            <w:tcW w:w="722" w:type="dxa"/>
            <w:gridSpan w:val="2"/>
            <w:shd w:val="clear" w:color="auto" w:fill="auto"/>
            <w:vAlign w:val="center"/>
          </w:tcPr>
          <w:p w14:paraId="5996EB02" w14:textId="77777777" w:rsidR="00C60FCD" w:rsidRPr="000F0299" w:rsidRDefault="00C60FCD" w:rsidP="000430C7">
            <w:pPr>
              <w:suppressAutoHyphens w:val="0"/>
              <w:autoSpaceDN/>
              <w:spacing w:before="50" w:after="5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2024</w:t>
            </w:r>
          </w:p>
        </w:tc>
        <w:tc>
          <w:tcPr>
            <w:tcW w:w="722" w:type="dxa"/>
            <w:shd w:val="clear" w:color="auto" w:fill="auto"/>
            <w:vAlign w:val="center"/>
          </w:tcPr>
          <w:p w14:paraId="0DC28E30" w14:textId="77777777" w:rsidR="00C60FCD" w:rsidRPr="000F0299" w:rsidRDefault="00C60FCD" w:rsidP="000430C7">
            <w:pPr>
              <w:suppressAutoHyphens w:val="0"/>
              <w:autoSpaceDN/>
              <w:spacing w:before="50" w:after="5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2025</w:t>
            </w:r>
          </w:p>
        </w:tc>
        <w:tc>
          <w:tcPr>
            <w:tcW w:w="721" w:type="dxa"/>
            <w:gridSpan w:val="2"/>
            <w:shd w:val="clear" w:color="auto" w:fill="auto"/>
            <w:vAlign w:val="center"/>
          </w:tcPr>
          <w:p w14:paraId="7BD56E79" w14:textId="77777777" w:rsidR="00C60FCD" w:rsidRPr="000F0299" w:rsidRDefault="00C60FCD" w:rsidP="000430C7">
            <w:pPr>
              <w:suppressAutoHyphens w:val="0"/>
              <w:autoSpaceDN/>
              <w:spacing w:before="50" w:after="5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2026</w:t>
            </w:r>
          </w:p>
        </w:tc>
        <w:tc>
          <w:tcPr>
            <w:tcW w:w="722" w:type="dxa"/>
            <w:shd w:val="clear" w:color="auto" w:fill="auto"/>
            <w:vAlign w:val="center"/>
          </w:tcPr>
          <w:p w14:paraId="45FC0A26" w14:textId="77777777" w:rsidR="00C60FCD" w:rsidRPr="000F0299" w:rsidRDefault="00C60FCD" w:rsidP="000430C7">
            <w:pPr>
              <w:suppressAutoHyphens w:val="0"/>
              <w:autoSpaceDN/>
              <w:spacing w:before="50" w:after="5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2027</w:t>
            </w:r>
          </w:p>
        </w:tc>
        <w:tc>
          <w:tcPr>
            <w:tcW w:w="721" w:type="dxa"/>
            <w:shd w:val="clear" w:color="auto" w:fill="auto"/>
            <w:vAlign w:val="center"/>
          </w:tcPr>
          <w:p w14:paraId="711E26BF" w14:textId="77777777" w:rsidR="00C60FCD" w:rsidRPr="000F0299" w:rsidRDefault="00C60FCD" w:rsidP="000430C7">
            <w:pPr>
              <w:suppressAutoHyphens w:val="0"/>
              <w:autoSpaceDN/>
              <w:spacing w:before="50" w:after="5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2028</w:t>
            </w:r>
          </w:p>
        </w:tc>
        <w:tc>
          <w:tcPr>
            <w:tcW w:w="722" w:type="dxa"/>
            <w:gridSpan w:val="2"/>
            <w:shd w:val="clear" w:color="auto" w:fill="auto"/>
            <w:vAlign w:val="center"/>
          </w:tcPr>
          <w:p w14:paraId="2CC17083" w14:textId="77777777" w:rsidR="00C60FCD" w:rsidRPr="000F0299" w:rsidRDefault="00C60FCD" w:rsidP="000430C7">
            <w:pPr>
              <w:suppressAutoHyphens w:val="0"/>
              <w:autoSpaceDN/>
              <w:spacing w:before="50" w:after="5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2029</w:t>
            </w:r>
          </w:p>
        </w:tc>
        <w:tc>
          <w:tcPr>
            <w:tcW w:w="722" w:type="dxa"/>
            <w:shd w:val="clear" w:color="auto" w:fill="auto"/>
            <w:vAlign w:val="center"/>
          </w:tcPr>
          <w:p w14:paraId="140626A3" w14:textId="77777777" w:rsidR="00C60FCD" w:rsidRPr="000F0299" w:rsidRDefault="00C60FCD" w:rsidP="000430C7">
            <w:pPr>
              <w:suppressAutoHyphens w:val="0"/>
              <w:autoSpaceDN/>
              <w:spacing w:before="50" w:after="5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2030</w:t>
            </w:r>
          </w:p>
        </w:tc>
      </w:tr>
      <w:tr w:rsidR="006D3202" w:rsidRPr="000F0299" w14:paraId="4C8A7C6F" w14:textId="77777777" w:rsidTr="00C214E4">
        <w:tc>
          <w:tcPr>
            <w:tcW w:w="1882" w:type="dxa"/>
            <w:vMerge/>
            <w:shd w:val="clear" w:color="auto" w:fill="auto"/>
          </w:tcPr>
          <w:p w14:paraId="1834633E" w14:textId="77777777" w:rsidR="006D3202" w:rsidRPr="000F0299" w:rsidRDefault="006D3202" w:rsidP="006D3202">
            <w:pPr>
              <w:suppressAutoHyphens w:val="0"/>
              <w:autoSpaceDN/>
              <w:spacing w:before="0" w:after="0" w:line="259" w:lineRule="auto"/>
              <w:ind w:firstLine="0"/>
              <w:textAlignment w:val="auto"/>
              <w:rPr>
                <w:rFonts w:eastAsiaTheme="minorHAnsi"/>
                <w:b/>
                <w:bCs/>
                <w:kern w:val="0"/>
                <w:sz w:val="20"/>
                <w:szCs w:val="20"/>
                <w:lang w:eastAsia="en-US" w:bidi="ar-SA"/>
              </w:rPr>
            </w:pPr>
          </w:p>
        </w:tc>
        <w:tc>
          <w:tcPr>
            <w:tcW w:w="807" w:type="dxa"/>
            <w:shd w:val="clear" w:color="auto" w:fill="auto"/>
          </w:tcPr>
          <w:p w14:paraId="2CCFF7C6" w14:textId="2AF5A046" w:rsidR="006D3202" w:rsidRPr="006D3202" w:rsidRDefault="006D3202" w:rsidP="009C5F38">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6D3202">
              <w:rPr>
                <w:rFonts w:eastAsiaTheme="minorHAnsi"/>
                <w:color w:val="000000"/>
                <w:kern w:val="0"/>
                <w:sz w:val="20"/>
                <w:szCs w:val="20"/>
                <w:lang w:eastAsia="en-US" w:bidi="ar-SA"/>
              </w:rPr>
              <w:t xml:space="preserve">70% </w:t>
            </w:r>
            <w:r w:rsidR="009C5F38" w:rsidRPr="00C214E4">
              <w:rPr>
                <w:rStyle w:val="FootnoteReference"/>
                <w:rFonts w:eastAsiaTheme="minorHAnsi"/>
                <w:color w:val="000000"/>
                <w:kern w:val="0"/>
                <w:sz w:val="16"/>
                <w:szCs w:val="16"/>
                <w:lang w:eastAsia="en-US" w:bidi="ar-SA"/>
              </w:rPr>
              <w:footnoteReference w:id="360"/>
            </w:r>
          </w:p>
        </w:tc>
        <w:tc>
          <w:tcPr>
            <w:tcW w:w="708" w:type="dxa"/>
            <w:shd w:val="clear" w:color="auto" w:fill="auto"/>
          </w:tcPr>
          <w:p w14:paraId="41612DE3" w14:textId="48BE54E4" w:rsidR="006D3202" w:rsidRPr="006D3202" w:rsidRDefault="006D3202" w:rsidP="006D3202">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6D3202">
              <w:rPr>
                <w:sz w:val="20"/>
                <w:szCs w:val="20"/>
              </w:rPr>
              <w:t>70%</w:t>
            </w:r>
          </w:p>
        </w:tc>
        <w:tc>
          <w:tcPr>
            <w:tcW w:w="649" w:type="dxa"/>
            <w:shd w:val="clear" w:color="auto" w:fill="auto"/>
          </w:tcPr>
          <w:p w14:paraId="482A37D4" w14:textId="41FF2889" w:rsidR="006D3202" w:rsidRPr="006D3202" w:rsidRDefault="006D3202" w:rsidP="006D3202">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6D3202">
              <w:rPr>
                <w:sz w:val="20"/>
                <w:szCs w:val="20"/>
              </w:rPr>
              <w:t>75%</w:t>
            </w:r>
          </w:p>
        </w:tc>
        <w:tc>
          <w:tcPr>
            <w:tcW w:w="722" w:type="dxa"/>
            <w:gridSpan w:val="2"/>
            <w:shd w:val="clear" w:color="auto" w:fill="auto"/>
          </w:tcPr>
          <w:p w14:paraId="16AC9C1B" w14:textId="75E1C7D2" w:rsidR="006D3202" w:rsidRPr="006D3202" w:rsidRDefault="006D3202" w:rsidP="006D3202">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6D3202">
              <w:rPr>
                <w:sz w:val="20"/>
                <w:szCs w:val="20"/>
              </w:rPr>
              <w:t>75%</w:t>
            </w:r>
          </w:p>
        </w:tc>
        <w:tc>
          <w:tcPr>
            <w:tcW w:w="722" w:type="dxa"/>
            <w:shd w:val="clear" w:color="auto" w:fill="auto"/>
          </w:tcPr>
          <w:p w14:paraId="76ED7459" w14:textId="4BDD03CB" w:rsidR="006D3202" w:rsidRPr="006D3202" w:rsidRDefault="006D3202" w:rsidP="006D3202">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6D3202">
              <w:rPr>
                <w:sz w:val="20"/>
                <w:szCs w:val="20"/>
              </w:rPr>
              <w:t>80%</w:t>
            </w:r>
          </w:p>
        </w:tc>
        <w:tc>
          <w:tcPr>
            <w:tcW w:w="721" w:type="dxa"/>
            <w:gridSpan w:val="2"/>
            <w:shd w:val="clear" w:color="auto" w:fill="auto"/>
          </w:tcPr>
          <w:p w14:paraId="0E95718C" w14:textId="6236115D" w:rsidR="006D3202" w:rsidRPr="006D3202" w:rsidRDefault="006D3202" w:rsidP="006D3202">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6D3202">
              <w:rPr>
                <w:sz w:val="20"/>
                <w:szCs w:val="20"/>
              </w:rPr>
              <w:t>80%</w:t>
            </w:r>
          </w:p>
        </w:tc>
        <w:tc>
          <w:tcPr>
            <w:tcW w:w="722" w:type="dxa"/>
            <w:shd w:val="clear" w:color="auto" w:fill="auto"/>
          </w:tcPr>
          <w:p w14:paraId="1631BB0A" w14:textId="281CF71A" w:rsidR="006D3202" w:rsidRPr="006D3202" w:rsidRDefault="006D3202" w:rsidP="006D3202">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6D3202">
              <w:rPr>
                <w:sz w:val="20"/>
                <w:szCs w:val="20"/>
              </w:rPr>
              <w:t>80%</w:t>
            </w:r>
          </w:p>
        </w:tc>
        <w:tc>
          <w:tcPr>
            <w:tcW w:w="721" w:type="dxa"/>
            <w:shd w:val="clear" w:color="auto" w:fill="auto"/>
          </w:tcPr>
          <w:p w14:paraId="0CE1246F" w14:textId="15EDDC36" w:rsidR="006D3202" w:rsidRPr="006D3202" w:rsidRDefault="006D3202" w:rsidP="006D3202">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6D3202">
              <w:rPr>
                <w:sz w:val="20"/>
                <w:szCs w:val="20"/>
              </w:rPr>
              <w:t>80%</w:t>
            </w:r>
          </w:p>
        </w:tc>
        <w:tc>
          <w:tcPr>
            <w:tcW w:w="722" w:type="dxa"/>
            <w:gridSpan w:val="2"/>
            <w:shd w:val="clear" w:color="auto" w:fill="auto"/>
          </w:tcPr>
          <w:p w14:paraId="343F79D6" w14:textId="02A83A75" w:rsidR="006D3202" w:rsidRPr="006D3202" w:rsidRDefault="006D3202" w:rsidP="006D3202">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6D3202">
              <w:rPr>
                <w:sz w:val="20"/>
                <w:szCs w:val="20"/>
              </w:rPr>
              <w:t>80%</w:t>
            </w:r>
          </w:p>
        </w:tc>
        <w:tc>
          <w:tcPr>
            <w:tcW w:w="722" w:type="dxa"/>
            <w:shd w:val="clear" w:color="auto" w:fill="auto"/>
          </w:tcPr>
          <w:p w14:paraId="0231D379" w14:textId="02B49265" w:rsidR="006D3202" w:rsidRPr="006D3202" w:rsidRDefault="006D3202" w:rsidP="006D3202">
            <w:pPr>
              <w:suppressAutoHyphens w:val="0"/>
              <w:autoSpaceDN/>
              <w:spacing w:before="0" w:after="0" w:line="259" w:lineRule="auto"/>
              <w:ind w:firstLine="0"/>
              <w:jc w:val="center"/>
              <w:textAlignment w:val="auto"/>
              <w:rPr>
                <w:rFonts w:eastAsiaTheme="minorHAnsi"/>
                <w:color w:val="000000"/>
                <w:kern w:val="0"/>
                <w:sz w:val="20"/>
                <w:szCs w:val="20"/>
                <w:lang w:eastAsia="en-US" w:bidi="ar-SA"/>
              </w:rPr>
            </w:pPr>
            <w:r w:rsidRPr="006D3202">
              <w:rPr>
                <w:sz w:val="20"/>
                <w:szCs w:val="20"/>
              </w:rPr>
              <w:t>80%</w:t>
            </w:r>
          </w:p>
        </w:tc>
      </w:tr>
      <w:tr w:rsidR="00C60FCD" w:rsidRPr="000F0299" w14:paraId="4D07DA11" w14:textId="77777777" w:rsidTr="00C60FCD">
        <w:tc>
          <w:tcPr>
            <w:tcW w:w="1882" w:type="dxa"/>
            <w:shd w:val="clear" w:color="auto" w:fill="auto"/>
          </w:tcPr>
          <w:p w14:paraId="77D47FFF" w14:textId="77777777" w:rsidR="00C60FCD" w:rsidRPr="000F0299" w:rsidRDefault="00C60FCD" w:rsidP="00C60FCD">
            <w:pPr>
              <w:suppressAutoHyphens w:val="0"/>
              <w:autoSpaceDN/>
              <w:spacing w:before="50" w:after="5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7216" w:type="dxa"/>
            <w:gridSpan w:val="13"/>
            <w:shd w:val="clear" w:color="auto" w:fill="auto"/>
            <w:vAlign w:val="center"/>
          </w:tcPr>
          <w:p w14:paraId="2E3F4A08" w14:textId="77777777" w:rsidR="00C60FCD" w:rsidRPr="000F0299" w:rsidRDefault="00C60FCD" w:rsidP="00C60FCD">
            <w:pPr>
              <w:suppressAutoHyphens w:val="0"/>
              <w:autoSpaceDN/>
              <w:spacing w:before="50" w:after="5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Без одступања</w:t>
            </w:r>
          </w:p>
        </w:tc>
      </w:tr>
    </w:tbl>
    <w:p w14:paraId="064F5DB6" w14:textId="38C00990" w:rsidR="00487FD1" w:rsidRPr="000F0299" w:rsidRDefault="00487FD1" w:rsidP="00BE55B6">
      <w:pPr>
        <w:ind w:firstLine="0"/>
        <w:rPr>
          <w:b/>
          <w:bCs/>
          <w:color w:val="2F5496" w:themeColor="accent1" w:themeShade="BF"/>
        </w:rPr>
      </w:pPr>
    </w:p>
    <w:p w14:paraId="3A3BA9C9" w14:textId="77777777" w:rsidR="00487FD1" w:rsidRPr="000F0299" w:rsidRDefault="00487FD1">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23E8DA05" w14:textId="3E7414D1" w:rsidR="00C60FCD" w:rsidRPr="000F0299" w:rsidRDefault="00C013C7" w:rsidP="00BE55B6">
      <w:pPr>
        <w:ind w:firstLine="0"/>
        <w:rPr>
          <w:b/>
          <w:bCs/>
          <w:color w:val="2F5496" w:themeColor="accent1" w:themeShade="BF"/>
        </w:rPr>
      </w:pPr>
      <w:r w:rsidRPr="000F0299">
        <w:rPr>
          <w:b/>
          <w:bCs/>
          <w:color w:val="2F5496" w:themeColor="accent1" w:themeShade="BF"/>
        </w:rPr>
        <w:t>Показатељ</w:t>
      </w:r>
      <w:r w:rsidR="00C60FCD" w:rsidRPr="000F0299">
        <w:rPr>
          <w:b/>
          <w:bCs/>
          <w:color w:val="2F5496" w:themeColor="accent1" w:themeShade="BF"/>
        </w:rPr>
        <w:t xml:space="preserve"> 4</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728"/>
        <w:gridCol w:w="728"/>
        <w:gridCol w:w="357"/>
        <w:gridCol w:w="371"/>
        <w:gridCol w:w="728"/>
        <w:gridCol w:w="728"/>
        <w:gridCol w:w="222"/>
        <w:gridCol w:w="506"/>
        <w:gridCol w:w="728"/>
        <w:gridCol w:w="728"/>
        <w:gridCol w:w="135"/>
        <w:gridCol w:w="593"/>
        <w:gridCol w:w="729"/>
      </w:tblGrid>
      <w:tr w:rsidR="00C60FCD" w:rsidRPr="000F0299" w14:paraId="379A1DA7" w14:textId="77777777" w:rsidTr="00C013C7">
        <w:tc>
          <w:tcPr>
            <w:tcW w:w="1817" w:type="dxa"/>
            <w:shd w:val="clear" w:color="auto" w:fill="BFBFBF" w:themeFill="background1" w:themeFillShade="BF"/>
            <w:vAlign w:val="center"/>
          </w:tcPr>
          <w:p w14:paraId="3700A55E" w14:textId="77777777" w:rsidR="00C60FCD" w:rsidRPr="000F0299" w:rsidRDefault="00C60FCD" w:rsidP="000430C7">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показатеља</w:t>
            </w:r>
          </w:p>
        </w:tc>
        <w:tc>
          <w:tcPr>
            <w:tcW w:w="7281" w:type="dxa"/>
            <w:gridSpan w:val="13"/>
            <w:shd w:val="clear" w:color="auto" w:fill="BFBFBF" w:themeFill="background1" w:themeFillShade="BF"/>
            <w:vAlign w:val="center"/>
          </w:tcPr>
          <w:p w14:paraId="2ED4DFCA" w14:textId="77777777" w:rsidR="00C60FCD" w:rsidRPr="000F0299" w:rsidRDefault="00C60FCD" w:rsidP="000430C7">
            <w:pPr>
              <w:suppressAutoHyphens w:val="0"/>
              <w:autoSpaceDN/>
              <w:spacing w:before="0"/>
              <w:ind w:firstLine="0"/>
              <w:jc w:val="left"/>
              <w:textAlignment w:val="auto"/>
              <w:rPr>
                <w:rFonts w:eastAsiaTheme="minorHAnsi"/>
                <w:b/>
                <w:bCs/>
                <w:color w:val="000000"/>
                <w:kern w:val="0"/>
                <w:sz w:val="20"/>
                <w:szCs w:val="20"/>
                <w:lang w:eastAsia="en-US" w:bidi="ar-SA"/>
              </w:rPr>
            </w:pPr>
            <w:r w:rsidRPr="000F0299">
              <w:rPr>
                <w:rFonts w:eastAsiaTheme="minorHAnsi"/>
                <w:b/>
                <w:bCs/>
                <w:color w:val="000000"/>
                <w:kern w:val="0"/>
                <w:sz w:val="20"/>
                <w:szCs w:val="20"/>
                <w:lang w:eastAsia="en-US" w:bidi="ar-SA"/>
              </w:rPr>
              <w:t>Квалитет нових прописа који уређују област стручног усавршавања</w:t>
            </w:r>
          </w:p>
        </w:tc>
      </w:tr>
      <w:tr w:rsidR="00C60FCD" w:rsidRPr="000F0299" w14:paraId="6EB85258" w14:textId="77777777" w:rsidTr="00C60FCD">
        <w:tc>
          <w:tcPr>
            <w:tcW w:w="1817" w:type="dxa"/>
            <w:shd w:val="clear" w:color="auto" w:fill="auto"/>
          </w:tcPr>
          <w:p w14:paraId="2E705E45"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7281" w:type="dxa"/>
            <w:gridSpan w:val="13"/>
            <w:shd w:val="clear" w:color="auto" w:fill="FFFFFF"/>
          </w:tcPr>
          <w:p w14:paraId="27DD454D" w14:textId="6843CC8F" w:rsidR="00C60FCD" w:rsidRPr="000F0299" w:rsidRDefault="00864D50" w:rsidP="000430C7">
            <w:pPr>
              <w:suppressAutoHyphens w:val="0"/>
              <w:autoSpaceDN/>
              <w:spacing w:before="0"/>
              <w:ind w:firstLine="0"/>
              <w:textAlignment w:val="auto"/>
              <w:rPr>
                <w:rFonts w:eastAsiaTheme="minorHAnsi"/>
                <w:color w:val="000000"/>
                <w:kern w:val="24"/>
                <w:sz w:val="20"/>
                <w:szCs w:val="20"/>
                <w:lang w:eastAsia="en-US" w:bidi="ar-SA"/>
              </w:rPr>
            </w:pPr>
            <w:r w:rsidRPr="000F0299">
              <w:rPr>
                <w:rFonts w:eastAsiaTheme="minorHAnsi"/>
                <w:b/>
                <w:bCs/>
                <w:color w:val="000000"/>
                <w:kern w:val="24"/>
                <w:sz w:val="20"/>
                <w:szCs w:val="20"/>
                <w:lang w:eastAsia="en-US" w:bidi="ar-SA"/>
              </w:rPr>
              <w:t>Meрa</w:t>
            </w:r>
            <w:r w:rsidR="00C60FCD" w:rsidRPr="000F0299">
              <w:rPr>
                <w:rFonts w:eastAsiaTheme="minorHAnsi"/>
                <w:b/>
                <w:bCs/>
                <w:color w:val="000000"/>
                <w:kern w:val="24"/>
                <w:sz w:val="20"/>
                <w:szCs w:val="20"/>
                <w:lang w:eastAsia="en-US" w:bidi="ar-SA"/>
              </w:rPr>
              <w:t xml:space="preserve"> 2.2.3:</w:t>
            </w:r>
            <w:r w:rsidR="00C60FCD" w:rsidRPr="000F0299">
              <w:rPr>
                <w:rFonts w:eastAsiaTheme="minorHAnsi"/>
                <w:color w:val="000000"/>
                <w:kern w:val="24"/>
                <w:sz w:val="20"/>
                <w:szCs w:val="20"/>
                <w:lang w:eastAsia="en-US" w:bidi="ar-SA"/>
              </w:rPr>
              <w:t xml:space="preserve"> Унапређење нормативног оквира који уређује област стручног усавршавања у јавној управи</w:t>
            </w:r>
          </w:p>
        </w:tc>
      </w:tr>
      <w:tr w:rsidR="000430C7" w:rsidRPr="000F0299" w14:paraId="3175328E" w14:textId="77777777" w:rsidTr="00C45368">
        <w:tc>
          <w:tcPr>
            <w:tcW w:w="1817" w:type="dxa"/>
            <w:shd w:val="clear" w:color="auto" w:fill="auto"/>
          </w:tcPr>
          <w:p w14:paraId="303BDCBA" w14:textId="77777777" w:rsidR="000430C7" w:rsidRPr="000F0299" w:rsidRDefault="000430C7"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640" w:type="dxa"/>
            <w:gridSpan w:val="6"/>
            <w:shd w:val="clear" w:color="auto" w:fill="FFFFFF"/>
          </w:tcPr>
          <w:p w14:paraId="0AD724F4" w14:textId="7D74B194" w:rsidR="000430C7" w:rsidRPr="000F0299" w:rsidRDefault="000430C7"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 xml:space="preserve">Квалитативни показатељ </w:t>
            </w:r>
          </w:p>
        </w:tc>
        <w:tc>
          <w:tcPr>
            <w:tcW w:w="3641" w:type="dxa"/>
            <w:gridSpan w:val="7"/>
            <w:shd w:val="clear" w:color="auto" w:fill="FFFFFF"/>
          </w:tcPr>
          <w:p w14:paraId="355FA622" w14:textId="2513B77F" w:rsidR="000430C7" w:rsidRPr="000F0299" w:rsidRDefault="000430C7"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 нивоу излазног резултата</w:t>
            </w:r>
          </w:p>
        </w:tc>
      </w:tr>
      <w:tr w:rsidR="000430C7" w:rsidRPr="000F0299" w14:paraId="49ED3749" w14:textId="77777777" w:rsidTr="00C45368">
        <w:tc>
          <w:tcPr>
            <w:tcW w:w="1817" w:type="dxa"/>
            <w:shd w:val="clear" w:color="auto" w:fill="auto"/>
          </w:tcPr>
          <w:p w14:paraId="78214102" w14:textId="77777777" w:rsidR="000430C7" w:rsidRPr="000F0299" w:rsidRDefault="000430C7"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640" w:type="dxa"/>
            <w:gridSpan w:val="6"/>
            <w:shd w:val="clear" w:color="auto" w:fill="FFFFFF"/>
          </w:tcPr>
          <w:p w14:paraId="54FD2A03" w14:textId="0D5423D3" w:rsidR="000430C7" w:rsidRPr="000F0299" w:rsidRDefault="000430C7"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Процентуални на скали од 0-100%</w:t>
            </w:r>
          </w:p>
        </w:tc>
        <w:tc>
          <w:tcPr>
            <w:tcW w:w="3641" w:type="dxa"/>
            <w:gridSpan w:val="7"/>
            <w:shd w:val="clear" w:color="auto" w:fill="FFFFFF"/>
          </w:tcPr>
          <w:p w14:paraId="2E2B306B" w14:textId="29DE3F22" w:rsidR="000430C7" w:rsidRPr="000F0299" w:rsidRDefault="000430C7"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Повећана вредност показатеља пожељна</w:t>
            </w:r>
          </w:p>
        </w:tc>
      </w:tr>
      <w:tr w:rsidR="00C60FCD" w:rsidRPr="000F0299" w14:paraId="4017437D" w14:textId="77777777" w:rsidTr="00C60FCD">
        <w:tc>
          <w:tcPr>
            <w:tcW w:w="1817" w:type="dxa"/>
            <w:shd w:val="clear" w:color="auto" w:fill="auto"/>
          </w:tcPr>
          <w:p w14:paraId="2C6ED120"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7281" w:type="dxa"/>
            <w:gridSpan w:val="13"/>
            <w:shd w:val="clear" w:color="auto" w:fill="FFFFFF"/>
          </w:tcPr>
          <w:p w14:paraId="325977CA"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Подаци ће бити прикупљани  на националном нивоу.</w:t>
            </w:r>
          </w:p>
          <w:p w14:paraId="024F87BE" w14:textId="4DA47257"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Извори:</w:t>
            </w:r>
            <w:r w:rsidR="000430C7" w:rsidRPr="000F0299">
              <w:rPr>
                <w:rFonts w:eastAsiaTheme="minorHAnsi"/>
                <w:color w:val="000000"/>
                <w:kern w:val="24"/>
                <w:sz w:val="20"/>
                <w:szCs w:val="20"/>
                <w:lang w:eastAsia="en-GB" w:bidi="ar-SA"/>
              </w:rPr>
              <w:t xml:space="preserve"> </w:t>
            </w:r>
            <w:r w:rsidRPr="000F0299">
              <w:rPr>
                <w:rFonts w:eastAsiaTheme="minorHAnsi"/>
                <w:color w:val="000000"/>
                <w:kern w:val="0"/>
                <w:sz w:val="20"/>
                <w:szCs w:val="20"/>
                <w:lang w:eastAsia="en-GB" w:bidi="ar-SA"/>
              </w:rPr>
              <w:t xml:space="preserve">Извештаји  о раду МДУЛС и НАЈУ </w:t>
            </w:r>
          </w:p>
        </w:tc>
      </w:tr>
      <w:tr w:rsidR="00C60FCD" w:rsidRPr="000F0299" w14:paraId="5D94B5AB" w14:textId="77777777" w:rsidTr="00C60FCD">
        <w:tc>
          <w:tcPr>
            <w:tcW w:w="1817" w:type="dxa"/>
            <w:shd w:val="clear" w:color="auto" w:fill="auto"/>
          </w:tcPr>
          <w:p w14:paraId="5784E67B"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носиоца прикупљања података</w:t>
            </w:r>
          </w:p>
        </w:tc>
        <w:tc>
          <w:tcPr>
            <w:tcW w:w="7281" w:type="dxa"/>
            <w:gridSpan w:val="13"/>
            <w:shd w:val="clear" w:color="auto" w:fill="FFFFFF"/>
          </w:tcPr>
          <w:p w14:paraId="0BA1E9D8" w14:textId="2BA4A468" w:rsidR="00C60FCD" w:rsidRPr="000F0299" w:rsidRDefault="00AE6044" w:rsidP="009C5F38">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 xml:space="preserve">Министарство државне управе и локалне самоуправе, </w:t>
            </w:r>
            <w:r>
              <w:rPr>
                <w:rFonts w:eastAsiaTheme="minorHAnsi"/>
                <w:color w:val="000000"/>
                <w:kern w:val="24"/>
                <w:sz w:val="20"/>
                <w:szCs w:val="20"/>
                <w:lang w:eastAsia="en-GB" w:bidi="ar-SA"/>
              </w:rPr>
              <w:t>Сектор за стручно усавршавање</w:t>
            </w:r>
          </w:p>
        </w:tc>
      </w:tr>
      <w:tr w:rsidR="00C60FCD" w:rsidRPr="000F0299" w14:paraId="42668AE1" w14:textId="77777777" w:rsidTr="00C60FCD">
        <w:tc>
          <w:tcPr>
            <w:tcW w:w="1817" w:type="dxa"/>
            <w:shd w:val="clear" w:color="auto" w:fill="auto"/>
          </w:tcPr>
          <w:p w14:paraId="2D0A55C9"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7281" w:type="dxa"/>
            <w:gridSpan w:val="13"/>
            <w:shd w:val="clear" w:color="auto" w:fill="FFFFFF"/>
          </w:tcPr>
          <w:p w14:paraId="0089D2BF" w14:textId="77777777"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C60FCD" w:rsidRPr="000F0299" w14:paraId="12A86A95" w14:textId="77777777" w:rsidTr="00C60FCD">
        <w:tc>
          <w:tcPr>
            <w:tcW w:w="1817" w:type="dxa"/>
            <w:shd w:val="clear" w:color="auto" w:fill="auto"/>
          </w:tcPr>
          <w:p w14:paraId="72EABAFE"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7281" w:type="dxa"/>
            <w:gridSpan w:val="13"/>
            <w:shd w:val="clear" w:color="auto" w:fill="FFFFFF"/>
          </w:tcPr>
          <w:p w14:paraId="4B5CB6FB" w14:textId="77777777" w:rsidR="006D3202" w:rsidRPr="006D3202" w:rsidRDefault="006D3202" w:rsidP="006D3202">
            <w:pPr>
              <w:suppressAutoHyphens w:val="0"/>
              <w:autoSpaceDN/>
              <w:spacing w:before="0"/>
              <w:ind w:firstLine="0"/>
              <w:textAlignment w:val="auto"/>
              <w:rPr>
                <w:rFonts w:eastAsiaTheme="minorHAnsi"/>
                <w:color w:val="000000"/>
                <w:kern w:val="24"/>
                <w:sz w:val="20"/>
                <w:szCs w:val="20"/>
                <w:lang w:eastAsia="en-GB" w:bidi="ar-SA"/>
              </w:rPr>
            </w:pPr>
            <w:r w:rsidRPr="006D3202">
              <w:rPr>
                <w:rFonts w:eastAsiaTheme="minorHAnsi"/>
                <w:color w:val="000000"/>
                <w:kern w:val="24"/>
                <w:sz w:val="20"/>
                <w:szCs w:val="20"/>
                <w:lang w:eastAsia="en-GB" w:bidi="ar-SA"/>
              </w:rPr>
              <w:t xml:space="preserve">Вредност показатеља ће се утврдити у складу са налазима еx post евалуације прописа који уређују систем стручног усавршавања – Закона о државним службеницима, Закона о запосленима у АП и ЈЛС, Закона о Националној академији за јавну управу и релевантних подзаконских аката. Прецизна методологија за спровођење налазима еx post евалуације прописа ће бити развијена током 2021. године када се планира спроовђење прве евалуације. </w:t>
            </w:r>
          </w:p>
          <w:p w14:paraId="5D0E8F9D" w14:textId="3EE4983F" w:rsidR="00C60FCD" w:rsidRPr="000F0299" w:rsidRDefault="006D3202" w:rsidP="006D3202">
            <w:pPr>
              <w:suppressAutoHyphens w:val="0"/>
              <w:autoSpaceDN/>
              <w:spacing w:before="0"/>
              <w:ind w:firstLine="0"/>
              <w:textAlignment w:val="auto"/>
              <w:rPr>
                <w:rFonts w:eastAsiaTheme="minorHAnsi"/>
                <w:color w:val="000000"/>
                <w:kern w:val="24"/>
                <w:sz w:val="20"/>
                <w:szCs w:val="20"/>
                <w:lang w:eastAsia="en-GB" w:bidi="ar-SA"/>
              </w:rPr>
            </w:pPr>
            <w:r w:rsidRPr="006D3202">
              <w:rPr>
                <w:rFonts w:eastAsiaTheme="minorHAnsi"/>
                <w:color w:val="000000"/>
                <w:kern w:val="24"/>
                <w:sz w:val="20"/>
                <w:szCs w:val="20"/>
                <w:lang w:eastAsia="en-GB" w:bidi="ar-SA"/>
              </w:rPr>
              <w:t>Формула:  Број прописа који су позитивно оцењени на евалуацији / укупан број анализираних прописа * 100</w:t>
            </w:r>
          </w:p>
        </w:tc>
      </w:tr>
      <w:tr w:rsidR="00C60FCD" w:rsidRPr="000F0299" w14:paraId="54134C08" w14:textId="77777777" w:rsidTr="00C60FCD">
        <w:tc>
          <w:tcPr>
            <w:tcW w:w="1817" w:type="dxa"/>
            <w:vMerge w:val="restart"/>
            <w:shd w:val="clear" w:color="auto" w:fill="auto"/>
          </w:tcPr>
          <w:p w14:paraId="620D82DC"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959" w:type="dxa"/>
            <w:gridSpan w:val="11"/>
            <w:shd w:val="clear" w:color="auto" w:fill="FFFFFF"/>
          </w:tcPr>
          <w:p w14:paraId="3B621C9F" w14:textId="77777777"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Тренд у прошлости</w:t>
            </w:r>
          </w:p>
        </w:tc>
        <w:tc>
          <w:tcPr>
            <w:tcW w:w="1322" w:type="dxa"/>
            <w:gridSpan w:val="2"/>
            <w:shd w:val="clear" w:color="auto" w:fill="FFFFFF"/>
          </w:tcPr>
          <w:p w14:paraId="59DED161" w14:textId="305D7404"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Полазна вредност</w:t>
            </w:r>
          </w:p>
        </w:tc>
      </w:tr>
      <w:tr w:rsidR="00C60FCD" w:rsidRPr="000F0299" w14:paraId="035665A5" w14:textId="77777777" w:rsidTr="00C60FCD">
        <w:tc>
          <w:tcPr>
            <w:tcW w:w="1817" w:type="dxa"/>
            <w:vMerge/>
            <w:shd w:val="clear" w:color="auto" w:fill="auto"/>
            <w:vAlign w:val="center"/>
          </w:tcPr>
          <w:p w14:paraId="0358A7ED"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US" w:bidi="ar-SA"/>
              </w:rPr>
            </w:pPr>
          </w:p>
        </w:tc>
        <w:tc>
          <w:tcPr>
            <w:tcW w:w="1813" w:type="dxa"/>
            <w:gridSpan w:val="3"/>
            <w:shd w:val="clear" w:color="auto" w:fill="FFFFFF"/>
          </w:tcPr>
          <w:p w14:paraId="7B2EDA7A"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2016</w:t>
            </w:r>
          </w:p>
        </w:tc>
        <w:tc>
          <w:tcPr>
            <w:tcW w:w="2049" w:type="dxa"/>
            <w:gridSpan w:val="4"/>
            <w:shd w:val="clear" w:color="auto" w:fill="FFFFFF"/>
          </w:tcPr>
          <w:p w14:paraId="4F80810A"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2017</w:t>
            </w:r>
          </w:p>
        </w:tc>
        <w:tc>
          <w:tcPr>
            <w:tcW w:w="2097" w:type="dxa"/>
            <w:gridSpan w:val="4"/>
            <w:shd w:val="clear" w:color="auto" w:fill="FFFFFF"/>
          </w:tcPr>
          <w:p w14:paraId="0FE34D41"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2018</w:t>
            </w:r>
          </w:p>
        </w:tc>
        <w:tc>
          <w:tcPr>
            <w:tcW w:w="1322" w:type="dxa"/>
            <w:gridSpan w:val="2"/>
            <w:shd w:val="clear" w:color="auto" w:fill="FFFFFF"/>
          </w:tcPr>
          <w:p w14:paraId="1E176A51"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2019</w:t>
            </w:r>
          </w:p>
        </w:tc>
      </w:tr>
      <w:tr w:rsidR="00C60FCD" w:rsidRPr="000F0299" w14:paraId="27480110" w14:textId="77777777" w:rsidTr="00C60FCD">
        <w:tc>
          <w:tcPr>
            <w:tcW w:w="1817" w:type="dxa"/>
            <w:vMerge/>
            <w:shd w:val="clear" w:color="auto" w:fill="auto"/>
            <w:vAlign w:val="center"/>
          </w:tcPr>
          <w:p w14:paraId="2486119B"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US" w:bidi="ar-SA"/>
              </w:rPr>
            </w:pPr>
          </w:p>
        </w:tc>
        <w:tc>
          <w:tcPr>
            <w:tcW w:w="1813" w:type="dxa"/>
            <w:gridSpan w:val="3"/>
            <w:shd w:val="clear" w:color="auto" w:fill="FFFFFF"/>
          </w:tcPr>
          <w:p w14:paraId="465E36A8"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2049" w:type="dxa"/>
            <w:gridSpan w:val="4"/>
            <w:shd w:val="clear" w:color="auto" w:fill="FFFFFF"/>
          </w:tcPr>
          <w:p w14:paraId="2763B295"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2097" w:type="dxa"/>
            <w:gridSpan w:val="4"/>
            <w:shd w:val="clear" w:color="auto" w:fill="FFFFFF"/>
          </w:tcPr>
          <w:p w14:paraId="36C6D905"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322" w:type="dxa"/>
            <w:gridSpan w:val="2"/>
            <w:shd w:val="clear" w:color="auto" w:fill="FFFFFF"/>
          </w:tcPr>
          <w:p w14:paraId="058054F5"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r>
      <w:tr w:rsidR="00C60FCD" w:rsidRPr="000F0299" w14:paraId="19B17CBA" w14:textId="77777777" w:rsidTr="00C60FCD">
        <w:tc>
          <w:tcPr>
            <w:tcW w:w="1817" w:type="dxa"/>
            <w:vMerge w:val="restart"/>
            <w:shd w:val="clear" w:color="auto" w:fill="auto"/>
          </w:tcPr>
          <w:p w14:paraId="105D9649"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728" w:type="dxa"/>
            <w:shd w:val="clear" w:color="auto" w:fill="FFFFFF"/>
            <w:vAlign w:val="center"/>
          </w:tcPr>
          <w:p w14:paraId="715B2F54"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2021</w:t>
            </w:r>
          </w:p>
        </w:tc>
        <w:tc>
          <w:tcPr>
            <w:tcW w:w="728" w:type="dxa"/>
            <w:shd w:val="clear" w:color="auto" w:fill="FFFFFF"/>
            <w:vAlign w:val="center"/>
          </w:tcPr>
          <w:p w14:paraId="5233AE4A"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2022</w:t>
            </w:r>
          </w:p>
        </w:tc>
        <w:tc>
          <w:tcPr>
            <w:tcW w:w="728" w:type="dxa"/>
            <w:gridSpan w:val="2"/>
            <w:shd w:val="clear" w:color="auto" w:fill="FFFFFF"/>
            <w:vAlign w:val="center"/>
          </w:tcPr>
          <w:p w14:paraId="23B221A1"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2023</w:t>
            </w:r>
          </w:p>
        </w:tc>
        <w:tc>
          <w:tcPr>
            <w:tcW w:w="728" w:type="dxa"/>
            <w:shd w:val="clear" w:color="auto" w:fill="FFFFFF"/>
            <w:vAlign w:val="center"/>
          </w:tcPr>
          <w:p w14:paraId="03C0E1AD"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2024</w:t>
            </w:r>
          </w:p>
        </w:tc>
        <w:tc>
          <w:tcPr>
            <w:tcW w:w="728" w:type="dxa"/>
            <w:shd w:val="clear" w:color="auto" w:fill="FFFFFF"/>
            <w:vAlign w:val="center"/>
          </w:tcPr>
          <w:p w14:paraId="199E6891"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2025</w:t>
            </w:r>
          </w:p>
        </w:tc>
        <w:tc>
          <w:tcPr>
            <w:tcW w:w="728" w:type="dxa"/>
            <w:gridSpan w:val="2"/>
            <w:shd w:val="clear" w:color="auto" w:fill="FFFFFF"/>
            <w:vAlign w:val="center"/>
          </w:tcPr>
          <w:p w14:paraId="6D1E376C"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2026</w:t>
            </w:r>
          </w:p>
        </w:tc>
        <w:tc>
          <w:tcPr>
            <w:tcW w:w="728" w:type="dxa"/>
            <w:shd w:val="clear" w:color="auto" w:fill="FFFFFF"/>
            <w:vAlign w:val="center"/>
          </w:tcPr>
          <w:p w14:paraId="3B4125A4"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2027</w:t>
            </w:r>
          </w:p>
        </w:tc>
        <w:tc>
          <w:tcPr>
            <w:tcW w:w="728" w:type="dxa"/>
            <w:shd w:val="clear" w:color="auto" w:fill="FFFFFF"/>
            <w:vAlign w:val="center"/>
          </w:tcPr>
          <w:p w14:paraId="4D4DE4B6"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2028</w:t>
            </w:r>
          </w:p>
        </w:tc>
        <w:tc>
          <w:tcPr>
            <w:tcW w:w="728" w:type="dxa"/>
            <w:gridSpan w:val="2"/>
            <w:shd w:val="clear" w:color="auto" w:fill="FFFFFF"/>
            <w:vAlign w:val="center"/>
          </w:tcPr>
          <w:p w14:paraId="404BF5AE"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2029</w:t>
            </w:r>
          </w:p>
        </w:tc>
        <w:tc>
          <w:tcPr>
            <w:tcW w:w="729" w:type="dxa"/>
            <w:shd w:val="clear" w:color="auto" w:fill="FFFFFF"/>
            <w:vAlign w:val="center"/>
          </w:tcPr>
          <w:p w14:paraId="3D1CECB4"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2030</w:t>
            </w:r>
          </w:p>
        </w:tc>
      </w:tr>
      <w:tr w:rsidR="00C60FCD" w:rsidRPr="000F0299" w14:paraId="099A3F66" w14:textId="77777777" w:rsidTr="00C60FCD">
        <w:tc>
          <w:tcPr>
            <w:tcW w:w="1817" w:type="dxa"/>
            <w:vMerge/>
            <w:shd w:val="clear" w:color="auto" w:fill="auto"/>
          </w:tcPr>
          <w:p w14:paraId="490A9C0C"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US" w:bidi="ar-SA"/>
              </w:rPr>
            </w:pPr>
          </w:p>
        </w:tc>
        <w:tc>
          <w:tcPr>
            <w:tcW w:w="728" w:type="dxa"/>
            <w:shd w:val="clear" w:color="auto" w:fill="FFFFFF"/>
          </w:tcPr>
          <w:p w14:paraId="37116635"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c>
          <w:tcPr>
            <w:tcW w:w="728" w:type="dxa"/>
            <w:shd w:val="clear" w:color="auto" w:fill="FFFFFF"/>
          </w:tcPr>
          <w:p w14:paraId="318ABDAC"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c>
          <w:tcPr>
            <w:tcW w:w="728" w:type="dxa"/>
            <w:gridSpan w:val="2"/>
            <w:shd w:val="clear" w:color="auto" w:fill="FFFFFF"/>
          </w:tcPr>
          <w:p w14:paraId="329B2EBA"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c>
          <w:tcPr>
            <w:tcW w:w="728" w:type="dxa"/>
            <w:shd w:val="clear" w:color="auto" w:fill="FFFFFF"/>
          </w:tcPr>
          <w:p w14:paraId="065C54BD"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c>
          <w:tcPr>
            <w:tcW w:w="728" w:type="dxa"/>
            <w:shd w:val="clear" w:color="auto" w:fill="FFFFFF"/>
          </w:tcPr>
          <w:p w14:paraId="1F2B8EDC"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c>
          <w:tcPr>
            <w:tcW w:w="728" w:type="dxa"/>
            <w:gridSpan w:val="2"/>
            <w:shd w:val="clear" w:color="auto" w:fill="FFFFFF"/>
          </w:tcPr>
          <w:p w14:paraId="65144A3D"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c>
          <w:tcPr>
            <w:tcW w:w="728" w:type="dxa"/>
            <w:shd w:val="clear" w:color="auto" w:fill="FFFFFF"/>
          </w:tcPr>
          <w:p w14:paraId="5670E877"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c>
          <w:tcPr>
            <w:tcW w:w="728" w:type="dxa"/>
            <w:shd w:val="clear" w:color="auto" w:fill="FFFFFF"/>
          </w:tcPr>
          <w:p w14:paraId="4493030F"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c>
          <w:tcPr>
            <w:tcW w:w="728" w:type="dxa"/>
            <w:gridSpan w:val="2"/>
            <w:shd w:val="clear" w:color="auto" w:fill="FFFFFF"/>
          </w:tcPr>
          <w:p w14:paraId="56E92A85"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c>
          <w:tcPr>
            <w:tcW w:w="729" w:type="dxa"/>
            <w:shd w:val="clear" w:color="auto" w:fill="FFFFFF"/>
          </w:tcPr>
          <w:p w14:paraId="4A110283"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r>
      <w:tr w:rsidR="00C60FCD" w:rsidRPr="000F0299" w14:paraId="683DE1DD" w14:textId="77777777" w:rsidTr="00C60FCD">
        <w:tc>
          <w:tcPr>
            <w:tcW w:w="1817" w:type="dxa"/>
            <w:shd w:val="clear" w:color="auto" w:fill="auto"/>
          </w:tcPr>
          <w:p w14:paraId="7D7EDD6E"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7281" w:type="dxa"/>
            <w:gridSpan w:val="13"/>
            <w:shd w:val="clear" w:color="auto" w:fill="FFFFFF"/>
            <w:vAlign w:val="center"/>
          </w:tcPr>
          <w:p w14:paraId="0701B9B4" w14:textId="77777777"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Степен одступања до 10% ће се вредновати као успех у односу на циљну вредност.</w:t>
            </w:r>
          </w:p>
        </w:tc>
      </w:tr>
    </w:tbl>
    <w:p w14:paraId="38CDCA2E" w14:textId="489C57D3" w:rsidR="00C60FCD" w:rsidRPr="000F0299" w:rsidRDefault="00C013C7" w:rsidP="00BE55B6">
      <w:pPr>
        <w:ind w:firstLine="0"/>
        <w:rPr>
          <w:b/>
          <w:bCs/>
          <w:color w:val="2F5496" w:themeColor="accent1" w:themeShade="BF"/>
        </w:rPr>
      </w:pPr>
      <w:r w:rsidRPr="000F0299">
        <w:rPr>
          <w:b/>
          <w:bCs/>
          <w:color w:val="2F5496" w:themeColor="accent1" w:themeShade="BF"/>
        </w:rPr>
        <w:t>Показатељ 5</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702"/>
        <w:gridCol w:w="703"/>
        <w:gridCol w:w="259"/>
        <w:gridCol w:w="444"/>
        <w:gridCol w:w="702"/>
        <w:gridCol w:w="703"/>
        <w:gridCol w:w="56"/>
        <w:gridCol w:w="647"/>
        <w:gridCol w:w="702"/>
        <w:gridCol w:w="640"/>
        <w:gridCol w:w="63"/>
        <w:gridCol w:w="703"/>
        <w:gridCol w:w="703"/>
      </w:tblGrid>
      <w:tr w:rsidR="00C60FCD" w:rsidRPr="000F0299" w14:paraId="33691787" w14:textId="77777777" w:rsidTr="00C013C7">
        <w:tc>
          <w:tcPr>
            <w:tcW w:w="2071" w:type="dxa"/>
            <w:shd w:val="clear" w:color="auto" w:fill="BFBFBF" w:themeFill="background1" w:themeFillShade="BF"/>
          </w:tcPr>
          <w:p w14:paraId="49D214F0" w14:textId="77777777" w:rsidR="00C60FCD" w:rsidRPr="000F0299" w:rsidRDefault="00C60FCD" w:rsidP="000430C7">
            <w:pPr>
              <w:suppressAutoHyphens w:val="0"/>
              <w:autoSpaceDN/>
              <w:spacing w:before="0"/>
              <w:ind w:firstLine="0"/>
              <w:textAlignment w:val="auto"/>
              <w:rPr>
                <w:rFonts w:eastAsiaTheme="minorHAnsi"/>
                <w:b/>
                <w:bCs/>
                <w:kern w:val="24"/>
                <w:sz w:val="20"/>
                <w:szCs w:val="20"/>
                <w:lang w:eastAsia="en-GB" w:bidi="ar-SA"/>
              </w:rPr>
            </w:pPr>
            <w:r w:rsidRPr="000F0299">
              <w:rPr>
                <w:rFonts w:eastAsiaTheme="minorHAnsi"/>
                <w:b/>
                <w:bCs/>
                <w:kern w:val="24"/>
                <w:sz w:val="20"/>
                <w:szCs w:val="20"/>
                <w:lang w:eastAsia="en-GB" w:bidi="ar-SA"/>
              </w:rPr>
              <w:t>Назив показатеља</w:t>
            </w:r>
          </w:p>
        </w:tc>
        <w:tc>
          <w:tcPr>
            <w:tcW w:w="7027" w:type="dxa"/>
            <w:gridSpan w:val="13"/>
            <w:shd w:val="clear" w:color="auto" w:fill="BFBFBF" w:themeFill="background1" w:themeFillShade="BF"/>
          </w:tcPr>
          <w:p w14:paraId="1B7A06F1" w14:textId="70E5CD77" w:rsidR="00C60FCD" w:rsidRPr="000F0299" w:rsidRDefault="006D3202" w:rsidP="000430C7">
            <w:pPr>
              <w:suppressAutoHyphens w:val="0"/>
              <w:autoSpaceDN/>
              <w:spacing w:before="0"/>
              <w:ind w:firstLine="0"/>
              <w:textAlignment w:val="auto"/>
              <w:rPr>
                <w:rFonts w:eastAsiaTheme="minorHAnsi"/>
                <w:color w:val="000000"/>
                <w:kern w:val="24"/>
                <w:sz w:val="20"/>
                <w:szCs w:val="20"/>
                <w:lang w:eastAsia="en-US" w:bidi="ar-SA"/>
              </w:rPr>
            </w:pPr>
            <w:r w:rsidRPr="006D3202">
              <w:rPr>
                <w:rFonts w:eastAsiaTheme="minorHAnsi"/>
                <w:b/>
                <w:bCs/>
                <w:color w:val="000000"/>
                <w:kern w:val="24"/>
                <w:sz w:val="20"/>
                <w:szCs w:val="20"/>
                <w:lang w:eastAsia="en-US" w:bidi="ar-SA"/>
              </w:rPr>
              <w:t>Број дигитализованих и стандардизованих пословних процеса у области стручног усавршавања</w:t>
            </w:r>
          </w:p>
        </w:tc>
      </w:tr>
      <w:tr w:rsidR="00C60FCD" w:rsidRPr="000F0299" w14:paraId="5B7B6E26" w14:textId="77777777" w:rsidTr="00C60FCD">
        <w:tc>
          <w:tcPr>
            <w:tcW w:w="2071" w:type="dxa"/>
            <w:shd w:val="clear" w:color="auto" w:fill="auto"/>
          </w:tcPr>
          <w:p w14:paraId="61B876EC"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7027" w:type="dxa"/>
            <w:gridSpan w:val="13"/>
            <w:shd w:val="clear" w:color="auto" w:fill="FFFFFF"/>
          </w:tcPr>
          <w:p w14:paraId="7CB7369D" w14:textId="31722F55" w:rsidR="00C60FCD" w:rsidRPr="000F0299" w:rsidRDefault="00864D50" w:rsidP="000430C7">
            <w:pPr>
              <w:suppressAutoHyphens w:val="0"/>
              <w:autoSpaceDN/>
              <w:spacing w:before="0"/>
              <w:ind w:firstLine="0"/>
              <w:textAlignment w:val="auto"/>
              <w:rPr>
                <w:rFonts w:eastAsiaTheme="minorHAnsi"/>
                <w:color w:val="000000"/>
                <w:kern w:val="24"/>
                <w:sz w:val="20"/>
                <w:szCs w:val="20"/>
                <w:lang w:eastAsia="en-US" w:bidi="ar-SA"/>
              </w:rPr>
            </w:pPr>
            <w:r w:rsidRPr="000F0299">
              <w:rPr>
                <w:rFonts w:eastAsiaTheme="minorHAnsi"/>
                <w:b/>
                <w:bCs/>
                <w:color w:val="000000"/>
                <w:kern w:val="24"/>
                <w:sz w:val="20"/>
                <w:szCs w:val="20"/>
                <w:lang w:eastAsia="en-US" w:bidi="ar-SA"/>
              </w:rPr>
              <w:t>Meрa</w:t>
            </w:r>
            <w:r w:rsidR="00C60FCD" w:rsidRPr="000F0299">
              <w:rPr>
                <w:rFonts w:eastAsiaTheme="minorHAnsi"/>
                <w:b/>
                <w:bCs/>
                <w:color w:val="000000"/>
                <w:kern w:val="24"/>
                <w:sz w:val="20"/>
                <w:szCs w:val="20"/>
                <w:lang w:eastAsia="en-US" w:bidi="ar-SA"/>
              </w:rPr>
              <w:t xml:space="preserve"> 2.3.4:</w:t>
            </w:r>
            <w:r w:rsidR="00C60FCD" w:rsidRPr="000F0299">
              <w:rPr>
                <w:rFonts w:eastAsiaTheme="minorHAnsi"/>
                <w:color w:val="000000"/>
                <w:kern w:val="24"/>
                <w:sz w:val="20"/>
                <w:szCs w:val="20"/>
                <w:lang w:eastAsia="en-US" w:bidi="ar-SA"/>
              </w:rPr>
              <w:t xml:space="preserve"> Успостављање стандардизације процеса и система квалитета у области стручног усавршавања у јавној управи, уз пуну примену ИКТ</w:t>
            </w:r>
          </w:p>
          <w:p w14:paraId="1BB7210B"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US" w:bidi="ar-SA"/>
              </w:rPr>
            </w:pPr>
          </w:p>
        </w:tc>
      </w:tr>
      <w:tr w:rsidR="000430C7" w:rsidRPr="000F0299" w14:paraId="01FA6F17" w14:textId="77777777" w:rsidTr="00C45368">
        <w:tc>
          <w:tcPr>
            <w:tcW w:w="2071" w:type="dxa"/>
            <w:shd w:val="clear" w:color="auto" w:fill="auto"/>
          </w:tcPr>
          <w:p w14:paraId="293D88C3" w14:textId="77777777" w:rsidR="000430C7" w:rsidRPr="000F0299" w:rsidRDefault="000430C7"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513" w:type="dxa"/>
            <w:gridSpan w:val="6"/>
            <w:shd w:val="clear" w:color="auto" w:fill="FFFFFF"/>
          </w:tcPr>
          <w:p w14:paraId="14893BC8" w14:textId="2B4059CD" w:rsidR="000430C7" w:rsidRPr="000F0299" w:rsidRDefault="000430C7"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 xml:space="preserve">Квалитативни показатељ </w:t>
            </w:r>
          </w:p>
        </w:tc>
        <w:tc>
          <w:tcPr>
            <w:tcW w:w="3514" w:type="dxa"/>
            <w:gridSpan w:val="7"/>
            <w:shd w:val="clear" w:color="auto" w:fill="FFFFFF"/>
          </w:tcPr>
          <w:p w14:paraId="7F127409" w14:textId="11ADCB44" w:rsidR="000430C7" w:rsidRPr="000F0299" w:rsidRDefault="000430C7"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 нивоу излазног резултата</w:t>
            </w:r>
          </w:p>
        </w:tc>
      </w:tr>
      <w:tr w:rsidR="000430C7" w:rsidRPr="000F0299" w14:paraId="58108F01" w14:textId="77777777" w:rsidTr="00C45368">
        <w:tc>
          <w:tcPr>
            <w:tcW w:w="2071" w:type="dxa"/>
            <w:shd w:val="clear" w:color="auto" w:fill="auto"/>
          </w:tcPr>
          <w:p w14:paraId="7F847588" w14:textId="77777777" w:rsidR="000430C7" w:rsidRPr="000F0299" w:rsidRDefault="000430C7"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513" w:type="dxa"/>
            <w:gridSpan w:val="6"/>
            <w:shd w:val="clear" w:color="auto" w:fill="FFFFFF"/>
          </w:tcPr>
          <w:p w14:paraId="37121732" w14:textId="0E237131" w:rsidR="000430C7" w:rsidRPr="000F0299" w:rsidRDefault="000430C7"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Бројчани на скали од 0-6</w:t>
            </w:r>
          </w:p>
        </w:tc>
        <w:tc>
          <w:tcPr>
            <w:tcW w:w="3514" w:type="dxa"/>
            <w:gridSpan w:val="7"/>
            <w:shd w:val="clear" w:color="auto" w:fill="FFFFFF"/>
          </w:tcPr>
          <w:p w14:paraId="1DDD9101" w14:textId="21FF2CD7" w:rsidR="000430C7" w:rsidRPr="000F0299" w:rsidRDefault="000430C7"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Повећана вредност показатеља пожељна</w:t>
            </w:r>
          </w:p>
        </w:tc>
      </w:tr>
      <w:tr w:rsidR="00C60FCD" w:rsidRPr="000F0299" w14:paraId="6ACE1DF7" w14:textId="77777777" w:rsidTr="00C60FCD">
        <w:tc>
          <w:tcPr>
            <w:tcW w:w="2071" w:type="dxa"/>
            <w:shd w:val="clear" w:color="auto" w:fill="auto"/>
          </w:tcPr>
          <w:p w14:paraId="0E4B09AF"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7027" w:type="dxa"/>
            <w:gridSpan w:val="13"/>
            <w:shd w:val="clear" w:color="auto" w:fill="FFFFFF"/>
          </w:tcPr>
          <w:p w14:paraId="6FBF3CC3"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Подаци ће бити прикупљани  на националном нивоу.</w:t>
            </w:r>
          </w:p>
          <w:p w14:paraId="168AFBE7"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0"/>
                <w:sz w:val="20"/>
                <w:szCs w:val="20"/>
                <w:lang w:eastAsia="en-GB" w:bidi="ar-SA"/>
              </w:rPr>
              <w:t>Извор:</w:t>
            </w:r>
          </w:p>
          <w:p w14:paraId="6CEE9885" w14:textId="77777777" w:rsidR="00C60FCD" w:rsidRPr="000F0299" w:rsidRDefault="00C60FCD" w:rsidP="00E62A1A">
            <w:pPr>
              <w:numPr>
                <w:ilvl w:val="0"/>
                <w:numId w:val="15"/>
              </w:numPr>
              <w:suppressAutoHyphens w:val="0"/>
              <w:autoSpaceDN/>
              <w:spacing w:before="0"/>
              <w:ind w:left="604" w:hanging="302"/>
              <w:jc w:val="left"/>
              <w:textAlignment w:val="auto"/>
              <w:rPr>
                <w:rFonts w:eastAsiaTheme="minorHAnsi"/>
                <w:color w:val="000000"/>
                <w:kern w:val="0"/>
                <w:sz w:val="20"/>
                <w:szCs w:val="20"/>
                <w:lang w:eastAsia="en-GB" w:bidi="ar-SA"/>
              </w:rPr>
            </w:pPr>
            <w:r w:rsidRPr="000F0299">
              <w:rPr>
                <w:rFonts w:eastAsiaTheme="minorHAnsi"/>
                <w:color w:val="000000"/>
                <w:kern w:val="0"/>
                <w:sz w:val="20"/>
                <w:szCs w:val="20"/>
                <w:lang w:eastAsia="en-GB" w:bidi="ar-SA"/>
              </w:rPr>
              <w:t>Централна евиденција програма стручног усавршавања у јавној управи</w:t>
            </w:r>
          </w:p>
          <w:p w14:paraId="185E0AB9" w14:textId="77777777" w:rsidR="00C60FCD" w:rsidRPr="000F0299" w:rsidRDefault="00C60FCD" w:rsidP="00E62A1A">
            <w:pPr>
              <w:numPr>
                <w:ilvl w:val="0"/>
                <w:numId w:val="15"/>
              </w:numPr>
              <w:suppressAutoHyphens w:val="0"/>
              <w:autoSpaceDN/>
              <w:spacing w:before="0"/>
              <w:ind w:left="604" w:hanging="302"/>
              <w:jc w:val="left"/>
              <w:textAlignment w:val="auto"/>
              <w:rPr>
                <w:rFonts w:eastAsiaTheme="minorHAnsi"/>
                <w:color w:val="000000"/>
                <w:kern w:val="0"/>
                <w:sz w:val="20"/>
                <w:szCs w:val="20"/>
                <w:lang w:eastAsia="en-GB" w:bidi="ar-SA"/>
              </w:rPr>
            </w:pPr>
            <w:r w:rsidRPr="000F0299">
              <w:rPr>
                <w:rFonts w:eastAsiaTheme="minorHAnsi"/>
                <w:color w:val="000000"/>
                <w:kern w:val="0"/>
                <w:sz w:val="20"/>
                <w:szCs w:val="20"/>
                <w:lang w:eastAsia="en-GB" w:bidi="ar-SA"/>
              </w:rPr>
              <w:t>LMS (</w:t>
            </w:r>
            <w:r w:rsidRPr="006D3202">
              <w:rPr>
                <w:rFonts w:eastAsiaTheme="minorHAnsi"/>
                <w:i/>
                <w:iCs/>
                <w:color w:val="000000"/>
                <w:kern w:val="0"/>
                <w:sz w:val="20"/>
                <w:szCs w:val="20"/>
                <w:lang w:eastAsia="en-GB" w:bidi="ar-SA"/>
              </w:rPr>
              <w:t>learning management system</w:t>
            </w:r>
            <w:r w:rsidRPr="000F0299">
              <w:rPr>
                <w:rFonts w:eastAsiaTheme="minorHAnsi"/>
                <w:color w:val="000000"/>
                <w:kern w:val="0"/>
                <w:sz w:val="20"/>
                <w:szCs w:val="20"/>
                <w:lang w:eastAsia="en-GB" w:bidi="ar-SA"/>
              </w:rPr>
              <w:t>) НАЈУ</w:t>
            </w:r>
          </w:p>
        </w:tc>
      </w:tr>
      <w:tr w:rsidR="00C60FCD" w:rsidRPr="000F0299" w14:paraId="748F35FD" w14:textId="77777777" w:rsidTr="00C60FCD">
        <w:tc>
          <w:tcPr>
            <w:tcW w:w="2071" w:type="dxa"/>
            <w:shd w:val="clear" w:color="auto" w:fill="auto"/>
          </w:tcPr>
          <w:p w14:paraId="006086DE"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носиоца прикупљања података</w:t>
            </w:r>
          </w:p>
        </w:tc>
        <w:tc>
          <w:tcPr>
            <w:tcW w:w="7027" w:type="dxa"/>
            <w:gridSpan w:val="13"/>
            <w:shd w:val="clear" w:color="auto" w:fill="FFFFFF"/>
          </w:tcPr>
          <w:p w14:paraId="1222A920" w14:textId="4FF64F64" w:rsidR="00AE6044" w:rsidRPr="000F0299" w:rsidRDefault="00C60FCD" w:rsidP="00AE6044">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 xml:space="preserve">Национална академија за јавну управу, </w:t>
            </w:r>
          </w:p>
          <w:p w14:paraId="56BEE620" w14:textId="11E4E479" w:rsidR="00C60FCD" w:rsidRPr="000F0299" w:rsidRDefault="00C60FCD" w:rsidP="00AE6044">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Г</w:t>
            </w:r>
            <w:r w:rsidR="00AE6044">
              <w:rPr>
                <w:rFonts w:eastAsiaTheme="minorHAnsi"/>
                <w:color w:val="000000"/>
                <w:kern w:val="24"/>
                <w:sz w:val="20"/>
                <w:szCs w:val="20"/>
                <w:lang w:eastAsia="en-GB" w:bidi="ar-SA"/>
              </w:rPr>
              <w:t>рупе за ИТ и вођење евиденција</w:t>
            </w:r>
          </w:p>
        </w:tc>
      </w:tr>
      <w:tr w:rsidR="00C60FCD" w:rsidRPr="000F0299" w14:paraId="6727421C" w14:textId="77777777" w:rsidTr="00C60FCD">
        <w:tc>
          <w:tcPr>
            <w:tcW w:w="2071" w:type="dxa"/>
            <w:shd w:val="clear" w:color="auto" w:fill="auto"/>
          </w:tcPr>
          <w:p w14:paraId="3517318F"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7027" w:type="dxa"/>
            <w:gridSpan w:val="13"/>
            <w:shd w:val="clear" w:color="auto" w:fill="FFFFFF"/>
          </w:tcPr>
          <w:p w14:paraId="55D4FE29" w14:textId="77777777"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C60FCD" w:rsidRPr="000F0299" w14:paraId="518D9E44" w14:textId="77777777" w:rsidTr="00C60FCD">
        <w:tc>
          <w:tcPr>
            <w:tcW w:w="2071" w:type="dxa"/>
            <w:shd w:val="clear" w:color="auto" w:fill="auto"/>
          </w:tcPr>
          <w:p w14:paraId="6820167E"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7027" w:type="dxa"/>
            <w:gridSpan w:val="13"/>
            <w:shd w:val="clear" w:color="auto" w:fill="auto"/>
          </w:tcPr>
          <w:p w14:paraId="320BD650" w14:textId="77777777"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Вредност показатеља ће се утврдити према броју пословних процеса чији већи део пословних процедура се спроводи уз коришћење информационих технологија. Већи део пословних процедура значи више од 50% процедура у оквиру једног пословног процеса. Шест процеса стручног усавршавања се анализира и за сваки процес чији већи део пословних процедура се спроводи уз коришћење информационих технологија се додељује један бод. За  мање од 50% пословних процедура добија се нула бодова. Максимални број бодова за овај индикатор је шест.</w:t>
            </w:r>
          </w:p>
          <w:p w14:paraId="0B297C2E" w14:textId="283870A3" w:rsidR="00C60FCD" w:rsidRPr="000F0299" w:rsidRDefault="00C60FCD" w:rsidP="000430C7">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 xml:space="preserve">Процеси  стручног </w:t>
            </w:r>
            <w:r w:rsidR="00864D50" w:rsidRPr="000F0299">
              <w:rPr>
                <w:rFonts w:eastAsiaTheme="minorHAnsi"/>
                <w:color w:val="000000"/>
                <w:kern w:val="24"/>
                <w:sz w:val="20"/>
                <w:szCs w:val="20"/>
                <w:lang w:eastAsia="en-GB" w:bidi="ar-SA"/>
              </w:rPr>
              <w:t>усавршавања</w:t>
            </w:r>
            <w:r w:rsidRPr="000F0299">
              <w:rPr>
                <w:rFonts w:eastAsiaTheme="minorHAnsi"/>
                <w:color w:val="000000"/>
                <w:kern w:val="24"/>
                <w:sz w:val="20"/>
                <w:szCs w:val="20"/>
                <w:lang w:eastAsia="en-GB" w:bidi="ar-SA"/>
              </w:rPr>
              <w:t xml:space="preserve"> који се прате су: 1. анализа потреба за стручним усавршавање, 2. акредитација реализатора програма обука, 3. акредитација програма обука, 4. спровођење програма обука, 5. вредновање програма обука, 6. верификација.</w:t>
            </w:r>
          </w:p>
        </w:tc>
      </w:tr>
      <w:tr w:rsidR="00C60FCD" w:rsidRPr="000F0299" w14:paraId="53218FD5" w14:textId="77777777" w:rsidTr="00C60FCD">
        <w:tc>
          <w:tcPr>
            <w:tcW w:w="2071" w:type="dxa"/>
            <w:vMerge w:val="restart"/>
            <w:shd w:val="clear" w:color="auto" w:fill="auto"/>
          </w:tcPr>
          <w:p w14:paraId="40FD8154"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558" w:type="dxa"/>
            <w:gridSpan w:val="10"/>
            <w:shd w:val="clear" w:color="auto" w:fill="FFFFFF"/>
          </w:tcPr>
          <w:p w14:paraId="58573933" w14:textId="77777777"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Тренд у прошлости</w:t>
            </w:r>
          </w:p>
        </w:tc>
        <w:tc>
          <w:tcPr>
            <w:tcW w:w="1469" w:type="dxa"/>
            <w:gridSpan w:val="3"/>
            <w:shd w:val="clear" w:color="auto" w:fill="FFFFFF"/>
          </w:tcPr>
          <w:p w14:paraId="446433BC" w14:textId="0C388E4E"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Полазна вредност</w:t>
            </w:r>
          </w:p>
        </w:tc>
      </w:tr>
      <w:tr w:rsidR="00C60FCD" w:rsidRPr="000F0299" w14:paraId="12E04660" w14:textId="77777777" w:rsidTr="00C60FCD">
        <w:tc>
          <w:tcPr>
            <w:tcW w:w="2071" w:type="dxa"/>
            <w:vMerge/>
            <w:shd w:val="clear" w:color="auto" w:fill="auto"/>
            <w:vAlign w:val="center"/>
          </w:tcPr>
          <w:p w14:paraId="4997C4BB"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US" w:bidi="ar-SA"/>
              </w:rPr>
            </w:pPr>
          </w:p>
        </w:tc>
        <w:tc>
          <w:tcPr>
            <w:tcW w:w="1664" w:type="dxa"/>
            <w:gridSpan w:val="3"/>
            <w:shd w:val="clear" w:color="auto" w:fill="FFFFFF"/>
          </w:tcPr>
          <w:p w14:paraId="5E63186B"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2016</w:t>
            </w:r>
          </w:p>
        </w:tc>
        <w:tc>
          <w:tcPr>
            <w:tcW w:w="1905" w:type="dxa"/>
            <w:gridSpan w:val="4"/>
            <w:shd w:val="clear" w:color="auto" w:fill="FFFFFF"/>
          </w:tcPr>
          <w:p w14:paraId="1AAC9C96"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2017</w:t>
            </w:r>
          </w:p>
        </w:tc>
        <w:tc>
          <w:tcPr>
            <w:tcW w:w="1989" w:type="dxa"/>
            <w:gridSpan w:val="3"/>
            <w:shd w:val="clear" w:color="auto" w:fill="FFFFFF"/>
          </w:tcPr>
          <w:p w14:paraId="6AFFE68E"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2018</w:t>
            </w:r>
          </w:p>
        </w:tc>
        <w:tc>
          <w:tcPr>
            <w:tcW w:w="1469" w:type="dxa"/>
            <w:gridSpan w:val="3"/>
            <w:shd w:val="clear" w:color="auto" w:fill="FFFFFF"/>
          </w:tcPr>
          <w:p w14:paraId="763CBB09"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2020</w:t>
            </w:r>
          </w:p>
        </w:tc>
      </w:tr>
      <w:tr w:rsidR="00C60FCD" w:rsidRPr="000F0299" w14:paraId="239AAAA5" w14:textId="77777777" w:rsidTr="00C60FCD">
        <w:tc>
          <w:tcPr>
            <w:tcW w:w="2071" w:type="dxa"/>
            <w:vMerge/>
            <w:shd w:val="clear" w:color="auto" w:fill="auto"/>
            <w:vAlign w:val="center"/>
          </w:tcPr>
          <w:p w14:paraId="40F89F53"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US" w:bidi="ar-SA"/>
              </w:rPr>
            </w:pPr>
          </w:p>
        </w:tc>
        <w:tc>
          <w:tcPr>
            <w:tcW w:w="1664" w:type="dxa"/>
            <w:gridSpan w:val="3"/>
            <w:shd w:val="clear" w:color="auto" w:fill="FFFFFF"/>
          </w:tcPr>
          <w:p w14:paraId="1D0513D0"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05" w:type="dxa"/>
            <w:gridSpan w:val="4"/>
            <w:shd w:val="clear" w:color="auto" w:fill="FFFFFF"/>
          </w:tcPr>
          <w:p w14:paraId="66D5D22D"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89" w:type="dxa"/>
            <w:gridSpan w:val="3"/>
            <w:shd w:val="clear" w:color="auto" w:fill="FFFFFF"/>
          </w:tcPr>
          <w:p w14:paraId="33ECEA5B"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469" w:type="dxa"/>
            <w:gridSpan w:val="3"/>
            <w:shd w:val="clear" w:color="auto" w:fill="FFFFFF"/>
          </w:tcPr>
          <w:p w14:paraId="22E76F04"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r>
      <w:tr w:rsidR="00C60FCD" w:rsidRPr="000F0299" w14:paraId="3D8EF0F5" w14:textId="77777777" w:rsidTr="00C60FCD">
        <w:tc>
          <w:tcPr>
            <w:tcW w:w="2071" w:type="dxa"/>
            <w:vMerge w:val="restart"/>
            <w:shd w:val="clear" w:color="auto" w:fill="auto"/>
          </w:tcPr>
          <w:p w14:paraId="7F914CA3"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702" w:type="dxa"/>
            <w:shd w:val="clear" w:color="auto" w:fill="FFFFFF"/>
            <w:vAlign w:val="center"/>
          </w:tcPr>
          <w:p w14:paraId="0435FB1C"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2021</w:t>
            </w:r>
          </w:p>
        </w:tc>
        <w:tc>
          <w:tcPr>
            <w:tcW w:w="703" w:type="dxa"/>
            <w:shd w:val="clear" w:color="auto" w:fill="FFFFFF"/>
            <w:vAlign w:val="center"/>
          </w:tcPr>
          <w:p w14:paraId="25EF183F"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2022</w:t>
            </w:r>
          </w:p>
        </w:tc>
        <w:tc>
          <w:tcPr>
            <w:tcW w:w="703" w:type="dxa"/>
            <w:gridSpan w:val="2"/>
            <w:shd w:val="clear" w:color="auto" w:fill="FFFFFF"/>
            <w:vAlign w:val="center"/>
          </w:tcPr>
          <w:p w14:paraId="6081EFC4"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2023</w:t>
            </w:r>
          </w:p>
        </w:tc>
        <w:tc>
          <w:tcPr>
            <w:tcW w:w="702" w:type="dxa"/>
            <w:shd w:val="clear" w:color="auto" w:fill="FFFFFF"/>
            <w:vAlign w:val="center"/>
          </w:tcPr>
          <w:p w14:paraId="73D82BF5"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2024</w:t>
            </w:r>
          </w:p>
        </w:tc>
        <w:tc>
          <w:tcPr>
            <w:tcW w:w="703" w:type="dxa"/>
            <w:shd w:val="clear" w:color="auto" w:fill="FFFFFF"/>
            <w:vAlign w:val="center"/>
          </w:tcPr>
          <w:p w14:paraId="471B5C93"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2025</w:t>
            </w:r>
          </w:p>
        </w:tc>
        <w:tc>
          <w:tcPr>
            <w:tcW w:w="703" w:type="dxa"/>
            <w:gridSpan w:val="2"/>
            <w:shd w:val="clear" w:color="auto" w:fill="FFFFFF"/>
            <w:vAlign w:val="center"/>
          </w:tcPr>
          <w:p w14:paraId="7FBB55EE"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2026</w:t>
            </w:r>
          </w:p>
        </w:tc>
        <w:tc>
          <w:tcPr>
            <w:tcW w:w="702" w:type="dxa"/>
            <w:shd w:val="clear" w:color="auto" w:fill="FFFFFF"/>
            <w:vAlign w:val="center"/>
          </w:tcPr>
          <w:p w14:paraId="50DC8631"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2027</w:t>
            </w:r>
          </w:p>
        </w:tc>
        <w:tc>
          <w:tcPr>
            <w:tcW w:w="703" w:type="dxa"/>
            <w:gridSpan w:val="2"/>
            <w:shd w:val="clear" w:color="auto" w:fill="FFFFFF"/>
            <w:vAlign w:val="center"/>
          </w:tcPr>
          <w:p w14:paraId="3714F405"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2028</w:t>
            </w:r>
          </w:p>
        </w:tc>
        <w:tc>
          <w:tcPr>
            <w:tcW w:w="703" w:type="dxa"/>
            <w:shd w:val="clear" w:color="auto" w:fill="FFFFFF"/>
            <w:vAlign w:val="center"/>
          </w:tcPr>
          <w:p w14:paraId="39E24513"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2029</w:t>
            </w:r>
          </w:p>
        </w:tc>
        <w:tc>
          <w:tcPr>
            <w:tcW w:w="703" w:type="dxa"/>
            <w:shd w:val="clear" w:color="auto" w:fill="FFFFFF"/>
            <w:vAlign w:val="center"/>
          </w:tcPr>
          <w:p w14:paraId="3880BAE7" w14:textId="77777777" w:rsidR="00C60FCD" w:rsidRPr="000F0299" w:rsidRDefault="00C60FCD" w:rsidP="000430C7">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2030</w:t>
            </w:r>
          </w:p>
        </w:tc>
      </w:tr>
      <w:tr w:rsidR="006D3202" w:rsidRPr="000F0299" w14:paraId="6D8EBF92" w14:textId="77777777" w:rsidTr="00C60FCD">
        <w:tc>
          <w:tcPr>
            <w:tcW w:w="2071" w:type="dxa"/>
            <w:vMerge/>
            <w:shd w:val="clear" w:color="auto" w:fill="auto"/>
          </w:tcPr>
          <w:p w14:paraId="2FBEB3F5" w14:textId="77777777" w:rsidR="006D3202" w:rsidRPr="000F0299" w:rsidRDefault="006D3202" w:rsidP="006D3202">
            <w:pPr>
              <w:suppressAutoHyphens w:val="0"/>
              <w:autoSpaceDN/>
              <w:spacing w:before="0"/>
              <w:ind w:firstLine="0"/>
              <w:textAlignment w:val="auto"/>
              <w:rPr>
                <w:rFonts w:eastAsiaTheme="minorHAnsi"/>
                <w:b/>
                <w:bCs/>
                <w:kern w:val="0"/>
                <w:sz w:val="20"/>
                <w:szCs w:val="20"/>
                <w:lang w:eastAsia="en-US" w:bidi="ar-SA"/>
              </w:rPr>
            </w:pPr>
          </w:p>
        </w:tc>
        <w:tc>
          <w:tcPr>
            <w:tcW w:w="702" w:type="dxa"/>
            <w:shd w:val="clear" w:color="auto" w:fill="FFFFFF"/>
          </w:tcPr>
          <w:p w14:paraId="420A8663" w14:textId="3B739E90"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1</w:t>
            </w:r>
          </w:p>
        </w:tc>
        <w:tc>
          <w:tcPr>
            <w:tcW w:w="703" w:type="dxa"/>
            <w:shd w:val="clear" w:color="auto" w:fill="FFFFFF"/>
          </w:tcPr>
          <w:p w14:paraId="28D24946" w14:textId="7D27DB6A"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1</w:t>
            </w:r>
          </w:p>
        </w:tc>
        <w:tc>
          <w:tcPr>
            <w:tcW w:w="703" w:type="dxa"/>
            <w:gridSpan w:val="2"/>
            <w:shd w:val="clear" w:color="auto" w:fill="FFFFFF"/>
          </w:tcPr>
          <w:p w14:paraId="2651DCF2" w14:textId="55B5F312"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1</w:t>
            </w:r>
          </w:p>
        </w:tc>
        <w:tc>
          <w:tcPr>
            <w:tcW w:w="702" w:type="dxa"/>
            <w:shd w:val="clear" w:color="auto" w:fill="FFFFFF"/>
          </w:tcPr>
          <w:p w14:paraId="2D95F393" w14:textId="2D5E6FCE"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3</w:t>
            </w:r>
          </w:p>
        </w:tc>
        <w:tc>
          <w:tcPr>
            <w:tcW w:w="703" w:type="dxa"/>
            <w:shd w:val="clear" w:color="auto" w:fill="FFFFFF"/>
          </w:tcPr>
          <w:p w14:paraId="6CAE2910" w14:textId="1F2600E2"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4</w:t>
            </w:r>
          </w:p>
        </w:tc>
        <w:tc>
          <w:tcPr>
            <w:tcW w:w="703" w:type="dxa"/>
            <w:gridSpan w:val="2"/>
            <w:shd w:val="clear" w:color="auto" w:fill="FFFFFF"/>
          </w:tcPr>
          <w:p w14:paraId="706A42C5" w14:textId="6BE778B4"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5</w:t>
            </w:r>
          </w:p>
        </w:tc>
        <w:tc>
          <w:tcPr>
            <w:tcW w:w="702" w:type="dxa"/>
            <w:shd w:val="clear" w:color="auto" w:fill="FFFFFF"/>
          </w:tcPr>
          <w:p w14:paraId="3790786D" w14:textId="0C1104AD"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5</w:t>
            </w:r>
          </w:p>
        </w:tc>
        <w:tc>
          <w:tcPr>
            <w:tcW w:w="703" w:type="dxa"/>
            <w:gridSpan w:val="2"/>
            <w:shd w:val="clear" w:color="auto" w:fill="FFFFFF"/>
          </w:tcPr>
          <w:p w14:paraId="3C68C6FD" w14:textId="39BE5F7D"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6</w:t>
            </w:r>
          </w:p>
        </w:tc>
        <w:tc>
          <w:tcPr>
            <w:tcW w:w="703" w:type="dxa"/>
            <w:shd w:val="clear" w:color="auto" w:fill="FFFFFF"/>
          </w:tcPr>
          <w:p w14:paraId="1AA6A623" w14:textId="67B3D328"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6</w:t>
            </w:r>
          </w:p>
        </w:tc>
        <w:tc>
          <w:tcPr>
            <w:tcW w:w="703" w:type="dxa"/>
            <w:shd w:val="clear" w:color="auto" w:fill="FFFFFF"/>
          </w:tcPr>
          <w:p w14:paraId="06405879" w14:textId="59C18842"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6</w:t>
            </w:r>
          </w:p>
        </w:tc>
      </w:tr>
      <w:tr w:rsidR="00C60FCD" w:rsidRPr="000F0299" w14:paraId="2ECFE121" w14:textId="77777777" w:rsidTr="00C60FCD">
        <w:tc>
          <w:tcPr>
            <w:tcW w:w="2071" w:type="dxa"/>
            <w:shd w:val="clear" w:color="auto" w:fill="auto"/>
          </w:tcPr>
          <w:p w14:paraId="185824ED" w14:textId="77777777" w:rsidR="00C60FCD" w:rsidRPr="000F0299" w:rsidRDefault="00C60FCD" w:rsidP="000430C7">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7027" w:type="dxa"/>
            <w:gridSpan w:val="13"/>
            <w:shd w:val="clear" w:color="auto" w:fill="FFFFFF"/>
            <w:vAlign w:val="center"/>
          </w:tcPr>
          <w:p w14:paraId="088D4655" w14:textId="77777777" w:rsidR="00C60FCD" w:rsidRPr="000F0299" w:rsidRDefault="00C60FCD" w:rsidP="000430C7">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Без одступања.</w:t>
            </w:r>
          </w:p>
        </w:tc>
      </w:tr>
    </w:tbl>
    <w:p w14:paraId="2B459F47" w14:textId="1994D751" w:rsidR="00C60FCD" w:rsidRPr="000F0299" w:rsidRDefault="00C013C7" w:rsidP="00BE55B6">
      <w:pPr>
        <w:ind w:firstLine="0"/>
        <w:rPr>
          <w:b/>
          <w:bCs/>
          <w:color w:val="2F5496" w:themeColor="accent1" w:themeShade="BF"/>
        </w:rPr>
      </w:pPr>
      <w:r w:rsidRPr="000F0299">
        <w:rPr>
          <w:b/>
          <w:bCs/>
          <w:color w:val="2F5496" w:themeColor="accent1" w:themeShade="BF"/>
        </w:rPr>
        <w:t>Показатељ 6</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702"/>
        <w:gridCol w:w="703"/>
        <w:gridCol w:w="260"/>
        <w:gridCol w:w="443"/>
        <w:gridCol w:w="702"/>
        <w:gridCol w:w="703"/>
        <w:gridCol w:w="57"/>
        <w:gridCol w:w="646"/>
        <w:gridCol w:w="702"/>
        <w:gridCol w:w="640"/>
        <w:gridCol w:w="63"/>
        <w:gridCol w:w="703"/>
        <w:gridCol w:w="703"/>
      </w:tblGrid>
      <w:tr w:rsidR="00C60FCD" w:rsidRPr="000F0299" w14:paraId="6B462291" w14:textId="77777777" w:rsidTr="00C013C7">
        <w:tc>
          <w:tcPr>
            <w:tcW w:w="2071" w:type="dxa"/>
            <w:shd w:val="clear" w:color="auto" w:fill="BFBFBF" w:themeFill="background1" w:themeFillShade="BF"/>
            <w:vAlign w:val="center"/>
          </w:tcPr>
          <w:p w14:paraId="28FC4308" w14:textId="77777777" w:rsidR="00C60FCD" w:rsidRPr="000F0299" w:rsidRDefault="00C60FCD" w:rsidP="00830DDC">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показатеља</w:t>
            </w:r>
          </w:p>
        </w:tc>
        <w:tc>
          <w:tcPr>
            <w:tcW w:w="7027" w:type="dxa"/>
            <w:gridSpan w:val="13"/>
            <w:shd w:val="clear" w:color="auto" w:fill="BFBFBF" w:themeFill="background1" w:themeFillShade="BF"/>
            <w:vAlign w:val="center"/>
          </w:tcPr>
          <w:p w14:paraId="70A45462" w14:textId="77777777" w:rsidR="00C60FCD" w:rsidRPr="000F0299" w:rsidRDefault="00C60FCD" w:rsidP="00830DDC">
            <w:pPr>
              <w:suppressAutoHyphens w:val="0"/>
              <w:autoSpaceDN/>
              <w:spacing w:before="0"/>
              <w:ind w:firstLine="0"/>
              <w:textAlignment w:val="auto"/>
              <w:rPr>
                <w:rFonts w:eastAsiaTheme="minorHAnsi"/>
                <w:b/>
                <w:bCs/>
                <w:color w:val="000000"/>
                <w:kern w:val="0"/>
                <w:sz w:val="20"/>
                <w:szCs w:val="20"/>
                <w:lang w:eastAsia="en-US" w:bidi="ar-SA"/>
              </w:rPr>
            </w:pPr>
            <w:bookmarkStart w:id="329" w:name="_Hlk45894879"/>
            <w:r w:rsidRPr="000F0299">
              <w:rPr>
                <w:rFonts w:eastAsiaTheme="minorHAnsi"/>
                <w:b/>
                <w:bCs/>
                <w:color w:val="000000"/>
                <w:kern w:val="0"/>
                <w:sz w:val="20"/>
                <w:szCs w:val="20"/>
                <w:lang w:eastAsia="en-US" w:bidi="ar-SA"/>
              </w:rPr>
              <w:t>Степен у ком је развијен систем планирања и управљања процесом целоживотног стручног усавршавања</w:t>
            </w:r>
            <w:bookmarkEnd w:id="329"/>
          </w:p>
        </w:tc>
      </w:tr>
      <w:tr w:rsidR="00C60FCD" w:rsidRPr="000F0299" w14:paraId="198869D4" w14:textId="77777777" w:rsidTr="00C60FCD">
        <w:tc>
          <w:tcPr>
            <w:tcW w:w="2071" w:type="dxa"/>
            <w:shd w:val="clear" w:color="auto" w:fill="auto"/>
          </w:tcPr>
          <w:p w14:paraId="7CA91553"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7027" w:type="dxa"/>
            <w:gridSpan w:val="13"/>
            <w:shd w:val="clear" w:color="auto" w:fill="FFFFFF"/>
          </w:tcPr>
          <w:p w14:paraId="7DA40CB5" w14:textId="4E5D4EAE" w:rsidR="00C60FCD" w:rsidRPr="000F0299" w:rsidRDefault="00864D50" w:rsidP="00830DDC">
            <w:pPr>
              <w:suppressAutoHyphens w:val="0"/>
              <w:autoSpaceDN/>
              <w:spacing w:before="0"/>
              <w:ind w:firstLine="0"/>
              <w:textAlignment w:val="auto"/>
              <w:rPr>
                <w:rFonts w:eastAsiaTheme="minorHAnsi"/>
                <w:color w:val="000000"/>
                <w:kern w:val="24"/>
                <w:sz w:val="20"/>
                <w:szCs w:val="20"/>
                <w:lang w:eastAsia="en-US" w:bidi="ar-SA"/>
              </w:rPr>
            </w:pPr>
            <w:r w:rsidRPr="000F0299">
              <w:rPr>
                <w:rFonts w:eastAsiaTheme="minorHAnsi"/>
                <w:b/>
                <w:bCs/>
                <w:color w:val="000000"/>
                <w:kern w:val="24"/>
                <w:sz w:val="20"/>
                <w:szCs w:val="20"/>
                <w:lang w:eastAsia="en-US" w:bidi="ar-SA"/>
              </w:rPr>
              <w:t>Meрa</w:t>
            </w:r>
            <w:r w:rsidR="00C60FCD" w:rsidRPr="000F0299">
              <w:rPr>
                <w:rFonts w:eastAsiaTheme="minorHAnsi"/>
                <w:b/>
                <w:bCs/>
                <w:color w:val="000000"/>
                <w:kern w:val="24"/>
                <w:sz w:val="20"/>
                <w:szCs w:val="20"/>
                <w:lang w:eastAsia="en-US" w:bidi="ar-SA"/>
              </w:rPr>
              <w:t xml:space="preserve"> 2.3.5:</w:t>
            </w:r>
            <w:r w:rsidR="00C60FCD" w:rsidRPr="000F0299">
              <w:rPr>
                <w:rFonts w:eastAsiaTheme="minorHAnsi"/>
                <w:color w:val="000000"/>
                <w:kern w:val="24"/>
                <w:sz w:val="20"/>
                <w:szCs w:val="20"/>
                <w:lang w:eastAsia="en-US" w:bidi="ar-SA"/>
              </w:rPr>
              <w:t xml:space="preserve"> Успостављање система планирања и управљања процесом целоживотног стручног усавршавања у јавној управи (мастер план целоживотног стручног усавршавања)</w:t>
            </w:r>
          </w:p>
        </w:tc>
      </w:tr>
      <w:tr w:rsidR="00830DDC" w:rsidRPr="000F0299" w14:paraId="1301CDA0" w14:textId="77777777" w:rsidTr="00C45368">
        <w:tc>
          <w:tcPr>
            <w:tcW w:w="2071" w:type="dxa"/>
            <w:shd w:val="clear" w:color="auto" w:fill="auto"/>
          </w:tcPr>
          <w:p w14:paraId="2150970D" w14:textId="77777777" w:rsidR="00830DDC" w:rsidRPr="000F0299" w:rsidRDefault="00830DDC"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513" w:type="dxa"/>
            <w:gridSpan w:val="6"/>
            <w:shd w:val="clear" w:color="auto" w:fill="FFFFFF"/>
          </w:tcPr>
          <w:p w14:paraId="23D8772E" w14:textId="2ADAAA8C"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 xml:space="preserve">Квалитативни показатељ </w:t>
            </w:r>
          </w:p>
        </w:tc>
        <w:tc>
          <w:tcPr>
            <w:tcW w:w="3514" w:type="dxa"/>
            <w:gridSpan w:val="7"/>
            <w:shd w:val="clear" w:color="auto" w:fill="FFFFFF"/>
          </w:tcPr>
          <w:p w14:paraId="6DC0A834" w14:textId="0961C548"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 нивоу излазног резултата</w:t>
            </w:r>
          </w:p>
        </w:tc>
      </w:tr>
      <w:tr w:rsidR="00830DDC" w:rsidRPr="000F0299" w14:paraId="327B83C3" w14:textId="77777777" w:rsidTr="00C45368">
        <w:tc>
          <w:tcPr>
            <w:tcW w:w="2071" w:type="dxa"/>
            <w:shd w:val="clear" w:color="auto" w:fill="auto"/>
          </w:tcPr>
          <w:p w14:paraId="473A3AFB" w14:textId="77777777" w:rsidR="00830DDC" w:rsidRPr="000F0299" w:rsidRDefault="00830DDC"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513" w:type="dxa"/>
            <w:gridSpan w:val="6"/>
            <w:shd w:val="clear" w:color="auto" w:fill="FFFFFF"/>
          </w:tcPr>
          <w:p w14:paraId="1FEEFFD2" w14:textId="469EF45C"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Бројчани на скали од 0-1</w:t>
            </w:r>
          </w:p>
        </w:tc>
        <w:tc>
          <w:tcPr>
            <w:tcW w:w="3514" w:type="dxa"/>
            <w:gridSpan w:val="7"/>
            <w:shd w:val="clear" w:color="auto" w:fill="FFFFFF"/>
          </w:tcPr>
          <w:p w14:paraId="2AB3100D" w14:textId="7C8DB3F3"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Повећана вредност показатеља пожељна</w:t>
            </w:r>
          </w:p>
        </w:tc>
      </w:tr>
      <w:tr w:rsidR="00C60FCD" w:rsidRPr="000F0299" w14:paraId="5B46991F" w14:textId="77777777" w:rsidTr="00C60FCD">
        <w:tc>
          <w:tcPr>
            <w:tcW w:w="2071" w:type="dxa"/>
            <w:shd w:val="clear" w:color="auto" w:fill="auto"/>
          </w:tcPr>
          <w:p w14:paraId="477A9CCB"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7027" w:type="dxa"/>
            <w:gridSpan w:val="13"/>
            <w:shd w:val="clear" w:color="auto" w:fill="FFFFFF"/>
          </w:tcPr>
          <w:p w14:paraId="45DDE020" w14:textId="77777777" w:rsidR="00C60FCD" w:rsidRPr="000F0299" w:rsidRDefault="00C60FCD" w:rsidP="00830DDC">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Подаци ће бити прикупљани  на националном нивоу.</w:t>
            </w:r>
          </w:p>
          <w:p w14:paraId="6BEC174B" w14:textId="77777777" w:rsidR="00C60FCD" w:rsidRPr="000F0299" w:rsidRDefault="00C60FCD" w:rsidP="00830DDC">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0"/>
                <w:sz w:val="20"/>
                <w:szCs w:val="20"/>
                <w:lang w:eastAsia="en-GB" w:bidi="ar-SA"/>
              </w:rPr>
              <w:t>Извор: Извештај о раду МДУЛС и НАЈУ</w:t>
            </w:r>
          </w:p>
        </w:tc>
      </w:tr>
      <w:tr w:rsidR="00C60FCD" w:rsidRPr="000F0299" w14:paraId="57D49BFB" w14:textId="77777777" w:rsidTr="00C60FCD">
        <w:tc>
          <w:tcPr>
            <w:tcW w:w="2071" w:type="dxa"/>
            <w:shd w:val="clear" w:color="auto" w:fill="auto"/>
          </w:tcPr>
          <w:p w14:paraId="3E6D2449"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носиоца прикупљања података</w:t>
            </w:r>
          </w:p>
        </w:tc>
        <w:tc>
          <w:tcPr>
            <w:tcW w:w="7027" w:type="dxa"/>
            <w:gridSpan w:val="13"/>
            <w:shd w:val="clear" w:color="auto" w:fill="FFFFFF"/>
          </w:tcPr>
          <w:p w14:paraId="6E1FDFAB" w14:textId="05F0C562" w:rsidR="00C60FCD" w:rsidRPr="000F0299" w:rsidRDefault="00AE6044" w:rsidP="009C5F38">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 xml:space="preserve">Министарство државне управе и локалне самоуправе, </w:t>
            </w:r>
            <w:r>
              <w:rPr>
                <w:rFonts w:eastAsiaTheme="minorHAnsi"/>
                <w:color w:val="000000"/>
                <w:kern w:val="24"/>
                <w:sz w:val="20"/>
                <w:szCs w:val="20"/>
                <w:lang w:eastAsia="en-GB" w:bidi="ar-SA"/>
              </w:rPr>
              <w:t>Сектор за стручно усавршавање</w:t>
            </w:r>
          </w:p>
        </w:tc>
      </w:tr>
      <w:tr w:rsidR="00C60FCD" w:rsidRPr="000F0299" w14:paraId="5965FA3D" w14:textId="77777777" w:rsidTr="00C60FCD">
        <w:tc>
          <w:tcPr>
            <w:tcW w:w="2071" w:type="dxa"/>
            <w:shd w:val="clear" w:color="auto" w:fill="auto"/>
          </w:tcPr>
          <w:p w14:paraId="1270C593"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7027" w:type="dxa"/>
            <w:gridSpan w:val="13"/>
            <w:shd w:val="clear" w:color="auto" w:fill="FFFFFF"/>
          </w:tcPr>
          <w:p w14:paraId="0B5866A2"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C60FCD" w:rsidRPr="000F0299" w14:paraId="605CBDE7" w14:textId="77777777" w:rsidTr="00C60FCD">
        <w:tc>
          <w:tcPr>
            <w:tcW w:w="2071" w:type="dxa"/>
            <w:shd w:val="clear" w:color="auto" w:fill="auto"/>
          </w:tcPr>
          <w:p w14:paraId="383DE880"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7027" w:type="dxa"/>
            <w:gridSpan w:val="13"/>
            <w:shd w:val="clear" w:color="auto" w:fill="FFFFFF"/>
          </w:tcPr>
          <w:p w14:paraId="3A0D5762" w14:textId="77777777" w:rsidR="00C60FCD" w:rsidRPr="000F0299" w:rsidRDefault="00C60FCD" w:rsidP="00830DDC">
            <w:pPr>
              <w:suppressAutoHyphens w:val="0"/>
              <w:autoSpaceDN/>
              <w:spacing w:before="0"/>
              <w:ind w:firstLine="0"/>
              <w:textAlignment w:val="auto"/>
              <w:rPr>
                <w:rFonts w:eastAsiaTheme="minorHAnsi"/>
                <w:color w:val="000000"/>
                <w:kern w:val="24"/>
                <w:sz w:val="20"/>
                <w:szCs w:val="20"/>
                <w:lang w:eastAsia="en-GB" w:bidi="ar-SA"/>
              </w:rPr>
            </w:pPr>
            <w:bookmarkStart w:id="330" w:name="_Hlk45894832"/>
            <w:r w:rsidRPr="000F0299">
              <w:rPr>
                <w:rFonts w:eastAsiaTheme="minorHAnsi"/>
                <w:color w:val="000000"/>
                <w:kern w:val="0"/>
                <w:sz w:val="20"/>
                <w:szCs w:val="20"/>
                <w:lang w:eastAsia="en-GB" w:bidi="ar-SA"/>
              </w:rPr>
              <w:t xml:space="preserve">Овај показатељ мери да ли је развијен систем планирања и управљања процесом целоживотног стручног усавршавања. Критеријум који се користи за утврђивање вредности индикатора је припремљен </w:t>
            </w:r>
            <w:r w:rsidRPr="000F0299">
              <w:rPr>
                <w:rFonts w:eastAsiaTheme="minorHAnsi"/>
                <w:color w:val="000000"/>
                <w:kern w:val="24"/>
                <w:sz w:val="20"/>
                <w:szCs w:val="20"/>
                <w:lang w:eastAsia="en-GB" w:bidi="ar-SA"/>
              </w:rPr>
              <w:t>модел мастер плана целоживотног стручног усавршавања у јавној управи.</w:t>
            </w:r>
          </w:p>
          <w:p w14:paraId="2CDE1F1F" w14:textId="5D8660E2"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0"/>
                <w:sz w:val="20"/>
                <w:szCs w:val="20"/>
                <w:lang w:eastAsia="en-GB" w:bidi="ar-SA"/>
              </w:rPr>
              <w:t xml:space="preserve">Уколико модел није припремљен вредност индикатора је 0, а уколико је </w:t>
            </w:r>
            <w:r w:rsidR="00864D50" w:rsidRPr="000F0299">
              <w:rPr>
                <w:rFonts w:eastAsiaTheme="minorHAnsi"/>
                <w:color w:val="000000"/>
                <w:kern w:val="0"/>
                <w:sz w:val="20"/>
                <w:szCs w:val="20"/>
                <w:lang w:eastAsia="en-GB" w:bidi="ar-SA"/>
              </w:rPr>
              <w:t>припремљен</w:t>
            </w:r>
            <w:r w:rsidRPr="000F0299">
              <w:rPr>
                <w:rFonts w:eastAsiaTheme="minorHAnsi"/>
                <w:color w:val="000000"/>
                <w:kern w:val="0"/>
                <w:sz w:val="20"/>
                <w:szCs w:val="20"/>
                <w:lang w:eastAsia="en-GB" w:bidi="ar-SA"/>
              </w:rPr>
              <w:t xml:space="preserve"> вредност показатеља је 1.</w:t>
            </w:r>
            <w:bookmarkEnd w:id="330"/>
          </w:p>
        </w:tc>
      </w:tr>
      <w:tr w:rsidR="00C60FCD" w:rsidRPr="000F0299" w14:paraId="6B381F42" w14:textId="77777777" w:rsidTr="00C60FCD">
        <w:tc>
          <w:tcPr>
            <w:tcW w:w="2071" w:type="dxa"/>
            <w:vMerge w:val="restart"/>
            <w:shd w:val="clear" w:color="auto" w:fill="auto"/>
          </w:tcPr>
          <w:p w14:paraId="60EE385C"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558" w:type="dxa"/>
            <w:gridSpan w:val="10"/>
            <w:shd w:val="clear" w:color="auto" w:fill="FFFFFF"/>
          </w:tcPr>
          <w:p w14:paraId="2DF4FB6A"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Тренд у прошлости</w:t>
            </w:r>
          </w:p>
        </w:tc>
        <w:tc>
          <w:tcPr>
            <w:tcW w:w="1469" w:type="dxa"/>
            <w:gridSpan w:val="3"/>
            <w:shd w:val="clear" w:color="auto" w:fill="FFFFFF"/>
          </w:tcPr>
          <w:p w14:paraId="2A5DCAC1"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Полазна вредност</w:t>
            </w:r>
          </w:p>
        </w:tc>
      </w:tr>
      <w:tr w:rsidR="00C60FCD" w:rsidRPr="000F0299" w14:paraId="3E63CBE5" w14:textId="77777777" w:rsidTr="00C60FCD">
        <w:tc>
          <w:tcPr>
            <w:tcW w:w="2071" w:type="dxa"/>
            <w:vMerge/>
            <w:shd w:val="clear" w:color="auto" w:fill="auto"/>
            <w:vAlign w:val="center"/>
          </w:tcPr>
          <w:p w14:paraId="63141C50"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p>
        </w:tc>
        <w:tc>
          <w:tcPr>
            <w:tcW w:w="1665" w:type="dxa"/>
            <w:gridSpan w:val="3"/>
            <w:shd w:val="clear" w:color="auto" w:fill="FFFFFF"/>
          </w:tcPr>
          <w:p w14:paraId="158F144A"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2016</w:t>
            </w:r>
          </w:p>
        </w:tc>
        <w:tc>
          <w:tcPr>
            <w:tcW w:w="1905" w:type="dxa"/>
            <w:gridSpan w:val="4"/>
            <w:shd w:val="clear" w:color="auto" w:fill="FFFFFF"/>
          </w:tcPr>
          <w:p w14:paraId="2D0A0B96"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2017</w:t>
            </w:r>
          </w:p>
        </w:tc>
        <w:tc>
          <w:tcPr>
            <w:tcW w:w="1988" w:type="dxa"/>
            <w:gridSpan w:val="3"/>
            <w:shd w:val="clear" w:color="auto" w:fill="FFFFFF"/>
          </w:tcPr>
          <w:p w14:paraId="756B55E0"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2018</w:t>
            </w:r>
          </w:p>
        </w:tc>
        <w:tc>
          <w:tcPr>
            <w:tcW w:w="1469" w:type="dxa"/>
            <w:gridSpan w:val="3"/>
            <w:shd w:val="clear" w:color="auto" w:fill="FFFFFF"/>
          </w:tcPr>
          <w:p w14:paraId="31CA7128"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2019</w:t>
            </w:r>
          </w:p>
        </w:tc>
      </w:tr>
      <w:tr w:rsidR="00C60FCD" w:rsidRPr="000F0299" w14:paraId="54BD6A02" w14:textId="77777777" w:rsidTr="00C60FCD">
        <w:tc>
          <w:tcPr>
            <w:tcW w:w="2071" w:type="dxa"/>
            <w:vMerge/>
            <w:shd w:val="clear" w:color="auto" w:fill="auto"/>
            <w:vAlign w:val="center"/>
          </w:tcPr>
          <w:p w14:paraId="1591EB28"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p>
        </w:tc>
        <w:tc>
          <w:tcPr>
            <w:tcW w:w="1665" w:type="dxa"/>
            <w:gridSpan w:val="3"/>
            <w:shd w:val="clear" w:color="auto" w:fill="FFFFFF"/>
          </w:tcPr>
          <w:p w14:paraId="19F724A4"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05" w:type="dxa"/>
            <w:gridSpan w:val="4"/>
            <w:shd w:val="clear" w:color="auto" w:fill="FFFFFF"/>
          </w:tcPr>
          <w:p w14:paraId="39456984"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88" w:type="dxa"/>
            <w:gridSpan w:val="3"/>
            <w:shd w:val="clear" w:color="auto" w:fill="FFFFFF"/>
          </w:tcPr>
          <w:p w14:paraId="36EDC0CC"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469" w:type="dxa"/>
            <w:gridSpan w:val="3"/>
            <w:shd w:val="clear" w:color="auto" w:fill="FFFFFF"/>
          </w:tcPr>
          <w:p w14:paraId="5A0A35C3"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0</w:t>
            </w:r>
          </w:p>
        </w:tc>
      </w:tr>
      <w:tr w:rsidR="00C60FCD" w:rsidRPr="000F0299" w14:paraId="63EB3B9F" w14:textId="77777777" w:rsidTr="00C60FCD">
        <w:tc>
          <w:tcPr>
            <w:tcW w:w="2071" w:type="dxa"/>
            <w:vMerge w:val="restart"/>
            <w:shd w:val="clear" w:color="auto" w:fill="auto"/>
          </w:tcPr>
          <w:p w14:paraId="0198A559"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702" w:type="dxa"/>
            <w:shd w:val="clear" w:color="auto" w:fill="FFFFFF"/>
            <w:vAlign w:val="center"/>
          </w:tcPr>
          <w:p w14:paraId="580BF9E8"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2021</w:t>
            </w:r>
          </w:p>
        </w:tc>
        <w:tc>
          <w:tcPr>
            <w:tcW w:w="703" w:type="dxa"/>
            <w:shd w:val="clear" w:color="auto" w:fill="FFFFFF"/>
            <w:vAlign w:val="center"/>
          </w:tcPr>
          <w:p w14:paraId="5E7F2A6C"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2022</w:t>
            </w:r>
          </w:p>
        </w:tc>
        <w:tc>
          <w:tcPr>
            <w:tcW w:w="703" w:type="dxa"/>
            <w:gridSpan w:val="2"/>
            <w:shd w:val="clear" w:color="auto" w:fill="FFFFFF"/>
            <w:vAlign w:val="center"/>
          </w:tcPr>
          <w:p w14:paraId="4F8B612D"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2023</w:t>
            </w:r>
          </w:p>
        </w:tc>
        <w:tc>
          <w:tcPr>
            <w:tcW w:w="702" w:type="dxa"/>
            <w:shd w:val="clear" w:color="auto" w:fill="FFFFFF"/>
            <w:vAlign w:val="center"/>
          </w:tcPr>
          <w:p w14:paraId="311BE36D"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2024</w:t>
            </w:r>
          </w:p>
        </w:tc>
        <w:tc>
          <w:tcPr>
            <w:tcW w:w="703" w:type="dxa"/>
            <w:shd w:val="clear" w:color="auto" w:fill="FFFFFF"/>
            <w:vAlign w:val="center"/>
          </w:tcPr>
          <w:p w14:paraId="15F08B8A"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2025</w:t>
            </w:r>
          </w:p>
        </w:tc>
        <w:tc>
          <w:tcPr>
            <w:tcW w:w="703" w:type="dxa"/>
            <w:gridSpan w:val="2"/>
            <w:shd w:val="clear" w:color="auto" w:fill="FFFFFF"/>
            <w:vAlign w:val="center"/>
          </w:tcPr>
          <w:p w14:paraId="4825F6CA"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2026</w:t>
            </w:r>
          </w:p>
        </w:tc>
        <w:tc>
          <w:tcPr>
            <w:tcW w:w="702" w:type="dxa"/>
            <w:shd w:val="clear" w:color="auto" w:fill="FFFFFF"/>
            <w:vAlign w:val="center"/>
          </w:tcPr>
          <w:p w14:paraId="73796C0F"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2027</w:t>
            </w:r>
          </w:p>
        </w:tc>
        <w:tc>
          <w:tcPr>
            <w:tcW w:w="703" w:type="dxa"/>
            <w:gridSpan w:val="2"/>
            <w:shd w:val="clear" w:color="auto" w:fill="FFFFFF"/>
            <w:vAlign w:val="center"/>
          </w:tcPr>
          <w:p w14:paraId="143382FF"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2028</w:t>
            </w:r>
          </w:p>
        </w:tc>
        <w:tc>
          <w:tcPr>
            <w:tcW w:w="703" w:type="dxa"/>
            <w:shd w:val="clear" w:color="auto" w:fill="FFFFFF"/>
            <w:vAlign w:val="center"/>
          </w:tcPr>
          <w:p w14:paraId="17353ABE"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2029</w:t>
            </w:r>
          </w:p>
        </w:tc>
        <w:tc>
          <w:tcPr>
            <w:tcW w:w="703" w:type="dxa"/>
            <w:shd w:val="clear" w:color="auto" w:fill="FFFFFF"/>
            <w:vAlign w:val="center"/>
          </w:tcPr>
          <w:p w14:paraId="701B5726"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2030</w:t>
            </w:r>
          </w:p>
        </w:tc>
      </w:tr>
      <w:tr w:rsidR="00C60FCD" w:rsidRPr="000F0299" w14:paraId="4121E667" w14:textId="77777777" w:rsidTr="00C60FCD">
        <w:tc>
          <w:tcPr>
            <w:tcW w:w="2071" w:type="dxa"/>
            <w:vMerge/>
            <w:shd w:val="clear" w:color="auto" w:fill="auto"/>
          </w:tcPr>
          <w:p w14:paraId="525B357A"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p>
        </w:tc>
        <w:tc>
          <w:tcPr>
            <w:tcW w:w="702" w:type="dxa"/>
            <w:shd w:val="clear" w:color="auto" w:fill="FFFFFF"/>
          </w:tcPr>
          <w:p w14:paraId="101F66AF"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0</w:t>
            </w:r>
          </w:p>
        </w:tc>
        <w:tc>
          <w:tcPr>
            <w:tcW w:w="703" w:type="dxa"/>
            <w:shd w:val="clear" w:color="auto" w:fill="FFFFFF"/>
          </w:tcPr>
          <w:p w14:paraId="1FB3077E"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0</w:t>
            </w:r>
          </w:p>
        </w:tc>
        <w:tc>
          <w:tcPr>
            <w:tcW w:w="703" w:type="dxa"/>
            <w:gridSpan w:val="2"/>
            <w:shd w:val="clear" w:color="auto" w:fill="FFFFFF"/>
          </w:tcPr>
          <w:p w14:paraId="32331DED"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0</w:t>
            </w:r>
          </w:p>
        </w:tc>
        <w:tc>
          <w:tcPr>
            <w:tcW w:w="702" w:type="dxa"/>
            <w:shd w:val="clear" w:color="auto" w:fill="FFFFFF"/>
          </w:tcPr>
          <w:p w14:paraId="6E0FECEE"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0</w:t>
            </w:r>
          </w:p>
        </w:tc>
        <w:tc>
          <w:tcPr>
            <w:tcW w:w="703" w:type="dxa"/>
            <w:shd w:val="clear" w:color="auto" w:fill="FFFFFF"/>
          </w:tcPr>
          <w:p w14:paraId="74014C83"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c>
          <w:tcPr>
            <w:tcW w:w="703" w:type="dxa"/>
            <w:gridSpan w:val="2"/>
            <w:shd w:val="clear" w:color="auto" w:fill="FFFFFF"/>
          </w:tcPr>
          <w:p w14:paraId="70E126B6"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c>
          <w:tcPr>
            <w:tcW w:w="702" w:type="dxa"/>
            <w:shd w:val="clear" w:color="auto" w:fill="FFFFFF"/>
          </w:tcPr>
          <w:p w14:paraId="08970E54"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c>
          <w:tcPr>
            <w:tcW w:w="703" w:type="dxa"/>
            <w:gridSpan w:val="2"/>
            <w:shd w:val="clear" w:color="auto" w:fill="FFFFFF"/>
          </w:tcPr>
          <w:p w14:paraId="260D69E2"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c>
          <w:tcPr>
            <w:tcW w:w="703" w:type="dxa"/>
            <w:shd w:val="clear" w:color="auto" w:fill="FFFFFF"/>
          </w:tcPr>
          <w:p w14:paraId="6BA3D3DF"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c>
          <w:tcPr>
            <w:tcW w:w="703" w:type="dxa"/>
            <w:shd w:val="clear" w:color="auto" w:fill="FFFFFF"/>
          </w:tcPr>
          <w:p w14:paraId="07040AE0"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r>
      <w:tr w:rsidR="00C60FCD" w:rsidRPr="000F0299" w14:paraId="02152CA5" w14:textId="77777777" w:rsidTr="00C60FCD">
        <w:tc>
          <w:tcPr>
            <w:tcW w:w="2071" w:type="dxa"/>
            <w:shd w:val="clear" w:color="auto" w:fill="auto"/>
          </w:tcPr>
          <w:p w14:paraId="4C90CBA5"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7027" w:type="dxa"/>
            <w:gridSpan w:val="13"/>
            <w:shd w:val="clear" w:color="auto" w:fill="FFFFFF"/>
            <w:vAlign w:val="center"/>
          </w:tcPr>
          <w:p w14:paraId="69E144B1"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Без одступања.</w:t>
            </w:r>
          </w:p>
        </w:tc>
      </w:tr>
    </w:tbl>
    <w:p w14:paraId="1F0D3364" w14:textId="01FF5A45" w:rsidR="00C60FCD" w:rsidRPr="000F0299" w:rsidRDefault="00C013C7" w:rsidP="00BE55B6">
      <w:pPr>
        <w:ind w:firstLine="0"/>
        <w:rPr>
          <w:b/>
          <w:bCs/>
          <w:color w:val="2F5496" w:themeColor="accent1" w:themeShade="BF"/>
        </w:rPr>
      </w:pPr>
      <w:r w:rsidRPr="000F0299">
        <w:rPr>
          <w:b/>
          <w:bCs/>
          <w:color w:val="2F5496" w:themeColor="accent1" w:themeShade="BF"/>
        </w:rPr>
        <w:t>Показатељ</w:t>
      </w:r>
      <w:r w:rsidR="00C60FCD" w:rsidRPr="000F0299">
        <w:rPr>
          <w:b/>
          <w:bCs/>
          <w:color w:val="2F5496" w:themeColor="accent1" w:themeShade="BF"/>
        </w:rPr>
        <w:t xml:space="preserve"> 7</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702"/>
        <w:gridCol w:w="703"/>
        <w:gridCol w:w="260"/>
        <w:gridCol w:w="443"/>
        <w:gridCol w:w="702"/>
        <w:gridCol w:w="703"/>
        <w:gridCol w:w="57"/>
        <w:gridCol w:w="646"/>
        <w:gridCol w:w="702"/>
        <w:gridCol w:w="640"/>
        <w:gridCol w:w="63"/>
        <w:gridCol w:w="703"/>
        <w:gridCol w:w="703"/>
      </w:tblGrid>
      <w:tr w:rsidR="00C60FCD" w:rsidRPr="000F0299" w14:paraId="4A945064" w14:textId="77777777" w:rsidTr="00C013C7">
        <w:tc>
          <w:tcPr>
            <w:tcW w:w="2071" w:type="dxa"/>
            <w:shd w:val="clear" w:color="auto" w:fill="BFBFBF" w:themeFill="background1" w:themeFillShade="BF"/>
            <w:vAlign w:val="center"/>
          </w:tcPr>
          <w:p w14:paraId="5879499B" w14:textId="77777777" w:rsidR="00C60FCD" w:rsidRPr="000F0299" w:rsidRDefault="00C60FCD" w:rsidP="00830DDC">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показатеља</w:t>
            </w:r>
          </w:p>
        </w:tc>
        <w:tc>
          <w:tcPr>
            <w:tcW w:w="7027" w:type="dxa"/>
            <w:gridSpan w:val="13"/>
            <w:shd w:val="clear" w:color="auto" w:fill="BFBFBF" w:themeFill="background1" w:themeFillShade="BF"/>
            <w:vAlign w:val="center"/>
          </w:tcPr>
          <w:p w14:paraId="4009948A" w14:textId="77777777" w:rsidR="00C60FCD" w:rsidRPr="000F0299" w:rsidRDefault="00C60FCD" w:rsidP="00830DDC">
            <w:pPr>
              <w:suppressAutoHyphens w:val="0"/>
              <w:autoSpaceDN/>
              <w:spacing w:before="0"/>
              <w:ind w:firstLine="0"/>
              <w:textAlignment w:val="auto"/>
              <w:rPr>
                <w:rFonts w:eastAsiaTheme="minorHAnsi"/>
                <w:b/>
                <w:bCs/>
                <w:color w:val="000000"/>
                <w:kern w:val="0"/>
                <w:sz w:val="20"/>
                <w:szCs w:val="20"/>
                <w:lang w:eastAsia="en-US" w:bidi="ar-SA"/>
              </w:rPr>
            </w:pPr>
            <w:r w:rsidRPr="000F0299">
              <w:rPr>
                <w:rFonts w:eastAsiaTheme="minorHAnsi"/>
                <w:b/>
                <w:bCs/>
                <w:color w:val="000000"/>
                <w:kern w:val="0"/>
                <w:sz w:val="20"/>
                <w:szCs w:val="20"/>
                <w:lang w:eastAsia="en-US" w:bidi="ar-SA"/>
              </w:rPr>
              <w:t xml:space="preserve">Степен у којем је развијен оквир сарадње институција у чијем делокругу су послови стручног усавршавања запослених </w:t>
            </w:r>
          </w:p>
        </w:tc>
      </w:tr>
      <w:tr w:rsidR="00C60FCD" w:rsidRPr="000F0299" w14:paraId="333EBB6E" w14:textId="77777777" w:rsidTr="00C60FCD">
        <w:tc>
          <w:tcPr>
            <w:tcW w:w="2071" w:type="dxa"/>
            <w:shd w:val="clear" w:color="auto" w:fill="auto"/>
          </w:tcPr>
          <w:p w14:paraId="36DCF980"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7027" w:type="dxa"/>
            <w:gridSpan w:val="13"/>
            <w:shd w:val="clear" w:color="auto" w:fill="FFFFFF"/>
          </w:tcPr>
          <w:p w14:paraId="565C6FED" w14:textId="45F3DB8C" w:rsidR="00C60FCD" w:rsidRPr="000F0299" w:rsidRDefault="00864D50" w:rsidP="00830DDC">
            <w:pPr>
              <w:suppressAutoHyphens w:val="0"/>
              <w:autoSpaceDN/>
              <w:spacing w:before="0"/>
              <w:ind w:firstLine="0"/>
              <w:textAlignment w:val="auto"/>
              <w:rPr>
                <w:rFonts w:eastAsiaTheme="minorHAnsi"/>
                <w:color w:val="000000"/>
                <w:kern w:val="24"/>
                <w:sz w:val="20"/>
                <w:szCs w:val="20"/>
                <w:lang w:eastAsia="en-US" w:bidi="ar-SA"/>
              </w:rPr>
            </w:pPr>
            <w:r w:rsidRPr="000F0299">
              <w:rPr>
                <w:rFonts w:eastAsiaTheme="minorHAnsi"/>
                <w:b/>
                <w:bCs/>
                <w:color w:val="000000"/>
                <w:kern w:val="24"/>
                <w:sz w:val="20"/>
                <w:szCs w:val="20"/>
                <w:lang w:eastAsia="en-US" w:bidi="ar-SA"/>
              </w:rPr>
              <w:t>Meрa</w:t>
            </w:r>
            <w:r w:rsidR="00C60FCD" w:rsidRPr="000F0299">
              <w:rPr>
                <w:rFonts w:eastAsiaTheme="minorHAnsi"/>
                <w:b/>
                <w:bCs/>
                <w:color w:val="000000"/>
                <w:kern w:val="24"/>
                <w:sz w:val="20"/>
                <w:szCs w:val="20"/>
                <w:lang w:eastAsia="en-US" w:bidi="ar-SA"/>
              </w:rPr>
              <w:t xml:space="preserve"> 2.3.6:</w:t>
            </w:r>
            <w:r w:rsidR="00C60FCD" w:rsidRPr="000F0299">
              <w:rPr>
                <w:rFonts w:eastAsiaTheme="minorHAnsi"/>
                <w:color w:val="000000"/>
                <w:kern w:val="24"/>
                <w:sz w:val="20"/>
                <w:szCs w:val="20"/>
                <w:lang w:eastAsia="en-US" w:bidi="ar-SA"/>
              </w:rPr>
              <w:t xml:space="preserve"> Успостављање </w:t>
            </w:r>
            <w:r w:rsidRPr="000F0299">
              <w:rPr>
                <w:rFonts w:eastAsiaTheme="minorHAnsi"/>
                <w:color w:val="000000"/>
                <w:kern w:val="24"/>
                <w:sz w:val="20"/>
                <w:szCs w:val="20"/>
                <w:lang w:eastAsia="en-US" w:bidi="ar-SA"/>
              </w:rPr>
              <w:t>инструмената</w:t>
            </w:r>
            <w:r w:rsidR="00C60FCD" w:rsidRPr="000F0299">
              <w:rPr>
                <w:rFonts w:eastAsiaTheme="minorHAnsi"/>
                <w:color w:val="000000"/>
                <w:kern w:val="24"/>
                <w:sz w:val="20"/>
                <w:szCs w:val="20"/>
                <w:lang w:eastAsia="en-US" w:bidi="ar-SA"/>
              </w:rPr>
              <w:t xml:space="preserve"> сарадње институција у чијем делокругу су послови стручног усавршавања запослених у државним и другим органима</w:t>
            </w:r>
          </w:p>
        </w:tc>
      </w:tr>
      <w:tr w:rsidR="00830DDC" w:rsidRPr="000F0299" w14:paraId="65A91A4B" w14:textId="77777777" w:rsidTr="00C45368">
        <w:tc>
          <w:tcPr>
            <w:tcW w:w="2071" w:type="dxa"/>
            <w:shd w:val="clear" w:color="auto" w:fill="auto"/>
          </w:tcPr>
          <w:p w14:paraId="08A926C2" w14:textId="77777777" w:rsidR="00830DDC" w:rsidRPr="000F0299" w:rsidRDefault="00830DDC"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513" w:type="dxa"/>
            <w:gridSpan w:val="6"/>
            <w:shd w:val="clear" w:color="auto" w:fill="FFFFFF"/>
          </w:tcPr>
          <w:p w14:paraId="10E3C47F" w14:textId="172571BA"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 xml:space="preserve">Квалитативни показатељ </w:t>
            </w:r>
          </w:p>
        </w:tc>
        <w:tc>
          <w:tcPr>
            <w:tcW w:w="3514" w:type="dxa"/>
            <w:gridSpan w:val="7"/>
            <w:shd w:val="clear" w:color="auto" w:fill="FFFFFF"/>
          </w:tcPr>
          <w:p w14:paraId="342E0CAD" w14:textId="56454B83"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 нивоу излазног резултата</w:t>
            </w:r>
          </w:p>
        </w:tc>
      </w:tr>
      <w:tr w:rsidR="00830DDC" w:rsidRPr="000F0299" w14:paraId="7400370E" w14:textId="77777777" w:rsidTr="00C45368">
        <w:tc>
          <w:tcPr>
            <w:tcW w:w="2071" w:type="dxa"/>
            <w:shd w:val="clear" w:color="auto" w:fill="auto"/>
          </w:tcPr>
          <w:p w14:paraId="23629A19" w14:textId="77777777" w:rsidR="00830DDC" w:rsidRPr="000F0299" w:rsidRDefault="00830DDC"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513" w:type="dxa"/>
            <w:gridSpan w:val="6"/>
            <w:shd w:val="clear" w:color="auto" w:fill="FFFFFF"/>
          </w:tcPr>
          <w:p w14:paraId="7006AB59" w14:textId="6C0CCF4D"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Бројчани на скали од 0-1</w:t>
            </w:r>
          </w:p>
        </w:tc>
        <w:tc>
          <w:tcPr>
            <w:tcW w:w="3514" w:type="dxa"/>
            <w:gridSpan w:val="7"/>
            <w:shd w:val="clear" w:color="auto" w:fill="FFFFFF"/>
          </w:tcPr>
          <w:p w14:paraId="5B415254" w14:textId="2A72DC94"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Повећана вредност показатеља пожељна</w:t>
            </w:r>
          </w:p>
        </w:tc>
      </w:tr>
      <w:tr w:rsidR="00C60FCD" w:rsidRPr="000F0299" w14:paraId="4651AF84" w14:textId="77777777" w:rsidTr="00C60FCD">
        <w:tc>
          <w:tcPr>
            <w:tcW w:w="2071" w:type="dxa"/>
            <w:shd w:val="clear" w:color="auto" w:fill="auto"/>
          </w:tcPr>
          <w:p w14:paraId="474D0C6C"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7027" w:type="dxa"/>
            <w:gridSpan w:val="13"/>
            <w:shd w:val="clear" w:color="auto" w:fill="FFFFFF"/>
          </w:tcPr>
          <w:p w14:paraId="71E25A48" w14:textId="77777777" w:rsidR="00C60FCD" w:rsidRPr="000F0299" w:rsidRDefault="00C60FCD" w:rsidP="00830DDC">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Подаци ће бити прикупљани  на националном нивоу.</w:t>
            </w:r>
          </w:p>
          <w:p w14:paraId="25C65FB0" w14:textId="4279AA85"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0"/>
                <w:sz w:val="20"/>
                <w:szCs w:val="20"/>
                <w:lang w:eastAsia="en-GB" w:bidi="ar-SA"/>
              </w:rPr>
              <w:t>Извор: Извештај о раду МДУЛС и НАЈУ</w:t>
            </w:r>
          </w:p>
        </w:tc>
      </w:tr>
      <w:tr w:rsidR="00C60FCD" w:rsidRPr="000F0299" w14:paraId="3582EF99" w14:textId="77777777" w:rsidTr="00C60FCD">
        <w:tc>
          <w:tcPr>
            <w:tcW w:w="2071" w:type="dxa"/>
            <w:shd w:val="clear" w:color="auto" w:fill="auto"/>
          </w:tcPr>
          <w:p w14:paraId="46C726DB"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носиоца прикупљања података</w:t>
            </w:r>
          </w:p>
        </w:tc>
        <w:tc>
          <w:tcPr>
            <w:tcW w:w="7027" w:type="dxa"/>
            <w:gridSpan w:val="13"/>
            <w:shd w:val="clear" w:color="auto" w:fill="FFFFFF"/>
          </w:tcPr>
          <w:p w14:paraId="612A7979" w14:textId="2A983D3B" w:rsidR="00C60FCD" w:rsidRPr="000F0299" w:rsidRDefault="00AE6044" w:rsidP="00830DDC">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 xml:space="preserve">Министарство државне управе и локалне самоуправе, </w:t>
            </w:r>
            <w:r>
              <w:rPr>
                <w:rFonts w:eastAsiaTheme="minorHAnsi"/>
                <w:color w:val="000000"/>
                <w:kern w:val="24"/>
                <w:sz w:val="20"/>
                <w:szCs w:val="20"/>
                <w:lang w:eastAsia="en-GB" w:bidi="ar-SA"/>
              </w:rPr>
              <w:t>Сектор за стручно усавршавање</w:t>
            </w:r>
          </w:p>
        </w:tc>
      </w:tr>
      <w:tr w:rsidR="00C60FCD" w:rsidRPr="000F0299" w14:paraId="013A4C6B" w14:textId="77777777" w:rsidTr="00C60FCD">
        <w:tc>
          <w:tcPr>
            <w:tcW w:w="2071" w:type="dxa"/>
            <w:shd w:val="clear" w:color="auto" w:fill="auto"/>
          </w:tcPr>
          <w:p w14:paraId="7B2E95D9"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7027" w:type="dxa"/>
            <w:gridSpan w:val="13"/>
            <w:shd w:val="clear" w:color="auto" w:fill="FFFFFF"/>
          </w:tcPr>
          <w:p w14:paraId="45379ACC"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C60FCD" w:rsidRPr="000F0299" w14:paraId="5D4E2903" w14:textId="77777777" w:rsidTr="00C60FCD">
        <w:tc>
          <w:tcPr>
            <w:tcW w:w="2071" w:type="dxa"/>
            <w:shd w:val="clear" w:color="auto" w:fill="auto"/>
          </w:tcPr>
          <w:p w14:paraId="34926336"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7027" w:type="dxa"/>
            <w:gridSpan w:val="13"/>
            <w:shd w:val="clear" w:color="auto" w:fill="FFFFFF"/>
          </w:tcPr>
          <w:p w14:paraId="330C2BBA" w14:textId="77777777" w:rsidR="006D3202" w:rsidRPr="006D3202" w:rsidRDefault="006D3202" w:rsidP="006D3202">
            <w:pPr>
              <w:suppressAutoHyphens w:val="0"/>
              <w:autoSpaceDN/>
              <w:spacing w:before="0"/>
              <w:ind w:firstLine="0"/>
              <w:textAlignment w:val="auto"/>
              <w:rPr>
                <w:rFonts w:eastAsiaTheme="minorHAnsi"/>
                <w:color w:val="000000"/>
                <w:kern w:val="0"/>
                <w:sz w:val="20"/>
                <w:szCs w:val="20"/>
                <w:lang w:eastAsia="en-GB" w:bidi="ar-SA"/>
              </w:rPr>
            </w:pPr>
            <w:r w:rsidRPr="006D3202">
              <w:rPr>
                <w:rFonts w:eastAsiaTheme="minorHAnsi"/>
                <w:color w:val="000000"/>
                <w:kern w:val="0"/>
                <w:sz w:val="20"/>
                <w:szCs w:val="20"/>
                <w:lang w:eastAsia="en-GB" w:bidi="ar-SA"/>
              </w:rPr>
              <w:t xml:space="preserve">Овај показатељ мери да ли је развијена оквир сарадње институција у чијем делокругу су послови организовања и спровођења програма стручног усавршавања запослених у државним и другим органима (мрежа школа). </w:t>
            </w:r>
          </w:p>
          <w:p w14:paraId="0F5C26EE" w14:textId="21C32FA7" w:rsidR="00C60FCD" w:rsidRPr="006D3202" w:rsidRDefault="006D3202" w:rsidP="006D3202">
            <w:pPr>
              <w:suppressAutoHyphens w:val="0"/>
              <w:autoSpaceDN/>
              <w:spacing w:before="0"/>
              <w:ind w:firstLine="0"/>
              <w:textAlignment w:val="auto"/>
              <w:rPr>
                <w:rFonts w:eastAsiaTheme="minorHAnsi"/>
                <w:color w:val="000000"/>
                <w:kern w:val="0"/>
                <w:sz w:val="20"/>
                <w:szCs w:val="20"/>
                <w:lang w:eastAsia="en-GB" w:bidi="ar-SA"/>
              </w:rPr>
            </w:pPr>
            <w:r w:rsidRPr="006D3202">
              <w:rPr>
                <w:rFonts w:eastAsiaTheme="minorHAnsi"/>
                <w:color w:val="000000"/>
                <w:kern w:val="0"/>
                <w:sz w:val="20"/>
                <w:szCs w:val="20"/>
                <w:lang w:eastAsia="en-GB" w:bidi="ar-SA"/>
              </w:rPr>
              <w:t>Вредност показатеља се израчунава тако што се прати да ли је МДУЛС реализовао најмање једну активност годишње у оквиру успостављене мреже институција у чијем су  делокругу послови припреме и спровођења програма обуке. Да би индикатор био испуњен  потребно је да су три кључне институције (НАЈУ, Правосудна академија, Дипломатска академија) и  органи државне управе који имају развијене системе посебног стручног усавршавања  Учествовали у организованим активностима на годишњем нивоу. Уколико је услов испуњен вредност индикатора је 1, а у супротном је вредност</w:t>
            </w:r>
            <w:r>
              <w:rPr>
                <w:rFonts w:eastAsiaTheme="minorHAnsi"/>
                <w:color w:val="000000"/>
                <w:kern w:val="0"/>
                <w:sz w:val="20"/>
                <w:szCs w:val="20"/>
                <w:lang w:eastAsia="en-GB" w:bidi="ar-SA"/>
              </w:rPr>
              <w:t xml:space="preserve"> је 0</w:t>
            </w:r>
            <w:r w:rsidR="00C60FCD" w:rsidRPr="000F0299">
              <w:rPr>
                <w:rFonts w:eastAsiaTheme="minorHAnsi"/>
                <w:color w:val="000000"/>
                <w:kern w:val="24"/>
                <w:sz w:val="20"/>
                <w:szCs w:val="20"/>
                <w:lang w:eastAsia="en-GB" w:bidi="ar-SA"/>
              </w:rPr>
              <w:t>.</w:t>
            </w:r>
          </w:p>
        </w:tc>
      </w:tr>
      <w:tr w:rsidR="00C60FCD" w:rsidRPr="000F0299" w14:paraId="3452EE52" w14:textId="77777777" w:rsidTr="00C60FCD">
        <w:tc>
          <w:tcPr>
            <w:tcW w:w="2071" w:type="dxa"/>
            <w:vMerge w:val="restart"/>
            <w:shd w:val="clear" w:color="auto" w:fill="auto"/>
          </w:tcPr>
          <w:p w14:paraId="1A884CE8"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558" w:type="dxa"/>
            <w:gridSpan w:val="10"/>
            <w:shd w:val="clear" w:color="auto" w:fill="FFFFFF"/>
          </w:tcPr>
          <w:p w14:paraId="79FB1A92"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Тренд у прошлости</w:t>
            </w:r>
          </w:p>
        </w:tc>
        <w:tc>
          <w:tcPr>
            <w:tcW w:w="1469" w:type="dxa"/>
            <w:gridSpan w:val="3"/>
            <w:shd w:val="clear" w:color="auto" w:fill="FFFFFF"/>
          </w:tcPr>
          <w:p w14:paraId="31375F62"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Полазна вредност</w:t>
            </w:r>
          </w:p>
        </w:tc>
      </w:tr>
      <w:tr w:rsidR="00C60FCD" w:rsidRPr="000F0299" w14:paraId="0176A165" w14:textId="77777777" w:rsidTr="00C60FCD">
        <w:tc>
          <w:tcPr>
            <w:tcW w:w="2071" w:type="dxa"/>
            <w:vMerge/>
            <w:shd w:val="clear" w:color="auto" w:fill="auto"/>
            <w:vAlign w:val="center"/>
          </w:tcPr>
          <w:p w14:paraId="6C8D90B6"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p>
        </w:tc>
        <w:tc>
          <w:tcPr>
            <w:tcW w:w="1665" w:type="dxa"/>
            <w:gridSpan w:val="3"/>
            <w:shd w:val="clear" w:color="auto" w:fill="FFFFFF"/>
          </w:tcPr>
          <w:p w14:paraId="0DF5768E"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2016</w:t>
            </w:r>
          </w:p>
        </w:tc>
        <w:tc>
          <w:tcPr>
            <w:tcW w:w="1905" w:type="dxa"/>
            <w:gridSpan w:val="4"/>
            <w:shd w:val="clear" w:color="auto" w:fill="FFFFFF"/>
          </w:tcPr>
          <w:p w14:paraId="1CD1D05F"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2017</w:t>
            </w:r>
          </w:p>
        </w:tc>
        <w:tc>
          <w:tcPr>
            <w:tcW w:w="1988" w:type="dxa"/>
            <w:gridSpan w:val="3"/>
            <w:shd w:val="clear" w:color="auto" w:fill="FFFFFF"/>
          </w:tcPr>
          <w:p w14:paraId="38339B7D"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2018</w:t>
            </w:r>
          </w:p>
        </w:tc>
        <w:tc>
          <w:tcPr>
            <w:tcW w:w="1469" w:type="dxa"/>
            <w:gridSpan w:val="3"/>
            <w:shd w:val="clear" w:color="auto" w:fill="FFFFFF"/>
          </w:tcPr>
          <w:p w14:paraId="2EE0CF1F"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2019</w:t>
            </w:r>
          </w:p>
        </w:tc>
      </w:tr>
      <w:tr w:rsidR="00C60FCD" w:rsidRPr="000F0299" w14:paraId="1EB6ED26" w14:textId="77777777" w:rsidTr="00C60FCD">
        <w:tc>
          <w:tcPr>
            <w:tcW w:w="2071" w:type="dxa"/>
            <w:vMerge/>
            <w:shd w:val="clear" w:color="auto" w:fill="auto"/>
            <w:vAlign w:val="center"/>
          </w:tcPr>
          <w:p w14:paraId="3F1A5DF5"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p>
        </w:tc>
        <w:tc>
          <w:tcPr>
            <w:tcW w:w="1665" w:type="dxa"/>
            <w:gridSpan w:val="3"/>
            <w:shd w:val="clear" w:color="auto" w:fill="FFFFFF"/>
          </w:tcPr>
          <w:p w14:paraId="719357AB"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05" w:type="dxa"/>
            <w:gridSpan w:val="4"/>
            <w:shd w:val="clear" w:color="auto" w:fill="FFFFFF"/>
          </w:tcPr>
          <w:p w14:paraId="3C97345B"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88" w:type="dxa"/>
            <w:gridSpan w:val="3"/>
            <w:shd w:val="clear" w:color="auto" w:fill="FFFFFF"/>
          </w:tcPr>
          <w:p w14:paraId="0FC05D01"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469" w:type="dxa"/>
            <w:gridSpan w:val="3"/>
            <w:shd w:val="clear" w:color="auto" w:fill="FFFFFF"/>
          </w:tcPr>
          <w:p w14:paraId="61BCAFF3"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0</w:t>
            </w:r>
          </w:p>
        </w:tc>
      </w:tr>
      <w:tr w:rsidR="00C60FCD" w:rsidRPr="000F0299" w14:paraId="370FFB88" w14:textId="77777777" w:rsidTr="00C60FCD">
        <w:tc>
          <w:tcPr>
            <w:tcW w:w="2071" w:type="dxa"/>
            <w:vMerge w:val="restart"/>
            <w:shd w:val="clear" w:color="auto" w:fill="auto"/>
          </w:tcPr>
          <w:p w14:paraId="6AB4858C"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702" w:type="dxa"/>
            <w:shd w:val="clear" w:color="auto" w:fill="FFFFFF"/>
            <w:vAlign w:val="center"/>
          </w:tcPr>
          <w:p w14:paraId="2A743549"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2021</w:t>
            </w:r>
          </w:p>
        </w:tc>
        <w:tc>
          <w:tcPr>
            <w:tcW w:w="703" w:type="dxa"/>
            <w:shd w:val="clear" w:color="auto" w:fill="FFFFFF"/>
            <w:vAlign w:val="center"/>
          </w:tcPr>
          <w:p w14:paraId="472CFACD"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2022</w:t>
            </w:r>
          </w:p>
        </w:tc>
        <w:tc>
          <w:tcPr>
            <w:tcW w:w="703" w:type="dxa"/>
            <w:gridSpan w:val="2"/>
            <w:shd w:val="clear" w:color="auto" w:fill="FFFFFF"/>
            <w:vAlign w:val="center"/>
          </w:tcPr>
          <w:p w14:paraId="239E56AD"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2023</w:t>
            </w:r>
          </w:p>
        </w:tc>
        <w:tc>
          <w:tcPr>
            <w:tcW w:w="702" w:type="dxa"/>
            <w:shd w:val="clear" w:color="auto" w:fill="FFFFFF"/>
            <w:vAlign w:val="center"/>
          </w:tcPr>
          <w:p w14:paraId="0C6FFA46"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2024</w:t>
            </w:r>
          </w:p>
        </w:tc>
        <w:tc>
          <w:tcPr>
            <w:tcW w:w="703" w:type="dxa"/>
            <w:shd w:val="clear" w:color="auto" w:fill="FFFFFF"/>
            <w:vAlign w:val="center"/>
          </w:tcPr>
          <w:p w14:paraId="3EE11796"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2025</w:t>
            </w:r>
          </w:p>
        </w:tc>
        <w:tc>
          <w:tcPr>
            <w:tcW w:w="703" w:type="dxa"/>
            <w:gridSpan w:val="2"/>
            <w:shd w:val="clear" w:color="auto" w:fill="FFFFFF"/>
            <w:vAlign w:val="center"/>
          </w:tcPr>
          <w:p w14:paraId="5C52AC42"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2026</w:t>
            </w:r>
          </w:p>
        </w:tc>
        <w:tc>
          <w:tcPr>
            <w:tcW w:w="702" w:type="dxa"/>
            <w:shd w:val="clear" w:color="auto" w:fill="FFFFFF"/>
            <w:vAlign w:val="center"/>
          </w:tcPr>
          <w:p w14:paraId="6AA746DA"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2027</w:t>
            </w:r>
          </w:p>
        </w:tc>
        <w:tc>
          <w:tcPr>
            <w:tcW w:w="703" w:type="dxa"/>
            <w:gridSpan w:val="2"/>
            <w:shd w:val="clear" w:color="auto" w:fill="FFFFFF"/>
            <w:vAlign w:val="center"/>
          </w:tcPr>
          <w:p w14:paraId="2E560219"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2028</w:t>
            </w:r>
          </w:p>
        </w:tc>
        <w:tc>
          <w:tcPr>
            <w:tcW w:w="703" w:type="dxa"/>
            <w:shd w:val="clear" w:color="auto" w:fill="FFFFFF"/>
            <w:vAlign w:val="center"/>
          </w:tcPr>
          <w:p w14:paraId="349B37F3"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2029</w:t>
            </w:r>
          </w:p>
        </w:tc>
        <w:tc>
          <w:tcPr>
            <w:tcW w:w="703" w:type="dxa"/>
            <w:shd w:val="clear" w:color="auto" w:fill="FFFFFF"/>
            <w:vAlign w:val="center"/>
          </w:tcPr>
          <w:p w14:paraId="41BE27F7"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2030</w:t>
            </w:r>
          </w:p>
        </w:tc>
      </w:tr>
      <w:tr w:rsidR="00C60FCD" w:rsidRPr="000F0299" w14:paraId="30E76C9B" w14:textId="77777777" w:rsidTr="00C60FCD">
        <w:tc>
          <w:tcPr>
            <w:tcW w:w="2071" w:type="dxa"/>
            <w:vMerge/>
            <w:shd w:val="clear" w:color="auto" w:fill="auto"/>
          </w:tcPr>
          <w:p w14:paraId="7B317136"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p>
        </w:tc>
        <w:tc>
          <w:tcPr>
            <w:tcW w:w="702" w:type="dxa"/>
            <w:shd w:val="clear" w:color="auto" w:fill="auto"/>
          </w:tcPr>
          <w:p w14:paraId="32D11888" w14:textId="644DB25B" w:rsidR="00C60FCD" w:rsidRPr="000F0299" w:rsidRDefault="006D3202" w:rsidP="00830DDC">
            <w:pPr>
              <w:suppressAutoHyphens w:val="0"/>
              <w:autoSpaceDN/>
              <w:spacing w:before="0"/>
              <w:ind w:firstLine="0"/>
              <w:jc w:val="center"/>
              <w:textAlignment w:val="auto"/>
              <w:rPr>
                <w:rFonts w:eastAsiaTheme="minorHAnsi"/>
                <w:color w:val="000000"/>
                <w:kern w:val="0"/>
                <w:sz w:val="20"/>
                <w:szCs w:val="20"/>
                <w:lang w:eastAsia="en-US" w:bidi="ar-SA"/>
              </w:rPr>
            </w:pPr>
            <w:r>
              <w:rPr>
                <w:rFonts w:eastAsiaTheme="minorHAnsi"/>
                <w:color w:val="000000"/>
                <w:kern w:val="0"/>
                <w:sz w:val="20"/>
                <w:szCs w:val="20"/>
                <w:lang w:eastAsia="en-US" w:bidi="ar-SA"/>
              </w:rPr>
              <w:t>0</w:t>
            </w:r>
          </w:p>
        </w:tc>
        <w:tc>
          <w:tcPr>
            <w:tcW w:w="703" w:type="dxa"/>
            <w:shd w:val="clear" w:color="auto" w:fill="auto"/>
          </w:tcPr>
          <w:p w14:paraId="1AA6F33F" w14:textId="1A8B9B9E" w:rsidR="00C60FCD" w:rsidRPr="000F0299" w:rsidRDefault="006D3202" w:rsidP="00830DDC">
            <w:pPr>
              <w:suppressAutoHyphens w:val="0"/>
              <w:autoSpaceDN/>
              <w:spacing w:before="0"/>
              <w:ind w:firstLine="0"/>
              <w:jc w:val="center"/>
              <w:textAlignment w:val="auto"/>
              <w:rPr>
                <w:rFonts w:eastAsiaTheme="minorHAnsi"/>
                <w:color w:val="000000"/>
                <w:kern w:val="0"/>
                <w:sz w:val="20"/>
                <w:szCs w:val="20"/>
                <w:lang w:eastAsia="en-US" w:bidi="ar-SA"/>
              </w:rPr>
            </w:pPr>
            <w:r>
              <w:rPr>
                <w:rFonts w:eastAsiaTheme="minorHAnsi"/>
                <w:color w:val="000000"/>
                <w:kern w:val="0"/>
                <w:sz w:val="20"/>
                <w:szCs w:val="20"/>
                <w:lang w:eastAsia="en-US" w:bidi="ar-SA"/>
              </w:rPr>
              <w:t>0</w:t>
            </w:r>
          </w:p>
        </w:tc>
        <w:tc>
          <w:tcPr>
            <w:tcW w:w="703" w:type="dxa"/>
            <w:gridSpan w:val="2"/>
            <w:shd w:val="clear" w:color="auto" w:fill="auto"/>
          </w:tcPr>
          <w:p w14:paraId="11CE8990" w14:textId="0E2136A4" w:rsidR="00C60FCD" w:rsidRPr="000F0299" w:rsidRDefault="006D3202" w:rsidP="00830DDC">
            <w:pPr>
              <w:suppressAutoHyphens w:val="0"/>
              <w:autoSpaceDN/>
              <w:spacing w:before="0"/>
              <w:ind w:firstLine="0"/>
              <w:jc w:val="center"/>
              <w:textAlignment w:val="auto"/>
              <w:rPr>
                <w:rFonts w:eastAsiaTheme="minorHAnsi"/>
                <w:color w:val="000000"/>
                <w:kern w:val="0"/>
                <w:sz w:val="20"/>
                <w:szCs w:val="20"/>
                <w:lang w:eastAsia="en-US" w:bidi="ar-SA"/>
              </w:rPr>
            </w:pPr>
            <w:r>
              <w:rPr>
                <w:rFonts w:eastAsiaTheme="minorHAnsi"/>
                <w:color w:val="000000"/>
                <w:kern w:val="0"/>
                <w:sz w:val="20"/>
                <w:szCs w:val="20"/>
                <w:lang w:eastAsia="en-US" w:bidi="ar-SA"/>
              </w:rPr>
              <w:t>0</w:t>
            </w:r>
          </w:p>
        </w:tc>
        <w:tc>
          <w:tcPr>
            <w:tcW w:w="702" w:type="dxa"/>
            <w:shd w:val="clear" w:color="auto" w:fill="auto"/>
          </w:tcPr>
          <w:p w14:paraId="3B800C57"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c>
          <w:tcPr>
            <w:tcW w:w="703" w:type="dxa"/>
            <w:shd w:val="clear" w:color="auto" w:fill="auto"/>
          </w:tcPr>
          <w:p w14:paraId="3A6633D5"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c>
          <w:tcPr>
            <w:tcW w:w="703" w:type="dxa"/>
            <w:gridSpan w:val="2"/>
            <w:shd w:val="clear" w:color="auto" w:fill="auto"/>
          </w:tcPr>
          <w:p w14:paraId="7DDF3E21"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c>
          <w:tcPr>
            <w:tcW w:w="702" w:type="dxa"/>
            <w:shd w:val="clear" w:color="auto" w:fill="auto"/>
          </w:tcPr>
          <w:p w14:paraId="785F6A53"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c>
          <w:tcPr>
            <w:tcW w:w="703" w:type="dxa"/>
            <w:gridSpan w:val="2"/>
            <w:shd w:val="clear" w:color="auto" w:fill="auto"/>
          </w:tcPr>
          <w:p w14:paraId="7F7EF98B"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c>
          <w:tcPr>
            <w:tcW w:w="703" w:type="dxa"/>
            <w:shd w:val="clear" w:color="auto" w:fill="auto"/>
          </w:tcPr>
          <w:p w14:paraId="45385264"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c>
          <w:tcPr>
            <w:tcW w:w="703" w:type="dxa"/>
            <w:shd w:val="clear" w:color="auto" w:fill="auto"/>
          </w:tcPr>
          <w:p w14:paraId="1CBD9AC6"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w:t>
            </w:r>
          </w:p>
        </w:tc>
      </w:tr>
      <w:tr w:rsidR="00C60FCD" w:rsidRPr="000F0299" w14:paraId="2838CC3D" w14:textId="77777777" w:rsidTr="00C60FCD">
        <w:tc>
          <w:tcPr>
            <w:tcW w:w="2071" w:type="dxa"/>
            <w:shd w:val="clear" w:color="auto" w:fill="auto"/>
          </w:tcPr>
          <w:p w14:paraId="393E4582"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7027" w:type="dxa"/>
            <w:gridSpan w:val="13"/>
            <w:shd w:val="clear" w:color="auto" w:fill="FFFFFF"/>
            <w:vAlign w:val="center"/>
          </w:tcPr>
          <w:p w14:paraId="24FD65D8"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Без одступања.</w:t>
            </w:r>
          </w:p>
        </w:tc>
      </w:tr>
    </w:tbl>
    <w:p w14:paraId="36AF4D2A" w14:textId="6FC4C8F4" w:rsidR="00487FD1" w:rsidRPr="000F0299" w:rsidRDefault="00487FD1" w:rsidP="00BE55B6">
      <w:pPr>
        <w:ind w:firstLine="0"/>
        <w:rPr>
          <w:b/>
          <w:bCs/>
          <w:color w:val="2F5496" w:themeColor="accent1" w:themeShade="BF"/>
        </w:rPr>
      </w:pPr>
    </w:p>
    <w:p w14:paraId="6B5E237C" w14:textId="77777777" w:rsidR="00487FD1" w:rsidRPr="000F0299" w:rsidRDefault="00487FD1">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68FB9152" w14:textId="1DED6102" w:rsidR="00C60FCD" w:rsidRPr="000F0299" w:rsidRDefault="00C013C7" w:rsidP="00BE55B6">
      <w:pPr>
        <w:ind w:firstLine="0"/>
        <w:rPr>
          <w:b/>
          <w:bCs/>
          <w:color w:val="2F5496" w:themeColor="accent1" w:themeShade="BF"/>
        </w:rPr>
      </w:pPr>
      <w:r w:rsidRPr="000F0299">
        <w:rPr>
          <w:b/>
          <w:bCs/>
          <w:color w:val="2F5496" w:themeColor="accent1" w:themeShade="BF"/>
        </w:rPr>
        <w:t>Показатељ 8</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702"/>
        <w:gridCol w:w="703"/>
        <w:gridCol w:w="260"/>
        <w:gridCol w:w="443"/>
        <w:gridCol w:w="702"/>
        <w:gridCol w:w="703"/>
        <w:gridCol w:w="57"/>
        <w:gridCol w:w="646"/>
        <w:gridCol w:w="702"/>
        <w:gridCol w:w="640"/>
        <w:gridCol w:w="63"/>
        <w:gridCol w:w="703"/>
        <w:gridCol w:w="703"/>
      </w:tblGrid>
      <w:tr w:rsidR="00C60FCD" w:rsidRPr="000F0299" w14:paraId="4D168F71" w14:textId="77777777" w:rsidTr="00C013C7">
        <w:tc>
          <w:tcPr>
            <w:tcW w:w="2071" w:type="dxa"/>
            <w:shd w:val="clear" w:color="auto" w:fill="BFBFBF" w:themeFill="background1" w:themeFillShade="BF"/>
            <w:vAlign w:val="center"/>
          </w:tcPr>
          <w:p w14:paraId="1602F379" w14:textId="77777777" w:rsidR="00C60FCD" w:rsidRPr="000F0299" w:rsidRDefault="00C60FCD" w:rsidP="00830DDC">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показатеља</w:t>
            </w:r>
          </w:p>
        </w:tc>
        <w:tc>
          <w:tcPr>
            <w:tcW w:w="7027" w:type="dxa"/>
            <w:gridSpan w:val="13"/>
            <w:shd w:val="clear" w:color="auto" w:fill="BFBFBF" w:themeFill="background1" w:themeFillShade="BF"/>
            <w:vAlign w:val="center"/>
          </w:tcPr>
          <w:p w14:paraId="0A432607" w14:textId="77777777" w:rsidR="00C60FCD" w:rsidRPr="000F0299" w:rsidRDefault="00C60FCD" w:rsidP="00830DDC">
            <w:pPr>
              <w:suppressAutoHyphens w:val="0"/>
              <w:autoSpaceDN/>
              <w:spacing w:before="0"/>
              <w:ind w:firstLine="0"/>
              <w:textAlignment w:val="auto"/>
              <w:rPr>
                <w:rFonts w:eastAsiaTheme="minorHAnsi"/>
                <w:b/>
                <w:bCs/>
                <w:color w:val="000000"/>
                <w:kern w:val="0"/>
                <w:sz w:val="20"/>
                <w:szCs w:val="20"/>
                <w:lang w:eastAsia="en-US" w:bidi="ar-SA"/>
              </w:rPr>
            </w:pPr>
            <w:r w:rsidRPr="000F0299">
              <w:rPr>
                <w:rFonts w:eastAsiaTheme="minorHAnsi"/>
                <w:b/>
                <w:bCs/>
                <w:color w:val="000000"/>
                <w:kern w:val="0"/>
                <w:sz w:val="20"/>
                <w:szCs w:val="20"/>
                <w:lang w:eastAsia="en-US" w:bidi="ar-SA"/>
              </w:rPr>
              <w:t>Степен успостављених јединствених стандарда у области стручних испита у систему државне управе</w:t>
            </w:r>
          </w:p>
        </w:tc>
      </w:tr>
      <w:tr w:rsidR="00C60FCD" w:rsidRPr="000F0299" w14:paraId="7F5ADD8C" w14:textId="77777777" w:rsidTr="00C60FCD">
        <w:tc>
          <w:tcPr>
            <w:tcW w:w="2071" w:type="dxa"/>
            <w:shd w:val="clear" w:color="auto" w:fill="auto"/>
          </w:tcPr>
          <w:p w14:paraId="7589C507"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7027" w:type="dxa"/>
            <w:gridSpan w:val="13"/>
            <w:shd w:val="clear" w:color="auto" w:fill="FFFFFF"/>
          </w:tcPr>
          <w:p w14:paraId="41589BB9" w14:textId="5668734B" w:rsidR="00C60FCD" w:rsidRPr="000F0299" w:rsidRDefault="00864D50" w:rsidP="00830DDC">
            <w:pPr>
              <w:suppressAutoHyphens w:val="0"/>
              <w:autoSpaceDN/>
              <w:spacing w:before="0"/>
              <w:ind w:firstLine="0"/>
              <w:textAlignment w:val="auto"/>
              <w:rPr>
                <w:rFonts w:eastAsiaTheme="minorHAnsi"/>
                <w:color w:val="000000"/>
                <w:kern w:val="24"/>
                <w:sz w:val="20"/>
                <w:szCs w:val="20"/>
                <w:lang w:eastAsia="en-US" w:bidi="ar-SA"/>
              </w:rPr>
            </w:pPr>
            <w:r w:rsidRPr="000F0299">
              <w:rPr>
                <w:rFonts w:eastAsiaTheme="minorHAnsi"/>
                <w:b/>
                <w:bCs/>
                <w:color w:val="000000"/>
                <w:kern w:val="24"/>
                <w:sz w:val="20"/>
                <w:szCs w:val="20"/>
                <w:lang w:eastAsia="en-US" w:bidi="ar-SA"/>
              </w:rPr>
              <w:t>Meрa</w:t>
            </w:r>
            <w:r w:rsidR="00C60FCD" w:rsidRPr="000F0299">
              <w:rPr>
                <w:rFonts w:eastAsiaTheme="minorHAnsi"/>
                <w:b/>
                <w:bCs/>
                <w:color w:val="000000"/>
                <w:kern w:val="24"/>
                <w:sz w:val="20"/>
                <w:szCs w:val="20"/>
                <w:lang w:eastAsia="en-US" w:bidi="ar-SA"/>
              </w:rPr>
              <w:t xml:space="preserve"> 2.3.7:</w:t>
            </w:r>
            <w:r w:rsidR="00C60FCD" w:rsidRPr="000F0299">
              <w:rPr>
                <w:rFonts w:eastAsiaTheme="minorHAnsi"/>
                <w:color w:val="000000"/>
                <w:kern w:val="24"/>
                <w:sz w:val="20"/>
                <w:szCs w:val="20"/>
                <w:lang w:eastAsia="en-US" w:bidi="ar-SA"/>
              </w:rPr>
              <w:t xml:space="preserve"> Увођење јединствених критеријума, мерила и стандарда у области стручних испита у систему државне управе</w:t>
            </w:r>
          </w:p>
        </w:tc>
      </w:tr>
      <w:tr w:rsidR="00830DDC" w:rsidRPr="000F0299" w14:paraId="60D40849" w14:textId="77777777" w:rsidTr="00C45368">
        <w:tc>
          <w:tcPr>
            <w:tcW w:w="2071" w:type="dxa"/>
            <w:shd w:val="clear" w:color="auto" w:fill="auto"/>
          </w:tcPr>
          <w:p w14:paraId="5BF23FCA" w14:textId="77777777" w:rsidR="00830DDC" w:rsidRPr="000F0299" w:rsidRDefault="00830DDC"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513" w:type="dxa"/>
            <w:gridSpan w:val="6"/>
            <w:shd w:val="clear" w:color="auto" w:fill="FFFFFF"/>
          </w:tcPr>
          <w:p w14:paraId="5BC20CBB" w14:textId="2964A242"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 xml:space="preserve">Квантитативни показатељ </w:t>
            </w:r>
          </w:p>
        </w:tc>
        <w:tc>
          <w:tcPr>
            <w:tcW w:w="3514" w:type="dxa"/>
            <w:gridSpan w:val="7"/>
            <w:shd w:val="clear" w:color="auto" w:fill="FFFFFF"/>
          </w:tcPr>
          <w:p w14:paraId="6D93F968" w14:textId="6BA25259"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 нивоу излазног резултата</w:t>
            </w:r>
          </w:p>
        </w:tc>
      </w:tr>
      <w:tr w:rsidR="00830DDC" w:rsidRPr="000F0299" w14:paraId="100AB15B" w14:textId="77777777" w:rsidTr="00C45368">
        <w:tc>
          <w:tcPr>
            <w:tcW w:w="2071" w:type="dxa"/>
            <w:shd w:val="clear" w:color="auto" w:fill="auto"/>
          </w:tcPr>
          <w:p w14:paraId="414EBBF3" w14:textId="77777777" w:rsidR="00830DDC" w:rsidRPr="000F0299" w:rsidRDefault="00830DDC"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513" w:type="dxa"/>
            <w:gridSpan w:val="6"/>
            <w:shd w:val="clear" w:color="auto" w:fill="auto"/>
          </w:tcPr>
          <w:p w14:paraId="5092C77F" w14:textId="631B7971"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Бројчани на скали од 0-</w:t>
            </w:r>
            <w:r w:rsidR="006D3202">
              <w:rPr>
                <w:rFonts w:eastAsiaTheme="minorHAnsi"/>
                <w:color w:val="000000"/>
                <w:kern w:val="0"/>
                <w:sz w:val="20"/>
                <w:szCs w:val="20"/>
                <w:lang w:eastAsia="en-US" w:bidi="ar-SA"/>
              </w:rPr>
              <w:t>1</w:t>
            </w:r>
            <w:r w:rsidRPr="000F0299">
              <w:rPr>
                <w:rFonts w:eastAsiaTheme="minorHAnsi"/>
                <w:color w:val="000000"/>
                <w:kern w:val="0"/>
                <w:sz w:val="20"/>
                <w:szCs w:val="20"/>
                <w:lang w:eastAsia="en-US" w:bidi="ar-SA"/>
              </w:rPr>
              <w:t>6</w:t>
            </w:r>
          </w:p>
        </w:tc>
        <w:tc>
          <w:tcPr>
            <w:tcW w:w="3514" w:type="dxa"/>
            <w:gridSpan w:val="7"/>
            <w:shd w:val="clear" w:color="auto" w:fill="auto"/>
          </w:tcPr>
          <w:p w14:paraId="3825751D" w14:textId="7C234211"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Повећана вредност показатеља пожељна</w:t>
            </w:r>
          </w:p>
        </w:tc>
      </w:tr>
      <w:tr w:rsidR="00C60FCD" w:rsidRPr="000F0299" w14:paraId="3B757668" w14:textId="77777777" w:rsidTr="00C60FCD">
        <w:tc>
          <w:tcPr>
            <w:tcW w:w="2071" w:type="dxa"/>
            <w:shd w:val="clear" w:color="auto" w:fill="auto"/>
          </w:tcPr>
          <w:p w14:paraId="05429F0B"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7027" w:type="dxa"/>
            <w:gridSpan w:val="13"/>
            <w:shd w:val="clear" w:color="auto" w:fill="FFFFFF"/>
          </w:tcPr>
          <w:p w14:paraId="4A98D1D9" w14:textId="77777777"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0"/>
                <w:sz w:val="20"/>
                <w:szCs w:val="20"/>
                <w:lang w:eastAsia="en-GB" w:bidi="ar-SA"/>
              </w:rPr>
              <w:t xml:space="preserve">Извор: </w:t>
            </w:r>
          </w:p>
          <w:p w14:paraId="67DC1833" w14:textId="0C517AF7" w:rsidR="00C60FCD" w:rsidRPr="000F0299" w:rsidRDefault="00830DDC"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0"/>
                <w:sz w:val="20"/>
                <w:szCs w:val="20"/>
                <w:lang w:eastAsia="en-GB" w:bidi="ar-SA"/>
              </w:rPr>
              <w:t xml:space="preserve">- </w:t>
            </w:r>
            <w:r w:rsidR="00C60FCD" w:rsidRPr="000F0299">
              <w:rPr>
                <w:rFonts w:eastAsiaTheme="minorHAnsi"/>
                <w:color w:val="000000"/>
                <w:kern w:val="0"/>
                <w:sz w:val="20"/>
                <w:szCs w:val="20"/>
                <w:lang w:eastAsia="en-GB" w:bidi="ar-SA"/>
              </w:rPr>
              <w:t xml:space="preserve">Извештај о раду МДУЛС </w:t>
            </w:r>
          </w:p>
          <w:p w14:paraId="7045A91B" w14:textId="39A0622A" w:rsidR="00C60FCD" w:rsidRPr="000F0299" w:rsidRDefault="00830DDC"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0"/>
                <w:sz w:val="20"/>
                <w:szCs w:val="20"/>
                <w:lang w:eastAsia="en-GB" w:bidi="ar-SA"/>
              </w:rPr>
              <w:t xml:space="preserve">- </w:t>
            </w:r>
            <w:r w:rsidR="00C60FCD" w:rsidRPr="000F0299">
              <w:rPr>
                <w:rFonts w:eastAsiaTheme="minorHAnsi"/>
                <w:color w:val="000000"/>
                <w:kern w:val="0"/>
                <w:sz w:val="20"/>
                <w:szCs w:val="20"/>
                <w:lang w:eastAsia="en-GB" w:bidi="ar-SA"/>
              </w:rPr>
              <w:t xml:space="preserve">Извештај о раду КИТЕУ </w:t>
            </w:r>
          </w:p>
        </w:tc>
      </w:tr>
      <w:tr w:rsidR="00C60FCD" w:rsidRPr="000F0299" w14:paraId="31FEE925" w14:textId="77777777" w:rsidTr="00C60FCD">
        <w:tc>
          <w:tcPr>
            <w:tcW w:w="2071" w:type="dxa"/>
            <w:shd w:val="clear" w:color="auto" w:fill="auto"/>
          </w:tcPr>
          <w:p w14:paraId="244C5411"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носиоца прикупљања података</w:t>
            </w:r>
          </w:p>
        </w:tc>
        <w:tc>
          <w:tcPr>
            <w:tcW w:w="7027" w:type="dxa"/>
            <w:gridSpan w:val="13"/>
            <w:shd w:val="clear" w:color="auto" w:fill="FFFFFF"/>
          </w:tcPr>
          <w:p w14:paraId="3B547450" w14:textId="4023784E" w:rsidR="00C60FCD" w:rsidRPr="000F0299" w:rsidRDefault="00AE6044" w:rsidP="009C5F38">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 xml:space="preserve">Министарство државне управе и локалне самоуправе, </w:t>
            </w:r>
            <w:r>
              <w:rPr>
                <w:rFonts w:eastAsiaTheme="minorHAnsi"/>
                <w:color w:val="000000"/>
                <w:kern w:val="24"/>
                <w:sz w:val="20"/>
                <w:szCs w:val="20"/>
                <w:lang w:eastAsia="en-GB" w:bidi="ar-SA"/>
              </w:rPr>
              <w:t>Сектор за стручно усавршавање</w:t>
            </w:r>
          </w:p>
        </w:tc>
      </w:tr>
      <w:tr w:rsidR="00C60FCD" w:rsidRPr="000F0299" w14:paraId="16EB5A0F" w14:textId="77777777" w:rsidTr="00C60FCD">
        <w:tc>
          <w:tcPr>
            <w:tcW w:w="2071" w:type="dxa"/>
            <w:shd w:val="clear" w:color="auto" w:fill="auto"/>
          </w:tcPr>
          <w:p w14:paraId="1B43003E"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7027" w:type="dxa"/>
            <w:gridSpan w:val="13"/>
            <w:shd w:val="clear" w:color="auto" w:fill="FFFFFF"/>
          </w:tcPr>
          <w:p w14:paraId="746D0F28"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C60FCD" w:rsidRPr="000F0299" w14:paraId="23A8BE17" w14:textId="77777777" w:rsidTr="00C60FCD">
        <w:tc>
          <w:tcPr>
            <w:tcW w:w="2071" w:type="dxa"/>
            <w:shd w:val="clear" w:color="auto" w:fill="auto"/>
          </w:tcPr>
          <w:p w14:paraId="5DEAB3E9"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7027" w:type="dxa"/>
            <w:gridSpan w:val="13"/>
            <w:shd w:val="clear" w:color="auto" w:fill="FFFFFF"/>
          </w:tcPr>
          <w:p w14:paraId="36B364F2" w14:textId="77777777" w:rsidR="006D3202" w:rsidRPr="006D3202" w:rsidRDefault="006D3202" w:rsidP="006D3202">
            <w:pPr>
              <w:suppressAutoHyphens w:val="0"/>
              <w:autoSpaceDN/>
              <w:spacing w:before="0"/>
              <w:ind w:firstLine="0"/>
              <w:textAlignment w:val="auto"/>
              <w:rPr>
                <w:rFonts w:eastAsiaTheme="minorHAnsi"/>
                <w:color w:val="000000"/>
                <w:kern w:val="24"/>
                <w:sz w:val="20"/>
                <w:szCs w:val="20"/>
                <w:lang w:eastAsia="en-GB" w:bidi="ar-SA"/>
              </w:rPr>
            </w:pPr>
            <w:r w:rsidRPr="006D3202">
              <w:rPr>
                <w:rFonts w:eastAsiaTheme="minorHAnsi"/>
                <w:color w:val="000000"/>
                <w:kern w:val="24"/>
                <w:sz w:val="20"/>
                <w:szCs w:val="20"/>
                <w:lang w:eastAsia="en-GB" w:bidi="ar-SA"/>
              </w:rPr>
              <w:t xml:space="preserve">Вредност показатеља ће се утврдити према броју стручних испита који си дигитализовани и стандардазовани. </w:t>
            </w:r>
          </w:p>
          <w:p w14:paraId="1B345821" w14:textId="77777777" w:rsidR="006D3202" w:rsidRPr="006D3202" w:rsidRDefault="006D3202" w:rsidP="006D3202">
            <w:pPr>
              <w:suppressAutoHyphens w:val="0"/>
              <w:autoSpaceDN/>
              <w:spacing w:before="0"/>
              <w:ind w:firstLine="0"/>
              <w:textAlignment w:val="auto"/>
              <w:rPr>
                <w:rFonts w:eastAsiaTheme="minorHAnsi"/>
                <w:color w:val="000000"/>
                <w:kern w:val="24"/>
                <w:sz w:val="20"/>
                <w:szCs w:val="20"/>
                <w:lang w:eastAsia="en-GB" w:bidi="ar-SA"/>
              </w:rPr>
            </w:pPr>
            <w:r w:rsidRPr="006D3202">
              <w:rPr>
                <w:rFonts w:eastAsiaTheme="minorHAnsi"/>
                <w:color w:val="000000"/>
                <w:kern w:val="24"/>
                <w:sz w:val="20"/>
                <w:szCs w:val="20"/>
                <w:lang w:eastAsia="en-GB" w:bidi="ar-SA"/>
              </w:rPr>
              <w:t>Стручни испити који се прате овим индикатором су: државни стручни испит, стручни испит за матичаре, испит за инспекторе и испит за комуналног милиционара. За сваки испит је могуће максимално доделити три бода, јер се анализирају три процеса стручних испита, а за сваки процес који се обавља у складу са препорукама о оптимизацији пословних процеса додељује се један бод.</w:t>
            </w:r>
          </w:p>
          <w:p w14:paraId="4225B704" w14:textId="77777777" w:rsidR="006D3202" w:rsidRPr="006D3202" w:rsidRDefault="006D3202" w:rsidP="006D3202">
            <w:pPr>
              <w:suppressAutoHyphens w:val="0"/>
              <w:autoSpaceDN/>
              <w:spacing w:before="0"/>
              <w:ind w:firstLine="0"/>
              <w:textAlignment w:val="auto"/>
              <w:rPr>
                <w:rFonts w:eastAsiaTheme="minorHAnsi"/>
                <w:color w:val="000000"/>
                <w:kern w:val="24"/>
                <w:sz w:val="20"/>
                <w:szCs w:val="20"/>
                <w:lang w:eastAsia="en-GB" w:bidi="ar-SA"/>
              </w:rPr>
            </w:pPr>
            <w:r w:rsidRPr="006D3202">
              <w:rPr>
                <w:rFonts w:eastAsiaTheme="minorHAnsi"/>
                <w:color w:val="000000"/>
                <w:kern w:val="24"/>
                <w:sz w:val="20"/>
                <w:szCs w:val="20"/>
                <w:lang w:eastAsia="en-GB" w:bidi="ar-SA"/>
              </w:rPr>
              <w:t>Процеси  који се прате су: 1. Подношење online пријаве кандидата за полагање стручних испита; 2. Одлучивање о поднетим захтевима за полагање стручних испита; 3. Организовање и спровођење стручних испита.</w:t>
            </w:r>
          </w:p>
          <w:p w14:paraId="1004CFE8" w14:textId="30448A66" w:rsidR="00C60FCD" w:rsidRPr="000F0299" w:rsidRDefault="006D3202" w:rsidP="006D3202">
            <w:pPr>
              <w:suppressAutoHyphens w:val="0"/>
              <w:autoSpaceDN/>
              <w:spacing w:before="0"/>
              <w:ind w:firstLine="0"/>
              <w:textAlignment w:val="auto"/>
              <w:rPr>
                <w:rFonts w:eastAsiaTheme="minorHAnsi"/>
                <w:color w:val="000000"/>
                <w:kern w:val="24"/>
                <w:sz w:val="20"/>
                <w:szCs w:val="20"/>
                <w:lang w:eastAsia="en-GB" w:bidi="ar-SA"/>
              </w:rPr>
            </w:pPr>
            <w:r w:rsidRPr="006D3202">
              <w:rPr>
                <w:rFonts w:eastAsiaTheme="minorHAnsi"/>
                <w:color w:val="000000"/>
                <w:kern w:val="24"/>
                <w:sz w:val="20"/>
                <w:szCs w:val="20"/>
                <w:lang w:eastAsia="en-GB" w:bidi="ar-SA"/>
              </w:rPr>
              <w:t>Формула прорачуна: Укупан број бодова се добија тако што се саберу бодови остварени по сваком од четири испиту (максимални број бодова по испиту је 3).Укупан максимални број бодова је 12</w:t>
            </w:r>
            <w:r w:rsidR="00C60FCD" w:rsidRPr="000F0299">
              <w:rPr>
                <w:rFonts w:eastAsiaTheme="minorHAnsi"/>
                <w:color w:val="000000"/>
                <w:kern w:val="24"/>
                <w:sz w:val="20"/>
                <w:szCs w:val="20"/>
                <w:lang w:eastAsia="en-GB" w:bidi="ar-SA"/>
              </w:rPr>
              <w:t xml:space="preserve">. </w:t>
            </w:r>
          </w:p>
        </w:tc>
      </w:tr>
      <w:tr w:rsidR="00C60FCD" w:rsidRPr="000F0299" w14:paraId="3114D248" w14:textId="77777777" w:rsidTr="00C60FCD">
        <w:tc>
          <w:tcPr>
            <w:tcW w:w="2071" w:type="dxa"/>
            <w:vMerge w:val="restart"/>
            <w:shd w:val="clear" w:color="auto" w:fill="auto"/>
          </w:tcPr>
          <w:p w14:paraId="1B9144C9"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558" w:type="dxa"/>
            <w:gridSpan w:val="10"/>
            <w:shd w:val="clear" w:color="auto" w:fill="FFFFFF"/>
          </w:tcPr>
          <w:p w14:paraId="2F0890FD"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Тренд у прошлости</w:t>
            </w:r>
          </w:p>
        </w:tc>
        <w:tc>
          <w:tcPr>
            <w:tcW w:w="1469" w:type="dxa"/>
            <w:gridSpan w:val="3"/>
            <w:shd w:val="clear" w:color="auto" w:fill="FFFFFF"/>
          </w:tcPr>
          <w:p w14:paraId="76AEF5B3"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Полазна вредност</w:t>
            </w:r>
          </w:p>
        </w:tc>
      </w:tr>
      <w:tr w:rsidR="00C60FCD" w:rsidRPr="000F0299" w14:paraId="723D70E5" w14:textId="77777777" w:rsidTr="00C60FCD">
        <w:tc>
          <w:tcPr>
            <w:tcW w:w="2071" w:type="dxa"/>
            <w:vMerge/>
            <w:shd w:val="clear" w:color="auto" w:fill="auto"/>
            <w:vAlign w:val="center"/>
          </w:tcPr>
          <w:p w14:paraId="06D3F08C"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p>
        </w:tc>
        <w:tc>
          <w:tcPr>
            <w:tcW w:w="1665" w:type="dxa"/>
            <w:gridSpan w:val="3"/>
            <w:shd w:val="clear" w:color="auto" w:fill="FFFFFF"/>
          </w:tcPr>
          <w:p w14:paraId="0BBFDCEA"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2016</w:t>
            </w:r>
          </w:p>
        </w:tc>
        <w:tc>
          <w:tcPr>
            <w:tcW w:w="1905" w:type="dxa"/>
            <w:gridSpan w:val="4"/>
            <w:shd w:val="clear" w:color="auto" w:fill="FFFFFF"/>
          </w:tcPr>
          <w:p w14:paraId="5A8ABD5F"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2017</w:t>
            </w:r>
          </w:p>
        </w:tc>
        <w:tc>
          <w:tcPr>
            <w:tcW w:w="1988" w:type="dxa"/>
            <w:gridSpan w:val="3"/>
            <w:shd w:val="clear" w:color="auto" w:fill="FFFFFF"/>
          </w:tcPr>
          <w:p w14:paraId="178FC07A"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2018</w:t>
            </w:r>
          </w:p>
        </w:tc>
        <w:tc>
          <w:tcPr>
            <w:tcW w:w="1469" w:type="dxa"/>
            <w:gridSpan w:val="3"/>
            <w:shd w:val="clear" w:color="auto" w:fill="FFFFFF"/>
          </w:tcPr>
          <w:p w14:paraId="00D7CF6E"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2019</w:t>
            </w:r>
          </w:p>
        </w:tc>
      </w:tr>
      <w:tr w:rsidR="00C60FCD" w:rsidRPr="000F0299" w14:paraId="6603E930" w14:textId="77777777" w:rsidTr="00C60FCD">
        <w:tc>
          <w:tcPr>
            <w:tcW w:w="2071" w:type="dxa"/>
            <w:vMerge/>
            <w:shd w:val="clear" w:color="auto" w:fill="auto"/>
            <w:vAlign w:val="center"/>
          </w:tcPr>
          <w:p w14:paraId="3A20FB67"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p>
        </w:tc>
        <w:tc>
          <w:tcPr>
            <w:tcW w:w="1665" w:type="dxa"/>
            <w:gridSpan w:val="3"/>
            <w:shd w:val="clear" w:color="auto" w:fill="FFFFFF"/>
          </w:tcPr>
          <w:p w14:paraId="1E596753"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05" w:type="dxa"/>
            <w:gridSpan w:val="4"/>
            <w:shd w:val="clear" w:color="auto" w:fill="FFFFFF"/>
          </w:tcPr>
          <w:p w14:paraId="66DDAAE0"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88" w:type="dxa"/>
            <w:gridSpan w:val="3"/>
            <w:shd w:val="clear" w:color="auto" w:fill="FFFFFF"/>
          </w:tcPr>
          <w:p w14:paraId="60F13767"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469" w:type="dxa"/>
            <w:gridSpan w:val="3"/>
            <w:shd w:val="clear" w:color="auto" w:fill="FFFFFF"/>
          </w:tcPr>
          <w:p w14:paraId="20E75711"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0</w:t>
            </w:r>
          </w:p>
        </w:tc>
      </w:tr>
      <w:tr w:rsidR="00C60FCD" w:rsidRPr="000F0299" w14:paraId="714C83BC" w14:textId="77777777" w:rsidTr="00C60FCD">
        <w:tc>
          <w:tcPr>
            <w:tcW w:w="2071" w:type="dxa"/>
            <w:vMerge w:val="restart"/>
            <w:shd w:val="clear" w:color="auto" w:fill="auto"/>
          </w:tcPr>
          <w:p w14:paraId="3F15B140"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702" w:type="dxa"/>
            <w:shd w:val="clear" w:color="auto" w:fill="FFFFFF"/>
            <w:vAlign w:val="center"/>
          </w:tcPr>
          <w:p w14:paraId="3E3DC3C9"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2021</w:t>
            </w:r>
          </w:p>
        </w:tc>
        <w:tc>
          <w:tcPr>
            <w:tcW w:w="703" w:type="dxa"/>
            <w:shd w:val="clear" w:color="auto" w:fill="FFFFFF"/>
            <w:vAlign w:val="center"/>
          </w:tcPr>
          <w:p w14:paraId="628CC032"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2022</w:t>
            </w:r>
          </w:p>
        </w:tc>
        <w:tc>
          <w:tcPr>
            <w:tcW w:w="703" w:type="dxa"/>
            <w:gridSpan w:val="2"/>
            <w:shd w:val="clear" w:color="auto" w:fill="FFFFFF"/>
            <w:vAlign w:val="center"/>
          </w:tcPr>
          <w:p w14:paraId="4CB6379F"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2023</w:t>
            </w:r>
          </w:p>
        </w:tc>
        <w:tc>
          <w:tcPr>
            <w:tcW w:w="702" w:type="dxa"/>
            <w:shd w:val="clear" w:color="auto" w:fill="FFFFFF"/>
            <w:vAlign w:val="center"/>
          </w:tcPr>
          <w:p w14:paraId="0580B977"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2024</w:t>
            </w:r>
          </w:p>
        </w:tc>
        <w:tc>
          <w:tcPr>
            <w:tcW w:w="703" w:type="dxa"/>
            <w:shd w:val="clear" w:color="auto" w:fill="FFFFFF"/>
            <w:vAlign w:val="center"/>
          </w:tcPr>
          <w:p w14:paraId="3657B085"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2025</w:t>
            </w:r>
          </w:p>
        </w:tc>
        <w:tc>
          <w:tcPr>
            <w:tcW w:w="703" w:type="dxa"/>
            <w:gridSpan w:val="2"/>
            <w:shd w:val="clear" w:color="auto" w:fill="FFFFFF"/>
            <w:vAlign w:val="center"/>
          </w:tcPr>
          <w:p w14:paraId="5D1BB130"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2026</w:t>
            </w:r>
          </w:p>
        </w:tc>
        <w:tc>
          <w:tcPr>
            <w:tcW w:w="702" w:type="dxa"/>
            <w:shd w:val="clear" w:color="auto" w:fill="FFFFFF"/>
            <w:vAlign w:val="center"/>
          </w:tcPr>
          <w:p w14:paraId="0A69543C"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2027</w:t>
            </w:r>
          </w:p>
        </w:tc>
        <w:tc>
          <w:tcPr>
            <w:tcW w:w="703" w:type="dxa"/>
            <w:gridSpan w:val="2"/>
            <w:shd w:val="clear" w:color="auto" w:fill="FFFFFF"/>
            <w:vAlign w:val="center"/>
          </w:tcPr>
          <w:p w14:paraId="05D13474"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2028</w:t>
            </w:r>
          </w:p>
        </w:tc>
        <w:tc>
          <w:tcPr>
            <w:tcW w:w="703" w:type="dxa"/>
            <w:shd w:val="clear" w:color="auto" w:fill="FFFFFF"/>
            <w:vAlign w:val="center"/>
          </w:tcPr>
          <w:p w14:paraId="45D5F186"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2029</w:t>
            </w:r>
          </w:p>
        </w:tc>
        <w:tc>
          <w:tcPr>
            <w:tcW w:w="703" w:type="dxa"/>
            <w:shd w:val="clear" w:color="auto" w:fill="FFFFFF"/>
            <w:vAlign w:val="center"/>
          </w:tcPr>
          <w:p w14:paraId="3B9F820A"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2030</w:t>
            </w:r>
          </w:p>
        </w:tc>
      </w:tr>
      <w:tr w:rsidR="006D3202" w:rsidRPr="000F0299" w14:paraId="1CDEF012" w14:textId="77777777" w:rsidTr="00C60FCD">
        <w:tc>
          <w:tcPr>
            <w:tcW w:w="2071" w:type="dxa"/>
            <w:vMerge/>
            <w:shd w:val="clear" w:color="auto" w:fill="auto"/>
          </w:tcPr>
          <w:p w14:paraId="1F66B5CA" w14:textId="77777777" w:rsidR="006D3202" w:rsidRPr="000F0299" w:rsidRDefault="006D3202" w:rsidP="006D3202">
            <w:pPr>
              <w:suppressAutoHyphens w:val="0"/>
              <w:autoSpaceDN/>
              <w:spacing w:before="0"/>
              <w:ind w:firstLine="0"/>
              <w:textAlignment w:val="auto"/>
              <w:rPr>
                <w:rFonts w:eastAsiaTheme="minorHAnsi"/>
                <w:b/>
                <w:bCs/>
                <w:kern w:val="0"/>
                <w:sz w:val="20"/>
                <w:szCs w:val="20"/>
                <w:lang w:eastAsia="en-US" w:bidi="ar-SA"/>
              </w:rPr>
            </w:pPr>
          </w:p>
        </w:tc>
        <w:tc>
          <w:tcPr>
            <w:tcW w:w="702" w:type="dxa"/>
            <w:shd w:val="clear" w:color="auto" w:fill="FFFFFF"/>
          </w:tcPr>
          <w:p w14:paraId="4258CED7" w14:textId="01890019"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0</w:t>
            </w:r>
          </w:p>
        </w:tc>
        <w:tc>
          <w:tcPr>
            <w:tcW w:w="703" w:type="dxa"/>
            <w:shd w:val="clear" w:color="auto" w:fill="FFFFFF"/>
          </w:tcPr>
          <w:p w14:paraId="6403DA61" w14:textId="3A4DECFC"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0</w:t>
            </w:r>
          </w:p>
        </w:tc>
        <w:tc>
          <w:tcPr>
            <w:tcW w:w="703" w:type="dxa"/>
            <w:gridSpan w:val="2"/>
            <w:shd w:val="clear" w:color="auto" w:fill="FFFFFF"/>
          </w:tcPr>
          <w:p w14:paraId="02DDB7FF" w14:textId="62AFB734"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0</w:t>
            </w:r>
          </w:p>
        </w:tc>
        <w:tc>
          <w:tcPr>
            <w:tcW w:w="702" w:type="dxa"/>
            <w:shd w:val="clear" w:color="auto" w:fill="FFFFFF"/>
          </w:tcPr>
          <w:p w14:paraId="0EE875AD" w14:textId="43CF7B0D"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0</w:t>
            </w:r>
          </w:p>
        </w:tc>
        <w:tc>
          <w:tcPr>
            <w:tcW w:w="703" w:type="dxa"/>
            <w:shd w:val="clear" w:color="auto" w:fill="FFFFFF"/>
          </w:tcPr>
          <w:p w14:paraId="06F71EA2" w14:textId="513963BA"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12</w:t>
            </w:r>
          </w:p>
        </w:tc>
        <w:tc>
          <w:tcPr>
            <w:tcW w:w="703" w:type="dxa"/>
            <w:gridSpan w:val="2"/>
            <w:shd w:val="clear" w:color="auto" w:fill="FFFFFF"/>
          </w:tcPr>
          <w:p w14:paraId="515EDA7B" w14:textId="06DC6E4D"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12</w:t>
            </w:r>
          </w:p>
        </w:tc>
        <w:tc>
          <w:tcPr>
            <w:tcW w:w="702" w:type="dxa"/>
            <w:shd w:val="clear" w:color="auto" w:fill="FFFFFF"/>
          </w:tcPr>
          <w:p w14:paraId="3EF09246" w14:textId="3ED24DFC"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12</w:t>
            </w:r>
          </w:p>
        </w:tc>
        <w:tc>
          <w:tcPr>
            <w:tcW w:w="703" w:type="dxa"/>
            <w:gridSpan w:val="2"/>
            <w:shd w:val="clear" w:color="auto" w:fill="FFFFFF"/>
          </w:tcPr>
          <w:p w14:paraId="2E286F5B" w14:textId="0690BEFD"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12</w:t>
            </w:r>
          </w:p>
        </w:tc>
        <w:tc>
          <w:tcPr>
            <w:tcW w:w="703" w:type="dxa"/>
            <w:shd w:val="clear" w:color="auto" w:fill="FFFFFF"/>
          </w:tcPr>
          <w:p w14:paraId="6044CD6C" w14:textId="45F71BCB"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12</w:t>
            </w:r>
          </w:p>
        </w:tc>
        <w:tc>
          <w:tcPr>
            <w:tcW w:w="703" w:type="dxa"/>
            <w:shd w:val="clear" w:color="auto" w:fill="FFFFFF"/>
          </w:tcPr>
          <w:p w14:paraId="4A89A07E" w14:textId="66E4A8FE" w:rsidR="006D3202" w:rsidRPr="006D3202" w:rsidRDefault="006D3202" w:rsidP="006D3202">
            <w:pPr>
              <w:suppressAutoHyphens w:val="0"/>
              <w:autoSpaceDN/>
              <w:spacing w:before="0"/>
              <w:ind w:firstLine="0"/>
              <w:jc w:val="center"/>
              <w:textAlignment w:val="auto"/>
              <w:rPr>
                <w:rFonts w:eastAsiaTheme="minorHAnsi"/>
                <w:color w:val="000000"/>
                <w:kern w:val="0"/>
                <w:sz w:val="20"/>
                <w:szCs w:val="20"/>
                <w:lang w:eastAsia="en-US" w:bidi="ar-SA"/>
              </w:rPr>
            </w:pPr>
            <w:r w:rsidRPr="006D3202">
              <w:rPr>
                <w:sz w:val="20"/>
                <w:szCs w:val="20"/>
              </w:rPr>
              <w:t>12</w:t>
            </w:r>
          </w:p>
        </w:tc>
      </w:tr>
      <w:tr w:rsidR="00C60FCD" w:rsidRPr="000F0299" w14:paraId="64E2B505" w14:textId="77777777" w:rsidTr="00C60FCD">
        <w:tc>
          <w:tcPr>
            <w:tcW w:w="2071" w:type="dxa"/>
            <w:shd w:val="clear" w:color="auto" w:fill="auto"/>
          </w:tcPr>
          <w:p w14:paraId="2FACA467"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7027" w:type="dxa"/>
            <w:gridSpan w:val="13"/>
            <w:shd w:val="clear" w:color="auto" w:fill="FFFFFF"/>
            <w:vAlign w:val="center"/>
          </w:tcPr>
          <w:p w14:paraId="0D2BD04C"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Без одступања.</w:t>
            </w:r>
          </w:p>
        </w:tc>
      </w:tr>
    </w:tbl>
    <w:p w14:paraId="17B7EAD0" w14:textId="05FADB9D" w:rsidR="00C60FCD" w:rsidRPr="000F0299" w:rsidRDefault="00C013C7" w:rsidP="00BE55B6">
      <w:pPr>
        <w:ind w:firstLine="0"/>
        <w:rPr>
          <w:b/>
          <w:bCs/>
          <w:color w:val="2F5496" w:themeColor="accent1" w:themeShade="BF"/>
        </w:rPr>
      </w:pPr>
      <w:r w:rsidRPr="000F0299">
        <w:rPr>
          <w:b/>
          <w:bCs/>
          <w:color w:val="2F5496" w:themeColor="accent1" w:themeShade="BF"/>
        </w:rPr>
        <w:t xml:space="preserve">Показатељ </w:t>
      </w:r>
      <w:r w:rsidR="00C60FCD" w:rsidRPr="000F0299">
        <w:rPr>
          <w:b/>
          <w:bCs/>
          <w:color w:val="2F5496" w:themeColor="accent1" w:themeShade="BF"/>
        </w:rPr>
        <w:t>9</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706"/>
        <w:gridCol w:w="706"/>
        <w:gridCol w:w="250"/>
        <w:gridCol w:w="456"/>
        <w:gridCol w:w="706"/>
        <w:gridCol w:w="706"/>
        <w:gridCol w:w="34"/>
        <w:gridCol w:w="672"/>
        <w:gridCol w:w="706"/>
        <w:gridCol w:w="658"/>
        <w:gridCol w:w="48"/>
        <w:gridCol w:w="706"/>
        <w:gridCol w:w="706"/>
      </w:tblGrid>
      <w:tr w:rsidR="00C60FCD" w:rsidRPr="000F0299" w14:paraId="772568F7" w14:textId="77777777" w:rsidTr="00C013C7">
        <w:tc>
          <w:tcPr>
            <w:tcW w:w="2038" w:type="dxa"/>
            <w:shd w:val="clear" w:color="auto" w:fill="BFBFBF" w:themeFill="background1" w:themeFillShade="BF"/>
            <w:vAlign w:val="center"/>
          </w:tcPr>
          <w:p w14:paraId="05B7F4C0" w14:textId="77777777" w:rsidR="00C60FCD" w:rsidRPr="000F0299" w:rsidRDefault="00C60FCD" w:rsidP="00830DDC">
            <w:pPr>
              <w:suppressAutoHyphens w:val="0"/>
              <w:autoSpaceDN/>
              <w:spacing w:before="0"/>
              <w:ind w:firstLine="0"/>
              <w:jc w:val="left"/>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показатеља</w:t>
            </w:r>
          </w:p>
        </w:tc>
        <w:tc>
          <w:tcPr>
            <w:tcW w:w="7060" w:type="dxa"/>
            <w:gridSpan w:val="13"/>
            <w:shd w:val="clear" w:color="auto" w:fill="BFBFBF" w:themeFill="background1" w:themeFillShade="BF"/>
            <w:vAlign w:val="center"/>
          </w:tcPr>
          <w:p w14:paraId="7D350C4A" w14:textId="77777777" w:rsidR="00C60FCD" w:rsidRPr="000F0299" w:rsidRDefault="00C60FCD" w:rsidP="00830DDC">
            <w:pPr>
              <w:suppressAutoHyphens w:val="0"/>
              <w:autoSpaceDN/>
              <w:spacing w:before="0"/>
              <w:ind w:firstLine="0"/>
              <w:textAlignment w:val="auto"/>
              <w:rPr>
                <w:rFonts w:eastAsiaTheme="minorHAnsi"/>
                <w:b/>
                <w:bCs/>
                <w:color w:val="000000"/>
                <w:kern w:val="0"/>
                <w:sz w:val="20"/>
                <w:szCs w:val="20"/>
                <w:lang w:eastAsia="en-GB" w:bidi="ar-SA"/>
              </w:rPr>
            </w:pPr>
            <w:r w:rsidRPr="000F0299">
              <w:rPr>
                <w:rFonts w:eastAsiaTheme="minorHAnsi"/>
                <w:b/>
                <w:bCs/>
                <w:color w:val="000000"/>
                <w:kern w:val="24"/>
                <w:sz w:val="20"/>
                <w:szCs w:val="20"/>
                <w:lang w:eastAsia="en-GB" w:bidi="ar-SA"/>
              </w:rPr>
              <w:t>Проценат органа државне управе и јединица локалне самоуправе које омогућавају студентске праксе</w:t>
            </w:r>
          </w:p>
        </w:tc>
      </w:tr>
      <w:tr w:rsidR="00C60FCD" w:rsidRPr="000F0299" w14:paraId="11B83F9B" w14:textId="77777777" w:rsidTr="00C60FCD">
        <w:tc>
          <w:tcPr>
            <w:tcW w:w="2038" w:type="dxa"/>
            <w:shd w:val="clear" w:color="auto" w:fill="auto"/>
          </w:tcPr>
          <w:p w14:paraId="7138D61F"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Одговарајући општи, посебни циљ или мера</w:t>
            </w:r>
          </w:p>
        </w:tc>
        <w:tc>
          <w:tcPr>
            <w:tcW w:w="7060" w:type="dxa"/>
            <w:gridSpan w:val="13"/>
            <w:shd w:val="clear" w:color="auto" w:fill="auto"/>
          </w:tcPr>
          <w:p w14:paraId="2C7B4FFC" w14:textId="63B52B2E" w:rsidR="00C60FCD" w:rsidRPr="000F0299" w:rsidRDefault="00864D50" w:rsidP="00830DDC">
            <w:pPr>
              <w:suppressAutoHyphens w:val="0"/>
              <w:autoSpaceDN/>
              <w:spacing w:before="0"/>
              <w:ind w:firstLine="0"/>
              <w:textAlignment w:val="auto"/>
              <w:rPr>
                <w:rFonts w:eastAsiaTheme="minorHAnsi"/>
                <w:color w:val="000000"/>
                <w:kern w:val="24"/>
                <w:sz w:val="20"/>
                <w:szCs w:val="20"/>
                <w:lang w:eastAsia="en-US" w:bidi="ar-SA"/>
              </w:rPr>
            </w:pPr>
            <w:r w:rsidRPr="000F0299">
              <w:rPr>
                <w:rFonts w:eastAsiaTheme="minorHAnsi"/>
                <w:b/>
                <w:bCs/>
                <w:color w:val="000000"/>
                <w:kern w:val="24"/>
                <w:sz w:val="20"/>
                <w:szCs w:val="20"/>
                <w:lang w:eastAsia="en-US" w:bidi="ar-SA"/>
              </w:rPr>
              <w:t>Meрa</w:t>
            </w:r>
            <w:r w:rsidR="00C60FCD" w:rsidRPr="000F0299">
              <w:rPr>
                <w:rFonts w:eastAsiaTheme="minorHAnsi"/>
                <w:b/>
                <w:bCs/>
                <w:color w:val="000000"/>
                <w:kern w:val="24"/>
                <w:sz w:val="20"/>
                <w:szCs w:val="20"/>
                <w:lang w:eastAsia="en-US" w:bidi="ar-SA"/>
              </w:rPr>
              <w:t xml:space="preserve"> 2.3.8:</w:t>
            </w:r>
            <w:r w:rsidR="00C60FCD" w:rsidRPr="000F0299">
              <w:rPr>
                <w:rFonts w:eastAsiaTheme="minorHAnsi"/>
                <w:color w:val="000000"/>
                <w:kern w:val="24"/>
                <w:sz w:val="20"/>
                <w:szCs w:val="20"/>
                <w:lang w:eastAsia="en-US" w:bidi="ar-SA"/>
              </w:rPr>
              <w:t xml:space="preserve"> Развој сарадње са  високошколским установама ради подршке у школовању/додатном образовању кадрова за јавну управу</w:t>
            </w:r>
          </w:p>
        </w:tc>
      </w:tr>
      <w:tr w:rsidR="00830DDC" w:rsidRPr="000F0299" w14:paraId="794951DD" w14:textId="77777777" w:rsidTr="00C45368">
        <w:tc>
          <w:tcPr>
            <w:tcW w:w="2038" w:type="dxa"/>
            <w:shd w:val="clear" w:color="auto" w:fill="auto"/>
          </w:tcPr>
          <w:p w14:paraId="646CD49B" w14:textId="77777777" w:rsidR="00830DDC" w:rsidRPr="000F0299" w:rsidRDefault="00830DDC"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Тип и ниво показатеља</w:t>
            </w:r>
          </w:p>
        </w:tc>
        <w:tc>
          <w:tcPr>
            <w:tcW w:w="3530" w:type="dxa"/>
            <w:gridSpan w:val="6"/>
            <w:shd w:val="clear" w:color="auto" w:fill="auto"/>
          </w:tcPr>
          <w:p w14:paraId="6CB1C08C" w14:textId="4209A675"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 xml:space="preserve">Квантитативни показатељ </w:t>
            </w:r>
          </w:p>
        </w:tc>
        <w:tc>
          <w:tcPr>
            <w:tcW w:w="3530" w:type="dxa"/>
            <w:gridSpan w:val="7"/>
            <w:shd w:val="clear" w:color="auto" w:fill="auto"/>
          </w:tcPr>
          <w:p w14:paraId="3066F81E" w14:textId="4FFACA78"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 нивоу излазног резултата</w:t>
            </w:r>
          </w:p>
        </w:tc>
      </w:tr>
      <w:tr w:rsidR="00830DDC" w:rsidRPr="000F0299" w14:paraId="11779BC2" w14:textId="77777777" w:rsidTr="00C45368">
        <w:tc>
          <w:tcPr>
            <w:tcW w:w="2038" w:type="dxa"/>
            <w:shd w:val="clear" w:color="auto" w:fill="auto"/>
          </w:tcPr>
          <w:p w14:paraId="0CD6899E" w14:textId="77777777" w:rsidR="00830DDC" w:rsidRPr="000F0299" w:rsidRDefault="00830DDC"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Јединица мере и природа</w:t>
            </w:r>
          </w:p>
        </w:tc>
        <w:tc>
          <w:tcPr>
            <w:tcW w:w="3530" w:type="dxa"/>
            <w:gridSpan w:val="6"/>
            <w:shd w:val="clear" w:color="auto" w:fill="auto"/>
          </w:tcPr>
          <w:p w14:paraId="28FF2564" w14:textId="6B9E97F3"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Процентуални на скали од 0-100%</w:t>
            </w:r>
          </w:p>
        </w:tc>
        <w:tc>
          <w:tcPr>
            <w:tcW w:w="3530" w:type="dxa"/>
            <w:gridSpan w:val="7"/>
            <w:shd w:val="clear" w:color="auto" w:fill="auto"/>
          </w:tcPr>
          <w:p w14:paraId="0DABC37F" w14:textId="75696AC7" w:rsidR="00830DDC" w:rsidRPr="000F0299" w:rsidRDefault="00830DDC"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Повећана вредност показатеља пожељна</w:t>
            </w:r>
          </w:p>
        </w:tc>
      </w:tr>
      <w:tr w:rsidR="00C60FCD" w:rsidRPr="000F0299" w14:paraId="5D2BDEF0" w14:textId="77777777" w:rsidTr="00C60FCD">
        <w:tc>
          <w:tcPr>
            <w:tcW w:w="2038" w:type="dxa"/>
            <w:shd w:val="clear" w:color="auto" w:fill="auto"/>
          </w:tcPr>
          <w:p w14:paraId="349F12EE"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Извор података за праћење показатеља успешности</w:t>
            </w:r>
          </w:p>
        </w:tc>
        <w:tc>
          <w:tcPr>
            <w:tcW w:w="7060" w:type="dxa"/>
            <w:gridSpan w:val="13"/>
            <w:shd w:val="clear" w:color="auto" w:fill="auto"/>
          </w:tcPr>
          <w:p w14:paraId="55A609CE" w14:textId="77777777" w:rsidR="00C60FCD" w:rsidRPr="000F0299" w:rsidRDefault="00C60FCD" w:rsidP="00830DDC">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Подаци ће бити прикупљани  на националном нивоу.</w:t>
            </w:r>
          </w:p>
          <w:p w14:paraId="5DD2F967"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0"/>
                <w:sz w:val="20"/>
                <w:szCs w:val="20"/>
                <w:lang w:eastAsia="en-GB" w:bidi="ar-SA"/>
              </w:rPr>
              <w:t>Извор:</w:t>
            </w:r>
          </w:p>
          <w:p w14:paraId="01B6CEE5" w14:textId="77777777" w:rsidR="00C60FCD" w:rsidRPr="000F0299" w:rsidRDefault="00C60FCD" w:rsidP="00E62A1A">
            <w:pPr>
              <w:numPr>
                <w:ilvl w:val="0"/>
                <w:numId w:val="16"/>
              </w:numPr>
              <w:suppressAutoHyphens w:val="0"/>
              <w:autoSpaceDN/>
              <w:spacing w:before="0"/>
              <w:ind w:left="604" w:hanging="302"/>
              <w:jc w:val="left"/>
              <w:textAlignment w:val="auto"/>
              <w:rPr>
                <w:rFonts w:eastAsiaTheme="minorHAnsi"/>
                <w:color w:val="000000"/>
                <w:kern w:val="0"/>
                <w:sz w:val="20"/>
                <w:szCs w:val="20"/>
                <w:lang w:eastAsia="en-GB" w:bidi="ar-SA"/>
              </w:rPr>
            </w:pPr>
            <w:r w:rsidRPr="000F0299">
              <w:rPr>
                <w:rFonts w:eastAsiaTheme="minorHAnsi"/>
                <w:color w:val="000000"/>
                <w:kern w:val="0"/>
                <w:sz w:val="20"/>
                <w:szCs w:val="20"/>
                <w:lang w:eastAsia="en-GB" w:bidi="ar-SA"/>
              </w:rPr>
              <w:t>Извештај о  студентској стручној пракси у органима државне управе и  јединицама локалне самоуправе</w:t>
            </w:r>
          </w:p>
        </w:tc>
      </w:tr>
      <w:tr w:rsidR="00C60FCD" w:rsidRPr="000F0299" w14:paraId="414071A4" w14:textId="77777777" w:rsidTr="00C60FCD">
        <w:tc>
          <w:tcPr>
            <w:tcW w:w="2038" w:type="dxa"/>
            <w:shd w:val="clear" w:color="auto" w:fill="auto"/>
          </w:tcPr>
          <w:p w14:paraId="77147C6C"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Назив носиоца прикупљања података</w:t>
            </w:r>
          </w:p>
        </w:tc>
        <w:tc>
          <w:tcPr>
            <w:tcW w:w="7060" w:type="dxa"/>
            <w:gridSpan w:val="13"/>
            <w:shd w:val="clear" w:color="auto" w:fill="auto"/>
          </w:tcPr>
          <w:p w14:paraId="693F6CDE" w14:textId="36BB63D5" w:rsidR="00C60FCD" w:rsidRPr="000F0299" w:rsidRDefault="00C60FCD" w:rsidP="00AE6044">
            <w:pPr>
              <w:suppressAutoHyphens w:val="0"/>
              <w:autoSpaceDN/>
              <w:spacing w:before="0"/>
              <w:ind w:firstLine="0"/>
              <w:textAlignment w:val="auto"/>
              <w:rPr>
                <w:rFonts w:eastAsiaTheme="minorHAnsi"/>
                <w:color w:val="000000"/>
                <w:kern w:val="24"/>
                <w:sz w:val="20"/>
                <w:szCs w:val="20"/>
                <w:lang w:eastAsia="en-GB" w:bidi="ar-SA"/>
              </w:rPr>
            </w:pPr>
            <w:r w:rsidRPr="000F0299">
              <w:rPr>
                <w:rFonts w:eastAsiaTheme="minorHAnsi"/>
                <w:color w:val="000000"/>
                <w:kern w:val="24"/>
                <w:sz w:val="20"/>
                <w:szCs w:val="20"/>
                <w:lang w:eastAsia="en-GB" w:bidi="ar-SA"/>
              </w:rPr>
              <w:t xml:space="preserve">Министарство државне управе и локалне самоуправе, </w:t>
            </w:r>
            <w:r w:rsidR="00AE6044">
              <w:rPr>
                <w:rFonts w:eastAsiaTheme="minorHAnsi"/>
                <w:color w:val="000000"/>
                <w:kern w:val="24"/>
                <w:sz w:val="20"/>
                <w:szCs w:val="20"/>
                <w:lang w:eastAsia="en-GB" w:bidi="ar-SA"/>
              </w:rPr>
              <w:t>Сектор за стручно усавршавање</w:t>
            </w:r>
          </w:p>
        </w:tc>
      </w:tr>
      <w:tr w:rsidR="00C60FCD" w:rsidRPr="000F0299" w14:paraId="4F4476B2" w14:textId="77777777" w:rsidTr="00C60FCD">
        <w:tc>
          <w:tcPr>
            <w:tcW w:w="2038" w:type="dxa"/>
            <w:shd w:val="clear" w:color="auto" w:fill="auto"/>
          </w:tcPr>
          <w:p w14:paraId="6054771E"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Учесталост прикупљања података</w:t>
            </w:r>
          </w:p>
        </w:tc>
        <w:tc>
          <w:tcPr>
            <w:tcW w:w="7060" w:type="dxa"/>
            <w:gridSpan w:val="13"/>
            <w:shd w:val="clear" w:color="auto" w:fill="auto"/>
          </w:tcPr>
          <w:p w14:paraId="236AB23C"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C60FCD" w:rsidRPr="000F0299" w14:paraId="1C1F7E02" w14:textId="77777777" w:rsidTr="00C60FCD">
        <w:tc>
          <w:tcPr>
            <w:tcW w:w="2038" w:type="dxa"/>
            <w:shd w:val="clear" w:color="auto" w:fill="auto"/>
          </w:tcPr>
          <w:p w14:paraId="108A6EC5"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Кратак опис методологије прорачуна</w:t>
            </w:r>
          </w:p>
        </w:tc>
        <w:tc>
          <w:tcPr>
            <w:tcW w:w="7060" w:type="dxa"/>
            <w:gridSpan w:val="13"/>
            <w:shd w:val="clear" w:color="auto" w:fill="auto"/>
          </w:tcPr>
          <w:p w14:paraId="32786CE1" w14:textId="77777777" w:rsidR="006D3202" w:rsidRPr="006D3202" w:rsidRDefault="006D3202" w:rsidP="006D3202">
            <w:pPr>
              <w:suppressAutoHyphens w:val="0"/>
              <w:autoSpaceDN/>
              <w:spacing w:before="0"/>
              <w:ind w:firstLine="0"/>
              <w:textAlignment w:val="auto"/>
              <w:rPr>
                <w:rFonts w:eastAsiaTheme="minorHAnsi"/>
                <w:color w:val="000000"/>
                <w:kern w:val="24"/>
                <w:sz w:val="20"/>
                <w:szCs w:val="20"/>
                <w:lang w:eastAsia="en-GB" w:bidi="ar-SA"/>
              </w:rPr>
            </w:pPr>
            <w:r w:rsidRPr="006D3202">
              <w:rPr>
                <w:rFonts w:eastAsiaTheme="minorHAnsi"/>
                <w:color w:val="000000"/>
                <w:kern w:val="24"/>
                <w:sz w:val="20"/>
                <w:szCs w:val="20"/>
                <w:lang w:eastAsia="en-GB" w:bidi="ar-SA"/>
              </w:rPr>
              <w:t>При мерењу овог показатеља, биће обухваћени органи државне управе и јединице локалне самоуправе.</w:t>
            </w:r>
          </w:p>
          <w:p w14:paraId="50F5CBC7" w14:textId="77777777" w:rsidR="006D3202" w:rsidRPr="006D3202" w:rsidRDefault="006D3202" w:rsidP="006D3202">
            <w:pPr>
              <w:suppressAutoHyphens w:val="0"/>
              <w:autoSpaceDN/>
              <w:spacing w:before="0"/>
              <w:ind w:firstLine="0"/>
              <w:textAlignment w:val="auto"/>
              <w:rPr>
                <w:rFonts w:eastAsiaTheme="minorHAnsi"/>
                <w:color w:val="000000"/>
                <w:kern w:val="24"/>
                <w:sz w:val="20"/>
                <w:szCs w:val="20"/>
                <w:lang w:eastAsia="en-GB" w:bidi="ar-SA"/>
              </w:rPr>
            </w:pPr>
            <w:r w:rsidRPr="006D3202">
              <w:rPr>
                <w:rFonts w:eastAsiaTheme="minorHAnsi"/>
                <w:color w:val="000000"/>
                <w:kern w:val="24"/>
                <w:sz w:val="20"/>
                <w:szCs w:val="20"/>
                <w:lang w:eastAsia="en-GB" w:bidi="ar-SA"/>
              </w:rPr>
              <w:t xml:space="preserve">Показатељ прати број органа који је омогућио спровођење студентске стручне праксе и број студената који су остварили праксу у односу на годишњи план студентске стручне праксе у наведеним органима. </w:t>
            </w:r>
          </w:p>
          <w:p w14:paraId="00977B8C" w14:textId="77777777" w:rsidR="006D3202" w:rsidRPr="006D3202" w:rsidRDefault="006D3202" w:rsidP="006D3202">
            <w:pPr>
              <w:suppressAutoHyphens w:val="0"/>
              <w:autoSpaceDN/>
              <w:spacing w:before="0"/>
              <w:ind w:firstLine="0"/>
              <w:textAlignment w:val="auto"/>
              <w:rPr>
                <w:rFonts w:eastAsiaTheme="minorHAnsi"/>
                <w:color w:val="000000"/>
                <w:kern w:val="24"/>
                <w:sz w:val="20"/>
                <w:szCs w:val="20"/>
                <w:lang w:eastAsia="en-GB" w:bidi="ar-SA"/>
              </w:rPr>
            </w:pPr>
            <w:r w:rsidRPr="006D3202">
              <w:rPr>
                <w:rFonts w:eastAsiaTheme="minorHAnsi"/>
                <w:color w:val="000000"/>
                <w:kern w:val="24"/>
                <w:sz w:val="20"/>
                <w:szCs w:val="20"/>
                <w:lang w:eastAsia="en-GB" w:bidi="ar-SA"/>
              </w:rPr>
              <w:t xml:space="preserve">Вредност се израчунава на нивоу узорка од 5 министарстава, 3 органа у саставу министарства, 2 посебне организације, 10 ЈЛС. </w:t>
            </w:r>
          </w:p>
          <w:p w14:paraId="056A5AA1" w14:textId="77777777" w:rsidR="006D3202" w:rsidRPr="006D3202" w:rsidRDefault="006D3202" w:rsidP="006D3202">
            <w:pPr>
              <w:suppressAutoHyphens w:val="0"/>
              <w:autoSpaceDN/>
              <w:spacing w:before="0"/>
              <w:ind w:firstLine="0"/>
              <w:textAlignment w:val="auto"/>
              <w:rPr>
                <w:rFonts w:eastAsiaTheme="minorHAnsi"/>
                <w:color w:val="000000"/>
                <w:kern w:val="24"/>
                <w:sz w:val="20"/>
                <w:szCs w:val="20"/>
                <w:lang w:eastAsia="en-GB" w:bidi="ar-SA"/>
              </w:rPr>
            </w:pPr>
            <w:r w:rsidRPr="006D3202">
              <w:rPr>
                <w:rFonts w:eastAsiaTheme="minorHAnsi"/>
                <w:color w:val="000000"/>
                <w:kern w:val="24"/>
                <w:sz w:val="20"/>
                <w:szCs w:val="20"/>
                <w:lang w:eastAsia="en-GB" w:bidi="ar-SA"/>
              </w:rPr>
              <w:t xml:space="preserve">Узорак 20 ОДУ и ЈЛС: Министарство државне управе и локалне самоуправе, Министарство просвете, науке и технолошког развоја, Министарство трговине, туризма и телекомуникација, Министарство европксих интеграција, Министарство грађевинарства, саобраћаја и инфраструткуре, Управа царине МФ, Пореска управа МФ, Управни инспекторат, Републички секретаријат за јавне политике, Републичкисекретаријат за законодавство, , јединице локалне самоуправе Београд, Крагујевац, Лесковац, Нови Пазар, Чачак, Зрењанин, Зајечар, Ниш,Рашка и Суботица. </w:t>
            </w:r>
          </w:p>
          <w:p w14:paraId="1EB18A9D" w14:textId="5A9D7D7A" w:rsidR="00C60FCD" w:rsidRPr="000F0299" w:rsidRDefault="006D3202" w:rsidP="006D3202">
            <w:pPr>
              <w:suppressAutoHyphens w:val="0"/>
              <w:autoSpaceDN/>
              <w:spacing w:before="0"/>
              <w:ind w:firstLine="0"/>
              <w:textAlignment w:val="auto"/>
              <w:rPr>
                <w:rFonts w:eastAsiaTheme="minorHAnsi"/>
                <w:kern w:val="24"/>
                <w:sz w:val="20"/>
                <w:szCs w:val="20"/>
                <w:lang w:eastAsia="en-US" w:bidi="ar-SA"/>
              </w:rPr>
            </w:pPr>
            <w:r w:rsidRPr="006D3202">
              <w:rPr>
                <w:rFonts w:eastAsiaTheme="minorHAnsi"/>
                <w:color w:val="000000"/>
                <w:kern w:val="24"/>
                <w:sz w:val="20"/>
                <w:szCs w:val="20"/>
                <w:lang w:eastAsia="en-GB" w:bidi="ar-SA"/>
              </w:rPr>
              <w:t>Сваки орган/ЈЛС из узорка носи пондер, односно 5% а резултат се добија сабирањем</w:t>
            </w:r>
          </w:p>
        </w:tc>
      </w:tr>
      <w:tr w:rsidR="00C60FCD" w:rsidRPr="000F0299" w14:paraId="60DF9896" w14:textId="77777777" w:rsidTr="00C60FCD">
        <w:tc>
          <w:tcPr>
            <w:tcW w:w="2038" w:type="dxa"/>
            <w:vMerge w:val="restart"/>
            <w:shd w:val="clear" w:color="auto" w:fill="auto"/>
          </w:tcPr>
          <w:p w14:paraId="7F31C573"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Подаци о полазној вредности и години кад је измерена, као и тренду у прошлости</w:t>
            </w:r>
          </w:p>
        </w:tc>
        <w:tc>
          <w:tcPr>
            <w:tcW w:w="5600" w:type="dxa"/>
            <w:gridSpan w:val="10"/>
            <w:shd w:val="clear" w:color="auto" w:fill="auto"/>
          </w:tcPr>
          <w:p w14:paraId="3370CBDB"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Тренд у прошлости</w:t>
            </w:r>
          </w:p>
        </w:tc>
        <w:tc>
          <w:tcPr>
            <w:tcW w:w="1460" w:type="dxa"/>
            <w:gridSpan w:val="3"/>
            <w:shd w:val="clear" w:color="auto" w:fill="auto"/>
          </w:tcPr>
          <w:p w14:paraId="09496CCD"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Полазна вредност</w:t>
            </w:r>
          </w:p>
        </w:tc>
      </w:tr>
      <w:tr w:rsidR="00C60FCD" w:rsidRPr="000F0299" w14:paraId="2FC0FF50" w14:textId="77777777" w:rsidTr="00C60FCD">
        <w:tc>
          <w:tcPr>
            <w:tcW w:w="2038" w:type="dxa"/>
            <w:vMerge/>
            <w:shd w:val="clear" w:color="auto" w:fill="auto"/>
            <w:vAlign w:val="center"/>
          </w:tcPr>
          <w:p w14:paraId="7CEDA175"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p>
        </w:tc>
        <w:tc>
          <w:tcPr>
            <w:tcW w:w="1662" w:type="dxa"/>
            <w:gridSpan w:val="3"/>
            <w:shd w:val="clear" w:color="auto" w:fill="auto"/>
          </w:tcPr>
          <w:p w14:paraId="43580615"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2016</w:t>
            </w:r>
          </w:p>
        </w:tc>
        <w:tc>
          <w:tcPr>
            <w:tcW w:w="1902" w:type="dxa"/>
            <w:gridSpan w:val="4"/>
            <w:shd w:val="clear" w:color="auto" w:fill="auto"/>
          </w:tcPr>
          <w:p w14:paraId="22EE21C8"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2017</w:t>
            </w:r>
          </w:p>
        </w:tc>
        <w:tc>
          <w:tcPr>
            <w:tcW w:w="2036" w:type="dxa"/>
            <w:gridSpan w:val="3"/>
            <w:shd w:val="clear" w:color="auto" w:fill="auto"/>
          </w:tcPr>
          <w:p w14:paraId="2492BA71"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2018</w:t>
            </w:r>
          </w:p>
        </w:tc>
        <w:tc>
          <w:tcPr>
            <w:tcW w:w="1460" w:type="dxa"/>
            <w:gridSpan w:val="3"/>
            <w:shd w:val="clear" w:color="auto" w:fill="auto"/>
          </w:tcPr>
          <w:p w14:paraId="2C075127"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2020</w:t>
            </w:r>
          </w:p>
        </w:tc>
      </w:tr>
      <w:tr w:rsidR="00C60FCD" w:rsidRPr="000F0299" w14:paraId="13A12E2F" w14:textId="77777777" w:rsidTr="00C60FCD">
        <w:tc>
          <w:tcPr>
            <w:tcW w:w="2038" w:type="dxa"/>
            <w:vMerge/>
            <w:shd w:val="clear" w:color="auto" w:fill="auto"/>
            <w:vAlign w:val="center"/>
          </w:tcPr>
          <w:p w14:paraId="1A0F781B"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p>
        </w:tc>
        <w:tc>
          <w:tcPr>
            <w:tcW w:w="1662" w:type="dxa"/>
            <w:gridSpan w:val="3"/>
            <w:shd w:val="clear" w:color="auto" w:fill="auto"/>
          </w:tcPr>
          <w:p w14:paraId="5E7F67B1"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902" w:type="dxa"/>
            <w:gridSpan w:val="4"/>
            <w:shd w:val="clear" w:color="auto" w:fill="auto"/>
          </w:tcPr>
          <w:p w14:paraId="58B9E0DE"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2036" w:type="dxa"/>
            <w:gridSpan w:val="3"/>
            <w:shd w:val="clear" w:color="auto" w:fill="auto"/>
          </w:tcPr>
          <w:p w14:paraId="6DF4903E"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н/а</w:t>
            </w:r>
          </w:p>
        </w:tc>
        <w:tc>
          <w:tcPr>
            <w:tcW w:w="1460" w:type="dxa"/>
            <w:gridSpan w:val="3"/>
            <w:shd w:val="clear" w:color="auto" w:fill="auto"/>
          </w:tcPr>
          <w:p w14:paraId="5A4E946E" w14:textId="14645817" w:rsidR="00C60FCD" w:rsidRPr="000F0299" w:rsidRDefault="00C60FCD" w:rsidP="00830DD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Биће </w:t>
            </w:r>
            <w:r w:rsidR="00864D50" w:rsidRPr="000F0299">
              <w:rPr>
                <w:rFonts w:eastAsiaTheme="minorHAnsi"/>
                <w:kern w:val="0"/>
                <w:sz w:val="20"/>
                <w:szCs w:val="20"/>
                <w:lang w:eastAsia="en-US" w:bidi="ar-SA"/>
              </w:rPr>
              <w:t>накнадно</w:t>
            </w:r>
            <w:r w:rsidRPr="000F0299">
              <w:rPr>
                <w:rFonts w:eastAsiaTheme="minorHAnsi"/>
                <w:kern w:val="0"/>
                <w:sz w:val="20"/>
                <w:szCs w:val="20"/>
                <w:lang w:eastAsia="en-US" w:bidi="ar-SA"/>
              </w:rPr>
              <w:t xml:space="preserve"> утврђено</w:t>
            </w:r>
          </w:p>
        </w:tc>
      </w:tr>
      <w:tr w:rsidR="00C60FCD" w:rsidRPr="000F0299" w14:paraId="4A9B3210" w14:textId="77777777" w:rsidTr="00C60FCD">
        <w:tc>
          <w:tcPr>
            <w:tcW w:w="2038" w:type="dxa"/>
            <w:vMerge w:val="restart"/>
            <w:shd w:val="clear" w:color="auto" w:fill="auto"/>
          </w:tcPr>
          <w:p w14:paraId="29757BF8"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706" w:type="dxa"/>
            <w:shd w:val="clear" w:color="auto" w:fill="auto"/>
            <w:vAlign w:val="center"/>
          </w:tcPr>
          <w:p w14:paraId="1B21AA18"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2021</w:t>
            </w:r>
          </w:p>
        </w:tc>
        <w:tc>
          <w:tcPr>
            <w:tcW w:w="706" w:type="dxa"/>
            <w:shd w:val="clear" w:color="auto" w:fill="auto"/>
            <w:vAlign w:val="center"/>
          </w:tcPr>
          <w:p w14:paraId="75871BC1"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2022</w:t>
            </w:r>
          </w:p>
        </w:tc>
        <w:tc>
          <w:tcPr>
            <w:tcW w:w="706" w:type="dxa"/>
            <w:gridSpan w:val="2"/>
            <w:shd w:val="clear" w:color="auto" w:fill="auto"/>
            <w:vAlign w:val="center"/>
          </w:tcPr>
          <w:p w14:paraId="5B40AE6D"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2023</w:t>
            </w:r>
          </w:p>
        </w:tc>
        <w:tc>
          <w:tcPr>
            <w:tcW w:w="706" w:type="dxa"/>
            <w:shd w:val="clear" w:color="auto" w:fill="auto"/>
            <w:vAlign w:val="center"/>
          </w:tcPr>
          <w:p w14:paraId="5B707A6A"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2024</w:t>
            </w:r>
          </w:p>
        </w:tc>
        <w:tc>
          <w:tcPr>
            <w:tcW w:w="706" w:type="dxa"/>
            <w:shd w:val="clear" w:color="auto" w:fill="auto"/>
            <w:vAlign w:val="center"/>
          </w:tcPr>
          <w:p w14:paraId="05152727"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2025</w:t>
            </w:r>
          </w:p>
        </w:tc>
        <w:tc>
          <w:tcPr>
            <w:tcW w:w="706" w:type="dxa"/>
            <w:gridSpan w:val="2"/>
            <w:shd w:val="clear" w:color="auto" w:fill="auto"/>
            <w:vAlign w:val="center"/>
          </w:tcPr>
          <w:p w14:paraId="178BB333"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2026</w:t>
            </w:r>
          </w:p>
        </w:tc>
        <w:tc>
          <w:tcPr>
            <w:tcW w:w="706" w:type="dxa"/>
            <w:shd w:val="clear" w:color="auto" w:fill="auto"/>
            <w:vAlign w:val="center"/>
          </w:tcPr>
          <w:p w14:paraId="65666F8F"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2027</w:t>
            </w:r>
          </w:p>
        </w:tc>
        <w:tc>
          <w:tcPr>
            <w:tcW w:w="706" w:type="dxa"/>
            <w:gridSpan w:val="2"/>
            <w:shd w:val="clear" w:color="auto" w:fill="auto"/>
            <w:vAlign w:val="center"/>
          </w:tcPr>
          <w:p w14:paraId="25D2BE75"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2028</w:t>
            </w:r>
          </w:p>
        </w:tc>
        <w:tc>
          <w:tcPr>
            <w:tcW w:w="706" w:type="dxa"/>
            <w:shd w:val="clear" w:color="auto" w:fill="auto"/>
            <w:vAlign w:val="center"/>
          </w:tcPr>
          <w:p w14:paraId="20E14B7F"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2029</w:t>
            </w:r>
          </w:p>
        </w:tc>
        <w:tc>
          <w:tcPr>
            <w:tcW w:w="706" w:type="dxa"/>
            <w:shd w:val="clear" w:color="auto" w:fill="auto"/>
            <w:vAlign w:val="center"/>
          </w:tcPr>
          <w:p w14:paraId="7E1A1B6D"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2030</w:t>
            </w:r>
          </w:p>
        </w:tc>
      </w:tr>
      <w:tr w:rsidR="00C60FCD" w:rsidRPr="000F0299" w14:paraId="2664098E" w14:textId="77777777" w:rsidTr="00C60FCD">
        <w:tc>
          <w:tcPr>
            <w:tcW w:w="2038" w:type="dxa"/>
            <w:vMerge/>
            <w:shd w:val="clear" w:color="auto" w:fill="auto"/>
          </w:tcPr>
          <w:p w14:paraId="3EDC6741"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US" w:bidi="ar-SA"/>
              </w:rPr>
            </w:pPr>
          </w:p>
        </w:tc>
        <w:tc>
          <w:tcPr>
            <w:tcW w:w="706" w:type="dxa"/>
            <w:shd w:val="clear" w:color="auto" w:fill="auto"/>
          </w:tcPr>
          <w:p w14:paraId="2872017B"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40%</w:t>
            </w:r>
          </w:p>
        </w:tc>
        <w:tc>
          <w:tcPr>
            <w:tcW w:w="706" w:type="dxa"/>
            <w:shd w:val="clear" w:color="auto" w:fill="auto"/>
          </w:tcPr>
          <w:p w14:paraId="38AF8F7F"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50%</w:t>
            </w:r>
          </w:p>
        </w:tc>
        <w:tc>
          <w:tcPr>
            <w:tcW w:w="706" w:type="dxa"/>
            <w:gridSpan w:val="2"/>
            <w:shd w:val="clear" w:color="auto" w:fill="auto"/>
          </w:tcPr>
          <w:p w14:paraId="4220BD60"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60%</w:t>
            </w:r>
          </w:p>
        </w:tc>
        <w:tc>
          <w:tcPr>
            <w:tcW w:w="706" w:type="dxa"/>
            <w:shd w:val="clear" w:color="auto" w:fill="auto"/>
          </w:tcPr>
          <w:p w14:paraId="7D0DD53A"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70%</w:t>
            </w:r>
          </w:p>
        </w:tc>
        <w:tc>
          <w:tcPr>
            <w:tcW w:w="706" w:type="dxa"/>
            <w:shd w:val="clear" w:color="auto" w:fill="auto"/>
          </w:tcPr>
          <w:p w14:paraId="16BA0B9B"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80%</w:t>
            </w:r>
          </w:p>
        </w:tc>
        <w:tc>
          <w:tcPr>
            <w:tcW w:w="706" w:type="dxa"/>
            <w:gridSpan w:val="2"/>
            <w:shd w:val="clear" w:color="auto" w:fill="auto"/>
          </w:tcPr>
          <w:p w14:paraId="7A5C04C2"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90%</w:t>
            </w:r>
          </w:p>
        </w:tc>
        <w:tc>
          <w:tcPr>
            <w:tcW w:w="706" w:type="dxa"/>
            <w:shd w:val="clear" w:color="auto" w:fill="auto"/>
          </w:tcPr>
          <w:p w14:paraId="372F834F"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90%</w:t>
            </w:r>
          </w:p>
        </w:tc>
        <w:tc>
          <w:tcPr>
            <w:tcW w:w="706" w:type="dxa"/>
            <w:gridSpan w:val="2"/>
            <w:shd w:val="clear" w:color="auto" w:fill="auto"/>
          </w:tcPr>
          <w:p w14:paraId="34CD38DA"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c>
          <w:tcPr>
            <w:tcW w:w="706" w:type="dxa"/>
            <w:shd w:val="clear" w:color="auto" w:fill="auto"/>
          </w:tcPr>
          <w:p w14:paraId="400AE427"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c>
          <w:tcPr>
            <w:tcW w:w="706" w:type="dxa"/>
            <w:shd w:val="clear" w:color="auto" w:fill="auto"/>
          </w:tcPr>
          <w:p w14:paraId="7CDF87A7" w14:textId="77777777" w:rsidR="00C60FCD" w:rsidRPr="000F0299" w:rsidRDefault="00C60FCD" w:rsidP="00830DDC">
            <w:pPr>
              <w:suppressAutoHyphens w:val="0"/>
              <w:autoSpaceDN/>
              <w:spacing w:before="0"/>
              <w:ind w:firstLine="0"/>
              <w:jc w:val="center"/>
              <w:textAlignment w:val="auto"/>
              <w:rPr>
                <w:rFonts w:eastAsiaTheme="minorHAnsi"/>
                <w:color w:val="000000"/>
                <w:kern w:val="0"/>
                <w:sz w:val="20"/>
                <w:szCs w:val="20"/>
                <w:lang w:eastAsia="en-US" w:bidi="ar-SA"/>
              </w:rPr>
            </w:pPr>
            <w:r w:rsidRPr="000F0299">
              <w:rPr>
                <w:rFonts w:eastAsiaTheme="minorHAnsi"/>
                <w:color w:val="000000"/>
                <w:kern w:val="0"/>
                <w:sz w:val="20"/>
                <w:szCs w:val="20"/>
                <w:lang w:eastAsia="en-US" w:bidi="ar-SA"/>
              </w:rPr>
              <w:t>100%</w:t>
            </w:r>
          </w:p>
        </w:tc>
      </w:tr>
      <w:tr w:rsidR="00C60FCD" w:rsidRPr="000F0299" w14:paraId="04CE0674" w14:textId="77777777" w:rsidTr="00C60FCD">
        <w:tc>
          <w:tcPr>
            <w:tcW w:w="2038" w:type="dxa"/>
            <w:shd w:val="clear" w:color="auto" w:fill="auto"/>
          </w:tcPr>
          <w:p w14:paraId="66CF5809" w14:textId="77777777" w:rsidR="00C60FCD" w:rsidRPr="000F0299" w:rsidRDefault="00C60FCD" w:rsidP="00830DDC">
            <w:pPr>
              <w:suppressAutoHyphens w:val="0"/>
              <w:autoSpaceDN/>
              <w:spacing w:before="0"/>
              <w:ind w:firstLine="0"/>
              <w:textAlignment w:val="auto"/>
              <w:rPr>
                <w:rFonts w:eastAsiaTheme="minorHAnsi"/>
                <w:b/>
                <w:bCs/>
                <w:kern w:val="0"/>
                <w:sz w:val="20"/>
                <w:szCs w:val="20"/>
                <w:lang w:eastAsia="en-GB" w:bidi="ar-SA"/>
              </w:rPr>
            </w:pPr>
            <w:r w:rsidRPr="000F0299">
              <w:rPr>
                <w:rFonts w:eastAsiaTheme="minorHAnsi"/>
                <w:b/>
                <w:bCs/>
                <w:kern w:val="24"/>
                <w:sz w:val="20"/>
                <w:szCs w:val="20"/>
                <w:lang w:eastAsia="en-GB" w:bidi="ar-SA"/>
              </w:rPr>
              <w:t>Процена успешности</w:t>
            </w:r>
          </w:p>
        </w:tc>
        <w:tc>
          <w:tcPr>
            <w:tcW w:w="7060" w:type="dxa"/>
            <w:gridSpan w:val="13"/>
            <w:shd w:val="clear" w:color="auto" w:fill="auto"/>
            <w:vAlign w:val="center"/>
          </w:tcPr>
          <w:p w14:paraId="3B714E1A" w14:textId="77777777" w:rsidR="00C60FCD" w:rsidRPr="000F0299" w:rsidRDefault="00C60FCD" w:rsidP="00830DDC">
            <w:pPr>
              <w:suppressAutoHyphens w:val="0"/>
              <w:autoSpaceDN/>
              <w:spacing w:before="0"/>
              <w:ind w:firstLine="0"/>
              <w:textAlignment w:val="auto"/>
              <w:rPr>
                <w:rFonts w:eastAsiaTheme="minorHAnsi"/>
                <w:color w:val="000000"/>
                <w:kern w:val="0"/>
                <w:sz w:val="20"/>
                <w:szCs w:val="20"/>
                <w:lang w:eastAsia="en-GB" w:bidi="ar-SA"/>
              </w:rPr>
            </w:pPr>
            <w:r w:rsidRPr="000F0299">
              <w:rPr>
                <w:rFonts w:eastAsiaTheme="minorHAnsi"/>
                <w:color w:val="000000"/>
                <w:kern w:val="24"/>
                <w:sz w:val="20"/>
                <w:szCs w:val="20"/>
                <w:lang w:eastAsia="en-GB" w:bidi="ar-SA"/>
              </w:rPr>
              <w:t>Одступање од циљне вредности до 15% ће се вредновати као успех.</w:t>
            </w:r>
          </w:p>
        </w:tc>
      </w:tr>
    </w:tbl>
    <w:p w14:paraId="578A4ADF" w14:textId="6538B1F4" w:rsidR="00620C52" w:rsidRPr="000F0299" w:rsidRDefault="00620C52" w:rsidP="00C60FCD">
      <w:pPr>
        <w:ind w:firstLine="0"/>
      </w:pPr>
    </w:p>
    <w:p w14:paraId="4B0FD9CC" w14:textId="77777777" w:rsidR="00620C52" w:rsidRPr="000F0299" w:rsidRDefault="00620C52">
      <w:pPr>
        <w:suppressAutoHyphens w:val="0"/>
        <w:autoSpaceDN/>
        <w:spacing w:before="0" w:after="160" w:line="259" w:lineRule="auto"/>
        <w:ind w:firstLine="0"/>
        <w:jc w:val="left"/>
        <w:textAlignment w:val="auto"/>
      </w:pPr>
      <w:r w:rsidRPr="000F0299">
        <w:br w:type="page"/>
      </w:r>
    </w:p>
    <w:p w14:paraId="6F6004FC" w14:textId="270B258A" w:rsidR="003F3312" w:rsidRPr="000F0299" w:rsidRDefault="005F3F29" w:rsidP="003D3BC5">
      <w:pPr>
        <w:pStyle w:val="Heading2"/>
        <w:rPr>
          <w:lang w:val="sr-Cyrl-RS"/>
        </w:rPr>
      </w:pPr>
      <w:bookmarkStart w:id="331" w:name="_Toc57661519"/>
      <w:bookmarkEnd w:id="320"/>
      <w:r w:rsidRPr="000F0299">
        <w:rPr>
          <w:lang w:val="sr-Cyrl-RS"/>
        </w:rPr>
        <w:t xml:space="preserve">Показатељи учинака - </w:t>
      </w:r>
      <w:r w:rsidR="00C013C7" w:rsidRPr="000F0299">
        <w:rPr>
          <w:lang w:val="sr-Cyrl-RS"/>
        </w:rPr>
        <w:t>Пружање услуга</w:t>
      </w:r>
      <w:bookmarkEnd w:id="331"/>
    </w:p>
    <w:p w14:paraId="63D48CE8" w14:textId="2F376FA5" w:rsidR="003D3BC5" w:rsidRPr="000F0299" w:rsidRDefault="00864D50" w:rsidP="00830DDC">
      <w:pPr>
        <w:pStyle w:val="Heading3"/>
        <w:rPr>
          <w:rFonts w:ascii="Arial" w:hAnsi="Arial" w:cs="Arial"/>
          <w:lang w:val="sr-Cyrl-RS" w:eastAsia="en-US" w:bidi="ar-SA"/>
        </w:rPr>
      </w:pPr>
      <w:bookmarkStart w:id="332" w:name="_Посебан_циљ_3.1:"/>
      <w:bookmarkStart w:id="333" w:name="_Toc57661520"/>
      <w:bookmarkEnd w:id="332"/>
      <w:r w:rsidRPr="000F0299">
        <w:rPr>
          <w:lang w:val="sr-Cyrl-RS" w:eastAsia="en-US" w:bidi="ar-SA"/>
        </w:rPr>
        <w:t>Посебан</w:t>
      </w:r>
      <w:r w:rsidR="003D3BC5" w:rsidRPr="000F0299">
        <w:rPr>
          <w:lang w:val="sr-Cyrl-RS" w:eastAsia="en-US" w:bidi="ar-SA"/>
        </w:rPr>
        <w:t xml:space="preserve"> циљ</w:t>
      </w:r>
      <w:r w:rsidR="001044E9" w:rsidRPr="000F0299">
        <w:rPr>
          <w:lang w:val="sr-Cyrl-RS" w:eastAsia="en-US" w:bidi="ar-SA"/>
        </w:rPr>
        <w:t xml:space="preserve"> 3.1</w:t>
      </w:r>
      <w:r w:rsidR="003D3BC5" w:rsidRPr="000F0299">
        <w:rPr>
          <w:lang w:val="sr-Cyrl-RS" w:eastAsia="en-US" w:bidi="ar-SA"/>
        </w:rPr>
        <w:t>: Јавна управа на ефикасан и иновативан начин пружа услуге које одговарају на потребе крајњих корисника и унапређују њихово корисничко искуство</w:t>
      </w:r>
      <w:bookmarkEnd w:id="333"/>
      <w:r w:rsidR="003D3BC5" w:rsidRPr="000F0299">
        <w:rPr>
          <w:lang w:val="sr-Cyrl-RS" w:eastAsia="en-US" w:bidi="ar-SA"/>
        </w:rPr>
        <w:t xml:space="preserve"> </w:t>
      </w:r>
    </w:p>
    <w:p w14:paraId="6C2E8775" w14:textId="2940B7C3" w:rsidR="003D3BC5" w:rsidRPr="000F0299" w:rsidRDefault="00AE6E7E" w:rsidP="00BE55B6">
      <w:pPr>
        <w:ind w:firstLine="0"/>
        <w:rPr>
          <w:b/>
          <w:bCs/>
          <w:color w:val="2F5496" w:themeColor="accent1" w:themeShade="BF"/>
        </w:rPr>
      </w:pPr>
      <w:r w:rsidRPr="000F0299">
        <w:rPr>
          <w:b/>
          <w:bCs/>
          <w:color w:val="2F5496" w:themeColor="accent1" w:themeShade="BF"/>
        </w:rPr>
        <w:t>Показатељ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2"/>
        <w:gridCol w:w="697"/>
        <w:gridCol w:w="754"/>
        <w:gridCol w:w="255"/>
        <w:gridCol w:w="440"/>
        <w:gridCol w:w="697"/>
        <w:gridCol w:w="558"/>
        <w:gridCol w:w="75"/>
        <w:gridCol w:w="61"/>
        <w:gridCol w:w="697"/>
        <w:gridCol w:w="697"/>
        <w:gridCol w:w="261"/>
        <w:gridCol w:w="435"/>
        <w:gridCol w:w="699"/>
        <w:gridCol w:w="626"/>
      </w:tblGrid>
      <w:tr w:rsidR="003D3BC5" w:rsidRPr="000F0299" w14:paraId="291A9A4D" w14:textId="77777777" w:rsidTr="003C0DA1">
        <w:trPr>
          <w:trHeight w:val="555"/>
        </w:trPr>
        <w:tc>
          <w:tcPr>
            <w:tcW w:w="1211" w:type="pct"/>
            <w:shd w:val="clear" w:color="auto" w:fill="DEEAF6" w:themeFill="accent5" w:themeFillTint="33"/>
            <w:vAlign w:val="center"/>
          </w:tcPr>
          <w:p w14:paraId="500F71EA" w14:textId="77777777" w:rsidR="003D3BC5" w:rsidRPr="000F0299" w:rsidRDefault="003D3BC5" w:rsidP="00830DD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3789" w:type="pct"/>
            <w:gridSpan w:val="14"/>
            <w:shd w:val="clear" w:color="auto" w:fill="DEEAF6" w:themeFill="accent5" w:themeFillTint="33"/>
            <w:vAlign w:val="center"/>
          </w:tcPr>
          <w:p w14:paraId="7B91F2C0" w14:textId="7A98F7D0" w:rsidR="003D3BC5" w:rsidRPr="000F0299" w:rsidRDefault="003D3BC5" w:rsidP="00830DD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 xml:space="preserve">Просечна оцена </w:t>
            </w:r>
            <w:r w:rsidR="0070535D" w:rsidRPr="0070535D">
              <w:rPr>
                <w:rFonts w:eastAsiaTheme="minorHAnsi"/>
                <w:b/>
                <w:bCs/>
                <w:i/>
                <w:kern w:val="0"/>
                <w:sz w:val="20"/>
                <w:szCs w:val="20"/>
                <w:lang w:eastAsia="en-US" w:bidi="ar-SA"/>
              </w:rPr>
              <w:t>SIGMA</w:t>
            </w:r>
            <w:r w:rsidRPr="000F0299">
              <w:rPr>
                <w:rFonts w:eastAsiaTheme="minorHAnsi"/>
                <w:b/>
                <w:bCs/>
                <w:kern w:val="0"/>
                <w:sz w:val="20"/>
                <w:szCs w:val="20"/>
                <w:lang w:eastAsia="en-US" w:bidi="ar-SA"/>
              </w:rPr>
              <w:t xml:space="preserve"> евалуације у области пружања услуга за сва четири стуба мерења</w:t>
            </w:r>
          </w:p>
        </w:tc>
      </w:tr>
      <w:tr w:rsidR="003D3BC5" w:rsidRPr="000F0299" w14:paraId="16AB94B3" w14:textId="77777777" w:rsidTr="003C0DA1">
        <w:trPr>
          <w:trHeight w:val="331"/>
        </w:trPr>
        <w:tc>
          <w:tcPr>
            <w:tcW w:w="1211" w:type="pct"/>
            <w:shd w:val="clear" w:color="auto" w:fill="auto"/>
          </w:tcPr>
          <w:p w14:paraId="7C9E3AD6" w14:textId="77777777" w:rsidR="003D3BC5" w:rsidRPr="000F0299" w:rsidRDefault="003D3BC5" w:rsidP="00830DD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3789" w:type="pct"/>
            <w:gridSpan w:val="14"/>
            <w:shd w:val="clear" w:color="auto" w:fill="auto"/>
          </w:tcPr>
          <w:p w14:paraId="5D440CCA" w14:textId="1B78CDDD" w:rsidR="003D3BC5" w:rsidRPr="000F0299" w:rsidRDefault="00316C57" w:rsidP="00830DDC">
            <w:pPr>
              <w:suppressAutoHyphens w:val="0"/>
              <w:autoSpaceDN/>
              <w:spacing w:before="0"/>
              <w:ind w:firstLine="0"/>
              <w:textAlignment w:val="auto"/>
              <w:rPr>
                <w:rFonts w:eastAsiaTheme="minorHAnsi"/>
                <w:iCs/>
                <w:kern w:val="0"/>
                <w:sz w:val="20"/>
                <w:szCs w:val="20"/>
                <w:lang w:eastAsia="en-US" w:bidi="ar-SA"/>
              </w:rPr>
            </w:pPr>
            <w:r w:rsidRPr="000F0299">
              <w:rPr>
                <w:rFonts w:eastAsiaTheme="minorHAnsi"/>
                <w:b/>
                <w:bCs/>
                <w:iCs/>
                <w:kern w:val="0"/>
                <w:sz w:val="20"/>
                <w:szCs w:val="20"/>
                <w:lang w:eastAsia="en-US" w:bidi="ar-SA"/>
              </w:rPr>
              <w:t xml:space="preserve">Посебан циљ </w:t>
            </w:r>
            <w:r w:rsidR="001044E9" w:rsidRPr="000F0299">
              <w:rPr>
                <w:rFonts w:eastAsiaTheme="minorHAnsi"/>
                <w:b/>
                <w:bCs/>
                <w:iCs/>
                <w:kern w:val="0"/>
                <w:sz w:val="20"/>
                <w:szCs w:val="20"/>
                <w:lang w:eastAsia="en-US" w:bidi="ar-SA"/>
              </w:rPr>
              <w:t>3.1</w:t>
            </w:r>
            <w:r w:rsidRPr="000F0299">
              <w:rPr>
                <w:rFonts w:eastAsiaTheme="minorHAnsi"/>
                <w:iCs/>
                <w:kern w:val="0"/>
                <w:sz w:val="20"/>
                <w:szCs w:val="20"/>
                <w:lang w:eastAsia="en-US" w:bidi="ar-SA"/>
              </w:rPr>
              <w:t xml:space="preserve"> </w:t>
            </w:r>
            <w:r w:rsidR="003D3BC5" w:rsidRPr="000F0299">
              <w:rPr>
                <w:rFonts w:eastAsiaTheme="minorHAnsi"/>
                <w:iCs/>
                <w:kern w:val="0"/>
                <w:sz w:val="20"/>
                <w:szCs w:val="20"/>
                <w:lang w:eastAsia="en-US" w:bidi="ar-SA"/>
              </w:rPr>
              <w:t>Јавна управа на ефикасан и иновативан начин пружа услуге које одговарају на потребе крајњих корисника и унапређују њихово корисничко искуство</w:t>
            </w:r>
          </w:p>
        </w:tc>
      </w:tr>
      <w:tr w:rsidR="00003BDE" w:rsidRPr="000F0299" w14:paraId="4A25E0B1" w14:textId="77777777" w:rsidTr="003C0DA1">
        <w:trPr>
          <w:trHeight w:val="309"/>
        </w:trPr>
        <w:tc>
          <w:tcPr>
            <w:tcW w:w="1211" w:type="pct"/>
            <w:shd w:val="clear" w:color="auto" w:fill="auto"/>
          </w:tcPr>
          <w:p w14:paraId="4F745F68" w14:textId="77777777" w:rsidR="00003BDE" w:rsidRPr="000F0299" w:rsidRDefault="00003BDE" w:rsidP="00830DD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kern w:val="24"/>
                <w:sz w:val="20"/>
                <w:szCs w:val="20"/>
                <w:lang w:eastAsia="en-US" w:bidi="ar-SA"/>
              </w:rPr>
              <w:t>Тип и ниво показатеља</w:t>
            </w:r>
          </w:p>
        </w:tc>
        <w:tc>
          <w:tcPr>
            <w:tcW w:w="1894" w:type="pct"/>
            <w:gridSpan w:val="7"/>
            <w:shd w:val="clear" w:color="auto" w:fill="auto"/>
          </w:tcPr>
          <w:p w14:paraId="502F4680" w14:textId="77777777" w:rsidR="00003BDE" w:rsidRPr="000F0299" w:rsidRDefault="00003BDE" w:rsidP="00830DDC">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 xml:space="preserve">Квантитативан показатељ </w:t>
            </w:r>
          </w:p>
        </w:tc>
        <w:tc>
          <w:tcPr>
            <w:tcW w:w="1896" w:type="pct"/>
            <w:gridSpan w:val="7"/>
            <w:shd w:val="clear" w:color="auto" w:fill="auto"/>
          </w:tcPr>
          <w:p w14:paraId="5D20B0A7" w14:textId="3B62965D" w:rsidR="00003BDE" w:rsidRPr="000F0299" w:rsidRDefault="00003BDE" w:rsidP="00830DDC">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Показатељ исхода</w:t>
            </w:r>
          </w:p>
        </w:tc>
      </w:tr>
      <w:tr w:rsidR="00003BDE" w:rsidRPr="000F0299" w14:paraId="790D8E88" w14:textId="77777777" w:rsidTr="003C0DA1">
        <w:trPr>
          <w:trHeight w:val="356"/>
        </w:trPr>
        <w:tc>
          <w:tcPr>
            <w:tcW w:w="1211" w:type="pct"/>
            <w:shd w:val="clear" w:color="auto" w:fill="auto"/>
          </w:tcPr>
          <w:p w14:paraId="2A29C0F7" w14:textId="77777777" w:rsidR="00003BDE" w:rsidRPr="000F0299" w:rsidRDefault="00003BDE" w:rsidP="00830DDC">
            <w:pPr>
              <w:suppressAutoHyphens w:val="0"/>
              <w:autoSpaceDN/>
              <w:spacing w:before="0"/>
              <w:ind w:firstLine="0"/>
              <w:jc w:val="left"/>
              <w:textAlignment w:val="auto"/>
              <w:rPr>
                <w:rFonts w:eastAsiaTheme="minorHAnsi"/>
                <w:b/>
                <w:kern w:val="24"/>
                <w:sz w:val="20"/>
                <w:szCs w:val="20"/>
                <w:lang w:eastAsia="en-US" w:bidi="ar-SA"/>
              </w:rPr>
            </w:pPr>
            <w:r w:rsidRPr="000F0299">
              <w:rPr>
                <w:rFonts w:eastAsiaTheme="minorHAnsi"/>
                <w:b/>
                <w:kern w:val="24"/>
                <w:sz w:val="20"/>
                <w:szCs w:val="20"/>
                <w:lang w:eastAsia="en-US" w:bidi="ar-SA"/>
              </w:rPr>
              <w:t>Јединица мере и природа</w:t>
            </w:r>
          </w:p>
        </w:tc>
        <w:tc>
          <w:tcPr>
            <w:tcW w:w="1895" w:type="pct"/>
            <w:gridSpan w:val="7"/>
            <w:shd w:val="clear" w:color="auto" w:fill="auto"/>
          </w:tcPr>
          <w:p w14:paraId="3D30E0C7" w14:textId="77777777" w:rsidR="00003BDE" w:rsidRPr="000F0299" w:rsidRDefault="00003BDE" w:rsidP="00830DDC">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Оцена, (прост просек), скала 0-5</w:t>
            </w:r>
          </w:p>
        </w:tc>
        <w:tc>
          <w:tcPr>
            <w:tcW w:w="1895" w:type="pct"/>
            <w:gridSpan w:val="7"/>
            <w:shd w:val="clear" w:color="auto" w:fill="auto"/>
          </w:tcPr>
          <w:p w14:paraId="0F5989F1" w14:textId="555F1EE3" w:rsidR="00003BDE" w:rsidRPr="000F0299" w:rsidRDefault="00003BDE" w:rsidP="00830DDC">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Пожељна је виша вредност</w:t>
            </w:r>
          </w:p>
        </w:tc>
      </w:tr>
      <w:tr w:rsidR="003D3BC5" w:rsidRPr="000F0299" w14:paraId="67857B3F" w14:textId="77777777" w:rsidTr="003C0DA1">
        <w:trPr>
          <w:trHeight w:val="715"/>
        </w:trPr>
        <w:tc>
          <w:tcPr>
            <w:tcW w:w="1211" w:type="pct"/>
            <w:shd w:val="clear" w:color="auto" w:fill="auto"/>
          </w:tcPr>
          <w:p w14:paraId="1821E926" w14:textId="77777777" w:rsidR="003D3BC5" w:rsidRPr="000F0299" w:rsidRDefault="003D3BC5" w:rsidP="00830DD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3789" w:type="pct"/>
            <w:gridSpan w:val="14"/>
            <w:shd w:val="clear" w:color="auto" w:fill="auto"/>
          </w:tcPr>
          <w:p w14:paraId="67FA2674" w14:textId="6A0F7279" w:rsidR="003D3BC5" w:rsidRPr="000F0299" w:rsidRDefault="00003BDE" w:rsidP="00830DDC">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Извор: </w:t>
            </w:r>
            <w:r w:rsidR="003D3BC5" w:rsidRPr="000F0299">
              <w:rPr>
                <w:rFonts w:eastAsiaTheme="minorHAnsi"/>
                <w:kern w:val="0"/>
                <w:sz w:val="20"/>
                <w:szCs w:val="20"/>
                <w:lang w:eastAsia="en-US" w:bidi="ar-SA"/>
              </w:rPr>
              <w:t>SIGMA Monitoring Report, ОЕЦД</w:t>
            </w:r>
          </w:p>
          <w:p w14:paraId="02A20D35" w14:textId="77777777" w:rsidR="003D3BC5" w:rsidRPr="000F0299" w:rsidRDefault="00F47F65" w:rsidP="00830DDC">
            <w:pPr>
              <w:suppressAutoHyphens w:val="0"/>
              <w:autoSpaceDN/>
              <w:spacing w:before="0"/>
              <w:ind w:firstLine="0"/>
              <w:textAlignment w:val="auto"/>
              <w:rPr>
                <w:rFonts w:eastAsiaTheme="minorHAnsi"/>
                <w:kern w:val="0"/>
                <w:sz w:val="20"/>
                <w:szCs w:val="20"/>
                <w:lang w:eastAsia="en-US" w:bidi="ar-SA"/>
              </w:rPr>
            </w:pPr>
            <w:hyperlink r:id="rId203" w:history="1">
              <w:r w:rsidR="003D3BC5" w:rsidRPr="000F0299">
                <w:rPr>
                  <w:rFonts w:eastAsiaTheme="minorHAnsi"/>
                  <w:color w:val="0563C1" w:themeColor="hyperlink"/>
                  <w:kern w:val="0"/>
                  <w:sz w:val="20"/>
                  <w:szCs w:val="20"/>
                  <w:u w:val="single"/>
                  <w:lang w:eastAsia="en-US" w:bidi="ar-SA"/>
                </w:rPr>
                <w:t>http://www.sigmaweb.org/publications/monitoring-reports.htm</w:t>
              </w:r>
            </w:hyperlink>
            <w:r w:rsidR="003D3BC5" w:rsidRPr="000F0299">
              <w:rPr>
                <w:rFonts w:eastAsiaTheme="minorHAnsi"/>
                <w:kern w:val="0"/>
                <w:sz w:val="20"/>
                <w:szCs w:val="20"/>
                <w:lang w:eastAsia="en-US" w:bidi="ar-SA"/>
              </w:rPr>
              <w:t xml:space="preserve"> </w:t>
            </w:r>
          </w:p>
          <w:p w14:paraId="1DE14E4C" w14:textId="77777777" w:rsidR="003D3BC5" w:rsidRPr="000F0299" w:rsidRDefault="003D3BC5" w:rsidP="00830DDC">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Регионално упоредив показатељ.</w:t>
            </w:r>
          </w:p>
        </w:tc>
      </w:tr>
      <w:tr w:rsidR="003D3BC5" w:rsidRPr="000F0299" w14:paraId="6A2966A5" w14:textId="77777777" w:rsidTr="003C0DA1">
        <w:trPr>
          <w:trHeight w:val="512"/>
        </w:trPr>
        <w:tc>
          <w:tcPr>
            <w:tcW w:w="1211" w:type="pct"/>
            <w:shd w:val="clear" w:color="auto" w:fill="auto"/>
          </w:tcPr>
          <w:p w14:paraId="06D6153A" w14:textId="77777777" w:rsidR="003D3BC5" w:rsidRPr="000F0299" w:rsidRDefault="003D3BC5" w:rsidP="00830DD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3789" w:type="pct"/>
            <w:gridSpan w:val="14"/>
            <w:shd w:val="clear" w:color="auto" w:fill="auto"/>
          </w:tcPr>
          <w:p w14:paraId="37EBBFC9" w14:textId="5D0160D8" w:rsidR="003D3BC5" w:rsidRPr="000F0299" w:rsidRDefault="003D3BC5" w:rsidP="00E400F4">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Министарство држав</w:t>
            </w:r>
            <w:r w:rsidR="00E400F4">
              <w:rPr>
                <w:rFonts w:eastAsiaTheme="minorHAnsi"/>
                <w:kern w:val="0"/>
                <w:sz w:val="20"/>
                <w:szCs w:val="20"/>
                <w:lang w:eastAsia="en-US" w:bidi="ar-SA"/>
              </w:rPr>
              <w:t>не управе и локалне самоуправе</w:t>
            </w:r>
          </w:p>
        </w:tc>
      </w:tr>
      <w:tr w:rsidR="003D3BC5" w:rsidRPr="000F0299" w14:paraId="3406F672" w14:textId="77777777" w:rsidTr="003C0DA1">
        <w:trPr>
          <w:trHeight w:val="512"/>
        </w:trPr>
        <w:tc>
          <w:tcPr>
            <w:tcW w:w="1211" w:type="pct"/>
            <w:shd w:val="clear" w:color="auto" w:fill="auto"/>
          </w:tcPr>
          <w:p w14:paraId="5153C5F8" w14:textId="77777777" w:rsidR="003D3BC5" w:rsidRPr="000F0299" w:rsidRDefault="003D3BC5" w:rsidP="00830DD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3789" w:type="pct"/>
            <w:gridSpan w:val="14"/>
            <w:shd w:val="clear" w:color="auto" w:fill="auto"/>
          </w:tcPr>
          <w:p w14:paraId="1A010419" w14:textId="4C3ADAC9" w:rsidR="003D3BC5" w:rsidRPr="000F0299" w:rsidRDefault="003D3BC5" w:rsidP="00830DDC">
            <w:pPr>
              <w:tabs>
                <w:tab w:val="right" w:pos="2140"/>
              </w:tabs>
              <w:suppressAutoHyphens w:val="0"/>
              <w:autoSpaceDN/>
              <w:spacing w:before="0"/>
              <w:ind w:firstLine="0"/>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Оцењивање се врши на сваке две године, прва следећа публикација извештаја је у мају 2021.</w:t>
            </w:r>
          </w:p>
        </w:tc>
      </w:tr>
      <w:tr w:rsidR="003D3BC5" w:rsidRPr="000F0299" w14:paraId="17226BD6" w14:textId="77777777" w:rsidTr="003C0DA1">
        <w:trPr>
          <w:trHeight w:val="1533"/>
        </w:trPr>
        <w:tc>
          <w:tcPr>
            <w:tcW w:w="1211" w:type="pct"/>
            <w:shd w:val="clear" w:color="auto" w:fill="auto"/>
          </w:tcPr>
          <w:p w14:paraId="0A293235" w14:textId="77777777" w:rsidR="003D3BC5" w:rsidRPr="000F0299" w:rsidRDefault="003D3BC5" w:rsidP="00830DDC">
            <w:pPr>
              <w:suppressAutoHyphens w:val="0"/>
              <w:autoSpaceDN/>
              <w:spacing w:before="0"/>
              <w:ind w:firstLine="0"/>
              <w:jc w:val="left"/>
              <w:textAlignment w:val="auto"/>
              <w:rPr>
                <w:rFonts w:eastAsiaTheme="minorHAnsi"/>
                <w:b/>
                <w:kern w:val="0"/>
                <w:sz w:val="20"/>
                <w:szCs w:val="20"/>
                <w:lang w:eastAsia="en-US" w:bidi="ar-SA"/>
              </w:rPr>
            </w:pPr>
            <w:r w:rsidRPr="000F0299">
              <w:rPr>
                <w:rFonts w:eastAsiaTheme="minorHAnsi"/>
                <w:b/>
                <w:kern w:val="0"/>
                <w:sz w:val="20"/>
                <w:szCs w:val="20"/>
                <w:lang w:eastAsia="en-US" w:bidi="ar-SA"/>
              </w:rPr>
              <w:t>Кратак опис показатеља и методологије израчунавања</w:t>
            </w:r>
          </w:p>
        </w:tc>
        <w:tc>
          <w:tcPr>
            <w:tcW w:w="3789" w:type="pct"/>
            <w:gridSpan w:val="14"/>
            <w:shd w:val="clear" w:color="auto" w:fill="auto"/>
          </w:tcPr>
          <w:p w14:paraId="6977D6F8" w14:textId="77777777" w:rsidR="003D3BC5" w:rsidRPr="000F0299" w:rsidRDefault="003D3BC5" w:rsidP="003C0DA1">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ОЕЦД сваке две године на регионалном нивоу припрема свеобухватан извештај о квалитету пружања услуга од стране јавне управе. Мерење вредности показатеља добија се као прост просек оцена на скали 0-5 које дају експерти ОЕЦД-а за следећа четири стуба:</w:t>
            </w:r>
          </w:p>
          <w:p w14:paraId="357EDF61" w14:textId="77777777" w:rsidR="003D3BC5" w:rsidRPr="000F0299" w:rsidRDefault="003D3BC5" w:rsidP="00E62A1A">
            <w:pPr>
              <w:numPr>
                <w:ilvl w:val="0"/>
                <w:numId w:val="17"/>
              </w:numPr>
              <w:tabs>
                <w:tab w:val="right" w:pos="2140"/>
              </w:tabs>
              <w:suppressAutoHyphens w:val="0"/>
              <w:autoSpaceDN/>
              <w:spacing w:before="0"/>
              <w:ind w:left="604" w:hanging="302"/>
              <w:contextualSpacing/>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Пружање услуга усмерено на грађане</w:t>
            </w:r>
          </w:p>
          <w:p w14:paraId="5F4C6CAB" w14:textId="77777777" w:rsidR="003D3BC5" w:rsidRPr="000F0299" w:rsidRDefault="003D3BC5" w:rsidP="00E62A1A">
            <w:pPr>
              <w:numPr>
                <w:ilvl w:val="0"/>
                <w:numId w:val="17"/>
              </w:numPr>
              <w:tabs>
                <w:tab w:val="right" w:pos="2140"/>
              </w:tabs>
              <w:suppressAutoHyphens w:val="0"/>
              <w:autoSpaceDN/>
              <w:spacing w:before="0"/>
              <w:ind w:left="604" w:hanging="302"/>
              <w:contextualSpacing/>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Правичност и ефикасност административних поступака</w:t>
            </w:r>
          </w:p>
          <w:p w14:paraId="11F1D38F" w14:textId="77777777" w:rsidR="003D3BC5" w:rsidRPr="000F0299" w:rsidRDefault="003D3BC5" w:rsidP="00E62A1A">
            <w:pPr>
              <w:numPr>
                <w:ilvl w:val="0"/>
                <w:numId w:val="17"/>
              </w:numPr>
              <w:tabs>
                <w:tab w:val="right" w:pos="2140"/>
              </w:tabs>
              <w:suppressAutoHyphens w:val="0"/>
              <w:autoSpaceDN/>
              <w:spacing w:before="0"/>
              <w:ind w:left="604" w:hanging="302"/>
              <w:contextualSpacing/>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Постојање предуслова за пружање јавних услуга</w:t>
            </w:r>
          </w:p>
          <w:p w14:paraId="054DDCF6" w14:textId="77777777" w:rsidR="003D3BC5" w:rsidRPr="000F0299" w:rsidRDefault="003D3BC5" w:rsidP="00E62A1A">
            <w:pPr>
              <w:numPr>
                <w:ilvl w:val="0"/>
                <w:numId w:val="17"/>
              </w:numPr>
              <w:tabs>
                <w:tab w:val="right" w:pos="2140"/>
              </w:tabs>
              <w:suppressAutoHyphens w:val="0"/>
              <w:autoSpaceDN/>
              <w:spacing w:before="0"/>
              <w:ind w:left="604" w:hanging="302"/>
              <w:contextualSpacing/>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Приступачност јавних услуга</w:t>
            </w:r>
          </w:p>
        </w:tc>
      </w:tr>
      <w:tr w:rsidR="003D3BC5" w:rsidRPr="000F0299" w14:paraId="4A182A47" w14:textId="77777777" w:rsidTr="003C0DA1">
        <w:trPr>
          <w:trHeight w:val="235"/>
        </w:trPr>
        <w:tc>
          <w:tcPr>
            <w:tcW w:w="1211" w:type="pct"/>
            <w:vMerge w:val="restart"/>
            <w:shd w:val="clear" w:color="auto" w:fill="auto"/>
          </w:tcPr>
          <w:p w14:paraId="1E8FB980" w14:textId="77777777" w:rsidR="003D3BC5" w:rsidRPr="000F0299" w:rsidRDefault="003D3BC5" w:rsidP="00830DD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2829" w:type="pct"/>
            <w:gridSpan w:val="11"/>
            <w:tcBorders>
              <w:bottom w:val="single" w:sz="4" w:space="0" w:color="auto"/>
            </w:tcBorders>
            <w:shd w:val="clear" w:color="auto" w:fill="auto"/>
            <w:vAlign w:val="center"/>
          </w:tcPr>
          <w:p w14:paraId="0ACC254A"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Тренд у прошлости</w:t>
            </w:r>
          </w:p>
        </w:tc>
        <w:tc>
          <w:tcPr>
            <w:tcW w:w="960" w:type="pct"/>
            <w:gridSpan w:val="3"/>
            <w:shd w:val="clear" w:color="auto" w:fill="auto"/>
            <w:vAlign w:val="center"/>
          </w:tcPr>
          <w:p w14:paraId="54BF4DCA"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Полазна вредност</w:t>
            </w:r>
          </w:p>
        </w:tc>
      </w:tr>
      <w:tr w:rsidR="003D3BC5" w:rsidRPr="000F0299" w14:paraId="5C019B09" w14:textId="77777777" w:rsidTr="003C0DA1">
        <w:trPr>
          <w:trHeight w:val="121"/>
        </w:trPr>
        <w:tc>
          <w:tcPr>
            <w:tcW w:w="1211" w:type="pct"/>
            <w:vMerge/>
            <w:tcBorders>
              <w:right w:val="single" w:sz="4" w:space="0" w:color="auto"/>
            </w:tcBorders>
            <w:shd w:val="clear" w:color="auto" w:fill="auto"/>
          </w:tcPr>
          <w:p w14:paraId="1C1AD537" w14:textId="77777777" w:rsidR="003D3BC5" w:rsidRPr="000F0299" w:rsidRDefault="003D3BC5" w:rsidP="00830DDC">
            <w:pPr>
              <w:suppressAutoHyphens w:val="0"/>
              <w:autoSpaceDN/>
              <w:spacing w:before="0"/>
              <w:ind w:firstLine="0"/>
              <w:jc w:val="left"/>
              <w:textAlignment w:val="auto"/>
              <w:rPr>
                <w:rFonts w:eastAsiaTheme="minorHAnsi"/>
                <w:b/>
                <w:bCs/>
                <w:kern w:val="0"/>
                <w:sz w:val="20"/>
                <w:szCs w:val="20"/>
                <w:lang w:eastAsia="en-US" w:bidi="ar-SA"/>
              </w:rPr>
            </w:pPr>
          </w:p>
        </w:tc>
        <w:tc>
          <w:tcPr>
            <w:tcW w:w="93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725647"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2016</w:t>
            </w:r>
          </w:p>
        </w:tc>
        <w:tc>
          <w:tcPr>
            <w:tcW w:w="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64BD94"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2017</w:t>
            </w:r>
          </w:p>
        </w:tc>
        <w:tc>
          <w:tcPr>
            <w:tcW w:w="9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8C9C42A"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2018</w:t>
            </w:r>
          </w:p>
        </w:tc>
        <w:tc>
          <w:tcPr>
            <w:tcW w:w="960" w:type="pct"/>
            <w:gridSpan w:val="3"/>
            <w:tcBorders>
              <w:left w:val="single" w:sz="4" w:space="0" w:color="auto"/>
            </w:tcBorders>
            <w:shd w:val="clear" w:color="auto" w:fill="auto"/>
            <w:vAlign w:val="center"/>
          </w:tcPr>
          <w:p w14:paraId="3F773A3A"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2019</w:t>
            </w:r>
          </w:p>
        </w:tc>
      </w:tr>
      <w:tr w:rsidR="003D3BC5" w:rsidRPr="000F0299" w14:paraId="237EE724" w14:textId="77777777" w:rsidTr="003C0DA1">
        <w:trPr>
          <w:trHeight w:val="287"/>
        </w:trPr>
        <w:tc>
          <w:tcPr>
            <w:tcW w:w="1211" w:type="pct"/>
            <w:vMerge/>
            <w:shd w:val="clear" w:color="auto" w:fill="auto"/>
          </w:tcPr>
          <w:p w14:paraId="44A58B8D" w14:textId="77777777" w:rsidR="003D3BC5" w:rsidRPr="000F0299" w:rsidRDefault="003D3BC5" w:rsidP="00830DDC">
            <w:pPr>
              <w:suppressAutoHyphens w:val="0"/>
              <w:autoSpaceDN/>
              <w:spacing w:before="0"/>
              <w:ind w:firstLine="0"/>
              <w:jc w:val="left"/>
              <w:textAlignment w:val="auto"/>
              <w:rPr>
                <w:rFonts w:eastAsiaTheme="minorHAnsi"/>
                <w:b/>
                <w:bCs/>
                <w:kern w:val="0"/>
                <w:sz w:val="20"/>
                <w:szCs w:val="20"/>
                <w:lang w:eastAsia="en-US" w:bidi="ar-SA"/>
              </w:rPr>
            </w:pPr>
          </w:p>
        </w:tc>
        <w:tc>
          <w:tcPr>
            <w:tcW w:w="930" w:type="pct"/>
            <w:gridSpan w:val="3"/>
            <w:tcBorders>
              <w:top w:val="single" w:sz="4" w:space="0" w:color="auto"/>
            </w:tcBorders>
            <w:shd w:val="clear" w:color="auto" w:fill="auto"/>
            <w:vAlign w:val="center"/>
          </w:tcPr>
          <w:p w14:paraId="1DE76D8D" w14:textId="77777777" w:rsidR="003D3BC5" w:rsidRPr="000F0299" w:rsidRDefault="003D3BC5" w:rsidP="00830DDC">
            <w:pPr>
              <w:suppressAutoHyphens w:val="0"/>
              <w:autoSpaceDN/>
              <w:spacing w:before="0"/>
              <w:ind w:firstLine="0"/>
              <w:jc w:val="left"/>
              <w:textAlignment w:val="auto"/>
              <w:rPr>
                <w:rFonts w:eastAsiaTheme="minorHAnsi"/>
                <w:iCs/>
                <w:kern w:val="0"/>
                <w:sz w:val="20"/>
                <w:szCs w:val="20"/>
                <w:lang w:eastAsia="en-US" w:bidi="ar-SA"/>
              </w:rPr>
            </w:pPr>
          </w:p>
        </w:tc>
        <w:tc>
          <w:tcPr>
            <w:tcW w:w="924" w:type="pct"/>
            <w:gridSpan w:val="3"/>
            <w:tcBorders>
              <w:top w:val="single" w:sz="4" w:space="0" w:color="auto"/>
            </w:tcBorders>
            <w:shd w:val="clear" w:color="auto" w:fill="auto"/>
            <w:vAlign w:val="center"/>
          </w:tcPr>
          <w:p w14:paraId="52627F15"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w:t>
            </w:r>
          </w:p>
        </w:tc>
        <w:tc>
          <w:tcPr>
            <w:tcW w:w="976" w:type="pct"/>
            <w:gridSpan w:val="5"/>
            <w:tcBorders>
              <w:top w:val="single" w:sz="4" w:space="0" w:color="auto"/>
            </w:tcBorders>
            <w:shd w:val="clear" w:color="auto" w:fill="auto"/>
            <w:vAlign w:val="center"/>
          </w:tcPr>
          <w:p w14:paraId="27B21FB3"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p>
        </w:tc>
        <w:tc>
          <w:tcPr>
            <w:tcW w:w="960" w:type="pct"/>
            <w:gridSpan w:val="3"/>
            <w:shd w:val="clear" w:color="auto" w:fill="auto"/>
            <w:vAlign w:val="center"/>
          </w:tcPr>
          <w:p w14:paraId="7776CC0C"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3</w:t>
            </w:r>
          </w:p>
        </w:tc>
      </w:tr>
      <w:tr w:rsidR="003D3BC5" w:rsidRPr="000F0299" w14:paraId="522DA385" w14:textId="77777777" w:rsidTr="003C0DA1">
        <w:trPr>
          <w:trHeight w:val="243"/>
        </w:trPr>
        <w:tc>
          <w:tcPr>
            <w:tcW w:w="1211" w:type="pct"/>
            <w:vMerge w:val="restart"/>
            <w:shd w:val="clear" w:color="auto" w:fill="auto"/>
          </w:tcPr>
          <w:p w14:paraId="56761071" w14:textId="77777777" w:rsidR="003D3BC5" w:rsidRPr="000F0299" w:rsidRDefault="003D3BC5" w:rsidP="00830DD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380" w:type="pct"/>
            <w:shd w:val="clear" w:color="auto" w:fill="auto"/>
            <w:vAlign w:val="center"/>
          </w:tcPr>
          <w:p w14:paraId="0A619A04"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2021</w:t>
            </w:r>
          </w:p>
        </w:tc>
        <w:tc>
          <w:tcPr>
            <w:tcW w:w="411" w:type="pct"/>
            <w:shd w:val="clear" w:color="auto" w:fill="auto"/>
            <w:vAlign w:val="center"/>
          </w:tcPr>
          <w:p w14:paraId="5D5E528F"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2022</w:t>
            </w:r>
          </w:p>
        </w:tc>
        <w:tc>
          <w:tcPr>
            <w:tcW w:w="379" w:type="pct"/>
            <w:gridSpan w:val="2"/>
            <w:shd w:val="clear" w:color="auto" w:fill="auto"/>
            <w:vAlign w:val="center"/>
          </w:tcPr>
          <w:p w14:paraId="06922041"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2023</w:t>
            </w:r>
          </w:p>
        </w:tc>
        <w:tc>
          <w:tcPr>
            <w:tcW w:w="380" w:type="pct"/>
            <w:shd w:val="clear" w:color="auto" w:fill="auto"/>
            <w:vAlign w:val="center"/>
          </w:tcPr>
          <w:p w14:paraId="2EEC0B19"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2024</w:t>
            </w:r>
          </w:p>
        </w:tc>
        <w:tc>
          <w:tcPr>
            <w:tcW w:w="378" w:type="pct"/>
            <w:gridSpan w:val="3"/>
            <w:shd w:val="clear" w:color="auto" w:fill="auto"/>
            <w:vAlign w:val="center"/>
          </w:tcPr>
          <w:p w14:paraId="30727B60"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2025</w:t>
            </w:r>
          </w:p>
        </w:tc>
        <w:tc>
          <w:tcPr>
            <w:tcW w:w="380" w:type="pct"/>
            <w:shd w:val="clear" w:color="auto" w:fill="auto"/>
            <w:vAlign w:val="center"/>
          </w:tcPr>
          <w:p w14:paraId="32F3DBAE"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2026</w:t>
            </w:r>
          </w:p>
        </w:tc>
        <w:tc>
          <w:tcPr>
            <w:tcW w:w="380" w:type="pct"/>
            <w:shd w:val="clear" w:color="auto" w:fill="auto"/>
            <w:vAlign w:val="center"/>
          </w:tcPr>
          <w:p w14:paraId="503F78D4"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2027</w:t>
            </w:r>
          </w:p>
        </w:tc>
        <w:tc>
          <w:tcPr>
            <w:tcW w:w="379" w:type="pct"/>
            <w:gridSpan w:val="2"/>
            <w:shd w:val="clear" w:color="auto" w:fill="auto"/>
            <w:vAlign w:val="center"/>
          </w:tcPr>
          <w:p w14:paraId="2E0B35F5"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2028</w:t>
            </w:r>
          </w:p>
        </w:tc>
        <w:tc>
          <w:tcPr>
            <w:tcW w:w="381" w:type="pct"/>
            <w:shd w:val="clear" w:color="auto" w:fill="auto"/>
            <w:vAlign w:val="center"/>
          </w:tcPr>
          <w:p w14:paraId="7F21C2C7"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2029</w:t>
            </w:r>
          </w:p>
        </w:tc>
        <w:tc>
          <w:tcPr>
            <w:tcW w:w="341" w:type="pct"/>
            <w:shd w:val="clear" w:color="auto" w:fill="auto"/>
            <w:vAlign w:val="center"/>
          </w:tcPr>
          <w:p w14:paraId="4D3A5722"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2030</w:t>
            </w:r>
          </w:p>
        </w:tc>
      </w:tr>
      <w:tr w:rsidR="003D3BC5" w:rsidRPr="000F0299" w14:paraId="0F095D75" w14:textId="77777777" w:rsidTr="003C0DA1">
        <w:trPr>
          <w:trHeight w:val="142"/>
        </w:trPr>
        <w:tc>
          <w:tcPr>
            <w:tcW w:w="1211" w:type="pct"/>
            <w:vMerge/>
            <w:shd w:val="clear" w:color="auto" w:fill="auto"/>
          </w:tcPr>
          <w:p w14:paraId="3BE6FBEF" w14:textId="77777777" w:rsidR="003D3BC5" w:rsidRPr="000F0299" w:rsidRDefault="003D3BC5" w:rsidP="00830DDC">
            <w:pPr>
              <w:suppressAutoHyphens w:val="0"/>
              <w:autoSpaceDN/>
              <w:spacing w:before="0"/>
              <w:ind w:firstLine="0"/>
              <w:jc w:val="left"/>
              <w:textAlignment w:val="auto"/>
              <w:rPr>
                <w:rFonts w:eastAsiaTheme="minorHAnsi"/>
                <w:b/>
                <w:bCs/>
                <w:kern w:val="0"/>
                <w:sz w:val="20"/>
                <w:szCs w:val="20"/>
                <w:lang w:eastAsia="en-US" w:bidi="ar-SA"/>
              </w:rPr>
            </w:pPr>
          </w:p>
        </w:tc>
        <w:tc>
          <w:tcPr>
            <w:tcW w:w="380" w:type="pct"/>
            <w:shd w:val="clear" w:color="auto" w:fill="auto"/>
          </w:tcPr>
          <w:p w14:paraId="275BD8C4"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3,5</w:t>
            </w:r>
          </w:p>
        </w:tc>
        <w:tc>
          <w:tcPr>
            <w:tcW w:w="411" w:type="pct"/>
            <w:shd w:val="clear" w:color="auto" w:fill="auto"/>
          </w:tcPr>
          <w:p w14:paraId="0997A1FC"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p>
        </w:tc>
        <w:tc>
          <w:tcPr>
            <w:tcW w:w="379" w:type="pct"/>
            <w:gridSpan w:val="2"/>
            <w:shd w:val="clear" w:color="auto" w:fill="auto"/>
          </w:tcPr>
          <w:p w14:paraId="192DFEAA"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4</w:t>
            </w:r>
          </w:p>
        </w:tc>
        <w:tc>
          <w:tcPr>
            <w:tcW w:w="380" w:type="pct"/>
            <w:shd w:val="clear" w:color="auto" w:fill="auto"/>
          </w:tcPr>
          <w:p w14:paraId="148F897D"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p>
        </w:tc>
        <w:tc>
          <w:tcPr>
            <w:tcW w:w="378" w:type="pct"/>
            <w:gridSpan w:val="3"/>
            <w:shd w:val="clear" w:color="auto" w:fill="auto"/>
          </w:tcPr>
          <w:p w14:paraId="619A500F"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4,5</w:t>
            </w:r>
          </w:p>
        </w:tc>
        <w:tc>
          <w:tcPr>
            <w:tcW w:w="380" w:type="pct"/>
            <w:shd w:val="clear" w:color="auto" w:fill="auto"/>
          </w:tcPr>
          <w:p w14:paraId="77FE2C82"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p>
        </w:tc>
        <w:tc>
          <w:tcPr>
            <w:tcW w:w="380" w:type="pct"/>
            <w:shd w:val="clear" w:color="auto" w:fill="auto"/>
          </w:tcPr>
          <w:p w14:paraId="6CFE67FE"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5</w:t>
            </w:r>
          </w:p>
        </w:tc>
        <w:tc>
          <w:tcPr>
            <w:tcW w:w="379" w:type="pct"/>
            <w:gridSpan w:val="2"/>
            <w:shd w:val="clear" w:color="auto" w:fill="auto"/>
          </w:tcPr>
          <w:p w14:paraId="76E86359"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p>
        </w:tc>
        <w:tc>
          <w:tcPr>
            <w:tcW w:w="381" w:type="pct"/>
            <w:shd w:val="clear" w:color="auto" w:fill="auto"/>
          </w:tcPr>
          <w:p w14:paraId="4C3832B6"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5</w:t>
            </w:r>
          </w:p>
        </w:tc>
        <w:tc>
          <w:tcPr>
            <w:tcW w:w="341" w:type="pct"/>
            <w:shd w:val="clear" w:color="auto" w:fill="auto"/>
          </w:tcPr>
          <w:p w14:paraId="22FE40D1" w14:textId="77777777" w:rsidR="003D3BC5" w:rsidRPr="000F0299" w:rsidRDefault="003D3BC5" w:rsidP="00830DDC">
            <w:pPr>
              <w:suppressAutoHyphens w:val="0"/>
              <w:autoSpaceDN/>
              <w:spacing w:before="0"/>
              <w:ind w:firstLine="0"/>
              <w:jc w:val="center"/>
              <w:textAlignment w:val="auto"/>
              <w:rPr>
                <w:rFonts w:eastAsiaTheme="minorHAnsi"/>
                <w:iCs/>
                <w:kern w:val="0"/>
                <w:sz w:val="20"/>
                <w:szCs w:val="20"/>
                <w:lang w:eastAsia="en-US" w:bidi="ar-SA"/>
              </w:rPr>
            </w:pPr>
          </w:p>
        </w:tc>
      </w:tr>
      <w:tr w:rsidR="003D3BC5" w:rsidRPr="000F0299" w14:paraId="0A299FDA" w14:textId="77777777" w:rsidTr="003C0DA1">
        <w:trPr>
          <w:trHeight w:val="142"/>
        </w:trPr>
        <w:tc>
          <w:tcPr>
            <w:tcW w:w="1211" w:type="pct"/>
            <w:shd w:val="clear" w:color="auto" w:fill="auto"/>
          </w:tcPr>
          <w:p w14:paraId="75530893" w14:textId="77777777" w:rsidR="003D3BC5" w:rsidRPr="000F0299" w:rsidRDefault="003D3BC5" w:rsidP="00830DD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3789" w:type="pct"/>
            <w:gridSpan w:val="14"/>
            <w:shd w:val="clear" w:color="auto" w:fill="auto"/>
            <w:vAlign w:val="center"/>
          </w:tcPr>
          <w:p w14:paraId="0D7CDCA7" w14:textId="77777777" w:rsidR="003D3BC5" w:rsidRPr="000F0299" w:rsidRDefault="003D3BC5" w:rsidP="00830DDC">
            <w:pPr>
              <w:suppressAutoHyphens w:val="0"/>
              <w:autoSpaceDN/>
              <w:spacing w:before="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Без одступања</w:t>
            </w:r>
          </w:p>
        </w:tc>
      </w:tr>
    </w:tbl>
    <w:p w14:paraId="0FB1921D" w14:textId="5A9981AA" w:rsidR="003D3BC5" w:rsidRPr="000F0299" w:rsidRDefault="003D3BC5" w:rsidP="00BE55B6">
      <w:pPr>
        <w:ind w:firstLine="0"/>
        <w:rPr>
          <w:b/>
          <w:bCs/>
          <w:color w:val="2F5496" w:themeColor="accent1" w:themeShade="BF"/>
        </w:rPr>
      </w:pPr>
      <w:r w:rsidRPr="000F0299">
        <w:rPr>
          <w:b/>
          <w:bCs/>
          <w:color w:val="2F5496" w:themeColor="accent1" w:themeShade="BF"/>
        </w:rPr>
        <w:t>Показатељ 2</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887"/>
        <w:gridCol w:w="503"/>
        <w:gridCol w:w="178"/>
        <w:gridCol w:w="681"/>
        <w:gridCol w:w="681"/>
        <w:gridCol w:w="259"/>
        <w:gridCol w:w="426"/>
        <w:gridCol w:w="681"/>
        <w:gridCol w:w="681"/>
        <w:gridCol w:w="141"/>
        <w:gridCol w:w="540"/>
        <w:gridCol w:w="681"/>
        <w:gridCol w:w="681"/>
      </w:tblGrid>
      <w:tr w:rsidR="003D3BC5" w:rsidRPr="000F0299" w14:paraId="5ACC6702" w14:textId="77777777" w:rsidTr="003C0DA1">
        <w:trPr>
          <w:trHeight w:val="142"/>
        </w:trPr>
        <w:tc>
          <w:tcPr>
            <w:tcW w:w="117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A3F115E"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3824" w:type="pct"/>
            <w:gridSpan w:val="1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8A0AC7" w14:textId="77777777" w:rsidR="003D3BC5" w:rsidRPr="000F0299" w:rsidRDefault="003D3BC5" w:rsidP="00003BDE">
            <w:pPr>
              <w:suppressAutoHyphens w:val="0"/>
              <w:autoSpaceDN/>
              <w:spacing w:before="0"/>
              <w:ind w:firstLine="0"/>
              <w:textAlignment w:val="auto"/>
              <w:rPr>
                <w:rFonts w:eastAsiaTheme="minorHAnsi"/>
                <w:b/>
                <w:bCs/>
                <w:iCs/>
                <w:kern w:val="0"/>
                <w:sz w:val="20"/>
                <w:szCs w:val="20"/>
                <w:lang w:eastAsia="en-US" w:bidi="ar-SA"/>
              </w:rPr>
            </w:pPr>
            <w:r w:rsidRPr="000F0299">
              <w:rPr>
                <w:rFonts w:eastAsiaTheme="minorHAnsi"/>
                <w:b/>
                <w:bCs/>
                <w:iCs/>
                <w:kern w:val="0"/>
                <w:sz w:val="20"/>
                <w:szCs w:val="20"/>
                <w:lang w:eastAsia="en-US" w:bidi="ar-SA"/>
              </w:rPr>
              <w:t>Удео административног оптерећења грађана и привреде у БДП-у</w:t>
            </w:r>
          </w:p>
        </w:tc>
      </w:tr>
      <w:tr w:rsidR="003D3BC5" w:rsidRPr="000F0299" w14:paraId="7E3355A7" w14:textId="77777777" w:rsidTr="003C0DA1">
        <w:trPr>
          <w:trHeight w:val="142"/>
        </w:trPr>
        <w:tc>
          <w:tcPr>
            <w:tcW w:w="1176" w:type="pct"/>
            <w:tcBorders>
              <w:top w:val="single" w:sz="4" w:space="0" w:color="auto"/>
              <w:left w:val="single" w:sz="4" w:space="0" w:color="auto"/>
              <w:bottom w:val="single" w:sz="4" w:space="0" w:color="auto"/>
              <w:right w:val="single" w:sz="4" w:space="0" w:color="auto"/>
            </w:tcBorders>
            <w:shd w:val="clear" w:color="auto" w:fill="auto"/>
          </w:tcPr>
          <w:p w14:paraId="6E989516"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3824" w:type="pct"/>
            <w:gridSpan w:val="13"/>
            <w:tcBorders>
              <w:top w:val="single" w:sz="4" w:space="0" w:color="auto"/>
              <w:left w:val="single" w:sz="4" w:space="0" w:color="auto"/>
              <w:bottom w:val="single" w:sz="4" w:space="0" w:color="auto"/>
              <w:right w:val="single" w:sz="4" w:space="0" w:color="auto"/>
            </w:tcBorders>
            <w:shd w:val="clear" w:color="auto" w:fill="auto"/>
          </w:tcPr>
          <w:p w14:paraId="6E9C5344" w14:textId="279F242C" w:rsidR="003D3BC5" w:rsidRPr="000F0299" w:rsidRDefault="006873CC" w:rsidP="00003BDE">
            <w:pPr>
              <w:suppressAutoHyphens w:val="0"/>
              <w:autoSpaceDN/>
              <w:spacing w:before="0"/>
              <w:ind w:firstLine="0"/>
              <w:textAlignment w:val="auto"/>
              <w:rPr>
                <w:rFonts w:eastAsiaTheme="minorHAnsi"/>
                <w:iCs/>
                <w:kern w:val="0"/>
                <w:sz w:val="20"/>
                <w:szCs w:val="20"/>
                <w:lang w:eastAsia="en-US" w:bidi="ar-SA"/>
              </w:rPr>
            </w:pPr>
            <w:r w:rsidRPr="000F0299">
              <w:rPr>
                <w:rFonts w:eastAsiaTheme="minorHAnsi"/>
                <w:b/>
                <w:bCs/>
                <w:iCs/>
                <w:kern w:val="0"/>
                <w:sz w:val="20"/>
                <w:szCs w:val="20"/>
                <w:lang w:eastAsia="en-US" w:bidi="ar-SA"/>
              </w:rPr>
              <w:t xml:space="preserve">Посебни циљ 3.1: </w:t>
            </w:r>
            <w:r w:rsidR="003D3BC5" w:rsidRPr="000F0299">
              <w:rPr>
                <w:rFonts w:eastAsiaTheme="minorHAnsi"/>
                <w:iCs/>
                <w:kern w:val="0"/>
                <w:sz w:val="20"/>
                <w:szCs w:val="20"/>
                <w:lang w:eastAsia="en-US" w:bidi="ar-SA"/>
              </w:rPr>
              <w:t>Јавна управа на ефикасан и иновативан начин пружа услуге које одговарају на потребе крајњих корисника и унапређују њихово корисничко искуство</w:t>
            </w:r>
          </w:p>
        </w:tc>
      </w:tr>
      <w:tr w:rsidR="00003BDE" w:rsidRPr="000F0299" w14:paraId="2C56E821" w14:textId="77777777" w:rsidTr="003C0DA1">
        <w:trPr>
          <w:trHeight w:val="309"/>
        </w:trPr>
        <w:tc>
          <w:tcPr>
            <w:tcW w:w="1176" w:type="pct"/>
            <w:shd w:val="clear" w:color="auto" w:fill="auto"/>
          </w:tcPr>
          <w:p w14:paraId="1269F4E9" w14:textId="77777777" w:rsidR="00003BDE" w:rsidRPr="000F0299" w:rsidRDefault="00003BDE"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kern w:val="24"/>
                <w:sz w:val="20"/>
                <w:szCs w:val="20"/>
                <w:lang w:eastAsia="en-US" w:bidi="ar-SA"/>
              </w:rPr>
              <w:t>Тип и ниво показатеља</w:t>
            </w:r>
          </w:p>
        </w:tc>
        <w:tc>
          <w:tcPr>
            <w:tcW w:w="1969" w:type="pct"/>
            <w:gridSpan w:val="7"/>
            <w:shd w:val="clear" w:color="auto" w:fill="auto"/>
          </w:tcPr>
          <w:p w14:paraId="0A3DFEDE" w14:textId="77777777"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 xml:space="preserve">Квантитативан показатељ </w:t>
            </w:r>
          </w:p>
        </w:tc>
        <w:tc>
          <w:tcPr>
            <w:tcW w:w="1855" w:type="pct"/>
            <w:gridSpan w:val="6"/>
            <w:shd w:val="clear" w:color="auto" w:fill="auto"/>
          </w:tcPr>
          <w:p w14:paraId="496B16CF" w14:textId="0B20F404"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Показатељ исхода</w:t>
            </w:r>
          </w:p>
        </w:tc>
      </w:tr>
      <w:tr w:rsidR="00003BDE" w:rsidRPr="000F0299" w14:paraId="316A4C79" w14:textId="77777777" w:rsidTr="003C0DA1">
        <w:trPr>
          <w:trHeight w:val="356"/>
        </w:trPr>
        <w:tc>
          <w:tcPr>
            <w:tcW w:w="1176" w:type="pct"/>
            <w:shd w:val="clear" w:color="auto" w:fill="auto"/>
          </w:tcPr>
          <w:p w14:paraId="1D14072B" w14:textId="77777777" w:rsidR="00003BDE" w:rsidRPr="000F0299" w:rsidRDefault="00003BDE" w:rsidP="00003BDE">
            <w:pPr>
              <w:suppressAutoHyphens w:val="0"/>
              <w:autoSpaceDN/>
              <w:spacing w:before="0"/>
              <w:ind w:firstLine="0"/>
              <w:jc w:val="left"/>
              <w:textAlignment w:val="auto"/>
              <w:rPr>
                <w:rFonts w:eastAsiaTheme="minorHAnsi"/>
                <w:b/>
                <w:kern w:val="24"/>
                <w:sz w:val="20"/>
                <w:szCs w:val="20"/>
                <w:lang w:eastAsia="en-US" w:bidi="ar-SA"/>
              </w:rPr>
            </w:pPr>
            <w:r w:rsidRPr="000F0299">
              <w:rPr>
                <w:rFonts w:eastAsiaTheme="minorHAnsi"/>
                <w:b/>
                <w:kern w:val="24"/>
                <w:sz w:val="20"/>
                <w:szCs w:val="20"/>
                <w:lang w:eastAsia="en-US" w:bidi="ar-SA"/>
              </w:rPr>
              <w:t>Јединица мере и природа</w:t>
            </w:r>
          </w:p>
        </w:tc>
        <w:tc>
          <w:tcPr>
            <w:tcW w:w="1969" w:type="pct"/>
            <w:gridSpan w:val="7"/>
            <w:shd w:val="clear" w:color="auto" w:fill="auto"/>
          </w:tcPr>
          <w:p w14:paraId="405A8C38" w14:textId="77777777"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Проценат (%) БДП</w:t>
            </w:r>
          </w:p>
        </w:tc>
        <w:tc>
          <w:tcPr>
            <w:tcW w:w="1855" w:type="pct"/>
            <w:gridSpan w:val="6"/>
            <w:shd w:val="clear" w:color="auto" w:fill="auto"/>
          </w:tcPr>
          <w:p w14:paraId="1FEBBACF" w14:textId="1FB365F1"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Пожељна је нижа вредност</w:t>
            </w:r>
          </w:p>
        </w:tc>
      </w:tr>
      <w:tr w:rsidR="003D3BC5" w:rsidRPr="000F0299" w14:paraId="3F5B11CB" w14:textId="77777777" w:rsidTr="003C0DA1">
        <w:trPr>
          <w:trHeight w:val="260"/>
        </w:trPr>
        <w:tc>
          <w:tcPr>
            <w:tcW w:w="1176" w:type="pct"/>
            <w:shd w:val="clear" w:color="auto" w:fill="auto"/>
          </w:tcPr>
          <w:p w14:paraId="56049D6A"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3824" w:type="pct"/>
            <w:gridSpan w:val="13"/>
            <w:shd w:val="clear" w:color="auto" w:fill="auto"/>
          </w:tcPr>
          <w:p w14:paraId="4F565DD8" w14:textId="6CC206A0" w:rsidR="003D3BC5" w:rsidRPr="000F0299" w:rsidRDefault="003D3BC5" w:rsidP="00003BDE">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Интерно истраживање које спроводи Републички секретаријат за јавне политике за потребе извештавања о спровођењу Програма унапређења система управљања јавним политикама и регулаторне реформе и Програма е-Папир.</w:t>
            </w:r>
          </w:p>
        </w:tc>
      </w:tr>
      <w:tr w:rsidR="003D3BC5" w:rsidRPr="000F0299" w14:paraId="49ABE6C0" w14:textId="77777777" w:rsidTr="003C0DA1">
        <w:trPr>
          <w:trHeight w:val="512"/>
        </w:trPr>
        <w:tc>
          <w:tcPr>
            <w:tcW w:w="1176" w:type="pct"/>
            <w:shd w:val="clear" w:color="auto" w:fill="auto"/>
          </w:tcPr>
          <w:p w14:paraId="23C668EC"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3824" w:type="pct"/>
            <w:gridSpan w:val="13"/>
            <w:shd w:val="clear" w:color="auto" w:fill="auto"/>
          </w:tcPr>
          <w:p w14:paraId="0DB3E6DA" w14:textId="28B47E04" w:rsidR="003D3BC5" w:rsidRPr="000F0299" w:rsidRDefault="003D3BC5" w:rsidP="00E400F4">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Републички </w:t>
            </w:r>
            <w:r w:rsidR="00E400F4">
              <w:rPr>
                <w:rFonts w:eastAsiaTheme="minorHAnsi"/>
                <w:kern w:val="0"/>
                <w:sz w:val="20"/>
                <w:szCs w:val="20"/>
                <w:lang w:eastAsia="en-US" w:bidi="ar-SA"/>
              </w:rPr>
              <w:t>секретаријат за јавне политике</w:t>
            </w:r>
          </w:p>
        </w:tc>
      </w:tr>
      <w:tr w:rsidR="003D3BC5" w:rsidRPr="000F0299" w14:paraId="71C744F7" w14:textId="77777777" w:rsidTr="003C0DA1">
        <w:trPr>
          <w:trHeight w:val="512"/>
        </w:trPr>
        <w:tc>
          <w:tcPr>
            <w:tcW w:w="1176" w:type="pct"/>
            <w:shd w:val="clear" w:color="auto" w:fill="auto"/>
          </w:tcPr>
          <w:p w14:paraId="62C03E5F"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3824" w:type="pct"/>
            <w:gridSpan w:val="13"/>
            <w:shd w:val="clear" w:color="auto" w:fill="auto"/>
          </w:tcPr>
          <w:p w14:paraId="0425AE90" w14:textId="77777777" w:rsidR="003D3BC5" w:rsidRPr="000F0299" w:rsidRDefault="003D3BC5" w:rsidP="00003BDE">
            <w:pPr>
              <w:tabs>
                <w:tab w:val="right" w:pos="2140"/>
              </w:tabs>
              <w:suppressAutoHyphens w:val="0"/>
              <w:autoSpaceDN/>
              <w:spacing w:before="0"/>
              <w:ind w:firstLine="0"/>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Подаци се прикупљају за период од једне календарске године.</w:t>
            </w:r>
          </w:p>
          <w:p w14:paraId="34A67AF1" w14:textId="77777777" w:rsidR="003D3BC5" w:rsidRPr="000F0299" w:rsidRDefault="003D3BC5" w:rsidP="00003BDE">
            <w:pPr>
              <w:tabs>
                <w:tab w:val="right" w:pos="2140"/>
              </w:tabs>
              <w:suppressAutoHyphens w:val="0"/>
              <w:autoSpaceDN/>
              <w:spacing w:before="0"/>
              <w:ind w:firstLine="0"/>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Доступни су у априлу текуће календарске године за претходну.</w:t>
            </w:r>
          </w:p>
        </w:tc>
      </w:tr>
      <w:tr w:rsidR="003D3BC5" w:rsidRPr="000F0299" w14:paraId="26733B4F" w14:textId="77777777" w:rsidTr="003C0DA1">
        <w:trPr>
          <w:trHeight w:val="782"/>
        </w:trPr>
        <w:tc>
          <w:tcPr>
            <w:tcW w:w="1176" w:type="pct"/>
            <w:shd w:val="clear" w:color="auto" w:fill="auto"/>
          </w:tcPr>
          <w:p w14:paraId="04ADBAA2"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kern w:val="0"/>
                <w:sz w:val="20"/>
                <w:szCs w:val="20"/>
                <w:lang w:eastAsia="en-US" w:bidi="ar-SA"/>
              </w:rPr>
              <w:t>Кратак опис показатеља и методологије израчунавања</w:t>
            </w:r>
          </w:p>
        </w:tc>
        <w:tc>
          <w:tcPr>
            <w:tcW w:w="3824" w:type="pct"/>
            <w:gridSpan w:val="13"/>
            <w:shd w:val="clear" w:color="auto" w:fill="auto"/>
          </w:tcPr>
          <w:p w14:paraId="17DD98EB" w14:textId="77777777" w:rsidR="003D3BC5" w:rsidRPr="000F0299" w:rsidRDefault="003D3BC5" w:rsidP="00003BDE">
            <w:pPr>
              <w:tabs>
                <w:tab w:val="right" w:pos="2140"/>
              </w:tabs>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Административно оптерећење грађана и привреде</w:t>
            </w:r>
          </w:p>
          <w:p w14:paraId="2B402E76" w14:textId="77777777" w:rsidR="003D3BC5" w:rsidRPr="000F0299" w:rsidRDefault="003D3BC5" w:rsidP="00003BDE">
            <w:pPr>
              <w:tabs>
                <w:tab w:val="right" w:pos="2140"/>
              </w:tabs>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w:t>
            </w:r>
          </w:p>
          <w:p w14:paraId="58433C75" w14:textId="77777777" w:rsidR="003D3BC5" w:rsidRPr="000F0299" w:rsidRDefault="00F47F65" w:rsidP="00003BDE">
            <w:pPr>
              <w:tabs>
                <w:tab w:val="left" w:pos="322"/>
                <w:tab w:val="right" w:pos="2140"/>
              </w:tabs>
              <w:suppressAutoHyphens w:val="0"/>
              <w:autoSpaceDN/>
              <w:spacing w:before="0"/>
              <w:ind w:firstLine="0"/>
              <w:jc w:val="center"/>
              <w:textAlignment w:val="auto"/>
              <w:rPr>
                <w:rFonts w:eastAsiaTheme="minorHAnsi"/>
                <w:bCs/>
                <w:kern w:val="0"/>
                <w:sz w:val="20"/>
                <w:szCs w:val="20"/>
                <w:lang w:eastAsia="en-US" w:bidi="ar-SA"/>
              </w:rPr>
            </w:pPr>
            <m:oMath>
              <m:f>
                <m:fPr>
                  <m:ctrlPr>
                    <w:rPr>
                      <w:rFonts w:ascii="Cambria Math" w:eastAsiaTheme="minorHAnsi" w:hAnsi="Cambria Math"/>
                      <w:bCs/>
                      <w:kern w:val="0"/>
                      <w:sz w:val="20"/>
                      <w:szCs w:val="20"/>
                      <w:lang w:eastAsia="en-US" w:bidi="ar-SA"/>
                    </w:rPr>
                  </m:ctrlPr>
                </m:fPr>
                <m:num>
                  <m:r>
                    <m:rPr>
                      <m:sty m:val="p"/>
                    </m:rPr>
                    <w:rPr>
                      <w:rFonts w:ascii="Cambria Math" w:eastAsiaTheme="minorHAnsi" w:hAnsi="Cambria Math"/>
                      <w:kern w:val="0"/>
                      <w:sz w:val="20"/>
                      <w:szCs w:val="20"/>
                      <w:lang w:eastAsia="en-US" w:bidi="ar-SA"/>
                    </w:rPr>
                    <m:t>Укупан административни трошак за грађане и привреду</m:t>
                  </m:r>
                </m:num>
                <m:den>
                  <m:r>
                    <m:rPr>
                      <m:sty m:val="p"/>
                    </m:rPr>
                    <w:rPr>
                      <w:rFonts w:ascii="Cambria Math" w:eastAsiaTheme="minorHAnsi" w:hAnsi="Cambria Math"/>
                      <w:kern w:val="0"/>
                      <w:sz w:val="20"/>
                      <w:szCs w:val="20"/>
                      <w:lang w:eastAsia="en-US" w:bidi="ar-SA"/>
                    </w:rPr>
                    <m:t>Бруто домаћи производ</m:t>
                  </m:r>
                </m:den>
              </m:f>
            </m:oMath>
            <w:r w:rsidR="003D3BC5" w:rsidRPr="000F0299">
              <w:rPr>
                <w:rFonts w:eastAsiaTheme="minorHAnsi"/>
                <w:bCs/>
                <w:kern w:val="0"/>
                <w:sz w:val="20"/>
                <w:szCs w:val="20"/>
                <w:lang w:eastAsia="en-US" w:bidi="ar-SA"/>
              </w:rPr>
              <w:t xml:space="preserve"> х 100</w:t>
            </w:r>
          </w:p>
        </w:tc>
      </w:tr>
      <w:tr w:rsidR="003D3BC5" w:rsidRPr="000F0299" w14:paraId="0DB41762" w14:textId="77777777" w:rsidTr="003C0DA1">
        <w:trPr>
          <w:trHeight w:val="235"/>
        </w:trPr>
        <w:tc>
          <w:tcPr>
            <w:tcW w:w="1176" w:type="pct"/>
            <w:vMerge w:val="restart"/>
            <w:shd w:val="clear" w:color="auto" w:fill="auto"/>
          </w:tcPr>
          <w:p w14:paraId="2DB70145"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2787" w:type="pct"/>
            <w:gridSpan w:val="10"/>
            <w:tcBorders>
              <w:bottom w:val="single" w:sz="4" w:space="0" w:color="auto"/>
            </w:tcBorders>
            <w:shd w:val="clear" w:color="auto" w:fill="auto"/>
            <w:vAlign w:val="center"/>
          </w:tcPr>
          <w:p w14:paraId="60B8770D" w14:textId="77777777" w:rsidR="003D3BC5" w:rsidRPr="000F0299" w:rsidRDefault="003D3BC5" w:rsidP="00003BD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Тренд у прошлости</w:t>
            </w:r>
          </w:p>
        </w:tc>
        <w:tc>
          <w:tcPr>
            <w:tcW w:w="1036" w:type="pct"/>
            <w:gridSpan w:val="3"/>
            <w:shd w:val="clear" w:color="auto" w:fill="auto"/>
            <w:vAlign w:val="center"/>
          </w:tcPr>
          <w:p w14:paraId="1FBC1666" w14:textId="77777777" w:rsidR="003D3BC5" w:rsidRPr="000F0299" w:rsidRDefault="003D3BC5" w:rsidP="00003BDE">
            <w:pPr>
              <w:suppressAutoHyphens w:val="0"/>
              <w:autoSpaceDN/>
              <w:spacing w:before="0"/>
              <w:ind w:firstLine="0"/>
              <w:jc w:val="center"/>
              <w:textAlignment w:val="auto"/>
              <w:rPr>
                <w:rFonts w:eastAsiaTheme="minorHAnsi"/>
                <w:i/>
                <w:kern w:val="0"/>
                <w:sz w:val="20"/>
                <w:szCs w:val="20"/>
                <w:lang w:eastAsia="en-US" w:bidi="ar-SA"/>
              </w:rPr>
            </w:pPr>
            <w:r w:rsidRPr="000F0299">
              <w:rPr>
                <w:rFonts w:eastAsiaTheme="minorHAnsi"/>
                <w:i/>
                <w:kern w:val="0"/>
                <w:sz w:val="20"/>
                <w:szCs w:val="20"/>
                <w:lang w:eastAsia="en-US" w:bidi="ar-SA"/>
              </w:rPr>
              <w:t>Полазна вредност</w:t>
            </w:r>
          </w:p>
        </w:tc>
      </w:tr>
      <w:tr w:rsidR="003D3BC5" w:rsidRPr="000F0299" w14:paraId="60D1FAFE" w14:textId="77777777" w:rsidTr="003C0DA1">
        <w:trPr>
          <w:trHeight w:val="121"/>
        </w:trPr>
        <w:tc>
          <w:tcPr>
            <w:tcW w:w="1176" w:type="pct"/>
            <w:vMerge/>
            <w:tcBorders>
              <w:right w:val="single" w:sz="4" w:space="0" w:color="auto"/>
            </w:tcBorders>
            <w:shd w:val="clear" w:color="auto" w:fill="auto"/>
          </w:tcPr>
          <w:p w14:paraId="50F1B349"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p>
        </w:tc>
        <w:tc>
          <w:tcPr>
            <w:tcW w:w="7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77E98F"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2016</w:t>
            </w:r>
          </w:p>
        </w:tc>
        <w:tc>
          <w:tcPr>
            <w:tcW w:w="98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47FE53"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2017</w:t>
            </w:r>
          </w:p>
        </w:tc>
        <w:tc>
          <w:tcPr>
            <w:tcW w:w="10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F474CC"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2018</w:t>
            </w:r>
          </w:p>
        </w:tc>
        <w:tc>
          <w:tcPr>
            <w:tcW w:w="1036" w:type="pct"/>
            <w:gridSpan w:val="3"/>
            <w:tcBorders>
              <w:left w:val="single" w:sz="4" w:space="0" w:color="auto"/>
            </w:tcBorders>
            <w:shd w:val="clear" w:color="auto" w:fill="auto"/>
            <w:vAlign w:val="center"/>
          </w:tcPr>
          <w:p w14:paraId="6B3163E3"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2019/020</w:t>
            </w:r>
          </w:p>
        </w:tc>
      </w:tr>
      <w:tr w:rsidR="003D3BC5" w:rsidRPr="000F0299" w14:paraId="0456B085" w14:textId="77777777" w:rsidTr="003C0DA1">
        <w:trPr>
          <w:trHeight w:val="287"/>
        </w:trPr>
        <w:tc>
          <w:tcPr>
            <w:tcW w:w="1176" w:type="pct"/>
            <w:vMerge/>
            <w:shd w:val="clear" w:color="auto" w:fill="auto"/>
          </w:tcPr>
          <w:p w14:paraId="7296C21B"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p>
        </w:tc>
        <w:tc>
          <w:tcPr>
            <w:tcW w:w="757" w:type="pct"/>
            <w:gridSpan w:val="2"/>
            <w:tcBorders>
              <w:top w:val="single" w:sz="4" w:space="0" w:color="auto"/>
            </w:tcBorders>
            <w:shd w:val="clear" w:color="auto" w:fill="auto"/>
            <w:vAlign w:val="center"/>
          </w:tcPr>
          <w:p w14:paraId="1CA16BDD"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3,26%</w:t>
            </w:r>
          </w:p>
        </w:tc>
        <w:tc>
          <w:tcPr>
            <w:tcW w:w="980" w:type="pct"/>
            <w:gridSpan w:val="4"/>
            <w:tcBorders>
              <w:top w:val="single" w:sz="4" w:space="0" w:color="auto"/>
            </w:tcBorders>
            <w:shd w:val="clear" w:color="auto" w:fill="auto"/>
            <w:vAlign w:val="center"/>
          </w:tcPr>
          <w:p w14:paraId="77B3C00B"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w:t>
            </w:r>
          </w:p>
        </w:tc>
        <w:tc>
          <w:tcPr>
            <w:tcW w:w="1051" w:type="pct"/>
            <w:gridSpan w:val="4"/>
            <w:tcBorders>
              <w:top w:val="single" w:sz="4" w:space="0" w:color="auto"/>
            </w:tcBorders>
            <w:shd w:val="clear" w:color="auto" w:fill="auto"/>
            <w:vAlign w:val="center"/>
          </w:tcPr>
          <w:p w14:paraId="45DB6021"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p>
        </w:tc>
        <w:tc>
          <w:tcPr>
            <w:tcW w:w="1036" w:type="pct"/>
            <w:gridSpan w:val="3"/>
            <w:shd w:val="clear" w:color="auto" w:fill="auto"/>
            <w:vAlign w:val="center"/>
          </w:tcPr>
          <w:p w14:paraId="0C03AED4"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w:t>
            </w:r>
          </w:p>
        </w:tc>
      </w:tr>
      <w:tr w:rsidR="003D3BC5" w:rsidRPr="000F0299" w14:paraId="03219691" w14:textId="77777777" w:rsidTr="003C0DA1">
        <w:trPr>
          <w:trHeight w:val="243"/>
        </w:trPr>
        <w:tc>
          <w:tcPr>
            <w:tcW w:w="1176" w:type="pct"/>
            <w:vMerge w:val="restart"/>
            <w:shd w:val="clear" w:color="auto" w:fill="auto"/>
          </w:tcPr>
          <w:p w14:paraId="0CBE85F5"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483" w:type="pct"/>
            <w:shd w:val="clear" w:color="auto" w:fill="auto"/>
            <w:vAlign w:val="center"/>
          </w:tcPr>
          <w:p w14:paraId="0425BEDB"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2021</w:t>
            </w:r>
          </w:p>
        </w:tc>
        <w:tc>
          <w:tcPr>
            <w:tcW w:w="371" w:type="pct"/>
            <w:gridSpan w:val="2"/>
            <w:shd w:val="clear" w:color="auto" w:fill="auto"/>
            <w:vAlign w:val="center"/>
          </w:tcPr>
          <w:p w14:paraId="37178989"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2022</w:t>
            </w:r>
          </w:p>
        </w:tc>
        <w:tc>
          <w:tcPr>
            <w:tcW w:w="371" w:type="pct"/>
            <w:shd w:val="clear" w:color="auto" w:fill="auto"/>
            <w:vAlign w:val="center"/>
          </w:tcPr>
          <w:p w14:paraId="1D042C88"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2023</w:t>
            </w:r>
          </w:p>
        </w:tc>
        <w:tc>
          <w:tcPr>
            <w:tcW w:w="371" w:type="pct"/>
            <w:shd w:val="clear" w:color="auto" w:fill="auto"/>
            <w:vAlign w:val="center"/>
          </w:tcPr>
          <w:p w14:paraId="442D1621"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2024</w:t>
            </w:r>
          </w:p>
        </w:tc>
        <w:tc>
          <w:tcPr>
            <w:tcW w:w="372" w:type="pct"/>
            <w:gridSpan w:val="2"/>
            <w:shd w:val="clear" w:color="auto" w:fill="auto"/>
            <w:vAlign w:val="center"/>
          </w:tcPr>
          <w:p w14:paraId="10B6B6B9"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2025</w:t>
            </w:r>
          </w:p>
        </w:tc>
        <w:tc>
          <w:tcPr>
            <w:tcW w:w="371" w:type="pct"/>
            <w:shd w:val="clear" w:color="auto" w:fill="auto"/>
            <w:vAlign w:val="center"/>
          </w:tcPr>
          <w:p w14:paraId="4C8C9CAA"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2026</w:t>
            </w:r>
          </w:p>
        </w:tc>
        <w:tc>
          <w:tcPr>
            <w:tcW w:w="371" w:type="pct"/>
            <w:shd w:val="clear" w:color="auto" w:fill="auto"/>
            <w:vAlign w:val="center"/>
          </w:tcPr>
          <w:p w14:paraId="49630E35"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2027</w:t>
            </w:r>
          </w:p>
        </w:tc>
        <w:tc>
          <w:tcPr>
            <w:tcW w:w="371" w:type="pct"/>
            <w:gridSpan w:val="2"/>
            <w:shd w:val="clear" w:color="auto" w:fill="auto"/>
            <w:vAlign w:val="center"/>
          </w:tcPr>
          <w:p w14:paraId="7824E908"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2028</w:t>
            </w:r>
          </w:p>
        </w:tc>
        <w:tc>
          <w:tcPr>
            <w:tcW w:w="371" w:type="pct"/>
            <w:shd w:val="clear" w:color="auto" w:fill="auto"/>
            <w:vAlign w:val="center"/>
          </w:tcPr>
          <w:p w14:paraId="3B0CD9AF"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2029</w:t>
            </w:r>
          </w:p>
        </w:tc>
        <w:tc>
          <w:tcPr>
            <w:tcW w:w="372" w:type="pct"/>
            <w:shd w:val="clear" w:color="auto" w:fill="auto"/>
            <w:vAlign w:val="center"/>
          </w:tcPr>
          <w:p w14:paraId="7707D920"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2030</w:t>
            </w:r>
          </w:p>
        </w:tc>
      </w:tr>
      <w:tr w:rsidR="003D3BC5" w:rsidRPr="000F0299" w14:paraId="19A777CA" w14:textId="77777777" w:rsidTr="003C0DA1">
        <w:trPr>
          <w:trHeight w:val="142"/>
        </w:trPr>
        <w:tc>
          <w:tcPr>
            <w:tcW w:w="1176" w:type="pct"/>
            <w:vMerge/>
            <w:shd w:val="clear" w:color="auto" w:fill="auto"/>
          </w:tcPr>
          <w:p w14:paraId="3A99E88E"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p>
        </w:tc>
        <w:tc>
          <w:tcPr>
            <w:tcW w:w="483" w:type="pct"/>
            <w:shd w:val="clear" w:color="auto" w:fill="auto"/>
            <w:vAlign w:val="center"/>
          </w:tcPr>
          <w:p w14:paraId="3D7B6C0D"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2.88%</w:t>
            </w:r>
          </w:p>
        </w:tc>
        <w:tc>
          <w:tcPr>
            <w:tcW w:w="371" w:type="pct"/>
            <w:gridSpan w:val="2"/>
            <w:shd w:val="clear" w:color="auto" w:fill="auto"/>
            <w:vAlign w:val="center"/>
          </w:tcPr>
          <w:p w14:paraId="42ECFEBF"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2.75%</w:t>
            </w:r>
          </w:p>
        </w:tc>
        <w:tc>
          <w:tcPr>
            <w:tcW w:w="371" w:type="pct"/>
            <w:shd w:val="clear" w:color="auto" w:fill="auto"/>
            <w:vAlign w:val="center"/>
          </w:tcPr>
          <w:p w14:paraId="18F5BEEE"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2.62%</w:t>
            </w:r>
          </w:p>
        </w:tc>
        <w:tc>
          <w:tcPr>
            <w:tcW w:w="371" w:type="pct"/>
            <w:shd w:val="clear" w:color="auto" w:fill="auto"/>
            <w:vAlign w:val="center"/>
          </w:tcPr>
          <w:p w14:paraId="26AA6643"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2.50%</w:t>
            </w:r>
          </w:p>
        </w:tc>
        <w:tc>
          <w:tcPr>
            <w:tcW w:w="372" w:type="pct"/>
            <w:gridSpan w:val="2"/>
            <w:shd w:val="clear" w:color="auto" w:fill="auto"/>
            <w:vAlign w:val="center"/>
          </w:tcPr>
          <w:p w14:paraId="7221DBD9"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2.45%</w:t>
            </w:r>
          </w:p>
        </w:tc>
        <w:tc>
          <w:tcPr>
            <w:tcW w:w="371" w:type="pct"/>
            <w:shd w:val="clear" w:color="auto" w:fill="auto"/>
            <w:vAlign w:val="center"/>
          </w:tcPr>
          <w:p w14:paraId="17FC06ED"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2.40%</w:t>
            </w:r>
          </w:p>
        </w:tc>
        <w:tc>
          <w:tcPr>
            <w:tcW w:w="371" w:type="pct"/>
            <w:shd w:val="clear" w:color="auto" w:fill="auto"/>
            <w:vAlign w:val="center"/>
          </w:tcPr>
          <w:p w14:paraId="3AA26593"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2.35%</w:t>
            </w:r>
          </w:p>
        </w:tc>
        <w:tc>
          <w:tcPr>
            <w:tcW w:w="371" w:type="pct"/>
            <w:gridSpan w:val="2"/>
            <w:shd w:val="clear" w:color="auto" w:fill="auto"/>
            <w:vAlign w:val="center"/>
          </w:tcPr>
          <w:p w14:paraId="031F8A14"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2.30%</w:t>
            </w:r>
          </w:p>
        </w:tc>
        <w:tc>
          <w:tcPr>
            <w:tcW w:w="371" w:type="pct"/>
            <w:shd w:val="clear" w:color="auto" w:fill="auto"/>
            <w:vAlign w:val="center"/>
          </w:tcPr>
          <w:p w14:paraId="6C00D44A"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2.25%</w:t>
            </w:r>
          </w:p>
        </w:tc>
        <w:tc>
          <w:tcPr>
            <w:tcW w:w="372" w:type="pct"/>
            <w:shd w:val="clear" w:color="auto" w:fill="auto"/>
            <w:vAlign w:val="center"/>
          </w:tcPr>
          <w:p w14:paraId="76DD0F78"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2.20%</w:t>
            </w:r>
          </w:p>
        </w:tc>
      </w:tr>
      <w:tr w:rsidR="003D3BC5" w:rsidRPr="000F0299" w14:paraId="0131C7D0" w14:textId="77777777" w:rsidTr="003C0DA1">
        <w:trPr>
          <w:trHeight w:val="142"/>
        </w:trPr>
        <w:tc>
          <w:tcPr>
            <w:tcW w:w="1176" w:type="pct"/>
            <w:shd w:val="clear" w:color="auto" w:fill="auto"/>
          </w:tcPr>
          <w:p w14:paraId="48AB4A56"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3824" w:type="pct"/>
            <w:gridSpan w:val="13"/>
            <w:shd w:val="clear" w:color="auto" w:fill="auto"/>
            <w:vAlign w:val="center"/>
          </w:tcPr>
          <w:p w14:paraId="6E4FA9CB" w14:textId="77777777" w:rsidR="003D3BC5" w:rsidRPr="000F0299" w:rsidRDefault="003D3BC5" w:rsidP="00003BDE">
            <w:pPr>
              <w:suppressAutoHyphens w:val="0"/>
              <w:autoSpaceDN/>
              <w:spacing w:before="0"/>
              <w:ind w:firstLine="0"/>
              <w:textAlignment w:val="auto"/>
              <w:rPr>
                <w:rFonts w:eastAsiaTheme="minorHAnsi"/>
                <w:i/>
                <w:kern w:val="0"/>
                <w:sz w:val="20"/>
                <w:szCs w:val="20"/>
                <w:lang w:eastAsia="en-US" w:bidi="ar-SA"/>
              </w:rPr>
            </w:pPr>
            <w:r w:rsidRPr="000F0299">
              <w:rPr>
                <w:rFonts w:eastAsiaTheme="minorHAnsi"/>
                <w:iCs/>
                <w:kern w:val="0"/>
                <w:sz w:val="20"/>
                <w:szCs w:val="20"/>
                <w:lang w:eastAsia="en-US" w:bidi="ar-SA"/>
              </w:rPr>
              <w:t>Одступање до 10% у односу на циљану вредност биће вредновано као успех.</w:t>
            </w:r>
          </w:p>
        </w:tc>
      </w:tr>
    </w:tbl>
    <w:p w14:paraId="23F66BE1" w14:textId="4190956B" w:rsidR="003D3BC5" w:rsidRPr="000F0299" w:rsidRDefault="003D3BC5" w:rsidP="00BE55B6">
      <w:pPr>
        <w:ind w:firstLine="0"/>
        <w:rPr>
          <w:b/>
          <w:bCs/>
          <w:color w:val="2F5496" w:themeColor="accent1" w:themeShade="BF"/>
        </w:rPr>
      </w:pPr>
      <w:r w:rsidRPr="000F0299">
        <w:rPr>
          <w:b/>
          <w:bCs/>
          <w:color w:val="2F5496" w:themeColor="accent1" w:themeShade="BF"/>
        </w:rPr>
        <w:t>Показатељ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2"/>
        <w:gridCol w:w="697"/>
        <w:gridCol w:w="754"/>
        <w:gridCol w:w="255"/>
        <w:gridCol w:w="440"/>
        <w:gridCol w:w="697"/>
        <w:gridCol w:w="558"/>
        <w:gridCol w:w="75"/>
        <w:gridCol w:w="61"/>
        <w:gridCol w:w="697"/>
        <w:gridCol w:w="697"/>
        <w:gridCol w:w="261"/>
        <w:gridCol w:w="437"/>
        <w:gridCol w:w="699"/>
        <w:gridCol w:w="624"/>
      </w:tblGrid>
      <w:tr w:rsidR="003D3BC5" w:rsidRPr="000F0299" w14:paraId="225781EB" w14:textId="77777777" w:rsidTr="00003BDE">
        <w:trPr>
          <w:trHeight w:val="555"/>
          <w:jc w:val="center"/>
        </w:trPr>
        <w:tc>
          <w:tcPr>
            <w:tcW w:w="1211" w:type="pct"/>
            <w:shd w:val="clear" w:color="auto" w:fill="DEEAF6" w:themeFill="accent5" w:themeFillTint="33"/>
            <w:vAlign w:val="center"/>
          </w:tcPr>
          <w:p w14:paraId="3F95650A"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3789" w:type="pct"/>
            <w:gridSpan w:val="14"/>
            <w:shd w:val="clear" w:color="auto" w:fill="DEEAF6" w:themeFill="accent5" w:themeFillTint="33"/>
            <w:vAlign w:val="center"/>
          </w:tcPr>
          <w:p w14:paraId="6152035A" w14:textId="77777777" w:rsidR="003D3BC5" w:rsidRPr="000F0299" w:rsidRDefault="003D3BC5" w:rsidP="00003BDE">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Број поједностављених административних поступака за грађане и привреду</w:t>
            </w:r>
          </w:p>
        </w:tc>
      </w:tr>
      <w:tr w:rsidR="003D3BC5" w:rsidRPr="000F0299" w14:paraId="04759E6F" w14:textId="77777777" w:rsidTr="00003BDE">
        <w:trPr>
          <w:trHeight w:val="331"/>
          <w:jc w:val="center"/>
        </w:trPr>
        <w:tc>
          <w:tcPr>
            <w:tcW w:w="1211" w:type="pct"/>
            <w:shd w:val="clear" w:color="auto" w:fill="auto"/>
          </w:tcPr>
          <w:p w14:paraId="121FCF45"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3789" w:type="pct"/>
            <w:gridSpan w:val="14"/>
            <w:shd w:val="clear" w:color="auto" w:fill="auto"/>
          </w:tcPr>
          <w:p w14:paraId="695F34B3" w14:textId="77777777" w:rsidR="003D3BC5" w:rsidRPr="000F0299" w:rsidRDefault="003D3BC5" w:rsidP="00003BDE">
            <w:pPr>
              <w:suppressAutoHyphens w:val="0"/>
              <w:autoSpaceDN/>
              <w:spacing w:before="0"/>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Мера 3.1.1:</w:t>
            </w:r>
            <w:r w:rsidRPr="000F0299">
              <w:rPr>
                <w:rFonts w:eastAsiaTheme="minorHAnsi"/>
                <w:kern w:val="0"/>
                <w:sz w:val="20"/>
                <w:szCs w:val="20"/>
                <w:lang w:eastAsia="en-US" w:bidi="ar-SA"/>
              </w:rPr>
              <w:t xml:space="preserve"> Унапређење развоја услуга по мери крајњих корисника кроз унапређење процеса развоја и оптимизацију постојећих услуга</w:t>
            </w:r>
          </w:p>
        </w:tc>
      </w:tr>
      <w:tr w:rsidR="00003BDE" w:rsidRPr="000F0299" w14:paraId="1C112BBB" w14:textId="77777777" w:rsidTr="00003BDE">
        <w:trPr>
          <w:trHeight w:val="309"/>
          <w:jc w:val="center"/>
        </w:trPr>
        <w:tc>
          <w:tcPr>
            <w:tcW w:w="1211" w:type="pct"/>
            <w:shd w:val="clear" w:color="auto" w:fill="auto"/>
          </w:tcPr>
          <w:p w14:paraId="2F4BAEEA" w14:textId="77777777" w:rsidR="00003BDE" w:rsidRPr="000F0299" w:rsidRDefault="00003BDE"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kern w:val="24"/>
                <w:sz w:val="20"/>
                <w:szCs w:val="20"/>
                <w:lang w:eastAsia="en-US" w:bidi="ar-SA"/>
              </w:rPr>
              <w:t>Тип и ниво показатеља</w:t>
            </w:r>
          </w:p>
        </w:tc>
        <w:tc>
          <w:tcPr>
            <w:tcW w:w="1894" w:type="pct"/>
            <w:gridSpan w:val="7"/>
            <w:shd w:val="clear" w:color="auto" w:fill="auto"/>
          </w:tcPr>
          <w:p w14:paraId="0FED8E1B" w14:textId="77777777"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 xml:space="preserve">Квантитативан показатељ </w:t>
            </w:r>
          </w:p>
        </w:tc>
        <w:tc>
          <w:tcPr>
            <w:tcW w:w="1896" w:type="pct"/>
            <w:gridSpan w:val="7"/>
            <w:shd w:val="clear" w:color="auto" w:fill="auto"/>
          </w:tcPr>
          <w:p w14:paraId="699534A2" w14:textId="6EA375DD"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Показатељ резултата</w:t>
            </w:r>
          </w:p>
        </w:tc>
      </w:tr>
      <w:tr w:rsidR="00003BDE" w:rsidRPr="000F0299" w14:paraId="6712A972" w14:textId="77777777" w:rsidTr="00003BDE">
        <w:trPr>
          <w:trHeight w:val="356"/>
          <w:jc w:val="center"/>
        </w:trPr>
        <w:tc>
          <w:tcPr>
            <w:tcW w:w="1211" w:type="pct"/>
            <w:shd w:val="clear" w:color="auto" w:fill="auto"/>
          </w:tcPr>
          <w:p w14:paraId="59C76898" w14:textId="77777777" w:rsidR="00003BDE" w:rsidRPr="000F0299" w:rsidRDefault="00003BDE" w:rsidP="00003BDE">
            <w:pPr>
              <w:suppressAutoHyphens w:val="0"/>
              <w:autoSpaceDN/>
              <w:spacing w:before="0"/>
              <w:ind w:firstLine="0"/>
              <w:jc w:val="left"/>
              <w:textAlignment w:val="auto"/>
              <w:rPr>
                <w:rFonts w:eastAsiaTheme="minorHAnsi"/>
                <w:b/>
                <w:kern w:val="24"/>
                <w:sz w:val="20"/>
                <w:szCs w:val="20"/>
                <w:lang w:eastAsia="en-US" w:bidi="ar-SA"/>
              </w:rPr>
            </w:pPr>
            <w:r w:rsidRPr="000F0299">
              <w:rPr>
                <w:rFonts w:eastAsiaTheme="minorHAnsi"/>
                <w:b/>
                <w:kern w:val="24"/>
                <w:sz w:val="20"/>
                <w:szCs w:val="20"/>
                <w:lang w:eastAsia="en-US" w:bidi="ar-SA"/>
              </w:rPr>
              <w:t>Јединица мере и природа</w:t>
            </w:r>
          </w:p>
        </w:tc>
        <w:tc>
          <w:tcPr>
            <w:tcW w:w="1895" w:type="pct"/>
            <w:gridSpan w:val="7"/>
            <w:shd w:val="clear" w:color="auto" w:fill="auto"/>
          </w:tcPr>
          <w:p w14:paraId="01264A87" w14:textId="77777777"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Број, кумулатив</w:t>
            </w:r>
          </w:p>
        </w:tc>
        <w:tc>
          <w:tcPr>
            <w:tcW w:w="1895" w:type="pct"/>
            <w:gridSpan w:val="7"/>
            <w:shd w:val="clear" w:color="auto" w:fill="auto"/>
          </w:tcPr>
          <w:p w14:paraId="0E5ED4B4" w14:textId="2B629CCE"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Пожељна је виша вредност</w:t>
            </w:r>
          </w:p>
        </w:tc>
      </w:tr>
      <w:tr w:rsidR="003D3BC5" w:rsidRPr="000F0299" w14:paraId="18E4DACB" w14:textId="77777777" w:rsidTr="00003BDE">
        <w:trPr>
          <w:trHeight w:val="260"/>
          <w:jc w:val="center"/>
        </w:trPr>
        <w:tc>
          <w:tcPr>
            <w:tcW w:w="1211" w:type="pct"/>
            <w:shd w:val="clear" w:color="auto" w:fill="auto"/>
          </w:tcPr>
          <w:p w14:paraId="51FB731F"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3789" w:type="pct"/>
            <w:gridSpan w:val="14"/>
            <w:shd w:val="clear" w:color="auto" w:fill="auto"/>
          </w:tcPr>
          <w:p w14:paraId="367C5E01" w14:textId="77777777" w:rsidR="003D3BC5" w:rsidRPr="000F0299" w:rsidRDefault="003D3BC5" w:rsidP="00003BDE">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Јединствени јавни регистар административних поступака,</w:t>
            </w:r>
          </w:p>
          <w:p w14:paraId="164CBC6A" w14:textId="361FF4E3" w:rsidR="003D3BC5" w:rsidRPr="000F0299" w:rsidRDefault="003D3BC5" w:rsidP="00003BDE">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Републички секретаријат за јавне политике</w:t>
            </w:r>
          </w:p>
        </w:tc>
      </w:tr>
      <w:tr w:rsidR="003D3BC5" w:rsidRPr="000F0299" w14:paraId="6B4C6E02" w14:textId="77777777" w:rsidTr="00003BDE">
        <w:trPr>
          <w:trHeight w:val="512"/>
          <w:jc w:val="center"/>
        </w:trPr>
        <w:tc>
          <w:tcPr>
            <w:tcW w:w="1211" w:type="pct"/>
            <w:shd w:val="clear" w:color="auto" w:fill="auto"/>
          </w:tcPr>
          <w:p w14:paraId="1EAA5EA3"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3789" w:type="pct"/>
            <w:gridSpan w:val="14"/>
            <w:shd w:val="clear" w:color="auto" w:fill="auto"/>
          </w:tcPr>
          <w:p w14:paraId="7948720E" w14:textId="689272FA" w:rsidR="003D3BC5" w:rsidRPr="000F0299" w:rsidRDefault="003D3BC5" w:rsidP="00E400F4">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Републички </w:t>
            </w:r>
            <w:r w:rsidR="00E400F4">
              <w:rPr>
                <w:rFonts w:eastAsiaTheme="minorHAnsi"/>
                <w:kern w:val="0"/>
                <w:sz w:val="20"/>
                <w:szCs w:val="20"/>
                <w:lang w:eastAsia="en-US" w:bidi="ar-SA"/>
              </w:rPr>
              <w:t>секретаријат за јавне политике</w:t>
            </w:r>
          </w:p>
        </w:tc>
      </w:tr>
      <w:tr w:rsidR="003D3BC5" w:rsidRPr="000F0299" w14:paraId="1804F149" w14:textId="77777777" w:rsidTr="00003BDE">
        <w:trPr>
          <w:trHeight w:val="512"/>
          <w:jc w:val="center"/>
        </w:trPr>
        <w:tc>
          <w:tcPr>
            <w:tcW w:w="1211" w:type="pct"/>
            <w:shd w:val="clear" w:color="auto" w:fill="auto"/>
          </w:tcPr>
          <w:p w14:paraId="6E25245B"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3789" w:type="pct"/>
            <w:gridSpan w:val="14"/>
            <w:shd w:val="clear" w:color="auto" w:fill="auto"/>
          </w:tcPr>
          <w:p w14:paraId="21F0AAFA" w14:textId="77777777" w:rsidR="003D3BC5" w:rsidRPr="000F0299" w:rsidRDefault="003D3BC5" w:rsidP="00003BDE">
            <w:pPr>
              <w:tabs>
                <w:tab w:val="right" w:pos="2140"/>
              </w:tabs>
              <w:suppressAutoHyphens w:val="0"/>
              <w:autoSpaceDN/>
              <w:spacing w:before="0"/>
              <w:ind w:firstLine="0"/>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Подаци се прикупљају континуирано током године.</w:t>
            </w:r>
          </w:p>
          <w:p w14:paraId="28DBEC4C" w14:textId="77777777" w:rsidR="003D3BC5" w:rsidRPr="000F0299" w:rsidRDefault="003D3BC5" w:rsidP="00003BDE">
            <w:pPr>
              <w:tabs>
                <w:tab w:val="right" w:pos="2140"/>
              </w:tabs>
              <w:suppressAutoHyphens w:val="0"/>
              <w:autoSpaceDN/>
              <w:spacing w:before="0"/>
              <w:ind w:firstLine="0"/>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Пресек стања се врши у децембру сваке године за текућу годину.</w:t>
            </w:r>
          </w:p>
        </w:tc>
      </w:tr>
      <w:tr w:rsidR="003D3BC5" w:rsidRPr="000F0299" w14:paraId="4772CCBF" w14:textId="77777777" w:rsidTr="00003BDE">
        <w:trPr>
          <w:trHeight w:val="782"/>
          <w:jc w:val="center"/>
        </w:trPr>
        <w:tc>
          <w:tcPr>
            <w:tcW w:w="1211" w:type="pct"/>
            <w:shd w:val="clear" w:color="auto" w:fill="auto"/>
          </w:tcPr>
          <w:p w14:paraId="10A9308D"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kern w:val="0"/>
                <w:sz w:val="20"/>
                <w:szCs w:val="20"/>
                <w:lang w:eastAsia="en-US" w:bidi="ar-SA"/>
              </w:rPr>
              <w:t>Кратак опис показатеља и методологије израчунавања</w:t>
            </w:r>
          </w:p>
        </w:tc>
        <w:tc>
          <w:tcPr>
            <w:tcW w:w="3789" w:type="pct"/>
            <w:gridSpan w:val="14"/>
            <w:shd w:val="clear" w:color="auto" w:fill="auto"/>
          </w:tcPr>
          <w:p w14:paraId="45B83916" w14:textId="77777777" w:rsidR="003D3BC5" w:rsidRPr="000F0299" w:rsidRDefault="003D3BC5" w:rsidP="00003BDE">
            <w:pPr>
              <w:tabs>
                <w:tab w:val="right" w:pos="2140"/>
              </w:tabs>
              <w:suppressAutoHyphens w:val="0"/>
              <w:autoSpaceDN/>
              <w:spacing w:before="0"/>
              <w:ind w:firstLine="0"/>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Показатељ мери број административних поступака који су кроз имплементацију СРЈУ и Програма е-папир поједностављени за грађане и привредне субјекте, а на основу препорука за поједностављење сачињених попуњавањем обрасца који је израдио РСЈП.</w:t>
            </w:r>
          </w:p>
        </w:tc>
      </w:tr>
      <w:tr w:rsidR="003D3BC5" w:rsidRPr="000F0299" w14:paraId="0A26803A" w14:textId="77777777" w:rsidTr="00003BDE">
        <w:trPr>
          <w:trHeight w:val="235"/>
          <w:jc w:val="center"/>
        </w:trPr>
        <w:tc>
          <w:tcPr>
            <w:tcW w:w="1211" w:type="pct"/>
            <w:vMerge w:val="restart"/>
            <w:shd w:val="clear" w:color="auto" w:fill="auto"/>
          </w:tcPr>
          <w:p w14:paraId="1A25875E"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2829" w:type="pct"/>
            <w:gridSpan w:val="11"/>
            <w:tcBorders>
              <w:bottom w:val="single" w:sz="4" w:space="0" w:color="auto"/>
            </w:tcBorders>
            <w:shd w:val="clear" w:color="auto" w:fill="auto"/>
            <w:vAlign w:val="center"/>
          </w:tcPr>
          <w:p w14:paraId="2CC6DBAB"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tc>
        <w:tc>
          <w:tcPr>
            <w:tcW w:w="960" w:type="pct"/>
            <w:gridSpan w:val="3"/>
            <w:shd w:val="clear" w:color="auto" w:fill="auto"/>
            <w:vAlign w:val="center"/>
          </w:tcPr>
          <w:p w14:paraId="63E603A3"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3D3BC5" w:rsidRPr="000F0299" w14:paraId="4E0D65B9" w14:textId="77777777" w:rsidTr="00003BDE">
        <w:trPr>
          <w:trHeight w:val="121"/>
          <w:jc w:val="center"/>
        </w:trPr>
        <w:tc>
          <w:tcPr>
            <w:tcW w:w="1211" w:type="pct"/>
            <w:vMerge/>
            <w:tcBorders>
              <w:right w:val="single" w:sz="4" w:space="0" w:color="auto"/>
            </w:tcBorders>
            <w:shd w:val="clear" w:color="auto" w:fill="auto"/>
          </w:tcPr>
          <w:p w14:paraId="0211D5CA"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p>
        </w:tc>
        <w:tc>
          <w:tcPr>
            <w:tcW w:w="93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435A03"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2016</w:t>
            </w:r>
          </w:p>
        </w:tc>
        <w:tc>
          <w:tcPr>
            <w:tcW w:w="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0DE57"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2017</w:t>
            </w:r>
          </w:p>
        </w:tc>
        <w:tc>
          <w:tcPr>
            <w:tcW w:w="9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0BE7163"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960" w:type="pct"/>
            <w:gridSpan w:val="3"/>
            <w:tcBorders>
              <w:left w:val="single" w:sz="4" w:space="0" w:color="auto"/>
            </w:tcBorders>
            <w:shd w:val="clear" w:color="auto" w:fill="auto"/>
            <w:vAlign w:val="center"/>
          </w:tcPr>
          <w:p w14:paraId="6510BC1C"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2020</w:t>
            </w:r>
          </w:p>
        </w:tc>
      </w:tr>
      <w:tr w:rsidR="003D3BC5" w:rsidRPr="000F0299" w14:paraId="3C076CCE" w14:textId="77777777" w:rsidTr="00003BDE">
        <w:trPr>
          <w:trHeight w:val="287"/>
          <w:jc w:val="center"/>
        </w:trPr>
        <w:tc>
          <w:tcPr>
            <w:tcW w:w="1211" w:type="pct"/>
            <w:vMerge/>
            <w:shd w:val="clear" w:color="auto" w:fill="auto"/>
          </w:tcPr>
          <w:p w14:paraId="73044518"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p>
        </w:tc>
        <w:tc>
          <w:tcPr>
            <w:tcW w:w="930" w:type="pct"/>
            <w:gridSpan w:val="3"/>
            <w:tcBorders>
              <w:top w:val="single" w:sz="4" w:space="0" w:color="auto"/>
            </w:tcBorders>
            <w:shd w:val="clear" w:color="auto" w:fill="auto"/>
            <w:vAlign w:val="center"/>
          </w:tcPr>
          <w:p w14:paraId="05DB9039" w14:textId="77777777" w:rsidR="003D3BC5" w:rsidRPr="000F0299" w:rsidRDefault="003D3BC5" w:rsidP="00003BDE">
            <w:pPr>
              <w:suppressAutoHyphens w:val="0"/>
              <w:autoSpaceDN/>
              <w:spacing w:before="0"/>
              <w:ind w:firstLine="0"/>
              <w:jc w:val="left"/>
              <w:textAlignment w:val="auto"/>
              <w:rPr>
                <w:rFonts w:eastAsiaTheme="minorHAnsi"/>
                <w:kern w:val="0"/>
                <w:sz w:val="20"/>
                <w:szCs w:val="20"/>
                <w:lang w:eastAsia="en-US" w:bidi="ar-SA"/>
              </w:rPr>
            </w:pPr>
          </w:p>
        </w:tc>
        <w:tc>
          <w:tcPr>
            <w:tcW w:w="924" w:type="pct"/>
            <w:gridSpan w:val="3"/>
            <w:tcBorders>
              <w:top w:val="single" w:sz="4" w:space="0" w:color="auto"/>
            </w:tcBorders>
            <w:shd w:val="clear" w:color="auto" w:fill="auto"/>
            <w:vAlign w:val="center"/>
          </w:tcPr>
          <w:p w14:paraId="5338A0C4"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c>
          <w:tcPr>
            <w:tcW w:w="976" w:type="pct"/>
            <w:gridSpan w:val="5"/>
            <w:tcBorders>
              <w:top w:val="single" w:sz="4" w:space="0" w:color="auto"/>
            </w:tcBorders>
            <w:shd w:val="clear" w:color="auto" w:fill="auto"/>
            <w:vAlign w:val="center"/>
          </w:tcPr>
          <w:p w14:paraId="3E7C52AC"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c>
          <w:tcPr>
            <w:tcW w:w="960" w:type="pct"/>
            <w:gridSpan w:val="3"/>
            <w:shd w:val="clear" w:color="auto" w:fill="auto"/>
            <w:vAlign w:val="center"/>
          </w:tcPr>
          <w:p w14:paraId="427C77A9"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89</w:t>
            </w:r>
          </w:p>
        </w:tc>
      </w:tr>
      <w:tr w:rsidR="003D3BC5" w:rsidRPr="000F0299" w14:paraId="201C3DCF" w14:textId="77777777" w:rsidTr="00003BDE">
        <w:trPr>
          <w:trHeight w:val="243"/>
          <w:jc w:val="center"/>
        </w:trPr>
        <w:tc>
          <w:tcPr>
            <w:tcW w:w="1211" w:type="pct"/>
            <w:vMerge w:val="restart"/>
            <w:shd w:val="clear" w:color="auto" w:fill="auto"/>
          </w:tcPr>
          <w:p w14:paraId="03E5EF95"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380" w:type="pct"/>
            <w:shd w:val="clear" w:color="auto" w:fill="auto"/>
            <w:vAlign w:val="center"/>
          </w:tcPr>
          <w:p w14:paraId="2724EB51"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411" w:type="pct"/>
            <w:shd w:val="clear" w:color="auto" w:fill="auto"/>
            <w:vAlign w:val="center"/>
          </w:tcPr>
          <w:p w14:paraId="4E644124"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379" w:type="pct"/>
            <w:gridSpan w:val="2"/>
            <w:shd w:val="clear" w:color="auto" w:fill="auto"/>
            <w:vAlign w:val="center"/>
          </w:tcPr>
          <w:p w14:paraId="7723DD30"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380" w:type="pct"/>
            <w:shd w:val="clear" w:color="auto" w:fill="auto"/>
            <w:vAlign w:val="center"/>
          </w:tcPr>
          <w:p w14:paraId="35E975D8"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378" w:type="pct"/>
            <w:gridSpan w:val="3"/>
            <w:shd w:val="clear" w:color="auto" w:fill="auto"/>
            <w:vAlign w:val="center"/>
          </w:tcPr>
          <w:p w14:paraId="585ABF9A"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380" w:type="pct"/>
            <w:shd w:val="clear" w:color="auto" w:fill="auto"/>
            <w:vAlign w:val="center"/>
          </w:tcPr>
          <w:p w14:paraId="2C755282"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380" w:type="pct"/>
            <w:shd w:val="clear" w:color="auto" w:fill="auto"/>
            <w:vAlign w:val="center"/>
          </w:tcPr>
          <w:p w14:paraId="2BEB1DB8"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380" w:type="pct"/>
            <w:gridSpan w:val="2"/>
            <w:shd w:val="clear" w:color="auto" w:fill="auto"/>
            <w:vAlign w:val="center"/>
          </w:tcPr>
          <w:p w14:paraId="75DFE32C"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381" w:type="pct"/>
            <w:shd w:val="clear" w:color="auto" w:fill="auto"/>
            <w:vAlign w:val="center"/>
          </w:tcPr>
          <w:p w14:paraId="291B0C31"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340" w:type="pct"/>
            <w:shd w:val="clear" w:color="auto" w:fill="auto"/>
            <w:vAlign w:val="center"/>
          </w:tcPr>
          <w:p w14:paraId="0DAF7B5C"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3D3BC5" w:rsidRPr="000F0299" w14:paraId="6B995EB7" w14:textId="77777777" w:rsidTr="00003BDE">
        <w:trPr>
          <w:trHeight w:val="142"/>
          <w:jc w:val="center"/>
        </w:trPr>
        <w:tc>
          <w:tcPr>
            <w:tcW w:w="1211" w:type="pct"/>
            <w:vMerge/>
            <w:shd w:val="clear" w:color="auto" w:fill="auto"/>
          </w:tcPr>
          <w:p w14:paraId="767BE951"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p>
        </w:tc>
        <w:tc>
          <w:tcPr>
            <w:tcW w:w="380" w:type="pct"/>
            <w:shd w:val="clear" w:color="auto" w:fill="auto"/>
          </w:tcPr>
          <w:p w14:paraId="0AB2AE55"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150</w:t>
            </w:r>
          </w:p>
        </w:tc>
        <w:tc>
          <w:tcPr>
            <w:tcW w:w="411" w:type="pct"/>
            <w:shd w:val="clear" w:color="auto" w:fill="auto"/>
          </w:tcPr>
          <w:p w14:paraId="03D6A78F"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200</w:t>
            </w:r>
          </w:p>
        </w:tc>
        <w:tc>
          <w:tcPr>
            <w:tcW w:w="379" w:type="pct"/>
            <w:gridSpan w:val="2"/>
            <w:shd w:val="clear" w:color="auto" w:fill="auto"/>
          </w:tcPr>
          <w:p w14:paraId="5CE6C0A9"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250</w:t>
            </w:r>
          </w:p>
        </w:tc>
        <w:tc>
          <w:tcPr>
            <w:tcW w:w="380" w:type="pct"/>
            <w:shd w:val="clear" w:color="auto" w:fill="auto"/>
          </w:tcPr>
          <w:p w14:paraId="1B79F794"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300</w:t>
            </w:r>
          </w:p>
        </w:tc>
        <w:tc>
          <w:tcPr>
            <w:tcW w:w="378" w:type="pct"/>
            <w:gridSpan w:val="3"/>
            <w:shd w:val="clear" w:color="auto" w:fill="auto"/>
          </w:tcPr>
          <w:p w14:paraId="311B969F"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300</w:t>
            </w:r>
          </w:p>
        </w:tc>
        <w:tc>
          <w:tcPr>
            <w:tcW w:w="380" w:type="pct"/>
            <w:shd w:val="clear" w:color="auto" w:fill="auto"/>
          </w:tcPr>
          <w:p w14:paraId="0A6E31E6"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350</w:t>
            </w:r>
          </w:p>
        </w:tc>
        <w:tc>
          <w:tcPr>
            <w:tcW w:w="380" w:type="pct"/>
            <w:shd w:val="clear" w:color="auto" w:fill="auto"/>
          </w:tcPr>
          <w:p w14:paraId="407CF9C1"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400</w:t>
            </w:r>
          </w:p>
        </w:tc>
        <w:tc>
          <w:tcPr>
            <w:tcW w:w="380" w:type="pct"/>
            <w:gridSpan w:val="2"/>
            <w:shd w:val="clear" w:color="auto" w:fill="auto"/>
          </w:tcPr>
          <w:p w14:paraId="1586399B" w14:textId="77777777" w:rsidR="003D3BC5" w:rsidRPr="000F0299" w:rsidRDefault="003D3BC5" w:rsidP="00003BDE">
            <w:pPr>
              <w:suppressAutoHyphens w:val="0"/>
              <w:autoSpaceDN/>
              <w:spacing w:before="0"/>
              <w:ind w:firstLine="0"/>
              <w:jc w:val="left"/>
              <w:textAlignment w:val="auto"/>
              <w:rPr>
                <w:rFonts w:eastAsiaTheme="minorHAnsi"/>
                <w:kern w:val="0"/>
                <w:sz w:val="20"/>
                <w:szCs w:val="20"/>
                <w:lang w:eastAsia="en-US" w:bidi="ar-SA"/>
              </w:rPr>
            </w:pPr>
            <w:r w:rsidRPr="000F0299">
              <w:rPr>
                <w:rFonts w:eastAsiaTheme="minorHAnsi"/>
                <w:kern w:val="0"/>
                <w:sz w:val="20"/>
                <w:szCs w:val="20"/>
                <w:lang w:eastAsia="en-US" w:bidi="ar-SA"/>
              </w:rPr>
              <w:t>450</w:t>
            </w:r>
          </w:p>
        </w:tc>
        <w:tc>
          <w:tcPr>
            <w:tcW w:w="381" w:type="pct"/>
            <w:shd w:val="clear" w:color="auto" w:fill="auto"/>
          </w:tcPr>
          <w:p w14:paraId="595CB6A4"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500</w:t>
            </w:r>
          </w:p>
        </w:tc>
        <w:tc>
          <w:tcPr>
            <w:tcW w:w="340" w:type="pct"/>
            <w:shd w:val="clear" w:color="auto" w:fill="auto"/>
          </w:tcPr>
          <w:p w14:paraId="54D7886B" w14:textId="77777777" w:rsidR="003D3BC5" w:rsidRPr="000F0299" w:rsidRDefault="003D3BC5" w:rsidP="00003BDE">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550</w:t>
            </w:r>
          </w:p>
        </w:tc>
      </w:tr>
      <w:tr w:rsidR="003D3BC5" w:rsidRPr="000F0299" w14:paraId="3F26673D" w14:textId="77777777" w:rsidTr="00003BDE">
        <w:trPr>
          <w:trHeight w:val="142"/>
          <w:jc w:val="center"/>
        </w:trPr>
        <w:tc>
          <w:tcPr>
            <w:tcW w:w="1211" w:type="pct"/>
            <w:shd w:val="clear" w:color="auto" w:fill="auto"/>
          </w:tcPr>
          <w:p w14:paraId="75D37742"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3789" w:type="pct"/>
            <w:gridSpan w:val="14"/>
            <w:shd w:val="clear" w:color="auto" w:fill="auto"/>
            <w:vAlign w:val="center"/>
          </w:tcPr>
          <w:p w14:paraId="4C9304A7" w14:textId="5A925694" w:rsidR="003D3BC5" w:rsidRPr="000F0299" w:rsidRDefault="003D3BC5" w:rsidP="00003BDE">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Одступање до 10% </w:t>
            </w:r>
            <w:r w:rsidRPr="000F0299">
              <w:rPr>
                <w:rFonts w:eastAsiaTheme="minorHAnsi"/>
                <w:iCs/>
                <w:kern w:val="0"/>
                <w:sz w:val="20"/>
                <w:szCs w:val="20"/>
                <w:lang w:eastAsia="en-US" w:bidi="ar-SA"/>
              </w:rPr>
              <w:t>у односу на циљану вредност</w:t>
            </w:r>
            <w:r w:rsidRPr="000F0299">
              <w:rPr>
                <w:rFonts w:eastAsiaTheme="minorHAnsi"/>
                <w:kern w:val="0"/>
                <w:sz w:val="20"/>
                <w:szCs w:val="20"/>
                <w:lang w:eastAsia="en-US" w:bidi="ar-SA"/>
              </w:rPr>
              <w:t xml:space="preserve"> биће </w:t>
            </w:r>
            <w:r w:rsidR="00864D50" w:rsidRPr="000F0299">
              <w:rPr>
                <w:rFonts w:eastAsiaTheme="minorHAnsi"/>
                <w:kern w:val="0"/>
                <w:sz w:val="20"/>
                <w:szCs w:val="20"/>
                <w:lang w:eastAsia="en-US" w:bidi="ar-SA"/>
              </w:rPr>
              <w:t>вредновано</w:t>
            </w:r>
            <w:r w:rsidRPr="000F0299">
              <w:rPr>
                <w:rFonts w:eastAsiaTheme="minorHAnsi"/>
                <w:kern w:val="0"/>
                <w:sz w:val="20"/>
                <w:szCs w:val="20"/>
                <w:lang w:eastAsia="en-US" w:bidi="ar-SA"/>
              </w:rPr>
              <w:t xml:space="preserve"> као успех.</w:t>
            </w:r>
          </w:p>
        </w:tc>
      </w:tr>
    </w:tbl>
    <w:p w14:paraId="3BDBF003" w14:textId="29005B7E" w:rsidR="003C0DA1" w:rsidRPr="000F0299" w:rsidRDefault="003C0DA1">
      <w:pPr>
        <w:suppressAutoHyphens w:val="0"/>
        <w:autoSpaceDN/>
        <w:spacing w:before="0" w:after="160" w:line="259" w:lineRule="auto"/>
        <w:ind w:firstLine="0"/>
        <w:jc w:val="left"/>
        <w:textAlignment w:val="auto"/>
        <w:rPr>
          <w:b/>
          <w:bCs/>
          <w:color w:val="2F5496" w:themeColor="accent1" w:themeShade="BF"/>
        </w:rPr>
      </w:pPr>
    </w:p>
    <w:p w14:paraId="0DC2AE49" w14:textId="77777777" w:rsidR="003C0DA1" w:rsidRPr="000F0299" w:rsidRDefault="003C0DA1">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7F12499B" w14:textId="72220FB6" w:rsidR="003D3BC5" w:rsidRPr="000F0299" w:rsidRDefault="003D3BC5" w:rsidP="00BE55B6">
      <w:pPr>
        <w:ind w:firstLine="0"/>
        <w:rPr>
          <w:b/>
          <w:bCs/>
          <w:color w:val="2F5496" w:themeColor="accent1" w:themeShade="BF"/>
        </w:rPr>
      </w:pPr>
      <w:r w:rsidRPr="000F0299">
        <w:rPr>
          <w:b/>
          <w:bCs/>
          <w:color w:val="2F5496" w:themeColor="accent1" w:themeShade="BF"/>
        </w:rPr>
        <w:t>Показатељ 4</w:t>
      </w: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624"/>
        <w:gridCol w:w="685"/>
        <w:gridCol w:w="162"/>
        <w:gridCol w:w="462"/>
        <w:gridCol w:w="642"/>
        <w:gridCol w:w="440"/>
        <w:gridCol w:w="191"/>
        <w:gridCol w:w="191"/>
        <w:gridCol w:w="444"/>
        <w:gridCol w:w="701"/>
        <w:gridCol w:w="201"/>
        <w:gridCol w:w="477"/>
        <w:gridCol w:w="701"/>
        <w:gridCol w:w="876"/>
      </w:tblGrid>
      <w:tr w:rsidR="003D3BC5" w:rsidRPr="000F0299" w14:paraId="2026BFC9" w14:textId="77777777" w:rsidTr="003D3BC5">
        <w:trPr>
          <w:trHeight w:val="555"/>
          <w:jc w:val="center"/>
        </w:trPr>
        <w:tc>
          <w:tcPr>
            <w:tcW w:w="1307" w:type="pct"/>
            <w:shd w:val="clear" w:color="auto" w:fill="DEEAF6" w:themeFill="accent5" w:themeFillTint="33"/>
            <w:vAlign w:val="center"/>
          </w:tcPr>
          <w:p w14:paraId="7B9EC4D4"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3693" w:type="pct"/>
            <w:gridSpan w:val="14"/>
            <w:shd w:val="clear" w:color="auto" w:fill="DEEAF6" w:themeFill="accent5" w:themeFillTint="33"/>
            <w:vAlign w:val="center"/>
          </w:tcPr>
          <w:p w14:paraId="14F1ED3B" w14:textId="77777777" w:rsidR="003D3BC5" w:rsidRPr="000F0299" w:rsidRDefault="003D3BC5" w:rsidP="00003BDE">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Број успостављених јединствених управних места у ЈЛС</w:t>
            </w:r>
          </w:p>
        </w:tc>
      </w:tr>
      <w:tr w:rsidR="003D3BC5" w:rsidRPr="000F0299" w14:paraId="76EC0294" w14:textId="77777777" w:rsidTr="003D3BC5">
        <w:trPr>
          <w:trHeight w:val="331"/>
          <w:jc w:val="center"/>
        </w:trPr>
        <w:tc>
          <w:tcPr>
            <w:tcW w:w="1307" w:type="pct"/>
            <w:shd w:val="clear" w:color="auto" w:fill="auto"/>
          </w:tcPr>
          <w:p w14:paraId="09984336"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3693" w:type="pct"/>
            <w:gridSpan w:val="14"/>
            <w:shd w:val="clear" w:color="auto" w:fill="auto"/>
          </w:tcPr>
          <w:p w14:paraId="31572325" w14:textId="77777777" w:rsidR="003D3BC5" w:rsidRPr="000F0299" w:rsidRDefault="003D3BC5" w:rsidP="00003BDE">
            <w:pPr>
              <w:suppressAutoHyphens w:val="0"/>
              <w:autoSpaceDN/>
              <w:spacing w:before="0"/>
              <w:ind w:firstLine="0"/>
              <w:jc w:val="left"/>
              <w:textAlignment w:val="auto"/>
              <w:rPr>
                <w:rFonts w:eastAsiaTheme="minorHAnsi"/>
                <w:kern w:val="0"/>
                <w:sz w:val="20"/>
                <w:szCs w:val="20"/>
                <w:lang w:eastAsia="en-US" w:bidi="ar-SA"/>
              </w:rPr>
            </w:pPr>
            <w:r w:rsidRPr="000F0299">
              <w:rPr>
                <w:rFonts w:eastAsiaTheme="minorHAnsi"/>
                <w:b/>
                <w:bCs/>
                <w:kern w:val="0"/>
                <w:sz w:val="20"/>
                <w:szCs w:val="20"/>
                <w:lang w:eastAsia="en-US" w:bidi="ar-SA"/>
              </w:rPr>
              <w:t>Мера 3.1.1:</w:t>
            </w:r>
            <w:r w:rsidRPr="000F0299">
              <w:rPr>
                <w:rFonts w:eastAsiaTheme="minorHAnsi"/>
                <w:kern w:val="0"/>
                <w:sz w:val="20"/>
                <w:szCs w:val="20"/>
                <w:lang w:eastAsia="en-US" w:bidi="ar-SA"/>
              </w:rPr>
              <w:t xml:space="preserve"> Унапређење развоја услуга по мери крајњих корисника кроз унапређење процеса развоја и оптимизацију постојећих услуга</w:t>
            </w:r>
          </w:p>
        </w:tc>
      </w:tr>
      <w:tr w:rsidR="00003BDE" w:rsidRPr="000F0299" w14:paraId="303E37CE" w14:textId="77777777" w:rsidTr="00003BDE">
        <w:trPr>
          <w:trHeight w:val="309"/>
          <w:jc w:val="center"/>
        </w:trPr>
        <w:tc>
          <w:tcPr>
            <w:tcW w:w="1307" w:type="pct"/>
            <w:shd w:val="clear" w:color="auto" w:fill="auto"/>
          </w:tcPr>
          <w:p w14:paraId="572BD430" w14:textId="77777777" w:rsidR="00003BDE" w:rsidRPr="000F0299" w:rsidRDefault="00003BDE"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kern w:val="24"/>
                <w:sz w:val="20"/>
                <w:szCs w:val="20"/>
                <w:lang w:eastAsia="en-US" w:bidi="ar-SA"/>
              </w:rPr>
              <w:t>Тип и ниво показатеља</w:t>
            </w:r>
          </w:p>
        </w:tc>
        <w:tc>
          <w:tcPr>
            <w:tcW w:w="1846" w:type="pct"/>
            <w:gridSpan w:val="8"/>
            <w:shd w:val="clear" w:color="auto" w:fill="auto"/>
          </w:tcPr>
          <w:p w14:paraId="2B21CBAD" w14:textId="77777777"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 xml:space="preserve">Квантитативан показатељ </w:t>
            </w:r>
          </w:p>
        </w:tc>
        <w:tc>
          <w:tcPr>
            <w:tcW w:w="1847" w:type="pct"/>
            <w:gridSpan w:val="6"/>
            <w:shd w:val="clear" w:color="auto" w:fill="auto"/>
          </w:tcPr>
          <w:p w14:paraId="62FD7354" w14:textId="2601B8F8"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Показатељ резултата</w:t>
            </w:r>
          </w:p>
        </w:tc>
      </w:tr>
      <w:tr w:rsidR="00003BDE" w:rsidRPr="000F0299" w14:paraId="540A2934" w14:textId="77777777" w:rsidTr="00003BDE">
        <w:trPr>
          <w:trHeight w:val="356"/>
          <w:jc w:val="center"/>
        </w:trPr>
        <w:tc>
          <w:tcPr>
            <w:tcW w:w="1307" w:type="pct"/>
            <w:shd w:val="clear" w:color="auto" w:fill="auto"/>
          </w:tcPr>
          <w:p w14:paraId="5DEFAEF4" w14:textId="77777777" w:rsidR="00003BDE" w:rsidRPr="000F0299" w:rsidRDefault="00003BDE" w:rsidP="00003BDE">
            <w:pPr>
              <w:suppressAutoHyphens w:val="0"/>
              <w:autoSpaceDN/>
              <w:spacing w:before="0"/>
              <w:ind w:firstLine="0"/>
              <w:jc w:val="left"/>
              <w:textAlignment w:val="auto"/>
              <w:rPr>
                <w:rFonts w:eastAsiaTheme="minorHAnsi"/>
                <w:b/>
                <w:kern w:val="24"/>
                <w:sz w:val="20"/>
                <w:szCs w:val="20"/>
                <w:lang w:eastAsia="en-US" w:bidi="ar-SA"/>
              </w:rPr>
            </w:pPr>
            <w:r w:rsidRPr="000F0299">
              <w:rPr>
                <w:rFonts w:eastAsiaTheme="minorHAnsi"/>
                <w:b/>
                <w:kern w:val="24"/>
                <w:sz w:val="20"/>
                <w:szCs w:val="20"/>
                <w:lang w:eastAsia="en-US" w:bidi="ar-SA"/>
              </w:rPr>
              <w:t>Јединица мере и природа</w:t>
            </w:r>
          </w:p>
        </w:tc>
        <w:tc>
          <w:tcPr>
            <w:tcW w:w="1846" w:type="pct"/>
            <w:gridSpan w:val="8"/>
            <w:shd w:val="clear" w:color="auto" w:fill="auto"/>
            <w:vAlign w:val="center"/>
          </w:tcPr>
          <w:p w14:paraId="35AE3AF6" w14:textId="77777777"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Број, кумулатив</w:t>
            </w:r>
          </w:p>
        </w:tc>
        <w:tc>
          <w:tcPr>
            <w:tcW w:w="1846" w:type="pct"/>
            <w:gridSpan w:val="6"/>
            <w:shd w:val="clear" w:color="auto" w:fill="auto"/>
            <w:vAlign w:val="center"/>
          </w:tcPr>
          <w:p w14:paraId="5A6E4998" w14:textId="75FE3E70"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Пожељна је виша вредност</w:t>
            </w:r>
          </w:p>
        </w:tc>
      </w:tr>
      <w:tr w:rsidR="003D3BC5" w:rsidRPr="000F0299" w14:paraId="04FDDA6A" w14:textId="77777777" w:rsidTr="003D3BC5">
        <w:trPr>
          <w:trHeight w:val="260"/>
          <w:jc w:val="center"/>
        </w:trPr>
        <w:tc>
          <w:tcPr>
            <w:tcW w:w="1307" w:type="pct"/>
            <w:shd w:val="clear" w:color="auto" w:fill="auto"/>
          </w:tcPr>
          <w:p w14:paraId="24DB99B1"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3693" w:type="pct"/>
            <w:gridSpan w:val="14"/>
            <w:shd w:val="clear" w:color="auto" w:fill="auto"/>
            <w:vAlign w:val="center"/>
          </w:tcPr>
          <w:p w14:paraId="17A3E110" w14:textId="77777777" w:rsidR="003D3BC5" w:rsidRPr="000F0299" w:rsidRDefault="003D3BC5" w:rsidP="00003BDE">
            <w:pPr>
              <w:suppressAutoHyphens w:val="0"/>
              <w:autoSpaceDN/>
              <w:spacing w:before="0"/>
              <w:ind w:firstLine="0"/>
              <w:jc w:val="left"/>
              <w:textAlignment w:val="auto"/>
              <w:rPr>
                <w:rFonts w:eastAsiaTheme="minorHAnsi"/>
                <w:kern w:val="0"/>
                <w:sz w:val="20"/>
                <w:szCs w:val="20"/>
                <w:lang w:eastAsia="en-US" w:bidi="ar-SA"/>
              </w:rPr>
            </w:pPr>
            <w:r w:rsidRPr="000F0299">
              <w:rPr>
                <w:rFonts w:eastAsiaTheme="minorHAnsi"/>
                <w:kern w:val="0"/>
                <w:sz w:val="20"/>
                <w:szCs w:val="20"/>
                <w:lang w:eastAsia="en-US" w:bidi="ar-SA"/>
              </w:rPr>
              <w:t>Интернет портал МДУЛС</w:t>
            </w:r>
          </w:p>
        </w:tc>
      </w:tr>
      <w:tr w:rsidR="003D3BC5" w:rsidRPr="000F0299" w14:paraId="0AEF7633" w14:textId="77777777" w:rsidTr="003D3BC5">
        <w:trPr>
          <w:trHeight w:val="512"/>
          <w:jc w:val="center"/>
        </w:trPr>
        <w:tc>
          <w:tcPr>
            <w:tcW w:w="1307" w:type="pct"/>
            <w:shd w:val="clear" w:color="auto" w:fill="auto"/>
          </w:tcPr>
          <w:p w14:paraId="19B0BF72"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3693" w:type="pct"/>
            <w:gridSpan w:val="14"/>
            <w:shd w:val="clear" w:color="auto" w:fill="auto"/>
            <w:vAlign w:val="center"/>
          </w:tcPr>
          <w:p w14:paraId="2CAD2EF7" w14:textId="1E35C4A9" w:rsidR="003D3BC5" w:rsidRPr="000F0299" w:rsidRDefault="00E400F4" w:rsidP="00E400F4">
            <w:pPr>
              <w:suppressAutoHyphens w:val="0"/>
              <w:autoSpaceDN/>
              <w:spacing w:before="0"/>
              <w:ind w:firstLine="0"/>
              <w:textAlignment w:val="auto"/>
              <w:rPr>
                <w:rFonts w:eastAsiaTheme="minorHAnsi"/>
                <w:kern w:val="0"/>
                <w:sz w:val="20"/>
                <w:szCs w:val="20"/>
                <w:lang w:eastAsia="en-US" w:bidi="ar-SA"/>
              </w:rPr>
            </w:pPr>
            <w:r>
              <w:rPr>
                <w:rFonts w:eastAsiaTheme="minorHAnsi"/>
                <w:kern w:val="0"/>
                <w:sz w:val="20"/>
                <w:szCs w:val="20"/>
                <w:lang w:eastAsia="en-US" w:bidi="ar-SA"/>
              </w:rPr>
              <w:t>МДУЛС</w:t>
            </w:r>
          </w:p>
        </w:tc>
      </w:tr>
      <w:tr w:rsidR="003D3BC5" w:rsidRPr="000F0299" w14:paraId="3741BE3F" w14:textId="77777777" w:rsidTr="003D3BC5">
        <w:trPr>
          <w:trHeight w:val="512"/>
          <w:jc w:val="center"/>
        </w:trPr>
        <w:tc>
          <w:tcPr>
            <w:tcW w:w="1307" w:type="pct"/>
            <w:shd w:val="clear" w:color="auto" w:fill="auto"/>
          </w:tcPr>
          <w:p w14:paraId="1F964C69"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3693" w:type="pct"/>
            <w:gridSpan w:val="14"/>
            <w:shd w:val="clear" w:color="auto" w:fill="auto"/>
            <w:vAlign w:val="center"/>
          </w:tcPr>
          <w:p w14:paraId="63FE0F5D" w14:textId="77777777" w:rsidR="003D3BC5" w:rsidRPr="000F0299" w:rsidRDefault="003D3BC5" w:rsidP="00003BDE">
            <w:pPr>
              <w:tabs>
                <w:tab w:val="right" w:pos="2140"/>
              </w:tabs>
              <w:suppressAutoHyphens w:val="0"/>
              <w:autoSpaceDN/>
              <w:spacing w:before="0"/>
              <w:ind w:firstLine="0"/>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Подаци се прикупљају континуирано током године.</w:t>
            </w:r>
          </w:p>
          <w:p w14:paraId="24A05DF8" w14:textId="77777777" w:rsidR="003D3BC5" w:rsidRPr="000F0299" w:rsidRDefault="003D3BC5" w:rsidP="00003BDE">
            <w:pPr>
              <w:tabs>
                <w:tab w:val="right" w:pos="2140"/>
              </w:tabs>
              <w:suppressAutoHyphens w:val="0"/>
              <w:autoSpaceDN/>
              <w:spacing w:before="0"/>
              <w:ind w:firstLine="0"/>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Пресек стања се врши у децембру за текућу годину.</w:t>
            </w:r>
          </w:p>
        </w:tc>
      </w:tr>
      <w:tr w:rsidR="003D3BC5" w:rsidRPr="000F0299" w14:paraId="69208C99" w14:textId="77777777" w:rsidTr="003D3BC5">
        <w:trPr>
          <w:trHeight w:val="782"/>
          <w:jc w:val="center"/>
        </w:trPr>
        <w:tc>
          <w:tcPr>
            <w:tcW w:w="1307" w:type="pct"/>
            <w:shd w:val="clear" w:color="auto" w:fill="auto"/>
          </w:tcPr>
          <w:p w14:paraId="702C57D7"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kern w:val="0"/>
                <w:sz w:val="20"/>
                <w:szCs w:val="20"/>
                <w:lang w:eastAsia="en-US" w:bidi="ar-SA"/>
              </w:rPr>
              <w:t>Кратак опис показатеља и методологије израчунавања</w:t>
            </w:r>
          </w:p>
        </w:tc>
        <w:tc>
          <w:tcPr>
            <w:tcW w:w="3693" w:type="pct"/>
            <w:gridSpan w:val="14"/>
            <w:shd w:val="clear" w:color="auto" w:fill="auto"/>
            <w:vAlign w:val="center"/>
          </w:tcPr>
          <w:p w14:paraId="7032D4F4" w14:textId="7E364FD8" w:rsidR="003D3BC5" w:rsidRPr="000F0299" w:rsidRDefault="003D3BC5" w:rsidP="00003BDE">
            <w:pPr>
              <w:tabs>
                <w:tab w:val="right" w:pos="2140"/>
              </w:tabs>
              <w:suppressAutoHyphens w:val="0"/>
              <w:autoSpaceDN/>
              <w:spacing w:before="0"/>
              <w:ind w:firstLine="0"/>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Показатељ мери број укупно успостављених физичких ЈУМ на територијама локалних самоуправа, чиме се стварају физички/ инфраструктурни предуслови за унапређење квалитета услуга јавне управе, а</w:t>
            </w:r>
            <w:r w:rsidR="00864D50">
              <w:rPr>
                <w:rFonts w:eastAsiaTheme="minorHAnsi"/>
                <w:bCs/>
                <w:kern w:val="0"/>
                <w:sz w:val="20"/>
                <w:szCs w:val="20"/>
                <w:lang w:eastAsia="en-US" w:bidi="ar-SA"/>
              </w:rPr>
              <w:t xml:space="preserve"> </w:t>
            </w:r>
            <w:r w:rsidRPr="000F0299">
              <w:rPr>
                <w:rFonts w:eastAsiaTheme="minorHAnsi"/>
                <w:bCs/>
                <w:kern w:val="0"/>
                <w:sz w:val="20"/>
                <w:szCs w:val="20"/>
                <w:lang w:eastAsia="en-US" w:bidi="ar-SA"/>
              </w:rPr>
              <w:t>у складу са стандардима које пропише надлежно министарство.</w:t>
            </w:r>
          </w:p>
        </w:tc>
      </w:tr>
      <w:tr w:rsidR="003D3BC5" w:rsidRPr="000F0299" w14:paraId="010080A9" w14:textId="77777777" w:rsidTr="003D3BC5">
        <w:trPr>
          <w:trHeight w:val="235"/>
          <w:jc w:val="center"/>
        </w:trPr>
        <w:tc>
          <w:tcPr>
            <w:tcW w:w="1307" w:type="pct"/>
            <w:vMerge w:val="restart"/>
            <w:shd w:val="clear" w:color="auto" w:fill="auto"/>
          </w:tcPr>
          <w:p w14:paraId="20BEC272"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2577" w:type="pct"/>
            <w:gridSpan w:val="11"/>
            <w:tcBorders>
              <w:bottom w:val="single" w:sz="4" w:space="0" w:color="auto"/>
            </w:tcBorders>
            <w:shd w:val="clear" w:color="auto" w:fill="auto"/>
            <w:vAlign w:val="center"/>
          </w:tcPr>
          <w:p w14:paraId="5136425D"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Тренд у прошлости</w:t>
            </w:r>
          </w:p>
        </w:tc>
        <w:tc>
          <w:tcPr>
            <w:tcW w:w="1116" w:type="pct"/>
            <w:gridSpan w:val="3"/>
            <w:shd w:val="clear" w:color="auto" w:fill="auto"/>
            <w:vAlign w:val="center"/>
          </w:tcPr>
          <w:p w14:paraId="299CD768"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Полазна вредност</w:t>
            </w:r>
          </w:p>
        </w:tc>
      </w:tr>
      <w:tr w:rsidR="003D3BC5" w:rsidRPr="000F0299" w14:paraId="6DBA394C" w14:textId="77777777" w:rsidTr="003D3BC5">
        <w:trPr>
          <w:trHeight w:val="121"/>
          <w:jc w:val="center"/>
        </w:trPr>
        <w:tc>
          <w:tcPr>
            <w:tcW w:w="1307" w:type="pct"/>
            <w:vMerge/>
            <w:tcBorders>
              <w:right w:val="single" w:sz="4" w:space="0" w:color="auto"/>
            </w:tcBorders>
            <w:shd w:val="clear" w:color="auto" w:fill="auto"/>
          </w:tcPr>
          <w:p w14:paraId="0B5478A3"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p>
        </w:tc>
        <w:tc>
          <w:tcPr>
            <w:tcW w:w="7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A4C342"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2017</w:t>
            </w:r>
          </w:p>
        </w:tc>
        <w:tc>
          <w:tcPr>
            <w:tcW w:w="83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E3893D"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2018</w:t>
            </w:r>
          </w:p>
        </w:tc>
        <w:tc>
          <w:tcPr>
            <w:tcW w:w="93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14CB9E"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2019</w:t>
            </w:r>
          </w:p>
        </w:tc>
        <w:tc>
          <w:tcPr>
            <w:tcW w:w="1116" w:type="pct"/>
            <w:gridSpan w:val="3"/>
            <w:tcBorders>
              <w:left w:val="single" w:sz="4" w:space="0" w:color="auto"/>
            </w:tcBorders>
            <w:shd w:val="clear" w:color="auto" w:fill="auto"/>
            <w:vAlign w:val="center"/>
          </w:tcPr>
          <w:p w14:paraId="49D439CD"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2020</w:t>
            </w:r>
          </w:p>
        </w:tc>
      </w:tr>
      <w:tr w:rsidR="003D3BC5" w:rsidRPr="000F0299" w14:paraId="27FD798C" w14:textId="77777777" w:rsidTr="003D3BC5">
        <w:trPr>
          <w:trHeight w:val="287"/>
          <w:jc w:val="center"/>
        </w:trPr>
        <w:tc>
          <w:tcPr>
            <w:tcW w:w="1307" w:type="pct"/>
            <w:vMerge/>
            <w:shd w:val="clear" w:color="auto" w:fill="auto"/>
          </w:tcPr>
          <w:p w14:paraId="1C3511EC"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p>
        </w:tc>
        <w:tc>
          <w:tcPr>
            <w:tcW w:w="799" w:type="pct"/>
            <w:gridSpan w:val="3"/>
            <w:tcBorders>
              <w:top w:val="single" w:sz="4" w:space="0" w:color="auto"/>
            </w:tcBorders>
            <w:shd w:val="clear" w:color="auto" w:fill="auto"/>
            <w:vAlign w:val="center"/>
          </w:tcPr>
          <w:p w14:paraId="3AFD4135"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0</w:t>
            </w:r>
          </w:p>
        </w:tc>
        <w:tc>
          <w:tcPr>
            <w:tcW w:w="839" w:type="pct"/>
            <w:gridSpan w:val="3"/>
            <w:tcBorders>
              <w:top w:val="single" w:sz="4" w:space="0" w:color="auto"/>
            </w:tcBorders>
            <w:shd w:val="clear" w:color="auto" w:fill="auto"/>
            <w:vAlign w:val="center"/>
          </w:tcPr>
          <w:p w14:paraId="20BB6A1E"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0</w:t>
            </w:r>
          </w:p>
        </w:tc>
        <w:tc>
          <w:tcPr>
            <w:tcW w:w="939" w:type="pct"/>
            <w:gridSpan w:val="5"/>
            <w:tcBorders>
              <w:top w:val="single" w:sz="4" w:space="0" w:color="auto"/>
            </w:tcBorders>
            <w:shd w:val="clear" w:color="auto" w:fill="auto"/>
            <w:vAlign w:val="center"/>
          </w:tcPr>
          <w:p w14:paraId="50E2CEE6"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1</w:t>
            </w:r>
          </w:p>
        </w:tc>
        <w:tc>
          <w:tcPr>
            <w:tcW w:w="1116" w:type="pct"/>
            <w:gridSpan w:val="3"/>
            <w:shd w:val="clear" w:color="auto" w:fill="auto"/>
            <w:vAlign w:val="center"/>
          </w:tcPr>
          <w:p w14:paraId="28282AC4"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10</w:t>
            </w:r>
          </w:p>
        </w:tc>
      </w:tr>
      <w:tr w:rsidR="003D3BC5" w:rsidRPr="000F0299" w14:paraId="140728B8" w14:textId="77777777" w:rsidTr="003D3BC5">
        <w:trPr>
          <w:trHeight w:val="243"/>
          <w:jc w:val="center"/>
        </w:trPr>
        <w:tc>
          <w:tcPr>
            <w:tcW w:w="1307" w:type="pct"/>
            <w:vMerge w:val="restart"/>
            <w:shd w:val="clear" w:color="auto" w:fill="auto"/>
          </w:tcPr>
          <w:p w14:paraId="422CA941" w14:textId="77777777" w:rsidR="003D3BC5" w:rsidRPr="000F0299" w:rsidRDefault="003D3BC5" w:rsidP="00003BDE">
            <w:pPr>
              <w:suppressAutoHyphens w:val="0"/>
              <w:autoSpaceDN/>
              <w:spacing w:before="0"/>
              <w:ind w:firstLine="0"/>
              <w:textAlignment w:val="auto"/>
              <w:rPr>
                <w:rFonts w:eastAsia="Times New Roman"/>
                <w:b/>
                <w:bCs/>
                <w:kern w:val="0"/>
                <w:sz w:val="20"/>
                <w:szCs w:val="20"/>
                <w:lang w:eastAsia="de-DE" w:bidi="ar-SA"/>
              </w:rPr>
            </w:pPr>
            <w:r w:rsidRPr="000F0299">
              <w:rPr>
                <w:rFonts w:eastAsia="Times New Roman"/>
                <w:b/>
                <w:bCs/>
                <w:kern w:val="0"/>
                <w:sz w:val="20"/>
                <w:szCs w:val="20"/>
                <w:lang w:eastAsia="de-DE" w:bidi="ar-SA"/>
              </w:rPr>
              <w:t>Подаци о циљним вредностима</w:t>
            </w:r>
          </w:p>
        </w:tc>
        <w:tc>
          <w:tcPr>
            <w:tcW w:w="339" w:type="pct"/>
            <w:shd w:val="clear" w:color="auto" w:fill="auto"/>
            <w:vAlign w:val="center"/>
          </w:tcPr>
          <w:p w14:paraId="466601B2"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2021</w:t>
            </w:r>
          </w:p>
        </w:tc>
        <w:tc>
          <w:tcPr>
            <w:tcW w:w="372" w:type="pct"/>
            <w:shd w:val="clear" w:color="auto" w:fill="auto"/>
            <w:vAlign w:val="center"/>
          </w:tcPr>
          <w:p w14:paraId="525BF6C2"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2022</w:t>
            </w:r>
          </w:p>
        </w:tc>
        <w:tc>
          <w:tcPr>
            <w:tcW w:w="339" w:type="pct"/>
            <w:gridSpan w:val="2"/>
            <w:shd w:val="clear" w:color="auto" w:fill="auto"/>
            <w:vAlign w:val="center"/>
          </w:tcPr>
          <w:p w14:paraId="2D165C4D"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2023</w:t>
            </w:r>
          </w:p>
        </w:tc>
        <w:tc>
          <w:tcPr>
            <w:tcW w:w="349" w:type="pct"/>
            <w:shd w:val="clear" w:color="auto" w:fill="auto"/>
            <w:vAlign w:val="center"/>
          </w:tcPr>
          <w:p w14:paraId="4DDFB80F"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2024</w:t>
            </w:r>
          </w:p>
        </w:tc>
        <w:tc>
          <w:tcPr>
            <w:tcW w:w="343" w:type="pct"/>
            <w:gridSpan w:val="2"/>
            <w:shd w:val="clear" w:color="auto" w:fill="auto"/>
            <w:vAlign w:val="center"/>
          </w:tcPr>
          <w:p w14:paraId="1AA4F93C"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2025</w:t>
            </w:r>
          </w:p>
        </w:tc>
        <w:tc>
          <w:tcPr>
            <w:tcW w:w="345" w:type="pct"/>
            <w:gridSpan w:val="2"/>
            <w:shd w:val="clear" w:color="auto" w:fill="auto"/>
            <w:vAlign w:val="center"/>
          </w:tcPr>
          <w:p w14:paraId="45FA27D9"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2026</w:t>
            </w:r>
          </w:p>
        </w:tc>
        <w:tc>
          <w:tcPr>
            <w:tcW w:w="381" w:type="pct"/>
            <w:shd w:val="clear" w:color="auto" w:fill="auto"/>
            <w:vAlign w:val="center"/>
          </w:tcPr>
          <w:p w14:paraId="28D77A63"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2027</w:t>
            </w:r>
          </w:p>
        </w:tc>
        <w:tc>
          <w:tcPr>
            <w:tcW w:w="368" w:type="pct"/>
            <w:gridSpan w:val="2"/>
            <w:shd w:val="clear" w:color="auto" w:fill="auto"/>
            <w:vAlign w:val="center"/>
          </w:tcPr>
          <w:p w14:paraId="6D7EF789"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2028</w:t>
            </w:r>
          </w:p>
        </w:tc>
        <w:tc>
          <w:tcPr>
            <w:tcW w:w="381" w:type="pct"/>
            <w:shd w:val="clear" w:color="auto" w:fill="auto"/>
            <w:vAlign w:val="center"/>
          </w:tcPr>
          <w:p w14:paraId="3AEB3F3A"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2029</w:t>
            </w:r>
          </w:p>
        </w:tc>
        <w:tc>
          <w:tcPr>
            <w:tcW w:w="476" w:type="pct"/>
            <w:shd w:val="clear" w:color="auto" w:fill="auto"/>
            <w:vAlign w:val="center"/>
          </w:tcPr>
          <w:p w14:paraId="6DE562AB"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2030</w:t>
            </w:r>
          </w:p>
        </w:tc>
      </w:tr>
      <w:tr w:rsidR="003D3BC5" w:rsidRPr="000F0299" w14:paraId="4FF69005" w14:textId="77777777" w:rsidTr="003D3BC5">
        <w:trPr>
          <w:trHeight w:val="142"/>
          <w:jc w:val="center"/>
        </w:trPr>
        <w:tc>
          <w:tcPr>
            <w:tcW w:w="1307" w:type="pct"/>
            <w:vMerge/>
            <w:shd w:val="clear" w:color="auto" w:fill="auto"/>
          </w:tcPr>
          <w:p w14:paraId="71B1D237"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p>
        </w:tc>
        <w:tc>
          <w:tcPr>
            <w:tcW w:w="339" w:type="pct"/>
            <w:shd w:val="clear" w:color="auto" w:fill="auto"/>
          </w:tcPr>
          <w:p w14:paraId="4DDA6ABC"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14</w:t>
            </w:r>
          </w:p>
        </w:tc>
        <w:tc>
          <w:tcPr>
            <w:tcW w:w="372" w:type="pct"/>
            <w:shd w:val="clear" w:color="auto" w:fill="auto"/>
          </w:tcPr>
          <w:p w14:paraId="4F3D97B8"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19</w:t>
            </w:r>
          </w:p>
        </w:tc>
        <w:tc>
          <w:tcPr>
            <w:tcW w:w="339" w:type="pct"/>
            <w:gridSpan w:val="2"/>
            <w:shd w:val="clear" w:color="auto" w:fill="auto"/>
          </w:tcPr>
          <w:p w14:paraId="08F25D7E"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24</w:t>
            </w:r>
          </w:p>
        </w:tc>
        <w:tc>
          <w:tcPr>
            <w:tcW w:w="349" w:type="pct"/>
            <w:shd w:val="clear" w:color="auto" w:fill="auto"/>
          </w:tcPr>
          <w:p w14:paraId="54F9509C"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29</w:t>
            </w:r>
          </w:p>
        </w:tc>
        <w:tc>
          <w:tcPr>
            <w:tcW w:w="343" w:type="pct"/>
            <w:gridSpan w:val="2"/>
            <w:shd w:val="clear" w:color="auto" w:fill="auto"/>
          </w:tcPr>
          <w:p w14:paraId="7B966675"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34</w:t>
            </w:r>
          </w:p>
        </w:tc>
        <w:tc>
          <w:tcPr>
            <w:tcW w:w="345" w:type="pct"/>
            <w:gridSpan w:val="2"/>
            <w:shd w:val="clear" w:color="auto" w:fill="auto"/>
          </w:tcPr>
          <w:p w14:paraId="53E58506"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40</w:t>
            </w:r>
          </w:p>
        </w:tc>
        <w:tc>
          <w:tcPr>
            <w:tcW w:w="381" w:type="pct"/>
            <w:shd w:val="clear" w:color="auto" w:fill="auto"/>
          </w:tcPr>
          <w:p w14:paraId="272D0E06"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50</w:t>
            </w:r>
          </w:p>
        </w:tc>
        <w:tc>
          <w:tcPr>
            <w:tcW w:w="368" w:type="pct"/>
            <w:gridSpan w:val="2"/>
            <w:shd w:val="clear" w:color="auto" w:fill="auto"/>
          </w:tcPr>
          <w:p w14:paraId="067FC3AA"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60</w:t>
            </w:r>
          </w:p>
        </w:tc>
        <w:tc>
          <w:tcPr>
            <w:tcW w:w="381" w:type="pct"/>
            <w:shd w:val="clear" w:color="auto" w:fill="auto"/>
          </w:tcPr>
          <w:p w14:paraId="6E820F2C"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70</w:t>
            </w:r>
          </w:p>
        </w:tc>
        <w:tc>
          <w:tcPr>
            <w:tcW w:w="476" w:type="pct"/>
            <w:shd w:val="clear" w:color="auto" w:fill="auto"/>
          </w:tcPr>
          <w:p w14:paraId="0E8CF097"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80</w:t>
            </w:r>
          </w:p>
        </w:tc>
      </w:tr>
      <w:tr w:rsidR="003D3BC5" w:rsidRPr="000F0299" w14:paraId="0DF018E5" w14:textId="77777777" w:rsidTr="003D3BC5">
        <w:trPr>
          <w:trHeight w:val="142"/>
          <w:jc w:val="center"/>
        </w:trPr>
        <w:tc>
          <w:tcPr>
            <w:tcW w:w="1307" w:type="pct"/>
            <w:shd w:val="clear" w:color="auto" w:fill="auto"/>
          </w:tcPr>
          <w:p w14:paraId="40FFEE60"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3693" w:type="pct"/>
            <w:gridSpan w:val="14"/>
            <w:shd w:val="clear" w:color="auto" w:fill="auto"/>
            <w:vAlign w:val="center"/>
          </w:tcPr>
          <w:p w14:paraId="3568BB8E" w14:textId="76C9DAC2" w:rsidR="003D3BC5" w:rsidRPr="000F0299" w:rsidRDefault="003D3BC5" w:rsidP="00003BDE">
            <w:pPr>
              <w:suppressAutoHyphens w:val="0"/>
              <w:autoSpaceDN/>
              <w:spacing w:before="0"/>
              <w:ind w:firstLine="0"/>
              <w:textAlignment w:val="auto"/>
              <w:rPr>
                <w:rFonts w:eastAsiaTheme="minorHAnsi"/>
                <w:i/>
                <w:kern w:val="0"/>
                <w:sz w:val="20"/>
                <w:szCs w:val="20"/>
                <w:lang w:eastAsia="en-US" w:bidi="ar-SA"/>
              </w:rPr>
            </w:pPr>
            <w:r w:rsidRPr="000F0299">
              <w:rPr>
                <w:rFonts w:eastAsiaTheme="minorHAnsi"/>
                <w:iCs/>
                <w:kern w:val="0"/>
                <w:sz w:val="20"/>
                <w:szCs w:val="20"/>
                <w:lang w:eastAsia="en-US" w:bidi="ar-SA"/>
              </w:rPr>
              <w:t xml:space="preserve">Одступање до 10% биће </w:t>
            </w:r>
            <w:r w:rsidR="00864D50" w:rsidRPr="000F0299">
              <w:rPr>
                <w:rFonts w:eastAsiaTheme="minorHAnsi"/>
                <w:iCs/>
                <w:kern w:val="0"/>
                <w:sz w:val="20"/>
                <w:szCs w:val="20"/>
                <w:lang w:eastAsia="en-US" w:bidi="ar-SA"/>
              </w:rPr>
              <w:t>вредновано</w:t>
            </w:r>
            <w:r w:rsidRPr="000F0299">
              <w:rPr>
                <w:rFonts w:eastAsiaTheme="minorHAnsi"/>
                <w:iCs/>
                <w:kern w:val="0"/>
                <w:sz w:val="20"/>
                <w:szCs w:val="20"/>
                <w:lang w:eastAsia="en-US" w:bidi="ar-SA"/>
              </w:rPr>
              <w:t xml:space="preserve"> као успех.</w:t>
            </w:r>
          </w:p>
        </w:tc>
      </w:tr>
    </w:tbl>
    <w:p w14:paraId="12D9A91B" w14:textId="3171981A" w:rsidR="003D3BC5" w:rsidRPr="000F0299" w:rsidRDefault="003D3BC5" w:rsidP="00BE55B6">
      <w:pPr>
        <w:ind w:firstLine="0"/>
        <w:rPr>
          <w:b/>
          <w:bCs/>
          <w:color w:val="2F5496" w:themeColor="accent1" w:themeShade="BF"/>
        </w:rPr>
      </w:pPr>
      <w:r w:rsidRPr="000F0299">
        <w:rPr>
          <w:b/>
          <w:bCs/>
          <w:color w:val="2F5496" w:themeColor="accent1" w:themeShade="BF"/>
        </w:rPr>
        <w:t>Показатељ 5</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663"/>
        <w:gridCol w:w="269"/>
        <w:gridCol w:w="396"/>
        <w:gridCol w:w="667"/>
        <w:gridCol w:w="625"/>
        <w:gridCol w:w="42"/>
        <w:gridCol w:w="668"/>
        <w:gridCol w:w="667"/>
        <w:gridCol w:w="667"/>
        <w:gridCol w:w="154"/>
        <w:gridCol w:w="510"/>
        <w:gridCol w:w="667"/>
        <w:gridCol w:w="854"/>
      </w:tblGrid>
      <w:tr w:rsidR="003D3BC5" w:rsidRPr="000F0299" w14:paraId="5CE4BE57" w14:textId="77777777" w:rsidTr="00487FD1">
        <w:trPr>
          <w:trHeight w:val="440"/>
          <w:jc w:val="center"/>
        </w:trPr>
        <w:tc>
          <w:tcPr>
            <w:tcW w:w="123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391CA4" w14:textId="77777777" w:rsidR="003D3BC5" w:rsidRPr="000F0299" w:rsidRDefault="003D3BC5" w:rsidP="00003BDE">
            <w:pPr>
              <w:suppressAutoHyphens w:val="0"/>
              <w:autoSpaceDN/>
              <w:spacing w:before="0"/>
              <w:ind w:firstLine="0"/>
              <w:jc w:val="left"/>
              <w:textAlignment w:val="auto"/>
              <w:rPr>
                <w:rFonts w:eastAsia="Times New Roman"/>
                <w:b/>
                <w:bCs/>
                <w:kern w:val="0"/>
                <w:sz w:val="20"/>
                <w:szCs w:val="20"/>
                <w:lang w:eastAsia="en-US" w:bidi="ar-SA"/>
              </w:rPr>
            </w:pPr>
            <w:r w:rsidRPr="000F0299">
              <w:rPr>
                <w:rFonts w:eastAsia="Times New Roman"/>
                <w:b/>
                <w:bCs/>
                <w:kern w:val="0"/>
                <w:sz w:val="20"/>
                <w:szCs w:val="20"/>
                <w:lang w:eastAsia="en-US" w:bidi="ar-SA"/>
              </w:rPr>
              <w:t>Назив показатеља</w:t>
            </w:r>
          </w:p>
        </w:tc>
        <w:tc>
          <w:tcPr>
            <w:tcW w:w="3770" w:type="pct"/>
            <w:gridSpan w:val="1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10CA363" w14:textId="28615AC5" w:rsidR="003D3BC5" w:rsidRPr="000F0299" w:rsidRDefault="003D3BC5" w:rsidP="00003BDE">
            <w:pPr>
              <w:suppressAutoHyphens w:val="0"/>
              <w:autoSpaceDN/>
              <w:spacing w:before="0"/>
              <w:ind w:firstLine="0"/>
              <w:textAlignment w:val="auto"/>
              <w:rPr>
                <w:rFonts w:eastAsia="Times New Roman"/>
                <w:b/>
                <w:bCs/>
                <w:kern w:val="0"/>
                <w:sz w:val="20"/>
                <w:szCs w:val="20"/>
                <w:lang w:eastAsia="de-DE" w:bidi="ar-SA"/>
              </w:rPr>
            </w:pPr>
            <w:r w:rsidRPr="000F0299">
              <w:rPr>
                <w:rFonts w:eastAsia="Times New Roman"/>
                <w:b/>
                <w:bCs/>
                <w:kern w:val="0"/>
                <w:sz w:val="20"/>
                <w:szCs w:val="20"/>
                <w:lang w:eastAsia="de-DE" w:bidi="ar-SA"/>
              </w:rPr>
              <w:t xml:space="preserve">Број службеника државне управе и локалне самоуправе запослених на пословима пружања услуга који су успешно окончали обуку у области унапређења квалитета пружања </w:t>
            </w:r>
            <w:r w:rsidR="00864D50" w:rsidRPr="000F0299">
              <w:rPr>
                <w:rFonts w:eastAsia="Times New Roman"/>
                <w:b/>
                <w:bCs/>
                <w:kern w:val="0"/>
                <w:sz w:val="20"/>
                <w:szCs w:val="20"/>
                <w:lang w:eastAsia="de-DE" w:bidi="ar-SA"/>
              </w:rPr>
              <w:t>услуга</w:t>
            </w:r>
          </w:p>
        </w:tc>
      </w:tr>
      <w:tr w:rsidR="003D3BC5" w:rsidRPr="000F0299" w14:paraId="6B7F4C57" w14:textId="77777777" w:rsidTr="00487FD1">
        <w:trPr>
          <w:trHeight w:val="142"/>
          <w:jc w:val="center"/>
        </w:trPr>
        <w:tc>
          <w:tcPr>
            <w:tcW w:w="1230" w:type="pct"/>
            <w:tcBorders>
              <w:top w:val="single" w:sz="4" w:space="0" w:color="auto"/>
              <w:left w:val="single" w:sz="4" w:space="0" w:color="auto"/>
              <w:bottom w:val="single" w:sz="4" w:space="0" w:color="auto"/>
              <w:right w:val="single" w:sz="4" w:space="0" w:color="auto"/>
            </w:tcBorders>
            <w:shd w:val="clear" w:color="auto" w:fill="auto"/>
          </w:tcPr>
          <w:p w14:paraId="4E670458" w14:textId="77777777" w:rsidR="003D3BC5" w:rsidRPr="000F0299" w:rsidRDefault="003D3BC5" w:rsidP="00003BDE">
            <w:pPr>
              <w:suppressAutoHyphens w:val="0"/>
              <w:autoSpaceDN/>
              <w:spacing w:before="0"/>
              <w:ind w:firstLine="0"/>
              <w:jc w:val="left"/>
              <w:textAlignment w:val="auto"/>
              <w:rPr>
                <w:rFonts w:eastAsia="Times New Roman"/>
                <w:b/>
                <w:bCs/>
                <w:kern w:val="0"/>
                <w:sz w:val="20"/>
                <w:szCs w:val="20"/>
                <w:lang w:eastAsia="en-US" w:bidi="ar-SA"/>
              </w:rPr>
            </w:pPr>
            <w:r w:rsidRPr="000F0299">
              <w:rPr>
                <w:rFonts w:eastAsia="Times New Roman"/>
                <w:b/>
                <w:bCs/>
                <w:kern w:val="0"/>
                <w:sz w:val="20"/>
                <w:szCs w:val="20"/>
                <w:lang w:eastAsia="en-US" w:bidi="ar-SA"/>
              </w:rPr>
              <w:t>Одговарајући општи, посебни циљ или мера</w:t>
            </w:r>
          </w:p>
        </w:tc>
        <w:tc>
          <w:tcPr>
            <w:tcW w:w="377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11E891F" w14:textId="77777777" w:rsidR="003D3BC5" w:rsidRPr="000F0299" w:rsidRDefault="003D3BC5" w:rsidP="00003BDE">
            <w:pPr>
              <w:suppressAutoHyphens w:val="0"/>
              <w:autoSpaceDN/>
              <w:spacing w:before="0"/>
              <w:ind w:firstLine="0"/>
              <w:textAlignment w:val="auto"/>
              <w:rPr>
                <w:rFonts w:eastAsia="Times New Roman"/>
                <w:iCs/>
                <w:kern w:val="0"/>
                <w:sz w:val="20"/>
                <w:szCs w:val="20"/>
                <w:lang w:eastAsia="en-US" w:bidi="ar-SA"/>
              </w:rPr>
            </w:pPr>
            <w:r w:rsidRPr="000F0299">
              <w:rPr>
                <w:rFonts w:eastAsia="Times New Roman"/>
                <w:b/>
                <w:bCs/>
                <w:iCs/>
                <w:kern w:val="0"/>
                <w:sz w:val="20"/>
                <w:szCs w:val="20"/>
                <w:lang w:eastAsia="en-US" w:bidi="ar-SA"/>
              </w:rPr>
              <w:t>Мера 3.1.2:</w:t>
            </w:r>
            <w:r w:rsidRPr="000F0299">
              <w:rPr>
                <w:rFonts w:eastAsia="Times New Roman"/>
                <w:iCs/>
                <w:kern w:val="0"/>
                <w:sz w:val="20"/>
                <w:szCs w:val="20"/>
                <w:lang w:eastAsia="en-US" w:bidi="ar-SA"/>
              </w:rPr>
              <w:t xml:space="preserve"> Повећање људских и техничко-технолошких капацитета јавне управе за пружање услуга крајњим корисницима</w:t>
            </w:r>
          </w:p>
        </w:tc>
      </w:tr>
      <w:tr w:rsidR="00003BDE" w:rsidRPr="000F0299" w14:paraId="70FDE883" w14:textId="77777777" w:rsidTr="00487FD1">
        <w:trPr>
          <w:trHeight w:val="309"/>
          <w:jc w:val="center"/>
        </w:trPr>
        <w:tc>
          <w:tcPr>
            <w:tcW w:w="1230" w:type="pct"/>
            <w:shd w:val="clear" w:color="auto" w:fill="auto"/>
          </w:tcPr>
          <w:p w14:paraId="0DA09CE5" w14:textId="77777777" w:rsidR="00003BDE" w:rsidRPr="000F0299" w:rsidRDefault="00003BDE" w:rsidP="00003BDE">
            <w:pPr>
              <w:suppressAutoHyphens w:val="0"/>
              <w:autoSpaceDN/>
              <w:spacing w:before="0"/>
              <w:ind w:firstLine="0"/>
              <w:jc w:val="left"/>
              <w:textAlignment w:val="auto"/>
              <w:rPr>
                <w:rFonts w:eastAsia="Times New Roman"/>
                <w:b/>
                <w:bCs/>
                <w:kern w:val="0"/>
                <w:sz w:val="20"/>
                <w:szCs w:val="20"/>
                <w:lang w:eastAsia="en-US" w:bidi="ar-SA"/>
              </w:rPr>
            </w:pPr>
            <w:r w:rsidRPr="000F0299">
              <w:rPr>
                <w:rFonts w:eastAsia="Times New Roman"/>
                <w:b/>
                <w:kern w:val="24"/>
                <w:sz w:val="20"/>
                <w:szCs w:val="20"/>
                <w:lang w:eastAsia="en-US" w:bidi="ar-SA"/>
              </w:rPr>
              <w:t>Тип и ниво показатеља</w:t>
            </w:r>
          </w:p>
        </w:tc>
        <w:tc>
          <w:tcPr>
            <w:tcW w:w="1833" w:type="pct"/>
            <w:gridSpan w:val="7"/>
            <w:shd w:val="clear" w:color="auto" w:fill="auto"/>
          </w:tcPr>
          <w:p w14:paraId="492A1F63" w14:textId="77777777" w:rsidR="00003BDE" w:rsidRPr="000F0299" w:rsidRDefault="00003BDE" w:rsidP="00003BDE">
            <w:pPr>
              <w:tabs>
                <w:tab w:val="left" w:pos="152"/>
              </w:tabs>
              <w:suppressAutoHyphens w:val="0"/>
              <w:autoSpaceDN/>
              <w:spacing w:before="0"/>
              <w:ind w:firstLine="0"/>
              <w:jc w:val="left"/>
              <w:textAlignment w:val="auto"/>
              <w:rPr>
                <w:rFonts w:eastAsia="Times New Roman"/>
                <w:bCs/>
                <w:kern w:val="24"/>
                <w:sz w:val="20"/>
                <w:szCs w:val="20"/>
                <w:lang w:eastAsia="en-US" w:bidi="ar-SA"/>
              </w:rPr>
            </w:pPr>
            <w:r w:rsidRPr="000F0299">
              <w:rPr>
                <w:rFonts w:eastAsia="Times New Roman"/>
                <w:bCs/>
                <w:kern w:val="24"/>
                <w:sz w:val="20"/>
                <w:szCs w:val="20"/>
                <w:lang w:eastAsia="en-US" w:bidi="ar-SA"/>
              </w:rPr>
              <w:t xml:space="preserve">Квантитативан показатељ </w:t>
            </w:r>
          </w:p>
        </w:tc>
        <w:tc>
          <w:tcPr>
            <w:tcW w:w="1936" w:type="pct"/>
            <w:gridSpan w:val="6"/>
            <w:shd w:val="clear" w:color="auto" w:fill="auto"/>
          </w:tcPr>
          <w:p w14:paraId="2116566A" w14:textId="4369B3F9" w:rsidR="00003BDE" w:rsidRPr="000F0299" w:rsidRDefault="00003BDE" w:rsidP="00003BDE">
            <w:pPr>
              <w:tabs>
                <w:tab w:val="left" w:pos="152"/>
              </w:tabs>
              <w:suppressAutoHyphens w:val="0"/>
              <w:autoSpaceDN/>
              <w:spacing w:before="0"/>
              <w:ind w:firstLine="0"/>
              <w:jc w:val="left"/>
              <w:textAlignment w:val="auto"/>
              <w:rPr>
                <w:rFonts w:eastAsia="Times New Roman"/>
                <w:bCs/>
                <w:kern w:val="24"/>
                <w:sz w:val="20"/>
                <w:szCs w:val="20"/>
                <w:lang w:eastAsia="en-US" w:bidi="ar-SA"/>
              </w:rPr>
            </w:pPr>
            <w:r w:rsidRPr="000F0299">
              <w:rPr>
                <w:rFonts w:eastAsia="Times New Roman"/>
                <w:kern w:val="0"/>
                <w:sz w:val="20"/>
                <w:szCs w:val="20"/>
                <w:lang w:eastAsia="en-US" w:bidi="ar-SA"/>
              </w:rPr>
              <w:t>Показатељ резултата</w:t>
            </w:r>
          </w:p>
        </w:tc>
      </w:tr>
      <w:tr w:rsidR="00003BDE" w:rsidRPr="000F0299" w14:paraId="357F468A" w14:textId="77777777" w:rsidTr="00487FD1">
        <w:trPr>
          <w:trHeight w:val="356"/>
          <w:jc w:val="center"/>
        </w:trPr>
        <w:tc>
          <w:tcPr>
            <w:tcW w:w="1230" w:type="pct"/>
            <w:shd w:val="clear" w:color="auto" w:fill="auto"/>
          </w:tcPr>
          <w:p w14:paraId="57CDD8C8" w14:textId="77777777" w:rsidR="00003BDE" w:rsidRPr="000F0299" w:rsidRDefault="00003BDE" w:rsidP="00003BDE">
            <w:pPr>
              <w:suppressAutoHyphens w:val="0"/>
              <w:autoSpaceDN/>
              <w:spacing w:before="0"/>
              <w:ind w:firstLine="0"/>
              <w:jc w:val="left"/>
              <w:textAlignment w:val="auto"/>
              <w:rPr>
                <w:rFonts w:eastAsia="Times New Roman"/>
                <w:b/>
                <w:kern w:val="24"/>
                <w:sz w:val="20"/>
                <w:szCs w:val="20"/>
                <w:lang w:eastAsia="en-US" w:bidi="ar-SA"/>
              </w:rPr>
            </w:pPr>
            <w:r w:rsidRPr="000F0299">
              <w:rPr>
                <w:rFonts w:eastAsia="Times New Roman"/>
                <w:b/>
                <w:kern w:val="24"/>
                <w:sz w:val="20"/>
                <w:szCs w:val="20"/>
                <w:lang w:eastAsia="en-US" w:bidi="ar-SA"/>
              </w:rPr>
              <w:t>Јединица мере и природа</w:t>
            </w:r>
          </w:p>
        </w:tc>
        <w:tc>
          <w:tcPr>
            <w:tcW w:w="1833" w:type="pct"/>
            <w:gridSpan w:val="7"/>
            <w:shd w:val="clear" w:color="auto" w:fill="auto"/>
            <w:vAlign w:val="center"/>
          </w:tcPr>
          <w:p w14:paraId="63B4D428" w14:textId="77777777" w:rsidR="00003BDE" w:rsidRPr="000F0299" w:rsidRDefault="00003BDE" w:rsidP="00003BDE">
            <w:pPr>
              <w:tabs>
                <w:tab w:val="left" w:pos="152"/>
              </w:tabs>
              <w:suppressAutoHyphens w:val="0"/>
              <w:autoSpaceDN/>
              <w:spacing w:before="0"/>
              <w:ind w:firstLine="0"/>
              <w:jc w:val="left"/>
              <w:textAlignment w:val="auto"/>
              <w:rPr>
                <w:rFonts w:eastAsia="Times New Roman"/>
                <w:bCs/>
                <w:kern w:val="24"/>
                <w:sz w:val="20"/>
                <w:szCs w:val="20"/>
                <w:lang w:eastAsia="en-US" w:bidi="ar-SA"/>
              </w:rPr>
            </w:pPr>
            <w:r w:rsidRPr="000F0299">
              <w:rPr>
                <w:rFonts w:eastAsia="Times New Roman"/>
                <w:kern w:val="0"/>
                <w:sz w:val="20"/>
                <w:szCs w:val="20"/>
                <w:lang w:eastAsia="en-US" w:bidi="ar-SA"/>
              </w:rPr>
              <w:t>Апсолутни износ, кумулатив</w:t>
            </w:r>
          </w:p>
        </w:tc>
        <w:tc>
          <w:tcPr>
            <w:tcW w:w="1936" w:type="pct"/>
            <w:gridSpan w:val="6"/>
            <w:shd w:val="clear" w:color="auto" w:fill="auto"/>
            <w:vAlign w:val="center"/>
          </w:tcPr>
          <w:p w14:paraId="69211714" w14:textId="285BC582" w:rsidR="00003BDE" w:rsidRPr="000F0299" w:rsidRDefault="00003BDE" w:rsidP="00003BDE">
            <w:pPr>
              <w:tabs>
                <w:tab w:val="left" w:pos="152"/>
              </w:tabs>
              <w:suppressAutoHyphens w:val="0"/>
              <w:autoSpaceDN/>
              <w:spacing w:before="0"/>
              <w:ind w:firstLine="0"/>
              <w:jc w:val="left"/>
              <w:textAlignment w:val="auto"/>
              <w:rPr>
                <w:rFonts w:eastAsia="Times New Roman"/>
                <w:bCs/>
                <w:kern w:val="24"/>
                <w:sz w:val="20"/>
                <w:szCs w:val="20"/>
                <w:lang w:eastAsia="en-US" w:bidi="ar-SA"/>
              </w:rPr>
            </w:pPr>
            <w:r w:rsidRPr="000F0299">
              <w:rPr>
                <w:rFonts w:eastAsia="Times New Roman"/>
                <w:kern w:val="0"/>
                <w:sz w:val="20"/>
                <w:szCs w:val="20"/>
                <w:lang w:eastAsia="en-US" w:bidi="ar-SA"/>
              </w:rPr>
              <w:t>Пожељна је виша вредност</w:t>
            </w:r>
          </w:p>
        </w:tc>
      </w:tr>
      <w:tr w:rsidR="003D3BC5" w:rsidRPr="000F0299" w14:paraId="72968A62" w14:textId="77777777" w:rsidTr="00487FD1">
        <w:trPr>
          <w:trHeight w:val="260"/>
          <w:jc w:val="center"/>
        </w:trPr>
        <w:tc>
          <w:tcPr>
            <w:tcW w:w="1230" w:type="pct"/>
            <w:shd w:val="clear" w:color="auto" w:fill="auto"/>
          </w:tcPr>
          <w:p w14:paraId="6EC1E1AA" w14:textId="77777777" w:rsidR="003D3BC5" w:rsidRPr="000F0299" w:rsidRDefault="003D3BC5" w:rsidP="00003BDE">
            <w:pPr>
              <w:suppressAutoHyphens w:val="0"/>
              <w:autoSpaceDN/>
              <w:spacing w:before="0"/>
              <w:ind w:firstLine="0"/>
              <w:jc w:val="left"/>
              <w:textAlignment w:val="auto"/>
              <w:rPr>
                <w:rFonts w:eastAsia="Times New Roman"/>
                <w:b/>
                <w:bCs/>
                <w:kern w:val="0"/>
                <w:sz w:val="20"/>
                <w:szCs w:val="20"/>
                <w:lang w:eastAsia="en-US" w:bidi="ar-SA"/>
              </w:rPr>
            </w:pPr>
            <w:r w:rsidRPr="000F0299">
              <w:rPr>
                <w:rFonts w:eastAsia="Times New Roman"/>
                <w:b/>
                <w:bCs/>
                <w:kern w:val="0"/>
                <w:sz w:val="20"/>
                <w:szCs w:val="20"/>
                <w:lang w:eastAsia="en-US" w:bidi="ar-SA"/>
              </w:rPr>
              <w:t>Извор података за праћење показатеља учинка</w:t>
            </w:r>
          </w:p>
        </w:tc>
        <w:tc>
          <w:tcPr>
            <w:tcW w:w="3770" w:type="pct"/>
            <w:gridSpan w:val="13"/>
            <w:shd w:val="clear" w:color="auto" w:fill="auto"/>
            <w:vAlign w:val="center"/>
          </w:tcPr>
          <w:p w14:paraId="1EFB262E" w14:textId="77777777" w:rsidR="003D3BC5" w:rsidRPr="000F0299" w:rsidRDefault="003D3BC5" w:rsidP="00003BDE">
            <w:pPr>
              <w:suppressAutoHyphens w:val="0"/>
              <w:autoSpaceDN/>
              <w:spacing w:before="0"/>
              <w:ind w:firstLine="0"/>
              <w:jc w:val="left"/>
              <w:textAlignment w:val="auto"/>
              <w:rPr>
                <w:rFonts w:eastAsia="Times New Roman"/>
                <w:kern w:val="0"/>
                <w:sz w:val="20"/>
                <w:szCs w:val="20"/>
                <w:lang w:eastAsia="en-US" w:bidi="ar-SA"/>
              </w:rPr>
            </w:pPr>
            <w:r w:rsidRPr="000F0299">
              <w:rPr>
                <w:rFonts w:eastAsia="Times New Roman"/>
                <w:kern w:val="0"/>
                <w:sz w:val="20"/>
                <w:szCs w:val="20"/>
                <w:lang w:eastAsia="en-US" w:bidi="ar-SA"/>
              </w:rPr>
              <w:t>Информатор о раду Националне академије за јавну управу,</w:t>
            </w:r>
          </w:p>
          <w:p w14:paraId="23F46A16" w14:textId="4C9E3318" w:rsidR="003D3BC5" w:rsidRPr="000F0299" w:rsidRDefault="00F47F65" w:rsidP="00003BDE">
            <w:pPr>
              <w:suppressAutoHyphens w:val="0"/>
              <w:autoSpaceDN/>
              <w:spacing w:before="0"/>
              <w:ind w:firstLine="0"/>
              <w:jc w:val="left"/>
              <w:textAlignment w:val="auto"/>
              <w:rPr>
                <w:rFonts w:eastAsia="Times New Roman"/>
                <w:kern w:val="0"/>
                <w:sz w:val="20"/>
                <w:szCs w:val="20"/>
                <w:lang w:eastAsia="en-US" w:bidi="ar-SA"/>
              </w:rPr>
            </w:pPr>
            <w:hyperlink r:id="rId204" w:history="1">
              <w:r w:rsidR="00AE6044" w:rsidRPr="00D92D2C">
                <w:rPr>
                  <w:rStyle w:val="Hyperlink"/>
                  <w:rFonts w:eastAsia="Times New Roman"/>
                  <w:kern w:val="0"/>
                  <w:sz w:val="20"/>
                  <w:szCs w:val="20"/>
                  <w:lang w:eastAsia="en-US" w:bidi="ar-SA"/>
                </w:rPr>
                <w:t>https://www.napa.gov.rs/tekst/75/informator-o-radu.php</w:t>
              </w:r>
            </w:hyperlink>
            <w:r w:rsidR="003D3BC5" w:rsidRPr="000F0299">
              <w:rPr>
                <w:rFonts w:eastAsia="Times New Roman"/>
                <w:kern w:val="0"/>
                <w:sz w:val="20"/>
                <w:szCs w:val="20"/>
                <w:lang w:eastAsia="en-US" w:bidi="ar-SA"/>
              </w:rPr>
              <w:t xml:space="preserve"> </w:t>
            </w:r>
          </w:p>
        </w:tc>
      </w:tr>
      <w:tr w:rsidR="003D3BC5" w:rsidRPr="000F0299" w14:paraId="06A7AAF3" w14:textId="77777777" w:rsidTr="00487FD1">
        <w:trPr>
          <w:trHeight w:val="512"/>
          <w:jc w:val="center"/>
        </w:trPr>
        <w:tc>
          <w:tcPr>
            <w:tcW w:w="1230" w:type="pct"/>
            <w:shd w:val="clear" w:color="auto" w:fill="auto"/>
          </w:tcPr>
          <w:p w14:paraId="1447BAE1" w14:textId="77777777" w:rsidR="003D3BC5" w:rsidRPr="000F0299" w:rsidRDefault="003D3BC5" w:rsidP="00003BDE">
            <w:pPr>
              <w:suppressAutoHyphens w:val="0"/>
              <w:autoSpaceDN/>
              <w:spacing w:before="0"/>
              <w:ind w:firstLine="0"/>
              <w:jc w:val="left"/>
              <w:textAlignment w:val="auto"/>
              <w:rPr>
                <w:rFonts w:eastAsia="Times New Roman"/>
                <w:b/>
                <w:bCs/>
                <w:kern w:val="0"/>
                <w:sz w:val="20"/>
                <w:szCs w:val="20"/>
                <w:lang w:eastAsia="en-US" w:bidi="ar-SA"/>
              </w:rPr>
            </w:pPr>
            <w:r w:rsidRPr="000F0299">
              <w:rPr>
                <w:rFonts w:eastAsia="Times New Roman"/>
                <w:b/>
                <w:bCs/>
                <w:kern w:val="0"/>
                <w:sz w:val="20"/>
                <w:szCs w:val="20"/>
                <w:lang w:eastAsia="en-US" w:bidi="ar-SA"/>
              </w:rPr>
              <w:t>Назив носиоца прикупљања података</w:t>
            </w:r>
          </w:p>
        </w:tc>
        <w:tc>
          <w:tcPr>
            <w:tcW w:w="3770" w:type="pct"/>
            <w:gridSpan w:val="13"/>
            <w:shd w:val="clear" w:color="auto" w:fill="auto"/>
            <w:vAlign w:val="center"/>
          </w:tcPr>
          <w:p w14:paraId="1ED90529" w14:textId="77777777" w:rsidR="003D3BC5" w:rsidRPr="000F0299" w:rsidRDefault="003D3BC5" w:rsidP="00003BDE">
            <w:pPr>
              <w:suppressAutoHyphens w:val="0"/>
              <w:autoSpaceDN/>
              <w:spacing w:before="0"/>
              <w:ind w:firstLine="0"/>
              <w:jc w:val="left"/>
              <w:textAlignment w:val="auto"/>
              <w:rPr>
                <w:rFonts w:eastAsia="Times New Roman"/>
                <w:kern w:val="0"/>
                <w:sz w:val="20"/>
                <w:szCs w:val="20"/>
                <w:lang w:eastAsia="en-US" w:bidi="ar-SA"/>
              </w:rPr>
            </w:pPr>
            <w:r w:rsidRPr="000F0299">
              <w:rPr>
                <w:rFonts w:eastAsia="Times New Roman"/>
                <w:kern w:val="0"/>
                <w:sz w:val="20"/>
                <w:szCs w:val="20"/>
                <w:lang w:eastAsia="en-US" w:bidi="ar-SA"/>
              </w:rPr>
              <w:t>Национална академија за јавну управу</w:t>
            </w:r>
          </w:p>
        </w:tc>
      </w:tr>
      <w:tr w:rsidR="003D3BC5" w:rsidRPr="000F0299" w14:paraId="52EC7901" w14:textId="77777777" w:rsidTr="00487FD1">
        <w:trPr>
          <w:trHeight w:val="512"/>
          <w:jc w:val="center"/>
        </w:trPr>
        <w:tc>
          <w:tcPr>
            <w:tcW w:w="1230" w:type="pct"/>
            <w:shd w:val="clear" w:color="auto" w:fill="auto"/>
          </w:tcPr>
          <w:p w14:paraId="6955D077" w14:textId="77777777" w:rsidR="003D3BC5" w:rsidRPr="000F0299" w:rsidRDefault="003D3BC5" w:rsidP="00003BDE">
            <w:pPr>
              <w:suppressAutoHyphens w:val="0"/>
              <w:autoSpaceDN/>
              <w:spacing w:before="0"/>
              <w:ind w:firstLine="0"/>
              <w:jc w:val="left"/>
              <w:textAlignment w:val="auto"/>
              <w:rPr>
                <w:rFonts w:eastAsia="Times New Roman"/>
                <w:b/>
                <w:bCs/>
                <w:kern w:val="0"/>
                <w:sz w:val="20"/>
                <w:szCs w:val="20"/>
                <w:lang w:eastAsia="en-US" w:bidi="ar-SA"/>
              </w:rPr>
            </w:pPr>
            <w:r w:rsidRPr="000F0299">
              <w:rPr>
                <w:rFonts w:eastAsia="Times New Roman"/>
                <w:b/>
                <w:bCs/>
                <w:kern w:val="0"/>
                <w:sz w:val="20"/>
                <w:szCs w:val="20"/>
                <w:lang w:eastAsia="en-US" w:bidi="ar-SA"/>
              </w:rPr>
              <w:t>Учесталост прикупљања података</w:t>
            </w:r>
          </w:p>
        </w:tc>
        <w:tc>
          <w:tcPr>
            <w:tcW w:w="3770" w:type="pct"/>
            <w:gridSpan w:val="13"/>
            <w:shd w:val="clear" w:color="auto" w:fill="auto"/>
            <w:vAlign w:val="center"/>
          </w:tcPr>
          <w:p w14:paraId="1C2B5B2C" w14:textId="77777777" w:rsidR="003D3BC5" w:rsidRPr="000F0299" w:rsidRDefault="003D3BC5" w:rsidP="00003BDE">
            <w:pPr>
              <w:tabs>
                <w:tab w:val="right" w:pos="2140"/>
              </w:tabs>
              <w:suppressAutoHyphens w:val="0"/>
              <w:autoSpaceDN/>
              <w:spacing w:before="0"/>
              <w:ind w:firstLine="0"/>
              <w:jc w:val="left"/>
              <w:textAlignment w:val="auto"/>
              <w:rPr>
                <w:rFonts w:eastAsia="Times New Roman"/>
                <w:bCs/>
                <w:kern w:val="0"/>
                <w:sz w:val="20"/>
                <w:szCs w:val="20"/>
                <w:lang w:eastAsia="en-US" w:bidi="ar-SA"/>
              </w:rPr>
            </w:pPr>
            <w:r w:rsidRPr="000F0299">
              <w:rPr>
                <w:rFonts w:eastAsia="Times New Roman"/>
                <w:bCs/>
                <w:kern w:val="0"/>
                <w:sz w:val="20"/>
                <w:szCs w:val="20"/>
                <w:lang w:eastAsia="en-US" w:bidi="ar-SA"/>
              </w:rPr>
              <w:t>Подаци се прикупљају континуирано током године.</w:t>
            </w:r>
          </w:p>
          <w:p w14:paraId="465556B7" w14:textId="77777777" w:rsidR="003D3BC5" w:rsidRPr="000F0299" w:rsidRDefault="003D3BC5" w:rsidP="00003BDE">
            <w:pPr>
              <w:tabs>
                <w:tab w:val="right" w:pos="2140"/>
              </w:tabs>
              <w:suppressAutoHyphens w:val="0"/>
              <w:autoSpaceDN/>
              <w:spacing w:before="0"/>
              <w:ind w:firstLine="0"/>
              <w:jc w:val="left"/>
              <w:textAlignment w:val="auto"/>
              <w:rPr>
                <w:rFonts w:eastAsia="Times New Roman"/>
                <w:bCs/>
                <w:kern w:val="0"/>
                <w:sz w:val="20"/>
                <w:szCs w:val="20"/>
                <w:lang w:eastAsia="en-US" w:bidi="ar-SA"/>
              </w:rPr>
            </w:pPr>
            <w:r w:rsidRPr="000F0299">
              <w:rPr>
                <w:rFonts w:eastAsia="Times New Roman"/>
                <w:bCs/>
                <w:kern w:val="0"/>
                <w:sz w:val="20"/>
                <w:szCs w:val="20"/>
                <w:lang w:eastAsia="en-US" w:bidi="ar-SA"/>
              </w:rPr>
              <w:t>Пресек стања се врши сваког јуна за претходну годину.</w:t>
            </w:r>
          </w:p>
        </w:tc>
      </w:tr>
      <w:tr w:rsidR="003D3BC5" w:rsidRPr="000F0299" w14:paraId="31BE9296" w14:textId="77777777" w:rsidTr="00487FD1">
        <w:trPr>
          <w:trHeight w:val="782"/>
          <w:jc w:val="center"/>
        </w:trPr>
        <w:tc>
          <w:tcPr>
            <w:tcW w:w="1230" w:type="pct"/>
            <w:shd w:val="clear" w:color="auto" w:fill="auto"/>
          </w:tcPr>
          <w:p w14:paraId="54EB02FD" w14:textId="77777777" w:rsidR="003D3BC5" w:rsidRPr="000F0299" w:rsidRDefault="003D3BC5" w:rsidP="00003BDE">
            <w:pPr>
              <w:suppressAutoHyphens w:val="0"/>
              <w:autoSpaceDN/>
              <w:spacing w:before="0"/>
              <w:ind w:firstLine="0"/>
              <w:jc w:val="left"/>
              <w:textAlignment w:val="auto"/>
              <w:rPr>
                <w:rFonts w:eastAsia="Times New Roman"/>
                <w:b/>
                <w:bCs/>
                <w:kern w:val="0"/>
                <w:sz w:val="20"/>
                <w:szCs w:val="20"/>
                <w:lang w:eastAsia="en-US" w:bidi="ar-SA"/>
              </w:rPr>
            </w:pPr>
            <w:r w:rsidRPr="000F0299">
              <w:rPr>
                <w:rFonts w:eastAsia="Times New Roman"/>
                <w:b/>
                <w:kern w:val="0"/>
                <w:sz w:val="20"/>
                <w:szCs w:val="20"/>
                <w:lang w:eastAsia="en-US" w:bidi="ar-SA"/>
              </w:rPr>
              <w:t>Кратак опис показатеља и методологије израчунавања</w:t>
            </w:r>
          </w:p>
        </w:tc>
        <w:tc>
          <w:tcPr>
            <w:tcW w:w="3770" w:type="pct"/>
            <w:gridSpan w:val="13"/>
            <w:shd w:val="clear" w:color="auto" w:fill="auto"/>
            <w:vAlign w:val="center"/>
          </w:tcPr>
          <w:p w14:paraId="56DE85C4" w14:textId="77777777" w:rsidR="003D3BC5" w:rsidRPr="000F0299" w:rsidRDefault="003D3BC5" w:rsidP="00003BDE">
            <w:pPr>
              <w:tabs>
                <w:tab w:val="right" w:pos="2140"/>
              </w:tabs>
              <w:suppressAutoHyphens w:val="0"/>
              <w:autoSpaceDN/>
              <w:spacing w:before="0"/>
              <w:ind w:firstLine="0"/>
              <w:jc w:val="left"/>
              <w:textAlignment w:val="auto"/>
              <w:rPr>
                <w:rFonts w:eastAsia="Times New Roman"/>
                <w:bCs/>
                <w:kern w:val="0"/>
                <w:sz w:val="20"/>
                <w:szCs w:val="20"/>
                <w:lang w:eastAsia="en-US" w:bidi="ar-SA"/>
              </w:rPr>
            </w:pPr>
            <w:r w:rsidRPr="000F0299">
              <w:rPr>
                <w:rFonts w:eastAsia="Times New Roman"/>
                <w:bCs/>
                <w:kern w:val="0"/>
                <w:sz w:val="20"/>
                <w:szCs w:val="20"/>
                <w:lang w:eastAsia="en-US" w:bidi="ar-SA"/>
              </w:rPr>
              <w:t xml:space="preserve">Обрачун: Број запослених на пословима пружања услуга који имају директан физички или писмени контакт са странкама или су запослени на административним пословима који су у непосредној функцији пружања услуга, а који су прошли Стратегијом предвиђене обуке. За сваку годину је предвиђена обука за 5000 службеника државне управе и локалне самоуправе. На скали су дате кумулативне вредности од 2021 до закључно 2030. године. Рачунају се само полазници који су успешно окончали обуку у датој календарској години. </w:t>
            </w:r>
          </w:p>
        </w:tc>
      </w:tr>
      <w:tr w:rsidR="003D3BC5" w:rsidRPr="000F0299" w14:paraId="28F0369E" w14:textId="77777777" w:rsidTr="00487FD1">
        <w:trPr>
          <w:trHeight w:val="235"/>
          <w:jc w:val="center"/>
        </w:trPr>
        <w:tc>
          <w:tcPr>
            <w:tcW w:w="1230" w:type="pct"/>
            <w:vMerge w:val="restart"/>
            <w:shd w:val="clear" w:color="auto" w:fill="auto"/>
          </w:tcPr>
          <w:p w14:paraId="770A4AEC" w14:textId="77777777" w:rsidR="003D3BC5" w:rsidRPr="000F0299" w:rsidRDefault="003D3BC5" w:rsidP="00003BDE">
            <w:pPr>
              <w:suppressAutoHyphens w:val="0"/>
              <w:autoSpaceDN/>
              <w:spacing w:before="0"/>
              <w:ind w:firstLine="0"/>
              <w:jc w:val="left"/>
              <w:textAlignment w:val="auto"/>
              <w:rPr>
                <w:rFonts w:eastAsia="Times New Roman"/>
                <w:b/>
                <w:bCs/>
                <w:kern w:val="0"/>
                <w:sz w:val="20"/>
                <w:szCs w:val="20"/>
                <w:lang w:eastAsia="en-US" w:bidi="ar-SA"/>
              </w:rPr>
            </w:pPr>
            <w:r w:rsidRPr="000F0299">
              <w:rPr>
                <w:rFonts w:eastAsia="Times New Roman"/>
                <w:b/>
                <w:bCs/>
                <w:kern w:val="0"/>
                <w:sz w:val="20"/>
                <w:szCs w:val="20"/>
                <w:lang w:eastAsia="en-US" w:bidi="ar-SA"/>
              </w:rPr>
              <w:t>Подаци о полазној вредности и години кад је измерена, као и тренду у прошлости</w:t>
            </w:r>
          </w:p>
        </w:tc>
        <w:tc>
          <w:tcPr>
            <w:tcW w:w="2652" w:type="pct"/>
            <w:gridSpan w:val="10"/>
            <w:tcBorders>
              <w:bottom w:val="single" w:sz="4" w:space="0" w:color="auto"/>
            </w:tcBorders>
            <w:shd w:val="clear" w:color="auto" w:fill="auto"/>
            <w:vAlign w:val="center"/>
          </w:tcPr>
          <w:p w14:paraId="60E9360B"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Тренд у прошлости</w:t>
            </w:r>
          </w:p>
        </w:tc>
        <w:tc>
          <w:tcPr>
            <w:tcW w:w="1118" w:type="pct"/>
            <w:gridSpan w:val="3"/>
            <w:shd w:val="clear" w:color="auto" w:fill="auto"/>
            <w:vAlign w:val="center"/>
          </w:tcPr>
          <w:p w14:paraId="6DCB3D01"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Полазна вредност</w:t>
            </w:r>
          </w:p>
        </w:tc>
      </w:tr>
      <w:tr w:rsidR="003D3BC5" w:rsidRPr="000F0299" w14:paraId="45142FDC" w14:textId="77777777" w:rsidTr="00487FD1">
        <w:trPr>
          <w:trHeight w:val="121"/>
          <w:jc w:val="center"/>
        </w:trPr>
        <w:tc>
          <w:tcPr>
            <w:tcW w:w="1230" w:type="pct"/>
            <w:vMerge/>
            <w:tcBorders>
              <w:right w:val="single" w:sz="4" w:space="0" w:color="auto"/>
            </w:tcBorders>
            <w:shd w:val="clear" w:color="auto" w:fill="auto"/>
          </w:tcPr>
          <w:p w14:paraId="226C0A91" w14:textId="77777777" w:rsidR="003D3BC5" w:rsidRPr="000F0299" w:rsidRDefault="003D3BC5" w:rsidP="00003BDE">
            <w:pPr>
              <w:suppressAutoHyphens w:val="0"/>
              <w:autoSpaceDN/>
              <w:spacing w:before="0"/>
              <w:ind w:firstLine="0"/>
              <w:jc w:val="left"/>
              <w:textAlignment w:val="auto"/>
              <w:rPr>
                <w:rFonts w:eastAsia="Times New Roman"/>
                <w:b/>
                <w:bCs/>
                <w:kern w:val="0"/>
                <w:sz w:val="20"/>
                <w:szCs w:val="20"/>
                <w:lang w:eastAsia="en-US" w:bidi="ar-SA"/>
              </w:rPr>
            </w:pP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E14E0"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2016</w:t>
            </w:r>
          </w:p>
        </w:tc>
        <w:tc>
          <w:tcPr>
            <w:tcW w:w="92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D391B1"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2017</w:t>
            </w:r>
          </w:p>
        </w:tc>
        <w:tc>
          <w:tcPr>
            <w:tcW w:w="120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89159B"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2018</w:t>
            </w:r>
          </w:p>
        </w:tc>
        <w:tc>
          <w:tcPr>
            <w:tcW w:w="1118" w:type="pct"/>
            <w:gridSpan w:val="3"/>
            <w:tcBorders>
              <w:left w:val="single" w:sz="4" w:space="0" w:color="auto"/>
            </w:tcBorders>
            <w:shd w:val="clear" w:color="auto" w:fill="auto"/>
            <w:vAlign w:val="center"/>
          </w:tcPr>
          <w:p w14:paraId="040EC124"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2019</w:t>
            </w:r>
          </w:p>
        </w:tc>
      </w:tr>
      <w:tr w:rsidR="003D3BC5" w:rsidRPr="000F0299" w14:paraId="7D7DCDA3" w14:textId="77777777" w:rsidTr="00487FD1">
        <w:trPr>
          <w:trHeight w:val="287"/>
          <w:jc w:val="center"/>
        </w:trPr>
        <w:tc>
          <w:tcPr>
            <w:tcW w:w="1230" w:type="pct"/>
            <w:vMerge/>
            <w:shd w:val="clear" w:color="auto" w:fill="auto"/>
          </w:tcPr>
          <w:p w14:paraId="327CE416" w14:textId="77777777" w:rsidR="003D3BC5" w:rsidRPr="000F0299" w:rsidRDefault="003D3BC5" w:rsidP="00003BDE">
            <w:pPr>
              <w:suppressAutoHyphens w:val="0"/>
              <w:autoSpaceDN/>
              <w:spacing w:before="0"/>
              <w:ind w:firstLine="0"/>
              <w:jc w:val="left"/>
              <w:textAlignment w:val="auto"/>
              <w:rPr>
                <w:rFonts w:eastAsia="Times New Roman"/>
                <w:b/>
                <w:bCs/>
                <w:kern w:val="0"/>
                <w:sz w:val="20"/>
                <w:szCs w:val="20"/>
                <w:lang w:eastAsia="en-US" w:bidi="ar-SA"/>
              </w:rPr>
            </w:pPr>
          </w:p>
        </w:tc>
        <w:tc>
          <w:tcPr>
            <w:tcW w:w="513" w:type="pct"/>
            <w:gridSpan w:val="2"/>
            <w:tcBorders>
              <w:top w:val="single" w:sz="4" w:space="0" w:color="auto"/>
            </w:tcBorders>
            <w:shd w:val="clear" w:color="auto" w:fill="auto"/>
            <w:vAlign w:val="center"/>
          </w:tcPr>
          <w:p w14:paraId="7C46FFAC"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p>
        </w:tc>
        <w:tc>
          <w:tcPr>
            <w:tcW w:w="929" w:type="pct"/>
            <w:gridSpan w:val="3"/>
            <w:tcBorders>
              <w:top w:val="single" w:sz="4" w:space="0" w:color="auto"/>
            </w:tcBorders>
            <w:shd w:val="clear" w:color="auto" w:fill="auto"/>
            <w:vAlign w:val="center"/>
          </w:tcPr>
          <w:p w14:paraId="4ACB67F7"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p>
        </w:tc>
        <w:tc>
          <w:tcPr>
            <w:tcW w:w="1209" w:type="pct"/>
            <w:gridSpan w:val="5"/>
            <w:tcBorders>
              <w:top w:val="single" w:sz="4" w:space="0" w:color="auto"/>
            </w:tcBorders>
            <w:shd w:val="clear" w:color="auto" w:fill="auto"/>
            <w:vAlign w:val="center"/>
          </w:tcPr>
          <w:p w14:paraId="78603995"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p>
        </w:tc>
        <w:tc>
          <w:tcPr>
            <w:tcW w:w="1118" w:type="pct"/>
            <w:gridSpan w:val="3"/>
            <w:shd w:val="clear" w:color="auto" w:fill="auto"/>
            <w:vAlign w:val="center"/>
          </w:tcPr>
          <w:p w14:paraId="1E8DF494"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5.687</w:t>
            </w:r>
          </w:p>
          <w:p w14:paraId="46EC9786"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(Проценат ће бити накнадно утврђен)</w:t>
            </w:r>
          </w:p>
        </w:tc>
      </w:tr>
      <w:tr w:rsidR="003D3BC5" w:rsidRPr="000F0299" w14:paraId="12D1D52B" w14:textId="77777777" w:rsidTr="00487FD1">
        <w:trPr>
          <w:trHeight w:val="243"/>
          <w:jc w:val="center"/>
        </w:trPr>
        <w:tc>
          <w:tcPr>
            <w:tcW w:w="1230" w:type="pct"/>
            <w:vMerge w:val="restart"/>
            <w:shd w:val="clear" w:color="auto" w:fill="auto"/>
          </w:tcPr>
          <w:p w14:paraId="5E46DDE0" w14:textId="77777777" w:rsidR="003D3BC5" w:rsidRPr="000F0299" w:rsidRDefault="003D3BC5" w:rsidP="00003BDE">
            <w:pPr>
              <w:suppressAutoHyphens w:val="0"/>
              <w:autoSpaceDN/>
              <w:spacing w:before="0"/>
              <w:ind w:firstLine="0"/>
              <w:jc w:val="left"/>
              <w:textAlignment w:val="auto"/>
              <w:rPr>
                <w:rFonts w:eastAsia="Times New Roman"/>
                <w:b/>
                <w:bCs/>
                <w:kern w:val="0"/>
                <w:sz w:val="20"/>
                <w:szCs w:val="20"/>
                <w:lang w:eastAsia="en-US" w:bidi="ar-SA"/>
              </w:rPr>
            </w:pPr>
            <w:r w:rsidRPr="000F0299">
              <w:rPr>
                <w:rFonts w:eastAsia="Times New Roman"/>
                <w:b/>
                <w:bCs/>
                <w:kern w:val="0"/>
                <w:sz w:val="20"/>
                <w:szCs w:val="20"/>
                <w:lang w:eastAsia="en-US" w:bidi="ar-SA"/>
              </w:rPr>
              <w:t>Подаци о циљним вредностима</w:t>
            </w:r>
          </w:p>
        </w:tc>
        <w:tc>
          <w:tcPr>
            <w:tcW w:w="365" w:type="pct"/>
            <w:shd w:val="clear" w:color="auto" w:fill="auto"/>
            <w:vAlign w:val="center"/>
          </w:tcPr>
          <w:p w14:paraId="5FBAB75C"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2021</w:t>
            </w:r>
          </w:p>
        </w:tc>
        <w:tc>
          <w:tcPr>
            <w:tcW w:w="366" w:type="pct"/>
            <w:gridSpan w:val="2"/>
            <w:shd w:val="clear" w:color="auto" w:fill="auto"/>
            <w:vAlign w:val="center"/>
          </w:tcPr>
          <w:p w14:paraId="19192E39"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2022</w:t>
            </w:r>
          </w:p>
        </w:tc>
        <w:tc>
          <w:tcPr>
            <w:tcW w:w="367" w:type="pct"/>
            <w:shd w:val="clear" w:color="auto" w:fill="auto"/>
            <w:vAlign w:val="center"/>
          </w:tcPr>
          <w:p w14:paraId="760F0676"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2023</w:t>
            </w:r>
          </w:p>
        </w:tc>
        <w:tc>
          <w:tcPr>
            <w:tcW w:w="367" w:type="pct"/>
            <w:gridSpan w:val="2"/>
            <w:shd w:val="clear" w:color="auto" w:fill="auto"/>
            <w:vAlign w:val="center"/>
          </w:tcPr>
          <w:p w14:paraId="3977E131"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2024</w:t>
            </w:r>
          </w:p>
        </w:tc>
        <w:tc>
          <w:tcPr>
            <w:tcW w:w="367" w:type="pct"/>
            <w:shd w:val="clear" w:color="auto" w:fill="auto"/>
            <w:vAlign w:val="center"/>
          </w:tcPr>
          <w:p w14:paraId="4706E63F"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2025</w:t>
            </w:r>
          </w:p>
        </w:tc>
        <w:tc>
          <w:tcPr>
            <w:tcW w:w="367" w:type="pct"/>
            <w:shd w:val="clear" w:color="auto" w:fill="auto"/>
            <w:vAlign w:val="center"/>
          </w:tcPr>
          <w:p w14:paraId="6EBBE9BB"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2026</w:t>
            </w:r>
          </w:p>
        </w:tc>
        <w:tc>
          <w:tcPr>
            <w:tcW w:w="367" w:type="pct"/>
            <w:shd w:val="clear" w:color="auto" w:fill="auto"/>
            <w:vAlign w:val="center"/>
          </w:tcPr>
          <w:p w14:paraId="3A02ABE3"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2027</w:t>
            </w:r>
          </w:p>
        </w:tc>
        <w:tc>
          <w:tcPr>
            <w:tcW w:w="366" w:type="pct"/>
            <w:gridSpan w:val="2"/>
            <w:shd w:val="clear" w:color="auto" w:fill="auto"/>
            <w:vAlign w:val="center"/>
          </w:tcPr>
          <w:p w14:paraId="1388EE2C"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2028</w:t>
            </w:r>
          </w:p>
        </w:tc>
        <w:tc>
          <w:tcPr>
            <w:tcW w:w="367" w:type="pct"/>
            <w:shd w:val="clear" w:color="auto" w:fill="auto"/>
            <w:vAlign w:val="center"/>
          </w:tcPr>
          <w:p w14:paraId="0725C523"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2029</w:t>
            </w:r>
          </w:p>
        </w:tc>
        <w:tc>
          <w:tcPr>
            <w:tcW w:w="468" w:type="pct"/>
            <w:shd w:val="clear" w:color="auto" w:fill="auto"/>
            <w:vAlign w:val="center"/>
          </w:tcPr>
          <w:p w14:paraId="4F087734"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2030</w:t>
            </w:r>
          </w:p>
        </w:tc>
      </w:tr>
      <w:tr w:rsidR="003D3BC5" w:rsidRPr="000F0299" w14:paraId="71FF6DE2" w14:textId="77777777" w:rsidTr="00487FD1">
        <w:trPr>
          <w:trHeight w:val="142"/>
          <w:jc w:val="center"/>
        </w:trPr>
        <w:tc>
          <w:tcPr>
            <w:tcW w:w="1230" w:type="pct"/>
            <w:vMerge/>
            <w:shd w:val="clear" w:color="auto" w:fill="auto"/>
          </w:tcPr>
          <w:p w14:paraId="16EB8CD8" w14:textId="77777777" w:rsidR="003D3BC5" w:rsidRPr="000F0299" w:rsidRDefault="003D3BC5" w:rsidP="00003BDE">
            <w:pPr>
              <w:suppressAutoHyphens w:val="0"/>
              <w:autoSpaceDN/>
              <w:spacing w:before="0"/>
              <w:ind w:firstLine="0"/>
              <w:jc w:val="left"/>
              <w:textAlignment w:val="auto"/>
              <w:rPr>
                <w:rFonts w:eastAsia="Times New Roman"/>
                <w:b/>
                <w:bCs/>
                <w:kern w:val="0"/>
                <w:sz w:val="20"/>
                <w:szCs w:val="20"/>
                <w:lang w:eastAsia="en-US" w:bidi="ar-SA"/>
              </w:rPr>
            </w:pPr>
          </w:p>
        </w:tc>
        <w:tc>
          <w:tcPr>
            <w:tcW w:w="365" w:type="pct"/>
            <w:shd w:val="clear" w:color="auto" w:fill="auto"/>
          </w:tcPr>
          <w:p w14:paraId="6586F31D"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10%</w:t>
            </w:r>
          </w:p>
        </w:tc>
        <w:tc>
          <w:tcPr>
            <w:tcW w:w="366" w:type="pct"/>
            <w:gridSpan w:val="2"/>
            <w:shd w:val="clear" w:color="auto" w:fill="auto"/>
          </w:tcPr>
          <w:p w14:paraId="052985AB"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25%</w:t>
            </w:r>
          </w:p>
        </w:tc>
        <w:tc>
          <w:tcPr>
            <w:tcW w:w="367" w:type="pct"/>
            <w:shd w:val="clear" w:color="auto" w:fill="auto"/>
          </w:tcPr>
          <w:p w14:paraId="24F99457"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40%</w:t>
            </w:r>
          </w:p>
        </w:tc>
        <w:tc>
          <w:tcPr>
            <w:tcW w:w="367" w:type="pct"/>
            <w:gridSpan w:val="2"/>
            <w:shd w:val="clear" w:color="auto" w:fill="auto"/>
          </w:tcPr>
          <w:p w14:paraId="15BC8F52"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55%</w:t>
            </w:r>
          </w:p>
        </w:tc>
        <w:tc>
          <w:tcPr>
            <w:tcW w:w="367" w:type="pct"/>
            <w:shd w:val="clear" w:color="auto" w:fill="auto"/>
          </w:tcPr>
          <w:p w14:paraId="7DD2FBBA"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70%</w:t>
            </w:r>
          </w:p>
        </w:tc>
        <w:tc>
          <w:tcPr>
            <w:tcW w:w="367" w:type="pct"/>
            <w:shd w:val="clear" w:color="auto" w:fill="auto"/>
          </w:tcPr>
          <w:p w14:paraId="220FFE97"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85%</w:t>
            </w:r>
          </w:p>
        </w:tc>
        <w:tc>
          <w:tcPr>
            <w:tcW w:w="367" w:type="pct"/>
            <w:shd w:val="clear" w:color="auto" w:fill="auto"/>
          </w:tcPr>
          <w:p w14:paraId="5AA6AF9C"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100%</w:t>
            </w:r>
          </w:p>
        </w:tc>
        <w:tc>
          <w:tcPr>
            <w:tcW w:w="366" w:type="pct"/>
            <w:gridSpan w:val="2"/>
            <w:shd w:val="clear" w:color="auto" w:fill="auto"/>
          </w:tcPr>
          <w:p w14:paraId="47ABDBD2"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100%</w:t>
            </w:r>
          </w:p>
        </w:tc>
        <w:tc>
          <w:tcPr>
            <w:tcW w:w="367" w:type="pct"/>
            <w:shd w:val="clear" w:color="auto" w:fill="auto"/>
          </w:tcPr>
          <w:p w14:paraId="271CF390"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100%</w:t>
            </w:r>
          </w:p>
        </w:tc>
        <w:tc>
          <w:tcPr>
            <w:tcW w:w="468" w:type="pct"/>
            <w:shd w:val="clear" w:color="auto" w:fill="auto"/>
          </w:tcPr>
          <w:p w14:paraId="1CB8A0D9" w14:textId="77777777" w:rsidR="003D3BC5" w:rsidRPr="000F0299" w:rsidRDefault="003D3BC5" w:rsidP="00003BDE">
            <w:pPr>
              <w:suppressAutoHyphens w:val="0"/>
              <w:autoSpaceDN/>
              <w:spacing w:before="0"/>
              <w:ind w:firstLine="0"/>
              <w:jc w:val="center"/>
              <w:textAlignment w:val="auto"/>
              <w:rPr>
                <w:rFonts w:eastAsia="Times New Roman"/>
                <w:iCs/>
                <w:kern w:val="0"/>
                <w:sz w:val="20"/>
                <w:szCs w:val="20"/>
                <w:lang w:eastAsia="en-US" w:bidi="ar-SA"/>
              </w:rPr>
            </w:pPr>
            <w:r w:rsidRPr="000F0299">
              <w:rPr>
                <w:rFonts w:eastAsia="Times New Roman"/>
                <w:iCs/>
                <w:kern w:val="0"/>
                <w:sz w:val="20"/>
                <w:szCs w:val="20"/>
                <w:lang w:eastAsia="en-US" w:bidi="ar-SA"/>
              </w:rPr>
              <w:t>100%</w:t>
            </w:r>
          </w:p>
        </w:tc>
      </w:tr>
      <w:tr w:rsidR="003D3BC5" w:rsidRPr="000F0299" w14:paraId="4024A75B" w14:textId="77777777" w:rsidTr="00487FD1">
        <w:trPr>
          <w:trHeight w:val="142"/>
          <w:jc w:val="center"/>
        </w:trPr>
        <w:tc>
          <w:tcPr>
            <w:tcW w:w="1230" w:type="pct"/>
            <w:shd w:val="clear" w:color="auto" w:fill="auto"/>
          </w:tcPr>
          <w:p w14:paraId="6F277B1F" w14:textId="77777777" w:rsidR="003D3BC5" w:rsidRPr="000F0299" w:rsidRDefault="003D3BC5" w:rsidP="00003BDE">
            <w:pPr>
              <w:suppressAutoHyphens w:val="0"/>
              <w:autoSpaceDN/>
              <w:spacing w:before="0"/>
              <w:ind w:firstLine="0"/>
              <w:jc w:val="left"/>
              <w:textAlignment w:val="auto"/>
              <w:rPr>
                <w:rFonts w:eastAsia="Times New Roman"/>
                <w:b/>
                <w:bCs/>
                <w:kern w:val="0"/>
                <w:sz w:val="20"/>
                <w:szCs w:val="20"/>
                <w:lang w:eastAsia="en-US" w:bidi="ar-SA"/>
              </w:rPr>
            </w:pPr>
            <w:r w:rsidRPr="000F0299">
              <w:rPr>
                <w:rFonts w:eastAsia="Times New Roman"/>
                <w:b/>
                <w:bCs/>
                <w:kern w:val="0"/>
                <w:sz w:val="20"/>
                <w:szCs w:val="20"/>
                <w:lang w:eastAsia="en-US" w:bidi="ar-SA"/>
              </w:rPr>
              <w:t>Процена успешности</w:t>
            </w:r>
          </w:p>
        </w:tc>
        <w:tc>
          <w:tcPr>
            <w:tcW w:w="3770" w:type="pct"/>
            <w:gridSpan w:val="13"/>
            <w:shd w:val="clear" w:color="auto" w:fill="auto"/>
            <w:vAlign w:val="center"/>
          </w:tcPr>
          <w:p w14:paraId="58AB5690" w14:textId="48548216" w:rsidR="003D3BC5" w:rsidRPr="000F0299" w:rsidRDefault="003D3BC5" w:rsidP="00003BDE">
            <w:pPr>
              <w:suppressAutoHyphens w:val="0"/>
              <w:autoSpaceDN/>
              <w:spacing w:before="0"/>
              <w:ind w:firstLine="0"/>
              <w:textAlignment w:val="auto"/>
              <w:rPr>
                <w:rFonts w:eastAsia="Times New Roman"/>
                <w:i/>
                <w:kern w:val="0"/>
                <w:sz w:val="20"/>
                <w:szCs w:val="20"/>
                <w:lang w:eastAsia="en-US" w:bidi="ar-SA"/>
              </w:rPr>
            </w:pPr>
            <w:r w:rsidRPr="000F0299">
              <w:rPr>
                <w:rFonts w:eastAsia="Times New Roman"/>
                <w:iCs/>
                <w:kern w:val="0"/>
                <w:sz w:val="20"/>
                <w:szCs w:val="20"/>
                <w:lang w:eastAsia="en-US" w:bidi="ar-SA"/>
              </w:rPr>
              <w:t xml:space="preserve">Одступање до 10% </w:t>
            </w:r>
            <w:r w:rsidR="00864D50" w:rsidRPr="000F0299">
              <w:rPr>
                <w:rFonts w:eastAsia="Times New Roman"/>
                <w:iCs/>
                <w:kern w:val="0"/>
                <w:sz w:val="20"/>
                <w:szCs w:val="20"/>
                <w:lang w:eastAsia="en-US" w:bidi="ar-SA"/>
              </w:rPr>
              <w:t>од</w:t>
            </w:r>
            <w:r w:rsidRPr="000F0299">
              <w:rPr>
                <w:rFonts w:eastAsia="Times New Roman"/>
                <w:iCs/>
                <w:kern w:val="0"/>
                <w:sz w:val="20"/>
                <w:szCs w:val="20"/>
                <w:lang w:eastAsia="en-US" w:bidi="ar-SA"/>
              </w:rPr>
              <w:t xml:space="preserve"> годишњег плана броја обучених службеника биће </w:t>
            </w:r>
            <w:r w:rsidR="00864D50" w:rsidRPr="000F0299">
              <w:rPr>
                <w:rFonts w:eastAsia="Times New Roman"/>
                <w:iCs/>
                <w:kern w:val="0"/>
                <w:sz w:val="20"/>
                <w:szCs w:val="20"/>
                <w:lang w:eastAsia="en-US" w:bidi="ar-SA"/>
              </w:rPr>
              <w:t>вредновано</w:t>
            </w:r>
            <w:r w:rsidRPr="000F0299">
              <w:rPr>
                <w:rFonts w:eastAsia="Times New Roman"/>
                <w:iCs/>
                <w:kern w:val="0"/>
                <w:sz w:val="20"/>
                <w:szCs w:val="20"/>
                <w:lang w:eastAsia="en-US" w:bidi="ar-SA"/>
              </w:rPr>
              <w:t xml:space="preserve"> као успех.</w:t>
            </w:r>
          </w:p>
        </w:tc>
      </w:tr>
    </w:tbl>
    <w:p w14:paraId="6837097E" w14:textId="6D1EB71C" w:rsidR="003D3BC5" w:rsidRPr="000F0299" w:rsidRDefault="003D3BC5" w:rsidP="00BE55B6">
      <w:pPr>
        <w:ind w:firstLine="0"/>
        <w:rPr>
          <w:b/>
          <w:bCs/>
          <w:color w:val="2F5496" w:themeColor="accent1" w:themeShade="BF"/>
        </w:rPr>
      </w:pPr>
      <w:r w:rsidRPr="000F0299">
        <w:rPr>
          <w:b/>
          <w:bCs/>
          <w:color w:val="2F5496" w:themeColor="accent1" w:themeShade="BF"/>
        </w:rPr>
        <w:t>Показатељ 6</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8"/>
        <w:gridCol w:w="679"/>
        <w:gridCol w:w="616"/>
        <w:gridCol w:w="64"/>
        <w:gridCol w:w="679"/>
        <w:gridCol w:w="679"/>
        <w:gridCol w:w="216"/>
        <w:gridCol w:w="378"/>
        <w:gridCol w:w="85"/>
        <w:gridCol w:w="679"/>
        <w:gridCol w:w="518"/>
        <w:gridCol w:w="162"/>
        <w:gridCol w:w="679"/>
        <w:gridCol w:w="679"/>
        <w:gridCol w:w="681"/>
      </w:tblGrid>
      <w:tr w:rsidR="003D3BC5" w:rsidRPr="000F0299" w14:paraId="7DAD3F18" w14:textId="77777777" w:rsidTr="00487FD1">
        <w:trPr>
          <w:trHeight w:val="58"/>
          <w:jc w:val="center"/>
        </w:trPr>
        <w:tc>
          <w:tcPr>
            <w:tcW w:w="1259" w:type="pct"/>
            <w:shd w:val="clear" w:color="auto" w:fill="DEEAF6" w:themeFill="accent5" w:themeFillTint="33"/>
            <w:vAlign w:val="center"/>
          </w:tcPr>
          <w:p w14:paraId="22740363"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3741" w:type="pct"/>
            <w:gridSpan w:val="14"/>
            <w:shd w:val="clear" w:color="auto" w:fill="DEEAF6" w:themeFill="accent5" w:themeFillTint="33"/>
            <w:vAlign w:val="center"/>
          </w:tcPr>
          <w:p w14:paraId="57B2B3EC" w14:textId="04CA7E4D" w:rsidR="003D3BC5" w:rsidRPr="000F0299" w:rsidRDefault="00864D50" w:rsidP="00003BDE">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ЕУ</w:t>
            </w:r>
            <w:r w:rsidR="003D3BC5" w:rsidRPr="000F0299">
              <w:rPr>
                <w:rFonts w:eastAsiaTheme="minorHAnsi"/>
                <w:b/>
                <w:bCs/>
                <w:kern w:val="0"/>
                <w:sz w:val="20"/>
                <w:szCs w:val="20"/>
                <w:lang w:eastAsia="en-US" w:bidi="ar-SA"/>
              </w:rPr>
              <w:t xml:space="preserve"> </w:t>
            </w:r>
            <w:r w:rsidR="003D3BC5" w:rsidRPr="000F0299">
              <w:rPr>
                <w:rFonts w:eastAsiaTheme="minorHAnsi"/>
                <w:b/>
                <w:bCs/>
                <w:iCs/>
                <w:kern w:val="0"/>
                <w:sz w:val="20"/>
                <w:szCs w:val="20"/>
                <w:lang w:eastAsia="en-US" w:bidi="ar-SA"/>
              </w:rPr>
              <w:t>бенчмарк електронске управе – постојање кључних предуслова</w:t>
            </w:r>
          </w:p>
        </w:tc>
      </w:tr>
      <w:tr w:rsidR="003D3BC5" w:rsidRPr="000F0299" w14:paraId="31B45DD6" w14:textId="77777777" w:rsidTr="00487FD1">
        <w:trPr>
          <w:trHeight w:val="331"/>
          <w:jc w:val="center"/>
        </w:trPr>
        <w:tc>
          <w:tcPr>
            <w:tcW w:w="1259" w:type="pct"/>
            <w:shd w:val="clear" w:color="auto" w:fill="auto"/>
          </w:tcPr>
          <w:p w14:paraId="7A5A7E2A"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3741" w:type="pct"/>
            <w:gridSpan w:val="14"/>
            <w:shd w:val="clear" w:color="auto" w:fill="auto"/>
            <w:vAlign w:val="center"/>
          </w:tcPr>
          <w:p w14:paraId="7CA71A99" w14:textId="77777777" w:rsidR="003D3BC5" w:rsidRPr="000F0299" w:rsidRDefault="003D3BC5" w:rsidP="00003BDE">
            <w:pPr>
              <w:suppressAutoHyphens w:val="0"/>
              <w:autoSpaceDN/>
              <w:spacing w:before="0"/>
              <w:ind w:firstLine="0"/>
              <w:jc w:val="left"/>
              <w:textAlignment w:val="auto"/>
              <w:rPr>
                <w:rFonts w:eastAsiaTheme="minorHAnsi"/>
                <w:kern w:val="0"/>
                <w:sz w:val="20"/>
                <w:szCs w:val="20"/>
                <w:lang w:eastAsia="en-US" w:bidi="ar-SA"/>
              </w:rPr>
            </w:pPr>
            <w:r w:rsidRPr="000F0299">
              <w:rPr>
                <w:rFonts w:eastAsiaTheme="minorHAnsi"/>
                <w:b/>
                <w:bCs/>
                <w:iCs/>
                <w:kern w:val="0"/>
                <w:sz w:val="20"/>
                <w:szCs w:val="20"/>
                <w:lang w:eastAsia="en-US" w:bidi="ar-SA"/>
              </w:rPr>
              <w:t>Мера 3.1.2:</w:t>
            </w:r>
            <w:r w:rsidRPr="000F0299">
              <w:rPr>
                <w:rFonts w:eastAsiaTheme="minorHAnsi"/>
                <w:iCs/>
                <w:kern w:val="0"/>
                <w:sz w:val="20"/>
                <w:szCs w:val="20"/>
                <w:lang w:eastAsia="en-US" w:bidi="ar-SA"/>
              </w:rPr>
              <w:t xml:space="preserve"> Повећање људских и техничко-технолошких капацитета јавне управе за пружање услуга крајњим корисницима</w:t>
            </w:r>
          </w:p>
        </w:tc>
      </w:tr>
      <w:tr w:rsidR="00003BDE" w:rsidRPr="000F0299" w14:paraId="53B6D167" w14:textId="77777777" w:rsidTr="00487FD1">
        <w:trPr>
          <w:trHeight w:val="309"/>
          <w:jc w:val="center"/>
        </w:trPr>
        <w:tc>
          <w:tcPr>
            <w:tcW w:w="1259" w:type="pct"/>
            <w:shd w:val="clear" w:color="auto" w:fill="auto"/>
          </w:tcPr>
          <w:p w14:paraId="6F80B720" w14:textId="77777777" w:rsidR="00003BDE" w:rsidRPr="000F0299" w:rsidRDefault="00003BDE"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kern w:val="24"/>
                <w:sz w:val="20"/>
                <w:szCs w:val="20"/>
                <w:lang w:eastAsia="en-US" w:bidi="ar-SA"/>
              </w:rPr>
              <w:t>Тип и ниво показатеља</w:t>
            </w:r>
          </w:p>
        </w:tc>
        <w:tc>
          <w:tcPr>
            <w:tcW w:w="1823" w:type="pct"/>
            <w:gridSpan w:val="7"/>
            <w:shd w:val="clear" w:color="auto" w:fill="auto"/>
            <w:vAlign w:val="center"/>
          </w:tcPr>
          <w:p w14:paraId="3EFDC37A" w14:textId="77777777"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Квантитативан</w:t>
            </w:r>
          </w:p>
        </w:tc>
        <w:tc>
          <w:tcPr>
            <w:tcW w:w="1917" w:type="pct"/>
            <w:gridSpan w:val="7"/>
            <w:shd w:val="clear" w:color="auto" w:fill="auto"/>
            <w:vAlign w:val="center"/>
          </w:tcPr>
          <w:p w14:paraId="30B96725" w14:textId="5B2F41D7"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Показатељ резултата</w:t>
            </w:r>
          </w:p>
        </w:tc>
      </w:tr>
      <w:tr w:rsidR="00003BDE" w:rsidRPr="000F0299" w14:paraId="56CDF003" w14:textId="77777777" w:rsidTr="00487FD1">
        <w:trPr>
          <w:trHeight w:val="356"/>
          <w:jc w:val="center"/>
        </w:trPr>
        <w:tc>
          <w:tcPr>
            <w:tcW w:w="1259" w:type="pct"/>
            <w:shd w:val="clear" w:color="auto" w:fill="auto"/>
          </w:tcPr>
          <w:p w14:paraId="278C49E4" w14:textId="77777777" w:rsidR="00003BDE" w:rsidRPr="000F0299" w:rsidRDefault="00003BDE" w:rsidP="00003BDE">
            <w:pPr>
              <w:suppressAutoHyphens w:val="0"/>
              <w:autoSpaceDN/>
              <w:spacing w:before="0"/>
              <w:ind w:firstLine="0"/>
              <w:jc w:val="left"/>
              <w:textAlignment w:val="auto"/>
              <w:rPr>
                <w:rFonts w:eastAsiaTheme="minorHAnsi"/>
                <w:b/>
                <w:kern w:val="24"/>
                <w:sz w:val="20"/>
                <w:szCs w:val="20"/>
                <w:lang w:eastAsia="en-US" w:bidi="ar-SA"/>
              </w:rPr>
            </w:pPr>
            <w:r w:rsidRPr="000F0299">
              <w:rPr>
                <w:rFonts w:eastAsiaTheme="minorHAnsi"/>
                <w:b/>
                <w:kern w:val="24"/>
                <w:sz w:val="20"/>
                <w:szCs w:val="20"/>
                <w:lang w:eastAsia="en-US" w:bidi="ar-SA"/>
              </w:rPr>
              <w:t>Јединица мере и природа</w:t>
            </w:r>
          </w:p>
        </w:tc>
        <w:tc>
          <w:tcPr>
            <w:tcW w:w="1823" w:type="pct"/>
            <w:gridSpan w:val="7"/>
            <w:shd w:val="clear" w:color="auto" w:fill="auto"/>
            <w:vAlign w:val="center"/>
          </w:tcPr>
          <w:p w14:paraId="68AD6833" w14:textId="77777777"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Индекс, скала 0-100</w:t>
            </w:r>
          </w:p>
        </w:tc>
        <w:tc>
          <w:tcPr>
            <w:tcW w:w="1917" w:type="pct"/>
            <w:gridSpan w:val="7"/>
            <w:shd w:val="clear" w:color="auto" w:fill="auto"/>
            <w:vAlign w:val="center"/>
          </w:tcPr>
          <w:p w14:paraId="0848400D" w14:textId="52A03F68" w:rsidR="00003BDE" w:rsidRPr="000F0299" w:rsidRDefault="00003BDE" w:rsidP="00003BDE">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Пожељна је виша вредност</w:t>
            </w:r>
          </w:p>
        </w:tc>
      </w:tr>
      <w:tr w:rsidR="003D3BC5" w:rsidRPr="000F0299" w14:paraId="34209D29" w14:textId="77777777" w:rsidTr="00487FD1">
        <w:trPr>
          <w:trHeight w:val="260"/>
          <w:jc w:val="center"/>
        </w:trPr>
        <w:tc>
          <w:tcPr>
            <w:tcW w:w="1259" w:type="pct"/>
            <w:shd w:val="clear" w:color="auto" w:fill="auto"/>
          </w:tcPr>
          <w:p w14:paraId="357D9342"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3741" w:type="pct"/>
            <w:gridSpan w:val="14"/>
            <w:shd w:val="clear" w:color="auto" w:fill="auto"/>
            <w:vAlign w:val="center"/>
          </w:tcPr>
          <w:p w14:paraId="2D872198" w14:textId="77777777" w:rsidR="003D3BC5" w:rsidRPr="000F0299" w:rsidRDefault="003D3BC5" w:rsidP="00003BDE">
            <w:pPr>
              <w:suppressAutoHyphens w:val="0"/>
              <w:autoSpaceDN/>
              <w:spacing w:before="0"/>
              <w:ind w:firstLine="0"/>
              <w:jc w:val="left"/>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ЕУ Комисија, </w:t>
            </w:r>
            <w:hyperlink r:id="rId205" w:history="1">
              <w:r w:rsidRPr="000F0299">
                <w:rPr>
                  <w:rFonts w:eastAsiaTheme="minorHAnsi"/>
                  <w:color w:val="0563C1" w:themeColor="hyperlink"/>
                  <w:kern w:val="0"/>
                  <w:sz w:val="20"/>
                  <w:szCs w:val="20"/>
                  <w:u w:val="single"/>
                  <w:lang w:eastAsia="en-US" w:bidi="ar-SA"/>
                </w:rPr>
                <w:t>https://ec.europa.eu/digital-single-market/en/news/egovernment-benchmark-2019-trust-government-increasingly-important-people</w:t>
              </w:r>
            </w:hyperlink>
          </w:p>
        </w:tc>
      </w:tr>
      <w:tr w:rsidR="003D3BC5" w:rsidRPr="000F0299" w14:paraId="29154776" w14:textId="77777777" w:rsidTr="00487FD1">
        <w:trPr>
          <w:trHeight w:val="512"/>
          <w:jc w:val="center"/>
        </w:trPr>
        <w:tc>
          <w:tcPr>
            <w:tcW w:w="1259" w:type="pct"/>
            <w:shd w:val="clear" w:color="auto" w:fill="auto"/>
          </w:tcPr>
          <w:p w14:paraId="6239F8AC"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3741" w:type="pct"/>
            <w:gridSpan w:val="14"/>
            <w:shd w:val="clear" w:color="auto" w:fill="auto"/>
            <w:vAlign w:val="center"/>
          </w:tcPr>
          <w:p w14:paraId="6505C2F6" w14:textId="77777777" w:rsidR="003D3BC5" w:rsidRPr="000F0299" w:rsidRDefault="003D3BC5" w:rsidP="00003BDE">
            <w:pPr>
              <w:suppressAutoHyphens w:val="0"/>
              <w:autoSpaceDN/>
              <w:spacing w:before="0"/>
              <w:ind w:firstLine="0"/>
              <w:jc w:val="left"/>
              <w:textAlignment w:val="auto"/>
              <w:rPr>
                <w:rFonts w:eastAsiaTheme="minorHAnsi"/>
                <w:kern w:val="0"/>
                <w:sz w:val="20"/>
                <w:szCs w:val="20"/>
                <w:lang w:eastAsia="en-US" w:bidi="ar-SA"/>
              </w:rPr>
            </w:pPr>
            <w:r w:rsidRPr="000F0299">
              <w:rPr>
                <w:rFonts w:eastAsiaTheme="minorHAnsi"/>
                <w:kern w:val="0"/>
                <w:sz w:val="20"/>
                <w:szCs w:val="20"/>
                <w:lang w:eastAsia="en-US" w:bidi="ar-SA"/>
              </w:rPr>
              <w:t>ИТЕ канцеларија</w:t>
            </w:r>
          </w:p>
        </w:tc>
      </w:tr>
      <w:tr w:rsidR="003D3BC5" w:rsidRPr="000F0299" w14:paraId="1040A5DC" w14:textId="77777777" w:rsidTr="00487FD1">
        <w:trPr>
          <w:trHeight w:val="512"/>
          <w:jc w:val="center"/>
        </w:trPr>
        <w:tc>
          <w:tcPr>
            <w:tcW w:w="1259" w:type="pct"/>
            <w:shd w:val="clear" w:color="auto" w:fill="auto"/>
          </w:tcPr>
          <w:p w14:paraId="30634984"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3741" w:type="pct"/>
            <w:gridSpan w:val="14"/>
            <w:shd w:val="clear" w:color="auto" w:fill="auto"/>
            <w:vAlign w:val="center"/>
          </w:tcPr>
          <w:p w14:paraId="6C082A03" w14:textId="77777777" w:rsidR="003D3BC5" w:rsidRPr="000F0299" w:rsidRDefault="003D3BC5" w:rsidP="00003BDE">
            <w:pPr>
              <w:tabs>
                <w:tab w:val="right" w:pos="2140"/>
              </w:tabs>
              <w:suppressAutoHyphens w:val="0"/>
              <w:autoSpaceDN/>
              <w:spacing w:before="0"/>
              <w:ind w:firstLine="0"/>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Годишње (новембар)</w:t>
            </w:r>
          </w:p>
        </w:tc>
      </w:tr>
      <w:tr w:rsidR="003D3BC5" w:rsidRPr="000F0299" w14:paraId="72D8801D" w14:textId="77777777" w:rsidTr="00487FD1">
        <w:trPr>
          <w:trHeight w:val="782"/>
          <w:jc w:val="center"/>
        </w:trPr>
        <w:tc>
          <w:tcPr>
            <w:tcW w:w="1259" w:type="pct"/>
            <w:shd w:val="clear" w:color="auto" w:fill="auto"/>
          </w:tcPr>
          <w:p w14:paraId="1B27AAA3"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kern w:val="0"/>
                <w:sz w:val="20"/>
                <w:szCs w:val="20"/>
                <w:lang w:eastAsia="en-US" w:bidi="ar-SA"/>
              </w:rPr>
              <w:t>Кратак опис показатеља и методологије израчунавања</w:t>
            </w:r>
          </w:p>
        </w:tc>
        <w:tc>
          <w:tcPr>
            <w:tcW w:w="3741" w:type="pct"/>
            <w:gridSpan w:val="14"/>
            <w:shd w:val="clear" w:color="auto" w:fill="auto"/>
            <w:vAlign w:val="center"/>
          </w:tcPr>
          <w:p w14:paraId="5BC9EE27" w14:textId="77777777" w:rsidR="003D3BC5" w:rsidRPr="000F0299" w:rsidRDefault="003D3BC5" w:rsidP="00003BDE">
            <w:pPr>
              <w:tabs>
                <w:tab w:val="right" w:pos="2140"/>
              </w:tabs>
              <w:suppressAutoHyphens w:val="0"/>
              <w:autoSpaceDN/>
              <w:spacing w:before="0"/>
              <w:ind w:firstLine="0"/>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Показатељ мери доступност техничко-технолошких решења / предуслова (попут електронског потписа, аутентичних извора, итд.) за електронско обављање одабраних јавних услуга (попут покретања посла, регистрације аутомобила, промене пребивалишта). Детаљнија методологија:</w:t>
            </w:r>
          </w:p>
          <w:p w14:paraId="6CC23E2F" w14:textId="77777777" w:rsidR="003D3BC5" w:rsidRPr="000F0299" w:rsidRDefault="00F47F65" w:rsidP="00003BDE">
            <w:pPr>
              <w:tabs>
                <w:tab w:val="right" w:pos="2140"/>
              </w:tabs>
              <w:suppressAutoHyphens w:val="0"/>
              <w:autoSpaceDN/>
              <w:spacing w:before="0"/>
              <w:ind w:firstLine="0"/>
              <w:jc w:val="left"/>
              <w:textAlignment w:val="auto"/>
              <w:rPr>
                <w:rFonts w:eastAsiaTheme="minorHAnsi"/>
                <w:bCs/>
                <w:kern w:val="0"/>
                <w:sz w:val="20"/>
                <w:szCs w:val="20"/>
                <w:lang w:eastAsia="en-US" w:bidi="ar-SA"/>
              </w:rPr>
            </w:pPr>
            <w:hyperlink r:id="rId206" w:history="1">
              <w:r w:rsidR="003D3BC5" w:rsidRPr="000F0299">
                <w:rPr>
                  <w:rFonts w:eastAsiaTheme="minorHAnsi"/>
                  <w:color w:val="0563C1" w:themeColor="hyperlink"/>
                  <w:kern w:val="0"/>
                  <w:sz w:val="20"/>
                  <w:szCs w:val="20"/>
                  <w:u w:val="single"/>
                  <w:lang w:eastAsia="en-US" w:bidi="ar-SA"/>
                </w:rPr>
                <w:t>https://ec.europa.eu/newsroom/dae/document.cfm?doc_id=55174</w:t>
              </w:r>
            </w:hyperlink>
          </w:p>
        </w:tc>
      </w:tr>
      <w:tr w:rsidR="003D3BC5" w:rsidRPr="000F0299" w14:paraId="00F7BD55" w14:textId="77777777" w:rsidTr="00487FD1">
        <w:trPr>
          <w:trHeight w:val="235"/>
          <w:jc w:val="center"/>
        </w:trPr>
        <w:tc>
          <w:tcPr>
            <w:tcW w:w="1259" w:type="pct"/>
            <w:vMerge w:val="restart"/>
            <w:shd w:val="clear" w:color="auto" w:fill="auto"/>
          </w:tcPr>
          <w:p w14:paraId="76B7E03A"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2529" w:type="pct"/>
            <w:gridSpan w:val="10"/>
            <w:tcBorders>
              <w:bottom w:val="single" w:sz="4" w:space="0" w:color="auto"/>
            </w:tcBorders>
            <w:shd w:val="clear" w:color="auto" w:fill="auto"/>
            <w:vAlign w:val="center"/>
          </w:tcPr>
          <w:p w14:paraId="07220F7A"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Тренд у прошлости</w:t>
            </w:r>
          </w:p>
        </w:tc>
        <w:tc>
          <w:tcPr>
            <w:tcW w:w="1212" w:type="pct"/>
            <w:gridSpan w:val="4"/>
            <w:shd w:val="clear" w:color="auto" w:fill="auto"/>
            <w:vAlign w:val="center"/>
          </w:tcPr>
          <w:p w14:paraId="40B87F48" w14:textId="77777777" w:rsidR="003D3BC5" w:rsidRPr="000F0299" w:rsidRDefault="003D3BC5" w:rsidP="00003BDE">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Полазна вредност</w:t>
            </w:r>
          </w:p>
        </w:tc>
      </w:tr>
      <w:tr w:rsidR="003D3BC5" w:rsidRPr="000F0299" w14:paraId="1F56C240" w14:textId="77777777" w:rsidTr="00487FD1">
        <w:trPr>
          <w:trHeight w:val="121"/>
          <w:jc w:val="center"/>
        </w:trPr>
        <w:tc>
          <w:tcPr>
            <w:tcW w:w="1259" w:type="pct"/>
            <w:vMerge/>
            <w:tcBorders>
              <w:right w:val="single" w:sz="4" w:space="0" w:color="auto"/>
            </w:tcBorders>
            <w:shd w:val="clear" w:color="auto" w:fill="auto"/>
          </w:tcPr>
          <w:p w14:paraId="3B2726FE"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0FB231"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2016</w:t>
            </w:r>
          </w:p>
        </w:tc>
        <w:tc>
          <w:tcPr>
            <w:tcW w:w="90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33F7E3"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2017</w:t>
            </w:r>
          </w:p>
        </w:tc>
        <w:tc>
          <w:tcPr>
            <w:tcW w:w="91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B9A37F"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2018</w:t>
            </w:r>
          </w:p>
        </w:tc>
        <w:tc>
          <w:tcPr>
            <w:tcW w:w="1212" w:type="pct"/>
            <w:gridSpan w:val="4"/>
            <w:tcBorders>
              <w:left w:val="single" w:sz="4" w:space="0" w:color="auto"/>
            </w:tcBorders>
            <w:shd w:val="clear" w:color="auto" w:fill="auto"/>
            <w:vAlign w:val="center"/>
          </w:tcPr>
          <w:p w14:paraId="25C2056C"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2020</w:t>
            </w:r>
          </w:p>
        </w:tc>
      </w:tr>
      <w:tr w:rsidR="003D3BC5" w:rsidRPr="000F0299" w14:paraId="589612FC" w14:textId="77777777" w:rsidTr="00487FD1">
        <w:trPr>
          <w:trHeight w:val="287"/>
          <w:jc w:val="center"/>
        </w:trPr>
        <w:tc>
          <w:tcPr>
            <w:tcW w:w="1259" w:type="pct"/>
            <w:vMerge/>
            <w:shd w:val="clear" w:color="auto" w:fill="auto"/>
          </w:tcPr>
          <w:p w14:paraId="5E66C5B3"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p>
        </w:tc>
        <w:tc>
          <w:tcPr>
            <w:tcW w:w="713" w:type="pct"/>
            <w:gridSpan w:val="2"/>
            <w:tcBorders>
              <w:top w:val="single" w:sz="4" w:space="0" w:color="auto"/>
            </w:tcBorders>
            <w:shd w:val="clear" w:color="auto" w:fill="auto"/>
            <w:vAlign w:val="center"/>
          </w:tcPr>
          <w:p w14:paraId="27BB4390"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p>
        </w:tc>
        <w:tc>
          <w:tcPr>
            <w:tcW w:w="902" w:type="pct"/>
            <w:gridSpan w:val="4"/>
            <w:tcBorders>
              <w:top w:val="single" w:sz="4" w:space="0" w:color="auto"/>
            </w:tcBorders>
            <w:shd w:val="clear" w:color="auto" w:fill="auto"/>
            <w:vAlign w:val="center"/>
          </w:tcPr>
          <w:p w14:paraId="561BB57E"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p>
        </w:tc>
        <w:tc>
          <w:tcPr>
            <w:tcW w:w="914" w:type="pct"/>
            <w:gridSpan w:val="4"/>
            <w:tcBorders>
              <w:top w:val="single" w:sz="4" w:space="0" w:color="auto"/>
            </w:tcBorders>
            <w:shd w:val="clear" w:color="auto" w:fill="auto"/>
            <w:vAlign w:val="center"/>
          </w:tcPr>
          <w:p w14:paraId="000E75E0"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23,3</w:t>
            </w:r>
          </w:p>
        </w:tc>
        <w:tc>
          <w:tcPr>
            <w:tcW w:w="1212" w:type="pct"/>
            <w:gridSpan w:val="4"/>
            <w:shd w:val="clear" w:color="auto" w:fill="auto"/>
            <w:vAlign w:val="center"/>
          </w:tcPr>
          <w:p w14:paraId="45CCB059"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35</w:t>
            </w:r>
          </w:p>
        </w:tc>
      </w:tr>
      <w:tr w:rsidR="003D3BC5" w:rsidRPr="000F0299" w14:paraId="23F79BBB" w14:textId="77777777" w:rsidTr="00487FD1">
        <w:trPr>
          <w:trHeight w:val="243"/>
          <w:jc w:val="center"/>
        </w:trPr>
        <w:tc>
          <w:tcPr>
            <w:tcW w:w="1259" w:type="pct"/>
            <w:vMerge w:val="restart"/>
            <w:shd w:val="clear" w:color="auto" w:fill="auto"/>
          </w:tcPr>
          <w:p w14:paraId="10632E0F"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374" w:type="pct"/>
            <w:shd w:val="clear" w:color="auto" w:fill="auto"/>
            <w:vAlign w:val="center"/>
          </w:tcPr>
          <w:p w14:paraId="47EAA720"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2021</w:t>
            </w:r>
          </w:p>
        </w:tc>
        <w:tc>
          <w:tcPr>
            <w:tcW w:w="374" w:type="pct"/>
            <w:gridSpan w:val="2"/>
            <w:shd w:val="clear" w:color="auto" w:fill="auto"/>
            <w:vAlign w:val="center"/>
          </w:tcPr>
          <w:p w14:paraId="101A60E0"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2022</w:t>
            </w:r>
          </w:p>
        </w:tc>
        <w:tc>
          <w:tcPr>
            <w:tcW w:w="374" w:type="pct"/>
            <w:shd w:val="clear" w:color="auto" w:fill="auto"/>
            <w:vAlign w:val="center"/>
          </w:tcPr>
          <w:p w14:paraId="5F033A94"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2023</w:t>
            </w:r>
          </w:p>
        </w:tc>
        <w:tc>
          <w:tcPr>
            <w:tcW w:w="374" w:type="pct"/>
            <w:shd w:val="clear" w:color="auto" w:fill="auto"/>
            <w:vAlign w:val="center"/>
          </w:tcPr>
          <w:p w14:paraId="19EB2B5E"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2024</w:t>
            </w:r>
          </w:p>
        </w:tc>
        <w:tc>
          <w:tcPr>
            <w:tcW w:w="374" w:type="pct"/>
            <w:gridSpan w:val="3"/>
            <w:shd w:val="clear" w:color="auto" w:fill="auto"/>
            <w:vAlign w:val="center"/>
          </w:tcPr>
          <w:p w14:paraId="6DEB6254"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2025</w:t>
            </w:r>
          </w:p>
        </w:tc>
        <w:tc>
          <w:tcPr>
            <w:tcW w:w="374" w:type="pct"/>
            <w:shd w:val="clear" w:color="auto" w:fill="auto"/>
            <w:vAlign w:val="center"/>
          </w:tcPr>
          <w:p w14:paraId="7A281EA8"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2026</w:t>
            </w:r>
          </w:p>
        </w:tc>
        <w:tc>
          <w:tcPr>
            <w:tcW w:w="374" w:type="pct"/>
            <w:gridSpan w:val="2"/>
            <w:shd w:val="clear" w:color="auto" w:fill="auto"/>
            <w:vAlign w:val="center"/>
          </w:tcPr>
          <w:p w14:paraId="702D13D5"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2027</w:t>
            </w:r>
          </w:p>
        </w:tc>
        <w:tc>
          <w:tcPr>
            <w:tcW w:w="374" w:type="pct"/>
            <w:shd w:val="clear" w:color="auto" w:fill="auto"/>
            <w:vAlign w:val="center"/>
          </w:tcPr>
          <w:p w14:paraId="0C5EB583"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2028</w:t>
            </w:r>
          </w:p>
        </w:tc>
        <w:tc>
          <w:tcPr>
            <w:tcW w:w="374" w:type="pct"/>
            <w:shd w:val="clear" w:color="auto" w:fill="auto"/>
            <w:vAlign w:val="center"/>
          </w:tcPr>
          <w:p w14:paraId="2866220E"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2029</w:t>
            </w:r>
          </w:p>
        </w:tc>
        <w:tc>
          <w:tcPr>
            <w:tcW w:w="374" w:type="pct"/>
            <w:shd w:val="clear" w:color="auto" w:fill="auto"/>
            <w:vAlign w:val="center"/>
          </w:tcPr>
          <w:p w14:paraId="71354727"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2030</w:t>
            </w:r>
          </w:p>
        </w:tc>
      </w:tr>
      <w:tr w:rsidR="003D3BC5" w:rsidRPr="000F0299" w14:paraId="3C899251" w14:textId="77777777" w:rsidTr="00487FD1">
        <w:trPr>
          <w:trHeight w:val="142"/>
          <w:jc w:val="center"/>
        </w:trPr>
        <w:tc>
          <w:tcPr>
            <w:tcW w:w="1259" w:type="pct"/>
            <w:vMerge/>
            <w:shd w:val="clear" w:color="auto" w:fill="auto"/>
          </w:tcPr>
          <w:p w14:paraId="6D1E1273"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p>
        </w:tc>
        <w:tc>
          <w:tcPr>
            <w:tcW w:w="374" w:type="pct"/>
            <w:shd w:val="clear" w:color="auto" w:fill="auto"/>
          </w:tcPr>
          <w:p w14:paraId="35B6A47D"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35</w:t>
            </w:r>
          </w:p>
        </w:tc>
        <w:tc>
          <w:tcPr>
            <w:tcW w:w="374" w:type="pct"/>
            <w:gridSpan w:val="2"/>
            <w:shd w:val="clear" w:color="auto" w:fill="auto"/>
          </w:tcPr>
          <w:p w14:paraId="3AD119AA"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45</w:t>
            </w:r>
          </w:p>
        </w:tc>
        <w:tc>
          <w:tcPr>
            <w:tcW w:w="374" w:type="pct"/>
            <w:shd w:val="clear" w:color="auto" w:fill="auto"/>
          </w:tcPr>
          <w:p w14:paraId="02D268D3" w14:textId="77777777" w:rsidR="003D3BC5" w:rsidRPr="000F0299" w:rsidRDefault="003D3BC5" w:rsidP="00E904BC">
            <w:pPr>
              <w:tabs>
                <w:tab w:val="left" w:pos="181"/>
                <w:tab w:val="center" w:pos="239"/>
              </w:tabs>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60</w:t>
            </w:r>
          </w:p>
        </w:tc>
        <w:tc>
          <w:tcPr>
            <w:tcW w:w="374" w:type="pct"/>
            <w:shd w:val="clear" w:color="auto" w:fill="auto"/>
          </w:tcPr>
          <w:p w14:paraId="5D0C26DD"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75</w:t>
            </w:r>
          </w:p>
        </w:tc>
        <w:tc>
          <w:tcPr>
            <w:tcW w:w="374" w:type="pct"/>
            <w:gridSpan w:val="3"/>
            <w:shd w:val="clear" w:color="auto" w:fill="auto"/>
          </w:tcPr>
          <w:p w14:paraId="363BDFAE"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90</w:t>
            </w:r>
          </w:p>
        </w:tc>
        <w:tc>
          <w:tcPr>
            <w:tcW w:w="374" w:type="pct"/>
            <w:shd w:val="clear" w:color="auto" w:fill="auto"/>
          </w:tcPr>
          <w:p w14:paraId="3200D633"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92</w:t>
            </w:r>
          </w:p>
        </w:tc>
        <w:tc>
          <w:tcPr>
            <w:tcW w:w="374" w:type="pct"/>
            <w:gridSpan w:val="2"/>
            <w:shd w:val="clear" w:color="auto" w:fill="auto"/>
          </w:tcPr>
          <w:p w14:paraId="65264103"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94</w:t>
            </w:r>
          </w:p>
        </w:tc>
        <w:tc>
          <w:tcPr>
            <w:tcW w:w="374" w:type="pct"/>
            <w:shd w:val="clear" w:color="auto" w:fill="auto"/>
          </w:tcPr>
          <w:p w14:paraId="0798EBCE"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96</w:t>
            </w:r>
          </w:p>
        </w:tc>
        <w:tc>
          <w:tcPr>
            <w:tcW w:w="374" w:type="pct"/>
            <w:shd w:val="clear" w:color="auto" w:fill="auto"/>
          </w:tcPr>
          <w:p w14:paraId="109AFDE7"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96</w:t>
            </w:r>
          </w:p>
        </w:tc>
        <w:tc>
          <w:tcPr>
            <w:tcW w:w="374" w:type="pct"/>
            <w:shd w:val="clear" w:color="auto" w:fill="auto"/>
          </w:tcPr>
          <w:p w14:paraId="250B4602" w14:textId="77777777" w:rsidR="003D3BC5" w:rsidRPr="000F0299" w:rsidRDefault="003D3BC5" w:rsidP="00E904BC">
            <w:pPr>
              <w:suppressAutoHyphens w:val="0"/>
              <w:autoSpaceDN/>
              <w:spacing w:before="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96</w:t>
            </w:r>
          </w:p>
        </w:tc>
      </w:tr>
      <w:tr w:rsidR="003D3BC5" w:rsidRPr="000F0299" w14:paraId="5D800459" w14:textId="77777777" w:rsidTr="00487FD1">
        <w:trPr>
          <w:trHeight w:val="142"/>
          <w:jc w:val="center"/>
        </w:trPr>
        <w:tc>
          <w:tcPr>
            <w:tcW w:w="1259" w:type="pct"/>
            <w:shd w:val="clear" w:color="auto" w:fill="auto"/>
          </w:tcPr>
          <w:p w14:paraId="04BF143B" w14:textId="77777777" w:rsidR="003D3BC5" w:rsidRPr="000F0299" w:rsidRDefault="003D3BC5" w:rsidP="00003BDE">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3741" w:type="pct"/>
            <w:gridSpan w:val="14"/>
            <w:shd w:val="clear" w:color="auto" w:fill="auto"/>
            <w:vAlign w:val="center"/>
          </w:tcPr>
          <w:p w14:paraId="3177D701" w14:textId="77777777" w:rsidR="003D3BC5" w:rsidRPr="000F0299" w:rsidRDefault="003D3BC5" w:rsidP="00003BDE">
            <w:pPr>
              <w:suppressAutoHyphens w:val="0"/>
              <w:autoSpaceDN/>
              <w:spacing w:before="0"/>
              <w:ind w:firstLine="0"/>
              <w:textAlignment w:val="auto"/>
              <w:rPr>
                <w:rFonts w:eastAsiaTheme="minorHAnsi"/>
                <w:i/>
                <w:kern w:val="0"/>
                <w:sz w:val="20"/>
                <w:szCs w:val="20"/>
                <w:lang w:eastAsia="en-US" w:bidi="ar-SA"/>
              </w:rPr>
            </w:pPr>
            <w:r w:rsidRPr="000F0299">
              <w:rPr>
                <w:rFonts w:eastAsiaTheme="minorHAnsi"/>
                <w:iCs/>
                <w:kern w:val="0"/>
                <w:sz w:val="20"/>
                <w:szCs w:val="20"/>
                <w:lang w:eastAsia="en-US" w:bidi="ar-SA"/>
              </w:rPr>
              <w:t>Одступање до 10% у односу на циљану вредност биће вредновано као успех.</w:t>
            </w:r>
          </w:p>
        </w:tc>
      </w:tr>
    </w:tbl>
    <w:p w14:paraId="4167240D" w14:textId="03F70BD0" w:rsidR="003D3BC5" w:rsidRPr="000F0299" w:rsidRDefault="003D3BC5" w:rsidP="00BE55B6">
      <w:pPr>
        <w:ind w:firstLine="0"/>
        <w:rPr>
          <w:b/>
          <w:bCs/>
          <w:color w:val="2F5496" w:themeColor="accent1" w:themeShade="BF"/>
        </w:rPr>
      </w:pPr>
      <w:r w:rsidRPr="000F0299">
        <w:rPr>
          <w:b/>
          <w:bCs/>
          <w:color w:val="2F5496" w:themeColor="accent1" w:themeShade="BF"/>
        </w:rPr>
        <w:t>Показатељ 7</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0"/>
        <w:gridCol w:w="791"/>
        <w:gridCol w:w="651"/>
        <w:gridCol w:w="170"/>
        <w:gridCol w:w="483"/>
        <w:gridCol w:w="651"/>
        <w:gridCol w:w="483"/>
        <w:gridCol w:w="97"/>
        <w:gridCol w:w="73"/>
        <w:gridCol w:w="651"/>
        <w:gridCol w:w="651"/>
        <w:gridCol w:w="249"/>
        <w:gridCol w:w="404"/>
        <w:gridCol w:w="651"/>
        <w:gridCol w:w="646"/>
      </w:tblGrid>
      <w:tr w:rsidR="003D3BC5" w:rsidRPr="000F0299" w14:paraId="70719DAE" w14:textId="77777777" w:rsidTr="00E904BC">
        <w:trPr>
          <w:trHeight w:val="142"/>
          <w:jc w:val="center"/>
        </w:trPr>
        <w:tc>
          <w:tcPr>
            <w:tcW w:w="1281"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CDED5C6" w14:textId="77777777" w:rsidR="003D3BC5" w:rsidRPr="000F0299" w:rsidRDefault="003D3BC5"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3719" w:type="pct"/>
            <w:gridSpan w:val="1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BBBD89B" w14:textId="77777777" w:rsidR="003D3BC5" w:rsidRPr="000F0299" w:rsidRDefault="003D3BC5" w:rsidP="00E904B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 xml:space="preserve">Број ОДУ који су имплементирали </w:t>
            </w:r>
            <w:r w:rsidRPr="000F0299">
              <w:rPr>
                <w:rFonts w:eastAsiaTheme="minorHAnsi"/>
                <w:b/>
                <w:bCs/>
                <w:i/>
                <w:iCs/>
                <w:kern w:val="0"/>
                <w:sz w:val="20"/>
                <w:szCs w:val="20"/>
                <w:lang w:eastAsia="en-US" w:bidi="ar-SA"/>
              </w:rPr>
              <w:t xml:space="preserve">CAF </w:t>
            </w:r>
            <w:r w:rsidRPr="000F0299">
              <w:rPr>
                <w:rFonts w:eastAsiaTheme="minorHAnsi"/>
                <w:b/>
                <w:bCs/>
                <w:kern w:val="0"/>
                <w:sz w:val="20"/>
                <w:szCs w:val="20"/>
                <w:lang w:eastAsia="en-US" w:bidi="ar-SA"/>
              </w:rPr>
              <w:t>или неки други алат за управљање квалитетом услуга у току једне календарске године, а на основу одговарајућег правног оквира</w:t>
            </w:r>
          </w:p>
        </w:tc>
      </w:tr>
      <w:tr w:rsidR="003D3BC5" w:rsidRPr="000F0299" w14:paraId="7B3F418C" w14:textId="77777777" w:rsidTr="00E904BC">
        <w:trPr>
          <w:trHeight w:val="142"/>
          <w:jc w:val="center"/>
        </w:trPr>
        <w:tc>
          <w:tcPr>
            <w:tcW w:w="1281" w:type="pct"/>
            <w:tcBorders>
              <w:top w:val="single" w:sz="4" w:space="0" w:color="auto"/>
              <w:left w:val="single" w:sz="4" w:space="0" w:color="auto"/>
              <w:bottom w:val="single" w:sz="4" w:space="0" w:color="auto"/>
              <w:right w:val="single" w:sz="4" w:space="0" w:color="auto"/>
            </w:tcBorders>
            <w:shd w:val="clear" w:color="auto" w:fill="auto"/>
          </w:tcPr>
          <w:p w14:paraId="51BB014A" w14:textId="77777777" w:rsidR="003D3BC5" w:rsidRPr="000F0299" w:rsidRDefault="003D3BC5"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3719"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14:paraId="0E2D4F13" w14:textId="77777777" w:rsidR="003D3BC5" w:rsidRPr="000F0299" w:rsidRDefault="003D3BC5" w:rsidP="00E904BC">
            <w:pPr>
              <w:suppressAutoHyphens w:val="0"/>
              <w:autoSpaceDN/>
              <w:spacing w:before="0"/>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Мера 3.1.3:</w:t>
            </w:r>
            <w:r w:rsidRPr="000F0299">
              <w:rPr>
                <w:rFonts w:eastAsiaTheme="minorHAnsi"/>
                <w:kern w:val="0"/>
                <w:sz w:val="20"/>
                <w:szCs w:val="20"/>
                <w:lang w:eastAsia="en-US" w:bidi="ar-SA"/>
              </w:rPr>
              <w:t xml:space="preserve"> Унапређен систем контроле и обезбеђења квалитета услуга</w:t>
            </w:r>
          </w:p>
        </w:tc>
      </w:tr>
      <w:tr w:rsidR="00E904BC" w:rsidRPr="000F0299" w14:paraId="1495E3A2" w14:textId="77777777" w:rsidTr="00E904BC">
        <w:trPr>
          <w:trHeight w:val="309"/>
          <w:jc w:val="center"/>
        </w:trPr>
        <w:tc>
          <w:tcPr>
            <w:tcW w:w="1281" w:type="pct"/>
            <w:shd w:val="clear" w:color="auto" w:fill="auto"/>
          </w:tcPr>
          <w:p w14:paraId="44C29A29" w14:textId="77777777" w:rsidR="00E904BC" w:rsidRPr="000F0299" w:rsidRDefault="00E904BC"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kern w:val="24"/>
                <w:sz w:val="20"/>
                <w:szCs w:val="20"/>
                <w:lang w:eastAsia="en-US" w:bidi="ar-SA"/>
              </w:rPr>
              <w:t>Тип и ниво показатеља</w:t>
            </w:r>
          </w:p>
        </w:tc>
        <w:tc>
          <w:tcPr>
            <w:tcW w:w="1860" w:type="pct"/>
            <w:gridSpan w:val="7"/>
            <w:shd w:val="clear" w:color="auto" w:fill="auto"/>
            <w:vAlign w:val="center"/>
          </w:tcPr>
          <w:p w14:paraId="28E03B74" w14:textId="77777777" w:rsidR="00E904BC" w:rsidRPr="000F0299" w:rsidRDefault="00E904BC" w:rsidP="00E904BC">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Квантитативан</w:t>
            </w:r>
          </w:p>
        </w:tc>
        <w:tc>
          <w:tcPr>
            <w:tcW w:w="1859" w:type="pct"/>
            <w:gridSpan w:val="7"/>
            <w:shd w:val="clear" w:color="auto" w:fill="auto"/>
            <w:vAlign w:val="center"/>
          </w:tcPr>
          <w:p w14:paraId="5088363F" w14:textId="70F6030F" w:rsidR="00E904BC" w:rsidRPr="000F0299" w:rsidRDefault="00E904BC" w:rsidP="00E904BC">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Показатељ исхода</w:t>
            </w:r>
          </w:p>
        </w:tc>
      </w:tr>
      <w:tr w:rsidR="00E904BC" w:rsidRPr="000F0299" w14:paraId="60E0EF75" w14:textId="77777777" w:rsidTr="00E904BC">
        <w:trPr>
          <w:trHeight w:val="356"/>
          <w:jc w:val="center"/>
        </w:trPr>
        <w:tc>
          <w:tcPr>
            <w:tcW w:w="1281" w:type="pct"/>
            <w:shd w:val="clear" w:color="auto" w:fill="auto"/>
          </w:tcPr>
          <w:p w14:paraId="554A8209" w14:textId="77777777" w:rsidR="00E904BC" w:rsidRPr="000F0299" w:rsidRDefault="00E904BC" w:rsidP="00E904BC">
            <w:pPr>
              <w:suppressAutoHyphens w:val="0"/>
              <w:autoSpaceDN/>
              <w:spacing w:before="0"/>
              <w:ind w:firstLine="0"/>
              <w:jc w:val="left"/>
              <w:textAlignment w:val="auto"/>
              <w:rPr>
                <w:rFonts w:eastAsiaTheme="minorHAnsi"/>
                <w:b/>
                <w:kern w:val="24"/>
                <w:sz w:val="20"/>
                <w:szCs w:val="20"/>
                <w:lang w:eastAsia="en-US" w:bidi="ar-SA"/>
              </w:rPr>
            </w:pPr>
            <w:r w:rsidRPr="000F0299">
              <w:rPr>
                <w:rFonts w:eastAsiaTheme="minorHAnsi"/>
                <w:b/>
                <w:kern w:val="24"/>
                <w:sz w:val="20"/>
                <w:szCs w:val="20"/>
                <w:lang w:eastAsia="en-US" w:bidi="ar-SA"/>
              </w:rPr>
              <w:t>Јединица мере и природа</w:t>
            </w:r>
          </w:p>
        </w:tc>
        <w:tc>
          <w:tcPr>
            <w:tcW w:w="1860" w:type="pct"/>
            <w:gridSpan w:val="7"/>
            <w:shd w:val="clear" w:color="auto" w:fill="auto"/>
            <w:vAlign w:val="center"/>
          </w:tcPr>
          <w:p w14:paraId="0279B67E" w14:textId="77777777" w:rsidR="00E904BC" w:rsidRPr="000F0299" w:rsidRDefault="00E904BC" w:rsidP="00E904BC">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Број</w:t>
            </w:r>
          </w:p>
        </w:tc>
        <w:tc>
          <w:tcPr>
            <w:tcW w:w="1860" w:type="pct"/>
            <w:gridSpan w:val="7"/>
            <w:shd w:val="clear" w:color="auto" w:fill="auto"/>
            <w:vAlign w:val="center"/>
          </w:tcPr>
          <w:p w14:paraId="03F4C973" w14:textId="182FF293" w:rsidR="00E904BC" w:rsidRPr="000F0299" w:rsidRDefault="00E904BC" w:rsidP="00E904BC">
            <w:pPr>
              <w:tabs>
                <w:tab w:val="left" w:pos="152"/>
              </w:tabs>
              <w:suppressAutoHyphens w:val="0"/>
              <w:autoSpaceDN/>
              <w:spacing w:before="0"/>
              <w:ind w:firstLine="0"/>
              <w:jc w:val="left"/>
              <w:textAlignment w:val="auto"/>
              <w:rPr>
                <w:rFonts w:eastAsiaTheme="minorHAnsi"/>
                <w:bCs/>
                <w:kern w:val="24"/>
                <w:sz w:val="20"/>
                <w:szCs w:val="20"/>
                <w:lang w:eastAsia="en-US" w:bidi="ar-SA"/>
              </w:rPr>
            </w:pPr>
            <w:r w:rsidRPr="000F0299">
              <w:rPr>
                <w:rFonts w:eastAsiaTheme="minorHAnsi"/>
                <w:kern w:val="0"/>
                <w:sz w:val="20"/>
                <w:szCs w:val="20"/>
                <w:lang w:eastAsia="en-US" w:bidi="ar-SA"/>
              </w:rPr>
              <w:t>Пожељна је нижа вредност</w:t>
            </w:r>
          </w:p>
        </w:tc>
      </w:tr>
      <w:tr w:rsidR="003D3BC5" w:rsidRPr="000F0299" w14:paraId="03E3BBE6" w14:textId="77777777" w:rsidTr="00E904BC">
        <w:trPr>
          <w:trHeight w:val="260"/>
          <w:jc w:val="center"/>
        </w:trPr>
        <w:tc>
          <w:tcPr>
            <w:tcW w:w="1281" w:type="pct"/>
            <w:shd w:val="clear" w:color="auto" w:fill="auto"/>
          </w:tcPr>
          <w:p w14:paraId="304F3B90" w14:textId="77777777" w:rsidR="003D3BC5" w:rsidRPr="000F0299" w:rsidRDefault="003D3BC5"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3719" w:type="pct"/>
            <w:gridSpan w:val="14"/>
            <w:shd w:val="clear" w:color="auto" w:fill="auto"/>
            <w:vAlign w:val="center"/>
          </w:tcPr>
          <w:p w14:paraId="6AACD7E7" w14:textId="77777777" w:rsidR="003D3BC5" w:rsidRPr="000F0299" w:rsidRDefault="003D3BC5" w:rsidP="00E904BC">
            <w:pPr>
              <w:suppressAutoHyphens w:val="0"/>
              <w:autoSpaceDN/>
              <w:spacing w:before="0"/>
              <w:ind w:firstLine="0"/>
              <w:jc w:val="left"/>
              <w:textAlignment w:val="auto"/>
              <w:rPr>
                <w:rFonts w:eastAsiaTheme="minorHAnsi"/>
                <w:kern w:val="0"/>
                <w:sz w:val="20"/>
                <w:szCs w:val="20"/>
                <w:lang w:eastAsia="en-US" w:bidi="ar-SA"/>
              </w:rPr>
            </w:pPr>
            <w:r w:rsidRPr="000F0299">
              <w:rPr>
                <w:rFonts w:eastAsiaTheme="minorHAnsi"/>
                <w:kern w:val="0"/>
                <w:sz w:val="20"/>
                <w:szCs w:val="20"/>
                <w:lang w:eastAsia="en-US" w:bidi="ar-SA"/>
              </w:rPr>
              <w:t>Интерно прикупљање података од стране МДУЛС</w:t>
            </w:r>
          </w:p>
        </w:tc>
      </w:tr>
      <w:tr w:rsidR="003D3BC5" w:rsidRPr="000F0299" w14:paraId="54D4A8B5" w14:textId="77777777" w:rsidTr="00E904BC">
        <w:trPr>
          <w:trHeight w:val="512"/>
          <w:jc w:val="center"/>
        </w:trPr>
        <w:tc>
          <w:tcPr>
            <w:tcW w:w="1281" w:type="pct"/>
            <w:shd w:val="clear" w:color="auto" w:fill="auto"/>
          </w:tcPr>
          <w:p w14:paraId="52AC0726" w14:textId="77777777" w:rsidR="003D3BC5" w:rsidRPr="000F0299" w:rsidRDefault="003D3BC5"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3719" w:type="pct"/>
            <w:gridSpan w:val="14"/>
            <w:shd w:val="clear" w:color="auto" w:fill="auto"/>
            <w:vAlign w:val="center"/>
          </w:tcPr>
          <w:p w14:paraId="2C9B172B" w14:textId="117D87F4" w:rsidR="003D3BC5" w:rsidRPr="000F0299" w:rsidRDefault="003D3BC5" w:rsidP="00E400F4">
            <w:pPr>
              <w:suppressAutoHyphens w:val="0"/>
              <w:autoSpaceDN/>
              <w:spacing w:before="0"/>
              <w:ind w:firstLine="0"/>
              <w:jc w:val="left"/>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МДУЛС, </w:t>
            </w:r>
            <w:r w:rsidR="00E400F4">
              <w:rPr>
                <w:rFonts w:eastAsiaTheme="minorHAnsi"/>
                <w:kern w:val="0"/>
                <w:sz w:val="20"/>
                <w:szCs w:val="20"/>
                <w:lang w:eastAsia="en-US" w:bidi="ar-SA"/>
              </w:rPr>
              <w:t>Одељење за стратешко планирање</w:t>
            </w:r>
          </w:p>
        </w:tc>
      </w:tr>
      <w:tr w:rsidR="003D3BC5" w:rsidRPr="000F0299" w14:paraId="5185CBF9" w14:textId="77777777" w:rsidTr="00E904BC">
        <w:trPr>
          <w:trHeight w:val="512"/>
          <w:jc w:val="center"/>
        </w:trPr>
        <w:tc>
          <w:tcPr>
            <w:tcW w:w="1281" w:type="pct"/>
            <w:shd w:val="clear" w:color="auto" w:fill="auto"/>
          </w:tcPr>
          <w:p w14:paraId="7D590AA8" w14:textId="77777777" w:rsidR="003D3BC5" w:rsidRPr="000F0299" w:rsidRDefault="003D3BC5"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3719" w:type="pct"/>
            <w:gridSpan w:val="14"/>
            <w:shd w:val="clear" w:color="auto" w:fill="auto"/>
            <w:vAlign w:val="center"/>
          </w:tcPr>
          <w:p w14:paraId="5BFAC63E" w14:textId="77777777" w:rsidR="003D3BC5" w:rsidRPr="000F0299" w:rsidRDefault="003D3BC5" w:rsidP="00E904BC">
            <w:pPr>
              <w:tabs>
                <w:tab w:val="right" w:pos="2140"/>
              </w:tabs>
              <w:suppressAutoHyphens w:val="0"/>
              <w:autoSpaceDN/>
              <w:spacing w:before="0"/>
              <w:ind w:firstLine="0"/>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Континуирано прикупљање података током године.</w:t>
            </w:r>
          </w:p>
          <w:p w14:paraId="3E941210" w14:textId="77777777" w:rsidR="003D3BC5" w:rsidRPr="000F0299" w:rsidRDefault="003D3BC5" w:rsidP="00E904BC">
            <w:pPr>
              <w:tabs>
                <w:tab w:val="right" w:pos="2140"/>
              </w:tabs>
              <w:suppressAutoHyphens w:val="0"/>
              <w:autoSpaceDN/>
              <w:spacing w:before="0"/>
              <w:ind w:firstLine="0"/>
              <w:jc w:val="left"/>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Пресек стања се врши на кварталном нивоу.</w:t>
            </w:r>
          </w:p>
        </w:tc>
      </w:tr>
      <w:tr w:rsidR="003D3BC5" w:rsidRPr="000F0299" w14:paraId="62375A25" w14:textId="77777777" w:rsidTr="00E904BC">
        <w:trPr>
          <w:trHeight w:val="782"/>
          <w:jc w:val="center"/>
        </w:trPr>
        <w:tc>
          <w:tcPr>
            <w:tcW w:w="1281" w:type="pct"/>
            <w:shd w:val="clear" w:color="auto" w:fill="auto"/>
          </w:tcPr>
          <w:p w14:paraId="14EEF955" w14:textId="77777777" w:rsidR="003D3BC5" w:rsidRPr="000F0299" w:rsidRDefault="003D3BC5"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kern w:val="0"/>
                <w:sz w:val="20"/>
                <w:szCs w:val="20"/>
                <w:lang w:eastAsia="en-US" w:bidi="ar-SA"/>
              </w:rPr>
              <w:t>Кратак опис показатеља и методологије израчунавања</w:t>
            </w:r>
          </w:p>
        </w:tc>
        <w:tc>
          <w:tcPr>
            <w:tcW w:w="3719" w:type="pct"/>
            <w:gridSpan w:val="14"/>
            <w:shd w:val="clear" w:color="auto" w:fill="auto"/>
            <w:vAlign w:val="center"/>
          </w:tcPr>
          <w:p w14:paraId="2EDFFE9B" w14:textId="77777777" w:rsidR="003D3BC5" w:rsidRPr="000F0299" w:rsidRDefault="003D3BC5" w:rsidP="00E400F4">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Показатељ мери број ОДУ који су применили CAF или неки други алат за управљањем квалитетом услуга у свом раду. Сматра се да је алат примењен када орган прилагоди своје интерне процесе CAF стандардима, а у складу са правним оквиром који пропише Влада.</w:t>
            </w:r>
          </w:p>
        </w:tc>
      </w:tr>
      <w:tr w:rsidR="003D3BC5" w:rsidRPr="000F0299" w14:paraId="7C8A3D2F" w14:textId="77777777" w:rsidTr="00E904BC">
        <w:trPr>
          <w:trHeight w:val="235"/>
          <w:jc w:val="center"/>
        </w:trPr>
        <w:tc>
          <w:tcPr>
            <w:tcW w:w="1281" w:type="pct"/>
            <w:vMerge w:val="restart"/>
            <w:shd w:val="clear" w:color="auto" w:fill="auto"/>
          </w:tcPr>
          <w:p w14:paraId="008A357B" w14:textId="77777777" w:rsidR="003D3BC5" w:rsidRPr="000F0299" w:rsidRDefault="003D3BC5"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2768" w:type="pct"/>
            <w:gridSpan w:val="11"/>
            <w:tcBorders>
              <w:bottom w:val="single" w:sz="4" w:space="0" w:color="auto"/>
            </w:tcBorders>
            <w:shd w:val="clear" w:color="auto" w:fill="auto"/>
            <w:vAlign w:val="center"/>
          </w:tcPr>
          <w:p w14:paraId="513262B6"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tc>
        <w:tc>
          <w:tcPr>
            <w:tcW w:w="951" w:type="pct"/>
            <w:gridSpan w:val="3"/>
            <w:shd w:val="clear" w:color="auto" w:fill="auto"/>
            <w:vAlign w:val="center"/>
          </w:tcPr>
          <w:p w14:paraId="1501AE59"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3D3BC5" w:rsidRPr="000F0299" w14:paraId="7681056C" w14:textId="77777777" w:rsidTr="00E904BC">
        <w:trPr>
          <w:trHeight w:val="121"/>
          <w:jc w:val="center"/>
        </w:trPr>
        <w:tc>
          <w:tcPr>
            <w:tcW w:w="1281" w:type="pct"/>
            <w:vMerge/>
            <w:tcBorders>
              <w:right w:val="single" w:sz="4" w:space="0" w:color="auto"/>
            </w:tcBorders>
            <w:shd w:val="clear" w:color="auto" w:fill="auto"/>
          </w:tcPr>
          <w:p w14:paraId="5E5A1E65" w14:textId="77777777" w:rsidR="003D3BC5" w:rsidRPr="000F0299" w:rsidRDefault="003D3BC5" w:rsidP="00E904BC">
            <w:pPr>
              <w:suppressAutoHyphens w:val="0"/>
              <w:autoSpaceDN/>
              <w:spacing w:before="0"/>
              <w:ind w:firstLine="0"/>
              <w:jc w:val="left"/>
              <w:textAlignment w:val="auto"/>
              <w:rPr>
                <w:rFonts w:eastAsiaTheme="minorHAnsi"/>
                <w:b/>
                <w:bCs/>
                <w:kern w:val="0"/>
                <w:sz w:val="20"/>
                <w:szCs w:val="20"/>
                <w:lang w:eastAsia="en-US" w:bidi="ar-SA"/>
              </w:rPr>
            </w:pPr>
          </w:p>
        </w:tc>
        <w:tc>
          <w:tcPr>
            <w:tcW w:w="90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4CFF4E"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2016</w:t>
            </w:r>
          </w:p>
        </w:tc>
        <w:tc>
          <w:tcPr>
            <w:tcW w:w="9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EB1B6B"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2017</w:t>
            </w:r>
          </w:p>
        </w:tc>
        <w:tc>
          <w:tcPr>
            <w:tcW w:w="96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C87A7AC"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951" w:type="pct"/>
            <w:gridSpan w:val="3"/>
            <w:tcBorders>
              <w:left w:val="single" w:sz="4" w:space="0" w:color="auto"/>
            </w:tcBorders>
            <w:shd w:val="clear" w:color="auto" w:fill="auto"/>
            <w:vAlign w:val="center"/>
          </w:tcPr>
          <w:p w14:paraId="3B38361F"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2019 или 2020</w:t>
            </w:r>
          </w:p>
        </w:tc>
      </w:tr>
      <w:tr w:rsidR="003D3BC5" w:rsidRPr="000F0299" w14:paraId="1C3A7DB7" w14:textId="77777777" w:rsidTr="00E904BC">
        <w:trPr>
          <w:trHeight w:val="287"/>
          <w:jc w:val="center"/>
        </w:trPr>
        <w:tc>
          <w:tcPr>
            <w:tcW w:w="1281" w:type="pct"/>
            <w:vMerge/>
            <w:shd w:val="clear" w:color="auto" w:fill="auto"/>
          </w:tcPr>
          <w:p w14:paraId="4EB9E8FC" w14:textId="77777777" w:rsidR="003D3BC5" w:rsidRPr="000F0299" w:rsidRDefault="003D3BC5" w:rsidP="00E904BC">
            <w:pPr>
              <w:suppressAutoHyphens w:val="0"/>
              <w:autoSpaceDN/>
              <w:spacing w:before="0"/>
              <w:ind w:firstLine="0"/>
              <w:jc w:val="left"/>
              <w:textAlignment w:val="auto"/>
              <w:rPr>
                <w:rFonts w:eastAsiaTheme="minorHAnsi"/>
                <w:b/>
                <w:bCs/>
                <w:kern w:val="0"/>
                <w:sz w:val="20"/>
                <w:szCs w:val="20"/>
                <w:lang w:eastAsia="en-US" w:bidi="ar-SA"/>
              </w:rPr>
            </w:pPr>
          </w:p>
        </w:tc>
        <w:tc>
          <w:tcPr>
            <w:tcW w:w="902" w:type="pct"/>
            <w:gridSpan w:val="3"/>
            <w:tcBorders>
              <w:top w:val="single" w:sz="4" w:space="0" w:color="auto"/>
            </w:tcBorders>
            <w:shd w:val="clear" w:color="auto" w:fill="auto"/>
            <w:vAlign w:val="center"/>
          </w:tcPr>
          <w:p w14:paraId="4D2BE2FD"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c>
          <w:tcPr>
            <w:tcW w:w="904" w:type="pct"/>
            <w:gridSpan w:val="3"/>
            <w:tcBorders>
              <w:top w:val="single" w:sz="4" w:space="0" w:color="auto"/>
            </w:tcBorders>
            <w:shd w:val="clear" w:color="auto" w:fill="auto"/>
            <w:vAlign w:val="center"/>
          </w:tcPr>
          <w:p w14:paraId="27AFDCC7"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c>
          <w:tcPr>
            <w:tcW w:w="962" w:type="pct"/>
            <w:gridSpan w:val="5"/>
            <w:tcBorders>
              <w:top w:val="single" w:sz="4" w:space="0" w:color="auto"/>
            </w:tcBorders>
            <w:shd w:val="clear" w:color="auto" w:fill="auto"/>
            <w:vAlign w:val="center"/>
          </w:tcPr>
          <w:p w14:paraId="20B5821B"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c>
          <w:tcPr>
            <w:tcW w:w="951" w:type="pct"/>
            <w:gridSpan w:val="3"/>
            <w:shd w:val="clear" w:color="auto" w:fill="auto"/>
            <w:vAlign w:val="center"/>
          </w:tcPr>
          <w:p w14:paraId="6E4D080B"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r>
      <w:tr w:rsidR="003D3BC5" w:rsidRPr="000F0299" w14:paraId="1CE52C49" w14:textId="77777777" w:rsidTr="00E904BC">
        <w:trPr>
          <w:trHeight w:val="243"/>
          <w:jc w:val="center"/>
        </w:trPr>
        <w:tc>
          <w:tcPr>
            <w:tcW w:w="1281" w:type="pct"/>
            <w:vMerge w:val="restart"/>
            <w:shd w:val="clear" w:color="auto" w:fill="auto"/>
          </w:tcPr>
          <w:p w14:paraId="0AF5A8BB" w14:textId="77777777" w:rsidR="003D3BC5" w:rsidRPr="000F0299" w:rsidRDefault="003D3BC5"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443" w:type="pct"/>
            <w:shd w:val="clear" w:color="auto" w:fill="auto"/>
            <w:vAlign w:val="center"/>
          </w:tcPr>
          <w:p w14:paraId="0D56B9D8"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364" w:type="pct"/>
            <w:shd w:val="clear" w:color="auto" w:fill="auto"/>
            <w:vAlign w:val="center"/>
          </w:tcPr>
          <w:p w14:paraId="532457E1"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365" w:type="pct"/>
            <w:gridSpan w:val="2"/>
            <w:shd w:val="clear" w:color="auto" w:fill="auto"/>
            <w:vAlign w:val="center"/>
          </w:tcPr>
          <w:p w14:paraId="344C265C"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364" w:type="pct"/>
            <w:shd w:val="clear" w:color="auto" w:fill="auto"/>
            <w:vAlign w:val="center"/>
          </w:tcPr>
          <w:p w14:paraId="6868662B"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365" w:type="pct"/>
            <w:gridSpan w:val="3"/>
            <w:shd w:val="clear" w:color="auto" w:fill="auto"/>
            <w:vAlign w:val="center"/>
          </w:tcPr>
          <w:p w14:paraId="08247C28"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364" w:type="pct"/>
            <w:shd w:val="clear" w:color="auto" w:fill="auto"/>
            <w:vAlign w:val="center"/>
          </w:tcPr>
          <w:p w14:paraId="7ABBB9A8"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364" w:type="pct"/>
            <w:shd w:val="clear" w:color="auto" w:fill="auto"/>
            <w:vAlign w:val="center"/>
          </w:tcPr>
          <w:p w14:paraId="0ECE6BE7"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365" w:type="pct"/>
            <w:gridSpan w:val="2"/>
            <w:shd w:val="clear" w:color="auto" w:fill="auto"/>
            <w:vAlign w:val="center"/>
          </w:tcPr>
          <w:p w14:paraId="200E38CA"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364" w:type="pct"/>
            <w:shd w:val="clear" w:color="auto" w:fill="auto"/>
            <w:vAlign w:val="center"/>
          </w:tcPr>
          <w:p w14:paraId="5CA555E1"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361" w:type="pct"/>
            <w:shd w:val="clear" w:color="auto" w:fill="auto"/>
            <w:vAlign w:val="center"/>
          </w:tcPr>
          <w:p w14:paraId="4DDC70EE"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3D3BC5" w:rsidRPr="000F0299" w14:paraId="3CEA3451" w14:textId="77777777" w:rsidTr="00E904BC">
        <w:trPr>
          <w:trHeight w:val="142"/>
          <w:jc w:val="center"/>
        </w:trPr>
        <w:tc>
          <w:tcPr>
            <w:tcW w:w="1281" w:type="pct"/>
            <w:vMerge/>
            <w:shd w:val="clear" w:color="auto" w:fill="auto"/>
          </w:tcPr>
          <w:p w14:paraId="1EE0AD7C" w14:textId="77777777" w:rsidR="003D3BC5" w:rsidRPr="000F0299" w:rsidRDefault="003D3BC5" w:rsidP="00E904BC">
            <w:pPr>
              <w:suppressAutoHyphens w:val="0"/>
              <w:autoSpaceDN/>
              <w:spacing w:before="0"/>
              <w:ind w:firstLine="0"/>
              <w:jc w:val="left"/>
              <w:textAlignment w:val="auto"/>
              <w:rPr>
                <w:rFonts w:eastAsiaTheme="minorHAnsi"/>
                <w:b/>
                <w:bCs/>
                <w:kern w:val="0"/>
                <w:sz w:val="20"/>
                <w:szCs w:val="20"/>
                <w:lang w:eastAsia="en-US" w:bidi="ar-SA"/>
              </w:rPr>
            </w:pPr>
          </w:p>
        </w:tc>
        <w:tc>
          <w:tcPr>
            <w:tcW w:w="443" w:type="pct"/>
            <w:shd w:val="clear" w:color="auto" w:fill="auto"/>
          </w:tcPr>
          <w:p w14:paraId="2C6C3408"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w:t>
            </w:r>
          </w:p>
        </w:tc>
        <w:tc>
          <w:tcPr>
            <w:tcW w:w="364" w:type="pct"/>
            <w:shd w:val="clear" w:color="auto" w:fill="auto"/>
          </w:tcPr>
          <w:p w14:paraId="4E14E368"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4</w:t>
            </w:r>
          </w:p>
        </w:tc>
        <w:tc>
          <w:tcPr>
            <w:tcW w:w="365" w:type="pct"/>
            <w:gridSpan w:val="2"/>
            <w:shd w:val="clear" w:color="auto" w:fill="auto"/>
          </w:tcPr>
          <w:p w14:paraId="1264F815"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6</w:t>
            </w:r>
          </w:p>
        </w:tc>
        <w:tc>
          <w:tcPr>
            <w:tcW w:w="364" w:type="pct"/>
            <w:shd w:val="clear" w:color="auto" w:fill="auto"/>
          </w:tcPr>
          <w:p w14:paraId="468DF54D"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8</w:t>
            </w:r>
          </w:p>
        </w:tc>
        <w:tc>
          <w:tcPr>
            <w:tcW w:w="365" w:type="pct"/>
            <w:gridSpan w:val="3"/>
            <w:shd w:val="clear" w:color="auto" w:fill="auto"/>
          </w:tcPr>
          <w:p w14:paraId="4F08633D"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10</w:t>
            </w:r>
          </w:p>
        </w:tc>
        <w:tc>
          <w:tcPr>
            <w:tcW w:w="364" w:type="pct"/>
            <w:shd w:val="clear" w:color="auto" w:fill="auto"/>
          </w:tcPr>
          <w:p w14:paraId="0FD3F3F4"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12</w:t>
            </w:r>
          </w:p>
        </w:tc>
        <w:tc>
          <w:tcPr>
            <w:tcW w:w="364" w:type="pct"/>
            <w:shd w:val="clear" w:color="auto" w:fill="auto"/>
          </w:tcPr>
          <w:p w14:paraId="5142947B"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14</w:t>
            </w:r>
          </w:p>
        </w:tc>
        <w:tc>
          <w:tcPr>
            <w:tcW w:w="365" w:type="pct"/>
            <w:gridSpan w:val="2"/>
            <w:shd w:val="clear" w:color="auto" w:fill="auto"/>
          </w:tcPr>
          <w:p w14:paraId="02471F69"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16</w:t>
            </w:r>
          </w:p>
        </w:tc>
        <w:tc>
          <w:tcPr>
            <w:tcW w:w="364" w:type="pct"/>
            <w:shd w:val="clear" w:color="auto" w:fill="auto"/>
          </w:tcPr>
          <w:p w14:paraId="7D8CA1C2"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18</w:t>
            </w:r>
          </w:p>
        </w:tc>
        <w:tc>
          <w:tcPr>
            <w:tcW w:w="361" w:type="pct"/>
            <w:shd w:val="clear" w:color="auto" w:fill="auto"/>
          </w:tcPr>
          <w:p w14:paraId="17268C89" w14:textId="77777777" w:rsidR="003D3BC5" w:rsidRPr="000F0299" w:rsidRDefault="003D3BC5" w:rsidP="00E904BC">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w:t>
            </w:r>
          </w:p>
        </w:tc>
      </w:tr>
      <w:tr w:rsidR="003D3BC5" w:rsidRPr="000F0299" w14:paraId="057F7695" w14:textId="77777777" w:rsidTr="00E904BC">
        <w:trPr>
          <w:trHeight w:val="142"/>
          <w:jc w:val="center"/>
        </w:trPr>
        <w:tc>
          <w:tcPr>
            <w:tcW w:w="1281" w:type="pct"/>
            <w:shd w:val="clear" w:color="auto" w:fill="auto"/>
          </w:tcPr>
          <w:p w14:paraId="7FE5EB60" w14:textId="77777777" w:rsidR="003D3BC5" w:rsidRPr="000F0299" w:rsidRDefault="003D3BC5"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3719" w:type="pct"/>
            <w:gridSpan w:val="14"/>
            <w:shd w:val="clear" w:color="auto" w:fill="auto"/>
            <w:vAlign w:val="center"/>
          </w:tcPr>
          <w:p w14:paraId="3283CDEB" w14:textId="77777777" w:rsidR="003D3BC5" w:rsidRPr="000F0299" w:rsidRDefault="003D3BC5" w:rsidP="00E904BC">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Без одступања</w:t>
            </w:r>
          </w:p>
        </w:tc>
      </w:tr>
    </w:tbl>
    <w:p w14:paraId="05F4ED2D" w14:textId="77777777" w:rsidR="003D3BC5" w:rsidRPr="000F0299" w:rsidRDefault="003D3BC5" w:rsidP="003D3BC5">
      <w:pPr>
        <w:suppressAutoHyphens w:val="0"/>
        <w:autoSpaceDN/>
        <w:spacing w:before="0" w:after="160" w:line="259" w:lineRule="auto"/>
        <w:ind w:firstLine="0"/>
        <w:jc w:val="left"/>
        <w:textAlignment w:val="auto"/>
        <w:rPr>
          <w:rFonts w:ascii="Arial" w:eastAsiaTheme="minorHAnsi" w:hAnsi="Arial" w:cs="Arial"/>
          <w:kern w:val="0"/>
          <w:sz w:val="20"/>
          <w:szCs w:val="20"/>
          <w:lang w:eastAsia="en-US" w:bidi="ar-SA"/>
        </w:rPr>
      </w:pPr>
    </w:p>
    <w:p w14:paraId="203B8FEC" w14:textId="77777777" w:rsidR="003D3BC5" w:rsidRPr="000F0299" w:rsidRDefault="003D3BC5" w:rsidP="003D3BC5">
      <w:pPr>
        <w:suppressAutoHyphens w:val="0"/>
        <w:autoSpaceDN/>
        <w:spacing w:before="0" w:after="160" w:line="259" w:lineRule="auto"/>
        <w:ind w:firstLine="0"/>
        <w:jc w:val="left"/>
        <w:textAlignment w:val="auto"/>
        <w:rPr>
          <w:rFonts w:ascii="Arial" w:eastAsiaTheme="minorHAnsi" w:hAnsi="Arial" w:cs="Arial"/>
          <w:kern w:val="0"/>
          <w:sz w:val="20"/>
          <w:szCs w:val="20"/>
          <w:lang w:eastAsia="en-US" w:bidi="ar-SA"/>
        </w:rPr>
      </w:pPr>
    </w:p>
    <w:p w14:paraId="26A872A9" w14:textId="77777777" w:rsidR="003F3312" w:rsidRPr="000F0299" w:rsidRDefault="003F3312" w:rsidP="00AE6E7E">
      <w:pPr>
        <w:ind w:firstLine="0"/>
      </w:pPr>
    </w:p>
    <w:p w14:paraId="27438314" w14:textId="77777777" w:rsidR="003F3312" w:rsidRPr="000F0299" w:rsidRDefault="003F3312" w:rsidP="00244E7C">
      <w:r w:rsidRPr="000F0299">
        <w:br w:type="page"/>
      </w:r>
    </w:p>
    <w:p w14:paraId="64086D41" w14:textId="706555CF" w:rsidR="003F3312" w:rsidRPr="000F0299" w:rsidRDefault="005F3F29" w:rsidP="00AE6E7E">
      <w:pPr>
        <w:pStyle w:val="Heading2"/>
        <w:rPr>
          <w:lang w:val="sr-Cyrl-RS"/>
        </w:rPr>
      </w:pPr>
      <w:bookmarkStart w:id="334" w:name="_Toc57661521"/>
      <w:r w:rsidRPr="000F0299">
        <w:rPr>
          <w:lang w:val="sr-Cyrl-RS"/>
        </w:rPr>
        <w:t xml:space="preserve">Показатељи учинака - </w:t>
      </w:r>
      <w:r w:rsidR="00AE6E7E" w:rsidRPr="000F0299">
        <w:rPr>
          <w:lang w:val="sr-Cyrl-RS"/>
        </w:rPr>
        <w:t>Транспарентност и одговорност</w:t>
      </w:r>
      <w:bookmarkEnd w:id="334"/>
    </w:p>
    <w:p w14:paraId="67E9C93A" w14:textId="77777777" w:rsidR="003F3312" w:rsidRPr="000F0299" w:rsidRDefault="003F3312" w:rsidP="00244E7C">
      <w:r w:rsidRPr="000F0299">
        <w:t>НАПОМЕНА: У овом документу и у АП за област одговорност и транспарентност, појам орган јавне управе на централном нивоу обухвата органе државне управе (министарства, органе управе у саставу министарстава и посебне организације) и државне органе.</w:t>
      </w:r>
    </w:p>
    <w:p w14:paraId="0ED99C6D" w14:textId="7D2149D6" w:rsidR="003F3312" w:rsidRPr="000F0299" w:rsidRDefault="00AE6E7E" w:rsidP="00E904BC">
      <w:pPr>
        <w:pStyle w:val="Heading3"/>
        <w:rPr>
          <w:lang w:val="sr-Cyrl-RS"/>
        </w:rPr>
      </w:pPr>
      <w:bookmarkStart w:id="335" w:name="_Toc57661522"/>
      <w:r w:rsidRPr="000F0299">
        <w:rPr>
          <w:lang w:val="sr-Cyrl-RS"/>
        </w:rPr>
        <w:t>Посебан циљ 4.1: Унапређен ниво одговорности и транспарентност на свим нивоима власти</w:t>
      </w:r>
      <w:bookmarkEnd w:id="335"/>
    </w:p>
    <w:p w14:paraId="6184D061" w14:textId="09A4DD39" w:rsidR="00AE6E7E" w:rsidRPr="000F0299" w:rsidRDefault="00CC370D" w:rsidP="002309DC">
      <w:pPr>
        <w:ind w:firstLine="0"/>
        <w:rPr>
          <w:b/>
          <w:bCs/>
          <w:color w:val="2F5496" w:themeColor="accent1" w:themeShade="BF"/>
        </w:rPr>
      </w:pPr>
      <w:r w:rsidRPr="000F0299">
        <w:rPr>
          <w:b/>
          <w:bCs/>
          <w:color w:val="2F5496" w:themeColor="accent1" w:themeShade="BF"/>
        </w:rPr>
        <w:t>Показатељ 1</w:t>
      </w:r>
    </w:p>
    <w:tbl>
      <w:tblPr>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4"/>
        <w:gridCol w:w="643"/>
        <w:gridCol w:w="644"/>
        <w:gridCol w:w="342"/>
        <w:gridCol w:w="302"/>
        <w:gridCol w:w="643"/>
        <w:gridCol w:w="651"/>
        <w:gridCol w:w="646"/>
        <w:gridCol w:w="643"/>
        <w:gridCol w:w="339"/>
        <w:gridCol w:w="306"/>
        <w:gridCol w:w="643"/>
        <w:gridCol w:w="645"/>
      </w:tblGrid>
      <w:tr w:rsidR="00AE6E7E" w:rsidRPr="000F0299" w14:paraId="28B391F5" w14:textId="77777777" w:rsidTr="003C0DA1">
        <w:tc>
          <w:tcPr>
            <w:tcW w:w="2487" w:type="dxa"/>
            <w:tcBorders>
              <w:top w:val="single" w:sz="4" w:space="0" w:color="000000"/>
              <w:left w:val="single" w:sz="4" w:space="0" w:color="000000"/>
              <w:bottom w:val="single" w:sz="4" w:space="0" w:color="000000"/>
              <w:right w:val="single" w:sz="4" w:space="0" w:color="000000"/>
            </w:tcBorders>
            <w:shd w:val="clear" w:color="auto" w:fill="D5DEEE"/>
          </w:tcPr>
          <w:p w14:paraId="3F3AF9AC"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D5DEEE"/>
          </w:tcPr>
          <w:p w14:paraId="54890C8E"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 xml:space="preserve">Годишња процена ЕК о напретку у области одговорности   </w:t>
            </w:r>
          </w:p>
        </w:tc>
      </w:tr>
      <w:tr w:rsidR="00AE6E7E" w:rsidRPr="000F0299" w14:paraId="6030AE49" w14:textId="77777777" w:rsidTr="003C0DA1">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0BF32CD6"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auto"/>
          </w:tcPr>
          <w:p w14:paraId="0B0BD680"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Посебан циљ 4.1:</w:t>
            </w:r>
            <w:r w:rsidRPr="000F0299">
              <w:rPr>
                <w:rFonts w:eastAsiaTheme="minorHAnsi"/>
                <w:kern w:val="0"/>
                <w:sz w:val="20"/>
                <w:szCs w:val="20"/>
                <w:lang w:eastAsia="en-US" w:bidi="ar-SA"/>
              </w:rPr>
              <w:t xml:space="preserve"> Унапређен ниво одговорности и транспарентност на свим нивоима власти</w:t>
            </w:r>
          </w:p>
        </w:tc>
      </w:tr>
      <w:tr w:rsidR="00E904BC" w:rsidRPr="000F0299" w14:paraId="3D198236" w14:textId="77777777" w:rsidTr="003C0DA1">
        <w:trPr>
          <w:trHeight w:val="70"/>
        </w:trPr>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469B12CA" w14:textId="77777777" w:rsidR="00E904BC" w:rsidRPr="000F0299" w:rsidRDefault="00E904BC"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Тип и ниво показатеља</w:t>
            </w:r>
          </w:p>
        </w:tc>
        <w:tc>
          <w:tcPr>
            <w:tcW w:w="3222" w:type="dxa"/>
            <w:gridSpan w:val="6"/>
            <w:tcBorders>
              <w:top w:val="single" w:sz="4" w:space="0" w:color="000000"/>
              <w:left w:val="single" w:sz="4" w:space="0" w:color="000000"/>
              <w:bottom w:val="single" w:sz="4" w:space="0" w:color="000000"/>
              <w:right w:val="single" w:sz="4" w:space="0" w:color="000000"/>
            </w:tcBorders>
            <w:shd w:val="clear" w:color="auto" w:fill="auto"/>
          </w:tcPr>
          <w:p w14:paraId="6C678407" w14:textId="7D3DC8BB" w:rsidR="00E904BC" w:rsidRPr="000F0299" w:rsidRDefault="00E904B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Квалитативан</w:t>
            </w:r>
          </w:p>
        </w:tc>
        <w:tc>
          <w:tcPr>
            <w:tcW w:w="3222" w:type="dxa"/>
            <w:gridSpan w:val="6"/>
            <w:tcBorders>
              <w:top w:val="single" w:sz="4" w:space="0" w:color="000000"/>
              <w:left w:val="single" w:sz="4" w:space="0" w:color="000000"/>
              <w:bottom w:val="single" w:sz="4" w:space="0" w:color="000000"/>
              <w:right w:val="single" w:sz="4" w:space="0" w:color="000000"/>
            </w:tcBorders>
            <w:shd w:val="clear" w:color="auto" w:fill="auto"/>
          </w:tcPr>
          <w:p w14:paraId="462CBB48" w14:textId="6C6FAD1E" w:rsidR="00E904BC" w:rsidRPr="000F0299" w:rsidRDefault="00E904B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Показатељ исхода</w:t>
            </w:r>
          </w:p>
        </w:tc>
      </w:tr>
      <w:tr w:rsidR="00AE6E7E" w:rsidRPr="000F0299" w14:paraId="3BEB2529" w14:textId="77777777" w:rsidTr="003C0DA1">
        <w:trPr>
          <w:trHeight w:val="445"/>
        </w:trPr>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16A52F48"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Јединица мере и природа</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auto"/>
          </w:tcPr>
          <w:p w14:paraId="5A139294"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Квалитативни индикатор, извештај садржи жељене елементе</w:t>
            </w:r>
          </w:p>
        </w:tc>
      </w:tr>
      <w:tr w:rsidR="00AE6E7E" w:rsidRPr="000F0299" w14:paraId="6A2E9E8C" w14:textId="77777777" w:rsidTr="003C0DA1">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46FD773A"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auto"/>
          </w:tcPr>
          <w:p w14:paraId="04D3C40A"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Извештај Европске комисије о напретку Србије</w:t>
            </w:r>
          </w:p>
          <w:p w14:paraId="4B14708D" w14:textId="48F3FBC7" w:rsidR="00AE6E7E" w:rsidRPr="000F0299" w:rsidRDefault="00F47F65" w:rsidP="003C0DA1">
            <w:pPr>
              <w:suppressAutoHyphens w:val="0"/>
              <w:autoSpaceDN/>
              <w:spacing w:before="0"/>
              <w:ind w:firstLine="0"/>
              <w:textAlignment w:val="auto"/>
              <w:rPr>
                <w:rFonts w:eastAsiaTheme="minorHAnsi"/>
                <w:kern w:val="0"/>
                <w:sz w:val="20"/>
                <w:szCs w:val="20"/>
                <w:lang w:eastAsia="en-US" w:bidi="ar-SA"/>
              </w:rPr>
            </w:pPr>
            <w:hyperlink r:id="rId207" w:history="1">
              <w:r w:rsidR="00AE6E7E" w:rsidRPr="000F0299">
                <w:rPr>
                  <w:rFonts w:eastAsiaTheme="minorHAnsi"/>
                  <w:color w:val="0563C1" w:themeColor="hyperlink"/>
                  <w:kern w:val="0"/>
                  <w:sz w:val="20"/>
                  <w:szCs w:val="20"/>
                  <w:u w:val="single"/>
                  <w:lang w:eastAsia="en-US" w:bidi="ar-SA"/>
                </w:rPr>
                <w:t>https://www.mei.gov.rs/srp/dokumenta/eu-dokumenta/godisnji-izvestaji-ek</w:t>
              </w:r>
            </w:hyperlink>
            <w:r w:rsidR="00E904BC" w:rsidRPr="000F0299">
              <w:rPr>
                <w:rFonts w:eastAsiaTheme="minorHAnsi"/>
                <w:color w:val="0563C1" w:themeColor="hyperlink"/>
                <w:kern w:val="0"/>
                <w:sz w:val="20"/>
                <w:szCs w:val="20"/>
                <w:u w:val="single"/>
                <w:lang w:eastAsia="en-US" w:bidi="ar-SA"/>
              </w:rPr>
              <w:t xml:space="preserve"> </w:t>
            </w:r>
            <w:r w:rsidR="00AE6E7E" w:rsidRPr="000F0299">
              <w:rPr>
                <w:rFonts w:eastAsiaTheme="minorHAnsi"/>
                <w:kern w:val="0"/>
                <w:sz w:val="20"/>
                <w:szCs w:val="20"/>
                <w:lang w:eastAsia="en-US" w:bidi="ar-SA"/>
              </w:rPr>
              <w:t xml:space="preserve"> </w:t>
            </w:r>
          </w:p>
        </w:tc>
      </w:tr>
      <w:tr w:rsidR="00AE6E7E" w:rsidRPr="000F0299" w14:paraId="7622C10C" w14:textId="77777777" w:rsidTr="003C0DA1">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19854C16"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auto"/>
          </w:tcPr>
          <w:p w14:paraId="29C498B2" w14:textId="5DA5DC13" w:rsidR="00AE6E7E" w:rsidRPr="000F0299" w:rsidRDefault="00AE6E7E" w:rsidP="00E400F4">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Министарство </w:t>
            </w:r>
            <w:r w:rsidR="00864D50" w:rsidRPr="000F0299">
              <w:rPr>
                <w:rFonts w:eastAsiaTheme="minorHAnsi"/>
                <w:kern w:val="0"/>
                <w:sz w:val="20"/>
                <w:szCs w:val="20"/>
                <w:lang w:eastAsia="en-US" w:bidi="ar-SA"/>
              </w:rPr>
              <w:t>државне</w:t>
            </w:r>
            <w:r w:rsidRPr="000F0299">
              <w:rPr>
                <w:rFonts w:eastAsiaTheme="minorHAnsi"/>
                <w:kern w:val="0"/>
                <w:sz w:val="20"/>
                <w:szCs w:val="20"/>
                <w:lang w:eastAsia="en-US" w:bidi="ar-SA"/>
              </w:rPr>
              <w:t xml:space="preserve"> </w:t>
            </w:r>
            <w:r w:rsidR="00864D50" w:rsidRPr="000F0299">
              <w:rPr>
                <w:rFonts w:eastAsiaTheme="minorHAnsi"/>
                <w:kern w:val="0"/>
                <w:sz w:val="20"/>
                <w:szCs w:val="20"/>
                <w:lang w:eastAsia="en-US" w:bidi="ar-SA"/>
              </w:rPr>
              <w:t>управе</w:t>
            </w:r>
            <w:r w:rsidRPr="000F0299">
              <w:rPr>
                <w:rFonts w:eastAsiaTheme="minorHAnsi"/>
                <w:kern w:val="0"/>
                <w:sz w:val="20"/>
                <w:szCs w:val="20"/>
                <w:lang w:eastAsia="en-US" w:bidi="ar-SA"/>
              </w:rPr>
              <w:t xml:space="preserve"> и </w:t>
            </w:r>
            <w:r w:rsidR="00864D50" w:rsidRPr="000F0299">
              <w:rPr>
                <w:rFonts w:eastAsiaTheme="minorHAnsi"/>
                <w:kern w:val="0"/>
                <w:sz w:val="20"/>
                <w:szCs w:val="20"/>
                <w:lang w:eastAsia="en-US" w:bidi="ar-SA"/>
              </w:rPr>
              <w:t>локалне</w:t>
            </w:r>
            <w:r w:rsidRPr="000F0299">
              <w:rPr>
                <w:rFonts w:eastAsiaTheme="minorHAnsi"/>
                <w:kern w:val="0"/>
                <w:sz w:val="20"/>
                <w:szCs w:val="20"/>
                <w:lang w:eastAsia="en-US" w:bidi="ar-SA"/>
              </w:rPr>
              <w:t xml:space="preserve"> </w:t>
            </w:r>
            <w:r w:rsidR="00864D50" w:rsidRPr="000F0299">
              <w:rPr>
                <w:rFonts w:eastAsiaTheme="minorHAnsi"/>
                <w:kern w:val="0"/>
                <w:sz w:val="20"/>
                <w:szCs w:val="20"/>
                <w:lang w:eastAsia="en-US" w:bidi="ar-SA"/>
              </w:rPr>
              <w:t>самоуправе</w:t>
            </w:r>
            <w:r w:rsidRPr="000F0299">
              <w:rPr>
                <w:rFonts w:eastAsiaTheme="minorHAnsi"/>
                <w:kern w:val="0"/>
                <w:sz w:val="20"/>
                <w:szCs w:val="20"/>
                <w:lang w:eastAsia="en-US" w:bidi="ar-SA"/>
              </w:rPr>
              <w:t>, Одељење за ст</w:t>
            </w:r>
            <w:r w:rsidR="00E400F4">
              <w:rPr>
                <w:rFonts w:eastAsiaTheme="minorHAnsi"/>
                <w:kern w:val="0"/>
                <w:sz w:val="20"/>
                <w:szCs w:val="20"/>
                <w:lang w:eastAsia="en-US" w:bidi="ar-SA"/>
              </w:rPr>
              <w:t>ратешко планирање јавне управе</w:t>
            </w:r>
          </w:p>
        </w:tc>
      </w:tr>
      <w:tr w:rsidR="00AE6E7E" w:rsidRPr="000F0299" w14:paraId="4A256303" w14:textId="77777777" w:rsidTr="003C0DA1">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2E54E824"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auto"/>
          </w:tcPr>
          <w:p w14:paraId="0A5A6D72"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Подаци се прикупљају на годишњем нивоу, до краја новембра текуће године, за период од октобра претходне до септембра текуће године</w:t>
            </w:r>
          </w:p>
        </w:tc>
      </w:tr>
      <w:tr w:rsidR="00AE6E7E" w:rsidRPr="000F0299" w14:paraId="20D0F0AE" w14:textId="77777777" w:rsidTr="003C0DA1">
        <w:trPr>
          <w:trHeight w:val="1745"/>
        </w:trPr>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17545790"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Кратак опис показатеља и методологије израчунавања</w:t>
            </w:r>
          </w:p>
          <w:p w14:paraId="19AFF141"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(формуле/ једначине)</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auto"/>
          </w:tcPr>
          <w:p w14:paraId="0DC6F819" w14:textId="7E97F21D" w:rsidR="00AE6E7E" w:rsidRPr="000F0299" w:rsidRDefault="00D958ED"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Формула/једначина</w:t>
            </w:r>
          </w:p>
          <w:p w14:paraId="25289460"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Европска комисија сваке године објављује извештај о напретку у октобру месецу и доставља га Савету ЕУ, Европском парламенту у држави кандидату. Извештај обухвата период од октобра претходне године до септембра месеца текуће године. Извештај о напретку (Progress Report) је документ којим ЕК пружа информације о напретку који је одређена држава кандидат за чланство постигла у испуњавању услова и циљева које је поставила ЕУ. Напредак државе мери се на основу донесених одлука, усвојених закона и спроведених мера.  </w:t>
            </w:r>
          </w:p>
        </w:tc>
      </w:tr>
      <w:tr w:rsidR="00AE6E7E" w:rsidRPr="000F0299" w14:paraId="122B7C23" w14:textId="77777777" w:rsidTr="003C0DA1">
        <w:trPr>
          <w:trHeight w:val="265"/>
        </w:trPr>
        <w:tc>
          <w:tcPr>
            <w:tcW w:w="248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AE19D5"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48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421B2F4"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tc>
        <w:tc>
          <w:tcPr>
            <w:tcW w:w="159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DB2BC9"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AE6E7E" w:rsidRPr="000F0299" w14:paraId="30836F9D" w14:textId="77777777" w:rsidTr="003C0DA1">
        <w:trPr>
          <w:trHeight w:val="137"/>
        </w:trPr>
        <w:tc>
          <w:tcPr>
            <w:tcW w:w="2487" w:type="dxa"/>
            <w:vMerge/>
            <w:tcBorders>
              <w:top w:val="single" w:sz="4" w:space="0" w:color="000000"/>
              <w:left w:val="single" w:sz="4" w:space="0" w:color="000000"/>
              <w:bottom w:val="single" w:sz="4" w:space="0" w:color="000000"/>
              <w:right w:val="single" w:sz="4" w:space="0" w:color="000000"/>
            </w:tcBorders>
            <w:shd w:val="clear" w:color="auto" w:fill="auto"/>
          </w:tcPr>
          <w:p w14:paraId="29461472"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8B2911"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2016</w:t>
            </w:r>
          </w:p>
        </w:tc>
        <w:tc>
          <w:tcPr>
            <w:tcW w:w="15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B327DF"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2017</w:t>
            </w:r>
          </w:p>
        </w:tc>
        <w:tc>
          <w:tcPr>
            <w:tcW w:w="16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0D86C7"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159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F873E9" w14:textId="015312F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2019</w:t>
            </w:r>
          </w:p>
        </w:tc>
      </w:tr>
      <w:tr w:rsidR="00AE6E7E" w:rsidRPr="000F0299" w14:paraId="37452DE6" w14:textId="77777777" w:rsidTr="003C0DA1">
        <w:trPr>
          <w:trHeight w:val="323"/>
        </w:trPr>
        <w:tc>
          <w:tcPr>
            <w:tcW w:w="2487" w:type="dxa"/>
            <w:vMerge/>
            <w:tcBorders>
              <w:top w:val="single" w:sz="4" w:space="0" w:color="000000"/>
              <w:left w:val="single" w:sz="4" w:space="0" w:color="000000"/>
              <w:bottom w:val="single" w:sz="4" w:space="0" w:color="000000"/>
              <w:right w:val="single" w:sz="4" w:space="0" w:color="000000"/>
            </w:tcBorders>
            <w:shd w:val="clear" w:color="auto" w:fill="auto"/>
          </w:tcPr>
          <w:p w14:paraId="3D5D95D4"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49BDE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5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074999"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6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9F1DAA"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59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41ED9A"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не</w:t>
            </w:r>
          </w:p>
        </w:tc>
      </w:tr>
      <w:tr w:rsidR="00AE6E7E" w:rsidRPr="000F0299" w14:paraId="30ADF8DD" w14:textId="77777777" w:rsidTr="003C0DA1">
        <w:trPr>
          <w:trHeight w:val="274"/>
        </w:trPr>
        <w:tc>
          <w:tcPr>
            <w:tcW w:w="248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3FE9B41"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7107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0594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4D2E9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21D9F"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6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71569"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D1CE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AE03A"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C8D2C7"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B27F5"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8D206"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AE6E7E" w:rsidRPr="000F0299" w14:paraId="2B0E6C6D" w14:textId="77777777" w:rsidTr="003C0DA1">
        <w:trPr>
          <w:trHeight w:val="160"/>
        </w:trPr>
        <w:tc>
          <w:tcPr>
            <w:tcW w:w="2487" w:type="dxa"/>
            <w:vMerge/>
            <w:tcBorders>
              <w:top w:val="single" w:sz="4" w:space="0" w:color="000000"/>
              <w:left w:val="single" w:sz="4" w:space="0" w:color="000000"/>
              <w:bottom w:val="single" w:sz="4" w:space="0" w:color="000000"/>
              <w:right w:val="single" w:sz="4" w:space="0" w:color="000000"/>
            </w:tcBorders>
            <w:shd w:val="clear" w:color="auto" w:fill="auto"/>
          </w:tcPr>
          <w:p w14:paraId="1D30F11B"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E62D6"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не</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2974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да</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B1D85B"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да</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5EDEF"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да</w:t>
            </w:r>
          </w:p>
        </w:tc>
        <w:tc>
          <w:tcPr>
            <w:tcW w:w="6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59941"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да</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52BA1"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7913C"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CB8B2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647A2"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7045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r>
      <w:tr w:rsidR="00AE6E7E" w:rsidRPr="000F0299" w14:paraId="6833B999" w14:textId="77777777" w:rsidTr="003C0DA1">
        <w:trPr>
          <w:trHeight w:val="160"/>
        </w:trPr>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63625DDF" w14:textId="77777777" w:rsidR="00AE6E7E" w:rsidRPr="000F0299" w:rsidRDefault="00AE6E7E" w:rsidP="00E904BC">
            <w:pPr>
              <w:suppressAutoHyphens w:val="0"/>
              <w:autoSpaceDN/>
              <w:spacing w:before="0"/>
              <w:ind w:firstLine="0"/>
              <w:jc w:val="lef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4FB830C4"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Без одступања</w:t>
            </w:r>
          </w:p>
        </w:tc>
      </w:tr>
    </w:tbl>
    <w:p w14:paraId="6C325DA0" w14:textId="54F0AFFE" w:rsidR="00D4266E" w:rsidRPr="000F0299" w:rsidRDefault="00D4266E" w:rsidP="004E6368">
      <w:pPr>
        <w:rPr>
          <w:lang w:eastAsia="en-US" w:bidi="ar-SA"/>
        </w:rPr>
      </w:pPr>
    </w:p>
    <w:p w14:paraId="309C7851" w14:textId="77777777" w:rsidR="00D4266E" w:rsidRPr="000F0299" w:rsidRDefault="00D4266E">
      <w:pPr>
        <w:suppressAutoHyphens w:val="0"/>
        <w:autoSpaceDN/>
        <w:spacing w:before="0" w:after="160" w:line="259" w:lineRule="auto"/>
        <w:ind w:firstLine="0"/>
        <w:jc w:val="left"/>
        <w:textAlignment w:val="auto"/>
        <w:rPr>
          <w:lang w:eastAsia="en-US" w:bidi="ar-SA"/>
        </w:rPr>
      </w:pPr>
      <w:r w:rsidRPr="000F0299">
        <w:rPr>
          <w:lang w:eastAsia="en-US" w:bidi="ar-SA"/>
        </w:rPr>
        <w:br w:type="page"/>
      </w:r>
    </w:p>
    <w:p w14:paraId="633EAA39" w14:textId="6E81B3A9" w:rsidR="00AE6E7E" w:rsidRPr="000F0299" w:rsidRDefault="00CC370D" w:rsidP="002309DC">
      <w:pPr>
        <w:ind w:firstLine="0"/>
        <w:rPr>
          <w:b/>
          <w:bCs/>
          <w:color w:val="2F5496" w:themeColor="accent1" w:themeShade="BF"/>
        </w:rPr>
      </w:pPr>
      <w:r w:rsidRPr="000F0299">
        <w:rPr>
          <w:b/>
          <w:bCs/>
          <w:color w:val="2F5496" w:themeColor="accent1" w:themeShade="BF"/>
        </w:rPr>
        <w:t>Показатељ 2</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4"/>
        <w:gridCol w:w="643"/>
        <w:gridCol w:w="644"/>
        <w:gridCol w:w="342"/>
        <w:gridCol w:w="302"/>
        <w:gridCol w:w="643"/>
        <w:gridCol w:w="651"/>
        <w:gridCol w:w="646"/>
        <w:gridCol w:w="643"/>
        <w:gridCol w:w="339"/>
        <w:gridCol w:w="306"/>
        <w:gridCol w:w="643"/>
        <w:gridCol w:w="645"/>
      </w:tblGrid>
      <w:tr w:rsidR="00AE6E7E" w:rsidRPr="000F0299" w14:paraId="6C5FB876" w14:textId="77777777" w:rsidTr="00CC370D">
        <w:trPr>
          <w:jc w:val="center"/>
        </w:trPr>
        <w:tc>
          <w:tcPr>
            <w:tcW w:w="2487" w:type="dxa"/>
            <w:tcBorders>
              <w:top w:val="single" w:sz="4" w:space="0" w:color="000000"/>
              <w:left w:val="single" w:sz="4" w:space="0" w:color="000000"/>
              <w:bottom w:val="single" w:sz="4" w:space="0" w:color="000000"/>
              <w:right w:val="single" w:sz="4" w:space="0" w:color="000000"/>
            </w:tcBorders>
            <w:shd w:val="clear" w:color="auto" w:fill="D5DEEE"/>
            <w:vAlign w:val="center"/>
          </w:tcPr>
          <w:p w14:paraId="76154A82"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D5DEEE"/>
            <w:vAlign w:val="center"/>
          </w:tcPr>
          <w:p w14:paraId="29D85C75" w14:textId="001E5533" w:rsidR="00AE6E7E" w:rsidRPr="000F0299" w:rsidRDefault="0070535D" w:rsidP="003C0DA1">
            <w:pPr>
              <w:suppressAutoHyphens w:val="0"/>
              <w:autoSpaceDN/>
              <w:spacing w:before="0"/>
              <w:ind w:firstLine="0"/>
              <w:textAlignment w:val="auto"/>
              <w:rPr>
                <w:rFonts w:eastAsiaTheme="minorHAnsi"/>
                <w:b/>
                <w:bCs/>
                <w:kern w:val="0"/>
                <w:sz w:val="20"/>
                <w:szCs w:val="20"/>
                <w:lang w:eastAsia="en-US" w:bidi="ar-SA"/>
              </w:rPr>
            </w:pPr>
            <w:r w:rsidRPr="0070535D">
              <w:rPr>
                <w:rFonts w:eastAsiaTheme="minorHAnsi"/>
                <w:b/>
                <w:bCs/>
                <w:i/>
                <w:kern w:val="0"/>
                <w:sz w:val="20"/>
                <w:szCs w:val="20"/>
                <w:lang w:eastAsia="en-US" w:bidi="ar-SA"/>
              </w:rPr>
              <w:t>SIGMA</w:t>
            </w:r>
            <w:r w:rsidR="00AE6E7E" w:rsidRPr="000F0299">
              <w:rPr>
                <w:rFonts w:eastAsiaTheme="minorHAnsi"/>
                <w:b/>
                <w:bCs/>
                <w:kern w:val="0"/>
                <w:sz w:val="20"/>
                <w:szCs w:val="20"/>
                <w:lang w:eastAsia="en-US" w:bidi="ar-SA"/>
              </w:rPr>
              <w:t xml:space="preserve"> индикатор: Приступ информацијама од јавног значаја</w:t>
            </w:r>
          </w:p>
        </w:tc>
      </w:tr>
      <w:tr w:rsidR="00AE6E7E" w:rsidRPr="000F0299" w14:paraId="3CC347DA" w14:textId="77777777" w:rsidTr="00AE6E7E">
        <w:trPr>
          <w:jc w:val="center"/>
        </w:trPr>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2F347D68"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auto"/>
          </w:tcPr>
          <w:p w14:paraId="0BBBC00C"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Посебан циљ 4.1:</w:t>
            </w:r>
            <w:r w:rsidRPr="000F0299">
              <w:rPr>
                <w:rFonts w:eastAsiaTheme="minorHAnsi"/>
                <w:kern w:val="0"/>
                <w:sz w:val="20"/>
                <w:szCs w:val="20"/>
                <w:lang w:eastAsia="en-US" w:bidi="ar-SA"/>
              </w:rPr>
              <w:t xml:space="preserve"> Унапређен ниво одговорности и транспарентност на свим нивоима власти</w:t>
            </w:r>
          </w:p>
        </w:tc>
      </w:tr>
      <w:tr w:rsidR="00E904BC" w:rsidRPr="000F0299" w14:paraId="1624307B" w14:textId="77777777" w:rsidTr="00C45368">
        <w:trPr>
          <w:trHeight w:val="70"/>
          <w:jc w:val="center"/>
        </w:trPr>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2AA85894" w14:textId="77777777" w:rsidR="00E904BC" w:rsidRPr="000F0299" w:rsidRDefault="00E904BC"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Тип и ниво показатеља</w:t>
            </w:r>
          </w:p>
        </w:tc>
        <w:tc>
          <w:tcPr>
            <w:tcW w:w="3222" w:type="dxa"/>
            <w:gridSpan w:val="6"/>
            <w:tcBorders>
              <w:top w:val="single" w:sz="4" w:space="0" w:color="000000"/>
              <w:left w:val="single" w:sz="4" w:space="0" w:color="000000"/>
              <w:bottom w:val="single" w:sz="4" w:space="0" w:color="000000"/>
              <w:right w:val="single" w:sz="4" w:space="0" w:color="000000"/>
            </w:tcBorders>
            <w:shd w:val="clear" w:color="auto" w:fill="auto"/>
          </w:tcPr>
          <w:p w14:paraId="15334E6E" w14:textId="2F24AF8E" w:rsidR="00E904BC" w:rsidRPr="000F0299" w:rsidRDefault="00E904B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Ква</w:t>
            </w:r>
            <w:r w:rsidR="00B53B5C" w:rsidRPr="000F0299">
              <w:rPr>
                <w:rFonts w:eastAsiaTheme="minorHAnsi"/>
                <w:kern w:val="0"/>
                <w:sz w:val="20"/>
                <w:szCs w:val="20"/>
                <w:lang w:eastAsia="en-US" w:bidi="ar-SA"/>
              </w:rPr>
              <w:t>литативни</w:t>
            </w:r>
          </w:p>
        </w:tc>
        <w:tc>
          <w:tcPr>
            <w:tcW w:w="3222" w:type="dxa"/>
            <w:gridSpan w:val="6"/>
            <w:tcBorders>
              <w:top w:val="single" w:sz="4" w:space="0" w:color="000000"/>
              <w:left w:val="single" w:sz="4" w:space="0" w:color="000000"/>
              <w:bottom w:val="single" w:sz="4" w:space="0" w:color="000000"/>
              <w:right w:val="single" w:sz="4" w:space="0" w:color="000000"/>
            </w:tcBorders>
            <w:shd w:val="clear" w:color="auto" w:fill="auto"/>
          </w:tcPr>
          <w:p w14:paraId="175AEC33" w14:textId="72C0FA70" w:rsidR="00E904BC" w:rsidRPr="000F0299" w:rsidRDefault="00E904B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Показатељ исхода</w:t>
            </w:r>
          </w:p>
        </w:tc>
      </w:tr>
      <w:tr w:rsidR="00AE6E7E" w:rsidRPr="000F0299" w14:paraId="2734BABC" w14:textId="77777777" w:rsidTr="00AE6E7E">
        <w:trPr>
          <w:trHeight w:val="445"/>
          <w:jc w:val="center"/>
        </w:trPr>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05648AE5"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Јединица мере и природа</w:t>
            </w:r>
          </w:p>
        </w:tc>
        <w:tc>
          <w:tcPr>
            <w:tcW w:w="3225" w:type="dxa"/>
            <w:gridSpan w:val="6"/>
            <w:tcBorders>
              <w:top w:val="single" w:sz="4" w:space="0" w:color="000000"/>
              <w:left w:val="single" w:sz="4" w:space="0" w:color="000000"/>
              <w:bottom w:val="single" w:sz="4" w:space="0" w:color="000000"/>
              <w:right w:val="single" w:sz="4" w:space="0" w:color="000000"/>
            </w:tcBorders>
            <w:shd w:val="clear" w:color="auto" w:fill="auto"/>
          </w:tcPr>
          <w:p w14:paraId="7D312D1C" w14:textId="438A65D6"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Бод</w:t>
            </w:r>
          </w:p>
        </w:tc>
        <w:tc>
          <w:tcPr>
            <w:tcW w:w="3219" w:type="dxa"/>
            <w:gridSpan w:val="6"/>
            <w:tcBorders>
              <w:top w:val="single" w:sz="4" w:space="0" w:color="000000"/>
              <w:left w:val="single" w:sz="4" w:space="0" w:color="000000"/>
              <w:bottom w:val="single" w:sz="4" w:space="0" w:color="000000"/>
              <w:right w:val="single" w:sz="4" w:space="0" w:color="000000"/>
            </w:tcBorders>
            <w:shd w:val="clear" w:color="auto" w:fill="auto"/>
          </w:tcPr>
          <w:p w14:paraId="629C74AB" w14:textId="2D6FAA76" w:rsidR="00AE6E7E" w:rsidRPr="000F0299" w:rsidRDefault="00E904B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Већи број бодова је пожељан</w:t>
            </w:r>
            <w:r w:rsidR="00B53B5C" w:rsidRPr="000F0299">
              <w:rPr>
                <w:rFonts w:eastAsiaTheme="minorHAnsi"/>
                <w:kern w:val="0"/>
                <w:sz w:val="20"/>
                <w:szCs w:val="20"/>
                <w:lang w:eastAsia="en-US" w:bidi="ar-SA"/>
              </w:rPr>
              <w:t>.</w:t>
            </w:r>
            <w:r w:rsidRPr="000F0299">
              <w:rPr>
                <w:rFonts w:eastAsiaTheme="minorHAnsi"/>
                <w:kern w:val="0"/>
                <w:sz w:val="20"/>
                <w:szCs w:val="20"/>
                <w:lang w:eastAsia="en-US" w:bidi="ar-SA"/>
              </w:rPr>
              <w:t xml:space="preserve"> </w:t>
            </w:r>
            <w:r w:rsidR="00AE6E7E" w:rsidRPr="000F0299">
              <w:rPr>
                <w:rFonts w:eastAsiaTheme="minorHAnsi"/>
                <w:kern w:val="0"/>
                <w:sz w:val="20"/>
                <w:szCs w:val="20"/>
                <w:lang w:eastAsia="en-US" w:bidi="ar-SA"/>
              </w:rPr>
              <w:t xml:space="preserve">Скала у распону од 0 - тражене информације нису доступне, нити их је држава обезбедила до 5 - вредност која је резервисана за учинак, који у потпуности усклађен са принципима и стандардима добре управе. </w:t>
            </w:r>
          </w:p>
        </w:tc>
      </w:tr>
      <w:tr w:rsidR="00AE6E7E" w:rsidRPr="000F0299" w14:paraId="08DA4C3B" w14:textId="77777777" w:rsidTr="00AE6E7E">
        <w:trPr>
          <w:jc w:val="center"/>
        </w:trPr>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2CEC8661"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auto"/>
          </w:tcPr>
          <w:p w14:paraId="08EC070A"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SIGMA Мониторинг извештај</w:t>
            </w:r>
          </w:p>
          <w:p w14:paraId="61D6CF44" w14:textId="77777777" w:rsidR="00AE6E7E" w:rsidRPr="000F0299" w:rsidRDefault="00F47F65" w:rsidP="003C0DA1">
            <w:pPr>
              <w:suppressAutoHyphens w:val="0"/>
              <w:autoSpaceDN/>
              <w:spacing w:before="0"/>
              <w:ind w:firstLine="0"/>
              <w:textAlignment w:val="auto"/>
              <w:rPr>
                <w:rFonts w:eastAsiaTheme="minorHAnsi"/>
                <w:kern w:val="0"/>
                <w:sz w:val="20"/>
                <w:szCs w:val="20"/>
                <w:lang w:eastAsia="en-US" w:bidi="ar-SA"/>
              </w:rPr>
            </w:pPr>
            <w:hyperlink r:id="rId208" w:history="1">
              <w:r w:rsidR="00AE6E7E" w:rsidRPr="000F0299">
                <w:rPr>
                  <w:rFonts w:eastAsiaTheme="minorHAnsi"/>
                  <w:color w:val="0563C1" w:themeColor="hyperlink"/>
                  <w:kern w:val="0"/>
                  <w:sz w:val="20"/>
                  <w:szCs w:val="20"/>
                  <w:u w:val="single"/>
                  <w:lang w:eastAsia="en-US" w:bidi="ar-SA"/>
                </w:rPr>
                <w:t>http://www.sigmaweb.org/publications/monitoring-reports.htm</w:t>
              </w:r>
            </w:hyperlink>
            <w:r w:rsidR="00AE6E7E" w:rsidRPr="000F0299">
              <w:rPr>
                <w:rFonts w:eastAsiaTheme="minorHAnsi"/>
                <w:kern w:val="0"/>
                <w:sz w:val="20"/>
                <w:szCs w:val="20"/>
                <w:lang w:eastAsia="en-US" w:bidi="ar-SA"/>
              </w:rPr>
              <w:t xml:space="preserve">  </w:t>
            </w:r>
          </w:p>
        </w:tc>
      </w:tr>
      <w:tr w:rsidR="00AE6E7E" w:rsidRPr="000F0299" w14:paraId="46836F0F" w14:textId="77777777" w:rsidTr="00AE6E7E">
        <w:trPr>
          <w:jc w:val="center"/>
        </w:trPr>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39AB35D2"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auto"/>
          </w:tcPr>
          <w:p w14:paraId="783C9094" w14:textId="644CB3F4" w:rsidR="00AE6E7E" w:rsidRPr="000F0299" w:rsidRDefault="00AE6E7E" w:rsidP="00E400F4">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Министарство </w:t>
            </w:r>
            <w:r w:rsidR="00864D50" w:rsidRPr="000F0299">
              <w:rPr>
                <w:rFonts w:eastAsiaTheme="minorHAnsi"/>
                <w:kern w:val="0"/>
                <w:sz w:val="20"/>
                <w:szCs w:val="20"/>
                <w:lang w:eastAsia="en-US" w:bidi="ar-SA"/>
              </w:rPr>
              <w:t>државне</w:t>
            </w:r>
            <w:r w:rsidRPr="000F0299">
              <w:rPr>
                <w:rFonts w:eastAsiaTheme="minorHAnsi"/>
                <w:kern w:val="0"/>
                <w:sz w:val="20"/>
                <w:szCs w:val="20"/>
                <w:lang w:eastAsia="en-US" w:bidi="ar-SA"/>
              </w:rPr>
              <w:t xml:space="preserve"> </w:t>
            </w:r>
            <w:r w:rsidR="00864D50" w:rsidRPr="000F0299">
              <w:rPr>
                <w:rFonts w:eastAsiaTheme="minorHAnsi"/>
                <w:kern w:val="0"/>
                <w:sz w:val="20"/>
                <w:szCs w:val="20"/>
                <w:lang w:eastAsia="en-US" w:bidi="ar-SA"/>
              </w:rPr>
              <w:t>управе</w:t>
            </w:r>
            <w:r w:rsidRPr="000F0299">
              <w:rPr>
                <w:rFonts w:eastAsiaTheme="minorHAnsi"/>
                <w:kern w:val="0"/>
                <w:sz w:val="20"/>
                <w:szCs w:val="20"/>
                <w:lang w:eastAsia="en-US" w:bidi="ar-SA"/>
              </w:rPr>
              <w:t xml:space="preserve"> и </w:t>
            </w:r>
            <w:r w:rsidR="00864D50" w:rsidRPr="000F0299">
              <w:rPr>
                <w:rFonts w:eastAsiaTheme="minorHAnsi"/>
                <w:kern w:val="0"/>
                <w:sz w:val="20"/>
                <w:szCs w:val="20"/>
                <w:lang w:eastAsia="en-US" w:bidi="ar-SA"/>
              </w:rPr>
              <w:t>локалне</w:t>
            </w:r>
            <w:r w:rsidRPr="000F0299">
              <w:rPr>
                <w:rFonts w:eastAsiaTheme="minorHAnsi"/>
                <w:kern w:val="0"/>
                <w:sz w:val="20"/>
                <w:szCs w:val="20"/>
                <w:lang w:eastAsia="en-US" w:bidi="ar-SA"/>
              </w:rPr>
              <w:t xml:space="preserve"> </w:t>
            </w:r>
            <w:r w:rsidR="00864D50" w:rsidRPr="000F0299">
              <w:rPr>
                <w:rFonts w:eastAsiaTheme="minorHAnsi"/>
                <w:kern w:val="0"/>
                <w:sz w:val="20"/>
                <w:szCs w:val="20"/>
                <w:lang w:eastAsia="en-US" w:bidi="ar-SA"/>
              </w:rPr>
              <w:t>самоуправе</w:t>
            </w:r>
            <w:r w:rsidRPr="000F0299">
              <w:rPr>
                <w:rFonts w:eastAsiaTheme="minorHAnsi"/>
                <w:kern w:val="0"/>
                <w:sz w:val="20"/>
                <w:szCs w:val="20"/>
                <w:lang w:eastAsia="en-US" w:bidi="ar-SA"/>
              </w:rPr>
              <w:t>, Одељење за ст</w:t>
            </w:r>
            <w:r w:rsidR="00E400F4">
              <w:rPr>
                <w:rFonts w:eastAsiaTheme="minorHAnsi"/>
                <w:kern w:val="0"/>
                <w:sz w:val="20"/>
                <w:szCs w:val="20"/>
                <w:lang w:eastAsia="en-US" w:bidi="ar-SA"/>
              </w:rPr>
              <w:t>ратешко планирање јавне управе</w:t>
            </w:r>
          </w:p>
        </w:tc>
      </w:tr>
      <w:tr w:rsidR="00AE6E7E" w:rsidRPr="000F0299" w14:paraId="543E1918" w14:textId="77777777" w:rsidTr="00AE6E7E">
        <w:trPr>
          <w:jc w:val="center"/>
        </w:trPr>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3B485E81"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auto"/>
          </w:tcPr>
          <w:p w14:paraId="625E3C59"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Подаци се прикупљају на 5 година, до краја септембра 2025.</w:t>
            </w:r>
          </w:p>
        </w:tc>
      </w:tr>
      <w:tr w:rsidR="00AE6E7E" w:rsidRPr="000F0299" w14:paraId="6E36745D" w14:textId="77777777" w:rsidTr="00AE6E7E">
        <w:trPr>
          <w:trHeight w:val="416"/>
          <w:jc w:val="center"/>
        </w:trPr>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6D5583BC"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Кратак опис показатеља и методологије израчунавања</w:t>
            </w:r>
          </w:p>
          <w:p w14:paraId="04ABB138"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(формуле/ једначине)</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auto"/>
          </w:tcPr>
          <w:p w14:paraId="49BA76CD" w14:textId="2163C21A" w:rsidR="00AE6E7E" w:rsidRPr="000F0299" w:rsidRDefault="00D958ED"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Формула/једначина</w:t>
            </w:r>
          </w:p>
          <w:p w14:paraId="116C7EED" w14:textId="4183488D"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За оцену Приступа информацијама од јавног значаја развијен је посебан </w:t>
            </w:r>
            <w:r w:rsidR="0070535D" w:rsidRPr="0070535D">
              <w:rPr>
                <w:rFonts w:eastAsiaTheme="minorHAnsi"/>
                <w:i/>
                <w:kern w:val="0"/>
                <w:sz w:val="20"/>
                <w:szCs w:val="20"/>
                <w:lang w:eastAsia="en-US" w:bidi="ar-SA"/>
              </w:rPr>
              <w:t>SIGMA</w:t>
            </w:r>
            <w:r w:rsidRPr="000F0299">
              <w:rPr>
                <w:rFonts w:eastAsiaTheme="minorHAnsi"/>
                <w:kern w:val="0"/>
                <w:sz w:val="20"/>
                <w:szCs w:val="20"/>
                <w:lang w:eastAsia="en-US" w:bidi="ar-SA"/>
              </w:rPr>
              <w:t xml:space="preserve"> индикатор који мери ниво до кога је правни и институционални оквир у вези са информацијама од јавног значаја успостављен, промовисање правовременог одговарања на захтеве за приступ информацијама од јавног значаја без наплате трошкова или уз наплату разумних трошкова. У оквиру овог индикатора развијени су подинидикатори који се могу оценити бодовима у распону од 1 (најслабији учинак) до 5 и 10 (најбољи учинак у зависности од подинидкатора) за нормативни оквир, односно у распону од 1 (најслабији учинак) до 2,5 и 5 (најбољи учинак у зависности од подинидкатора) за примену у пракси. Нормативни и институционални оквир садржи следеће подинидкаторе: адекватност законодавства које се односи на приступ информацијама од јавног значаја (10); покривеност основних механизама за примену приступа информацијама од јавног значаја (5). Примена у пракси садржи следеће подинидкаторе: проактивност у доступности информација од јавног значаја од стране државних органа које се могу наћи на њиховим интернет презентацијама (5); проактивност у доступности база података које су у поседу органа јавне управе на централном нивоу (5); перцепција грађана о доступности информација од јавног значаја (2,5); перцепција привреде о доступности информација од јавног значаја  (2,5). Бодови сваког подинидикатора се сабирају, а потом се укупан збир бодова претвара у коначну вредност индикатора.</w:t>
            </w:r>
          </w:p>
          <w:p w14:paraId="0A4E0585"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Конвертовање укупног збира бодова у коначну вредност индикатора: 0-5=0 6-10=1 11-15=2 16-20=3 21-25=4 26-30=5</w:t>
            </w:r>
          </w:p>
        </w:tc>
      </w:tr>
      <w:tr w:rsidR="00AE6E7E" w:rsidRPr="000F0299" w14:paraId="434FC811" w14:textId="77777777" w:rsidTr="00AE6E7E">
        <w:trPr>
          <w:trHeight w:val="265"/>
          <w:jc w:val="center"/>
        </w:trPr>
        <w:tc>
          <w:tcPr>
            <w:tcW w:w="248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1B04B4"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48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9903D0A"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tc>
        <w:tc>
          <w:tcPr>
            <w:tcW w:w="159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8285B1"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AE6E7E" w:rsidRPr="000F0299" w14:paraId="1D7646AD" w14:textId="77777777" w:rsidTr="00AE6E7E">
        <w:trPr>
          <w:trHeight w:val="137"/>
          <w:jc w:val="center"/>
        </w:trPr>
        <w:tc>
          <w:tcPr>
            <w:tcW w:w="2487" w:type="dxa"/>
            <w:vMerge/>
            <w:tcBorders>
              <w:top w:val="single" w:sz="4" w:space="0" w:color="000000"/>
              <w:left w:val="single" w:sz="4" w:space="0" w:color="000000"/>
              <w:bottom w:val="single" w:sz="4" w:space="0" w:color="000000"/>
              <w:right w:val="single" w:sz="4" w:space="0" w:color="000000"/>
            </w:tcBorders>
            <w:shd w:val="clear" w:color="auto" w:fill="auto"/>
          </w:tcPr>
          <w:p w14:paraId="66BB1C40"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37A88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2016</w:t>
            </w:r>
          </w:p>
        </w:tc>
        <w:tc>
          <w:tcPr>
            <w:tcW w:w="15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4A193D"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2017</w:t>
            </w:r>
          </w:p>
        </w:tc>
        <w:tc>
          <w:tcPr>
            <w:tcW w:w="16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B72835"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159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8E3439" w14:textId="3719D448"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2019</w:t>
            </w:r>
          </w:p>
        </w:tc>
      </w:tr>
      <w:tr w:rsidR="00AE6E7E" w:rsidRPr="000F0299" w14:paraId="63071A0E" w14:textId="77777777" w:rsidTr="00AE6E7E">
        <w:trPr>
          <w:trHeight w:val="323"/>
          <w:jc w:val="center"/>
        </w:trPr>
        <w:tc>
          <w:tcPr>
            <w:tcW w:w="2487" w:type="dxa"/>
            <w:vMerge/>
            <w:tcBorders>
              <w:top w:val="single" w:sz="4" w:space="0" w:color="000000"/>
              <w:left w:val="single" w:sz="4" w:space="0" w:color="000000"/>
              <w:bottom w:val="single" w:sz="4" w:space="0" w:color="000000"/>
              <w:right w:val="single" w:sz="4" w:space="0" w:color="000000"/>
            </w:tcBorders>
            <w:shd w:val="clear" w:color="auto" w:fill="auto"/>
          </w:tcPr>
          <w:p w14:paraId="5D8217C3"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D68787"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5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1A314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21/30 (4)</w:t>
            </w:r>
          </w:p>
        </w:tc>
        <w:tc>
          <w:tcPr>
            <w:tcW w:w="16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E0D4C6"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59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4F65F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21/30 (4)</w:t>
            </w:r>
          </w:p>
        </w:tc>
      </w:tr>
      <w:tr w:rsidR="00AE6E7E" w:rsidRPr="000F0299" w14:paraId="79BAD32C" w14:textId="77777777" w:rsidTr="00AE6E7E">
        <w:trPr>
          <w:trHeight w:val="274"/>
          <w:jc w:val="center"/>
        </w:trPr>
        <w:tc>
          <w:tcPr>
            <w:tcW w:w="248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27F71D1"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E1387"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FE925"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203F1C"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1C2A7"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6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56453"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68DF6"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0C69F"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209AB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BB62C"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8741A"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AE6E7E" w:rsidRPr="000F0299" w14:paraId="61F3AB4B" w14:textId="77777777" w:rsidTr="00AE6E7E">
        <w:trPr>
          <w:trHeight w:val="160"/>
          <w:jc w:val="center"/>
        </w:trPr>
        <w:tc>
          <w:tcPr>
            <w:tcW w:w="2487" w:type="dxa"/>
            <w:vMerge/>
            <w:tcBorders>
              <w:top w:val="single" w:sz="4" w:space="0" w:color="000000"/>
              <w:left w:val="single" w:sz="4" w:space="0" w:color="000000"/>
              <w:bottom w:val="single" w:sz="4" w:space="0" w:color="000000"/>
              <w:right w:val="single" w:sz="4" w:space="0" w:color="000000"/>
            </w:tcBorders>
            <w:shd w:val="clear" w:color="auto" w:fill="auto"/>
          </w:tcPr>
          <w:p w14:paraId="0F443500"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1F7C6"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B384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2BC5D9"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21AE9"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F0089"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30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461D6"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A0EF6"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AC9A0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DF440"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0492B"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r>
      <w:tr w:rsidR="00AE6E7E" w:rsidRPr="000F0299" w14:paraId="30331955" w14:textId="77777777" w:rsidTr="00AE6E7E">
        <w:trPr>
          <w:trHeight w:val="160"/>
          <w:jc w:val="center"/>
        </w:trPr>
        <w:tc>
          <w:tcPr>
            <w:tcW w:w="2487" w:type="dxa"/>
            <w:tcBorders>
              <w:top w:val="single" w:sz="4" w:space="0" w:color="000000"/>
              <w:left w:val="single" w:sz="4" w:space="0" w:color="000000"/>
              <w:bottom w:val="single" w:sz="4" w:space="0" w:color="000000"/>
              <w:right w:val="single" w:sz="4" w:space="0" w:color="000000"/>
            </w:tcBorders>
            <w:shd w:val="clear" w:color="auto" w:fill="auto"/>
          </w:tcPr>
          <w:p w14:paraId="5BFF50AF"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44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CC72DC0"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iCs/>
                <w:kern w:val="0"/>
                <w:sz w:val="20"/>
                <w:szCs w:val="20"/>
                <w:lang w:eastAsia="en-US" w:bidi="ar-SA"/>
              </w:rPr>
              <w:t>Одступање до 5% у односу на циљану вредност биће вредновано као успех.</w:t>
            </w:r>
          </w:p>
        </w:tc>
      </w:tr>
    </w:tbl>
    <w:p w14:paraId="793CF8A6" w14:textId="589E628A" w:rsidR="00AE6E7E" w:rsidRPr="000F0299" w:rsidRDefault="00CC370D" w:rsidP="002309DC">
      <w:pPr>
        <w:ind w:firstLine="0"/>
        <w:rPr>
          <w:b/>
          <w:bCs/>
          <w:color w:val="2F5496" w:themeColor="accent1" w:themeShade="BF"/>
        </w:rPr>
      </w:pPr>
      <w:r w:rsidRPr="000F0299">
        <w:rPr>
          <w:b/>
          <w:bCs/>
          <w:color w:val="2F5496" w:themeColor="accent1" w:themeShade="BF"/>
        </w:rPr>
        <w:t>Показатељ 3</w:t>
      </w:r>
    </w:p>
    <w:tbl>
      <w:tblPr>
        <w:tblW w:w="89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9"/>
        <w:gridCol w:w="644"/>
        <w:gridCol w:w="644"/>
        <w:gridCol w:w="340"/>
        <w:gridCol w:w="304"/>
        <w:gridCol w:w="643"/>
        <w:gridCol w:w="652"/>
        <w:gridCol w:w="645"/>
        <w:gridCol w:w="644"/>
        <w:gridCol w:w="339"/>
        <w:gridCol w:w="304"/>
        <w:gridCol w:w="643"/>
        <w:gridCol w:w="650"/>
        <w:gridCol w:w="6"/>
      </w:tblGrid>
      <w:tr w:rsidR="00AE6E7E" w:rsidRPr="000F0299" w14:paraId="4F5012C8" w14:textId="77777777" w:rsidTr="00E904BC">
        <w:trPr>
          <w:gridAfter w:val="1"/>
          <w:wAfter w:w="6" w:type="dxa"/>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D5DEEE"/>
            <w:vAlign w:val="center"/>
          </w:tcPr>
          <w:p w14:paraId="331BF729"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6449" w:type="dxa"/>
            <w:gridSpan w:val="12"/>
            <w:tcBorders>
              <w:top w:val="single" w:sz="4" w:space="0" w:color="000000"/>
              <w:left w:val="single" w:sz="4" w:space="0" w:color="000000"/>
              <w:bottom w:val="single" w:sz="4" w:space="0" w:color="000000"/>
              <w:right w:val="single" w:sz="4" w:space="0" w:color="000000"/>
            </w:tcBorders>
            <w:shd w:val="clear" w:color="auto" w:fill="D5DEEE"/>
            <w:vAlign w:val="center"/>
          </w:tcPr>
          <w:p w14:paraId="52E5A74D"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 xml:space="preserve">Проценат органа јавне управе на централном нивоу у којима су одређена овлашћена службена лица за вођење управног поступка и одлучивање у управним стварима </w:t>
            </w:r>
          </w:p>
        </w:tc>
      </w:tr>
      <w:tr w:rsidR="00AE6E7E" w:rsidRPr="000F0299" w14:paraId="128CA06A" w14:textId="77777777" w:rsidTr="00E904BC">
        <w:trPr>
          <w:gridAfter w:val="1"/>
          <w:wAfter w:w="6" w:type="dxa"/>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4DED6C61"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449" w:type="dxa"/>
            <w:gridSpan w:val="12"/>
            <w:tcBorders>
              <w:top w:val="single" w:sz="4" w:space="0" w:color="000000"/>
              <w:left w:val="single" w:sz="4" w:space="0" w:color="000000"/>
              <w:bottom w:val="single" w:sz="4" w:space="0" w:color="000000"/>
              <w:right w:val="single" w:sz="4" w:space="0" w:color="000000"/>
            </w:tcBorders>
            <w:shd w:val="clear" w:color="auto" w:fill="auto"/>
          </w:tcPr>
          <w:p w14:paraId="2863AA65"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Мера 4.1.1:</w:t>
            </w:r>
            <w:r w:rsidRPr="000F0299">
              <w:rPr>
                <w:rFonts w:eastAsiaTheme="minorHAnsi"/>
                <w:kern w:val="0"/>
                <w:sz w:val="20"/>
                <w:szCs w:val="20"/>
                <w:lang w:eastAsia="en-US" w:bidi="ar-SA"/>
              </w:rPr>
              <w:t xml:space="preserve"> Успостављање системских решења за управљачку одговорност у органима јавне управе (повећање аутономије)</w:t>
            </w:r>
          </w:p>
        </w:tc>
      </w:tr>
      <w:tr w:rsidR="00E904BC" w:rsidRPr="000F0299" w14:paraId="640942BE" w14:textId="77777777" w:rsidTr="00E904BC">
        <w:trPr>
          <w:gridAfter w:val="1"/>
          <w:wAfter w:w="6" w:type="dxa"/>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37F2AD11" w14:textId="77777777" w:rsidR="00E904BC" w:rsidRPr="000F0299" w:rsidRDefault="00E904BC"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Тип и ниво показатеља</w:t>
            </w:r>
          </w:p>
        </w:tc>
        <w:tc>
          <w:tcPr>
            <w:tcW w:w="3227" w:type="dxa"/>
            <w:gridSpan w:val="6"/>
            <w:tcBorders>
              <w:top w:val="single" w:sz="4" w:space="0" w:color="000000"/>
              <w:left w:val="single" w:sz="4" w:space="0" w:color="000000"/>
              <w:bottom w:val="single" w:sz="4" w:space="0" w:color="000000"/>
              <w:right w:val="single" w:sz="4" w:space="0" w:color="000000"/>
            </w:tcBorders>
            <w:shd w:val="clear" w:color="auto" w:fill="auto"/>
          </w:tcPr>
          <w:p w14:paraId="78AC038F" w14:textId="67328D63" w:rsidR="00E904BC" w:rsidRPr="000F0299" w:rsidRDefault="00E904B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Квантитативни</w:t>
            </w:r>
          </w:p>
        </w:tc>
        <w:tc>
          <w:tcPr>
            <w:tcW w:w="3222" w:type="dxa"/>
            <w:gridSpan w:val="6"/>
            <w:tcBorders>
              <w:top w:val="single" w:sz="4" w:space="0" w:color="000000"/>
              <w:left w:val="single" w:sz="4" w:space="0" w:color="000000"/>
              <w:bottom w:val="single" w:sz="4" w:space="0" w:color="000000"/>
              <w:right w:val="single" w:sz="4" w:space="0" w:color="000000"/>
            </w:tcBorders>
            <w:shd w:val="clear" w:color="auto" w:fill="auto"/>
          </w:tcPr>
          <w:p w14:paraId="73E6459B" w14:textId="517A36F8" w:rsidR="00E904BC" w:rsidRPr="000F0299" w:rsidRDefault="00E904B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Показатељ резултата</w:t>
            </w:r>
          </w:p>
        </w:tc>
      </w:tr>
      <w:tr w:rsidR="00E904BC" w:rsidRPr="000F0299" w14:paraId="48FF3937" w14:textId="77777777" w:rsidTr="00E904BC">
        <w:trPr>
          <w:gridAfter w:val="1"/>
          <w:wAfter w:w="6" w:type="dxa"/>
          <w:trHeight w:val="373"/>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5252618B" w14:textId="77777777" w:rsidR="00E904BC" w:rsidRPr="000F0299" w:rsidRDefault="00E904BC"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Јединица мере и природа</w:t>
            </w:r>
          </w:p>
        </w:tc>
        <w:tc>
          <w:tcPr>
            <w:tcW w:w="3224" w:type="dxa"/>
            <w:gridSpan w:val="6"/>
            <w:tcBorders>
              <w:top w:val="single" w:sz="4" w:space="0" w:color="000000"/>
              <w:left w:val="single" w:sz="4" w:space="0" w:color="000000"/>
              <w:bottom w:val="single" w:sz="4" w:space="0" w:color="000000"/>
              <w:right w:val="single" w:sz="4" w:space="0" w:color="000000"/>
            </w:tcBorders>
            <w:shd w:val="clear" w:color="auto" w:fill="auto"/>
          </w:tcPr>
          <w:p w14:paraId="70BFC83E" w14:textId="26939AB0" w:rsidR="00E904BC" w:rsidRPr="000F0299" w:rsidRDefault="00E904B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 </w:t>
            </w:r>
          </w:p>
        </w:tc>
        <w:tc>
          <w:tcPr>
            <w:tcW w:w="3225" w:type="dxa"/>
            <w:gridSpan w:val="6"/>
            <w:tcBorders>
              <w:top w:val="single" w:sz="4" w:space="0" w:color="000000"/>
              <w:left w:val="single" w:sz="4" w:space="0" w:color="000000"/>
              <w:bottom w:val="single" w:sz="4" w:space="0" w:color="000000"/>
              <w:right w:val="single" w:sz="4" w:space="0" w:color="000000"/>
            </w:tcBorders>
            <w:shd w:val="clear" w:color="auto" w:fill="auto"/>
          </w:tcPr>
          <w:p w14:paraId="3D74E843" w14:textId="783EE754" w:rsidR="00E904BC" w:rsidRPr="000F0299" w:rsidRDefault="00E904B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Већа вредност је пожељна</w:t>
            </w:r>
          </w:p>
        </w:tc>
      </w:tr>
      <w:tr w:rsidR="00AE6E7E" w:rsidRPr="000F0299" w14:paraId="6D758BC8" w14:textId="77777777" w:rsidTr="00E904BC">
        <w:trPr>
          <w:gridAfter w:val="1"/>
          <w:wAfter w:w="6" w:type="dxa"/>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0242DBE2"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449" w:type="dxa"/>
            <w:gridSpan w:val="12"/>
            <w:tcBorders>
              <w:top w:val="single" w:sz="4" w:space="0" w:color="000000"/>
              <w:left w:val="single" w:sz="4" w:space="0" w:color="000000"/>
              <w:bottom w:val="single" w:sz="4" w:space="0" w:color="000000"/>
              <w:right w:val="single" w:sz="4" w:space="0" w:color="000000"/>
            </w:tcBorders>
            <w:shd w:val="clear" w:color="auto" w:fill="auto"/>
          </w:tcPr>
          <w:p w14:paraId="59FA2BF7"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Извештај о броју органа јавне управе на централном нивоу у којима су одређена овлашћена службена лица за вођење управног поступка и одлучивање у управним стварима</w:t>
            </w:r>
          </w:p>
        </w:tc>
      </w:tr>
      <w:tr w:rsidR="00AE6E7E" w:rsidRPr="000F0299" w14:paraId="03ACB60D" w14:textId="77777777" w:rsidTr="00E904BC">
        <w:trPr>
          <w:gridAfter w:val="1"/>
          <w:wAfter w:w="6" w:type="dxa"/>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51805B76"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449" w:type="dxa"/>
            <w:gridSpan w:val="12"/>
            <w:tcBorders>
              <w:top w:val="single" w:sz="4" w:space="0" w:color="000000"/>
              <w:left w:val="single" w:sz="4" w:space="0" w:color="000000"/>
              <w:bottom w:val="single" w:sz="4" w:space="0" w:color="000000"/>
              <w:right w:val="single" w:sz="4" w:space="0" w:color="000000"/>
            </w:tcBorders>
            <w:shd w:val="clear" w:color="auto" w:fill="auto"/>
          </w:tcPr>
          <w:p w14:paraId="2315500D" w14:textId="209339A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МДУЛС, Одељење за уређење и координацију система јавне управе</w:t>
            </w:r>
          </w:p>
        </w:tc>
      </w:tr>
      <w:tr w:rsidR="00AE6E7E" w:rsidRPr="000F0299" w14:paraId="60550230" w14:textId="77777777" w:rsidTr="00E904BC">
        <w:trPr>
          <w:gridAfter w:val="1"/>
          <w:wAfter w:w="6" w:type="dxa"/>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13D0D476"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449" w:type="dxa"/>
            <w:gridSpan w:val="12"/>
            <w:tcBorders>
              <w:top w:val="single" w:sz="4" w:space="0" w:color="000000"/>
              <w:left w:val="single" w:sz="4" w:space="0" w:color="000000"/>
              <w:bottom w:val="single" w:sz="4" w:space="0" w:color="000000"/>
              <w:right w:val="single" w:sz="4" w:space="0" w:color="000000"/>
            </w:tcBorders>
            <w:shd w:val="clear" w:color="auto" w:fill="auto"/>
          </w:tcPr>
          <w:p w14:paraId="4D736E23"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Подаци се прикупљају на годишњем нивоу, до краја априла текуће године за претходну</w:t>
            </w:r>
          </w:p>
        </w:tc>
      </w:tr>
      <w:tr w:rsidR="00AE6E7E" w:rsidRPr="000F0299" w14:paraId="135AFAA1" w14:textId="77777777" w:rsidTr="00E904BC">
        <w:trPr>
          <w:trHeight w:val="132"/>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3841E499"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bookmarkStart w:id="336" w:name="_Hlk54870683"/>
            <w:r w:rsidRPr="000F0299">
              <w:rPr>
                <w:rFonts w:eastAsiaTheme="minorHAnsi"/>
                <w:b/>
                <w:bCs/>
                <w:kern w:val="0"/>
                <w:sz w:val="20"/>
                <w:szCs w:val="20"/>
                <w:lang w:eastAsia="en-US" w:bidi="ar-SA"/>
              </w:rPr>
              <w:t>Кратак опис показатеља и методологије израчунавања</w:t>
            </w:r>
          </w:p>
          <w:p w14:paraId="52EB9068"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(формуле/ једначине)</w:t>
            </w:r>
          </w:p>
        </w:tc>
        <w:tc>
          <w:tcPr>
            <w:tcW w:w="6455" w:type="dxa"/>
            <w:gridSpan w:val="13"/>
            <w:tcBorders>
              <w:top w:val="nil"/>
              <w:bottom w:val="nil"/>
              <w:right w:val="single" w:sz="4" w:space="0" w:color="auto"/>
            </w:tcBorders>
            <w:shd w:val="clear" w:color="auto" w:fill="auto"/>
          </w:tcPr>
          <w:p w14:paraId="320FC2EB" w14:textId="07092339" w:rsidR="00AE6E7E" w:rsidRPr="000F0299" w:rsidRDefault="00D958ED"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Формула/једначина</w:t>
            </w:r>
          </w:p>
          <w:p w14:paraId="21B582BF"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Опис: Број органа јавне управе на централном нивоу у којима су одређена овлашћена службена лица за вођење управног поступка и одлучивање у управним стварима (Х) у односу на укупан број органа јавне управе на централном нивоу (Y)</w:t>
            </w:r>
          </w:p>
          <w:p w14:paraId="4B6596E7" w14:textId="0498F45D"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 за израчунавање:  X:Y x 100</w:t>
            </w:r>
          </w:p>
        </w:tc>
      </w:tr>
      <w:bookmarkEnd w:id="336"/>
      <w:tr w:rsidR="00AE6E7E" w:rsidRPr="000F0299" w14:paraId="7E8EAF10" w14:textId="77777777" w:rsidTr="00E904BC">
        <w:trPr>
          <w:gridAfter w:val="1"/>
          <w:wAfter w:w="6" w:type="dxa"/>
          <w:trHeight w:val="265"/>
          <w:jc w:val="center"/>
        </w:trPr>
        <w:tc>
          <w:tcPr>
            <w:tcW w:w="248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44DBCBF"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48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54E9F16"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tc>
        <w:tc>
          <w:tcPr>
            <w:tcW w:w="15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39F592"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AE6E7E" w:rsidRPr="000F0299" w14:paraId="14A081F6" w14:textId="77777777" w:rsidTr="00E904BC">
        <w:trPr>
          <w:gridAfter w:val="1"/>
          <w:wAfter w:w="6" w:type="dxa"/>
          <w:trHeight w:val="137"/>
          <w:jc w:val="center"/>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Pr>
          <w:p w14:paraId="42DEEE86"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16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71724D"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2016</w:t>
            </w:r>
          </w:p>
        </w:tc>
        <w:tc>
          <w:tcPr>
            <w:tcW w:w="15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3AFC32"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2017</w:t>
            </w:r>
          </w:p>
        </w:tc>
        <w:tc>
          <w:tcPr>
            <w:tcW w:w="16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E9C65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15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6A7F3F"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2019 или 2020</w:t>
            </w:r>
          </w:p>
        </w:tc>
      </w:tr>
      <w:tr w:rsidR="00AE6E7E" w:rsidRPr="000F0299" w14:paraId="1575D952" w14:textId="77777777" w:rsidTr="00E904BC">
        <w:trPr>
          <w:gridAfter w:val="1"/>
          <w:wAfter w:w="6" w:type="dxa"/>
          <w:trHeight w:val="323"/>
          <w:jc w:val="center"/>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Pr>
          <w:p w14:paraId="6CA66752"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16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D6B46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5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D3470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6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59BF0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5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031CD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23%</w:t>
            </w:r>
          </w:p>
        </w:tc>
      </w:tr>
      <w:tr w:rsidR="00AE6E7E" w:rsidRPr="000F0299" w14:paraId="3F7099CC" w14:textId="77777777" w:rsidTr="00E904BC">
        <w:trPr>
          <w:gridAfter w:val="1"/>
          <w:wAfter w:w="6" w:type="dxa"/>
          <w:trHeight w:val="274"/>
          <w:jc w:val="center"/>
        </w:trPr>
        <w:tc>
          <w:tcPr>
            <w:tcW w:w="248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1ECC45"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F56B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EC103"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3F66B5"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406B1"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1A572"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4C48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45F23"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6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72915D"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F79DA"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2443C"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AE6E7E" w:rsidRPr="000F0299" w14:paraId="383B6452" w14:textId="77777777" w:rsidTr="00E904BC">
        <w:trPr>
          <w:gridAfter w:val="1"/>
          <w:wAfter w:w="6" w:type="dxa"/>
          <w:trHeight w:val="160"/>
          <w:jc w:val="center"/>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Pr>
          <w:p w14:paraId="5DC90571"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2B432"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25%</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7841C"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25%</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03E48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25%</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25439"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35%</w:t>
            </w:r>
          </w:p>
        </w:tc>
        <w:tc>
          <w:tcPr>
            <w:tcW w:w="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5F85C"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45%</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59965"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A857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0F14E6"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1A043"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DE29D"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r>
      <w:tr w:rsidR="00AE6E7E" w:rsidRPr="000F0299" w14:paraId="4D3B54F1" w14:textId="77777777" w:rsidTr="00E904BC">
        <w:trPr>
          <w:gridAfter w:val="1"/>
          <w:wAfter w:w="6" w:type="dxa"/>
          <w:trHeight w:val="160"/>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59847BF9"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44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4A94E5A9"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Одступање до 5% у односу на циљану вредност биће вредновано као успех.</w:t>
            </w:r>
          </w:p>
        </w:tc>
      </w:tr>
    </w:tbl>
    <w:p w14:paraId="5EAC8B8A" w14:textId="439EE2D8" w:rsidR="00AE6E7E" w:rsidRPr="000F0299" w:rsidRDefault="00CC370D" w:rsidP="002309DC">
      <w:pPr>
        <w:ind w:firstLine="0"/>
        <w:rPr>
          <w:b/>
          <w:bCs/>
          <w:color w:val="2F5496" w:themeColor="accent1" w:themeShade="BF"/>
        </w:rPr>
      </w:pPr>
      <w:r w:rsidRPr="000F0299">
        <w:rPr>
          <w:b/>
          <w:bCs/>
          <w:color w:val="2F5496" w:themeColor="accent1" w:themeShade="BF"/>
        </w:rPr>
        <w:t>Показатељ 4</w:t>
      </w:r>
    </w:p>
    <w:tbl>
      <w:tblPr>
        <w:tblW w:w="89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9"/>
        <w:gridCol w:w="644"/>
        <w:gridCol w:w="644"/>
        <w:gridCol w:w="341"/>
        <w:gridCol w:w="303"/>
        <w:gridCol w:w="643"/>
        <w:gridCol w:w="650"/>
        <w:gridCol w:w="643"/>
        <w:gridCol w:w="644"/>
        <w:gridCol w:w="346"/>
        <w:gridCol w:w="299"/>
        <w:gridCol w:w="643"/>
        <w:gridCol w:w="648"/>
        <w:gridCol w:w="10"/>
      </w:tblGrid>
      <w:tr w:rsidR="00AE6E7E" w:rsidRPr="000F0299" w14:paraId="1C0C440C" w14:textId="77777777" w:rsidTr="00C45368">
        <w:trPr>
          <w:gridAfter w:val="1"/>
          <w:wAfter w:w="10" w:type="dxa"/>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D5DEEE"/>
          </w:tcPr>
          <w:p w14:paraId="1C7219B5"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D5DEEE"/>
          </w:tcPr>
          <w:p w14:paraId="6050EFCC"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Проценат органа јавне управе на централном нивоу чији су руководиоци похађали обуке о примени принципа управљачке одговорности</w:t>
            </w:r>
          </w:p>
        </w:tc>
      </w:tr>
      <w:tr w:rsidR="00AE6E7E" w:rsidRPr="000F0299" w14:paraId="1A269C23" w14:textId="77777777" w:rsidTr="00C45368">
        <w:trPr>
          <w:gridAfter w:val="1"/>
          <w:wAfter w:w="10" w:type="dxa"/>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1D9B3928"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auto"/>
          </w:tcPr>
          <w:p w14:paraId="66EC813B"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 xml:space="preserve">Мера 4.1.1: </w:t>
            </w:r>
            <w:r w:rsidRPr="000F0299">
              <w:rPr>
                <w:rFonts w:eastAsiaTheme="minorHAnsi"/>
                <w:kern w:val="0"/>
                <w:sz w:val="20"/>
                <w:szCs w:val="20"/>
                <w:lang w:eastAsia="en-US" w:bidi="ar-SA"/>
              </w:rPr>
              <w:t>Успостављање системских решења за управљачку одговорност у органима јавне управе (повећање аутономије)</w:t>
            </w:r>
          </w:p>
        </w:tc>
      </w:tr>
      <w:tr w:rsidR="00C45368" w:rsidRPr="000F0299" w14:paraId="65ECA87A" w14:textId="77777777" w:rsidTr="00C45368">
        <w:trPr>
          <w:gridAfter w:val="1"/>
          <w:wAfter w:w="10" w:type="dxa"/>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5640AD2D" w14:textId="77777777" w:rsidR="00C45368" w:rsidRPr="000F0299" w:rsidRDefault="00C45368"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Тип и ниво показатеља</w:t>
            </w:r>
          </w:p>
        </w:tc>
        <w:tc>
          <w:tcPr>
            <w:tcW w:w="3225" w:type="dxa"/>
            <w:gridSpan w:val="6"/>
            <w:tcBorders>
              <w:top w:val="single" w:sz="4" w:space="0" w:color="000000"/>
              <w:left w:val="single" w:sz="4" w:space="0" w:color="000000"/>
              <w:bottom w:val="single" w:sz="4" w:space="0" w:color="000000"/>
              <w:right w:val="single" w:sz="4" w:space="0" w:color="000000"/>
            </w:tcBorders>
            <w:shd w:val="clear" w:color="auto" w:fill="auto"/>
          </w:tcPr>
          <w:p w14:paraId="45577F8E" w14:textId="571B24B0" w:rsidR="00C45368" w:rsidRPr="000F0299" w:rsidRDefault="00C45368"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Квантитативни</w:t>
            </w:r>
          </w:p>
        </w:tc>
        <w:tc>
          <w:tcPr>
            <w:tcW w:w="3220" w:type="dxa"/>
            <w:gridSpan w:val="6"/>
            <w:tcBorders>
              <w:top w:val="single" w:sz="4" w:space="0" w:color="000000"/>
              <w:left w:val="single" w:sz="4" w:space="0" w:color="000000"/>
              <w:bottom w:val="single" w:sz="4" w:space="0" w:color="000000"/>
              <w:right w:val="single" w:sz="4" w:space="0" w:color="000000"/>
            </w:tcBorders>
            <w:shd w:val="clear" w:color="auto" w:fill="auto"/>
          </w:tcPr>
          <w:p w14:paraId="0A40759C" w14:textId="5EF3438C" w:rsidR="00C45368" w:rsidRPr="000F0299" w:rsidRDefault="00C45368"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Показатељ резултата</w:t>
            </w:r>
          </w:p>
        </w:tc>
      </w:tr>
      <w:tr w:rsidR="00C45368" w:rsidRPr="000F0299" w14:paraId="318CA9A8" w14:textId="77777777" w:rsidTr="00C45368">
        <w:trPr>
          <w:gridAfter w:val="1"/>
          <w:wAfter w:w="10" w:type="dxa"/>
          <w:trHeight w:val="301"/>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4308431C" w14:textId="77777777" w:rsidR="00C45368" w:rsidRPr="000F0299" w:rsidRDefault="00C45368"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Јединица мере и природа</w:t>
            </w:r>
          </w:p>
        </w:tc>
        <w:tc>
          <w:tcPr>
            <w:tcW w:w="3222" w:type="dxa"/>
            <w:gridSpan w:val="6"/>
            <w:tcBorders>
              <w:top w:val="single" w:sz="4" w:space="0" w:color="000000"/>
              <w:left w:val="single" w:sz="4" w:space="0" w:color="000000"/>
              <w:bottom w:val="single" w:sz="4" w:space="0" w:color="000000"/>
              <w:right w:val="single" w:sz="4" w:space="0" w:color="000000"/>
            </w:tcBorders>
            <w:shd w:val="clear" w:color="auto" w:fill="auto"/>
          </w:tcPr>
          <w:p w14:paraId="58298DED" w14:textId="2540BC0F" w:rsidR="00C45368" w:rsidRPr="000F0299" w:rsidRDefault="00C45368"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3223" w:type="dxa"/>
            <w:gridSpan w:val="6"/>
            <w:tcBorders>
              <w:top w:val="single" w:sz="4" w:space="0" w:color="000000"/>
              <w:left w:val="single" w:sz="4" w:space="0" w:color="000000"/>
              <w:bottom w:val="single" w:sz="4" w:space="0" w:color="000000"/>
              <w:right w:val="single" w:sz="4" w:space="0" w:color="000000"/>
            </w:tcBorders>
            <w:shd w:val="clear" w:color="auto" w:fill="auto"/>
          </w:tcPr>
          <w:p w14:paraId="2F036D81" w14:textId="44A04F8B" w:rsidR="00C45368" w:rsidRPr="000F0299" w:rsidRDefault="00C45368"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Већа вредност је пожељна</w:t>
            </w:r>
          </w:p>
        </w:tc>
      </w:tr>
      <w:tr w:rsidR="00AE6E7E" w:rsidRPr="000F0299" w14:paraId="072B69C3" w14:textId="77777777" w:rsidTr="00C45368">
        <w:trPr>
          <w:gridAfter w:val="1"/>
          <w:wAfter w:w="10" w:type="dxa"/>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7C5569EB"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auto"/>
          </w:tcPr>
          <w:p w14:paraId="73CD5F0B"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Извештаји о спровођењу обука Националне академије за јавну управу за руководиоце у органима јавне управе на централном нивоу, чија се тема односи на примену принципа управљачке одговорности - делегирање одговорности и ефикасни механизми праћења и извештавања.</w:t>
            </w:r>
          </w:p>
          <w:p w14:paraId="28C420CF" w14:textId="5535D566"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Извештај о спроведеним обукама доступан на интернет страници НАЈУ-</w:t>
            </w:r>
            <w:r w:rsidRPr="000F0299">
              <w:rPr>
                <w:rFonts w:eastAsiaTheme="minorHAnsi"/>
                <w:color w:val="0563C1" w:themeColor="hyperlink"/>
                <w:kern w:val="0"/>
                <w:sz w:val="20"/>
                <w:szCs w:val="20"/>
                <w:u w:val="single"/>
                <w:lang w:eastAsia="en-US" w:bidi="ar-SA"/>
              </w:rPr>
              <w:t>https://www.napa.gov.rs/</w:t>
            </w:r>
            <w:r w:rsidR="00C45368" w:rsidRPr="000F0299">
              <w:rPr>
                <w:rFonts w:eastAsiaTheme="minorHAnsi"/>
                <w:kern w:val="0"/>
                <w:sz w:val="20"/>
                <w:szCs w:val="20"/>
                <w:lang w:eastAsia="en-US" w:bidi="ar-SA"/>
              </w:rPr>
              <w:t xml:space="preserve"> </w:t>
            </w:r>
            <w:r w:rsidRPr="000F0299">
              <w:rPr>
                <w:rFonts w:eastAsiaTheme="minorHAnsi"/>
                <w:kern w:val="0"/>
                <w:sz w:val="20"/>
                <w:szCs w:val="20"/>
                <w:lang w:eastAsia="en-US" w:bidi="ar-SA"/>
              </w:rPr>
              <w:t xml:space="preserve"> </w:t>
            </w:r>
          </w:p>
        </w:tc>
      </w:tr>
      <w:tr w:rsidR="00AE6E7E" w:rsidRPr="000F0299" w14:paraId="79DB8D35" w14:textId="77777777" w:rsidTr="00C45368">
        <w:trPr>
          <w:gridAfter w:val="1"/>
          <w:wAfter w:w="10" w:type="dxa"/>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27851909"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auto"/>
          </w:tcPr>
          <w:p w14:paraId="381E34C7" w14:textId="2C175BF8" w:rsidR="00AE6E7E" w:rsidRPr="000F0299" w:rsidRDefault="00AE6E7E" w:rsidP="00E400F4">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Национал</w:t>
            </w:r>
            <w:r w:rsidR="00E400F4">
              <w:rPr>
                <w:rFonts w:eastAsiaTheme="minorHAnsi"/>
                <w:kern w:val="0"/>
                <w:sz w:val="20"/>
                <w:szCs w:val="20"/>
                <w:lang w:eastAsia="en-US" w:bidi="ar-SA"/>
              </w:rPr>
              <w:t xml:space="preserve">на академија за јавну управу, </w:t>
            </w:r>
            <w:r w:rsidRPr="000F0299">
              <w:rPr>
                <w:rFonts w:eastAsiaTheme="minorHAnsi"/>
                <w:kern w:val="0"/>
                <w:sz w:val="20"/>
                <w:szCs w:val="20"/>
                <w:lang w:eastAsia="en-US" w:bidi="ar-SA"/>
              </w:rPr>
              <w:t>Секто</w:t>
            </w:r>
            <w:r w:rsidR="00E400F4">
              <w:rPr>
                <w:rFonts w:eastAsiaTheme="minorHAnsi"/>
                <w:kern w:val="0"/>
                <w:sz w:val="20"/>
                <w:szCs w:val="20"/>
                <w:lang w:eastAsia="en-US" w:bidi="ar-SA"/>
              </w:rPr>
              <w:t>р за спровођење програма обуке</w:t>
            </w:r>
          </w:p>
        </w:tc>
      </w:tr>
      <w:tr w:rsidR="00AE6E7E" w:rsidRPr="000F0299" w14:paraId="237A444E" w14:textId="77777777" w:rsidTr="00C45368">
        <w:trPr>
          <w:gridAfter w:val="1"/>
          <w:wAfter w:w="10" w:type="dxa"/>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76C51F10"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auto"/>
          </w:tcPr>
          <w:p w14:paraId="0345AFEA"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Подаци се прикупљају на годишњем нивоу, до краја фебруара текуће године за претходну</w:t>
            </w:r>
          </w:p>
        </w:tc>
      </w:tr>
      <w:tr w:rsidR="00AE6E7E" w:rsidRPr="000F0299" w14:paraId="19AEDBFD" w14:textId="77777777" w:rsidTr="00C45368">
        <w:trPr>
          <w:trHeight w:val="274"/>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249B22D5"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bookmarkStart w:id="337" w:name="_Hlk54870900"/>
            <w:r w:rsidRPr="000F0299">
              <w:rPr>
                <w:rFonts w:eastAsiaTheme="minorHAnsi"/>
                <w:b/>
                <w:bCs/>
                <w:kern w:val="0"/>
                <w:sz w:val="20"/>
                <w:szCs w:val="20"/>
                <w:lang w:eastAsia="en-US" w:bidi="ar-SA"/>
              </w:rPr>
              <w:t>Кратак опис показатеља и методологије израчунавања</w:t>
            </w:r>
          </w:p>
          <w:p w14:paraId="6E93FC39"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(формуле/ једначине)</w:t>
            </w:r>
          </w:p>
        </w:tc>
        <w:tc>
          <w:tcPr>
            <w:tcW w:w="6455" w:type="dxa"/>
            <w:gridSpan w:val="13"/>
            <w:tcBorders>
              <w:top w:val="nil"/>
              <w:bottom w:val="nil"/>
              <w:right w:val="single" w:sz="4" w:space="0" w:color="auto"/>
            </w:tcBorders>
            <w:shd w:val="clear" w:color="auto" w:fill="auto"/>
          </w:tcPr>
          <w:p w14:paraId="3E401569" w14:textId="7AFB34FA" w:rsidR="00AE6E7E" w:rsidRPr="000F0299" w:rsidRDefault="00D958ED"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Формула/једначина</w:t>
            </w:r>
          </w:p>
          <w:p w14:paraId="3B823CFA"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Опис:  Број органа јавне управе на централном нивоу чији су руководиоци похађали обуке о управљачкој одговорности (X) у односу на укупан број органа јавне управе на централном нивоу (Y)</w:t>
            </w:r>
          </w:p>
          <w:p w14:paraId="0E6A28E0"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 за израчунавање:   X:Y x 100</w:t>
            </w:r>
          </w:p>
        </w:tc>
      </w:tr>
      <w:bookmarkEnd w:id="337"/>
      <w:tr w:rsidR="00AE6E7E" w:rsidRPr="000F0299" w14:paraId="1F9F3337" w14:textId="77777777" w:rsidTr="00C45368">
        <w:trPr>
          <w:gridAfter w:val="1"/>
          <w:wAfter w:w="10" w:type="dxa"/>
          <w:trHeight w:val="265"/>
          <w:jc w:val="center"/>
        </w:trPr>
        <w:tc>
          <w:tcPr>
            <w:tcW w:w="248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43A3EBE"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485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2985E3F4"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tc>
        <w:tc>
          <w:tcPr>
            <w:tcW w:w="15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86D4D2"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AE6E7E" w:rsidRPr="000F0299" w14:paraId="144C2D25" w14:textId="77777777" w:rsidTr="00C45368">
        <w:trPr>
          <w:gridAfter w:val="1"/>
          <w:wAfter w:w="10" w:type="dxa"/>
          <w:trHeight w:val="137"/>
          <w:jc w:val="center"/>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Pr>
          <w:p w14:paraId="397C7DED"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F7C8BB"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2016</w:t>
            </w:r>
          </w:p>
        </w:tc>
        <w:tc>
          <w:tcPr>
            <w:tcW w:w="15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DCB3C1"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2017</w:t>
            </w:r>
          </w:p>
        </w:tc>
        <w:tc>
          <w:tcPr>
            <w:tcW w:w="16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E8DCD6"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15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6CE2F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2019 или 2020</w:t>
            </w:r>
          </w:p>
        </w:tc>
      </w:tr>
      <w:tr w:rsidR="00AE6E7E" w:rsidRPr="000F0299" w14:paraId="1A3383F1" w14:textId="77777777" w:rsidTr="00C45368">
        <w:trPr>
          <w:gridAfter w:val="1"/>
          <w:wAfter w:w="10" w:type="dxa"/>
          <w:trHeight w:val="323"/>
          <w:jc w:val="center"/>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Pr>
          <w:p w14:paraId="496CB13E"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D8785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5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8D226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6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6EAFBA"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5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583D45"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r>
      <w:tr w:rsidR="00AE6E7E" w:rsidRPr="000F0299" w14:paraId="48DB1276" w14:textId="77777777" w:rsidTr="00C45368">
        <w:trPr>
          <w:gridAfter w:val="1"/>
          <w:wAfter w:w="10" w:type="dxa"/>
          <w:trHeight w:val="274"/>
          <w:jc w:val="center"/>
        </w:trPr>
        <w:tc>
          <w:tcPr>
            <w:tcW w:w="248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5598267"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C78B2"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FEE3"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E5031D"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52F4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4668D"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F174C"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DAF60"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EDDDF2"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898A7"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535BB"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AE6E7E" w:rsidRPr="000F0299" w14:paraId="09FAE5D1" w14:textId="77777777" w:rsidTr="00C45368">
        <w:trPr>
          <w:gridAfter w:val="1"/>
          <w:wAfter w:w="10" w:type="dxa"/>
          <w:trHeight w:val="160"/>
          <w:jc w:val="center"/>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Pr>
          <w:p w14:paraId="1760164E"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47537"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1B8BD"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290AD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C92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CBE1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5%</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4F357"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7FD90"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97568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045DF"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5765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r>
      <w:tr w:rsidR="00AE6E7E" w:rsidRPr="000F0299" w14:paraId="2399F3EA" w14:textId="77777777" w:rsidTr="00C45368">
        <w:trPr>
          <w:gridAfter w:val="1"/>
          <w:wAfter w:w="10" w:type="dxa"/>
          <w:trHeight w:val="160"/>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tcPr>
          <w:p w14:paraId="794F4B87"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72117A9E"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Без одступања</w:t>
            </w:r>
          </w:p>
        </w:tc>
      </w:tr>
    </w:tbl>
    <w:p w14:paraId="7E7347B6" w14:textId="014D6376" w:rsidR="00AE6E7E" w:rsidRPr="000F0299" w:rsidRDefault="00CC370D" w:rsidP="002309DC">
      <w:pPr>
        <w:ind w:firstLine="0"/>
        <w:rPr>
          <w:b/>
          <w:bCs/>
          <w:color w:val="2F5496" w:themeColor="accent1" w:themeShade="BF"/>
        </w:rPr>
      </w:pPr>
      <w:r w:rsidRPr="000F0299">
        <w:rPr>
          <w:b/>
          <w:bCs/>
          <w:color w:val="2F5496" w:themeColor="accent1" w:themeShade="BF"/>
        </w:rPr>
        <w:t>Показатељ 5</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6"/>
        <w:gridCol w:w="644"/>
        <w:gridCol w:w="644"/>
        <w:gridCol w:w="341"/>
        <w:gridCol w:w="303"/>
        <w:gridCol w:w="643"/>
        <w:gridCol w:w="652"/>
        <w:gridCol w:w="646"/>
        <w:gridCol w:w="643"/>
        <w:gridCol w:w="341"/>
        <w:gridCol w:w="303"/>
        <w:gridCol w:w="643"/>
        <w:gridCol w:w="642"/>
      </w:tblGrid>
      <w:tr w:rsidR="00AE6E7E" w:rsidRPr="000F0299" w14:paraId="27A1A069" w14:textId="77777777" w:rsidTr="00CC370D">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D5DEEE"/>
            <w:vAlign w:val="center"/>
          </w:tcPr>
          <w:p w14:paraId="279313DE"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D5DEEE"/>
            <w:vAlign w:val="center"/>
          </w:tcPr>
          <w:p w14:paraId="506E0423"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 xml:space="preserve">Проценат приоритетних циљева из Акционог плана за спровођење програма Владе који се односе на орган јавне управе, а који су узети у обзир приликом припреме средњорочних планова органа јавне управе на централном нивоу. </w:t>
            </w:r>
          </w:p>
        </w:tc>
      </w:tr>
      <w:tr w:rsidR="00AE6E7E" w:rsidRPr="000F0299" w14:paraId="3D2CF042" w14:textId="77777777" w:rsidTr="00AE6E7E">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7E93B2FC"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FFFFFF"/>
          </w:tcPr>
          <w:p w14:paraId="03465B65"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Мера 4.1.2:</w:t>
            </w:r>
            <w:r w:rsidRPr="000F0299">
              <w:rPr>
                <w:rFonts w:eastAsiaTheme="minorHAnsi"/>
                <w:kern w:val="0"/>
                <w:sz w:val="20"/>
                <w:szCs w:val="20"/>
                <w:lang w:eastAsia="en-US" w:bidi="ar-SA"/>
              </w:rPr>
              <w:t xml:space="preserve"> Унапређење вертикалног и хоризонталног система контроле и праћења рада у јавној управи (Успостављање механизма за управљање према учинку органа јавне управе) </w:t>
            </w:r>
          </w:p>
        </w:tc>
      </w:tr>
      <w:tr w:rsidR="00AE6E7E" w:rsidRPr="000F0299" w14:paraId="787D4080" w14:textId="77777777" w:rsidTr="00AE6E7E">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0009E129"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Тип и ниво показатеља</w:t>
            </w:r>
          </w:p>
        </w:tc>
        <w:tc>
          <w:tcPr>
            <w:tcW w:w="3227" w:type="dxa"/>
            <w:gridSpan w:val="6"/>
            <w:tcBorders>
              <w:top w:val="single" w:sz="4" w:space="0" w:color="000000"/>
              <w:left w:val="single" w:sz="4" w:space="0" w:color="000000"/>
              <w:bottom w:val="single" w:sz="4" w:space="0" w:color="000000"/>
              <w:right w:val="single" w:sz="4" w:space="0" w:color="000000"/>
            </w:tcBorders>
            <w:shd w:val="clear" w:color="auto" w:fill="FFFFFF"/>
          </w:tcPr>
          <w:p w14:paraId="160F8976" w14:textId="0C082631" w:rsidR="00AE6E7E" w:rsidRPr="000F0299" w:rsidRDefault="00C45368"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Квантитативни</w:t>
            </w:r>
          </w:p>
        </w:tc>
        <w:tc>
          <w:tcPr>
            <w:tcW w:w="3218" w:type="dxa"/>
            <w:gridSpan w:val="6"/>
            <w:tcBorders>
              <w:top w:val="single" w:sz="4" w:space="0" w:color="000000"/>
              <w:left w:val="single" w:sz="4" w:space="0" w:color="000000"/>
              <w:bottom w:val="single" w:sz="4" w:space="0" w:color="000000"/>
              <w:right w:val="single" w:sz="4" w:space="0" w:color="000000"/>
            </w:tcBorders>
            <w:shd w:val="clear" w:color="auto" w:fill="FFFFFF"/>
          </w:tcPr>
          <w:p w14:paraId="6D1923BF" w14:textId="1D086203" w:rsidR="00AE6E7E" w:rsidRPr="000F0299" w:rsidRDefault="00C45368"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Показатељ резултата</w:t>
            </w:r>
          </w:p>
        </w:tc>
      </w:tr>
      <w:tr w:rsidR="00AE6E7E" w:rsidRPr="000F0299" w14:paraId="21F14EE1" w14:textId="77777777" w:rsidTr="00AE6E7E">
        <w:trPr>
          <w:trHeight w:val="418"/>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78206EB3"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Јединица мере и природа</w:t>
            </w:r>
          </w:p>
        </w:tc>
        <w:tc>
          <w:tcPr>
            <w:tcW w:w="3227" w:type="dxa"/>
            <w:gridSpan w:val="6"/>
            <w:tcBorders>
              <w:top w:val="single" w:sz="4" w:space="0" w:color="000000"/>
              <w:left w:val="single" w:sz="4" w:space="0" w:color="000000"/>
              <w:bottom w:val="single" w:sz="4" w:space="0" w:color="000000"/>
              <w:right w:val="single" w:sz="4" w:space="0" w:color="000000"/>
            </w:tcBorders>
            <w:shd w:val="clear" w:color="auto" w:fill="FFFFFF"/>
          </w:tcPr>
          <w:p w14:paraId="0F43C124"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3218" w:type="dxa"/>
            <w:gridSpan w:val="6"/>
            <w:tcBorders>
              <w:top w:val="single" w:sz="4" w:space="0" w:color="000000"/>
              <w:left w:val="single" w:sz="4" w:space="0" w:color="000000"/>
              <w:bottom w:val="single" w:sz="4" w:space="0" w:color="000000"/>
              <w:right w:val="single" w:sz="4" w:space="0" w:color="000000"/>
            </w:tcBorders>
            <w:shd w:val="clear" w:color="auto" w:fill="FFFFFF"/>
          </w:tcPr>
          <w:p w14:paraId="35553C26" w14:textId="388DFD41" w:rsidR="00AE6E7E" w:rsidRPr="000F0299" w:rsidRDefault="004203A0"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Већа вредност је пожељна</w:t>
            </w:r>
          </w:p>
        </w:tc>
      </w:tr>
      <w:tr w:rsidR="00AE6E7E" w:rsidRPr="000F0299" w14:paraId="283DD13C" w14:textId="77777777" w:rsidTr="00AE6E7E">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416BD5BF"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FFFFFF"/>
          </w:tcPr>
          <w:p w14:paraId="60F3C937"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Средњорочни планови органа јавне управе на централном нивоу и Акциони план за спровођење програма Владе - Извештај Републичког секретаријата за јавне политике</w:t>
            </w:r>
          </w:p>
          <w:p w14:paraId="037B321A" w14:textId="77777777" w:rsidR="00AE6E7E" w:rsidRPr="000F0299" w:rsidRDefault="00F47F65" w:rsidP="003C0DA1">
            <w:pPr>
              <w:suppressAutoHyphens w:val="0"/>
              <w:autoSpaceDN/>
              <w:spacing w:before="0" w:after="0"/>
              <w:ind w:firstLine="0"/>
              <w:textAlignment w:val="auto"/>
              <w:rPr>
                <w:rFonts w:eastAsiaTheme="minorHAnsi"/>
                <w:kern w:val="0"/>
                <w:sz w:val="20"/>
                <w:szCs w:val="20"/>
                <w:lang w:eastAsia="en-US" w:bidi="ar-SA"/>
              </w:rPr>
            </w:pPr>
            <w:hyperlink r:id="rId209" w:history="1">
              <w:r w:rsidR="00AE6E7E" w:rsidRPr="000F0299">
                <w:rPr>
                  <w:rFonts w:eastAsiaTheme="minorHAnsi"/>
                  <w:color w:val="0563C1" w:themeColor="hyperlink"/>
                  <w:kern w:val="0"/>
                  <w:sz w:val="20"/>
                  <w:szCs w:val="20"/>
                  <w:u w:val="single"/>
                  <w:lang w:eastAsia="en-US" w:bidi="ar-SA"/>
                </w:rPr>
                <w:t>https://rsjp.gov.rs/cir/</w:t>
              </w:r>
            </w:hyperlink>
            <w:r w:rsidR="00AE6E7E" w:rsidRPr="000F0299">
              <w:rPr>
                <w:rFonts w:eastAsiaTheme="minorHAnsi"/>
                <w:kern w:val="0"/>
                <w:sz w:val="20"/>
                <w:szCs w:val="20"/>
                <w:lang w:eastAsia="en-US" w:bidi="ar-SA"/>
              </w:rPr>
              <w:t xml:space="preserve"> </w:t>
            </w:r>
          </w:p>
        </w:tc>
      </w:tr>
      <w:tr w:rsidR="00AE6E7E" w:rsidRPr="000F0299" w14:paraId="0E1E40F1" w14:textId="77777777" w:rsidTr="00AE6E7E">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6690B0B4"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FFFFFF"/>
          </w:tcPr>
          <w:p w14:paraId="57D7D549" w14:textId="5D772E7E" w:rsidR="00AE6E7E" w:rsidRPr="000F0299" w:rsidRDefault="00AE6E7E" w:rsidP="00E400F4">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Републички секретаријат за јавне</w:t>
            </w:r>
            <w:r w:rsidR="00E400F4">
              <w:rPr>
                <w:rFonts w:eastAsiaTheme="minorHAnsi"/>
                <w:kern w:val="0"/>
                <w:sz w:val="20"/>
                <w:szCs w:val="20"/>
                <w:lang w:eastAsia="en-US" w:bidi="ar-SA"/>
              </w:rPr>
              <w:t xml:space="preserve"> политике</w:t>
            </w:r>
          </w:p>
        </w:tc>
      </w:tr>
      <w:tr w:rsidR="00AE6E7E" w:rsidRPr="000F0299" w14:paraId="71522ECB" w14:textId="77777777" w:rsidTr="00AE6E7E">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39AE14D9"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FFFFFF"/>
          </w:tcPr>
          <w:p w14:paraId="6662A49E" w14:textId="722C1440"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Подаци се прикупљају на годишњем нивоу, до краја </w:t>
            </w:r>
            <w:r w:rsidR="00864D50" w:rsidRPr="000F0299">
              <w:rPr>
                <w:rFonts w:eastAsiaTheme="minorHAnsi"/>
                <w:kern w:val="0"/>
                <w:sz w:val="20"/>
                <w:szCs w:val="20"/>
                <w:lang w:eastAsia="en-US" w:bidi="ar-SA"/>
              </w:rPr>
              <w:t>априла</w:t>
            </w:r>
            <w:r w:rsidRPr="000F0299">
              <w:rPr>
                <w:rFonts w:eastAsiaTheme="minorHAnsi"/>
                <w:kern w:val="0"/>
                <w:sz w:val="20"/>
                <w:szCs w:val="20"/>
                <w:lang w:eastAsia="en-US" w:bidi="ar-SA"/>
              </w:rPr>
              <w:t xml:space="preserve"> текуће године за претходну годину</w:t>
            </w:r>
          </w:p>
        </w:tc>
      </w:tr>
      <w:tr w:rsidR="00AE6E7E" w:rsidRPr="000F0299" w14:paraId="3BBF5117" w14:textId="77777777" w:rsidTr="00AE6E7E">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78DA0313"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Кратак опис показатеља и методологије израчунавања</w:t>
            </w:r>
          </w:p>
          <w:p w14:paraId="5EB4EE4E"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(формуле/ једначине)</w:t>
            </w:r>
          </w:p>
        </w:tc>
        <w:tc>
          <w:tcPr>
            <w:tcW w:w="6445" w:type="dxa"/>
            <w:gridSpan w:val="12"/>
            <w:tcBorders>
              <w:top w:val="nil"/>
              <w:bottom w:val="nil"/>
              <w:right w:val="single" w:sz="4" w:space="0" w:color="auto"/>
            </w:tcBorders>
            <w:shd w:val="clear" w:color="auto" w:fill="auto"/>
          </w:tcPr>
          <w:p w14:paraId="5E2710A8" w14:textId="4856E1D3" w:rsidR="00AE6E7E" w:rsidRPr="000F0299" w:rsidRDefault="00D958ED"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Формула/једначина </w:t>
            </w:r>
          </w:p>
          <w:p w14:paraId="1BB6F392"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Број приоритетних циљева из Акционог плана за спровођење програма Владе који су узети у обзир приликом припреме средњорочних планова органа јавне управе на централном нивоу (X) у односу на укупан број приоритетних циљева из Акционог плана за спровођење програма Владе који се односе на орган јавне управе (Y)</w:t>
            </w:r>
          </w:p>
          <w:p w14:paraId="54AAE927"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 за израчунавање:   X:Y x 100</w:t>
            </w:r>
          </w:p>
        </w:tc>
      </w:tr>
      <w:tr w:rsidR="00AE6E7E" w:rsidRPr="000F0299" w14:paraId="6929AF41" w14:textId="77777777" w:rsidTr="00AE6E7E">
        <w:trPr>
          <w:trHeight w:val="265"/>
          <w:jc w:val="center"/>
        </w:trPr>
        <w:tc>
          <w:tcPr>
            <w:tcW w:w="248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596A39E"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4857"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6F0FAA14"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tc>
        <w:tc>
          <w:tcPr>
            <w:tcW w:w="158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6FCBE9F"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AE6E7E" w:rsidRPr="000F0299" w14:paraId="7A733958" w14:textId="77777777" w:rsidTr="00AE6E7E">
        <w:trPr>
          <w:trHeight w:val="137"/>
          <w:jc w:val="center"/>
        </w:trPr>
        <w:tc>
          <w:tcPr>
            <w:tcW w:w="2486" w:type="dxa"/>
            <w:vMerge/>
            <w:tcBorders>
              <w:top w:val="single" w:sz="4" w:space="0" w:color="000000"/>
              <w:left w:val="single" w:sz="4" w:space="0" w:color="000000"/>
              <w:bottom w:val="single" w:sz="4" w:space="0" w:color="000000"/>
              <w:right w:val="single" w:sz="4" w:space="0" w:color="000000"/>
            </w:tcBorders>
            <w:shd w:val="clear" w:color="auto" w:fill="auto"/>
          </w:tcPr>
          <w:p w14:paraId="7F35341D"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71D4521"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2016</w:t>
            </w:r>
          </w:p>
        </w:tc>
        <w:tc>
          <w:tcPr>
            <w:tcW w:w="159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8F1E1EB"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2017</w:t>
            </w:r>
          </w:p>
        </w:tc>
        <w:tc>
          <w:tcPr>
            <w:tcW w:w="16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274F9E4"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158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CA3940C"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2019 или 2020</w:t>
            </w:r>
          </w:p>
        </w:tc>
      </w:tr>
      <w:tr w:rsidR="00AE6E7E" w:rsidRPr="000F0299" w14:paraId="4C4C0121" w14:textId="77777777" w:rsidTr="00AE6E7E">
        <w:trPr>
          <w:trHeight w:val="323"/>
          <w:jc w:val="center"/>
        </w:trPr>
        <w:tc>
          <w:tcPr>
            <w:tcW w:w="2486" w:type="dxa"/>
            <w:vMerge/>
            <w:tcBorders>
              <w:top w:val="single" w:sz="4" w:space="0" w:color="000000"/>
              <w:left w:val="single" w:sz="4" w:space="0" w:color="000000"/>
              <w:bottom w:val="single" w:sz="4" w:space="0" w:color="000000"/>
              <w:right w:val="single" w:sz="4" w:space="0" w:color="000000"/>
            </w:tcBorders>
            <w:shd w:val="clear" w:color="auto" w:fill="auto"/>
          </w:tcPr>
          <w:p w14:paraId="316BCC85"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F91E55C"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159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B18A222"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16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B10D688"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158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002F3B3"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r>
      <w:tr w:rsidR="00AE6E7E" w:rsidRPr="000F0299" w14:paraId="372F8A3A" w14:textId="77777777" w:rsidTr="00AE6E7E">
        <w:trPr>
          <w:trHeight w:val="274"/>
          <w:jc w:val="center"/>
        </w:trPr>
        <w:tc>
          <w:tcPr>
            <w:tcW w:w="248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D4266F"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D322D3"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BE2D3"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69A141"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C03F7"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6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11445"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34027"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11501"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E8F6C26"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4F520"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6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CBF32"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AE6E7E" w:rsidRPr="000F0299" w14:paraId="0C0082EF" w14:textId="77777777" w:rsidTr="00AE6E7E">
        <w:trPr>
          <w:trHeight w:val="160"/>
          <w:jc w:val="center"/>
        </w:trPr>
        <w:tc>
          <w:tcPr>
            <w:tcW w:w="2486" w:type="dxa"/>
            <w:vMerge/>
            <w:tcBorders>
              <w:top w:val="single" w:sz="4" w:space="0" w:color="000000"/>
              <w:left w:val="single" w:sz="4" w:space="0" w:color="000000"/>
              <w:bottom w:val="single" w:sz="4" w:space="0" w:color="000000"/>
              <w:right w:val="single" w:sz="4" w:space="0" w:color="000000"/>
            </w:tcBorders>
            <w:shd w:val="clear" w:color="auto" w:fill="auto"/>
          </w:tcPr>
          <w:p w14:paraId="35D69B3A"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DD6D7"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25%</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7B69D"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30%</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25B44D"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35%</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2ACD6"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40%</w:t>
            </w:r>
          </w:p>
        </w:tc>
        <w:tc>
          <w:tcPr>
            <w:tcW w:w="6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D76CB"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45%</w:t>
            </w: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324EF"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CC0D7"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F1EADAD"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9C12E"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6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4DAF3"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r>
      <w:tr w:rsidR="00AE6E7E" w:rsidRPr="000F0299" w14:paraId="652A8CDB" w14:textId="77777777" w:rsidTr="00AE6E7E">
        <w:trPr>
          <w:trHeight w:val="160"/>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0AABB876"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14:paraId="78D02BBB"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iCs/>
                <w:kern w:val="0"/>
                <w:sz w:val="20"/>
                <w:szCs w:val="20"/>
                <w:lang w:eastAsia="en-US" w:bidi="ar-SA"/>
              </w:rPr>
              <w:t>Одступање до 5% у односу на циљану вредност биће вредновано као успех.</w:t>
            </w:r>
          </w:p>
        </w:tc>
      </w:tr>
    </w:tbl>
    <w:p w14:paraId="49FD86F3" w14:textId="017947C7" w:rsidR="00487FD1" w:rsidRPr="000F0299" w:rsidRDefault="00487FD1" w:rsidP="002309DC">
      <w:pPr>
        <w:ind w:firstLine="0"/>
        <w:rPr>
          <w:b/>
          <w:bCs/>
          <w:color w:val="2F5496" w:themeColor="accent1" w:themeShade="BF"/>
        </w:rPr>
      </w:pPr>
    </w:p>
    <w:p w14:paraId="24C34768" w14:textId="77777777" w:rsidR="00487FD1" w:rsidRPr="000F0299" w:rsidRDefault="00487FD1">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133CE7A7" w14:textId="373A1327" w:rsidR="00AE6E7E" w:rsidRPr="000F0299" w:rsidRDefault="00CC370D" w:rsidP="002309DC">
      <w:pPr>
        <w:ind w:firstLine="0"/>
        <w:rPr>
          <w:b/>
          <w:bCs/>
          <w:color w:val="2F5496" w:themeColor="accent1" w:themeShade="BF"/>
        </w:rPr>
      </w:pPr>
      <w:r w:rsidRPr="000F0299">
        <w:rPr>
          <w:b/>
          <w:bCs/>
          <w:color w:val="2F5496" w:themeColor="accent1" w:themeShade="BF"/>
        </w:rPr>
        <w:t>Показатељ 6</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3"/>
        <w:gridCol w:w="644"/>
        <w:gridCol w:w="644"/>
        <w:gridCol w:w="341"/>
        <w:gridCol w:w="303"/>
        <w:gridCol w:w="643"/>
        <w:gridCol w:w="650"/>
        <w:gridCol w:w="644"/>
        <w:gridCol w:w="643"/>
        <w:gridCol w:w="343"/>
        <w:gridCol w:w="301"/>
        <w:gridCol w:w="643"/>
        <w:gridCol w:w="649"/>
      </w:tblGrid>
      <w:tr w:rsidR="00AE6E7E" w:rsidRPr="000F0299" w14:paraId="5D1AB416" w14:textId="77777777" w:rsidTr="00C45368">
        <w:trPr>
          <w:trHeight w:val="818"/>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D5DEEE"/>
            <w:vAlign w:val="center"/>
          </w:tcPr>
          <w:p w14:paraId="228FB57B"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D5DEEE"/>
            <w:vAlign w:val="center"/>
          </w:tcPr>
          <w:p w14:paraId="7E31F1EB"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Проценат органа јавне управе на централном нивоу чији су руководиоци похађали обуке о примени јединствене методологије за управљање учинком</w:t>
            </w:r>
          </w:p>
        </w:tc>
      </w:tr>
      <w:tr w:rsidR="00AE6E7E" w:rsidRPr="000F0299" w14:paraId="132067C2" w14:textId="77777777" w:rsidTr="00C45368">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647BA999"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77264B37"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Мера 4.1.2:</w:t>
            </w:r>
            <w:r w:rsidRPr="000F0299">
              <w:rPr>
                <w:rFonts w:eastAsiaTheme="minorHAnsi"/>
                <w:kern w:val="0"/>
                <w:sz w:val="20"/>
                <w:szCs w:val="20"/>
                <w:lang w:eastAsia="en-US" w:bidi="ar-SA"/>
              </w:rPr>
              <w:t xml:space="preserve"> Унапређење вертикалног и хоризонталног система контроле и праћења рада у јавној управи (Успостављање механизма за управљање према учинку органа јавне управе)</w:t>
            </w:r>
          </w:p>
        </w:tc>
      </w:tr>
      <w:tr w:rsidR="00C45368" w:rsidRPr="000F0299" w14:paraId="385E356B" w14:textId="77777777" w:rsidTr="00C45368">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5D392ACF" w14:textId="77777777" w:rsidR="00C45368" w:rsidRPr="000F0299" w:rsidRDefault="00C45368"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Тип и ниво показатеља</w:t>
            </w:r>
          </w:p>
        </w:tc>
        <w:tc>
          <w:tcPr>
            <w:tcW w:w="3225" w:type="dxa"/>
            <w:gridSpan w:val="6"/>
            <w:tcBorders>
              <w:top w:val="single" w:sz="4" w:space="0" w:color="000000"/>
              <w:left w:val="single" w:sz="4" w:space="0" w:color="000000"/>
              <w:bottom w:val="single" w:sz="4" w:space="0" w:color="000000"/>
              <w:right w:val="single" w:sz="4" w:space="0" w:color="000000"/>
            </w:tcBorders>
            <w:shd w:val="clear" w:color="auto" w:fill="FFFFFF"/>
          </w:tcPr>
          <w:p w14:paraId="7FEADCF8" w14:textId="6281BF36" w:rsidR="00C45368" w:rsidRPr="000F0299" w:rsidRDefault="00C45368"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Квантитативни</w:t>
            </w:r>
          </w:p>
        </w:tc>
        <w:tc>
          <w:tcPr>
            <w:tcW w:w="3221" w:type="dxa"/>
            <w:gridSpan w:val="6"/>
            <w:tcBorders>
              <w:top w:val="single" w:sz="4" w:space="0" w:color="000000"/>
              <w:left w:val="single" w:sz="4" w:space="0" w:color="000000"/>
              <w:bottom w:val="single" w:sz="4" w:space="0" w:color="000000"/>
              <w:right w:val="single" w:sz="4" w:space="0" w:color="000000"/>
            </w:tcBorders>
            <w:shd w:val="clear" w:color="auto" w:fill="FFFFFF"/>
          </w:tcPr>
          <w:p w14:paraId="752C1CEA" w14:textId="17ECF06D" w:rsidR="00C45368" w:rsidRPr="000F0299" w:rsidRDefault="00C45368"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Показатељ резултата</w:t>
            </w:r>
          </w:p>
        </w:tc>
      </w:tr>
      <w:tr w:rsidR="00C45368" w:rsidRPr="000F0299" w14:paraId="229E7276" w14:textId="77777777" w:rsidTr="00C45368">
        <w:trPr>
          <w:trHeight w:val="490"/>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11341FD1" w14:textId="77777777" w:rsidR="00C45368" w:rsidRPr="000F0299" w:rsidRDefault="00C45368"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Јединица мере и природа</w:t>
            </w:r>
          </w:p>
        </w:tc>
        <w:tc>
          <w:tcPr>
            <w:tcW w:w="32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23B948F8" w14:textId="57AA5405" w:rsidR="00C45368" w:rsidRPr="000F0299" w:rsidRDefault="00C45368" w:rsidP="003C0DA1">
            <w:pPr>
              <w:suppressAutoHyphens w:val="0"/>
              <w:autoSpaceDN/>
              <w:spacing w:before="0" w:after="134" w:line="259" w:lineRule="auto"/>
              <w:ind w:firstLine="0"/>
              <w:textAlignment w:val="auto"/>
              <w:rPr>
                <w:rFonts w:eastAsiaTheme="minorHAnsi"/>
                <w:kern w:val="0"/>
                <w:sz w:val="20"/>
                <w:szCs w:val="20"/>
                <w:lang w:eastAsia="en-US" w:bidi="ar-SA"/>
              </w:rPr>
            </w:pPr>
            <w:bookmarkStart w:id="338" w:name="__DdeLink__14574_3564858632"/>
            <w:r w:rsidRPr="000F0299">
              <w:rPr>
                <w:rFonts w:eastAsiaTheme="minorHAnsi"/>
                <w:kern w:val="0"/>
                <w:sz w:val="20"/>
                <w:szCs w:val="20"/>
                <w:lang w:eastAsia="en-US" w:bidi="ar-SA"/>
              </w:rPr>
              <w:t>%</w:t>
            </w:r>
          </w:p>
        </w:tc>
        <w:bookmarkEnd w:id="338"/>
        <w:tc>
          <w:tcPr>
            <w:tcW w:w="32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17B55584" w14:textId="52F052EB" w:rsidR="00C45368" w:rsidRPr="000F0299" w:rsidRDefault="00C45368"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Већа вредност је пожељна</w:t>
            </w:r>
          </w:p>
        </w:tc>
      </w:tr>
      <w:tr w:rsidR="00AE6E7E" w:rsidRPr="000F0299" w14:paraId="4C455CFD" w14:textId="77777777" w:rsidTr="00C45368">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3399D39D"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2F57F119"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Извештаји о спровођењу обука Националне академије за јавну управу за руководиоце у органима јавне управе на централном нивоу чија се тема односи на примену јединствене методологије за управљање учинком - контролу рада, надзор и интерно и екстерно извештавање о резултатима рада из надлежности органа јавне управе.</w:t>
            </w:r>
          </w:p>
          <w:p w14:paraId="5BC9155C"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Извештај о спроведеним обукама доступан на интернет страници НАЈУ-</w:t>
            </w:r>
            <w:r w:rsidRPr="000F0299">
              <w:rPr>
                <w:rFonts w:eastAsiaTheme="minorHAnsi"/>
                <w:color w:val="0563C1" w:themeColor="hyperlink"/>
                <w:kern w:val="0"/>
                <w:sz w:val="20"/>
                <w:szCs w:val="20"/>
                <w:u w:val="single"/>
                <w:lang w:eastAsia="en-US" w:bidi="ar-SA"/>
              </w:rPr>
              <w:t>https://www.napa.gov.rs/</w:t>
            </w:r>
          </w:p>
        </w:tc>
      </w:tr>
      <w:tr w:rsidR="00AE6E7E" w:rsidRPr="000F0299" w14:paraId="408D9E2A" w14:textId="77777777" w:rsidTr="00C45368">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1C0D2556"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18744BD3" w14:textId="4951E110" w:rsidR="00AE6E7E" w:rsidRPr="000F0299" w:rsidRDefault="00AE6E7E" w:rsidP="00E400F4">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Национална академија за јавну управу, Секто</w:t>
            </w:r>
            <w:r w:rsidR="00E400F4">
              <w:rPr>
                <w:rFonts w:eastAsiaTheme="minorHAnsi"/>
                <w:kern w:val="0"/>
                <w:sz w:val="20"/>
                <w:szCs w:val="20"/>
                <w:lang w:eastAsia="en-US" w:bidi="ar-SA"/>
              </w:rPr>
              <w:t>р за спровођење програма обуке</w:t>
            </w:r>
          </w:p>
        </w:tc>
      </w:tr>
      <w:tr w:rsidR="00AE6E7E" w:rsidRPr="000F0299" w14:paraId="1A645C87" w14:textId="77777777" w:rsidTr="00C45368">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13F99A29"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699BD5C2"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Подаци се прикупљају на годишњем нивоу, до краја фебруара текуће за претходну годину</w:t>
            </w:r>
          </w:p>
        </w:tc>
      </w:tr>
      <w:tr w:rsidR="00AE6E7E" w:rsidRPr="000F0299" w14:paraId="0EF9C484" w14:textId="77777777" w:rsidTr="00C45368">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173E73D9"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Кратак опис показатеља и методологије израчунавања</w:t>
            </w:r>
          </w:p>
          <w:p w14:paraId="51EF0646"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(формуле/ једначине)</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59D09F58" w14:textId="665EF26E" w:rsidR="00AE6E7E" w:rsidRPr="000F0299" w:rsidRDefault="00D958ED"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Формула/једначина</w:t>
            </w:r>
          </w:p>
          <w:p w14:paraId="337DCCBC"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Број органа јавне управе на централном нивоу чији су руководиоци похађали обуку о примени јединствене методологије за управљање учинком (X) у односу на укупан број органа јавне управе на централном нивоу (Y)</w:t>
            </w:r>
          </w:p>
          <w:p w14:paraId="7C2412FF"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 за израчунавање:   X:Y x 100</w:t>
            </w:r>
          </w:p>
        </w:tc>
      </w:tr>
      <w:tr w:rsidR="00AE6E7E" w:rsidRPr="000F0299" w14:paraId="49FA784E" w14:textId="77777777" w:rsidTr="00C45368">
        <w:trPr>
          <w:trHeight w:val="265"/>
          <w:jc w:val="center"/>
        </w:trPr>
        <w:tc>
          <w:tcPr>
            <w:tcW w:w="248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EF4A371"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4855"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2A2EF554"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tc>
        <w:tc>
          <w:tcPr>
            <w:tcW w:w="159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68651BC"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AE6E7E" w:rsidRPr="000F0299" w14:paraId="449B8152" w14:textId="77777777" w:rsidTr="00C45368">
        <w:trPr>
          <w:trHeight w:val="137"/>
          <w:jc w:val="center"/>
        </w:trPr>
        <w:tc>
          <w:tcPr>
            <w:tcW w:w="2485" w:type="dxa"/>
            <w:vMerge/>
            <w:tcBorders>
              <w:top w:val="single" w:sz="4" w:space="0" w:color="000000"/>
              <w:left w:val="single" w:sz="4" w:space="0" w:color="000000"/>
              <w:bottom w:val="single" w:sz="4" w:space="0" w:color="000000"/>
              <w:right w:val="single" w:sz="4" w:space="0" w:color="000000"/>
            </w:tcBorders>
            <w:shd w:val="clear" w:color="auto" w:fill="auto"/>
          </w:tcPr>
          <w:p w14:paraId="28E62E77"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19154D0"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2016</w:t>
            </w:r>
          </w:p>
        </w:tc>
        <w:tc>
          <w:tcPr>
            <w:tcW w:w="159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F6F7146"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2017</w:t>
            </w:r>
          </w:p>
        </w:tc>
        <w:tc>
          <w:tcPr>
            <w:tcW w:w="16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1596FBB"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159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F2048F3"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2019 или 2020</w:t>
            </w:r>
          </w:p>
        </w:tc>
      </w:tr>
      <w:tr w:rsidR="00AE6E7E" w:rsidRPr="000F0299" w14:paraId="5B2BE8B3" w14:textId="77777777" w:rsidTr="00C45368">
        <w:trPr>
          <w:trHeight w:val="323"/>
          <w:jc w:val="center"/>
        </w:trPr>
        <w:tc>
          <w:tcPr>
            <w:tcW w:w="2485" w:type="dxa"/>
            <w:vMerge/>
            <w:tcBorders>
              <w:top w:val="single" w:sz="4" w:space="0" w:color="000000"/>
              <w:left w:val="single" w:sz="4" w:space="0" w:color="000000"/>
              <w:bottom w:val="single" w:sz="4" w:space="0" w:color="000000"/>
              <w:right w:val="single" w:sz="4" w:space="0" w:color="000000"/>
            </w:tcBorders>
            <w:shd w:val="clear" w:color="auto" w:fill="auto"/>
          </w:tcPr>
          <w:p w14:paraId="1CBD0820"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AED653B"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159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051455A"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16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8DE5B05"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159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556BA0A"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r>
      <w:tr w:rsidR="00AE6E7E" w:rsidRPr="000F0299" w14:paraId="4E950405" w14:textId="77777777" w:rsidTr="00C45368">
        <w:trPr>
          <w:trHeight w:val="274"/>
          <w:jc w:val="center"/>
        </w:trPr>
        <w:tc>
          <w:tcPr>
            <w:tcW w:w="248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8AF76A"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275EC"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2C576"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4E1AE8"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B045B"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6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92FB3D"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D2762"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C945F"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F4DC14"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B9D65"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C1F305"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AE6E7E" w:rsidRPr="000F0299" w14:paraId="1451E5AA" w14:textId="77777777" w:rsidTr="00C45368">
        <w:trPr>
          <w:trHeight w:val="160"/>
          <w:jc w:val="center"/>
        </w:trPr>
        <w:tc>
          <w:tcPr>
            <w:tcW w:w="2485" w:type="dxa"/>
            <w:vMerge/>
            <w:tcBorders>
              <w:top w:val="single" w:sz="4" w:space="0" w:color="000000"/>
              <w:left w:val="single" w:sz="4" w:space="0" w:color="000000"/>
              <w:bottom w:val="single" w:sz="4" w:space="0" w:color="000000"/>
              <w:right w:val="single" w:sz="4" w:space="0" w:color="000000"/>
            </w:tcBorders>
            <w:shd w:val="clear" w:color="auto" w:fill="auto"/>
          </w:tcPr>
          <w:p w14:paraId="45C821BC"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3150C"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B287A"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31CB63A"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783BF"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3%</w:t>
            </w:r>
          </w:p>
        </w:tc>
        <w:tc>
          <w:tcPr>
            <w:tcW w:w="6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60477"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5%</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76070C"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92B95"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09ACE6"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ACF1E"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88A64"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r>
      <w:tr w:rsidR="00AE6E7E" w:rsidRPr="000F0299" w14:paraId="26784A5C" w14:textId="77777777" w:rsidTr="00C45368">
        <w:trPr>
          <w:trHeight w:val="160"/>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24E45B3D"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14:paraId="678CFAA4"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Без одступања</w:t>
            </w:r>
          </w:p>
        </w:tc>
      </w:tr>
    </w:tbl>
    <w:p w14:paraId="2969BFB8" w14:textId="57DB0826" w:rsidR="00487FD1" w:rsidRPr="000F0299" w:rsidRDefault="00487FD1" w:rsidP="002309DC">
      <w:pPr>
        <w:ind w:firstLine="0"/>
        <w:rPr>
          <w:b/>
          <w:bCs/>
          <w:color w:val="2F5496" w:themeColor="accent1" w:themeShade="BF"/>
        </w:rPr>
      </w:pPr>
    </w:p>
    <w:p w14:paraId="08D4736C" w14:textId="77777777" w:rsidR="00487FD1" w:rsidRPr="000F0299" w:rsidRDefault="00487FD1">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1D0DBAED" w14:textId="72971767" w:rsidR="00AE6E7E" w:rsidRPr="000F0299" w:rsidRDefault="00CC370D" w:rsidP="002309DC">
      <w:pPr>
        <w:ind w:firstLine="0"/>
        <w:rPr>
          <w:b/>
          <w:bCs/>
          <w:color w:val="2F5496" w:themeColor="accent1" w:themeShade="BF"/>
        </w:rPr>
      </w:pPr>
      <w:r w:rsidRPr="000F0299">
        <w:rPr>
          <w:b/>
          <w:bCs/>
          <w:color w:val="2F5496" w:themeColor="accent1" w:themeShade="BF"/>
        </w:rPr>
        <w:t>Показатељ 7</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1"/>
        <w:gridCol w:w="644"/>
        <w:gridCol w:w="644"/>
        <w:gridCol w:w="341"/>
        <w:gridCol w:w="303"/>
        <w:gridCol w:w="644"/>
        <w:gridCol w:w="650"/>
        <w:gridCol w:w="644"/>
        <w:gridCol w:w="643"/>
        <w:gridCol w:w="345"/>
        <w:gridCol w:w="300"/>
        <w:gridCol w:w="643"/>
        <w:gridCol w:w="649"/>
      </w:tblGrid>
      <w:tr w:rsidR="00AE6E7E" w:rsidRPr="000F0299" w14:paraId="4793D14B" w14:textId="77777777" w:rsidTr="00C45368">
        <w:trPr>
          <w:trHeight w:val="728"/>
          <w:jc w:val="center"/>
        </w:trPr>
        <w:tc>
          <w:tcPr>
            <w:tcW w:w="2484" w:type="dxa"/>
            <w:tcBorders>
              <w:top w:val="single" w:sz="4" w:space="0" w:color="000000"/>
              <w:left w:val="single" w:sz="4" w:space="0" w:color="000000"/>
              <w:bottom w:val="single" w:sz="4" w:space="0" w:color="000000"/>
              <w:right w:val="single" w:sz="4" w:space="0" w:color="000000"/>
            </w:tcBorders>
            <w:shd w:val="clear" w:color="auto" w:fill="D5DEEE"/>
            <w:vAlign w:val="center"/>
          </w:tcPr>
          <w:p w14:paraId="32C8CE5F" w14:textId="77777777" w:rsidR="00AE6E7E" w:rsidRPr="000F0299" w:rsidRDefault="00AE6E7E" w:rsidP="003C0DA1">
            <w:pPr>
              <w:suppressAutoHyphens w:val="0"/>
              <w:autoSpaceDN/>
              <w:spacing w:before="0" w:after="134"/>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6447" w:type="dxa"/>
            <w:gridSpan w:val="12"/>
            <w:tcBorders>
              <w:top w:val="single" w:sz="4" w:space="0" w:color="000000"/>
              <w:left w:val="single" w:sz="4" w:space="0" w:color="000000"/>
              <w:bottom w:val="single" w:sz="4" w:space="0" w:color="000000"/>
              <w:right w:val="single" w:sz="4" w:space="0" w:color="000000"/>
            </w:tcBorders>
            <w:shd w:val="clear" w:color="auto" w:fill="D5DEEE"/>
            <w:vAlign w:val="center"/>
          </w:tcPr>
          <w:p w14:paraId="5CA1D5CC" w14:textId="77777777" w:rsidR="00AE6E7E" w:rsidRPr="000F0299" w:rsidRDefault="00AE6E7E" w:rsidP="003C0DA1">
            <w:pPr>
              <w:suppressAutoHyphens w:val="0"/>
              <w:autoSpaceDN/>
              <w:spacing w:before="0" w:after="134"/>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Проценат органа јавне управе на централном нивоу који организују и спроводе обуку о етици и интегритету за своје руководиоце и запослене</w:t>
            </w:r>
          </w:p>
        </w:tc>
      </w:tr>
      <w:tr w:rsidR="00AE6E7E" w:rsidRPr="000F0299" w14:paraId="43C1401B" w14:textId="77777777" w:rsidTr="00C45368">
        <w:trPr>
          <w:jc w:val="center"/>
        </w:trPr>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0CD11074" w14:textId="77777777" w:rsidR="00AE6E7E" w:rsidRPr="000F0299" w:rsidRDefault="00AE6E7E" w:rsidP="003C0DA1">
            <w:pPr>
              <w:suppressAutoHyphens w:val="0"/>
              <w:autoSpaceDN/>
              <w:spacing w:before="0" w:after="134"/>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447" w:type="dxa"/>
            <w:gridSpan w:val="12"/>
            <w:tcBorders>
              <w:top w:val="single" w:sz="4" w:space="0" w:color="000000"/>
              <w:left w:val="single" w:sz="4" w:space="0" w:color="000000"/>
              <w:bottom w:val="single" w:sz="4" w:space="0" w:color="000000"/>
              <w:right w:val="single" w:sz="4" w:space="0" w:color="000000"/>
            </w:tcBorders>
            <w:shd w:val="clear" w:color="auto" w:fill="FFFFFF"/>
          </w:tcPr>
          <w:p w14:paraId="4B70DC53" w14:textId="77777777" w:rsidR="00AE6E7E" w:rsidRPr="000F0299" w:rsidRDefault="00AE6E7E" w:rsidP="003C0DA1">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Мера 4.1.3:</w:t>
            </w:r>
            <w:r w:rsidRPr="000F0299">
              <w:rPr>
                <w:rFonts w:eastAsiaTheme="minorHAnsi"/>
                <w:kern w:val="0"/>
                <w:sz w:val="20"/>
                <w:szCs w:val="20"/>
                <w:lang w:eastAsia="en-US" w:bidi="ar-SA"/>
              </w:rPr>
              <w:t xml:space="preserve"> Јачање интегритета и етичких стандарда у јавној управи</w:t>
            </w:r>
          </w:p>
        </w:tc>
      </w:tr>
      <w:tr w:rsidR="00C45368" w:rsidRPr="000F0299" w14:paraId="40BA04EF" w14:textId="77777777" w:rsidTr="00C45368">
        <w:trPr>
          <w:jc w:val="center"/>
        </w:trPr>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67C5317C" w14:textId="77777777" w:rsidR="00C45368" w:rsidRPr="000F0299" w:rsidRDefault="00C45368" w:rsidP="003C0DA1">
            <w:pPr>
              <w:suppressAutoHyphens w:val="0"/>
              <w:autoSpaceDN/>
              <w:spacing w:before="0" w:after="134"/>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Тип и ниво показатеља</w:t>
            </w:r>
          </w:p>
        </w:tc>
        <w:tc>
          <w:tcPr>
            <w:tcW w:w="3226" w:type="dxa"/>
            <w:gridSpan w:val="6"/>
            <w:tcBorders>
              <w:top w:val="single" w:sz="4" w:space="0" w:color="000000"/>
              <w:left w:val="single" w:sz="4" w:space="0" w:color="000000"/>
              <w:bottom w:val="single" w:sz="4" w:space="0" w:color="000000"/>
              <w:right w:val="single" w:sz="4" w:space="0" w:color="000000"/>
            </w:tcBorders>
            <w:shd w:val="clear" w:color="auto" w:fill="FFFFFF"/>
          </w:tcPr>
          <w:p w14:paraId="0EDC3226" w14:textId="760C050C" w:rsidR="00C45368" w:rsidRPr="000F0299" w:rsidRDefault="00C45368" w:rsidP="003C0DA1">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Квантитативни</w:t>
            </w:r>
          </w:p>
        </w:tc>
        <w:tc>
          <w:tcPr>
            <w:tcW w:w="3221" w:type="dxa"/>
            <w:gridSpan w:val="6"/>
            <w:tcBorders>
              <w:top w:val="single" w:sz="4" w:space="0" w:color="000000"/>
              <w:left w:val="single" w:sz="4" w:space="0" w:color="000000"/>
              <w:bottom w:val="single" w:sz="4" w:space="0" w:color="000000"/>
              <w:right w:val="single" w:sz="4" w:space="0" w:color="000000"/>
            </w:tcBorders>
            <w:shd w:val="clear" w:color="auto" w:fill="FFFFFF"/>
          </w:tcPr>
          <w:p w14:paraId="13084E8C" w14:textId="0CF7BFE6" w:rsidR="00C45368" w:rsidRPr="000F0299" w:rsidRDefault="00C45368" w:rsidP="003C0DA1">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Показатељ резултата</w:t>
            </w:r>
          </w:p>
        </w:tc>
      </w:tr>
      <w:tr w:rsidR="00C45368" w:rsidRPr="000F0299" w14:paraId="227702E7" w14:textId="77777777" w:rsidTr="00C45368">
        <w:trPr>
          <w:trHeight w:val="301"/>
          <w:jc w:val="center"/>
        </w:trPr>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3B5C27E1" w14:textId="77777777" w:rsidR="00C45368" w:rsidRPr="000F0299" w:rsidRDefault="00C45368" w:rsidP="003C0DA1">
            <w:pPr>
              <w:suppressAutoHyphens w:val="0"/>
              <w:autoSpaceDN/>
              <w:spacing w:before="0" w:after="134"/>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Јединица мере и природа</w:t>
            </w:r>
          </w:p>
        </w:tc>
        <w:tc>
          <w:tcPr>
            <w:tcW w:w="32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01C0E85E" w14:textId="626975BC" w:rsidR="00C45368" w:rsidRPr="000F0299" w:rsidRDefault="00C45368" w:rsidP="003C0DA1">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3224" w:type="dxa"/>
            <w:gridSpan w:val="6"/>
            <w:tcBorders>
              <w:top w:val="single" w:sz="4" w:space="0" w:color="000000"/>
              <w:left w:val="single" w:sz="4" w:space="0" w:color="000000"/>
              <w:bottom w:val="single" w:sz="4" w:space="0" w:color="000000"/>
              <w:right w:val="single" w:sz="4" w:space="0" w:color="000000"/>
            </w:tcBorders>
            <w:shd w:val="clear" w:color="auto" w:fill="FFFFFF"/>
          </w:tcPr>
          <w:p w14:paraId="5972C185" w14:textId="0F7293D0" w:rsidR="00C45368" w:rsidRPr="000F0299" w:rsidRDefault="00C45368" w:rsidP="003C0DA1">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Већа вредност је пожељна</w:t>
            </w:r>
          </w:p>
        </w:tc>
      </w:tr>
      <w:tr w:rsidR="00AE6E7E" w:rsidRPr="000F0299" w14:paraId="5A0679EB" w14:textId="77777777" w:rsidTr="00C45368">
        <w:trPr>
          <w:jc w:val="center"/>
        </w:trPr>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4AB72DDC"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447" w:type="dxa"/>
            <w:gridSpan w:val="12"/>
            <w:tcBorders>
              <w:top w:val="single" w:sz="4" w:space="0" w:color="000000"/>
              <w:left w:val="single" w:sz="4" w:space="0" w:color="000000"/>
              <w:bottom w:val="single" w:sz="4" w:space="0" w:color="000000"/>
              <w:right w:val="single" w:sz="4" w:space="0" w:color="000000"/>
            </w:tcBorders>
            <w:shd w:val="clear" w:color="auto" w:fill="FFFFFF"/>
          </w:tcPr>
          <w:p w14:paraId="706737DF"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Извештај Агенције за спречавање корупције за период од три године.</w:t>
            </w:r>
          </w:p>
          <w:p w14:paraId="42D755E1" w14:textId="77777777" w:rsidR="00AE6E7E" w:rsidRPr="000F0299" w:rsidRDefault="00F47F65" w:rsidP="003C0DA1">
            <w:pPr>
              <w:suppressAutoHyphens w:val="0"/>
              <w:autoSpaceDN/>
              <w:spacing w:before="0" w:after="0"/>
              <w:ind w:firstLine="0"/>
              <w:textAlignment w:val="auto"/>
              <w:rPr>
                <w:rFonts w:eastAsiaTheme="minorHAnsi"/>
                <w:kern w:val="0"/>
                <w:sz w:val="20"/>
                <w:szCs w:val="20"/>
                <w:lang w:eastAsia="en-US" w:bidi="ar-SA"/>
              </w:rPr>
            </w:pPr>
            <w:hyperlink r:id="rId210" w:history="1">
              <w:r w:rsidR="00AE6E7E" w:rsidRPr="000F0299">
                <w:rPr>
                  <w:rFonts w:eastAsiaTheme="minorHAnsi"/>
                  <w:color w:val="0563C1" w:themeColor="hyperlink"/>
                  <w:kern w:val="0"/>
                  <w:sz w:val="20"/>
                  <w:szCs w:val="20"/>
                  <w:u w:val="single"/>
                  <w:lang w:eastAsia="en-US" w:bidi="ar-SA"/>
                </w:rPr>
                <w:t>http://www.acas.rs/</w:t>
              </w:r>
            </w:hyperlink>
            <w:r w:rsidR="00AE6E7E" w:rsidRPr="000F0299">
              <w:rPr>
                <w:rFonts w:eastAsiaTheme="minorHAnsi"/>
                <w:kern w:val="0"/>
                <w:sz w:val="20"/>
                <w:szCs w:val="20"/>
                <w:lang w:eastAsia="en-US" w:bidi="ar-SA"/>
              </w:rPr>
              <w:t xml:space="preserve"> </w:t>
            </w:r>
          </w:p>
        </w:tc>
      </w:tr>
      <w:tr w:rsidR="00AE6E7E" w:rsidRPr="000F0299" w14:paraId="3DC3D7B0" w14:textId="77777777" w:rsidTr="00C45368">
        <w:trPr>
          <w:jc w:val="center"/>
        </w:trPr>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45801CC3" w14:textId="77777777" w:rsidR="00AE6E7E" w:rsidRPr="000F0299" w:rsidRDefault="00AE6E7E" w:rsidP="003C0DA1">
            <w:pPr>
              <w:suppressAutoHyphens w:val="0"/>
              <w:autoSpaceDN/>
              <w:spacing w:before="0" w:after="134"/>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447" w:type="dxa"/>
            <w:gridSpan w:val="12"/>
            <w:tcBorders>
              <w:top w:val="single" w:sz="4" w:space="0" w:color="000000"/>
              <w:left w:val="single" w:sz="4" w:space="0" w:color="000000"/>
              <w:bottom w:val="single" w:sz="4" w:space="0" w:color="000000"/>
              <w:right w:val="single" w:sz="4" w:space="0" w:color="000000"/>
            </w:tcBorders>
            <w:shd w:val="clear" w:color="auto" w:fill="FFFFFF"/>
          </w:tcPr>
          <w:p w14:paraId="5EDC505C" w14:textId="77777777" w:rsidR="00AE6E7E" w:rsidRPr="000F0299" w:rsidRDefault="00AE6E7E" w:rsidP="003C0DA1">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Агенција за спречавање корупције</w:t>
            </w:r>
          </w:p>
          <w:p w14:paraId="4503CC5D" w14:textId="3BDB2A20" w:rsidR="00AE6E7E" w:rsidRPr="000F0299" w:rsidRDefault="00AE6E7E" w:rsidP="00E400F4">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Сектор за превенцију и јачање и</w:t>
            </w:r>
            <w:r w:rsidR="00E400F4">
              <w:rPr>
                <w:rFonts w:eastAsiaTheme="minorHAnsi"/>
                <w:kern w:val="0"/>
                <w:sz w:val="20"/>
                <w:szCs w:val="20"/>
                <w:lang w:eastAsia="en-US" w:bidi="ar-SA"/>
              </w:rPr>
              <w:t>нтегритета</w:t>
            </w:r>
          </w:p>
        </w:tc>
      </w:tr>
      <w:tr w:rsidR="00AE6E7E" w:rsidRPr="000F0299" w14:paraId="73D37202" w14:textId="77777777" w:rsidTr="00C45368">
        <w:trPr>
          <w:jc w:val="center"/>
        </w:trPr>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1D3654DB" w14:textId="77777777" w:rsidR="00AE6E7E" w:rsidRPr="000F0299" w:rsidRDefault="00AE6E7E" w:rsidP="003C0DA1">
            <w:pPr>
              <w:suppressAutoHyphens w:val="0"/>
              <w:autoSpaceDN/>
              <w:spacing w:before="0" w:after="134"/>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447" w:type="dxa"/>
            <w:gridSpan w:val="12"/>
            <w:tcBorders>
              <w:top w:val="single" w:sz="4" w:space="0" w:color="000000"/>
              <w:left w:val="single" w:sz="4" w:space="0" w:color="000000"/>
              <w:bottom w:val="single" w:sz="4" w:space="0" w:color="000000"/>
              <w:right w:val="single" w:sz="4" w:space="0" w:color="000000"/>
            </w:tcBorders>
            <w:shd w:val="clear" w:color="auto" w:fill="FFFFFF"/>
          </w:tcPr>
          <w:p w14:paraId="486207D6" w14:textId="77777777" w:rsidR="00AE6E7E" w:rsidRPr="000F0299" w:rsidRDefault="00AE6E7E" w:rsidP="003C0DA1">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Подаци се прикупљају сваке треће године, у марту текуће године за претходни трогодишњи период</w:t>
            </w:r>
          </w:p>
        </w:tc>
      </w:tr>
      <w:tr w:rsidR="00AE6E7E" w:rsidRPr="000F0299" w14:paraId="57A286F5" w14:textId="77777777" w:rsidTr="00C45368">
        <w:trPr>
          <w:jc w:val="center"/>
        </w:trPr>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11C9ABB1" w14:textId="77777777" w:rsidR="00AE6E7E" w:rsidRPr="000F0299" w:rsidRDefault="00AE6E7E" w:rsidP="003C0DA1">
            <w:pPr>
              <w:suppressAutoHyphens w:val="0"/>
              <w:autoSpaceDN/>
              <w:spacing w:before="0" w:after="134"/>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Кратак опис показатеља и методологије израчунавања</w:t>
            </w:r>
          </w:p>
          <w:p w14:paraId="00CC6D9C" w14:textId="77777777" w:rsidR="00AE6E7E" w:rsidRPr="000F0299" w:rsidRDefault="00AE6E7E" w:rsidP="003C0DA1">
            <w:pPr>
              <w:suppressAutoHyphens w:val="0"/>
              <w:autoSpaceDN/>
              <w:spacing w:before="0" w:after="134"/>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(формуле/ једначине)</w:t>
            </w:r>
          </w:p>
        </w:tc>
        <w:tc>
          <w:tcPr>
            <w:tcW w:w="6447" w:type="dxa"/>
            <w:gridSpan w:val="12"/>
            <w:tcBorders>
              <w:top w:val="single" w:sz="4" w:space="0" w:color="000000"/>
              <w:left w:val="single" w:sz="4" w:space="0" w:color="000000"/>
              <w:bottom w:val="single" w:sz="4" w:space="0" w:color="000000"/>
              <w:right w:val="single" w:sz="4" w:space="0" w:color="000000"/>
            </w:tcBorders>
            <w:shd w:val="clear" w:color="auto" w:fill="FFFFFF"/>
          </w:tcPr>
          <w:p w14:paraId="3D95B803" w14:textId="5AE31C63" w:rsidR="00AE6E7E" w:rsidRPr="000F0299" w:rsidRDefault="00D958ED" w:rsidP="003C0DA1">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Формула/једначина</w:t>
            </w:r>
          </w:p>
          <w:p w14:paraId="33C129BA" w14:textId="77777777" w:rsidR="00AE6E7E" w:rsidRPr="000F0299" w:rsidRDefault="00AE6E7E" w:rsidP="003C0DA1">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Број органа јавне управе на централном нивоу који организују и спроводе обуку о етици и интегритету за своје руководиоце и запослене (X) у односу на укупан број органа јавне управе на централном нивоу (Y)</w:t>
            </w:r>
          </w:p>
          <w:p w14:paraId="146A9353" w14:textId="77777777" w:rsidR="00AE6E7E" w:rsidRPr="000F0299" w:rsidRDefault="00AE6E7E" w:rsidP="003C0DA1">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 за израчунавање:   X:Y x 100</w:t>
            </w:r>
          </w:p>
        </w:tc>
      </w:tr>
      <w:tr w:rsidR="00AE6E7E" w:rsidRPr="000F0299" w14:paraId="09A50A10" w14:textId="77777777" w:rsidTr="00C45368">
        <w:trPr>
          <w:trHeight w:val="265"/>
          <w:jc w:val="center"/>
        </w:trPr>
        <w:tc>
          <w:tcPr>
            <w:tcW w:w="24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1203A80" w14:textId="77777777" w:rsidR="00AE6E7E" w:rsidRPr="000F0299" w:rsidRDefault="00AE6E7E" w:rsidP="003C0DA1">
            <w:pPr>
              <w:suppressAutoHyphens w:val="0"/>
              <w:autoSpaceDN/>
              <w:spacing w:before="0" w:after="134"/>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485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1C70FDA5" w14:textId="77777777" w:rsidR="00AE6E7E" w:rsidRPr="000F0299" w:rsidRDefault="00AE6E7E" w:rsidP="003C0DA1">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tc>
        <w:tc>
          <w:tcPr>
            <w:tcW w:w="158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5BF5ECF" w14:textId="77777777" w:rsidR="00AE6E7E" w:rsidRPr="000F0299" w:rsidRDefault="00AE6E7E" w:rsidP="003C0DA1">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AE6E7E" w:rsidRPr="000F0299" w14:paraId="7DAEB04F" w14:textId="77777777" w:rsidTr="00C45368">
        <w:trPr>
          <w:trHeight w:val="137"/>
          <w:jc w:val="center"/>
        </w:trPr>
        <w:tc>
          <w:tcPr>
            <w:tcW w:w="2484" w:type="dxa"/>
            <w:vMerge/>
            <w:tcBorders>
              <w:top w:val="single" w:sz="4" w:space="0" w:color="000000"/>
              <w:left w:val="single" w:sz="4" w:space="0" w:color="000000"/>
              <w:bottom w:val="single" w:sz="4" w:space="0" w:color="000000"/>
              <w:right w:val="single" w:sz="4" w:space="0" w:color="000000"/>
            </w:tcBorders>
            <w:shd w:val="clear" w:color="auto" w:fill="auto"/>
          </w:tcPr>
          <w:p w14:paraId="1B7FB9A4" w14:textId="77777777" w:rsidR="00AE6E7E" w:rsidRPr="000F0299" w:rsidRDefault="00AE6E7E" w:rsidP="003C0DA1">
            <w:pPr>
              <w:suppressAutoHyphens w:val="0"/>
              <w:autoSpaceDN/>
              <w:spacing w:before="0" w:after="134"/>
              <w:ind w:firstLine="0"/>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E019A67"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2016</w:t>
            </w:r>
          </w:p>
        </w:tc>
        <w:tc>
          <w:tcPr>
            <w:tcW w:w="159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E8D2261"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2017</w:t>
            </w:r>
          </w:p>
        </w:tc>
        <w:tc>
          <w:tcPr>
            <w:tcW w:w="163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76CCF96"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158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4647A24"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2019 или 2020</w:t>
            </w:r>
          </w:p>
        </w:tc>
      </w:tr>
      <w:tr w:rsidR="00AE6E7E" w:rsidRPr="000F0299" w14:paraId="4F4C7748" w14:textId="77777777" w:rsidTr="00C45368">
        <w:trPr>
          <w:trHeight w:val="323"/>
          <w:jc w:val="center"/>
        </w:trPr>
        <w:tc>
          <w:tcPr>
            <w:tcW w:w="2484" w:type="dxa"/>
            <w:vMerge/>
            <w:tcBorders>
              <w:top w:val="single" w:sz="4" w:space="0" w:color="000000"/>
              <w:left w:val="single" w:sz="4" w:space="0" w:color="000000"/>
              <w:bottom w:val="single" w:sz="4" w:space="0" w:color="000000"/>
              <w:right w:val="single" w:sz="4" w:space="0" w:color="000000"/>
            </w:tcBorders>
            <w:shd w:val="clear" w:color="auto" w:fill="auto"/>
          </w:tcPr>
          <w:p w14:paraId="31AEC2DB" w14:textId="77777777" w:rsidR="00AE6E7E" w:rsidRPr="000F0299" w:rsidRDefault="00AE6E7E" w:rsidP="003C0DA1">
            <w:pPr>
              <w:suppressAutoHyphens w:val="0"/>
              <w:autoSpaceDN/>
              <w:spacing w:before="0" w:after="134"/>
              <w:ind w:firstLine="0"/>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87624A7"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p>
        </w:tc>
        <w:tc>
          <w:tcPr>
            <w:tcW w:w="159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768CD06"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p>
        </w:tc>
        <w:tc>
          <w:tcPr>
            <w:tcW w:w="163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A8E150D"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p>
        </w:tc>
        <w:tc>
          <w:tcPr>
            <w:tcW w:w="158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7CA8491"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r>
      <w:tr w:rsidR="00AE6E7E" w:rsidRPr="000F0299" w14:paraId="56EC31AE" w14:textId="77777777" w:rsidTr="00C45368">
        <w:trPr>
          <w:trHeight w:val="274"/>
          <w:jc w:val="center"/>
        </w:trPr>
        <w:tc>
          <w:tcPr>
            <w:tcW w:w="24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388DF5F" w14:textId="77777777" w:rsidR="00AE6E7E" w:rsidRPr="000F0299" w:rsidRDefault="00AE6E7E" w:rsidP="003C0DA1">
            <w:pPr>
              <w:suppressAutoHyphens w:val="0"/>
              <w:autoSpaceDN/>
              <w:spacing w:before="0" w:after="134"/>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E0DA9"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EF78A"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6BB5FBE"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4EA8B"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6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6AD42"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1CA37"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5788F4"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C2DE4D6"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0CAAB"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BF5AA"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AE6E7E" w:rsidRPr="000F0299" w14:paraId="2D7E5CE5" w14:textId="77777777" w:rsidTr="00C45368">
        <w:trPr>
          <w:trHeight w:val="160"/>
          <w:jc w:val="center"/>
        </w:trPr>
        <w:tc>
          <w:tcPr>
            <w:tcW w:w="2484" w:type="dxa"/>
            <w:vMerge/>
            <w:tcBorders>
              <w:top w:val="single" w:sz="4" w:space="0" w:color="000000"/>
              <w:left w:val="single" w:sz="4" w:space="0" w:color="000000"/>
              <w:bottom w:val="single" w:sz="4" w:space="0" w:color="000000"/>
              <w:right w:val="single" w:sz="4" w:space="0" w:color="000000"/>
            </w:tcBorders>
            <w:shd w:val="clear" w:color="auto" w:fill="auto"/>
          </w:tcPr>
          <w:p w14:paraId="3E3ABF85" w14:textId="77777777" w:rsidR="00AE6E7E" w:rsidRPr="000F0299" w:rsidRDefault="00AE6E7E" w:rsidP="003C0DA1">
            <w:pPr>
              <w:suppressAutoHyphens w:val="0"/>
              <w:autoSpaceDN/>
              <w:spacing w:before="0" w:after="134"/>
              <w:ind w:firstLine="0"/>
              <w:textAlignment w:val="auto"/>
              <w:rPr>
                <w:rFonts w:eastAsiaTheme="minorHAnsi"/>
                <w:b/>
                <w:bCs/>
                <w:kern w:val="0"/>
                <w:sz w:val="20"/>
                <w:szCs w:val="20"/>
                <w:lang w:eastAsia="en-US" w:bidi="ar-SA"/>
              </w:rPr>
            </w:pP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22CF4"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25%</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36C1A"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25%</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426E4CE"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25%</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497FD"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50%</w:t>
            </w:r>
          </w:p>
        </w:tc>
        <w:tc>
          <w:tcPr>
            <w:tcW w:w="6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7A6FD"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50%</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FE2F46"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85178"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0A358B"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5043E"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083D5" w14:textId="77777777" w:rsidR="00AE6E7E" w:rsidRPr="000F0299" w:rsidRDefault="00AE6E7E" w:rsidP="003C0DA1">
            <w:pPr>
              <w:suppressAutoHyphens w:val="0"/>
              <w:autoSpaceDN/>
              <w:spacing w:before="0" w:after="134"/>
              <w:ind w:firstLine="0"/>
              <w:jc w:val="center"/>
              <w:textAlignment w:val="auto"/>
              <w:rPr>
                <w:rFonts w:eastAsiaTheme="minorHAnsi"/>
                <w:kern w:val="0"/>
                <w:sz w:val="20"/>
                <w:szCs w:val="20"/>
                <w:lang w:eastAsia="en-US" w:bidi="ar-SA"/>
              </w:rPr>
            </w:pPr>
          </w:p>
        </w:tc>
      </w:tr>
      <w:tr w:rsidR="00AE6E7E" w:rsidRPr="000F0299" w14:paraId="31879A85" w14:textId="77777777" w:rsidTr="00C45368">
        <w:trPr>
          <w:trHeight w:val="160"/>
          <w:jc w:val="center"/>
        </w:trPr>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63BE80DA" w14:textId="77777777" w:rsidR="00AE6E7E" w:rsidRPr="000F0299" w:rsidRDefault="00AE6E7E" w:rsidP="003C0DA1">
            <w:pPr>
              <w:suppressAutoHyphens w:val="0"/>
              <w:autoSpaceDN/>
              <w:spacing w:before="0" w:after="134"/>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447"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14:paraId="1E6205DC" w14:textId="77777777" w:rsidR="00AE6E7E" w:rsidRPr="000F0299" w:rsidRDefault="00AE6E7E" w:rsidP="003C0DA1">
            <w:pPr>
              <w:suppressAutoHyphens w:val="0"/>
              <w:autoSpaceDN/>
              <w:spacing w:before="0" w:after="134"/>
              <w:ind w:firstLine="0"/>
              <w:textAlignment w:val="auto"/>
              <w:rPr>
                <w:rFonts w:eastAsiaTheme="minorHAnsi"/>
                <w:kern w:val="0"/>
                <w:sz w:val="20"/>
                <w:szCs w:val="20"/>
                <w:lang w:eastAsia="en-US" w:bidi="ar-SA"/>
              </w:rPr>
            </w:pPr>
            <w:r w:rsidRPr="000F0299">
              <w:rPr>
                <w:rFonts w:eastAsiaTheme="minorHAnsi"/>
                <w:iCs/>
                <w:kern w:val="0"/>
                <w:sz w:val="20"/>
                <w:szCs w:val="20"/>
                <w:lang w:eastAsia="en-US" w:bidi="ar-SA"/>
              </w:rPr>
              <w:t>Одступање до 5% у односу на циљану вредност биће вредновано као успех.</w:t>
            </w:r>
          </w:p>
        </w:tc>
      </w:tr>
    </w:tbl>
    <w:p w14:paraId="38B8CF02" w14:textId="4F521EDE" w:rsidR="00AE6E7E" w:rsidRPr="000F0299" w:rsidRDefault="00CC370D" w:rsidP="002309DC">
      <w:pPr>
        <w:ind w:firstLine="0"/>
        <w:rPr>
          <w:b/>
          <w:bCs/>
          <w:color w:val="2F5496" w:themeColor="accent1" w:themeShade="BF"/>
        </w:rPr>
      </w:pPr>
      <w:r w:rsidRPr="000F0299">
        <w:rPr>
          <w:b/>
          <w:bCs/>
          <w:color w:val="2F5496" w:themeColor="accent1" w:themeShade="BF"/>
        </w:rPr>
        <w:t>Показатељ 8</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4"/>
        <w:gridCol w:w="644"/>
        <w:gridCol w:w="644"/>
        <w:gridCol w:w="340"/>
        <w:gridCol w:w="304"/>
        <w:gridCol w:w="643"/>
        <w:gridCol w:w="649"/>
        <w:gridCol w:w="644"/>
        <w:gridCol w:w="643"/>
        <w:gridCol w:w="347"/>
        <w:gridCol w:w="298"/>
        <w:gridCol w:w="643"/>
        <w:gridCol w:w="648"/>
      </w:tblGrid>
      <w:tr w:rsidR="00AE6E7E" w:rsidRPr="000F0299" w14:paraId="5B0E17D2"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D5DEEE"/>
            <w:vAlign w:val="center"/>
          </w:tcPr>
          <w:p w14:paraId="24EA4B1B"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D5DEEE"/>
            <w:vAlign w:val="center"/>
          </w:tcPr>
          <w:p w14:paraId="4B501A4F"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Број органа јавне управе и других ималаца јавних овлашћења који деле/објављују отворене податке на Порталу отворених података.</w:t>
            </w:r>
          </w:p>
        </w:tc>
      </w:tr>
      <w:tr w:rsidR="00AE6E7E" w:rsidRPr="000F0299" w14:paraId="408CEB4D"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46B4CC4C"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210E66DD"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 xml:space="preserve">Мера 4.1.4: </w:t>
            </w:r>
            <w:r w:rsidRPr="000F0299">
              <w:rPr>
                <w:rFonts w:eastAsiaTheme="minorHAnsi"/>
                <w:kern w:val="0"/>
                <w:sz w:val="20"/>
                <w:szCs w:val="20"/>
                <w:lang w:eastAsia="en-US" w:bidi="ar-SA"/>
              </w:rPr>
              <w:t>Унапређење проактивног објављивања података у поседу органа јавне управе</w:t>
            </w:r>
          </w:p>
        </w:tc>
      </w:tr>
      <w:tr w:rsidR="00C45368" w:rsidRPr="000F0299" w14:paraId="355F31B6"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792BB998" w14:textId="77777777" w:rsidR="00C45368" w:rsidRPr="000F0299" w:rsidRDefault="00C45368"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Тип и ниво показатеља</w:t>
            </w:r>
          </w:p>
        </w:tc>
        <w:tc>
          <w:tcPr>
            <w:tcW w:w="3224" w:type="dxa"/>
            <w:gridSpan w:val="6"/>
            <w:tcBorders>
              <w:top w:val="single" w:sz="4" w:space="0" w:color="000000"/>
              <w:left w:val="single" w:sz="4" w:space="0" w:color="000000"/>
              <w:bottom w:val="single" w:sz="4" w:space="0" w:color="000000"/>
              <w:right w:val="single" w:sz="4" w:space="0" w:color="000000"/>
            </w:tcBorders>
            <w:shd w:val="clear" w:color="auto" w:fill="FFFFFF"/>
          </w:tcPr>
          <w:p w14:paraId="35C3E83F" w14:textId="3EB01B10" w:rsidR="00C45368" w:rsidRPr="000F0299" w:rsidRDefault="00C45368"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Квантитативни</w:t>
            </w:r>
          </w:p>
        </w:tc>
        <w:tc>
          <w:tcPr>
            <w:tcW w:w="3222" w:type="dxa"/>
            <w:gridSpan w:val="6"/>
            <w:tcBorders>
              <w:top w:val="single" w:sz="4" w:space="0" w:color="000000"/>
              <w:left w:val="single" w:sz="4" w:space="0" w:color="000000"/>
              <w:bottom w:val="single" w:sz="4" w:space="0" w:color="000000"/>
              <w:right w:val="single" w:sz="4" w:space="0" w:color="000000"/>
            </w:tcBorders>
            <w:shd w:val="clear" w:color="auto" w:fill="FFFFFF"/>
          </w:tcPr>
          <w:p w14:paraId="1D7BE725" w14:textId="395EDF8A" w:rsidR="00C45368" w:rsidRPr="000F0299" w:rsidRDefault="00C45368"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Показатељ резултата</w:t>
            </w:r>
          </w:p>
        </w:tc>
      </w:tr>
      <w:tr w:rsidR="00110BCC" w:rsidRPr="000F0299" w14:paraId="217A3A48" w14:textId="77777777" w:rsidTr="00110BCC">
        <w:trPr>
          <w:trHeight w:val="301"/>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2002E098" w14:textId="77777777" w:rsidR="00110BCC" w:rsidRPr="000F0299" w:rsidRDefault="00110BCC"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Јединица мере и природа</w:t>
            </w:r>
          </w:p>
        </w:tc>
        <w:tc>
          <w:tcPr>
            <w:tcW w:w="32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2223D919" w14:textId="0F01A184" w:rsidR="00110BCC" w:rsidRPr="000F0299" w:rsidRDefault="00110BCC"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Број</w:t>
            </w:r>
          </w:p>
        </w:tc>
        <w:tc>
          <w:tcPr>
            <w:tcW w:w="32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296EFA04" w14:textId="52E22A0F" w:rsidR="00110BCC" w:rsidRPr="000F0299" w:rsidRDefault="00110BCC"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Већи број је пожељан</w:t>
            </w:r>
          </w:p>
        </w:tc>
      </w:tr>
      <w:tr w:rsidR="00AE6E7E" w:rsidRPr="000F0299" w14:paraId="3FB22042"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691A92ED"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3B8385D5" w14:textId="0AD7AA18"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Статистика Портала отворених података - </w:t>
            </w:r>
            <w:hyperlink r:id="rId211" w:history="1">
              <w:r w:rsidR="00110BCC" w:rsidRPr="000F0299">
                <w:rPr>
                  <w:rStyle w:val="Hyperlink"/>
                  <w:rFonts w:eastAsiaTheme="minorHAnsi"/>
                  <w:kern w:val="0"/>
                  <w:sz w:val="20"/>
                  <w:szCs w:val="20"/>
                  <w:lang w:eastAsia="en-US" w:bidi="ar-SA"/>
                </w:rPr>
                <w:t>www.data.gov.rs</w:t>
              </w:r>
            </w:hyperlink>
            <w:r w:rsidR="00110BCC" w:rsidRPr="000F0299">
              <w:rPr>
                <w:rFonts w:eastAsiaTheme="minorHAnsi"/>
                <w:kern w:val="0"/>
                <w:sz w:val="20"/>
                <w:szCs w:val="20"/>
                <w:lang w:eastAsia="en-US" w:bidi="ar-SA"/>
              </w:rPr>
              <w:t xml:space="preserve"> </w:t>
            </w:r>
          </w:p>
        </w:tc>
      </w:tr>
      <w:tr w:rsidR="00AE6E7E" w:rsidRPr="000F0299" w14:paraId="62D9B5DC"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2F8C62B0"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37B2C431" w14:textId="691F773F"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Канцеларија за информационе </w:t>
            </w:r>
            <w:r w:rsidR="00864D50" w:rsidRPr="000F0299">
              <w:rPr>
                <w:rFonts w:eastAsiaTheme="minorHAnsi"/>
                <w:kern w:val="0"/>
                <w:sz w:val="20"/>
                <w:szCs w:val="20"/>
                <w:lang w:eastAsia="en-US" w:bidi="ar-SA"/>
              </w:rPr>
              <w:t>технологије</w:t>
            </w:r>
            <w:r w:rsidRPr="000F0299">
              <w:rPr>
                <w:rFonts w:eastAsiaTheme="minorHAnsi"/>
                <w:kern w:val="0"/>
                <w:sz w:val="20"/>
                <w:szCs w:val="20"/>
                <w:lang w:eastAsia="en-US" w:bidi="ar-SA"/>
              </w:rPr>
              <w:t xml:space="preserve"> и електронску управу</w:t>
            </w:r>
          </w:p>
          <w:p w14:paraId="601D65DD" w14:textId="59399CDE"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Сектор за стандардизацију и се</w:t>
            </w:r>
            <w:r w:rsidR="0003570C">
              <w:rPr>
                <w:rFonts w:eastAsiaTheme="minorHAnsi"/>
                <w:kern w:val="0"/>
                <w:sz w:val="20"/>
                <w:szCs w:val="20"/>
                <w:lang w:eastAsia="en-US" w:bidi="ar-SA"/>
              </w:rPr>
              <w:t>ртификацију</w:t>
            </w:r>
          </w:p>
        </w:tc>
      </w:tr>
      <w:tr w:rsidR="00AE6E7E" w:rsidRPr="000F0299" w14:paraId="669BCBB2"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5522AC4F"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2E39486A"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Подаци се прикупљају на годишњем нивоу, до краја децембра за текућу годину </w:t>
            </w:r>
          </w:p>
        </w:tc>
      </w:tr>
      <w:tr w:rsidR="00AE6E7E" w:rsidRPr="000F0299" w14:paraId="1CE4337B"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01E2468E"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Кратак опис показатеља и методологије израчунавања</w:t>
            </w:r>
          </w:p>
          <w:p w14:paraId="60B975B9"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(формуле/ једначине)</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45E626A1" w14:textId="7F02BF0B" w:rsidR="00AE6E7E" w:rsidRPr="000F0299" w:rsidRDefault="00D958ED"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Формула/једначина</w:t>
            </w:r>
          </w:p>
          <w:p w14:paraId="2964D8F7"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Број органа јавне управе и других ималаца јавних овлашћења који деле/објављују отворене податке на Порталу отворених података</w:t>
            </w:r>
          </w:p>
        </w:tc>
      </w:tr>
      <w:tr w:rsidR="00AE6E7E" w:rsidRPr="000F0299" w14:paraId="7892DFBD" w14:textId="77777777" w:rsidTr="00110BCC">
        <w:trPr>
          <w:trHeight w:val="265"/>
          <w:jc w:val="center"/>
        </w:trPr>
        <w:tc>
          <w:tcPr>
            <w:tcW w:w="248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997AE8D"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485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4B105241"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tc>
        <w:tc>
          <w:tcPr>
            <w:tcW w:w="158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C306B58"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AE6E7E" w:rsidRPr="000F0299" w14:paraId="10B3D904" w14:textId="77777777" w:rsidTr="00110BCC">
        <w:trPr>
          <w:trHeight w:val="137"/>
          <w:jc w:val="center"/>
        </w:trPr>
        <w:tc>
          <w:tcPr>
            <w:tcW w:w="2485" w:type="dxa"/>
            <w:vMerge/>
            <w:tcBorders>
              <w:top w:val="single" w:sz="4" w:space="0" w:color="000000"/>
              <w:left w:val="single" w:sz="4" w:space="0" w:color="000000"/>
              <w:bottom w:val="single" w:sz="4" w:space="0" w:color="000000"/>
              <w:right w:val="single" w:sz="4" w:space="0" w:color="000000"/>
            </w:tcBorders>
            <w:shd w:val="clear" w:color="auto" w:fill="auto"/>
          </w:tcPr>
          <w:p w14:paraId="359E4E85"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p>
        </w:tc>
        <w:tc>
          <w:tcPr>
            <w:tcW w:w="162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5371DB5"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2016</w:t>
            </w:r>
          </w:p>
        </w:tc>
        <w:tc>
          <w:tcPr>
            <w:tcW w:w="159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E7B76FA"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2017</w:t>
            </w:r>
          </w:p>
        </w:tc>
        <w:tc>
          <w:tcPr>
            <w:tcW w:w="163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19046EF"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158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6FE313D"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2019 или 2020</w:t>
            </w:r>
          </w:p>
        </w:tc>
      </w:tr>
      <w:tr w:rsidR="00AE6E7E" w:rsidRPr="000F0299" w14:paraId="5246BDF1" w14:textId="77777777" w:rsidTr="00110BCC">
        <w:trPr>
          <w:trHeight w:val="323"/>
          <w:jc w:val="center"/>
        </w:trPr>
        <w:tc>
          <w:tcPr>
            <w:tcW w:w="2485" w:type="dxa"/>
            <w:vMerge/>
            <w:tcBorders>
              <w:top w:val="single" w:sz="4" w:space="0" w:color="000000"/>
              <w:left w:val="single" w:sz="4" w:space="0" w:color="000000"/>
              <w:bottom w:val="single" w:sz="4" w:space="0" w:color="000000"/>
              <w:right w:val="single" w:sz="4" w:space="0" w:color="000000"/>
            </w:tcBorders>
            <w:shd w:val="clear" w:color="auto" w:fill="auto"/>
          </w:tcPr>
          <w:p w14:paraId="5E9918A3"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p>
        </w:tc>
        <w:tc>
          <w:tcPr>
            <w:tcW w:w="162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253092C"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159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6939C4D"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163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7DFFC1B"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158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6D7723F"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45</w:t>
            </w:r>
          </w:p>
        </w:tc>
      </w:tr>
      <w:tr w:rsidR="00AE6E7E" w:rsidRPr="000F0299" w14:paraId="0055687C" w14:textId="77777777" w:rsidTr="00110BCC">
        <w:trPr>
          <w:trHeight w:val="274"/>
          <w:jc w:val="center"/>
        </w:trPr>
        <w:tc>
          <w:tcPr>
            <w:tcW w:w="248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F1A555"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0A578"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89C2C"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24C2AEF"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802D7"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6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1E126"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74FFC"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466F0"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4DF0B5"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842C4"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C65271"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AE6E7E" w:rsidRPr="000F0299" w14:paraId="451A4155" w14:textId="77777777" w:rsidTr="00110BCC">
        <w:trPr>
          <w:trHeight w:val="160"/>
          <w:jc w:val="center"/>
        </w:trPr>
        <w:tc>
          <w:tcPr>
            <w:tcW w:w="2485" w:type="dxa"/>
            <w:vMerge/>
            <w:tcBorders>
              <w:top w:val="single" w:sz="4" w:space="0" w:color="000000"/>
              <w:left w:val="single" w:sz="4" w:space="0" w:color="000000"/>
              <w:bottom w:val="single" w:sz="4" w:space="0" w:color="000000"/>
              <w:right w:val="single" w:sz="4" w:space="0" w:color="000000"/>
            </w:tcBorders>
            <w:shd w:val="clear" w:color="auto" w:fill="auto"/>
          </w:tcPr>
          <w:p w14:paraId="67960FB2"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517C8"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60</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DF5AD"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100</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D56B328"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120</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3F70C"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140</w:t>
            </w:r>
          </w:p>
        </w:tc>
        <w:tc>
          <w:tcPr>
            <w:tcW w:w="6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C96852"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160</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3C6EB"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2D087"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066BCDC"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83164"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BB1A2" w14:textId="77777777" w:rsidR="00AE6E7E" w:rsidRPr="000F0299" w:rsidRDefault="00AE6E7E" w:rsidP="003C0DA1">
            <w:pPr>
              <w:suppressAutoHyphens w:val="0"/>
              <w:autoSpaceDN/>
              <w:spacing w:before="0" w:after="0"/>
              <w:ind w:firstLine="0"/>
              <w:jc w:val="center"/>
              <w:textAlignment w:val="auto"/>
              <w:rPr>
                <w:rFonts w:eastAsiaTheme="minorHAnsi"/>
                <w:kern w:val="0"/>
                <w:sz w:val="20"/>
                <w:szCs w:val="20"/>
                <w:lang w:eastAsia="en-US" w:bidi="ar-SA"/>
              </w:rPr>
            </w:pPr>
          </w:p>
        </w:tc>
      </w:tr>
      <w:tr w:rsidR="00AE6E7E" w:rsidRPr="000F0299" w14:paraId="69CD3004" w14:textId="77777777" w:rsidTr="00110BCC">
        <w:trPr>
          <w:trHeight w:val="160"/>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1B493D89" w14:textId="77777777" w:rsidR="00AE6E7E" w:rsidRPr="000F0299" w:rsidRDefault="00AE6E7E" w:rsidP="003C0DA1">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14:paraId="63CA7A92" w14:textId="77777777" w:rsidR="00AE6E7E" w:rsidRPr="000F0299" w:rsidRDefault="00AE6E7E" w:rsidP="003C0DA1">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iCs/>
                <w:kern w:val="0"/>
                <w:sz w:val="20"/>
                <w:szCs w:val="20"/>
                <w:lang w:eastAsia="en-US" w:bidi="ar-SA"/>
              </w:rPr>
              <w:t>Одступање до 5% у односу на циљану вредност биће вредновано као успех.</w:t>
            </w:r>
          </w:p>
        </w:tc>
      </w:tr>
    </w:tbl>
    <w:p w14:paraId="5234C541" w14:textId="3FC8B5C1" w:rsidR="00AE6E7E" w:rsidRPr="000F0299" w:rsidRDefault="00CC370D" w:rsidP="002309DC">
      <w:pPr>
        <w:ind w:firstLine="0"/>
        <w:rPr>
          <w:b/>
          <w:bCs/>
          <w:color w:val="2F5496" w:themeColor="accent1" w:themeShade="BF"/>
        </w:rPr>
      </w:pPr>
      <w:r w:rsidRPr="000F0299">
        <w:rPr>
          <w:b/>
          <w:bCs/>
          <w:color w:val="2F5496" w:themeColor="accent1" w:themeShade="BF"/>
        </w:rPr>
        <w:t>Показатељ 9</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3"/>
        <w:gridCol w:w="643"/>
        <w:gridCol w:w="644"/>
        <w:gridCol w:w="341"/>
        <w:gridCol w:w="302"/>
        <w:gridCol w:w="643"/>
        <w:gridCol w:w="652"/>
        <w:gridCol w:w="644"/>
        <w:gridCol w:w="643"/>
        <w:gridCol w:w="348"/>
        <w:gridCol w:w="298"/>
        <w:gridCol w:w="643"/>
        <w:gridCol w:w="647"/>
      </w:tblGrid>
      <w:tr w:rsidR="00AE6E7E" w:rsidRPr="000F0299" w14:paraId="47798435"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D5DEEE"/>
            <w:vAlign w:val="center"/>
          </w:tcPr>
          <w:p w14:paraId="4D80333E"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D5DEEE"/>
            <w:vAlign w:val="center"/>
          </w:tcPr>
          <w:p w14:paraId="4A3AA930"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 xml:space="preserve">Проценат органа јавне управе на централном нивоу чији су запослени похађали обуке o стандардима отворених података и рада са Порталом отворених података </w:t>
            </w:r>
          </w:p>
        </w:tc>
      </w:tr>
      <w:tr w:rsidR="00AE6E7E" w:rsidRPr="000F0299" w14:paraId="67143AEC"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1BD1C311"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59352689"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Мера 4.1.4:</w:t>
            </w:r>
            <w:r w:rsidRPr="000F0299">
              <w:rPr>
                <w:rFonts w:eastAsiaTheme="minorHAnsi"/>
                <w:kern w:val="0"/>
                <w:sz w:val="20"/>
                <w:szCs w:val="20"/>
                <w:lang w:eastAsia="en-US" w:bidi="ar-SA"/>
              </w:rPr>
              <w:t xml:space="preserve"> Унапређење проактивног објављивања података у поседу органа јавне управе</w:t>
            </w:r>
          </w:p>
        </w:tc>
      </w:tr>
      <w:tr w:rsidR="00110BCC" w:rsidRPr="000F0299" w14:paraId="1E5B5844"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0E2551D2" w14:textId="77777777" w:rsidR="00110BCC" w:rsidRPr="000F0299" w:rsidRDefault="00110BCC"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Тип и ниво показатеља</w:t>
            </w:r>
          </w:p>
        </w:tc>
        <w:tc>
          <w:tcPr>
            <w:tcW w:w="3225" w:type="dxa"/>
            <w:gridSpan w:val="6"/>
            <w:tcBorders>
              <w:top w:val="single" w:sz="4" w:space="0" w:color="000000"/>
              <w:left w:val="single" w:sz="4" w:space="0" w:color="000000"/>
              <w:bottom w:val="single" w:sz="4" w:space="0" w:color="000000"/>
              <w:right w:val="single" w:sz="4" w:space="0" w:color="000000"/>
            </w:tcBorders>
            <w:shd w:val="clear" w:color="auto" w:fill="FFFFFF"/>
          </w:tcPr>
          <w:p w14:paraId="6FBFA34A" w14:textId="14F3ABF1" w:rsidR="00110BCC" w:rsidRPr="000F0299" w:rsidRDefault="00110BC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Квантитативни</w:t>
            </w:r>
          </w:p>
        </w:tc>
        <w:tc>
          <w:tcPr>
            <w:tcW w:w="3221" w:type="dxa"/>
            <w:gridSpan w:val="6"/>
            <w:tcBorders>
              <w:top w:val="single" w:sz="4" w:space="0" w:color="000000"/>
              <w:left w:val="single" w:sz="4" w:space="0" w:color="000000"/>
              <w:bottom w:val="single" w:sz="4" w:space="0" w:color="000000"/>
              <w:right w:val="single" w:sz="4" w:space="0" w:color="000000"/>
            </w:tcBorders>
            <w:shd w:val="clear" w:color="auto" w:fill="FFFFFF"/>
          </w:tcPr>
          <w:p w14:paraId="48C08FD9" w14:textId="787CB38E" w:rsidR="00110BCC" w:rsidRPr="000F0299" w:rsidRDefault="00110BC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Показатељ резултата</w:t>
            </w:r>
          </w:p>
        </w:tc>
      </w:tr>
      <w:tr w:rsidR="00110BCC" w:rsidRPr="000F0299" w14:paraId="48C3C5CE" w14:textId="77777777" w:rsidTr="00110BCC">
        <w:trPr>
          <w:trHeight w:val="328"/>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3155F9C7" w14:textId="77777777" w:rsidR="00110BCC" w:rsidRPr="000F0299" w:rsidRDefault="00110BCC"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Јединица мере и природа</w:t>
            </w:r>
          </w:p>
        </w:tc>
        <w:tc>
          <w:tcPr>
            <w:tcW w:w="32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6FBAEF65" w14:textId="3B55F82B" w:rsidR="00110BCC" w:rsidRPr="000F0299" w:rsidRDefault="00110BC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32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4A5C0F4C" w14:textId="6BDDDA7A" w:rsidR="00110BCC" w:rsidRPr="000F0299" w:rsidRDefault="00110BC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Већа вредност је пожељна</w:t>
            </w:r>
          </w:p>
        </w:tc>
      </w:tr>
      <w:tr w:rsidR="00AE6E7E" w:rsidRPr="000F0299" w14:paraId="350565C0"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19883898"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19EFE102"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Извештаји о обукама Националне академије за јавну управу</w:t>
            </w:r>
          </w:p>
          <w:p w14:paraId="2297CFA3" w14:textId="6C1E61BC"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Извештај о спроведеним обукама доступан на интернет страници НАЈУ-</w:t>
            </w:r>
            <w:r w:rsidRPr="000F0299">
              <w:rPr>
                <w:rStyle w:val="Hyperlink"/>
              </w:rPr>
              <w:t>https://www.napa.gov.rs/</w:t>
            </w:r>
            <w:r w:rsidR="00110BCC" w:rsidRPr="000F0299">
              <w:rPr>
                <w:rFonts w:eastAsiaTheme="minorHAnsi"/>
                <w:kern w:val="0"/>
                <w:sz w:val="20"/>
                <w:szCs w:val="20"/>
                <w:lang w:eastAsia="en-US" w:bidi="ar-SA"/>
              </w:rPr>
              <w:t xml:space="preserve"> </w:t>
            </w:r>
            <w:r w:rsidRPr="000F0299">
              <w:rPr>
                <w:rFonts w:eastAsiaTheme="minorHAnsi"/>
                <w:kern w:val="0"/>
                <w:sz w:val="20"/>
                <w:szCs w:val="20"/>
                <w:lang w:eastAsia="en-US" w:bidi="ar-SA"/>
              </w:rPr>
              <w:t xml:space="preserve"> </w:t>
            </w:r>
          </w:p>
        </w:tc>
      </w:tr>
      <w:tr w:rsidR="00AE6E7E" w:rsidRPr="000F0299" w14:paraId="6A64A6EC"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2B1D3FCF"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1C259F80" w14:textId="7DDFA53D" w:rsidR="00AE6E7E" w:rsidRPr="000F0299" w:rsidRDefault="00AE6E7E" w:rsidP="0003570C">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Национална академија за јавну управу, Секто</w:t>
            </w:r>
            <w:r w:rsidR="0003570C">
              <w:rPr>
                <w:rFonts w:eastAsiaTheme="minorHAnsi"/>
                <w:kern w:val="0"/>
                <w:sz w:val="20"/>
                <w:szCs w:val="20"/>
                <w:lang w:eastAsia="en-US" w:bidi="ar-SA"/>
              </w:rPr>
              <w:t>р за спровођење програма обуке</w:t>
            </w:r>
          </w:p>
        </w:tc>
      </w:tr>
      <w:tr w:rsidR="00AE6E7E" w:rsidRPr="000F0299" w14:paraId="12D5E9C2"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32649921"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58536852"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Подаци се прикупљају на годишњем нивоу, до краја фебруара текуће за претходну годину</w:t>
            </w:r>
          </w:p>
        </w:tc>
      </w:tr>
      <w:tr w:rsidR="00AE6E7E" w:rsidRPr="000F0299" w14:paraId="03C8171C" w14:textId="77777777" w:rsidTr="00110BCC">
        <w:trPr>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33757465"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Кратак опис показатеља и методологије израчунавања</w:t>
            </w:r>
          </w:p>
          <w:p w14:paraId="3BFF1405"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(формуле/ једначине)</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tcPr>
          <w:p w14:paraId="43AFC8AD" w14:textId="5D5B1984" w:rsidR="00AE6E7E" w:rsidRPr="000F0299" w:rsidRDefault="00D958ED"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Формула/једначина</w:t>
            </w:r>
          </w:p>
          <w:p w14:paraId="49B26BEA"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Број органа јавне управе на централном нивоу чији су запослени похађали обуке о стандардима отворених података и рада са Порталом отворених података (X) у односу на укупан број органа јавне управе на централном нивоу (Y)</w:t>
            </w:r>
          </w:p>
          <w:p w14:paraId="5CE2CC65"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 за израчунавање:  X:Y x 100</w:t>
            </w:r>
          </w:p>
        </w:tc>
      </w:tr>
      <w:tr w:rsidR="00AE6E7E" w:rsidRPr="000F0299" w14:paraId="4F9F11B8" w14:textId="77777777" w:rsidTr="00110BCC">
        <w:trPr>
          <w:trHeight w:val="265"/>
          <w:jc w:val="center"/>
        </w:trPr>
        <w:tc>
          <w:tcPr>
            <w:tcW w:w="248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E2B4D89"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486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4E4A5BBB"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tc>
        <w:tc>
          <w:tcPr>
            <w:tcW w:w="158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5AE0268"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AE6E7E" w:rsidRPr="000F0299" w14:paraId="38EED780" w14:textId="77777777" w:rsidTr="00110BCC">
        <w:trPr>
          <w:trHeight w:val="137"/>
          <w:jc w:val="center"/>
        </w:trPr>
        <w:tc>
          <w:tcPr>
            <w:tcW w:w="2485" w:type="dxa"/>
            <w:vMerge/>
            <w:tcBorders>
              <w:top w:val="single" w:sz="4" w:space="0" w:color="000000"/>
              <w:left w:val="single" w:sz="4" w:space="0" w:color="000000"/>
              <w:bottom w:val="single" w:sz="4" w:space="0" w:color="000000"/>
              <w:right w:val="single" w:sz="4" w:space="0" w:color="000000"/>
            </w:tcBorders>
            <w:shd w:val="clear" w:color="auto" w:fill="auto"/>
          </w:tcPr>
          <w:p w14:paraId="247793B1"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162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A69AA9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2016</w:t>
            </w:r>
          </w:p>
        </w:tc>
        <w:tc>
          <w:tcPr>
            <w:tcW w:w="159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2C25305"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2017</w:t>
            </w:r>
          </w:p>
        </w:tc>
        <w:tc>
          <w:tcPr>
            <w:tcW w:w="16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3F7E3CC"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158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7EAE20C"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2019 или 2020</w:t>
            </w:r>
          </w:p>
        </w:tc>
      </w:tr>
      <w:tr w:rsidR="00AE6E7E" w:rsidRPr="000F0299" w14:paraId="3C01AD43" w14:textId="77777777" w:rsidTr="00110BCC">
        <w:trPr>
          <w:trHeight w:val="323"/>
          <w:jc w:val="center"/>
        </w:trPr>
        <w:tc>
          <w:tcPr>
            <w:tcW w:w="2485" w:type="dxa"/>
            <w:vMerge/>
            <w:tcBorders>
              <w:top w:val="single" w:sz="4" w:space="0" w:color="000000"/>
              <w:left w:val="single" w:sz="4" w:space="0" w:color="000000"/>
              <w:bottom w:val="single" w:sz="4" w:space="0" w:color="000000"/>
              <w:right w:val="single" w:sz="4" w:space="0" w:color="000000"/>
            </w:tcBorders>
            <w:shd w:val="clear" w:color="auto" w:fill="auto"/>
          </w:tcPr>
          <w:p w14:paraId="3DCE2DFB"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162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9C6BFEA"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59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8BD43A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6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FD9611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58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16EA01F"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0%</w:t>
            </w:r>
          </w:p>
        </w:tc>
      </w:tr>
      <w:tr w:rsidR="00AE6E7E" w:rsidRPr="000F0299" w14:paraId="62DE2DED" w14:textId="77777777" w:rsidTr="00110BCC">
        <w:trPr>
          <w:trHeight w:val="274"/>
          <w:jc w:val="center"/>
        </w:trPr>
        <w:tc>
          <w:tcPr>
            <w:tcW w:w="248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60C1AD"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2D7A0"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6DD6F"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6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A9A9AB"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EBD6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6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48EFB"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DEB01"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D6B90"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6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446A39"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ABF0B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F48F2"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AE6E7E" w:rsidRPr="000F0299" w14:paraId="4A7910A2" w14:textId="77777777" w:rsidTr="00110BCC">
        <w:trPr>
          <w:trHeight w:val="160"/>
          <w:jc w:val="center"/>
        </w:trPr>
        <w:tc>
          <w:tcPr>
            <w:tcW w:w="2485" w:type="dxa"/>
            <w:vMerge/>
            <w:tcBorders>
              <w:top w:val="single" w:sz="4" w:space="0" w:color="000000"/>
              <w:left w:val="single" w:sz="4" w:space="0" w:color="000000"/>
              <w:bottom w:val="single" w:sz="4" w:space="0" w:color="000000"/>
              <w:right w:val="single" w:sz="4" w:space="0" w:color="000000"/>
            </w:tcBorders>
            <w:shd w:val="clear" w:color="auto" w:fill="auto"/>
          </w:tcPr>
          <w:p w14:paraId="0094CEEB"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D2BD79"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5%</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BBC5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10%</w:t>
            </w:r>
          </w:p>
        </w:tc>
        <w:tc>
          <w:tcPr>
            <w:tcW w:w="6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349AA3"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15%</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D3AEE"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w:t>
            </w:r>
          </w:p>
        </w:tc>
        <w:tc>
          <w:tcPr>
            <w:tcW w:w="6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A7C86"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25%</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80622"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01DF0"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8998D5B"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097A1"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5BE79"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r>
      <w:tr w:rsidR="00AE6E7E" w:rsidRPr="000F0299" w14:paraId="6C1BACBB" w14:textId="77777777" w:rsidTr="00110BCC">
        <w:trPr>
          <w:trHeight w:val="160"/>
          <w:jc w:val="center"/>
        </w:trPr>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217FE72D"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446"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14:paraId="42D47866"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iCs/>
                <w:kern w:val="0"/>
                <w:sz w:val="20"/>
                <w:szCs w:val="20"/>
                <w:lang w:eastAsia="en-US" w:bidi="ar-SA"/>
              </w:rPr>
              <w:t>Одступање до 5% у односу на циљану вредност биће вредновано као успех.</w:t>
            </w:r>
          </w:p>
        </w:tc>
      </w:tr>
    </w:tbl>
    <w:p w14:paraId="2B14AF06" w14:textId="1A081E55" w:rsidR="00487FD1" w:rsidRPr="000F0299" w:rsidRDefault="00487FD1" w:rsidP="002309DC">
      <w:pPr>
        <w:ind w:firstLine="0"/>
        <w:rPr>
          <w:b/>
          <w:bCs/>
          <w:color w:val="2F5496" w:themeColor="accent1" w:themeShade="BF"/>
        </w:rPr>
      </w:pPr>
    </w:p>
    <w:p w14:paraId="44806CFC" w14:textId="77777777" w:rsidR="00487FD1" w:rsidRPr="000F0299" w:rsidRDefault="00487FD1">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30742E6A" w14:textId="11C76FB2" w:rsidR="00AE6E7E" w:rsidRPr="000F0299" w:rsidRDefault="00CC370D" w:rsidP="002309DC">
      <w:pPr>
        <w:ind w:firstLine="0"/>
        <w:rPr>
          <w:b/>
          <w:bCs/>
          <w:color w:val="2F5496" w:themeColor="accent1" w:themeShade="BF"/>
        </w:rPr>
      </w:pPr>
      <w:r w:rsidRPr="000F0299">
        <w:rPr>
          <w:b/>
          <w:bCs/>
          <w:color w:val="2F5496" w:themeColor="accent1" w:themeShade="BF"/>
        </w:rPr>
        <w:t>Показатељ 10</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3"/>
        <w:gridCol w:w="644"/>
        <w:gridCol w:w="644"/>
        <w:gridCol w:w="341"/>
        <w:gridCol w:w="303"/>
        <w:gridCol w:w="643"/>
        <w:gridCol w:w="650"/>
        <w:gridCol w:w="643"/>
        <w:gridCol w:w="644"/>
        <w:gridCol w:w="346"/>
        <w:gridCol w:w="299"/>
        <w:gridCol w:w="643"/>
        <w:gridCol w:w="648"/>
      </w:tblGrid>
      <w:tr w:rsidR="00AE6E7E" w:rsidRPr="000F0299" w14:paraId="7B017BC8" w14:textId="77777777" w:rsidTr="00110BCC">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D5DEEE"/>
            <w:vAlign w:val="center"/>
          </w:tcPr>
          <w:p w14:paraId="742573B1"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D5DEEE"/>
            <w:vAlign w:val="center"/>
          </w:tcPr>
          <w:p w14:paraId="5BD44FAD"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Проценат извршења предложених односно наложених мера у инспекцијском надзору над применом прописа о слободном приступу информацијама од јавног значаја</w:t>
            </w:r>
          </w:p>
        </w:tc>
      </w:tr>
      <w:tr w:rsidR="00AE6E7E" w:rsidRPr="000F0299" w14:paraId="4CB4A175" w14:textId="77777777" w:rsidTr="00110BCC">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02F6A2FE"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FFFFFF"/>
          </w:tcPr>
          <w:p w14:paraId="4AD79D26"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Мера 4.1.5:</w:t>
            </w:r>
            <w:r w:rsidRPr="000F0299">
              <w:rPr>
                <w:rFonts w:eastAsiaTheme="minorHAnsi"/>
                <w:kern w:val="0"/>
                <w:sz w:val="20"/>
                <w:szCs w:val="20"/>
                <w:lang w:eastAsia="en-US" w:bidi="ar-SA"/>
              </w:rPr>
              <w:t xml:space="preserve"> Унапређење реактивне транспарентности, поступања по прописима из делокруга рада независних државних органа, односно по препорукама независних државних органа</w:t>
            </w:r>
          </w:p>
        </w:tc>
      </w:tr>
      <w:tr w:rsidR="00110BCC" w:rsidRPr="000F0299" w14:paraId="1C3E99EF" w14:textId="77777777" w:rsidTr="00110BCC">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48A2F080" w14:textId="77777777" w:rsidR="00110BCC" w:rsidRPr="000F0299" w:rsidRDefault="00110BCC"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Тип и ниво показатеља</w:t>
            </w:r>
          </w:p>
        </w:tc>
        <w:tc>
          <w:tcPr>
            <w:tcW w:w="3225" w:type="dxa"/>
            <w:gridSpan w:val="6"/>
            <w:tcBorders>
              <w:top w:val="single" w:sz="4" w:space="0" w:color="000000"/>
              <w:left w:val="single" w:sz="4" w:space="0" w:color="000000"/>
              <w:bottom w:val="single" w:sz="4" w:space="0" w:color="000000"/>
              <w:right w:val="single" w:sz="4" w:space="0" w:color="000000"/>
            </w:tcBorders>
            <w:shd w:val="clear" w:color="auto" w:fill="FFFFFF"/>
          </w:tcPr>
          <w:p w14:paraId="7B3700F2" w14:textId="51AFC101" w:rsidR="00110BCC" w:rsidRPr="000F0299" w:rsidRDefault="00864D50"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Квантитативни</w:t>
            </w:r>
          </w:p>
        </w:tc>
        <w:tc>
          <w:tcPr>
            <w:tcW w:w="3220" w:type="dxa"/>
            <w:gridSpan w:val="6"/>
            <w:tcBorders>
              <w:top w:val="single" w:sz="4" w:space="0" w:color="000000"/>
              <w:left w:val="single" w:sz="4" w:space="0" w:color="000000"/>
              <w:bottom w:val="single" w:sz="4" w:space="0" w:color="000000"/>
              <w:right w:val="single" w:sz="4" w:space="0" w:color="000000"/>
            </w:tcBorders>
            <w:shd w:val="clear" w:color="auto" w:fill="FFFFFF"/>
          </w:tcPr>
          <w:p w14:paraId="2DF14707" w14:textId="4934653F" w:rsidR="00110BCC" w:rsidRPr="000F0299" w:rsidRDefault="00110BCC"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Показатељ резултата</w:t>
            </w:r>
          </w:p>
        </w:tc>
      </w:tr>
      <w:tr w:rsidR="00110BCC" w:rsidRPr="000F0299" w14:paraId="2173330D" w14:textId="77777777" w:rsidTr="00110BCC">
        <w:trPr>
          <w:trHeight w:val="373"/>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28A416C1" w14:textId="77777777" w:rsidR="00110BCC" w:rsidRPr="000F0299" w:rsidRDefault="00110BCC"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Јединица мере и природа</w:t>
            </w:r>
          </w:p>
        </w:tc>
        <w:tc>
          <w:tcPr>
            <w:tcW w:w="3222" w:type="dxa"/>
            <w:gridSpan w:val="6"/>
            <w:tcBorders>
              <w:top w:val="single" w:sz="4" w:space="0" w:color="000000"/>
              <w:left w:val="single" w:sz="4" w:space="0" w:color="000000"/>
              <w:bottom w:val="single" w:sz="4" w:space="0" w:color="000000"/>
              <w:right w:val="single" w:sz="4" w:space="0" w:color="000000"/>
            </w:tcBorders>
            <w:shd w:val="clear" w:color="auto" w:fill="FFFFFF"/>
          </w:tcPr>
          <w:p w14:paraId="0F1CB21E" w14:textId="4F8B27F2" w:rsidR="00110BCC" w:rsidRPr="000F0299" w:rsidRDefault="00110BCC"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32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3A09B50B" w14:textId="59261283" w:rsidR="00110BCC" w:rsidRPr="000F0299" w:rsidRDefault="00110BCC"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Већа вредност је пожељна</w:t>
            </w:r>
          </w:p>
        </w:tc>
      </w:tr>
      <w:tr w:rsidR="00AE6E7E" w:rsidRPr="000F0299" w14:paraId="219D0A79" w14:textId="77777777" w:rsidTr="00110BCC">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5B7A3B35"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FFFFFF"/>
          </w:tcPr>
          <w:p w14:paraId="7B3E5703" w14:textId="640F6366"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Годишњи извештај Управног инспектората за 2021. годину (</w:t>
            </w:r>
            <w:hyperlink r:id="rId212" w:history="1">
              <w:r w:rsidR="00110BCC" w:rsidRPr="000F0299">
                <w:rPr>
                  <w:rStyle w:val="Hyperlink"/>
                  <w:rFonts w:eastAsiaTheme="minorHAnsi"/>
                  <w:kern w:val="0"/>
                  <w:sz w:val="20"/>
                  <w:szCs w:val="20"/>
                  <w:lang w:eastAsia="en-US" w:bidi="ar-SA"/>
                </w:rPr>
                <w:t>http://mduls.gov.rs/o-ministarstvu/upravna-inspekcija/</w:t>
              </w:r>
            </w:hyperlink>
            <w:r w:rsidR="00110BCC" w:rsidRPr="000F0299">
              <w:rPr>
                <w:rFonts w:eastAsiaTheme="minorHAnsi"/>
                <w:kern w:val="0"/>
                <w:sz w:val="20"/>
                <w:szCs w:val="20"/>
                <w:lang w:eastAsia="en-US" w:bidi="ar-SA"/>
              </w:rPr>
              <w:t xml:space="preserve"> </w:t>
            </w:r>
            <w:r w:rsidRPr="000F0299">
              <w:rPr>
                <w:rFonts w:eastAsiaTheme="minorHAnsi"/>
                <w:kern w:val="0"/>
                <w:sz w:val="20"/>
                <w:szCs w:val="20"/>
                <w:lang w:eastAsia="en-US" w:bidi="ar-SA"/>
              </w:rPr>
              <w:t>), односно годишњи извештај надлежног органа задуженог за вршење послова инспекцијског надзора над спровођењем Закона о слободном приступу информацијама од јавног значаја за 2022, 2023, 2024. и 2025. годину</w:t>
            </w:r>
          </w:p>
        </w:tc>
      </w:tr>
      <w:tr w:rsidR="00AE6E7E" w:rsidRPr="000F0299" w14:paraId="550620B9" w14:textId="77777777" w:rsidTr="00110BCC">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20A78B84"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FFFFFF"/>
          </w:tcPr>
          <w:p w14:paraId="56A00C56"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Управни инспекторат за 2021 годину и надлежни орган задужен за вршење послова инспекцијског надзора над спровођењем Закона о слободном приступу информацијама од јавног значаја за 2022, 2023, 2024. и 2025. годину</w:t>
            </w:r>
          </w:p>
        </w:tc>
      </w:tr>
      <w:tr w:rsidR="00AE6E7E" w:rsidRPr="000F0299" w14:paraId="3B9B15B1" w14:textId="77777777" w:rsidTr="00110BCC">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67223F1C"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FFFFFF"/>
          </w:tcPr>
          <w:p w14:paraId="27DBF036"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Подаци се прикупљају на годишњем нивоу, до краја децембра текуће године</w:t>
            </w:r>
          </w:p>
        </w:tc>
      </w:tr>
      <w:tr w:rsidR="00AE6E7E" w:rsidRPr="000F0299" w14:paraId="2B37846C" w14:textId="77777777" w:rsidTr="00110BCC">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479C0B7B"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Кратак опис показатеља и методологије израчунавања</w:t>
            </w:r>
          </w:p>
          <w:p w14:paraId="487141E7"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(формуле/ једначине)</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FFFFFF"/>
          </w:tcPr>
          <w:p w14:paraId="3BFA1B0D" w14:textId="064E543C" w:rsidR="00AE6E7E" w:rsidRPr="000F0299" w:rsidRDefault="00D958ED"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Формула/једначина</w:t>
            </w:r>
          </w:p>
          <w:p w14:paraId="04EC9D4A"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Број извршења предложених односно наложених мера у инспекцијском надзору над применом прописа о слободном приступу информацијама од јавног значаја (X) у односу на укупан број предложених односно наложених мера у инспекцијском надзору над применом прописа о слободном приступу информацијама од јавног значаја (Y)</w:t>
            </w:r>
          </w:p>
          <w:p w14:paraId="045AD204"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 за израчунавање: X:Y x 100</w:t>
            </w:r>
          </w:p>
        </w:tc>
      </w:tr>
      <w:tr w:rsidR="00AE6E7E" w:rsidRPr="000F0299" w14:paraId="06007CDD" w14:textId="77777777" w:rsidTr="00110BCC">
        <w:trPr>
          <w:trHeight w:val="265"/>
          <w:jc w:val="center"/>
        </w:trPr>
        <w:tc>
          <w:tcPr>
            <w:tcW w:w="248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DFFA14"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485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2A8998C0"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tc>
        <w:tc>
          <w:tcPr>
            <w:tcW w:w="158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BB5BC29"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AE6E7E" w:rsidRPr="000F0299" w14:paraId="47793BF0" w14:textId="77777777" w:rsidTr="00110BCC">
        <w:trPr>
          <w:trHeight w:val="137"/>
          <w:jc w:val="center"/>
        </w:trPr>
        <w:tc>
          <w:tcPr>
            <w:tcW w:w="2486" w:type="dxa"/>
            <w:vMerge/>
            <w:tcBorders>
              <w:top w:val="single" w:sz="4" w:space="0" w:color="000000"/>
              <w:left w:val="single" w:sz="4" w:space="0" w:color="000000"/>
              <w:bottom w:val="single" w:sz="4" w:space="0" w:color="000000"/>
              <w:right w:val="single" w:sz="4" w:space="0" w:color="000000"/>
            </w:tcBorders>
            <w:shd w:val="clear" w:color="auto" w:fill="auto"/>
          </w:tcPr>
          <w:p w14:paraId="5BC2E973"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F82BF56"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2016</w:t>
            </w:r>
          </w:p>
        </w:tc>
        <w:tc>
          <w:tcPr>
            <w:tcW w:w="159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5F328EC"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2017</w:t>
            </w:r>
          </w:p>
        </w:tc>
        <w:tc>
          <w:tcPr>
            <w:tcW w:w="163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C75C80A"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158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D880D75"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2019 или 2020</w:t>
            </w:r>
          </w:p>
        </w:tc>
      </w:tr>
      <w:tr w:rsidR="00AE6E7E" w:rsidRPr="000F0299" w14:paraId="05D8B708" w14:textId="77777777" w:rsidTr="00110BCC">
        <w:trPr>
          <w:trHeight w:val="323"/>
          <w:jc w:val="center"/>
        </w:trPr>
        <w:tc>
          <w:tcPr>
            <w:tcW w:w="2486" w:type="dxa"/>
            <w:vMerge/>
            <w:tcBorders>
              <w:top w:val="single" w:sz="4" w:space="0" w:color="000000"/>
              <w:left w:val="single" w:sz="4" w:space="0" w:color="000000"/>
              <w:bottom w:val="single" w:sz="4" w:space="0" w:color="000000"/>
              <w:right w:val="single" w:sz="4" w:space="0" w:color="000000"/>
            </w:tcBorders>
            <w:shd w:val="clear" w:color="auto" w:fill="auto"/>
          </w:tcPr>
          <w:p w14:paraId="10FD3863"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D68EB68"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159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D1BCC86"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163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E81FF0E"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158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C2295C6"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75%</w:t>
            </w:r>
          </w:p>
        </w:tc>
      </w:tr>
      <w:tr w:rsidR="00AE6E7E" w:rsidRPr="000F0299" w14:paraId="0ECE1597" w14:textId="77777777" w:rsidTr="00110BCC">
        <w:trPr>
          <w:trHeight w:val="274"/>
          <w:jc w:val="center"/>
        </w:trPr>
        <w:tc>
          <w:tcPr>
            <w:tcW w:w="248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F2692C"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9B0D3"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16173"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2C4479A"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BBC15"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6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B4300"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63AE1"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DA872"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740E08"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B22F7"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96AAD"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AE6E7E" w:rsidRPr="000F0299" w14:paraId="064099BA" w14:textId="77777777" w:rsidTr="00110BCC">
        <w:trPr>
          <w:trHeight w:val="160"/>
          <w:jc w:val="center"/>
        </w:trPr>
        <w:tc>
          <w:tcPr>
            <w:tcW w:w="2486" w:type="dxa"/>
            <w:vMerge/>
            <w:tcBorders>
              <w:top w:val="single" w:sz="4" w:space="0" w:color="000000"/>
              <w:left w:val="single" w:sz="4" w:space="0" w:color="000000"/>
              <w:bottom w:val="single" w:sz="4" w:space="0" w:color="000000"/>
              <w:right w:val="single" w:sz="4" w:space="0" w:color="000000"/>
            </w:tcBorders>
            <w:shd w:val="clear" w:color="auto" w:fill="auto"/>
          </w:tcPr>
          <w:p w14:paraId="131EF1D0"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F75A2"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80%</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07CC1"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83%</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B7EB4BA"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85%</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841C0"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88%</w:t>
            </w:r>
          </w:p>
        </w:tc>
        <w:tc>
          <w:tcPr>
            <w:tcW w:w="6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2F3818"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90%</w:t>
            </w: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7C649"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EC8FD"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019662"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30CD6"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404269" w14:textId="77777777" w:rsidR="00AE6E7E" w:rsidRPr="000F0299" w:rsidRDefault="00AE6E7E" w:rsidP="003C0DA1">
            <w:pPr>
              <w:suppressAutoHyphens w:val="0"/>
              <w:autoSpaceDN/>
              <w:spacing w:before="0" w:after="134" w:line="259" w:lineRule="auto"/>
              <w:ind w:firstLine="0"/>
              <w:jc w:val="center"/>
              <w:textAlignment w:val="auto"/>
              <w:rPr>
                <w:rFonts w:eastAsiaTheme="minorHAnsi"/>
                <w:kern w:val="0"/>
                <w:sz w:val="20"/>
                <w:szCs w:val="20"/>
                <w:lang w:eastAsia="en-US" w:bidi="ar-SA"/>
              </w:rPr>
            </w:pPr>
          </w:p>
        </w:tc>
      </w:tr>
      <w:tr w:rsidR="00AE6E7E" w:rsidRPr="000F0299" w14:paraId="0F61A5F6" w14:textId="77777777" w:rsidTr="00110BCC">
        <w:trPr>
          <w:trHeight w:val="160"/>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77563767" w14:textId="77777777" w:rsidR="00AE6E7E" w:rsidRPr="000F0299" w:rsidRDefault="00AE6E7E" w:rsidP="003C0DA1">
            <w:pPr>
              <w:suppressAutoHyphens w:val="0"/>
              <w:autoSpaceDN/>
              <w:spacing w:before="0" w:after="134" w:line="259" w:lineRule="auto"/>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445"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14:paraId="41986B85" w14:textId="77777777" w:rsidR="00AE6E7E" w:rsidRPr="000F0299" w:rsidRDefault="00AE6E7E" w:rsidP="003C0DA1">
            <w:pPr>
              <w:suppressAutoHyphens w:val="0"/>
              <w:autoSpaceDN/>
              <w:spacing w:before="0" w:after="134" w:line="259" w:lineRule="auto"/>
              <w:ind w:firstLine="0"/>
              <w:textAlignment w:val="auto"/>
              <w:rPr>
                <w:rFonts w:eastAsiaTheme="minorHAnsi"/>
                <w:kern w:val="0"/>
                <w:sz w:val="20"/>
                <w:szCs w:val="20"/>
                <w:lang w:eastAsia="en-US" w:bidi="ar-SA"/>
              </w:rPr>
            </w:pPr>
            <w:r w:rsidRPr="000F0299">
              <w:rPr>
                <w:rFonts w:eastAsiaTheme="minorHAnsi"/>
                <w:iCs/>
                <w:kern w:val="0"/>
                <w:sz w:val="20"/>
                <w:szCs w:val="20"/>
                <w:lang w:eastAsia="en-US" w:bidi="ar-SA"/>
              </w:rPr>
              <w:t>Одступање до 2% у односу на циљану вредност биће вредновано као успех.</w:t>
            </w:r>
          </w:p>
        </w:tc>
      </w:tr>
    </w:tbl>
    <w:p w14:paraId="2A4F744E" w14:textId="3D13A8FF" w:rsidR="00487FD1" w:rsidRPr="000F0299" w:rsidRDefault="00487FD1" w:rsidP="002309DC">
      <w:pPr>
        <w:ind w:firstLine="0"/>
        <w:rPr>
          <w:b/>
          <w:bCs/>
          <w:color w:val="2F5496" w:themeColor="accent1" w:themeShade="BF"/>
        </w:rPr>
      </w:pPr>
    </w:p>
    <w:p w14:paraId="364715C8" w14:textId="77777777" w:rsidR="00487FD1" w:rsidRPr="000F0299" w:rsidRDefault="00487FD1">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1C5AB508" w14:textId="0DE1CBAD" w:rsidR="00AE6E7E" w:rsidRPr="000F0299" w:rsidRDefault="00CC370D" w:rsidP="002309DC">
      <w:pPr>
        <w:ind w:firstLine="0"/>
        <w:rPr>
          <w:b/>
          <w:bCs/>
          <w:color w:val="2F5496" w:themeColor="accent1" w:themeShade="BF"/>
        </w:rPr>
      </w:pPr>
      <w:r w:rsidRPr="000F0299">
        <w:rPr>
          <w:b/>
          <w:bCs/>
          <w:color w:val="2F5496" w:themeColor="accent1" w:themeShade="BF"/>
        </w:rPr>
        <w:t>Показатељ 11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3"/>
        <w:gridCol w:w="844"/>
        <w:gridCol w:w="624"/>
        <w:gridCol w:w="37"/>
        <w:gridCol w:w="587"/>
        <w:gridCol w:w="624"/>
        <w:gridCol w:w="539"/>
        <w:gridCol w:w="55"/>
        <w:gridCol w:w="180"/>
        <w:gridCol w:w="624"/>
        <w:gridCol w:w="624"/>
        <w:gridCol w:w="50"/>
        <w:gridCol w:w="574"/>
        <w:gridCol w:w="624"/>
        <w:gridCol w:w="635"/>
      </w:tblGrid>
      <w:tr w:rsidR="00AE6E7E" w:rsidRPr="000F0299" w14:paraId="1050E689" w14:textId="77777777" w:rsidTr="00110BCC">
        <w:trPr>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D5DEEE"/>
            <w:vAlign w:val="center"/>
          </w:tcPr>
          <w:p w14:paraId="5EDFBC23"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показатеља</w:t>
            </w:r>
          </w:p>
        </w:tc>
        <w:tc>
          <w:tcPr>
            <w:tcW w:w="3608" w:type="pct"/>
            <w:gridSpan w:val="14"/>
            <w:tcBorders>
              <w:top w:val="single" w:sz="4" w:space="0" w:color="000000"/>
              <w:left w:val="single" w:sz="4" w:space="0" w:color="000000"/>
              <w:bottom w:val="single" w:sz="4" w:space="0" w:color="000000"/>
              <w:right w:val="single" w:sz="4" w:space="0" w:color="000000"/>
            </w:tcBorders>
            <w:shd w:val="clear" w:color="auto" w:fill="D5DEEE"/>
            <w:vAlign w:val="center"/>
          </w:tcPr>
          <w:p w14:paraId="48416873"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Проценат органа јавне управе на централном нивоу који поступају по одлукама/препорукама Повереника за информације од јавног значаја и заштиту података о личности и Заштитника грађана</w:t>
            </w:r>
          </w:p>
        </w:tc>
      </w:tr>
      <w:tr w:rsidR="00AE6E7E" w:rsidRPr="000F0299" w14:paraId="6E9847D0" w14:textId="77777777" w:rsidTr="00110BCC">
        <w:trPr>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auto"/>
          </w:tcPr>
          <w:p w14:paraId="0AA8D8AF"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3608" w:type="pct"/>
            <w:gridSpan w:val="14"/>
            <w:tcBorders>
              <w:top w:val="single" w:sz="4" w:space="0" w:color="000000"/>
              <w:left w:val="single" w:sz="4" w:space="0" w:color="000000"/>
              <w:bottom w:val="single" w:sz="4" w:space="0" w:color="000000"/>
              <w:right w:val="single" w:sz="4" w:space="0" w:color="000000"/>
            </w:tcBorders>
            <w:shd w:val="clear" w:color="auto" w:fill="FFFFFF"/>
          </w:tcPr>
          <w:p w14:paraId="0A8D6CEC"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Мера 4.1.5:</w:t>
            </w:r>
            <w:r w:rsidRPr="000F0299">
              <w:rPr>
                <w:rFonts w:eastAsiaTheme="minorHAnsi"/>
                <w:kern w:val="0"/>
                <w:sz w:val="20"/>
                <w:szCs w:val="20"/>
                <w:lang w:eastAsia="en-US" w:bidi="ar-SA"/>
              </w:rPr>
              <w:t xml:space="preserve"> Унапређење реактивне транспарентности, поступања по прописима из делокруга рада независних државних органа, односно по препорукама независних државних органа</w:t>
            </w:r>
          </w:p>
        </w:tc>
      </w:tr>
      <w:tr w:rsidR="00110BCC" w:rsidRPr="000F0299" w14:paraId="398A1ECC" w14:textId="77777777" w:rsidTr="00110BCC">
        <w:trPr>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auto"/>
          </w:tcPr>
          <w:p w14:paraId="6307EB99" w14:textId="77777777" w:rsidR="00110BCC" w:rsidRPr="000F0299" w:rsidRDefault="00110BCC"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Тип и ниво показатеља</w:t>
            </w:r>
          </w:p>
        </w:tc>
        <w:tc>
          <w:tcPr>
            <w:tcW w:w="1804" w:type="pct"/>
            <w:gridSpan w:val="7"/>
            <w:tcBorders>
              <w:top w:val="single" w:sz="4" w:space="0" w:color="000000"/>
              <w:left w:val="single" w:sz="4" w:space="0" w:color="000000"/>
              <w:bottom w:val="single" w:sz="4" w:space="0" w:color="000000"/>
              <w:right w:val="single" w:sz="4" w:space="0" w:color="000000"/>
            </w:tcBorders>
            <w:shd w:val="clear" w:color="auto" w:fill="FFFFFF"/>
          </w:tcPr>
          <w:p w14:paraId="18128BD6" w14:textId="4B6FF5A9" w:rsidR="00110BCC" w:rsidRPr="000F0299" w:rsidRDefault="00110BC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Квантитативни</w:t>
            </w:r>
          </w:p>
        </w:tc>
        <w:tc>
          <w:tcPr>
            <w:tcW w:w="1804" w:type="pct"/>
            <w:gridSpan w:val="7"/>
            <w:tcBorders>
              <w:top w:val="single" w:sz="4" w:space="0" w:color="000000"/>
              <w:left w:val="single" w:sz="4" w:space="0" w:color="000000"/>
              <w:bottom w:val="single" w:sz="4" w:space="0" w:color="000000"/>
              <w:right w:val="single" w:sz="4" w:space="0" w:color="000000"/>
            </w:tcBorders>
            <w:shd w:val="clear" w:color="auto" w:fill="FFFFFF"/>
          </w:tcPr>
          <w:p w14:paraId="41E6424B" w14:textId="7E165754" w:rsidR="00110BCC" w:rsidRPr="000F0299" w:rsidRDefault="00110BC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Показатељ резултата</w:t>
            </w:r>
          </w:p>
        </w:tc>
      </w:tr>
      <w:tr w:rsidR="00110BCC" w:rsidRPr="000F0299" w14:paraId="4BE81623" w14:textId="77777777" w:rsidTr="00110BCC">
        <w:trPr>
          <w:trHeight w:val="373"/>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auto"/>
          </w:tcPr>
          <w:p w14:paraId="02CC5300" w14:textId="77777777" w:rsidR="00110BCC" w:rsidRPr="000F0299" w:rsidRDefault="00110BCC"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Јединица мере и природа</w:t>
            </w:r>
          </w:p>
        </w:tc>
        <w:tc>
          <w:tcPr>
            <w:tcW w:w="1804" w:type="pct"/>
            <w:gridSpan w:val="7"/>
            <w:tcBorders>
              <w:top w:val="single" w:sz="4" w:space="0" w:color="000000"/>
              <w:left w:val="single" w:sz="4" w:space="0" w:color="000000"/>
              <w:bottom w:val="single" w:sz="4" w:space="0" w:color="000000"/>
              <w:right w:val="single" w:sz="4" w:space="0" w:color="000000"/>
            </w:tcBorders>
            <w:shd w:val="clear" w:color="auto" w:fill="FFFFFF"/>
          </w:tcPr>
          <w:p w14:paraId="0BE6C7A8" w14:textId="358BCB6C" w:rsidR="00110BCC" w:rsidRPr="000F0299" w:rsidRDefault="00110BC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w:t>
            </w:r>
          </w:p>
        </w:tc>
        <w:tc>
          <w:tcPr>
            <w:tcW w:w="1804" w:type="pct"/>
            <w:gridSpan w:val="7"/>
            <w:tcBorders>
              <w:top w:val="single" w:sz="4" w:space="0" w:color="000000"/>
              <w:left w:val="single" w:sz="4" w:space="0" w:color="000000"/>
              <w:bottom w:val="single" w:sz="4" w:space="0" w:color="000000"/>
              <w:right w:val="single" w:sz="4" w:space="0" w:color="000000"/>
            </w:tcBorders>
            <w:shd w:val="clear" w:color="auto" w:fill="FFFFFF"/>
          </w:tcPr>
          <w:p w14:paraId="7398E723" w14:textId="73E1AE56" w:rsidR="00110BCC" w:rsidRPr="000F0299" w:rsidRDefault="00110BCC"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Већа вредност је пожељна</w:t>
            </w:r>
          </w:p>
        </w:tc>
      </w:tr>
      <w:tr w:rsidR="00AE6E7E" w:rsidRPr="000F0299" w14:paraId="1AE4EC19" w14:textId="77777777" w:rsidTr="00110BCC">
        <w:trPr>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auto"/>
          </w:tcPr>
          <w:p w14:paraId="21A62731"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3608" w:type="pct"/>
            <w:gridSpan w:val="14"/>
            <w:tcBorders>
              <w:top w:val="single" w:sz="4" w:space="0" w:color="000000"/>
              <w:left w:val="single" w:sz="4" w:space="0" w:color="000000"/>
              <w:bottom w:val="single" w:sz="4" w:space="0" w:color="000000"/>
              <w:right w:val="single" w:sz="4" w:space="0" w:color="000000"/>
            </w:tcBorders>
            <w:shd w:val="clear" w:color="auto" w:fill="FFFFFF"/>
          </w:tcPr>
          <w:p w14:paraId="7E3A3A8B" w14:textId="5BF10360"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Годишњи извештаји Повереника за информације од јавног значаја и заштиту података о личности (</w:t>
            </w:r>
            <w:hyperlink r:id="rId213" w:history="1">
              <w:r w:rsidR="00B426A0" w:rsidRPr="000F0299">
                <w:rPr>
                  <w:rStyle w:val="Hyperlink"/>
                  <w:rFonts w:eastAsiaTheme="minorHAnsi"/>
                  <w:kern w:val="0"/>
                  <w:sz w:val="20"/>
                  <w:szCs w:val="20"/>
                  <w:lang w:eastAsia="en-US" w:bidi="ar-SA"/>
                </w:rPr>
                <w:t>https://www.poverenik.rs/sr-yu/izvetaji-poverenika.html</w:t>
              </w:r>
            </w:hyperlink>
            <w:r w:rsidR="00B426A0" w:rsidRPr="000F0299">
              <w:rPr>
                <w:rFonts w:eastAsiaTheme="minorHAnsi"/>
                <w:kern w:val="0"/>
                <w:sz w:val="20"/>
                <w:szCs w:val="20"/>
                <w:lang w:eastAsia="en-US" w:bidi="ar-SA"/>
              </w:rPr>
              <w:t xml:space="preserve"> </w:t>
            </w:r>
            <w:r w:rsidRPr="000F0299">
              <w:rPr>
                <w:rFonts w:eastAsiaTheme="minorHAnsi"/>
                <w:kern w:val="0"/>
                <w:sz w:val="20"/>
                <w:szCs w:val="20"/>
                <w:lang w:eastAsia="en-US" w:bidi="ar-SA"/>
              </w:rPr>
              <w:t>) и Заштитника грађана (</w:t>
            </w:r>
            <w:hyperlink r:id="rId214" w:history="1">
              <w:r w:rsidR="00B426A0" w:rsidRPr="000F0299">
                <w:rPr>
                  <w:rStyle w:val="Hyperlink"/>
                  <w:rFonts w:eastAsiaTheme="minorHAnsi"/>
                  <w:kern w:val="0"/>
                  <w:sz w:val="20"/>
                  <w:szCs w:val="20"/>
                  <w:lang w:eastAsia="en-US" w:bidi="ar-SA"/>
                </w:rPr>
                <w:t>https://www.ombudsman.rs/index.php/izvestaji/godisnji-izvestaji</w:t>
              </w:r>
            </w:hyperlink>
            <w:r w:rsidR="00B426A0" w:rsidRPr="000F0299">
              <w:rPr>
                <w:rFonts w:eastAsiaTheme="minorHAnsi"/>
                <w:kern w:val="0"/>
                <w:sz w:val="20"/>
                <w:szCs w:val="20"/>
                <w:lang w:eastAsia="en-US" w:bidi="ar-SA"/>
              </w:rPr>
              <w:t xml:space="preserve"> </w:t>
            </w:r>
            <w:r w:rsidRPr="000F0299">
              <w:rPr>
                <w:rFonts w:eastAsiaTheme="minorHAnsi"/>
                <w:kern w:val="0"/>
                <w:sz w:val="20"/>
                <w:szCs w:val="20"/>
                <w:lang w:eastAsia="en-US" w:bidi="ar-SA"/>
              </w:rPr>
              <w:t>)</w:t>
            </w:r>
          </w:p>
        </w:tc>
      </w:tr>
      <w:tr w:rsidR="00AE6E7E" w:rsidRPr="000F0299" w14:paraId="066F8E9C" w14:textId="77777777" w:rsidTr="00110BCC">
        <w:trPr>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auto"/>
          </w:tcPr>
          <w:p w14:paraId="5B422976"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3608" w:type="pct"/>
            <w:gridSpan w:val="14"/>
            <w:tcBorders>
              <w:top w:val="single" w:sz="4" w:space="0" w:color="000000"/>
              <w:left w:val="single" w:sz="4" w:space="0" w:color="000000"/>
              <w:bottom w:val="single" w:sz="4" w:space="0" w:color="000000"/>
              <w:right w:val="single" w:sz="4" w:space="0" w:color="000000"/>
            </w:tcBorders>
            <w:shd w:val="clear" w:color="auto" w:fill="FFFFFF"/>
          </w:tcPr>
          <w:p w14:paraId="567D5388" w14:textId="77777777" w:rsidR="0003570C" w:rsidRDefault="00AE6E7E" w:rsidP="0003570C">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Повереник за информације од јавног значаја и заштиту података о личности, у делу који се тиче препорука/одлука Повереника: Сектор за сарадњу и </w:t>
            </w:r>
            <w:r w:rsidR="001B2E03" w:rsidRPr="000F0299">
              <w:rPr>
                <w:rFonts w:eastAsiaTheme="minorHAnsi"/>
                <w:kern w:val="0"/>
                <w:sz w:val="20"/>
                <w:szCs w:val="20"/>
                <w:lang w:eastAsia="en-US" w:bidi="ar-SA"/>
              </w:rPr>
              <w:t>извештавање</w:t>
            </w:r>
          </w:p>
          <w:p w14:paraId="16278D97" w14:textId="4B3102D6" w:rsidR="00AE6E7E" w:rsidRPr="000F0299" w:rsidRDefault="00AE6E7E" w:rsidP="0003570C">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Заштитник грађана, у делу који се</w:t>
            </w:r>
            <w:r w:rsidR="0003570C">
              <w:rPr>
                <w:rFonts w:eastAsiaTheme="minorHAnsi"/>
                <w:kern w:val="0"/>
                <w:sz w:val="20"/>
                <w:szCs w:val="20"/>
                <w:lang w:eastAsia="en-US" w:bidi="ar-SA"/>
              </w:rPr>
              <w:t xml:space="preserve"> тиче препорука Заштитника.</w:t>
            </w:r>
          </w:p>
        </w:tc>
      </w:tr>
      <w:tr w:rsidR="00AE6E7E" w:rsidRPr="000F0299" w14:paraId="4DE5B9B5" w14:textId="77777777" w:rsidTr="00110BCC">
        <w:trPr>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auto"/>
          </w:tcPr>
          <w:p w14:paraId="00BEA55B"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3608" w:type="pct"/>
            <w:gridSpan w:val="14"/>
            <w:tcBorders>
              <w:top w:val="single" w:sz="4" w:space="0" w:color="000000"/>
              <w:left w:val="single" w:sz="4" w:space="0" w:color="000000"/>
              <w:bottom w:val="single" w:sz="4" w:space="0" w:color="000000"/>
              <w:right w:val="single" w:sz="4" w:space="0" w:color="000000"/>
            </w:tcBorders>
            <w:shd w:val="clear" w:color="auto" w:fill="FFFFFF"/>
          </w:tcPr>
          <w:p w14:paraId="2CDA4DC1"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Подаци се прикупљају на годишњем нивоу, до краја марта текуће године за претходну годину </w:t>
            </w:r>
          </w:p>
        </w:tc>
      </w:tr>
      <w:tr w:rsidR="00AE6E7E" w:rsidRPr="000F0299" w14:paraId="74B823FF" w14:textId="77777777" w:rsidTr="00110BCC">
        <w:trPr>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auto"/>
          </w:tcPr>
          <w:p w14:paraId="01123CDF"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Кратак опис показатеља и методологије израчунавања</w:t>
            </w:r>
          </w:p>
          <w:p w14:paraId="33B5E638"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(формуле/ једначине)</w:t>
            </w:r>
          </w:p>
        </w:tc>
        <w:tc>
          <w:tcPr>
            <w:tcW w:w="3608" w:type="pct"/>
            <w:gridSpan w:val="14"/>
            <w:tcBorders>
              <w:top w:val="single" w:sz="4" w:space="0" w:color="000000"/>
              <w:left w:val="single" w:sz="4" w:space="0" w:color="000000"/>
              <w:bottom w:val="single" w:sz="4" w:space="0" w:color="000000"/>
              <w:right w:val="single" w:sz="4" w:space="0" w:color="000000"/>
            </w:tcBorders>
            <w:shd w:val="clear" w:color="auto" w:fill="FFFFFF"/>
          </w:tcPr>
          <w:p w14:paraId="644DB674" w14:textId="20495301" w:rsidR="00AE6E7E" w:rsidRPr="000F0299" w:rsidRDefault="00D958ED"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Формула/једначина</w:t>
            </w:r>
          </w:p>
          <w:p w14:paraId="145D69C1"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Број одлука/препорука Повереника за информације од јавног значаја и заштиту података о личности/ Заштитника грађана по чијим одлукама / препорукама су поступили органи јавне управе на централном нивоу (X) у односу на укупан број препорука/одлука Повереника за информације од јавног значаја и заштиту података о личности/Заштитника грађана органима јавне управе на централном нивоу (Y)</w:t>
            </w:r>
          </w:p>
          <w:p w14:paraId="5EAED898"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Формула за израчунавање: X:Y x 100</w:t>
            </w:r>
          </w:p>
        </w:tc>
      </w:tr>
      <w:tr w:rsidR="00AE6E7E" w:rsidRPr="000F0299" w14:paraId="55D0A0D1" w14:textId="77777777" w:rsidTr="00110BCC">
        <w:trPr>
          <w:trHeight w:val="265"/>
          <w:jc w:val="center"/>
        </w:trPr>
        <w:tc>
          <w:tcPr>
            <w:tcW w:w="139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749D33D"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2609"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4639B0B0"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Тренд у прошлости</w:t>
            </w:r>
          </w:p>
        </w:tc>
        <w:tc>
          <w:tcPr>
            <w:tcW w:w="100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E3C2E80"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Полазна вредност</w:t>
            </w:r>
          </w:p>
        </w:tc>
      </w:tr>
      <w:tr w:rsidR="00AE6E7E" w:rsidRPr="000F0299" w14:paraId="712271C1" w14:textId="77777777" w:rsidTr="00110BCC">
        <w:trPr>
          <w:trHeight w:val="137"/>
          <w:jc w:val="center"/>
        </w:trPr>
        <w:tc>
          <w:tcPr>
            <w:tcW w:w="1392" w:type="pct"/>
            <w:vMerge/>
            <w:tcBorders>
              <w:top w:val="single" w:sz="4" w:space="0" w:color="000000"/>
              <w:left w:val="single" w:sz="4" w:space="0" w:color="000000"/>
              <w:bottom w:val="single" w:sz="4" w:space="0" w:color="000000"/>
              <w:right w:val="single" w:sz="4" w:space="0" w:color="000000"/>
            </w:tcBorders>
            <w:shd w:val="clear" w:color="auto" w:fill="auto"/>
          </w:tcPr>
          <w:p w14:paraId="3FB6543B"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82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0CA4143"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2016</w:t>
            </w:r>
          </w:p>
        </w:tc>
        <w:tc>
          <w:tcPr>
            <w:tcW w:w="95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A367B6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2017</w:t>
            </w:r>
          </w:p>
        </w:tc>
        <w:tc>
          <w:tcPr>
            <w:tcW w:w="83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7293D5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2018</w:t>
            </w:r>
          </w:p>
        </w:tc>
        <w:tc>
          <w:tcPr>
            <w:tcW w:w="100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423167D"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2019 или 2020</w:t>
            </w:r>
          </w:p>
        </w:tc>
      </w:tr>
      <w:tr w:rsidR="00AE6E7E" w:rsidRPr="000F0299" w14:paraId="653E5402" w14:textId="77777777" w:rsidTr="00110BCC">
        <w:trPr>
          <w:trHeight w:val="323"/>
          <w:jc w:val="center"/>
        </w:trPr>
        <w:tc>
          <w:tcPr>
            <w:tcW w:w="1392" w:type="pct"/>
            <w:vMerge/>
            <w:tcBorders>
              <w:top w:val="single" w:sz="4" w:space="0" w:color="000000"/>
              <w:left w:val="single" w:sz="4" w:space="0" w:color="000000"/>
              <w:bottom w:val="single" w:sz="4" w:space="0" w:color="000000"/>
              <w:right w:val="single" w:sz="4" w:space="0" w:color="000000"/>
            </w:tcBorders>
            <w:shd w:val="clear" w:color="auto" w:fill="auto"/>
          </w:tcPr>
          <w:p w14:paraId="5172E9BB"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82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07D8513"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95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A66F116"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83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4A3BA1E6"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100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CBEC447"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65% Повереник</w:t>
            </w:r>
          </w:p>
          <w:p w14:paraId="6D7CBBD2" w14:textId="6B832B73"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81,43% Заштитник</w:t>
            </w:r>
          </w:p>
        </w:tc>
      </w:tr>
      <w:tr w:rsidR="00AE6E7E" w:rsidRPr="000F0299" w14:paraId="71B73972" w14:textId="77777777" w:rsidTr="00110BCC">
        <w:trPr>
          <w:trHeight w:val="274"/>
          <w:jc w:val="center"/>
        </w:trPr>
        <w:tc>
          <w:tcPr>
            <w:tcW w:w="139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329C026"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p w14:paraId="5ADEA63B" w14:textId="14B15CE4" w:rsidR="00AE6E7E" w:rsidRPr="000F0299" w:rsidRDefault="00AE6E7E" w:rsidP="003C0DA1">
            <w:pPr>
              <w:suppressAutoHyphens w:val="0"/>
              <w:autoSpaceDN/>
              <w:spacing w:before="0"/>
              <w:ind w:firstLine="0"/>
              <w:jc w:val="righ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Повереник:</w:t>
            </w: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9C12D5"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2021</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8B3059"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2022</w:t>
            </w:r>
          </w:p>
        </w:tc>
        <w:tc>
          <w:tcPr>
            <w:tcW w:w="34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6CA9E4C"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2023</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27ACE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2024</w:t>
            </w:r>
          </w:p>
        </w:tc>
        <w:tc>
          <w:tcPr>
            <w:tcW w:w="42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B20742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2025</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14E763"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2026</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FDBE64"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2027</w:t>
            </w:r>
          </w:p>
        </w:tc>
        <w:tc>
          <w:tcPr>
            <w:tcW w:w="34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C7E053A"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2028</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9B687F"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2029</w:t>
            </w:r>
          </w:p>
        </w:tc>
        <w:tc>
          <w:tcPr>
            <w:tcW w:w="3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04B598"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2030</w:t>
            </w:r>
          </w:p>
        </w:tc>
      </w:tr>
      <w:tr w:rsidR="00AE6E7E" w:rsidRPr="000F0299" w14:paraId="2ED39162" w14:textId="77777777" w:rsidTr="00110BCC">
        <w:trPr>
          <w:trHeight w:val="160"/>
          <w:jc w:val="center"/>
        </w:trPr>
        <w:tc>
          <w:tcPr>
            <w:tcW w:w="13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23B138"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290FFE" w14:textId="00A4CF9F"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65%</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DAD957" w14:textId="4DBDBF38"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68%</w:t>
            </w:r>
          </w:p>
        </w:tc>
        <w:tc>
          <w:tcPr>
            <w:tcW w:w="34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F265DCB" w14:textId="035DAF3D"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72%</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8203E7" w14:textId="3C185D00"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76%</w:t>
            </w:r>
          </w:p>
        </w:tc>
        <w:tc>
          <w:tcPr>
            <w:tcW w:w="42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08303FA" w14:textId="0DB4986D"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80%</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3C6DA6"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4785B9"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34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CE1CCF7"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8119DD"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c>
          <w:tcPr>
            <w:tcW w:w="3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CA0FF9" w14:textId="77777777" w:rsidR="00AE6E7E" w:rsidRPr="000F0299" w:rsidRDefault="00AE6E7E" w:rsidP="003C0DA1">
            <w:pPr>
              <w:suppressAutoHyphens w:val="0"/>
              <w:autoSpaceDN/>
              <w:spacing w:before="0"/>
              <w:ind w:firstLine="0"/>
              <w:jc w:val="center"/>
              <w:textAlignment w:val="auto"/>
              <w:rPr>
                <w:rFonts w:eastAsiaTheme="minorHAnsi"/>
                <w:kern w:val="0"/>
                <w:sz w:val="20"/>
                <w:szCs w:val="20"/>
                <w:lang w:eastAsia="en-US" w:bidi="ar-SA"/>
              </w:rPr>
            </w:pPr>
          </w:p>
        </w:tc>
      </w:tr>
      <w:tr w:rsidR="004203A0" w:rsidRPr="000F0299" w14:paraId="2A147E76" w14:textId="77777777" w:rsidTr="00110BCC">
        <w:trPr>
          <w:trHeight w:val="160"/>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79073" w14:textId="03772AE4" w:rsidR="004203A0" w:rsidRPr="000F0299" w:rsidRDefault="004203A0" w:rsidP="003C0DA1">
            <w:pPr>
              <w:suppressAutoHyphens w:val="0"/>
              <w:autoSpaceDN/>
              <w:spacing w:before="0"/>
              <w:ind w:firstLine="0"/>
              <w:jc w:val="right"/>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Заштитник:</w:t>
            </w: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0D6FCF" w14:textId="4659B546" w:rsidR="004203A0" w:rsidRPr="000F0299" w:rsidRDefault="004203A0"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81.97%</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871E7C" w14:textId="6284C37A" w:rsidR="004203A0" w:rsidRPr="000F0299" w:rsidRDefault="004203A0"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85%</w:t>
            </w:r>
          </w:p>
        </w:tc>
        <w:tc>
          <w:tcPr>
            <w:tcW w:w="34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DA93D0F" w14:textId="21C26280" w:rsidR="004203A0" w:rsidRPr="000F0299" w:rsidRDefault="004203A0"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87%</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984342" w14:textId="302C0212" w:rsidR="004203A0" w:rsidRPr="000F0299" w:rsidRDefault="004203A0"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89%</w:t>
            </w:r>
          </w:p>
        </w:tc>
        <w:tc>
          <w:tcPr>
            <w:tcW w:w="42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C5940E0" w14:textId="688D7E6E" w:rsidR="004203A0" w:rsidRPr="000F0299" w:rsidRDefault="004203A0" w:rsidP="003C0DA1">
            <w:pPr>
              <w:suppressAutoHyphens w:val="0"/>
              <w:autoSpaceDN/>
              <w:spacing w:before="0"/>
              <w:ind w:firstLine="0"/>
              <w:jc w:val="center"/>
              <w:textAlignment w:val="auto"/>
              <w:rPr>
                <w:rFonts w:eastAsiaTheme="minorHAnsi"/>
                <w:kern w:val="0"/>
                <w:sz w:val="20"/>
                <w:szCs w:val="20"/>
                <w:lang w:eastAsia="en-US" w:bidi="ar-SA"/>
              </w:rPr>
            </w:pPr>
            <w:r w:rsidRPr="000F0299">
              <w:rPr>
                <w:rFonts w:eastAsiaTheme="minorHAnsi"/>
                <w:kern w:val="0"/>
                <w:sz w:val="20"/>
                <w:szCs w:val="20"/>
                <w:lang w:eastAsia="en-US" w:bidi="ar-SA"/>
              </w:rPr>
              <w:t>91,2%</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1A9BA1" w14:textId="77777777" w:rsidR="004203A0" w:rsidRPr="000F0299" w:rsidRDefault="004203A0" w:rsidP="003C0DA1">
            <w:pPr>
              <w:suppressAutoHyphens w:val="0"/>
              <w:autoSpaceDN/>
              <w:spacing w:before="0"/>
              <w:ind w:firstLine="0"/>
              <w:jc w:val="center"/>
              <w:textAlignment w:val="auto"/>
              <w:rPr>
                <w:rFonts w:eastAsiaTheme="minorHAnsi"/>
                <w:kern w:val="0"/>
                <w:sz w:val="20"/>
                <w:szCs w:val="20"/>
                <w:lang w:eastAsia="en-US" w:bidi="ar-SA"/>
              </w:rPr>
            </w:pP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D1498D" w14:textId="77777777" w:rsidR="004203A0" w:rsidRPr="000F0299" w:rsidRDefault="004203A0" w:rsidP="003C0DA1">
            <w:pPr>
              <w:suppressAutoHyphens w:val="0"/>
              <w:autoSpaceDN/>
              <w:spacing w:before="0"/>
              <w:ind w:firstLine="0"/>
              <w:jc w:val="center"/>
              <w:textAlignment w:val="auto"/>
              <w:rPr>
                <w:rFonts w:eastAsiaTheme="minorHAnsi"/>
                <w:kern w:val="0"/>
                <w:sz w:val="20"/>
                <w:szCs w:val="20"/>
                <w:lang w:eastAsia="en-US" w:bidi="ar-SA"/>
              </w:rPr>
            </w:pPr>
          </w:p>
        </w:tc>
        <w:tc>
          <w:tcPr>
            <w:tcW w:w="34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1FF8CCC" w14:textId="77777777" w:rsidR="004203A0" w:rsidRPr="000F0299" w:rsidRDefault="004203A0" w:rsidP="003C0DA1">
            <w:pPr>
              <w:suppressAutoHyphens w:val="0"/>
              <w:autoSpaceDN/>
              <w:spacing w:before="0"/>
              <w:ind w:firstLine="0"/>
              <w:jc w:val="center"/>
              <w:textAlignment w:val="auto"/>
              <w:rPr>
                <w:rFonts w:eastAsiaTheme="minorHAnsi"/>
                <w:kern w:val="0"/>
                <w:sz w:val="20"/>
                <w:szCs w:val="20"/>
                <w:lang w:eastAsia="en-US" w:bidi="ar-SA"/>
              </w:rPr>
            </w:pP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C9617F" w14:textId="77777777" w:rsidR="004203A0" w:rsidRPr="000F0299" w:rsidRDefault="004203A0" w:rsidP="003C0DA1">
            <w:pPr>
              <w:suppressAutoHyphens w:val="0"/>
              <w:autoSpaceDN/>
              <w:spacing w:before="0"/>
              <w:ind w:firstLine="0"/>
              <w:jc w:val="center"/>
              <w:textAlignment w:val="auto"/>
              <w:rPr>
                <w:rFonts w:eastAsiaTheme="minorHAnsi"/>
                <w:kern w:val="0"/>
                <w:sz w:val="20"/>
                <w:szCs w:val="20"/>
                <w:lang w:eastAsia="en-US" w:bidi="ar-SA"/>
              </w:rPr>
            </w:pPr>
          </w:p>
        </w:tc>
        <w:tc>
          <w:tcPr>
            <w:tcW w:w="3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AE3ADA" w14:textId="77777777" w:rsidR="004203A0" w:rsidRPr="000F0299" w:rsidRDefault="004203A0" w:rsidP="003C0DA1">
            <w:pPr>
              <w:suppressAutoHyphens w:val="0"/>
              <w:autoSpaceDN/>
              <w:spacing w:before="0"/>
              <w:ind w:firstLine="0"/>
              <w:jc w:val="center"/>
              <w:textAlignment w:val="auto"/>
              <w:rPr>
                <w:rFonts w:eastAsiaTheme="minorHAnsi"/>
                <w:kern w:val="0"/>
                <w:sz w:val="20"/>
                <w:szCs w:val="20"/>
                <w:lang w:eastAsia="en-US" w:bidi="ar-SA"/>
              </w:rPr>
            </w:pPr>
          </w:p>
        </w:tc>
      </w:tr>
      <w:tr w:rsidR="00AE6E7E" w:rsidRPr="000F0299" w14:paraId="3C70DDD8" w14:textId="77777777" w:rsidTr="00110BCC">
        <w:trPr>
          <w:trHeight w:val="160"/>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auto"/>
          </w:tcPr>
          <w:p w14:paraId="057D32D9" w14:textId="77777777" w:rsidR="00AE6E7E" w:rsidRPr="000F0299" w:rsidRDefault="00AE6E7E" w:rsidP="003C0DA1">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3608" w:type="pct"/>
            <w:gridSpan w:val="14"/>
            <w:tcBorders>
              <w:top w:val="single" w:sz="4" w:space="0" w:color="000000"/>
              <w:left w:val="single" w:sz="4" w:space="0" w:color="000000"/>
              <w:bottom w:val="single" w:sz="4" w:space="0" w:color="000000"/>
              <w:right w:val="single" w:sz="4" w:space="0" w:color="000000"/>
            </w:tcBorders>
            <w:shd w:val="clear" w:color="auto" w:fill="FFFFFF"/>
            <w:vAlign w:val="center"/>
          </w:tcPr>
          <w:p w14:paraId="2F1464EE" w14:textId="77777777" w:rsidR="00AE6E7E" w:rsidRPr="000F0299" w:rsidRDefault="00AE6E7E"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iCs/>
                <w:kern w:val="0"/>
                <w:sz w:val="20"/>
                <w:szCs w:val="20"/>
                <w:lang w:eastAsia="en-US" w:bidi="ar-SA"/>
              </w:rPr>
              <w:t>Одступање до 2% у односу на циљану вредност биће вредновано као успех.</w:t>
            </w:r>
          </w:p>
        </w:tc>
      </w:tr>
    </w:tbl>
    <w:p w14:paraId="6F335CCE" w14:textId="5A46CDDD" w:rsidR="00D4266E" w:rsidRPr="000F0299" w:rsidRDefault="00D4266E" w:rsidP="00AE6E7E">
      <w:pPr>
        <w:ind w:firstLine="0"/>
      </w:pPr>
    </w:p>
    <w:p w14:paraId="69546F06" w14:textId="77777777" w:rsidR="00D4266E" w:rsidRPr="000F0299" w:rsidRDefault="00D4266E">
      <w:pPr>
        <w:suppressAutoHyphens w:val="0"/>
        <w:autoSpaceDN/>
        <w:spacing w:before="0" w:after="160" w:line="259" w:lineRule="auto"/>
        <w:ind w:firstLine="0"/>
        <w:jc w:val="left"/>
        <w:textAlignment w:val="auto"/>
      </w:pPr>
      <w:r w:rsidRPr="000F0299">
        <w:br w:type="page"/>
      </w:r>
    </w:p>
    <w:p w14:paraId="097AA52C" w14:textId="6D5D6D3F" w:rsidR="003F3312" w:rsidRPr="000F0299" w:rsidRDefault="002309DC" w:rsidP="00D958ED">
      <w:pPr>
        <w:pStyle w:val="Heading2"/>
        <w:rPr>
          <w:lang w:val="sr-Cyrl-RS"/>
        </w:rPr>
      </w:pPr>
      <w:bookmarkStart w:id="339" w:name="_Toc57661523"/>
      <w:r w:rsidRPr="000F0299">
        <w:rPr>
          <w:lang w:val="sr-Cyrl-RS"/>
        </w:rPr>
        <w:t xml:space="preserve">Показатељи учинака - </w:t>
      </w:r>
      <w:r w:rsidR="00D958ED" w:rsidRPr="000F0299">
        <w:rPr>
          <w:lang w:val="sr-Cyrl-RS"/>
        </w:rPr>
        <w:t>Управљање јавним финансијама</w:t>
      </w:r>
      <w:bookmarkEnd w:id="339"/>
    </w:p>
    <w:p w14:paraId="31309178" w14:textId="3A64043F" w:rsidR="00D958ED" w:rsidRPr="000F0299" w:rsidRDefault="00D958ED" w:rsidP="00B426A0">
      <w:pPr>
        <w:pStyle w:val="Heading3"/>
        <w:rPr>
          <w:lang w:val="sr-Cyrl-RS"/>
        </w:rPr>
      </w:pPr>
      <w:bookmarkStart w:id="340" w:name="_Toc57661524"/>
      <w:r w:rsidRPr="000F0299">
        <w:rPr>
          <w:lang w:val="sr-Cyrl-RS"/>
        </w:rPr>
        <w:t xml:space="preserve">Посебан циљ 5.1: Остваривање одрживог буџета са стабилним јавним дугом у односу на БДП уз помоћ бољег финансијског управљања и контроле, процеса ревизије и </w:t>
      </w:r>
      <w:r w:rsidR="001B2E03" w:rsidRPr="000F0299">
        <w:rPr>
          <w:lang w:val="sr-Cyrl-RS"/>
        </w:rPr>
        <w:t>повезивања</w:t>
      </w:r>
      <w:r w:rsidRPr="000F0299">
        <w:rPr>
          <w:lang w:val="sr-Cyrl-RS"/>
        </w:rPr>
        <w:t xml:space="preserve"> буџетског планирања са политикама и приоритетима Владе</w:t>
      </w:r>
      <w:bookmarkEnd w:id="340"/>
    </w:p>
    <w:p w14:paraId="2F496E21" w14:textId="0FB3D1CA" w:rsidR="00D958ED" w:rsidRPr="000F0299" w:rsidRDefault="00D958ED" w:rsidP="002309DC">
      <w:pPr>
        <w:ind w:firstLine="0"/>
        <w:rPr>
          <w:b/>
          <w:bCs/>
          <w:color w:val="2F5496" w:themeColor="accent1" w:themeShade="BF"/>
        </w:rPr>
      </w:pPr>
      <w:r w:rsidRPr="000F0299">
        <w:rPr>
          <w:b/>
          <w:bCs/>
          <w:color w:val="2F5496" w:themeColor="accent1" w:themeShade="BF"/>
        </w:rPr>
        <w:t>Показатељ 1</w:t>
      </w:r>
    </w:p>
    <w:tbl>
      <w:tblPr>
        <w:tblStyle w:val="TableGrid15"/>
        <w:tblW w:w="5000" w:type="pct"/>
        <w:tblInd w:w="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984"/>
        <w:gridCol w:w="1257"/>
        <w:gridCol w:w="1233"/>
        <w:gridCol w:w="605"/>
        <w:gridCol w:w="11"/>
        <w:gridCol w:w="616"/>
        <w:gridCol w:w="1233"/>
        <w:gridCol w:w="1235"/>
      </w:tblGrid>
      <w:tr w:rsidR="00D958ED" w:rsidRPr="000F0299" w14:paraId="1E220F1E" w14:textId="77777777" w:rsidTr="00B426A0">
        <w:tc>
          <w:tcPr>
            <w:tcW w:w="1626" w:type="pct"/>
            <w:tcBorders>
              <w:top w:val="single" w:sz="4" w:space="0" w:color="auto"/>
              <w:left w:val="single" w:sz="4" w:space="0" w:color="auto"/>
            </w:tcBorders>
            <w:shd w:val="clear" w:color="auto" w:fill="839DCC"/>
            <w:vAlign w:val="center"/>
          </w:tcPr>
          <w:p w14:paraId="713A18F8" w14:textId="77777777" w:rsidR="00D958ED" w:rsidRPr="000F0299" w:rsidRDefault="00D958ED" w:rsidP="003C0DA1">
            <w:pPr>
              <w:tabs>
                <w:tab w:val="right" w:pos="2140"/>
              </w:tabs>
              <w:suppressAutoHyphens w:val="0"/>
              <w:autoSpaceDN/>
              <w:spacing w:before="100" w:after="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Назив индикатора</w:t>
            </w:r>
            <w:r w:rsidRPr="000F0299">
              <w:rPr>
                <w:rFonts w:eastAsiaTheme="minorHAnsi"/>
                <w:b/>
                <w:kern w:val="0"/>
                <w:sz w:val="20"/>
                <w:szCs w:val="20"/>
                <w:lang w:eastAsia="en-US" w:bidi="ar-SA"/>
              </w:rPr>
              <w:tab/>
            </w:r>
          </w:p>
        </w:tc>
        <w:tc>
          <w:tcPr>
            <w:tcW w:w="3374" w:type="pct"/>
            <w:gridSpan w:val="7"/>
            <w:tcBorders>
              <w:top w:val="single" w:sz="4" w:space="0" w:color="auto"/>
              <w:right w:val="single" w:sz="4" w:space="0" w:color="auto"/>
            </w:tcBorders>
            <w:shd w:val="clear" w:color="auto" w:fill="839DCC"/>
            <w:vAlign w:val="center"/>
          </w:tcPr>
          <w:p w14:paraId="5CDCCFF0" w14:textId="77777777" w:rsidR="00D958ED" w:rsidRPr="000F0299" w:rsidRDefault="00D958ED" w:rsidP="003C0DA1">
            <w:pPr>
              <w:tabs>
                <w:tab w:val="right" w:pos="2140"/>
              </w:tabs>
              <w:suppressAutoHyphens w:val="0"/>
              <w:autoSpaceDN/>
              <w:spacing w:before="100" w:after="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Реални раст бруто домаћег производа (БДП)</w:t>
            </w:r>
          </w:p>
        </w:tc>
      </w:tr>
      <w:tr w:rsidR="00D958ED" w:rsidRPr="000F0299" w14:paraId="0DE025C0" w14:textId="77777777" w:rsidTr="00834649">
        <w:tc>
          <w:tcPr>
            <w:tcW w:w="1626" w:type="pct"/>
            <w:tcBorders>
              <w:left w:val="single" w:sz="4" w:space="0" w:color="auto"/>
            </w:tcBorders>
            <w:shd w:val="clear" w:color="auto" w:fill="auto"/>
          </w:tcPr>
          <w:p w14:paraId="1BAABF14" w14:textId="72060440" w:rsidR="00D958ED" w:rsidRPr="000F0299" w:rsidRDefault="006873CC"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3374" w:type="pct"/>
            <w:gridSpan w:val="7"/>
            <w:tcBorders>
              <w:right w:val="single" w:sz="4" w:space="0" w:color="auto"/>
            </w:tcBorders>
          </w:tcPr>
          <w:p w14:paraId="00711931" w14:textId="6DDDEA0C" w:rsidR="00D958ED" w:rsidRPr="000F0299" w:rsidRDefault="006873CC" w:rsidP="003C0DA1">
            <w:pPr>
              <w:tabs>
                <w:tab w:val="right" w:pos="2140"/>
              </w:tabs>
              <w:suppressAutoHyphens w:val="0"/>
              <w:autoSpaceDN/>
              <w:spacing w:before="0"/>
              <w:ind w:firstLine="0"/>
              <w:textAlignment w:val="auto"/>
              <w:rPr>
                <w:rFonts w:eastAsiaTheme="minorHAnsi"/>
                <w:kern w:val="0"/>
                <w:sz w:val="20"/>
                <w:szCs w:val="20"/>
                <w:lang w:eastAsia="en-US" w:bidi="ar-SA"/>
              </w:rPr>
            </w:pPr>
            <w:r w:rsidRPr="000F0299">
              <w:rPr>
                <w:rFonts w:eastAsiaTheme="minorHAnsi"/>
                <w:b/>
                <w:kern w:val="0"/>
                <w:sz w:val="20"/>
                <w:szCs w:val="20"/>
                <w:lang w:eastAsia="en-US" w:bidi="ar-SA"/>
              </w:rPr>
              <w:t>Посебан циљ 5.1:</w:t>
            </w:r>
            <w:r w:rsidRPr="000F0299">
              <w:rPr>
                <w:rFonts w:eastAsiaTheme="minorHAnsi"/>
                <w:bCs/>
                <w:kern w:val="0"/>
                <w:sz w:val="20"/>
                <w:szCs w:val="20"/>
                <w:lang w:eastAsia="en-US" w:bidi="ar-SA"/>
              </w:rPr>
              <w:t xml:space="preserve"> </w:t>
            </w:r>
            <w:r w:rsidR="00D958ED" w:rsidRPr="000F0299">
              <w:rPr>
                <w:rFonts w:eastAsiaTheme="minorHAnsi"/>
                <w:bCs/>
                <w:kern w:val="0"/>
                <w:sz w:val="20"/>
                <w:szCs w:val="20"/>
                <w:lang w:eastAsia="en-US" w:bidi="ar-SA"/>
              </w:rPr>
              <w:t xml:space="preserve">Остваривање одрживог буџета са стабилним јавним дугом у односу на БДП уз помоћ бољег финансијског управљања и контроле, процеса ревизије и </w:t>
            </w:r>
            <w:r w:rsidR="001B2E03" w:rsidRPr="000F0299">
              <w:rPr>
                <w:rFonts w:eastAsiaTheme="minorHAnsi"/>
                <w:bCs/>
                <w:kern w:val="0"/>
                <w:sz w:val="20"/>
                <w:szCs w:val="20"/>
                <w:lang w:eastAsia="en-US" w:bidi="ar-SA"/>
              </w:rPr>
              <w:t>повезивања</w:t>
            </w:r>
            <w:r w:rsidR="00D958ED" w:rsidRPr="000F0299">
              <w:rPr>
                <w:rFonts w:eastAsiaTheme="minorHAnsi"/>
                <w:bCs/>
                <w:kern w:val="0"/>
                <w:sz w:val="20"/>
                <w:szCs w:val="20"/>
                <w:lang w:eastAsia="en-US" w:bidi="ar-SA"/>
              </w:rPr>
              <w:t xml:space="preserve"> буџетског планирања са политикама и приоритетима Владе.</w:t>
            </w:r>
          </w:p>
        </w:tc>
      </w:tr>
      <w:tr w:rsidR="00B426A0" w:rsidRPr="000F0299" w14:paraId="15C66FFA" w14:textId="77777777" w:rsidTr="00B426A0">
        <w:tc>
          <w:tcPr>
            <w:tcW w:w="1626" w:type="pct"/>
            <w:tcBorders>
              <w:left w:val="single" w:sz="4" w:space="0" w:color="auto"/>
            </w:tcBorders>
            <w:shd w:val="clear" w:color="auto" w:fill="auto"/>
          </w:tcPr>
          <w:p w14:paraId="6B14EC06" w14:textId="77777777" w:rsidR="00B426A0" w:rsidRPr="000F0299" w:rsidRDefault="00B426A0"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 xml:space="preserve">Тип индикатора </w:t>
            </w:r>
          </w:p>
        </w:tc>
        <w:tc>
          <w:tcPr>
            <w:tcW w:w="1687" w:type="pct"/>
            <w:gridSpan w:val="3"/>
            <w:tcBorders>
              <w:right w:val="single" w:sz="4" w:space="0" w:color="auto"/>
            </w:tcBorders>
          </w:tcPr>
          <w:p w14:paraId="7363F82C" w14:textId="5A28EF8F" w:rsidR="00B426A0" w:rsidRPr="000F0299" w:rsidRDefault="00B426A0" w:rsidP="003C0DA1">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kern w:val="0"/>
                <w:sz w:val="20"/>
                <w:szCs w:val="20"/>
                <w:lang w:eastAsia="en-US" w:bidi="ar-SA"/>
              </w:rPr>
              <w:t>Квантитативни</w:t>
            </w:r>
          </w:p>
        </w:tc>
        <w:tc>
          <w:tcPr>
            <w:tcW w:w="1687" w:type="pct"/>
            <w:gridSpan w:val="4"/>
            <w:tcBorders>
              <w:right w:val="single" w:sz="4" w:space="0" w:color="auto"/>
            </w:tcBorders>
          </w:tcPr>
          <w:p w14:paraId="1CAF8D24" w14:textId="2BE7DFB1" w:rsidR="00B426A0" w:rsidRPr="000F0299" w:rsidRDefault="00B426A0" w:rsidP="003C0DA1">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kern w:val="0"/>
                <w:sz w:val="20"/>
                <w:szCs w:val="20"/>
                <w:lang w:eastAsia="en-US" w:bidi="ar-SA"/>
              </w:rPr>
              <w:t>Показатељ исхода</w:t>
            </w:r>
          </w:p>
        </w:tc>
      </w:tr>
      <w:tr w:rsidR="00B426A0" w:rsidRPr="000F0299" w14:paraId="4DD4F5C5" w14:textId="77777777" w:rsidTr="00B426A0">
        <w:tc>
          <w:tcPr>
            <w:tcW w:w="1626" w:type="pct"/>
            <w:tcBorders>
              <w:left w:val="single" w:sz="4" w:space="0" w:color="auto"/>
            </w:tcBorders>
            <w:shd w:val="clear" w:color="auto" w:fill="auto"/>
          </w:tcPr>
          <w:p w14:paraId="78C291C0" w14:textId="77777777" w:rsidR="00B426A0" w:rsidRPr="000F0299" w:rsidRDefault="00B426A0"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Јединица мере и природа</w:t>
            </w:r>
          </w:p>
        </w:tc>
        <w:tc>
          <w:tcPr>
            <w:tcW w:w="1687" w:type="pct"/>
            <w:gridSpan w:val="3"/>
            <w:tcBorders>
              <w:right w:val="single" w:sz="4" w:space="0" w:color="auto"/>
            </w:tcBorders>
          </w:tcPr>
          <w:p w14:paraId="448E96EB" w14:textId="5AAF4102" w:rsidR="00B426A0" w:rsidRPr="000F0299" w:rsidRDefault="00B426A0" w:rsidP="003C0DA1">
            <w:pPr>
              <w:tabs>
                <w:tab w:val="right" w:pos="2140"/>
              </w:tabs>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Проценат</w:t>
            </w:r>
          </w:p>
        </w:tc>
        <w:tc>
          <w:tcPr>
            <w:tcW w:w="1687" w:type="pct"/>
            <w:gridSpan w:val="4"/>
            <w:tcBorders>
              <w:right w:val="single" w:sz="4" w:space="0" w:color="auto"/>
            </w:tcBorders>
          </w:tcPr>
          <w:p w14:paraId="5B5E5AF9" w14:textId="2052F010" w:rsidR="00B426A0" w:rsidRPr="000F0299" w:rsidRDefault="00B426A0" w:rsidP="003C0DA1">
            <w:pPr>
              <w:tabs>
                <w:tab w:val="right" w:pos="2140"/>
              </w:tabs>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Виша вредност је пожељна</w:t>
            </w:r>
          </w:p>
        </w:tc>
      </w:tr>
      <w:tr w:rsidR="00D958ED" w:rsidRPr="000F0299" w14:paraId="6CDFA612" w14:textId="77777777" w:rsidTr="00834649">
        <w:tc>
          <w:tcPr>
            <w:tcW w:w="1626" w:type="pct"/>
            <w:tcBorders>
              <w:left w:val="single" w:sz="4" w:space="0" w:color="auto"/>
            </w:tcBorders>
            <w:shd w:val="clear" w:color="auto" w:fill="auto"/>
          </w:tcPr>
          <w:p w14:paraId="7DE5754F" w14:textId="77777777" w:rsidR="00D958ED" w:rsidRPr="000F0299" w:rsidRDefault="00D958ED"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Извор података</w:t>
            </w:r>
          </w:p>
        </w:tc>
        <w:tc>
          <w:tcPr>
            <w:tcW w:w="3374" w:type="pct"/>
            <w:gridSpan w:val="7"/>
            <w:tcBorders>
              <w:right w:val="single" w:sz="4" w:space="0" w:color="auto"/>
            </w:tcBorders>
          </w:tcPr>
          <w:p w14:paraId="66D2435E" w14:textId="77777777" w:rsidR="00D958ED" w:rsidRPr="000F0299" w:rsidRDefault="00D958ED" w:rsidP="003C0DA1">
            <w:pPr>
              <w:tabs>
                <w:tab w:val="right" w:pos="2140"/>
              </w:tabs>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Републички завод за статистику, Статистика националних рачуна</w:t>
            </w:r>
          </w:p>
          <w:p w14:paraId="2B6F6E1A" w14:textId="77777777" w:rsidR="00D958ED" w:rsidRPr="000F0299" w:rsidRDefault="00F47F65" w:rsidP="003C0DA1">
            <w:pPr>
              <w:tabs>
                <w:tab w:val="right" w:pos="2140"/>
              </w:tabs>
              <w:suppressAutoHyphens w:val="0"/>
              <w:autoSpaceDN/>
              <w:spacing w:before="0"/>
              <w:ind w:firstLine="0"/>
              <w:textAlignment w:val="auto"/>
              <w:rPr>
                <w:rFonts w:eastAsiaTheme="minorHAnsi"/>
                <w:kern w:val="0"/>
                <w:sz w:val="20"/>
                <w:szCs w:val="20"/>
                <w:lang w:eastAsia="en-US" w:bidi="ar-SA"/>
              </w:rPr>
            </w:pPr>
            <w:hyperlink r:id="rId215" w:history="1">
              <w:r w:rsidR="00D958ED" w:rsidRPr="000F0299">
                <w:rPr>
                  <w:rFonts w:eastAsiaTheme="minorHAnsi"/>
                  <w:color w:val="0563C1" w:themeColor="hyperlink"/>
                  <w:kern w:val="0"/>
                  <w:sz w:val="20"/>
                  <w:szCs w:val="20"/>
                  <w:u w:val="single"/>
                  <w:lang w:eastAsia="en-US" w:bidi="ar-SA"/>
                </w:rPr>
                <w:t>https://data.stat.gov.rs/Home/Result/09020104?languageCode=sr-Cyrl</w:t>
              </w:r>
            </w:hyperlink>
          </w:p>
        </w:tc>
      </w:tr>
      <w:tr w:rsidR="00D958ED" w:rsidRPr="000F0299" w14:paraId="75D714BB" w14:textId="77777777" w:rsidTr="00834649">
        <w:tc>
          <w:tcPr>
            <w:tcW w:w="1626" w:type="pct"/>
            <w:tcBorders>
              <w:left w:val="single" w:sz="4" w:space="0" w:color="auto"/>
            </w:tcBorders>
            <w:shd w:val="clear" w:color="auto" w:fill="auto"/>
          </w:tcPr>
          <w:p w14:paraId="5AF2FD71" w14:textId="77777777" w:rsidR="00D958ED" w:rsidRPr="000F0299" w:rsidRDefault="00D958ED"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3374" w:type="pct"/>
            <w:gridSpan w:val="7"/>
            <w:tcBorders>
              <w:right w:val="single" w:sz="4" w:space="0" w:color="auto"/>
            </w:tcBorders>
          </w:tcPr>
          <w:p w14:paraId="36F1D076" w14:textId="3ED34D41" w:rsidR="00D958ED" w:rsidRPr="000F0299" w:rsidRDefault="00D958ED" w:rsidP="003C0DA1">
            <w:pPr>
              <w:tabs>
                <w:tab w:val="right" w:pos="2140"/>
              </w:tabs>
              <w:suppressAutoHyphens w:val="0"/>
              <w:autoSpaceDN/>
              <w:spacing w:before="0"/>
              <w:ind w:firstLine="0"/>
              <w:textAlignment w:val="auto"/>
              <w:rPr>
                <w:rFonts w:eastAsiaTheme="minorHAnsi"/>
                <w:kern w:val="0"/>
                <w:sz w:val="20"/>
                <w:szCs w:val="20"/>
                <w:lang w:eastAsia="en-US" w:bidi="ar-SA"/>
              </w:rPr>
            </w:pPr>
            <w:r w:rsidRPr="0003570C">
              <w:rPr>
                <w:rFonts w:eastAsiaTheme="minorHAnsi"/>
                <w:kern w:val="0"/>
                <w:sz w:val="20"/>
                <w:szCs w:val="20"/>
                <w:lang w:eastAsia="en-US" w:bidi="ar-SA"/>
              </w:rPr>
              <w:t>Министа</w:t>
            </w:r>
            <w:r w:rsidR="0003570C" w:rsidRPr="0003570C">
              <w:rPr>
                <w:rFonts w:eastAsiaTheme="minorHAnsi"/>
                <w:kern w:val="0"/>
                <w:sz w:val="20"/>
                <w:szCs w:val="20"/>
                <w:lang w:eastAsia="en-US" w:bidi="ar-SA"/>
              </w:rPr>
              <w:t>рство финансија</w:t>
            </w:r>
          </w:p>
        </w:tc>
      </w:tr>
      <w:tr w:rsidR="00D958ED" w:rsidRPr="000F0299" w14:paraId="31C936BC" w14:textId="77777777" w:rsidTr="00834649">
        <w:tc>
          <w:tcPr>
            <w:tcW w:w="1626" w:type="pct"/>
            <w:tcBorders>
              <w:left w:val="single" w:sz="4" w:space="0" w:color="auto"/>
            </w:tcBorders>
            <w:shd w:val="clear" w:color="auto" w:fill="auto"/>
          </w:tcPr>
          <w:p w14:paraId="57435047" w14:textId="77777777" w:rsidR="00D958ED" w:rsidRPr="000F0299" w:rsidRDefault="00D958ED"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Учесталост прикупљања</w:t>
            </w:r>
          </w:p>
        </w:tc>
        <w:tc>
          <w:tcPr>
            <w:tcW w:w="3374" w:type="pct"/>
            <w:gridSpan w:val="7"/>
            <w:tcBorders>
              <w:right w:val="single" w:sz="4" w:space="0" w:color="auto"/>
            </w:tcBorders>
          </w:tcPr>
          <w:p w14:paraId="4C6BA7DB" w14:textId="77777777" w:rsidR="00D958ED" w:rsidRPr="000F0299" w:rsidRDefault="00D958ED" w:rsidP="003C0DA1">
            <w:pPr>
              <w:tabs>
                <w:tab w:val="right" w:pos="2140"/>
              </w:tabs>
              <w:suppressAutoHyphens w:val="0"/>
              <w:autoSpaceDN/>
              <w:spacing w:before="0"/>
              <w:ind w:firstLine="0"/>
              <w:textAlignment w:val="auto"/>
              <w:rPr>
                <w:rFonts w:eastAsiaTheme="minorHAnsi"/>
                <w:spacing w:val="-1"/>
                <w:kern w:val="0"/>
                <w:sz w:val="20"/>
                <w:szCs w:val="20"/>
                <w:lang w:eastAsia="en-US" w:bidi="ar-SA"/>
              </w:rPr>
            </w:pPr>
            <w:r w:rsidRPr="000F0299">
              <w:rPr>
                <w:rFonts w:eastAsiaTheme="minorHAnsi"/>
                <w:spacing w:val="-1"/>
                <w:kern w:val="0"/>
                <w:sz w:val="20"/>
                <w:szCs w:val="20"/>
                <w:lang w:eastAsia="en-US" w:bidi="ar-SA"/>
              </w:rPr>
              <w:t>Квартална и годишња</w:t>
            </w:r>
          </w:p>
          <w:p w14:paraId="59136442" w14:textId="77777777" w:rsidR="00D958ED" w:rsidRPr="000F0299" w:rsidRDefault="00D958ED"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Прелиминарна процена кварталне вредности показатеља се објављује у текућем кварталу за претходни квартал.</w:t>
            </w:r>
          </w:p>
          <w:p w14:paraId="57FA20CD" w14:textId="77777777" w:rsidR="00D958ED" w:rsidRPr="000F0299" w:rsidRDefault="00D958ED" w:rsidP="003C0DA1">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kern w:val="0"/>
                <w:sz w:val="20"/>
                <w:szCs w:val="20"/>
                <w:lang w:eastAsia="en-US" w:bidi="ar-SA"/>
              </w:rPr>
              <w:t>Прелиминарна процена годишње вредности показатеља се објављује у октобру текуће године за претходну годину, а финална процена годишње вредности показатеља се објављује у октобру текуће године за две године уназад.</w:t>
            </w:r>
          </w:p>
        </w:tc>
      </w:tr>
      <w:tr w:rsidR="00D958ED" w:rsidRPr="000F0299" w14:paraId="6786947E" w14:textId="77777777" w:rsidTr="00834649">
        <w:tc>
          <w:tcPr>
            <w:tcW w:w="1626" w:type="pct"/>
            <w:tcBorders>
              <w:left w:val="single" w:sz="4" w:space="0" w:color="auto"/>
            </w:tcBorders>
            <w:shd w:val="clear" w:color="auto" w:fill="auto"/>
          </w:tcPr>
          <w:p w14:paraId="0F45911B" w14:textId="77777777" w:rsidR="00D958ED" w:rsidRPr="000F0299" w:rsidRDefault="00D958ED"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Кратак опис методологије:</w:t>
            </w:r>
          </w:p>
        </w:tc>
        <w:tc>
          <w:tcPr>
            <w:tcW w:w="3374" w:type="pct"/>
            <w:gridSpan w:val="7"/>
            <w:tcBorders>
              <w:right w:val="single" w:sz="4" w:space="0" w:color="auto"/>
            </w:tcBorders>
          </w:tcPr>
          <w:p w14:paraId="7ADC853B" w14:textId="37788A22" w:rsidR="00D958ED" w:rsidRPr="000F0299" w:rsidRDefault="00D958ED" w:rsidP="003C0DA1">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 xml:space="preserve">Реални раст бруто домаћег производа се рачуна као стопа промене бруто домаћег производа (БДП) у сталним ценама (ценама претходне године) и </w:t>
            </w:r>
            <w:r w:rsidR="001B2E03" w:rsidRPr="000F0299">
              <w:rPr>
                <w:rFonts w:eastAsiaTheme="minorHAnsi"/>
                <w:bCs/>
                <w:kern w:val="0"/>
                <w:sz w:val="20"/>
                <w:szCs w:val="20"/>
                <w:lang w:eastAsia="en-US" w:bidi="ar-SA"/>
              </w:rPr>
              <w:t>у ланчаним</w:t>
            </w:r>
            <w:r w:rsidRPr="000F0299">
              <w:rPr>
                <w:rFonts w:eastAsiaTheme="minorHAnsi"/>
                <w:bCs/>
                <w:kern w:val="0"/>
                <w:sz w:val="20"/>
                <w:szCs w:val="20"/>
                <w:lang w:eastAsia="en-US" w:bidi="ar-SA"/>
              </w:rPr>
              <w:t xml:space="preserve"> мерама обима, и има за циљ да покаже реалне динамичке и структурне промене БДП, настале независно од утицаја цена.</w:t>
            </w:r>
          </w:p>
          <w:p w14:paraId="78F0331F" w14:textId="77777777" w:rsidR="00D958ED" w:rsidRPr="000F0299" w:rsidRDefault="00F47F65" w:rsidP="003C0DA1">
            <w:pPr>
              <w:tabs>
                <w:tab w:val="right" w:pos="2140"/>
              </w:tabs>
              <w:suppressAutoHyphens w:val="0"/>
              <w:autoSpaceDN/>
              <w:spacing w:before="0"/>
              <w:ind w:firstLine="0"/>
              <w:textAlignment w:val="auto"/>
              <w:rPr>
                <w:rFonts w:eastAsiaTheme="minorHAnsi"/>
                <w:bCs/>
                <w:color w:val="0563C1" w:themeColor="hyperlink"/>
                <w:kern w:val="0"/>
                <w:sz w:val="20"/>
                <w:szCs w:val="20"/>
                <w:u w:val="single"/>
                <w:lang w:eastAsia="en-US" w:bidi="ar-SA"/>
              </w:rPr>
            </w:pPr>
            <w:hyperlink r:id="rId216" w:history="1">
              <w:r w:rsidR="00D958ED" w:rsidRPr="000F0299">
                <w:rPr>
                  <w:rFonts w:eastAsiaTheme="minorHAnsi"/>
                  <w:bCs/>
                  <w:color w:val="0563C1" w:themeColor="hyperlink"/>
                  <w:kern w:val="0"/>
                  <w:sz w:val="20"/>
                  <w:szCs w:val="20"/>
                  <w:u w:val="single"/>
                  <w:lang w:eastAsia="en-US" w:bidi="ar-SA"/>
                </w:rPr>
                <w:t>https://publikacije.stat.gov.rs/G2018/Pdf/G201821018.pdf</w:t>
              </w:r>
            </w:hyperlink>
          </w:p>
          <w:p w14:paraId="31E634DB" w14:textId="77777777" w:rsidR="00D958ED" w:rsidRPr="000F0299" w:rsidRDefault="00D958ED" w:rsidP="003C0DA1">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Републички завод за статистику повремено ревидира обрачунату вредност БДП. У случају ревизије БДП, потребно је ажурирати вредности индикатора.</w:t>
            </w:r>
          </w:p>
        </w:tc>
      </w:tr>
      <w:tr w:rsidR="00D958ED" w:rsidRPr="000F0299" w14:paraId="3B5AA010" w14:textId="77777777" w:rsidTr="00834649">
        <w:tc>
          <w:tcPr>
            <w:tcW w:w="1626" w:type="pct"/>
            <w:vMerge w:val="restart"/>
            <w:tcBorders>
              <w:left w:val="single" w:sz="4" w:space="0" w:color="auto"/>
            </w:tcBorders>
            <w:shd w:val="clear" w:color="auto" w:fill="auto"/>
          </w:tcPr>
          <w:p w14:paraId="30FB84EF" w14:textId="77777777" w:rsidR="00D958ED" w:rsidRPr="000F0299" w:rsidRDefault="00D958ED" w:rsidP="003C0DA1">
            <w:pPr>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 xml:space="preserve">Полазна вредност </w:t>
            </w:r>
          </w:p>
        </w:tc>
        <w:tc>
          <w:tcPr>
            <w:tcW w:w="1693" w:type="pct"/>
            <w:gridSpan w:val="4"/>
          </w:tcPr>
          <w:p w14:paraId="3C279287" w14:textId="77777777" w:rsidR="00D958ED" w:rsidRPr="000F0299" w:rsidRDefault="00D958ED" w:rsidP="003C0DA1">
            <w:pPr>
              <w:tabs>
                <w:tab w:val="right" w:pos="2140"/>
              </w:tabs>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2018</w:t>
            </w:r>
          </w:p>
        </w:tc>
        <w:tc>
          <w:tcPr>
            <w:tcW w:w="1681" w:type="pct"/>
            <w:gridSpan w:val="3"/>
            <w:tcBorders>
              <w:right w:val="single" w:sz="4" w:space="0" w:color="auto"/>
            </w:tcBorders>
          </w:tcPr>
          <w:p w14:paraId="552D0661" w14:textId="77777777" w:rsidR="00D958ED" w:rsidRPr="000F0299" w:rsidRDefault="00D958ED" w:rsidP="003C0DA1">
            <w:pPr>
              <w:tabs>
                <w:tab w:val="right" w:pos="2140"/>
              </w:tabs>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2019</w:t>
            </w:r>
          </w:p>
        </w:tc>
      </w:tr>
      <w:tr w:rsidR="00D958ED" w:rsidRPr="000F0299" w14:paraId="3FCC0DD3" w14:textId="77777777" w:rsidTr="00834649">
        <w:tc>
          <w:tcPr>
            <w:tcW w:w="1626" w:type="pct"/>
            <w:vMerge/>
            <w:tcBorders>
              <w:left w:val="single" w:sz="4" w:space="0" w:color="auto"/>
            </w:tcBorders>
            <w:shd w:val="clear" w:color="auto" w:fill="auto"/>
          </w:tcPr>
          <w:p w14:paraId="1EBB6413" w14:textId="77777777" w:rsidR="00D958ED" w:rsidRPr="000F0299" w:rsidRDefault="00D958ED" w:rsidP="003C0DA1">
            <w:pPr>
              <w:suppressAutoHyphens w:val="0"/>
              <w:autoSpaceDN/>
              <w:spacing w:before="0"/>
              <w:ind w:firstLine="0"/>
              <w:textAlignment w:val="auto"/>
              <w:rPr>
                <w:rFonts w:eastAsiaTheme="minorHAnsi"/>
                <w:b/>
                <w:kern w:val="0"/>
                <w:sz w:val="20"/>
                <w:szCs w:val="20"/>
                <w:lang w:eastAsia="en-US" w:bidi="ar-SA"/>
              </w:rPr>
            </w:pPr>
          </w:p>
        </w:tc>
        <w:tc>
          <w:tcPr>
            <w:tcW w:w="1693" w:type="pct"/>
            <w:gridSpan w:val="4"/>
          </w:tcPr>
          <w:p w14:paraId="15FAF3B6" w14:textId="77777777" w:rsidR="00D958ED" w:rsidRPr="000F0299" w:rsidRDefault="00D958ED" w:rsidP="003C0DA1">
            <w:pPr>
              <w:tabs>
                <w:tab w:val="right" w:pos="2140"/>
              </w:tabs>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4.5%</w:t>
            </w:r>
          </w:p>
        </w:tc>
        <w:tc>
          <w:tcPr>
            <w:tcW w:w="1681" w:type="pct"/>
            <w:gridSpan w:val="3"/>
            <w:tcBorders>
              <w:right w:val="single" w:sz="4" w:space="0" w:color="auto"/>
            </w:tcBorders>
          </w:tcPr>
          <w:p w14:paraId="5764598B" w14:textId="77777777" w:rsidR="00D958ED" w:rsidRPr="000F0299" w:rsidRDefault="00D958ED" w:rsidP="003C0DA1">
            <w:pPr>
              <w:tabs>
                <w:tab w:val="right" w:pos="2140"/>
              </w:tabs>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4.2%</w:t>
            </w:r>
          </w:p>
        </w:tc>
      </w:tr>
      <w:tr w:rsidR="00D958ED" w:rsidRPr="000F0299" w14:paraId="08468EC6" w14:textId="77777777" w:rsidTr="00834649">
        <w:tc>
          <w:tcPr>
            <w:tcW w:w="1626" w:type="pct"/>
            <w:vMerge w:val="restart"/>
            <w:tcBorders>
              <w:left w:val="single" w:sz="4" w:space="0" w:color="auto"/>
            </w:tcBorders>
            <w:shd w:val="clear" w:color="auto" w:fill="auto"/>
          </w:tcPr>
          <w:p w14:paraId="123B39D0" w14:textId="77777777" w:rsidR="00D958ED" w:rsidRPr="000F0299" w:rsidRDefault="00D958ED" w:rsidP="003C0DA1">
            <w:pPr>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Циљана вредност</w:t>
            </w:r>
          </w:p>
        </w:tc>
        <w:tc>
          <w:tcPr>
            <w:tcW w:w="685" w:type="pct"/>
          </w:tcPr>
          <w:p w14:paraId="05259218" w14:textId="77777777" w:rsidR="00D958ED" w:rsidRPr="000F0299" w:rsidRDefault="00D958ED" w:rsidP="003C0DA1">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2020</w:t>
            </w:r>
          </w:p>
        </w:tc>
        <w:tc>
          <w:tcPr>
            <w:tcW w:w="672" w:type="pct"/>
          </w:tcPr>
          <w:p w14:paraId="0D6258AC" w14:textId="77777777" w:rsidR="00D958ED" w:rsidRPr="000F0299" w:rsidRDefault="00D958ED" w:rsidP="003C0DA1">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2023</w:t>
            </w:r>
          </w:p>
        </w:tc>
        <w:tc>
          <w:tcPr>
            <w:tcW w:w="672" w:type="pct"/>
            <w:gridSpan w:val="3"/>
          </w:tcPr>
          <w:p w14:paraId="10F06992" w14:textId="77777777" w:rsidR="00D958ED" w:rsidRPr="000F0299" w:rsidRDefault="00D958ED" w:rsidP="003C0DA1">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2025</w:t>
            </w:r>
          </w:p>
        </w:tc>
        <w:tc>
          <w:tcPr>
            <w:tcW w:w="672" w:type="pct"/>
          </w:tcPr>
          <w:p w14:paraId="720ECA85" w14:textId="77777777" w:rsidR="00D958ED" w:rsidRPr="000F0299" w:rsidRDefault="00D958ED" w:rsidP="003C0DA1">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2027</w:t>
            </w:r>
          </w:p>
        </w:tc>
        <w:tc>
          <w:tcPr>
            <w:tcW w:w="673" w:type="pct"/>
            <w:tcBorders>
              <w:right w:val="single" w:sz="4" w:space="0" w:color="auto"/>
            </w:tcBorders>
          </w:tcPr>
          <w:p w14:paraId="3C7C5145" w14:textId="77777777" w:rsidR="00D958ED" w:rsidRPr="000F0299" w:rsidRDefault="00D958ED" w:rsidP="003C0DA1">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2030</w:t>
            </w:r>
          </w:p>
        </w:tc>
      </w:tr>
      <w:tr w:rsidR="00D958ED" w:rsidRPr="000F0299" w14:paraId="34175296" w14:textId="77777777" w:rsidTr="00834649">
        <w:tc>
          <w:tcPr>
            <w:tcW w:w="1626" w:type="pct"/>
            <w:vMerge/>
            <w:tcBorders>
              <w:left w:val="single" w:sz="4" w:space="0" w:color="auto"/>
            </w:tcBorders>
            <w:shd w:val="clear" w:color="auto" w:fill="auto"/>
          </w:tcPr>
          <w:p w14:paraId="15DFF914" w14:textId="77777777" w:rsidR="00D958ED" w:rsidRPr="000F0299" w:rsidRDefault="00D958ED" w:rsidP="003C0DA1">
            <w:pPr>
              <w:suppressAutoHyphens w:val="0"/>
              <w:autoSpaceDN/>
              <w:spacing w:before="0"/>
              <w:ind w:firstLine="0"/>
              <w:textAlignment w:val="auto"/>
              <w:rPr>
                <w:rFonts w:eastAsiaTheme="minorHAnsi"/>
                <w:b/>
                <w:kern w:val="0"/>
                <w:sz w:val="20"/>
                <w:szCs w:val="20"/>
                <w:lang w:eastAsia="en-US" w:bidi="ar-SA"/>
              </w:rPr>
            </w:pPr>
          </w:p>
        </w:tc>
        <w:tc>
          <w:tcPr>
            <w:tcW w:w="685" w:type="pct"/>
          </w:tcPr>
          <w:p w14:paraId="4C63421E" w14:textId="77777777" w:rsidR="00D958ED" w:rsidRPr="000F0299" w:rsidRDefault="00D958ED" w:rsidP="003C0DA1">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-2.5%</w:t>
            </w:r>
          </w:p>
        </w:tc>
        <w:tc>
          <w:tcPr>
            <w:tcW w:w="672" w:type="pct"/>
          </w:tcPr>
          <w:p w14:paraId="16EC482D" w14:textId="77777777" w:rsidR="00D958ED" w:rsidRPr="000F0299" w:rsidRDefault="00D958ED" w:rsidP="003C0DA1">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4.0</w:t>
            </w:r>
          </w:p>
        </w:tc>
        <w:tc>
          <w:tcPr>
            <w:tcW w:w="672" w:type="pct"/>
            <w:gridSpan w:val="3"/>
          </w:tcPr>
          <w:p w14:paraId="0199A092" w14:textId="77777777" w:rsidR="00D958ED" w:rsidRPr="000F0299" w:rsidRDefault="00D958ED" w:rsidP="003C0DA1">
            <w:pPr>
              <w:suppressAutoHyphens w:val="0"/>
              <w:autoSpaceDN/>
              <w:spacing w:before="0"/>
              <w:ind w:firstLine="0"/>
              <w:jc w:val="center"/>
              <w:textAlignment w:val="auto"/>
              <w:rPr>
                <w:rFonts w:eastAsiaTheme="minorHAnsi"/>
                <w:bCs/>
                <w:kern w:val="0"/>
                <w:sz w:val="20"/>
                <w:szCs w:val="20"/>
                <w:lang w:eastAsia="en-US" w:bidi="ar-SA"/>
              </w:rPr>
            </w:pPr>
          </w:p>
        </w:tc>
        <w:tc>
          <w:tcPr>
            <w:tcW w:w="672" w:type="pct"/>
          </w:tcPr>
          <w:p w14:paraId="7DB1B9AE" w14:textId="77777777" w:rsidR="00D958ED" w:rsidRPr="000F0299" w:rsidRDefault="00D958ED" w:rsidP="003C0DA1">
            <w:pPr>
              <w:suppressAutoHyphens w:val="0"/>
              <w:autoSpaceDN/>
              <w:spacing w:before="0"/>
              <w:ind w:firstLine="0"/>
              <w:jc w:val="center"/>
              <w:textAlignment w:val="auto"/>
              <w:rPr>
                <w:rFonts w:eastAsiaTheme="minorHAnsi"/>
                <w:bCs/>
                <w:kern w:val="0"/>
                <w:sz w:val="20"/>
                <w:szCs w:val="20"/>
                <w:lang w:eastAsia="en-US" w:bidi="ar-SA"/>
              </w:rPr>
            </w:pPr>
          </w:p>
        </w:tc>
        <w:tc>
          <w:tcPr>
            <w:tcW w:w="673" w:type="pct"/>
            <w:tcBorders>
              <w:right w:val="single" w:sz="4" w:space="0" w:color="auto"/>
            </w:tcBorders>
          </w:tcPr>
          <w:p w14:paraId="262D54B4" w14:textId="77777777" w:rsidR="00D958ED" w:rsidRPr="000F0299" w:rsidRDefault="00D958ED" w:rsidP="003C0DA1">
            <w:pPr>
              <w:suppressAutoHyphens w:val="0"/>
              <w:autoSpaceDN/>
              <w:spacing w:before="0"/>
              <w:ind w:firstLine="0"/>
              <w:jc w:val="center"/>
              <w:textAlignment w:val="auto"/>
              <w:rPr>
                <w:rFonts w:eastAsiaTheme="minorHAnsi"/>
                <w:bCs/>
                <w:kern w:val="0"/>
                <w:sz w:val="20"/>
                <w:szCs w:val="20"/>
                <w:lang w:eastAsia="en-US" w:bidi="ar-SA"/>
              </w:rPr>
            </w:pPr>
          </w:p>
        </w:tc>
      </w:tr>
      <w:tr w:rsidR="00D958ED" w:rsidRPr="000F0299" w14:paraId="73ED9B41" w14:textId="77777777" w:rsidTr="00834649">
        <w:tc>
          <w:tcPr>
            <w:tcW w:w="1626" w:type="pct"/>
            <w:tcBorders>
              <w:left w:val="single" w:sz="4" w:space="0" w:color="auto"/>
              <w:bottom w:val="single" w:sz="4" w:space="0" w:color="auto"/>
            </w:tcBorders>
            <w:shd w:val="clear" w:color="auto" w:fill="auto"/>
          </w:tcPr>
          <w:p w14:paraId="7DC80C1F" w14:textId="77777777" w:rsidR="00D958ED" w:rsidRPr="000F0299" w:rsidRDefault="00D958ED" w:rsidP="003C0DA1">
            <w:pPr>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Процена успешности:</w:t>
            </w:r>
          </w:p>
        </w:tc>
        <w:tc>
          <w:tcPr>
            <w:tcW w:w="3374" w:type="pct"/>
            <w:gridSpan w:val="7"/>
            <w:tcBorders>
              <w:bottom w:val="single" w:sz="4" w:space="0" w:color="auto"/>
              <w:right w:val="single" w:sz="4" w:space="0" w:color="auto"/>
            </w:tcBorders>
            <w:shd w:val="clear" w:color="auto" w:fill="auto"/>
          </w:tcPr>
          <w:p w14:paraId="7E85F3F9" w14:textId="77777777" w:rsidR="00D958ED" w:rsidRPr="000F0299" w:rsidRDefault="00D958ED" w:rsidP="003C0DA1">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Одступање реализоване од циљане стопе реалног раста БДП у износу до 0.8 процентних поена</w:t>
            </w:r>
          </w:p>
        </w:tc>
      </w:tr>
    </w:tbl>
    <w:p w14:paraId="65A62043" w14:textId="11195DA3" w:rsidR="00D958ED" w:rsidRPr="000F0299" w:rsidRDefault="001D7C64" w:rsidP="002309DC">
      <w:pPr>
        <w:ind w:firstLine="0"/>
        <w:rPr>
          <w:b/>
          <w:bCs/>
          <w:color w:val="2F5496" w:themeColor="accent1" w:themeShade="BF"/>
        </w:rPr>
      </w:pPr>
      <w:r w:rsidRPr="000F0299">
        <w:rPr>
          <w:b/>
          <w:bCs/>
          <w:color w:val="2F5496" w:themeColor="accent1" w:themeShade="BF"/>
        </w:rPr>
        <w:t>Показатељ 2</w:t>
      </w:r>
    </w:p>
    <w:tbl>
      <w:tblPr>
        <w:tblStyle w:val="TableGrid15"/>
        <w:tblW w:w="5000" w:type="pct"/>
        <w:tblInd w:w="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961"/>
        <w:gridCol w:w="1347"/>
        <w:gridCol w:w="1215"/>
        <w:gridCol w:w="605"/>
        <w:gridCol w:w="610"/>
        <w:gridCol w:w="1215"/>
        <w:gridCol w:w="1211"/>
      </w:tblGrid>
      <w:tr w:rsidR="00D958ED" w:rsidRPr="000F0299" w14:paraId="34EF956F" w14:textId="77777777" w:rsidTr="001D7C64">
        <w:tc>
          <w:tcPr>
            <w:tcW w:w="1615" w:type="pct"/>
            <w:tcBorders>
              <w:top w:val="single" w:sz="4" w:space="0" w:color="auto"/>
            </w:tcBorders>
            <w:shd w:val="clear" w:color="auto" w:fill="839DCC"/>
            <w:vAlign w:val="center"/>
          </w:tcPr>
          <w:p w14:paraId="31308D79" w14:textId="1531DD55" w:rsidR="00D958ED" w:rsidRPr="000F0299" w:rsidRDefault="00D958ED"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Назив индикатора</w:t>
            </w:r>
          </w:p>
        </w:tc>
        <w:tc>
          <w:tcPr>
            <w:tcW w:w="3385" w:type="pct"/>
            <w:gridSpan w:val="6"/>
            <w:tcBorders>
              <w:top w:val="single" w:sz="4" w:space="0" w:color="auto"/>
              <w:right w:val="single" w:sz="4" w:space="0" w:color="auto"/>
            </w:tcBorders>
            <w:shd w:val="clear" w:color="auto" w:fill="839DCC"/>
            <w:vAlign w:val="center"/>
          </w:tcPr>
          <w:p w14:paraId="2EB01A59" w14:textId="77777777" w:rsidR="00D958ED" w:rsidRPr="000F0299" w:rsidRDefault="00D958ED" w:rsidP="00B426A0">
            <w:pPr>
              <w:tabs>
                <w:tab w:val="right" w:pos="2140"/>
              </w:tabs>
              <w:suppressAutoHyphens w:val="0"/>
              <w:autoSpaceDN/>
              <w:spacing w:before="0"/>
              <w:ind w:firstLine="0"/>
              <w:jc w:val="left"/>
              <w:textAlignment w:val="auto"/>
              <w:rPr>
                <w:rFonts w:eastAsiaTheme="minorHAnsi"/>
                <w:b/>
                <w:i/>
                <w:kern w:val="0"/>
                <w:sz w:val="20"/>
                <w:szCs w:val="20"/>
                <w:lang w:eastAsia="en-US" w:bidi="ar-SA"/>
              </w:rPr>
            </w:pPr>
            <w:r w:rsidRPr="000F0299">
              <w:rPr>
                <w:rFonts w:eastAsiaTheme="minorHAnsi"/>
                <w:b/>
                <w:kern w:val="0"/>
                <w:sz w:val="20"/>
                <w:szCs w:val="20"/>
                <w:lang w:eastAsia="en-US" w:bidi="ar-SA"/>
              </w:rPr>
              <w:t>Учешће дуга опште државе у БДП</w:t>
            </w:r>
          </w:p>
        </w:tc>
      </w:tr>
      <w:tr w:rsidR="00D958ED" w:rsidRPr="000F0299" w14:paraId="1F2483FE" w14:textId="77777777" w:rsidTr="00834649">
        <w:tc>
          <w:tcPr>
            <w:tcW w:w="1615" w:type="pct"/>
            <w:tcBorders>
              <w:left w:val="single" w:sz="4" w:space="0" w:color="auto"/>
            </w:tcBorders>
            <w:shd w:val="clear" w:color="auto" w:fill="auto"/>
          </w:tcPr>
          <w:p w14:paraId="664499A4" w14:textId="77777777" w:rsidR="00D958ED" w:rsidRPr="000F0299" w:rsidRDefault="00D958ED"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Посебан циљ</w:t>
            </w:r>
          </w:p>
        </w:tc>
        <w:tc>
          <w:tcPr>
            <w:tcW w:w="3385" w:type="pct"/>
            <w:gridSpan w:val="6"/>
            <w:tcBorders>
              <w:right w:val="single" w:sz="4" w:space="0" w:color="auto"/>
            </w:tcBorders>
            <w:shd w:val="clear" w:color="auto" w:fill="auto"/>
          </w:tcPr>
          <w:p w14:paraId="70C70C01" w14:textId="3F40F6D4" w:rsidR="00D958ED" w:rsidRPr="000F0299" w:rsidRDefault="001B2E03" w:rsidP="00B426A0">
            <w:pPr>
              <w:tabs>
                <w:tab w:val="right" w:pos="2140"/>
              </w:tabs>
              <w:suppressAutoHyphens w:val="0"/>
              <w:autoSpaceDN/>
              <w:spacing w:before="0"/>
              <w:ind w:firstLine="0"/>
              <w:textAlignment w:val="auto"/>
              <w:rPr>
                <w:rFonts w:eastAsiaTheme="minorHAnsi"/>
                <w:kern w:val="0"/>
                <w:sz w:val="20"/>
                <w:szCs w:val="20"/>
                <w:lang w:eastAsia="en-US" w:bidi="ar-SA"/>
              </w:rPr>
            </w:pPr>
            <w:r w:rsidRPr="001B2E03">
              <w:rPr>
                <w:rFonts w:eastAsiaTheme="minorHAnsi"/>
                <w:b/>
                <w:kern w:val="0"/>
                <w:sz w:val="20"/>
                <w:szCs w:val="20"/>
                <w:lang w:eastAsia="en-US" w:bidi="ar-SA"/>
              </w:rPr>
              <w:t>Посебан</w:t>
            </w:r>
            <w:r w:rsidR="006873CC" w:rsidRPr="001B2E03">
              <w:rPr>
                <w:rFonts w:eastAsiaTheme="minorHAnsi"/>
                <w:b/>
                <w:kern w:val="0"/>
                <w:sz w:val="20"/>
                <w:szCs w:val="20"/>
                <w:lang w:eastAsia="en-US" w:bidi="ar-SA"/>
              </w:rPr>
              <w:t xml:space="preserve"> циљ 5.1</w:t>
            </w:r>
            <w:r w:rsidR="006873CC" w:rsidRPr="000F0299">
              <w:rPr>
                <w:rFonts w:eastAsiaTheme="minorHAnsi"/>
                <w:bCs/>
                <w:kern w:val="0"/>
                <w:sz w:val="20"/>
                <w:szCs w:val="20"/>
                <w:lang w:eastAsia="en-US" w:bidi="ar-SA"/>
              </w:rPr>
              <w:t xml:space="preserve">: </w:t>
            </w:r>
            <w:r w:rsidR="00D958ED" w:rsidRPr="000F0299">
              <w:rPr>
                <w:rFonts w:eastAsiaTheme="minorHAnsi"/>
                <w:bCs/>
                <w:kern w:val="0"/>
                <w:sz w:val="20"/>
                <w:szCs w:val="20"/>
                <w:lang w:eastAsia="en-US" w:bidi="ar-SA"/>
              </w:rPr>
              <w:t xml:space="preserve">Остваривање одрживог буџета са стабилним јавним дугом у односу на БДП уз помоћ бољег финансијског управљања и контроле, процеса ревизије и </w:t>
            </w:r>
            <w:r w:rsidRPr="000F0299">
              <w:rPr>
                <w:rFonts w:eastAsiaTheme="minorHAnsi"/>
                <w:bCs/>
                <w:kern w:val="0"/>
                <w:sz w:val="20"/>
                <w:szCs w:val="20"/>
                <w:lang w:eastAsia="en-US" w:bidi="ar-SA"/>
              </w:rPr>
              <w:t>повезивања</w:t>
            </w:r>
            <w:r w:rsidR="00D958ED" w:rsidRPr="000F0299">
              <w:rPr>
                <w:rFonts w:eastAsiaTheme="minorHAnsi"/>
                <w:bCs/>
                <w:kern w:val="0"/>
                <w:sz w:val="20"/>
                <w:szCs w:val="20"/>
                <w:lang w:eastAsia="en-US" w:bidi="ar-SA"/>
              </w:rPr>
              <w:t xml:space="preserve"> буџетског планирања са политикама и приоритетима Владе.</w:t>
            </w:r>
          </w:p>
        </w:tc>
      </w:tr>
      <w:tr w:rsidR="00D958ED" w:rsidRPr="000F0299" w14:paraId="7C9ED810" w14:textId="77777777" w:rsidTr="00834649">
        <w:tc>
          <w:tcPr>
            <w:tcW w:w="1615" w:type="pct"/>
            <w:tcBorders>
              <w:left w:val="single" w:sz="4" w:space="0" w:color="auto"/>
            </w:tcBorders>
            <w:shd w:val="clear" w:color="auto" w:fill="auto"/>
          </w:tcPr>
          <w:p w14:paraId="56E8640A" w14:textId="77777777" w:rsidR="00D958ED" w:rsidRPr="000F0299" w:rsidRDefault="00D958ED"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 xml:space="preserve">Тип индикатора </w:t>
            </w:r>
          </w:p>
        </w:tc>
        <w:tc>
          <w:tcPr>
            <w:tcW w:w="3385" w:type="pct"/>
            <w:gridSpan w:val="6"/>
            <w:tcBorders>
              <w:right w:val="single" w:sz="4" w:space="0" w:color="auto"/>
            </w:tcBorders>
            <w:shd w:val="clear" w:color="auto" w:fill="auto"/>
          </w:tcPr>
          <w:p w14:paraId="2C52B963" w14:textId="77777777" w:rsidR="00D958ED" w:rsidRPr="000F0299" w:rsidRDefault="00D958ED" w:rsidP="00B426A0">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kern w:val="0"/>
                <w:sz w:val="20"/>
                <w:szCs w:val="20"/>
                <w:lang w:eastAsia="en-US" w:bidi="ar-SA"/>
              </w:rPr>
              <w:t>Квантитативни, показатељ исхода</w:t>
            </w:r>
          </w:p>
        </w:tc>
      </w:tr>
      <w:tr w:rsidR="00D958ED" w:rsidRPr="000F0299" w14:paraId="7525613A" w14:textId="77777777" w:rsidTr="00834649">
        <w:tc>
          <w:tcPr>
            <w:tcW w:w="1615" w:type="pct"/>
            <w:tcBorders>
              <w:left w:val="single" w:sz="4" w:space="0" w:color="auto"/>
            </w:tcBorders>
            <w:shd w:val="clear" w:color="auto" w:fill="auto"/>
          </w:tcPr>
          <w:p w14:paraId="74D3DA7E" w14:textId="77777777" w:rsidR="00D958ED" w:rsidRPr="000F0299" w:rsidRDefault="00D958ED"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Јединица мере и природа</w:t>
            </w:r>
          </w:p>
        </w:tc>
        <w:tc>
          <w:tcPr>
            <w:tcW w:w="3385" w:type="pct"/>
            <w:gridSpan w:val="6"/>
            <w:tcBorders>
              <w:right w:val="single" w:sz="4" w:space="0" w:color="auto"/>
            </w:tcBorders>
            <w:shd w:val="clear" w:color="auto" w:fill="auto"/>
          </w:tcPr>
          <w:p w14:paraId="7E71F733" w14:textId="77777777" w:rsidR="00D958ED" w:rsidRPr="000F0299" w:rsidRDefault="00D958ED" w:rsidP="00B426A0">
            <w:pPr>
              <w:tabs>
                <w:tab w:val="right" w:pos="2140"/>
              </w:tabs>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Проценат, нижа вредност је пожељна</w:t>
            </w:r>
          </w:p>
        </w:tc>
      </w:tr>
      <w:tr w:rsidR="00D958ED" w:rsidRPr="000F0299" w14:paraId="205F40D7" w14:textId="77777777" w:rsidTr="00834649">
        <w:tc>
          <w:tcPr>
            <w:tcW w:w="1615" w:type="pct"/>
            <w:tcBorders>
              <w:left w:val="single" w:sz="4" w:space="0" w:color="auto"/>
              <w:bottom w:val="single" w:sz="4" w:space="0" w:color="auto"/>
            </w:tcBorders>
            <w:shd w:val="clear" w:color="auto" w:fill="auto"/>
          </w:tcPr>
          <w:p w14:paraId="360FD818" w14:textId="77777777" w:rsidR="00D958ED" w:rsidRPr="000F0299" w:rsidRDefault="00D958ED"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Извор података</w:t>
            </w:r>
          </w:p>
        </w:tc>
        <w:tc>
          <w:tcPr>
            <w:tcW w:w="3385" w:type="pct"/>
            <w:gridSpan w:val="6"/>
            <w:tcBorders>
              <w:bottom w:val="single" w:sz="4" w:space="0" w:color="auto"/>
              <w:right w:val="single" w:sz="4" w:space="0" w:color="auto"/>
            </w:tcBorders>
            <w:shd w:val="clear" w:color="auto" w:fill="auto"/>
          </w:tcPr>
          <w:p w14:paraId="18E1EB76" w14:textId="77777777" w:rsidR="00D958ED" w:rsidRPr="000F0299" w:rsidRDefault="00D958ED" w:rsidP="00B426A0">
            <w:pPr>
              <w:tabs>
                <w:tab w:val="right" w:pos="2140"/>
              </w:tabs>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Управа за јавни дуг, Министарство финансија</w:t>
            </w:r>
          </w:p>
          <w:p w14:paraId="2E12C012" w14:textId="77777777" w:rsidR="00D958ED" w:rsidRPr="000F0299" w:rsidRDefault="00F47F65" w:rsidP="00B426A0">
            <w:pPr>
              <w:tabs>
                <w:tab w:val="right" w:pos="2140"/>
              </w:tabs>
              <w:suppressAutoHyphens w:val="0"/>
              <w:autoSpaceDN/>
              <w:spacing w:before="0"/>
              <w:ind w:firstLine="0"/>
              <w:textAlignment w:val="auto"/>
              <w:rPr>
                <w:rFonts w:eastAsiaTheme="minorHAnsi"/>
                <w:kern w:val="0"/>
                <w:sz w:val="20"/>
                <w:szCs w:val="20"/>
                <w:lang w:eastAsia="en-US" w:bidi="ar-SA"/>
              </w:rPr>
            </w:pPr>
            <w:hyperlink r:id="rId217" w:history="1">
              <w:r w:rsidR="00D958ED" w:rsidRPr="000F0299">
                <w:rPr>
                  <w:rFonts w:eastAsiaTheme="minorHAnsi"/>
                  <w:color w:val="0563C1" w:themeColor="hyperlink"/>
                  <w:kern w:val="0"/>
                  <w:sz w:val="20"/>
                  <w:szCs w:val="20"/>
                  <w:u w:val="single"/>
                  <w:lang w:eastAsia="en-US" w:bidi="ar-SA"/>
                </w:rPr>
                <w:t>http://www.javnidug.gov.rs/default.asp?P=128&amp;MenuItem=4</w:t>
              </w:r>
            </w:hyperlink>
          </w:p>
        </w:tc>
      </w:tr>
      <w:tr w:rsidR="00D958ED" w:rsidRPr="000F0299" w14:paraId="6FC04244" w14:textId="77777777" w:rsidTr="00834649">
        <w:tc>
          <w:tcPr>
            <w:tcW w:w="1615" w:type="pct"/>
            <w:tcBorders>
              <w:left w:val="single" w:sz="4" w:space="0" w:color="auto"/>
              <w:bottom w:val="single" w:sz="4" w:space="0" w:color="auto"/>
            </w:tcBorders>
            <w:shd w:val="clear" w:color="auto" w:fill="auto"/>
          </w:tcPr>
          <w:p w14:paraId="01474AD5" w14:textId="77777777" w:rsidR="00D958ED" w:rsidRPr="000F0299" w:rsidRDefault="00D958ED"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3385" w:type="pct"/>
            <w:gridSpan w:val="6"/>
            <w:tcBorders>
              <w:bottom w:val="single" w:sz="4" w:space="0" w:color="auto"/>
              <w:right w:val="single" w:sz="4" w:space="0" w:color="auto"/>
            </w:tcBorders>
            <w:shd w:val="clear" w:color="auto" w:fill="auto"/>
          </w:tcPr>
          <w:p w14:paraId="270E6EE0" w14:textId="3F9D5D62" w:rsidR="00D958ED" w:rsidRPr="000F0299" w:rsidRDefault="00D958ED" w:rsidP="00B426A0">
            <w:pPr>
              <w:tabs>
                <w:tab w:val="right" w:pos="2140"/>
              </w:tabs>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Министа</w:t>
            </w:r>
            <w:r w:rsidR="0003570C">
              <w:rPr>
                <w:rFonts w:eastAsiaTheme="minorHAnsi"/>
                <w:kern w:val="0"/>
                <w:sz w:val="20"/>
                <w:szCs w:val="20"/>
                <w:lang w:eastAsia="en-US" w:bidi="ar-SA"/>
              </w:rPr>
              <w:t>рство финансија</w:t>
            </w:r>
          </w:p>
        </w:tc>
      </w:tr>
      <w:tr w:rsidR="00D958ED" w:rsidRPr="000F0299" w14:paraId="15A60403" w14:textId="77777777" w:rsidTr="00834649">
        <w:tc>
          <w:tcPr>
            <w:tcW w:w="1615" w:type="pct"/>
            <w:tcBorders>
              <w:top w:val="single" w:sz="4" w:space="0" w:color="auto"/>
              <w:left w:val="single" w:sz="4" w:space="0" w:color="auto"/>
            </w:tcBorders>
            <w:shd w:val="clear" w:color="auto" w:fill="auto"/>
          </w:tcPr>
          <w:p w14:paraId="3DBB2D91" w14:textId="77777777" w:rsidR="00D958ED" w:rsidRPr="000F0299" w:rsidRDefault="00D958ED"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Учесталост</w:t>
            </w:r>
          </w:p>
        </w:tc>
        <w:tc>
          <w:tcPr>
            <w:tcW w:w="3385" w:type="pct"/>
            <w:gridSpan w:val="6"/>
            <w:tcBorders>
              <w:top w:val="single" w:sz="4" w:space="0" w:color="auto"/>
              <w:right w:val="single" w:sz="4" w:space="0" w:color="auto"/>
            </w:tcBorders>
            <w:shd w:val="clear" w:color="auto" w:fill="auto"/>
          </w:tcPr>
          <w:p w14:paraId="50CFE379" w14:textId="77777777" w:rsidR="00D958ED" w:rsidRPr="000F0299" w:rsidRDefault="00D958ED" w:rsidP="003C0DA1">
            <w:pPr>
              <w:tabs>
                <w:tab w:val="right" w:pos="2140"/>
              </w:tabs>
              <w:suppressAutoHyphens w:val="0"/>
              <w:autoSpaceDN/>
              <w:spacing w:before="0"/>
              <w:ind w:firstLine="0"/>
              <w:textAlignment w:val="auto"/>
              <w:rPr>
                <w:rFonts w:eastAsiaTheme="minorHAnsi"/>
                <w:spacing w:val="-1"/>
                <w:kern w:val="0"/>
                <w:sz w:val="20"/>
                <w:szCs w:val="20"/>
                <w:lang w:eastAsia="en-US" w:bidi="ar-SA"/>
              </w:rPr>
            </w:pPr>
            <w:r w:rsidRPr="000F0299">
              <w:rPr>
                <w:rFonts w:eastAsiaTheme="minorHAnsi"/>
                <w:spacing w:val="-1"/>
                <w:kern w:val="0"/>
                <w:sz w:val="20"/>
                <w:szCs w:val="20"/>
                <w:lang w:eastAsia="en-US" w:bidi="ar-SA"/>
              </w:rPr>
              <w:t>Квартална, годишња</w:t>
            </w:r>
          </w:p>
          <w:p w14:paraId="525683F4" w14:textId="77777777" w:rsidR="00D958ED" w:rsidRPr="000F0299" w:rsidRDefault="00D958ED" w:rsidP="003C0DA1">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Процена кварталне вредности показатеља се објављује у текућем кварталу за претходни квартал.</w:t>
            </w:r>
          </w:p>
          <w:p w14:paraId="5C11102A" w14:textId="77777777" w:rsidR="00D958ED" w:rsidRPr="000F0299" w:rsidRDefault="00D958ED" w:rsidP="003C0DA1">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kern w:val="0"/>
                <w:sz w:val="20"/>
                <w:szCs w:val="20"/>
                <w:lang w:eastAsia="en-US" w:bidi="ar-SA"/>
              </w:rPr>
              <w:t>Годишња вредност показатеља одговара кварталној вредности за четврти квартал.</w:t>
            </w:r>
          </w:p>
        </w:tc>
      </w:tr>
      <w:tr w:rsidR="00D958ED" w:rsidRPr="000F0299" w14:paraId="7F7D1B66" w14:textId="77777777" w:rsidTr="00834649">
        <w:tc>
          <w:tcPr>
            <w:tcW w:w="1615" w:type="pct"/>
            <w:tcBorders>
              <w:left w:val="single" w:sz="4" w:space="0" w:color="auto"/>
            </w:tcBorders>
            <w:shd w:val="clear" w:color="auto" w:fill="auto"/>
          </w:tcPr>
          <w:p w14:paraId="1CF49805" w14:textId="77777777" w:rsidR="00D958ED" w:rsidRPr="000F0299" w:rsidRDefault="00D958ED" w:rsidP="003C0DA1">
            <w:pPr>
              <w:tabs>
                <w:tab w:val="right" w:pos="2140"/>
              </w:tabs>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Кратак опис методологије:</w:t>
            </w:r>
          </w:p>
        </w:tc>
        <w:tc>
          <w:tcPr>
            <w:tcW w:w="3385" w:type="pct"/>
            <w:gridSpan w:val="6"/>
            <w:tcBorders>
              <w:right w:val="single" w:sz="4" w:space="0" w:color="auto"/>
            </w:tcBorders>
            <w:shd w:val="clear" w:color="auto" w:fill="auto"/>
          </w:tcPr>
          <w:p w14:paraId="6E78C2BE" w14:textId="77777777" w:rsidR="00D958ED" w:rsidRPr="000F0299" w:rsidRDefault="00D958ED" w:rsidP="003C0DA1">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Учешће дуга опште државе у БДП се израчунава као однос номиналне вредности дуга општег нивоа државе и номиналне вредности бруто домаћег производа (изражено у %).</w:t>
            </w:r>
          </w:p>
          <w:p w14:paraId="4115E19D" w14:textId="77777777" w:rsidR="00D958ED" w:rsidRPr="000F0299" w:rsidRDefault="00D958ED" w:rsidP="003C0DA1">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По Закону о буџетском систему, дуг општег нивоа државе обухвата директни дуг општег нивоа државе и издате гаранције општег нивоа државе (индиректни дуг), према домаћим и страним повериоцима.</w:t>
            </w:r>
          </w:p>
        </w:tc>
      </w:tr>
      <w:tr w:rsidR="00D958ED" w:rsidRPr="000F0299" w14:paraId="4C0C5928" w14:textId="77777777" w:rsidTr="00834649">
        <w:tc>
          <w:tcPr>
            <w:tcW w:w="1615" w:type="pct"/>
            <w:tcBorders>
              <w:left w:val="single" w:sz="4" w:space="0" w:color="auto"/>
            </w:tcBorders>
            <w:shd w:val="clear" w:color="auto" w:fill="auto"/>
          </w:tcPr>
          <w:p w14:paraId="7D911050" w14:textId="77777777" w:rsidR="00D958ED" w:rsidRPr="000F0299" w:rsidRDefault="00D958ED" w:rsidP="003C0DA1">
            <w:pPr>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Напомене</w:t>
            </w:r>
          </w:p>
        </w:tc>
        <w:tc>
          <w:tcPr>
            <w:tcW w:w="3385" w:type="pct"/>
            <w:gridSpan w:val="6"/>
            <w:shd w:val="clear" w:color="auto" w:fill="auto"/>
          </w:tcPr>
          <w:p w14:paraId="412BBB6F" w14:textId="77777777" w:rsidR="00D958ED" w:rsidRPr="000F0299" w:rsidRDefault="00D958ED" w:rsidP="003C0DA1">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Дуг опште државе се алтернативно може рачунати по методологији ЕУ – Мастрихтска дефиниција.</w:t>
            </w:r>
          </w:p>
          <w:p w14:paraId="45C25A3B" w14:textId="77777777" w:rsidR="00D958ED" w:rsidRPr="000F0299" w:rsidRDefault="00D958ED" w:rsidP="003C0DA1">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kern w:val="0"/>
                <w:sz w:val="20"/>
                <w:szCs w:val="20"/>
                <w:lang w:eastAsia="en-US" w:bidi="ar-SA"/>
              </w:rPr>
              <w:t>Управа за јавни дуг паралелно обрачунава и објављује податке о уделу дуга опште државе у БДП на основу ЕУ и ЗБС дефиниције.</w:t>
            </w:r>
          </w:p>
        </w:tc>
      </w:tr>
      <w:tr w:rsidR="00D958ED" w:rsidRPr="000F0299" w14:paraId="4F50F21B" w14:textId="77777777" w:rsidTr="00834649">
        <w:tc>
          <w:tcPr>
            <w:tcW w:w="1615" w:type="pct"/>
            <w:vMerge w:val="restart"/>
            <w:tcBorders>
              <w:left w:val="single" w:sz="4" w:space="0" w:color="auto"/>
            </w:tcBorders>
            <w:shd w:val="clear" w:color="auto" w:fill="auto"/>
          </w:tcPr>
          <w:p w14:paraId="10C53790" w14:textId="77777777" w:rsidR="00D958ED" w:rsidRPr="000F0299" w:rsidRDefault="00D958ED" w:rsidP="003C0DA1">
            <w:pPr>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 xml:space="preserve">Полазна вредност </w:t>
            </w:r>
          </w:p>
        </w:tc>
        <w:tc>
          <w:tcPr>
            <w:tcW w:w="1728" w:type="pct"/>
            <w:gridSpan w:val="3"/>
            <w:shd w:val="clear" w:color="auto" w:fill="auto"/>
          </w:tcPr>
          <w:p w14:paraId="78F15598" w14:textId="77777777" w:rsidR="00D958ED" w:rsidRPr="000F0299" w:rsidRDefault="00D958ED" w:rsidP="00B426A0">
            <w:pPr>
              <w:tabs>
                <w:tab w:val="right" w:pos="2140"/>
              </w:tabs>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2018</w:t>
            </w:r>
          </w:p>
        </w:tc>
        <w:tc>
          <w:tcPr>
            <w:tcW w:w="1657" w:type="pct"/>
            <w:gridSpan w:val="3"/>
            <w:shd w:val="clear" w:color="auto" w:fill="auto"/>
          </w:tcPr>
          <w:p w14:paraId="5D6D9098" w14:textId="77777777" w:rsidR="00D958ED" w:rsidRPr="000F0299" w:rsidRDefault="00D958ED" w:rsidP="00B426A0">
            <w:pPr>
              <w:tabs>
                <w:tab w:val="right" w:pos="2140"/>
              </w:tabs>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2019</w:t>
            </w:r>
          </w:p>
        </w:tc>
      </w:tr>
      <w:tr w:rsidR="00D958ED" w:rsidRPr="000F0299" w14:paraId="6094CBFB" w14:textId="77777777" w:rsidTr="00834649">
        <w:tc>
          <w:tcPr>
            <w:tcW w:w="1615" w:type="pct"/>
            <w:vMerge/>
            <w:tcBorders>
              <w:left w:val="single" w:sz="4" w:space="0" w:color="auto"/>
            </w:tcBorders>
            <w:shd w:val="clear" w:color="auto" w:fill="auto"/>
          </w:tcPr>
          <w:p w14:paraId="6F64DC4F" w14:textId="77777777" w:rsidR="00D958ED" w:rsidRPr="000F0299" w:rsidRDefault="00D958ED" w:rsidP="003C0DA1">
            <w:pPr>
              <w:suppressAutoHyphens w:val="0"/>
              <w:autoSpaceDN/>
              <w:spacing w:before="0"/>
              <w:ind w:firstLine="0"/>
              <w:textAlignment w:val="auto"/>
              <w:rPr>
                <w:rFonts w:eastAsiaTheme="minorHAnsi"/>
                <w:b/>
                <w:kern w:val="0"/>
                <w:sz w:val="20"/>
                <w:szCs w:val="20"/>
                <w:lang w:eastAsia="en-US" w:bidi="ar-SA"/>
              </w:rPr>
            </w:pPr>
          </w:p>
        </w:tc>
        <w:tc>
          <w:tcPr>
            <w:tcW w:w="1728" w:type="pct"/>
            <w:gridSpan w:val="3"/>
            <w:shd w:val="clear" w:color="auto" w:fill="auto"/>
          </w:tcPr>
          <w:p w14:paraId="0B64AF20" w14:textId="77777777" w:rsidR="00D958ED" w:rsidRPr="000F0299" w:rsidRDefault="00D958ED" w:rsidP="00B426A0">
            <w:pPr>
              <w:tabs>
                <w:tab w:val="right" w:pos="2140"/>
              </w:tabs>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54.4%</w:t>
            </w:r>
          </w:p>
        </w:tc>
        <w:tc>
          <w:tcPr>
            <w:tcW w:w="1657" w:type="pct"/>
            <w:gridSpan w:val="3"/>
            <w:shd w:val="clear" w:color="auto" w:fill="auto"/>
          </w:tcPr>
          <w:p w14:paraId="309F0BCF" w14:textId="77777777" w:rsidR="00D958ED" w:rsidRPr="000F0299" w:rsidRDefault="00D958ED" w:rsidP="00B426A0">
            <w:pPr>
              <w:tabs>
                <w:tab w:val="right" w:pos="2140"/>
              </w:tabs>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52.9%</w:t>
            </w:r>
          </w:p>
        </w:tc>
      </w:tr>
      <w:tr w:rsidR="00D958ED" w:rsidRPr="000F0299" w14:paraId="2BE9AFC3" w14:textId="77777777" w:rsidTr="00834649">
        <w:tc>
          <w:tcPr>
            <w:tcW w:w="1615" w:type="pct"/>
            <w:vMerge w:val="restart"/>
            <w:tcBorders>
              <w:left w:val="single" w:sz="4" w:space="0" w:color="auto"/>
            </w:tcBorders>
            <w:shd w:val="clear" w:color="auto" w:fill="auto"/>
          </w:tcPr>
          <w:p w14:paraId="47623679" w14:textId="77777777" w:rsidR="00D958ED" w:rsidRPr="000F0299" w:rsidRDefault="00D958ED" w:rsidP="003C0DA1">
            <w:pPr>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Циљана вредност</w:t>
            </w:r>
          </w:p>
        </w:tc>
        <w:tc>
          <w:tcPr>
            <w:tcW w:w="735" w:type="pct"/>
            <w:shd w:val="clear" w:color="auto" w:fill="auto"/>
          </w:tcPr>
          <w:p w14:paraId="1DD09514" w14:textId="77777777" w:rsidR="00D958ED" w:rsidRPr="000F0299" w:rsidRDefault="00D958ED" w:rsidP="00B426A0">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2020</w:t>
            </w:r>
          </w:p>
        </w:tc>
        <w:tc>
          <w:tcPr>
            <w:tcW w:w="663" w:type="pct"/>
            <w:shd w:val="clear" w:color="auto" w:fill="auto"/>
          </w:tcPr>
          <w:p w14:paraId="65F3E0ED" w14:textId="77777777" w:rsidR="00D958ED" w:rsidRPr="000F0299" w:rsidRDefault="00D958ED" w:rsidP="00B426A0">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2023</w:t>
            </w:r>
          </w:p>
        </w:tc>
        <w:tc>
          <w:tcPr>
            <w:tcW w:w="663" w:type="pct"/>
            <w:gridSpan w:val="2"/>
            <w:shd w:val="clear" w:color="auto" w:fill="auto"/>
          </w:tcPr>
          <w:p w14:paraId="5808DAEF" w14:textId="77777777" w:rsidR="00D958ED" w:rsidRPr="000F0299" w:rsidRDefault="00D958ED" w:rsidP="00B426A0">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2025</w:t>
            </w:r>
          </w:p>
        </w:tc>
        <w:tc>
          <w:tcPr>
            <w:tcW w:w="663" w:type="pct"/>
            <w:shd w:val="clear" w:color="auto" w:fill="auto"/>
          </w:tcPr>
          <w:p w14:paraId="66C3DFCF" w14:textId="77777777" w:rsidR="00D958ED" w:rsidRPr="000F0299" w:rsidRDefault="00D958ED" w:rsidP="00B426A0">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2027</w:t>
            </w:r>
          </w:p>
        </w:tc>
        <w:tc>
          <w:tcPr>
            <w:tcW w:w="661" w:type="pct"/>
            <w:shd w:val="clear" w:color="auto" w:fill="auto"/>
          </w:tcPr>
          <w:p w14:paraId="036DF201" w14:textId="77777777" w:rsidR="00D958ED" w:rsidRPr="000F0299" w:rsidRDefault="00D958ED" w:rsidP="00B426A0">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2030</w:t>
            </w:r>
          </w:p>
        </w:tc>
      </w:tr>
      <w:tr w:rsidR="00D958ED" w:rsidRPr="000F0299" w14:paraId="5DA38FA6" w14:textId="77777777" w:rsidTr="00834649">
        <w:tc>
          <w:tcPr>
            <w:tcW w:w="1615" w:type="pct"/>
            <w:vMerge/>
            <w:tcBorders>
              <w:left w:val="single" w:sz="4" w:space="0" w:color="auto"/>
            </w:tcBorders>
            <w:shd w:val="clear" w:color="auto" w:fill="auto"/>
          </w:tcPr>
          <w:p w14:paraId="3F088370" w14:textId="77777777" w:rsidR="00D958ED" w:rsidRPr="000F0299" w:rsidRDefault="00D958ED" w:rsidP="003C0DA1">
            <w:pPr>
              <w:suppressAutoHyphens w:val="0"/>
              <w:autoSpaceDN/>
              <w:spacing w:before="0"/>
              <w:ind w:firstLine="0"/>
              <w:textAlignment w:val="auto"/>
              <w:rPr>
                <w:rFonts w:eastAsiaTheme="minorHAnsi"/>
                <w:b/>
                <w:kern w:val="0"/>
                <w:sz w:val="20"/>
                <w:szCs w:val="20"/>
                <w:lang w:eastAsia="en-US" w:bidi="ar-SA"/>
              </w:rPr>
            </w:pPr>
          </w:p>
        </w:tc>
        <w:tc>
          <w:tcPr>
            <w:tcW w:w="735" w:type="pct"/>
            <w:shd w:val="clear" w:color="auto" w:fill="auto"/>
          </w:tcPr>
          <w:p w14:paraId="44A730FC" w14:textId="77777777" w:rsidR="00D958ED" w:rsidRPr="000F0299" w:rsidRDefault="00D958ED" w:rsidP="00B426A0">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59.5%</w:t>
            </w:r>
          </w:p>
        </w:tc>
        <w:tc>
          <w:tcPr>
            <w:tcW w:w="663" w:type="pct"/>
            <w:shd w:val="clear" w:color="auto" w:fill="auto"/>
          </w:tcPr>
          <w:p w14:paraId="5D0F1075" w14:textId="77777777" w:rsidR="00D958ED" w:rsidRPr="000F0299" w:rsidRDefault="00D958ED" w:rsidP="00B426A0">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56.0%</w:t>
            </w:r>
          </w:p>
        </w:tc>
        <w:tc>
          <w:tcPr>
            <w:tcW w:w="663" w:type="pct"/>
            <w:gridSpan w:val="2"/>
            <w:shd w:val="clear" w:color="auto" w:fill="auto"/>
          </w:tcPr>
          <w:p w14:paraId="25F73B56" w14:textId="77777777" w:rsidR="00D958ED" w:rsidRPr="000F0299" w:rsidRDefault="00D958ED" w:rsidP="00B426A0">
            <w:pPr>
              <w:suppressAutoHyphens w:val="0"/>
              <w:autoSpaceDN/>
              <w:spacing w:before="0"/>
              <w:ind w:firstLine="0"/>
              <w:jc w:val="center"/>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52.0%</w:t>
            </w:r>
          </w:p>
        </w:tc>
        <w:tc>
          <w:tcPr>
            <w:tcW w:w="663" w:type="pct"/>
            <w:shd w:val="clear" w:color="auto" w:fill="auto"/>
          </w:tcPr>
          <w:p w14:paraId="18AC1C20" w14:textId="77777777" w:rsidR="00D958ED" w:rsidRPr="000F0299" w:rsidRDefault="00D958ED" w:rsidP="00B426A0">
            <w:pPr>
              <w:suppressAutoHyphens w:val="0"/>
              <w:autoSpaceDN/>
              <w:spacing w:before="0"/>
              <w:ind w:firstLine="0"/>
              <w:jc w:val="center"/>
              <w:textAlignment w:val="auto"/>
              <w:rPr>
                <w:rFonts w:eastAsiaTheme="minorHAnsi"/>
                <w:bCs/>
                <w:kern w:val="0"/>
                <w:sz w:val="20"/>
                <w:szCs w:val="20"/>
                <w:lang w:eastAsia="en-US" w:bidi="ar-SA"/>
              </w:rPr>
            </w:pPr>
          </w:p>
        </w:tc>
        <w:tc>
          <w:tcPr>
            <w:tcW w:w="661" w:type="pct"/>
            <w:shd w:val="clear" w:color="auto" w:fill="auto"/>
          </w:tcPr>
          <w:p w14:paraId="1DBFAED9" w14:textId="77777777" w:rsidR="00D958ED" w:rsidRPr="000F0299" w:rsidRDefault="00D958ED" w:rsidP="00B426A0">
            <w:pPr>
              <w:suppressAutoHyphens w:val="0"/>
              <w:autoSpaceDN/>
              <w:spacing w:before="0"/>
              <w:ind w:firstLine="0"/>
              <w:jc w:val="center"/>
              <w:textAlignment w:val="auto"/>
              <w:rPr>
                <w:rFonts w:eastAsiaTheme="minorHAnsi"/>
                <w:bCs/>
                <w:kern w:val="0"/>
                <w:sz w:val="20"/>
                <w:szCs w:val="20"/>
                <w:lang w:eastAsia="en-US" w:bidi="ar-SA"/>
              </w:rPr>
            </w:pPr>
          </w:p>
        </w:tc>
      </w:tr>
      <w:tr w:rsidR="00D958ED" w:rsidRPr="000F0299" w14:paraId="33508560" w14:textId="77777777" w:rsidTr="00834649">
        <w:tc>
          <w:tcPr>
            <w:tcW w:w="1615" w:type="pct"/>
            <w:tcBorders>
              <w:left w:val="single" w:sz="4" w:space="0" w:color="auto"/>
              <w:bottom w:val="single" w:sz="4" w:space="0" w:color="auto"/>
            </w:tcBorders>
            <w:shd w:val="clear" w:color="auto" w:fill="auto"/>
          </w:tcPr>
          <w:p w14:paraId="66CAC4D2" w14:textId="77777777" w:rsidR="00D958ED" w:rsidRPr="000F0299" w:rsidRDefault="00D958ED" w:rsidP="003C0DA1">
            <w:pPr>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Процена успешности:</w:t>
            </w:r>
          </w:p>
        </w:tc>
        <w:tc>
          <w:tcPr>
            <w:tcW w:w="3385" w:type="pct"/>
            <w:gridSpan w:val="6"/>
            <w:tcBorders>
              <w:bottom w:val="single" w:sz="4" w:space="0" w:color="auto"/>
            </w:tcBorders>
            <w:shd w:val="clear" w:color="auto" w:fill="auto"/>
          </w:tcPr>
          <w:p w14:paraId="0BED8D40" w14:textId="45A0F645" w:rsidR="00D958ED" w:rsidRPr="000F0299" w:rsidRDefault="00D958ED" w:rsidP="003C0DA1">
            <w:pPr>
              <w:tabs>
                <w:tab w:val="right" w:pos="2140"/>
              </w:tabs>
              <w:suppressAutoHyphens w:val="0"/>
              <w:autoSpaceDN/>
              <w:spacing w:before="0"/>
              <w:ind w:firstLine="0"/>
              <w:textAlignment w:val="auto"/>
              <w:rPr>
                <w:rFonts w:eastAsiaTheme="minorHAnsi"/>
                <w:bCs/>
                <w:kern w:val="0"/>
                <w:sz w:val="20"/>
                <w:szCs w:val="20"/>
                <w:lang w:eastAsia="en-US" w:bidi="ar-SA"/>
              </w:rPr>
            </w:pPr>
            <w:r w:rsidRPr="000F0299">
              <w:rPr>
                <w:rFonts w:eastAsiaTheme="minorHAnsi"/>
                <w:bCs/>
                <w:kern w:val="0"/>
                <w:sz w:val="20"/>
                <w:szCs w:val="20"/>
                <w:lang w:eastAsia="en-US" w:bidi="ar-SA"/>
              </w:rPr>
              <w:t xml:space="preserve">Одступање реализованог од </w:t>
            </w:r>
            <w:r w:rsidR="001B2E03" w:rsidRPr="000F0299">
              <w:rPr>
                <w:rFonts w:eastAsiaTheme="minorHAnsi"/>
                <w:bCs/>
                <w:kern w:val="0"/>
                <w:sz w:val="20"/>
                <w:szCs w:val="20"/>
                <w:lang w:eastAsia="en-US" w:bidi="ar-SA"/>
              </w:rPr>
              <w:t>циљаног</w:t>
            </w:r>
            <w:r w:rsidRPr="000F0299">
              <w:rPr>
                <w:rFonts w:eastAsiaTheme="minorHAnsi"/>
                <w:bCs/>
                <w:kern w:val="0"/>
                <w:sz w:val="20"/>
                <w:szCs w:val="20"/>
                <w:lang w:eastAsia="en-US" w:bidi="ar-SA"/>
              </w:rPr>
              <w:t xml:space="preserve"> учешћа дуга опште државе у БДП у износу до 2 процентна поена.</w:t>
            </w:r>
          </w:p>
        </w:tc>
      </w:tr>
    </w:tbl>
    <w:p w14:paraId="33198566" w14:textId="3E3BAB8C" w:rsidR="00D4266E" w:rsidRPr="000F0299" w:rsidRDefault="00D4266E" w:rsidP="00D958ED">
      <w:pPr>
        <w:suppressAutoHyphens w:val="0"/>
        <w:autoSpaceDN/>
        <w:spacing w:before="0" w:after="160" w:line="259" w:lineRule="auto"/>
        <w:ind w:firstLine="0"/>
        <w:jc w:val="left"/>
        <w:textAlignment w:val="auto"/>
        <w:rPr>
          <w:rFonts w:asciiTheme="minorHAnsi" w:eastAsiaTheme="minorHAnsi" w:hAnsiTheme="minorHAnsi" w:cstheme="minorBidi"/>
          <w:kern w:val="0"/>
          <w:sz w:val="22"/>
          <w:szCs w:val="22"/>
          <w:lang w:eastAsia="en-US" w:bidi="ar-SA"/>
        </w:rPr>
      </w:pPr>
    </w:p>
    <w:p w14:paraId="1230FB7E" w14:textId="77777777" w:rsidR="00D4266E" w:rsidRPr="000F0299" w:rsidRDefault="00D4266E">
      <w:pPr>
        <w:suppressAutoHyphens w:val="0"/>
        <w:autoSpaceDN/>
        <w:spacing w:before="0" w:after="160" w:line="259" w:lineRule="auto"/>
        <w:ind w:firstLine="0"/>
        <w:jc w:val="left"/>
        <w:textAlignment w:val="auto"/>
        <w:rPr>
          <w:rFonts w:asciiTheme="minorHAnsi" w:eastAsiaTheme="minorHAnsi" w:hAnsiTheme="minorHAnsi" w:cstheme="minorBidi"/>
          <w:kern w:val="0"/>
          <w:sz w:val="22"/>
          <w:szCs w:val="22"/>
          <w:lang w:eastAsia="en-US" w:bidi="ar-SA"/>
        </w:rPr>
      </w:pPr>
      <w:r w:rsidRPr="000F0299">
        <w:rPr>
          <w:rFonts w:asciiTheme="minorHAnsi" w:eastAsiaTheme="minorHAnsi" w:hAnsiTheme="minorHAnsi" w:cstheme="minorBidi"/>
          <w:kern w:val="0"/>
          <w:sz w:val="22"/>
          <w:szCs w:val="22"/>
          <w:lang w:eastAsia="en-US" w:bidi="ar-SA"/>
        </w:rPr>
        <w:br w:type="page"/>
      </w:r>
    </w:p>
    <w:p w14:paraId="0F8E92F4" w14:textId="37587466" w:rsidR="003F3312" w:rsidRPr="000F0299" w:rsidRDefault="002309DC" w:rsidP="003D3BC5">
      <w:pPr>
        <w:pStyle w:val="Heading2"/>
        <w:rPr>
          <w:lang w:val="sr-Cyrl-RS"/>
        </w:rPr>
      </w:pPr>
      <w:bookmarkStart w:id="341" w:name="_Toc57661525"/>
      <w:r w:rsidRPr="000F0299">
        <w:rPr>
          <w:lang w:val="sr-Cyrl-RS"/>
        </w:rPr>
        <w:t xml:space="preserve">Показатељи учинака - </w:t>
      </w:r>
      <w:r w:rsidR="004E6368" w:rsidRPr="000F0299">
        <w:rPr>
          <w:lang w:val="sr-Cyrl-RS"/>
        </w:rPr>
        <w:t>Систем локалне самоуправе</w:t>
      </w:r>
      <w:bookmarkEnd w:id="341"/>
    </w:p>
    <w:p w14:paraId="0DCB8303" w14:textId="7F0AB914" w:rsidR="00834649" w:rsidRPr="000F0299" w:rsidRDefault="004E6368" w:rsidP="00B426A0">
      <w:pPr>
        <w:pStyle w:val="Heading3"/>
        <w:rPr>
          <w:rFonts w:eastAsiaTheme="minorHAnsi"/>
          <w:color w:val="000000" w:themeColor="text1"/>
          <w:kern w:val="0"/>
          <w:sz w:val="20"/>
          <w:szCs w:val="20"/>
          <w:lang w:val="sr-Cyrl-RS"/>
        </w:rPr>
      </w:pPr>
      <w:bookmarkStart w:id="342" w:name="_Toc57661526"/>
      <w:r w:rsidRPr="000F0299">
        <w:rPr>
          <w:rFonts w:eastAsiaTheme="minorHAnsi" w:cstheme="minorBidi"/>
          <w:bCs/>
          <w:kern w:val="0"/>
          <w:lang w:val="sr-Cyrl-RS"/>
        </w:rPr>
        <w:t>Посебан циљ 5.1:</w:t>
      </w:r>
      <w:r w:rsidR="00834649" w:rsidRPr="000F0299">
        <w:rPr>
          <w:rFonts w:eastAsiaTheme="minorHAnsi"/>
          <w:bCs/>
          <w:sz w:val="20"/>
          <w:szCs w:val="20"/>
          <w:lang w:val="sr-Cyrl-RS"/>
        </w:rPr>
        <w:t xml:space="preserve"> </w:t>
      </w:r>
      <w:r w:rsidRPr="000F0299">
        <w:rPr>
          <w:rFonts w:eastAsiaTheme="minorHAnsi"/>
          <w:lang w:val="sr-Cyrl-RS"/>
        </w:rPr>
        <w:t>Успостављање система локалне самоуправе који омогућава ефикасно и одрживо остваривање права грађана на локалну самоуправу</w:t>
      </w:r>
      <w:bookmarkEnd w:id="342"/>
    </w:p>
    <w:p w14:paraId="536DB792" w14:textId="367E50B2" w:rsidR="00834649" w:rsidRPr="000F0299" w:rsidRDefault="001B2E03" w:rsidP="002309DC">
      <w:pPr>
        <w:ind w:firstLine="0"/>
        <w:rPr>
          <w:rFonts w:eastAsiaTheme="minorHAnsi"/>
          <w:b/>
          <w:bCs/>
          <w:color w:val="2F5496" w:themeColor="accent1" w:themeShade="BF"/>
        </w:rPr>
      </w:pPr>
      <w:r w:rsidRPr="000F0299">
        <w:rPr>
          <w:b/>
          <w:bCs/>
          <w:color w:val="2F5496" w:themeColor="accent1" w:themeShade="BF"/>
        </w:rPr>
        <w:t>Показатељ</w:t>
      </w:r>
      <w:r w:rsidR="004E6368" w:rsidRPr="000F0299">
        <w:rPr>
          <w:b/>
          <w:bCs/>
          <w:color w:val="2F5496" w:themeColor="accent1" w:themeShade="BF"/>
        </w:rPr>
        <w:t xml:space="preserve"> 1</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7"/>
        <w:gridCol w:w="616"/>
        <w:gridCol w:w="634"/>
        <w:gridCol w:w="518"/>
        <w:gridCol w:w="265"/>
        <w:gridCol w:w="664"/>
        <w:gridCol w:w="620"/>
        <w:gridCol w:w="47"/>
        <w:gridCol w:w="660"/>
        <w:gridCol w:w="667"/>
        <w:gridCol w:w="376"/>
        <w:gridCol w:w="276"/>
        <w:gridCol w:w="660"/>
        <w:gridCol w:w="631"/>
      </w:tblGrid>
      <w:tr w:rsidR="00834649" w:rsidRPr="000F0299" w14:paraId="36152736" w14:textId="77777777" w:rsidTr="004E6368">
        <w:trPr>
          <w:jc w:val="center"/>
        </w:trPr>
        <w:tc>
          <w:tcPr>
            <w:tcW w:w="2297" w:type="dxa"/>
            <w:tcBorders>
              <w:top w:val="single" w:sz="4" w:space="0" w:color="auto"/>
              <w:left w:val="single" w:sz="4" w:space="0" w:color="auto"/>
              <w:bottom w:val="single" w:sz="4" w:space="0" w:color="auto"/>
              <w:right w:val="single" w:sz="4" w:space="0" w:color="auto"/>
            </w:tcBorders>
            <w:shd w:val="clear" w:color="auto" w:fill="6C7781"/>
            <w:vAlign w:val="center"/>
          </w:tcPr>
          <w:p w14:paraId="33283FB2" w14:textId="77777777" w:rsidR="00834649" w:rsidRPr="000F0299" w:rsidRDefault="00834649" w:rsidP="003C0DA1">
            <w:pPr>
              <w:suppressAutoHyphens w:val="0"/>
              <w:autoSpaceDN/>
              <w:spacing w:before="100" w:after="100"/>
              <w:ind w:firstLine="0"/>
              <w:textAlignment w:val="auto"/>
              <w:rPr>
                <w:rFonts w:eastAsiaTheme="minorHAnsi"/>
                <w:b/>
                <w:bCs/>
                <w:color w:val="FFFFFF" w:themeColor="background1"/>
                <w:kern w:val="0"/>
                <w:sz w:val="20"/>
                <w:szCs w:val="20"/>
                <w:lang w:eastAsia="en-US" w:bidi="ar-SA"/>
              </w:rPr>
            </w:pPr>
            <w:bookmarkStart w:id="343" w:name="_Hlk57114987"/>
            <w:r w:rsidRPr="000F0299">
              <w:rPr>
                <w:rFonts w:eastAsiaTheme="minorHAnsi"/>
                <w:b/>
                <w:bCs/>
                <w:color w:val="FFFFFF" w:themeColor="background1"/>
                <w:kern w:val="0"/>
                <w:sz w:val="20"/>
                <w:szCs w:val="20"/>
                <w:lang w:eastAsia="en-US" w:bidi="ar-SA"/>
              </w:rPr>
              <w:t>Назив показатеља</w:t>
            </w:r>
          </w:p>
        </w:tc>
        <w:tc>
          <w:tcPr>
            <w:tcW w:w="6634" w:type="dxa"/>
            <w:gridSpan w:val="13"/>
            <w:tcBorders>
              <w:top w:val="single" w:sz="4" w:space="0" w:color="auto"/>
              <w:left w:val="single" w:sz="4" w:space="0" w:color="auto"/>
              <w:bottom w:val="single" w:sz="4" w:space="0" w:color="auto"/>
              <w:right w:val="single" w:sz="4" w:space="0" w:color="auto"/>
            </w:tcBorders>
            <w:shd w:val="clear" w:color="auto" w:fill="6C7781"/>
            <w:vAlign w:val="center"/>
          </w:tcPr>
          <w:p w14:paraId="2A205978" w14:textId="77777777" w:rsidR="00834649" w:rsidRPr="000F0299" w:rsidRDefault="00834649" w:rsidP="004E6368">
            <w:pPr>
              <w:suppressAutoHyphens w:val="0"/>
              <w:autoSpaceDN/>
              <w:spacing w:before="100" w:after="100"/>
              <w:ind w:firstLine="0"/>
              <w:textAlignment w:val="auto"/>
              <w:rPr>
                <w:rFonts w:eastAsiaTheme="minorHAnsi"/>
                <w:b/>
                <w:iCs/>
                <w:color w:val="FFFFFF" w:themeColor="background1"/>
                <w:kern w:val="0"/>
                <w:sz w:val="20"/>
                <w:szCs w:val="20"/>
                <w:lang w:eastAsia="en-US" w:bidi="ar-SA"/>
              </w:rPr>
            </w:pPr>
            <w:r w:rsidRPr="000F0299">
              <w:rPr>
                <w:rFonts w:eastAsiaTheme="minorHAnsi"/>
                <w:b/>
                <w:iCs/>
                <w:color w:val="FFFFFF" w:themeColor="background1"/>
                <w:kern w:val="0"/>
                <w:sz w:val="20"/>
                <w:szCs w:val="20"/>
                <w:lang w:eastAsia="en-US" w:bidi="ar-SA"/>
              </w:rPr>
              <w:t xml:space="preserve">Усаглашеност система локалне самоуправе са кључним принципима Европске повеље о локалној самоуправи  </w:t>
            </w:r>
          </w:p>
        </w:tc>
      </w:tr>
      <w:tr w:rsidR="00834649" w:rsidRPr="000F0299" w14:paraId="1C0A6F74" w14:textId="77777777" w:rsidTr="00834649">
        <w:trPr>
          <w:jc w:val="center"/>
        </w:trPr>
        <w:tc>
          <w:tcPr>
            <w:tcW w:w="2297" w:type="dxa"/>
            <w:tcBorders>
              <w:top w:val="single" w:sz="4" w:space="0" w:color="auto"/>
              <w:left w:val="single" w:sz="4" w:space="0" w:color="auto"/>
              <w:bottom w:val="single" w:sz="4" w:space="0" w:color="auto"/>
              <w:right w:val="single" w:sz="4" w:space="0" w:color="auto"/>
            </w:tcBorders>
            <w:shd w:val="clear" w:color="auto" w:fill="auto"/>
          </w:tcPr>
          <w:p w14:paraId="648E1B8E" w14:textId="77777777" w:rsidR="00834649" w:rsidRPr="000F0299" w:rsidRDefault="00834649" w:rsidP="003C0DA1">
            <w:pPr>
              <w:suppressAutoHyphens w:val="0"/>
              <w:autoSpaceDN/>
              <w:spacing w:before="100" w:after="10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634"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3AC407BA" w14:textId="41C8D9EB" w:rsidR="00834649" w:rsidRPr="000F0299" w:rsidRDefault="006873CC" w:rsidP="00834649">
            <w:pPr>
              <w:suppressAutoHyphens w:val="0"/>
              <w:autoSpaceDN/>
              <w:spacing w:before="100" w:after="100"/>
              <w:ind w:firstLine="0"/>
              <w:textAlignment w:val="auto"/>
              <w:rPr>
                <w:rFonts w:eastAsiaTheme="minorHAnsi"/>
                <w:b/>
                <w:iCs/>
                <w:color w:val="000000" w:themeColor="text1"/>
                <w:kern w:val="0"/>
                <w:sz w:val="20"/>
                <w:szCs w:val="20"/>
                <w:lang w:eastAsia="en-US" w:bidi="ar-SA"/>
              </w:rPr>
            </w:pPr>
            <w:r w:rsidRPr="000F0299">
              <w:rPr>
                <w:rFonts w:eastAsiaTheme="minorHAnsi"/>
                <w:b/>
                <w:iCs/>
                <w:kern w:val="24"/>
                <w:sz w:val="20"/>
                <w:szCs w:val="20"/>
                <w:lang w:eastAsia="en-US" w:bidi="ar-SA"/>
              </w:rPr>
              <w:t>Посебан циљ 5.1</w:t>
            </w:r>
            <w:r w:rsidR="00A228C6" w:rsidRPr="000F0299">
              <w:rPr>
                <w:rFonts w:eastAsiaTheme="minorHAnsi"/>
                <w:bCs/>
                <w:iCs/>
                <w:kern w:val="24"/>
                <w:sz w:val="20"/>
                <w:szCs w:val="20"/>
                <w:lang w:eastAsia="en-US" w:bidi="ar-SA"/>
              </w:rPr>
              <w:t>:</w:t>
            </w:r>
            <w:r w:rsidRPr="000F0299">
              <w:rPr>
                <w:rFonts w:eastAsiaTheme="minorHAnsi"/>
                <w:bCs/>
                <w:iCs/>
                <w:kern w:val="24"/>
                <w:sz w:val="20"/>
                <w:szCs w:val="20"/>
                <w:lang w:eastAsia="en-US" w:bidi="ar-SA"/>
              </w:rPr>
              <w:t xml:space="preserve"> </w:t>
            </w:r>
            <w:r w:rsidR="00834649" w:rsidRPr="000F0299">
              <w:rPr>
                <w:rFonts w:eastAsiaTheme="minorHAnsi"/>
                <w:bCs/>
                <w:iCs/>
                <w:kern w:val="24"/>
                <w:sz w:val="20"/>
                <w:szCs w:val="20"/>
                <w:lang w:eastAsia="en-US" w:bidi="ar-SA"/>
              </w:rPr>
              <w:t>Успостављање система локалне самоуправе који омогућава ефикасно и одрживо остваривање права грађана на локалну самоуправу</w:t>
            </w:r>
          </w:p>
          <w:p w14:paraId="0D694F0D" w14:textId="77777777" w:rsidR="00834649" w:rsidRPr="000F0299" w:rsidRDefault="00834649" w:rsidP="00834649">
            <w:pPr>
              <w:suppressAutoHyphens w:val="0"/>
              <w:autoSpaceDN/>
              <w:spacing w:before="100" w:after="100"/>
              <w:ind w:firstLine="0"/>
              <w:textAlignment w:val="auto"/>
              <w:rPr>
                <w:rFonts w:eastAsiaTheme="minorHAnsi"/>
                <w:b/>
                <w:iCs/>
                <w:color w:val="000000" w:themeColor="text1"/>
                <w:kern w:val="0"/>
                <w:sz w:val="20"/>
                <w:szCs w:val="20"/>
                <w:lang w:eastAsia="en-US" w:bidi="ar-SA"/>
              </w:rPr>
            </w:pPr>
            <w:r w:rsidRPr="000F0299">
              <w:rPr>
                <w:rFonts w:eastAsiaTheme="minorHAnsi"/>
                <w:b/>
                <w:iCs/>
                <w:color w:val="000000" w:themeColor="text1"/>
                <w:kern w:val="0"/>
                <w:sz w:val="20"/>
                <w:szCs w:val="20"/>
                <w:lang w:eastAsia="en-US" w:bidi="ar-SA"/>
              </w:rPr>
              <w:t xml:space="preserve">Унапређење положаја и одговорности ЛС </w:t>
            </w:r>
          </w:p>
        </w:tc>
      </w:tr>
      <w:tr w:rsidR="00B426A0" w:rsidRPr="000F0299" w14:paraId="34A2DDD2" w14:textId="77777777" w:rsidTr="00B426A0">
        <w:trPr>
          <w:jc w:val="center"/>
        </w:trPr>
        <w:tc>
          <w:tcPr>
            <w:tcW w:w="2297" w:type="dxa"/>
            <w:shd w:val="clear" w:color="auto" w:fill="auto"/>
          </w:tcPr>
          <w:p w14:paraId="576284CA" w14:textId="77777777" w:rsidR="00B426A0" w:rsidRPr="000F0299" w:rsidRDefault="00B426A0" w:rsidP="003C0DA1">
            <w:pPr>
              <w:suppressAutoHyphens w:val="0"/>
              <w:autoSpaceDN/>
              <w:spacing w:before="50" w:after="50"/>
              <w:ind w:firstLine="0"/>
              <w:textAlignment w:val="auto"/>
              <w:rPr>
                <w:rFonts w:eastAsiaTheme="minorHAnsi"/>
                <w:b/>
                <w:bCs/>
                <w:kern w:val="0"/>
                <w:sz w:val="20"/>
                <w:szCs w:val="20"/>
                <w:lang w:eastAsia="en-US" w:bidi="ar-SA"/>
              </w:rPr>
            </w:pPr>
            <w:r w:rsidRPr="000F0299">
              <w:rPr>
                <w:rFonts w:eastAsiaTheme="minorHAnsi"/>
                <w:b/>
                <w:kern w:val="24"/>
                <w:sz w:val="20"/>
                <w:szCs w:val="20"/>
                <w:lang w:eastAsia="en-US" w:bidi="ar-SA"/>
              </w:rPr>
              <w:t>Тип и ниво показатеља</w:t>
            </w:r>
          </w:p>
        </w:tc>
        <w:tc>
          <w:tcPr>
            <w:tcW w:w="3317" w:type="dxa"/>
            <w:gridSpan w:val="6"/>
            <w:shd w:val="clear" w:color="auto" w:fill="FFFFFF" w:themeFill="background1"/>
          </w:tcPr>
          <w:p w14:paraId="71C587D9" w14:textId="5FBEFB5D" w:rsidR="00B426A0" w:rsidRPr="000F0299" w:rsidRDefault="001B2E03" w:rsidP="00834649">
            <w:pPr>
              <w:suppressAutoHyphens w:val="0"/>
              <w:autoSpaceDN/>
              <w:spacing w:before="0" w:after="0"/>
              <w:ind w:firstLine="0"/>
              <w:textAlignment w:val="auto"/>
              <w:rPr>
                <w:rFonts w:eastAsiaTheme="minorHAnsi"/>
                <w:bCs/>
                <w:iCs/>
                <w:kern w:val="24"/>
                <w:sz w:val="20"/>
                <w:szCs w:val="20"/>
                <w:lang w:eastAsia="en-US" w:bidi="ar-SA"/>
              </w:rPr>
            </w:pPr>
            <w:r w:rsidRPr="000F0299">
              <w:rPr>
                <w:rFonts w:eastAsiaTheme="minorHAnsi"/>
                <w:bCs/>
                <w:iCs/>
                <w:kern w:val="24"/>
                <w:sz w:val="20"/>
                <w:szCs w:val="20"/>
                <w:lang w:eastAsia="en-US" w:bidi="ar-SA"/>
              </w:rPr>
              <w:t>Квалитативни</w:t>
            </w:r>
          </w:p>
        </w:tc>
        <w:tc>
          <w:tcPr>
            <w:tcW w:w="3317" w:type="dxa"/>
            <w:gridSpan w:val="7"/>
            <w:shd w:val="clear" w:color="auto" w:fill="FFFFFF" w:themeFill="background1"/>
          </w:tcPr>
          <w:p w14:paraId="798D1671" w14:textId="22F2EB74" w:rsidR="00B426A0" w:rsidRPr="000F0299" w:rsidRDefault="00B426A0" w:rsidP="00834649">
            <w:pPr>
              <w:suppressAutoHyphens w:val="0"/>
              <w:autoSpaceDN/>
              <w:spacing w:before="0" w:after="0"/>
              <w:ind w:firstLine="0"/>
              <w:textAlignment w:val="auto"/>
              <w:rPr>
                <w:rFonts w:eastAsiaTheme="minorHAnsi"/>
                <w:bCs/>
                <w:iCs/>
                <w:kern w:val="24"/>
                <w:sz w:val="20"/>
                <w:szCs w:val="20"/>
                <w:lang w:eastAsia="en-US" w:bidi="ar-SA"/>
              </w:rPr>
            </w:pPr>
            <w:r w:rsidRPr="000F0299">
              <w:rPr>
                <w:rFonts w:eastAsiaTheme="minorHAnsi"/>
                <w:bCs/>
                <w:iCs/>
                <w:kern w:val="24"/>
                <w:sz w:val="20"/>
                <w:szCs w:val="20"/>
                <w:lang w:eastAsia="en-US" w:bidi="ar-SA"/>
              </w:rPr>
              <w:t>Показатељ исхода</w:t>
            </w:r>
          </w:p>
        </w:tc>
      </w:tr>
      <w:tr w:rsidR="00834649" w:rsidRPr="000F0299" w14:paraId="354C2A08" w14:textId="77777777" w:rsidTr="00B426A0">
        <w:trPr>
          <w:trHeight w:val="373"/>
          <w:jc w:val="center"/>
        </w:trPr>
        <w:tc>
          <w:tcPr>
            <w:tcW w:w="2297" w:type="dxa"/>
            <w:shd w:val="clear" w:color="auto" w:fill="auto"/>
          </w:tcPr>
          <w:p w14:paraId="67248300" w14:textId="77777777" w:rsidR="00834649" w:rsidRPr="000F0299" w:rsidRDefault="00834649" w:rsidP="003C0DA1">
            <w:pPr>
              <w:suppressAutoHyphens w:val="0"/>
              <w:autoSpaceDN/>
              <w:spacing w:before="50" w:after="50"/>
              <w:ind w:firstLine="0"/>
              <w:textAlignment w:val="auto"/>
              <w:rPr>
                <w:rFonts w:eastAsiaTheme="minorHAnsi"/>
                <w:b/>
                <w:kern w:val="24"/>
                <w:sz w:val="20"/>
                <w:szCs w:val="20"/>
                <w:lang w:eastAsia="en-US" w:bidi="ar-SA"/>
              </w:rPr>
            </w:pPr>
            <w:r w:rsidRPr="000F0299">
              <w:rPr>
                <w:rFonts w:eastAsiaTheme="minorHAnsi"/>
                <w:b/>
                <w:kern w:val="24"/>
                <w:sz w:val="20"/>
                <w:szCs w:val="20"/>
                <w:lang w:eastAsia="en-US" w:bidi="ar-SA"/>
              </w:rPr>
              <w:t>Јединица мере и природа</w:t>
            </w:r>
          </w:p>
        </w:tc>
        <w:tc>
          <w:tcPr>
            <w:tcW w:w="3317" w:type="dxa"/>
            <w:gridSpan w:val="6"/>
            <w:shd w:val="clear" w:color="auto" w:fill="FFFFFF" w:themeFill="background1"/>
          </w:tcPr>
          <w:p w14:paraId="7EC27C4D" w14:textId="77777777" w:rsidR="00834649" w:rsidRPr="000F0299" w:rsidRDefault="00834649" w:rsidP="00834649">
            <w:pPr>
              <w:tabs>
                <w:tab w:val="left" w:pos="152"/>
              </w:tabs>
              <w:suppressAutoHyphens w:val="0"/>
              <w:autoSpaceDN/>
              <w:spacing w:before="50" w:after="50"/>
              <w:ind w:firstLine="0"/>
              <w:jc w:val="left"/>
              <w:textAlignment w:val="auto"/>
              <w:rPr>
                <w:rFonts w:eastAsiaTheme="minorHAnsi"/>
                <w:iCs/>
                <w:kern w:val="0"/>
                <w:sz w:val="20"/>
                <w:szCs w:val="20"/>
                <w:lang w:eastAsia="en-US" w:bidi="ar-SA"/>
              </w:rPr>
            </w:pPr>
            <w:r w:rsidRPr="000F0299">
              <w:rPr>
                <w:rFonts w:eastAsiaTheme="minorHAnsi"/>
                <w:bCs/>
                <w:iCs/>
                <w:kern w:val="24"/>
                <w:sz w:val="20"/>
                <w:szCs w:val="20"/>
                <w:lang w:eastAsia="en-US" w:bidi="ar-SA"/>
              </w:rPr>
              <w:t>Композитна скала</w:t>
            </w:r>
          </w:p>
        </w:tc>
        <w:tc>
          <w:tcPr>
            <w:tcW w:w="3317" w:type="dxa"/>
            <w:gridSpan w:val="7"/>
            <w:shd w:val="clear" w:color="auto" w:fill="FFFFFF" w:themeFill="background1"/>
          </w:tcPr>
          <w:p w14:paraId="062785FF" w14:textId="77777777" w:rsidR="00834649" w:rsidRPr="000F0299" w:rsidRDefault="00834649" w:rsidP="00834649">
            <w:pPr>
              <w:suppressAutoHyphens w:val="0"/>
              <w:autoSpaceDN/>
              <w:spacing w:before="0" w:after="0"/>
              <w:ind w:firstLine="0"/>
              <w:textAlignment w:val="auto"/>
              <w:rPr>
                <w:rFonts w:eastAsia="Arial"/>
                <w:iCs/>
                <w:color w:val="000000" w:themeColor="dark1"/>
                <w:spacing w:val="-1"/>
                <w:kern w:val="24"/>
                <w:sz w:val="20"/>
                <w:szCs w:val="20"/>
                <w:lang w:eastAsia="en-US" w:bidi="ar-SA"/>
              </w:rPr>
            </w:pPr>
            <w:r w:rsidRPr="000F0299">
              <w:rPr>
                <w:rFonts w:eastAsia="Arial"/>
                <w:iCs/>
                <w:color w:val="000000" w:themeColor="dark1"/>
                <w:spacing w:val="-1"/>
                <w:kern w:val="24"/>
                <w:sz w:val="20"/>
                <w:szCs w:val="20"/>
                <w:lang w:eastAsia="en-US" w:bidi="ar-SA"/>
              </w:rPr>
              <w:t>Пожељна је већа вредност</w:t>
            </w:r>
          </w:p>
        </w:tc>
      </w:tr>
      <w:tr w:rsidR="00834649" w:rsidRPr="000F0299" w14:paraId="13C89CF0" w14:textId="77777777" w:rsidTr="00834649">
        <w:trPr>
          <w:jc w:val="center"/>
        </w:trPr>
        <w:tc>
          <w:tcPr>
            <w:tcW w:w="2297" w:type="dxa"/>
            <w:shd w:val="clear" w:color="auto" w:fill="auto"/>
          </w:tcPr>
          <w:p w14:paraId="45F536B1" w14:textId="77777777" w:rsidR="00834649" w:rsidRPr="000F0299" w:rsidRDefault="00834649" w:rsidP="003C0DA1">
            <w:pPr>
              <w:suppressAutoHyphens w:val="0"/>
              <w:autoSpaceDN/>
              <w:spacing w:before="50" w:after="5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634" w:type="dxa"/>
            <w:gridSpan w:val="13"/>
            <w:shd w:val="clear" w:color="auto" w:fill="FFFFFF" w:themeFill="background1"/>
          </w:tcPr>
          <w:p w14:paraId="6B401092" w14:textId="77777777" w:rsidR="00834649" w:rsidRPr="000F0299" w:rsidRDefault="00834649" w:rsidP="00834649">
            <w:pPr>
              <w:suppressAutoHyphens w:val="0"/>
              <w:autoSpaceDN/>
              <w:spacing w:before="0" w:after="134"/>
              <w:ind w:firstLine="0"/>
              <w:jc w:val="left"/>
              <w:textAlignment w:val="auto"/>
              <w:rPr>
                <w:rFonts w:eastAsiaTheme="minorHAnsi"/>
                <w:kern w:val="0"/>
                <w:sz w:val="20"/>
                <w:szCs w:val="20"/>
                <w:lang w:eastAsia="en-US" w:bidi="ar-SA"/>
              </w:rPr>
            </w:pPr>
            <w:r w:rsidRPr="000F0299">
              <w:rPr>
                <w:rFonts w:eastAsiaTheme="minorHAnsi"/>
                <w:kern w:val="0"/>
                <w:sz w:val="20"/>
                <w:szCs w:val="20"/>
                <w:lang w:eastAsia="en-US" w:bidi="ar-SA"/>
              </w:rPr>
              <w:t>Подаци МДУЛС</w:t>
            </w:r>
          </w:p>
        </w:tc>
      </w:tr>
      <w:tr w:rsidR="00834649" w:rsidRPr="000F0299" w14:paraId="03E23ADE" w14:textId="77777777" w:rsidTr="00834649">
        <w:trPr>
          <w:jc w:val="center"/>
        </w:trPr>
        <w:tc>
          <w:tcPr>
            <w:tcW w:w="2297" w:type="dxa"/>
            <w:shd w:val="clear" w:color="auto" w:fill="auto"/>
          </w:tcPr>
          <w:p w14:paraId="12396C3F" w14:textId="77777777" w:rsidR="00834649" w:rsidRPr="000F0299" w:rsidRDefault="00834649" w:rsidP="003C0DA1">
            <w:pPr>
              <w:suppressAutoHyphens w:val="0"/>
              <w:autoSpaceDN/>
              <w:spacing w:before="50" w:after="5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634" w:type="dxa"/>
            <w:gridSpan w:val="13"/>
            <w:shd w:val="clear" w:color="auto" w:fill="FFFFFF" w:themeFill="background1"/>
          </w:tcPr>
          <w:p w14:paraId="3FFA642F" w14:textId="2085CA89" w:rsidR="00834649" w:rsidRPr="000F0299" w:rsidRDefault="00834649" w:rsidP="00632F5B">
            <w:pPr>
              <w:suppressAutoHyphens w:val="0"/>
              <w:autoSpaceDN/>
              <w:spacing w:before="50" w:after="5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МДУЛС, </w:t>
            </w:r>
            <w:r w:rsidR="00632F5B">
              <w:rPr>
                <w:rFonts w:eastAsiaTheme="minorHAnsi"/>
                <w:kern w:val="0"/>
                <w:sz w:val="20"/>
                <w:szCs w:val="20"/>
                <w:lang w:eastAsia="en-US" w:bidi="ar-SA"/>
              </w:rPr>
              <w:t>Сектор за систем локалне самоуправе</w:t>
            </w:r>
          </w:p>
        </w:tc>
      </w:tr>
      <w:tr w:rsidR="00834649" w:rsidRPr="000F0299" w14:paraId="5CAD4D71" w14:textId="77777777" w:rsidTr="00834649">
        <w:trPr>
          <w:jc w:val="center"/>
        </w:trPr>
        <w:tc>
          <w:tcPr>
            <w:tcW w:w="2297" w:type="dxa"/>
            <w:shd w:val="clear" w:color="auto" w:fill="auto"/>
          </w:tcPr>
          <w:p w14:paraId="18F8F752" w14:textId="77777777" w:rsidR="00834649" w:rsidRPr="000F0299" w:rsidRDefault="00834649" w:rsidP="003C0DA1">
            <w:pPr>
              <w:suppressAutoHyphens w:val="0"/>
              <w:autoSpaceDN/>
              <w:spacing w:before="50" w:after="5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634" w:type="dxa"/>
            <w:gridSpan w:val="13"/>
            <w:shd w:val="clear" w:color="auto" w:fill="FFFFFF" w:themeFill="background1"/>
          </w:tcPr>
          <w:p w14:paraId="2234BFC3" w14:textId="77777777" w:rsidR="00834649" w:rsidRPr="000F0299" w:rsidRDefault="00834649" w:rsidP="00834649">
            <w:pPr>
              <w:suppressAutoHyphens w:val="0"/>
              <w:autoSpaceDN/>
              <w:spacing w:before="50" w:after="5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Подати се прикупљају на трогодишњем нивоу. </w:t>
            </w:r>
          </w:p>
        </w:tc>
      </w:tr>
      <w:tr w:rsidR="00834649" w:rsidRPr="000F0299" w14:paraId="0D1704FC" w14:textId="77777777" w:rsidTr="00834649">
        <w:trPr>
          <w:trHeight w:val="274"/>
          <w:jc w:val="center"/>
        </w:trPr>
        <w:tc>
          <w:tcPr>
            <w:tcW w:w="2297" w:type="dxa"/>
            <w:shd w:val="clear" w:color="auto" w:fill="auto"/>
          </w:tcPr>
          <w:p w14:paraId="7F80CB54" w14:textId="77777777" w:rsidR="00834649" w:rsidRPr="000F0299" w:rsidRDefault="00834649" w:rsidP="003C0DA1">
            <w:pPr>
              <w:suppressAutoHyphens w:val="0"/>
              <w:autoSpaceDN/>
              <w:spacing w:before="50" w:after="5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Кратак опис показатеља и методологије израчунавања</w:t>
            </w:r>
          </w:p>
          <w:p w14:paraId="0B054935" w14:textId="77777777" w:rsidR="00834649" w:rsidRPr="000F0299" w:rsidRDefault="00834649" w:rsidP="003C0DA1">
            <w:pPr>
              <w:suppressAutoHyphens w:val="0"/>
              <w:autoSpaceDN/>
              <w:spacing w:before="50" w:after="50"/>
              <w:ind w:firstLine="0"/>
              <w:textAlignment w:val="auto"/>
              <w:rPr>
                <w:rFonts w:eastAsiaTheme="minorHAnsi"/>
                <w:b/>
                <w:bCs/>
                <w:kern w:val="0"/>
                <w:sz w:val="20"/>
                <w:szCs w:val="20"/>
                <w:lang w:eastAsia="en-US" w:bidi="ar-SA"/>
              </w:rPr>
            </w:pPr>
            <w:r w:rsidRPr="000F0299">
              <w:rPr>
                <w:rFonts w:eastAsiaTheme="minorHAnsi"/>
                <w:b/>
                <w:kern w:val="0"/>
                <w:sz w:val="20"/>
                <w:szCs w:val="20"/>
                <w:lang w:eastAsia="en-US" w:bidi="ar-SA"/>
              </w:rPr>
              <w:t>(формуле/ једначине)</w:t>
            </w:r>
          </w:p>
        </w:tc>
        <w:tc>
          <w:tcPr>
            <w:tcW w:w="6634" w:type="dxa"/>
            <w:gridSpan w:val="13"/>
            <w:shd w:val="clear" w:color="auto" w:fill="FFFFFF" w:themeFill="background1"/>
          </w:tcPr>
          <w:p w14:paraId="64D63B1C" w14:textId="77777777" w:rsidR="00834649" w:rsidRPr="000F0299" w:rsidRDefault="00834649" w:rsidP="00834649">
            <w:pPr>
              <w:suppressAutoHyphens w:val="0"/>
              <w:autoSpaceDN/>
              <w:spacing w:before="100" w:after="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Овај показатељ мери колико је Република Србија ускладила свој систем локалне самоуправе са Европском повељом о локалној самоуправи (ЕПЛС). Степен усклађености са ЕПЛС указује на развој квалитета система локалне самоуправе и јачање положаја и значаја локалних власти у систему јавне власти. У складу са ЕПЛС свака држава је у обавези да прихвати најмање 20 одредби ЕПЛС. Такође, ситуација у свим чланицама Савета Европе и земљама које су прихватиле ЕПЛС, предмет је периодичног мониторинга Конгреса регионалних и локалних власти Савета Европе (КЛРАЕ), који о томе објављује извештаје. Имајући у виду да је уобичајена трогодишња динамика мониторинга од стране КЛРАЕ, извештавање је на трогодишњем нивоу.</w:t>
            </w:r>
          </w:p>
          <w:p w14:paraId="09A69E9B" w14:textId="77777777" w:rsidR="00834649" w:rsidRPr="000F0299" w:rsidRDefault="00834649" w:rsidP="00834649">
            <w:pPr>
              <w:suppressAutoHyphens w:val="0"/>
              <w:autoSpaceDN/>
              <w:spacing w:before="100" w:after="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Вредност показатеља се израчунава тако што се комбинацијом два показатеља (степен прихватања ЕПЛС и анализа мониторинг КЛРАЕ) одређује резултат у складу са дефинисаном скалом од 1-5:</w:t>
            </w:r>
          </w:p>
          <w:p w14:paraId="581F5655" w14:textId="77777777" w:rsidR="00834649" w:rsidRPr="000F0299" w:rsidRDefault="00834649" w:rsidP="00E62A1A">
            <w:pPr>
              <w:numPr>
                <w:ilvl w:val="0"/>
                <w:numId w:val="20"/>
              </w:numPr>
              <w:suppressAutoHyphens w:val="0"/>
              <w:autoSpaceDN/>
              <w:spacing w:before="0" w:after="0" w:line="259" w:lineRule="auto"/>
              <w:ind w:left="423" w:hanging="302"/>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Република Србија је прихватила 20 одредаба ЕПЛС и постоје примедбе мониторинга КЛРАЕ у вези са применом више од 50% прихваћених одредаба ЕПЛС у пракси</w:t>
            </w:r>
          </w:p>
          <w:p w14:paraId="453FD34B" w14:textId="6CBEABCC" w:rsidR="00834649" w:rsidRPr="000F0299" w:rsidRDefault="00834649" w:rsidP="00E62A1A">
            <w:pPr>
              <w:numPr>
                <w:ilvl w:val="0"/>
                <w:numId w:val="20"/>
              </w:numPr>
              <w:suppressAutoHyphens w:val="0"/>
              <w:autoSpaceDN/>
              <w:spacing w:before="0" w:after="0" w:line="259" w:lineRule="auto"/>
              <w:ind w:left="423" w:hanging="302"/>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Република Србија је прихватила најмање 22 </w:t>
            </w:r>
            <w:r w:rsidR="001B2E03" w:rsidRPr="000F0299">
              <w:rPr>
                <w:rFonts w:eastAsiaTheme="minorHAnsi"/>
                <w:color w:val="000000" w:themeColor="text1"/>
                <w:kern w:val="0"/>
                <w:sz w:val="20"/>
                <w:szCs w:val="20"/>
                <w:lang w:eastAsia="en-US" w:bidi="ar-SA"/>
              </w:rPr>
              <w:t>одредбе</w:t>
            </w:r>
            <w:r w:rsidRPr="000F0299">
              <w:rPr>
                <w:rFonts w:eastAsiaTheme="minorHAnsi"/>
                <w:color w:val="000000" w:themeColor="text1"/>
                <w:kern w:val="0"/>
                <w:sz w:val="20"/>
                <w:szCs w:val="20"/>
                <w:lang w:eastAsia="en-US" w:bidi="ar-SA"/>
              </w:rPr>
              <w:t xml:space="preserve"> ЕПЛС и постоје примедбе мониторинга КЛРАЕ у вези са применом више од 40% прихваћених одредаба ЕПЛС у пракси</w:t>
            </w:r>
          </w:p>
          <w:p w14:paraId="3C99CAF9" w14:textId="77777777" w:rsidR="00834649" w:rsidRPr="000F0299" w:rsidRDefault="00834649" w:rsidP="00E62A1A">
            <w:pPr>
              <w:numPr>
                <w:ilvl w:val="0"/>
                <w:numId w:val="20"/>
              </w:numPr>
              <w:suppressAutoHyphens w:val="0"/>
              <w:autoSpaceDN/>
              <w:spacing w:before="0" w:after="0" w:line="259" w:lineRule="auto"/>
              <w:ind w:left="423" w:hanging="302"/>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Република Србија је прихватила најмање 24 одредбе ЕПЛС и постоје примедбе мониторинга КЛРАЕ у вези са применом више од 30% прихваћених одредаба ЕПЛС у пракси</w:t>
            </w:r>
          </w:p>
          <w:p w14:paraId="730C8D6B" w14:textId="77777777" w:rsidR="00834649" w:rsidRPr="000F0299" w:rsidRDefault="00834649" w:rsidP="00E62A1A">
            <w:pPr>
              <w:numPr>
                <w:ilvl w:val="0"/>
                <w:numId w:val="20"/>
              </w:numPr>
              <w:suppressAutoHyphens w:val="0"/>
              <w:autoSpaceDN/>
              <w:spacing w:before="0" w:after="0" w:line="259" w:lineRule="auto"/>
              <w:ind w:left="423" w:hanging="302"/>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Република Србија је прихватила најмање 26 одредби ЕПЛС и постоје примедбе мониторинга КЛРАЕ у вези са применом више од 20% прихваћених одредби ЕПЛС у пракси</w:t>
            </w:r>
          </w:p>
          <w:p w14:paraId="439A2F57" w14:textId="042D4E6E" w:rsidR="00834649" w:rsidRPr="000F0299" w:rsidRDefault="00834649" w:rsidP="00834649">
            <w:pPr>
              <w:suppressAutoHyphens w:val="0"/>
              <w:autoSpaceDN/>
              <w:spacing w:before="50" w:after="50"/>
              <w:ind w:firstLine="0"/>
              <w:textAlignment w:val="auto"/>
              <w:rPr>
                <w:rFonts w:eastAsiaTheme="minorHAnsi"/>
                <w:kern w:val="0"/>
                <w:sz w:val="20"/>
                <w:szCs w:val="20"/>
                <w:lang w:eastAsia="en-US" w:bidi="ar-SA"/>
              </w:rPr>
            </w:pPr>
            <w:r w:rsidRPr="000F0299">
              <w:rPr>
                <w:rFonts w:eastAsiaTheme="minorHAnsi"/>
                <w:color w:val="000000" w:themeColor="text1"/>
                <w:kern w:val="0"/>
                <w:sz w:val="20"/>
                <w:szCs w:val="20"/>
                <w:lang w:eastAsia="en-US" w:bidi="ar-SA"/>
              </w:rPr>
              <w:t xml:space="preserve">Република Србија је прихватила најмање 28 одредби ЕПЛС и постоје примедбе мониторинга КЛРАЕ у вези применом </w:t>
            </w:r>
            <w:r w:rsidR="001B2E03">
              <w:rPr>
                <w:rFonts w:eastAsiaTheme="minorHAnsi"/>
                <w:color w:val="000000" w:themeColor="text1"/>
                <w:kern w:val="0"/>
                <w:sz w:val="20"/>
                <w:szCs w:val="20"/>
                <w:lang w:eastAsia="en-US" w:bidi="ar-SA"/>
              </w:rPr>
              <w:t>до</w:t>
            </w:r>
            <w:r w:rsidRPr="000F0299">
              <w:rPr>
                <w:rFonts w:eastAsiaTheme="minorHAnsi"/>
                <w:color w:val="000000" w:themeColor="text1"/>
                <w:kern w:val="0"/>
                <w:sz w:val="20"/>
                <w:szCs w:val="20"/>
                <w:lang w:eastAsia="en-US" w:bidi="ar-SA"/>
              </w:rPr>
              <w:t xml:space="preserve"> 10% прихваћених одредби ЕПЛС у пракси</w:t>
            </w:r>
          </w:p>
        </w:tc>
      </w:tr>
      <w:tr w:rsidR="00834649" w:rsidRPr="000F0299" w14:paraId="4A5E955A" w14:textId="77777777" w:rsidTr="00834649">
        <w:trPr>
          <w:trHeight w:val="265"/>
          <w:jc w:val="center"/>
        </w:trPr>
        <w:tc>
          <w:tcPr>
            <w:tcW w:w="2297" w:type="dxa"/>
            <w:vMerge w:val="restart"/>
            <w:shd w:val="clear" w:color="auto" w:fill="auto"/>
          </w:tcPr>
          <w:p w14:paraId="4726EBFF" w14:textId="77777777" w:rsidR="00834649" w:rsidRPr="000F0299" w:rsidRDefault="00834649" w:rsidP="003C0DA1">
            <w:pPr>
              <w:suppressAutoHyphens w:val="0"/>
              <w:autoSpaceDN/>
              <w:spacing w:before="5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5067" w:type="dxa"/>
            <w:gridSpan w:val="10"/>
            <w:tcBorders>
              <w:bottom w:val="single" w:sz="4" w:space="0" w:color="auto"/>
            </w:tcBorders>
            <w:shd w:val="clear" w:color="auto" w:fill="FFFFFF" w:themeFill="background1"/>
            <w:vAlign w:val="center"/>
          </w:tcPr>
          <w:p w14:paraId="3B38752C" w14:textId="77777777" w:rsidR="00834649" w:rsidRPr="000F0299" w:rsidRDefault="00834649" w:rsidP="00834649">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Тренд у прошлости</w:t>
            </w:r>
          </w:p>
        </w:tc>
        <w:tc>
          <w:tcPr>
            <w:tcW w:w="1567" w:type="dxa"/>
            <w:gridSpan w:val="3"/>
            <w:shd w:val="clear" w:color="auto" w:fill="FFFFFF" w:themeFill="background1"/>
            <w:vAlign w:val="center"/>
          </w:tcPr>
          <w:p w14:paraId="7FF3E329" w14:textId="77777777" w:rsidR="00834649" w:rsidRPr="000F0299" w:rsidRDefault="00834649" w:rsidP="00834649">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Полазна вредност</w:t>
            </w:r>
          </w:p>
        </w:tc>
      </w:tr>
      <w:tr w:rsidR="00834649" w:rsidRPr="000F0299" w14:paraId="55FC4BC4" w14:textId="77777777" w:rsidTr="00834649">
        <w:trPr>
          <w:trHeight w:val="137"/>
          <w:jc w:val="center"/>
        </w:trPr>
        <w:tc>
          <w:tcPr>
            <w:tcW w:w="2297" w:type="dxa"/>
            <w:vMerge/>
            <w:tcBorders>
              <w:right w:val="single" w:sz="4" w:space="0" w:color="auto"/>
            </w:tcBorders>
            <w:shd w:val="clear" w:color="auto" w:fill="auto"/>
          </w:tcPr>
          <w:p w14:paraId="29948878" w14:textId="77777777" w:rsidR="00834649" w:rsidRPr="000F0299" w:rsidRDefault="00834649" w:rsidP="003C0DA1">
            <w:pPr>
              <w:suppressAutoHyphens w:val="0"/>
              <w:autoSpaceDN/>
              <w:spacing w:before="50" w:after="50"/>
              <w:ind w:firstLine="0"/>
              <w:textAlignment w:val="auto"/>
              <w:rPr>
                <w:rFonts w:eastAsiaTheme="minorHAnsi"/>
                <w:b/>
                <w:bCs/>
                <w:kern w:val="0"/>
                <w:sz w:val="20"/>
                <w:szCs w:val="20"/>
                <w:lang w:eastAsia="en-US" w:bidi="ar-SA"/>
              </w:rPr>
            </w:pPr>
          </w:p>
        </w:tc>
        <w:tc>
          <w:tcPr>
            <w:tcW w:w="17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43737"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2016</w:t>
            </w:r>
          </w:p>
        </w:tc>
        <w:tc>
          <w:tcPr>
            <w:tcW w:w="159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707BB"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2017</w:t>
            </w:r>
          </w:p>
        </w:tc>
        <w:tc>
          <w:tcPr>
            <w:tcW w:w="170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06719"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2018</w:t>
            </w:r>
          </w:p>
        </w:tc>
        <w:tc>
          <w:tcPr>
            <w:tcW w:w="1567" w:type="dxa"/>
            <w:gridSpan w:val="3"/>
            <w:tcBorders>
              <w:left w:val="single" w:sz="4" w:space="0" w:color="auto"/>
            </w:tcBorders>
            <w:shd w:val="clear" w:color="auto" w:fill="FFFFFF" w:themeFill="background1"/>
            <w:vAlign w:val="center"/>
          </w:tcPr>
          <w:p w14:paraId="364025F0"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2019 или 2020</w:t>
            </w:r>
          </w:p>
        </w:tc>
      </w:tr>
      <w:tr w:rsidR="00834649" w:rsidRPr="000F0299" w14:paraId="45D492CA" w14:textId="77777777" w:rsidTr="00834649">
        <w:trPr>
          <w:trHeight w:val="323"/>
          <w:jc w:val="center"/>
        </w:trPr>
        <w:tc>
          <w:tcPr>
            <w:tcW w:w="2297" w:type="dxa"/>
            <w:vMerge/>
            <w:shd w:val="clear" w:color="auto" w:fill="auto"/>
          </w:tcPr>
          <w:p w14:paraId="4AF38767" w14:textId="77777777" w:rsidR="00834649" w:rsidRPr="000F0299" w:rsidRDefault="00834649" w:rsidP="003C0DA1">
            <w:pPr>
              <w:suppressAutoHyphens w:val="0"/>
              <w:autoSpaceDN/>
              <w:spacing w:before="50" w:after="50"/>
              <w:ind w:firstLine="0"/>
              <w:textAlignment w:val="auto"/>
              <w:rPr>
                <w:rFonts w:eastAsiaTheme="minorHAnsi"/>
                <w:b/>
                <w:bCs/>
                <w:kern w:val="0"/>
                <w:sz w:val="20"/>
                <w:szCs w:val="20"/>
                <w:lang w:eastAsia="en-US" w:bidi="ar-SA"/>
              </w:rPr>
            </w:pPr>
          </w:p>
        </w:tc>
        <w:tc>
          <w:tcPr>
            <w:tcW w:w="1768" w:type="dxa"/>
            <w:gridSpan w:val="3"/>
            <w:tcBorders>
              <w:top w:val="single" w:sz="4" w:space="0" w:color="auto"/>
            </w:tcBorders>
            <w:shd w:val="clear" w:color="auto" w:fill="FFFFFF" w:themeFill="background1"/>
            <w:vAlign w:val="center"/>
          </w:tcPr>
          <w:p w14:paraId="7B9E5527"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0</w:t>
            </w:r>
          </w:p>
        </w:tc>
        <w:tc>
          <w:tcPr>
            <w:tcW w:w="1596" w:type="dxa"/>
            <w:gridSpan w:val="4"/>
            <w:tcBorders>
              <w:top w:val="single" w:sz="4" w:space="0" w:color="auto"/>
            </w:tcBorders>
            <w:shd w:val="clear" w:color="auto" w:fill="FFFFFF" w:themeFill="background1"/>
            <w:vAlign w:val="center"/>
          </w:tcPr>
          <w:p w14:paraId="0435B81A"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3</w:t>
            </w:r>
          </w:p>
        </w:tc>
        <w:tc>
          <w:tcPr>
            <w:tcW w:w="1703" w:type="dxa"/>
            <w:gridSpan w:val="3"/>
            <w:tcBorders>
              <w:top w:val="single" w:sz="4" w:space="0" w:color="auto"/>
            </w:tcBorders>
            <w:shd w:val="clear" w:color="auto" w:fill="FFFFFF" w:themeFill="background1"/>
            <w:vAlign w:val="center"/>
          </w:tcPr>
          <w:p w14:paraId="1BE46589"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3</w:t>
            </w:r>
          </w:p>
        </w:tc>
        <w:tc>
          <w:tcPr>
            <w:tcW w:w="1567" w:type="dxa"/>
            <w:gridSpan w:val="3"/>
            <w:shd w:val="clear" w:color="auto" w:fill="FFFFFF" w:themeFill="background1"/>
            <w:vAlign w:val="center"/>
          </w:tcPr>
          <w:p w14:paraId="2417F311"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3</w:t>
            </w:r>
          </w:p>
        </w:tc>
      </w:tr>
      <w:tr w:rsidR="00834649" w:rsidRPr="000F0299" w14:paraId="1F45532C" w14:textId="77777777" w:rsidTr="00834649">
        <w:trPr>
          <w:trHeight w:val="274"/>
          <w:jc w:val="center"/>
        </w:trPr>
        <w:tc>
          <w:tcPr>
            <w:tcW w:w="2297" w:type="dxa"/>
            <w:vMerge w:val="restart"/>
            <w:shd w:val="clear" w:color="auto" w:fill="auto"/>
          </w:tcPr>
          <w:p w14:paraId="07103165" w14:textId="77777777" w:rsidR="00834649" w:rsidRPr="000F0299" w:rsidRDefault="00834649" w:rsidP="003C0DA1">
            <w:pPr>
              <w:suppressAutoHyphens w:val="0"/>
              <w:autoSpaceDN/>
              <w:spacing w:before="0" w:after="5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16" w:type="dxa"/>
            <w:shd w:val="clear" w:color="auto" w:fill="FFFFFF" w:themeFill="background1"/>
            <w:vAlign w:val="center"/>
          </w:tcPr>
          <w:p w14:paraId="13439349"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2021</w:t>
            </w:r>
          </w:p>
        </w:tc>
        <w:tc>
          <w:tcPr>
            <w:tcW w:w="634" w:type="dxa"/>
            <w:shd w:val="clear" w:color="auto" w:fill="FFFFFF" w:themeFill="background1"/>
            <w:vAlign w:val="center"/>
          </w:tcPr>
          <w:p w14:paraId="227615B6"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2022</w:t>
            </w:r>
          </w:p>
        </w:tc>
        <w:tc>
          <w:tcPr>
            <w:tcW w:w="783" w:type="dxa"/>
            <w:gridSpan w:val="2"/>
            <w:shd w:val="clear" w:color="auto" w:fill="FFFFFF" w:themeFill="background1"/>
            <w:vAlign w:val="center"/>
          </w:tcPr>
          <w:p w14:paraId="272BB7D1"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2023</w:t>
            </w:r>
          </w:p>
        </w:tc>
        <w:tc>
          <w:tcPr>
            <w:tcW w:w="664" w:type="dxa"/>
            <w:shd w:val="clear" w:color="auto" w:fill="FFFFFF" w:themeFill="background1"/>
            <w:vAlign w:val="center"/>
          </w:tcPr>
          <w:p w14:paraId="53379874"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2024</w:t>
            </w:r>
          </w:p>
        </w:tc>
        <w:tc>
          <w:tcPr>
            <w:tcW w:w="667" w:type="dxa"/>
            <w:gridSpan w:val="2"/>
            <w:shd w:val="clear" w:color="auto" w:fill="FFFFFF" w:themeFill="background1"/>
            <w:vAlign w:val="center"/>
          </w:tcPr>
          <w:p w14:paraId="16E07794"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2025</w:t>
            </w:r>
          </w:p>
        </w:tc>
        <w:tc>
          <w:tcPr>
            <w:tcW w:w="660" w:type="dxa"/>
            <w:shd w:val="clear" w:color="auto" w:fill="FFFFFF" w:themeFill="background1"/>
            <w:vAlign w:val="center"/>
          </w:tcPr>
          <w:p w14:paraId="3C582FA6"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2026</w:t>
            </w:r>
          </w:p>
        </w:tc>
        <w:tc>
          <w:tcPr>
            <w:tcW w:w="667" w:type="dxa"/>
            <w:shd w:val="clear" w:color="auto" w:fill="FFFFFF" w:themeFill="background1"/>
            <w:vAlign w:val="center"/>
          </w:tcPr>
          <w:p w14:paraId="1E28C6B4"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2027</w:t>
            </w:r>
          </w:p>
        </w:tc>
        <w:tc>
          <w:tcPr>
            <w:tcW w:w="652" w:type="dxa"/>
            <w:gridSpan w:val="2"/>
            <w:shd w:val="clear" w:color="auto" w:fill="FFFFFF" w:themeFill="background1"/>
            <w:vAlign w:val="center"/>
          </w:tcPr>
          <w:p w14:paraId="1D5BA13D"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2028</w:t>
            </w:r>
          </w:p>
        </w:tc>
        <w:tc>
          <w:tcPr>
            <w:tcW w:w="660" w:type="dxa"/>
            <w:shd w:val="clear" w:color="auto" w:fill="FFFFFF" w:themeFill="background1"/>
            <w:vAlign w:val="center"/>
          </w:tcPr>
          <w:p w14:paraId="5F455D53"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2029</w:t>
            </w:r>
          </w:p>
        </w:tc>
        <w:tc>
          <w:tcPr>
            <w:tcW w:w="631" w:type="dxa"/>
            <w:shd w:val="clear" w:color="auto" w:fill="FFFFFF" w:themeFill="background1"/>
            <w:vAlign w:val="center"/>
          </w:tcPr>
          <w:p w14:paraId="031A33E4"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2030</w:t>
            </w:r>
          </w:p>
        </w:tc>
      </w:tr>
      <w:tr w:rsidR="00834649" w:rsidRPr="000F0299" w14:paraId="6720BD33" w14:textId="77777777" w:rsidTr="00834649">
        <w:trPr>
          <w:trHeight w:val="160"/>
          <w:jc w:val="center"/>
        </w:trPr>
        <w:tc>
          <w:tcPr>
            <w:tcW w:w="2297" w:type="dxa"/>
            <w:vMerge/>
            <w:shd w:val="clear" w:color="auto" w:fill="auto"/>
          </w:tcPr>
          <w:p w14:paraId="4194924F" w14:textId="77777777" w:rsidR="00834649" w:rsidRPr="000F0299" w:rsidRDefault="00834649" w:rsidP="003C0DA1">
            <w:pPr>
              <w:suppressAutoHyphens w:val="0"/>
              <w:autoSpaceDN/>
              <w:spacing w:before="50" w:after="50"/>
              <w:ind w:firstLine="0"/>
              <w:textAlignment w:val="auto"/>
              <w:rPr>
                <w:rFonts w:eastAsiaTheme="minorHAnsi"/>
                <w:b/>
                <w:bCs/>
                <w:kern w:val="0"/>
                <w:sz w:val="20"/>
                <w:szCs w:val="20"/>
                <w:lang w:eastAsia="en-US" w:bidi="ar-SA"/>
              </w:rPr>
            </w:pPr>
          </w:p>
        </w:tc>
        <w:tc>
          <w:tcPr>
            <w:tcW w:w="616" w:type="dxa"/>
            <w:shd w:val="clear" w:color="auto" w:fill="FFFFFF" w:themeFill="background1"/>
            <w:vAlign w:val="center"/>
          </w:tcPr>
          <w:p w14:paraId="7BBDAA93"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p>
        </w:tc>
        <w:tc>
          <w:tcPr>
            <w:tcW w:w="634" w:type="dxa"/>
            <w:shd w:val="clear" w:color="auto" w:fill="FFFFFF" w:themeFill="background1"/>
          </w:tcPr>
          <w:p w14:paraId="3645CD5A"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N/A</w:t>
            </w:r>
          </w:p>
        </w:tc>
        <w:tc>
          <w:tcPr>
            <w:tcW w:w="783" w:type="dxa"/>
            <w:gridSpan w:val="2"/>
            <w:shd w:val="clear" w:color="auto" w:fill="FFFFFF" w:themeFill="background1"/>
          </w:tcPr>
          <w:p w14:paraId="2EE3CA97"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N/A</w:t>
            </w:r>
          </w:p>
        </w:tc>
        <w:tc>
          <w:tcPr>
            <w:tcW w:w="664" w:type="dxa"/>
            <w:shd w:val="clear" w:color="auto" w:fill="FFFFFF" w:themeFill="background1"/>
          </w:tcPr>
          <w:p w14:paraId="73DFD4F9"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4</w:t>
            </w:r>
          </w:p>
        </w:tc>
        <w:tc>
          <w:tcPr>
            <w:tcW w:w="667" w:type="dxa"/>
            <w:gridSpan w:val="2"/>
            <w:shd w:val="clear" w:color="auto" w:fill="FFFFFF" w:themeFill="background1"/>
          </w:tcPr>
          <w:p w14:paraId="6CFA57A7"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N/A</w:t>
            </w:r>
          </w:p>
        </w:tc>
        <w:tc>
          <w:tcPr>
            <w:tcW w:w="660" w:type="dxa"/>
            <w:shd w:val="clear" w:color="auto" w:fill="FFFFFF" w:themeFill="background1"/>
          </w:tcPr>
          <w:p w14:paraId="5B01A3F8"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N/A</w:t>
            </w:r>
          </w:p>
        </w:tc>
        <w:tc>
          <w:tcPr>
            <w:tcW w:w="667" w:type="dxa"/>
            <w:shd w:val="clear" w:color="auto" w:fill="FFFFFF" w:themeFill="background1"/>
          </w:tcPr>
          <w:p w14:paraId="68FC3623"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5</w:t>
            </w:r>
          </w:p>
        </w:tc>
        <w:tc>
          <w:tcPr>
            <w:tcW w:w="652" w:type="dxa"/>
            <w:gridSpan w:val="2"/>
            <w:shd w:val="clear" w:color="auto" w:fill="FFFFFF" w:themeFill="background1"/>
          </w:tcPr>
          <w:p w14:paraId="2EB5BCC6"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N/A</w:t>
            </w:r>
          </w:p>
        </w:tc>
        <w:tc>
          <w:tcPr>
            <w:tcW w:w="660" w:type="dxa"/>
            <w:shd w:val="clear" w:color="auto" w:fill="FFFFFF" w:themeFill="background1"/>
          </w:tcPr>
          <w:p w14:paraId="0D17CC87"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N/A</w:t>
            </w:r>
          </w:p>
        </w:tc>
        <w:tc>
          <w:tcPr>
            <w:tcW w:w="631" w:type="dxa"/>
            <w:shd w:val="clear" w:color="auto" w:fill="FFFFFF" w:themeFill="background1"/>
          </w:tcPr>
          <w:p w14:paraId="650E0D4A" w14:textId="77777777" w:rsidR="00834649" w:rsidRPr="000F0299" w:rsidRDefault="00834649" w:rsidP="00B426A0">
            <w:pPr>
              <w:suppressAutoHyphens w:val="0"/>
              <w:autoSpaceDN/>
              <w:spacing w:before="50" w:after="5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5</w:t>
            </w:r>
          </w:p>
        </w:tc>
      </w:tr>
      <w:tr w:rsidR="00834649" w:rsidRPr="000F0299" w14:paraId="47658902" w14:textId="77777777" w:rsidTr="00834649">
        <w:trPr>
          <w:trHeight w:val="160"/>
          <w:jc w:val="center"/>
        </w:trPr>
        <w:tc>
          <w:tcPr>
            <w:tcW w:w="2297" w:type="dxa"/>
            <w:shd w:val="clear" w:color="auto" w:fill="auto"/>
          </w:tcPr>
          <w:p w14:paraId="6E074E40" w14:textId="77777777" w:rsidR="00834649" w:rsidRPr="000F0299" w:rsidRDefault="00834649" w:rsidP="003C0DA1">
            <w:pPr>
              <w:suppressAutoHyphens w:val="0"/>
              <w:autoSpaceDN/>
              <w:spacing w:before="50" w:after="5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634" w:type="dxa"/>
            <w:gridSpan w:val="13"/>
            <w:shd w:val="clear" w:color="auto" w:fill="FFFFFF" w:themeFill="background1"/>
            <w:vAlign w:val="center"/>
          </w:tcPr>
          <w:p w14:paraId="2951EFB4" w14:textId="77777777" w:rsidR="00834649" w:rsidRPr="000F0299" w:rsidRDefault="00834649" w:rsidP="00834649">
            <w:pPr>
              <w:suppressAutoHyphens w:val="0"/>
              <w:autoSpaceDN/>
              <w:spacing w:before="50" w:after="5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Прихватљиво је одступање од једне оцене на планираној скали током периода остваривања Стратегије односно на крају 2030. године</w:t>
            </w:r>
          </w:p>
        </w:tc>
      </w:tr>
    </w:tbl>
    <w:bookmarkEnd w:id="343"/>
    <w:p w14:paraId="1E1D4ED8" w14:textId="58F39057" w:rsidR="00834649" w:rsidRPr="000F0299" w:rsidRDefault="00834649" w:rsidP="002309DC">
      <w:pPr>
        <w:ind w:firstLine="0"/>
        <w:rPr>
          <w:b/>
          <w:bCs/>
          <w:color w:val="2F5496" w:themeColor="accent1" w:themeShade="BF"/>
        </w:rPr>
      </w:pPr>
      <w:r w:rsidRPr="000F0299">
        <w:rPr>
          <w:b/>
          <w:bCs/>
          <w:color w:val="2F5496" w:themeColor="accent1" w:themeShade="BF"/>
        </w:rPr>
        <w:t>Показатељ 2</w:t>
      </w:r>
    </w:p>
    <w:tbl>
      <w:tblPr>
        <w:tblW w:w="5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9"/>
        <w:gridCol w:w="696"/>
        <w:gridCol w:w="697"/>
        <w:gridCol w:w="343"/>
        <w:gridCol w:w="352"/>
        <w:gridCol w:w="375"/>
        <w:gridCol w:w="323"/>
        <w:gridCol w:w="697"/>
        <w:gridCol w:w="697"/>
        <w:gridCol w:w="696"/>
        <w:gridCol w:w="347"/>
        <w:gridCol w:w="351"/>
        <w:gridCol w:w="696"/>
        <w:gridCol w:w="696"/>
      </w:tblGrid>
      <w:tr w:rsidR="00822ADB" w:rsidRPr="000F0299" w14:paraId="5388051A" w14:textId="77777777" w:rsidTr="00A932F9">
        <w:trPr>
          <w:jc w:val="center"/>
        </w:trPr>
        <w:tc>
          <w:tcPr>
            <w:tcW w:w="1225" w:type="pct"/>
            <w:shd w:val="clear" w:color="auto" w:fill="6C7781"/>
            <w:vAlign w:val="center"/>
          </w:tcPr>
          <w:p w14:paraId="1759F7C7" w14:textId="77777777" w:rsidR="00B426A0" w:rsidRPr="000F0299" w:rsidRDefault="00B426A0" w:rsidP="00B1535C">
            <w:pPr>
              <w:suppressAutoHyphens w:val="0"/>
              <w:autoSpaceDN/>
              <w:spacing w:before="0" w:after="0"/>
              <w:ind w:firstLine="0"/>
              <w:textAlignment w:val="auto"/>
              <w:rPr>
                <w:rFonts w:eastAsiaTheme="minorHAnsi"/>
                <w:b/>
                <w:bCs/>
                <w:color w:val="FFFFFF" w:themeColor="background1"/>
                <w:kern w:val="0"/>
                <w:sz w:val="20"/>
                <w:szCs w:val="20"/>
                <w:lang w:eastAsia="en-US" w:bidi="ar-SA"/>
              </w:rPr>
            </w:pPr>
            <w:r w:rsidRPr="000F0299">
              <w:rPr>
                <w:rFonts w:eastAsiaTheme="minorHAnsi"/>
                <w:b/>
                <w:bCs/>
                <w:color w:val="FFFFFF" w:themeColor="background1"/>
                <w:kern w:val="0"/>
                <w:sz w:val="20"/>
                <w:szCs w:val="20"/>
                <w:lang w:eastAsia="en-US" w:bidi="ar-SA"/>
              </w:rPr>
              <w:t>Назив показатеља</w:t>
            </w:r>
          </w:p>
        </w:tc>
        <w:tc>
          <w:tcPr>
            <w:tcW w:w="3775" w:type="pct"/>
            <w:gridSpan w:val="13"/>
            <w:shd w:val="clear" w:color="auto" w:fill="6C7781"/>
            <w:vAlign w:val="center"/>
          </w:tcPr>
          <w:p w14:paraId="71834201" w14:textId="77777777" w:rsidR="00B426A0" w:rsidRPr="000F0299" w:rsidRDefault="00B426A0" w:rsidP="000A57EA">
            <w:pPr>
              <w:suppressAutoHyphens w:val="0"/>
              <w:autoSpaceDN/>
              <w:spacing w:before="0" w:after="0"/>
              <w:ind w:firstLine="0"/>
              <w:jc w:val="left"/>
              <w:textAlignment w:val="auto"/>
              <w:rPr>
                <w:rFonts w:eastAsiaTheme="minorHAnsi"/>
                <w:b/>
                <w:color w:val="FFFFFF" w:themeColor="background1"/>
                <w:kern w:val="0"/>
                <w:sz w:val="20"/>
                <w:szCs w:val="20"/>
                <w:lang w:eastAsia="en-US" w:bidi="ar-SA"/>
              </w:rPr>
            </w:pPr>
            <w:r w:rsidRPr="000F0299">
              <w:rPr>
                <w:rFonts w:eastAsiaTheme="minorHAnsi"/>
                <w:b/>
                <w:color w:val="FFFFFF" w:themeColor="background1"/>
                <w:kern w:val="0"/>
                <w:sz w:val="20"/>
                <w:szCs w:val="20"/>
                <w:lang w:eastAsia="en-US" w:bidi="ar-SA"/>
              </w:rPr>
              <w:t xml:space="preserve">Удео расхода ЛС у консолидованим јавним расходима у Републици Србији </w:t>
            </w:r>
          </w:p>
        </w:tc>
      </w:tr>
      <w:tr w:rsidR="00822ADB" w:rsidRPr="000F0299" w14:paraId="2172F2F5" w14:textId="77777777" w:rsidTr="00A932F9">
        <w:trPr>
          <w:jc w:val="center"/>
        </w:trPr>
        <w:tc>
          <w:tcPr>
            <w:tcW w:w="1225" w:type="pct"/>
            <w:shd w:val="clear" w:color="auto" w:fill="auto"/>
          </w:tcPr>
          <w:p w14:paraId="2438ABDC"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bookmarkStart w:id="344" w:name="_Hlk57115024"/>
            <w:r w:rsidRPr="000F0299">
              <w:rPr>
                <w:rFonts w:eastAsiaTheme="minorHAnsi"/>
                <w:b/>
                <w:bCs/>
                <w:kern w:val="0"/>
                <w:sz w:val="20"/>
                <w:szCs w:val="20"/>
                <w:lang w:eastAsia="en-US" w:bidi="ar-SA"/>
              </w:rPr>
              <w:t>Одговарајући општи, посебни циљ или мера</w:t>
            </w:r>
          </w:p>
        </w:tc>
        <w:tc>
          <w:tcPr>
            <w:tcW w:w="3775" w:type="pct"/>
            <w:gridSpan w:val="13"/>
            <w:shd w:val="clear" w:color="auto" w:fill="FFFFFF" w:themeFill="background1"/>
          </w:tcPr>
          <w:p w14:paraId="2D25E29A" w14:textId="77777777" w:rsidR="00B426A0" w:rsidRPr="000F0299" w:rsidRDefault="00B426A0" w:rsidP="00B1535C">
            <w:pPr>
              <w:tabs>
                <w:tab w:val="left" w:pos="152"/>
              </w:tabs>
              <w:suppressAutoHyphens w:val="0"/>
              <w:autoSpaceDN/>
              <w:spacing w:before="0" w:after="0"/>
              <w:ind w:firstLine="0"/>
              <w:textAlignment w:val="auto"/>
              <w:rPr>
                <w:rFonts w:eastAsiaTheme="minorHAnsi"/>
                <w:bCs/>
                <w:kern w:val="24"/>
                <w:sz w:val="20"/>
                <w:szCs w:val="20"/>
                <w:lang w:eastAsia="en-US" w:bidi="ar-SA"/>
              </w:rPr>
            </w:pPr>
            <w:r w:rsidRPr="000F0299">
              <w:rPr>
                <w:rFonts w:eastAsiaTheme="minorHAnsi"/>
                <w:b/>
                <w:kern w:val="24"/>
                <w:sz w:val="20"/>
                <w:szCs w:val="20"/>
                <w:lang w:eastAsia="en-US" w:bidi="ar-SA"/>
              </w:rPr>
              <w:t>Посебан циљ 5.1</w:t>
            </w:r>
            <w:r w:rsidRPr="000F0299">
              <w:rPr>
                <w:rFonts w:eastAsiaTheme="minorHAnsi"/>
                <w:bCs/>
                <w:kern w:val="24"/>
                <w:sz w:val="20"/>
                <w:szCs w:val="20"/>
                <w:lang w:eastAsia="en-US" w:bidi="ar-SA"/>
              </w:rPr>
              <w:t>:Успостављање система локалне самоуправе који омогућава ефикасно и одрживо остваривање права грађана на локалну самоуправу</w:t>
            </w:r>
          </w:p>
        </w:tc>
      </w:tr>
      <w:tr w:rsidR="00822ADB" w:rsidRPr="000F0299" w14:paraId="3A55A837" w14:textId="77777777" w:rsidTr="00A932F9">
        <w:trPr>
          <w:jc w:val="center"/>
        </w:trPr>
        <w:tc>
          <w:tcPr>
            <w:tcW w:w="1225" w:type="pct"/>
            <w:shd w:val="clear" w:color="auto" w:fill="auto"/>
          </w:tcPr>
          <w:p w14:paraId="51DF5FA5"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kern w:val="24"/>
                <w:sz w:val="20"/>
                <w:szCs w:val="20"/>
                <w:lang w:eastAsia="en-US" w:bidi="ar-SA"/>
              </w:rPr>
              <w:t>Тип и ниво показатеља</w:t>
            </w:r>
          </w:p>
        </w:tc>
        <w:tc>
          <w:tcPr>
            <w:tcW w:w="1335" w:type="pct"/>
            <w:gridSpan w:val="5"/>
            <w:shd w:val="clear" w:color="auto" w:fill="FFFFFF" w:themeFill="background1"/>
          </w:tcPr>
          <w:p w14:paraId="01651117" w14:textId="0D8147A7" w:rsidR="00B426A0" w:rsidRPr="000F0299" w:rsidRDefault="001B2E03" w:rsidP="00B1535C">
            <w:pPr>
              <w:tabs>
                <w:tab w:val="left" w:pos="152"/>
              </w:tabs>
              <w:suppressAutoHyphens w:val="0"/>
              <w:autoSpaceDN/>
              <w:spacing w:before="0" w:after="0"/>
              <w:ind w:firstLine="0"/>
              <w:textAlignment w:val="auto"/>
              <w:rPr>
                <w:rFonts w:eastAsiaTheme="minorHAnsi"/>
                <w:bCs/>
                <w:color w:val="000000" w:themeColor="text1"/>
                <w:kern w:val="24"/>
                <w:sz w:val="20"/>
                <w:szCs w:val="20"/>
                <w:lang w:eastAsia="en-US" w:bidi="ar-SA"/>
              </w:rPr>
            </w:pPr>
            <w:r w:rsidRPr="000F0299">
              <w:rPr>
                <w:rFonts w:eastAsiaTheme="minorHAnsi"/>
                <w:bCs/>
                <w:color w:val="000000" w:themeColor="text1"/>
                <w:kern w:val="24"/>
                <w:sz w:val="20"/>
                <w:szCs w:val="20"/>
                <w:lang w:eastAsia="en-US" w:bidi="ar-SA"/>
              </w:rPr>
              <w:t>Квалитативни</w:t>
            </w:r>
            <w:r w:rsidR="00B426A0" w:rsidRPr="000F0299">
              <w:rPr>
                <w:rFonts w:eastAsiaTheme="minorHAnsi"/>
                <w:bCs/>
                <w:color w:val="000000" w:themeColor="text1"/>
                <w:kern w:val="24"/>
                <w:sz w:val="20"/>
                <w:szCs w:val="20"/>
                <w:lang w:eastAsia="en-US" w:bidi="ar-SA"/>
              </w:rPr>
              <w:t xml:space="preserve"> и квантитативни</w:t>
            </w:r>
          </w:p>
        </w:tc>
        <w:tc>
          <w:tcPr>
            <w:tcW w:w="2440" w:type="pct"/>
            <w:gridSpan w:val="8"/>
            <w:shd w:val="clear" w:color="auto" w:fill="FFFFFF" w:themeFill="background1"/>
          </w:tcPr>
          <w:p w14:paraId="1D4D5229" w14:textId="77777777" w:rsidR="00B426A0" w:rsidRPr="000F0299" w:rsidRDefault="00B426A0" w:rsidP="00B1535C">
            <w:pPr>
              <w:suppressAutoHyphens w:val="0"/>
              <w:autoSpaceDN/>
              <w:spacing w:before="0" w:after="0"/>
              <w:ind w:firstLine="0"/>
              <w:textAlignment w:val="auto"/>
              <w:rPr>
                <w:rFonts w:eastAsiaTheme="minorHAnsi"/>
                <w:bCs/>
                <w:color w:val="000000" w:themeColor="text1"/>
                <w:kern w:val="24"/>
                <w:sz w:val="20"/>
                <w:szCs w:val="20"/>
                <w:lang w:eastAsia="en-US" w:bidi="ar-SA"/>
              </w:rPr>
            </w:pPr>
            <w:r w:rsidRPr="000F0299">
              <w:rPr>
                <w:rFonts w:eastAsiaTheme="minorHAnsi"/>
                <w:bCs/>
                <w:color w:val="000000" w:themeColor="text1"/>
                <w:kern w:val="24"/>
                <w:sz w:val="20"/>
                <w:szCs w:val="20"/>
                <w:lang w:eastAsia="en-US" w:bidi="ar-SA"/>
              </w:rPr>
              <w:t>Показатељ на нивоу општег циља</w:t>
            </w:r>
          </w:p>
        </w:tc>
      </w:tr>
      <w:tr w:rsidR="00822ADB" w:rsidRPr="000F0299" w14:paraId="2012AF39" w14:textId="77777777" w:rsidTr="00A932F9">
        <w:trPr>
          <w:trHeight w:val="373"/>
          <w:jc w:val="center"/>
        </w:trPr>
        <w:tc>
          <w:tcPr>
            <w:tcW w:w="1225" w:type="pct"/>
            <w:shd w:val="clear" w:color="auto" w:fill="auto"/>
          </w:tcPr>
          <w:p w14:paraId="0323299A" w14:textId="77777777" w:rsidR="00B426A0" w:rsidRPr="000F0299" w:rsidRDefault="00B426A0" w:rsidP="00B1535C">
            <w:pPr>
              <w:suppressAutoHyphens w:val="0"/>
              <w:autoSpaceDN/>
              <w:spacing w:before="0" w:after="0"/>
              <w:ind w:firstLine="0"/>
              <w:textAlignment w:val="auto"/>
              <w:rPr>
                <w:rFonts w:eastAsiaTheme="minorHAnsi"/>
                <w:b/>
                <w:kern w:val="24"/>
                <w:sz w:val="20"/>
                <w:szCs w:val="20"/>
                <w:lang w:eastAsia="en-US" w:bidi="ar-SA"/>
              </w:rPr>
            </w:pPr>
            <w:r w:rsidRPr="000F0299">
              <w:rPr>
                <w:rFonts w:eastAsiaTheme="minorHAnsi"/>
                <w:b/>
                <w:kern w:val="24"/>
                <w:sz w:val="20"/>
                <w:szCs w:val="20"/>
                <w:lang w:eastAsia="en-US" w:bidi="ar-SA"/>
              </w:rPr>
              <w:t>Јединица мере и природа</w:t>
            </w:r>
          </w:p>
        </w:tc>
        <w:tc>
          <w:tcPr>
            <w:tcW w:w="1335" w:type="pct"/>
            <w:gridSpan w:val="5"/>
            <w:shd w:val="clear" w:color="auto" w:fill="FFFFFF" w:themeFill="background1"/>
          </w:tcPr>
          <w:p w14:paraId="76FFAC0B" w14:textId="77777777" w:rsidR="00B426A0" w:rsidRPr="000F0299" w:rsidRDefault="00B426A0" w:rsidP="00B1535C">
            <w:pPr>
              <w:tabs>
                <w:tab w:val="left" w:pos="152"/>
              </w:tabs>
              <w:suppressAutoHyphens w:val="0"/>
              <w:autoSpaceDN/>
              <w:spacing w:before="0" w:after="0"/>
              <w:ind w:firstLine="0"/>
              <w:textAlignment w:val="auto"/>
              <w:rPr>
                <w:rFonts w:eastAsiaTheme="minorHAnsi"/>
                <w:color w:val="000000" w:themeColor="text1"/>
                <w:kern w:val="0"/>
                <w:sz w:val="20"/>
                <w:szCs w:val="20"/>
                <w:lang w:eastAsia="en-US" w:bidi="ar-SA"/>
              </w:rPr>
            </w:pPr>
            <w:r w:rsidRPr="000F0299">
              <w:rPr>
                <w:rFonts w:eastAsiaTheme="minorHAnsi"/>
                <w:bCs/>
                <w:color w:val="000000" w:themeColor="text1"/>
                <w:kern w:val="24"/>
                <w:sz w:val="20"/>
                <w:szCs w:val="20"/>
                <w:lang w:eastAsia="en-US" w:bidi="ar-SA"/>
              </w:rPr>
              <w:t>Учешће локалних расхода у консолидованим јавним расходима</w:t>
            </w:r>
            <w:r w:rsidRPr="000F0299">
              <w:rPr>
                <w:rFonts w:eastAsiaTheme="minorHAnsi"/>
                <w:color w:val="000000" w:themeColor="text1"/>
                <w:kern w:val="0"/>
                <w:sz w:val="20"/>
                <w:szCs w:val="20"/>
                <w:lang w:eastAsia="en-US" w:bidi="ar-SA"/>
              </w:rPr>
              <w:t xml:space="preserve"> </w:t>
            </w:r>
          </w:p>
        </w:tc>
        <w:tc>
          <w:tcPr>
            <w:tcW w:w="2440" w:type="pct"/>
            <w:gridSpan w:val="8"/>
            <w:shd w:val="clear" w:color="auto" w:fill="FFFFFF" w:themeFill="background1"/>
          </w:tcPr>
          <w:p w14:paraId="49781D8E" w14:textId="77777777" w:rsidR="00B426A0" w:rsidRPr="000F0299" w:rsidRDefault="00B426A0" w:rsidP="00B1535C">
            <w:pPr>
              <w:suppressAutoHyphens w:val="0"/>
              <w:autoSpaceDN/>
              <w:spacing w:before="0" w:after="0"/>
              <w:ind w:firstLine="0"/>
              <w:textAlignment w:val="auto"/>
              <w:rPr>
                <w:rFonts w:eastAsia="Arial"/>
                <w:color w:val="000000" w:themeColor="text1"/>
                <w:spacing w:val="-1"/>
                <w:kern w:val="24"/>
                <w:sz w:val="20"/>
                <w:szCs w:val="20"/>
                <w:lang w:eastAsia="en-US" w:bidi="ar-SA"/>
              </w:rPr>
            </w:pPr>
            <w:r w:rsidRPr="000F0299">
              <w:rPr>
                <w:rFonts w:eastAsia="Arial"/>
                <w:color w:val="000000" w:themeColor="text1"/>
                <w:spacing w:val="-1"/>
                <w:kern w:val="24"/>
                <w:sz w:val="20"/>
                <w:szCs w:val="20"/>
                <w:lang w:eastAsia="en-US" w:bidi="ar-SA"/>
              </w:rPr>
              <w:t>Пожељна је већа вредност</w:t>
            </w:r>
          </w:p>
        </w:tc>
      </w:tr>
      <w:bookmarkEnd w:id="344"/>
      <w:tr w:rsidR="00822ADB" w:rsidRPr="000F0299" w14:paraId="60728200" w14:textId="77777777" w:rsidTr="00A932F9">
        <w:trPr>
          <w:jc w:val="center"/>
        </w:trPr>
        <w:tc>
          <w:tcPr>
            <w:tcW w:w="1225" w:type="pct"/>
            <w:shd w:val="clear" w:color="auto" w:fill="auto"/>
          </w:tcPr>
          <w:p w14:paraId="07D8E0FF"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3775" w:type="pct"/>
            <w:gridSpan w:val="13"/>
            <w:shd w:val="clear" w:color="auto" w:fill="FFFFFF" w:themeFill="background1"/>
          </w:tcPr>
          <w:p w14:paraId="263C4E76" w14:textId="06FB1056" w:rsidR="00B426A0" w:rsidRPr="000F0299" w:rsidRDefault="00B426A0" w:rsidP="00B1535C">
            <w:pPr>
              <w:suppressAutoHyphens w:val="0"/>
              <w:autoSpaceDN/>
              <w:spacing w:before="0" w:after="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Подаци из Месечног билтена јавних финансија </w:t>
            </w:r>
            <w:hyperlink r:id="rId218" w:history="1">
              <w:r w:rsidR="00365B17" w:rsidRPr="000F0299">
                <w:rPr>
                  <w:rStyle w:val="Hyperlink"/>
                  <w:rFonts w:eastAsiaTheme="minorHAnsi"/>
                  <w:kern w:val="0"/>
                  <w:sz w:val="20"/>
                  <w:szCs w:val="20"/>
                  <w:lang w:eastAsia="en-US" w:bidi="ar-SA"/>
                </w:rPr>
                <w:t>https://www.mfin.gov.rs/vrsta-aktivnosti/bilten-javnih-finansija/</w:t>
              </w:r>
            </w:hyperlink>
            <w:r w:rsidR="00365B17" w:rsidRPr="000F0299">
              <w:rPr>
                <w:rFonts w:eastAsiaTheme="minorHAnsi"/>
                <w:color w:val="000000" w:themeColor="text1"/>
                <w:kern w:val="0"/>
                <w:sz w:val="20"/>
                <w:szCs w:val="20"/>
                <w:lang w:eastAsia="en-US" w:bidi="ar-SA"/>
              </w:rPr>
              <w:t xml:space="preserve"> </w:t>
            </w:r>
          </w:p>
          <w:p w14:paraId="729AC4B4" w14:textId="6223E228" w:rsidR="00B426A0" w:rsidRPr="000F0299" w:rsidRDefault="00B426A0" w:rsidP="00B1535C">
            <w:pPr>
              <w:suppressAutoHyphens w:val="0"/>
              <w:autoSpaceDN/>
              <w:spacing w:before="0" w:after="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Подаци Управе за трезор, Министарства финансија,</w:t>
            </w:r>
            <w:r w:rsidRPr="000F0299">
              <w:rPr>
                <w:rFonts w:asciiTheme="minorHAnsi" w:eastAsiaTheme="minorHAnsi" w:hAnsiTheme="minorHAnsi" w:cstheme="minorBidi"/>
                <w:kern w:val="0"/>
                <w:sz w:val="22"/>
                <w:szCs w:val="22"/>
                <w:lang w:eastAsia="en-US" w:bidi="ar-SA"/>
              </w:rPr>
              <w:t xml:space="preserve"> </w:t>
            </w:r>
            <w:hyperlink r:id="rId219" w:history="1">
              <w:r w:rsidR="00365B17" w:rsidRPr="000F0299">
                <w:rPr>
                  <w:rStyle w:val="Hyperlink"/>
                  <w:rFonts w:eastAsiaTheme="minorHAnsi"/>
                  <w:kern w:val="0"/>
                  <w:sz w:val="20"/>
                  <w:szCs w:val="20"/>
                  <w:lang w:eastAsia="en-US" w:bidi="ar-SA"/>
                </w:rPr>
                <w:t>https://www.trezor.gov.rs/src/services/</w:t>
              </w:r>
            </w:hyperlink>
            <w:r w:rsidR="00365B17" w:rsidRPr="000F0299">
              <w:rPr>
                <w:rFonts w:eastAsiaTheme="minorHAnsi"/>
                <w:color w:val="000000" w:themeColor="text1"/>
                <w:kern w:val="0"/>
                <w:sz w:val="20"/>
                <w:szCs w:val="20"/>
                <w:lang w:eastAsia="en-US" w:bidi="ar-SA"/>
              </w:rPr>
              <w:t xml:space="preserve"> </w:t>
            </w:r>
          </w:p>
          <w:p w14:paraId="3679244E" w14:textId="15A80E3F" w:rsidR="00B426A0" w:rsidRPr="000F0299" w:rsidRDefault="00B426A0" w:rsidP="00B1535C">
            <w:pPr>
              <w:suppressAutoHyphens w:val="0"/>
              <w:autoSpaceDN/>
              <w:spacing w:before="0" w:after="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Подаци из аналитичког сервиса ЈЛС, МДУЛС и РСЈП </w:t>
            </w:r>
            <w:hyperlink r:id="rId220" w:history="1">
              <w:r w:rsidRPr="000F0299">
                <w:rPr>
                  <w:rStyle w:val="Hyperlink"/>
                  <w:rFonts w:eastAsiaTheme="minorHAnsi"/>
                  <w:sz w:val="20"/>
                  <w:szCs w:val="20"/>
                </w:rPr>
                <w:t>https://rsjp.gov.rs/jls-baza/</w:t>
              </w:r>
            </w:hyperlink>
            <w:r w:rsidR="00365B17" w:rsidRPr="000F0299">
              <w:rPr>
                <w:rStyle w:val="Hyperlink"/>
                <w:rFonts w:eastAsiaTheme="minorHAnsi"/>
                <w:sz w:val="20"/>
                <w:szCs w:val="20"/>
              </w:rPr>
              <w:t xml:space="preserve"> </w:t>
            </w:r>
          </w:p>
        </w:tc>
      </w:tr>
      <w:tr w:rsidR="00822ADB" w:rsidRPr="000F0299" w14:paraId="536F39B1" w14:textId="77777777" w:rsidTr="00A932F9">
        <w:trPr>
          <w:jc w:val="center"/>
        </w:trPr>
        <w:tc>
          <w:tcPr>
            <w:tcW w:w="1225" w:type="pct"/>
            <w:shd w:val="clear" w:color="auto" w:fill="auto"/>
          </w:tcPr>
          <w:p w14:paraId="23F226A6"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3775" w:type="pct"/>
            <w:gridSpan w:val="13"/>
            <w:shd w:val="clear" w:color="auto" w:fill="FFFFFF" w:themeFill="background1"/>
          </w:tcPr>
          <w:p w14:paraId="1BC17052" w14:textId="5ADA312B" w:rsidR="00B426A0" w:rsidRPr="0003570C" w:rsidRDefault="00B426A0" w:rsidP="00B1535C">
            <w:pPr>
              <w:suppressAutoHyphens w:val="0"/>
              <w:autoSpaceDN/>
              <w:spacing w:before="0" w:after="0"/>
              <w:ind w:firstLine="0"/>
              <w:textAlignment w:val="auto"/>
              <w:rPr>
                <w:rFonts w:eastAsiaTheme="minorHAnsi"/>
                <w:kern w:val="0"/>
                <w:sz w:val="20"/>
                <w:szCs w:val="20"/>
                <w:lang w:eastAsia="en-US" w:bidi="ar-SA"/>
              </w:rPr>
            </w:pPr>
            <w:r w:rsidRPr="0003570C">
              <w:rPr>
                <w:rFonts w:eastAsiaTheme="minorHAnsi"/>
                <w:kern w:val="0"/>
                <w:sz w:val="20"/>
                <w:szCs w:val="20"/>
                <w:lang w:eastAsia="en-US" w:bidi="ar-SA"/>
              </w:rPr>
              <w:t>Министарство ф</w:t>
            </w:r>
            <w:r w:rsidR="00632F5B" w:rsidRPr="0003570C">
              <w:rPr>
                <w:rFonts w:eastAsiaTheme="minorHAnsi"/>
                <w:kern w:val="0"/>
                <w:sz w:val="20"/>
                <w:szCs w:val="20"/>
                <w:lang w:eastAsia="en-US" w:bidi="ar-SA"/>
              </w:rPr>
              <w:t>инансија</w:t>
            </w:r>
          </w:p>
          <w:p w14:paraId="66FEAE3D" w14:textId="1FE22F35" w:rsidR="00B426A0" w:rsidRPr="000F0299" w:rsidRDefault="00632F5B" w:rsidP="00632F5B">
            <w:pPr>
              <w:suppressAutoHyphens w:val="0"/>
              <w:autoSpaceDN/>
              <w:spacing w:before="0" w:after="0"/>
              <w:ind w:firstLine="0"/>
              <w:textAlignment w:val="auto"/>
              <w:rPr>
                <w:rFonts w:eastAsiaTheme="minorHAnsi"/>
                <w:color w:val="000000" w:themeColor="text1"/>
                <w:kern w:val="0"/>
                <w:sz w:val="20"/>
                <w:szCs w:val="20"/>
                <w:lang w:eastAsia="en-US" w:bidi="ar-SA"/>
              </w:rPr>
            </w:pPr>
            <w:r>
              <w:rPr>
                <w:rFonts w:eastAsiaTheme="minorHAnsi"/>
                <w:color w:val="000000" w:themeColor="text1"/>
                <w:kern w:val="0"/>
                <w:sz w:val="20"/>
                <w:szCs w:val="20"/>
                <w:lang w:eastAsia="en-US" w:bidi="ar-SA"/>
              </w:rPr>
              <w:t>СКГО</w:t>
            </w:r>
            <w:r w:rsidR="00B426A0" w:rsidRPr="000F0299">
              <w:rPr>
                <w:rFonts w:eastAsiaTheme="minorHAnsi"/>
                <w:color w:val="FF0000"/>
                <w:kern w:val="0"/>
                <w:sz w:val="20"/>
                <w:szCs w:val="20"/>
                <w:lang w:eastAsia="en-US" w:bidi="ar-SA"/>
              </w:rPr>
              <w:t xml:space="preserve">  </w:t>
            </w:r>
          </w:p>
        </w:tc>
      </w:tr>
      <w:tr w:rsidR="00822ADB" w:rsidRPr="000F0299" w14:paraId="2EA10F16" w14:textId="77777777" w:rsidTr="00A932F9">
        <w:trPr>
          <w:jc w:val="center"/>
        </w:trPr>
        <w:tc>
          <w:tcPr>
            <w:tcW w:w="1225" w:type="pct"/>
            <w:shd w:val="clear" w:color="auto" w:fill="auto"/>
          </w:tcPr>
          <w:p w14:paraId="6D052BD7"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3775" w:type="pct"/>
            <w:gridSpan w:val="13"/>
            <w:shd w:val="clear" w:color="auto" w:fill="FFFFFF" w:themeFill="background1"/>
          </w:tcPr>
          <w:p w14:paraId="7A6FD090" w14:textId="4B5176FB" w:rsidR="00B426A0" w:rsidRPr="000F0299" w:rsidRDefault="00B426A0" w:rsidP="00B1535C">
            <w:pPr>
              <w:suppressAutoHyphens w:val="0"/>
              <w:autoSpaceDN/>
              <w:spacing w:before="0" w:after="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Подаци се прикупљају </w:t>
            </w:r>
            <w:r w:rsidR="001B2E03" w:rsidRPr="000F0299">
              <w:rPr>
                <w:rFonts w:eastAsiaTheme="minorHAnsi"/>
                <w:color w:val="000000" w:themeColor="text1"/>
                <w:kern w:val="0"/>
                <w:sz w:val="20"/>
                <w:szCs w:val="20"/>
                <w:lang w:eastAsia="en-US" w:bidi="ar-SA"/>
              </w:rPr>
              <w:t>до</w:t>
            </w:r>
            <w:r w:rsidRPr="000F0299">
              <w:rPr>
                <w:rFonts w:eastAsiaTheme="minorHAnsi"/>
                <w:color w:val="000000" w:themeColor="text1"/>
                <w:kern w:val="0"/>
                <w:sz w:val="20"/>
                <w:szCs w:val="20"/>
                <w:lang w:eastAsia="en-US" w:bidi="ar-SA"/>
              </w:rPr>
              <w:t xml:space="preserve"> 30. септембра текуће године за претходну. </w:t>
            </w:r>
          </w:p>
        </w:tc>
      </w:tr>
      <w:tr w:rsidR="00822ADB" w:rsidRPr="000F0299" w14:paraId="79D7FE6A" w14:textId="77777777" w:rsidTr="00A932F9">
        <w:trPr>
          <w:jc w:val="center"/>
        </w:trPr>
        <w:tc>
          <w:tcPr>
            <w:tcW w:w="1225" w:type="pct"/>
            <w:shd w:val="clear" w:color="auto" w:fill="auto"/>
          </w:tcPr>
          <w:p w14:paraId="73CC92AF" w14:textId="77777777" w:rsidR="00B426A0" w:rsidRPr="000F0299" w:rsidRDefault="00B426A0" w:rsidP="00B1535C">
            <w:pPr>
              <w:suppressAutoHyphens w:val="0"/>
              <w:autoSpaceDN/>
              <w:spacing w:before="0" w:after="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Кратак опис показатеља и методологије израчунавања</w:t>
            </w:r>
          </w:p>
          <w:p w14:paraId="0A243FA9" w14:textId="77777777" w:rsidR="00B426A0" w:rsidRPr="000F0299" w:rsidRDefault="00B426A0" w:rsidP="00B1535C">
            <w:pPr>
              <w:suppressAutoHyphens w:val="0"/>
              <w:autoSpaceDN/>
              <w:spacing w:before="0" w:after="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(формуле/ једначине)</w:t>
            </w:r>
          </w:p>
          <w:p w14:paraId="2BAAE214"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p>
          <w:p w14:paraId="55AFEF22"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p>
          <w:p w14:paraId="5975CB55"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p>
          <w:p w14:paraId="17066FDF"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p>
        </w:tc>
        <w:tc>
          <w:tcPr>
            <w:tcW w:w="3775" w:type="pct"/>
            <w:gridSpan w:val="13"/>
            <w:shd w:val="clear" w:color="auto" w:fill="FFFFFF" w:themeFill="background1"/>
          </w:tcPr>
          <w:p w14:paraId="6CFE7861" w14:textId="657E5AC8" w:rsidR="00B426A0" w:rsidRPr="000F0299" w:rsidRDefault="00B426A0" w:rsidP="00B1535C">
            <w:pPr>
              <w:suppressAutoHyphens w:val="0"/>
              <w:autoSpaceDN/>
              <w:spacing w:before="0" w:after="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Овај показатељ показује степен </w:t>
            </w:r>
            <w:r w:rsidR="001B2E03" w:rsidRPr="000F0299">
              <w:rPr>
                <w:rFonts w:eastAsiaTheme="minorHAnsi"/>
                <w:color w:val="000000" w:themeColor="text1"/>
                <w:kern w:val="0"/>
                <w:sz w:val="20"/>
                <w:szCs w:val="20"/>
                <w:lang w:eastAsia="en-US" w:bidi="ar-SA"/>
              </w:rPr>
              <w:t>учешћа</w:t>
            </w:r>
            <w:r w:rsidRPr="000F0299">
              <w:rPr>
                <w:rFonts w:eastAsiaTheme="minorHAnsi"/>
                <w:color w:val="000000" w:themeColor="text1"/>
                <w:kern w:val="0"/>
                <w:sz w:val="20"/>
                <w:szCs w:val="20"/>
                <w:lang w:eastAsia="en-US" w:bidi="ar-SA"/>
              </w:rPr>
              <w:t xml:space="preserve"> расхода ЛС у консолидованим јавним расходима. Раст процента учешћа локалних расхода указује на већу децентрализацију јавних послова коју треба да прати и већи удео у јавним расходима; повећање одговорности/надлежности и самосталности ЛС. Овај индикатор се израчунава тако што се укупни расходи локалне самоуправе (УРЛС) поделе са консолидованим јавним расходима.</w:t>
            </w:r>
          </w:p>
          <w:p w14:paraId="795D0E2E" w14:textId="77777777" w:rsidR="00B426A0" w:rsidRPr="000F0299" w:rsidRDefault="00B426A0" w:rsidP="000A57EA">
            <w:pPr>
              <w:suppressAutoHyphens w:val="0"/>
              <w:autoSpaceDN/>
              <w:spacing w:before="0" w:after="0"/>
              <w:ind w:firstLine="0"/>
              <w:jc w:val="center"/>
              <w:textAlignment w:val="auto"/>
              <w:rPr>
                <w:rFonts w:eastAsiaTheme="minorHAnsi"/>
                <w:b/>
                <w:color w:val="000000" w:themeColor="text1"/>
                <w:kern w:val="0"/>
                <w:sz w:val="20"/>
                <w:szCs w:val="20"/>
                <w:lang w:eastAsia="en-US" w:bidi="ar-SA"/>
              </w:rPr>
            </w:pPr>
            <w:r w:rsidRPr="000F0299">
              <w:rPr>
                <w:rFonts w:eastAsiaTheme="minorHAnsi"/>
                <w:b/>
                <w:color w:val="000000" w:themeColor="text1"/>
                <w:kern w:val="0"/>
                <w:sz w:val="20"/>
                <w:szCs w:val="20"/>
                <w:lang w:eastAsia="en-US" w:bidi="ar-SA"/>
              </w:rPr>
              <w:t>ФОРМУЛА/ЈЕДНАЧИНА</w:t>
            </w:r>
          </w:p>
          <w:p w14:paraId="01F5FF1D" w14:textId="77777777" w:rsidR="00B426A0" w:rsidRPr="000F0299" w:rsidRDefault="00B426A0" w:rsidP="000A57EA">
            <w:pPr>
              <w:suppressAutoHyphens w:val="0"/>
              <w:autoSpaceDN/>
              <w:spacing w:before="0" w:after="0"/>
              <w:ind w:firstLine="0"/>
              <w:jc w:val="center"/>
              <w:textAlignment w:val="auto"/>
              <w:rPr>
                <w:rFonts w:eastAsiaTheme="minorHAnsi"/>
                <w:b/>
                <w:color w:val="000000" w:themeColor="text1"/>
                <w:kern w:val="0"/>
                <w:sz w:val="20"/>
                <w:szCs w:val="20"/>
                <w:lang w:eastAsia="en-US" w:bidi="ar-SA"/>
              </w:rPr>
            </w:pPr>
            <w:r w:rsidRPr="000F0299">
              <w:rPr>
                <w:rFonts w:eastAsiaTheme="minorHAnsi" w:cstheme="minorBidi"/>
                <w:noProof/>
                <w:color w:val="000000" w:themeColor="text1"/>
                <w:kern w:val="0"/>
                <w:sz w:val="20"/>
                <w:szCs w:val="22"/>
                <w:lang w:val="en-US" w:eastAsia="en-US" w:bidi="ar-SA"/>
              </w:rPr>
              <mc:AlternateContent>
                <mc:Choice Requires="wps">
                  <w:drawing>
                    <wp:anchor distT="0" distB="0" distL="114300" distR="114300" simplePos="0" relativeHeight="252018176" behindDoc="0" locked="0" layoutInCell="1" allowOverlap="1" wp14:anchorId="35457D58" wp14:editId="0CB342F5">
                      <wp:simplePos x="0" y="0"/>
                      <wp:positionH relativeFrom="column">
                        <wp:posOffset>754233</wp:posOffset>
                      </wp:positionH>
                      <wp:positionV relativeFrom="paragraph">
                        <wp:posOffset>5080</wp:posOffset>
                      </wp:positionV>
                      <wp:extent cx="2567354" cy="264795"/>
                      <wp:effectExtent l="0" t="0" r="4445" b="5715"/>
                      <wp:wrapNone/>
                      <wp:docPr id="376" name="TextBox 1"/>
                      <wp:cNvGraphicFramePr/>
                      <a:graphic xmlns:a="http://schemas.openxmlformats.org/drawingml/2006/main">
                        <a:graphicData uri="http://schemas.microsoft.com/office/word/2010/wordprocessingShape">
                          <wps:wsp>
                            <wps:cNvSpPr txBox="1"/>
                            <wps:spPr>
                              <a:xfrm>
                                <a:off x="0" y="0"/>
                                <a:ext cx="2567354" cy="264795"/>
                              </a:xfrm>
                              <a:prstGeom prst="rect">
                                <a:avLst/>
                              </a:prstGeom>
                              <a:noFill/>
                              <a:ln>
                                <a:noFill/>
                              </a:ln>
                              <a:effectLst/>
                            </wps:spPr>
                            <wps:txbx>
                              <w:txbxContent>
                                <w:p w14:paraId="11C395E4" w14:textId="77777777" w:rsidR="00876FFE" w:rsidRDefault="00F47F65" w:rsidP="00B426A0">
                                  <w:pPr>
                                    <w:spacing w:after="99"/>
                                    <w:jc w:val="center"/>
                                  </w:pPr>
                                  <m:oMath>
                                    <m:f>
                                      <m:fPr>
                                        <m:ctrlPr>
                                          <w:rPr>
                                            <w:rFonts w:ascii="Cambria Math" w:eastAsiaTheme="minorEastAsia" w:hAnsi="Cambria Math"/>
                                            <w:i/>
                                            <w:iCs/>
                                            <w:color w:val="000000" w:themeColor="text1"/>
                                            <w:sz w:val="28"/>
                                            <w:szCs w:val="28"/>
                                          </w:rPr>
                                        </m:ctrlPr>
                                      </m:fPr>
                                      <m:num>
                                        <m:r>
                                          <w:rPr>
                                            <w:rFonts w:ascii="Cambria Math" w:hAnsi="Cambria Math"/>
                                            <w:color w:val="000000" w:themeColor="text1"/>
                                            <w:sz w:val="28"/>
                                            <w:szCs w:val="28"/>
                                          </w:rPr>
                                          <m:t>Укупни локални расходи</m:t>
                                        </m:r>
                                      </m:num>
                                      <m:den>
                                        <m:r>
                                          <w:rPr>
                                            <w:rFonts w:ascii="Cambria Math" w:hAnsi="Cambria Math"/>
                                            <w:color w:val="000000" w:themeColor="text1"/>
                                            <w:sz w:val="28"/>
                                            <w:szCs w:val="28"/>
                                          </w:rPr>
                                          <m:t>Консолидовани јавни расходи</m:t>
                                        </m:r>
                                      </m:den>
                                    </m:f>
                                  </m:oMath>
                                  <w:r w:rsidR="00876FFE">
                                    <w:rPr>
                                      <w:color w:val="000000" w:themeColor="text1"/>
                                    </w:rPr>
                                    <w:t xml:space="preserve"> </w:t>
                                  </w:r>
                                  <m:oMath>
                                    <m:r>
                                      <w:rPr>
                                        <w:rFonts w:ascii="Cambria Math" w:eastAsia="Cambria Math" w:hAnsi="Cambria Math"/>
                                        <w:color w:val="000000" w:themeColor="text1"/>
                                      </w:rPr>
                                      <m:t>×100</m:t>
                                    </m:r>
                                  </m:oMath>
                                </w:p>
                              </w:txbxContent>
                            </wps:txbx>
                            <wps:bodyPr vertOverflow="clip" horzOverflow="clip"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457D58" id="TextBox 1" o:spid="_x0000_s1496" type="#_x0000_t202" style="position:absolute;left:0;text-align:left;margin-left:59.4pt;margin-top:.4pt;width:202.15pt;height:20.8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" filled="f" stroked="f">
                      <v:textbox style="mso-fit-shape-to-text:t" inset="0,0,0,0">
                        <w:txbxContent>
                          <w:p w14:paraId="11C395E4" w14:textId="77777777" w:rsidR="00876FFE" w:rsidRDefault="00876FFE" w:rsidP="00B426A0">
                            <w:pPr>
                              <w:spacing w:after="99"/>
                              <w:jc w:val="center"/>
                            </w:pPr>
                            <m:oMath>
                              <m:f>
                                <m:fPr>
                                  <m:ctrlPr>
                                    <w:rPr>
                                      <w:rFonts w:ascii="Cambria Math" w:eastAsiaTheme="minorEastAsia" w:hAnsi="Cambria Math"/>
                                      <w:i/>
                                      <w:iCs/>
                                      <w:color w:val="000000" w:themeColor="text1"/>
                                      <w:sz w:val="28"/>
                                      <w:szCs w:val="28"/>
                                    </w:rPr>
                                  </m:ctrlPr>
                                </m:fPr>
                                <m:num>
                                  <m:r>
                                    <w:rPr>
                                      <w:rFonts w:ascii="Cambria Math" w:hAnsi="Cambria Math"/>
                                      <w:color w:val="000000" w:themeColor="text1"/>
                                      <w:sz w:val="28"/>
                                      <w:szCs w:val="28"/>
                                    </w:rPr>
                                    <m:t>Укупни локални расходи</m:t>
                                  </m:r>
                                </m:num>
                                <m:den>
                                  <m:r>
                                    <w:rPr>
                                      <w:rFonts w:ascii="Cambria Math" w:hAnsi="Cambria Math"/>
                                      <w:color w:val="000000" w:themeColor="text1"/>
                                      <w:sz w:val="28"/>
                                      <w:szCs w:val="28"/>
                                    </w:rPr>
                                    <m:t>Консолидовани јавни расходи</m:t>
                                  </m:r>
                                </m:den>
                              </m:f>
                            </m:oMath>
                            <w:r>
                              <w:rPr>
                                <w:color w:val="000000" w:themeColor="text1"/>
                              </w:rPr>
                              <w:t xml:space="preserve"> </w:t>
                            </w:r>
                            <m:oMath>
                              <m:r>
                                <w:rPr>
                                  <w:rFonts w:ascii="Cambria Math" w:eastAsia="Cambria Math" w:hAnsi="Cambria Math"/>
                                  <w:color w:val="000000" w:themeColor="text1"/>
                                </w:rPr>
                                <m:t>×100</m:t>
                              </m:r>
                            </m:oMath>
                          </w:p>
                        </w:txbxContent>
                      </v:textbox>
                    </v:shape>
                  </w:pict>
                </mc:Fallback>
              </mc:AlternateContent>
            </w:r>
          </w:p>
          <w:p w14:paraId="5548AD83" w14:textId="77777777" w:rsidR="00B426A0" w:rsidRPr="000F0299" w:rsidRDefault="00B426A0" w:rsidP="000A57EA">
            <w:pPr>
              <w:suppressAutoHyphens w:val="0"/>
              <w:autoSpaceDN/>
              <w:spacing w:before="0" w:after="0"/>
              <w:ind w:firstLine="0"/>
              <w:jc w:val="center"/>
              <w:textAlignment w:val="auto"/>
              <w:rPr>
                <w:rFonts w:eastAsiaTheme="minorHAnsi"/>
                <w:b/>
                <w:color w:val="000000" w:themeColor="text1"/>
                <w:kern w:val="0"/>
                <w:sz w:val="20"/>
                <w:szCs w:val="20"/>
                <w:lang w:eastAsia="en-US" w:bidi="ar-SA"/>
              </w:rPr>
            </w:pPr>
          </w:p>
          <w:p w14:paraId="60355A59" w14:textId="77777777" w:rsidR="00B426A0" w:rsidRPr="000F0299" w:rsidRDefault="00B426A0" w:rsidP="000A57EA">
            <w:pPr>
              <w:suppressAutoHyphens w:val="0"/>
              <w:autoSpaceDN/>
              <w:spacing w:before="0" w:after="0"/>
              <w:ind w:firstLine="0"/>
              <w:jc w:val="left"/>
              <w:textAlignment w:val="auto"/>
              <w:rPr>
                <w:rFonts w:eastAsiaTheme="minorHAnsi"/>
                <w:color w:val="000000" w:themeColor="text1"/>
                <w:kern w:val="0"/>
                <w:sz w:val="20"/>
                <w:szCs w:val="20"/>
                <w:lang w:eastAsia="en-US" w:bidi="ar-SA"/>
              </w:rPr>
            </w:pPr>
          </w:p>
        </w:tc>
      </w:tr>
      <w:tr w:rsidR="00822ADB" w:rsidRPr="000F0299" w14:paraId="223A1C7F" w14:textId="77777777" w:rsidTr="00A932F9">
        <w:trPr>
          <w:trHeight w:val="265"/>
          <w:jc w:val="center"/>
        </w:trPr>
        <w:tc>
          <w:tcPr>
            <w:tcW w:w="1225" w:type="pct"/>
            <w:vMerge w:val="restart"/>
            <w:shd w:val="clear" w:color="auto" w:fill="auto"/>
          </w:tcPr>
          <w:p w14:paraId="6E4832E6"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2831" w:type="pct"/>
            <w:gridSpan w:val="10"/>
            <w:tcBorders>
              <w:bottom w:val="single" w:sz="4" w:space="0" w:color="auto"/>
            </w:tcBorders>
            <w:shd w:val="clear" w:color="auto" w:fill="FFFFFF" w:themeFill="background1"/>
            <w:vAlign w:val="center"/>
          </w:tcPr>
          <w:p w14:paraId="62D58E46" w14:textId="77777777" w:rsidR="00B426A0" w:rsidRPr="000F0299" w:rsidRDefault="00B426A0" w:rsidP="00B1535C">
            <w:pPr>
              <w:suppressAutoHyphens w:val="0"/>
              <w:autoSpaceDN/>
              <w:spacing w:before="0" w:after="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Тренд у прошлости</w:t>
            </w:r>
          </w:p>
        </w:tc>
        <w:tc>
          <w:tcPr>
            <w:tcW w:w="945" w:type="pct"/>
            <w:gridSpan w:val="3"/>
            <w:shd w:val="clear" w:color="auto" w:fill="FFFFFF" w:themeFill="background1"/>
            <w:vAlign w:val="center"/>
          </w:tcPr>
          <w:p w14:paraId="35C002D9" w14:textId="77777777" w:rsidR="00B426A0" w:rsidRPr="000F0299" w:rsidRDefault="00B426A0" w:rsidP="00B1535C">
            <w:pPr>
              <w:suppressAutoHyphens w:val="0"/>
              <w:autoSpaceDN/>
              <w:spacing w:before="0" w:after="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Полазна вредност</w:t>
            </w:r>
          </w:p>
        </w:tc>
      </w:tr>
      <w:tr w:rsidR="00A932F9" w:rsidRPr="000F0299" w14:paraId="1E0F38AA" w14:textId="77777777" w:rsidTr="00A932F9">
        <w:trPr>
          <w:trHeight w:val="137"/>
          <w:jc w:val="center"/>
        </w:trPr>
        <w:tc>
          <w:tcPr>
            <w:tcW w:w="1225" w:type="pct"/>
            <w:vMerge/>
            <w:shd w:val="clear" w:color="auto" w:fill="auto"/>
          </w:tcPr>
          <w:p w14:paraId="2A63E990"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p>
        </w:tc>
        <w:tc>
          <w:tcPr>
            <w:tcW w:w="94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40058"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2016</w:t>
            </w:r>
          </w:p>
        </w:tc>
        <w:tc>
          <w:tcPr>
            <w:tcW w:w="947"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E114C"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2017</w:t>
            </w:r>
          </w:p>
        </w:tc>
        <w:tc>
          <w:tcPr>
            <w:tcW w:w="94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A8EF0"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2018</w:t>
            </w:r>
          </w:p>
        </w:tc>
        <w:tc>
          <w:tcPr>
            <w:tcW w:w="945" w:type="pct"/>
            <w:gridSpan w:val="3"/>
            <w:tcBorders>
              <w:left w:val="single" w:sz="4" w:space="0" w:color="auto"/>
            </w:tcBorders>
            <w:shd w:val="clear" w:color="auto" w:fill="FFFFFF" w:themeFill="background1"/>
            <w:vAlign w:val="center"/>
          </w:tcPr>
          <w:p w14:paraId="148A709F" w14:textId="349589DF"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2019</w:t>
            </w:r>
          </w:p>
        </w:tc>
      </w:tr>
      <w:tr w:rsidR="00A932F9" w:rsidRPr="000F0299" w14:paraId="6971FFE0" w14:textId="77777777" w:rsidTr="00A932F9">
        <w:trPr>
          <w:trHeight w:val="323"/>
          <w:jc w:val="center"/>
        </w:trPr>
        <w:tc>
          <w:tcPr>
            <w:tcW w:w="1225" w:type="pct"/>
            <w:vMerge/>
            <w:shd w:val="clear" w:color="auto" w:fill="auto"/>
          </w:tcPr>
          <w:p w14:paraId="48FD8E60"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p>
        </w:tc>
        <w:tc>
          <w:tcPr>
            <w:tcW w:w="941" w:type="pct"/>
            <w:gridSpan w:val="3"/>
            <w:tcBorders>
              <w:top w:val="single" w:sz="4" w:space="0" w:color="auto"/>
            </w:tcBorders>
            <w:shd w:val="clear" w:color="auto" w:fill="FFFFFF" w:themeFill="background1"/>
          </w:tcPr>
          <w:p w14:paraId="424BD0B1"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14.31%</w:t>
            </w:r>
          </w:p>
        </w:tc>
        <w:tc>
          <w:tcPr>
            <w:tcW w:w="947" w:type="pct"/>
            <w:gridSpan w:val="4"/>
            <w:tcBorders>
              <w:top w:val="single" w:sz="4" w:space="0" w:color="auto"/>
            </w:tcBorders>
            <w:shd w:val="clear" w:color="auto" w:fill="FFFFFF" w:themeFill="background1"/>
          </w:tcPr>
          <w:p w14:paraId="7191EBA4"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14.57%</w:t>
            </w:r>
          </w:p>
        </w:tc>
        <w:tc>
          <w:tcPr>
            <w:tcW w:w="942" w:type="pct"/>
            <w:gridSpan w:val="3"/>
            <w:tcBorders>
              <w:top w:val="single" w:sz="4" w:space="0" w:color="auto"/>
            </w:tcBorders>
            <w:shd w:val="clear" w:color="auto" w:fill="FFFFFF" w:themeFill="background1"/>
            <w:vAlign w:val="center"/>
          </w:tcPr>
          <w:p w14:paraId="0609EE83"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14.87%</w:t>
            </w:r>
          </w:p>
        </w:tc>
        <w:tc>
          <w:tcPr>
            <w:tcW w:w="945" w:type="pct"/>
            <w:gridSpan w:val="3"/>
            <w:shd w:val="clear" w:color="auto" w:fill="FFFFFF" w:themeFill="background1"/>
            <w:vAlign w:val="center"/>
          </w:tcPr>
          <w:p w14:paraId="460FDBD9"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14.75%</w:t>
            </w:r>
          </w:p>
        </w:tc>
      </w:tr>
      <w:tr w:rsidR="00A932F9" w:rsidRPr="000F0299" w14:paraId="32ED0097" w14:textId="77777777" w:rsidTr="00A932F9">
        <w:trPr>
          <w:trHeight w:val="350"/>
          <w:jc w:val="center"/>
        </w:trPr>
        <w:tc>
          <w:tcPr>
            <w:tcW w:w="1225" w:type="pct"/>
            <w:vMerge w:val="restart"/>
            <w:shd w:val="clear" w:color="auto" w:fill="auto"/>
          </w:tcPr>
          <w:p w14:paraId="557231BB"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377" w:type="pct"/>
            <w:shd w:val="clear" w:color="auto" w:fill="FFFFFF" w:themeFill="background1"/>
            <w:vAlign w:val="center"/>
          </w:tcPr>
          <w:p w14:paraId="18EAA85B"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2021</w:t>
            </w:r>
          </w:p>
        </w:tc>
        <w:tc>
          <w:tcPr>
            <w:tcW w:w="378" w:type="pct"/>
            <w:shd w:val="clear" w:color="auto" w:fill="FFFFFF" w:themeFill="background1"/>
            <w:vAlign w:val="center"/>
          </w:tcPr>
          <w:p w14:paraId="7D49613A"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2022</w:t>
            </w:r>
          </w:p>
        </w:tc>
        <w:tc>
          <w:tcPr>
            <w:tcW w:w="377" w:type="pct"/>
            <w:gridSpan w:val="2"/>
            <w:shd w:val="clear" w:color="auto" w:fill="FFFFFF" w:themeFill="background1"/>
            <w:vAlign w:val="center"/>
          </w:tcPr>
          <w:p w14:paraId="0323FACA"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2023</w:t>
            </w:r>
          </w:p>
        </w:tc>
        <w:tc>
          <w:tcPr>
            <w:tcW w:w="378" w:type="pct"/>
            <w:gridSpan w:val="2"/>
            <w:shd w:val="clear" w:color="auto" w:fill="FFFFFF" w:themeFill="background1"/>
            <w:vAlign w:val="center"/>
          </w:tcPr>
          <w:p w14:paraId="1658CFA8"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2024</w:t>
            </w:r>
          </w:p>
        </w:tc>
        <w:tc>
          <w:tcPr>
            <w:tcW w:w="378" w:type="pct"/>
            <w:shd w:val="clear" w:color="auto" w:fill="FFFFFF" w:themeFill="background1"/>
            <w:vAlign w:val="center"/>
          </w:tcPr>
          <w:p w14:paraId="68232351"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2025</w:t>
            </w:r>
          </w:p>
        </w:tc>
        <w:tc>
          <w:tcPr>
            <w:tcW w:w="378" w:type="pct"/>
            <w:shd w:val="clear" w:color="auto" w:fill="FFFFFF" w:themeFill="background1"/>
            <w:vAlign w:val="center"/>
          </w:tcPr>
          <w:p w14:paraId="270ECF9E"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2026</w:t>
            </w:r>
          </w:p>
        </w:tc>
        <w:tc>
          <w:tcPr>
            <w:tcW w:w="377" w:type="pct"/>
            <w:shd w:val="clear" w:color="auto" w:fill="FFFFFF" w:themeFill="background1"/>
            <w:vAlign w:val="center"/>
          </w:tcPr>
          <w:p w14:paraId="7E3F972B"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2027</w:t>
            </w:r>
          </w:p>
        </w:tc>
        <w:tc>
          <w:tcPr>
            <w:tcW w:w="378" w:type="pct"/>
            <w:gridSpan w:val="2"/>
            <w:shd w:val="clear" w:color="auto" w:fill="FFFFFF" w:themeFill="background1"/>
            <w:vAlign w:val="center"/>
          </w:tcPr>
          <w:p w14:paraId="6897445B"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2028</w:t>
            </w:r>
          </w:p>
        </w:tc>
        <w:tc>
          <w:tcPr>
            <w:tcW w:w="377" w:type="pct"/>
            <w:shd w:val="clear" w:color="auto" w:fill="FFFFFF" w:themeFill="background1"/>
            <w:vAlign w:val="center"/>
          </w:tcPr>
          <w:p w14:paraId="0E263B17"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2029</w:t>
            </w:r>
          </w:p>
        </w:tc>
        <w:tc>
          <w:tcPr>
            <w:tcW w:w="377" w:type="pct"/>
            <w:shd w:val="clear" w:color="auto" w:fill="FFFFFF" w:themeFill="background1"/>
            <w:vAlign w:val="center"/>
          </w:tcPr>
          <w:p w14:paraId="6BB5A7A3"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2030</w:t>
            </w:r>
          </w:p>
        </w:tc>
      </w:tr>
      <w:tr w:rsidR="00A932F9" w:rsidRPr="000F0299" w14:paraId="08D1016A" w14:textId="77777777" w:rsidTr="00A932F9">
        <w:trPr>
          <w:trHeight w:val="160"/>
          <w:jc w:val="center"/>
        </w:trPr>
        <w:tc>
          <w:tcPr>
            <w:tcW w:w="1225" w:type="pct"/>
            <w:vMerge/>
            <w:shd w:val="clear" w:color="auto" w:fill="auto"/>
          </w:tcPr>
          <w:p w14:paraId="493C7BBE"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p>
        </w:tc>
        <w:tc>
          <w:tcPr>
            <w:tcW w:w="377" w:type="pct"/>
            <w:shd w:val="clear" w:color="auto" w:fill="FFFFFF" w:themeFill="background1"/>
            <w:vAlign w:val="center"/>
          </w:tcPr>
          <w:p w14:paraId="30640E87"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14.80%</w:t>
            </w:r>
          </w:p>
        </w:tc>
        <w:tc>
          <w:tcPr>
            <w:tcW w:w="378" w:type="pct"/>
            <w:shd w:val="clear" w:color="auto" w:fill="FFFFFF" w:themeFill="background1"/>
            <w:vAlign w:val="center"/>
          </w:tcPr>
          <w:p w14:paraId="098E171B"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14.90%</w:t>
            </w:r>
          </w:p>
        </w:tc>
        <w:tc>
          <w:tcPr>
            <w:tcW w:w="377" w:type="pct"/>
            <w:gridSpan w:val="2"/>
            <w:shd w:val="clear" w:color="auto" w:fill="FFFFFF" w:themeFill="background1"/>
            <w:vAlign w:val="center"/>
          </w:tcPr>
          <w:p w14:paraId="2B1913EB"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15.25%</w:t>
            </w:r>
          </w:p>
        </w:tc>
        <w:tc>
          <w:tcPr>
            <w:tcW w:w="378" w:type="pct"/>
            <w:gridSpan w:val="2"/>
            <w:shd w:val="clear" w:color="auto" w:fill="FFFFFF" w:themeFill="background1"/>
            <w:vAlign w:val="center"/>
          </w:tcPr>
          <w:p w14:paraId="7C1DDF2E"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15.50%</w:t>
            </w:r>
          </w:p>
        </w:tc>
        <w:tc>
          <w:tcPr>
            <w:tcW w:w="378" w:type="pct"/>
            <w:shd w:val="clear" w:color="auto" w:fill="FFFFFF" w:themeFill="background1"/>
            <w:vAlign w:val="center"/>
          </w:tcPr>
          <w:p w14:paraId="2107EC7C"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16.00%</w:t>
            </w:r>
          </w:p>
        </w:tc>
        <w:tc>
          <w:tcPr>
            <w:tcW w:w="378" w:type="pct"/>
            <w:shd w:val="clear" w:color="auto" w:fill="FFFFFF" w:themeFill="background1"/>
            <w:vAlign w:val="center"/>
          </w:tcPr>
          <w:p w14:paraId="480825CA"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16%</w:t>
            </w:r>
          </w:p>
        </w:tc>
        <w:tc>
          <w:tcPr>
            <w:tcW w:w="377" w:type="pct"/>
            <w:shd w:val="clear" w:color="auto" w:fill="FFFFFF" w:themeFill="background1"/>
            <w:vAlign w:val="center"/>
          </w:tcPr>
          <w:p w14:paraId="7B9EA0ED"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16.5%</w:t>
            </w:r>
          </w:p>
        </w:tc>
        <w:tc>
          <w:tcPr>
            <w:tcW w:w="378" w:type="pct"/>
            <w:gridSpan w:val="2"/>
            <w:shd w:val="clear" w:color="auto" w:fill="FFFFFF" w:themeFill="background1"/>
          </w:tcPr>
          <w:p w14:paraId="0F90AF8B"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17%</w:t>
            </w:r>
          </w:p>
        </w:tc>
        <w:tc>
          <w:tcPr>
            <w:tcW w:w="377" w:type="pct"/>
            <w:shd w:val="clear" w:color="auto" w:fill="FFFFFF" w:themeFill="background1"/>
          </w:tcPr>
          <w:p w14:paraId="3CAB1C52"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17.5%</w:t>
            </w:r>
          </w:p>
        </w:tc>
        <w:tc>
          <w:tcPr>
            <w:tcW w:w="377" w:type="pct"/>
            <w:shd w:val="clear" w:color="auto" w:fill="FFFFFF" w:themeFill="background1"/>
          </w:tcPr>
          <w:p w14:paraId="0B6A51CE" w14:textId="77777777" w:rsidR="00B426A0" w:rsidRPr="000F0299" w:rsidRDefault="00B426A0" w:rsidP="00365B17">
            <w:pPr>
              <w:suppressAutoHyphens w:val="0"/>
              <w:autoSpaceDN/>
              <w:spacing w:before="0" w:after="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18%</w:t>
            </w:r>
          </w:p>
        </w:tc>
      </w:tr>
      <w:tr w:rsidR="00822ADB" w:rsidRPr="000F0299" w14:paraId="55017DD7" w14:textId="77777777" w:rsidTr="00A932F9">
        <w:trPr>
          <w:trHeight w:val="160"/>
          <w:jc w:val="center"/>
        </w:trPr>
        <w:tc>
          <w:tcPr>
            <w:tcW w:w="1225" w:type="pct"/>
            <w:shd w:val="clear" w:color="auto" w:fill="auto"/>
          </w:tcPr>
          <w:p w14:paraId="552FEE1D" w14:textId="77777777" w:rsidR="00B426A0" w:rsidRPr="000F0299" w:rsidRDefault="00B426A0"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3775" w:type="pct"/>
            <w:gridSpan w:val="13"/>
            <w:shd w:val="clear" w:color="auto" w:fill="FFFFFF" w:themeFill="background1"/>
            <w:vAlign w:val="center"/>
          </w:tcPr>
          <w:p w14:paraId="2ACEA7A0" w14:textId="77777777" w:rsidR="00B426A0" w:rsidRPr="000F0299" w:rsidRDefault="00B426A0" w:rsidP="00B1535C">
            <w:pPr>
              <w:suppressAutoHyphens w:val="0"/>
              <w:autoSpaceDN/>
              <w:spacing w:before="0" w:after="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Прихватљиво је одступање до 10% током периода остваривања Стратегије односно до 10% на крају 2030. године, од циљане вредности</w:t>
            </w:r>
          </w:p>
        </w:tc>
      </w:tr>
    </w:tbl>
    <w:p w14:paraId="603449C5" w14:textId="27267993" w:rsidR="00B1535C" w:rsidRPr="000F0299" w:rsidRDefault="00B1535C" w:rsidP="002309DC">
      <w:pPr>
        <w:ind w:firstLine="0"/>
        <w:rPr>
          <w:b/>
          <w:bCs/>
          <w:color w:val="2F5496" w:themeColor="accent1" w:themeShade="BF"/>
        </w:rPr>
      </w:pPr>
    </w:p>
    <w:p w14:paraId="0A12D62C" w14:textId="77777777" w:rsidR="00B1535C" w:rsidRPr="000F0299" w:rsidRDefault="00B1535C">
      <w:pPr>
        <w:suppressAutoHyphens w:val="0"/>
        <w:autoSpaceDN/>
        <w:spacing w:before="0" w:after="160" w:line="259" w:lineRule="auto"/>
        <w:ind w:firstLine="0"/>
        <w:jc w:val="left"/>
        <w:textAlignment w:val="auto"/>
        <w:rPr>
          <w:b/>
          <w:bCs/>
          <w:color w:val="2F5496" w:themeColor="accent1" w:themeShade="BF"/>
        </w:rPr>
      </w:pPr>
      <w:r w:rsidRPr="000F0299">
        <w:rPr>
          <w:b/>
          <w:bCs/>
          <w:color w:val="2F5496" w:themeColor="accent1" w:themeShade="BF"/>
        </w:rPr>
        <w:br w:type="page"/>
      </w:r>
    </w:p>
    <w:p w14:paraId="58581F7B" w14:textId="2AC8460E" w:rsidR="00834649" w:rsidRPr="000F0299" w:rsidRDefault="00834649" w:rsidP="002309DC">
      <w:pPr>
        <w:ind w:firstLine="0"/>
        <w:rPr>
          <w:b/>
          <w:bCs/>
          <w:color w:val="2F5496" w:themeColor="accent1" w:themeShade="BF"/>
        </w:rPr>
      </w:pPr>
      <w:r w:rsidRPr="000F0299">
        <w:rPr>
          <w:b/>
          <w:bCs/>
          <w:color w:val="2F5496" w:themeColor="accent1" w:themeShade="BF"/>
        </w:rPr>
        <w:t>Показатељ 3</w:t>
      </w: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3"/>
        <w:gridCol w:w="696"/>
        <w:gridCol w:w="626"/>
        <w:gridCol w:w="519"/>
        <w:gridCol w:w="230"/>
        <w:gridCol w:w="641"/>
        <w:gridCol w:w="576"/>
        <w:gridCol w:w="137"/>
        <w:gridCol w:w="639"/>
        <w:gridCol w:w="713"/>
        <w:gridCol w:w="376"/>
        <w:gridCol w:w="259"/>
        <w:gridCol w:w="713"/>
        <w:gridCol w:w="683"/>
      </w:tblGrid>
      <w:tr w:rsidR="00834649" w:rsidRPr="000F0299" w14:paraId="3A1AFB6F" w14:textId="77777777" w:rsidTr="00487FD1">
        <w:trPr>
          <w:jc w:val="center"/>
        </w:trPr>
        <w:tc>
          <w:tcPr>
            <w:tcW w:w="2133" w:type="dxa"/>
            <w:shd w:val="clear" w:color="auto" w:fill="6C7781"/>
            <w:vAlign w:val="center"/>
          </w:tcPr>
          <w:p w14:paraId="47BC90C4" w14:textId="77777777" w:rsidR="00834649" w:rsidRPr="000F0299" w:rsidRDefault="00834649" w:rsidP="00B1535C">
            <w:pPr>
              <w:suppressAutoHyphens w:val="0"/>
              <w:autoSpaceDN/>
              <w:spacing w:before="0" w:after="0"/>
              <w:ind w:firstLine="0"/>
              <w:textAlignment w:val="auto"/>
              <w:rPr>
                <w:rFonts w:eastAsiaTheme="minorHAnsi"/>
                <w:b/>
                <w:bCs/>
                <w:color w:val="FFFFFF" w:themeColor="background1"/>
                <w:kern w:val="0"/>
                <w:sz w:val="20"/>
                <w:szCs w:val="20"/>
                <w:lang w:eastAsia="en-US" w:bidi="ar-SA"/>
              </w:rPr>
            </w:pPr>
            <w:r w:rsidRPr="000F0299">
              <w:rPr>
                <w:rFonts w:eastAsiaTheme="minorHAnsi"/>
                <w:b/>
                <w:bCs/>
                <w:color w:val="FFFFFF" w:themeColor="background1"/>
                <w:kern w:val="0"/>
                <w:sz w:val="20"/>
                <w:szCs w:val="20"/>
                <w:lang w:eastAsia="en-US" w:bidi="ar-SA"/>
              </w:rPr>
              <w:t>Назив показатеља</w:t>
            </w:r>
          </w:p>
        </w:tc>
        <w:tc>
          <w:tcPr>
            <w:tcW w:w="6808" w:type="dxa"/>
            <w:gridSpan w:val="13"/>
            <w:shd w:val="clear" w:color="auto" w:fill="6C7781"/>
            <w:vAlign w:val="center"/>
          </w:tcPr>
          <w:p w14:paraId="280A9C4D" w14:textId="77777777" w:rsidR="00834649" w:rsidRPr="000F0299" w:rsidRDefault="00834649" w:rsidP="00B1535C">
            <w:pPr>
              <w:suppressAutoHyphens w:val="0"/>
              <w:autoSpaceDN/>
              <w:spacing w:before="0" w:after="0"/>
              <w:ind w:firstLine="0"/>
              <w:textAlignment w:val="auto"/>
              <w:rPr>
                <w:rFonts w:eastAsiaTheme="minorHAnsi"/>
                <w:b/>
                <w:iCs/>
                <w:color w:val="FFFFFF" w:themeColor="background1"/>
                <w:kern w:val="0"/>
                <w:sz w:val="20"/>
                <w:szCs w:val="20"/>
                <w:lang w:eastAsia="en-US" w:bidi="ar-SA"/>
              </w:rPr>
            </w:pPr>
            <w:r w:rsidRPr="000F0299">
              <w:rPr>
                <w:rFonts w:eastAsiaTheme="minorHAnsi"/>
                <w:b/>
                <w:iCs/>
                <w:color w:val="FFFFFF" w:themeColor="background1"/>
                <w:kern w:val="0"/>
                <w:sz w:val="20"/>
                <w:szCs w:val="20"/>
                <w:lang w:eastAsia="en-US" w:bidi="ar-SA"/>
              </w:rPr>
              <w:t xml:space="preserve">Капацитет ЈЛС за спровођење начела доброг управљања </w:t>
            </w:r>
          </w:p>
        </w:tc>
      </w:tr>
      <w:tr w:rsidR="00834649" w:rsidRPr="000F0299" w14:paraId="6469D382" w14:textId="77777777" w:rsidTr="00487FD1">
        <w:trPr>
          <w:jc w:val="center"/>
        </w:trPr>
        <w:tc>
          <w:tcPr>
            <w:tcW w:w="2133" w:type="dxa"/>
            <w:shd w:val="clear" w:color="auto" w:fill="auto"/>
          </w:tcPr>
          <w:p w14:paraId="382C9369" w14:textId="77777777" w:rsidR="00834649" w:rsidRPr="000F0299" w:rsidRDefault="00834649"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808" w:type="dxa"/>
            <w:gridSpan w:val="13"/>
            <w:shd w:val="clear" w:color="auto" w:fill="FFFFFF" w:themeFill="background1"/>
          </w:tcPr>
          <w:p w14:paraId="212004EE" w14:textId="12D4EA6A" w:rsidR="00834649" w:rsidRPr="000F0299" w:rsidRDefault="006873CC" w:rsidP="00B1535C">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b/>
                <w:bCs/>
                <w:kern w:val="0"/>
                <w:sz w:val="20"/>
                <w:szCs w:val="20"/>
                <w:lang w:eastAsia="en-US" w:bidi="ar-SA"/>
              </w:rPr>
              <w:t>Посебан циљ 5.1</w:t>
            </w:r>
            <w:r w:rsidR="00A228C6" w:rsidRPr="000F0299">
              <w:rPr>
                <w:rFonts w:eastAsiaTheme="minorHAnsi"/>
                <w:kern w:val="0"/>
                <w:sz w:val="20"/>
                <w:szCs w:val="20"/>
                <w:lang w:eastAsia="en-US" w:bidi="ar-SA"/>
              </w:rPr>
              <w:t>:</w:t>
            </w:r>
            <w:r w:rsidR="00834649" w:rsidRPr="000F0299">
              <w:rPr>
                <w:rFonts w:eastAsiaTheme="minorHAnsi"/>
                <w:kern w:val="0"/>
                <w:sz w:val="20"/>
                <w:szCs w:val="20"/>
                <w:lang w:eastAsia="en-US" w:bidi="ar-SA"/>
              </w:rPr>
              <w:t xml:space="preserve">Унапређење положаја и одговорности ЛС </w:t>
            </w:r>
          </w:p>
        </w:tc>
      </w:tr>
      <w:tr w:rsidR="00822ADB" w:rsidRPr="000F0299" w14:paraId="0654698D" w14:textId="77777777" w:rsidTr="00487FD1">
        <w:trPr>
          <w:jc w:val="center"/>
        </w:trPr>
        <w:tc>
          <w:tcPr>
            <w:tcW w:w="2133" w:type="dxa"/>
            <w:shd w:val="clear" w:color="auto" w:fill="auto"/>
          </w:tcPr>
          <w:p w14:paraId="4AE41325" w14:textId="77777777" w:rsidR="00822ADB" w:rsidRPr="000F0299" w:rsidRDefault="00822ADB"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kern w:val="24"/>
                <w:sz w:val="20"/>
                <w:szCs w:val="20"/>
                <w:lang w:eastAsia="en-US" w:bidi="ar-SA"/>
              </w:rPr>
              <w:t>Тип и ниво показатеља</w:t>
            </w:r>
          </w:p>
        </w:tc>
        <w:tc>
          <w:tcPr>
            <w:tcW w:w="3288" w:type="dxa"/>
            <w:gridSpan w:val="6"/>
            <w:shd w:val="clear" w:color="auto" w:fill="FFFFFF" w:themeFill="background1"/>
          </w:tcPr>
          <w:p w14:paraId="2D98C7A3" w14:textId="3ACD5A6F" w:rsidR="00822ADB" w:rsidRPr="000F0299" w:rsidRDefault="001B2E03" w:rsidP="00B1535C">
            <w:pPr>
              <w:suppressAutoHyphens w:val="0"/>
              <w:autoSpaceDN/>
              <w:spacing w:before="0" w:after="0"/>
              <w:ind w:firstLine="0"/>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Квалитативни</w:t>
            </w:r>
          </w:p>
        </w:tc>
        <w:tc>
          <w:tcPr>
            <w:tcW w:w="3520" w:type="dxa"/>
            <w:gridSpan w:val="7"/>
            <w:shd w:val="clear" w:color="auto" w:fill="FFFFFF" w:themeFill="background1"/>
          </w:tcPr>
          <w:p w14:paraId="2ABF4204" w14:textId="311BBCFB" w:rsidR="00822ADB" w:rsidRPr="000F0299" w:rsidRDefault="00822ADB" w:rsidP="00B1535C">
            <w:pPr>
              <w:suppressAutoHyphens w:val="0"/>
              <w:autoSpaceDN/>
              <w:spacing w:before="0" w:after="0"/>
              <w:ind w:firstLine="0"/>
              <w:textAlignment w:val="auto"/>
              <w:rPr>
                <w:rFonts w:eastAsiaTheme="minorHAnsi"/>
                <w:bCs/>
                <w:kern w:val="24"/>
                <w:sz w:val="20"/>
                <w:szCs w:val="20"/>
                <w:lang w:eastAsia="en-US" w:bidi="ar-SA"/>
              </w:rPr>
            </w:pPr>
            <w:r w:rsidRPr="000F0299">
              <w:rPr>
                <w:rFonts w:eastAsiaTheme="minorHAnsi"/>
                <w:bCs/>
                <w:kern w:val="24"/>
                <w:sz w:val="20"/>
                <w:szCs w:val="20"/>
                <w:lang w:eastAsia="en-US" w:bidi="ar-SA"/>
              </w:rPr>
              <w:t>Показатељ исхода</w:t>
            </w:r>
          </w:p>
        </w:tc>
      </w:tr>
      <w:tr w:rsidR="00834649" w:rsidRPr="000F0299" w14:paraId="4EB38559" w14:textId="77777777" w:rsidTr="00487FD1">
        <w:trPr>
          <w:trHeight w:val="373"/>
          <w:jc w:val="center"/>
        </w:trPr>
        <w:tc>
          <w:tcPr>
            <w:tcW w:w="2133" w:type="dxa"/>
            <w:shd w:val="clear" w:color="auto" w:fill="auto"/>
          </w:tcPr>
          <w:p w14:paraId="6F61EE62" w14:textId="77777777" w:rsidR="00834649" w:rsidRPr="000F0299" w:rsidRDefault="00834649" w:rsidP="00B1535C">
            <w:pPr>
              <w:suppressAutoHyphens w:val="0"/>
              <w:autoSpaceDN/>
              <w:spacing w:before="0" w:after="0"/>
              <w:ind w:firstLine="0"/>
              <w:textAlignment w:val="auto"/>
              <w:rPr>
                <w:rFonts w:eastAsiaTheme="minorHAnsi"/>
                <w:b/>
                <w:kern w:val="24"/>
                <w:sz w:val="20"/>
                <w:szCs w:val="20"/>
                <w:lang w:eastAsia="en-US" w:bidi="ar-SA"/>
              </w:rPr>
            </w:pPr>
            <w:r w:rsidRPr="000F0299">
              <w:rPr>
                <w:rFonts w:eastAsiaTheme="minorHAnsi"/>
                <w:b/>
                <w:kern w:val="24"/>
                <w:sz w:val="20"/>
                <w:szCs w:val="20"/>
                <w:lang w:eastAsia="en-US" w:bidi="ar-SA"/>
              </w:rPr>
              <w:t>Јединица мере и природа</w:t>
            </w:r>
          </w:p>
        </w:tc>
        <w:tc>
          <w:tcPr>
            <w:tcW w:w="3288" w:type="dxa"/>
            <w:gridSpan w:val="6"/>
            <w:shd w:val="clear" w:color="auto" w:fill="FFFFFF" w:themeFill="background1"/>
          </w:tcPr>
          <w:p w14:paraId="1B030D3B" w14:textId="77777777" w:rsidR="00834649" w:rsidRPr="000F0299" w:rsidRDefault="00834649" w:rsidP="00B1535C">
            <w:pPr>
              <w:tabs>
                <w:tab w:val="left" w:pos="152"/>
              </w:tabs>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bCs/>
                <w:kern w:val="24"/>
                <w:sz w:val="20"/>
                <w:szCs w:val="20"/>
                <w:lang w:eastAsia="en-US" w:bidi="ar-SA"/>
              </w:rPr>
              <w:t>Индекс - композитни показатељи (сет различитих показатеља у посебној методологији прављеној за потребе СКГО)</w:t>
            </w:r>
          </w:p>
        </w:tc>
        <w:tc>
          <w:tcPr>
            <w:tcW w:w="3520" w:type="dxa"/>
            <w:gridSpan w:val="7"/>
            <w:shd w:val="clear" w:color="auto" w:fill="FFFFFF" w:themeFill="background1"/>
          </w:tcPr>
          <w:p w14:paraId="5F1F4C00" w14:textId="77777777" w:rsidR="00834649" w:rsidRPr="000F0299" w:rsidRDefault="00834649" w:rsidP="00B1535C">
            <w:pPr>
              <w:suppressAutoHyphens w:val="0"/>
              <w:autoSpaceDN/>
              <w:spacing w:before="0" w:after="0"/>
              <w:ind w:firstLine="0"/>
              <w:textAlignment w:val="auto"/>
              <w:rPr>
                <w:rFonts w:eastAsia="Arial"/>
                <w:color w:val="000000" w:themeColor="dark1"/>
                <w:spacing w:val="-1"/>
                <w:kern w:val="24"/>
                <w:sz w:val="20"/>
                <w:szCs w:val="20"/>
                <w:lang w:eastAsia="en-US" w:bidi="ar-SA"/>
              </w:rPr>
            </w:pPr>
            <w:r w:rsidRPr="000F0299">
              <w:rPr>
                <w:rFonts w:eastAsia="Arial"/>
                <w:color w:val="000000" w:themeColor="dark1"/>
                <w:spacing w:val="-1"/>
                <w:kern w:val="24"/>
                <w:sz w:val="20"/>
                <w:szCs w:val="20"/>
                <w:lang w:eastAsia="en-US" w:bidi="ar-SA"/>
              </w:rPr>
              <w:t>Пожељна је већа вредност</w:t>
            </w:r>
          </w:p>
        </w:tc>
      </w:tr>
      <w:tr w:rsidR="00834649" w:rsidRPr="000F0299" w14:paraId="72A85AC5" w14:textId="77777777" w:rsidTr="00487FD1">
        <w:trPr>
          <w:jc w:val="center"/>
        </w:trPr>
        <w:tc>
          <w:tcPr>
            <w:tcW w:w="2133" w:type="dxa"/>
            <w:shd w:val="clear" w:color="auto" w:fill="auto"/>
          </w:tcPr>
          <w:p w14:paraId="580F9001" w14:textId="77777777" w:rsidR="00834649" w:rsidRPr="000F0299" w:rsidRDefault="00834649"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808" w:type="dxa"/>
            <w:gridSpan w:val="13"/>
            <w:shd w:val="clear" w:color="auto" w:fill="FFFFFF" w:themeFill="background1"/>
          </w:tcPr>
          <w:p w14:paraId="68146D0C" w14:textId="77777777" w:rsidR="00834649" w:rsidRPr="000F0299" w:rsidRDefault="00834649" w:rsidP="00B1535C">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Подаци из индекса добре управе СКГО</w:t>
            </w:r>
          </w:p>
        </w:tc>
      </w:tr>
      <w:tr w:rsidR="00834649" w:rsidRPr="000F0299" w14:paraId="3D9859F5" w14:textId="77777777" w:rsidTr="00487FD1">
        <w:trPr>
          <w:jc w:val="center"/>
        </w:trPr>
        <w:tc>
          <w:tcPr>
            <w:tcW w:w="2133" w:type="dxa"/>
            <w:shd w:val="clear" w:color="auto" w:fill="auto"/>
          </w:tcPr>
          <w:p w14:paraId="3FAF299C" w14:textId="77777777" w:rsidR="00834649" w:rsidRPr="000F0299" w:rsidRDefault="00834649"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808" w:type="dxa"/>
            <w:gridSpan w:val="13"/>
            <w:shd w:val="clear" w:color="auto" w:fill="FFFFFF" w:themeFill="background1"/>
          </w:tcPr>
          <w:p w14:paraId="3DDC0AD5" w14:textId="2F57E4EB" w:rsidR="00834649" w:rsidRPr="000F0299" w:rsidRDefault="0003570C" w:rsidP="0003570C">
            <w:pPr>
              <w:suppressAutoHyphens w:val="0"/>
              <w:autoSpaceDN/>
              <w:spacing w:before="0" w:after="0"/>
              <w:ind w:firstLine="0"/>
              <w:textAlignment w:val="auto"/>
              <w:rPr>
                <w:rFonts w:eastAsiaTheme="minorHAnsi"/>
                <w:i/>
                <w:iCs/>
                <w:kern w:val="0"/>
                <w:sz w:val="20"/>
                <w:szCs w:val="20"/>
                <w:lang w:eastAsia="en-US" w:bidi="ar-SA"/>
              </w:rPr>
            </w:pPr>
            <w:r>
              <w:rPr>
                <w:rFonts w:eastAsiaTheme="minorHAnsi"/>
                <w:kern w:val="0"/>
                <w:sz w:val="20"/>
                <w:szCs w:val="20"/>
                <w:lang w:eastAsia="en-US" w:bidi="ar-SA"/>
              </w:rPr>
              <w:t>СКГО</w:t>
            </w:r>
          </w:p>
        </w:tc>
      </w:tr>
      <w:tr w:rsidR="00834649" w:rsidRPr="000F0299" w14:paraId="062F8BCF" w14:textId="77777777" w:rsidTr="00487FD1">
        <w:trPr>
          <w:jc w:val="center"/>
        </w:trPr>
        <w:tc>
          <w:tcPr>
            <w:tcW w:w="2133" w:type="dxa"/>
            <w:shd w:val="clear" w:color="auto" w:fill="auto"/>
          </w:tcPr>
          <w:p w14:paraId="18BFD7E9" w14:textId="77777777" w:rsidR="00834649" w:rsidRPr="000F0299" w:rsidRDefault="00834649"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808" w:type="dxa"/>
            <w:gridSpan w:val="13"/>
            <w:shd w:val="clear" w:color="auto" w:fill="FFFFFF" w:themeFill="background1"/>
          </w:tcPr>
          <w:p w14:paraId="12CAB933" w14:textId="77777777" w:rsidR="00834649" w:rsidRPr="000F0299" w:rsidRDefault="00834649" w:rsidP="00B1535C">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Подати се прикупљају до 31 децембра почев од 2021 и то сваке 2 године на репрезентативном уторку од минимум 30 ЈЛС (20%). Током 2021. године је планирано је мерење на узорку од 60 ЈЛС (прво је било 2018.године). </w:t>
            </w:r>
          </w:p>
        </w:tc>
      </w:tr>
      <w:tr w:rsidR="00834649" w:rsidRPr="000F0299" w14:paraId="45419ADF" w14:textId="77777777" w:rsidTr="00487FD1">
        <w:trPr>
          <w:trHeight w:val="2272"/>
          <w:jc w:val="center"/>
        </w:trPr>
        <w:tc>
          <w:tcPr>
            <w:tcW w:w="2133" w:type="dxa"/>
            <w:shd w:val="clear" w:color="auto" w:fill="auto"/>
          </w:tcPr>
          <w:p w14:paraId="6913331A" w14:textId="77777777" w:rsidR="00834649" w:rsidRPr="000F0299" w:rsidRDefault="00834649" w:rsidP="00B1535C">
            <w:pPr>
              <w:suppressAutoHyphens w:val="0"/>
              <w:autoSpaceDN/>
              <w:spacing w:before="0" w:after="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Кратак опис показатеља и методологије израчунавања</w:t>
            </w:r>
          </w:p>
          <w:p w14:paraId="209C6169" w14:textId="77777777" w:rsidR="00834649" w:rsidRPr="000F0299" w:rsidRDefault="00834649"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kern w:val="0"/>
                <w:sz w:val="20"/>
                <w:szCs w:val="20"/>
                <w:lang w:eastAsia="en-US" w:bidi="ar-SA"/>
              </w:rPr>
              <w:t>(формуле/ једначине)</w:t>
            </w:r>
          </w:p>
        </w:tc>
        <w:tc>
          <w:tcPr>
            <w:tcW w:w="6808" w:type="dxa"/>
            <w:gridSpan w:val="13"/>
            <w:shd w:val="clear" w:color="auto" w:fill="FFFFFF" w:themeFill="background1"/>
          </w:tcPr>
          <w:p w14:paraId="2A51C161" w14:textId="77777777" w:rsidR="00834649" w:rsidRPr="000F0299" w:rsidRDefault="00834649" w:rsidP="00B1535C">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Овај показатељ показује степен просечног капацитета ЈЛС за испуњавање појединачних административних, функционалних и процесних захтева који се пред њих постављају, ради примене начела доброг управљања и уочавања недостатака у тој примени. </w:t>
            </w:r>
          </w:p>
          <w:p w14:paraId="1D745D9D" w14:textId="73132A7D" w:rsidR="00834649" w:rsidRPr="000F0299" w:rsidRDefault="00834649" w:rsidP="00B1535C">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Композитни индекс који за сваку појединачну локалну самоуправу показује разлику између 1) тренутног  - достигнутог и 2) пожељног – “идеалног” стања добре управе, према унапред одређеним параметрима. Исказује се у процентима у односу на максимални могућ скор. Индекс обухвата укупно 134 показатеља у пет области добре управе: (1) Одговорност; (2) Транспарентност и партиципација; (3) Равноправност; (4) Предвидивост, економичност/ефикасност и делотворност локалне самоуправе и (5) Антикорупција. Мерења вредности индекса се спроводе на репрезентативном узорку локалних самоуправа.</w:t>
            </w:r>
          </w:p>
          <w:p w14:paraId="14380C6E" w14:textId="77777777" w:rsidR="00834649" w:rsidRPr="000F0299" w:rsidRDefault="00834649" w:rsidP="00B1535C">
            <w:pPr>
              <w:suppressAutoHyphens w:val="0"/>
              <w:autoSpaceDN/>
              <w:spacing w:before="0" w:after="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Индекс служи за самопроцењивање од стране градова и општина а може  користити и за независну екстерну процену. Имајући у виду карактер и функцију овог индекса, његова садржина прати еволуцију система јавне управе и усклађује се са њом, како би овај алат могао да прати капацитет ЛС у складу са актуелним захтевима из јавних политика и прописа и са најбољом праксом. </w:t>
            </w:r>
          </w:p>
        </w:tc>
      </w:tr>
      <w:tr w:rsidR="00834649" w:rsidRPr="000F0299" w14:paraId="055E8EA7" w14:textId="77777777" w:rsidTr="00487FD1">
        <w:trPr>
          <w:trHeight w:val="265"/>
          <w:jc w:val="center"/>
        </w:trPr>
        <w:tc>
          <w:tcPr>
            <w:tcW w:w="2133" w:type="dxa"/>
            <w:vMerge w:val="restart"/>
            <w:shd w:val="clear" w:color="auto" w:fill="auto"/>
          </w:tcPr>
          <w:p w14:paraId="00DF3EB9" w14:textId="77777777" w:rsidR="00834649" w:rsidRPr="000F0299" w:rsidRDefault="00834649"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5153" w:type="dxa"/>
            <w:gridSpan w:val="10"/>
            <w:tcBorders>
              <w:bottom w:val="single" w:sz="4" w:space="0" w:color="auto"/>
            </w:tcBorders>
            <w:shd w:val="clear" w:color="auto" w:fill="FFFFFF" w:themeFill="background1"/>
            <w:vAlign w:val="center"/>
          </w:tcPr>
          <w:p w14:paraId="0F75ED4B" w14:textId="77777777" w:rsidR="00834649" w:rsidRPr="000F0299" w:rsidRDefault="00834649" w:rsidP="00B1535C">
            <w:pPr>
              <w:suppressAutoHyphens w:val="0"/>
              <w:autoSpaceDN/>
              <w:spacing w:before="0" w:after="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Тренд у прошлости</w:t>
            </w:r>
          </w:p>
        </w:tc>
        <w:tc>
          <w:tcPr>
            <w:tcW w:w="1655" w:type="dxa"/>
            <w:gridSpan w:val="3"/>
            <w:shd w:val="clear" w:color="auto" w:fill="FFFFFF" w:themeFill="background1"/>
            <w:vAlign w:val="center"/>
          </w:tcPr>
          <w:p w14:paraId="3A1CFE8F" w14:textId="77777777" w:rsidR="00834649" w:rsidRPr="000F0299" w:rsidRDefault="00834649" w:rsidP="00B1535C">
            <w:pPr>
              <w:suppressAutoHyphens w:val="0"/>
              <w:autoSpaceDN/>
              <w:spacing w:before="0" w:after="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Полазна вредност</w:t>
            </w:r>
          </w:p>
        </w:tc>
      </w:tr>
      <w:tr w:rsidR="00834649" w:rsidRPr="000F0299" w14:paraId="52D6C433" w14:textId="77777777" w:rsidTr="00487FD1">
        <w:trPr>
          <w:trHeight w:val="137"/>
          <w:jc w:val="center"/>
        </w:trPr>
        <w:tc>
          <w:tcPr>
            <w:tcW w:w="2133" w:type="dxa"/>
            <w:vMerge/>
            <w:tcBorders>
              <w:right w:val="single" w:sz="4" w:space="0" w:color="auto"/>
            </w:tcBorders>
            <w:shd w:val="clear" w:color="auto" w:fill="auto"/>
          </w:tcPr>
          <w:p w14:paraId="17935E9C" w14:textId="77777777" w:rsidR="00834649" w:rsidRPr="000F0299" w:rsidRDefault="00834649" w:rsidP="00B1535C">
            <w:pPr>
              <w:suppressAutoHyphens w:val="0"/>
              <w:autoSpaceDN/>
              <w:spacing w:before="0" w:after="0"/>
              <w:ind w:firstLine="0"/>
              <w:textAlignment w:val="auto"/>
              <w:rPr>
                <w:rFonts w:eastAsiaTheme="minorHAnsi"/>
                <w:b/>
                <w:bCs/>
                <w:kern w:val="0"/>
                <w:sz w:val="20"/>
                <w:szCs w:val="20"/>
                <w:lang w:eastAsia="en-US" w:bidi="ar-SA"/>
              </w:rPr>
            </w:pPr>
          </w:p>
        </w:tc>
        <w:tc>
          <w:tcPr>
            <w:tcW w:w="184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A13428"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2016</w:t>
            </w:r>
          </w:p>
        </w:tc>
        <w:tc>
          <w:tcPr>
            <w:tcW w:w="15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A9FD3"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2017</w:t>
            </w:r>
          </w:p>
        </w:tc>
        <w:tc>
          <w:tcPr>
            <w:tcW w:w="172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22B75"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2018</w:t>
            </w:r>
          </w:p>
        </w:tc>
        <w:tc>
          <w:tcPr>
            <w:tcW w:w="1655" w:type="dxa"/>
            <w:gridSpan w:val="3"/>
            <w:tcBorders>
              <w:left w:val="single" w:sz="4" w:space="0" w:color="auto"/>
            </w:tcBorders>
            <w:shd w:val="clear" w:color="auto" w:fill="FFFFFF" w:themeFill="background1"/>
            <w:vAlign w:val="center"/>
          </w:tcPr>
          <w:p w14:paraId="3339FE1F"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2019 или 2020</w:t>
            </w:r>
          </w:p>
        </w:tc>
      </w:tr>
      <w:tr w:rsidR="00834649" w:rsidRPr="000F0299" w14:paraId="1C7A6615" w14:textId="77777777" w:rsidTr="00487FD1">
        <w:trPr>
          <w:trHeight w:val="323"/>
          <w:jc w:val="center"/>
        </w:trPr>
        <w:tc>
          <w:tcPr>
            <w:tcW w:w="2133" w:type="dxa"/>
            <w:vMerge/>
            <w:shd w:val="clear" w:color="auto" w:fill="auto"/>
          </w:tcPr>
          <w:p w14:paraId="1431C9AC" w14:textId="77777777" w:rsidR="00834649" w:rsidRPr="000F0299" w:rsidRDefault="00834649" w:rsidP="00B1535C">
            <w:pPr>
              <w:suppressAutoHyphens w:val="0"/>
              <w:autoSpaceDN/>
              <w:spacing w:before="0" w:after="0"/>
              <w:ind w:firstLine="0"/>
              <w:textAlignment w:val="auto"/>
              <w:rPr>
                <w:rFonts w:eastAsiaTheme="minorHAnsi"/>
                <w:b/>
                <w:bCs/>
                <w:kern w:val="0"/>
                <w:sz w:val="20"/>
                <w:szCs w:val="20"/>
                <w:lang w:eastAsia="en-US" w:bidi="ar-SA"/>
              </w:rPr>
            </w:pPr>
          </w:p>
        </w:tc>
        <w:tc>
          <w:tcPr>
            <w:tcW w:w="1841" w:type="dxa"/>
            <w:gridSpan w:val="3"/>
            <w:tcBorders>
              <w:top w:val="single" w:sz="4" w:space="0" w:color="auto"/>
            </w:tcBorders>
            <w:shd w:val="clear" w:color="auto" w:fill="FFFFFF" w:themeFill="background1"/>
            <w:vAlign w:val="center"/>
          </w:tcPr>
          <w:p w14:paraId="55128999"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N/A</w:t>
            </w:r>
          </w:p>
        </w:tc>
        <w:tc>
          <w:tcPr>
            <w:tcW w:w="1584" w:type="dxa"/>
            <w:gridSpan w:val="4"/>
            <w:tcBorders>
              <w:top w:val="single" w:sz="4" w:space="0" w:color="auto"/>
            </w:tcBorders>
            <w:shd w:val="clear" w:color="auto" w:fill="FFFFFF" w:themeFill="background1"/>
            <w:vAlign w:val="center"/>
          </w:tcPr>
          <w:p w14:paraId="4335A2AD"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N/A</w:t>
            </w:r>
          </w:p>
        </w:tc>
        <w:tc>
          <w:tcPr>
            <w:tcW w:w="1728" w:type="dxa"/>
            <w:gridSpan w:val="3"/>
            <w:tcBorders>
              <w:top w:val="single" w:sz="4" w:space="0" w:color="auto"/>
            </w:tcBorders>
            <w:shd w:val="clear" w:color="auto" w:fill="FFFFFF" w:themeFill="background1"/>
            <w:vAlign w:val="center"/>
          </w:tcPr>
          <w:p w14:paraId="7BAE967E"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39%</w:t>
            </w:r>
          </w:p>
        </w:tc>
        <w:tc>
          <w:tcPr>
            <w:tcW w:w="1655" w:type="dxa"/>
            <w:gridSpan w:val="3"/>
            <w:shd w:val="clear" w:color="auto" w:fill="FFFFFF" w:themeFill="background1"/>
            <w:vAlign w:val="center"/>
          </w:tcPr>
          <w:p w14:paraId="73D06332"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39%</w:t>
            </w:r>
          </w:p>
        </w:tc>
      </w:tr>
      <w:tr w:rsidR="00834649" w:rsidRPr="000F0299" w14:paraId="558A5D11" w14:textId="77777777" w:rsidTr="00487FD1">
        <w:trPr>
          <w:trHeight w:val="274"/>
          <w:jc w:val="center"/>
        </w:trPr>
        <w:tc>
          <w:tcPr>
            <w:tcW w:w="2133" w:type="dxa"/>
            <w:vMerge w:val="restart"/>
            <w:shd w:val="clear" w:color="auto" w:fill="auto"/>
          </w:tcPr>
          <w:p w14:paraId="1EAB0348" w14:textId="77777777" w:rsidR="00834649" w:rsidRPr="000F0299" w:rsidRDefault="00834649"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96" w:type="dxa"/>
            <w:shd w:val="clear" w:color="auto" w:fill="FFFFFF" w:themeFill="background1"/>
            <w:vAlign w:val="center"/>
          </w:tcPr>
          <w:p w14:paraId="21A997DB"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2021</w:t>
            </w:r>
          </w:p>
        </w:tc>
        <w:tc>
          <w:tcPr>
            <w:tcW w:w="626" w:type="dxa"/>
            <w:shd w:val="clear" w:color="auto" w:fill="FFFFFF" w:themeFill="background1"/>
            <w:vAlign w:val="center"/>
          </w:tcPr>
          <w:p w14:paraId="023376F7"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2022</w:t>
            </w:r>
          </w:p>
        </w:tc>
        <w:tc>
          <w:tcPr>
            <w:tcW w:w="749" w:type="dxa"/>
            <w:gridSpan w:val="2"/>
            <w:shd w:val="clear" w:color="auto" w:fill="FFFFFF" w:themeFill="background1"/>
            <w:vAlign w:val="center"/>
          </w:tcPr>
          <w:p w14:paraId="0B67A35F"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2023</w:t>
            </w:r>
          </w:p>
        </w:tc>
        <w:tc>
          <w:tcPr>
            <w:tcW w:w="641" w:type="dxa"/>
            <w:shd w:val="clear" w:color="auto" w:fill="FFFFFF" w:themeFill="background1"/>
            <w:vAlign w:val="center"/>
          </w:tcPr>
          <w:p w14:paraId="21F32B7D"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2024</w:t>
            </w:r>
          </w:p>
        </w:tc>
        <w:tc>
          <w:tcPr>
            <w:tcW w:w="713" w:type="dxa"/>
            <w:gridSpan w:val="2"/>
            <w:shd w:val="clear" w:color="auto" w:fill="FFFFFF" w:themeFill="background1"/>
            <w:vAlign w:val="center"/>
          </w:tcPr>
          <w:p w14:paraId="08D818D2"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2025</w:t>
            </w:r>
          </w:p>
        </w:tc>
        <w:tc>
          <w:tcPr>
            <w:tcW w:w="639" w:type="dxa"/>
            <w:shd w:val="clear" w:color="auto" w:fill="FFFFFF" w:themeFill="background1"/>
            <w:vAlign w:val="center"/>
          </w:tcPr>
          <w:p w14:paraId="653CE047"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2026</w:t>
            </w:r>
          </w:p>
        </w:tc>
        <w:tc>
          <w:tcPr>
            <w:tcW w:w="713" w:type="dxa"/>
            <w:shd w:val="clear" w:color="auto" w:fill="FFFFFF" w:themeFill="background1"/>
            <w:vAlign w:val="center"/>
          </w:tcPr>
          <w:p w14:paraId="6B74FDE3"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2027</w:t>
            </w:r>
          </w:p>
        </w:tc>
        <w:tc>
          <w:tcPr>
            <w:tcW w:w="635" w:type="dxa"/>
            <w:gridSpan w:val="2"/>
            <w:shd w:val="clear" w:color="auto" w:fill="FFFFFF" w:themeFill="background1"/>
            <w:vAlign w:val="center"/>
          </w:tcPr>
          <w:p w14:paraId="023CD9D1"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2028</w:t>
            </w:r>
          </w:p>
        </w:tc>
        <w:tc>
          <w:tcPr>
            <w:tcW w:w="713" w:type="dxa"/>
            <w:shd w:val="clear" w:color="auto" w:fill="FFFFFF" w:themeFill="background1"/>
            <w:vAlign w:val="center"/>
          </w:tcPr>
          <w:p w14:paraId="737CCD36"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2029</w:t>
            </w:r>
          </w:p>
        </w:tc>
        <w:tc>
          <w:tcPr>
            <w:tcW w:w="683" w:type="dxa"/>
            <w:shd w:val="clear" w:color="auto" w:fill="FFFFFF" w:themeFill="background1"/>
            <w:vAlign w:val="center"/>
          </w:tcPr>
          <w:p w14:paraId="15D989DB" w14:textId="77777777" w:rsidR="00834649" w:rsidRPr="000F0299" w:rsidRDefault="00834649" w:rsidP="00B1535C">
            <w:pPr>
              <w:suppressAutoHyphens w:val="0"/>
              <w:autoSpaceDN/>
              <w:spacing w:before="0" w:after="0"/>
              <w:ind w:firstLine="0"/>
              <w:jc w:val="center"/>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2030</w:t>
            </w:r>
          </w:p>
        </w:tc>
      </w:tr>
      <w:tr w:rsidR="00834649" w:rsidRPr="000F0299" w14:paraId="09131694" w14:textId="77777777" w:rsidTr="00487FD1">
        <w:trPr>
          <w:trHeight w:val="160"/>
          <w:jc w:val="center"/>
        </w:trPr>
        <w:tc>
          <w:tcPr>
            <w:tcW w:w="2133" w:type="dxa"/>
            <w:vMerge/>
            <w:shd w:val="clear" w:color="auto" w:fill="auto"/>
          </w:tcPr>
          <w:p w14:paraId="38212C18" w14:textId="77777777" w:rsidR="00834649" w:rsidRPr="000F0299" w:rsidRDefault="00834649" w:rsidP="00B1535C">
            <w:pPr>
              <w:suppressAutoHyphens w:val="0"/>
              <w:autoSpaceDN/>
              <w:spacing w:before="0" w:after="0"/>
              <w:ind w:firstLine="0"/>
              <w:textAlignment w:val="auto"/>
              <w:rPr>
                <w:rFonts w:eastAsiaTheme="minorHAnsi"/>
                <w:b/>
                <w:bCs/>
                <w:kern w:val="0"/>
                <w:sz w:val="20"/>
                <w:szCs w:val="20"/>
                <w:lang w:eastAsia="en-US" w:bidi="ar-SA"/>
              </w:rPr>
            </w:pPr>
          </w:p>
        </w:tc>
        <w:tc>
          <w:tcPr>
            <w:tcW w:w="696" w:type="dxa"/>
            <w:shd w:val="clear" w:color="auto" w:fill="FFFFFF" w:themeFill="background1"/>
            <w:vAlign w:val="center"/>
          </w:tcPr>
          <w:p w14:paraId="6BA5632B" w14:textId="77777777" w:rsidR="00834649" w:rsidRPr="000F0299" w:rsidRDefault="00834649" w:rsidP="00B1535C">
            <w:pPr>
              <w:suppressAutoHyphens w:val="0"/>
              <w:autoSpaceDN/>
              <w:spacing w:before="0" w:after="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+10%</w:t>
            </w:r>
          </w:p>
        </w:tc>
        <w:tc>
          <w:tcPr>
            <w:tcW w:w="626" w:type="dxa"/>
            <w:shd w:val="clear" w:color="auto" w:fill="FFFFFF" w:themeFill="background1"/>
          </w:tcPr>
          <w:p w14:paraId="42DA4947" w14:textId="77777777" w:rsidR="00834649" w:rsidRPr="000F0299" w:rsidRDefault="00834649" w:rsidP="00B1535C">
            <w:pPr>
              <w:suppressAutoHyphens w:val="0"/>
              <w:autoSpaceDN/>
              <w:spacing w:before="0" w:after="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N/A</w:t>
            </w:r>
          </w:p>
        </w:tc>
        <w:tc>
          <w:tcPr>
            <w:tcW w:w="749" w:type="dxa"/>
            <w:gridSpan w:val="2"/>
            <w:shd w:val="clear" w:color="auto" w:fill="FFFFFF" w:themeFill="background1"/>
          </w:tcPr>
          <w:p w14:paraId="4B3A0EEB" w14:textId="77777777" w:rsidR="00834649" w:rsidRPr="000F0299" w:rsidRDefault="00834649" w:rsidP="00B1535C">
            <w:pPr>
              <w:suppressAutoHyphens w:val="0"/>
              <w:autoSpaceDN/>
              <w:spacing w:before="0" w:after="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+20%</w:t>
            </w:r>
          </w:p>
        </w:tc>
        <w:tc>
          <w:tcPr>
            <w:tcW w:w="641" w:type="dxa"/>
            <w:shd w:val="clear" w:color="auto" w:fill="FFFFFF" w:themeFill="background1"/>
          </w:tcPr>
          <w:p w14:paraId="0D5B3D51" w14:textId="77777777" w:rsidR="00834649" w:rsidRPr="000F0299" w:rsidRDefault="00834649" w:rsidP="00B1535C">
            <w:pPr>
              <w:suppressAutoHyphens w:val="0"/>
              <w:autoSpaceDN/>
              <w:spacing w:before="0" w:after="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N/A</w:t>
            </w:r>
          </w:p>
        </w:tc>
        <w:tc>
          <w:tcPr>
            <w:tcW w:w="713" w:type="dxa"/>
            <w:gridSpan w:val="2"/>
            <w:shd w:val="clear" w:color="auto" w:fill="FFFFFF" w:themeFill="background1"/>
          </w:tcPr>
          <w:p w14:paraId="004C0E24" w14:textId="77777777" w:rsidR="00834649" w:rsidRPr="000F0299" w:rsidRDefault="00834649" w:rsidP="00B1535C">
            <w:pPr>
              <w:suppressAutoHyphens w:val="0"/>
              <w:autoSpaceDN/>
              <w:spacing w:before="0" w:after="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+40%</w:t>
            </w:r>
          </w:p>
        </w:tc>
        <w:tc>
          <w:tcPr>
            <w:tcW w:w="639" w:type="dxa"/>
            <w:shd w:val="clear" w:color="auto" w:fill="FFFFFF" w:themeFill="background1"/>
          </w:tcPr>
          <w:p w14:paraId="00C73A06" w14:textId="77777777" w:rsidR="00834649" w:rsidRPr="000F0299" w:rsidRDefault="00834649" w:rsidP="00B1535C">
            <w:pPr>
              <w:suppressAutoHyphens w:val="0"/>
              <w:autoSpaceDN/>
              <w:spacing w:before="0" w:after="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N/A</w:t>
            </w:r>
          </w:p>
        </w:tc>
        <w:tc>
          <w:tcPr>
            <w:tcW w:w="713" w:type="dxa"/>
            <w:shd w:val="clear" w:color="auto" w:fill="FFFFFF" w:themeFill="background1"/>
          </w:tcPr>
          <w:p w14:paraId="76099B78" w14:textId="77777777" w:rsidR="00834649" w:rsidRPr="000F0299" w:rsidRDefault="00834649" w:rsidP="00B1535C">
            <w:pPr>
              <w:suppressAutoHyphens w:val="0"/>
              <w:autoSpaceDN/>
              <w:spacing w:before="0" w:after="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+60%</w:t>
            </w:r>
          </w:p>
        </w:tc>
        <w:tc>
          <w:tcPr>
            <w:tcW w:w="635" w:type="dxa"/>
            <w:gridSpan w:val="2"/>
            <w:shd w:val="clear" w:color="auto" w:fill="FFFFFF" w:themeFill="background1"/>
          </w:tcPr>
          <w:p w14:paraId="699E4802" w14:textId="77777777" w:rsidR="00834649" w:rsidRPr="000F0299" w:rsidRDefault="00834649" w:rsidP="00B1535C">
            <w:pPr>
              <w:suppressAutoHyphens w:val="0"/>
              <w:autoSpaceDN/>
              <w:spacing w:before="0" w:after="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N/A</w:t>
            </w:r>
          </w:p>
        </w:tc>
        <w:tc>
          <w:tcPr>
            <w:tcW w:w="713" w:type="dxa"/>
            <w:shd w:val="clear" w:color="auto" w:fill="FFFFFF" w:themeFill="background1"/>
          </w:tcPr>
          <w:p w14:paraId="783D6C3C" w14:textId="77777777" w:rsidR="00834649" w:rsidRPr="000F0299" w:rsidRDefault="00834649" w:rsidP="00B1535C">
            <w:pPr>
              <w:suppressAutoHyphens w:val="0"/>
              <w:autoSpaceDN/>
              <w:spacing w:before="0" w:after="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+80%</w:t>
            </w:r>
          </w:p>
        </w:tc>
        <w:tc>
          <w:tcPr>
            <w:tcW w:w="683" w:type="dxa"/>
            <w:shd w:val="clear" w:color="auto" w:fill="FFFFFF" w:themeFill="background1"/>
          </w:tcPr>
          <w:p w14:paraId="676E2F22" w14:textId="77777777" w:rsidR="00834649" w:rsidRPr="000F0299" w:rsidRDefault="00834649" w:rsidP="00B1535C">
            <w:pPr>
              <w:suppressAutoHyphens w:val="0"/>
              <w:autoSpaceDN/>
              <w:spacing w:before="0" w:after="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100%</w:t>
            </w:r>
          </w:p>
        </w:tc>
      </w:tr>
      <w:tr w:rsidR="00834649" w:rsidRPr="000F0299" w14:paraId="70264C99" w14:textId="77777777" w:rsidTr="00487FD1">
        <w:trPr>
          <w:trHeight w:val="160"/>
          <w:jc w:val="center"/>
        </w:trPr>
        <w:tc>
          <w:tcPr>
            <w:tcW w:w="2133" w:type="dxa"/>
            <w:shd w:val="clear" w:color="auto" w:fill="auto"/>
          </w:tcPr>
          <w:p w14:paraId="3C55DC78" w14:textId="77777777" w:rsidR="00834649" w:rsidRPr="000F0299" w:rsidRDefault="00834649" w:rsidP="00B1535C">
            <w:pPr>
              <w:suppressAutoHyphens w:val="0"/>
              <w:autoSpaceDN/>
              <w:spacing w:before="0" w:after="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808" w:type="dxa"/>
            <w:gridSpan w:val="13"/>
            <w:shd w:val="clear" w:color="auto" w:fill="FFFFFF" w:themeFill="background1"/>
            <w:vAlign w:val="center"/>
          </w:tcPr>
          <w:p w14:paraId="44F7C3FB" w14:textId="77777777" w:rsidR="00834649" w:rsidRPr="000F0299" w:rsidRDefault="00834649" w:rsidP="00B1535C">
            <w:pPr>
              <w:suppressAutoHyphens w:val="0"/>
              <w:autoSpaceDN/>
              <w:spacing w:before="0" w:after="0"/>
              <w:ind w:firstLine="0"/>
              <w:textAlignment w:val="auto"/>
              <w:rPr>
                <w:rFonts w:eastAsiaTheme="minorHAnsi"/>
                <w:iCs/>
                <w:kern w:val="0"/>
                <w:sz w:val="20"/>
                <w:szCs w:val="20"/>
                <w:lang w:eastAsia="en-US" w:bidi="ar-SA"/>
              </w:rPr>
            </w:pPr>
            <w:r w:rsidRPr="000F0299">
              <w:rPr>
                <w:rFonts w:eastAsiaTheme="minorHAnsi"/>
                <w:iCs/>
                <w:kern w:val="0"/>
                <w:sz w:val="20"/>
                <w:szCs w:val="20"/>
                <w:lang w:eastAsia="en-US" w:bidi="ar-SA"/>
              </w:rPr>
              <w:t>Прихватљиво је одступање до 20% од планираног процентуалног увећања у односу на полазну вредност током периода остваривања Стратегије односно на крају 2030. године</w:t>
            </w:r>
          </w:p>
        </w:tc>
      </w:tr>
    </w:tbl>
    <w:p w14:paraId="08557050" w14:textId="07846139" w:rsidR="00D4266E" w:rsidRPr="000F0299" w:rsidRDefault="00D4266E" w:rsidP="00834649">
      <w:pPr>
        <w:suppressAutoHyphens w:val="0"/>
        <w:autoSpaceDN/>
        <w:spacing w:before="0" w:after="160" w:line="259" w:lineRule="auto"/>
        <w:ind w:firstLine="0"/>
        <w:jc w:val="left"/>
        <w:textAlignment w:val="auto"/>
        <w:rPr>
          <w:rFonts w:eastAsiaTheme="minorHAnsi"/>
          <w:color w:val="0070C0"/>
          <w:kern w:val="0"/>
          <w:sz w:val="22"/>
          <w:szCs w:val="22"/>
          <w:lang w:eastAsia="en-US" w:bidi="ar-SA"/>
        </w:rPr>
      </w:pPr>
    </w:p>
    <w:p w14:paraId="7C927543" w14:textId="77777777" w:rsidR="00D4266E" w:rsidRPr="000F0299" w:rsidRDefault="00D4266E">
      <w:pPr>
        <w:suppressAutoHyphens w:val="0"/>
        <w:autoSpaceDN/>
        <w:spacing w:before="0" w:after="160" w:line="259" w:lineRule="auto"/>
        <w:ind w:firstLine="0"/>
        <w:jc w:val="left"/>
        <w:textAlignment w:val="auto"/>
        <w:rPr>
          <w:rFonts w:eastAsiaTheme="minorHAnsi"/>
          <w:color w:val="0070C0"/>
          <w:kern w:val="0"/>
          <w:sz w:val="22"/>
          <w:szCs w:val="22"/>
          <w:lang w:eastAsia="en-US" w:bidi="ar-SA"/>
        </w:rPr>
      </w:pPr>
      <w:r w:rsidRPr="000F0299">
        <w:rPr>
          <w:rFonts w:eastAsiaTheme="minorHAnsi"/>
          <w:color w:val="0070C0"/>
          <w:kern w:val="0"/>
          <w:sz w:val="22"/>
          <w:szCs w:val="22"/>
          <w:lang w:eastAsia="en-US" w:bidi="ar-SA"/>
        </w:rPr>
        <w:br w:type="page"/>
      </w:r>
    </w:p>
    <w:p w14:paraId="50C261BD" w14:textId="74A3785A" w:rsidR="00834649" w:rsidRPr="000F0299" w:rsidRDefault="001B2E03" w:rsidP="002309DC">
      <w:pPr>
        <w:ind w:firstLine="0"/>
        <w:rPr>
          <w:b/>
          <w:bCs/>
          <w:color w:val="2F5496" w:themeColor="accent1" w:themeShade="BF"/>
        </w:rPr>
      </w:pPr>
      <w:r w:rsidRPr="000F0299">
        <w:rPr>
          <w:b/>
          <w:bCs/>
          <w:color w:val="2F5496" w:themeColor="accent1" w:themeShade="BF"/>
        </w:rPr>
        <w:t>Показатељ</w:t>
      </w:r>
      <w:r w:rsidR="00834649" w:rsidRPr="000F0299">
        <w:rPr>
          <w:b/>
          <w:bCs/>
          <w:color w:val="2F5496" w:themeColor="accent1" w:themeShade="BF"/>
        </w:rPr>
        <w:t xml:space="preserve"> 4</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8"/>
        <w:gridCol w:w="696"/>
        <w:gridCol w:w="616"/>
        <w:gridCol w:w="508"/>
        <w:gridCol w:w="264"/>
        <w:gridCol w:w="656"/>
        <w:gridCol w:w="696"/>
        <w:gridCol w:w="652"/>
        <w:gridCol w:w="657"/>
        <w:gridCol w:w="376"/>
        <w:gridCol w:w="272"/>
        <w:gridCol w:w="654"/>
        <w:gridCol w:w="626"/>
      </w:tblGrid>
      <w:tr w:rsidR="00834649" w:rsidRPr="000F0299" w14:paraId="03E7F18B" w14:textId="77777777" w:rsidTr="00834649">
        <w:trPr>
          <w:jc w:val="center"/>
        </w:trPr>
        <w:tc>
          <w:tcPr>
            <w:tcW w:w="2288" w:type="dxa"/>
            <w:shd w:val="clear" w:color="auto" w:fill="6C7781"/>
            <w:vAlign w:val="center"/>
          </w:tcPr>
          <w:p w14:paraId="4C2C5DBC" w14:textId="77777777" w:rsidR="00834649" w:rsidRPr="000F0299" w:rsidRDefault="00834649" w:rsidP="00B1535C">
            <w:pPr>
              <w:suppressAutoHyphens w:val="0"/>
              <w:autoSpaceDN/>
              <w:spacing w:before="0"/>
              <w:ind w:firstLine="0"/>
              <w:textAlignment w:val="auto"/>
              <w:rPr>
                <w:rFonts w:eastAsiaTheme="minorHAnsi"/>
                <w:b/>
                <w:bCs/>
                <w:color w:val="FFFFFF" w:themeColor="background1"/>
                <w:kern w:val="0"/>
                <w:sz w:val="20"/>
                <w:szCs w:val="20"/>
                <w:lang w:eastAsia="en-US" w:bidi="ar-SA"/>
              </w:rPr>
            </w:pPr>
            <w:r w:rsidRPr="000F0299">
              <w:rPr>
                <w:rFonts w:eastAsiaTheme="minorHAnsi"/>
                <w:b/>
                <w:bCs/>
                <w:color w:val="FFFFFF" w:themeColor="background1"/>
                <w:kern w:val="0"/>
                <w:sz w:val="20"/>
                <w:szCs w:val="20"/>
                <w:lang w:eastAsia="en-US" w:bidi="ar-SA"/>
              </w:rPr>
              <w:t>Назив показатеља</w:t>
            </w:r>
          </w:p>
        </w:tc>
        <w:tc>
          <w:tcPr>
            <w:tcW w:w="6643" w:type="dxa"/>
            <w:gridSpan w:val="12"/>
            <w:shd w:val="clear" w:color="auto" w:fill="6C7781"/>
            <w:vAlign w:val="center"/>
          </w:tcPr>
          <w:p w14:paraId="5D14D979" w14:textId="77777777" w:rsidR="00834649" w:rsidRPr="000F0299" w:rsidRDefault="00834649" w:rsidP="00B1535C">
            <w:pPr>
              <w:suppressAutoHyphens w:val="0"/>
              <w:autoSpaceDN/>
              <w:spacing w:before="0"/>
              <w:ind w:firstLine="0"/>
              <w:textAlignment w:val="auto"/>
              <w:rPr>
                <w:rFonts w:eastAsiaTheme="minorHAnsi"/>
                <w:b/>
                <w:bCs/>
                <w:color w:val="FFFFFF" w:themeColor="background1"/>
                <w:kern w:val="0"/>
                <w:sz w:val="20"/>
                <w:szCs w:val="20"/>
                <w:lang w:eastAsia="en-US" w:bidi="ar-SA"/>
              </w:rPr>
            </w:pPr>
            <w:r w:rsidRPr="000F0299">
              <w:rPr>
                <w:rFonts w:eastAsiaTheme="minorHAnsi"/>
                <w:b/>
                <w:bCs/>
                <w:color w:val="FFFFFF" w:themeColor="background1"/>
                <w:kern w:val="0"/>
                <w:sz w:val="20"/>
                <w:szCs w:val="20"/>
                <w:lang w:eastAsia="en-US" w:bidi="ar-SA"/>
              </w:rPr>
              <w:t>Капацитет ЈЛС за УЉР у локалној управи</w:t>
            </w:r>
          </w:p>
        </w:tc>
      </w:tr>
      <w:tr w:rsidR="00834649" w:rsidRPr="000F0299" w14:paraId="4E3C9858" w14:textId="77777777" w:rsidTr="00834649">
        <w:trPr>
          <w:jc w:val="center"/>
        </w:trPr>
        <w:tc>
          <w:tcPr>
            <w:tcW w:w="2288" w:type="dxa"/>
            <w:shd w:val="clear" w:color="auto" w:fill="auto"/>
          </w:tcPr>
          <w:p w14:paraId="742A1B43"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6643" w:type="dxa"/>
            <w:gridSpan w:val="12"/>
            <w:shd w:val="clear" w:color="auto" w:fill="FFFFFF" w:themeFill="background1"/>
          </w:tcPr>
          <w:p w14:paraId="0E64DB45" w14:textId="1448F4EF" w:rsidR="00834649" w:rsidRPr="000F0299" w:rsidRDefault="006873CC" w:rsidP="00B1535C">
            <w:pPr>
              <w:tabs>
                <w:tab w:val="left" w:pos="152"/>
              </w:tabs>
              <w:suppressAutoHyphens w:val="0"/>
              <w:autoSpaceDN/>
              <w:spacing w:before="0"/>
              <w:ind w:firstLine="0"/>
              <w:textAlignment w:val="auto"/>
              <w:rPr>
                <w:rFonts w:eastAsiaTheme="minorHAnsi"/>
                <w:bCs/>
                <w:color w:val="000000" w:themeColor="text1"/>
                <w:kern w:val="24"/>
                <w:sz w:val="20"/>
                <w:szCs w:val="20"/>
                <w:lang w:eastAsia="en-US" w:bidi="ar-SA"/>
              </w:rPr>
            </w:pPr>
            <w:r w:rsidRPr="000F0299">
              <w:rPr>
                <w:rFonts w:eastAsiaTheme="minorHAnsi"/>
                <w:b/>
                <w:color w:val="000000" w:themeColor="text1"/>
                <w:kern w:val="24"/>
                <w:sz w:val="20"/>
                <w:szCs w:val="20"/>
                <w:lang w:eastAsia="en-US" w:bidi="ar-SA"/>
              </w:rPr>
              <w:t>Посебан циљ 5.1</w:t>
            </w:r>
            <w:r w:rsidRPr="000F0299">
              <w:rPr>
                <w:rFonts w:eastAsiaTheme="minorHAnsi"/>
                <w:bCs/>
                <w:color w:val="000000" w:themeColor="text1"/>
                <w:kern w:val="24"/>
                <w:sz w:val="20"/>
                <w:szCs w:val="20"/>
                <w:lang w:eastAsia="en-US" w:bidi="ar-SA"/>
              </w:rPr>
              <w:t>:</w:t>
            </w:r>
            <w:r w:rsidR="00834649" w:rsidRPr="000F0299">
              <w:rPr>
                <w:rFonts w:eastAsiaTheme="minorHAnsi"/>
                <w:bCs/>
                <w:color w:val="000000" w:themeColor="text1"/>
                <w:kern w:val="24"/>
                <w:sz w:val="20"/>
                <w:szCs w:val="20"/>
                <w:lang w:eastAsia="en-US" w:bidi="ar-SA"/>
              </w:rPr>
              <w:t>Унапређење организације и капацитета локалне самоуправе</w:t>
            </w:r>
          </w:p>
        </w:tc>
      </w:tr>
      <w:tr w:rsidR="00834649" w:rsidRPr="000F0299" w14:paraId="76672045" w14:textId="77777777" w:rsidTr="00834649">
        <w:trPr>
          <w:jc w:val="center"/>
        </w:trPr>
        <w:tc>
          <w:tcPr>
            <w:tcW w:w="2288" w:type="dxa"/>
            <w:shd w:val="clear" w:color="auto" w:fill="auto"/>
          </w:tcPr>
          <w:p w14:paraId="05AD3D3E"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kern w:val="24"/>
                <w:sz w:val="20"/>
                <w:szCs w:val="20"/>
                <w:lang w:eastAsia="en-US" w:bidi="ar-SA"/>
              </w:rPr>
              <w:t>Тип и ниво показатеља</w:t>
            </w:r>
          </w:p>
        </w:tc>
        <w:tc>
          <w:tcPr>
            <w:tcW w:w="3400" w:type="dxa"/>
            <w:gridSpan w:val="6"/>
            <w:shd w:val="clear" w:color="auto" w:fill="FFFFFF" w:themeFill="background1"/>
          </w:tcPr>
          <w:p w14:paraId="62131BC2" w14:textId="2E4A174A" w:rsidR="00834649" w:rsidRPr="000F0299" w:rsidRDefault="001B2E03" w:rsidP="00B1535C">
            <w:pPr>
              <w:tabs>
                <w:tab w:val="left" w:pos="152"/>
              </w:tabs>
              <w:suppressAutoHyphens w:val="0"/>
              <w:autoSpaceDN/>
              <w:spacing w:before="0"/>
              <w:ind w:firstLine="0"/>
              <w:textAlignment w:val="auto"/>
              <w:rPr>
                <w:rFonts w:eastAsiaTheme="minorHAnsi"/>
                <w:bCs/>
                <w:color w:val="000000" w:themeColor="text1"/>
                <w:kern w:val="24"/>
                <w:sz w:val="20"/>
                <w:szCs w:val="20"/>
                <w:lang w:eastAsia="en-US" w:bidi="ar-SA"/>
              </w:rPr>
            </w:pPr>
            <w:r w:rsidRPr="000F0299">
              <w:rPr>
                <w:rFonts w:eastAsiaTheme="minorHAnsi"/>
                <w:bCs/>
                <w:color w:val="000000" w:themeColor="text1"/>
                <w:kern w:val="24"/>
                <w:sz w:val="20"/>
                <w:szCs w:val="20"/>
                <w:lang w:eastAsia="en-US" w:bidi="ar-SA"/>
              </w:rPr>
              <w:t>Квалитативни</w:t>
            </w:r>
          </w:p>
        </w:tc>
        <w:tc>
          <w:tcPr>
            <w:tcW w:w="3243" w:type="dxa"/>
            <w:gridSpan w:val="6"/>
            <w:shd w:val="clear" w:color="auto" w:fill="FFFFFF" w:themeFill="background1"/>
          </w:tcPr>
          <w:p w14:paraId="121CD013" w14:textId="77777777" w:rsidR="00834649" w:rsidRPr="000F0299" w:rsidRDefault="00834649" w:rsidP="00B1535C">
            <w:pPr>
              <w:suppressAutoHyphens w:val="0"/>
              <w:autoSpaceDN/>
              <w:spacing w:before="0"/>
              <w:ind w:firstLine="0"/>
              <w:textAlignment w:val="auto"/>
              <w:rPr>
                <w:rFonts w:eastAsiaTheme="minorHAnsi"/>
                <w:bCs/>
                <w:color w:val="000000" w:themeColor="text1"/>
                <w:kern w:val="24"/>
                <w:sz w:val="20"/>
                <w:szCs w:val="20"/>
                <w:lang w:eastAsia="en-US" w:bidi="ar-SA"/>
              </w:rPr>
            </w:pPr>
            <w:r w:rsidRPr="000F0299">
              <w:rPr>
                <w:rFonts w:eastAsiaTheme="minorHAnsi"/>
                <w:bCs/>
                <w:color w:val="000000" w:themeColor="text1"/>
                <w:kern w:val="24"/>
                <w:sz w:val="20"/>
                <w:szCs w:val="20"/>
                <w:lang w:eastAsia="en-US" w:bidi="ar-SA"/>
              </w:rPr>
              <w:t>Показатељ на нивоу посебног циља</w:t>
            </w:r>
          </w:p>
        </w:tc>
      </w:tr>
      <w:tr w:rsidR="00834649" w:rsidRPr="000F0299" w14:paraId="50C8F3BA" w14:textId="77777777" w:rsidTr="00834649">
        <w:trPr>
          <w:trHeight w:val="373"/>
          <w:jc w:val="center"/>
        </w:trPr>
        <w:tc>
          <w:tcPr>
            <w:tcW w:w="2288" w:type="dxa"/>
            <w:shd w:val="clear" w:color="auto" w:fill="auto"/>
          </w:tcPr>
          <w:p w14:paraId="6D4E002F" w14:textId="77777777" w:rsidR="00834649" w:rsidRPr="000F0299" w:rsidRDefault="00834649" w:rsidP="00B1535C">
            <w:pPr>
              <w:suppressAutoHyphens w:val="0"/>
              <w:autoSpaceDN/>
              <w:spacing w:before="0"/>
              <w:ind w:firstLine="0"/>
              <w:textAlignment w:val="auto"/>
              <w:rPr>
                <w:rFonts w:eastAsiaTheme="minorHAnsi"/>
                <w:b/>
                <w:kern w:val="24"/>
                <w:sz w:val="20"/>
                <w:szCs w:val="20"/>
                <w:lang w:eastAsia="en-US" w:bidi="ar-SA"/>
              </w:rPr>
            </w:pPr>
            <w:r w:rsidRPr="000F0299">
              <w:rPr>
                <w:rFonts w:eastAsiaTheme="minorHAnsi"/>
                <w:b/>
                <w:kern w:val="24"/>
                <w:sz w:val="20"/>
                <w:szCs w:val="20"/>
                <w:lang w:eastAsia="en-US" w:bidi="ar-SA"/>
              </w:rPr>
              <w:t>Јединица мере и природа</w:t>
            </w:r>
          </w:p>
        </w:tc>
        <w:tc>
          <w:tcPr>
            <w:tcW w:w="3400" w:type="dxa"/>
            <w:gridSpan w:val="6"/>
            <w:shd w:val="clear" w:color="auto" w:fill="FFFFFF" w:themeFill="background1"/>
          </w:tcPr>
          <w:p w14:paraId="6469F47F" w14:textId="77777777" w:rsidR="00834649" w:rsidRPr="000F0299" w:rsidRDefault="00834649" w:rsidP="00B1535C">
            <w:pPr>
              <w:suppressAutoHyphens w:val="0"/>
              <w:autoSpaceDN/>
              <w:spacing w:before="0"/>
              <w:ind w:firstLine="0"/>
              <w:textAlignment w:val="auto"/>
              <w:rPr>
                <w:rFonts w:eastAsia="Times New Roman"/>
                <w:color w:val="000000" w:themeColor="text1"/>
                <w:kern w:val="0"/>
                <w:sz w:val="20"/>
                <w:szCs w:val="20"/>
                <w:lang w:eastAsia="en-US" w:bidi="ar-SA"/>
              </w:rPr>
            </w:pPr>
            <w:r w:rsidRPr="000F0299">
              <w:rPr>
                <w:rFonts w:eastAsia="Times New Roman"/>
                <w:bCs/>
                <w:color w:val="000000" w:themeColor="text1"/>
                <w:kern w:val="24"/>
                <w:sz w:val="20"/>
                <w:szCs w:val="20"/>
                <w:lang w:eastAsia="en-US" w:bidi="ar-SA"/>
              </w:rPr>
              <w:t>Индекс - композитни показатељи (сет различитих показатеља у посебној методологији прављеној за потребе СКГО)</w:t>
            </w:r>
          </w:p>
        </w:tc>
        <w:tc>
          <w:tcPr>
            <w:tcW w:w="3243" w:type="dxa"/>
            <w:gridSpan w:val="6"/>
            <w:shd w:val="clear" w:color="auto" w:fill="FFFFFF" w:themeFill="background1"/>
          </w:tcPr>
          <w:p w14:paraId="4FD59BDB" w14:textId="77777777" w:rsidR="00834649" w:rsidRPr="000F0299" w:rsidRDefault="00834649" w:rsidP="00B1535C">
            <w:pPr>
              <w:suppressAutoHyphens w:val="0"/>
              <w:autoSpaceDN/>
              <w:spacing w:before="0"/>
              <w:ind w:firstLine="0"/>
              <w:textAlignment w:val="auto"/>
              <w:rPr>
                <w:rFonts w:eastAsia="Arial"/>
                <w:color w:val="000000" w:themeColor="text1"/>
                <w:spacing w:val="-1"/>
                <w:kern w:val="24"/>
                <w:sz w:val="20"/>
                <w:szCs w:val="20"/>
                <w:lang w:eastAsia="en-US" w:bidi="ar-SA"/>
              </w:rPr>
            </w:pPr>
            <w:r w:rsidRPr="000F0299">
              <w:rPr>
                <w:rFonts w:eastAsia="Arial"/>
                <w:color w:val="000000" w:themeColor="text1"/>
                <w:spacing w:val="-1"/>
                <w:kern w:val="24"/>
                <w:sz w:val="20"/>
                <w:szCs w:val="20"/>
                <w:lang w:eastAsia="en-US" w:bidi="ar-SA"/>
              </w:rPr>
              <w:t>Пожељна је већа вредност</w:t>
            </w:r>
          </w:p>
        </w:tc>
      </w:tr>
      <w:tr w:rsidR="00834649" w:rsidRPr="000F0299" w14:paraId="7243ED8B" w14:textId="77777777" w:rsidTr="00834649">
        <w:trPr>
          <w:jc w:val="center"/>
        </w:trPr>
        <w:tc>
          <w:tcPr>
            <w:tcW w:w="2288" w:type="dxa"/>
            <w:shd w:val="clear" w:color="auto" w:fill="auto"/>
          </w:tcPr>
          <w:p w14:paraId="483B183D"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6643" w:type="dxa"/>
            <w:gridSpan w:val="12"/>
            <w:shd w:val="clear" w:color="auto" w:fill="FFFFFF" w:themeFill="background1"/>
          </w:tcPr>
          <w:p w14:paraId="1E1DA4B1" w14:textId="77777777" w:rsidR="00834649" w:rsidRPr="000F0299" w:rsidRDefault="00834649" w:rsidP="00B1535C">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Подаци из индекса управљања људским ресурсима СКГО</w:t>
            </w:r>
          </w:p>
        </w:tc>
      </w:tr>
      <w:tr w:rsidR="00834649" w:rsidRPr="000F0299" w14:paraId="6FB34E33" w14:textId="77777777" w:rsidTr="00834649">
        <w:trPr>
          <w:jc w:val="center"/>
        </w:trPr>
        <w:tc>
          <w:tcPr>
            <w:tcW w:w="2288" w:type="dxa"/>
            <w:shd w:val="clear" w:color="auto" w:fill="auto"/>
          </w:tcPr>
          <w:p w14:paraId="32FCE622"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6643" w:type="dxa"/>
            <w:gridSpan w:val="12"/>
            <w:shd w:val="clear" w:color="auto" w:fill="FFFFFF" w:themeFill="background1"/>
          </w:tcPr>
          <w:p w14:paraId="2B156AEA" w14:textId="1492428A" w:rsidR="00834649" w:rsidRPr="000F0299" w:rsidRDefault="00834649" w:rsidP="00632F5B">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СКГО</w:t>
            </w:r>
            <w:r w:rsidRPr="000F0299">
              <w:rPr>
                <w:rFonts w:eastAsiaTheme="majorEastAsia"/>
                <w:color w:val="0563C1" w:themeColor="hyperlink"/>
                <w:kern w:val="0"/>
                <w:sz w:val="20"/>
                <w:szCs w:val="20"/>
                <w:u w:val="single"/>
                <w:lang w:eastAsia="en-US" w:bidi="ar-SA"/>
              </w:rPr>
              <w:t xml:space="preserve"> </w:t>
            </w:r>
          </w:p>
        </w:tc>
      </w:tr>
      <w:tr w:rsidR="00834649" w:rsidRPr="000F0299" w14:paraId="4FA9A0C7" w14:textId="77777777" w:rsidTr="00834649">
        <w:trPr>
          <w:jc w:val="center"/>
        </w:trPr>
        <w:tc>
          <w:tcPr>
            <w:tcW w:w="2288" w:type="dxa"/>
            <w:shd w:val="clear" w:color="auto" w:fill="auto"/>
          </w:tcPr>
          <w:p w14:paraId="4CCBE766"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6643" w:type="dxa"/>
            <w:gridSpan w:val="12"/>
            <w:shd w:val="clear" w:color="auto" w:fill="FFFFFF" w:themeFill="background1"/>
          </w:tcPr>
          <w:p w14:paraId="45790B0C" w14:textId="77777777" w:rsidR="00834649" w:rsidRPr="000F0299" w:rsidRDefault="00834649" w:rsidP="00B1535C">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Подати се прикупљају до 31 децембра почев од 2021 и то сваке 2 године на репрезентативном уторку од минимум 30 ЈЛС (20%). Током 2020. године је планирано је мерење на узорку од 70 ЈЛС.</w:t>
            </w:r>
          </w:p>
        </w:tc>
      </w:tr>
      <w:tr w:rsidR="00834649" w:rsidRPr="000F0299" w14:paraId="3ED6CD9C" w14:textId="77777777" w:rsidTr="00834649">
        <w:trPr>
          <w:trHeight w:val="2272"/>
          <w:jc w:val="center"/>
        </w:trPr>
        <w:tc>
          <w:tcPr>
            <w:tcW w:w="2288" w:type="dxa"/>
            <w:shd w:val="clear" w:color="auto" w:fill="auto"/>
          </w:tcPr>
          <w:p w14:paraId="3989CED5" w14:textId="77777777" w:rsidR="00834649" w:rsidRPr="000F0299" w:rsidRDefault="00834649" w:rsidP="00B1535C">
            <w:pPr>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Кратак опис показатеља и методологије израчунавања</w:t>
            </w:r>
          </w:p>
          <w:p w14:paraId="76D0815D"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kern w:val="0"/>
                <w:sz w:val="20"/>
                <w:szCs w:val="20"/>
                <w:lang w:eastAsia="en-US" w:bidi="ar-SA"/>
              </w:rPr>
              <w:t>(формуле/ једначине)</w:t>
            </w:r>
          </w:p>
        </w:tc>
        <w:tc>
          <w:tcPr>
            <w:tcW w:w="6643" w:type="dxa"/>
            <w:gridSpan w:val="12"/>
            <w:shd w:val="clear" w:color="auto" w:fill="FFFFFF" w:themeFill="background1"/>
          </w:tcPr>
          <w:p w14:paraId="37FFD1A2" w14:textId="1654613D" w:rsidR="00834649" w:rsidRPr="000F0299" w:rsidRDefault="00834649" w:rsidP="00B1535C">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Овај показатељ показује степен просечног капацитета ЈЛС за испуњавање појединачних административних, функционалних и процесних захтева који се пред њих постављају у процесу управљања људским ресурсима у локалној управи и уочавања недостатака у тој примени. Такође, индекс указује и на степен капацитета локалне самоуправе да обезбеди адекватно функционисање и одговарајуће кадрове у локалној управи за спровођење управних услуга према грађанима и привреди.  Постојећи индекс за управљање људским ресурсима садржи мерења капацитета ЈЛС у следећим областима</w:t>
            </w:r>
            <w:r w:rsidRPr="000F0299">
              <w:rPr>
                <w:rFonts w:eastAsiaTheme="minorHAnsi"/>
                <w:b/>
                <w:bCs/>
                <w:color w:val="000000" w:themeColor="text1"/>
                <w:kern w:val="0"/>
                <w:sz w:val="20"/>
                <w:szCs w:val="20"/>
                <w:lang w:eastAsia="en-US" w:bidi="ar-SA"/>
              </w:rPr>
              <w:t>:</w:t>
            </w:r>
            <w:r w:rsidRPr="000F0299">
              <w:rPr>
                <w:rFonts w:eastAsiaTheme="minorHAnsi"/>
                <w:color w:val="000000" w:themeColor="text1"/>
                <w:kern w:val="0"/>
                <w:sz w:val="20"/>
                <w:szCs w:val="20"/>
                <w:lang w:eastAsia="en-US" w:bidi="ar-SA"/>
              </w:rPr>
              <w:t xml:space="preserve"> 1). Организација и планирање </w:t>
            </w:r>
            <w:r w:rsidR="001B2E03" w:rsidRPr="000F0299">
              <w:rPr>
                <w:rFonts w:eastAsiaTheme="minorHAnsi"/>
                <w:color w:val="000000" w:themeColor="text1"/>
                <w:kern w:val="0"/>
                <w:sz w:val="20"/>
                <w:szCs w:val="20"/>
                <w:lang w:eastAsia="en-US" w:bidi="ar-SA"/>
              </w:rPr>
              <w:t>људских</w:t>
            </w:r>
            <w:r w:rsidRPr="000F0299">
              <w:rPr>
                <w:rFonts w:eastAsiaTheme="minorHAnsi"/>
                <w:color w:val="000000" w:themeColor="text1"/>
                <w:kern w:val="0"/>
                <w:sz w:val="20"/>
                <w:szCs w:val="20"/>
                <w:lang w:eastAsia="en-US" w:bidi="ar-SA"/>
              </w:rPr>
              <w:t xml:space="preserve"> ресурса; 2). Попуњавање радних места; 3). Стручно усавршавање и </w:t>
            </w:r>
            <w:r w:rsidR="001B2E03" w:rsidRPr="000F0299">
              <w:rPr>
                <w:rFonts w:eastAsiaTheme="minorHAnsi"/>
                <w:color w:val="000000" w:themeColor="text1"/>
                <w:kern w:val="0"/>
                <w:sz w:val="20"/>
                <w:szCs w:val="20"/>
                <w:lang w:eastAsia="en-US" w:bidi="ar-SA"/>
              </w:rPr>
              <w:t>оспособљавање</w:t>
            </w:r>
            <w:r w:rsidRPr="000F0299">
              <w:rPr>
                <w:rFonts w:eastAsiaTheme="minorHAnsi"/>
                <w:color w:val="000000" w:themeColor="text1"/>
                <w:kern w:val="0"/>
                <w:sz w:val="20"/>
                <w:szCs w:val="20"/>
                <w:lang w:eastAsia="en-US" w:bidi="ar-SA"/>
              </w:rPr>
              <w:t xml:space="preserve"> запослених; 4). Оцењивање запослених, дисциплинска одговорност и жалбени поступак и 5). Комуникација, етика, вредности и култура организације. </w:t>
            </w:r>
          </w:p>
          <w:p w14:paraId="6C1A0FA3" w14:textId="77777777" w:rsidR="00834649" w:rsidRPr="000F0299" w:rsidRDefault="00834649" w:rsidP="00B1535C">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Индекс служи за самопроцењивање од стране градова и општина и поред тога што је алат за процену капацитета он има и карактер развојног алата јер садржи и смернице у циљу унапређења рада ЛС. Имајући у виду карактер и функцију овог индекса, његова садржина прати еволуцију система јавне управе и усклађује се са њом, како би овај алат могао да прати капацитет ЛС у складу са актуелним захтевима из јавних политика и прописа и са најбољом праксом. </w:t>
            </w:r>
          </w:p>
        </w:tc>
      </w:tr>
      <w:tr w:rsidR="00834649" w:rsidRPr="000F0299" w14:paraId="2D396970" w14:textId="77777777" w:rsidTr="00834649">
        <w:trPr>
          <w:trHeight w:val="265"/>
          <w:jc w:val="center"/>
        </w:trPr>
        <w:tc>
          <w:tcPr>
            <w:tcW w:w="2288" w:type="dxa"/>
            <w:vMerge w:val="restart"/>
            <w:shd w:val="clear" w:color="auto" w:fill="auto"/>
          </w:tcPr>
          <w:p w14:paraId="519ABB01"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5088" w:type="dxa"/>
            <w:gridSpan w:val="9"/>
            <w:tcBorders>
              <w:bottom w:val="single" w:sz="4" w:space="0" w:color="auto"/>
            </w:tcBorders>
            <w:shd w:val="clear" w:color="auto" w:fill="FFFFFF" w:themeFill="background1"/>
            <w:vAlign w:val="center"/>
          </w:tcPr>
          <w:p w14:paraId="3804ED54" w14:textId="77777777" w:rsidR="00834649" w:rsidRPr="000F0299" w:rsidRDefault="00834649" w:rsidP="00B1535C">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Тренд у прошлости</w:t>
            </w:r>
          </w:p>
        </w:tc>
        <w:tc>
          <w:tcPr>
            <w:tcW w:w="1555" w:type="dxa"/>
            <w:gridSpan w:val="3"/>
            <w:shd w:val="clear" w:color="auto" w:fill="FFFFFF" w:themeFill="background1"/>
            <w:vAlign w:val="center"/>
          </w:tcPr>
          <w:p w14:paraId="301192CC" w14:textId="77777777" w:rsidR="00834649" w:rsidRPr="000F0299" w:rsidRDefault="00834649" w:rsidP="00B1535C">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Полазна вредност</w:t>
            </w:r>
          </w:p>
        </w:tc>
      </w:tr>
      <w:tr w:rsidR="00834649" w:rsidRPr="000F0299" w14:paraId="66FAA32E" w14:textId="77777777" w:rsidTr="00834649">
        <w:trPr>
          <w:trHeight w:val="137"/>
          <w:jc w:val="center"/>
        </w:trPr>
        <w:tc>
          <w:tcPr>
            <w:tcW w:w="2288" w:type="dxa"/>
            <w:vMerge/>
            <w:tcBorders>
              <w:right w:val="single" w:sz="4" w:space="0" w:color="auto"/>
            </w:tcBorders>
            <w:shd w:val="clear" w:color="auto" w:fill="auto"/>
          </w:tcPr>
          <w:p w14:paraId="0E8EB28D"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p>
        </w:tc>
        <w:tc>
          <w:tcPr>
            <w:tcW w:w="17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47BEE"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2016</w:t>
            </w:r>
          </w:p>
        </w:tc>
        <w:tc>
          <w:tcPr>
            <w:tcW w:w="16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30F7D"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2017</w:t>
            </w:r>
          </w:p>
        </w:tc>
        <w:tc>
          <w:tcPr>
            <w:tcW w:w="168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5E076"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2018</w:t>
            </w:r>
          </w:p>
        </w:tc>
        <w:tc>
          <w:tcPr>
            <w:tcW w:w="1555" w:type="dxa"/>
            <w:gridSpan w:val="3"/>
            <w:tcBorders>
              <w:left w:val="single" w:sz="4" w:space="0" w:color="auto"/>
            </w:tcBorders>
            <w:shd w:val="clear" w:color="auto" w:fill="FFFFFF" w:themeFill="background1"/>
            <w:vAlign w:val="center"/>
          </w:tcPr>
          <w:p w14:paraId="11A0F599"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2020</w:t>
            </w:r>
          </w:p>
        </w:tc>
      </w:tr>
      <w:tr w:rsidR="00834649" w:rsidRPr="000F0299" w14:paraId="39FB4E07" w14:textId="77777777" w:rsidTr="00834649">
        <w:trPr>
          <w:trHeight w:val="323"/>
          <w:jc w:val="center"/>
        </w:trPr>
        <w:tc>
          <w:tcPr>
            <w:tcW w:w="2288" w:type="dxa"/>
            <w:vMerge/>
            <w:shd w:val="clear" w:color="auto" w:fill="auto"/>
          </w:tcPr>
          <w:p w14:paraId="3853092F"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p>
        </w:tc>
        <w:tc>
          <w:tcPr>
            <w:tcW w:w="1779" w:type="dxa"/>
            <w:gridSpan w:val="3"/>
            <w:tcBorders>
              <w:top w:val="single" w:sz="4" w:space="0" w:color="auto"/>
            </w:tcBorders>
            <w:shd w:val="clear" w:color="auto" w:fill="FFFFFF" w:themeFill="background1"/>
            <w:vAlign w:val="center"/>
          </w:tcPr>
          <w:p w14:paraId="64941202"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kern w:val="0"/>
                <w:sz w:val="20"/>
                <w:szCs w:val="20"/>
                <w:lang w:eastAsia="en-US" w:bidi="ar-SA"/>
              </w:rPr>
              <w:t>N/A</w:t>
            </w:r>
          </w:p>
        </w:tc>
        <w:tc>
          <w:tcPr>
            <w:tcW w:w="1621" w:type="dxa"/>
            <w:gridSpan w:val="3"/>
            <w:tcBorders>
              <w:top w:val="single" w:sz="4" w:space="0" w:color="auto"/>
            </w:tcBorders>
            <w:shd w:val="clear" w:color="auto" w:fill="FFFFFF" w:themeFill="background1"/>
            <w:vAlign w:val="center"/>
          </w:tcPr>
          <w:p w14:paraId="1F83D0F0"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kern w:val="0"/>
                <w:sz w:val="20"/>
                <w:szCs w:val="20"/>
                <w:lang w:eastAsia="en-US" w:bidi="ar-SA"/>
              </w:rPr>
              <w:t>N/A</w:t>
            </w:r>
            <w:r w:rsidRPr="000F0299" w:rsidDel="00153EC7">
              <w:rPr>
                <w:rFonts w:eastAsiaTheme="minorHAnsi"/>
                <w:color w:val="000000" w:themeColor="text1"/>
                <w:kern w:val="0"/>
                <w:sz w:val="20"/>
                <w:szCs w:val="20"/>
                <w:lang w:eastAsia="en-US" w:bidi="ar-SA"/>
              </w:rPr>
              <w:t xml:space="preserve"> </w:t>
            </w:r>
            <w:r w:rsidRPr="000F0299">
              <w:rPr>
                <w:rFonts w:eastAsiaTheme="minorHAnsi"/>
                <w:color w:val="000000" w:themeColor="text1"/>
                <w:kern w:val="0"/>
                <w:sz w:val="20"/>
                <w:szCs w:val="20"/>
                <w:lang w:eastAsia="en-US" w:bidi="ar-SA"/>
              </w:rPr>
              <w:t>4%</w:t>
            </w:r>
          </w:p>
        </w:tc>
        <w:tc>
          <w:tcPr>
            <w:tcW w:w="1688" w:type="dxa"/>
            <w:gridSpan w:val="3"/>
            <w:tcBorders>
              <w:top w:val="single" w:sz="4" w:space="0" w:color="auto"/>
            </w:tcBorders>
            <w:shd w:val="clear" w:color="auto" w:fill="FFFFFF" w:themeFill="background1"/>
            <w:vAlign w:val="center"/>
          </w:tcPr>
          <w:p w14:paraId="1EF3447B"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kern w:val="0"/>
                <w:sz w:val="20"/>
                <w:szCs w:val="20"/>
                <w:lang w:eastAsia="en-US" w:bidi="ar-SA"/>
              </w:rPr>
              <w:t>N/A%</w:t>
            </w:r>
          </w:p>
        </w:tc>
        <w:tc>
          <w:tcPr>
            <w:tcW w:w="1555" w:type="dxa"/>
            <w:gridSpan w:val="3"/>
            <w:shd w:val="clear" w:color="auto" w:fill="FFFFFF" w:themeFill="background1"/>
            <w:vAlign w:val="center"/>
          </w:tcPr>
          <w:p w14:paraId="7596EC7C"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51%</w:t>
            </w:r>
          </w:p>
        </w:tc>
      </w:tr>
      <w:tr w:rsidR="00834649" w:rsidRPr="000F0299" w14:paraId="3D8B1D10" w14:textId="77777777" w:rsidTr="00834649">
        <w:trPr>
          <w:trHeight w:val="274"/>
          <w:jc w:val="center"/>
        </w:trPr>
        <w:tc>
          <w:tcPr>
            <w:tcW w:w="2288" w:type="dxa"/>
            <w:vMerge w:val="restart"/>
            <w:shd w:val="clear" w:color="auto" w:fill="auto"/>
          </w:tcPr>
          <w:p w14:paraId="78ED3B7B"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655" w:type="dxa"/>
            <w:shd w:val="clear" w:color="auto" w:fill="FFFFFF" w:themeFill="background1"/>
            <w:vAlign w:val="center"/>
          </w:tcPr>
          <w:p w14:paraId="400FCED3"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2021</w:t>
            </w:r>
          </w:p>
        </w:tc>
        <w:tc>
          <w:tcPr>
            <w:tcW w:w="616" w:type="dxa"/>
            <w:shd w:val="clear" w:color="auto" w:fill="FFFFFF" w:themeFill="background1"/>
            <w:vAlign w:val="center"/>
          </w:tcPr>
          <w:p w14:paraId="397E5948"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2022</w:t>
            </w:r>
          </w:p>
        </w:tc>
        <w:tc>
          <w:tcPr>
            <w:tcW w:w="775" w:type="dxa"/>
            <w:gridSpan w:val="2"/>
            <w:shd w:val="clear" w:color="auto" w:fill="FFFFFF" w:themeFill="background1"/>
            <w:vAlign w:val="center"/>
          </w:tcPr>
          <w:p w14:paraId="3F33F6D3"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2023</w:t>
            </w:r>
          </w:p>
        </w:tc>
        <w:tc>
          <w:tcPr>
            <w:tcW w:w="658" w:type="dxa"/>
            <w:shd w:val="clear" w:color="auto" w:fill="FFFFFF" w:themeFill="background1"/>
            <w:vAlign w:val="center"/>
          </w:tcPr>
          <w:p w14:paraId="4790C40F"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2024</w:t>
            </w:r>
          </w:p>
        </w:tc>
        <w:tc>
          <w:tcPr>
            <w:tcW w:w="696" w:type="dxa"/>
            <w:shd w:val="clear" w:color="auto" w:fill="FFFFFF" w:themeFill="background1"/>
            <w:vAlign w:val="center"/>
          </w:tcPr>
          <w:p w14:paraId="17BE5143"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2025</w:t>
            </w:r>
          </w:p>
        </w:tc>
        <w:tc>
          <w:tcPr>
            <w:tcW w:w="653" w:type="dxa"/>
            <w:shd w:val="clear" w:color="auto" w:fill="FFFFFF" w:themeFill="background1"/>
            <w:vAlign w:val="center"/>
          </w:tcPr>
          <w:p w14:paraId="7B403AB2"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2026</w:t>
            </w:r>
          </w:p>
        </w:tc>
        <w:tc>
          <w:tcPr>
            <w:tcW w:w="659" w:type="dxa"/>
            <w:shd w:val="clear" w:color="auto" w:fill="FFFFFF" w:themeFill="background1"/>
            <w:vAlign w:val="center"/>
          </w:tcPr>
          <w:p w14:paraId="6A18CA2E"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2027</w:t>
            </w:r>
          </w:p>
        </w:tc>
        <w:tc>
          <w:tcPr>
            <w:tcW w:w="649" w:type="dxa"/>
            <w:gridSpan w:val="2"/>
            <w:shd w:val="clear" w:color="auto" w:fill="FFFFFF" w:themeFill="background1"/>
            <w:vAlign w:val="center"/>
          </w:tcPr>
          <w:p w14:paraId="541128F1"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2028</w:t>
            </w:r>
          </w:p>
        </w:tc>
        <w:tc>
          <w:tcPr>
            <w:tcW w:w="656" w:type="dxa"/>
            <w:shd w:val="clear" w:color="auto" w:fill="FFFFFF" w:themeFill="background1"/>
            <w:vAlign w:val="center"/>
          </w:tcPr>
          <w:p w14:paraId="315C8469"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2029</w:t>
            </w:r>
          </w:p>
        </w:tc>
        <w:tc>
          <w:tcPr>
            <w:tcW w:w="626" w:type="dxa"/>
            <w:shd w:val="clear" w:color="auto" w:fill="FFFFFF" w:themeFill="background1"/>
            <w:vAlign w:val="center"/>
          </w:tcPr>
          <w:p w14:paraId="45508856"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2030</w:t>
            </w:r>
          </w:p>
        </w:tc>
      </w:tr>
      <w:tr w:rsidR="00834649" w:rsidRPr="000F0299" w14:paraId="3B1DB556" w14:textId="77777777" w:rsidTr="00834649">
        <w:trPr>
          <w:trHeight w:val="160"/>
          <w:jc w:val="center"/>
        </w:trPr>
        <w:tc>
          <w:tcPr>
            <w:tcW w:w="2288" w:type="dxa"/>
            <w:vMerge/>
            <w:shd w:val="clear" w:color="auto" w:fill="auto"/>
          </w:tcPr>
          <w:p w14:paraId="1CE6D624"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p>
        </w:tc>
        <w:tc>
          <w:tcPr>
            <w:tcW w:w="655" w:type="dxa"/>
            <w:shd w:val="clear" w:color="auto" w:fill="FFFFFF" w:themeFill="background1"/>
          </w:tcPr>
          <w:p w14:paraId="5EB1E90F" w14:textId="0FAEFA54"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bCs/>
                <w:color w:val="000000" w:themeColor="text1"/>
                <w:kern w:val="24"/>
                <w:sz w:val="20"/>
                <w:szCs w:val="20"/>
                <w:lang w:eastAsia="en-US" w:bidi="ar-SA"/>
              </w:rPr>
              <w:t>+10%</w:t>
            </w:r>
          </w:p>
        </w:tc>
        <w:tc>
          <w:tcPr>
            <w:tcW w:w="616" w:type="dxa"/>
            <w:shd w:val="clear" w:color="auto" w:fill="FFFFFF" w:themeFill="background1"/>
          </w:tcPr>
          <w:p w14:paraId="6A46D750" w14:textId="46C61FAA"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kern w:val="0"/>
                <w:sz w:val="20"/>
                <w:szCs w:val="20"/>
                <w:lang w:eastAsia="en-US" w:bidi="ar-SA"/>
              </w:rPr>
              <w:t>N/A</w:t>
            </w:r>
            <w:r w:rsidRPr="000F0299">
              <w:rPr>
                <w:rFonts w:eastAsiaTheme="minorHAnsi"/>
                <w:bCs/>
                <w:color w:val="000000" w:themeColor="text1"/>
                <w:kern w:val="24"/>
                <w:sz w:val="20"/>
                <w:szCs w:val="20"/>
                <w:lang w:eastAsia="en-US" w:bidi="ar-SA"/>
              </w:rPr>
              <w:t xml:space="preserve"> %</w:t>
            </w:r>
          </w:p>
        </w:tc>
        <w:tc>
          <w:tcPr>
            <w:tcW w:w="775" w:type="dxa"/>
            <w:gridSpan w:val="2"/>
            <w:shd w:val="clear" w:color="auto" w:fill="FFFFFF" w:themeFill="background1"/>
          </w:tcPr>
          <w:p w14:paraId="3ABF035C" w14:textId="39B98A9C"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bCs/>
                <w:color w:val="000000" w:themeColor="text1"/>
                <w:kern w:val="24"/>
                <w:sz w:val="20"/>
                <w:szCs w:val="20"/>
                <w:lang w:eastAsia="en-US" w:bidi="ar-SA"/>
              </w:rPr>
              <w:t>+30%</w:t>
            </w:r>
          </w:p>
        </w:tc>
        <w:tc>
          <w:tcPr>
            <w:tcW w:w="658" w:type="dxa"/>
            <w:shd w:val="clear" w:color="auto" w:fill="FFFFFF" w:themeFill="background1"/>
          </w:tcPr>
          <w:p w14:paraId="4CF0BE75" w14:textId="1E0751F3"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kern w:val="0"/>
                <w:sz w:val="20"/>
                <w:szCs w:val="20"/>
                <w:lang w:eastAsia="en-US" w:bidi="ar-SA"/>
              </w:rPr>
              <w:t>N/A</w:t>
            </w:r>
            <w:r w:rsidRPr="000F0299">
              <w:rPr>
                <w:rFonts w:eastAsiaTheme="minorHAnsi"/>
                <w:bCs/>
                <w:color w:val="000000" w:themeColor="text1"/>
                <w:kern w:val="24"/>
                <w:sz w:val="20"/>
                <w:szCs w:val="20"/>
                <w:lang w:eastAsia="en-US" w:bidi="ar-SA"/>
              </w:rPr>
              <w:t xml:space="preserve"> %</w:t>
            </w:r>
          </w:p>
        </w:tc>
        <w:tc>
          <w:tcPr>
            <w:tcW w:w="696" w:type="dxa"/>
            <w:shd w:val="clear" w:color="auto" w:fill="FFFFFF" w:themeFill="background1"/>
          </w:tcPr>
          <w:p w14:paraId="4AC766C5" w14:textId="19DF9180"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bCs/>
                <w:color w:val="000000" w:themeColor="text1"/>
                <w:kern w:val="24"/>
                <w:sz w:val="20"/>
                <w:szCs w:val="20"/>
                <w:lang w:eastAsia="en-US" w:bidi="ar-SA"/>
              </w:rPr>
              <w:t>+35%</w:t>
            </w:r>
          </w:p>
        </w:tc>
        <w:tc>
          <w:tcPr>
            <w:tcW w:w="653" w:type="dxa"/>
            <w:shd w:val="clear" w:color="auto" w:fill="FFFFFF" w:themeFill="background1"/>
          </w:tcPr>
          <w:p w14:paraId="5EBE6C5B" w14:textId="30DD9426"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kern w:val="0"/>
                <w:sz w:val="20"/>
                <w:szCs w:val="20"/>
                <w:lang w:eastAsia="en-US" w:bidi="ar-SA"/>
              </w:rPr>
              <w:t>N/A</w:t>
            </w:r>
            <w:r w:rsidRPr="000F0299">
              <w:rPr>
                <w:rFonts w:eastAsiaTheme="minorHAnsi"/>
                <w:bCs/>
                <w:color w:val="000000" w:themeColor="text1"/>
                <w:kern w:val="24"/>
                <w:sz w:val="20"/>
                <w:szCs w:val="20"/>
                <w:lang w:eastAsia="en-US" w:bidi="ar-SA"/>
              </w:rPr>
              <w:t xml:space="preserve"> %</w:t>
            </w:r>
          </w:p>
        </w:tc>
        <w:tc>
          <w:tcPr>
            <w:tcW w:w="659" w:type="dxa"/>
            <w:shd w:val="clear" w:color="auto" w:fill="FFFFFF" w:themeFill="background1"/>
          </w:tcPr>
          <w:p w14:paraId="4A4FC243" w14:textId="3F893592"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bCs/>
                <w:color w:val="000000" w:themeColor="text1"/>
                <w:kern w:val="24"/>
                <w:sz w:val="20"/>
                <w:szCs w:val="20"/>
                <w:lang w:eastAsia="en-US" w:bidi="ar-SA"/>
              </w:rPr>
              <w:t>45%</w:t>
            </w:r>
          </w:p>
        </w:tc>
        <w:tc>
          <w:tcPr>
            <w:tcW w:w="649" w:type="dxa"/>
            <w:gridSpan w:val="2"/>
            <w:shd w:val="clear" w:color="auto" w:fill="FFFFFF" w:themeFill="background1"/>
          </w:tcPr>
          <w:p w14:paraId="70DC710F" w14:textId="0DD8EB9F"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kern w:val="0"/>
                <w:sz w:val="20"/>
                <w:szCs w:val="20"/>
                <w:lang w:eastAsia="en-US" w:bidi="ar-SA"/>
              </w:rPr>
              <w:t>N/A</w:t>
            </w:r>
            <w:r w:rsidRPr="000F0299">
              <w:rPr>
                <w:rFonts w:eastAsiaTheme="minorHAnsi"/>
                <w:bCs/>
                <w:color w:val="000000" w:themeColor="text1"/>
                <w:kern w:val="24"/>
                <w:sz w:val="20"/>
                <w:szCs w:val="20"/>
                <w:lang w:eastAsia="en-US" w:bidi="ar-SA"/>
              </w:rPr>
              <w:t xml:space="preserve"> %</w:t>
            </w:r>
          </w:p>
        </w:tc>
        <w:tc>
          <w:tcPr>
            <w:tcW w:w="656" w:type="dxa"/>
            <w:shd w:val="clear" w:color="auto" w:fill="FFFFFF" w:themeFill="background1"/>
          </w:tcPr>
          <w:p w14:paraId="53EA3BCB" w14:textId="55D3F479"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bCs/>
                <w:color w:val="000000" w:themeColor="text1"/>
                <w:kern w:val="24"/>
                <w:sz w:val="20"/>
                <w:szCs w:val="20"/>
                <w:lang w:eastAsia="en-US" w:bidi="ar-SA"/>
              </w:rPr>
              <w:t>50%</w:t>
            </w:r>
          </w:p>
        </w:tc>
        <w:tc>
          <w:tcPr>
            <w:tcW w:w="626" w:type="dxa"/>
            <w:shd w:val="clear" w:color="auto" w:fill="FFFFFF" w:themeFill="background1"/>
          </w:tcPr>
          <w:p w14:paraId="5C04B196" w14:textId="3F56AB43"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bCs/>
                <w:color w:val="000000" w:themeColor="text1"/>
                <w:kern w:val="24"/>
                <w:sz w:val="20"/>
                <w:szCs w:val="20"/>
                <w:lang w:eastAsia="en-US" w:bidi="ar-SA"/>
              </w:rPr>
              <w:t>50%</w:t>
            </w:r>
          </w:p>
        </w:tc>
      </w:tr>
      <w:tr w:rsidR="00834649" w:rsidRPr="000F0299" w14:paraId="09727067" w14:textId="77777777" w:rsidTr="00834649">
        <w:trPr>
          <w:trHeight w:val="160"/>
          <w:jc w:val="center"/>
        </w:trPr>
        <w:tc>
          <w:tcPr>
            <w:tcW w:w="2288" w:type="dxa"/>
            <w:shd w:val="clear" w:color="auto" w:fill="auto"/>
          </w:tcPr>
          <w:p w14:paraId="7DC28904"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6643" w:type="dxa"/>
            <w:gridSpan w:val="12"/>
            <w:shd w:val="clear" w:color="auto" w:fill="FFFFFF" w:themeFill="background1"/>
            <w:vAlign w:val="center"/>
          </w:tcPr>
          <w:p w14:paraId="2B0F6A6C" w14:textId="77777777" w:rsidR="00834649" w:rsidRPr="000F0299" w:rsidRDefault="00834649" w:rsidP="00B1535C">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Прихватљиво је увећање до 20% од планираног процентуалног увећања у односу на полазну вредност током периода остваривања Стратегије односно на крају 2030. године</w:t>
            </w:r>
          </w:p>
        </w:tc>
      </w:tr>
    </w:tbl>
    <w:p w14:paraId="19B284B8" w14:textId="1D47C0A9" w:rsidR="00A958B7" w:rsidRPr="000F0299" w:rsidRDefault="00A958B7" w:rsidP="004E6368">
      <w:pPr>
        <w:rPr>
          <w:lang w:eastAsia="en-US" w:bidi="ar-SA"/>
        </w:rPr>
      </w:pPr>
    </w:p>
    <w:p w14:paraId="64B6D149" w14:textId="77777777" w:rsidR="00A958B7" w:rsidRPr="000F0299" w:rsidRDefault="00A958B7">
      <w:pPr>
        <w:suppressAutoHyphens w:val="0"/>
        <w:autoSpaceDN/>
        <w:spacing w:before="0" w:after="160" w:line="259" w:lineRule="auto"/>
        <w:ind w:firstLine="0"/>
        <w:jc w:val="left"/>
        <w:textAlignment w:val="auto"/>
        <w:rPr>
          <w:lang w:eastAsia="en-US" w:bidi="ar-SA"/>
        </w:rPr>
      </w:pPr>
      <w:r w:rsidRPr="000F0299">
        <w:rPr>
          <w:lang w:eastAsia="en-US" w:bidi="ar-SA"/>
        </w:rPr>
        <w:br w:type="page"/>
      </w:r>
    </w:p>
    <w:p w14:paraId="709A42C9" w14:textId="6417B4A9" w:rsidR="00834649" w:rsidRPr="000F0299" w:rsidRDefault="001B2E03" w:rsidP="002309DC">
      <w:pPr>
        <w:ind w:firstLine="0"/>
        <w:rPr>
          <w:b/>
          <w:bCs/>
          <w:color w:val="2F5496" w:themeColor="accent1" w:themeShade="BF"/>
        </w:rPr>
      </w:pPr>
      <w:r w:rsidRPr="000F0299">
        <w:rPr>
          <w:b/>
          <w:bCs/>
          <w:color w:val="2F5496" w:themeColor="accent1" w:themeShade="BF"/>
        </w:rPr>
        <w:t>Показатељ</w:t>
      </w:r>
      <w:r w:rsidR="00834649" w:rsidRPr="000F0299">
        <w:rPr>
          <w:b/>
          <w:bCs/>
          <w:color w:val="2F5496" w:themeColor="accent1" w:themeShade="BF"/>
        </w:rPr>
        <w:t xml:space="preserve"> 5</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754"/>
        <w:gridCol w:w="940"/>
        <w:gridCol w:w="1136"/>
        <w:gridCol w:w="578"/>
        <w:gridCol w:w="419"/>
        <w:gridCol w:w="159"/>
        <w:gridCol w:w="578"/>
        <w:gridCol w:w="578"/>
        <w:gridCol w:w="578"/>
        <w:gridCol w:w="578"/>
        <w:gridCol w:w="582"/>
      </w:tblGrid>
      <w:tr w:rsidR="00834649" w:rsidRPr="000F0299" w14:paraId="6508B5FC" w14:textId="77777777" w:rsidTr="00B1535C">
        <w:tc>
          <w:tcPr>
            <w:tcW w:w="1239" w:type="pct"/>
            <w:shd w:val="clear" w:color="auto" w:fill="6C7781"/>
            <w:vAlign w:val="center"/>
          </w:tcPr>
          <w:p w14:paraId="6900FED8" w14:textId="77777777" w:rsidR="00834649" w:rsidRPr="000F0299" w:rsidRDefault="00834649" w:rsidP="00B1535C">
            <w:pPr>
              <w:suppressAutoHyphens w:val="0"/>
              <w:autoSpaceDN/>
              <w:spacing w:before="0"/>
              <w:ind w:firstLine="0"/>
              <w:textAlignment w:val="auto"/>
              <w:rPr>
                <w:rFonts w:eastAsiaTheme="minorHAnsi"/>
                <w:b/>
                <w:bCs/>
                <w:color w:val="FFFFFF" w:themeColor="background1"/>
                <w:kern w:val="0"/>
                <w:sz w:val="20"/>
                <w:szCs w:val="20"/>
                <w:lang w:eastAsia="en-US" w:bidi="ar-SA"/>
              </w:rPr>
            </w:pPr>
            <w:r w:rsidRPr="000F0299">
              <w:rPr>
                <w:rFonts w:eastAsiaTheme="minorHAnsi"/>
                <w:b/>
                <w:bCs/>
                <w:color w:val="FFFFFF" w:themeColor="background1"/>
                <w:kern w:val="0"/>
                <w:sz w:val="20"/>
                <w:szCs w:val="20"/>
                <w:lang w:eastAsia="en-US" w:bidi="ar-SA"/>
              </w:rPr>
              <w:t>Назив показатеља</w:t>
            </w:r>
          </w:p>
        </w:tc>
        <w:tc>
          <w:tcPr>
            <w:tcW w:w="3761" w:type="pct"/>
            <w:gridSpan w:val="11"/>
            <w:shd w:val="clear" w:color="auto" w:fill="6C7781"/>
            <w:vAlign w:val="center"/>
          </w:tcPr>
          <w:p w14:paraId="663D9EF9" w14:textId="77777777" w:rsidR="00834649" w:rsidRPr="000F0299" w:rsidRDefault="00834649" w:rsidP="00B1535C">
            <w:pPr>
              <w:suppressAutoHyphens w:val="0"/>
              <w:autoSpaceDN/>
              <w:spacing w:before="0"/>
              <w:ind w:firstLine="0"/>
              <w:textAlignment w:val="auto"/>
              <w:rPr>
                <w:rFonts w:eastAsiaTheme="minorHAnsi"/>
                <w:b/>
                <w:iCs/>
                <w:color w:val="FFFFFF" w:themeColor="background1"/>
                <w:kern w:val="0"/>
                <w:sz w:val="20"/>
                <w:szCs w:val="20"/>
                <w:lang w:eastAsia="en-US" w:bidi="ar-SA"/>
              </w:rPr>
            </w:pPr>
            <w:r w:rsidRPr="000F0299">
              <w:rPr>
                <w:rFonts w:eastAsiaTheme="minorHAnsi"/>
                <w:b/>
                <w:iCs/>
                <w:color w:val="FFFFFF" w:themeColor="background1"/>
                <w:kern w:val="0"/>
                <w:sz w:val="20"/>
                <w:szCs w:val="20"/>
                <w:lang w:eastAsia="en-US" w:bidi="ar-SA"/>
              </w:rPr>
              <w:t>Доступност и квалитет спровођења приоритетних јавних услуга локалне самоуправе</w:t>
            </w:r>
          </w:p>
        </w:tc>
      </w:tr>
      <w:tr w:rsidR="00834649" w:rsidRPr="000F0299" w14:paraId="79A90313" w14:textId="77777777" w:rsidTr="00B1535C">
        <w:tc>
          <w:tcPr>
            <w:tcW w:w="1239" w:type="pct"/>
            <w:shd w:val="clear" w:color="auto" w:fill="auto"/>
          </w:tcPr>
          <w:p w14:paraId="1A3A643C"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Одговарајући општи, посебни циљ или мера</w:t>
            </w:r>
          </w:p>
        </w:tc>
        <w:tc>
          <w:tcPr>
            <w:tcW w:w="3761" w:type="pct"/>
            <w:gridSpan w:val="11"/>
            <w:shd w:val="clear" w:color="auto" w:fill="FFFFFF" w:themeFill="background1"/>
          </w:tcPr>
          <w:p w14:paraId="4D24038C" w14:textId="54CFD213" w:rsidR="00834649" w:rsidRPr="000F0299" w:rsidRDefault="006873CC" w:rsidP="00B1535C">
            <w:pPr>
              <w:suppressAutoHyphens w:val="0"/>
              <w:autoSpaceDN/>
              <w:spacing w:before="0"/>
              <w:ind w:firstLine="0"/>
              <w:textAlignment w:val="auto"/>
              <w:rPr>
                <w:rFonts w:eastAsiaTheme="minorHAnsi"/>
                <w:iCs/>
                <w:color w:val="000000" w:themeColor="text1"/>
                <w:kern w:val="0"/>
                <w:sz w:val="20"/>
                <w:szCs w:val="20"/>
                <w:lang w:eastAsia="en-US" w:bidi="ar-SA"/>
              </w:rPr>
            </w:pPr>
            <w:r w:rsidRPr="000F0299">
              <w:rPr>
                <w:rFonts w:eastAsiaTheme="minorHAnsi"/>
                <w:b/>
                <w:bCs/>
                <w:iCs/>
                <w:color w:val="000000" w:themeColor="text1"/>
                <w:kern w:val="0"/>
                <w:sz w:val="20"/>
                <w:szCs w:val="20"/>
                <w:lang w:eastAsia="en-US" w:bidi="ar-SA"/>
              </w:rPr>
              <w:t>Посебан циљ 5.1</w:t>
            </w:r>
            <w:r w:rsidR="00834649" w:rsidRPr="000F0299">
              <w:rPr>
                <w:rFonts w:eastAsiaTheme="minorHAnsi"/>
                <w:iCs/>
                <w:color w:val="000000" w:themeColor="text1"/>
                <w:kern w:val="0"/>
                <w:sz w:val="20"/>
                <w:szCs w:val="20"/>
                <w:lang w:eastAsia="en-US" w:bidi="ar-SA"/>
              </w:rPr>
              <w:t>Унапређење квалитета и доступности управних, комуналних и услуга јавних установа свим корисницима</w:t>
            </w:r>
          </w:p>
        </w:tc>
      </w:tr>
      <w:tr w:rsidR="00834649" w:rsidRPr="000F0299" w14:paraId="72850FBD" w14:textId="77777777" w:rsidTr="00B1535C">
        <w:tc>
          <w:tcPr>
            <w:tcW w:w="1239" w:type="pct"/>
            <w:shd w:val="clear" w:color="auto" w:fill="auto"/>
          </w:tcPr>
          <w:p w14:paraId="63E7DB59"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kern w:val="24"/>
                <w:sz w:val="20"/>
                <w:szCs w:val="20"/>
                <w:lang w:eastAsia="en-US" w:bidi="ar-SA"/>
              </w:rPr>
              <w:t>Тип и ниво показатеља</w:t>
            </w:r>
          </w:p>
        </w:tc>
        <w:tc>
          <w:tcPr>
            <w:tcW w:w="2092" w:type="pct"/>
            <w:gridSpan w:val="5"/>
            <w:shd w:val="clear" w:color="auto" w:fill="FFFFFF" w:themeFill="background1"/>
          </w:tcPr>
          <w:p w14:paraId="50D6D174" w14:textId="77777777" w:rsidR="00834649" w:rsidRPr="000F0299" w:rsidRDefault="00834649" w:rsidP="00B1535C">
            <w:pPr>
              <w:tabs>
                <w:tab w:val="left" w:pos="152"/>
              </w:tabs>
              <w:suppressAutoHyphens w:val="0"/>
              <w:autoSpaceDN/>
              <w:spacing w:before="0"/>
              <w:ind w:left="1" w:firstLine="0"/>
              <w:contextualSpacing/>
              <w:textAlignment w:val="auto"/>
              <w:rPr>
                <w:rFonts w:eastAsiaTheme="minorHAnsi"/>
                <w:bCs/>
                <w:i/>
                <w:color w:val="000000" w:themeColor="text1"/>
                <w:kern w:val="24"/>
                <w:sz w:val="20"/>
                <w:szCs w:val="20"/>
                <w:lang w:eastAsia="en-US" w:bidi="ar-SA"/>
              </w:rPr>
            </w:pPr>
            <w:r w:rsidRPr="000F0299">
              <w:rPr>
                <w:rFonts w:eastAsiaTheme="minorHAnsi"/>
                <w:bCs/>
                <w:i/>
                <w:color w:val="000000" w:themeColor="text1"/>
                <w:kern w:val="24"/>
                <w:sz w:val="20"/>
                <w:szCs w:val="20"/>
                <w:lang w:eastAsia="en-US" w:bidi="ar-SA"/>
              </w:rPr>
              <w:t xml:space="preserve"> Квалитативан </w:t>
            </w:r>
          </w:p>
        </w:tc>
        <w:tc>
          <w:tcPr>
            <w:tcW w:w="1670" w:type="pct"/>
            <w:gridSpan w:val="6"/>
            <w:shd w:val="clear" w:color="auto" w:fill="FFFFFF" w:themeFill="background1"/>
          </w:tcPr>
          <w:p w14:paraId="5C2E2D19" w14:textId="77777777" w:rsidR="00834649" w:rsidRPr="000F0299" w:rsidRDefault="00834649" w:rsidP="00B1535C">
            <w:pPr>
              <w:tabs>
                <w:tab w:val="left" w:pos="183"/>
              </w:tabs>
              <w:suppressAutoHyphens w:val="0"/>
              <w:autoSpaceDN/>
              <w:spacing w:before="0"/>
              <w:ind w:firstLine="0"/>
              <w:contextualSpacing/>
              <w:textAlignment w:val="auto"/>
              <w:rPr>
                <w:rFonts w:eastAsiaTheme="minorHAnsi"/>
                <w:i/>
                <w:iCs/>
                <w:color w:val="000000" w:themeColor="text1"/>
                <w:kern w:val="0"/>
                <w:sz w:val="20"/>
                <w:szCs w:val="20"/>
                <w:lang w:eastAsia="en-US" w:bidi="ar-SA"/>
              </w:rPr>
            </w:pPr>
            <w:r w:rsidRPr="000F0299">
              <w:rPr>
                <w:rFonts w:eastAsiaTheme="minorHAnsi"/>
                <w:i/>
                <w:iCs/>
                <w:color w:val="000000" w:themeColor="text1"/>
                <w:kern w:val="0"/>
                <w:sz w:val="20"/>
                <w:szCs w:val="20"/>
                <w:lang w:eastAsia="en-US" w:bidi="ar-SA"/>
              </w:rPr>
              <w:t>Показатељ на нивоу посебног циља</w:t>
            </w:r>
          </w:p>
        </w:tc>
      </w:tr>
      <w:tr w:rsidR="00834649" w:rsidRPr="000F0299" w14:paraId="3DC5792D" w14:textId="77777777" w:rsidTr="00B1535C">
        <w:trPr>
          <w:trHeight w:val="394"/>
        </w:trPr>
        <w:tc>
          <w:tcPr>
            <w:tcW w:w="1239" w:type="pct"/>
            <w:shd w:val="clear" w:color="auto" w:fill="auto"/>
          </w:tcPr>
          <w:p w14:paraId="75B9C8EE" w14:textId="77777777" w:rsidR="00834649" w:rsidRPr="000F0299" w:rsidRDefault="00834649" w:rsidP="00B1535C">
            <w:pPr>
              <w:suppressAutoHyphens w:val="0"/>
              <w:autoSpaceDN/>
              <w:spacing w:before="0"/>
              <w:ind w:firstLine="0"/>
              <w:textAlignment w:val="auto"/>
              <w:rPr>
                <w:rFonts w:eastAsiaTheme="minorHAnsi"/>
                <w:b/>
                <w:kern w:val="24"/>
                <w:sz w:val="20"/>
                <w:szCs w:val="20"/>
                <w:lang w:eastAsia="en-US" w:bidi="ar-SA"/>
              </w:rPr>
            </w:pPr>
            <w:r w:rsidRPr="000F0299">
              <w:rPr>
                <w:rFonts w:eastAsiaTheme="minorHAnsi"/>
                <w:b/>
                <w:kern w:val="24"/>
                <w:sz w:val="20"/>
                <w:szCs w:val="20"/>
                <w:lang w:eastAsia="en-US" w:bidi="ar-SA"/>
              </w:rPr>
              <w:t>Јединица мере и природа</w:t>
            </w:r>
          </w:p>
        </w:tc>
        <w:tc>
          <w:tcPr>
            <w:tcW w:w="2092" w:type="pct"/>
            <w:gridSpan w:val="5"/>
            <w:shd w:val="clear" w:color="auto" w:fill="FFFFFF" w:themeFill="background1"/>
          </w:tcPr>
          <w:p w14:paraId="735E5BA7" w14:textId="77777777" w:rsidR="00834649" w:rsidRPr="000F0299" w:rsidRDefault="00834649" w:rsidP="00B1535C">
            <w:pPr>
              <w:tabs>
                <w:tab w:val="left" w:pos="154"/>
              </w:tabs>
              <w:suppressAutoHyphens w:val="0"/>
              <w:autoSpaceDN/>
              <w:spacing w:before="0"/>
              <w:ind w:firstLine="0"/>
              <w:textAlignment w:val="auto"/>
              <w:rPr>
                <w:rFonts w:eastAsia="Times New Roman"/>
                <w:i/>
                <w:color w:val="000000" w:themeColor="text1"/>
                <w:kern w:val="0"/>
                <w:sz w:val="20"/>
                <w:szCs w:val="20"/>
                <w:lang w:eastAsia="en-US" w:bidi="ar-SA"/>
              </w:rPr>
            </w:pPr>
            <w:r w:rsidRPr="000F0299">
              <w:rPr>
                <w:rFonts w:eastAsia="Times New Roman"/>
                <w:bCs/>
                <w:i/>
                <w:kern w:val="24"/>
                <w:sz w:val="20"/>
                <w:szCs w:val="20"/>
                <w:lang w:eastAsia="en-US" w:bidi="ar-SA"/>
              </w:rPr>
              <w:t>Индекс - композитни показатељи (сет различитих показатеља у посебној методологији прављеној за потребе СКГО)</w:t>
            </w:r>
          </w:p>
        </w:tc>
        <w:tc>
          <w:tcPr>
            <w:tcW w:w="1670" w:type="pct"/>
            <w:gridSpan w:val="6"/>
            <w:shd w:val="clear" w:color="auto" w:fill="FFFFFF" w:themeFill="background1"/>
          </w:tcPr>
          <w:p w14:paraId="05EF05FD" w14:textId="77777777" w:rsidR="00834649" w:rsidRPr="000F0299" w:rsidRDefault="00834649" w:rsidP="00B1535C">
            <w:pPr>
              <w:tabs>
                <w:tab w:val="left" w:pos="172"/>
              </w:tabs>
              <w:suppressAutoHyphens w:val="0"/>
              <w:autoSpaceDN/>
              <w:spacing w:before="0"/>
              <w:ind w:left="21" w:firstLine="0"/>
              <w:textAlignment w:val="auto"/>
              <w:rPr>
                <w:rFonts w:eastAsia="Times New Roman"/>
                <w:i/>
                <w:color w:val="000000" w:themeColor="text1"/>
                <w:kern w:val="0"/>
                <w:sz w:val="20"/>
                <w:szCs w:val="20"/>
                <w:lang w:eastAsia="en-US" w:bidi="ar-SA"/>
              </w:rPr>
            </w:pPr>
            <w:r w:rsidRPr="000F0299">
              <w:rPr>
                <w:rFonts w:eastAsia="Times New Roman"/>
                <w:i/>
                <w:iCs/>
                <w:color w:val="000000" w:themeColor="text1"/>
                <w:kern w:val="0"/>
                <w:sz w:val="20"/>
                <w:szCs w:val="20"/>
                <w:lang w:eastAsia="en-US" w:bidi="ar-SA"/>
              </w:rPr>
              <w:t>Пожељна је већа вредност</w:t>
            </w:r>
          </w:p>
        </w:tc>
      </w:tr>
      <w:tr w:rsidR="00834649" w:rsidRPr="000F0299" w14:paraId="43CBD8BB" w14:textId="77777777" w:rsidTr="00B1535C">
        <w:tc>
          <w:tcPr>
            <w:tcW w:w="1239" w:type="pct"/>
            <w:shd w:val="clear" w:color="auto" w:fill="auto"/>
          </w:tcPr>
          <w:p w14:paraId="5BC68B03"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Извор података за праћење показатеља учинка</w:t>
            </w:r>
          </w:p>
        </w:tc>
        <w:tc>
          <w:tcPr>
            <w:tcW w:w="3761" w:type="pct"/>
            <w:gridSpan w:val="11"/>
            <w:shd w:val="clear" w:color="auto" w:fill="FFFFFF" w:themeFill="background1"/>
          </w:tcPr>
          <w:p w14:paraId="6ACFDFDC" w14:textId="77777777" w:rsidR="00834649" w:rsidRPr="000F0299" w:rsidRDefault="00834649" w:rsidP="00B1535C">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Подати из извештаја МДУЛС  о мерењу стања по композитном индексу </w:t>
            </w:r>
          </w:p>
        </w:tc>
      </w:tr>
      <w:tr w:rsidR="00834649" w:rsidRPr="000F0299" w14:paraId="1D89CD46" w14:textId="77777777" w:rsidTr="00B1535C">
        <w:tc>
          <w:tcPr>
            <w:tcW w:w="1239" w:type="pct"/>
            <w:shd w:val="clear" w:color="auto" w:fill="auto"/>
          </w:tcPr>
          <w:p w14:paraId="7E4667A7"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Назив носиоца прикупљања података</w:t>
            </w:r>
          </w:p>
        </w:tc>
        <w:tc>
          <w:tcPr>
            <w:tcW w:w="3761" w:type="pct"/>
            <w:gridSpan w:val="11"/>
            <w:shd w:val="clear" w:color="auto" w:fill="FFFFFF" w:themeFill="background1"/>
          </w:tcPr>
          <w:p w14:paraId="16E6564F" w14:textId="29D35165" w:rsidR="00834649" w:rsidRPr="000F0299" w:rsidRDefault="00632F5B" w:rsidP="00632F5B">
            <w:pPr>
              <w:suppressAutoHyphens w:val="0"/>
              <w:autoSpaceDN/>
              <w:spacing w:before="0"/>
              <w:ind w:firstLine="0"/>
              <w:textAlignment w:val="auto"/>
              <w:rPr>
                <w:rFonts w:eastAsiaTheme="minorHAnsi"/>
                <w:color w:val="FF0000"/>
                <w:kern w:val="0"/>
                <w:sz w:val="20"/>
                <w:szCs w:val="20"/>
                <w:lang w:eastAsia="en-US" w:bidi="ar-SA"/>
              </w:rPr>
            </w:pPr>
            <w:r>
              <w:rPr>
                <w:rFonts w:eastAsiaTheme="minorHAnsi"/>
                <w:color w:val="000000" w:themeColor="text1"/>
                <w:kern w:val="0"/>
                <w:sz w:val="20"/>
                <w:szCs w:val="20"/>
                <w:lang w:eastAsia="en-US" w:bidi="ar-SA"/>
              </w:rPr>
              <w:t xml:space="preserve">МДУЛС, </w:t>
            </w:r>
            <w:r>
              <w:rPr>
                <w:rFonts w:eastAsiaTheme="minorHAnsi"/>
                <w:kern w:val="0"/>
                <w:sz w:val="20"/>
                <w:szCs w:val="20"/>
                <w:lang w:eastAsia="en-US" w:bidi="ar-SA"/>
              </w:rPr>
              <w:t>Сектор за систем локалне самоуправе</w:t>
            </w:r>
          </w:p>
        </w:tc>
      </w:tr>
      <w:tr w:rsidR="00834649" w:rsidRPr="000F0299" w14:paraId="079D9A45" w14:textId="77777777" w:rsidTr="00B1535C">
        <w:tc>
          <w:tcPr>
            <w:tcW w:w="1239" w:type="pct"/>
            <w:shd w:val="clear" w:color="auto" w:fill="auto"/>
          </w:tcPr>
          <w:p w14:paraId="4A94AF3A"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Учесталост прикупљања података</w:t>
            </w:r>
          </w:p>
        </w:tc>
        <w:tc>
          <w:tcPr>
            <w:tcW w:w="3761" w:type="pct"/>
            <w:gridSpan w:val="11"/>
            <w:shd w:val="clear" w:color="auto" w:fill="FFFFFF" w:themeFill="background1"/>
          </w:tcPr>
          <w:p w14:paraId="451311C5" w14:textId="77777777" w:rsidR="00834649" w:rsidRPr="000F0299" w:rsidRDefault="00834649" w:rsidP="00B1535C">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Подаци се прикупљају на трогодишњем нивоу (2023, 2026, 2029)</w:t>
            </w:r>
          </w:p>
        </w:tc>
      </w:tr>
      <w:tr w:rsidR="00834649" w:rsidRPr="000F0299" w14:paraId="06AD6ADF" w14:textId="77777777" w:rsidTr="00B1535C">
        <w:trPr>
          <w:trHeight w:val="883"/>
        </w:trPr>
        <w:tc>
          <w:tcPr>
            <w:tcW w:w="1239" w:type="pct"/>
            <w:shd w:val="clear" w:color="auto" w:fill="auto"/>
          </w:tcPr>
          <w:p w14:paraId="44340B87" w14:textId="77777777" w:rsidR="00834649" w:rsidRPr="000F0299" w:rsidRDefault="00834649" w:rsidP="00B1535C">
            <w:pPr>
              <w:suppressAutoHyphens w:val="0"/>
              <w:autoSpaceDN/>
              <w:spacing w:before="0"/>
              <w:ind w:firstLine="0"/>
              <w:textAlignment w:val="auto"/>
              <w:rPr>
                <w:rFonts w:eastAsiaTheme="minorHAnsi"/>
                <w:b/>
                <w:kern w:val="0"/>
                <w:sz w:val="20"/>
                <w:szCs w:val="20"/>
                <w:lang w:eastAsia="en-US" w:bidi="ar-SA"/>
              </w:rPr>
            </w:pPr>
            <w:r w:rsidRPr="000F0299">
              <w:rPr>
                <w:rFonts w:eastAsiaTheme="minorHAnsi"/>
                <w:b/>
                <w:kern w:val="0"/>
                <w:sz w:val="20"/>
                <w:szCs w:val="20"/>
                <w:lang w:eastAsia="en-US" w:bidi="ar-SA"/>
              </w:rPr>
              <w:t>Кратак опис показатеља и методологије израчунавања</w:t>
            </w:r>
          </w:p>
          <w:p w14:paraId="1BAB184E"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kern w:val="0"/>
                <w:sz w:val="20"/>
                <w:szCs w:val="20"/>
                <w:lang w:eastAsia="en-US" w:bidi="ar-SA"/>
              </w:rPr>
              <w:t>(формуле/ једначине)</w:t>
            </w:r>
          </w:p>
        </w:tc>
        <w:tc>
          <w:tcPr>
            <w:tcW w:w="3761" w:type="pct"/>
            <w:gridSpan w:val="11"/>
            <w:shd w:val="clear" w:color="auto" w:fill="FFFFFF" w:themeFill="background1"/>
          </w:tcPr>
          <w:p w14:paraId="0DD02F26" w14:textId="019832DC" w:rsidR="00834649" w:rsidRPr="000F0299" w:rsidRDefault="00834649" w:rsidP="00B1535C">
            <w:pPr>
              <w:suppressAutoHyphens w:val="0"/>
              <w:autoSpaceDN/>
              <w:spacing w:before="0"/>
              <w:ind w:firstLine="0"/>
              <w:textAlignment w:val="auto"/>
              <w:rPr>
                <w:rFonts w:eastAsiaTheme="minorHAnsi"/>
                <w:kern w:val="0"/>
                <w:sz w:val="20"/>
                <w:szCs w:val="20"/>
                <w:lang w:eastAsia="en-US" w:bidi="ar-SA"/>
              </w:rPr>
            </w:pPr>
            <w:r w:rsidRPr="000F0299">
              <w:rPr>
                <w:rFonts w:eastAsiaTheme="minorHAnsi"/>
                <w:kern w:val="0"/>
                <w:sz w:val="20"/>
                <w:szCs w:val="20"/>
                <w:lang w:eastAsia="en-US" w:bidi="ar-SA"/>
              </w:rPr>
              <w:t xml:space="preserve">Овај </w:t>
            </w:r>
            <w:r w:rsidR="001B2E03" w:rsidRPr="000F0299">
              <w:rPr>
                <w:rFonts w:eastAsiaTheme="minorHAnsi"/>
                <w:kern w:val="0"/>
                <w:sz w:val="20"/>
                <w:szCs w:val="20"/>
                <w:lang w:eastAsia="en-US" w:bidi="ar-SA"/>
              </w:rPr>
              <w:t>показатељ</w:t>
            </w:r>
            <w:r w:rsidRPr="000F0299">
              <w:rPr>
                <w:rFonts w:eastAsiaTheme="minorHAnsi"/>
                <w:kern w:val="0"/>
                <w:sz w:val="20"/>
                <w:szCs w:val="20"/>
                <w:lang w:eastAsia="en-US" w:bidi="ar-SA"/>
              </w:rPr>
              <w:t xml:space="preserve"> биће развијен до краја 2022.године. Он би требало да показује степен доступности и квалитета јавних услуга ЈЛС. Показатељ ће бити развијен у форми композитног индекса који ће мерити доступности и квалитет остваривања управних услуга ЈЛС, услуга јавних установа које оснива и чији рад </w:t>
            </w:r>
            <w:r w:rsidR="001B2E03" w:rsidRPr="000F0299">
              <w:rPr>
                <w:rFonts w:eastAsiaTheme="minorHAnsi"/>
                <w:kern w:val="0"/>
                <w:sz w:val="20"/>
                <w:szCs w:val="20"/>
                <w:lang w:eastAsia="en-US" w:bidi="ar-SA"/>
              </w:rPr>
              <w:t>организује</w:t>
            </w:r>
            <w:r w:rsidRPr="000F0299">
              <w:rPr>
                <w:rFonts w:eastAsiaTheme="minorHAnsi"/>
                <w:kern w:val="0"/>
                <w:sz w:val="20"/>
                <w:szCs w:val="20"/>
                <w:lang w:eastAsia="en-US" w:bidi="ar-SA"/>
              </w:rPr>
              <w:t xml:space="preserve"> и финансира ЈЛС и комуналних услуга. Планирано је да композитни индекс у циљу </w:t>
            </w:r>
            <w:r w:rsidR="001B2E03" w:rsidRPr="000F0299">
              <w:rPr>
                <w:rFonts w:eastAsiaTheme="minorHAnsi"/>
                <w:kern w:val="0"/>
                <w:sz w:val="20"/>
                <w:szCs w:val="20"/>
                <w:lang w:eastAsia="en-US" w:bidi="ar-SA"/>
              </w:rPr>
              <w:t>денафикације</w:t>
            </w:r>
            <w:r w:rsidRPr="000F0299">
              <w:rPr>
                <w:rFonts w:eastAsiaTheme="minorHAnsi"/>
                <w:kern w:val="0"/>
                <w:sz w:val="20"/>
                <w:szCs w:val="20"/>
                <w:lang w:eastAsia="en-US" w:bidi="ar-SA"/>
              </w:rPr>
              <w:t xml:space="preserve"> доступност јавних услуга обухвати у основи све јавне услуге локалне самоуправе а у циљу идентификације квалитета услуга ЈЛС, мерење ће бити спровођено на нивоу кључних односно приоритетних јавних услуга у све три области (управне услуге, услуге јавних установа и комуналне услуге). Само мерење ће се вршити на нивоу свих ЈЛС (путем упитника за ЈЛС) а верификација налаза биће извршена путем организације </w:t>
            </w:r>
            <w:r w:rsidR="001B2E03" w:rsidRPr="000F0299">
              <w:rPr>
                <w:rFonts w:eastAsiaTheme="minorHAnsi"/>
                <w:kern w:val="0"/>
                <w:sz w:val="20"/>
                <w:szCs w:val="20"/>
                <w:lang w:eastAsia="en-US" w:bidi="ar-SA"/>
              </w:rPr>
              <w:t>екстерног</w:t>
            </w:r>
            <w:r w:rsidRPr="000F0299">
              <w:rPr>
                <w:rFonts w:eastAsiaTheme="minorHAnsi"/>
                <w:kern w:val="0"/>
                <w:sz w:val="20"/>
                <w:szCs w:val="20"/>
                <w:lang w:eastAsia="en-US" w:bidi="ar-SA"/>
              </w:rPr>
              <w:t xml:space="preserve"> мерења на репрезентативном узорку ЈЛС који неће бити мањи од 30% од укупног броја ЈЛС. Налази индекса биће приказани или у форми композитне формуле која одређује место на скали сваке анализиране ЈЛС (односно укупну просечну оцену) или у форми процентуалног степена остварења јавних услуга по индексу. </w:t>
            </w:r>
          </w:p>
        </w:tc>
      </w:tr>
      <w:tr w:rsidR="00834649" w:rsidRPr="000F0299" w14:paraId="29E1E26E" w14:textId="77777777" w:rsidTr="00B1535C">
        <w:trPr>
          <w:trHeight w:val="265"/>
        </w:trPr>
        <w:tc>
          <w:tcPr>
            <w:tcW w:w="1239" w:type="pct"/>
            <w:vMerge w:val="restart"/>
            <w:shd w:val="clear" w:color="auto" w:fill="auto"/>
          </w:tcPr>
          <w:p w14:paraId="45E9AAFA"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полазној вредности и години кад је измерена, као и тренду у прошлости</w:t>
            </w:r>
          </w:p>
        </w:tc>
        <w:tc>
          <w:tcPr>
            <w:tcW w:w="1546" w:type="pct"/>
            <w:gridSpan w:val="3"/>
            <w:tcBorders>
              <w:bottom w:val="single" w:sz="4" w:space="0" w:color="auto"/>
            </w:tcBorders>
            <w:shd w:val="clear" w:color="auto" w:fill="FFFFFF" w:themeFill="background1"/>
            <w:vAlign w:val="center"/>
          </w:tcPr>
          <w:p w14:paraId="30511AFA" w14:textId="77777777" w:rsidR="00834649" w:rsidRPr="000F0299" w:rsidRDefault="00834649" w:rsidP="00B1535C">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Тренд у прошлости</w:t>
            </w:r>
          </w:p>
        </w:tc>
        <w:tc>
          <w:tcPr>
            <w:tcW w:w="2211" w:type="pct"/>
            <w:gridSpan w:val="8"/>
            <w:shd w:val="clear" w:color="auto" w:fill="FFFFFF" w:themeFill="background1"/>
            <w:vAlign w:val="center"/>
          </w:tcPr>
          <w:p w14:paraId="3284C0B6" w14:textId="77777777" w:rsidR="00834649" w:rsidRPr="000F0299" w:rsidRDefault="00834649" w:rsidP="00B1535C">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Полазна вредност</w:t>
            </w:r>
          </w:p>
        </w:tc>
      </w:tr>
      <w:tr w:rsidR="00834649" w:rsidRPr="000F0299" w14:paraId="3CCEBC58" w14:textId="77777777" w:rsidTr="00B1535C">
        <w:trPr>
          <w:trHeight w:val="137"/>
        </w:trPr>
        <w:tc>
          <w:tcPr>
            <w:tcW w:w="1239" w:type="pct"/>
            <w:vMerge/>
            <w:tcBorders>
              <w:right w:val="single" w:sz="4" w:space="0" w:color="auto"/>
            </w:tcBorders>
            <w:shd w:val="clear" w:color="auto" w:fill="auto"/>
          </w:tcPr>
          <w:p w14:paraId="59B86768"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3EBA2"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2016</w:t>
            </w:r>
          </w:p>
        </w:tc>
        <w:tc>
          <w:tcPr>
            <w:tcW w:w="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35A14"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2017</w:t>
            </w: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37BE4"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2018</w:t>
            </w:r>
          </w:p>
        </w:tc>
        <w:tc>
          <w:tcPr>
            <w:tcW w:w="2211" w:type="pct"/>
            <w:gridSpan w:val="8"/>
            <w:tcBorders>
              <w:left w:val="single" w:sz="4" w:space="0" w:color="auto"/>
            </w:tcBorders>
            <w:shd w:val="clear" w:color="auto" w:fill="FFFFFF" w:themeFill="background1"/>
            <w:vAlign w:val="center"/>
          </w:tcPr>
          <w:p w14:paraId="46A4D6BC"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2019 или 2020</w:t>
            </w:r>
          </w:p>
        </w:tc>
      </w:tr>
      <w:tr w:rsidR="00834649" w:rsidRPr="000F0299" w14:paraId="65218F99" w14:textId="77777777" w:rsidTr="00B1535C">
        <w:trPr>
          <w:trHeight w:val="323"/>
        </w:trPr>
        <w:tc>
          <w:tcPr>
            <w:tcW w:w="1239" w:type="pct"/>
            <w:vMerge/>
            <w:shd w:val="clear" w:color="auto" w:fill="auto"/>
          </w:tcPr>
          <w:p w14:paraId="621C51D6"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p>
        </w:tc>
        <w:tc>
          <w:tcPr>
            <w:tcW w:w="412" w:type="pct"/>
            <w:tcBorders>
              <w:top w:val="single" w:sz="4" w:space="0" w:color="auto"/>
            </w:tcBorders>
            <w:shd w:val="clear" w:color="auto" w:fill="FFFFFF" w:themeFill="background1"/>
            <w:vAlign w:val="center"/>
          </w:tcPr>
          <w:p w14:paraId="737C5EB9"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0</w:t>
            </w:r>
          </w:p>
        </w:tc>
        <w:tc>
          <w:tcPr>
            <w:tcW w:w="514" w:type="pct"/>
            <w:tcBorders>
              <w:top w:val="single" w:sz="4" w:space="0" w:color="auto"/>
            </w:tcBorders>
            <w:shd w:val="clear" w:color="auto" w:fill="FFFFFF" w:themeFill="background1"/>
            <w:vAlign w:val="center"/>
          </w:tcPr>
          <w:p w14:paraId="054AD333"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0</w:t>
            </w:r>
          </w:p>
        </w:tc>
        <w:tc>
          <w:tcPr>
            <w:tcW w:w="621" w:type="pct"/>
            <w:tcBorders>
              <w:top w:val="single" w:sz="4" w:space="0" w:color="auto"/>
            </w:tcBorders>
            <w:shd w:val="clear" w:color="auto" w:fill="FFFFFF" w:themeFill="background1"/>
            <w:vAlign w:val="center"/>
          </w:tcPr>
          <w:p w14:paraId="229505E6"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0</w:t>
            </w:r>
          </w:p>
        </w:tc>
        <w:tc>
          <w:tcPr>
            <w:tcW w:w="2211" w:type="pct"/>
            <w:gridSpan w:val="8"/>
            <w:shd w:val="clear" w:color="auto" w:fill="FFFFFF" w:themeFill="background1"/>
            <w:vAlign w:val="center"/>
          </w:tcPr>
          <w:p w14:paraId="4A100F23"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0</w:t>
            </w:r>
          </w:p>
        </w:tc>
      </w:tr>
      <w:tr w:rsidR="00331A14" w:rsidRPr="000F0299" w14:paraId="179ED978" w14:textId="77777777" w:rsidTr="00B1535C">
        <w:trPr>
          <w:trHeight w:val="274"/>
        </w:trPr>
        <w:tc>
          <w:tcPr>
            <w:tcW w:w="1239" w:type="pct"/>
            <w:vMerge w:val="restart"/>
            <w:shd w:val="clear" w:color="auto" w:fill="auto"/>
          </w:tcPr>
          <w:p w14:paraId="538ED146"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Подаци о циљним вредностима</w:t>
            </w:r>
          </w:p>
        </w:tc>
        <w:tc>
          <w:tcPr>
            <w:tcW w:w="412" w:type="pct"/>
            <w:shd w:val="clear" w:color="auto" w:fill="FFFFFF" w:themeFill="background1"/>
            <w:vAlign w:val="center"/>
          </w:tcPr>
          <w:p w14:paraId="28FF4B77"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2021</w:t>
            </w:r>
          </w:p>
        </w:tc>
        <w:tc>
          <w:tcPr>
            <w:tcW w:w="514" w:type="pct"/>
            <w:shd w:val="clear" w:color="auto" w:fill="FFFFFF" w:themeFill="background1"/>
            <w:vAlign w:val="center"/>
          </w:tcPr>
          <w:p w14:paraId="64FED052"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2022</w:t>
            </w:r>
          </w:p>
        </w:tc>
        <w:tc>
          <w:tcPr>
            <w:tcW w:w="621" w:type="pct"/>
            <w:shd w:val="clear" w:color="auto" w:fill="FFFFFF" w:themeFill="background1"/>
            <w:vAlign w:val="center"/>
          </w:tcPr>
          <w:p w14:paraId="1E8ACD8E"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2023</w:t>
            </w:r>
          </w:p>
        </w:tc>
        <w:tc>
          <w:tcPr>
            <w:tcW w:w="316" w:type="pct"/>
            <w:shd w:val="clear" w:color="auto" w:fill="FFFFFF" w:themeFill="background1"/>
            <w:vAlign w:val="center"/>
          </w:tcPr>
          <w:p w14:paraId="4DFC8C6A"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2024</w:t>
            </w:r>
          </w:p>
        </w:tc>
        <w:tc>
          <w:tcPr>
            <w:tcW w:w="316" w:type="pct"/>
            <w:gridSpan w:val="2"/>
            <w:shd w:val="clear" w:color="auto" w:fill="FFFFFF" w:themeFill="background1"/>
            <w:vAlign w:val="center"/>
          </w:tcPr>
          <w:p w14:paraId="6CA39173"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2025</w:t>
            </w:r>
          </w:p>
        </w:tc>
        <w:tc>
          <w:tcPr>
            <w:tcW w:w="316" w:type="pct"/>
            <w:shd w:val="clear" w:color="auto" w:fill="FFFFFF" w:themeFill="background1"/>
            <w:vAlign w:val="center"/>
          </w:tcPr>
          <w:p w14:paraId="5A0FEBE7"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2026</w:t>
            </w:r>
          </w:p>
        </w:tc>
        <w:tc>
          <w:tcPr>
            <w:tcW w:w="316" w:type="pct"/>
            <w:shd w:val="clear" w:color="auto" w:fill="FFFFFF" w:themeFill="background1"/>
            <w:vAlign w:val="center"/>
          </w:tcPr>
          <w:p w14:paraId="2FD9D1F7"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18"/>
                <w:szCs w:val="18"/>
                <w:lang w:eastAsia="en-US" w:bidi="ar-SA"/>
              </w:rPr>
            </w:pPr>
            <w:r w:rsidRPr="000F0299">
              <w:rPr>
                <w:rFonts w:eastAsiaTheme="minorHAnsi"/>
                <w:color w:val="000000" w:themeColor="text1"/>
                <w:kern w:val="0"/>
                <w:sz w:val="18"/>
                <w:szCs w:val="18"/>
                <w:lang w:eastAsia="en-US" w:bidi="ar-SA"/>
              </w:rPr>
              <w:t>2027</w:t>
            </w:r>
          </w:p>
        </w:tc>
        <w:tc>
          <w:tcPr>
            <w:tcW w:w="316" w:type="pct"/>
            <w:shd w:val="clear" w:color="auto" w:fill="FFFFFF" w:themeFill="background1"/>
            <w:vAlign w:val="center"/>
          </w:tcPr>
          <w:p w14:paraId="5258AA6D" w14:textId="77777777" w:rsidR="00834649" w:rsidRPr="000F0299" w:rsidRDefault="00834649" w:rsidP="00B1535C">
            <w:pPr>
              <w:suppressAutoHyphens w:val="0"/>
              <w:autoSpaceDN/>
              <w:spacing w:before="0"/>
              <w:ind w:firstLine="0"/>
              <w:jc w:val="center"/>
              <w:textAlignment w:val="auto"/>
              <w:rPr>
                <w:rFonts w:eastAsiaTheme="minorHAnsi"/>
                <w:i/>
                <w:color w:val="000000" w:themeColor="text1"/>
                <w:kern w:val="0"/>
                <w:sz w:val="18"/>
                <w:szCs w:val="18"/>
                <w:lang w:eastAsia="en-US" w:bidi="ar-SA"/>
              </w:rPr>
            </w:pPr>
            <w:r w:rsidRPr="000F0299">
              <w:rPr>
                <w:rFonts w:eastAsiaTheme="minorHAnsi"/>
                <w:i/>
                <w:color w:val="000000" w:themeColor="text1"/>
                <w:kern w:val="0"/>
                <w:sz w:val="18"/>
                <w:szCs w:val="18"/>
                <w:lang w:eastAsia="en-US" w:bidi="ar-SA"/>
              </w:rPr>
              <w:t>2028</w:t>
            </w:r>
          </w:p>
        </w:tc>
        <w:tc>
          <w:tcPr>
            <w:tcW w:w="316" w:type="pct"/>
            <w:shd w:val="clear" w:color="auto" w:fill="FFFFFF" w:themeFill="background1"/>
            <w:vAlign w:val="center"/>
          </w:tcPr>
          <w:p w14:paraId="2E8EEC31" w14:textId="77777777" w:rsidR="00834649" w:rsidRPr="000F0299" w:rsidRDefault="00834649" w:rsidP="00B1535C">
            <w:pPr>
              <w:suppressAutoHyphens w:val="0"/>
              <w:autoSpaceDN/>
              <w:spacing w:before="0"/>
              <w:ind w:firstLine="0"/>
              <w:jc w:val="center"/>
              <w:textAlignment w:val="auto"/>
              <w:rPr>
                <w:rFonts w:eastAsiaTheme="minorHAnsi"/>
                <w:i/>
                <w:color w:val="000000" w:themeColor="text1"/>
                <w:kern w:val="0"/>
                <w:sz w:val="18"/>
                <w:szCs w:val="18"/>
                <w:lang w:eastAsia="en-US" w:bidi="ar-SA"/>
              </w:rPr>
            </w:pPr>
            <w:r w:rsidRPr="000F0299">
              <w:rPr>
                <w:rFonts w:eastAsiaTheme="minorHAnsi"/>
                <w:i/>
                <w:color w:val="000000" w:themeColor="text1"/>
                <w:kern w:val="0"/>
                <w:sz w:val="18"/>
                <w:szCs w:val="18"/>
                <w:lang w:eastAsia="en-US" w:bidi="ar-SA"/>
              </w:rPr>
              <w:t>2029</w:t>
            </w:r>
          </w:p>
        </w:tc>
        <w:tc>
          <w:tcPr>
            <w:tcW w:w="316" w:type="pct"/>
            <w:shd w:val="clear" w:color="auto" w:fill="FFFFFF" w:themeFill="background1"/>
            <w:vAlign w:val="center"/>
          </w:tcPr>
          <w:p w14:paraId="3C07F06A" w14:textId="77777777" w:rsidR="00834649" w:rsidRPr="000F0299" w:rsidRDefault="00834649" w:rsidP="00B1535C">
            <w:pPr>
              <w:suppressAutoHyphens w:val="0"/>
              <w:autoSpaceDN/>
              <w:spacing w:before="0"/>
              <w:ind w:firstLine="0"/>
              <w:jc w:val="center"/>
              <w:textAlignment w:val="auto"/>
              <w:rPr>
                <w:rFonts w:eastAsiaTheme="minorHAnsi"/>
                <w:i/>
                <w:color w:val="000000" w:themeColor="text1"/>
                <w:kern w:val="0"/>
                <w:sz w:val="18"/>
                <w:szCs w:val="18"/>
                <w:lang w:eastAsia="en-US" w:bidi="ar-SA"/>
              </w:rPr>
            </w:pPr>
            <w:r w:rsidRPr="000F0299">
              <w:rPr>
                <w:rFonts w:eastAsiaTheme="minorHAnsi"/>
                <w:i/>
                <w:color w:val="000000" w:themeColor="text1"/>
                <w:kern w:val="0"/>
                <w:sz w:val="18"/>
                <w:szCs w:val="18"/>
                <w:lang w:eastAsia="en-US" w:bidi="ar-SA"/>
              </w:rPr>
              <w:t>2030</w:t>
            </w:r>
          </w:p>
        </w:tc>
      </w:tr>
      <w:tr w:rsidR="00834649" w:rsidRPr="000F0299" w14:paraId="447718CB" w14:textId="77777777" w:rsidTr="00B1535C">
        <w:trPr>
          <w:trHeight w:val="160"/>
        </w:trPr>
        <w:tc>
          <w:tcPr>
            <w:tcW w:w="1239" w:type="pct"/>
            <w:vMerge/>
            <w:shd w:val="clear" w:color="auto" w:fill="auto"/>
          </w:tcPr>
          <w:p w14:paraId="44098498"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p>
        </w:tc>
        <w:tc>
          <w:tcPr>
            <w:tcW w:w="412" w:type="pct"/>
            <w:shd w:val="clear" w:color="auto" w:fill="FFFFFF" w:themeFill="background1"/>
          </w:tcPr>
          <w:p w14:paraId="3C30974E"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0</w:t>
            </w:r>
          </w:p>
        </w:tc>
        <w:tc>
          <w:tcPr>
            <w:tcW w:w="514" w:type="pct"/>
            <w:shd w:val="clear" w:color="auto" w:fill="FFFFFF" w:themeFill="background1"/>
          </w:tcPr>
          <w:p w14:paraId="6377115F" w14:textId="24F4F0DA"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Израђен</w:t>
            </w:r>
          </w:p>
          <w:p w14:paraId="69E242F9"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индекс</w:t>
            </w:r>
          </w:p>
        </w:tc>
        <w:tc>
          <w:tcPr>
            <w:tcW w:w="621" w:type="pct"/>
            <w:shd w:val="clear" w:color="auto" w:fill="FFFFFF" w:themeFill="background1"/>
          </w:tcPr>
          <w:p w14:paraId="28304604" w14:textId="4FDBE18D" w:rsidR="00834649" w:rsidRPr="000F0299" w:rsidRDefault="00834649" w:rsidP="00B1535C">
            <w:pPr>
              <w:suppressAutoHyphens w:val="0"/>
              <w:autoSpaceDN/>
              <w:spacing w:before="0"/>
              <w:ind w:firstLine="0"/>
              <w:jc w:val="center"/>
              <w:textAlignment w:val="auto"/>
              <w:rPr>
                <w:rFonts w:eastAsiaTheme="minorHAnsi"/>
                <w:bCs/>
                <w:color w:val="000000" w:themeColor="text1"/>
                <w:kern w:val="24"/>
                <w:sz w:val="20"/>
                <w:szCs w:val="20"/>
                <w:lang w:eastAsia="en-US" w:bidi="ar-SA"/>
              </w:rPr>
            </w:pPr>
            <w:r w:rsidRPr="000F0299">
              <w:rPr>
                <w:rFonts w:eastAsiaTheme="minorHAnsi"/>
                <w:bCs/>
                <w:color w:val="000000" w:themeColor="text1"/>
                <w:kern w:val="24"/>
                <w:sz w:val="20"/>
                <w:szCs w:val="20"/>
                <w:lang w:eastAsia="en-US" w:bidi="ar-SA"/>
              </w:rPr>
              <w:t>Извршено мерење</w:t>
            </w:r>
          </w:p>
          <w:p w14:paraId="5EFACF15" w14:textId="221AE952"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bCs/>
                <w:color w:val="000000" w:themeColor="text1"/>
                <w:kern w:val="24"/>
                <w:sz w:val="20"/>
                <w:szCs w:val="20"/>
                <w:lang w:eastAsia="en-US" w:bidi="ar-SA"/>
              </w:rPr>
              <w:t>по индексу</w:t>
            </w:r>
          </w:p>
        </w:tc>
        <w:tc>
          <w:tcPr>
            <w:tcW w:w="2211" w:type="pct"/>
            <w:gridSpan w:val="8"/>
            <w:shd w:val="clear" w:color="auto" w:fill="FFFFFF" w:themeFill="background1"/>
          </w:tcPr>
          <w:p w14:paraId="56E74B58" w14:textId="77777777" w:rsidR="00834649" w:rsidRPr="000F0299" w:rsidRDefault="00834649" w:rsidP="00B1535C">
            <w:pPr>
              <w:suppressAutoHyphens w:val="0"/>
              <w:autoSpaceDN/>
              <w:spacing w:before="0"/>
              <w:ind w:firstLine="0"/>
              <w:jc w:val="center"/>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Биће утврђено 2023</w:t>
            </w:r>
          </w:p>
          <w:p w14:paraId="02424C55" w14:textId="77777777" w:rsidR="00834649" w:rsidRPr="000F0299" w:rsidRDefault="00834649" w:rsidP="00B1535C">
            <w:pPr>
              <w:suppressAutoHyphens w:val="0"/>
              <w:autoSpaceDN/>
              <w:spacing w:before="0"/>
              <w:ind w:firstLine="0"/>
              <w:jc w:val="center"/>
              <w:textAlignment w:val="auto"/>
              <w:rPr>
                <w:rFonts w:eastAsiaTheme="minorHAnsi"/>
                <w:i/>
                <w:color w:val="000000" w:themeColor="text1"/>
                <w:kern w:val="0"/>
                <w:sz w:val="20"/>
                <w:szCs w:val="20"/>
                <w:lang w:eastAsia="en-US" w:bidi="ar-SA"/>
              </w:rPr>
            </w:pPr>
          </w:p>
        </w:tc>
      </w:tr>
      <w:tr w:rsidR="00834649" w:rsidRPr="000F0299" w14:paraId="48170B55" w14:textId="77777777" w:rsidTr="00B1535C">
        <w:trPr>
          <w:trHeight w:val="611"/>
        </w:trPr>
        <w:tc>
          <w:tcPr>
            <w:tcW w:w="1239" w:type="pct"/>
            <w:shd w:val="clear" w:color="auto" w:fill="auto"/>
          </w:tcPr>
          <w:p w14:paraId="27FEFB44" w14:textId="77777777" w:rsidR="00834649" w:rsidRPr="000F0299" w:rsidRDefault="00834649" w:rsidP="00B1535C">
            <w:pPr>
              <w:suppressAutoHyphens w:val="0"/>
              <w:autoSpaceDN/>
              <w:spacing w:before="0"/>
              <w:ind w:firstLine="0"/>
              <w:textAlignment w:val="auto"/>
              <w:rPr>
                <w:rFonts w:eastAsiaTheme="minorHAnsi"/>
                <w:b/>
                <w:bCs/>
                <w:kern w:val="0"/>
                <w:sz w:val="20"/>
                <w:szCs w:val="20"/>
                <w:lang w:eastAsia="en-US" w:bidi="ar-SA"/>
              </w:rPr>
            </w:pPr>
            <w:r w:rsidRPr="000F0299">
              <w:rPr>
                <w:rFonts w:eastAsiaTheme="minorHAnsi"/>
                <w:b/>
                <w:bCs/>
                <w:kern w:val="0"/>
                <w:sz w:val="20"/>
                <w:szCs w:val="20"/>
                <w:lang w:eastAsia="en-US" w:bidi="ar-SA"/>
              </w:rPr>
              <w:t>Процена успешности</w:t>
            </w:r>
          </w:p>
        </w:tc>
        <w:tc>
          <w:tcPr>
            <w:tcW w:w="3761" w:type="pct"/>
            <w:gridSpan w:val="11"/>
            <w:shd w:val="clear" w:color="auto" w:fill="FFFFFF" w:themeFill="background1"/>
            <w:vAlign w:val="center"/>
          </w:tcPr>
          <w:p w14:paraId="7BFA302C" w14:textId="77777777" w:rsidR="00834649" w:rsidRPr="000F0299" w:rsidRDefault="00834649" w:rsidP="00B1535C">
            <w:pPr>
              <w:suppressAutoHyphens w:val="0"/>
              <w:autoSpaceDN/>
              <w:spacing w:before="0"/>
              <w:ind w:firstLine="0"/>
              <w:textAlignment w:val="auto"/>
              <w:rPr>
                <w:rFonts w:eastAsiaTheme="minorHAnsi"/>
                <w:color w:val="000000" w:themeColor="text1"/>
                <w:kern w:val="0"/>
                <w:sz w:val="20"/>
                <w:szCs w:val="20"/>
                <w:lang w:eastAsia="en-US" w:bidi="ar-SA"/>
              </w:rPr>
            </w:pPr>
            <w:r w:rsidRPr="000F0299">
              <w:rPr>
                <w:rFonts w:eastAsiaTheme="minorHAnsi"/>
                <w:color w:val="000000" w:themeColor="text1"/>
                <w:kern w:val="0"/>
                <w:sz w:val="20"/>
                <w:szCs w:val="20"/>
                <w:lang w:eastAsia="en-US" w:bidi="ar-SA"/>
              </w:rPr>
              <w:t xml:space="preserve">Прихватљиво одступање од планираних вредности биће утврђено након израде и спровођења првог мерења стања у ЈЛС путем овог индекса </w:t>
            </w:r>
          </w:p>
        </w:tc>
      </w:tr>
    </w:tbl>
    <w:p w14:paraId="50BA166D" w14:textId="4EB01D9F" w:rsidR="001C7FE0" w:rsidRDefault="001C7FE0" w:rsidP="00244E7C"/>
    <w:p w14:paraId="556D3DCB" w14:textId="14944A3F" w:rsidR="001C7FE0" w:rsidRDefault="001C7FE0" w:rsidP="00244E7C"/>
    <w:p w14:paraId="17F11188" w14:textId="27BD0D02" w:rsidR="001C7FE0" w:rsidRDefault="001C7FE0" w:rsidP="00244E7C"/>
    <w:p w14:paraId="1AA8BE00" w14:textId="1A8E1521" w:rsidR="001C7FE0" w:rsidRDefault="001C7FE0" w:rsidP="00244E7C"/>
    <w:p w14:paraId="64617E4E" w14:textId="77777777" w:rsidR="00246E68" w:rsidRDefault="00246E68" w:rsidP="001C7FE0">
      <w:pPr>
        <w:rPr>
          <w:b/>
        </w:rPr>
      </w:pPr>
    </w:p>
    <w:p w14:paraId="4AD171B0" w14:textId="77777777" w:rsidR="00246E68" w:rsidRDefault="00246E68" w:rsidP="001C7FE0">
      <w:pPr>
        <w:rPr>
          <w:b/>
        </w:rPr>
      </w:pPr>
    </w:p>
    <w:p w14:paraId="20232BCD" w14:textId="69144CC1" w:rsidR="001C7FE0" w:rsidRPr="00CC2BFD" w:rsidRDefault="001C7FE0" w:rsidP="001C7FE0">
      <w:pPr>
        <w:rPr>
          <w:b/>
        </w:rPr>
      </w:pPr>
      <w:r w:rsidRPr="00CC2BFD">
        <w:rPr>
          <w:b/>
        </w:rPr>
        <w:t>ПАСОШ ПОКАЗАТЕЉА ЗА ОПЕРАТИВНИ ПЛАН СТРАТЕГИЈЕ РЈУ</w:t>
      </w:r>
    </w:p>
    <w:p w14:paraId="0054196A" w14:textId="77777777" w:rsidR="001C7FE0" w:rsidRPr="00CC2BFD" w:rsidRDefault="001C7FE0" w:rsidP="001C7FE0">
      <w:pPr>
        <w:rPr>
          <w:b/>
        </w:rPr>
      </w:pPr>
    </w:p>
    <w:p w14:paraId="355FA4FE" w14:textId="77777777" w:rsidR="001C7FE0" w:rsidRPr="00CC2BFD" w:rsidRDefault="001C7FE0" w:rsidP="001C7FE0">
      <w:pPr>
        <w:rPr>
          <w:b/>
        </w:rPr>
      </w:pPr>
      <w:r w:rsidRPr="00CC2BFD">
        <w:rPr>
          <w:b/>
        </w:rPr>
        <w:t>УПРАВЉАЊЕ И КООРДИНАЦИЈА</w:t>
      </w:r>
    </w:p>
    <w:p w14:paraId="31496191" w14:textId="77777777" w:rsidR="001C7FE0" w:rsidRDefault="001C7FE0" w:rsidP="001C7FE0">
      <w:pPr>
        <w:rPr>
          <w:b/>
          <w:color w:val="A6A6A6" w:themeColor="background1" w:themeShade="A6"/>
        </w:rPr>
      </w:pPr>
    </w:p>
    <w:p w14:paraId="6730CFDD" w14:textId="77777777" w:rsidR="001C7FE0" w:rsidRDefault="001C7FE0" w:rsidP="001C7FE0">
      <w:pPr>
        <w:rPr>
          <w:b/>
          <w:bCs/>
          <w:color w:val="A6A6A6" w:themeColor="background1" w:themeShade="A6"/>
          <w:sz w:val="20"/>
          <w:szCs w:val="20"/>
        </w:rPr>
      </w:pPr>
      <w:r>
        <w:rPr>
          <w:b/>
          <w:bCs/>
          <w:color w:val="A6A6A6" w:themeColor="background1" w:themeShade="A6"/>
          <w:sz w:val="20"/>
          <w:szCs w:val="20"/>
        </w:rPr>
        <w:t>Показатељ 1</w:t>
      </w:r>
    </w:p>
    <w:p w14:paraId="57CD5107" w14:textId="77777777" w:rsidR="001C7FE0" w:rsidRDefault="001C7FE0" w:rsidP="00244E7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9"/>
        <w:gridCol w:w="632"/>
        <w:gridCol w:w="651"/>
        <w:gridCol w:w="532"/>
        <w:gridCol w:w="272"/>
        <w:gridCol w:w="683"/>
        <w:gridCol w:w="637"/>
        <w:gridCol w:w="50"/>
        <w:gridCol w:w="677"/>
        <w:gridCol w:w="684"/>
        <w:gridCol w:w="387"/>
        <w:gridCol w:w="283"/>
        <w:gridCol w:w="677"/>
        <w:gridCol w:w="650"/>
      </w:tblGrid>
      <w:tr w:rsidR="001C7FE0" w:rsidRPr="001C7FE0" w14:paraId="54B94951" w14:textId="77777777" w:rsidTr="001C7FE0">
        <w:trPr>
          <w:jc w:val="center"/>
        </w:trPr>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EAC746" w14:textId="77777777" w:rsidR="001C7FE0" w:rsidRPr="001C7FE0" w:rsidRDefault="001C7FE0" w:rsidP="001C7FE0">
            <w:pPr>
              <w:suppressAutoHyphens w:val="0"/>
              <w:autoSpaceDN/>
              <w:spacing w:before="100" w:after="100"/>
              <w:ind w:firstLine="0"/>
              <w:jc w:val="left"/>
              <w:textAlignment w:val="auto"/>
              <w:rPr>
                <w:rFonts w:eastAsiaTheme="minorHAnsi"/>
                <w:b/>
                <w:bCs/>
                <w:color w:val="FFFFFF" w:themeColor="background1"/>
                <w:kern w:val="0"/>
                <w:sz w:val="20"/>
                <w:szCs w:val="20"/>
                <w:lang w:val="en-US" w:eastAsia="en-US" w:bidi="ar-SA"/>
              </w:rPr>
            </w:pPr>
            <w:r w:rsidRPr="001C7FE0">
              <w:rPr>
                <w:rFonts w:eastAsiaTheme="minorHAnsi"/>
                <w:b/>
                <w:bCs/>
                <w:color w:val="FFFFFF" w:themeColor="background1"/>
                <w:kern w:val="0"/>
                <w:sz w:val="20"/>
                <w:szCs w:val="20"/>
                <w:lang w:val="en-US" w:eastAsia="en-US" w:bidi="ar-SA"/>
              </w:rPr>
              <w:t>Назив показатеља</w:t>
            </w:r>
          </w:p>
        </w:tc>
        <w:tc>
          <w:tcPr>
            <w:tcW w:w="3714" w:type="pct"/>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EBC38A" w14:textId="77777777" w:rsidR="001C7FE0" w:rsidRPr="001C7FE0" w:rsidRDefault="001C7FE0" w:rsidP="001C7FE0">
            <w:pPr>
              <w:suppressAutoHyphens w:val="0"/>
              <w:autoSpaceDN/>
              <w:spacing w:before="100" w:after="100"/>
              <w:ind w:firstLine="0"/>
              <w:jc w:val="left"/>
              <w:textAlignment w:val="auto"/>
              <w:rPr>
                <w:rFonts w:eastAsiaTheme="minorHAnsi"/>
                <w:b/>
                <w:iCs/>
                <w:color w:val="FFFFFF" w:themeColor="background1"/>
                <w:kern w:val="0"/>
                <w:sz w:val="20"/>
                <w:szCs w:val="20"/>
                <w:lang w:val="en-US" w:eastAsia="en-US" w:bidi="ar-SA"/>
              </w:rPr>
            </w:pPr>
            <w:r w:rsidRPr="001C7FE0">
              <w:rPr>
                <w:rFonts w:eastAsiaTheme="minorHAnsi"/>
                <w:b/>
                <w:iCs/>
                <w:kern w:val="0"/>
                <w:sz w:val="20"/>
                <w:szCs w:val="20"/>
                <w:lang w:val="en-US" w:eastAsia="en-US" w:bidi="ar-SA"/>
              </w:rPr>
              <w:t>Број докумената јавних политика у оквиру РЈУ чији резултати праћења су доступни преко ОМТ</w:t>
            </w:r>
          </w:p>
        </w:tc>
      </w:tr>
      <w:tr w:rsidR="001C7FE0" w:rsidRPr="001C7FE0" w14:paraId="0A1313DE" w14:textId="77777777" w:rsidTr="001C7FE0">
        <w:trPr>
          <w:jc w:val="center"/>
        </w:trPr>
        <w:tc>
          <w:tcPr>
            <w:tcW w:w="1286" w:type="pct"/>
            <w:tcBorders>
              <w:top w:val="single" w:sz="4" w:space="0" w:color="auto"/>
              <w:left w:val="single" w:sz="4" w:space="0" w:color="auto"/>
              <w:bottom w:val="single" w:sz="4" w:space="0" w:color="auto"/>
              <w:right w:val="single" w:sz="4" w:space="0" w:color="auto"/>
            </w:tcBorders>
            <w:shd w:val="clear" w:color="auto" w:fill="auto"/>
          </w:tcPr>
          <w:p w14:paraId="633E8D81" w14:textId="77777777" w:rsidR="001C7FE0" w:rsidRPr="00065AE4" w:rsidRDefault="001C7FE0" w:rsidP="001C7FE0">
            <w:pPr>
              <w:suppressAutoHyphens w:val="0"/>
              <w:autoSpaceDN/>
              <w:spacing w:before="100" w:after="10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Одговарајући општи, посебни циљ или мера</w:t>
            </w:r>
          </w:p>
        </w:tc>
        <w:tc>
          <w:tcPr>
            <w:tcW w:w="3714" w:type="pct"/>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71C768F9" w14:textId="77777777" w:rsidR="001C7FE0" w:rsidRPr="001C7FE0" w:rsidRDefault="001C7FE0" w:rsidP="001C7FE0">
            <w:pPr>
              <w:suppressAutoHyphens w:val="0"/>
              <w:autoSpaceDN/>
              <w:spacing w:before="100" w:after="100"/>
              <w:ind w:firstLine="0"/>
              <w:jc w:val="left"/>
              <w:textAlignment w:val="auto"/>
              <w:rPr>
                <w:rFonts w:eastAsiaTheme="minorHAnsi"/>
                <w:b/>
                <w:iCs/>
                <w:color w:val="000000" w:themeColor="text1"/>
                <w:kern w:val="0"/>
                <w:sz w:val="20"/>
                <w:szCs w:val="20"/>
                <w:lang w:eastAsia="en-US" w:bidi="ar-SA"/>
              </w:rPr>
            </w:pPr>
            <w:r w:rsidRPr="001C7FE0">
              <w:rPr>
                <w:rFonts w:eastAsiaTheme="minorHAnsi"/>
                <w:color w:val="000000"/>
                <w:kern w:val="24"/>
                <w:sz w:val="20"/>
                <w:szCs w:val="20"/>
                <w:lang w:eastAsia="en-US" w:bidi="ar-SA"/>
              </w:rPr>
              <w:t xml:space="preserve">Мера 1: </w:t>
            </w:r>
            <w:r w:rsidRPr="001C7FE0">
              <w:rPr>
                <w:rFonts w:eastAsiaTheme="minorHAnsi"/>
                <w:bCs/>
                <w:color w:val="000000"/>
                <w:kern w:val="0"/>
                <w:sz w:val="20"/>
                <w:szCs w:val="20"/>
                <w:lang w:eastAsia="en-US" w:bidi="ar-SA"/>
              </w:rPr>
              <w:t>Обезбеђење ефикасне координације и праћења мера и активности планираних АП РЈУ</w:t>
            </w:r>
          </w:p>
        </w:tc>
      </w:tr>
      <w:tr w:rsidR="001C7FE0" w:rsidRPr="001C7FE0" w14:paraId="258DE856" w14:textId="77777777" w:rsidTr="001C7FE0">
        <w:trPr>
          <w:jc w:val="center"/>
        </w:trPr>
        <w:tc>
          <w:tcPr>
            <w:tcW w:w="1286" w:type="pct"/>
            <w:shd w:val="clear" w:color="auto" w:fill="auto"/>
          </w:tcPr>
          <w:p w14:paraId="18EDE56C" w14:textId="77777777" w:rsidR="001C7FE0" w:rsidRPr="001C7FE0" w:rsidRDefault="001C7FE0" w:rsidP="001C7FE0">
            <w:pPr>
              <w:suppressAutoHyphens w:val="0"/>
              <w:autoSpaceDN/>
              <w:spacing w:before="50" w:after="50"/>
              <w:ind w:firstLine="0"/>
              <w:jc w:val="left"/>
              <w:textAlignment w:val="auto"/>
              <w:rPr>
                <w:rFonts w:eastAsiaTheme="minorHAnsi"/>
                <w:b/>
                <w:bCs/>
                <w:kern w:val="0"/>
                <w:sz w:val="20"/>
                <w:szCs w:val="20"/>
                <w:lang w:val="en-US" w:eastAsia="en-US" w:bidi="ar-SA"/>
              </w:rPr>
            </w:pPr>
            <w:r w:rsidRPr="001C7FE0">
              <w:rPr>
                <w:rFonts w:eastAsiaTheme="minorHAnsi"/>
                <w:b/>
                <w:kern w:val="24"/>
                <w:sz w:val="20"/>
                <w:szCs w:val="20"/>
                <w:lang w:val="en-US" w:eastAsia="en-US" w:bidi="ar-SA"/>
              </w:rPr>
              <w:t>Тип и ниво показатеља</w:t>
            </w:r>
          </w:p>
        </w:tc>
        <w:tc>
          <w:tcPr>
            <w:tcW w:w="1857" w:type="pct"/>
            <w:gridSpan w:val="6"/>
            <w:shd w:val="clear" w:color="auto" w:fill="FFFFFF" w:themeFill="background1"/>
          </w:tcPr>
          <w:p w14:paraId="7987156E" w14:textId="77777777" w:rsidR="001C7FE0" w:rsidRPr="001C7FE0" w:rsidRDefault="001C7FE0" w:rsidP="001C7FE0">
            <w:pPr>
              <w:suppressAutoHyphens w:val="0"/>
              <w:autoSpaceDN/>
              <w:spacing w:before="0" w:after="0"/>
              <w:ind w:firstLine="0"/>
              <w:jc w:val="left"/>
              <w:textAlignment w:val="auto"/>
              <w:rPr>
                <w:rFonts w:eastAsiaTheme="minorHAnsi"/>
                <w:bCs/>
                <w:iCs/>
                <w:kern w:val="24"/>
                <w:sz w:val="20"/>
                <w:szCs w:val="20"/>
                <w:lang w:eastAsia="en-US" w:bidi="ar-SA"/>
              </w:rPr>
            </w:pPr>
            <w:r w:rsidRPr="001C7FE0">
              <w:rPr>
                <w:rFonts w:eastAsiaTheme="minorHAnsi"/>
                <w:bCs/>
                <w:iCs/>
                <w:kern w:val="24"/>
                <w:sz w:val="20"/>
                <w:szCs w:val="20"/>
                <w:lang w:val="sr-Latn-RS" w:eastAsia="en-US" w:bidi="ar-SA"/>
              </w:rPr>
              <w:t>K</w:t>
            </w:r>
            <w:r w:rsidRPr="001C7FE0">
              <w:rPr>
                <w:rFonts w:eastAsiaTheme="minorHAnsi"/>
                <w:bCs/>
                <w:iCs/>
                <w:kern w:val="24"/>
                <w:sz w:val="20"/>
                <w:szCs w:val="20"/>
                <w:lang w:eastAsia="en-US" w:bidi="ar-SA"/>
              </w:rPr>
              <w:t>вантитативни</w:t>
            </w:r>
          </w:p>
        </w:tc>
        <w:tc>
          <w:tcPr>
            <w:tcW w:w="1857" w:type="pct"/>
            <w:gridSpan w:val="7"/>
            <w:shd w:val="clear" w:color="auto" w:fill="FFFFFF" w:themeFill="background1"/>
          </w:tcPr>
          <w:p w14:paraId="4E4E1BD0" w14:textId="77777777" w:rsidR="001C7FE0" w:rsidRPr="001C7FE0" w:rsidRDefault="001C7FE0" w:rsidP="001C7FE0">
            <w:pPr>
              <w:suppressAutoHyphens w:val="0"/>
              <w:autoSpaceDN/>
              <w:spacing w:before="0" w:after="0"/>
              <w:ind w:firstLine="0"/>
              <w:jc w:val="left"/>
              <w:textAlignment w:val="auto"/>
              <w:rPr>
                <w:rFonts w:eastAsiaTheme="minorHAnsi"/>
                <w:bCs/>
                <w:iCs/>
                <w:kern w:val="24"/>
                <w:sz w:val="20"/>
                <w:szCs w:val="20"/>
                <w:lang w:eastAsia="en-US" w:bidi="ar-SA"/>
              </w:rPr>
            </w:pPr>
            <w:r w:rsidRPr="001C7FE0">
              <w:rPr>
                <w:rFonts w:eastAsiaTheme="minorHAnsi"/>
                <w:bCs/>
                <w:iCs/>
                <w:kern w:val="24"/>
                <w:sz w:val="20"/>
                <w:szCs w:val="20"/>
                <w:lang w:val="en-US" w:eastAsia="en-US" w:bidi="ar-SA"/>
              </w:rPr>
              <w:t xml:space="preserve">Показатељ </w:t>
            </w:r>
            <w:r w:rsidRPr="001C7FE0">
              <w:rPr>
                <w:rFonts w:eastAsiaTheme="minorHAnsi"/>
                <w:bCs/>
                <w:iCs/>
                <w:kern w:val="24"/>
                <w:sz w:val="20"/>
                <w:szCs w:val="20"/>
                <w:lang w:eastAsia="en-US" w:bidi="ar-SA"/>
              </w:rPr>
              <w:t>резултата</w:t>
            </w:r>
          </w:p>
        </w:tc>
      </w:tr>
      <w:tr w:rsidR="001C7FE0" w:rsidRPr="001C7FE0" w14:paraId="2513EFF1" w14:textId="77777777" w:rsidTr="001C7FE0">
        <w:trPr>
          <w:trHeight w:val="373"/>
          <w:jc w:val="center"/>
        </w:trPr>
        <w:tc>
          <w:tcPr>
            <w:tcW w:w="1286" w:type="pct"/>
            <w:shd w:val="clear" w:color="auto" w:fill="auto"/>
          </w:tcPr>
          <w:p w14:paraId="5016E2B0" w14:textId="77777777" w:rsidR="001C7FE0" w:rsidRPr="001C7FE0" w:rsidRDefault="001C7FE0" w:rsidP="001C7FE0">
            <w:pPr>
              <w:suppressAutoHyphens w:val="0"/>
              <w:autoSpaceDN/>
              <w:spacing w:before="50" w:after="50"/>
              <w:ind w:firstLine="0"/>
              <w:jc w:val="left"/>
              <w:textAlignment w:val="auto"/>
              <w:rPr>
                <w:rFonts w:eastAsiaTheme="minorHAnsi"/>
                <w:b/>
                <w:kern w:val="24"/>
                <w:sz w:val="20"/>
                <w:szCs w:val="20"/>
                <w:lang w:val="en-US" w:eastAsia="en-US" w:bidi="ar-SA"/>
              </w:rPr>
            </w:pPr>
            <w:r w:rsidRPr="001C7FE0">
              <w:rPr>
                <w:rFonts w:eastAsiaTheme="minorHAnsi"/>
                <w:b/>
                <w:kern w:val="24"/>
                <w:sz w:val="20"/>
                <w:szCs w:val="20"/>
                <w:lang w:val="en-US" w:eastAsia="en-US" w:bidi="ar-SA"/>
              </w:rPr>
              <w:t>Јединица мере и природа</w:t>
            </w:r>
          </w:p>
        </w:tc>
        <w:tc>
          <w:tcPr>
            <w:tcW w:w="1857" w:type="pct"/>
            <w:gridSpan w:val="6"/>
            <w:shd w:val="clear" w:color="auto" w:fill="FFFFFF" w:themeFill="background1"/>
          </w:tcPr>
          <w:p w14:paraId="190363AA" w14:textId="77777777" w:rsidR="001C7FE0" w:rsidRPr="001C7FE0" w:rsidRDefault="001C7FE0" w:rsidP="001C7FE0">
            <w:pPr>
              <w:tabs>
                <w:tab w:val="left" w:pos="152"/>
              </w:tabs>
              <w:suppressAutoHyphens w:val="0"/>
              <w:autoSpaceDN/>
              <w:spacing w:before="50" w:after="50"/>
              <w:ind w:firstLine="0"/>
              <w:jc w:val="left"/>
              <w:textAlignment w:val="auto"/>
              <w:rPr>
                <w:rFonts w:eastAsiaTheme="minorHAnsi"/>
                <w:iCs/>
                <w:kern w:val="0"/>
                <w:sz w:val="20"/>
                <w:szCs w:val="20"/>
                <w:lang w:val="en-US" w:eastAsia="en-US" w:bidi="ar-SA"/>
              </w:rPr>
            </w:pPr>
            <w:r w:rsidRPr="001C7FE0">
              <w:rPr>
                <w:rFonts w:eastAsiaTheme="minorHAnsi"/>
                <w:color w:val="000000"/>
                <w:kern w:val="0"/>
                <w:sz w:val="20"/>
                <w:szCs w:val="20"/>
                <w:lang w:eastAsia="en-US" w:bidi="ar-SA"/>
              </w:rPr>
              <w:t>Број</w:t>
            </w:r>
          </w:p>
        </w:tc>
        <w:tc>
          <w:tcPr>
            <w:tcW w:w="1857" w:type="pct"/>
            <w:gridSpan w:val="7"/>
            <w:shd w:val="clear" w:color="auto" w:fill="FFFFFF" w:themeFill="background1"/>
          </w:tcPr>
          <w:p w14:paraId="32132F8D" w14:textId="77777777" w:rsidR="001C7FE0" w:rsidRPr="001C7FE0" w:rsidRDefault="001C7FE0" w:rsidP="001C7FE0">
            <w:pPr>
              <w:suppressAutoHyphens w:val="0"/>
              <w:autoSpaceDN/>
              <w:spacing w:before="0" w:after="0"/>
              <w:ind w:firstLine="0"/>
              <w:jc w:val="left"/>
              <w:textAlignment w:val="auto"/>
              <w:rPr>
                <w:rFonts w:eastAsia="Arial"/>
                <w:iCs/>
                <w:color w:val="000000" w:themeColor="dark1"/>
                <w:spacing w:val="-1"/>
                <w:kern w:val="24"/>
                <w:sz w:val="20"/>
                <w:szCs w:val="20"/>
                <w:lang w:val="en-US" w:eastAsia="en-US" w:bidi="ar-SA"/>
              </w:rPr>
            </w:pPr>
            <w:r w:rsidRPr="001C7FE0">
              <w:rPr>
                <w:rFonts w:eastAsia="Arial"/>
                <w:iCs/>
                <w:color w:val="000000" w:themeColor="dark1"/>
                <w:spacing w:val="-1"/>
                <w:kern w:val="24"/>
                <w:sz w:val="20"/>
                <w:szCs w:val="20"/>
                <w:lang w:val="en-US" w:eastAsia="en-US" w:bidi="ar-SA"/>
              </w:rPr>
              <w:t>Пожељна је већа вредност</w:t>
            </w:r>
          </w:p>
        </w:tc>
      </w:tr>
      <w:tr w:rsidR="001C7FE0" w:rsidRPr="001C7FE0" w14:paraId="63E81066" w14:textId="77777777" w:rsidTr="001C7FE0">
        <w:trPr>
          <w:jc w:val="center"/>
        </w:trPr>
        <w:tc>
          <w:tcPr>
            <w:tcW w:w="1286" w:type="pct"/>
            <w:shd w:val="clear" w:color="auto" w:fill="auto"/>
          </w:tcPr>
          <w:p w14:paraId="08E8C17A" w14:textId="77777777" w:rsidR="001C7FE0" w:rsidRPr="00065AE4" w:rsidRDefault="001C7FE0" w:rsidP="001C7FE0">
            <w:pPr>
              <w:suppressAutoHyphens w:val="0"/>
              <w:autoSpaceDN/>
              <w:spacing w:before="50" w:after="5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Извор података за праћење показатеља учинка</w:t>
            </w:r>
          </w:p>
        </w:tc>
        <w:tc>
          <w:tcPr>
            <w:tcW w:w="3714" w:type="pct"/>
            <w:gridSpan w:val="13"/>
            <w:shd w:val="clear" w:color="auto" w:fill="FFFFFF" w:themeFill="background1"/>
          </w:tcPr>
          <w:p w14:paraId="64531F63" w14:textId="77777777" w:rsidR="001C7FE0" w:rsidRPr="001C7FE0" w:rsidRDefault="001C7FE0" w:rsidP="001C7FE0">
            <w:pPr>
              <w:suppressAutoHyphens w:val="0"/>
              <w:autoSpaceDN/>
              <w:spacing w:before="0" w:after="134"/>
              <w:ind w:firstLine="0"/>
              <w:jc w:val="left"/>
              <w:textAlignment w:val="auto"/>
              <w:rPr>
                <w:rFonts w:eastAsiaTheme="minorHAnsi"/>
                <w:kern w:val="0"/>
                <w:sz w:val="20"/>
                <w:szCs w:val="20"/>
                <w:lang w:eastAsia="en-US" w:bidi="ar-SA"/>
              </w:rPr>
            </w:pPr>
            <w:r w:rsidRPr="001C7FE0">
              <w:rPr>
                <w:rFonts w:eastAsiaTheme="minorHAnsi"/>
                <w:color w:val="000000"/>
                <w:kern w:val="24"/>
                <w:sz w:val="20"/>
                <w:szCs w:val="20"/>
                <w:lang w:eastAsia="en-GB" w:bidi="ar-SA"/>
              </w:rPr>
              <w:t>https://monitoring.mduls.gov.</w:t>
            </w:r>
          </w:p>
        </w:tc>
      </w:tr>
      <w:tr w:rsidR="001C7FE0" w:rsidRPr="001C7FE0" w14:paraId="5DEFA9B7" w14:textId="77777777" w:rsidTr="001C7FE0">
        <w:trPr>
          <w:jc w:val="center"/>
        </w:trPr>
        <w:tc>
          <w:tcPr>
            <w:tcW w:w="1286" w:type="pct"/>
            <w:shd w:val="clear" w:color="auto" w:fill="auto"/>
          </w:tcPr>
          <w:p w14:paraId="58CA076C" w14:textId="77777777" w:rsidR="001C7FE0" w:rsidRPr="001C7FE0" w:rsidRDefault="001C7FE0" w:rsidP="001C7FE0">
            <w:pPr>
              <w:suppressAutoHyphens w:val="0"/>
              <w:autoSpaceDN/>
              <w:spacing w:before="50" w:after="50"/>
              <w:ind w:firstLine="0"/>
              <w:jc w:val="left"/>
              <w:textAlignment w:val="auto"/>
              <w:rPr>
                <w:rFonts w:eastAsiaTheme="minorHAnsi"/>
                <w:b/>
                <w:bCs/>
                <w:kern w:val="0"/>
                <w:sz w:val="20"/>
                <w:szCs w:val="20"/>
                <w:lang w:val="en-US" w:eastAsia="en-US" w:bidi="ar-SA"/>
              </w:rPr>
            </w:pPr>
            <w:r w:rsidRPr="001C7FE0">
              <w:rPr>
                <w:rFonts w:eastAsiaTheme="minorHAnsi"/>
                <w:b/>
                <w:bCs/>
                <w:kern w:val="0"/>
                <w:sz w:val="20"/>
                <w:szCs w:val="20"/>
                <w:lang w:val="en-US" w:eastAsia="en-US" w:bidi="ar-SA"/>
              </w:rPr>
              <w:t>Назив носиоца прикупљања података</w:t>
            </w:r>
          </w:p>
        </w:tc>
        <w:tc>
          <w:tcPr>
            <w:tcW w:w="3714" w:type="pct"/>
            <w:gridSpan w:val="13"/>
            <w:shd w:val="clear" w:color="auto" w:fill="FFFFFF" w:themeFill="background1"/>
          </w:tcPr>
          <w:p w14:paraId="598BA96D" w14:textId="77777777" w:rsidR="001C7FE0" w:rsidRPr="001C7FE0" w:rsidRDefault="001C7FE0" w:rsidP="001C7FE0">
            <w:pPr>
              <w:suppressAutoHyphens w:val="0"/>
              <w:autoSpaceDN/>
              <w:spacing w:before="50" w:after="50"/>
              <w:ind w:firstLine="0"/>
              <w:jc w:val="left"/>
              <w:textAlignment w:val="auto"/>
              <w:rPr>
                <w:rFonts w:eastAsiaTheme="minorHAnsi"/>
                <w:kern w:val="0"/>
                <w:sz w:val="20"/>
                <w:szCs w:val="20"/>
                <w:lang w:val="en-US" w:eastAsia="en-US" w:bidi="ar-SA"/>
              </w:rPr>
            </w:pPr>
            <w:r w:rsidRPr="001C7FE0">
              <w:rPr>
                <w:rFonts w:eastAsiaTheme="minorHAnsi"/>
                <w:kern w:val="0"/>
                <w:sz w:val="20"/>
                <w:szCs w:val="20"/>
                <w:lang w:val="en-US" w:eastAsia="en-US" w:bidi="ar-SA"/>
              </w:rPr>
              <w:t xml:space="preserve">МДУЛС </w:t>
            </w:r>
          </w:p>
        </w:tc>
      </w:tr>
      <w:tr w:rsidR="001C7FE0" w:rsidRPr="001C7FE0" w14:paraId="18CB9B60" w14:textId="77777777" w:rsidTr="001C7FE0">
        <w:trPr>
          <w:jc w:val="center"/>
        </w:trPr>
        <w:tc>
          <w:tcPr>
            <w:tcW w:w="1286" w:type="pct"/>
            <w:shd w:val="clear" w:color="auto" w:fill="auto"/>
          </w:tcPr>
          <w:p w14:paraId="4E4EB9A1" w14:textId="77777777" w:rsidR="001C7FE0" w:rsidRPr="001C7FE0" w:rsidRDefault="001C7FE0" w:rsidP="001C7FE0">
            <w:pPr>
              <w:suppressAutoHyphens w:val="0"/>
              <w:autoSpaceDN/>
              <w:spacing w:before="50" w:after="50"/>
              <w:ind w:firstLine="0"/>
              <w:jc w:val="left"/>
              <w:textAlignment w:val="auto"/>
              <w:rPr>
                <w:rFonts w:eastAsiaTheme="minorHAnsi"/>
                <w:b/>
                <w:bCs/>
                <w:kern w:val="0"/>
                <w:sz w:val="20"/>
                <w:szCs w:val="20"/>
                <w:lang w:val="en-US" w:eastAsia="en-US" w:bidi="ar-SA"/>
              </w:rPr>
            </w:pPr>
            <w:r w:rsidRPr="001C7FE0">
              <w:rPr>
                <w:rFonts w:eastAsiaTheme="minorHAnsi"/>
                <w:b/>
                <w:bCs/>
                <w:kern w:val="0"/>
                <w:sz w:val="20"/>
                <w:szCs w:val="20"/>
                <w:lang w:val="en-US" w:eastAsia="en-US" w:bidi="ar-SA"/>
              </w:rPr>
              <w:t>Учесталост прикупљања података</w:t>
            </w:r>
          </w:p>
        </w:tc>
        <w:tc>
          <w:tcPr>
            <w:tcW w:w="3714" w:type="pct"/>
            <w:gridSpan w:val="13"/>
            <w:shd w:val="clear" w:color="auto" w:fill="FFFFFF" w:themeFill="background1"/>
          </w:tcPr>
          <w:p w14:paraId="3D3441C3" w14:textId="77777777" w:rsidR="001C7FE0" w:rsidRPr="001C7FE0" w:rsidRDefault="001C7FE0" w:rsidP="001C7FE0">
            <w:pPr>
              <w:suppressAutoHyphens w:val="0"/>
              <w:autoSpaceDN/>
              <w:spacing w:before="50" w:after="50"/>
              <w:ind w:firstLine="0"/>
              <w:jc w:val="left"/>
              <w:textAlignment w:val="auto"/>
              <w:rPr>
                <w:rFonts w:eastAsiaTheme="minorHAnsi"/>
                <w:kern w:val="0"/>
                <w:sz w:val="20"/>
                <w:szCs w:val="20"/>
                <w:lang w:val="en-US" w:eastAsia="en-US" w:bidi="ar-SA"/>
              </w:rPr>
            </w:pPr>
            <w:r w:rsidRPr="001C7FE0">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1C7FE0" w:rsidRPr="001C7FE0" w14:paraId="188901C8" w14:textId="77777777" w:rsidTr="001C7FE0">
        <w:trPr>
          <w:trHeight w:val="274"/>
          <w:jc w:val="center"/>
        </w:trPr>
        <w:tc>
          <w:tcPr>
            <w:tcW w:w="1286" w:type="pct"/>
            <w:shd w:val="clear" w:color="auto" w:fill="auto"/>
          </w:tcPr>
          <w:p w14:paraId="56147AEE" w14:textId="77777777" w:rsidR="001C7FE0" w:rsidRPr="00065AE4" w:rsidRDefault="001C7FE0" w:rsidP="001C7FE0">
            <w:pPr>
              <w:suppressAutoHyphens w:val="0"/>
              <w:autoSpaceDN/>
              <w:spacing w:before="50" w:after="50"/>
              <w:ind w:firstLine="0"/>
              <w:jc w:val="left"/>
              <w:textAlignment w:val="auto"/>
              <w:rPr>
                <w:rFonts w:eastAsiaTheme="minorHAnsi"/>
                <w:b/>
                <w:kern w:val="0"/>
                <w:sz w:val="20"/>
                <w:szCs w:val="20"/>
                <w:lang w:eastAsia="en-US" w:bidi="ar-SA"/>
              </w:rPr>
            </w:pPr>
            <w:r w:rsidRPr="00065AE4">
              <w:rPr>
                <w:rFonts w:eastAsiaTheme="minorHAnsi"/>
                <w:b/>
                <w:kern w:val="0"/>
                <w:sz w:val="20"/>
                <w:szCs w:val="20"/>
                <w:lang w:eastAsia="en-US" w:bidi="ar-SA"/>
              </w:rPr>
              <w:t>Кратак опис показатеља и методологије израчунавања</w:t>
            </w:r>
          </w:p>
          <w:p w14:paraId="6ABCDA1E" w14:textId="77777777" w:rsidR="001C7FE0" w:rsidRPr="001C7FE0" w:rsidRDefault="001C7FE0" w:rsidP="001C7FE0">
            <w:pPr>
              <w:suppressAutoHyphens w:val="0"/>
              <w:autoSpaceDN/>
              <w:spacing w:before="50" w:after="50"/>
              <w:ind w:firstLine="0"/>
              <w:jc w:val="left"/>
              <w:textAlignment w:val="auto"/>
              <w:rPr>
                <w:rFonts w:eastAsiaTheme="minorHAnsi"/>
                <w:b/>
                <w:bCs/>
                <w:kern w:val="0"/>
                <w:sz w:val="20"/>
                <w:szCs w:val="20"/>
                <w:lang w:val="en-US" w:eastAsia="en-US" w:bidi="ar-SA"/>
              </w:rPr>
            </w:pPr>
            <w:r w:rsidRPr="001C7FE0">
              <w:rPr>
                <w:rFonts w:eastAsiaTheme="minorHAnsi"/>
                <w:b/>
                <w:kern w:val="0"/>
                <w:sz w:val="20"/>
                <w:szCs w:val="20"/>
                <w:lang w:val="en-US" w:eastAsia="en-US" w:bidi="ar-SA"/>
              </w:rPr>
              <w:t>(формуле/ једначине)</w:t>
            </w:r>
          </w:p>
        </w:tc>
        <w:tc>
          <w:tcPr>
            <w:tcW w:w="3714" w:type="pct"/>
            <w:gridSpan w:val="13"/>
            <w:shd w:val="clear" w:color="auto" w:fill="FFFFFF" w:themeFill="background1"/>
          </w:tcPr>
          <w:p w14:paraId="6A08B30C" w14:textId="77777777" w:rsidR="001C7FE0" w:rsidRPr="001C7FE0" w:rsidRDefault="001C7FE0" w:rsidP="001C7FE0">
            <w:pPr>
              <w:suppressAutoHyphens w:val="0"/>
              <w:autoSpaceDN/>
              <w:spacing w:before="0" w:after="0"/>
              <w:ind w:firstLine="0"/>
              <w:textAlignment w:val="auto"/>
              <w:rPr>
                <w:rFonts w:eastAsiaTheme="minorHAnsi"/>
                <w:color w:val="000000"/>
                <w:kern w:val="24"/>
                <w:sz w:val="20"/>
                <w:szCs w:val="20"/>
                <w:lang w:eastAsia="en-GB" w:bidi="ar-SA"/>
              </w:rPr>
            </w:pPr>
            <w:r w:rsidRPr="001C7FE0">
              <w:rPr>
                <w:rFonts w:eastAsiaTheme="minorHAnsi"/>
                <w:color w:val="000000"/>
                <w:kern w:val="24"/>
                <w:sz w:val="20"/>
                <w:szCs w:val="20"/>
                <w:lang w:eastAsia="en-GB" w:bidi="ar-SA"/>
              </w:rPr>
              <w:t>Вредност показатеља ће се утврдити у складу са тим да ли документ јавне политике за приказ резултата користи ОМТ. Ради се о 5 подређених докумената јавних политика који ће следећим редоследом да почну са употребом ОМТ:</w:t>
            </w:r>
          </w:p>
          <w:p w14:paraId="6AC9C0C1" w14:textId="77777777" w:rsidR="001C7FE0" w:rsidRPr="001C7FE0" w:rsidRDefault="001C7FE0" w:rsidP="001C7FE0">
            <w:pPr>
              <w:suppressAutoHyphens w:val="0"/>
              <w:autoSpaceDN/>
              <w:spacing w:before="0" w:after="0"/>
              <w:ind w:firstLine="0"/>
              <w:textAlignment w:val="auto"/>
              <w:rPr>
                <w:rFonts w:eastAsiaTheme="minorHAnsi"/>
                <w:color w:val="000000"/>
                <w:kern w:val="24"/>
                <w:sz w:val="20"/>
                <w:szCs w:val="20"/>
                <w:lang w:eastAsia="en-GB" w:bidi="ar-SA"/>
              </w:rPr>
            </w:pPr>
            <w:r w:rsidRPr="001C7FE0">
              <w:rPr>
                <w:rFonts w:eastAsiaTheme="minorHAnsi"/>
                <w:color w:val="000000"/>
                <w:kern w:val="24"/>
                <w:sz w:val="20"/>
                <w:szCs w:val="20"/>
                <w:lang w:eastAsia="en-GB" w:bidi="ar-SA"/>
              </w:rPr>
              <w:t>АП за спровођење Стратегије РЈУ</w:t>
            </w:r>
          </w:p>
          <w:p w14:paraId="58F48D72" w14:textId="77777777" w:rsidR="001C7FE0" w:rsidRPr="001C7FE0" w:rsidRDefault="001C7FE0" w:rsidP="001C7FE0">
            <w:pPr>
              <w:suppressAutoHyphens w:val="0"/>
              <w:autoSpaceDN/>
              <w:spacing w:before="0" w:after="0"/>
              <w:ind w:firstLine="0"/>
              <w:textAlignment w:val="auto"/>
              <w:rPr>
                <w:rFonts w:eastAsiaTheme="minorHAnsi"/>
                <w:color w:val="000000"/>
                <w:kern w:val="24"/>
                <w:sz w:val="20"/>
                <w:szCs w:val="20"/>
                <w:lang w:eastAsia="en-GB" w:bidi="ar-SA"/>
              </w:rPr>
            </w:pPr>
            <w:r w:rsidRPr="001C7FE0">
              <w:rPr>
                <w:rFonts w:eastAsiaTheme="minorHAnsi"/>
                <w:color w:val="000000"/>
                <w:kern w:val="24"/>
                <w:sz w:val="20"/>
                <w:szCs w:val="20"/>
                <w:lang w:eastAsia="en-GB" w:bidi="ar-SA"/>
              </w:rPr>
              <w:t>АП за спровођење Програма за управљање јавним политикама и регулаторном реформом</w:t>
            </w:r>
          </w:p>
          <w:p w14:paraId="38E32675" w14:textId="77777777" w:rsidR="001C7FE0" w:rsidRPr="001C7FE0" w:rsidRDefault="001C7FE0" w:rsidP="001C7FE0">
            <w:pPr>
              <w:suppressAutoHyphens w:val="0"/>
              <w:autoSpaceDN/>
              <w:spacing w:before="0" w:after="0"/>
              <w:ind w:firstLine="0"/>
              <w:textAlignment w:val="auto"/>
              <w:rPr>
                <w:rFonts w:eastAsiaTheme="minorHAnsi"/>
                <w:color w:val="000000"/>
                <w:kern w:val="24"/>
                <w:sz w:val="20"/>
                <w:szCs w:val="20"/>
                <w:lang w:eastAsia="en-GB" w:bidi="ar-SA"/>
              </w:rPr>
            </w:pPr>
            <w:r w:rsidRPr="001C7FE0">
              <w:rPr>
                <w:rFonts w:eastAsiaTheme="minorHAnsi"/>
                <w:color w:val="000000"/>
                <w:kern w:val="24"/>
                <w:sz w:val="20"/>
                <w:szCs w:val="20"/>
                <w:lang w:eastAsia="en-GB" w:bidi="ar-SA"/>
              </w:rPr>
              <w:t>АП за спровођење Програма електронске управе</w:t>
            </w:r>
          </w:p>
          <w:p w14:paraId="7D471A63" w14:textId="77777777" w:rsidR="001C7FE0" w:rsidRPr="001C7FE0" w:rsidRDefault="001C7FE0" w:rsidP="001C7FE0">
            <w:pPr>
              <w:suppressAutoHyphens w:val="0"/>
              <w:autoSpaceDN/>
              <w:spacing w:before="0" w:after="0"/>
              <w:ind w:firstLine="0"/>
              <w:textAlignment w:val="auto"/>
              <w:rPr>
                <w:rFonts w:eastAsiaTheme="minorHAnsi"/>
                <w:color w:val="000000"/>
                <w:kern w:val="24"/>
                <w:sz w:val="20"/>
                <w:szCs w:val="20"/>
                <w:lang w:eastAsia="en-GB" w:bidi="ar-SA"/>
              </w:rPr>
            </w:pPr>
            <w:r w:rsidRPr="001C7FE0">
              <w:rPr>
                <w:rFonts w:eastAsiaTheme="minorHAnsi"/>
                <w:color w:val="000000"/>
                <w:kern w:val="24"/>
                <w:sz w:val="20"/>
                <w:szCs w:val="20"/>
                <w:lang w:eastAsia="en-GB" w:bidi="ar-SA"/>
              </w:rPr>
              <w:t>АП за спровођење Програма реформе система локалне самоуправе</w:t>
            </w:r>
          </w:p>
          <w:p w14:paraId="2BCC3789" w14:textId="77777777" w:rsidR="001C7FE0" w:rsidRPr="001C7FE0" w:rsidRDefault="001C7FE0" w:rsidP="001C7FE0">
            <w:pPr>
              <w:suppressAutoHyphens w:val="0"/>
              <w:autoSpaceDN/>
              <w:spacing w:before="0" w:after="0"/>
              <w:ind w:firstLine="0"/>
              <w:textAlignment w:val="auto"/>
              <w:rPr>
                <w:rFonts w:eastAsiaTheme="minorHAnsi"/>
                <w:color w:val="000000"/>
                <w:kern w:val="24"/>
                <w:sz w:val="20"/>
                <w:szCs w:val="20"/>
                <w:lang w:eastAsia="en-GB" w:bidi="ar-SA"/>
              </w:rPr>
            </w:pPr>
            <w:r w:rsidRPr="001C7FE0">
              <w:rPr>
                <w:rFonts w:eastAsiaTheme="minorHAnsi"/>
                <w:color w:val="000000"/>
                <w:kern w:val="24"/>
                <w:sz w:val="20"/>
                <w:szCs w:val="20"/>
                <w:lang w:eastAsia="en-GB" w:bidi="ar-SA"/>
              </w:rPr>
              <w:t>АП за спровођење Програма реформе управљања јавним финансијама</w:t>
            </w:r>
          </w:p>
          <w:p w14:paraId="547B4814" w14:textId="77777777" w:rsidR="001C7FE0" w:rsidRPr="001C7FE0" w:rsidRDefault="001C7FE0" w:rsidP="001C7FE0">
            <w:pPr>
              <w:suppressAutoHyphens w:val="0"/>
              <w:autoSpaceDN/>
              <w:spacing w:before="60" w:beforeAutospacing="1" w:after="0"/>
              <w:ind w:firstLine="0"/>
              <w:textAlignment w:val="auto"/>
              <w:rPr>
                <w:rFonts w:eastAsiaTheme="minorHAnsi"/>
                <w:color w:val="000000"/>
                <w:kern w:val="24"/>
                <w:sz w:val="20"/>
                <w:szCs w:val="20"/>
                <w:lang w:eastAsia="en-GB" w:bidi="ar-SA"/>
              </w:rPr>
            </w:pPr>
            <w:r w:rsidRPr="001C7FE0">
              <w:rPr>
                <w:rFonts w:eastAsiaTheme="minorHAnsi"/>
                <w:color w:val="000000"/>
                <w:kern w:val="24"/>
                <w:sz w:val="20"/>
                <w:szCs w:val="20"/>
                <w:lang w:eastAsia="en-GB" w:bidi="ar-SA"/>
              </w:rPr>
              <w:t>Прост збир документа јавних политика</w:t>
            </w:r>
          </w:p>
        </w:tc>
      </w:tr>
      <w:tr w:rsidR="001C7FE0" w:rsidRPr="001C7FE0" w14:paraId="3C27A523" w14:textId="77777777" w:rsidTr="001C7FE0">
        <w:trPr>
          <w:trHeight w:val="265"/>
          <w:jc w:val="center"/>
        </w:trPr>
        <w:tc>
          <w:tcPr>
            <w:tcW w:w="1286" w:type="pct"/>
            <w:vMerge w:val="restart"/>
            <w:shd w:val="clear" w:color="auto" w:fill="auto"/>
          </w:tcPr>
          <w:p w14:paraId="5B161951" w14:textId="77777777" w:rsidR="001C7FE0" w:rsidRPr="001C7FE0" w:rsidRDefault="001C7FE0" w:rsidP="001C7FE0">
            <w:pPr>
              <w:suppressAutoHyphens w:val="0"/>
              <w:autoSpaceDN/>
              <w:spacing w:before="50" w:after="0"/>
              <w:ind w:firstLine="0"/>
              <w:jc w:val="left"/>
              <w:textAlignment w:val="auto"/>
              <w:rPr>
                <w:rFonts w:eastAsiaTheme="minorHAnsi"/>
                <w:b/>
                <w:bCs/>
                <w:kern w:val="0"/>
                <w:sz w:val="20"/>
                <w:szCs w:val="20"/>
                <w:lang w:val="sr-Latn-RS" w:eastAsia="en-US" w:bidi="ar-SA"/>
              </w:rPr>
            </w:pPr>
            <w:r w:rsidRPr="001C7FE0">
              <w:rPr>
                <w:rFonts w:eastAsiaTheme="minorHAnsi"/>
                <w:b/>
                <w:bCs/>
                <w:kern w:val="0"/>
                <w:sz w:val="20"/>
                <w:szCs w:val="20"/>
                <w:lang w:eastAsia="en-US" w:bidi="ar-SA"/>
              </w:rPr>
              <w:t>Подаци</w:t>
            </w:r>
            <w:r w:rsidRPr="001C7FE0">
              <w:rPr>
                <w:rFonts w:eastAsiaTheme="minorHAnsi"/>
                <w:b/>
                <w:bCs/>
                <w:kern w:val="0"/>
                <w:sz w:val="20"/>
                <w:szCs w:val="20"/>
                <w:lang w:val="sr-Latn-RS" w:eastAsia="en-US" w:bidi="ar-SA"/>
              </w:rPr>
              <w:t xml:space="preserve"> </w:t>
            </w:r>
            <w:r w:rsidRPr="001C7FE0">
              <w:rPr>
                <w:rFonts w:eastAsiaTheme="minorHAnsi"/>
                <w:b/>
                <w:bCs/>
                <w:kern w:val="0"/>
                <w:sz w:val="20"/>
                <w:szCs w:val="20"/>
                <w:lang w:eastAsia="en-US" w:bidi="ar-SA"/>
              </w:rPr>
              <w:t>о</w:t>
            </w:r>
            <w:r w:rsidRPr="001C7FE0">
              <w:rPr>
                <w:rFonts w:eastAsiaTheme="minorHAnsi"/>
                <w:b/>
                <w:bCs/>
                <w:kern w:val="0"/>
                <w:sz w:val="20"/>
                <w:szCs w:val="20"/>
                <w:lang w:val="sr-Latn-RS" w:eastAsia="en-US" w:bidi="ar-SA"/>
              </w:rPr>
              <w:t xml:space="preserve"> </w:t>
            </w:r>
            <w:r w:rsidRPr="001C7FE0">
              <w:rPr>
                <w:rFonts w:eastAsiaTheme="minorHAnsi"/>
                <w:b/>
                <w:bCs/>
                <w:kern w:val="0"/>
                <w:sz w:val="20"/>
                <w:szCs w:val="20"/>
                <w:lang w:eastAsia="en-US" w:bidi="ar-SA"/>
              </w:rPr>
              <w:t>полазној</w:t>
            </w:r>
            <w:r w:rsidRPr="001C7FE0">
              <w:rPr>
                <w:rFonts w:eastAsiaTheme="minorHAnsi"/>
                <w:b/>
                <w:bCs/>
                <w:kern w:val="0"/>
                <w:sz w:val="20"/>
                <w:szCs w:val="20"/>
                <w:lang w:val="sr-Latn-RS" w:eastAsia="en-US" w:bidi="ar-SA"/>
              </w:rPr>
              <w:t xml:space="preserve"> </w:t>
            </w:r>
            <w:r w:rsidRPr="001C7FE0">
              <w:rPr>
                <w:rFonts w:eastAsiaTheme="minorHAnsi"/>
                <w:b/>
                <w:bCs/>
                <w:kern w:val="0"/>
                <w:sz w:val="20"/>
                <w:szCs w:val="20"/>
                <w:lang w:eastAsia="en-US" w:bidi="ar-SA"/>
              </w:rPr>
              <w:t>вредности</w:t>
            </w:r>
            <w:r w:rsidRPr="001C7FE0">
              <w:rPr>
                <w:rFonts w:eastAsiaTheme="minorHAnsi"/>
                <w:b/>
                <w:bCs/>
                <w:kern w:val="0"/>
                <w:sz w:val="20"/>
                <w:szCs w:val="20"/>
                <w:lang w:val="sr-Latn-RS" w:eastAsia="en-US" w:bidi="ar-SA"/>
              </w:rPr>
              <w:t xml:space="preserve"> </w:t>
            </w:r>
            <w:r w:rsidRPr="001C7FE0">
              <w:rPr>
                <w:rFonts w:eastAsiaTheme="minorHAnsi"/>
                <w:b/>
                <w:bCs/>
                <w:kern w:val="0"/>
                <w:sz w:val="20"/>
                <w:szCs w:val="20"/>
                <w:lang w:eastAsia="en-US" w:bidi="ar-SA"/>
              </w:rPr>
              <w:t>и</w:t>
            </w:r>
            <w:r w:rsidRPr="001C7FE0">
              <w:rPr>
                <w:rFonts w:eastAsiaTheme="minorHAnsi"/>
                <w:b/>
                <w:bCs/>
                <w:kern w:val="0"/>
                <w:sz w:val="20"/>
                <w:szCs w:val="20"/>
                <w:lang w:val="sr-Latn-RS" w:eastAsia="en-US" w:bidi="ar-SA"/>
              </w:rPr>
              <w:t xml:space="preserve"> </w:t>
            </w:r>
            <w:r w:rsidRPr="001C7FE0">
              <w:rPr>
                <w:rFonts w:eastAsiaTheme="minorHAnsi"/>
                <w:b/>
                <w:bCs/>
                <w:kern w:val="0"/>
                <w:sz w:val="20"/>
                <w:szCs w:val="20"/>
                <w:lang w:eastAsia="en-US" w:bidi="ar-SA"/>
              </w:rPr>
              <w:t>години</w:t>
            </w:r>
            <w:r w:rsidRPr="001C7FE0">
              <w:rPr>
                <w:rFonts w:eastAsiaTheme="minorHAnsi"/>
                <w:b/>
                <w:bCs/>
                <w:kern w:val="0"/>
                <w:sz w:val="20"/>
                <w:szCs w:val="20"/>
                <w:lang w:val="sr-Latn-RS" w:eastAsia="en-US" w:bidi="ar-SA"/>
              </w:rPr>
              <w:t xml:space="preserve"> </w:t>
            </w:r>
            <w:r w:rsidRPr="001C7FE0">
              <w:rPr>
                <w:rFonts w:eastAsiaTheme="minorHAnsi"/>
                <w:b/>
                <w:bCs/>
                <w:kern w:val="0"/>
                <w:sz w:val="20"/>
                <w:szCs w:val="20"/>
                <w:lang w:eastAsia="en-US" w:bidi="ar-SA"/>
              </w:rPr>
              <w:t>кад</w:t>
            </w:r>
            <w:r w:rsidRPr="001C7FE0">
              <w:rPr>
                <w:rFonts w:eastAsiaTheme="minorHAnsi"/>
                <w:b/>
                <w:bCs/>
                <w:kern w:val="0"/>
                <w:sz w:val="20"/>
                <w:szCs w:val="20"/>
                <w:lang w:val="sr-Latn-RS" w:eastAsia="en-US" w:bidi="ar-SA"/>
              </w:rPr>
              <w:t xml:space="preserve"> </w:t>
            </w:r>
            <w:r w:rsidRPr="001C7FE0">
              <w:rPr>
                <w:rFonts w:eastAsiaTheme="minorHAnsi"/>
                <w:b/>
                <w:bCs/>
                <w:kern w:val="0"/>
                <w:sz w:val="20"/>
                <w:szCs w:val="20"/>
                <w:lang w:eastAsia="en-US" w:bidi="ar-SA"/>
              </w:rPr>
              <w:t>је</w:t>
            </w:r>
            <w:r w:rsidRPr="001C7FE0">
              <w:rPr>
                <w:rFonts w:eastAsiaTheme="minorHAnsi"/>
                <w:b/>
                <w:bCs/>
                <w:kern w:val="0"/>
                <w:sz w:val="20"/>
                <w:szCs w:val="20"/>
                <w:lang w:val="sr-Latn-RS" w:eastAsia="en-US" w:bidi="ar-SA"/>
              </w:rPr>
              <w:t xml:space="preserve"> </w:t>
            </w:r>
            <w:r w:rsidRPr="001C7FE0">
              <w:rPr>
                <w:rFonts w:eastAsiaTheme="minorHAnsi"/>
                <w:b/>
                <w:bCs/>
                <w:kern w:val="0"/>
                <w:sz w:val="20"/>
                <w:szCs w:val="20"/>
                <w:lang w:eastAsia="en-US" w:bidi="ar-SA"/>
              </w:rPr>
              <w:t>измерена</w:t>
            </w:r>
            <w:r w:rsidRPr="001C7FE0">
              <w:rPr>
                <w:rFonts w:eastAsiaTheme="minorHAnsi"/>
                <w:b/>
                <w:bCs/>
                <w:kern w:val="0"/>
                <w:sz w:val="20"/>
                <w:szCs w:val="20"/>
                <w:lang w:val="sr-Latn-RS" w:eastAsia="en-US" w:bidi="ar-SA"/>
              </w:rPr>
              <w:t xml:space="preserve">, </w:t>
            </w:r>
            <w:r w:rsidRPr="001C7FE0">
              <w:rPr>
                <w:rFonts w:eastAsiaTheme="minorHAnsi"/>
                <w:b/>
                <w:bCs/>
                <w:kern w:val="0"/>
                <w:sz w:val="20"/>
                <w:szCs w:val="20"/>
                <w:lang w:eastAsia="en-US" w:bidi="ar-SA"/>
              </w:rPr>
              <w:t>као</w:t>
            </w:r>
            <w:r w:rsidRPr="001C7FE0">
              <w:rPr>
                <w:rFonts w:eastAsiaTheme="minorHAnsi"/>
                <w:b/>
                <w:bCs/>
                <w:kern w:val="0"/>
                <w:sz w:val="20"/>
                <w:szCs w:val="20"/>
                <w:lang w:val="sr-Latn-RS" w:eastAsia="en-US" w:bidi="ar-SA"/>
              </w:rPr>
              <w:t xml:space="preserve"> </w:t>
            </w:r>
            <w:r w:rsidRPr="001C7FE0">
              <w:rPr>
                <w:rFonts w:eastAsiaTheme="minorHAnsi"/>
                <w:b/>
                <w:bCs/>
                <w:kern w:val="0"/>
                <w:sz w:val="20"/>
                <w:szCs w:val="20"/>
                <w:lang w:eastAsia="en-US" w:bidi="ar-SA"/>
              </w:rPr>
              <w:t>и</w:t>
            </w:r>
            <w:r w:rsidRPr="001C7FE0">
              <w:rPr>
                <w:rFonts w:eastAsiaTheme="minorHAnsi"/>
                <w:b/>
                <w:bCs/>
                <w:kern w:val="0"/>
                <w:sz w:val="20"/>
                <w:szCs w:val="20"/>
                <w:lang w:val="sr-Latn-RS" w:eastAsia="en-US" w:bidi="ar-SA"/>
              </w:rPr>
              <w:t xml:space="preserve"> </w:t>
            </w:r>
            <w:r w:rsidRPr="001C7FE0">
              <w:rPr>
                <w:rFonts w:eastAsiaTheme="minorHAnsi"/>
                <w:b/>
                <w:bCs/>
                <w:kern w:val="0"/>
                <w:sz w:val="20"/>
                <w:szCs w:val="20"/>
                <w:lang w:eastAsia="en-US" w:bidi="ar-SA"/>
              </w:rPr>
              <w:t>тренду</w:t>
            </w:r>
            <w:r w:rsidRPr="001C7FE0">
              <w:rPr>
                <w:rFonts w:eastAsiaTheme="minorHAnsi"/>
                <w:b/>
                <w:bCs/>
                <w:kern w:val="0"/>
                <w:sz w:val="20"/>
                <w:szCs w:val="20"/>
                <w:lang w:val="sr-Latn-RS" w:eastAsia="en-US" w:bidi="ar-SA"/>
              </w:rPr>
              <w:t xml:space="preserve"> </w:t>
            </w:r>
            <w:r w:rsidRPr="001C7FE0">
              <w:rPr>
                <w:rFonts w:eastAsiaTheme="minorHAnsi"/>
                <w:b/>
                <w:bCs/>
                <w:kern w:val="0"/>
                <w:sz w:val="20"/>
                <w:szCs w:val="20"/>
                <w:lang w:eastAsia="en-US" w:bidi="ar-SA"/>
              </w:rPr>
              <w:t>у</w:t>
            </w:r>
            <w:r w:rsidRPr="001C7FE0">
              <w:rPr>
                <w:rFonts w:eastAsiaTheme="minorHAnsi"/>
                <w:b/>
                <w:bCs/>
                <w:kern w:val="0"/>
                <w:sz w:val="20"/>
                <w:szCs w:val="20"/>
                <w:lang w:val="sr-Latn-RS" w:eastAsia="en-US" w:bidi="ar-SA"/>
              </w:rPr>
              <w:t xml:space="preserve"> </w:t>
            </w:r>
            <w:r w:rsidRPr="001C7FE0">
              <w:rPr>
                <w:rFonts w:eastAsiaTheme="minorHAnsi"/>
                <w:b/>
                <w:bCs/>
                <w:kern w:val="0"/>
                <w:sz w:val="20"/>
                <w:szCs w:val="20"/>
                <w:lang w:eastAsia="en-US" w:bidi="ar-SA"/>
              </w:rPr>
              <w:t>прошлости</w:t>
            </w:r>
          </w:p>
        </w:tc>
        <w:tc>
          <w:tcPr>
            <w:tcW w:w="2837" w:type="pct"/>
            <w:gridSpan w:val="10"/>
            <w:tcBorders>
              <w:bottom w:val="single" w:sz="4" w:space="0" w:color="auto"/>
            </w:tcBorders>
            <w:shd w:val="clear" w:color="auto" w:fill="FFFFFF" w:themeFill="background1"/>
            <w:vAlign w:val="center"/>
          </w:tcPr>
          <w:p w14:paraId="79D61316" w14:textId="77777777" w:rsidR="001C7FE0" w:rsidRPr="001C7FE0" w:rsidRDefault="001C7FE0" w:rsidP="001C7FE0">
            <w:pPr>
              <w:suppressAutoHyphens w:val="0"/>
              <w:autoSpaceDN/>
              <w:spacing w:before="0" w:after="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Тренд у прошлости</w:t>
            </w:r>
          </w:p>
        </w:tc>
        <w:tc>
          <w:tcPr>
            <w:tcW w:w="877" w:type="pct"/>
            <w:gridSpan w:val="3"/>
            <w:shd w:val="clear" w:color="auto" w:fill="FFFFFF" w:themeFill="background1"/>
            <w:vAlign w:val="center"/>
          </w:tcPr>
          <w:p w14:paraId="24A72AF4"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Полазна вредност</w:t>
            </w:r>
          </w:p>
        </w:tc>
      </w:tr>
      <w:tr w:rsidR="001C7FE0" w:rsidRPr="001C7FE0" w14:paraId="49CC411F" w14:textId="77777777" w:rsidTr="001C7FE0">
        <w:trPr>
          <w:trHeight w:val="137"/>
          <w:jc w:val="center"/>
        </w:trPr>
        <w:tc>
          <w:tcPr>
            <w:tcW w:w="1286" w:type="pct"/>
            <w:vMerge/>
            <w:tcBorders>
              <w:right w:val="single" w:sz="4" w:space="0" w:color="auto"/>
            </w:tcBorders>
            <w:shd w:val="clear" w:color="auto" w:fill="auto"/>
          </w:tcPr>
          <w:p w14:paraId="57F70907" w14:textId="77777777" w:rsidR="001C7FE0" w:rsidRPr="001C7FE0" w:rsidRDefault="001C7FE0" w:rsidP="001C7FE0">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9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23F2A"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2016</w:t>
            </w:r>
          </w:p>
        </w:tc>
        <w:tc>
          <w:tcPr>
            <w:tcW w:w="89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DFE22"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2017</w:t>
            </w:r>
          </w:p>
        </w:tc>
        <w:tc>
          <w:tcPr>
            <w:tcW w:w="95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B29F3"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2018</w:t>
            </w:r>
          </w:p>
        </w:tc>
        <w:tc>
          <w:tcPr>
            <w:tcW w:w="877" w:type="pct"/>
            <w:gridSpan w:val="3"/>
            <w:tcBorders>
              <w:left w:val="single" w:sz="4" w:space="0" w:color="auto"/>
            </w:tcBorders>
            <w:shd w:val="clear" w:color="auto" w:fill="FFFFFF" w:themeFill="background1"/>
            <w:vAlign w:val="center"/>
          </w:tcPr>
          <w:p w14:paraId="70355A0B"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2019 или 2020</w:t>
            </w:r>
          </w:p>
        </w:tc>
      </w:tr>
      <w:tr w:rsidR="001C7FE0" w:rsidRPr="001C7FE0" w14:paraId="125F2890" w14:textId="77777777" w:rsidTr="001C7FE0">
        <w:trPr>
          <w:trHeight w:val="323"/>
          <w:jc w:val="center"/>
        </w:trPr>
        <w:tc>
          <w:tcPr>
            <w:tcW w:w="1286" w:type="pct"/>
            <w:vMerge/>
            <w:shd w:val="clear" w:color="auto" w:fill="auto"/>
          </w:tcPr>
          <w:p w14:paraId="3BEB161B" w14:textId="77777777" w:rsidR="001C7FE0" w:rsidRPr="001C7FE0" w:rsidRDefault="001C7FE0" w:rsidP="001C7FE0">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90" w:type="pct"/>
            <w:gridSpan w:val="3"/>
            <w:tcBorders>
              <w:top w:val="single" w:sz="4" w:space="0" w:color="auto"/>
            </w:tcBorders>
            <w:shd w:val="clear" w:color="auto" w:fill="FFFFFF" w:themeFill="background1"/>
            <w:vAlign w:val="center"/>
          </w:tcPr>
          <w:p w14:paraId="44BBED77"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94" w:type="pct"/>
            <w:gridSpan w:val="4"/>
            <w:tcBorders>
              <w:top w:val="single" w:sz="4" w:space="0" w:color="auto"/>
            </w:tcBorders>
            <w:shd w:val="clear" w:color="auto" w:fill="FFFFFF" w:themeFill="background1"/>
            <w:vAlign w:val="center"/>
          </w:tcPr>
          <w:p w14:paraId="7891B808"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953" w:type="pct"/>
            <w:gridSpan w:val="3"/>
            <w:tcBorders>
              <w:top w:val="single" w:sz="4" w:space="0" w:color="auto"/>
            </w:tcBorders>
            <w:shd w:val="clear" w:color="auto" w:fill="FFFFFF" w:themeFill="background1"/>
            <w:vAlign w:val="center"/>
          </w:tcPr>
          <w:p w14:paraId="094E07E4"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77" w:type="pct"/>
            <w:gridSpan w:val="3"/>
            <w:shd w:val="clear" w:color="auto" w:fill="FFFFFF" w:themeFill="background1"/>
            <w:vAlign w:val="center"/>
          </w:tcPr>
          <w:p w14:paraId="11916868"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eastAsia="en-US" w:bidi="ar-SA"/>
              </w:rPr>
            </w:pPr>
            <w:r w:rsidRPr="001C7FE0">
              <w:rPr>
                <w:rFonts w:eastAsiaTheme="minorHAnsi"/>
                <w:iCs/>
                <w:kern w:val="0"/>
                <w:sz w:val="20"/>
                <w:szCs w:val="20"/>
                <w:lang w:eastAsia="en-US" w:bidi="ar-SA"/>
              </w:rPr>
              <w:t>1</w:t>
            </w:r>
          </w:p>
        </w:tc>
      </w:tr>
      <w:tr w:rsidR="001C7FE0" w:rsidRPr="001C7FE0" w14:paraId="5EF1D499" w14:textId="77777777" w:rsidTr="001C7FE0">
        <w:trPr>
          <w:trHeight w:val="274"/>
          <w:jc w:val="center"/>
        </w:trPr>
        <w:tc>
          <w:tcPr>
            <w:tcW w:w="1286" w:type="pct"/>
            <w:vMerge w:val="restart"/>
            <w:shd w:val="clear" w:color="auto" w:fill="auto"/>
          </w:tcPr>
          <w:p w14:paraId="67A3DA6D" w14:textId="77777777" w:rsidR="001C7FE0" w:rsidRPr="001C7FE0" w:rsidRDefault="001C7FE0" w:rsidP="001C7FE0">
            <w:pPr>
              <w:suppressAutoHyphens w:val="0"/>
              <w:autoSpaceDN/>
              <w:spacing w:before="0" w:after="50"/>
              <w:ind w:firstLine="0"/>
              <w:jc w:val="left"/>
              <w:textAlignment w:val="auto"/>
              <w:rPr>
                <w:rFonts w:eastAsiaTheme="minorHAnsi"/>
                <w:b/>
                <w:bCs/>
                <w:kern w:val="0"/>
                <w:sz w:val="20"/>
                <w:szCs w:val="20"/>
                <w:lang w:val="en-US" w:eastAsia="en-US" w:bidi="ar-SA"/>
              </w:rPr>
            </w:pPr>
            <w:r w:rsidRPr="001C7FE0">
              <w:rPr>
                <w:rFonts w:eastAsiaTheme="minorHAnsi"/>
                <w:b/>
                <w:bCs/>
                <w:kern w:val="0"/>
                <w:sz w:val="20"/>
                <w:szCs w:val="20"/>
                <w:lang w:val="en-US" w:eastAsia="en-US" w:bidi="ar-SA"/>
              </w:rPr>
              <w:t>Подаци о циљним вредностима</w:t>
            </w:r>
          </w:p>
        </w:tc>
        <w:tc>
          <w:tcPr>
            <w:tcW w:w="345" w:type="pct"/>
            <w:shd w:val="clear" w:color="auto" w:fill="FFFFFF" w:themeFill="background1"/>
            <w:vAlign w:val="center"/>
          </w:tcPr>
          <w:p w14:paraId="13FF77B2"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2021</w:t>
            </w:r>
          </w:p>
        </w:tc>
        <w:tc>
          <w:tcPr>
            <w:tcW w:w="355" w:type="pct"/>
            <w:shd w:val="clear" w:color="auto" w:fill="FFFFFF" w:themeFill="background1"/>
            <w:vAlign w:val="center"/>
          </w:tcPr>
          <w:p w14:paraId="4A9F90F3"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2022</w:t>
            </w:r>
          </w:p>
        </w:tc>
        <w:tc>
          <w:tcPr>
            <w:tcW w:w="438" w:type="pct"/>
            <w:gridSpan w:val="2"/>
            <w:shd w:val="clear" w:color="auto" w:fill="FFFFFF" w:themeFill="background1"/>
            <w:vAlign w:val="center"/>
          </w:tcPr>
          <w:p w14:paraId="66889756"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2023</w:t>
            </w:r>
          </w:p>
        </w:tc>
        <w:tc>
          <w:tcPr>
            <w:tcW w:w="372" w:type="pct"/>
            <w:shd w:val="clear" w:color="auto" w:fill="FFFFFF" w:themeFill="background1"/>
            <w:vAlign w:val="center"/>
          </w:tcPr>
          <w:p w14:paraId="2122AF03"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2024</w:t>
            </w:r>
          </w:p>
        </w:tc>
        <w:tc>
          <w:tcPr>
            <w:tcW w:w="373" w:type="pct"/>
            <w:gridSpan w:val="2"/>
            <w:shd w:val="clear" w:color="auto" w:fill="FFFFFF" w:themeFill="background1"/>
            <w:vAlign w:val="center"/>
          </w:tcPr>
          <w:p w14:paraId="4AA0C7BA"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2025</w:t>
            </w:r>
          </w:p>
        </w:tc>
        <w:tc>
          <w:tcPr>
            <w:tcW w:w="369" w:type="pct"/>
            <w:shd w:val="clear" w:color="auto" w:fill="FFFFFF" w:themeFill="background1"/>
            <w:vAlign w:val="center"/>
          </w:tcPr>
          <w:p w14:paraId="151B08E8"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2026</w:t>
            </w:r>
          </w:p>
        </w:tc>
        <w:tc>
          <w:tcPr>
            <w:tcW w:w="373" w:type="pct"/>
            <w:shd w:val="clear" w:color="auto" w:fill="FFFFFF" w:themeFill="background1"/>
            <w:vAlign w:val="center"/>
          </w:tcPr>
          <w:p w14:paraId="49317A0E"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2027</w:t>
            </w:r>
          </w:p>
        </w:tc>
        <w:tc>
          <w:tcPr>
            <w:tcW w:w="365" w:type="pct"/>
            <w:gridSpan w:val="2"/>
            <w:shd w:val="clear" w:color="auto" w:fill="FFFFFF" w:themeFill="background1"/>
            <w:vAlign w:val="center"/>
          </w:tcPr>
          <w:p w14:paraId="0A2459C2"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2028</w:t>
            </w:r>
          </w:p>
        </w:tc>
        <w:tc>
          <w:tcPr>
            <w:tcW w:w="369" w:type="pct"/>
            <w:shd w:val="clear" w:color="auto" w:fill="FFFFFF" w:themeFill="background1"/>
            <w:vAlign w:val="center"/>
          </w:tcPr>
          <w:p w14:paraId="2F9425D1"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2029</w:t>
            </w:r>
          </w:p>
        </w:tc>
        <w:tc>
          <w:tcPr>
            <w:tcW w:w="353" w:type="pct"/>
            <w:shd w:val="clear" w:color="auto" w:fill="FFFFFF" w:themeFill="background1"/>
            <w:vAlign w:val="center"/>
          </w:tcPr>
          <w:p w14:paraId="617BA18F"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iCs/>
                <w:kern w:val="0"/>
                <w:sz w:val="20"/>
                <w:szCs w:val="20"/>
                <w:lang w:val="en-US" w:eastAsia="en-US" w:bidi="ar-SA"/>
              </w:rPr>
              <w:t>2030</w:t>
            </w:r>
          </w:p>
        </w:tc>
      </w:tr>
      <w:tr w:rsidR="001C7FE0" w:rsidRPr="001C7FE0" w14:paraId="414DC435" w14:textId="77777777" w:rsidTr="001C7FE0">
        <w:trPr>
          <w:trHeight w:val="160"/>
          <w:jc w:val="center"/>
        </w:trPr>
        <w:tc>
          <w:tcPr>
            <w:tcW w:w="1286" w:type="pct"/>
            <w:vMerge/>
            <w:shd w:val="clear" w:color="auto" w:fill="auto"/>
          </w:tcPr>
          <w:p w14:paraId="7E75CFC3" w14:textId="77777777" w:rsidR="001C7FE0" w:rsidRPr="001C7FE0" w:rsidRDefault="001C7FE0" w:rsidP="001C7FE0">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345" w:type="pct"/>
            <w:shd w:val="clear" w:color="auto" w:fill="FFFFFF" w:themeFill="background1"/>
          </w:tcPr>
          <w:p w14:paraId="08B07869"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color w:val="000000"/>
                <w:kern w:val="0"/>
                <w:sz w:val="20"/>
                <w:szCs w:val="20"/>
                <w:lang w:eastAsia="en-US" w:bidi="ar-SA"/>
              </w:rPr>
              <w:t>3</w:t>
            </w:r>
          </w:p>
        </w:tc>
        <w:tc>
          <w:tcPr>
            <w:tcW w:w="355" w:type="pct"/>
            <w:shd w:val="clear" w:color="auto" w:fill="FFFFFF" w:themeFill="background1"/>
          </w:tcPr>
          <w:p w14:paraId="7507FE54"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color w:val="000000"/>
                <w:kern w:val="0"/>
                <w:sz w:val="20"/>
                <w:szCs w:val="20"/>
                <w:lang w:eastAsia="en-US" w:bidi="ar-SA"/>
              </w:rPr>
              <w:t>5</w:t>
            </w:r>
          </w:p>
        </w:tc>
        <w:tc>
          <w:tcPr>
            <w:tcW w:w="438" w:type="pct"/>
            <w:gridSpan w:val="2"/>
            <w:shd w:val="clear" w:color="auto" w:fill="FFFFFF" w:themeFill="background1"/>
          </w:tcPr>
          <w:p w14:paraId="4EB4C078"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color w:val="000000"/>
                <w:kern w:val="0"/>
                <w:sz w:val="20"/>
                <w:szCs w:val="20"/>
                <w:lang w:eastAsia="en-US" w:bidi="ar-SA"/>
              </w:rPr>
              <w:t>5</w:t>
            </w:r>
          </w:p>
        </w:tc>
        <w:tc>
          <w:tcPr>
            <w:tcW w:w="372" w:type="pct"/>
            <w:shd w:val="clear" w:color="auto" w:fill="FFFFFF" w:themeFill="background1"/>
          </w:tcPr>
          <w:p w14:paraId="0748A16D"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color w:val="000000"/>
                <w:kern w:val="0"/>
                <w:sz w:val="20"/>
                <w:szCs w:val="20"/>
                <w:lang w:eastAsia="en-US" w:bidi="ar-SA"/>
              </w:rPr>
              <w:t>5</w:t>
            </w:r>
          </w:p>
        </w:tc>
        <w:tc>
          <w:tcPr>
            <w:tcW w:w="373" w:type="pct"/>
            <w:gridSpan w:val="2"/>
            <w:shd w:val="clear" w:color="auto" w:fill="FFFFFF" w:themeFill="background1"/>
          </w:tcPr>
          <w:p w14:paraId="0865804F"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r w:rsidRPr="001C7FE0">
              <w:rPr>
                <w:rFonts w:eastAsiaTheme="minorHAnsi"/>
                <w:color w:val="000000"/>
                <w:kern w:val="0"/>
                <w:sz w:val="20"/>
                <w:szCs w:val="20"/>
                <w:lang w:eastAsia="en-US" w:bidi="ar-SA"/>
              </w:rPr>
              <w:t>5</w:t>
            </w:r>
          </w:p>
        </w:tc>
        <w:tc>
          <w:tcPr>
            <w:tcW w:w="369" w:type="pct"/>
            <w:shd w:val="clear" w:color="auto" w:fill="FFFFFF" w:themeFill="background1"/>
          </w:tcPr>
          <w:p w14:paraId="38F80288"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373" w:type="pct"/>
            <w:shd w:val="clear" w:color="auto" w:fill="FFFFFF" w:themeFill="background1"/>
          </w:tcPr>
          <w:p w14:paraId="1D85FF37"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365" w:type="pct"/>
            <w:gridSpan w:val="2"/>
            <w:shd w:val="clear" w:color="auto" w:fill="FFFFFF" w:themeFill="background1"/>
          </w:tcPr>
          <w:p w14:paraId="389C925C"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369" w:type="pct"/>
            <w:shd w:val="clear" w:color="auto" w:fill="FFFFFF" w:themeFill="background1"/>
          </w:tcPr>
          <w:p w14:paraId="69A7A1CB"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353" w:type="pct"/>
            <w:shd w:val="clear" w:color="auto" w:fill="FFFFFF" w:themeFill="background1"/>
          </w:tcPr>
          <w:p w14:paraId="5EF6E8CC" w14:textId="77777777" w:rsidR="001C7FE0" w:rsidRPr="001C7FE0" w:rsidRDefault="001C7FE0" w:rsidP="001C7FE0">
            <w:pPr>
              <w:suppressAutoHyphens w:val="0"/>
              <w:autoSpaceDN/>
              <w:spacing w:before="50" w:after="50"/>
              <w:ind w:firstLine="0"/>
              <w:jc w:val="center"/>
              <w:textAlignment w:val="auto"/>
              <w:rPr>
                <w:rFonts w:eastAsiaTheme="minorHAnsi"/>
                <w:iCs/>
                <w:kern w:val="0"/>
                <w:sz w:val="20"/>
                <w:szCs w:val="20"/>
                <w:lang w:val="en-US" w:eastAsia="en-US" w:bidi="ar-SA"/>
              </w:rPr>
            </w:pPr>
          </w:p>
        </w:tc>
      </w:tr>
      <w:tr w:rsidR="001C7FE0" w:rsidRPr="001C7FE0" w14:paraId="52409359" w14:textId="77777777" w:rsidTr="001C7FE0">
        <w:trPr>
          <w:trHeight w:val="160"/>
          <w:jc w:val="center"/>
        </w:trPr>
        <w:tc>
          <w:tcPr>
            <w:tcW w:w="1286" w:type="pct"/>
            <w:shd w:val="clear" w:color="auto" w:fill="auto"/>
          </w:tcPr>
          <w:p w14:paraId="5F6D06E2" w14:textId="77777777" w:rsidR="001C7FE0" w:rsidRPr="001C7FE0" w:rsidRDefault="001C7FE0" w:rsidP="001C7FE0">
            <w:pPr>
              <w:suppressAutoHyphens w:val="0"/>
              <w:autoSpaceDN/>
              <w:spacing w:before="50" w:after="50"/>
              <w:ind w:firstLine="0"/>
              <w:jc w:val="left"/>
              <w:textAlignment w:val="auto"/>
              <w:rPr>
                <w:rFonts w:eastAsiaTheme="minorHAnsi"/>
                <w:b/>
                <w:bCs/>
                <w:kern w:val="0"/>
                <w:sz w:val="20"/>
                <w:szCs w:val="20"/>
                <w:lang w:val="en-US" w:eastAsia="en-US" w:bidi="ar-SA"/>
              </w:rPr>
            </w:pPr>
            <w:r w:rsidRPr="001C7FE0">
              <w:rPr>
                <w:rFonts w:eastAsiaTheme="minorHAnsi"/>
                <w:b/>
                <w:bCs/>
                <w:kern w:val="0"/>
                <w:sz w:val="20"/>
                <w:szCs w:val="20"/>
                <w:lang w:val="en-US" w:eastAsia="en-US" w:bidi="ar-SA"/>
              </w:rPr>
              <w:t>Процена успешности</w:t>
            </w:r>
          </w:p>
        </w:tc>
        <w:tc>
          <w:tcPr>
            <w:tcW w:w="3714" w:type="pct"/>
            <w:gridSpan w:val="13"/>
            <w:shd w:val="clear" w:color="auto" w:fill="FFFFFF" w:themeFill="background1"/>
            <w:vAlign w:val="center"/>
          </w:tcPr>
          <w:p w14:paraId="74ADFFF0" w14:textId="77777777" w:rsidR="001C7FE0" w:rsidRPr="001C7FE0" w:rsidRDefault="001C7FE0" w:rsidP="001C7FE0">
            <w:pPr>
              <w:suppressAutoHyphens w:val="0"/>
              <w:autoSpaceDN/>
              <w:spacing w:before="50" w:after="50"/>
              <w:ind w:firstLine="0"/>
              <w:jc w:val="left"/>
              <w:textAlignment w:val="auto"/>
              <w:rPr>
                <w:rFonts w:eastAsiaTheme="minorHAnsi"/>
                <w:iCs/>
                <w:kern w:val="0"/>
                <w:sz w:val="20"/>
                <w:szCs w:val="20"/>
                <w:lang w:eastAsia="en-US" w:bidi="ar-SA"/>
              </w:rPr>
            </w:pPr>
            <w:r w:rsidRPr="001C7FE0">
              <w:rPr>
                <w:rFonts w:eastAsiaTheme="minorHAnsi"/>
                <w:iCs/>
                <w:kern w:val="0"/>
                <w:sz w:val="20"/>
                <w:szCs w:val="20"/>
                <w:lang w:eastAsia="en-US" w:bidi="ar-SA"/>
              </w:rPr>
              <w:t>Без одступања</w:t>
            </w:r>
          </w:p>
        </w:tc>
      </w:tr>
    </w:tbl>
    <w:p w14:paraId="343984AA" w14:textId="77777777" w:rsidR="001C7FE0" w:rsidRDefault="001C7FE0" w:rsidP="00244E7C"/>
    <w:p w14:paraId="0B5D18A2" w14:textId="360AE51F" w:rsidR="00246E68" w:rsidRPr="00246E68" w:rsidRDefault="00246E68" w:rsidP="00246E68">
      <w:pPr>
        <w:suppressAutoHyphens w:val="0"/>
        <w:autoSpaceDN/>
        <w:spacing w:before="0" w:after="0"/>
        <w:ind w:firstLine="0"/>
        <w:jc w:val="left"/>
        <w:textAlignment w:val="auto"/>
        <w:rPr>
          <w:rFonts w:eastAsiaTheme="minorHAnsi"/>
          <w:b/>
          <w:bCs/>
          <w:color w:val="A6A6A6" w:themeColor="background1" w:themeShade="A6"/>
          <w:kern w:val="0"/>
          <w:sz w:val="20"/>
          <w:szCs w:val="20"/>
          <w:lang w:val="en-US" w:eastAsia="en-US" w:bidi="ar-SA"/>
        </w:rPr>
      </w:pPr>
      <w:r w:rsidRPr="00246E68">
        <w:rPr>
          <w:rFonts w:eastAsiaTheme="minorHAnsi"/>
          <w:b/>
          <w:bCs/>
          <w:color w:val="A6A6A6" w:themeColor="background1" w:themeShade="A6"/>
          <w:kern w:val="0"/>
          <w:sz w:val="20"/>
          <w:szCs w:val="20"/>
          <w:lang w:val="en-US" w:eastAsia="en-US" w:bidi="ar-SA"/>
        </w:rPr>
        <w:t>Показатељ 2</w:t>
      </w:r>
    </w:p>
    <w:p w14:paraId="0D86B0C2" w14:textId="77777777" w:rsidR="00246E68" w:rsidRPr="00246E68" w:rsidRDefault="00246E68" w:rsidP="00246E68">
      <w:pPr>
        <w:suppressAutoHyphens w:val="0"/>
        <w:autoSpaceDN/>
        <w:spacing w:before="0" w:after="0"/>
        <w:ind w:firstLine="0"/>
        <w:jc w:val="left"/>
        <w:textAlignment w:val="auto"/>
        <w:rPr>
          <w:rFonts w:eastAsiaTheme="minorHAnsi"/>
          <w:b/>
          <w:color w:val="A6A6A6" w:themeColor="background1" w:themeShade="A6"/>
          <w:kern w:val="0"/>
          <w:lang w:eastAsia="en-US"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9"/>
        <w:gridCol w:w="632"/>
        <w:gridCol w:w="651"/>
        <w:gridCol w:w="532"/>
        <w:gridCol w:w="272"/>
        <w:gridCol w:w="683"/>
        <w:gridCol w:w="637"/>
        <w:gridCol w:w="50"/>
        <w:gridCol w:w="677"/>
        <w:gridCol w:w="684"/>
        <w:gridCol w:w="387"/>
        <w:gridCol w:w="283"/>
        <w:gridCol w:w="677"/>
        <w:gridCol w:w="650"/>
      </w:tblGrid>
      <w:tr w:rsidR="00246E68" w:rsidRPr="00246E68" w14:paraId="7B19C2FB" w14:textId="77777777" w:rsidTr="00DA6BE3">
        <w:trPr>
          <w:jc w:val="center"/>
        </w:trPr>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37B4E8" w14:textId="77777777" w:rsidR="00246E68" w:rsidRPr="00246E68" w:rsidRDefault="00246E68" w:rsidP="00246E68">
            <w:pPr>
              <w:suppressAutoHyphens w:val="0"/>
              <w:autoSpaceDN/>
              <w:spacing w:before="100" w:after="100"/>
              <w:ind w:firstLine="0"/>
              <w:jc w:val="left"/>
              <w:textAlignment w:val="auto"/>
              <w:rPr>
                <w:rFonts w:eastAsiaTheme="minorHAnsi"/>
                <w:b/>
                <w:bCs/>
                <w:color w:val="FFFFFF" w:themeColor="background1"/>
                <w:kern w:val="0"/>
                <w:sz w:val="20"/>
                <w:szCs w:val="20"/>
                <w:lang w:val="en-US" w:eastAsia="en-US" w:bidi="ar-SA"/>
              </w:rPr>
            </w:pPr>
            <w:r w:rsidRPr="00246E68">
              <w:rPr>
                <w:rFonts w:eastAsiaTheme="minorHAnsi"/>
                <w:b/>
                <w:bCs/>
                <w:color w:val="FFFFFF" w:themeColor="background1"/>
                <w:kern w:val="0"/>
                <w:sz w:val="20"/>
                <w:szCs w:val="20"/>
                <w:lang w:val="en-US" w:eastAsia="en-US" w:bidi="ar-SA"/>
              </w:rPr>
              <w:t>Назив показатеља</w:t>
            </w:r>
          </w:p>
        </w:tc>
        <w:tc>
          <w:tcPr>
            <w:tcW w:w="3714" w:type="pct"/>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23E520" w14:textId="77777777" w:rsidR="00246E68" w:rsidRPr="00246E68" w:rsidRDefault="00246E68" w:rsidP="00246E68">
            <w:pPr>
              <w:suppressAutoHyphens w:val="0"/>
              <w:autoSpaceDN/>
              <w:spacing w:before="100" w:after="100"/>
              <w:ind w:firstLine="0"/>
              <w:jc w:val="left"/>
              <w:textAlignment w:val="auto"/>
              <w:rPr>
                <w:rFonts w:eastAsiaTheme="minorHAnsi"/>
                <w:b/>
                <w:iCs/>
                <w:color w:val="FFFFFF" w:themeColor="background1"/>
                <w:kern w:val="0"/>
                <w:sz w:val="20"/>
                <w:szCs w:val="20"/>
                <w:lang w:val="en-US" w:eastAsia="en-US" w:bidi="ar-SA"/>
              </w:rPr>
            </w:pPr>
            <w:r w:rsidRPr="00246E68">
              <w:rPr>
                <w:rFonts w:eastAsiaTheme="minorHAnsi"/>
                <w:b/>
                <w:bCs/>
                <w:color w:val="000000"/>
                <w:kern w:val="0"/>
                <w:sz w:val="20"/>
                <w:szCs w:val="20"/>
                <w:lang w:eastAsia="en-US" w:bidi="ar-SA"/>
              </w:rPr>
              <w:t>Број активних и обучених службеника сектора за европске интеграције и међународну сарадњу</w:t>
            </w:r>
          </w:p>
        </w:tc>
      </w:tr>
      <w:tr w:rsidR="00246E68" w:rsidRPr="00246E68" w14:paraId="1C78EA53" w14:textId="77777777" w:rsidTr="00DA6BE3">
        <w:trPr>
          <w:jc w:val="center"/>
        </w:trPr>
        <w:tc>
          <w:tcPr>
            <w:tcW w:w="1286" w:type="pct"/>
            <w:tcBorders>
              <w:top w:val="single" w:sz="4" w:space="0" w:color="auto"/>
              <w:left w:val="single" w:sz="4" w:space="0" w:color="auto"/>
              <w:bottom w:val="single" w:sz="4" w:space="0" w:color="auto"/>
              <w:right w:val="single" w:sz="4" w:space="0" w:color="auto"/>
            </w:tcBorders>
            <w:shd w:val="clear" w:color="auto" w:fill="auto"/>
          </w:tcPr>
          <w:p w14:paraId="265A1D86" w14:textId="77777777" w:rsidR="00246E68" w:rsidRPr="00065AE4" w:rsidRDefault="00246E68" w:rsidP="00246E68">
            <w:pPr>
              <w:suppressAutoHyphens w:val="0"/>
              <w:autoSpaceDN/>
              <w:spacing w:before="100" w:after="10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Одговарајући општи, посебни циљ или мера</w:t>
            </w:r>
          </w:p>
        </w:tc>
        <w:tc>
          <w:tcPr>
            <w:tcW w:w="3714" w:type="pct"/>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6A2B5C18" w14:textId="77777777" w:rsidR="00246E68" w:rsidRPr="00246E68" w:rsidRDefault="00246E68" w:rsidP="00246E68">
            <w:pPr>
              <w:suppressAutoHyphens w:val="0"/>
              <w:autoSpaceDN/>
              <w:spacing w:before="100" w:after="100"/>
              <w:ind w:firstLine="0"/>
              <w:jc w:val="left"/>
              <w:textAlignment w:val="auto"/>
              <w:rPr>
                <w:rFonts w:eastAsiaTheme="minorHAnsi"/>
                <w:b/>
                <w:iCs/>
                <w:color w:val="000000" w:themeColor="text1"/>
                <w:kern w:val="0"/>
                <w:sz w:val="20"/>
                <w:szCs w:val="20"/>
                <w:lang w:eastAsia="en-US" w:bidi="ar-SA"/>
              </w:rPr>
            </w:pPr>
            <w:r w:rsidRPr="00246E68">
              <w:rPr>
                <w:rFonts w:eastAsiaTheme="minorHAnsi"/>
                <w:color w:val="000000"/>
                <w:kern w:val="24"/>
                <w:sz w:val="20"/>
                <w:szCs w:val="20"/>
                <w:lang w:eastAsia="en-US" w:bidi="ar-SA"/>
              </w:rPr>
              <w:t>Мера 2: Обезбеђење ефикасне координације донаторске подршке у области РЈУ</w:t>
            </w:r>
          </w:p>
        </w:tc>
      </w:tr>
      <w:tr w:rsidR="00246E68" w:rsidRPr="00246E68" w14:paraId="12919F61" w14:textId="77777777" w:rsidTr="00DA6BE3">
        <w:trPr>
          <w:jc w:val="center"/>
        </w:trPr>
        <w:tc>
          <w:tcPr>
            <w:tcW w:w="1286" w:type="pct"/>
            <w:shd w:val="clear" w:color="auto" w:fill="auto"/>
          </w:tcPr>
          <w:p w14:paraId="65C23151"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24"/>
                <w:sz w:val="20"/>
                <w:szCs w:val="20"/>
                <w:lang w:val="en-US" w:eastAsia="en-US" w:bidi="ar-SA"/>
              </w:rPr>
              <w:t>Тип и ниво показатеља</w:t>
            </w:r>
          </w:p>
        </w:tc>
        <w:tc>
          <w:tcPr>
            <w:tcW w:w="1857" w:type="pct"/>
            <w:gridSpan w:val="6"/>
            <w:shd w:val="clear" w:color="auto" w:fill="FFFFFF" w:themeFill="background1"/>
          </w:tcPr>
          <w:p w14:paraId="65EACEFC"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sr-Latn-RS" w:eastAsia="en-US" w:bidi="ar-SA"/>
              </w:rPr>
              <w:t>K</w:t>
            </w:r>
            <w:r w:rsidRPr="00246E68">
              <w:rPr>
                <w:rFonts w:eastAsiaTheme="minorHAnsi"/>
                <w:bCs/>
                <w:iCs/>
                <w:kern w:val="24"/>
                <w:sz w:val="20"/>
                <w:szCs w:val="20"/>
                <w:lang w:eastAsia="en-US" w:bidi="ar-SA"/>
              </w:rPr>
              <w:t>вантитативни</w:t>
            </w:r>
          </w:p>
        </w:tc>
        <w:tc>
          <w:tcPr>
            <w:tcW w:w="1857" w:type="pct"/>
            <w:gridSpan w:val="7"/>
            <w:shd w:val="clear" w:color="auto" w:fill="FFFFFF" w:themeFill="background1"/>
          </w:tcPr>
          <w:p w14:paraId="7C137C39"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en-US" w:eastAsia="en-US" w:bidi="ar-SA"/>
              </w:rPr>
              <w:t xml:space="preserve">Показатељ </w:t>
            </w:r>
            <w:r w:rsidRPr="00246E68">
              <w:rPr>
                <w:rFonts w:eastAsiaTheme="minorHAnsi"/>
                <w:bCs/>
                <w:iCs/>
                <w:kern w:val="24"/>
                <w:sz w:val="20"/>
                <w:szCs w:val="20"/>
                <w:lang w:eastAsia="en-US" w:bidi="ar-SA"/>
              </w:rPr>
              <w:t>резултата</w:t>
            </w:r>
          </w:p>
        </w:tc>
      </w:tr>
      <w:tr w:rsidR="00246E68" w:rsidRPr="00246E68" w14:paraId="738D125B" w14:textId="77777777" w:rsidTr="00DA6BE3">
        <w:trPr>
          <w:trHeight w:val="373"/>
          <w:jc w:val="center"/>
        </w:trPr>
        <w:tc>
          <w:tcPr>
            <w:tcW w:w="1286" w:type="pct"/>
            <w:shd w:val="clear" w:color="auto" w:fill="auto"/>
          </w:tcPr>
          <w:p w14:paraId="779C0BB3" w14:textId="77777777" w:rsidR="00246E68" w:rsidRPr="00246E68" w:rsidRDefault="00246E68" w:rsidP="00246E68">
            <w:pPr>
              <w:suppressAutoHyphens w:val="0"/>
              <w:autoSpaceDN/>
              <w:spacing w:before="50" w:after="50"/>
              <w:ind w:firstLine="0"/>
              <w:jc w:val="left"/>
              <w:textAlignment w:val="auto"/>
              <w:rPr>
                <w:rFonts w:eastAsiaTheme="minorHAnsi"/>
                <w:b/>
                <w:kern w:val="24"/>
                <w:sz w:val="20"/>
                <w:szCs w:val="20"/>
                <w:lang w:val="en-US" w:eastAsia="en-US" w:bidi="ar-SA"/>
              </w:rPr>
            </w:pPr>
            <w:r w:rsidRPr="00246E68">
              <w:rPr>
                <w:rFonts w:eastAsiaTheme="minorHAnsi"/>
                <w:b/>
                <w:kern w:val="24"/>
                <w:sz w:val="20"/>
                <w:szCs w:val="20"/>
                <w:lang w:val="en-US" w:eastAsia="en-US" w:bidi="ar-SA"/>
              </w:rPr>
              <w:t>Јединица мере и природа</w:t>
            </w:r>
          </w:p>
        </w:tc>
        <w:tc>
          <w:tcPr>
            <w:tcW w:w="1857" w:type="pct"/>
            <w:gridSpan w:val="6"/>
            <w:shd w:val="clear" w:color="auto" w:fill="FFFFFF" w:themeFill="background1"/>
          </w:tcPr>
          <w:p w14:paraId="3879CC76" w14:textId="77777777" w:rsidR="00246E68" w:rsidRPr="00246E68" w:rsidRDefault="00246E68" w:rsidP="00246E68">
            <w:pPr>
              <w:tabs>
                <w:tab w:val="left" w:pos="152"/>
              </w:tabs>
              <w:suppressAutoHyphens w:val="0"/>
              <w:autoSpaceDN/>
              <w:spacing w:before="50" w:after="50"/>
              <w:ind w:firstLine="0"/>
              <w:jc w:val="left"/>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Број</w:t>
            </w:r>
          </w:p>
        </w:tc>
        <w:tc>
          <w:tcPr>
            <w:tcW w:w="1857" w:type="pct"/>
            <w:gridSpan w:val="7"/>
            <w:shd w:val="clear" w:color="auto" w:fill="FFFFFF" w:themeFill="background1"/>
          </w:tcPr>
          <w:p w14:paraId="33A59D37" w14:textId="77777777" w:rsidR="00246E68" w:rsidRPr="00246E68" w:rsidRDefault="00246E68" w:rsidP="00246E68">
            <w:pPr>
              <w:suppressAutoHyphens w:val="0"/>
              <w:autoSpaceDN/>
              <w:spacing w:before="0" w:after="0"/>
              <w:ind w:firstLine="0"/>
              <w:jc w:val="left"/>
              <w:textAlignment w:val="auto"/>
              <w:rPr>
                <w:rFonts w:eastAsia="Arial"/>
                <w:iCs/>
                <w:color w:val="000000" w:themeColor="dark1"/>
                <w:spacing w:val="-1"/>
                <w:kern w:val="24"/>
                <w:sz w:val="20"/>
                <w:szCs w:val="20"/>
                <w:lang w:val="en-US" w:eastAsia="en-US" w:bidi="ar-SA"/>
              </w:rPr>
            </w:pPr>
            <w:r w:rsidRPr="00246E68">
              <w:rPr>
                <w:rFonts w:eastAsia="Arial"/>
                <w:iCs/>
                <w:color w:val="000000" w:themeColor="dark1"/>
                <w:spacing w:val="-1"/>
                <w:kern w:val="24"/>
                <w:sz w:val="20"/>
                <w:szCs w:val="20"/>
                <w:lang w:val="en-US" w:eastAsia="en-US" w:bidi="ar-SA"/>
              </w:rPr>
              <w:t>Пожељна је већа вредност</w:t>
            </w:r>
          </w:p>
        </w:tc>
      </w:tr>
      <w:tr w:rsidR="00246E68" w:rsidRPr="00246E68" w14:paraId="42235870" w14:textId="77777777" w:rsidTr="00DA6BE3">
        <w:trPr>
          <w:jc w:val="center"/>
        </w:trPr>
        <w:tc>
          <w:tcPr>
            <w:tcW w:w="1286" w:type="pct"/>
            <w:shd w:val="clear" w:color="auto" w:fill="auto"/>
          </w:tcPr>
          <w:p w14:paraId="060622ED" w14:textId="77777777" w:rsidR="00246E68" w:rsidRPr="00065AE4" w:rsidRDefault="00246E68" w:rsidP="00246E68">
            <w:pPr>
              <w:suppressAutoHyphens w:val="0"/>
              <w:autoSpaceDN/>
              <w:spacing w:before="50" w:after="5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Извор података за праћење показатеља учинка</w:t>
            </w:r>
          </w:p>
        </w:tc>
        <w:tc>
          <w:tcPr>
            <w:tcW w:w="3714" w:type="pct"/>
            <w:gridSpan w:val="13"/>
            <w:shd w:val="clear" w:color="auto" w:fill="FFFFFF" w:themeFill="background1"/>
          </w:tcPr>
          <w:p w14:paraId="347686EF" w14:textId="77777777" w:rsidR="00246E68" w:rsidRPr="00246E68" w:rsidRDefault="00246E68" w:rsidP="00246E68">
            <w:pPr>
              <w:suppressAutoHyphens w:val="0"/>
              <w:autoSpaceDN/>
              <w:spacing w:before="0" w:after="134"/>
              <w:ind w:firstLine="0"/>
              <w:jc w:val="left"/>
              <w:textAlignment w:val="auto"/>
              <w:rPr>
                <w:rFonts w:eastAsiaTheme="minorHAnsi"/>
                <w:kern w:val="0"/>
                <w:sz w:val="20"/>
                <w:szCs w:val="20"/>
                <w:lang w:eastAsia="en-US" w:bidi="ar-SA"/>
              </w:rPr>
            </w:pPr>
            <w:r w:rsidRPr="00246E68">
              <w:rPr>
                <w:rFonts w:eastAsiaTheme="minorHAnsi"/>
                <w:color w:val="000000"/>
                <w:kern w:val="24"/>
                <w:sz w:val="20"/>
                <w:szCs w:val="20"/>
                <w:lang w:eastAsia="en-GB" w:bidi="ar-SA"/>
              </w:rPr>
              <w:t>Годишњи извештај о спровођењу АП за 2021-2025</w:t>
            </w:r>
          </w:p>
        </w:tc>
      </w:tr>
      <w:tr w:rsidR="00246E68" w:rsidRPr="00246E68" w14:paraId="405BD650" w14:textId="77777777" w:rsidTr="00DA6BE3">
        <w:trPr>
          <w:jc w:val="center"/>
        </w:trPr>
        <w:tc>
          <w:tcPr>
            <w:tcW w:w="1286" w:type="pct"/>
            <w:shd w:val="clear" w:color="auto" w:fill="auto"/>
          </w:tcPr>
          <w:p w14:paraId="6104A3D1"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Назив носиоца прикупљања података</w:t>
            </w:r>
          </w:p>
        </w:tc>
        <w:tc>
          <w:tcPr>
            <w:tcW w:w="3714" w:type="pct"/>
            <w:gridSpan w:val="13"/>
            <w:shd w:val="clear" w:color="auto" w:fill="FFFFFF" w:themeFill="background1"/>
          </w:tcPr>
          <w:p w14:paraId="0A0D6EAF"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kern w:val="0"/>
                <w:sz w:val="20"/>
                <w:szCs w:val="20"/>
                <w:lang w:val="en-US" w:eastAsia="en-US" w:bidi="ar-SA"/>
              </w:rPr>
              <w:t xml:space="preserve">МДУЛС </w:t>
            </w:r>
          </w:p>
        </w:tc>
      </w:tr>
      <w:tr w:rsidR="00246E68" w:rsidRPr="00246E68" w14:paraId="70649062" w14:textId="77777777" w:rsidTr="00DA6BE3">
        <w:trPr>
          <w:jc w:val="center"/>
        </w:trPr>
        <w:tc>
          <w:tcPr>
            <w:tcW w:w="1286" w:type="pct"/>
            <w:shd w:val="clear" w:color="auto" w:fill="auto"/>
          </w:tcPr>
          <w:p w14:paraId="1E399162"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Учесталост прикупљања података</w:t>
            </w:r>
          </w:p>
        </w:tc>
        <w:tc>
          <w:tcPr>
            <w:tcW w:w="3714" w:type="pct"/>
            <w:gridSpan w:val="13"/>
            <w:shd w:val="clear" w:color="auto" w:fill="FFFFFF" w:themeFill="background1"/>
          </w:tcPr>
          <w:p w14:paraId="218B19AC"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color w:val="000000"/>
                <w:kern w:val="24"/>
                <w:sz w:val="20"/>
                <w:szCs w:val="20"/>
                <w:lang w:eastAsia="en-GB" w:bidi="ar-SA"/>
              </w:rPr>
              <w:t>Једном годишње</w:t>
            </w:r>
          </w:p>
        </w:tc>
      </w:tr>
      <w:tr w:rsidR="00246E68" w:rsidRPr="00246E68" w14:paraId="2DE86570" w14:textId="77777777" w:rsidTr="00DA6BE3">
        <w:trPr>
          <w:trHeight w:val="274"/>
          <w:jc w:val="center"/>
        </w:trPr>
        <w:tc>
          <w:tcPr>
            <w:tcW w:w="1286" w:type="pct"/>
            <w:shd w:val="clear" w:color="auto" w:fill="auto"/>
          </w:tcPr>
          <w:p w14:paraId="5D03E295" w14:textId="77777777" w:rsidR="00246E68" w:rsidRPr="00065AE4" w:rsidRDefault="00246E68" w:rsidP="00246E68">
            <w:pPr>
              <w:suppressAutoHyphens w:val="0"/>
              <w:autoSpaceDN/>
              <w:spacing w:before="50" w:after="50"/>
              <w:ind w:firstLine="0"/>
              <w:jc w:val="left"/>
              <w:textAlignment w:val="auto"/>
              <w:rPr>
                <w:rFonts w:eastAsiaTheme="minorHAnsi"/>
                <w:b/>
                <w:kern w:val="0"/>
                <w:sz w:val="20"/>
                <w:szCs w:val="20"/>
                <w:lang w:eastAsia="en-US" w:bidi="ar-SA"/>
              </w:rPr>
            </w:pPr>
            <w:r w:rsidRPr="00065AE4">
              <w:rPr>
                <w:rFonts w:eastAsiaTheme="minorHAnsi"/>
                <w:b/>
                <w:kern w:val="0"/>
                <w:sz w:val="20"/>
                <w:szCs w:val="20"/>
                <w:lang w:eastAsia="en-US" w:bidi="ar-SA"/>
              </w:rPr>
              <w:t>Кратак опис показатеља и методологије израчунавања</w:t>
            </w:r>
          </w:p>
          <w:p w14:paraId="79184604"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0"/>
                <w:sz w:val="20"/>
                <w:szCs w:val="20"/>
                <w:lang w:val="en-US" w:eastAsia="en-US" w:bidi="ar-SA"/>
              </w:rPr>
              <w:t>(формуле/ једначине)</w:t>
            </w:r>
          </w:p>
        </w:tc>
        <w:tc>
          <w:tcPr>
            <w:tcW w:w="3714" w:type="pct"/>
            <w:gridSpan w:val="13"/>
            <w:shd w:val="clear" w:color="auto" w:fill="FFFFFF" w:themeFill="background1"/>
          </w:tcPr>
          <w:p w14:paraId="33430A21" w14:textId="77777777" w:rsidR="00246E68" w:rsidRPr="00246E68" w:rsidRDefault="00246E68" w:rsidP="00246E68">
            <w:pPr>
              <w:suppressAutoHyphens w:val="0"/>
              <w:autoSpaceDN/>
              <w:spacing w:before="60" w:beforeAutospacing="1" w:afterAutospacing="1"/>
              <w:ind w:firstLine="0"/>
              <w:textAlignment w:val="auto"/>
              <w:rPr>
                <w:rFonts w:eastAsiaTheme="minorHAnsi"/>
                <w:color w:val="000000"/>
                <w:kern w:val="24"/>
                <w:sz w:val="20"/>
                <w:szCs w:val="20"/>
                <w:lang w:eastAsia="en-GB" w:bidi="ar-SA"/>
              </w:rPr>
            </w:pPr>
            <w:r w:rsidRPr="00246E68">
              <w:rPr>
                <w:rFonts w:eastAsiaTheme="minorHAnsi"/>
                <w:bCs/>
                <w:color w:val="000000"/>
                <w:kern w:val="0"/>
                <w:sz w:val="20"/>
                <w:szCs w:val="20"/>
                <w:lang w:eastAsia="en-US" w:bidi="ar-SA"/>
              </w:rPr>
              <w:t>Активни и обучени су они службеници који су учествовали на најмање једној обуци, или другом виду изградње капацитета у трајању од најмање једног дана годишње. Радионице, студијске посете и вишедневна групна радна повлачења се такође рачунају.</w:t>
            </w:r>
          </w:p>
        </w:tc>
      </w:tr>
      <w:tr w:rsidR="00246E68" w:rsidRPr="00246E68" w14:paraId="3D680B73" w14:textId="77777777" w:rsidTr="00DA6BE3">
        <w:trPr>
          <w:trHeight w:val="265"/>
          <w:jc w:val="center"/>
        </w:trPr>
        <w:tc>
          <w:tcPr>
            <w:tcW w:w="1286" w:type="pct"/>
            <w:vMerge w:val="restart"/>
            <w:shd w:val="clear" w:color="auto" w:fill="auto"/>
          </w:tcPr>
          <w:p w14:paraId="47883E2C" w14:textId="77777777" w:rsidR="00246E68" w:rsidRPr="00246E68" w:rsidRDefault="00246E68" w:rsidP="00246E68">
            <w:pPr>
              <w:suppressAutoHyphens w:val="0"/>
              <w:autoSpaceDN/>
              <w:spacing w:before="50" w:after="0"/>
              <w:ind w:firstLine="0"/>
              <w:jc w:val="left"/>
              <w:textAlignment w:val="auto"/>
              <w:rPr>
                <w:rFonts w:eastAsiaTheme="minorHAnsi"/>
                <w:b/>
                <w:bCs/>
                <w:kern w:val="0"/>
                <w:sz w:val="20"/>
                <w:szCs w:val="20"/>
                <w:lang w:val="sr-Latn-RS" w:eastAsia="en-US" w:bidi="ar-SA"/>
              </w:rPr>
            </w:pPr>
            <w:r w:rsidRPr="00246E68">
              <w:rPr>
                <w:rFonts w:eastAsiaTheme="minorHAnsi"/>
                <w:b/>
                <w:bCs/>
                <w:kern w:val="0"/>
                <w:sz w:val="20"/>
                <w:szCs w:val="20"/>
                <w:lang w:eastAsia="en-US" w:bidi="ar-SA"/>
              </w:rPr>
              <w:t>Подаци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полазној</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вредности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години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кад</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је</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измерена</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тренду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прошлости</w:t>
            </w:r>
          </w:p>
        </w:tc>
        <w:tc>
          <w:tcPr>
            <w:tcW w:w="2837" w:type="pct"/>
            <w:gridSpan w:val="10"/>
            <w:tcBorders>
              <w:bottom w:val="single" w:sz="4" w:space="0" w:color="auto"/>
            </w:tcBorders>
            <w:shd w:val="clear" w:color="auto" w:fill="FFFFFF" w:themeFill="background1"/>
            <w:vAlign w:val="center"/>
          </w:tcPr>
          <w:p w14:paraId="50C5F892" w14:textId="77777777" w:rsidR="00246E68" w:rsidRPr="00246E68" w:rsidRDefault="00246E68" w:rsidP="00246E68">
            <w:pPr>
              <w:suppressAutoHyphens w:val="0"/>
              <w:autoSpaceDN/>
              <w:spacing w:before="0" w:after="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Тренд у прошлости</w:t>
            </w:r>
          </w:p>
        </w:tc>
        <w:tc>
          <w:tcPr>
            <w:tcW w:w="877" w:type="pct"/>
            <w:gridSpan w:val="3"/>
            <w:shd w:val="clear" w:color="auto" w:fill="FFFFFF" w:themeFill="background1"/>
            <w:vAlign w:val="center"/>
          </w:tcPr>
          <w:p w14:paraId="55DDEA0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Полазна вредност</w:t>
            </w:r>
          </w:p>
        </w:tc>
      </w:tr>
      <w:tr w:rsidR="00246E68" w:rsidRPr="00246E68" w14:paraId="6CA1A219" w14:textId="77777777" w:rsidTr="00DA6BE3">
        <w:trPr>
          <w:trHeight w:val="137"/>
          <w:jc w:val="center"/>
        </w:trPr>
        <w:tc>
          <w:tcPr>
            <w:tcW w:w="1286" w:type="pct"/>
            <w:vMerge/>
            <w:tcBorders>
              <w:right w:val="single" w:sz="4" w:space="0" w:color="auto"/>
            </w:tcBorders>
            <w:shd w:val="clear" w:color="auto" w:fill="auto"/>
          </w:tcPr>
          <w:p w14:paraId="5B8C0CBF"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9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1F0A7"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2016</w:t>
            </w:r>
          </w:p>
        </w:tc>
        <w:tc>
          <w:tcPr>
            <w:tcW w:w="89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9F46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2017</w:t>
            </w:r>
          </w:p>
        </w:tc>
        <w:tc>
          <w:tcPr>
            <w:tcW w:w="95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22D6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2018</w:t>
            </w:r>
          </w:p>
        </w:tc>
        <w:tc>
          <w:tcPr>
            <w:tcW w:w="877" w:type="pct"/>
            <w:gridSpan w:val="3"/>
            <w:tcBorders>
              <w:left w:val="single" w:sz="4" w:space="0" w:color="auto"/>
            </w:tcBorders>
            <w:shd w:val="clear" w:color="auto" w:fill="FFFFFF" w:themeFill="background1"/>
            <w:vAlign w:val="center"/>
          </w:tcPr>
          <w:p w14:paraId="34C45FF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2019 или 2020</w:t>
            </w:r>
          </w:p>
        </w:tc>
      </w:tr>
      <w:tr w:rsidR="00246E68" w:rsidRPr="00246E68" w14:paraId="11F31957" w14:textId="77777777" w:rsidTr="00DA6BE3">
        <w:trPr>
          <w:trHeight w:val="323"/>
          <w:jc w:val="center"/>
        </w:trPr>
        <w:tc>
          <w:tcPr>
            <w:tcW w:w="1286" w:type="pct"/>
            <w:vMerge/>
            <w:shd w:val="clear" w:color="auto" w:fill="auto"/>
          </w:tcPr>
          <w:p w14:paraId="0FD49B76"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90" w:type="pct"/>
            <w:gridSpan w:val="3"/>
            <w:tcBorders>
              <w:top w:val="single" w:sz="4" w:space="0" w:color="auto"/>
            </w:tcBorders>
            <w:shd w:val="clear" w:color="auto" w:fill="FFFFFF" w:themeFill="background1"/>
            <w:vAlign w:val="center"/>
          </w:tcPr>
          <w:p w14:paraId="6A5CB370"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94" w:type="pct"/>
            <w:gridSpan w:val="4"/>
            <w:tcBorders>
              <w:top w:val="single" w:sz="4" w:space="0" w:color="auto"/>
            </w:tcBorders>
            <w:shd w:val="clear" w:color="auto" w:fill="FFFFFF" w:themeFill="background1"/>
            <w:vAlign w:val="center"/>
          </w:tcPr>
          <w:p w14:paraId="015CCB0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953" w:type="pct"/>
            <w:gridSpan w:val="3"/>
            <w:tcBorders>
              <w:top w:val="single" w:sz="4" w:space="0" w:color="auto"/>
            </w:tcBorders>
            <w:shd w:val="clear" w:color="auto" w:fill="FFFFFF" w:themeFill="background1"/>
            <w:vAlign w:val="center"/>
          </w:tcPr>
          <w:p w14:paraId="5FE557E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77" w:type="pct"/>
            <w:gridSpan w:val="3"/>
            <w:shd w:val="clear" w:color="auto" w:fill="FFFFFF" w:themeFill="background1"/>
            <w:vAlign w:val="center"/>
          </w:tcPr>
          <w:p w14:paraId="7C6A37FF" w14:textId="3F87F4E0" w:rsidR="00246E68" w:rsidRPr="00246E68" w:rsidRDefault="00065AE4" w:rsidP="00246E68">
            <w:pPr>
              <w:suppressAutoHyphens w:val="0"/>
              <w:autoSpaceDN/>
              <w:spacing w:before="50" w:after="50"/>
              <w:ind w:firstLine="0"/>
              <w:jc w:val="center"/>
              <w:textAlignment w:val="auto"/>
              <w:rPr>
                <w:rFonts w:eastAsiaTheme="minorHAnsi"/>
                <w:iCs/>
                <w:kern w:val="0"/>
                <w:sz w:val="20"/>
                <w:szCs w:val="20"/>
                <w:lang w:eastAsia="en-US" w:bidi="ar-SA"/>
              </w:rPr>
            </w:pPr>
            <w:r>
              <w:rPr>
                <w:rFonts w:eastAsiaTheme="minorHAnsi"/>
                <w:iCs/>
                <w:kern w:val="0"/>
                <w:sz w:val="20"/>
                <w:szCs w:val="20"/>
                <w:lang w:eastAsia="en-US" w:bidi="ar-SA"/>
              </w:rPr>
              <w:t>6</w:t>
            </w:r>
          </w:p>
        </w:tc>
      </w:tr>
      <w:tr w:rsidR="00246E68" w:rsidRPr="00246E68" w14:paraId="64047AC7" w14:textId="77777777" w:rsidTr="00DA6BE3">
        <w:trPr>
          <w:trHeight w:val="274"/>
          <w:jc w:val="center"/>
        </w:trPr>
        <w:tc>
          <w:tcPr>
            <w:tcW w:w="1286" w:type="pct"/>
            <w:vMerge w:val="restart"/>
            <w:shd w:val="clear" w:color="auto" w:fill="auto"/>
          </w:tcPr>
          <w:p w14:paraId="361FE111" w14:textId="77777777" w:rsidR="00246E68" w:rsidRPr="00246E68" w:rsidRDefault="00246E68" w:rsidP="00246E68">
            <w:pPr>
              <w:suppressAutoHyphens w:val="0"/>
              <w:autoSpaceDN/>
              <w:spacing w:before="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Подаци о циљним вредностима</w:t>
            </w:r>
          </w:p>
        </w:tc>
        <w:tc>
          <w:tcPr>
            <w:tcW w:w="345" w:type="pct"/>
            <w:shd w:val="clear" w:color="auto" w:fill="FFFFFF" w:themeFill="background1"/>
            <w:vAlign w:val="center"/>
          </w:tcPr>
          <w:p w14:paraId="000A2771"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2021</w:t>
            </w:r>
          </w:p>
        </w:tc>
        <w:tc>
          <w:tcPr>
            <w:tcW w:w="355" w:type="pct"/>
            <w:shd w:val="clear" w:color="auto" w:fill="FFFFFF" w:themeFill="background1"/>
            <w:vAlign w:val="center"/>
          </w:tcPr>
          <w:p w14:paraId="2097BA7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2022</w:t>
            </w:r>
          </w:p>
        </w:tc>
        <w:tc>
          <w:tcPr>
            <w:tcW w:w="438" w:type="pct"/>
            <w:gridSpan w:val="2"/>
            <w:shd w:val="clear" w:color="auto" w:fill="FFFFFF" w:themeFill="background1"/>
            <w:vAlign w:val="center"/>
          </w:tcPr>
          <w:p w14:paraId="77DA6690"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2023</w:t>
            </w:r>
          </w:p>
        </w:tc>
        <w:tc>
          <w:tcPr>
            <w:tcW w:w="372" w:type="pct"/>
            <w:shd w:val="clear" w:color="auto" w:fill="FFFFFF" w:themeFill="background1"/>
            <w:vAlign w:val="center"/>
          </w:tcPr>
          <w:p w14:paraId="109D944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2024</w:t>
            </w:r>
          </w:p>
        </w:tc>
        <w:tc>
          <w:tcPr>
            <w:tcW w:w="373" w:type="pct"/>
            <w:gridSpan w:val="2"/>
            <w:shd w:val="clear" w:color="auto" w:fill="FFFFFF" w:themeFill="background1"/>
            <w:vAlign w:val="center"/>
          </w:tcPr>
          <w:p w14:paraId="084E4C47"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2025</w:t>
            </w:r>
          </w:p>
        </w:tc>
        <w:tc>
          <w:tcPr>
            <w:tcW w:w="369" w:type="pct"/>
            <w:shd w:val="clear" w:color="auto" w:fill="FFFFFF" w:themeFill="background1"/>
            <w:vAlign w:val="center"/>
          </w:tcPr>
          <w:p w14:paraId="3ED0E329"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2026</w:t>
            </w:r>
          </w:p>
        </w:tc>
        <w:tc>
          <w:tcPr>
            <w:tcW w:w="373" w:type="pct"/>
            <w:shd w:val="clear" w:color="auto" w:fill="FFFFFF" w:themeFill="background1"/>
            <w:vAlign w:val="center"/>
          </w:tcPr>
          <w:p w14:paraId="6EA76B8A"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2027</w:t>
            </w:r>
          </w:p>
        </w:tc>
        <w:tc>
          <w:tcPr>
            <w:tcW w:w="365" w:type="pct"/>
            <w:gridSpan w:val="2"/>
            <w:shd w:val="clear" w:color="auto" w:fill="FFFFFF" w:themeFill="background1"/>
            <w:vAlign w:val="center"/>
          </w:tcPr>
          <w:p w14:paraId="27D5908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2028</w:t>
            </w:r>
          </w:p>
        </w:tc>
        <w:tc>
          <w:tcPr>
            <w:tcW w:w="369" w:type="pct"/>
            <w:shd w:val="clear" w:color="auto" w:fill="FFFFFF" w:themeFill="background1"/>
            <w:vAlign w:val="center"/>
          </w:tcPr>
          <w:p w14:paraId="47178881"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2029</w:t>
            </w:r>
          </w:p>
        </w:tc>
        <w:tc>
          <w:tcPr>
            <w:tcW w:w="353" w:type="pct"/>
            <w:shd w:val="clear" w:color="auto" w:fill="FFFFFF" w:themeFill="background1"/>
            <w:vAlign w:val="center"/>
          </w:tcPr>
          <w:p w14:paraId="6CDC8C6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2030</w:t>
            </w:r>
          </w:p>
        </w:tc>
      </w:tr>
      <w:tr w:rsidR="00246E68" w:rsidRPr="00246E68" w14:paraId="1711DB02" w14:textId="77777777" w:rsidTr="00DA6BE3">
        <w:trPr>
          <w:trHeight w:val="160"/>
          <w:jc w:val="center"/>
        </w:trPr>
        <w:tc>
          <w:tcPr>
            <w:tcW w:w="1286" w:type="pct"/>
            <w:vMerge/>
            <w:shd w:val="clear" w:color="auto" w:fill="auto"/>
          </w:tcPr>
          <w:p w14:paraId="1AE71942"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345" w:type="pct"/>
            <w:shd w:val="clear" w:color="auto" w:fill="FFFFFF" w:themeFill="background1"/>
          </w:tcPr>
          <w:p w14:paraId="2EC0C13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6</w:t>
            </w:r>
          </w:p>
        </w:tc>
        <w:tc>
          <w:tcPr>
            <w:tcW w:w="355" w:type="pct"/>
            <w:shd w:val="clear" w:color="auto" w:fill="FFFFFF" w:themeFill="background1"/>
          </w:tcPr>
          <w:p w14:paraId="33C0EBF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7</w:t>
            </w:r>
          </w:p>
        </w:tc>
        <w:tc>
          <w:tcPr>
            <w:tcW w:w="438" w:type="pct"/>
            <w:gridSpan w:val="2"/>
            <w:shd w:val="clear" w:color="auto" w:fill="FFFFFF" w:themeFill="background1"/>
          </w:tcPr>
          <w:p w14:paraId="0B2A2BA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9</w:t>
            </w:r>
          </w:p>
        </w:tc>
        <w:tc>
          <w:tcPr>
            <w:tcW w:w="372" w:type="pct"/>
            <w:shd w:val="clear" w:color="auto" w:fill="FFFFFF" w:themeFill="background1"/>
          </w:tcPr>
          <w:p w14:paraId="6BDA020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9</w:t>
            </w:r>
          </w:p>
        </w:tc>
        <w:tc>
          <w:tcPr>
            <w:tcW w:w="373" w:type="pct"/>
            <w:gridSpan w:val="2"/>
            <w:shd w:val="clear" w:color="auto" w:fill="FFFFFF" w:themeFill="background1"/>
          </w:tcPr>
          <w:p w14:paraId="258CCE9D"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9</w:t>
            </w:r>
          </w:p>
        </w:tc>
        <w:tc>
          <w:tcPr>
            <w:tcW w:w="369" w:type="pct"/>
            <w:shd w:val="clear" w:color="auto" w:fill="FFFFFF" w:themeFill="background1"/>
          </w:tcPr>
          <w:p w14:paraId="25DF317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373" w:type="pct"/>
            <w:shd w:val="clear" w:color="auto" w:fill="FFFFFF" w:themeFill="background1"/>
          </w:tcPr>
          <w:p w14:paraId="7E7A0A5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365" w:type="pct"/>
            <w:gridSpan w:val="2"/>
            <w:shd w:val="clear" w:color="auto" w:fill="FFFFFF" w:themeFill="background1"/>
          </w:tcPr>
          <w:p w14:paraId="2AEC3A9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369" w:type="pct"/>
            <w:shd w:val="clear" w:color="auto" w:fill="FFFFFF" w:themeFill="background1"/>
          </w:tcPr>
          <w:p w14:paraId="4391BF7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353" w:type="pct"/>
            <w:shd w:val="clear" w:color="auto" w:fill="FFFFFF" w:themeFill="background1"/>
          </w:tcPr>
          <w:p w14:paraId="496A88E0"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r>
      <w:tr w:rsidR="00246E68" w:rsidRPr="00246E68" w14:paraId="37DEE8C3" w14:textId="77777777" w:rsidTr="00DA6BE3">
        <w:trPr>
          <w:trHeight w:val="160"/>
          <w:jc w:val="center"/>
        </w:trPr>
        <w:tc>
          <w:tcPr>
            <w:tcW w:w="1286" w:type="pct"/>
            <w:shd w:val="clear" w:color="auto" w:fill="auto"/>
          </w:tcPr>
          <w:p w14:paraId="230BA934"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Процена успешности</w:t>
            </w:r>
          </w:p>
        </w:tc>
        <w:tc>
          <w:tcPr>
            <w:tcW w:w="3714" w:type="pct"/>
            <w:gridSpan w:val="13"/>
            <w:shd w:val="clear" w:color="auto" w:fill="FFFFFF" w:themeFill="background1"/>
            <w:vAlign w:val="center"/>
          </w:tcPr>
          <w:p w14:paraId="116702B1" w14:textId="77777777" w:rsidR="00246E68" w:rsidRPr="00246E68" w:rsidRDefault="00246E68" w:rsidP="00246E68">
            <w:pPr>
              <w:suppressAutoHyphens w:val="0"/>
              <w:autoSpaceDN/>
              <w:spacing w:before="50" w:after="50"/>
              <w:ind w:firstLine="0"/>
              <w:jc w:val="left"/>
              <w:textAlignment w:val="auto"/>
              <w:rPr>
                <w:rFonts w:eastAsiaTheme="minorHAnsi"/>
                <w:iCs/>
                <w:kern w:val="0"/>
                <w:sz w:val="20"/>
                <w:szCs w:val="20"/>
                <w:lang w:eastAsia="en-US" w:bidi="ar-SA"/>
              </w:rPr>
            </w:pPr>
            <w:r w:rsidRPr="00246E68">
              <w:rPr>
                <w:rFonts w:eastAsiaTheme="minorHAnsi"/>
                <w:iCs/>
                <w:kern w:val="0"/>
                <w:sz w:val="20"/>
                <w:szCs w:val="20"/>
                <w:lang w:eastAsia="en-US" w:bidi="ar-SA"/>
              </w:rPr>
              <w:t>Без одступања</w:t>
            </w:r>
          </w:p>
        </w:tc>
      </w:tr>
    </w:tbl>
    <w:p w14:paraId="7D945DF9" w14:textId="77777777" w:rsidR="00246E68" w:rsidRPr="00246E68" w:rsidRDefault="00246E68" w:rsidP="00246E68">
      <w:pPr>
        <w:suppressAutoHyphens w:val="0"/>
        <w:autoSpaceDN/>
        <w:spacing w:before="0" w:after="0"/>
        <w:ind w:firstLine="0"/>
        <w:jc w:val="left"/>
        <w:textAlignment w:val="auto"/>
        <w:rPr>
          <w:rFonts w:eastAsiaTheme="minorHAnsi"/>
          <w:b/>
          <w:color w:val="A6A6A6" w:themeColor="background1" w:themeShade="A6"/>
          <w:kern w:val="0"/>
          <w:lang w:eastAsia="en-US" w:bidi="ar-SA"/>
        </w:rPr>
      </w:pPr>
    </w:p>
    <w:p w14:paraId="3FE61131" w14:textId="77777777" w:rsidR="00246E68" w:rsidRPr="00246E68" w:rsidRDefault="00246E68" w:rsidP="00246E68">
      <w:pPr>
        <w:suppressAutoHyphens w:val="0"/>
        <w:autoSpaceDN/>
        <w:spacing w:before="0" w:after="0"/>
        <w:ind w:firstLine="0"/>
        <w:jc w:val="left"/>
        <w:textAlignment w:val="auto"/>
        <w:rPr>
          <w:rFonts w:eastAsiaTheme="minorHAnsi"/>
          <w:b/>
          <w:color w:val="A6A6A6" w:themeColor="background1" w:themeShade="A6"/>
          <w:kern w:val="0"/>
          <w:lang w:eastAsia="en-US" w:bidi="ar-SA"/>
        </w:rPr>
      </w:pPr>
    </w:p>
    <w:p w14:paraId="782E68D4" w14:textId="77777777" w:rsidR="00246E68" w:rsidRPr="00246E68" w:rsidRDefault="00246E68" w:rsidP="00246E68">
      <w:pPr>
        <w:suppressAutoHyphens w:val="0"/>
        <w:autoSpaceDN/>
        <w:spacing w:before="0" w:after="0"/>
        <w:ind w:firstLine="0"/>
        <w:jc w:val="left"/>
        <w:textAlignment w:val="auto"/>
        <w:rPr>
          <w:rFonts w:eastAsiaTheme="minorHAnsi"/>
          <w:b/>
          <w:color w:val="A6A6A6" w:themeColor="background1" w:themeShade="A6"/>
          <w:kern w:val="0"/>
          <w:lang w:eastAsia="en-US" w:bidi="ar-SA"/>
        </w:rPr>
      </w:pPr>
    </w:p>
    <w:p w14:paraId="277879AA" w14:textId="77777777" w:rsidR="00246E68" w:rsidRPr="00246E68" w:rsidRDefault="00246E68" w:rsidP="00246E68">
      <w:pPr>
        <w:suppressAutoHyphens w:val="0"/>
        <w:autoSpaceDN/>
        <w:spacing w:before="0" w:after="0"/>
        <w:ind w:firstLine="0"/>
        <w:jc w:val="left"/>
        <w:textAlignment w:val="auto"/>
        <w:rPr>
          <w:rFonts w:eastAsiaTheme="minorHAnsi"/>
          <w:b/>
          <w:color w:val="A6A6A6" w:themeColor="background1" w:themeShade="A6"/>
          <w:kern w:val="0"/>
          <w:lang w:val="sr-Latn-RS" w:eastAsia="en-US" w:bidi="ar-SA"/>
        </w:rPr>
      </w:pPr>
      <w:r w:rsidRPr="00246E68">
        <w:rPr>
          <w:rFonts w:eastAsiaTheme="minorHAnsi"/>
          <w:b/>
          <w:color w:val="A6A6A6" w:themeColor="background1" w:themeShade="A6"/>
          <w:kern w:val="0"/>
          <w:lang w:eastAsia="en-US" w:bidi="ar-SA"/>
        </w:rPr>
        <w:t>КОМУНИКАЦИЈА И ВИДЉИВОСТ</w:t>
      </w:r>
    </w:p>
    <w:p w14:paraId="53E030EB" w14:textId="77777777" w:rsidR="00246E68" w:rsidRPr="00246E68" w:rsidRDefault="00246E68" w:rsidP="00246E68">
      <w:pPr>
        <w:suppressAutoHyphens w:val="0"/>
        <w:autoSpaceDN/>
        <w:spacing w:before="0" w:after="0"/>
        <w:ind w:firstLine="0"/>
        <w:jc w:val="left"/>
        <w:textAlignment w:val="auto"/>
        <w:rPr>
          <w:rFonts w:eastAsiaTheme="minorHAnsi"/>
          <w:kern w:val="0"/>
          <w:sz w:val="20"/>
          <w:szCs w:val="20"/>
          <w:lang w:eastAsia="en-US" w:bidi="ar-SA"/>
        </w:rPr>
      </w:pPr>
    </w:p>
    <w:p w14:paraId="5AC1901F" w14:textId="77777777" w:rsidR="00246E68" w:rsidRPr="00246E68" w:rsidRDefault="00246E68" w:rsidP="00246E68">
      <w:pPr>
        <w:suppressAutoHyphens w:val="0"/>
        <w:autoSpaceDN/>
        <w:spacing w:before="0" w:after="0"/>
        <w:ind w:firstLine="0"/>
        <w:jc w:val="left"/>
        <w:textAlignment w:val="auto"/>
        <w:rPr>
          <w:rFonts w:eastAsiaTheme="minorHAnsi"/>
          <w:b/>
          <w:bCs/>
          <w:color w:val="A6A6A6" w:themeColor="background1" w:themeShade="A6"/>
          <w:kern w:val="0"/>
          <w:sz w:val="20"/>
          <w:szCs w:val="20"/>
          <w:lang w:val="en-US" w:eastAsia="en-US" w:bidi="ar-SA"/>
        </w:rPr>
      </w:pPr>
      <w:r w:rsidRPr="00246E68">
        <w:rPr>
          <w:rFonts w:eastAsiaTheme="minorHAnsi"/>
          <w:b/>
          <w:bCs/>
          <w:color w:val="A6A6A6" w:themeColor="background1" w:themeShade="A6"/>
          <w:kern w:val="0"/>
          <w:sz w:val="20"/>
          <w:szCs w:val="20"/>
          <w:lang w:val="en-US" w:eastAsia="en-US" w:bidi="ar-SA"/>
        </w:rPr>
        <w:t>Показатељ 1</w:t>
      </w:r>
    </w:p>
    <w:p w14:paraId="4EC2CC8D"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9"/>
        <w:gridCol w:w="632"/>
        <w:gridCol w:w="651"/>
        <w:gridCol w:w="532"/>
        <w:gridCol w:w="272"/>
        <w:gridCol w:w="683"/>
        <w:gridCol w:w="637"/>
        <w:gridCol w:w="50"/>
        <w:gridCol w:w="677"/>
        <w:gridCol w:w="684"/>
        <w:gridCol w:w="387"/>
        <w:gridCol w:w="283"/>
        <w:gridCol w:w="677"/>
        <w:gridCol w:w="650"/>
      </w:tblGrid>
      <w:tr w:rsidR="00246E68" w:rsidRPr="00246E68" w14:paraId="0C12F038" w14:textId="77777777" w:rsidTr="00DA6BE3">
        <w:trPr>
          <w:jc w:val="center"/>
        </w:trPr>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2E2E84" w14:textId="77777777" w:rsidR="00246E68" w:rsidRPr="00246E68" w:rsidRDefault="00246E68" w:rsidP="00246E68">
            <w:pPr>
              <w:suppressAutoHyphens w:val="0"/>
              <w:autoSpaceDN/>
              <w:spacing w:before="100" w:after="100"/>
              <w:ind w:firstLine="0"/>
              <w:jc w:val="left"/>
              <w:textAlignment w:val="auto"/>
              <w:rPr>
                <w:rFonts w:eastAsiaTheme="minorHAnsi"/>
                <w:b/>
                <w:bCs/>
                <w:color w:val="FFFFFF" w:themeColor="background1"/>
                <w:kern w:val="0"/>
                <w:sz w:val="20"/>
                <w:szCs w:val="20"/>
                <w:lang w:val="en-US" w:eastAsia="en-US" w:bidi="ar-SA"/>
              </w:rPr>
            </w:pPr>
            <w:r w:rsidRPr="00246E68">
              <w:rPr>
                <w:rFonts w:eastAsiaTheme="minorHAnsi"/>
                <w:b/>
                <w:bCs/>
                <w:color w:val="FFFFFF" w:themeColor="background1"/>
                <w:kern w:val="0"/>
                <w:sz w:val="20"/>
                <w:szCs w:val="20"/>
                <w:lang w:val="en-US" w:eastAsia="en-US" w:bidi="ar-SA"/>
              </w:rPr>
              <w:t>Назив показатеља</w:t>
            </w:r>
          </w:p>
        </w:tc>
        <w:tc>
          <w:tcPr>
            <w:tcW w:w="3714" w:type="pct"/>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BB4A01" w14:textId="77777777" w:rsidR="00246E68" w:rsidRPr="00246E68" w:rsidRDefault="00246E68" w:rsidP="00246E68">
            <w:pPr>
              <w:suppressAutoHyphens w:val="0"/>
              <w:autoSpaceDN/>
              <w:spacing w:before="100" w:after="100"/>
              <w:ind w:firstLine="0"/>
              <w:jc w:val="left"/>
              <w:textAlignment w:val="auto"/>
              <w:rPr>
                <w:rFonts w:eastAsiaTheme="minorHAnsi"/>
                <w:b/>
                <w:iCs/>
                <w:color w:val="FFFFFF" w:themeColor="background1"/>
                <w:kern w:val="0"/>
                <w:sz w:val="20"/>
                <w:szCs w:val="20"/>
                <w:lang w:val="en-US" w:eastAsia="en-US" w:bidi="ar-SA"/>
              </w:rPr>
            </w:pPr>
            <w:r w:rsidRPr="00246E68">
              <w:rPr>
                <w:rFonts w:eastAsiaTheme="minorHAnsi"/>
                <w:b/>
                <w:bCs/>
                <w:color w:val="000000"/>
                <w:kern w:val="0"/>
                <w:sz w:val="20"/>
                <w:szCs w:val="20"/>
                <w:lang w:eastAsia="en-US" w:bidi="ar-SA"/>
              </w:rPr>
              <w:t>Постојање годишњег оперативног плана за комуницирање РЈУ</w:t>
            </w:r>
          </w:p>
        </w:tc>
      </w:tr>
      <w:tr w:rsidR="00246E68" w:rsidRPr="00246E68" w14:paraId="1CDEDC89" w14:textId="77777777" w:rsidTr="00DA6BE3">
        <w:trPr>
          <w:jc w:val="center"/>
        </w:trPr>
        <w:tc>
          <w:tcPr>
            <w:tcW w:w="1286" w:type="pct"/>
            <w:tcBorders>
              <w:top w:val="single" w:sz="4" w:space="0" w:color="auto"/>
              <w:left w:val="single" w:sz="4" w:space="0" w:color="auto"/>
              <w:bottom w:val="single" w:sz="4" w:space="0" w:color="auto"/>
              <w:right w:val="single" w:sz="4" w:space="0" w:color="auto"/>
            </w:tcBorders>
            <w:shd w:val="clear" w:color="auto" w:fill="auto"/>
          </w:tcPr>
          <w:p w14:paraId="4D963E61" w14:textId="77777777" w:rsidR="00246E68" w:rsidRPr="00065AE4" w:rsidRDefault="00246E68" w:rsidP="00246E68">
            <w:pPr>
              <w:suppressAutoHyphens w:val="0"/>
              <w:autoSpaceDN/>
              <w:spacing w:before="100" w:after="10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Одговарајући општи, посебни циљ или мера</w:t>
            </w:r>
          </w:p>
        </w:tc>
        <w:tc>
          <w:tcPr>
            <w:tcW w:w="3714" w:type="pct"/>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17E3E542" w14:textId="77777777" w:rsidR="00246E68" w:rsidRPr="00246E68" w:rsidRDefault="00246E68" w:rsidP="00246E68">
            <w:pPr>
              <w:suppressAutoHyphens w:val="0"/>
              <w:autoSpaceDN/>
              <w:spacing w:before="100" w:after="100"/>
              <w:ind w:firstLine="0"/>
              <w:jc w:val="left"/>
              <w:textAlignment w:val="auto"/>
              <w:rPr>
                <w:rFonts w:eastAsiaTheme="minorHAnsi"/>
                <w:b/>
                <w:iCs/>
                <w:color w:val="000000" w:themeColor="text1"/>
                <w:kern w:val="0"/>
                <w:sz w:val="20"/>
                <w:szCs w:val="20"/>
                <w:lang w:eastAsia="en-US" w:bidi="ar-SA"/>
              </w:rPr>
            </w:pPr>
            <w:r w:rsidRPr="00246E68">
              <w:rPr>
                <w:rFonts w:eastAsiaTheme="minorHAnsi"/>
                <w:color w:val="000000"/>
                <w:kern w:val="24"/>
                <w:sz w:val="20"/>
                <w:szCs w:val="20"/>
                <w:lang w:eastAsia="en-US" w:bidi="ar-SA"/>
              </w:rPr>
              <w:t>Мера 3: Успостављање функционалног координационог механизма за планирање, имплементацију и праћење комуницирања РЈУ на националном  нивоу</w:t>
            </w:r>
          </w:p>
        </w:tc>
      </w:tr>
      <w:tr w:rsidR="00246E68" w:rsidRPr="00246E68" w14:paraId="6DBE184A" w14:textId="77777777" w:rsidTr="00DA6BE3">
        <w:trPr>
          <w:jc w:val="center"/>
        </w:trPr>
        <w:tc>
          <w:tcPr>
            <w:tcW w:w="1286" w:type="pct"/>
            <w:shd w:val="clear" w:color="auto" w:fill="auto"/>
          </w:tcPr>
          <w:p w14:paraId="2CBF3928"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24"/>
                <w:sz w:val="20"/>
                <w:szCs w:val="20"/>
                <w:lang w:val="en-US" w:eastAsia="en-US" w:bidi="ar-SA"/>
              </w:rPr>
              <w:t>Тип и ниво показатеља</w:t>
            </w:r>
          </w:p>
        </w:tc>
        <w:tc>
          <w:tcPr>
            <w:tcW w:w="1857" w:type="pct"/>
            <w:gridSpan w:val="6"/>
            <w:shd w:val="clear" w:color="auto" w:fill="FFFFFF" w:themeFill="background1"/>
          </w:tcPr>
          <w:p w14:paraId="3F006EA6"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sr-Latn-RS" w:eastAsia="en-US" w:bidi="ar-SA"/>
              </w:rPr>
              <w:t>K</w:t>
            </w:r>
            <w:r w:rsidRPr="00246E68">
              <w:rPr>
                <w:rFonts w:eastAsiaTheme="minorHAnsi"/>
                <w:bCs/>
                <w:iCs/>
                <w:kern w:val="24"/>
                <w:sz w:val="20"/>
                <w:szCs w:val="20"/>
                <w:lang w:eastAsia="en-US" w:bidi="ar-SA"/>
              </w:rPr>
              <w:t>вантитативни</w:t>
            </w:r>
          </w:p>
        </w:tc>
        <w:tc>
          <w:tcPr>
            <w:tcW w:w="1857" w:type="pct"/>
            <w:gridSpan w:val="7"/>
            <w:shd w:val="clear" w:color="auto" w:fill="FFFFFF" w:themeFill="background1"/>
          </w:tcPr>
          <w:p w14:paraId="0EA1BC36"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en-US" w:eastAsia="en-US" w:bidi="ar-SA"/>
              </w:rPr>
              <w:t xml:space="preserve">Показатељ </w:t>
            </w:r>
            <w:r w:rsidRPr="00246E68">
              <w:rPr>
                <w:rFonts w:eastAsiaTheme="minorHAnsi"/>
                <w:bCs/>
                <w:iCs/>
                <w:kern w:val="24"/>
                <w:sz w:val="20"/>
                <w:szCs w:val="20"/>
                <w:lang w:eastAsia="en-US" w:bidi="ar-SA"/>
              </w:rPr>
              <w:t>резултата</w:t>
            </w:r>
          </w:p>
        </w:tc>
      </w:tr>
      <w:tr w:rsidR="00246E68" w:rsidRPr="00246E68" w14:paraId="296A1B21" w14:textId="77777777" w:rsidTr="00DA6BE3">
        <w:trPr>
          <w:trHeight w:val="373"/>
          <w:jc w:val="center"/>
        </w:trPr>
        <w:tc>
          <w:tcPr>
            <w:tcW w:w="1286" w:type="pct"/>
            <w:shd w:val="clear" w:color="auto" w:fill="auto"/>
          </w:tcPr>
          <w:p w14:paraId="30B6C353" w14:textId="77777777" w:rsidR="00246E68" w:rsidRPr="00246E68" w:rsidRDefault="00246E68" w:rsidP="00246E68">
            <w:pPr>
              <w:suppressAutoHyphens w:val="0"/>
              <w:autoSpaceDN/>
              <w:spacing w:before="50" w:after="50"/>
              <w:ind w:firstLine="0"/>
              <w:jc w:val="left"/>
              <w:textAlignment w:val="auto"/>
              <w:rPr>
                <w:rFonts w:eastAsiaTheme="minorHAnsi"/>
                <w:b/>
                <w:kern w:val="24"/>
                <w:sz w:val="20"/>
                <w:szCs w:val="20"/>
                <w:lang w:val="en-US" w:eastAsia="en-US" w:bidi="ar-SA"/>
              </w:rPr>
            </w:pPr>
            <w:r w:rsidRPr="00246E68">
              <w:rPr>
                <w:rFonts w:eastAsiaTheme="minorHAnsi"/>
                <w:b/>
                <w:kern w:val="24"/>
                <w:sz w:val="20"/>
                <w:szCs w:val="20"/>
                <w:lang w:val="en-US" w:eastAsia="en-US" w:bidi="ar-SA"/>
              </w:rPr>
              <w:t>Јединица мере и природа</w:t>
            </w:r>
          </w:p>
        </w:tc>
        <w:tc>
          <w:tcPr>
            <w:tcW w:w="1857" w:type="pct"/>
            <w:gridSpan w:val="6"/>
            <w:shd w:val="clear" w:color="auto" w:fill="FFFFFF" w:themeFill="background1"/>
          </w:tcPr>
          <w:p w14:paraId="6E70051E" w14:textId="77777777" w:rsidR="00246E68" w:rsidRPr="00246E68" w:rsidRDefault="00246E68" w:rsidP="00246E68">
            <w:pPr>
              <w:tabs>
                <w:tab w:val="left" w:pos="152"/>
              </w:tabs>
              <w:suppressAutoHyphens w:val="0"/>
              <w:autoSpaceDN/>
              <w:spacing w:before="50" w:after="50"/>
              <w:ind w:firstLine="0"/>
              <w:jc w:val="left"/>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Бројчана скала од 0-1</w:t>
            </w:r>
          </w:p>
        </w:tc>
        <w:tc>
          <w:tcPr>
            <w:tcW w:w="1857" w:type="pct"/>
            <w:gridSpan w:val="7"/>
            <w:shd w:val="clear" w:color="auto" w:fill="FFFFFF" w:themeFill="background1"/>
          </w:tcPr>
          <w:p w14:paraId="5A81320E" w14:textId="77777777" w:rsidR="00246E68" w:rsidRPr="00246E68" w:rsidRDefault="00246E68" w:rsidP="00246E68">
            <w:pPr>
              <w:suppressAutoHyphens w:val="0"/>
              <w:autoSpaceDN/>
              <w:spacing w:before="0" w:after="0"/>
              <w:ind w:firstLine="0"/>
              <w:jc w:val="left"/>
              <w:textAlignment w:val="auto"/>
              <w:rPr>
                <w:rFonts w:eastAsia="Arial"/>
                <w:iCs/>
                <w:color w:val="000000" w:themeColor="dark1"/>
                <w:spacing w:val="-1"/>
                <w:kern w:val="24"/>
                <w:sz w:val="20"/>
                <w:szCs w:val="20"/>
                <w:lang w:val="en-US" w:eastAsia="en-US" w:bidi="ar-SA"/>
              </w:rPr>
            </w:pPr>
            <w:r w:rsidRPr="00246E68">
              <w:rPr>
                <w:rFonts w:eastAsia="Arial"/>
                <w:iCs/>
                <w:color w:val="000000" w:themeColor="dark1"/>
                <w:spacing w:val="-1"/>
                <w:kern w:val="24"/>
                <w:sz w:val="20"/>
                <w:szCs w:val="20"/>
                <w:lang w:val="en-US" w:eastAsia="en-US" w:bidi="ar-SA"/>
              </w:rPr>
              <w:t>Пожељна је већа вредност</w:t>
            </w:r>
          </w:p>
        </w:tc>
      </w:tr>
      <w:tr w:rsidR="00246E68" w:rsidRPr="00246E68" w14:paraId="47DF67AF" w14:textId="77777777" w:rsidTr="00DA6BE3">
        <w:trPr>
          <w:jc w:val="center"/>
        </w:trPr>
        <w:tc>
          <w:tcPr>
            <w:tcW w:w="1286" w:type="pct"/>
            <w:shd w:val="clear" w:color="auto" w:fill="auto"/>
          </w:tcPr>
          <w:p w14:paraId="669F84DF" w14:textId="77777777" w:rsidR="00246E68" w:rsidRPr="00065AE4" w:rsidRDefault="00246E68" w:rsidP="00246E68">
            <w:pPr>
              <w:suppressAutoHyphens w:val="0"/>
              <w:autoSpaceDN/>
              <w:spacing w:before="50" w:after="5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Извор података за праћење показатеља учинка</w:t>
            </w:r>
          </w:p>
        </w:tc>
        <w:tc>
          <w:tcPr>
            <w:tcW w:w="3714" w:type="pct"/>
            <w:gridSpan w:val="13"/>
            <w:shd w:val="clear" w:color="auto" w:fill="FFFFFF" w:themeFill="background1"/>
          </w:tcPr>
          <w:p w14:paraId="10B94E95"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Подаци ће бити прикупљани  на националном нивоу.</w:t>
            </w:r>
          </w:p>
          <w:p w14:paraId="30086F5D"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p>
          <w:p w14:paraId="4EA51654"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Извори:</w:t>
            </w:r>
          </w:p>
          <w:p w14:paraId="2E5682A9" w14:textId="77777777" w:rsidR="00246E68" w:rsidRPr="00246E68" w:rsidRDefault="00246E68" w:rsidP="00246E68">
            <w:pPr>
              <w:suppressAutoHyphens w:val="0"/>
              <w:autoSpaceDN/>
              <w:spacing w:before="0" w:after="134"/>
              <w:ind w:firstLine="0"/>
              <w:jc w:val="left"/>
              <w:textAlignment w:val="auto"/>
              <w:rPr>
                <w:rFonts w:eastAsiaTheme="minorHAnsi"/>
                <w:kern w:val="0"/>
                <w:sz w:val="20"/>
                <w:szCs w:val="20"/>
                <w:lang w:eastAsia="en-US" w:bidi="ar-SA"/>
              </w:rPr>
            </w:pPr>
            <w:r w:rsidRPr="00246E68">
              <w:rPr>
                <w:rFonts w:eastAsiaTheme="minorHAnsi"/>
                <w:color w:val="000000"/>
                <w:kern w:val="0"/>
                <w:sz w:val="20"/>
                <w:szCs w:val="20"/>
                <w:lang w:eastAsia="en-GB" w:bidi="ar-SA"/>
              </w:rPr>
              <w:t>Записник са седнице Савета за РЈУ (или надлежног тела за координацију на политичком нивоу)</w:t>
            </w:r>
          </w:p>
        </w:tc>
      </w:tr>
      <w:tr w:rsidR="00246E68" w:rsidRPr="00246E68" w14:paraId="406F00FD" w14:textId="77777777" w:rsidTr="00DA6BE3">
        <w:trPr>
          <w:jc w:val="center"/>
        </w:trPr>
        <w:tc>
          <w:tcPr>
            <w:tcW w:w="1286" w:type="pct"/>
            <w:shd w:val="clear" w:color="auto" w:fill="auto"/>
          </w:tcPr>
          <w:p w14:paraId="609979B1"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Назив носиоца прикупљања података</w:t>
            </w:r>
          </w:p>
        </w:tc>
        <w:tc>
          <w:tcPr>
            <w:tcW w:w="3714" w:type="pct"/>
            <w:gridSpan w:val="13"/>
            <w:shd w:val="clear" w:color="auto" w:fill="FFFFFF" w:themeFill="background1"/>
          </w:tcPr>
          <w:p w14:paraId="7ADE6253"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kern w:val="0"/>
                <w:sz w:val="20"/>
                <w:szCs w:val="20"/>
                <w:lang w:val="en-US" w:eastAsia="en-US" w:bidi="ar-SA"/>
              </w:rPr>
              <w:t xml:space="preserve">МДУЛС </w:t>
            </w:r>
          </w:p>
        </w:tc>
      </w:tr>
      <w:tr w:rsidR="00246E68" w:rsidRPr="00246E68" w14:paraId="65BA31F6" w14:textId="77777777" w:rsidTr="00DA6BE3">
        <w:trPr>
          <w:jc w:val="center"/>
        </w:trPr>
        <w:tc>
          <w:tcPr>
            <w:tcW w:w="1286" w:type="pct"/>
            <w:shd w:val="clear" w:color="auto" w:fill="auto"/>
          </w:tcPr>
          <w:p w14:paraId="7D85C70B"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Учесталост прикупљања података</w:t>
            </w:r>
          </w:p>
        </w:tc>
        <w:tc>
          <w:tcPr>
            <w:tcW w:w="3714" w:type="pct"/>
            <w:gridSpan w:val="13"/>
            <w:shd w:val="clear" w:color="auto" w:fill="FFFFFF" w:themeFill="background1"/>
          </w:tcPr>
          <w:p w14:paraId="1031E8BC"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246E68" w:rsidRPr="00246E68" w14:paraId="04CFBA97" w14:textId="77777777" w:rsidTr="00DA6BE3">
        <w:trPr>
          <w:trHeight w:val="274"/>
          <w:jc w:val="center"/>
        </w:trPr>
        <w:tc>
          <w:tcPr>
            <w:tcW w:w="1286" w:type="pct"/>
            <w:shd w:val="clear" w:color="auto" w:fill="auto"/>
          </w:tcPr>
          <w:p w14:paraId="331B9704" w14:textId="77777777" w:rsidR="00246E68" w:rsidRPr="00065AE4" w:rsidRDefault="00246E68" w:rsidP="00246E68">
            <w:pPr>
              <w:suppressAutoHyphens w:val="0"/>
              <w:autoSpaceDN/>
              <w:spacing w:before="50" w:after="50"/>
              <w:ind w:firstLine="0"/>
              <w:jc w:val="left"/>
              <w:textAlignment w:val="auto"/>
              <w:rPr>
                <w:rFonts w:eastAsiaTheme="minorHAnsi"/>
                <w:b/>
                <w:kern w:val="0"/>
                <w:sz w:val="20"/>
                <w:szCs w:val="20"/>
                <w:lang w:eastAsia="en-US" w:bidi="ar-SA"/>
              </w:rPr>
            </w:pPr>
            <w:r w:rsidRPr="00065AE4">
              <w:rPr>
                <w:rFonts w:eastAsiaTheme="minorHAnsi"/>
                <w:b/>
                <w:kern w:val="0"/>
                <w:sz w:val="20"/>
                <w:szCs w:val="20"/>
                <w:lang w:eastAsia="en-US" w:bidi="ar-SA"/>
              </w:rPr>
              <w:t>Кратак опис показатеља и методологије израчунавања</w:t>
            </w:r>
          </w:p>
          <w:p w14:paraId="447D3677"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0"/>
                <w:sz w:val="20"/>
                <w:szCs w:val="20"/>
                <w:lang w:val="en-US" w:eastAsia="en-US" w:bidi="ar-SA"/>
              </w:rPr>
              <w:t>(формуле/ једначине)</w:t>
            </w:r>
          </w:p>
        </w:tc>
        <w:tc>
          <w:tcPr>
            <w:tcW w:w="3714" w:type="pct"/>
            <w:gridSpan w:val="13"/>
            <w:shd w:val="clear" w:color="auto" w:fill="FFFFFF" w:themeFill="background1"/>
          </w:tcPr>
          <w:p w14:paraId="129F4E0C" w14:textId="77777777" w:rsidR="00246E68" w:rsidRPr="00246E68" w:rsidRDefault="00246E68" w:rsidP="00246E68">
            <w:pPr>
              <w:suppressAutoHyphens w:val="0"/>
              <w:autoSpaceDN/>
              <w:spacing w:before="60" w:beforeAutospacing="1"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Вредност показатеља ће се утврдити у складу са тим да ли је израђен годишњи оперативни план за комуницирање РЈУ у складу са важећим АП за спровођење СРЈУ и налазима из годишњег истраживања информисаности кључних актера и јавности.</w:t>
            </w:r>
          </w:p>
          <w:p w14:paraId="0481DB89" w14:textId="77777777" w:rsidR="00246E68" w:rsidRPr="00246E68" w:rsidRDefault="00246E68" w:rsidP="00246E68">
            <w:pPr>
              <w:suppressAutoHyphens w:val="0"/>
              <w:autoSpaceDN/>
              <w:spacing w:before="60" w:beforeAutospacing="1" w:afterAutospacing="1"/>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Уколико је план усвојен, вредност показатеља је 1, а уколико није вредност је 0.</w:t>
            </w:r>
          </w:p>
        </w:tc>
      </w:tr>
      <w:tr w:rsidR="00246E68" w:rsidRPr="00246E68" w14:paraId="0E67F104" w14:textId="77777777" w:rsidTr="00DA6BE3">
        <w:trPr>
          <w:trHeight w:val="265"/>
          <w:jc w:val="center"/>
        </w:trPr>
        <w:tc>
          <w:tcPr>
            <w:tcW w:w="1286" w:type="pct"/>
            <w:vMerge w:val="restart"/>
            <w:shd w:val="clear" w:color="auto" w:fill="auto"/>
          </w:tcPr>
          <w:p w14:paraId="3035DF97" w14:textId="77777777" w:rsidR="00246E68" w:rsidRPr="00246E68" w:rsidRDefault="00246E68" w:rsidP="00246E68">
            <w:pPr>
              <w:suppressAutoHyphens w:val="0"/>
              <w:autoSpaceDN/>
              <w:spacing w:before="50" w:after="0"/>
              <w:ind w:firstLine="0"/>
              <w:jc w:val="left"/>
              <w:textAlignment w:val="auto"/>
              <w:rPr>
                <w:rFonts w:eastAsiaTheme="minorHAnsi"/>
                <w:b/>
                <w:bCs/>
                <w:kern w:val="0"/>
                <w:sz w:val="20"/>
                <w:szCs w:val="20"/>
                <w:lang w:val="sr-Latn-RS" w:eastAsia="en-US" w:bidi="ar-SA"/>
              </w:rPr>
            </w:pPr>
            <w:r w:rsidRPr="00246E68">
              <w:rPr>
                <w:rFonts w:eastAsiaTheme="minorHAnsi"/>
                <w:b/>
                <w:bCs/>
                <w:kern w:val="0"/>
                <w:sz w:val="20"/>
                <w:szCs w:val="20"/>
                <w:lang w:eastAsia="en-US" w:bidi="ar-SA"/>
              </w:rPr>
              <w:t>Подаци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полазној</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вредности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години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кад</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је</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измерена</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тренду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прошлости</w:t>
            </w:r>
          </w:p>
        </w:tc>
        <w:tc>
          <w:tcPr>
            <w:tcW w:w="2837" w:type="pct"/>
            <w:gridSpan w:val="10"/>
            <w:tcBorders>
              <w:bottom w:val="single" w:sz="4" w:space="0" w:color="auto"/>
            </w:tcBorders>
            <w:shd w:val="clear" w:color="auto" w:fill="FFFFFF" w:themeFill="background1"/>
            <w:vAlign w:val="center"/>
          </w:tcPr>
          <w:p w14:paraId="1DCF6831" w14:textId="77777777" w:rsidR="00246E68" w:rsidRPr="00246E68" w:rsidRDefault="00246E68" w:rsidP="00246E68">
            <w:pPr>
              <w:suppressAutoHyphens w:val="0"/>
              <w:autoSpaceDN/>
              <w:spacing w:before="0" w:after="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Тренд у прошлости</w:t>
            </w:r>
          </w:p>
        </w:tc>
        <w:tc>
          <w:tcPr>
            <w:tcW w:w="877" w:type="pct"/>
            <w:gridSpan w:val="3"/>
            <w:shd w:val="clear" w:color="auto" w:fill="FFFFFF" w:themeFill="background1"/>
            <w:vAlign w:val="center"/>
          </w:tcPr>
          <w:p w14:paraId="38DCEC7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Полазна вредност</w:t>
            </w:r>
          </w:p>
        </w:tc>
      </w:tr>
      <w:tr w:rsidR="00246E68" w:rsidRPr="00246E68" w14:paraId="30536165" w14:textId="77777777" w:rsidTr="00DA6BE3">
        <w:trPr>
          <w:trHeight w:val="137"/>
          <w:jc w:val="center"/>
        </w:trPr>
        <w:tc>
          <w:tcPr>
            <w:tcW w:w="1286" w:type="pct"/>
            <w:vMerge/>
            <w:tcBorders>
              <w:right w:val="single" w:sz="4" w:space="0" w:color="auto"/>
            </w:tcBorders>
            <w:shd w:val="clear" w:color="auto" w:fill="auto"/>
          </w:tcPr>
          <w:p w14:paraId="4495D5E2"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9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B181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2016</w:t>
            </w:r>
          </w:p>
        </w:tc>
        <w:tc>
          <w:tcPr>
            <w:tcW w:w="89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908A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2017</w:t>
            </w:r>
          </w:p>
        </w:tc>
        <w:tc>
          <w:tcPr>
            <w:tcW w:w="95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D824C"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2018</w:t>
            </w:r>
          </w:p>
        </w:tc>
        <w:tc>
          <w:tcPr>
            <w:tcW w:w="877" w:type="pct"/>
            <w:gridSpan w:val="3"/>
            <w:tcBorders>
              <w:left w:val="single" w:sz="4" w:space="0" w:color="auto"/>
            </w:tcBorders>
            <w:shd w:val="clear" w:color="auto" w:fill="FFFFFF" w:themeFill="background1"/>
            <w:vAlign w:val="center"/>
          </w:tcPr>
          <w:p w14:paraId="082C8E1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2019 или 2020</w:t>
            </w:r>
          </w:p>
        </w:tc>
      </w:tr>
      <w:tr w:rsidR="00246E68" w:rsidRPr="00246E68" w14:paraId="5DB9BF60" w14:textId="77777777" w:rsidTr="00DA6BE3">
        <w:trPr>
          <w:trHeight w:val="323"/>
          <w:jc w:val="center"/>
        </w:trPr>
        <w:tc>
          <w:tcPr>
            <w:tcW w:w="1286" w:type="pct"/>
            <w:vMerge/>
            <w:shd w:val="clear" w:color="auto" w:fill="auto"/>
          </w:tcPr>
          <w:p w14:paraId="09CC2827"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90" w:type="pct"/>
            <w:gridSpan w:val="3"/>
            <w:tcBorders>
              <w:top w:val="single" w:sz="4" w:space="0" w:color="auto"/>
            </w:tcBorders>
            <w:shd w:val="clear" w:color="auto" w:fill="FFFFFF" w:themeFill="background1"/>
            <w:vAlign w:val="center"/>
          </w:tcPr>
          <w:p w14:paraId="782D061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94" w:type="pct"/>
            <w:gridSpan w:val="4"/>
            <w:tcBorders>
              <w:top w:val="single" w:sz="4" w:space="0" w:color="auto"/>
            </w:tcBorders>
            <w:shd w:val="clear" w:color="auto" w:fill="FFFFFF" w:themeFill="background1"/>
            <w:vAlign w:val="center"/>
          </w:tcPr>
          <w:p w14:paraId="724F2A0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953" w:type="pct"/>
            <w:gridSpan w:val="3"/>
            <w:tcBorders>
              <w:top w:val="single" w:sz="4" w:space="0" w:color="auto"/>
            </w:tcBorders>
            <w:shd w:val="clear" w:color="auto" w:fill="FFFFFF" w:themeFill="background1"/>
            <w:vAlign w:val="center"/>
          </w:tcPr>
          <w:p w14:paraId="620BEC4A"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77" w:type="pct"/>
            <w:gridSpan w:val="3"/>
            <w:shd w:val="clear" w:color="auto" w:fill="FFFFFF" w:themeFill="background1"/>
            <w:vAlign w:val="center"/>
          </w:tcPr>
          <w:p w14:paraId="7E74B110"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eastAsia="en-US" w:bidi="ar-SA"/>
              </w:rPr>
            </w:pPr>
            <w:r w:rsidRPr="00246E68">
              <w:rPr>
                <w:rFonts w:eastAsiaTheme="minorHAnsi"/>
                <w:iCs/>
                <w:kern w:val="0"/>
                <w:sz w:val="20"/>
                <w:szCs w:val="20"/>
                <w:lang w:eastAsia="en-US" w:bidi="ar-SA"/>
              </w:rPr>
              <w:t>0</w:t>
            </w:r>
          </w:p>
        </w:tc>
      </w:tr>
      <w:tr w:rsidR="00246E68" w:rsidRPr="00246E68" w14:paraId="5350B6F1" w14:textId="77777777" w:rsidTr="00DA6BE3">
        <w:trPr>
          <w:trHeight w:val="274"/>
          <w:jc w:val="center"/>
        </w:trPr>
        <w:tc>
          <w:tcPr>
            <w:tcW w:w="1286" w:type="pct"/>
            <w:vMerge w:val="restart"/>
            <w:shd w:val="clear" w:color="auto" w:fill="auto"/>
          </w:tcPr>
          <w:p w14:paraId="39EFBCC9" w14:textId="77777777" w:rsidR="00246E68" w:rsidRPr="00246E68" w:rsidRDefault="00246E68" w:rsidP="00246E68">
            <w:pPr>
              <w:suppressAutoHyphens w:val="0"/>
              <w:autoSpaceDN/>
              <w:spacing w:before="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Подаци о циљним вредностима</w:t>
            </w:r>
          </w:p>
        </w:tc>
        <w:tc>
          <w:tcPr>
            <w:tcW w:w="345" w:type="pct"/>
            <w:shd w:val="clear" w:color="auto" w:fill="FFFFFF" w:themeFill="background1"/>
            <w:vAlign w:val="center"/>
          </w:tcPr>
          <w:p w14:paraId="3D2A4EF9"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2021</w:t>
            </w:r>
          </w:p>
        </w:tc>
        <w:tc>
          <w:tcPr>
            <w:tcW w:w="355" w:type="pct"/>
            <w:shd w:val="clear" w:color="auto" w:fill="FFFFFF" w:themeFill="background1"/>
            <w:vAlign w:val="center"/>
          </w:tcPr>
          <w:p w14:paraId="1B248C2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2022</w:t>
            </w:r>
          </w:p>
        </w:tc>
        <w:tc>
          <w:tcPr>
            <w:tcW w:w="438" w:type="pct"/>
            <w:gridSpan w:val="2"/>
            <w:shd w:val="clear" w:color="auto" w:fill="FFFFFF" w:themeFill="background1"/>
            <w:vAlign w:val="center"/>
          </w:tcPr>
          <w:p w14:paraId="6420E0D9"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2023</w:t>
            </w:r>
          </w:p>
        </w:tc>
        <w:tc>
          <w:tcPr>
            <w:tcW w:w="372" w:type="pct"/>
            <w:shd w:val="clear" w:color="auto" w:fill="FFFFFF" w:themeFill="background1"/>
            <w:vAlign w:val="center"/>
          </w:tcPr>
          <w:p w14:paraId="5C5EBF4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2024</w:t>
            </w:r>
          </w:p>
        </w:tc>
        <w:tc>
          <w:tcPr>
            <w:tcW w:w="373" w:type="pct"/>
            <w:gridSpan w:val="2"/>
            <w:shd w:val="clear" w:color="auto" w:fill="FFFFFF" w:themeFill="background1"/>
            <w:vAlign w:val="center"/>
          </w:tcPr>
          <w:p w14:paraId="39DC9D1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2025</w:t>
            </w:r>
          </w:p>
        </w:tc>
        <w:tc>
          <w:tcPr>
            <w:tcW w:w="369" w:type="pct"/>
            <w:shd w:val="clear" w:color="auto" w:fill="FFFFFF" w:themeFill="background1"/>
            <w:vAlign w:val="center"/>
          </w:tcPr>
          <w:p w14:paraId="5F848D0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2026</w:t>
            </w:r>
          </w:p>
        </w:tc>
        <w:tc>
          <w:tcPr>
            <w:tcW w:w="373" w:type="pct"/>
            <w:shd w:val="clear" w:color="auto" w:fill="FFFFFF" w:themeFill="background1"/>
            <w:vAlign w:val="center"/>
          </w:tcPr>
          <w:p w14:paraId="7B23D69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2027</w:t>
            </w:r>
          </w:p>
        </w:tc>
        <w:tc>
          <w:tcPr>
            <w:tcW w:w="365" w:type="pct"/>
            <w:gridSpan w:val="2"/>
            <w:shd w:val="clear" w:color="auto" w:fill="FFFFFF" w:themeFill="background1"/>
            <w:vAlign w:val="center"/>
          </w:tcPr>
          <w:p w14:paraId="28EBE81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2028</w:t>
            </w:r>
          </w:p>
        </w:tc>
        <w:tc>
          <w:tcPr>
            <w:tcW w:w="369" w:type="pct"/>
            <w:shd w:val="clear" w:color="auto" w:fill="FFFFFF" w:themeFill="background1"/>
            <w:vAlign w:val="center"/>
          </w:tcPr>
          <w:p w14:paraId="7D32E190"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2029</w:t>
            </w:r>
          </w:p>
        </w:tc>
        <w:tc>
          <w:tcPr>
            <w:tcW w:w="353" w:type="pct"/>
            <w:shd w:val="clear" w:color="auto" w:fill="FFFFFF" w:themeFill="background1"/>
            <w:vAlign w:val="center"/>
          </w:tcPr>
          <w:p w14:paraId="24044827"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2030</w:t>
            </w:r>
          </w:p>
        </w:tc>
      </w:tr>
      <w:tr w:rsidR="00246E68" w:rsidRPr="00246E68" w14:paraId="30AE1FFE" w14:textId="77777777" w:rsidTr="00DA6BE3">
        <w:trPr>
          <w:trHeight w:val="160"/>
          <w:jc w:val="center"/>
        </w:trPr>
        <w:tc>
          <w:tcPr>
            <w:tcW w:w="1286" w:type="pct"/>
            <w:vMerge/>
            <w:shd w:val="clear" w:color="auto" w:fill="auto"/>
          </w:tcPr>
          <w:p w14:paraId="5A870CEC"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345" w:type="pct"/>
            <w:shd w:val="clear" w:color="auto" w:fill="FFFFFF" w:themeFill="background1"/>
          </w:tcPr>
          <w:p w14:paraId="0A079D9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w:t>
            </w:r>
          </w:p>
        </w:tc>
        <w:tc>
          <w:tcPr>
            <w:tcW w:w="355" w:type="pct"/>
            <w:shd w:val="clear" w:color="auto" w:fill="FFFFFF" w:themeFill="background1"/>
          </w:tcPr>
          <w:p w14:paraId="61366EB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w:t>
            </w:r>
          </w:p>
        </w:tc>
        <w:tc>
          <w:tcPr>
            <w:tcW w:w="438" w:type="pct"/>
            <w:gridSpan w:val="2"/>
            <w:shd w:val="clear" w:color="auto" w:fill="FFFFFF" w:themeFill="background1"/>
          </w:tcPr>
          <w:p w14:paraId="00435FA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w:t>
            </w:r>
          </w:p>
        </w:tc>
        <w:tc>
          <w:tcPr>
            <w:tcW w:w="372" w:type="pct"/>
            <w:shd w:val="clear" w:color="auto" w:fill="FFFFFF" w:themeFill="background1"/>
          </w:tcPr>
          <w:p w14:paraId="33B8F0A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w:t>
            </w:r>
          </w:p>
        </w:tc>
        <w:tc>
          <w:tcPr>
            <w:tcW w:w="373" w:type="pct"/>
            <w:gridSpan w:val="2"/>
            <w:shd w:val="clear" w:color="auto" w:fill="FFFFFF" w:themeFill="background1"/>
          </w:tcPr>
          <w:p w14:paraId="58F4AA2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w:t>
            </w:r>
          </w:p>
        </w:tc>
        <w:tc>
          <w:tcPr>
            <w:tcW w:w="369" w:type="pct"/>
            <w:shd w:val="clear" w:color="auto" w:fill="FFFFFF" w:themeFill="background1"/>
          </w:tcPr>
          <w:p w14:paraId="3D309BF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w:t>
            </w:r>
          </w:p>
        </w:tc>
        <w:tc>
          <w:tcPr>
            <w:tcW w:w="373" w:type="pct"/>
            <w:shd w:val="clear" w:color="auto" w:fill="FFFFFF" w:themeFill="background1"/>
          </w:tcPr>
          <w:p w14:paraId="0CDB5D79"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w:t>
            </w:r>
          </w:p>
        </w:tc>
        <w:tc>
          <w:tcPr>
            <w:tcW w:w="365" w:type="pct"/>
            <w:gridSpan w:val="2"/>
            <w:shd w:val="clear" w:color="auto" w:fill="FFFFFF" w:themeFill="background1"/>
          </w:tcPr>
          <w:p w14:paraId="569D942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w:t>
            </w:r>
          </w:p>
        </w:tc>
        <w:tc>
          <w:tcPr>
            <w:tcW w:w="369" w:type="pct"/>
            <w:shd w:val="clear" w:color="auto" w:fill="FFFFFF" w:themeFill="background1"/>
          </w:tcPr>
          <w:p w14:paraId="764A0BB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w:t>
            </w:r>
          </w:p>
        </w:tc>
        <w:tc>
          <w:tcPr>
            <w:tcW w:w="353" w:type="pct"/>
            <w:shd w:val="clear" w:color="auto" w:fill="FFFFFF" w:themeFill="background1"/>
          </w:tcPr>
          <w:p w14:paraId="11B03A0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w:t>
            </w:r>
          </w:p>
        </w:tc>
      </w:tr>
      <w:tr w:rsidR="00246E68" w:rsidRPr="00246E68" w14:paraId="1781DBED" w14:textId="77777777" w:rsidTr="00DA6BE3">
        <w:trPr>
          <w:trHeight w:val="160"/>
          <w:jc w:val="center"/>
        </w:trPr>
        <w:tc>
          <w:tcPr>
            <w:tcW w:w="1286" w:type="pct"/>
            <w:shd w:val="clear" w:color="auto" w:fill="auto"/>
          </w:tcPr>
          <w:p w14:paraId="230E0EC5"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Процена успешности</w:t>
            </w:r>
          </w:p>
        </w:tc>
        <w:tc>
          <w:tcPr>
            <w:tcW w:w="3714" w:type="pct"/>
            <w:gridSpan w:val="13"/>
            <w:shd w:val="clear" w:color="auto" w:fill="FFFFFF" w:themeFill="background1"/>
            <w:vAlign w:val="center"/>
          </w:tcPr>
          <w:p w14:paraId="6D595795" w14:textId="77777777" w:rsidR="00246E68" w:rsidRPr="00246E68" w:rsidRDefault="00246E68" w:rsidP="00246E68">
            <w:pPr>
              <w:suppressAutoHyphens w:val="0"/>
              <w:autoSpaceDN/>
              <w:spacing w:before="50" w:after="50"/>
              <w:ind w:firstLine="0"/>
              <w:jc w:val="left"/>
              <w:textAlignment w:val="auto"/>
              <w:rPr>
                <w:rFonts w:eastAsiaTheme="minorHAnsi"/>
                <w:iCs/>
                <w:kern w:val="0"/>
                <w:sz w:val="20"/>
                <w:szCs w:val="20"/>
                <w:lang w:eastAsia="en-US" w:bidi="ar-SA"/>
              </w:rPr>
            </w:pPr>
            <w:r w:rsidRPr="00246E68">
              <w:rPr>
                <w:rFonts w:eastAsiaTheme="minorHAnsi"/>
                <w:iCs/>
                <w:kern w:val="0"/>
                <w:sz w:val="20"/>
                <w:szCs w:val="20"/>
                <w:lang w:eastAsia="en-US" w:bidi="ar-SA"/>
              </w:rPr>
              <w:t>Без одступања</w:t>
            </w:r>
          </w:p>
        </w:tc>
      </w:tr>
    </w:tbl>
    <w:p w14:paraId="6BDEE30B"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val="en-US" w:eastAsia="en-US" w:bidi="ar-SA"/>
        </w:rPr>
      </w:pPr>
    </w:p>
    <w:p w14:paraId="60B915EE" w14:textId="77777777" w:rsidR="00246E68" w:rsidRPr="00246E68" w:rsidRDefault="00246E68" w:rsidP="00246E68">
      <w:pPr>
        <w:suppressAutoHyphens w:val="0"/>
        <w:autoSpaceDN/>
        <w:spacing w:before="0" w:after="0"/>
        <w:ind w:firstLine="0"/>
        <w:jc w:val="left"/>
        <w:textAlignment w:val="auto"/>
        <w:rPr>
          <w:rFonts w:eastAsiaTheme="minorHAnsi"/>
          <w:kern w:val="0"/>
          <w:sz w:val="20"/>
          <w:szCs w:val="20"/>
          <w:lang w:eastAsia="en-US" w:bidi="ar-SA"/>
        </w:rPr>
      </w:pPr>
    </w:p>
    <w:p w14:paraId="378B2BE5" w14:textId="77777777" w:rsidR="00246E68" w:rsidRPr="00246E68" w:rsidRDefault="00246E68" w:rsidP="00246E68">
      <w:pPr>
        <w:suppressAutoHyphens w:val="0"/>
        <w:autoSpaceDN/>
        <w:spacing w:before="0" w:after="0"/>
        <w:ind w:firstLine="0"/>
        <w:jc w:val="left"/>
        <w:textAlignment w:val="auto"/>
        <w:rPr>
          <w:rFonts w:eastAsiaTheme="minorHAnsi"/>
          <w:b/>
          <w:bCs/>
          <w:color w:val="A6A6A6" w:themeColor="background1" w:themeShade="A6"/>
          <w:kern w:val="0"/>
          <w:sz w:val="20"/>
          <w:szCs w:val="20"/>
          <w:lang w:val="en-US" w:eastAsia="en-US" w:bidi="ar-SA"/>
        </w:rPr>
      </w:pPr>
      <w:r w:rsidRPr="00246E68">
        <w:rPr>
          <w:rFonts w:eastAsiaTheme="minorHAnsi"/>
          <w:b/>
          <w:bCs/>
          <w:color w:val="A6A6A6" w:themeColor="background1" w:themeShade="A6"/>
          <w:kern w:val="0"/>
          <w:sz w:val="20"/>
          <w:szCs w:val="20"/>
          <w:lang w:val="en-US" w:eastAsia="en-US" w:bidi="ar-SA"/>
        </w:rPr>
        <w:t>Показатељ 2</w:t>
      </w:r>
    </w:p>
    <w:p w14:paraId="711FC143"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9"/>
        <w:gridCol w:w="632"/>
        <w:gridCol w:w="651"/>
        <w:gridCol w:w="532"/>
        <w:gridCol w:w="272"/>
        <w:gridCol w:w="683"/>
        <w:gridCol w:w="637"/>
        <w:gridCol w:w="50"/>
        <w:gridCol w:w="677"/>
        <w:gridCol w:w="684"/>
        <w:gridCol w:w="387"/>
        <w:gridCol w:w="283"/>
        <w:gridCol w:w="677"/>
        <w:gridCol w:w="650"/>
      </w:tblGrid>
      <w:tr w:rsidR="00246E68" w:rsidRPr="00246E68" w14:paraId="445CA5E7" w14:textId="77777777" w:rsidTr="00DA6BE3">
        <w:trPr>
          <w:jc w:val="center"/>
        </w:trPr>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4615B5" w14:textId="77777777" w:rsidR="00246E68" w:rsidRPr="00246E68" w:rsidRDefault="00246E68" w:rsidP="00246E68">
            <w:pPr>
              <w:suppressAutoHyphens w:val="0"/>
              <w:autoSpaceDN/>
              <w:spacing w:before="100" w:after="100"/>
              <w:ind w:firstLine="0"/>
              <w:jc w:val="left"/>
              <w:textAlignment w:val="auto"/>
              <w:rPr>
                <w:rFonts w:eastAsiaTheme="minorHAnsi"/>
                <w:b/>
                <w:bCs/>
                <w:color w:val="FFFFFF" w:themeColor="background1"/>
                <w:kern w:val="0"/>
                <w:sz w:val="20"/>
                <w:szCs w:val="20"/>
                <w:lang w:val="en-US" w:eastAsia="en-US" w:bidi="ar-SA"/>
              </w:rPr>
            </w:pPr>
            <w:r w:rsidRPr="00246E68">
              <w:rPr>
                <w:rFonts w:eastAsiaTheme="minorHAnsi"/>
                <w:b/>
                <w:bCs/>
                <w:color w:val="FFFFFF" w:themeColor="background1"/>
                <w:kern w:val="0"/>
                <w:sz w:val="20"/>
                <w:szCs w:val="20"/>
                <w:lang w:val="en-US" w:eastAsia="en-US" w:bidi="ar-SA"/>
              </w:rPr>
              <w:t>Назив показатеља</w:t>
            </w:r>
          </w:p>
        </w:tc>
        <w:tc>
          <w:tcPr>
            <w:tcW w:w="3714" w:type="pct"/>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BBB006" w14:textId="77777777" w:rsidR="00246E68" w:rsidRPr="00246E68" w:rsidRDefault="00246E68" w:rsidP="00246E68">
            <w:pPr>
              <w:suppressAutoHyphens w:val="0"/>
              <w:autoSpaceDN/>
              <w:spacing w:before="100" w:after="100"/>
              <w:ind w:firstLine="0"/>
              <w:jc w:val="left"/>
              <w:textAlignment w:val="auto"/>
              <w:rPr>
                <w:rFonts w:eastAsiaTheme="minorHAnsi"/>
                <w:b/>
                <w:iCs/>
                <w:color w:val="FFFFFF" w:themeColor="background1"/>
                <w:kern w:val="0"/>
                <w:sz w:val="20"/>
                <w:szCs w:val="20"/>
                <w:lang w:val="en-US" w:eastAsia="en-US" w:bidi="ar-SA"/>
              </w:rPr>
            </w:pPr>
            <w:r w:rsidRPr="00246E68">
              <w:rPr>
                <w:rFonts w:eastAsiaTheme="minorHAnsi"/>
                <w:b/>
                <w:bCs/>
                <w:color w:val="000000"/>
                <w:kern w:val="0"/>
                <w:sz w:val="20"/>
                <w:szCs w:val="20"/>
                <w:lang w:eastAsia="en-US" w:bidi="ar-SA"/>
              </w:rPr>
              <w:t>Степен испуњености годишњих оперативних планова Координационог тела</w:t>
            </w:r>
          </w:p>
        </w:tc>
      </w:tr>
      <w:tr w:rsidR="00246E68" w:rsidRPr="00246E68" w14:paraId="28614853" w14:textId="77777777" w:rsidTr="00DA6BE3">
        <w:trPr>
          <w:jc w:val="center"/>
        </w:trPr>
        <w:tc>
          <w:tcPr>
            <w:tcW w:w="1286" w:type="pct"/>
            <w:tcBorders>
              <w:top w:val="single" w:sz="4" w:space="0" w:color="auto"/>
              <w:left w:val="single" w:sz="4" w:space="0" w:color="auto"/>
              <w:bottom w:val="single" w:sz="4" w:space="0" w:color="auto"/>
              <w:right w:val="single" w:sz="4" w:space="0" w:color="auto"/>
            </w:tcBorders>
            <w:shd w:val="clear" w:color="auto" w:fill="auto"/>
          </w:tcPr>
          <w:p w14:paraId="315572F3" w14:textId="77777777" w:rsidR="00246E68" w:rsidRPr="00065AE4" w:rsidRDefault="00246E68" w:rsidP="00246E68">
            <w:pPr>
              <w:suppressAutoHyphens w:val="0"/>
              <w:autoSpaceDN/>
              <w:spacing w:before="100" w:after="10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Одговарајући општи, посебни циљ или мера</w:t>
            </w:r>
          </w:p>
        </w:tc>
        <w:tc>
          <w:tcPr>
            <w:tcW w:w="3714" w:type="pct"/>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36279A90" w14:textId="77777777" w:rsidR="00246E68" w:rsidRPr="00246E68" w:rsidRDefault="00246E68" w:rsidP="00246E68">
            <w:pPr>
              <w:suppressAutoHyphens w:val="0"/>
              <w:autoSpaceDN/>
              <w:spacing w:before="100" w:after="100"/>
              <w:ind w:firstLine="0"/>
              <w:jc w:val="left"/>
              <w:textAlignment w:val="auto"/>
              <w:rPr>
                <w:rFonts w:eastAsiaTheme="minorHAnsi"/>
                <w:b/>
                <w:iCs/>
                <w:color w:val="000000" w:themeColor="text1"/>
                <w:kern w:val="0"/>
                <w:sz w:val="20"/>
                <w:szCs w:val="20"/>
                <w:lang w:eastAsia="en-US" w:bidi="ar-SA"/>
              </w:rPr>
            </w:pPr>
            <w:r w:rsidRPr="00246E68">
              <w:rPr>
                <w:rFonts w:eastAsiaTheme="minorHAnsi"/>
                <w:color w:val="000000"/>
                <w:kern w:val="24"/>
                <w:sz w:val="20"/>
                <w:szCs w:val="20"/>
                <w:lang w:eastAsia="en-US" w:bidi="ar-SA"/>
              </w:rPr>
              <w:t>Мера 3: Успостављање функционалног координационог механизма за планирање, имплементацију и праћење комуницирања РЈУ на националном  нивоу</w:t>
            </w:r>
          </w:p>
        </w:tc>
      </w:tr>
      <w:tr w:rsidR="00246E68" w:rsidRPr="00246E68" w14:paraId="4A17F859" w14:textId="77777777" w:rsidTr="00DA6BE3">
        <w:trPr>
          <w:jc w:val="center"/>
        </w:trPr>
        <w:tc>
          <w:tcPr>
            <w:tcW w:w="1286" w:type="pct"/>
            <w:shd w:val="clear" w:color="auto" w:fill="auto"/>
          </w:tcPr>
          <w:p w14:paraId="372072F7"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24"/>
                <w:sz w:val="20"/>
                <w:szCs w:val="20"/>
                <w:lang w:val="en-US" w:eastAsia="en-US" w:bidi="ar-SA"/>
              </w:rPr>
              <w:t>Тип и ниво показатеља</w:t>
            </w:r>
          </w:p>
        </w:tc>
        <w:tc>
          <w:tcPr>
            <w:tcW w:w="1857" w:type="pct"/>
            <w:gridSpan w:val="6"/>
            <w:shd w:val="clear" w:color="auto" w:fill="FFFFFF" w:themeFill="background1"/>
          </w:tcPr>
          <w:p w14:paraId="72E74D43"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sr-Latn-RS" w:eastAsia="en-US" w:bidi="ar-SA"/>
              </w:rPr>
              <w:t>K</w:t>
            </w:r>
            <w:r w:rsidRPr="00246E68">
              <w:rPr>
                <w:rFonts w:eastAsiaTheme="minorHAnsi"/>
                <w:bCs/>
                <w:iCs/>
                <w:kern w:val="24"/>
                <w:sz w:val="20"/>
                <w:szCs w:val="20"/>
                <w:lang w:eastAsia="en-US" w:bidi="ar-SA"/>
              </w:rPr>
              <w:t>вантитативни</w:t>
            </w:r>
          </w:p>
        </w:tc>
        <w:tc>
          <w:tcPr>
            <w:tcW w:w="1857" w:type="pct"/>
            <w:gridSpan w:val="7"/>
            <w:shd w:val="clear" w:color="auto" w:fill="FFFFFF" w:themeFill="background1"/>
          </w:tcPr>
          <w:p w14:paraId="2E8BF3E2"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en-US" w:eastAsia="en-US" w:bidi="ar-SA"/>
              </w:rPr>
              <w:t xml:space="preserve">Показатељ </w:t>
            </w:r>
            <w:r w:rsidRPr="00246E68">
              <w:rPr>
                <w:rFonts w:eastAsiaTheme="minorHAnsi"/>
                <w:bCs/>
                <w:iCs/>
                <w:kern w:val="24"/>
                <w:sz w:val="20"/>
                <w:szCs w:val="20"/>
                <w:lang w:eastAsia="en-US" w:bidi="ar-SA"/>
              </w:rPr>
              <w:t>резултата</w:t>
            </w:r>
          </w:p>
        </w:tc>
      </w:tr>
      <w:tr w:rsidR="00246E68" w:rsidRPr="00246E68" w14:paraId="6CD45FFA" w14:textId="77777777" w:rsidTr="00DA6BE3">
        <w:trPr>
          <w:trHeight w:val="373"/>
          <w:jc w:val="center"/>
        </w:trPr>
        <w:tc>
          <w:tcPr>
            <w:tcW w:w="1286" w:type="pct"/>
            <w:shd w:val="clear" w:color="auto" w:fill="auto"/>
          </w:tcPr>
          <w:p w14:paraId="149F409B" w14:textId="77777777" w:rsidR="00246E68" w:rsidRPr="00246E68" w:rsidRDefault="00246E68" w:rsidP="00246E68">
            <w:pPr>
              <w:suppressAutoHyphens w:val="0"/>
              <w:autoSpaceDN/>
              <w:spacing w:before="50" w:after="50"/>
              <w:ind w:firstLine="0"/>
              <w:jc w:val="left"/>
              <w:textAlignment w:val="auto"/>
              <w:rPr>
                <w:rFonts w:eastAsiaTheme="minorHAnsi"/>
                <w:b/>
                <w:kern w:val="24"/>
                <w:sz w:val="20"/>
                <w:szCs w:val="20"/>
                <w:lang w:val="en-US" w:eastAsia="en-US" w:bidi="ar-SA"/>
              </w:rPr>
            </w:pPr>
            <w:r w:rsidRPr="00246E68">
              <w:rPr>
                <w:rFonts w:eastAsiaTheme="minorHAnsi"/>
                <w:b/>
                <w:kern w:val="24"/>
                <w:sz w:val="20"/>
                <w:szCs w:val="20"/>
                <w:lang w:val="en-US" w:eastAsia="en-US" w:bidi="ar-SA"/>
              </w:rPr>
              <w:t>Јединица мере и природа</w:t>
            </w:r>
          </w:p>
        </w:tc>
        <w:tc>
          <w:tcPr>
            <w:tcW w:w="1857" w:type="pct"/>
            <w:gridSpan w:val="6"/>
            <w:shd w:val="clear" w:color="auto" w:fill="FFFFFF" w:themeFill="background1"/>
          </w:tcPr>
          <w:p w14:paraId="3C7E3EB8" w14:textId="77777777" w:rsidR="00246E68" w:rsidRPr="00246E68" w:rsidRDefault="00246E68" w:rsidP="00246E68">
            <w:pPr>
              <w:tabs>
                <w:tab w:val="left" w:pos="152"/>
              </w:tabs>
              <w:suppressAutoHyphens w:val="0"/>
              <w:autoSpaceDN/>
              <w:spacing w:before="50" w:after="50"/>
              <w:ind w:firstLine="0"/>
              <w:jc w:val="left"/>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Процентуални на скали од 0-100%</w:t>
            </w:r>
          </w:p>
        </w:tc>
        <w:tc>
          <w:tcPr>
            <w:tcW w:w="1857" w:type="pct"/>
            <w:gridSpan w:val="7"/>
            <w:shd w:val="clear" w:color="auto" w:fill="FFFFFF" w:themeFill="background1"/>
          </w:tcPr>
          <w:p w14:paraId="5238EC77" w14:textId="77777777" w:rsidR="00246E68" w:rsidRPr="00246E68" w:rsidRDefault="00246E68" w:rsidP="00246E68">
            <w:pPr>
              <w:suppressAutoHyphens w:val="0"/>
              <w:autoSpaceDN/>
              <w:spacing w:before="0" w:after="0"/>
              <w:ind w:firstLine="0"/>
              <w:jc w:val="left"/>
              <w:textAlignment w:val="auto"/>
              <w:rPr>
                <w:rFonts w:eastAsia="Arial"/>
                <w:iCs/>
                <w:color w:val="000000" w:themeColor="dark1"/>
                <w:spacing w:val="-1"/>
                <w:kern w:val="24"/>
                <w:sz w:val="20"/>
                <w:szCs w:val="20"/>
                <w:lang w:val="en-US" w:eastAsia="en-US" w:bidi="ar-SA"/>
              </w:rPr>
            </w:pPr>
            <w:r w:rsidRPr="00246E68">
              <w:rPr>
                <w:rFonts w:eastAsia="Arial"/>
                <w:iCs/>
                <w:color w:val="000000" w:themeColor="dark1"/>
                <w:spacing w:val="-1"/>
                <w:kern w:val="24"/>
                <w:sz w:val="20"/>
                <w:szCs w:val="20"/>
                <w:lang w:val="en-US" w:eastAsia="en-US" w:bidi="ar-SA"/>
              </w:rPr>
              <w:t>Пожељна је већа вредност</w:t>
            </w:r>
          </w:p>
        </w:tc>
      </w:tr>
      <w:tr w:rsidR="00246E68" w:rsidRPr="00246E68" w14:paraId="412CB4E2" w14:textId="77777777" w:rsidTr="00DA6BE3">
        <w:trPr>
          <w:jc w:val="center"/>
        </w:trPr>
        <w:tc>
          <w:tcPr>
            <w:tcW w:w="1286" w:type="pct"/>
            <w:shd w:val="clear" w:color="auto" w:fill="auto"/>
          </w:tcPr>
          <w:p w14:paraId="2A72F65A" w14:textId="77777777" w:rsidR="00246E68" w:rsidRPr="00065AE4" w:rsidRDefault="00246E68" w:rsidP="00246E68">
            <w:pPr>
              <w:suppressAutoHyphens w:val="0"/>
              <w:autoSpaceDN/>
              <w:spacing w:before="50" w:after="5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Извор података за праћење показатеља учинка</w:t>
            </w:r>
          </w:p>
        </w:tc>
        <w:tc>
          <w:tcPr>
            <w:tcW w:w="3714" w:type="pct"/>
            <w:gridSpan w:val="13"/>
            <w:shd w:val="clear" w:color="auto" w:fill="FFFFFF" w:themeFill="background1"/>
          </w:tcPr>
          <w:p w14:paraId="1761B057"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Подаци ће бити прикупљани  на националном нивоу.</w:t>
            </w:r>
          </w:p>
          <w:p w14:paraId="19B6C4B0"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p>
          <w:p w14:paraId="13A44791"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Извори:</w:t>
            </w:r>
          </w:p>
          <w:p w14:paraId="205A3EEC" w14:textId="77777777" w:rsidR="00246E68" w:rsidRPr="00246E68" w:rsidRDefault="00246E68" w:rsidP="00E62A1A">
            <w:pPr>
              <w:numPr>
                <w:ilvl w:val="0"/>
                <w:numId w:val="14"/>
              </w:numPr>
              <w:suppressAutoHyphens w:val="0"/>
              <w:autoSpaceDN/>
              <w:spacing w:before="0" w:after="0"/>
              <w:jc w:val="left"/>
              <w:textAlignment w:val="auto"/>
              <w:rPr>
                <w:rFonts w:eastAsiaTheme="minorHAnsi"/>
                <w:color w:val="000000"/>
                <w:kern w:val="0"/>
                <w:sz w:val="20"/>
                <w:szCs w:val="20"/>
                <w:lang w:eastAsia="en-GB" w:bidi="ar-SA"/>
              </w:rPr>
            </w:pPr>
            <w:r w:rsidRPr="00246E68">
              <w:rPr>
                <w:rFonts w:eastAsiaTheme="minorHAnsi"/>
                <w:color w:val="000000"/>
                <w:kern w:val="0"/>
                <w:sz w:val="20"/>
                <w:szCs w:val="20"/>
                <w:lang w:eastAsia="en-GB" w:bidi="ar-SA"/>
              </w:rPr>
              <w:t>Годишњи извештај о спровођењу годишњих оперативних планова комуникације  процеса и резултата реформе јавне управе</w:t>
            </w:r>
          </w:p>
        </w:tc>
      </w:tr>
      <w:tr w:rsidR="00246E68" w:rsidRPr="00246E68" w14:paraId="35BC7007" w14:textId="77777777" w:rsidTr="00DA6BE3">
        <w:trPr>
          <w:jc w:val="center"/>
        </w:trPr>
        <w:tc>
          <w:tcPr>
            <w:tcW w:w="1286" w:type="pct"/>
            <w:shd w:val="clear" w:color="auto" w:fill="auto"/>
          </w:tcPr>
          <w:p w14:paraId="6B241113"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Назив носиоца прикупљања података</w:t>
            </w:r>
          </w:p>
        </w:tc>
        <w:tc>
          <w:tcPr>
            <w:tcW w:w="3714" w:type="pct"/>
            <w:gridSpan w:val="13"/>
            <w:shd w:val="clear" w:color="auto" w:fill="FFFFFF" w:themeFill="background1"/>
          </w:tcPr>
          <w:p w14:paraId="61AFF0F9"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kern w:val="0"/>
                <w:sz w:val="20"/>
                <w:szCs w:val="20"/>
                <w:lang w:val="en-US" w:eastAsia="en-US" w:bidi="ar-SA"/>
              </w:rPr>
              <w:t xml:space="preserve">МДУЛС </w:t>
            </w:r>
          </w:p>
        </w:tc>
      </w:tr>
      <w:tr w:rsidR="00246E68" w:rsidRPr="00246E68" w14:paraId="427D39E3" w14:textId="77777777" w:rsidTr="00DA6BE3">
        <w:trPr>
          <w:jc w:val="center"/>
        </w:trPr>
        <w:tc>
          <w:tcPr>
            <w:tcW w:w="1286" w:type="pct"/>
            <w:shd w:val="clear" w:color="auto" w:fill="auto"/>
          </w:tcPr>
          <w:p w14:paraId="192281C8"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Учесталост прикупљања података</w:t>
            </w:r>
          </w:p>
        </w:tc>
        <w:tc>
          <w:tcPr>
            <w:tcW w:w="3714" w:type="pct"/>
            <w:gridSpan w:val="13"/>
            <w:shd w:val="clear" w:color="auto" w:fill="FFFFFF" w:themeFill="background1"/>
          </w:tcPr>
          <w:p w14:paraId="5BD982D6"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246E68" w:rsidRPr="00246E68" w14:paraId="5757FF97" w14:textId="77777777" w:rsidTr="00DA6BE3">
        <w:trPr>
          <w:trHeight w:val="274"/>
          <w:jc w:val="center"/>
        </w:trPr>
        <w:tc>
          <w:tcPr>
            <w:tcW w:w="1286" w:type="pct"/>
            <w:shd w:val="clear" w:color="auto" w:fill="auto"/>
          </w:tcPr>
          <w:p w14:paraId="592293C1" w14:textId="77777777" w:rsidR="00246E68" w:rsidRPr="00065AE4" w:rsidRDefault="00246E68" w:rsidP="00246E68">
            <w:pPr>
              <w:suppressAutoHyphens w:val="0"/>
              <w:autoSpaceDN/>
              <w:spacing w:before="50" w:after="50"/>
              <w:ind w:firstLine="0"/>
              <w:jc w:val="left"/>
              <w:textAlignment w:val="auto"/>
              <w:rPr>
                <w:rFonts w:eastAsiaTheme="minorHAnsi"/>
                <w:b/>
                <w:kern w:val="0"/>
                <w:sz w:val="20"/>
                <w:szCs w:val="20"/>
                <w:lang w:eastAsia="en-US" w:bidi="ar-SA"/>
              </w:rPr>
            </w:pPr>
            <w:r w:rsidRPr="00065AE4">
              <w:rPr>
                <w:rFonts w:eastAsiaTheme="minorHAnsi"/>
                <w:b/>
                <w:kern w:val="0"/>
                <w:sz w:val="20"/>
                <w:szCs w:val="20"/>
                <w:lang w:eastAsia="en-US" w:bidi="ar-SA"/>
              </w:rPr>
              <w:t>Кратак опис показатеља и методологије израчунавања</w:t>
            </w:r>
          </w:p>
          <w:p w14:paraId="1E8B283C"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0"/>
                <w:sz w:val="20"/>
                <w:szCs w:val="20"/>
                <w:lang w:val="en-US" w:eastAsia="en-US" w:bidi="ar-SA"/>
              </w:rPr>
              <w:t>(формуле/ једначине)</w:t>
            </w:r>
          </w:p>
        </w:tc>
        <w:tc>
          <w:tcPr>
            <w:tcW w:w="3714" w:type="pct"/>
            <w:gridSpan w:val="13"/>
            <w:shd w:val="clear" w:color="auto" w:fill="FFFFFF" w:themeFill="background1"/>
          </w:tcPr>
          <w:p w14:paraId="5B934675" w14:textId="77777777" w:rsidR="00246E68" w:rsidRPr="00246E68" w:rsidRDefault="00246E68" w:rsidP="00246E68">
            <w:pPr>
              <w:suppressAutoHyphens w:val="0"/>
              <w:autoSpaceDN/>
              <w:spacing w:before="60" w:beforeAutospacing="1" w:afterAutospacing="1"/>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 xml:space="preserve">Вредност показатеља ће се утврдити у складу са бројем реализованих активности из годишњих оперативних планова за комуницирање РЈУ у складу са АП за спровођење СРЈУ. </w:t>
            </w:r>
          </w:p>
          <w:p w14:paraId="3C02ED57"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sr-Latn-RS" w:eastAsia="en-US" w:bidi="ar-SA"/>
              </w:rPr>
            </w:pPr>
            <w:r w:rsidRPr="00246E68">
              <w:rPr>
                <w:rFonts w:eastAsiaTheme="minorHAnsi"/>
                <w:color w:val="000000"/>
                <w:kern w:val="24"/>
                <w:sz w:val="20"/>
                <w:szCs w:val="20"/>
                <w:lang w:eastAsia="en-GB" w:bidi="ar-SA"/>
              </w:rPr>
              <w:t>Формула: Број реализованих активности у текућој години / укупан планираних активности</w:t>
            </w:r>
            <w:r w:rsidRPr="00246E68">
              <w:rPr>
                <w:rFonts w:eastAsiaTheme="minorHAnsi"/>
                <w:color w:val="000000"/>
                <w:kern w:val="24"/>
                <w:sz w:val="20"/>
                <w:szCs w:val="20"/>
                <w:lang w:val="sr-Latn-RS" w:eastAsia="en-GB" w:bidi="ar-SA"/>
              </w:rPr>
              <w:t xml:space="preserve"> </w:t>
            </w:r>
            <w:r w:rsidRPr="00246E68">
              <w:rPr>
                <w:rFonts w:eastAsiaTheme="minorHAnsi"/>
                <w:color w:val="000000"/>
                <w:kern w:val="24"/>
                <w:sz w:val="20"/>
                <w:szCs w:val="20"/>
                <w:lang w:eastAsia="en-GB" w:bidi="ar-SA"/>
              </w:rPr>
              <w:t>у важећем годишњем оперативном плану * 100</w:t>
            </w:r>
          </w:p>
        </w:tc>
      </w:tr>
      <w:tr w:rsidR="00246E68" w:rsidRPr="00246E68" w14:paraId="635E9B44" w14:textId="77777777" w:rsidTr="00DA6BE3">
        <w:trPr>
          <w:trHeight w:val="265"/>
          <w:jc w:val="center"/>
        </w:trPr>
        <w:tc>
          <w:tcPr>
            <w:tcW w:w="1286" w:type="pct"/>
            <w:vMerge w:val="restart"/>
            <w:shd w:val="clear" w:color="auto" w:fill="auto"/>
          </w:tcPr>
          <w:p w14:paraId="65F52DA7" w14:textId="77777777" w:rsidR="00246E68" w:rsidRPr="00246E68" w:rsidRDefault="00246E68" w:rsidP="00246E68">
            <w:pPr>
              <w:suppressAutoHyphens w:val="0"/>
              <w:autoSpaceDN/>
              <w:spacing w:before="50" w:after="0"/>
              <w:ind w:firstLine="0"/>
              <w:jc w:val="left"/>
              <w:textAlignment w:val="auto"/>
              <w:rPr>
                <w:rFonts w:eastAsiaTheme="minorHAnsi"/>
                <w:b/>
                <w:bCs/>
                <w:kern w:val="0"/>
                <w:sz w:val="20"/>
                <w:szCs w:val="20"/>
                <w:lang w:val="sr-Latn-RS" w:eastAsia="en-US" w:bidi="ar-SA"/>
              </w:rPr>
            </w:pPr>
            <w:r w:rsidRPr="00246E68">
              <w:rPr>
                <w:rFonts w:eastAsiaTheme="minorHAnsi"/>
                <w:b/>
                <w:bCs/>
                <w:kern w:val="0"/>
                <w:sz w:val="20"/>
                <w:szCs w:val="20"/>
                <w:lang w:eastAsia="en-US" w:bidi="ar-SA"/>
              </w:rPr>
              <w:t>Подаци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полазној</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вредности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години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кад</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је</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измерена</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тренду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прошлости</w:t>
            </w:r>
          </w:p>
        </w:tc>
        <w:tc>
          <w:tcPr>
            <w:tcW w:w="2837" w:type="pct"/>
            <w:gridSpan w:val="10"/>
            <w:tcBorders>
              <w:bottom w:val="single" w:sz="4" w:space="0" w:color="auto"/>
            </w:tcBorders>
            <w:shd w:val="clear" w:color="auto" w:fill="FFFFFF" w:themeFill="background1"/>
            <w:vAlign w:val="center"/>
          </w:tcPr>
          <w:p w14:paraId="09E54BCB" w14:textId="77777777" w:rsidR="00246E68" w:rsidRPr="00246E68" w:rsidRDefault="00246E68" w:rsidP="00246E68">
            <w:pPr>
              <w:suppressAutoHyphens w:val="0"/>
              <w:autoSpaceDN/>
              <w:spacing w:before="0" w:after="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Тренд у прошлости</w:t>
            </w:r>
          </w:p>
        </w:tc>
        <w:tc>
          <w:tcPr>
            <w:tcW w:w="877" w:type="pct"/>
            <w:gridSpan w:val="3"/>
            <w:shd w:val="clear" w:color="auto" w:fill="FFFFFF" w:themeFill="background1"/>
            <w:vAlign w:val="center"/>
          </w:tcPr>
          <w:p w14:paraId="3C99625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Полазна вредност</w:t>
            </w:r>
          </w:p>
        </w:tc>
      </w:tr>
      <w:tr w:rsidR="00246E68" w:rsidRPr="00246E68" w14:paraId="047985BA" w14:textId="77777777" w:rsidTr="00DA6BE3">
        <w:trPr>
          <w:trHeight w:val="137"/>
          <w:jc w:val="center"/>
        </w:trPr>
        <w:tc>
          <w:tcPr>
            <w:tcW w:w="1286" w:type="pct"/>
            <w:vMerge/>
            <w:tcBorders>
              <w:right w:val="single" w:sz="4" w:space="0" w:color="auto"/>
            </w:tcBorders>
            <w:shd w:val="clear" w:color="auto" w:fill="auto"/>
          </w:tcPr>
          <w:p w14:paraId="3F775C9D"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9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28D5DD"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2016</w:t>
            </w:r>
          </w:p>
        </w:tc>
        <w:tc>
          <w:tcPr>
            <w:tcW w:w="89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16F8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2017</w:t>
            </w:r>
          </w:p>
        </w:tc>
        <w:tc>
          <w:tcPr>
            <w:tcW w:w="95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06BA1"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2018</w:t>
            </w:r>
          </w:p>
        </w:tc>
        <w:tc>
          <w:tcPr>
            <w:tcW w:w="877" w:type="pct"/>
            <w:gridSpan w:val="3"/>
            <w:tcBorders>
              <w:left w:val="single" w:sz="4" w:space="0" w:color="auto"/>
            </w:tcBorders>
            <w:shd w:val="clear" w:color="auto" w:fill="FFFFFF" w:themeFill="background1"/>
            <w:vAlign w:val="center"/>
          </w:tcPr>
          <w:p w14:paraId="046DD46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2019 или 2020</w:t>
            </w:r>
          </w:p>
        </w:tc>
      </w:tr>
      <w:tr w:rsidR="00246E68" w:rsidRPr="00246E68" w14:paraId="4F42A222" w14:textId="77777777" w:rsidTr="00DA6BE3">
        <w:trPr>
          <w:trHeight w:val="323"/>
          <w:jc w:val="center"/>
        </w:trPr>
        <w:tc>
          <w:tcPr>
            <w:tcW w:w="1286" w:type="pct"/>
            <w:vMerge/>
            <w:shd w:val="clear" w:color="auto" w:fill="auto"/>
          </w:tcPr>
          <w:p w14:paraId="450BE70B"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90" w:type="pct"/>
            <w:gridSpan w:val="3"/>
            <w:tcBorders>
              <w:top w:val="single" w:sz="4" w:space="0" w:color="auto"/>
            </w:tcBorders>
            <w:shd w:val="clear" w:color="auto" w:fill="FFFFFF" w:themeFill="background1"/>
            <w:vAlign w:val="center"/>
          </w:tcPr>
          <w:p w14:paraId="74AB6CD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94" w:type="pct"/>
            <w:gridSpan w:val="4"/>
            <w:tcBorders>
              <w:top w:val="single" w:sz="4" w:space="0" w:color="auto"/>
            </w:tcBorders>
            <w:shd w:val="clear" w:color="auto" w:fill="FFFFFF" w:themeFill="background1"/>
            <w:vAlign w:val="center"/>
          </w:tcPr>
          <w:p w14:paraId="6F7C01E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953" w:type="pct"/>
            <w:gridSpan w:val="3"/>
            <w:tcBorders>
              <w:top w:val="single" w:sz="4" w:space="0" w:color="auto"/>
            </w:tcBorders>
            <w:shd w:val="clear" w:color="auto" w:fill="FFFFFF" w:themeFill="background1"/>
            <w:vAlign w:val="center"/>
          </w:tcPr>
          <w:p w14:paraId="0362980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77" w:type="pct"/>
            <w:gridSpan w:val="3"/>
            <w:shd w:val="clear" w:color="auto" w:fill="FFFFFF" w:themeFill="background1"/>
            <w:vAlign w:val="center"/>
          </w:tcPr>
          <w:p w14:paraId="786ED73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eastAsia="en-US" w:bidi="ar-SA"/>
              </w:rPr>
            </w:pPr>
            <w:r w:rsidRPr="00246E68">
              <w:rPr>
                <w:rFonts w:eastAsiaTheme="minorHAnsi"/>
                <w:iCs/>
                <w:kern w:val="0"/>
                <w:sz w:val="20"/>
                <w:szCs w:val="20"/>
                <w:lang w:eastAsia="en-US" w:bidi="ar-SA"/>
              </w:rPr>
              <w:t>-</w:t>
            </w:r>
          </w:p>
        </w:tc>
      </w:tr>
      <w:tr w:rsidR="00246E68" w:rsidRPr="00246E68" w14:paraId="773843C6" w14:textId="77777777" w:rsidTr="00DA6BE3">
        <w:trPr>
          <w:trHeight w:val="274"/>
          <w:jc w:val="center"/>
        </w:trPr>
        <w:tc>
          <w:tcPr>
            <w:tcW w:w="1286" w:type="pct"/>
            <w:vMerge w:val="restart"/>
            <w:shd w:val="clear" w:color="auto" w:fill="auto"/>
          </w:tcPr>
          <w:p w14:paraId="4A52CDB0" w14:textId="77777777" w:rsidR="00246E68" w:rsidRPr="00246E68" w:rsidRDefault="00246E68" w:rsidP="00246E68">
            <w:pPr>
              <w:suppressAutoHyphens w:val="0"/>
              <w:autoSpaceDN/>
              <w:spacing w:before="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Подаци о циљним вредностима</w:t>
            </w:r>
          </w:p>
        </w:tc>
        <w:tc>
          <w:tcPr>
            <w:tcW w:w="345" w:type="pct"/>
            <w:shd w:val="clear" w:color="auto" w:fill="FFFFFF" w:themeFill="background1"/>
            <w:vAlign w:val="center"/>
          </w:tcPr>
          <w:p w14:paraId="65A9C2E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2021</w:t>
            </w:r>
          </w:p>
        </w:tc>
        <w:tc>
          <w:tcPr>
            <w:tcW w:w="355" w:type="pct"/>
            <w:shd w:val="clear" w:color="auto" w:fill="FFFFFF" w:themeFill="background1"/>
            <w:vAlign w:val="center"/>
          </w:tcPr>
          <w:p w14:paraId="3CA65229"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2022</w:t>
            </w:r>
          </w:p>
        </w:tc>
        <w:tc>
          <w:tcPr>
            <w:tcW w:w="438" w:type="pct"/>
            <w:gridSpan w:val="2"/>
            <w:shd w:val="clear" w:color="auto" w:fill="FFFFFF" w:themeFill="background1"/>
            <w:vAlign w:val="center"/>
          </w:tcPr>
          <w:p w14:paraId="53AAC49D"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2023</w:t>
            </w:r>
          </w:p>
        </w:tc>
        <w:tc>
          <w:tcPr>
            <w:tcW w:w="372" w:type="pct"/>
            <w:shd w:val="clear" w:color="auto" w:fill="FFFFFF" w:themeFill="background1"/>
            <w:vAlign w:val="center"/>
          </w:tcPr>
          <w:p w14:paraId="59458D1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2024</w:t>
            </w:r>
          </w:p>
        </w:tc>
        <w:tc>
          <w:tcPr>
            <w:tcW w:w="373" w:type="pct"/>
            <w:gridSpan w:val="2"/>
            <w:shd w:val="clear" w:color="auto" w:fill="FFFFFF" w:themeFill="background1"/>
            <w:vAlign w:val="center"/>
          </w:tcPr>
          <w:p w14:paraId="5C42347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2025</w:t>
            </w:r>
          </w:p>
        </w:tc>
        <w:tc>
          <w:tcPr>
            <w:tcW w:w="369" w:type="pct"/>
            <w:shd w:val="clear" w:color="auto" w:fill="FFFFFF" w:themeFill="background1"/>
            <w:vAlign w:val="center"/>
          </w:tcPr>
          <w:p w14:paraId="72E4CC1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2026</w:t>
            </w:r>
          </w:p>
        </w:tc>
        <w:tc>
          <w:tcPr>
            <w:tcW w:w="373" w:type="pct"/>
            <w:shd w:val="clear" w:color="auto" w:fill="FFFFFF" w:themeFill="background1"/>
            <w:vAlign w:val="center"/>
          </w:tcPr>
          <w:p w14:paraId="4E778EE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2027</w:t>
            </w:r>
          </w:p>
        </w:tc>
        <w:tc>
          <w:tcPr>
            <w:tcW w:w="365" w:type="pct"/>
            <w:gridSpan w:val="2"/>
            <w:shd w:val="clear" w:color="auto" w:fill="FFFFFF" w:themeFill="background1"/>
            <w:vAlign w:val="center"/>
          </w:tcPr>
          <w:p w14:paraId="5BB17B3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2028</w:t>
            </w:r>
          </w:p>
        </w:tc>
        <w:tc>
          <w:tcPr>
            <w:tcW w:w="369" w:type="pct"/>
            <w:shd w:val="clear" w:color="auto" w:fill="FFFFFF" w:themeFill="background1"/>
            <w:vAlign w:val="center"/>
          </w:tcPr>
          <w:p w14:paraId="42D01A1C"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2029</w:t>
            </w:r>
          </w:p>
        </w:tc>
        <w:tc>
          <w:tcPr>
            <w:tcW w:w="353" w:type="pct"/>
            <w:shd w:val="clear" w:color="auto" w:fill="FFFFFF" w:themeFill="background1"/>
            <w:vAlign w:val="center"/>
          </w:tcPr>
          <w:p w14:paraId="4486820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2030</w:t>
            </w:r>
          </w:p>
        </w:tc>
      </w:tr>
      <w:tr w:rsidR="00246E68" w:rsidRPr="00246E68" w14:paraId="3BF3934E" w14:textId="77777777" w:rsidTr="00DA6BE3">
        <w:trPr>
          <w:trHeight w:val="160"/>
          <w:jc w:val="center"/>
        </w:trPr>
        <w:tc>
          <w:tcPr>
            <w:tcW w:w="1286" w:type="pct"/>
            <w:vMerge/>
            <w:shd w:val="clear" w:color="auto" w:fill="auto"/>
          </w:tcPr>
          <w:p w14:paraId="448D0A53"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345" w:type="pct"/>
            <w:shd w:val="clear" w:color="auto" w:fill="FFFFFF" w:themeFill="background1"/>
          </w:tcPr>
          <w:p w14:paraId="71D1F4A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val="sr-Latn-RS" w:eastAsia="en-US" w:bidi="ar-SA"/>
              </w:rPr>
              <w:t>80</w:t>
            </w:r>
            <w:r w:rsidRPr="00246E68">
              <w:rPr>
                <w:rFonts w:eastAsiaTheme="minorHAnsi"/>
                <w:color w:val="000000"/>
                <w:kern w:val="0"/>
                <w:sz w:val="20"/>
                <w:szCs w:val="20"/>
                <w:lang w:eastAsia="en-US" w:bidi="ar-SA"/>
              </w:rPr>
              <w:t>%</w:t>
            </w:r>
          </w:p>
        </w:tc>
        <w:tc>
          <w:tcPr>
            <w:tcW w:w="355" w:type="pct"/>
            <w:shd w:val="clear" w:color="auto" w:fill="FFFFFF" w:themeFill="background1"/>
          </w:tcPr>
          <w:p w14:paraId="1EA4B1F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val="sr-Latn-RS" w:eastAsia="en-US" w:bidi="ar-SA"/>
              </w:rPr>
              <w:t>80</w:t>
            </w:r>
            <w:r w:rsidRPr="00246E68">
              <w:rPr>
                <w:rFonts w:eastAsiaTheme="minorHAnsi"/>
                <w:color w:val="000000"/>
                <w:kern w:val="0"/>
                <w:sz w:val="20"/>
                <w:szCs w:val="20"/>
                <w:lang w:eastAsia="en-US" w:bidi="ar-SA"/>
              </w:rPr>
              <w:t>%</w:t>
            </w:r>
          </w:p>
        </w:tc>
        <w:tc>
          <w:tcPr>
            <w:tcW w:w="438" w:type="pct"/>
            <w:gridSpan w:val="2"/>
            <w:shd w:val="clear" w:color="auto" w:fill="FFFFFF" w:themeFill="background1"/>
          </w:tcPr>
          <w:p w14:paraId="2F4B58C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val="sr-Latn-RS" w:eastAsia="en-US" w:bidi="ar-SA"/>
              </w:rPr>
              <w:t>80</w:t>
            </w:r>
            <w:r w:rsidRPr="00246E68">
              <w:rPr>
                <w:rFonts w:eastAsiaTheme="minorHAnsi"/>
                <w:color w:val="000000"/>
                <w:kern w:val="0"/>
                <w:sz w:val="20"/>
                <w:szCs w:val="20"/>
                <w:lang w:eastAsia="en-US" w:bidi="ar-SA"/>
              </w:rPr>
              <w:t>%</w:t>
            </w:r>
          </w:p>
        </w:tc>
        <w:tc>
          <w:tcPr>
            <w:tcW w:w="372" w:type="pct"/>
            <w:shd w:val="clear" w:color="auto" w:fill="FFFFFF" w:themeFill="background1"/>
          </w:tcPr>
          <w:p w14:paraId="78995ED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val="sr-Latn-RS" w:eastAsia="en-US" w:bidi="ar-SA"/>
              </w:rPr>
              <w:t>80</w:t>
            </w:r>
            <w:r w:rsidRPr="00246E68">
              <w:rPr>
                <w:rFonts w:eastAsiaTheme="minorHAnsi"/>
                <w:color w:val="000000"/>
                <w:kern w:val="0"/>
                <w:sz w:val="20"/>
                <w:szCs w:val="20"/>
                <w:lang w:eastAsia="en-US" w:bidi="ar-SA"/>
              </w:rPr>
              <w:t>%</w:t>
            </w:r>
          </w:p>
        </w:tc>
        <w:tc>
          <w:tcPr>
            <w:tcW w:w="373" w:type="pct"/>
            <w:gridSpan w:val="2"/>
            <w:shd w:val="clear" w:color="auto" w:fill="FFFFFF" w:themeFill="background1"/>
          </w:tcPr>
          <w:p w14:paraId="2ED795A7"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val="sr-Latn-RS" w:eastAsia="en-US" w:bidi="ar-SA"/>
              </w:rPr>
              <w:t>80</w:t>
            </w:r>
            <w:r w:rsidRPr="00246E68">
              <w:rPr>
                <w:rFonts w:eastAsiaTheme="minorHAnsi"/>
                <w:color w:val="000000"/>
                <w:kern w:val="0"/>
                <w:sz w:val="20"/>
                <w:szCs w:val="20"/>
                <w:lang w:eastAsia="en-US" w:bidi="ar-SA"/>
              </w:rPr>
              <w:t>%</w:t>
            </w:r>
          </w:p>
        </w:tc>
        <w:tc>
          <w:tcPr>
            <w:tcW w:w="369" w:type="pct"/>
            <w:shd w:val="clear" w:color="auto" w:fill="FFFFFF" w:themeFill="background1"/>
          </w:tcPr>
          <w:p w14:paraId="1F94E8C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val="sr-Latn-RS" w:eastAsia="en-US" w:bidi="ar-SA"/>
              </w:rPr>
              <w:t>80</w:t>
            </w:r>
            <w:r w:rsidRPr="00246E68">
              <w:rPr>
                <w:rFonts w:eastAsiaTheme="minorHAnsi"/>
                <w:color w:val="000000"/>
                <w:kern w:val="0"/>
                <w:sz w:val="20"/>
                <w:szCs w:val="20"/>
                <w:lang w:eastAsia="en-US" w:bidi="ar-SA"/>
              </w:rPr>
              <w:t>%</w:t>
            </w:r>
          </w:p>
        </w:tc>
        <w:tc>
          <w:tcPr>
            <w:tcW w:w="373" w:type="pct"/>
            <w:shd w:val="clear" w:color="auto" w:fill="FFFFFF" w:themeFill="background1"/>
          </w:tcPr>
          <w:p w14:paraId="2EB3149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val="sr-Latn-RS" w:eastAsia="en-US" w:bidi="ar-SA"/>
              </w:rPr>
              <w:t>80</w:t>
            </w:r>
            <w:r w:rsidRPr="00246E68">
              <w:rPr>
                <w:rFonts w:eastAsiaTheme="minorHAnsi"/>
                <w:color w:val="000000"/>
                <w:kern w:val="0"/>
                <w:sz w:val="20"/>
                <w:szCs w:val="20"/>
                <w:lang w:eastAsia="en-US" w:bidi="ar-SA"/>
              </w:rPr>
              <w:t>%</w:t>
            </w:r>
          </w:p>
        </w:tc>
        <w:tc>
          <w:tcPr>
            <w:tcW w:w="365" w:type="pct"/>
            <w:gridSpan w:val="2"/>
            <w:shd w:val="clear" w:color="auto" w:fill="FFFFFF" w:themeFill="background1"/>
          </w:tcPr>
          <w:p w14:paraId="27293607"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val="sr-Latn-RS" w:eastAsia="en-US" w:bidi="ar-SA"/>
              </w:rPr>
              <w:t>80</w:t>
            </w:r>
            <w:r w:rsidRPr="00246E68">
              <w:rPr>
                <w:rFonts w:eastAsiaTheme="minorHAnsi"/>
                <w:color w:val="000000"/>
                <w:kern w:val="0"/>
                <w:sz w:val="20"/>
                <w:szCs w:val="20"/>
                <w:lang w:eastAsia="en-US" w:bidi="ar-SA"/>
              </w:rPr>
              <w:t>%</w:t>
            </w:r>
          </w:p>
        </w:tc>
        <w:tc>
          <w:tcPr>
            <w:tcW w:w="369" w:type="pct"/>
            <w:shd w:val="clear" w:color="auto" w:fill="FFFFFF" w:themeFill="background1"/>
          </w:tcPr>
          <w:p w14:paraId="730A7039"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val="sr-Latn-RS" w:eastAsia="en-US" w:bidi="ar-SA"/>
              </w:rPr>
              <w:t>80</w:t>
            </w:r>
            <w:r w:rsidRPr="00246E68">
              <w:rPr>
                <w:rFonts w:eastAsiaTheme="minorHAnsi"/>
                <w:color w:val="000000"/>
                <w:kern w:val="0"/>
                <w:sz w:val="20"/>
                <w:szCs w:val="20"/>
                <w:lang w:eastAsia="en-US" w:bidi="ar-SA"/>
              </w:rPr>
              <w:t>%</w:t>
            </w:r>
          </w:p>
        </w:tc>
        <w:tc>
          <w:tcPr>
            <w:tcW w:w="353" w:type="pct"/>
            <w:shd w:val="clear" w:color="auto" w:fill="FFFFFF" w:themeFill="background1"/>
          </w:tcPr>
          <w:p w14:paraId="7280380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val="sr-Latn-RS" w:eastAsia="en-US" w:bidi="ar-SA"/>
              </w:rPr>
              <w:t>80</w:t>
            </w:r>
            <w:r w:rsidRPr="00246E68">
              <w:rPr>
                <w:rFonts w:eastAsiaTheme="minorHAnsi"/>
                <w:color w:val="000000"/>
                <w:kern w:val="0"/>
                <w:sz w:val="20"/>
                <w:szCs w:val="20"/>
                <w:lang w:eastAsia="en-US" w:bidi="ar-SA"/>
              </w:rPr>
              <w:t>%</w:t>
            </w:r>
          </w:p>
        </w:tc>
      </w:tr>
      <w:tr w:rsidR="00246E68" w:rsidRPr="00246E68" w14:paraId="520AE7FE" w14:textId="77777777" w:rsidTr="00DA6BE3">
        <w:trPr>
          <w:trHeight w:val="160"/>
          <w:jc w:val="center"/>
        </w:trPr>
        <w:tc>
          <w:tcPr>
            <w:tcW w:w="1286" w:type="pct"/>
            <w:shd w:val="clear" w:color="auto" w:fill="auto"/>
          </w:tcPr>
          <w:p w14:paraId="0A66FAEB"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Процена успешности</w:t>
            </w:r>
          </w:p>
        </w:tc>
        <w:tc>
          <w:tcPr>
            <w:tcW w:w="3714" w:type="pct"/>
            <w:gridSpan w:val="13"/>
            <w:shd w:val="clear" w:color="auto" w:fill="FFFFFF" w:themeFill="background1"/>
            <w:vAlign w:val="center"/>
          </w:tcPr>
          <w:p w14:paraId="2BB4CC35" w14:textId="77777777" w:rsidR="00246E68" w:rsidRPr="00246E68" w:rsidRDefault="00246E68" w:rsidP="00246E68">
            <w:pPr>
              <w:suppressAutoHyphens w:val="0"/>
              <w:autoSpaceDN/>
              <w:spacing w:before="50" w:after="50"/>
              <w:ind w:firstLine="0"/>
              <w:jc w:val="left"/>
              <w:textAlignment w:val="auto"/>
              <w:rPr>
                <w:rFonts w:eastAsiaTheme="minorHAnsi"/>
                <w:iCs/>
                <w:kern w:val="0"/>
                <w:sz w:val="20"/>
                <w:szCs w:val="20"/>
                <w:lang w:eastAsia="en-US" w:bidi="ar-SA"/>
              </w:rPr>
            </w:pPr>
            <w:r w:rsidRPr="00246E68">
              <w:rPr>
                <w:rFonts w:eastAsiaTheme="minorHAnsi"/>
                <w:iCs/>
                <w:kern w:val="0"/>
                <w:sz w:val="20"/>
                <w:szCs w:val="20"/>
                <w:lang w:eastAsia="en-US" w:bidi="ar-SA"/>
              </w:rPr>
              <w:t>Без одступања</w:t>
            </w:r>
          </w:p>
        </w:tc>
      </w:tr>
    </w:tbl>
    <w:p w14:paraId="0772D3D8"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p w14:paraId="5B35AD67"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p w14:paraId="354A4181"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p w14:paraId="7CBFB9B7"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p w14:paraId="6244A919" w14:textId="77777777" w:rsidR="00246E68" w:rsidRPr="00246E68" w:rsidRDefault="00246E68" w:rsidP="00246E68">
      <w:pPr>
        <w:suppressAutoHyphens w:val="0"/>
        <w:autoSpaceDN/>
        <w:spacing w:before="0" w:after="0"/>
        <w:ind w:firstLine="0"/>
        <w:jc w:val="left"/>
        <w:textAlignment w:val="auto"/>
        <w:rPr>
          <w:rFonts w:eastAsiaTheme="minorHAnsi"/>
          <w:b/>
          <w:bCs/>
          <w:color w:val="A6A6A6" w:themeColor="background1" w:themeShade="A6"/>
          <w:kern w:val="0"/>
          <w:sz w:val="20"/>
          <w:szCs w:val="20"/>
          <w:lang w:val="en-US" w:eastAsia="en-US" w:bidi="ar-SA"/>
        </w:rPr>
      </w:pPr>
      <w:r w:rsidRPr="00246E68">
        <w:rPr>
          <w:rFonts w:eastAsiaTheme="minorHAnsi"/>
          <w:b/>
          <w:bCs/>
          <w:color w:val="A6A6A6" w:themeColor="background1" w:themeShade="A6"/>
          <w:kern w:val="0"/>
          <w:sz w:val="20"/>
          <w:szCs w:val="20"/>
          <w:lang w:val="en-US" w:eastAsia="en-US" w:bidi="ar-SA"/>
        </w:rPr>
        <w:t>Показатељ 3</w:t>
      </w:r>
    </w:p>
    <w:p w14:paraId="7F181B97"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3"/>
        <w:gridCol w:w="616"/>
        <w:gridCol w:w="632"/>
        <w:gridCol w:w="491"/>
        <w:gridCol w:w="238"/>
        <w:gridCol w:w="694"/>
        <w:gridCol w:w="621"/>
        <w:gridCol w:w="42"/>
        <w:gridCol w:w="32"/>
        <w:gridCol w:w="687"/>
        <w:gridCol w:w="694"/>
        <w:gridCol w:w="377"/>
        <w:gridCol w:w="312"/>
        <w:gridCol w:w="694"/>
        <w:gridCol w:w="661"/>
        <w:gridCol w:w="30"/>
      </w:tblGrid>
      <w:tr w:rsidR="00246E68" w:rsidRPr="00246E68" w14:paraId="039B6140" w14:textId="77777777" w:rsidTr="00DA6BE3">
        <w:trPr>
          <w:gridAfter w:val="1"/>
          <w:wAfter w:w="17" w:type="pct"/>
          <w:jc w:val="center"/>
        </w:trPr>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E76531" w14:textId="77777777" w:rsidR="00246E68" w:rsidRPr="00246E68" w:rsidRDefault="00246E68" w:rsidP="00246E68">
            <w:pPr>
              <w:suppressAutoHyphens w:val="0"/>
              <w:autoSpaceDN/>
              <w:spacing w:before="100" w:after="100"/>
              <w:ind w:firstLine="0"/>
              <w:jc w:val="left"/>
              <w:textAlignment w:val="auto"/>
              <w:rPr>
                <w:rFonts w:eastAsiaTheme="minorHAnsi"/>
                <w:b/>
                <w:bCs/>
                <w:color w:val="FFFFFF" w:themeColor="background1"/>
                <w:kern w:val="0"/>
                <w:sz w:val="20"/>
                <w:szCs w:val="20"/>
                <w:lang w:val="en-US" w:eastAsia="en-US" w:bidi="ar-SA"/>
              </w:rPr>
            </w:pPr>
            <w:r w:rsidRPr="00246E68">
              <w:rPr>
                <w:rFonts w:eastAsiaTheme="minorHAnsi"/>
                <w:b/>
                <w:bCs/>
                <w:color w:val="FFFFFF" w:themeColor="background1"/>
                <w:kern w:val="0"/>
                <w:sz w:val="20"/>
                <w:szCs w:val="20"/>
                <w:lang w:val="en-US" w:eastAsia="en-US" w:bidi="ar-SA"/>
              </w:rPr>
              <w:t>Назив показатеља</w:t>
            </w:r>
          </w:p>
        </w:tc>
        <w:tc>
          <w:tcPr>
            <w:tcW w:w="3697" w:type="pct"/>
            <w:gridSpan w:val="1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21F405" w14:textId="77777777" w:rsidR="00246E68" w:rsidRPr="00246E68" w:rsidRDefault="00246E68" w:rsidP="00246E68">
            <w:pPr>
              <w:suppressAutoHyphens w:val="0"/>
              <w:autoSpaceDN/>
              <w:spacing w:before="100" w:after="100"/>
              <w:ind w:firstLine="0"/>
              <w:jc w:val="left"/>
              <w:textAlignment w:val="auto"/>
              <w:rPr>
                <w:rFonts w:eastAsiaTheme="minorHAnsi"/>
                <w:b/>
                <w:iCs/>
                <w:color w:val="FFFFFF" w:themeColor="background1"/>
                <w:kern w:val="0"/>
                <w:sz w:val="20"/>
                <w:szCs w:val="20"/>
                <w:lang w:val="en-US" w:eastAsia="en-US" w:bidi="ar-SA"/>
              </w:rPr>
            </w:pPr>
            <w:r w:rsidRPr="00246E68">
              <w:rPr>
                <w:rFonts w:eastAsiaTheme="minorHAnsi"/>
                <w:b/>
                <w:bCs/>
                <w:color w:val="000000"/>
                <w:kern w:val="0"/>
                <w:sz w:val="20"/>
                <w:szCs w:val="20"/>
                <w:lang w:eastAsia="en-US" w:bidi="ar-SA"/>
              </w:rPr>
              <w:t>Удео органа државне управе и јединица локалне самоуправе који на Огласној табли објављују информације о реформе јавне управе на стандардизован начин</w:t>
            </w:r>
          </w:p>
        </w:tc>
      </w:tr>
      <w:tr w:rsidR="00246E68" w:rsidRPr="00246E68" w14:paraId="5CFE5420" w14:textId="77777777" w:rsidTr="00DA6BE3">
        <w:trPr>
          <w:gridAfter w:val="1"/>
          <w:wAfter w:w="17" w:type="pct"/>
          <w:jc w:val="center"/>
        </w:trPr>
        <w:tc>
          <w:tcPr>
            <w:tcW w:w="1286" w:type="pct"/>
            <w:tcBorders>
              <w:top w:val="single" w:sz="4" w:space="0" w:color="auto"/>
              <w:left w:val="single" w:sz="4" w:space="0" w:color="auto"/>
              <w:bottom w:val="single" w:sz="4" w:space="0" w:color="auto"/>
              <w:right w:val="single" w:sz="4" w:space="0" w:color="auto"/>
            </w:tcBorders>
            <w:shd w:val="clear" w:color="auto" w:fill="auto"/>
          </w:tcPr>
          <w:p w14:paraId="7AEE8A6B" w14:textId="77777777" w:rsidR="00246E68" w:rsidRPr="00065AE4" w:rsidRDefault="00246E68" w:rsidP="00246E68">
            <w:pPr>
              <w:suppressAutoHyphens w:val="0"/>
              <w:autoSpaceDN/>
              <w:spacing w:before="100" w:after="10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Одговарајући општи, посебни циљ или мера</w:t>
            </w:r>
          </w:p>
        </w:tc>
        <w:tc>
          <w:tcPr>
            <w:tcW w:w="3697" w:type="pct"/>
            <w:gridSpan w:val="14"/>
            <w:tcBorders>
              <w:top w:val="single" w:sz="4" w:space="0" w:color="auto"/>
              <w:left w:val="single" w:sz="4" w:space="0" w:color="auto"/>
              <w:bottom w:val="single" w:sz="4" w:space="0" w:color="auto"/>
              <w:right w:val="single" w:sz="4" w:space="0" w:color="auto"/>
            </w:tcBorders>
            <w:shd w:val="clear" w:color="auto" w:fill="FFFFFF" w:themeFill="background1"/>
          </w:tcPr>
          <w:p w14:paraId="2C413797" w14:textId="77777777" w:rsidR="00246E68" w:rsidRPr="00246E68" w:rsidRDefault="00246E68" w:rsidP="00246E68">
            <w:pPr>
              <w:suppressAutoHyphens w:val="0"/>
              <w:autoSpaceDN/>
              <w:spacing w:before="100" w:after="100"/>
              <w:ind w:firstLine="0"/>
              <w:jc w:val="left"/>
              <w:textAlignment w:val="auto"/>
              <w:rPr>
                <w:rFonts w:eastAsiaTheme="minorHAnsi"/>
                <w:b/>
                <w:iCs/>
                <w:color w:val="000000" w:themeColor="text1"/>
                <w:kern w:val="0"/>
                <w:sz w:val="20"/>
                <w:szCs w:val="20"/>
                <w:lang w:eastAsia="en-US" w:bidi="ar-SA"/>
              </w:rPr>
            </w:pPr>
            <w:r w:rsidRPr="00246E68">
              <w:rPr>
                <w:rFonts w:eastAsiaTheme="minorHAnsi"/>
                <w:color w:val="000000"/>
                <w:kern w:val="24"/>
                <w:sz w:val="20"/>
                <w:szCs w:val="20"/>
                <w:lang w:eastAsia="en-US" w:bidi="ar-SA"/>
              </w:rPr>
              <w:t>Мера 4: Усклађивање, стандардизација и континуирано комуницирање РЈУ у јавној управи</w:t>
            </w:r>
          </w:p>
        </w:tc>
      </w:tr>
      <w:tr w:rsidR="00246E68" w:rsidRPr="00246E68" w14:paraId="13341DB6" w14:textId="77777777" w:rsidTr="00DA6BE3">
        <w:trPr>
          <w:gridAfter w:val="1"/>
          <w:wAfter w:w="17" w:type="pct"/>
          <w:jc w:val="center"/>
        </w:trPr>
        <w:tc>
          <w:tcPr>
            <w:tcW w:w="1286" w:type="pct"/>
            <w:shd w:val="clear" w:color="auto" w:fill="auto"/>
          </w:tcPr>
          <w:p w14:paraId="23EE3947"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24"/>
                <w:sz w:val="20"/>
                <w:szCs w:val="20"/>
                <w:lang w:val="en-US" w:eastAsia="en-US" w:bidi="ar-SA"/>
              </w:rPr>
              <w:t>Тип и ниво показатеља</w:t>
            </w:r>
          </w:p>
        </w:tc>
        <w:tc>
          <w:tcPr>
            <w:tcW w:w="1768" w:type="pct"/>
            <w:gridSpan w:val="6"/>
            <w:shd w:val="clear" w:color="auto" w:fill="FFFFFF" w:themeFill="background1"/>
          </w:tcPr>
          <w:p w14:paraId="0518109E"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sr-Latn-RS" w:eastAsia="en-US" w:bidi="ar-SA"/>
              </w:rPr>
              <w:t>K</w:t>
            </w:r>
            <w:r w:rsidRPr="00246E68">
              <w:rPr>
                <w:rFonts w:eastAsiaTheme="minorHAnsi"/>
                <w:bCs/>
                <w:iCs/>
                <w:kern w:val="24"/>
                <w:sz w:val="20"/>
                <w:szCs w:val="20"/>
                <w:lang w:eastAsia="en-US" w:bidi="ar-SA"/>
              </w:rPr>
              <w:t>вантитативни</w:t>
            </w:r>
          </w:p>
        </w:tc>
        <w:tc>
          <w:tcPr>
            <w:tcW w:w="1929" w:type="pct"/>
            <w:gridSpan w:val="8"/>
            <w:shd w:val="clear" w:color="auto" w:fill="FFFFFF" w:themeFill="background1"/>
          </w:tcPr>
          <w:p w14:paraId="07423D3E"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en-US" w:eastAsia="en-US" w:bidi="ar-SA"/>
              </w:rPr>
              <w:t xml:space="preserve">Показатељ </w:t>
            </w:r>
            <w:r w:rsidRPr="00246E68">
              <w:rPr>
                <w:rFonts w:eastAsiaTheme="minorHAnsi"/>
                <w:bCs/>
                <w:iCs/>
                <w:kern w:val="24"/>
                <w:sz w:val="20"/>
                <w:szCs w:val="20"/>
                <w:lang w:eastAsia="en-US" w:bidi="ar-SA"/>
              </w:rPr>
              <w:t>резултата</w:t>
            </w:r>
          </w:p>
        </w:tc>
      </w:tr>
      <w:tr w:rsidR="00246E68" w:rsidRPr="00246E68" w14:paraId="73B0D3F1" w14:textId="77777777" w:rsidTr="00DA6BE3">
        <w:trPr>
          <w:gridAfter w:val="1"/>
          <w:wAfter w:w="17" w:type="pct"/>
          <w:trHeight w:val="373"/>
          <w:jc w:val="center"/>
        </w:trPr>
        <w:tc>
          <w:tcPr>
            <w:tcW w:w="1286" w:type="pct"/>
            <w:shd w:val="clear" w:color="auto" w:fill="auto"/>
          </w:tcPr>
          <w:p w14:paraId="51648CB5" w14:textId="77777777" w:rsidR="00246E68" w:rsidRPr="00246E68" w:rsidRDefault="00246E68" w:rsidP="00246E68">
            <w:pPr>
              <w:suppressAutoHyphens w:val="0"/>
              <w:autoSpaceDN/>
              <w:spacing w:before="50" w:after="50"/>
              <w:ind w:firstLine="0"/>
              <w:jc w:val="left"/>
              <w:textAlignment w:val="auto"/>
              <w:rPr>
                <w:rFonts w:eastAsiaTheme="minorHAnsi"/>
                <w:b/>
                <w:kern w:val="24"/>
                <w:sz w:val="20"/>
                <w:szCs w:val="20"/>
                <w:lang w:val="en-US" w:eastAsia="en-US" w:bidi="ar-SA"/>
              </w:rPr>
            </w:pPr>
            <w:r w:rsidRPr="00246E68">
              <w:rPr>
                <w:rFonts w:eastAsiaTheme="minorHAnsi"/>
                <w:b/>
                <w:kern w:val="24"/>
                <w:sz w:val="20"/>
                <w:szCs w:val="20"/>
                <w:lang w:val="en-US" w:eastAsia="en-US" w:bidi="ar-SA"/>
              </w:rPr>
              <w:t>Јединица мере и природа</w:t>
            </w:r>
          </w:p>
        </w:tc>
        <w:tc>
          <w:tcPr>
            <w:tcW w:w="1768" w:type="pct"/>
            <w:gridSpan w:val="6"/>
            <w:shd w:val="clear" w:color="auto" w:fill="FFFFFF" w:themeFill="background1"/>
          </w:tcPr>
          <w:p w14:paraId="1976E16F" w14:textId="77777777" w:rsidR="00246E68" w:rsidRPr="00246E68" w:rsidRDefault="00246E68" w:rsidP="00246E68">
            <w:pPr>
              <w:tabs>
                <w:tab w:val="left" w:pos="152"/>
              </w:tabs>
              <w:suppressAutoHyphens w:val="0"/>
              <w:autoSpaceDN/>
              <w:spacing w:before="50" w:after="50"/>
              <w:ind w:firstLine="0"/>
              <w:jc w:val="left"/>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Процентуални на скали од 0-100%</w:t>
            </w:r>
          </w:p>
        </w:tc>
        <w:tc>
          <w:tcPr>
            <w:tcW w:w="1929" w:type="pct"/>
            <w:gridSpan w:val="8"/>
            <w:shd w:val="clear" w:color="auto" w:fill="FFFFFF" w:themeFill="background1"/>
          </w:tcPr>
          <w:p w14:paraId="00B32576" w14:textId="77777777" w:rsidR="00246E68" w:rsidRPr="00246E68" w:rsidRDefault="00246E68" w:rsidP="00246E68">
            <w:pPr>
              <w:suppressAutoHyphens w:val="0"/>
              <w:autoSpaceDN/>
              <w:spacing w:before="0" w:after="0"/>
              <w:ind w:firstLine="0"/>
              <w:jc w:val="left"/>
              <w:textAlignment w:val="auto"/>
              <w:rPr>
                <w:rFonts w:eastAsia="Arial"/>
                <w:iCs/>
                <w:color w:val="000000" w:themeColor="dark1"/>
                <w:spacing w:val="-1"/>
                <w:kern w:val="24"/>
                <w:sz w:val="20"/>
                <w:szCs w:val="20"/>
                <w:lang w:val="en-US" w:eastAsia="en-US" w:bidi="ar-SA"/>
              </w:rPr>
            </w:pPr>
            <w:r w:rsidRPr="00246E68">
              <w:rPr>
                <w:rFonts w:eastAsia="Arial"/>
                <w:iCs/>
                <w:color w:val="000000" w:themeColor="dark1"/>
                <w:spacing w:val="-1"/>
                <w:kern w:val="24"/>
                <w:sz w:val="20"/>
                <w:szCs w:val="20"/>
                <w:lang w:val="en-US" w:eastAsia="en-US" w:bidi="ar-SA"/>
              </w:rPr>
              <w:t>Пожељна је већа вредност</w:t>
            </w:r>
          </w:p>
        </w:tc>
      </w:tr>
      <w:tr w:rsidR="00246E68" w:rsidRPr="00246E68" w14:paraId="102E93F4" w14:textId="77777777" w:rsidTr="00DA6BE3">
        <w:trPr>
          <w:gridAfter w:val="1"/>
          <w:wAfter w:w="17" w:type="pct"/>
          <w:jc w:val="center"/>
        </w:trPr>
        <w:tc>
          <w:tcPr>
            <w:tcW w:w="1286" w:type="pct"/>
            <w:shd w:val="clear" w:color="auto" w:fill="auto"/>
          </w:tcPr>
          <w:p w14:paraId="61BFA79B" w14:textId="77777777" w:rsidR="00246E68" w:rsidRPr="00065AE4" w:rsidRDefault="00246E68" w:rsidP="00246E68">
            <w:pPr>
              <w:suppressAutoHyphens w:val="0"/>
              <w:autoSpaceDN/>
              <w:spacing w:before="50" w:after="5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Извор података за праћење показатеља учинка</w:t>
            </w:r>
          </w:p>
        </w:tc>
        <w:tc>
          <w:tcPr>
            <w:tcW w:w="3697" w:type="pct"/>
            <w:gridSpan w:val="14"/>
            <w:shd w:val="clear" w:color="auto" w:fill="FFFFFF" w:themeFill="background1"/>
          </w:tcPr>
          <w:p w14:paraId="108DCFA3"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Подаци ће бити прикупљани  на националном нивоу.</w:t>
            </w:r>
          </w:p>
          <w:p w14:paraId="2B634A07"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Извори:</w:t>
            </w:r>
          </w:p>
          <w:p w14:paraId="1B1BAFA9" w14:textId="77777777" w:rsidR="00246E68" w:rsidRPr="00246E68" w:rsidRDefault="00246E68" w:rsidP="00E62A1A">
            <w:pPr>
              <w:numPr>
                <w:ilvl w:val="0"/>
                <w:numId w:val="14"/>
              </w:numPr>
              <w:suppressAutoHyphens w:val="0"/>
              <w:autoSpaceDN/>
              <w:spacing w:before="0" w:after="0"/>
              <w:jc w:val="left"/>
              <w:textAlignment w:val="auto"/>
              <w:rPr>
                <w:rFonts w:eastAsiaTheme="minorHAnsi"/>
                <w:color w:val="000000"/>
                <w:kern w:val="0"/>
                <w:sz w:val="20"/>
                <w:szCs w:val="20"/>
                <w:lang w:eastAsia="en-GB" w:bidi="ar-SA"/>
              </w:rPr>
            </w:pPr>
            <w:r w:rsidRPr="00246E68">
              <w:rPr>
                <w:rFonts w:eastAsiaTheme="minorHAnsi"/>
                <w:color w:val="000000"/>
                <w:kern w:val="0"/>
                <w:sz w:val="20"/>
                <w:szCs w:val="20"/>
                <w:lang w:eastAsia="en-GB" w:bidi="ar-SA"/>
              </w:rPr>
              <w:t xml:space="preserve">Аналитички извештаји  о коришћењу огласне табле </w:t>
            </w:r>
          </w:p>
        </w:tc>
      </w:tr>
      <w:tr w:rsidR="00246E68" w:rsidRPr="00246E68" w14:paraId="518CB4F0" w14:textId="77777777" w:rsidTr="00DA6BE3">
        <w:trPr>
          <w:gridAfter w:val="1"/>
          <w:wAfter w:w="17" w:type="pct"/>
          <w:jc w:val="center"/>
        </w:trPr>
        <w:tc>
          <w:tcPr>
            <w:tcW w:w="1286" w:type="pct"/>
            <w:shd w:val="clear" w:color="auto" w:fill="auto"/>
          </w:tcPr>
          <w:p w14:paraId="65EEBBE6"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Назив носиоца прикупљања података</w:t>
            </w:r>
          </w:p>
        </w:tc>
        <w:tc>
          <w:tcPr>
            <w:tcW w:w="3697" w:type="pct"/>
            <w:gridSpan w:val="14"/>
            <w:shd w:val="clear" w:color="auto" w:fill="FFFFFF" w:themeFill="background1"/>
          </w:tcPr>
          <w:p w14:paraId="12AB529B"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kern w:val="0"/>
                <w:sz w:val="20"/>
                <w:szCs w:val="20"/>
                <w:lang w:val="en-US" w:eastAsia="en-US" w:bidi="ar-SA"/>
              </w:rPr>
              <w:t xml:space="preserve">МДУЛС </w:t>
            </w:r>
          </w:p>
        </w:tc>
      </w:tr>
      <w:tr w:rsidR="00246E68" w:rsidRPr="00246E68" w14:paraId="46D8F2D2" w14:textId="77777777" w:rsidTr="00DA6BE3">
        <w:trPr>
          <w:gridAfter w:val="1"/>
          <w:wAfter w:w="17" w:type="pct"/>
          <w:jc w:val="center"/>
        </w:trPr>
        <w:tc>
          <w:tcPr>
            <w:tcW w:w="1286" w:type="pct"/>
            <w:shd w:val="clear" w:color="auto" w:fill="auto"/>
          </w:tcPr>
          <w:p w14:paraId="1E06309C"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Учесталост прикупљања података</w:t>
            </w:r>
          </w:p>
        </w:tc>
        <w:tc>
          <w:tcPr>
            <w:tcW w:w="3697" w:type="pct"/>
            <w:gridSpan w:val="14"/>
            <w:shd w:val="clear" w:color="auto" w:fill="FFFFFF" w:themeFill="background1"/>
          </w:tcPr>
          <w:p w14:paraId="6E8386D8"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246E68" w:rsidRPr="00246E68" w14:paraId="5ED33071" w14:textId="77777777" w:rsidTr="00DA6BE3">
        <w:trPr>
          <w:gridAfter w:val="1"/>
          <w:wAfter w:w="17" w:type="pct"/>
          <w:trHeight w:val="274"/>
          <w:jc w:val="center"/>
        </w:trPr>
        <w:tc>
          <w:tcPr>
            <w:tcW w:w="1286" w:type="pct"/>
            <w:shd w:val="clear" w:color="auto" w:fill="auto"/>
          </w:tcPr>
          <w:p w14:paraId="0BE840ED" w14:textId="77777777" w:rsidR="00246E68" w:rsidRPr="00065AE4" w:rsidRDefault="00246E68" w:rsidP="00246E68">
            <w:pPr>
              <w:suppressAutoHyphens w:val="0"/>
              <w:autoSpaceDN/>
              <w:spacing w:before="50" w:after="50"/>
              <w:ind w:firstLine="0"/>
              <w:jc w:val="left"/>
              <w:textAlignment w:val="auto"/>
              <w:rPr>
                <w:rFonts w:eastAsiaTheme="minorHAnsi"/>
                <w:b/>
                <w:kern w:val="0"/>
                <w:sz w:val="20"/>
                <w:szCs w:val="20"/>
                <w:lang w:eastAsia="en-US" w:bidi="ar-SA"/>
              </w:rPr>
            </w:pPr>
            <w:r w:rsidRPr="00065AE4">
              <w:rPr>
                <w:rFonts w:eastAsiaTheme="minorHAnsi"/>
                <w:b/>
                <w:kern w:val="0"/>
                <w:sz w:val="20"/>
                <w:szCs w:val="20"/>
                <w:lang w:eastAsia="en-US" w:bidi="ar-SA"/>
              </w:rPr>
              <w:t>Кратак опис показатеља и методологије израчунавања</w:t>
            </w:r>
          </w:p>
          <w:p w14:paraId="680F8762"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0"/>
                <w:sz w:val="20"/>
                <w:szCs w:val="20"/>
                <w:lang w:val="en-US" w:eastAsia="en-US" w:bidi="ar-SA"/>
              </w:rPr>
              <w:t>(формуле/ једначине)</w:t>
            </w:r>
          </w:p>
        </w:tc>
        <w:tc>
          <w:tcPr>
            <w:tcW w:w="3697" w:type="pct"/>
            <w:gridSpan w:val="14"/>
            <w:shd w:val="clear" w:color="auto" w:fill="FFFFFF" w:themeFill="background1"/>
          </w:tcPr>
          <w:p w14:paraId="36C998CA" w14:textId="77777777" w:rsidR="00246E68" w:rsidRPr="00246E68" w:rsidRDefault="00246E68" w:rsidP="00246E68">
            <w:pPr>
              <w:suppressAutoHyphens w:val="0"/>
              <w:autoSpaceDN/>
              <w:spacing w:before="60" w:beforeAutospacing="1" w:afterAutospacing="1"/>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Вредност показатеља ће се утврдити према броју  органа државне управе и јединица локалне самоуправе који најмање једном годишње на стандардизован начин објављују вести релевантне за реформу јавне управе на Огласној табли у календарској години, у складу са критеријумима. Да би се вест сматрала стандардизованом потребно је да испуни следеће критеријуме:</w:t>
            </w:r>
          </w:p>
          <w:p w14:paraId="6EF73D38"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1. Да је испоштована структура вести у складу са формом коју припреми МДУЛС.</w:t>
            </w:r>
          </w:p>
          <w:p w14:paraId="1DF48442"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 xml:space="preserve">2. Да садржи кључне речи </w:t>
            </w:r>
            <w:r w:rsidRPr="00246E68">
              <w:rPr>
                <w:rFonts w:eastAsiaTheme="minorHAnsi"/>
                <w:i/>
                <w:iCs/>
                <w:color w:val="000000"/>
                <w:kern w:val="24"/>
                <w:sz w:val="20"/>
                <w:szCs w:val="20"/>
                <w:lang w:eastAsia="en-GB" w:bidi="ar-SA"/>
              </w:rPr>
              <w:t>реформа јавне управе</w:t>
            </w:r>
            <w:r w:rsidRPr="00246E68">
              <w:rPr>
                <w:rFonts w:eastAsiaTheme="minorHAnsi"/>
                <w:color w:val="000000"/>
                <w:kern w:val="24"/>
                <w:sz w:val="20"/>
                <w:szCs w:val="20"/>
                <w:lang w:eastAsia="en-GB" w:bidi="ar-SA"/>
              </w:rPr>
              <w:t xml:space="preserve"> и да се та синтагма користи у циљу комуникације процеса и резултата реформе; </w:t>
            </w:r>
          </w:p>
          <w:p w14:paraId="488295A4"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 xml:space="preserve">3. Да је означено да спада у категорију РЈУ. </w:t>
            </w:r>
          </w:p>
          <w:p w14:paraId="54B3A139" w14:textId="77777777" w:rsidR="00246E68" w:rsidRPr="00246E68" w:rsidRDefault="00246E68" w:rsidP="00246E68">
            <w:pPr>
              <w:suppressAutoHyphens w:val="0"/>
              <w:autoSpaceDN/>
              <w:spacing w:before="60" w:beforeAutospacing="1" w:afterAutospacing="1"/>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 xml:space="preserve">Услови морају да буду кумулативно испуњени. </w:t>
            </w:r>
            <w:r w:rsidRPr="00246E68">
              <w:rPr>
                <w:rFonts w:eastAsiaTheme="minorHAnsi"/>
                <w:color w:val="000000"/>
                <w:kern w:val="0"/>
                <w:sz w:val="20"/>
                <w:szCs w:val="20"/>
                <w:lang w:eastAsia="en-US" w:bidi="ar-SA"/>
              </w:rPr>
              <w:t xml:space="preserve">Институције које су обухваћене овим показатељем су они органи које имају представнике у Савету за реформу јавне управе, као и Национална академија за јавну управу и Канцеларија за информационе технологије и електронску управу. Када је реч о ЈЛС за потребе овог индикатора се прате ЈЛС које имају статус града у складу са законом. </w:t>
            </w:r>
          </w:p>
          <w:p w14:paraId="0A3CF016"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sr-Latn-RS" w:eastAsia="en-US" w:bidi="ar-SA"/>
              </w:rPr>
            </w:pPr>
            <w:r w:rsidRPr="00246E68">
              <w:rPr>
                <w:rFonts w:eastAsiaTheme="minorHAnsi"/>
                <w:color w:val="000000"/>
                <w:kern w:val="24"/>
                <w:sz w:val="20"/>
                <w:szCs w:val="20"/>
                <w:lang w:eastAsia="en-GB" w:bidi="ar-SA"/>
              </w:rPr>
              <w:t>Формула: Број ОДУ и ЈЛС који су најмање једном објавиле вест на Огласној табли у календарској години у складу са критеријумима / укупан број наведених ОДУ и ЈЛС * 100</w:t>
            </w:r>
          </w:p>
        </w:tc>
      </w:tr>
      <w:tr w:rsidR="00246E68" w:rsidRPr="00246E68" w14:paraId="44024777" w14:textId="77777777" w:rsidTr="00DA6BE3">
        <w:trPr>
          <w:gridAfter w:val="1"/>
          <w:wAfter w:w="17" w:type="pct"/>
          <w:trHeight w:val="265"/>
          <w:jc w:val="center"/>
        </w:trPr>
        <w:tc>
          <w:tcPr>
            <w:tcW w:w="1286" w:type="pct"/>
            <w:vMerge w:val="restart"/>
            <w:shd w:val="clear" w:color="auto" w:fill="auto"/>
          </w:tcPr>
          <w:p w14:paraId="66F63E95" w14:textId="77777777" w:rsidR="00246E68" w:rsidRPr="00246E68" w:rsidRDefault="00246E68" w:rsidP="00246E68">
            <w:pPr>
              <w:suppressAutoHyphens w:val="0"/>
              <w:autoSpaceDN/>
              <w:spacing w:before="50" w:after="0"/>
              <w:ind w:firstLine="0"/>
              <w:jc w:val="left"/>
              <w:textAlignment w:val="auto"/>
              <w:rPr>
                <w:rFonts w:eastAsiaTheme="minorHAnsi"/>
                <w:b/>
                <w:bCs/>
                <w:kern w:val="0"/>
                <w:sz w:val="20"/>
                <w:szCs w:val="20"/>
                <w:lang w:val="sr-Latn-RS" w:eastAsia="en-US" w:bidi="ar-SA"/>
              </w:rPr>
            </w:pPr>
            <w:r w:rsidRPr="00246E68">
              <w:rPr>
                <w:rFonts w:eastAsiaTheme="minorHAnsi"/>
                <w:b/>
                <w:bCs/>
                <w:kern w:val="0"/>
                <w:sz w:val="20"/>
                <w:szCs w:val="20"/>
                <w:lang w:eastAsia="en-US" w:bidi="ar-SA"/>
              </w:rPr>
              <w:t>Подаци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полазној</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вредности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години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кад</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је</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измерена</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тренду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прошлости</w:t>
            </w:r>
          </w:p>
        </w:tc>
        <w:tc>
          <w:tcPr>
            <w:tcW w:w="2780" w:type="pct"/>
            <w:gridSpan w:val="11"/>
            <w:tcBorders>
              <w:bottom w:val="single" w:sz="4" w:space="0" w:color="auto"/>
            </w:tcBorders>
            <w:shd w:val="clear" w:color="auto" w:fill="FFFFFF" w:themeFill="background1"/>
            <w:vAlign w:val="center"/>
          </w:tcPr>
          <w:p w14:paraId="0FCBCAAD" w14:textId="77777777" w:rsidR="00246E68" w:rsidRPr="00246E68" w:rsidRDefault="00246E68" w:rsidP="00246E68">
            <w:pPr>
              <w:suppressAutoHyphens w:val="0"/>
              <w:autoSpaceDN/>
              <w:spacing w:before="0" w:after="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Тренд у прошлости</w:t>
            </w:r>
          </w:p>
        </w:tc>
        <w:tc>
          <w:tcPr>
            <w:tcW w:w="917" w:type="pct"/>
            <w:gridSpan w:val="3"/>
            <w:shd w:val="clear" w:color="auto" w:fill="FFFFFF" w:themeFill="background1"/>
            <w:vAlign w:val="center"/>
          </w:tcPr>
          <w:p w14:paraId="182AFB9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Полазна вредност</w:t>
            </w:r>
          </w:p>
        </w:tc>
      </w:tr>
      <w:tr w:rsidR="00246E68" w:rsidRPr="00246E68" w14:paraId="2C2C3023" w14:textId="77777777" w:rsidTr="00DA6BE3">
        <w:trPr>
          <w:gridAfter w:val="1"/>
          <w:wAfter w:w="17" w:type="pct"/>
          <w:trHeight w:val="137"/>
          <w:jc w:val="center"/>
        </w:trPr>
        <w:tc>
          <w:tcPr>
            <w:tcW w:w="1286" w:type="pct"/>
            <w:vMerge/>
            <w:tcBorders>
              <w:right w:val="single" w:sz="4" w:space="0" w:color="auto"/>
            </w:tcBorders>
            <w:shd w:val="clear" w:color="auto" w:fill="auto"/>
          </w:tcPr>
          <w:p w14:paraId="267C6CE2"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1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69ECFA"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2016</w:t>
            </w:r>
          </w:p>
        </w:tc>
        <w:tc>
          <w:tcPr>
            <w:tcW w:w="879"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4E241"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2017</w:t>
            </w:r>
          </w:p>
        </w:tc>
        <w:tc>
          <w:tcPr>
            <w:tcW w:w="98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88A4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2018</w:t>
            </w:r>
          </w:p>
        </w:tc>
        <w:tc>
          <w:tcPr>
            <w:tcW w:w="917" w:type="pct"/>
            <w:gridSpan w:val="3"/>
            <w:tcBorders>
              <w:left w:val="single" w:sz="4" w:space="0" w:color="auto"/>
            </w:tcBorders>
            <w:shd w:val="clear" w:color="auto" w:fill="FFFFFF" w:themeFill="background1"/>
            <w:vAlign w:val="center"/>
          </w:tcPr>
          <w:p w14:paraId="0DBD247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2019 или 2020</w:t>
            </w:r>
          </w:p>
        </w:tc>
      </w:tr>
      <w:tr w:rsidR="00246E68" w:rsidRPr="00246E68" w14:paraId="3916C61D" w14:textId="77777777" w:rsidTr="00DA6BE3">
        <w:trPr>
          <w:gridAfter w:val="1"/>
          <w:wAfter w:w="17" w:type="pct"/>
          <w:trHeight w:val="323"/>
          <w:jc w:val="center"/>
        </w:trPr>
        <w:tc>
          <w:tcPr>
            <w:tcW w:w="1286" w:type="pct"/>
            <w:vMerge/>
            <w:shd w:val="clear" w:color="auto" w:fill="auto"/>
          </w:tcPr>
          <w:p w14:paraId="363F78D2"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13" w:type="pct"/>
            <w:gridSpan w:val="3"/>
            <w:tcBorders>
              <w:top w:val="single" w:sz="4" w:space="0" w:color="auto"/>
            </w:tcBorders>
            <w:shd w:val="clear" w:color="auto" w:fill="FFFFFF" w:themeFill="background1"/>
            <w:vAlign w:val="center"/>
          </w:tcPr>
          <w:p w14:paraId="3C0ADC6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79" w:type="pct"/>
            <w:gridSpan w:val="4"/>
            <w:tcBorders>
              <w:top w:val="single" w:sz="4" w:space="0" w:color="auto"/>
            </w:tcBorders>
            <w:shd w:val="clear" w:color="auto" w:fill="FFFFFF" w:themeFill="background1"/>
            <w:vAlign w:val="center"/>
          </w:tcPr>
          <w:p w14:paraId="07B6BD5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988" w:type="pct"/>
            <w:gridSpan w:val="4"/>
            <w:tcBorders>
              <w:top w:val="single" w:sz="4" w:space="0" w:color="auto"/>
            </w:tcBorders>
            <w:shd w:val="clear" w:color="auto" w:fill="FFFFFF" w:themeFill="background1"/>
            <w:vAlign w:val="center"/>
          </w:tcPr>
          <w:p w14:paraId="088A0BCC"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917" w:type="pct"/>
            <w:gridSpan w:val="3"/>
            <w:shd w:val="clear" w:color="auto" w:fill="FFFFFF" w:themeFill="background1"/>
            <w:vAlign w:val="center"/>
          </w:tcPr>
          <w:p w14:paraId="32F3412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eastAsia="en-US" w:bidi="ar-SA"/>
              </w:rPr>
            </w:pPr>
            <w:r w:rsidRPr="00246E68">
              <w:rPr>
                <w:rFonts w:eastAsiaTheme="minorHAnsi"/>
                <w:iCs/>
                <w:kern w:val="0"/>
                <w:sz w:val="20"/>
                <w:szCs w:val="20"/>
                <w:lang w:eastAsia="en-US" w:bidi="ar-SA"/>
              </w:rPr>
              <w:t>25%</w:t>
            </w:r>
          </w:p>
        </w:tc>
      </w:tr>
      <w:tr w:rsidR="00246E68" w:rsidRPr="00246E68" w14:paraId="4320092C" w14:textId="77777777" w:rsidTr="00DA6BE3">
        <w:trPr>
          <w:trHeight w:val="274"/>
          <w:jc w:val="center"/>
        </w:trPr>
        <w:tc>
          <w:tcPr>
            <w:tcW w:w="1286" w:type="pct"/>
            <w:vMerge w:val="restart"/>
            <w:shd w:val="clear" w:color="auto" w:fill="auto"/>
          </w:tcPr>
          <w:p w14:paraId="39BB1DAD" w14:textId="77777777" w:rsidR="00246E68" w:rsidRPr="00246E68" w:rsidRDefault="00246E68" w:rsidP="00246E68">
            <w:pPr>
              <w:suppressAutoHyphens w:val="0"/>
              <w:autoSpaceDN/>
              <w:spacing w:before="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Подаци о циљним вредностима</w:t>
            </w:r>
          </w:p>
        </w:tc>
        <w:tc>
          <w:tcPr>
            <w:tcW w:w="294" w:type="pct"/>
            <w:shd w:val="clear" w:color="auto" w:fill="FFFFFF" w:themeFill="background1"/>
            <w:vAlign w:val="center"/>
          </w:tcPr>
          <w:p w14:paraId="5A6E593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2021</w:t>
            </w:r>
          </w:p>
        </w:tc>
        <w:tc>
          <w:tcPr>
            <w:tcW w:w="348" w:type="pct"/>
            <w:shd w:val="clear" w:color="auto" w:fill="FFFFFF" w:themeFill="background1"/>
            <w:vAlign w:val="center"/>
          </w:tcPr>
          <w:p w14:paraId="5660F42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2022</w:t>
            </w:r>
          </w:p>
        </w:tc>
        <w:tc>
          <w:tcPr>
            <w:tcW w:w="404" w:type="pct"/>
            <w:gridSpan w:val="2"/>
            <w:shd w:val="clear" w:color="auto" w:fill="FFFFFF" w:themeFill="background1"/>
            <w:vAlign w:val="center"/>
          </w:tcPr>
          <w:p w14:paraId="6084962D"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2023</w:t>
            </w:r>
          </w:p>
        </w:tc>
        <w:tc>
          <w:tcPr>
            <w:tcW w:w="381" w:type="pct"/>
            <w:shd w:val="clear" w:color="auto" w:fill="FFFFFF" w:themeFill="background1"/>
            <w:vAlign w:val="center"/>
          </w:tcPr>
          <w:p w14:paraId="598213CA"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2024</w:t>
            </w:r>
          </w:p>
        </w:tc>
        <w:tc>
          <w:tcPr>
            <w:tcW w:w="383" w:type="pct"/>
            <w:gridSpan w:val="3"/>
            <w:shd w:val="clear" w:color="auto" w:fill="FFFFFF" w:themeFill="background1"/>
            <w:vAlign w:val="center"/>
          </w:tcPr>
          <w:p w14:paraId="6E3E053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2025</w:t>
            </w:r>
          </w:p>
        </w:tc>
        <w:tc>
          <w:tcPr>
            <w:tcW w:w="381" w:type="pct"/>
            <w:shd w:val="clear" w:color="auto" w:fill="FFFFFF" w:themeFill="background1"/>
            <w:vAlign w:val="center"/>
          </w:tcPr>
          <w:p w14:paraId="5C5C2C0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2026</w:t>
            </w:r>
          </w:p>
        </w:tc>
        <w:tc>
          <w:tcPr>
            <w:tcW w:w="381" w:type="pct"/>
            <w:shd w:val="clear" w:color="auto" w:fill="FFFFFF" w:themeFill="background1"/>
            <w:vAlign w:val="center"/>
          </w:tcPr>
          <w:p w14:paraId="5713241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2027</w:t>
            </w:r>
          </w:p>
        </w:tc>
        <w:tc>
          <w:tcPr>
            <w:tcW w:w="381" w:type="pct"/>
            <w:gridSpan w:val="2"/>
            <w:shd w:val="clear" w:color="auto" w:fill="FFFFFF" w:themeFill="background1"/>
            <w:vAlign w:val="center"/>
          </w:tcPr>
          <w:p w14:paraId="145DAFF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2028</w:t>
            </w:r>
          </w:p>
        </w:tc>
        <w:tc>
          <w:tcPr>
            <w:tcW w:w="381" w:type="pct"/>
            <w:shd w:val="clear" w:color="auto" w:fill="FFFFFF" w:themeFill="background1"/>
            <w:vAlign w:val="center"/>
          </w:tcPr>
          <w:p w14:paraId="6933CC5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2029</w:t>
            </w:r>
          </w:p>
        </w:tc>
        <w:tc>
          <w:tcPr>
            <w:tcW w:w="380" w:type="pct"/>
            <w:gridSpan w:val="2"/>
            <w:shd w:val="clear" w:color="auto" w:fill="FFFFFF" w:themeFill="background1"/>
            <w:vAlign w:val="center"/>
          </w:tcPr>
          <w:p w14:paraId="03327E3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2030</w:t>
            </w:r>
          </w:p>
        </w:tc>
      </w:tr>
      <w:tr w:rsidR="00246E68" w:rsidRPr="00246E68" w14:paraId="0955E187" w14:textId="77777777" w:rsidTr="00DA6BE3">
        <w:trPr>
          <w:trHeight w:val="160"/>
          <w:jc w:val="center"/>
        </w:trPr>
        <w:tc>
          <w:tcPr>
            <w:tcW w:w="1286" w:type="pct"/>
            <w:vMerge/>
            <w:shd w:val="clear" w:color="auto" w:fill="auto"/>
          </w:tcPr>
          <w:p w14:paraId="3F0CC1FE"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294" w:type="pct"/>
            <w:shd w:val="clear" w:color="auto" w:fill="FFFFFF" w:themeFill="background1"/>
          </w:tcPr>
          <w:p w14:paraId="677AF20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50%</w:t>
            </w:r>
          </w:p>
        </w:tc>
        <w:tc>
          <w:tcPr>
            <w:tcW w:w="348" w:type="pct"/>
            <w:shd w:val="clear" w:color="auto" w:fill="FFFFFF" w:themeFill="background1"/>
          </w:tcPr>
          <w:p w14:paraId="72A4F98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75%</w:t>
            </w:r>
          </w:p>
        </w:tc>
        <w:tc>
          <w:tcPr>
            <w:tcW w:w="404" w:type="pct"/>
            <w:gridSpan w:val="2"/>
            <w:shd w:val="clear" w:color="auto" w:fill="FFFFFF" w:themeFill="background1"/>
          </w:tcPr>
          <w:p w14:paraId="3E06505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100%</w:t>
            </w:r>
          </w:p>
        </w:tc>
        <w:tc>
          <w:tcPr>
            <w:tcW w:w="381" w:type="pct"/>
            <w:shd w:val="clear" w:color="auto" w:fill="FFFFFF" w:themeFill="background1"/>
          </w:tcPr>
          <w:p w14:paraId="1345FE31"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100%</w:t>
            </w:r>
          </w:p>
        </w:tc>
        <w:tc>
          <w:tcPr>
            <w:tcW w:w="383" w:type="pct"/>
            <w:gridSpan w:val="3"/>
            <w:shd w:val="clear" w:color="auto" w:fill="FFFFFF" w:themeFill="background1"/>
          </w:tcPr>
          <w:p w14:paraId="7F3561A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100%</w:t>
            </w:r>
          </w:p>
        </w:tc>
        <w:tc>
          <w:tcPr>
            <w:tcW w:w="381" w:type="pct"/>
            <w:shd w:val="clear" w:color="auto" w:fill="FFFFFF" w:themeFill="background1"/>
          </w:tcPr>
          <w:p w14:paraId="3DF1662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100%</w:t>
            </w:r>
          </w:p>
        </w:tc>
        <w:tc>
          <w:tcPr>
            <w:tcW w:w="381" w:type="pct"/>
            <w:shd w:val="clear" w:color="auto" w:fill="FFFFFF" w:themeFill="background1"/>
          </w:tcPr>
          <w:p w14:paraId="70E85EB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100%</w:t>
            </w:r>
          </w:p>
        </w:tc>
        <w:tc>
          <w:tcPr>
            <w:tcW w:w="381" w:type="pct"/>
            <w:gridSpan w:val="2"/>
            <w:shd w:val="clear" w:color="auto" w:fill="FFFFFF" w:themeFill="background1"/>
          </w:tcPr>
          <w:p w14:paraId="1D87C64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100%</w:t>
            </w:r>
          </w:p>
        </w:tc>
        <w:tc>
          <w:tcPr>
            <w:tcW w:w="381" w:type="pct"/>
            <w:shd w:val="clear" w:color="auto" w:fill="FFFFFF" w:themeFill="background1"/>
          </w:tcPr>
          <w:p w14:paraId="7CCDE25C"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100%</w:t>
            </w:r>
          </w:p>
        </w:tc>
        <w:tc>
          <w:tcPr>
            <w:tcW w:w="380" w:type="pct"/>
            <w:gridSpan w:val="2"/>
            <w:shd w:val="clear" w:color="auto" w:fill="FFFFFF" w:themeFill="background1"/>
          </w:tcPr>
          <w:p w14:paraId="0171E47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100%</w:t>
            </w:r>
          </w:p>
        </w:tc>
      </w:tr>
      <w:tr w:rsidR="00246E68" w:rsidRPr="00246E68" w14:paraId="361FA1F9" w14:textId="77777777" w:rsidTr="00DA6BE3">
        <w:trPr>
          <w:gridAfter w:val="1"/>
          <w:wAfter w:w="17" w:type="pct"/>
          <w:trHeight w:val="160"/>
          <w:jc w:val="center"/>
        </w:trPr>
        <w:tc>
          <w:tcPr>
            <w:tcW w:w="1286" w:type="pct"/>
            <w:shd w:val="clear" w:color="auto" w:fill="auto"/>
          </w:tcPr>
          <w:p w14:paraId="3EB9B20A"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Процена успешности</w:t>
            </w:r>
          </w:p>
        </w:tc>
        <w:tc>
          <w:tcPr>
            <w:tcW w:w="3697" w:type="pct"/>
            <w:gridSpan w:val="14"/>
            <w:shd w:val="clear" w:color="auto" w:fill="FFFFFF" w:themeFill="background1"/>
            <w:vAlign w:val="center"/>
          </w:tcPr>
          <w:p w14:paraId="74EFFF3C" w14:textId="77777777" w:rsidR="00246E68" w:rsidRPr="00246E68" w:rsidRDefault="00246E68" w:rsidP="00246E68">
            <w:pPr>
              <w:suppressAutoHyphens w:val="0"/>
              <w:autoSpaceDN/>
              <w:spacing w:before="50" w:after="50"/>
              <w:ind w:firstLine="0"/>
              <w:jc w:val="left"/>
              <w:textAlignment w:val="auto"/>
              <w:rPr>
                <w:rFonts w:eastAsiaTheme="minorHAnsi"/>
                <w:iCs/>
                <w:kern w:val="0"/>
                <w:sz w:val="20"/>
                <w:szCs w:val="20"/>
                <w:lang w:eastAsia="en-US" w:bidi="ar-SA"/>
              </w:rPr>
            </w:pPr>
            <w:r w:rsidRPr="00246E68">
              <w:rPr>
                <w:rFonts w:eastAsiaTheme="minorHAnsi"/>
                <w:color w:val="000000"/>
                <w:kern w:val="24"/>
                <w:sz w:val="20"/>
                <w:szCs w:val="20"/>
                <w:lang w:eastAsia="en-GB" w:bidi="ar-SA"/>
              </w:rPr>
              <w:t>Степен одступања до 10% ће се вредновати као успех</w:t>
            </w:r>
          </w:p>
        </w:tc>
      </w:tr>
    </w:tbl>
    <w:p w14:paraId="7695ACFD"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p w14:paraId="671A5673"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p w14:paraId="78737362" w14:textId="77777777" w:rsidR="00246E68" w:rsidRPr="00246E68" w:rsidRDefault="00246E68" w:rsidP="00246E68">
      <w:pPr>
        <w:suppressAutoHyphens w:val="0"/>
        <w:autoSpaceDN/>
        <w:spacing w:before="0" w:after="0"/>
        <w:ind w:firstLine="0"/>
        <w:jc w:val="left"/>
        <w:textAlignment w:val="auto"/>
        <w:rPr>
          <w:rFonts w:eastAsiaTheme="minorHAnsi"/>
          <w:b/>
          <w:bCs/>
          <w:color w:val="A6A6A6" w:themeColor="background1" w:themeShade="A6"/>
          <w:kern w:val="0"/>
          <w:sz w:val="20"/>
          <w:szCs w:val="20"/>
          <w:lang w:val="sr-Latn-RS" w:eastAsia="en-US" w:bidi="ar-SA"/>
        </w:rPr>
      </w:pPr>
      <w:r w:rsidRPr="00246E68">
        <w:rPr>
          <w:rFonts w:eastAsiaTheme="minorHAnsi"/>
          <w:b/>
          <w:bCs/>
          <w:color w:val="A6A6A6" w:themeColor="background1" w:themeShade="A6"/>
          <w:kern w:val="0"/>
          <w:sz w:val="20"/>
          <w:szCs w:val="20"/>
          <w:lang w:val="en-US" w:eastAsia="en-US" w:bidi="ar-SA"/>
        </w:rPr>
        <w:t>Показатељ 4</w:t>
      </w:r>
    </w:p>
    <w:p w14:paraId="001E6F3E"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9"/>
        <w:gridCol w:w="616"/>
        <w:gridCol w:w="632"/>
        <w:gridCol w:w="493"/>
        <w:gridCol w:w="238"/>
        <w:gridCol w:w="693"/>
        <w:gridCol w:w="621"/>
        <w:gridCol w:w="41"/>
        <w:gridCol w:w="28"/>
        <w:gridCol w:w="689"/>
        <w:gridCol w:w="694"/>
        <w:gridCol w:w="379"/>
        <w:gridCol w:w="311"/>
        <w:gridCol w:w="695"/>
        <w:gridCol w:w="695"/>
      </w:tblGrid>
      <w:tr w:rsidR="00246E68" w:rsidRPr="00246E68" w14:paraId="46D1BB50" w14:textId="77777777" w:rsidTr="00DA6BE3">
        <w:trPr>
          <w:jc w:val="center"/>
        </w:trPr>
        <w:tc>
          <w:tcPr>
            <w:tcW w:w="12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9E3BB9" w14:textId="77777777" w:rsidR="00246E68" w:rsidRPr="00246E68" w:rsidRDefault="00246E68" w:rsidP="00246E68">
            <w:pPr>
              <w:suppressAutoHyphens w:val="0"/>
              <w:autoSpaceDN/>
              <w:spacing w:before="100" w:after="100"/>
              <w:ind w:firstLine="0"/>
              <w:jc w:val="left"/>
              <w:textAlignment w:val="auto"/>
              <w:rPr>
                <w:rFonts w:eastAsiaTheme="minorHAnsi"/>
                <w:b/>
                <w:bCs/>
                <w:color w:val="FFFFFF" w:themeColor="background1"/>
                <w:kern w:val="0"/>
                <w:sz w:val="20"/>
                <w:szCs w:val="20"/>
                <w:lang w:val="en-US" w:eastAsia="en-US" w:bidi="ar-SA"/>
              </w:rPr>
            </w:pPr>
            <w:r w:rsidRPr="00246E68">
              <w:rPr>
                <w:rFonts w:eastAsiaTheme="minorHAnsi"/>
                <w:b/>
                <w:bCs/>
                <w:color w:val="FFFFFF" w:themeColor="background1"/>
                <w:kern w:val="0"/>
                <w:sz w:val="20"/>
                <w:szCs w:val="20"/>
                <w:lang w:val="en-US" w:eastAsia="en-US" w:bidi="ar-SA"/>
              </w:rPr>
              <w:t>Назив показатеља</w:t>
            </w:r>
          </w:p>
        </w:tc>
        <w:tc>
          <w:tcPr>
            <w:tcW w:w="3719" w:type="pct"/>
            <w:gridSpan w:val="1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65E368" w14:textId="77777777" w:rsidR="00246E68" w:rsidRPr="00246E68" w:rsidRDefault="00246E68" w:rsidP="00246E68">
            <w:pPr>
              <w:suppressAutoHyphens w:val="0"/>
              <w:autoSpaceDN/>
              <w:spacing w:before="100" w:after="100"/>
              <w:ind w:firstLine="0"/>
              <w:jc w:val="left"/>
              <w:textAlignment w:val="auto"/>
              <w:rPr>
                <w:rFonts w:eastAsiaTheme="minorHAnsi"/>
                <w:b/>
                <w:iCs/>
                <w:color w:val="FFFFFF" w:themeColor="background1"/>
                <w:kern w:val="0"/>
                <w:sz w:val="20"/>
                <w:szCs w:val="20"/>
                <w:lang w:val="en-US" w:eastAsia="en-US" w:bidi="ar-SA"/>
              </w:rPr>
            </w:pPr>
            <w:r w:rsidRPr="00246E68">
              <w:rPr>
                <w:rFonts w:eastAsiaTheme="minorHAnsi"/>
                <w:b/>
                <w:bCs/>
                <w:color w:val="000000"/>
                <w:kern w:val="0"/>
                <w:sz w:val="20"/>
                <w:szCs w:val="20"/>
                <w:lang w:eastAsia="en-US" w:bidi="ar-SA"/>
              </w:rPr>
              <w:t>Укупан број обучених службеника за односе са јавношћу и управљање људским ресурсима из органа државне управе и јединица локалне самоуправе на тему</w:t>
            </w:r>
            <w:r w:rsidRPr="00246E68">
              <w:rPr>
                <w:rFonts w:eastAsiaTheme="minorHAnsi"/>
                <w:kern w:val="0"/>
                <w:lang w:eastAsia="en-US" w:bidi="ar-SA"/>
              </w:rPr>
              <w:t xml:space="preserve"> </w:t>
            </w:r>
            <w:r w:rsidRPr="00246E68">
              <w:rPr>
                <w:rFonts w:eastAsiaTheme="minorHAnsi"/>
                <w:b/>
                <w:bCs/>
                <w:color w:val="000000"/>
                <w:kern w:val="0"/>
                <w:sz w:val="20"/>
                <w:szCs w:val="20"/>
                <w:lang w:eastAsia="en-US" w:bidi="ar-SA"/>
              </w:rPr>
              <w:t>комуникације реформе јавне управе</w:t>
            </w:r>
          </w:p>
        </w:tc>
      </w:tr>
      <w:tr w:rsidR="00246E68" w:rsidRPr="00246E68" w14:paraId="4B32DF95" w14:textId="77777777" w:rsidTr="00DA6BE3">
        <w:trPr>
          <w:jc w:val="center"/>
        </w:trPr>
        <w:tc>
          <w:tcPr>
            <w:tcW w:w="1281" w:type="pct"/>
            <w:tcBorders>
              <w:top w:val="single" w:sz="4" w:space="0" w:color="auto"/>
              <w:left w:val="single" w:sz="4" w:space="0" w:color="auto"/>
              <w:bottom w:val="single" w:sz="4" w:space="0" w:color="auto"/>
              <w:right w:val="single" w:sz="4" w:space="0" w:color="auto"/>
            </w:tcBorders>
            <w:shd w:val="clear" w:color="auto" w:fill="auto"/>
          </w:tcPr>
          <w:p w14:paraId="770BBE2E" w14:textId="77777777" w:rsidR="00246E68" w:rsidRPr="00065AE4" w:rsidRDefault="00246E68" w:rsidP="00246E68">
            <w:pPr>
              <w:suppressAutoHyphens w:val="0"/>
              <w:autoSpaceDN/>
              <w:spacing w:before="100" w:after="10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Одговарајући општи, посебни циљ или мера</w:t>
            </w:r>
          </w:p>
        </w:tc>
        <w:tc>
          <w:tcPr>
            <w:tcW w:w="3719" w:type="pct"/>
            <w:gridSpan w:val="14"/>
            <w:tcBorders>
              <w:top w:val="single" w:sz="4" w:space="0" w:color="auto"/>
              <w:left w:val="single" w:sz="4" w:space="0" w:color="auto"/>
              <w:bottom w:val="single" w:sz="4" w:space="0" w:color="auto"/>
              <w:right w:val="single" w:sz="4" w:space="0" w:color="auto"/>
            </w:tcBorders>
            <w:shd w:val="clear" w:color="auto" w:fill="FFFFFF" w:themeFill="background1"/>
          </w:tcPr>
          <w:p w14:paraId="188BEDEA" w14:textId="77777777" w:rsidR="00246E68" w:rsidRPr="00246E68" w:rsidRDefault="00246E68" w:rsidP="00246E68">
            <w:pPr>
              <w:suppressAutoHyphens w:val="0"/>
              <w:autoSpaceDN/>
              <w:spacing w:before="100" w:after="100"/>
              <w:ind w:firstLine="0"/>
              <w:jc w:val="left"/>
              <w:textAlignment w:val="auto"/>
              <w:rPr>
                <w:rFonts w:eastAsiaTheme="minorHAnsi"/>
                <w:b/>
                <w:iCs/>
                <w:color w:val="000000" w:themeColor="text1"/>
                <w:kern w:val="0"/>
                <w:sz w:val="20"/>
                <w:szCs w:val="20"/>
                <w:lang w:eastAsia="en-US" w:bidi="ar-SA"/>
              </w:rPr>
            </w:pPr>
            <w:r w:rsidRPr="00246E68">
              <w:rPr>
                <w:rFonts w:eastAsiaTheme="minorHAnsi"/>
                <w:color w:val="000000"/>
                <w:kern w:val="24"/>
                <w:sz w:val="20"/>
                <w:szCs w:val="20"/>
                <w:lang w:eastAsia="en-US" w:bidi="ar-SA"/>
              </w:rPr>
              <w:t>Мера 4: Усклађивање, стандардизација и континуирано комуницирање РЈУ у јавној управи</w:t>
            </w:r>
          </w:p>
        </w:tc>
      </w:tr>
      <w:tr w:rsidR="00246E68" w:rsidRPr="00246E68" w14:paraId="43127323" w14:textId="77777777" w:rsidTr="00DA6BE3">
        <w:trPr>
          <w:jc w:val="center"/>
        </w:trPr>
        <w:tc>
          <w:tcPr>
            <w:tcW w:w="1281" w:type="pct"/>
            <w:shd w:val="clear" w:color="auto" w:fill="auto"/>
          </w:tcPr>
          <w:p w14:paraId="79B82C18"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24"/>
                <w:sz w:val="20"/>
                <w:szCs w:val="20"/>
                <w:lang w:val="en-US" w:eastAsia="en-US" w:bidi="ar-SA"/>
              </w:rPr>
              <w:t>Тип и ниво показатеља</w:t>
            </w:r>
          </w:p>
        </w:tc>
        <w:tc>
          <w:tcPr>
            <w:tcW w:w="1790" w:type="pct"/>
            <w:gridSpan w:val="6"/>
            <w:shd w:val="clear" w:color="auto" w:fill="FFFFFF" w:themeFill="background1"/>
          </w:tcPr>
          <w:p w14:paraId="2980942C"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sr-Latn-RS" w:eastAsia="en-US" w:bidi="ar-SA"/>
              </w:rPr>
              <w:t>K</w:t>
            </w:r>
            <w:r w:rsidRPr="00246E68">
              <w:rPr>
                <w:rFonts w:eastAsiaTheme="minorHAnsi"/>
                <w:bCs/>
                <w:iCs/>
                <w:kern w:val="24"/>
                <w:sz w:val="20"/>
                <w:szCs w:val="20"/>
                <w:lang w:eastAsia="en-US" w:bidi="ar-SA"/>
              </w:rPr>
              <w:t>вантитативни</w:t>
            </w:r>
          </w:p>
        </w:tc>
        <w:tc>
          <w:tcPr>
            <w:tcW w:w="1928" w:type="pct"/>
            <w:gridSpan w:val="8"/>
            <w:shd w:val="clear" w:color="auto" w:fill="FFFFFF" w:themeFill="background1"/>
          </w:tcPr>
          <w:p w14:paraId="44C134C6"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en-US" w:eastAsia="en-US" w:bidi="ar-SA"/>
              </w:rPr>
              <w:t xml:space="preserve">Показатељ </w:t>
            </w:r>
            <w:r w:rsidRPr="00246E68">
              <w:rPr>
                <w:rFonts w:eastAsiaTheme="minorHAnsi"/>
                <w:bCs/>
                <w:iCs/>
                <w:kern w:val="24"/>
                <w:sz w:val="20"/>
                <w:szCs w:val="20"/>
                <w:lang w:eastAsia="en-US" w:bidi="ar-SA"/>
              </w:rPr>
              <w:t>резултата</w:t>
            </w:r>
          </w:p>
        </w:tc>
      </w:tr>
      <w:tr w:rsidR="00246E68" w:rsidRPr="00246E68" w14:paraId="1A9414A8" w14:textId="77777777" w:rsidTr="00DA6BE3">
        <w:trPr>
          <w:trHeight w:val="373"/>
          <w:jc w:val="center"/>
        </w:trPr>
        <w:tc>
          <w:tcPr>
            <w:tcW w:w="1281" w:type="pct"/>
            <w:shd w:val="clear" w:color="auto" w:fill="auto"/>
          </w:tcPr>
          <w:p w14:paraId="35D7CC13" w14:textId="77777777" w:rsidR="00246E68" w:rsidRPr="00246E68" w:rsidRDefault="00246E68" w:rsidP="00246E68">
            <w:pPr>
              <w:suppressAutoHyphens w:val="0"/>
              <w:autoSpaceDN/>
              <w:spacing w:before="50" w:after="50"/>
              <w:ind w:firstLine="0"/>
              <w:jc w:val="left"/>
              <w:textAlignment w:val="auto"/>
              <w:rPr>
                <w:rFonts w:eastAsiaTheme="minorHAnsi"/>
                <w:b/>
                <w:kern w:val="24"/>
                <w:sz w:val="20"/>
                <w:szCs w:val="20"/>
                <w:lang w:val="en-US" w:eastAsia="en-US" w:bidi="ar-SA"/>
              </w:rPr>
            </w:pPr>
            <w:r w:rsidRPr="00246E68">
              <w:rPr>
                <w:rFonts w:eastAsiaTheme="minorHAnsi"/>
                <w:b/>
                <w:kern w:val="24"/>
                <w:sz w:val="20"/>
                <w:szCs w:val="20"/>
                <w:lang w:val="en-US" w:eastAsia="en-US" w:bidi="ar-SA"/>
              </w:rPr>
              <w:t>Јединица мере и природа</w:t>
            </w:r>
          </w:p>
        </w:tc>
        <w:tc>
          <w:tcPr>
            <w:tcW w:w="1790" w:type="pct"/>
            <w:gridSpan w:val="6"/>
            <w:shd w:val="clear" w:color="auto" w:fill="FFFFFF" w:themeFill="background1"/>
          </w:tcPr>
          <w:p w14:paraId="32BCBDE2" w14:textId="77777777" w:rsidR="00246E68" w:rsidRPr="00246E68" w:rsidRDefault="00246E68" w:rsidP="00246E68">
            <w:pPr>
              <w:tabs>
                <w:tab w:val="left" w:pos="152"/>
              </w:tabs>
              <w:suppressAutoHyphens w:val="0"/>
              <w:autoSpaceDN/>
              <w:spacing w:before="50" w:after="50"/>
              <w:ind w:firstLine="0"/>
              <w:jc w:val="left"/>
              <w:textAlignment w:val="auto"/>
              <w:rPr>
                <w:rFonts w:eastAsiaTheme="minorHAnsi"/>
                <w:iCs/>
                <w:kern w:val="0"/>
                <w:sz w:val="20"/>
                <w:szCs w:val="20"/>
                <w:lang w:eastAsia="en-US" w:bidi="ar-SA"/>
              </w:rPr>
            </w:pPr>
            <w:r w:rsidRPr="00246E68">
              <w:rPr>
                <w:rFonts w:eastAsiaTheme="minorHAnsi"/>
                <w:color w:val="000000"/>
                <w:kern w:val="0"/>
                <w:sz w:val="20"/>
                <w:szCs w:val="20"/>
                <w:lang w:eastAsia="en-US" w:bidi="ar-SA"/>
              </w:rPr>
              <w:t>број</w:t>
            </w:r>
          </w:p>
        </w:tc>
        <w:tc>
          <w:tcPr>
            <w:tcW w:w="1928" w:type="pct"/>
            <w:gridSpan w:val="8"/>
            <w:shd w:val="clear" w:color="auto" w:fill="FFFFFF" w:themeFill="background1"/>
          </w:tcPr>
          <w:p w14:paraId="0DCD5DCC" w14:textId="77777777" w:rsidR="00246E68" w:rsidRPr="00246E68" w:rsidRDefault="00246E68" w:rsidP="00246E68">
            <w:pPr>
              <w:suppressAutoHyphens w:val="0"/>
              <w:autoSpaceDN/>
              <w:spacing w:before="0" w:after="0"/>
              <w:ind w:firstLine="0"/>
              <w:jc w:val="left"/>
              <w:textAlignment w:val="auto"/>
              <w:rPr>
                <w:rFonts w:eastAsia="Arial"/>
                <w:iCs/>
                <w:color w:val="000000" w:themeColor="dark1"/>
                <w:spacing w:val="-1"/>
                <w:kern w:val="24"/>
                <w:sz w:val="20"/>
                <w:szCs w:val="20"/>
                <w:lang w:val="en-US" w:eastAsia="en-US" w:bidi="ar-SA"/>
              </w:rPr>
            </w:pPr>
            <w:r w:rsidRPr="00246E68">
              <w:rPr>
                <w:rFonts w:eastAsia="Arial"/>
                <w:iCs/>
                <w:color w:val="000000" w:themeColor="dark1"/>
                <w:spacing w:val="-1"/>
                <w:kern w:val="24"/>
                <w:sz w:val="20"/>
                <w:szCs w:val="20"/>
                <w:lang w:val="en-US" w:eastAsia="en-US" w:bidi="ar-SA"/>
              </w:rPr>
              <w:t>Пожељна је већа вредност</w:t>
            </w:r>
          </w:p>
        </w:tc>
      </w:tr>
      <w:tr w:rsidR="00246E68" w:rsidRPr="00246E68" w14:paraId="1B72C94C" w14:textId="77777777" w:rsidTr="00DA6BE3">
        <w:trPr>
          <w:jc w:val="center"/>
        </w:trPr>
        <w:tc>
          <w:tcPr>
            <w:tcW w:w="1281" w:type="pct"/>
            <w:shd w:val="clear" w:color="auto" w:fill="auto"/>
          </w:tcPr>
          <w:p w14:paraId="3DE937B0" w14:textId="77777777" w:rsidR="00246E68" w:rsidRPr="00065AE4" w:rsidRDefault="00246E68" w:rsidP="00246E68">
            <w:pPr>
              <w:suppressAutoHyphens w:val="0"/>
              <w:autoSpaceDN/>
              <w:spacing w:before="50" w:after="5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Извор података за праћење показатеља учинка</w:t>
            </w:r>
          </w:p>
        </w:tc>
        <w:tc>
          <w:tcPr>
            <w:tcW w:w="3719" w:type="pct"/>
            <w:gridSpan w:val="14"/>
            <w:shd w:val="clear" w:color="auto" w:fill="FFFFFF" w:themeFill="background1"/>
          </w:tcPr>
          <w:p w14:paraId="370A3FCB"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Подаци ће бити прикупљани  на националном нивоу.</w:t>
            </w:r>
          </w:p>
          <w:p w14:paraId="1F3E14F5"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Извори:</w:t>
            </w:r>
          </w:p>
          <w:p w14:paraId="2BB6B60D" w14:textId="77777777" w:rsidR="00246E68" w:rsidRPr="00246E68" w:rsidRDefault="00246E68" w:rsidP="00E62A1A">
            <w:pPr>
              <w:numPr>
                <w:ilvl w:val="0"/>
                <w:numId w:val="14"/>
              </w:numPr>
              <w:suppressAutoHyphens w:val="0"/>
              <w:autoSpaceDN/>
              <w:spacing w:before="0" w:after="0"/>
              <w:jc w:val="left"/>
              <w:textAlignment w:val="auto"/>
              <w:rPr>
                <w:rFonts w:eastAsiaTheme="minorHAnsi"/>
                <w:color w:val="000000"/>
                <w:kern w:val="0"/>
                <w:sz w:val="20"/>
                <w:szCs w:val="20"/>
                <w:lang w:eastAsia="en-GB" w:bidi="ar-SA"/>
              </w:rPr>
            </w:pPr>
            <w:r w:rsidRPr="00246E68">
              <w:rPr>
                <w:rFonts w:eastAsiaTheme="minorHAnsi"/>
                <w:color w:val="000000"/>
                <w:kern w:val="0"/>
                <w:sz w:val="20"/>
                <w:szCs w:val="20"/>
                <w:lang w:eastAsia="en-GB" w:bidi="ar-SA"/>
              </w:rPr>
              <w:t>Извештај о реализацији обука</w:t>
            </w:r>
          </w:p>
        </w:tc>
      </w:tr>
      <w:tr w:rsidR="00246E68" w:rsidRPr="00246E68" w14:paraId="03013663" w14:textId="77777777" w:rsidTr="00DA6BE3">
        <w:trPr>
          <w:jc w:val="center"/>
        </w:trPr>
        <w:tc>
          <w:tcPr>
            <w:tcW w:w="1281" w:type="pct"/>
            <w:shd w:val="clear" w:color="auto" w:fill="auto"/>
          </w:tcPr>
          <w:p w14:paraId="1DA12168"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Назив носиоца прикупљања података</w:t>
            </w:r>
          </w:p>
        </w:tc>
        <w:tc>
          <w:tcPr>
            <w:tcW w:w="3719" w:type="pct"/>
            <w:gridSpan w:val="14"/>
            <w:shd w:val="clear" w:color="auto" w:fill="FFFFFF" w:themeFill="background1"/>
          </w:tcPr>
          <w:p w14:paraId="498B607B"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kern w:val="0"/>
                <w:sz w:val="20"/>
                <w:szCs w:val="20"/>
                <w:lang w:val="en-US" w:eastAsia="en-US" w:bidi="ar-SA"/>
              </w:rPr>
              <w:t xml:space="preserve">МДУЛС </w:t>
            </w:r>
          </w:p>
        </w:tc>
      </w:tr>
      <w:tr w:rsidR="00246E68" w:rsidRPr="00246E68" w14:paraId="5D73C2BB" w14:textId="77777777" w:rsidTr="00DA6BE3">
        <w:trPr>
          <w:jc w:val="center"/>
        </w:trPr>
        <w:tc>
          <w:tcPr>
            <w:tcW w:w="1281" w:type="pct"/>
            <w:shd w:val="clear" w:color="auto" w:fill="auto"/>
          </w:tcPr>
          <w:p w14:paraId="6090366D"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Учесталост прикупљања података</w:t>
            </w:r>
          </w:p>
        </w:tc>
        <w:tc>
          <w:tcPr>
            <w:tcW w:w="3719" w:type="pct"/>
            <w:gridSpan w:val="14"/>
            <w:shd w:val="clear" w:color="auto" w:fill="FFFFFF" w:themeFill="background1"/>
          </w:tcPr>
          <w:p w14:paraId="1784D1DD"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246E68" w:rsidRPr="00246E68" w14:paraId="630BCD53" w14:textId="77777777" w:rsidTr="00DA6BE3">
        <w:trPr>
          <w:trHeight w:val="274"/>
          <w:jc w:val="center"/>
        </w:trPr>
        <w:tc>
          <w:tcPr>
            <w:tcW w:w="1281" w:type="pct"/>
            <w:shd w:val="clear" w:color="auto" w:fill="auto"/>
          </w:tcPr>
          <w:p w14:paraId="3D0269A8" w14:textId="77777777" w:rsidR="00246E68" w:rsidRPr="00065AE4" w:rsidRDefault="00246E68" w:rsidP="00246E68">
            <w:pPr>
              <w:suppressAutoHyphens w:val="0"/>
              <w:autoSpaceDN/>
              <w:spacing w:before="50" w:after="50"/>
              <w:ind w:firstLine="0"/>
              <w:jc w:val="left"/>
              <w:textAlignment w:val="auto"/>
              <w:rPr>
                <w:rFonts w:eastAsiaTheme="minorHAnsi"/>
                <w:b/>
                <w:kern w:val="0"/>
                <w:sz w:val="20"/>
                <w:szCs w:val="20"/>
                <w:lang w:eastAsia="en-US" w:bidi="ar-SA"/>
              </w:rPr>
            </w:pPr>
            <w:r w:rsidRPr="00065AE4">
              <w:rPr>
                <w:rFonts w:eastAsiaTheme="minorHAnsi"/>
                <w:b/>
                <w:kern w:val="0"/>
                <w:sz w:val="20"/>
                <w:szCs w:val="20"/>
                <w:lang w:eastAsia="en-US" w:bidi="ar-SA"/>
              </w:rPr>
              <w:t>Кратак опис показатеља и методологије израчунавања</w:t>
            </w:r>
          </w:p>
          <w:p w14:paraId="209C3730"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0"/>
                <w:sz w:val="20"/>
                <w:szCs w:val="20"/>
                <w:lang w:val="en-US" w:eastAsia="en-US" w:bidi="ar-SA"/>
              </w:rPr>
              <w:t>(формуле/ једначине)</w:t>
            </w:r>
          </w:p>
        </w:tc>
        <w:tc>
          <w:tcPr>
            <w:tcW w:w="3719" w:type="pct"/>
            <w:gridSpan w:val="14"/>
            <w:shd w:val="clear" w:color="auto" w:fill="FFFFFF" w:themeFill="background1"/>
          </w:tcPr>
          <w:p w14:paraId="23FDE828"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 xml:space="preserve">Вредност показатеља ће се утврдити према броју државних службеника и службеника у ЈЛС који раде на пословима односа са јавношћу и управљања људским ресурсима, а који су похађали обуке о значају, начину, каналима и алатима међуресорне и интерне комуникације реформе јавне управе. </w:t>
            </w:r>
          </w:p>
          <w:p w14:paraId="5EC01774"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p>
          <w:p w14:paraId="0A509D94"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 xml:space="preserve">Током 2021. и 2022. године су планиране обуке за све постојеће запослене, док се од 2023. године планира обучавање новозапослених на овим радним местима, па су стога циљне вредности веће у прве две године спровођења Акционог плана. </w:t>
            </w:r>
          </w:p>
          <w:p w14:paraId="51B9E179" w14:textId="77777777" w:rsidR="00246E68" w:rsidRPr="00246E68" w:rsidRDefault="00246E68" w:rsidP="00246E68">
            <w:pPr>
              <w:suppressAutoHyphens w:val="0"/>
              <w:autoSpaceDN/>
              <w:spacing w:before="60" w:beforeAutospacing="1" w:afterAutospacing="1"/>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 xml:space="preserve">Формула: Број свих полазника обука у току календарске године се сабира са укупним број обучених службеника у претходним годинама и укупан збир је вредност показатеља. </w:t>
            </w:r>
          </w:p>
        </w:tc>
      </w:tr>
      <w:tr w:rsidR="00246E68" w:rsidRPr="00246E68" w14:paraId="6BE6C459" w14:textId="77777777" w:rsidTr="00DA6BE3">
        <w:trPr>
          <w:trHeight w:val="265"/>
          <w:jc w:val="center"/>
        </w:trPr>
        <w:tc>
          <w:tcPr>
            <w:tcW w:w="1281" w:type="pct"/>
            <w:vMerge w:val="restart"/>
            <w:shd w:val="clear" w:color="auto" w:fill="auto"/>
          </w:tcPr>
          <w:p w14:paraId="56D0D858" w14:textId="77777777" w:rsidR="00246E68" w:rsidRPr="00246E68" w:rsidRDefault="00246E68" w:rsidP="00246E68">
            <w:pPr>
              <w:suppressAutoHyphens w:val="0"/>
              <w:autoSpaceDN/>
              <w:spacing w:before="50" w:after="0"/>
              <w:ind w:firstLine="0"/>
              <w:jc w:val="left"/>
              <w:textAlignment w:val="auto"/>
              <w:rPr>
                <w:rFonts w:eastAsiaTheme="minorHAnsi"/>
                <w:b/>
                <w:bCs/>
                <w:kern w:val="0"/>
                <w:sz w:val="20"/>
                <w:szCs w:val="20"/>
                <w:lang w:val="sr-Latn-RS" w:eastAsia="en-US" w:bidi="ar-SA"/>
              </w:rPr>
            </w:pPr>
            <w:r w:rsidRPr="00246E68">
              <w:rPr>
                <w:rFonts w:eastAsiaTheme="minorHAnsi"/>
                <w:b/>
                <w:bCs/>
                <w:kern w:val="0"/>
                <w:sz w:val="20"/>
                <w:szCs w:val="20"/>
                <w:lang w:eastAsia="en-US" w:bidi="ar-SA"/>
              </w:rPr>
              <w:t>Подаци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полазној</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вредности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години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кад</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је</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измерена</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тренду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прошлости</w:t>
            </w:r>
          </w:p>
        </w:tc>
        <w:tc>
          <w:tcPr>
            <w:tcW w:w="2791" w:type="pct"/>
            <w:gridSpan w:val="11"/>
            <w:tcBorders>
              <w:bottom w:val="single" w:sz="4" w:space="0" w:color="auto"/>
            </w:tcBorders>
            <w:shd w:val="clear" w:color="auto" w:fill="FFFFFF" w:themeFill="background1"/>
            <w:vAlign w:val="center"/>
          </w:tcPr>
          <w:p w14:paraId="25089717" w14:textId="77777777" w:rsidR="00246E68" w:rsidRPr="00246E68" w:rsidRDefault="00246E68" w:rsidP="00246E68">
            <w:pPr>
              <w:suppressAutoHyphens w:val="0"/>
              <w:autoSpaceDN/>
              <w:spacing w:before="0" w:after="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Тренд у прошлости</w:t>
            </w:r>
          </w:p>
        </w:tc>
        <w:tc>
          <w:tcPr>
            <w:tcW w:w="927" w:type="pct"/>
            <w:gridSpan w:val="3"/>
            <w:shd w:val="clear" w:color="auto" w:fill="FFFFFF" w:themeFill="background1"/>
            <w:vAlign w:val="center"/>
          </w:tcPr>
          <w:p w14:paraId="55990F2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Полазна вредност</w:t>
            </w:r>
          </w:p>
        </w:tc>
      </w:tr>
      <w:tr w:rsidR="00246E68" w:rsidRPr="00246E68" w14:paraId="1EF109B2" w14:textId="77777777" w:rsidTr="00DA6BE3">
        <w:trPr>
          <w:trHeight w:val="137"/>
          <w:jc w:val="center"/>
        </w:trPr>
        <w:tc>
          <w:tcPr>
            <w:tcW w:w="1281" w:type="pct"/>
            <w:vMerge/>
            <w:tcBorders>
              <w:right w:val="single" w:sz="4" w:space="0" w:color="auto"/>
            </w:tcBorders>
            <w:shd w:val="clear" w:color="auto" w:fill="auto"/>
          </w:tcPr>
          <w:p w14:paraId="0F07763B"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F7E7D"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2016</w:t>
            </w:r>
          </w:p>
        </w:tc>
        <w:tc>
          <w:tcPr>
            <w:tcW w:w="87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45F1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2017</w:t>
            </w:r>
          </w:p>
        </w:tc>
        <w:tc>
          <w:tcPr>
            <w:tcW w:w="97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0115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2018</w:t>
            </w:r>
          </w:p>
        </w:tc>
        <w:tc>
          <w:tcPr>
            <w:tcW w:w="927" w:type="pct"/>
            <w:gridSpan w:val="3"/>
            <w:tcBorders>
              <w:left w:val="single" w:sz="4" w:space="0" w:color="auto"/>
            </w:tcBorders>
            <w:shd w:val="clear" w:color="auto" w:fill="FFFFFF" w:themeFill="background1"/>
            <w:vAlign w:val="center"/>
          </w:tcPr>
          <w:p w14:paraId="57958A8C"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2019 или 2020</w:t>
            </w:r>
          </w:p>
        </w:tc>
      </w:tr>
      <w:tr w:rsidR="00246E68" w:rsidRPr="00246E68" w14:paraId="4E0AF855" w14:textId="77777777" w:rsidTr="00DA6BE3">
        <w:trPr>
          <w:trHeight w:val="323"/>
          <w:jc w:val="center"/>
        </w:trPr>
        <w:tc>
          <w:tcPr>
            <w:tcW w:w="1281" w:type="pct"/>
            <w:vMerge/>
            <w:shd w:val="clear" w:color="auto" w:fill="auto"/>
          </w:tcPr>
          <w:p w14:paraId="200DB1F4"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43" w:type="pct"/>
            <w:gridSpan w:val="3"/>
            <w:tcBorders>
              <w:top w:val="single" w:sz="4" w:space="0" w:color="auto"/>
            </w:tcBorders>
            <w:shd w:val="clear" w:color="auto" w:fill="FFFFFF" w:themeFill="background1"/>
            <w:vAlign w:val="center"/>
          </w:tcPr>
          <w:p w14:paraId="4870B1A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70" w:type="pct"/>
            <w:gridSpan w:val="4"/>
            <w:tcBorders>
              <w:top w:val="single" w:sz="4" w:space="0" w:color="auto"/>
            </w:tcBorders>
            <w:shd w:val="clear" w:color="auto" w:fill="FFFFFF" w:themeFill="background1"/>
            <w:vAlign w:val="center"/>
          </w:tcPr>
          <w:p w14:paraId="265B857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978" w:type="pct"/>
            <w:gridSpan w:val="4"/>
            <w:tcBorders>
              <w:top w:val="single" w:sz="4" w:space="0" w:color="auto"/>
            </w:tcBorders>
            <w:shd w:val="clear" w:color="auto" w:fill="FFFFFF" w:themeFill="background1"/>
            <w:vAlign w:val="center"/>
          </w:tcPr>
          <w:p w14:paraId="201B27F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927" w:type="pct"/>
            <w:gridSpan w:val="3"/>
            <w:shd w:val="clear" w:color="auto" w:fill="FFFFFF" w:themeFill="background1"/>
            <w:vAlign w:val="center"/>
          </w:tcPr>
          <w:p w14:paraId="4CD97930"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eastAsia="en-US" w:bidi="ar-SA"/>
              </w:rPr>
            </w:pPr>
            <w:r w:rsidRPr="00246E68">
              <w:rPr>
                <w:rFonts w:eastAsiaTheme="minorHAnsi"/>
                <w:iCs/>
                <w:kern w:val="0"/>
                <w:sz w:val="20"/>
                <w:szCs w:val="20"/>
                <w:lang w:eastAsia="en-US" w:bidi="ar-SA"/>
              </w:rPr>
              <w:t>25%</w:t>
            </w:r>
          </w:p>
        </w:tc>
      </w:tr>
      <w:tr w:rsidR="00246E68" w:rsidRPr="00246E68" w14:paraId="7DFB2DC7" w14:textId="77777777" w:rsidTr="00DA6BE3">
        <w:trPr>
          <w:trHeight w:val="274"/>
          <w:jc w:val="center"/>
        </w:trPr>
        <w:tc>
          <w:tcPr>
            <w:tcW w:w="1281" w:type="pct"/>
            <w:vMerge w:val="restart"/>
            <w:shd w:val="clear" w:color="auto" w:fill="auto"/>
          </w:tcPr>
          <w:p w14:paraId="15E5C32D" w14:textId="77777777" w:rsidR="00246E68" w:rsidRPr="00246E68" w:rsidRDefault="00246E68" w:rsidP="00246E68">
            <w:pPr>
              <w:suppressAutoHyphens w:val="0"/>
              <w:autoSpaceDN/>
              <w:spacing w:before="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Подаци о циљним вредностима</w:t>
            </w:r>
          </w:p>
        </w:tc>
        <w:tc>
          <w:tcPr>
            <w:tcW w:w="329" w:type="pct"/>
            <w:shd w:val="clear" w:color="auto" w:fill="FFFFFF" w:themeFill="background1"/>
            <w:vAlign w:val="center"/>
          </w:tcPr>
          <w:p w14:paraId="2A7D573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2021</w:t>
            </w:r>
          </w:p>
        </w:tc>
        <w:tc>
          <w:tcPr>
            <w:tcW w:w="345" w:type="pct"/>
            <w:shd w:val="clear" w:color="auto" w:fill="FFFFFF" w:themeFill="background1"/>
            <w:vAlign w:val="center"/>
          </w:tcPr>
          <w:p w14:paraId="25877F7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2022</w:t>
            </w:r>
          </w:p>
        </w:tc>
        <w:tc>
          <w:tcPr>
            <w:tcW w:w="399" w:type="pct"/>
            <w:gridSpan w:val="2"/>
            <w:shd w:val="clear" w:color="auto" w:fill="FFFFFF" w:themeFill="background1"/>
            <w:vAlign w:val="center"/>
          </w:tcPr>
          <w:p w14:paraId="5A32EC8C"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2023</w:t>
            </w:r>
          </w:p>
        </w:tc>
        <w:tc>
          <w:tcPr>
            <w:tcW w:w="378" w:type="pct"/>
            <w:shd w:val="clear" w:color="auto" w:fill="FFFFFF" w:themeFill="background1"/>
            <w:vAlign w:val="center"/>
          </w:tcPr>
          <w:p w14:paraId="6EA9A6A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2024</w:t>
            </w:r>
          </w:p>
        </w:tc>
        <w:tc>
          <w:tcPr>
            <w:tcW w:w="378" w:type="pct"/>
            <w:gridSpan w:val="3"/>
            <w:shd w:val="clear" w:color="auto" w:fill="FFFFFF" w:themeFill="background1"/>
            <w:vAlign w:val="center"/>
          </w:tcPr>
          <w:p w14:paraId="7D6B2EC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2025</w:t>
            </w:r>
          </w:p>
        </w:tc>
        <w:tc>
          <w:tcPr>
            <w:tcW w:w="376" w:type="pct"/>
            <w:shd w:val="clear" w:color="auto" w:fill="FFFFFF" w:themeFill="background1"/>
            <w:vAlign w:val="center"/>
          </w:tcPr>
          <w:p w14:paraId="13EF827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2026</w:t>
            </w:r>
          </w:p>
        </w:tc>
        <w:tc>
          <w:tcPr>
            <w:tcW w:w="379" w:type="pct"/>
            <w:shd w:val="clear" w:color="auto" w:fill="FFFFFF" w:themeFill="background1"/>
            <w:vAlign w:val="center"/>
          </w:tcPr>
          <w:p w14:paraId="666C927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2027</w:t>
            </w:r>
          </w:p>
        </w:tc>
        <w:tc>
          <w:tcPr>
            <w:tcW w:w="377" w:type="pct"/>
            <w:gridSpan w:val="2"/>
            <w:shd w:val="clear" w:color="auto" w:fill="FFFFFF" w:themeFill="background1"/>
            <w:vAlign w:val="center"/>
          </w:tcPr>
          <w:p w14:paraId="6E3B3EB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2028</w:t>
            </w:r>
          </w:p>
        </w:tc>
        <w:tc>
          <w:tcPr>
            <w:tcW w:w="379" w:type="pct"/>
            <w:shd w:val="clear" w:color="auto" w:fill="FFFFFF" w:themeFill="background1"/>
            <w:vAlign w:val="center"/>
          </w:tcPr>
          <w:p w14:paraId="71E1AC6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2029</w:t>
            </w:r>
          </w:p>
        </w:tc>
        <w:tc>
          <w:tcPr>
            <w:tcW w:w="378" w:type="pct"/>
            <w:shd w:val="clear" w:color="auto" w:fill="FFFFFF" w:themeFill="background1"/>
            <w:vAlign w:val="center"/>
          </w:tcPr>
          <w:p w14:paraId="799FAEA0"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2030</w:t>
            </w:r>
          </w:p>
        </w:tc>
      </w:tr>
      <w:tr w:rsidR="00246E68" w:rsidRPr="00246E68" w14:paraId="3FA16DC4" w14:textId="77777777" w:rsidTr="00DA6BE3">
        <w:trPr>
          <w:trHeight w:val="160"/>
          <w:jc w:val="center"/>
        </w:trPr>
        <w:tc>
          <w:tcPr>
            <w:tcW w:w="1281" w:type="pct"/>
            <w:vMerge/>
            <w:shd w:val="clear" w:color="auto" w:fill="auto"/>
          </w:tcPr>
          <w:p w14:paraId="28181CA9"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329" w:type="pct"/>
            <w:shd w:val="clear" w:color="auto" w:fill="FFFFFF" w:themeFill="background1"/>
          </w:tcPr>
          <w:p w14:paraId="4010527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200</w:t>
            </w:r>
          </w:p>
        </w:tc>
        <w:tc>
          <w:tcPr>
            <w:tcW w:w="345" w:type="pct"/>
            <w:shd w:val="clear" w:color="auto" w:fill="FFFFFF" w:themeFill="background1"/>
          </w:tcPr>
          <w:p w14:paraId="4D39701C"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400</w:t>
            </w:r>
          </w:p>
        </w:tc>
        <w:tc>
          <w:tcPr>
            <w:tcW w:w="399" w:type="pct"/>
            <w:gridSpan w:val="2"/>
            <w:shd w:val="clear" w:color="auto" w:fill="FFFFFF" w:themeFill="background1"/>
          </w:tcPr>
          <w:p w14:paraId="2F8EAED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450</w:t>
            </w:r>
          </w:p>
        </w:tc>
        <w:tc>
          <w:tcPr>
            <w:tcW w:w="378" w:type="pct"/>
            <w:shd w:val="clear" w:color="auto" w:fill="FFFFFF" w:themeFill="background1"/>
          </w:tcPr>
          <w:p w14:paraId="0FD5A787"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500</w:t>
            </w:r>
          </w:p>
        </w:tc>
        <w:tc>
          <w:tcPr>
            <w:tcW w:w="378" w:type="pct"/>
            <w:gridSpan w:val="3"/>
            <w:shd w:val="clear" w:color="auto" w:fill="FFFFFF" w:themeFill="background1"/>
          </w:tcPr>
          <w:p w14:paraId="1288957A"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500</w:t>
            </w:r>
          </w:p>
        </w:tc>
        <w:tc>
          <w:tcPr>
            <w:tcW w:w="376" w:type="pct"/>
            <w:shd w:val="clear" w:color="auto" w:fill="FFFFFF" w:themeFill="background1"/>
          </w:tcPr>
          <w:p w14:paraId="1CDB1BF9"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379" w:type="pct"/>
            <w:shd w:val="clear" w:color="auto" w:fill="FFFFFF" w:themeFill="background1"/>
          </w:tcPr>
          <w:p w14:paraId="1CCCF13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377" w:type="pct"/>
            <w:gridSpan w:val="2"/>
            <w:shd w:val="clear" w:color="auto" w:fill="FFFFFF" w:themeFill="background1"/>
          </w:tcPr>
          <w:p w14:paraId="7D4E383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379" w:type="pct"/>
            <w:shd w:val="clear" w:color="auto" w:fill="FFFFFF" w:themeFill="background1"/>
          </w:tcPr>
          <w:p w14:paraId="3CD0B95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378" w:type="pct"/>
            <w:shd w:val="clear" w:color="auto" w:fill="FFFFFF" w:themeFill="background1"/>
          </w:tcPr>
          <w:p w14:paraId="2E63A44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r>
      <w:tr w:rsidR="00246E68" w:rsidRPr="00246E68" w14:paraId="25B2F851" w14:textId="77777777" w:rsidTr="00DA6BE3">
        <w:trPr>
          <w:trHeight w:val="160"/>
          <w:jc w:val="center"/>
        </w:trPr>
        <w:tc>
          <w:tcPr>
            <w:tcW w:w="1281" w:type="pct"/>
            <w:shd w:val="clear" w:color="auto" w:fill="auto"/>
          </w:tcPr>
          <w:p w14:paraId="2EFCC05C"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Процена успешности</w:t>
            </w:r>
          </w:p>
        </w:tc>
        <w:tc>
          <w:tcPr>
            <w:tcW w:w="3719" w:type="pct"/>
            <w:gridSpan w:val="14"/>
            <w:shd w:val="clear" w:color="auto" w:fill="FFFFFF" w:themeFill="background1"/>
            <w:vAlign w:val="center"/>
          </w:tcPr>
          <w:p w14:paraId="316C6031" w14:textId="77777777" w:rsidR="00246E68" w:rsidRPr="00246E68" w:rsidRDefault="00246E68" w:rsidP="00246E68">
            <w:pPr>
              <w:suppressAutoHyphens w:val="0"/>
              <w:autoSpaceDN/>
              <w:spacing w:before="50" w:after="50"/>
              <w:ind w:firstLine="0"/>
              <w:jc w:val="left"/>
              <w:textAlignment w:val="auto"/>
              <w:rPr>
                <w:rFonts w:eastAsiaTheme="minorHAnsi"/>
                <w:iCs/>
                <w:kern w:val="0"/>
                <w:sz w:val="20"/>
                <w:szCs w:val="20"/>
                <w:lang w:eastAsia="en-US" w:bidi="ar-SA"/>
              </w:rPr>
            </w:pPr>
            <w:r w:rsidRPr="00246E68">
              <w:rPr>
                <w:rFonts w:eastAsiaTheme="minorHAnsi"/>
                <w:color w:val="000000"/>
                <w:kern w:val="24"/>
                <w:sz w:val="20"/>
                <w:szCs w:val="20"/>
                <w:lang w:eastAsia="en-GB" w:bidi="ar-SA"/>
              </w:rPr>
              <w:t>Степен одступања до 10% ће се вредновати као успех</w:t>
            </w:r>
          </w:p>
        </w:tc>
      </w:tr>
    </w:tbl>
    <w:p w14:paraId="5DECFDF6"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p w14:paraId="67D7AB98"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p w14:paraId="57DECF44" w14:textId="77777777" w:rsidR="00246E68" w:rsidRPr="00246E68" w:rsidRDefault="00246E68" w:rsidP="00246E68">
      <w:pPr>
        <w:suppressAutoHyphens w:val="0"/>
        <w:autoSpaceDN/>
        <w:spacing w:before="0" w:after="0"/>
        <w:ind w:firstLine="0"/>
        <w:jc w:val="left"/>
        <w:textAlignment w:val="auto"/>
        <w:rPr>
          <w:rFonts w:eastAsiaTheme="minorHAnsi"/>
          <w:b/>
          <w:bCs/>
          <w:color w:val="A6A6A6" w:themeColor="background1" w:themeShade="A6"/>
          <w:kern w:val="0"/>
          <w:sz w:val="20"/>
          <w:szCs w:val="20"/>
          <w:lang w:val="sr-Latn-RS" w:eastAsia="en-US" w:bidi="ar-SA"/>
        </w:rPr>
      </w:pPr>
      <w:r w:rsidRPr="00246E68">
        <w:rPr>
          <w:rFonts w:eastAsiaTheme="minorHAnsi"/>
          <w:b/>
          <w:bCs/>
          <w:color w:val="A6A6A6" w:themeColor="background1" w:themeShade="A6"/>
          <w:kern w:val="0"/>
          <w:sz w:val="20"/>
          <w:szCs w:val="20"/>
          <w:lang w:val="en-US" w:eastAsia="en-US" w:bidi="ar-SA"/>
        </w:rPr>
        <w:t>Показатељ 5</w:t>
      </w:r>
    </w:p>
    <w:p w14:paraId="19C256DF"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4"/>
        <w:gridCol w:w="696"/>
        <w:gridCol w:w="696"/>
        <w:gridCol w:w="471"/>
        <w:gridCol w:w="225"/>
        <w:gridCol w:w="696"/>
        <w:gridCol w:w="627"/>
        <w:gridCol w:w="42"/>
        <w:gridCol w:w="27"/>
        <w:gridCol w:w="696"/>
        <w:gridCol w:w="696"/>
        <w:gridCol w:w="384"/>
        <w:gridCol w:w="312"/>
        <w:gridCol w:w="696"/>
        <w:gridCol w:w="696"/>
      </w:tblGrid>
      <w:tr w:rsidR="00246E68" w:rsidRPr="00246E68" w14:paraId="2F5FEBDA" w14:textId="77777777" w:rsidTr="00DA6BE3">
        <w:trPr>
          <w:jc w:val="center"/>
        </w:trPr>
        <w:tc>
          <w:tcPr>
            <w:tcW w:w="1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8B6375" w14:textId="77777777" w:rsidR="00246E68" w:rsidRPr="00246E68" w:rsidRDefault="00246E68" w:rsidP="00246E68">
            <w:pPr>
              <w:suppressAutoHyphens w:val="0"/>
              <w:autoSpaceDN/>
              <w:spacing w:before="100" w:after="100"/>
              <w:ind w:firstLine="0"/>
              <w:jc w:val="left"/>
              <w:textAlignment w:val="auto"/>
              <w:rPr>
                <w:rFonts w:eastAsiaTheme="minorHAnsi"/>
                <w:b/>
                <w:bCs/>
                <w:color w:val="FFFFFF" w:themeColor="background1"/>
                <w:kern w:val="0"/>
                <w:sz w:val="20"/>
                <w:szCs w:val="20"/>
                <w:lang w:val="en-US" w:eastAsia="en-US" w:bidi="ar-SA"/>
              </w:rPr>
            </w:pPr>
            <w:r w:rsidRPr="00246E68">
              <w:rPr>
                <w:rFonts w:eastAsiaTheme="minorHAnsi"/>
                <w:b/>
                <w:bCs/>
                <w:color w:val="FFFFFF" w:themeColor="background1"/>
                <w:kern w:val="0"/>
                <w:sz w:val="20"/>
                <w:szCs w:val="20"/>
                <w:lang w:val="en-US" w:eastAsia="en-US" w:bidi="ar-SA"/>
              </w:rPr>
              <w:t>Назив показатеља</w:t>
            </w:r>
          </w:p>
        </w:tc>
        <w:tc>
          <w:tcPr>
            <w:tcW w:w="3720" w:type="pct"/>
            <w:gridSpan w:val="1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734D0E" w14:textId="77777777" w:rsidR="00246E68" w:rsidRPr="00246E68" w:rsidRDefault="00246E68" w:rsidP="00246E68">
            <w:pPr>
              <w:suppressAutoHyphens w:val="0"/>
              <w:autoSpaceDN/>
              <w:spacing w:before="100" w:after="100"/>
              <w:ind w:firstLine="0"/>
              <w:jc w:val="left"/>
              <w:textAlignment w:val="auto"/>
              <w:rPr>
                <w:rFonts w:eastAsiaTheme="minorHAnsi"/>
                <w:b/>
                <w:iCs/>
                <w:color w:val="FFFFFF" w:themeColor="background1"/>
                <w:kern w:val="0"/>
                <w:sz w:val="20"/>
                <w:szCs w:val="20"/>
                <w:lang w:val="en-US" w:eastAsia="en-US" w:bidi="ar-SA"/>
              </w:rPr>
            </w:pPr>
            <w:r w:rsidRPr="00246E68">
              <w:rPr>
                <w:rFonts w:eastAsiaTheme="minorHAnsi"/>
                <w:b/>
                <w:bCs/>
                <w:color w:val="000000"/>
                <w:kern w:val="0"/>
                <w:sz w:val="20"/>
                <w:szCs w:val="20"/>
                <w:lang w:eastAsia="en-US" w:bidi="ar-SA"/>
              </w:rPr>
              <w:t>Број афирмативних и неутралних објава (прилога) о реформи јавне управе у медијима</w:t>
            </w:r>
          </w:p>
        </w:tc>
      </w:tr>
      <w:tr w:rsidR="00246E68" w:rsidRPr="00246E68" w14:paraId="4068AF07" w14:textId="77777777" w:rsidTr="00DA6BE3">
        <w:trPr>
          <w:jc w:val="center"/>
        </w:trPr>
        <w:tc>
          <w:tcPr>
            <w:tcW w:w="1280" w:type="pct"/>
            <w:tcBorders>
              <w:top w:val="single" w:sz="4" w:space="0" w:color="auto"/>
              <w:left w:val="single" w:sz="4" w:space="0" w:color="auto"/>
              <w:bottom w:val="single" w:sz="4" w:space="0" w:color="auto"/>
              <w:right w:val="single" w:sz="4" w:space="0" w:color="auto"/>
            </w:tcBorders>
            <w:shd w:val="clear" w:color="auto" w:fill="auto"/>
          </w:tcPr>
          <w:p w14:paraId="0DE7D4E7" w14:textId="77777777" w:rsidR="00246E68" w:rsidRPr="00065AE4" w:rsidRDefault="00246E68" w:rsidP="00246E68">
            <w:pPr>
              <w:suppressAutoHyphens w:val="0"/>
              <w:autoSpaceDN/>
              <w:spacing w:before="100" w:after="10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Одговарајући општи, посебни циљ или мера</w:t>
            </w:r>
          </w:p>
        </w:tc>
        <w:tc>
          <w:tcPr>
            <w:tcW w:w="3720" w:type="pct"/>
            <w:gridSpan w:val="14"/>
            <w:tcBorders>
              <w:top w:val="single" w:sz="4" w:space="0" w:color="auto"/>
              <w:left w:val="single" w:sz="4" w:space="0" w:color="auto"/>
              <w:bottom w:val="single" w:sz="4" w:space="0" w:color="auto"/>
              <w:right w:val="single" w:sz="4" w:space="0" w:color="auto"/>
            </w:tcBorders>
            <w:shd w:val="clear" w:color="auto" w:fill="FFFFFF" w:themeFill="background1"/>
          </w:tcPr>
          <w:p w14:paraId="11DF5911" w14:textId="77777777" w:rsidR="00246E68" w:rsidRPr="00246E68" w:rsidRDefault="00246E68" w:rsidP="00246E68">
            <w:pPr>
              <w:suppressAutoHyphens w:val="0"/>
              <w:autoSpaceDN/>
              <w:spacing w:before="100" w:after="100"/>
              <w:ind w:firstLine="0"/>
              <w:jc w:val="left"/>
              <w:textAlignment w:val="auto"/>
              <w:rPr>
                <w:rFonts w:eastAsiaTheme="minorHAnsi"/>
                <w:b/>
                <w:iCs/>
                <w:color w:val="000000" w:themeColor="text1"/>
                <w:kern w:val="0"/>
                <w:sz w:val="20"/>
                <w:szCs w:val="20"/>
                <w:lang w:eastAsia="en-US" w:bidi="ar-SA"/>
              </w:rPr>
            </w:pPr>
            <w:r w:rsidRPr="00246E68">
              <w:rPr>
                <w:rFonts w:eastAsiaTheme="minorHAnsi"/>
                <w:color w:val="000000"/>
                <w:kern w:val="24"/>
                <w:sz w:val="20"/>
                <w:szCs w:val="20"/>
                <w:lang w:eastAsia="en-US" w:bidi="ar-SA"/>
              </w:rPr>
              <w:t xml:space="preserve">Meра 5: Повећање видљивости и комуницирања процеса РЈУ и постигнутих резултата </w:t>
            </w:r>
          </w:p>
        </w:tc>
      </w:tr>
      <w:tr w:rsidR="00246E68" w:rsidRPr="00246E68" w14:paraId="770CFDEC" w14:textId="77777777" w:rsidTr="00DA6BE3">
        <w:trPr>
          <w:jc w:val="center"/>
        </w:trPr>
        <w:tc>
          <w:tcPr>
            <w:tcW w:w="1280" w:type="pct"/>
            <w:shd w:val="clear" w:color="auto" w:fill="auto"/>
          </w:tcPr>
          <w:p w14:paraId="0B0F6ED2"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24"/>
                <w:sz w:val="20"/>
                <w:szCs w:val="20"/>
                <w:lang w:val="en-US" w:eastAsia="en-US" w:bidi="ar-SA"/>
              </w:rPr>
              <w:t>Тип и ниво показатеља</w:t>
            </w:r>
          </w:p>
        </w:tc>
        <w:tc>
          <w:tcPr>
            <w:tcW w:w="1790" w:type="pct"/>
            <w:gridSpan w:val="6"/>
            <w:shd w:val="clear" w:color="auto" w:fill="FFFFFF" w:themeFill="background1"/>
          </w:tcPr>
          <w:p w14:paraId="6A1B2882"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sr-Latn-RS" w:eastAsia="en-US" w:bidi="ar-SA"/>
              </w:rPr>
              <w:t>K</w:t>
            </w:r>
            <w:r w:rsidRPr="00246E68">
              <w:rPr>
                <w:rFonts w:eastAsiaTheme="minorHAnsi"/>
                <w:bCs/>
                <w:iCs/>
                <w:kern w:val="24"/>
                <w:sz w:val="20"/>
                <w:szCs w:val="20"/>
                <w:lang w:eastAsia="en-US" w:bidi="ar-SA"/>
              </w:rPr>
              <w:t>вантитативни</w:t>
            </w:r>
          </w:p>
        </w:tc>
        <w:tc>
          <w:tcPr>
            <w:tcW w:w="1930" w:type="pct"/>
            <w:gridSpan w:val="8"/>
            <w:shd w:val="clear" w:color="auto" w:fill="FFFFFF" w:themeFill="background1"/>
          </w:tcPr>
          <w:p w14:paraId="2EEDE23D"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en-US" w:eastAsia="en-US" w:bidi="ar-SA"/>
              </w:rPr>
              <w:t xml:space="preserve">Показатељ </w:t>
            </w:r>
            <w:r w:rsidRPr="00246E68">
              <w:rPr>
                <w:rFonts w:eastAsiaTheme="minorHAnsi"/>
                <w:bCs/>
                <w:iCs/>
                <w:kern w:val="24"/>
                <w:sz w:val="20"/>
                <w:szCs w:val="20"/>
                <w:lang w:eastAsia="en-US" w:bidi="ar-SA"/>
              </w:rPr>
              <w:t>резултата</w:t>
            </w:r>
          </w:p>
        </w:tc>
      </w:tr>
      <w:tr w:rsidR="00246E68" w:rsidRPr="00246E68" w14:paraId="7094F637" w14:textId="77777777" w:rsidTr="00DA6BE3">
        <w:trPr>
          <w:trHeight w:val="373"/>
          <w:jc w:val="center"/>
        </w:trPr>
        <w:tc>
          <w:tcPr>
            <w:tcW w:w="1280" w:type="pct"/>
            <w:shd w:val="clear" w:color="auto" w:fill="auto"/>
          </w:tcPr>
          <w:p w14:paraId="487636AD" w14:textId="77777777" w:rsidR="00246E68" w:rsidRPr="00246E68" w:rsidRDefault="00246E68" w:rsidP="00246E68">
            <w:pPr>
              <w:suppressAutoHyphens w:val="0"/>
              <w:autoSpaceDN/>
              <w:spacing w:before="50" w:after="50"/>
              <w:ind w:firstLine="0"/>
              <w:jc w:val="left"/>
              <w:textAlignment w:val="auto"/>
              <w:rPr>
                <w:rFonts w:eastAsiaTheme="minorHAnsi"/>
                <w:b/>
                <w:kern w:val="24"/>
                <w:sz w:val="20"/>
                <w:szCs w:val="20"/>
                <w:lang w:val="en-US" w:eastAsia="en-US" w:bidi="ar-SA"/>
              </w:rPr>
            </w:pPr>
            <w:r w:rsidRPr="00246E68">
              <w:rPr>
                <w:rFonts w:eastAsiaTheme="minorHAnsi"/>
                <w:b/>
                <w:kern w:val="24"/>
                <w:sz w:val="20"/>
                <w:szCs w:val="20"/>
                <w:lang w:val="en-US" w:eastAsia="en-US" w:bidi="ar-SA"/>
              </w:rPr>
              <w:t>Јединица мере и природа</w:t>
            </w:r>
          </w:p>
        </w:tc>
        <w:tc>
          <w:tcPr>
            <w:tcW w:w="1790" w:type="pct"/>
            <w:gridSpan w:val="6"/>
            <w:shd w:val="clear" w:color="auto" w:fill="FFFFFF" w:themeFill="background1"/>
          </w:tcPr>
          <w:p w14:paraId="7A1C7312" w14:textId="77777777" w:rsidR="00246E68" w:rsidRPr="00246E68" w:rsidRDefault="00246E68" w:rsidP="00246E68">
            <w:pPr>
              <w:tabs>
                <w:tab w:val="left" w:pos="152"/>
              </w:tabs>
              <w:suppressAutoHyphens w:val="0"/>
              <w:autoSpaceDN/>
              <w:spacing w:before="50" w:after="50"/>
              <w:ind w:firstLine="0"/>
              <w:jc w:val="left"/>
              <w:textAlignment w:val="auto"/>
              <w:rPr>
                <w:rFonts w:eastAsiaTheme="minorHAnsi"/>
                <w:iCs/>
                <w:kern w:val="0"/>
                <w:sz w:val="20"/>
                <w:szCs w:val="20"/>
                <w:lang w:eastAsia="en-US" w:bidi="ar-SA"/>
              </w:rPr>
            </w:pPr>
            <w:r w:rsidRPr="00246E68">
              <w:rPr>
                <w:rFonts w:eastAsiaTheme="minorHAnsi"/>
                <w:color w:val="000000"/>
                <w:kern w:val="0"/>
                <w:sz w:val="20"/>
                <w:szCs w:val="20"/>
                <w:lang w:eastAsia="en-US" w:bidi="ar-SA"/>
              </w:rPr>
              <w:t>број</w:t>
            </w:r>
          </w:p>
        </w:tc>
        <w:tc>
          <w:tcPr>
            <w:tcW w:w="1930" w:type="pct"/>
            <w:gridSpan w:val="8"/>
            <w:shd w:val="clear" w:color="auto" w:fill="FFFFFF" w:themeFill="background1"/>
          </w:tcPr>
          <w:p w14:paraId="30776CC8" w14:textId="77777777" w:rsidR="00246E68" w:rsidRPr="00246E68" w:rsidRDefault="00246E68" w:rsidP="00246E68">
            <w:pPr>
              <w:suppressAutoHyphens w:val="0"/>
              <w:autoSpaceDN/>
              <w:spacing w:before="0" w:after="0"/>
              <w:ind w:firstLine="0"/>
              <w:jc w:val="left"/>
              <w:textAlignment w:val="auto"/>
              <w:rPr>
                <w:rFonts w:eastAsia="Arial"/>
                <w:iCs/>
                <w:color w:val="000000" w:themeColor="dark1"/>
                <w:spacing w:val="-1"/>
                <w:kern w:val="24"/>
                <w:sz w:val="20"/>
                <w:szCs w:val="20"/>
                <w:lang w:val="en-US" w:eastAsia="en-US" w:bidi="ar-SA"/>
              </w:rPr>
            </w:pPr>
            <w:r w:rsidRPr="00246E68">
              <w:rPr>
                <w:rFonts w:eastAsia="Arial"/>
                <w:iCs/>
                <w:color w:val="000000" w:themeColor="dark1"/>
                <w:spacing w:val="-1"/>
                <w:kern w:val="24"/>
                <w:sz w:val="20"/>
                <w:szCs w:val="20"/>
                <w:lang w:val="en-US" w:eastAsia="en-US" w:bidi="ar-SA"/>
              </w:rPr>
              <w:t>Пожељна је већа вредност</w:t>
            </w:r>
          </w:p>
        </w:tc>
      </w:tr>
      <w:tr w:rsidR="00246E68" w:rsidRPr="00246E68" w14:paraId="0C7DA2C4" w14:textId="77777777" w:rsidTr="00DA6BE3">
        <w:trPr>
          <w:jc w:val="center"/>
        </w:trPr>
        <w:tc>
          <w:tcPr>
            <w:tcW w:w="1280" w:type="pct"/>
            <w:shd w:val="clear" w:color="auto" w:fill="auto"/>
          </w:tcPr>
          <w:p w14:paraId="1DB699B6" w14:textId="77777777" w:rsidR="00246E68" w:rsidRPr="00065AE4" w:rsidRDefault="00246E68" w:rsidP="00246E68">
            <w:pPr>
              <w:suppressAutoHyphens w:val="0"/>
              <w:autoSpaceDN/>
              <w:spacing w:before="50" w:after="5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Извор података за праћење показатеља учинка</w:t>
            </w:r>
          </w:p>
        </w:tc>
        <w:tc>
          <w:tcPr>
            <w:tcW w:w="3720" w:type="pct"/>
            <w:gridSpan w:val="14"/>
            <w:shd w:val="clear" w:color="auto" w:fill="FFFFFF" w:themeFill="background1"/>
          </w:tcPr>
          <w:p w14:paraId="0133AD2B"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Подаци ће бити прикупљани  на националном нивоу.</w:t>
            </w:r>
          </w:p>
          <w:p w14:paraId="3686FA20"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Извори:</w:t>
            </w:r>
          </w:p>
          <w:p w14:paraId="73367D9B" w14:textId="77777777" w:rsidR="00246E68" w:rsidRPr="00246E68" w:rsidRDefault="00246E68" w:rsidP="00E62A1A">
            <w:pPr>
              <w:numPr>
                <w:ilvl w:val="0"/>
                <w:numId w:val="14"/>
              </w:numPr>
              <w:suppressAutoHyphens w:val="0"/>
              <w:autoSpaceDN/>
              <w:spacing w:before="0" w:after="0"/>
              <w:jc w:val="left"/>
              <w:textAlignment w:val="auto"/>
              <w:rPr>
                <w:rFonts w:eastAsiaTheme="minorHAnsi"/>
                <w:color w:val="000000"/>
                <w:kern w:val="0"/>
                <w:sz w:val="20"/>
                <w:szCs w:val="20"/>
                <w:lang w:eastAsia="en-GB" w:bidi="ar-SA"/>
              </w:rPr>
            </w:pPr>
            <w:r w:rsidRPr="00246E68">
              <w:rPr>
                <w:rFonts w:eastAsiaTheme="minorHAnsi"/>
                <w:color w:val="000000"/>
                <w:kern w:val="0"/>
                <w:sz w:val="20"/>
                <w:szCs w:val="20"/>
                <w:lang w:eastAsia="en-GB" w:bidi="ar-SA"/>
              </w:rPr>
              <w:t>Извештаји  о анализи медијског садржаја</w:t>
            </w:r>
          </w:p>
        </w:tc>
      </w:tr>
      <w:tr w:rsidR="00246E68" w:rsidRPr="00246E68" w14:paraId="72A40D05" w14:textId="77777777" w:rsidTr="00DA6BE3">
        <w:trPr>
          <w:jc w:val="center"/>
        </w:trPr>
        <w:tc>
          <w:tcPr>
            <w:tcW w:w="1280" w:type="pct"/>
            <w:shd w:val="clear" w:color="auto" w:fill="auto"/>
          </w:tcPr>
          <w:p w14:paraId="4AD9EBA1"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Назив носиоца прикупљања података</w:t>
            </w:r>
          </w:p>
        </w:tc>
        <w:tc>
          <w:tcPr>
            <w:tcW w:w="3720" w:type="pct"/>
            <w:gridSpan w:val="14"/>
            <w:shd w:val="clear" w:color="auto" w:fill="FFFFFF" w:themeFill="background1"/>
          </w:tcPr>
          <w:p w14:paraId="253162B2"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kern w:val="0"/>
                <w:sz w:val="20"/>
                <w:szCs w:val="20"/>
                <w:lang w:val="en-US" w:eastAsia="en-US" w:bidi="ar-SA"/>
              </w:rPr>
              <w:t xml:space="preserve">МДУЛС </w:t>
            </w:r>
          </w:p>
        </w:tc>
      </w:tr>
      <w:tr w:rsidR="00246E68" w:rsidRPr="00246E68" w14:paraId="499DF124" w14:textId="77777777" w:rsidTr="00DA6BE3">
        <w:trPr>
          <w:jc w:val="center"/>
        </w:trPr>
        <w:tc>
          <w:tcPr>
            <w:tcW w:w="1280" w:type="pct"/>
            <w:shd w:val="clear" w:color="auto" w:fill="auto"/>
          </w:tcPr>
          <w:p w14:paraId="1A94682A"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Учесталост прикупљања података</w:t>
            </w:r>
          </w:p>
        </w:tc>
        <w:tc>
          <w:tcPr>
            <w:tcW w:w="3720" w:type="pct"/>
            <w:gridSpan w:val="14"/>
            <w:shd w:val="clear" w:color="auto" w:fill="FFFFFF" w:themeFill="background1"/>
          </w:tcPr>
          <w:p w14:paraId="4A6CC3BC"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246E68" w:rsidRPr="00246E68" w14:paraId="26592A94" w14:textId="77777777" w:rsidTr="00DA6BE3">
        <w:trPr>
          <w:trHeight w:val="274"/>
          <w:jc w:val="center"/>
        </w:trPr>
        <w:tc>
          <w:tcPr>
            <w:tcW w:w="1280" w:type="pct"/>
            <w:shd w:val="clear" w:color="auto" w:fill="auto"/>
          </w:tcPr>
          <w:p w14:paraId="4B38D6DB" w14:textId="77777777" w:rsidR="00246E68" w:rsidRPr="00065AE4" w:rsidRDefault="00246E68" w:rsidP="00246E68">
            <w:pPr>
              <w:suppressAutoHyphens w:val="0"/>
              <w:autoSpaceDN/>
              <w:spacing w:before="50" w:after="50"/>
              <w:ind w:firstLine="0"/>
              <w:jc w:val="left"/>
              <w:textAlignment w:val="auto"/>
              <w:rPr>
                <w:rFonts w:eastAsiaTheme="minorHAnsi"/>
                <w:b/>
                <w:kern w:val="0"/>
                <w:sz w:val="20"/>
                <w:szCs w:val="20"/>
                <w:lang w:eastAsia="en-US" w:bidi="ar-SA"/>
              </w:rPr>
            </w:pPr>
            <w:r w:rsidRPr="00065AE4">
              <w:rPr>
                <w:rFonts w:eastAsiaTheme="minorHAnsi"/>
                <w:b/>
                <w:kern w:val="0"/>
                <w:sz w:val="20"/>
                <w:szCs w:val="20"/>
                <w:lang w:eastAsia="en-US" w:bidi="ar-SA"/>
              </w:rPr>
              <w:t>Кратак опис показатеља и методологије израчунавања</w:t>
            </w:r>
          </w:p>
          <w:p w14:paraId="5E977529"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0"/>
                <w:sz w:val="20"/>
                <w:szCs w:val="20"/>
                <w:lang w:val="en-US" w:eastAsia="en-US" w:bidi="ar-SA"/>
              </w:rPr>
              <w:t>(формуле/ једначине)</w:t>
            </w:r>
          </w:p>
        </w:tc>
        <w:tc>
          <w:tcPr>
            <w:tcW w:w="3720" w:type="pct"/>
            <w:gridSpan w:val="14"/>
            <w:shd w:val="clear" w:color="auto" w:fill="FFFFFF" w:themeFill="background1"/>
          </w:tcPr>
          <w:p w14:paraId="73768B6B" w14:textId="77777777" w:rsidR="00246E68" w:rsidRPr="00246E68" w:rsidRDefault="00246E68" w:rsidP="00246E68">
            <w:pPr>
              <w:suppressAutoHyphens w:val="0"/>
              <w:autoSpaceDN/>
              <w:spacing w:before="60" w:beforeAutospacing="1" w:afterAutospacing="1"/>
              <w:ind w:firstLine="0"/>
              <w:textAlignment w:val="auto"/>
              <w:rPr>
                <w:rFonts w:eastAsiaTheme="minorHAnsi"/>
                <w:color w:val="000000"/>
                <w:kern w:val="0"/>
                <w:sz w:val="20"/>
                <w:szCs w:val="20"/>
                <w:lang w:eastAsia="en-US" w:bidi="ar-SA"/>
              </w:rPr>
            </w:pPr>
            <w:r w:rsidRPr="00246E68">
              <w:rPr>
                <w:rFonts w:eastAsiaTheme="minorHAnsi"/>
                <w:color w:val="000000"/>
                <w:kern w:val="24"/>
                <w:sz w:val="20"/>
                <w:szCs w:val="20"/>
                <w:lang w:eastAsia="en-GB" w:bidi="ar-SA"/>
              </w:rPr>
              <w:t xml:space="preserve">Вредност показатеља ће се утврдити према броју </w:t>
            </w:r>
            <w:r w:rsidRPr="00246E68">
              <w:rPr>
                <w:rFonts w:eastAsiaTheme="minorHAnsi"/>
                <w:color w:val="000000"/>
                <w:kern w:val="0"/>
                <w:sz w:val="20"/>
                <w:szCs w:val="20"/>
                <w:lang w:eastAsia="en-US" w:bidi="ar-SA"/>
              </w:rPr>
              <w:t>позитивних (афирмативних) и неутралних постова</w:t>
            </w:r>
            <w:r w:rsidRPr="00246E68">
              <w:rPr>
                <w:rFonts w:eastAsiaTheme="minorHAnsi"/>
                <w:color w:val="000000"/>
                <w:kern w:val="24"/>
                <w:sz w:val="20"/>
                <w:szCs w:val="20"/>
                <w:lang w:eastAsia="en-GB" w:bidi="ar-SA"/>
              </w:rPr>
              <w:t xml:space="preserve"> прилога, чланака и постова у медијима </w:t>
            </w:r>
            <w:r w:rsidRPr="00246E68">
              <w:rPr>
                <w:rFonts w:eastAsiaTheme="minorHAnsi"/>
                <w:color w:val="000000"/>
                <w:kern w:val="0"/>
                <w:sz w:val="20"/>
                <w:szCs w:val="20"/>
                <w:lang w:eastAsia="en-US" w:bidi="ar-SA"/>
              </w:rPr>
              <w:t xml:space="preserve">(ТВ, радио, штампа, агенције, интернет портали) на тему реформе јавне управе и које су стављене у контекст реформе јавне управе, у току календарске године. Поред критеријума да се ради о афирмативном или неутралном прилогу, додатни критеријум којим се одређује да ли је медијски садржај стављен у контекст РЈУ  је да садржи кључне речи - </w:t>
            </w:r>
            <w:r w:rsidRPr="00246E68">
              <w:rPr>
                <w:rFonts w:eastAsiaTheme="minorHAnsi"/>
                <w:i/>
                <w:iCs/>
                <w:color w:val="000000"/>
                <w:kern w:val="24"/>
                <w:sz w:val="20"/>
                <w:szCs w:val="20"/>
                <w:lang w:eastAsia="en-GB" w:bidi="ar-SA"/>
              </w:rPr>
              <w:t>реформа јавне управе</w:t>
            </w:r>
            <w:r w:rsidRPr="00246E68">
              <w:rPr>
                <w:rFonts w:eastAsiaTheme="minorHAnsi"/>
                <w:color w:val="000000"/>
                <w:kern w:val="0"/>
                <w:sz w:val="20"/>
                <w:szCs w:val="20"/>
                <w:lang w:eastAsia="en-US" w:bidi="ar-SA"/>
              </w:rPr>
              <w:t>.</w:t>
            </w:r>
          </w:p>
          <w:p w14:paraId="25CF8CCC" w14:textId="77777777" w:rsidR="00246E68" w:rsidRPr="00246E68" w:rsidRDefault="00246E68" w:rsidP="00246E68">
            <w:pPr>
              <w:suppressAutoHyphens w:val="0"/>
              <w:autoSpaceDN/>
              <w:spacing w:before="60" w:beforeAutospacing="1" w:afterAutospacing="1"/>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Формула: Збир свих афирмативних и неутралних прилога и чланака у току календарске године на тему РЈУ</w:t>
            </w:r>
          </w:p>
        </w:tc>
      </w:tr>
      <w:tr w:rsidR="00246E68" w:rsidRPr="00246E68" w14:paraId="74C1086F" w14:textId="77777777" w:rsidTr="00DA6BE3">
        <w:trPr>
          <w:trHeight w:val="265"/>
          <w:jc w:val="center"/>
        </w:trPr>
        <w:tc>
          <w:tcPr>
            <w:tcW w:w="1280" w:type="pct"/>
            <w:vMerge w:val="restart"/>
            <w:shd w:val="clear" w:color="auto" w:fill="auto"/>
          </w:tcPr>
          <w:p w14:paraId="45C339A5" w14:textId="77777777" w:rsidR="00246E68" w:rsidRPr="00246E68" w:rsidRDefault="00246E68" w:rsidP="00246E68">
            <w:pPr>
              <w:suppressAutoHyphens w:val="0"/>
              <w:autoSpaceDN/>
              <w:spacing w:before="50" w:after="0"/>
              <w:ind w:firstLine="0"/>
              <w:jc w:val="left"/>
              <w:textAlignment w:val="auto"/>
              <w:rPr>
                <w:rFonts w:eastAsiaTheme="minorHAnsi"/>
                <w:b/>
                <w:bCs/>
                <w:kern w:val="0"/>
                <w:sz w:val="20"/>
                <w:szCs w:val="20"/>
                <w:lang w:val="sr-Latn-RS" w:eastAsia="en-US" w:bidi="ar-SA"/>
              </w:rPr>
            </w:pPr>
            <w:r w:rsidRPr="00246E68">
              <w:rPr>
                <w:rFonts w:eastAsiaTheme="minorHAnsi"/>
                <w:b/>
                <w:bCs/>
                <w:kern w:val="0"/>
                <w:sz w:val="20"/>
                <w:szCs w:val="20"/>
                <w:lang w:eastAsia="en-US" w:bidi="ar-SA"/>
              </w:rPr>
              <w:t>Подаци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полазној</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вредности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години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кад</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је</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измерена</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тренду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прошлости</w:t>
            </w:r>
          </w:p>
        </w:tc>
        <w:tc>
          <w:tcPr>
            <w:tcW w:w="2791" w:type="pct"/>
            <w:gridSpan w:val="11"/>
            <w:tcBorders>
              <w:bottom w:val="single" w:sz="4" w:space="0" w:color="auto"/>
            </w:tcBorders>
            <w:shd w:val="clear" w:color="auto" w:fill="FFFFFF" w:themeFill="background1"/>
            <w:vAlign w:val="center"/>
          </w:tcPr>
          <w:p w14:paraId="6D874C86" w14:textId="77777777" w:rsidR="00246E68" w:rsidRPr="00246E68" w:rsidRDefault="00246E68" w:rsidP="00246E68">
            <w:pPr>
              <w:suppressAutoHyphens w:val="0"/>
              <w:autoSpaceDN/>
              <w:spacing w:before="0" w:after="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Тренд у прошлости</w:t>
            </w:r>
          </w:p>
        </w:tc>
        <w:tc>
          <w:tcPr>
            <w:tcW w:w="929" w:type="pct"/>
            <w:gridSpan w:val="3"/>
            <w:shd w:val="clear" w:color="auto" w:fill="FFFFFF" w:themeFill="background1"/>
            <w:vAlign w:val="center"/>
          </w:tcPr>
          <w:p w14:paraId="7A8FABDC"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Полазна вредност</w:t>
            </w:r>
          </w:p>
        </w:tc>
      </w:tr>
      <w:tr w:rsidR="00246E68" w:rsidRPr="00246E68" w14:paraId="0FAEBEBF" w14:textId="77777777" w:rsidTr="00DA6BE3">
        <w:trPr>
          <w:trHeight w:val="137"/>
          <w:jc w:val="center"/>
        </w:trPr>
        <w:tc>
          <w:tcPr>
            <w:tcW w:w="1280" w:type="pct"/>
            <w:vMerge/>
            <w:tcBorders>
              <w:right w:val="single" w:sz="4" w:space="0" w:color="auto"/>
            </w:tcBorders>
            <w:shd w:val="clear" w:color="auto" w:fill="auto"/>
          </w:tcPr>
          <w:p w14:paraId="2C6D91B9"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C2261"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2016</w:t>
            </w:r>
          </w:p>
        </w:tc>
        <w:tc>
          <w:tcPr>
            <w:tcW w:w="87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F913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2017</w:t>
            </w:r>
          </w:p>
        </w:tc>
        <w:tc>
          <w:tcPr>
            <w:tcW w:w="97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3E59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2018</w:t>
            </w:r>
          </w:p>
        </w:tc>
        <w:tc>
          <w:tcPr>
            <w:tcW w:w="929" w:type="pct"/>
            <w:gridSpan w:val="3"/>
            <w:tcBorders>
              <w:left w:val="single" w:sz="4" w:space="0" w:color="auto"/>
            </w:tcBorders>
            <w:shd w:val="clear" w:color="auto" w:fill="FFFFFF" w:themeFill="background1"/>
            <w:vAlign w:val="center"/>
          </w:tcPr>
          <w:p w14:paraId="347BE28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2019 или 2020</w:t>
            </w:r>
          </w:p>
        </w:tc>
      </w:tr>
      <w:tr w:rsidR="00246E68" w:rsidRPr="00246E68" w14:paraId="48F864E0" w14:textId="77777777" w:rsidTr="00DA6BE3">
        <w:trPr>
          <w:trHeight w:val="323"/>
          <w:jc w:val="center"/>
        </w:trPr>
        <w:tc>
          <w:tcPr>
            <w:tcW w:w="1280" w:type="pct"/>
            <w:vMerge/>
            <w:shd w:val="clear" w:color="auto" w:fill="auto"/>
          </w:tcPr>
          <w:p w14:paraId="3DD86D78"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43" w:type="pct"/>
            <w:gridSpan w:val="3"/>
            <w:tcBorders>
              <w:top w:val="single" w:sz="4" w:space="0" w:color="auto"/>
            </w:tcBorders>
            <w:shd w:val="clear" w:color="auto" w:fill="FFFFFF" w:themeFill="background1"/>
            <w:vAlign w:val="center"/>
          </w:tcPr>
          <w:p w14:paraId="32EC646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70" w:type="pct"/>
            <w:gridSpan w:val="4"/>
            <w:tcBorders>
              <w:top w:val="single" w:sz="4" w:space="0" w:color="auto"/>
            </w:tcBorders>
            <w:shd w:val="clear" w:color="auto" w:fill="FFFFFF" w:themeFill="background1"/>
            <w:vAlign w:val="center"/>
          </w:tcPr>
          <w:p w14:paraId="31D43B5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978" w:type="pct"/>
            <w:gridSpan w:val="4"/>
            <w:tcBorders>
              <w:top w:val="single" w:sz="4" w:space="0" w:color="auto"/>
            </w:tcBorders>
            <w:shd w:val="clear" w:color="auto" w:fill="FFFFFF" w:themeFill="background1"/>
            <w:vAlign w:val="center"/>
          </w:tcPr>
          <w:p w14:paraId="35F4C7A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929" w:type="pct"/>
            <w:gridSpan w:val="3"/>
            <w:shd w:val="clear" w:color="auto" w:fill="FFFFFF" w:themeFill="background1"/>
            <w:vAlign w:val="center"/>
          </w:tcPr>
          <w:p w14:paraId="0A9D209A"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eastAsia="en-US" w:bidi="ar-SA"/>
              </w:rPr>
            </w:pPr>
            <w:r w:rsidRPr="00246E68">
              <w:rPr>
                <w:rFonts w:eastAsiaTheme="minorHAnsi"/>
                <w:color w:val="000000"/>
                <w:kern w:val="0"/>
                <w:sz w:val="20"/>
                <w:szCs w:val="20"/>
                <w:lang w:eastAsia="en-US" w:bidi="ar-SA"/>
              </w:rPr>
              <w:t>Биће утврђено у јануару 2021. јер је анализа медијског извештавања почела у 2020.</w:t>
            </w:r>
          </w:p>
        </w:tc>
      </w:tr>
      <w:tr w:rsidR="00246E68" w:rsidRPr="00246E68" w14:paraId="7D825B87" w14:textId="77777777" w:rsidTr="00DA6BE3">
        <w:trPr>
          <w:trHeight w:val="274"/>
          <w:jc w:val="center"/>
        </w:trPr>
        <w:tc>
          <w:tcPr>
            <w:tcW w:w="1280" w:type="pct"/>
            <w:vMerge w:val="restart"/>
            <w:shd w:val="clear" w:color="auto" w:fill="auto"/>
          </w:tcPr>
          <w:p w14:paraId="7C42B04D" w14:textId="77777777" w:rsidR="00246E68" w:rsidRPr="00246E68" w:rsidRDefault="00246E68" w:rsidP="00246E68">
            <w:pPr>
              <w:suppressAutoHyphens w:val="0"/>
              <w:autoSpaceDN/>
              <w:spacing w:before="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Подаци о циљним вредностима</w:t>
            </w:r>
          </w:p>
        </w:tc>
        <w:tc>
          <w:tcPr>
            <w:tcW w:w="329" w:type="pct"/>
            <w:shd w:val="clear" w:color="auto" w:fill="FFFFFF" w:themeFill="background1"/>
            <w:vAlign w:val="center"/>
          </w:tcPr>
          <w:p w14:paraId="25726C6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2021</w:t>
            </w:r>
          </w:p>
        </w:tc>
        <w:tc>
          <w:tcPr>
            <w:tcW w:w="344" w:type="pct"/>
            <w:shd w:val="clear" w:color="auto" w:fill="FFFFFF" w:themeFill="background1"/>
            <w:vAlign w:val="center"/>
          </w:tcPr>
          <w:p w14:paraId="31B4F9E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2022</w:t>
            </w:r>
          </w:p>
        </w:tc>
        <w:tc>
          <w:tcPr>
            <w:tcW w:w="399" w:type="pct"/>
            <w:gridSpan w:val="2"/>
            <w:shd w:val="clear" w:color="auto" w:fill="FFFFFF" w:themeFill="background1"/>
            <w:vAlign w:val="center"/>
          </w:tcPr>
          <w:p w14:paraId="06E3773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2023</w:t>
            </w:r>
          </w:p>
        </w:tc>
        <w:tc>
          <w:tcPr>
            <w:tcW w:w="378" w:type="pct"/>
            <w:shd w:val="clear" w:color="auto" w:fill="FFFFFF" w:themeFill="background1"/>
            <w:vAlign w:val="center"/>
          </w:tcPr>
          <w:p w14:paraId="5F608B0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2024</w:t>
            </w:r>
          </w:p>
        </w:tc>
        <w:tc>
          <w:tcPr>
            <w:tcW w:w="378" w:type="pct"/>
            <w:gridSpan w:val="3"/>
            <w:shd w:val="clear" w:color="auto" w:fill="FFFFFF" w:themeFill="background1"/>
            <w:vAlign w:val="center"/>
          </w:tcPr>
          <w:p w14:paraId="15C3ACB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2025</w:t>
            </w:r>
          </w:p>
        </w:tc>
        <w:tc>
          <w:tcPr>
            <w:tcW w:w="376" w:type="pct"/>
            <w:shd w:val="clear" w:color="auto" w:fill="FFFFFF" w:themeFill="background1"/>
            <w:vAlign w:val="center"/>
          </w:tcPr>
          <w:p w14:paraId="0EC6DD41"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2026</w:t>
            </w:r>
          </w:p>
        </w:tc>
        <w:tc>
          <w:tcPr>
            <w:tcW w:w="379" w:type="pct"/>
            <w:shd w:val="clear" w:color="auto" w:fill="FFFFFF" w:themeFill="background1"/>
            <w:vAlign w:val="center"/>
          </w:tcPr>
          <w:p w14:paraId="7E22AD1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2027</w:t>
            </w:r>
          </w:p>
        </w:tc>
        <w:tc>
          <w:tcPr>
            <w:tcW w:w="377" w:type="pct"/>
            <w:gridSpan w:val="2"/>
            <w:shd w:val="clear" w:color="auto" w:fill="FFFFFF" w:themeFill="background1"/>
            <w:vAlign w:val="center"/>
          </w:tcPr>
          <w:p w14:paraId="13588C67"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2028</w:t>
            </w:r>
          </w:p>
        </w:tc>
        <w:tc>
          <w:tcPr>
            <w:tcW w:w="379" w:type="pct"/>
            <w:shd w:val="clear" w:color="auto" w:fill="FFFFFF" w:themeFill="background1"/>
            <w:vAlign w:val="center"/>
          </w:tcPr>
          <w:p w14:paraId="470F14EC"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2029</w:t>
            </w:r>
          </w:p>
        </w:tc>
        <w:tc>
          <w:tcPr>
            <w:tcW w:w="380" w:type="pct"/>
            <w:shd w:val="clear" w:color="auto" w:fill="FFFFFF" w:themeFill="background1"/>
            <w:vAlign w:val="center"/>
          </w:tcPr>
          <w:p w14:paraId="28A282D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2030</w:t>
            </w:r>
          </w:p>
        </w:tc>
      </w:tr>
      <w:tr w:rsidR="00246E68" w:rsidRPr="00246E68" w14:paraId="38088A5A" w14:textId="77777777" w:rsidTr="00DA6BE3">
        <w:trPr>
          <w:trHeight w:val="160"/>
          <w:jc w:val="center"/>
        </w:trPr>
        <w:tc>
          <w:tcPr>
            <w:tcW w:w="1280" w:type="pct"/>
            <w:vMerge/>
            <w:shd w:val="clear" w:color="auto" w:fill="auto"/>
          </w:tcPr>
          <w:p w14:paraId="0CFE39B1"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329" w:type="pct"/>
            <w:shd w:val="clear" w:color="auto" w:fill="FFFFFF" w:themeFill="background1"/>
          </w:tcPr>
          <w:p w14:paraId="0FF7E14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44" w:type="pct"/>
            <w:shd w:val="clear" w:color="auto" w:fill="FFFFFF" w:themeFill="background1"/>
          </w:tcPr>
          <w:p w14:paraId="338AB13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99" w:type="pct"/>
            <w:gridSpan w:val="2"/>
            <w:shd w:val="clear" w:color="auto" w:fill="FFFFFF" w:themeFill="background1"/>
          </w:tcPr>
          <w:p w14:paraId="6ABE7DCC"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8" w:type="pct"/>
            <w:shd w:val="clear" w:color="auto" w:fill="FFFFFF" w:themeFill="background1"/>
          </w:tcPr>
          <w:p w14:paraId="28ECF8F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8" w:type="pct"/>
            <w:gridSpan w:val="3"/>
            <w:shd w:val="clear" w:color="auto" w:fill="FFFFFF" w:themeFill="background1"/>
          </w:tcPr>
          <w:p w14:paraId="2618E1B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6" w:type="pct"/>
            <w:shd w:val="clear" w:color="auto" w:fill="FFFFFF" w:themeFill="background1"/>
          </w:tcPr>
          <w:p w14:paraId="23991C1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9" w:type="pct"/>
            <w:shd w:val="clear" w:color="auto" w:fill="FFFFFF" w:themeFill="background1"/>
          </w:tcPr>
          <w:p w14:paraId="43D6EDE1"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7" w:type="pct"/>
            <w:gridSpan w:val="2"/>
            <w:shd w:val="clear" w:color="auto" w:fill="FFFFFF" w:themeFill="background1"/>
          </w:tcPr>
          <w:p w14:paraId="2770969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9" w:type="pct"/>
            <w:shd w:val="clear" w:color="auto" w:fill="FFFFFF" w:themeFill="background1"/>
          </w:tcPr>
          <w:p w14:paraId="254D43F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80" w:type="pct"/>
            <w:shd w:val="clear" w:color="auto" w:fill="FFFFFF" w:themeFill="background1"/>
          </w:tcPr>
          <w:p w14:paraId="20354E4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r>
      <w:tr w:rsidR="00246E68" w:rsidRPr="00246E68" w14:paraId="40AB8775" w14:textId="77777777" w:rsidTr="00DA6BE3">
        <w:trPr>
          <w:trHeight w:val="160"/>
          <w:jc w:val="center"/>
        </w:trPr>
        <w:tc>
          <w:tcPr>
            <w:tcW w:w="1280" w:type="pct"/>
            <w:shd w:val="clear" w:color="auto" w:fill="auto"/>
          </w:tcPr>
          <w:p w14:paraId="3AB07E01"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Процена успешности</w:t>
            </w:r>
          </w:p>
        </w:tc>
        <w:tc>
          <w:tcPr>
            <w:tcW w:w="3720" w:type="pct"/>
            <w:gridSpan w:val="14"/>
            <w:shd w:val="clear" w:color="auto" w:fill="FFFFFF" w:themeFill="background1"/>
            <w:vAlign w:val="center"/>
          </w:tcPr>
          <w:p w14:paraId="1FDEC801" w14:textId="77777777" w:rsidR="00246E68" w:rsidRPr="00246E68" w:rsidRDefault="00246E68" w:rsidP="00246E68">
            <w:pPr>
              <w:suppressAutoHyphens w:val="0"/>
              <w:autoSpaceDN/>
              <w:spacing w:before="50" w:after="50"/>
              <w:ind w:firstLine="0"/>
              <w:jc w:val="left"/>
              <w:textAlignment w:val="auto"/>
              <w:rPr>
                <w:rFonts w:eastAsiaTheme="minorHAnsi"/>
                <w:iCs/>
                <w:kern w:val="0"/>
                <w:sz w:val="20"/>
                <w:szCs w:val="20"/>
                <w:lang w:eastAsia="en-US" w:bidi="ar-SA"/>
              </w:rPr>
            </w:pPr>
            <w:r w:rsidRPr="00246E68">
              <w:rPr>
                <w:rFonts w:eastAsiaTheme="minorHAnsi"/>
                <w:color w:val="000000"/>
                <w:kern w:val="24"/>
                <w:sz w:val="20"/>
                <w:szCs w:val="20"/>
                <w:lang w:eastAsia="en-GB" w:bidi="ar-SA"/>
              </w:rPr>
              <w:t>Без одступања</w:t>
            </w:r>
          </w:p>
        </w:tc>
      </w:tr>
    </w:tbl>
    <w:p w14:paraId="0F787D15"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p w14:paraId="1C633F7C"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p w14:paraId="26873C02" w14:textId="77777777" w:rsidR="00246E68" w:rsidRPr="00246E68" w:rsidRDefault="00246E68" w:rsidP="00246E68">
      <w:pPr>
        <w:suppressAutoHyphens w:val="0"/>
        <w:autoSpaceDN/>
        <w:spacing w:before="0" w:after="0"/>
        <w:ind w:firstLine="0"/>
        <w:jc w:val="left"/>
        <w:textAlignment w:val="auto"/>
        <w:rPr>
          <w:rFonts w:eastAsiaTheme="minorHAnsi"/>
          <w:b/>
          <w:bCs/>
          <w:color w:val="A6A6A6" w:themeColor="background1" w:themeShade="A6"/>
          <w:kern w:val="0"/>
          <w:sz w:val="20"/>
          <w:szCs w:val="20"/>
          <w:lang w:val="sr-Latn-RS" w:eastAsia="en-US" w:bidi="ar-SA"/>
        </w:rPr>
      </w:pPr>
      <w:r w:rsidRPr="00246E68">
        <w:rPr>
          <w:rFonts w:eastAsiaTheme="minorHAnsi"/>
          <w:b/>
          <w:bCs/>
          <w:color w:val="A6A6A6" w:themeColor="background1" w:themeShade="A6"/>
          <w:kern w:val="0"/>
          <w:sz w:val="20"/>
          <w:szCs w:val="20"/>
          <w:lang w:val="en-US" w:eastAsia="en-US" w:bidi="ar-SA"/>
        </w:rPr>
        <w:t>Показатељ 6</w:t>
      </w:r>
    </w:p>
    <w:p w14:paraId="2D15E8E7"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4"/>
        <w:gridCol w:w="696"/>
        <w:gridCol w:w="696"/>
        <w:gridCol w:w="477"/>
        <w:gridCol w:w="219"/>
        <w:gridCol w:w="696"/>
        <w:gridCol w:w="629"/>
        <w:gridCol w:w="41"/>
        <w:gridCol w:w="26"/>
        <w:gridCol w:w="696"/>
        <w:gridCol w:w="696"/>
        <w:gridCol w:w="386"/>
        <w:gridCol w:w="310"/>
        <w:gridCol w:w="696"/>
        <w:gridCol w:w="696"/>
      </w:tblGrid>
      <w:tr w:rsidR="00246E68" w:rsidRPr="00246E68" w14:paraId="6D2AD646" w14:textId="77777777" w:rsidTr="00DA6BE3">
        <w:trPr>
          <w:jc w:val="center"/>
        </w:trPr>
        <w:tc>
          <w:tcPr>
            <w:tcW w:w="12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94A708" w14:textId="77777777" w:rsidR="00246E68" w:rsidRPr="00246E68" w:rsidRDefault="00246E68" w:rsidP="00246E68">
            <w:pPr>
              <w:suppressAutoHyphens w:val="0"/>
              <w:autoSpaceDN/>
              <w:spacing w:before="100" w:after="100"/>
              <w:ind w:firstLine="0"/>
              <w:jc w:val="left"/>
              <w:textAlignment w:val="auto"/>
              <w:rPr>
                <w:rFonts w:eastAsiaTheme="minorHAnsi"/>
                <w:b/>
                <w:bCs/>
                <w:color w:val="FFFFFF" w:themeColor="background1"/>
                <w:kern w:val="0"/>
                <w:sz w:val="20"/>
                <w:szCs w:val="20"/>
                <w:lang w:val="en-US" w:eastAsia="en-US" w:bidi="ar-SA"/>
              </w:rPr>
            </w:pPr>
            <w:r w:rsidRPr="00246E68">
              <w:rPr>
                <w:rFonts w:eastAsiaTheme="minorHAnsi"/>
                <w:b/>
                <w:bCs/>
                <w:color w:val="FFFFFF" w:themeColor="background1"/>
                <w:kern w:val="0"/>
                <w:sz w:val="20"/>
                <w:szCs w:val="20"/>
                <w:lang w:val="en-US" w:eastAsia="en-US" w:bidi="ar-SA"/>
              </w:rPr>
              <w:t>Назив показатеља</w:t>
            </w:r>
          </w:p>
        </w:tc>
        <w:tc>
          <w:tcPr>
            <w:tcW w:w="3730" w:type="pct"/>
            <w:gridSpan w:val="1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D8B1D4" w14:textId="77777777" w:rsidR="00246E68" w:rsidRPr="00246E68" w:rsidRDefault="00246E68" w:rsidP="00246E68">
            <w:pPr>
              <w:suppressAutoHyphens w:val="0"/>
              <w:autoSpaceDN/>
              <w:spacing w:before="100" w:after="100"/>
              <w:ind w:firstLine="0"/>
              <w:jc w:val="left"/>
              <w:textAlignment w:val="auto"/>
              <w:rPr>
                <w:rFonts w:eastAsiaTheme="minorHAnsi"/>
                <w:b/>
                <w:iCs/>
                <w:color w:val="FFFFFF" w:themeColor="background1"/>
                <w:kern w:val="0"/>
                <w:sz w:val="20"/>
                <w:szCs w:val="20"/>
                <w:lang w:val="en-US" w:eastAsia="en-US" w:bidi="ar-SA"/>
              </w:rPr>
            </w:pPr>
            <w:r w:rsidRPr="00246E68">
              <w:rPr>
                <w:rFonts w:eastAsiaTheme="minorHAnsi"/>
                <w:b/>
                <w:bCs/>
                <w:color w:val="000000"/>
                <w:kern w:val="0"/>
                <w:sz w:val="20"/>
                <w:szCs w:val="20"/>
                <w:lang w:eastAsia="en-US" w:bidi="ar-SA"/>
              </w:rPr>
              <w:t>Присуство тема о реформи јавне управе на веб сајтовима институција и њиховим страницама / профилима на друштвеним мрежама</w:t>
            </w:r>
          </w:p>
        </w:tc>
      </w:tr>
      <w:tr w:rsidR="00246E68" w:rsidRPr="00246E68" w14:paraId="73F37438" w14:textId="77777777" w:rsidTr="00DA6BE3">
        <w:trPr>
          <w:jc w:val="center"/>
        </w:trPr>
        <w:tc>
          <w:tcPr>
            <w:tcW w:w="1270" w:type="pct"/>
            <w:tcBorders>
              <w:top w:val="single" w:sz="4" w:space="0" w:color="auto"/>
              <w:left w:val="single" w:sz="4" w:space="0" w:color="auto"/>
              <w:bottom w:val="single" w:sz="4" w:space="0" w:color="auto"/>
              <w:right w:val="single" w:sz="4" w:space="0" w:color="auto"/>
            </w:tcBorders>
            <w:shd w:val="clear" w:color="auto" w:fill="auto"/>
          </w:tcPr>
          <w:p w14:paraId="1F6B277B" w14:textId="77777777" w:rsidR="00246E68" w:rsidRPr="00065AE4" w:rsidRDefault="00246E68" w:rsidP="00246E68">
            <w:pPr>
              <w:suppressAutoHyphens w:val="0"/>
              <w:autoSpaceDN/>
              <w:spacing w:before="100" w:after="10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Одговарајући општи, посебни циљ или мера</w:t>
            </w:r>
          </w:p>
        </w:tc>
        <w:tc>
          <w:tcPr>
            <w:tcW w:w="3730" w:type="pct"/>
            <w:gridSpan w:val="14"/>
            <w:tcBorders>
              <w:top w:val="single" w:sz="4" w:space="0" w:color="auto"/>
              <w:left w:val="single" w:sz="4" w:space="0" w:color="auto"/>
              <w:bottom w:val="single" w:sz="4" w:space="0" w:color="auto"/>
              <w:right w:val="single" w:sz="4" w:space="0" w:color="auto"/>
            </w:tcBorders>
            <w:shd w:val="clear" w:color="auto" w:fill="FFFFFF" w:themeFill="background1"/>
          </w:tcPr>
          <w:p w14:paraId="6CD64A76" w14:textId="77777777" w:rsidR="00246E68" w:rsidRPr="00246E68" w:rsidRDefault="00246E68" w:rsidP="00246E68">
            <w:pPr>
              <w:suppressAutoHyphens w:val="0"/>
              <w:autoSpaceDN/>
              <w:spacing w:before="100" w:after="100"/>
              <w:ind w:firstLine="0"/>
              <w:jc w:val="left"/>
              <w:textAlignment w:val="auto"/>
              <w:rPr>
                <w:rFonts w:eastAsiaTheme="minorHAnsi"/>
                <w:b/>
                <w:iCs/>
                <w:color w:val="000000" w:themeColor="text1"/>
                <w:kern w:val="0"/>
                <w:sz w:val="20"/>
                <w:szCs w:val="20"/>
                <w:lang w:eastAsia="en-US" w:bidi="ar-SA"/>
              </w:rPr>
            </w:pPr>
            <w:r w:rsidRPr="00246E68">
              <w:rPr>
                <w:rFonts w:eastAsiaTheme="minorHAnsi"/>
                <w:color w:val="000000"/>
                <w:kern w:val="24"/>
                <w:sz w:val="20"/>
                <w:szCs w:val="20"/>
                <w:lang w:eastAsia="en-US" w:bidi="ar-SA"/>
              </w:rPr>
              <w:t xml:space="preserve">Meра 5: Повећање видљивости и комуницирања процеса РЈУ и постигнутих резултата </w:t>
            </w:r>
          </w:p>
        </w:tc>
      </w:tr>
      <w:tr w:rsidR="00246E68" w:rsidRPr="00246E68" w14:paraId="21C721C7" w14:textId="77777777" w:rsidTr="00DA6BE3">
        <w:trPr>
          <w:jc w:val="center"/>
        </w:trPr>
        <w:tc>
          <w:tcPr>
            <w:tcW w:w="1270" w:type="pct"/>
            <w:shd w:val="clear" w:color="auto" w:fill="auto"/>
          </w:tcPr>
          <w:p w14:paraId="5DBE8326"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24"/>
                <w:sz w:val="20"/>
                <w:szCs w:val="20"/>
                <w:lang w:val="en-US" w:eastAsia="en-US" w:bidi="ar-SA"/>
              </w:rPr>
              <w:t>Тип и ниво показатеља</w:t>
            </w:r>
          </w:p>
        </w:tc>
        <w:tc>
          <w:tcPr>
            <w:tcW w:w="1833" w:type="pct"/>
            <w:gridSpan w:val="6"/>
            <w:shd w:val="clear" w:color="auto" w:fill="FFFFFF" w:themeFill="background1"/>
          </w:tcPr>
          <w:p w14:paraId="70BA3DEA"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sr-Latn-RS" w:eastAsia="en-US" w:bidi="ar-SA"/>
              </w:rPr>
              <w:t>K</w:t>
            </w:r>
            <w:r w:rsidRPr="00246E68">
              <w:rPr>
                <w:rFonts w:eastAsiaTheme="minorHAnsi"/>
                <w:bCs/>
                <w:iCs/>
                <w:kern w:val="24"/>
                <w:sz w:val="20"/>
                <w:szCs w:val="20"/>
                <w:lang w:eastAsia="en-US" w:bidi="ar-SA"/>
              </w:rPr>
              <w:t>вантитативни</w:t>
            </w:r>
          </w:p>
        </w:tc>
        <w:tc>
          <w:tcPr>
            <w:tcW w:w="1898" w:type="pct"/>
            <w:gridSpan w:val="8"/>
            <w:shd w:val="clear" w:color="auto" w:fill="FFFFFF" w:themeFill="background1"/>
          </w:tcPr>
          <w:p w14:paraId="33E6368A"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en-US" w:eastAsia="en-US" w:bidi="ar-SA"/>
              </w:rPr>
              <w:t xml:space="preserve">Показатељ </w:t>
            </w:r>
            <w:r w:rsidRPr="00246E68">
              <w:rPr>
                <w:rFonts w:eastAsiaTheme="minorHAnsi"/>
                <w:bCs/>
                <w:iCs/>
                <w:kern w:val="24"/>
                <w:sz w:val="20"/>
                <w:szCs w:val="20"/>
                <w:lang w:eastAsia="en-US" w:bidi="ar-SA"/>
              </w:rPr>
              <w:t>резултата</w:t>
            </w:r>
          </w:p>
        </w:tc>
      </w:tr>
      <w:tr w:rsidR="00246E68" w:rsidRPr="00246E68" w14:paraId="74A54143" w14:textId="77777777" w:rsidTr="00DA6BE3">
        <w:trPr>
          <w:trHeight w:val="373"/>
          <w:jc w:val="center"/>
        </w:trPr>
        <w:tc>
          <w:tcPr>
            <w:tcW w:w="1270" w:type="pct"/>
            <w:shd w:val="clear" w:color="auto" w:fill="auto"/>
          </w:tcPr>
          <w:p w14:paraId="6F679A5E" w14:textId="77777777" w:rsidR="00246E68" w:rsidRPr="00246E68" w:rsidRDefault="00246E68" w:rsidP="00246E68">
            <w:pPr>
              <w:suppressAutoHyphens w:val="0"/>
              <w:autoSpaceDN/>
              <w:spacing w:before="50" w:after="50"/>
              <w:ind w:firstLine="0"/>
              <w:jc w:val="left"/>
              <w:textAlignment w:val="auto"/>
              <w:rPr>
                <w:rFonts w:eastAsiaTheme="minorHAnsi"/>
                <w:b/>
                <w:kern w:val="24"/>
                <w:sz w:val="20"/>
                <w:szCs w:val="20"/>
                <w:lang w:val="en-US" w:eastAsia="en-US" w:bidi="ar-SA"/>
              </w:rPr>
            </w:pPr>
            <w:r w:rsidRPr="00246E68">
              <w:rPr>
                <w:rFonts w:eastAsiaTheme="minorHAnsi"/>
                <w:b/>
                <w:kern w:val="24"/>
                <w:sz w:val="20"/>
                <w:szCs w:val="20"/>
                <w:lang w:val="en-US" w:eastAsia="en-US" w:bidi="ar-SA"/>
              </w:rPr>
              <w:t>Јединица мере и природа</w:t>
            </w:r>
          </w:p>
        </w:tc>
        <w:tc>
          <w:tcPr>
            <w:tcW w:w="1833" w:type="pct"/>
            <w:gridSpan w:val="6"/>
            <w:shd w:val="clear" w:color="auto" w:fill="FFFFFF" w:themeFill="background1"/>
          </w:tcPr>
          <w:p w14:paraId="749A087F" w14:textId="77777777" w:rsidR="00246E68" w:rsidRPr="00246E68" w:rsidRDefault="00246E68" w:rsidP="00246E68">
            <w:pPr>
              <w:tabs>
                <w:tab w:val="left" w:pos="152"/>
              </w:tabs>
              <w:suppressAutoHyphens w:val="0"/>
              <w:autoSpaceDN/>
              <w:spacing w:before="50" w:after="50"/>
              <w:ind w:firstLine="0"/>
              <w:jc w:val="left"/>
              <w:textAlignment w:val="auto"/>
              <w:rPr>
                <w:rFonts w:eastAsiaTheme="minorHAnsi"/>
                <w:iCs/>
                <w:kern w:val="0"/>
                <w:sz w:val="20"/>
                <w:szCs w:val="20"/>
                <w:lang w:eastAsia="en-US" w:bidi="ar-SA"/>
              </w:rPr>
            </w:pPr>
            <w:r w:rsidRPr="00246E68">
              <w:rPr>
                <w:rFonts w:eastAsiaTheme="minorHAnsi"/>
                <w:color w:val="000000"/>
                <w:kern w:val="0"/>
                <w:sz w:val="20"/>
                <w:szCs w:val="20"/>
                <w:lang w:eastAsia="en-US" w:bidi="ar-SA"/>
              </w:rPr>
              <w:t>број</w:t>
            </w:r>
          </w:p>
        </w:tc>
        <w:tc>
          <w:tcPr>
            <w:tcW w:w="1898" w:type="pct"/>
            <w:gridSpan w:val="8"/>
            <w:shd w:val="clear" w:color="auto" w:fill="FFFFFF" w:themeFill="background1"/>
          </w:tcPr>
          <w:p w14:paraId="5444F62F" w14:textId="77777777" w:rsidR="00246E68" w:rsidRPr="00246E68" w:rsidRDefault="00246E68" w:rsidP="00246E68">
            <w:pPr>
              <w:suppressAutoHyphens w:val="0"/>
              <w:autoSpaceDN/>
              <w:spacing w:before="0" w:after="0"/>
              <w:ind w:firstLine="0"/>
              <w:jc w:val="left"/>
              <w:textAlignment w:val="auto"/>
              <w:rPr>
                <w:rFonts w:eastAsia="Arial"/>
                <w:iCs/>
                <w:color w:val="000000" w:themeColor="dark1"/>
                <w:spacing w:val="-1"/>
                <w:kern w:val="24"/>
                <w:sz w:val="20"/>
                <w:szCs w:val="20"/>
                <w:lang w:val="en-US" w:eastAsia="en-US" w:bidi="ar-SA"/>
              </w:rPr>
            </w:pPr>
            <w:r w:rsidRPr="00246E68">
              <w:rPr>
                <w:rFonts w:eastAsia="Arial"/>
                <w:iCs/>
                <w:color w:val="000000" w:themeColor="dark1"/>
                <w:spacing w:val="-1"/>
                <w:kern w:val="24"/>
                <w:sz w:val="20"/>
                <w:szCs w:val="20"/>
                <w:lang w:val="en-US" w:eastAsia="en-US" w:bidi="ar-SA"/>
              </w:rPr>
              <w:t>Пожељна је већа вредност</w:t>
            </w:r>
          </w:p>
        </w:tc>
      </w:tr>
      <w:tr w:rsidR="00246E68" w:rsidRPr="00246E68" w14:paraId="673657DC" w14:textId="77777777" w:rsidTr="00DA6BE3">
        <w:trPr>
          <w:jc w:val="center"/>
        </w:trPr>
        <w:tc>
          <w:tcPr>
            <w:tcW w:w="1270" w:type="pct"/>
            <w:shd w:val="clear" w:color="auto" w:fill="auto"/>
          </w:tcPr>
          <w:p w14:paraId="02C59F87" w14:textId="77777777" w:rsidR="00246E68" w:rsidRPr="00065AE4" w:rsidRDefault="00246E68" w:rsidP="00246E68">
            <w:pPr>
              <w:suppressAutoHyphens w:val="0"/>
              <w:autoSpaceDN/>
              <w:spacing w:before="50" w:after="5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Извор података за праћење показатеља учинка</w:t>
            </w:r>
          </w:p>
        </w:tc>
        <w:tc>
          <w:tcPr>
            <w:tcW w:w="3730" w:type="pct"/>
            <w:gridSpan w:val="14"/>
            <w:shd w:val="clear" w:color="auto" w:fill="FFFFFF" w:themeFill="background1"/>
          </w:tcPr>
          <w:p w14:paraId="7285BF01"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Подаци ће бити прикупљани  на националном нивоу.</w:t>
            </w:r>
          </w:p>
          <w:p w14:paraId="0FFD75B7"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Извори:</w:t>
            </w:r>
          </w:p>
          <w:p w14:paraId="0999AAB3" w14:textId="77777777" w:rsidR="00246E68" w:rsidRPr="00246E68" w:rsidRDefault="00246E68" w:rsidP="00E62A1A">
            <w:pPr>
              <w:numPr>
                <w:ilvl w:val="0"/>
                <w:numId w:val="14"/>
              </w:numPr>
              <w:suppressAutoHyphens w:val="0"/>
              <w:autoSpaceDN/>
              <w:spacing w:before="0" w:after="0"/>
              <w:jc w:val="left"/>
              <w:textAlignment w:val="auto"/>
              <w:rPr>
                <w:rFonts w:eastAsiaTheme="minorHAnsi"/>
                <w:color w:val="000000"/>
                <w:kern w:val="0"/>
                <w:sz w:val="20"/>
                <w:szCs w:val="20"/>
                <w:lang w:eastAsia="en-GB" w:bidi="ar-SA"/>
              </w:rPr>
            </w:pPr>
            <w:r w:rsidRPr="00246E68">
              <w:rPr>
                <w:rFonts w:eastAsiaTheme="minorHAnsi"/>
                <w:color w:val="000000"/>
                <w:kern w:val="0"/>
                <w:sz w:val="20"/>
                <w:szCs w:val="20"/>
                <w:lang w:eastAsia="en-GB" w:bidi="ar-SA"/>
              </w:rPr>
              <w:t xml:space="preserve">Извештаји  о анализи садржаја </w:t>
            </w:r>
            <w:r w:rsidRPr="00246E68">
              <w:rPr>
                <w:rFonts w:eastAsiaTheme="minorHAnsi"/>
                <w:color w:val="000000"/>
                <w:kern w:val="0"/>
                <w:sz w:val="20"/>
                <w:szCs w:val="20"/>
                <w:lang w:eastAsia="en-US" w:bidi="ar-SA"/>
              </w:rPr>
              <w:t>веб страница и страница на друштвеним мрежама</w:t>
            </w:r>
          </w:p>
        </w:tc>
      </w:tr>
      <w:tr w:rsidR="00246E68" w:rsidRPr="00246E68" w14:paraId="3550A7B0" w14:textId="77777777" w:rsidTr="00DA6BE3">
        <w:trPr>
          <w:jc w:val="center"/>
        </w:trPr>
        <w:tc>
          <w:tcPr>
            <w:tcW w:w="1270" w:type="pct"/>
            <w:shd w:val="clear" w:color="auto" w:fill="auto"/>
          </w:tcPr>
          <w:p w14:paraId="2AD59406"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Назив носиоца прикупљања података</w:t>
            </w:r>
          </w:p>
        </w:tc>
        <w:tc>
          <w:tcPr>
            <w:tcW w:w="3730" w:type="pct"/>
            <w:gridSpan w:val="14"/>
            <w:shd w:val="clear" w:color="auto" w:fill="FFFFFF" w:themeFill="background1"/>
          </w:tcPr>
          <w:p w14:paraId="5E9C82BE"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kern w:val="0"/>
                <w:sz w:val="20"/>
                <w:szCs w:val="20"/>
                <w:lang w:val="en-US" w:eastAsia="en-US" w:bidi="ar-SA"/>
              </w:rPr>
              <w:t xml:space="preserve">МДУЛС </w:t>
            </w:r>
          </w:p>
        </w:tc>
      </w:tr>
      <w:tr w:rsidR="00246E68" w:rsidRPr="00246E68" w14:paraId="61ABCC95" w14:textId="77777777" w:rsidTr="00DA6BE3">
        <w:trPr>
          <w:jc w:val="center"/>
        </w:trPr>
        <w:tc>
          <w:tcPr>
            <w:tcW w:w="1270" w:type="pct"/>
            <w:shd w:val="clear" w:color="auto" w:fill="auto"/>
          </w:tcPr>
          <w:p w14:paraId="723DDDA8"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Учесталост прикупљања података</w:t>
            </w:r>
          </w:p>
        </w:tc>
        <w:tc>
          <w:tcPr>
            <w:tcW w:w="3730" w:type="pct"/>
            <w:gridSpan w:val="14"/>
            <w:shd w:val="clear" w:color="auto" w:fill="FFFFFF" w:themeFill="background1"/>
          </w:tcPr>
          <w:p w14:paraId="4A6D6440"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246E68" w:rsidRPr="00246E68" w14:paraId="12CA06F1" w14:textId="77777777" w:rsidTr="00DA6BE3">
        <w:trPr>
          <w:trHeight w:val="274"/>
          <w:jc w:val="center"/>
        </w:trPr>
        <w:tc>
          <w:tcPr>
            <w:tcW w:w="1270" w:type="pct"/>
            <w:shd w:val="clear" w:color="auto" w:fill="auto"/>
          </w:tcPr>
          <w:p w14:paraId="16D44819" w14:textId="77777777" w:rsidR="00246E68" w:rsidRPr="00065AE4" w:rsidRDefault="00246E68" w:rsidP="00246E68">
            <w:pPr>
              <w:suppressAutoHyphens w:val="0"/>
              <w:autoSpaceDN/>
              <w:spacing w:before="50" w:after="50"/>
              <w:ind w:firstLine="0"/>
              <w:jc w:val="left"/>
              <w:textAlignment w:val="auto"/>
              <w:rPr>
                <w:rFonts w:eastAsiaTheme="minorHAnsi"/>
                <w:b/>
                <w:kern w:val="0"/>
                <w:sz w:val="20"/>
                <w:szCs w:val="20"/>
                <w:lang w:eastAsia="en-US" w:bidi="ar-SA"/>
              </w:rPr>
            </w:pPr>
            <w:r w:rsidRPr="00065AE4">
              <w:rPr>
                <w:rFonts w:eastAsiaTheme="minorHAnsi"/>
                <w:b/>
                <w:kern w:val="0"/>
                <w:sz w:val="20"/>
                <w:szCs w:val="20"/>
                <w:lang w:eastAsia="en-US" w:bidi="ar-SA"/>
              </w:rPr>
              <w:t>Кратак опис показатеља и методологије израчунавања</w:t>
            </w:r>
          </w:p>
          <w:p w14:paraId="68DEA3FF"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0"/>
                <w:sz w:val="20"/>
                <w:szCs w:val="20"/>
                <w:lang w:val="en-US" w:eastAsia="en-US" w:bidi="ar-SA"/>
              </w:rPr>
              <w:t>(формуле/ једначине)</w:t>
            </w:r>
          </w:p>
        </w:tc>
        <w:tc>
          <w:tcPr>
            <w:tcW w:w="3730" w:type="pct"/>
            <w:gridSpan w:val="14"/>
            <w:shd w:val="clear" w:color="auto" w:fill="FFFFFF" w:themeFill="background1"/>
          </w:tcPr>
          <w:p w14:paraId="40466154" w14:textId="77777777" w:rsidR="00246E68" w:rsidRPr="00246E68" w:rsidRDefault="00246E68" w:rsidP="00246E68">
            <w:pPr>
              <w:suppressAutoHyphens w:val="0"/>
              <w:autoSpaceDN/>
              <w:spacing w:before="60" w:beforeAutospacing="1" w:afterAutospacing="1"/>
              <w:ind w:firstLine="0"/>
              <w:textAlignment w:val="auto"/>
              <w:rPr>
                <w:rFonts w:eastAsiaTheme="minorHAnsi"/>
                <w:color w:val="000000"/>
                <w:kern w:val="0"/>
                <w:sz w:val="20"/>
                <w:szCs w:val="20"/>
                <w:lang w:eastAsia="en-US" w:bidi="ar-SA"/>
              </w:rPr>
            </w:pPr>
            <w:r w:rsidRPr="00246E68">
              <w:rPr>
                <w:rFonts w:eastAsiaTheme="minorHAnsi"/>
                <w:color w:val="000000"/>
                <w:kern w:val="24"/>
                <w:sz w:val="20"/>
                <w:szCs w:val="20"/>
                <w:lang w:eastAsia="en-GB" w:bidi="ar-SA"/>
              </w:rPr>
              <w:t xml:space="preserve">Вредност показатеља ће се утврдити према броју чланака и постова </w:t>
            </w:r>
            <w:r w:rsidRPr="00246E68">
              <w:rPr>
                <w:rFonts w:eastAsiaTheme="minorHAnsi"/>
                <w:color w:val="000000"/>
                <w:kern w:val="0"/>
                <w:sz w:val="20"/>
                <w:szCs w:val="20"/>
                <w:lang w:eastAsia="en-US" w:bidi="ar-SA"/>
              </w:rPr>
              <w:t>на веб страницама и страницама на друштвеним мрежама одређених институција на тему реформе јавне управе и које су стављене у контекст реформе јавне управе, у току календарске године. Стандарди комуницирања процеса и резултата РЈУ биће накнадно дефинисани.</w:t>
            </w:r>
          </w:p>
          <w:p w14:paraId="6710985F" w14:textId="77777777" w:rsidR="00246E68" w:rsidRPr="00246E68" w:rsidRDefault="00246E68" w:rsidP="00246E68">
            <w:pPr>
              <w:suppressAutoHyphens w:val="0"/>
              <w:autoSpaceDN/>
              <w:spacing w:before="60" w:beforeAutospacing="1" w:afterAutospacing="1"/>
              <w:ind w:firstLine="0"/>
              <w:textAlignment w:val="auto"/>
              <w:rPr>
                <w:rFonts w:eastAsiaTheme="minorHAnsi"/>
                <w:color w:val="000000"/>
                <w:kern w:val="0"/>
                <w:sz w:val="20"/>
                <w:szCs w:val="20"/>
                <w:lang w:eastAsia="en-US" w:bidi="ar-SA"/>
              </w:rPr>
            </w:pPr>
            <w:r w:rsidRPr="00246E68">
              <w:rPr>
                <w:rFonts w:eastAsiaTheme="minorHAnsi"/>
                <w:color w:val="000000"/>
                <w:kern w:val="0"/>
                <w:sz w:val="20"/>
                <w:szCs w:val="20"/>
                <w:lang w:eastAsia="en-US" w:bidi="ar-SA"/>
              </w:rPr>
              <w:t>Институције које су обухваћене овим показатељем су оне институције које имају представнике у Савету за реформу јавне управе, као и Национална академија за јавну управу и Канцеларија за информационе технологије и електронску управу.</w:t>
            </w:r>
          </w:p>
          <w:p w14:paraId="02B271F2" w14:textId="77777777" w:rsidR="00246E68" w:rsidRPr="00246E68" w:rsidRDefault="00246E68" w:rsidP="00246E68">
            <w:pPr>
              <w:suppressAutoHyphens w:val="0"/>
              <w:autoSpaceDN/>
              <w:spacing w:before="60" w:beforeAutospacing="1" w:afterAutospacing="1"/>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 xml:space="preserve">Формула: Збир свих чланака и постова на </w:t>
            </w:r>
            <w:r w:rsidRPr="00246E68">
              <w:rPr>
                <w:rFonts w:eastAsiaTheme="minorHAnsi"/>
                <w:color w:val="000000"/>
                <w:kern w:val="0"/>
                <w:sz w:val="20"/>
                <w:szCs w:val="20"/>
                <w:lang w:eastAsia="en-US" w:bidi="ar-SA"/>
              </w:rPr>
              <w:t>веб сајтовима институција и њиховим страницама / профилима на друштвеним мрежама у току календарске године.</w:t>
            </w:r>
          </w:p>
        </w:tc>
      </w:tr>
      <w:tr w:rsidR="00246E68" w:rsidRPr="00246E68" w14:paraId="7D59770E" w14:textId="77777777" w:rsidTr="00DA6BE3">
        <w:trPr>
          <w:trHeight w:val="265"/>
          <w:jc w:val="center"/>
        </w:trPr>
        <w:tc>
          <w:tcPr>
            <w:tcW w:w="1270" w:type="pct"/>
            <w:vMerge w:val="restart"/>
            <w:shd w:val="clear" w:color="auto" w:fill="auto"/>
          </w:tcPr>
          <w:p w14:paraId="6B78FD9A" w14:textId="77777777" w:rsidR="00246E68" w:rsidRPr="00246E68" w:rsidRDefault="00246E68" w:rsidP="00246E68">
            <w:pPr>
              <w:suppressAutoHyphens w:val="0"/>
              <w:autoSpaceDN/>
              <w:spacing w:before="50" w:after="0"/>
              <w:ind w:firstLine="0"/>
              <w:jc w:val="left"/>
              <w:textAlignment w:val="auto"/>
              <w:rPr>
                <w:rFonts w:eastAsiaTheme="minorHAnsi"/>
                <w:b/>
                <w:bCs/>
                <w:kern w:val="0"/>
                <w:sz w:val="20"/>
                <w:szCs w:val="20"/>
                <w:lang w:val="sr-Latn-RS" w:eastAsia="en-US" w:bidi="ar-SA"/>
              </w:rPr>
            </w:pPr>
            <w:r w:rsidRPr="00246E68">
              <w:rPr>
                <w:rFonts w:eastAsiaTheme="minorHAnsi"/>
                <w:b/>
                <w:bCs/>
                <w:kern w:val="0"/>
                <w:sz w:val="20"/>
                <w:szCs w:val="20"/>
                <w:lang w:eastAsia="en-US" w:bidi="ar-SA"/>
              </w:rPr>
              <w:t>Подаци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полазној</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вредности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години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кад</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је</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измерена</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као</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тренду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у</w:t>
            </w:r>
            <w:r w:rsidRPr="00246E68">
              <w:rPr>
                <w:rFonts w:eastAsiaTheme="minorHAnsi"/>
                <w:b/>
                <w:bCs/>
                <w:kern w:val="0"/>
                <w:sz w:val="20"/>
                <w:szCs w:val="20"/>
                <w:lang w:val="sr-Latn-RS" w:eastAsia="en-US" w:bidi="ar-SA"/>
              </w:rPr>
              <w:t xml:space="preserve"> </w:t>
            </w:r>
            <w:r w:rsidRPr="00246E68">
              <w:rPr>
                <w:rFonts w:eastAsiaTheme="minorHAnsi"/>
                <w:b/>
                <w:bCs/>
                <w:kern w:val="0"/>
                <w:sz w:val="20"/>
                <w:szCs w:val="20"/>
                <w:lang w:eastAsia="en-US" w:bidi="ar-SA"/>
              </w:rPr>
              <w:t>прошлости</w:t>
            </w:r>
          </w:p>
        </w:tc>
        <w:tc>
          <w:tcPr>
            <w:tcW w:w="2819" w:type="pct"/>
            <w:gridSpan w:val="11"/>
            <w:tcBorders>
              <w:bottom w:val="single" w:sz="4" w:space="0" w:color="auto"/>
            </w:tcBorders>
            <w:shd w:val="clear" w:color="auto" w:fill="FFFFFF" w:themeFill="background1"/>
            <w:vAlign w:val="center"/>
          </w:tcPr>
          <w:p w14:paraId="1BA5FAAD" w14:textId="77777777" w:rsidR="00246E68" w:rsidRPr="00246E68" w:rsidRDefault="00246E68" w:rsidP="00246E68">
            <w:pPr>
              <w:suppressAutoHyphens w:val="0"/>
              <w:autoSpaceDN/>
              <w:spacing w:before="0" w:after="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Тренд у прошлости</w:t>
            </w:r>
          </w:p>
        </w:tc>
        <w:tc>
          <w:tcPr>
            <w:tcW w:w="911" w:type="pct"/>
            <w:gridSpan w:val="3"/>
            <w:shd w:val="clear" w:color="auto" w:fill="FFFFFF" w:themeFill="background1"/>
            <w:vAlign w:val="center"/>
          </w:tcPr>
          <w:p w14:paraId="498E90E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Полазна вредност</w:t>
            </w:r>
          </w:p>
        </w:tc>
      </w:tr>
      <w:tr w:rsidR="00246E68" w:rsidRPr="00246E68" w14:paraId="6596554D" w14:textId="77777777" w:rsidTr="00DA6BE3">
        <w:trPr>
          <w:trHeight w:val="137"/>
          <w:jc w:val="center"/>
        </w:trPr>
        <w:tc>
          <w:tcPr>
            <w:tcW w:w="1270" w:type="pct"/>
            <w:vMerge/>
            <w:tcBorders>
              <w:right w:val="single" w:sz="4" w:space="0" w:color="auto"/>
            </w:tcBorders>
            <w:shd w:val="clear" w:color="auto" w:fill="auto"/>
          </w:tcPr>
          <w:p w14:paraId="6C395A6E"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100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F220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2016</w:t>
            </w:r>
          </w:p>
        </w:tc>
        <w:tc>
          <w:tcPr>
            <w:tcW w:w="85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927F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2017</w:t>
            </w:r>
          </w:p>
        </w:tc>
        <w:tc>
          <w:tcPr>
            <w:tcW w:w="96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EAB8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2018</w:t>
            </w:r>
          </w:p>
        </w:tc>
        <w:tc>
          <w:tcPr>
            <w:tcW w:w="911" w:type="pct"/>
            <w:gridSpan w:val="3"/>
            <w:tcBorders>
              <w:left w:val="single" w:sz="4" w:space="0" w:color="auto"/>
            </w:tcBorders>
            <w:shd w:val="clear" w:color="auto" w:fill="FFFFFF" w:themeFill="background1"/>
            <w:vAlign w:val="center"/>
          </w:tcPr>
          <w:p w14:paraId="3B667B5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2019 или 2020</w:t>
            </w:r>
          </w:p>
        </w:tc>
      </w:tr>
      <w:tr w:rsidR="00246E68" w:rsidRPr="00246E68" w14:paraId="099C5737" w14:textId="77777777" w:rsidTr="00DA6BE3">
        <w:trPr>
          <w:trHeight w:val="323"/>
          <w:jc w:val="center"/>
        </w:trPr>
        <w:tc>
          <w:tcPr>
            <w:tcW w:w="1270" w:type="pct"/>
            <w:vMerge/>
            <w:shd w:val="clear" w:color="auto" w:fill="auto"/>
          </w:tcPr>
          <w:p w14:paraId="53535A9D"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1005" w:type="pct"/>
            <w:gridSpan w:val="3"/>
            <w:tcBorders>
              <w:top w:val="single" w:sz="4" w:space="0" w:color="auto"/>
            </w:tcBorders>
            <w:shd w:val="clear" w:color="auto" w:fill="FFFFFF" w:themeFill="background1"/>
            <w:vAlign w:val="center"/>
          </w:tcPr>
          <w:p w14:paraId="3FC82B9A"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50" w:type="pct"/>
            <w:gridSpan w:val="4"/>
            <w:tcBorders>
              <w:top w:val="single" w:sz="4" w:space="0" w:color="auto"/>
            </w:tcBorders>
            <w:shd w:val="clear" w:color="auto" w:fill="FFFFFF" w:themeFill="background1"/>
            <w:vAlign w:val="center"/>
          </w:tcPr>
          <w:p w14:paraId="7D3D825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964" w:type="pct"/>
            <w:gridSpan w:val="4"/>
            <w:tcBorders>
              <w:top w:val="single" w:sz="4" w:space="0" w:color="auto"/>
            </w:tcBorders>
            <w:shd w:val="clear" w:color="auto" w:fill="FFFFFF" w:themeFill="background1"/>
            <w:vAlign w:val="center"/>
          </w:tcPr>
          <w:p w14:paraId="3BBF3EA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911" w:type="pct"/>
            <w:gridSpan w:val="3"/>
            <w:shd w:val="clear" w:color="auto" w:fill="FFFFFF" w:themeFill="background1"/>
            <w:vAlign w:val="center"/>
          </w:tcPr>
          <w:p w14:paraId="32D3FCF7"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eastAsia="en-US" w:bidi="ar-SA"/>
              </w:rPr>
            </w:pPr>
            <w:r w:rsidRPr="00246E68">
              <w:rPr>
                <w:rFonts w:eastAsiaTheme="minorHAnsi"/>
                <w:color w:val="000000"/>
                <w:kern w:val="0"/>
                <w:sz w:val="20"/>
                <w:szCs w:val="20"/>
                <w:lang w:eastAsia="en-US" w:bidi="ar-SA"/>
              </w:rPr>
              <w:t>Биће утврђено у јануару 2021. јер је анализа медијског извештавања почела у 2020.</w:t>
            </w:r>
          </w:p>
        </w:tc>
      </w:tr>
      <w:tr w:rsidR="00246E68" w:rsidRPr="00246E68" w14:paraId="3E8FB20B" w14:textId="77777777" w:rsidTr="00DA6BE3">
        <w:trPr>
          <w:trHeight w:val="274"/>
          <w:jc w:val="center"/>
        </w:trPr>
        <w:tc>
          <w:tcPr>
            <w:tcW w:w="1270" w:type="pct"/>
            <w:vMerge w:val="restart"/>
            <w:shd w:val="clear" w:color="auto" w:fill="auto"/>
          </w:tcPr>
          <w:p w14:paraId="4DCA9765" w14:textId="77777777" w:rsidR="00246E68" w:rsidRPr="00246E68" w:rsidRDefault="00246E68" w:rsidP="00246E68">
            <w:pPr>
              <w:suppressAutoHyphens w:val="0"/>
              <w:autoSpaceDN/>
              <w:spacing w:before="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Подаци о циљним вредностима</w:t>
            </w:r>
          </w:p>
        </w:tc>
        <w:tc>
          <w:tcPr>
            <w:tcW w:w="372" w:type="pct"/>
            <w:shd w:val="clear" w:color="auto" w:fill="FFFFFF" w:themeFill="background1"/>
            <w:vAlign w:val="center"/>
          </w:tcPr>
          <w:p w14:paraId="701EE34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2021</w:t>
            </w:r>
          </w:p>
        </w:tc>
        <w:tc>
          <w:tcPr>
            <w:tcW w:w="372" w:type="pct"/>
            <w:shd w:val="clear" w:color="auto" w:fill="FFFFFF" w:themeFill="background1"/>
            <w:vAlign w:val="center"/>
          </w:tcPr>
          <w:p w14:paraId="6C0299C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2022</w:t>
            </w:r>
          </w:p>
        </w:tc>
        <w:tc>
          <w:tcPr>
            <w:tcW w:w="381" w:type="pct"/>
            <w:gridSpan w:val="2"/>
            <w:shd w:val="clear" w:color="auto" w:fill="FFFFFF" w:themeFill="background1"/>
            <w:vAlign w:val="center"/>
          </w:tcPr>
          <w:p w14:paraId="3AD21F91"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2023</w:t>
            </w:r>
          </w:p>
        </w:tc>
        <w:tc>
          <w:tcPr>
            <w:tcW w:w="372" w:type="pct"/>
            <w:shd w:val="clear" w:color="auto" w:fill="FFFFFF" w:themeFill="background1"/>
            <w:vAlign w:val="center"/>
          </w:tcPr>
          <w:p w14:paraId="2A11C10A"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2024</w:t>
            </w:r>
          </w:p>
        </w:tc>
        <w:tc>
          <w:tcPr>
            <w:tcW w:w="372" w:type="pct"/>
            <w:gridSpan w:val="3"/>
            <w:shd w:val="clear" w:color="auto" w:fill="FFFFFF" w:themeFill="background1"/>
            <w:vAlign w:val="center"/>
          </w:tcPr>
          <w:p w14:paraId="06275B6D"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2025</w:t>
            </w:r>
          </w:p>
        </w:tc>
        <w:tc>
          <w:tcPr>
            <w:tcW w:w="372" w:type="pct"/>
            <w:shd w:val="clear" w:color="auto" w:fill="FFFFFF" w:themeFill="background1"/>
            <w:vAlign w:val="center"/>
          </w:tcPr>
          <w:p w14:paraId="2EEB2051"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2026</w:t>
            </w:r>
          </w:p>
        </w:tc>
        <w:tc>
          <w:tcPr>
            <w:tcW w:w="372" w:type="pct"/>
            <w:shd w:val="clear" w:color="auto" w:fill="FFFFFF" w:themeFill="background1"/>
            <w:vAlign w:val="center"/>
          </w:tcPr>
          <w:p w14:paraId="0D43945A"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2027</w:t>
            </w:r>
          </w:p>
        </w:tc>
        <w:tc>
          <w:tcPr>
            <w:tcW w:w="372" w:type="pct"/>
            <w:gridSpan w:val="2"/>
            <w:shd w:val="clear" w:color="auto" w:fill="FFFFFF" w:themeFill="background1"/>
            <w:vAlign w:val="center"/>
          </w:tcPr>
          <w:p w14:paraId="749EFAC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2028</w:t>
            </w:r>
          </w:p>
        </w:tc>
        <w:tc>
          <w:tcPr>
            <w:tcW w:w="372" w:type="pct"/>
            <w:shd w:val="clear" w:color="auto" w:fill="FFFFFF" w:themeFill="background1"/>
            <w:vAlign w:val="center"/>
          </w:tcPr>
          <w:p w14:paraId="12070247"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2029</w:t>
            </w:r>
          </w:p>
        </w:tc>
        <w:tc>
          <w:tcPr>
            <w:tcW w:w="372" w:type="pct"/>
            <w:shd w:val="clear" w:color="auto" w:fill="FFFFFF" w:themeFill="background1"/>
            <w:vAlign w:val="center"/>
          </w:tcPr>
          <w:p w14:paraId="31EF25F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2030</w:t>
            </w:r>
          </w:p>
        </w:tc>
      </w:tr>
      <w:tr w:rsidR="00246E68" w:rsidRPr="00246E68" w14:paraId="63238364" w14:textId="77777777" w:rsidTr="00DA6BE3">
        <w:trPr>
          <w:trHeight w:val="160"/>
          <w:jc w:val="center"/>
        </w:trPr>
        <w:tc>
          <w:tcPr>
            <w:tcW w:w="1270" w:type="pct"/>
            <w:vMerge/>
            <w:shd w:val="clear" w:color="auto" w:fill="auto"/>
          </w:tcPr>
          <w:p w14:paraId="29AE36E0"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372" w:type="pct"/>
            <w:shd w:val="clear" w:color="auto" w:fill="FFFFFF" w:themeFill="background1"/>
          </w:tcPr>
          <w:p w14:paraId="1B7BF1EA"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2" w:type="pct"/>
            <w:shd w:val="clear" w:color="auto" w:fill="FFFFFF" w:themeFill="background1"/>
          </w:tcPr>
          <w:p w14:paraId="7CFC5CD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81" w:type="pct"/>
            <w:gridSpan w:val="2"/>
            <w:shd w:val="clear" w:color="auto" w:fill="FFFFFF" w:themeFill="background1"/>
          </w:tcPr>
          <w:p w14:paraId="7883C00F"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2" w:type="pct"/>
            <w:shd w:val="clear" w:color="auto" w:fill="FFFFFF" w:themeFill="background1"/>
          </w:tcPr>
          <w:p w14:paraId="716BF2C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2" w:type="pct"/>
            <w:gridSpan w:val="3"/>
            <w:shd w:val="clear" w:color="auto" w:fill="FFFFFF" w:themeFill="background1"/>
          </w:tcPr>
          <w:p w14:paraId="554D11A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2" w:type="pct"/>
            <w:shd w:val="clear" w:color="auto" w:fill="FFFFFF" w:themeFill="background1"/>
          </w:tcPr>
          <w:p w14:paraId="08AB4CC0"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2" w:type="pct"/>
            <w:shd w:val="clear" w:color="auto" w:fill="FFFFFF" w:themeFill="background1"/>
          </w:tcPr>
          <w:p w14:paraId="2EAC18C0"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2" w:type="pct"/>
            <w:gridSpan w:val="2"/>
            <w:shd w:val="clear" w:color="auto" w:fill="FFFFFF" w:themeFill="background1"/>
          </w:tcPr>
          <w:p w14:paraId="1B3E3DA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2" w:type="pct"/>
            <w:shd w:val="clear" w:color="auto" w:fill="FFFFFF" w:themeFill="background1"/>
          </w:tcPr>
          <w:p w14:paraId="3DD07A4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c>
          <w:tcPr>
            <w:tcW w:w="372" w:type="pct"/>
            <w:shd w:val="clear" w:color="auto" w:fill="FFFFFF" w:themeFill="background1"/>
          </w:tcPr>
          <w:p w14:paraId="01EFAF44"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+10%</w:t>
            </w:r>
          </w:p>
        </w:tc>
      </w:tr>
      <w:tr w:rsidR="00246E68" w:rsidRPr="00246E68" w14:paraId="7AEE08D8" w14:textId="77777777" w:rsidTr="00DA6BE3">
        <w:trPr>
          <w:trHeight w:val="160"/>
          <w:jc w:val="center"/>
        </w:trPr>
        <w:tc>
          <w:tcPr>
            <w:tcW w:w="1270" w:type="pct"/>
            <w:shd w:val="clear" w:color="auto" w:fill="auto"/>
          </w:tcPr>
          <w:p w14:paraId="64747C4E"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Процена успешности</w:t>
            </w:r>
          </w:p>
        </w:tc>
        <w:tc>
          <w:tcPr>
            <w:tcW w:w="3730" w:type="pct"/>
            <w:gridSpan w:val="14"/>
            <w:shd w:val="clear" w:color="auto" w:fill="FFFFFF" w:themeFill="background1"/>
            <w:vAlign w:val="center"/>
          </w:tcPr>
          <w:p w14:paraId="63D1992C" w14:textId="77777777" w:rsidR="00246E68" w:rsidRPr="00246E68" w:rsidRDefault="00246E68" w:rsidP="00246E68">
            <w:pPr>
              <w:suppressAutoHyphens w:val="0"/>
              <w:autoSpaceDN/>
              <w:spacing w:before="50" w:after="50"/>
              <w:ind w:firstLine="0"/>
              <w:jc w:val="left"/>
              <w:textAlignment w:val="auto"/>
              <w:rPr>
                <w:rFonts w:eastAsiaTheme="minorHAnsi"/>
                <w:iCs/>
                <w:kern w:val="0"/>
                <w:sz w:val="20"/>
                <w:szCs w:val="20"/>
                <w:lang w:eastAsia="en-US" w:bidi="ar-SA"/>
              </w:rPr>
            </w:pPr>
            <w:r w:rsidRPr="00246E68">
              <w:rPr>
                <w:rFonts w:eastAsiaTheme="minorHAnsi"/>
                <w:color w:val="000000"/>
                <w:kern w:val="24"/>
                <w:sz w:val="20"/>
                <w:szCs w:val="20"/>
                <w:lang w:eastAsia="en-GB" w:bidi="ar-SA"/>
              </w:rPr>
              <w:t>Без одступања</w:t>
            </w:r>
          </w:p>
        </w:tc>
      </w:tr>
    </w:tbl>
    <w:p w14:paraId="18D63AD6"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p w14:paraId="6D9BDAAA" w14:textId="77777777" w:rsidR="00246E68" w:rsidRPr="00246E68" w:rsidRDefault="00246E68" w:rsidP="00246E68">
      <w:pPr>
        <w:suppressAutoHyphens w:val="0"/>
        <w:autoSpaceDN/>
        <w:spacing w:before="0" w:after="0"/>
        <w:ind w:firstLine="0"/>
        <w:jc w:val="left"/>
        <w:textAlignment w:val="auto"/>
        <w:rPr>
          <w:rFonts w:eastAsiaTheme="minorHAnsi"/>
          <w:kern w:val="0"/>
          <w:sz w:val="20"/>
          <w:szCs w:val="20"/>
          <w:lang w:eastAsia="en-US" w:bidi="ar-SA"/>
        </w:rPr>
      </w:pPr>
    </w:p>
    <w:p w14:paraId="0F208B12" w14:textId="77777777" w:rsidR="00246E68" w:rsidRPr="00246E68" w:rsidRDefault="00246E68" w:rsidP="00246E68">
      <w:pPr>
        <w:suppressAutoHyphens w:val="0"/>
        <w:autoSpaceDN/>
        <w:spacing w:before="0" w:after="0"/>
        <w:ind w:firstLine="0"/>
        <w:jc w:val="left"/>
        <w:textAlignment w:val="auto"/>
        <w:rPr>
          <w:rFonts w:eastAsiaTheme="minorHAnsi"/>
          <w:b/>
          <w:bCs/>
          <w:color w:val="A6A6A6" w:themeColor="background1" w:themeShade="A6"/>
          <w:kern w:val="0"/>
          <w:sz w:val="20"/>
          <w:szCs w:val="20"/>
          <w:lang w:val="en-US" w:eastAsia="en-US" w:bidi="ar-SA"/>
        </w:rPr>
      </w:pPr>
      <w:r w:rsidRPr="00246E68">
        <w:rPr>
          <w:rFonts w:eastAsiaTheme="minorHAnsi"/>
          <w:b/>
          <w:bCs/>
          <w:color w:val="A6A6A6" w:themeColor="background1" w:themeShade="A6"/>
          <w:kern w:val="0"/>
          <w:sz w:val="20"/>
          <w:szCs w:val="20"/>
          <w:lang w:val="en-US" w:eastAsia="en-US" w:bidi="ar-SA"/>
        </w:rPr>
        <w:t>Показатељ 7</w:t>
      </w:r>
    </w:p>
    <w:p w14:paraId="6E83E6D0"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eastAsia="en-US"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9"/>
        <w:gridCol w:w="632"/>
        <w:gridCol w:w="651"/>
        <w:gridCol w:w="532"/>
        <w:gridCol w:w="272"/>
        <w:gridCol w:w="683"/>
        <w:gridCol w:w="637"/>
        <w:gridCol w:w="50"/>
        <w:gridCol w:w="677"/>
        <w:gridCol w:w="684"/>
        <w:gridCol w:w="387"/>
        <w:gridCol w:w="283"/>
        <w:gridCol w:w="677"/>
        <w:gridCol w:w="650"/>
      </w:tblGrid>
      <w:tr w:rsidR="00246E68" w:rsidRPr="00246E68" w14:paraId="4B251949" w14:textId="77777777" w:rsidTr="00DA6BE3">
        <w:trPr>
          <w:jc w:val="center"/>
        </w:trPr>
        <w:tc>
          <w:tcPr>
            <w:tcW w:w="1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3A9905" w14:textId="77777777" w:rsidR="00246E68" w:rsidRPr="00246E68" w:rsidRDefault="00246E68" w:rsidP="00246E68">
            <w:pPr>
              <w:suppressAutoHyphens w:val="0"/>
              <w:autoSpaceDN/>
              <w:spacing w:before="100" w:after="100"/>
              <w:ind w:firstLine="0"/>
              <w:jc w:val="left"/>
              <w:textAlignment w:val="auto"/>
              <w:rPr>
                <w:rFonts w:eastAsiaTheme="minorHAnsi"/>
                <w:b/>
                <w:bCs/>
                <w:color w:val="FFFFFF" w:themeColor="background1"/>
                <w:kern w:val="0"/>
                <w:sz w:val="20"/>
                <w:szCs w:val="20"/>
                <w:lang w:val="en-US" w:eastAsia="en-US" w:bidi="ar-SA"/>
              </w:rPr>
            </w:pPr>
            <w:r w:rsidRPr="00246E68">
              <w:rPr>
                <w:rFonts w:eastAsiaTheme="minorHAnsi"/>
                <w:b/>
                <w:bCs/>
                <w:color w:val="FFFFFF" w:themeColor="background1"/>
                <w:kern w:val="0"/>
                <w:sz w:val="20"/>
                <w:szCs w:val="20"/>
                <w:lang w:val="en-US" w:eastAsia="en-US" w:bidi="ar-SA"/>
              </w:rPr>
              <w:t>Назив показатеља</w:t>
            </w:r>
          </w:p>
        </w:tc>
        <w:tc>
          <w:tcPr>
            <w:tcW w:w="3714" w:type="pct"/>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0D3E8A" w14:textId="77777777" w:rsidR="00246E68" w:rsidRPr="00246E68" w:rsidRDefault="00246E68" w:rsidP="00246E68">
            <w:pPr>
              <w:suppressAutoHyphens w:val="0"/>
              <w:autoSpaceDN/>
              <w:spacing w:before="100" w:after="100"/>
              <w:ind w:firstLine="0"/>
              <w:jc w:val="left"/>
              <w:textAlignment w:val="auto"/>
              <w:rPr>
                <w:rFonts w:eastAsiaTheme="minorHAnsi"/>
                <w:b/>
                <w:iCs/>
                <w:color w:val="FFFFFF" w:themeColor="background1"/>
                <w:kern w:val="0"/>
                <w:sz w:val="20"/>
                <w:szCs w:val="20"/>
                <w:lang w:val="en-US" w:eastAsia="en-US" w:bidi="ar-SA"/>
              </w:rPr>
            </w:pPr>
            <w:r w:rsidRPr="00246E68">
              <w:rPr>
                <w:rFonts w:eastAsiaTheme="minorHAnsi"/>
                <w:b/>
                <w:bCs/>
                <w:color w:val="000000"/>
                <w:kern w:val="0"/>
                <w:sz w:val="20"/>
                <w:szCs w:val="20"/>
                <w:lang w:eastAsia="en-US" w:bidi="ar-SA"/>
              </w:rPr>
              <w:t>Удео грађана који су информисани о резултатима реформе јавне управе</w:t>
            </w:r>
          </w:p>
        </w:tc>
      </w:tr>
      <w:tr w:rsidR="00246E68" w:rsidRPr="00246E68" w14:paraId="630F5814" w14:textId="77777777" w:rsidTr="00DA6BE3">
        <w:trPr>
          <w:jc w:val="center"/>
        </w:trPr>
        <w:tc>
          <w:tcPr>
            <w:tcW w:w="1286" w:type="pct"/>
            <w:tcBorders>
              <w:top w:val="single" w:sz="4" w:space="0" w:color="auto"/>
              <w:left w:val="single" w:sz="4" w:space="0" w:color="auto"/>
              <w:bottom w:val="single" w:sz="4" w:space="0" w:color="auto"/>
              <w:right w:val="single" w:sz="4" w:space="0" w:color="auto"/>
            </w:tcBorders>
            <w:shd w:val="clear" w:color="auto" w:fill="auto"/>
          </w:tcPr>
          <w:p w14:paraId="6947E799" w14:textId="77777777" w:rsidR="00246E68" w:rsidRPr="00065AE4" w:rsidRDefault="00246E68" w:rsidP="00246E68">
            <w:pPr>
              <w:suppressAutoHyphens w:val="0"/>
              <w:autoSpaceDN/>
              <w:spacing w:before="100" w:after="10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Одговарајући општи, посебни циљ или мера</w:t>
            </w:r>
          </w:p>
        </w:tc>
        <w:tc>
          <w:tcPr>
            <w:tcW w:w="3714" w:type="pct"/>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068CCFDF" w14:textId="77777777" w:rsidR="00246E68" w:rsidRPr="00065AE4" w:rsidRDefault="00246E68" w:rsidP="00246E68">
            <w:pPr>
              <w:suppressAutoHyphens w:val="0"/>
              <w:autoSpaceDN/>
              <w:spacing w:before="100" w:after="100"/>
              <w:ind w:firstLine="0"/>
              <w:jc w:val="left"/>
              <w:textAlignment w:val="auto"/>
              <w:rPr>
                <w:rFonts w:eastAsiaTheme="minorHAnsi"/>
                <w:b/>
                <w:iCs/>
                <w:color w:val="000000" w:themeColor="text1"/>
                <w:kern w:val="0"/>
                <w:sz w:val="20"/>
                <w:szCs w:val="20"/>
                <w:lang w:eastAsia="en-US" w:bidi="ar-SA"/>
              </w:rPr>
            </w:pPr>
            <w:r w:rsidRPr="00246E68">
              <w:rPr>
                <w:rFonts w:eastAsiaTheme="minorHAnsi"/>
                <w:color w:val="000000"/>
                <w:kern w:val="24"/>
                <w:sz w:val="20"/>
                <w:szCs w:val="20"/>
                <w:lang w:eastAsia="en-US" w:bidi="ar-SA"/>
              </w:rPr>
              <w:t>Meра 5: Повећање видљивости и комуницирања процеса РЈУ и постигнутих резултата</w:t>
            </w:r>
          </w:p>
        </w:tc>
      </w:tr>
      <w:tr w:rsidR="00246E68" w:rsidRPr="00246E68" w14:paraId="17092939" w14:textId="77777777" w:rsidTr="00DA6BE3">
        <w:trPr>
          <w:jc w:val="center"/>
        </w:trPr>
        <w:tc>
          <w:tcPr>
            <w:tcW w:w="1286" w:type="pct"/>
            <w:shd w:val="clear" w:color="auto" w:fill="auto"/>
          </w:tcPr>
          <w:p w14:paraId="5EB2EEB3"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24"/>
                <w:sz w:val="20"/>
                <w:szCs w:val="20"/>
                <w:lang w:val="en-US" w:eastAsia="en-US" w:bidi="ar-SA"/>
              </w:rPr>
              <w:t>Тип и ниво показатеља</w:t>
            </w:r>
          </w:p>
        </w:tc>
        <w:tc>
          <w:tcPr>
            <w:tcW w:w="1857" w:type="pct"/>
            <w:gridSpan w:val="6"/>
            <w:shd w:val="clear" w:color="auto" w:fill="FFFFFF" w:themeFill="background1"/>
          </w:tcPr>
          <w:p w14:paraId="117C3766"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sr-Latn-RS" w:eastAsia="en-US" w:bidi="ar-SA"/>
              </w:rPr>
              <w:t>K</w:t>
            </w:r>
            <w:r w:rsidRPr="00246E68">
              <w:rPr>
                <w:rFonts w:eastAsiaTheme="minorHAnsi"/>
                <w:bCs/>
                <w:iCs/>
                <w:kern w:val="24"/>
                <w:sz w:val="20"/>
                <w:szCs w:val="20"/>
                <w:lang w:eastAsia="en-US" w:bidi="ar-SA"/>
              </w:rPr>
              <w:t>вантитативни</w:t>
            </w:r>
          </w:p>
        </w:tc>
        <w:tc>
          <w:tcPr>
            <w:tcW w:w="1857" w:type="pct"/>
            <w:gridSpan w:val="7"/>
            <w:shd w:val="clear" w:color="auto" w:fill="FFFFFF" w:themeFill="background1"/>
          </w:tcPr>
          <w:p w14:paraId="65660CE2" w14:textId="77777777" w:rsidR="00246E68" w:rsidRPr="00246E68" w:rsidRDefault="00246E68" w:rsidP="00246E68">
            <w:pPr>
              <w:suppressAutoHyphens w:val="0"/>
              <w:autoSpaceDN/>
              <w:spacing w:before="0" w:after="0"/>
              <w:ind w:firstLine="0"/>
              <w:jc w:val="left"/>
              <w:textAlignment w:val="auto"/>
              <w:rPr>
                <w:rFonts w:eastAsiaTheme="minorHAnsi"/>
                <w:bCs/>
                <w:iCs/>
                <w:kern w:val="24"/>
                <w:sz w:val="20"/>
                <w:szCs w:val="20"/>
                <w:lang w:eastAsia="en-US" w:bidi="ar-SA"/>
              </w:rPr>
            </w:pPr>
            <w:r w:rsidRPr="00246E68">
              <w:rPr>
                <w:rFonts w:eastAsiaTheme="minorHAnsi"/>
                <w:bCs/>
                <w:iCs/>
                <w:kern w:val="24"/>
                <w:sz w:val="20"/>
                <w:szCs w:val="20"/>
                <w:lang w:val="en-US" w:eastAsia="en-US" w:bidi="ar-SA"/>
              </w:rPr>
              <w:t xml:space="preserve">Показатељ </w:t>
            </w:r>
            <w:r w:rsidRPr="00246E68">
              <w:rPr>
                <w:rFonts w:eastAsiaTheme="minorHAnsi"/>
                <w:bCs/>
                <w:iCs/>
                <w:kern w:val="24"/>
                <w:sz w:val="20"/>
                <w:szCs w:val="20"/>
                <w:lang w:eastAsia="en-US" w:bidi="ar-SA"/>
              </w:rPr>
              <w:t>резултата</w:t>
            </w:r>
          </w:p>
        </w:tc>
      </w:tr>
      <w:tr w:rsidR="00246E68" w:rsidRPr="00246E68" w14:paraId="7ED27A3E" w14:textId="77777777" w:rsidTr="00DA6BE3">
        <w:trPr>
          <w:trHeight w:val="373"/>
          <w:jc w:val="center"/>
        </w:trPr>
        <w:tc>
          <w:tcPr>
            <w:tcW w:w="1286" w:type="pct"/>
            <w:shd w:val="clear" w:color="auto" w:fill="auto"/>
          </w:tcPr>
          <w:p w14:paraId="557F317E" w14:textId="77777777" w:rsidR="00246E68" w:rsidRPr="00246E68" w:rsidRDefault="00246E68" w:rsidP="00246E68">
            <w:pPr>
              <w:suppressAutoHyphens w:val="0"/>
              <w:autoSpaceDN/>
              <w:spacing w:before="50" w:after="50"/>
              <w:ind w:firstLine="0"/>
              <w:jc w:val="left"/>
              <w:textAlignment w:val="auto"/>
              <w:rPr>
                <w:rFonts w:eastAsiaTheme="minorHAnsi"/>
                <w:b/>
                <w:kern w:val="24"/>
                <w:sz w:val="20"/>
                <w:szCs w:val="20"/>
                <w:lang w:val="en-US" w:eastAsia="en-US" w:bidi="ar-SA"/>
              </w:rPr>
            </w:pPr>
            <w:r w:rsidRPr="00246E68">
              <w:rPr>
                <w:rFonts w:eastAsiaTheme="minorHAnsi"/>
                <w:b/>
                <w:kern w:val="24"/>
                <w:sz w:val="20"/>
                <w:szCs w:val="20"/>
                <w:lang w:val="en-US" w:eastAsia="en-US" w:bidi="ar-SA"/>
              </w:rPr>
              <w:t>Јединица мере и природа</w:t>
            </w:r>
          </w:p>
        </w:tc>
        <w:tc>
          <w:tcPr>
            <w:tcW w:w="1857" w:type="pct"/>
            <w:gridSpan w:val="6"/>
            <w:shd w:val="clear" w:color="auto" w:fill="FFFFFF" w:themeFill="background1"/>
          </w:tcPr>
          <w:p w14:paraId="0B9A9B0C" w14:textId="77777777" w:rsidR="00246E68" w:rsidRPr="00246E68" w:rsidRDefault="00246E68" w:rsidP="00246E68">
            <w:pPr>
              <w:tabs>
                <w:tab w:val="left" w:pos="152"/>
              </w:tabs>
              <w:suppressAutoHyphens w:val="0"/>
              <w:autoSpaceDN/>
              <w:spacing w:before="50" w:after="50"/>
              <w:ind w:firstLine="0"/>
              <w:jc w:val="left"/>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w:t>
            </w:r>
          </w:p>
        </w:tc>
        <w:tc>
          <w:tcPr>
            <w:tcW w:w="1857" w:type="pct"/>
            <w:gridSpan w:val="7"/>
            <w:shd w:val="clear" w:color="auto" w:fill="FFFFFF" w:themeFill="background1"/>
          </w:tcPr>
          <w:p w14:paraId="453AE0E5" w14:textId="77777777" w:rsidR="00246E68" w:rsidRPr="00246E68" w:rsidRDefault="00246E68" w:rsidP="00246E68">
            <w:pPr>
              <w:suppressAutoHyphens w:val="0"/>
              <w:autoSpaceDN/>
              <w:spacing w:before="0" w:after="0"/>
              <w:ind w:firstLine="0"/>
              <w:jc w:val="left"/>
              <w:textAlignment w:val="auto"/>
              <w:rPr>
                <w:rFonts w:eastAsia="Arial"/>
                <w:iCs/>
                <w:color w:val="000000" w:themeColor="dark1"/>
                <w:spacing w:val="-1"/>
                <w:kern w:val="24"/>
                <w:sz w:val="20"/>
                <w:szCs w:val="20"/>
                <w:lang w:val="en-US" w:eastAsia="en-US" w:bidi="ar-SA"/>
              </w:rPr>
            </w:pPr>
            <w:r w:rsidRPr="00246E68">
              <w:rPr>
                <w:rFonts w:eastAsia="Arial"/>
                <w:iCs/>
                <w:color w:val="000000" w:themeColor="dark1"/>
                <w:spacing w:val="-1"/>
                <w:kern w:val="24"/>
                <w:sz w:val="20"/>
                <w:szCs w:val="20"/>
                <w:lang w:val="en-US" w:eastAsia="en-US" w:bidi="ar-SA"/>
              </w:rPr>
              <w:t>Пожељна је већа вредност</w:t>
            </w:r>
          </w:p>
        </w:tc>
      </w:tr>
      <w:tr w:rsidR="00246E68" w:rsidRPr="00246E68" w14:paraId="07350AAB" w14:textId="77777777" w:rsidTr="00DA6BE3">
        <w:trPr>
          <w:jc w:val="center"/>
        </w:trPr>
        <w:tc>
          <w:tcPr>
            <w:tcW w:w="1286" w:type="pct"/>
            <w:shd w:val="clear" w:color="auto" w:fill="auto"/>
          </w:tcPr>
          <w:p w14:paraId="6BA8A08B" w14:textId="77777777" w:rsidR="00246E68" w:rsidRPr="00065AE4" w:rsidRDefault="00246E68" w:rsidP="00246E68">
            <w:pPr>
              <w:suppressAutoHyphens w:val="0"/>
              <w:autoSpaceDN/>
              <w:spacing w:before="50" w:after="50"/>
              <w:ind w:firstLine="0"/>
              <w:jc w:val="left"/>
              <w:textAlignment w:val="auto"/>
              <w:rPr>
                <w:rFonts w:eastAsiaTheme="minorHAnsi"/>
                <w:b/>
                <w:bCs/>
                <w:kern w:val="0"/>
                <w:sz w:val="20"/>
                <w:szCs w:val="20"/>
                <w:lang w:eastAsia="en-US" w:bidi="ar-SA"/>
              </w:rPr>
            </w:pPr>
            <w:r w:rsidRPr="00065AE4">
              <w:rPr>
                <w:rFonts w:eastAsiaTheme="minorHAnsi"/>
                <w:b/>
                <w:bCs/>
                <w:kern w:val="0"/>
                <w:sz w:val="20"/>
                <w:szCs w:val="20"/>
                <w:lang w:eastAsia="en-US" w:bidi="ar-SA"/>
              </w:rPr>
              <w:t>Извор података за праћење показатеља учинка</w:t>
            </w:r>
          </w:p>
        </w:tc>
        <w:tc>
          <w:tcPr>
            <w:tcW w:w="3714" w:type="pct"/>
            <w:gridSpan w:val="13"/>
            <w:shd w:val="clear" w:color="auto" w:fill="FFFFFF" w:themeFill="background1"/>
          </w:tcPr>
          <w:p w14:paraId="3F23F6CC"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Подаци ће бити прикупљани  на националном нивоу.</w:t>
            </w:r>
          </w:p>
          <w:p w14:paraId="61BFC527" w14:textId="77777777" w:rsidR="00246E68" w:rsidRPr="00246E68" w:rsidRDefault="00246E68" w:rsidP="00246E68">
            <w:pPr>
              <w:suppressAutoHyphens w:val="0"/>
              <w:autoSpaceDN/>
              <w:spacing w:before="0" w:after="0"/>
              <w:ind w:firstLine="0"/>
              <w:textAlignment w:val="auto"/>
              <w:rPr>
                <w:rFonts w:eastAsiaTheme="minorHAnsi"/>
                <w:color w:val="000000"/>
                <w:kern w:val="24"/>
                <w:sz w:val="20"/>
                <w:szCs w:val="20"/>
                <w:lang w:eastAsia="en-GB" w:bidi="ar-SA"/>
              </w:rPr>
            </w:pPr>
            <w:r w:rsidRPr="00246E68">
              <w:rPr>
                <w:rFonts w:eastAsiaTheme="minorHAnsi"/>
                <w:color w:val="000000"/>
                <w:kern w:val="24"/>
                <w:sz w:val="20"/>
                <w:szCs w:val="20"/>
                <w:lang w:eastAsia="en-GB" w:bidi="ar-SA"/>
              </w:rPr>
              <w:t xml:space="preserve">Извори: </w:t>
            </w:r>
          </w:p>
          <w:p w14:paraId="14FB493B" w14:textId="77777777" w:rsidR="00246E68" w:rsidRPr="00246E68" w:rsidRDefault="00246E68" w:rsidP="00246E68">
            <w:pPr>
              <w:suppressAutoHyphens w:val="0"/>
              <w:autoSpaceDN/>
              <w:spacing w:before="0" w:after="134"/>
              <w:ind w:firstLine="0"/>
              <w:jc w:val="left"/>
              <w:textAlignment w:val="auto"/>
              <w:rPr>
                <w:rFonts w:eastAsiaTheme="minorHAnsi"/>
                <w:kern w:val="0"/>
                <w:sz w:val="20"/>
                <w:szCs w:val="20"/>
                <w:lang w:eastAsia="en-US" w:bidi="ar-SA"/>
              </w:rPr>
            </w:pPr>
            <w:r w:rsidRPr="00246E68">
              <w:rPr>
                <w:rFonts w:eastAsiaTheme="minorHAnsi"/>
                <w:color w:val="000000"/>
                <w:kern w:val="0"/>
                <w:sz w:val="20"/>
                <w:szCs w:val="20"/>
                <w:lang w:eastAsia="en-GB" w:bidi="ar-SA"/>
              </w:rPr>
              <w:t>Извештај о информисаности кључних актера и јавности о процесу и резултатима РЈУ</w:t>
            </w:r>
          </w:p>
        </w:tc>
      </w:tr>
      <w:tr w:rsidR="00246E68" w:rsidRPr="00246E68" w14:paraId="10D1A4F6" w14:textId="77777777" w:rsidTr="00DA6BE3">
        <w:trPr>
          <w:jc w:val="center"/>
        </w:trPr>
        <w:tc>
          <w:tcPr>
            <w:tcW w:w="1286" w:type="pct"/>
            <w:shd w:val="clear" w:color="auto" w:fill="auto"/>
          </w:tcPr>
          <w:p w14:paraId="18E6F85F"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Назив носиоца прикупљања података</w:t>
            </w:r>
          </w:p>
        </w:tc>
        <w:tc>
          <w:tcPr>
            <w:tcW w:w="3714" w:type="pct"/>
            <w:gridSpan w:val="13"/>
            <w:shd w:val="clear" w:color="auto" w:fill="FFFFFF" w:themeFill="background1"/>
          </w:tcPr>
          <w:p w14:paraId="6FD31B77"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kern w:val="0"/>
                <w:sz w:val="20"/>
                <w:szCs w:val="20"/>
                <w:lang w:val="en-US" w:eastAsia="en-US" w:bidi="ar-SA"/>
              </w:rPr>
              <w:t xml:space="preserve">МДУЛС </w:t>
            </w:r>
          </w:p>
        </w:tc>
      </w:tr>
      <w:tr w:rsidR="00246E68" w:rsidRPr="00246E68" w14:paraId="21DC2EF9" w14:textId="77777777" w:rsidTr="00DA6BE3">
        <w:trPr>
          <w:jc w:val="center"/>
        </w:trPr>
        <w:tc>
          <w:tcPr>
            <w:tcW w:w="1286" w:type="pct"/>
            <w:shd w:val="clear" w:color="auto" w:fill="auto"/>
          </w:tcPr>
          <w:p w14:paraId="55B2273D"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Учесталост прикупљања података</w:t>
            </w:r>
          </w:p>
        </w:tc>
        <w:tc>
          <w:tcPr>
            <w:tcW w:w="3714" w:type="pct"/>
            <w:gridSpan w:val="13"/>
            <w:shd w:val="clear" w:color="auto" w:fill="FFFFFF" w:themeFill="background1"/>
          </w:tcPr>
          <w:p w14:paraId="2E984001"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en-US" w:eastAsia="en-US" w:bidi="ar-SA"/>
              </w:rPr>
            </w:pPr>
            <w:r w:rsidRPr="00246E68">
              <w:rPr>
                <w:rFonts w:eastAsiaTheme="minorHAnsi"/>
                <w:color w:val="000000"/>
                <w:kern w:val="24"/>
                <w:sz w:val="20"/>
                <w:szCs w:val="20"/>
                <w:lang w:eastAsia="en-GB" w:bidi="ar-SA"/>
              </w:rPr>
              <w:t>Једном годишње, у првом кварталу текуће за претходну календарску годину</w:t>
            </w:r>
          </w:p>
        </w:tc>
      </w:tr>
      <w:tr w:rsidR="00246E68" w:rsidRPr="00246E68" w14:paraId="24E1C9BF" w14:textId="77777777" w:rsidTr="00DA6BE3">
        <w:trPr>
          <w:trHeight w:val="274"/>
          <w:jc w:val="center"/>
        </w:trPr>
        <w:tc>
          <w:tcPr>
            <w:tcW w:w="1286" w:type="pct"/>
            <w:shd w:val="clear" w:color="auto" w:fill="auto"/>
          </w:tcPr>
          <w:p w14:paraId="1702BA4F" w14:textId="77777777" w:rsidR="00246E68" w:rsidRPr="00065AE4" w:rsidRDefault="00246E68" w:rsidP="00246E68">
            <w:pPr>
              <w:suppressAutoHyphens w:val="0"/>
              <w:autoSpaceDN/>
              <w:spacing w:before="50" w:after="50"/>
              <w:ind w:firstLine="0"/>
              <w:jc w:val="left"/>
              <w:textAlignment w:val="auto"/>
              <w:rPr>
                <w:rFonts w:eastAsiaTheme="minorHAnsi"/>
                <w:b/>
                <w:kern w:val="0"/>
                <w:sz w:val="20"/>
                <w:szCs w:val="20"/>
                <w:lang w:eastAsia="en-US" w:bidi="ar-SA"/>
              </w:rPr>
            </w:pPr>
            <w:r w:rsidRPr="00065AE4">
              <w:rPr>
                <w:rFonts w:eastAsiaTheme="minorHAnsi"/>
                <w:b/>
                <w:kern w:val="0"/>
                <w:sz w:val="20"/>
                <w:szCs w:val="20"/>
                <w:lang w:eastAsia="en-US" w:bidi="ar-SA"/>
              </w:rPr>
              <w:t>Кратак опис показатеља и методологије израчунавања</w:t>
            </w:r>
          </w:p>
          <w:p w14:paraId="5EB236D9"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kern w:val="0"/>
                <w:sz w:val="20"/>
                <w:szCs w:val="20"/>
                <w:lang w:val="en-US" w:eastAsia="en-US" w:bidi="ar-SA"/>
              </w:rPr>
              <w:t>(формуле/ једначине)</w:t>
            </w:r>
          </w:p>
        </w:tc>
        <w:tc>
          <w:tcPr>
            <w:tcW w:w="3714" w:type="pct"/>
            <w:gridSpan w:val="13"/>
            <w:shd w:val="clear" w:color="auto" w:fill="FFFFFF" w:themeFill="background1"/>
          </w:tcPr>
          <w:p w14:paraId="75EF0DFA" w14:textId="77777777" w:rsidR="00246E68" w:rsidRPr="00246E68" w:rsidRDefault="00246E68" w:rsidP="00246E68">
            <w:pPr>
              <w:suppressAutoHyphens w:val="0"/>
              <w:autoSpaceDN/>
              <w:spacing w:before="60" w:beforeAutospacing="1" w:afterAutospacing="1"/>
              <w:ind w:firstLine="0"/>
              <w:textAlignment w:val="auto"/>
              <w:rPr>
                <w:rFonts w:eastAsiaTheme="minorHAnsi"/>
                <w:color w:val="000000" w:themeColor="text1"/>
                <w:kern w:val="24"/>
                <w:sz w:val="20"/>
                <w:szCs w:val="20"/>
                <w:lang w:eastAsia="en-GB" w:bidi="ar-SA"/>
              </w:rPr>
            </w:pPr>
            <w:r w:rsidRPr="00246E68">
              <w:rPr>
                <w:rFonts w:eastAsiaTheme="minorHAnsi"/>
                <w:color w:val="000000" w:themeColor="text1"/>
                <w:kern w:val="24"/>
                <w:sz w:val="20"/>
                <w:szCs w:val="20"/>
                <w:lang w:eastAsia="en-GB" w:bidi="ar-SA"/>
              </w:rPr>
              <w:t>Вредност показатеља ће се утврдити на основу резултата истраживања јавног мњења, које ће се спровести у складу са посебно развијеним сетом питања којима ће се испитивати степен информисаности и свести грађана о РЈУ, на репрезентативном узорку.</w:t>
            </w:r>
          </w:p>
          <w:p w14:paraId="6EF82648" w14:textId="77777777" w:rsidR="00246E68" w:rsidRPr="00246E68" w:rsidRDefault="00246E68" w:rsidP="00246E68">
            <w:pPr>
              <w:suppressAutoHyphens w:val="0"/>
              <w:autoSpaceDN/>
              <w:spacing w:before="60" w:beforeAutospacing="1" w:afterAutospacing="1"/>
              <w:ind w:firstLine="0"/>
              <w:textAlignment w:val="auto"/>
              <w:rPr>
                <w:rFonts w:eastAsiaTheme="minorHAnsi"/>
                <w:color w:val="000000" w:themeColor="text1"/>
                <w:kern w:val="24"/>
                <w:sz w:val="20"/>
                <w:szCs w:val="20"/>
                <w:highlight w:val="yellow"/>
                <w:lang w:val="sr-Latn-RS" w:eastAsia="en-GB" w:bidi="ar-SA"/>
              </w:rPr>
            </w:pPr>
            <w:r w:rsidRPr="00246E68">
              <w:rPr>
                <w:rFonts w:eastAsiaTheme="minorHAnsi"/>
                <w:color w:val="000000" w:themeColor="text1"/>
                <w:kern w:val="24"/>
                <w:sz w:val="20"/>
                <w:szCs w:val="20"/>
                <w:lang w:eastAsia="en-GB" w:bidi="ar-SA"/>
              </w:rPr>
              <w:t xml:space="preserve">Питање из упитника које ће се пратити и чији резултат ће се узети као вредност овог показатеља је ”Да ли се чули за РЈУ?” Вредност показатеља ће се одредити према томе колико испитаника је на поменуто питање одговорило са: ”Јесам и знам шта то значи”. </w:t>
            </w:r>
          </w:p>
          <w:p w14:paraId="40E178BD" w14:textId="77777777" w:rsidR="00246E68" w:rsidRPr="00246E68" w:rsidRDefault="00246E68" w:rsidP="00246E68">
            <w:pPr>
              <w:suppressAutoHyphens w:val="0"/>
              <w:autoSpaceDN/>
              <w:spacing w:before="50" w:after="50"/>
              <w:ind w:firstLine="0"/>
              <w:jc w:val="left"/>
              <w:textAlignment w:val="auto"/>
              <w:rPr>
                <w:rFonts w:eastAsiaTheme="minorHAnsi"/>
                <w:kern w:val="0"/>
                <w:sz w:val="20"/>
                <w:szCs w:val="20"/>
                <w:lang w:val="sr-Latn-RS" w:eastAsia="en-US" w:bidi="ar-SA"/>
              </w:rPr>
            </w:pPr>
            <w:r w:rsidRPr="00246E68">
              <w:rPr>
                <w:rFonts w:eastAsiaTheme="minorHAnsi"/>
                <w:color w:val="000000" w:themeColor="text1"/>
                <w:kern w:val="24"/>
                <w:sz w:val="20"/>
                <w:szCs w:val="20"/>
                <w:lang w:eastAsia="en-GB" w:bidi="ar-SA"/>
              </w:rPr>
              <w:t>Формула: Број испитаника који су на питање ”Да ли се чули за РЈУ?” одговорили ”Јесам и знам шта то значи.” / укупан број испитаника * 100</w:t>
            </w:r>
          </w:p>
        </w:tc>
      </w:tr>
      <w:tr w:rsidR="00246E68" w:rsidRPr="00246E68" w14:paraId="32B01F07" w14:textId="77777777" w:rsidTr="00DA6BE3">
        <w:trPr>
          <w:trHeight w:val="265"/>
          <w:jc w:val="center"/>
        </w:trPr>
        <w:tc>
          <w:tcPr>
            <w:tcW w:w="1286" w:type="pct"/>
            <w:vMerge w:val="restart"/>
            <w:shd w:val="clear" w:color="auto" w:fill="auto"/>
          </w:tcPr>
          <w:p w14:paraId="05056B1F" w14:textId="77777777" w:rsidR="00246E68" w:rsidRPr="00246E68" w:rsidRDefault="00246E68" w:rsidP="00246E68">
            <w:pPr>
              <w:suppressAutoHyphens w:val="0"/>
              <w:autoSpaceDN/>
              <w:spacing w:before="50" w:after="0"/>
              <w:ind w:firstLine="0"/>
              <w:jc w:val="left"/>
              <w:textAlignment w:val="auto"/>
              <w:rPr>
                <w:rFonts w:eastAsiaTheme="minorHAnsi"/>
                <w:b/>
                <w:bCs/>
                <w:kern w:val="0"/>
                <w:sz w:val="20"/>
                <w:szCs w:val="20"/>
                <w:lang w:val="sr-Latn-RS" w:eastAsia="en-US" w:bidi="ar-SA"/>
              </w:rPr>
            </w:pPr>
            <w:r w:rsidRPr="00065AE4">
              <w:rPr>
                <w:rFonts w:eastAsiaTheme="minorHAnsi"/>
                <w:b/>
                <w:bCs/>
                <w:kern w:val="0"/>
                <w:sz w:val="20"/>
                <w:szCs w:val="20"/>
                <w:lang w:eastAsia="en-US" w:bidi="ar-SA"/>
              </w:rPr>
              <w:t>Подаци</w:t>
            </w:r>
            <w:r w:rsidRPr="00246E68">
              <w:rPr>
                <w:rFonts w:eastAsiaTheme="minorHAnsi"/>
                <w:b/>
                <w:bCs/>
                <w:kern w:val="0"/>
                <w:sz w:val="20"/>
                <w:szCs w:val="20"/>
                <w:lang w:val="sr-Latn-RS" w:eastAsia="en-US" w:bidi="ar-SA"/>
              </w:rPr>
              <w:t xml:space="preserve"> </w:t>
            </w:r>
            <w:r w:rsidRPr="00065AE4">
              <w:rPr>
                <w:rFonts w:eastAsiaTheme="minorHAnsi"/>
                <w:b/>
                <w:bCs/>
                <w:kern w:val="0"/>
                <w:sz w:val="20"/>
                <w:szCs w:val="20"/>
                <w:lang w:eastAsia="en-US" w:bidi="ar-SA"/>
              </w:rPr>
              <w:t>о</w:t>
            </w:r>
            <w:r w:rsidRPr="00246E68">
              <w:rPr>
                <w:rFonts w:eastAsiaTheme="minorHAnsi"/>
                <w:b/>
                <w:bCs/>
                <w:kern w:val="0"/>
                <w:sz w:val="20"/>
                <w:szCs w:val="20"/>
                <w:lang w:val="sr-Latn-RS" w:eastAsia="en-US" w:bidi="ar-SA"/>
              </w:rPr>
              <w:t xml:space="preserve"> </w:t>
            </w:r>
            <w:r w:rsidRPr="00065AE4">
              <w:rPr>
                <w:rFonts w:eastAsiaTheme="minorHAnsi"/>
                <w:b/>
                <w:bCs/>
                <w:kern w:val="0"/>
                <w:sz w:val="20"/>
                <w:szCs w:val="20"/>
                <w:lang w:eastAsia="en-US" w:bidi="ar-SA"/>
              </w:rPr>
              <w:t>полазној</w:t>
            </w:r>
            <w:r w:rsidRPr="00246E68">
              <w:rPr>
                <w:rFonts w:eastAsiaTheme="minorHAnsi"/>
                <w:b/>
                <w:bCs/>
                <w:kern w:val="0"/>
                <w:sz w:val="20"/>
                <w:szCs w:val="20"/>
                <w:lang w:val="sr-Latn-RS" w:eastAsia="en-US" w:bidi="ar-SA"/>
              </w:rPr>
              <w:t xml:space="preserve"> </w:t>
            </w:r>
            <w:r w:rsidRPr="00065AE4">
              <w:rPr>
                <w:rFonts w:eastAsiaTheme="minorHAnsi"/>
                <w:b/>
                <w:bCs/>
                <w:kern w:val="0"/>
                <w:sz w:val="20"/>
                <w:szCs w:val="20"/>
                <w:lang w:eastAsia="en-US" w:bidi="ar-SA"/>
              </w:rPr>
              <w:t>вредности</w:t>
            </w:r>
            <w:r w:rsidRPr="00246E68">
              <w:rPr>
                <w:rFonts w:eastAsiaTheme="minorHAnsi"/>
                <w:b/>
                <w:bCs/>
                <w:kern w:val="0"/>
                <w:sz w:val="20"/>
                <w:szCs w:val="20"/>
                <w:lang w:val="sr-Latn-RS" w:eastAsia="en-US" w:bidi="ar-SA"/>
              </w:rPr>
              <w:t xml:space="preserve"> </w:t>
            </w:r>
            <w:r w:rsidRPr="00065AE4">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065AE4">
              <w:rPr>
                <w:rFonts w:eastAsiaTheme="minorHAnsi"/>
                <w:b/>
                <w:bCs/>
                <w:kern w:val="0"/>
                <w:sz w:val="20"/>
                <w:szCs w:val="20"/>
                <w:lang w:eastAsia="en-US" w:bidi="ar-SA"/>
              </w:rPr>
              <w:t>години</w:t>
            </w:r>
            <w:r w:rsidRPr="00246E68">
              <w:rPr>
                <w:rFonts w:eastAsiaTheme="minorHAnsi"/>
                <w:b/>
                <w:bCs/>
                <w:kern w:val="0"/>
                <w:sz w:val="20"/>
                <w:szCs w:val="20"/>
                <w:lang w:val="sr-Latn-RS" w:eastAsia="en-US" w:bidi="ar-SA"/>
              </w:rPr>
              <w:t xml:space="preserve"> </w:t>
            </w:r>
            <w:r w:rsidRPr="00065AE4">
              <w:rPr>
                <w:rFonts w:eastAsiaTheme="minorHAnsi"/>
                <w:b/>
                <w:bCs/>
                <w:kern w:val="0"/>
                <w:sz w:val="20"/>
                <w:szCs w:val="20"/>
                <w:lang w:eastAsia="en-US" w:bidi="ar-SA"/>
              </w:rPr>
              <w:t>кад</w:t>
            </w:r>
            <w:r w:rsidRPr="00246E68">
              <w:rPr>
                <w:rFonts w:eastAsiaTheme="minorHAnsi"/>
                <w:b/>
                <w:bCs/>
                <w:kern w:val="0"/>
                <w:sz w:val="20"/>
                <w:szCs w:val="20"/>
                <w:lang w:val="sr-Latn-RS" w:eastAsia="en-US" w:bidi="ar-SA"/>
              </w:rPr>
              <w:t xml:space="preserve"> </w:t>
            </w:r>
            <w:r w:rsidRPr="00065AE4">
              <w:rPr>
                <w:rFonts w:eastAsiaTheme="minorHAnsi"/>
                <w:b/>
                <w:bCs/>
                <w:kern w:val="0"/>
                <w:sz w:val="20"/>
                <w:szCs w:val="20"/>
                <w:lang w:eastAsia="en-US" w:bidi="ar-SA"/>
              </w:rPr>
              <w:t>је</w:t>
            </w:r>
            <w:r w:rsidRPr="00246E68">
              <w:rPr>
                <w:rFonts w:eastAsiaTheme="minorHAnsi"/>
                <w:b/>
                <w:bCs/>
                <w:kern w:val="0"/>
                <w:sz w:val="20"/>
                <w:szCs w:val="20"/>
                <w:lang w:val="sr-Latn-RS" w:eastAsia="en-US" w:bidi="ar-SA"/>
              </w:rPr>
              <w:t xml:space="preserve"> </w:t>
            </w:r>
            <w:r w:rsidRPr="00065AE4">
              <w:rPr>
                <w:rFonts w:eastAsiaTheme="minorHAnsi"/>
                <w:b/>
                <w:bCs/>
                <w:kern w:val="0"/>
                <w:sz w:val="20"/>
                <w:szCs w:val="20"/>
                <w:lang w:eastAsia="en-US" w:bidi="ar-SA"/>
              </w:rPr>
              <w:t>измерена</w:t>
            </w:r>
            <w:r w:rsidRPr="00246E68">
              <w:rPr>
                <w:rFonts w:eastAsiaTheme="minorHAnsi"/>
                <w:b/>
                <w:bCs/>
                <w:kern w:val="0"/>
                <w:sz w:val="20"/>
                <w:szCs w:val="20"/>
                <w:lang w:val="sr-Latn-RS" w:eastAsia="en-US" w:bidi="ar-SA"/>
              </w:rPr>
              <w:t xml:space="preserve">, </w:t>
            </w:r>
            <w:r w:rsidRPr="00065AE4">
              <w:rPr>
                <w:rFonts w:eastAsiaTheme="minorHAnsi"/>
                <w:b/>
                <w:bCs/>
                <w:kern w:val="0"/>
                <w:sz w:val="20"/>
                <w:szCs w:val="20"/>
                <w:lang w:eastAsia="en-US" w:bidi="ar-SA"/>
              </w:rPr>
              <w:t>као</w:t>
            </w:r>
            <w:r w:rsidRPr="00246E68">
              <w:rPr>
                <w:rFonts w:eastAsiaTheme="minorHAnsi"/>
                <w:b/>
                <w:bCs/>
                <w:kern w:val="0"/>
                <w:sz w:val="20"/>
                <w:szCs w:val="20"/>
                <w:lang w:val="sr-Latn-RS" w:eastAsia="en-US" w:bidi="ar-SA"/>
              </w:rPr>
              <w:t xml:space="preserve"> </w:t>
            </w:r>
            <w:r w:rsidRPr="00065AE4">
              <w:rPr>
                <w:rFonts w:eastAsiaTheme="minorHAnsi"/>
                <w:b/>
                <w:bCs/>
                <w:kern w:val="0"/>
                <w:sz w:val="20"/>
                <w:szCs w:val="20"/>
                <w:lang w:eastAsia="en-US" w:bidi="ar-SA"/>
              </w:rPr>
              <w:t>и</w:t>
            </w:r>
            <w:r w:rsidRPr="00246E68">
              <w:rPr>
                <w:rFonts w:eastAsiaTheme="minorHAnsi"/>
                <w:b/>
                <w:bCs/>
                <w:kern w:val="0"/>
                <w:sz w:val="20"/>
                <w:szCs w:val="20"/>
                <w:lang w:val="sr-Latn-RS" w:eastAsia="en-US" w:bidi="ar-SA"/>
              </w:rPr>
              <w:t xml:space="preserve"> </w:t>
            </w:r>
            <w:r w:rsidRPr="00065AE4">
              <w:rPr>
                <w:rFonts w:eastAsiaTheme="minorHAnsi"/>
                <w:b/>
                <w:bCs/>
                <w:kern w:val="0"/>
                <w:sz w:val="20"/>
                <w:szCs w:val="20"/>
                <w:lang w:eastAsia="en-US" w:bidi="ar-SA"/>
              </w:rPr>
              <w:t>тренду</w:t>
            </w:r>
            <w:r w:rsidRPr="00246E68">
              <w:rPr>
                <w:rFonts w:eastAsiaTheme="minorHAnsi"/>
                <w:b/>
                <w:bCs/>
                <w:kern w:val="0"/>
                <w:sz w:val="20"/>
                <w:szCs w:val="20"/>
                <w:lang w:val="sr-Latn-RS" w:eastAsia="en-US" w:bidi="ar-SA"/>
              </w:rPr>
              <w:t xml:space="preserve"> </w:t>
            </w:r>
            <w:r w:rsidRPr="00065AE4">
              <w:rPr>
                <w:rFonts w:eastAsiaTheme="minorHAnsi"/>
                <w:b/>
                <w:bCs/>
                <w:kern w:val="0"/>
                <w:sz w:val="20"/>
                <w:szCs w:val="20"/>
                <w:lang w:eastAsia="en-US" w:bidi="ar-SA"/>
              </w:rPr>
              <w:t>у</w:t>
            </w:r>
            <w:r w:rsidRPr="00246E68">
              <w:rPr>
                <w:rFonts w:eastAsiaTheme="minorHAnsi"/>
                <w:b/>
                <w:bCs/>
                <w:kern w:val="0"/>
                <w:sz w:val="20"/>
                <w:szCs w:val="20"/>
                <w:lang w:val="sr-Latn-RS" w:eastAsia="en-US" w:bidi="ar-SA"/>
              </w:rPr>
              <w:t xml:space="preserve"> </w:t>
            </w:r>
            <w:r w:rsidRPr="00065AE4">
              <w:rPr>
                <w:rFonts w:eastAsiaTheme="minorHAnsi"/>
                <w:b/>
                <w:bCs/>
                <w:kern w:val="0"/>
                <w:sz w:val="20"/>
                <w:szCs w:val="20"/>
                <w:lang w:eastAsia="en-US" w:bidi="ar-SA"/>
              </w:rPr>
              <w:t>прошлости</w:t>
            </w:r>
          </w:p>
        </w:tc>
        <w:tc>
          <w:tcPr>
            <w:tcW w:w="2837" w:type="pct"/>
            <w:gridSpan w:val="10"/>
            <w:tcBorders>
              <w:bottom w:val="single" w:sz="4" w:space="0" w:color="auto"/>
            </w:tcBorders>
            <w:shd w:val="clear" w:color="auto" w:fill="FFFFFF" w:themeFill="background1"/>
            <w:vAlign w:val="center"/>
          </w:tcPr>
          <w:p w14:paraId="3BEB49B9" w14:textId="77777777" w:rsidR="00246E68" w:rsidRPr="00246E68" w:rsidRDefault="00246E68" w:rsidP="00246E68">
            <w:pPr>
              <w:suppressAutoHyphens w:val="0"/>
              <w:autoSpaceDN/>
              <w:spacing w:before="0" w:after="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Тренд у прошлости</w:t>
            </w:r>
          </w:p>
        </w:tc>
        <w:tc>
          <w:tcPr>
            <w:tcW w:w="877" w:type="pct"/>
            <w:gridSpan w:val="3"/>
            <w:shd w:val="clear" w:color="auto" w:fill="FFFFFF" w:themeFill="background1"/>
            <w:vAlign w:val="center"/>
          </w:tcPr>
          <w:p w14:paraId="4C78004B"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Полазна вредност</w:t>
            </w:r>
          </w:p>
        </w:tc>
      </w:tr>
      <w:tr w:rsidR="00246E68" w:rsidRPr="00246E68" w14:paraId="0B598D8D" w14:textId="77777777" w:rsidTr="00DA6BE3">
        <w:trPr>
          <w:trHeight w:val="137"/>
          <w:jc w:val="center"/>
        </w:trPr>
        <w:tc>
          <w:tcPr>
            <w:tcW w:w="1286" w:type="pct"/>
            <w:vMerge/>
            <w:tcBorders>
              <w:right w:val="single" w:sz="4" w:space="0" w:color="auto"/>
            </w:tcBorders>
            <w:shd w:val="clear" w:color="auto" w:fill="auto"/>
          </w:tcPr>
          <w:p w14:paraId="29A32AF5"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9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3C38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2016</w:t>
            </w:r>
          </w:p>
        </w:tc>
        <w:tc>
          <w:tcPr>
            <w:tcW w:w="89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2148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2017</w:t>
            </w:r>
          </w:p>
        </w:tc>
        <w:tc>
          <w:tcPr>
            <w:tcW w:w="95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A2EED"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2018</w:t>
            </w:r>
          </w:p>
        </w:tc>
        <w:tc>
          <w:tcPr>
            <w:tcW w:w="877" w:type="pct"/>
            <w:gridSpan w:val="3"/>
            <w:tcBorders>
              <w:left w:val="single" w:sz="4" w:space="0" w:color="auto"/>
            </w:tcBorders>
            <w:shd w:val="clear" w:color="auto" w:fill="FFFFFF" w:themeFill="background1"/>
            <w:vAlign w:val="center"/>
          </w:tcPr>
          <w:p w14:paraId="5CA6F03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2019 или 2020</w:t>
            </w:r>
          </w:p>
        </w:tc>
      </w:tr>
      <w:tr w:rsidR="00246E68" w:rsidRPr="00246E68" w14:paraId="0E96ABC7" w14:textId="77777777" w:rsidTr="00DA6BE3">
        <w:trPr>
          <w:trHeight w:val="323"/>
          <w:jc w:val="center"/>
        </w:trPr>
        <w:tc>
          <w:tcPr>
            <w:tcW w:w="1286" w:type="pct"/>
            <w:vMerge/>
            <w:shd w:val="clear" w:color="auto" w:fill="auto"/>
          </w:tcPr>
          <w:p w14:paraId="05981678"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990" w:type="pct"/>
            <w:gridSpan w:val="3"/>
            <w:tcBorders>
              <w:top w:val="single" w:sz="4" w:space="0" w:color="auto"/>
            </w:tcBorders>
            <w:shd w:val="clear" w:color="auto" w:fill="FFFFFF" w:themeFill="background1"/>
            <w:vAlign w:val="center"/>
          </w:tcPr>
          <w:p w14:paraId="36A2AE9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94" w:type="pct"/>
            <w:gridSpan w:val="4"/>
            <w:tcBorders>
              <w:top w:val="single" w:sz="4" w:space="0" w:color="auto"/>
            </w:tcBorders>
            <w:shd w:val="clear" w:color="auto" w:fill="FFFFFF" w:themeFill="background1"/>
            <w:vAlign w:val="center"/>
          </w:tcPr>
          <w:p w14:paraId="1A0FDAA1"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953" w:type="pct"/>
            <w:gridSpan w:val="3"/>
            <w:tcBorders>
              <w:top w:val="single" w:sz="4" w:space="0" w:color="auto"/>
            </w:tcBorders>
            <w:shd w:val="clear" w:color="auto" w:fill="FFFFFF" w:themeFill="background1"/>
            <w:vAlign w:val="center"/>
          </w:tcPr>
          <w:p w14:paraId="6D42FFD1"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p>
        </w:tc>
        <w:tc>
          <w:tcPr>
            <w:tcW w:w="877" w:type="pct"/>
            <w:gridSpan w:val="3"/>
            <w:shd w:val="clear" w:color="auto" w:fill="FFFFFF" w:themeFill="background1"/>
            <w:vAlign w:val="center"/>
          </w:tcPr>
          <w:p w14:paraId="3E5CF10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eastAsia="en-US" w:bidi="ar-SA"/>
              </w:rPr>
            </w:pPr>
            <w:r w:rsidRPr="00246E68">
              <w:rPr>
                <w:rFonts w:eastAsiaTheme="minorHAnsi"/>
                <w:iCs/>
                <w:kern w:val="0"/>
                <w:sz w:val="20"/>
                <w:szCs w:val="20"/>
                <w:lang w:eastAsia="en-US" w:bidi="ar-SA"/>
              </w:rPr>
              <w:t>25%</w:t>
            </w:r>
          </w:p>
        </w:tc>
      </w:tr>
      <w:tr w:rsidR="00246E68" w:rsidRPr="00246E68" w14:paraId="7A6A1FE9" w14:textId="77777777" w:rsidTr="00DA6BE3">
        <w:trPr>
          <w:trHeight w:val="274"/>
          <w:jc w:val="center"/>
        </w:trPr>
        <w:tc>
          <w:tcPr>
            <w:tcW w:w="1286" w:type="pct"/>
            <w:vMerge w:val="restart"/>
            <w:shd w:val="clear" w:color="auto" w:fill="auto"/>
          </w:tcPr>
          <w:p w14:paraId="4548A0CC" w14:textId="77777777" w:rsidR="00246E68" w:rsidRPr="00246E68" w:rsidRDefault="00246E68" w:rsidP="00246E68">
            <w:pPr>
              <w:suppressAutoHyphens w:val="0"/>
              <w:autoSpaceDN/>
              <w:spacing w:before="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Подаци о циљним вредностима</w:t>
            </w:r>
          </w:p>
        </w:tc>
        <w:tc>
          <w:tcPr>
            <w:tcW w:w="345" w:type="pct"/>
            <w:shd w:val="clear" w:color="auto" w:fill="FFFFFF" w:themeFill="background1"/>
            <w:vAlign w:val="center"/>
          </w:tcPr>
          <w:p w14:paraId="0E4D9219"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2021</w:t>
            </w:r>
          </w:p>
        </w:tc>
        <w:tc>
          <w:tcPr>
            <w:tcW w:w="355" w:type="pct"/>
            <w:shd w:val="clear" w:color="auto" w:fill="FFFFFF" w:themeFill="background1"/>
            <w:vAlign w:val="center"/>
          </w:tcPr>
          <w:p w14:paraId="50EA705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2022</w:t>
            </w:r>
          </w:p>
        </w:tc>
        <w:tc>
          <w:tcPr>
            <w:tcW w:w="438" w:type="pct"/>
            <w:gridSpan w:val="2"/>
            <w:shd w:val="clear" w:color="auto" w:fill="FFFFFF" w:themeFill="background1"/>
            <w:vAlign w:val="center"/>
          </w:tcPr>
          <w:p w14:paraId="4CE4C0B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2023</w:t>
            </w:r>
          </w:p>
        </w:tc>
        <w:tc>
          <w:tcPr>
            <w:tcW w:w="372" w:type="pct"/>
            <w:shd w:val="clear" w:color="auto" w:fill="FFFFFF" w:themeFill="background1"/>
            <w:vAlign w:val="center"/>
          </w:tcPr>
          <w:p w14:paraId="7EC17FF8"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2024</w:t>
            </w:r>
          </w:p>
        </w:tc>
        <w:tc>
          <w:tcPr>
            <w:tcW w:w="373" w:type="pct"/>
            <w:gridSpan w:val="2"/>
            <w:shd w:val="clear" w:color="auto" w:fill="FFFFFF" w:themeFill="background1"/>
            <w:vAlign w:val="center"/>
          </w:tcPr>
          <w:p w14:paraId="60575157"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2025</w:t>
            </w:r>
          </w:p>
        </w:tc>
        <w:tc>
          <w:tcPr>
            <w:tcW w:w="369" w:type="pct"/>
            <w:shd w:val="clear" w:color="auto" w:fill="FFFFFF" w:themeFill="background1"/>
            <w:vAlign w:val="center"/>
          </w:tcPr>
          <w:p w14:paraId="10D86760"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2026</w:t>
            </w:r>
          </w:p>
        </w:tc>
        <w:tc>
          <w:tcPr>
            <w:tcW w:w="373" w:type="pct"/>
            <w:shd w:val="clear" w:color="auto" w:fill="FFFFFF" w:themeFill="background1"/>
            <w:vAlign w:val="center"/>
          </w:tcPr>
          <w:p w14:paraId="59028F83"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2027</w:t>
            </w:r>
          </w:p>
        </w:tc>
        <w:tc>
          <w:tcPr>
            <w:tcW w:w="365" w:type="pct"/>
            <w:gridSpan w:val="2"/>
            <w:shd w:val="clear" w:color="auto" w:fill="FFFFFF" w:themeFill="background1"/>
            <w:vAlign w:val="center"/>
          </w:tcPr>
          <w:p w14:paraId="524872EC"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2028</w:t>
            </w:r>
          </w:p>
        </w:tc>
        <w:tc>
          <w:tcPr>
            <w:tcW w:w="369" w:type="pct"/>
            <w:shd w:val="clear" w:color="auto" w:fill="FFFFFF" w:themeFill="background1"/>
            <w:vAlign w:val="center"/>
          </w:tcPr>
          <w:p w14:paraId="406DBBE0"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2029</w:t>
            </w:r>
          </w:p>
        </w:tc>
        <w:tc>
          <w:tcPr>
            <w:tcW w:w="353" w:type="pct"/>
            <w:shd w:val="clear" w:color="auto" w:fill="FFFFFF" w:themeFill="background1"/>
            <w:vAlign w:val="center"/>
          </w:tcPr>
          <w:p w14:paraId="4CCD48A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iCs/>
                <w:kern w:val="0"/>
                <w:sz w:val="20"/>
                <w:szCs w:val="20"/>
                <w:lang w:val="en-US" w:eastAsia="en-US" w:bidi="ar-SA"/>
              </w:rPr>
              <w:t>2030</w:t>
            </w:r>
          </w:p>
        </w:tc>
      </w:tr>
      <w:tr w:rsidR="00246E68" w:rsidRPr="00246E68" w14:paraId="3CBFF95B" w14:textId="77777777" w:rsidTr="00DA6BE3">
        <w:trPr>
          <w:trHeight w:val="160"/>
          <w:jc w:val="center"/>
        </w:trPr>
        <w:tc>
          <w:tcPr>
            <w:tcW w:w="1286" w:type="pct"/>
            <w:vMerge/>
            <w:shd w:val="clear" w:color="auto" w:fill="auto"/>
          </w:tcPr>
          <w:p w14:paraId="545732A4"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p>
        </w:tc>
        <w:tc>
          <w:tcPr>
            <w:tcW w:w="345" w:type="pct"/>
            <w:shd w:val="clear" w:color="auto" w:fill="FFFFFF" w:themeFill="background1"/>
          </w:tcPr>
          <w:p w14:paraId="303EA74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28%</w:t>
            </w:r>
          </w:p>
        </w:tc>
        <w:tc>
          <w:tcPr>
            <w:tcW w:w="355" w:type="pct"/>
            <w:shd w:val="clear" w:color="auto" w:fill="FFFFFF" w:themeFill="background1"/>
          </w:tcPr>
          <w:p w14:paraId="6EA51A20"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32%</w:t>
            </w:r>
          </w:p>
        </w:tc>
        <w:tc>
          <w:tcPr>
            <w:tcW w:w="438" w:type="pct"/>
            <w:gridSpan w:val="2"/>
            <w:shd w:val="clear" w:color="auto" w:fill="FFFFFF" w:themeFill="background1"/>
          </w:tcPr>
          <w:p w14:paraId="4EE81FB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35%</w:t>
            </w:r>
          </w:p>
        </w:tc>
        <w:tc>
          <w:tcPr>
            <w:tcW w:w="372" w:type="pct"/>
            <w:shd w:val="clear" w:color="auto" w:fill="FFFFFF" w:themeFill="background1"/>
          </w:tcPr>
          <w:p w14:paraId="3A1533C1"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37%</w:t>
            </w:r>
          </w:p>
        </w:tc>
        <w:tc>
          <w:tcPr>
            <w:tcW w:w="373" w:type="pct"/>
            <w:gridSpan w:val="2"/>
            <w:shd w:val="clear" w:color="auto" w:fill="FFFFFF" w:themeFill="background1"/>
          </w:tcPr>
          <w:p w14:paraId="5A6F3426"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40%</w:t>
            </w:r>
          </w:p>
        </w:tc>
        <w:tc>
          <w:tcPr>
            <w:tcW w:w="369" w:type="pct"/>
            <w:shd w:val="clear" w:color="auto" w:fill="FFFFFF" w:themeFill="background1"/>
          </w:tcPr>
          <w:p w14:paraId="7730891E"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45%</w:t>
            </w:r>
          </w:p>
        </w:tc>
        <w:tc>
          <w:tcPr>
            <w:tcW w:w="373" w:type="pct"/>
            <w:shd w:val="clear" w:color="auto" w:fill="FFFFFF" w:themeFill="background1"/>
          </w:tcPr>
          <w:p w14:paraId="1C0932A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50%</w:t>
            </w:r>
          </w:p>
        </w:tc>
        <w:tc>
          <w:tcPr>
            <w:tcW w:w="365" w:type="pct"/>
            <w:gridSpan w:val="2"/>
            <w:shd w:val="clear" w:color="auto" w:fill="FFFFFF" w:themeFill="background1"/>
          </w:tcPr>
          <w:p w14:paraId="27E8A967"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55%</w:t>
            </w:r>
          </w:p>
        </w:tc>
        <w:tc>
          <w:tcPr>
            <w:tcW w:w="369" w:type="pct"/>
            <w:shd w:val="clear" w:color="auto" w:fill="FFFFFF" w:themeFill="background1"/>
          </w:tcPr>
          <w:p w14:paraId="23B79682"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60%</w:t>
            </w:r>
          </w:p>
        </w:tc>
        <w:tc>
          <w:tcPr>
            <w:tcW w:w="353" w:type="pct"/>
            <w:shd w:val="clear" w:color="auto" w:fill="FFFFFF" w:themeFill="background1"/>
          </w:tcPr>
          <w:p w14:paraId="5515B4A5" w14:textId="77777777" w:rsidR="00246E68" w:rsidRPr="00246E68" w:rsidRDefault="00246E68" w:rsidP="00246E68">
            <w:pPr>
              <w:suppressAutoHyphens w:val="0"/>
              <w:autoSpaceDN/>
              <w:spacing w:before="50" w:after="50"/>
              <w:ind w:firstLine="0"/>
              <w:jc w:val="center"/>
              <w:textAlignment w:val="auto"/>
              <w:rPr>
                <w:rFonts w:eastAsiaTheme="minorHAnsi"/>
                <w:iCs/>
                <w:kern w:val="0"/>
                <w:sz w:val="20"/>
                <w:szCs w:val="20"/>
                <w:lang w:val="en-US" w:eastAsia="en-US" w:bidi="ar-SA"/>
              </w:rPr>
            </w:pPr>
            <w:r w:rsidRPr="00246E68">
              <w:rPr>
                <w:rFonts w:eastAsiaTheme="minorHAnsi"/>
                <w:color w:val="000000"/>
                <w:kern w:val="0"/>
                <w:sz w:val="20"/>
                <w:szCs w:val="20"/>
                <w:lang w:eastAsia="en-US" w:bidi="ar-SA"/>
              </w:rPr>
              <w:t>60%</w:t>
            </w:r>
          </w:p>
        </w:tc>
      </w:tr>
      <w:tr w:rsidR="00246E68" w:rsidRPr="00246E68" w14:paraId="5E9BE6C3" w14:textId="77777777" w:rsidTr="00DA6BE3">
        <w:trPr>
          <w:trHeight w:val="160"/>
          <w:jc w:val="center"/>
        </w:trPr>
        <w:tc>
          <w:tcPr>
            <w:tcW w:w="1286" w:type="pct"/>
            <w:shd w:val="clear" w:color="auto" w:fill="auto"/>
          </w:tcPr>
          <w:p w14:paraId="2BCDE29D" w14:textId="77777777" w:rsidR="00246E68" w:rsidRPr="00246E68" w:rsidRDefault="00246E68" w:rsidP="00246E68">
            <w:pPr>
              <w:suppressAutoHyphens w:val="0"/>
              <w:autoSpaceDN/>
              <w:spacing w:before="50" w:after="50"/>
              <w:ind w:firstLine="0"/>
              <w:jc w:val="left"/>
              <w:textAlignment w:val="auto"/>
              <w:rPr>
                <w:rFonts w:eastAsiaTheme="minorHAnsi"/>
                <w:b/>
                <w:bCs/>
                <w:kern w:val="0"/>
                <w:sz w:val="20"/>
                <w:szCs w:val="20"/>
                <w:lang w:val="en-US" w:eastAsia="en-US" w:bidi="ar-SA"/>
              </w:rPr>
            </w:pPr>
            <w:r w:rsidRPr="00246E68">
              <w:rPr>
                <w:rFonts w:eastAsiaTheme="minorHAnsi"/>
                <w:b/>
                <w:bCs/>
                <w:kern w:val="0"/>
                <w:sz w:val="20"/>
                <w:szCs w:val="20"/>
                <w:lang w:val="en-US" w:eastAsia="en-US" w:bidi="ar-SA"/>
              </w:rPr>
              <w:t>Процена успешности</w:t>
            </w:r>
          </w:p>
        </w:tc>
        <w:tc>
          <w:tcPr>
            <w:tcW w:w="3714" w:type="pct"/>
            <w:gridSpan w:val="13"/>
            <w:shd w:val="clear" w:color="auto" w:fill="FFFFFF" w:themeFill="background1"/>
            <w:vAlign w:val="center"/>
          </w:tcPr>
          <w:p w14:paraId="147B709D" w14:textId="77777777" w:rsidR="00246E68" w:rsidRPr="00246E68" w:rsidRDefault="00246E68" w:rsidP="00246E68">
            <w:pPr>
              <w:suppressAutoHyphens w:val="0"/>
              <w:autoSpaceDN/>
              <w:spacing w:before="50" w:after="50"/>
              <w:ind w:firstLine="0"/>
              <w:jc w:val="left"/>
              <w:textAlignment w:val="auto"/>
              <w:rPr>
                <w:rFonts w:eastAsiaTheme="minorHAnsi"/>
                <w:iCs/>
                <w:kern w:val="0"/>
                <w:sz w:val="20"/>
                <w:szCs w:val="20"/>
                <w:lang w:eastAsia="en-US" w:bidi="ar-SA"/>
              </w:rPr>
            </w:pPr>
            <w:r w:rsidRPr="00246E68">
              <w:rPr>
                <w:rFonts w:eastAsiaTheme="minorHAnsi"/>
                <w:iCs/>
                <w:kern w:val="0"/>
                <w:sz w:val="20"/>
                <w:szCs w:val="20"/>
                <w:lang w:eastAsia="en-US" w:bidi="ar-SA"/>
              </w:rPr>
              <w:t>Без одступања</w:t>
            </w:r>
          </w:p>
        </w:tc>
      </w:tr>
    </w:tbl>
    <w:p w14:paraId="1DF0BBBB" w14:textId="77777777" w:rsidR="00246E68" w:rsidRPr="00246E68" w:rsidRDefault="00246E68" w:rsidP="00246E68">
      <w:pPr>
        <w:suppressAutoHyphens w:val="0"/>
        <w:autoSpaceDN/>
        <w:spacing w:before="0" w:after="0"/>
        <w:ind w:firstLine="0"/>
        <w:jc w:val="left"/>
        <w:textAlignment w:val="auto"/>
        <w:rPr>
          <w:rFonts w:eastAsiaTheme="minorHAnsi"/>
          <w:b/>
          <w:bCs/>
          <w:kern w:val="0"/>
          <w:sz w:val="20"/>
          <w:szCs w:val="20"/>
          <w:lang w:val="en-US" w:eastAsia="en-US" w:bidi="ar-SA"/>
        </w:rPr>
      </w:pPr>
    </w:p>
    <w:p w14:paraId="375EB632" w14:textId="77777777" w:rsidR="00246E68" w:rsidRPr="00246E68" w:rsidRDefault="00246E68" w:rsidP="00246E68">
      <w:pPr>
        <w:suppressAutoHyphens w:val="0"/>
        <w:autoSpaceDN/>
        <w:spacing w:before="0" w:after="0"/>
        <w:ind w:firstLine="0"/>
        <w:jc w:val="left"/>
        <w:textAlignment w:val="auto"/>
        <w:rPr>
          <w:rFonts w:eastAsiaTheme="minorHAnsi"/>
          <w:kern w:val="0"/>
          <w:sz w:val="20"/>
          <w:szCs w:val="20"/>
          <w:lang w:eastAsia="en-US" w:bidi="ar-SA"/>
        </w:rPr>
      </w:pPr>
    </w:p>
    <w:p w14:paraId="47807E05" w14:textId="77777777" w:rsidR="00246E68" w:rsidRPr="00246E68" w:rsidRDefault="00246E68" w:rsidP="00246E68">
      <w:pPr>
        <w:suppressAutoHyphens w:val="0"/>
        <w:autoSpaceDN/>
        <w:spacing w:before="0" w:after="0"/>
        <w:ind w:firstLine="0"/>
        <w:jc w:val="left"/>
        <w:textAlignment w:val="auto"/>
        <w:rPr>
          <w:rFonts w:eastAsiaTheme="minorHAnsi"/>
          <w:kern w:val="0"/>
          <w:sz w:val="20"/>
          <w:szCs w:val="20"/>
          <w:lang w:eastAsia="en-US" w:bidi="ar-SA"/>
        </w:rPr>
      </w:pPr>
    </w:p>
    <w:p w14:paraId="495A40E6" w14:textId="7DA71C22" w:rsidR="006876AE" w:rsidRPr="000F0299" w:rsidRDefault="006876AE" w:rsidP="00244E7C">
      <w:r w:rsidRPr="000F0299">
        <w:br w:type="page"/>
      </w:r>
    </w:p>
    <w:p w14:paraId="740C7A22" w14:textId="011A84D1" w:rsidR="008D7AAF" w:rsidRPr="000F0299" w:rsidRDefault="006876AE" w:rsidP="007A0CC3">
      <w:pPr>
        <w:pStyle w:val="Heading1"/>
        <w:rPr>
          <w:lang w:val="sr-Cyrl-RS"/>
        </w:rPr>
      </w:pPr>
      <w:bookmarkStart w:id="345" w:name="_Toc57661527"/>
      <w:r w:rsidRPr="000F0299">
        <w:rPr>
          <w:lang w:val="sr-Cyrl-RS"/>
        </w:rPr>
        <w:t>П</w:t>
      </w:r>
      <w:r w:rsidR="004E6368" w:rsidRPr="000F0299">
        <w:rPr>
          <w:lang w:val="sr-Cyrl-RS"/>
        </w:rPr>
        <w:t>рилог 7</w:t>
      </w:r>
      <w:r w:rsidRPr="000F0299">
        <w:rPr>
          <w:lang w:val="sr-Cyrl-RS"/>
        </w:rPr>
        <w:t>:</w:t>
      </w:r>
      <w:r w:rsidR="004E6368" w:rsidRPr="000F0299">
        <w:rPr>
          <w:lang w:val="sr-Cyrl-RS"/>
        </w:rPr>
        <w:t xml:space="preserve"> Попис аката</w:t>
      </w:r>
      <w:bookmarkEnd w:id="345"/>
    </w:p>
    <w:tbl>
      <w:tblPr>
        <w:tblStyle w:val="ListTable1Light-Accent3"/>
        <w:tblW w:w="0" w:type="auto"/>
        <w:tblLook w:val="04A0" w:firstRow="1" w:lastRow="0" w:firstColumn="1" w:lastColumn="0" w:noHBand="0" w:noVBand="1"/>
      </w:tblPr>
      <w:tblGrid>
        <w:gridCol w:w="9016"/>
      </w:tblGrid>
      <w:tr w:rsidR="00163B00" w:rsidRPr="0056500C" w14:paraId="5B722979" w14:textId="77777777" w:rsidTr="00DA6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D84670C" w14:textId="77777777" w:rsidR="00163B00" w:rsidRPr="0056500C" w:rsidRDefault="00163B00" w:rsidP="00163B00">
            <w:pPr>
              <w:spacing w:after="120"/>
              <w:ind w:firstLine="0"/>
            </w:pPr>
          </w:p>
        </w:tc>
      </w:tr>
      <w:tr w:rsidR="00163B00" w:rsidRPr="0056500C" w14:paraId="3E44995D"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5ADF95F" w14:textId="77777777" w:rsidR="00163B00" w:rsidRPr="0056500C" w:rsidRDefault="00163B00" w:rsidP="00DA6BE3">
            <w:pPr>
              <w:spacing w:after="120"/>
              <w:rPr>
                <w:b w:val="0"/>
              </w:rPr>
            </w:pPr>
            <w:r w:rsidRPr="0056500C">
              <w:rPr>
                <w:b w:val="0"/>
              </w:rPr>
              <w:t>Измене и допуне закона и подзаконских аката о поступку и начину спровођења конкурсних поступака у органима државне управе</w:t>
            </w:r>
          </w:p>
        </w:tc>
      </w:tr>
      <w:tr w:rsidR="00163B00" w:rsidRPr="0056500C" w14:paraId="1C1CC218" w14:textId="77777777" w:rsidTr="00DA6BE3">
        <w:tc>
          <w:tcPr>
            <w:cnfStyle w:val="001000000000" w:firstRow="0" w:lastRow="0" w:firstColumn="1" w:lastColumn="0" w:oddVBand="0" w:evenVBand="0" w:oddHBand="0" w:evenHBand="0" w:firstRowFirstColumn="0" w:firstRowLastColumn="0" w:lastRowFirstColumn="0" w:lastRowLastColumn="0"/>
            <w:tcW w:w="9016" w:type="dxa"/>
          </w:tcPr>
          <w:p w14:paraId="68BC552E" w14:textId="77777777" w:rsidR="00163B00" w:rsidRPr="0056500C" w:rsidRDefault="00163B00" w:rsidP="00DA6BE3">
            <w:pPr>
              <w:spacing w:after="120"/>
            </w:pPr>
            <w:r w:rsidRPr="0056500C">
              <w:rPr>
                <w:b w:val="0"/>
              </w:rPr>
              <w:t>Измене закона и подзаконских аката за запослене у органима АП и ЈЛС у циљу интегрисања оквира компетенција</w:t>
            </w:r>
          </w:p>
        </w:tc>
      </w:tr>
      <w:tr w:rsidR="00163B00" w:rsidRPr="0056500C" w14:paraId="6A189B2D"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64EDA47" w14:textId="77777777" w:rsidR="00163B00" w:rsidRPr="0056500C" w:rsidRDefault="00163B00" w:rsidP="00DA6BE3">
            <w:pPr>
              <w:spacing w:after="120"/>
              <w:rPr>
                <w:b w:val="0"/>
              </w:rPr>
            </w:pPr>
            <w:r w:rsidRPr="0056500C">
              <w:rPr>
                <w:b w:val="0"/>
              </w:rPr>
              <w:t>Измене и допуне закона и подзаконских аката којим се уређује поступак и овлашћење за постављење на положај и вршиоци дужности</w:t>
            </w:r>
          </w:p>
        </w:tc>
      </w:tr>
      <w:tr w:rsidR="00163B00" w:rsidRPr="0056500C" w14:paraId="77A820EA" w14:textId="77777777" w:rsidTr="00DA6BE3">
        <w:tc>
          <w:tcPr>
            <w:cnfStyle w:val="001000000000" w:firstRow="0" w:lastRow="0" w:firstColumn="1" w:lastColumn="0" w:oddVBand="0" w:evenVBand="0" w:oddHBand="0" w:evenHBand="0" w:firstRowFirstColumn="0" w:firstRowLastColumn="0" w:lastRowFirstColumn="0" w:lastRowLastColumn="0"/>
            <w:tcW w:w="9016" w:type="dxa"/>
          </w:tcPr>
          <w:p w14:paraId="4D05EED4" w14:textId="77777777" w:rsidR="00163B00" w:rsidRPr="0056500C" w:rsidRDefault="00163B00" w:rsidP="00DA6BE3">
            <w:pPr>
              <w:spacing w:after="120"/>
              <w:rPr>
                <w:b w:val="0"/>
              </w:rPr>
            </w:pPr>
            <w:r w:rsidRPr="0056500C">
              <w:rPr>
                <w:b w:val="0"/>
              </w:rPr>
              <w:t>Припрема Нацрта закона којим се уређују плате државних службеника и намештеника у складу са системским законом о платама</w:t>
            </w:r>
          </w:p>
        </w:tc>
      </w:tr>
      <w:tr w:rsidR="00163B00" w:rsidRPr="0056500C" w14:paraId="10E0344C"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803B26A" w14:textId="77777777" w:rsidR="00163B00" w:rsidRPr="0056500C" w:rsidRDefault="00163B00" w:rsidP="00DA6BE3">
            <w:pPr>
              <w:spacing w:after="120"/>
              <w:rPr>
                <w:b w:val="0"/>
              </w:rPr>
            </w:pPr>
            <w:r w:rsidRPr="0056500C">
              <w:rPr>
                <w:b w:val="0"/>
              </w:rPr>
              <w:t xml:space="preserve">Измене и допуне закона и подзаконских аката о вредновању радне успешности </w:t>
            </w:r>
          </w:p>
        </w:tc>
      </w:tr>
      <w:tr w:rsidR="00163B00" w:rsidRPr="0056500C" w14:paraId="1B3F4ECB" w14:textId="77777777" w:rsidTr="00DA6BE3">
        <w:tc>
          <w:tcPr>
            <w:cnfStyle w:val="001000000000" w:firstRow="0" w:lastRow="0" w:firstColumn="1" w:lastColumn="0" w:oddVBand="0" w:evenVBand="0" w:oddHBand="0" w:evenHBand="0" w:firstRowFirstColumn="0" w:firstRowLastColumn="0" w:lastRowFirstColumn="0" w:lastRowLastColumn="0"/>
            <w:tcW w:w="9016" w:type="dxa"/>
          </w:tcPr>
          <w:p w14:paraId="04430C66" w14:textId="77777777" w:rsidR="00163B00" w:rsidRPr="0056500C" w:rsidRDefault="00163B00" w:rsidP="00DA6BE3">
            <w:pPr>
              <w:spacing w:after="120"/>
              <w:rPr>
                <w:b w:val="0"/>
              </w:rPr>
            </w:pPr>
            <w:r w:rsidRPr="0056500C">
              <w:rPr>
                <w:b w:val="0"/>
              </w:rPr>
              <w:t>Измене и допуне закона који уређује област стручног усавршавања у државним органима</w:t>
            </w:r>
          </w:p>
        </w:tc>
      </w:tr>
      <w:tr w:rsidR="00163B00" w:rsidRPr="0056500C" w14:paraId="34A3B1DF"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6BE7BE3" w14:textId="77777777" w:rsidR="00163B00" w:rsidRPr="0056500C" w:rsidRDefault="00163B00" w:rsidP="00DA6BE3">
            <w:pPr>
              <w:spacing w:after="120"/>
              <w:rPr>
                <w:b w:val="0"/>
              </w:rPr>
            </w:pPr>
            <w:r w:rsidRPr="0056500C">
              <w:rPr>
                <w:b w:val="0"/>
              </w:rPr>
              <w:t>Измене и допуне закона који уређује област стручног усавршавања у органима јединица локалне самоуправе</w:t>
            </w:r>
          </w:p>
        </w:tc>
      </w:tr>
      <w:tr w:rsidR="00163B00" w:rsidRPr="0045110D" w14:paraId="12FCEFC3" w14:textId="77777777" w:rsidTr="00DA6BE3">
        <w:tc>
          <w:tcPr>
            <w:cnfStyle w:val="001000000000" w:firstRow="0" w:lastRow="0" w:firstColumn="1" w:lastColumn="0" w:oddVBand="0" w:evenVBand="0" w:oddHBand="0" w:evenHBand="0" w:firstRowFirstColumn="0" w:firstRowLastColumn="0" w:lastRowFirstColumn="0" w:lastRowLastColumn="0"/>
            <w:tcW w:w="9016" w:type="dxa"/>
          </w:tcPr>
          <w:p w14:paraId="06EB7BE7" w14:textId="77777777" w:rsidR="00163B00" w:rsidRPr="0056500C" w:rsidRDefault="00163B00" w:rsidP="00DA6BE3">
            <w:pPr>
              <w:spacing w:after="120"/>
              <w:rPr>
                <w:b w:val="0"/>
              </w:rPr>
            </w:pPr>
            <w:r w:rsidRPr="0056500C">
              <w:rPr>
                <w:b w:val="0"/>
              </w:rPr>
              <w:t>Доношења подзаконских прописа за спровођење закона који уређује област стручног усавршавања у јавној управи</w:t>
            </w:r>
          </w:p>
        </w:tc>
      </w:tr>
      <w:tr w:rsidR="00163B00" w:rsidRPr="0056500C" w14:paraId="2B0F9973"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C86D114" w14:textId="77777777" w:rsidR="00163B00" w:rsidRPr="0056500C" w:rsidRDefault="00163B00" w:rsidP="00DA6BE3">
            <w:pPr>
              <w:spacing w:after="120"/>
              <w:rPr>
                <w:b w:val="0"/>
              </w:rPr>
            </w:pPr>
            <w:r w:rsidRPr="0056500C">
              <w:rPr>
                <w:b w:val="0"/>
              </w:rPr>
              <w:t>Доношење закона којим се на јединственим основама уређује област стручних испита у систему државне управе</w:t>
            </w:r>
          </w:p>
        </w:tc>
      </w:tr>
      <w:tr w:rsidR="00163B00" w:rsidRPr="0056500C" w14:paraId="63AF803C" w14:textId="77777777" w:rsidTr="00DA6BE3">
        <w:tc>
          <w:tcPr>
            <w:cnfStyle w:val="001000000000" w:firstRow="0" w:lastRow="0" w:firstColumn="1" w:lastColumn="0" w:oddVBand="0" w:evenVBand="0" w:oddHBand="0" w:evenHBand="0" w:firstRowFirstColumn="0" w:firstRowLastColumn="0" w:lastRowFirstColumn="0" w:lastRowLastColumn="0"/>
            <w:tcW w:w="9016" w:type="dxa"/>
          </w:tcPr>
          <w:p w14:paraId="107E9890" w14:textId="77777777" w:rsidR="00163B00" w:rsidRPr="0056500C" w:rsidRDefault="00163B00" w:rsidP="00DA6BE3">
            <w:pPr>
              <w:spacing w:after="120"/>
            </w:pPr>
          </w:p>
        </w:tc>
      </w:tr>
      <w:tr w:rsidR="00163B00" w:rsidRPr="0056500C" w14:paraId="0B547FD3"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ED77947" w14:textId="77777777" w:rsidR="00163B00" w:rsidRPr="0056500C" w:rsidRDefault="00163B00" w:rsidP="00DA6BE3">
            <w:pPr>
              <w:spacing w:after="120"/>
              <w:rPr>
                <w:b w:val="0"/>
              </w:rPr>
            </w:pPr>
            <w:r w:rsidRPr="0056500C">
              <w:rPr>
                <w:b w:val="0"/>
              </w:rPr>
              <w:t>Доношење Уредбе за успостављање стандарда за успостављање јединствених управних места</w:t>
            </w:r>
          </w:p>
        </w:tc>
      </w:tr>
      <w:tr w:rsidR="00163B00" w:rsidRPr="0056500C" w14:paraId="150AF4D4" w14:textId="77777777" w:rsidTr="00DA6BE3">
        <w:tc>
          <w:tcPr>
            <w:cnfStyle w:val="001000000000" w:firstRow="0" w:lastRow="0" w:firstColumn="1" w:lastColumn="0" w:oddVBand="0" w:evenVBand="0" w:oddHBand="0" w:evenHBand="0" w:firstRowFirstColumn="0" w:firstRowLastColumn="0" w:lastRowFirstColumn="0" w:lastRowLastColumn="0"/>
            <w:tcW w:w="9016" w:type="dxa"/>
          </w:tcPr>
          <w:p w14:paraId="43B86BC3" w14:textId="77777777" w:rsidR="00163B00" w:rsidRPr="0056500C" w:rsidRDefault="00163B00" w:rsidP="00DA6BE3">
            <w:pPr>
              <w:spacing w:after="120"/>
              <w:rPr>
                <w:b w:val="0"/>
              </w:rPr>
            </w:pPr>
            <w:r w:rsidRPr="0056500C">
              <w:rPr>
                <w:b w:val="0"/>
              </w:rPr>
              <w:t xml:space="preserve">Доношење Уредба о принципима управљања услугама и информацијама) </w:t>
            </w:r>
          </w:p>
        </w:tc>
      </w:tr>
      <w:tr w:rsidR="00163B00" w:rsidRPr="0056500C" w14:paraId="3E3923E6"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05F2C73" w14:textId="77777777" w:rsidR="00163B00" w:rsidRPr="0056500C" w:rsidRDefault="00163B00" w:rsidP="00DA6BE3">
            <w:pPr>
              <w:spacing w:after="120"/>
              <w:rPr>
                <w:b w:val="0"/>
              </w:rPr>
            </w:pPr>
            <w:r w:rsidRPr="0056500C">
              <w:rPr>
                <w:b w:val="0"/>
              </w:rPr>
              <w:t>Доношење правног оквира којим се прописује формирање свеобухватне и ажурне електронске евиденције административних поступака/услуга у форми јавног регистра</w:t>
            </w:r>
          </w:p>
        </w:tc>
      </w:tr>
      <w:tr w:rsidR="00163B00" w:rsidRPr="0056500C" w14:paraId="28A3F541" w14:textId="77777777" w:rsidTr="00DA6BE3">
        <w:tc>
          <w:tcPr>
            <w:cnfStyle w:val="001000000000" w:firstRow="0" w:lastRow="0" w:firstColumn="1" w:lastColumn="0" w:oddVBand="0" w:evenVBand="0" w:oddHBand="0" w:evenHBand="0" w:firstRowFirstColumn="0" w:firstRowLastColumn="0" w:lastRowFirstColumn="0" w:lastRowLastColumn="0"/>
            <w:tcW w:w="9016" w:type="dxa"/>
          </w:tcPr>
          <w:p w14:paraId="31230C84" w14:textId="77777777" w:rsidR="00163B00" w:rsidRPr="0056500C" w:rsidRDefault="00163B00" w:rsidP="00DA6BE3">
            <w:pPr>
              <w:spacing w:after="120"/>
              <w:rPr>
                <w:b w:val="0"/>
              </w:rPr>
            </w:pPr>
            <w:r w:rsidRPr="0056500C">
              <w:rPr>
                <w:b w:val="0"/>
              </w:rPr>
              <w:t>Доношење правног оквира за оснивање независног  органа-агенције за екстерно праћење, контролу и обезбеђење квалитета пружања услуга</w:t>
            </w:r>
          </w:p>
        </w:tc>
      </w:tr>
      <w:tr w:rsidR="00163B00" w:rsidRPr="0056500C" w14:paraId="070F88BB"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5047529" w14:textId="77777777" w:rsidR="00163B00" w:rsidRPr="0056500C" w:rsidRDefault="00163B00" w:rsidP="00DA6BE3">
            <w:pPr>
              <w:spacing w:after="120"/>
            </w:pPr>
          </w:p>
        </w:tc>
      </w:tr>
      <w:tr w:rsidR="00163B00" w:rsidRPr="0045110D" w14:paraId="7C93465C" w14:textId="77777777" w:rsidTr="00DA6BE3">
        <w:tc>
          <w:tcPr>
            <w:cnfStyle w:val="001000000000" w:firstRow="0" w:lastRow="0" w:firstColumn="1" w:lastColumn="0" w:oddVBand="0" w:evenVBand="0" w:oddHBand="0" w:evenHBand="0" w:firstRowFirstColumn="0" w:firstRowLastColumn="0" w:lastRowFirstColumn="0" w:lastRowLastColumn="0"/>
            <w:tcW w:w="9016" w:type="dxa"/>
          </w:tcPr>
          <w:p w14:paraId="79FD1172" w14:textId="77777777" w:rsidR="00163B00" w:rsidRPr="0045110D" w:rsidRDefault="00163B00" w:rsidP="00DA6BE3">
            <w:pPr>
              <w:spacing w:after="120"/>
              <w:rPr>
                <w:b w:val="0"/>
              </w:rPr>
            </w:pPr>
            <w:r w:rsidRPr="0045110D">
              <w:rPr>
                <w:b w:val="0"/>
              </w:rPr>
              <w:t xml:space="preserve">Усаглашавање правног оквира </w:t>
            </w:r>
            <w:r>
              <w:rPr>
                <w:b w:val="0"/>
              </w:rPr>
              <w:t>за системска</w:t>
            </w:r>
            <w:r w:rsidRPr="0045110D">
              <w:rPr>
                <w:b w:val="0"/>
              </w:rPr>
              <w:t xml:space="preserve"> решења  за управљачку одговорносту органима јавне управе</w:t>
            </w:r>
          </w:p>
        </w:tc>
      </w:tr>
      <w:tr w:rsidR="00163B00" w:rsidRPr="0045110D" w14:paraId="31480F69"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8FF32AE" w14:textId="77777777" w:rsidR="00163B00" w:rsidRPr="0045110D" w:rsidRDefault="00163B00" w:rsidP="00DA6BE3">
            <w:pPr>
              <w:spacing w:after="120"/>
              <w:rPr>
                <w:b w:val="0"/>
              </w:rPr>
            </w:pPr>
            <w:r w:rsidRPr="0045110D">
              <w:rPr>
                <w:b w:val="0"/>
              </w:rPr>
              <w:t>Доношење акта о утврђивању обавезних елемената годишњих оперативних планова органа и организација јавне управе и њихових основних организационих јединица</w:t>
            </w:r>
          </w:p>
        </w:tc>
      </w:tr>
      <w:tr w:rsidR="00163B00" w:rsidRPr="0045110D" w14:paraId="44180E3C" w14:textId="77777777" w:rsidTr="00DA6BE3">
        <w:tc>
          <w:tcPr>
            <w:cnfStyle w:val="001000000000" w:firstRow="0" w:lastRow="0" w:firstColumn="1" w:lastColumn="0" w:oddVBand="0" w:evenVBand="0" w:oddHBand="0" w:evenHBand="0" w:firstRowFirstColumn="0" w:firstRowLastColumn="0" w:lastRowFirstColumn="0" w:lastRowLastColumn="0"/>
            <w:tcW w:w="9016" w:type="dxa"/>
          </w:tcPr>
          <w:p w14:paraId="3483EC96" w14:textId="77777777" w:rsidR="00163B00" w:rsidRPr="0045110D" w:rsidRDefault="00163B00" w:rsidP="00DA6BE3">
            <w:pPr>
              <w:spacing w:after="120"/>
              <w:rPr>
                <w:b w:val="0"/>
              </w:rPr>
            </w:pPr>
            <w:r w:rsidRPr="0045110D">
              <w:rPr>
                <w:b w:val="0"/>
              </w:rPr>
              <w:t>Доношење акта о утврђивању обавезне анализе извештаја о учинку органа у саставу и основних  организационих јединица</w:t>
            </w:r>
          </w:p>
        </w:tc>
      </w:tr>
      <w:tr w:rsidR="00163B00" w:rsidRPr="0045110D" w14:paraId="597F8BAC"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9E6E22B" w14:textId="77777777" w:rsidR="00163B00" w:rsidRPr="0045110D" w:rsidRDefault="00163B00" w:rsidP="00DA6BE3">
            <w:pPr>
              <w:spacing w:after="120"/>
              <w:rPr>
                <w:b w:val="0"/>
              </w:rPr>
            </w:pPr>
            <w:r w:rsidRPr="0045110D">
              <w:rPr>
                <w:b w:val="0"/>
              </w:rPr>
              <w:t>Усаглашавање правног оквира у области финансијског управљања и контроле</w:t>
            </w:r>
          </w:p>
        </w:tc>
      </w:tr>
      <w:tr w:rsidR="00163B00" w:rsidRPr="0045110D" w14:paraId="5A1448C2" w14:textId="77777777" w:rsidTr="00DA6BE3">
        <w:tc>
          <w:tcPr>
            <w:cnfStyle w:val="001000000000" w:firstRow="0" w:lastRow="0" w:firstColumn="1" w:lastColumn="0" w:oddVBand="0" w:evenVBand="0" w:oddHBand="0" w:evenHBand="0" w:firstRowFirstColumn="0" w:firstRowLastColumn="0" w:lastRowFirstColumn="0" w:lastRowLastColumn="0"/>
            <w:tcW w:w="9016" w:type="dxa"/>
          </w:tcPr>
          <w:p w14:paraId="0D1E2F96" w14:textId="77777777" w:rsidR="00163B00" w:rsidRPr="0045110D" w:rsidRDefault="00163B00" w:rsidP="00DA6BE3">
            <w:pPr>
              <w:spacing w:after="120"/>
              <w:rPr>
                <w:b w:val="0"/>
              </w:rPr>
            </w:pPr>
            <w:r w:rsidRPr="0045110D">
              <w:rPr>
                <w:b w:val="0"/>
              </w:rPr>
              <w:t>Доношење акта о утврђивању обавезе достављања обједињеног извештаја о учинку</w:t>
            </w:r>
          </w:p>
        </w:tc>
      </w:tr>
      <w:tr w:rsidR="00163B00" w:rsidRPr="00075071" w14:paraId="2155AC39"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7382E51" w14:textId="77777777" w:rsidR="00163B00" w:rsidRPr="00075071" w:rsidRDefault="00163B00" w:rsidP="00DA6BE3">
            <w:pPr>
              <w:spacing w:after="120"/>
              <w:rPr>
                <w:b w:val="0"/>
              </w:rPr>
            </w:pPr>
            <w:r w:rsidRPr="00075071">
              <w:rPr>
                <w:b w:val="0"/>
              </w:rPr>
              <w:t>Измене и допуне Закона о слободном приступу информацијама од јавног значаја ради унапређења одговорности и транспарентности у раду органа јавне власти</w:t>
            </w:r>
          </w:p>
        </w:tc>
      </w:tr>
      <w:tr w:rsidR="00163B00" w:rsidRPr="00075071" w14:paraId="5D589F8A" w14:textId="77777777" w:rsidTr="00DA6BE3">
        <w:tc>
          <w:tcPr>
            <w:cnfStyle w:val="001000000000" w:firstRow="0" w:lastRow="0" w:firstColumn="1" w:lastColumn="0" w:oddVBand="0" w:evenVBand="0" w:oddHBand="0" w:evenHBand="0" w:firstRowFirstColumn="0" w:firstRowLastColumn="0" w:lastRowFirstColumn="0" w:lastRowLastColumn="0"/>
            <w:tcW w:w="9016" w:type="dxa"/>
          </w:tcPr>
          <w:p w14:paraId="6EBCD587" w14:textId="77777777" w:rsidR="00163B00" w:rsidRPr="00075071" w:rsidRDefault="00163B00" w:rsidP="00DA6BE3">
            <w:pPr>
              <w:spacing w:after="120"/>
              <w:rPr>
                <w:b w:val="0"/>
              </w:rPr>
            </w:pPr>
            <w:r w:rsidRPr="00075071">
              <w:rPr>
                <w:b w:val="0"/>
              </w:rPr>
              <w:t>Измене и допуне Закона о Заштитнику грађана ради унапређења одговорности и транспарентности у раду органа управе</w:t>
            </w:r>
          </w:p>
        </w:tc>
      </w:tr>
    </w:tbl>
    <w:p w14:paraId="7165F2F4" w14:textId="0686F18D" w:rsidR="00316C57" w:rsidRPr="000F0299" w:rsidRDefault="00316C57" w:rsidP="00316C57"/>
    <w:p w14:paraId="622BEA90" w14:textId="77777777" w:rsidR="005D6085" w:rsidRPr="000F0299" w:rsidRDefault="005D6085" w:rsidP="00316C57">
      <w:pPr>
        <w:sectPr w:rsidR="005D6085" w:rsidRPr="000F0299" w:rsidSect="00B228D6">
          <w:headerReference w:type="default" r:id="rId221"/>
          <w:footerReference w:type="default" r:id="rId222"/>
          <w:pgSz w:w="11906" w:h="16838" w:code="9"/>
          <w:pgMar w:top="1361" w:right="1361" w:bottom="1134" w:left="1361" w:header="709" w:footer="709" w:gutter="0"/>
          <w:cols w:space="708"/>
          <w:docGrid w:linePitch="360"/>
        </w:sectPr>
      </w:pPr>
    </w:p>
    <w:p w14:paraId="60A39616" w14:textId="1F40672E" w:rsidR="00316C57" w:rsidRPr="000F0299" w:rsidRDefault="00316C57" w:rsidP="006873CC">
      <w:pPr>
        <w:pStyle w:val="Heading1"/>
        <w:rPr>
          <w:lang w:val="sr-Cyrl-RS"/>
        </w:rPr>
      </w:pPr>
      <w:bookmarkStart w:id="346" w:name="_Toc57661528"/>
      <w:r w:rsidRPr="000F0299">
        <w:rPr>
          <w:lang w:val="sr-Cyrl-RS"/>
        </w:rPr>
        <w:t>Прилог 8</w:t>
      </w:r>
      <w:r w:rsidR="004B3EDF" w:rsidRPr="000F0299">
        <w:rPr>
          <w:lang w:val="sr-Cyrl-RS"/>
        </w:rPr>
        <w:t>:</w:t>
      </w:r>
      <w:r w:rsidRPr="000F0299">
        <w:rPr>
          <w:lang w:val="sr-Cyrl-RS"/>
        </w:rPr>
        <w:t xml:space="preserve"> Комуникациони оквир</w:t>
      </w:r>
      <w:bookmarkEnd w:id="346"/>
    </w:p>
    <w:p w14:paraId="5CC6C5C9" w14:textId="77777777" w:rsidR="00163B00" w:rsidRPr="00163B00" w:rsidRDefault="00163B00" w:rsidP="00163B00">
      <w:pPr>
        <w:keepNext/>
        <w:keepLines/>
        <w:suppressAutoHyphens w:val="0"/>
        <w:autoSpaceDN/>
        <w:spacing w:before="240" w:after="120" w:line="259" w:lineRule="auto"/>
        <w:ind w:firstLine="0"/>
        <w:textAlignment w:val="auto"/>
        <w:outlineLvl w:val="0"/>
        <w:rPr>
          <w:rFonts w:eastAsiaTheme="majorEastAsia"/>
          <w:color w:val="2F5496" w:themeColor="accent1" w:themeShade="BF"/>
          <w:kern w:val="0"/>
          <w:lang w:eastAsia="en-US" w:bidi="ar-SA"/>
        </w:rPr>
      </w:pPr>
      <w:r w:rsidRPr="00163B00">
        <w:rPr>
          <w:rFonts w:eastAsiaTheme="majorEastAsia"/>
          <w:color w:val="2F5496" w:themeColor="accent1" w:themeShade="BF"/>
          <w:kern w:val="0"/>
          <w:lang w:eastAsia="en-US" w:bidi="ar-SA"/>
        </w:rPr>
        <w:t>Анализа стања: резултати и изазови</w:t>
      </w:r>
    </w:p>
    <w:p w14:paraId="509E9DA4"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Реформа јавне управе је дуготрајан процес, са последицама на свакодневни живот грађана. Ипак, неретко се дешава да грађани нису свесни тог процеса, или чак и ако имају информације о процесу, не перципирају РЈУ као нешто што директно утиче на квалитет њиховог живота. Један од разлога за то се налази у недовољној видљивости реформе јавне управе, неразвијеној стратегији комуникације и непрепознавању резултата и ефеката реформи за грађане.</w:t>
      </w:r>
      <w:r w:rsidRPr="00163B00">
        <w:rPr>
          <w:rFonts w:eastAsiaTheme="minorHAnsi"/>
          <w:kern w:val="0"/>
          <w:vertAlign w:val="superscript"/>
          <w:lang w:eastAsia="en-US" w:bidi="ar-SA"/>
        </w:rPr>
        <w:footnoteReference w:id="361"/>
      </w:r>
      <w:r w:rsidRPr="00163B00">
        <w:rPr>
          <w:rFonts w:eastAsiaTheme="minorHAnsi"/>
          <w:kern w:val="0"/>
          <w:lang w:eastAsia="en-US" w:bidi="ar-SA"/>
        </w:rPr>
        <w:t xml:space="preserve"> То је последица чињенице да Стратегија РЈУ из 2014. године не препознаје као посебан проблем начин на који шира јавност доживљава јавну управу, односно нужност континуиране комуникације са јавношћу о променама и реформским процесима у јавној управи. Поред недовољно развијене екстерне комуникације, интерна комуникација између органа јавне управе такође није довољно развијена. На то у закључак изнет у Уводном делу документа да је недовољна комуникација [између институција] један је од кључних фактора који је ограничио ефикасност спровођења Стратегије РЈУ. Ово је потврђено и у Екстерној евалуација Стратегије РЈУ, у којој се наводи да су целокупни резултати РЈУ имали ограничен домет комуникације и ограничену видљивост, како интерно, тако и екстерно.</w:t>
      </w:r>
      <w:r w:rsidRPr="00163B00">
        <w:rPr>
          <w:rFonts w:eastAsiaTheme="minorHAnsi"/>
          <w:kern w:val="0"/>
          <w:vertAlign w:val="superscript"/>
          <w:lang w:eastAsia="en-US" w:bidi="ar-SA"/>
        </w:rPr>
        <w:footnoteReference w:id="362"/>
      </w:r>
      <w:r w:rsidRPr="00163B00">
        <w:rPr>
          <w:rFonts w:eastAsiaTheme="minorHAnsi"/>
          <w:kern w:val="0"/>
          <w:lang w:eastAsia="en-US" w:bidi="ar-SA"/>
        </w:rPr>
        <w:t xml:space="preserve"> </w:t>
      </w:r>
    </w:p>
    <w:p w14:paraId="70126C73"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Ипак, од 2018. године МДУЛС, као носилац реформског процеса,  већи нагласак ставља на комуницирање процеса и резултата реформе јавне управе ка јавности. У оквиру ЕУ пројекта ЕУ за видљивост и комуницирање реформе јавне управе,</w:t>
      </w:r>
      <w:r w:rsidRPr="00163B00">
        <w:rPr>
          <w:rFonts w:eastAsiaTheme="minorHAnsi"/>
          <w:kern w:val="0"/>
          <w:vertAlign w:val="superscript"/>
          <w:lang w:eastAsia="en-US" w:bidi="ar-SA"/>
        </w:rPr>
        <w:footnoteReference w:id="363"/>
      </w:r>
      <w:r w:rsidRPr="00163B00">
        <w:rPr>
          <w:rFonts w:eastAsiaTheme="minorHAnsi"/>
          <w:kern w:val="0"/>
          <w:lang w:eastAsia="en-US" w:bidi="ar-SA"/>
        </w:rPr>
        <w:t xml:space="preserve"> крајем 2018. године је спроведено истраживање  о ставовима јавности о реформи јавне управе, које је обухватило 1.049 грађана. Циљ истраживања је био да се процени свест, знање и ставови јавности према јавној управи, државним службеницима, РЈУ, реформи управљања јавним финансијама, подршци ЕУ, као и учесталост коришћења различитих врста медија. Налази указују да је телевизија доминантан извор информација о реформи јавне управе, након чега следе портали и веб-сајтови, друштвене мреже, штампани медији, радио, штампани промотивни материјали и усмено преношење вести.</w:t>
      </w:r>
      <w:r w:rsidRPr="00163B00">
        <w:rPr>
          <w:rFonts w:eastAsiaTheme="minorHAnsi"/>
          <w:kern w:val="0"/>
          <w:vertAlign w:val="superscript"/>
          <w:lang w:eastAsia="en-US" w:bidi="ar-SA"/>
        </w:rPr>
        <w:footnoteReference w:id="364"/>
      </w:r>
      <w:r w:rsidRPr="00163B00">
        <w:rPr>
          <w:rFonts w:eastAsiaTheme="minorHAnsi"/>
          <w:kern w:val="0"/>
          <w:vertAlign w:val="superscript"/>
          <w:lang w:eastAsia="en-US" w:bidi="ar-SA"/>
        </w:rPr>
        <w:t xml:space="preserve"> </w:t>
      </w:r>
    </w:p>
    <w:p w14:paraId="0DD769BF"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Закључак истраживања чији су резултати детаљније приказани у наставку текста се укратко могу сумирати у реченици да су резултати реформе јавне управе имали ограничен домет комуникације и ограничену видљивост, те да комуникација реформи мора да буде повезана са потребама и искуствима грађана. На основу тога је у новембру 2019. године, Влада Републике Србије покренула медијску кампања Управа по мери свих нас. Кампања је креирана како би се код грађана Србије подигла свест о важности реформе јавне управе и њеној трансформацији у ефикасан, отворен и транспарентан сервис грађана и привреде, али и да се грађанима пруже информације о њиховим правима и да се охрабри њихово веће учешће у процесу доношења одлука. Основни канали комуникације у оквиру кампање обухватају телевизијске спотове, догађаје, билборде, новинске огласе и текстове.</w:t>
      </w:r>
    </w:p>
    <w:p w14:paraId="1C008281"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Основни приступ медијској кампањи је превођење бирократског језика у грађанима разумљив језик, који прате примери и постигнућа у пракси који указују на стварни напредак. На тај начин се демистификацијом процеса путем истицања видљивих користи, повећава интересовање јавности  за реформу јавне управе. </w:t>
      </w:r>
    </w:p>
    <w:p w14:paraId="5A9B5897"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Спровођење кампање „Управа по мери свих нас“, у периоду од октобра 2019. закључно са јануаром 2020. године, резултирало је између осталог у:</w:t>
      </w:r>
    </w:p>
    <w:p w14:paraId="14A28EDF" w14:textId="77777777" w:rsidR="00163B00" w:rsidRPr="00163B00" w:rsidRDefault="00163B00" w:rsidP="00E62A1A">
      <w:pPr>
        <w:numPr>
          <w:ilvl w:val="0"/>
          <w:numId w:val="63"/>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Креирању  визуелних решења која су коришћена у оквиру кампање (лого и визуелни идентитет, билборди, постери, промотивни материјали, визуали за оглашавање на интернету и на друштвеним мрежама).</w:t>
      </w:r>
    </w:p>
    <w:p w14:paraId="3B4FB7B6" w14:textId="77777777" w:rsidR="00163B00" w:rsidRPr="00163B00" w:rsidRDefault="00163B00" w:rsidP="00E62A1A">
      <w:pPr>
        <w:numPr>
          <w:ilvl w:val="0"/>
          <w:numId w:val="63"/>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ТВ спотовима емитованим укупно 5,399 пута на телевизијским станицама са националном фреквенцијом као и на мрежама кабловских оператора;</w:t>
      </w:r>
      <w:r w:rsidRPr="00163B00">
        <w:rPr>
          <w:rFonts w:eastAsiaTheme="minorHAnsi"/>
          <w:kern w:val="0"/>
          <w:vertAlign w:val="superscript"/>
          <w:lang w:eastAsia="en-US" w:bidi="ar-SA"/>
        </w:rPr>
        <w:footnoteReference w:id="365"/>
      </w:r>
    </w:p>
    <w:p w14:paraId="7C478B85" w14:textId="77777777" w:rsidR="00163B00" w:rsidRPr="00163B00" w:rsidRDefault="00163B00" w:rsidP="00E62A1A">
      <w:pPr>
        <w:numPr>
          <w:ilvl w:val="0"/>
          <w:numId w:val="63"/>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Четири различите верзије билборда у 5 градова (Београд, Нови Сад, Ниш, Крагујевац и Чачак) на 35 локација;</w:t>
      </w:r>
    </w:p>
    <w:p w14:paraId="5FC05551" w14:textId="77777777" w:rsidR="00163B00" w:rsidRPr="00163B00" w:rsidRDefault="00163B00" w:rsidP="00E62A1A">
      <w:pPr>
        <w:numPr>
          <w:ilvl w:val="0"/>
          <w:numId w:val="63"/>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Брендираним возилима градског превоза у 5 градова;</w:t>
      </w:r>
    </w:p>
    <w:p w14:paraId="7095E2C2" w14:textId="77777777" w:rsidR="00163B00" w:rsidRPr="00163B00" w:rsidRDefault="00163B00" w:rsidP="00E62A1A">
      <w:pPr>
        <w:numPr>
          <w:ilvl w:val="0"/>
          <w:numId w:val="63"/>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Банерима кампање (5 различитих верзија) који су се налазили на укупно 20 интернет портала и забележили укупно 20,340,035 приказа;</w:t>
      </w:r>
    </w:p>
    <w:p w14:paraId="4129209E" w14:textId="77777777" w:rsidR="00163B00" w:rsidRPr="00163B00" w:rsidRDefault="00163B00" w:rsidP="00E62A1A">
      <w:pPr>
        <w:numPr>
          <w:ilvl w:val="0"/>
          <w:numId w:val="63"/>
        </w:numPr>
        <w:suppressAutoHyphens w:val="0"/>
        <w:autoSpaceDN/>
        <w:spacing w:before="0" w:after="120" w:line="259" w:lineRule="auto"/>
        <w:ind w:left="419" w:hanging="357"/>
        <w:contextualSpacing/>
        <w:jc w:val="left"/>
        <w:textAlignment w:val="auto"/>
        <w:rPr>
          <w:rFonts w:eastAsiaTheme="minorHAnsi"/>
          <w:kern w:val="0"/>
          <w:lang w:eastAsia="en-US" w:bidi="ar-SA"/>
        </w:rPr>
      </w:pPr>
      <w:r w:rsidRPr="00163B00">
        <w:rPr>
          <w:rFonts w:eastAsiaTheme="minorHAnsi"/>
          <w:kern w:val="0"/>
          <w:lang w:eastAsia="en-US" w:bidi="ar-SA"/>
        </w:rPr>
        <w:t>Кампањи на профилима МДУЛС на друштвеним мрежама у току које је постављено укупно 94 спонзорисаних постова са укупним бројем приказа од 6,927,910, док је 6,791,138 посетилаца било у прилици да види садржаје. Додатно, 13,275 корисника друштвених мрежа је имало неку врсту интеракције са постављеним садржајима, док је укупна дужина прегледа видео спотова који су били постављени на друштвеним мрежама била 218,682 минута.</w:t>
      </w:r>
    </w:p>
    <w:p w14:paraId="61D515DA" w14:textId="77777777" w:rsidR="00163B00" w:rsidRPr="00163B00" w:rsidRDefault="00163B00" w:rsidP="00163B00">
      <w:pPr>
        <w:suppressAutoHyphens w:val="0"/>
        <w:autoSpaceDN/>
        <w:spacing w:before="240" w:after="120" w:line="259" w:lineRule="auto"/>
        <w:ind w:firstLine="454"/>
        <w:textAlignment w:val="auto"/>
        <w:rPr>
          <w:rFonts w:eastAsiaTheme="minorHAnsi"/>
          <w:kern w:val="0"/>
          <w:lang w:eastAsia="en-US" w:bidi="ar-SA"/>
        </w:rPr>
      </w:pPr>
      <w:r w:rsidRPr="00163B00">
        <w:rPr>
          <w:rFonts w:eastAsiaTheme="minorHAnsi"/>
          <w:kern w:val="0"/>
          <w:lang w:eastAsia="en-US" w:bidi="ar-SA"/>
        </w:rPr>
        <w:t>Истраживање јавног мњења које је спроведено пред крај кампање, у децембру 2019. и јануару 2020. године, указује на помак у повећању видљивости, али на одсуство пуног разумевања процеса.</w:t>
      </w:r>
      <w:r w:rsidRPr="00163B00">
        <w:rPr>
          <w:rFonts w:eastAsiaTheme="minorHAnsi"/>
          <w:kern w:val="0"/>
          <w:vertAlign w:val="superscript"/>
          <w:lang w:eastAsia="en-US" w:bidi="ar-SA"/>
        </w:rPr>
        <w:footnoteReference w:id="366"/>
      </w:r>
      <w:r w:rsidRPr="00163B00">
        <w:rPr>
          <w:rFonts w:eastAsiaTheme="minorHAnsi"/>
          <w:kern w:val="0"/>
          <w:vertAlign w:val="superscript"/>
          <w:lang w:eastAsia="en-US" w:bidi="ar-SA"/>
        </w:rPr>
        <w:t xml:space="preserve"> </w:t>
      </w:r>
      <w:r w:rsidRPr="00163B00">
        <w:rPr>
          <w:rFonts w:eastAsiaTheme="minorHAnsi"/>
          <w:kern w:val="0"/>
          <w:lang w:eastAsia="en-US" w:bidi="ar-SA"/>
        </w:rPr>
        <w:t xml:space="preserve"> У питању отвореног типа у ком се од испитаника очекивало да наведу неки исход или резултат реформе јавне управе, чак 80% није имало одговор. Један од разлога је тај што је у претходном периоду комуникација РЈУ превасходно била оријентисана ка појединачним активностима и резултатима, док је комуницирање процеса РЈУ, и повезаност процеса са резултатима изостало.</w:t>
      </w:r>
    </w:p>
    <w:p w14:paraId="46B43ED6"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На бази ових података МДУЛС је, уз подршку ЕУ пројекта ЕУ за видљивост и комуницирање реформе јавне управе у оквиру Секторског реформског уговора за реформу јавне управе, у мају 2020. покренуло промотивну кампању под  називом „Реформа јавне управе је…“ која у својим оквирима има медијску кампању на преко 30 националних, регионалних и локалних медија (ТВ, радио, дневне новине, интернет портали, новинске агенције), кампању и објаве на друштвеним мрежама (преко профила МДУЛС на друштвеним мрежама), коришћење посебног сегмента сајта МДУЛС посвећеног РЈУ за пласирање вести о РЈУ, штампање различитих промотивних материјала о РЈУ и друге активности. </w:t>
      </w:r>
    </w:p>
    <w:p w14:paraId="0BDB6E23"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У периоду од маја до октобра  2020. године, у склопу медијске кампање „Реформа јавне управе је…“ креирани су и објављени медијски прилози о реформи јавне управе на укупно 13 националних и 22 локална и регионална медија и то: 22 прилога на националним, 10 прилога на регионалним, 249 прилога на локалним телевизијским станицама, 3 прилога на радију, 14 прилога на локалним и регионалним порталима, 29 текстова у штампаним издањима дневних новина, 18 текстова на онлајн издањима дневних новина, 9 текстова на порталима, као и 15 агенцијских текстова. На сајту МДУЛС креиран је посебан део који је посвећен РЈУ на којем посетиоци могу да пронађу све информације о реформи, и припремљена је серија чланака.</w:t>
      </w:r>
      <w:r w:rsidRPr="00163B00">
        <w:rPr>
          <w:rFonts w:eastAsiaTheme="minorHAnsi"/>
          <w:kern w:val="0"/>
          <w:vertAlign w:val="superscript"/>
          <w:lang w:eastAsia="en-US" w:bidi="ar-SA"/>
        </w:rPr>
        <w:footnoteReference w:id="367"/>
      </w:r>
      <w:r w:rsidRPr="00163B00">
        <w:rPr>
          <w:rFonts w:eastAsiaTheme="minorHAnsi"/>
          <w:kern w:val="0"/>
          <w:vertAlign w:val="superscript"/>
          <w:lang w:eastAsia="en-US" w:bidi="ar-SA"/>
        </w:rPr>
        <w:t xml:space="preserve"> </w:t>
      </w:r>
      <w:r w:rsidRPr="00163B00">
        <w:rPr>
          <w:rFonts w:eastAsiaTheme="minorHAnsi"/>
          <w:kern w:val="0"/>
          <w:lang w:eastAsia="en-US" w:bidi="ar-SA"/>
        </w:rPr>
        <w:t xml:space="preserve"> Садржај из кампање објављен је и на профилима МДУЛС на друштвеним мрежама, и израђени су други промотивни материјала (постери, флајери).</w:t>
      </w:r>
    </w:p>
    <w:p w14:paraId="7C1CF8BF"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Циљ ове кампање је да кроз промоцију конкретних резултата РЈУ у медијима, на друштвеним мрежама, сајту МДУЛС посвећеном РЈУ и другим активностима представи јавности на једноставан, занимљив и разумљив начин РЈУ. Додатно, циљ је да се процес РЈУ повеже са конкретним резултатима које грађани и привреда већ користе, а да заправо нису ни били свесни да се ради о продуктима РЈУ. На тај начин се грађанима континуирано и на систематски начин објашњава РЈУ и показују им се добробити које им она доноси.</w:t>
      </w:r>
    </w:p>
    <w:p w14:paraId="7E7FB4E3"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Анализа медијског извештавања у 2020. години,</w:t>
      </w:r>
      <w:r w:rsidRPr="00163B00">
        <w:rPr>
          <w:rFonts w:eastAsiaTheme="minorHAnsi"/>
          <w:kern w:val="0"/>
          <w:vertAlign w:val="superscript"/>
          <w:lang w:eastAsia="en-US" w:bidi="ar-SA"/>
        </w:rPr>
        <w:footnoteReference w:id="368"/>
      </w:r>
      <w:r w:rsidRPr="00163B00">
        <w:rPr>
          <w:rFonts w:eastAsiaTheme="minorHAnsi"/>
          <w:kern w:val="0"/>
          <w:lang w:eastAsia="en-US" w:bidi="ar-SA"/>
        </w:rPr>
        <w:t xml:space="preserve"> указује да је као резултат кампање приметна значајно већа присутност РЈУ тема у медијима, као и квалитет медијског извештавања, посебно са оним медијима са којима је МДУЛС успоставио стратешку сарадњу. На пример, у другом кварталу 2020. године поједине реформске активности које се односе на унапређење пружања јавних услуга биле су широко заступљене медијима (65% од свих РЈУ тема), укључујући објаве о новим електронским услугама на порталу Е-управа, јединственим управним местима, као и контакт центру за представке и притужбе привреде и грађана републичким инспекцијама. Међутим, у великом броју случајева теме нису довођене у директну везу са РЈУ. У трећем кварталу 2020. године, поред евидентног пораста у броју, све више медијских објава стављен је у контекст реформе на начин који јасно упућује да су у питању резултати процеса РЈУ, и у којима се наводе конкретне користи за грађане и привреду. Такође, у поменутом кварталу су поједине теме РЈУ по први пут биле доминантно заступљене у медијском извештавању, као што су реформа инспекцијског надзора, процес запошљавања и стручно усавршавање у јавној управи. Самим тим, захваљујући досадашњем спровођењу кампање, присуство фокусираних РЈУ тема у медијима увећано је 4,5 пута у односу  на период од пре маја 2020. </w:t>
      </w:r>
    </w:p>
    <w:p w14:paraId="044B7243"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Поред наведеног, у оквиру ширег процеса реформе јавне управе, Република Србија од 2012. године активно учествује у међународној иницијативи Партнерство за отворену управу (у даљем тексту: ПОУ)</w:t>
      </w:r>
      <w:r w:rsidRPr="00163B00">
        <w:rPr>
          <w:rFonts w:asciiTheme="minorHAnsi" w:eastAsiaTheme="minorHAnsi" w:hAnsiTheme="minorHAnsi" w:cstheme="minorBidi"/>
          <w:kern w:val="0"/>
          <w:sz w:val="22"/>
          <w:szCs w:val="22"/>
          <w:vertAlign w:val="superscript"/>
          <w:lang w:val="en-US" w:eastAsia="en-US" w:bidi="ar-SA"/>
        </w:rPr>
        <w:footnoteReference w:id="369"/>
      </w:r>
      <w:r w:rsidRPr="00163B00">
        <w:rPr>
          <w:rFonts w:eastAsiaTheme="minorHAnsi"/>
          <w:kern w:val="0"/>
          <w:lang w:eastAsia="en-US" w:bidi="ar-SA"/>
        </w:rPr>
        <w:t xml:space="preserve"> изражавајући своју посвећеност унапређењу кључних вредности и принципа отворене управе кроз израду двогодишњих акционих планова за спровођење ове иницијативе. Кроз три акциона плана и израду четвртог која је у току,  унапређују се учешће грађана у доношењу одлука, приступ информацијама које поседују органи управе, одговорност јавних власти, фискална транспарентност и употреба технологија и иновација у раду управе, као кључне вредности које промовише и подстиче наведена иницијатива. Имајући у виду претходно, учешће у ПОУ и активности које се у оквиру њега предузимају имају изузетно важну улогу и допринос целокупном процесу реформе јавне управе у Републици Србији. У питању су два комплементарна процеса, заснована на заједничким вредностима и усмерена ка истим циљевима међусобно се подупирујући и допуњујући.</w:t>
      </w:r>
    </w:p>
    <w:p w14:paraId="5D6B2950"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Међутим, досадашња пракса, као и препоруке Независног механизма за извештавање који прати спровођење ове иницијативе у Републици Србији, указују на потребу за унапређењем начина на који се комуницира ова тема, како унутар јавне управе, тако и у односу са грађанима, приватним сектором и организацијама цивилног друштва, као посебно важним циљним групама.</w:t>
      </w:r>
      <w:r w:rsidRPr="00163B00">
        <w:rPr>
          <w:rFonts w:asciiTheme="minorHAnsi" w:eastAsiaTheme="minorHAnsi" w:hAnsiTheme="minorHAnsi" w:cstheme="minorBidi"/>
          <w:kern w:val="0"/>
          <w:sz w:val="22"/>
          <w:szCs w:val="22"/>
          <w:vertAlign w:val="superscript"/>
          <w:lang w:val="en-US" w:eastAsia="en-US" w:bidi="ar-SA"/>
        </w:rPr>
        <w:footnoteReference w:id="370"/>
      </w:r>
    </w:p>
    <w:p w14:paraId="731CCC02"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Наставак оваквих активности и у периоду на који се односи овај документ би у многоме допринео бољој информисаности грађана о РЈУ и бољем разумевању самог процеса и важности његовог спровођења и користи које он доноси за грађане и привреду у Србији.</w:t>
      </w:r>
    </w:p>
    <w:p w14:paraId="32CB62C9"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Ипак, упркос оствареним резултатима у протеклом периоду, налази поменутих истраживања указују на одређене изазове у пракси.  Један од налаза који забрињава је  28% испитаника није чуло или видело РЈУ функције било где, док се 24% није могло сетити тачне теме. Што се тиче свести о РЈУ, 24% испитаника основних истраживања зна шта је РЈУ, 26% никада није чуло за тај процес, док 46% наводи да имају свест о концепту РЈУ , али не знају шта подразумева. На основу тога се може закључити да упркос бројним успостављеним каналима комуникације и значајним напорима које су заинтересоване стране уложиле у представљање РЈУ-а, јавност остаје недовољно свесна и информисана о томе шта реформе заправо подразумевају и какве користи оне могу донети грађанима. </w:t>
      </w:r>
    </w:p>
    <w:p w14:paraId="3F998ED0"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Кључни разлози лоше комуникације реформе са грађанима, налазе се у недостатку координације комуникационих активности за промоцију РЈУ на националном нивоу, као и у недостатку људских ресурса, односно капацитета у органима јавне управе да се баве комуникацијом, као и неусклађеност и различит ниво знања како о реформи јавне управе, тако и о комуникационим каналима и вештини комуникацији генерално. С друге стране, ни грађани нису заинтересовани ни мотивисани да пронађу информације о реформи, које иначе и доживљавају као дуготрајан, скуп и бирократски процес који спроводе недовољно компетентни државни службеници. </w:t>
      </w:r>
    </w:p>
    <w:p w14:paraId="01089A95"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Даље, један од изазова у поједностављивању комуникације се односи на онлајн комуникацију. Комуникациони потенцијал онлајн алата (веб-сајтова и друштвених мрежа) није недовољно искоришћен, како услед одсуства систематског приступа који се огледа и у неуједначености међу веб-сајтовима, лошој оптимизацији за претраживаче (СЕО) и фото оптимизацији, одсуству аналитике праћења и перформанси сајта, до недовољно оригиналних садржаја, наслова и визуелних приказа. Њих прати и неуједначена пракса у коришћењу друштвених мрежа која се огледа у нередовном постављању и количини информација, неправилном и недоследном коришћењу hashtag-ова, слабој интеракцији са пратиоцима итд. Кључни недостатак у штампаним и електронским медијима је стил који је технички и информативан, и по правилу неутралан, али недовољно интересантан и без јасно изражене користи коју РЈУ има за грађане.</w:t>
      </w:r>
      <w:r w:rsidRPr="00163B00">
        <w:rPr>
          <w:rFonts w:eastAsiaTheme="minorHAnsi"/>
          <w:kern w:val="0"/>
          <w:vertAlign w:val="superscript"/>
          <w:lang w:eastAsia="en-US" w:bidi="ar-SA"/>
        </w:rPr>
        <w:footnoteReference w:id="371"/>
      </w:r>
    </w:p>
    <w:p w14:paraId="421EF183"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Ови подаци указују да је даљи напор у промовисању реформе јавне управе кроз унапређење њене видљивости неопходан, нарочито имајући и виду да нешто више од две петине свих испитаника (44%) тврди да би желело да сазна више о тој теми. Ипак, кључно је системски приступити видљивости у комуникацији РЈУ и кроз адекватне канале таргетирати посебне циљне групе. На пример, за грађане које су окренути традиционалним медијима, телевизија и штампани медији су кључни алат, док је за друге, пре свега за младе генерације, то интернет. Самим тим, упоредо са креирањем порука које би комуницирале и процес и резултате РЈУ, поруке би такође требало прилагодити овим групама.</w:t>
      </w:r>
    </w:p>
    <w:p w14:paraId="38240EF3"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sectPr w:rsidR="00163B00" w:rsidRPr="00163B00">
          <w:pgSz w:w="12240" w:h="15840"/>
          <w:pgMar w:top="1440" w:right="1440" w:bottom="1440" w:left="1440" w:header="720" w:footer="720" w:gutter="0"/>
          <w:cols w:space="720"/>
          <w:docGrid w:linePitch="360"/>
        </w:sectPr>
      </w:pPr>
      <w:r w:rsidRPr="00163B00">
        <w:rPr>
          <w:rFonts w:eastAsiaTheme="minorHAnsi"/>
          <w:kern w:val="0"/>
          <w:lang w:eastAsia="en-US" w:bidi="ar-SA"/>
        </w:rPr>
        <w:t>У наредном периоду на који се односи овај документ би требало системски приступити комуникационом делу РЈУ, што би у многоме допринело бољој информисаности грађана о РЈУ и бољем разумевању самог процеса и важности његовог спровођења и користи које он доноси за грађане и привреду у Србији.</w:t>
      </w:r>
    </w:p>
    <w:p w14:paraId="5A5E55D8"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r w:rsidRPr="00163B00">
        <w:rPr>
          <w:rFonts w:eastAsiaTheme="minorHAnsi"/>
          <w:b/>
          <w:bCs/>
          <w:kern w:val="0"/>
          <w:lang w:eastAsia="en-US" w:bidi="ar-SA"/>
        </w:rPr>
        <w:t>Дрво проблема комуницирања РЈУ</w:t>
      </w:r>
    </w:p>
    <w:p w14:paraId="701029F0"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lang w:eastAsia="en-US" w:bidi="ar-SA"/>
        </w:rPr>
      </w:pPr>
      <w:r w:rsidRPr="00163B00">
        <w:rPr>
          <w:rFonts w:eastAsiaTheme="minorHAnsi"/>
          <w:b/>
          <w:bCs/>
          <w:noProof/>
          <w:kern w:val="0"/>
          <w:lang w:val="en-US" w:eastAsia="en-US" w:bidi="ar-SA"/>
        </w:rPr>
        <mc:AlternateContent>
          <mc:Choice Requires="wpg">
            <w:drawing>
              <wp:anchor distT="0" distB="0" distL="114300" distR="114300" simplePos="0" relativeHeight="252166656" behindDoc="0" locked="0" layoutInCell="1" allowOverlap="1" wp14:anchorId="5B6BDAF6" wp14:editId="53BBEBAE">
                <wp:simplePos x="0" y="0"/>
                <wp:positionH relativeFrom="column">
                  <wp:posOffset>-38100</wp:posOffset>
                </wp:positionH>
                <wp:positionV relativeFrom="paragraph">
                  <wp:posOffset>293370</wp:posOffset>
                </wp:positionV>
                <wp:extent cx="8770620" cy="5356860"/>
                <wp:effectExtent l="0" t="0" r="11430" b="15240"/>
                <wp:wrapNone/>
                <wp:docPr id="162" name="Group 162"/>
                <wp:cNvGraphicFramePr/>
                <a:graphic xmlns:a="http://schemas.openxmlformats.org/drawingml/2006/main">
                  <a:graphicData uri="http://schemas.microsoft.com/office/word/2010/wordprocessingGroup">
                    <wpg:wgp>
                      <wpg:cNvGrpSpPr/>
                      <wpg:grpSpPr>
                        <a:xfrm>
                          <a:off x="0" y="0"/>
                          <a:ext cx="8770620" cy="5356860"/>
                          <a:chOff x="0" y="22860"/>
                          <a:chExt cx="8770620" cy="5356860"/>
                        </a:xfrm>
                      </wpg:grpSpPr>
                      <wps:wsp>
                        <wps:cNvPr id="163" name="Rectangle: Rounded Corners 1"/>
                        <wps:cNvSpPr/>
                        <wps:spPr>
                          <a:xfrm>
                            <a:off x="38100" y="1729740"/>
                            <a:ext cx="8691245" cy="466725"/>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45B99F3B" w14:textId="77777777" w:rsidR="00876FFE" w:rsidRPr="003274FB" w:rsidRDefault="00876FFE" w:rsidP="00163B00">
                              <w:pPr>
                                <w:jc w:val="center"/>
                                <w:rPr>
                                  <w:rFonts w:cstheme="minorHAnsi"/>
                                  <w:b/>
                                  <w:bCs/>
                                  <w:sz w:val="36"/>
                                  <w:szCs w:val="36"/>
                                </w:rPr>
                              </w:pPr>
                              <w:r w:rsidRPr="003274FB">
                                <w:rPr>
                                  <w:rFonts w:cstheme="minorHAnsi"/>
                                  <w:b/>
                                  <w:bCs/>
                                  <w:sz w:val="36"/>
                                  <w:szCs w:val="36"/>
                                </w:rPr>
                                <w:t>Недовољна информисаност јавности о реформи јавне</w:t>
                              </w:r>
                              <w:r w:rsidRPr="003274FB">
                                <w:rPr>
                                  <w:rFonts w:ascii="Verdana" w:hAnsi="Verdana"/>
                                  <w:b/>
                                  <w:bCs/>
                                  <w:sz w:val="36"/>
                                  <w:szCs w:val="36"/>
                                </w:rPr>
                                <w:t xml:space="preserve"> </w:t>
                              </w:r>
                              <w:r w:rsidRPr="003274FB">
                                <w:rPr>
                                  <w:rFonts w:cstheme="minorHAnsi"/>
                                  <w:b/>
                                  <w:bCs/>
                                  <w:sz w:val="36"/>
                                  <w:szCs w:val="36"/>
                                </w:rPr>
                                <w:t xml:space="preserve">управе </w:t>
                              </w:r>
                            </w:p>
                            <w:p w14:paraId="7D1E72D8" w14:textId="77777777" w:rsidR="00876FFE" w:rsidRPr="003274FB" w:rsidRDefault="00876FFE" w:rsidP="00163B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Rounded Corners 3"/>
                        <wps:cNvSpPr/>
                        <wps:spPr>
                          <a:xfrm>
                            <a:off x="38100" y="2278380"/>
                            <a:ext cx="2214245" cy="1193800"/>
                          </a:xfrm>
                          <a:prstGeom prst="roundRect">
                            <a:avLst/>
                          </a:prstGeom>
                          <a:solidFill>
                            <a:sysClr val="window" lastClr="FFFFFF"/>
                          </a:solidFill>
                          <a:ln w="12700" cap="flat" cmpd="sng" algn="ctr">
                            <a:solidFill>
                              <a:srgbClr val="70AD47"/>
                            </a:solidFill>
                            <a:prstDash val="solid"/>
                            <a:miter lim="800000"/>
                          </a:ln>
                          <a:effectLst/>
                        </wps:spPr>
                        <wps:txbx>
                          <w:txbxContent>
                            <w:p w14:paraId="7D95A9FC" w14:textId="77777777" w:rsidR="00876FFE" w:rsidRPr="003274FB" w:rsidRDefault="00876FFE" w:rsidP="00163B00">
                              <w:pPr>
                                <w:jc w:val="center"/>
                                <w:rPr>
                                  <w:rFonts w:cstheme="minorHAnsi"/>
                                  <w:b/>
                                  <w:bCs/>
                                  <w:color w:val="000000" w:themeColor="text1"/>
                                  <w:sz w:val="20"/>
                                  <w:szCs w:val="20"/>
                                </w:rPr>
                              </w:pPr>
                              <w:r w:rsidRPr="003274FB">
                                <w:rPr>
                                  <w:rFonts w:cstheme="minorHAnsi"/>
                                  <w:b/>
                                  <w:bCs/>
                                  <w:color w:val="000000" w:themeColor="text1"/>
                                  <w:sz w:val="20"/>
                                  <w:szCs w:val="20"/>
                                </w:rPr>
                                <w:t>Недостатак координације у планирању и спровођењу комуникационих активности за промоцију РЈУ на националном нивоу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Rounded Corners 5"/>
                        <wps:cNvSpPr/>
                        <wps:spPr>
                          <a:xfrm>
                            <a:off x="2415540" y="2301240"/>
                            <a:ext cx="2484120" cy="1200150"/>
                          </a:xfrm>
                          <a:prstGeom prst="roundRect">
                            <a:avLst/>
                          </a:prstGeom>
                          <a:solidFill>
                            <a:sysClr val="window" lastClr="FFFFFF"/>
                          </a:solidFill>
                          <a:ln w="12700" cap="flat" cmpd="sng" algn="ctr">
                            <a:solidFill>
                              <a:srgbClr val="70AD47"/>
                            </a:solidFill>
                            <a:prstDash val="solid"/>
                            <a:miter lim="800000"/>
                          </a:ln>
                          <a:effectLst/>
                        </wps:spPr>
                        <wps:txbx>
                          <w:txbxContent>
                            <w:p w14:paraId="330FD3E1" w14:textId="77777777" w:rsidR="00876FFE" w:rsidRPr="003274FB" w:rsidRDefault="00876FFE" w:rsidP="00163B00">
                              <w:pPr>
                                <w:jc w:val="center"/>
                                <w:rPr>
                                  <w:rFonts w:cstheme="minorHAnsi"/>
                                  <w:b/>
                                  <w:bCs/>
                                  <w:color w:val="000000" w:themeColor="text1"/>
                                  <w:sz w:val="20"/>
                                  <w:szCs w:val="20"/>
                                </w:rPr>
                              </w:pPr>
                              <w:r w:rsidRPr="003274FB">
                                <w:rPr>
                                  <w:rFonts w:cstheme="minorHAnsi"/>
                                  <w:b/>
                                  <w:bCs/>
                                  <w:color w:val="000000" w:themeColor="text1"/>
                                  <w:sz w:val="20"/>
                                  <w:szCs w:val="20"/>
                                </w:rPr>
                                <w:t xml:space="preserve">Недостатак усклађеног и стандардизованог комуницирања РЈУ унутар институција јавне управе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Rounded Corners 6"/>
                        <wps:cNvSpPr/>
                        <wps:spPr>
                          <a:xfrm>
                            <a:off x="5039995" y="2301240"/>
                            <a:ext cx="3700780" cy="1182370"/>
                          </a:xfrm>
                          <a:prstGeom prst="roundRect">
                            <a:avLst/>
                          </a:prstGeom>
                          <a:solidFill>
                            <a:sysClr val="window" lastClr="FFFFFF"/>
                          </a:solidFill>
                          <a:ln w="12700" cap="flat" cmpd="sng" algn="ctr">
                            <a:solidFill>
                              <a:srgbClr val="70AD47"/>
                            </a:solidFill>
                            <a:prstDash val="solid"/>
                            <a:miter lim="800000"/>
                          </a:ln>
                          <a:effectLst/>
                        </wps:spPr>
                        <wps:txbx>
                          <w:txbxContent>
                            <w:p w14:paraId="13498B2C" w14:textId="77777777" w:rsidR="00876FFE" w:rsidRPr="003274FB" w:rsidRDefault="00876FFE" w:rsidP="00163B00">
                              <w:pPr>
                                <w:jc w:val="center"/>
                                <w:rPr>
                                  <w:b/>
                                  <w:color w:val="000000" w:themeColor="text1"/>
                                  <w:sz w:val="20"/>
                                  <w:szCs w:val="20"/>
                                </w:rPr>
                              </w:pPr>
                              <w:r w:rsidRPr="003274FB">
                                <w:rPr>
                                  <w:b/>
                                  <w:color w:val="000000" w:themeColor="text1"/>
                                  <w:sz w:val="20"/>
                                  <w:szCs w:val="20"/>
                                </w:rPr>
                                <w:t xml:space="preserve">Недовољна видљивост и комуницирање процеса РЈУ и њених резултата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Rounded Corners 7"/>
                        <wps:cNvSpPr/>
                        <wps:spPr>
                          <a:xfrm>
                            <a:off x="1883410" y="22860"/>
                            <a:ext cx="2889250" cy="704215"/>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7360B0E2" w14:textId="77777777" w:rsidR="00876FFE" w:rsidRPr="00D21FC7" w:rsidRDefault="00876FFE" w:rsidP="00163B00">
                              <w:pPr>
                                <w:jc w:val="center"/>
                                <w:rPr>
                                  <w:rFonts w:cstheme="minorHAnsi"/>
                                  <w:color w:val="000000" w:themeColor="text1"/>
                                  <w:sz w:val="20"/>
                                  <w:szCs w:val="20"/>
                                </w:rPr>
                              </w:pPr>
                              <w:r w:rsidRPr="00D21FC7">
                                <w:rPr>
                                  <w:rFonts w:cstheme="minorHAnsi"/>
                                  <w:color w:val="000000" w:themeColor="text1"/>
                                  <w:sz w:val="20"/>
                                  <w:szCs w:val="20"/>
                                </w:rPr>
                                <w:t>Запослени у јавној управи нису у довољној мери и на систематизован начин информисани о реформи јавне управе и њеним резултатима.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Rounded Corners 10"/>
                        <wps:cNvSpPr/>
                        <wps:spPr>
                          <a:xfrm>
                            <a:off x="1864360" y="798195"/>
                            <a:ext cx="2895600" cy="874395"/>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3764F9C6" w14:textId="77777777" w:rsidR="00876FFE" w:rsidRPr="00D21FC7" w:rsidRDefault="00876FFE" w:rsidP="00163B00">
                              <w:pPr>
                                <w:jc w:val="center"/>
                                <w:rPr>
                                  <w:color w:val="000000" w:themeColor="text1"/>
                                  <w:sz w:val="20"/>
                                  <w:szCs w:val="20"/>
                                </w:rPr>
                              </w:pPr>
                              <w:r w:rsidRPr="00D21FC7">
                                <w:rPr>
                                  <w:color w:val="000000" w:themeColor="text1"/>
                                  <w:sz w:val="20"/>
                                  <w:szCs w:val="20"/>
                                </w:rPr>
                                <w:t>Запослени у јавној управи нису довољно информисани о њиховој улози у процесу РЈУ, као и какав ће ути</w:t>
                              </w:r>
                              <w:r>
                                <w:rPr>
                                  <w:color w:val="000000" w:themeColor="text1"/>
                                  <w:sz w:val="20"/>
                                  <w:szCs w:val="20"/>
                                </w:rPr>
                                <w:t>цај она имати на њихов положај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Rounded Corners 11"/>
                        <wps:cNvSpPr/>
                        <wps:spPr>
                          <a:xfrm>
                            <a:off x="5052060" y="4071620"/>
                            <a:ext cx="1905000" cy="1290320"/>
                          </a:xfrm>
                          <a:prstGeom prst="roundRect">
                            <a:avLst/>
                          </a:prstGeom>
                          <a:solidFill>
                            <a:sysClr val="window" lastClr="FFFFFF"/>
                          </a:solidFill>
                          <a:ln w="12700" cap="flat" cmpd="sng" algn="ctr">
                            <a:solidFill>
                              <a:srgbClr val="70AD47"/>
                            </a:solidFill>
                            <a:prstDash val="solid"/>
                            <a:miter lim="800000"/>
                          </a:ln>
                          <a:effectLst/>
                        </wps:spPr>
                        <wps:txbx>
                          <w:txbxContent>
                            <w:p w14:paraId="1A070E49" w14:textId="77777777" w:rsidR="00876FFE" w:rsidRPr="003274FB" w:rsidRDefault="00876FFE" w:rsidP="00163B00">
                              <w:pPr>
                                <w:jc w:val="center"/>
                                <w:rPr>
                                  <w:color w:val="000000" w:themeColor="text1"/>
                                  <w:sz w:val="20"/>
                                  <w:szCs w:val="20"/>
                                </w:rPr>
                              </w:pPr>
                              <w:bookmarkStart w:id="347" w:name="_Hlk50022947"/>
                              <w:bookmarkStart w:id="348" w:name="_Hlk50022948"/>
                              <w:bookmarkStart w:id="349" w:name="_Hlk50022949"/>
                              <w:bookmarkStart w:id="350" w:name="_Hlk50022950"/>
                              <w:bookmarkStart w:id="351" w:name="_Hlk50022953"/>
                              <w:bookmarkStart w:id="352" w:name="_Hlk50022954"/>
                              <w:r w:rsidRPr="003274FB">
                                <w:rPr>
                                  <w:color w:val="000000" w:themeColor="text1"/>
                                  <w:sz w:val="20"/>
                                  <w:szCs w:val="20"/>
                                </w:rPr>
                                <w:t xml:space="preserve">Недостатак капацитета (људи, знање, вештине, финансијска средства) у институцијама јавне управе потребних за комуницирање РЈУ. </w:t>
                              </w:r>
                              <w:bookmarkEnd w:id="347"/>
                              <w:bookmarkEnd w:id="348"/>
                              <w:bookmarkEnd w:id="349"/>
                              <w:bookmarkEnd w:id="350"/>
                              <w:bookmarkEnd w:id="351"/>
                              <w:bookmarkEnd w:id="3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Rounded Corners 12"/>
                        <wps:cNvSpPr/>
                        <wps:spPr>
                          <a:xfrm>
                            <a:off x="38100" y="3581400"/>
                            <a:ext cx="2276157" cy="633413"/>
                          </a:xfrm>
                          <a:prstGeom prst="roundRect">
                            <a:avLst/>
                          </a:prstGeom>
                          <a:solidFill>
                            <a:sysClr val="window" lastClr="FFFFFF"/>
                          </a:solidFill>
                          <a:ln w="12700" cap="flat" cmpd="sng" algn="ctr">
                            <a:solidFill>
                              <a:srgbClr val="70AD47"/>
                            </a:solidFill>
                            <a:prstDash val="solid"/>
                            <a:miter lim="800000"/>
                          </a:ln>
                          <a:effectLst/>
                        </wps:spPr>
                        <wps:txbx>
                          <w:txbxContent>
                            <w:p w14:paraId="0CE0D18B" w14:textId="77777777" w:rsidR="00876FFE" w:rsidRPr="003274FB" w:rsidRDefault="00876FFE" w:rsidP="00163B00">
                              <w:pPr>
                                <w:jc w:val="center"/>
                                <w:rPr>
                                  <w:rFonts w:cstheme="minorHAnsi"/>
                                  <w:color w:val="000000" w:themeColor="text1"/>
                                  <w:sz w:val="20"/>
                                  <w:szCs w:val="20"/>
                                </w:rPr>
                              </w:pPr>
                              <w:r w:rsidRPr="003274FB">
                                <w:rPr>
                                  <w:rFonts w:cstheme="minorHAnsi"/>
                                  <w:color w:val="000000" w:themeColor="text1"/>
                                  <w:sz w:val="20"/>
                                  <w:szCs w:val="20"/>
                                </w:rPr>
                                <w:t>На нивоу централне власти не постоји ниједно тело које се бави координацијом комуницирања РЈУ.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Rounded Corners 13"/>
                        <wps:cNvSpPr/>
                        <wps:spPr>
                          <a:xfrm>
                            <a:off x="5058410" y="3531870"/>
                            <a:ext cx="1843572" cy="485775"/>
                          </a:xfrm>
                          <a:prstGeom prst="roundRect">
                            <a:avLst/>
                          </a:prstGeom>
                          <a:solidFill>
                            <a:sysClr val="window" lastClr="FFFFFF"/>
                          </a:solidFill>
                          <a:ln w="12700" cap="flat" cmpd="sng" algn="ctr">
                            <a:solidFill>
                              <a:srgbClr val="70AD47"/>
                            </a:solidFill>
                            <a:prstDash val="solid"/>
                            <a:miter lim="800000"/>
                          </a:ln>
                          <a:effectLst/>
                        </wps:spPr>
                        <wps:txbx>
                          <w:txbxContent>
                            <w:p w14:paraId="77749807" w14:textId="77777777" w:rsidR="00876FFE" w:rsidRPr="003274FB" w:rsidRDefault="00876FFE" w:rsidP="00163B00">
                              <w:pPr>
                                <w:jc w:val="center"/>
                                <w:rPr>
                                  <w:color w:val="000000" w:themeColor="text1"/>
                                  <w:sz w:val="20"/>
                                  <w:szCs w:val="20"/>
                                </w:rPr>
                              </w:pPr>
                              <w:bookmarkStart w:id="353" w:name="_Hlk50020998"/>
                              <w:bookmarkStart w:id="354" w:name="_Hlk50020999"/>
                              <w:r w:rsidRPr="003274FB">
                                <w:rPr>
                                  <w:color w:val="000000" w:themeColor="text1"/>
                                  <w:sz w:val="20"/>
                                  <w:szCs w:val="20"/>
                                </w:rPr>
                                <w:t>Јавна управа је често затворена за јавност</w:t>
                              </w:r>
                              <w:bookmarkEnd w:id="353"/>
                              <w:bookmarkEnd w:id="3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Rounded Corners 14"/>
                        <wps:cNvSpPr/>
                        <wps:spPr>
                          <a:xfrm>
                            <a:off x="6979920" y="3525520"/>
                            <a:ext cx="1775460" cy="485775"/>
                          </a:xfrm>
                          <a:prstGeom prst="roundRect">
                            <a:avLst/>
                          </a:prstGeom>
                          <a:solidFill>
                            <a:sysClr val="window" lastClr="FFFFFF"/>
                          </a:solidFill>
                          <a:ln w="12700" cap="flat" cmpd="sng" algn="ctr">
                            <a:solidFill>
                              <a:srgbClr val="70AD47"/>
                            </a:solidFill>
                            <a:prstDash val="solid"/>
                            <a:miter lim="800000"/>
                          </a:ln>
                          <a:effectLst/>
                        </wps:spPr>
                        <wps:txbx>
                          <w:txbxContent>
                            <w:p w14:paraId="4D6A32B7" w14:textId="77777777" w:rsidR="00876FFE" w:rsidRPr="003274FB" w:rsidRDefault="00876FFE" w:rsidP="00163B00">
                              <w:pPr>
                                <w:jc w:val="center"/>
                                <w:rPr>
                                  <w:color w:val="000000" w:themeColor="text1"/>
                                  <w:sz w:val="20"/>
                                  <w:szCs w:val="20"/>
                                </w:rPr>
                              </w:pPr>
                              <w:r w:rsidRPr="003274FB">
                                <w:rPr>
                                  <w:color w:val="000000" w:themeColor="text1"/>
                                  <w:sz w:val="20"/>
                                  <w:szCs w:val="20"/>
                                </w:rPr>
                                <w:t>Медији нису заинтересовани за РЈУ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Rounded Corners 15"/>
                        <wps:cNvSpPr/>
                        <wps:spPr>
                          <a:xfrm>
                            <a:off x="7010400" y="4061460"/>
                            <a:ext cx="1752600" cy="533400"/>
                          </a:xfrm>
                          <a:prstGeom prst="roundRect">
                            <a:avLst/>
                          </a:prstGeom>
                          <a:solidFill>
                            <a:sysClr val="window" lastClr="FFFFFF"/>
                          </a:solidFill>
                          <a:ln w="12700" cap="flat" cmpd="sng" algn="ctr">
                            <a:solidFill>
                              <a:srgbClr val="70AD47"/>
                            </a:solidFill>
                            <a:prstDash val="solid"/>
                            <a:miter lim="800000"/>
                          </a:ln>
                          <a:effectLst/>
                        </wps:spPr>
                        <wps:txbx>
                          <w:txbxContent>
                            <w:p w14:paraId="705B6C1B" w14:textId="77777777" w:rsidR="00876FFE" w:rsidRPr="003274FB" w:rsidRDefault="00876FFE" w:rsidP="00163B00">
                              <w:pPr>
                                <w:jc w:val="center"/>
                                <w:rPr>
                                  <w:color w:val="000000" w:themeColor="text1"/>
                                  <w:sz w:val="20"/>
                                  <w:szCs w:val="20"/>
                                </w:rPr>
                              </w:pPr>
                              <w:bookmarkStart w:id="355" w:name="_Hlk50024948"/>
                              <w:bookmarkStart w:id="356" w:name="_Hlk50024949"/>
                              <w:bookmarkStart w:id="357" w:name="_Hlk50024950"/>
                              <w:bookmarkStart w:id="358" w:name="_Hlk50024951"/>
                              <w:bookmarkStart w:id="359" w:name="_Hlk50024954"/>
                              <w:bookmarkStart w:id="360" w:name="_Hlk50024955"/>
                              <w:r w:rsidRPr="003274FB">
                                <w:rPr>
                                  <w:color w:val="000000" w:themeColor="text1"/>
                                  <w:sz w:val="20"/>
                                  <w:szCs w:val="20"/>
                                </w:rPr>
                                <w:t>Бирократски речник јавне управе</w:t>
                              </w:r>
                              <w:bookmarkEnd w:id="355"/>
                              <w:bookmarkEnd w:id="356"/>
                              <w:bookmarkEnd w:id="357"/>
                              <w:bookmarkEnd w:id="358"/>
                              <w:bookmarkEnd w:id="359"/>
                              <w:bookmarkEnd w:id="3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Rounded Corners 16"/>
                        <wps:cNvSpPr/>
                        <wps:spPr>
                          <a:xfrm>
                            <a:off x="6819900" y="22860"/>
                            <a:ext cx="1798320" cy="791210"/>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3FD2CC22" w14:textId="77777777" w:rsidR="00876FFE" w:rsidRPr="00D21FC7" w:rsidRDefault="00876FFE" w:rsidP="00163B00">
                              <w:pPr>
                                <w:jc w:val="center"/>
                                <w:rPr>
                                  <w:color w:val="000000" w:themeColor="text1"/>
                                  <w:sz w:val="20"/>
                                  <w:szCs w:val="20"/>
                                </w:rPr>
                              </w:pPr>
                              <w:bookmarkStart w:id="361" w:name="_Hlk50025002"/>
                              <w:bookmarkStart w:id="362" w:name="_Hlk50025003"/>
                              <w:r w:rsidRPr="00D21FC7">
                                <w:rPr>
                                  <w:color w:val="000000" w:themeColor="text1"/>
                                  <w:sz w:val="20"/>
                                  <w:szCs w:val="20"/>
                                </w:rPr>
                                <w:t>Грађани немају поверења у РЈУ и не виде је као нешто што је важно за њих.</w:t>
                              </w:r>
                              <w:bookmarkEnd w:id="361"/>
                              <w:bookmarkEnd w:id="3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Rounded Corners 17"/>
                        <wps:cNvSpPr/>
                        <wps:spPr>
                          <a:xfrm>
                            <a:off x="6819900" y="853440"/>
                            <a:ext cx="1861185" cy="804545"/>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0C9A745B" w14:textId="77777777" w:rsidR="00876FFE" w:rsidRPr="00D21FC7" w:rsidRDefault="00876FFE" w:rsidP="00163B00">
                              <w:pPr>
                                <w:jc w:val="center"/>
                                <w:rPr>
                                  <w:color w:val="000000" w:themeColor="text1"/>
                                  <w:sz w:val="20"/>
                                  <w:szCs w:val="20"/>
                                </w:rPr>
                              </w:pPr>
                              <w:bookmarkStart w:id="363" w:name="_Hlk50026587"/>
                              <w:bookmarkStart w:id="364" w:name="_Hlk50026588"/>
                              <w:r w:rsidRPr="00D21FC7">
                                <w:rPr>
                                  <w:color w:val="000000" w:themeColor="text1"/>
                                  <w:sz w:val="20"/>
                                  <w:szCs w:val="20"/>
                                </w:rPr>
                                <w:t xml:space="preserve">Разлика између обећаног и урађеног (пример услуга јавне управе за грађане које не функционишу или касне). </w:t>
                              </w:r>
                              <w:bookmarkEnd w:id="363"/>
                              <w:bookmarkEnd w:id="3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Rounded Corners 19"/>
                        <wps:cNvSpPr/>
                        <wps:spPr>
                          <a:xfrm>
                            <a:off x="106680" y="38100"/>
                            <a:ext cx="1620520" cy="1634490"/>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53EFBBFF" w14:textId="77777777" w:rsidR="00876FFE" w:rsidRPr="00C91E3F" w:rsidRDefault="00876FFE" w:rsidP="00163B00">
                              <w:pPr>
                                <w:jc w:val="center"/>
                                <w:rPr>
                                  <w:rFonts w:cstheme="minorHAnsi"/>
                                  <w:color w:val="000000" w:themeColor="text1"/>
                                  <w:sz w:val="20"/>
                                  <w:szCs w:val="20"/>
                                </w:rPr>
                              </w:pPr>
                              <w:r w:rsidRPr="00D21FC7">
                                <w:rPr>
                                  <w:rFonts w:cstheme="minorHAnsi"/>
                                  <w:color w:val="000000" w:themeColor="text1"/>
                                  <w:sz w:val="20"/>
                                  <w:szCs w:val="20"/>
                                </w:rPr>
                                <w:t xml:space="preserve">Недостатак координације </w:t>
                              </w:r>
                              <w:r>
                                <w:rPr>
                                  <w:rFonts w:cstheme="minorHAnsi"/>
                                  <w:color w:val="000000" w:themeColor="text1"/>
                                  <w:sz w:val="20"/>
                                  <w:szCs w:val="20"/>
                                </w:rPr>
                                <w:t xml:space="preserve">и </w:t>
                              </w:r>
                              <w:r w:rsidRPr="00D21FC7">
                                <w:rPr>
                                  <w:rFonts w:cstheme="minorHAnsi"/>
                                  <w:color w:val="000000" w:themeColor="text1"/>
                                  <w:sz w:val="20"/>
                                  <w:szCs w:val="20"/>
                                </w:rPr>
                                <w:t>преклапање различитих комуникационих активности у вези са РЈ</w:t>
                              </w:r>
                              <w:r>
                                <w:rPr>
                                  <w:rFonts w:cstheme="minorHAnsi"/>
                                  <w:color w:val="000000" w:themeColor="text1"/>
                                  <w:sz w:val="20"/>
                                  <w:szCs w:val="20"/>
                                </w:rPr>
                                <w:t>У  код грађана ствара конфузију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Rounded Corners 20"/>
                        <wps:cNvSpPr/>
                        <wps:spPr>
                          <a:xfrm>
                            <a:off x="4876180" y="30480"/>
                            <a:ext cx="1905620" cy="932180"/>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78D38E52" w14:textId="77777777" w:rsidR="00876FFE" w:rsidRPr="00D21FC7" w:rsidRDefault="00876FFE" w:rsidP="00163B00">
                              <w:pPr>
                                <w:jc w:val="center"/>
                                <w:rPr>
                                  <w:color w:val="000000" w:themeColor="text1"/>
                                  <w:sz w:val="20"/>
                                  <w:szCs w:val="20"/>
                                </w:rPr>
                              </w:pPr>
                              <w:bookmarkStart w:id="365" w:name="_Hlk50027337"/>
                              <w:bookmarkStart w:id="366" w:name="_Hlk50027338"/>
                              <w:bookmarkStart w:id="367" w:name="_Hlk50027339"/>
                              <w:bookmarkStart w:id="368" w:name="_Hlk50027340"/>
                              <w:bookmarkStart w:id="369" w:name="_Hlk50027342"/>
                              <w:bookmarkStart w:id="370" w:name="_Hlk50027343"/>
                              <w:r w:rsidRPr="00D21FC7">
                                <w:rPr>
                                  <w:color w:val="000000" w:themeColor="text1"/>
                                  <w:sz w:val="20"/>
                                  <w:szCs w:val="20"/>
                                </w:rPr>
                                <w:t xml:space="preserve">Јавност није довољно информисана о томе како може да буде укључена у процес </w:t>
                              </w:r>
                              <w:bookmarkEnd w:id="365"/>
                              <w:bookmarkEnd w:id="366"/>
                              <w:bookmarkEnd w:id="367"/>
                              <w:bookmarkEnd w:id="368"/>
                              <w:bookmarkEnd w:id="369"/>
                              <w:bookmarkEnd w:id="370"/>
                              <w:r>
                                <w:rPr>
                                  <w:color w:val="000000" w:themeColor="text1"/>
                                  <w:sz w:val="20"/>
                                  <w:szCs w:val="20"/>
                                </w:rPr>
                                <w:t>РЈУ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Rounded Corners 21"/>
                        <wps:cNvSpPr/>
                        <wps:spPr>
                          <a:xfrm>
                            <a:off x="4851400" y="1032510"/>
                            <a:ext cx="1930400" cy="640080"/>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14:paraId="309C8DE3" w14:textId="77777777" w:rsidR="00876FFE" w:rsidRPr="00D21FC7" w:rsidRDefault="00876FFE" w:rsidP="00163B00">
                              <w:pPr>
                                <w:jc w:val="center"/>
                                <w:rPr>
                                  <w:color w:val="000000" w:themeColor="text1"/>
                                  <w:sz w:val="20"/>
                                  <w:szCs w:val="20"/>
                                </w:rPr>
                              </w:pPr>
                              <w:bookmarkStart w:id="371" w:name="_Hlk50027396"/>
                              <w:bookmarkStart w:id="372" w:name="_Hlk50027397"/>
                              <w:r w:rsidRPr="00D21FC7">
                                <w:rPr>
                                  <w:color w:val="000000" w:themeColor="text1"/>
                                  <w:sz w:val="20"/>
                                  <w:szCs w:val="20"/>
                                </w:rPr>
                                <w:t xml:space="preserve">Јавност не повезује РЈУ са њеним резултатима </w:t>
                              </w:r>
                              <w:bookmarkEnd w:id="371"/>
                              <w:bookmarkEnd w:id="372"/>
                              <w:r w:rsidRPr="00D21FC7">
                                <w:rPr>
                                  <w:color w:val="000000" w:themeColor="text1"/>
                                  <w:sz w:val="20"/>
                                  <w:szCs w:val="20"/>
                                </w:rPr>
                                <w:t>с</w:t>
                              </w:r>
                              <w:r>
                                <w:rPr>
                                  <w:color w:val="000000" w:themeColor="text1"/>
                                  <w:sz w:val="20"/>
                                  <w:szCs w:val="20"/>
                                </w:rPr>
                                <w:t>а којима се свакодневно сусрећу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Rounded Corners 22"/>
                        <wps:cNvSpPr/>
                        <wps:spPr>
                          <a:xfrm>
                            <a:off x="7010400" y="4639310"/>
                            <a:ext cx="1760220" cy="702945"/>
                          </a:xfrm>
                          <a:prstGeom prst="roundRect">
                            <a:avLst/>
                          </a:prstGeom>
                          <a:solidFill>
                            <a:sysClr val="window" lastClr="FFFFFF"/>
                          </a:solidFill>
                          <a:ln w="12700" cap="flat" cmpd="sng" algn="ctr">
                            <a:solidFill>
                              <a:srgbClr val="70AD47"/>
                            </a:solidFill>
                            <a:prstDash val="solid"/>
                            <a:miter lim="800000"/>
                          </a:ln>
                          <a:effectLst/>
                        </wps:spPr>
                        <wps:txbx>
                          <w:txbxContent>
                            <w:p w14:paraId="62C07560" w14:textId="77777777" w:rsidR="00876FFE" w:rsidRPr="003274FB" w:rsidRDefault="00876FFE" w:rsidP="00163B00">
                              <w:pPr>
                                <w:jc w:val="center"/>
                                <w:rPr>
                                  <w:color w:val="000000" w:themeColor="text1"/>
                                  <w:sz w:val="20"/>
                                  <w:szCs w:val="20"/>
                                </w:rPr>
                              </w:pPr>
                              <w:bookmarkStart w:id="373" w:name="_Hlk50027428"/>
                              <w:bookmarkStart w:id="374" w:name="_Hlk50027429"/>
                              <w:r w:rsidRPr="003274FB">
                                <w:rPr>
                                  <w:color w:val="000000" w:themeColor="text1"/>
                                  <w:sz w:val="20"/>
                                  <w:szCs w:val="20"/>
                                </w:rPr>
                                <w:t xml:space="preserve">Грађани под јавном управом сматрају све што има везе са државом. </w:t>
                              </w:r>
                              <w:bookmarkEnd w:id="373"/>
                              <w:bookmarkEnd w:id="37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Rounded Corners 9"/>
                        <wps:cNvSpPr/>
                        <wps:spPr>
                          <a:xfrm>
                            <a:off x="0" y="4312920"/>
                            <a:ext cx="2324100" cy="1066800"/>
                          </a:xfrm>
                          <a:prstGeom prst="roundRect">
                            <a:avLst/>
                          </a:prstGeom>
                          <a:solidFill>
                            <a:sysClr val="window" lastClr="FFFFFF"/>
                          </a:solidFill>
                          <a:ln w="12700" cap="flat" cmpd="sng" algn="ctr">
                            <a:solidFill>
                              <a:srgbClr val="70AD47"/>
                            </a:solidFill>
                            <a:prstDash val="solid"/>
                            <a:miter lim="800000"/>
                          </a:ln>
                          <a:effectLst/>
                        </wps:spPr>
                        <wps:txbx>
                          <w:txbxContent>
                            <w:p w14:paraId="6D2F278C" w14:textId="77777777" w:rsidR="00876FFE" w:rsidRPr="003274FB" w:rsidRDefault="00876FFE" w:rsidP="00163B00">
                              <w:pPr>
                                <w:jc w:val="center"/>
                                <w:rPr>
                                  <w:rFonts w:cstheme="minorHAnsi"/>
                                  <w:color w:val="000000" w:themeColor="text1"/>
                                  <w:sz w:val="20"/>
                                  <w:szCs w:val="20"/>
                                </w:rPr>
                              </w:pPr>
                              <w:r w:rsidRPr="003274FB">
                                <w:rPr>
                                  <w:rFonts w:cstheme="minorHAnsi"/>
                                  <w:color w:val="000000" w:themeColor="text1"/>
                                  <w:sz w:val="20"/>
                                  <w:szCs w:val="20"/>
                                </w:rPr>
                                <w:t xml:space="preserve">Реформа јавне управе није у довољној мери препозната као једна од приоритетних тема којима се баве службе за односе са јавношћу органа јавне управе.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Rounded Corners 4"/>
                        <wps:cNvSpPr/>
                        <wps:spPr>
                          <a:xfrm>
                            <a:off x="2461260" y="3558540"/>
                            <a:ext cx="2430780" cy="1028700"/>
                          </a:xfrm>
                          <a:prstGeom prst="roundRect">
                            <a:avLst/>
                          </a:prstGeom>
                          <a:solidFill>
                            <a:sysClr val="window" lastClr="FFFFFF"/>
                          </a:solidFill>
                          <a:ln w="12700" cap="flat" cmpd="sng" algn="ctr">
                            <a:solidFill>
                              <a:srgbClr val="70AD47"/>
                            </a:solidFill>
                            <a:prstDash val="solid"/>
                            <a:miter lim="800000"/>
                          </a:ln>
                          <a:effectLst/>
                        </wps:spPr>
                        <wps:txbx>
                          <w:txbxContent>
                            <w:p w14:paraId="2485850B" w14:textId="77777777" w:rsidR="00876FFE" w:rsidRPr="003274FB" w:rsidRDefault="00876FFE" w:rsidP="00163B00">
                              <w:pPr>
                                <w:jc w:val="center"/>
                                <w:rPr>
                                  <w:color w:val="000000" w:themeColor="text1"/>
                                  <w:sz w:val="20"/>
                                  <w:szCs w:val="20"/>
                                </w:rPr>
                              </w:pPr>
                              <w:r w:rsidRPr="003274FB">
                                <w:rPr>
                                  <w:color w:val="000000" w:themeColor="text1"/>
                                  <w:sz w:val="20"/>
                                  <w:szCs w:val="20"/>
                                </w:rPr>
                                <w:t xml:space="preserve">Реформа јавне управе није у довољној мери препозната као важна тема у интерној комуникацији у органима јавне управе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6BDAF6" id="Group 162" o:spid="_x0000_s1497" style="position:absolute;left:0;text-align:left;margin-left:-3pt;margin-top:23.1pt;width:690.6pt;height:421.8pt;z-index:252166656;mso-width-relative:margin;mso-height-relative:margin" coordorigin=",228" coordsize="87706,5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">
                <v:roundrect id="Rectangle: Rounded Corners 1" o:spid="_x0000_s1498" style="position:absolute;left:381;top:17297;width:86912;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" fillcolor="window" strokecolor="windowText" strokeweight="1.5pt">
                  <v:stroke joinstyle="miter"/>
                  <v:textbox>
                    <w:txbxContent>
                      <w:p w14:paraId="45B99F3B" w14:textId="77777777" w:rsidR="00876FFE" w:rsidRPr="003274FB" w:rsidRDefault="00876FFE" w:rsidP="00163B00">
                        <w:pPr>
                          <w:jc w:val="center"/>
                          <w:rPr>
                            <w:rFonts w:cstheme="minorHAnsi"/>
                            <w:b/>
                            <w:bCs/>
                            <w:sz w:val="36"/>
                            <w:szCs w:val="36"/>
                          </w:rPr>
                        </w:pPr>
                        <w:r w:rsidRPr="003274FB">
                          <w:rPr>
                            <w:rFonts w:cstheme="minorHAnsi"/>
                            <w:b/>
                            <w:bCs/>
                            <w:sz w:val="36"/>
                            <w:szCs w:val="36"/>
                          </w:rPr>
                          <w:t>Недовољна информисаност јавности о реформи јавне</w:t>
                        </w:r>
                        <w:r w:rsidRPr="003274FB">
                          <w:rPr>
                            <w:rFonts w:ascii="Verdana" w:hAnsi="Verdana"/>
                            <w:b/>
                            <w:bCs/>
                            <w:sz w:val="36"/>
                            <w:szCs w:val="36"/>
                          </w:rPr>
                          <w:t xml:space="preserve"> </w:t>
                        </w:r>
                        <w:r w:rsidRPr="003274FB">
                          <w:rPr>
                            <w:rFonts w:cstheme="minorHAnsi"/>
                            <w:b/>
                            <w:bCs/>
                            <w:sz w:val="36"/>
                            <w:szCs w:val="36"/>
                          </w:rPr>
                          <w:t xml:space="preserve">управе </w:t>
                        </w:r>
                      </w:p>
                      <w:p w14:paraId="7D1E72D8" w14:textId="77777777" w:rsidR="00876FFE" w:rsidRPr="003274FB" w:rsidRDefault="00876FFE" w:rsidP="00163B00">
                        <w:pPr>
                          <w:jc w:val="center"/>
                        </w:pPr>
                      </w:p>
                    </w:txbxContent>
                  </v:textbox>
                </v:roundrect>
                <v:roundrect id="Rectangle: Rounded Corners 3" o:spid="_x0000_s1499" style="position:absolute;left:381;top:22783;width:22142;height:11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" fillcolor="window" strokecolor="#70ad47" strokeweight="1pt">
                  <v:stroke joinstyle="miter"/>
                  <v:textbox>
                    <w:txbxContent>
                      <w:p w14:paraId="7D95A9FC" w14:textId="77777777" w:rsidR="00876FFE" w:rsidRPr="003274FB" w:rsidRDefault="00876FFE" w:rsidP="00163B00">
                        <w:pPr>
                          <w:jc w:val="center"/>
                          <w:rPr>
                            <w:rFonts w:cstheme="minorHAnsi"/>
                            <w:b/>
                            <w:bCs/>
                            <w:color w:val="000000" w:themeColor="text1"/>
                            <w:sz w:val="20"/>
                            <w:szCs w:val="20"/>
                          </w:rPr>
                        </w:pPr>
                        <w:r w:rsidRPr="003274FB">
                          <w:rPr>
                            <w:rFonts w:cstheme="minorHAnsi"/>
                            <w:b/>
                            <w:bCs/>
                            <w:color w:val="000000" w:themeColor="text1"/>
                            <w:sz w:val="20"/>
                            <w:szCs w:val="20"/>
                          </w:rPr>
                          <w:t>Недостатак координације у планирању и спровођењу комуникационих активности за промоцију РЈУ на националном нивоу</w:t>
                        </w:r>
                      </w:p>
                    </w:txbxContent>
                  </v:textbox>
                </v:roundrect>
                <v:roundrect id="Rectangle: Rounded Corners 5" o:spid="_x0000_s1500" style="position:absolute;left:24155;top:23012;width:24841;height:1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" fillcolor="window" strokecolor="#70ad47" strokeweight="1pt">
                  <v:stroke joinstyle="miter"/>
                  <v:textbox>
                    <w:txbxContent>
                      <w:p w14:paraId="330FD3E1" w14:textId="77777777" w:rsidR="00876FFE" w:rsidRPr="003274FB" w:rsidRDefault="00876FFE" w:rsidP="00163B00">
                        <w:pPr>
                          <w:jc w:val="center"/>
                          <w:rPr>
                            <w:rFonts w:cstheme="minorHAnsi"/>
                            <w:b/>
                            <w:bCs/>
                            <w:color w:val="000000" w:themeColor="text1"/>
                            <w:sz w:val="20"/>
                            <w:szCs w:val="20"/>
                          </w:rPr>
                        </w:pPr>
                        <w:r w:rsidRPr="003274FB">
                          <w:rPr>
                            <w:rFonts w:cstheme="minorHAnsi"/>
                            <w:b/>
                            <w:bCs/>
                            <w:color w:val="000000" w:themeColor="text1"/>
                            <w:sz w:val="20"/>
                            <w:szCs w:val="20"/>
                          </w:rPr>
                          <w:t xml:space="preserve">Недостатак </w:t>
                        </w:r>
                        <w:r w:rsidRPr="003274FB">
                          <w:rPr>
                            <w:rFonts w:cstheme="minorHAnsi"/>
                            <w:b/>
                            <w:bCs/>
                            <w:color w:val="000000" w:themeColor="text1"/>
                            <w:sz w:val="20"/>
                            <w:szCs w:val="20"/>
                          </w:rPr>
                          <w:t xml:space="preserve">усклађеног и стандардизованог комуницирања РЈУ унутар институција јавне управе </w:t>
                        </w:r>
                      </w:p>
                    </w:txbxContent>
                  </v:textbox>
                </v:roundrect>
                <v:roundrect id="Rectangle: Rounded Corners 6" o:spid="_x0000_s1501" style="position:absolute;left:50399;top:23012;width:37008;height:11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" fillcolor="window" strokecolor="#70ad47" strokeweight="1pt">
                  <v:stroke joinstyle="miter"/>
                  <v:textbox>
                    <w:txbxContent>
                      <w:p w14:paraId="13498B2C" w14:textId="77777777" w:rsidR="00876FFE" w:rsidRPr="003274FB" w:rsidRDefault="00876FFE" w:rsidP="00163B00">
                        <w:pPr>
                          <w:jc w:val="center"/>
                          <w:rPr>
                            <w:b/>
                            <w:color w:val="000000" w:themeColor="text1"/>
                            <w:sz w:val="20"/>
                            <w:szCs w:val="20"/>
                          </w:rPr>
                        </w:pPr>
                        <w:r w:rsidRPr="003274FB">
                          <w:rPr>
                            <w:b/>
                            <w:color w:val="000000" w:themeColor="text1"/>
                            <w:sz w:val="20"/>
                            <w:szCs w:val="20"/>
                          </w:rPr>
                          <w:t xml:space="preserve">Недовољна </w:t>
                        </w:r>
                        <w:r w:rsidRPr="003274FB">
                          <w:rPr>
                            <w:b/>
                            <w:color w:val="000000" w:themeColor="text1"/>
                            <w:sz w:val="20"/>
                            <w:szCs w:val="20"/>
                          </w:rPr>
                          <w:t xml:space="preserve">видљивост и комуницирање процеса РЈУ и њених резултата  </w:t>
                        </w:r>
                      </w:p>
                    </w:txbxContent>
                  </v:textbox>
                </v:roundrect>
                <v:roundrect id="Rectangle: Rounded Corners 7" o:spid="_x0000_s1502" style="position:absolute;left:18834;top:228;width:28892;height:70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" fillcolor="window" strokecolor="#548235" strokeweight="1pt">
                  <v:stroke joinstyle="miter"/>
                  <v:textbox>
                    <w:txbxContent>
                      <w:p w14:paraId="7360B0E2" w14:textId="77777777" w:rsidR="00876FFE" w:rsidRPr="00D21FC7" w:rsidRDefault="00876FFE" w:rsidP="00163B00">
                        <w:pPr>
                          <w:jc w:val="center"/>
                          <w:rPr>
                            <w:rFonts w:cstheme="minorHAnsi"/>
                            <w:color w:val="000000" w:themeColor="text1"/>
                            <w:sz w:val="20"/>
                            <w:szCs w:val="20"/>
                          </w:rPr>
                        </w:pPr>
                        <w:r w:rsidRPr="00D21FC7">
                          <w:rPr>
                            <w:rFonts w:cstheme="minorHAnsi"/>
                            <w:color w:val="000000" w:themeColor="text1"/>
                            <w:sz w:val="20"/>
                            <w:szCs w:val="20"/>
                          </w:rPr>
                          <w:t xml:space="preserve">Запослени </w:t>
                        </w:r>
                        <w:r w:rsidRPr="00D21FC7">
                          <w:rPr>
                            <w:rFonts w:cstheme="minorHAnsi"/>
                            <w:color w:val="000000" w:themeColor="text1"/>
                            <w:sz w:val="20"/>
                            <w:szCs w:val="20"/>
                          </w:rPr>
                          <w:t>у јавној управи нису у довољној мери и на систематизован начин информисани о реформи јавне управе и њеним резултатима.</w:t>
                        </w:r>
                      </w:p>
                    </w:txbxContent>
                  </v:textbox>
                </v:roundrect>
                <v:roundrect id="Rectangle: Rounded Corners 10" o:spid="_x0000_s1503" style="position:absolute;left:18643;top:7981;width:28956;height:8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" fillcolor="window" strokecolor="#548235" strokeweight="1pt">
                  <v:stroke joinstyle="miter"/>
                  <v:textbox>
                    <w:txbxContent>
                      <w:p w14:paraId="3764F9C6" w14:textId="77777777" w:rsidR="00876FFE" w:rsidRPr="00D21FC7" w:rsidRDefault="00876FFE" w:rsidP="00163B00">
                        <w:pPr>
                          <w:jc w:val="center"/>
                          <w:rPr>
                            <w:color w:val="000000" w:themeColor="text1"/>
                            <w:sz w:val="20"/>
                            <w:szCs w:val="20"/>
                          </w:rPr>
                        </w:pPr>
                        <w:r w:rsidRPr="00D21FC7">
                          <w:rPr>
                            <w:color w:val="000000" w:themeColor="text1"/>
                            <w:sz w:val="20"/>
                            <w:szCs w:val="20"/>
                          </w:rPr>
                          <w:t xml:space="preserve">Запослени </w:t>
                        </w:r>
                        <w:r w:rsidRPr="00D21FC7">
                          <w:rPr>
                            <w:color w:val="000000" w:themeColor="text1"/>
                            <w:sz w:val="20"/>
                            <w:szCs w:val="20"/>
                          </w:rPr>
                          <w:t>у јавној управи нису довољно информисани о њиховој улози у процесу РЈУ, као и какав ће ути</w:t>
                        </w:r>
                        <w:r>
                          <w:rPr>
                            <w:color w:val="000000" w:themeColor="text1"/>
                            <w:sz w:val="20"/>
                            <w:szCs w:val="20"/>
                          </w:rPr>
                          <w:t>цај она имати на њихов положај</w:t>
                        </w:r>
                      </w:p>
                    </w:txbxContent>
                  </v:textbox>
                </v:roundrect>
                <v:roundrect id="Rectangle: Rounded Corners 11" o:spid="_x0000_s1504" style="position:absolute;left:50520;top:40716;width:19050;height:12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" fillcolor="window" strokecolor="#70ad47" strokeweight="1pt">
                  <v:stroke joinstyle="miter"/>
                  <v:textbox>
                    <w:txbxContent>
                      <w:p w14:paraId="1A070E49" w14:textId="77777777" w:rsidR="00876FFE" w:rsidRPr="003274FB" w:rsidRDefault="00876FFE" w:rsidP="00163B00">
                        <w:pPr>
                          <w:jc w:val="center"/>
                          <w:rPr>
                            <w:color w:val="000000" w:themeColor="text1"/>
                            <w:sz w:val="20"/>
                            <w:szCs w:val="20"/>
                          </w:rPr>
                        </w:pPr>
                        <w:bookmarkStart w:id="401" w:name="_Hlk50022947"/>
                        <w:bookmarkStart w:id="402" w:name="_Hlk50022948"/>
                        <w:bookmarkStart w:id="403" w:name="_Hlk50022949"/>
                        <w:bookmarkStart w:id="404" w:name="_Hlk50022950"/>
                        <w:bookmarkStart w:id="405" w:name="_Hlk50022953"/>
                        <w:bookmarkStart w:id="406" w:name="_Hlk50022954"/>
                        <w:r w:rsidRPr="003274FB">
                          <w:rPr>
                            <w:color w:val="000000" w:themeColor="text1"/>
                            <w:sz w:val="20"/>
                            <w:szCs w:val="20"/>
                          </w:rPr>
                          <w:t xml:space="preserve">Недостатак </w:t>
                        </w:r>
                        <w:r w:rsidRPr="003274FB">
                          <w:rPr>
                            <w:color w:val="000000" w:themeColor="text1"/>
                            <w:sz w:val="20"/>
                            <w:szCs w:val="20"/>
                          </w:rPr>
                          <w:t xml:space="preserve">капацитета (људи, знање, вештине, финансијска средства) у институцијама јавне управе потребних за комуницирање РЈУ. </w:t>
                        </w:r>
                        <w:bookmarkEnd w:id="401"/>
                        <w:bookmarkEnd w:id="402"/>
                        <w:bookmarkEnd w:id="403"/>
                        <w:bookmarkEnd w:id="404"/>
                        <w:bookmarkEnd w:id="405"/>
                        <w:bookmarkEnd w:id="406"/>
                      </w:p>
                    </w:txbxContent>
                  </v:textbox>
                </v:roundrect>
                <v:roundrect id="Rectangle: Rounded Corners 12" o:spid="_x0000_s1505" style="position:absolute;left:381;top:35814;width:22761;height:6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" fillcolor="window" strokecolor="#70ad47" strokeweight="1pt">
                  <v:stroke joinstyle="miter"/>
                  <v:textbox>
                    <w:txbxContent>
                      <w:p w14:paraId="0CE0D18B" w14:textId="77777777" w:rsidR="00876FFE" w:rsidRPr="003274FB" w:rsidRDefault="00876FFE" w:rsidP="00163B00">
                        <w:pPr>
                          <w:jc w:val="center"/>
                          <w:rPr>
                            <w:rFonts w:cstheme="minorHAnsi"/>
                            <w:color w:val="000000" w:themeColor="text1"/>
                            <w:sz w:val="20"/>
                            <w:szCs w:val="20"/>
                          </w:rPr>
                        </w:pPr>
                        <w:r w:rsidRPr="003274FB">
                          <w:rPr>
                            <w:rFonts w:cstheme="minorHAnsi"/>
                            <w:color w:val="000000" w:themeColor="text1"/>
                            <w:sz w:val="20"/>
                            <w:szCs w:val="20"/>
                          </w:rPr>
                          <w:t xml:space="preserve">На </w:t>
                        </w:r>
                        <w:r w:rsidRPr="003274FB">
                          <w:rPr>
                            <w:rFonts w:cstheme="minorHAnsi"/>
                            <w:color w:val="000000" w:themeColor="text1"/>
                            <w:sz w:val="20"/>
                            <w:szCs w:val="20"/>
                          </w:rPr>
                          <w:t>нивоу централне власти не постоји ниједно тело које се бави координацијом комуницирања РЈУ.</w:t>
                        </w:r>
                      </w:p>
                    </w:txbxContent>
                  </v:textbox>
                </v:roundrect>
                <v:roundrect id="Rectangle: Rounded Corners 13" o:spid="_x0000_s1506" style="position:absolute;left:50584;top:35318;width:18435;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" fillcolor="window" strokecolor="#70ad47" strokeweight="1pt">
                  <v:stroke joinstyle="miter"/>
                  <v:textbox>
                    <w:txbxContent>
                      <w:p w14:paraId="77749807" w14:textId="77777777" w:rsidR="00876FFE" w:rsidRPr="003274FB" w:rsidRDefault="00876FFE" w:rsidP="00163B00">
                        <w:pPr>
                          <w:jc w:val="center"/>
                          <w:rPr>
                            <w:color w:val="000000" w:themeColor="text1"/>
                            <w:sz w:val="20"/>
                            <w:szCs w:val="20"/>
                          </w:rPr>
                        </w:pPr>
                        <w:bookmarkStart w:id="407" w:name="_Hlk50020998"/>
                        <w:bookmarkStart w:id="408" w:name="_Hlk50020999"/>
                        <w:r w:rsidRPr="003274FB">
                          <w:rPr>
                            <w:color w:val="000000" w:themeColor="text1"/>
                            <w:sz w:val="20"/>
                            <w:szCs w:val="20"/>
                          </w:rPr>
                          <w:t xml:space="preserve">Јавна </w:t>
                        </w:r>
                        <w:r w:rsidRPr="003274FB">
                          <w:rPr>
                            <w:color w:val="000000" w:themeColor="text1"/>
                            <w:sz w:val="20"/>
                            <w:szCs w:val="20"/>
                          </w:rPr>
                          <w:t>управа је често затворена за јавност</w:t>
                        </w:r>
                        <w:bookmarkEnd w:id="407"/>
                        <w:bookmarkEnd w:id="408"/>
                      </w:p>
                    </w:txbxContent>
                  </v:textbox>
                </v:roundrect>
                <v:roundrect id="Rectangle: Rounded Corners 14" o:spid="_x0000_s1507" style="position:absolute;left:69799;top:35255;width:17754;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" fillcolor="window" strokecolor="#70ad47" strokeweight="1pt">
                  <v:stroke joinstyle="miter"/>
                  <v:textbox>
                    <w:txbxContent>
                      <w:p w14:paraId="4D6A32B7" w14:textId="77777777" w:rsidR="00876FFE" w:rsidRPr="003274FB" w:rsidRDefault="00876FFE" w:rsidP="00163B00">
                        <w:pPr>
                          <w:jc w:val="center"/>
                          <w:rPr>
                            <w:color w:val="000000" w:themeColor="text1"/>
                            <w:sz w:val="20"/>
                            <w:szCs w:val="20"/>
                          </w:rPr>
                        </w:pPr>
                        <w:r w:rsidRPr="003274FB">
                          <w:rPr>
                            <w:color w:val="000000" w:themeColor="text1"/>
                            <w:sz w:val="20"/>
                            <w:szCs w:val="20"/>
                          </w:rPr>
                          <w:t xml:space="preserve">Медији </w:t>
                        </w:r>
                        <w:r w:rsidRPr="003274FB">
                          <w:rPr>
                            <w:color w:val="000000" w:themeColor="text1"/>
                            <w:sz w:val="20"/>
                            <w:szCs w:val="20"/>
                          </w:rPr>
                          <w:t>нису заинтересовани за РЈУ</w:t>
                        </w:r>
                      </w:p>
                    </w:txbxContent>
                  </v:textbox>
                </v:roundrect>
                <v:roundrect id="Rectangle: Rounded Corners 15" o:spid="_x0000_s1508" style="position:absolute;left:70104;top:40614;width:17526;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" fillcolor="window" strokecolor="#70ad47" strokeweight="1pt">
                  <v:stroke joinstyle="miter"/>
                  <v:textbox>
                    <w:txbxContent>
                      <w:p w14:paraId="705B6C1B" w14:textId="77777777" w:rsidR="00876FFE" w:rsidRPr="003274FB" w:rsidRDefault="00876FFE" w:rsidP="00163B00">
                        <w:pPr>
                          <w:jc w:val="center"/>
                          <w:rPr>
                            <w:color w:val="000000" w:themeColor="text1"/>
                            <w:sz w:val="20"/>
                            <w:szCs w:val="20"/>
                          </w:rPr>
                        </w:pPr>
                        <w:bookmarkStart w:id="409" w:name="_Hlk50024948"/>
                        <w:bookmarkStart w:id="410" w:name="_Hlk50024949"/>
                        <w:bookmarkStart w:id="411" w:name="_Hlk50024950"/>
                        <w:bookmarkStart w:id="412" w:name="_Hlk50024951"/>
                        <w:bookmarkStart w:id="413" w:name="_Hlk50024954"/>
                        <w:bookmarkStart w:id="414" w:name="_Hlk50024955"/>
                        <w:r w:rsidRPr="003274FB">
                          <w:rPr>
                            <w:color w:val="000000" w:themeColor="text1"/>
                            <w:sz w:val="20"/>
                            <w:szCs w:val="20"/>
                          </w:rPr>
                          <w:t xml:space="preserve">Бирократски </w:t>
                        </w:r>
                        <w:r w:rsidRPr="003274FB">
                          <w:rPr>
                            <w:color w:val="000000" w:themeColor="text1"/>
                            <w:sz w:val="20"/>
                            <w:szCs w:val="20"/>
                          </w:rPr>
                          <w:t>речник јавне управе</w:t>
                        </w:r>
                        <w:bookmarkEnd w:id="409"/>
                        <w:bookmarkEnd w:id="410"/>
                        <w:bookmarkEnd w:id="411"/>
                        <w:bookmarkEnd w:id="412"/>
                        <w:bookmarkEnd w:id="413"/>
                        <w:bookmarkEnd w:id="414"/>
                      </w:p>
                    </w:txbxContent>
                  </v:textbox>
                </v:roundrect>
                <v:roundrect id="Rectangle: Rounded Corners 16" o:spid="_x0000_s1509" style="position:absolute;left:68199;top:228;width:17983;height:7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" fillcolor="window" strokecolor="#548235" strokeweight="1pt">
                  <v:stroke joinstyle="miter"/>
                  <v:textbox>
                    <w:txbxContent>
                      <w:p w14:paraId="3FD2CC22" w14:textId="77777777" w:rsidR="00876FFE" w:rsidRPr="00D21FC7" w:rsidRDefault="00876FFE" w:rsidP="00163B00">
                        <w:pPr>
                          <w:jc w:val="center"/>
                          <w:rPr>
                            <w:color w:val="000000" w:themeColor="text1"/>
                            <w:sz w:val="20"/>
                            <w:szCs w:val="20"/>
                          </w:rPr>
                        </w:pPr>
                        <w:bookmarkStart w:id="415" w:name="_Hlk50025002"/>
                        <w:bookmarkStart w:id="416" w:name="_Hlk50025003"/>
                        <w:r w:rsidRPr="00D21FC7">
                          <w:rPr>
                            <w:color w:val="000000" w:themeColor="text1"/>
                            <w:sz w:val="20"/>
                            <w:szCs w:val="20"/>
                          </w:rPr>
                          <w:t xml:space="preserve">Грађани </w:t>
                        </w:r>
                        <w:r w:rsidRPr="00D21FC7">
                          <w:rPr>
                            <w:color w:val="000000" w:themeColor="text1"/>
                            <w:sz w:val="20"/>
                            <w:szCs w:val="20"/>
                          </w:rPr>
                          <w:t>немају поверења у РЈУ и не виде је као нешто што је важно за њих.</w:t>
                        </w:r>
                        <w:bookmarkEnd w:id="415"/>
                        <w:bookmarkEnd w:id="416"/>
                      </w:p>
                    </w:txbxContent>
                  </v:textbox>
                </v:roundrect>
                <v:roundrect id="Rectangle: Rounded Corners 17" o:spid="_x0000_s1510" style="position:absolute;left:68199;top:8534;width:18611;height:80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" fillcolor="window" strokecolor="#548235" strokeweight="1pt">
                  <v:stroke joinstyle="miter"/>
                  <v:textbox>
                    <w:txbxContent>
                      <w:p w14:paraId="0C9A745B" w14:textId="77777777" w:rsidR="00876FFE" w:rsidRPr="00D21FC7" w:rsidRDefault="00876FFE" w:rsidP="00163B00">
                        <w:pPr>
                          <w:jc w:val="center"/>
                          <w:rPr>
                            <w:color w:val="000000" w:themeColor="text1"/>
                            <w:sz w:val="20"/>
                            <w:szCs w:val="20"/>
                          </w:rPr>
                        </w:pPr>
                        <w:bookmarkStart w:id="417" w:name="_Hlk50026587"/>
                        <w:bookmarkStart w:id="418" w:name="_Hlk50026588"/>
                        <w:r w:rsidRPr="00D21FC7">
                          <w:rPr>
                            <w:color w:val="000000" w:themeColor="text1"/>
                            <w:sz w:val="20"/>
                            <w:szCs w:val="20"/>
                          </w:rPr>
                          <w:t xml:space="preserve">Разлика </w:t>
                        </w:r>
                        <w:r w:rsidRPr="00D21FC7">
                          <w:rPr>
                            <w:color w:val="000000" w:themeColor="text1"/>
                            <w:sz w:val="20"/>
                            <w:szCs w:val="20"/>
                          </w:rPr>
                          <w:t xml:space="preserve">између обећаног и урађеног (пример услуга јавне управе за грађане које не функционишу или касне). </w:t>
                        </w:r>
                        <w:bookmarkEnd w:id="417"/>
                        <w:bookmarkEnd w:id="418"/>
                      </w:p>
                    </w:txbxContent>
                  </v:textbox>
                </v:roundrect>
                <v:roundrect id="Rectangle: Rounded Corners 19" o:spid="_x0000_s1511" style="position:absolute;left:1066;top:381;width:16206;height:16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" fillcolor="window" strokecolor="#548235" strokeweight="1pt">
                  <v:stroke joinstyle="miter"/>
                  <v:textbox>
                    <w:txbxContent>
                      <w:p w14:paraId="53EFBBFF" w14:textId="77777777" w:rsidR="00876FFE" w:rsidRPr="00C91E3F" w:rsidRDefault="00876FFE" w:rsidP="00163B00">
                        <w:pPr>
                          <w:jc w:val="center"/>
                          <w:rPr>
                            <w:rFonts w:cstheme="minorHAnsi"/>
                            <w:color w:val="000000" w:themeColor="text1"/>
                            <w:sz w:val="20"/>
                            <w:szCs w:val="20"/>
                          </w:rPr>
                        </w:pPr>
                        <w:r w:rsidRPr="00D21FC7">
                          <w:rPr>
                            <w:rFonts w:cstheme="minorHAnsi"/>
                            <w:color w:val="000000" w:themeColor="text1"/>
                            <w:sz w:val="20"/>
                            <w:szCs w:val="20"/>
                          </w:rPr>
                          <w:t xml:space="preserve">Недостатак </w:t>
                        </w:r>
                        <w:r w:rsidRPr="00D21FC7">
                          <w:rPr>
                            <w:rFonts w:cstheme="minorHAnsi"/>
                            <w:color w:val="000000" w:themeColor="text1"/>
                            <w:sz w:val="20"/>
                            <w:szCs w:val="20"/>
                          </w:rPr>
                          <w:t xml:space="preserve">координације </w:t>
                        </w:r>
                        <w:r>
                          <w:rPr>
                            <w:rFonts w:cstheme="minorHAnsi"/>
                            <w:color w:val="000000" w:themeColor="text1"/>
                            <w:sz w:val="20"/>
                            <w:szCs w:val="20"/>
                          </w:rPr>
                          <w:t xml:space="preserve">и </w:t>
                        </w:r>
                        <w:r w:rsidRPr="00D21FC7">
                          <w:rPr>
                            <w:rFonts w:cstheme="minorHAnsi"/>
                            <w:color w:val="000000" w:themeColor="text1"/>
                            <w:sz w:val="20"/>
                            <w:szCs w:val="20"/>
                          </w:rPr>
                          <w:t>преклапање различитих комуникационих активности у вези са РЈ</w:t>
                        </w:r>
                        <w:r>
                          <w:rPr>
                            <w:rFonts w:cstheme="minorHAnsi"/>
                            <w:color w:val="000000" w:themeColor="text1"/>
                            <w:sz w:val="20"/>
                            <w:szCs w:val="20"/>
                          </w:rPr>
                          <w:t>У  код грађана ствара конфузију</w:t>
                        </w:r>
                      </w:p>
                    </w:txbxContent>
                  </v:textbox>
                </v:roundrect>
                <v:roundrect id="Rectangle: Rounded Corners 20" o:spid="_x0000_s1512" style="position:absolute;left:48761;top:304;width:19057;height:93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" fillcolor="window" strokecolor="#548235" strokeweight="1pt">
                  <v:stroke joinstyle="miter"/>
                  <v:textbox>
                    <w:txbxContent>
                      <w:p w14:paraId="78D38E52" w14:textId="77777777" w:rsidR="00876FFE" w:rsidRPr="00D21FC7" w:rsidRDefault="00876FFE" w:rsidP="00163B00">
                        <w:pPr>
                          <w:jc w:val="center"/>
                          <w:rPr>
                            <w:color w:val="000000" w:themeColor="text1"/>
                            <w:sz w:val="20"/>
                            <w:szCs w:val="20"/>
                          </w:rPr>
                        </w:pPr>
                        <w:bookmarkStart w:id="419" w:name="_Hlk50027337"/>
                        <w:bookmarkStart w:id="420" w:name="_Hlk50027338"/>
                        <w:bookmarkStart w:id="421" w:name="_Hlk50027339"/>
                        <w:bookmarkStart w:id="422" w:name="_Hlk50027340"/>
                        <w:bookmarkStart w:id="423" w:name="_Hlk50027342"/>
                        <w:bookmarkStart w:id="424" w:name="_Hlk50027343"/>
                        <w:r w:rsidRPr="00D21FC7">
                          <w:rPr>
                            <w:color w:val="000000" w:themeColor="text1"/>
                            <w:sz w:val="20"/>
                            <w:szCs w:val="20"/>
                          </w:rPr>
                          <w:t xml:space="preserve">Јавност </w:t>
                        </w:r>
                        <w:r w:rsidRPr="00D21FC7">
                          <w:rPr>
                            <w:color w:val="000000" w:themeColor="text1"/>
                            <w:sz w:val="20"/>
                            <w:szCs w:val="20"/>
                          </w:rPr>
                          <w:t xml:space="preserve">није довољно информисана о томе како може да буде укључена у процес </w:t>
                        </w:r>
                        <w:bookmarkEnd w:id="419"/>
                        <w:bookmarkEnd w:id="420"/>
                        <w:bookmarkEnd w:id="421"/>
                        <w:bookmarkEnd w:id="422"/>
                        <w:bookmarkEnd w:id="423"/>
                        <w:bookmarkEnd w:id="424"/>
                        <w:r>
                          <w:rPr>
                            <w:color w:val="000000" w:themeColor="text1"/>
                            <w:sz w:val="20"/>
                            <w:szCs w:val="20"/>
                          </w:rPr>
                          <w:t>РЈУ</w:t>
                        </w:r>
                      </w:p>
                    </w:txbxContent>
                  </v:textbox>
                </v:roundrect>
                <v:roundrect id="Rectangle: Rounded Corners 21" o:spid="_x0000_s1513" style="position:absolute;left:48514;top:10325;width:19304;height:6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" fillcolor="window" strokecolor="#548235" strokeweight="1pt">
                  <v:stroke joinstyle="miter"/>
                  <v:textbox>
                    <w:txbxContent>
                      <w:p w14:paraId="309C8DE3" w14:textId="77777777" w:rsidR="00876FFE" w:rsidRPr="00D21FC7" w:rsidRDefault="00876FFE" w:rsidP="00163B00">
                        <w:pPr>
                          <w:jc w:val="center"/>
                          <w:rPr>
                            <w:color w:val="000000" w:themeColor="text1"/>
                            <w:sz w:val="20"/>
                            <w:szCs w:val="20"/>
                          </w:rPr>
                        </w:pPr>
                        <w:bookmarkStart w:id="425" w:name="_Hlk50027396"/>
                        <w:bookmarkStart w:id="426" w:name="_Hlk50027397"/>
                        <w:r w:rsidRPr="00D21FC7">
                          <w:rPr>
                            <w:color w:val="000000" w:themeColor="text1"/>
                            <w:sz w:val="20"/>
                            <w:szCs w:val="20"/>
                          </w:rPr>
                          <w:t xml:space="preserve">Јавност не повезује РЈУ са њеним резултатима </w:t>
                        </w:r>
                        <w:bookmarkEnd w:id="425"/>
                        <w:bookmarkEnd w:id="426"/>
                        <w:r w:rsidRPr="00D21FC7">
                          <w:rPr>
                            <w:color w:val="000000" w:themeColor="text1"/>
                            <w:sz w:val="20"/>
                            <w:szCs w:val="20"/>
                          </w:rPr>
                          <w:t>с</w:t>
                        </w:r>
                        <w:r>
                          <w:rPr>
                            <w:color w:val="000000" w:themeColor="text1"/>
                            <w:sz w:val="20"/>
                            <w:szCs w:val="20"/>
                          </w:rPr>
                          <w:t>а којима се свакодневно сусрећу</w:t>
                        </w:r>
                      </w:p>
                    </w:txbxContent>
                  </v:textbox>
                </v:roundrect>
                <v:roundrect id="Rectangle: Rounded Corners 22" o:spid="_x0000_s1514" style="position:absolute;left:70104;top:46393;width:17602;height:7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" fillcolor="window" strokecolor="#70ad47" strokeweight="1pt">
                  <v:stroke joinstyle="miter"/>
                  <v:textbox>
                    <w:txbxContent>
                      <w:p w14:paraId="62C07560" w14:textId="77777777" w:rsidR="00876FFE" w:rsidRPr="003274FB" w:rsidRDefault="00876FFE" w:rsidP="00163B00">
                        <w:pPr>
                          <w:jc w:val="center"/>
                          <w:rPr>
                            <w:color w:val="000000" w:themeColor="text1"/>
                            <w:sz w:val="20"/>
                            <w:szCs w:val="20"/>
                          </w:rPr>
                        </w:pPr>
                        <w:bookmarkStart w:id="427" w:name="_Hlk50027428"/>
                        <w:bookmarkStart w:id="428" w:name="_Hlk50027429"/>
                        <w:r w:rsidRPr="003274FB">
                          <w:rPr>
                            <w:color w:val="000000" w:themeColor="text1"/>
                            <w:sz w:val="20"/>
                            <w:szCs w:val="20"/>
                          </w:rPr>
                          <w:t xml:space="preserve">Грађани </w:t>
                        </w:r>
                        <w:r w:rsidRPr="003274FB">
                          <w:rPr>
                            <w:color w:val="000000" w:themeColor="text1"/>
                            <w:sz w:val="20"/>
                            <w:szCs w:val="20"/>
                          </w:rPr>
                          <w:t xml:space="preserve">под јавном управом сматрају све што има везе са државом. </w:t>
                        </w:r>
                        <w:bookmarkEnd w:id="427"/>
                        <w:bookmarkEnd w:id="428"/>
                      </w:p>
                    </w:txbxContent>
                  </v:textbox>
                </v:roundrect>
                <v:roundrect id="Rectangle: Rounded Corners 9" o:spid="_x0000_s1515" style="position:absolute;top:43129;width:23241;height:10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" fillcolor="window" strokecolor="#70ad47" strokeweight="1pt">
                  <v:stroke joinstyle="miter"/>
                  <v:textbox>
                    <w:txbxContent>
                      <w:p w14:paraId="6D2F278C" w14:textId="77777777" w:rsidR="00876FFE" w:rsidRPr="003274FB" w:rsidRDefault="00876FFE" w:rsidP="00163B00">
                        <w:pPr>
                          <w:jc w:val="center"/>
                          <w:rPr>
                            <w:rFonts w:cstheme="minorHAnsi"/>
                            <w:color w:val="000000" w:themeColor="text1"/>
                            <w:sz w:val="20"/>
                            <w:szCs w:val="20"/>
                          </w:rPr>
                        </w:pPr>
                        <w:r w:rsidRPr="003274FB">
                          <w:rPr>
                            <w:rFonts w:cstheme="minorHAnsi"/>
                            <w:color w:val="000000" w:themeColor="text1"/>
                            <w:sz w:val="20"/>
                            <w:szCs w:val="20"/>
                          </w:rPr>
                          <w:t xml:space="preserve">Реформа </w:t>
                        </w:r>
                        <w:r w:rsidRPr="003274FB">
                          <w:rPr>
                            <w:rFonts w:cstheme="minorHAnsi"/>
                            <w:color w:val="000000" w:themeColor="text1"/>
                            <w:sz w:val="20"/>
                            <w:szCs w:val="20"/>
                          </w:rPr>
                          <w:t xml:space="preserve">јавне управе није у довољној мери препозната као једна од приоритетних тема којима се баве службе за односе са јавношћу органа јавне управе. </w:t>
                        </w:r>
                      </w:p>
                    </w:txbxContent>
                  </v:textbox>
                </v:roundrect>
                <v:roundrect id="Rectangle: Rounded Corners 4" o:spid="_x0000_s1516" style="position:absolute;left:24612;top:35585;width:24308;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" fillcolor="window" strokecolor="#70ad47" strokeweight="1pt">
                  <v:stroke joinstyle="miter"/>
                  <v:textbox>
                    <w:txbxContent>
                      <w:p w14:paraId="2485850B" w14:textId="77777777" w:rsidR="00876FFE" w:rsidRPr="003274FB" w:rsidRDefault="00876FFE" w:rsidP="00163B00">
                        <w:pPr>
                          <w:jc w:val="center"/>
                          <w:rPr>
                            <w:color w:val="000000" w:themeColor="text1"/>
                            <w:sz w:val="20"/>
                            <w:szCs w:val="20"/>
                          </w:rPr>
                        </w:pPr>
                        <w:r w:rsidRPr="003274FB">
                          <w:rPr>
                            <w:color w:val="000000" w:themeColor="text1"/>
                            <w:sz w:val="20"/>
                            <w:szCs w:val="20"/>
                          </w:rPr>
                          <w:t xml:space="preserve">Реформа </w:t>
                        </w:r>
                        <w:r w:rsidRPr="003274FB">
                          <w:rPr>
                            <w:color w:val="000000" w:themeColor="text1"/>
                            <w:sz w:val="20"/>
                            <w:szCs w:val="20"/>
                          </w:rPr>
                          <w:t xml:space="preserve">јавне управе није у довољној мери препозната као важна тема у интерној комуникацији у органима јавне управе </w:t>
                        </w:r>
                      </w:p>
                    </w:txbxContent>
                  </v:textbox>
                </v:roundrect>
              </v:group>
            </w:pict>
          </mc:Fallback>
        </mc:AlternateContent>
      </w:r>
    </w:p>
    <w:p w14:paraId="3725E0A9"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lang w:eastAsia="en-US" w:bidi="ar-SA"/>
        </w:rPr>
      </w:pPr>
    </w:p>
    <w:p w14:paraId="432892A1"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eastAsia="en-US" w:bidi="ar-SA"/>
        </w:rPr>
      </w:pPr>
    </w:p>
    <w:p w14:paraId="068DFF29"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eastAsia="en-US" w:bidi="ar-SA"/>
        </w:rPr>
      </w:pPr>
    </w:p>
    <w:p w14:paraId="1082851D"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eastAsia="en-US" w:bidi="ar-SA"/>
        </w:rPr>
      </w:pPr>
    </w:p>
    <w:p w14:paraId="7A396C5E"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eastAsia="en-US" w:bidi="ar-SA"/>
        </w:rPr>
      </w:pPr>
    </w:p>
    <w:p w14:paraId="07FF5341"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eastAsia="en-US" w:bidi="ar-SA"/>
        </w:rPr>
      </w:pPr>
    </w:p>
    <w:p w14:paraId="692996E3"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eastAsia="en-US" w:bidi="ar-SA"/>
        </w:rPr>
      </w:pPr>
    </w:p>
    <w:p w14:paraId="7B8E7E18"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eastAsia="en-US" w:bidi="ar-SA"/>
        </w:rPr>
      </w:pPr>
    </w:p>
    <w:p w14:paraId="248853AF"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eastAsia="en-US" w:bidi="ar-SA"/>
        </w:rPr>
      </w:pPr>
    </w:p>
    <w:p w14:paraId="1CFF28E2"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eastAsia="en-US" w:bidi="ar-SA"/>
        </w:rPr>
      </w:pPr>
    </w:p>
    <w:p w14:paraId="03D02472"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eastAsia="en-US" w:bidi="ar-SA"/>
        </w:rPr>
      </w:pPr>
    </w:p>
    <w:p w14:paraId="6312E1AF"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kern w:val="0"/>
          <w:lang w:eastAsia="en-US" w:bidi="ar-SA"/>
        </w:rPr>
      </w:pPr>
    </w:p>
    <w:p w14:paraId="6668E039" w14:textId="77777777" w:rsidR="00163B00" w:rsidRPr="00163B00" w:rsidRDefault="00163B00" w:rsidP="00163B00">
      <w:pPr>
        <w:suppressAutoHyphens w:val="0"/>
        <w:autoSpaceDN/>
        <w:spacing w:before="0" w:after="160" w:line="259" w:lineRule="auto"/>
        <w:ind w:firstLine="0"/>
        <w:textAlignment w:val="auto"/>
        <w:rPr>
          <w:rFonts w:eastAsiaTheme="minorHAnsi"/>
          <w:kern w:val="0"/>
          <w:lang w:eastAsia="en-US" w:bidi="ar-SA"/>
        </w:rPr>
        <w:sectPr w:rsidR="00163B00" w:rsidRPr="00163B00" w:rsidSect="00DA6BE3">
          <w:pgSz w:w="15840" w:h="12240" w:orient="landscape"/>
          <w:pgMar w:top="1440" w:right="1440" w:bottom="1440" w:left="1440" w:header="720" w:footer="720" w:gutter="0"/>
          <w:cols w:space="720"/>
          <w:docGrid w:linePitch="360"/>
        </w:sectPr>
      </w:pPr>
    </w:p>
    <w:p w14:paraId="606EC8E4" w14:textId="77777777" w:rsidR="00163B00" w:rsidRPr="00163B00" w:rsidRDefault="00163B00" w:rsidP="00163B00">
      <w:pPr>
        <w:suppressAutoHyphens w:val="0"/>
        <w:autoSpaceDN/>
        <w:spacing w:before="0" w:after="160" w:line="259" w:lineRule="auto"/>
        <w:ind w:firstLine="0"/>
        <w:textAlignment w:val="auto"/>
        <w:rPr>
          <w:rFonts w:eastAsiaTheme="minorHAnsi"/>
          <w:i/>
          <w:color w:val="2F5496" w:themeColor="accent1" w:themeShade="BF"/>
          <w:kern w:val="0"/>
          <w:lang w:eastAsia="en-US" w:bidi="ar-SA"/>
        </w:rPr>
      </w:pPr>
      <w:r w:rsidRPr="00163B00">
        <w:rPr>
          <w:rFonts w:eastAsiaTheme="minorHAnsi"/>
          <w:i/>
          <w:color w:val="2F5496" w:themeColor="accent1" w:themeShade="BF"/>
          <w:kern w:val="0"/>
          <w:lang w:eastAsia="en-US" w:bidi="ar-SA"/>
        </w:rPr>
        <w:t>Комуницирање РЈУ</w:t>
      </w:r>
    </w:p>
    <w:p w14:paraId="151DB909"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Кључни елементи на којима почива предложени комуникациони приступ јесу:</w:t>
      </w:r>
    </w:p>
    <w:p w14:paraId="30503875" w14:textId="77777777" w:rsidR="00163B00" w:rsidRPr="00163B00" w:rsidRDefault="00163B00" w:rsidP="00E62A1A">
      <w:pPr>
        <w:numPr>
          <w:ilvl w:val="0"/>
          <w:numId w:val="61"/>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Боља, координација, планирање, стандардизација и организација  комуникационих активности за промоцију РЈУ на националном нивоу</w:t>
      </w:r>
    </w:p>
    <w:p w14:paraId="10929E19" w14:textId="77777777" w:rsidR="00163B00" w:rsidRPr="00163B00" w:rsidRDefault="00163B00" w:rsidP="00E62A1A">
      <w:pPr>
        <w:numPr>
          <w:ilvl w:val="0"/>
          <w:numId w:val="61"/>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Унапређење интерне комуникације унутар органа јавне управе, како би се унапредило информисање јавних службеника о РЈУ и код њих повећала свест о важности РЈУ и оријентацији јавне управе ка пружању брзих, квалитетних и професионалних услуга грађанима и привреди.</w:t>
      </w:r>
    </w:p>
    <w:p w14:paraId="63C7E465" w14:textId="77777777" w:rsidR="00163B00" w:rsidRPr="00163B00" w:rsidRDefault="00163B00" w:rsidP="00E62A1A">
      <w:pPr>
        <w:numPr>
          <w:ilvl w:val="0"/>
          <w:numId w:val="61"/>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Подизање капацитета јавне управе за успешно комуницирање процеса и резултата РЈУ</w:t>
      </w:r>
    </w:p>
    <w:p w14:paraId="0691E331" w14:textId="77777777" w:rsidR="00163B00" w:rsidRPr="00163B00" w:rsidRDefault="00163B00" w:rsidP="00E62A1A">
      <w:pPr>
        <w:numPr>
          <w:ilvl w:val="0"/>
          <w:numId w:val="61"/>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Подизање капацитета медија да боље разумеју РЈУ како би јој у својим извештавањима посветила већу пажњу</w:t>
      </w:r>
    </w:p>
    <w:p w14:paraId="25C582E1" w14:textId="77777777" w:rsidR="00163B00" w:rsidRPr="00163B00" w:rsidRDefault="00163B00" w:rsidP="00E62A1A">
      <w:pPr>
        <w:numPr>
          <w:ilvl w:val="0"/>
          <w:numId w:val="61"/>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 xml:space="preserve">Промоција позитивних примера који су резултат реформе јавне управе и њихово јасно повезивање са процесом реформи, како би грађани разумели да побољшања у раду јавне управе долазе као резултат планираних активности </w:t>
      </w:r>
    </w:p>
    <w:p w14:paraId="253AAE6F" w14:textId="77777777" w:rsidR="00163B00" w:rsidRPr="00163B00" w:rsidRDefault="00163B00" w:rsidP="00E62A1A">
      <w:pPr>
        <w:numPr>
          <w:ilvl w:val="0"/>
          <w:numId w:val="61"/>
        </w:numPr>
        <w:suppressAutoHyphens w:val="0"/>
        <w:autoSpaceDN/>
        <w:spacing w:before="0" w:after="160" w:line="259" w:lineRule="auto"/>
        <w:contextualSpacing/>
        <w:jc w:val="left"/>
        <w:textAlignment w:val="auto"/>
        <w:rPr>
          <w:rFonts w:eastAsiaTheme="minorHAnsi"/>
          <w:kern w:val="0"/>
          <w:lang w:eastAsia="en-US" w:bidi="ar-SA"/>
        </w:rPr>
        <w:sectPr w:rsidR="00163B00" w:rsidRPr="00163B00" w:rsidSect="00DA6BE3">
          <w:pgSz w:w="12240" w:h="15840"/>
          <w:pgMar w:top="1440" w:right="1440" w:bottom="1440" w:left="1440" w:header="720" w:footer="720" w:gutter="0"/>
          <w:cols w:space="720"/>
          <w:docGrid w:linePitch="360"/>
        </w:sectPr>
      </w:pPr>
      <w:r w:rsidRPr="00163B00">
        <w:rPr>
          <w:rFonts w:eastAsiaTheme="minorHAnsi"/>
          <w:kern w:val="0"/>
          <w:lang w:eastAsia="en-US" w:bidi="ar-SA"/>
        </w:rPr>
        <w:t>Креирање и спровођење комуникационих активности које ће на разумљив и занимљив начин подићи свест јавности о важности реформе јавне управе и њеној трансформацији у ефикасан, отворен и транспарентан сервис грађана и привреде, али и да се грађанима пруже информације о њиховим правима и да се охрабри њихово веће учешће у процесу доношења одлука</w:t>
      </w:r>
    </w:p>
    <w:p w14:paraId="574290BE"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lang w:eastAsia="en-US" w:bidi="ar-SA"/>
        </w:rPr>
      </w:pPr>
      <w:r w:rsidRPr="00163B00">
        <w:rPr>
          <w:rFonts w:eastAsiaTheme="minorHAnsi"/>
          <w:b/>
          <w:bCs/>
          <w:kern w:val="0"/>
          <w:lang w:eastAsia="en-US" w:bidi="ar-SA"/>
        </w:rPr>
        <w:t>Правци деловања комуницирања РЈУ у сврхе побољшане информисаности кључних актера и јавности о процесу и резултатима РЈУ</w:t>
      </w:r>
    </w:p>
    <w:p w14:paraId="2FB7C09C"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eastAsia="en-US" w:bidi="ar-SA"/>
        </w:rPr>
      </w:pPr>
    </w:p>
    <w:p w14:paraId="3764F69E" w14:textId="77777777" w:rsidR="00163B00" w:rsidRPr="00163B00" w:rsidRDefault="00163B00" w:rsidP="00163B00">
      <w:pPr>
        <w:suppressAutoHyphens w:val="0"/>
        <w:autoSpaceDN/>
        <w:spacing w:before="0" w:after="160" w:line="259" w:lineRule="auto"/>
        <w:ind w:firstLine="0"/>
        <w:jc w:val="center"/>
        <w:textAlignment w:val="auto"/>
        <w:rPr>
          <w:rFonts w:eastAsiaTheme="minorHAnsi"/>
          <w:kern w:val="0"/>
          <w:lang w:eastAsia="en-US" w:bidi="ar-SA"/>
        </w:rPr>
      </w:pPr>
      <w:r w:rsidRPr="00163B00">
        <w:rPr>
          <w:rFonts w:eastAsia="Times New Roman"/>
          <w:noProof/>
          <w:kern w:val="0"/>
          <w:lang w:val="en-US" w:eastAsia="en-US" w:bidi="ar-SA"/>
        </w:rPr>
        <mc:AlternateContent>
          <mc:Choice Requires="wps">
            <w:drawing>
              <wp:anchor distT="0" distB="0" distL="114300" distR="114300" simplePos="0" relativeHeight="252169728" behindDoc="0" locked="0" layoutInCell="1" allowOverlap="1" wp14:anchorId="6B4D43A8" wp14:editId="0E296EE2">
                <wp:simplePos x="0" y="0"/>
                <wp:positionH relativeFrom="column">
                  <wp:posOffset>5778500</wp:posOffset>
                </wp:positionH>
                <wp:positionV relativeFrom="paragraph">
                  <wp:posOffset>74295</wp:posOffset>
                </wp:positionV>
                <wp:extent cx="2708910" cy="1127760"/>
                <wp:effectExtent l="19050" t="19050" r="15240" b="15240"/>
                <wp:wrapNone/>
                <wp:docPr id="292" name="Text Box 292"/>
                <wp:cNvGraphicFramePr/>
                <a:graphic xmlns:a="http://schemas.openxmlformats.org/drawingml/2006/main">
                  <a:graphicData uri="http://schemas.microsoft.com/office/word/2010/wordprocessingShape">
                    <wps:wsp>
                      <wps:cNvSpPr txBox="1"/>
                      <wps:spPr>
                        <a:xfrm>
                          <a:off x="0" y="0"/>
                          <a:ext cx="2708910" cy="1127760"/>
                        </a:xfrm>
                        <a:prstGeom prst="roundRect">
                          <a:avLst/>
                        </a:prstGeom>
                        <a:solidFill>
                          <a:sysClr val="window" lastClr="FFFFFF"/>
                        </a:solidFill>
                        <a:ln w="28575" cap="flat" cmpd="sng" algn="ctr">
                          <a:solidFill>
                            <a:srgbClr val="70AD47"/>
                          </a:solidFill>
                          <a:prstDash val="solid"/>
                          <a:miter lim="800000"/>
                        </a:ln>
                        <a:effectLst/>
                      </wps:spPr>
                      <wps:txbx>
                        <w:txbxContent>
                          <w:p w14:paraId="0FD3249E" w14:textId="77777777" w:rsidR="00876FFE" w:rsidRPr="008D4739" w:rsidRDefault="00876FFE" w:rsidP="00163B00">
                            <w:pPr>
                              <w:jc w:val="center"/>
                              <w:rPr>
                                <w:rFonts w:cstheme="minorHAnsi"/>
                                <w:b/>
                                <w:bCs/>
                                <w14:textOutline w14:w="9525" w14:cap="rnd" w14:cmpd="thinThick" w14:algn="ctr">
                                  <w14:noFill/>
                                  <w14:prstDash w14:val="solid"/>
                                  <w14:bevel/>
                                </w14:textOutline>
                              </w:rPr>
                            </w:pPr>
                            <w:r w:rsidRPr="008D4739">
                              <w:rPr>
                                <w:rFonts w:cstheme="minorHAnsi"/>
                                <w:b/>
                                <w:bCs/>
                                <w14:textOutline w14:w="9525" w14:cap="rnd" w14:cmpd="sng" w14:algn="ctr">
                                  <w14:noFill/>
                                  <w14:prstDash w14:val="solid"/>
                                  <w14:bevel/>
                                </w14:textOutline>
                              </w:rPr>
                              <w:t>Већа видљивост и комуницирање процеса РЈУ и остварених резултата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4D43A8" id="Text Box 292" o:spid="_x0000_s1517" style="position:absolute;left:0;text-align:left;margin-left:455pt;margin-top:5.85pt;width:213.3pt;height:88.8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" fillcolor="window" strokecolor="#70ad47" strokeweight="2.25pt">
                <v:stroke joinstyle="miter"/>
                <v:textbox>
                  <w:txbxContent>
                    <w:p w14:paraId="0FD3249E" w14:textId="77777777" w:rsidR="00876FFE" w:rsidRPr="008D4739" w:rsidRDefault="00876FFE" w:rsidP="00163B00">
                      <w:pPr>
                        <w:jc w:val="center"/>
                        <w:rPr>
                          <w:rFonts w:cstheme="minorHAnsi"/>
                          <w:b/>
                          <w:bCs/>
                          <w14:textOutline w14:w="9525" w14:cap="rnd" w14:cmpd="thinThick" w14:algn="ctr">
                            <w14:noFill/>
                            <w14:prstDash w14:val="solid"/>
                            <w14:bevel/>
                          </w14:textOutline>
                        </w:rPr>
                      </w:pPr>
                      <w:r w:rsidRPr="008D4739">
                        <w:rPr>
                          <w:rFonts w:cstheme="minorHAnsi"/>
                          <w:b/>
                          <w:bCs/>
                          <w14:textOutline w14:w="9525" w14:cap="rnd" w14:cmpd="sng" w14:algn="ctr">
                            <w14:noFill/>
                            <w14:prstDash w14:val="solid"/>
                            <w14:bevel/>
                          </w14:textOutline>
                        </w:rPr>
                        <w:t xml:space="preserve">Већа </w:t>
                      </w:r>
                      <w:r w:rsidRPr="008D4739">
                        <w:rPr>
                          <w:rFonts w:cstheme="minorHAnsi"/>
                          <w:b/>
                          <w:bCs/>
                          <w14:textOutline w14:w="9525" w14:cap="rnd" w14:cmpd="sng" w14:algn="ctr">
                            <w14:noFill/>
                            <w14:prstDash w14:val="solid"/>
                            <w14:bevel/>
                          </w14:textOutline>
                        </w:rPr>
                        <w:t>видљивост и комуницирање процеса РЈУ и остварених резултата</w:t>
                      </w:r>
                    </w:p>
                  </w:txbxContent>
                </v:textbox>
              </v:roundrect>
            </w:pict>
          </mc:Fallback>
        </mc:AlternateContent>
      </w:r>
      <w:r w:rsidRPr="00163B00">
        <w:rPr>
          <w:rFonts w:eastAsia="Times New Roman"/>
          <w:noProof/>
          <w:kern w:val="0"/>
          <w:lang w:val="en-US" w:eastAsia="en-US" w:bidi="ar-SA"/>
        </w:rPr>
        <mc:AlternateContent>
          <mc:Choice Requires="wps">
            <w:drawing>
              <wp:anchor distT="0" distB="0" distL="114300" distR="114300" simplePos="0" relativeHeight="252168704" behindDoc="0" locked="0" layoutInCell="1" allowOverlap="1" wp14:anchorId="668F8879" wp14:editId="2B7388E3">
                <wp:simplePos x="0" y="0"/>
                <wp:positionH relativeFrom="margin">
                  <wp:posOffset>2813050</wp:posOffset>
                </wp:positionH>
                <wp:positionV relativeFrom="paragraph">
                  <wp:posOffset>86995</wp:posOffset>
                </wp:positionV>
                <wp:extent cx="2794000" cy="1165860"/>
                <wp:effectExtent l="19050" t="19050" r="25400" b="15240"/>
                <wp:wrapNone/>
                <wp:docPr id="293" name="Text Box 293"/>
                <wp:cNvGraphicFramePr/>
                <a:graphic xmlns:a="http://schemas.openxmlformats.org/drawingml/2006/main">
                  <a:graphicData uri="http://schemas.microsoft.com/office/word/2010/wordprocessingShape">
                    <wps:wsp>
                      <wps:cNvSpPr txBox="1"/>
                      <wps:spPr>
                        <a:xfrm>
                          <a:off x="0" y="0"/>
                          <a:ext cx="2794000" cy="1165860"/>
                        </a:xfrm>
                        <a:prstGeom prst="roundRect">
                          <a:avLst/>
                        </a:prstGeom>
                        <a:solidFill>
                          <a:sysClr val="window" lastClr="FFFFFF"/>
                        </a:solidFill>
                        <a:ln w="28575" cap="flat" cmpd="sng" algn="ctr">
                          <a:solidFill>
                            <a:srgbClr val="70AD47"/>
                          </a:solidFill>
                          <a:prstDash val="solid"/>
                          <a:miter lim="800000"/>
                        </a:ln>
                        <a:effectLst/>
                      </wps:spPr>
                      <wps:txbx>
                        <w:txbxContent>
                          <w:p w14:paraId="0995D4D1" w14:textId="77777777" w:rsidR="00876FFE" w:rsidRPr="008D4739" w:rsidRDefault="00876FFE" w:rsidP="00163B00">
                            <w:pPr>
                              <w:jc w:val="center"/>
                              <w:rPr>
                                <w:rFonts w:cstheme="minorHAnsi"/>
                                <w:b/>
                                <w14:textOutline w14:w="9525" w14:cap="rnd" w14:cmpd="sng" w14:algn="ctr">
                                  <w14:noFill/>
                                  <w14:prstDash w14:val="solid"/>
                                  <w14:bevel/>
                                </w14:textOutline>
                              </w:rPr>
                            </w:pPr>
                            <w:r w:rsidRPr="008D4739">
                              <w:rPr>
                                <w:rFonts w:cstheme="minorHAnsi"/>
                                <w:b/>
                                <w14:textOutline w14:w="9525" w14:cap="rnd" w14:cmpd="sng" w14:algn="ctr">
                                  <w14:noFill/>
                                  <w14:prstDash w14:val="solid"/>
                                  <w14:bevel/>
                                </w14:textOutline>
                              </w:rPr>
                              <w:t>Усклађено и стандардизовано комуницирање РЈУ унутар органа јавне управе</w:t>
                            </w:r>
                          </w:p>
                          <w:p w14:paraId="54120355" w14:textId="77777777" w:rsidR="00876FFE" w:rsidRPr="008D4739" w:rsidRDefault="00876FFE" w:rsidP="00163B00">
                            <w:pPr>
                              <w:rPr>
                                <w:rFonts w:ascii="Verdana" w:hAnsi="Verdana"/>
                                <w:sz w:val="21"/>
                                <w:szCs w:val="21"/>
                                <w14:textOutline w14:w="9525" w14:cap="rnd" w14:cmpd="thinThick"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8F8879" id="Text Box 293" o:spid="_x0000_s1518" style="position:absolute;left:0;text-align:left;margin-left:221.5pt;margin-top:6.85pt;width:220pt;height:91.8pt;z-index:25216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" fillcolor="window" strokecolor="#70ad47" strokeweight="2.25pt">
                <v:stroke joinstyle="miter"/>
                <v:textbox>
                  <w:txbxContent>
                    <w:p w14:paraId="0995D4D1" w14:textId="77777777" w:rsidR="00876FFE" w:rsidRPr="008D4739" w:rsidRDefault="00876FFE" w:rsidP="00163B00">
                      <w:pPr>
                        <w:jc w:val="center"/>
                        <w:rPr>
                          <w:rFonts w:cstheme="minorHAnsi"/>
                          <w:b/>
                          <w14:textOutline w14:w="9525" w14:cap="rnd" w14:cmpd="sng" w14:algn="ctr">
                            <w14:noFill/>
                            <w14:prstDash w14:val="solid"/>
                            <w14:bevel/>
                          </w14:textOutline>
                        </w:rPr>
                      </w:pPr>
                      <w:r w:rsidRPr="008D4739">
                        <w:rPr>
                          <w:rFonts w:cstheme="minorHAnsi"/>
                          <w:b/>
                          <w14:textOutline w14:w="9525" w14:cap="rnd" w14:cmpd="sng" w14:algn="ctr">
                            <w14:noFill/>
                            <w14:prstDash w14:val="solid"/>
                            <w14:bevel/>
                          </w14:textOutline>
                        </w:rPr>
                        <w:t xml:space="preserve">Усклађено </w:t>
                      </w:r>
                      <w:r w:rsidRPr="008D4739">
                        <w:rPr>
                          <w:rFonts w:cstheme="minorHAnsi"/>
                          <w:b/>
                          <w14:textOutline w14:w="9525" w14:cap="rnd" w14:cmpd="sng" w14:algn="ctr">
                            <w14:noFill/>
                            <w14:prstDash w14:val="solid"/>
                            <w14:bevel/>
                          </w14:textOutline>
                        </w:rPr>
                        <w:t>и стандардизовано комуницирање РЈУ унутар органа јавне управе</w:t>
                      </w:r>
                    </w:p>
                    <w:p w14:paraId="54120355" w14:textId="77777777" w:rsidR="00876FFE" w:rsidRPr="008D4739" w:rsidRDefault="00876FFE" w:rsidP="00163B00">
                      <w:pPr>
                        <w:rPr>
                          <w:rFonts w:ascii="Verdana" w:hAnsi="Verdana"/>
                          <w:sz w:val="21"/>
                          <w:szCs w:val="21"/>
                          <w14:textOutline w14:w="9525" w14:cap="rnd" w14:cmpd="thinThick" w14:algn="ctr">
                            <w14:noFill/>
                            <w14:prstDash w14:val="solid"/>
                            <w14:bevel/>
                          </w14:textOutline>
                        </w:rPr>
                      </w:pPr>
                    </w:p>
                  </w:txbxContent>
                </v:textbox>
                <w10:wrap anchorx="margin"/>
              </v:roundrect>
            </w:pict>
          </mc:Fallback>
        </mc:AlternateContent>
      </w:r>
      <w:r w:rsidRPr="00163B00">
        <w:rPr>
          <w:rFonts w:eastAsia="Times New Roman"/>
          <w:noProof/>
          <w:kern w:val="0"/>
          <w:lang w:val="en-US" w:eastAsia="en-US" w:bidi="ar-SA"/>
        </w:rPr>
        <mc:AlternateContent>
          <mc:Choice Requires="wps">
            <w:drawing>
              <wp:anchor distT="0" distB="0" distL="114300" distR="114300" simplePos="0" relativeHeight="252167680" behindDoc="0" locked="0" layoutInCell="1" allowOverlap="1" wp14:anchorId="0A573AC5" wp14:editId="4F7643EC">
                <wp:simplePos x="0" y="0"/>
                <wp:positionH relativeFrom="column">
                  <wp:posOffset>-63500</wp:posOffset>
                </wp:positionH>
                <wp:positionV relativeFrom="paragraph">
                  <wp:posOffset>80645</wp:posOffset>
                </wp:positionV>
                <wp:extent cx="2730500" cy="1185545"/>
                <wp:effectExtent l="19050" t="19050" r="12700" b="14605"/>
                <wp:wrapNone/>
                <wp:docPr id="357" name="Text Box 357"/>
                <wp:cNvGraphicFramePr/>
                <a:graphic xmlns:a="http://schemas.openxmlformats.org/drawingml/2006/main">
                  <a:graphicData uri="http://schemas.microsoft.com/office/word/2010/wordprocessingShape">
                    <wps:wsp>
                      <wps:cNvSpPr txBox="1"/>
                      <wps:spPr>
                        <a:xfrm>
                          <a:off x="0" y="0"/>
                          <a:ext cx="2730500" cy="1185545"/>
                        </a:xfrm>
                        <a:prstGeom prst="roundRect">
                          <a:avLst/>
                        </a:prstGeom>
                        <a:solidFill>
                          <a:sysClr val="window" lastClr="FFFFFF"/>
                        </a:solidFill>
                        <a:ln w="28575" cap="flat" cmpd="sng" algn="ctr">
                          <a:solidFill>
                            <a:srgbClr val="70AD47"/>
                          </a:solidFill>
                          <a:prstDash val="solid"/>
                          <a:miter lim="800000"/>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ask:type>
                                  <ask:lineSketchNone/>
                                </ask:type>
                              </ask:lineSketchStyleProps>
                            </a:ext>
                          </a:extLst>
                        </a:ln>
                        <a:effectLst/>
                      </wps:spPr>
                      <wps:txbx>
                        <w:txbxContent>
                          <w:p w14:paraId="4B80789A" w14:textId="77777777" w:rsidR="00876FFE" w:rsidRPr="008D4739" w:rsidRDefault="00876FFE" w:rsidP="00163B00">
                            <w:pPr>
                              <w:jc w:val="center"/>
                              <w:rPr>
                                <w:rFonts w:cstheme="minorHAnsi"/>
                                <w:b/>
                                <w:color w:val="000000" w:themeColor="text1"/>
                                <w14:textOutline w14:w="9525" w14:cap="rnd" w14:cmpd="sng" w14:algn="ctr">
                                  <w14:noFill/>
                                  <w14:prstDash w14:val="solid"/>
                                  <w14:bevel/>
                                </w14:textOutline>
                              </w:rPr>
                            </w:pPr>
                            <w:r w:rsidRPr="008D4739">
                              <w:rPr>
                                <w:rFonts w:cstheme="minorHAnsi"/>
                                <w:b/>
                                <w:color w:val="000000" w:themeColor="text1"/>
                                <w14:textOutline w14:w="9525" w14:cap="rnd" w14:cmpd="sng" w14:algn="ctr">
                                  <w14:noFill/>
                                  <w14:prstDash w14:val="solid"/>
                                  <w14:bevel/>
                                </w14:textOutline>
                              </w:rPr>
                              <w:t>Побољшан систем координације, планирања и спровођења комуникационих активности на нивоу централне власти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A573AC5" id="Text Box 357" o:spid="_x0000_s1519" style="position:absolute;left:0;text-align:left;margin-left:-5pt;margin-top:6.35pt;width:215pt;height:93.3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" fillcolor="window" strokecolor="#70ad47" strokeweight="2.25pt">
                <v:stroke joinstyle="miter"/>
                <v:textbox>
                  <w:txbxContent>
                    <w:p w14:paraId="4B80789A" w14:textId="77777777" w:rsidR="00876FFE" w:rsidRPr="008D4739" w:rsidRDefault="00876FFE" w:rsidP="00163B00">
                      <w:pPr>
                        <w:jc w:val="center"/>
                        <w:rPr>
                          <w:rFonts w:cstheme="minorHAnsi"/>
                          <w:b/>
                          <w:color w:val="000000" w:themeColor="text1"/>
                          <w14:textOutline w14:w="9525" w14:cap="rnd" w14:cmpd="sng" w14:algn="ctr">
                            <w14:noFill/>
                            <w14:prstDash w14:val="solid"/>
                            <w14:bevel/>
                          </w14:textOutline>
                        </w:rPr>
                      </w:pPr>
                      <w:r w:rsidRPr="008D4739">
                        <w:rPr>
                          <w:rFonts w:cstheme="minorHAnsi"/>
                          <w:b/>
                          <w:color w:val="000000" w:themeColor="text1"/>
                          <w14:textOutline w14:w="9525" w14:cap="rnd" w14:cmpd="sng" w14:algn="ctr">
                            <w14:noFill/>
                            <w14:prstDash w14:val="solid"/>
                            <w14:bevel/>
                          </w14:textOutline>
                        </w:rPr>
                        <w:t xml:space="preserve">Побољшан </w:t>
                      </w:r>
                      <w:r w:rsidRPr="008D4739">
                        <w:rPr>
                          <w:rFonts w:cstheme="minorHAnsi"/>
                          <w:b/>
                          <w:color w:val="000000" w:themeColor="text1"/>
                          <w14:textOutline w14:w="9525" w14:cap="rnd" w14:cmpd="sng" w14:algn="ctr">
                            <w14:noFill/>
                            <w14:prstDash w14:val="solid"/>
                            <w14:bevel/>
                          </w14:textOutline>
                        </w:rPr>
                        <w:t>систем координације, планирања и спровођења комуникационих активности на нивоу централне власти</w:t>
                      </w:r>
                    </w:p>
                  </w:txbxContent>
                </v:textbox>
              </v:roundrect>
            </w:pict>
          </mc:Fallback>
        </mc:AlternateContent>
      </w:r>
    </w:p>
    <w:p w14:paraId="3755CBFD"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p>
    <w:p w14:paraId="717F726A"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p>
    <w:p w14:paraId="41552D9D"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p>
    <w:p w14:paraId="7BC3C975"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r w:rsidRPr="00163B00">
        <w:rPr>
          <w:rFonts w:eastAsiaTheme="minorHAnsi"/>
          <w:noProof/>
          <w:kern w:val="0"/>
          <w:lang w:val="en-US" w:eastAsia="en-US" w:bidi="ar-SA"/>
        </w:rPr>
        <mc:AlternateContent>
          <mc:Choice Requires="wps">
            <w:drawing>
              <wp:anchor distT="0" distB="0" distL="114300" distR="114300" simplePos="0" relativeHeight="252171776" behindDoc="0" locked="0" layoutInCell="1" allowOverlap="1" wp14:anchorId="0718A2F5" wp14:editId="57304BE5">
                <wp:simplePos x="0" y="0"/>
                <wp:positionH relativeFrom="column">
                  <wp:posOffset>1365250</wp:posOffset>
                </wp:positionH>
                <wp:positionV relativeFrom="paragraph">
                  <wp:posOffset>276225</wp:posOffset>
                </wp:positionV>
                <wp:extent cx="1314450" cy="1997710"/>
                <wp:effectExtent l="0" t="0" r="19050" b="21590"/>
                <wp:wrapNone/>
                <wp:docPr id="358" name="Text Box 358"/>
                <wp:cNvGraphicFramePr/>
                <a:graphic xmlns:a="http://schemas.openxmlformats.org/drawingml/2006/main">
                  <a:graphicData uri="http://schemas.microsoft.com/office/word/2010/wordprocessingShape">
                    <wps:wsp>
                      <wps:cNvSpPr txBox="1"/>
                      <wps:spPr>
                        <a:xfrm>
                          <a:off x="0" y="0"/>
                          <a:ext cx="1314450" cy="1997710"/>
                        </a:xfrm>
                        <a:prstGeom prst="roundRect">
                          <a:avLst/>
                        </a:prstGeom>
                        <a:solidFill>
                          <a:sysClr val="window" lastClr="FFFFFF"/>
                        </a:solidFill>
                        <a:ln w="12700" cap="flat" cmpd="sng" algn="ctr">
                          <a:solidFill>
                            <a:srgbClr val="70AD47"/>
                          </a:solidFill>
                          <a:prstDash val="solid"/>
                          <a:miter lim="800000"/>
                        </a:ln>
                        <a:effectLst/>
                      </wps:spPr>
                      <wps:txbx>
                        <w:txbxContent>
                          <w:p w14:paraId="745247E5" w14:textId="77777777" w:rsidR="00876FFE" w:rsidRPr="00D21FC7" w:rsidRDefault="00876FFE" w:rsidP="00163B00">
                            <w:pPr>
                              <w:spacing w:after="0"/>
                              <w:jc w:val="center"/>
                              <w:rPr>
                                <w:rFonts w:cstheme="minorHAnsi"/>
                                <w:sz w:val="20"/>
                                <w:szCs w:val="20"/>
                              </w:rPr>
                            </w:pPr>
                            <w:r w:rsidRPr="00D21FC7">
                              <w:rPr>
                                <w:rFonts w:cstheme="minorHAnsi"/>
                                <w:sz w:val="20"/>
                                <w:szCs w:val="20"/>
                              </w:rPr>
                              <w:t xml:space="preserve">Обезбедити усклађено  комуницирање процеса и резултата РЈУ од стране различитих органа ЈУ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18A2F5" id="Text Box 358" o:spid="_x0000_s1520" style="position:absolute;margin-left:107.5pt;margin-top:21.75pt;width:103.5pt;height:157.3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" fillcolor="window" strokecolor="#70ad47" strokeweight="1pt">
                <v:stroke joinstyle="miter"/>
                <v:textbox>
                  <w:txbxContent>
                    <w:p w14:paraId="745247E5" w14:textId="77777777" w:rsidR="00876FFE" w:rsidRPr="00D21FC7" w:rsidRDefault="00876FFE" w:rsidP="00163B00">
                      <w:pPr>
                        <w:spacing w:after="0"/>
                        <w:jc w:val="center"/>
                        <w:rPr>
                          <w:rFonts w:cstheme="minorHAnsi"/>
                          <w:sz w:val="20"/>
                          <w:szCs w:val="20"/>
                        </w:rPr>
                      </w:pPr>
                      <w:r w:rsidRPr="00D21FC7">
                        <w:rPr>
                          <w:rFonts w:cstheme="minorHAnsi"/>
                          <w:sz w:val="20"/>
                          <w:szCs w:val="20"/>
                        </w:rPr>
                        <w:t xml:space="preserve">Обезбедити </w:t>
                      </w:r>
                      <w:r w:rsidRPr="00D21FC7">
                        <w:rPr>
                          <w:rFonts w:cstheme="minorHAnsi"/>
                          <w:sz w:val="20"/>
                          <w:szCs w:val="20"/>
                        </w:rPr>
                        <w:t xml:space="preserve">усклађено  комуницирање процеса и резултата РЈУ од стране различитих органа ЈУ </w:t>
                      </w:r>
                    </w:p>
                  </w:txbxContent>
                </v:textbox>
              </v:roundrect>
            </w:pict>
          </mc:Fallback>
        </mc:AlternateContent>
      </w:r>
      <w:r w:rsidRPr="00163B00">
        <w:rPr>
          <w:rFonts w:eastAsiaTheme="minorHAnsi"/>
          <w:noProof/>
          <w:kern w:val="0"/>
          <w:lang w:val="en-US" w:eastAsia="en-US" w:bidi="ar-SA"/>
        </w:rPr>
        <mc:AlternateContent>
          <mc:Choice Requires="wps">
            <w:drawing>
              <wp:anchor distT="0" distB="0" distL="114300" distR="114300" simplePos="0" relativeHeight="252170752" behindDoc="0" locked="0" layoutInCell="1" allowOverlap="1" wp14:anchorId="72DC878D" wp14:editId="114913A0">
                <wp:simplePos x="0" y="0"/>
                <wp:positionH relativeFrom="column">
                  <wp:posOffset>-107950</wp:posOffset>
                </wp:positionH>
                <wp:positionV relativeFrom="paragraph">
                  <wp:posOffset>276224</wp:posOffset>
                </wp:positionV>
                <wp:extent cx="1383030" cy="1975443"/>
                <wp:effectExtent l="0" t="0" r="26670" b="25400"/>
                <wp:wrapNone/>
                <wp:docPr id="359" name="Text Box 359"/>
                <wp:cNvGraphicFramePr/>
                <a:graphic xmlns:a="http://schemas.openxmlformats.org/drawingml/2006/main">
                  <a:graphicData uri="http://schemas.microsoft.com/office/word/2010/wordprocessingShape">
                    <wps:wsp>
                      <wps:cNvSpPr txBox="1"/>
                      <wps:spPr>
                        <a:xfrm>
                          <a:off x="0" y="0"/>
                          <a:ext cx="1383030" cy="1975443"/>
                        </a:xfrm>
                        <a:prstGeom prst="roundRect">
                          <a:avLst/>
                        </a:prstGeom>
                        <a:solidFill>
                          <a:sysClr val="window" lastClr="FFFFFF"/>
                        </a:solidFill>
                        <a:ln w="12700" cap="flat" cmpd="sng" algn="ctr">
                          <a:solidFill>
                            <a:srgbClr val="70AD47"/>
                          </a:solidFill>
                          <a:prstDash val="solid"/>
                          <a:miter lim="800000"/>
                        </a:ln>
                        <a:effectLst/>
                      </wps:spPr>
                      <wps:txbx>
                        <w:txbxContent>
                          <w:p w14:paraId="0E2BD6DF" w14:textId="77777777" w:rsidR="00876FFE" w:rsidRPr="00D21FC7" w:rsidRDefault="00876FFE" w:rsidP="00163B00">
                            <w:pPr>
                              <w:spacing w:after="0"/>
                              <w:jc w:val="center"/>
                              <w:rPr>
                                <w:rFonts w:cstheme="minorHAnsi"/>
                                <w:sz w:val="20"/>
                                <w:szCs w:val="20"/>
                              </w:rPr>
                            </w:pPr>
                            <w:r w:rsidRPr="00D21FC7">
                              <w:rPr>
                                <w:rFonts w:cstheme="minorHAnsi"/>
                                <w:sz w:val="20"/>
                                <w:szCs w:val="20"/>
                              </w:rPr>
                              <w:t>Успоставити структуру  задужену за комуницирање РЈУ на националном нивоу</w:t>
                            </w:r>
                            <w:r>
                              <w:rPr>
                                <w:rFonts w:cstheme="minorHAns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2DC878D" id="Text Box 359" o:spid="_x0000_s1521" style="position:absolute;margin-left:-8.5pt;margin-top:21.75pt;width:108.9pt;height:155.5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" fillcolor="window" strokecolor="#70ad47" strokeweight="1pt">
                <v:stroke joinstyle="miter"/>
                <v:textbox>
                  <w:txbxContent>
                    <w:p w14:paraId="0E2BD6DF" w14:textId="77777777" w:rsidR="00876FFE" w:rsidRPr="00D21FC7" w:rsidRDefault="00876FFE" w:rsidP="00163B00">
                      <w:pPr>
                        <w:spacing w:after="0"/>
                        <w:jc w:val="center"/>
                        <w:rPr>
                          <w:rFonts w:cstheme="minorHAnsi"/>
                          <w:sz w:val="20"/>
                          <w:szCs w:val="20"/>
                        </w:rPr>
                      </w:pPr>
                      <w:r w:rsidRPr="00D21FC7">
                        <w:rPr>
                          <w:rFonts w:cstheme="minorHAnsi"/>
                          <w:sz w:val="20"/>
                          <w:szCs w:val="20"/>
                        </w:rPr>
                        <w:t xml:space="preserve">Успоставити </w:t>
                      </w:r>
                      <w:r w:rsidRPr="00D21FC7">
                        <w:rPr>
                          <w:rFonts w:cstheme="minorHAnsi"/>
                          <w:sz w:val="20"/>
                          <w:szCs w:val="20"/>
                        </w:rPr>
                        <w:t>структуру  задужену за комуницирање РЈУ на националном нивоу</w:t>
                      </w:r>
                      <w:r>
                        <w:rPr>
                          <w:rFonts w:cstheme="minorHAnsi"/>
                          <w:sz w:val="20"/>
                          <w:szCs w:val="20"/>
                        </w:rPr>
                        <w:t>.</w:t>
                      </w:r>
                    </w:p>
                  </w:txbxContent>
                </v:textbox>
              </v:roundrect>
            </w:pict>
          </mc:Fallback>
        </mc:AlternateContent>
      </w:r>
    </w:p>
    <w:p w14:paraId="21147D26"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r w:rsidRPr="00163B00">
        <w:rPr>
          <w:rFonts w:eastAsiaTheme="minorHAnsi"/>
          <w:noProof/>
          <w:kern w:val="0"/>
          <w:lang w:val="en-US" w:eastAsia="en-US" w:bidi="ar-SA"/>
        </w:rPr>
        <mc:AlternateContent>
          <mc:Choice Requires="wps">
            <w:drawing>
              <wp:anchor distT="0" distB="0" distL="114300" distR="114300" simplePos="0" relativeHeight="252175872" behindDoc="0" locked="0" layoutInCell="1" allowOverlap="1" wp14:anchorId="3B82AE14" wp14:editId="1F5CFDA6">
                <wp:simplePos x="0" y="0"/>
                <wp:positionH relativeFrom="column">
                  <wp:posOffset>7289800</wp:posOffset>
                </wp:positionH>
                <wp:positionV relativeFrom="paragraph">
                  <wp:posOffset>4445</wp:posOffset>
                </wp:positionV>
                <wp:extent cx="1330960" cy="1885950"/>
                <wp:effectExtent l="0" t="0" r="21590" b="19050"/>
                <wp:wrapNone/>
                <wp:docPr id="360" name="Text Box 360"/>
                <wp:cNvGraphicFramePr/>
                <a:graphic xmlns:a="http://schemas.openxmlformats.org/drawingml/2006/main">
                  <a:graphicData uri="http://schemas.microsoft.com/office/word/2010/wordprocessingShape">
                    <wps:wsp>
                      <wps:cNvSpPr txBox="1"/>
                      <wps:spPr>
                        <a:xfrm>
                          <a:off x="0" y="0"/>
                          <a:ext cx="1330960" cy="1885950"/>
                        </a:xfrm>
                        <a:prstGeom prst="roundRect">
                          <a:avLst/>
                        </a:prstGeom>
                        <a:solidFill>
                          <a:sysClr val="window" lastClr="FFFFFF"/>
                        </a:solidFill>
                        <a:ln w="12700" cap="flat" cmpd="sng" algn="ctr">
                          <a:solidFill>
                            <a:srgbClr val="70AD47"/>
                          </a:solidFill>
                          <a:prstDash val="solid"/>
                          <a:miter lim="800000"/>
                        </a:ln>
                        <a:effectLst/>
                      </wps:spPr>
                      <wps:txbx>
                        <w:txbxContent>
                          <w:p w14:paraId="7C024A77" w14:textId="77777777" w:rsidR="00876FFE" w:rsidRPr="00D21FC7" w:rsidRDefault="00876FFE" w:rsidP="00163B00">
                            <w:pPr>
                              <w:spacing w:after="0"/>
                              <w:jc w:val="center"/>
                              <w:rPr>
                                <w:rFonts w:cstheme="minorHAnsi"/>
                                <w:sz w:val="20"/>
                                <w:szCs w:val="20"/>
                              </w:rPr>
                            </w:pPr>
                            <w:r w:rsidRPr="00D21FC7">
                              <w:rPr>
                                <w:rFonts w:cstheme="minorHAnsi"/>
                                <w:sz w:val="20"/>
                                <w:szCs w:val="20"/>
                              </w:rPr>
                              <w:t xml:space="preserve">Комуницирати РЈУ у јавности на мање бирократском језику, представљајући резултате на за грађане разумљив и опипљив начин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B82AE14" id="_x0000_s1522" style="position:absolute;margin-left:574pt;margin-top:.35pt;width:104.8pt;height:148.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" fillcolor="window" strokecolor="#70ad47" strokeweight="1pt">
                <v:stroke joinstyle="miter"/>
                <v:textbox>
                  <w:txbxContent>
                    <w:p w14:paraId="7C024A77" w14:textId="77777777" w:rsidR="00876FFE" w:rsidRPr="00D21FC7" w:rsidRDefault="00876FFE" w:rsidP="00163B00">
                      <w:pPr>
                        <w:spacing w:after="0"/>
                        <w:jc w:val="center"/>
                        <w:rPr>
                          <w:rFonts w:cstheme="minorHAnsi"/>
                          <w:sz w:val="20"/>
                          <w:szCs w:val="20"/>
                        </w:rPr>
                      </w:pPr>
                      <w:r w:rsidRPr="00D21FC7">
                        <w:rPr>
                          <w:rFonts w:cstheme="minorHAnsi"/>
                          <w:sz w:val="20"/>
                          <w:szCs w:val="20"/>
                        </w:rPr>
                        <w:t xml:space="preserve">Комуницирати РЈУ у јавности на мање бирократском језику, представљајући резултате на за грађане разумљив и опипљив начин </w:t>
                      </w:r>
                    </w:p>
                  </w:txbxContent>
                </v:textbox>
              </v:roundrect>
            </w:pict>
          </mc:Fallback>
        </mc:AlternateContent>
      </w:r>
      <w:r w:rsidRPr="00163B00">
        <w:rPr>
          <w:rFonts w:eastAsiaTheme="minorHAnsi"/>
          <w:noProof/>
          <w:kern w:val="0"/>
          <w:lang w:val="en-US" w:eastAsia="en-US" w:bidi="ar-SA"/>
        </w:rPr>
        <mc:AlternateContent>
          <mc:Choice Requires="wps">
            <w:drawing>
              <wp:anchor distT="0" distB="0" distL="114300" distR="114300" simplePos="0" relativeHeight="252174848" behindDoc="0" locked="0" layoutInCell="1" allowOverlap="1" wp14:anchorId="4D7B8E9D" wp14:editId="181AF78D">
                <wp:simplePos x="0" y="0"/>
                <wp:positionH relativeFrom="column">
                  <wp:posOffset>5861050</wp:posOffset>
                </wp:positionH>
                <wp:positionV relativeFrom="paragraph">
                  <wp:posOffset>17145</wp:posOffset>
                </wp:positionV>
                <wp:extent cx="1352550" cy="1885315"/>
                <wp:effectExtent l="0" t="0" r="19050" b="19685"/>
                <wp:wrapNone/>
                <wp:docPr id="361" name="Text Box 361"/>
                <wp:cNvGraphicFramePr/>
                <a:graphic xmlns:a="http://schemas.openxmlformats.org/drawingml/2006/main">
                  <a:graphicData uri="http://schemas.microsoft.com/office/word/2010/wordprocessingShape">
                    <wps:wsp>
                      <wps:cNvSpPr txBox="1"/>
                      <wps:spPr>
                        <a:xfrm>
                          <a:off x="0" y="0"/>
                          <a:ext cx="1352550" cy="1885315"/>
                        </a:xfrm>
                        <a:prstGeom prst="roundRect">
                          <a:avLst/>
                        </a:prstGeom>
                        <a:solidFill>
                          <a:sysClr val="window" lastClr="FFFFFF"/>
                        </a:solidFill>
                        <a:ln w="12700" cap="flat" cmpd="sng" algn="ctr">
                          <a:solidFill>
                            <a:srgbClr val="70AD47"/>
                          </a:solidFill>
                          <a:prstDash val="solid"/>
                          <a:miter lim="800000"/>
                        </a:ln>
                        <a:effectLst/>
                      </wps:spPr>
                      <wps:txbx>
                        <w:txbxContent>
                          <w:p w14:paraId="4C7F991B" w14:textId="77777777" w:rsidR="00876FFE" w:rsidRPr="00D21FC7" w:rsidRDefault="00876FFE" w:rsidP="00163B00">
                            <w:pPr>
                              <w:spacing w:after="0"/>
                              <w:jc w:val="center"/>
                              <w:rPr>
                                <w:rFonts w:cstheme="minorHAnsi"/>
                                <w:sz w:val="20"/>
                                <w:szCs w:val="20"/>
                              </w:rPr>
                            </w:pPr>
                            <w:r w:rsidRPr="00D21FC7">
                              <w:rPr>
                                <w:rFonts w:cs="Calibri (Body)"/>
                                <w:spacing w:val="-4"/>
                                <w:sz w:val="20"/>
                                <w:szCs w:val="20"/>
                              </w:rPr>
                              <w:t xml:space="preserve">Изградити капацитете </w:t>
                            </w:r>
                            <w:r>
                              <w:rPr>
                                <w:rFonts w:cs="Calibri (Body)"/>
                                <w:spacing w:val="-4"/>
                                <w:sz w:val="20"/>
                                <w:szCs w:val="20"/>
                              </w:rPr>
                              <w:t xml:space="preserve">органа </w:t>
                            </w:r>
                            <w:r w:rsidRPr="00D21FC7">
                              <w:rPr>
                                <w:rFonts w:cs="Calibri (Body)"/>
                                <w:spacing w:val="-4"/>
                                <w:sz w:val="20"/>
                                <w:szCs w:val="20"/>
                              </w:rPr>
                              <w:t xml:space="preserve">ЈУ (централни и локални ниво) за правовремено, тачно и ефикасно спољно комуницирање процеса и резултата </w:t>
                            </w:r>
                            <w:r w:rsidRPr="00D21FC7">
                              <w:rPr>
                                <w:rFonts w:cstheme="minorHAnsi"/>
                                <w:sz w:val="20"/>
                                <w:szCs w:val="20"/>
                              </w:rPr>
                              <w:t>РЈУ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7B8E9D" id="Text Box 361" o:spid="_x0000_s1523" style="position:absolute;margin-left:461.5pt;margin-top:1.35pt;width:106.5pt;height:148.4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" fillcolor="window" strokecolor="#70ad47" strokeweight="1pt">
                <v:stroke joinstyle="miter"/>
                <v:textbox>
                  <w:txbxContent>
                    <w:p w14:paraId="4C7F991B" w14:textId="77777777" w:rsidR="00876FFE" w:rsidRPr="00D21FC7" w:rsidRDefault="00876FFE" w:rsidP="00163B00">
                      <w:pPr>
                        <w:spacing w:after="0"/>
                        <w:jc w:val="center"/>
                        <w:rPr>
                          <w:rFonts w:cstheme="minorHAnsi"/>
                          <w:sz w:val="20"/>
                          <w:szCs w:val="20"/>
                        </w:rPr>
                      </w:pPr>
                      <w:r w:rsidRPr="00D21FC7">
                        <w:rPr>
                          <w:rFonts w:cs="Calibri (Body)"/>
                          <w:spacing w:val="-4"/>
                          <w:sz w:val="20"/>
                          <w:szCs w:val="20"/>
                        </w:rPr>
                        <w:t xml:space="preserve">Изградити </w:t>
                      </w:r>
                      <w:r w:rsidRPr="00D21FC7">
                        <w:rPr>
                          <w:rFonts w:cs="Calibri (Body)"/>
                          <w:spacing w:val="-4"/>
                          <w:sz w:val="20"/>
                          <w:szCs w:val="20"/>
                        </w:rPr>
                        <w:t xml:space="preserve">капацитете </w:t>
                      </w:r>
                      <w:r>
                        <w:rPr>
                          <w:rFonts w:cs="Calibri (Body)"/>
                          <w:spacing w:val="-4"/>
                          <w:sz w:val="20"/>
                          <w:szCs w:val="20"/>
                        </w:rPr>
                        <w:t xml:space="preserve">органа </w:t>
                      </w:r>
                      <w:r w:rsidRPr="00D21FC7">
                        <w:rPr>
                          <w:rFonts w:cs="Calibri (Body)"/>
                          <w:spacing w:val="-4"/>
                          <w:sz w:val="20"/>
                          <w:szCs w:val="20"/>
                        </w:rPr>
                        <w:t xml:space="preserve">ЈУ (централни и локални ниво) за правовремено, тачно и ефикасно спољно комуницирање процеса и резултата </w:t>
                      </w:r>
                      <w:r w:rsidRPr="00D21FC7">
                        <w:rPr>
                          <w:rFonts w:cstheme="minorHAnsi"/>
                          <w:sz w:val="20"/>
                          <w:szCs w:val="20"/>
                        </w:rPr>
                        <w:t>РЈУ</w:t>
                      </w:r>
                    </w:p>
                  </w:txbxContent>
                </v:textbox>
              </v:roundrect>
            </w:pict>
          </mc:Fallback>
        </mc:AlternateContent>
      </w:r>
      <w:r w:rsidRPr="00163B00">
        <w:rPr>
          <w:rFonts w:eastAsiaTheme="minorHAnsi"/>
          <w:noProof/>
          <w:kern w:val="0"/>
          <w:lang w:val="en-US" w:eastAsia="en-US" w:bidi="ar-SA"/>
        </w:rPr>
        <mc:AlternateContent>
          <mc:Choice Requires="wps">
            <w:drawing>
              <wp:anchor distT="0" distB="0" distL="114300" distR="114300" simplePos="0" relativeHeight="252172800" behindDoc="0" locked="0" layoutInCell="1" allowOverlap="1" wp14:anchorId="5D979FE2" wp14:editId="1CDD7BC4">
                <wp:simplePos x="0" y="0"/>
                <wp:positionH relativeFrom="column">
                  <wp:posOffset>2825750</wp:posOffset>
                </wp:positionH>
                <wp:positionV relativeFrom="paragraph">
                  <wp:posOffset>4445</wp:posOffset>
                </wp:positionV>
                <wp:extent cx="1393825" cy="1949450"/>
                <wp:effectExtent l="0" t="0" r="15875" b="12700"/>
                <wp:wrapNone/>
                <wp:docPr id="362" name="Text Box 362"/>
                <wp:cNvGraphicFramePr/>
                <a:graphic xmlns:a="http://schemas.openxmlformats.org/drawingml/2006/main">
                  <a:graphicData uri="http://schemas.microsoft.com/office/word/2010/wordprocessingShape">
                    <wps:wsp>
                      <wps:cNvSpPr txBox="1"/>
                      <wps:spPr>
                        <a:xfrm>
                          <a:off x="0" y="0"/>
                          <a:ext cx="1393825" cy="1949450"/>
                        </a:xfrm>
                        <a:prstGeom prst="roundRect">
                          <a:avLst/>
                        </a:prstGeom>
                        <a:solidFill>
                          <a:sysClr val="window" lastClr="FFFFFF"/>
                        </a:solidFill>
                        <a:ln w="12700" cap="flat" cmpd="sng" algn="ctr">
                          <a:solidFill>
                            <a:srgbClr val="70AD47"/>
                          </a:solidFill>
                          <a:prstDash val="solid"/>
                          <a:miter lim="800000"/>
                        </a:ln>
                        <a:effectLst/>
                      </wps:spPr>
                      <wps:txbx>
                        <w:txbxContent>
                          <w:p w14:paraId="5B431CCE" w14:textId="77777777" w:rsidR="00876FFE" w:rsidRPr="00D21FC7" w:rsidRDefault="00876FFE" w:rsidP="00163B00">
                            <w:pPr>
                              <w:spacing w:after="0"/>
                              <w:jc w:val="center"/>
                              <w:rPr>
                                <w:rFonts w:cstheme="minorHAnsi"/>
                                <w:sz w:val="20"/>
                                <w:szCs w:val="20"/>
                              </w:rPr>
                            </w:pPr>
                            <w:r w:rsidRPr="00D21FC7">
                              <w:rPr>
                                <w:rFonts w:cstheme="minorHAnsi"/>
                                <w:sz w:val="20"/>
                                <w:szCs w:val="20"/>
                              </w:rPr>
                              <w:t>Повећати знање и ниво информисаности државних службеника о РЈУ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979FE2" id="_x0000_s1524" style="position:absolute;margin-left:222.5pt;margin-top:.35pt;width:109.75pt;height:153.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" fillcolor="window" strokecolor="#70ad47" strokeweight="1pt">
                <v:stroke joinstyle="miter"/>
                <v:textbox>
                  <w:txbxContent>
                    <w:p w14:paraId="5B431CCE" w14:textId="77777777" w:rsidR="00876FFE" w:rsidRPr="00D21FC7" w:rsidRDefault="00876FFE" w:rsidP="00163B00">
                      <w:pPr>
                        <w:spacing w:after="0"/>
                        <w:jc w:val="center"/>
                        <w:rPr>
                          <w:rFonts w:cstheme="minorHAnsi"/>
                          <w:sz w:val="20"/>
                          <w:szCs w:val="20"/>
                        </w:rPr>
                      </w:pPr>
                      <w:r w:rsidRPr="00D21FC7">
                        <w:rPr>
                          <w:rFonts w:cstheme="minorHAnsi"/>
                          <w:sz w:val="20"/>
                          <w:szCs w:val="20"/>
                        </w:rPr>
                        <w:t>Повећати знање и ниво информисаности државних службеника о РЈУ</w:t>
                      </w:r>
                    </w:p>
                  </w:txbxContent>
                </v:textbox>
              </v:roundrect>
            </w:pict>
          </mc:Fallback>
        </mc:AlternateContent>
      </w:r>
      <w:r w:rsidRPr="00163B00">
        <w:rPr>
          <w:rFonts w:eastAsiaTheme="minorHAnsi"/>
          <w:noProof/>
          <w:kern w:val="0"/>
          <w:lang w:val="en-US" w:eastAsia="en-US" w:bidi="ar-SA"/>
        </w:rPr>
        <mc:AlternateContent>
          <mc:Choice Requires="wps">
            <w:drawing>
              <wp:anchor distT="0" distB="0" distL="114300" distR="114300" simplePos="0" relativeHeight="252173824" behindDoc="0" locked="0" layoutInCell="1" allowOverlap="1" wp14:anchorId="77E1DFCC" wp14:editId="2F538DE5">
                <wp:simplePos x="0" y="0"/>
                <wp:positionH relativeFrom="column">
                  <wp:posOffset>4298950</wp:posOffset>
                </wp:positionH>
                <wp:positionV relativeFrom="paragraph">
                  <wp:posOffset>4444</wp:posOffset>
                </wp:positionV>
                <wp:extent cx="1383030" cy="1914793"/>
                <wp:effectExtent l="0" t="0" r="26670" b="28575"/>
                <wp:wrapNone/>
                <wp:docPr id="363" name="Text Box 363"/>
                <wp:cNvGraphicFramePr/>
                <a:graphic xmlns:a="http://schemas.openxmlformats.org/drawingml/2006/main">
                  <a:graphicData uri="http://schemas.microsoft.com/office/word/2010/wordprocessingShape">
                    <wps:wsp>
                      <wps:cNvSpPr txBox="1"/>
                      <wps:spPr>
                        <a:xfrm>
                          <a:off x="0" y="0"/>
                          <a:ext cx="1383030" cy="1914793"/>
                        </a:xfrm>
                        <a:prstGeom prst="roundRect">
                          <a:avLst/>
                        </a:prstGeom>
                        <a:solidFill>
                          <a:sysClr val="window" lastClr="FFFFFF"/>
                        </a:solidFill>
                        <a:ln w="12700" cap="flat" cmpd="sng" algn="ctr">
                          <a:solidFill>
                            <a:srgbClr val="70AD47"/>
                          </a:solidFill>
                          <a:prstDash val="solid"/>
                          <a:miter lim="800000"/>
                        </a:ln>
                        <a:effectLst/>
                      </wps:spPr>
                      <wps:txbx>
                        <w:txbxContent>
                          <w:p w14:paraId="123C29EA" w14:textId="77777777" w:rsidR="00876FFE" w:rsidRPr="00D21FC7" w:rsidRDefault="00876FFE" w:rsidP="00163B00">
                            <w:pPr>
                              <w:spacing w:after="0"/>
                              <w:jc w:val="center"/>
                              <w:rPr>
                                <w:rFonts w:cstheme="minorHAnsi"/>
                                <w:sz w:val="20"/>
                                <w:szCs w:val="20"/>
                              </w:rPr>
                            </w:pPr>
                            <w:r w:rsidRPr="00D21FC7">
                              <w:rPr>
                                <w:rFonts w:cstheme="minorHAnsi"/>
                                <w:sz w:val="20"/>
                                <w:szCs w:val="20"/>
                              </w:rPr>
                              <w:t xml:space="preserve">Изградити капацитете </w:t>
                            </w:r>
                            <w:r>
                              <w:rPr>
                                <w:rFonts w:cstheme="minorHAnsi"/>
                                <w:sz w:val="20"/>
                                <w:szCs w:val="20"/>
                              </w:rPr>
                              <w:t>органа</w:t>
                            </w:r>
                            <w:r w:rsidRPr="00D21FC7">
                              <w:rPr>
                                <w:rFonts w:cstheme="minorHAnsi"/>
                                <w:sz w:val="20"/>
                                <w:szCs w:val="20"/>
                              </w:rPr>
                              <w:t xml:space="preserve"> ЈУ за усклађено интерно комуницирање процеса и резултата РЈУ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E1DFCC" id="_x0000_s1525" style="position:absolute;margin-left:338.5pt;margin-top:.35pt;width:108.9pt;height:150.7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" fillcolor="window" strokecolor="#70ad47" strokeweight="1pt">
                <v:stroke joinstyle="miter"/>
                <v:textbox>
                  <w:txbxContent>
                    <w:p w14:paraId="123C29EA" w14:textId="77777777" w:rsidR="00876FFE" w:rsidRPr="00D21FC7" w:rsidRDefault="00876FFE" w:rsidP="00163B00">
                      <w:pPr>
                        <w:spacing w:after="0"/>
                        <w:jc w:val="center"/>
                        <w:rPr>
                          <w:rFonts w:cstheme="minorHAnsi"/>
                          <w:sz w:val="20"/>
                          <w:szCs w:val="20"/>
                        </w:rPr>
                      </w:pPr>
                      <w:r w:rsidRPr="00D21FC7">
                        <w:rPr>
                          <w:rFonts w:cstheme="minorHAnsi"/>
                          <w:sz w:val="20"/>
                          <w:szCs w:val="20"/>
                        </w:rPr>
                        <w:t xml:space="preserve">Изградити </w:t>
                      </w:r>
                      <w:r w:rsidRPr="00D21FC7">
                        <w:rPr>
                          <w:rFonts w:cstheme="minorHAnsi"/>
                          <w:sz w:val="20"/>
                          <w:szCs w:val="20"/>
                        </w:rPr>
                        <w:t xml:space="preserve">капацитете </w:t>
                      </w:r>
                      <w:r>
                        <w:rPr>
                          <w:rFonts w:cstheme="minorHAnsi"/>
                          <w:sz w:val="20"/>
                          <w:szCs w:val="20"/>
                        </w:rPr>
                        <w:t>органа</w:t>
                      </w:r>
                      <w:r w:rsidRPr="00D21FC7">
                        <w:rPr>
                          <w:rFonts w:cstheme="minorHAnsi"/>
                          <w:sz w:val="20"/>
                          <w:szCs w:val="20"/>
                        </w:rPr>
                        <w:t xml:space="preserve"> ЈУ за усклађено интерно комуницирање процеса и резултата РЈУ</w:t>
                      </w:r>
                    </w:p>
                  </w:txbxContent>
                </v:textbox>
              </v:roundrect>
            </w:pict>
          </mc:Fallback>
        </mc:AlternateContent>
      </w:r>
    </w:p>
    <w:p w14:paraId="2A11E729"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p>
    <w:p w14:paraId="0BDDC6E5"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p>
    <w:p w14:paraId="5623FF1B"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p>
    <w:p w14:paraId="3DFE8653"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p>
    <w:p w14:paraId="6873FDFC"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p>
    <w:p w14:paraId="44E39299"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r w:rsidRPr="00163B00">
        <w:rPr>
          <w:rFonts w:eastAsiaTheme="minorHAnsi"/>
          <w:noProof/>
          <w:kern w:val="0"/>
          <w:lang w:val="en-US" w:eastAsia="en-US" w:bidi="ar-SA"/>
        </w:rPr>
        <mc:AlternateContent>
          <mc:Choice Requires="wps">
            <w:drawing>
              <wp:anchor distT="0" distB="0" distL="114300" distR="114300" simplePos="0" relativeHeight="252176896" behindDoc="0" locked="0" layoutInCell="1" allowOverlap="1" wp14:anchorId="33775C8A" wp14:editId="0525E584">
                <wp:simplePos x="0" y="0"/>
                <wp:positionH relativeFrom="column">
                  <wp:posOffset>5861050</wp:posOffset>
                </wp:positionH>
                <wp:positionV relativeFrom="paragraph">
                  <wp:posOffset>247650</wp:posOffset>
                </wp:positionV>
                <wp:extent cx="2759710" cy="1051200"/>
                <wp:effectExtent l="0" t="0" r="21590" b="15875"/>
                <wp:wrapNone/>
                <wp:docPr id="377" name="Text Box 377"/>
                <wp:cNvGraphicFramePr/>
                <a:graphic xmlns:a="http://schemas.openxmlformats.org/drawingml/2006/main">
                  <a:graphicData uri="http://schemas.microsoft.com/office/word/2010/wordprocessingShape">
                    <wps:wsp>
                      <wps:cNvSpPr txBox="1"/>
                      <wps:spPr>
                        <a:xfrm>
                          <a:off x="0" y="0"/>
                          <a:ext cx="2759710" cy="1051200"/>
                        </a:xfrm>
                        <a:prstGeom prst="roundRect">
                          <a:avLst/>
                        </a:prstGeom>
                        <a:solidFill>
                          <a:sysClr val="window" lastClr="FFFFFF"/>
                        </a:solidFill>
                        <a:ln w="12700" cap="flat" cmpd="sng" algn="ctr">
                          <a:solidFill>
                            <a:srgbClr val="70AD47"/>
                          </a:solidFill>
                          <a:prstDash val="solid"/>
                          <a:miter lim="800000"/>
                        </a:ln>
                        <a:effectLst/>
                      </wps:spPr>
                      <wps:txbx>
                        <w:txbxContent>
                          <w:p w14:paraId="668E3AA5" w14:textId="77777777" w:rsidR="00876FFE" w:rsidRPr="00D21FC7" w:rsidRDefault="00876FFE" w:rsidP="00163B00">
                            <w:pPr>
                              <w:spacing w:after="0"/>
                              <w:jc w:val="center"/>
                              <w:rPr>
                                <w:rFonts w:cstheme="minorHAnsi"/>
                                <w:sz w:val="20"/>
                                <w:szCs w:val="20"/>
                              </w:rPr>
                            </w:pPr>
                            <w:r w:rsidRPr="00D21FC7">
                              <w:rPr>
                                <w:rFonts w:cstheme="minorHAnsi"/>
                                <w:sz w:val="20"/>
                                <w:szCs w:val="20"/>
                              </w:rPr>
                              <w:t>Унапредити знање медија о РЈУ и јачати њихове капацитете за благовремено и делотворно извештавање о РЈУ и њеним резултатима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775C8A" id="_x0000_s1526" style="position:absolute;margin-left:461.5pt;margin-top:19.5pt;width:217.3pt;height:82.7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" fillcolor="window" strokecolor="#70ad47" strokeweight="1pt">
                <v:stroke joinstyle="miter"/>
                <v:textbox>
                  <w:txbxContent>
                    <w:p w14:paraId="668E3AA5" w14:textId="77777777" w:rsidR="00876FFE" w:rsidRPr="00D21FC7" w:rsidRDefault="00876FFE" w:rsidP="00163B00">
                      <w:pPr>
                        <w:spacing w:after="0"/>
                        <w:jc w:val="center"/>
                        <w:rPr>
                          <w:rFonts w:cstheme="minorHAnsi"/>
                          <w:sz w:val="20"/>
                          <w:szCs w:val="20"/>
                        </w:rPr>
                      </w:pPr>
                      <w:r w:rsidRPr="00D21FC7">
                        <w:rPr>
                          <w:rFonts w:cstheme="minorHAnsi"/>
                          <w:sz w:val="20"/>
                          <w:szCs w:val="20"/>
                        </w:rPr>
                        <w:t xml:space="preserve">Унапредити </w:t>
                      </w:r>
                      <w:r w:rsidRPr="00D21FC7">
                        <w:rPr>
                          <w:rFonts w:cstheme="minorHAnsi"/>
                          <w:sz w:val="20"/>
                          <w:szCs w:val="20"/>
                        </w:rPr>
                        <w:t>знање медија о РЈУ и јачати њихове капацитете за благовремено и делотворно извештавање о РЈУ и њеним резултатима</w:t>
                      </w:r>
                    </w:p>
                  </w:txbxContent>
                </v:textbox>
              </v:roundrect>
            </w:pict>
          </mc:Fallback>
        </mc:AlternateContent>
      </w:r>
    </w:p>
    <w:p w14:paraId="697BE08E"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p>
    <w:p w14:paraId="506293C8"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p>
    <w:p w14:paraId="70CC4495"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eastAsia="en-US" w:bidi="ar-SA"/>
        </w:rPr>
      </w:pPr>
    </w:p>
    <w:p w14:paraId="676FFBAB"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sectPr w:rsidR="00163B00" w:rsidRPr="00163B00" w:rsidSect="00DA6BE3">
          <w:pgSz w:w="15840" w:h="12240" w:orient="landscape"/>
          <w:pgMar w:top="1440" w:right="1440" w:bottom="1440" w:left="1440" w:header="720" w:footer="720" w:gutter="0"/>
          <w:cols w:space="720"/>
          <w:docGrid w:linePitch="360"/>
        </w:sectPr>
      </w:pPr>
    </w:p>
    <w:p w14:paraId="4E16AC8E"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r w:rsidRPr="00163B00">
        <w:rPr>
          <w:rFonts w:eastAsiaTheme="minorHAnsi"/>
          <w:b/>
          <w:bCs/>
          <w:kern w:val="0"/>
          <w:lang w:eastAsia="en-US" w:bidi="ar-SA"/>
        </w:rPr>
        <w:t>Кључне поруке:</w:t>
      </w:r>
    </w:p>
    <w:p w14:paraId="56E6B0D5"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Комуникација о РЈУ је заправо комуникација о боље организованој и отвореној држави, бољем животу грађана и општем развоју друштва. Према томе, комуникација о РЈУ треба да буде усредсређена на потребе грађана, њихово лично искуство у вези са јавном управом и да представи сва достигнућа која доприносе бољем животу грађана и стимулативном пословном окружењу. Све кључне поруке и изјаве морају бити јасно поткрепљене подацима, чињеницама, активностима и резултатима који су остварени или могућностима које постоје. Резултати, процеси и суштина користи резултата РЈУ за одређену заједницу мора да буде посебно описани, док језик на коме се саопштавају прилагођен циљној групи и колико год је то могуће ослобођен административних термина. </w:t>
      </w:r>
    </w:p>
    <w:p w14:paraId="6B1AAEC6" w14:textId="77777777" w:rsidR="00163B00" w:rsidRPr="00163B00" w:rsidRDefault="00163B00" w:rsidP="00E62A1A">
      <w:pPr>
        <w:numPr>
          <w:ilvl w:val="0"/>
          <w:numId w:val="58"/>
        </w:numPr>
        <w:suppressAutoHyphens w:val="0"/>
        <w:autoSpaceDN/>
        <w:spacing w:before="0" w:after="160" w:line="259" w:lineRule="auto"/>
        <w:contextualSpacing/>
        <w:textAlignment w:val="auto"/>
        <w:rPr>
          <w:rFonts w:eastAsiaTheme="minorHAnsi"/>
          <w:kern w:val="0"/>
          <w:lang w:eastAsia="en-US" w:bidi="ar-SA"/>
        </w:rPr>
      </w:pPr>
      <w:r w:rsidRPr="00163B00">
        <w:rPr>
          <w:rFonts w:eastAsiaTheme="minorHAnsi"/>
          <w:kern w:val="0"/>
          <w:lang w:eastAsia="en-US" w:bidi="ar-SA"/>
        </w:rPr>
        <w:t xml:space="preserve">Кључна порука за ИНСТИТУЦИЈЕ ЈУ: </w:t>
      </w:r>
      <w:r w:rsidRPr="00163B00">
        <w:rPr>
          <w:rFonts w:eastAsiaTheme="minorHAnsi"/>
          <w:b/>
          <w:bCs/>
          <w:i/>
          <w:iCs/>
          <w:kern w:val="0"/>
          <w:lang w:eastAsia="en-US" w:bidi="ar-SA"/>
        </w:rPr>
        <w:t>Реформа јавне управе је континуиран и неповратан процес којим стварамо ефикаснију и одговорнију јавну управу, и отворенију и услужно орјентисану за грађане и привреду Србије</w:t>
      </w:r>
      <w:r w:rsidRPr="00163B00">
        <w:rPr>
          <w:rFonts w:eastAsiaTheme="minorHAnsi"/>
          <w:b/>
          <w:i/>
          <w:iCs/>
          <w:kern w:val="0"/>
          <w:lang w:eastAsia="en-US" w:bidi="ar-SA"/>
        </w:rPr>
        <w:t>.</w:t>
      </w:r>
    </w:p>
    <w:p w14:paraId="79AFC222" w14:textId="77777777" w:rsidR="00163B00" w:rsidRPr="00163B00" w:rsidRDefault="00163B00" w:rsidP="00E62A1A">
      <w:pPr>
        <w:numPr>
          <w:ilvl w:val="0"/>
          <w:numId w:val="58"/>
        </w:numPr>
        <w:suppressAutoHyphens w:val="0"/>
        <w:autoSpaceDN/>
        <w:spacing w:before="0" w:after="160" w:line="259" w:lineRule="auto"/>
        <w:contextualSpacing/>
        <w:textAlignment w:val="auto"/>
        <w:rPr>
          <w:rFonts w:eastAsiaTheme="minorHAnsi"/>
          <w:b/>
          <w:kern w:val="0"/>
          <w:lang w:eastAsia="en-US" w:bidi="ar-SA"/>
        </w:rPr>
      </w:pPr>
      <w:r w:rsidRPr="00163B00">
        <w:rPr>
          <w:rFonts w:eastAsiaTheme="minorHAnsi"/>
          <w:kern w:val="0"/>
          <w:lang w:eastAsia="en-US" w:bidi="ar-SA"/>
        </w:rPr>
        <w:t xml:space="preserve">Кључна порука ГРАЂАНИМА: </w:t>
      </w:r>
      <w:r w:rsidRPr="00163B00">
        <w:rPr>
          <w:rFonts w:eastAsiaTheme="minorHAnsi"/>
          <w:b/>
          <w:bCs/>
          <w:i/>
          <w:iCs/>
          <w:kern w:val="0"/>
          <w:lang w:eastAsia="en-US" w:bidi="ar-SA"/>
        </w:rPr>
        <w:t>Суштина реформе јавне управе су потребе грађана и привреде, којима се излази у сусрет модернизацијом и професионализацијом јавне управе са акцентом на квалитетним и ефикасним услугама које задовољавају потребе грађана и привреде.</w:t>
      </w:r>
    </w:p>
    <w:p w14:paraId="66B79B3E" w14:textId="77777777" w:rsidR="00163B00" w:rsidRPr="00163B00" w:rsidRDefault="00163B00" w:rsidP="00E62A1A">
      <w:pPr>
        <w:numPr>
          <w:ilvl w:val="0"/>
          <w:numId w:val="58"/>
        </w:numPr>
        <w:suppressAutoHyphens w:val="0"/>
        <w:autoSpaceDN/>
        <w:spacing w:before="0" w:after="160" w:line="259" w:lineRule="auto"/>
        <w:contextualSpacing/>
        <w:textAlignment w:val="auto"/>
        <w:rPr>
          <w:rFonts w:eastAsiaTheme="minorHAnsi"/>
          <w:b/>
          <w:kern w:val="0"/>
          <w:lang w:eastAsia="en-US" w:bidi="ar-SA"/>
        </w:rPr>
      </w:pPr>
      <w:r w:rsidRPr="00163B00">
        <w:rPr>
          <w:rFonts w:eastAsiaTheme="minorHAnsi"/>
          <w:kern w:val="0"/>
          <w:lang w:eastAsia="en-US" w:bidi="ar-SA"/>
        </w:rPr>
        <w:t>Кључна порука ПОСЛОВНОМ СЕКТОРУ</w:t>
      </w:r>
      <w:r w:rsidRPr="00163B00">
        <w:rPr>
          <w:rFonts w:eastAsiaTheme="minorHAnsi"/>
          <w:b/>
          <w:bCs/>
          <w:i/>
          <w:iCs/>
          <w:kern w:val="0"/>
          <w:lang w:eastAsia="en-US" w:bidi="ar-SA"/>
        </w:rPr>
        <w:t>: Реформисана јавна управа штеди време и новац предузећима, доносећи предвидљиво и поштено пословно окружење, које омогућава даљи привредни развој.</w:t>
      </w:r>
    </w:p>
    <w:p w14:paraId="2CCB9455" w14:textId="77777777" w:rsidR="00163B00" w:rsidRPr="00163B00" w:rsidRDefault="00163B00" w:rsidP="00E62A1A">
      <w:pPr>
        <w:numPr>
          <w:ilvl w:val="0"/>
          <w:numId w:val="58"/>
        </w:numPr>
        <w:suppressAutoHyphens w:val="0"/>
        <w:autoSpaceDN/>
        <w:spacing w:before="0" w:after="160" w:line="259" w:lineRule="auto"/>
        <w:contextualSpacing/>
        <w:textAlignment w:val="auto"/>
        <w:rPr>
          <w:rFonts w:eastAsiaTheme="minorHAnsi"/>
          <w:kern w:val="0"/>
          <w:lang w:eastAsia="en-US" w:bidi="ar-SA"/>
        </w:rPr>
      </w:pPr>
      <w:r w:rsidRPr="00163B00">
        <w:rPr>
          <w:rFonts w:eastAsiaTheme="minorHAnsi"/>
          <w:kern w:val="0"/>
          <w:lang w:eastAsia="en-US" w:bidi="ar-SA"/>
        </w:rPr>
        <w:t xml:space="preserve">Кључна порука ОЦД: </w:t>
      </w:r>
      <w:r w:rsidRPr="00163B00">
        <w:rPr>
          <w:rFonts w:eastAsiaTheme="minorHAnsi"/>
          <w:b/>
          <w:bCs/>
          <w:i/>
          <w:iCs/>
          <w:kern w:val="0"/>
          <w:lang w:eastAsia="en-US" w:bidi="ar-SA"/>
        </w:rPr>
        <w:t>ОЦД су владини партнери у процесу унапређења поверења грађана у институције и процесу доношења политика, које доприносе јачању улоге грађана у праћењу и контроли рада јавне управе.</w:t>
      </w:r>
    </w:p>
    <w:p w14:paraId="19064F8E" w14:textId="77777777" w:rsidR="00163B00" w:rsidRPr="00163B00" w:rsidRDefault="00163B00" w:rsidP="00E62A1A">
      <w:pPr>
        <w:numPr>
          <w:ilvl w:val="0"/>
          <w:numId w:val="58"/>
        </w:numPr>
        <w:suppressAutoHyphens w:val="0"/>
        <w:autoSpaceDN/>
        <w:spacing w:before="0" w:after="160" w:line="259" w:lineRule="auto"/>
        <w:contextualSpacing/>
        <w:textAlignment w:val="auto"/>
        <w:rPr>
          <w:rFonts w:eastAsiaTheme="minorHAnsi"/>
          <w:kern w:val="0"/>
          <w:lang w:eastAsia="en-US" w:bidi="ar-SA"/>
        </w:rPr>
      </w:pPr>
      <w:r w:rsidRPr="00163B00">
        <w:rPr>
          <w:rFonts w:eastAsiaTheme="minorHAnsi"/>
          <w:kern w:val="0"/>
          <w:lang w:eastAsia="en-US" w:bidi="ar-SA"/>
        </w:rPr>
        <w:t xml:space="preserve">Кључна порука везана за ЕУ ИНТЕГРАЦИЈЕ: </w:t>
      </w:r>
      <w:r w:rsidRPr="00163B00">
        <w:rPr>
          <w:rFonts w:eastAsiaTheme="minorHAnsi"/>
          <w:b/>
          <w:bCs/>
          <w:i/>
          <w:iCs/>
          <w:kern w:val="0"/>
          <w:lang w:eastAsia="en-US" w:bidi="ar-SA"/>
        </w:rPr>
        <w:t>Ефикасна и добра јавна управа је стратешки приоритет Владе, она се развија у складу са стандардима Европске уније и основ свих реформи у процесу придруживања Србије Европској унији, док је процес реформе јавне управе у Србији снажно политички и финансијски подржан од ЕУ</w:t>
      </w:r>
      <w:r w:rsidRPr="00163B00">
        <w:rPr>
          <w:rFonts w:eastAsiaTheme="minorHAnsi"/>
          <w:b/>
          <w:i/>
          <w:iCs/>
          <w:kern w:val="0"/>
          <w:lang w:eastAsia="en-US" w:bidi="ar-SA"/>
        </w:rPr>
        <w:t>.</w:t>
      </w:r>
    </w:p>
    <w:p w14:paraId="131F1DB7" w14:textId="77777777" w:rsidR="00B56C3F" w:rsidRDefault="00B56C3F" w:rsidP="00163B00">
      <w:pPr>
        <w:suppressAutoHyphens w:val="0"/>
        <w:autoSpaceDN/>
        <w:spacing w:before="0" w:after="120" w:line="259" w:lineRule="auto"/>
        <w:ind w:firstLine="454"/>
        <w:textAlignment w:val="auto"/>
        <w:rPr>
          <w:rFonts w:eastAsiaTheme="minorHAnsi"/>
          <w:kern w:val="0"/>
          <w:lang w:eastAsia="en-US" w:bidi="ar-SA"/>
        </w:rPr>
      </w:pPr>
    </w:p>
    <w:p w14:paraId="2226C9CA" w14:textId="4ABEC1D6"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Кључне поруке су база која садржи основне елементе и тврдње које је кроз различите канале и средства комуникације потребно преносити циљним групама. Представници јавне управе коју учествују у комуницирању РЈУ, свој наратив и тврдње базирају на дефинисаним кључним порукама. На бази овако дефинисаних кључних порука, креирају се даље конкретне посебне поруке и слогани прилагођени потребама одређених кампања, или промовисању одређених процеса РЈУ и / или постигнутих резултата. </w:t>
      </w:r>
    </w:p>
    <w:p w14:paraId="4517FDA2"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Приликом планирања даље комуникације РЈУ, како од стране појединих органа јавне управе, тако и код креирања годишњих оперативних планова за комуникацију РЈУ, комуницирају се искључиво активности и резултати за које постоји реална могућност да буду и реализовани у задатом временском оквиру и на адекватан начин. Тиме ће да изостане потенцијално разочарење јавности у реформу јавне управе, а ојачаће шира подршка и разумевање целог процеса РЈУ.</w:t>
      </w:r>
    </w:p>
    <w:p w14:paraId="446A12FB"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Уколико дође до проблема у реализацији активности на реформи јавне управе, они се не смеју прикривати, већ се о њима мора отворено говорити, чиме  јавности цео процес постаје још транспарентнији и отворенији и показује веђу спремност ЈУ  да се новонастали проблеми реше. На тај начин се стиче и додатно јача поверење грађана у реформу јавне управе.</w:t>
      </w:r>
    </w:p>
    <w:p w14:paraId="34670CF0" w14:textId="77777777" w:rsidR="00163B00" w:rsidRPr="00163B00" w:rsidRDefault="00163B00" w:rsidP="00E62A1A">
      <w:pPr>
        <w:numPr>
          <w:ilvl w:val="0"/>
          <w:numId w:val="57"/>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b/>
          <w:bCs/>
          <w:kern w:val="0"/>
          <w:lang w:eastAsia="en-US" w:bidi="ar-SA"/>
        </w:rPr>
        <w:t>Циљне групе</w:t>
      </w:r>
    </w:p>
    <w:p w14:paraId="70682049"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u w:val="single"/>
          <w:lang w:eastAsia="en-US" w:bidi="ar-SA"/>
        </w:rPr>
      </w:pPr>
      <w:r w:rsidRPr="00163B00">
        <w:rPr>
          <w:rFonts w:eastAsiaTheme="minorHAnsi"/>
          <w:kern w:val="0"/>
          <w:u w:val="single"/>
          <w:lang w:eastAsia="en-US" w:bidi="ar-SA"/>
        </w:rPr>
        <w:t>Екстерно комуницирање:</w:t>
      </w:r>
    </w:p>
    <w:tbl>
      <w:tblPr>
        <w:tblStyle w:val="ListTable6Colorful-Accent6"/>
        <w:tblW w:w="9493" w:type="dxa"/>
        <w:tblLook w:val="04A0" w:firstRow="1" w:lastRow="0" w:firstColumn="1" w:lastColumn="0" w:noHBand="0" w:noVBand="1"/>
      </w:tblPr>
      <w:tblGrid>
        <w:gridCol w:w="1985"/>
        <w:gridCol w:w="7508"/>
      </w:tblGrid>
      <w:tr w:rsidR="00DA6BE3" w:rsidRPr="00163B00" w14:paraId="2B7B5245" w14:textId="77777777" w:rsidTr="00DA6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AB8D33" w14:textId="77777777" w:rsidR="00163B00" w:rsidRPr="00163B00" w:rsidRDefault="00163B00" w:rsidP="00163B00">
            <w:pPr>
              <w:suppressAutoHyphens w:val="0"/>
              <w:autoSpaceDN/>
              <w:spacing w:before="0" w:after="0"/>
              <w:ind w:firstLine="0"/>
              <w:jc w:val="left"/>
              <w:textAlignment w:val="auto"/>
              <w:rPr>
                <w:rFonts w:eastAsiaTheme="minorHAnsi"/>
                <w:color w:val="auto"/>
                <w:kern w:val="0"/>
                <w:lang w:eastAsia="en-US" w:bidi="ar-SA"/>
              </w:rPr>
            </w:pPr>
            <w:r w:rsidRPr="00163B00">
              <w:rPr>
                <w:rFonts w:eastAsiaTheme="minorHAnsi"/>
                <w:color w:val="auto"/>
                <w:kern w:val="0"/>
                <w:lang w:eastAsia="en-US" w:bidi="ar-SA"/>
              </w:rPr>
              <w:t>Циљна група</w:t>
            </w:r>
          </w:p>
        </w:tc>
        <w:tc>
          <w:tcPr>
            <w:tcW w:w="7508" w:type="dxa"/>
          </w:tcPr>
          <w:p w14:paraId="0154C0F6" w14:textId="77777777" w:rsidR="00163B00" w:rsidRPr="00163B00" w:rsidRDefault="00163B00" w:rsidP="00163B00">
            <w:pPr>
              <w:suppressAutoHyphens w:val="0"/>
              <w:autoSpaceDN/>
              <w:spacing w:before="0" w:after="0"/>
              <w:ind w:firstLine="0"/>
              <w:jc w:val="left"/>
              <w:textAlignment w:val="auto"/>
              <w:cnfStyle w:val="100000000000" w:firstRow="1" w:lastRow="0" w:firstColumn="0" w:lastColumn="0" w:oddVBand="0" w:evenVBand="0" w:oddHBand="0"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 xml:space="preserve">Приступ </w:t>
            </w:r>
          </w:p>
        </w:tc>
      </w:tr>
      <w:tr w:rsidR="00DA6BE3" w:rsidRPr="00163B00" w14:paraId="0FE4085D"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0FDDB0" w14:textId="77777777" w:rsidR="00163B00" w:rsidRPr="00163B00" w:rsidRDefault="00163B00" w:rsidP="00163B00">
            <w:pPr>
              <w:suppressAutoHyphens w:val="0"/>
              <w:autoSpaceDN/>
              <w:spacing w:before="0" w:after="0"/>
              <w:ind w:firstLine="0"/>
              <w:jc w:val="left"/>
              <w:textAlignment w:val="auto"/>
              <w:rPr>
                <w:rFonts w:eastAsiaTheme="minorHAnsi"/>
                <w:color w:val="auto"/>
                <w:kern w:val="0"/>
                <w:lang w:eastAsia="en-US" w:bidi="ar-SA"/>
              </w:rPr>
            </w:pPr>
            <w:r w:rsidRPr="00163B00">
              <w:rPr>
                <w:rFonts w:eastAsiaTheme="minorHAnsi"/>
                <w:color w:val="auto"/>
                <w:kern w:val="0"/>
                <w:lang w:eastAsia="en-US" w:bidi="ar-SA"/>
              </w:rPr>
              <w:t>Грађани</w:t>
            </w:r>
          </w:p>
        </w:tc>
        <w:tc>
          <w:tcPr>
            <w:tcW w:w="7508" w:type="dxa"/>
          </w:tcPr>
          <w:p w14:paraId="3CB865E4" w14:textId="77777777" w:rsidR="00163B00" w:rsidRPr="00163B00" w:rsidRDefault="00163B00" w:rsidP="00163B00">
            <w:pPr>
              <w:suppressAutoHyphens w:val="0"/>
              <w:autoSpaceDN/>
              <w:spacing w:before="0" w:after="0"/>
              <w:ind w:firstLine="0"/>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Главни циљ је што боље разумевање РЈУ, представљање јасних користи од РЈУ, јачање свести о улози ЕУ и подршци РЈУ у Србији, са посебним акцентом на побољшане и стандардизоване јавне услуге скројене тако да задовоље њихове потребе и очекивања.</w:t>
            </w:r>
          </w:p>
          <w:p w14:paraId="0929BFD3" w14:textId="77777777" w:rsidR="00163B00" w:rsidRPr="00163B00" w:rsidRDefault="00163B00" w:rsidP="00163B00">
            <w:pPr>
              <w:suppressAutoHyphens w:val="0"/>
              <w:autoSpaceDN/>
              <w:spacing w:before="0" w:after="0"/>
              <w:ind w:firstLine="0"/>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Комуникациони потенцијал обраћања овој групи лежи у промовисању услуга које су већ дигитализоване и прилагођене њиховим потребама и животним ситуацијама.</w:t>
            </w:r>
          </w:p>
          <w:p w14:paraId="21B0B14F" w14:textId="77777777" w:rsidR="00163B00" w:rsidRPr="00163B00" w:rsidRDefault="00163B00" w:rsidP="00163B00">
            <w:pPr>
              <w:suppressAutoHyphens w:val="0"/>
              <w:autoSpaceDN/>
              <w:spacing w:before="0" w:after="0"/>
              <w:ind w:firstLine="0"/>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Како целокупан процес РЈУ значајно повећава транспарентност ЈУ, његово комуницирање представља солидну основу за постепено повећање нивоа поверења грађана у ЈУ. Поред тога, промовисање транспарентности реформисаног система јавних финансија доводи до јачања пореске културе, сузбијања сиве економије, јачања поверења у начин трошења новца пореских обвезника.</w:t>
            </w:r>
          </w:p>
          <w:p w14:paraId="128EEB42" w14:textId="77777777" w:rsidR="00163B00" w:rsidRPr="00163B00" w:rsidRDefault="00163B00" w:rsidP="00163B00">
            <w:pPr>
              <w:suppressAutoHyphens w:val="0"/>
              <w:autoSpaceDN/>
              <w:spacing w:before="0" w:after="0"/>
              <w:ind w:firstLine="0"/>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Будући да се услуге ЈУ пружају по принципу „узми или остави“, пошто ЈУ нема конкуренцију, специфични циљ комуникације је промовисање и генерисање повратне реакције грађана, што би показало да ће њихово мишљење имати опипљив утицај на континуирано прилагођавање услуга ЈУ грађанима, као и на целокупан процес РЈУ.</w:t>
            </w:r>
          </w:p>
        </w:tc>
      </w:tr>
      <w:tr w:rsidR="00DA6BE3" w:rsidRPr="00163B00" w14:paraId="53F7BE7D" w14:textId="77777777" w:rsidTr="00DA6BE3">
        <w:tc>
          <w:tcPr>
            <w:cnfStyle w:val="001000000000" w:firstRow="0" w:lastRow="0" w:firstColumn="1" w:lastColumn="0" w:oddVBand="0" w:evenVBand="0" w:oddHBand="0" w:evenHBand="0" w:firstRowFirstColumn="0" w:firstRowLastColumn="0" w:lastRowFirstColumn="0" w:lastRowLastColumn="0"/>
            <w:tcW w:w="1985" w:type="dxa"/>
          </w:tcPr>
          <w:p w14:paraId="3A2192E7" w14:textId="77777777" w:rsidR="00163B00" w:rsidRPr="00163B00" w:rsidRDefault="00163B00" w:rsidP="00163B00">
            <w:pPr>
              <w:suppressAutoHyphens w:val="0"/>
              <w:autoSpaceDN/>
              <w:spacing w:before="0" w:after="0"/>
              <w:ind w:firstLine="0"/>
              <w:jc w:val="left"/>
              <w:textAlignment w:val="auto"/>
              <w:rPr>
                <w:rFonts w:eastAsiaTheme="minorHAnsi"/>
                <w:color w:val="auto"/>
                <w:kern w:val="0"/>
                <w:lang w:eastAsia="en-US" w:bidi="ar-SA"/>
              </w:rPr>
            </w:pPr>
            <w:r w:rsidRPr="00163B00">
              <w:rPr>
                <w:rFonts w:eastAsiaTheme="minorHAnsi"/>
                <w:color w:val="auto"/>
                <w:kern w:val="0"/>
                <w:lang w:eastAsia="en-US" w:bidi="ar-SA"/>
              </w:rPr>
              <w:t>Привреда</w:t>
            </w:r>
          </w:p>
        </w:tc>
        <w:tc>
          <w:tcPr>
            <w:tcW w:w="7508" w:type="dxa"/>
          </w:tcPr>
          <w:p w14:paraId="350D8DD2" w14:textId="77777777" w:rsidR="00163B00" w:rsidRPr="00163B00" w:rsidRDefault="00163B00" w:rsidP="00163B00">
            <w:pPr>
              <w:suppressAutoHyphens w:val="0"/>
              <w:autoSpaceDN/>
              <w:spacing w:before="0" w:after="0"/>
              <w:ind w:firstLine="0"/>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Власници предузећа и запослени у фирмама треба да буду благовремено и тачно информисани о свим новостима у ЈУ у вези са пословним сектором (услуге и прописи), као и да промовишу партиципативни процес у поступцима доношења одлука о креирању политика унутар ове циљне групе. Комуникација према овој групи треба да се прилагоди како би утицала на предности мера РЈУ за предузећа.</w:t>
            </w:r>
          </w:p>
          <w:p w14:paraId="64068C53" w14:textId="77777777" w:rsidR="00163B00" w:rsidRPr="00163B00" w:rsidRDefault="00163B00" w:rsidP="00163B00">
            <w:pPr>
              <w:suppressAutoHyphens w:val="0"/>
              <w:autoSpaceDN/>
              <w:spacing w:before="0" w:after="0"/>
              <w:ind w:firstLine="0"/>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Јачање свести пореских обвезника о резултатима модернизације и реформе управљања јавним финансијама и проналажење начина да се активно укључе у израду прописа који се директно тичу њиховог рада. Ово је посебно значајно у области јавних набавки, што доноси транспарентнији, мање корумпиран систем, оријентисан на повећање јавне потрошње на домаће фирме.</w:t>
            </w:r>
          </w:p>
          <w:p w14:paraId="6A424097" w14:textId="77777777" w:rsidR="00163B00" w:rsidRPr="00163B00" w:rsidRDefault="00163B00" w:rsidP="00163B00">
            <w:pPr>
              <w:suppressAutoHyphens w:val="0"/>
              <w:autoSpaceDN/>
              <w:spacing w:before="0" w:after="0"/>
              <w:ind w:firstLine="0"/>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Посебан фокус у комуникацији треба да буде ка пословним удружењима - нпр, укључити их у одређене програме за предузећа и детаљно обавештавање о побољшаним услугама и плановима за даље унапређење услуга.</w:t>
            </w:r>
          </w:p>
          <w:p w14:paraId="0AB4C50A" w14:textId="77777777" w:rsidR="00163B00" w:rsidRPr="00163B00" w:rsidRDefault="00163B00" w:rsidP="00163B00">
            <w:pPr>
              <w:suppressAutoHyphens w:val="0"/>
              <w:autoSpaceDN/>
              <w:spacing w:before="0" w:after="0"/>
              <w:ind w:firstLine="0"/>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Ова група види приступање ЕУ као велики корак напред у стварању транспарентнијег и повољнијег окружења за пословање, где ће ЕУ стандарди олакшати трговину у једном стабилнијем, поштенијем и предвидљивијем трговинском окружењу.</w:t>
            </w:r>
          </w:p>
        </w:tc>
      </w:tr>
      <w:tr w:rsidR="00DA6BE3" w:rsidRPr="00163B00" w14:paraId="1DE394E3"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53A18B" w14:textId="77777777" w:rsidR="00163B00" w:rsidRPr="00163B00" w:rsidRDefault="00163B00" w:rsidP="00163B00">
            <w:pPr>
              <w:suppressAutoHyphens w:val="0"/>
              <w:autoSpaceDN/>
              <w:spacing w:before="0" w:after="0"/>
              <w:ind w:firstLine="0"/>
              <w:jc w:val="left"/>
              <w:textAlignment w:val="auto"/>
              <w:rPr>
                <w:rFonts w:eastAsiaTheme="minorHAnsi"/>
                <w:color w:val="auto"/>
                <w:kern w:val="0"/>
                <w:lang w:eastAsia="en-US" w:bidi="ar-SA"/>
              </w:rPr>
            </w:pPr>
            <w:r w:rsidRPr="00163B00">
              <w:rPr>
                <w:rFonts w:eastAsiaTheme="minorHAnsi"/>
                <w:color w:val="auto"/>
                <w:kern w:val="0"/>
                <w:lang w:eastAsia="en-US" w:bidi="ar-SA"/>
              </w:rPr>
              <w:t>Медији</w:t>
            </w:r>
          </w:p>
        </w:tc>
        <w:tc>
          <w:tcPr>
            <w:tcW w:w="7508" w:type="dxa"/>
          </w:tcPr>
          <w:p w14:paraId="3D692D0F" w14:textId="77777777" w:rsidR="00163B00" w:rsidRPr="00163B00" w:rsidRDefault="00163B00" w:rsidP="00163B00">
            <w:pPr>
              <w:suppressAutoHyphens w:val="0"/>
              <w:autoSpaceDN/>
              <w:spacing w:before="0" w:after="0"/>
              <w:ind w:firstLine="0"/>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Ова група је главни канал за постизање бољег разумевања значења и садржаја РЈУ и мост који повезује искуства грађана и предузећа са реформским процесима. Стварање позитивног става грађана према реформама и подршци ЕУ, као и јачање поверења у ЈУ, у великој мери зависи од тога како се о РЈУ извештава у медијима. Медије треба третирати као партнере, а не само као канале комуникације. Медији утичу на јавно мњење и јачање свести о модернизацији јавне управе. Пласирање нових информација о „атрактивним“ побољшаним услугама за грађане, и што је још важније, доследно извештавање о чињеници да је РЈУ захтеван, дуг и користан процес за све циљне групе.</w:t>
            </w:r>
          </w:p>
          <w:p w14:paraId="06F270F1" w14:textId="77777777" w:rsidR="00163B00" w:rsidRPr="00163B00" w:rsidRDefault="00163B00" w:rsidP="00163B00">
            <w:pPr>
              <w:suppressAutoHyphens w:val="0"/>
              <w:autoSpaceDN/>
              <w:spacing w:before="0" w:after="0"/>
              <w:ind w:firstLine="0"/>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Медији, а посебно новинари морају да буду добро информисани, док се однос са њима и РЈУ непрестано гради и одржава. Активна сарадња са новинарима треба да унапреди њихово разумевање улоге јавне управе, процеса реформе јавне управе и изазова које доносе реформе, као и да се креира и одржава база података новинара који се континуирано баве овим сектором.</w:t>
            </w:r>
          </w:p>
        </w:tc>
      </w:tr>
      <w:tr w:rsidR="00DA6BE3" w:rsidRPr="00163B00" w14:paraId="0758CEB2" w14:textId="77777777" w:rsidTr="00DA6BE3">
        <w:tc>
          <w:tcPr>
            <w:cnfStyle w:val="001000000000" w:firstRow="0" w:lastRow="0" w:firstColumn="1" w:lastColumn="0" w:oddVBand="0" w:evenVBand="0" w:oddHBand="0" w:evenHBand="0" w:firstRowFirstColumn="0" w:firstRowLastColumn="0" w:lastRowFirstColumn="0" w:lastRowLastColumn="0"/>
            <w:tcW w:w="1985" w:type="dxa"/>
          </w:tcPr>
          <w:p w14:paraId="3ED378F2" w14:textId="77777777" w:rsidR="00163B00" w:rsidRPr="00163B00" w:rsidRDefault="00163B00" w:rsidP="00163B00">
            <w:pPr>
              <w:suppressAutoHyphens w:val="0"/>
              <w:autoSpaceDN/>
              <w:spacing w:before="0" w:after="0"/>
              <w:ind w:firstLine="0"/>
              <w:jc w:val="left"/>
              <w:textAlignment w:val="auto"/>
              <w:rPr>
                <w:rFonts w:eastAsiaTheme="minorHAnsi"/>
                <w:color w:val="auto"/>
                <w:kern w:val="0"/>
                <w:lang w:eastAsia="en-US" w:bidi="ar-SA"/>
              </w:rPr>
            </w:pPr>
            <w:r w:rsidRPr="00163B00">
              <w:rPr>
                <w:rFonts w:eastAsiaTheme="minorHAnsi"/>
                <w:color w:val="auto"/>
                <w:kern w:val="0"/>
                <w:lang w:eastAsia="en-US" w:bidi="ar-SA"/>
              </w:rPr>
              <w:t>Организације цивилног друштва и стручна јавност</w:t>
            </w:r>
          </w:p>
        </w:tc>
        <w:tc>
          <w:tcPr>
            <w:tcW w:w="7508" w:type="dxa"/>
          </w:tcPr>
          <w:p w14:paraId="51D3A365" w14:textId="77777777" w:rsidR="00163B00" w:rsidRPr="00163B00" w:rsidRDefault="00163B00" w:rsidP="00163B00">
            <w:pPr>
              <w:suppressAutoHyphens w:val="0"/>
              <w:autoSpaceDN/>
              <w:spacing w:before="0" w:after="0"/>
              <w:ind w:firstLine="0"/>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Главни циљеви комуникације су да се обезбеди разумевање циљева реформе јавне управе и подршка у информисању ове групе о значају њиховог активног учешћа у процесу РЈУ. Учешће ове групе у креирању, спровођењу и заговарању реформи, пре свега у процесима доношења јавних политика, од великог је интереса за цело друштво.</w:t>
            </w:r>
          </w:p>
          <w:p w14:paraId="3F303E78" w14:textId="77777777" w:rsidR="00163B00" w:rsidRPr="00163B00" w:rsidRDefault="00163B00" w:rsidP="00163B00">
            <w:pPr>
              <w:suppressAutoHyphens w:val="0"/>
              <w:autoSpaceDN/>
              <w:spacing w:before="0" w:after="0"/>
              <w:ind w:firstLine="0"/>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Подржавање комуникације и повећање видљивости резултата и иницијатива ПОУ је од кључног значаја за активно учешће цивилног друштва у процесу РЈУ, посебно у реализацији транспарентне и отворене ЈУ.</w:t>
            </w:r>
          </w:p>
          <w:p w14:paraId="38D96733" w14:textId="77777777" w:rsidR="00163B00" w:rsidRPr="00163B00" w:rsidRDefault="00163B00" w:rsidP="00163B00">
            <w:pPr>
              <w:suppressAutoHyphens w:val="0"/>
              <w:autoSpaceDN/>
              <w:spacing w:before="0" w:after="0"/>
              <w:ind w:firstLine="0"/>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pacing w:val="-2"/>
                <w:kern w:val="0"/>
                <w:lang w:eastAsia="en-US" w:bidi="ar-SA"/>
              </w:rPr>
            </w:pPr>
            <w:r w:rsidRPr="00163B00">
              <w:rPr>
                <w:rFonts w:eastAsiaTheme="minorHAnsi"/>
                <w:color w:val="auto"/>
                <w:spacing w:val="-2"/>
                <w:kern w:val="0"/>
                <w:lang w:eastAsia="en-US" w:bidi="ar-SA"/>
              </w:rPr>
              <w:t>ОЦД имају висок партиципативни потенцијал и у одређеним ситуацијама и критички став према влади. Према томе, комуникација треба да буде усредсређена на стварање стратешких партнерстава између ОЦД и ЈУ, промовисањем могућности активног учешћа ОЦД у процесима јавних политика (креирање, спровођење, праћење) и транспарентности ЈУ. Специфични циљ комуникације биће јачање видљивости њихових заједничких иницијатива и пројеката, посебно на пољу учешћа грађана и иницијативе отворених података.</w:t>
            </w:r>
          </w:p>
        </w:tc>
      </w:tr>
    </w:tbl>
    <w:p w14:paraId="74FE3ADB"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u w:val="single"/>
          <w:lang w:eastAsia="en-US" w:bidi="ar-SA"/>
        </w:rPr>
      </w:pPr>
    </w:p>
    <w:p w14:paraId="5824EC9A"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u w:val="single"/>
          <w:lang w:eastAsia="en-US" w:bidi="ar-SA"/>
        </w:rPr>
      </w:pPr>
      <w:r w:rsidRPr="00163B00">
        <w:rPr>
          <w:rFonts w:eastAsiaTheme="minorHAnsi"/>
          <w:kern w:val="0"/>
          <w:u w:val="single"/>
          <w:lang w:eastAsia="en-US" w:bidi="ar-SA"/>
        </w:rPr>
        <w:t>Интерно комуницирање:</w:t>
      </w:r>
    </w:p>
    <w:p w14:paraId="1B95B254"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Запослени у јавној управи су циљна група која своја сазнања о реформи јавне управе добија, како кроз канале интерне комуникације, тако и кроз канале екстерне комуникације. Фокус комуникације према овој, врло широкој циљној групи, путем спољних канала комуникације, требало би да буде на јачању нивоа знања и свести запослених у администрацији о процесу реформе јавне управе, напорима уложеним у реформу управе и резултатима РЈУ, као и о потребама и очекивањима грађана од јавне управе.</w:t>
      </w:r>
    </w:p>
    <w:p w14:paraId="58E706F2"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Како је ова циљна група главни носилац промена, веома је важно да буде свесна те своје улоге.  Јавна управа у Србији пролази кроз процес трансформације, модернизације и стављања фокуса на потребе грађана и привреде. За успех овог подухвата је неопходно да запослени у јавној управи прођу кроз један процес промене свести у којем ће им најважнији савезници бити квалитетна едукација и квалитетно и правовремено информисање о самој реформи јавне управе и њеним резултатима, као и о ономе што се од њих очекује у тој реформи. </w:t>
      </w:r>
    </w:p>
    <w:p w14:paraId="3202683A"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Када је у питању интерна комуникација РЈУ ова јавност се може поделити у неколико група у зависности од улоге коју има у самом процесу реформе.</w:t>
      </w:r>
    </w:p>
    <w:tbl>
      <w:tblPr>
        <w:tblStyle w:val="GridTable7Colorful-Accent6"/>
        <w:tblW w:w="9493" w:type="dxa"/>
        <w:tblLook w:val="04A0" w:firstRow="1" w:lastRow="0" w:firstColumn="1" w:lastColumn="0" w:noHBand="0" w:noVBand="1"/>
      </w:tblPr>
      <w:tblGrid>
        <w:gridCol w:w="1975"/>
        <w:gridCol w:w="7518"/>
      </w:tblGrid>
      <w:tr w:rsidR="00B56C3F" w:rsidRPr="00B56C3F" w14:paraId="7CC18B6B" w14:textId="77777777" w:rsidTr="00DA6B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5" w:type="dxa"/>
          </w:tcPr>
          <w:p w14:paraId="21654BA5" w14:textId="77777777" w:rsidR="00163B00" w:rsidRPr="00B56C3F" w:rsidRDefault="00163B00" w:rsidP="00163B00">
            <w:pPr>
              <w:suppressAutoHyphens w:val="0"/>
              <w:autoSpaceDN/>
              <w:spacing w:before="0" w:after="0"/>
              <w:ind w:firstLine="0"/>
              <w:jc w:val="right"/>
              <w:textAlignment w:val="auto"/>
              <w:rPr>
                <w:rFonts w:eastAsiaTheme="minorHAnsi"/>
                <w:color w:val="auto"/>
                <w:kern w:val="0"/>
                <w:lang w:eastAsia="en-US" w:bidi="ar-SA"/>
              </w:rPr>
            </w:pPr>
            <w:r w:rsidRPr="00B56C3F">
              <w:rPr>
                <w:rFonts w:eastAsiaTheme="minorHAnsi"/>
                <w:color w:val="auto"/>
                <w:kern w:val="0"/>
                <w:lang w:eastAsia="en-US" w:bidi="ar-SA"/>
              </w:rPr>
              <w:t>Циљна група</w:t>
            </w:r>
          </w:p>
        </w:tc>
        <w:tc>
          <w:tcPr>
            <w:tcW w:w="7518" w:type="dxa"/>
          </w:tcPr>
          <w:p w14:paraId="4613B2DC" w14:textId="77777777" w:rsidR="00163B00" w:rsidRPr="00B56C3F" w:rsidRDefault="00163B00" w:rsidP="00163B00">
            <w:pPr>
              <w:suppressAutoHyphens w:val="0"/>
              <w:autoSpaceDN/>
              <w:spacing w:before="0" w:after="0"/>
              <w:ind w:firstLine="0"/>
              <w:jc w:val="left"/>
              <w:textAlignment w:val="auto"/>
              <w:cnfStyle w:val="100000000000" w:firstRow="1" w:lastRow="0" w:firstColumn="0" w:lastColumn="0" w:oddVBand="0" w:evenVBand="0" w:oddHBand="0" w:evenHBand="0" w:firstRowFirstColumn="0" w:firstRowLastColumn="0" w:lastRowFirstColumn="0" w:lastRowLastColumn="0"/>
              <w:rPr>
                <w:rFonts w:eastAsiaTheme="minorHAnsi"/>
                <w:color w:val="auto"/>
                <w:kern w:val="0"/>
                <w:lang w:eastAsia="en-US" w:bidi="ar-SA"/>
              </w:rPr>
            </w:pPr>
            <w:r w:rsidRPr="00B56C3F">
              <w:rPr>
                <w:rFonts w:eastAsiaTheme="minorHAnsi"/>
                <w:color w:val="auto"/>
                <w:kern w:val="0"/>
                <w:lang w:eastAsia="en-US" w:bidi="ar-SA"/>
              </w:rPr>
              <w:t xml:space="preserve">Приступ </w:t>
            </w:r>
          </w:p>
        </w:tc>
      </w:tr>
      <w:tr w:rsidR="00B56C3F" w:rsidRPr="00B56C3F" w14:paraId="45AE58A8"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80E7E7C" w14:textId="77777777" w:rsidR="00163B00" w:rsidRPr="00B56C3F" w:rsidRDefault="00163B00" w:rsidP="00163B00">
            <w:pPr>
              <w:suppressAutoHyphens w:val="0"/>
              <w:autoSpaceDN/>
              <w:spacing w:before="0" w:after="0"/>
              <w:ind w:firstLine="0"/>
              <w:jc w:val="right"/>
              <w:textAlignment w:val="auto"/>
              <w:rPr>
                <w:rFonts w:eastAsiaTheme="minorHAnsi"/>
                <w:b/>
                <w:bCs/>
                <w:color w:val="auto"/>
                <w:kern w:val="0"/>
                <w:lang w:eastAsia="en-US" w:bidi="ar-SA"/>
              </w:rPr>
            </w:pPr>
            <w:r w:rsidRPr="00B56C3F">
              <w:rPr>
                <w:rFonts w:eastAsiaTheme="minorHAnsi"/>
                <w:b/>
                <w:bCs/>
                <w:color w:val="auto"/>
                <w:kern w:val="0"/>
                <w:lang w:eastAsia="en-US" w:bidi="ar-SA"/>
              </w:rPr>
              <w:t>Руководство институција јавне управе</w:t>
            </w:r>
          </w:p>
        </w:tc>
        <w:tc>
          <w:tcPr>
            <w:tcW w:w="7518" w:type="dxa"/>
          </w:tcPr>
          <w:p w14:paraId="4F172334" w14:textId="77777777" w:rsidR="00163B00" w:rsidRPr="00B56C3F" w:rsidRDefault="00163B00" w:rsidP="00163B00">
            <w:pPr>
              <w:suppressAutoHyphens w:val="0"/>
              <w:autoSpaceDN/>
              <w:spacing w:before="0" w:after="0"/>
              <w:ind w:firstLine="0"/>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kern w:val="0"/>
                <w:lang w:eastAsia="en-US" w:bidi="ar-SA"/>
              </w:rPr>
            </w:pPr>
            <w:r w:rsidRPr="00B56C3F">
              <w:rPr>
                <w:rFonts w:eastAsiaTheme="minorHAnsi"/>
                <w:color w:val="auto"/>
                <w:kern w:val="0"/>
                <w:lang w:eastAsia="en-US" w:bidi="ar-SA"/>
              </w:rPr>
              <w:t>Ова група је веома важна за успех комуникације РЈУ. Они се брину о ефикасности јавне управе, о процесу реформе ЈУ генерално, и конкретно у својим институцијама, и заинтересовани су за позитивну реакцију грађана. Јавна управа стога мора да ради на јачању капацитета руководилаца институција и руководилаца различитих сектора унутар тих институција тако да разумеју РЈУ, да подрже и воде све процесе повезане са РЈУ и да на најбољи начин презентују резултате РЈУ јавности, као и свим осталим државним службеницима.</w:t>
            </w:r>
          </w:p>
        </w:tc>
      </w:tr>
      <w:tr w:rsidR="00B56C3F" w:rsidRPr="00B56C3F" w14:paraId="422745F0" w14:textId="77777777" w:rsidTr="00DA6BE3">
        <w:tc>
          <w:tcPr>
            <w:cnfStyle w:val="001000000000" w:firstRow="0" w:lastRow="0" w:firstColumn="1" w:lastColumn="0" w:oddVBand="0" w:evenVBand="0" w:oddHBand="0" w:evenHBand="0" w:firstRowFirstColumn="0" w:firstRowLastColumn="0" w:lastRowFirstColumn="0" w:lastRowLastColumn="0"/>
            <w:tcW w:w="1975" w:type="dxa"/>
          </w:tcPr>
          <w:p w14:paraId="4C8C0BE8" w14:textId="77777777" w:rsidR="00163B00" w:rsidRPr="00B56C3F" w:rsidRDefault="00163B00" w:rsidP="00163B00">
            <w:pPr>
              <w:suppressAutoHyphens w:val="0"/>
              <w:autoSpaceDN/>
              <w:spacing w:before="0" w:after="0"/>
              <w:ind w:firstLine="0"/>
              <w:jc w:val="right"/>
              <w:textAlignment w:val="auto"/>
              <w:rPr>
                <w:rFonts w:eastAsiaTheme="minorHAnsi"/>
                <w:b/>
                <w:bCs/>
                <w:color w:val="auto"/>
                <w:kern w:val="0"/>
                <w:lang w:eastAsia="en-US" w:bidi="ar-SA"/>
              </w:rPr>
            </w:pPr>
            <w:r w:rsidRPr="00B56C3F">
              <w:rPr>
                <w:rFonts w:eastAsiaTheme="minorHAnsi"/>
                <w:b/>
                <w:bCs/>
                <w:color w:val="auto"/>
                <w:kern w:val="0"/>
                <w:lang w:eastAsia="en-US" w:bidi="ar-SA"/>
              </w:rPr>
              <w:t>Запослени у службама за односе с јавношћу</w:t>
            </w:r>
          </w:p>
        </w:tc>
        <w:tc>
          <w:tcPr>
            <w:tcW w:w="7518" w:type="dxa"/>
          </w:tcPr>
          <w:p w14:paraId="33B1AC2F" w14:textId="77777777" w:rsidR="00163B00" w:rsidRPr="00B56C3F" w:rsidRDefault="00163B00" w:rsidP="00163B00">
            <w:pPr>
              <w:suppressAutoHyphens w:val="0"/>
              <w:autoSpaceDN/>
              <w:spacing w:before="0" w:after="0"/>
              <w:ind w:firstLine="0"/>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kern w:val="0"/>
                <w:lang w:eastAsia="en-US" w:bidi="ar-SA"/>
              </w:rPr>
            </w:pPr>
            <w:r w:rsidRPr="00B56C3F">
              <w:rPr>
                <w:rFonts w:eastAsiaTheme="minorHAnsi"/>
                <w:color w:val="auto"/>
                <w:kern w:val="0"/>
                <w:lang w:eastAsia="en-US" w:bidi="ar-SA"/>
              </w:rPr>
              <w:t xml:space="preserve">Одговорни за видљивост активности органа јавне управе (ОЈУ) / ЈЛС и саопштавање резултата рада ОЈУ/ЈЛС. Имају и важну улогу у комуникацији услуга ОЈУ/ЈЛС које представљају производ РЈУ, као и важних интерне реформских процеса. Фокус комуникације према овој групи треба да буде на унапређењу њиховог знања о РЈУ и јачању њихових капацитета за боље комуницирање процеса и резултата РЈУ у оквиру институције коју представљају, као и према спољним јавностима. Потребно је такође константно радити на њиховој едукацији како би били у стању да користе различите канале и алате за комуницирање. </w:t>
            </w:r>
          </w:p>
        </w:tc>
      </w:tr>
      <w:tr w:rsidR="00B56C3F" w:rsidRPr="00B56C3F" w14:paraId="1A362741" w14:textId="77777777" w:rsidTr="00DA6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7B2F13C" w14:textId="77777777" w:rsidR="00163B00" w:rsidRPr="00B56C3F" w:rsidRDefault="00163B00" w:rsidP="00163B00">
            <w:pPr>
              <w:suppressAutoHyphens w:val="0"/>
              <w:autoSpaceDN/>
              <w:spacing w:before="0" w:after="0"/>
              <w:ind w:firstLine="0"/>
              <w:jc w:val="right"/>
              <w:textAlignment w:val="auto"/>
              <w:rPr>
                <w:rFonts w:eastAsiaTheme="minorHAnsi"/>
                <w:b/>
                <w:bCs/>
                <w:color w:val="auto"/>
                <w:kern w:val="0"/>
                <w:lang w:eastAsia="en-US" w:bidi="ar-SA"/>
              </w:rPr>
            </w:pPr>
            <w:r w:rsidRPr="00B56C3F">
              <w:rPr>
                <w:rFonts w:eastAsiaTheme="minorHAnsi"/>
                <w:b/>
                <w:bCs/>
                <w:color w:val="auto"/>
                <w:kern w:val="0"/>
                <w:lang w:eastAsia="en-US" w:bidi="ar-SA"/>
              </w:rPr>
              <w:t>Запослени у службама за управаљање људским ресурсима</w:t>
            </w:r>
          </w:p>
        </w:tc>
        <w:tc>
          <w:tcPr>
            <w:tcW w:w="7518" w:type="dxa"/>
          </w:tcPr>
          <w:p w14:paraId="26DD7DF7" w14:textId="77777777" w:rsidR="00163B00" w:rsidRPr="00B56C3F" w:rsidRDefault="00163B00" w:rsidP="00163B00">
            <w:pPr>
              <w:suppressAutoHyphens w:val="0"/>
              <w:autoSpaceDN/>
              <w:spacing w:before="0" w:after="0"/>
              <w:ind w:firstLine="0"/>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kern w:val="0"/>
                <w:lang w:eastAsia="en-US" w:bidi="ar-SA"/>
              </w:rPr>
            </w:pPr>
            <w:r w:rsidRPr="00B56C3F">
              <w:rPr>
                <w:rFonts w:eastAsiaTheme="minorHAnsi"/>
                <w:color w:val="auto"/>
                <w:kern w:val="0"/>
                <w:lang w:eastAsia="en-US" w:bidi="ar-SA"/>
              </w:rPr>
              <w:t xml:space="preserve">Уз руководиоце ЈУ, запослени у службама за управљање људским ресурсима су главни покретач промена у систему управљања људским ресурсима. Циљ рада са овом групом треба да буде изградња чвршће интерне комуникације и координације унутар институција унапређењем њиховог знања о РЈУ, о свим достигнућима РЈУ у вези са управљањем људским ресурсима, као и применом нових комуникационих алата у ЈУ. Такође је неопходно </w:t>
            </w:r>
          </w:p>
        </w:tc>
      </w:tr>
      <w:tr w:rsidR="00B56C3F" w:rsidRPr="00B56C3F" w14:paraId="6019B7B2" w14:textId="77777777" w:rsidTr="00DA6BE3">
        <w:tc>
          <w:tcPr>
            <w:cnfStyle w:val="001000000000" w:firstRow="0" w:lastRow="0" w:firstColumn="1" w:lastColumn="0" w:oddVBand="0" w:evenVBand="0" w:oddHBand="0" w:evenHBand="0" w:firstRowFirstColumn="0" w:firstRowLastColumn="0" w:lastRowFirstColumn="0" w:lastRowLastColumn="0"/>
            <w:tcW w:w="1975" w:type="dxa"/>
          </w:tcPr>
          <w:p w14:paraId="2A8C96C5" w14:textId="77777777" w:rsidR="00163B00" w:rsidRPr="00B56C3F" w:rsidRDefault="00163B00" w:rsidP="00163B00">
            <w:pPr>
              <w:suppressAutoHyphens w:val="0"/>
              <w:autoSpaceDN/>
              <w:spacing w:before="0" w:after="0"/>
              <w:ind w:firstLine="0"/>
              <w:jc w:val="right"/>
              <w:textAlignment w:val="auto"/>
              <w:rPr>
                <w:rFonts w:eastAsiaTheme="minorHAnsi"/>
                <w:b/>
                <w:bCs/>
                <w:color w:val="auto"/>
                <w:kern w:val="0"/>
                <w:lang w:eastAsia="en-US" w:bidi="ar-SA"/>
              </w:rPr>
            </w:pPr>
            <w:r w:rsidRPr="00B56C3F">
              <w:rPr>
                <w:rFonts w:eastAsiaTheme="minorHAnsi"/>
                <w:b/>
                <w:bCs/>
                <w:color w:val="auto"/>
                <w:kern w:val="0"/>
                <w:lang w:eastAsia="en-US" w:bidi="ar-SA"/>
              </w:rPr>
              <w:t>Запослени у јавној управи</w:t>
            </w:r>
          </w:p>
        </w:tc>
        <w:tc>
          <w:tcPr>
            <w:tcW w:w="7518" w:type="dxa"/>
          </w:tcPr>
          <w:p w14:paraId="6E80D935" w14:textId="77777777" w:rsidR="00163B00" w:rsidRPr="00B56C3F" w:rsidRDefault="00163B00" w:rsidP="00163B00">
            <w:pPr>
              <w:suppressAutoHyphens w:val="0"/>
              <w:autoSpaceDN/>
              <w:spacing w:before="0" w:after="0"/>
              <w:ind w:firstLine="0"/>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kern w:val="0"/>
                <w:lang w:eastAsia="en-US" w:bidi="ar-SA"/>
              </w:rPr>
            </w:pPr>
            <w:r w:rsidRPr="00B56C3F">
              <w:rPr>
                <w:rFonts w:eastAsiaTheme="minorHAnsi"/>
                <w:color w:val="auto"/>
                <w:kern w:val="0"/>
                <w:lang w:eastAsia="en-US" w:bidi="ar-SA"/>
              </w:rPr>
              <w:t>Ова група укључује сва лица запослена у ЈУ (укључујући све претходно наведене три циљне групе). Прво, сви они су носиоци процеса РЈУ, па тако све промене у ЈУ треба да полазе од њих. Комуникација треба да буде усредсређена на повећање њиховог знања о РЈУ и свести да својим учешћем у РЈУ стварају бољи и ефикаснији систем за грађане Србије. Друго, РЈУ се тиче њих самих, а један од циљева комуникације је да их заинтересујемо за РЈУ на дневној бази.</w:t>
            </w:r>
          </w:p>
        </w:tc>
      </w:tr>
    </w:tbl>
    <w:p w14:paraId="4FB70304" w14:textId="300B05CC" w:rsidR="00163B00" w:rsidRPr="00163B00" w:rsidRDefault="00163B00" w:rsidP="00163B00">
      <w:pPr>
        <w:suppressAutoHyphens w:val="0"/>
        <w:autoSpaceDN/>
        <w:spacing w:before="0" w:after="160" w:line="259" w:lineRule="auto"/>
        <w:ind w:firstLine="0"/>
        <w:jc w:val="left"/>
        <w:textAlignment w:val="auto"/>
        <w:rPr>
          <w:rFonts w:eastAsiaTheme="minorHAnsi"/>
          <w:color w:val="2F5496" w:themeColor="accent1" w:themeShade="BF"/>
          <w:kern w:val="0"/>
          <w:lang w:eastAsia="en-US" w:bidi="ar-SA"/>
        </w:rPr>
      </w:pPr>
    </w:p>
    <w:p w14:paraId="3AFB9FB9" w14:textId="77777777" w:rsidR="00163B00" w:rsidRPr="00163B00" w:rsidRDefault="00163B00" w:rsidP="00163B00">
      <w:pPr>
        <w:suppressAutoHyphens w:val="0"/>
        <w:autoSpaceDN/>
        <w:spacing w:after="120"/>
        <w:ind w:firstLine="340"/>
        <w:contextualSpacing/>
        <w:textAlignment w:val="auto"/>
        <w:rPr>
          <w:rFonts w:eastAsia="Times New Roman"/>
          <w:color w:val="2F5496" w:themeColor="accent1" w:themeShade="BF"/>
          <w:kern w:val="0"/>
          <w:sz w:val="28"/>
          <w:szCs w:val="28"/>
          <w:lang w:eastAsia="en-US" w:bidi="ar-SA"/>
        </w:rPr>
      </w:pPr>
      <w:r w:rsidRPr="00163B00">
        <w:rPr>
          <w:rFonts w:eastAsia="Times New Roman"/>
          <w:color w:val="2F5496" w:themeColor="accent1" w:themeShade="BF"/>
          <w:kern w:val="0"/>
          <w:sz w:val="28"/>
          <w:szCs w:val="28"/>
          <w:lang w:eastAsia="en-US" w:bidi="ar-SA"/>
        </w:rPr>
        <w:t>Анализа</w:t>
      </w:r>
      <w:r w:rsidRPr="00163B00">
        <w:rPr>
          <w:rFonts w:eastAsia="Times New Roman"/>
          <w:color w:val="2F5496" w:themeColor="accent1" w:themeShade="BF"/>
          <w:kern w:val="0"/>
          <w:sz w:val="28"/>
          <w:szCs w:val="28"/>
          <w:lang w:eastAsia="de-DE" w:bidi="ar-SA"/>
        </w:rPr>
        <w:t xml:space="preserve"> ефеката и мере</w:t>
      </w:r>
      <w:r w:rsidRPr="00163B00">
        <w:rPr>
          <w:rFonts w:eastAsia="Times New Roman"/>
          <w:color w:val="2F5496" w:themeColor="accent1" w:themeShade="BF"/>
          <w:kern w:val="0"/>
          <w:sz w:val="28"/>
          <w:szCs w:val="28"/>
          <w:lang w:eastAsia="en-US" w:bidi="ar-SA"/>
        </w:rPr>
        <w:t xml:space="preserve"> </w:t>
      </w:r>
    </w:p>
    <w:p w14:paraId="622B4BEE" w14:textId="77777777" w:rsidR="00163B00" w:rsidRPr="00163B00" w:rsidRDefault="00163B00" w:rsidP="00163B00">
      <w:pPr>
        <w:keepNext/>
        <w:keepLines/>
        <w:suppressAutoHyphens w:val="0"/>
        <w:autoSpaceDN/>
        <w:spacing w:before="240" w:after="160" w:line="259" w:lineRule="auto"/>
        <w:ind w:firstLine="0"/>
        <w:jc w:val="left"/>
        <w:textAlignment w:val="auto"/>
        <w:outlineLvl w:val="3"/>
        <w:rPr>
          <w:rFonts w:eastAsiaTheme="minorHAnsi"/>
          <w:i/>
          <w:iCs/>
          <w:color w:val="2F5496" w:themeColor="accent1" w:themeShade="BF"/>
          <w:kern w:val="0"/>
          <w:lang w:eastAsia="en-US" w:bidi="ar-SA"/>
        </w:rPr>
      </w:pPr>
      <w:r w:rsidRPr="00163B00">
        <w:rPr>
          <w:rFonts w:eastAsiaTheme="minorHAnsi"/>
          <w:i/>
          <w:iCs/>
          <w:color w:val="2F5496" w:themeColor="accent1" w:themeShade="BF"/>
          <w:kern w:val="0"/>
          <w:lang w:eastAsia="en-US" w:bidi="ar-SA"/>
        </w:rPr>
        <w:t>Анализа ефеката опција</w:t>
      </w:r>
    </w:p>
    <w:p w14:paraId="320CCD7E" w14:textId="77777777" w:rsidR="00163B00" w:rsidRPr="00163B00" w:rsidRDefault="00163B00" w:rsidP="00163B00">
      <w:pPr>
        <w:suppressAutoHyphens w:val="0"/>
        <w:autoSpaceDN/>
        <w:spacing w:after="120"/>
        <w:ind w:firstLine="340"/>
        <w:contextualSpacing/>
        <w:textAlignment w:val="auto"/>
        <w:rPr>
          <w:rFonts w:eastAsia="Times New Roman"/>
          <w:kern w:val="0"/>
          <w:lang w:eastAsia="en-US" w:bidi="ar-SA"/>
        </w:rPr>
      </w:pPr>
    </w:p>
    <w:p w14:paraId="3034210F" w14:textId="77777777" w:rsidR="00163B00" w:rsidRPr="00163B00" w:rsidRDefault="00163B00" w:rsidP="00163B00">
      <w:pPr>
        <w:suppressAutoHyphens w:val="0"/>
        <w:autoSpaceDN/>
        <w:spacing w:after="120"/>
        <w:ind w:firstLine="340"/>
        <w:contextualSpacing/>
        <w:textAlignment w:val="auto"/>
        <w:rPr>
          <w:rFonts w:eastAsia="Times New Roman"/>
          <w:kern w:val="0"/>
          <w:lang w:eastAsia="en-US" w:bidi="ar-SA"/>
        </w:rPr>
      </w:pPr>
      <w:r w:rsidRPr="00163B00">
        <w:rPr>
          <w:rFonts w:eastAsia="Times New Roman"/>
          <w:kern w:val="0"/>
          <w:lang w:eastAsia="en-US" w:bidi="ar-SA"/>
        </w:rPr>
        <w:t xml:space="preserve">Како би се утврдило у којој мери су опције за повећање информисаности кључних актера и јавности о процесу и резултатима реформе јавне управе сврсисходне, спроведен је тест утицаја опција. Тест је показао да су предвиђене опције за остваривање циља умерено релевантне у свом утицају на критеријуме с обзиром да је остварено 4 од максималних 14. </w:t>
      </w:r>
    </w:p>
    <w:p w14:paraId="5AE4FE76"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val="en-US" w:eastAsia="en-US" w:bidi="ar-SA"/>
        </w:rPr>
      </w:pPr>
      <w:r w:rsidRPr="00163B00">
        <w:rPr>
          <w:rFonts w:eastAsiaTheme="minorHAnsi"/>
          <w:b/>
          <w:bCs/>
          <w:kern w:val="0"/>
          <w:lang w:val="en-US" w:eastAsia="en-US" w:bidi="ar-SA"/>
        </w:rPr>
        <w:t>Тест утицаја</w:t>
      </w:r>
    </w:p>
    <w:tbl>
      <w:tblPr>
        <w:tblStyle w:val="ListTable2-Accent311"/>
        <w:tblW w:w="5000" w:type="pct"/>
        <w:tblLook w:val="0620" w:firstRow="1" w:lastRow="0" w:firstColumn="0" w:lastColumn="0" w:noHBand="1" w:noVBand="1"/>
      </w:tblPr>
      <w:tblGrid>
        <w:gridCol w:w="7515"/>
        <w:gridCol w:w="1555"/>
      </w:tblGrid>
      <w:tr w:rsidR="00163B00" w:rsidRPr="00163B00" w14:paraId="5442DA91" w14:textId="77777777" w:rsidTr="00DA6BE3">
        <w:trPr>
          <w:cnfStyle w:val="100000000000" w:firstRow="1" w:lastRow="0" w:firstColumn="0" w:lastColumn="0" w:oddVBand="0" w:evenVBand="0" w:oddHBand="0" w:evenHBand="0" w:firstRowFirstColumn="0" w:firstRowLastColumn="0" w:lastRowFirstColumn="0" w:lastRowLastColumn="0"/>
        </w:trPr>
        <w:tc>
          <w:tcPr>
            <w:tcW w:w="4143" w:type="pct"/>
          </w:tcPr>
          <w:p w14:paraId="1E02CFAF" w14:textId="77777777" w:rsidR="00163B00" w:rsidRPr="00163B00" w:rsidRDefault="00163B00" w:rsidP="00163B00">
            <w:pPr>
              <w:spacing w:before="0"/>
              <w:ind w:firstLine="0"/>
              <w:rPr>
                <w:rFonts w:eastAsia="Times New Roman"/>
                <w:lang w:eastAsia="de-DE"/>
              </w:rPr>
            </w:pPr>
            <w:r w:rsidRPr="00163B00">
              <w:rPr>
                <w:rFonts w:eastAsia="Times New Roman"/>
                <w:lang w:eastAsia="de-DE"/>
              </w:rPr>
              <w:t>Циљ комуникације:</w:t>
            </w:r>
            <w:r w:rsidRPr="00163B00">
              <w:rPr>
                <w:rFonts w:eastAsia="Times New Roman"/>
                <w:i/>
                <w:iCs/>
                <w:lang w:eastAsia="de-DE"/>
              </w:rPr>
              <w:t xml:space="preserve"> </w:t>
            </w:r>
            <w:r w:rsidRPr="00163B00">
              <w:rPr>
                <w:rFonts w:eastAsia="Times New Roman"/>
                <w:lang w:eastAsia="de-DE"/>
              </w:rPr>
              <w:t>Повећан ниво информисаности кључних актера и јавности о процесу и резултатима реформе јавне управе</w:t>
            </w:r>
          </w:p>
        </w:tc>
        <w:tc>
          <w:tcPr>
            <w:tcW w:w="857" w:type="pct"/>
          </w:tcPr>
          <w:p w14:paraId="6CE625BE"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kern w:val="0"/>
                <w:lang w:val="sr-Latn-RS" w:eastAsia="en-US" w:bidi="ar-SA"/>
              </w:rPr>
              <w:t>Бодови</w:t>
            </w:r>
            <w:r w:rsidRPr="00163B00">
              <w:rPr>
                <w:rFonts w:eastAsiaTheme="minorHAnsi"/>
                <w:kern w:val="0"/>
                <w:vertAlign w:val="superscript"/>
                <w:lang w:val="sr-Latn-RS" w:eastAsia="en-US" w:bidi="ar-SA"/>
              </w:rPr>
              <w:footnoteReference w:id="372"/>
            </w:r>
          </w:p>
        </w:tc>
      </w:tr>
      <w:tr w:rsidR="00163B00" w:rsidRPr="00163B00" w14:paraId="411A9302" w14:textId="77777777" w:rsidTr="00DA6BE3">
        <w:tc>
          <w:tcPr>
            <w:tcW w:w="5000" w:type="pct"/>
            <w:gridSpan w:val="2"/>
            <w:shd w:val="clear" w:color="auto" w:fill="BFBFBF" w:themeFill="background1" w:themeFillShade="BF"/>
          </w:tcPr>
          <w:p w14:paraId="23C7BFEC"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Квантитативни критеријуми</w:t>
            </w:r>
          </w:p>
        </w:tc>
      </w:tr>
      <w:tr w:rsidR="00163B00" w:rsidRPr="00163B00" w14:paraId="628273FD" w14:textId="77777777" w:rsidTr="00DA6BE3">
        <w:tc>
          <w:tcPr>
            <w:tcW w:w="4143" w:type="pct"/>
          </w:tcPr>
          <w:p w14:paraId="33867823"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Промена у приходима и расходима, као и примањима и издацима органа државне управе/буџету РС, на годишњем нивоу већа од 10% буџета у односу на претходну фискалној години</w:t>
            </w:r>
          </w:p>
        </w:tc>
        <w:tc>
          <w:tcPr>
            <w:tcW w:w="857" w:type="pct"/>
          </w:tcPr>
          <w:p w14:paraId="48BBAA56"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kern w:val="0"/>
                <w:lang w:val="sr-Latn-RS" w:eastAsia="en-US" w:bidi="ar-SA"/>
              </w:rPr>
              <w:t>0</w:t>
            </w:r>
          </w:p>
        </w:tc>
      </w:tr>
      <w:tr w:rsidR="00163B00" w:rsidRPr="00163B00" w14:paraId="0832C101" w14:textId="77777777" w:rsidTr="00DA6BE3">
        <w:tc>
          <w:tcPr>
            <w:tcW w:w="4143" w:type="pct"/>
          </w:tcPr>
          <w:p w14:paraId="41A8AD71"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Утицај на више од 200.000 грађана</w:t>
            </w:r>
          </w:p>
        </w:tc>
        <w:tc>
          <w:tcPr>
            <w:tcW w:w="857" w:type="pct"/>
          </w:tcPr>
          <w:p w14:paraId="7F129D8A"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lang w:val="sr-Latn-RS" w:eastAsia="en-US" w:bidi="ar-SA"/>
              </w:rPr>
              <w:t>1</w:t>
            </w:r>
          </w:p>
        </w:tc>
      </w:tr>
      <w:tr w:rsidR="00163B00" w:rsidRPr="00163B00" w14:paraId="6BBC6A6F" w14:textId="77777777" w:rsidTr="00DA6BE3">
        <w:tc>
          <w:tcPr>
            <w:tcW w:w="4143" w:type="pct"/>
          </w:tcPr>
          <w:p w14:paraId="1E22FF3C"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Утицај на више од 5% предузетника или правних лица, или на више од 20% тих лица у одређеној делатности</w:t>
            </w:r>
          </w:p>
        </w:tc>
        <w:tc>
          <w:tcPr>
            <w:tcW w:w="857" w:type="pct"/>
          </w:tcPr>
          <w:p w14:paraId="3FA6594B"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lang w:val="sr-Latn-RS" w:eastAsia="en-US" w:bidi="ar-SA"/>
              </w:rPr>
              <w:t>1</w:t>
            </w:r>
          </w:p>
        </w:tc>
      </w:tr>
      <w:tr w:rsidR="00163B00" w:rsidRPr="00163B00" w14:paraId="20EE8E8E" w14:textId="77777777" w:rsidTr="00DA6BE3">
        <w:tc>
          <w:tcPr>
            <w:tcW w:w="5000" w:type="pct"/>
            <w:gridSpan w:val="2"/>
            <w:shd w:val="clear" w:color="auto" w:fill="BFBFBF" w:themeFill="background1" w:themeFillShade="BF"/>
          </w:tcPr>
          <w:p w14:paraId="364C1C83"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Квалитативни критеријуми</w:t>
            </w:r>
          </w:p>
        </w:tc>
      </w:tr>
      <w:tr w:rsidR="00163B00" w:rsidRPr="00163B00" w14:paraId="4E566D81" w14:textId="77777777" w:rsidTr="00DA6BE3">
        <w:tc>
          <w:tcPr>
            <w:tcW w:w="4143" w:type="pct"/>
          </w:tcPr>
          <w:p w14:paraId="7ADFA391"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Утицај на тржиште и услове конкуренције/конкурентности</w:t>
            </w:r>
          </w:p>
        </w:tc>
        <w:tc>
          <w:tcPr>
            <w:tcW w:w="857" w:type="pct"/>
          </w:tcPr>
          <w:p w14:paraId="7092E48A"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kern w:val="0"/>
                <w:lang w:val="sr-Latn-RS" w:eastAsia="en-US" w:bidi="ar-SA"/>
              </w:rPr>
              <w:t>0</w:t>
            </w:r>
          </w:p>
        </w:tc>
      </w:tr>
      <w:tr w:rsidR="00163B00" w:rsidRPr="00163B00" w14:paraId="41FA48CD" w14:textId="77777777" w:rsidTr="00DA6BE3">
        <w:tc>
          <w:tcPr>
            <w:tcW w:w="4143" w:type="pct"/>
          </w:tcPr>
          <w:p w14:paraId="64B3D2F1"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 xml:space="preserve">Увођење значајних реформских, односно системских промена </w:t>
            </w:r>
          </w:p>
        </w:tc>
        <w:tc>
          <w:tcPr>
            <w:tcW w:w="857" w:type="pct"/>
          </w:tcPr>
          <w:p w14:paraId="61B042A9"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lang w:val="sr-Latn-RS" w:eastAsia="en-US" w:bidi="ar-SA"/>
              </w:rPr>
              <w:t>0</w:t>
            </w:r>
          </w:p>
        </w:tc>
      </w:tr>
      <w:tr w:rsidR="00163B00" w:rsidRPr="00163B00" w14:paraId="3F31F600" w14:textId="77777777" w:rsidTr="00DA6BE3">
        <w:tc>
          <w:tcPr>
            <w:tcW w:w="5000" w:type="pct"/>
            <w:gridSpan w:val="2"/>
            <w:shd w:val="clear" w:color="auto" w:fill="BFBFBF" w:themeFill="background1" w:themeFillShade="BF"/>
          </w:tcPr>
          <w:p w14:paraId="39C7C088"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Хоризонтални критеријуми</w:t>
            </w:r>
          </w:p>
        </w:tc>
      </w:tr>
      <w:tr w:rsidR="00163B00" w:rsidRPr="00163B00" w14:paraId="407F6DB6" w14:textId="77777777" w:rsidTr="00DA6BE3">
        <w:tc>
          <w:tcPr>
            <w:tcW w:w="4143" w:type="pct"/>
          </w:tcPr>
          <w:p w14:paraId="7AB73A9C"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 xml:space="preserve">Од значаја за остварење једнаког третмана и истих могућности за све, </w:t>
            </w:r>
            <w:r w:rsidRPr="00163B00">
              <w:rPr>
                <w:rFonts w:eastAsiaTheme="minorHAnsi"/>
                <w:bCs/>
                <w:kern w:val="0"/>
                <w:lang w:val="sr-Latn-RS" w:eastAsia="en-US" w:bidi="ar-SA"/>
              </w:rPr>
              <w:t>недискриминације и родне равноправности</w:t>
            </w:r>
          </w:p>
        </w:tc>
        <w:tc>
          <w:tcPr>
            <w:tcW w:w="857" w:type="pct"/>
          </w:tcPr>
          <w:p w14:paraId="62505FFE"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kern w:val="0"/>
                <w:lang w:val="sr-Latn-RS" w:eastAsia="en-US" w:bidi="ar-SA"/>
              </w:rPr>
              <w:t>1</w:t>
            </w:r>
          </w:p>
        </w:tc>
      </w:tr>
      <w:tr w:rsidR="00163B00" w:rsidRPr="00163B00" w14:paraId="7945F0C4" w14:textId="77777777" w:rsidTr="00DA6BE3">
        <w:tc>
          <w:tcPr>
            <w:tcW w:w="5000" w:type="pct"/>
            <w:gridSpan w:val="2"/>
            <w:shd w:val="clear" w:color="auto" w:fill="BFBFBF" w:themeFill="background1" w:themeFillShade="BF"/>
          </w:tcPr>
          <w:p w14:paraId="73A0C22B"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Новине у односу на текуће процесе реформе јавне управе</w:t>
            </w:r>
          </w:p>
        </w:tc>
      </w:tr>
      <w:tr w:rsidR="00163B00" w:rsidRPr="00163B00" w14:paraId="5FA6A5DD" w14:textId="77777777" w:rsidTr="00DA6BE3">
        <w:tc>
          <w:tcPr>
            <w:tcW w:w="4143" w:type="pct"/>
          </w:tcPr>
          <w:p w14:paraId="0B3286DE"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Новина у оквиру реформе јавне управе</w:t>
            </w:r>
          </w:p>
        </w:tc>
        <w:tc>
          <w:tcPr>
            <w:tcW w:w="857" w:type="pct"/>
          </w:tcPr>
          <w:p w14:paraId="2C6CA946"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kern w:val="0"/>
                <w:lang w:val="sr-Latn-RS" w:eastAsia="en-US" w:bidi="ar-SA"/>
              </w:rPr>
              <w:t>1</w:t>
            </w:r>
          </w:p>
        </w:tc>
      </w:tr>
      <w:tr w:rsidR="00163B00" w:rsidRPr="00163B00" w14:paraId="06422453" w14:textId="77777777" w:rsidTr="00DA6BE3">
        <w:tc>
          <w:tcPr>
            <w:tcW w:w="4143" w:type="pct"/>
          </w:tcPr>
          <w:p w14:paraId="1735FB69" w14:textId="77777777" w:rsidR="00163B00" w:rsidRPr="00163B00" w:rsidRDefault="00163B00" w:rsidP="00163B00">
            <w:pPr>
              <w:suppressAutoHyphens w:val="0"/>
              <w:autoSpaceDN/>
              <w:spacing w:before="0" w:after="0"/>
              <w:ind w:firstLine="0"/>
              <w:jc w:val="left"/>
              <w:textAlignment w:val="auto"/>
              <w:rPr>
                <w:rFonts w:eastAsiaTheme="minorHAnsi"/>
                <w:b/>
                <w:bCs/>
                <w:kern w:val="0"/>
                <w:lang w:val="sr-Latn-RS" w:eastAsia="en-US" w:bidi="ar-SA"/>
              </w:rPr>
            </w:pPr>
            <w:r w:rsidRPr="00163B00">
              <w:rPr>
                <w:rFonts w:eastAsiaTheme="minorHAnsi"/>
                <w:b/>
                <w:bCs/>
                <w:kern w:val="0"/>
                <w:lang w:val="sr-Latn-RS" w:eastAsia="en-US" w:bidi="ar-SA"/>
              </w:rPr>
              <w:t>УКУПНО:</w:t>
            </w:r>
          </w:p>
        </w:tc>
        <w:tc>
          <w:tcPr>
            <w:tcW w:w="857" w:type="pct"/>
          </w:tcPr>
          <w:p w14:paraId="0CFAA2BF" w14:textId="77777777" w:rsidR="00163B00" w:rsidRPr="00163B00" w:rsidRDefault="00163B00" w:rsidP="00163B00">
            <w:pPr>
              <w:suppressAutoHyphens w:val="0"/>
              <w:autoSpaceDN/>
              <w:spacing w:before="0" w:after="0"/>
              <w:ind w:firstLine="0"/>
              <w:jc w:val="center"/>
              <w:textAlignment w:val="auto"/>
              <w:rPr>
                <w:rFonts w:eastAsiaTheme="minorHAnsi"/>
                <w:b/>
                <w:bCs/>
                <w:kern w:val="0"/>
                <w:lang w:val="sr-Latn-RS" w:eastAsia="en-US" w:bidi="ar-SA"/>
              </w:rPr>
            </w:pPr>
            <w:r w:rsidRPr="00163B00">
              <w:rPr>
                <w:rFonts w:eastAsiaTheme="minorHAnsi" w:cstheme="minorBidi"/>
                <w:b/>
                <w:bCs/>
                <w:kern w:val="0"/>
                <w:lang w:val="sr-Latn-RS" w:eastAsia="en-US" w:bidi="ar-SA"/>
              </w:rPr>
              <w:t>4</w:t>
            </w:r>
            <w:r w:rsidRPr="00163B00">
              <w:rPr>
                <w:rFonts w:eastAsiaTheme="minorHAnsi"/>
                <w:b/>
                <w:bCs/>
                <w:kern w:val="0"/>
                <w:lang w:val="sr-Latn-RS" w:eastAsia="en-US" w:bidi="ar-SA"/>
              </w:rPr>
              <w:t>/14</w:t>
            </w:r>
          </w:p>
        </w:tc>
      </w:tr>
    </w:tbl>
    <w:p w14:paraId="32783AB4" w14:textId="77777777" w:rsidR="00163B00" w:rsidRPr="00163B00" w:rsidRDefault="00163B00" w:rsidP="00163B00">
      <w:pPr>
        <w:suppressAutoHyphens w:val="0"/>
        <w:autoSpaceDN/>
        <w:spacing w:after="120"/>
        <w:ind w:firstLine="340"/>
        <w:contextualSpacing/>
        <w:textAlignment w:val="auto"/>
        <w:rPr>
          <w:rFonts w:eastAsia="Times New Roman"/>
          <w:kern w:val="0"/>
          <w:lang w:eastAsia="en-US" w:bidi="ar-SA"/>
        </w:rPr>
      </w:pPr>
      <w:r w:rsidRPr="00163B00">
        <w:rPr>
          <w:rFonts w:eastAsia="Times New Roman"/>
          <w:kern w:val="0"/>
          <w:lang w:eastAsia="en-US" w:bidi="ar-SA"/>
        </w:rPr>
        <w:t xml:space="preserve">Ипак, док је за две опције неупитно да ли и на који начин треба да се спроводе, за једну од опција која се односи на успостављање функционалног координационог механизма за планирање, имплементацију и праћење комуницирања РЈУ на националном нивоу могући су различити приступи, па је за ту опцију разматрано више решења. </w:t>
      </w:r>
    </w:p>
    <w:p w14:paraId="4970C7DC" w14:textId="77777777" w:rsidR="00163B00" w:rsidRPr="00163B00" w:rsidRDefault="00163B00" w:rsidP="00163B00">
      <w:pPr>
        <w:suppressAutoHyphens w:val="0"/>
        <w:autoSpaceDN/>
        <w:spacing w:after="120"/>
        <w:ind w:firstLine="340"/>
        <w:contextualSpacing/>
        <w:textAlignment w:val="auto"/>
        <w:rPr>
          <w:rFonts w:eastAsia="Times New Roman"/>
          <w:kern w:val="0"/>
          <w:lang w:eastAsia="en-US" w:bidi="ar-SA"/>
        </w:rPr>
      </w:pPr>
    </w:p>
    <w:p w14:paraId="06B00CCE" w14:textId="77777777" w:rsidR="00163B00" w:rsidRPr="00163B00" w:rsidRDefault="00163B00" w:rsidP="00163B00">
      <w:pPr>
        <w:suppressAutoHyphens w:val="0"/>
        <w:autoSpaceDN/>
        <w:spacing w:after="120"/>
        <w:ind w:firstLine="340"/>
        <w:contextualSpacing/>
        <w:textAlignment w:val="auto"/>
        <w:rPr>
          <w:rFonts w:eastAsia="Times New Roman"/>
          <w:kern w:val="0"/>
          <w:lang w:eastAsia="en-US" w:bidi="ar-SA"/>
        </w:rPr>
      </w:pPr>
    </w:p>
    <w:p w14:paraId="2AE7F20F" w14:textId="77777777" w:rsidR="00163B00" w:rsidRPr="00163B00" w:rsidRDefault="00163B00" w:rsidP="00163B00">
      <w:pPr>
        <w:suppressAutoHyphens w:val="0"/>
        <w:autoSpaceDN/>
        <w:spacing w:after="160" w:line="259" w:lineRule="auto"/>
        <w:ind w:firstLine="0"/>
        <w:textAlignment w:val="auto"/>
        <w:rPr>
          <w:rFonts w:eastAsiaTheme="minorHAnsi" w:cstheme="minorBidi"/>
          <w:kern w:val="0"/>
          <w:lang w:eastAsia="en-US" w:bidi="ar-SA"/>
        </w:rPr>
      </w:pPr>
      <w:r w:rsidRPr="00163B00">
        <w:rPr>
          <w:rFonts w:eastAsiaTheme="minorHAnsi" w:cstheme="minorBidi"/>
          <w:noProof/>
          <w:kern w:val="0"/>
          <w:lang w:val="en-US" w:eastAsia="en-US" w:bidi="ar-SA"/>
        </w:rPr>
        <w:drawing>
          <wp:inline distT="0" distB="0" distL="0" distR="0" wp14:anchorId="19E2A217" wp14:editId="26711B7B">
            <wp:extent cx="5486400" cy="4130040"/>
            <wp:effectExtent l="0" t="38100" r="0" b="60960"/>
            <wp:docPr id="387" name="Diagram 3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p>
    <w:p w14:paraId="1F3DFE45" w14:textId="6138EA56" w:rsidR="00163B00" w:rsidRDefault="00163B00" w:rsidP="00163B00">
      <w:pPr>
        <w:suppressAutoHyphens w:val="0"/>
        <w:autoSpaceDN/>
        <w:spacing w:after="160" w:line="259" w:lineRule="auto"/>
        <w:ind w:firstLine="0"/>
        <w:textAlignment w:val="auto"/>
        <w:rPr>
          <w:rFonts w:eastAsiaTheme="minorHAnsi" w:cstheme="minorBidi"/>
          <w:b/>
          <w:bCs/>
          <w:kern w:val="0"/>
          <w:lang w:eastAsia="en-US" w:bidi="ar-SA"/>
        </w:rPr>
      </w:pPr>
    </w:p>
    <w:p w14:paraId="5F82DEED" w14:textId="1991F441" w:rsidR="00163B00" w:rsidRDefault="00163B00" w:rsidP="00163B00">
      <w:pPr>
        <w:suppressAutoHyphens w:val="0"/>
        <w:autoSpaceDN/>
        <w:spacing w:after="160" w:line="259" w:lineRule="auto"/>
        <w:ind w:firstLine="0"/>
        <w:textAlignment w:val="auto"/>
        <w:rPr>
          <w:rFonts w:eastAsiaTheme="minorHAnsi" w:cstheme="minorBidi"/>
          <w:b/>
          <w:bCs/>
          <w:kern w:val="0"/>
          <w:lang w:eastAsia="en-US" w:bidi="ar-SA"/>
        </w:rPr>
      </w:pPr>
    </w:p>
    <w:p w14:paraId="0F542B32" w14:textId="77777777" w:rsidR="00163B00" w:rsidRPr="00163B00" w:rsidRDefault="00163B00" w:rsidP="00163B00">
      <w:pPr>
        <w:suppressAutoHyphens w:val="0"/>
        <w:autoSpaceDN/>
        <w:spacing w:after="160" w:line="259" w:lineRule="auto"/>
        <w:ind w:firstLine="0"/>
        <w:textAlignment w:val="auto"/>
        <w:rPr>
          <w:rFonts w:eastAsiaTheme="minorHAnsi" w:cstheme="minorBidi"/>
          <w:b/>
          <w:bCs/>
          <w:kern w:val="0"/>
          <w:lang w:eastAsia="en-US" w:bidi="ar-SA"/>
        </w:rPr>
      </w:pPr>
    </w:p>
    <w:p w14:paraId="28506839" w14:textId="77777777" w:rsidR="00163B00" w:rsidRPr="00163B00" w:rsidRDefault="00163B00" w:rsidP="00163B00">
      <w:pPr>
        <w:suppressAutoHyphens w:val="0"/>
        <w:autoSpaceDN/>
        <w:spacing w:after="160" w:line="259" w:lineRule="auto"/>
        <w:ind w:firstLine="0"/>
        <w:textAlignment w:val="auto"/>
        <w:rPr>
          <w:rFonts w:eastAsiaTheme="minorHAnsi" w:cstheme="minorBidi"/>
          <w:b/>
          <w:bCs/>
          <w:color w:val="222222"/>
          <w:kern w:val="0"/>
          <w:lang w:eastAsia="de-DE" w:bidi="ar-SA"/>
        </w:rPr>
      </w:pPr>
      <w:r w:rsidRPr="00163B00">
        <w:rPr>
          <w:rFonts w:eastAsiaTheme="minorHAnsi" w:cstheme="minorBidi"/>
          <w:b/>
          <w:bCs/>
          <w:i/>
          <w:iCs/>
          <w:color w:val="222222"/>
          <w:kern w:val="0"/>
          <w:lang w:eastAsia="de-DE" w:bidi="ar-SA"/>
        </w:rPr>
        <w:t>Status quo</w:t>
      </w:r>
      <w:r w:rsidRPr="00163B00">
        <w:rPr>
          <w:rFonts w:eastAsiaTheme="minorHAnsi" w:cstheme="minorBidi"/>
          <w:b/>
          <w:bCs/>
          <w:color w:val="222222"/>
          <w:kern w:val="0"/>
          <w:lang w:eastAsia="de-DE" w:bidi="ar-SA"/>
        </w:rPr>
        <w:t xml:space="preserve">: непостојање координационог механизма </w:t>
      </w:r>
    </w:p>
    <w:p w14:paraId="4A60F88A" w14:textId="77777777" w:rsidR="00163B00" w:rsidRDefault="00163B00" w:rsidP="00163B00">
      <w:pPr>
        <w:suppressAutoHyphens w:val="0"/>
        <w:autoSpaceDN/>
        <w:spacing w:after="120"/>
        <w:ind w:firstLine="340"/>
        <w:contextualSpacing/>
        <w:textAlignment w:val="auto"/>
        <w:rPr>
          <w:rFonts w:eastAsia="Times New Roman"/>
          <w:color w:val="222222"/>
          <w:kern w:val="0"/>
          <w:lang w:eastAsia="de-DE" w:bidi="ar-SA"/>
        </w:rPr>
      </w:pPr>
      <w:r w:rsidRPr="00163B00">
        <w:rPr>
          <w:rFonts w:eastAsia="Times New Roman"/>
          <w:color w:val="222222"/>
          <w:kern w:val="0"/>
          <w:lang w:eastAsia="de-DE" w:bidi="ar-SA"/>
        </w:rPr>
        <w:t>Без успостављања</w:t>
      </w:r>
      <w:r w:rsidRPr="00163B00">
        <w:rPr>
          <w:rFonts w:eastAsia="Times New Roman"/>
          <w:kern w:val="0"/>
          <w:lang w:eastAsia="en-US" w:bidi="ar-SA"/>
        </w:rPr>
        <w:t xml:space="preserve"> координационог механизма за планирање, имплементацију и праћење комуницирања РЈУ на националном  нивоу,</w:t>
      </w:r>
      <w:r w:rsidRPr="00163B00">
        <w:rPr>
          <w:rFonts w:eastAsia="Times New Roman"/>
          <w:color w:val="222222"/>
          <w:kern w:val="0"/>
          <w:lang w:eastAsia="de-DE" w:bidi="ar-SA"/>
        </w:rPr>
        <w:t xml:space="preserve"> Влада РС, МДУЛС и други актери наставили би са </w:t>
      </w:r>
      <w:r w:rsidRPr="00163B00">
        <w:rPr>
          <w:rFonts w:eastAsia="Times New Roman"/>
          <w:i/>
          <w:iCs/>
          <w:color w:val="222222"/>
          <w:kern w:val="0"/>
          <w:lang w:eastAsia="de-DE" w:bidi="ar-SA"/>
        </w:rPr>
        <w:t>ad hoc</w:t>
      </w:r>
      <w:r w:rsidRPr="00163B00">
        <w:rPr>
          <w:rFonts w:eastAsia="Times New Roman"/>
          <w:color w:val="222222"/>
          <w:kern w:val="0"/>
          <w:lang w:eastAsia="de-DE" w:bidi="ar-SA"/>
        </w:rPr>
        <w:t xml:space="preserve"> приступом у погледу комуникације реформским процеса и резултата ка стручној и широј јавности.  Непостојање централног координационог механизма којим би се унапредило и стандардизовало комуницирање такође би значило наставак недовољне међусобне комуникације хоризонталних реформским процеса међу органима, а што је препознато као један од кључних фактора који је ограничио ефикасност спровођења Стратегије РЈУ у периоду 2015–2019. године (видети Анализа стања: резултати и изазови у оквиру Прилог VIII: Комуникација процеса спровођења реформе јавне управе). Недовољно развијени механизми интерне комуникације имају негативну последицу и на екстерну комуникацију коју карактеришу неуједначене, неусаглашене и нејасне поруке ка јавности. Предност овог решења се налази у чињеници да не захтева додатне напоре за запослене у органима, никакву промену у раду, а самим тим ни додатне трошкове. С друге стране, у прилог напуштања овакве праксе говори чињеница да поред грађана који нису довољно информисани или свесни значаја реформе јавне управе, ни међу запосленима у јавној управи реформа није довољно препозната. </w:t>
      </w:r>
    </w:p>
    <w:p w14:paraId="29DC1A8D" w14:textId="77777777" w:rsidR="00163B00" w:rsidRDefault="00163B00" w:rsidP="00163B00">
      <w:pPr>
        <w:suppressAutoHyphens w:val="0"/>
        <w:autoSpaceDN/>
        <w:spacing w:after="120"/>
        <w:ind w:firstLine="340"/>
        <w:contextualSpacing/>
        <w:textAlignment w:val="auto"/>
        <w:rPr>
          <w:rFonts w:eastAsia="Times New Roman"/>
          <w:color w:val="222222"/>
          <w:kern w:val="0"/>
          <w:lang w:eastAsia="de-DE" w:bidi="ar-SA"/>
        </w:rPr>
      </w:pPr>
    </w:p>
    <w:p w14:paraId="35FA1E76" w14:textId="58B81A77" w:rsidR="00163B00" w:rsidRPr="00163B00" w:rsidRDefault="00163B00" w:rsidP="00163B00">
      <w:pPr>
        <w:suppressAutoHyphens w:val="0"/>
        <w:autoSpaceDN/>
        <w:spacing w:after="120"/>
        <w:ind w:firstLine="340"/>
        <w:contextualSpacing/>
        <w:textAlignment w:val="auto"/>
        <w:rPr>
          <w:rFonts w:eastAsia="Times New Roman"/>
          <w:color w:val="222222"/>
          <w:kern w:val="0"/>
          <w:lang w:eastAsia="de-DE" w:bidi="ar-SA"/>
        </w:rPr>
      </w:pPr>
      <w:r w:rsidRPr="00163B00">
        <w:rPr>
          <w:rFonts w:eastAsiaTheme="minorHAnsi" w:cstheme="minorBidi"/>
          <w:b/>
          <w:bCs/>
          <w:color w:val="222222"/>
          <w:kern w:val="0"/>
          <w:lang w:eastAsia="de-DE" w:bidi="ar-SA"/>
        </w:rPr>
        <w:t>Решење 1: Формирање Координационог тела за комуницирање реформе јавне управе</w:t>
      </w:r>
    </w:p>
    <w:p w14:paraId="63931B14" w14:textId="77777777" w:rsidR="00163B00" w:rsidRDefault="00163B00" w:rsidP="00163B00">
      <w:pPr>
        <w:suppressAutoHyphens w:val="0"/>
        <w:autoSpaceDN/>
        <w:spacing w:after="120"/>
        <w:ind w:firstLine="340"/>
        <w:contextualSpacing/>
        <w:textAlignment w:val="auto"/>
        <w:rPr>
          <w:rFonts w:eastAsia="Times New Roman"/>
          <w:color w:val="333333"/>
          <w:kern w:val="0"/>
          <w:lang w:eastAsia="en-GB" w:bidi="ar-SA"/>
        </w:rPr>
      </w:pPr>
      <w:r w:rsidRPr="00163B00">
        <w:rPr>
          <w:rFonts w:eastAsia="Times New Roman"/>
          <w:color w:val="222222"/>
          <w:kern w:val="0"/>
          <w:lang w:eastAsia="de-DE" w:bidi="ar-SA"/>
        </w:rPr>
        <w:t xml:space="preserve">Формирањем посебног Координационог тела за комуницирање реформе јавне управе при Влади Републике Србије, које би се редовно састајало на тромесечном нивоу и које би усвајало годишње комуникационе планове, комуникација реформских процеса и резултата достигла би највиши ниво. Уколико би Влада у складу са Уредбом о начелима за унутрашње уређење и систематизацију радних места у министарствима, посебним организацијама и службама Владе, усвојила Одлуку о оснивању  Координационог тела за комуницирање реформе јавне управе обезбедила би пуну координацију свих </w:t>
      </w:r>
      <w:r w:rsidRPr="00163B00">
        <w:rPr>
          <w:rFonts w:eastAsia="Times New Roman"/>
          <w:color w:val="333333"/>
          <w:kern w:val="0"/>
          <w:lang w:eastAsia="en-GB" w:bidi="ar-SA"/>
        </w:rPr>
        <w:t xml:space="preserve">послова у домену комуницирања реформе јавне управе које спада у делокруга више органа државне управе. На тај начин поред Владине Канцеларија за сарадњу с медијама која се бави обавештавањем јавности о раду Владе, министарстава, посебних организација и служби Владе, постојали би посебно тело које би се фокусираније бавило координацијом комуникације у области реформе јавне управе. Чланови Координационог тела би били представници министарстава и посебних организација који раде на пословима за односе с јавношћу. </w:t>
      </w:r>
      <w:r w:rsidRPr="00163B00">
        <w:rPr>
          <w:rFonts w:eastAsia="Times New Roman"/>
          <w:color w:val="222222"/>
          <w:kern w:val="0"/>
          <w:lang w:eastAsia="de-DE" w:bidi="ar-SA"/>
        </w:rPr>
        <w:t xml:space="preserve">Када је реч о интерној комуникацији, с обзиром да би представници свих релевантних органа имали представнике у овом телу, на најефикаснији начин би обезбедило да се органи међусобно благовремено информишу о процесима који су за њих релевантни. Такође, што се тиче екстерне комуникације, тело које формира Влада као највиши орган извршне власти би најефикасније обезбедио униформно пружање информација ка стручној и широј јавности. Додатно, предност овог решења састоји се у томе што су запослени у државној управи упознати са Владином развијеном праксом формирања координационих тела у циљу усмеравања појединих послова из делокруга више министарстава и посебних организација. С друге стране, основна мана овог решења је превелика формализација процеса комуникације, што би у појединим случајевима потенцијално онемогућило брзу реакцију која је често неопходна у области комуникације, нарочито кризне комуникације. Такође, бојазан постоји да би се неки органи само формално укључили у Координационо тело. Што се тиче трошкова овог решења, она би изискивала одређена средства за одржавање седница Координационог тела, као и средства за плату особе која би пружала административну подршку раду Координационог тела. Процена је да средства за одржавање седница не представљају додатни трошак за буџет, док би за плату једне особе која би била разврстана на радном месту млађег саветника било потребно издвојити нето око 500000 динара годишње. Када је реч о року у ком је ово решење могуће, оно би захтевало формално оснивање од стране Владе, евентуално формирање стручне групе у оквиру тела, организовање конститутивне седнице, и усвајање пословника о раду Координационог тела. </w:t>
      </w:r>
    </w:p>
    <w:p w14:paraId="756A6413" w14:textId="77777777" w:rsidR="00163B00" w:rsidRDefault="00163B00" w:rsidP="00163B00">
      <w:pPr>
        <w:suppressAutoHyphens w:val="0"/>
        <w:autoSpaceDN/>
        <w:spacing w:after="120"/>
        <w:ind w:firstLine="340"/>
        <w:contextualSpacing/>
        <w:textAlignment w:val="auto"/>
        <w:rPr>
          <w:rFonts w:eastAsia="Times New Roman"/>
          <w:color w:val="333333"/>
          <w:kern w:val="0"/>
          <w:lang w:eastAsia="en-GB" w:bidi="ar-SA"/>
        </w:rPr>
      </w:pPr>
    </w:p>
    <w:p w14:paraId="67B7D5C7" w14:textId="355E1578" w:rsidR="00163B00" w:rsidRPr="00163B00" w:rsidRDefault="00163B00" w:rsidP="00163B00">
      <w:pPr>
        <w:suppressAutoHyphens w:val="0"/>
        <w:autoSpaceDN/>
        <w:spacing w:after="120"/>
        <w:ind w:firstLine="340"/>
        <w:contextualSpacing/>
        <w:textAlignment w:val="auto"/>
        <w:rPr>
          <w:rFonts w:eastAsia="Times New Roman"/>
          <w:color w:val="333333"/>
          <w:kern w:val="0"/>
          <w:lang w:eastAsia="en-GB" w:bidi="ar-SA"/>
        </w:rPr>
      </w:pPr>
      <w:r w:rsidRPr="00163B00">
        <w:rPr>
          <w:rFonts w:eastAsiaTheme="minorHAnsi" w:cstheme="minorBidi"/>
          <w:b/>
          <w:bCs/>
          <w:color w:val="222222"/>
          <w:kern w:val="0"/>
          <w:lang w:eastAsia="de-DE" w:bidi="ar-SA"/>
        </w:rPr>
        <w:t>Решење 2: Формирање мреже службеника за односе са јавношћу у органима јавне управе</w:t>
      </w:r>
    </w:p>
    <w:p w14:paraId="0BF25066" w14:textId="77777777" w:rsidR="00163B00" w:rsidRDefault="00163B00" w:rsidP="00163B00">
      <w:pPr>
        <w:suppressAutoHyphens w:val="0"/>
        <w:autoSpaceDN/>
        <w:spacing w:after="120"/>
        <w:ind w:firstLine="340"/>
        <w:contextualSpacing/>
        <w:textAlignment w:val="auto"/>
        <w:rPr>
          <w:rFonts w:eastAsia="Times New Roman"/>
          <w:b/>
          <w:bCs/>
          <w:color w:val="222222"/>
          <w:kern w:val="0"/>
          <w:lang w:eastAsia="de-DE" w:bidi="ar-SA"/>
        </w:rPr>
      </w:pPr>
      <w:r w:rsidRPr="00163B00">
        <w:rPr>
          <w:rFonts w:eastAsia="Times New Roman"/>
          <w:color w:val="222222"/>
          <w:kern w:val="0"/>
          <w:lang w:eastAsia="de-DE" w:bidi="ar-SA"/>
        </w:rPr>
        <w:t>Успостављање мреже службеника који раде на пословима односа са јавношћу у</w:t>
      </w:r>
      <w:r w:rsidRPr="00163B00">
        <w:rPr>
          <w:rFonts w:eastAsia="Times New Roman"/>
          <w:b/>
          <w:bCs/>
          <w:color w:val="222222"/>
          <w:kern w:val="0"/>
          <w:lang w:eastAsia="de-DE" w:bidi="ar-SA"/>
        </w:rPr>
        <w:t xml:space="preserve"> </w:t>
      </w:r>
      <w:r w:rsidRPr="00163B00">
        <w:rPr>
          <w:rFonts w:eastAsia="Times New Roman"/>
          <w:color w:val="222222"/>
          <w:kern w:val="0"/>
          <w:lang w:eastAsia="de-DE" w:bidi="ar-SA"/>
        </w:rPr>
        <w:t>органима јавне управе довело би до стварања неформалне групе људи који су “весници” промена, а међу којима постоји осећај заједништва и припадништва реформском процесу. Основна предност овог решења у односу на друге је што уместо строго формалних структура у које се делегирају чланови, она почива на добровољној основи. Ова мрежа се такође може састајати на кварталном нивоу, а по потреби и чешће, с тим што је кључна разлика у односу на формалне структуре та што су међусобни канали комуникације разноврснији, те уместо формалних дописа, записника са седница и службене онлајн кореспонденције, ова мрежа може да почива на модерним каналима комуникације. Такође, предност овог решења је што по потреби мрежа може да укључи и друге екстерне појединце, који у зависности од теме и процеса који се желе комуницирати могу да дају свој допринос. Када је реч о финансијским трошковима, ово решење не захтева додатна финансијска средства, док је с аспекта реализације у кратком року ова решење могућа. С друге стране, основна мана овог решења је што тренутно у МДУЛС не постоји особа која би се бавила овим пословима, те би било потребно издвојити додатна средства. Такође, мана је што би успех да се мотивишу и укључе колеге из других органа зависио од приоритета органа и способности појединца.</w:t>
      </w:r>
    </w:p>
    <w:p w14:paraId="7B5C632C" w14:textId="77777777" w:rsidR="00163B00" w:rsidRDefault="00163B00" w:rsidP="00163B00">
      <w:pPr>
        <w:suppressAutoHyphens w:val="0"/>
        <w:autoSpaceDN/>
        <w:spacing w:after="120"/>
        <w:ind w:firstLine="340"/>
        <w:contextualSpacing/>
        <w:textAlignment w:val="auto"/>
        <w:rPr>
          <w:rFonts w:eastAsia="Times New Roman"/>
          <w:b/>
          <w:bCs/>
          <w:color w:val="222222"/>
          <w:kern w:val="0"/>
          <w:lang w:eastAsia="de-DE" w:bidi="ar-SA"/>
        </w:rPr>
      </w:pPr>
    </w:p>
    <w:p w14:paraId="66F006A0" w14:textId="22DC6005" w:rsidR="00163B00" w:rsidRPr="00163B00" w:rsidRDefault="00163B00" w:rsidP="00163B00">
      <w:pPr>
        <w:suppressAutoHyphens w:val="0"/>
        <w:autoSpaceDN/>
        <w:spacing w:after="120"/>
        <w:ind w:firstLine="340"/>
        <w:contextualSpacing/>
        <w:textAlignment w:val="auto"/>
        <w:rPr>
          <w:rFonts w:eastAsia="Times New Roman"/>
          <w:b/>
          <w:bCs/>
          <w:color w:val="222222"/>
          <w:kern w:val="0"/>
          <w:lang w:eastAsia="de-DE" w:bidi="ar-SA"/>
        </w:rPr>
      </w:pPr>
      <w:r w:rsidRPr="00163B00">
        <w:rPr>
          <w:rFonts w:eastAsiaTheme="minorHAnsi" w:cstheme="minorBidi"/>
          <w:b/>
          <w:bCs/>
          <w:color w:val="222222"/>
          <w:kern w:val="0"/>
          <w:lang w:eastAsia="de-DE" w:bidi="ar-SA"/>
        </w:rPr>
        <w:t>Решење 3: Формирање Радне групе за комуницирање реформе јавне управе у оквиру Савета за реформу јавне управе</w:t>
      </w:r>
    </w:p>
    <w:p w14:paraId="213B2183" w14:textId="77777777" w:rsidR="00163B00" w:rsidRPr="00163B00" w:rsidRDefault="00163B00" w:rsidP="00163B00">
      <w:pPr>
        <w:suppressAutoHyphens w:val="0"/>
        <w:autoSpaceDN/>
        <w:spacing w:after="120"/>
        <w:ind w:firstLine="340"/>
        <w:contextualSpacing/>
        <w:textAlignment w:val="auto"/>
        <w:rPr>
          <w:rFonts w:eastAsia="Times New Roman"/>
          <w:color w:val="222222"/>
          <w:kern w:val="0"/>
          <w:lang w:eastAsia="de-DE" w:bidi="ar-SA"/>
        </w:rPr>
      </w:pPr>
      <w:r w:rsidRPr="00163B00">
        <w:rPr>
          <w:rFonts w:eastAsia="Times New Roman"/>
          <w:color w:val="222222"/>
          <w:kern w:val="0"/>
          <w:lang w:eastAsia="de-DE" w:bidi="ar-SA"/>
        </w:rPr>
        <w:t>Савет за реформу јавне управе, или друго координационо тело за спровођење Стратегије РЈУ у периоду од 2021 – 2030. године, може да формира радну групу која би се посебно бавила питањем комуницирања реформе јавне управе. Формирањем радне групе као повременог радног тела које би се састајало по потреби и које би било надлежно за усвајање плана комуникације, али и његовог праћења, обезбедило би се да сви релевантни органи који су укључени у процес РЈУ буду благовремено и адекватно информисани, што би даље водило ка томе да сви органи на исти начин и координирано комуницирају процес реформе и његове резултате. Основна предност овог решења је што на специфичан начин представља комбинацију претходна два решења. С једне стране има одређени степен формалности, јер се оснива у складу са актима Владе РС, али истовремено даје одређени степен флексибилности карактеристичан за решење 2. Ипак, ово решење би захтевало да се додатно запосли барем једно лице за пружање стручно-техничке подршке радној групи. Уколико би се запослио један службеник у звању млађег саветника, трошкови овог решења на годишњем нивоу за нето плату би износио око 500000 динара. Када је реч о временском оквиру, формирање радне групе би било могуће у кратком временском року након усвајања Стратегије, односно формирања централног координационог тела за спровођење Стратегије РЈУ.</w:t>
      </w:r>
    </w:p>
    <w:p w14:paraId="74815BF4" w14:textId="77777777" w:rsidR="00163B00" w:rsidRPr="00163B00" w:rsidRDefault="00163B00" w:rsidP="00163B00">
      <w:pPr>
        <w:suppressAutoHyphens w:val="0"/>
        <w:autoSpaceDN/>
        <w:spacing w:after="160" w:line="259" w:lineRule="auto"/>
        <w:ind w:firstLine="0"/>
        <w:textAlignment w:val="auto"/>
        <w:rPr>
          <w:rFonts w:eastAsiaTheme="minorHAnsi" w:cstheme="minorBidi"/>
          <w:color w:val="222222"/>
          <w:kern w:val="0"/>
          <w:lang w:eastAsia="de-DE" w:bidi="ar-SA"/>
        </w:rPr>
      </w:pPr>
      <w:r w:rsidRPr="00163B00">
        <w:rPr>
          <w:rFonts w:eastAsiaTheme="minorHAnsi" w:cstheme="minorBidi"/>
          <w:bCs/>
          <w:kern w:val="0"/>
          <w:sz w:val="22"/>
          <w:szCs w:val="22"/>
          <w:lang w:eastAsia="en-US" w:bidi="ar-SA"/>
        </w:rPr>
        <w:t>Табела за одабир решења</w:t>
      </w:r>
    </w:p>
    <w:tbl>
      <w:tblPr>
        <w:tblStyle w:val="TableGridLight11"/>
        <w:tblW w:w="5000" w:type="pct"/>
        <w:tblLook w:val="06A0" w:firstRow="1" w:lastRow="0" w:firstColumn="1" w:lastColumn="0" w:noHBand="1" w:noVBand="1"/>
      </w:tblPr>
      <w:tblGrid>
        <w:gridCol w:w="4926"/>
        <w:gridCol w:w="877"/>
        <w:gridCol w:w="158"/>
        <w:gridCol w:w="721"/>
        <w:gridCol w:w="313"/>
        <w:gridCol w:w="594"/>
        <w:gridCol w:w="440"/>
        <w:gridCol w:w="1031"/>
      </w:tblGrid>
      <w:tr w:rsidR="00163B00" w:rsidRPr="00163B00" w14:paraId="49ED4794" w14:textId="77777777" w:rsidTr="00DA6BE3">
        <w:trPr>
          <w:trHeight w:val="1340"/>
        </w:trPr>
        <w:tc>
          <w:tcPr>
            <w:tcW w:w="2718" w:type="pct"/>
          </w:tcPr>
          <w:p w14:paraId="21B196C7"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Критеријуми</w:t>
            </w:r>
          </w:p>
          <w:p w14:paraId="34F222F1"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Оцена (1–3)</w:t>
            </w:r>
          </w:p>
          <w:p w14:paraId="48333870"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Директан ефекат (пондер 2)</w:t>
            </w:r>
          </w:p>
          <w:p w14:paraId="70090610"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kern w:val="0"/>
                <w:lang w:val="sr-Latn-RS" w:eastAsia="en-US" w:bidi="ar-SA"/>
              </w:rPr>
              <w:t>Индиректан ефекат (пондер 1)</w:t>
            </w:r>
          </w:p>
        </w:tc>
        <w:tc>
          <w:tcPr>
            <w:tcW w:w="571" w:type="pct"/>
            <w:gridSpan w:val="2"/>
            <w:textDirection w:val="btLr"/>
            <w:vAlign w:val="center"/>
          </w:tcPr>
          <w:p w14:paraId="253A8ACD" w14:textId="34B6C4A0" w:rsidR="00163B00" w:rsidRPr="00163B00" w:rsidRDefault="00163B00" w:rsidP="00163B00">
            <w:pPr>
              <w:suppressAutoHyphens w:val="0"/>
              <w:autoSpaceDN/>
              <w:spacing w:before="0" w:after="0"/>
              <w:ind w:left="113" w:right="113" w:firstLine="0"/>
              <w:jc w:val="center"/>
              <w:textAlignment w:val="auto"/>
              <w:rPr>
                <w:rFonts w:eastAsiaTheme="minorHAnsi"/>
                <w:kern w:val="0"/>
                <w:lang w:val="sr-Latn-RS" w:eastAsia="en-US" w:bidi="ar-SA"/>
              </w:rPr>
            </w:pPr>
            <w:r w:rsidRPr="00163B00">
              <w:rPr>
                <w:rFonts w:eastAsiaTheme="minorHAnsi"/>
                <w:kern w:val="0"/>
                <w:lang w:val="sr-Latn-RS" w:eastAsia="en-US" w:bidi="ar-SA"/>
              </w:rPr>
              <w:t>Решење</w:t>
            </w:r>
            <w:r>
              <w:rPr>
                <w:rFonts w:eastAsiaTheme="minorHAnsi"/>
                <w:kern w:val="0"/>
                <w:lang w:val="sr-Latn-RS" w:eastAsia="en-US" w:bidi="ar-SA"/>
              </w:rPr>
              <w:t xml:space="preserve"> status quo</w:t>
            </w:r>
          </w:p>
        </w:tc>
        <w:tc>
          <w:tcPr>
            <w:tcW w:w="571" w:type="pct"/>
            <w:gridSpan w:val="2"/>
            <w:textDirection w:val="btLr"/>
            <w:vAlign w:val="center"/>
          </w:tcPr>
          <w:p w14:paraId="51EB9F08" w14:textId="52F3A06F" w:rsidR="00163B00" w:rsidRPr="00163B00" w:rsidRDefault="00163B00" w:rsidP="00163B00">
            <w:pPr>
              <w:suppressAutoHyphens w:val="0"/>
              <w:autoSpaceDN/>
              <w:spacing w:before="0" w:after="0"/>
              <w:ind w:left="113" w:right="113" w:firstLine="0"/>
              <w:jc w:val="center"/>
              <w:textAlignment w:val="auto"/>
              <w:rPr>
                <w:rFonts w:eastAsiaTheme="minorHAnsi"/>
                <w:kern w:val="0"/>
                <w:lang w:val="sr-Latn-RS" w:eastAsia="en-US" w:bidi="ar-SA"/>
              </w:rPr>
            </w:pPr>
            <w:r w:rsidRPr="00163B00">
              <w:rPr>
                <w:rFonts w:eastAsiaTheme="minorHAnsi"/>
                <w:kern w:val="0"/>
                <w:lang w:val="sr-Latn-RS" w:eastAsia="en-US" w:bidi="ar-SA"/>
              </w:rPr>
              <w:t xml:space="preserve">Решење </w:t>
            </w:r>
            <w:r>
              <w:rPr>
                <w:rFonts w:eastAsiaTheme="minorHAnsi"/>
                <w:kern w:val="0"/>
                <w:lang w:val="sr-Latn-RS" w:eastAsia="en-US" w:bidi="ar-SA"/>
              </w:rPr>
              <w:t>1</w:t>
            </w:r>
          </w:p>
        </w:tc>
        <w:tc>
          <w:tcPr>
            <w:tcW w:w="571" w:type="pct"/>
            <w:gridSpan w:val="2"/>
            <w:textDirection w:val="btLr"/>
            <w:vAlign w:val="center"/>
          </w:tcPr>
          <w:p w14:paraId="5740D776" w14:textId="6EFB2132" w:rsidR="00163B00" w:rsidRPr="00163B00" w:rsidRDefault="00163B00" w:rsidP="00163B00">
            <w:pPr>
              <w:suppressAutoHyphens w:val="0"/>
              <w:autoSpaceDN/>
              <w:spacing w:before="0" w:after="0"/>
              <w:ind w:right="113" w:firstLine="0"/>
              <w:jc w:val="center"/>
              <w:textAlignment w:val="auto"/>
              <w:rPr>
                <w:rFonts w:eastAsiaTheme="minorHAnsi"/>
                <w:kern w:val="0"/>
                <w:lang w:val="sr-Latn-RS" w:eastAsia="en-US" w:bidi="ar-SA"/>
              </w:rPr>
            </w:pPr>
            <w:r w:rsidRPr="00163B00">
              <w:rPr>
                <w:rFonts w:eastAsiaTheme="minorHAnsi"/>
                <w:kern w:val="0"/>
                <w:lang w:val="sr-Latn-RS" w:eastAsia="en-US" w:bidi="ar-SA"/>
              </w:rPr>
              <w:t>Решење</w:t>
            </w:r>
            <w:r>
              <w:rPr>
                <w:rFonts w:eastAsiaTheme="minorHAnsi"/>
                <w:kern w:val="0"/>
                <w:lang w:val="sr-Latn-RS" w:eastAsia="en-US" w:bidi="ar-SA"/>
              </w:rPr>
              <w:t xml:space="preserve"> 2</w:t>
            </w:r>
          </w:p>
        </w:tc>
        <w:tc>
          <w:tcPr>
            <w:tcW w:w="569" w:type="pct"/>
            <w:textDirection w:val="btLr"/>
            <w:vAlign w:val="center"/>
          </w:tcPr>
          <w:p w14:paraId="6D96B6BC" w14:textId="3CD47B5B" w:rsidR="00163B00" w:rsidRPr="00163B00" w:rsidRDefault="00163B00" w:rsidP="00163B00">
            <w:pPr>
              <w:suppressAutoHyphens w:val="0"/>
              <w:autoSpaceDN/>
              <w:spacing w:before="0" w:after="0"/>
              <w:ind w:right="113" w:firstLine="0"/>
              <w:jc w:val="center"/>
              <w:textAlignment w:val="auto"/>
              <w:rPr>
                <w:rFonts w:eastAsiaTheme="minorHAnsi"/>
                <w:kern w:val="0"/>
                <w:lang w:val="sr-Latn-RS" w:eastAsia="en-US" w:bidi="ar-SA"/>
              </w:rPr>
            </w:pPr>
            <w:r w:rsidRPr="00163B00">
              <w:rPr>
                <w:rFonts w:eastAsiaTheme="minorHAnsi"/>
                <w:kern w:val="0"/>
                <w:lang w:val="sr-Latn-RS" w:eastAsia="en-US" w:bidi="ar-SA"/>
              </w:rPr>
              <w:t xml:space="preserve">Решење </w:t>
            </w:r>
            <w:r>
              <w:rPr>
                <w:rFonts w:eastAsiaTheme="minorHAnsi"/>
                <w:kern w:val="0"/>
                <w:lang w:val="sr-Latn-RS" w:eastAsia="en-US" w:bidi="ar-SA"/>
              </w:rPr>
              <w:t>3</w:t>
            </w:r>
          </w:p>
        </w:tc>
      </w:tr>
      <w:tr w:rsidR="00163B00" w:rsidRPr="00163B00" w14:paraId="24DE08BA" w14:textId="77777777" w:rsidTr="00DA6BE3">
        <w:tc>
          <w:tcPr>
            <w:tcW w:w="2718" w:type="pct"/>
          </w:tcPr>
          <w:p w14:paraId="2EDFC738"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cstheme="minorBidi"/>
                <w:kern w:val="0"/>
                <w:lang w:eastAsia="en-US" w:bidi="ar-SA"/>
              </w:rPr>
              <w:t>Да ли решење има позитиван утицај на унапређење интерне комуникације органа?</w:t>
            </w:r>
          </w:p>
        </w:tc>
        <w:tc>
          <w:tcPr>
            <w:tcW w:w="571" w:type="pct"/>
            <w:gridSpan w:val="2"/>
          </w:tcPr>
          <w:p w14:paraId="59EA69A3"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1x1=1</w:t>
            </w:r>
          </w:p>
        </w:tc>
        <w:tc>
          <w:tcPr>
            <w:tcW w:w="571" w:type="pct"/>
            <w:gridSpan w:val="2"/>
          </w:tcPr>
          <w:p w14:paraId="10E37832"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3x2=6</w:t>
            </w:r>
          </w:p>
        </w:tc>
        <w:tc>
          <w:tcPr>
            <w:tcW w:w="571" w:type="pct"/>
            <w:gridSpan w:val="2"/>
          </w:tcPr>
          <w:p w14:paraId="0186D1D0"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3x2=6</w:t>
            </w:r>
          </w:p>
        </w:tc>
        <w:tc>
          <w:tcPr>
            <w:tcW w:w="569" w:type="pct"/>
          </w:tcPr>
          <w:p w14:paraId="2C2BBC28"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3x2=6</w:t>
            </w:r>
          </w:p>
        </w:tc>
      </w:tr>
      <w:tr w:rsidR="00163B00" w:rsidRPr="00163B00" w14:paraId="1E7B12C5" w14:textId="77777777" w:rsidTr="00DA6BE3">
        <w:tc>
          <w:tcPr>
            <w:tcW w:w="2718" w:type="pct"/>
          </w:tcPr>
          <w:p w14:paraId="75017D67"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cstheme="minorBidi"/>
                <w:kern w:val="0"/>
                <w:lang w:eastAsia="en-US" w:bidi="ar-SA"/>
              </w:rPr>
              <w:t xml:space="preserve">Да ли решење има позитиван утицај на унапређење комуникације процеса и резултата РЈУ ка јавности? </w:t>
            </w:r>
          </w:p>
        </w:tc>
        <w:tc>
          <w:tcPr>
            <w:tcW w:w="571" w:type="pct"/>
            <w:gridSpan w:val="2"/>
          </w:tcPr>
          <w:p w14:paraId="5534D8F5"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1x1=1</w:t>
            </w:r>
          </w:p>
        </w:tc>
        <w:tc>
          <w:tcPr>
            <w:tcW w:w="571" w:type="pct"/>
            <w:gridSpan w:val="2"/>
          </w:tcPr>
          <w:p w14:paraId="67740CE3"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3x2=6</w:t>
            </w:r>
          </w:p>
        </w:tc>
        <w:tc>
          <w:tcPr>
            <w:tcW w:w="571" w:type="pct"/>
            <w:gridSpan w:val="2"/>
          </w:tcPr>
          <w:p w14:paraId="6A1F5128"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3x2=6</w:t>
            </w:r>
          </w:p>
        </w:tc>
        <w:tc>
          <w:tcPr>
            <w:tcW w:w="569" w:type="pct"/>
          </w:tcPr>
          <w:p w14:paraId="4E794C90"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3x2=6</w:t>
            </w:r>
          </w:p>
        </w:tc>
      </w:tr>
      <w:tr w:rsidR="00163B00" w:rsidRPr="00163B00" w14:paraId="30F271DC" w14:textId="77777777" w:rsidTr="00DA6BE3">
        <w:tc>
          <w:tcPr>
            <w:tcW w:w="2718" w:type="pct"/>
          </w:tcPr>
          <w:p w14:paraId="728BDCF7" w14:textId="77777777" w:rsidR="00163B00" w:rsidRPr="00163B00" w:rsidRDefault="00163B00" w:rsidP="00163B00">
            <w:pPr>
              <w:suppressAutoHyphens w:val="0"/>
              <w:autoSpaceDN/>
              <w:spacing w:before="0" w:after="0"/>
              <w:ind w:firstLine="0"/>
              <w:jc w:val="left"/>
              <w:textAlignment w:val="auto"/>
              <w:rPr>
                <w:rFonts w:eastAsiaTheme="minorHAnsi"/>
                <w:kern w:val="0"/>
                <w:lang w:val="sr-Latn-RS" w:eastAsia="en-US" w:bidi="ar-SA"/>
              </w:rPr>
            </w:pPr>
            <w:r w:rsidRPr="00163B00">
              <w:rPr>
                <w:rFonts w:eastAsiaTheme="minorHAnsi" w:cstheme="minorBidi"/>
                <w:kern w:val="0"/>
                <w:lang w:eastAsia="en-US" w:bidi="ar-SA"/>
              </w:rPr>
              <w:t>Да ли решење побољшава транспарентност и приступачност јавне управе и утиче на поверење грађана у јавну управу?</w:t>
            </w:r>
          </w:p>
        </w:tc>
        <w:tc>
          <w:tcPr>
            <w:tcW w:w="571" w:type="pct"/>
            <w:gridSpan w:val="2"/>
          </w:tcPr>
          <w:p w14:paraId="7AA8E1EB"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1x1=1</w:t>
            </w:r>
          </w:p>
        </w:tc>
        <w:tc>
          <w:tcPr>
            <w:tcW w:w="571" w:type="pct"/>
            <w:gridSpan w:val="2"/>
          </w:tcPr>
          <w:p w14:paraId="3BEFEDAE"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2x2=4</w:t>
            </w:r>
          </w:p>
        </w:tc>
        <w:tc>
          <w:tcPr>
            <w:tcW w:w="571" w:type="pct"/>
            <w:gridSpan w:val="2"/>
          </w:tcPr>
          <w:p w14:paraId="7E7E090B"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2x2=4</w:t>
            </w:r>
          </w:p>
        </w:tc>
        <w:tc>
          <w:tcPr>
            <w:tcW w:w="569" w:type="pct"/>
          </w:tcPr>
          <w:p w14:paraId="442DED39"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2x2=4</w:t>
            </w:r>
          </w:p>
        </w:tc>
      </w:tr>
      <w:tr w:rsidR="00163B00" w:rsidRPr="00163B00" w14:paraId="4299F2D3" w14:textId="77777777" w:rsidTr="00DA6BE3">
        <w:tc>
          <w:tcPr>
            <w:tcW w:w="2718" w:type="pct"/>
          </w:tcPr>
          <w:p w14:paraId="6006C9B4" w14:textId="77777777" w:rsidR="00163B00" w:rsidRPr="00163B00" w:rsidRDefault="00163B00" w:rsidP="00163B00">
            <w:pPr>
              <w:suppressAutoHyphens w:val="0"/>
              <w:autoSpaceDN/>
              <w:spacing w:before="0" w:after="0"/>
              <w:ind w:firstLine="0"/>
              <w:jc w:val="left"/>
              <w:textAlignment w:val="auto"/>
              <w:rPr>
                <w:rFonts w:eastAsiaTheme="minorHAnsi"/>
                <w:b/>
                <w:bCs/>
                <w:kern w:val="0"/>
                <w:lang w:val="sr-Latn-RS" w:eastAsia="en-US" w:bidi="ar-SA"/>
              </w:rPr>
            </w:pPr>
            <w:r w:rsidRPr="00163B00">
              <w:rPr>
                <w:rFonts w:eastAsiaTheme="minorHAnsi" w:cstheme="minorBidi"/>
                <w:noProof/>
                <w:kern w:val="0"/>
                <w:lang w:eastAsia="en-US" w:bidi="ar-SA"/>
              </w:rPr>
              <w:t>Да ли је решење у сагласности са захтевима ЕУ?</w:t>
            </w:r>
          </w:p>
        </w:tc>
        <w:tc>
          <w:tcPr>
            <w:tcW w:w="571" w:type="pct"/>
            <w:gridSpan w:val="2"/>
          </w:tcPr>
          <w:p w14:paraId="7F74F4D9"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1x1=1</w:t>
            </w:r>
          </w:p>
        </w:tc>
        <w:tc>
          <w:tcPr>
            <w:tcW w:w="571" w:type="pct"/>
            <w:gridSpan w:val="2"/>
          </w:tcPr>
          <w:p w14:paraId="44E22FB4"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1x1=1</w:t>
            </w:r>
          </w:p>
        </w:tc>
        <w:tc>
          <w:tcPr>
            <w:tcW w:w="571" w:type="pct"/>
            <w:gridSpan w:val="2"/>
          </w:tcPr>
          <w:p w14:paraId="344CE46F"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1x1=1</w:t>
            </w:r>
          </w:p>
        </w:tc>
        <w:tc>
          <w:tcPr>
            <w:tcW w:w="569" w:type="pct"/>
          </w:tcPr>
          <w:p w14:paraId="04E43A37"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1x1=1</w:t>
            </w:r>
          </w:p>
        </w:tc>
      </w:tr>
      <w:tr w:rsidR="00163B00" w:rsidRPr="00163B00" w14:paraId="1B79AC41" w14:textId="77777777" w:rsidTr="00DA6BE3">
        <w:tc>
          <w:tcPr>
            <w:tcW w:w="2718" w:type="pct"/>
          </w:tcPr>
          <w:p w14:paraId="27054DE3" w14:textId="77777777" w:rsidR="00163B00" w:rsidRPr="00163B00" w:rsidRDefault="00163B00" w:rsidP="00163B00">
            <w:pPr>
              <w:suppressAutoHyphens w:val="0"/>
              <w:autoSpaceDN/>
              <w:spacing w:before="0" w:after="0"/>
              <w:ind w:firstLine="0"/>
              <w:jc w:val="left"/>
              <w:textAlignment w:val="auto"/>
              <w:rPr>
                <w:rFonts w:eastAsiaTheme="minorHAnsi"/>
                <w:b/>
                <w:bCs/>
                <w:kern w:val="0"/>
                <w:lang w:val="sr-Latn-RS" w:eastAsia="en-US" w:bidi="ar-SA"/>
              </w:rPr>
            </w:pPr>
            <w:r w:rsidRPr="00163B00">
              <w:rPr>
                <w:rFonts w:eastAsiaTheme="minorHAnsi" w:cstheme="minorBidi"/>
                <w:kern w:val="0"/>
                <w:lang w:eastAsia="en-US" w:bidi="ar-SA"/>
              </w:rPr>
              <w:t>Да ли се решење може реализовати без великих трошкова спровођења?</w:t>
            </w:r>
          </w:p>
        </w:tc>
        <w:tc>
          <w:tcPr>
            <w:tcW w:w="571" w:type="pct"/>
            <w:gridSpan w:val="2"/>
          </w:tcPr>
          <w:p w14:paraId="1189D103"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3x2=6</w:t>
            </w:r>
          </w:p>
        </w:tc>
        <w:tc>
          <w:tcPr>
            <w:tcW w:w="571" w:type="pct"/>
            <w:gridSpan w:val="2"/>
          </w:tcPr>
          <w:p w14:paraId="6F2427DE"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2x2=4</w:t>
            </w:r>
          </w:p>
        </w:tc>
        <w:tc>
          <w:tcPr>
            <w:tcW w:w="571" w:type="pct"/>
            <w:gridSpan w:val="2"/>
          </w:tcPr>
          <w:p w14:paraId="591A704D"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3x2=6</w:t>
            </w:r>
          </w:p>
        </w:tc>
        <w:tc>
          <w:tcPr>
            <w:tcW w:w="569" w:type="pct"/>
          </w:tcPr>
          <w:p w14:paraId="66530F2A" w14:textId="77777777" w:rsidR="00163B00" w:rsidRPr="00163B00" w:rsidRDefault="00163B00" w:rsidP="00163B00">
            <w:pPr>
              <w:suppressAutoHyphens w:val="0"/>
              <w:autoSpaceDN/>
              <w:spacing w:before="0" w:after="0"/>
              <w:ind w:firstLine="0"/>
              <w:jc w:val="center"/>
              <w:textAlignment w:val="auto"/>
              <w:rPr>
                <w:rFonts w:eastAsiaTheme="minorHAnsi"/>
                <w:kern w:val="0"/>
                <w:lang w:val="sr-Latn-RS" w:eastAsia="en-US" w:bidi="ar-SA"/>
              </w:rPr>
            </w:pPr>
            <w:r w:rsidRPr="00163B00">
              <w:rPr>
                <w:rFonts w:eastAsiaTheme="minorHAnsi" w:cstheme="minorBidi"/>
                <w:kern w:val="0"/>
                <w:sz w:val="22"/>
                <w:szCs w:val="22"/>
                <w:lang w:eastAsia="en-US" w:bidi="ar-SA"/>
              </w:rPr>
              <w:t>2x2=4</w:t>
            </w:r>
          </w:p>
        </w:tc>
      </w:tr>
      <w:tr w:rsidR="00163B00" w:rsidRPr="00163B00" w14:paraId="6C121C3C" w14:textId="77777777" w:rsidTr="00DA6BE3">
        <w:tc>
          <w:tcPr>
            <w:tcW w:w="2718" w:type="pct"/>
          </w:tcPr>
          <w:p w14:paraId="25D205F8" w14:textId="77777777" w:rsidR="00163B00" w:rsidRPr="00163B00" w:rsidRDefault="00163B00" w:rsidP="00163B00">
            <w:pPr>
              <w:suppressAutoHyphens w:val="0"/>
              <w:autoSpaceDN/>
              <w:spacing w:before="0" w:after="0"/>
              <w:ind w:firstLine="0"/>
              <w:jc w:val="left"/>
              <w:textAlignment w:val="auto"/>
              <w:rPr>
                <w:rFonts w:eastAsiaTheme="minorHAnsi"/>
                <w:b/>
                <w:bCs/>
                <w:kern w:val="0"/>
                <w:lang w:val="sr-Latn-RS" w:eastAsia="en-US" w:bidi="ar-SA"/>
              </w:rPr>
            </w:pPr>
            <w:r w:rsidRPr="00163B00">
              <w:rPr>
                <w:rFonts w:eastAsiaTheme="minorHAnsi" w:cstheme="minorBidi"/>
                <w:kern w:val="0"/>
                <w:lang w:eastAsia="en-US" w:bidi="ar-SA"/>
              </w:rPr>
              <w:t>Да ли се решење може реализовати у кратком временском року?</w:t>
            </w:r>
          </w:p>
        </w:tc>
        <w:tc>
          <w:tcPr>
            <w:tcW w:w="571" w:type="pct"/>
            <w:gridSpan w:val="2"/>
          </w:tcPr>
          <w:p w14:paraId="053BB218" w14:textId="77777777" w:rsidR="00163B00" w:rsidRPr="00163B00" w:rsidRDefault="00163B00" w:rsidP="00163B00">
            <w:pPr>
              <w:suppressAutoHyphens w:val="0"/>
              <w:autoSpaceDN/>
              <w:spacing w:before="0" w:after="0"/>
              <w:ind w:firstLine="0"/>
              <w:jc w:val="center"/>
              <w:textAlignment w:val="auto"/>
              <w:rPr>
                <w:rFonts w:eastAsiaTheme="minorHAnsi"/>
                <w:b/>
                <w:bCs/>
                <w:kern w:val="0"/>
                <w:lang w:val="sr-Latn-RS" w:eastAsia="en-US" w:bidi="ar-SA"/>
              </w:rPr>
            </w:pPr>
            <w:r w:rsidRPr="00163B00">
              <w:rPr>
                <w:rFonts w:eastAsiaTheme="minorHAnsi" w:cstheme="minorBidi"/>
                <w:kern w:val="0"/>
                <w:sz w:val="22"/>
                <w:szCs w:val="22"/>
                <w:lang w:eastAsia="en-US" w:bidi="ar-SA"/>
              </w:rPr>
              <w:t>3x2=6</w:t>
            </w:r>
          </w:p>
        </w:tc>
        <w:tc>
          <w:tcPr>
            <w:tcW w:w="571" w:type="pct"/>
            <w:gridSpan w:val="2"/>
          </w:tcPr>
          <w:p w14:paraId="5E2C02A2" w14:textId="77777777" w:rsidR="00163B00" w:rsidRPr="00163B00" w:rsidRDefault="00163B00" w:rsidP="00163B00">
            <w:pPr>
              <w:suppressAutoHyphens w:val="0"/>
              <w:autoSpaceDN/>
              <w:spacing w:before="0" w:after="0"/>
              <w:ind w:firstLine="0"/>
              <w:jc w:val="center"/>
              <w:textAlignment w:val="auto"/>
              <w:rPr>
                <w:rFonts w:eastAsiaTheme="minorHAnsi"/>
                <w:b/>
                <w:bCs/>
                <w:kern w:val="0"/>
                <w:lang w:val="sr-Latn-RS" w:eastAsia="en-US" w:bidi="ar-SA"/>
              </w:rPr>
            </w:pPr>
            <w:r w:rsidRPr="00163B00">
              <w:rPr>
                <w:rFonts w:eastAsiaTheme="minorHAnsi" w:cstheme="minorBidi"/>
                <w:kern w:val="0"/>
                <w:sz w:val="22"/>
                <w:szCs w:val="22"/>
                <w:lang w:eastAsia="en-US" w:bidi="ar-SA"/>
              </w:rPr>
              <w:t>2x2=4</w:t>
            </w:r>
          </w:p>
        </w:tc>
        <w:tc>
          <w:tcPr>
            <w:tcW w:w="571" w:type="pct"/>
            <w:gridSpan w:val="2"/>
          </w:tcPr>
          <w:p w14:paraId="596DD85E" w14:textId="77777777" w:rsidR="00163B00" w:rsidRPr="00163B00" w:rsidRDefault="00163B00" w:rsidP="00163B00">
            <w:pPr>
              <w:suppressAutoHyphens w:val="0"/>
              <w:autoSpaceDN/>
              <w:spacing w:before="0" w:after="0"/>
              <w:ind w:firstLine="0"/>
              <w:jc w:val="center"/>
              <w:textAlignment w:val="auto"/>
              <w:rPr>
                <w:rFonts w:eastAsiaTheme="minorHAnsi"/>
                <w:b/>
                <w:bCs/>
                <w:kern w:val="0"/>
                <w:lang w:val="sr-Latn-RS" w:eastAsia="en-US" w:bidi="ar-SA"/>
              </w:rPr>
            </w:pPr>
            <w:r w:rsidRPr="00163B00">
              <w:rPr>
                <w:rFonts w:eastAsiaTheme="minorHAnsi" w:cstheme="minorBidi"/>
                <w:kern w:val="0"/>
                <w:sz w:val="22"/>
                <w:szCs w:val="22"/>
                <w:lang w:eastAsia="en-US" w:bidi="ar-SA"/>
              </w:rPr>
              <w:t>3x2=6</w:t>
            </w:r>
          </w:p>
        </w:tc>
        <w:tc>
          <w:tcPr>
            <w:tcW w:w="569" w:type="pct"/>
          </w:tcPr>
          <w:p w14:paraId="66126DFB" w14:textId="77777777" w:rsidR="00163B00" w:rsidRPr="00163B00" w:rsidRDefault="00163B00" w:rsidP="00163B00">
            <w:pPr>
              <w:suppressAutoHyphens w:val="0"/>
              <w:autoSpaceDN/>
              <w:spacing w:before="0" w:after="0"/>
              <w:ind w:firstLine="0"/>
              <w:jc w:val="center"/>
              <w:textAlignment w:val="auto"/>
              <w:rPr>
                <w:rFonts w:eastAsiaTheme="minorHAnsi"/>
                <w:b/>
                <w:bCs/>
                <w:kern w:val="0"/>
                <w:lang w:val="sr-Latn-RS" w:eastAsia="en-US" w:bidi="ar-SA"/>
              </w:rPr>
            </w:pPr>
            <w:r w:rsidRPr="00163B00">
              <w:rPr>
                <w:rFonts w:eastAsiaTheme="minorHAnsi" w:cstheme="minorBidi"/>
                <w:kern w:val="0"/>
                <w:sz w:val="22"/>
                <w:szCs w:val="22"/>
                <w:lang w:eastAsia="en-US" w:bidi="ar-SA"/>
              </w:rPr>
              <w:t>2x2=4</w:t>
            </w:r>
          </w:p>
        </w:tc>
      </w:tr>
      <w:tr w:rsidR="00163B00" w:rsidRPr="00163B00" w14:paraId="6690A960" w14:textId="77777777" w:rsidTr="00DA6BE3">
        <w:trPr>
          <w:trHeight w:val="499"/>
        </w:trPr>
        <w:tc>
          <w:tcPr>
            <w:tcW w:w="2718" w:type="pct"/>
            <w:shd w:val="clear" w:color="auto" w:fill="BFBFBF" w:themeFill="background1" w:themeFillShade="BF"/>
          </w:tcPr>
          <w:p w14:paraId="0DD212C6" w14:textId="77777777" w:rsidR="00163B00" w:rsidRPr="00163B00" w:rsidRDefault="00163B00" w:rsidP="00163B00">
            <w:pPr>
              <w:suppressAutoHyphens w:val="0"/>
              <w:autoSpaceDN/>
              <w:spacing w:before="0" w:after="0"/>
              <w:ind w:firstLine="0"/>
              <w:jc w:val="left"/>
              <w:textAlignment w:val="auto"/>
              <w:rPr>
                <w:rFonts w:eastAsiaTheme="minorHAnsi"/>
                <w:b/>
                <w:bCs/>
                <w:kern w:val="0"/>
                <w:lang w:val="sr-Latn-RS" w:eastAsia="en-US" w:bidi="ar-SA"/>
              </w:rPr>
            </w:pPr>
            <w:r w:rsidRPr="00163B00">
              <w:rPr>
                <w:rFonts w:eastAsiaTheme="minorHAnsi"/>
                <w:b/>
                <w:bCs/>
                <w:kern w:val="0"/>
                <w:lang w:val="sr-Latn-RS" w:eastAsia="en-US" w:bidi="ar-SA"/>
              </w:rPr>
              <w:t>Укупно по решењема</w:t>
            </w:r>
          </w:p>
        </w:tc>
        <w:tc>
          <w:tcPr>
            <w:tcW w:w="484" w:type="pct"/>
            <w:shd w:val="clear" w:color="auto" w:fill="BFBFBF" w:themeFill="background1" w:themeFillShade="BF"/>
            <w:vAlign w:val="center"/>
          </w:tcPr>
          <w:p w14:paraId="4F26FBD6" w14:textId="77777777" w:rsidR="00163B00" w:rsidRPr="00163B00" w:rsidRDefault="00163B00" w:rsidP="00163B00">
            <w:pPr>
              <w:suppressAutoHyphens w:val="0"/>
              <w:autoSpaceDN/>
              <w:spacing w:before="0" w:after="0"/>
              <w:ind w:firstLine="0"/>
              <w:jc w:val="center"/>
              <w:textAlignment w:val="auto"/>
              <w:rPr>
                <w:rFonts w:eastAsiaTheme="minorHAnsi"/>
                <w:b/>
                <w:bCs/>
                <w:kern w:val="0"/>
                <w:lang w:val="sr-Latn-RS" w:eastAsia="en-US" w:bidi="ar-SA"/>
              </w:rPr>
            </w:pPr>
            <w:r w:rsidRPr="00163B00">
              <w:rPr>
                <w:rFonts w:eastAsiaTheme="minorHAnsi"/>
                <w:b/>
                <w:bCs/>
                <w:kern w:val="0"/>
                <w:lang w:val="sr-Latn-RS" w:eastAsia="en-US" w:bidi="ar-SA"/>
              </w:rPr>
              <w:t>17</w:t>
            </w:r>
          </w:p>
        </w:tc>
        <w:tc>
          <w:tcPr>
            <w:tcW w:w="485" w:type="pct"/>
            <w:gridSpan w:val="2"/>
            <w:shd w:val="clear" w:color="auto" w:fill="BFBFBF" w:themeFill="background1" w:themeFillShade="BF"/>
            <w:vAlign w:val="center"/>
          </w:tcPr>
          <w:p w14:paraId="25982CA4" w14:textId="77777777" w:rsidR="00163B00" w:rsidRPr="00163B00" w:rsidRDefault="00163B00" w:rsidP="00163B00">
            <w:pPr>
              <w:suppressAutoHyphens w:val="0"/>
              <w:autoSpaceDN/>
              <w:spacing w:before="0" w:after="0"/>
              <w:ind w:firstLine="0"/>
              <w:jc w:val="center"/>
              <w:textAlignment w:val="auto"/>
              <w:rPr>
                <w:rFonts w:eastAsiaTheme="minorHAnsi"/>
                <w:b/>
                <w:bCs/>
                <w:kern w:val="0"/>
                <w:lang w:eastAsia="en-US" w:bidi="ar-SA"/>
              </w:rPr>
            </w:pPr>
            <w:r w:rsidRPr="00163B00">
              <w:rPr>
                <w:rFonts w:eastAsiaTheme="minorHAnsi" w:cstheme="minorBidi"/>
                <w:b/>
                <w:bCs/>
                <w:kern w:val="0"/>
                <w:lang w:val="sr-Latn-RS" w:eastAsia="en-US" w:bidi="ar-SA"/>
              </w:rPr>
              <w:t>2</w:t>
            </w:r>
            <w:r w:rsidRPr="00163B00">
              <w:rPr>
                <w:rFonts w:eastAsiaTheme="minorHAnsi" w:cstheme="minorBidi"/>
                <w:b/>
                <w:bCs/>
                <w:kern w:val="0"/>
                <w:lang w:eastAsia="en-US" w:bidi="ar-SA"/>
              </w:rPr>
              <w:t>5</w:t>
            </w:r>
          </w:p>
        </w:tc>
        <w:tc>
          <w:tcPr>
            <w:tcW w:w="501" w:type="pct"/>
            <w:gridSpan w:val="2"/>
            <w:shd w:val="clear" w:color="auto" w:fill="BFBFBF" w:themeFill="background1" w:themeFillShade="BF"/>
            <w:vAlign w:val="center"/>
          </w:tcPr>
          <w:p w14:paraId="59F558A2" w14:textId="77777777" w:rsidR="00163B00" w:rsidRPr="00163B00" w:rsidRDefault="00163B00" w:rsidP="00163B00">
            <w:pPr>
              <w:suppressAutoHyphens w:val="0"/>
              <w:autoSpaceDN/>
              <w:spacing w:before="0" w:after="0"/>
              <w:ind w:firstLine="0"/>
              <w:jc w:val="center"/>
              <w:textAlignment w:val="auto"/>
              <w:rPr>
                <w:rFonts w:eastAsiaTheme="minorHAnsi"/>
                <w:b/>
                <w:bCs/>
                <w:kern w:val="0"/>
                <w:lang w:val="sr-Latn-RS" w:eastAsia="en-US" w:bidi="ar-SA"/>
              </w:rPr>
            </w:pPr>
            <w:r w:rsidRPr="00163B00">
              <w:rPr>
                <w:rFonts w:eastAsiaTheme="minorHAnsi" w:cstheme="minorBidi"/>
                <w:b/>
                <w:bCs/>
                <w:kern w:val="0"/>
                <w:lang w:val="sr-Latn-RS" w:eastAsia="en-US" w:bidi="ar-SA"/>
              </w:rPr>
              <w:t>29</w:t>
            </w:r>
          </w:p>
        </w:tc>
        <w:tc>
          <w:tcPr>
            <w:tcW w:w="812" w:type="pct"/>
            <w:gridSpan w:val="2"/>
            <w:shd w:val="clear" w:color="auto" w:fill="BFBFBF" w:themeFill="background1" w:themeFillShade="BF"/>
            <w:vAlign w:val="center"/>
          </w:tcPr>
          <w:p w14:paraId="34561C83" w14:textId="77777777" w:rsidR="00163B00" w:rsidRPr="00163B00" w:rsidRDefault="00163B00" w:rsidP="00163B00">
            <w:pPr>
              <w:suppressAutoHyphens w:val="0"/>
              <w:autoSpaceDN/>
              <w:spacing w:before="0" w:after="0"/>
              <w:ind w:firstLine="0"/>
              <w:jc w:val="center"/>
              <w:textAlignment w:val="auto"/>
              <w:rPr>
                <w:rFonts w:eastAsiaTheme="minorHAnsi"/>
                <w:b/>
                <w:bCs/>
                <w:kern w:val="0"/>
                <w:lang w:val="sr-Latn-RS" w:eastAsia="en-US" w:bidi="ar-SA"/>
              </w:rPr>
            </w:pPr>
            <w:r w:rsidRPr="00163B00">
              <w:rPr>
                <w:rFonts w:eastAsiaTheme="minorHAnsi" w:cstheme="minorBidi"/>
                <w:b/>
                <w:bCs/>
                <w:kern w:val="0"/>
                <w:lang w:val="sr-Latn-RS" w:eastAsia="en-US" w:bidi="ar-SA"/>
              </w:rPr>
              <w:t>25</w:t>
            </w:r>
          </w:p>
        </w:tc>
      </w:tr>
    </w:tbl>
    <w:p w14:paraId="56BEB545" w14:textId="77777777" w:rsidR="00163B00" w:rsidRPr="00163B00" w:rsidRDefault="00163B00" w:rsidP="00163B00">
      <w:pPr>
        <w:suppressAutoHyphens w:val="0"/>
        <w:autoSpaceDN/>
        <w:spacing w:after="120"/>
        <w:ind w:firstLine="340"/>
        <w:contextualSpacing/>
        <w:textAlignment w:val="auto"/>
        <w:rPr>
          <w:rFonts w:eastAsia="Times New Roman"/>
          <w:color w:val="000000" w:themeColor="dark1"/>
          <w:kern w:val="24"/>
          <w:lang w:eastAsia="en-US" w:bidi="ar-SA"/>
          <w14:textFill>
            <w14:solidFill>
              <w14:schemeClr w14:val="dk1">
                <w14:satOff w14:val="0"/>
                <w14:lumOff w14:val="0"/>
              </w14:schemeClr>
            </w14:solidFill>
          </w14:textFill>
        </w:rPr>
      </w:pPr>
      <w:r w:rsidRPr="00163B00">
        <w:rPr>
          <w:rFonts w:eastAsia="Times New Roman"/>
          <w:color w:val="000000" w:themeColor="dark1"/>
          <w:kern w:val="24"/>
          <w:lang w:eastAsia="en-US" w:bidi="ar-SA"/>
          <w14:textFill>
            <w14:solidFill>
              <w14:schemeClr w14:val="dk1">
                <w14:satOff w14:val="0"/>
                <w14:lumOff w14:val="0"/>
              </w14:schemeClr>
            </w14:solidFill>
          </w14:textFill>
        </w:rPr>
        <w:t xml:space="preserve">У складу са бодовима по одабраним критеријумима као оптимално се показало решење која подразумева Формирање мреже службеника за односе са јавношћу у органима јавне управе. </w:t>
      </w:r>
    </w:p>
    <w:p w14:paraId="6D3CF965" w14:textId="77777777" w:rsidR="00163B00" w:rsidRPr="00163B00" w:rsidRDefault="00163B00" w:rsidP="00163B00">
      <w:pPr>
        <w:suppressAutoHyphens w:val="0"/>
        <w:autoSpaceDN/>
        <w:spacing w:after="120"/>
        <w:ind w:firstLine="340"/>
        <w:contextualSpacing/>
        <w:textAlignment w:val="auto"/>
        <w:rPr>
          <w:rFonts w:eastAsia="Times New Roman"/>
          <w:color w:val="000000" w:themeColor="dark1"/>
          <w:kern w:val="24"/>
          <w:lang w:eastAsia="en-US" w:bidi="ar-SA"/>
          <w14:textFill>
            <w14:solidFill>
              <w14:schemeClr w14:val="dk1">
                <w14:satOff w14:val="0"/>
                <w14:lumOff w14:val="0"/>
              </w14:schemeClr>
            </w14:solidFill>
          </w14:textFill>
        </w:rPr>
      </w:pPr>
    </w:p>
    <w:p w14:paraId="57389605" w14:textId="77777777" w:rsidR="00163B00" w:rsidRPr="00163B00" w:rsidRDefault="00163B00" w:rsidP="00163B00">
      <w:pPr>
        <w:suppressAutoHyphens w:val="0"/>
        <w:autoSpaceDN/>
        <w:spacing w:after="120"/>
        <w:ind w:firstLine="340"/>
        <w:contextualSpacing/>
        <w:textAlignment w:val="auto"/>
        <w:rPr>
          <w:rFonts w:eastAsia="Times New Roman"/>
          <w:kern w:val="0"/>
          <w:lang w:eastAsia="en-US" w:bidi="ar-SA"/>
        </w:rPr>
      </w:pPr>
      <w:r w:rsidRPr="00163B00">
        <w:rPr>
          <w:rFonts w:eastAsia="Times New Roman"/>
          <w:color w:val="000000" w:themeColor="dark1"/>
          <w:kern w:val="24"/>
          <w:lang w:eastAsia="en-US" w:bidi="ar-SA"/>
          <w14:textFill>
            <w14:solidFill>
              <w14:schemeClr w14:val="dk1">
                <w14:satOff w14:val="0"/>
                <w14:lumOff w14:val="0"/>
              </w14:schemeClr>
            </w14:solidFill>
          </w14:textFill>
        </w:rPr>
        <w:t xml:space="preserve">На основу спроведене анализе, а како </w:t>
      </w:r>
      <w:r w:rsidRPr="00163B00">
        <w:rPr>
          <w:rFonts w:eastAsia="Times New Roman"/>
          <w:kern w:val="0"/>
          <w:lang w:eastAsia="en-US" w:bidi="ar-SA"/>
        </w:rPr>
        <w:t>би се повећао ниво информисаности кључних актера и јавности о процесу и резултатима реформе јавне управе, предвиђене су три мере у оквиру Оперативног плана Стратегије РЈУ. То су:</w:t>
      </w:r>
    </w:p>
    <w:p w14:paraId="30E0213F" w14:textId="77777777" w:rsidR="00163B00" w:rsidRPr="00163B00" w:rsidRDefault="00163B00" w:rsidP="00E62A1A">
      <w:pPr>
        <w:numPr>
          <w:ilvl w:val="0"/>
          <w:numId w:val="64"/>
        </w:numPr>
        <w:suppressAutoHyphens w:val="0"/>
        <w:autoSpaceDN/>
        <w:spacing w:before="0" w:after="120" w:line="259" w:lineRule="auto"/>
        <w:contextualSpacing/>
        <w:jc w:val="left"/>
        <w:textAlignment w:val="auto"/>
        <w:rPr>
          <w:rFonts w:eastAsiaTheme="minorHAnsi" w:cstheme="minorBidi"/>
          <w:kern w:val="0"/>
          <w:lang w:eastAsia="en-US" w:bidi="ar-SA"/>
        </w:rPr>
      </w:pPr>
      <w:r w:rsidRPr="00163B00">
        <w:rPr>
          <w:rFonts w:eastAsiaTheme="minorHAnsi" w:cstheme="minorBidi"/>
          <w:kern w:val="0"/>
          <w:lang w:eastAsia="en-US" w:bidi="ar-SA"/>
        </w:rPr>
        <w:t>Meра 3: Успостављање функционалног координационог механизма за планирање, имплементацију и праћење комуницирања РЈУ на националном  нивоу</w:t>
      </w:r>
    </w:p>
    <w:p w14:paraId="21684927" w14:textId="77777777" w:rsidR="00163B00" w:rsidRPr="00163B00" w:rsidRDefault="00163B00" w:rsidP="00E62A1A">
      <w:pPr>
        <w:numPr>
          <w:ilvl w:val="0"/>
          <w:numId w:val="64"/>
        </w:numPr>
        <w:suppressAutoHyphens w:val="0"/>
        <w:autoSpaceDN/>
        <w:spacing w:before="0" w:after="120" w:line="259" w:lineRule="auto"/>
        <w:contextualSpacing/>
        <w:jc w:val="left"/>
        <w:textAlignment w:val="auto"/>
        <w:rPr>
          <w:rFonts w:eastAsiaTheme="minorHAnsi" w:cstheme="minorBidi"/>
          <w:kern w:val="0"/>
          <w:lang w:eastAsia="en-US" w:bidi="ar-SA"/>
        </w:rPr>
      </w:pPr>
      <w:r w:rsidRPr="00163B00">
        <w:rPr>
          <w:rFonts w:eastAsiaTheme="minorHAnsi" w:cstheme="minorBidi"/>
          <w:kern w:val="0"/>
          <w:lang w:eastAsia="en-US" w:bidi="ar-SA"/>
        </w:rPr>
        <w:t>Meра 4: Усклађивање, стандардизација и континуирано комуницирање РЈУ у јавној управи</w:t>
      </w:r>
    </w:p>
    <w:p w14:paraId="38CB19C9" w14:textId="77777777" w:rsidR="00163B00" w:rsidRPr="00163B00" w:rsidRDefault="00163B00" w:rsidP="00E62A1A">
      <w:pPr>
        <w:numPr>
          <w:ilvl w:val="0"/>
          <w:numId w:val="64"/>
        </w:numPr>
        <w:suppressAutoHyphens w:val="0"/>
        <w:autoSpaceDN/>
        <w:spacing w:before="0" w:after="120" w:line="259" w:lineRule="auto"/>
        <w:contextualSpacing/>
        <w:jc w:val="left"/>
        <w:textAlignment w:val="auto"/>
        <w:rPr>
          <w:rFonts w:eastAsiaTheme="minorHAnsi" w:cstheme="minorBidi"/>
          <w:kern w:val="0"/>
          <w:lang w:eastAsia="en-US" w:bidi="ar-SA"/>
        </w:rPr>
      </w:pPr>
      <w:r w:rsidRPr="00163B00">
        <w:rPr>
          <w:rFonts w:eastAsiaTheme="minorHAnsi" w:cstheme="minorBidi"/>
          <w:kern w:val="0"/>
          <w:lang w:eastAsia="en-US" w:bidi="ar-SA"/>
        </w:rPr>
        <w:t>Meра 5: Повећање видљивости и комуницирања процеса РЈУ и постигнутих резултата</w:t>
      </w:r>
    </w:p>
    <w:p w14:paraId="62A90BD5" w14:textId="77777777" w:rsidR="00163B00" w:rsidRPr="00163B00" w:rsidRDefault="00163B00" w:rsidP="00163B00">
      <w:pPr>
        <w:suppressAutoHyphens w:val="0"/>
        <w:autoSpaceDN/>
        <w:spacing w:after="120"/>
        <w:ind w:firstLine="340"/>
        <w:contextualSpacing/>
        <w:textAlignment w:val="auto"/>
        <w:rPr>
          <w:rFonts w:eastAsia="Times New Roman"/>
          <w:color w:val="000000" w:themeColor="dark1"/>
          <w:kern w:val="24"/>
          <w:lang w:eastAsia="en-US" w:bidi="ar-SA"/>
          <w14:textFill>
            <w14:solidFill>
              <w14:schemeClr w14:val="dk1">
                <w14:satOff w14:val="0"/>
                <w14:lumOff w14:val="0"/>
              </w14:schemeClr>
            </w14:solidFill>
          </w14:textFill>
        </w:rPr>
      </w:pPr>
    </w:p>
    <w:p w14:paraId="0A37E617"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r w:rsidRPr="00163B00">
        <w:rPr>
          <w:rFonts w:eastAsiaTheme="minorHAnsi"/>
          <w:b/>
          <w:bCs/>
          <w:kern w:val="0"/>
          <w:lang w:eastAsia="en-US" w:bidi="ar-SA"/>
        </w:rPr>
        <w:t>Meра 3: Успостављање функционалног координационог механизма за планирање, имплементацију и праћење комуницирања РЈУ на националном  нивоу</w:t>
      </w:r>
    </w:p>
    <w:tbl>
      <w:tblPr>
        <w:tblW w:w="5000" w:type="pct"/>
        <w:tblLook w:val="00A0" w:firstRow="1" w:lastRow="0" w:firstColumn="1" w:lastColumn="0" w:noHBand="0" w:noVBand="0"/>
      </w:tblPr>
      <w:tblGrid>
        <w:gridCol w:w="343"/>
        <w:gridCol w:w="4615"/>
        <w:gridCol w:w="1866"/>
        <w:gridCol w:w="1866"/>
        <w:gridCol w:w="334"/>
      </w:tblGrid>
      <w:tr w:rsidR="00163B00" w:rsidRPr="00163B00" w14:paraId="5C6DF7AD" w14:textId="77777777" w:rsidTr="00DA6BE3">
        <w:trPr>
          <w:trHeight w:val="20"/>
        </w:trPr>
        <w:tc>
          <w:tcPr>
            <w:tcW w:w="190" w:type="pct"/>
            <w:tcBorders>
              <w:top w:val="single" w:sz="18" w:space="0" w:color="C00000"/>
              <w:left w:val="single" w:sz="18" w:space="0" w:color="C00000"/>
            </w:tcBorders>
            <w:shd w:val="clear" w:color="auto" w:fill="auto"/>
          </w:tcPr>
          <w:p w14:paraId="1D82AF90"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sz w:val="16"/>
                <w:szCs w:val="16"/>
                <w:lang w:eastAsia="en-US" w:bidi="ar-SA"/>
              </w:rPr>
            </w:pPr>
          </w:p>
        </w:tc>
        <w:tc>
          <w:tcPr>
            <w:tcW w:w="2557" w:type="pct"/>
            <w:tcBorders>
              <w:top w:val="single" w:sz="18" w:space="0" w:color="C00000"/>
            </w:tcBorders>
            <w:shd w:val="clear" w:color="auto" w:fill="auto"/>
          </w:tcPr>
          <w:p w14:paraId="3995EB6C"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sz w:val="16"/>
                <w:szCs w:val="16"/>
                <w:lang w:eastAsia="en-US" w:bidi="ar-SA"/>
              </w:rPr>
            </w:pPr>
          </w:p>
        </w:tc>
        <w:tc>
          <w:tcPr>
            <w:tcW w:w="1034" w:type="pct"/>
            <w:tcBorders>
              <w:top w:val="single" w:sz="18" w:space="0" w:color="C00000"/>
            </w:tcBorders>
            <w:shd w:val="clear" w:color="auto" w:fill="auto"/>
            <w:vAlign w:val="center"/>
          </w:tcPr>
          <w:p w14:paraId="47756C58"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16"/>
                <w:szCs w:val="16"/>
                <w:lang w:eastAsia="en-US" w:bidi="ar-SA"/>
              </w:rPr>
            </w:pPr>
          </w:p>
        </w:tc>
        <w:tc>
          <w:tcPr>
            <w:tcW w:w="1034" w:type="pct"/>
            <w:tcBorders>
              <w:top w:val="single" w:sz="18" w:space="0" w:color="C00000"/>
            </w:tcBorders>
            <w:shd w:val="clear" w:color="auto" w:fill="auto"/>
            <w:vAlign w:val="center"/>
          </w:tcPr>
          <w:p w14:paraId="7ECA4B33"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16"/>
                <w:szCs w:val="16"/>
                <w:lang w:eastAsia="en-US" w:bidi="ar-SA"/>
              </w:rPr>
            </w:pPr>
          </w:p>
        </w:tc>
        <w:tc>
          <w:tcPr>
            <w:tcW w:w="185" w:type="pct"/>
            <w:tcBorders>
              <w:top w:val="single" w:sz="18" w:space="0" w:color="C00000"/>
              <w:right w:val="single" w:sz="18" w:space="0" w:color="C00000"/>
            </w:tcBorders>
            <w:shd w:val="clear" w:color="auto" w:fill="auto"/>
          </w:tcPr>
          <w:p w14:paraId="31B3DE90"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16"/>
                <w:szCs w:val="16"/>
                <w:lang w:eastAsia="en-US" w:bidi="ar-SA"/>
              </w:rPr>
            </w:pPr>
          </w:p>
        </w:tc>
      </w:tr>
      <w:tr w:rsidR="00163B00" w:rsidRPr="00163B00" w14:paraId="3AD971CB" w14:textId="77777777" w:rsidTr="00DA6BE3">
        <w:trPr>
          <w:trHeight w:val="490"/>
        </w:trPr>
        <w:tc>
          <w:tcPr>
            <w:tcW w:w="190" w:type="pct"/>
            <w:tcBorders>
              <w:left w:val="single" w:sz="18" w:space="0" w:color="C00000"/>
            </w:tcBorders>
            <w:shd w:val="clear" w:color="auto" w:fill="auto"/>
          </w:tcPr>
          <w:p w14:paraId="01C39EFD"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sz w:val="22"/>
                <w:szCs w:val="22"/>
                <w:lang w:eastAsia="en-US" w:bidi="ar-SA"/>
              </w:rPr>
            </w:pPr>
          </w:p>
        </w:tc>
        <w:tc>
          <w:tcPr>
            <w:tcW w:w="2557" w:type="pct"/>
            <w:tcBorders>
              <w:left w:val="nil"/>
              <w:bottom w:val="single" w:sz="18" w:space="0" w:color="C00000"/>
              <w:right w:val="single" w:sz="18" w:space="0" w:color="D9D9D9" w:themeColor="background1" w:themeShade="D9"/>
            </w:tcBorders>
            <w:shd w:val="clear" w:color="auto" w:fill="auto"/>
          </w:tcPr>
          <w:p w14:paraId="48B6FC0B"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sz w:val="22"/>
                <w:szCs w:val="22"/>
                <w:lang w:val="en-US" w:eastAsia="en-US" w:bidi="ar-SA"/>
              </w:rPr>
            </w:pPr>
            <w:r w:rsidRPr="00163B00">
              <w:rPr>
                <w:rFonts w:eastAsiaTheme="minorHAnsi"/>
                <w:b/>
                <w:bCs/>
                <w:kern w:val="0"/>
                <w:sz w:val="22"/>
                <w:szCs w:val="22"/>
                <w:lang w:val="en-US" w:eastAsia="en-US" w:bidi="ar-SA"/>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2EF00B50"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22"/>
                <w:szCs w:val="22"/>
                <w:lang w:val="en-US" w:eastAsia="en-US" w:bidi="ar-SA"/>
              </w:rPr>
            </w:pPr>
            <w:r w:rsidRPr="00163B00">
              <w:rPr>
                <w:rFonts w:eastAsiaTheme="minorHAnsi"/>
                <w:b/>
                <w:bCs/>
                <w:kern w:val="0"/>
                <w:sz w:val="22"/>
                <w:szCs w:val="22"/>
                <w:lang w:val="en-US" w:eastAsia="en-US" w:bidi="ar-SA"/>
              </w:rPr>
              <w:t>ПВ</w:t>
            </w:r>
          </w:p>
        </w:tc>
        <w:tc>
          <w:tcPr>
            <w:tcW w:w="1034" w:type="pct"/>
            <w:tcBorders>
              <w:left w:val="single" w:sz="18" w:space="0" w:color="D9D9D9" w:themeColor="background1" w:themeShade="D9"/>
              <w:bottom w:val="single" w:sz="18" w:space="0" w:color="C00000"/>
            </w:tcBorders>
            <w:shd w:val="clear" w:color="auto" w:fill="auto"/>
            <w:vAlign w:val="center"/>
          </w:tcPr>
          <w:p w14:paraId="49EEDA52"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22"/>
                <w:szCs w:val="22"/>
                <w:lang w:val="en-US" w:eastAsia="en-US" w:bidi="ar-SA"/>
              </w:rPr>
            </w:pPr>
            <w:r w:rsidRPr="00163B00">
              <w:rPr>
                <w:rFonts w:eastAsiaTheme="minorHAnsi"/>
                <w:b/>
                <w:bCs/>
                <w:kern w:val="0"/>
                <w:sz w:val="22"/>
                <w:szCs w:val="22"/>
                <w:lang w:val="en-US" w:eastAsia="en-US" w:bidi="ar-SA"/>
              </w:rPr>
              <w:t>ЦВ</w:t>
            </w:r>
          </w:p>
        </w:tc>
        <w:tc>
          <w:tcPr>
            <w:tcW w:w="185" w:type="pct"/>
            <w:tcBorders>
              <w:right w:val="single" w:sz="18" w:space="0" w:color="C00000"/>
            </w:tcBorders>
            <w:shd w:val="clear" w:color="auto" w:fill="auto"/>
          </w:tcPr>
          <w:p w14:paraId="6B3A68F5"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22"/>
                <w:szCs w:val="22"/>
                <w:lang w:val="en-US" w:eastAsia="en-US" w:bidi="ar-SA"/>
              </w:rPr>
            </w:pPr>
          </w:p>
        </w:tc>
      </w:tr>
      <w:tr w:rsidR="00163B00" w:rsidRPr="00163B00" w14:paraId="72C0A473" w14:textId="77777777" w:rsidTr="00DA6BE3">
        <w:trPr>
          <w:trHeight w:val="437"/>
        </w:trPr>
        <w:tc>
          <w:tcPr>
            <w:tcW w:w="190" w:type="pct"/>
            <w:tcBorders>
              <w:left w:val="single" w:sz="18" w:space="0" w:color="C00000"/>
            </w:tcBorders>
            <w:shd w:val="clear" w:color="auto" w:fill="auto"/>
          </w:tcPr>
          <w:p w14:paraId="42EF5D13"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73D2840E"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r w:rsidRPr="00163B00">
              <w:rPr>
                <w:rFonts w:eastAsia="Times New Roman"/>
                <w:kern w:val="0"/>
                <w:lang w:eastAsia="de-DE" w:bidi="ar-SA"/>
              </w:rPr>
              <w:t>Постојање годишњег оперативног плана за комуницирање РЈУ</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6E210B56" w14:textId="77777777" w:rsidR="00163B00" w:rsidRPr="00163B00" w:rsidRDefault="00163B00" w:rsidP="00163B00">
            <w:pPr>
              <w:suppressAutoHyphens w:val="0"/>
              <w:autoSpaceDN/>
              <w:spacing w:before="0" w:after="160" w:line="259" w:lineRule="auto"/>
              <w:ind w:firstLine="0"/>
              <w:jc w:val="center"/>
              <w:textAlignment w:val="auto"/>
              <w:rPr>
                <w:rFonts w:eastAsiaTheme="minorHAnsi"/>
                <w:kern w:val="0"/>
                <w:lang w:eastAsia="en-US" w:bidi="ar-SA"/>
              </w:rPr>
            </w:pPr>
            <w:r w:rsidRPr="00163B00">
              <w:rPr>
                <w:rFonts w:eastAsiaTheme="minorHAnsi"/>
                <w:kern w:val="0"/>
                <w:lang w:eastAsia="en-US" w:bidi="ar-SA"/>
              </w:rPr>
              <w:t>0</w:t>
            </w:r>
          </w:p>
          <w:p w14:paraId="04BCE4FF" w14:textId="77777777" w:rsidR="00163B00" w:rsidRPr="00163B00" w:rsidRDefault="00163B00" w:rsidP="00163B00">
            <w:pPr>
              <w:suppressAutoHyphens w:val="0"/>
              <w:autoSpaceDN/>
              <w:spacing w:before="0" w:after="160" w:line="259" w:lineRule="auto"/>
              <w:ind w:firstLine="0"/>
              <w:jc w:val="center"/>
              <w:textAlignment w:val="auto"/>
              <w:rPr>
                <w:rFonts w:eastAsiaTheme="minorHAnsi"/>
                <w:kern w:val="0"/>
                <w:sz w:val="22"/>
                <w:szCs w:val="22"/>
                <w:lang w:val="en-US" w:eastAsia="en-US" w:bidi="ar-SA"/>
              </w:rPr>
            </w:pP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5DA9BCC3"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eastAsia="en-US" w:bidi="ar-SA"/>
              </w:rPr>
            </w:pPr>
            <w:r w:rsidRPr="00163B00">
              <w:rPr>
                <w:rFonts w:eastAsiaTheme="minorHAnsi"/>
                <w:kern w:val="0"/>
                <w:sz w:val="22"/>
                <w:szCs w:val="22"/>
                <w:lang w:val="en-US" w:eastAsia="en-US" w:bidi="ar-SA"/>
              </w:rPr>
              <w:t xml:space="preserve">(2021): </w:t>
            </w:r>
            <w:r w:rsidRPr="00163B00">
              <w:rPr>
                <w:rFonts w:eastAsiaTheme="minorHAnsi"/>
                <w:kern w:val="0"/>
                <w:sz w:val="22"/>
                <w:szCs w:val="22"/>
                <w:lang w:eastAsia="en-US" w:bidi="ar-SA"/>
              </w:rPr>
              <w:t>1</w:t>
            </w:r>
          </w:p>
          <w:p w14:paraId="53BB7289"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eastAsia="en-US" w:bidi="ar-SA"/>
              </w:rPr>
            </w:pPr>
            <w:r w:rsidRPr="00163B00">
              <w:rPr>
                <w:rFonts w:eastAsiaTheme="minorHAnsi"/>
                <w:kern w:val="0"/>
                <w:sz w:val="22"/>
                <w:szCs w:val="22"/>
                <w:lang w:val="en-US" w:eastAsia="en-US" w:bidi="ar-SA"/>
              </w:rPr>
              <w:t xml:space="preserve">(2022): </w:t>
            </w:r>
            <w:r w:rsidRPr="00163B00">
              <w:rPr>
                <w:rFonts w:eastAsiaTheme="minorHAnsi"/>
                <w:kern w:val="0"/>
                <w:sz w:val="22"/>
                <w:szCs w:val="22"/>
                <w:lang w:eastAsia="en-US" w:bidi="ar-SA"/>
              </w:rPr>
              <w:t>1</w:t>
            </w:r>
          </w:p>
          <w:p w14:paraId="5925C89C"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eastAsia="en-US" w:bidi="ar-SA"/>
              </w:rPr>
            </w:pPr>
            <w:r w:rsidRPr="00163B00">
              <w:rPr>
                <w:rFonts w:eastAsiaTheme="minorHAnsi"/>
                <w:kern w:val="0"/>
                <w:sz w:val="22"/>
                <w:szCs w:val="22"/>
                <w:lang w:val="en-US" w:eastAsia="en-US" w:bidi="ar-SA"/>
              </w:rPr>
              <w:t xml:space="preserve">(2023): </w:t>
            </w:r>
            <w:r w:rsidRPr="00163B00">
              <w:rPr>
                <w:rFonts w:eastAsiaTheme="minorHAnsi"/>
                <w:kern w:val="0"/>
                <w:sz w:val="22"/>
                <w:szCs w:val="22"/>
                <w:lang w:eastAsia="en-US" w:bidi="ar-SA"/>
              </w:rPr>
              <w:t>1</w:t>
            </w:r>
          </w:p>
          <w:p w14:paraId="198DF685"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eastAsia="en-US" w:bidi="ar-SA"/>
              </w:rPr>
            </w:pPr>
            <w:r w:rsidRPr="00163B00">
              <w:rPr>
                <w:rFonts w:eastAsiaTheme="minorHAnsi"/>
                <w:kern w:val="0"/>
                <w:sz w:val="22"/>
                <w:szCs w:val="22"/>
                <w:lang w:val="en-US" w:eastAsia="en-US" w:bidi="ar-SA"/>
              </w:rPr>
              <w:t xml:space="preserve">(2024): </w:t>
            </w:r>
            <w:r w:rsidRPr="00163B00">
              <w:rPr>
                <w:rFonts w:eastAsiaTheme="minorHAnsi"/>
                <w:kern w:val="0"/>
                <w:sz w:val="22"/>
                <w:szCs w:val="22"/>
                <w:lang w:eastAsia="en-US" w:bidi="ar-SA"/>
              </w:rPr>
              <w:t>1</w:t>
            </w:r>
          </w:p>
          <w:p w14:paraId="76370ABB"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eastAsia="en-US" w:bidi="ar-SA"/>
              </w:rPr>
            </w:pPr>
            <w:r w:rsidRPr="00163B00">
              <w:rPr>
                <w:rFonts w:eastAsiaTheme="minorHAnsi"/>
                <w:kern w:val="0"/>
                <w:sz w:val="22"/>
                <w:szCs w:val="22"/>
                <w:lang w:val="en-US" w:eastAsia="en-US" w:bidi="ar-SA"/>
              </w:rPr>
              <w:t xml:space="preserve">(2025): </w:t>
            </w:r>
            <w:r w:rsidRPr="00163B00">
              <w:rPr>
                <w:rFonts w:eastAsiaTheme="minorHAnsi"/>
                <w:kern w:val="0"/>
                <w:sz w:val="22"/>
                <w:szCs w:val="22"/>
                <w:lang w:eastAsia="en-US" w:bidi="ar-SA"/>
              </w:rPr>
              <w:t>1</w:t>
            </w:r>
          </w:p>
          <w:p w14:paraId="38A38D8A"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eastAsia="en-US" w:bidi="ar-SA"/>
              </w:rPr>
            </w:pPr>
            <w:r w:rsidRPr="00163B00">
              <w:rPr>
                <w:rFonts w:eastAsiaTheme="minorHAnsi"/>
                <w:kern w:val="0"/>
                <w:sz w:val="22"/>
                <w:szCs w:val="22"/>
                <w:lang w:val="en-US" w:eastAsia="en-US" w:bidi="ar-SA"/>
              </w:rPr>
              <w:t xml:space="preserve">(2027): </w:t>
            </w:r>
            <w:r w:rsidRPr="00163B00">
              <w:rPr>
                <w:rFonts w:eastAsiaTheme="minorHAnsi"/>
                <w:kern w:val="0"/>
                <w:sz w:val="22"/>
                <w:szCs w:val="22"/>
                <w:lang w:eastAsia="en-US" w:bidi="ar-SA"/>
              </w:rPr>
              <w:t>1</w:t>
            </w:r>
          </w:p>
          <w:p w14:paraId="7579A64B"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eastAsia="en-US" w:bidi="ar-SA"/>
              </w:rPr>
            </w:pPr>
            <w:r w:rsidRPr="00163B00">
              <w:rPr>
                <w:rFonts w:eastAsiaTheme="minorHAnsi"/>
                <w:kern w:val="0"/>
                <w:sz w:val="22"/>
                <w:szCs w:val="22"/>
                <w:lang w:val="en-US" w:eastAsia="en-US" w:bidi="ar-SA"/>
              </w:rPr>
              <w:t xml:space="preserve">(2030): </w:t>
            </w:r>
            <w:r w:rsidRPr="00163B00">
              <w:rPr>
                <w:rFonts w:eastAsiaTheme="minorHAnsi"/>
                <w:kern w:val="0"/>
                <w:sz w:val="22"/>
                <w:szCs w:val="22"/>
                <w:lang w:eastAsia="en-US" w:bidi="ar-SA"/>
              </w:rPr>
              <w:t>1</w:t>
            </w:r>
          </w:p>
        </w:tc>
        <w:tc>
          <w:tcPr>
            <w:tcW w:w="185" w:type="pct"/>
            <w:tcBorders>
              <w:right w:val="single" w:sz="18" w:space="0" w:color="C00000"/>
            </w:tcBorders>
            <w:shd w:val="clear" w:color="auto" w:fill="auto"/>
          </w:tcPr>
          <w:p w14:paraId="56ED902B"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r>
      <w:tr w:rsidR="00163B00" w:rsidRPr="00163B00" w14:paraId="5CF09D36" w14:textId="77777777" w:rsidTr="00DA6BE3">
        <w:trPr>
          <w:trHeight w:val="437"/>
        </w:trPr>
        <w:tc>
          <w:tcPr>
            <w:tcW w:w="190" w:type="pct"/>
            <w:tcBorders>
              <w:left w:val="single" w:sz="18" w:space="0" w:color="C00000"/>
            </w:tcBorders>
            <w:shd w:val="clear" w:color="auto" w:fill="auto"/>
          </w:tcPr>
          <w:p w14:paraId="6371C005"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1DE05D8E" w14:textId="77777777" w:rsidR="00163B00" w:rsidRPr="00163B00" w:rsidRDefault="00163B00" w:rsidP="00163B00">
            <w:pPr>
              <w:suppressAutoHyphens w:val="0"/>
              <w:autoSpaceDN/>
              <w:spacing w:before="0" w:after="160" w:line="259" w:lineRule="auto"/>
              <w:ind w:firstLine="0"/>
              <w:jc w:val="left"/>
              <w:textAlignment w:val="auto"/>
              <w:rPr>
                <w:rFonts w:eastAsiaTheme="minorHAnsi"/>
                <w:color w:val="000000"/>
                <w:kern w:val="0"/>
                <w:lang w:eastAsia="en-US" w:bidi="ar-SA"/>
              </w:rPr>
            </w:pPr>
            <w:r w:rsidRPr="00163B00">
              <w:rPr>
                <w:rFonts w:eastAsia="Times New Roman"/>
                <w:kern w:val="0"/>
                <w:lang w:eastAsia="de-DE" w:bidi="ar-SA"/>
              </w:rPr>
              <w:t>Степен испуњености годишњих оперативних планова Координационог тела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4371CCFA" w14:textId="77777777" w:rsidR="00163B00" w:rsidRPr="00163B00" w:rsidRDefault="00163B00" w:rsidP="00163B00">
            <w:pPr>
              <w:suppressAutoHyphens w:val="0"/>
              <w:autoSpaceDN/>
              <w:spacing w:before="0" w:after="160" w:line="259" w:lineRule="auto"/>
              <w:ind w:firstLine="0"/>
              <w:jc w:val="center"/>
              <w:textAlignment w:val="auto"/>
              <w:rPr>
                <w:rFonts w:eastAsia="Times New Roman"/>
                <w:kern w:val="0"/>
                <w:lang w:eastAsia="de-DE" w:bidi="ar-SA"/>
              </w:rPr>
            </w:pPr>
            <w:r w:rsidRPr="00163B00">
              <w:rPr>
                <w:rFonts w:eastAsia="Times New Roman"/>
                <w:kern w:val="0"/>
                <w:lang w:eastAsia="de-DE" w:bidi="ar-SA"/>
              </w:rPr>
              <w:t>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7FD17C17"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eastAsia="en-US" w:bidi="ar-SA"/>
              </w:rPr>
            </w:pPr>
            <w:r w:rsidRPr="00163B00">
              <w:rPr>
                <w:rFonts w:eastAsiaTheme="minorHAnsi"/>
                <w:kern w:val="0"/>
                <w:sz w:val="22"/>
                <w:szCs w:val="22"/>
                <w:lang w:val="en-US" w:eastAsia="en-US" w:bidi="ar-SA"/>
              </w:rPr>
              <w:t xml:space="preserve">(2021): </w:t>
            </w:r>
            <w:r w:rsidRPr="00163B00">
              <w:rPr>
                <w:rFonts w:eastAsiaTheme="minorHAnsi"/>
                <w:kern w:val="0"/>
                <w:sz w:val="22"/>
                <w:szCs w:val="22"/>
                <w:lang w:eastAsia="en-US" w:bidi="ar-SA"/>
              </w:rPr>
              <w:t>80%</w:t>
            </w:r>
          </w:p>
          <w:p w14:paraId="2292866D"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 xml:space="preserve">(2022): </w:t>
            </w:r>
            <w:r w:rsidRPr="00163B00">
              <w:rPr>
                <w:rFonts w:eastAsiaTheme="minorHAnsi"/>
                <w:kern w:val="0"/>
                <w:sz w:val="22"/>
                <w:szCs w:val="22"/>
                <w:lang w:eastAsia="en-US" w:bidi="ar-SA"/>
              </w:rPr>
              <w:t>80%</w:t>
            </w:r>
          </w:p>
          <w:p w14:paraId="6A3BD80A"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 xml:space="preserve">(2023): </w:t>
            </w:r>
            <w:r w:rsidRPr="00163B00">
              <w:rPr>
                <w:rFonts w:eastAsiaTheme="minorHAnsi"/>
                <w:kern w:val="0"/>
                <w:sz w:val="22"/>
                <w:szCs w:val="22"/>
                <w:lang w:eastAsia="en-US" w:bidi="ar-SA"/>
              </w:rPr>
              <w:t>80%</w:t>
            </w:r>
          </w:p>
          <w:p w14:paraId="14DBECAC"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 xml:space="preserve">(2024): </w:t>
            </w:r>
            <w:r w:rsidRPr="00163B00">
              <w:rPr>
                <w:rFonts w:eastAsiaTheme="minorHAnsi"/>
                <w:kern w:val="0"/>
                <w:sz w:val="22"/>
                <w:szCs w:val="22"/>
                <w:lang w:eastAsia="en-US" w:bidi="ar-SA"/>
              </w:rPr>
              <w:t>80%</w:t>
            </w:r>
          </w:p>
          <w:p w14:paraId="541351AF"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 xml:space="preserve">(2025): </w:t>
            </w:r>
            <w:r w:rsidRPr="00163B00">
              <w:rPr>
                <w:rFonts w:eastAsiaTheme="minorHAnsi"/>
                <w:kern w:val="0"/>
                <w:sz w:val="22"/>
                <w:szCs w:val="22"/>
                <w:lang w:eastAsia="en-US" w:bidi="ar-SA"/>
              </w:rPr>
              <w:t>80%</w:t>
            </w:r>
          </w:p>
          <w:p w14:paraId="04318031"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 xml:space="preserve">(2027): </w:t>
            </w:r>
            <w:r w:rsidRPr="00163B00">
              <w:rPr>
                <w:rFonts w:eastAsiaTheme="minorHAnsi"/>
                <w:kern w:val="0"/>
                <w:sz w:val="22"/>
                <w:szCs w:val="22"/>
                <w:lang w:eastAsia="en-US" w:bidi="ar-SA"/>
              </w:rPr>
              <w:t>80%</w:t>
            </w:r>
          </w:p>
          <w:p w14:paraId="7A0F9490"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eastAsia="en-US" w:bidi="ar-SA"/>
              </w:rPr>
            </w:pPr>
            <w:r w:rsidRPr="00163B00">
              <w:rPr>
                <w:rFonts w:eastAsiaTheme="minorHAnsi"/>
                <w:kern w:val="0"/>
                <w:sz w:val="22"/>
                <w:szCs w:val="22"/>
                <w:lang w:val="en-US" w:eastAsia="en-US" w:bidi="ar-SA"/>
              </w:rPr>
              <w:t xml:space="preserve">(2030): </w:t>
            </w:r>
            <w:r w:rsidRPr="00163B00">
              <w:rPr>
                <w:rFonts w:eastAsiaTheme="minorHAnsi"/>
                <w:kern w:val="0"/>
                <w:sz w:val="22"/>
                <w:szCs w:val="22"/>
                <w:lang w:eastAsia="en-US" w:bidi="ar-SA"/>
              </w:rPr>
              <w:t>80%</w:t>
            </w:r>
          </w:p>
        </w:tc>
        <w:tc>
          <w:tcPr>
            <w:tcW w:w="185" w:type="pct"/>
            <w:tcBorders>
              <w:right w:val="single" w:sz="18" w:space="0" w:color="C00000"/>
            </w:tcBorders>
            <w:shd w:val="clear" w:color="auto" w:fill="auto"/>
          </w:tcPr>
          <w:p w14:paraId="42C3646E"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r>
      <w:tr w:rsidR="00163B00" w:rsidRPr="00163B00" w14:paraId="172D1352" w14:textId="77777777" w:rsidTr="00DA6BE3">
        <w:trPr>
          <w:trHeight w:val="340"/>
        </w:trPr>
        <w:tc>
          <w:tcPr>
            <w:tcW w:w="190" w:type="pct"/>
            <w:tcBorders>
              <w:left w:val="single" w:sz="18" w:space="0" w:color="C00000"/>
              <w:bottom w:val="single" w:sz="18" w:space="0" w:color="C00000"/>
            </w:tcBorders>
            <w:shd w:val="clear" w:color="auto" w:fill="auto"/>
          </w:tcPr>
          <w:p w14:paraId="15CC04E0"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c>
          <w:tcPr>
            <w:tcW w:w="2557" w:type="pct"/>
            <w:tcBorders>
              <w:top w:val="single" w:sz="18" w:space="0" w:color="D9D9D9" w:themeColor="background1" w:themeShade="D9"/>
              <w:bottom w:val="single" w:sz="18" w:space="0" w:color="C00000"/>
            </w:tcBorders>
            <w:shd w:val="clear" w:color="auto" w:fill="auto"/>
          </w:tcPr>
          <w:p w14:paraId="4EE3BA33"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c>
          <w:tcPr>
            <w:tcW w:w="1034" w:type="pct"/>
            <w:tcBorders>
              <w:top w:val="single" w:sz="18" w:space="0" w:color="D9D9D9" w:themeColor="background1" w:themeShade="D9"/>
              <w:bottom w:val="single" w:sz="18" w:space="0" w:color="C00000"/>
            </w:tcBorders>
            <w:shd w:val="clear" w:color="auto" w:fill="auto"/>
          </w:tcPr>
          <w:p w14:paraId="116B128B"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c>
          <w:tcPr>
            <w:tcW w:w="1034" w:type="pct"/>
            <w:tcBorders>
              <w:top w:val="single" w:sz="18" w:space="0" w:color="D9D9D9" w:themeColor="background1" w:themeShade="D9"/>
              <w:bottom w:val="single" w:sz="18" w:space="0" w:color="C00000"/>
            </w:tcBorders>
            <w:shd w:val="clear" w:color="auto" w:fill="auto"/>
          </w:tcPr>
          <w:p w14:paraId="53B31412"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c>
          <w:tcPr>
            <w:tcW w:w="185" w:type="pct"/>
            <w:tcBorders>
              <w:bottom w:val="single" w:sz="18" w:space="0" w:color="C00000"/>
              <w:right w:val="single" w:sz="18" w:space="0" w:color="C00000"/>
            </w:tcBorders>
            <w:shd w:val="clear" w:color="auto" w:fill="auto"/>
          </w:tcPr>
          <w:p w14:paraId="1815CB83"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r>
    </w:tbl>
    <w:p w14:paraId="374AE324"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p>
    <w:p w14:paraId="4EF8B850"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Ова мера има за циљ да унапреди координацију комуникационих активности које спроводе различити актери који учествују у процесу реформе јавне управе. Она подразумева успостављање координационог механизма који у зависности од организационих могућности јавне управе може имати једну од следећих форми:</w:t>
      </w:r>
    </w:p>
    <w:p w14:paraId="36C3C5E8" w14:textId="77777777" w:rsidR="00163B00" w:rsidRPr="00163B00" w:rsidRDefault="00163B00" w:rsidP="00E62A1A">
      <w:pPr>
        <w:numPr>
          <w:ilvl w:val="0"/>
          <w:numId w:val="62"/>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Координационог тела за комуницирање реформе јавне управе</w:t>
      </w:r>
    </w:p>
    <w:p w14:paraId="0F8C1DE4" w14:textId="77777777" w:rsidR="00163B00" w:rsidRPr="00163B00" w:rsidRDefault="00163B00" w:rsidP="00E62A1A">
      <w:pPr>
        <w:numPr>
          <w:ilvl w:val="0"/>
          <w:numId w:val="62"/>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Мрежа руководилаца јединица за односе са јавношћу у органима јавне управе</w:t>
      </w:r>
    </w:p>
    <w:p w14:paraId="0D6367AF" w14:textId="77777777" w:rsidR="00163B00" w:rsidRPr="00163B00" w:rsidRDefault="00163B00" w:rsidP="00E62A1A">
      <w:pPr>
        <w:numPr>
          <w:ilvl w:val="0"/>
          <w:numId w:val="62"/>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Радна група за комуницирање реформе јавне управе у оквиру Савета за реформу јавне управе (или неког другог тела у систему координације и управљања Стратегије РЈУ 2021 – 2030.)</w:t>
      </w:r>
    </w:p>
    <w:p w14:paraId="398D4C5D"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Чланови овог механизма у било којој од поменутих форми организовања су службеници за односе са јавношћу (најбоље би било да то буду руководиоци служби за односе са јавношћу или служби за односе са медијима, протокол и слично тамо где оне постоје или службеници задужени за послове односа са јавношћу тамо где оне не постоје) институција које имају представнике у Савету за реформу јавне управе уз додатак руководилаца јединица за односе са јавношћу Националне академије за јавну управу, Канцеларије за информационе технологије и електронску управу и представника јединица локалне самоуправе (представник Мреже градских у општинских ПР-ова у оквиру Сталне конференције градова и општина). Радом овог механизма руководи представник Министарства за државну управу и локалну самоуправу. Састаје се на свака три месеца, а по потреби и чешће. Његова улога је да координира припрему и спровођење годишњих комуникационих планова РЈУ  у складу са Акционим планом Стратегије реформе јавне управе, стандардизује приступ комуницирању РЈУ како би сви учесници у том процесу на исти начин и координирано комуницирали процес реформе и његове резултате, припрема кварталне мониторинг извештаје о спровођењу годишњих оперативних планова у циљу унапређења текућих и планираних активности, организује спровођење годишњег истраживања јавног мњења о информисаности јавности о процесу и резултатима РЈУ и припрема годишњи извештај о спровођењу оперативних планова за комуникацију процеса и резултата РЈУ.</w:t>
      </w:r>
    </w:p>
    <w:p w14:paraId="7CB75091"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Координатор овог тела би требало да буде укључен у рад координационих структура за спровођење реформе јавне управе.</w:t>
      </w:r>
    </w:p>
    <w:p w14:paraId="1F9AC124"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Годишњи оперативни план за комуницирање РЈУ је изузетно важан плански документ којим се обезбеђује боља координација комуницирања РЈУ и сарадња различитих институција ЈУ. Он садржи план активности, како за екстерно, тако и интерно комуницирање РЈУ за ту годину.  Њега сваке године креира координациони механизам за комуницирање РЈУ на бази активности предвиђених Акционим планом Стратегије РЈУ 2021 – 2030. за предметну годину, а узимајући у обзир и резултате годишњег истраживања јавног мњења, који могу да буду од помоћи у одређивању приоритета и начина комуницирања. Како је предвиђено да се током године квартално раде и мониторинг извештаји о спровођењу ових планова, координациони механизам за комуницирање РЈУ ће имати могућност да неке од предвиђених активности коригује, додаје или избацује из плана како би комуникационе активности биле у складу са актуелном ситуацијом. Тиме се обезбеђује неопходна флексибилност комуницирања РЈУ у ситуацијама потенцијалних измењених околности у којима се РЈУ спроводи. </w:t>
      </w:r>
    </w:p>
    <w:p w14:paraId="0EF03C4D"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r w:rsidRPr="00163B00">
        <w:rPr>
          <w:rFonts w:eastAsiaTheme="minorHAnsi"/>
          <w:b/>
          <w:bCs/>
          <w:kern w:val="0"/>
          <w:lang w:eastAsia="en-US" w:bidi="ar-SA"/>
        </w:rPr>
        <w:t>Meра 4: Усклађивање, стандардизација и континуирано комуницирање РЈУ у јавној управи</w:t>
      </w:r>
    </w:p>
    <w:tbl>
      <w:tblPr>
        <w:tblW w:w="5000" w:type="pct"/>
        <w:tblLook w:val="00A0" w:firstRow="1" w:lastRow="0" w:firstColumn="1" w:lastColumn="0" w:noHBand="0" w:noVBand="0"/>
      </w:tblPr>
      <w:tblGrid>
        <w:gridCol w:w="343"/>
        <w:gridCol w:w="4615"/>
        <w:gridCol w:w="1866"/>
        <w:gridCol w:w="1866"/>
        <w:gridCol w:w="334"/>
      </w:tblGrid>
      <w:tr w:rsidR="00163B00" w:rsidRPr="00163B00" w14:paraId="0CDD3104" w14:textId="77777777" w:rsidTr="00DA6BE3">
        <w:trPr>
          <w:trHeight w:val="20"/>
        </w:trPr>
        <w:tc>
          <w:tcPr>
            <w:tcW w:w="190" w:type="pct"/>
            <w:tcBorders>
              <w:top w:val="single" w:sz="18" w:space="0" w:color="C00000"/>
              <w:left w:val="single" w:sz="18" w:space="0" w:color="C00000"/>
            </w:tcBorders>
            <w:shd w:val="clear" w:color="auto" w:fill="auto"/>
          </w:tcPr>
          <w:p w14:paraId="31460E9F"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sz w:val="16"/>
                <w:szCs w:val="16"/>
                <w:lang w:eastAsia="en-US" w:bidi="ar-SA"/>
              </w:rPr>
            </w:pPr>
          </w:p>
        </w:tc>
        <w:tc>
          <w:tcPr>
            <w:tcW w:w="2557" w:type="pct"/>
            <w:tcBorders>
              <w:top w:val="single" w:sz="18" w:space="0" w:color="C00000"/>
            </w:tcBorders>
            <w:shd w:val="clear" w:color="auto" w:fill="auto"/>
          </w:tcPr>
          <w:p w14:paraId="67ABA986"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sz w:val="16"/>
                <w:szCs w:val="16"/>
                <w:lang w:eastAsia="en-US" w:bidi="ar-SA"/>
              </w:rPr>
            </w:pPr>
          </w:p>
        </w:tc>
        <w:tc>
          <w:tcPr>
            <w:tcW w:w="1034" w:type="pct"/>
            <w:tcBorders>
              <w:top w:val="single" w:sz="18" w:space="0" w:color="C00000"/>
            </w:tcBorders>
            <w:shd w:val="clear" w:color="auto" w:fill="auto"/>
            <w:vAlign w:val="center"/>
          </w:tcPr>
          <w:p w14:paraId="3F93699F"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16"/>
                <w:szCs w:val="16"/>
                <w:lang w:eastAsia="en-US" w:bidi="ar-SA"/>
              </w:rPr>
            </w:pPr>
          </w:p>
        </w:tc>
        <w:tc>
          <w:tcPr>
            <w:tcW w:w="1034" w:type="pct"/>
            <w:tcBorders>
              <w:top w:val="single" w:sz="18" w:space="0" w:color="C00000"/>
            </w:tcBorders>
            <w:shd w:val="clear" w:color="auto" w:fill="auto"/>
            <w:vAlign w:val="center"/>
          </w:tcPr>
          <w:p w14:paraId="1547E0D7"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16"/>
                <w:szCs w:val="16"/>
                <w:lang w:eastAsia="en-US" w:bidi="ar-SA"/>
              </w:rPr>
            </w:pPr>
          </w:p>
        </w:tc>
        <w:tc>
          <w:tcPr>
            <w:tcW w:w="185" w:type="pct"/>
            <w:tcBorders>
              <w:top w:val="single" w:sz="18" w:space="0" w:color="C00000"/>
              <w:right w:val="single" w:sz="18" w:space="0" w:color="C00000"/>
            </w:tcBorders>
            <w:shd w:val="clear" w:color="auto" w:fill="auto"/>
          </w:tcPr>
          <w:p w14:paraId="0189570D"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16"/>
                <w:szCs w:val="16"/>
                <w:lang w:eastAsia="en-US" w:bidi="ar-SA"/>
              </w:rPr>
            </w:pPr>
          </w:p>
        </w:tc>
      </w:tr>
      <w:tr w:rsidR="00163B00" w:rsidRPr="00163B00" w14:paraId="1EB2A310" w14:textId="77777777" w:rsidTr="00DA6BE3">
        <w:trPr>
          <w:trHeight w:val="490"/>
        </w:trPr>
        <w:tc>
          <w:tcPr>
            <w:tcW w:w="190" w:type="pct"/>
            <w:tcBorders>
              <w:left w:val="single" w:sz="18" w:space="0" w:color="C00000"/>
            </w:tcBorders>
            <w:shd w:val="clear" w:color="auto" w:fill="auto"/>
          </w:tcPr>
          <w:p w14:paraId="1CAE2F23"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sz w:val="22"/>
                <w:szCs w:val="22"/>
                <w:lang w:eastAsia="en-US" w:bidi="ar-SA"/>
              </w:rPr>
            </w:pPr>
          </w:p>
        </w:tc>
        <w:tc>
          <w:tcPr>
            <w:tcW w:w="2557" w:type="pct"/>
            <w:tcBorders>
              <w:left w:val="nil"/>
              <w:bottom w:val="single" w:sz="18" w:space="0" w:color="C00000"/>
              <w:right w:val="single" w:sz="18" w:space="0" w:color="D9D9D9" w:themeColor="background1" w:themeShade="D9"/>
            </w:tcBorders>
            <w:shd w:val="clear" w:color="auto" w:fill="auto"/>
          </w:tcPr>
          <w:p w14:paraId="61531809"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sz w:val="22"/>
                <w:szCs w:val="22"/>
                <w:lang w:val="en-US" w:eastAsia="en-US" w:bidi="ar-SA"/>
              </w:rPr>
            </w:pPr>
            <w:r w:rsidRPr="00163B00">
              <w:rPr>
                <w:rFonts w:eastAsiaTheme="minorHAnsi"/>
                <w:b/>
                <w:bCs/>
                <w:kern w:val="0"/>
                <w:sz w:val="22"/>
                <w:szCs w:val="22"/>
                <w:lang w:val="en-US" w:eastAsia="en-US" w:bidi="ar-SA"/>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4BCDE9F2"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22"/>
                <w:szCs w:val="22"/>
                <w:lang w:val="en-US" w:eastAsia="en-US" w:bidi="ar-SA"/>
              </w:rPr>
            </w:pPr>
            <w:r w:rsidRPr="00163B00">
              <w:rPr>
                <w:rFonts w:eastAsiaTheme="minorHAnsi"/>
                <w:b/>
                <w:bCs/>
                <w:kern w:val="0"/>
                <w:sz w:val="22"/>
                <w:szCs w:val="22"/>
                <w:lang w:val="en-US" w:eastAsia="en-US" w:bidi="ar-SA"/>
              </w:rPr>
              <w:t>ПВ</w:t>
            </w:r>
          </w:p>
        </w:tc>
        <w:tc>
          <w:tcPr>
            <w:tcW w:w="1034" w:type="pct"/>
            <w:tcBorders>
              <w:left w:val="single" w:sz="18" w:space="0" w:color="D9D9D9" w:themeColor="background1" w:themeShade="D9"/>
              <w:bottom w:val="single" w:sz="18" w:space="0" w:color="C00000"/>
            </w:tcBorders>
            <w:shd w:val="clear" w:color="auto" w:fill="auto"/>
            <w:vAlign w:val="center"/>
          </w:tcPr>
          <w:p w14:paraId="3594D4D0"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22"/>
                <w:szCs w:val="22"/>
                <w:lang w:val="en-US" w:eastAsia="en-US" w:bidi="ar-SA"/>
              </w:rPr>
            </w:pPr>
            <w:r w:rsidRPr="00163B00">
              <w:rPr>
                <w:rFonts w:eastAsiaTheme="minorHAnsi"/>
                <w:b/>
                <w:bCs/>
                <w:kern w:val="0"/>
                <w:sz w:val="22"/>
                <w:szCs w:val="22"/>
                <w:lang w:val="en-US" w:eastAsia="en-US" w:bidi="ar-SA"/>
              </w:rPr>
              <w:t>ЦВ</w:t>
            </w:r>
          </w:p>
        </w:tc>
        <w:tc>
          <w:tcPr>
            <w:tcW w:w="185" w:type="pct"/>
            <w:tcBorders>
              <w:right w:val="single" w:sz="18" w:space="0" w:color="C00000"/>
            </w:tcBorders>
            <w:shd w:val="clear" w:color="auto" w:fill="auto"/>
          </w:tcPr>
          <w:p w14:paraId="29B4F89F"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22"/>
                <w:szCs w:val="22"/>
                <w:lang w:val="en-US" w:eastAsia="en-US" w:bidi="ar-SA"/>
              </w:rPr>
            </w:pPr>
          </w:p>
        </w:tc>
      </w:tr>
      <w:tr w:rsidR="00163B00" w:rsidRPr="00163B00" w14:paraId="55362096" w14:textId="77777777" w:rsidTr="00DA6BE3">
        <w:trPr>
          <w:trHeight w:val="437"/>
        </w:trPr>
        <w:tc>
          <w:tcPr>
            <w:tcW w:w="190" w:type="pct"/>
            <w:tcBorders>
              <w:left w:val="single" w:sz="18" w:space="0" w:color="C00000"/>
            </w:tcBorders>
            <w:shd w:val="clear" w:color="auto" w:fill="auto"/>
          </w:tcPr>
          <w:p w14:paraId="4626523C"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472DB531"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r w:rsidRPr="00163B00">
              <w:rPr>
                <w:rFonts w:eastAsia="Times New Roman"/>
                <w:kern w:val="0"/>
                <w:lang w:eastAsia="de-DE" w:bidi="ar-SA"/>
              </w:rPr>
              <w:t>Удео ОДУ и ЈЛС  које на Огласној табли објављују информације о РЈУ на стандардизован начин</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3F8CFA22" w14:textId="77777777" w:rsidR="00163B00" w:rsidRPr="00163B00" w:rsidRDefault="00163B00" w:rsidP="00163B00">
            <w:pPr>
              <w:suppressAutoHyphens w:val="0"/>
              <w:autoSpaceDN/>
              <w:spacing w:before="0" w:after="160" w:line="259" w:lineRule="auto"/>
              <w:ind w:firstLine="0"/>
              <w:jc w:val="center"/>
              <w:textAlignment w:val="auto"/>
              <w:rPr>
                <w:rFonts w:eastAsiaTheme="minorHAnsi"/>
                <w:kern w:val="0"/>
                <w:lang w:eastAsia="en-US" w:bidi="ar-SA"/>
              </w:rPr>
            </w:pPr>
            <w:r w:rsidRPr="00163B00">
              <w:rPr>
                <w:rFonts w:eastAsiaTheme="minorHAnsi"/>
                <w:kern w:val="0"/>
                <w:lang w:eastAsia="en-US" w:bidi="ar-SA"/>
              </w:rPr>
              <w:t>25%</w:t>
            </w:r>
          </w:p>
          <w:p w14:paraId="1E64C252" w14:textId="77777777" w:rsidR="00163B00" w:rsidRPr="00163B00" w:rsidRDefault="00163B00" w:rsidP="00163B00">
            <w:pPr>
              <w:suppressAutoHyphens w:val="0"/>
              <w:autoSpaceDN/>
              <w:spacing w:before="0" w:after="160" w:line="259" w:lineRule="auto"/>
              <w:ind w:firstLine="0"/>
              <w:jc w:val="center"/>
              <w:textAlignment w:val="auto"/>
              <w:rPr>
                <w:rFonts w:eastAsiaTheme="minorHAnsi"/>
                <w:kern w:val="0"/>
                <w:sz w:val="22"/>
                <w:szCs w:val="22"/>
                <w:lang w:val="en-US" w:eastAsia="en-US" w:bidi="ar-SA"/>
              </w:rPr>
            </w:pP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1A7F80B5"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(2021): 50%</w:t>
            </w:r>
          </w:p>
          <w:p w14:paraId="28796D15"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(2022): 75%</w:t>
            </w:r>
          </w:p>
          <w:p w14:paraId="555A837D"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(2023): 10</w:t>
            </w:r>
            <w:r w:rsidRPr="00163B00">
              <w:rPr>
                <w:rFonts w:eastAsiaTheme="minorHAnsi"/>
                <w:kern w:val="0"/>
                <w:sz w:val="22"/>
                <w:szCs w:val="22"/>
                <w:lang w:eastAsia="en-US" w:bidi="ar-SA"/>
              </w:rPr>
              <w:t>0</w:t>
            </w:r>
            <w:r w:rsidRPr="00163B00">
              <w:rPr>
                <w:rFonts w:eastAsiaTheme="minorHAnsi"/>
                <w:kern w:val="0"/>
                <w:sz w:val="22"/>
                <w:szCs w:val="22"/>
                <w:lang w:val="en-US" w:eastAsia="en-US" w:bidi="ar-SA"/>
              </w:rPr>
              <w:t>%</w:t>
            </w:r>
          </w:p>
          <w:p w14:paraId="0C73297B"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(2024): 10%</w:t>
            </w:r>
          </w:p>
          <w:p w14:paraId="390B09B5"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(2025): 10</w:t>
            </w:r>
            <w:r w:rsidRPr="00163B00">
              <w:rPr>
                <w:rFonts w:eastAsiaTheme="minorHAnsi"/>
                <w:kern w:val="0"/>
                <w:sz w:val="22"/>
                <w:szCs w:val="22"/>
                <w:lang w:eastAsia="en-US" w:bidi="ar-SA"/>
              </w:rPr>
              <w:t>0</w:t>
            </w:r>
            <w:r w:rsidRPr="00163B00">
              <w:rPr>
                <w:rFonts w:eastAsiaTheme="minorHAnsi"/>
                <w:kern w:val="0"/>
                <w:sz w:val="22"/>
                <w:szCs w:val="22"/>
                <w:lang w:val="en-US" w:eastAsia="en-US" w:bidi="ar-SA"/>
              </w:rPr>
              <w:t>%</w:t>
            </w:r>
          </w:p>
          <w:p w14:paraId="77803D2B"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(2027): 10</w:t>
            </w:r>
            <w:r w:rsidRPr="00163B00">
              <w:rPr>
                <w:rFonts w:eastAsiaTheme="minorHAnsi"/>
                <w:kern w:val="0"/>
                <w:sz w:val="22"/>
                <w:szCs w:val="22"/>
                <w:lang w:eastAsia="en-US" w:bidi="ar-SA"/>
              </w:rPr>
              <w:t>0</w:t>
            </w:r>
            <w:r w:rsidRPr="00163B00">
              <w:rPr>
                <w:rFonts w:eastAsiaTheme="minorHAnsi"/>
                <w:kern w:val="0"/>
                <w:sz w:val="22"/>
                <w:szCs w:val="22"/>
                <w:lang w:val="en-US" w:eastAsia="en-US" w:bidi="ar-SA"/>
              </w:rPr>
              <w:t>%</w:t>
            </w:r>
          </w:p>
          <w:p w14:paraId="0DB7815A"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(2030): 10</w:t>
            </w:r>
            <w:r w:rsidRPr="00163B00">
              <w:rPr>
                <w:rFonts w:eastAsiaTheme="minorHAnsi"/>
                <w:kern w:val="0"/>
                <w:sz w:val="22"/>
                <w:szCs w:val="22"/>
                <w:lang w:eastAsia="en-US" w:bidi="ar-SA"/>
              </w:rPr>
              <w:t>0</w:t>
            </w:r>
            <w:r w:rsidRPr="00163B00">
              <w:rPr>
                <w:rFonts w:eastAsiaTheme="minorHAnsi"/>
                <w:kern w:val="0"/>
                <w:sz w:val="22"/>
                <w:szCs w:val="22"/>
                <w:lang w:val="en-US" w:eastAsia="en-US" w:bidi="ar-SA"/>
              </w:rPr>
              <w:t>%</w:t>
            </w:r>
          </w:p>
        </w:tc>
        <w:tc>
          <w:tcPr>
            <w:tcW w:w="185" w:type="pct"/>
            <w:tcBorders>
              <w:right w:val="single" w:sz="18" w:space="0" w:color="C00000"/>
            </w:tcBorders>
            <w:shd w:val="clear" w:color="auto" w:fill="auto"/>
          </w:tcPr>
          <w:p w14:paraId="53EA0E5E"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r>
      <w:tr w:rsidR="00163B00" w:rsidRPr="00163B00" w14:paraId="1BA13E17" w14:textId="77777777" w:rsidTr="00DA6BE3">
        <w:trPr>
          <w:trHeight w:val="437"/>
        </w:trPr>
        <w:tc>
          <w:tcPr>
            <w:tcW w:w="190" w:type="pct"/>
            <w:tcBorders>
              <w:left w:val="single" w:sz="18" w:space="0" w:color="C00000"/>
            </w:tcBorders>
            <w:shd w:val="clear" w:color="auto" w:fill="auto"/>
          </w:tcPr>
          <w:p w14:paraId="188CFEAD"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7412E0B3" w14:textId="77777777" w:rsidR="00163B00" w:rsidRPr="00163B00" w:rsidRDefault="00163B00" w:rsidP="00163B00">
            <w:pPr>
              <w:suppressAutoHyphens w:val="0"/>
              <w:autoSpaceDN/>
              <w:spacing w:before="0" w:after="160" w:line="259" w:lineRule="auto"/>
              <w:ind w:firstLine="0"/>
              <w:jc w:val="left"/>
              <w:textAlignment w:val="auto"/>
              <w:rPr>
                <w:rFonts w:eastAsiaTheme="minorHAnsi"/>
                <w:color w:val="000000"/>
                <w:kern w:val="0"/>
                <w:lang w:eastAsia="en-US" w:bidi="ar-SA"/>
              </w:rPr>
            </w:pPr>
            <w:r w:rsidRPr="00163B00">
              <w:rPr>
                <w:rFonts w:eastAsia="Times New Roman"/>
                <w:kern w:val="0"/>
                <w:lang w:eastAsia="de-DE" w:bidi="ar-SA"/>
              </w:rPr>
              <w:t>Укупан број обучених службеника за односе са јавношћу, и УЉР из ОДУ и ЈЛС</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13433987" w14:textId="77777777" w:rsidR="00163B00" w:rsidRPr="00163B00" w:rsidRDefault="00163B00" w:rsidP="00163B00">
            <w:pPr>
              <w:suppressAutoHyphens w:val="0"/>
              <w:autoSpaceDN/>
              <w:spacing w:before="0" w:after="160" w:line="259" w:lineRule="auto"/>
              <w:ind w:firstLine="0"/>
              <w:jc w:val="center"/>
              <w:textAlignment w:val="auto"/>
              <w:rPr>
                <w:rFonts w:eastAsia="Times New Roman"/>
                <w:kern w:val="0"/>
                <w:lang w:eastAsia="de-DE" w:bidi="ar-SA"/>
              </w:rPr>
            </w:pPr>
            <w:r w:rsidRPr="00163B00">
              <w:rPr>
                <w:rFonts w:eastAsia="Times New Roman"/>
                <w:kern w:val="0"/>
                <w:lang w:eastAsia="de-DE" w:bidi="ar-SA"/>
              </w:rPr>
              <w:t>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1502A552"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(2021): 200</w:t>
            </w:r>
          </w:p>
          <w:p w14:paraId="218CF3E3"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(2022): 400</w:t>
            </w:r>
          </w:p>
          <w:p w14:paraId="37750EAD"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(2023): 450</w:t>
            </w:r>
          </w:p>
          <w:p w14:paraId="20C0DA11"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(2024): 500</w:t>
            </w:r>
          </w:p>
          <w:p w14:paraId="217A8223"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(2025): 550</w:t>
            </w:r>
          </w:p>
          <w:p w14:paraId="73DF48E3"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(2027): 600</w:t>
            </w:r>
          </w:p>
          <w:p w14:paraId="57FC13F1"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eastAsia="en-US" w:bidi="ar-SA"/>
              </w:rPr>
            </w:pPr>
            <w:r w:rsidRPr="00163B00">
              <w:rPr>
                <w:rFonts w:eastAsiaTheme="minorHAnsi"/>
                <w:kern w:val="0"/>
                <w:sz w:val="22"/>
                <w:szCs w:val="22"/>
                <w:lang w:val="en-US" w:eastAsia="en-US" w:bidi="ar-SA"/>
              </w:rPr>
              <w:t xml:space="preserve">(2030): </w:t>
            </w:r>
            <w:r w:rsidRPr="00163B00">
              <w:rPr>
                <w:rFonts w:eastAsiaTheme="minorHAnsi"/>
                <w:kern w:val="0"/>
                <w:sz w:val="22"/>
                <w:szCs w:val="22"/>
                <w:lang w:eastAsia="en-US" w:bidi="ar-SA"/>
              </w:rPr>
              <w:t>650</w:t>
            </w:r>
          </w:p>
        </w:tc>
        <w:tc>
          <w:tcPr>
            <w:tcW w:w="185" w:type="pct"/>
            <w:tcBorders>
              <w:right w:val="single" w:sz="18" w:space="0" w:color="C00000"/>
            </w:tcBorders>
            <w:shd w:val="clear" w:color="auto" w:fill="auto"/>
          </w:tcPr>
          <w:p w14:paraId="7C95D88B"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r>
      <w:tr w:rsidR="00163B00" w:rsidRPr="00163B00" w14:paraId="2915979C" w14:textId="77777777" w:rsidTr="00DA6BE3">
        <w:trPr>
          <w:trHeight w:val="340"/>
        </w:trPr>
        <w:tc>
          <w:tcPr>
            <w:tcW w:w="190" w:type="pct"/>
            <w:tcBorders>
              <w:left w:val="single" w:sz="18" w:space="0" w:color="C00000"/>
              <w:bottom w:val="single" w:sz="18" w:space="0" w:color="C00000"/>
            </w:tcBorders>
            <w:shd w:val="clear" w:color="auto" w:fill="auto"/>
          </w:tcPr>
          <w:p w14:paraId="13D7B9EC"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c>
          <w:tcPr>
            <w:tcW w:w="2557" w:type="pct"/>
            <w:tcBorders>
              <w:top w:val="single" w:sz="18" w:space="0" w:color="D9D9D9" w:themeColor="background1" w:themeShade="D9"/>
              <w:bottom w:val="single" w:sz="18" w:space="0" w:color="C00000"/>
            </w:tcBorders>
            <w:shd w:val="clear" w:color="auto" w:fill="auto"/>
          </w:tcPr>
          <w:p w14:paraId="560443BD"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c>
          <w:tcPr>
            <w:tcW w:w="1034" w:type="pct"/>
            <w:tcBorders>
              <w:top w:val="single" w:sz="18" w:space="0" w:color="D9D9D9" w:themeColor="background1" w:themeShade="D9"/>
              <w:bottom w:val="single" w:sz="18" w:space="0" w:color="C00000"/>
            </w:tcBorders>
            <w:shd w:val="clear" w:color="auto" w:fill="auto"/>
          </w:tcPr>
          <w:p w14:paraId="7CA77B8E"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c>
          <w:tcPr>
            <w:tcW w:w="1034" w:type="pct"/>
            <w:tcBorders>
              <w:top w:val="single" w:sz="18" w:space="0" w:color="D9D9D9" w:themeColor="background1" w:themeShade="D9"/>
              <w:bottom w:val="single" w:sz="18" w:space="0" w:color="C00000"/>
            </w:tcBorders>
            <w:shd w:val="clear" w:color="auto" w:fill="auto"/>
          </w:tcPr>
          <w:p w14:paraId="403BE4E1"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c>
          <w:tcPr>
            <w:tcW w:w="185" w:type="pct"/>
            <w:tcBorders>
              <w:bottom w:val="single" w:sz="18" w:space="0" w:color="C00000"/>
              <w:right w:val="single" w:sz="18" w:space="0" w:color="C00000"/>
            </w:tcBorders>
            <w:shd w:val="clear" w:color="auto" w:fill="auto"/>
          </w:tcPr>
          <w:p w14:paraId="54C873F6"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r>
    </w:tbl>
    <w:p w14:paraId="3C65FD16"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p>
    <w:p w14:paraId="2FAAFE6C"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Ова мера је фокусирана на побољшање интерне комуникације између и унутар органа јавне управе како би се унапредила информисаност запослених у јавној управи о процесу и резултатима реформе јавне управе. Ово је важно како би процес РЈУ довео и до промене свести запослених када је у питању улога јавне управе и њено окретање ка ефикасном и квалитетном сервису за грађане и привреду. Она обухвата ове главне групе активности:</w:t>
      </w:r>
    </w:p>
    <w:p w14:paraId="4DEF4F5F" w14:textId="77777777" w:rsidR="00163B00" w:rsidRPr="00163B00" w:rsidRDefault="00163B00" w:rsidP="00E62A1A">
      <w:pPr>
        <w:numPr>
          <w:ilvl w:val="0"/>
          <w:numId w:val="59"/>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 xml:space="preserve">Стручно оспособљавање службеника запослених у одељењима за односе са јавношћу и одељењима за управљање људским ресурсима да ефикасно спроводе  активности у оквиру интерне и међуресорне комуникације процеса и резултата реформе јавне управе кроз обуке о значају, начину, каналима и алатима интерне и међуресорне комуникације РЈУ.  </w:t>
      </w:r>
    </w:p>
    <w:p w14:paraId="70C4DD0E" w14:textId="77777777" w:rsidR="00163B00" w:rsidRPr="00163B00" w:rsidRDefault="00163B00" w:rsidP="00E62A1A">
      <w:pPr>
        <w:numPr>
          <w:ilvl w:val="0"/>
          <w:numId w:val="59"/>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 xml:space="preserve">Ширење употребе интернет апликације за интерну комуникацију „Огласна табла“ коју је развило Министарство државне управе и локалне самоуправе на све институције јавне управе у Србији, као и њено техничко унапређење (технички капацитети и унапређење функционалности за прихват већег броја корисника), како би се обезбедио званичан и стандардизован канал интерне и међуресорне комуникације доступан свим запосленима у јавној управи помоћу којег је могуће адекватно комуницирати и процес и резултате реформе јавне управе. </w:t>
      </w:r>
    </w:p>
    <w:p w14:paraId="4B61515B" w14:textId="77777777" w:rsidR="00163B00" w:rsidRPr="00163B00" w:rsidRDefault="00163B00" w:rsidP="00E62A1A">
      <w:pPr>
        <w:numPr>
          <w:ilvl w:val="0"/>
          <w:numId w:val="59"/>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Употреба других алата и канала за интерно комуницирање у складу са потребама и могућностима ОДУ и ЈЛС.</w:t>
      </w:r>
    </w:p>
    <w:p w14:paraId="6F7ADFDB" w14:textId="77777777" w:rsidR="00163B00" w:rsidRPr="00163B00" w:rsidRDefault="00163B00" w:rsidP="00E62A1A">
      <w:pPr>
        <w:numPr>
          <w:ilvl w:val="0"/>
          <w:numId w:val="59"/>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 xml:space="preserve">Годишње истраживање о </w:t>
      </w:r>
      <w:bookmarkStart w:id="375" w:name="_Hlk57817716"/>
      <w:r w:rsidRPr="00163B00">
        <w:rPr>
          <w:rFonts w:eastAsiaTheme="minorHAnsi"/>
          <w:kern w:val="0"/>
          <w:lang w:eastAsia="en-US" w:bidi="ar-SA"/>
        </w:rPr>
        <w:t>информисаности запослених у јавној управи о процесима и резултатима реформе јавне управе путем онлајн анкета (на порталу „Огласна табла“ и слање мејлом) и путем фокус група</w:t>
      </w:r>
      <w:bookmarkEnd w:id="375"/>
      <w:r w:rsidRPr="00163B00">
        <w:rPr>
          <w:rFonts w:eastAsiaTheme="minorHAnsi"/>
          <w:kern w:val="0"/>
          <w:lang w:eastAsia="en-US" w:bidi="ar-SA"/>
        </w:rPr>
        <w:t xml:space="preserve">, што ће обезбедити квантитативни и квалитативни преглед стања сваке године и дати основу за усклађивање даљих активности интерне и међуресорне комуникације РЈУ. </w:t>
      </w:r>
    </w:p>
    <w:p w14:paraId="57EABF8E" w14:textId="77777777" w:rsidR="00163B00" w:rsidRPr="00163B00" w:rsidRDefault="00163B00" w:rsidP="00163B00">
      <w:pPr>
        <w:suppressAutoHyphens w:val="0"/>
        <w:autoSpaceDN/>
        <w:spacing w:before="0" w:after="160" w:line="259" w:lineRule="auto"/>
        <w:ind w:firstLine="0"/>
        <w:contextualSpacing/>
        <w:textAlignment w:val="auto"/>
        <w:rPr>
          <w:rFonts w:eastAsiaTheme="minorHAnsi"/>
          <w:kern w:val="0"/>
          <w:lang w:eastAsia="en-US" w:bidi="ar-SA"/>
        </w:rPr>
      </w:pPr>
    </w:p>
    <w:p w14:paraId="63C3931C"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Када је у питању стручно оспособљавање у домену интерне комуникације, оно предвиђа заједничку едукацију службеника запослених у одељењима за односе са јавношћу и управљање људским ресурсима, јер су они главни носиоци активности у овој области и њихова међусобна сарадња је кључна за успех тих активности. Кроз предвиђен сет обука биће упознати са значајем интерне и међуресорне комуникације за ефикасније  и квалитетније спровођење РЈУ и трансформацију јавне управе у професионалан и ефикасан сервис који пружа квалитетне услуге грађанима и привреди. У складу са тим, током обука ће имати прилику да се упознају са најважнијим и најсавременијим начинима, каналима и алатима за интерну комуникацију. Биће упознати и са стандардима за комуникацију РЈУ који ће бити дефинисани у документу Стандарди комуницирања РЈУ како би и интерно комуницирање било стандардизовано и преносило адекватне поруке значајне за комуницирање процеса и резултата РЈУ. То ће омогућити да се кроз употребу различитих алата и канала комуникације обезбеди континуирано информисање запослених, али и ради на промени њихове свести о реформисаној улози ЈУ и запослених у њој.</w:t>
      </w:r>
    </w:p>
    <w:p w14:paraId="60EF81EC"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МДУЛС је у претходном периоду развио интернет апликацију „Огласна табла“ која даје бројне могућности за ефикасно и брзо информисање запослених у јавној управи о најразличитијим темама од значаја за ЈУ и уклапа се у јасно исказану намеру Владе Републике Србије да тежи ка даљој дигитализацији јавне управе. Она представља одлично решење, јер се ради о лако доступном извору информација (користи се преко рачунара или мобилног уређаја, као и било који други интернет портал за који запослени  од овлашћеног администратора у институцији ЈУ у којој ради добије своје корисничко име и лозинку). Оно омогућава постављање информација тако да их виде сви корисници, али  даје могућност и постављања информација тако да их виде само запослени у циљаној институцији за коју је та информација и намењена. Информације на ову апликацију постављају за то овлашћени и оспособљени администратори у ОДУ и ЈЛС.  У претходном периоду је овај алат интерне комуникације био у некој врсти пробне фазе са мањим бројем корисника. Уз одређена техничка унапређења овај алат је могуће претворити ефикасно и брзо средство интерне комуникације у оквиру целе ЈУ. Предвиђена је промоција овог алата за интерно комуницирање и обука администратора како би се проширила корисничка база институција и овај алат учинио доступним што већем броју запослених у ОДУ и ЈЛС.  Једна од могућности је и да се на рачунарима у ЈУ „Огласна табла“  постави као сајт који се аутоматски отвара приликом коришћења интернета (чим отворе неки од интернет претраживача, почетна страница која ће бити отворена би била „Огласна табла“). То је наравно само једна од опција. Најбољи приступ би свакако био да „Огласна табла“ буде место на којем ће запослени у ЈУ моћи да пронађу све информације које су им неопходне за обављање послова на свом радном месту. То практично значи редовно ажурирање и постављање вести, упутстава, смерница, нових прописа и других садржаја који су важни запосленима у ЈУ. </w:t>
      </w:r>
    </w:p>
    <w:p w14:paraId="5F581206"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У складу са потребама и могућностима ЈУ и/или поједини њени сегменти могу користити различите канале и алате за интерно комуницирање. У склопу стандардизације комуницирања РЈУ биће уведена правила и смернице за поруке које ће се користити у различитим ситуацијама, каналима и алатима интерне комуникације. Ово додатно потврђује важност добре сарадње службеника у одељењима за односе са јавношћу и управљање људским ресурсима.  Биће дефинисани пакети информација које ће сви новозапослени добијати даном ступања на посао у ЈУ или поруке којима би требало да  почињу обуке или неки друге ситуација и догађаји намењени запосленима, који годишњим оперативним плановима за комуницирање РЈУ буду идентификовани као прилике за ефикасно комуницирање најважнијих постулата РЈУ. У зависности од потреба и могућности биће креирани и посебни алати за комуницирање РЈУ у виду кратких вести које ће бити слате путем мејлова, видео клипова који ће на занимљив начин говорити о променама које доноси РЈУ, постера којима ће се у просторијама институција промовисати најважнији принципи РЈУ и друге активности које ће бити утврђене годишњим оперативним плановима за комуницирање РЈУ.</w:t>
      </w:r>
    </w:p>
    <w:p w14:paraId="50B86178"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На крају сваке године ће бити спроведено квантитативно и квалитативно истраживање о информисаности запослених у јавној управи о процесима и резултатима реформе јавне управе путем онлајн анкета (на порталу „Огласна табла“ и слање мејлом) и путем фокус група. На овај начин ће се обезбедити неопходни подаци који ће бити искоришћени за планирање активности у домену интерног и међуресорног комуницирања. Ово ће у многоме допринети бољем подешавању интерне комуникације и одабиру одговарајућих канала и алата за комуницирање РЈУ. </w:t>
      </w:r>
    </w:p>
    <w:p w14:paraId="4C802B02"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r w:rsidRPr="00163B00">
        <w:rPr>
          <w:rFonts w:eastAsiaTheme="minorHAnsi"/>
          <w:b/>
          <w:bCs/>
          <w:kern w:val="0"/>
          <w:lang w:eastAsia="en-US" w:bidi="ar-SA"/>
        </w:rPr>
        <w:t>Meра 5: Повећање видљивости и комуницирања процеса РЈУ и постигнутих резултата</w:t>
      </w:r>
    </w:p>
    <w:tbl>
      <w:tblPr>
        <w:tblW w:w="5000" w:type="pct"/>
        <w:tblLook w:val="00A0" w:firstRow="1" w:lastRow="0" w:firstColumn="1" w:lastColumn="0" w:noHBand="0" w:noVBand="0"/>
      </w:tblPr>
      <w:tblGrid>
        <w:gridCol w:w="343"/>
        <w:gridCol w:w="4615"/>
        <w:gridCol w:w="1866"/>
        <w:gridCol w:w="1866"/>
        <w:gridCol w:w="334"/>
      </w:tblGrid>
      <w:tr w:rsidR="00163B00" w:rsidRPr="00163B00" w14:paraId="70DC9EF1" w14:textId="77777777" w:rsidTr="00DA6BE3">
        <w:trPr>
          <w:trHeight w:val="20"/>
        </w:trPr>
        <w:tc>
          <w:tcPr>
            <w:tcW w:w="190" w:type="pct"/>
            <w:tcBorders>
              <w:top w:val="single" w:sz="18" w:space="0" w:color="C00000"/>
              <w:left w:val="single" w:sz="18" w:space="0" w:color="C00000"/>
            </w:tcBorders>
            <w:shd w:val="clear" w:color="auto" w:fill="auto"/>
          </w:tcPr>
          <w:p w14:paraId="6BFED393"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sz w:val="16"/>
                <w:szCs w:val="16"/>
                <w:lang w:eastAsia="en-US" w:bidi="ar-SA"/>
              </w:rPr>
            </w:pPr>
          </w:p>
        </w:tc>
        <w:tc>
          <w:tcPr>
            <w:tcW w:w="2557" w:type="pct"/>
            <w:tcBorders>
              <w:top w:val="single" w:sz="18" w:space="0" w:color="C00000"/>
            </w:tcBorders>
            <w:shd w:val="clear" w:color="auto" w:fill="auto"/>
          </w:tcPr>
          <w:p w14:paraId="2A07A52A"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sz w:val="16"/>
                <w:szCs w:val="16"/>
                <w:lang w:eastAsia="en-US" w:bidi="ar-SA"/>
              </w:rPr>
            </w:pPr>
          </w:p>
        </w:tc>
        <w:tc>
          <w:tcPr>
            <w:tcW w:w="1034" w:type="pct"/>
            <w:tcBorders>
              <w:top w:val="single" w:sz="18" w:space="0" w:color="C00000"/>
            </w:tcBorders>
            <w:shd w:val="clear" w:color="auto" w:fill="auto"/>
            <w:vAlign w:val="center"/>
          </w:tcPr>
          <w:p w14:paraId="0258125B"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16"/>
                <w:szCs w:val="16"/>
                <w:lang w:eastAsia="en-US" w:bidi="ar-SA"/>
              </w:rPr>
            </w:pPr>
          </w:p>
        </w:tc>
        <w:tc>
          <w:tcPr>
            <w:tcW w:w="1034" w:type="pct"/>
            <w:tcBorders>
              <w:top w:val="single" w:sz="18" w:space="0" w:color="C00000"/>
            </w:tcBorders>
            <w:shd w:val="clear" w:color="auto" w:fill="auto"/>
            <w:vAlign w:val="center"/>
          </w:tcPr>
          <w:p w14:paraId="07C4D539"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16"/>
                <w:szCs w:val="16"/>
                <w:lang w:eastAsia="en-US" w:bidi="ar-SA"/>
              </w:rPr>
            </w:pPr>
          </w:p>
        </w:tc>
        <w:tc>
          <w:tcPr>
            <w:tcW w:w="185" w:type="pct"/>
            <w:tcBorders>
              <w:top w:val="single" w:sz="18" w:space="0" w:color="C00000"/>
              <w:right w:val="single" w:sz="18" w:space="0" w:color="C00000"/>
            </w:tcBorders>
            <w:shd w:val="clear" w:color="auto" w:fill="auto"/>
          </w:tcPr>
          <w:p w14:paraId="2534ACF9"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16"/>
                <w:szCs w:val="16"/>
                <w:lang w:eastAsia="en-US" w:bidi="ar-SA"/>
              </w:rPr>
            </w:pPr>
          </w:p>
        </w:tc>
      </w:tr>
      <w:tr w:rsidR="00163B00" w:rsidRPr="00163B00" w14:paraId="33A2E9EE" w14:textId="77777777" w:rsidTr="00DA6BE3">
        <w:trPr>
          <w:trHeight w:val="490"/>
        </w:trPr>
        <w:tc>
          <w:tcPr>
            <w:tcW w:w="190" w:type="pct"/>
            <w:tcBorders>
              <w:left w:val="single" w:sz="18" w:space="0" w:color="C00000"/>
            </w:tcBorders>
            <w:shd w:val="clear" w:color="auto" w:fill="auto"/>
          </w:tcPr>
          <w:p w14:paraId="5ACA73FB"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sz w:val="22"/>
                <w:szCs w:val="22"/>
                <w:lang w:eastAsia="en-US" w:bidi="ar-SA"/>
              </w:rPr>
            </w:pPr>
          </w:p>
        </w:tc>
        <w:tc>
          <w:tcPr>
            <w:tcW w:w="2557" w:type="pct"/>
            <w:tcBorders>
              <w:left w:val="nil"/>
              <w:bottom w:val="single" w:sz="18" w:space="0" w:color="C00000"/>
              <w:right w:val="single" w:sz="18" w:space="0" w:color="D9D9D9" w:themeColor="background1" w:themeShade="D9"/>
            </w:tcBorders>
            <w:shd w:val="clear" w:color="auto" w:fill="auto"/>
          </w:tcPr>
          <w:p w14:paraId="23D0401F"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sz w:val="22"/>
                <w:szCs w:val="22"/>
                <w:lang w:val="en-US" w:eastAsia="en-US" w:bidi="ar-SA"/>
              </w:rPr>
            </w:pPr>
            <w:r w:rsidRPr="00163B00">
              <w:rPr>
                <w:rFonts w:eastAsiaTheme="minorHAnsi"/>
                <w:b/>
                <w:bCs/>
                <w:kern w:val="0"/>
                <w:sz w:val="22"/>
                <w:szCs w:val="22"/>
                <w:lang w:val="en-US" w:eastAsia="en-US" w:bidi="ar-SA"/>
              </w:rPr>
              <w:t>Показатељ резултата</w:t>
            </w:r>
          </w:p>
        </w:tc>
        <w:tc>
          <w:tcPr>
            <w:tcW w:w="1034" w:type="pct"/>
            <w:tcBorders>
              <w:left w:val="single" w:sz="18" w:space="0" w:color="D9D9D9" w:themeColor="background1" w:themeShade="D9"/>
              <w:bottom w:val="single" w:sz="18" w:space="0" w:color="C00000"/>
              <w:right w:val="single" w:sz="18" w:space="0" w:color="D9D9D9" w:themeColor="background1" w:themeShade="D9"/>
            </w:tcBorders>
            <w:shd w:val="clear" w:color="auto" w:fill="auto"/>
            <w:vAlign w:val="center"/>
          </w:tcPr>
          <w:p w14:paraId="0738BA3C"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22"/>
                <w:szCs w:val="22"/>
                <w:lang w:val="en-US" w:eastAsia="en-US" w:bidi="ar-SA"/>
              </w:rPr>
            </w:pPr>
            <w:r w:rsidRPr="00163B00">
              <w:rPr>
                <w:rFonts w:eastAsiaTheme="minorHAnsi"/>
                <w:b/>
                <w:bCs/>
                <w:kern w:val="0"/>
                <w:sz w:val="22"/>
                <w:szCs w:val="22"/>
                <w:lang w:val="en-US" w:eastAsia="en-US" w:bidi="ar-SA"/>
              </w:rPr>
              <w:t>ПВ</w:t>
            </w:r>
          </w:p>
        </w:tc>
        <w:tc>
          <w:tcPr>
            <w:tcW w:w="1034" w:type="pct"/>
            <w:tcBorders>
              <w:left w:val="single" w:sz="18" w:space="0" w:color="D9D9D9" w:themeColor="background1" w:themeShade="D9"/>
              <w:bottom w:val="single" w:sz="18" w:space="0" w:color="C00000"/>
            </w:tcBorders>
            <w:shd w:val="clear" w:color="auto" w:fill="auto"/>
            <w:vAlign w:val="center"/>
          </w:tcPr>
          <w:p w14:paraId="264D4286"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22"/>
                <w:szCs w:val="22"/>
                <w:lang w:val="en-US" w:eastAsia="en-US" w:bidi="ar-SA"/>
              </w:rPr>
            </w:pPr>
            <w:r w:rsidRPr="00163B00">
              <w:rPr>
                <w:rFonts w:eastAsiaTheme="minorHAnsi"/>
                <w:b/>
                <w:bCs/>
                <w:kern w:val="0"/>
                <w:sz w:val="22"/>
                <w:szCs w:val="22"/>
                <w:lang w:val="en-US" w:eastAsia="en-US" w:bidi="ar-SA"/>
              </w:rPr>
              <w:t>ЦВ</w:t>
            </w:r>
          </w:p>
        </w:tc>
        <w:tc>
          <w:tcPr>
            <w:tcW w:w="185" w:type="pct"/>
            <w:tcBorders>
              <w:right w:val="single" w:sz="18" w:space="0" w:color="C00000"/>
            </w:tcBorders>
            <w:shd w:val="clear" w:color="auto" w:fill="auto"/>
          </w:tcPr>
          <w:p w14:paraId="7CFDE764" w14:textId="77777777" w:rsidR="00163B00" w:rsidRPr="00163B00" w:rsidRDefault="00163B00" w:rsidP="00163B00">
            <w:pPr>
              <w:suppressAutoHyphens w:val="0"/>
              <w:autoSpaceDN/>
              <w:spacing w:before="0" w:after="160" w:line="259" w:lineRule="auto"/>
              <w:ind w:firstLine="0"/>
              <w:jc w:val="center"/>
              <w:textAlignment w:val="auto"/>
              <w:rPr>
                <w:rFonts w:eastAsiaTheme="minorHAnsi"/>
                <w:b/>
                <w:bCs/>
                <w:kern w:val="0"/>
                <w:sz w:val="22"/>
                <w:szCs w:val="22"/>
                <w:lang w:val="en-US" w:eastAsia="en-US" w:bidi="ar-SA"/>
              </w:rPr>
            </w:pPr>
          </w:p>
        </w:tc>
      </w:tr>
      <w:tr w:rsidR="00163B00" w:rsidRPr="00163B00" w14:paraId="7E5FE5C1" w14:textId="77777777" w:rsidTr="00DA6BE3">
        <w:trPr>
          <w:trHeight w:val="437"/>
        </w:trPr>
        <w:tc>
          <w:tcPr>
            <w:tcW w:w="190" w:type="pct"/>
            <w:tcBorders>
              <w:left w:val="single" w:sz="18" w:space="0" w:color="C00000"/>
            </w:tcBorders>
            <w:shd w:val="clear" w:color="auto" w:fill="auto"/>
          </w:tcPr>
          <w:p w14:paraId="0BF51A05"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54F3DB07"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r w:rsidRPr="00163B00">
              <w:rPr>
                <w:rFonts w:eastAsiaTheme="minorHAnsi"/>
                <w:color w:val="000000"/>
                <w:kern w:val="0"/>
                <w:lang w:eastAsia="en-US" w:bidi="ar-SA"/>
              </w:rPr>
              <w:t>Број афирмативних и неутралних објава (прилога) о реформи јавне управе у медијима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2A2671A3"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r w:rsidRPr="00163B00">
              <w:rPr>
                <w:rFonts w:eastAsia="Times New Roman"/>
                <w:kern w:val="0"/>
                <w:lang w:eastAsia="de-DE" w:bidi="ar-SA"/>
              </w:rPr>
              <w:t>Биће утврђена у јануару 2021. када буду пребројане објаве из 2020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1FE248BE"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(2021): +10%</w:t>
            </w:r>
          </w:p>
          <w:p w14:paraId="470D6249"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(2022): +10%</w:t>
            </w:r>
          </w:p>
          <w:p w14:paraId="67806C60"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(2023): +10%</w:t>
            </w:r>
          </w:p>
          <w:p w14:paraId="44CA8142"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(2024): +10%</w:t>
            </w:r>
          </w:p>
          <w:p w14:paraId="27CD8769"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(2025): +10%</w:t>
            </w:r>
          </w:p>
          <w:p w14:paraId="12D09719"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(2027): +10%</w:t>
            </w:r>
          </w:p>
          <w:p w14:paraId="6741464A"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(2030): +10%</w:t>
            </w:r>
          </w:p>
        </w:tc>
        <w:tc>
          <w:tcPr>
            <w:tcW w:w="185" w:type="pct"/>
            <w:tcBorders>
              <w:right w:val="single" w:sz="18" w:space="0" w:color="C00000"/>
            </w:tcBorders>
            <w:shd w:val="clear" w:color="auto" w:fill="auto"/>
          </w:tcPr>
          <w:p w14:paraId="4E32652A"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r>
      <w:tr w:rsidR="00163B00" w:rsidRPr="00163B00" w14:paraId="2B69C746" w14:textId="77777777" w:rsidTr="00DA6BE3">
        <w:trPr>
          <w:trHeight w:val="437"/>
        </w:trPr>
        <w:tc>
          <w:tcPr>
            <w:tcW w:w="190" w:type="pct"/>
            <w:tcBorders>
              <w:left w:val="single" w:sz="18" w:space="0" w:color="C00000"/>
            </w:tcBorders>
            <w:shd w:val="clear" w:color="auto" w:fill="auto"/>
          </w:tcPr>
          <w:p w14:paraId="3FFE13BA"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11478EBB" w14:textId="77777777" w:rsidR="00163B00" w:rsidRPr="00163B00" w:rsidRDefault="00163B00" w:rsidP="00163B00">
            <w:pPr>
              <w:suppressAutoHyphens w:val="0"/>
              <w:autoSpaceDN/>
              <w:spacing w:before="0" w:after="160" w:line="259" w:lineRule="auto"/>
              <w:ind w:firstLine="0"/>
              <w:jc w:val="left"/>
              <w:textAlignment w:val="auto"/>
              <w:rPr>
                <w:rFonts w:eastAsiaTheme="minorHAnsi"/>
                <w:color w:val="000000"/>
                <w:kern w:val="0"/>
                <w:lang w:eastAsia="en-US" w:bidi="ar-SA"/>
              </w:rPr>
            </w:pPr>
            <w:r w:rsidRPr="00163B00">
              <w:rPr>
                <w:rFonts w:eastAsia="Times New Roman"/>
                <w:kern w:val="0"/>
                <w:lang w:eastAsia="de-DE" w:bidi="ar-SA"/>
              </w:rPr>
              <w:t>Присуство тема о РЈУ на интернет сајтовима институција и њиховим страницама / профилима на друштвеним мрежама</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013B4C57" w14:textId="77777777" w:rsidR="00163B00" w:rsidRPr="00163B00" w:rsidRDefault="00163B00" w:rsidP="00163B00">
            <w:pPr>
              <w:suppressAutoHyphens w:val="0"/>
              <w:autoSpaceDN/>
              <w:spacing w:before="0" w:after="160" w:line="259" w:lineRule="auto"/>
              <w:ind w:firstLine="0"/>
              <w:jc w:val="left"/>
              <w:textAlignment w:val="auto"/>
              <w:rPr>
                <w:rFonts w:eastAsia="Times New Roman"/>
                <w:kern w:val="0"/>
                <w:lang w:eastAsia="de-DE" w:bidi="ar-SA"/>
              </w:rPr>
            </w:pPr>
            <w:r w:rsidRPr="00163B00">
              <w:rPr>
                <w:rFonts w:eastAsia="Times New Roman"/>
                <w:kern w:val="0"/>
                <w:lang w:eastAsia="de-DE" w:bidi="ar-SA"/>
              </w:rPr>
              <w:t>Биће утврђена у јануару 2021. када буду пребројани текстови објављени на сајтовима у 2020.</w:t>
            </w: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5AEC661E"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(2021): +10%</w:t>
            </w:r>
          </w:p>
          <w:p w14:paraId="3A1675CD"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(2022): +10%</w:t>
            </w:r>
          </w:p>
          <w:p w14:paraId="0AB203CE"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(2023): +10%</w:t>
            </w:r>
          </w:p>
          <w:p w14:paraId="6A48B081"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(2024): +10%</w:t>
            </w:r>
          </w:p>
          <w:p w14:paraId="01A82753"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(2025): +10%</w:t>
            </w:r>
          </w:p>
          <w:p w14:paraId="2AF94231"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(2027): +10%</w:t>
            </w:r>
          </w:p>
          <w:p w14:paraId="376D1DA1"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r w:rsidRPr="00163B00">
              <w:rPr>
                <w:rFonts w:eastAsiaTheme="minorHAnsi"/>
                <w:kern w:val="0"/>
                <w:sz w:val="22"/>
                <w:szCs w:val="22"/>
                <w:lang w:val="en-US" w:eastAsia="en-US" w:bidi="ar-SA"/>
              </w:rPr>
              <w:t>(2030): +10%</w:t>
            </w:r>
          </w:p>
        </w:tc>
        <w:tc>
          <w:tcPr>
            <w:tcW w:w="185" w:type="pct"/>
            <w:tcBorders>
              <w:right w:val="single" w:sz="18" w:space="0" w:color="C00000"/>
            </w:tcBorders>
            <w:shd w:val="clear" w:color="auto" w:fill="auto"/>
          </w:tcPr>
          <w:p w14:paraId="701687EF"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r>
      <w:tr w:rsidR="00163B00" w:rsidRPr="00163B00" w14:paraId="26C33010" w14:textId="77777777" w:rsidTr="00DA6BE3">
        <w:trPr>
          <w:trHeight w:val="437"/>
        </w:trPr>
        <w:tc>
          <w:tcPr>
            <w:tcW w:w="190" w:type="pct"/>
            <w:tcBorders>
              <w:left w:val="single" w:sz="18" w:space="0" w:color="C00000"/>
            </w:tcBorders>
            <w:shd w:val="clear" w:color="auto" w:fill="auto"/>
          </w:tcPr>
          <w:p w14:paraId="140E8E31"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c>
          <w:tcPr>
            <w:tcW w:w="2557" w:type="pct"/>
            <w:tcBorders>
              <w:top w:val="single" w:sz="18" w:space="0" w:color="C00000"/>
              <w:left w:val="nil"/>
              <w:bottom w:val="single" w:sz="18" w:space="0" w:color="D9D9D9" w:themeColor="background1" w:themeShade="D9"/>
              <w:right w:val="single" w:sz="18" w:space="0" w:color="D9D9D9" w:themeColor="background1" w:themeShade="D9"/>
            </w:tcBorders>
            <w:shd w:val="clear" w:color="auto" w:fill="auto"/>
          </w:tcPr>
          <w:p w14:paraId="0D71A567" w14:textId="77777777" w:rsidR="00163B00" w:rsidRPr="00163B00" w:rsidRDefault="00163B00" w:rsidP="00163B00">
            <w:pPr>
              <w:suppressAutoHyphens w:val="0"/>
              <w:autoSpaceDN/>
              <w:spacing w:before="0" w:after="160" w:line="259" w:lineRule="auto"/>
              <w:ind w:firstLine="0"/>
              <w:jc w:val="left"/>
              <w:textAlignment w:val="auto"/>
              <w:rPr>
                <w:rFonts w:eastAsia="Times New Roman"/>
                <w:kern w:val="0"/>
                <w:lang w:eastAsia="de-DE" w:bidi="ar-SA"/>
              </w:rPr>
            </w:pPr>
            <w:r w:rsidRPr="00163B00">
              <w:rPr>
                <w:rFonts w:eastAsiaTheme="minorHAnsi"/>
                <w:kern w:val="0"/>
                <w:lang w:val="en-US" w:eastAsia="en-US" w:bidi="ar-SA"/>
              </w:rPr>
              <w:t>Удео грађана који су информисани о резултатима РЈУ</w:t>
            </w:r>
          </w:p>
        </w:tc>
        <w:tc>
          <w:tcPr>
            <w:tcW w:w="1034" w:type="pct"/>
            <w:tcBorders>
              <w:top w:val="single" w:sz="18" w:space="0" w:color="C00000"/>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tcPr>
          <w:p w14:paraId="5BE30B5A"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val="en-US" w:eastAsia="en-US" w:bidi="ar-SA"/>
              </w:rPr>
            </w:pPr>
            <w:r w:rsidRPr="00163B00">
              <w:rPr>
                <w:rFonts w:eastAsiaTheme="minorHAnsi"/>
                <w:kern w:val="0"/>
                <w:lang w:val="en-US" w:eastAsia="en-US" w:bidi="ar-SA"/>
              </w:rPr>
              <w:t>25%</w:t>
            </w:r>
          </w:p>
          <w:p w14:paraId="3037589C" w14:textId="77777777" w:rsidR="00163B00" w:rsidRPr="00163B00" w:rsidRDefault="00163B00" w:rsidP="00163B00">
            <w:pPr>
              <w:suppressAutoHyphens w:val="0"/>
              <w:autoSpaceDN/>
              <w:spacing w:before="0" w:after="160" w:line="259" w:lineRule="auto"/>
              <w:ind w:firstLine="0"/>
              <w:jc w:val="left"/>
              <w:textAlignment w:val="auto"/>
              <w:rPr>
                <w:rFonts w:eastAsia="Times New Roman"/>
                <w:kern w:val="0"/>
                <w:lang w:eastAsia="de-DE" w:bidi="ar-SA"/>
              </w:rPr>
            </w:pPr>
          </w:p>
        </w:tc>
        <w:tc>
          <w:tcPr>
            <w:tcW w:w="1034" w:type="pct"/>
            <w:tcBorders>
              <w:top w:val="single" w:sz="18" w:space="0" w:color="C00000"/>
              <w:left w:val="single" w:sz="18" w:space="0" w:color="D9D9D9" w:themeColor="background1" w:themeShade="D9"/>
              <w:bottom w:val="single" w:sz="18" w:space="0" w:color="D9D9D9" w:themeColor="background1" w:themeShade="D9"/>
            </w:tcBorders>
            <w:shd w:val="clear" w:color="auto" w:fill="auto"/>
          </w:tcPr>
          <w:p w14:paraId="564F1523"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val="en-US" w:eastAsia="en-US" w:bidi="ar-SA"/>
              </w:rPr>
            </w:pPr>
            <w:r w:rsidRPr="00163B00">
              <w:rPr>
                <w:rFonts w:eastAsiaTheme="minorHAnsi"/>
                <w:kern w:val="0"/>
                <w:lang w:val="en-US" w:eastAsia="en-US" w:bidi="ar-SA"/>
              </w:rPr>
              <w:t>(2021): 28%</w:t>
            </w:r>
          </w:p>
          <w:p w14:paraId="32EACFF5"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val="en-US" w:eastAsia="en-US" w:bidi="ar-SA"/>
              </w:rPr>
            </w:pPr>
            <w:r w:rsidRPr="00163B00">
              <w:rPr>
                <w:rFonts w:eastAsiaTheme="minorHAnsi"/>
                <w:kern w:val="0"/>
                <w:lang w:val="en-US" w:eastAsia="en-US" w:bidi="ar-SA"/>
              </w:rPr>
              <w:t>(2022): 32%</w:t>
            </w:r>
          </w:p>
          <w:p w14:paraId="7538C796"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val="en-US" w:eastAsia="en-US" w:bidi="ar-SA"/>
              </w:rPr>
            </w:pPr>
            <w:r w:rsidRPr="00163B00">
              <w:rPr>
                <w:rFonts w:eastAsiaTheme="minorHAnsi"/>
                <w:kern w:val="0"/>
                <w:lang w:val="en-US" w:eastAsia="en-US" w:bidi="ar-SA"/>
              </w:rPr>
              <w:t>(2023): 35%</w:t>
            </w:r>
          </w:p>
          <w:p w14:paraId="1E4DC0AD"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val="en-US" w:eastAsia="en-US" w:bidi="ar-SA"/>
              </w:rPr>
            </w:pPr>
            <w:r w:rsidRPr="00163B00">
              <w:rPr>
                <w:rFonts w:eastAsiaTheme="minorHAnsi"/>
                <w:kern w:val="0"/>
                <w:lang w:val="en-US" w:eastAsia="en-US" w:bidi="ar-SA"/>
              </w:rPr>
              <w:t>(2024): 37%</w:t>
            </w:r>
          </w:p>
          <w:p w14:paraId="27E57801"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val="en-US" w:eastAsia="en-US" w:bidi="ar-SA"/>
              </w:rPr>
            </w:pPr>
            <w:r w:rsidRPr="00163B00">
              <w:rPr>
                <w:rFonts w:eastAsiaTheme="minorHAnsi"/>
                <w:kern w:val="0"/>
                <w:lang w:val="en-US" w:eastAsia="en-US" w:bidi="ar-SA"/>
              </w:rPr>
              <w:t>(2025): 40%</w:t>
            </w:r>
          </w:p>
          <w:p w14:paraId="293978F5"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lang w:val="en-US" w:eastAsia="en-US" w:bidi="ar-SA"/>
              </w:rPr>
            </w:pPr>
            <w:r w:rsidRPr="00163B00">
              <w:rPr>
                <w:rFonts w:eastAsiaTheme="minorHAnsi"/>
                <w:kern w:val="0"/>
                <w:lang w:val="en-US" w:eastAsia="en-US" w:bidi="ar-SA"/>
              </w:rPr>
              <w:t>(2027): 50%</w:t>
            </w:r>
          </w:p>
          <w:p w14:paraId="1CE22A7E" w14:textId="77777777" w:rsidR="00163B00" w:rsidRPr="00163B00" w:rsidRDefault="00163B00" w:rsidP="00163B00">
            <w:pPr>
              <w:suppressAutoHyphens w:val="0"/>
              <w:autoSpaceDN/>
              <w:spacing w:before="0" w:after="0" w:line="259" w:lineRule="auto"/>
              <w:ind w:firstLine="0"/>
              <w:jc w:val="left"/>
              <w:textAlignment w:val="auto"/>
              <w:rPr>
                <w:rFonts w:eastAsiaTheme="minorHAnsi"/>
                <w:kern w:val="0"/>
                <w:sz w:val="22"/>
                <w:szCs w:val="22"/>
                <w:lang w:val="en-US" w:eastAsia="en-US" w:bidi="ar-SA"/>
              </w:rPr>
            </w:pPr>
            <w:r w:rsidRPr="00163B00">
              <w:rPr>
                <w:rFonts w:eastAsiaTheme="minorHAnsi"/>
                <w:kern w:val="0"/>
                <w:lang w:val="en-US" w:eastAsia="en-US" w:bidi="ar-SA"/>
              </w:rPr>
              <w:t>(2030): 60%</w:t>
            </w:r>
          </w:p>
        </w:tc>
        <w:tc>
          <w:tcPr>
            <w:tcW w:w="185" w:type="pct"/>
            <w:tcBorders>
              <w:right w:val="single" w:sz="18" w:space="0" w:color="C00000"/>
            </w:tcBorders>
            <w:shd w:val="clear" w:color="auto" w:fill="auto"/>
          </w:tcPr>
          <w:p w14:paraId="2B84F54C"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22"/>
                <w:szCs w:val="22"/>
                <w:lang w:val="en-US" w:eastAsia="en-US" w:bidi="ar-SA"/>
              </w:rPr>
            </w:pPr>
          </w:p>
        </w:tc>
      </w:tr>
      <w:tr w:rsidR="00163B00" w:rsidRPr="00163B00" w14:paraId="5DD073D2" w14:textId="77777777" w:rsidTr="00DA6BE3">
        <w:trPr>
          <w:trHeight w:val="340"/>
        </w:trPr>
        <w:tc>
          <w:tcPr>
            <w:tcW w:w="190" w:type="pct"/>
            <w:tcBorders>
              <w:left w:val="single" w:sz="18" w:space="0" w:color="C00000"/>
              <w:bottom w:val="single" w:sz="18" w:space="0" w:color="C00000"/>
            </w:tcBorders>
            <w:shd w:val="clear" w:color="auto" w:fill="auto"/>
          </w:tcPr>
          <w:p w14:paraId="2917AC48"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c>
          <w:tcPr>
            <w:tcW w:w="2557" w:type="pct"/>
            <w:tcBorders>
              <w:top w:val="single" w:sz="18" w:space="0" w:color="D9D9D9" w:themeColor="background1" w:themeShade="D9"/>
              <w:bottom w:val="single" w:sz="18" w:space="0" w:color="C00000"/>
            </w:tcBorders>
            <w:shd w:val="clear" w:color="auto" w:fill="auto"/>
          </w:tcPr>
          <w:p w14:paraId="0C39112A"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c>
          <w:tcPr>
            <w:tcW w:w="1034" w:type="pct"/>
            <w:tcBorders>
              <w:top w:val="single" w:sz="18" w:space="0" w:color="D9D9D9" w:themeColor="background1" w:themeShade="D9"/>
              <w:bottom w:val="single" w:sz="18" w:space="0" w:color="C00000"/>
            </w:tcBorders>
            <w:shd w:val="clear" w:color="auto" w:fill="auto"/>
          </w:tcPr>
          <w:p w14:paraId="045424EB"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c>
          <w:tcPr>
            <w:tcW w:w="1034" w:type="pct"/>
            <w:tcBorders>
              <w:top w:val="single" w:sz="18" w:space="0" w:color="D9D9D9" w:themeColor="background1" w:themeShade="D9"/>
              <w:bottom w:val="single" w:sz="18" w:space="0" w:color="C00000"/>
            </w:tcBorders>
            <w:shd w:val="clear" w:color="auto" w:fill="auto"/>
          </w:tcPr>
          <w:p w14:paraId="2B1908BD"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c>
          <w:tcPr>
            <w:tcW w:w="185" w:type="pct"/>
            <w:tcBorders>
              <w:bottom w:val="single" w:sz="18" w:space="0" w:color="C00000"/>
              <w:right w:val="single" w:sz="18" w:space="0" w:color="C00000"/>
            </w:tcBorders>
            <w:shd w:val="clear" w:color="auto" w:fill="auto"/>
          </w:tcPr>
          <w:p w14:paraId="7A710B6E" w14:textId="77777777" w:rsidR="00163B00" w:rsidRPr="00163B00" w:rsidRDefault="00163B00" w:rsidP="00163B00">
            <w:pPr>
              <w:suppressAutoHyphens w:val="0"/>
              <w:autoSpaceDN/>
              <w:spacing w:before="0" w:after="160" w:line="259" w:lineRule="auto"/>
              <w:ind w:firstLine="0"/>
              <w:jc w:val="left"/>
              <w:textAlignment w:val="auto"/>
              <w:rPr>
                <w:rFonts w:eastAsiaTheme="minorHAnsi"/>
                <w:kern w:val="0"/>
                <w:sz w:val="16"/>
                <w:szCs w:val="16"/>
                <w:lang w:val="en-US" w:eastAsia="en-US" w:bidi="ar-SA"/>
              </w:rPr>
            </w:pPr>
          </w:p>
        </w:tc>
      </w:tr>
    </w:tbl>
    <w:p w14:paraId="20F818AE" w14:textId="77777777" w:rsidR="00163B00" w:rsidRPr="00163B00" w:rsidRDefault="00163B00" w:rsidP="00163B00">
      <w:pPr>
        <w:suppressAutoHyphens w:val="0"/>
        <w:autoSpaceDN/>
        <w:spacing w:before="0" w:after="160" w:line="259" w:lineRule="auto"/>
        <w:ind w:firstLine="0"/>
        <w:jc w:val="left"/>
        <w:textAlignment w:val="auto"/>
        <w:rPr>
          <w:rFonts w:eastAsiaTheme="minorHAnsi"/>
          <w:b/>
          <w:bCs/>
          <w:kern w:val="0"/>
          <w:lang w:eastAsia="en-US" w:bidi="ar-SA"/>
        </w:rPr>
      </w:pPr>
    </w:p>
    <w:p w14:paraId="68D7996F"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Ова мера такође има три главне групе активности:</w:t>
      </w:r>
    </w:p>
    <w:p w14:paraId="32262971" w14:textId="77777777" w:rsidR="00163B00" w:rsidRPr="00163B00" w:rsidRDefault="00163B00" w:rsidP="00E62A1A">
      <w:pPr>
        <w:numPr>
          <w:ilvl w:val="0"/>
          <w:numId w:val="60"/>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Подизање капацитета јавне управе (руководиоци институција и запослени у службама за односе са јавношћу) и медија за успешно комуницирање процеса и резултата реформе јавне управе</w:t>
      </w:r>
    </w:p>
    <w:p w14:paraId="7D10A006" w14:textId="77777777" w:rsidR="00163B00" w:rsidRPr="00163B00" w:rsidRDefault="00163B00" w:rsidP="00E62A1A">
      <w:pPr>
        <w:numPr>
          <w:ilvl w:val="0"/>
          <w:numId w:val="60"/>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Креирање Стандарда за комуницирање РЈУ  и Смерница за креирање и вођење профила ОДУ и ЈЛС на друштвеним мрежама</w:t>
      </w:r>
    </w:p>
    <w:p w14:paraId="01D80D6E" w14:textId="77777777" w:rsidR="00163B00" w:rsidRPr="00163B00" w:rsidRDefault="00163B00" w:rsidP="00E62A1A">
      <w:pPr>
        <w:numPr>
          <w:ilvl w:val="0"/>
          <w:numId w:val="60"/>
        </w:numPr>
        <w:suppressAutoHyphens w:val="0"/>
        <w:autoSpaceDN/>
        <w:spacing w:before="0" w:after="160" w:line="259" w:lineRule="auto"/>
        <w:contextualSpacing/>
        <w:jc w:val="left"/>
        <w:textAlignment w:val="auto"/>
        <w:rPr>
          <w:rFonts w:eastAsiaTheme="minorHAnsi"/>
          <w:kern w:val="0"/>
          <w:lang w:eastAsia="en-US" w:bidi="ar-SA"/>
        </w:rPr>
      </w:pPr>
      <w:r w:rsidRPr="00163B00">
        <w:rPr>
          <w:rFonts w:eastAsiaTheme="minorHAnsi"/>
          <w:kern w:val="0"/>
          <w:lang w:eastAsia="en-US" w:bidi="ar-SA"/>
        </w:rPr>
        <w:t>Креирање и спровођење различитих комуникационих активности за промоцију процеса и резултата реформе јавне управе</w:t>
      </w:r>
    </w:p>
    <w:p w14:paraId="5887E331"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У прву групу активности у овој мери спадају мапирање капацитета јавне управе (организација послова за односе са јавношћу, канали комуникације, технички капацитети, ниво обучености, итд) за комуницирање реформе јавне управе и различите форме едукације намењене различитим актерима у процесу комуницирања реформе јавне управе. Након анализе комуникационих капацитета јавне управе уследиле би радионице о важности комуницирања реформе јавне управе  за руководства институција и запослених задужених за односе са јавношћу у тим институцијама, тренинзи за запослене у службама за односе са јавношћу органа државне управе (обуке напреднијег нивоа) и јединица локалне самоуправе (основни ниво) за унапређење њихових знања и вештина потребних за адекватно комуницирање реформе јавне управе и посебне обуке и  индивидуалне коучинг сесије за руководиоце органа државне управе за унапређење комуникационих вештина потребних за комуницирање РЈУ. Кроз ове обуке и друге видове едукације представници јавне управе који учествују у комуницирању реформе јавне управе ће научити да правилно формулишу поруке које ће бити довољно занимљиве за медије и довољно разумљиве за најширу публику, као и како да користе различите комуникационе канале и алате како би њихова порука допрла до циљних група којима се обраћају.  Предвиђено је и организовање обука и брифинга за медије како би им се приближили најважнији аспекти реформе јавне управе и на тај начин код њих повећано интересовање за ову област. Ова активност је важна и за успостављање боље сарадње између органа јавне управе и медија. </w:t>
      </w:r>
    </w:p>
    <w:p w14:paraId="7023AB69"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Поред годишњих оперативних планова за комуницирање РЈУ, други веома важан документ који ће донети координациони механизам јесте Стандард за комуницирање РЈУ са  најважнијим смерницама и правилима за правилно и стандардизовано комуницирање процеса и резултата РЈУ. У њему ће се налазити правила за коришћење визуелног идентитета (логотип, употреба боја и фонтова, тип фотографија, изглед графика, изглед презентација…), кључне поруке и слогани, смернице за стил и језик комуницирања, смернице за комуницирање на интернету (сајтови и друштвене мреже), смернице за  интерно комуницирање… Овај документ ће бити дистрибуиран свим ОДУ и ЈЛС како би се обезбедило усклађено комуницирање РЈУ.</w:t>
      </w:r>
    </w:p>
    <w:p w14:paraId="2373DF78"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У оквиру ове групе активности биће креиран и документ Смернице за креирање и вођење профила ОДУ и ЈЛС на друштвеним мрежама. Овај документ би требало да обезбеди стандардизовано коришћење друштвених мрежа као веома важног, а још увек недовољно искоришћеног канала комуникације ЈУ. Овај документ је потребно редовно ажурирати (једном годишње), јер се друштвене мреже брзо развијају и мењају  и појављују се нове. </w:t>
      </w:r>
    </w:p>
    <w:p w14:paraId="2F50D00B"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Трећа група активности у оквиру ове мере подразумева различите комуникационе активности усмерене на промоцију процеса и резултата реформе јавне управе. Укупне комуникационе активности ће бити  прецизније дефинисане годишњим оперативним плановима које креира и доноси координациони механизам за комуницирање реформе јавне управе. Промотивне активности морају бити спроведене у складу са документом Стандард за комуницирање РЈУ и правилима које он прописује када је у питању употреба визуелних решења, порука и слогана и других елемената промоције, како би се обезбедило да органи државне управе  и јединице локалне самоуправе кохерентно информишу јавности о реформи јавне управе. Од велике је важности да се процес и резултати реформе јавне управе комуницирају редовно и континуирано уз употребу адекватних комуникационих канала и алата. </w:t>
      </w:r>
    </w:p>
    <w:p w14:paraId="4A49FA7B"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Како је реформа јавне управе свеобухватан и сложен процес, неопходно ју је комуниицирати кроз конкретне примере који су блиски грађанима и којима се показује јасна корист коју грађани имају од ње и њених резултата. Током примене Стратегије биће идентификовани конкретни позитивни примери који ће бити стављани у контекст процеса реформе јавне управе како би грађани били у могућности да разумеју да су позитивни  помаци резултат планираних активности у оквиру процеса реформе. </w:t>
      </w:r>
    </w:p>
    <w:p w14:paraId="131B1B46"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Промовисањем конкретних примера се обезбеђује и веће присуство тема о реформи јавне управе у медијима, јер се кроз конкретне примере из живота, медији сензибилишу да припремају приче којима ће моћи да привуку своје читаоце/гледаоце/ слушаоце. За комерцијалне медије, већа читаност, гледаност, слушаност и број посета на интернету је од кључног значаја, а сваки дан је испуњен бројним догађањима, па теме које нису  довољно занимљиве једноставно немају прођу. Зато је теме из области реформе јавне управе неопходно учинити занимљивијим кроз одабир конкретних примера и инвентивнији приступ креирању садржаја који ће бити понуђени медијима.</w:t>
      </w:r>
    </w:p>
    <w:p w14:paraId="11F21710"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Кроз комуникационе активности јавност позивати на сарадњу и учешће у спровођењу реформи и тиме ставити до знања да је глас грађана, привреде и стручне јавности важан за спровођење реформи. Тиме се помаже да грађани реформу схвате и прихвате као своју и као нешто што је њима важно. Такође, веће учешће грађана и привреде у креирању и спровођењу реформе јавне управе само може да допринесе њеном квалитету и убрза процес реализације реформе. </w:t>
      </w:r>
    </w:p>
    <w:p w14:paraId="0F6B70FF"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Садржај и облике комуникације прилагођавати циљним групама којима су намењене уз коришћење јасног и разумљивог језика блиског „обичном човеку“. Поруке којима се комуницира РЈУ ће стога морати да буду једноставне и јасне, да избегну административни говор и фразеологију. Реформа јавне управе се тиче живих људи и њена комуникација мора да буде намењена живим људима.  </w:t>
      </w:r>
    </w:p>
    <w:p w14:paraId="27DA923F"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Користити све расположиве медије, канале и алате за комуникацију, јер је за успех комуницирања важан интегрисан приступ који омогућава да се информације о реформи јавне управе и њеним резултатима доспеју до најширих слојева друштва. У зависности од циљних група и теме која се комуницира биће одабрани одабрани адекватни канали и алати за комуницирање, како би се направила одговарајућа комбинација која ће омогућити оптимално комуницирање те теме.</w:t>
      </w:r>
    </w:p>
    <w:p w14:paraId="072949CA"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Како резултати већ поменутих истраживања јавног мњења спроведених крајем 2018. и 2019. године говоре да грађани као изворе информисања о РЈУ најчешће користе телевизију и онлајн медије (портале и друштвене мреже) посебан акценат ће бити стављен на употребу ових медија. </w:t>
      </w:r>
    </w:p>
    <w:p w14:paraId="5600881F"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С обзиром на то да је реформа јавне управе тема од изузетног значаја за све грађане и државу у целини, биће потребно организовати тешњу сарадњу и партнерство са јавним медијским сервисима (РТС и РТВ) како би се обезбедило редовно и квалитетно информисање грађана о реформи јавне управе и њеним резултатима. То подразумева пажљиво и ефикасно планирање  тема из области реформе јавне и сарадњу са јавним медијским сервисима на  одабиру и креирању адекватних медијских форми за информисање грађана. То може да значи редовну недељну рубрику посвећену РЈУ у оквиру централних информативних емисија јавних сервиса, посебних емисија посвећених РЈУ, сарадњу у покретању одређених промотивних кампања или друге медијске форме. </w:t>
      </w:r>
    </w:p>
    <w:p w14:paraId="6D7300E0"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Све институције јавне управе имају своје интернет сајтове преко којих комуницирају са јавношћу пласирајући одређене информације путем њих. Стандардом за комуницирање РЈУ ће бити утврђене и смернице које се тичу обликовања информација о РЈУ које се пласирају на сајтовима институција. МДУЛС, као министарство које предводи процес реформе јавне управе у оквиру свог сајта има неколико посебних специјализованих подсајтова на којима се пласирају различите информације у вези са реформом јавне управе. </w:t>
      </w:r>
    </w:p>
    <w:p w14:paraId="6FF575A0"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Први од тих подсајтова је онај који је у целости посвећен реформи јавне управе</w:t>
      </w:r>
      <w:r w:rsidRPr="00163B00">
        <w:rPr>
          <w:rFonts w:asciiTheme="minorHAnsi" w:eastAsiaTheme="minorHAnsi" w:hAnsiTheme="minorHAnsi" w:cstheme="minorBidi"/>
          <w:kern w:val="0"/>
          <w:sz w:val="22"/>
          <w:szCs w:val="22"/>
          <w:vertAlign w:val="superscript"/>
          <w:lang w:val="en-US" w:eastAsia="en-US" w:bidi="ar-SA"/>
        </w:rPr>
        <w:footnoteReference w:id="373"/>
      </w:r>
      <w:r w:rsidRPr="00163B00">
        <w:rPr>
          <w:rFonts w:eastAsiaTheme="minorHAnsi"/>
          <w:kern w:val="0"/>
          <w:vertAlign w:val="superscript"/>
          <w:lang w:eastAsia="en-US" w:bidi="ar-SA"/>
        </w:rPr>
        <w:t xml:space="preserve"> </w:t>
      </w:r>
      <w:r w:rsidRPr="00163B00">
        <w:rPr>
          <w:rFonts w:eastAsiaTheme="minorHAnsi"/>
          <w:kern w:val="0"/>
          <w:lang w:eastAsia="en-US" w:bidi="ar-SA"/>
        </w:rPr>
        <w:t xml:space="preserve">и који се користи као централно место за пласирање различитих информација о реформи јавне управе из свих домена овог процеса. Поред информација о различитим областима реформе јавне управе, њене важности за европски пут Србије, на овом подсајту је могуће пронаћи преглед вести из свих области реформе јавне управе. То овај подсајт  чини кредибилним извором информација, како за медије, тако и за грађане. Овај подсајт је недавно редизајниран  уз побољшање визуелних и техничких карактеристика што ће омогућити квалитетније пласирање информација.  МДУЛС ће наставити да у сарадњи са другим институцијама редовно ажурира овај подсајт и да га користи као место на којем ће да објављује информације о РЈУ које ће онда да линкује са  својим профилима на друштвеним мрежама. </w:t>
      </w:r>
    </w:p>
    <w:p w14:paraId="36AE7CD4"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Други подсајт је посвећен праћењу резултата реформе јавне управе</w:t>
      </w:r>
      <w:r w:rsidRPr="00163B00">
        <w:rPr>
          <w:rFonts w:asciiTheme="minorHAnsi" w:eastAsiaTheme="minorHAnsi" w:hAnsiTheme="minorHAnsi" w:cstheme="minorBidi"/>
          <w:kern w:val="0"/>
          <w:sz w:val="22"/>
          <w:szCs w:val="22"/>
          <w:vertAlign w:val="superscript"/>
          <w:lang w:val="en-US" w:eastAsia="en-US" w:bidi="ar-SA"/>
        </w:rPr>
        <w:footnoteReference w:id="374"/>
      </w:r>
      <w:r w:rsidRPr="00163B00">
        <w:rPr>
          <w:rFonts w:eastAsiaTheme="minorHAnsi"/>
          <w:kern w:val="0"/>
          <w:lang w:eastAsia="en-US" w:bidi="ar-SA"/>
        </w:rPr>
        <w:t xml:space="preserve"> и на њему је графички приказано докле се стигло у реализацији појединачних области реформе јавне управе. У наредном периоду ће МДУЛС у сарадњи са другим институцијама укљученим у реформу јавне управе обезбеђивати информације које су неопходне за његово редовно ажурирање. И овај подсајт ће бити коришћен као извор информација о напретку у реализацији РЈУ које ће се пласирати линковањем на друштвене мреже.</w:t>
      </w:r>
    </w:p>
    <w:p w14:paraId="5EF794AD"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Трећи сајт је онај посвећен Партнерству за отворену управу и представља важно место за промоцију принципа отворене управе. У наредном периоду његово коришћење ће бити интензивирано кроз редизајн и осавремењавање, редовно ажурирање, употребу у промотивним активностима и линковањем на профиле МДУЛС на друштвеним мрежама. </w:t>
      </w:r>
    </w:p>
    <w:p w14:paraId="5B0F8B82"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Републички секретаријат за јавне политике је у оквиру својих активности на реализацији пројекта е-Папир, креирао и посебан сајт</w:t>
      </w:r>
      <w:r w:rsidRPr="00163B00">
        <w:rPr>
          <w:rFonts w:asciiTheme="minorHAnsi" w:eastAsiaTheme="minorHAnsi" w:hAnsiTheme="minorHAnsi" w:cstheme="minorBidi"/>
          <w:kern w:val="0"/>
          <w:sz w:val="22"/>
          <w:szCs w:val="22"/>
          <w:lang w:val="en-US" w:eastAsia="en-US" w:bidi="ar-SA"/>
        </w:rPr>
        <w:footnoteReference w:id="375"/>
      </w:r>
      <w:r w:rsidRPr="00163B00">
        <w:rPr>
          <w:rFonts w:eastAsiaTheme="minorHAnsi"/>
          <w:kern w:val="0"/>
          <w:lang w:eastAsia="en-US" w:bidi="ar-SA"/>
        </w:rPr>
        <w:t xml:space="preserve"> као алат који се користи за промоцију поједностављивања административних процедура и место помоћу којег се од заинтересованих страна (пре свих од грађана и привреде) прикупљају иницијативе за поједностављивање административних поступака и процедура. И овај сајт ће у наредном периоду бити коришћен у предмет промоције и место на којем ће бити објављиване важне информације које ће даље бити комунициране другим алатима за комуницирање. </w:t>
      </w:r>
    </w:p>
    <w:p w14:paraId="7E67F22F"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Један од кључних сајтова за промоцију реформе јавне управе је свакако  и сајт Канцеларије за информационе технологије и електронску управу,</w:t>
      </w:r>
      <w:r w:rsidRPr="00163B00">
        <w:rPr>
          <w:rFonts w:asciiTheme="minorHAnsi" w:eastAsiaTheme="minorHAnsi" w:hAnsiTheme="minorHAnsi" w:cstheme="minorBidi"/>
          <w:kern w:val="0"/>
          <w:sz w:val="22"/>
          <w:szCs w:val="22"/>
          <w:lang w:eastAsia="en-US" w:bidi="ar-SA"/>
        </w:rPr>
        <w:t xml:space="preserve"> </w:t>
      </w:r>
      <w:r w:rsidRPr="00163B00">
        <w:rPr>
          <w:rFonts w:asciiTheme="minorHAnsi" w:eastAsiaTheme="minorHAnsi" w:hAnsiTheme="minorHAnsi" w:cstheme="minorBidi"/>
          <w:kern w:val="0"/>
          <w:sz w:val="22"/>
          <w:szCs w:val="22"/>
          <w:vertAlign w:val="superscript"/>
          <w:lang w:val="en-US" w:eastAsia="en-US" w:bidi="ar-SA"/>
        </w:rPr>
        <w:footnoteReference w:id="376"/>
      </w:r>
      <w:r w:rsidRPr="00163B00">
        <w:rPr>
          <w:rFonts w:eastAsiaTheme="minorHAnsi"/>
          <w:kern w:val="0"/>
          <w:lang w:eastAsia="en-US" w:bidi="ar-SA"/>
        </w:rPr>
        <w:t xml:space="preserve"> а нарочито њихов сајт специјализован за електронске услуге јавне управе (еУправа).</w:t>
      </w:r>
      <w:r w:rsidRPr="00163B00">
        <w:rPr>
          <w:rFonts w:asciiTheme="minorHAnsi" w:eastAsiaTheme="minorHAnsi" w:hAnsiTheme="minorHAnsi" w:cstheme="minorBidi"/>
          <w:kern w:val="0"/>
          <w:sz w:val="22"/>
          <w:szCs w:val="22"/>
          <w:lang w:eastAsia="en-US" w:bidi="ar-SA"/>
        </w:rPr>
        <w:t xml:space="preserve"> </w:t>
      </w:r>
      <w:r w:rsidRPr="00163B00">
        <w:rPr>
          <w:rFonts w:asciiTheme="minorHAnsi" w:eastAsiaTheme="minorHAnsi" w:hAnsiTheme="minorHAnsi" w:cstheme="minorBidi"/>
          <w:kern w:val="0"/>
          <w:sz w:val="22"/>
          <w:szCs w:val="22"/>
          <w:vertAlign w:val="superscript"/>
          <w:lang w:val="en-US" w:eastAsia="en-US" w:bidi="ar-SA"/>
        </w:rPr>
        <w:footnoteReference w:id="377"/>
      </w:r>
      <w:r w:rsidRPr="00163B00">
        <w:rPr>
          <w:rFonts w:eastAsiaTheme="minorHAnsi"/>
          <w:kern w:val="0"/>
          <w:lang w:eastAsia="en-US" w:bidi="ar-SA"/>
        </w:rPr>
        <w:t xml:space="preserve"> Ова два сајта су од изузетне важности за увођење и промоцију електронских услуга, као једне од кључних области реформе јавне управе у Србији. Портал еУправа ће и у наредном периоду бити предмет промоције и извор за информације о новим електронским услугама јавне управе. </w:t>
      </w:r>
    </w:p>
    <w:p w14:paraId="74C2EDDB"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Сајт Националне академије за јавну управу</w:t>
      </w:r>
      <w:r w:rsidRPr="00163B00">
        <w:rPr>
          <w:rFonts w:asciiTheme="minorHAnsi" w:eastAsiaTheme="minorHAnsi" w:hAnsiTheme="minorHAnsi" w:cstheme="minorBidi"/>
          <w:kern w:val="0"/>
          <w:sz w:val="22"/>
          <w:szCs w:val="22"/>
          <w:vertAlign w:val="superscript"/>
          <w:lang w:val="en-US" w:eastAsia="en-US" w:bidi="ar-SA"/>
        </w:rPr>
        <w:footnoteReference w:id="378"/>
      </w:r>
      <w:r w:rsidRPr="00163B00">
        <w:rPr>
          <w:rFonts w:eastAsiaTheme="minorHAnsi"/>
          <w:kern w:val="0"/>
          <w:vertAlign w:val="superscript"/>
          <w:lang w:eastAsia="en-US" w:bidi="ar-SA"/>
        </w:rPr>
        <w:t xml:space="preserve"> </w:t>
      </w:r>
      <w:r w:rsidRPr="00163B00">
        <w:rPr>
          <w:rFonts w:eastAsiaTheme="minorHAnsi"/>
          <w:kern w:val="0"/>
          <w:lang w:eastAsia="en-US" w:bidi="ar-SA"/>
        </w:rPr>
        <w:t xml:space="preserve">је пре свега намењен запосленима у јавној управи, али је уједно и огледало настојања јавне управе да се реформише и у домену професионалног развоја и стручног усавршавања. Стога је овај сајт још једно важно интернет одредиште које ће бити коришћено за комуницирање процеса и резултата реформе јавне управе кроз кампању промоције различитих обука која се спроводи на друштвеним мрежама и другим алатима комуникације.   </w:t>
      </w:r>
    </w:p>
    <w:p w14:paraId="752BE344"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Посебна пажња ће бити посвећена коришћењу друштвених мрежа за пласирање информација у вези са реформом јавне управе. Оне могу да буду средство брзог преношења информација (али и дезинформација) на велики број људи и зато је неопходно имати испланиран и уређен приступ њиховом коришћењу. Смерницама за креирање и вођење профила ОДУ и ЈЛС на друштвеним мрежама ће бити дефинисани стандарди комуницирања путем друштвених мрежа. Друштвене мреже ће бити коришћене за пласирање информација о свакодневним активностима, али ће бити и део пула промотивних алата који ће бити коришћени у реализацији одређених промотивних кампања и активности које ће ближе бити дефинисане годишњим опративним плановима комуницирања РЈУ и плановима појединачних промотивних кампања и активности. С тим у вези ће се у наредном периоду радити и на едукацији запослених у одељењима за односе са јавношћу који су задужени да креирају садржаје и воде профиле својих институција на друштвеним мрежама како би комуницирање путем друштвених мрежа било квалитетно, правовремено и привукло интересовање јавности. Биће организована и такмичења за најбоље вођене профиле институција на друштвеним мрежама како би се подстакло редовно и правилно коришћење друштвених мрежа од стране ОДУ и ЈЛС.</w:t>
      </w:r>
    </w:p>
    <w:p w14:paraId="2FBA9985"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Како би се оснажило планско и координисано комуницирање РЈУ предвиђено је да се сваке године годишњим оперативним планом за комуницирање РЈУ дефинишу најмање 4 за реформу јавне управе важне области (теме) које ће бити промовисане кроз планску припрему и пласирање већег броја текстова и прилога у једном броју националних и локалних медија (ТВ, штампа, радио, интернет), као и на друштвеним мрежама, подсајту МДУЛС посвећеном реформи јавне управе и сајтовима институција на које се те теме односе. Ово подразумева успостављање партнерског односа са једним бројем националних, регионалних и локалних медија. На овај начин се обезбеђује шире медијско присуство одређених тема из области реформе јавне управе за које медији не показују довољно интересовање. Такође, омогућава се и извесна флексибилност како би се одговорило на измењене потребе за комуницирањем различитих тема из РЈУ. То је од велике важности у ситуацијама када због промењених околности долази и до промена у спровођењу РЈУ или када је због тих околности потребно ставити акценат на неке од сегмената РЈУ. Као пример за ово је могуће навести потребу за комуницирањем и промовисањем одређених услуга ЈУ у време панемије вируса ковид-19 током 2020. године.</w:t>
      </w:r>
    </w:p>
    <w:p w14:paraId="24A059DC" w14:textId="77777777" w:rsidR="00163B00" w:rsidRPr="00163B00" w:rsidRDefault="00163B00" w:rsidP="00163B00">
      <w:pPr>
        <w:suppressAutoHyphens w:val="0"/>
        <w:autoSpaceDN/>
        <w:spacing w:before="0" w:after="120" w:line="259" w:lineRule="auto"/>
        <w:ind w:firstLine="454"/>
        <w:textAlignment w:val="auto"/>
        <w:rPr>
          <w:rFonts w:eastAsiaTheme="minorHAnsi"/>
          <w:kern w:val="0"/>
          <w:lang w:eastAsia="en-US" w:bidi="ar-SA"/>
        </w:rPr>
      </w:pPr>
      <w:r w:rsidRPr="00163B00">
        <w:rPr>
          <w:rFonts w:eastAsiaTheme="minorHAnsi"/>
          <w:kern w:val="0"/>
          <w:lang w:eastAsia="en-US" w:bidi="ar-SA"/>
        </w:rPr>
        <w:t>Поред тога, планиран је и низ комуникационих активности које имају за циљ да буду подршка реализацији конкретних активности предвиђених Стратегијом реформе јавне управе 2021 -2030 и њеним Акционим планом, као и другим планским документима који се тичу РЈУ.</w:t>
      </w:r>
    </w:p>
    <w:p w14:paraId="36A41EE5" w14:textId="77777777" w:rsidR="00163B00" w:rsidRPr="00163B00" w:rsidRDefault="00163B00" w:rsidP="00163B00">
      <w:pPr>
        <w:suppressAutoHyphens w:val="0"/>
        <w:autoSpaceDN/>
        <w:spacing w:before="0" w:after="16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Промотивне кампање и активности подразумевају креирање различитих рекламних садржаја, брошура и публикација, закуп медијског и рекламног простора, плаћене кампање на друштвеним мрежама, организовање јавних скупова и друго. Концепти ових активности, њихов обим и конкретна реализација ће бити ближе дефинисани годишњим оперативним планом комуницирања РЈУ, као и појединачним оперативним плановима сваке од промотивних кампања и активности. Највећи број ових активности подразумева сарадњу више институција што представља посебан изазов, али и пружа могућност за успостављање добре сарадње између институција што може само да допринесе бољем спровођењу реформе јавне управе.  Наравно, потребно је оставити простора и за одређену дозу флексибилности и бити спреман на промене у овој листи активности које могу бити изазване различитим разлозима. </w:t>
      </w:r>
    </w:p>
    <w:p w14:paraId="51420617" w14:textId="77777777" w:rsidR="00163B00" w:rsidRPr="00163B00" w:rsidRDefault="00163B00" w:rsidP="00163B00">
      <w:pPr>
        <w:suppressAutoHyphens w:val="0"/>
        <w:autoSpaceDN/>
        <w:spacing w:before="0" w:after="160" w:line="259" w:lineRule="auto"/>
        <w:ind w:firstLine="454"/>
        <w:textAlignment w:val="auto"/>
        <w:rPr>
          <w:rFonts w:eastAsiaTheme="minorHAnsi"/>
          <w:kern w:val="0"/>
          <w:lang w:eastAsia="en-US" w:bidi="ar-SA"/>
        </w:rPr>
      </w:pPr>
      <w:r w:rsidRPr="00163B00">
        <w:rPr>
          <w:rFonts w:eastAsiaTheme="minorHAnsi"/>
          <w:kern w:val="0"/>
          <w:lang w:eastAsia="en-US" w:bidi="ar-SA"/>
        </w:rPr>
        <w:t>Такође, предвиђене су и комуникационе активности које спадају у интерну и међуресорну комуникацију како би се међу запосленима у јавној управи промовисале одређене активности и резултати реформе јавне управе. Ове активности подразумевају организовање интерних скупова, дизајнирање и штампу брошура и публикација намењених запосленима у јавној управи, креирање и постављање информација на апликацију „Огласна табла“, слање информација запосленима путем мејла и других канала интерне и међуресорне комуникације.</w:t>
      </w:r>
    </w:p>
    <w:p w14:paraId="6CF08475" w14:textId="77777777" w:rsidR="00163B00" w:rsidRPr="00163B00" w:rsidRDefault="00163B00" w:rsidP="00163B00">
      <w:pPr>
        <w:suppressAutoHyphens w:val="0"/>
        <w:autoSpaceDN/>
        <w:spacing w:before="0" w:after="160" w:line="259" w:lineRule="auto"/>
        <w:ind w:firstLine="454"/>
        <w:textAlignment w:val="auto"/>
        <w:rPr>
          <w:rFonts w:eastAsiaTheme="minorHAnsi"/>
          <w:kern w:val="0"/>
          <w:lang w:eastAsia="en-US" w:bidi="ar-SA"/>
        </w:rPr>
      </w:pPr>
      <w:r w:rsidRPr="00163B00">
        <w:rPr>
          <w:rFonts w:eastAsiaTheme="minorHAnsi"/>
          <w:kern w:val="0"/>
          <w:lang w:eastAsia="en-US" w:bidi="ar-SA"/>
        </w:rPr>
        <w:t>Поред наведених активности на екстерној и интерној комуникацији предвиђено је и редовно одржавање и даље техничко унапређење подсајтова МДУЛС посвећених РЈУ и праћењу напретка РЈУ, као и портала е-Папир и интернет презентације посвећене учешћу у ПОУ. Ове активности ће се спроводити како би ови канали комуникације били прилагођени најновијим стандардима у креирању сајтова (у визуелном и техничком смислу) како би се осигурало њихово несметано функционисање, али и корисничка функционалност и атрактивност. Све ово може у многоме да допринесе већем броју посета овим сајтовима.</w:t>
      </w:r>
    </w:p>
    <w:p w14:paraId="6216701E" w14:textId="77777777" w:rsidR="00163B00" w:rsidRPr="00163B00" w:rsidRDefault="00163B00" w:rsidP="00163B00">
      <w:pPr>
        <w:suppressAutoHyphens w:val="0"/>
        <w:autoSpaceDN/>
        <w:spacing w:before="0" w:after="160" w:line="259" w:lineRule="auto"/>
        <w:ind w:firstLine="454"/>
        <w:textAlignment w:val="auto"/>
        <w:rPr>
          <w:rFonts w:eastAsiaTheme="minorHAnsi"/>
          <w:kern w:val="0"/>
          <w:lang w:eastAsia="en-US" w:bidi="ar-SA"/>
        </w:rPr>
      </w:pPr>
    </w:p>
    <w:p w14:paraId="11D8133B" w14:textId="77777777" w:rsidR="00163B00" w:rsidRPr="00163B00" w:rsidRDefault="00163B00" w:rsidP="00163B00">
      <w:pPr>
        <w:suppressAutoHyphens w:val="0"/>
        <w:autoSpaceDN/>
        <w:spacing w:before="0" w:after="160" w:line="259" w:lineRule="auto"/>
        <w:ind w:firstLine="454"/>
        <w:textAlignment w:val="auto"/>
        <w:rPr>
          <w:rFonts w:eastAsiaTheme="minorHAnsi"/>
          <w:kern w:val="0"/>
          <w:lang w:eastAsia="en-US" w:bidi="ar-SA"/>
        </w:rPr>
      </w:pPr>
    </w:p>
    <w:p w14:paraId="29667A3A" w14:textId="77777777" w:rsidR="00163B00" w:rsidRPr="00163B00" w:rsidRDefault="00163B00" w:rsidP="00163B00">
      <w:pPr>
        <w:suppressAutoHyphens w:val="0"/>
        <w:autoSpaceDN/>
        <w:spacing w:before="0" w:after="160" w:line="259" w:lineRule="auto"/>
        <w:ind w:firstLine="454"/>
        <w:textAlignment w:val="auto"/>
        <w:rPr>
          <w:rFonts w:eastAsiaTheme="minorHAnsi"/>
          <w:kern w:val="0"/>
          <w:lang w:eastAsia="en-US" w:bidi="ar-SA"/>
        </w:rPr>
      </w:pPr>
      <w:r w:rsidRPr="00163B00">
        <w:rPr>
          <w:rFonts w:eastAsiaTheme="minorHAnsi"/>
          <w:kern w:val="0"/>
          <w:lang w:eastAsia="en-US" w:bidi="ar-SA"/>
        </w:rPr>
        <w:t xml:space="preserve">   </w:t>
      </w:r>
    </w:p>
    <w:p w14:paraId="24E8B3C3" w14:textId="77777777" w:rsidR="00316C57" w:rsidRPr="000F0299" w:rsidRDefault="00316C57" w:rsidP="006873CC"/>
    <w:sectPr w:rsidR="00316C57" w:rsidRPr="000F0299" w:rsidSect="005D6085">
      <w:pgSz w:w="11906" w:h="16838" w:code="9"/>
      <w:pgMar w:top="1418"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BCCE3" w14:textId="77777777" w:rsidR="00F47F65" w:rsidRDefault="00F47F65" w:rsidP="00244E7C">
      <w:r>
        <w:separator/>
      </w:r>
    </w:p>
  </w:endnote>
  <w:endnote w:type="continuationSeparator" w:id="0">
    <w:p w14:paraId="18E4D275" w14:textId="77777777" w:rsidR="00F47F65" w:rsidRDefault="00F47F65" w:rsidP="00244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jaVu Sans Mono">
    <w:altName w:val="Verdana"/>
    <w:charset w:val="00"/>
    <w:family w:val="modern"/>
    <w:pitch w:val="fixed"/>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Regular">
    <w:altName w:val="Times New Roman"/>
    <w:panose1 w:val="00000000000000000000"/>
    <w:charset w:val="00"/>
    <w:family w:val="roman"/>
    <w:notTrueType/>
    <w:pitch w:val="default"/>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Lohit Devanagari">
    <w:altName w:val="Times New Roman"/>
    <w:charset w:val="00"/>
    <w:family w:val="auto"/>
    <w:pitch w:val="variable"/>
  </w:font>
  <w:font w:name="Liberation Mono">
    <w:altName w:val="MS Gothic"/>
    <w:charset w:val="00"/>
    <w:family w:val="modern"/>
    <w:pitch w:val="fixed"/>
  </w:font>
  <w:font w:name="DejaVu Sans">
    <w:altName w:val="Times New Roman"/>
    <w:panose1 w:val="00000000000000000000"/>
    <w:charset w:val="00"/>
    <w:family w:val="roman"/>
    <w:notTrueType/>
    <w:pitch w:val="default"/>
  </w:font>
  <w:font w:name="Liberation Sans">
    <w:altName w:val="Arial"/>
    <w:charset w:val="01"/>
    <w:family w:val="swiss"/>
    <w:pitch w:val="variable"/>
  </w:font>
  <w:font w:name="Noto Sans CJK SC">
    <w:altName w:val="Times New Roman"/>
    <w:panose1 w:val="00000000000000000000"/>
    <w:charset w:val="00"/>
    <w:family w:val="roman"/>
    <w:notTrueType/>
    <w:pitch w:val="default"/>
  </w:font>
  <w:font w:name="Liberation Serif">
    <w:altName w:val="Times New Roman"/>
    <w:charset w:val="00"/>
    <w:family w:val="roman"/>
    <w:pitch w:val="variable"/>
  </w:font>
  <w:font w:name="FreeSans">
    <w:altName w:val="MS Goth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Noto Sans CJK SC 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Identity-H">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Bod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E5A6F" w14:textId="77777777" w:rsidR="00876FFE" w:rsidRPr="00A45FF6" w:rsidRDefault="00876FFE" w:rsidP="00244E7C">
    <w:pPr>
      <w:pStyle w:val="Footer"/>
    </w:pPr>
    <w:r w:rsidRPr="00A45FF6">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9551237"/>
      <w:docPartObj>
        <w:docPartGallery w:val="Page Numbers (Bottom of Page)"/>
        <w:docPartUnique/>
      </w:docPartObj>
    </w:sdtPr>
    <w:sdtEndPr>
      <w:rPr>
        <w:spacing w:val="60"/>
      </w:rPr>
    </w:sdtEndPr>
    <w:sdtContent>
      <w:p w14:paraId="44D61B28" w14:textId="0663C9CD" w:rsidR="00876FFE" w:rsidRPr="000D75E7" w:rsidRDefault="00876FFE" w:rsidP="000D75E7">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68</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19844"/>
      <w:docPartObj>
        <w:docPartGallery w:val="Page Numbers (Bottom of Page)"/>
        <w:docPartUnique/>
      </w:docPartObj>
    </w:sdtPr>
    <w:sdtEndPr>
      <w:rPr>
        <w:spacing w:val="60"/>
      </w:rPr>
    </w:sdtEndPr>
    <w:sdtContent>
      <w:p w14:paraId="1EBEB6CE" w14:textId="110D1DAC" w:rsidR="00876FFE" w:rsidRPr="004C42D2" w:rsidRDefault="00876FFE" w:rsidP="004C42D2">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69</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3742092"/>
      <w:docPartObj>
        <w:docPartGallery w:val="Page Numbers (Bottom of Page)"/>
        <w:docPartUnique/>
      </w:docPartObj>
    </w:sdtPr>
    <w:sdtEndPr>
      <w:rPr>
        <w:spacing w:val="60"/>
      </w:rPr>
    </w:sdtEndPr>
    <w:sdtContent>
      <w:p w14:paraId="52D104CC" w14:textId="61245C91" w:rsidR="00876FFE" w:rsidRPr="004C42D2" w:rsidRDefault="00876FFE" w:rsidP="004C42D2">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70</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523529"/>
      <w:docPartObj>
        <w:docPartGallery w:val="Page Numbers (Bottom of Page)"/>
        <w:docPartUnique/>
      </w:docPartObj>
    </w:sdtPr>
    <w:sdtEndPr>
      <w:rPr>
        <w:spacing w:val="60"/>
      </w:rPr>
    </w:sdtEndPr>
    <w:sdtContent>
      <w:p w14:paraId="2273CB94" w14:textId="4F3ADAD0" w:rsidR="00876FFE" w:rsidRPr="004C42D2" w:rsidRDefault="00876FFE" w:rsidP="004C42D2">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103</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9E43F" w14:textId="34D1BAB5" w:rsidR="00876FFE" w:rsidRPr="00791CEC" w:rsidRDefault="00876FFE" w:rsidP="00791CEC">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110</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BFFC6" w14:textId="05C5BC3C" w:rsidR="00876FFE" w:rsidRPr="00791CEC" w:rsidRDefault="00876FFE" w:rsidP="00791CEC">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127</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A9423" w14:textId="247CB8B2" w:rsidR="00876FFE" w:rsidRPr="00BC0E52" w:rsidRDefault="00876FFE" w:rsidP="00BC0E52">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128</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741817"/>
      <w:docPartObj>
        <w:docPartGallery w:val="Page Numbers (Bottom of Page)"/>
        <w:docPartUnique/>
      </w:docPartObj>
    </w:sdtPr>
    <w:sdtEndPr>
      <w:rPr>
        <w:spacing w:val="60"/>
      </w:rPr>
    </w:sdtEndPr>
    <w:sdtContent>
      <w:p w14:paraId="6C6EC219" w14:textId="3DEE180C" w:rsidR="00876FFE" w:rsidRPr="00791CEC" w:rsidRDefault="00876FFE" w:rsidP="00791CEC">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140</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374825"/>
      <w:docPartObj>
        <w:docPartGallery w:val="Page Numbers (Bottom of Page)"/>
        <w:docPartUnique/>
      </w:docPartObj>
    </w:sdtPr>
    <w:sdtEndPr>
      <w:rPr>
        <w:spacing w:val="60"/>
      </w:rPr>
    </w:sdtEndPr>
    <w:sdtContent>
      <w:p w14:paraId="31EE99A5" w14:textId="0857EA29" w:rsidR="00876FFE" w:rsidRPr="002D0FBC" w:rsidRDefault="00876FFE" w:rsidP="002D0FBC">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141</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2EAB9" w14:textId="3016476E" w:rsidR="00876FFE" w:rsidRPr="00791CEC" w:rsidRDefault="00876FFE" w:rsidP="00791CEC">
    <w:pPr>
      <w:tabs>
        <w:tab w:val="center" w:pos="4536"/>
        <w:tab w:val="right" w:pos="9072"/>
      </w:tabs>
      <w:spacing w:after="0"/>
      <w:jc w:val="right"/>
      <w:rPr>
        <w:color w:val="C00000"/>
      </w:rPr>
    </w:pPr>
    <w:r w:rsidRPr="00791CEC">
      <w:rPr>
        <w:color w:val="C00000"/>
      </w:rPr>
      <w:fldChar w:fldCharType="begin"/>
    </w:r>
    <w:r w:rsidRPr="00791CEC">
      <w:rPr>
        <w:color w:val="C00000"/>
      </w:rPr>
      <w:instrText xml:space="preserve"> PAGE   \* MERGEFORMAT </w:instrText>
    </w:r>
    <w:r w:rsidRPr="00791CEC">
      <w:rPr>
        <w:color w:val="C00000"/>
      </w:rPr>
      <w:fldChar w:fldCharType="separate"/>
    </w:r>
    <w:r>
      <w:rPr>
        <w:noProof/>
        <w:color w:val="C00000"/>
      </w:rPr>
      <w:t>151</w:t>
    </w:r>
    <w:r w:rsidRPr="00791CEC">
      <w:rPr>
        <w:noProof/>
        <w:color w:val="C00000"/>
      </w:rPr>
      <w:fldChar w:fldCharType="end"/>
    </w:r>
    <w:r w:rsidRPr="00791CEC">
      <w:rPr>
        <w:color w:val="C00000"/>
      </w:rPr>
      <w:t xml:space="preserve"> | </w:t>
    </w:r>
    <w:r w:rsidRPr="00791CEC">
      <w:rPr>
        <w:color w:val="C00000"/>
        <w:spacing w:val="60"/>
        <w:lang w:val="uz-Cyrl-UZ"/>
      </w:rPr>
      <w:t>Стратегија РЈУ 2021-2030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47840" w14:textId="77777777" w:rsidR="00876FFE" w:rsidRPr="00A45FF6" w:rsidRDefault="00876FFE" w:rsidP="00244E7C">
    <w:pPr>
      <w:pStyle w:val="Footer"/>
    </w:pPr>
    <w:r w:rsidRPr="00A45FF6">
      <w:tab/>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B2304" w14:textId="6DA8C1F1" w:rsidR="00876FFE" w:rsidRPr="00732E92" w:rsidRDefault="00876FFE" w:rsidP="00732E92">
    <w:pPr>
      <w:tabs>
        <w:tab w:val="center" w:pos="4536"/>
        <w:tab w:val="right" w:pos="9072"/>
      </w:tabs>
      <w:spacing w:after="0"/>
      <w:jc w:val="right"/>
      <w:rPr>
        <w:color w:val="C00000"/>
      </w:rPr>
    </w:pPr>
    <w:r w:rsidRPr="00791CEC">
      <w:rPr>
        <w:color w:val="C00000"/>
      </w:rPr>
      <w:fldChar w:fldCharType="begin"/>
    </w:r>
    <w:r w:rsidRPr="00791CEC">
      <w:rPr>
        <w:color w:val="C00000"/>
      </w:rPr>
      <w:instrText xml:space="preserve"> PAGE   \* MERGEFORMAT </w:instrText>
    </w:r>
    <w:r w:rsidRPr="00791CEC">
      <w:rPr>
        <w:color w:val="C00000"/>
      </w:rPr>
      <w:fldChar w:fldCharType="separate"/>
    </w:r>
    <w:r>
      <w:rPr>
        <w:noProof/>
        <w:color w:val="C00000"/>
      </w:rPr>
      <w:t>152</w:t>
    </w:r>
    <w:r w:rsidRPr="00791CEC">
      <w:rPr>
        <w:noProof/>
        <w:color w:val="C00000"/>
      </w:rPr>
      <w:fldChar w:fldCharType="end"/>
    </w:r>
    <w:r w:rsidRPr="00791CEC">
      <w:rPr>
        <w:color w:val="C00000"/>
      </w:rPr>
      <w:t xml:space="preserve"> | </w:t>
    </w:r>
    <w:r w:rsidRPr="00791CEC">
      <w:rPr>
        <w:color w:val="C00000"/>
        <w:spacing w:val="60"/>
        <w:lang w:val="uz-Cyrl-UZ"/>
      </w:rPr>
      <w:t>Стратегија РЈУ 2021-2030</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FCA1B" w14:textId="6723BF08" w:rsidR="00876FFE" w:rsidRPr="00135FE6" w:rsidRDefault="00876FFE" w:rsidP="00791CEC">
    <w:pPr>
      <w:pStyle w:val="Footer"/>
      <w:jc w:val="right"/>
      <w:rPr>
        <w:color w:val="C00000"/>
      </w:rPr>
    </w:pPr>
    <w:r w:rsidRPr="00135FE6">
      <w:rPr>
        <w:color w:val="C00000"/>
      </w:rPr>
      <w:fldChar w:fldCharType="begin"/>
    </w:r>
    <w:r w:rsidRPr="00135FE6">
      <w:rPr>
        <w:color w:val="C00000"/>
      </w:rPr>
      <w:instrText xml:space="preserve"> PAGE   \* MERGEFORMAT </w:instrText>
    </w:r>
    <w:r w:rsidRPr="00135FE6">
      <w:rPr>
        <w:color w:val="C00000"/>
      </w:rPr>
      <w:fldChar w:fldCharType="separate"/>
    </w:r>
    <w:r>
      <w:rPr>
        <w:noProof/>
        <w:color w:val="C00000"/>
      </w:rPr>
      <w:t>163</w:t>
    </w:r>
    <w:r w:rsidRPr="00135FE6">
      <w:rPr>
        <w:noProof/>
        <w:color w:val="C00000"/>
      </w:rPr>
      <w:fldChar w:fldCharType="end"/>
    </w:r>
    <w:r w:rsidRPr="00135FE6">
      <w:rPr>
        <w:color w:val="C00000"/>
      </w:rPr>
      <w:t xml:space="preserve"> | </w:t>
    </w:r>
    <w:r w:rsidRPr="00135FE6">
      <w:rPr>
        <w:color w:val="C00000"/>
        <w:spacing w:val="60"/>
        <w:lang w:val="uz-Cyrl-UZ"/>
      </w:rPr>
      <w:t>Стратегија РЈУ 2021-2030</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4A6DF" w14:textId="73482CB8" w:rsidR="00876FFE" w:rsidRPr="00135FE6" w:rsidRDefault="00876FFE" w:rsidP="00135FE6">
    <w:pPr>
      <w:pStyle w:val="Footer"/>
      <w:jc w:val="right"/>
      <w:rPr>
        <w:color w:val="C00000"/>
      </w:rPr>
    </w:pPr>
    <w:r w:rsidRPr="00135FE6">
      <w:rPr>
        <w:color w:val="C00000"/>
      </w:rPr>
      <w:fldChar w:fldCharType="begin"/>
    </w:r>
    <w:r w:rsidRPr="00135FE6">
      <w:rPr>
        <w:color w:val="C00000"/>
      </w:rPr>
      <w:instrText xml:space="preserve"> PAGE   \* MERGEFORMAT </w:instrText>
    </w:r>
    <w:r w:rsidRPr="00135FE6">
      <w:rPr>
        <w:color w:val="C00000"/>
      </w:rPr>
      <w:fldChar w:fldCharType="separate"/>
    </w:r>
    <w:r>
      <w:rPr>
        <w:noProof/>
        <w:color w:val="C00000"/>
      </w:rPr>
      <w:t>164</w:t>
    </w:r>
    <w:r w:rsidRPr="00135FE6">
      <w:rPr>
        <w:noProof/>
        <w:color w:val="C00000"/>
      </w:rPr>
      <w:fldChar w:fldCharType="end"/>
    </w:r>
    <w:r w:rsidRPr="00135FE6">
      <w:rPr>
        <w:color w:val="C00000"/>
      </w:rPr>
      <w:t xml:space="preserve"> | </w:t>
    </w:r>
    <w:r w:rsidRPr="00135FE6">
      <w:rPr>
        <w:color w:val="C00000"/>
        <w:spacing w:val="60"/>
        <w:lang w:val="uz-Cyrl-UZ"/>
      </w:rPr>
      <w:t>Стратегија РЈУ 2021-2030</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04682" w14:textId="1B1914B0" w:rsidR="00876FFE" w:rsidRPr="00135FE6" w:rsidRDefault="00876FFE" w:rsidP="00135FE6">
    <w:pPr>
      <w:pStyle w:val="Footer"/>
      <w:jc w:val="right"/>
      <w:rPr>
        <w:color w:val="C00000"/>
      </w:rPr>
    </w:pPr>
    <w:r w:rsidRPr="00135FE6">
      <w:rPr>
        <w:color w:val="C00000"/>
      </w:rPr>
      <w:fldChar w:fldCharType="begin"/>
    </w:r>
    <w:r w:rsidRPr="00135FE6">
      <w:rPr>
        <w:color w:val="C00000"/>
      </w:rPr>
      <w:instrText xml:space="preserve"> PAGE   \* MERGEFORMAT </w:instrText>
    </w:r>
    <w:r w:rsidRPr="00135FE6">
      <w:rPr>
        <w:color w:val="C00000"/>
      </w:rPr>
      <w:fldChar w:fldCharType="separate"/>
    </w:r>
    <w:r>
      <w:rPr>
        <w:noProof/>
        <w:color w:val="C00000"/>
      </w:rPr>
      <w:t>174</w:t>
    </w:r>
    <w:r w:rsidRPr="00135FE6">
      <w:rPr>
        <w:noProof/>
        <w:color w:val="C00000"/>
      </w:rPr>
      <w:fldChar w:fldCharType="end"/>
    </w:r>
    <w:r w:rsidRPr="00135FE6">
      <w:rPr>
        <w:color w:val="C00000"/>
      </w:rPr>
      <w:t xml:space="preserve"> | </w:t>
    </w:r>
    <w:r w:rsidRPr="00135FE6">
      <w:rPr>
        <w:color w:val="C00000"/>
        <w:spacing w:val="60"/>
        <w:lang w:val="uz-Cyrl-UZ"/>
      </w:rPr>
      <w:t>Стратегија РЈУ 2021-2030</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2C0F9" w14:textId="52B0FA76" w:rsidR="00876FFE" w:rsidRPr="00B70F49" w:rsidRDefault="00876FFE" w:rsidP="00B70F49">
    <w:pPr>
      <w:pStyle w:val="Footer"/>
      <w:jc w:val="right"/>
      <w:rPr>
        <w:color w:val="C00000"/>
      </w:rPr>
    </w:pPr>
    <w:r w:rsidRPr="00A45FF6">
      <w:tab/>
    </w: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175</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A223E" w14:textId="1F0D43C0" w:rsidR="00876FFE" w:rsidRPr="00B70F49" w:rsidRDefault="00876FFE" w:rsidP="00BE0973">
    <w:pPr>
      <w:pStyle w:val="Footer"/>
      <w:jc w:val="right"/>
      <w:rPr>
        <w:color w:val="1F3864" w:themeColor="accent1" w:themeShade="80"/>
      </w:rPr>
    </w:pPr>
    <w:r w:rsidRPr="00A45FF6">
      <w:tab/>
    </w:r>
    <w:r w:rsidRPr="000132F3">
      <w:rPr>
        <w:color w:val="C00000"/>
      </w:rPr>
      <w:fldChar w:fldCharType="begin"/>
    </w:r>
    <w:r w:rsidRPr="000132F3">
      <w:rPr>
        <w:color w:val="C00000"/>
      </w:rPr>
      <w:instrText xml:space="preserve"> PAGE   \* MERGEFORMAT </w:instrText>
    </w:r>
    <w:r w:rsidRPr="000132F3">
      <w:rPr>
        <w:color w:val="C00000"/>
      </w:rPr>
      <w:fldChar w:fldCharType="separate"/>
    </w:r>
    <w:r>
      <w:rPr>
        <w:noProof/>
        <w:color w:val="C00000"/>
      </w:rPr>
      <w:t>182</w:t>
    </w:r>
    <w:r w:rsidRPr="000132F3">
      <w:rPr>
        <w:noProof/>
        <w:color w:val="C00000"/>
      </w:rPr>
      <w:fldChar w:fldCharType="end"/>
    </w:r>
    <w:r w:rsidRPr="000132F3">
      <w:rPr>
        <w:color w:val="C00000"/>
      </w:rPr>
      <w:t xml:space="preserve"> | </w:t>
    </w:r>
    <w:r w:rsidRPr="000132F3">
      <w:rPr>
        <w:color w:val="C00000"/>
        <w:spacing w:val="60"/>
        <w:lang w:val="uz-Cyrl-UZ"/>
      </w:rPr>
      <w:t>Стратегија РЈУ 2021-2030</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ABCB8" w14:textId="06362080" w:rsidR="00876FFE" w:rsidRPr="00B70F49" w:rsidRDefault="00876FFE" w:rsidP="00B70F49">
    <w:pPr>
      <w:pStyle w:val="Footer"/>
      <w:jc w:val="right"/>
      <w:rPr>
        <w:color w:val="1F3864" w:themeColor="accent1" w:themeShade="80"/>
      </w:rPr>
    </w:pPr>
    <w:r w:rsidRPr="00A45FF6">
      <w:tab/>
    </w:r>
    <w:r w:rsidRPr="000132F3">
      <w:rPr>
        <w:color w:val="C00000"/>
      </w:rPr>
      <w:fldChar w:fldCharType="begin"/>
    </w:r>
    <w:r w:rsidRPr="000132F3">
      <w:rPr>
        <w:color w:val="C00000"/>
      </w:rPr>
      <w:instrText xml:space="preserve"> PAGE   \* MERGEFORMAT </w:instrText>
    </w:r>
    <w:r w:rsidRPr="000132F3">
      <w:rPr>
        <w:color w:val="C00000"/>
      </w:rPr>
      <w:fldChar w:fldCharType="separate"/>
    </w:r>
    <w:r>
      <w:rPr>
        <w:noProof/>
        <w:color w:val="C00000"/>
      </w:rPr>
      <w:t>184</w:t>
    </w:r>
    <w:r w:rsidRPr="000132F3">
      <w:rPr>
        <w:noProof/>
        <w:color w:val="C00000"/>
      </w:rPr>
      <w:fldChar w:fldCharType="end"/>
    </w:r>
    <w:r w:rsidRPr="000132F3">
      <w:rPr>
        <w:color w:val="C00000"/>
      </w:rPr>
      <w:t xml:space="preserve"> | </w:t>
    </w:r>
    <w:r w:rsidRPr="000132F3">
      <w:rPr>
        <w:color w:val="C00000"/>
        <w:spacing w:val="60"/>
        <w:lang w:val="uz-Cyrl-UZ"/>
      </w:rPr>
      <w:t>Стратегија РЈУ 2021-2030</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98F9" w14:textId="1D2C6582" w:rsidR="00876FFE" w:rsidRPr="00B70F49" w:rsidRDefault="00876FFE" w:rsidP="00B70F49">
    <w:pPr>
      <w:pStyle w:val="Footer"/>
      <w:jc w:val="right"/>
      <w:rPr>
        <w:color w:val="1F3864" w:themeColor="accent1" w:themeShade="80"/>
      </w:rPr>
    </w:pPr>
    <w:r w:rsidRPr="00A45FF6">
      <w:tab/>
    </w:r>
    <w:r w:rsidRPr="000132F3">
      <w:rPr>
        <w:color w:val="C00000"/>
      </w:rPr>
      <w:fldChar w:fldCharType="begin"/>
    </w:r>
    <w:r w:rsidRPr="000132F3">
      <w:rPr>
        <w:color w:val="C00000"/>
      </w:rPr>
      <w:instrText xml:space="preserve"> PAGE   \* MERGEFORMAT </w:instrText>
    </w:r>
    <w:r w:rsidRPr="000132F3">
      <w:rPr>
        <w:color w:val="C00000"/>
      </w:rPr>
      <w:fldChar w:fldCharType="separate"/>
    </w:r>
    <w:r>
      <w:rPr>
        <w:noProof/>
        <w:color w:val="C00000"/>
      </w:rPr>
      <w:t>187</w:t>
    </w:r>
    <w:r w:rsidRPr="000132F3">
      <w:rPr>
        <w:noProof/>
        <w:color w:val="C00000"/>
      </w:rPr>
      <w:fldChar w:fldCharType="end"/>
    </w:r>
    <w:r w:rsidRPr="000132F3">
      <w:rPr>
        <w:color w:val="C00000"/>
      </w:rPr>
      <w:t xml:space="preserve"> | </w:t>
    </w:r>
    <w:r w:rsidRPr="000132F3">
      <w:rPr>
        <w:color w:val="C00000"/>
        <w:spacing w:val="60"/>
        <w:lang w:val="uz-Cyrl-UZ"/>
      </w:rPr>
      <w:t>Стратегија РЈУ 2021-2030</w:t>
    </w:r>
  </w:p>
  <w:p w14:paraId="58222337" w14:textId="77777777" w:rsidR="00876FFE" w:rsidRDefault="00876FFE"/>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DA7E9" w14:textId="6827DCEF" w:rsidR="00876FFE" w:rsidRPr="00990100" w:rsidRDefault="00876FFE" w:rsidP="000132F3">
    <w:pPr>
      <w:pStyle w:val="Footer"/>
      <w:tabs>
        <w:tab w:val="left" w:pos="8330"/>
      </w:tabs>
      <w:ind w:firstLine="0"/>
      <w:jc w:val="right"/>
      <w:rPr>
        <w:rFonts w:ascii="Arial Narrow" w:hAnsi="Arial Narrow"/>
        <w:color w:val="ED7D31" w:themeColor="accent2"/>
      </w:rPr>
    </w:pPr>
    <w:r w:rsidRPr="000132F3">
      <w:rPr>
        <w:color w:val="C00000"/>
      </w:rPr>
      <w:fldChar w:fldCharType="begin"/>
    </w:r>
    <w:r w:rsidRPr="000132F3">
      <w:rPr>
        <w:color w:val="C00000"/>
      </w:rPr>
      <w:instrText xml:space="preserve"> PAGE   \* MERGEFORMAT </w:instrText>
    </w:r>
    <w:r w:rsidRPr="000132F3">
      <w:rPr>
        <w:color w:val="C00000"/>
      </w:rPr>
      <w:fldChar w:fldCharType="separate"/>
    </w:r>
    <w:r>
      <w:rPr>
        <w:noProof/>
        <w:color w:val="C00000"/>
      </w:rPr>
      <w:t>188</w:t>
    </w:r>
    <w:r w:rsidRPr="000132F3">
      <w:rPr>
        <w:noProof/>
        <w:color w:val="C00000"/>
      </w:rPr>
      <w:fldChar w:fldCharType="end"/>
    </w:r>
    <w:r w:rsidRPr="000132F3">
      <w:rPr>
        <w:color w:val="C00000"/>
      </w:rPr>
      <w:t xml:space="preserve"> | </w:t>
    </w:r>
    <w:r w:rsidRPr="000132F3">
      <w:rPr>
        <w:color w:val="C00000"/>
        <w:spacing w:val="60"/>
        <w:lang w:val="uz-Cyrl-UZ"/>
      </w:rPr>
      <w:t>Стратегија РЈУ 2021-2030</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77116" w14:textId="49E31AC7" w:rsidR="00876FFE" w:rsidRPr="00B70F49" w:rsidRDefault="00876FFE" w:rsidP="00B70F49">
    <w:pPr>
      <w:pStyle w:val="Footer"/>
      <w:jc w:val="right"/>
      <w:rPr>
        <w:color w:val="FFFFFF" w:themeColor="background1"/>
      </w:rPr>
    </w:pPr>
    <w:r w:rsidRPr="000132F3">
      <w:rPr>
        <w:color w:val="C00000"/>
      </w:rPr>
      <w:fldChar w:fldCharType="begin"/>
    </w:r>
    <w:r w:rsidRPr="000132F3">
      <w:rPr>
        <w:color w:val="C00000"/>
      </w:rPr>
      <w:instrText xml:space="preserve"> PAGE   \* MERGEFORMAT </w:instrText>
    </w:r>
    <w:r w:rsidRPr="000132F3">
      <w:rPr>
        <w:color w:val="C00000"/>
      </w:rPr>
      <w:fldChar w:fldCharType="separate"/>
    </w:r>
    <w:r>
      <w:rPr>
        <w:noProof/>
        <w:color w:val="C00000"/>
      </w:rPr>
      <w:t>197</w:t>
    </w:r>
    <w:r w:rsidRPr="000132F3">
      <w:rPr>
        <w:noProof/>
        <w:color w:val="C00000"/>
      </w:rPr>
      <w:fldChar w:fldCharType="end"/>
    </w:r>
    <w:r w:rsidRPr="000132F3">
      <w:rPr>
        <w:color w:val="C00000"/>
      </w:rPr>
      <w:t xml:space="preserve"> | </w:t>
    </w:r>
    <w:r w:rsidRPr="000132F3">
      <w:rPr>
        <w:color w:val="C00000"/>
        <w:spacing w:val="60"/>
        <w:lang w:val="uz-Cyrl-UZ"/>
      </w:rPr>
      <w:t>Стратегија РЈУ 2021-2030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D7A41" w14:textId="3D7908DC" w:rsidR="00876FFE" w:rsidRPr="00996C14" w:rsidRDefault="00876FFE" w:rsidP="0052658F">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2</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7E9ED" w14:textId="22A387F1" w:rsidR="00876FFE" w:rsidRPr="000132F3" w:rsidRDefault="00876FFE" w:rsidP="000132F3">
    <w:pPr>
      <w:pStyle w:val="Footer"/>
      <w:jc w:val="right"/>
    </w:pPr>
    <w:r w:rsidRPr="000132F3">
      <w:rPr>
        <w:color w:val="C00000"/>
      </w:rPr>
      <w:fldChar w:fldCharType="begin"/>
    </w:r>
    <w:r w:rsidRPr="000132F3">
      <w:rPr>
        <w:color w:val="C00000"/>
      </w:rPr>
      <w:instrText xml:space="preserve"> PAGE   \* MERGEFORMAT </w:instrText>
    </w:r>
    <w:r w:rsidRPr="000132F3">
      <w:rPr>
        <w:color w:val="C00000"/>
      </w:rPr>
      <w:fldChar w:fldCharType="separate"/>
    </w:r>
    <w:r>
      <w:rPr>
        <w:noProof/>
        <w:color w:val="C00000"/>
      </w:rPr>
      <w:t>201</w:t>
    </w:r>
    <w:r w:rsidRPr="000132F3">
      <w:rPr>
        <w:noProof/>
        <w:color w:val="C00000"/>
      </w:rPr>
      <w:fldChar w:fldCharType="end"/>
    </w:r>
    <w:r w:rsidRPr="000132F3">
      <w:rPr>
        <w:color w:val="C00000"/>
      </w:rPr>
      <w:t xml:space="preserve"> | </w:t>
    </w:r>
    <w:r w:rsidRPr="000132F3">
      <w:rPr>
        <w:color w:val="C00000"/>
        <w:spacing w:val="60"/>
        <w:lang w:val="uz-Cyrl-UZ"/>
      </w:rPr>
      <w:t>Стратегија РЈУ 2021-2030</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2E570" w14:textId="75DAED69" w:rsidR="00876FFE" w:rsidRPr="00990100" w:rsidRDefault="00876FFE" w:rsidP="000132F3">
    <w:pPr>
      <w:pStyle w:val="Footer"/>
      <w:tabs>
        <w:tab w:val="left" w:pos="8330"/>
      </w:tabs>
      <w:jc w:val="right"/>
      <w:rPr>
        <w:rFonts w:ascii="Arial Narrow" w:hAnsi="Arial Narrow"/>
        <w:color w:val="ED7D31" w:themeColor="accent2"/>
      </w:rPr>
    </w:pPr>
    <w:r>
      <w:rPr>
        <w:rFonts w:ascii="Arial Narrow" w:hAnsi="Arial Narrow"/>
        <w:color w:val="ED7D31" w:themeColor="accent2"/>
      </w:rPr>
      <w:tab/>
    </w:r>
    <w:r w:rsidRPr="000132F3">
      <w:rPr>
        <w:color w:val="C00000"/>
      </w:rPr>
      <w:fldChar w:fldCharType="begin"/>
    </w:r>
    <w:r w:rsidRPr="000132F3">
      <w:rPr>
        <w:color w:val="C00000"/>
      </w:rPr>
      <w:instrText xml:space="preserve"> PAGE   \* MERGEFORMAT </w:instrText>
    </w:r>
    <w:r w:rsidRPr="000132F3">
      <w:rPr>
        <w:color w:val="C00000"/>
      </w:rPr>
      <w:fldChar w:fldCharType="separate"/>
    </w:r>
    <w:r>
      <w:rPr>
        <w:noProof/>
        <w:color w:val="C00000"/>
      </w:rPr>
      <w:t>202</w:t>
    </w:r>
    <w:r w:rsidRPr="000132F3">
      <w:rPr>
        <w:noProof/>
        <w:color w:val="C00000"/>
      </w:rPr>
      <w:fldChar w:fldCharType="end"/>
    </w:r>
    <w:r w:rsidRPr="000132F3">
      <w:rPr>
        <w:color w:val="C00000"/>
      </w:rPr>
      <w:t xml:space="preserve"> | </w:t>
    </w:r>
    <w:r w:rsidRPr="000132F3">
      <w:rPr>
        <w:color w:val="C00000"/>
        <w:spacing w:val="60"/>
        <w:lang w:val="uz-Cyrl-UZ"/>
      </w:rPr>
      <w:t>Стратегија РЈУ 2021-2030</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7D66D" w14:textId="4E07E42F" w:rsidR="00876FFE" w:rsidRPr="00B70F49" w:rsidRDefault="00876FFE" w:rsidP="00B70F49">
    <w:pPr>
      <w:pStyle w:val="Footer"/>
      <w:jc w:val="right"/>
      <w:rPr>
        <w:color w:val="C00000"/>
      </w:rPr>
    </w:pPr>
    <w:r w:rsidRPr="00B70F49">
      <w:rPr>
        <w:color w:val="C00000"/>
      </w:rPr>
      <w:fldChar w:fldCharType="begin"/>
    </w:r>
    <w:r w:rsidRPr="00B70F49">
      <w:rPr>
        <w:color w:val="C00000"/>
      </w:rPr>
      <w:instrText xml:space="preserve"> PAGE   \* MERGEFORMAT </w:instrText>
    </w:r>
    <w:r w:rsidRPr="00B70F49">
      <w:rPr>
        <w:color w:val="C00000"/>
      </w:rPr>
      <w:fldChar w:fldCharType="separate"/>
    </w:r>
    <w:r>
      <w:rPr>
        <w:noProof/>
        <w:color w:val="C00000"/>
      </w:rPr>
      <w:t>213</w:t>
    </w:r>
    <w:r w:rsidRPr="00B70F49">
      <w:rPr>
        <w:noProof/>
        <w:color w:val="C00000"/>
      </w:rPr>
      <w:fldChar w:fldCharType="end"/>
    </w:r>
    <w:r w:rsidRPr="00B70F49">
      <w:rPr>
        <w:color w:val="C00000"/>
      </w:rPr>
      <w:t xml:space="preserve"> | </w:t>
    </w:r>
    <w:r w:rsidRPr="00B70F49">
      <w:rPr>
        <w:color w:val="C00000"/>
        <w:spacing w:val="60"/>
        <w:lang w:val="uz-Cyrl-UZ"/>
      </w:rPr>
      <w:t>Стратегија РЈУ 2021-2030</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EE275" w14:textId="04BD6906" w:rsidR="00876FFE" w:rsidRPr="00B70F49" w:rsidRDefault="00876FFE" w:rsidP="00B70F49">
    <w:pPr>
      <w:pStyle w:val="Footer"/>
      <w:jc w:val="right"/>
      <w:rPr>
        <w:color w:val="C00000"/>
      </w:rPr>
    </w:pPr>
    <w:r w:rsidRPr="00B70F49">
      <w:rPr>
        <w:color w:val="C00000"/>
      </w:rPr>
      <w:fldChar w:fldCharType="begin"/>
    </w:r>
    <w:r w:rsidRPr="00B70F49">
      <w:rPr>
        <w:color w:val="C00000"/>
      </w:rPr>
      <w:instrText xml:space="preserve"> PAGE   \* MERGEFORMAT </w:instrText>
    </w:r>
    <w:r w:rsidRPr="00B70F49">
      <w:rPr>
        <w:color w:val="C00000"/>
      </w:rPr>
      <w:fldChar w:fldCharType="separate"/>
    </w:r>
    <w:r>
      <w:rPr>
        <w:noProof/>
        <w:color w:val="C00000"/>
      </w:rPr>
      <w:t>216</w:t>
    </w:r>
    <w:r w:rsidRPr="00B70F49">
      <w:rPr>
        <w:noProof/>
        <w:color w:val="C00000"/>
      </w:rPr>
      <w:fldChar w:fldCharType="end"/>
    </w:r>
    <w:r w:rsidRPr="00B70F49">
      <w:rPr>
        <w:color w:val="C00000"/>
      </w:rPr>
      <w:t xml:space="preserve"> | </w:t>
    </w:r>
    <w:r w:rsidRPr="00B70F49">
      <w:rPr>
        <w:color w:val="C00000"/>
        <w:spacing w:val="60"/>
        <w:lang w:val="uz-Cyrl-UZ"/>
      </w:rPr>
      <w:t>Стратегија РЈУ 2021-2030</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1F5D5" w14:textId="15F488F3" w:rsidR="00876FFE" w:rsidRPr="00331A14" w:rsidRDefault="00876FFE" w:rsidP="00331A14">
    <w:pPr>
      <w:pStyle w:val="Footer"/>
      <w:jc w:val="right"/>
      <w:rPr>
        <w:color w:val="C00000"/>
      </w:rPr>
    </w:pPr>
    <w:r w:rsidRPr="00B70F49">
      <w:rPr>
        <w:color w:val="C00000"/>
      </w:rPr>
      <w:fldChar w:fldCharType="begin"/>
    </w:r>
    <w:r w:rsidRPr="00B70F49">
      <w:rPr>
        <w:color w:val="C00000"/>
      </w:rPr>
      <w:instrText xml:space="preserve"> PAGE   \* MERGEFORMAT </w:instrText>
    </w:r>
    <w:r w:rsidRPr="00B70F49">
      <w:rPr>
        <w:color w:val="C00000"/>
      </w:rPr>
      <w:fldChar w:fldCharType="separate"/>
    </w:r>
    <w:r>
      <w:rPr>
        <w:noProof/>
        <w:color w:val="C00000"/>
      </w:rPr>
      <w:t>232</w:t>
    </w:r>
    <w:r w:rsidRPr="00B70F49">
      <w:rPr>
        <w:noProof/>
        <w:color w:val="C00000"/>
      </w:rPr>
      <w:fldChar w:fldCharType="end"/>
    </w:r>
    <w:r w:rsidRPr="00B70F49">
      <w:rPr>
        <w:color w:val="C00000"/>
      </w:rPr>
      <w:t xml:space="preserve"> | </w:t>
    </w:r>
    <w:r w:rsidRPr="00B70F49">
      <w:rPr>
        <w:color w:val="C00000"/>
        <w:spacing w:val="60"/>
        <w:lang w:val="uz-Cyrl-UZ"/>
      </w:rPr>
      <w:t>Стратегија РЈУ 2021-2030</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57D60" w14:textId="686778C3" w:rsidR="00876FFE" w:rsidRPr="00331A14" w:rsidRDefault="00876FFE" w:rsidP="00331A14">
    <w:pPr>
      <w:pStyle w:val="Footer"/>
      <w:jc w:val="right"/>
      <w:rPr>
        <w:color w:val="C00000"/>
      </w:rPr>
    </w:pPr>
    <w:r w:rsidRPr="00B70F49">
      <w:rPr>
        <w:color w:val="C00000"/>
      </w:rPr>
      <w:fldChar w:fldCharType="begin"/>
    </w:r>
    <w:r w:rsidRPr="00B70F49">
      <w:rPr>
        <w:color w:val="C00000"/>
      </w:rPr>
      <w:instrText xml:space="preserve"> PAGE   \* MERGEFORMAT </w:instrText>
    </w:r>
    <w:r w:rsidRPr="00B70F49">
      <w:rPr>
        <w:color w:val="C00000"/>
      </w:rPr>
      <w:fldChar w:fldCharType="separate"/>
    </w:r>
    <w:r>
      <w:rPr>
        <w:noProof/>
        <w:color w:val="C00000"/>
      </w:rPr>
      <w:t>279</w:t>
    </w:r>
    <w:r w:rsidRPr="00B70F49">
      <w:rPr>
        <w:noProof/>
        <w:color w:val="C00000"/>
      </w:rPr>
      <w:fldChar w:fldCharType="end"/>
    </w:r>
    <w:r w:rsidRPr="00B70F49">
      <w:rPr>
        <w:color w:val="C00000"/>
      </w:rPr>
      <w:t xml:space="preserve"> | </w:t>
    </w:r>
    <w:r w:rsidRPr="00B70F49">
      <w:rPr>
        <w:color w:val="C00000"/>
        <w:spacing w:val="60"/>
        <w:lang w:val="uz-Cyrl-UZ"/>
      </w:rPr>
      <w:t>Стратегија РЈУ 2021-2030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B17C2" w14:textId="20D5DD43" w:rsidR="00876FFE" w:rsidRPr="00996C14" w:rsidRDefault="00876FFE" w:rsidP="0052658F">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30</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3309" w14:textId="23B3CFF5" w:rsidR="00876FFE" w:rsidRPr="004F38A6" w:rsidRDefault="00876FFE" w:rsidP="0052658F">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45</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36A55" w14:textId="5603FD9D" w:rsidR="00876FFE" w:rsidRPr="004C42D2" w:rsidRDefault="00876FFE" w:rsidP="004C42D2">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51</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3AB29" w14:textId="25283CB8" w:rsidR="00876FFE" w:rsidRPr="004C42D2" w:rsidRDefault="00876FFE" w:rsidP="00F25C19">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52</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p w14:paraId="5C101198" w14:textId="543773D6" w:rsidR="00876FFE" w:rsidRPr="00A45FF6" w:rsidRDefault="00876FFE" w:rsidP="00F25C19">
    <w:pPr>
      <w:pStyle w:val="Footer"/>
      <w:tabs>
        <w:tab w:val="left" w:pos="8330"/>
      </w:tabs>
      <w:ind w:firstLine="0"/>
      <w:rPr>
        <w:rFonts w:ascii="Arial Narrow" w:hAnsi="Arial Narrow"/>
        <w:color w:val="ED7D31"/>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329248"/>
      <w:docPartObj>
        <w:docPartGallery w:val="Page Numbers (Bottom of Page)"/>
        <w:docPartUnique/>
      </w:docPartObj>
    </w:sdtPr>
    <w:sdtEndPr>
      <w:rPr>
        <w:spacing w:val="60"/>
      </w:rPr>
    </w:sdtEndPr>
    <w:sdtContent>
      <w:p w14:paraId="62A40025" w14:textId="7B1681BF" w:rsidR="00876FFE" w:rsidRPr="0075657E" w:rsidRDefault="00876FFE" w:rsidP="0075657E">
        <w:pPr>
          <w:pStyle w:val="Footer"/>
          <w:jc w:val="right"/>
          <w:rPr>
            <w:color w:val="C00000"/>
            <w:spacing w:val="60"/>
            <w:lang w:val="uz-Cyrl-UZ"/>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60</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458603"/>
      <w:docPartObj>
        <w:docPartGallery w:val="Page Numbers (Bottom of Page)"/>
        <w:docPartUnique/>
      </w:docPartObj>
    </w:sdtPr>
    <w:sdtEndPr>
      <w:rPr>
        <w:spacing w:val="60"/>
      </w:rPr>
    </w:sdtEndPr>
    <w:sdtContent>
      <w:p w14:paraId="033CABFA" w14:textId="514CC865" w:rsidR="00876FFE" w:rsidRPr="004C42D2" w:rsidRDefault="00876FFE" w:rsidP="000D75E7">
        <w:pPr>
          <w:pStyle w:val="Footer"/>
          <w:jc w:val="right"/>
          <w:rPr>
            <w:color w:val="C00000"/>
          </w:rPr>
        </w:pPr>
        <w:r w:rsidRPr="00996C14">
          <w:rPr>
            <w:color w:val="C00000"/>
          </w:rPr>
          <w:fldChar w:fldCharType="begin"/>
        </w:r>
        <w:r w:rsidRPr="00996C14">
          <w:rPr>
            <w:color w:val="C00000"/>
          </w:rPr>
          <w:instrText xml:space="preserve"> PAGE   \* MERGEFORMAT </w:instrText>
        </w:r>
        <w:r w:rsidRPr="00996C14">
          <w:rPr>
            <w:color w:val="C00000"/>
          </w:rPr>
          <w:fldChar w:fldCharType="separate"/>
        </w:r>
        <w:r>
          <w:rPr>
            <w:noProof/>
            <w:color w:val="C00000"/>
          </w:rPr>
          <w:t>67</w:t>
        </w:r>
        <w:r w:rsidRPr="00996C14">
          <w:rPr>
            <w:noProof/>
            <w:color w:val="C00000"/>
          </w:rPr>
          <w:fldChar w:fldCharType="end"/>
        </w:r>
        <w:r w:rsidRPr="00996C14">
          <w:rPr>
            <w:color w:val="C00000"/>
          </w:rPr>
          <w:t xml:space="preserve"> | </w:t>
        </w:r>
        <w:r w:rsidRPr="00996C14">
          <w:rPr>
            <w:color w:val="C00000"/>
            <w:spacing w:val="60"/>
            <w:lang w:val="uz-Cyrl-UZ"/>
          </w:rPr>
          <w:t>Стратегија РЈУ 2021-2030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F1A9D" w14:textId="77777777" w:rsidR="00F47F65" w:rsidRDefault="00F47F65" w:rsidP="00244E7C">
      <w:r>
        <w:separator/>
      </w:r>
    </w:p>
  </w:footnote>
  <w:footnote w:type="continuationSeparator" w:id="0">
    <w:p w14:paraId="0D6832A1" w14:textId="77777777" w:rsidR="00F47F65" w:rsidRDefault="00F47F65" w:rsidP="00244E7C">
      <w:r>
        <w:continuationSeparator/>
      </w:r>
    </w:p>
  </w:footnote>
  <w:footnote w:id="1">
    <w:p w14:paraId="5EA70BD5" w14:textId="25D4375F" w:rsidR="00876FFE" w:rsidRPr="006C481F" w:rsidRDefault="00876FFE">
      <w:pPr>
        <w:pStyle w:val="FootnoteText"/>
        <w:rPr>
          <w:sz w:val="18"/>
          <w:szCs w:val="18"/>
          <w:lang w:val="sr-Cyrl-RS"/>
        </w:rPr>
      </w:pPr>
      <w:r w:rsidRPr="006C481F">
        <w:rPr>
          <w:rStyle w:val="FootnoteReference"/>
          <w:sz w:val="18"/>
          <w:szCs w:val="18"/>
        </w:rPr>
        <w:footnoteRef/>
      </w:r>
      <w:r w:rsidRPr="006C481F">
        <w:rPr>
          <w:sz w:val="18"/>
          <w:szCs w:val="18"/>
        </w:rPr>
        <w:t xml:space="preserve"> Условно обезбеђена и необезбеђена средства биће реализована у складу са билансним могућностима</w:t>
      </w:r>
    </w:p>
  </w:footnote>
  <w:footnote w:id="2">
    <w:p w14:paraId="18AF5F50" w14:textId="77777777" w:rsidR="00876FFE" w:rsidRPr="001C0914" w:rsidRDefault="00876FFE" w:rsidP="00215A61">
      <w:pPr>
        <w:pStyle w:val="FootnoteText"/>
        <w:rPr>
          <w:sz w:val="18"/>
          <w:szCs w:val="18"/>
          <w:lang w:val="sr-Cyrl-CS"/>
        </w:rPr>
      </w:pPr>
      <w:r w:rsidRPr="001C0914">
        <w:rPr>
          <w:rStyle w:val="FootnoteReference"/>
          <w:sz w:val="18"/>
          <w:szCs w:val="18"/>
        </w:rPr>
        <w:footnoteRef/>
      </w:r>
      <w:r w:rsidRPr="001C0914">
        <w:rPr>
          <w:sz w:val="18"/>
          <w:szCs w:val="18"/>
        </w:rPr>
        <w:t xml:space="preserve"> </w:t>
      </w:r>
      <w:hyperlink r:id="rId1" w:history="1">
        <w:r w:rsidRPr="001C0914">
          <w:rPr>
            <w:rStyle w:val="Hyperlink"/>
            <w:rFonts w:eastAsiaTheme="majorEastAsia"/>
            <w:sz w:val="18"/>
            <w:szCs w:val="18"/>
          </w:rPr>
          <w:t>http://www.pravno-informacioni-sistem.rs/SlGlasnikPortal/eli/rep/sgrs/vlada/zakljucak/2015/31/1/reg</w:t>
        </w:r>
      </w:hyperlink>
    </w:p>
  </w:footnote>
  <w:footnote w:id="3">
    <w:p w14:paraId="1AE84BF8" w14:textId="77777777" w:rsidR="00876FFE" w:rsidRPr="001C0914" w:rsidRDefault="00876FFE" w:rsidP="00215A61">
      <w:pPr>
        <w:pStyle w:val="FootnoteText"/>
        <w:rPr>
          <w:sz w:val="18"/>
          <w:szCs w:val="18"/>
          <w:lang w:val="sr-Cyrl-CS"/>
        </w:rPr>
      </w:pPr>
      <w:r w:rsidRPr="001C0914">
        <w:rPr>
          <w:rStyle w:val="FootnoteReference"/>
          <w:sz w:val="18"/>
          <w:szCs w:val="18"/>
        </w:rPr>
        <w:footnoteRef/>
      </w:r>
      <w:hyperlink w:history="1">
        <w:r w:rsidRPr="001C0914">
          <w:rPr>
            <w:rStyle w:val="Hyperlink"/>
            <w:rFonts w:eastAsiaTheme="majorEastAsia"/>
            <w:sz w:val="18"/>
            <w:szCs w:val="18"/>
          </w:rPr>
          <w:t>http://www.pravno-informacioni sistem.rs/SlGlasnikPortal/prilozi/akcioni_plan.pdf&amp;doctype=reg&amp;abc=cba&amp;eli=true&amp;eliActId=426300&amp;regactid=426300</w:t>
        </w:r>
      </w:hyperlink>
    </w:p>
  </w:footnote>
  <w:footnote w:id="4">
    <w:p w14:paraId="5CB72825" w14:textId="77777777" w:rsidR="00876FFE" w:rsidRPr="001C0914" w:rsidRDefault="00876FFE" w:rsidP="001C0914">
      <w:pPr>
        <w:pStyle w:val="FootnoteText"/>
        <w:rPr>
          <w:sz w:val="18"/>
          <w:szCs w:val="18"/>
          <w:lang w:val="sr-Cyrl-CS"/>
        </w:rPr>
      </w:pPr>
      <w:r w:rsidRPr="001C0914">
        <w:rPr>
          <w:rStyle w:val="FootnoteReference"/>
          <w:sz w:val="18"/>
          <w:szCs w:val="18"/>
        </w:rPr>
        <w:footnoteRef/>
      </w:r>
      <w:r w:rsidRPr="001C0914">
        <w:rPr>
          <w:sz w:val="18"/>
          <w:szCs w:val="18"/>
        </w:rPr>
        <w:t xml:space="preserve"> </w:t>
      </w:r>
      <w:r w:rsidRPr="001C0914">
        <w:rPr>
          <w:sz w:val="18"/>
          <w:szCs w:val="18"/>
          <w:lang w:val="uz-Cyrl-UZ"/>
        </w:rPr>
        <w:t>„</w:t>
      </w:r>
      <w:r w:rsidRPr="001C0914">
        <w:rPr>
          <w:sz w:val="18"/>
          <w:szCs w:val="18"/>
        </w:rPr>
        <w:t>Стратегијом реформе државне управе у Републици Србији из 2004. године (у даљем тексту: Стратегија РДУ), на темељу европског принципа добре управе, у основи је започет преображај овог сегмента јавне управе, а делимично и локалне самоуправе. Стратегија РДУ обухватила је, поред затеченог стања, основне циљеве и принципе реформе, кључне области реформе и управљање њима.</w:t>
      </w:r>
      <w:r w:rsidRPr="001C0914">
        <w:rPr>
          <w:sz w:val="18"/>
          <w:szCs w:val="18"/>
          <w:lang w:val="uz-Cyrl-UZ"/>
        </w:rPr>
        <w:t xml:space="preserve"> У спровођењу Стратегије РДУ донети су акциони планови за период 2004–2008. године и 2009–2012. године, а остварени резултати, посебно у процесу успостављања законодавног оквира, обезбедили су потребне правне претпоставке за даљи подстицај и усмеравање развоја и унапређења система државне управе.”, Увод </w:t>
      </w:r>
      <w:r w:rsidRPr="001C0914">
        <w:rPr>
          <w:sz w:val="18"/>
          <w:szCs w:val="18"/>
          <w:lang w:val="sr-Cyrl-CS"/>
        </w:rPr>
        <w:t xml:space="preserve">Стратегије реформе јавне ураве у Републици Србији: </w:t>
      </w:r>
      <w:hyperlink r:id="rId2" w:history="1">
        <w:r w:rsidRPr="001C0914">
          <w:rPr>
            <w:rStyle w:val="Hyperlink"/>
            <w:rFonts w:eastAsiaTheme="majorEastAsia"/>
            <w:sz w:val="18"/>
            <w:szCs w:val="18"/>
          </w:rPr>
          <w:t>https://www.pravno-informacioni-sistem.rs/SlGlasnikPortal/eli/rep/sgrs/vlada/strategija/2014/9/1/reg</w:t>
        </w:r>
      </w:hyperlink>
      <w:r w:rsidRPr="001C0914">
        <w:rPr>
          <w:rStyle w:val="Hyperlink"/>
          <w:rFonts w:eastAsiaTheme="majorEastAsia"/>
          <w:sz w:val="18"/>
          <w:szCs w:val="18"/>
          <w:lang w:val="uz-Cyrl-UZ"/>
        </w:rPr>
        <w:t xml:space="preserve">, линк ка Стратегији реформе државне управе </w:t>
      </w:r>
      <w:hyperlink r:id="rId3" w:history="1">
        <w:r w:rsidRPr="001C0914">
          <w:rPr>
            <w:rStyle w:val="Hyperlink"/>
            <w:rFonts w:eastAsiaTheme="majorEastAsia"/>
            <w:sz w:val="18"/>
            <w:szCs w:val="18"/>
          </w:rPr>
          <w:t>http://www.arhiva.drzavnauprava.gov.rs/documents.php?id=488</w:t>
        </w:r>
      </w:hyperlink>
      <w:r w:rsidRPr="001C0914">
        <w:rPr>
          <w:sz w:val="18"/>
          <w:szCs w:val="18"/>
          <w:lang w:val="uz-Cyrl-UZ"/>
        </w:rPr>
        <w:t xml:space="preserve"> </w:t>
      </w:r>
    </w:p>
  </w:footnote>
  <w:footnote w:id="5">
    <w:p w14:paraId="798BFABA" w14:textId="77777777" w:rsidR="00876FFE" w:rsidRPr="001C0914" w:rsidRDefault="00876FFE" w:rsidP="001C0914">
      <w:pPr>
        <w:pStyle w:val="FootnoteText"/>
        <w:rPr>
          <w:sz w:val="18"/>
          <w:szCs w:val="18"/>
          <w:lang w:val="uz-Cyrl-UZ"/>
        </w:rPr>
      </w:pPr>
      <w:r w:rsidRPr="001C0914">
        <w:rPr>
          <w:rStyle w:val="FootnoteReference"/>
          <w:sz w:val="18"/>
          <w:szCs w:val="18"/>
        </w:rPr>
        <w:footnoteRef/>
      </w:r>
      <w:r w:rsidRPr="001C0914">
        <w:rPr>
          <w:sz w:val="18"/>
          <w:szCs w:val="18"/>
        </w:rPr>
        <w:t xml:space="preserve"> </w:t>
      </w:r>
      <w:r w:rsidRPr="001C0914">
        <w:rPr>
          <w:sz w:val="18"/>
          <w:szCs w:val="18"/>
          <w:lang w:val="uz-Cyrl-UZ"/>
        </w:rPr>
        <w:t xml:space="preserve">Збирни преглед, Двоипогодишњи Извештај о имплементацији Акционог плана за спровођење Стратегије РЈУ за период 2015–2017. године за период од јануара 2015. до 30. јуна 2017. године, линк ка документу: </w:t>
      </w:r>
      <w:hyperlink r:id="rId4" w:history="1">
        <w:r w:rsidRPr="001C0914">
          <w:rPr>
            <w:rStyle w:val="Hyperlink"/>
            <w:sz w:val="18"/>
            <w:szCs w:val="18"/>
            <w:lang w:val="uz-Cyrl-UZ"/>
          </w:rPr>
          <w:t>http://mduls.gov.rs/wp-content/uploads/Izvestaj_20152017.pdf</w:t>
        </w:r>
      </w:hyperlink>
      <w:r w:rsidRPr="001C0914">
        <w:rPr>
          <w:sz w:val="18"/>
          <w:szCs w:val="18"/>
          <w:lang w:val="uz-Cyrl-UZ"/>
        </w:rPr>
        <w:t xml:space="preserve"> </w:t>
      </w:r>
    </w:p>
  </w:footnote>
  <w:footnote w:id="6">
    <w:p w14:paraId="0A1EADA8" w14:textId="77777777" w:rsidR="00876FFE" w:rsidRPr="001C0914" w:rsidRDefault="00876FFE" w:rsidP="001C0914">
      <w:pPr>
        <w:pStyle w:val="FootnoteText"/>
        <w:rPr>
          <w:sz w:val="18"/>
          <w:szCs w:val="18"/>
          <w:lang w:val="uz-Cyrl-UZ"/>
        </w:rPr>
      </w:pPr>
      <w:r w:rsidRPr="001C0914">
        <w:rPr>
          <w:rStyle w:val="FootnoteReference"/>
          <w:sz w:val="18"/>
          <w:szCs w:val="18"/>
        </w:rPr>
        <w:footnoteRef/>
      </w:r>
      <w:r w:rsidRPr="001C0914">
        <w:rPr>
          <w:sz w:val="18"/>
          <w:szCs w:val="18"/>
        </w:rPr>
        <w:t xml:space="preserve"> </w:t>
      </w:r>
      <w:r w:rsidRPr="001C0914">
        <w:rPr>
          <w:sz w:val="18"/>
          <w:szCs w:val="18"/>
          <w:lang w:val="uz-Cyrl-UZ"/>
        </w:rPr>
        <w:t>П</w:t>
      </w:r>
      <w:r w:rsidRPr="001C0914">
        <w:rPr>
          <w:sz w:val="18"/>
          <w:szCs w:val="18"/>
        </w:rPr>
        <w:t xml:space="preserve">рограм Владе </w:t>
      </w:r>
      <w:r w:rsidRPr="001C0914">
        <w:rPr>
          <w:sz w:val="18"/>
          <w:szCs w:val="18"/>
          <w:lang w:val="uz-Cyrl-UZ"/>
        </w:rPr>
        <w:t>Републике Србије</w:t>
      </w:r>
      <w:r w:rsidRPr="001C0914">
        <w:rPr>
          <w:sz w:val="18"/>
          <w:szCs w:val="18"/>
        </w:rPr>
        <w:t xml:space="preserve"> кандидата за председника </w:t>
      </w:r>
      <w:r w:rsidRPr="001C0914">
        <w:rPr>
          <w:sz w:val="18"/>
          <w:szCs w:val="18"/>
          <w:lang w:val="uz-Cyrl-UZ"/>
        </w:rPr>
        <w:t>В</w:t>
      </w:r>
      <w:r w:rsidRPr="001C0914">
        <w:rPr>
          <w:sz w:val="18"/>
          <w:szCs w:val="18"/>
        </w:rPr>
        <w:t xml:space="preserve">ладе </w:t>
      </w:r>
      <w:r w:rsidRPr="001C0914">
        <w:rPr>
          <w:sz w:val="18"/>
          <w:szCs w:val="18"/>
          <w:lang w:val="uz-Cyrl-UZ"/>
        </w:rPr>
        <w:t>А</w:t>
      </w:r>
      <w:r w:rsidRPr="001C0914">
        <w:rPr>
          <w:sz w:val="18"/>
          <w:szCs w:val="18"/>
        </w:rPr>
        <w:t xml:space="preserve">не </w:t>
      </w:r>
      <w:r w:rsidRPr="001C0914">
        <w:rPr>
          <w:sz w:val="18"/>
          <w:szCs w:val="18"/>
          <w:lang w:val="uz-Cyrl-UZ"/>
        </w:rPr>
        <w:t>Б</w:t>
      </w:r>
      <w:r w:rsidRPr="001C0914">
        <w:rPr>
          <w:sz w:val="18"/>
          <w:szCs w:val="18"/>
        </w:rPr>
        <w:t>рнабић</w:t>
      </w:r>
      <w:r w:rsidRPr="001C0914">
        <w:rPr>
          <w:sz w:val="18"/>
          <w:szCs w:val="18"/>
          <w:lang w:val="uz-Cyrl-UZ"/>
        </w:rPr>
        <w:t xml:space="preserve">, поглавља III и V, </w:t>
      </w:r>
      <w:r w:rsidRPr="001C0914">
        <w:rPr>
          <w:sz w:val="18"/>
          <w:szCs w:val="18"/>
        </w:rPr>
        <w:t>28. јун 2017. године</w:t>
      </w:r>
      <w:r w:rsidRPr="001C0914">
        <w:rPr>
          <w:sz w:val="18"/>
          <w:szCs w:val="18"/>
          <w:lang w:val="uz-Cyrl-UZ"/>
        </w:rPr>
        <w:t xml:space="preserve">, линк ка документу: </w:t>
      </w:r>
      <w:hyperlink r:id="rId5" w:history="1">
        <w:r w:rsidRPr="001C0914">
          <w:rPr>
            <w:rStyle w:val="Hyperlink"/>
            <w:rFonts w:eastAsiaTheme="majorEastAsia"/>
            <w:sz w:val="18"/>
            <w:szCs w:val="18"/>
          </w:rPr>
          <w:t>https://www.srbija.gov.rs/view_file.php?file_id=2148&amp;cache=sr</w:t>
        </w:r>
      </w:hyperlink>
    </w:p>
  </w:footnote>
  <w:footnote w:id="7">
    <w:p w14:paraId="55F8B1B7" w14:textId="77777777" w:rsidR="00876FFE" w:rsidRPr="001C0914" w:rsidRDefault="00876FFE" w:rsidP="001C0914">
      <w:pPr>
        <w:pStyle w:val="NoSpacing"/>
        <w:jc w:val="both"/>
        <w:rPr>
          <w:rFonts w:ascii="Times New Roman" w:hAnsi="Times New Roman" w:cs="Times New Roman"/>
          <w:sz w:val="18"/>
          <w:szCs w:val="18"/>
          <w:lang w:val="sr-Cyrl-CS"/>
        </w:rPr>
      </w:pPr>
      <w:r w:rsidRPr="001C0914">
        <w:rPr>
          <w:rStyle w:val="FootnoteReference"/>
          <w:rFonts w:ascii="Times New Roman" w:hAnsi="Times New Roman" w:cs="Times New Roman"/>
          <w:sz w:val="18"/>
          <w:szCs w:val="18"/>
        </w:rPr>
        <w:footnoteRef/>
      </w:r>
      <w:r w:rsidRPr="001C0914">
        <w:rPr>
          <w:rFonts w:ascii="Times New Roman" w:hAnsi="Times New Roman" w:cs="Times New Roman"/>
          <w:sz w:val="18"/>
          <w:szCs w:val="18"/>
          <w:lang w:val="uz-Cyrl-UZ"/>
        </w:rPr>
        <w:t xml:space="preserve"> „... </w:t>
      </w:r>
      <w:r w:rsidRPr="001C0914">
        <w:rPr>
          <w:rFonts w:ascii="Times New Roman" w:hAnsi="Times New Roman" w:cs="Times New Roman"/>
          <w:sz w:val="18"/>
          <w:szCs w:val="18"/>
          <w:lang w:val="sr-Cyrl-CS"/>
        </w:rPr>
        <w:t xml:space="preserve">пример је планирање и постојање три процеса планирања рада Владе и органа државне управе са различитом методологијом, а кроз чији процес планирања и извештавања пролазе сви органи државне управе: Акционог плана за спровођење Програма Владе, који координира РСЈП, Годишњег плана рада Владе, који координира Генерални секретаријат и Програмског буџета, који координира Министарство финансија. Препорука је да се наведена три процеса интегришу...”, Извештај за 2015. годину о имплементацији Акционог плана за спровођење Стратегије реформе јавне управе у Републици Србији за период 2015–2017, </w:t>
      </w:r>
      <w:r w:rsidRPr="001C0914">
        <w:rPr>
          <w:rStyle w:val="Strong"/>
          <w:rFonts w:ascii="Times New Roman" w:eastAsiaTheme="majorEastAsia" w:hAnsi="Times New Roman" w:cs="Times New Roman"/>
          <w:b w:val="0"/>
          <w:sz w:val="18"/>
          <w:szCs w:val="18"/>
          <w:lang w:val="uz-Cyrl-UZ"/>
        </w:rPr>
        <w:t>Кључни</w:t>
      </w:r>
      <w:r w:rsidRPr="001C0914">
        <w:rPr>
          <w:rStyle w:val="Strong"/>
          <w:rFonts w:ascii="Times New Roman" w:eastAsiaTheme="majorEastAsia" w:hAnsi="Times New Roman" w:cs="Times New Roman"/>
          <w:b w:val="0"/>
          <w:sz w:val="18"/>
          <w:szCs w:val="18"/>
          <w:lang w:val="sr-Cyrl-CS"/>
        </w:rPr>
        <w:t xml:space="preserve"> изазови и приоритети за 2016. годину,</w:t>
      </w:r>
      <w:r w:rsidRPr="001C0914">
        <w:rPr>
          <w:rStyle w:val="Strong"/>
          <w:rFonts w:ascii="Times New Roman" w:eastAsiaTheme="majorEastAsia" w:hAnsi="Times New Roman" w:cs="Times New Roman"/>
          <w:sz w:val="18"/>
          <w:szCs w:val="18"/>
          <w:lang w:val="sr-Cyrl-CS"/>
        </w:rPr>
        <w:t xml:space="preserve"> </w:t>
      </w:r>
      <w:r w:rsidRPr="001C0914">
        <w:rPr>
          <w:rFonts w:ascii="Times New Roman" w:hAnsi="Times New Roman" w:cs="Times New Roman"/>
          <w:sz w:val="18"/>
          <w:szCs w:val="18"/>
          <w:lang w:val="uz-Cyrl-UZ"/>
        </w:rPr>
        <w:t xml:space="preserve">стр.  28: </w:t>
      </w:r>
      <w:hyperlink r:id="rId6" w:history="1">
        <w:r w:rsidRPr="001C0914">
          <w:rPr>
            <w:rStyle w:val="Hyperlink"/>
            <w:rFonts w:ascii="Times New Roman" w:hAnsi="Times New Roman" w:cs="Times New Roman"/>
            <w:sz w:val="18"/>
            <w:szCs w:val="18"/>
            <w:lang w:val="uz-Cyrl-UZ"/>
          </w:rPr>
          <w:t>http://mduls.gov.rs/wp-content/uploads/godisnji-izvestaj-_AP_15_usvojen-170403.pdf</w:t>
        </w:r>
      </w:hyperlink>
      <w:r w:rsidRPr="001C0914">
        <w:rPr>
          <w:rFonts w:ascii="Times New Roman" w:hAnsi="Times New Roman" w:cs="Times New Roman"/>
          <w:sz w:val="18"/>
          <w:szCs w:val="18"/>
          <w:lang w:val="uz-Cyrl-UZ"/>
        </w:rPr>
        <w:t xml:space="preserve"> </w:t>
      </w:r>
    </w:p>
  </w:footnote>
  <w:footnote w:id="8">
    <w:p w14:paraId="0E1ECD54" w14:textId="77777777" w:rsidR="00876FFE" w:rsidRPr="001C0914" w:rsidRDefault="00876FFE" w:rsidP="001C0914">
      <w:pPr>
        <w:pStyle w:val="FootnoteText"/>
        <w:rPr>
          <w:sz w:val="18"/>
          <w:szCs w:val="18"/>
          <w:lang w:val="sr-Cyrl-RS"/>
        </w:rPr>
      </w:pPr>
      <w:r w:rsidRPr="001C0914">
        <w:rPr>
          <w:rStyle w:val="FootnoteReference"/>
          <w:sz w:val="18"/>
          <w:szCs w:val="18"/>
        </w:rPr>
        <w:footnoteRef/>
      </w:r>
      <w:r w:rsidRPr="001C0914">
        <w:rPr>
          <w:sz w:val="18"/>
          <w:szCs w:val="18"/>
        </w:rPr>
        <w:t xml:space="preserve"> </w:t>
      </w:r>
      <w:r w:rsidRPr="001C0914">
        <w:rPr>
          <w:sz w:val="18"/>
          <w:szCs w:val="18"/>
          <w:lang w:val="sr-Cyrl-RS"/>
        </w:rPr>
        <w:t>Програм Владе кандидата за председника Владе, 28. октобра 2020:</w:t>
      </w:r>
    </w:p>
    <w:p w14:paraId="40C68F59" w14:textId="5B7E0F53" w:rsidR="00876FFE" w:rsidRPr="001C0914" w:rsidRDefault="00876FFE" w:rsidP="001C0914">
      <w:pPr>
        <w:pStyle w:val="FootnoteText"/>
        <w:rPr>
          <w:sz w:val="18"/>
          <w:szCs w:val="18"/>
          <w:lang w:val="sr-Cyrl-RS"/>
        </w:rPr>
      </w:pPr>
      <w:r w:rsidRPr="001C0914">
        <w:rPr>
          <w:sz w:val="18"/>
          <w:szCs w:val="18"/>
          <w:lang w:val="sr-Cyrl-RS"/>
        </w:rPr>
        <w:t xml:space="preserve"> </w:t>
      </w:r>
      <w:hyperlink r:id="rId7" w:history="1">
        <w:r w:rsidRPr="001C0914">
          <w:rPr>
            <w:rStyle w:val="Hyperlink"/>
            <w:sz w:val="18"/>
            <w:szCs w:val="18"/>
            <w:lang w:val="sr-Cyrl-RS"/>
          </w:rPr>
          <w:t>https://media.srbija.gov.rs/medsrp/dokumenti/brnabic_ekspoze281020_cyr.pdf</w:t>
        </w:r>
      </w:hyperlink>
      <w:r w:rsidRPr="001C0914">
        <w:rPr>
          <w:sz w:val="18"/>
          <w:szCs w:val="18"/>
          <w:lang w:val="sr-Cyrl-RS"/>
        </w:rPr>
        <w:t xml:space="preserve"> </w:t>
      </w:r>
    </w:p>
  </w:footnote>
  <w:footnote w:id="9">
    <w:p w14:paraId="79CBAEAA" w14:textId="4AD83D84" w:rsidR="00876FFE" w:rsidRPr="001C0914" w:rsidRDefault="00876FFE" w:rsidP="001C0914">
      <w:pPr>
        <w:spacing w:before="0" w:after="0"/>
        <w:ind w:right="-18" w:firstLine="0"/>
        <w:rPr>
          <w:sz w:val="18"/>
          <w:szCs w:val="18"/>
        </w:rPr>
      </w:pPr>
      <w:r w:rsidRPr="001C0914">
        <w:rPr>
          <w:rStyle w:val="FootnoteReference"/>
          <w:sz w:val="18"/>
          <w:szCs w:val="18"/>
        </w:rPr>
        <w:footnoteRef/>
      </w:r>
      <w:r w:rsidRPr="001C0914">
        <w:rPr>
          <w:sz w:val="18"/>
          <w:szCs w:val="18"/>
        </w:rPr>
        <w:t xml:space="preserve"> 2008. године </w:t>
      </w:r>
      <w:r>
        <w:rPr>
          <w:sz w:val="18"/>
          <w:szCs w:val="18"/>
        </w:rPr>
        <w:t>РС</w:t>
      </w:r>
      <w:r w:rsidRPr="001C0914">
        <w:rPr>
          <w:sz w:val="18"/>
          <w:szCs w:val="18"/>
        </w:rPr>
        <w:t xml:space="preserve"> је потписала Споразум о стабилизацији и придруживању са ЕУ, који је након завршеног процеса ратификације, ступио на снагу 1. септембра 2013. године, чиме је РС добила статус државе придружене ЕУ. Званични захтев за чланство </w:t>
      </w:r>
      <w:r>
        <w:rPr>
          <w:sz w:val="18"/>
          <w:szCs w:val="18"/>
        </w:rPr>
        <w:t>РС</w:t>
      </w:r>
      <w:r w:rsidRPr="001C0914">
        <w:rPr>
          <w:sz w:val="18"/>
          <w:szCs w:val="18"/>
        </w:rPr>
        <w:t xml:space="preserve"> је поднела 22. децембра 2009. године, а статус кандидата за чланство у ЕУ је стекла 1. марта 2012. Преговори РС и ЕУ формално су почели првим састанком Међувладине конференције 21. јануара 2014. године. Од 35 преговарачких поглавља, 18 је отворено до децембра 2019. године (Поглавље 4 – Слободно кретање капитала, Поглавље 5 – Јавне набавке, Поглавље 6 – Право привредних друштава, Поглавље 7 – Интелектуална својина, Поглавље 9 – Финансијске услуге, Поглавље 13 – Рибарство, Поглавље 17 – Економска и монетарна политика, Поглавље 18 – Статистика, Поглавље 20 – Предузетништво и индустријска политика, Поглавље 23 – Правосуђе и основна права, Поглавље 24 – Правда, слобода и безбедност, Поглавље 25 – Наука и истраживање, Поглавље 26 – Образовање и култура, Поглавље 29 – Царинска унија, Поглавље 30 – Економски односи са иностранством, Поглавље 32 – Финансијски надзор, Поглавље 33 – Финансијске и буџетске одредбе и Поглавље 35 – Остало). Поглавље 25 (Наука и истраживање) и Поглавље 26 (Образовање и култура) привремено су и затворена.</w:t>
      </w:r>
    </w:p>
  </w:footnote>
  <w:footnote w:id="10">
    <w:p w14:paraId="032F18FD" w14:textId="77777777" w:rsidR="00876FFE" w:rsidRPr="001C0914" w:rsidRDefault="00876FFE" w:rsidP="001C0914">
      <w:pPr>
        <w:spacing w:before="0" w:after="0"/>
        <w:ind w:firstLine="0"/>
        <w:rPr>
          <w:sz w:val="18"/>
          <w:szCs w:val="18"/>
          <w:lang w:val="ru-RU"/>
        </w:rPr>
      </w:pPr>
      <w:r w:rsidRPr="001C0914">
        <w:rPr>
          <w:rStyle w:val="FootnoteReference"/>
          <w:sz w:val="18"/>
          <w:szCs w:val="18"/>
        </w:rPr>
        <w:footnoteRef/>
      </w:r>
      <w:r w:rsidRPr="001C0914">
        <w:rPr>
          <w:sz w:val="18"/>
          <w:szCs w:val="18"/>
          <w:lang w:val="sr-Cyrl-CS"/>
        </w:rPr>
        <w:t xml:space="preserve"> </w:t>
      </w:r>
      <w:r w:rsidRPr="001C0914">
        <w:rPr>
          <w:sz w:val="18"/>
          <w:szCs w:val="18"/>
          <w:lang w:val="uz-Cyrl-UZ"/>
        </w:rPr>
        <w:t xml:space="preserve">Административни капацитети потребни за </w:t>
      </w:r>
      <w:r w:rsidRPr="001C0914">
        <w:rPr>
          <w:sz w:val="18"/>
          <w:szCs w:val="18"/>
          <w:lang w:val="ru-RU"/>
        </w:rPr>
        <w:t xml:space="preserve">за транспозицију </w:t>
      </w:r>
      <w:r w:rsidRPr="001C0914">
        <w:rPr>
          <w:i/>
          <w:iCs/>
          <w:sz w:val="18"/>
          <w:szCs w:val="18"/>
        </w:rPr>
        <w:t>acquis</w:t>
      </w:r>
      <w:r w:rsidRPr="001C0914">
        <w:rPr>
          <w:sz w:val="18"/>
          <w:szCs w:val="18"/>
          <w:lang w:val="ru-RU"/>
        </w:rPr>
        <w:t xml:space="preserve"> и преузимање обавеза као чланица ЕУ су подвучени </w:t>
      </w:r>
      <w:r w:rsidRPr="001C0914">
        <w:rPr>
          <w:sz w:val="18"/>
          <w:szCs w:val="18"/>
          <w:lang w:val="uz-Cyrl-UZ"/>
        </w:rPr>
        <w:t xml:space="preserve">на </w:t>
      </w:r>
      <w:r w:rsidRPr="001C0914">
        <w:rPr>
          <w:sz w:val="18"/>
          <w:szCs w:val="18"/>
          <w:lang w:val="ru-RU"/>
        </w:rPr>
        <w:t>саста</w:t>
      </w:r>
      <w:r w:rsidRPr="001C0914">
        <w:rPr>
          <w:sz w:val="18"/>
          <w:szCs w:val="18"/>
          <w:lang w:val="uz-Cyrl-UZ"/>
        </w:rPr>
        <w:t>нку</w:t>
      </w:r>
      <w:r w:rsidRPr="001C0914">
        <w:rPr>
          <w:sz w:val="18"/>
          <w:szCs w:val="18"/>
          <w:lang w:val="ru-RU"/>
        </w:rPr>
        <w:t xml:space="preserve"> Европског савета у Копенхагену 1993. године</w:t>
      </w:r>
    </w:p>
    <w:p w14:paraId="40DE40DB" w14:textId="77777777" w:rsidR="00876FFE" w:rsidRPr="003C3404" w:rsidRDefault="00876FFE" w:rsidP="00215A61">
      <w:pPr>
        <w:spacing w:before="0" w:after="0"/>
        <w:ind w:firstLine="0"/>
        <w:rPr>
          <w:sz w:val="18"/>
          <w:szCs w:val="18"/>
          <w:lang w:val="uz-Cyrl-UZ"/>
        </w:rPr>
      </w:pPr>
      <w:r w:rsidRPr="003C3404">
        <w:rPr>
          <w:sz w:val="18"/>
          <w:szCs w:val="18"/>
          <w:lang w:val="sr-Cyrl-CS"/>
        </w:rPr>
        <w:t xml:space="preserve"> (</w:t>
      </w:r>
      <w:hyperlink r:id="rId8" w:history="1">
        <w:r w:rsidRPr="003C3404">
          <w:rPr>
            <w:rStyle w:val="Hyperlink"/>
            <w:sz w:val="18"/>
            <w:szCs w:val="18"/>
          </w:rPr>
          <w:t>https</w:t>
        </w:r>
        <w:r w:rsidRPr="003C3404">
          <w:rPr>
            <w:rStyle w:val="Hyperlink"/>
            <w:sz w:val="18"/>
            <w:szCs w:val="18"/>
            <w:lang w:val="sr-Cyrl-CS"/>
          </w:rPr>
          <w:t>://</w:t>
        </w:r>
        <w:r w:rsidRPr="003C3404">
          <w:rPr>
            <w:rStyle w:val="Hyperlink"/>
            <w:sz w:val="18"/>
            <w:szCs w:val="18"/>
          </w:rPr>
          <w:t>www</w:t>
        </w:r>
        <w:r w:rsidRPr="003C3404">
          <w:rPr>
            <w:rStyle w:val="Hyperlink"/>
            <w:sz w:val="18"/>
            <w:szCs w:val="18"/>
            <w:lang w:val="sr-Cyrl-CS"/>
          </w:rPr>
          <w:t>.</w:t>
        </w:r>
        <w:r w:rsidRPr="003C3404">
          <w:rPr>
            <w:rStyle w:val="Hyperlink"/>
            <w:sz w:val="18"/>
            <w:szCs w:val="18"/>
          </w:rPr>
          <w:t>consilium</w:t>
        </w:r>
        <w:r w:rsidRPr="003C3404">
          <w:rPr>
            <w:rStyle w:val="Hyperlink"/>
            <w:sz w:val="18"/>
            <w:szCs w:val="18"/>
            <w:lang w:val="sr-Cyrl-CS"/>
          </w:rPr>
          <w:t>.</w:t>
        </w:r>
        <w:r w:rsidRPr="003C3404">
          <w:rPr>
            <w:rStyle w:val="Hyperlink"/>
            <w:sz w:val="18"/>
            <w:szCs w:val="18"/>
          </w:rPr>
          <w:t>europa</w:t>
        </w:r>
        <w:r w:rsidRPr="003C3404">
          <w:rPr>
            <w:rStyle w:val="Hyperlink"/>
            <w:sz w:val="18"/>
            <w:szCs w:val="18"/>
            <w:lang w:val="sr-Cyrl-CS"/>
          </w:rPr>
          <w:t>.</w:t>
        </w:r>
        <w:r w:rsidRPr="003C3404">
          <w:rPr>
            <w:rStyle w:val="Hyperlink"/>
            <w:sz w:val="18"/>
            <w:szCs w:val="18"/>
          </w:rPr>
          <w:t>eu</w:t>
        </w:r>
        <w:r w:rsidRPr="003C3404">
          <w:rPr>
            <w:rStyle w:val="Hyperlink"/>
            <w:sz w:val="18"/>
            <w:szCs w:val="18"/>
            <w:lang w:val="sr-Cyrl-CS"/>
          </w:rPr>
          <w:t>/</w:t>
        </w:r>
        <w:r w:rsidRPr="003C3404">
          <w:rPr>
            <w:rStyle w:val="Hyperlink"/>
            <w:sz w:val="18"/>
            <w:szCs w:val="18"/>
          </w:rPr>
          <w:t>media</w:t>
        </w:r>
        <w:r w:rsidRPr="003C3404">
          <w:rPr>
            <w:rStyle w:val="Hyperlink"/>
            <w:sz w:val="18"/>
            <w:szCs w:val="18"/>
            <w:lang w:val="sr-Cyrl-CS"/>
          </w:rPr>
          <w:t>/21225/72921.</w:t>
        </w:r>
        <w:r w:rsidRPr="003C3404">
          <w:rPr>
            <w:rStyle w:val="Hyperlink"/>
            <w:sz w:val="18"/>
            <w:szCs w:val="18"/>
          </w:rPr>
          <w:t>pdf</w:t>
        </w:r>
      </w:hyperlink>
      <w:r w:rsidRPr="003C3404">
        <w:rPr>
          <w:sz w:val="18"/>
          <w:szCs w:val="18"/>
          <w:lang w:val="sr-Cyrl-CS"/>
        </w:rPr>
        <w:t>)</w:t>
      </w:r>
      <w:r w:rsidRPr="003C3404">
        <w:rPr>
          <w:sz w:val="18"/>
          <w:szCs w:val="18"/>
          <w:lang w:val="ru-RU"/>
        </w:rPr>
        <w:t xml:space="preserve">, 1995. године у </w:t>
      </w:r>
      <w:r w:rsidRPr="003C3404">
        <w:rPr>
          <w:sz w:val="18"/>
          <w:szCs w:val="18"/>
        </w:rPr>
        <w:t>M</w:t>
      </w:r>
      <w:r w:rsidRPr="003C3404">
        <w:rPr>
          <w:sz w:val="18"/>
          <w:szCs w:val="18"/>
          <w:lang w:val="uz-Cyrl-UZ"/>
        </w:rPr>
        <w:t>адриду (</w:t>
      </w:r>
      <w:hyperlink r:id="rId9" w:history="1">
        <w:r w:rsidRPr="003C3404">
          <w:rPr>
            <w:rStyle w:val="Hyperlink"/>
            <w:sz w:val="18"/>
            <w:szCs w:val="18"/>
          </w:rPr>
          <w:t>https</w:t>
        </w:r>
        <w:r w:rsidRPr="003C3404">
          <w:rPr>
            <w:rStyle w:val="Hyperlink"/>
            <w:sz w:val="18"/>
            <w:szCs w:val="18"/>
            <w:lang w:val="sr-Cyrl-CS"/>
          </w:rPr>
          <w:t>://</w:t>
        </w:r>
        <w:r w:rsidRPr="003C3404">
          <w:rPr>
            <w:rStyle w:val="Hyperlink"/>
            <w:sz w:val="18"/>
            <w:szCs w:val="18"/>
          </w:rPr>
          <w:t>ec</w:t>
        </w:r>
        <w:r w:rsidRPr="003C3404">
          <w:rPr>
            <w:rStyle w:val="Hyperlink"/>
            <w:sz w:val="18"/>
            <w:szCs w:val="18"/>
            <w:lang w:val="sr-Cyrl-CS"/>
          </w:rPr>
          <w:t>.</w:t>
        </w:r>
        <w:r w:rsidRPr="003C3404">
          <w:rPr>
            <w:rStyle w:val="Hyperlink"/>
            <w:sz w:val="18"/>
            <w:szCs w:val="18"/>
          </w:rPr>
          <w:t>europa</w:t>
        </w:r>
        <w:r w:rsidRPr="003C3404">
          <w:rPr>
            <w:rStyle w:val="Hyperlink"/>
            <w:sz w:val="18"/>
            <w:szCs w:val="18"/>
            <w:lang w:val="sr-Cyrl-CS"/>
          </w:rPr>
          <w:t>.</w:t>
        </w:r>
        <w:r w:rsidRPr="003C3404">
          <w:rPr>
            <w:rStyle w:val="Hyperlink"/>
            <w:sz w:val="18"/>
            <w:szCs w:val="18"/>
          </w:rPr>
          <w:t>eu</w:t>
        </w:r>
        <w:r w:rsidRPr="003C3404">
          <w:rPr>
            <w:rStyle w:val="Hyperlink"/>
            <w:sz w:val="18"/>
            <w:szCs w:val="18"/>
            <w:lang w:val="sr-Cyrl-CS"/>
          </w:rPr>
          <w:t>/</w:t>
        </w:r>
        <w:r w:rsidRPr="003C3404">
          <w:rPr>
            <w:rStyle w:val="Hyperlink"/>
            <w:sz w:val="18"/>
            <w:szCs w:val="18"/>
          </w:rPr>
          <w:t>commission</w:t>
        </w:r>
        <w:r w:rsidRPr="003C3404">
          <w:rPr>
            <w:rStyle w:val="Hyperlink"/>
            <w:sz w:val="18"/>
            <w:szCs w:val="18"/>
            <w:lang w:val="sr-Cyrl-CS"/>
          </w:rPr>
          <w:t>/</w:t>
        </w:r>
        <w:r w:rsidRPr="003C3404">
          <w:rPr>
            <w:rStyle w:val="Hyperlink"/>
            <w:sz w:val="18"/>
            <w:szCs w:val="18"/>
          </w:rPr>
          <w:t>presscorner</w:t>
        </w:r>
        <w:r w:rsidRPr="003C3404">
          <w:rPr>
            <w:rStyle w:val="Hyperlink"/>
            <w:sz w:val="18"/>
            <w:szCs w:val="18"/>
            <w:lang w:val="sr-Cyrl-CS"/>
          </w:rPr>
          <w:t>/</w:t>
        </w:r>
        <w:r w:rsidRPr="003C3404">
          <w:rPr>
            <w:rStyle w:val="Hyperlink"/>
            <w:sz w:val="18"/>
            <w:szCs w:val="18"/>
          </w:rPr>
          <w:t>detail</w:t>
        </w:r>
        <w:r w:rsidRPr="003C3404">
          <w:rPr>
            <w:rStyle w:val="Hyperlink"/>
            <w:sz w:val="18"/>
            <w:szCs w:val="18"/>
            <w:lang w:val="sr-Cyrl-CS"/>
          </w:rPr>
          <w:t>/</w:t>
        </w:r>
        <w:r w:rsidRPr="003C3404">
          <w:rPr>
            <w:rStyle w:val="Hyperlink"/>
            <w:sz w:val="18"/>
            <w:szCs w:val="18"/>
          </w:rPr>
          <w:t>en</w:t>
        </w:r>
        <w:r w:rsidRPr="003C3404">
          <w:rPr>
            <w:rStyle w:val="Hyperlink"/>
            <w:sz w:val="18"/>
            <w:szCs w:val="18"/>
            <w:lang w:val="sr-Cyrl-CS"/>
          </w:rPr>
          <w:t>/</w:t>
        </w:r>
        <w:r w:rsidRPr="003C3404">
          <w:rPr>
            <w:rStyle w:val="Hyperlink"/>
            <w:sz w:val="18"/>
            <w:szCs w:val="18"/>
          </w:rPr>
          <w:t>DOC</w:t>
        </w:r>
        <w:r w:rsidRPr="003C3404">
          <w:rPr>
            <w:rStyle w:val="Hyperlink"/>
            <w:sz w:val="18"/>
            <w:szCs w:val="18"/>
            <w:lang w:val="sr-Cyrl-CS"/>
          </w:rPr>
          <w:t>_95_9</w:t>
        </w:r>
      </w:hyperlink>
      <w:r w:rsidRPr="003C3404">
        <w:rPr>
          <w:sz w:val="18"/>
          <w:szCs w:val="18"/>
          <w:lang w:val="uz-Cyrl-UZ"/>
        </w:rPr>
        <w:t xml:space="preserve">) и </w:t>
      </w:r>
      <w:r w:rsidRPr="003C3404">
        <w:rPr>
          <w:sz w:val="18"/>
          <w:szCs w:val="18"/>
          <w:lang w:val="ru-RU"/>
        </w:rPr>
        <w:t>постали су критеријум предуслов у приступним преговорима са ЕУ:</w:t>
      </w:r>
      <w:r w:rsidRPr="003C3404">
        <w:rPr>
          <w:sz w:val="18"/>
          <w:szCs w:val="18"/>
          <w:lang w:val="sr-Cyrl-CS"/>
        </w:rPr>
        <w:t xml:space="preserve"> </w:t>
      </w:r>
      <w:hyperlink r:id="rId10" w:history="1">
        <w:r w:rsidRPr="003C3404">
          <w:rPr>
            <w:rStyle w:val="Hyperlink"/>
            <w:sz w:val="18"/>
            <w:szCs w:val="18"/>
          </w:rPr>
          <w:t>https</w:t>
        </w:r>
        <w:r w:rsidRPr="003C3404">
          <w:rPr>
            <w:rStyle w:val="Hyperlink"/>
            <w:sz w:val="18"/>
            <w:szCs w:val="18"/>
            <w:lang w:val="sr-Cyrl-CS"/>
          </w:rPr>
          <w:t>://</w:t>
        </w:r>
        <w:r w:rsidRPr="003C3404">
          <w:rPr>
            <w:rStyle w:val="Hyperlink"/>
            <w:sz w:val="18"/>
            <w:szCs w:val="18"/>
          </w:rPr>
          <w:t>ec</w:t>
        </w:r>
        <w:r w:rsidRPr="003C3404">
          <w:rPr>
            <w:rStyle w:val="Hyperlink"/>
            <w:sz w:val="18"/>
            <w:szCs w:val="18"/>
            <w:lang w:val="sr-Cyrl-CS"/>
          </w:rPr>
          <w:t>.</w:t>
        </w:r>
        <w:r w:rsidRPr="003C3404">
          <w:rPr>
            <w:rStyle w:val="Hyperlink"/>
            <w:sz w:val="18"/>
            <w:szCs w:val="18"/>
          </w:rPr>
          <w:t>europa</w:t>
        </w:r>
        <w:r w:rsidRPr="003C3404">
          <w:rPr>
            <w:rStyle w:val="Hyperlink"/>
            <w:sz w:val="18"/>
            <w:szCs w:val="18"/>
            <w:lang w:val="sr-Cyrl-CS"/>
          </w:rPr>
          <w:t>.</w:t>
        </w:r>
        <w:r w:rsidRPr="003C3404">
          <w:rPr>
            <w:rStyle w:val="Hyperlink"/>
            <w:sz w:val="18"/>
            <w:szCs w:val="18"/>
          </w:rPr>
          <w:t>eu</w:t>
        </w:r>
        <w:r w:rsidRPr="003C3404">
          <w:rPr>
            <w:rStyle w:val="Hyperlink"/>
            <w:sz w:val="18"/>
            <w:szCs w:val="18"/>
            <w:lang w:val="sr-Cyrl-CS"/>
          </w:rPr>
          <w:t>/</w:t>
        </w:r>
        <w:r w:rsidRPr="003C3404">
          <w:rPr>
            <w:rStyle w:val="Hyperlink"/>
            <w:sz w:val="18"/>
            <w:szCs w:val="18"/>
          </w:rPr>
          <w:t>neighbourhood</w:t>
        </w:r>
        <w:r w:rsidRPr="003C3404">
          <w:rPr>
            <w:rStyle w:val="Hyperlink"/>
            <w:sz w:val="18"/>
            <w:szCs w:val="18"/>
            <w:lang w:val="sr-Cyrl-CS"/>
          </w:rPr>
          <w:t>-</w:t>
        </w:r>
        <w:r w:rsidRPr="003C3404">
          <w:rPr>
            <w:rStyle w:val="Hyperlink"/>
            <w:sz w:val="18"/>
            <w:szCs w:val="18"/>
          </w:rPr>
          <w:t>enlargement</w:t>
        </w:r>
        <w:r w:rsidRPr="003C3404">
          <w:rPr>
            <w:rStyle w:val="Hyperlink"/>
            <w:sz w:val="18"/>
            <w:szCs w:val="18"/>
            <w:lang w:val="sr-Cyrl-CS"/>
          </w:rPr>
          <w:t>/</w:t>
        </w:r>
        <w:r w:rsidRPr="003C3404">
          <w:rPr>
            <w:rStyle w:val="Hyperlink"/>
            <w:sz w:val="18"/>
            <w:szCs w:val="18"/>
          </w:rPr>
          <w:t>policy</w:t>
        </w:r>
        <w:r w:rsidRPr="003C3404">
          <w:rPr>
            <w:rStyle w:val="Hyperlink"/>
            <w:sz w:val="18"/>
            <w:szCs w:val="18"/>
            <w:lang w:val="sr-Cyrl-CS"/>
          </w:rPr>
          <w:t>/</w:t>
        </w:r>
        <w:r w:rsidRPr="003C3404">
          <w:rPr>
            <w:rStyle w:val="Hyperlink"/>
            <w:sz w:val="18"/>
            <w:szCs w:val="18"/>
          </w:rPr>
          <w:t>glossary</w:t>
        </w:r>
        <w:r w:rsidRPr="003C3404">
          <w:rPr>
            <w:rStyle w:val="Hyperlink"/>
            <w:sz w:val="18"/>
            <w:szCs w:val="18"/>
            <w:lang w:val="sr-Cyrl-CS"/>
          </w:rPr>
          <w:t>/</w:t>
        </w:r>
        <w:r w:rsidRPr="003C3404">
          <w:rPr>
            <w:rStyle w:val="Hyperlink"/>
            <w:sz w:val="18"/>
            <w:szCs w:val="18"/>
          </w:rPr>
          <w:t>terms</w:t>
        </w:r>
        <w:r w:rsidRPr="003C3404">
          <w:rPr>
            <w:rStyle w:val="Hyperlink"/>
            <w:sz w:val="18"/>
            <w:szCs w:val="18"/>
            <w:lang w:val="sr-Cyrl-CS"/>
          </w:rPr>
          <w:t>/</w:t>
        </w:r>
        <w:r w:rsidRPr="003C3404">
          <w:rPr>
            <w:rStyle w:val="Hyperlink"/>
            <w:sz w:val="18"/>
            <w:szCs w:val="18"/>
          </w:rPr>
          <w:t>accession</w:t>
        </w:r>
        <w:r w:rsidRPr="003C3404">
          <w:rPr>
            <w:rStyle w:val="Hyperlink"/>
            <w:sz w:val="18"/>
            <w:szCs w:val="18"/>
            <w:lang w:val="sr-Cyrl-CS"/>
          </w:rPr>
          <w:t>-</w:t>
        </w:r>
        <w:r w:rsidRPr="003C3404">
          <w:rPr>
            <w:rStyle w:val="Hyperlink"/>
            <w:sz w:val="18"/>
            <w:szCs w:val="18"/>
          </w:rPr>
          <w:t>criteria</w:t>
        </w:r>
        <w:r w:rsidRPr="003C3404">
          <w:rPr>
            <w:rStyle w:val="Hyperlink"/>
            <w:sz w:val="18"/>
            <w:szCs w:val="18"/>
            <w:lang w:val="sr-Cyrl-CS"/>
          </w:rPr>
          <w:t>_</w:t>
        </w:r>
        <w:r w:rsidRPr="003C3404">
          <w:rPr>
            <w:rStyle w:val="Hyperlink"/>
            <w:sz w:val="18"/>
            <w:szCs w:val="18"/>
          </w:rPr>
          <w:t>en</w:t>
        </w:r>
      </w:hyperlink>
    </w:p>
  </w:footnote>
  <w:footnote w:id="11">
    <w:p w14:paraId="296AEC13" w14:textId="275BD588" w:rsidR="00876FFE" w:rsidRPr="003C3404" w:rsidRDefault="00876FFE" w:rsidP="00215A61">
      <w:pPr>
        <w:pStyle w:val="FootnoteText"/>
        <w:rPr>
          <w:sz w:val="18"/>
          <w:szCs w:val="18"/>
          <w:lang w:val="sr-Cyrl-CS"/>
        </w:rPr>
      </w:pPr>
      <w:r w:rsidRPr="003C3404">
        <w:rPr>
          <w:rStyle w:val="FootnoteReference"/>
          <w:sz w:val="18"/>
          <w:szCs w:val="18"/>
        </w:rPr>
        <w:footnoteRef/>
      </w:r>
      <w:r w:rsidRPr="003C3404">
        <w:rPr>
          <w:sz w:val="18"/>
          <w:szCs w:val="18"/>
        </w:rPr>
        <w:t xml:space="preserve"> </w:t>
      </w:r>
      <w:r w:rsidRPr="003C3404">
        <w:rPr>
          <w:sz w:val="18"/>
          <w:szCs w:val="18"/>
          <w:lang w:val="sr-Cyrl-CS"/>
        </w:rPr>
        <w:t xml:space="preserve">Принципи јавне управе, </w:t>
      </w:r>
      <w:r w:rsidRPr="003C3404">
        <w:rPr>
          <w:i/>
          <w:sz w:val="18"/>
          <w:szCs w:val="18"/>
          <w:lang w:val="sr-Cyrl-CS"/>
        </w:rPr>
        <w:t>OECD</w:t>
      </w:r>
      <w:r w:rsidRPr="003C3404">
        <w:rPr>
          <w:sz w:val="18"/>
          <w:szCs w:val="18"/>
          <w:lang w:val="sr-Cyrl-CS"/>
        </w:rPr>
        <w:t>/</w:t>
      </w:r>
      <w:r w:rsidRPr="00351859">
        <w:rPr>
          <w:i/>
          <w:sz w:val="18"/>
          <w:szCs w:val="18"/>
          <w:lang w:val="sr-Cyrl-CS"/>
        </w:rPr>
        <w:t>SIGMA</w:t>
      </w:r>
      <w:r w:rsidRPr="003C3404">
        <w:rPr>
          <w:sz w:val="18"/>
          <w:szCs w:val="18"/>
          <w:lang w:val="sr-Cyrl-CS"/>
        </w:rPr>
        <w:t>, издање 2014:</w:t>
      </w:r>
    </w:p>
    <w:p w14:paraId="05EF6F92" w14:textId="77777777" w:rsidR="00876FFE" w:rsidRPr="003C3404" w:rsidRDefault="00876FFE" w:rsidP="00215A61">
      <w:pPr>
        <w:pStyle w:val="FootnoteText"/>
        <w:rPr>
          <w:sz w:val="18"/>
          <w:szCs w:val="18"/>
        </w:rPr>
      </w:pPr>
      <w:r w:rsidRPr="003C3404">
        <w:rPr>
          <w:sz w:val="18"/>
          <w:szCs w:val="18"/>
          <w:lang w:val="sr-Cyrl-CS"/>
        </w:rPr>
        <w:t xml:space="preserve"> </w:t>
      </w:r>
      <w:r w:rsidRPr="003C3404">
        <w:rPr>
          <w:rStyle w:val="Hyperlink"/>
          <w:sz w:val="18"/>
          <w:szCs w:val="18"/>
          <w:lang w:val="sr-Cyrl-CS"/>
        </w:rPr>
        <w:t>http://www.sigmaweb.org/publications/Principles-Public-Administration-Overview-Serbian.pdf</w:t>
      </w:r>
      <w:r w:rsidRPr="003C3404">
        <w:rPr>
          <w:sz w:val="18"/>
          <w:szCs w:val="18"/>
          <w:lang w:val="sr-Cyrl-CS"/>
        </w:rPr>
        <w:t xml:space="preserve"> , издање 2017: </w:t>
      </w:r>
      <w:hyperlink r:id="rId11" w:history="1">
        <w:r w:rsidRPr="003C3404">
          <w:rPr>
            <w:rStyle w:val="Hyperlink"/>
            <w:sz w:val="18"/>
            <w:szCs w:val="18"/>
            <w:lang w:val="sr-Cyrl-CS"/>
          </w:rPr>
          <w:t>http://www.sigmaweb.org/publications/Principles_of_Public_Administration_2017_edition_SER.pdf</w:t>
        </w:r>
      </w:hyperlink>
      <w:r w:rsidRPr="003C3404">
        <w:rPr>
          <w:sz w:val="18"/>
          <w:szCs w:val="18"/>
          <w:lang w:val="sr-Cyrl-CS"/>
        </w:rPr>
        <w:t xml:space="preserve"> </w:t>
      </w:r>
    </w:p>
  </w:footnote>
  <w:footnote w:id="12">
    <w:p w14:paraId="4D97DF46" w14:textId="017A0341"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Европски принципи јавне управе, </w:t>
      </w:r>
      <w:r w:rsidRPr="003C3404">
        <w:rPr>
          <w:i/>
          <w:sz w:val="18"/>
          <w:szCs w:val="18"/>
          <w:lang w:val="uz-Cyrl-UZ"/>
        </w:rPr>
        <w:t>OECD</w:t>
      </w:r>
      <w:r w:rsidRPr="003C3404">
        <w:rPr>
          <w:sz w:val="18"/>
          <w:szCs w:val="18"/>
          <w:lang w:val="uz-Cyrl-UZ"/>
        </w:rPr>
        <w:t>/</w:t>
      </w:r>
      <w:r w:rsidRPr="00351859">
        <w:rPr>
          <w:i/>
          <w:sz w:val="18"/>
          <w:szCs w:val="18"/>
          <w:lang w:val="uz-Cyrl-UZ"/>
        </w:rPr>
        <w:t>SIGMA</w:t>
      </w:r>
      <w:r w:rsidRPr="003C3404">
        <w:rPr>
          <w:sz w:val="18"/>
          <w:szCs w:val="18"/>
          <w:lang w:val="uz-Cyrl-UZ"/>
        </w:rPr>
        <w:t xml:space="preserve">, 1999, </w:t>
      </w:r>
      <w:hyperlink r:id="rId12" w:history="1">
        <w:r w:rsidRPr="003C3404">
          <w:rPr>
            <w:rStyle w:val="Hyperlink"/>
            <w:rFonts w:eastAsiaTheme="majorEastAsia"/>
            <w:sz w:val="18"/>
            <w:szCs w:val="18"/>
          </w:rPr>
          <w:t>https://www.oecd-ilibrary.org/governance/european-principles-for-public-administration_5kml60zwdr7h-en</w:t>
        </w:r>
      </w:hyperlink>
    </w:p>
  </w:footnote>
  <w:footnote w:id="13">
    <w:p w14:paraId="565D52DA"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Enhancing the accession process – A credible EU perspective for the Western Balkans</w:t>
      </w:r>
      <w:r w:rsidRPr="003C3404">
        <w:rPr>
          <w:sz w:val="18"/>
          <w:szCs w:val="18"/>
          <w:lang w:val="sr-Cyrl-RS"/>
        </w:rPr>
        <w:t xml:space="preserve">, </w:t>
      </w:r>
      <w:r w:rsidRPr="003C3404">
        <w:rPr>
          <w:sz w:val="18"/>
          <w:szCs w:val="18"/>
        </w:rPr>
        <w:t>5.2.2020</w:t>
      </w:r>
      <w:r w:rsidRPr="003C3404">
        <w:rPr>
          <w:sz w:val="18"/>
          <w:szCs w:val="18"/>
          <w:lang w:val="sr-Cyrl-RS"/>
        </w:rPr>
        <w:t xml:space="preserve">, </w:t>
      </w:r>
      <w:r w:rsidRPr="003C3404">
        <w:rPr>
          <w:sz w:val="18"/>
          <w:szCs w:val="18"/>
        </w:rPr>
        <w:t>Brussels,</w:t>
      </w:r>
      <w:r w:rsidRPr="003C3404">
        <w:rPr>
          <w:sz w:val="18"/>
          <w:szCs w:val="18"/>
          <w:lang w:val="sr-Cyrl-RS"/>
        </w:rPr>
        <w:t xml:space="preserve"> линк: </w:t>
      </w:r>
      <w:hyperlink r:id="rId13" w:history="1">
        <w:r w:rsidRPr="003C3404">
          <w:rPr>
            <w:rStyle w:val="Hyperlink"/>
            <w:sz w:val="18"/>
            <w:szCs w:val="18"/>
            <w:lang w:val="sr-Cyrl-RS"/>
          </w:rPr>
          <w:t>https://ec.europa.eu/neighbourhood-enlargement/sites/near/files/enlargement-methodology_en.pdf</w:t>
        </w:r>
      </w:hyperlink>
      <w:r w:rsidRPr="003C3404">
        <w:rPr>
          <w:sz w:val="18"/>
          <w:szCs w:val="18"/>
          <w:lang w:val="sr-Cyrl-RS"/>
        </w:rPr>
        <w:t xml:space="preserve"> </w:t>
      </w:r>
    </w:p>
  </w:footnote>
  <w:footnote w:id="14">
    <w:p w14:paraId="5540478A" w14:textId="4133C164" w:rsidR="00876FFE" w:rsidRPr="003C3404" w:rsidRDefault="00876FFE" w:rsidP="00215A61">
      <w:pPr>
        <w:shd w:val="clear" w:color="auto" w:fill="FFFFFF"/>
        <w:spacing w:before="0" w:after="0"/>
        <w:ind w:firstLine="0"/>
        <w:rPr>
          <w:color w:val="404040"/>
          <w:sz w:val="18"/>
          <w:szCs w:val="18"/>
        </w:rPr>
      </w:pPr>
      <w:r w:rsidRPr="003C3404">
        <w:rPr>
          <w:rStyle w:val="FootnoteReference"/>
          <w:sz w:val="18"/>
          <w:szCs w:val="18"/>
        </w:rPr>
        <w:footnoteRef/>
      </w:r>
      <w:r w:rsidRPr="003C3404">
        <w:rPr>
          <w:sz w:val="18"/>
          <w:szCs w:val="18"/>
          <w:lang w:val="sl-SI"/>
        </w:rPr>
        <w:t xml:space="preserve"> </w:t>
      </w:r>
      <w:r w:rsidRPr="00351859">
        <w:rPr>
          <w:bCs/>
          <w:i/>
          <w:sz w:val="18"/>
          <w:szCs w:val="18"/>
        </w:rPr>
        <w:t>IPA</w:t>
      </w:r>
      <w:r w:rsidRPr="003C3404">
        <w:rPr>
          <w:bCs/>
          <w:sz w:val="18"/>
          <w:szCs w:val="18"/>
          <w:lang w:val="sl-SI"/>
        </w:rPr>
        <w:t xml:space="preserve"> III 2021</w:t>
      </w:r>
      <w:r w:rsidRPr="003C3404">
        <w:rPr>
          <w:bCs/>
          <w:sz w:val="18"/>
          <w:szCs w:val="18"/>
        </w:rPr>
        <w:t>–</w:t>
      </w:r>
      <w:r w:rsidRPr="003C3404">
        <w:rPr>
          <w:bCs/>
          <w:sz w:val="18"/>
          <w:szCs w:val="18"/>
          <w:lang w:val="sl-SI"/>
        </w:rPr>
        <w:t>2027</w:t>
      </w:r>
      <w:r w:rsidRPr="003C3404">
        <w:rPr>
          <w:b/>
          <w:bCs/>
          <w:sz w:val="18"/>
          <w:szCs w:val="18"/>
        </w:rPr>
        <w:t xml:space="preserve"> – </w:t>
      </w:r>
      <w:r w:rsidRPr="003C3404">
        <w:rPr>
          <w:bCs/>
          <w:sz w:val="18"/>
          <w:szCs w:val="18"/>
        </w:rPr>
        <w:t>инструмент</w:t>
      </w:r>
      <w:r w:rsidRPr="003C3404">
        <w:rPr>
          <w:b/>
          <w:bCs/>
          <w:sz w:val="18"/>
          <w:szCs w:val="18"/>
        </w:rPr>
        <w:t xml:space="preserve"> </w:t>
      </w:r>
      <w:r w:rsidRPr="003C3404">
        <w:rPr>
          <w:rFonts w:eastAsia="Times New Roman"/>
          <w:sz w:val="18"/>
          <w:szCs w:val="18"/>
          <w:lang w:val="sl-SI"/>
        </w:rPr>
        <w:t>бесповратн</w:t>
      </w:r>
      <w:r w:rsidRPr="003C3404">
        <w:rPr>
          <w:rFonts w:eastAsia="Times New Roman"/>
          <w:sz w:val="18"/>
          <w:szCs w:val="18"/>
        </w:rPr>
        <w:t>е</w:t>
      </w:r>
      <w:r w:rsidRPr="003C3404">
        <w:rPr>
          <w:rFonts w:eastAsia="Times New Roman"/>
          <w:sz w:val="18"/>
          <w:szCs w:val="18"/>
          <w:lang w:val="sl-SI"/>
        </w:rPr>
        <w:t xml:space="preserve"> </w:t>
      </w:r>
      <w:r w:rsidRPr="003C3404">
        <w:rPr>
          <w:rFonts w:eastAsia="Times New Roman"/>
          <w:sz w:val="18"/>
          <w:szCs w:val="18"/>
        </w:rPr>
        <w:t xml:space="preserve">претприступне </w:t>
      </w:r>
      <w:r w:rsidRPr="003C3404">
        <w:rPr>
          <w:rFonts w:eastAsia="Times New Roman"/>
          <w:sz w:val="18"/>
          <w:szCs w:val="18"/>
          <w:lang w:val="sl-SI"/>
        </w:rPr>
        <w:t>помоћ</w:t>
      </w:r>
      <w:r w:rsidRPr="003C3404">
        <w:rPr>
          <w:rFonts w:eastAsia="Times New Roman"/>
          <w:sz w:val="18"/>
          <w:szCs w:val="18"/>
        </w:rPr>
        <w:t>и</w:t>
      </w:r>
      <w:r w:rsidRPr="003C3404">
        <w:rPr>
          <w:rFonts w:eastAsia="Times New Roman"/>
          <w:sz w:val="18"/>
          <w:szCs w:val="18"/>
          <w:lang w:val="sl-SI"/>
        </w:rPr>
        <w:t xml:space="preserve"> за Западни Балкан и Турску у износу од 14</w:t>
      </w:r>
      <w:r w:rsidRPr="003C3404">
        <w:rPr>
          <w:rFonts w:eastAsia="Times New Roman"/>
          <w:sz w:val="18"/>
          <w:szCs w:val="18"/>
        </w:rPr>
        <w:t>,</w:t>
      </w:r>
      <w:r w:rsidRPr="003C3404">
        <w:rPr>
          <w:rFonts w:eastAsia="Times New Roman"/>
          <w:sz w:val="18"/>
          <w:szCs w:val="18"/>
          <w:lang w:val="sl-SI"/>
        </w:rPr>
        <w:t>5 милијарди евра за финансирање пројеката који доприносе спровођењу политичких, економских и институционалних реформи и напредак у процесу европских интеграција</w:t>
      </w:r>
      <w:r w:rsidRPr="003C3404">
        <w:rPr>
          <w:rFonts w:eastAsia="Times New Roman"/>
          <w:sz w:val="18"/>
          <w:szCs w:val="18"/>
        </w:rPr>
        <w:t>.</w:t>
      </w:r>
    </w:p>
  </w:footnote>
  <w:footnote w:id="15">
    <w:p w14:paraId="1E056AE0"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Секторски реформски уговор за област реформе јавне управе: </w:t>
      </w:r>
    </w:p>
    <w:p w14:paraId="50E1E2E0" w14:textId="77777777" w:rsidR="00876FFE" w:rsidRPr="003C3404" w:rsidRDefault="00F47F65" w:rsidP="00215A61">
      <w:pPr>
        <w:pStyle w:val="FootnoteText"/>
        <w:rPr>
          <w:sz w:val="18"/>
          <w:szCs w:val="18"/>
        </w:rPr>
      </w:pPr>
      <w:hyperlink r:id="rId14" w:history="1">
        <w:r w:rsidR="00876FFE" w:rsidRPr="003C3404">
          <w:rPr>
            <w:rStyle w:val="Hyperlink"/>
            <w:rFonts w:eastAsiaTheme="majorEastAsia"/>
            <w:sz w:val="18"/>
            <w:szCs w:val="18"/>
          </w:rPr>
          <w:t>https://ec.europa.eu/neighbourhood-enlargement/sites/near/files/pdf/serbia/ipa/2015/pf_04_sector_reform_contract_for_public_administration_reform.pdf</w:t>
        </w:r>
      </w:hyperlink>
    </w:p>
  </w:footnote>
  <w:footnote w:id="16">
    <w:p w14:paraId="04C97A81"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Вести на сајту МДУЛС, 28. новембар 2019: </w:t>
      </w:r>
      <w:hyperlink r:id="rId15" w:history="1">
        <w:r w:rsidRPr="003C3404">
          <w:rPr>
            <w:rStyle w:val="Hyperlink"/>
            <w:rFonts w:eastAsiaTheme="majorEastAsia"/>
            <w:sz w:val="18"/>
            <w:szCs w:val="18"/>
          </w:rPr>
          <w:t>http://mduls.gov.rs/saopstenja/evropska-komisija-odobrila-prvu-transu-srbiji-od-30-5-miliona-evra-za-reformu-javne-uprave/</w:t>
        </w:r>
      </w:hyperlink>
    </w:p>
  </w:footnote>
  <w:footnote w:id="17">
    <w:p w14:paraId="406D5325"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Вест на сајту МДУЛС: </w:t>
      </w:r>
      <w:hyperlink r:id="rId16" w:history="1">
        <w:r w:rsidRPr="003C3404">
          <w:rPr>
            <w:rStyle w:val="Hyperlink"/>
            <w:sz w:val="18"/>
            <w:szCs w:val="18"/>
          </w:rPr>
          <w:t>http://mduls.gov.rs/saopstenja/jos-13-miliona-evra-u-budzet-srbije-od-eu-zbog-uspeha-u-reformi-javne-uprave-i-javnih-finansija/</w:t>
        </w:r>
      </w:hyperlink>
    </w:p>
  </w:footnote>
  <w:footnote w:id="18">
    <w:p w14:paraId="3D1B99B1"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w:t>
      </w:r>
      <w:r w:rsidRPr="003C3404">
        <w:rPr>
          <w:sz w:val="18"/>
          <w:szCs w:val="18"/>
          <w:lang w:val="sr-Cyrl-CS"/>
        </w:rPr>
        <w:t>Закон о</w:t>
      </w:r>
      <w:r w:rsidRPr="003C3404">
        <w:rPr>
          <w:bCs/>
          <w:sz w:val="18"/>
          <w:szCs w:val="18"/>
          <w:lang w:val="sr-Cyrl-CS"/>
        </w:rPr>
        <w:t xml:space="preserve"> потврђивању Споразума о зајму (Програм за </w:t>
      </w:r>
      <w:r w:rsidRPr="003C3404">
        <w:rPr>
          <w:bCs/>
          <w:sz w:val="18"/>
          <w:szCs w:val="18"/>
          <w:lang w:val="uz-Cyrl-UZ"/>
        </w:rPr>
        <w:t>р</w:t>
      </w:r>
      <w:r w:rsidRPr="003C3404">
        <w:rPr>
          <w:bCs/>
          <w:sz w:val="18"/>
          <w:szCs w:val="18"/>
          <w:lang w:val="sr-Cyrl-CS"/>
        </w:rPr>
        <w:t xml:space="preserve">езултате Светске банке – </w:t>
      </w:r>
      <w:r w:rsidRPr="003C3404">
        <w:rPr>
          <w:bCs/>
          <w:i/>
          <w:sz w:val="18"/>
          <w:szCs w:val="18"/>
        </w:rPr>
        <w:t>PforR</w:t>
      </w:r>
      <w:r w:rsidRPr="003C3404">
        <w:rPr>
          <w:bCs/>
          <w:sz w:val="18"/>
          <w:szCs w:val="18"/>
          <w:lang w:val="sr-Cyrl-CS"/>
        </w:rPr>
        <w:t>) – Програм модернизације и оптимизације јавне управе) између Републике Србије и Међународне банке</w:t>
      </w:r>
      <w:r w:rsidRPr="003C3404">
        <w:rPr>
          <w:bCs/>
          <w:sz w:val="18"/>
          <w:szCs w:val="18"/>
        </w:rPr>
        <w:t> </w:t>
      </w:r>
      <w:r w:rsidRPr="003C3404">
        <w:rPr>
          <w:bCs/>
          <w:sz w:val="18"/>
          <w:szCs w:val="18"/>
          <w:lang w:val="sr-Cyrl-CS"/>
        </w:rPr>
        <w:t>за обнову</w:t>
      </w:r>
      <w:r w:rsidRPr="003C3404">
        <w:rPr>
          <w:bCs/>
          <w:sz w:val="18"/>
          <w:szCs w:val="18"/>
        </w:rPr>
        <w:t> </w:t>
      </w:r>
      <w:r w:rsidRPr="003C3404">
        <w:rPr>
          <w:bCs/>
          <w:sz w:val="18"/>
          <w:szCs w:val="18"/>
          <w:lang w:val="sr-Cyrl-CS"/>
        </w:rPr>
        <w:t xml:space="preserve">и развој </w:t>
      </w:r>
      <w:r w:rsidRPr="003C3404">
        <w:rPr>
          <w:sz w:val="18"/>
          <w:szCs w:val="18"/>
          <w:lang w:val="sr-Cyrl-CS"/>
        </w:rPr>
        <w:t>(</w:t>
      </w:r>
      <w:r w:rsidRPr="003C3404">
        <w:rPr>
          <w:bCs/>
          <w:sz w:val="18"/>
          <w:szCs w:val="18"/>
          <w:lang w:val="sr-Cyrl-CS"/>
        </w:rPr>
        <w:t>€69М за период 2016–2019. године)</w:t>
      </w:r>
      <w:r w:rsidRPr="003C3404">
        <w:rPr>
          <w:sz w:val="18"/>
          <w:szCs w:val="18"/>
          <w:lang w:val="sr-Cyrl-CS"/>
        </w:rPr>
        <w:t xml:space="preserve"> од 15. новембра 2016. године.</w:t>
      </w:r>
    </w:p>
  </w:footnote>
  <w:footnote w:id="19">
    <w:p w14:paraId="66E400AD"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Циљеви одрживог развоја УН: </w:t>
      </w:r>
      <w:hyperlink r:id="rId17" w:history="1">
        <w:r w:rsidRPr="003C3404">
          <w:rPr>
            <w:rStyle w:val="Hyperlink"/>
            <w:sz w:val="18"/>
            <w:szCs w:val="18"/>
          </w:rPr>
          <w:t>http://sdg.indikatori.rs/</w:t>
        </w:r>
      </w:hyperlink>
    </w:p>
  </w:footnote>
  <w:footnote w:id="20">
    <w:p w14:paraId="3D088DDE" w14:textId="42036064"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Мониторинг извештај за Србију за Принципе јавне управе, новембар 2017, </w:t>
      </w:r>
      <w:r w:rsidRPr="003C3404">
        <w:rPr>
          <w:i/>
          <w:sz w:val="18"/>
          <w:szCs w:val="18"/>
          <w:lang w:val="uz-Cyrl-UZ"/>
        </w:rPr>
        <w:t>OECD</w:t>
      </w:r>
      <w:r w:rsidRPr="003C3404">
        <w:rPr>
          <w:sz w:val="18"/>
          <w:szCs w:val="18"/>
          <w:lang w:val="uz-Cyrl-UZ"/>
        </w:rPr>
        <w:t>/</w:t>
      </w:r>
      <w:r w:rsidRPr="00351859">
        <w:rPr>
          <w:i/>
          <w:sz w:val="18"/>
          <w:szCs w:val="18"/>
          <w:lang w:val="sr-Latn-RS"/>
        </w:rPr>
        <w:t>SIGMA</w:t>
      </w:r>
      <w:r w:rsidRPr="003C3404">
        <w:rPr>
          <w:sz w:val="18"/>
          <w:szCs w:val="18"/>
          <w:lang w:val="uz-Cyrl-UZ"/>
        </w:rPr>
        <w:t xml:space="preserve">, стр. 8–11: </w:t>
      </w:r>
      <w:hyperlink r:id="rId18" w:history="1">
        <w:r w:rsidRPr="003C3404">
          <w:rPr>
            <w:rStyle w:val="Hyperlink"/>
            <w:rFonts w:eastAsiaTheme="majorEastAsia"/>
            <w:sz w:val="18"/>
            <w:szCs w:val="18"/>
          </w:rPr>
          <w:t>http://www.sigmaweb.org/publications/Monitoring-Report-2017-Serbia.pdf</w:t>
        </w:r>
      </w:hyperlink>
    </w:p>
  </w:footnote>
  <w:footnote w:id="21">
    <w:p w14:paraId="0C3760A2"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Извештај о екстерној евалуациј</w:t>
      </w:r>
      <w:r w:rsidRPr="003C3404">
        <w:rPr>
          <w:sz w:val="18"/>
          <w:szCs w:val="18"/>
          <w:lang w:val="sr-Cyrl-RS"/>
        </w:rPr>
        <w:t>и</w:t>
      </w:r>
      <w:r w:rsidRPr="003C3404">
        <w:rPr>
          <w:sz w:val="18"/>
          <w:szCs w:val="18"/>
        </w:rPr>
        <w:t xml:space="preserve"> Стратегије РЈУ </w:t>
      </w:r>
      <w:r w:rsidRPr="003C3404">
        <w:rPr>
          <w:sz w:val="18"/>
          <w:szCs w:val="18"/>
          <w:lang w:val="sr-Cyrl-RS"/>
        </w:rPr>
        <w:t>–</w:t>
      </w:r>
      <w:r w:rsidRPr="003C3404">
        <w:rPr>
          <w:sz w:val="18"/>
          <w:szCs w:val="18"/>
        </w:rPr>
        <w:t xml:space="preserve"> Финални извештај </w:t>
      </w:r>
      <w:r w:rsidRPr="003C3404">
        <w:rPr>
          <w:sz w:val="18"/>
          <w:szCs w:val="18"/>
          <w:lang w:val="sr-Cyrl-RS"/>
        </w:rPr>
        <w:t>–</w:t>
      </w:r>
      <w:r w:rsidRPr="003C3404">
        <w:rPr>
          <w:sz w:val="18"/>
          <w:szCs w:val="18"/>
        </w:rPr>
        <w:t xml:space="preserve"> 21. </w:t>
      </w:r>
      <w:r w:rsidRPr="003C3404">
        <w:rPr>
          <w:sz w:val="18"/>
          <w:szCs w:val="18"/>
          <w:lang w:val="sr-Cyrl-RS"/>
        </w:rPr>
        <w:t>април</w:t>
      </w:r>
      <w:r w:rsidRPr="003C3404">
        <w:rPr>
          <w:sz w:val="18"/>
          <w:szCs w:val="18"/>
        </w:rPr>
        <w:t xml:space="preserve"> 2019</w:t>
      </w:r>
      <w:r w:rsidRPr="003C3404">
        <w:rPr>
          <w:sz w:val="18"/>
          <w:szCs w:val="18"/>
          <w:lang w:val="uz-Cyrl-UZ"/>
        </w:rPr>
        <w:t xml:space="preserve">, </w:t>
      </w:r>
      <w:r w:rsidRPr="003C3404">
        <w:rPr>
          <w:sz w:val="18"/>
          <w:szCs w:val="18"/>
        </w:rPr>
        <w:t>Подршка реформи јавне управе у оквиру Секторског реформског уговора за сектор реформе јавне управе EuropeAid/137928/DH/SER/RS</w:t>
      </w:r>
      <w:r w:rsidRPr="003C3404">
        <w:rPr>
          <w:sz w:val="18"/>
          <w:szCs w:val="18"/>
          <w:lang w:val="uz-Cyrl-UZ"/>
        </w:rPr>
        <w:t xml:space="preserve">, линк ка документу: </w:t>
      </w:r>
      <w:hyperlink r:id="rId19" w:history="1">
        <w:r w:rsidRPr="003C3404">
          <w:rPr>
            <w:rStyle w:val="Hyperlink"/>
            <w:rFonts w:eastAsiaTheme="majorEastAsia"/>
            <w:sz w:val="18"/>
            <w:szCs w:val="18"/>
          </w:rPr>
          <w:t>http://mduls.gov.rs/wp-content/uploads/190524-Final-Evaluation-Report-SR.pdf</w:t>
        </w:r>
      </w:hyperlink>
    </w:p>
  </w:footnote>
  <w:footnote w:id="22">
    <w:p w14:paraId="4382D84E" w14:textId="72BE1078"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lang w:val="sr-Cyrl-RS"/>
        </w:rPr>
        <w:t xml:space="preserve"> </w:t>
      </w:r>
      <w:r w:rsidRPr="003C3404">
        <w:rPr>
          <w:sz w:val="18"/>
          <w:szCs w:val="18"/>
        </w:rPr>
        <w:t>Извештај о екстерној евалуациј</w:t>
      </w:r>
      <w:r w:rsidRPr="003C3404">
        <w:rPr>
          <w:sz w:val="18"/>
          <w:szCs w:val="18"/>
          <w:lang w:val="sr-Cyrl-RS"/>
        </w:rPr>
        <w:t>и</w:t>
      </w:r>
      <w:r w:rsidRPr="003C3404">
        <w:rPr>
          <w:sz w:val="18"/>
          <w:szCs w:val="18"/>
        </w:rPr>
        <w:t xml:space="preserve"> Стратегије РЈУ </w:t>
      </w:r>
      <w:r w:rsidRPr="003C3404">
        <w:rPr>
          <w:sz w:val="18"/>
          <w:szCs w:val="18"/>
          <w:lang w:val="sr-Cyrl-RS"/>
        </w:rPr>
        <w:t>–</w:t>
      </w:r>
      <w:r w:rsidRPr="003C3404">
        <w:rPr>
          <w:sz w:val="18"/>
          <w:szCs w:val="18"/>
        </w:rPr>
        <w:t xml:space="preserve"> Финални извештај </w:t>
      </w:r>
      <w:r w:rsidRPr="003C3404">
        <w:rPr>
          <w:sz w:val="18"/>
          <w:szCs w:val="18"/>
          <w:lang w:val="sr-Cyrl-RS"/>
        </w:rPr>
        <w:t>–</w:t>
      </w:r>
      <w:r w:rsidRPr="003C3404">
        <w:rPr>
          <w:sz w:val="18"/>
          <w:szCs w:val="18"/>
        </w:rPr>
        <w:t xml:space="preserve"> 21. </w:t>
      </w:r>
      <w:r w:rsidRPr="003C3404">
        <w:rPr>
          <w:sz w:val="18"/>
          <w:szCs w:val="18"/>
          <w:lang w:val="sr-Cyrl-RS"/>
        </w:rPr>
        <w:t>април</w:t>
      </w:r>
      <w:r w:rsidRPr="003C3404">
        <w:rPr>
          <w:sz w:val="18"/>
          <w:szCs w:val="18"/>
        </w:rPr>
        <w:t xml:space="preserve"> 2019</w:t>
      </w:r>
      <w:r w:rsidRPr="003C3404">
        <w:rPr>
          <w:sz w:val="18"/>
          <w:szCs w:val="18"/>
          <w:lang w:val="uz-Cyrl-UZ"/>
        </w:rPr>
        <w:t xml:space="preserve">, </w:t>
      </w:r>
      <w:r w:rsidRPr="003C3404">
        <w:rPr>
          <w:sz w:val="18"/>
          <w:szCs w:val="18"/>
        </w:rPr>
        <w:t>Подршка реформи јавне управе у оквиру Секторског реформског уговора за сектор реформе јавне управе EuropeAid/137928/DH/SER/RS</w:t>
      </w:r>
      <w:r w:rsidRPr="003C3404">
        <w:rPr>
          <w:sz w:val="18"/>
          <w:szCs w:val="18"/>
          <w:lang w:val="uz-Cyrl-UZ"/>
        </w:rPr>
        <w:t xml:space="preserve">: </w:t>
      </w:r>
      <w:hyperlink r:id="rId20" w:history="1">
        <w:r w:rsidRPr="003C3404">
          <w:rPr>
            <w:rStyle w:val="Hyperlink"/>
            <w:rFonts w:eastAsiaTheme="majorEastAsia"/>
            <w:sz w:val="18"/>
            <w:szCs w:val="18"/>
          </w:rPr>
          <w:t>http://mduls.gov.rs/wp-content/uploads/190524-Final-Evaluation-Report-SR.pdf</w:t>
        </w:r>
      </w:hyperlink>
    </w:p>
  </w:footnote>
  <w:footnote w:id="23">
    <w:p w14:paraId="53875964"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Резиме Извештаја о екстерној евалуацији, стр.2, линк ка документу: </w:t>
      </w:r>
      <w:hyperlink r:id="rId21" w:history="1">
        <w:r w:rsidRPr="003C3404">
          <w:rPr>
            <w:rStyle w:val="Hyperlink"/>
            <w:sz w:val="18"/>
            <w:szCs w:val="18"/>
            <w:lang w:val="uz-Cyrl-UZ"/>
          </w:rPr>
          <w:t>http://mduls.gov.rs/wp-content/uploads/190524-Final-Evaluation-Report-SR.pdf</w:t>
        </w:r>
      </w:hyperlink>
      <w:r w:rsidRPr="003C3404">
        <w:rPr>
          <w:sz w:val="18"/>
          <w:szCs w:val="18"/>
        </w:rPr>
        <w:t xml:space="preserve"> (напомена: наглашени делови су болодвани и немају болд у Извештају о екстерној евалуацији)</w:t>
      </w:r>
    </w:p>
  </w:footnote>
  <w:footnote w:id="24">
    <w:p w14:paraId="7E9A860A" w14:textId="785B5A69"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Резиме Извештаја о екстерној евалуацији, стр.13, линк ка документу: </w:t>
      </w:r>
      <w:hyperlink r:id="rId22" w:history="1">
        <w:r w:rsidRPr="003C3404">
          <w:rPr>
            <w:rStyle w:val="Hyperlink"/>
            <w:sz w:val="18"/>
            <w:szCs w:val="18"/>
            <w:lang w:val="uz-Cyrl-UZ"/>
          </w:rPr>
          <w:t>http://mduls.gov.rs/wp-content/uploads/190524-Final-Evaluation-Report-SR.pdf</w:t>
        </w:r>
      </w:hyperlink>
      <w:r w:rsidRPr="003C3404">
        <w:rPr>
          <w:sz w:val="18"/>
          <w:szCs w:val="18"/>
        </w:rPr>
        <w:t xml:space="preserve">  (напомена: наглашени делови су болодвани и немају болд у Извештају о екстерној евалуацији)</w:t>
      </w:r>
    </w:p>
  </w:footnote>
  <w:footnote w:id="25">
    <w:p w14:paraId="69FA8437" w14:textId="77777777" w:rsidR="00876FFE" w:rsidRPr="003C3404" w:rsidRDefault="00876FFE" w:rsidP="00215A61">
      <w:pPr>
        <w:pStyle w:val="FootnoteText"/>
        <w:rPr>
          <w:sz w:val="18"/>
          <w:szCs w:val="18"/>
          <w:lang w:val="uz-Cyrl-UZ"/>
        </w:rPr>
      </w:pPr>
      <w:r w:rsidRPr="003C3404">
        <w:rPr>
          <w:sz w:val="18"/>
          <w:szCs w:val="18"/>
          <w:vertAlign w:val="superscript"/>
          <w:lang w:val="uz-Cyrl-UZ"/>
        </w:rPr>
        <w:t xml:space="preserve">21 </w:t>
      </w:r>
      <w:r w:rsidRPr="003C3404">
        <w:rPr>
          <w:sz w:val="18"/>
          <w:szCs w:val="18"/>
          <w:lang w:val="uz-Cyrl-UZ"/>
        </w:rPr>
        <w:t>Резиме Извештаја о екстерној евалуацији, стр. 20–21.</w:t>
      </w:r>
    </w:p>
  </w:footnote>
  <w:footnote w:id="26">
    <w:p w14:paraId="4AAF249F"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w:t>
      </w:r>
      <w:hyperlink r:id="rId23" w:history="1">
        <w:r w:rsidRPr="003C3404">
          <w:rPr>
            <w:rStyle w:val="Hyperlink"/>
            <w:sz w:val="18"/>
            <w:szCs w:val="18"/>
          </w:rPr>
          <w:t>http://www.pravno-informacioni-sistem.rs/SlGlasnikPortal/eli/rep/sgrs/vlada/uredba/2019/8/9/reg</w:t>
        </w:r>
      </w:hyperlink>
    </w:p>
  </w:footnote>
  <w:footnote w:id="27">
    <w:p w14:paraId="3C1CBE28" w14:textId="77777777" w:rsidR="00876FFE" w:rsidRPr="003C3404" w:rsidRDefault="00876FFE" w:rsidP="00215A61">
      <w:pPr>
        <w:pStyle w:val="FootnoteText"/>
        <w:jc w:val="left"/>
        <w:rPr>
          <w:sz w:val="18"/>
          <w:szCs w:val="18"/>
          <w:lang w:val="uz-Cyrl-UZ"/>
        </w:rPr>
      </w:pPr>
      <w:r w:rsidRPr="003C3404">
        <w:rPr>
          <w:rStyle w:val="FootnoteReference"/>
          <w:sz w:val="18"/>
          <w:szCs w:val="18"/>
        </w:rPr>
        <w:footnoteRef/>
      </w:r>
      <w:r w:rsidRPr="003C3404">
        <w:rPr>
          <w:sz w:val="18"/>
          <w:szCs w:val="18"/>
          <w:lang w:val="uz-Cyrl-UZ"/>
        </w:rPr>
        <w:t xml:space="preserve">Прилог 11 </w:t>
      </w:r>
      <w:r w:rsidRPr="003C3404">
        <w:rPr>
          <w:sz w:val="18"/>
          <w:szCs w:val="18"/>
          <w:lang w:val="sr-Cyrl-CS"/>
        </w:rPr>
        <w:t xml:space="preserve">Уредбе </w:t>
      </w:r>
      <w:hyperlink r:id="rId24" w:history="1">
        <w:r w:rsidRPr="003C3404">
          <w:rPr>
            <w:rStyle w:val="Hyperlink"/>
            <w:sz w:val="18"/>
            <w:szCs w:val="18"/>
          </w:rPr>
          <w:t>http://www.pravno-informacioni-sistem.rs/SlGlasnikPortal/prilozi/prilog11.html&amp;doctype=reg&amp;abc=cba&amp;eli=true&amp;eliActId=427799&amp;regactid=427799</w:t>
        </w:r>
      </w:hyperlink>
    </w:p>
  </w:footnote>
  <w:footnote w:id="28">
    <w:p w14:paraId="35B7C891" w14:textId="77777777" w:rsidR="00876FFE" w:rsidRPr="003C3404" w:rsidRDefault="00876FFE" w:rsidP="00215A61">
      <w:pPr>
        <w:pStyle w:val="Heading2"/>
        <w:spacing w:before="0" w:after="0" w:line="240" w:lineRule="auto"/>
        <w:rPr>
          <w:rFonts w:cs="Times New Roman"/>
          <w:sz w:val="18"/>
          <w:szCs w:val="18"/>
          <w:lang w:val="uz-Cyrl-UZ"/>
        </w:rPr>
      </w:pPr>
      <w:r w:rsidRPr="003C3404">
        <w:rPr>
          <w:rStyle w:val="FootnoteReference"/>
          <w:rFonts w:cs="Times New Roman"/>
          <w:color w:val="auto"/>
          <w:sz w:val="18"/>
          <w:szCs w:val="18"/>
        </w:rPr>
        <w:footnoteRef/>
      </w:r>
      <w:r w:rsidRPr="003C3404">
        <w:rPr>
          <w:rFonts w:cs="Times New Roman"/>
          <w:color w:val="auto"/>
          <w:sz w:val="18"/>
          <w:szCs w:val="18"/>
          <w:lang w:val="sr-Latn-CS"/>
        </w:rPr>
        <w:t xml:space="preserve"> </w:t>
      </w:r>
      <w:r w:rsidRPr="003C3404">
        <w:rPr>
          <w:rFonts w:cs="Times New Roman"/>
          <w:color w:val="auto"/>
          <w:sz w:val="18"/>
          <w:szCs w:val="18"/>
          <w:lang w:val="uz-Cyrl-UZ"/>
        </w:rPr>
        <w:t xml:space="preserve">Прилог </w:t>
      </w:r>
      <w:r w:rsidRPr="003C3404">
        <w:rPr>
          <w:rStyle w:val="Strong"/>
          <w:rFonts w:cs="Times New Roman"/>
          <w:b w:val="0"/>
          <w:color w:val="auto"/>
          <w:sz w:val="18"/>
          <w:szCs w:val="18"/>
          <w:lang w:val="sr-Cyrl-CS"/>
        </w:rPr>
        <w:t>1.5. Везе с другим стратешким документима,</w:t>
      </w:r>
    </w:p>
    <w:p w14:paraId="669639D1" w14:textId="77777777" w:rsidR="00876FFE" w:rsidRPr="003C3404" w:rsidRDefault="006F766F" w:rsidP="00215A61">
      <w:pPr>
        <w:pStyle w:val="Heading2"/>
        <w:spacing w:before="0" w:after="0" w:line="240" w:lineRule="auto"/>
        <w:rPr>
          <w:rFonts w:cs="Times New Roman"/>
          <w:bCs/>
          <w:color w:val="auto"/>
          <w:sz w:val="18"/>
          <w:szCs w:val="18"/>
          <w:lang w:val="sr-Cyrl-CS"/>
        </w:rPr>
      </w:pPr>
      <w:hyperlink r:id="rId25" w:history="1">
        <w:r w:rsidR="00876FFE" w:rsidRPr="003C3404">
          <w:rPr>
            <w:rStyle w:val="Hyperlink"/>
            <w:rFonts w:cs="Times New Roman"/>
            <w:sz w:val="18"/>
            <w:szCs w:val="18"/>
            <w:lang w:val="sr-Cyrl-CS"/>
          </w:rPr>
          <w:t>http://mduls.gov.rs/wp-content/uploads/AP-RJU-narativni-deo-2018-2020.pdf</w:t>
        </w:r>
      </w:hyperlink>
      <w:r w:rsidR="00876FFE" w:rsidRPr="003C3404">
        <w:rPr>
          <w:rFonts w:cs="Times New Roman"/>
          <w:color w:val="auto"/>
          <w:sz w:val="18"/>
          <w:szCs w:val="18"/>
          <w:lang w:val="sr-Cyrl-CS"/>
        </w:rPr>
        <w:t xml:space="preserve"> </w:t>
      </w:r>
    </w:p>
  </w:footnote>
  <w:footnote w:id="29">
    <w:p w14:paraId="16A14D78" w14:textId="5429A23D"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lang w:val="sr-Cyrl-RS"/>
        </w:rPr>
        <w:t xml:space="preserve"> И</w:t>
      </w:r>
      <w:r w:rsidRPr="003C3404">
        <w:rPr>
          <w:sz w:val="18"/>
          <w:szCs w:val="18"/>
          <w:lang w:val="uz-Cyrl-UZ"/>
        </w:rPr>
        <w:t xml:space="preserve">звештај о спровођењу АП РЈУ 2018–2020: </w:t>
      </w:r>
      <w:hyperlink r:id="rId26" w:history="1">
        <w:r w:rsidRPr="003C3404">
          <w:rPr>
            <w:rStyle w:val="Hyperlink"/>
            <w:sz w:val="18"/>
            <w:szCs w:val="18"/>
            <w:lang w:val="uz-Cyrl-UZ"/>
          </w:rPr>
          <w:t>http://mduls.gov.rs/wp-content/uploads/PAR_Izvestaj_2018.pdf и АП РЈУ 2015-2017</w:t>
        </w:r>
      </w:hyperlink>
      <w:r w:rsidRPr="003C3404">
        <w:rPr>
          <w:sz w:val="18"/>
          <w:szCs w:val="18"/>
          <w:lang w:val="uz-Cyrl-UZ"/>
        </w:rPr>
        <w:t xml:space="preserve">: </w:t>
      </w:r>
      <w:hyperlink r:id="rId27" w:history="1">
        <w:r w:rsidRPr="003C3404">
          <w:rPr>
            <w:rStyle w:val="Hyperlink"/>
            <w:sz w:val="18"/>
            <w:szCs w:val="18"/>
            <w:lang w:val="uz-Cyrl-UZ"/>
          </w:rPr>
          <w:t>http://mduls.gov.rs/wp-content/uploads/1_PAR_report_fin.pdf или АП РЈУ 2015-2017</w:t>
        </w:r>
      </w:hyperlink>
      <w:r w:rsidRPr="003C3404">
        <w:rPr>
          <w:sz w:val="18"/>
          <w:szCs w:val="18"/>
          <w:lang w:val="uz-Cyrl-UZ"/>
        </w:rPr>
        <w:t xml:space="preserve"> као и мерења „Балкан барометра” Регионалног савета за сарадњу: </w:t>
      </w:r>
      <w:hyperlink r:id="rId28" w:history="1">
        <w:r w:rsidRPr="003C3404">
          <w:rPr>
            <w:rStyle w:val="Hyperlink"/>
            <w:iCs/>
            <w:sz w:val="18"/>
            <w:szCs w:val="18"/>
          </w:rPr>
          <w:t>https</w:t>
        </w:r>
        <w:r w:rsidRPr="003C3404">
          <w:rPr>
            <w:rStyle w:val="Hyperlink"/>
            <w:iCs/>
            <w:sz w:val="18"/>
            <w:szCs w:val="18"/>
            <w:lang w:val="uz-Cyrl-UZ"/>
          </w:rPr>
          <w:t>://</w:t>
        </w:r>
        <w:r w:rsidRPr="003C3404">
          <w:rPr>
            <w:rStyle w:val="Hyperlink"/>
            <w:iCs/>
            <w:sz w:val="18"/>
            <w:szCs w:val="18"/>
          </w:rPr>
          <w:t>www</w:t>
        </w:r>
        <w:r w:rsidRPr="003C3404">
          <w:rPr>
            <w:rStyle w:val="Hyperlink"/>
            <w:iCs/>
            <w:sz w:val="18"/>
            <w:szCs w:val="18"/>
            <w:lang w:val="uz-Cyrl-UZ"/>
          </w:rPr>
          <w:t>.</w:t>
        </w:r>
        <w:r w:rsidRPr="003C3404">
          <w:rPr>
            <w:rStyle w:val="Hyperlink"/>
            <w:iCs/>
            <w:sz w:val="18"/>
            <w:szCs w:val="18"/>
          </w:rPr>
          <w:t>rcc</w:t>
        </w:r>
        <w:r w:rsidRPr="003C3404">
          <w:rPr>
            <w:rStyle w:val="Hyperlink"/>
            <w:iCs/>
            <w:sz w:val="18"/>
            <w:szCs w:val="18"/>
            <w:lang w:val="uz-Cyrl-UZ"/>
          </w:rPr>
          <w:t>.</w:t>
        </w:r>
        <w:r w:rsidRPr="003C3404">
          <w:rPr>
            <w:rStyle w:val="Hyperlink"/>
            <w:iCs/>
            <w:sz w:val="18"/>
            <w:szCs w:val="18"/>
          </w:rPr>
          <w:t>int</w:t>
        </w:r>
        <w:r w:rsidRPr="003C3404">
          <w:rPr>
            <w:rStyle w:val="Hyperlink"/>
            <w:iCs/>
            <w:sz w:val="18"/>
            <w:szCs w:val="18"/>
            <w:lang w:val="uz-Cyrl-UZ"/>
          </w:rPr>
          <w:t>/</w:t>
        </w:r>
        <w:r w:rsidRPr="003C3404">
          <w:rPr>
            <w:rStyle w:val="Hyperlink"/>
            <w:iCs/>
            <w:sz w:val="18"/>
            <w:szCs w:val="18"/>
          </w:rPr>
          <w:t>seeds</w:t>
        </w:r>
        <w:r w:rsidRPr="003C3404">
          <w:rPr>
            <w:rStyle w:val="Hyperlink"/>
            <w:iCs/>
            <w:sz w:val="18"/>
            <w:szCs w:val="18"/>
            <w:lang w:val="uz-Cyrl-UZ"/>
          </w:rPr>
          <w:t>/</w:t>
        </w:r>
        <w:r w:rsidRPr="003C3404">
          <w:rPr>
            <w:rStyle w:val="Hyperlink"/>
            <w:iCs/>
            <w:sz w:val="18"/>
            <w:szCs w:val="18"/>
          </w:rPr>
          <w:t>results</w:t>
        </w:r>
        <w:r w:rsidRPr="003C3404">
          <w:rPr>
            <w:rStyle w:val="Hyperlink"/>
            <w:iCs/>
            <w:sz w:val="18"/>
            <w:szCs w:val="18"/>
            <w:lang w:val="uz-Cyrl-UZ"/>
          </w:rPr>
          <w:t>/2/</w:t>
        </w:r>
        <w:r w:rsidRPr="003C3404">
          <w:rPr>
            <w:rStyle w:val="Hyperlink"/>
            <w:iCs/>
            <w:sz w:val="18"/>
            <w:szCs w:val="18"/>
          </w:rPr>
          <w:t>balkan</w:t>
        </w:r>
        <w:r w:rsidRPr="003C3404">
          <w:rPr>
            <w:rStyle w:val="Hyperlink"/>
            <w:iCs/>
            <w:sz w:val="18"/>
            <w:szCs w:val="18"/>
            <w:lang w:val="uz-Cyrl-UZ"/>
          </w:rPr>
          <w:t>-</w:t>
        </w:r>
        <w:r w:rsidRPr="003C3404">
          <w:rPr>
            <w:rStyle w:val="Hyperlink"/>
            <w:iCs/>
            <w:sz w:val="18"/>
            <w:szCs w:val="18"/>
          </w:rPr>
          <w:t>public</w:t>
        </w:r>
        <w:r w:rsidRPr="003C3404">
          <w:rPr>
            <w:rStyle w:val="Hyperlink"/>
            <w:iCs/>
            <w:sz w:val="18"/>
            <w:szCs w:val="18"/>
            <w:lang w:val="uz-Cyrl-UZ"/>
          </w:rPr>
          <w:t>-</w:t>
        </w:r>
        <w:r w:rsidRPr="003C3404">
          <w:rPr>
            <w:rStyle w:val="Hyperlink"/>
            <w:iCs/>
            <w:sz w:val="18"/>
            <w:szCs w:val="18"/>
          </w:rPr>
          <w:t>barometer</w:t>
        </w:r>
      </w:hyperlink>
    </w:p>
  </w:footnote>
  <w:footnote w:id="30">
    <w:p w14:paraId="4525B2EF"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Годишњи извештај за 2019. годину о спровођењу АП РЈУ 2018–2020: </w:t>
      </w:r>
      <w:hyperlink r:id="rId29" w:history="1">
        <w:r w:rsidRPr="003C3404">
          <w:rPr>
            <w:rStyle w:val="Hyperlink"/>
            <w:sz w:val="18"/>
            <w:szCs w:val="18"/>
          </w:rPr>
          <w:t>http://mduls.gov.rs/wp-content/uploads/2019-RJU-Godisnji-izvestaj2018-2020.pdf</w:t>
        </w:r>
      </w:hyperlink>
    </w:p>
  </w:footnote>
  <w:footnote w:id="31">
    <w:p w14:paraId="524E5975" w14:textId="63C769D0"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w:t>
      </w:r>
      <w:r w:rsidRPr="003C3404">
        <w:rPr>
          <w:sz w:val="18"/>
          <w:szCs w:val="18"/>
          <w:lang w:val="uz-Cyrl-UZ"/>
        </w:rPr>
        <w:t>„</w:t>
      </w:r>
      <w:r w:rsidRPr="003C3404">
        <w:rPr>
          <w:i/>
          <w:sz w:val="18"/>
          <w:szCs w:val="18"/>
        </w:rPr>
        <w:t>Међутим, целокупни резултати РЈУ имали су ограничен домет комуникације и ограничену видљивост, како интерно, тако и екстерно. Потребне су целовитија и делотворнија комуникација и видљивост.</w:t>
      </w:r>
      <w:r w:rsidRPr="003C3404">
        <w:rPr>
          <w:i/>
          <w:sz w:val="18"/>
          <w:szCs w:val="18"/>
          <w:lang w:val="uz-Cyrl-UZ"/>
        </w:rPr>
        <w:t xml:space="preserve">” </w:t>
      </w:r>
      <w:r w:rsidRPr="003C3404">
        <w:rPr>
          <w:sz w:val="18"/>
          <w:szCs w:val="18"/>
        </w:rPr>
        <w:t>5.9 (Ефекти) ЕП 9: Утицај АП РЈУ 2015-2017. године на приступање ЕУ, делотворност власти и различите крајње кориснике</w:t>
      </w:r>
      <w:r w:rsidRPr="003C3404">
        <w:rPr>
          <w:sz w:val="18"/>
          <w:szCs w:val="18"/>
          <w:lang w:val="uz-Cyrl-UZ"/>
        </w:rPr>
        <w:t>, страница 91, „</w:t>
      </w:r>
      <w:r w:rsidRPr="003C3404">
        <w:rPr>
          <w:i/>
          <w:sz w:val="18"/>
          <w:szCs w:val="18"/>
        </w:rPr>
        <w:t>Временом и са све више остварених резултата, постаће видљивији и све већи степен позитивног утицаја на друштво, грађане, привреду, ЈУ и ОЦД. Међутим, до сада су остварени резултати имали ограничен домет комуникације и ограничену видљивост, како интерно, тако и екстерно (И-9.1.7.)</w:t>
      </w:r>
      <w:r w:rsidRPr="003C3404">
        <w:rPr>
          <w:i/>
          <w:sz w:val="18"/>
          <w:szCs w:val="18"/>
          <w:lang w:val="uz-Cyrl-UZ"/>
        </w:rPr>
        <w:t>”</w:t>
      </w:r>
      <w:r w:rsidRPr="003C3404">
        <w:rPr>
          <w:i/>
          <w:sz w:val="18"/>
          <w:szCs w:val="18"/>
        </w:rPr>
        <w:t>,</w:t>
      </w:r>
      <w:r w:rsidRPr="003C3404">
        <w:rPr>
          <w:i/>
          <w:sz w:val="18"/>
          <w:szCs w:val="18"/>
          <w:lang w:val="uz-Cyrl-UZ"/>
        </w:rPr>
        <w:t xml:space="preserve"> </w:t>
      </w:r>
      <w:r w:rsidRPr="003C3404">
        <w:rPr>
          <w:sz w:val="18"/>
          <w:szCs w:val="18"/>
          <w:lang w:val="uz-Cyrl-UZ"/>
        </w:rPr>
        <w:t>страница 97,</w:t>
      </w:r>
      <w:r w:rsidRPr="003C3404">
        <w:rPr>
          <w:i/>
          <w:sz w:val="18"/>
          <w:szCs w:val="18"/>
          <w:lang w:val="uz-Cyrl-UZ"/>
        </w:rPr>
        <w:t xml:space="preserve"> „...</w:t>
      </w:r>
      <w:r w:rsidRPr="003C3404">
        <w:rPr>
          <w:i/>
          <w:sz w:val="18"/>
          <w:szCs w:val="18"/>
        </w:rPr>
        <w:t>постоји потреба за јачањем капацитета ради интерне и екстерне комуникације о реформским циљевима и позитивним утицајима, путем развоја и спровођења опште политике комуникације и видљивости РЈУ, уз помоћ пројекта Видљивост и комуникација Реформе јавне управе који финансира ЕУ у склопу Секторског реформског уговора за РЈУ.</w:t>
      </w:r>
      <w:r w:rsidRPr="003C3404">
        <w:rPr>
          <w:i/>
          <w:sz w:val="18"/>
          <w:szCs w:val="18"/>
          <w:lang w:val="uz-Cyrl-UZ"/>
        </w:rPr>
        <w:t xml:space="preserve">” </w:t>
      </w:r>
      <w:r w:rsidRPr="003C3404">
        <w:rPr>
          <w:sz w:val="18"/>
          <w:szCs w:val="18"/>
          <w:lang w:val="uz-Cyrl-UZ"/>
        </w:rPr>
        <w:t xml:space="preserve">стр. 98, </w:t>
      </w:r>
      <w:r w:rsidRPr="003C3404">
        <w:rPr>
          <w:sz w:val="18"/>
          <w:szCs w:val="18"/>
        </w:rPr>
        <w:t xml:space="preserve">Извештај о екстерној евалуација Стратегије РЈУ - Финални извештај - 21. </w:t>
      </w:r>
      <w:r w:rsidRPr="003C3404">
        <w:rPr>
          <w:sz w:val="18"/>
          <w:szCs w:val="18"/>
          <w:lang w:val="uz-Cyrl-UZ"/>
        </w:rPr>
        <w:t>април</w:t>
      </w:r>
      <w:r w:rsidRPr="003C3404">
        <w:rPr>
          <w:sz w:val="18"/>
          <w:szCs w:val="18"/>
        </w:rPr>
        <w:t xml:space="preserve"> 2019</w:t>
      </w:r>
      <w:r w:rsidRPr="003C3404">
        <w:rPr>
          <w:sz w:val="18"/>
          <w:szCs w:val="18"/>
          <w:lang w:val="uz-Cyrl-UZ"/>
        </w:rPr>
        <w:t xml:space="preserve">, </w:t>
      </w:r>
      <w:r w:rsidRPr="003C3404">
        <w:rPr>
          <w:sz w:val="18"/>
          <w:szCs w:val="18"/>
        </w:rPr>
        <w:t>Подршка реформи јавне управе у оквиру Секторског реформског уговора за сектор реформе јавне управе EuropeAid/137928/DH/SER/RS</w:t>
      </w:r>
      <w:r w:rsidRPr="003C3404">
        <w:rPr>
          <w:sz w:val="18"/>
          <w:szCs w:val="18"/>
          <w:lang w:val="uz-Cyrl-UZ"/>
        </w:rPr>
        <w:t xml:space="preserve">, линк ка документу: </w:t>
      </w:r>
      <w:hyperlink r:id="rId30" w:history="1">
        <w:r w:rsidRPr="003C3404">
          <w:rPr>
            <w:rStyle w:val="Hyperlink"/>
            <w:rFonts w:eastAsiaTheme="majorEastAsia"/>
            <w:sz w:val="18"/>
            <w:szCs w:val="18"/>
          </w:rPr>
          <w:t>http://mduls.gov.rs/wp-content/uploads/190524-Final-Evaluation-Report-SR.pdf</w:t>
        </w:r>
      </w:hyperlink>
    </w:p>
  </w:footnote>
  <w:footnote w:id="32">
    <w:p w14:paraId="2B7FE6FB"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w:t>
      </w:r>
      <w:r w:rsidRPr="003C3404">
        <w:rPr>
          <w:sz w:val="18"/>
          <w:szCs w:val="18"/>
          <w:lang w:val="uz-Cyrl-UZ"/>
        </w:rPr>
        <w:t>П</w:t>
      </w:r>
      <w:r w:rsidRPr="003C3404">
        <w:rPr>
          <w:sz w:val="18"/>
          <w:szCs w:val="18"/>
        </w:rPr>
        <w:t xml:space="preserve">рограм Владе </w:t>
      </w:r>
      <w:r w:rsidRPr="003C3404">
        <w:rPr>
          <w:sz w:val="18"/>
          <w:szCs w:val="18"/>
          <w:lang w:val="uz-Cyrl-UZ"/>
        </w:rPr>
        <w:t>Републике Србије</w:t>
      </w:r>
      <w:r w:rsidRPr="003C3404">
        <w:rPr>
          <w:sz w:val="18"/>
          <w:szCs w:val="18"/>
        </w:rPr>
        <w:t xml:space="preserve"> кандидата за председника </w:t>
      </w:r>
      <w:r w:rsidRPr="003C3404">
        <w:rPr>
          <w:sz w:val="18"/>
          <w:szCs w:val="18"/>
          <w:lang w:val="uz-Cyrl-UZ"/>
        </w:rPr>
        <w:t>В</w:t>
      </w:r>
      <w:r w:rsidRPr="003C3404">
        <w:rPr>
          <w:sz w:val="18"/>
          <w:szCs w:val="18"/>
        </w:rPr>
        <w:t xml:space="preserve">ладе </w:t>
      </w:r>
      <w:r w:rsidRPr="003C3404">
        <w:rPr>
          <w:sz w:val="18"/>
          <w:szCs w:val="18"/>
          <w:lang w:val="uz-Cyrl-UZ"/>
        </w:rPr>
        <w:t>А</w:t>
      </w:r>
      <w:r w:rsidRPr="003C3404">
        <w:rPr>
          <w:sz w:val="18"/>
          <w:szCs w:val="18"/>
        </w:rPr>
        <w:t xml:space="preserve">не </w:t>
      </w:r>
      <w:r w:rsidRPr="003C3404">
        <w:rPr>
          <w:sz w:val="18"/>
          <w:szCs w:val="18"/>
          <w:lang w:val="uz-Cyrl-UZ"/>
        </w:rPr>
        <w:t>Б</w:t>
      </w:r>
      <w:r w:rsidRPr="003C3404">
        <w:rPr>
          <w:sz w:val="18"/>
          <w:szCs w:val="18"/>
        </w:rPr>
        <w:t>рнабић</w:t>
      </w:r>
      <w:r w:rsidRPr="003C3404">
        <w:rPr>
          <w:sz w:val="18"/>
          <w:szCs w:val="18"/>
          <w:lang w:val="uz-Cyrl-UZ"/>
        </w:rPr>
        <w:t xml:space="preserve">, </w:t>
      </w:r>
      <w:r w:rsidRPr="003C3404">
        <w:rPr>
          <w:sz w:val="18"/>
          <w:szCs w:val="18"/>
        </w:rPr>
        <w:t>28. јун 2017. године</w:t>
      </w:r>
      <w:r w:rsidRPr="003C3404">
        <w:rPr>
          <w:sz w:val="18"/>
          <w:szCs w:val="18"/>
          <w:lang w:val="uz-Cyrl-UZ"/>
        </w:rPr>
        <w:t xml:space="preserve">: </w:t>
      </w:r>
      <w:hyperlink r:id="rId31" w:history="1">
        <w:r w:rsidRPr="003C3404">
          <w:rPr>
            <w:rStyle w:val="Hyperlink"/>
            <w:rFonts w:eastAsiaTheme="majorEastAsia"/>
            <w:sz w:val="18"/>
            <w:szCs w:val="18"/>
          </w:rPr>
          <w:t>https://www.srbija.gov.rs/view_file.php?file_id=2148&amp;cache=sr</w:t>
        </w:r>
      </w:hyperlink>
    </w:p>
  </w:footnote>
  <w:footnote w:id="33">
    <w:p w14:paraId="64CCF429"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Контакт центар за јавну управу G2G намењен двосмерној комуникацији са запосленима у органима државне управе и ЈЛС </w:t>
      </w:r>
      <w:hyperlink r:id="rId32" w:history="1">
        <w:r w:rsidRPr="003C3404">
          <w:rPr>
            <w:rStyle w:val="Hyperlink"/>
            <w:sz w:val="18"/>
            <w:szCs w:val="18"/>
            <w:lang w:val="uz-Cyrl-UZ"/>
          </w:rPr>
          <w:t>https://www.ite.gov.rs/tekst/1836/kontakt-centar-za-javnu-upravu-g2g.php</w:t>
        </w:r>
      </w:hyperlink>
      <w:r w:rsidRPr="003C3404">
        <w:rPr>
          <w:sz w:val="18"/>
          <w:szCs w:val="18"/>
          <w:lang w:val="uz-Cyrl-UZ"/>
        </w:rPr>
        <w:t xml:space="preserve"> . Нова владина веб-презентација осмишљена и направљена за лакшу комуникацију са грађанима, као центар за контакт са грађанима </w:t>
      </w:r>
      <w:hyperlink r:id="rId33" w:history="1">
        <w:r w:rsidRPr="003C3404">
          <w:rPr>
            <w:rStyle w:val="Hyperlink"/>
            <w:sz w:val="18"/>
            <w:szCs w:val="18"/>
            <w:lang w:val="uz-Cyrl-UZ"/>
          </w:rPr>
          <w:t>https://www.srbija.gov.rs/</w:t>
        </w:r>
      </w:hyperlink>
      <w:r w:rsidRPr="003C3404">
        <w:rPr>
          <w:sz w:val="18"/>
          <w:szCs w:val="18"/>
          <w:lang w:val="uz-Cyrl-UZ"/>
        </w:rPr>
        <w:t xml:space="preserve"> </w:t>
      </w:r>
      <w:bookmarkStart w:id="85" w:name="_Hlk40602505"/>
      <w:r w:rsidRPr="003C3404">
        <w:rPr>
          <w:sz w:val="18"/>
          <w:szCs w:val="18"/>
          <w:lang w:val="uz-Cyrl-UZ"/>
        </w:rPr>
        <w:t>СКИП центар, који је део МДУЛС</w:t>
      </w:r>
      <w:bookmarkEnd w:id="85"/>
      <w:r w:rsidRPr="003C3404">
        <w:rPr>
          <w:sz w:val="18"/>
          <w:szCs w:val="18"/>
          <w:lang w:val="uz-Cyrl-UZ"/>
        </w:rPr>
        <w:t xml:space="preserve">-а, у конкуренцији 53 центра тог типа проглашен је за најбољи у свету од стране Владе Републике Кореје </w:t>
      </w:r>
      <w:hyperlink r:id="rId34" w:history="1">
        <w:r w:rsidRPr="003C3404">
          <w:rPr>
            <w:rStyle w:val="Hyperlink"/>
            <w:sz w:val="18"/>
            <w:szCs w:val="18"/>
            <w:lang w:val="uz-Cyrl-UZ"/>
          </w:rPr>
          <w:t>http://skipcentar.rs/sr_RS/vesti/skip-centar-kao-najbolji-na-svetu-proslavio-jubilej/</w:t>
        </w:r>
      </w:hyperlink>
      <w:r w:rsidRPr="003C3404">
        <w:rPr>
          <w:sz w:val="18"/>
          <w:szCs w:val="18"/>
          <w:lang w:val="uz-Cyrl-UZ"/>
        </w:rPr>
        <w:t>.</w:t>
      </w:r>
    </w:p>
  </w:footnote>
  <w:footnote w:id="34">
    <w:p w14:paraId="25BFC5F4" w14:textId="77777777" w:rsidR="00876FFE" w:rsidRPr="003C3404" w:rsidRDefault="00876FFE" w:rsidP="00215A61">
      <w:pPr>
        <w:pStyle w:val="FootnoteText"/>
        <w:jc w:val="left"/>
        <w:rPr>
          <w:sz w:val="18"/>
          <w:szCs w:val="18"/>
        </w:rPr>
      </w:pPr>
      <w:r w:rsidRPr="003C3404">
        <w:rPr>
          <w:rStyle w:val="FootnoteReference"/>
          <w:sz w:val="18"/>
          <w:szCs w:val="18"/>
        </w:rPr>
        <w:footnoteRef/>
      </w:r>
      <w:r w:rsidRPr="003C3404">
        <w:rPr>
          <w:sz w:val="18"/>
          <w:szCs w:val="18"/>
        </w:rPr>
        <w:t xml:space="preserve"> World Bank. 2009. </w:t>
      </w:r>
      <w:r w:rsidRPr="003C3404">
        <w:rPr>
          <w:iCs/>
          <w:sz w:val="18"/>
          <w:szCs w:val="18"/>
        </w:rPr>
        <w:t>Serbia: Doing More with Less</w:t>
      </w:r>
      <w:r w:rsidRPr="003C3404">
        <w:rPr>
          <w:sz w:val="18"/>
          <w:szCs w:val="18"/>
        </w:rPr>
        <w:t xml:space="preserve">, </w:t>
      </w:r>
      <w:hyperlink r:id="rId35" w:history="1">
        <w:r w:rsidRPr="003C3404">
          <w:rPr>
            <w:rStyle w:val="Hyperlink"/>
            <w:sz w:val="18"/>
            <w:szCs w:val="18"/>
          </w:rPr>
          <w:t>http://documents.worldbank.org/curated/en/232431468307518668/Srbija-Kako-sa-manje-uraditi-vise-suocavanje-sa-fiskalnom-krizom-putem-povecanja-produktivnosti-javnog-sektora</w:t>
        </w:r>
      </w:hyperlink>
    </w:p>
  </w:footnote>
  <w:footnote w:id="35">
    <w:p w14:paraId="6FF8211B" w14:textId="77777777" w:rsidR="00876FFE" w:rsidRPr="003C3404" w:rsidRDefault="00876FFE" w:rsidP="00215A61">
      <w:pPr>
        <w:pStyle w:val="FootnoteText"/>
        <w:rPr>
          <w:sz w:val="18"/>
          <w:szCs w:val="18"/>
          <w:lang w:val="uz-Cyrl-UZ"/>
        </w:rPr>
      </w:pPr>
      <w:r w:rsidRPr="003C3404">
        <w:rPr>
          <w:rStyle w:val="FootnoteReference"/>
          <w:sz w:val="18"/>
          <w:szCs w:val="18"/>
        </w:rPr>
        <w:footnoteRef/>
      </w:r>
      <w:hyperlink r:id="rId36" w:history="1">
        <w:r w:rsidRPr="003C3404">
          <w:rPr>
            <w:rStyle w:val="Hyperlink"/>
            <w:rFonts w:eastAsiaTheme="majorEastAsia"/>
            <w:sz w:val="18"/>
            <w:szCs w:val="18"/>
          </w:rPr>
          <w:t>http://www.pravno-informacioni-sistem.rs/SlGlasnikPortal/prilozi/akcioni_plan.pdf&amp;doctype=reg&amp;abc=cba&amp;eli=true&amp;eliActId=426300&amp;regactid=426300</w:t>
        </w:r>
      </w:hyperlink>
      <w:r w:rsidRPr="003C3404">
        <w:rPr>
          <w:sz w:val="18"/>
          <w:szCs w:val="18"/>
          <w:lang w:val="uz-Cyrl-UZ"/>
        </w:rPr>
        <w:t xml:space="preserve"> и </w:t>
      </w:r>
      <w:r w:rsidRPr="003C3404">
        <w:rPr>
          <w:sz w:val="18"/>
          <w:szCs w:val="18"/>
        </w:rPr>
        <w:t>Извештај о екстерној евалуациј</w:t>
      </w:r>
      <w:r w:rsidRPr="003C3404">
        <w:rPr>
          <w:sz w:val="18"/>
          <w:szCs w:val="18"/>
          <w:lang w:val="sr-Cyrl-RS"/>
        </w:rPr>
        <w:t>и Стратегије</w:t>
      </w:r>
      <w:r w:rsidRPr="003C3404">
        <w:rPr>
          <w:sz w:val="18"/>
          <w:szCs w:val="18"/>
        </w:rPr>
        <w:t xml:space="preserve"> РЈУ у </w:t>
      </w:r>
      <w:r w:rsidRPr="003C3404">
        <w:rPr>
          <w:sz w:val="18"/>
          <w:szCs w:val="18"/>
          <w:lang w:val="sr-Cyrl-RS"/>
        </w:rPr>
        <w:t xml:space="preserve">Републици </w:t>
      </w:r>
      <w:r w:rsidRPr="003C3404">
        <w:rPr>
          <w:sz w:val="18"/>
          <w:szCs w:val="18"/>
        </w:rPr>
        <w:t xml:space="preserve">Србији </w:t>
      </w:r>
      <w:r w:rsidRPr="003C3404">
        <w:rPr>
          <w:sz w:val="18"/>
          <w:szCs w:val="18"/>
          <w:lang w:val="sr-Cyrl-RS"/>
        </w:rPr>
        <w:t>–</w:t>
      </w:r>
      <w:r w:rsidRPr="003C3404">
        <w:rPr>
          <w:sz w:val="18"/>
          <w:szCs w:val="18"/>
        </w:rPr>
        <w:t xml:space="preserve"> Финални извештај </w:t>
      </w:r>
      <w:r w:rsidRPr="003C3404">
        <w:rPr>
          <w:sz w:val="18"/>
          <w:szCs w:val="18"/>
          <w:lang w:val="sr-Cyrl-RS"/>
        </w:rPr>
        <w:t>–</w:t>
      </w:r>
      <w:r w:rsidRPr="003C3404">
        <w:rPr>
          <w:sz w:val="18"/>
          <w:szCs w:val="18"/>
        </w:rPr>
        <w:t xml:space="preserve"> 21. </w:t>
      </w:r>
      <w:r w:rsidRPr="003C3404">
        <w:rPr>
          <w:sz w:val="18"/>
          <w:szCs w:val="18"/>
          <w:lang w:val="sr-Cyrl-RS"/>
        </w:rPr>
        <w:t xml:space="preserve">април </w:t>
      </w:r>
      <w:r w:rsidRPr="003C3404">
        <w:rPr>
          <w:sz w:val="18"/>
          <w:szCs w:val="18"/>
        </w:rPr>
        <w:t>2019</w:t>
      </w:r>
      <w:r w:rsidRPr="003C3404">
        <w:rPr>
          <w:sz w:val="18"/>
          <w:szCs w:val="18"/>
          <w:lang w:val="uz-Cyrl-UZ"/>
        </w:rPr>
        <w:t xml:space="preserve">, </w:t>
      </w:r>
      <w:r w:rsidRPr="003C3404">
        <w:rPr>
          <w:sz w:val="18"/>
          <w:szCs w:val="18"/>
        </w:rPr>
        <w:t>Подршка реформи јавне управе у оквиру Секторског реформског уговора за сектор реформе јавне управе EuropeAid/137928/DH/SER/RS</w:t>
      </w:r>
      <w:r w:rsidRPr="003C3404">
        <w:rPr>
          <w:sz w:val="18"/>
          <w:szCs w:val="18"/>
          <w:lang w:val="uz-Cyrl-UZ"/>
        </w:rPr>
        <w:t xml:space="preserve">, стр. 28, линк ка документу: </w:t>
      </w:r>
      <w:hyperlink r:id="rId37" w:history="1">
        <w:r w:rsidRPr="003C3404">
          <w:rPr>
            <w:rStyle w:val="Hyperlink"/>
            <w:rFonts w:eastAsiaTheme="majorEastAsia"/>
            <w:sz w:val="18"/>
            <w:szCs w:val="18"/>
          </w:rPr>
          <w:t>http://mduls.gov.rs/wp-content/uploads/190524-Final-Evaluation-Report-SR.pdf</w:t>
        </w:r>
      </w:hyperlink>
    </w:p>
  </w:footnote>
  <w:footnote w:id="36">
    <w:p w14:paraId="1D1AEC3E"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w:t>
      </w:r>
      <w:r w:rsidRPr="003C3404">
        <w:rPr>
          <w:sz w:val="18"/>
          <w:szCs w:val="18"/>
          <w:lang w:val="uz-Cyrl-UZ"/>
        </w:rPr>
        <w:t>Линк ка вестима, линк актуелан на дан 5. децембра 2019:</w:t>
      </w:r>
    </w:p>
    <w:p w14:paraId="2CE5BB80" w14:textId="77777777" w:rsidR="00876FFE" w:rsidRPr="003C3404" w:rsidRDefault="00876FFE" w:rsidP="00215A61">
      <w:pPr>
        <w:pStyle w:val="FootnoteText"/>
        <w:rPr>
          <w:sz w:val="18"/>
          <w:szCs w:val="18"/>
        </w:rPr>
      </w:pPr>
      <w:r w:rsidRPr="003C3404">
        <w:rPr>
          <w:sz w:val="18"/>
          <w:szCs w:val="18"/>
          <w:lang w:val="uz-Cyrl-UZ"/>
        </w:rPr>
        <w:t xml:space="preserve"> </w:t>
      </w:r>
      <w:hyperlink r:id="rId38" w:history="1">
        <w:r w:rsidRPr="003C3404">
          <w:rPr>
            <w:rStyle w:val="Hyperlink"/>
            <w:rFonts w:eastAsiaTheme="majorEastAsia"/>
            <w:sz w:val="18"/>
            <w:szCs w:val="18"/>
          </w:rPr>
          <w:t>https://www.euprava.gov.rs/vesti/224/nova_elektronska_usluga_-_online_prijava_dece_u_vrtice_gradanima_beograda_dostupna_od_9-_maja.html</w:t>
        </w:r>
      </w:hyperlink>
    </w:p>
  </w:footnote>
  <w:footnote w:id="37">
    <w:p w14:paraId="0456E117"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Линк ка вестима, линк актуелан на дан 5. децембра 2019: </w:t>
      </w:r>
      <w:hyperlink r:id="rId39" w:history="1">
        <w:r w:rsidRPr="003C3404">
          <w:rPr>
            <w:rStyle w:val="Hyperlink"/>
            <w:rFonts w:eastAsiaTheme="majorEastAsia"/>
            <w:sz w:val="18"/>
            <w:szCs w:val="18"/>
          </w:rPr>
          <w:t>https://naled.rs/vest-ka-administraciji-bez-suvisnih-papira-1165</w:t>
        </w:r>
      </w:hyperlink>
    </w:p>
  </w:footnote>
  <w:footnote w:id="38">
    <w:p w14:paraId="1405DCB1"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w:t>
      </w:r>
      <w:r w:rsidRPr="003C3404">
        <w:rPr>
          <w:sz w:val="18"/>
          <w:szCs w:val="18"/>
          <w:lang w:val="sr-Cyrl-CS"/>
        </w:rPr>
        <w:t xml:space="preserve">Треба напоменути да су </w:t>
      </w:r>
      <w:r w:rsidRPr="003C3404">
        <w:rPr>
          <w:sz w:val="18"/>
          <w:szCs w:val="18"/>
          <w:lang w:val="uz-Cyrl-UZ"/>
        </w:rPr>
        <w:t>тек након што је донета Стратегија РЈУ</w:t>
      </w:r>
      <w:r w:rsidRPr="003C3404">
        <w:rPr>
          <w:sz w:val="18"/>
          <w:szCs w:val="18"/>
          <w:lang w:val="sr-Cyrl-CS"/>
        </w:rPr>
        <w:t xml:space="preserve"> у новембру 2014. отпочели преговори о економском програму који би подржао трогодишњи стендбај аранжман о предострожности са ММФ-ом, а све у циљу финансијске консолидације, </w:t>
      </w:r>
      <w:r w:rsidRPr="003C3404">
        <w:rPr>
          <w:sz w:val="18"/>
          <w:szCs w:val="18"/>
          <w:lang w:val="uz-Cyrl-UZ"/>
        </w:rPr>
        <w:t xml:space="preserve">линк: </w:t>
      </w:r>
      <w:hyperlink r:id="rId40" w:history="1">
        <w:r w:rsidRPr="003C3404">
          <w:rPr>
            <w:rStyle w:val="Hyperlink"/>
            <w:sz w:val="18"/>
            <w:szCs w:val="18"/>
          </w:rPr>
          <w:t>https://www.imf.org/en/Countries/SRB</w:t>
        </w:r>
      </w:hyperlink>
    </w:p>
  </w:footnote>
  <w:footnote w:id="39">
    <w:p w14:paraId="3FF021A8"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Збирни преглед, </w:t>
      </w:r>
      <w:r w:rsidRPr="003C3404">
        <w:rPr>
          <w:sz w:val="18"/>
          <w:szCs w:val="18"/>
        </w:rPr>
        <w:t>Извештај о спровођењу Програма реформе управљања јавним финансијама 2016</w:t>
      </w:r>
      <w:r w:rsidRPr="003C3404">
        <w:rPr>
          <w:sz w:val="18"/>
          <w:szCs w:val="18"/>
          <w:lang w:val="sr-Cyrl-RS"/>
        </w:rPr>
        <w:t>–</w:t>
      </w:r>
      <w:r w:rsidRPr="003C3404">
        <w:rPr>
          <w:sz w:val="18"/>
          <w:szCs w:val="18"/>
        </w:rPr>
        <w:t xml:space="preserve">2020. за период од децембра 2015. до јуна 2017. године: </w:t>
      </w:r>
      <w:hyperlink r:id="rId41" w:history="1">
        <w:r w:rsidRPr="003C3404">
          <w:rPr>
            <w:rStyle w:val="Hyperlink"/>
            <w:rFonts w:eastAsiaTheme="majorEastAsia"/>
            <w:sz w:val="18"/>
            <w:szCs w:val="18"/>
          </w:rPr>
          <w:t>https://www.mfin.gov.rs/UserFiles/File/strategije/PFM%20IZVESTAJ.pdf</w:t>
        </w:r>
      </w:hyperlink>
      <w:r w:rsidRPr="003C3404">
        <w:rPr>
          <w:sz w:val="18"/>
          <w:szCs w:val="18"/>
          <w:lang w:val="uz-Cyrl-UZ"/>
        </w:rPr>
        <w:t xml:space="preserve"> </w:t>
      </w:r>
    </w:p>
  </w:footnote>
  <w:footnote w:id="40">
    <w:p w14:paraId="7A47FC13"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Сажети преглед, </w:t>
      </w:r>
      <w:r w:rsidRPr="003C3404">
        <w:rPr>
          <w:sz w:val="18"/>
          <w:szCs w:val="18"/>
        </w:rPr>
        <w:t>Извештај о спровођењу Програма реформе управљања јавним финансијама 2016</w:t>
      </w:r>
      <w:r w:rsidRPr="003C3404">
        <w:rPr>
          <w:sz w:val="18"/>
          <w:szCs w:val="18"/>
          <w:lang w:val="sr-Cyrl-RS"/>
        </w:rPr>
        <w:t>–</w:t>
      </w:r>
      <w:r w:rsidRPr="003C3404">
        <w:rPr>
          <w:sz w:val="18"/>
          <w:szCs w:val="18"/>
        </w:rPr>
        <w:t xml:space="preserve">2020. за период од децембра 2015. до јуна 2017. године: </w:t>
      </w:r>
      <w:hyperlink r:id="rId42" w:history="1">
        <w:r w:rsidRPr="003C3404">
          <w:rPr>
            <w:rStyle w:val="Hyperlink"/>
            <w:rFonts w:eastAsiaTheme="majorEastAsia"/>
            <w:sz w:val="18"/>
            <w:szCs w:val="18"/>
          </w:rPr>
          <w:t>https://www.mfin.gov.rs/UserFiles/File/strategije/PFM%20IZVESTAJ.pdf</w:t>
        </w:r>
      </w:hyperlink>
    </w:p>
  </w:footnote>
  <w:footnote w:id="41">
    <w:p w14:paraId="7AFE7278"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Линк ка сајту који се односи на процес рационализације: </w:t>
      </w:r>
      <w:hyperlink r:id="rId43" w:history="1">
        <w:r w:rsidRPr="003C3404">
          <w:rPr>
            <w:rStyle w:val="Hyperlink"/>
            <w:rFonts w:eastAsiaTheme="majorEastAsia"/>
            <w:sz w:val="18"/>
            <w:szCs w:val="18"/>
          </w:rPr>
          <w:t>http://www.pracenjereformi.info/</w:t>
        </w:r>
      </w:hyperlink>
    </w:p>
  </w:footnote>
  <w:footnote w:id="42">
    <w:p w14:paraId="0E7A6DBE" w14:textId="77777777" w:rsidR="00876FFE" w:rsidRPr="003C3404" w:rsidRDefault="00876FFE" w:rsidP="00215A61">
      <w:pPr>
        <w:spacing w:before="0" w:after="0"/>
        <w:ind w:firstLine="0"/>
        <w:rPr>
          <w:i/>
          <w:sz w:val="18"/>
          <w:szCs w:val="18"/>
          <w:lang w:val="uz-Cyrl-UZ"/>
        </w:rPr>
      </w:pPr>
      <w:r w:rsidRPr="003C3404">
        <w:rPr>
          <w:rStyle w:val="FootnoteReference"/>
          <w:i/>
          <w:iCs/>
          <w:sz w:val="18"/>
          <w:szCs w:val="18"/>
        </w:rPr>
        <w:footnoteRef/>
      </w:r>
      <w:r w:rsidRPr="003C3404">
        <w:rPr>
          <w:i/>
          <w:iCs/>
          <w:sz w:val="18"/>
          <w:szCs w:val="18"/>
          <w:lang w:val="uz-Cyrl-UZ"/>
        </w:rPr>
        <w:t xml:space="preserve"> Према</w:t>
      </w:r>
      <w:r w:rsidRPr="003C3404">
        <w:rPr>
          <w:i/>
          <w:sz w:val="18"/>
          <w:szCs w:val="18"/>
          <w:lang w:val="uz-Cyrl-UZ"/>
        </w:rPr>
        <w:t xml:space="preserve"> интерној евиденцији Министарства државне управе и локалне самоуправе, а на основу података из базе Централног регистра обавезног социјланог осигурања, број запослених на неодређено у јавном сектору, утврђеним Законом о начину одређивања максималног броја запослених у јавном сектору, смањен је у органима државне управе од децембра 2013. до октобра 2019. године (период важења забране запошљавања) за 48.556 запослених (односно за 9,42%).</w:t>
      </w:r>
    </w:p>
  </w:footnote>
  <w:footnote w:id="43">
    <w:p w14:paraId="09D0C727"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МОДЕРНА ДРЖАВА – РАЦИОНАЛНА ДРЖАВА</w:t>
      </w:r>
      <w:r w:rsidRPr="003C3404">
        <w:rPr>
          <w:sz w:val="18"/>
          <w:szCs w:val="18"/>
          <w:lang w:val="uz-Cyrl-UZ"/>
        </w:rPr>
        <w:t>:</w:t>
      </w:r>
      <w:r w:rsidRPr="003C3404">
        <w:rPr>
          <w:sz w:val="18"/>
          <w:szCs w:val="18"/>
        </w:rPr>
        <w:t xml:space="preserve"> КОЛИКО, КАКО И ЗАШТО?</w:t>
      </w:r>
      <w:r w:rsidRPr="003C3404">
        <w:rPr>
          <w:sz w:val="18"/>
          <w:szCs w:val="18"/>
          <w:lang w:val="uz-Cyrl-UZ"/>
        </w:rPr>
        <w:t xml:space="preserve">, </w:t>
      </w:r>
      <w:r w:rsidRPr="003C3404">
        <w:rPr>
          <w:sz w:val="18"/>
          <w:szCs w:val="18"/>
        </w:rPr>
        <w:t>Позициони документ</w:t>
      </w:r>
      <w:r w:rsidRPr="003C3404">
        <w:rPr>
          <w:sz w:val="18"/>
          <w:szCs w:val="18"/>
          <w:lang w:val="uz-Cyrl-UZ"/>
        </w:rPr>
        <w:t xml:space="preserve">, МДУЛС, јун 2015, стр. 9: </w:t>
      </w:r>
      <w:hyperlink r:id="rId44" w:history="1">
        <w:r w:rsidRPr="003C3404">
          <w:rPr>
            <w:rStyle w:val="Hyperlink"/>
            <w:rFonts w:eastAsiaTheme="majorEastAsia"/>
            <w:sz w:val="18"/>
            <w:szCs w:val="18"/>
          </w:rPr>
          <w:t>http://pracenjereformi.azurewebsites.net/Dokumenta/ModernaDrzava.pdf</w:t>
        </w:r>
      </w:hyperlink>
      <w:r w:rsidRPr="003C3404">
        <w:rPr>
          <w:sz w:val="18"/>
          <w:szCs w:val="18"/>
          <w:lang w:val="uz-Cyrl-UZ"/>
        </w:rPr>
        <w:t xml:space="preserve"> </w:t>
      </w:r>
    </w:p>
  </w:footnote>
  <w:footnote w:id="44">
    <w:p w14:paraId="2974CE54"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Анализе су доступне на: </w:t>
      </w:r>
      <w:hyperlink r:id="rId45" w:history="1">
        <w:r w:rsidRPr="003C3404">
          <w:rPr>
            <w:rStyle w:val="Hyperlink"/>
            <w:rFonts w:eastAsiaTheme="majorEastAsia"/>
            <w:sz w:val="18"/>
            <w:szCs w:val="18"/>
          </w:rPr>
          <w:t>http://upravljanjepromenama.gov.rs/horizontalna-funkcionalna-analiza/</w:t>
        </w:r>
      </w:hyperlink>
      <w:r w:rsidRPr="003C3404">
        <w:rPr>
          <w:sz w:val="18"/>
          <w:szCs w:val="18"/>
          <w:lang w:val="uz-Cyrl-UZ"/>
        </w:rPr>
        <w:t xml:space="preserve"> , а Хоризонтална функционална анализа на: </w:t>
      </w:r>
      <w:hyperlink r:id="rId46" w:history="1">
        <w:r w:rsidRPr="003C3404">
          <w:rPr>
            <w:rStyle w:val="Hyperlink"/>
            <w:sz w:val="18"/>
            <w:szCs w:val="18"/>
            <w:lang w:val="uz-Cyrl-UZ"/>
          </w:rPr>
          <w:t>http://upravljanjepromenama.gov.rs/wp-content/uploads/2019/01/HFR-of-CA-Diagnostic-Report-April-2016.docx</w:t>
        </w:r>
      </w:hyperlink>
      <w:r w:rsidRPr="003C3404">
        <w:rPr>
          <w:sz w:val="18"/>
          <w:szCs w:val="18"/>
          <w:lang w:val="uz-Cyrl-UZ"/>
        </w:rPr>
        <w:t xml:space="preserve"> </w:t>
      </w:r>
    </w:p>
  </w:footnote>
  <w:footnote w:id="45">
    <w:p w14:paraId="011C37F9"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Акциони план за отимизацију на основу препорука Светске банке: </w:t>
      </w:r>
      <w:hyperlink r:id="rId47" w:history="1">
        <w:r w:rsidRPr="003C3404">
          <w:rPr>
            <w:rStyle w:val="Hyperlink"/>
            <w:sz w:val="18"/>
            <w:szCs w:val="18"/>
          </w:rPr>
          <w:t>http://upravljanjepromenama.gov.rs/wp-content/uploads/2019/02/Akcioni-plan-za-optimizaciju-na-osnovu-preporuka-iz-dokumenta-Svetske-banke-Horizontalna-funkcionalna-analiza-20dec2017final-1.pdf</w:t>
        </w:r>
      </w:hyperlink>
      <w:r w:rsidRPr="003C3404">
        <w:rPr>
          <w:sz w:val="18"/>
          <w:szCs w:val="18"/>
          <w:lang w:val="uz-Cyrl-UZ"/>
        </w:rPr>
        <w:t xml:space="preserve"> и </w:t>
      </w:r>
      <w:hyperlink r:id="rId48" w:history="1">
        <w:r w:rsidRPr="003C3404">
          <w:rPr>
            <w:rStyle w:val="Hyperlink"/>
            <w:sz w:val="18"/>
            <w:szCs w:val="18"/>
            <w:lang w:val="uz-Cyrl-UZ"/>
          </w:rPr>
          <w:t>http://upravljanjepromenama.gov.rs/wp-content/uploads/2019/02/Akcioni-plan-HFA_tabelarni-prikaz-srpski-jezik.xlsx</w:t>
        </w:r>
      </w:hyperlink>
      <w:r w:rsidRPr="003C3404">
        <w:rPr>
          <w:sz w:val="18"/>
          <w:szCs w:val="18"/>
          <w:lang w:val="uz-Cyrl-UZ"/>
        </w:rPr>
        <w:t xml:space="preserve"> </w:t>
      </w:r>
    </w:p>
  </w:footnote>
  <w:footnote w:id="46">
    <w:p w14:paraId="329BFB90"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w:t>
      </w:r>
      <w:r w:rsidRPr="003C3404">
        <w:rPr>
          <w:sz w:val="18"/>
          <w:szCs w:val="18"/>
          <w:lang w:val="uz-Cyrl-UZ"/>
        </w:rPr>
        <w:t xml:space="preserve">АНАЛИЗА И СМЕРНИЦЕ за обједињавање функција стратешког, оперативног и финансијског планирања и интерне контроле са препорукама за измену прописа, СТУДИЈА ИЗВОДЉИВОСТИ за оптимизацију организационе структуре органа државне управе у службама Владе и стручним службама управних округа, АНАЛИЗА СТАЊА у области управљања људским ресурсима са препорукама за задржавање кадрова налазе се на: </w:t>
      </w:r>
      <w:hyperlink r:id="rId49" w:history="1">
        <w:r w:rsidRPr="003C3404">
          <w:rPr>
            <w:rStyle w:val="Hyperlink"/>
            <w:rFonts w:eastAsiaTheme="majorEastAsia"/>
            <w:sz w:val="18"/>
            <w:szCs w:val="18"/>
          </w:rPr>
          <w:t>http://upravljanjepromenama.gov.rs/indikatori/</w:t>
        </w:r>
      </w:hyperlink>
    </w:p>
  </w:footnote>
  <w:footnote w:id="47">
    <w:p w14:paraId="250E8E52" w14:textId="77777777" w:rsidR="00876FFE" w:rsidRPr="003C3404" w:rsidRDefault="00876FFE" w:rsidP="00215A61">
      <w:pPr>
        <w:pStyle w:val="FootnoteText"/>
        <w:rPr>
          <w:sz w:val="18"/>
          <w:szCs w:val="18"/>
          <w:lang w:val="uz-Cyrl-UZ"/>
        </w:rPr>
      </w:pPr>
      <w:r w:rsidRPr="003C3404">
        <w:rPr>
          <w:rStyle w:val="FootnoteReference"/>
          <w:sz w:val="18"/>
          <w:szCs w:val="18"/>
        </w:rPr>
        <w:footnoteRef/>
      </w:r>
      <w:r w:rsidRPr="003C3404">
        <w:rPr>
          <w:sz w:val="18"/>
          <w:szCs w:val="18"/>
          <w:lang w:val="uz-Cyrl-UZ"/>
        </w:rPr>
        <w:t xml:space="preserve"> Прилог 0.1, Стратешка основа и концепт, </w:t>
      </w:r>
      <w:r w:rsidRPr="003C3404">
        <w:rPr>
          <w:rFonts w:eastAsiaTheme="majorEastAsia"/>
          <w:sz w:val="18"/>
          <w:szCs w:val="18"/>
          <w:bdr w:val="none" w:sz="0" w:space="0" w:color="auto" w:frame="1"/>
          <w:shd w:val="clear" w:color="auto" w:fill="FFFFFF"/>
        </w:rPr>
        <w:t>Акциони план за спровођење Стратегије реформе јавне управе у Републици Србији за период 2015</w:t>
      </w:r>
      <w:r w:rsidRPr="003C3404">
        <w:rPr>
          <w:rFonts w:eastAsiaTheme="majorEastAsia"/>
          <w:sz w:val="18"/>
          <w:szCs w:val="18"/>
          <w:bdr w:val="none" w:sz="0" w:space="0" w:color="auto" w:frame="1"/>
          <w:shd w:val="clear" w:color="auto" w:fill="FFFFFF"/>
          <w:lang w:val="sr-Cyrl-RS"/>
        </w:rPr>
        <w:t>–</w:t>
      </w:r>
      <w:r w:rsidRPr="003C3404">
        <w:rPr>
          <w:rFonts w:eastAsiaTheme="majorEastAsia"/>
          <w:sz w:val="18"/>
          <w:szCs w:val="18"/>
          <w:bdr w:val="none" w:sz="0" w:space="0" w:color="auto" w:frame="1"/>
          <w:shd w:val="clear" w:color="auto" w:fill="FFFFFF"/>
        </w:rPr>
        <w:t>2017. године</w:t>
      </w:r>
      <w:r w:rsidRPr="003C3404">
        <w:rPr>
          <w:rFonts w:eastAsiaTheme="majorEastAsia"/>
          <w:sz w:val="18"/>
          <w:szCs w:val="18"/>
          <w:bdr w:val="none" w:sz="0" w:space="0" w:color="auto" w:frame="1"/>
          <w:shd w:val="clear" w:color="auto" w:fill="FFFFFF"/>
          <w:lang w:val="uz-Cyrl-UZ"/>
        </w:rPr>
        <w:t>, стр. 45:</w:t>
      </w:r>
      <w:r w:rsidRPr="003C3404">
        <w:rPr>
          <w:sz w:val="18"/>
          <w:szCs w:val="18"/>
          <w:lang w:val="uz-Cyrl-UZ"/>
        </w:rPr>
        <w:t xml:space="preserve"> </w:t>
      </w:r>
      <w:hyperlink r:id="rId50" w:history="1">
        <w:r w:rsidRPr="003C3404">
          <w:rPr>
            <w:rStyle w:val="Hyperlink"/>
            <w:sz w:val="18"/>
            <w:szCs w:val="18"/>
          </w:rPr>
          <w:t>http://mduls.gov.rs/wp-content/uploads/AP_PAR_final_version-2015-2017.pdf</w:t>
        </w:r>
      </w:hyperlink>
      <w:r w:rsidRPr="003C3404">
        <w:rPr>
          <w:sz w:val="18"/>
          <w:szCs w:val="18"/>
          <w:lang w:val="uz-Cyrl-UZ"/>
        </w:rPr>
        <w:t xml:space="preserve"> </w:t>
      </w:r>
    </w:p>
  </w:footnote>
  <w:footnote w:id="48">
    <w:p w14:paraId="6BF92C62" w14:textId="0649DA84"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w:t>
      </w:r>
      <w:r w:rsidRPr="003C3404">
        <w:rPr>
          <w:sz w:val="18"/>
          <w:szCs w:val="18"/>
          <w:lang w:val="uz-Cyrl-UZ"/>
        </w:rPr>
        <w:t>Мониторинг извештај за Србију за Принципе јавне управе, новембар 2017, ОЕЦД/</w:t>
      </w:r>
      <w:r w:rsidRPr="00351859">
        <w:rPr>
          <w:i/>
          <w:sz w:val="18"/>
          <w:szCs w:val="18"/>
          <w:lang w:val="uz-Cyrl-UZ"/>
        </w:rPr>
        <w:t>SIGMA</w:t>
      </w:r>
      <w:r w:rsidRPr="003C3404">
        <w:rPr>
          <w:sz w:val="18"/>
          <w:szCs w:val="18"/>
          <w:lang w:val="uz-Cyrl-UZ"/>
        </w:rPr>
        <w:t xml:space="preserve">, стр. 11, линк ка документу: </w:t>
      </w:r>
      <w:hyperlink r:id="rId51" w:history="1">
        <w:r w:rsidRPr="003C3404">
          <w:rPr>
            <w:rStyle w:val="Hyperlink"/>
            <w:rFonts w:eastAsiaTheme="majorEastAsia"/>
            <w:sz w:val="18"/>
            <w:szCs w:val="18"/>
          </w:rPr>
          <w:t>http://www.sigmaweb.org/publications/Monitoring-Report-2017-Serbia.pdf</w:t>
        </w:r>
      </w:hyperlink>
    </w:p>
  </w:footnote>
  <w:footnote w:id="49">
    <w:p w14:paraId="127A9C29" w14:textId="508738AF"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Износ трошкова обухвата тренутно само трошкове спровођења АП С</w:t>
      </w:r>
      <w:r>
        <w:rPr>
          <w:sz w:val="18"/>
          <w:szCs w:val="18"/>
          <w:lang w:val="sr-Cyrl-RS"/>
        </w:rPr>
        <w:t xml:space="preserve">тратегије </w:t>
      </w:r>
      <w:r w:rsidRPr="003C3404">
        <w:rPr>
          <w:sz w:val="18"/>
          <w:szCs w:val="18"/>
        </w:rPr>
        <w:t>РЈУ, а трошкови неопходни за спровођење подређених програма биће накнадно додати, како би се сагледала укупна планирана средства за спровођење РЈУ.</w:t>
      </w:r>
    </w:p>
  </w:footnote>
  <w:footnote w:id="50">
    <w:p w14:paraId="29F9BDCB" w14:textId="77777777" w:rsidR="00876FFE" w:rsidRPr="003C3404" w:rsidRDefault="00876FFE" w:rsidP="00215A61">
      <w:pPr>
        <w:pStyle w:val="FootnoteText"/>
        <w:rPr>
          <w:sz w:val="18"/>
          <w:szCs w:val="18"/>
        </w:rPr>
      </w:pPr>
    </w:p>
  </w:footnote>
  <w:footnote w:id="51">
    <w:p w14:paraId="0144233A"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w:t>
      </w:r>
      <w:hyperlink r:id="rId52" w:history="1">
        <w:r w:rsidRPr="003C3404">
          <w:rPr>
            <w:rStyle w:val="Hyperlink"/>
            <w:rFonts w:eastAsiaTheme="minorEastAsia"/>
            <w:sz w:val="18"/>
            <w:szCs w:val="18"/>
          </w:rPr>
          <w:t>https://www.pravno-informacioni-sistem.rs/SlGlasnikPortal/eli/rep/sgrs/vlada/strategija/2016/8/1/reg</w:t>
        </w:r>
      </w:hyperlink>
    </w:p>
  </w:footnote>
  <w:footnote w:id="52">
    <w:p w14:paraId="19A217AA" w14:textId="5F0F3103"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Уредба о Генералном секретаријату Владе („Службени гласник РС”, број 75/05, 71/08, 109/09), члан 4.</w:t>
      </w:r>
    </w:p>
  </w:footnote>
  <w:footnote w:id="53">
    <w:p w14:paraId="7A7290D9"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ЕК Извештај о напретку Србије 2019, стр. 11.</w:t>
      </w:r>
    </w:p>
  </w:footnote>
  <w:footnote w:id="54">
    <w:p w14:paraId="182BC899"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Извештај о екстерној евалуацији СТРАТЕГИЈА РЈУ 2019, стр. 13.</w:t>
      </w:r>
    </w:p>
  </w:footnote>
  <w:footnote w:id="55">
    <w:p w14:paraId="62BB617C" w14:textId="483E1D22"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rPr>
        <w:t xml:space="preserve"> Уредба о методологији управљања јавним политикама, анализи ефеката јавних политика и прописа и садржају појединачних докумената јавних политика и Уредба о методологији за израду средњорочних планова</w:t>
      </w:r>
    </w:p>
  </w:footnote>
  <w:footnote w:id="56">
    <w:p w14:paraId="4997ABF6" w14:textId="15F14E35"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У 2019. години је донето 14 докумената јавних политика, међу којима су два (14,3%) имала непотпуну анализу ефеката и неусклађену са ЗПС. У 2019. години РСЈП је издао мишљење на 198 нацрта закона, од којих је за 95 (48%) било потребно спровести анализу ефеката. Од тог броја 22 нацрта закона (23,2%) садрже потпуну анализу ефеката, 52 (54,7%) садрже делимичну анализу ефеката, а 21 (22,1%) имају недовољну анализу ефеката. У истом периоду издато је и 207 мишљења на предлоге уредаба, од којих је за 59 предлога (28,5%) било потребно спровести анализу ефеката. Од тог броја 31 предлог (52,5%) садржао је потпуну анализу ефеката, 19 (32,2%) имало је делимичну анализу ефеката, а девет предлога (15,3%) није имало довољну анализу ефеката. У 2019. години од 68 донетих закона, достављених на мишљење РСЈП-у за које је требало спровести анализу ефеката, 16 закона је имало потпуну анализу ефеката (23,5%), а од 35 дон</w:t>
      </w:r>
      <w:r>
        <w:rPr>
          <w:sz w:val="18"/>
          <w:szCs w:val="18"/>
        </w:rPr>
        <w:t>е</w:t>
      </w:r>
      <w:r w:rsidRPr="003C3404">
        <w:rPr>
          <w:sz w:val="18"/>
          <w:szCs w:val="18"/>
        </w:rPr>
        <w:t>тих уредаба, достављених РСЈП-у на мишљење за које је било потребно спровести потпуну анализу ефеката, 19 садржи потпуну анализу ефеката (54,2%). У 2019. години су донета 44 закона за које је било потребно спровести консултације, а консултације су спроведене за њих 15 (34%) и донете су 144 уредбе за које је било потрено спровести консултације, а консултације су спроведене за њих 25 (17,3%).</w:t>
      </w:r>
    </w:p>
  </w:footnote>
  <w:footnote w:id="57">
    <w:p w14:paraId="35513487"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Под привредним субјектима се подразумевају привредна друштва и предузетници.</w:t>
      </w:r>
    </w:p>
  </w:footnote>
  <w:footnote w:id="58">
    <w:p w14:paraId="0758FDFB"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Смернице за укључивање организација цивилног друштва у радне групе за израду предлога докумената јавних политика и нацрта, односно предлога прописа ( „Службени гласник РС”, број 8/20).</w:t>
      </w:r>
    </w:p>
  </w:footnote>
  <w:footnote w:id="59">
    <w:p w14:paraId="485966C4" w14:textId="77777777" w:rsidR="00876FFE" w:rsidRPr="003C3404" w:rsidRDefault="00876FFE" w:rsidP="004F3884">
      <w:pPr>
        <w:spacing w:before="0" w:after="0"/>
        <w:ind w:firstLine="0"/>
        <w:jc w:val="left"/>
        <w:rPr>
          <w:color w:val="0563C1" w:themeColor="hyperlink"/>
          <w:sz w:val="18"/>
          <w:szCs w:val="18"/>
          <w:u w:val="single"/>
        </w:rPr>
      </w:pPr>
      <w:r w:rsidRPr="003C3404">
        <w:rPr>
          <w:sz w:val="18"/>
          <w:szCs w:val="18"/>
          <w:vertAlign w:val="superscript"/>
        </w:rPr>
        <w:footnoteRef/>
      </w:r>
      <w:r w:rsidRPr="003C3404">
        <w:rPr>
          <w:sz w:val="18"/>
          <w:szCs w:val="18"/>
        </w:rPr>
        <w:t xml:space="preserve"> ЕК Извештај о напретку Србије 2019, стр. 82, 85, 202: </w:t>
      </w:r>
      <w:hyperlink r:id="rId53" w:history="1">
        <w:r w:rsidRPr="003C3404">
          <w:rPr>
            <w:rStyle w:val="Hyperlink"/>
            <w:sz w:val="18"/>
            <w:szCs w:val="18"/>
          </w:rPr>
          <w:t>https://www.mei.gov.rs/upload/documents/eu_dokumenta/godisnji_izvestaji_ek_o_napretku/20190529-serbia-report_SR_-_REVIDIRANO.pdf</w:t>
        </w:r>
      </w:hyperlink>
      <w:r w:rsidRPr="003C3404">
        <w:rPr>
          <w:sz w:val="18"/>
          <w:szCs w:val="18"/>
        </w:rPr>
        <w:t xml:space="preserve"> </w:t>
      </w:r>
    </w:p>
  </w:footnote>
  <w:footnote w:id="60">
    <w:p w14:paraId="28C85B80"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rPr>
        <w:t xml:space="preserve"> Према подацима из Извештаја о екстерној евалуација Стратегије РЈУ 2019, број запослених у јавној управи се смањио за 48.595 услед забране запошљавања у јавном сектору (страна 94).</w:t>
      </w:r>
    </w:p>
  </w:footnote>
  <w:footnote w:id="61">
    <w:p w14:paraId="296AFF5D"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Извештај о екстерној евалуацији Стратегије РЈУ 2019, страна 69.</w:t>
      </w:r>
    </w:p>
  </w:footnote>
  <w:footnote w:id="62">
    <w:p w14:paraId="08D35FAA"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rPr>
        <w:t xml:space="preserve"> ЕК Извештај о напретку Србије (2019, стр. 9) наводи да је потребно побољшати прикупљање података у циљу унапређења припреме докумената јавних политика. </w:t>
      </w:r>
    </w:p>
  </w:footnote>
  <w:footnote w:id="63">
    <w:p w14:paraId="4C8ED9EE"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ЕК Извештај о напретку Србије 2019, стр. 11.</w:t>
      </w:r>
    </w:p>
  </w:footnote>
  <w:footnote w:id="64">
    <w:p w14:paraId="1F4B51A9"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 xml:space="preserve">Приручник за управљање јавним политикама, Приручник за анализу ефеката јавних политика и прописа, Приручник за израду средњорочног плана, Приручник за утврђивање трошкова јавних политика и прописа </w:t>
      </w:r>
    </w:p>
  </w:footnote>
  <w:footnote w:id="65">
    <w:p w14:paraId="27887DD6"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rPr>
        <w:t xml:space="preserve"> Програми обуке се спроводе у сарадњи РСЈП и Националне академије за јавну управу и треба да обухвате како обуку за предавача у овој области, тако и обуку за око 500 државних службеника.</w:t>
      </w:r>
    </w:p>
  </w:footnote>
  <w:footnote w:id="66">
    <w:p w14:paraId="3A50527C"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Извештај о екстерној евалуацији Стратегије РЈУ 2019, стр. 32. и 68.</w:t>
      </w:r>
    </w:p>
  </w:footnote>
  <w:footnote w:id="67">
    <w:p w14:paraId="36792D6C"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rPr>
        <w:t xml:space="preserve"> ЕК Извештај о напретку Србије 2019, стр. 28.</w:t>
      </w:r>
    </w:p>
  </w:footnote>
  <w:footnote w:id="68">
    <w:p w14:paraId="61D061EC"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rPr>
        <w:t xml:space="preserve"> </w:t>
      </w:r>
      <w:r w:rsidRPr="003C3404">
        <w:rPr>
          <w:iCs/>
          <w:sz w:val="18"/>
          <w:szCs w:val="18"/>
        </w:rPr>
        <w:t>ЕК Извештај о напретку Србије 2019</w:t>
      </w:r>
      <w:r w:rsidRPr="003C3404">
        <w:rPr>
          <w:sz w:val="18"/>
          <w:szCs w:val="18"/>
        </w:rPr>
        <w:t>, Прилог 11.</w:t>
      </w:r>
    </w:p>
  </w:footnote>
  <w:footnote w:id="69">
    <w:p w14:paraId="124984D6"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Извештај о екстерној евалуацији Стратегије РЈУ из 2014. године, стр. 74.</w:t>
      </w:r>
    </w:p>
  </w:footnote>
  <w:footnote w:id="70">
    <w:p w14:paraId="2979C103"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На пример, према оценама Екстерне евалуације Стратегија РЈУ 2019 (стр. 26), СТРАТЕГИЈА РЈУ и АП за њено спровођење дефинисани су преамбициозно, што је процењено у циљаној евалуацији и за Стратегију регулаторне реформе и унапређења система управљања јавним политикама за период 2016–2020. године. С друге стране, поједине стратешке реформе су постављене недовољно амбициозно (ЕК Извештај о напретку Србије 2019, стр. 75).</w:t>
      </w:r>
    </w:p>
  </w:footnote>
  <w:footnote w:id="71">
    <w:p w14:paraId="7E5CF16F" w14:textId="7C588730"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 xml:space="preserve">У 61% докумената јавних политика утврђени су само извори финансирања, док њих 28,2% има утврђена и средства за остварење циљева. Уз </w:t>
      </w:r>
      <w:r w:rsidRPr="00351859">
        <w:rPr>
          <w:i/>
          <w:sz w:val="18"/>
          <w:szCs w:val="18"/>
        </w:rPr>
        <w:t>IPA</w:t>
      </w:r>
      <w:r w:rsidRPr="003C3404">
        <w:rPr>
          <w:sz w:val="18"/>
          <w:szCs w:val="18"/>
        </w:rPr>
        <w:t xml:space="preserve"> комплементарну помоћ три институције су израдиле средњорочне планове за период 2020–2022. године.</w:t>
      </w:r>
    </w:p>
  </w:footnote>
  <w:footnote w:id="72">
    <w:p w14:paraId="4EA73598"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Извештај о екстерној евалуација Стратегије РЈУ 2019, стр. 90.</w:t>
      </w:r>
    </w:p>
  </w:footnote>
  <w:footnote w:id="73">
    <w:p w14:paraId="7FBFF53C"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rPr>
        <w:t xml:space="preserve"> Извештај о екстерној евалуација Стратегије РЈУ 2019, стр. 24</w:t>
      </w:r>
    </w:p>
  </w:footnote>
  <w:footnote w:id="74">
    <w:p w14:paraId="02300A05"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Извештај о екстерној евалуација Стратегије РЈУ 2019, стр. 78.</w:t>
      </w:r>
    </w:p>
  </w:footnote>
  <w:footnote w:id="75">
    <w:p w14:paraId="07FD01D1"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Извештај о екстерној евалуација Стратегије РЈУ 2019, стр. 14.</w:t>
      </w:r>
    </w:p>
  </w:footnote>
  <w:footnote w:id="76">
    <w:p w14:paraId="103B518C"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rPr>
        <w:t xml:space="preserve"> Један од првих извештаја који су сачињени помоћу овог система јесте Извештај о АП за реформу јавне управе за 2018. годину.</w:t>
      </w:r>
    </w:p>
  </w:footnote>
  <w:footnote w:id="77">
    <w:p w14:paraId="29FB0635"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hyperlink r:id="rId54" w:history="1">
        <w:r w:rsidRPr="003C3404">
          <w:rPr>
            <w:rStyle w:val="Hyperlink"/>
            <w:sz w:val="18"/>
            <w:szCs w:val="18"/>
          </w:rPr>
          <w:t>https://www.srbija.gov.rs/prikaz/370625</w:t>
        </w:r>
      </w:hyperlink>
      <w:r w:rsidRPr="003C3404">
        <w:rPr>
          <w:sz w:val="18"/>
          <w:szCs w:val="18"/>
        </w:rPr>
        <w:t xml:space="preserve"> </w:t>
      </w:r>
    </w:p>
  </w:footnote>
  <w:footnote w:id="78">
    <w:p w14:paraId="4B45DF64" w14:textId="21570446"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Бројне чланице Европске уније, али и сама Европска унија, спроводе овакве програме како би унапредили конкуре</w:t>
      </w:r>
      <w:r>
        <w:rPr>
          <w:sz w:val="18"/>
          <w:szCs w:val="18"/>
        </w:rPr>
        <w:t>н</w:t>
      </w:r>
      <w:r w:rsidRPr="003C3404">
        <w:rPr>
          <w:sz w:val="18"/>
          <w:szCs w:val="18"/>
        </w:rPr>
        <w:t xml:space="preserve">тност својих привреда. Европска комисија тако спроводи своју РЕФИТ агенду која постојеће европске прописе поједностављује с намером снижавања административних трошкова и поједностављивања пословања. Линк: </w:t>
      </w:r>
      <w:hyperlink r:id="rId55" w:history="1">
        <w:r w:rsidRPr="003C3404">
          <w:rPr>
            <w:i/>
            <w:iCs/>
            <w:sz w:val="18"/>
            <w:szCs w:val="18"/>
          </w:rPr>
          <w:t>https://ec.europa.eu/info/law/law-making-process/evaluating-and-improving-existing-laws/refit-making-eu-law-simpler-and-less-costly_en</w:t>
        </w:r>
      </w:hyperlink>
    </w:p>
  </w:footnote>
  <w:footnote w:id="79">
    <w:p w14:paraId="5297D8B7" w14:textId="77777777" w:rsidR="00876FFE" w:rsidRPr="003C3404" w:rsidRDefault="00876FFE" w:rsidP="00215A61">
      <w:pPr>
        <w:spacing w:before="0" w:after="0"/>
        <w:ind w:firstLine="0"/>
        <w:rPr>
          <w:rFonts w:eastAsia="Times New Roman"/>
          <w:sz w:val="18"/>
          <w:szCs w:val="18"/>
          <w:lang w:eastAsia="en-GB"/>
        </w:rPr>
      </w:pPr>
      <w:r w:rsidRPr="003C3404">
        <w:rPr>
          <w:sz w:val="18"/>
          <w:szCs w:val="18"/>
          <w:vertAlign w:val="superscript"/>
        </w:rPr>
        <w:footnoteRef/>
      </w:r>
      <w:r w:rsidRPr="003C3404">
        <w:rPr>
          <w:sz w:val="18"/>
          <w:szCs w:val="18"/>
          <w:vertAlign w:val="superscript"/>
        </w:rPr>
        <w:t xml:space="preserve"> </w:t>
      </w:r>
      <w:r w:rsidRPr="003C3404">
        <w:rPr>
          <w:sz w:val="18"/>
          <w:szCs w:val="18"/>
        </w:rPr>
        <w:t xml:space="preserve">Према подацима РСЈП, </w:t>
      </w:r>
      <w:r w:rsidRPr="003C3404">
        <w:rPr>
          <w:rFonts w:eastAsia="Times New Roman"/>
          <w:sz w:val="18"/>
          <w:szCs w:val="18"/>
          <w:lang w:eastAsia="en-GB"/>
        </w:rPr>
        <w:t xml:space="preserve">у 2019. години, 132 нацрта закона су поднети РСЈП на мишљење од чега код 70 (53,1%) није спроведен консултативни процес. Народна скупштина је током те исте године усвојила 44 закона, од којих 29 није прошло кроз консултативни процес. У случају подзаконских аката ситуација је још гора: од 144 усвојене уредбе (за које је требало спровести консултације), за 119 није поднет извештај о спроведеним консултацијама. Од 23 предлога ДЈП у 2019. години, Влада је усвојила 14 од којих, у припреми 2 документа (8,7%) нису спроведене консултације. </w:t>
      </w:r>
    </w:p>
  </w:footnote>
  <w:footnote w:id="80">
    <w:p w14:paraId="2661D912" w14:textId="77777777"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rPr>
        <w:t xml:space="preserve"> ЕК Извештај о напретку Србије 2019, стр. 15, Извештај о екстерној евалуација Стратегије РЈУ, 2019, стр. 59</w:t>
      </w:r>
    </w:p>
  </w:footnote>
  <w:footnote w:id="81">
    <w:p w14:paraId="12D1534B" w14:textId="63BB4AE6" w:rsidR="00876FFE" w:rsidRPr="003C3404" w:rsidRDefault="00876FFE" w:rsidP="00215A61">
      <w:pPr>
        <w:spacing w:before="0" w:after="0"/>
        <w:ind w:firstLine="0"/>
        <w:rPr>
          <w:sz w:val="18"/>
          <w:szCs w:val="18"/>
        </w:rPr>
      </w:pPr>
      <w:r w:rsidRPr="003C3404">
        <w:rPr>
          <w:sz w:val="18"/>
          <w:szCs w:val="18"/>
          <w:vertAlign w:val="superscript"/>
        </w:rPr>
        <w:footnoteRef/>
      </w:r>
      <w:r w:rsidRPr="003C3404">
        <w:rPr>
          <w:sz w:val="18"/>
          <w:szCs w:val="18"/>
          <w:vertAlign w:val="superscript"/>
        </w:rPr>
        <w:t xml:space="preserve"> </w:t>
      </w:r>
      <w:r w:rsidRPr="00351859">
        <w:rPr>
          <w:i/>
          <w:sz w:val="18"/>
          <w:szCs w:val="18"/>
        </w:rPr>
        <w:t>SIGMA</w:t>
      </w:r>
      <w:r w:rsidRPr="003C3404">
        <w:rPr>
          <w:i/>
          <w:sz w:val="18"/>
          <w:szCs w:val="18"/>
        </w:rPr>
        <w:t xml:space="preserve"> </w:t>
      </w:r>
      <w:r w:rsidRPr="003C3404">
        <w:rPr>
          <w:sz w:val="18"/>
          <w:szCs w:val="18"/>
        </w:rPr>
        <w:t>извештај за Србију 2017, стр. 23.</w:t>
      </w:r>
    </w:p>
  </w:footnote>
  <w:footnote w:id="82">
    <w:p w14:paraId="1A607952" w14:textId="77777777" w:rsidR="00876FFE" w:rsidRPr="003C3404" w:rsidRDefault="00876FFE" w:rsidP="00215A61">
      <w:pPr>
        <w:pStyle w:val="FootnoteText"/>
        <w:rPr>
          <w:sz w:val="18"/>
          <w:szCs w:val="18"/>
        </w:rPr>
      </w:pPr>
      <w:r w:rsidRPr="003C3404">
        <w:rPr>
          <w:sz w:val="18"/>
          <w:szCs w:val="18"/>
          <w:vertAlign w:val="superscript"/>
        </w:rPr>
        <w:footnoteRef/>
      </w:r>
      <w:r w:rsidRPr="003C3404">
        <w:rPr>
          <w:sz w:val="18"/>
          <w:szCs w:val="18"/>
        </w:rPr>
        <w:t xml:space="preserve"> Коначан назив циљева ће бити дефинисан на састанку Радне групе за зраду Програма за управљање јавним политикама и регулаторну реформу. Мере за спровођење циљева ће такође дефинисати Радна група.</w:t>
      </w:r>
    </w:p>
  </w:footnote>
  <w:footnote w:id="83">
    <w:p w14:paraId="6E035991" w14:textId="77777777" w:rsidR="00876FFE" w:rsidRPr="003C3404" w:rsidRDefault="00876FFE" w:rsidP="00215A61">
      <w:pPr>
        <w:pStyle w:val="FootnoteText"/>
        <w:rPr>
          <w:sz w:val="18"/>
          <w:szCs w:val="18"/>
          <w:lang w:val="sr-Latn-RS"/>
        </w:rPr>
      </w:pPr>
      <w:r w:rsidRPr="003C3404">
        <w:rPr>
          <w:rStyle w:val="FootnoteReference"/>
          <w:sz w:val="18"/>
          <w:szCs w:val="18"/>
        </w:rPr>
        <w:footnoteRef/>
      </w:r>
      <w:r w:rsidRPr="003C3404">
        <w:rPr>
          <w:sz w:val="18"/>
          <w:szCs w:val="18"/>
        </w:rPr>
        <w:t xml:space="preserve"> „Оквир политике управљања људским ресурсима у државној управи Републике Србије”, </w:t>
      </w:r>
      <w:r w:rsidRPr="003C3404">
        <w:rPr>
          <w:sz w:val="18"/>
          <w:szCs w:val="18"/>
          <w:lang w:val="sr-Cyrl-RS"/>
        </w:rPr>
        <w:t>„</w:t>
      </w:r>
      <w:r w:rsidRPr="003C3404">
        <w:rPr>
          <w:sz w:val="18"/>
          <w:szCs w:val="18"/>
        </w:rPr>
        <w:t xml:space="preserve">Анализа стања у области управљања људским ресурсима са препорукама за задржавање кадрова”, „Анализа професионализације државних службеника на положају и наредни кораци у државама </w:t>
      </w:r>
      <w:r w:rsidRPr="003C3404">
        <w:rPr>
          <w:sz w:val="18"/>
          <w:szCs w:val="18"/>
          <w:lang w:val="sr-Cyrl-RS"/>
        </w:rPr>
        <w:t>з</w:t>
      </w:r>
      <w:r w:rsidRPr="003C3404">
        <w:rPr>
          <w:sz w:val="18"/>
          <w:szCs w:val="18"/>
        </w:rPr>
        <w:t>ападног Балкана”, „Анализа правног оквира за сукоб интереса јавних службеника и препоруке за побољшање” и „Анализа правног оквира сукоба интереса у раду државних службеника у Републици Србији</w:t>
      </w:r>
      <w:r w:rsidRPr="003C3404">
        <w:rPr>
          <w:sz w:val="18"/>
          <w:szCs w:val="18"/>
          <w:lang w:val="sr-Cyrl-RS"/>
        </w:rPr>
        <w:t>.</w:t>
      </w:r>
      <w:r w:rsidRPr="003C3404">
        <w:rPr>
          <w:sz w:val="18"/>
          <w:szCs w:val="18"/>
        </w:rPr>
        <w:t>”</w:t>
      </w:r>
    </w:p>
  </w:footnote>
  <w:footnote w:id="84">
    <w:p w14:paraId="11900C36" w14:textId="77777777" w:rsidR="00876FFE" w:rsidRPr="003C3404" w:rsidRDefault="00876FFE" w:rsidP="00215A61">
      <w:pPr>
        <w:pStyle w:val="FootnoteText"/>
        <w:rPr>
          <w:sz w:val="18"/>
          <w:szCs w:val="18"/>
          <w:lang w:val="sr-Latn-RS"/>
        </w:rPr>
      </w:pPr>
      <w:r w:rsidRPr="003C3404">
        <w:rPr>
          <w:rStyle w:val="FootnoteReference"/>
          <w:sz w:val="18"/>
          <w:szCs w:val="18"/>
        </w:rPr>
        <w:footnoteRef/>
      </w:r>
      <w:r w:rsidRPr="003C3404">
        <w:rPr>
          <w:sz w:val="18"/>
          <w:szCs w:val="18"/>
        </w:rPr>
        <w:t xml:space="preserve"> </w:t>
      </w:r>
      <w:r w:rsidRPr="003C3404">
        <w:rPr>
          <w:sz w:val="18"/>
          <w:szCs w:val="18"/>
          <w:lang w:val="sr-Cyrl-RS"/>
        </w:rPr>
        <w:t>Интерна евиденција МУП-а.</w:t>
      </w:r>
    </w:p>
  </w:footnote>
  <w:footnote w:id="85">
    <w:p w14:paraId="5E3122E5"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Б</w:t>
      </w:r>
      <w:r w:rsidRPr="003C3404">
        <w:rPr>
          <w:sz w:val="18"/>
          <w:szCs w:val="18"/>
        </w:rPr>
        <w:t>рој: 148-III-110-01-53/2019 од 20.</w:t>
      </w:r>
      <w:r w:rsidRPr="003C3404">
        <w:rPr>
          <w:sz w:val="18"/>
          <w:szCs w:val="18"/>
          <w:lang w:val="sr-Cyrl-RS"/>
        </w:rPr>
        <w:t xml:space="preserve"> фебруара </w:t>
      </w:r>
      <w:r w:rsidRPr="003C3404">
        <w:rPr>
          <w:sz w:val="18"/>
          <w:szCs w:val="18"/>
        </w:rPr>
        <w:t xml:space="preserve">2019. </w:t>
      </w:r>
      <w:r w:rsidRPr="003C3404">
        <w:rPr>
          <w:sz w:val="18"/>
          <w:szCs w:val="18"/>
          <w:lang w:val="sr-Cyrl-RS"/>
        </w:rPr>
        <w:t>г</w:t>
      </w:r>
      <w:r w:rsidRPr="003C3404">
        <w:rPr>
          <w:sz w:val="18"/>
          <w:szCs w:val="18"/>
        </w:rPr>
        <w:t>одине</w:t>
      </w:r>
      <w:r w:rsidRPr="003C3404">
        <w:rPr>
          <w:sz w:val="18"/>
          <w:szCs w:val="18"/>
          <w:lang w:val="sr-Cyrl-RS"/>
        </w:rPr>
        <w:t>.</w:t>
      </w:r>
    </w:p>
  </w:footnote>
  <w:footnote w:id="86">
    <w:p w14:paraId="1E149CA3"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Број: </w:t>
      </w:r>
      <w:r w:rsidRPr="003C3404">
        <w:rPr>
          <w:sz w:val="18"/>
          <w:szCs w:val="18"/>
        </w:rPr>
        <w:t xml:space="preserve">021-02-5/2019-03 од 1. фебруара 2019. </w:t>
      </w:r>
      <w:r w:rsidRPr="003C3404">
        <w:rPr>
          <w:sz w:val="18"/>
          <w:szCs w:val="18"/>
          <w:lang w:val="sr-Cyrl-RS"/>
        </w:rPr>
        <w:t>г</w:t>
      </w:r>
      <w:r w:rsidRPr="003C3404">
        <w:rPr>
          <w:sz w:val="18"/>
          <w:szCs w:val="18"/>
        </w:rPr>
        <w:t>одине</w:t>
      </w:r>
      <w:r w:rsidRPr="003C3404">
        <w:rPr>
          <w:sz w:val="18"/>
          <w:szCs w:val="18"/>
          <w:lang w:val="sr-Cyrl-RS"/>
        </w:rPr>
        <w:t>.</w:t>
      </w:r>
    </w:p>
  </w:footnote>
  <w:footnote w:id="87">
    <w:p w14:paraId="17C9CCD8"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Б</w:t>
      </w:r>
      <w:r w:rsidRPr="003C3404">
        <w:rPr>
          <w:sz w:val="18"/>
          <w:szCs w:val="18"/>
        </w:rPr>
        <w:t xml:space="preserve">рој: 000-119-00-120/2019-Д0010 од 14. фебруара 2019. </w:t>
      </w:r>
      <w:r w:rsidRPr="003C3404">
        <w:rPr>
          <w:sz w:val="18"/>
          <w:szCs w:val="18"/>
          <w:lang w:val="sr-Cyrl-RS"/>
        </w:rPr>
        <w:t>г</w:t>
      </w:r>
      <w:r w:rsidRPr="003C3404">
        <w:rPr>
          <w:sz w:val="18"/>
          <w:szCs w:val="18"/>
        </w:rPr>
        <w:t>одине</w:t>
      </w:r>
      <w:r w:rsidRPr="003C3404">
        <w:rPr>
          <w:sz w:val="18"/>
          <w:szCs w:val="18"/>
          <w:lang w:val="sr-Cyrl-RS"/>
        </w:rPr>
        <w:t>.</w:t>
      </w:r>
    </w:p>
  </w:footnote>
  <w:footnote w:id="88">
    <w:p w14:paraId="33C433B7"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Б</w:t>
      </w:r>
      <w:r w:rsidRPr="003C3404">
        <w:rPr>
          <w:sz w:val="18"/>
          <w:szCs w:val="18"/>
        </w:rPr>
        <w:t xml:space="preserve">рој: 000-119-00-05132-1/2018-К0062 од 14. фебруара 2019. </w:t>
      </w:r>
      <w:r w:rsidRPr="003C3404">
        <w:rPr>
          <w:sz w:val="18"/>
          <w:szCs w:val="18"/>
          <w:lang w:val="sr-Cyrl-RS"/>
        </w:rPr>
        <w:t>г</w:t>
      </w:r>
      <w:r w:rsidRPr="003C3404">
        <w:rPr>
          <w:sz w:val="18"/>
          <w:szCs w:val="18"/>
        </w:rPr>
        <w:t>одине</w:t>
      </w:r>
      <w:r w:rsidRPr="003C3404">
        <w:rPr>
          <w:sz w:val="18"/>
          <w:szCs w:val="18"/>
          <w:lang w:val="sr-Cyrl-RS"/>
        </w:rPr>
        <w:t>.</w:t>
      </w:r>
    </w:p>
  </w:footnote>
  <w:footnote w:id="89">
    <w:p w14:paraId="0900C4A2"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Одлука о посебним функционалним компетенцијама за запослене у Републичком хидрометеоролошком заводу, број: 92-1/2019 од 11. фебруара 2019. године.</w:t>
      </w:r>
    </w:p>
  </w:footnote>
  <w:footnote w:id="90">
    <w:p w14:paraId="7D842376"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Одлука о одређивању посебних функционалних компетенција за рад у Републичком геодетском заводу, од 20. марта 2019. године.</w:t>
      </w:r>
    </w:p>
  </w:footnote>
  <w:footnote w:id="91">
    <w:p w14:paraId="515150F0"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Одлука о посебним функционалним компетенцијама за одређене области рада у Министарству просвете, науке и технолошког развоја, број: 112-01-225/1/2019-02 од 22. марта 2019. године.</w:t>
      </w:r>
    </w:p>
  </w:footnote>
  <w:footnote w:id="92">
    <w:p w14:paraId="0D403C56"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Члан 41. Закона о јавним агенцијама.</w:t>
      </w:r>
    </w:p>
  </w:footnote>
  <w:footnote w:id="93">
    <w:p w14:paraId="74575A9F" w14:textId="77777777" w:rsidR="00876FFE" w:rsidRPr="003C3404" w:rsidRDefault="00876FFE" w:rsidP="00215A61">
      <w:pPr>
        <w:pStyle w:val="FootnoteText"/>
        <w:tabs>
          <w:tab w:val="left" w:pos="284"/>
        </w:tabs>
        <w:rPr>
          <w:sz w:val="18"/>
          <w:szCs w:val="18"/>
          <w:lang w:val="sr-Latn-RS"/>
        </w:rPr>
      </w:pPr>
      <w:r w:rsidRPr="003C3404">
        <w:rPr>
          <w:rStyle w:val="FootnoteReference"/>
          <w:sz w:val="18"/>
          <w:szCs w:val="18"/>
          <w:lang w:val="sr-Cyrl-RS"/>
        </w:rPr>
        <w:footnoteRef/>
      </w:r>
      <w:r w:rsidRPr="003C3404">
        <w:rPr>
          <w:sz w:val="18"/>
          <w:szCs w:val="18"/>
          <w:lang w:val="sr-Cyrl-RS"/>
        </w:rPr>
        <w:t xml:space="preserve"> Извештај Европске комисије за 2019. годину, стр. 13 и</w:t>
      </w:r>
      <w:r w:rsidRPr="003C3404">
        <w:rPr>
          <w:rFonts w:eastAsia="Calibri"/>
          <w:sz w:val="18"/>
          <w:szCs w:val="18"/>
          <w:lang w:val="sr-Cyrl-RS"/>
        </w:rPr>
        <w:t xml:space="preserve"> </w:t>
      </w:r>
      <w:r w:rsidRPr="003C3404">
        <w:rPr>
          <w:sz w:val="18"/>
          <w:szCs w:val="18"/>
          <w:lang w:val="sr-Cyrl-RS"/>
        </w:rPr>
        <w:t>Извештај Европске комисије за 2020. годину, стр. 7.</w:t>
      </w:r>
    </w:p>
  </w:footnote>
  <w:footnote w:id="94">
    <w:p w14:paraId="563C8C7B" w14:textId="261B3A3B"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У оквиру пројекта </w:t>
      </w:r>
      <w:r w:rsidRPr="003C3404">
        <w:rPr>
          <w:sz w:val="18"/>
          <w:szCs w:val="18"/>
          <w:lang w:val="sr-Latn-RS"/>
        </w:rPr>
        <w:t>„Основе за успостављање централне националне институције за стручно усавршавање државних</w:t>
      </w:r>
      <w:r w:rsidRPr="003C3404">
        <w:rPr>
          <w:sz w:val="18"/>
          <w:szCs w:val="18"/>
          <w:lang w:val="sr-Cyrl-RS"/>
        </w:rPr>
        <w:t xml:space="preserve"> </w:t>
      </w:r>
      <w:r w:rsidRPr="003C3404">
        <w:rPr>
          <w:sz w:val="18"/>
          <w:szCs w:val="18"/>
          <w:lang w:val="sr-Latn-RS"/>
        </w:rPr>
        <w:t>службеника у Републици Србији</w:t>
      </w:r>
      <w:r w:rsidRPr="003C3404">
        <w:rPr>
          <w:sz w:val="18"/>
          <w:szCs w:val="18"/>
          <w:lang w:val="sr-Cyrl-RS"/>
        </w:rPr>
        <w:t xml:space="preserve">”, који је реализован уз финансијску помоћ </w:t>
      </w:r>
      <w:r w:rsidRPr="003C3404">
        <w:rPr>
          <w:rFonts w:eastAsia="Calibri"/>
          <w:sz w:val="18"/>
          <w:szCs w:val="18"/>
          <w:lang w:val="sr-Latn-RS"/>
        </w:rPr>
        <w:t>Фонда за добру управу (</w:t>
      </w:r>
      <w:r w:rsidRPr="003C3404">
        <w:rPr>
          <w:rFonts w:eastAsia="Calibri"/>
          <w:i/>
          <w:sz w:val="18"/>
          <w:szCs w:val="18"/>
          <w:lang w:val="sr-Latn-RS"/>
        </w:rPr>
        <w:t>GGF</w:t>
      </w:r>
      <w:r w:rsidRPr="003C3404">
        <w:rPr>
          <w:rFonts w:eastAsia="Calibri"/>
          <w:sz w:val="18"/>
          <w:szCs w:val="18"/>
          <w:lang w:val="sr-Latn-RS"/>
        </w:rPr>
        <w:t xml:space="preserve">) </w:t>
      </w:r>
      <w:r w:rsidRPr="003C3404">
        <w:rPr>
          <w:rFonts w:eastAsia="Calibri"/>
          <w:sz w:val="18"/>
          <w:szCs w:val="18"/>
          <w:lang w:val="sr-Cyrl-RS"/>
        </w:rPr>
        <w:t xml:space="preserve">Владе </w:t>
      </w:r>
      <w:r w:rsidRPr="003C3404">
        <w:rPr>
          <w:rFonts w:eastAsia="Calibri"/>
          <w:sz w:val="18"/>
          <w:szCs w:val="18"/>
          <w:lang w:val="sr-Latn-RS"/>
        </w:rPr>
        <w:t>Велике Британије</w:t>
      </w:r>
      <w:r w:rsidRPr="003C3404">
        <w:rPr>
          <w:rFonts w:eastAsia="Calibri"/>
          <w:sz w:val="18"/>
          <w:szCs w:val="18"/>
          <w:lang w:val="sr-Cyrl-RS"/>
        </w:rPr>
        <w:t>, припремљено је више анализа и студија које су подржале процес који је уследио – припрема закона и изналажење најадекватнијих решења за увођење новог система стручног усавршавања у јавној управи Републике Србије.</w:t>
      </w:r>
    </w:p>
  </w:footnote>
  <w:footnote w:id="95">
    <w:p w14:paraId="2DC9A74E" w14:textId="77777777" w:rsidR="00876FFE" w:rsidRPr="003C3404" w:rsidRDefault="00876FFE" w:rsidP="00215A61">
      <w:pPr>
        <w:pStyle w:val="FootnoteText"/>
        <w:tabs>
          <w:tab w:val="left" w:pos="284"/>
        </w:tabs>
        <w:rPr>
          <w:spacing w:val="-6"/>
          <w:sz w:val="18"/>
          <w:szCs w:val="18"/>
          <w:lang w:val="sr-Cyrl-RS"/>
        </w:rPr>
      </w:pPr>
      <w:r w:rsidRPr="003C3404">
        <w:rPr>
          <w:rStyle w:val="FootnoteReference"/>
          <w:spacing w:val="-6"/>
          <w:sz w:val="18"/>
          <w:szCs w:val="18"/>
          <w:lang w:val="sr-Cyrl-RS"/>
        </w:rPr>
        <w:footnoteRef/>
      </w:r>
      <w:r w:rsidRPr="003C3404">
        <w:rPr>
          <w:spacing w:val="-6"/>
          <w:sz w:val="18"/>
          <w:szCs w:val="18"/>
          <w:lang w:val="sr-Cyrl-RS"/>
        </w:rPr>
        <w:t xml:space="preserve"> Потребно је нагласити да је законима који уређују права и обавезе запослених у другим деловима јавне управе, нпр. Закону о запсоленима у аутономним покрајинама и јединицама локалне самоуправе такође пропсисана дужност да се </w:t>
      </w:r>
      <w:r w:rsidRPr="003C3404">
        <w:rPr>
          <w:bCs/>
          <w:spacing w:val="-6"/>
          <w:sz w:val="18"/>
          <w:szCs w:val="18"/>
          <w:lang w:val="sr-Cyrl-RS"/>
        </w:rPr>
        <w:t>полаже државни стручни испит</w:t>
      </w:r>
      <w:r w:rsidRPr="003C3404">
        <w:rPr>
          <w:spacing w:val="-6"/>
          <w:sz w:val="18"/>
          <w:szCs w:val="18"/>
          <w:lang w:val="sr-Cyrl-RS"/>
        </w:rPr>
        <w:t>.</w:t>
      </w:r>
    </w:p>
  </w:footnote>
  <w:footnote w:id="96">
    <w:p w14:paraId="194A3555" w14:textId="72E08A8D"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lang w:val="sr-Cyrl-RS"/>
        </w:rPr>
        <w:t xml:space="preserve">Делокруг Националне академије за јавну управу утврђен је чланом 4. Закона о Националној академији за јавну управу </w:t>
      </w:r>
    </w:p>
  </w:footnote>
  <w:footnote w:id="97">
    <w:p w14:paraId="4EECB3D4" w14:textId="306FCE9F"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lang w:val="sr-Cyrl-RS"/>
        </w:rPr>
        <w:t xml:space="preserve"> Обухват јавне управе утврђен је чланом 2. став 1. Закона о Националној академији за јавну управу и поред државних органа и органа јединица локалне самоуправе, подразумева:</w:t>
      </w:r>
      <w:r w:rsidRPr="003C3404">
        <w:rPr>
          <w:rFonts w:eastAsia="Calibri"/>
          <w:color w:val="333333"/>
          <w:sz w:val="18"/>
          <w:szCs w:val="18"/>
          <w:shd w:val="clear" w:color="auto" w:fill="FFFFFF"/>
          <w:lang w:val="sr-Cyrl-RS"/>
        </w:rPr>
        <w:t xml:space="preserve"> </w:t>
      </w:r>
      <w:r w:rsidRPr="003C3404">
        <w:rPr>
          <w:sz w:val="18"/>
          <w:szCs w:val="18"/>
          <w:lang w:val="sr-Cyrl-RS"/>
        </w:rPr>
        <w:t>самосталне и независне организације и тела чији састав бира Народна скупштина (надзорна и регулаторна тела), органе, организације и службе аутономне покрајине, јавне агенције и организације на које се примењују прописи о јавним агенцијама, а чији је оснивач Република Србија или аутономна покрајина или јединица локалне самоуправе и предузећа, установе, организације и појединце којима су поверена јавна овлашћења.</w:t>
      </w:r>
    </w:p>
  </w:footnote>
  <w:footnote w:id="98">
    <w:p w14:paraId="12A5E3A5" w14:textId="565E17F8"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Послови Савета уређени су чланом 119. Закона о запосленима у аутономним покрајинама и јединицама локалне самоуправе („Службени гласник РС”, број 21/16, 113/17, 113/17 – др. закон и 95/18).</w:t>
      </w:r>
    </w:p>
  </w:footnote>
  <w:footnote w:id="99">
    <w:p w14:paraId="7E56A453"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Оквир креиран кроз сарадњу Министарства државне управе и локалне самоуправе, Службе за управљање кадровима и консултаната, професора Београдског универзитета уз пројектну подршку ГИЗ.</w:t>
      </w:r>
    </w:p>
  </w:footnote>
  <w:footnote w:id="100">
    <w:p w14:paraId="5CEB0567"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Оба документа су јавно представљена свим државним органима и заинтересованим странама крајем 2017. године и била јавно објављена на сајту Министарства државне управе и локалне самоуправе и Службе за управљање кадровима са позивом да се упуте коментари и предлози за унапређење предложених решења.</w:t>
      </w:r>
    </w:p>
  </w:footnote>
  <w:footnote w:id="101">
    <w:p w14:paraId="3F3B26FF" w14:textId="77777777" w:rsidR="00876FFE" w:rsidRPr="003C3404" w:rsidRDefault="00876FFE" w:rsidP="00215A61">
      <w:pPr>
        <w:pStyle w:val="CommentText"/>
        <w:spacing w:before="0" w:after="0"/>
        <w:ind w:firstLine="0"/>
        <w:rPr>
          <w:sz w:val="18"/>
          <w:szCs w:val="18"/>
          <w:lang w:val="sr-Cyrl-RS"/>
        </w:rPr>
      </w:pPr>
      <w:r w:rsidRPr="003C3404">
        <w:rPr>
          <w:rStyle w:val="FootnoteReference"/>
          <w:sz w:val="18"/>
          <w:szCs w:val="18"/>
        </w:rPr>
        <w:footnoteRef/>
      </w:r>
      <w:r w:rsidRPr="003C3404">
        <w:rPr>
          <w:sz w:val="18"/>
          <w:szCs w:val="18"/>
          <w:lang w:val="sr-Cyrl-RS"/>
        </w:rPr>
        <w:t xml:space="preserve"> </w:t>
      </w:r>
      <w:hyperlink r:id="rId56" w:history="1">
        <w:r w:rsidRPr="003C3404">
          <w:rPr>
            <w:rStyle w:val="Hyperlink"/>
            <w:sz w:val="18"/>
            <w:szCs w:val="18"/>
            <w:lang w:val="en-GB"/>
          </w:rPr>
          <w:t>http</w:t>
        </w:r>
        <w:r w:rsidRPr="003C3404">
          <w:rPr>
            <w:rStyle w:val="Hyperlink"/>
            <w:sz w:val="18"/>
            <w:szCs w:val="18"/>
            <w:lang w:val="sr-Cyrl-RS"/>
          </w:rPr>
          <w:t>://</w:t>
        </w:r>
        <w:r w:rsidRPr="003C3404">
          <w:rPr>
            <w:rStyle w:val="Hyperlink"/>
            <w:sz w:val="18"/>
            <w:szCs w:val="18"/>
            <w:lang w:val="en-GB"/>
          </w:rPr>
          <w:t>mduls</w:t>
        </w:r>
        <w:r w:rsidRPr="003C3404">
          <w:rPr>
            <w:rStyle w:val="Hyperlink"/>
            <w:sz w:val="18"/>
            <w:szCs w:val="18"/>
            <w:lang w:val="sr-Cyrl-RS"/>
          </w:rPr>
          <w:t>.</w:t>
        </w:r>
        <w:r w:rsidRPr="003C3404">
          <w:rPr>
            <w:rStyle w:val="Hyperlink"/>
            <w:sz w:val="18"/>
            <w:szCs w:val="18"/>
            <w:lang w:val="en-GB"/>
          </w:rPr>
          <w:t>gov</w:t>
        </w:r>
        <w:r w:rsidRPr="003C3404">
          <w:rPr>
            <w:rStyle w:val="Hyperlink"/>
            <w:sz w:val="18"/>
            <w:szCs w:val="18"/>
            <w:lang w:val="sr-Cyrl-RS"/>
          </w:rPr>
          <w:t>.</w:t>
        </w:r>
        <w:r w:rsidRPr="003C3404">
          <w:rPr>
            <w:rStyle w:val="Hyperlink"/>
            <w:sz w:val="18"/>
            <w:szCs w:val="18"/>
            <w:lang w:val="en-GB"/>
          </w:rPr>
          <w:t>rs</w:t>
        </w:r>
        <w:r w:rsidRPr="003C3404">
          <w:rPr>
            <w:rStyle w:val="Hyperlink"/>
            <w:sz w:val="18"/>
            <w:szCs w:val="18"/>
            <w:lang w:val="sr-Cyrl-RS"/>
          </w:rPr>
          <w:t>/</w:t>
        </w:r>
        <w:r w:rsidRPr="003C3404">
          <w:rPr>
            <w:rStyle w:val="Hyperlink"/>
            <w:sz w:val="18"/>
            <w:szCs w:val="18"/>
            <w:lang w:val="en-GB"/>
          </w:rPr>
          <w:t>wp</w:t>
        </w:r>
        <w:r w:rsidRPr="003C3404">
          <w:rPr>
            <w:rStyle w:val="Hyperlink"/>
            <w:sz w:val="18"/>
            <w:szCs w:val="18"/>
            <w:lang w:val="sr-Cyrl-RS"/>
          </w:rPr>
          <w:t>-</w:t>
        </w:r>
        <w:r w:rsidRPr="003C3404">
          <w:rPr>
            <w:rStyle w:val="Hyperlink"/>
            <w:sz w:val="18"/>
            <w:szCs w:val="18"/>
            <w:lang w:val="en-GB"/>
          </w:rPr>
          <w:t>content</w:t>
        </w:r>
        <w:r w:rsidRPr="003C3404">
          <w:rPr>
            <w:rStyle w:val="Hyperlink"/>
            <w:sz w:val="18"/>
            <w:szCs w:val="18"/>
            <w:lang w:val="sr-Cyrl-RS"/>
          </w:rPr>
          <w:t>/</w:t>
        </w:r>
        <w:r w:rsidRPr="003C3404">
          <w:rPr>
            <w:rStyle w:val="Hyperlink"/>
            <w:sz w:val="18"/>
            <w:szCs w:val="18"/>
            <w:lang w:val="en-GB"/>
          </w:rPr>
          <w:t>uploads</w:t>
        </w:r>
        <w:r w:rsidRPr="003C3404">
          <w:rPr>
            <w:rStyle w:val="Hyperlink"/>
            <w:sz w:val="18"/>
            <w:szCs w:val="18"/>
            <w:lang w:val="sr-Cyrl-RS"/>
          </w:rPr>
          <w:t>/</w:t>
        </w:r>
        <w:r w:rsidRPr="003C3404">
          <w:rPr>
            <w:rStyle w:val="Hyperlink"/>
            <w:sz w:val="18"/>
            <w:szCs w:val="18"/>
            <w:lang w:val="en-GB"/>
          </w:rPr>
          <w:t>uredba</w:t>
        </w:r>
        <w:r w:rsidRPr="003C3404">
          <w:rPr>
            <w:rStyle w:val="Hyperlink"/>
            <w:sz w:val="18"/>
            <w:szCs w:val="18"/>
            <w:lang w:val="sr-Cyrl-RS"/>
          </w:rPr>
          <w:t>_</w:t>
        </w:r>
        <w:r w:rsidRPr="003C3404">
          <w:rPr>
            <w:rStyle w:val="Hyperlink"/>
            <w:sz w:val="18"/>
            <w:szCs w:val="18"/>
            <w:lang w:val="en-GB"/>
          </w:rPr>
          <w:t>kompetencije</w:t>
        </w:r>
        <w:r w:rsidRPr="003C3404">
          <w:rPr>
            <w:rStyle w:val="Hyperlink"/>
            <w:sz w:val="18"/>
            <w:szCs w:val="18"/>
            <w:lang w:val="sr-Cyrl-RS"/>
          </w:rPr>
          <w:t>128_</w:t>
        </w:r>
        <w:r w:rsidRPr="003C3404">
          <w:rPr>
            <w:rStyle w:val="Hyperlink"/>
            <w:sz w:val="18"/>
            <w:szCs w:val="18"/>
            <w:lang w:val="en-GB"/>
          </w:rPr>
          <w:t>cyr</w:t>
        </w:r>
        <w:r w:rsidRPr="003C3404">
          <w:rPr>
            <w:rStyle w:val="Hyperlink"/>
            <w:sz w:val="18"/>
            <w:szCs w:val="18"/>
            <w:lang w:val="sr-Cyrl-RS"/>
          </w:rPr>
          <w:t>.</w:t>
        </w:r>
        <w:r w:rsidRPr="003C3404">
          <w:rPr>
            <w:rStyle w:val="Hyperlink"/>
            <w:sz w:val="18"/>
            <w:szCs w:val="18"/>
            <w:lang w:val="en-GB"/>
          </w:rPr>
          <w:t>pdf</w:t>
        </w:r>
      </w:hyperlink>
    </w:p>
    <w:p w14:paraId="5B53D1A9" w14:textId="77777777" w:rsidR="00876FFE" w:rsidRPr="003C3404" w:rsidRDefault="00876FFE" w:rsidP="00215A61">
      <w:pPr>
        <w:pStyle w:val="FootnoteText"/>
        <w:rPr>
          <w:sz w:val="18"/>
          <w:szCs w:val="18"/>
          <w:lang w:val="sr-Cyrl-RS"/>
        </w:rPr>
      </w:pPr>
    </w:p>
  </w:footnote>
  <w:footnote w:id="102">
    <w:p w14:paraId="71859B23"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Анализа без РГЗ, МРЗСП и МУП</w:t>
      </w:r>
    </w:p>
  </w:footnote>
  <w:footnote w:id="103">
    <w:p w14:paraId="19FF0F04"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Извештај о анализи потреба за обуком државних службеника у области управљања јавним политикама израђен у оквиру Секторског реформског уговора за сектор реформе јавне управе, </w:t>
      </w:r>
      <w:r w:rsidRPr="003C3404">
        <w:rPr>
          <w:sz w:val="18"/>
          <w:szCs w:val="18"/>
          <w:lang w:val="sr-Latn-RS"/>
        </w:rPr>
        <w:t>EuropeAid</w:t>
      </w:r>
      <w:r w:rsidRPr="003C3404">
        <w:rPr>
          <w:sz w:val="18"/>
          <w:szCs w:val="18"/>
          <w:lang w:val="sr-Cyrl-RS"/>
        </w:rPr>
        <w:t>/137928/</w:t>
      </w:r>
      <w:r w:rsidRPr="003C3404">
        <w:rPr>
          <w:sz w:val="18"/>
          <w:szCs w:val="18"/>
          <w:lang w:val="sr-Latn-RS"/>
        </w:rPr>
        <w:t>DH</w:t>
      </w:r>
      <w:r w:rsidRPr="003C3404">
        <w:rPr>
          <w:sz w:val="18"/>
          <w:szCs w:val="18"/>
          <w:lang w:val="sr-Cyrl-RS"/>
        </w:rPr>
        <w:t>/</w:t>
      </w:r>
      <w:r w:rsidRPr="003C3404">
        <w:rPr>
          <w:sz w:val="18"/>
          <w:szCs w:val="18"/>
          <w:lang w:val="sr-Latn-RS"/>
        </w:rPr>
        <w:t>SER</w:t>
      </w:r>
      <w:r w:rsidRPr="003C3404">
        <w:rPr>
          <w:sz w:val="18"/>
          <w:szCs w:val="18"/>
          <w:lang w:val="sr-Cyrl-RS"/>
        </w:rPr>
        <w:t>/</w:t>
      </w:r>
      <w:r w:rsidRPr="003C3404">
        <w:rPr>
          <w:sz w:val="18"/>
          <w:szCs w:val="18"/>
          <w:lang w:val="sr-Latn-RS"/>
        </w:rPr>
        <w:t>RS</w:t>
      </w:r>
      <w:r w:rsidRPr="003C3404">
        <w:rPr>
          <w:sz w:val="18"/>
          <w:szCs w:val="18"/>
          <w:lang w:val="sr-Cyrl-RS"/>
        </w:rPr>
        <w:t xml:space="preserve"> указује на овај однос, којим се истовремено доприноси бољем дефинисању тематских обука.  </w:t>
      </w:r>
    </w:p>
  </w:footnote>
  <w:footnote w:id="104">
    <w:p w14:paraId="285288B8" w14:textId="77777777" w:rsidR="00876FFE" w:rsidRPr="003C3404" w:rsidRDefault="00876FFE" w:rsidP="00215A61">
      <w:pPr>
        <w:pStyle w:val="FootnoteText"/>
        <w:rPr>
          <w:sz w:val="18"/>
          <w:szCs w:val="18"/>
          <w:lang w:val="sr-Cyrl-RS"/>
        </w:rPr>
      </w:pPr>
      <w:r w:rsidRPr="003C3404">
        <w:rPr>
          <w:rStyle w:val="FootnoteReference"/>
          <w:sz w:val="18"/>
          <w:szCs w:val="18"/>
        </w:rPr>
        <w:footnoteRef/>
      </w:r>
      <w:hyperlink r:id="rId57" w:history="1">
        <w:r w:rsidRPr="003C3404">
          <w:rPr>
            <w:rStyle w:val="Hyperlink"/>
            <w:sz w:val="18"/>
            <w:szCs w:val="18"/>
          </w:rPr>
          <w:t>https://www.mfin.gov.rs/UserFiles/File/dokumenti/2013/Fiskalna%20strategija%202014.pdf</w:t>
        </w:r>
      </w:hyperlink>
      <w:r w:rsidRPr="003C3404">
        <w:rPr>
          <w:color w:val="222222"/>
          <w:sz w:val="18"/>
          <w:szCs w:val="18"/>
          <w:lang w:val="sr-Cyrl-RS"/>
        </w:rPr>
        <w:t>; </w:t>
      </w:r>
      <w:hyperlink r:id="rId58" w:tgtFrame="_blank" w:history="1">
        <w:r w:rsidRPr="003C3404">
          <w:rPr>
            <w:color w:val="1155CC"/>
            <w:sz w:val="18"/>
            <w:szCs w:val="18"/>
            <w:u w:val="single"/>
            <w:lang w:val="sr-Cyrl-RS"/>
          </w:rPr>
          <w:t>http://www.fiskalnisavet.rs/doc/dokumenti/Fiskalna-strategija-za-2015-godinu-sa-projekcijama-za-2016-i-2017.pdf</w:t>
        </w:r>
      </w:hyperlink>
    </w:p>
  </w:footnote>
  <w:footnote w:id="105">
    <w:p w14:paraId="0153D5A9"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color w:val="222222"/>
          <w:sz w:val="18"/>
          <w:szCs w:val="18"/>
          <w:lang w:val="sr-Cyrl-RS"/>
        </w:rPr>
        <w:t>Извор података о броју запослених на неодређено време у јавној управи је Централни регистар обавезног социјалног осигурања, изузев за Министарство просвете, науке и технолошког развоја, за које извор представља Регистар запослених, изабраних, именованих, постављених и ангажованих лица код корисника јавних средстава Управе за трезор, за чије запослене се подаци изражавају у еквиваленту пуног радног времена, а на основу финансијских података наведеног Регистра запослених.</w:t>
      </w:r>
    </w:p>
  </w:footnote>
  <w:footnote w:id="106">
    <w:p w14:paraId="08386D92" w14:textId="1FE8AFAC" w:rsidR="00876FFE" w:rsidRPr="003C3404" w:rsidRDefault="00876FFE" w:rsidP="00215A61">
      <w:pPr>
        <w:pStyle w:val="FootnoteText"/>
        <w:rPr>
          <w:sz w:val="18"/>
          <w:szCs w:val="18"/>
          <w:lang w:val="sr-Cyrl-RS"/>
        </w:rPr>
      </w:pPr>
      <w:r w:rsidRPr="003C3404">
        <w:rPr>
          <w:rStyle w:val="FootnoteReference"/>
          <w:sz w:val="18"/>
          <w:szCs w:val="18"/>
          <w:lang w:val="sr-Cyrl-RS"/>
        </w:rPr>
        <w:footnoteRef/>
      </w:r>
      <w:r w:rsidRPr="003C3404">
        <w:rPr>
          <w:sz w:val="18"/>
          <w:szCs w:val="18"/>
          <w:lang w:val="sr-Cyrl-RS"/>
        </w:rPr>
        <w:t xml:space="preserve"> </w:t>
      </w:r>
      <w:r w:rsidRPr="003C3404">
        <w:rPr>
          <w:color w:val="222222"/>
          <w:sz w:val="18"/>
          <w:szCs w:val="18"/>
          <w:lang w:val="sr-Cyrl-RS"/>
        </w:rPr>
        <w:t>У систему државних органа и јавних служби (без јавних предузећа) број запослених на неодређено време смањен је за 24.317, у систему локалне самоуправе са јавним предузећима за 12.797, а у систему Аутономне Покрајине Војводине за 253.</w:t>
      </w:r>
    </w:p>
  </w:footnote>
  <w:footnote w:id="107">
    <w:p w14:paraId="525CAD05"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color w:val="222222"/>
          <w:sz w:val="18"/>
          <w:szCs w:val="18"/>
          <w:lang w:val="sr-Cyrl-RS"/>
        </w:rPr>
        <w:t>„Јачање капацитета јединица за кадрове у органима државне управе Републике Србије”, проф. др Биљана Богићевић Миликић, август 2020. Године.</w:t>
      </w:r>
    </w:p>
  </w:footnote>
  <w:footnote w:id="108">
    <w:p w14:paraId="48666A7D" w14:textId="2A4FE3E3"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color w:val="222222"/>
          <w:sz w:val="18"/>
          <w:szCs w:val="18"/>
          <w:lang w:val="sr-Cyrl-RS"/>
        </w:rPr>
        <w:t>„Анализа управљања људским ресурсима у државној управи Републике Србије”, Драгана Бајић, Оливера Јоветић, Александар Пановски и Катарина Тадић, април 2016. године.</w:t>
      </w:r>
    </w:p>
  </w:footnote>
  <w:footnote w:id="109">
    <w:p w14:paraId="1C1016CD"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Функционална анализа је урађена у оквиру </w:t>
      </w:r>
      <w:r w:rsidRPr="003C3404">
        <w:rPr>
          <w:bCs/>
          <w:color w:val="000000"/>
          <w:sz w:val="18"/>
          <w:szCs w:val="18"/>
          <w:lang w:val="sr-Cyrl-RS"/>
        </w:rPr>
        <w:t xml:space="preserve">пројекта „Подршка спровођењу Акционог плана Стратегије реформе јавне управе – реформе локалне самоуправе 2016–2019”, који спроводи МДУЛС уз подршку Швајцарске Владе. За реализацију тог пројектног задатка МДУЛС је ангажовао конзорцијум </w:t>
      </w:r>
      <w:r w:rsidRPr="003C3404">
        <w:rPr>
          <w:bCs/>
          <w:i/>
          <w:color w:val="000000"/>
          <w:sz w:val="18"/>
          <w:szCs w:val="18"/>
          <w:lang w:val="sr-Cyrl-RS"/>
        </w:rPr>
        <w:t>Change Management Consultants – OPTIMUS</w:t>
      </w:r>
      <w:r w:rsidRPr="003C3404">
        <w:rPr>
          <w:bCs/>
          <w:color w:val="000000"/>
          <w:sz w:val="18"/>
          <w:szCs w:val="18"/>
          <w:lang w:val="sr-Cyrl-RS"/>
        </w:rPr>
        <w:t xml:space="preserve"> – Центар за добро управљање.</w:t>
      </w:r>
    </w:p>
  </w:footnote>
  <w:footnote w:id="110">
    <w:p w14:paraId="304784B3"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Индекс за </w:t>
      </w:r>
      <w:r w:rsidRPr="003C3404">
        <w:rPr>
          <w:bCs/>
          <w:sz w:val="18"/>
          <w:szCs w:val="18"/>
          <w:lang w:val="sr-Cyrl-RS" w:eastAsia="ar-SA"/>
        </w:rPr>
        <w:t xml:space="preserve">УЉР </w:t>
      </w:r>
      <w:r w:rsidRPr="003C3404">
        <w:rPr>
          <w:sz w:val="18"/>
          <w:szCs w:val="18"/>
          <w:lang w:val="sr-Cyrl-RS"/>
        </w:rPr>
        <w:t>је инструмент СКГО за процену капацитета ЈЛС за спровођење послова у области УЉР. Последње истраживање је рађено у периоду јануар–фебруар и јун–јул 2020. године на 50 ЈЛС које су обухваћене пакетима подршке за УЉР у оквиру програма „Управљање људским ресурсима у локалној самоуправи – фаза 2” и 20 ЈЛС које нису биле укључене у пакете подршке за УЉР.</w:t>
      </w:r>
    </w:p>
  </w:footnote>
  <w:footnote w:id="111">
    <w:p w14:paraId="47318DA9"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Члан 33. Закона о јавним службама.</w:t>
      </w:r>
    </w:p>
  </w:footnote>
  <w:footnote w:id="112">
    <w:p w14:paraId="0DC2D8BC"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Донети су Правилник о попуњавању радних места у Служби повереника за информације од јавног значаја и заштиту података о личности, Правилник о попуњавању извршилачких радних места и положаја у Административној канцеларији Високог савета судства, Правилник о попуњавању извршилачких радних места и положаја у Административној канцеларији Државног већа тужилаца и др.</w:t>
      </w:r>
    </w:p>
  </w:footnote>
  <w:footnote w:id="113">
    <w:p w14:paraId="0D02C495" w14:textId="77777777" w:rsidR="00876FFE" w:rsidRPr="003C3404" w:rsidRDefault="00876FFE" w:rsidP="00215A61">
      <w:pPr>
        <w:pStyle w:val="FootnoteText"/>
        <w:rPr>
          <w:sz w:val="18"/>
          <w:szCs w:val="18"/>
          <w:lang w:val="sr-Cyrl-RS"/>
        </w:rPr>
      </w:pPr>
      <w:r w:rsidRPr="003C3404">
        <w:rPr>
          <w:rStyle w:val="FootnoteReference"/>
          <w:rFonts w:eastAsia="Noto Sans CJK SC Regular"/>
          <w:sz w:val="18"/>
          <w:szCs w:val="18"/>
        </w:rPr>
        <w:footnoteRef/>
      </w:r>
      <w:r w:rsidRPr="003C3404">
        <w:rPr>
          <w:sz w:val="18"/>
          <w:szCs w:val="18"/>
        </w:rPr>
        <w:t xml:space="preserve"> </w:t>
      </w:r>
      <w:r w:rsidRPr="003C3404">
        <w:rPr>
          <w:sz w:val="18"/>
          <w:szCs w:val="18"/>
          <w:lang w:val="sr-Cyrl-RS"/>
        </w:rPr>
        <w:t>Члан 57. Уредбе о интерном и јавном конкурсу за попуњавање радних места у државним органима.</w:t>
      </w:r>
    </w:p>
  </w:footnote>
  <w:footnote w:id="114">
    <w:p w14:paraId="3E3C51C9" w14:textId="77777777" w:rsidR="00876FFE" w:rsidRPr="003C3404" w:rsidRDefault="00876FFE" w:rsidP="00215A61">
      <w:pPr>
        <w:pStyle w:val="FootnoteText"/>
        <w:rPr>
          <w:sz w:val="18"/>
          <w:szCs w:val="18"/>
          <w:lang w:val="sr-Cyrl-RS"/>
        </w:rPr>
      </w:pPr>
      <w:r w:rsidRPr="003C3404">
        <w:rPr>
          <w:rStyle w:val="FootnoteReference"/>
          <w:rFonts w:eastAsia="Noto Sans CJK SC Regular"/>
          <w:sz w:val="18"/>
          <w:szCs w:val="18"/>
        </w:rPr>
        <w:footnoteRef/>
      </w:r>
      <w:r w:rsidRPr="003C3404">
        <w:rPr>
          <w:sz w:val="18"/>
          <w:szCs w:val="18"/>
        </w:rPr>
        <w:t xml:space="preserve"> </w:t>
      </w:r>
      <w:r w:rsidRPr="003C3404">
        <w:rPr>
          <w:sz w:val="18"/>
          <w:szCs w:val="18"/>
          <w:lang w:val="sr-Cyrl-RS"/>
        </w:rPr>
        <w:t>Члан 58. Уредбе о интерном и јавном конкурсу о попуњавању радних места у државним органима.</w:t>
      </w:r>
    </w:p>
  </w:footnote>
  <w:footnote w:id="115">
    <w:p w14:paraId="1E84F932"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Члан 130. Закона о полицији. </w:t>
      </w:r>
    </w:p>
  </w:footnote>
  <w:footnote w:id="116">
    <w:p w14:paraId="7052BCFB"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Анализа „Јачање капацитета јединица за кадрове у органима државне управе Републике Србије”– подршка ГИЗ.</w:t>
      </w:r>
    </w:p>
  </w:footnote>
  <w:footnote w:id="117">
    <w:p w14:paraId="3128D7EE"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Анализа „Јачање капацитета јединица за кадрове у органима државне управе Републике Србије”– подршка ГИЗ.</w:t>
      </w:r>
    </w:p>
    <w:p w14:paraId="06F08AEC" w14:textId="77777777" w:rsidR="00876FFE" w:rsidRPr="003C3404" w:rsidRDefault="00876FFE" w:rsidP="00215A61">
      <w:pPr>
        <w:pStyle w:val="FootnoteText"/>
        <w:rPr>
          <w:sz w:val="18"/>
          <w:szCs w:val="18"/>
          <w:lang w:val="sr-Cyrl-RS"/>
        </w:rPr>
      </w:pPr>
    </w:p>
  </w:footnote>
  <w:footnote w:id="118">
    <w:p w14:paraId="6F488E21" w14:textId="4E12380F" w:rsidR="00876FFE" w:rsidRPr="003C3404" w:rsidRDefault="00876FFE" w:rsidP="00215A61">
      <w:pPr>
        <w:pStyle w:val="FootnoteText"/>
        <w:tabs>
          <w:tab w:val="left" w:pos="284"/>
        </w:tabs>
        <w:jc w:val="lef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Програму обуке руководилаца за државне службенике за 2020. годину претходила је израда студије „Ка модерном програму стручног усавршавању државних службеника на положају у Србији”. Предлог програма обуке и Студија припремљени су уз подршку </w:t>
      </w:r>
      <w:r w:rsidRPr="00351859">
        <w:rPr>
          <w:i/>
          <w:sz w:val="18"/>
          <w:szCs w:val="18"/>
          <w:lang w:val="sr-Cyrl-RS"/>
        </w:rPr>
        <w:t>SIGMA</w:t>
      </w:r>
      <w:r w:rsidRPr="003C3404">
        <w:rPr>
          <w:i/>
          <w:sz w:val="18"/>
          <w:szCs w:val="18"/>
          <w:lang w:val="sr-Cyrl-RS"/>
        </w:rPr>
        <w:t xml:space="preserve"> </w:t>
      </w:r>
      <w:r w:rsidRPr="003C3404">
        <w:rPr>
          <w:sz w:val="18"/>
          <w:szCs w:val="18"/>
          <w:lang w:val="sr-Cyrl-RS"/>
        </w:rPr>
        <w:t>(</w:t>
      </w:r>
      <w:r w:rsidRPr="003C3404">
        <w:rPr>
          <w:i/>
          <w:iCs/>
          <w:sz w:val="18"/>
          <w:szCs w:val="18"/>
        </w:rPr>
        <w:t>Support for Improvement in Governance and Management</w:t>
      </w:r>
      <w:r w:rsidRPr="003C3404">
        <w:rPr>
          <w:iCs/>
          <w:sz w:val="18"/>
          <w:szCs w:val="18"/>
          <w:lang w:val="sr-Cyrl-RS"/>
        </w:rPr>
        <w:t>)</w:t>
      </w:r>
      <w:r w:rsidRPr="003C3404">
        <w:rPr>
          <w:sz w:val="18"/>
          <w:szCs w:val="18"/>
        </w:rPr>
        <w:t xml:space="preserve"> заједничк</w:t>
      </w:r>
      <w:r w:rsidRPr="003C3404">
        <w:rPr>
          <w:sz w:val="18"/>
          <w:szCs w:val="18"/>
          <w:lang w:val="sr-Cyrl-RS"/>
        </w:rPr>
        <w:t>е</w:t>
      </w:r>
      <w:r w:rsidRPr="003C3404">
        <w:rPr>
          <w:sz w:val="18"/>
          <w:szCs w:val="18"/>
        </w:rPr>
        <w:t xml:space="preserve"> иницијатив</w:t>
      </w:r>
      <w:r w:rsidRPr="003C3404">
        <w:rPr>
          <w:sz w:val="18"/>
          <w:szCs w:val="18"/>
          <w:lang w:val="sr-Cyrl-RS"/>
        </w:rPr>
        <w:t>е</w:t>
      </w:r>
      <w:r w:rsidRPr="003C3404">
        <w:rPr>
          <w:sz w:val="18"/>
          <w:szCs w:val="18"/>
        </w:rPr>
        <w:t xml:space="preserve"> Организације за економску сарадњу и развој и Европске уније. </w:t>
      </w:r>
    </w:p>
  </w:footnote>
  <w:footnote w:id="119">
    <w:p w14:paraId="4D81857E" w14:textId="77777777" w:rsidR="00876FFE" w:rsidRPr="003C3404" w:rsidRDefault="00876FFE" w:rsidP="00215A61">
      <w:pPr>
        <w:pStyle w:val="FootnoteText"/>
        <w:tabs>
          <w:tab w:val="left" w:pos="284"/>
        </w:tabs>
        <w:jc w:val="lef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Програм обуке руководилаца у јединицама локалне самоуправе припремљен је у складу са принципима </w:t>
      </w:r>
      <w:r w:rsidRPr="003C3404">
        <w:rPr>
          <w:i/>
          <w:iCs/>
          <w:sz w:val="18"/>
          <w:szCs w:val="18"/>
          <w:lang w:val="sr-Latn-RS"/>
        </w:rPr>
        <w:t>LAP - Leadership Academy Programme</w:t>
      </w:r>
      <w:r w:rsidRPr="003C3404">
        <w:rPr>
          <w:sz w:val="18"/>
          <w:szCs w:val="18"/>
          <w:lang w:val="sr-Cyrl-RS"/>
        </w:rPr>
        <w:t xml:space="preserve"> Савета Европе, у оквиру пројекта „Управљање људским ресурсима у локалној самоуправи, Фаза 2”, који Министарство државне управе и локалне самоуправе реализује у сарадњи са Сталном конференцијом градова и општна и Саветом Европе, уз финансијску помоћ Европске Уније и Савета Европе.</w:t>
      </w:r>
    </w:p>
  </w:footnote>
  <w:footnote w:id="120">
    <w:p w14:paraId="7CEB1633" w14:textId="77777777" w:rsidR="00876FFE" w:rsidRPr="003C3404" w:rsidRDefault="00876FFE" w:rsidP="00215A61">
      <w:pPr>
        <w:pStyle w:val="FootnoteText"/>
        <w:tabs>
          <w:tab w:val="left" w:pos="284"/>
        </w:tabs>
        <w:rPr>
          <w:sz w:val="18"/>
          <w:szCs w:val="18"/>
          <w:lang w:val="sr-Cyrl-RS"/>
        </w:rPr>
      </w:pPr>
      <w:r w:rsidRPr="003C3404">
        <w:rPr>
          <w:rStyle w:val="FootnoteReference"/>
          <w:sz w:val="18"/>
          <w:szCs w:val="18"/>
        </w:rPr>
        <w:footnoteRef/>
      </w:r>
      <w:r w:rsidRPr="003C3404">
        <w:rPr>
          <w:sz w:val="18"/>
          <w:szCs w:val="18"/>
          <w:lang w:val="sr-Cyrl-RS"/>
        </w:rPr>
        <w:t xml:space="preserve"> </w:t>
      </w:r>
      <w:hyperlink r:id="rId59" w:history="1">
        <w:r w:rsidRPr="003C3404">
          <w:rPr>
            <w:rStyle w:val="Hyperlink"/>
            <w:sz w:val="18"/>
            <w:szCs w:val="18"/>
          </w:rPr>
          <w:t>https://www.napa.gov.rs/tekst/49/godisnji-programi-obuka-naju.php</w:t>
        </w:r>
      </w:hyperlink>
      <w:r w:rsidRPr="003C3404">
        <w:rPr>
          <w:sz w:val="18"/>
          <w:szCs w:val="18"/>
          <w:lang w:val="sr-Cyrl-RS"/>
        </w:rPr>
        <w:t xml:space="preserve"> – сајт посећен дана 8. новембра 2020.</w:t>
      </w:r>
    </w:p>
  </w:footnote>
  <w:footnote w:id="121">
    <w:p w14:paraId="61BFA427" w14:textId="77777777" w:rsidR="00876FFE" w:rsidRPr="003C3404" w:rsidRDefault="00876FFE" w:rsidP="00215A61">
      <w:pPr>
        <w:pStyle w:val="FootnoteText"/>
        <w:tabs>
          <w:tab w:val="left" w:pos="284"/>
        </w:tabs>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Упореди: </w:t>
      </w:r>
      <w:r w:rsidRPr="003C3404">
        <w:rPr>
          <w:sz w:val="18"/>
          <w:szCs w:val="18"/>
          <w:lang w:val="sr-Latn-RS"/>
        </w:rPr>
        <w:t>Извештај о процени потреба за стручним усавршавањем запослених у јавној управи за 2021. годину</w:t>
      </w:r>
      <w:r w:rsidRPr="003C3404">
        <w:rPr>
          <w:sz w:val="18"/>
          <w:szCs w:val="18"/>
          <w:lang w:val="sr-Cyrl-RS"/>
        </w:rPr>
        <w:t>, Национална академија за јавну управу, август 2020. (</w:t>
      </w:r>
      <w:hyperlink r:id="rId60" w:history="1">
        <w:r w:rsidRPr="003C3404">
          <w:rPr>
            <w:rStyle w:val="Hyperlink"/>
            <w:sz w:val="18"/>
            <w:szCs w:val="18"/>
            <w:lang w:val="sr-Cyrl-RS"/>
          </w:rPr>
          <w:t>https://www.napa.gov.rs/extfile/sr/2227/TNA-izve%C5%A1taj-2021-sa-prilozima(1).pdf</w:t>
        </w:r>
      </w:hyperlink>
      <w:r w:rsidRPr="003C3404">
        <w:rPr>
          <w:sz w:val="18"/>
          <w:szCs w:val="18"/>
          <w:lang w:val="sr-Cyrl-RS"/>
        </w:rPr>
        <w:t xml:space="preserve"> – сајт посећен 8. новембра 2020).</w:t>
      </w:r>
    </w:p>
  </w:footnote>
  <w:footnote w:id="122">
    <w:p w14:paraId="0CAA8B59" w14:textId="77777777" w:rsidR="00876FFE" w:rsidRPr="003C3404" w:rsidRDefault="00876FFE" w:rsidP="00215A61">
      <w:pPr>
        <w:pStyle w:val="FootnoteText"/>
        <w:tabs>
          <w:tab w:val="left" w:pos="142"/>
        </w:tabs>
        <w:rPr>
          <w:sz w:val="18"/>
          <w:szCs w:val="18"/>
          <w:lang w:val="sr-Cyrl-RS"/>
        </w:rPr>
      </w:pPr>
      <w:r w:rsidRPr="003C3404">
        <w:rPr>
          <w:rStyle w:val="FootnoteReference"/>
          <w:sz w:val="18"/>
          <w:szCs w:val="18"/>
        </w:rPr>
        <w:footnoteRef/>
      </w:r>
      <w:r w:rsidRPr="003C3404">
        <w:rPr>
          <w:sz w:val="18"/>
          <w:szCs w:val="18"/>
          <w:lang w:val="sr-Cyrl-RS"/>
        </w:rPr>
        <w:t xml:space="preserve"> </w:t>
      </w:r>
      <w:r w:rsidRPr="003C3404">
        <w:rPr>
          <w:rFonts w:eastAsia="Calibri"/>
          <w:sz w:val="18"/>
          <w:szCs w:val="18"/>
          <w:lang w:val="de-DE"/>
        </w:rPr>
        <w:t>https</w:t>
      </w:r>
      <w:r w:rsidRPr="003C3404">
        <w:rPr>
          <w:rFonts w:eastAsia="Calibri"/>
          <w:sz w:val="18"/>
          <w:szCs w:val="18"/>
          <w:lang w:val="sr-Cyrl-RS"/>
        </w:rPr>
        <w:t>://</w:t>
      </w:r>
      <w:r w:rsidRPr="003C3404">
        <w:rPr>
          <w:rFonts w:eastAsia="Calibri"/>
          <w:sz w:val="18"/>
          <w:szCs w:val="18"/>
          <w:lang w:val="de-DE"/>
        </w:rPr>
        <w:t>www</w:t>
      </w:r>
      <w:r w:rsidRPr="003C3404">
        <w:rPr>
          <w:rFonts w:eastAsia="Calibri"/>
          <w:sz w:val="18"/>
          <w:szCs w:val="18"/>
          <w:lang w:val="sr-Cyrl-RS"/>
        </w:rPr>
        <w:t>.</w:t>
      </w:r>
      <w:r w:rsidRPr="003C3404">
        <w:rPr>
          <w:rFonts w:eastAsia="Calibri"/>
          <w:sz w:val="18"/>
          <w:szCs w:val="18"/>
          <w:lang w:val="de-DE"/>
        </w:rPr>
        <w:t>napa</w:t>
      </w:r>
      <w:r w:rsidRPr="003C3404">
        <w:rPr>
          <w:rFonts w:eastAsia="Calibri"/>
          <w:sz w:val="18"/>
          <w:szCs w:val="18"/>
          <w:lang w:val="sr-Cyrl-RS"/>
        </w:rPr>
        <w:t>.</w:t>
      </w:r>
      <w:r w:rsidRPr="003C3404">
        <w:rPr>
          <w:rFonts w:eastAsia="Calibri"/>
          <w:sz w:val="18"/>
          <w:szCs w:val="18"/>
          <w:lang w:val="de-DE"/>
        </w:rPr>
        <w:t>gov</w:t>
      </w:r>
      <w:r w:rsidRPr="003C3404">
        <w:rPr>
          <w:rFonts w:eastAsia="Calibri"/>
          <w:sz w:val="18"/>
          <w:szCs w:val="18"/>
          <w:lang w:val="sr-Cyrl-RS"/>
        </w:rPr>
        <w:t>.</w:t>
      </w:r>
      <w:r w:rsidRPr="003C3404">
        <w:rPr>
          <w:rFonts w:eastAsia="Calibri"/>
          <w:sz w:val="18"/>
          <w:szCs w:val="18"/>
          <w:lang w:val="de-DE"/>
        </w:rPr>
        <w:t>rs</w:t>
      </w:r>
      <w:r w:rsidRPr="003C3404">
        <w:rPr>
          <w:rFonts w:eastAsia="Calibri"/>
          <w:sz w:val="18"/>
          <w:szCs w:val="18"/>
          <w:lang w:val="sr-Cyrl-RS"/>
        </w:rPr>
        <w:t xml:space="preserve">/ </w:t>
      </w:r>
      <w:r w:rsidRPr="003C3404">
        <w:rPr>
          <w:sz w:val="18"/>
          <w:szCs w:val="18"/>
          <w:lang w:val="sr-Cyrl-RS"/>
        </w:rPr>
        <w:t>– сајт посећен 8. новембра 2020</w:t>
      </w:r>
      <w:r w:rsidRPr="003C3404">
        <w:rPr>
          <w:rFonts w:eastAsia="Calibri"/>
          <w:sz w:val="18"/>
          <w:szCs w:val="18"/>
          <w:lang w:val="sr-Cyrl-RS"/>
        </w:rPr>
        <w:t>.</w:t>
      </w:r>
    </w:p>
  </w:footnote>
  <w:footnote w:id="123">
    <w:p w14:paraId="4773370A" w14:textId="77777777" w:rsidR="00876FFE" w:rsidRPr="003C3404" w:rsidRDefault="00876FFE" w:rsidP="00215A61">
      <w:pPr>
        <w:pStyle w:val="FootnoteText"/>
        <w:tabs>
          <w:tab w:val="left" w:pos="284"/>
        </w:tabs>
        <w:rPr>
          <w:spacing w:val="-6"/>
          <w:sz w:val="18"/>
          <w:szCs w:val="18"/>
          <w:lang w:val="sr-Cyrl-RS"/>
        </w:rPr>
      </w:pPr>
      <w:r w:rsidRPr="003C3404">
        <w:rPr>
          <w:rStyle w:val="FootnoteReference"/>
          <w:sz w:val="18"/>
          <w:szCs w:val="18"/>
        </w:rPr>
        <w:footnoteRef/>
      </w:r>
      <w:r w:rsidRPr="003C3404">
        <w:rPr>
          <w:sz w:val="18"/>
          <w:szCs w:val="18"/>
          <w:lang w:val="sr-Cyrl-RS"/>
        </w:rPr>
        <w:t xml:space="preserve"> </w:t>
      </w:r>
      <w:hyperlink r:id="rId61" w:history="1">
        <w:r w:rsidRPr="003C3404">
          <w:rPr>
            <w:rStyle w:val="Hyperlink"/>
            <w:spacing w:val="-6"/>
            <w:sz w:val="18"/>
            <w:szCs w:val="18"/>
            <w:lang w:val="sr-Cyrl-RS"/>
          </w:rPr>
          <w:t>https://www.napa.gov.rs/lista-akreditovanih-trenera/144/stalna-lista-predavaca-i-drugih-realizatora-obuka.php</w:t>
        </w:r>
      </w:hyperlink>
      <w:r w:rsidRPr="003C3404">
        <w:rPr>
          <w:spacing w:val="-6"/>
          <w:sz w:val="18"/>
          <w:szCs w:val="18"/>
          <w:lang w:val="sr-Cyrl-RS"/>
        </w:rPr>
        <w:t xml:space="preserve"> – сајт посећен 8. новембра 2020.</w:t>
      </w:r>
    </w:p>
  </w:footnote>
  <w:footnote w:id="124">
    <w:p w14:paraId="2A1342F1" w14:textId="77777777" w:rsidR="00876FFE" w:rsidRPr="003C3404" w:rsidRDefault="00876FFE" w:rsidP="00215A61">
      <w:pPr>
        <w:pStyle w:val="FootnoteText"/>
        <w:tabs>
          <w:tab w:val="left" w:pos="284"/>
        </w:tabs>
        <w:rPr>
          <w:sz w:val="18"/>
          <w:szCs w:val="18"/>
          <w:lang w:val="sr-Cyrl-RS"/>
        </w:rPr>
      </w:pPr>
      <w:r w:rsidRPr="003C3404">
        <w:rPr>
          <w:rStyle w:val="FootnoteReference"/>
          <w:sz w:val="18"/>
          <w:szCs w:val="18"/>
        </w:rPr>
        <w:footnoteRef/>
      </w:r>
      <w:r w:rsidRPr="003C3404">
        <w:rPr>
          <w:sz w:val="18"/>
          <w:szCs w:val="18"/>
          <w:lang w:val="sr-Cyrl-RS"/>
        </w:rPr>
        <w:t xml:space="preserve"> </w:t>
      </w:r>
      <w:hyperlink r:id="rId62" w:history="1">
        <w:r w:rsidRPr="003C3404">
          <w:rPr>
            <w:rStyle w:val="Hyperlink"/>
            <w:sz w:val="18"/>
            <w:szCs w:val="18"/>
          </w:rPr>
          <w:t>https://www.napa.gov.rs/tekst/59/evidencija-akreditovanih-sprovodilaca-obuka.php</w:t>
        </w:r>
      </w:hyperlink>
      <w:r w:rsidRPr="003C3404">
        <w:rPr>
          <w:sz w:val="18"/>
          <w:szCs w:val="18"/>
          <w:lang w:val="sr-Cyrl-RS"/>
        </w:rPr>
        <w:t xml:space="preserve"> – сајт посећен 8. новембра 2020..</w:t>
      </w:r>
    </w:p>
    <w:p w14:paraId="3FFBD5E4" w14:textId="77777777" w:rsidR="00876FFE" w:rsidRPr="003C3404" w:rsidRDefault="00876FFE" w:rsidP="00215A61">
      <w:pPr>
        <w:pStyle w:val="FootnoteText"/>
        <w:rPr>
          <w:sz w:val="18"/>
          <w:szCs w:val="18"/>
          <w:lang w:val="sr-Cyrl-RS"/>
        </w:rPr>
      </w:pPr>
    </w:p>
  </w:footnote>
  <w:footnote w:id="125">
    <w:p w14:paraId="50085411" w14:textId="77777777" w:rsidR="00876FFE" w:rsidRPr="003C3404" w:rsidRDefault="00876FFE" w:rsidP="00215A61">
      <w:pPr>
        <w:pStyle w:val="FootnoteText"/>
        <w:tabs>
          <w:tab w:val="left" w:pos="284"/>
        </w:tabs>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Извор: </w:t>
      </w:r>
      <w:hyperlink r:id="rId63" w:history="1">
        <w:r w:rsidRPr="003C3404">
          <w:rPr>
            <w:rStyle w:val="Hyperlink"/>
            <w:sz w:val="18"/>
            <w:szCs w:val="18"/>
            <w:lang w:val="sr-Cyrl-RS"/>
          </w:rPr>
          <w:t>https://www.napa.gov.rs/tekst/61/lista-akreditovanih-programa.php</w:t>
        </w:r>
      </w:hyperlink>
      <w:r w:rsidRPr="003C3404">
        <w:rPr>
          <w:sz w:val="18"/>
          <w:szCs w:val="18"/>
          <w:lang w:val="sr-Cyrl-RS"/>
        </w:rPr>
        <w:t xml:space="preserve"> – сајт посећен 8. новембра 2020.</w:t>
      </w:r>
    </w:p>
  </w:footnote>
  <w:footnote w:id="126">
    <w:p w14:paraId="6A8DE5F7" w14:textId="77777777" w:rsidR="00876FFE" w:rsidRPr="003C3404" w:rsidRDefault="00876FFE" w:rsidP="00215A61">
      <w:pPr>
        <w:pStyle w:val="FootnoteText"/>
        <w:tabs>
          <w:tab w:val="left" w:pos="284"/>
        </w:tabs>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Овај процес подржан је пројеком „Јачање капацитета локалне самоуправе (Фаза 1)”, а затим и пројектом „Управљање људским ресурсима у локалној самоуправи (Фаза 2)”, које су реализовали/реализују Министарство државне управе и локалне самоуправе, Стална конференција градова и општина и Савет Европе, уз финансијску подршку Европске уније и Савета Европе.</w:t>
      </w:r>
    </w:p>
  </w:footnote>
  <w:footnote w:id="127">
    <w:p w14:paraId="60BC341B" w14:textId="32FEABEE" w:rsidR="00876FFE" w:rsidRPr="003C3404" w:rsidRDefault="00876FFE" w:rsidP="00215A61">
      <w:pPr>
        <w:pStyle w:val="FootnoteText"/>
        <w:tabs>
          <w:tab w:val="left" w:pos="284"/>
        </w:tabs>
        <w:rPr>
          <w:bCs/>
          <w:spacing w:val="-6"/>
          <w:sz w:val="18"/>
          <w:szCs w:val="18"/>
          <w:lang w:val="sr-Cyrl-RS"/>
        </w:rPr>
      </w:pPr>
      <w:r w:rsidRPr="003C3404">
        <w:rPr>
          <w:rStyle w:val="FootnoteCharacters"/>
          <w:spacing w:val="-4"/>
          <w:sz w:val="18"/>
          <w:szCs w:val="18"/>
        </w:rPr>
        <w:footnoteRef/>
      </w:r>
      <w:r w:rsidRPr="003C3404">
        <w:rPr>
          <w:rStyle w:val="FootnoteCharacters"/>
          <w:spacing w:val="-4"/>
          <w:sz w:val="18"/>
          <w:szCs w:val="18"/>
        </w:rPr>
        <w:tab/>
      </w:r>
      <w:r w:rsidRPr="00351859">
        <w:rPr>
          <w:bCs/>
          <w:i/>
          <w:spacing w:val="-4"/>
          <w:sz w:val="18"/>
          <w:szCs w:val="18"/>
          <w:lang w:val="sr-Cyrl-RS"/>
        </w:rPr>
        <w:t>SIGMA</w:t>
      </w:r>
      <w:r w:rsidRPr="003C3404">
        <w:rPr>
          <w:bCs/>
          <w:i/>
          <w:spacing w:val="-4"/>
          <w:sz w:val="18"/>
          <w:szCs w:val="18"/>
          <w:lang w:val="sr-Cyrl-RS"/>
        </w:rPr>
        <w:t xml:space="preserve"> </w:t>
      </w:r>
      <w:r w:rsidRPr="003C3404">
        <w:rPr>
          <w:bCs/>
          <w:spacing w:val="-4"/>
          <w:sz w:val="18"/>
          <w:szCs w:val="18"/>
          <w:lang w:val="sr-Cyrl-RS"/>
        </w:rPr>
        <w:t>је у мају 2019. године израдила документ Анализа капацитета за управљање људским ресурсима у органима државне управе са препорукама за централна тела координације управљања људским ресурсима и за органе државне управе, која је указала на неопходност да се јединице за управљање људским ресурсима укључе у стратешко управљање кадровома.</w:t>
      </w:r>
    </w:p>
  </w:footnote>
  <w:footnote w:id="128">
    <w:p w14:paraId="2F27E7EC" w14:textId="77777777" w:rsidR="00876FFE" w:rsidRPr="003C3404" w:rsidRDefault="00876FFE" w:rsidP="00215A61">
      <w:pPr>
        <w:spacing w:before="0" w:after="0"/>
        <w:ind w:firstLine="0"/>
        <w:rPr>
          <w:sz w:val="18"/>
          <w:szCs w:val="18"/>
        </w:rPr>
      </w:pPr>
      <w:r w:rsidRPr="003C3404">
        <w:rPr>
          <w:rStyle w:val="FootnoteReference"/>
          <w:sz w:val="18"/>
          <w:szCs w:val="18"/>
        </w:rPr>
        <w:footnoteRef/>
      </w:r>
      <w:r w:rsidRPr="003C3404">
        <w:rPr>
          <w:sz w:val="18"/>
          <w:szCs w:val="18"/>
        </w:rPr>
        <w:t xml:space="preserve"> Према „Студији о стручним испитима у систему државне управе у Републици Србији”, коју је израдило Министарство државне управе и локалне самоуправе уз подршку пројекта „Подршка реформи јавне управе у Србији” Немачке организације за међународну сарадњу у Србији – ГИЗ, до краја 2018. године у систем је уведено 105 посебних стручних испита и испита за лиценцу која је услов да поједине послове државне управе обављају имаоци јавних овлашћења. </w:t>
      </w:r>
    </w:p>
    <w:p w14:paraId="28F902BB" w14:textId="77777777" w:rsidR="00876FFE" w:rsidRPr="003C3404" w:rsidRDefault="00876FFE" w:rsidP="00215A61">
      <w:pPr>
        <w:pStyle w:val="FootnoteText"/>
        <w:rPr>
          <w:sz w:val="18"/>
          <w:szCs w:val="18"/>
          <w:lang w:val="sr-Cyrl-RS"/>
        </w:rPr>
      </w:pPr>
    </w:p>
  </w:footnote>
  <w:footnote w:id="129">
    <w:p w14:paraId="6E7108A8" w14:textId="77777777" w:rsidR="00876FFE" w:rsidRPr="003C3404" w:rsidRDefault="00876FFE" w:rsidP="009300FD">
      <w:pPr>
        <w:pStyle w:val="FootnoteText"/>
        <w:rPr>
          <w:sz w:val="18"/>
          <w:szCs w:val="18"/>
        </w:rPr>
      </w:pPr>
      <w:r w:rsidRPr="003C3404">
        <w:rPr>
          <w:rStyle w:val="FootnoteReference"/>
          <w:sz w:val="18"/>
          <w:szCs w:val="18"/>
        </w:rPr>
        <w:footnoteRef/>
      </w:r>
      <w:r w:rsidRPr="003C3404">
        <w:rPr>
          <w:sz w:val="18"/>
          <w:szCs w:val="18"/>
        </w:rPr>
        <w:t xml:space="preserve"> Легенда: 0 – није релевантно, 1 – умерено приме</w:t>
      </w:r>
      <w:r w:rsidRPr="003C3404">
        <w:rPr>
          <w:sz w:val="18"/>
          <w:szCs w:val="18"/>
          <w:lang w:val="sr-Cyrl-RS"/>
        </w:rPr>
        <w:t>нљиво</w:t>
      </w:r>
      <w:r w:rsidRPr="003C3404">
        <w:rPr>
          <w:sz w:val="18"/>
          <w:szCs w:val="18"/>
        </w:rPr>
        <w:t>, 2 – у потпуности испуњава критеријум</w:t>
      </w:r>
    </w:p>
    <w:p w14:paraId="0165F6BE" w14:textId="77777777" w:rsidR="00876FFE" w:rsidRPr="003C3404" w:rsidRDefault="00876FFE" w:rsidP="009300FD">
      <w:pPr>
        <w:pStyle w:val="FootnoteText"/>
        <w:rPr>
          <w:sz w:val="18"/>
          <w:szCs w:val="18"/>
        </w:rPr>
      </w:pPr>
    </w:p>
  </w:footnote>
  <w:footnote w:id="130">
    <w:p w14:paraId="1C817A0D" w14:textId="7A5138B7" w:rsidR="00876FFE" w:rsidRPr="008A5C60" w:rsidRDefault="00876FFE" w:rsidP="00DF2530">
      <w:pPr>
        <w:pStyle w:val="FootnoteText"/>
        <w:rPr>
          <w:rFonts w:eastAsia="Calibri"/>
          <w:sz w:val="18"/>
          <w:szCs w:val="18"/>
        </w:rPr>
      </w:pPr>
      <w:r w:rsidRPr="003C3404">
        <w:rPr>
          <w:rStyle w:val="FootnoteReference"/>
          <w:sz w:val="18"/>
          <w:szCs w:val="18"/>
        </w:rPr>
        <w:footnoteRef/>
      </w:r>
      <w:r w:rsidRPr="003C3404">
        <w:rPr>
          <w:sz w:val="18"/>
          <w:szCs w:val="18"/>
        </w:rPr>
        <w:t xml:space="preserve"> Према Централној евиденцији програма стручног усавршавања у јавној управи, у</w:t>
      </w:r>
      <w:r w:rsidRPr="003C3404">
        <w:rPr>
          <w:sz w:val="18"/>
          <w:szCs w:val="18"/>
          <w:lang w:eastAsia="sr-Latn-RS"/>
        </w:rPr>
        <w:t xml:space="preserve"> 2019. години акредитовано је </w:t>
      </w:r>
      <w:r w:rsidRPr="003C3404">
        <w:rPr>
          <w:sz w:val="18"/>
          <w:szCs w:val="18"/>
          <w:lang w:val="sr-Cyrl-RS" w:eastAsia="sr-Latn-RS"/>
        </w:rPr>
        <w:t>осам</w:t>
      </w:r>
      <w:r w:rsidRPr="003C3404">
        <w:rPr>
          <w:sz w:val="18"/>
          <w:szCs w:val="18"/>
          <w:lang w:eastAsia="sr-Latn-RS"/>
        </w:rPr>
        <w:t xml:space="preserve"> посебних програма обуке: </w:t>
      </w:r>
      <w:r w:rsidRPr="003C3404">
        <w:rPr>
          <w:sz w:val="18"/>
          <w:szCs w:val="18"/>
          <w:lang w:val="sr-Cyrl-RS" w:eastAsia="sr-Latn-RS"/>
        </w:rPr>
        <w:t>три</w:t>
      </w:r>
      <w:r w:rsidRPr="003C3404">
        <w:rPr>
          <w:sz w:val="18"/>
          <w:szCs w:val="18"/>
          <w:lang w:eastAsia="sr-Latn-RS"/>
        </w:rPr>
        <w:t xml:space="preserve"> посебна програма стручног усавршавања у јединицама</w:t>
      </w:r>
      <w:r w:rsidRPr="003C3404">
        <w:rPr>
          <w:sz w:val="18"/>
          <w:szCs w:val="18"/>
          <w:lang w:val="sr-Cyrl-RS" w:eastAsia="sr-Latn-RS"/>
        </w:rPr>
        <w:t xml:space="preserve"> </w:t>
      </w:r>
      <w:r w:rsidRPr="003C3404">
        <w:rPr>
          <w:sz w:val="18"/>
          <w:szCs w:val="18"/>
          <w:lang w:eastAsia="sr-Latn-RS"/>
        </w:rPr>
        <w:t xml:space="preserve">локалне смаоуправе и </w:t>
      </w:r>
      <w:r w:rsidRPr="003C3404">
        <w:rPr>
          <w:sz w:val="18"/>
          <w:szCs w:val="18"/>
          <w:lang w:val="sr-Cyrl-RS" w:eastAsia="sr-Latn-RS"/>
        </w:rPr>
        <w:t>пет</w:t>
      </w:r>
      <w:r w:rsidRPr="003C3404">
        <w:rPr>
          <w:sz w:val="18"/>
          <w:szCs w:val="18"/>
          <w:lang w:eastAsia="sr-Latn-RS"/>
        </w:rPr>
        <w:t xml:space="preserve"> посебних програма у државним органима, а </w:t>
      </w:r>
      <w:r w:rsidRPr="003C3404">
        <w:rPr>
          <w:sz w:val="18"/>
          <w:szCs w:val="18"/>
        </w:rPr>
        <w:t xml:space="preserve">у 2020. години акредитовано је </w:t>
      </w:r>
      <w:r w:rsidRPr="003C3404">
        <w:rPr>
          <w:sz w:val="18"/>
          <w:szCs w:val="18"/>
          <w:lang w:val="sr-Cyrl-RS"/>
        </w:rPr>
        <w:t>пет</w:t>
      </w:r>
      <w:r w:rsidRPr="003C3404">
        <w:rPr>
          <w:sz w:val="18"/>
          <w:szCs w:val="18"/>
        </w:rPr>
        <w:t xml:space="preserve"> посебних програма обуке: </w:t>
      </w:r>
      <w:r w:rsidRPr="003C3404">
        <w:rPr>
          <w:sz w:val="18"/>
          <w:szCs w:val="18"/>
          <w:lang w:val="sr-Cyrl-RS"/>
        </w:rPr>
        <w:t>један</w:t>
      </w:r>
      <w:r w:rsidRPr="003C3404">
        <w:rPr>
          <w:sz w:val="18"/>
          <w:szCs w:val="18"/>
        </w:rPr>
        <w:t xml:space="preserve"> секторски посебни програм обуке за запослене у јединицама локалне самоуправе и </w:t>
      </w:r>
      <w:r w:rsidRPr="003C3404">
        <w:rPr>
          <w:sz w:val="18"/>
          <w:szCs w:val="18"/>
          <w:lang w:val="sr-Cyrl-RS"/>
        </w:rPr>
        <w:t>четири</w:t>
      </w:r>
      <w:r w:rsidRPr="003C3404">
        <w:rPr>
          <w:sz w:val="18"/>
          <w:szCs w:val="18"/>
        </w:rPr>
        <w:t xml:space="preserve"> посебна програма обуке у државним органима (</w:t>
      </w:r>
      <w:hyperlink r:id="rId64" w:history="1">
        <w:r w:rsidRPr="003C3404">
          <w:rPr>
            <w:rFonts w:eastAsia="Calibri"/>
            <w:sz w:val="18"/>
            <w:szCs w:val="18"/>
          </w:rPr>
          <w:t>https://www.napa.gov.rs/tekst/61/lista-akreditovanih-programa.php</w:t>
        </w:r>
      </w:hyperlink>
      <w:r w:rsidRPr="003C3404">
        <w:rPr>
          <w:rFonts w:eastAsia="Calibri"/>
          <w:sz w:val="18"/>
          <w:szCs w:val="18"/>
        </w:rPr>
        <w:t>).</w:t>
      </w:r>
    </w:p>
  </w:footnote>
  <w:footnote w:id="131">
    <w:p w14:paraId="2E33FD25" w14:textId="77777777" w:rsidR="00876FFE" w:rsidRPr="003C3404" w:rsidRDefault="00876FFE" w:rsidP="00DF2530">
      <w:pPr>
        <w:pStyle w:val="FootnoteText"/>
        <w:rPr>
          <w:sz w:val="18"/>
          <w:szCs w:val="18"/>
          <w:lang w:val="sr-Cyrl-RS"/>
        </w:rPr>
      </w:pPr>
      <w:r w:rsidRPr="003C3404">
        <w:rPr>
          <w:rStyle w:val="FootnoteReference"/>
          <w:sz w:val="18"/>
          <w:szCs w:val="18"/>
        </w:rPr>
        <w:footnoteRef/>
      </w:r>
      <w:r w:rsidRPr="003C3404">
        <w:rPr>
          <w:sz w:val="18"/>
          <w:szCs w:val="18"/>
        </w:rPr>
        <w:t xml:space="preserve"> Јавна управа у смислу члана 2. став 1. Закона о Националној академији за јавну управу („Службени гласник РС</w:t>
      </w:r>
      <w:r w:rsidRPr="003C3404">
        <w:rPr>
          <w:sz w:val="18"/>
          <w:szCs w:val="18"/>
          <w:lang w:val="sr-Cyrl-RS"/>
        </w:rPr>
        <w:t>”</w:t>
      </w:r>
      <w:r w:rsidRPr="003C3404">
        <w:rPr>
          <w:sz w:val="18"/>
          <w:szCs w:val="18"/>
        </w:rPr>
        <w:t>, број 94/17) обухвата државне органе и самосталне и независне организације и тела чији састав бира Народна скупштина (надзорна и регулаторна тела), органе, организације и службе аутономне покрајине и јединице локалне самоуправе, јавне агенције и организације на које се примењују прописи о јавним агенцијама, а чији је оснивач Република Србија или аутономна покрајина или јединица локалне самоуправе и предузећа, установе, организације и појединце којима су поверена јавна овлашћења.</w:t>
      </w:r>
    </w:p>
  </w:footnote>
  <w:footnote w:id="132">
    <w:p w14:paraId="645F46E5"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Проценат </w:t>
      </w:r>
      <w:r w:rsidRPr="003C3404">
        <w:rPr>
          <w:sz w:val="18"/>
          <w:szCs w:val="18"/>
          <w:lang w:eastAsia="de-DE"/>
        </w:rPr>
        <w:t>полазника којима су у потпунсти испуњена очекивања</w:t>
      </w:r>
    </w:p>
  </w:footnote>
  <w:footnote w:id="133">
    <w:p w14:paraId="31C2B2A3" w14:textId="77777777" w:rsidR="00876FFE" w:rsidRPr="003C3404" w:rsidRDefault="00876FFE" w:rsidP="005C5CAB">
      <w:pPr>
        <w:pStyle w:val="FootnoteText"/>
        <w:rPr>
          <w:rStyle w:val="FootnoteReference"/>
          <w:rFonts w:eastAsiaTheme="majorEastAsia"/>
          <w:noProof w:val="0"/>
          <w:sz w:val="18"/>
          <w:szCs w:val="18"/>
          <w:lang w:val="sr-Cyrl-RS"/>
        </w:rPr>
      </w:pPr>
      <w:r w:rsidRPr="003C3404">
        <w:rPr>
          <w:rStyle w:val="FootnoteReference"/>
          <w:rFonts w:eastAsiaTheme="majorEastAsia"/>
          <w:sz w:val="18"/>
          <w:szCs w:val="18"/>
        </w:rPr>
        <w:footnoteRef/>
      </w:r>
      <w:r w:rsidRPr="003C3404">
        <w:rPr>
          <w:rStyle w:val="FootnoteReference"/>
          <w:rFonts w:eastAsiaTheme="majorEastAsia"/>
          <w:sz w:val="18"/>
          <w:szCs w:val="18"/>
        </w:rPr>
        <w:t xml:space="preserve"> </w:t>
      </w:r>
      <w:hyperlink r:id="rId65" w:history="1">
        <w:r w:rsidRPr="003C3404">
          <w:rPr>
            <w:rStyle w:val="Hyperlink"/>
            <w:sz w:val="18"/>
            <w:szCs w:val="18"/>
          </w:rPr>
          <w:t>https://www.pravno-informacioni-sistem.rs/SlGlasnikPortal/eli/rep/sgrs/vlada/drugiakt/2020/85/1/reg</w:t>
        </w:r>
      </w:hyperlink>
      <w:r w:rsidRPr="003C3404">
        <w:rPr>
          <w:rStyle w:val="FootnoteReference"/>
          <w:rFonts w:eastAsiaTheme="majorEastAsia"/>
          <w:sz w:val="18"/>
          <w:szCs w:val="18"/>
        </w:rPr>
        <w:t xml:space="preserve">. </w:t>
      </w:r>
    </w:p>
  </w:footnote>
  <w:footnote w:id="134">
    <w:p w14:paraId="154BE3CB" w14:textId="77777777" w:rsidR="00876FFE" w:rsidRPr="003C3404" w:rsidRDefault="00876FFE" w:rsidP="005C5CAB">
      <w:pPr>
        <w:pStyle w:val="FootnoteText"/>
        <w:rPr>
          <w:rStyle w:val="FootnoteReference"/>
          <w:sz w:val="18"/>
          <w:szCs w:val="18"/>
        </w:rPr>
      </w:pPr>
      <w:r w:rsidRPr="003C3404">
        <w:rPr>
          <w:rStyle w:val="FootnoteReference"/>
          <w:rFonts w:eastAsiaTheme="majorEastAsia"/>
          <w:sz w:val="18"/>
          <w:szCs w:val="18"/>
        </w:rPr>
        <w:footnoteRef/>
      </w:r>
      <w:r w:rsidRPr="003C3404">
        <w:rPr>
          <w:rStyle w:val="FootnoteReference"/>
          <w:rFonts w:eastAsiaTheme="majorEastAsia"/>
          <w:sz w:val="18"/>
          <w:szCs w:val="18"/>
        </w:rPr>
        <w:t xml:space="preserve"> </w:t>
      </w:r>
      <w:hyperlink r:id="rId66" w:history="1">
        <w:r w:rsidRPr="003C3404">
          <w:rPr>
            <w:rStyle w:val="Hyperlink"/>
            <w:sz w:val="18"/>
            <w:szCs w:val="18"/>
          </w:rPr>
          <w:t>https://www.pravno-informacionisistem.rs/SlGlasnikPortal/eli/rep/sgrs/vlada/strategija/2016/8/1/reg</w:t>
        </w:r>
      </w:hyperlink>
      <w:r w:rsidRPr="003C3404">
        <w:rPr>
          <w:sz w:val="18"/>
          <w:szCs w:val="18"/>
        </w:rPr>
        <w:t xml:space="preserve"> </w:t>
      </w:r>
    </w:p>
  </w:footnote>
  <w:footnote w:id="135">
    <w:p w14:paraId="1B6EAEA7" w14:textId="77777777" w:rsidR="00876FFE" w:rsidRPr="003C3404" w:rsidRDefault="00876FFE" w:rsidP="005C5CAB">
      <w:pPr>
        <w:pStyle w:val="FootnoteText"/>
        <w:rPr>
          <w:rStyle w:val="FootnoteReference"/>
          <w:rFonts w:eastAsiaTheme="majorEastAsia"/>
          <w:sz w:val="18"/>
          <w:szCs w:val="18"/>
        </w:rPr>
      </w:pPr>
      <w:r w:rsidRPr="003C3404">
        <w:rPr>
          <w:rStyle w:val="FootnoteReference"/>
          <w:rFonts w:eastAsiaTheme="majorEastAsia"/>
          <w:sz w:val="18"/>
          <w:szCs w:val="18"/>
        </w:rPr>
        <w:footnoteRef/>
      </w:r>
      <w:r w:rsidRPr="003C3404">
        <w:rPr>
          <w:rStyle w:val="FootnoteReference"/>
          <w:rFonts w:eastAsiaTheme="majorEastAsia"/>
          <w:sz w:val="18"/>
          <w:szCs w:val="18"/>
        </w:rPr>
        <w:t xml:space="preserve"> </w:t>
      </w:r>
      <w:hyperlink r:id="rId67" w:history="1">
        <w:r w:rsidRPr="003C3404">
          <w:rPr>
            <w:rStyle w:val="Hyperlink"/>
            <w:sz w:val="18"/>
            <w:szCs w:val="18"/>
          </w:rPr>
          <w:t>https://www.pravno-informacioni-sistem.rs/SlGlasnikPortal/eli/rep/sgrs/vlada/odluka/2019/64/3</w:t>
        </w:r>
      </w:hyperlink>
      <w:r w:rsidRPr="003C3404">
        <w:rPr>
          <w:sz w:val="18"/>
          <w:szCs w:val="18"/>
        </w:rPr>
        <w:t xml:space="preserve"> </w:t>
      </w:r>
    </w:p>
  </w:footnote>
  <w:footnote w:id="136">
    <w:p w14:paraId="002EF039" w14:textId="77777777" w:rsidR="00876FFE" w:rsidRPr="003C3404" w:rsidRDefault="00876FFE" w:rsidP="005C5CAB">
      <w:pPr>
        <w:pStyle w:val="FootnoteText"/>
        <w:rPr>
          <w:sz w:val="18"/>
          <w:szCs w:val="18"/>
        </w:rPr>
      </w:pPr>
      <w:r w:rsidRPr="003C3404">
        <w:rPr>
          <w:rStyle w:val="FootnoteReference"/>
          <w:sz w:val="18"/>
          <w:szCs w:val="18"/>
        </w:rPr>
        <w:footnoteRef/>
      </w:r>
      <w:r w:rsidRPr="003C3404">
        <w:rPr>
          <w:sz w:val="18"/>
          <w:szCs w:val="18"/>
        </w:rPr>
        <w:t xml:space="preserve"> </w:t>
      </w:r>
      <w:hyperlink r:id="rId68" w:history="1">
        <w:r w:rsidRPr="003C3404">
          <w:rPr>
            <w:rStyle w:val="Hyperlink"/>
            <w:sz w:val="18"/>
            <w:szCs w:val="18"/>
          </w:rPr>
          <w:t>http://www.mduls.gov.rs/doc/Stop%20birokratiji%20konacni.doc</w:t>
        </w:r>
      </w:hyperlink>
      <w:r w:rsidRPr="003C3404">
        <w:rPr>
          <w:sz w:val="18"/>
          <w:szCs w:val="18"/>
        </w:rPr>
        <w:t xml:space="preserve">  </w:t>
      </w:r>
    </w:p>
  </w:footnote>
  <w:footnote w:id="137">
    <w:p w14:paraId="23C26CFC" w14:textId="77777777" w:rsidR="00876FFE" w:rsidRPr="003C3404" w:rsidRDefault="00876FFE" w:rsidP="005C5CAB">
      <w:pPr>
        <w:pStyle w:val="FootnoteText"/>
        <w:rPr>
          <w:sz w:val="18"/>
          <w:szCs w:val="18"/>
        </w:rPr>
      </w:pPr>
      <w:r w:rsidRPr="003C3404">
        <w:rPr>
          <w:rStyle w:val="FootnoteReference"/>
          <w:sz w:val="18"/>
          <w:szCs w:val="18"/>
        </w:rPr>
        <w:footnoteRef/>
      </w:r>
      <w:r w:rsidRPr="003C3404">
        <w:rPr>
          <w:sz w:val="18"/>
          <w:szCs w:val="18"/>
        </w:rPr>
        <w:t xml:space="preserve"> У области развоја електронске управе за период након истека важења Програма развоја електронске управе</w:t>
      </w:r>
      <w:r w:rsidRPr="003C3404">
        <w:rPr>
          <w:sz w:val="18"/>
          <w:szCs w:val="18"/>
          <w:lang w:val="sr-Cyrl-RS"/>
        </w:rPr>
        <w:t>,</w:t>
      </w:r>
      <w:r w:rsidRPr="003C3404">
        <w:rPr>
          <w:sz w:val="18"/>
          <w:szCs w:val="18"/>
        </w:rPr>
        <w:t xml:space="preserve"> стратeшко усмерење реформи биће постављено кроз Стратегију РЈУ, а тако постављени циљеви ће бити операционализовани кроз оперативни план који ће припремити Влада Р</w:t>
      </w:r>
      <w:r w:rsidRPr="003C3404">
        <w:rPr>
          <w:sz w:val="18"/>
          <w:szCs w:val="18"/>
          <w:lang w:val="sr-Cyrl-RS"/>
        </w:rPr>
        <w:t xml:space="preserve">епублике </w:t>
      </w:r>
      <w:r w:rsidRPr="003C3404">
        <w:rPr>
          <w:sz w:val="18"/>
          <w:szCs w:val="18"/>
        </w:rPr>
        <w:t>С</w:t>
      </w:r>
      <w:r w:rsidRPr="003C3404">
        <w:rPr>
          <w:sz w:val="18"/>
          <w:szCs w:val="18"/>
          <w:lang w:val="sr-Cyrl-RS"/>
        </w:rPr>
        <w:t>рбије</w:t>
      </w:r>
      <w:r w:rsidRPr="003C3404">
        <w:rPr>
          <w:sz w:val="18"/>
          <w:szCs w:val="18"/>
        </w:rPr>
        <w:t xml:space="preserve">, </w:t>
      </w:r>
      <w:r w:rsidRPr="003C3404">
        <w:rPr>
          <w:sz w:val="18"/>
          <w:szCs w:val="18"/>
          <w:lang w:val="sr-Cyrl-RS"/>
        </w:rPr>
        <w:t>КИТЕУ</w:t>
      </w:r>
      <w:r w:rsidRPr="003C3404">
        <w:rPr>
          <w:sz w:val="18"/>
          <w:szCs w:val="18"/>
        </w:rPr>
        <w:t xml:space="preserve"> и МДУЛС, имајући у виду брзину развоја и промена дигиталних технологија и потребу да се планови и конкретни кораци </w:t>
      </w:r>
      <w:r w:rsidRPr="003C3404">
        <w:rPr>
          <w:sz w:val="18"/>
          <w:szCs w:val="18"/>
          <w:lang w:val="sr-Cyrl-RS"/>
        </w:rPr>
        <w:t>брже</w:t>
      </w:r>
      <w:r w:rsidRPr="003C3404">
        <w:rPr>
          <w:sz w:val="18"/>
          <w:szCs w:val="18"/>
        </w:rPr>
        <w:t xml:space="preserve"> прилагођавају променама. У току је припрема Програма регулаторне реформе и унапређења система управљања јавним политикама за период након 2020. године.</w:t>
      </w:r>
    </w:p>
  </w:footnote>
  <w:footnote w:id="138">
    <w:p w14:paraId="74DBD4D0" w14:textId="77777777" w:rsidR="00876FFE" w:rsidRPr="003C3404" w:rsidRDefault="00876FFE" w:rsidP="005C5CAB">
      <w:pPr>
        <w:pStyle w:val="FootnoteText"/>
        <w:rPr>
          <w:sz w:val="18"/>
          <w:szCs w:val="18"/>
        </w:rPr>
      </w:pPr>
      <w:r w:rsidRPr="003C3404">
        <w:rPr>
          <w:rStyle w:val="FootnoteReference"/>
          <w:sz w:val="18"/>
          <w:szCs w:val="18"/>
        </w:rPr>
        <w:footnoteRef/>
      </w:r>
      <w:r w:rsidRPr="003C3404">
        <w:rPr>
          <w:sz w:val="18"/>
          <w:szCs w:val="18"/>
        </w:rPr>
        <w:t xml:space="preserve"> </w:t>
      </w:r>
      <w:hyperlink r:id="rId69" w:history="1">
        <w:r w:rsidRPr="003C3404">
          <w:rPr>
            <w:rStyle w:val="Hyperlink"/>
            <w:sz w:val="18"/>
            <w:szCs w:val="18"/>
            <w:lang w:val="sr-Cyrl-RS"/>
          </w:rPr>
          <w:t>https://www.srbija.gov.rs/tekst/437277</w:t>
        </w:r>
      </w:hyperlink>
      <w:r w:rsidRPr="003C3404">
        <w:rPr>
          <w:sz w:val="18"/>
          <w:szCs w:val="18"/>
        </w:rPr>
        <w:t xml:space="preserve"> </w:t>
      </w:r>
    </w:p>
  </w:footnote>
  <w:footnote w:id="139">
    <w:p w14:paraId="308032EA" w14:textId="77777777" w:rsidR="00876FFE" w:rsidRPr="003C3404" w:rsidRDefault="00876FFE" w:rsidP="00A0413E">
      <w:pPr>
        <w:pStyle w:val="FootnoteText"/>
        <w:jc w:val="left"/>
        <w:rPr>
          <w:sz w:val="18"/>
          <w:szCs w:val="18"/>
          <w:lang w:val="sr-Cyrl-RS"/>
        </w:rPr>
      </w:pPr>
      <w:r w:rsidRPr="003C3404">
        <w:rPr>
          <w:rStyle w:val="FootnoteReference"/>
          <w:sz w:val="18"/>
          <w:szCs w:val="18"/>
        </w:rPr>
        <w:footnoteRef/>
      </w:r>
      <w:r w:rsidRPr="003C3404">
        <w:rPr>
          <w:sz w:val="18"/>
          <w:szCs w:val="18"/>
          <w:lang w:val="sr-Cyrl-RS"/>
        </w:rPr>
        <w:t xml:space="preserve"> Уредба о ближим условима за успостављање електронске управе,</w:t>
      </w:r>
      <w:r w:rsidRPr="003C3404">
        <w:rPr>
          <w:sz w:val="18"/>
          <w:szCs w:val="18"/>
          <w:lang w:val="sr-Latn-RS"/>
        </w:rPr>
        <w:t xml:space="preserve"> </w:t>
      </w:r>
      <w:hyperlink r:id="rId70" w:history="1">
        <w:r w:rsidRPr="003C3404">
          <w:rPr>
            <w:rStyle w:val="Hyperlink"/>
            <w:sz w:val="18"/>
            <w:szCs w:val="18"/>
          </w:rPr>
          <w:t>http://www.pravno-informacioni-sistem.rs/SlGlasnikPortal/eli/rep/sgrs/vlada/uredba/2018/104/1/reg</w:t>
        </w:r>
      </w:hyperlink>
      <w:r w:rsidRPr="003C3404">
        <w:rPr>
          <w:sz w:val="18"/>
          <w:szCs w:val="18"/>
          <w:lang w:val="sr-Cyrl-RS"/>
        </w:rPr>
        <w:t>), Уредба о организационим и техничким стандардима за одржавање и унапређење Јединствене информационе-комуникационе мреже Електронске управе и повезивање органа на ту мрежу,</w:t>
      </w:r>
      <w:r w:rsidRPr="003C3404">
        <w:rPr>
          <w:sz w:val="18"/>
          <w:szCs w:val="18"/>
          <w:lang w:val="sr-Latn-RS"/>
        </w:rPr>
        <w:t xml:space="preserve"> </w:t>
      </w:r>
      <w:hyperlink r:id="rId71" w:history="1">
        <w:r w:rsidRPr="003C3404">
          <w:rPr>
            <w:rStyle w:val="Hyperlink"/>
            <w:sz w:val="18"/>
            <w:szCs w:val="18"/>
            <w:lang w:val="sr-Cyrl-RS"/>
          </w:rPr>
          <w:t>http://www.pravno-informacioni-sistem.rs/SlGlasnikPortal/eli/rep/sgrs/vlada/uredba/2018/104/2/reg</w:t>
        </w:r>
      </w:hyperlink>
      <w:r w:rsidRPr="003C3404">
        <w:rPr>
          <w:sz w:val="18"/>
          <w:szCs w:val="18"/>
          <w:lang w:val="sr-Cyrl-RS"/>
        </w:rPr>
        <w:t xml:space="preserve">), </w:t>
      </w:r>
      <w:r w:rsidRPr="003C3404">
        <w:rPr>
          <w:bCs/>
          <w:sz w:val="18"/>
          <w:szCs w:val="18"/>
          <w:shd w:val="clear" w:color="auto" w:fill="FFFFFF"/>
          <w:lang w:val="sr-Cyrl-RS"/>
        </w:rPr>
        <w:t xml:space="preserve">Уредба </w:t>
      </w:r>
      <w:r w:rsidRPr="003C3404">
        <w:rPr>
          <w:bCs/>
          <w:sz w:val="18"/>
          <w:szCs w:val="18"/>
          <w:shd w:val="clear" w:color="auto" w:fill="FFFFFF"/>
        </w:rPr>
        <w:t>о начину вођења Метарегистра, начину одобравања, суспендовања и укидања приступа сервисној магистрали органа и начину рада на Порталу еУправа</w:t>
      </w:r>
      <w:r w:rsidRPr="003C3404">
        <w:rPr>
          <w:bCs/>
          <w:sz w:val="18"/>
          <w:szCs w:val="18"/>
          <w:shd w:val="clear" w:color="auto" w:fill="FFFFFF"/>
          <w:lang w:val="sr-Cyrl-RS"/>
        </w:rPr>
        <w:t xml:space="preserve">: </w:t>
      </w:r>
      <w:hyperlink r:id="rId72" w:history="1">
        <w:r w:rsidRPr="003C3404">
          <w:rPr>
            <w:rStyle w:val="Hyperlink"/>
            <w:bCs/>
            <w:sz w:val="18"/>
            <w:szCs w:val="18"/>
            <w:shd w:val="clear" w:color="auto" w:fill="FFFFFF"/>
            <w:lang w:val="sr-Cyrl-RS"/>
          </w:rPr>
          <w:t>http://www.pravno-informacioni-sistem.rs/SlGlasnikPortal/eli/rep/sgrs/vlada/uredba/2018/104/3/reg</w:t>
        </w:r>
      </w:hyperlink>
      <w:r w:rsidRPr="003C3404">
        <w:rPr>
          <w:bCs/>
          <w:sz w:val="18"/>
          <w:szCs w:val="18"/>
          <w:shd w:val="clear" w:color="auto" w:fill="FFFFFF"/>
          <w:lang w:val="sr-Cyrl-RS"/>
        </w:rPr>
        <w:t>)</w:t>
      </w:r>
      <w:r w:rsidRPr="003C3404">
        <w:rPr>
          <w:sz w:val="18"/>
          <w:szCs w:val="18"/>
          <w:lang w:val="sr-Cyrl-RS"/>
        </w:rPr>
        <w:t xml:space="preserve">, Уредба о начину рада Портала отворених података: </w:t>
      </w:r>
      <w:hyperlink r:id="rId73" w:history="1">
        <w:r w:rsidRPr="003C3404">
          <w:rPr>
            <w:rStyle w:val="Hyperlink"/>
            <w:sz w:val="18"/>
            <w:szCs w:val="18"/>
            <w:lang w:val="sr-Cyrl-RS"/>
          </w:rPr>
          <w:t>http://www.pravno-informacioni-sistem.rs/SlGlasnikPortal/eli/rep/sgrs/vlada/uredba/2018/104/4/reg</w:t>
        </w:r>
      </w:hyperlink>
      <w:r w:rsidRPr="003C3404">
        <w:rPr>
          <w:sz w:val="18"/>
          <w:szCs w:val="18"/>
          <w:lang w:val="sr-Cyrl-RS"/>
        </w:rPr>
        <w:t xml:space="preserve">), Уредба о ближим условима за израду и одржавање веб-презентације органа:  </w:t>
      </w:r>
      <w:hyperlink r:id="rId74" w:history="1">
        <w:r w:rsidRPr="003C3404">
          <w:rPr>
            <w:rStyle w:val="Hyperlink"/>
            <w:sz w:val="18"/>
            <w:szCs w:val="18"/>
            <w:lang w:val="sr-Cyrl-RS"/>
          </w:rPr>
          <w:t>http://www.pravno-informacioni-sistem.rs/SlGlasnikPortal/eli/rep/sgrs/vlada/uredba/2018/104/5/re</w:t>
        </w:r>
        <w:r w:rsidRPr="003C3404">
          <w:rPr>
            <w:rStyle w:val="Hyperlink"/>
            <w:sz w:val="18"/>
            <w:szCs w:val="18"/>
            <w:lang w:val="sr-Latn-RS"/>
          </w:rPr>
          <w:t>g</w:t>
        </w:r>
      </w:hyperlink>
      <w:r w:rsidRPr="003C3404">
        <w:rPr>
          <w:sz w:val="18"/>
          <w:szCs w:val="18"/>
          <w:lang w:val="sr-Latn-RS"/>
        </w:rPr>
        <w:t xml:space="preserve"> )</w:t>
      </w:r>
    </w:p>
  </w:footnote>
  <w:footnote w:id="140">
    <w:p w14:paraId="412DFE85" w14:textId="77777777" w:rsidR="00876FFE" w:rsidRPr="003C3404" w:rsidRDefault="00876FFE" w:rsidP="005C5CAB">
      <w:pPr>
        <w:pStyle w:val="FootnoteText"/>
        <w:rPr>
          <w:sz w:val="18"/>
          <w:szCs w:val="18"/>
          <w:lang w:val="sr-Cyrl-RS"/>
        </w:rPr>
      </w:pPr>
      <w:r w:rsidRPr="003C3404">
        <w:rPr>
          <w:rStyle w:val="FootnoteReference"/>
          <w:sz w:val="18"/>
          <w:szCs w:val="18"/>
        </w:rPr>
        <w:footnoteRef/>
      </w:r>
      <w:r w:rsidRPr="003C3404">
        <w:rPr>
          <w:sz w:val="18"/>
          <w:szCs w:val="18"/>
        </w:rPr>
        <w:t xml:space="preserve"> </w:t>
      </w:r>
      <w:hyperlink r:id="rId75" w:history="1">
        <w:r w:rsidRPr="003C3404">
          <w:rPr>
            <w:rStyle w:val="Hyperlink"/>
            <w:sz w:val="18"/>
            <w:szCs w:val="18"/>
          </w:rPr>
          <w:t>http://www.pravno-informacioni-sistem.rs/SlGlasnikPortal/eli/rep/sgrs/skupstina/zakon/2017/94/4/reg</w:t>
        </w:r>
      </w:hyperlink>
      <w:r w:rsidRPr="003C3404">
        <w:rPr>
          <w:sz w:val="18"/>
          <w:szCs w:val="18"/>
        </w:rPr>
        <w:t xml:space="preserve"> </w:t>
      </w:r>
    </w:p>
  </w:footnote>
  <w:footnote w:id="141">
    <w:p w14:paraId="1C8A010C" w14:textId="77777777" w:rsidR="00876FFE" w:rsidRPr="003C3404" w:rsidRDefault="00876FFE" w:rsidP="005C5CAB">
      <w:pPr>
        <w:pStyle w:val="FootnoteText"/>
        <w:rPr>
          <w:sz w:val="18"/>
          <w:szCs w:val="18"/>
        </w:rPr>
      </w:pPr>
      <w:r w:rsidRPr="003C3404">
        <w:rPr>
          <w:rStyle w:val="FootnoteReference"/>
          <w:sz w:val="18"/>
          <w:szCs w:val="18"/>
        </w:rPr>
        <w:footnoteRef/>
      </w:r>
      <w:r w:rsidRPr="003C3404">
        <w:rPr>
          <w:sz w:val="18"/>
          <w:szCs w:val="18"/>
        </w:rPr>
        <w:t xml:space="preserve"> </w:t>
      </w:r>
      <w:hyperlink r:id="rId76" w:history="1">
        <w:r w:rsidRPr="003C3404">
          <w:rPr>
            <w:rStyle w:val="Hyperlink"/>
            <w:sz w:val="18"/>
            <w:szCs w:val="18"/>
            <w:lang w:val="sr-Cyrl-RS"/>
          </w:rPr>
          <w:t>https://ec.europa.eu/futurium/en/system/files/ged/eidas_regulation.pd</w:t>
        </w:r>
        <w:r w:rsidRPr="003C3404">
          <w:rPr>
            <w:rStyle w:val="Hyperlink"/>
            <w:sz w:val="18"/>
            <w:szCs w:val="18"/>
            <w:lang w:val="sr-Latn-RS"/>
          </w:rPr>
          <w:t>f</w:t>
        </w:r>
      </w:hyperlink>
      <w:r w:rsidRPr="003C3404">
        <w:rPr>
          <w:sz w:val="18"/>
          <w:szCs w:val="18"/>
          <w:lang w:val="sr-Latn-RS"/>
        </w:rPr>
        <w:t xml:space="preserve"> </w:t>
      </w:r>
    </w:p>
  </w:footnote>
  <w:footnote w:id="142">
    <w:p w14:paraId="7556DCD5" w14:textId="77777777" w:rsidR="00876FFE" w:rsidRPr="003C3404" w:rsidRDefault="00876FFE" w:rsidP="005C5CAB">
      <w:pPr>
        <w:pStyle w:val="FootnoteText"/>
        <w:rPr>
          <w:sz w:val="18"/>
          <w:szCs w:val="18"/>
          <w:lang w:val="sr-Cyrl-RS"/>
        </w:rPr>
      </w:pPr>
      <w:r w:rsidRPr="003C3404">
        <w:rPr>
          <w:rStyle w:val="FootnoteReference"/>
          <w:sz w:val="18"/>
          <w:szCs w:val="18"/>
        </w:rPr>
        <w:footnoteRef/>
      </w:r>
      <w:r w:rsidRPr="003C3404">
        <w:rPr>
          <w:sz w:val="18"/>
          <w:szCs w:val="18"/>
        </w:rPr>
        <w:t xml:space="preserve"> </w:t>
      </w:r>
      <w:hyperlink r:id="rId77" w:history="1">
        <w:r w:rsidRPr="003C3404">
          <w:rPr>
            <w:rStyle w:val="Hyperlink"/>
            <w:sz w:val="18"/>
            <w:szCs w:val="18"/>
          </w:rPr>
          <w:t>https://www.pravno-informacioni-sistem.rs/SlGlasnikPortal/eli/rep/sgrs/skupstina/zakon/2019/17/</w:t>
        </w:r>
        <w:r w:rsidRPr="003C3404">
          <w:rPr>
            <w:rStyle w:val="Hyperlink"/>
            <w:sz w:val="18"/>
            <w:szCs w:val="18"/>
            <w:lang w:val="sr-Latn-RS"/>
          </w:rPr>
          <w:t>1</w:t>
        </w:r>
      </w:hyperlink>
      <w:r w:rsidRPr="003C3404">
        <w:rPr>
          <w:sz w:val="18"/>
          <w:szCs w:val="18"/>
          <w:lang w:val="sr-Latn-RS"/>
        </w:rPr>
        <w:t xml:space="preserve"> </w:t>
      </w:r>
    </w:p>
  </w:footnote>
  <w:footnote w:id="143">
    <w:p w14:paraId="2062CF6B" w14:textId="77777777" w:rsidR="00876FFE" w:rsidRPr="003C3404" w:rsidRDefault="00876FFE" w:rsidP="005C5CAB">
      <w:pPr>
        <w:pStyle w:val="FootnoteText"/>
        <w:rPr>
          <w:sz w:val="18"/>
          <w:szCs w:val="18"/>
          <w:lang w:val="sr-Cyrl-RS"/>
        </w:rPr>
      </w:pPr>
      <w:r w:rsidRPr="003C3404">
        <w:rPr>
          <w:rStyle w:val="FootnoteReference"/>
          <w:sz w:val="18"/>
          <w:szCs w:val="18"/>
        </w:rPr>
        <w:footnoteRef/>
      </w:r>
      <w:r w:rsidRPr="003C3404">
        <w:rPr>
          <w:sz w:val="18"/>
          <w:szCs w:val="18"/>
        </w:rPr>
        <w:t xml:space="preserve"> </w:t>
      </w:r>
      <w:hyperlink r:id="rId78" w:history="1">
        <w:r w:rsidRPr="003C3404">
          <w:rPr>
            <w:rStyle w:val="Hyperlink"/>
            <w:sz w:val="18"/>
            <w:szCs w:val="18"/>
          </w:rPr>
          <w:t>https://www.pravno-informacioni-sistem.rs/SlGlasnikPortal/eli/rep/sgrs/skupstina/zakon/2020/9/8/re</w:t>
        </w:r>
        <w:r w:rsidRPr="003C3404">
          <w:rPr>
            <w:rStyle w:val="Hyperlink"/>
            <w:sz w:val="18"/>
            <w:szCs w:val="18"/>
            <w:lang w:val="sr-Latn-RS"/>
          </w:rPr>
          <w:t>g</w:t>
        </w:r>
      </w:hyperlink>
      <w:r w:rsidRPr="003C3404">
        <w:rPr>
          <w:rStyle w:val="Hyperlink"/>
          <w:sz w:val="18"/>
          <w:szCs w:val="18"/>
          <w:lang w:val="sr-Latn-RS"/>
        </w:rPr>
        <w:t xml:space="preserve"> </w:t>
      </w:r>
      <w:r w:rsidRPr="003C3404">
        <w:rPr>
          <w:rStyle w:val="Hyperlink"/>
          <w:sz w:val="18"/>
          <w:szCs w:val="18"/>
          <w:lang w:val="sr-Cyrl-RS"/>
        </w:rPr>
        <w:t xml:space="preserve"> </w:t>
      </w:r>
      <w:r w:rsidRPr="003C3404">
        <w:rPr>
          <w:sz w:val="18"/>
          <w:szCs w:val="18"/>
          <w:lang w:val="sr-Cyrl-RS"/>
        </w:rPr>
        <w:t xml:space="preserve"> </w:t>
      </w:r>
    </w:p>
  </w:footnote>
  <w:footnote w:id="144">
    <w:p w14:paraId="09BBEF0D" w14:textId="77777777" w:rsidR="00876FFE" w:rsidRPr="003C3404" w:rsidRDefault="00876FFE" w:rsidP="005C5CAB">
      <w:pPr>
        <w:pStyle w:val="FootnoteText"/>
        <w:rPr>
          <w:sz w:val="18"/>
          <w:szCs w:val="18"/>
        </w:rPr>
      </w:pPr>
      <w:r w:rsidRPr="003C3404">
        <w:rPr>
          <w:rStyle w:val="FootnoteReference"/>
          <w:sz w:val="18"/>
          <w:szCs w:val="18"/>
        </w:rPr>
        <w:footnoteRef/>
      </w:r>
      <w:r w:rsidRPr="003C3404">
        <w:rPr>
          <w:sz w:val="18"/>
          <w:szCs w:val="18"/>
        </w:rPr>
        <w:t xml:space="preserve"> </w:t>
      </w:r>
      <w:hyperlink r:id="rId79" w:history="1">
        <w:r w:rsidRPr="003C3404">
          <w:rPr>
            <w:rStyle w:val="Hyperlink"/>
            <w:sz w:val="18"/>
            <w:szCs w:val="18"/>
          </w:rPr>
          <w:t>http://www.pravno-informacioni-sistem.rs/SlGlasnikPortal/eli/rep/sgrs/vlada/uredba/2020/21/7/reg</w:t>
        </w:r>
      </w:hyperlink>
      <w:r w:rsidRPr="003C3404">
        <w:rPr>
          <w:sz w:val="18"/>
          <w:szCs w:val="18"/>
          <w:lang w:val="sr-Cyrl-RS"/>
        </w:rPr>
        <w:t xml:space="preserve"> </w:t>
      </w:r>
      <w:r w:rsidRPr="003C3404">
        <w:rPr>
          <w:sz w:val="18"/>
          <w:szCs w:val="18"/>
        </w:rPr>
        <w:t xml:space="preserve">  </w:t>
      </w:r>
    </w:p>
  </w:footnote>
  <w:footnote w:id="145">
    <w:p w14:paraId="09CE7B86" w14:textId="77777777" w:rsidR="00876FFE" w:rsidRPr="003C3404" w:rsidRDefault="00876FFE" w:rsidP="005C5CAB">
      <w:pPr>
        <w:pStyle w:val="FootnoteText"/>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 xml:space="preserve">Међутим, потребно је даље јачати људски и технички капацитет </w:t>
      </w:r>
      <w:r w:rsidRPr="003C3404">
        <w:rPr>
          <w:sz w:val="18"/>
          <w:szCs w:val="18"/>
          <w:lang w:val="sr-Cyrl-RS"/>
        </w:rPr>
        <w:t>У</w:t>
      </w:r>
      <w:r w:rsidRPr="003C3404">
        <w:rPr>
          <w:sz w:val="18"/>
          <w:szCs w:val="18"/>
        </w:rPr>
        <w:t xml:space="preserve">правног инспектората </w:t>
      </w:r>
      <w:r w:rsidRPr="003C3404">
        <w:rPr>
          <w:sz w:val="18"/>
          <w:szCs w:val="18"/>
          <w:lang w:val="sr-Cyrl-RS"/>
        </w:rPr>
        <w:t xml:space="preserve">да се </w:t>
      </w:r>
      <w:r w:rsidRPr="003C3404">
        <w:rPr>
          <w:sz w:val="18"/>
          <w:szCs w:val="18"/>
        </w:rPr>
        <w:t>адекватно одговор</w:t>
      </w:r>
      <w:r w:rsidRPr="003C3404">
        <w:rPr>
          <w:sz w:val="18"/>
          <w:szCs w:val="18"/>
          <w:lang w:val="sr-Cyrl-RS"/>
        </w:rPr>
        <w:t>ило</w:t>
      </w:r>
      <w:r w:rsidRPr="003C3404">
        <w:rPr>
          <w:sz w:val="18"/>
          <w:szCs w:val="18"/>
        </w:rPr>
        <w:t xml:space="preserve"> на изазове у контроли пружања услуга. </w:t>
      </w:r>
    </w:p>
  </w:footnote>
  <w:footnote w:id="146">
    <w:p w14:paraId="51658730" w14:textId="77777777" w:rsidR="00876FFE" w:rsidRPr="003C3404" w:rsidRDefault="00876FFE" w:rsidP="005C5CAB">
      <w:pPr>
        <w:pStyle w:val="FootnoteText"/>
        <w:rPr>
          <w:color w:val="000000" w:themeColor="text1"/>
          <w:sz w:val="18"/>
          <w:szCs w:val="18"/>
          <w:lang w:val="sr-Cyrl-RS"/>
        </w:rPr>
      </w:pPr>
      <w:r w:rsidRPr="003C3404">
        <w:rPr>
          <w:rStyle w:val="FootnoteReference"/>
          <w:sz w:val="18"/>
          <w:szCs w:val="18"/>
        </w:rPr>
        <w:footnoteRef/>
      </w:r>
      <w:r w:rsidRPr="003C3404">
        <w:rPr>
          <w:sz w:val="18"/>
          <w:szCs w:val="18"/>
        </w:rPr>
        <w:t xml:space="preserve"> </w:t>
      </w:r>
      <w:hyperlink r:id="rId80" w:history="1">
        <w:r w:rsidRPr="003C3404">
          <w:rPr>
            <w:rStyle w:val="Hyperlink"/>
            <w:sz w:val="18"/>
            <w:szCs w:val="18"/>
          </w:rPr>
          <w:t>https://www.pravno-informacioni-sistem.rs/SlGlasnikPortal/eli/rep/sgrs/skupstina/zakon/2016/18/2/reg</w:t>
        </w:r>
      </w:hyperlink>
    </w:p>
  </w:footnote>
  <w:footnote w:id="147">
    <w:p w14:paraId="3F002F87" w14:textId="77777777" w:rsidR="00876FFE" w:rsidRPr="003C3404" w:rsidRDefault="00876FFE" w:rsidP="005C5CAB">
      <w:pPr>
        <w:pStyle w:val="FootnoteText"/>
        <w:rPr>
          <w:sz w:val="18"/>
          <w:szCs w:val="18"/>
          <w:lang w:val="sr-Cyrl-RS"/>
        </w:rPr>
      </w:pPr>
      <w:r w:rsidRPr="003C3404">
        <w:rPr>
          <w:rStyle w:val="FootnoteReference"/>
          <w:sz w:val="18"/>
          <w:szCs w:val="18"/>
        </w:rPr>
        <w:footnoteRef/>
      </w:r>
      <w:r w:rsidRPr="003C3404">
        <w:rPr>
          <w:sz w:val="18"/>
          <w:szCs w:val="18"/>
        </w:rPr>
        <w:t xml:space="preserve"> Oдлука о образовању Kоординационог савета за електронску управу</w:t>
      </w:r>
      <w:r w:rsidRPr="003C3404">
        <w:rPr>
          <w:sz w:val="18"/>
          <w:szCs w:val="18"/>
          <w:lang w:val="sr-Cyrl-RS"/>
        </w:rPr>
        <w:t xml:space="preserve">, </w:t>
      </w:r>
      <w:r w:rsidRPr="003C3404">
        <w:rPr>
          <w:rStyle w:val="Hyperlink"/>
          <w:sz w:val="18"/>
          <w:szCs w:val="18"/>
        </w:rPr>
        <w:t>https://www.pravno-informacioni-sistem.rs/SlGlasnikPortal/eli/rep/sgrs/vlada/odluka/2017/104/2/reg</w:t>
      </w:r>
    </w:p>
  </w:footnote>
  <w:footnote w:id="148">
    <w:p w14:paraId="052C27E3" w14:textId="77777777" w:rsidR="00876FFE" w:rsidRPr="003C3404" w:rsidRDefault="00876FFE" w:rsidP="005C5CAB">
      <w:pPr>
        <w:pStyle w:val="FootnoteText"/>
        <w:rPr>
          <w:sz w:val="18"/>
          <w:szCs w:val="18"/>
          <w:lang w:val="sr-Cyrl-RS"/>
        </w:rPr>
      </w:pPr>
      <w:r w:rsidRPr="003C3404">
        <w:rPr>
          <w:rStyle w:val="FootnoteReference"/>
          <w:sz w:val="18"/>
          <w:szCs w:val="18"/>
        </w:rPr>
        <w:footnoteRef/>
      </w:r>
      <w:r w:rsidRPr="003C3404">
        <w:rPr>
          <w:sz w:val="18"/>
          <w:szCs w:val="18"/>
        </w:rPr>
        <w:t xml:space="preserve"> Одлука о образовању Координационог тела за праћење спровођења Програма за поједностављење административних поступака и регулативе „</w:t>
      </w:r>
      <w:r w:rsidRPr="003C3404">
        <w:rPr>
          <w:sz w:val="18"/>
          <w:szCs w:val="18"/>
          <w:lang w:val="sr-Cyrl-RS"/>
        </w:rPr>
        <w:t>е</w:t>
      </w:r>
      <w:r w:rsidRPr="003C3404">
        <w:rPr>
          <w:sz w:val="18"/>
          <w:szCs w:val="18"/>
        </w:rPr>
        <w:t>-</w:t>
      </w:r>
      <w:r w:rsidRPr="003C3404">
        <w:rPr>
          <w:sz w:val="18"/>
          <w:szCs w:val="18"/>
          <w:lang w:val="sr-Cyrl-RS"/>
        </w:rPr>
        <w:t>П</w:t>
      </w:r>
      <w:r w:rsidRPr="003C3404">
        <w:rPr>
          <w:sz w:val="18"/>
          <w:szCs w:val="18"/>
        </w:rPr>
        <w:t>апир” за период 2019–2021. године</w:t>
      </w:r>
      <w:r w:rsidRPr="003C3404">
        <w:rPr>
          <w:sz w:val="18"/>
          <w:szCs w:val="18"/>
          <w:lang w:val="sr-Cyrl-RS"/>
        </w:rPr>
        <w:t>:</w:t>
      </w:r>
      <w:r w:rsidRPr="003C3404">
        <w:rPr>
          <w:sz w:val="18"/>
          <w:szCs w:val="18"/>
        </w:rPr>
        <w:t xml:space="preserve"> </w:t>
      </w:r>
      <w:hyperlink r:id="rId81" w:history="1">
        <w:r w:rsidRPr="003C3404">
          <w:rPr>
            <w:rStyle w:val="Hyperlink"/>
            <w:sz w:val="18"/>
            <w:szCs w:val="18"/>
          </w:rPr>
          <w:t>https://www.pravno-informacioni-sistem.rs/SlGlasnikPortal/eli/rep/sgrs/vlada/odluka/2019/64/2/reg</w:t>
        </w:r>
      </w:hyperlink>
      <w:r w:rsidRPr="003C3404">
        <w:rPr>
          <w:sz w:val="18"/>
          <w:szCs w:val="18"/>
          <w:lang w:val="sr-Cyrl-RS"/>
        </w:rPr>
        <w:t xml:space="preserve"> </w:t>
      </w:r>
    </w:p>
  </w:footnote>
  <w:footnote w:id="149">
    <w:p w14:paraId="3468470B" w14:textId="500E0EF7" w:rsidR="00876FFE" w:rsidRPr="003C3404" w:rsidRDefault="00876FFE" w:rsidP="003D38D9">
      <w:pPr>
        <w:pStyle w:val="FootnoteText"/>
        <w:rPr>
          <w:sz w:val="18"/>
          <w:szCs w:val="18"/>
        </w:rPr>
      </w:pPr>
      <w:r w:rsidRPr="003C3404">
        <w:rPr>
          <w:sz w:val="18"/>
          <w:szCs w:val="18"/>
          <w:vertAlign w:val="superscript"/>
        </w:rPr>
        <w:footnoteRef/>
      </w:r>
      <w:r w:rsidRPr="003C3404">
        <w:rPr>
          <w:sz w:val="18"/>
          <w:szCs w:val="18"/>
          <w:vertAlign w:val="superscript"/>
          <w:lang w:val="sr-Latn-RS"/>
        </w:rPr>
        <w:t xml:space="preserve"> </w:t>
      </w:r>
      <w:r w:rsidRPr="00351859">
        <w:rPr>
          <w:i/>
          <w:sz w:val="18"/>
          <w:szCs w:val="18"/>
          <w:lang w:val="sr-Latn-RS"/>
        </w:rPr>
        <w:t>SIGMA</w:t>
      </w:r>
      <w:r w:rsidRPr="003C3404">
        <w:rPr>
          <w:sz w:val="18"/>
          <w:szCs w:val="18"/>
          <w:lang w:val="sr-Latn-RS"/>
        </w:rPr>
        <w:t xml:space="preserve"> </w:t>
      </w:r>
      <w:r w:rsidRPr="003C3404">
        <w:rPr>
          <w:sz w:val="18"/>
          <w:szCs w:val="18"/>
        </w:rPr>
        <w:t>И</w:t>
      </w:r>
      <w:r w:rsidRPr="003C3404">
        <w:rPr>
          <w:sz w:val="18"/>
          <w:szCs w:val="18"/>
          <w:lang w:val="sr-Latn-RS"/>
        </w:rPr>
        <w:t>звештај за 2019. на страни 42. наводи да истраживање јавног мњења показује раст</w:t>
      </w:r>
      <w:r w:rsidRPr="003C3404">
        <w:rPr>
          <w:sz w:val="18"/>
          <w:szCs w:val="18"/>
        </w:rPr>
        <w:t xml:space="preserve"> задовољства грађана пруженим услугама органа државне управе са 39% на 51% у периоду 2017</w:t>
      </w:r>
      <w:r w:rsidRPr="003C3404">
        <w:rPr>
          <w:sz w:val="18"/>
          <w:szCs w:val="18"/>
          <w:lang w:val="sr-Cyrl-RS"/>
        </w:rPr>
        <w:t>−</w:t>
      </w:r>
      <w:r w:rsidRPr="003C3404">
        <w:rPr>
          <w:sz w:val="18"/>
          <w:szCs w:val="18"/>
        </w:rPr>
        <w:t xml:space="preserve">2019, што указује на то да </w:t>
      </w:r>
      <w:r w:rsidRPr="003C3404">
        <w:rPr>
          <w:sz w:val="18"/>
          <w:szCs w:val="18"/>
          <w:lang w:val="sr-Cyrl-RS"/>
        </w:rPr>
        <w:t xml:space="preserve">је </w:t>
      </w:r>
      <w:r w:rsidRPr="003C3404">
        <w:rPr>
          <w:sz w:val="18"/>
          <w:szCs w:val="18"/>
        </w:rPr>
        <w:t>унапређе</w:t>
      </w:r>
      <w:r w:rsidRPr="003C3404">
        <w:rPr>
          <w:sz w:val="18"/>
          <w:szCs w:val="18"/>
          <w:lang w:val="sr-Cyrl-RS"/>
        </w:rPr>
        <w:t>н</w:t>
      </w:r>
      <w:r w:rsidRPr="003C3404">
        <w:rPr>
          <w:sz w:val="18"/>
          <w:szCs w:val="18"/>
        </w:rPr>
        <w:t xml:space="preserve"> рад јавне управе </w:t>
      </w:r>
      <w:r w:rsidRPr="003C3404">
        <w:rPr>
          <w:sz w:val="18"/>
          <w:szCs w:val="18"/>
          <w:lang w:val="sr-Cyrl-RS"/>
        </w:rPr>
        <w:t xml:space="preserve">и да је </w:t>
      </w:r>
      <w:r w:rsidRPr="003C3404">
        <w:rPr>
          <w:sz w:val="18"/>
          <w:szCs w:val="18"/>
        </w:rPr>
        <w:t>задовољств</w:t>
      </w:r>
      <w:r w:rsidRPr="003C3404">
        <w:rPr>
          <w:sz w:val="18"/>
          <w:szCs w:val="18"/>
          <w:lang w:val="sr-Cyrl-RS"/>
        </w:rPr>
        <w:t>о</w:t>
      </w:r>
      <w:r w:rsidRPr="003C3404">
        <w:rPr>
          <w:sz w:val="18"/>
          <w:szCs w:val="18"/>
        </w:rPr>
        <w:t xml:space="preserve"> грађана радом јавне управе</w:t>
      </w:r>
      <w:r w:rsidRPr="003C3404">
        <w:rPr>
          <w:sz w:val="18"/>
          <w:szCs w:val="18"/>
          <w:lang w:val="sr-Cyrl-RS"/>
        </w:rPr>
        <w:t xml:space="preserve"> веће</w:t>
      </w:r>
      <w:r w:rsidRPr="003C3404">
        <w:rPr>
          <w:sz w:val="18"/>
          <w:szCs w:val="18"/>
        </w:rPr>
        <w:t xml:space="preserve">, али и да постоји </w:t>
      </w:r>
      <w:r w:rsidRPr="003C3404">
        <w:rPr>
          <w:sz w:val="18"/>
          <w:szCs w:val="18"/>
          <w:lang w:val="sr-Cyrl-RS"/>
        </w:rPr>
        <w:t xml:space="preserve">потреба </w:t>
      </w:r>
      <w:r w:rsidRPr="003C3404">
        <w:rPr>
          <w:sz w:val="18"/>
          <w:szCs w:val="18"/>
        </w:rPr>
        <w:t>за додатн</w:t>
      </w:r>
      <w:r w:rsidRPr="003C3404">
        <w:rPr>
          <w:sz w:val="18"/>
          <w:szCs w:val="18"/>
          <w:lang w:val="sr-Cyrl-RS"/>
        </w:rPr>
        <w:t>им</w:t>
      </w:r>
      <w:r w:rsidRPr="003C3404">
        <w:rPr>
          <w:sz w:val="18"/>
          <w:szCs w:val="18"/>
        </w:rPr>
        <w:t xml:space="preserve"> унапређењ</w:t>
      </w:r>
      <w:r w:rsidRPr="003C3404">
        <w:rPr>
          <w:sz w:val="18"/>
          <w:szCs w:val="18"/>
          <w:lang w:val="sr-Cyrl-RS"/>
        </w:rPr>
        <w:t>ем</w:t>
      </w:r>
      <w:r w:rsidRPr="003C3404">
        <w:rPr>
          <w:sz w:val="18"/>
          <w:szCs w:val="18"/>
        </w:rPr>
        <w:t xml:space="preserve">. Извештај доступан на линку: </w:t>
      </w:r>
      <w:hyperlink r:id="rId82" w:history="1">
        <w:r w:rsidRPr="003C3404">
          <w:rPr>
            <w:rStyle w:val="Hyperlink"/>
            <w:sz w:val="18"/>
            <w:szCs w:val="18"/>
            <w:lang w:val="sr-Cyrl-RS"/>
          </w:rPr>
          <w:t>http://sigmaweb.org/publications/Monitoring-Report-2019-Serbia.pdf</w:t>
        </w:r>
      </w:hyperlink>
      <w:r w:rsidRPr="003C3404">
        <w:rPr>
          <w:sz w:val="18"/>
          <w:szCs w:val="18"/>
        </w:rPr>
        <w:t xml:space="preserve"> </w:t>
      </w:r>
    </w:p>
  </w:footnote>
  <w:footnote w:id="150">
    <w:p w14:paraId="1F7A32B6" w14:textId="77777777"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rPr>
        <w:t xml:space="preserve"> Односно, посматрање процеса пружања услуга као искуство које има крајњи корисник и његово задовољство процесом пружања услуге и квалитетом пружене услуге.</w:t>
      </w:r>
    </w:p>
  </w:footnote>
  <w:footnote w:id="151">
    <w:p w14:paraId="2DF82F0F" w14:textId="77777777" w:rsidR="00876FFE" w:rsidRPr="003C3404" w:rsidRDefault="00876FFE" w:rsidP="003D38D9">
      <w:pPr>
        <w:pStyle w:val="FootnoteText"/>
        <w:rPr>
          <w:sz w:val="18"/>
          <w:szCs w:val="18"/>
        </w:rPr>
      </w:pPr>
      <w:r w:rsidRPr="003C3404">
        <w:rPr>
          <w:rStyle w:val="FootnoteReference"/>
          <w:rFonts w:eastAsiaTheme="majorEastAsia"/>
          <w:sz w:val="18"/>
          <w:szCs w:val="18"/>
          <w:lang w:val="sr-Cyrl-RS"/>
        </w:rPr>
        <w:footnoteRef/>
      </w:r>
      <w:r w:rsidRPr="003C3404">
        <w:rPr>
          <w:sz w:val="18"/>
          <w:szCs w:val="18"/>
        </w:rPr>
        <w:t xml:space="preserve"> Под крајњим корисницима у СРЈУ поразумевају се грађани, привредни субјекати, али и управа сама.</w:t>
      </w:r>
    </w:p>
  </w:footnote>
  <w:footnote w:id="152">
    <w:p w14:paraId="25321C1B" w14:textId="1363D792" w:rsidR="00876FFE" w:rsidRPr="003C3404" w:rsidRDefault="00876FFE" w:rsidP="003D38D9">
      <w:pPr>
        <w:pStyle w:val="FootnoteText"/>
        <w:rPr>
          <w:sz w:val="18"/>
          <w:szCs w:val="18"/>
        </w:rPr>
      </w:pPr>
      <w:r w:rsidRPr="003C3404">
        <w:rPr>
          <w:rStyle w:val="FootnoteReference"/>
          <w:rFonts w:eastAsiaTheme="majorEastAsia"/>
          <w:sz w:val="18"/>
          <w:szCs w:val="18"/>
          <w:lang w:val="sr-Cyrl-RS"/>
        </w:rPr>
        <w:footnoteRef/>
      </w:r>
      <w:r w:rsidRPr="003C3404">
        <w:rPr>
          <w:sz w:val="18"/>
          <w:szCs w:val="18"/>
        </w:rPr>
        <w:t xml:space="preserve"> </w:t>
      </w:r>
      <w:r w:rsidRPr="00351859">
        <w:rPr>
          <w:i/>
          <w:sz w:val="18"/>
          <w:szCs w:val="18"/>
        </w:rPr>
        <w:t>SIGMA</w:t>
      </w:r>
      <w:r w:rsidRPr="003C3404">
        <w:rPr>
          <w:sz w:val="18"/>
          <w:szCs w:val="18"/>
        </w:rPr>
        <w:t xml:space="preserve"> Извештај 2018, стр</w:t>
      </w:r>
      <w:r w:rsidRPr="003C3404">
        <w:rPr>
          <w:sz w:val="18"/>
          <w:szCs w:val="18"/>
          <w:lang w:val="sr-Cyrl-RS"/>
        </w:rPr>
        <w:t>.</w:t>
      </w:r>
      <w:r w:rsidRPr="003C3404">
        <w:rPr>
          <w:sz w:val="18"/>
          <w:szCs w:val="18"/>
        </w:rPr>
        <w:t xml:space="preserve"> 44 и 45, </w:t>
      </w:r>
      <w:hyperlink r:id="rId83" w:history="1">
        <w:r w:rsidRPr="003C3404">
          <w:rPr>
            <w:rStyle w:val="Hyperlink"/>
            <w:sz w:val="18"/>
            <w:szCs w:val="18"/>
            <w:lang w:val="sr-Cyrl-RS"/>
          </w:rPr>
          <w:t>http://sigmaweb.org/publications/Monitoring-Report-2019-Serbia.pdf</w:t>
        </w:r>
      </w:hyperlink>
      <w:r w:rsidRPr="003C3404">
        <w:rPr>
          <w:sz w:val="18"/>
          <w:szCs w:val="18"/>
        </w:rPr>
        <w:t xml:space="preserve"> </w:t>
      </w:r>
    </w:p>
  </w:footnote>
  <w:footnote w:id="153">
    <w:p w14:paraId="0E6D007E" w14:textId="77777777"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lang w:val="sr-Cyrl-RS"/>
        </w:rPr>
        <w:t xml:space="preserve"> Пример добре праксе је </w:t>
      </w:r>
      <w:r w:rsidRPr="003C3404">
        <w:rPr>
          <w:sz w:val="18"/>
          <w:szCs w:val="18"/>
        </w:rPr>
        <w:t>Портал е-папи</w:t>
      </w:r>
      <w:r w:rsidRPr="003C3404">
        <w:rPr>
          <w:sz w:val="18"/>
          <w:szCs w:val="18"/>
          <w:lang w:val="sr-Cyrl-RS"/>
        </w:rPr>
        <w:t>р,</w:t>
      </w:r>
      <w:r w:rsidRPr="003C3404">
        <w:rPr>
          <w:sz w:val="18"/>
          <w:szCs w:val="18"/>
        </w:rPr>
        <w:t xml:space="preserve"> </w:t>
      </w:r>
      <w:r w:rsidRPr="003C3404">
        <w:rPr>
          <w:sz w:val="18"/>
          <w:szCs w:val="18"/>
          <w:lang w:val="sr-Cyrl-RS"/>
        </w:rPr>
        <w:t xml:space="preserve">на коме је </w:t>
      </w:r>
      <w:r w:rsidRPr="003C3404">
        <w:rPr>
          <w:sz w:val="18"/>
          <w:szCs w:val="18"/>
        </w:rPr>
        <w:t xml:space="preserve">дата могућност привредницима да предложе начин на који постојећи управни поступци могу бити поједностављени, спојени или укинути као непотребни. </w:t>
      </w:r>
      <w:r w:rsidRPr="003C3404">
        <w:rPr>
          <w:sz w:val="18"/>
          <w:szCs w:val="18"/>
          <w:lang w:val="sr-Cyrl-RS"/>
        </w:rPr>
        <w:t>О</w:t>
      </w:r>
      <w:r w:rsidRPr="003C3404">
        <w:rPr>
          <w:sz w:val="18"/>
          <w:szCs w:val="18"/>
        </w:rPr>
        <w:t>ва иницијатива представља зачетак системског приступа укључивањ</w:t>
      </w:r>
      <w:r w:rsidRPr="003C3404">
        <w:rPr>
          <w:sz w:val="18"/>
          <w:szCs w:val="18"/>
          <w:lang w:val="sr-Cyrl-RS"/>
        </w:rPr>
        <w:t>у</w:t>
      </w:r>
      <w:r w:rsidRPr="003C3404">
        <w:rPr>
          <w:sz w:val="18"/>
          <w:szCs w:val="18"/>
        </w:rPr>
        <w:t xml:space="preserve"> и партнерско</w:t>
      </w:r>
      <w:r w:rsidRPr="003C3404">
        <w:rPr>
          <w:sz w:val="18"/>
          <w:szCs w:val="18"/>
          <w:lang w:val="sr-Cyrl-RS"/>
        </w:rPr>
        <w:t>м</w:t>
      </w:r>
      <w:r w:rsidRPr="003C3404">
        <w:rPr>
          <w:sz w:val="18"/>
          <w:szCs w:val="18"/>
        </w:rPr>
        <w:t xml:space="preserve"> рад</w:t>
      </w:r>
      <w:r w:rsidRPr="003C3404">
        <w:rPr>
          <w:sz w:val="18"/>
          <w:szCs w:val="18"/>
          <w:lang w:val="sr-Cyrl-RS"/>
        </w:rPr>
        <w:t>у</w:t>
      </w:r>
      <w:r w:rsidRPr="003C3404">
        <w:rPr>
          <w:sz w:val="18"/>
          <w:szCs w:val="18"/>
        </w:rPr>
        <w:t xml:space="preserve"> на </w:t>
      </w:r>
      <w:r w:rsidRPr="003C3404">
        <w:rPr>
          <w:sz w:val="18"/>
          <w:szCs w:val="18"/>
          <w:lang w:val="sr-Cyrl-RS"/>
        </w:rPr>
        <w:t xml:space="preserve">зајеничком </w:t>
      </w:r>
      <w:r w:rsidRPr="003C3404">
        <w:rPr>
          <w:sz w:val="18"/>
          <w:szCs w:val="18"/>
        </w:rPr>
        <w:t>креирању услуга у између управе и корисника.</w:t>
      </w:r>
    </w:p>
  </w:footnote>
  <w:footnote w:id="154">
    <w:p w14:paraId="06B89C99" w14:textId="77777777"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rPr>
        <w:t xml:space="preserve"> Унутар РСЈП постоји и Група за иновације у јавним политикама, која се развија у правцу креирања иновативних решења у јавним политикама.</w:t>
      </w:r>
    </w:p>
  </w:footnote>
  <w:footnote w:id="155">
    <w:p w14:paraId="735C3D3F" w14:textId="77777777" w:rsidR="00876FFE" w:rsidRPr="003C3404" w:rsidRDefault="00876FFE" w:rsidP="003D38D9">
      <w:pPr>
        <w:pStyle w:val="FootnoteText"/>
        <w:rPr>
          <w:sz w:val="18"/>
          <w:szCs w:val="18"/>
        </w:rPr>
      </w:pPr>
      <w:r w:rsidRPr="003C3404">
        <w:rPr>
          <w:sz w:val="18"/>
          <w:szCs w:val="18"/>
          <w:vertAlign w:val="superscript"/>
        </w:rPr>
        <w:footnoteRef/>
      </w:r>
      <w:r w:rsidRPr="003C3404">
        <w:rPr>
          <w:sz w:val="18"/>
          <w:szCs w:val="18"/>
          <w:vertAlign w:val="superscript"/>
        </w:rPr>
        <w:t xml:space="preserve"> </w:t>
      </w:r>
      <w:r w:rsidRPr="003C3404">
        <w:rPr>
          <w:sz w:val="18"/>
          <w:szCs w:val="18"/>
        </w:rPr>
        <w:t xml:space="preserve">Према истраживању </w:t>
      </w:r>
      <w:r w:rsidRPr="003C3404">
        <w:rPr>
          <w:sz w:val="18"/>
          <w:szCs w:val="18"/>
          <w:lang w:val="sr-Cyrl-RS"/>
        </w:rPr>
        <w:t>„</w:t>
      </w:r>
      <w:r w:rsidRPr="003C3404">
        <w:rPr>
          <w:sz w:val="18"/>
          <w:szCs w:val="18"/>
        </w:rPr>
        <w:t>Балкан барометра</w:t>
      </w:r>
      <w:r w:rsidRPr="003C3404">
        <w:rPr>
          <w:sz w:val="18"/>
          <w:szCs w:val="18"/>
          <w:lang w:val="sr-Cyrl-RS"/>
        </w:rPr>
        <w:t>”</w:t>
      </w:r>
      <w:r w:rsidRPr="003C3404">
        <w:rPr>
          <w:sz w:val="18"/>
          <w:szCs w:val="18"/>
        </w:rPr>
        <w:t xml:space="preserve"> (2019)</w:t>
      </w:r>
      <w:r w:rsidRPr="003C3404">
        <w:rPr>
          <w:sz w:val="18"/>
          <w:szCs w:val="18"/>
          <w:lang w:val="sr-Cyrl-RS"/>
        </w:rPr>
        <w:t>,</w:t>
      </w:r>
      <w:r w:rsidRPr="003C3404">
        <w:rPr>
          <w:sz w:val="18"/>
          <w:szCs w:val="18"/>
        </w:rPr>
        <w:t xml:space="preserve"> став јавности </w:t>
      </w:r>
      <w:r w:rsidRPr="003C3404">
        <w:rPr>
          <w:sz w:val="18"/>
          <w:szCs w:val="18"/>
          <w:lang w:val="sr-Cyrl-RS"/>
        </w:rPr>
        <w:t xml:space="preserve">је </w:t>
      </w:r>
      <w:r w:rsidRPr="003C3404">
        <w:rPr>
          <w:sz w:val="18"/>
          <w:szCs w:val="18"/>
        </w:rPr>
        <w:t>углавном позитиван према питањима да ли Влада пружа податке јавности на време, у целости и уз разумне трошкове (између 47% и 56% грађана мисли</w:t>
      </w:r>
      <w:r w:rsidRPr="003C3404">
        <w:rPr>
          <w:sz w:val="18"/>
          <w:szCs w:val="18"/>
          <w:lang w:val="sr-Cyrl-RS"/>
        </w:rPr>
        <w:t xml:space="preserve"> да пружа</w:t>
      </w:r>
      <w:r w:rsidRPr="003C3404">
        <w:rPr>
          <w:sz w:val="18"/>
          <w:szCs w:val="18"/>
        </w:rPr>
        <w:t>) и у поређењу с другим земљама региона</w:t>
      </w:r>
      <w:r w:rsidRPr="003C3404">
        <w:rPr>
          <w:sz w:val="18"/>
          <w:szCs w:val="18"/>
          <w:lang w:val="sr-Cyrl-RS"/>
        </w:rPr>
        <w:t xml:space="preserve"> </w:t>
      </w:r>
      <w:r w:rsidRPr="003C3404">
        <w:rPr>
          <w:sz w:val="18"/>
          <w:szCs w:val="18"/>
        </w:rPr>
        <w:t>ситуација је нешто повољнија. Међутим, треба имати у виду да се у овом истраживању говори уопштено о информацијама које Влада пружа, а не само о инфомрацијама које се тичу услуга.</w:t>
      </w:r>
    </w:p>
  </w:footnote>
  <w:footnote w:id="156">
    <w:p w14:paraId="34A68569" w14:textId="77777777"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rPr>
        <w:t xml:space="preserve"> На основу Уредбе о ближим условима за израду и одржавање веб</w:t>
      </w:r>
      <w:r w:rsidRPr="003C3404">
        <w:rPr>
          <w:sz w:val="18"/>
          <w:szCs w:val="18"/>
          <w:lang w:val="sr-Cyrl-RS"/>
        </w:rPr>
        <w:t>-</w:t>
      </w:r>
      <w:r w:rsidRPr="003C3404">
        <w:rPr>
          <w:sz w:val="18"/>
          <w:szCs w:val="18"/>
        </w:rPr>
        <w:t>презентације органа.</w:t>
      </w:r>
    </w:p>
  </w:footnote>
  <w:footnote w:id="157">
    <w:p w14:paraId="7358D9CB" w14:textId="77777777" w:rsidR="00876FFE" w:rsidRPr="003C3404" w:rsidRDefault="00876FFE" w:rsidP="003D38D9">
      <w:pPr>
        <w:pStyle w:val="FootnoteText"/>
        <w:rPr>
          <w:sz w:val="18"/>
          <w:szCs w:val="18"/>
          <w:lang w:val="sr-Latn-RS"/>
        </w:rPr>
      </w:pPr>
      <w:r w:rsidRPr="003C3404">
        <w:rPr>
          <w:rStyle w:val="FootnoteReference"/>
          <w:rFonts w:eastAsiaTheme="majorEastAsia"/>
          <w:sz w:val="18"/>
          <w:szCs w:val="18"/>
        </w:rPr>
        <w:footnoteRef/>
      </w:r>
      <w:r w:rsidRPr="003C3404">
        <w:rPr>
          <w:sz w:val="18"/>
          <w:szCs w:val="18"/>
          <w:lang w:val="sr-Cyrl-RS"/>
        </w:rPr>
        <w:t xml:space="preserve"> </w:t>
      </w:r>
      <w:r w:rsidRPr="003C3404">
        <w:rPr>
          <w:sz w:val="18"/>
          <w:szCs w:val="18"/>
          <w:shd w:val="clear" w:color="auto" w:fill="FFFFFF"/>
        </w:rPr>
        <w:t>Извештај Европске комисије (Serbia 2020 Report</w:t>
      </w:r>
      <w:r w:rsidRPr="003C3404">
        <w:rPr>
          <w:sz w:val="18"/>
          <w:szCs w:val="18"/>
          <w:shd w:val="clear" w:color="auto" w:fill="FFFFFF"/>
          <w:lang w:val="sr-Cyrl-RS"/>
        </w:rPr>
        <w:t xml:space="preserve">), </w:t>
      </w:r>
      <w:r w:rsidRPr="003C3404">
        <w:rPr>
          <w:sz w:val="18"/>
          <w:szCs w:val="18"/>
          <w:lang w:val="sr-Cyrl-RS"/>
        </w:rPr>
        <w:t>стр. 45, 47, 49, 50</w:t>
      </w:r>
      <w:r w:rsidRPr="003C3404">
        <w:rPr>
          <w:sz w:val="18"/>
          <w:szCs w:val="18"/>
          <w:lang w:val="sr-Latn-RS"/>
        </w:rPr>
        <w:t>.</w:t>
      </w:r>
    </w:p>
  </w:footnote>
  <w:footnote w:id="158">
    <w:p w14:paraId="32A839FB" w14:textId="77777777" w:rsidR="00876FFE" w:rsidRPr="003C3404" w:rsidRDefault="00876FFE" w:rsidP="003D38D9">
      <w:pPr>
        <w:pStyle w:val="FootnoteText"/>
        <w:rPr>
          <w:sz w:val="18"/>
          <w:szCs w:val="18"/>
        </w:rPr>
      </w:pPr>
      <w:r w:rsidRPr="003C3404">
        <w:rPr>
          <w:rStyle w:val="FootnoteReference"/>
          <w:rFonts w:eastAsiaTheme="majorEastAsia"/>
          <w:sz w:val="18"/>
          <w:szCs w:val="18"/>
        </w:rPr>
        <w:footnoteRef/>
      </w:r>
      <w:r w:rsidRPr="003C3404">
        <w:rPr>
          <w:sz w:val="18"/>
          <w:szCs w:val="18"/>
          <w:lang w:val="sr-Latn-RS"/>
        </w:rPr>
        <w:t xml:space="preserve"> </w:t>
      </w:r>
      <w:r w:rsidRPr="003C3404">
        <w:rPr>
          <w:sz w:val="18"/>
          <w:szCs w:val="18"/>
        </w:rPr>
        <w:t>Административни трошкови пословања процењени су на 3,26% за 2018. годину.</w:t>
      </w:r>
    </w:p>
  </w:footnote>
  <w:footnote w:id="159">
    <w:p w14:paraId="7AC52820" w14:textId="77777777" w:rsidR="00876FFE" w:rsidRPr="003C3404" w:rsidRDefault="00876FFE" w:rsidP="003D38D9">
      <w:pPr>
        <w:pStyle w:val="FootnoteText"/>
        <w:rPr>
          <w:sz w:val="18"/>
          <w:szCs w:val="18"/>
        </w:rPr>
      </w:pPr>
      <w:r w:rsidRPr="003C3404">
        <w:rPr>
          <w:rStyle w:val="FootnoteReference"/>
          <w:rFonts w:eastAsiaTheme="majorEastAsia"/>
          <w:sz w:val="18"/>
          <w:szCs w:val="18"/>
        </w:rPr>
        <w:footnoteRef/>
      </w:r>
      <w:r w:rsidRPr="003C3404">
        <w:rPr>
          <w:sz w:val="18"/>
          <w:szCs w:val="18"/>
        </w:rPr>
        <w:t xml:space="preserve"> Питање приступа грађана јавним услугама (традиционалним и електронским) помиње се на више места у Извештају о напретку Србије (2019) у случајевима приступа правди (стр. 19), здравственим услугама (стр. 89), комуналним услугама (стр. 31), информацијама од јавног значаја (стр. 20), али и генерално приступа јавним услугама (стр. 14).</w:t>
      </w:r>
    </w:p>
  </w:footnote>
  <w:footnote w:id="160">
    <w:p w14:paraId="78A13A93" w14:textId="7464C2FB" w:rsidR="00876FFE" w:rsidRPr="003C3404" w:rsidRDefault="00876FFE" w:rsidP="003D38D9">
      <w:pPr>
        <w:pStyle w:val="FootnoteText"/>
        <w:rPr>
          <w:sz w:val="18"/>
          <w:szCs w:val="18"/>
        </w:rPr>
      </w:pPr>
      <w:r w:rsidRPr="003C3404">
        <w:rPr>
          <w:rStyle w:val="FootnoteReference"/>
          <w:rFonts w:eastAsiaTheme="majorEastAsia"/>
          <w:sz w:val="18"/>
          <w:szCs w:val="18"/>
        </w:rPr>
        <w:footnoteRef/>
      </w:r>
      <w:r w:rsidRPr="003C3404">
        <w:rPr>
          <w:sz w:val="18"/>
          <w:szCs w:val="18"/>
        </w:rPr>
        <w:t xml:space="preserve"> </w:t>
      </w:r>
      <w:r w:rsidRPr="00351859">
        <w:rPr>
          <w:i/>
          <w:sz w:val="18"/>
          <w:szCs w:val="18"/>
        </w:rPr>
        <w:t>SIGMA</w:t>
      </w:r>
      <w:r w:rsidRPr="003C3404">
        <w:rPr>
          <w:sz w:val="18"/>
          <w:szCs w:val="18"/>
        </w:rPr>
        <w:t xml:space="preserve"> Извештај за 2019. годину (стр. 35): </w:t>
      </w:r>
      <w:hyperlink r:id="rId84" w:history="1">
        <w:r w:rsidRPr="003C3404">
          <w:rPr>
            <w:rStyle w:val="Hyperlink"/>
            <w:sz w:val="18"/>
            <w:szCs w:val="18"/>
            <w:lang w:val="sr-Cyrl-RS"/>
          </w:rPr>
          <w:t>http://sigmaweb.org/publications/Monitoring-Report-2019-Serbia.pdf</w:t>
        </w:r>
      </w:hyperlink>
      <w:r w:rsidRPr="003C3404">
        <w:rPr>
          <w:sz w:val="18"/>
          <w:szCs w:val="18"/>
        </w:rPr>
        <w:t xml:space="preserve"> </w:t>
      </w:r>
    </w:p>
  </w:footnote>
  <w:footnote w:id="161">
    <w:p w14:paraId="0D31318C" w14:textId="00ADAA8C" w:rsidR="00876FFE" w:rsidRPr="003C3404" w:rsidRDefault="00876FFE" w:rsidP="003D38D9">
      <w:pPr>
        <w:pStyle w:val="FootnoteText"/>
        <w:rPr>
          <w:sz w:val="18"/>
          <w:szCs w:val="18"/>
        </w:rPr>
      </w:pPr>
      <w:r w:rsidRPr="003C3404">
        <w:rPr>
          <w:rStyle w:val="FootnoteReference"/>
          <w:rFonts w:eastAsiaTheme="majorEastAsia"/>
          <w:sz w:val="18"/>
          <w:szCs w:val="18"/>
          <w:lang w:val="sr-Cyrl-RS"/>
        </w:rPr>
        <w:footnoteRef/>
      </w:r>
      <w:r w:rsidRPr="003C3404">
        <w:rPr>
          <w:sz w:val="18"/>
          <w:szCs w:val="18"/>
        </w:rPr>
        <w:t xml:space="preserve"> </w:t>
      </w:r>
      <w:r w:rsidRPr="00351859">
        <w:rPr>
          <w:i/>
          <w:sz w:val="18"/>
          <w:szCs w:val="18"/>
        </w:rPr>
        <w:t>SIGMA</w:t>
      </w:r>
      <w:r w:rsidRPr="003C3404">
        <w:rPr>
          <w:sz w:val="18"/>
          <w:szCs w:val="18"/>
        </w:rPr>
        <w:t xml:space="preserve"> Извештај за 2019. годину оцењује да је у протекле две године </w:t>
      </w:r>
      <w:r w:rsidRPr="003C3404">
        <w:rPr>
          <w:sz w:val="18"/>
          <w:szCs w:val="18"/>
          <w:lang w:val="sr-Cyrl-RS"/>
        </w:rPr>
        <w:t>постигнут</w:t>
      </w:r>
      <w:r w:rsidRPr="003C3404">
        <w:rPr>
          <w:sz w:val="18"/>
          <w:szCs w:val="18"/>
        </w:rPr>
        <w:t xml:space="preserve"> напре</w:t>
      </w:r>
      <w:r w:rsidRPr="003C3404">
        <w:rPr>
          <w:sz w:val="18"/>
          <w:szCs w:val="18"/>
          <w:lang w:val="sr-Cyrl-RS"/>
        </w:rPr>
        <w:t>дак</w:t>
      </w:r>
      <w:r w:rsidRPr="003C3404">
        <w:rPr>
          <w:sz w:val="18"/>
          <w:szCs w:val="18"/>
        </w:rPr>
        <w:t xml:space="preserve"> у области квалитета пружених услуга, уз просечну оцену </w:t>
      </w:r>
      <w:r w:rsidRPr="003C3404">
        <w:rPr>
          <w:sz w:val="18"/>
          <w:szCs w:val="18"/>
          <w:lang w:val="sr-Cyrl-RS"/>
        </w:rPr>
        <w:t>три</w:t>
      </w:r>
      <w:r w:rsidRPr="003C3404">
        <w:rPr>
          <w:sz w:val="18"/>
          <w:szCs w:val="18"/>
        </w:rPr>
        <w:t xml:space="preserve"> у области Пружања услуга за сва четири стуба, на скали 0</w:t>
      </w:r>
      <w:r w:rsidRPr="003C3404">
        <w:rPr>
          <w:sz w:val="18"/>
          <w:szCs w:val="18"/>
          <w:lang w:val="sr-Cyrl-RS"/>
        </w:rPr>
        <w:t>−</w:t>
      </w:r>
      <w:r w:rsidRPr="003C3404">
        <w:rPr>
          <w:sz w:val="18"/>
          <w:szCs w:val="18"/>
        </w:rPr>
        <w:t xml:space="preserve">5. Од четири стуба, приступ јавним услугама остаје најслабије оцењена област са оценом 2 од 5 и </w:t>
      </w:r>
      <w:r w:rsidRPr="003C3404">
        <w:rPr>
          <w:sz w:val="18"/>
          <w:szCs w:val="18"/>
          <w:lang w:val="sr-Cyrl-RS"/>
        </w:rPr>
        <w:t>боља</w:t>
      </w:r>
      <w:r w:rsidRPr="003C3404">
        <w:rPr>
          <w:sz w:val="18"/>
          <w:szCs w:val="18"/>
        </w:rPr>
        <w:t xml:space="preserve"> је за једну оцену </w:t>
      </w:r>
      <w:r w:rsidRPr="003C3404">
        <w:rPr>
          <w:sz w:val="18"/>
          <w:szCs w:val="18"/>
          <w:lang w:val="sr-Cyrl-RS"/>
        </w:rPr>
        <w:t>него</w:t>
      </w:r>
      <w:r w:rsidRPr="003C3404">
        <w:rPr>
          <w:sz w:val="18"/>
          <w:szCs w:val="18"/>
        </w:rPr>
        <w:t xml:space="preserve"> 2017, стр. 36, </w:t>
      </w:r>
      <w:hyperlink r:id="rId85" w:history="1">
        <w:r w:rsidRPr="003C3404">
          <w:rPr>
            <w:rStyle w:val="Hyperlink"/>
            <w:sz w:val="18"/>
            <w:szCs w:val="18"/>
            <w:lang w:val="sr-Cyrl-RS"/>
          </w:rPr>
          <w:t>http://sigmaweb.org/publications/Monitoring-Report-2019-Serbia.pdf</w:t>
        </w:r>
      </w:hyperlink>
      <w:r w:rsidRPr="003C3404">
        <w:rPr>
          <w:sz w:val="18"/>
          <w:szCs w:val="18"/>
        </w:rPr>
        <w:t xml:space="preserve"> </w:t>
      </w:r>
    </w:p>
  </w:footnote>
  <w:footnote w:id="162">
    <w:p w14:paraId="334683A7" w14:textId="77777777"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rPr>
        <w:t xml:space="preserve"> Према извештају који је достав</w:t>
      </w:r>
      <w:r w:rsidRPr="003C3404">
        <w:rPr>
          <w:sz w:val="18"/>
          <w:szCs w:val="18"/>
          <w:lang w:val="sr-Cyrl-RS"/>
        </w:rPr>
        <w:t>ио</w:t>
      </w:r>
      <w:r w:rsidRPr="003C3404">
        <w:rPr>
          <w:sz w:val="18"/>
          <w:szCs w:val="18"/>
        </w:rPr>
        <w:t xml:space="preserve"> РСЈП 1. јануара 2019. године, укинуте су обавезе за послодавце да достављају М4 и М-УН обрасце, чиме су укинути поступци пријаве података за утврђивање стажа осигурања, зарада, накнаде зарада, односно основице осигурања и висине уплаћеног доприноса; укинута је пријава о уплати доприноса по основу уговорене накнаде, односно накнаде по основу уговора о допунском раду и висини те накнаде; укинута је Уредба о евиденционим маркицама за брашно</w:t>
      </w:r>
      <w:r w:rsidRPr="003C3404">
        <w:rPr>
          <w:sz w:val="18"/>
          <w:szCs w:val="18"/>
          <w:lang w:val="sr-Cyrl-RS"/>
        </w:rPr>
        <w:t>,</w:t>
      </w:r>
      <w:r w:rsidRPr="003C3404">
        <w:rPr>
          <w:sz w:val="18"/>
          <w:szCs w:val="18"/>
        </w:rPr>
        <w:t xml:space="preserve"> чиме је укинут поступак </w:t>
      </w:r>
      <w:r w:rsidRPr="003C3404">
        <w:rPr>
          <w:sz w:val="18"/>
          <w:szCs w:val="18"/>
          <w:lang w:val="sr-Cyrl-RS"/>
        </w:rPr>
        <w:t>о</w:t>
      </w:r>
      <w:r w:rsidRPr="003C3404">
        <w:rPr>
          <w:sz w:val="18"/>
          <w:szCs w:val="18"/>
        </w:rPr>
        <w:t>веравања захтева за издавање евиденционих маркица за брашно; укинут је поступак Управе за ветерину Одобрење учешћа у међународном међулаб</w:t>
      </w:r>
      <w:r w:rsidRPr="003C3404">
        <w:rPr>
          <w:sz w:val="18"/>
          <w:szCs w:val="18"/>
          <w:lang w:val="sr-Cyrl-RS"/>
        </w:rPr>
        <w:t>о</w:t>
      </w:r>
      <w:r w:rsidRPr="003C3404">
        <w:rPr>
          <w:sz w:val="18"/>
          <w:szCs w:val="18"/>
        </w:rPr>
        <w:t>раторијском поређењу и провери компетентности лабар</w:t>
      </w:r>
      <w:r w:rsidRPr="003C3404">
        <w:rPr>
          <w:sz w:val="18"/>
          <w:szCs w:val="18"/>
          <w:lang w:val="sr-Cyrl-RS"/>
        </w:rPr>
        <w:t>о</w:t>
      </w:r>
      <w:r w:rsidRPr="003C3404">
        <w:rPr>
          <w:sz w:val="18"/>
          <w:szCs w:val="18"/>
        </w:rPr>
        <w:t xml:space="preserve">торије. </w:t>
      </w:r>
    </w:p>
  </w:footnote>
  <w:footnote w:id="163">
    <w:p w14:paraId="3335758F" w14:textId="77777777"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rPr>
        <w:t xml:space="preserve"> Послове које је до сада морао да обавља или иницира привредник, сада ради управа на основу података који су садржани у службеним евиденцијама, односно на основу података које је привреда доставила у другим управним поступцима.</w:t>
      </w:r>
    </w:p>
  </w:footnote>
  <w:footnote w:id="164">
    <w:p w14:paraId="24EBCB43" w14:textId="5B479376" w:rsidR="00876FFE" w:rsidRPr="003C3404" w:rsidRDefault="00876FFE" w:rsidP="003D38D9">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О</w:t>
      </w:r>
      <w:r w:rsidRPr="003C3404">
        <w:rPr>
          <w:sz w:val="18"/>
          <w:szCs w:val="18"/>
        </w:rPr>
        <w:t xml:space="preserve">творено јединствено управно место у </w:t>
      </w:r>
      <w:r w:rsidRPr="003C3404">
        <w:rPr>
          <w:sz w:val="18"/>
          <w:szCs w:val="18"/>
          <w:lang w:val="sr-Cyrl-RS"/>
        </w:rPr>
        <w:t>Г</w:t>
      </w:r>
      <w:r w:rsidRPr="003C3404">
        <w:rPr>
          <w:sz w:val="18"/>
          <w:szCs w:val="18"/>
        </w:rPr>
        <w:t xml:space="preserve">орњем </w:t>
      </w:r>
      <w:r w:rsidRPr="003C3404">
        <w:rPr>
          <w:sz w:val="18"/>
          <w:szCs w:val="18"/>
          <w:lang w:val="sr-Cyrl-RS"/>
        </w:rPr>
        <w:t>М</w:t>
      </w:r>
      <w:r w:rsidRPr="003C3404">
        <w:rPr>
          <w:sz w:val="18"/>
          <w:szCs w:val="18"/>
        </w:rPr>
        <w:t>илановцу</w:t>
      </w:r>
      <w:r w:rsidRPr="003C3404">
        <w:rPr>
          <w:sz w:val="18"/>
          <w:szCs w:val="18"/>
          <w:lang w:val="sr-Cyrl-RS"/>
        </w:rPr>
        <w:t xml:space="preserve">, сајт Министартва државне управе и локалне самоуправе, </w:t>
      </w:r>
      <w:hyperlink r:id="rId86" w:history="1">
        <w:r w:rsidRPr="003C3404">
          <w:rPr>
            <w:rStyle w:val="Hyperlink"/>
            <w:sz w:val="18"/>
            <w:szCs w:val="18"/>
          </w:rPr>
          <w:t>http://mduls.gov.rs/saopstenja/otvoreno-jedinstveno-upravno-mesto-u-gornjem-milanovcu/?script=lat</w:t>
        </w:r>
      </w:hyperlink>
      <w:r w:rsidRPr="003C3404">
        <w:rPr>
          <w:sz w:val="18"/>
          <w:szCs w:val="18"/>
          <w:lang w:val="sr-Cyrl-RS"/>
        </w:rPr>
        <w:t xml:space="preserve"> (доступан на дан 2. новембра 2020).</w:t>
      </w:r>
    </w:p>
  </w:footnote>
  <w:footnote w:id="165">
    <w:p w14:paraId="04E19ACA" w14:textId="77777777" w:rsidR="00876FFE" w:rsidRPr="003C3404" w:rsidRDefault="00876FFE" w:rsidP="003D38D9">
      <w:pPr>
        <w:pStyle w:val="FootnoteText"/>
        <w:rPr>
          <w:sz w:val="18"/>
          <w:szCs w:val="18"/>
        </w:rPr>
      </w:pPr>
      <w:r w:rsidRPr="003C3404">
        <w:rPr>
          <w:rStyle w:val="FootnoteReference"/>
          <w:rFonts w:eastAsiaTheme="majorEastAsia"/>
          <w:sz w:val="18"/>
          <w:szCs w:val="18"/>
        </w:rPr>
        <w:footnoteRef/>
      </w:r>
      <w:r w:rsidRPr="003C3404">
        <w:rPr>
          <w:sz w:val="18"/>
          <w:szCs w:val="18"/>
        </w:rPr>
        <w:t xml:space="preserve"> Извештај о спровођењу АП Стратегије РЈУ за </w:t>
      </w:r>
      <w:r w:rsidRPr="003C3404">
        <w:rPr>
          <w:sz w:val="18"/>
          <w:szCs w:val="18"/>
          <w:lang w:val="sr-Cyrl-RS"/>
        </w:rPr>
        <w:t>2018.</w:t>
      </w:r>
      <w:r w:rsidRPr="003C3404">
        <w:rPr>
          <w:sz w:val="18"/>
          <w:szCs w:val="18"/>
        </w:rPr>
        <w:t xml:space="preserve"> стр. 10.</w:t>
      </w:r>
    </w:p>
  </w:footnote>
  <w:footnote w:id="166">
    <w:p w14:paraId="5DFBFBDE" w14:textId="77777777"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rPr>
        <w:t xml:space="preserve"> </w:t>
      </w:r>
      <w:r w:rsidRPr="003C3404">
        <w:rPr>
          <w:sz w:val="18"/>
          <w:szCs w:val="18"/>
          <w:lang w:val="sr-Cyrl-RS"/>
        </w:rPr>
        <w:t>КИТЕУ</w:t>
      </w:r>
      <w:r w:rsidRPr="003C3404">
        <w:rPr>
          <w:sz w:val="18"/>
          <w:szCs w:val="18"/>
        </w:rPr>
        <w:t xml:space="preserve"> је до сада потписала више стотина споразума о </w:t>
      </w:r>
      <w:r w:rsidRPr="003C3404">
        <w:rPr>
          <w:sz w:val="18"/>
          <w:szCs w:val="18"/>
          <w:lang w:val="sr-Cyrl-RS"/>
        </w:rPr>
        <w:t xml:space="preserve">постављању </w:t>
      </w:r>
      <w:r w:rsidRPr="003C3404">
        <w:rPr>
          <w:sz w:val="18"/>
          <w:szCs w:val="18"/>
        </w:rPr>
        <w:t xml:space="preserve"> </w:t>
      </w:r>
      <w:r w:rsidRPr="003C3404">
        <w:rPr>
          <w:i/>
          <w:sz w:val="18"/>
          <w:szCs w:val="18"/>
          <w:lang w:val="sr-Latn-RS"/>
        </w:rPr>
        <w:t>POS</w:t>
      </w:r>
      <w:r w:rsidRPr="003C3404">
        <w:rPr>
          <w:sz w:val="18"/>
          <w:szCs w:val="18"/>
        </w:rPr>
        <w:t xml:space="preserve"> терминала у органима државне управе и локалне самоуправе, на шалтерима катаст</w:t>
      </w:r>
      <w:r w:rsidRPr="003C3404">
        <w:rPr>
          <w:sz w:val="18"/>
          <w:szCs w:val="18"/>
          <w:lang w:val="sr-Cyrl-RS"/>
        </w:rPr>
        <w:t>а</w:t>
      </w:r>
      <w:r w:rsidRPr="003C3404">
        <w:rPr>
          <w:sz w:val="18"/>
          <w:szCs w:val="18"/>
        </w:rPr>
        <w:t>ра непокретности и МУП-а:</w:t>
      </w:r>
      <w:r w:rsidRPr="003C3404">
        <w:rPr>
          <w:sz w:val="18"/>
          <w:szCs w:val="18"/>
          <w:lang w:val="uz-Cyrl-UZ"/>
        </w:rPr>
        <w:t xml:space="preserve"> </w:t>
      </w:r>
      <w:hyperlink r:id="rId87" w:history="1">
        <w:r w:rsidRPr="003C3404">
          <w:rPr>
            <w:rStyle w:val="Hyperlink"/>
            <w:sz w:val="18"/>
            <w:szCs w:val="18"/>
          </w:rPr>
          <w:t>https://www.ite.gov.rs/tekst/sr/4294/pos-terminali.php</w:t>
        </w:r>
      </w:hyperlink>
    </w:p>
  </w:footnote>
  <w:footnote w:id="167">
    <w:p w14:paraId="26FA4E3D" w14:textId="77777777" w:rsidR="00876FFE" w:rsidRPr="003C3404" w:rsidRDefault="00876FFE" w:rsidP="003D38D9">
      <w:pPr>
        <w:pStyle w:val="FootnoteText"/>
        <w:rPr>
          <w:sz w:val="18"/>
          <w:szCs w:val="18"/>
          <w:lang w:val="sr-Cyrl-RS"/>
        </w:rPr>
      </w:pPr>
      <w:r w:rsidRPr="003C3404">
        <w:rPr>
          <w:rStyle w:val="FootnoteReference"/>
          <w:sz w:val="18"/>
          <w:szCs w:val="18"/>
        </w:rPr>
        <w:footnoteRef/>
      </w:r>
      <w:r w:rsidRPr="003C3404">
        <w:rPr>
          <w:sz w:val="18"/>
          <w:szCs w:val="18"/>
          <w:shd w:val="clear" w:color="auto" w:fill="FFFFFF"/>
          <w:lang w:val="sr-Cyrl-RS"/>
        </w:rPr>
        <w:t xml:space="preserve"> </w:t>
      </w:r>
      <w:r w:rsidRPr="003C3404">
        <w:rPr>
          <w:sz w:val="18"/>
          <w:szCs w:val="18"/>
          <w:shd w:val="clear" w:color="auto" w:fill="FFFFFF"/>
        </w:rPr>
        <w:t>Извештај Европске комисије (</w:t>
      </w:r>
      <w:r w:rsidRPr="003C3404">
        <w:rPr>
          <w:i/>
          <w:sz w:val="18"/>
          <w:szCs w:val="18"/>
          <w:shd w:val="clear" w:color="auto" w:fill="FFFFFF"/>
        </w:rPr>
        <w:t>Serbia 2020 Report</w:t>
      </w:r>
      <w:r w:rsidRPr="003C3404">
        <w:rPr>
          <w:sz w:val="18"/>
          <w:szCs w:val="18"/>
          <w:shd w:val="clear" w:color="auto" w:fill="FFFFFF"/>
          <w:lang w:val="sr-Cyrl-RS"/>
        </w:rPr>
        <w:t xml:space="preserve">), стр. 17: </w:t>
      </w:r>
      <w:r w:rsidRPr="003C3404">
        <w:rPr>
          <w:sz w:val="18"/>
          <w:szCs w:val="18"/>
          <w:shd w:val="clear" w:color="auto" w:fill="FFFFFF"/>
        </w:rPr>
        <w:t> </w:t>
      </w:r>
      <w:hyperlink r:id="rId88" w:tgtFrame="_blank" w:history="1">
        <w:r w:rsidRPr="003C3404">
          <w:rPr>
            <w:rStyle w:val="Hyperlink"/>
            <w:sz w:val="18"/>
            <w:szCs w:val="18"/>
            <w:shd w:val="clear" w:color="auto" w:fill="FFFFFF"/>
          </w:rPr>
          <w:t>https://ec.europa.eu/neighbourhood-enlargement/countries/package_en</w:t>
        </w:r>
      </w:hyperlink>
    </w:p>
  </w:footnote>
  <w:footnote w:id="168">
    <w:p w14:paraId="6119C952" w14:textId="77777777" w:rsidR="00876FFE" w:rsidRPr="003C3404" w:rsidRDefault="00876FFE" w:rsidP="003D38D9">
      <w:pPr>
        <w:pStyle w:val="FootnoteText"/>
        <w:rPr>
          <w:sz w:val="18"/>
          <w:szCs w:val="18"/>
          <w:lang w:val="sr-Latn-RS"/>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Извештај: </w:t>
      </w:r>
      <w:hyperlink r:id="rId89" w:history="1">
        <w:r w:rsidRPr="003C3404">
          <w:rPr>
            <w:rStyle w:val="Hyperlink"/>
            <w:sz w:val="18"/>
            <w:szCs w:val="18"/>
          </w:rPr>
          <w:t>https://publicadministration.un.org/egovkb/en-us/Reports/UN-E-Government-Survey-2020</w:t>
        </w:r>
      </w:hyperlink>
      <w:r w:rsidRPr="003C3404">
        <w:rPr>
          <w:sz w:val="18"/>
          <w:szCs w:val="18"/>
        </w:rPr>
        <w:t>;</w:t>
      </w:r>
    </w:p>
  </w:footnote>
  <w:footnote w:id="169">
    <w:p w14:paraId="354D3538" w14:textId="77777777" w:rsidR="00876FFE" w:rsidRPr="003C3404" w:rsidRDefault="00876FFE" w:rsidP="003D38D9">
      <w:pPr>
        <w:pStyle w:val="FootnoteText"/>
        <w:rPr>
          <w:sz w:val="18"/>
          <w:szCs w:val="18"/>
          <w:lang w:val="sr-Cyrl-RS"/>
        </w:rPr>
      </w:pPr>
      <w:r w:rsidRPr="003C3404">
        <w:rPr>
          <w:rStyle w:val="FootnoteReference"/>
          <w:sz w:val="18"/>
          <w:szCs w:val="18"/>
        </w:rPr>
        <w:footnoteRef/>
      </w:r>
      <w:r w:rsidRPr="003C3404">
        <w:rPr>
          <w:sz w:val="18"/>
          <w:szCs w:val="18"/>
          <w:lang w:val="sr-Cyrl-RS"/>
        </w:rPr>
        <w:t xml:space="preserve"> Извештај: </w:t>
      </w:r>
      <w:hyperlink r:id="rId90" w:history="1">
        <w:r w:rsidRPr="003C3404">
          <w:rPr>
            <w:rStyle w:val="Hyperlink"/>
            <w:sz w:val="18"/>
            <w:szCs w:val="18"/>
          </w:rPr>
          <w:t>https://ec.europa.eu/digital-single-market/en/news/egovernment-benchmark-2020-egovernment-works-people</w:t>
        </w:r>
      </w:hyperlink>
      <w:r w:rsidRPr="003C3404">
        <w:rPr>
          <w:sz w:val="18"/>
          <w:szCs w:val="18"/>
          <w:lang w:val="sr-Cyrl-RS"/>
        </w:rPr>
        <w:t xml:space="preserve"> </w:t>
      </w:r>
    </w:p>
  </w:footnote>
  <w:footnote w:id="170">
    <w:p w14:paraId="6DFF646E" w14:textId="77777777"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rPr>
        <w:t xml:space="preserve"> Портал е-управе: </w:t>
      </w:r>
      <w:r w:rsidRPr="003C3404">
        <w:rPr>
          <w:rStyle w:val="Hyperlink"/>
          <w:sz w:val="18"/>
          <w:szCs w:val="18"/>
        </w:rPr>
        <w:t>https://www. euprava.gov.rs</w:t>
      </w:r>
      <w:r w:rsidRPr="003C3404">
        <w:rPr>
          <w:sz w:val="18"/>
          <w:szCs w:val="18"/>
        </w:rPr>
        <w:t xml:space="preserve"> (последњи пут приступљено 13.5.2020.)</w:t>
      </w:r>
    </w:p>
  </w:footnote>
  <w:footnote w:id="171">
    <w:p w14:paraId="79BCCDEA" w14:textId="77777777"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rPr>
        <w:t xml:space="preserve"> Унификација дигиталних идентитета корисницима је доступна преко националног Портала за електронску идентификацију грађана и привреде </w:t>
      </w:r>
      <w:hyperlink r:id="rId91" w:history="1">
        <w:r w:rsidRPr="003C3404">
          <w:rPr>
            <w:rStyle w:val="Hyperlink"/>
            <w:sz w:val="18"/>
            <w:szCs w:val="18"/>
          </w:rPr>
          <w:t>https://eid.gov.rs/</w:t>
        </w:r>
      </w:hyperlink>
      <w:r w:rsidRPr="003C3404">
        <w:rPr>
          <w:sz w:val="18"/>
          <w:szCs w:val="18"/>
        </w:rPr>
        <w:t xml:space="preserve"> Осим за приступ Порталу е-управа јединствени е-идентитет се користи и за приступ информационом систему локалне пореске администрације </w:t>
      </w:r>
      <w:hyperlink r:id="rId92" w:history="1">
        <w:r w:rsidRPr="003C3404">
          <w:rPr>
            <w:rStyle w:val="Hyperlink"/>
            <w:sz w:val="18"/>
            <w:szCs w:val="18"/>
            <w:lang w:val="sr-Cyrl-RS"/>
          </w:rPr>
          <w:t>https://lpa.gov.rs/jisportal/homepage</w:t>
        </w:r>
      </w:hyperlink>
      <w:r w:rsidRPr="003C3404">
        <w:rPr>
          <w:sz w:val="18"/>
          <w:szCs w:val="18"/>
        </w:rPr>
        <w:t xml:space="preserve">, као и за пријаву на </w:t>
      </w:r>
      <w:r w:rsidRPr="003C3404">
        <w:rPr>
          <w:sz w:val="18"/>
          <w:szCs w:val="18"/>
          <w:lang w:val="sr-Cyrl-RS"/>
        </w:rPr>
        <w:t>П</w:t>
      </w:r>
      <w:r w:rsidRPr="003C3404">
        <w:rPr>
          <w:sz w:val="18"/>
          <w:szCs w:val="18"/>
        </w:rPr>
        <w:t xml:space="preserve">орталу е-здравље  </w:t>
      </w:r>
      <w:hyperlink r:id="rId93" w:history="1">
        <w:r w:rsidRPr="003C3404">
          <w:rPr>
            <w:rStyle w:val="Hyperlink"/>
            <w:sz w:val="18"/>
            <w:szCs w:val="18"/>
            <w:lang w:val="sr-Cyrl-RS"/>
          </w:rPr>
          <w:t>https://e-zdravlje.gov.rs/landing/</w:t>
        </w:r>
      </w:hyperlink>
      <w:r w:rsidRPr="003C3404">
        <w:rPr>
          <w:sz w:val="18"/>
          <w:szCs w:val="18"/>
        </w:rPr>
        <w:t xml:space="preserve">; </w:t>
      </w:r>
    </w:p>
  </w:footnote>
  <w:footnote w:id="172">
    <w:p w14:paraId="5B3470E2" w14:textId="26DFCDB6"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rPr>
        <w:t xml:space="preserve"> Ово је врло важан корак који ће омогућити </w:t>
      </w:r>
      <w:r w:rsidRPr="003C3404">
        <w:rPr>
          <w:sz w:val="18"/>
          <w:szCs w:val="18"/>
          <w:lang w:val="sr-Cyrl-RS"/>
        </w:rPr>
        <w:t xml:space="preserve">да се </w:t>
      </w:r>
      <w:r w:rsidRPr="003C3404">
        <w:rPr>
          <w:sz w:val="18"/>
          <w:szCs w:val="18"/>
        </w:rPr>
        <w:t>ув</w:t>
      </w:r>
      <w:r w:rsidRPr="003C3404">
        <w:rPr>
          <w:sz w:val="18"/>
          <w:szCs w:val="18"/>
          <w:lang w:val="sr-Cyrl-RS"/>
        </w:rPr>
        <w:t>еде</w:t>
      </w:r>
      <w:r w:rsidRPr="003C3404">
        <w:rPr>
          <w:sz w:val="18"/>
          <w:szCs w:val="18"/>
        </w:rPr>
        <w:t xml:space="preserve"> м-управ</w:t>
      </w:r>
      <w:r w:rsidRPr="003C3404">
        <w:rPr>
          <w:sz w:val="18"/>
          <w:szCs w:val="18"/>
          <w:lang w:val="sr-Cyrl-RS"/>
        </w:rPr>
        <w:t>а</w:t>
      </w:r>
      <w:r w:rsidRPr="003C3404">
        <w:rPr>
          <w:sz w:val="18"/>
          <w:szCs w:val="18"/>
        </w:rPr>
        <w:t xml:space="preserve"> у Републици Србији. Могућност пријављивања двофакторском </w:t>
      </w:r>
      <w:r w:rsidRPr="003C3404">
        <w:rPr>
          <w:sz w:val="18"/>
          <w:szCs w:val="18"/>
          <w:lang w:val="sr-Cyrl-RS"/>
        </w:rPr>
        <w:t>аутентикацијом</w:t>
      </w:r>
      <w:r w:rsidRPr="003C3404">
        <w:rPr>
          <w:sz w:val="18"/>
          <w:szCs w:val="18"/>
        </w:rPr>
        <w:t xml:space="preserve">, шема средњег нивоа поузданости, налази се на линку: </w:t>
      </w:r>
      <w:hyperlink r:id="rId94" w:history="1">
        <w:r w:rsidRPr="003C3404">
          <w:rPr>
            <w:rStyle w:val="Hyperlink"/>
            <w:sz w:val="18"/>
            <w:szCs w:val="18"/>
          </w:rPr>
          <w:t>https://euprava.gov.rs/prijava-dvofaktorskom-autentikacijom-za-korisnike-sa-kvalifikovanim-elektronskim-sertifikatom</w:t>
        </w:r>
      </w:hyperlink>
      <w:r w:rsidRPr="003C3404">
        <w:rPr>
          <w:sz w:val="18"/>
          <w:szCs w:val="18"/>
        </w:rPr>
        <w:t xml:space="preserve">  </w:t>
      </w:r>
    </w:p>
    <w:p w14:paraId="05DB7714" w14:textId="77777777" w:rsidR="00876FFE" w:rsidRPr="003C3404" w:rsidRDefault="00876FFE" w:rsidP="003D38D9">
      <w:pPr>
        <w:pStyle w:val="FootnoteText"/>
        <w:rPr>
          <w:sz w:val="18"/>
          <w:szCs w:val="18"/>
        </w:rPr>
      </w:pPr>
      <w:r w:rsidRPr="003C3404">
        <w:rPr>
          <w:rStyle w:val="FootnoteReference"/>
          <w:sz w:val="18"/>
          <w:szCs w:val="18"/>
          <w:lang w:val="sr-Cyrl-RS"/>
        </w:rPr>
        <w:t>158</w:t>
      </w:r>
      <w:r w:rsidRPr="003C3404">
        <w:rPr>
          <w:sz w:val="18"/>
          <w:szCs w:val="18"/>
        </w:rPr>
        <w:t xml:space="preserve"> </w:t>
      </w:r>
      <w:r w:rsidRPr="003C3404">
        <w:rPr>
          <w:sz w:val="18"/>
          <w:szCs w:val="18"/>
          <w:lang w:eastAsia="sr-Latn-RS"/>
        </w:rPr>
        <w:t>Л</w:t>
      </w:r>
      <w:r w:rsidRPr="003C3404">
        <w:rPr>
          <w:sz w:val="18"/>
          <w:szCs w:val="18"/>
          <w:lang w:val="sr-Latn-RS" w:eastAsia="sr-Latn-RS"/>
        </w:rPr>
        <w:t>окалне пореске администрације</w:t>
      </w:r>
      <w:r w:rsidRPr="003C3404">
        <w:rPr>
          <w:sz w:val="18"/>
          <w:szCs w:val="18"/>
          <w:lang w:eastAsia="sr-Latn-RS"/>
        </w:rPr>
        <w:t xml:space="preserve"> су прве почеле да путем е-доставе грађанима достављају решења </w:t>
      </w:r>
      <w:r w:rsidRPr="003C3404">
        <w:rPr>
          <w:sz w:val="18"/>
          <w:szCs w:val="18"/>
          <w:lang w:val="sr-Latn-RS" w:eastAsia="sr-Latn-RS"/>
        </w:rPr>
        <w:t>о утврђеном порезу на имовину за 2020. годину</w:t>
      </w:r>
      <w:r w:rsidRPr="003C3404">
        <w:rPr>
          <w:sz w:val="18"/>
          <w:szCs w:val="18"/>
          <w:lang w:eastAsia="sr-Latn-RS"/>
        </w:rPr>
        <w:t xml:space="preserve">: </w:t>
      </w:r>
      <w:hyperlink r:id="rId95" w:history="1">
        <w:r w:rsidRPr="003C3404">
          <w:rPr>
            <w:rStyle w:val="Hyperlink"/>
            <w:sz w:val="18"/>
            <w:szCs w:val="18"/>
            <w:lang w:val="sr-Cyrl-RS" w:eastAsia="sr-Latn-RS"/>
          </w:rPr>
          <w:t>https://euprava.gov.rs/resenje-poreza-na-imovinu</w:t>
        </w:r>
      </w:hyperlink>
    </w:p>
  </w:footnote>
  <w:footnote w:id="173">
    <w:p w14:paraId="4F740019" w14:textId="77777777" w:rsidR="00876FFE" w:rsidRPr="003C3404" w:rsidRDefault="00876FFE" w:rsidP="003D38D9">
      <w:pPr>
        <w:pStyle w:val="FootnoteText"/>
        <w:rPr>
          <w:sz w:val="18"/>
          <w:szCs w:val="18"/>
          <w:lang w:val="sr-Latn-RS"/>
        </w:rPr>
      </w:pPr>
      <w:r w:rsidRPr="003C3404">
        <w:rPr>
          <w:rStyle w:val="FootnoteReference"/>
          <w:sz w:val="18"/>
          <w:szCs w:val="18"/>
        </w:rPr>
        <w:footnoteRef/>
      </w:r>
      <w:r w:rsidRPr="003C3404">
        <w:rPr>
          <w:sz w:val="18"/>
          <w:szCs w:val="18"/>
        </w:rPr>
        <w:t xml:space="preserve"> На Порталу е-управа омогућено је коришћење платних картица (мастеркард, виза, дина) свих банака које послују на тржишту Р</w:t>
      </w:r>
      <w:r w:rsidRPr="003C3404">
        <w:rPr>
          <w:sz w:val="18"/>
          <w:szCs w:val="18"/>
          <w:lang w:val="sr-Cyrl-RS"/>
        </w:rPr>
        <w:t xml:space="preserve">епублике </w:t>
      </w:r>
      <w:r w:rsidRPr="003C3404">
        <w:rPr>
          <w:sz w:val="18"/>
          <w:szCs w:val="18"/>
        </w:rPr>
        <w:t>С</w:t>
      </w:r>
      <w:r w:rsidRPr="003C3404">
        <w:rPr>
          <w:sz w:val="18"/>
          <w:szCs w:val="18"/>
          <w:lang w:val="sr-Cyrl-RS"/>
        </w:rPr>
        <w:t>рбије</w:t>
      </w:r>
      <w:r w:rsidRPr="003C3404">
        <w:rPr>
          <w:sz w:val="18"/>
          <w:szCs w:val="18"/>
        </w:rPr>
        <w:t xml:space="preserve">, а грађани могу користити и е-новац куповином ај-пеј ваучера: </w:t>
      </w:r>
      <w:hyperlink r:id="rId96" w:history="1">
        <w:r w:rsidRPr="003C3404">
          <w:rPr>
            <w:rStyle w:val="Hyperlink"/>
            <w:sz w:val="18"/>
            <w:szCs w:val="18"/>
          </w:rPr>
          <w:t>https://www.ite.gov.rs/tekst/sr/4134/4-da-li-je-na-portalu-euprava-omoguceno-placanje-online.php</w:t>
        </w:r>
      </w:hyperlink>
      <w:r w:rsidRPr="003C3404">
        <w:rPr>
          <w:sz w:val="18"/>
          <w:szCs w:val="18"/>
        </w:rPr>
        <w:t xml:space="preserve"> </w:t>
      </w:r>
    </w:p>
  </w:footnote>
  <w:footnote w:id="174">
    <w:p w14:paraId="3034A403" w14:textId="77777777" w:rsidR="00876FFE" w:rsidRPr="003C3404" w:rsidRDefault="00876FFE" w:rsidP="003D38D9">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Више на: </w:t>
      </w:r>
      <w:hyperlink r:id="rId97" w:history="1">
        <w:r w:rsidRPr="003C3404">
          <w:rPr>
            <w:rStyle w:val="Hyperlink"/>
            <w:sz w:val="18"/>
            <w:szCs w:val="18"/>
          </w:rPr>
          <w:t>https://euprava.gov.rs/usluge/4875</w:t>
        </w:r>
      </w:hyperlink>
      <w:r w:rsidRPr="003C3404">
        <w:rPr>
          <w:sz w:val="18"/>
          <w:szCs w:val="18"/>
          <w:lang w:val="sr-Cyrl-RS"/>
        </w:rPr>
        <w:t xml:space="preserve"> </w:t>
      </w:r>
    </w:p>
  </w:footnote>
  <w:footnote w:id="175">
    <w:p w14:paraId="6E84D443" w14:textId="77777777" w:rsidR="00876FFE" w:rsidRPr="003C3404" w:rsidRDefault="00876FFE" w:rsidP="003D38D9">
      <w:pPr>
        <w:pStyle w:val="FootnoteText"/>
        <w:rPr>
          <w:sz w:val="18"/>
          <w:szCs w:val="18"/>
          <w:lang w:val="sr-Cyrl-RS"/>
        </w:rPr>
      </w:pPr>
      <w:r w:rsidRPr="003C3404">
        <w:rPr>
          <w:rStyle w:val="FootnoteReference"/>
          <w:sz w:val="18"/>
          <w:szCs w:val="18"/>
        </w:rPr>
        <w:footnoteRef/>
      </w:r>
      <w:r w:rsidRPr="003C3404">
        <w:rPr>
          <w:sz w:val="18"/>
          <w:szCs w:val="18"/>
          <w:lang w:val="sr-Cyrl-RS"/>
        </w:rPr>
        <w:t xml:space="preserve"> Ове апликације масовно су коришћене нарочито током ванредног стања и епидемије вируса ковид-19 </w:t>
      </w:r>
      <w:r w:rsidRPr="003C3404">
        <w:rPr>
          <w:sz w:val="18"/>
          <w:szCs w:val="18"/>
        </w:rPr>
        <w:t xml:space="preserve"> </w:t>
      </w:r>
      <w:hyperlink r:id="rId98" w:history="1">
        <w:r w:rsidRPr="003C3404">
          <w:rPr>
            <w:rStyle w:val="Hyperlink"/>
            <w:sz w:val="18"/>
            <w:szCs w:val="18"/>
          </w:rPr>
          <w:t>https://www.ite.gov.rs/tekst/sr/82/evrtic.php</w:t>
        </w:r>
      </w:hyperlink>
      <w:r w:rsidRPr="003C3404">
        <w:rPr>
          <w:sz w:val="18"/>
          <w:szCs w:val="18"/>
        </w:rPr>
        <w:t xml:space="preserve"> </w:t>
      </w:r>
      <w:r w:rsidRPr="003C3404">
        <w:rPr>
          <w:sz w:val="18"/>
          <w:szCs w:val="18"/>
          <w:lang w:val="sr-Cyrl-RS"/>
        </w:rPr>
        <w:t xml:space="preserve"> </w:t>
      </w:r>
      <w:hyperlink r:id="rId99" w:history="1">
        <w:r w:rsidRPr="003C3404">
          <w:rPr>
            <w:rStyle w:val="Hyperlink"/>
            <w:sz w:val="18"/>
            <w:szCs w:val="18"/>
            <w:lang w:val="sr-Cyrl-RS"/>
          </w:rPr>
          <w:t>http://mduls.gov.rs/reforma-javne-uprave-u-srbiji/aktuelnosti/prijavite-dete-za-vrtic-pomocu-elektronske-usluge-e-vrtic/?script=lat</w:t>
        </w:r>
      </w:hyperlink>
      <w:r w:rsidRPr="003C3404">
        <w:rPr>
          <w:sz w:val="18"/>
          <w:szCs w:val="18"/>
          <w:lang w:val="sr-Cyrl-RS"/>
        </w:rPr>
        <w:t xml:space="preserve"> </w:t>
      </w:r>
    </w:p>
  </w:footnote>
  <w:footnote w:id="176">
    <w:p w14:paraId="78D011FC" w14:textId="77777777"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rPr>
        <w:t xml:space="preserve"> Република Србија је међу ретким земљама света које на овако високом нивоу пружају ову врсту е-услуге, а сервис обухвата и подношење захтева за родитељски додатак „на клик</w:t>
      </w:r>
      <w:r w:rsidRPr="003C3404">
        <w:rPr>
          <w:sz w:val="18"/>
          <w:szCs w:val="18"/>
          <w:lang w:val="sr-Cyrl-RS"/>
        </w:rPr>
        <w:t>”</w:t>
      </w:r>
      <w:r w:rsidRPr="003C3404">
        <w:rPr>
          <w:sz w:val="18"/>
          <w:szCs w:val="18"/>
        </w:rPr>
        <w:t xml:space="preserve">: </w:t>
      </w:r>
      <w:hyperlink r:id="rId100" w:history="1">
        <w:r w:rsidRPr="003C3404">
          <w:rPr>
            <w:rStyle w:val="Hyperlink"/>
            <w:sz w:val="18"/>
            <w:szCs w:val="18"/>
          </w:rPr>
          <w:t>https://www.ite.gov.rs/tekst/81/bebo-dobro-dosla-na-svet.php</w:t>
        </w:r>
      </w:hyperlink>
      <w:r w:rsidRPr="003C3404">
        <w:rPr>
          <w:sz w:val="18"/>
          <w:szCs w:val="18"/>
        </w:rPr>
        <w:t xml:space="preserve">, а услуга је доступна на линку: </w:t>
      </w:r>
      <w:hyperlink r:id="rId101" w:history="1">
        <w:r w:rsidRPr="003C3404">
          <w:rPr>
            <w:rStyle w:val="Hyperlink"/>
            <w:sz w:val="18"/>
            <w:szCs w:val="18"/>
          </w:rPr>
          <w:t>https://euprava.gov.rs/usluge/5184</w:t>
        </w:r>
      </w:hyperlink>
    </w:p>
  </w:footnote>
  <w:footnote w:id="177">
    <w:p w14:paraId="614EF64B" w14:textId="77777777"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lang w:val="sr-Cyrl-RS"/>
        </w:rPr>
        <w:t>П</w:t>
      </w:r>
      <w:r w:rsidRPr="003C3404">
        <w:rPr>
          <w:sz w:val="18"/>
          <w:szCs w:val="18"/>
        </w:rPr>
        <w:t>одатак пеузет 14. август</w:t>
      </w:r>
      <w:r w:rsidRPr="003C3404">
        <w:rPr>
          <w:sz w:val="18"/>
          <w:szCs w:val="18"/>
          <w:lang w:val="sr-Cyrl-RS"/>
        </w:rPr>
        <w:t>а</w:t>
      </w:r>
      <w:r w:rsidRPr="003C3404">
        <w:rPr>
          <w:sz w:val="18"/>
          <w:szCs w:val="18"/>
        </w:rPr>
        <w:t xml:space="preserve"> 2020</w:t>
      </w:r>
      <w:r w:rsidRPr="003C3404">
        <w:rPr>
          <w:sz w:val="18"/>
          <w:szCs w:val="18"/>
          <w:lang w:val="sr-Cyrl-RS"/>
        </w:rPr>
        <w:t xml:space="preserve">. </w:t>
      </w:r>
      <w:r w:rsidRPr="003C3404">
        <w:rPr>
          <w:sz w:val="18"/>
          <w:szCs w:val="18"/>
        </w:rPr>
        <w:t xml:space="preserve">са Портала електронске управе: </w:t>
      </w:r>
      <w:hyperlink r:id="rId102" w:history="1">
        <w:r w:rsidRPr="003C3404">
          <w:rPr>
            <w:rStyle w:val="Hyperlink"/>
            <w:sz w:val="18"/>
            <w:szCs w:val="18"/>
          </w:rPr>
          <w:t>https://euprava.gov.rs/</w:t>
        </w:r>
      </w:hyperlink>
      <w:r w:rsidRPr="003C3404">
        <w:rPr>
          <w:sz w:val="18"/>
          <w:szCs w:val="18"/>
        </w:rPr>
        <w:t xml:space="preserve"> </w:t>
      </w:r>
    </w:p>
  </w:footnote>
  <w:footnote w:id="178">
    <w:p w14:paraId="2D4B7DEE" w14:textId="77777777" w:rsidR="00876FFE" w:rsidRPr="003C3404" w:rsidRDefault="00876FFE" w:rsidP="003D38D9">
      <w:pPr>
        <w:pStyle w:val="FootnoteText"/>
        <w:rPr>
          <w:sz w:val="18"/>
          <w:szCs w:val="18"/>
          <w:shd w:val="clear" w:color="auto" w:fill="FFFFFF"/>
        </w:rPr>
      </w:pPr>
      <w:r w:rsidRPr="003C3404">
        <w:rPr>
          <w:rStyle w:val="FootnoteReference"/>
          <w:sz w:val="18"/>
          <w:szCs w:val="18"/>
        </w:rPr>
        <w:footnoteRef/>
      </w:r>
      <w:r w:rsidRPr="003C3404">
        <w:rPr>
          <w:sz w:val="18"/>
          <w:szCs w:val="18"/>
        </w:rPr>
        <w:t>СКИП центар је почео са радом 20. децембра 2017. године на основу</w:t>
      </w:r>
      <w:r w:rsidRPr="003C3404">
        <w:rPr>
          <w:b/>
          <w:sz w:val="18"/>
          <w:szCs w:val="18"/>
        </w:rPr>
        <w:t xml:space="preserve"> „</w:t>
      </w:r>
      <w:r w:rsidRPr="003C3404">
        <w:rPr>
          <w:sz w:val="18"/>
          <w:szCs w:val="18"/>
          <w:shd w:val="clear" w:color="auto" w:fill="FFFFFF"/>
        </w:rPr>
        <w:t>Меморандума о међусобној сарадњи и разумевању у области информационо-комуникационих технологија</w:t>
      </w:r>
      <w:r w:rsidRPr="003C3404">
        <w:rPr>
          <w:sz w:val="18"/>
          <w:szCs w:val="18"/>
          <w:shd w:val="clear" w:color="auto" w:fill="FFFFFF"/>
          <w:lang w:val="sr-Cyrl-RS"/>
        </w:rPr>
        <w:t>”,</w:t>
      </w:r>
      <w:r w:rsidRPr="003C3404">
        <w:rPr>
          <w:sz w:val="18"/>
          <w:szCs w:val="18"/>
          <w:shd w:val="clear" w:color="auto" w:fill="FFFFFF"/>
        </w:rPr>
        <w:t xml:space="preserve"> који су потписали Министарство државне управе и локалне самоуправе и Национална агенција за информационо друштво Републике Кореје. </w:t>
      </w:r>
      <w:r w:rsidRPr="003C3404">
        <w:rPr>
          <w:rFonts w:eastAsia="Calibri"/>
          <w:sz w:val="18"/>
          <w:szCs w:val="18"/>
        </w:rPr>
        <w:t>Министарство је обезбедило простор за рад СКИП центра, а Влада Р</w:t>
      </w:r>
      <w:r w:rsidRPr="003C3404">
        <w:rPr>
          <w:rFonts w:eastAsia="Calibri"/>
          <w:sz w:val="18"/>
          <w:szCs w:val="18"/>
          <w:lang w:val="sr-Cyrl-RS"/>
        </w:rPr>
        <w:t xml:space="preserve">епублике </w:t>
      </w:r>
      <w:r w:rsidRPr="003C3404">
        <w:rPr>
          <w:rFonts w:eastAsia="Calibri"/>
          <w:sz w:val="18"/>
          <w:szCs w:val="18"/>
        </w:rPr>
        <w:t>К</w:t>
      </w:r>
      <w:r w:rsidRPr="003C3404">
        <w:rPr>
          <w:rFonts w:eastAsia="Calibri"/>
          <w:sz w:val="18"/>
          <w:szCs w:val="18"/>
          <w:lang w:val="sr-Cyrl-RS"/>
        </w:rPr>
        <w:t>ореје</w:t>
      </w:r>
      <w:r w:rsidRPr="003C3404">
        <w:rPr>
          <w:rFonts w:eastAsia="Calibri"/>
          <w:sz w:val="18"/>
          <w:szCs w:val="18"/>
        </w:rPr>
        <w:t xml:space="preserve"> </w:t>
      </w:r>
      <w:r w:rsidRPr="003C3404">
        <w:rPr>
          <w:rFonts w:eastAsia="Calibri"/>
          <w:sz w:val="18"/>
          <w:szCs w:val="18"/>
          <w:lang w:val="sr-Cyrl-RS"/>
        </w:rPr>
        <w:t xml:space="preserve">је </w:t>
      </w:r>
      <w:r w:rsidRPr="003C3404">
        <w:rPr>
          <w:rFonts w:eastAsia="Calibri"/>
          <w:sz w:val="18"/>
          <w:szCs w:val="18"/>
        </w:rPr>
        <w:t xml:space="preserve">уложила 250.000 евра у набавку најсавременијих уређаја. </w:t>
      </w:r>
      <w:r w:rsidRPr="003C3404">
        <w:rPr>
          <w:sz w:val="18"/>
          <w:szCs w:val="18"/>
          <w:shd w:val="clear" w:color="auto" w:fill="FFFFFF"/>
        </w:rPr>
        <w:t xml:space="preserve">СКИП центар је високотехнолошки опремљен простор који се састоји од неколико ИТ учионица са </w:t>
      </w:r>
      <w:r w:rsidRPr="003C3404">
        <w:rPr>
          <w:i/>
          <w:sz w:val="18"/>
          <w:szCs w:val="18"/>
          <w:shd w:val="clear" w:color="auto" w:fill="FFFFFF"/>
        </w:rPr>
        <w:t>SMART</w:t>
      </w:r>
      <w:r w:rsidRPr="003C3404">
        <w:rPr>
          <w:sz w:val="18"/>
          <w:szCs w:val="18"/>
          <w:shd w:val="clear" w:color="auto" w:fill="FFFFFF"/>
        </w:rPr>
        <w:t xml:space="preserve"> подијумима за интерактивну наставу. Простор је намењен одржавању обука за грађане и државне службенике у домену примене ИКТ и рада у најновијим дигиталним платформама и информационим системима. </w:t>
      </w:r>
      <w:hyperlink r:id="rId103" w:history="1">
        <w:r w:rsidRPr="003C3404">
          <w:rPr>
            <w:rStyle w:val="Hyperlink"/>
            <w:sz w:val="18"/>
            <w:szCs w:val="18"/>
          </w:rPr>
          <w:t>http://skipcentar.rs/sr_RS/prostor/?script=lat</w:t>
        </w:r>
      </w:hyperlink>
      <w:r w:rsidRPr="003C3404">
        <w:rPr>
          <w:rStyle w:val="Hyperlink"/>
          <w:sz w:val="18"/>
          <w:szCs w:val="18"/>
        </w:rPr>
        <w:t xml:space="preserve"> </w:t>
      </w:r>
    </w:p>
  </w:footnote>
  <w:footnote w:id="179">
    <w:p w14:paraId="442ACF67" w14:textId="77777777"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Више о томе </w:t>
      </w:r>
      <w:hyperlink r:id="rId104" w:history="1">
        <w:r w:rsidRPr="003C3404">
          <w:rPr>
            <w:rStyle w:val="Hyperlink"/>
            <w:sz w:val="18"/>
            <w:szCs w:val="18"/>
          </w:rPr>
          <w:t>http://mduls.gov.rs/saopstenja/dve-godine-rada-skip-centra-preko-1-000-obuka-za-27-000-polaznika/?script=lat</w:t>
        </w:r>
      </w:hyperlink>
      <w:r w:rsidRPr="003C3404">
        <w:rPr>
          <w:sz w:val="18"/>
          <w:szCs w:val="18"/>
          <w:lang w:val="sr-Cyrl-RS"/>
        </w:rPr>
        <w:t xml:space="preserve"> </w:t>
      </w:r>
    </w:p>
  </w:footnote>
  <w:footnote w:id="180">
    <w:p w14:paraId="3963883F" w14:textId="77777777" w:rsidR="00876FFE" w:rsidRPr="003C3404" w:rsidRDefault="00876FFE" w:rsidP="003D38D9">
      <w:pPr>
        <w:pStyle w:val="FootnoteText"/>
        <w:rPr>
          <w:sz w:val="18"/>
          <w:szCs w:val="18"/>
        </w:rPr>
      </w:pPr>
      <w:r w:rsidRPr="003C3404">
        <w:rPr>
          <w:rStyle w:val="FootnoteReference"/>
          <w:sz w:val="18"/>
          <w:szCs w:val="18"/>
        </w:rPr>
        <w:footnoteRef/>
      </w:r>
      <w:r w:rsidRPr="003C3404">
        <w:rPr>
          <w:sz w:val="18"/>
          <w:szCs w:val="18"/>
        </w:rPr>
        <w:t xml:space="preserve">Дата центар је пројектован по највишим техничким стандардима и моћи ће да испуни највиши стандард поузданости </w:t>
      </w:r>
      <w:r w:rsidRPr="003C3404">
        <w:rPr>
          <w:i/>
          <w:sz w:val="18"/>
          <w:szCs w:val="18"/>
        </w:rPr>
        <w:t>Tier-4</w:t>
      </w:r>
      <w:r w:rsidRPr="003C3404">
        <w:rPr>
          <w:sz w:val="18"/>
          <w:szCs w:val="18"/>
        </w:rPr>
        <w:t xml:space="preserve">. Подаци доступни на </w:t>
      </w:r>
      <w:hyperlink r:id="rId105" w:history="1">
        <w:r w:rsidRPr="003C3404">
          <w:rPr>
            <w:rStyle w:val="Hyperlink"/>
            <w:sz w:val="18"/>
            <w:szCs w:val="18"/>
            <w:lang w:val="sr-Cyrl-RS"/>
          </w:rPr>
          <w:t>https://www.ite.gov.rs/tekst/114/izgradnja-data-centra-u-kragujevcu.php</w:t>
        </w:r>
      </w:hyperlink>
    </w:p>
  </w:footnote>
  <w:footnote w:id="181">
    <w:p w14:paraId="3A6EACF5" w14:textId="77777777" w:rsidR="00876FFE" w:rsidRPr="003C3404" w:rsidRDefault="00876FFE" w:rsidP="003D38D9">
      <w:pPr>
        <w:pStyle w:val="FootnoteText"/>
        <w:rPr>
          <w:sz w:val="18"/>
          <w:szCs w:val="18"/>
          <w:lang w:val="sr-Cyrl-RS"/>
        </w:rPr>
      </w:pPr>
      <w:r w:rsidRPr="003C3404">
        <w:rPr>
          <w:rStyle w:val="FootnoteReference"/>
          <w:sz w:val="18"/>
          <w:szCs w:val="18"/>
        </w:rPr>
        <w:footnoteRef/>
      </w:r>
      <w:r w:rsidRPr="003C3404">
        <w:rPr>
          <w:sz w:val="18"/>
          <w:szCs w:val="18"/>
        </w:rPr>
        <w:t xml:space="preserve"> Податак </w:t>
      </w:r>
      <w:r w:rsidRPr="003C3404">
        <w:rPr>
          <w:sz w:val="18"/>
          <w:szCs w:val="18"/>
          <w:lang w:val="sr-Cyrl-RS"/>
        </w:rPr>
        <w:t xml:space="preserve">који је </w:t>
      </w:r>
      <w:r w:rsidRPr="003C3404">
        <w:rPr>
          <w:sz w:val="18"/>
          <w:szCs w:val="18"/>
        </w:rPr>
        <w:t>достав</w:t>
      </w:r>
      <w:r w:rsidRPr="003C3404">
        <w:rPr>
          <w:sz w:val="18"/>
          <w:szCs w:val="18"/>
          <w:lang w:val="sr-Cyrl-RS"/>
        </w:rPr>
        <w:t>ила</w:t>
      </w:r>
      <w:r w:rsidRPr="003C3404">
        <w:rPr>
          <w:sz w:val="18"/>
          <w:szCs w:val="18"/>
        </w:rPr>
        <w:t xml:space="preserve"> </w:t>
      </w:r>
      <w:r w:rsidRPr="003C3404">
        <w:rPr>
          <w:sz w:val="18"/>
          <w:szCs w:val="18"/>
          <w:lang w:val="sr-Cyrl-RS"/>
        </w:rPr>
        <w:t>КИТЕУ,</w:t>
      </w:r>
      <w:r w:rsidRPr="003C3404">
        <w:rPr>
          <w:sz w:val="18"/>
          <w:szCs w:val="18"/>
        </w:rPr>
        <w:t xml:space="preserve"> која управља информационим системом за размену података</w:t>
      </w:r>
      <w:r w:rsidRPr="003C3404">
        <w:rPr>
          <w:sz w:val="18"/>
          <w:szCs w:val="18"/>
          <w:lang w:val="sr-Cyrl-RS"/>
        </w:rPr>
        <w:t>.</w:t>
      </w:r>
    </w:p>
  </w:footnote>
  <w:footnote w:id="182">
    <w:p w14:paraId="0CB043D9" w14:textId="77777777" w:rsidR="00876FFE" w:rsidRPr="003C3404" w:rsidRDefault="00876FFE" w:rsidP="003D38D9">
      <w:pPr>
        <w:pStyle w:val="FootnoteText"/>
        <w:rPr>
          <w:sz w:val="18"/>
          <w:szCs w:val="18"/>
          <w:lang w:val="sr-Latn-RS"/>
        </w:rPr>
      </w:pPr>
      <w:r w:rsidRPr="003C3404">
        <w:rPr>
          <w:rStyle w:val="FootnoteReference"/>
          <w:rFonts w:eastAsiaTheme="majorEastAsia"/>
          <w:sz w:val="18"/>
          <w:szCs w:val="18"/>
        </w:rPr>
        <w:footnoteRef/>
      </w:r>
      <w:r w:rsidRPr="003C3404">
        <w:rPr>
          <w:sz w:val="18"/>
          <w:szCs w:val="18"/>
        </w:rPr>
        <w:t xml:space="preserve"> На порталу Отворени подаци </w:t>
      </w:r>
      <w:r w:rsidRPr="003C3404">
        <w:rPr>
          <w:sz w:val="18"/>
          <w:szCs w:val="18"/>
          <w:lang w:val="sr-Cyrl-RS"/>
        </w:rPr>
        <w:t>су,</w:t>
      </w:r>
      <w:r w:rsidRPr="003C3404">
        <w:rPr>
          <w:sz w:val="18"/>
          <w:szCs w:val="18"/>
        </w:rPr>
        <w:t xml:space="preserve"> према последњим подацима</w:t>
      </w:r>
      <w:r w:rsidRPr="003C3404">
        <w:rPr>
          <w:sz w:val="18"/>
          <w:szCs w:val="18"/>
          <w:lang w:val="sr-Cyrl-RS"/>
        </w:rPr>
        <w:t>,</w:t>
      </w:r>
      <w:r w:rsidRPr="003C3404">
        <w:rPr>
          <w:sz w:val="18"/>
          <w:szCs w:val="18"/>
        </w:rPr>
        <w:t xml:space="preserve"> доступн</w:t>
      </w:r>
      <w:r w:rsidRPr="003C3404">
        <w:rPr>
          <w:sz w:val="18"/>
          <w:szCs w:val="18"/>
          <w:lang w:val="sr-Cyrl-RS"/>
        </w:rPr>
        <w:t>а</w:t>
      </w:r>
      <w:r w:rsidRPr="003C3404">
        <w:rPr>
          <w:sz w:val="18"/>
          <w:szCs w:val="18"/>
        </w:rPr>
        <w:t xml:space="preserve"> 363 сета података у 25 категорија (21. март 2020). У мерењу </w:t>
      </w:r>
      <w:r w:rsidRPr="003C3404">
        <w:rPr>
          <w:i/>
          <w:sz w:val="18"/>
          <w:szCs w:val="18"/>
        </w:rPr>
        <w:t>Global Open Data Index</w:t>
      </w:r>
      <w:r w:rsidRPr="003C3404">
        <w:rPr>
          <w:sz w:val="18"/>
          <w:szCs w:val="18"/>
        </w:rPr>
        <w:t xml:space="preserve"> за 2016/2017, </w:t>
      </w:r>
      <w:r w:rsidRPr="003C3404">
        <w:rPr>
          <w:sz w:val="18"/>
          <w:szCs w:val="18"/>
          <w:lang w:val="sr-Cyrl-RS"/>
        </w:rPr>
        <w:t xml:space="preserve">Република </w:t>
      </w:r>
      <w:r w:rsidRPr="003C3404">
        <w:rPr>
          <w:sz w:val="18"/>
          <w:szCs w:val="18"/>
        </w:rPr>
        <w:t>Србија има скор 41% од могућих 100% и дели 41. место са Израелом на листи од 94 земљ</w:t>
      </w:r>
      <w:r w:rsidRPr="003C3404">
        <w:rPr>
          <w:sz w:val="18"/>
          <w:szCs w:val="18"/>
          <w:lang w:val="sr-Cyrl-RS"/>
        </w:rPr>
        <w:t xml:space="preserve">е, </w:t>
      </w:r>
      <w:r w:rsidRPr="003C3404">
        <w:rPr>
          <w:sz w:val="18"/>
          <w:szCs w:val="18"/>
        </w:rPr>
        <w:t xml:space="preserve">2014. године </w:t>
      </w:r>
      <w:r w:rsidRPr="003C3404">
        <w:rPr>
          <w:sz w:val="18"/>
          <w:szCs w:val="18"/>
          <w:lang w:val="sr-Cyrl-RS"/>
        </w:rPr>
        <w:t xml:space="preserve">Република </w:t>
      </w:r>
      <w:r w:rsidRPr="003C3404">
        <w:rPr>
          <w:sz w:val="18"/>
          <w:szCs w:val="18"/>
        </w:rPr>
        <w:t>Србија је била на 48. месту са скором 42%.</w:t>
      </w:r>
    </w:p>
  </w:footnote>
  <w:footnote w:id="183">
    <w:p w14:paraId="6127900E" w14:textId="77777777" w:rsidR="00876FFE" w:rsidRPr="003C3404" w:rsidRDefault="00876FFE" w:rsidP="003D38D9">
      <w:pPr>
        <w:pStyle w:val="FootnoteText"/>
        <w:rPr>
          <w:rStyle w:val="Hyperlink"/>
          <w:sz w:val="18"/>
          <w:szCs w:val="18"/>
          <w:lang w:val="sr-Cyrl-RS"/>
        </w:rPr>
      </w:pPr>
      <w:r w:rsidRPr="003C3404">
        <w:rPr>
          <w:sz w:val="18"/>
          <w:szCs w:val="18"/>
          <w:vertAlign w:val="superscript"/>
        </w:rPr>
        <w:footnoteRef/>
      </w:r>
      <w:r w:rsidRPr="003C3404">
        <w:rPr>
          <w:sz w:val="18"/>
          <w:szCs w:val="18"/>
        </w:rPr>
        <w:t xml:space="preserve"> Портал отворених података: </w:t>
      </w:r>
      <w:hyperlink r:id="rId106" w:history="1">
        <w:r w:rsidRPr="003C3404">
          <w:rPr>
            <w:rStyle w:val="Hyperlink"/>
            <w:sz w:val="18"/>
            <w:szCs w:val="18"/>
            <w:lang w:val="sr-Cyrl-RS"/>
          </w:rPr>
          <w:t>https://data.gov.rs/sr/reuses/?page=1</w:t>
        </w:r>
      </w:hyperlink>
      <w:r w:rsidRPr="003C3404">
        <w:rPr>
          <w:rStyle w:val="Hyperlink"/>
          <w:sz w:val="18"/>
          <w:szCs w:val="18"/>
          <w:lang w:val="sr-Cyrl-RS"/>
        </w:rPr>
        <w:t xml:space="preserve"> .</w:t>
      </w:r>
    </w:p>
    <w:p w14:paraId="45CE5A14" w14:textId="77777777" w:rsidR="00876FFE" w:rsidRPr="003C3404" w:rsidRDefault="00876FFE" w:rsidP="003D38D9">
      <w:pPr>
        <w:pStyle w:val="FootnoteText"/>
        <w:rPr>
          <w:sz w:val="18"/>
          <w:szCs w:val="18"/>
        </w:rPr>
      </w:pPr>
      <w:r w:rsidRPr="003C3404">
        <w:rPr>
          <w:sz w:val="18"/>
          <w:szCs w:val="18"/>
          <w:lang w:val="sr-Cyrl-RS"/>
        </w:rPr>
        <w:t>С</w:t>
      </w:r>
      <w:r w:rsidRPr="003C3404">
        <w:rPr>
          <w:sz w:val="18"/>
          <w:szCs w:val="18"/>
        </w:rPr>
        <w:t xml:space="preserve">тудија консултантске куће </w:t>
      </w:r>
      <w:r w:rsidRPr="003C3404">
        <w:rPr>
          <w:i/>
          <w:sz w:val="18"/>
          <w:szCs w:val="18"/>
        </w:rPr>
        <w:t>McKinsey</w:t>
      </w:r>
      <w:r w:rsidRPr="003C3404">
        <w:rPr>
          <w:sz w:val="18"/>
          <w:szCs w:val="18"/>
        </w:rPr>
        <w:t xml:space="preserve"> (2018 Smart Cities: Digital Solutions For A More Livable Future) говори да </w:t>
      </w:r>
      <w:r w:rsidRPr="003C3404">
        <w:rPr>
          <w:sz w:val="18"/>
          <w:szCs w:val="18"/>
          <w:lang w:val="sr-Cyrl-RS"/>
        </w:rPr>
        <w:t xml:space="preserve">када се у јавној управи </w:t>
      </w:r>
      <w:r w:rsidRPr="003C3404">
        <w:rPr>
          <w:sz w:val="18"/>
          <w:szCs w:val="18"/>
        </w:rPr>
        <w:t>употреб</w:t>
      </w:r>
      <w:r w:rsidRPr="003C3404">
        <w:rPr>
          <w:sz w:val="18"/>
          <w:szCs w:val="18"/>
          <w:lang w:val="sr-Cyrl-RS"/>
        </w:rPr>
        <w:t xml:space="preserve">љавају </w:t>
      </w:r>
      <w:r w:rsidRPr="003C3404">
        <w:rPr>
          <w:sz w:val="18"/>
          <w:szCs w:val="18"/>
        </w:rPr>
        <w:t>отворени подата</w:t>
      </w:r>
      <w:r w:rsidRPr="003C3404">
        <w:rPr>
          <w:sz w:val="18"/>
          <w:szCs w:val="18"/>
          <w:lang w:val="sr-Cyrl-RS"/>
        </w:rPr>
        <w:t>ци</w:t>
      </w:r>
      <w:r w:rsidRPr="003C3404">
        <w:rPr>
          <w:sz w:val="18"/>
          <w:szCs w:val="18"/>
        </w:rPr>
        <w:t xml:space="preserve">, као </w:t>
      </w:r>
      <w:r w:rsidRPr="003C3404">
        <w:rPr>
          <w:sz w:val="18"/>
          <w:szCs w:val="18"/>
          <w:lang w:val="sr-Cyrl-RS"/>
        </w:rPr>
        <w:t xml:space="preserve">најважнији </w:t>
      </w:r>
      <w:r w:rsidRPr="003C3404">
        <w:rPr>
          <w:sz w:val="18"/>
          <w:szCs w:val="18"/>
        </w:rPr>
        <w:t>технолошк</w:t>
      </w:r>
      <w:r w:rsidRPr="003C3404">
        <w:rPr>
          <w:sz w:val="18"/>
          <w:szCs w:val="18"/>
          <w:lang w:val="sr-Cyrl-RS"/>
        </w:rPr>
        <w:t>и</w:t>
      </w:r>
      <w:r w:rsidRPr="003C3404">
        <w:rPr>
          <w:sz w:val="18"/>
          <w:szCs w:val="18"/>
        </w:rPr>
        <w:t xml:space="preserve"> ресурс за паметне градове, градов</w:t>
      </w:r>
      <w:r w:rsidRPr="003C3404">
        <w:rPr>
          <w:sz w:val="18"/>
          <w:szCs w:val="18"/>
          <w:lang w:val="sr-Cyrl-RS"/>
        </w:rPr>
        <w:t>и боље функционишу у више област</w:t>
      </w:r>
      <w:r w:rsidRPr="003C3404">
        <w:rPr>
          <w:sz w:val="18"/>
          <w:szCs w:val="18"/>
        </w:rPr>
        <w:t>: смањ</w:t>
      </w:r>
      <w:r w:rsidRPr="003C3404">
        <w:rPr>
          <w:sz w:val="18"/>
          <w:szCs w:val="18"/>
          <w:lang w:val="sr-Cyrl-RS"/>
        </w:rPr>
        <w:t>ује се</w:t>
      </w:r>
      <w:r w:rsidRPr="003C3404">
        <w:rPr>
          <w:sz w:val="18"/>
          <w:szCs w:val="18"/>
        </w:rPr>
        <w:t xml:space="preserve"> загађеност ваздуха за 10</w:t>
      </w:r>
      <w:r w:rsidRPr="003C3404">
        <w:rPr>
          <w:sz w:val="18"/>
          <w:szCs w:val="18"/>
          <w:lang w:val="sr-Cyrl-RS"/>
        </w:rPr>
        <w:t>−</w:t>
      </w:r>
      <w:r w:rsidRPr="003C3404">
        <w:rPr>
          <w:sz w:val="18"/>
          <w:szCs w:val="18"/>
        </w:rPr>
        <w:t>15% због боље организованог саобраћаја, смањ</w:t>
      </w:r>
      <w:r w:rsidRPr="003C3404">
        <w:rPr>
          <w:sz w:val="18"/>
          <w:szCs w:val="18"/>
          <w:lang w:val="sr-Cyrl-RS"/>
        </w:rPr>
        <w:t xml:space="preserve">ује се </w:t>
      </w:r>
      <w:r w:rsidRPr="003C3404">
        <w:rPr>
          <w:sz w:val="18"/>
          <w:szCs w:val="18"/>
        </w:rPr>
        <w:t>број самоубистава, саобраћајних гужви и пожара за 8</w:t>
      </w:r>
      <w:r w:rsidRPr="003C3404">
        <w:rPr>
          <w:sz w:val="18"/>
          <w:szCs w:val="18"/>
          <w:lang w:val="sr-Cyrl-RS"/>
        </w:rPr>
        <w:t>−</w:t>
      </w:r>
      <w:r w:rsidRPr="003C3404">
        <w:rPr>
          <w:sz w:val="18"/>
          <w:szCs w:val="18"/>
        </w:rPr>
        <w:t>10%, смањ</w:t>
      </w:r>
      <w:r w:rsidRPr="003C3404">
        <w:rPr>
          <w:sz w:val="18"/>
          <w:szCs w:val="18"/>
          <w:lang w:val="sr-Cyrl-RS"/>
        </w:rPr>
        <w:t xml:space="preserve">ују се животни трошкови </w:t>
      </w:r>
      <w:r w:rsidRPr="003C3404">
        <w:rPr>
          <w:sz w:val="18"/>
          <w:szCs w:val="18"/>
        </w:rPr>
        <w:t>за 1</w:t>
      </w:r>
      <w:r w:rsidRPr="003C3404">
        <w:rPr>
          <w:sz w:val="18"/>
          <w:szCs w:val="18"/>
          <w:lang w:val="sr-Cyrl-RS"/>
        </w:rPr>
        <w:t>−</w:t>
      </w:r>
      <w:r w:rsidRPr="003C3404">
        <w:rPr>
          <w:sz w:val="18"/>
          <w:szCs w:val="18"/>
        </w:rPr>
        <w:t>3% итд.</w:t>
      </w:r>
    </w:p>
  </w:footnote>
  <w:footnote w:id="184">
    <w:p w14:paraId="186287CF" w14:textId="2876B34F" w:rsidR="00876FFE" w:rsidRPr="003C3404" w:rsidRDefault="00876FFE" w:rsidP="003D38D9">
      <w:pPr>
        <w:pStyle w:val="FootnoteText"/>
        <w:rPr>
          <w:sz w:val="18"/>
          <w:szCs w:val="18"/>
          <w:lang w:val="sr-Cyrl-RS"/>
        </w:rPr>
      </w:pPr>
      <w:r w:rsidRPr="003C3404">
        <w:rPr>
          <w:rStyle w:val="FootnoteReference"/>
          <w:sz w:val="18"/>
          <w:szCs w:val="18"/>
        </w:rPr>
        <w:footnoteRef/>
      </w:r>
      <w:r w:rsidRPr="003C3404">
        <w:rPr>
          <w:sz w:val="18"/>
          <w:szCs w:val="18"/>
        </w:rPr>
        <w:t xml:space="preserve"> У складу са Стратегијом развоја вештачке интелигенције за период 2020</w:t>
      </w:r>
      <w:r w:rsidRPr="003C3404">
        <w:rPr>
          <w:sz w:val="18"/>
          <w:szCs w:val="18"/>
          <w:lang w:val="sr-Cyrl-RS"/>
        </w:rPr>
        <w:t>−</w:t>
      </w:r>
      <w:r w:rsidRPr="003C3404">
        <w:rPr>
          <w:sz w:val="18"/>
          <w:szCs w:val="18"/>
        </w:rPr>
        <w:t>2025.</w:t>
      </w:r>
      <w:r w:rsidRPr="003C3404">
        <w:rPr>
          <w:sz w:val="18"/>
          <w:szCs w:val="18"/>
          <w:lang w:val="sr-Cyrl-RS"/>
        </w:rPr>
        <w:t xml:space="preserve"> </w:t>
      </w:r>
      <w:r w:rsidRPr="003C3404">
        <w:rPr>
          <w:sz w:val="18"/>
          <w:szCs w:val="18"/>
        </w:rPr>
        <w:t>год</w:t>
      </w:r>
      <w:r w:rsidRPr="003C3404">
        <w:rPr>
          <w:sz w:val="18"/>
          <w:szCs w:val="18"/>
          <w:lang w:val="sr-Cyrl-RS"/>
        </w:rPr>
        <w:t>ине</w:t>
      </w:r>
    </w:p>
  </w:footnote>
  <w:footnote w:id="185">
    <w:p w14:paraId="7EDAD977" w14:textId="77777777" w:rsidR="00876FFE" w:rsidRPr="003C3404" w:rsidRDefault="00876FFE" w:rsidP="003D38D9">
      <w:pPr>
        <w:pStyle w:val="FootnoteText"/>
        <w:rPr>
          <w:sz w:val="18"/>
          <w:szCs w:val="18"/>
        </w:rPr>
      </w:pPr>
      <w:r w:rsidRPr="003C3404">
        <w:rPr>
          <w:rStyle w:val="FootnoteReference"/>
          <w:rFonts w:eastAsiaTheme="majorEastAsia"/>
          <w:sz w:val="18"/>
          <w:szCs w:val="18"/>
          <w:lang w:val="sr-Cyrl-RS"/>
        </w:rPr>
        <w:footnoteRef/>
      </w:r>
      <w:r w:rsidRPr="003C3404">
        <w:rPr>
          <w:sz w:val="18"/>
          <w:szCs w:val="18"/>
        </w:rPr>
        <w:t xml:space="preserve"> Према подацима достављеним од НАЈУ, у 2019. години (без децембра) реализована је 321 обука у области пружања услуга </w:t>
      </w:r>
      <w:r w:rsidRPr="003C3404">
        <w:rPr>
          <w:sz w:val="18"/>
          <w:szCs w:val="18"/>
          <w:lang w:val="sr-Cyrl-RS"/>
        </w:rPr>
        <w:t>з</w:t>
      </w:r>
      <w:r w:rsidRPr="003C3404">
        <w:rPr>
          <w:sz w:val="18"/>
          <w:szCs w:val="18"/>
        </w:rPr>
        <w:t>а 5.687 полазника, што је 65% обука више него 2018. године.</w:t>
      </w:r>
    </w:p>
  </w:footnote>
  <w:footnote w:id="186">
    <w:p w14:paraId="2CD5B945" w14:textId="77777777" w:rsidR="00876FFE" w:rsidRPr="003C3404" w:rsidRDefault="00876FFE" w:rsidP="003D38D9">
      <w:pPr>
        <w:pStyle w:val="FootnoteText"/>
        <w:rPr>
          <w:sz w:val="18"/>
          <w:szCs w:val="18"/>
        </w:rPr>
      </w:pPr>
      <w:r w:rsidRPr="003C3404">
        <w:rPr>
          <w:rStyle w:val="FootnoteReference"/>
          <w:rFonts w:eastAsiaTheme="majorEastAsia"/>
          <w:sz w:val="18"/>
          <w:szCs w:val="18"/>
        </w:rPr>
        <w:footnoteRef/>
      </w:r>
      <w:r w:rsidRPr="003C3404">
        <w:rPr>
          <w:sz w:val="18"/>
          <w:szCs w:val="18"/>
        </w:rPr>
        <w:t xml:space="preserve"> Нови Програм развоја електронске управе предвиђа инфраструктурне темеље за развој електронских услуга у земљи (набавка хардвера, развој дељених сервиса, развој електронске писарнице и архиве, успостављање Метарегистра и интероперабилности, итд.).</w:t>
      </w:r>
    </w:p>
  </w:footnote>
  <w:footnote w:id="187">
    <w:p w14:paraId="1E315C78" w14:textId="6377896C" w:rsidR="00876FFE" w:rsidRPr="003C3404" w:rsidRDefault="00876FFE" w:rsidP="003D38D9">
      <w:pPr>
        <w:pStyle w:val="FootnoteText"/>
        <w:rPr>
          <w:sz w:val="18"/>
          <w:szCs w:val="18"/>
        </w:rPr>
      </w:pPr>
      <w:r w:rsidRPr="003C3404">
        <w:rPr>
          <w:rStyle w:val="FootnoteReference"/>
          <w:rFonts w:eastAsiaTheme="majorEastAsia"/>
          <w:sz w:val="18"/>
          <w:szCs w:val="18"/>
        </w:rPr>
        <w:footnoteRef/>
      </w:r>
      <w:r w:rsidRPr="003C3404">
        <w:rPr>
          <w:sz w:val="18"/>
          <w:szCs w:val="18"/>
        </w:rPr>
        <w:t xml:space="preserve"> </w:t>
      </w:r>
      <w:bookmarkStart w:id="170" w:name="_Hlk57507245"/>
      <w:r w:rsidRPr="003C3404">
        <w:rPr>
          <w:sz w:val="18"/>
          <w:szCs w:val="18"/>
        </w:rPr>
        <w:t>Према Индексу е-управе УН-а</w:t>
      </w:r>
      <w:r>
        <w:rPr>
          <w:sz w:val="18"/>
          <w:szCs w:val="18"/>
        </w:rPr>
        <w:t xml:space="preserve"> </w:t>
      </w:r>
      <w:r w:rsidRPr="003C3404">
        <w:rPr>
          <w:sz w:val="18"/>
          <w:szCs w:val="18"/>
        </w:rPr>
        <w:t>(</w:t>
      </w:r>
      <w:r w:rsidRPr="003C3404">
        <w:rPr>
          <w:i/>
          <w:sz w:val="18"/>
          <w:szCs w:val="18"/>
          <w:lang w:val="sr-Latn-RS"/>
        </w:rPr>
        <w:t>e-Government Index</w:t>
      </w:r>
      <w:r w:rsidRPr="003C3404">
        <w:rPr>
          <w:sz w:val="18"/>
          <w:szCs w:val="18"/>
        </w:rPr>
        <w:t xml:space="preserve">), </w:t>
      </w:r>
      <w:r w:rsidRPr="00BF755C">
        <w:rPr>
          <w:sz w:val="18"/>
          <w:szCs w:val="18"/>
        </w:rPr>
        <w:t>из 2018</w:t>
      </w:r>
      <w:r>
        <w:rPr>
          <w:sz w:val="18"/>
          <w:szCs w:val="18"/>
          <w:lang w:val="sr-Cyrl-RS"/>
        </w:rPr>
        <w:t xml:space="preserve">, </w:t>
      </w:r>
      <w:r w:rsidRPr="003C3404">
        <w:rPr>
          <w:sz w:val="18"/>
          <w:szCs w:val="18"/>
          <w:lang w:val="sr-Cyrl-RS"/>
        </w:rPr>
        <w:t xml:space="preserve">Република </w:t>
      </w:r>
      <w:r w:rsidRPr="003C3404">
        <w:rPr>
          <w:sz w:val="18"/>
          <w:szCs w:val="18"/>
        </w:rPr>
        <w:t>Србија је у претходних пет година поправила свој положај померивши се са 69. на 49. место на листи од према развијености електронске управе, али и даље значајно заостаје за земљама са европског континента</w:t>
      </w:r>
      <w:bookmarkEnd w:id="170"/>
      <w:r w:rsidRPr="003C3404">
        <w:rPr>
          <w:sz w:val="18"/>
          <w:szCs w:val="18"/>
        </w:rPr>
        <w:t>.</w:t>
      </w:r>
    </w:p>
  </w:footnote>
  <w:footnote w:id="188">
    <w:p w14:paraId="083654B0" w14:textId="77777777" w:rsidR="00876FFE" w:rsidRPr="003C3404" w:rsidRDefault="00876FFE" w:rsidP="00956E14">
      <w:pPr>
        <w:pStyle w:val="FootnoteText"/>
        <w:rPr>
          <w:sz w:val="18"/>
          <w:szCs w:val="18"/>
        </w:rPr>
      </w:pPr>
      <w:r w:rsidRPr="003C3404">
        <w:rPr>
          <w:rStyle w:val="FootnoteReference"/>
          <w:rFonts w:eastAsiaTheme="majorEastAsia"/>
          <w:sz w:val="18"/>
          <w:szCs w:val="18"/>
        </w:rPr>
        <w:footnoteRef/>
      </w:r>
      <w:r w:rsidRPr="003C3404">
        <w:rPr>
          <w:sz w:val="18"/>
          <w:szCs w:val="18"/>
        </w:rPr>
        <w:t xml:space="preserve"> Периодично се мер</w:t>
      </w:r>
      <w:r w:rsidRPr="003C3404">
        <w:rPr>
          <w:sz w:val="18"/>
          <w:szCs w:val="18"/>
          <w:lang w:val="sr-Cyrl-RS"/>
        </w:rPr>
        <w:t>и</w:t>
      </w:r>
      <w:r w:rsidRPr="003C3404">
        <w:rPr>
          <w:sz w:val="18"/>
          <w:szCs w:val="18"/>
        </w:rPr>
        <w:t xml:space="preserve"> задовољств</w:t>
      </w:r>
      <w:r w:rsidRPr="003C3404">
        <w:rPr>
          <w:sz w:val="18"/>
          <w:szCs w:val="18"/>
          <w:lang w:val="sr-Cyrl-RS"/>
        </w:rPr>
        <w:t>о</w:t>
      </w:r>
      <w:r w:rsidRPr="003C3404">
        <w:rPr>
          <w:sz w:val="18"/>
          <w:szCs w:val="18"/>
        </w:rPr>
        <w:t xml:space="preserve"> корисника радом јавне управе, која су претходно цитирана, али не постоји систематично, редовно праћење задовољства корисника које би послужило као информациона основа за оцену тренутног стања у области пружања услуга, развој нових и унапређење постојећих услуга, као и рада јавне управе, као што је то случај у другим земљама.</w:t>
      </w:r>
    </w:p>
  </w:footnote>
  <w:footnote w:id="189">
    <w:p w14:paraId="275BA3DA" w14:textId="77777777" w:rsidR="00876FFE" w:rsidRPr="003C3404" w:rsidRDefault="00876FFE" w:rsidP="00956E14">
      <w:pPr>
        <w:pStyle w:val="FootnoteText"/>
        <w:rPr>
          <w:sz w:val="18"/>
          <w:szCs w:val="18"/>
        </w:rPr>
      </w:pPr>
      <w:r w:rsidRPr="003C3404">
        <w:rPr>
          <w:rStyle w:val="FootnoteReference"/>
          <w:rFonts w:eastAsiaTheme="majorEastAsia"/>
          <w:sz w:val="18"/>
          <w:szCs w:val="18"/>
        </w:rPr>
        <w:footnoteRef/>
      </w:r>
      <w:r w:rsidRPr="003C3404">
        <w:rPr>
          <w:sz w:val="18"/>
          <w:szCs w:val="18"/>
        </w:rPr>
        <w:t xml:space="preserve"> У појединим земљама у којима је јавна управа високоефикасна, попут Аустралије, у циљу побољшања услуга развијен је сет принципа за однос државних службеника према грађанима приликом пружања услуге, па се потом прати и осигурава да се </w:t>
      </w:r>
      <w:r w:rsidRPr="003C3404">
        <w:rPr>
          <w:sz w:val="18"/>
          <w:szCs w:val="18"/>
          <w:lang w:val="sr-Cyrl-RS"/>
        </w:rPr>
        <w:t>т</w:t>
      </w:r>
      <w:r w:rsidRPr="003C3404">
        <w:rPr>
          <w:sz w:val="18"/>
          <w:szCs w:val="18"/>
        </w:rPr>
        <w:t>и принципи конзистентно примењују у пракси.</w:t>
      </w:r>
    </w:p>
  </w:footnote>
  <w:footnote w:id="190">
    <w:p w14:paraId="01A9B9B7" w14:textId="77777777" w:rsidR="00876FFE" w:rsidRPr="003C3404" w:rsidRDefault="00876FFE" w:rsidP="00956E14">
      <w:pPr>
        <w:pStyle w:val="FootnoteText"/>
        <w:rPr>
          <w:sz w:val="18"/>
          <w:szCs w:val="18"/>
        </w:rPr>
      </w:pPr>
      <w:r w:rsidRPr="003C3404">
        <w:rPr>
          <w:rStyle w:val="FootnoteReference"/>
          <w:rFonts w:eastAsiaTheme="majorEastAsia"/>
          <w:sz w:val="18"/>
          <w:szCs w:val="18"/>
        </w:rPr>
        <w:footnoteRef/>
      </w:r>
      <w:r w:rsidRPr="003C3404">
        <w:rPr>
          <w:rStyle w:val="FootnoteReference"/>
          <w:rFonts w:eastAsiaTheme="majorEastAsia"/>
          <w:sz w:val="18"/>
          <w:szCs w:val="18"/>
        </w:rPr>
        <w:t xml:space="preserve"> </w:t>
      </w:r>
      <w:r w:rsidRPr="003C3404">
        <w:rPr>
          <w:sz w:val="18"/>
          <w:szCs w:val="18"/>
        </w:rPr>
        <w:t xml:space="preserve">Иако све већи број институција користи алате за управљање квалитетом и (најчешће ISO 9001), </w:t>
      </w:r>
      <w:r w:rsidRPr="003C3404">
        <w:rPr>
          <w:sz w:val="18"/>
          <w:szCs w:val="18"/>
          <w:lang w:val="sr-Cyrl-RS"/>
        </w:rPr>
        <w:t>т</w:t>
      </w:r>
      <w:r w:rsidRPr="003C3404">
        <w:rPr>
          <w:sz w:val="18"/>
          <w:szCs w:val="18"/>
        </w:rPr>
        <w:t xml:space="preserve">и алати се ипак не промовишу нити систематски користе кроз систем државне управе. </w:t>
      </w:r>
      <w:r w:rsidRPr="003C3404">
        <w:rPr>
          <w:sz w:val="18"/>
          <w:szCs w:val="18"/>
          <w:lang w:val="sr-Cyrl-RS"/>
        </w:rPr>
        <w:t>А</w:t>
      </w:r>
      <w:r w:rsidRPr="003C3404">
        <w:rPr>
          <w:sz w:val="18"/>
          <w:szCs w:val="18"/>
        </w:rPr>
        <w:t>лати који се користе за управљање квалитетом у органима државне управе</w:t>
      </w:r>
      <w:r w:rsidRPr="003C3404">
        <w:rPr>
          <w:sz w:val="18"/>
          <w:szCs w:val="18"/>
          <w:lang w:val="sr-Cyrl-RS"/>
        </w:rPr>
        <w:t xml:space="preserve"> </w:t>
      </w:r>
      <w:r w:rsidRPr="003C3404">
        <w:rPr>
          <w:sz w:val="18"/>
          <w:szCs w:val="18"/>
        </w:rPr>
        <w:t xml:space="preserve">мапирани су 2019. године, а МДУЛС је први орган у коме се </w:t>
      </w:r>
      <w:r w:rsidRPr="003C3404">
        <w:rPr>
          <w:sz w:val="18"/>
          <w:szCs w:val="18"/>
          <w:lang w:val="sr-Cyrl-RS"/>
        </w:rPr>
        <w:t>примењују</w:t>
      </w:r>
      <w:r w:rsidRPr="003C3404">
        <w:rPr>
          <w:sz w:val="18"/>
          <w:szCs w:val="18"/>
        </w:rPr>
        <w:t xml:space="preserve"> европски алат за управљање квалитетом – </w:t>
      </w:r>
      <w:r w:rsidRPr="003C3404">
        <w:rPr>
          <w:i/>
          <w:sz w:val="18"/>
          <w:szCs w:val="18"/>
        </w:rPr>
        <w:t>CAF</w:t>
      </w:r>
      <w:r w:rsidRPr="003C3404">
        <w:rPr>
          <w:sz w:val="18"/>
          <w:szCs w:val="18"/>
        </w:rPr>
        <w:t xml:space="preserve"> (</w:t>
      </w:r>
      <w:r w:rsidRPr="003C3404">
        <w:rPr>
          <w:i/>
          <w:iCs/>
          <w:sz w:val="18"/>
          <w:szCs w:val="18"/>
        </w:rPr>
        <w:t>Common Assessment Framework</w:t>
      </w:r>
      <w:r w:rsidRPr="003C3404">
        <w:rPr>
          <w:sz w:val="18"/>
          <w:szCs w:val="18"/>
        </w:rPr>
        <w:t xml:space="preserve">). </w:t>
      </w:r>
    </w:p>
  </w:footnote>
  <w:footnote w:id="191">
    <w:p w14:paraId="67465AF3" w14:textId="77777777" w:rsidR="00876FFE" w:rsidRPr="003C3404" w:rsidRDefault="00876FFE" w:rsidP="00956E14">
      <w:pPr>
        <w:pStyle w:val="FootnoteText"/>
        <w:rPr>
          <w:sz w:val="18"/>
          <w:szCs w:val="18"/>
        </w:rPr>
      </w:pPr>
      <w:r w:rsidRPr="003C3404">
        <w:rPr>
          <w:sz w:val="18"/>
          <w:szCs w:val="18"/>
          <w:vertAlign w:val="superscript"/>
        </w:rPr>
        <w:footnoteRef/>
      </w:r>
      <w:r w:rsidRPr="003C3404">
        <w:rPr>
          <w:sz w:val="18"/>
          <w:szCs w:val="18"/>
        </w:rPr>
        <w:t xml:space="preserve"> Према Извештају о спровођењу АП Стратегије РЈУ за 2019. годину, 71% органа електронски размењује податке.</w:t>
      </w:r>
    </w:p>
  </w:footnote>
  <w:footnote w:id="192">
    <w:p w14:paraId="111C0256" w14:textId="77777777" w:rsidR="00876FFE" w:rsidRPr="003C3404" w:rsidRDefault="00876FFE" w:rsidP="00956E14">
      <w:pPr>
        <w:pStyle w:val="FootnoteText"/>
        <w:rPr>
          <w:sz w:val="18"/>
          <w:szCs w:val="18"/>
          <w:lang w:val="sr-Cyrl-RS"/>
        </w:rPr>
      </w:pPr>
      <w:r w:rsidRPr="003C3404">
        <w:rPr>
          <w:rStyle w:val="FootnoteReference"/>
          <w:sz w:val="18"/>
          <w:szCs w:val="18"/>
        </w:rPr>
        <w:footnoteRef/>
      </w:r>
      <w:r w:rsidRPr="003C3404">
        <w:rPr>
          <w:sz w:val="18"/>
          <w:szCs w:val="18"/>
        </w:rPr>
        <w:t xml:space="preserve"> Више информација о процесу може се наћи на веб</w:t>
      </w:r>
      <w:r w:rsidRPr="003C3404">
        <w:rPr>
          <w:sz w:val="18"/>
          <w:szCs w:val="18"/>
          <w:lang w:val="sr-Cyrl-RS"/>
        </w:rPr>
        <w:t>-</w:t>
      </w:r>
      <w:r w:rsidRPr="003C3404">
        <w:rPr>
          <w:sz w:val="18"/>
          <w:szCs w:val="18"/>
        </w:rPr>
        <w:t>презентацији РСЈП</w:t>
      </w:r>
      <w:r w:rsidRPr="003C3404">
        <w:rPr>
          <w:sz w:val="18"/>
          <w:szCs w:val="18"/>
          <w:lang w:val="sr-Cyrl-RS"/>
        </w:rPr>
        <w:t>:</w:t>
      </w:r>
      <w:r w:rsidRPr="003C3404">
        <w:rPr>
          <w:sz w:val="18"/>
          <w:szCs w:val="18"/>
        </w:rPr>
        <w:t xml:space="preserve"> </w:t>
      </w:r>
      <w:hyperlink r:id="rId107" w:history="1">
        <w:r w:rsidRPr="003C3404">
          <w:rPr>
            <w:rStyle w:val="Hyperlink"/>
            <w:sz w:val="18"/>
            <w:szCs w:val="18"/>
            <w:lang w:val="sr-Cyrl-RS"/>
          </w:rPr>
          <w:t>https://rsjp.gov.rs/cir/vesti-cir/poceo-popis-administrativnih-postupaka/</w:t>
        </w:r>
      </w:hyperlink>
      <w:r w:rsidRPr="003C3404">
        <w:rPr>
          <w:color w:val="000000"/>
          <w:sz w:val="18"/>
          <w:szCs w:val="18"/>
        </w:rPr>
        <w:t xml:space="preserve"> (</w:t>
      </w:r>
      <w:r w:rsidRPr="003C3404">
        <w:rPr>
          <w:sz w:val="18"/>
          <w:szCs w:val="18"/>
        </w:rPr>
        <w:t>последњи пут приступљено 13.</w:t>
      </w:r>
      <w:r w:rsidRPr="003C3404">
        <w:rPr>
          <w:sz w:val="18"/>
          <w:szCs w:val="18"/>
          <w:lang w:val="sr-Cyrl-RS"/>
        </w:rPr>
        <w:t xml:space="preserve"> маја </w:t>
      </w:r>
      <w:r w:rsidRPr="003C3404">
        <w:rPr>
          <w:sz w:val="18"/>
          <w:szCs w:val="18"/>
        </w:rPr>
        <w:t>2020)</w:t>
      </w:r>
      <w:r w:rsidRPr="003C3404">
        <w:rPr>
          <w:sz w:val="18"/>
          <w:szCs w:val="18"/>
          <w:lang w:val="sr-Cyrl-RS"/>
        </w:rPr>
        <w:t>.</w:t>
      </w:r>
    </w:p>
  </w:footnote>
  <w:footnote w:id="193">
    <w:p w14:paraId="7A9244F3" w14:textId="77777777" w:rsidR="00876FFE" w:rsidRPr="003C3404" w:rsidRDefault="00876FFE" w:rsidP="00956E14">
      <w:pPr>
        <w:pStyle w:val="FootnoteText"/>
        <w:rPr>
          <w:sz w:val="18"/>
          <w:szCs w:val="18"/>
          <w:lang w:val="sr-Cyrl-RS"/>
        </w:rPr>
      </w:pPr>
      <w:r w:rsidRPr="003C3404">
        <w:rPr>
          <w:rStyle w:val="FootnoteReference"/>
          <w:rFonts w:eastAsiaTheme="majorEastAsia"/>
          <w:sz w:val="18"/>
          <w:szCs w:val="18"/>
        </w:rPr>
        <w:footnoteRef/>
      </w:r>
      <w:r w:rsidRPr="003C3404">
        <w:rPr>
          <w:sz w:val="18"/>
          <w:szCs w:val="18"/>
          <w:lang w:val="sr-Cyrl-RS"/>
        </w:rPr>
        <w:t xml:space="preserve"> </w:t>
      </w:r>
      <w:r w:rsidRPr="003C3404">
        <w:rPr>
          <w:sz w:val="18"/>
          <w:szCs w:val="18"/>
        </w:rPr>
        <w:t>Извештај о екстерној евалуациј</w:t>
      </w:r>
      <w:r w:rsidRPr="003C3404">
        <w:rPr>
          <w:sz w:val="18"/>
          <w:szCs w:val="18"/>
          <w:lang w:val="sr-Cyrl-RS"/>
        </w:rPr>
        <w:t>и</w:t>
      </w:r>
      <w:r w:rsidRPr="003C3404">
        <w:rPr>
          <w:sz w:val="18"/>
          <w:szCs w:val="18"/>
        </w:rPr>
        <w:t xml:space="preserve"> СРЈУ, </w:t>
      </w:r>
      <w:r w:rsidRPr="003C3404">
        <w:rPr>
          <w:sz w:val="18"/>
          <w:szCs w:val="18"/>
          <w:lang w:val="sr-Cyrl-RS"/>
        </w:rPr>
        <w:t>2019, стр. 44.</w:t>
      </w:r>
    </w:p>
  </w:footnote>
  <w:footnote w:id="194">
    <w:p w14:paraId="586C28D2" w14:textId="0C7EF3FA" w:rsidR="00876FFE" w:rsidRPr="003C3404" w:rsidRDefault="00876FFE" w:rsidP="00956E14">
      <w:pPr>
        <w:pStyle w:val="FootnoteText"/>
        <w:rPr>
          <w:rStyle w:val="FootnoteReference"/>
          <w:rFonts w:eastAsiaTheme="majorEastAsia"/>
          <w:sz w:val="18"/>
          <w:szCs w:val="18"/>
        </w:rPr>
      </w:pPr>
      <w:r w:rsidRPr="003C3404">
        <w:rPr>
          <w:rStyle w:val="FootnoteReference"/>
          <w:rFonts w:eastAsiaTheme="majorEastAsia"/>
          <w:sz w:val="18"/>
          <w:szCs w:val="18"/>
        </w:rPr>
        <w:footnoteRef/>
      </w:r>
      <w:r w:rsidRPr="003C3404">
        <w:rPr>
          <w:rStyle w:val="FootnoteReference"/>
          <w:rFonts w:eastAsiaTheme="majorEastAsia"/>
          <w:sz w:val="18"/>
          <w:szCs w:val="18"/>
        </w:rPr>
        <w:t xml:space="preserve"> </w:t>
      </w:r>
      <w:r w:rsidRPr="003C3404">
        <w:rPr>
          <w:rFonts w:eastAsiaTheme="majorEastAsia"/>
          <w:sz w:val="18"/>
          <w:szCs w:val="18"/>
        </w:rPr>
        <w:t xml:space="preserve"> Мониторинг Извештај </w:t>
      </w:r>
      <w:r w:rsidRPr="003C3404">
        <w:rPr>
          <w:rStyle w:val="FootnoteReference"/>
          <w:rFonts w:eastAsiaTheme="majorEastAsia"/>
          <w:sz w:val="18"/>
          <w:szCs w:val="18"/>
        </w:rPr>
        <w:t xml:space="preserve"> </w:t>
      </w:r>
      <w:r w:rsidRPr="00351859">
        <w:rPr>
          <w:rFonts w:eastAsiaTheme="majorEastAsia"/>
          <w:i/>
          <w:sz w:val="18"/>
          <w:szCs w:val="18"/>
        </w:rPr>
        <w:t>SIGMA</w:t>
      </w:r>
      <w:r w:rsidRPr="003C3404">
        <w:rPr>
          <w:rFonts w:eastAsiaTheme="majorEastAsia"/>
          <w:sz w:val="18"/>
          <w:szCs w:val="18"/>
        </w:rPr>
        <w:t xml:space="preserve"> за Србију </w:t>
      </w:r>
      <w:r w:rsidRPr="003C3404">
        <w:rPr>
          <w:rStyle w:val="FootnoteReference"/>
          <w:rFonts w:eastAsiaTheme="majorEastAsia"/>
          <w:sz w:val="18"/>
          <w:szCs w:val="18"/>
          <w:vertAlign w:val="baseline"/>
        </w:rPr>
        <w:t>2019, стр. 4</w:t>
      </w:r>
      <w:r w:rsidRPr="003C3404">
        <w:rPr>
          <w:sz w:val="18"/>
          <w:szCs w:val="18"/>
        </w:rPr>
        <w:t>3.</w:t>
      </w:r>
    </w:p>
  </w:footnote>
  <w:footnote w:id="195">
    <w:p w14:paraId="4866D495" w14:textId="77777777" w:rsidR="00876FFE" w:rsidRPr="003C3404" w:rsidRDefault="00876FFE" w:rsidP="00956E14">
      <w:pPr>
        <w:pStyle w:val="FootnoteText"/>
        <w:rPr>
          <w:sz w:val="18"/>
          <w:szCs w:val="18"/>
        </w:rPr>
      </w:pPr>
      <w:r w:rsidRPr="003C3404">
        <w:rPr>
          <w:rStyle w:val="FootnoteReference"/>
          <w:sz w:val="18"/>
          <w:szCs w:val="18"/>
        </w:rPr>
        <w:footnoteRef/>
      </w:r>
      <w:r w:rsidRPr="003C3404">
        <w:rPr>
          <w:sz w:val="18"/>
          <w:szCs w:val="18"/>
        </w:rPr>
        <w:t xml:space="preserve"> Анализа је спроведена над свим инспекцијама у земљи, тако да није специфична само за </w:t>
      </w:r>
      <w:r w:rsidRPr="003C3404">
        <w:rPr>
          <w:sz w:val="18"/>
          <w:szCs w:val="18"/>
          <w:lang w:val="sr-Cyrl-RS"/>
        </w:rPr>
        <w:t>У</w:t>
      </w:r>
      <w:r w:rsidRPr="003C3404">
        <w:rPr>
          <w:sz w:val="18"/>
          <w:szCs w:val="18"/>
        </w:rPr>
        <w:t>правни инспекторат</w:t>
      </w:r>
      <w:r w:rsidRPr="003C3404">
        <w:rPr>
          <w:sz w:val="18"/>
          <w:szCs w:val="18"/>
          <w:lang w:val="sr-Cyrl-RS"/>
        </w:rPr>
        <w:t>,</w:t>
      </w:r>
      <w:r w:rsidRPr="003C3404">
        <w:rPr>
          <w:sz w:val="18"/>
          <w:szCs w:val="18"/>
        </w:rPr>
        <w:t xml:space="preserve"> који је у </w:t>
      </w:r>
      <w:r w:rsidRPr="003C3404">
        <w:rPr>
          <w:sz w:val="18"/>
          <w:szCs w:val="18"/>
          <w:lang w:val="sr-Cyrl-RS"/>
        </w:rPr>
        <w:t>области</w:t>
      </w:r>
      <w:r w:rsidRPr="003C3404">
        <w:rPr>
          <w:sz w:val="18"/>
          <w:szCs w:val="18"/>
        </w:rPr>
        <w:t xml:space="preserve"> пружања услуга посебно значајан.</w:t>
      </w:r>
    </w:p>
  </w:footnote>
  <w:footnote w:id="196">
    <w:p w14:paraId="4FAF6403" w14:textId="77777777" w:rsidR="00876FFE" w:rsidRPr="003C3404" w:rsidRDefault="00876FFE" w:rsidP="0050180D">
      <w:pPr>
        <w:pStyle w:val="commentcontentpara"/>
        <w:spacing w:before="0" w:beforeAutospacing="0" w:after="0" w:afterAutospacing="0"/>
        <w:ind w:firstLine="0"/>
        <w:rPr>
          <w:sz w:val="18"/>
          <w:szCs w:val="18"/>
        </w:rPr>
      </w:pPr>
      <w:r w:rsidRPr="003C3404">
        <w:rPr>
          <w:rStyle w:val="FootnoteReference"/>
          <w:sz w:val="18"/>
          <w:szCs w:val="18"/>
        </w:rPr>
        <w:footnoteRef/>
      </w:r>
      <w:r w:rsidRPr="003C3404">
        <w:rPr>
          <w:sz w:val="18"/>
          <w:szCs w:val="18"/>
        </w:rPr>
        <w:t xml:space="preserve"> Анализа економских и друштвених последица ковид-19 епидемије у управама земаља западног Балкана, РeСПА:</w:t>
      </w:r>
      <w:hyperlink r:id="rId108" w:history="1">
        <w:r w:rsidRPr="003C3404">
          <w:rPr>
            <w:rStyle w:val="Hyperlink"/>
            <w:sz w:val="18"/>
            <w:szCs w:val="18"/>
          </w:rPr>
          <w:t>https://www.respaweb.eu/download/doc/ECONOMIC+AND+SOCIAL+CONSEQUENCES+of+COVID+19.pdf/e97586d30e7b07fa0dd3f00ebf84dcc8.pdf</w:t>
        </w:r>
      </w:hyperlink>
      <w:r w:rsidRPr="003C3404">
        <w:rPr>
          <w:sz w:val="18"/>
          <w:szCs w:val="18"/>
        </w:rPr>
        <w:t xml:space="preserve"> </w:t>
      </w:r>
    </w:p>
  </w:footnote>
  <w:footnote w:id="197">
    <w:p w14:paraId="169CA86D" w14:textId="77777777" w:rsidR="00876FFE" w:rsidRPr="003C3404" w:rsidRDefault="00876FFE" w:rsidP="0050180D">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За више информација о</w:t>
      </w:r>
      <w:r w:rsidRPr="003C3404">
        <w:rPr>
          <w:sz w:val="18"/>
          <w:szCs w:val="18"/>
        </w:rPr>
        <w:t xml:space="preserve"> </w:t>
      </w:r>
      <w:r w:rsidRPr="003C3404">
        <w:rPr>
          <w:sz w:val="18"/>
          <w:szCs w:val="18"/>
          <w:lang w:val="sr-Cyrl-RS"/>
        </w:rPr>
        <w:t xml:space="preserve">Контактном центру за ковид-19: </w:t>
      </w:r>
      <w:hyperlink r:id="rId109" w:history="1">
        <w:r w:rsidRPr="003C3404">
          <w:rPr>
            <w:rStyle w:val="Hyperlink"/>
            <w:sz w:val="18"/>
            <w:szCs w:val="18"/>
          </w:rPr>
          <w:t>https://bit.ly/3e8PBO6</w:t>
        </w:r>
      </w:hyperlink>
      <w:r w:rsidRPr="003C3404">
        <w:rPr>
          <w:sz w:val="18"/>
          <w:szCs w:val="18"/>
        </w:rPr>
        <w:t xml:space="preserve"> </w:t>
      </w:r>
    </w:p>
  </w:footnote>
  <w:footnote w:id="198">
    <w:p w14:paraId="12F60F34" w14:textId="77777777" w:rsidR="00876FFE" w:rsidRPr="003C3404" w:rsidRDefault="00876FFE" w:rsidP="0050180D">
      <w:pPr>
        <w:pStyle w:val="FootnoteText"/>
        <w:rPr>
          <w:sz w:val="18"/>
          <w:szCs w:val="18"/>
        </w:rPr>
      </w:pPr>
      <w:r w:rsidRPr="003C3404">
        <w:rPr>
          <w:rStyle w:val="FootnoteReference"/>
          <w:sz w:val="18"/>
          <w:szCs w:val="18"/>
        </w:rPr>
        <w:footnoteRef/>
      </w:r>
      <w:r w:rsidRPr="003C3404">
        <w:rPr>
          <w:sz w:val="18"/>
          <w:szCs w:val="18"/>
        </w:rPr>
        <w:t xml:space="preserve"> За више информација о Контакт</w:t>
      </w:r>
      <w:r w:rsidRPr="003C3404">
        <w:rPr>
          <w:sz w:val="18"/>
          <w:szCs w:val="18"/>
          <w:lang w:val="sr-Cyrl-RS"/>
        </w:rPr>
        <w:t>ном</w:t>
      </w:r>
      <w:r w:rsidRPr="003C3404">
        <w:rPr>
          <w:sz w:val="18"/>
          <w:szCs w:val="18"/>
        </w:rPr>
        <w:t xml:space="preserve"> центру за помоћ старим лицима</w:t>
      </w:r>
      <w:r w:rsidRPr="003C3404">
        <w:rPr>
          <w:sz w:val="18"/>
          <w:szCs w:val="18"/>
          <w:lang w:val="sr-Cyrl-RS"/>
        </w:rPr>
        <w:t>:</w:t>
      </w:r>
      <w:r w:rsidRPr="003C3404">
        <w:rPr>
          <w:sz w:val="18"/>
          <w:szCs w:val="18"/>
        </w:rPr>
        <w:t xml:space="preserve"> </w:t>
      </w:r>
      <w:hyperlink r:id="rId110" w:history="1">
        <w:r w:rsidRPr="003C3404">
          <w:rPr>
            <w:rStyle w:val="Hyperlink"/>
            <w:sz w:val="18"/>
            <w:szCs w:val="18"/>
          </w:rPr>
          <w:t>https</w:t>
        </w:r>
        <w:r w:rsidRPr="003C3404">
          <w:rPr>
            <w:rStyle w:val="Hyperlink"/>
            <w:sz w:val="18"/>
            <w:szCs w:val="18"/>
            <w:lang w:val="sr-Cyrl-RS"/>
          </w:rPr>
          <w:t>://</w:t>
        </w:r>
        <w:r w:rsidRPr="003C3404">
          <w:rPr>
            <w:rStyle w:val="Hyperlink"/>
            <w:sz w:val="18"/>
            <w:szCs w:val="18"/>
          </w:rPr>
          <w:t>bit</w:t>
        </w:r>
        <w:r w:rsidRPr="003C3404">
          <w:rPr>
            <w:rStyle w:val="Hyperlink"/>
            <w:sz w:val="18"/>
            <w:szCs w:val="18"/>
            <w:lang w:val="sr-Cyrl-RS"/>
          </w:rPr>
          <w:t>.</w:t>
        </w:r>
        <w:r w:rsidRPr="003C3404">
          <w:rPr>
            <w:rStyle w:val="Hyperlink"/>
            <w:sz w:val="18"/>
            <w:szCs w:val="18"/>
          </w:rPr>
          <w:t>ly</w:t>
        </w:r>
        <w:r w:rsidRPr="003C3404">
          <w:rPr>
            <w:rStyle w:val="Hyperlink"/>
            <w:sz w:val="18"/>
            <w:szCs w:val="18"/>
            <w:lang w:val="sr-Cyrl-RS"/>
          </w:rPr>
          <w:t>/3</w:t>
        </w:r>
        <w:r w:rsidRPr="003C3404">
          <w:rPr>
            <w:rStyle w:val="Hyperlink"/>
            <w:sz w:val="18"/>
            <w:szCs w:val="18"/>
          </w:rPr>
          <w:t>e</w:t>
        </w:r>
        <w:r w:rsidRPr="003C3404">
          <w:rPr>
            <w:rStyle w:val="Hyperlink"/>
            <w:sz w:val="18"/>
            <w:szCs w:val="18"/>
            <w:lang w:val="sr-Cyrl-RS"/>
          </w:rPr>
          <w:t>8</w:t>
        </w:r>
        <w:r w:rsidRPr="003C3404">
          <w:rPr>
            <w:rStyle w:val="Hyperlink"/>
            <w:sz w:val="18"/>
            <w:szCs w:val="18"/>
          </w:rPr>
          <w:t>PBO</w:t>
        </w:r>
        <w:r w:rsidRPr="003C3404">
          <w:rPr>
            <w:rStyle w:val="Hyperlink"/>
            <w:sz w:val="18"/>
            <w:szCs w:val="18"/>
            <w:lang w:val="sr-Cyrl-RS"/>
          </w:rPr>
          <w:t>6</w:t>
        </w:r>
      </w:hyperlink>
      <w:r w:rsidRPr="003C3404">
        <w:rPr>
          <w:sz w:val="18"/>
          <w:szCs w:val="18"/>
        </w:rPr>
        <w:t xml:space="preserve"> </w:t>
      </w:r>
    </w:p>
  </w:footnote>
  <w:footnote w:id="199">
    <w:p w14:paraId="04B1FAD0" w14:textId="77777777" w:rsidR="00876FFE" w:rsidRPr="003C3404" w:rsidRDefault="00876FFE" w:rsidP="0050180D">
      <w:pPr>
        <w:pStyle w:val="FootnoteText"/>
        <w:rPr>
          <w:sz w:val="18"/>
          <w:szCs w:val="18"/>
        </w:rPr>
      </w:pPr>
      <w:r w:rsidRPr="003C3404">
        <w:rPr>
          <w:rStyle w:val="FootnoteReference"/>
          <w:sz w:val="18"/>
          <w:szCs w:val="18"/>
        </w:rPr>
        <w:footnoteRef/>
      </w:r>
      <w:r w:rsidRPr="003C3404">
        <w:rPr>
          <w:sz w:val="18"/>
          <w:szCs w:val="18"/>
        </w:rPr>
        <w:t xml:space="preserve"> Пријава се врши путе</w:t>
      </w:r>
      <w:r w:rsidRPr="003C3404">
        <w:rPr>
          <w:sz w:val="18"/>
          <w:szCs w:val="18"/>
          <w:lang w:val="sr-Cyrl-RS"/>
        </w:rPr>
        <w:t>м</w:t>
      </w:r>
      <w:r w:rsidRPr="003C3404">
        <w:rPr>
          <w:sz w:val="18"/>
          <w:szCs w:val="18"/>
        </w:rPr>
        <w:t xml:space="preserve"> он</w:t>
      </w:r>
      <w:r w:rsidRPr="003C3404">
        <w:rPr>
          <w:sz w:val="18"/>
          <w:szCs w:val="18"/>
          <w:lang w:val="sr-Cyrl-RS"/>
        </w:rPr>
        <w:t>лајн</w:t>
      </w:r>
      <w:r w:rsidRPr="003C3404">
        <w:rPr>
          <w:sz w:val="18"/>
          <w:szCs w:val="18"/>
        </w:rPr>
        <w:t xml:space="preserve"> формулара</w:t>
      </w:r>
      <w:r w:rsidRPr="003C3404">
        <w:rPr>
          <w:sz w:val="18"/>
          <w:szCs w:val="18"/>
          <w:lang w:val="sr-Cyrl-RS"/>
        </w:rPr>
        <w:t xml:space="preserve">: </w:t>
      </w:r>
      <w:hyperlink r:id="rId111" w:history="1">
        <w:r w:rsidRPr="003C3404">
          <w:rPr>
            <w:rStyle w:val="Hyperlink"/>
            <w:sz w:val="18"/>
            <w:szCs w:val="18"/>
            <w:lang w:val="sr-Cyrl-RS"/>
          </w:rPr>
          <w:t>https://inspektor.gov.rs/submission</w:t>
        </w:r>
      </w:hyperlink>
      <w:r w:rsidRPr="003C3404">
        <w:rPr>
          <w:sz w:val="18"/>
          <w:szCs w:val="18"/>
        </w:rPr>
        <w:t>. За више информација о Контакт</w:t>
      </w:r>
      <w:r w:rsidRPr="003C3404">
        <w:rPr>
          <w:sz w:val="18"/>
          <w:szCs w:val="18"/>
          <w:lang w:val="sr-Cyrl-RS"/>
        </w:rPr>
        <w:t>ном</w:t>
      </w:r>
      <w:r w:rsidRPr="003C3404">
        <w:rPr>
          <w:sz w:val="18"/>
          <w:szCs w:val="18"/>
        </w:rPr>
        <w:t xml:space="preserve"> центру</w:t>
      </w:r>
      <w:r w:rsidRPr="003C3404">
        <w:rPr>
          <w:sz w:val="18"/>
          <w:szCs w:val="18"/>
          <w:lang w:val="sr-Cyrl-RS"/>
        </w:rPr>
        <w:t>:</w:t>
      </w:r>
      <w:r w:rsidRPr="003C3404">
        <w:rPr>
          <w:sz w:val="18"/>
          <w:szCs w:val="18"/>
        </w:rPr>
        <w:t xml:space="preserve"> </w:t>
      </w:r>
      <w:hyperlink r:id="rId112" w:history="1">
        <w:r w:rsidRPr="003C3404">
          <w:rPr>
            <w:rStyle w:val="Hyperlink"/>
            <w:sz w:val="18"/>
            <w:szCs w:val="18"/>
            <w:lang w:val="sr-Cyrl-RS"/>
          </w:rPr>
          <w:t>http://mduls.gov.rs/saopstenja/otvoren-jedinstveni-kontakt-centar-za-prijavljivanje-nezakonitosti-u-vreme-pandemije-korona-virusa/</w:t>
        </w:r>
      </w:hyperlink>
      <w:r w:rsidRPr="003C3404">
        <w:rPr>
          <w:sz w:val="18"/>
          <w:szCs w:val="18"/>
        </w:rPr>
        <w:t xml:space="preserve"> </w:t>
      </w:r>
    </w:p>
  </w:footnote>
  <w:footnote w:id="200">
    <w:p w14:paraId="3AEFA487" w14:textId="77777777" w:rsidR="00876FFE" w:rsidRPr="003C3404" w:rsidRDefault="00876FFE" w:rsidP="0050180D">
      <w:pPr>
        <w:pStyle w:val="FootnoteText"/>
        <w:rPr>
          <w:sz w:val="18"/>
          <w:szCs w:val="18"/>
        </w:rPr>
      </w:pPr>
      <w:r w:rsidRPr="003C3404">
        <w:rPr>
          <w:rStyle w:val="FootnoteReference"/>
          <w:sz w:val="18"/>
          <w:szCs w:val="18"/>
        </w:rPr>
        <w:footnoteRef/>
      </w:r>
      <w:hyperlink r:id="rId113" w:history="1">
        <w:r w:rsidRPr="003C3404">
          <w:rPr>
            <w:rStyle w:val="Hyperlink"/>
            <w:sz w:val="18"/>
            <w:szCs w:val="18"/>
          </w:rPr>
          <w:t>https://publicadministration.un.org/egovkb/Portals/egovkb/Documents/un/2020Survey/UNDESA%20Compendium%20of%20Digital%20Government%20Initiatives%20in%20Response%20to%20the%20COVID-19%20Pandemic.pdf</w:t>
        </w:r>
      </w:hyperlink>
    </w:p>
  </w:footnote>
  <w:footnote w:id="201">
    <w:p w14:paraId="168793E8" w14:textId="77777777" w:rsidR="00876FFE" w:rsidRPr="003C3404" w:rsidRDefault="00876FFE" w:rsidP="0050180D">
      <w:pPr>
        <w:pStyle w:val="FootnoteText"/>
        <w:rPr>
          <w:sz w:val="18"/>
          <w:szCs w:val="18"/>
        </w:rPr>
      </w:pPr>
      <w:r w:rsidRPr="003C3404">
        <w:rPr>
          <w:rStyle w:val="FootnoteReference"/>
          <w:sz w:val="18"/>
          <w:szCs w:val="18"/>
        </w:rPr>
        <w:footnoteRef/>
      </w:r>
      <w:r w:rsidRPr="003C3404">
        <w:rPr>
          <w:sz w:val="18"/>
          <w:szCs w:val="18"/>
        </w:rPr>
        <w:t xml:space="preserve"> Доступно на: </w:t>
      </w:r>
      <w:hyperlink r:id="rId114" w:history="1">
        <w:r w:rsidRPr="003C3404">
          <w:rPr>
            <w:rStyle w:val="Hyperlink"/>
            <w:sz w:val="18"/>
            <w:szCs w:val="18"/>
            <w:lang w:val="sr-Cyrl-RS"/>
          </w:rPr>
          <w:t>https://oecd-opsi.org/covid-response/?_countries=serbia</w:t>
        </w:r>
      </w:hyperlink>
      <w:r w:rsidRPr="003C3404">
        <w:rPr>
          <w:sz w:val="18"/>
          <w:szCs w:val="18"/>
        </w:rPr>
        <w:t xml:space="preserve"> </w:t>
      </w:r>
    </w:p>
  </w:footnote>
  <w:footnote w:id="202">
    <w:p w14:paraId="6A41DBFB" w14:textId="77777777" w:rsidR="00876FFE" w:rsidRPr="003C3404" w:rsidRDefault="00876FFE" w:rsidP="0050180D">
      <w:pPr>
        <w:pStyle w:val="FootnoteText"/>
        <w:rPr>
          <w:sz w:val="18"/>
          <w:szCs w:val="18"/>
        </w:rPr>
      </w:pPr>
      <w:r w:rsidRPr="003C3404">
        <w:rPr>
          <w:rStyle w:val="FootnoteReference"/>
          <w:sz w:val="18"/>
          <w:szCs w:val="18"/>
        </w:rPr>
        <w:footnoteRef/>
      </w:r>
      <w:r w:rsidRPr="003C3404">
        <w:rPr>
          <w:sz w:val="18"/>
          <w:szCs w:val="18"/>
        </w:rPr>
        <w:t xml:space="preserve"> Доступно на: </w:t>
      </w:r>
      <w:hyperlink r:id="rId115" w:history="1">
        <w:r w:rsidRPr="003C3404">
          <w:rPr>
            <w:rStyle w:val="Hyperlink"/>
            <w:sz w:val="18"/>
            <w:szCs w:val="18"/>
            <w:lang w:val="sr-Cyrl-RS"/>
          </w:rPr>
          <w:t>https://www.opengovpartnership.org/collecting-open-government-approaches-to-covid-19/</w:t>
        </w:r>
      </w:hyperlink>
      <w:r w:rsidRPr="003C3404">
        <w:rPr>
          <w:sz w:val="18"/>
          <w:szCs w:val="18"/>
        </w:rPr>
        <w:t xml:space="preserve"> </w:t>
      </w:r>
    </w:p>
  </w:footnote>
  <w:footnote w:id="203">
    <w:p w14:paraId="7BA12EEE" w14:textId="77777777" w:rsidR="00876FFE" w:rsidRPr="003C3404" w:rsidRDefault="00876FFE" w:rsidP="0050180D">
      <w:pPr>
        <w:pStyle w:val="FootnoteText"/>
        <w:rPr>
          <w:sz w:val="18"/>
          <w:szCs w:val="18"/>
        </w:rPr>
      </w:pPr>
      <w:r w:rsidRPr="003C3404">
        <w:rPr>
          <w:rStyle w:val="FootnoteReference"/>
          <w:sz w:val="18"/>
          <w:szCs w:val="18"/>
        </w:rPr>
        <w:footnoteRef/>
      </w:r>
      <w:hyperlink r:id="rId116" w:history="1">
        <w:r w:rsidRPr="003C3404">
          <w:rPr>
            <w:rStyle w:val="Hyperlink"/>
            <w:sz w:val="18"/>
            <w:szCs w:val="18"/>
          </w:rPr>
          <w:t>https://www.ite.gov.rs/vest/5392/kancelariji-za-it-i-eupravu-cetiri-nagrade-za-efikasnost-i-prilagodljivost-javne-uprave-tokom-pandemije-covid-19.php</w:t>
        </w:r>
      </w:hyperlink>
    </w:p>
  </w:footnote>
  <w:footnote w:id="204">
    <w:p w14:paraId="71925F3D" w14:textId="77777777" w:rsidR="00876FFE" w:rsidRPr="003C3404" w:rsidRDefault="00876FFE" w:rsidP="0050180D">
      <w:pPr>
        <w:pStyle w:val="FootnoteText"/>
        <w:rPr>
          <w:sz w:val="18"/>
          <w:szCs w:val="18"/>
        </w:rPr>
      </w:pPr>
      <w:r w:rsidRPr="003C3404">
        <w:rPr>
          <w:rStyle w:val="FootnoteReference"/>
          <w:sz w:val="18"/>
          <w:szCs w:val="18"/>
        </w:rPr>
        <w:footnoteRef/>
      </w:r>
      <w:r w:rsidRPr="003C3404">
        <w:rPr>
          <w:sz w:val="18"/>
          <w:szCs w:val="18"/>
        </w:rPr>
        <w:t xml:space="preserve"> Истраживање је </w:t>
      </w:r>
      <w:r w:rsidRPr="003C3404">
        <w:rPr>
          <w:sz w:val="18"/>
          <w:szCs w:val="18"/>
          <w:lang w:val="sr-Cyrl-RS"/>
        </w:rPr>
        <w:t>спроведено</w:t>
      </w:r>
      <w:r w:rsidRPr="003C3404">
        <w:rPr>
          <w:sz w:val="18"/>
          <w:szCs w:val="18"/>
        </w:rPr>
        <w:t xml:space="preserve"> у оквиру заједничког пројекта Европске уније и Савета Европе</w:t>
      </w:r>
      <w:r w:rsidRPr="003C3404">
        <w:rPr>
          <w:sz w:val="18"/>
          <w:szCs w:val="18"/>
          <w:lang w:val="sr-Cyrl-RS"/>
        </w:rPr>
        <w:t xml:space="preserve"> „</w:t>
      </w:r>
      <w:r w:rsidRPr="003C3404">
        <w:rPr>
          <w:sz w:val="18"/>
          <w:szCs w:val="18"/>
        </w:rPr>
        <w:t>Управљање људским ресурсима у јединицама локалне самоуправе – фаза 2</w:t>
      </w:r>
      <w:r w:rsidRPr="003C3404">
        <w:rPr>
          <w:sz w:val="18"/>
          <w:szCs w:val="18"/>
          <w:lang w:val="sr-Cyrl-RS"/>
        </w:rPr>
        <w:t>”</w:t>
      </w:r>
      <w:r w:rsidRPr="003C3404">
        <w:rPr>
          <w:sz w:val="18"/>
          <w:szCs w:val="18"/>
        </w:rPr>
        <w:t xml:space="preserve">, који спроводи Савет Европе у Србији у сарадњи са МДУЛС и СКГО као партнером у </w:t>
      </w:r>
      <w:r w:rsidRPr="003C3404">
        <w:rPr>
          <w:sz w:val="18"/>
          <w:szCs w:val="18"/>
          <w:lang w:val="sr-Cyrl-RS"/>
        </w:rPr>
        <w:t>спровођењу,</w:t>
      </w:r>
      <w:r w:rsidRPr="003C3404">
        <w:rPr>
          <w:sz w:val="18"/>
          <w:szCs w:val="18"/>
        </w:rPr>
        <w:t xml:space="preserve"> стр</w:t>
      </w:r>
      <w:r w:rsidRPr="003C3404">
        <w:rPr>
          <w:sz w:val="18"/>
          <w:szCs w:val="18"/>
          <w:lang w:val="sr-Cyrl-RS"/>
        </w:rPr>
        <w:t>.</w:t>
      </w:r>
      <w:r w:rsidRPr="003C3404">
        <w:rPr>
          <w:sz w:val="18"/>
          <w:szCs w:val="18"/>
        </w:rPr>
        <w:t xml:space="preserve"> 7:  </w:t>
      </w:r>
      <w:hyperlink r:id="rId117" w:history="1">
        <w:r w:rsidRPr="003C3404">
          <w:rPr>
            <w:rStyle w:val="Hyperlink"/>
            <w:sz w:val="18"/>
            <w:szCs w:val="18"/>
            <w:lang w:val="sr-Latn-RS"/>
          </w:rPr>
          <w:t>https://rm.coe.int/survey-report-serbia/16809e831b</w:t>
        </w:r>
      </w:hyperlink>
    </w:p>
  </w:footnote>
  <w:footnote w:id="205">
    <w:p w14:paraId="0774C607" w14:textId="77777777" w:rsidR="00876FFE" w:rsidRPr="003C3404" w:rsidRDefault="00876FFE" w:rsidP="00C16143">
      <w:pPr>
        <w:pStyle w:val="FootnoteText"/>
        <w:rPr>
          <w:sz w:val="18"/>
          <w:szCs w:val="18"/>
        </w:rPr>
      </w:pPr>
      <w:r w:rsidRPr="003C3404">
        <w:rPr>
          <w:rStyle w:val="FootnoteReference"/>
          <w:sz w:val="18"/>
          <w:szCs w:val="18"/>
        </w:rPr>
        <w:footnoteRef/>
      </w:r>
      <w:r w:rsidRPr="003C3404">
        <w:rPr>
          <w:sz w:val="18"/>
          <w:szCs w:val="18"/>
        </w:rPr>
        <w:t xml:space="preserve"> У области развоја електронске управе за период након истека важења Програма развоја електронске управе постављени циљеви Програма ће бити </w:t>
      </w:r>
      <w:r w:rsidRPr="003C3404">
        <w:rPr>
          <w:sz w:val="18"/>
          <w:szCs w:val="18"/>
          <w:lang w:val="sr-Cyrl-RS"/>
        </w:rPr>
        <w:t>разрађени</w:t>
      </w:r>
      <w:r w:rsidRPr="003C3404">
        <w:rPr>
          <w:sz w:val="18"/>
          <w:szCs w:val="18"/>
        </w:rPr>
        <w:t xml:space="preserve"> кроз оперативни план који ће припремити Влада , </w:t>
      </w:r>
      <w:r w:rsidRPr="003C3404">
        <w:rPr>
          <w:sz w:val="18"/>
          <w:szCs w:val="18"/>
          <w:lang w:val="sr-Cyrl-RS"/>
        </w:rPr>
        <w:t>КИТЕУ</w:t>
      </w:r>
      <w:r w:rsidRPr="003C3404">
        <w:rPr>
          <w:sz w:val="18"/>
          <w:szCs w:val="18"/>
        </w:rPr>
        <w:t xml:space="preserve"> и МДУЛС имајући у виду брзину развоја и промена дигиталних технологија и потребу да се планови и конкретни кораци </w:t>
      </w:r>
      <w:r w:rsidRPr="003C3404">
        <w:rPr>
          <w:sz w:val="18"/>
          <w:szCs w:val="18"/>
          <w:lang w:val="sr-Cyrl-RS"/>
        </w:rPr>
        <w:t>брже</w:t>
      </w:r>
      <w:r w:rsidRPr="003C3404">
        <w:rPr>
          <w:sz w:val="18"/>
          <w:szCs w:val="18"/>
        </w:rPr>
        <w:t xml:space="preserve"> прилагођавају променама. </w:t>
      </w:r>
      <w:r w:rsidRPr="003C3404">
        <w:rPr>
          <w:sz w:val="18"/>
          <w:szCs w:val="18"/>
          <w:lang w:eastAsia="de-DE"/>
        </w:rPr>
        <w:t>Другим речима, оперативни план ће разрађивати конкретне кораке кроз већ постојећи оквир о</w:t>
      </w:r>
      <w:r w:rsidRPr="003C3404">
        <w:rPr>
          <w:sz w:val="18"/>
          <w:szCs w:val="18"/>
        </w:rPr>
        <w:t xml:space="preserve">пштег циља Програма за развој е-управе: Развој ефикасне и кориснички оријентисане управе у дигиталном окружењу и посебних циљева Програма за развој е-управе: </w:t>
      </w:r>
    </w:p>
    <w:p w14:paraId="25DDA554" w14:textId="77777777" w:rsidR="00876FFE" w:rsidRPr="003C3404" w:rsidRDefault="00876FFE" w:rsidP="00E62A1A">
      <w:pPr>
        <w:pStyle w:val="FootnoteText"/>
        <w:numPr>
          <w:ilvl w:val="0"/>
          <w:numId w:val="50"/>
        </w:numPr>
        <w:ind w:left="426"/>
        <w:rPr>
          <w:sz w:val="18"/>
          <w:szCs w:val="18"/>
        </w:rPr>
      </w:pPr>
      <w:r w:rsidRPr="003C3404">
        <w:rPr>
          <w:sz w:val="18"/>
          <w:szCs w:val="18"/>
        </w:rPr>
        <w:t>Развој инфраструктуре у електронској управи и обезбеђивање интероперабилности</w:t>
      </w:r>
    </w:p>
    <w:p w14:paraId="431C567D" w14:textId="77777777" w:rsidR="00876FFE" w:rsidRPr="003C3404" w:rsidRDefault="00876FFE" w:rsidP="00E62A1A">
      <w:pPr>
        <w:pStyle w:val="FootnoteText"/>
        <w:numPr>
          <w:ilvl w:val="0"/>
          <w:numId w:val="50"/>
        </w:numPr>
        <w:ind w:left="426"/>
        <w:rPr>
          <w:sz w:val="18"/>
          <w:szCs w:val="18"/>
        </w:rPr>
      </w:pPr>
      <w:r w:rsidRPr="003C3404">
        <w:rPr>
          <w:sz w:val="18"/>
          <w:szCs w:val="18"/>
        </w:rPr>
        <w:t>Унапређење правне сигурности у коришћењу електронске управе</w:t>
      </w:r>
    </w:p>
    <w:p w14:paraId="312EE47C" w14:textId="77777777" w:rsidR="00876FFE" w:rsidRPr="003C3404" w:rsidRDefault="00876FFE" w:rsidP="00E62A1A">
      <w:pPr>
        <w:pStyle w:val="FootnoteText"/>
        <w:numPr>
          <w:ilvl w:val="0"/>
          <w:numId w:val="50"/>
        </w:numPr>
        <w:ind w:left="426"/>
        <w:rPr>
          <w:sz w:val="18"/>
          <w:szCs w:val="18"/>
        </w:rPr>
      </w:pPr>
      <w:r w:rsidRPr="003C3404">
        <w:rPr>
          <w:sz w:val="18"/>
          <w:szCs w:val="18"/>
        </w:rPr>
        <w:t>Повећање доступности електронске управе грађанима и привреди кроз унапређење корисничких сервиса</w:t>
      </w:r>
    </w:p>
    <w:p w14:paraId="6F00322D" w14:textId="77777777" w:rsidR="00876FFE" w:rsidRPr="003C3404" w:rsidRDefault="00876FFE" w:rsidP="00E62A1A">
      <w:pPr>
        <w:pStyle w:val="FootnoteText"/>
        <w:numPr>
          <w:ilvl w:val="0"/>
          <w:numId w:val="50"/>
        </w:numPr>
        <w:ind w:left="426"/>
        <w:rPr>
          <w:sz w:val="18"/>
          <w:szCs w:val="18"/>
        </w:rPr>
      </w:pPr>
      <w:r w:rsidRPr="003C3404">
        <w:rPr>
          <w:sz w:val="18"/>
          <w:szCs w:val="18"/>
        </w:rPr>
        <w:t>Отворени подаци у електронској управи</w:t>
      </w:r>
    </w:p>
  </w:footnote>
  <w:footnote w:id="206">
    <w:p w14:paraId="75C2E380" w14:textId="77777777" w:rsidR="00876FFE" w:rsidRPr="003C3404" w:rsidRDefault="00876FFE" w:rsidP="00EA509E">
      <w:pPr>
        <w:pStyle w:val="FootnoteText"/>
        <w:rPr>
          <w:sz w:val="18"/>
          <w:szCs w:val="18"/>
        </w:rPr>
      </w:pPr>
      <w:r w:rsidRPr="003C3404">
        <w:rPr>
          <w:rStyle w:val="FootnoteReference"/>
          <w:sz w:val="18"/>
          <w:szCs w:val="18"/>
        </w:rPr>
        <w:footnoteRef/>
      </w:r>
      <w:r w:rsidRPr="003C3404">
        <w:rPr>
          <w:sz w:val="18"/>
          <w:szCs w:val="18"/>
        </w:rPr>
        <w:t xml:space="preserve"> Интернет портал Агенциј</w:t>
      </w:r>
      <w:r w:rsidRPr="003C3404">
        <w:rPr>
          <w:sz w:val="18"/>
          <w:szCs w:val="18"/>
          <w:lang w:val="sr-Cyrl-RS"/>
        </w:rPr>
        <w:t>е</w:t>
      </w:r>
      <w:r w:rsidRPr="003C3404">
        <w:rPr>
          <w:sz w:val="18"/>
          <w:szCs w:val="18"/>
        </w:rPr>
        <w:t xml:space="preserve"> за модернизацију управе у Португалији: </w:t>
      </w:r>
      <w:hyperlink r:id="rId118" w:history="1">
        <w:r w:rsidRPr="003C3404">
          <w:rPr>
            <w:rStyle w:val="Hyperlink"/>
            <w:sz w:val="18"/>
            <w:szCs w:val="18"/>
            <w:lang w:val="sr-Cyrl-RS"/>
          </w:rPr>
          <w:t>https://www.ama.gov.pt/web/english</w:t>
        </w:r>
      </w:hyperlink>
      <w:r w:rsidRPr="003C3404">
        <w:rPr>
          <w:sz w:val="18"/>
          <w:szCs w:val="18"/>
        </w:rPr>
        <w:t xml:space="preserve"> </w:t>
      </w:r>
    </w:p>
  </w:footnote>
  <w:footnote w:id="207">
    <w:p w14:paraId="1AD2FB4A"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Почетно мерење: Принципи јавне управе – Србија, април 2015 године; Извештај о праћењу: Принципи јавне управе – Србија, новембар 2017. године, </w:t>
      </w:r>
      <w:hyperlink r:id="rId119" w:history="1">
        <w:r w:rsidRPr="0046371B">
          <w:rPr>
            <w:rStyle w:val="Hyperlink"/>
            <w:sz w:val="18"/>
            <w:szCs w:val="18"/>
          </w:rPr>
          <w:t>http://www.sigmaweb.org/publications/monitoring-reports.htm</w:t>
        </w:r>
      </w:hyperlink>
      <w:r w:rsidRPr="0046371B">
        <w:rPr>
          <w:sz w:val="18"/>
          <w:szCs w:val="18"/>
        </w:rPr>
        <w:t xml:space="preserve"> </w:t>
      </w:r>
    </w:p>
  </w:footnote>
  <w:footnote w:id="208">
    <w:p w14:paraId="2AFF1828"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Последњи годишњи извештај објављен је у октобру 2020. године, Европска комисија: Извештај за Србију 2020</w:t>
      </w:r>
      <w:r w:rsidRPr="0046371B">
        <w:rPr>
          <w:i/>
          <w:iCs/>
          <w:sz w:val="18"/>
          <w:szCs w:val="18"/>
        </w:rPr>
        <w:t xml:space="preserve">, </w:t>
      </w:r>
      <w:r w:rsidRPr="0046371B">
        <w:rPr>
          <w:sz w:val="18"/>
          <w:szCs w:val="18"/>
        </w:rPr>
        <w:t xml:space="preserve"> доступно на: </w:t>
      </w:r>
      <w:hyperlink r:id="rId120" w:history="1">
        <w:r w:rsidRPr="0046371B">
          <w:rPr>
            <w:rStyle w:val="Hyperlink"/>
            <w:sz w:val="18"/>
            <w:szCs w:val="18"/>
          </w:rPr>
          <w:t>http://europa.rs/godisnji-izvestaj-o-srbiji-2020/</w:t>
        </w:r>
      </w:hyperlink>
      <w:r w:rsidRPr="0046371B">
        <w:rPr>
          <w:sz w:val="18"/>
          <w:szCs w:val="18"/>
        </w:rPr>
        <w:t xml:space="preserve"> </w:t>
      </w:r>
    </w:p>
  </w:footnote>
  <w:footnote w:id="209">
    <w:p w14:paraId="174E7AF2"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i/>
          <w:sz w:val="18"/>
          <w:szCs w:val="18"/>
        </w:rPr>
        <w:t>OECD/SIGMA</w:t>
      </w:r>
      <w:r w:rsidRPr="0046371B">
        <w:rPr>
          <w:sz w:val="18"/>
          <w:szCs w:val="18"/>
        </w:rPr>
        <w:t xml:space="preserve">: Принципи јавне управе – издање 2017. </w:t>
      </w:r>
      <w:r w:rsidRPr="0046371B">
        <w:rPr>
          <w:sz w:val="18"/>
          <w:szCs w:val="18"/>
          <w:lang w:val="sr-Cyrl-RS"/>
        </w:rPr>
        <w:t>г</w:t>
      </w:r>
      <w:r w:rsidRPr="0046371B">
        <w:rPr>
          <w:sz w:val="18"/>
          <w:szCs w:val="18"/>
        </w:rPr>
        <w:t>одине</w:t>
      </w:r>
      <w:r w:rsidRPr="0046371B">
        <w:rPr>
          <w:sz w:val="18"/>
          <w:szCs w:val="18"/>
          <w:lang w:val="sr-Cyrl-RS"/>
        </w:rPr>
        <w:t>,</w:t>
      </w:r>
      <w:r w:rsidRPr="0046371B">
        <w:rPr>
          <w:sz w:val="18"/>
          <w:szCs w:val="18"/>
        </w:rPr>
        <w:t xml:space="preserve"> </w:t>
      </w:r>
      <w:hyperlink r:id="rId121" w:history="1">
        <w:r w:rsidRPr="0046371B">
          <w:rPr>
            <w:rStyle w:val="Hyperlink"/>
            <w:sz w:val="18"/>
            <w:szCs w:val="18"/>
          </w:rPr>
          <w:t>http://www.sigmaweb.org/publications/Principles_of_Public_Administration_2017_edition_SER.pdf</w:t>
        </w:r>
      </w:hyperlink>
      <w:r w:rsidRPr="0046371B">
        <w:rPr>
          <w:sz w:val="18"/>
          <w:szCs w:val="18"/>
        </w:rPr>
        <w:t xml:space="preserve"> </w:t>
      </w:r>
    </w:p>
  </w:footnote>
  <w:footnote w:id="210">
    <w:p w14:paraId="38CF432C"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Стратегија развоја правосуђа за период 2020</w:t>
      </w:r>
      <w:r w:rsidRPr="0046371B">
        <w:rPr>
          <w:sz w:val="18"/>
          <w:szCs w:val="18"/>
          <w:lang w:val="sr-Cyrl-RS"/>
        </w:rPr>
        <w:t>–</w:t>
      </w:r>
      <w:r w:rsidRPr="0046371B">
        <w:rPr>
          <w:sz w:val="18"/>
          <w:szCs w:val="18"/>
        </w:rPr>
        <w:t xml:space="preserve">2025. године, јул 2020, мера 6.3, </w:t>
      </w:r>
      <w:hyperlink r:id="rId122" w:history="1">
        <w:r w:rsidRPr="0046371B">
          <w:rPr>
            <w:rStyle w:val="Hyperlink"/>
            <w:sz w:val="18"/>
            <w:szCs w:val="18"/>
          </w:rPr>
          <w:t>https://www.mpravde.gov.rs/tekst/30402/revidirani-akcioni-plan-za-poglavlje-23-22072020.php</w:t>
        </w:r>
      </w:hyperlink>
      <w:r w:rsidRPr="0046371B">
        <w:rPr>
          <w:sz w:val="18"/>
          <w:szCs w:val="18"/>
        </w:rPr>
        <w:t xml:space="preserve"> </w:t>
      </w:r>
    </w:p>
  </w:footnote>
  <w:footnote w:id="211">
    <w:p w14:paraId="0250BDBD"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Ревидирани Акциони план за Поглавље 23, потпоглавље Правосуђе, јул 2020, активности: 1.3.3.2, 1.3.3.3, 1.3.3.4,: </w:t>
      </w:r>
      <w:hyperlink r:id="rId123" w:history="1">
        <w:r w:rsidRPr="0046371B">
          <w:rPr>
            <w:rStyle w:val="Hyperlink"/>
            <w:sz w:val="18"/>
            <w:szCs w:val="18"/>
          </w:rPr>
          <w:t>https://www.mpravde.gov.rs/tekst/30402/revidirani-akcioni-plan-za-poglavlje-23-22072020.php</w:t>
        </w:r>
      </w:hyperlink>
      <w:r w:rsidRPr="0046371B">
        <w:rPr>
          <w:sz w:val="18"/>
          <w:szCs w:val="18"/>
        </w:rPr>
        <w:t xml:space="preserve"> </w:t>
      </w:r>
    </w:p>
  </w:footnote>
  <w:footnote w:id="212">
    <w:p w14:paraId="6E8BAB76"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Област </w:t>
      </w:r>
      <w:r w:rsidRPr="0046371B">
        <w:rPr>
          <w:i/>
          <w:iCs/>
          <w:sz w:val="18"/>
          <w:szCs w:val="18"/>
        </w:rPr>
        <w:t xml:space="preserve">Јавна служба и управљање људским ресурсима, </w:t>
      </w:r>
      <w:r w:rsidRPr="0046371B">
        <w:rPr>
          <w:sz w:val="18"/>
          <w:szCs w:val="18"/>
        </w:rPr>
        <w:t>принцип 7</w:t>
      </w:r>
      <w:r w:rsidRPr="0046371B">
        <w:rPr>
          <w:sz w:val="18"/>
          <w:szCs w:val="18"/>
          <w:lang w:val="sr-Cyrl-RS"/>
        </w:rPr>
        <w:t>–</w:t>
      </w:r>
      <w:r w:rsidRPr="0046371B">
        <w:rPr>
          <w:sz w:val="18"/>
          <w:szCs w:val="18"/>
        </w:rPr>
        <w:t xml:space="preserve"> Мере за промовисање интегритета и спречавање корупције и за обезбеђивање дисциплине у јавној служби, </w:t>
      </w:r>
      <w:r w:rsidRPr="0046371B">
        <w:rPr>
          <w:i/>
          <w:sz w:val="18"/>
          <w:szCs w:val="18"/>
        </w:rPr>
        <w:t>OECD/SIGMA</w:t>
      </w:r>
      <w:r w:rsidRPr="0046371B">
        <w:rPr>
          <w:sz w:val="18"/>
          <w:szCs w:val="18"/>
        </w:rPr>
        <w:t>: Принципи јавне управе – издање 2017. године, стр. 50,</w:t>
      </w:r>
    </w:p>
    <w:p w14:paraId="7F3DC9B9" w14:textId="77777777" w:rsidR="00876FFE" w:rsidRPr="008C7D53" w:rsidRDefault="00F47F65" w:rsidP="00CE6AC1">
      <w:pPr>
        <w:pStyle w:val="FootnoteText"/>
      </w:pPr>
      <w:hyperlink r:id="rId124" w:history="1">
        <w:r w:rsidR="00876FFE" w:rsidRPr="0046371B">
          <w:rPr>
            <w:rStyle w:val="Hyperlink"/>
            <w:sz w:val="18"/>
            <w:szCs w:val="18"/>
          </w:rPr>
          <w:t>http://www.sigmaweb.org/publications/Principles_of_Public_Administration_2017_edition_SER.pdf</w:t>
        </w:r>
      </w:hyperlink>
      <w:r w:rsidR="00876FFE" w:rsidRPr="00441BE2">
        <w:t xml:space="preserve"> </w:t>
      </w:r>
      <w:r w:rsidR="00876FFE" w:rsidRPr="00441BE2">
        <w:tab/>
      </w:r>
      <w:r w:rsidR="00876FFE">
        <w:t xml:space="preserve">                         </w:t>
      </w:r>
    </w:p>
  </w:footnote>
  <w:footnote w:id="213">
    <w:p w14:paraId="0070B8B8"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rStyle w:val="FootnoteReference"/>
          <w:rFonts w:eastAsia="Yu Gothic Light"/>
          <w:sz w:val="18"/>
          <w:szCs w:val="18"/>
        </w:rPr>
        <w:t xml:space="preserve"> </w:t>
      </w:r>
      <w:r w:rsidRPr="0046371B">
        <w:rPr>
          <w:sz w:val="18"/>
          <w:szCs w:val="18"/>
        </w:rPr>
        <w:t>Консолидовани годишњи извештај о стању интерне финансијске контроле (ИФКЈ) у јавном сектору у Р</w:t>
      </w:r>
      <w:r w:rsidRPr="0046371B">
        <w:rPr>
          <w:sz w:val="18"/>
          <w:szCs w:val="18"/>
          <w:lang w:val="sr-Cyrl-RS"/>
        </w:rPr>
        <w:t xml:space="preserve">епублици </w:t>
      </w:r>
      <w:r w:rsidRPr="0046371B">
        <w:rPr>
          <w:sz w:val="18"/>
          <w:szCs w:val="18"/>
        </w:rPr>
        <w:t>С</w:t>
      </w:r>
      <w:r w:rsidRPr="0046371B">
        <w:rPr>
          <w:sz w:val="18"/>
          <w:szCs w:val="18"/>
          <w:lang w:val="sr-Cyrl-RS"/>
        </w:rPr>
        <w:t>рбији:</w:t>
      </w:r>
      <w:r w:rsidRPr="0046371B">
        <w:rPr>
          <w:sz w:val="18"/>
          <w:szCs w:val="18"/>
        </w:rPr>
        <w:t xml:space="preserve"> </w:t>
      </w:r>
      <w:hyperlink r:id="rId125" w:history="1">
        <w:r w:rsidRPr="0046371B">
          <w:rPr>
            <w:rStyle w:val="Hyperlink"/>
            <w:sz w:val="18"/>
            <w:szCs w:val="18"/>
          </w:rPr>
          <w:t>http://ifkj.mfin.gov.rs/Dokumenta.aspx?tip=5</w:t>
        </w:r>
      </w:hyperlink>
    </w:p>
  </w:footnote>
  <w:footnote w:id="214">
    <w:p w14:paraId="7F6B1DB7" w14:textId="77777777" w:rsidR="00876FFE" w:rsidRPr="0046371B" w:rsidRDefault="00876FFE" w:rsidP="00CE6AC1">
      <w:pPr>
        <w:pStyle w:val="FootnoteText"/>
        <w:rPr>
          <w:rStyle w:val="Hyperlink"/>
          <w:sz w:val="18"/>
          <w:szCs w:val="18"/>
        </w:rPr>
      </w:pPr>
      <w:r w:rsidRPr="0046371B">
        <w:rPr>
          <w:rStyle w:val="FootnoteReference"/>
          <w:rFonts w:eastAsia="Yu Gothic Light"/>
          <w:sz w:val="18"/>
          <w:szCs w:val="18"/>
        </w:rPr>
        <w:footnoteRef/>
      </w:r>
      <w:r w:rsidRPr="0046371B">
        <w:rPr>
          <w:sz w:val="18"/>
          <w:szCs w:val="18"/>
          <w:lang w:val="sr-Cyrl-RS"/>
        </w:rPr>
        <w:t xml:space="preserve"> </w:t>
      </w:r>
      <w:hyperlink r:id="rId126" w:history="1">
        <w:r w:rsidRPr="0046371B">
          <w:rPr>
            <w:rStyle w:val="Hyperlink"/>
            <w:sz w:val="18"/>
            <w:szCs w:val="18"/>
          </w:rPr>
          <w:t>http://www.pravno-informacioni-sistem.rs/SlGlasnikPortal/eli/rep/sgrs/skupstina/zakon/2014/128/1/reg</w:t>
        </w:r>
      </w:hyperlink>
    </w:p>
  </w:footnote>
  <w:footnote w:id="215">
    <w:p w14:paraId="4B60027F" w14:textId="77777777" w:rsidR="00876FFE" w:rsidRPr="0046371B" w:rsidRDefault="00876FFE" w:rsidP="00CE6AC1">
      <w:pPr>
        <w:pStyle w:val="FootnoteText"/>
        <w:rPr>
          <w:rStyle w:val="Hyperlink"/>
          <w:sz w:val="18"/>
          <w:szCs w:val="18"/>
        </w:rPr>
      </w:pPr>
      <w:r w:rsidRPr="0046371B">
        <w:rPr>
          <w:rStyle w:val="FootnoteReference"/>
          <w:rFonts w:eastAsia="Yu Gothic Light"/>
          <w:sz w:val="18"/>
          <w:szCs w:val="18"/>
        </w:rPr>
        <w:footnoteRef/>
      </w:r>
      <w:r w:rsidRPr="0046371B">
        <w:rPr>
          <w:sz w:val="18"/>
          <w:szCs w:val="18"/>
        </w:rPr>
        <w:t xml:space="preserve"> Обавеза градова и општина да усвоје и примене локалне антикорупцијске планове предвиђена је Акционим планом за Поглавље 23 – област 2.2.10, стр. 193. и 194</w:t>
      </w:r>
      <w:r w:rsidRPr="0046371B">
        <w:rPr>
          <w:sz w:val="18"/>
          <w:szCs w:val="18"/>
          <w:lang w:val="sr-Cyrl-RS"/>
        </w:rPr>
        <w:t xml:space="preserve">: </w:t>
      </w:r>
      <w:r w:rsidRPr="0046371B">
        <w:rPr>
          <w:rStyle w:val="Hyperlink"/>
          <w:sz w:val="18"/>
          <w:szCs w:val="18"/>
        </w:rPr>
        <w:t>http://www.mpravde.gov.rs/tekst/2986/pregovori-sa-eu.php</w:t>
      </w:r>
    </w:p>
  </w:footnote>
  <w:footnote w:id="216">
    <w:p w14:paraId="3D4CA1AC" w14:textId="77777777" w:rsidR="00876FFE" w:rsidRPr="0046371B" w:rsidRDefault="00876FFE" w:rsidP="00CE6AC1">
      <w:pPr>
        <w:pStyle w:val="FootnoteText"/>
        <w:rPr>
          <w:i/>
          <w:iCs/>
          <w:sz w:val="18"/>
          <w:szCs w:val="18"/>
        </w:rPr>
      </w:pPr>
      <w:r w:rsidRPr="0046371B">
        <w:rPr>
          <w:rStyle w:val="FootnoteReference"/>
          <w:rFonts w:eastAsia="Yu Gothic Light"/>
          <w:sz w:val="18"/>
          <w:szCs w:val="18"/>
        </w:rPr>
        <w:footnoteRef/>
      </w:r>
      <w:r w:rsidRPr="0046371B">
        <w:rPr>
          <w:sz w:val="18"/>
          <w:szCs w:val="18"/>
        </w:rPr>
        <w:t xml:space="preserve"> </w:t>
      </w:r>
      <w:r w:rsidRPr="0046371B">
        <w:rPr>
          <w:i/>
          <w:sz w:val="18"/>
          <w:szCs w:val="18"/>
        </w:rPr>
        <w:t>OECD</w:t>
      </w:r>
      <w:r w:rsidRPr="0046371B">
        <w:rPr>
          <w:sz w:val="18"/>
          <w:szCs w:val="18"/>
        </w:rPr>
        <w:t>, Препоруке Савета за унапређење етичког поступања у јавн</w:t>
      </w:r>
      <w:r w:rsidRPr="0046371B">
        <w:rPr>
          <w:sz w:val="18"/>
          <w:szCs w:val="18"/>
          <w:lang w:val="sr-Cyrl-RS"/>
        </w:rPr>
        <w:t>ој</w:t>
      </w:r>
      <w:r w:rsidRPr="0046371B">
        <w:rPr>
          <w:sz w:val="18"/>
          <w:szCs w:val="18"/>
        </w:rPr>
        <w:t xml:space="preserve"> служби</w:t>
      </w:r>
      <w:r w:rsidRPr="0046371B">
        <w:rPr>
          <w:sz w:val="18"/>
          <w:szCs w:val="18"/>
          <w:lang w:val="sr-Cyrl-RS"/>
        </w:rPr>
        <w:t>,</w:t>
      </w:r>
      <w:r w:rsidRPr="0046371B">
        <w:rPr>
          <w:sz w:val="18"/>
          <w:szCs w:val="18"/>
        </w:rPr>
        <w:t xml:space="preserve"> укључујући принципе за управљање етиком у јавној служби, OECD/LEGAL/0298, 23. </w:t>
      </w:r>
      <w:r w:rsidRPr="0046371B">
        <w:rPr>
          <w:sz w:val="18"/>
          <w:szCs w:val="18"/>
          <w:lang w:val="sr-Cyrl-RS"/>
        </w:rPr>
        <w:t>април</w:t>
      </w:r>
      <w:r w:rsidRPr="0046371B">
        <w:rPr>
          <w:sz w:val="18"/>
          <w:szCs w:val="18"/>
        </w:rPr>
        <w:t xml:space="preserve"> 1998</w:t>
      </w:r>
      <w:r w:rsidRPr="0046371B">
        <w:rPr>
          <w:sz w:val="18"/>
          <w:szCs w:val="18"/>
          <w:lang w:val="sr-Cyrl-RS"/>
        </w:rPr>
        <w:t>:</w:t>
      </w:r>
      <w:r w:rsidRPr="0046371B">
        <w:rPr>
          <w:sz w:val="18"/>
          <w:szCs w:val="18"/>
        </w:rPr>
        <w:t xml:space="preserve"> </w:t>
      </w:r>
      <w:r w:rsidRPr="0046371B">
        <w:rPr>
          <w:rStyle w:val="Hyperlink"/>
          <w:sz w:val="18"/>
          <w:szCs w:val="18"/>
        </w:rPr>
        <w:t>https://legalinstruments.oecd.org/public/doc/129/129.en.pdf</w:t>
      </w:r>
    </w:p>
  </w:footnote>
  <w:footnote w:id="217">
    <w:p w14:paraId="3FE30DAA"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Смернице о концепту управљачке одговорности:</w:t>
      </w:r>
      <w:hyperlink r:id="rId127" w:history="1">
        <w:r w:rsidRPr="0046371B">
          <w:rPr>
            <w:rStyle w:val="Hyperlink"/>
            <w:sz w:val="18"/>
            <w:szCs w:val="18"/>
          </w:rPr>
          <w:t>https://www.mfin.gov.rs/UserFiles/File/CJH/2019/Smernice-o-upravljackoj-odgovornosti.pdf</w:t>
        </w:r>
      </w:hyperlink>
    </w:p>
  </w:footnote>
  <w:footnote w:id="218">
    <w:p w14:paraId="049005DB" w14:textId="77777777" w:rsidR="00876FFE" w:rsidRPr="0046371B" w:rsidRDefault="00876FFE" w:rsidP="00CE6AC1">
      <w:pPr>
        <w:pStyle w:val="FootnoteText"/>
        <w:rPr>
          <w:sz w:val="18"/>
          <w:szCs w:val="18"/>
          <w:lang w:val="sr-Cyrl-RS"/>
        </w:rPr>
      </w:pPr>
      <w:r w:rsidRPr="0046371B">
        <w:rPr>
          <w:rStyle w:val="FootnoteReference"/>
          <w:rFonts w:eastAsia="Yu Gothic Light"/>
          <w:sz w:val="18"/>
          <w:szCs w:val="18"/>
        </w:rPr>
        <w:footnoteRef/>
      </w:r>
      <w:r w:rsidRPr="0046371B">
        <w:rPr>
          <w:sz w:val="18"/>
          <w:szCs w:val="18"/>
        </w:rPr>
        <w:t xml:space="preserve"> Овај документ је припремљен током Пилот вежбе у оквиру Твининг пројекта са Француском </w:t>
      </w:r>
      <w:r w:rsidRPr="0046371B">
        <w:rPr>
          <w:sz w:val="18"/>
          <w:szCs w:val="18"/>
          <w:lang w:val="sr-Cyrl-RS"/>
        </w:rPr>
        <w:t>„</w:t>
      </w:r>
      <w:r w:rsidRPr="0046371B">
        <w:rPr>
          <w:sz w:val="18"/>
          <w:szCs w:val="18"/>
        </w:rPr>
        <w:t>Support to Further Development of PIFC</w:t>
      </w:r>
      <w:r w:rsidRPr="0046371B">
        <w:rPr>
          <w:sz w:val="18"/>
          <w:szCs w:val="18"/>
          <w:lang w:val="sr-Cyrl-RS"/>
        </w:rPr>
        <w:t>”</w:t>
      </w:r>
      <w:r w:rsidRPr="0046371B">
        <w:rPr>
          <w:sz w:val="18"/>
          <w:szCs w:val="18"/>
        </w:rPr>
        <w:t xml:space="preserve">, </w:t>
      </w:r>
      <w:r w:rsidRPr="0046371B">
        <w:rPr>
          <w:sz w:val="18"/>
          <w:szCs w:val="18"/>
          <w:lang w:val="sr-Cyrl-RS"/>
        </w:rPr>
        <w:t xml:space="preserve">који </w:t>
      </w:r>
      <w:r w:rsidRPr="0046371B">
        <w:rPr>
          <w:sz w:val="18"/>
          <w:szCs w:val="18"/>
        </w:rPr>
        <w:t>финансира ЕУ</w:t>
      </w:r>
      <w:r w:rsidRPr="0046371B">
        <w:rPr>
          <w:sz w:val="18"/>
          <w:szCs w:val="18"/>
          <w:lang w:val="sr-Cyrl-RS"/>
        </w:rPr>
        <w:t>.</w:t>
      </w:r>
    </w:p>
  </w:footnote>
  <w:footnote w:id="219">
    <w:p w14:paraId="243D66E5" w14:textId="77777777" w:rsidR="00876FFE" w:rsidRPr="0046371B" w:rsidRDefault="00876FFE" w:rsidP="00CE6AC1">
      <w:pPr>
        <w:pStyle w:val="FootnoteText"/>
        <w:rPr>
          <w:sz w:val="18"/>
          <w:szCs w:val="18"/>
          <w:lang w:val="sr-Cyrl-RS"/>
        </w:rPr>
      </w:pPr>
      <w:r w:rsidRPr="0046371B">
        <w:rPr>
          <w:rStyle w:val="FootnoteReference"/>
          <w:rFonts w:eastAsia="Yu Gothic Light"/>
          <w:sz w:val="18"/>
          <w:szCs w:val="18"/>
        </w:rPr>
        <w:footnoteRef/>
      </w:r>
      <w:r w:rsidRPr="0046371B">
        <w:rPr>
          <w:sz w:val="18"/>
          <w:szCs w:val="18"/>
        </w:rPr>
        <w:t xml:space="preserve"> Овај документ је припремљен током Пилот вежбе у оквиру Твининг пројекта са Француском „Support to Further Development of PIFC”, </w:t>
      </w:r>
      <w:r w:rsidRPr="0046371B">
        <w:rPr>
          <w:sz w:val="18"/>
          <w:szCs w:val="18"/>
          <w:lang w:val="sr-Cyrl-RS"/>
        </w:rPr>
        <w:t>који</w:t>
      </w:r>
      <w:r w:rsidRPr="0046371B">
        <w:rPr>
          <w:sz w:val="18"/>
          <w:szCs w:val="18"/>
        </w:rPr>
        <w:t xml:space="preserve"> финансира ЕУ</w:t>
      </w:r>
      <w:r w:rsidRPr="0046371B">
        <w:rPr>
          <w:sz w:val="18"/>
          <w:szCs w:val="18"/>
          <w:lang w:val="sr-Cyrl-RS"/>
        </w:rPr>
        <w:t>.</w:t>
      </w:r>
    </w:p>
  </w:footnote>
  <w:footnote w:id="220">
    <w:p w14:paraId="62A12BD7"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Акциони план за оптимизацију на основу препорука из Хоризонталне функционалне анализе за Државну управу плус за период 2017–2018, доступно на </w:t>
      </w:r>
      <w:hyperlink r:id="rId128" w:history="1">
        <w:r w:rsidRPr="0046371B">
          <w:rPr>
            <w:sz w:val="18"/>
            <w:szCs w:val="18"/>
          </w:rPr>
          <w:t>http://upravljanjepromenama.gov.rs/wp-content/uploads/2019/02/Akcioni-plan-za-optimizaciju-na-osnovu-preporuka-iz-dokumenta-Svetske-banke-Horizontalna-funkcionalna-analiza-20dec2017final-1.pdf</w:t>
        </w:r>
      </w:hyperlink>
      <w:r w:rsidRPr="0046371B">
        <w:rPr>
          <w:sz w:val="18"/>
          <w:szCs w:val="18"/>
        </w:rPr>
        <w:t xml:space="preserve">  </w:t>
      </w:r>
    </w:p>
  </w:footnote>
  <w:footnote w:id="221">
    <w:p w14:paraId="5C1BD057"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Члан 77. Закона о државној управи</w:t>
      </w:r>
    </w:p>
  </w:footnote>
  <w:footnote w:id="222">
    <w:p w14:paraId="32146F66"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Портал отворених података: </w:t>
      </w:r>
      <w:hyperlink r:id="rId129" w:history="1">
        <w:r w:rsidRPr="0046371B">
          <w:rPr>
            <w:rStyle w:val="Hyperlink"/>
            <w:sz w:val="18"/>
            <w:szCs w:val="18"/>
          </w:rPr>
          <w:t>https://data.gov.rs/sr/</w:t>
        </w:r>
      </w:hyperlink>
      <w:r w:rsidRPr="0046371B">
        <w:rPr>
          <w:sz w:val="18"/>
          <w:szCs w:val="18"/>
        </w:rPr>
        <w:t xml:space="preserve"> </w:t>
      </w:r>
    </w:p>
  </w:footnote>
  <w:footnote w:id="223">
    <w:p w14:paraId="55027512"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w:t>
      </w:r>
      <w:hyperlink r:id="rId130" w:history="1">
        <w:r w:rsidRPr="0046371B">
          <w:rPr>
            <w:rStyle w:val="Hyperlink"/>
            <w:sz w:val="18"/>
            <w:szCs w:val="18"/>
          </w:rPr>
          <w:t>http://www.pravno-informacioni-sistem.rs/SlGlasnikPortal/eli/rep/sgrs/vlada/uredba/2018/104/5/reg</w:t>
        </w:r>
      </w:hyperlink>
    </w:p>
  </w:footnote>
  <w:footnote w:id="224">
    <w:p w14:paraId="5A520549"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Грађански водич кроз буџет Републике Србије за 2020. годину: </w:t>
      </w:r>
      <w:hyperlink r:id="rId131" w:history="1">
        <w:r w:rsidRPr="0046371B">
          <w:rPr>
            <w:rStyle w:val="Hyperlink"/>
            <w:sz w:val="18"/>
            <w:szCs w:val="18"/>
          </w:rPr>
          <w:t>https://www.mfin.gov.rs/dokumenti/gradjanski-vodic-kroz-budzet-republike-srbije-za-2019-godinu/</w:t>
        </w:r>
      </w:hyperlink>
    </w:p>
  </w:footnote>
  <w:footnote w:id="225">
    <w:p w14:paraId="17A1A1E1" w14:textId="77777777" w:rsidR="00876FFE" w:rsidRPr="0046371B" w:rsidRDefault="00876FFE" w:rsidP="00CE6AC1">
      <w:pPr>
        <w:pStyle w:val="FootnoteText"/>
        <w:rPr>
          <w:rStyle w:val="Hyperlink"/>
          <w:sz w:val="18"/>
          <w:szCs w:val="18"/>
        </w:rPr>
      </w:pPr>
      <w:r w:rsidRPr="0046371B">
        <w:rPr>
          <w:rStyle w:val="FootnoteReference"/>
          <w:rFonts w:eastAsia="Yu Gothic Light"/>
          <w:sz w:val="18"/>
          <w:szCs w:val="18"/>
        </w:rPr>
        <w:footnoteRef/>
      </w:r>
      <w:r w:rsidRPr="0046371B">
        <w:rPr>
          <w:sz w:val="18"/>
          <w:szCs w:val="18"/>
        </w:rPr>
        <w:t xml:space="preserve"> Општина Рума: </w:t>
      </w:r>
      <w:hyperlink r:id="rId132" w:history="1">
        <w:r w:rsidRPr="0046371B">
          <w:rPr>
            <w:rStyle w:val="Hyperlink"/>
            <w:sz w:val="18"/>
            <w:szCs w:val="18"/>
          </w:rPr>
          <w:t>http://skr.rs/qg7</w:t>
        </w:r>
      </w:hyperlink>
    </w:p>
  </w:footnote>
  <w:footnote w:id="226">
    <w:p w14:paraId="2ECBFED8" w14:textId="77777777" w:rsidR="00876FFE" w:rsidRPr="0046371B" w:rsidRDefault="00876FFE" w:rsidP="00CE6AC1">
      <w:pPr>
        <w:pStyle w:val="FootnoteText"/>
        <w:rPr>
          <w:rStyle w:val="Hyperlink"/>
          <w:sz w:val="18"/>
          <w:szCs w:val="18"/>
        </w:rPr>
      </w:pPr>
      <w:r w:rsidRPr="0046371B">
        <w:rPr>
          <w:rStyle w:val="FootnoteReference"/>
          <w:rFonts w:eastAsia="Yu Gothic Light"/>
          <w:sz w:val="18"/>
          <w:szCs w:val="18"/>
        </w:rPr>
        <w:footnoteRef/>
      </w:r>
      <w:r w:rsidRPr="0046371B">
        <w:rPr>
          <w:sz w:val="18"/>
          <w:szCs w:val="18"/>
        </w:rPr>
        <w:t xml:space="preserve">Канцеларија за сарадњу са цивилним друштвом, Календар јавних конкурса: </w:t>
      </w:r>
      <w:hyperlink r:id="rId133" w:history="1">
        <w:r w:rsidRPr="0046371B">
          <w:rPr>
            <w:rStyle w:val="Hyperlink"/>
            <w:sz w:val="18"/>
            <w:szCs w:val="18"/>
          </w:rPr>
          <w:t>https://konkursi.civilnodrustvo.gov.rs/naslovna</w:t>
        </w:r>
      </w:hyperlink>
    </w:p>
  </w:footnote>
  <w:footnote w:id="227">
    <w:p w14:paraId="62FC7098" w14:textId="77777777" w:rsidR="00876FFE" w:rsidRPr="0046371B" w:rsidRDefault="00876FFE" w:rsidP="00CE6AC1">
      <w:pPr>
        <w:pStyle w:val="FootnoteText"/>
        <w:rPr>
          <w:color w:val="0563C1"/>
          <w:sz w:val="18"/>
          <w:szCs w:val="18"/>
          <w:u w:val="single"/>
        </w:rPr>
      </w:pPr>
      <w:r w:rsidRPr="0046371B">
        <w:rPr>
          <w:rStyle w:val="FootnoteReference"/>
          <w:sz w:val="18"/>
          <w:szCs w:val="18"/>
        </w:rPr>
        <w:footnoteRef/>
      </w:r>
      <w:r w:rsidRPr="0046371B">
        <w:rPr>
          <w:sz w:val="18"/>
          <w:szCs w:val="18"/>
        </w:rPr>
        <w:t xml:space="preserve"> Влада Републике Србије </w:t>
      </w:r>
      <w:hyperlink r:id="rId134" w:history="1">
        <w:r w:rsidRPr="0046371B">
          <w:rPr>
            <w:rStyle w:val="Hyperlink"/>
            <w:sz w:val="18"/>
            <w:szCs w:val="18"/>
          </w:rPr>
          <w:t>https://www.srbija.gov.rs/</w:t>
        </w:r>
      </w:hyperlink>
    </w:p>
  </w:footnote>
  <w:footnote w:id="228">
    <w:p w14:paraId="0978660B"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Контакт центар уа јавну управу </w:t>
      </w:r>
      <w:r w:rsidRPr="0046371B">
        <w:rPr>
          <w:rStyle w:val="Hyperlink"/>
          <w:sz w:val="18"/>
          <w:szCs w:val="18"/>
        </w:rPr>
        <w:t>https://www.ite.gov.rs/tekst/1836/kontakt-centar-za-javnu-upravu-g2g.php</w:t>
      </w:r>
    </w:p>
  </w:footnote>
  <w:footnote w:id="229">
    <w:p w14:paraId="6AEF59E8" w14:textId="77777777" w:rsidR="00876FFE" w:rsidRPr="0046371B" w:rsidRDefault="00876FFE" w:rsidP="00CE6AC1">
      <w:pPr>
        <w:pStyle w:val="FootnoteText"/>
        <w:rPr>
          <w:color w:val="0563C1" w:themeColor="hyperlink"/>
          <w:sz w:val="18"/>
          <w:szCs w:val="18"/>
          <w:u w:val="single"/>
        </w:rPr>
      </w:pPr>
      <w:r w:rsidRPr="0046371B">
        <w:rPr>
          <w:rStyle w:val="FootnoteReference"/>
          <w:rFonts w:eastAsia="Yu Gothic Light"/>
          <w:sz w:val="18"/>
          <w:szCs w:val="18"/>
        </w:rPr>
        <w:footnoteRef/>
      </w:r>
      <w:r w:rsidRPr="0046371B">
        <w:rPr>
          <w:sz w:val="18"/>
          <w:szCs w:val="18"/>
        </w:rPr>
        <w:t xml:space="preserve"> Каталог органа јавне власти на сајту Повереника за информације од јавног значаја и заштиту података о личности </w:t>
      </w:r>
      <w:hyperlink r:id="rId135" w:history="1">
        <w:r w:rsidRPr="0046371B">
          <w:rPr>
            <w:rStyle w:val="Hyperlink"/>
            <w:sz w:val="18"/>
            <w:szCs w:val="18"/>
          </w:rPr>
          <w:t>https://www.poverenik.rs/sr-yu/katalog-organa.html</w:t>
        </w:r>
      </w:hyperlink>
      <w:r w:rsidRPr="0046371B">
        <w:rPr>
          <w:rStyle w:val="Hyperlink"/>
          <w:sz w:val="18"/>
          <w:szCs w:val="18"/>
          <w:lang w:val="sr-Cyrl-RS"/>
        </w:rPr>
        <w:t xml:space="preserve">, </w:t>
      </w:r>
      <w:r w:rsidRPr="0046371B">
        <w:rPr>
          <w:sz w:val="18"/>
          <w:szCs w:val="18"/>
        </w:rPr>
        <w:t xml:space="preserve">Каталог органа јавне власти на Порталу отворених података: </w:t>
      </w:r>
      <w:hyperlink r:id="rId136" w:history="1">
        <w:r w:rsidRPr="0046371B">
          <w:rPr>
            <w:rStyle w:val="Hyperlink"/>
            <w:sz w:val="18"/>
            <w:szCs w:val="18"/>
          </w:rPr>
          <w:t>https://data.gov.rs/sr/datasets/katalog/</w:t>
        </w:r>
      </w:hyperlink>
    </w:p>
  </w:footnote>
  <w:footnote w:id="230">
    <w:p w14:paraId="7B591609"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Партнерство за отворену управу </w:t>
      </w:r>
      <w:hyperlink r:id="rId137" w:history="1">
        <w:r w:rsidRPr="0046371B">
          <w:rPr>
            <w:rStyle w:val="Hyperlink"/>
            <w:sz w:val="18"/>
            <w:szCs w:val="18"/>
          </w:rPr>
          <w:t>https://www.opengovpartnership.org/</w:t>
        </w:r>
      </w:hyperlink>
    </w:p>
  </w:footnote>
  <w:footnote w:id="231">
    <w:p w14:paraId="23AF41BF"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Сви акциони планови за спровођење иницијативе </w:t>
      </w:r>
      <w:r w:rsidRPr="0046371B">
        <w:rPr>
          <w:sz w:val="18"/>
          <w:szCs w:val="18"/>
          <w:lang w:val="sr-Cyrl-RS"/>
        </w:rPr>
        <w:t>„</w:t>
      </w:r>
      <w:r w:rsidRPr="0046371B">
        <w:rPr>
          <w:sz w:val="18"/>
          <w:szCs w:val="18"/>
        </w:rPr>
        <w:t>Партнерство за отворену управу</w:t>
      </w:r>
      <w:r w:rsidRPr="0046371B">
        <w:rPr>
          <w:sz w:val="18"/>
          <w:szCs w:val="18"/>
          <w:lang w:val="sr-Cyrl-RS"/>
        </w:rPr>
        <w:t>”</w:t>
      </w:r>
      <w:r w:rsidRPr="0046371B">
        <w:rPr>
          <w:sz w:val="18"/>
          <w:szCs w:val="18"/>
        </w:rPr>
        <w:t xml:space="preserve"> су доступни на:   </w:t>
      </w:r>
      <w:hyperlink r:id="rId138" w:history="1">
        <w:r w:rsidRPr="0046371B">
          <w:rPr>
            <w:rStyle w:val="Hyperlink"/>
            <w:sz w:val="18"/>
            <w:szCs w:val="18"/>
          </w:rPr>
          <w:t>http://mduls.gov.rs/uprava-po-meri-svih-nas/strateska-dokumenta/</w:t>
        </w:r>
      </w:hyperlink>
    </w:p>
  </w:footnote>
  <w:footnote w:id="232">
    <w:p w14:paraId="1579F436" w14:textId="77777777" w:rsidR="00876FFE" w:rsidRPr="0046371B" w:rsidRDefault="00876FFE" w:rsidP="00CE6AC1">
      <w:pPr>
        <w:pStyle w:val="FootnoteText"/>
        <w:rPr>
          <w:rStyle w:val="Hyperlink"/>
          <w:sz w:val="18"/>
          <w:szCs w:val="18"/>
        </w:rPr>
      </w:pPr>
      <w:r w:rsidRPr="0046371B">
        <w:rPr>
          <w:rStyle w:val="FootnoteReference"/>
          <w:rFonts w:eastAsia="Yu Gothic Light"/>
          <w:sz w:val="18"/>
          <w:szCs w:val="18"/>
        </w:rPr>
        <w:footnoteRef/>
      </w:r>
      <w:r w:rsidRPr="0046371B">
        <w:rPr>
          <w:sz w:val="18"/>
          <w:szCs w:val="18"/>
        </w:rPr>
        <w:t xml:space="preserve"> Партнерство за отворену управу, Спровођење ПОУ у локалним срединама</w:t>
      </w:r>
      <w:r w:rsidRPr="0046371B">
        <w:rPr>
          <w:sz w:val="18"/>
          <w:szCs w:val="18"/>
          <w:lang w:val="sr-Cyrl-RS"/>
        </w:rPr>
        <w:t>:</w:t>
      </w:r>
      <w:r w:rsidRPr="0046371B">
        <w:rPr>
          <w:sz w:val="18"/>
          <w:szCs w:val="18"/>
        </w:rPr>
        <w:t xml:space="preserve"> </w:t>
      </w:r>
      <w:hyperlink r:id="rId139" w:history="1">
        <w:r w:rsidRPr="0046371B">
          <w:rPr>
            <w:rStyle w:val="Hyperlink"/>
            <w:sz w:val="18"/>
            <w:szCs w:val="18"/>
          </w:rPr>
          <w:t>https://ogp.rs/sprovodjenje-pou-u-lokalnim-sredinama/</w:t>
        </w:r>
      </w:hyperlink>
    </w:p>
  </w:footnote>
  <w:footnote w:id="233">
    <w:p w14:paraId="029A7B76"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Закон о инспекцијском надзору (,,Службени гласник РС</w:t>
      </w:r>
      <w:r w:rsidRPr="0046371B">
        <w:rPr>
          <w:sz w:val="18"/>
          <w:szCs w:val="18"/>
          <w:lang w:val="sr-Cyrl-RS"/>
        </w:rPr>
        <w:t>”</w:t>
      </w:r>
      <w:r w:rsidRPr="0046371B">
        <w:rPr>
          <w:sz w:val="18"/>
          <w:szCs w:val="18"/>
        </w:rPr>
        <w:t xml:space="preserve">, бр. 36/15, 44/18 </w:t>
      </w:r>
      <w:r w:rsidRPr="0046371B">
        <w:rPr>
          <w:sz w:val="18"/>
          <w:szCs w:val="18"/>
          <w:lang w:val="sr-Cyrl-RS"/>
        </w:rPr>
        <w:t>–</w:t>
      </w:r>
      <w:r w:rsidRPr="0046371B">
        <w:rPr>
          <w:sz w:val="18"/>
          <w:szCs w:val="18"/>
        </w:rPr>
        <w:t> др. закон, 95/18)</w:t>
      </w:r>
      <w:r w:rsidRPr="0046371B">
        <w:rPr>
          <w:sz w:val="18"/>
          <w:szCs w:val="18"/>
          <w:lang w:val="sr-Cyrl-RS"/>
        </w:rPr>
        <w:t>:</w:t>
      </w:r>
      <w:r w:rsidRPr="0046371B">
        <w:rPr>
          <w:sz w:val="18"/>
          <w:szCs w:val="18"/>
        </w:rPr>
        <w:t xml:space="preserve"> </w:t>
      </w:r>
      <w:hyperlink r:id="rId140" w:history="1">
        <w:r w:rsidRPr="0046371B">
          <w:rPr>
            <w:rStyle w:val="Hyperlink"/>
            <w:sz w:val="18"/>
            <w:szCs w:val="18"/>
          </w:rPr>
          <w:t>http://www.pravno-informacioni-sistem.rs/SlGlasnikPortal/eli/rep/sgrs/skupstina/zakon/2015/36/1/reg</w:t>
        </w:r>
      </w:hyperlink>
    </w:p>
  </w:footnote>
  <w:footnote w:id="234">
    <w:p w14:paraId="7B7F080C"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За више детаља види, на пример</w:t>
      </w:r>
      <w:r w:rsidRPr="0046371B">
        <w:rPr>
          <w:sz w:val="18"/>
          <w:szCs w:val="18"/>
          <w:lang w:val="sr-Cyrl-RS"/>
        </w:rPr>
        <w:t>:</w:t>
      </w:r>
      <w:r w:rsidRPr="0046371B">
        <w:rPr>
          <w:sz w:val="18"/>
          <w:szCs w:val="18"/>
        </w:rPr>
        <w:t xml:space="preserve"> </w:t>
      </w:r>
      <w:hyperlink r:id="rId141" w:history="1">
        <w:r w:rsidRPr="0046371B">
          <w:rPr>
            <w:rStyle w:val="Hyperlink"/>
            <w:sz w:val="18"/>
            <w:szCs w:val="18"/>
          </w:rPr>
          <w:t>https://govdata360.worldbank.org/subtopics/h8112a987?country=SRB</w:t>
        </w:r>
      </w:hyperlink>
      <w:r w:rsidRPr="0046371B">
        <w:rPr>
          <w:sz w:val="18"/>
          <w:szCs w:val="18"/>
        </w:rPr>
        <w:t xml:space="preserve"> </w:t>
      </w:r>
    </w:p>
  </w:footnote>
  <w:footnote w:id="235">
    <w:p w14:paraId="5364BEAE"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Закључци су доступни на </w:t>
      </w:r>
      <w:hyperlink r:id="rId142" w:history="1">
        <w:r w:rsidRPr="0046371B">
          <w:rPr>
            <w:rStyle w:val="Hyperlink"/>
            <w:sz w:val="18"/>
            <w:szCs w:val="18"/>
          </w:rPr>
          <w:t>http://www.parlament.gov.rs/akti/ostala-akta/doneta-akta/doneta-akta.1039.html</w:t>
        </w:r>
      </w:hyperlink>
    </w:p>
  </w:footnote>
  <w:footnote w:id="236">
    <w:p w14:paraId="5AF3EF9A"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Мониторинг извештај: Принципи јавне управе – Србија, новембар 2017, </w:t>
      </w:r>
      <w:r w:rsidRPr="0046371B">
        <w:rPr>
          <w:i/>
          <w:sz w:val="18"/>
          <w:szCs w:val="18"/>
        </w:rPr>
        <w:t>S</w:t>
      </w:r>
      <w:r w:rsidRPr="0046371B">
        <w:rPr>
          <w:i/>
          <w:sz w:val="18"/>
          <w:szCs w:val="18"/>
          <w:lang w:val="sr-Latn-RS"/>
        </w:rPr>
        <w:t>IGMA</w:t>
      </w:r>
      <w:r w:rsidRPr="0046371B">
        <w:rPr>
          <w:sz w:val="18"/>
          <w:szCs w:val="18"/>
        </w:rPr>
        <w:t xml:space="preserve"> Програм, </w:t>
      </w:r>
      <w:r w:rsidRPr="0046371B">
        <w:rPr>
          <w:i/>
          <w:sz w:val="18"/>
          <w:szCs w:val="18"/>
        </w:rPr>
        <w:t>OECD</w:t>
      </w:r>
      <w:r w:rsidRPr="0046371B">
        <w:rPr>
          <w:sz w:val="18"/>
          <w:szCs w:val="18"/>
        </w:rPr>
        <w:t xml:space="preserve"> 2017, стр. 93 и 95 </w:t>
      </w:r>
      <w:hyperlink r:id="rId143" w:history="1">
        <w:r w:rsidRPr="0046371B">
          <w:rPr>
            <w:rStyle w:val="Hyperlink"/>
            <w:sz w:val="18"/>
            <w:szCs w:val="18"/>
          </w:rPr>
          <w:t>http://www.sigmaweb.org/publications/Monitoring-Report-2017-Serbia.pdf</w:t>
        </w:r>
      </w:hyperlink>
      <w:r w:rsidRPr="0046371B">
        <w:rPr>
          <w:sz w:val="18"/>
          <w:szCs w:val="18"/>
        </w:rPr>
        <w:t xml:space="preserve"> </w:t>
      </w:r>
    </w:p>
  </w:footnote>
  <w:footnote w:id="237">
    <w:p w14:paraId="5B3BD158"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Мониторинг извештај</w:t>
      </w:r>
      <w:r w:rsidRPr="0046371B">
        <w:rPr>
          <w:i/>
          <w:iCs/>
          <w:sz w:val="18"/>
          <w:szCs w:val="18"/>
        </w:rPr>
        <w:t xml:space="preserve">: </w:t>
      </w:r>
      <w:r w:rsidRPr="0046371B">
        <w:rPr>
          <w:sz w:val="18"/>
          <w:szCs w:val="18"/>
        </w:rPr>
        <w:t>Принципи јавне управе – Србија, новембар 2017,</w:t>
      </w:r>
      <w:r w:rsidRPr="0046371B">
        <w:rPr>
          <w:i/>
          <w:iCs/>
          <w:sz w:val="18"/>
          <w:szCs w:val="18"/>
        </w:rPr>
        <w:t xml:space="preserve"> </w:t>
      </w:r>
      <w:r w:rsidRPr="0046371B">
        <w:rPr>
          <w:i/>
          <w:sz w:val="18"/>
          <w:szCs w:val="18"/>
        </w:rPr>
        <w:t>S</w:t>
      </w:r>
      <w:r w:rsidRPr="0046371B">
        <w:rPr>
          <w:i/>
          <w:sz w:val="18"/>
          <w:szCs w:val="18"/>
          <w:lang w:val="sr-Latn-RS"/>
        </w:rPr>
        <w:t>IGMA</w:t>
      </w:r>
      <w:r w:rsidRPr="0046371B">
        <w:rPr>
          <w:sz w:val="18"/>
          <w:szCs w:val="18"/>
        </w:rPr>
        <w:t xml:space="preserve"> Програм,</w:t>
      </w:r>
      <w:r w:rsidRPr="0046371B">
        <w:rPr>
          <w:i/>
          <w:sz w:val="18"/>
          <w:szCs w:val="18"/>
        </w:rPr>
        <w:t xml:space="preserve"> OECD</w:t>
      </w:r>
      <w:r w:rsidRPr="0046371B">
        <w:rPr>
          <w:sz w:val="18"/>
          <w:szCs w:val="18"/>
        </w:rPr>
        <w:t xml:space="preserve"> 2017, стр. 93 и 95 </w:t>
      </w:r>
      <w:hyperlink r:id="rId144" w:history="1">
        <w:r w:rsidRPr="0046371B">
          <w:rPr>
            <w:rStyle w:val="Hyperlink"/>
            <w:sz w:val="18"/>
            <w:szCs w:val="18"/>
          </w:rPr>
          <w:t>http://www.sigmaweb.org/publications/Monitoring-Report-2017-Serbia.pdf</w:t>
        </w:r>
      </w:hyperlink>
    </w:p>
  </w:footnote>
  <w:footnote w:id="238">
    <w:p w14:paraId="20DAF41D"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w:t>
      </w:r>
      <w:r w:rsidRPr="0046371B">
        <w:rPr>
          <w:sz w:val="18"/>
          <w:szCs w:val="18"/>
          <w:lang w:val="sr-Cyrl-RS"/>
        </w:rPr>
        <w:t>П</w:t>
      </w:r>
      <w:r w:rsidRPr="0046371B">
        <w:rPr>
          <w:sz w:val="18"/>
          <w:szCs w:val="18"/>
        </w:rPr>
        <w:t>ој</w:t>
      </w:r>
      <w:r w:rsidRPr="0046371B">
        <w:rPr>
          <w:sz w:val="18"/>
          <w:szCs w:val="18"/>
          <w:lang w:val="sr-Cyrl-RS"/>
        </w:rPr>
        <w:t>а</w:t>
      </w:r>
      <w:r w:rsidRPr="0046371B">
        <w:rPr>
          <w:sz w:val="18"/>
          <w:szCs w:val="18"/>
        </w:rPr>
        <w:t>м управљачке одговорности</w:t>
      </w:r>
      <w:r w:rsidRPr="0046371B">
        <w:rPr>
          <w:sz w:val="18"/>
          <w:szCs w:val="18"/>
          <w:lang w:val="sr-Cyrl-RS"/>
        </w:rPr>
        <w:t xml:space="preserve"> дефинисан је у </w:t>
      </w:r>
      <w:r w:rsidRPr="0046371B">
        <w:rPr>
          <w:sz w:val="18"/>
          <w:szCs w:val="18"/>
        </w:rPr>
        <w:t>Закону о буџетском систему</w:t>
      </w:r>
      <w:r w:rsidRPr="0046371B">
        <w:rPr>
          <w:sz w:val="18"/>
          <w:szCs w:val="18"/>
          <w:lang w:val="sr-Cyrl-RS"/>
        </w:rPr>
        <w:t xml:space="preserve"> као </w:t>
      </w:r>
      <w:r w:rsidRPr="0046371B">
        <w:rPr>
          <w:sz w:val="18"/>
          <w:szCs w:val="18"/>
        </w:rPr>
        <w:t xml:space="preserve">обавеза руководилаца свих нивоа корисника јавних средстава да све послове обављају законито, поштујући принципе економичности, ефективности, ефикасности и јавности, као и да за своје одлуке, поступке и резултате одговарају ономе који их је именовао или </w:t>
      </w:r>
      <w:r w:rsidRPr="0046371B">
        <w:rPr>
          <w:sz w:val="18"/>
          <w:szCs w:val="18"/>
          <w:lang w:val="sr-Cyrl-RS"/>
        </w:rPr>
        <w:t xml:space="preserve">ономе ко </w:t>
      </w:r>
      <w:r w:rsidRPr="0046371B">
        <w:rPr>
          <w:sz w:val="18"/>
          <w:szCs w:val="18"/>
        </w:rPr>
        <w:t xml:space="preserve">им пренео одговорност. С друге стране, Закон о државној управи садржи одредбе о овлашћењима и различитим аспектима управљачке одговорности министара, односно руководилаца органа. </w:t>
      </w:r>
    </w:p>
  </w:footnote>
  <w:footnote w:id="239">
    <w:p w14:paraId="0AD3B988"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w:t>
      </w:r>
      <w:r w:rsidRPr="0046371B">
        <w:rPr>
          <w:i/>
          <w:sz w:val="18"/>
          <w:szCs w:val="18"/>
        </w:rPr>
        <w:t>S</w:t>
      </w:r>
      <w:r w:rsidRPr="0046371B">
        <w:rPr>
          <w:i/>
          <w:sz w:val="18"/>
          <w:szCs w:val="18"/>
          <w:lang w:val="sr-Latn-RS"/>
        </w:rPr>
        <w:t>IGMA</w:t>
      </w:r>
      <w:r w:rsidRPr="0046371B">
        <w:rPr>
          <w:sz w:val="18"/>
          <w:szCs w:val="18"/>
        </w:rPr>
        <w:t xml:space="preserve"> билтен бр. 58, Управљачка одговорност на Западном Балкану, 2018, доступно на </w:t>
      </w:r>
      <w:hyperlink r:id="rId145" w:history="1">
        <w:r w:rsidRPr="0046371B">
          <w:rPr>
            <w:rStyle w:val="Hyperlink"/>
            <w:sz w:val="18"/>
            <w:szCs w:val="18"/>
          </w:rPr>
          <w:t>http://www.sigmaweb.org/publications/Managerial-accountability-in-the-Western-Balkans-SIGMA-Paper-58-November-2018.pdf</w:t>
        </w:r>
      </w:hyperlink>
      <w:r w:rsidRPr="0046371B">
        <w:rPr>
          <w:sz w:val="18"/>
          <w:szCs w:val="18"/>
        </w:rPr>
        <w:t xml:space="preserve"> </w:t>
      </w:r>
    </w:p>
  </w:footnote>
  <w:footnote w:id="240">
    <w:p w14:paraId="77814456"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Европска комисија: Извештај за Србију 2019, стр. 10, доступно на  </w:t>
      </w:r>
      <w:hyperlink r:id="rId146" w:history="1">
        <w:r w:rsidRPr="0046371B">
          <w:rPr>
            <w:rStyle w:val="Hyperlink"/>
            <w:sz w:val="18"/>
            <w:szCs w:val="18"/>
          </w:rPr>
          <w:t>https://www.mei.gov.rs/upload/documents/eu_dokumenta/godisnji_izvestaji_ek_o_napretku/20190529-serbia-report_SR_-_REVIDIRANO.pdf</w:t>
        </w:r>
      </w:hyperlink>
      <w:r w:rsidRPr="0046371B">
        <w:rPr>
          <w:sz w:val="18"/>
          <w:szCs w:val="18"/>
        </w:rPr>
        <w:t xml:space="preserve"> </w:t>
      </w:r>
    </w:p>
  </w:footnote>
  <w:footnote w:id="241">
    <w:p w14:paraId="35277E58"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Види Агенција за борбу против коруцпије, Извештај о раду за 2019. годину, 2020, стр. 27, доступно на </w:t>
      </w:r>
      <w:hyperlink r:id="rId147" w:history="1">
        <w:r w:rsidRPr="0046371B">
          <w:rPr>
            <w:rStyle w:val="Hyperlink"/>
            <w:sz w:val="18"/>
            <w:szCs w:val="18"/>
          </w:rPr>
          <w:t>http://www.acas.rs/wp-content/uploads/2020/03/ACASizvestaj2019WEB.pdf</w:t>
        </w:r>
      </w:hyperlink>
    </w:p>
  </w:footnote>
  <w:footnote w:id="242">
    <w:p w14:paraId="4726CD69"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Ј. Ницић и А. Арсенијевић Момчиловић, Увођење службеника за етику и интегритет у јавној управи у Србији </w:t>
      </w:r>
      <w:r w:rsidRPr="0046371B">
        <w:rPr>
          <w:sz w:val="18"/>
          <w:szCs w:val="18"/>
          <w:lang w:val="sr-Cyrl-RS"/>
        </w:rPr>
        <w:t xml:space="preserve">– </w:t>
      </w:r>
      <w:r w:rsidRPr="0046371B">
        <w:rPr>
          <w:sz w:val="18"/>
          <w:szCs w:val="18"/>
        </w:rPr>
        <w:t>Упоредна анализа система у Сједињеним Америчким Државама, Холандији и Хрватској и анализа националног нормативног оквира, EU IPA 2013 пројекат ,,Превенција и борба против корупције”,</w:t>
      </w:r>
      <w:r w:rsidRPr="00AB3A68">
        <w:t xml:space="preserve"> </w:t>
      </w:r>
      <w:r w:rsidRPr="0046371B">
        <w:rPr>
          <w:sz w:val="18"/>
          <w:szCs w:val="18"/>
        </w:rPr>
        <w:t>2019, стр. 37, 40 и 44, доступно</w:t>
      </w:r>
      <w:r w:rsidRPr="0046371B">
        <w:rPr>
          <w:color w:val="626262"/>
          <w:sz w:val="18"/>
          <w:szCs w:val="18"/>
          <w:shd w:val="clear" w:color="auto" w:fill="FCFCFC"/>
        </w:rPr>
        <w:t xml:space="preserve"> </w:t>
      </w:r>
      <w:r w:rsidRPr="0046371B">
        <w:rPr>
          <w:sz w:val="18"/>
          <w:szCs w:val="18"/>
          <w:shd w:val="clear" w:color="auto" w:fill="FCFCFC"/>
        </w:rPr>
        <w:t>на</w:t>
      </w:r>
      <w:r w:rsidRPr="0046371B">
        <w:rPr>
          <w:color w:val="626262"/>
          <w:sz w:val="18"/>
          <w:szCs w:val="18"/>
          <w:shd w:val="clear" w:color="auto" w:fill="FCFCFC"/>
        </w:rPr>
        <w:t xml:space="preserve"> </w:t>
      </w:r>
      <w:hyperlink r:id="rId148" w:history="1">
        <w:r w:rsidRPr="0046371B">
          <w:rPr>
            <w:rStyle w:val="Hyperlink"/>
            <w:sz w:val="18"/>
            <w:szCs w:val="18"/>
          </w:rPr>
          <w:t>http://www.acas.rs/wp-content/uploads/2020/01/2019-12-25-ANALIZA_Nacionalni-pravni-okvir-i-komparativna-analiza_oficiri-za-etiku.pdf?pismo=lat</w:t>
        </w:r>
      </w:hyperlink>
      <w:r w:rsidRPr="0046371B">
        <w:rPr>
          <w:sz w:val="18"/>
          <w:szCs w:val="18"/>
        </w:rPr>
        <w:t xml:space="preserve"> </w:t>
      </w:r>
    </w:p>
  </w:footnote>
  <w:footnote w:id="243">
    <w:p w14:paraId="36A30E03"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Извештај о раду Повереника за информације од јавног значаја и заштиту података о личности за 2018. годину https://www.poverenik.rs/sr-yu/o-nama/godisnji-izvestaji.html</w:t>
      </w:r>
    </w:p>
  </w:footnote>
  <w:footnote w:id="244">
    <w:p w14:paraId="285D4CE7"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Извештај о раду Повереника за информације од јавног значаја и заштиту података о личности за 2018. годину </w:t>
      </w:r>
      <w:hyperlink r:id="rId149" w:history="1">
        <w:r w:rsidRPr="0046371B">
          <w:rPr>
            <w:rStyle w:val="Hyperlink"/>
            <w:sz w:val="18"/>
            <w:szCs w:val="18"/>
          </w:rPr>
          <w:t>https://www.poverenik.rs/sr-yu/o-nama/godisnji-izvestaji.html</w:t>
        </w:r>
      </w:hyperlink>
      <w:r w:rsidRPr="0046371B">
        <w:rPr>
          <w:sz w:val="18"/>
          <w:szCs w:val="18"/>
        </w:rPr>
        <w:t xml:space="preserve"> </w:t>
      </w:r>
    </w:p>
  </w:footnote>
  <w:footnote w:id="245">
    <w:p w14:paraId="1E5BFC28"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Повереник за информације од јавног значаја и заштиту података о личности, Извештај </w:t>
      </w:r>
      <w:r w:rsidRPr="0046371B">
        <w:rPr>
          <w:sz w:val="18"/>
          <w:szCs w:val="18"/>
          <w:lang w:val="sr-Cyrl-RS"/>
        </w:rPr>
        <w:t>П</w:t>
      </w:r>
      <w:r w:rsidRPr="0046371B">
        <w:rPr>
          <w:sz w:val="18"/>
          <w:szCs w:val="18"/>
        </w:rPr>
        <w:t>овереника за 2019. годину, 2020, стр. 44, доступно на https://www.poverenik.rs/sr-yu/o-nama/godisnji-izvestaji.html</w:t>
      </w:r>
    </w:p>
  </w:footnote>
  <w:footnote w:id="246">
    <w:p w14:paraId="49E553E3"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Заштитник грађана, Редован годишњи извештај Заштитника грађана за 2018. годину, 2019, стр. 17</w:t>
      </w:r>
      <w:r w:rsidRPr="0046371B">
        <w:rPr>
          <w:sz w:val="18"/>
          <w:szCs w:val="18"/>
          <w:lang w:val="sr-Cyrl-RS"/>
        </w:rPr>
        <w:t>–</w:t>
      </w:r>
      <w:r w:rsidRPr="0046371B">
        <w:rPr>
          <w:sz w:val="18"/>
          <w:szCs w:val="18"/>
        </w:rPr>
        <w:t xml:space="preserve">19, доступно на </w:t>
      </w:r>
      <w:hyperlink r:id="rId150" w:history="1">
        <w:r w:rsidRPr="0046371B">
          <w:rPr>
            <w:rStyle w:val="Hyperlink"/>
            <w:sz w:val="18"/>
            <w:szCs w:val="18"/>
          </w:rPr>
          <w:t>https://www.ombudsman.rs/attachments/article/6062/Zastitnik%20gradjana_Godisnji%20izvestaj%20za%202018.%20godinu.pdf</w:t>
        </w:r>
      </w:hyperlink>
    </w:p>
  </w:footnote>
  <w:footnote w:id="247">
    <w:p w14:paraId="7DCFFEA2"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Заштитник грађана, Редован годишњи извештај Заштитника грађана за 2018. годину, 2019, стр. 17</w:t>
      </w:r>
      <w:r w:rsidRPr="0046371B">
        <w:rPr>
          <w:sz w:val="18"/>
          <w:szCs w:val="18"/>
          <w:lang w:val="sr-Cyrl-RS"/>
        </w:rPr>
        <w:t>–</w:t>
      </w:r>
      <w:r w:rsidRPr="0046371B">
        <w:rPr>
          <w:sz w:val="18"/>
          <w:szCs w:val="18"/>
        </w:rPr>
        <w:t xml:space="preserve">19, доступно на </w:t>
      </w:r>
      <w:hyperlink r:id="rId151" w:history="1">
        <w:r w:rsidRPr="0046371B">
          <w:rPr>
            <w:rStyle w:val="Hyperlink"/>
            <w:sz w:val="18"/>
            <w:szCs w:val="18"/>
          </w:rPr>
          <w:t>https://www.ombudsman.rs/attachments/article/6062/Zastitnik%20gradjana_Godisnji%20izvestaj%20za%202018.%20godinu.pdf</w:t>
        </w:r>
      </w:hyperlink>
    </w:p>
  </w:footnote>
  <w:footnote w:id="248">
    <w:p w14:paraId="2F687E85"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Заштитник грађана, Редовни годишњи извештај Заштитиника грађана за 2019. годину, 2020, стр. 26</w:t>
      </w:r>
      <w:r w:rsidRPr="0046371B">
        <w:rPr>
          <w:sz w:val="18"/>
          <w:szCs w:val="18"/>
          <w:lang w:val="sr-Cyrl-RS"/>
        </w:rPr>
        <w:t>–</w:t>
      </w:r>
      <w:r w:rsidRPr="0046371B">
        <w:rPr>
          <w:sz w:val="18"/>
          <w:szCs w:val="18"/>
        </w:rPr>
        <w:t xml:space="preserve">27, доступно на </w:t>
      </w:r>
      <w:hyperlink r:id="rId152" w:history="1">
        <w:r w:rsidRPr="0046371B">
          <w:rPr>
            <w:rStyle w:val="Hyperlink"/>
            <w:sz w:val="18"/>
            <w:szCs w:val="18"/>
          </w:rPr>
          <w:t>https://www.ombudsman.rs/index.php/izvestaji/godisnji-izvestaji</w:t>
        </w:r>
      </w:hyperlink>
    </w:p>
  </w:footnote>
  <w:footnote w:id="249">
    <w:p w14:paraId="56CA7CEC"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Повереник за заштиту равноправности, 2019, Скраћени редован годишњи извештај, стр 7</w:t>
      </w:r>
      <w:r w:rsidRPr="0046371B">
        <w:rPr>
          <w:sz w:val="18"/>
          <w:szCs w:val="18"/>
          <w:lang w:val="sr-Cyrl-RS"/>
        </w:rPr>
        <w:t>–</w:t>
      </w:r>
      <w:r w:rsidRPr="0046371B">
        <w:rPr>
          <w:sz w:val="18"/>
          <w:szCs w:val="18"/>
        </w:rPr>
        <w:t xml:space="preserve">8, доступно на </w:t>
      </w:r>
      <w:hyperlink r:id="rId153" w:history="1">
        <w:r w:rsidRPr="0046371B">
          <w:rPr>
            <w:rStyle w:val="Hyperlink"/>
            <w:sz w:val="18"/>
            <w:szCs w:val="18"/>
          </w:rPr>
          <w:t>http://ravnopravnost-5bcf.kxcdn.com/wp-content/uploads/2019/05/Srb-Skraceni-izvestaj-1.pdf</w:t>
        </w:r>
      </w:hyperlink>
    </w:p>
  </w:footnote>
  <w:footnote w:id="250">
    <w:p w14:paraId="312743F3" w14:textId="77777777" w:rsidR="00876FFE" w:rsidRPr="0046371B" w:rsidRDefault="00876FFE" w:rsidP="00CE6AC1">
      <w:pPr>
        <w:pStyle w:val="FootnoteText"/>
        <w:rPr>
          <w:iCs/>
          <w:sz w:val="18"/>
          <w:szCs w:val="18"/>
        </w:rPr>
      </w:pPr>
      <w:r w:rsidRPr="0046371B">
        <w:rPr>
          <w:rStyle w:val="FootnoteReference"/>
          <w:rFonts w:eastAsia="Yu Gothic Light"/>
          <w:sz w:val="18"/>
          <w:szCs w:val="18"/>
        </w:rPr>
        <w:footnoteRef/>
      </w:r>
      <w:r w:rsidRPr="0046371B">
        <w:rPr>
          <w:sz w:val="18"/>
          <w:szCs w:val="18"/>
        </w:rPr>
        <w:t xml:space="preserve"> Повереник за заштиту равноправности, 2019, Скраћени редован годишњи извештај, стр 7</w:t>
      </w:r>
      <w:r w:rsidRPr="0046371B">
        <w:rPr>
          <w:sz w:val="18"/>
          <w:szCs w:val="18"/>
          <w:lang w:val="sr-Cyrl-RS"/>
        </w:rPr>
        <w:t>–</w:t>
      </w:r>
      <w:r w:rsidRPr="0046371B">
        <w:rPr>
          <w:sz w:val="18"/>
          <w:szCs w:val="18"/>
        </w:rPr>
        <w:t xml:space="preserve">8, доступно на </w:t>
      </w:r>
      <w:hyperlink r:id="rId154" w:history="1">
        <w:r w:rsidRPr="0046371B">
          <w:rPr>
            <w:rStyle w:val="Hyperlink"/>
            <w:sz w:val="18"/>
            <w:szCs w:val="18"/>
          </w:rPr>
          <w:t>http://ravnopravnost-5bcf.kxcdn.com/wp-content/uploads/2019/05/Srb-Skraceni-izvestaj-1.pdf</w:t>
        </w:r>
      </w:hyperlink>
      <w:r w:rsidRPr="0046371B">
        <w:rPr>
          <w:rStyle w:val="Hyperlink"/>
          <w:sz w:val="18"/>
          <w:szCs w:val="18"/>
        </w:rPr>
        <w:t xml:space="preserve"> </w:t>
      </w:r>
    </w:p>
  </w:footnote>
  <w:footnote w:id="251">
    <w:p w14:paraId="4A668F6D"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Повереник за заштиту равноправности, Скраћени редован годишњи извештај за 2019. годину, 2020, стр. 9</w:t>
      </w:r>
      <w:r w:rsidRPr="0046371B">
        <w:rPr>
          <w:sz w:val="18"/>
          <w:szCs w:val="18"/>
          <w:lang w:val="sr-Cyrl-RS"/>
        </w:rPr>
        <w:t>–</w:t>
      </w:r>
      <w:r w:rsidRPr="0046371B">
        <w:rPr>
          <w:sz w:val="18"/>
          <w:szCs w:val="18"/>
        </w:rPr>
        <w:t>10, доступно на  http://ravnopravnost.gov.rs/izvestaji/</w:t>
      </w:r>
    </w:p>
  </w:footnote>
  <w:footnote w:id="252">
    <w:p w14:paraId="5B9933BE"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Агенција за борбу против корупције, Извештај о раду за 2018. годину,  2019, стр. 14, доступно на </w:t>
      </w:r>
      <w:hyperlink r:id="rId155" w:history="1">
        <w:r w:rsidRPr="0046371B">
          <w:rPr>
            <w:rStyle w:val="Hyperlink"/>
            <w:sz w:val="18"/>
            <w:szCs w:val="18"/>
          </w:rPr>
          <w:t>http://www.acas.rs/wp-content/uploads/2019/04/ACAS-izvestaj-web.pdf</w:t>
        </w:r>
      </w:hyperlink>
    </w:p>
  </w:footnote>
  <w:footnote w:id="253">
    <w:p w14:paraId="1F62F67D"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iCs/>
          <w:sz w:val="18"/>
          <w:szCs w:val="18"/>
        </w:rPr>
        <w:t xml:space="preserve"> </w:t>
      </w:r>
      <w:r w:rsidRPr="0046371B">
        <w:rPr>
          <w:sz w:val="18"/>
          <w:szCs w:val="18"/>
        </w:rPr>
        <w:t>Агенција за борбу против корупције, Извештај о раду за 2018. годину,  2019, стр. 14</w:t>
      </w:r>
    </w:p>
  </w:footnote>
  <w:footnote w:id="254">
    <w:p w14:paraId="3296D38E"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Агенција за борбу против корупције, Извештај о раду за 2018. годину,  2019, стр. 26</w:t>
      </w:r>
    </w:p>
  </w:footnote>
  <w:footnote w:id="255">
    <w:p w14:paraId="5F3EC6A0" w14:textId="77777777" w:rsidR="00876FFE" w:rsidRPr="0046371B" w:rsidRDefault="00876FFE" w:rsidP="00CE6AC1">
      <w:pPr>
        <w:pStyle w:val="FootnoteText"/>
        <w:rPr>
          <w:sz w:val="18"/>
          <w:szCs w:val="18"/>
        </w:rPr>
      </w:pPr>
      <w:r w:rsidRPr="0046371B">
        <w:rPr>
          <w:rStyle w:val="FootnoteReference"/>
          <w:rFonts w:eastAsia="Yu Gothic Light"/>
          <w:sz w:val="18"/>
          <w:szCs w:val="18"/>
        </w:rPr>
        <w:footnoteRef/>
      </w:r>
      <w:r w:rsidRPr="0046371B">
        <w:rPr>
          <w:sz w:val="18"/>
          <w:szCs w:val="18"/>
        </w:rPr>
        <w:t xml:space="preserve"> Агенција за борбу против корупције, Извештај о раду за 2018. годину,  2019, стр. 26</w:t>
      </w:r>
    </w:p>
  </w:footnote>
  <w:footnote w:id="256">
    <w:p w14:paraId="0656D261"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Агенција за борбу против корупције, Извештај о раду за 2018. годину,  2019, стр. 34 и 35</w:t>
      </w:r>
    </w:p>
  </w:footnote>
  <w:footnote w:id="257">
    <w:p w14:paraId="4BD17614" w14:textId="77777777" w:rsidR="00876FFE" w:rsidRPr="0046371B" w:rsidRDefault="00876FFE" w:rsidP="00CE6AC1">
      <w:pPr>
        <w:pStyle w:val="FootnoteText"/>
        <w:rPr>
          <w:sz w:val="18"/>
          <w:szCs w:val="18"/>
          <w:lang w:val="sr-Cyrl-RS"/>
        </w:rPr>
      </w:pPr>
      <w:r w:rsidRPr="0046371B">
        <w:rPr>
          <w:rStyle w:val="FootnoteReference"/>
          <w:sz w:val="18"/>
          <w:szCs w:val="18"/>
        </w:rPr>
        <w:footnoteRef/>
      </w:r>
      <w:r w:rsidRPr="0046371B">
        <w:rPr>
          <w:sz w:val="18"/>
          <w:szCs w:val="18"/>
        </w:rPr>
        <w:t xml:space="preserve"> Агенција за борбу против коруцпије, Извештај о раду за 2019. годину, 2020, стр. 23</w:t>
      </w:r>
      <w:r w:rsidRPr="0046371B">
        <w:rPr>
          <w:sz w:val="18"/>
          <w:szCs w:val="18"/>
          <w:lang w:val="sr-Cyrl-RS"/>
        </w:rPr>
        <w:t xml:space="preserve">, доступно на </w:t>
      </w:r>
      <w:hyperlink r:id="rId156" w:history="1">
        <w:r w:rsidRPr="0046371B">
          <w:rPr>
            <w:rStyle w:val="Hyperlink"/>
            <w:sz w:val="18"/>
            <w:szCs w:val="18"/>
          </w:rPr>
          <w:t>http://www.acas.rs/wp-content/uploads/2020/03/ACASizvestaj2019WEB.pdf</w:t>
        </w:r>
      </w:hyperlink>
    </w:p>
  </w:footnote>
  <w:footnote w:id="258">
    <w:p w14:paraId="3DABC8DD" w14:textId="77777777" w:rsidR="00876FFE" w:rsidRPr="0046371B" w:rsidRDefault="00876FFE" w:rsidP="00CE6AC1">
      <w:pPr>
        <w:pStyle w:val="FootnoteText"/>
        <w:rPr>
          <w:sz w:val="18"/>
          <w:szCs w:val="18"/>
        </w:rPr>
      </w:pPr>
      <w:r w:rsidRPr="0046371B">
        <w:rPr>
          <w:rStyle w:val="FootnoteReference"/>
          <w:sz w:val="18"/>
          <w:szCs w:val="18"/>
        </w:rPr>
        <w:footnoteRef/>
      </w:r>
      <w:r w:rsidRPr="0046371B">
        <w:rPr>
          <w:sz w:val="18"/>
          <w:szCs w:val="18"/>
        </w:rPr>
        <w:t xml:space="preserve"> Агенција за борбу против коруцпије, Извештај о раду за 2019. год</w:t>
      </w:r>
      <w:r>
        <w:rPr>
          <w:sz w:val="18"/>
          <w:szCs w:val="18"/>
        </w:rPr>
        <w:t>ину, 2020, стр. 61</w:t>
      </w:r>
    </w:p>
  </w:footnote>
  <w:footnote w:id="259">
    <w:p w14:paraId="024599D6" w14:textId="77777777" w:rsidR="00876FFE" w:rsidRDefault="00876FFE" w:rsidP="00CE6AC1">
      <w:pPr>
        <w:pStyle w:val="FootnoteText"/>
        <w:rPr>
          <w:sz w:val="18"/>
          <w:szCs w:val="18"/>
        </w:rPr>
      </w:pPr>
      <w:r w:rsidRPr="00AB3A68">
        <w:rPr>
          <w:rStyle w:val="FootnoteReference"/>
          <w:rFonts w:eastAsia="Yu Gothic Light"/>
          <w:sz w:val="18"/>
          <w:szCs w:val="18"/>
        </w:rPr>
        <w:footnoteRef/>
      </w:r>
      <w:r w:rsidRPr="00AB3A68">
        <w:rPr>
          <w:sz w:val="18"/>
          <w:szCs w:val="18"/>
        </w:rPr>
        <w:t xml:space="preserve"> Оцена спремности за отварање података у Републици Србији</w:t>
      </w:r>
    </w:p>
    <w:p w14:paraId="432B4829" w14:textId="77777777" w:rsidR="00876FFE" w:rsidRPr="00AB3A68" w:rsidRDefault="00F47F65" w:rsidP="00CE6AC1">
      <w:pPr>
        <w:pStyle w:val="FootnoteText"/>
        <w:rPr>
          <w:sz w:val="18"/>
          <w:szCs w:val="18"/>
        </w:rPr>
      </w:pPr>
      <w:hyperlink r:id="rId157" w:history="1">
        <w:r w:rsidR="00876FFE" w:rsidRPr="00AB3A68">
          <w:rPr>
            <w:rStyle w:val="Hyperlink"/>
            <w:sz w:val="18"/>
            <w:szCs w:val="18"/>
          </w:rPr>
          <w:t>https://www.rs.undp.org/content/serbia/sr/home/library/democratic_governance/ocena-spremnosti-za-otvaranje-podataka.html</w:t>
        </w:r>
      </w:hyperlink>
    </w:p>
  </w:footnote>
  <w:footnote w:id="260">
    <w:p w14:paraId="6E7C272F" w14:textId="77777777" w:rsidR="00876FFE" w:rsidRPr="0046371B" w:rsidRDefault="00876FFE" w:rsidP="00CE6AC1">
      <w:pPr>
        <w:pStyle w:val="FootnoteText"/>
        <w:rPr>
          <w:rStyle w:val="Hyperlink"/>
          <w:sz w:val="18"/>
          <w:szCs w:val="18"/>
        </w:rPr>
      </w:pPr>
      <w:r w:rsidRPr="0046371B">
        <w:rPr>
          <w:rStyle w:val="FootnoteReference"/>
          <w:sz w:val="18"/>
          <w:szCs w:val="18"/>
        </w:rPr>
        <w:footnoteRef/>
      </w:r>
      <w:r w:rsidRPr="0046371B">
        <w:rPr>
          <w:sz w:val="18"/>
          <w:szCs w:val="18"/>
        </w:rPr>
        <w:t xml:space="preserve"> Смернице и препоруке за уво</w:t>
      </w:r>
      <w:r w:rsidRPr="0046371B">
        <w:rPr>
          <w:sz w:val="18"/>
          <w:szCs w:val="18"/>
          <w:lang w:val="sr-Cyrl-RS"/>
        </w:rPr>
        <w:t>Ђ</w:t>
      </w:r>
      <w:r w:rsidRPr="0046371B">
        <w:rPr>
          <w:sz w:val="18"/>
          <w:szCs w:val="18"/>
        </w:rPr>
        <w:t>ење слу</w:t>
      </w:r>
      <w:r w:rsidRPr="0046371B">
        <w:rPr>
          <w:sz w:val="18"/>
          <w:szCs w:val="18"/>
          <w:lang w:val="sr-Cyrl-RS"/>
        </w:rPr>
        <w:t>ж</w:t>
      </w:r>
      <w:r w:rsidRPr="0046371B">
        <w:rPr>
          <w:sz w:val="18"/>
          <w:szCs w:val="18"/>
        </w:rPr>
        <w:t xml:space="preserve">беника за етику и интегритет </w:t>
      </w:r>
      <w:hyperlink r:id="rId158" w:history="1">
        <w:r w:rsidRPr="0046371B">
          <w:rPr>
            <w:rStyle w:val="Hyperlink"/>
            <w:sz w:val="18"/>
            <w:szCs w:val="18"/>
          </w:rPr>
          <w:t>http://www.acas.rs/wp-content/uploads/2020/01/2019-12-25-Smernice-i-preporuke-za-uvodjenje-sluzbenika-za-etiku-i-integritet.pdf?pismo=lat</w:t>
        </w:r>
      </w:hyperlink>
    </w:p>
  </w:footnote>
  <w:footnote w:id="261">
    <w:p w14:paraId="2BF82233" w14:textId="77777777" w:rsidR="00876FFE" w:rsidRDefault="00876FFE" w:rsidP="00CE6AC1">
      <w:pPr>
        <w:pStyle w:val="FootnoteText"/>
      </w:pPr>
      <w:r w:rsidRPr="0046371B">
        <w:rPr>
          <w:rStyle w:val="FootnoteReference"/>
          <w:sz w:val="18"/>
          <w:szCs w:val="18"/>
        </w:rPr>
        <w:footnoteRef/>
      </w:r>
      <w:r w:rsidRPr="0046371B">
        <w:rPr>
          <w:sz w:val="18"/>
          <w:szCs w:val="18"/>
        </w:rPr>
        <w:t>Индекс перцепције корупције</w:t>
      </w:r>
      <w:r w:rsidRPr="0046371B">
        <w:rPr>
          <w:rStyle w:val="Hyperlink"/>
          <w:sz w:val="18"/>
          <w:szCs w:val="18"/>
        </w:rPr>
        <w:t xml:space="preserve">  </w:t>
      </w:r>
      <w:hyperlink r:id="rId159" w:history="1">
        <w:r w:rsidRPr="0046371B">
          <w:rPr>
            <w:rStyle w:val="Hyperlink"/>
            <w:sz w:val="18"/>
            <w:szCs w:val="18"/>
          </w:rPr>
          <w:t>https://www.transparency.org/en/cpi/2019/results/swz</w:t>
        </w:r>
      </w:hyperlink>
      <w:r w:rsidRPr="00DF1A3B">
        <w:rPr>
          <w:rStyle w:val="Hyperlink"/>
          <w:sz w:val="18"/>
          <w:szCs w:val="18"/>
        </w:rPr>
        <w:t xml:space="preserve"> </w:t>
      </w:r>
    </w:p>
  </w:footnote>
  <w:footnote w:id="262">
    <w:p w14:paraId="28AE31F0" w14:textId="77777777" w:rsidR="00876FFE" w:rsidRPr="00DA2C61" w:rsidRDefault="00876FFE" w:rsidP="00841714">
      <w:pPr>
        <w:pStyle w:val="FootnoteText"/>
        <w:rPr>
          <w:lang w:val="sr-Cyrl-RS"/>
        </w:rPr>
      </w:pPr>
      <w:r w:rsidRPr="00DA2C61">
        <w:rPr>
          <w:rStyle w:val="FootnoteReference"/>
          <w:sz w:val="18"/>
          <w:szCs w:val="18"/>
        </w:rPr>
        <w:footnoteRef/>
      </w:r>
      <w:r w:rsidRPr="00DA2C61">
        <w:t xml:space="preserve"> </w:t>
      </w:r>
      <w:r w:rsidRPr="00DA2C61">
        <w:rPr>
          <w:lang w:val="sr-Cyrl-RS"/>
        </w:rPr>
        <w:t xml:space="preserve">Индекс перцепције корупције, </w:t>
      </w:r>
      <w:hyperlink r:id="rId160" w:history="1">
        <w:r w:rsidRPr="00DA2C61">
          <w:rPr>
            <w:rStyle w:val="Hyperlink"/>
            <w:rFonts w:eastAsiaTheme="minorHAnsi"/>
            <w:sz w:val="18"/>
            <w:szCs w:val="18"/>
          </w:rPr>
          <w:t>https://www.transparency.org/en/cpi/2019/results/swz</w:t>
        </w:r>
      </w:hyperlink>
    </w:p>
  </w:footnote>
  <w:footnote w:id="263">
    <w:p w14:paraId="3DBE84B4" w14:textId="77777777" w:rsidR="00876FFE" w:rsidRPr="00874FE7" w:rsidRDefault="00876FFE" w:rsidP="00841714">
      <w:pPr>
        <w:pStyle w:val="FootnoteText"/>
      </w:pPr>
      <w:r w:rsidRPr="00874FE7">
        <w:rPr>
          <w:rStyle w:val="FootnoteReference"/>
          <w:sz w:val="18"/>
          <w:szCs w:val="18"/>
        </w:rPr>
        <w:footnoteRef/>
      </w:r>
      <w:r w:rsidRPr="00874FE7">
        <w:t xml:space="preserve"> </w:t>
      </w:r>
      <w:r w:rsidRPr="00874FE7">
        <w:rPr>
          <w:lang w:val="sr-Cyrl-RS"/>
        </w:rPr>
        <w:t>Упоредна искуства приказана су у У</w:t>
      </w:r>
      <w:r w:rsidRPr="00874FE7">
        <w:t>поредн</w:t>
      </w:r>
      <w:r w:rsidRPr="00874FE7">
        <w:rPr>
          <w:lang w:val="sr-Cyrl-RS"/>
        </w:rPr>
        <w:t>ој</w:t>
      </w:r>
      <w:r w:rsidRPr="00874FE7">
        <w:t xml:space="preserve"> анализ</w:t>
      </w:r>
      <w:r w:rsidRPr="00874FE7">
        <w:rPr>
          <w:lang w:val="sr-Cyrl-RS"/>
        </w:rPr>
        <w:t>и</w:t>
      </w:r>
      <w:r w:rsidRPr="00874FE7">
        <w:t xml:space="preserve"> система у С</w:t>
      </w:r>
      <w:r>
        <w:rPr>
          <w:lang w:val="sr-Cyrl-RS"/>
        </w:rPr>
        <w:t>АД</w:t>
      </w:r>
      <w:r w:rsidRPr="00874FE7">
        <w:t>, Холандији и Хрватској и Смерниц</w:t>
      </w:r>
      <w:r w:rsidRPr="00874FE7">
        <w:rPr>
          <w:lang w:val="sr-Cyrl-RS"/>
        </w:rPr>
        <w:t>ама</w:t>
      </w:r>
      <w:r w:rsidRPr="00874FE7">
        <w:t xml:space="preserve"> и препорук</w:t>
      </w:r>
      <w:r w:rsidRPr="00874FE7">
        <w:rPr>
          <w:lang w:val="sr-Cyrl-RS"/>
        </w:rPr>
        <w:t>ама</w:t>
      </w:r>
      <w:r w:rsidRPr="00874FE7">
        <w:t xml:space="preserve"> за увођење службеника за етику и интегритет у јавну управу Републике Србије</w:t>
      </w:r>
      <w:r w:rsidRPr="00874FE7">
        <w:rPr>
          <w:lang w:val="sr-Cyrl-RS"/>
        </w:rPr>
        <w:t xml:space="preserve">, доступно на </w:t>
      </w:r>
      <w:hyperlink r:id="rId161" w:history="1">
        <w:r w:rsidRPr="00874FE7">
          <w:rPr>
            <w:rStyle w:val="Hyperlink"/>
            <w:sz w:val="18"/>
            <w:szCs w:val="18"/>
          </w:rPr>
          <w:t>http://www.acas.rs/wp-content/uploads/2020/01/2019-12-25-Smernice-i-preporuke-za-uvodjenje-sluzbenika-za-etiku-i-integritet.pdf?pismo=lat</w:t>
        </w:r>
      </w:hyperlink>
    </w:p>
  </w:footnote>
  <w:footnote w:id="264">
    <w:p w14:paraId="50F5AFED" w14:textId="77777777" w:rsidR="00876FFE" w:rsidRPr="00B14976" w:rsidRDefault="00876FFE" w:rsidP="00B14976">
      <w:pPr>
        <w:ind w:firstLine="0"/>
        <w:rPr>
          <w:sz w:val="18"/>
          <w:szCs w:val="18"/>
        </w:rPr>
      </w:pPr>
      <w:r w:rsidRPr="00B14976">
        <w:rPr>
          <w:rStyle w:val="FootnoteReference"/>
          <w:sz w:val="18"/>
          <w:szCs w:val="18"/>
        </w:rPr>
        <w:footnoteRef/>
      </w:r>
      <w:r w:rsidRPr="00B14976">
        <w:rPr>
          <w:sz w:val="18"/>
          <w:szCs w:val="18"/>
        </w:rPr>
        <w:t xml:space="preserve"> Упоредна анализа система у САД, Холандији и Хрватској и Смернице и препорука за увођење службеника за етику и интегритет у јавну управу Републике Србије</w:t>
      </w:r>
    </w:p>
  </w:footnote>
  <w:footnote w:id="265">
    <w:p w14:paraId="46A92964" w14:textId="77777777" w:rsidR="00876FFE" w:rsidRPr="0090352B" w:rsidRDefault="00876FFE" w:rsidP="00BE0973">
      <w:pPr>
        <w:pStyle w:val="FootnoteText"/>
        <w:rPr>
          <w:sz w:val="18"/>
          <w:szCs w:val="18"/>
          <w:lang w:val="sr-Cyrl-RS"/>
        </w:rPr>
      </w:pPr>
      <w:r w:rsidRPr="0090352B">
        <w:rPr>
          <w:rStyle w:val="FootnoteReference"/>
          <w:sz w:val="18"/>
          <w:szCs w:val="18"/>
        </w:rPr>
        <w:footnoteRef/>
      </w:r>
      <w:r w:rsidRPr="0090352B">
        <w:rPr>
          <w:sz w:val="18"/>
          <w:szCs w:val="18"/>
        </w:rPr>
        <w:t xml:space="preserve"> </w:t>
      </w:r>
      <w:hyperlink r:id="rId162" w:history="1">
        <w:r w:rsidRPr="0090352B">
          <w:rPr>
            <w:rStyle w:val="Hyperlink"/>
            <w:rFonts w:eastAsiaTheme="majorEastAsia"/>
            <w:sz w:val="18"/>
            <w:szCs w:val="18"/>
          </w:rPr>
          <w:t>https://www.mfin.gov.rs/dokumenti/program-reforme-upravljanja-javnim-finansijama-pfm/</w:t>
        </w:r>
      </w:hyperlink>
    </w:p>
  </w:footnote>
  <w:footnote w:id="266">
    <w:p w14:paraId="62A5CA73" w14:textId="77777777" w:rsidR="00876FFE" w:rsidRPr="0090352B" w:rsidRDefault="00876FFE" w:rsidP="00BE0973">
      <w:pPr>
        <w:pStyle w:val="FootnoteText"/>
        <w:rPr>
          <w:sz w:val="18"/>
          <w:szCs w:val="18"/>
          <w:lang w:val="uz-Cyrl-UZ"/>
        </w:rPr>
      </w:pPr>
      <w:r w:rsidRPr="0090352B">
        <w:rPr>
          <w:rStyle w:val="FootnoteReference"/>
          <w:sz w:val="18"/>
          <w:szCs w:val="18"/>
        </w:rPr>
        <w:footnoteRef/>
      </w:r>
      <w:r w:rsidRPr="0090352B">
        <w:rPr>
          <w:sz w:val="18"/>
          <w:szCs w:val="18"/>
        </w:rPr>
        <w:t xml:space="preserve"> </w:t>
      </w:r>
      <w:hyperlink r:id="rId163" w:history="1">
        <w:r w:rsidRPr="0090352B">
          <w:rPr>
            <w:rStyle w:val="Hyperlink"/>
            <w:rFonts w:eastAsiaTheme="majorEastAsia"/>
            <w:sz w:val="18"/>
            <w:szCs w:val="18"/>
          </w:rPr>
          <w:t>https://www.pefa.org/</w:t>
        </w:r>
      </w:hyperlink>
    </w:p>
  </w:footnote>
  <w:footnote w:id="267">
    <w:p w14:paraId="0D5497EA" w14:textId="77777777" w:rsidR="00876FFE" w:rsidRPr="004C5BBA" w:rsidRDefault="00876FFE" w:rsidP="00BE0973">
      <w:pPr>
        <w:pStyle w:val="FootnoteText"/>
        <w:rPr>
          <w:sz w:val="18"/>
          <w:szCs w:val="18"/>
        </w:rPr>
      </w:pPr>
      <w:r w:rsidRPr="004C5BBA">
        <w:rPr>
          <w:rStyle w:val="FootnoteReference"/>
          <w:sz w:val="18"/>
          <w:szCs w:val="18"/>
        </w:rPr>
        <w:footnoteRef/>
      </w:r>
      <w:r w:rsidRPr="004C5BBA">
        <w:rPr>
          <w:sz w:val="18"/>
          <w:szCs w:val="18"/>
        </w:rPr>
        <w:t xml:space="preserve"> Отворена су следећа преговарачка поглавља: Јавне набавке (5), Економска и монетарна политика (17), Царинска унија (29), Финансијски надзор (32) и Финансијска и буџетска питања (33). Мерило за поглављe Регионална политика и координација структурних фондова (22) је испуњено и отварање се очекује у 2020, док мерило за отварање </w:t>
      </w:r>
      <w:r w:rsidRPr="004C5BBA">
        <w:rPr>
          <w:sz w:val="18"/>
          <w:szCs w:val="18"/>
          <w:lang w:val="sr-Cyrl-RS"/>
        </w:rPr>
        <w:t>П</w:t>
      </w:r>
      <w:r w:rsidRPr="004C5BBA">
        <w:rPr>
          <w:sz w:val="18"/>
          <w:szCs w:val="18"/>
        </w:rPr>
        <w:t>оглаввљa Опорезивање (16) још није испуњено.</w:t>
      </w:r>
    </w:p>
  </w:footnote>
  <w:footnote w:id="268">
    <w:p w14:paraId="0154A256" w14:textId="77777777" w:rsidR="00876FFE" w:rsidRPr="004C5BBA" w:rsidRDefault="00876FFE" w:rsidP="00BE0973">
      <w:pPr>
        <w:pStyle w:val="FootnoteText"/>
        <w:rPr>
          <w:sz w:val="18"/>
          <w:szCs w:val="18"/>
          <w:lang w:val="sr"/>
        </w:rPr>
      </w:pPr>
      <w:r w:rsidRPr="004C5BBA">
        <w:rPr>
          <w:rStyle w:val="FootnoteReference"/>
          <w:rFonts w:eastAsiaTheme="majorEastAsia"/>
          <w:sz w:val="18"/>
          <w:szCs w:val="18"/>
        </w:rPr>
        <w:footnoteRef/>
      </w:r>
      <w:r w:rsidRPr="004C5BBA">
        <w:rPr>
          <w:sz w:val="18"/>
          <w:szCs w:val="18"/>
        </w:rPr>
        <w:t xml:space="preserve"> </w:t>
      </w:r>
      <w:bookmarkStart w:id="240" w:name="_Hlk55219034"/>
      <w:r w:rsidRPr="004C5BBA">
        <w:rPr>
          <w:sz w:val="18"/>
          <w:szCs w:val="18"/>
          <w:lang w:val="uz-Cyrl-UZ"/>
        </w:rPr>
        <w:t>ЕК и</w:t>
      </w:r>
      <w:r w:rsidRPr="004C5BBA">
        <w:rPr>
          <w:sz w:val="18"/>
          <w:szCs w:val="18"/>
        </w:rPr>
        <w:t xml:space="preserve">звештај о напретку Србије </w:t>
      </w:r>
      <w:r w:rsidRPr="004C5BBA">
        <w:rPr>
          <w:sz w:val="18"/>
          <w:szCs w:val="18"/>
          <w:lang w:val="uz-Cyrl-UZ"/>
        </w:rPr>
        <w:t xml:space="preserve">2019, </w:t>
      </w:r>
      <w:r w:rsidRPr="004C5BBA">
        <w:rPr>
          <w:sz w:val="18"/>
          <w:szCs w:val="18"/>
          <w:lang w:val="sr"/>
        </w:rPr>
        <w:t>стр. 45.</w:t>
      </w:r>
      <w:bookmarkEnd w:id="240"/>
    </w:p>
  </w:footnote>
  <w:footnote w:id="269">
    <w:p w14:paraId="26E464CE" w14:textId="77777777" w:rsidR="00876FFE" w:rsidRPr="004C5BBA" w:rsidRDefault="00876FFE" w:rsidP="00BE0973">
      <w:pPr>
        <w:pStyle w:val="FootnoteText"/>
        <w:rPr>
          <w:sz w:val="18"/>
          <w:szCs w:val="18"/>
        </w:rPr>
      </w:pPr>
      <w:r w:rsidRPr="004C5BBA">
        <w:rPr>
          <w:rStyle w:val="FootnoteReference"/>
          <w:rFonts w:eastAsiaTheme="majorEastAsia"/>
          <w:sz w:val="18"/>
          <w:szCs w:val="18"/>
        </w:rPr>
        <w:footnoteRef/>
      </w:r>
      <w:r w:rsidRPr="004C5BBA">
        <w:rPr>
          <w:sz w:val="18"/>
          <w:szCs w:val="18"/>
        </w:rPr>
        <w:t xml:space="preserve"> Извештај ММФ бр.</w:t>
      </w:r>
      <w:r w:rsidRPr="004C5BBA">
        <w:rPr>
          <w:sz w:val="18"/>
          <w:szCs w:val="18"/>
          <w:lang w:val="sr"/>
        </w:rPr>
        <w:t xml:space="preserve"> 19/238</w:t>
      </w:r>
      <w:r w:rsidRPr="004C5BBA">
        <w:rPr>
          <w:sz w:val="18"/>
          <w:szCs w:val="18"/>
        </w:rPr>
        <w:t>.</w:t>
      </w:r>
    </w:p>
  </w:footnote>
  <w:footnote w:id="270">
    <w:p w14:paraId="22FC0915" w14:textId="77777777" w:rsidR="00876FFE" w:rsidRPr="004C5BBA" w:rsidRDefault="00876FFE" w:rsidP="00BE0973">
      <w:pPr>
        <w:pStyle w:val="FootnoteText"/>
        <w:rPr>
          <w:sz w:val="18"/>
          <w:szCs w:val="18"/>
        </w:rPr>
      </w:pPr>
      <w:r w:rsidRPr="004C5BBA">
        <w:rPr>
          <w:rStyle w:val="FootnoteReference"/>
          <w:sz w:val="18"/>
          <w:szCs w:val="18"/>
        </w:rPr>
        <w:footnoteRef/>
      </w:r>
      <w:r w:rsidRPr="004C5BBA">
        <w:rPr>
          <w:sz w:val="18"/>
          <w:szCs w:val="18"/>
        </w:rPr>
        <w:t xml:space="preserve"> ЕК извештај о напретку Србије 20</w:t>
      </w:r>
      <w:r w:rsidRPr="004C5BBA">
        <w:rPr>
          <w:sz w:val="18"/>
          <w:szCs w:val="18"/>
          <w:lang w:val="uz-Cyrl-UZ"/>
        </w:rPr>
        <w:t>20</w:t>
      </w:r>
      <w:r w:rsidRPr="004C5BBA">
        <w:rPr>
          <w:sz w:val="18"/>
          <w:szCs w:val="18"/>
        </w:rPr>
        <w:t xml:space="preserve">, стр. </w:t>
      </w:r>
      <w:r w:rsidRPr="004C5BBA">
        <w:rPr>
          <w:sz w:val="18"/>
          <w:szCs w:val="18"/>
          <w:lang w:val="uz-Cyrl-UZ"/>
        </w:rPr>
        <w:t>1</w:t>
      </w:r>
      <w:r w:rsidRPr="004C5BBA">
        <w:rPr>
          <w:sz w:val="18"/>
          <w:szCs w:val="18"/>
        </w:rPr>
        <w:t>5</w:t>
      </w:r>
    </w:p>
  </w:footnote>
  <w:footnote w:id="271">
    <w:p w14:paraId="39F52C3B" w14:textId="77777777" w:rsidR="00876FFE" w:rsidRPr="004C5BBA" w:rsidRDefault="00876FFE" w:rsidP="00BE0973">
      <w:pPr>
        <w:pStyle w:val="FootnoteText"/>
        <w:rPr>
          <w:sz w:val="18"/>
          <w:szCs w:val="18"/>
          <w:lang w:val="uz-Cyrl-UZ"/>
        </w:rPr>
      </w:pPr>
      <w:r w:rsidRPr="004C5BBA">
        <w:rPr>
          <w:rStyle w:val="FootnoteReference"/>
          <w:rFonts w:eastAsiaTheme="majorEastAsia"/>
          <w:sz w:val="18"/>
          <w:szCs w:val="18"/>
        </w:rPr>
        <w:footnoteRef/>
      </w:r>
      <w:r w:rsidRPr="004C5BBA">
        <w:rPr>
          <w:sz w:val="18"/>
          <w:szCs w:val="18"/>
        </w:rPr>
        <w:t xml:space="preserve"> Извештај о екстерној евалуациј</w:t>
      </w:r>
      <w:r w:rsidRPr="004C5BBA">
        <w:rPr>
          <w:sz w:val="18"/>
          <w:szCs w:val="18"/>
          <w:lang w:val="uz-Cyrl-UZ"/>
        </w:rPr>
        <w:t>и</w:t>
      </w:r>
      <w:r w:rsidRPr="004C5BBA">
        <w:rPr>
          <w:sz w:val="18"/>
          <w:szCs w:val="18"/>
        </w:rPr>
        <w:t xml:space="preserve"> Стратегије РЈУ</w:t>
      </w:r>
      <w:r w:rsidRPr="004C5BBA">
        <w:rPr>
          <w:sz w:val="18"/>
          <w:szCs w:val="18"/>
          <w:lang w:val="uz-Cyrl-UZ"/>
        </w:rPr>
        <w:t xml:space="preserve"> 2019, стр 40.</w:t>
      </w:r>
    </w:p>
  </w:footnote>
  <w:footnote w:id="272">
    <w:p w14:paraId="0DAE9B1B" w14:textId="77777777" w:rsidR="00876FFE" w:rsidRPr="004C5BBA" w:rsidRDefault="00876FFE" w:rsidP="00BE0973">
      <w:pPr>
        <w:pStyle w:val="FootnoteText"/>
        <w:rPr>
          <w:sz w:val="18"/>
          <w:szCs w:val="18"/>
        </w:rPr>
      </w:pPr>
      <w:r w:rsidRPr="004C5BBA">
        <w:rPr>
          <w:rStyle w:val="FootnoteReference"/>
          <w:sz w:val="18"/>
          <w:szCs w:val="18"/>
        </w:rPr>
        <w:footnoteRef/>
      </w:r>
      <w:r w:rsidRPr="004C5BBA">
        <w:rPr>
          <w:sz w:val="18"/>
          <w:szCs w:val="18"/>
        </w:rPr>
        <w:t xml:space="preserve"> ЕК извештај о напретку Србије 2020, стр. 92.</w:t>
      </w:r>
    </w:p>
    <w:p w14:paraId="7E81177F" w14:textId="77777777" w:rsidR="00876FFE" w:rsidRPr="004700F3" w:rsidRDefault="00876FFE" w:rsidP="00BE0973">
      <w:pPr>
        <w:pStyle w:val="FootnoteText"/>
      </w:pPr>
    </w:p>
  </w:footnote>
  <w:footnote w:id="273">
    <w:p w14:paraId="396F6849" w14:textId="77777777" w:rsidR="00876FFE" w:rsidRPr="00E351B0" w:rsidRDefault="00876FFE" w:rsidP="00BE0973">
      <w:pPr>
        <w:pStyle w:val="FootnoteText"/>
        <w:rPr>
          <w:lang w:val="uz-Cyrl-UZ"/>
        </w:rPr>
      </w:pPr>
      <w:r w:rsidRPr="00E351B0">
        <w:rPr>
          <w:rStyle w:val="FootnoteReference"/>
          <w:rFonts w:eastAsiaTheme="majorEastAsia"/>
          <w:sz w:val="18"/>
          <w:szCs w:val="18"/>
        </w:rPr>
        <w:footnoteRef/>
      </w:r>
      <w:r w:rsidRPr="00E351B0">
        <w:rPr>
          <w:rStyle w:val="FootnoteReference"/>
          <w:rFonts w:eastAsiaTheme="majorEastAsia"/>
          <w:sz w:val="18"/>
          <w:szCs w:val="18"/>
        </w:rPr>
        <w:t xml:space="preserve"> </w:t>
      </w:r>
      <w:bookmarkStart w:id="241" w:name="_Hlk55221467"/>
      <w:bookmarkStart w:id="242" w:name="_Hlk55221893"/>
      <w:r w:rsidRPr="00635008">
        <w:t xml:space="preserve">Посебна група за РЈУ за праћење спровођења </w:t>
      </w:r>
      <w:r w:rsidRPr="0037479A">
        <w:t>ССП</w:t>
      </w:r>
      <w:r w:rsidRPr="00CC399C">
        <w:t>,</w:t>
      </w:r>
      <w:r w:rsidRPr="00635008">
        <w:t xml:space="preserve"> </w:t>
      </w:r>
      <w:r w:rsidRPr="00635008">
        <w:rPr>
          <w:lang w:val="uz-Cyrl-UZ"/>
        </w:rPr>
        <w:t>записник са шестог састанка.</w:t>
      </w:r>
      <w:bookmarkEnd w:id="241"/>
      <w:bookmarkEnd w:id="242"/>
    </w:p>
  </w:footnote>
  <w:footnote w:id="274">
    <w:p w14:paraId="020089D2" w14:textId="77777777" w:rsidR="00876FFE" w:rsidRPr="00CC399C" w:rsidRDefault="00876FFE" w:rsidP="00BE0973">
      <w:pPr>
        <w:pStyle w:val="FootnoteText"/>
      </w:pPr>
      <w:r>
        <w:rPr>
          <w:rStyle w:val="FootnoteReference"/>
        </w:rPr>
        <w:footnoteRef/>
      </w:r>
      <w:r>
        <w:t xml:space="preserve"> </w:t>
      </w:r>
      <w:hyperlink r:id="rId164" w:history="1">
        <w:r>
          <w:rPr>
            <w:rStyle w:val="Hyperlink"/>
            <w:rFonts w:eastAsiaTheme="majorEastAsia"/>
          </w:rPr>
          <w:t>http://www.sind-pu.rs/dokument/Akcioni%20plan%20Programa%20transformacije%202018-2023.pdf</w:t>
        </w:r>
      </w:hyperlink>
    </w:p>
  </w:footnote>
  <w:footnote w:id="275">
    <w:p w14:paraId="69B3F3D6" w14:textId="77777777" w:rsidR="00876FFE" w:rsidRPr="00E351B0" w:rsidRDefault="00876FFE" w:rsidP="00BE0973">
      <w:pPr>
        <w:pStyle w:val="FootnoteText"/>
      </w:pPr>
      <w:r w:rsidRPr="00E351B0">
        <w:rPr>
          <w:rStyle w:val="FootnoteReference"/>
          <w:rFonts w:eastAsiaTheme="majorEastAsia"/>
          <w:sz w:val="18"/>
          <w:szCs w:val="18"/>
        </w:rPr>
        <w:footnoteRef/>
      </w:r>
      <w:r w:rsidRPr="00E351B0">
        <w:t xml:space="preserve"> ЕК извештај о напретку Србије 2019, </w:t>
      </w:r>
      <w:r w:rsidRPr="00E351B0">
        <w:rPr>
          <w:lang w:val="sr"/>
        </w:rPr>
        <w:t>стр. 89.</w:t>
      </w:r>
    </w:p>
  </w:footnote>
  <w:footnote w:id="276">
    <w:p w14:paraId="379E3B93" w14:textId="77777777" w:rsidR="00876FFE" w:rsidRPr="004700F3" w:rsidRDefault="00876FFE" w:rsidP="00BE0973">
      <w:pPr>
        <w:pStyle w:val="FootnoteText"/>
        <w:rPr>
          <w:lang w:val="uz-Cyrl-UZ"/>
        </w:rPr>
      </w:pPr>
      <w:r w:rsidRPr="00C83EB0">
        <w:rPr>
          <w:rStyle w:val="FootnoteReference"/>
          <w:sz w:val="18"/>
          <w:szCs w:val="18"/>
        </w:rPr>
        <w:footnoteRef/>
      </w:r>
      <w:r w:rsidRPr="00C83EB0">
        <w:t xml:space="preserve"> </w:t>
      </w:r>
      <w:r w:rsidRPr="00CD1A25">
        <w:t>https://www.erian.cz/en/</w:t>
      </w:r>
    </w:p>
  </w:footnote>
  <w:footnote w:id="277">
    <w:p w14:paraId="4C605749" w14:textId="77777777" w:rsidR="00876FFE" w:rsidRPr="0037479A" w:rsidRDefault="00876FFE" w:rsidP="00BE0973">
      <w:pPr>
        <w:pStyle w:val="FootnoteText"/>
        <w:rPr>
          <w:sz w:val="18"/>
          <w:szCs w:val="18"/>
        </w:rPr>
      </w:pPr>
      <w:r w:rsidRPr="0037479A">
        <w:rPr>
          <w:rStyle w:val="FootnoteReference"/>
          <w:rFonts w:eastAsiaTheme="majorEastAsia"/>
          <w:sz w:val="18"/>
          <w:szCs w:val="18"/>
        </w:rPr>
        <w:footnoteRef/>
      </w:r>
      <w:r w:rsidRPr="0037479A">
        <w:rPr>
          <w:sz w:val="18"/>
          <w:szCs w:val="18"/>
        </w:rPr>
        <w:t xml:space="preserve"> Извештај о самопроцени за Секторски реформски уговор за сектор РЈУ 2018, стр. 88.</w:t>
      </w:r>
    </w:p>
  </w:footnote>
  <w:footnote w:id="278">
    <w:p w14:paraId="2701600A" w14:textId="77777777" w:rsidR="00876FFE" w:rsidRPr="0037479A" w:rsidRDefault="00876FFE" w:rsidP="00BE0973">
      <w:pPr>
        <w:pStyle w:val="FootnoteText"/>
        <w:rPr>
          <w:sz w:val="18"/>
          <w:szCs w:val="18"/>
          <w:lang w:val="sr"/>
        </w:rPr>
      </w:pPr>
      <w:r w:rsidRPr="0037479A">
        <w:rPr>
          <w:rStyle w:val="FootnoteReference"/>
          <w:sz w:val="18"/>
          <w:szCs w:val="18"/>
        </w:rPr>
        <w:footnoteRef/>
      </w:r>
      <w:r w:rsidRPr="0037479A">
        <w:rPr>
          <w:sz w:val="18"/>
          <w:szCs w:val="18"/>
        </w:rPr>
        <w:t xml:space="preserve"> </w:t>
      </w:r>
      <w:hyperlink r:id="rId165" w:history="1">
        <w:r w:rsidRPr="0037479A">
          <w:rPr>
            <w:rStyle w:val="Hyperlink"/>
            <w:rFonts w:eastAsiaTheme="majorEastAsia"/>
            <w:sz w:val="18"/>
            <w:szCs w:val="18"/>
          </w:rPr>
          <w:t>https://www.ipsasb.org/</w:t>
        </w:r>
      </w:hyperlink>
    </w:p>
  </w:footnote>
  <w:footnote w:id="279">
    <w:p w14:paraId="7ACE3546" w14:textId="77777777" w:rsidR="00876FFE" w:rsidRPr="0037479A" w:rsidRDefault="00876FFE" w:rsidP="00BE0973">
      <w:pPr>
        <w:pStyle w:val="FootnoteText"/>
        <w:rPr>
          <w:sz w:val="18"/>
          <w:szCs w:val="18"/>
          <w:lang w:val="uz-Cyrl-UZ"/>
        </w:rPr>
      </w:pPr>
      <w:r w:rsidRPr="0037479A">
        <w:rPr>
          <w:rStyle w:val="FootnoteReference"/>
          <w:rFonts w:eastAsiaTheme="majorEastAsia"/>
          <w:sz w:val="18"/>
          <w:szCs w:val="18"/>
        </w:rPr>
        <w:footnoteRef/>
      </w:r>
      <w:r w:rsidRPr="0037479A">
        <w:rPr>
          <w:rStyle w:val="FootnoteReference"/>
          <w:rFonts w:eastAsiaTheme="majorEastAsia"/>
          <w:sz w:val="18"/>
          <w:szCs w:val="18"/>
        </w:rPr>
        <w:t xml:space="preserve"> </w:t>
      </w:r>
      <w:bookmarkStart w:id="245" w:name="_Hlk55221491"/>
      <w:r w:rsidRPr="0037479A">
        <w:rPr>
          <w:sz w:val="18"/>
          <w:szCs w:val="18"/>
        </w:rPr>
        <w:t>Ревидирани ПРУЈФ за период</w:t>
      </w:r>
      <w:bookmarkEnd w:id="245"/>
      <w:r w:rsidRPr="0037479A">
        <w:rPr>
          <w:sz w:val="18"/>
          <w:szCs w:val="18"/>
        </w:rPr>
        <w:t>, стр. 47</w:t>
      </w:r>
      <w:r w:rsidRPr="0037479A">
        <w:rPr>
          <w:sz w:val="18"/>
          <w:szCs w:val="18"/>
          <w:lang w:val="uz-Cyrl-UZ"/>
        </w:rPr>
        <w:t>.</w:t>
      </w:r>
    </w:p>
  </w:footnote>
  <w:footnote w:id="280">
    <w:p w14:paraId="53DEAFDF" w14:textId="77777777" w:rsidR="00876FFE" w:rsidRPr="0037479A" w:rsidRDefault="00876FFE" w:rsidP="00BE0973">
      <w:pPr>
        <w:pStyle w:val="FootnoteText"/>
        <w:rPr>
          <w:sz w:val="18"/>
          <w:szCs w:val="18"/>
        </w:rPr>
      </w:pPr>
      <w:r w:rsidRPr="0037479A">
        <w:rPr>
          <w:rStyle w:val="FootnoteReference"/>
          <w:sz w:val="18"/>
          <w:szCs w:val="18"/>
        </w:rPr>
        <w:footnoteRef/>
      </w:r>
      <w:r w:rsidRPr="0037479A">
        <w:rPr>
          <w:sz w:val="18"/>
          <w:szCs w:val="18"/>
        </w:rPr>
        <w:t xml:space="preserve"> ЕК извештај о напретку Србије 2020, стр.118.</w:t>
      </w:r>
    </w:p>
  </w:footnote>
  <w:footnote w:id="281">
    <w:p w14:paraId="210DD827" w14:textId="77777777" w:rsidR="00876FFE" w:rsidRPr="00C45D63" w:rsidRDefault="00876FFE" w:rsidP="00BE0973">
      <w:pPr>
        <w:pStyle w:val="FootnoteText"/>
        <w:rPr>
          <w:sz w:val="18"/>
          <w:szCs w:val="18"/>
        </w:rPr>
      </w:pPr>
      <w:r w:rsidRPr="0037479A">
        <w:rPr>
          <w:rStyle w:val="FootnoteReference"/>
          <w:rFonts w:eastAsiaTheme="majorEastAsia"/>
          <w:sz w:val="18"/>
          <w:szCs w:val="18"/>
        </w:rPr>
        <w:footnoteRef/>
      </w:r>
      <w:r w:rsidRPr="0037479A">
        <w:rPr>
          <w:sz w:val="18"/>
          <w:szCs w:val="18"/>
        </w:rPr>
        <w:t xml:space="preserve"> </w:t>
      </w:r>
      <w:bookmarkStart w:id="247" w:name="_Hlk55221231"/>
      <w:r w:rsidRPr="0037479A">
        <w:rPr>
          <w:sz w:val="18"/>
          <w:szCs w:val="18"/>
        </w:rPr>
        <w:t xml:space="preserve">ЕК извештај о напретку Србије </w:t>
      </w:r>
      <w:bookmarkEnd w:id="247"/>
      <w:r w:rsidRPr="0037479A">
        <w:rPr>
          <w:sz w:val="18"/>
          <w:szCs w:val="18"/>
        </w:rPr>
        <w:t>2018</w:t>
      </w:r>
      <w:r w:rsidRPr="00C45D63">
        <w:rPr>
          <w:sz w:val="18"/>
          <w:szCs w:val="18"/>
        </w:rPr>
        <w:t xml:space="preserve">, </w:t>
      </w:r>
      <w:r w:rsidRPr="0037479A">
        <w:rPr>
          <w:sz w:val="18"/>
          <w:szCs w:val="18"/>
          <w:lang w:val="sr"/>
        </w:rPr>
        <w:t>стр. 94.</w:t>
      </w:r>
    </w:p>
  </w:footnote>
  <w:footnote w:id="282">
    <w:p w14:paraId="2B2A175A" w14:textId="77777777" w:rsidR="00876FFE" w:rsidRPr="00C45D63" w:rsidRDefault="00876FFE" w:rsidP="00BE0973">
      <w:pPr>
        <w:pStyle w:val="FootnoteText"/>
        <w:rPr>
          <w:rFonts w:cstheme="majorBidi"/>
          <w:sz w:val="18"/>
          <w:szCs w:val="18"/>
        </w:rPr>
      </w:pPr>
      <w:r w:rsidRPr="0037479A">
        <w:rPr>
          <w:rStyle w:val="FootnoteReference"/>
          <w:rFonts w:asciiTheme="majorBidi" w:eastAsiaTheme="majorEastAsia" w:hAnsiTheme="majorBidi"/>
          <w:sz w:val="18"/>
          <w:szCs w:val="18"/>
        </w:rPr>
        <w:footnoteRef/>
      </w:r>
      <w:r w:rsidRPr="00C45D63">
        <w:rPr>
          <w:rFonts w:cstheme="majorBidi"/>
          <w:sz w:val="18"/>
          <w:szCs w:val="18"/>
        </w:rPr>
        <w:t xml:space="preserve"> </w:t>
      </w:r>
      <w:r w:rsidRPr="0037479A">
        <w:rPr>
          <w:rFonts w:cstheme="majorBidi"/>
          <w:sz w:val="18"/>
          <w:szCs w:val="18"/>
          <w:lang w:val="uz-Cyrl-UZ"/>
        </w:rPr>
        <w:t>Доступно на</w:t>
      </w:r>
      <w:r w:rsidRPr="00C45D63">
        <w:rPr>
          <w:rFonts w:cstheme="majorBidi"/>
          <w:sz w:val="18"/>
          <w:szCs w:val="18"/>
        </w:rPr>
        <w:t xml:space="preserve">: </w:t>
      </w:r>
      <w:hyperlink r:id="rId166" w:history="1">
        <w:r w:rsidRPr="0037479A">
          <w:rPr>
            <w:rStyle w:val="Hyperlink"/>
            <w:rFonts w:asciiTheme="majorBidi" w:eastAsiaTheme="majorEastAsia" w:hAnsiTheme="majorBidi"/>
            <w:sz w:val="18"/>
            <w:szCs w:val="18"/>
          </w:rPr>
          <w:t>https://www.mfin.gov.rs/UserFiles/File/CJH/2019/FUK%20prirucnik%20Compressed.pdf</w:t>
        </w:r>
      </w:hyperlink>
      <w:r w:rsidRPr="00C45D63">
        <w:rPr>
          <w:rFonts w:cstheme="majorBidi"/>
          <w:sz w:val="18"/>
          <w:szCs w:val="18"/>
        </w:rPr>
        <w:t>.</w:t>
      </w:r>
    </w:p>
  </w:footnote>
  <w:footnote w:id="283">
    <w:p w14:paraId="08CEA09B" w14:textId="77777777" w:rsidR="00876FFE" w:rsidRPr="0037479A" w:rsidRDefault="00876FFE" w:rsidP="00BE0973">
      <w:pPr>
        <w:pStyle w:val="FootnoteText"/>
        <w:rPr>
          <w:sz w:val="18"/>
          <w:szCs w:val="18"/>
        </w:rPr>
      </w:pPr>
      <w:r w:rsidRPr="0037479A">
        <w:rPr>
          <w:rStyle w:val="FootnoteReference"/>
          <w:sz w:val="18"/>
          <w:szCs w:val="18"/>
        </w:rPr>
        <w:footnoteRef/>
      </w:r>
      <w:r w:rsidRPr="0037479A">
        <w:rPr>
          <w:sz w:val="18"/>
          <w:szCs w:val="18"/>
          <w:lang w:val="uz-Cyrl-UZ"/>
        </w:rPr>
        <w:t xml:space="preserve"> </w:t>
      </w:r>
      <w:hyperlink r:id="rId167" w:history="1">
        <w:r w:rsidRPr="0037479A">
          <w:rPr>
            <w:rStyle w:val="Hyperlink"/>
            <w:rFonts w:eastAsiaTheme="majorEastAsia"/>
            <w:sz w:val="18"/>
            <w:szCs w:val="18"/>
          </w:rPr>
          <w:t>https://www.coso.org/Pages/default.aspx</w:t>
        </w:r>
      </w:hyperlink>
    </w:p>
  </w:footnote>
  <w:footnote w:id="284">
    <w:p w14:paraId="79F403AA" w14:textId="77777777" w:rsidR="00876FFE" w:rsidRPr="0037479A" w:rsidRDefault="00876FFE" w:rsidP="00BE0973">
      <w:pPr>
        <w:pStyle w:val="FootnoteText"/>
        <w:rPr>
          <w:sz w:val="18"/>
          <w:szCs w:val="18"/>
        </w:rPr>
      </w:pPr>
      <w:r w:rsidRPr="0037479A">
        <w:rPr>
          <w:rStyle w:val="FootnoteReference"/>
          <w:sz w:val="18"/>
          <w:szCs w:val="18"/>
        </w:rPr>
        <w:footnoteRef/>
      </w:r>
      <w:r w:rsidRPr="0037479A">
        <w:rPr>
          <w:sz w:val="18"/>
          <w:szCs w:val="18"/>
        </w:rPr>
        <w:t xml:space="preserve"> </w:t>
      </w:r>
      <w:hyperlink r:id="rId168" w:history="1">
        <w:r w:rsidRPr="0037479A">
          <w:rPr>
            <w:rStyle w:val="Hyperlink"/>
            <w:rFonts w:eastAsiaTheme="majorEastAsia"/>
            <w:sz w:val="18"/>
            <w:szCs w:val="18"/>
          </w:rPr>
          <w:t>https://www.intosai.org/</w:t>
        </w:r>
      </w:hyperlink>
    </w:p>
  </w:footnote>
  <w:footnote w:id="285">
    <w:p w14:paraId="213D9B27" w14:textId="77777777" w:rsidR="00876FFE" w:rsidRPr="004700F3" w:rsidRDefault="00876FFE" w:rsidP="00BE0973">
      <w:pPr>
        <w:pStyle w:val="FootnoteText"/>
      </w:pPr>
      <w:r w:rsidRPr="0037479A">
        <w:rPr>
          <w:rStyle w:val="FootnoteReference"/>
          <w:sz w:val="18"/>
          <w:szCs w:val="18"/>
        </w:rPr>
        <w:footnoteRef/>
      </w:r>
      <w:r w:rsidRPr="0037479A">
        <w:rPr>
          <w:sz w:val="18"/>
          <w:szCs w:val="18"/>
        </w:rPr>
        <w:t xml:space="preserve"> </w:t>
      </w:r>
      <w:hyperlink r:id="rId169" w:history="1">
        <w:r w:rsidRPr="0037479A">
          <w:rPr>
            <w:rStyle w:val="Hyperlink"/>
            <w:rFonts w:eastAsiaTheme="majorEastAsia"/>
            <w:sz w:val="18"/>
            <w:szCs w:val="18"/>
          </w:rPr>
          <w:t>https://global.theiia.org/standards-guidance/mandatory-guidance/Pages/Standards.aspx</w:t>
        </w:r>
      </w:hyperlink>
    </w:p>
  </w:footnote>
  <w:footnote w:id="286">
    <w:p w14:paraId="5375ED86" w14:textId="77777777" w:rsidR="00876FFE" w:rsidRPr="0037479A" w:rsidRDefault="00876FFE" w:rsidP="00BE0973">
      <w:pPr>
        <w:pStyle w:val="FootnoteText"/>
        <w:rPr>
          <w:sz w:val="18"/>
          <w:szCs w:val="18"/>
          <w:lang w:val="uz-Cyrl-UZ"/>
        </w:rPr>
      </w:pPr>
      <w:r w:rsidRPr="0037479A">
        <w:rPr>
          <w:rStyle w:val="FootnoteReference"/>
          <w:rFonts w:eastAsiaTheme="majorEastAsia"/>
          <w:sz w:val="18"/>
          <w:szCs w:val="18"/>
        </w:rPr>
        <w:footnoteRef/>
      </w:r>
      <w:r w:rsidRPr="0037479A">
        <w:rPr>
          <w:sz w:val="18"/>
          <w:szCs w:val="18"/>
        </w:rPr>
        <w:t xml:space="preserve"> Извештај о екстерној евалуациј</w:t>
      </w:r>
      <w:r w:rsidRPr="0037479A">
        <w:rPr>
          <w:sz w:val="18"/>
          <w:szCs w:val="18"/>
          <w:lang w:val="uz-Cyrl-UZ"/>
        </w:rPr>
        <w:t>и</w:t>
      </w:r>
      <w:r w:rsidRPr="0037479A">
        <w:rPr>
          <w:sz w:val="18"/>
          <w:szCs w:val="18"/>
        </w:rPr>
        <w:t xml:space="preserve"> Стратегије РЈУ </w:t>
      </w:r>
      <w:r w:rsidRPr="0037479A">
        <w:rPr>
          <w:sz w:val="18"/>
          <w:szCs w:val="18"/>
          <w:lang w:val="uz-Cyrl-UZ"/>
        </w:rPr>
        <w:t>2019, стр 52.</w:t>
      </w:r>
    </w:p>
  </w:footnote>
  <w:footnote w:id="287">
    <w:p w14:paraId="6E261D05" w14:textId="77777777" w:rsidR="00876FFE" w:rsidRPr="00C45D63" w:rsidRDefault="00876FFE" w:rsidP="00BE0973">
      <w:pPr>
        <w:pStyle w:val="FootnoteText"/>
        <w:rPr>
          <w:sz w:val="18"/>
          <w:szCs w:val="18"/>
          <w:lang w:val="uz-Cyrl-UZ"/>
        </w:rPr>
      </w:pPr>
      <w:r w:rsidRPr="0037479A">
        <w:rPr>
          <w:rStyle w:val="FootnoteReference"/>
          <w:rFonts w:eastAsiaTheme="majorEastAsia"/>
          <w:sz w:val="18"/>
          <w:szCs w:val="18"/>
        </w:rPr>
        <w:footnoteRef/>
      </w:r>
      <w:r w:rsidRPr="0037479A">
        <w:rPr>
          <w:sz w:val="18"/>
          <w:szCs w:val="18"/>
        </w:rPr>
        <w:t xml:space="preserve"> Ревидирани ПРУЈФ 2016</w:t>
      </w:r>
      <w:r w:rsidRPr="0037479A">
        <w:rPr>
          <w:sz w:val="18"/>
          <w:szCs w:val="18"/>
          <w:lang w:val="sr-Cyrl-RS"/>
        </w:rPr>
        <w:t>–</w:t>
      </w:r>
      <w:r w:rsidRPr="0037479A">
        <w:rPr>
          <w:sz w:val="18"/>
          <w:szCs w:val="18"/>
        </w:rPr>
        <w:t>2020 за период 2019</w:t>
      </w:r>
      <w:r w:rsidRPr="0037479A">
        <w:rPr>
          <w:sz w:val="18"/>
          <w:szCs w:val="18"/>
          <w:lang w:val="sr-Cyrl-RS"/>
        </w:rPr>
        <w:t>–</w:t>
      </w:r>
      <w:r w:rsidRPr="0037479A">
        <w:rPr>
          <w:sz w:val="18"/>
          <w:szCs w:val="18"/>
        </w:rPr>
        <w:t>2020, стр. 33.</w:t>
      </w:r>
    </w:p>
  </w:footnote>
  <w:footnote w:id="288">
    <w:p w14:paraId="473445DF" w14:textId="77777777" w:rsidR="00876FFE" w:rsidRPr="00C45D63" w:rsidRDefault="00876FFE" w:rsidP="00BE0973">
      <w:pPr>
        <w:pStyle w:val="FootnoteText"/>
        <w:rPr>
          <w:sz w:val="18"/>
          <w:szCs w:val="18"/>
          <w:lang w:val="uz-Cyrl-UZ"/>
        </w:rPr>
      </w:pPr>
      <w:r w:rsidRPr="00A967A7">
        <w:rPr>
          <w:rStyle w:val="FootnoteReference"/>
          <w:rFonts w:eastAsiaTheme="majorEastAsia"/>
          <w:sz w:val="18"/>
          <w:szCs w:val="18"/>
        </w:rPr>
        <w:footnoteRef/>
      </w:r>
      <w:r w:rsidRPr="00A967A7">
        <w:rPr>
          <w:sz w:val="18"/>
          <w:szCs w:val="18"/>
        </w:rPr>
        <w:t xml:space="preserve"> Посебна група за </w:t>
      </w:r>
      <w:r w:rsidRPr="00A967A7">
        <w:rPr>
          <w:sz w:val="18"/>
          <w:szCs w:val="18"/>
          <w:lang w:val="sr-Cyrl-RS"/>
        </w:rPr>
        <w:t xml:space="preserve">реформу јавне управе </w:t>
      </w:r>
      <w:r w:rsidRPr="00A967A7">
        <w:rPr>
          <w:sz w:val="18"/>
          <w:szCs w:val="18"/>
        </w:rPr>
        <w:t xml:space="preserve">за праћење спровођења ССП, </w:t>
      </w:r>
      <w:r w:rsidRPr="00A967A7">
        <w:rPr>
          <w:sz w:val="18"/>
          <w:szCs w:val="18"/>
          <w:lang w:val="uz-Cyrl-UZ"/>
        </w:rPr>
        <w:t>записник са шестог састанка.</w:t>
      </w:r>
    </w:p>
  </w:footnote>
  <w:footnote w:id="289">
    <w:p w14:paraId="3B695BFF" w14:textId="77777777" w:rsidR="00876FFE" w:rsidRPr="00A967A7" w:rsidRDefault="00876FFE" w:rsidP="00BE0973">
      <w:pPr>
        <w:pStyle w:val="FootnoteText"/>
        <w:rPr>
          <w:sz w:val="18"/>
          <w:szCs w:val="18"/>
          <w:lang w:val="uz-Cyrl-UZ"/>
        </w:rPr>
      </w:pPr>
      <w:r w:rsidRPr="00A967A7">
        <w:rPr>
          <w:rStyle w:val="FootnoteReference"/>
          <w:rFonts w:asciiTheme="majorBidi" w:hAnsiTheme="majorBidi"/>
          <w:sz w:val="18"/>
          <w:szCs w:val="18"/>
        </w:rPr>
        <w:footnoteRef/>
      </w:r>
      <w:r w:rsidRPr="00C45D63">
        <w:rPr>
          <w:sz w:val="18"/>
          <w:szCs w:val="18"/>
          <w:lang w:val="uz-Cyrl-UZ"/>
        </w:rPr>
        <w:t xml:space="preserve"> </w:t>
      </w:r>
      <w:r w:rsidRPr="00A967A7">
        <w:rPr>
          <w:sz w:val="18"/>
          <w:szCs w:val="18"/>
        </w:rPr>
        <w:t>Извештај</w:t>
      </w:r>
      <w:r w:rsidRPr="00C45D63">
        <w:rPr>
          <w:sz w:val="18"/>
          <w:szCs w:val="18"/>
          <w:lang w:val="uz-Cyrl-UZ"/>
        </w:rPr>
        <w:t xml:space="preserve"> </w:t>
      </w:r>
      <w:r w:rsidRPr="00A967A7">
        <w:rPr>
          <w:sz w:val="18"/>
          <w:szCs w:val="18"/>
        </w:rPr>
        <w:t>о</w:t>
      </w:r>
      <w:r w:rsidRPr="00C45D63">
        <w:rPr>
          <w:sz w:val="18"/>
          <w:szCs w:val="18"/>
          <w:lang w:val="uz-Cyrl-UZ"/>
        </w:rPr>
        <w:t xml:space="preserve"> </w:t>
      </w:r>
      <w:r w:rsidRPr="00A967A7">
        <w:rPr>
          <w:sz w:val="18"/>
          <w:szCs w:val="18"/>
        </w:rPr>
        <w:t>спровођењу</w:t>
      </w:r>
      <w:r w:rsidRPr="00C45D63">
        <w:rPr>
          <w:sz w:val="18"/>
          <w:szCs w:val="18"/>
          <w:lang w:val="uz-Cyrl-UZ"/>
        </w:rPr>
        <w:t xml:space="preserve"> </w:t>
      </w:r>
      <w:r w:rsidRPr="00A967A7">
        <w:rPr>
          <w:sz w:val="18"/>
          <w:szCs w:val="18"/>
          <w:lang w:val="uz-Cyrl-UZ"/>
        </w:rPr>
        <w:t>ПРУЈФ</w:t>
      </w:r>
      <w:r w:rsidRPr="00C45D63">
        <w:rPr>
          <w:sz w:val="18"/>
          <w:szCs w:val="18"/>
          <w:lang w:val="uz-Cyrl-UZ"/>
        </w:rPr>
        <w:t xml:space="preserve"> </w:t>
      </w:r>
      <w:r w:rsidRPr="00A967A7">
        <w:rPr>
          <w:sz w:val="18"/>
          <w:szCs w:val="18"/>
          <w:lang w:val="uz-Cyrl-UZ"/>
        </w:rPr>
        <w:t xml:space="preserve">2016–2020. </w:t>
      </w:r>
      <w:r w:rsidRPr="00A967A7">
        <w:rPr>
          <w:sz w:val="18"/>
          <w:szCs w:val="18"/>
        </w:rPr>
        <w:t>за</w:t>
      </w:r>
      <w:r w:rsidRPr="00C45D63">
        <w:rPr>
          <w:sz w:val="18"/>
          <w:szCs w:val="18"/>
          <w:lang w:val="uz-Cyrl-UZ"/>
        </w:rPr>
        <w:t xml:space="preserve"> </w:t>
      </w:r>
      <w:r w:rsidRPr="00A967A7">
        <w:rPr>
          <w:sz w:val="18"/>
          <w:szCs w:val="18"/>
        </w:rPr>
        <w:t>период</w:t>
      </w:r>
      <w:r w:rsidRPr="00C45D63">
        <w:rPr>
          <w:sz w:val="18"/>
          <w:szCs w:val="18"/>
          <w:lang w:val="uz-Cyrl-UZ"/>
        </w:rPr>
        <w:t xml:space="preserve"> </w:t>
      </w:r>
      <w:r w:rsidRPr="00A967A7">
        <w:rPr>
          <w:sz w:val="18"/>
          <w:szCs w:val="18"/>
        </w:rPr>
        <w:t>од</w:t>
      </w:r>
      <w:r w:rsidRPr="00C45D63">
        <w:rPr>
          <w:sz w:val="18"/>
          <w:szCs w:val="18"/>
          <w:lang w:val="uz-Cyrl-UZ"/>
        </w:rPr>
        <w:t xml:space="preserve"> </w:t>
      </w:r>
      <w:r w:rsidRPr="00A967A7">
        <w:rPr>
          <w:sz w:val="18"/>
          <w:szCs w:val="18"/>
        </w:rPr>
        <w:t>јануара</w:t>
      </w:r>
      <w:r w:rsidRPr="00C45D63">
        <w:rPr>
          <w:sz w:val="18"/>
          <w:szCs w:val="18"/>
          <w:lang w:val="uz-Cyrl-UZ"/>
        </w:rPr>
        <w:t xml:space="preserve"> </w:t>
      </w:r>
      <w:r w:rsidRPr="00A967A7">
        <w:rPr>
          <w:sz w:val="18"/>
          <w:szCs w:val="18"/>
        </w:rPr>
        <w:t>до</w:t>
      </w:r>
      <w:r w:rsidRPr="00C45D63">
        <w:rPr>
          <w:sz w:val="18"/>
          <w:szCs w:val="18"/>
          <w:lang w:val="uz-Cyrl-UZ"/>
        </w:rPr>
        <w:t xml:space="preserve"> </w:t>
      </w:r>
      <w:r w:rsidRPr="00A967A7">
        <w:rPr>
          <w:sz w:val="18"/>
          <w:szCs w:val="18"/>
        </w:rPr>
        <w:t>децембра</w:t>
      </w:r>
      <w:r w:rsidRPr="00C45D63">
        <w:rPr>
          <w:sz w:val="18"/>
          <w:szCs w:val="18"/>
          <w:lang w:val="uz-Cyrl-UZ"/>
        </w:rPr>
        <w:t xml:space="preserve"> 2019. </w:t>
      </w:r>
      <w:r w:rsidRPr="00A967A7">
        <w:rPr>
          <w:sz w:val="18"/>
          <w:szCs w:val="18"/>
          <w:lang w:val="uz-Cyrl-UZ"/>
        </w:rPr>
        <w:t>г</w:t>
      </w:r>
      <w:r w:rsidRPr="00A967A7">
        <w:rPr>
          <w:sz w:val="18"/>
          <w:szCs w:val="18"/>
        </w:rPr>
        <w:t>одине</w:t>
      </w:r>
      <w:r w:rsidRPr="00A967A7">
        <w:rPr>
          <w:sz w:val="18"/>
          <w:szCs w:val="18"/>
          <w:lang w:val="uz-Cyrl-UZ"/>
        </w:rPr>
        <w:t>.</w:t>
      </w:r>
    </w:p>
  </w:footnote>
  <w:footnote w:id="290">
    <w:p w14:paraId="53FB1343" w14:textId="77777777" w:rsidR="00876FFE" w:rsidRPr="00A967A7" w:rsidRDefault="00876FFE" w:rsidP="00BE0973">
      <w:pPr>
        <w:pStyle w:val="FootnoteText"/>
        <w:rPr>
          <w:sz w:val="18"/>
          <w:szCs w:val="18"/>
        </w:rPr>
      </w:pPr>
      <w:r w:rsidRPr="00A967A7">
        <w:rPr>
          <w:rStyle w:val="FootnoteReference"/>
          <w:rFonts w:asciiTheme="majorBidi" w:eastAsiaTheme="majorEastAsia" w:hAnsiTheme="majorBidi"/>
          <w:sz w:val="18"/>
          <w:szCs w:val="18"/>
        </w:rPr>
        <w:footnoteRef/>
      </w:r>
      <w:r w:rsidRPr="00A967A7">
        <w:rPr>
          <w:sz w:val="18"/>
          <w:szCs w:val="18"/>
        </w:rPr>
        <w:t xml:space="preserve"> ЕК извештај о напретку Србије 2020, стр .54.</w:t>
      </w:r>
    </w:p>
  </w:footnote>
  <w:footnote w:id="291">
    <w:p w14:paraId="621ED212" w14:textId="77777777" w:rsidR="00876FFE" w:rsidRPr="00A967A7" w:rsidRDefault="00876FFE" w:rsidP="00BE0973">
      <w:pPr>
        <w:pStyle w:val="FootnoteText"/>
        <w:rPr>
          <w:sz w:val="18"/>
          <w:szCs w:val="18"/>
        </w:rPr>
      </w:pPr>
      <w:r w:rsidRPr="00A967A7">
        <w:rPr>
          <w:rStyle w:val="FootnoteReference"/>
          <w:rFonts w:eastAsiaTheme="majorEastAsia"/>
          <w:sz w:val="18"/>
          <w:szCs w:val="18"/>
        </w:rPr>
        <w:footnoteRef/>
      </w:r>
      <w:r w:rsidRPr="00A967A7">
        <w:rPr>
          <w:sz w:val="18"/>
          <w:szCs w:val="18"/>
        </w:rPr>
        <w:t xml:space="preserve"> </w:t>
      </w:r>
      <w:r w:rsidRPr="00A967A7">
        <w:rPr>
          <w:i/>
          <w:sz w:val="18"/>
          <w:szCs w:val="18"/>
          <w:lang w:val="sr-Latn-RS"/>
        </w:rPr>
        <w:t>SIGMA</w:t>
      </w:r>
      <w:r w:rsidRPr="00A967A7">
        <w:rPr>
          <w:sz w:val="18"/>
          <w:szCs w:val="18"/>
        </w:rPr>
        <w:t xml:space="preserve"> извештај за Србију 2017, </w:t>
      </w:r>
      <w:r w:rsidRPr="00A967A7">
        <w:rPr>
          <w:sz w:val="18"/>
          <w:szCs w:val="18"/>
          <w:lang w:val="sr"/>
        </w:rPr>
        <w:t>стр 142.</w:t>
      </w:r>
    </w:p>
  </w:footnote>
  <w:footnote w:id="292">
    <w:p w14:paraId="536DE97C" w14:textId="77777777" w:rsidR="00876FFE" w:rsidRPr="00C45D63" w:rsidRDefault="00876FFE" w:rsidP="00BE0973">
      <w:pPr>
        <w:pStyle w:val="FootnoteText"/>
        <w:rPr>
          <w:sz w:val="18"/>
          <w:szCs w:val="18"/>
        </w:rPr>
      </w:pPr>
      <w:r w:rsidRPr="00A967A7">
        <w:rPr>
          <w:rStyle w:val="FootnoteReference"/>
          <w:rFonts w:eastAsiaTheme="majorEastAsia"/>
          <w:sz w:val="18"/>
          <w:szCs w:val="18"/>
        </w:rPr>
        <w:footnoteRef/>
      </w:r>
      <w:r w:rsidRPr="00A967A7">
        <w:rPr>
          <w:sz w:val="18"/>
          <w:szCs w:val="18"/>
          <w:lang w:val="uz-Cyrl-UZ"/>
        </w:rPr>
        <w:t xml:space="preserve"> </w:t>
      </w:r>
      <w:r w:rsidRPr="00A967A7">
        <w:rPr>
          <w:sz w:val="18"/>
          <w:szCs w:val="18"/>
        </w:rPr>
        <w:t>http://www.mei.gov.rs/upload/documents/pristupni_pregovori/pregovaracke_pozicije/pozicija_pg_17.pdf</w:t>
      </w:r>
    </w:p>
  </w:footnote>
  <w:footnote w:id="293">
    <w:p w14:paraId="3AA317EF" w14:textId="77777777" w:rsidR="00876FFE" w:rsidRPr="00A967A7" w:rsidRDefault="00876FFE" w:rsidP="00BE0973">
      <w:pPr>
        <w:pStyle w:val="FootnoteText"/>
        <w:rPr>
          <w:sz w:val="18"/>
          <w:szCs w:val="18"/>
          <w:lang w:val="uz-Cyrl-UZ"/>
        </w:rPr>
      </w:pPr>
      <w:r w:rsidRPr="00A967A7">
        <w:rPr>
          <w:rStyle w:val="FootnoteReference"/>
          <w:rFonts w:eastAsiaTheme="majorEastAsia"/>
          <w:sz w:val="18"/>
          <w:szCs w:val="18"/>
        </w:rPr>
        <w:footnoteRef/>
      </w:r>
      <w:r w:rsidRPr="00A967A7">
        <w:rPr>
          <w:rStyle w:val="FootnoteReference"/>
          <w:rFonts w:eastAsiaTheme="majorEastAsia"/>
          <w:sz w:val="18"/>
          <w:szCs w:val="18"/>
        </w:rPr>
        <w:t xml:space="preserve"> </w:t>
      </w:r>
      <w:r w:rsidRPr="00A967A7">
        <w:rPr>
          <w:sz w:val="18"/>
          <w:szCs w:val="18"/>
        </w:rPr>
        <w:t xml:space="preserve">Посебна група за </w:t>
      </w:r>
      <w:r w:rsidRPr="00A967A7">
        <w:rPr>
          <w:sz w:val="18"/>
          <w:szCs w:val="18"/>
          <w:lang w:val="sr-Cyrl-RS"/>
        </w:rPr>
        <w:t>реформу јавне управе</w:t>
      </w:r>
      <w:r w:rsidRPr="00A967A7">
        <w:rPr>
          <w:sz w:val="18"/>
          <w:szCs w:val="18"/>
        </w:rPr>
        <w:t xml:space="preserve"> за праћење спровођења ССП, записник са шестог састанка.</w:t>
      </w:r>
    </w:p>
  </w:footnote>
  <w:footnote w:id="294">
    <w:p w14:paraId="1DD9F628" w14:textId="77777777" w:rsidR="00876FFE" w:rsidRPr="00A967A7" w:rsidRDefault="00876FFE" w:rsidP="00BE0973">
      <w:pPr>
        <w:pStyle w:val="FootnoteText"/>
        <w:rPr>
          <w:sz w:val="18"/>
          <w:szCs w:val="18"/>
        </w:rPr>
      </w:pPr>
      <w:r w:rsidRPr="00A967A7">
        <w:rPr>
          <w:rStyle w:val="FootnoteReference"/>
          <w:rFonts w:eastAsiaTheme="majorEastAsia"/>
          <w:sz w:val="18"/>
          <w:szCs w:val="18"/>
        </w:rPr>
        <w:footnoteRef/>
      </w:r>
      <w:r w:rsidRPr="00A967A7">
        <w:rPr>
          <w:sz w:val="18"/>
          <w:szCs w:val="18"/>
        </w:rPr>
        <w:t xml:space="preserve"> </w:t>
      </w:r>
      <w:r w:rsidRPr="00A967A7">
        <w:rPr>
          <w:i/>
          <w:sz w:val="18"/>
          <w:szCs w:val="18"/>
        </w:rPr>
        <w:t>SIGMA</w:t>
      </w:r>
      <w:r w:rsidRPr="00A967A7">
        <w:rPr>
          <w:sz w:val="18"/>
          <w:szCs w:val="18"/>
        </w:rPr>
        <w:t xml:space="preserve"> извештај за Србију 2017, </w:t>
      </w:r>
      <w:r w:rsidRPr="00A967A7">
        <w:rPr>
          <w:sz w:val="18"/>
          <w:szCs w:val="18"/>
          <w:lang w:val="sr"/>
        </w:rPr>
        <w:t>стр</w:t>
      </w:r>
      <w:r w:rsidRPr="00A967A7">
        <w:rPr>
          <w:sz w:val="18"/>
          <w:szCs w:val="18"/>
          <w:lang w:val="uz-Cyrl-UZ"/>
        </w:rPr>
        <w:t>.</w:t>
      </w:r>
      <w:r w:rsidRPr="00A967A7">
        <w:rPr>
          <w:sz w:val="18"/>
          <w:szCs w:val="18"/>
          <w:lang w:val="sr"/>
        </w:rPr>
        <w:t xml:space="preserve"> 32.</w:t>
      </w:r>
    </w:p>
  </w:footnote>
  <w:footnote w:id="295">
    <w:p w14:paraId="4DC51733" w14:textId="77777777" w:rsidR="00876FFE" w:rsidRPr="00C45D63" w:rsidRDefault="00876FFE" w:rsidP="00BE0973">
      <w:pPr>
        <w:pStyle w:val="FootnoteText"/>
        <w:rPr>
          <w:sz w:val="18"/>
          <w:szCs w:val="18"/>
        </w:rPr>
      </w:pPr>
      <w:r w:rsidRPr="00A967A7">
        <w:rPr>
          <w:rStyle w:val="FootnoteReference"/>
          <w:rFonts w:eastAsiaTheme="majorEastAsia"/>
          <w:sz w:val="18"/>
          <w:szCs w:val="18"/>
        </w:rPr>
        <w:footnoteRef/>
      </w:r>
      <w:r w:rsidRPr="00A967A7">
        <w:rPr>
          <w:sz w:val="18"/>
          <w:szCs w:val="18"/>
        </w:rPr>
        <w:t xml:space="preserve"> ЕК</w:t>
      </w:r>
      <w:r w:rsidRPr="00C45D63">
        <w:rPr>
          <w:sz w:val="18"/>
          <w:szCs w:val="18"/>
        </w:rPr>
        <w:t xml:space="preserve"> </w:t>
      </w:r>
      <w:r w:rsidRPr="00A967A7">
        <w:rPr>
          <w:sz w:val="18"/>
          <w:szCs w:val="18"/>
        </w:rPr>
        <w:t>извештај</w:t>
      </w:r>
      <w:r w:rsidRPr="00C45D63">
        <w:rPr>
          <w:sz w:val="18"/>
          <w:szCs w:val="18"/>
        </w:rPr>
        <w:t xml:space="preserve"> </w:t>
      </w:r>
      <w:r w:rsidRPr="00A967A7">
        <w:rPr>
          <w:sz w:val="18"/>
          <w:szCs w:val="18"/>
        </w:rPr>
        <w:t>о</w:t>
      </w:r>
      <w:r w:rsidRPr="00C45D63">
        <w:rPr>
          <w:sz w:val="18"/>
          <w:szCs w:val="18"/>
        </w:rPr>
        <w:t xml:space="preserve"> </w:t>
      </w:r>
      <w:r w:rsidRPr="00A967A7">
        <w:rPr>
          <w:sz w:val="18"/>
          <w:szCs w:val="18"/>
        </w:rPr>
        <w:t>напретку</w:t>
      </w:r>
      <w:r w:rsidRPr="00C45D63">
        <w:rPr>
          <w:sz w:val="18"/>
          <w:szCs w:val="18"/>
        </w:rPr>
        <w:t xml:space="preserve"> </w:t>
      </w:r>
      <w:r w:rsidRPr="00A967A7">
        <w:rPr>
          <w:sz w:val="18"/>
          <w:szCs w:val="18"/>
        </w:rPr>
        <w:t>Србије</w:t>
      </w:r>
      <w:r w:rsidRPr="00A967A7">
        <w:rPr>
          <w:sz w:val="18"/>
          <w:szCs w:val="18"/>
          <w:lang w:val="uz-Cyrl-UZ"/>
        </w:rPr>
        <w:t xml:space="preserve"> </w:t>
      </w:r>
      <w:r w:rsidRPr="00C45D63">
        <w:rPr>
          <w:sz w:val="18"/>
          <w:szCs w:val="18"/>
        </w:rPr>
        <w:t xml:space="preserve">2018, </w:t>
      </w:r>
      <w:r w:rsidRPr="00A967A7">
        <w:rPr>
          <w:sz w:val="18"/>
          <w:szCs w:val="18"/>
          <w:lang w:val="sr"/>
        </w:rPr>
        <w:t>стр. 10.</w:t>
      </w:r>
    </w:p>
  </w:footnote>
  <w:footnote w:id="296">
    <w:p w14:paraId="1D17E1FC" w14:textId="77777777" w:rsidR="00876FFE" w:rsidRPr="00A967A7" w:rsidRDefault="00876FFE" w:rsidP="00BE0973">
      <w:pPr>
        <w:pStyle w:val="FootnoteText"/>
        <w:rPr>
          <w:sz w:val="18"/>
          <w:szCs w:val="18"/>
        </w:rPr>
      </w:pPr>
      <w:r w:rsidRPr="00A967A7">
        <w:rPr>
          <w:rStyle w:val="FootnoteReference"/>
          <w:rFonts w:eastAsiaTheme="majorEastAsia"/>
          <w:sz w:val="18"/>
          <w:szCs w:val="18"/>
        </w:rPr>
        <w:footnoteRef/>
      </w:r>
      <w:r w:rsidRPr="00A967A7">
        <w:rPr>
          <w:sz w:val="18"/>
          <w:szCs w:val="18"/>
        </w:rPr>
        <w:t xml:space="preserve"> </w:t>
      </w:r>
      <w:r w:rsidRPr="00A967A7">
        <w:rPr>
          <w:i/>
          <w:sz w:val="18"/>
          <w:szCs w:val="18"/>
        </w:rPr>
        <w:t>SIGMA</w:t>
      </w:r>
      <w:r w:rsidRPr="00A967A7">
        <w:rPr>
          <w:sz w:val="18"/>
          <w:szCs w:val="18"/>
        </w:rPr>
        <w:t xml:space="preserve"> извештај за Србију 2017, </w:t>
      </w:r>
      <w:r w:rsidRPr="00A967A7">
        <w:rPr>
          <w:sz w:val="18"/>
          <w:szCs w:val="18"/>
          <w:lang w:val="sr"/>
        </w:rPr>
        <w:t>стр</w:t>
      </w:r>
      <w:r w:rsidRPr="00A967A7">
        <w:rPr>
          <w:sz w:val="18"/>
          <w:szCs w:val="18"/>
          <w:lang w:val="uz-Cyrl-UZ"/>
        </w:rPr>
        <w:t>.</w:t>
      </w:r>
      <w:r w:rsidRPr="00A967A7">
        <w:rPr>
          <w:sz w:val="18"/>
          <w:szCs w:val="18"/>
          <w:lang w:val="sr"/>
        </w:rPr>
        <w:t xml:space="preserve"> 127.</w:t>
      </w:r>
    </w:p>
  </w:footnote>
  <w:footnote w:id="297">
    <w:p w14:paraId="38454DF3" w14:textId="77777777" w:rsidR="00876FFE" w:rsidRPr="003A060D" w:rsidRDefault="00876FFE" w:rsidP="00BE0973">
      <w:pPr>
        <w:pStyle w:val="FootnoteText"/>
        <w:rPr>
          <w:lang w:val="uz-Cyrl-UZ"/>
        </w:rPr>
      </w:pPr>
      <w:r w:rsidRPr="00A967A7">
        <w:rPr>
          <w:rStyle w:val="FootnoteReference"/>
          <w:rFonts w:eastAsiaTheme="majorEastAsia"/>
          <w:sz w:val="18"/>
          <w:szCs w:val="18"/>
        </w:rPr>
        <w:footnoteRef/>
      </w:r>
      <w:r w:rsidRPr="00A967A7">
        <w:t xml:space="preserve"> Предлог структурних реформи </w:t>
      </w:r>
      <w:r w:rsidRPr="003A060D">
        <w:t>ЕРП</w:t>
      </w:r>
      <w:r w:rsidRPr="00A967A7">
        <w:t xml:space="preserve"> – 2020</w:t>
      </w:r>
      <w:r w:rsidRPr="00A967A7">
        <w:rPr>
          <w:lang w:val="sr-Cyrl-RS"/>
        </w:rPr>
        <w:t>–</w:t>
      </w:r>
      <w:r w:rsidRPr="003A060D">
        <w:t>2022</w:t>
      </w:r>
      <w:r w:rsidRPr="003A060D">
        <w:rPr>
          <w:lang w:val="uz-Cyrl-UZ"/>
        </w:rPr>
        <w:t>.</w:t>
      </w:r>
    </w:p>
  </w:footnote>
  <w:footnote w:id="298">
    <w:p w14:paraId="55CC2F1B" w14:textId="77777777" w:rsidR="00876FFE" w:rsidRPr="00A967A7" w:rsidRDefault="00876FFE" w:rsidP="00BE0973">
      <w:pPr>
        <w:pStyle w:val="FootnoteText"/>
        <w:rPr>
          <w:sz w:val="18"/>
          <w:szCs w:val="18"/>
          <w:lang w:val="sr"/>
        </w:rPr>
      </w:pPr>
      <w:r w:rsidRPr="00A967A7">
        <w:rPr>
          <w:rStyle w:val="FootnoteReference"/>
          <w:rFonts w:eastAsiaTheme="majorEastAsia"/>
          <w:sz w:val="18"/>
          <w:szCs w:val="18"/>
        </w:rPr>
        <w:footnoteRef/>
      </w:r>
      <w:r w:rsidRPr="00A967A7">
        <w:rPr>
          <w:sz w:val="18"/>
          <w:szCs w:val="18"/>
        </w:rPr>
        <w:t xml:space="preserve"> </w:t>
      </w:r>
      <w:bookmarkStart w:id="250" w:name="_Hlk55221661"/>
      <w:r w:rsidRPr="00A967A7">
        <w:rPr>
          <w:sz w:val="18"/>
          <w:szCs w:val="18"/>
        </w:rPr>
        <w:t xml:space="preserve">ЕК </w:t>
      </w:r>
      <w:r w:rsidRPr="00A967A7">
        <w:rPr>
          <w:sz w:val="18"/>
          <w:szCs w:val="18"/>
          <w:lang w:val="uz-Cyrl-UZ"/>
        </w:rPr>
        <w:t>и</w:t>
      </w:r>
      <w:r w:rsidRPr="00A967A7">
        <w:rPr>
          <w:sz w:val="18"/>
          <w:szCs w:val="18"/>
        </w:rPr>
        <w:t xml:space="preserve">звештај о напретку </w:t>
      </w:r>
      <w:r w:rsidRPr="00A967A7">
        <w:rPr>
          <w:sz w:val="18"/>
          <w:szCs w:val="18"/>
          <w:lang w:val="uz-Cyrl-UZ"/>
        </w:rPr>
        <w:t>Србије</w:t>
      </w:r>
      <w:r w:rsidRPr="00A967A7">
        <w:rPr>
          <w:sz w:val="18"/>
          <w:szCs w:val="18"/>
        </w:rPr>
        <w:t xml:space="preserve"> </w:t>
      </w:r>
      <w:bookmarkEnd w:id="250"/>
      <w:r w:rsidRPr="00A967A7">
        <w:rPr>
          <w:sz w:val="18"/>
          <w:szCs w:val="18"/>
        </w:rPr>
        <w:t>2019</w:t>
      </w:r>
      <w:r w:rsidRPr="00A967A7">
        <w:rPr>
          <w:sz w:val="18"/>
          <w:szCs w:val="18"/>
          <w:lang w:val="sr"/>
        </w:rPr>
        <w:t>, стр. 75.</w:t>
      </w:r>
    </w:p>
  </w:footnote>
  <w:footnote w:id="299">
    <w:p w14:paraId="1537F1C2" w14:textId="77777777" w:rsidR="00876FFE" w:rsidRPr="00A967A7" w:rsidRDefault="00876FFE" w:rsidP="00BE0973">
      <w:pPr>
        <w:pStyle w:val="FootnoteText"/>
        <w:rPr>
          <w:sz w:val="18"/>
          <w:szCs w:val="18"/>
          <w:lang w:val="uz-Cyrl-UZ"/>
        </w:rPr>
      </w:pPr>
      <w:r w:rsidRPr="00A967A7">
        <w:rPr>
          <w:rStyle w:val="FootnoteReference"/>
          <w:rFonts w:eastAsiaTheme="majorEastAsia"/>
          <w:sz w:val="18"/>
          <w:szCs w:val="18"/>
        </w:rPr>
        <w:footnoteRef/>
      </w:r>
      <w:r w:rsidRPr="00A967A7">
        <w:rPr>
          <w:sz w:val="18"/>
          <w:szCs w:val="18"/>
        </w:rPr>
        <w:t xml:space="preserve"> </w:t>
      </w:r>
      <w:bookmarkStart w:id="251" w:name="_Hlk55221589"/>
      <w:r w:rsidRPr="00A967A7">
        <w:rPr>
          <w:i/>
          <w:sz w:val="18"/>
          <w:szCs w:val="18"/>
          <w:lang w:val="uz-Cyrl-UZ"/>
        </w:rPr>
        <w:t>SIGMA</w:t>
      </w:r>
      <w:r w:rsidRPr="00A967A7">
        <w:rPr>
          <w:sz w:val="18"/>
          <w:szCs w:val="18"/>
          <w:lang w:val="uz-Cyrl-UZ"/>
        </w:rPr>
        <w:t xml:space="preserve"> извештај за Србију</w:t>
      </w:r>
      <w:r w:rsidRPr="00C45D63">
        <w:rPr>
          <w:sz w:val="18"/>
          <w:szCs w:val="18"/>
          <w:lang w:val="sr"/>
        </w:rPr>
        <w:t xml:space="preserve"> 2017</w:t>
      </w:r>
      <w:bookmarkEnd w:id="251"/>
      <w:r w:rsidRPr="00C45D63">
        <w:rPr>
          <w:sz w:val="18"/>
          <w:szCs w:val="18"/>
          <w:lang w:val="sr"/>
        </w:rPr>
        <w:t xml:space="preserve">, </w:t>
      </w:r>
      <w:r w:rsidRPr="00A967A7">
        <w:rPr>
          <w:sz w:val="18"/>
          <w:szCs w:val="18"/>
        </w:rPr>
        <w:t>стр</w:t>
      </w:r>
      <w:r w:rsidRPr="00A967A7">
        <w:rPr>
          <w:sz w:val="18"/>
          <w:szCs w:val="18"/>
          <w:lang w:val="uz-Cyrl-UZ"/>
        </w:rPr>
        <w:t>.</w:t>
      </w:r>
      <w:r w:rsidRPr="00A967A7">
        <w:rPr>
          <w:sz w:val="18"/>
          <w:szCs w:val="18"/>
        </w:rPr>
        <w:t xml:space="preserve"> 172; Извештај о екстерној евалуациј</w:t>
      </w:r>
      <w:r w:rsidRPr="00A967A7">
        <w:rPr>
          <w:sz w:val="18"/>
          <w:szCs w:val="18"/>
          <w:lang w:val="uz-Cyrl-UZ"/>
        </w:rPr>
        <w:t>и</w:t>
      </w:r>
      <w:r w:rsidRPr="00A967A7">
        <w:rPr>
          <w:sz w:val="18"/>
          <w:szCs w:val="18"/>
        </w:rPr>
        <w:t xml:space="preserve"> Стратегије РЈУ</w:t>
      </w:r>
      <w:r w:rsidRPr="00A967A7">
        <w:rPr>
          <w:sz w:val="18"/>
          <w:szCs w:val="18"/>
          <w:lang w:val="sr-Cyrl-RS"/>
        </w:rPr>
        <w:t>,</w:t>
      </w:r>
      <w:r w:rsidRPr="00A967A7">
        <w:rPr>
          <w:sz w:val="18"/>
          <w:szCs w:val="18"/>
        </w:rPr>
        <w:t xml:space="preserve"> </w:t>
      </w:r>
      <w:r w:rsidRPr="00A967A7">
        <w:rPr>
          <w:sz w:val="18"/>
          <w:szCs w:val="18"/>
          <w:lang w:val="uz-Cyrl-UZ"/>
        </w:rPr>
        <w:t>2019, стр. 53.</w:t>
      </w:r>
    </w:p>
  </w:footnote>
  <w:footnote w:id="300">
    <w:p w14:paraId="1E4255E0" w14:textId="77777777" w:rsidR="00876FFE" w:rsidRPr="00175B94" w:rsidRDefault="00876FFE" w:rsidP="00BE0973">
      <w:pPr>
        <w:pStyle w:val="FootnoteText"/>
        <w:rPr>
          <w:lang w:val="uz-Cyrl-UZ"/>
        </w:rPr>
      </w:pPr>
      <w:r w:rsidRPr="00A967A7">
        <w:rPr>
          <w:rStyle w:val="FootnoteReference"/>
          <w:rFonts w:eastAsiaTheme="majorEastAsia"/>
          <w:sz w:val="18"/>
          <w:szCs w:val="18"/>
        </w:rPr>
        <w:footnoteRef/>
      </w:r>
      <w:r w:rsidRPr="00A967A7">
        <w:rPr>
          <w:sz w:val="18"/>
          <w:szCs w:val="18"/>
        </w:rPr>
        <w:t xml:space="preserve"> Извештај о екстерној евалуациј</w:t>
      </w:r>
      <w:r w:rsidRPr="00A967A7">
        <w:rPr>
          <w:sz w:val="18"/>
          <w:szCs w:val="18"/>
          <w:lang w:val="uz-Cyrl-UZ"/>
        </w:rPr>
        <w:t>и</w:t>
      </w:r>
      <w:r w:rsidRPr="00A967A7">
        <w:rPr>
          <w:sz w:val="18"/>
          <w:szCs w:val="18"/>
        </w:rPr>
        <w:t xml:space="preserve"> Стратегије РЈУ</w:t>
      </w:r>
      <w:r w:rsidRPr="00A967A7">
        <w:rPr>
          <w:sz w:val="18"/>
          <w:szCs w:val="18"/>
          <w:lang w:val="uz-Cyrl-UZ"/>
        </w:rPr>
        <w:t xml:space="preserve"> 2019, стр. 53.</w:t>
      </w:r>
    </w:p>
  </w:footnote>
  <w:footnote w:id="301">
    <w:p w14:paraId="7C1B5384"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w:t>
      </w:r>
      <w:r w:rsidRPr="00164787">
        <w:rPr>
          <w:sz w:val="18"/>
          <w:szCs w:val="18"/>
          <w:lang w:val="sr-Cyrl-RS"/>
        </w:rPr>
        <w:t xml:space="preserve">У друге релевантне законе спадају и </w:t>
      </w:r>
      <w:r w:rsidRPr="00164787">
        <w:rPr>
          <w:sz w:val="18"/>
          <w:szCs w:val="18"/>
        </w:rPr>
        <w:t>Закон о територијалној организацији, Закон о утврђивању надлежности Аутономне покрајине Војводине, Закон о главном граду и Закон о локалној самоуправи. Поред ових прописа, често се у важећим планским документима наглашава и значај Закона о јавној својини и Закона о комуналним делатностима, с обзиром да се њима додатно дефинишу надлежности локалне самоуправе којима се омогућава суштинска децентрализација.</w:t>
      </w:r>
      <w:r w:rsidRPr="00164787">
        <w:rPr>
          <w:sz w:val="18"/>
          <w:szCs w:val="18"/>
          <w:lang w:val="sr-Cyrl-RS"/>
        </w:rPr>
        <w:t xml:space="preserve"> </w:t>
      </w:r>
    </w:p>
    <w:p w14:paraId="3F5FE591" w14:textId="77777777" w:rsidR="00876FFE" w:rsidRPr="00164787" w:rsidRDefault="00876FFE" w:rsidP="00E57949">
      <w:pPr>
        <w:pStyle w:val="FootnoteText"/>
        <w:rPr>
          <w:sz w:val="18"/>
          <w:szCs w:val="18"/>
        </w:rPr>
      </w:pPr>
      <w:r w:rsidRPr="00164787">
        <w:rPr>
          <w:sz w:val="18"/>
          <w:szCs w:val="18"/>
        </w:rPr>
        <w:t>У</w:t>
      </w:r>
      <w:r>
        <w:rPr>
          <w:sz w:val="18"/>
          <w:szCs w:val="18"/>
          <w:lang w:val="sr-Cyrl-RS"/>
        </w:rPr>
        <w:t xml:space="preserve"> </w:t>
      </w:r>
      <w:r w:rsidRPr="00164787">
        <w:rPr>
          <w:sz w:val="18"/>
          <w:szCs w:val="18"/>
        </w:rPr>
        <w:t>друга релевантна документа јавних политика спадају: Стратегија регулаторне реформе и управљања јавним политикама, Програм управљања јавним финансијама, Стратегија стручног усавршавања у ЈЛС, Стратегија јавних набавки и Програма е-Папир. Осим тога, реализована су прва два Акциона плана за спровођење иницијативе Партнертсво за отворену управу у Републици Србији, али су била ограничена недовољним капацитетима ЈЛС.</w:t>
      </w:r>
    </w:p>
  </w:footnote>
  <w:footnote w:id="302">
    <w:p w14:paraId="5CF6B3D5"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w:t>
      </w:r>
      <w:r w:rsidRPr="00164787">
        <w:rPr>
          <w:sz w:val="18"/>
          <w:szCs w:val="18"/>
          <w:lang w:val="sr-Cyrl-RS"/>
        </w:rPr>
        <w:t xml:space="preserve">Закључак Савета за реформу јавне управе, број: 06-00-5736/2019 од 13. јуна 2019. године, доступан на </w:t>
      </w:r>
      <w:hyperlink r:id="rId170" w:history="1">
        <w:r w:rsidRPr="00164787">
          <w:rPr>
            <w:color w:val="0000FF"/>
            <w:sz w:val="18"/>
            <w:szCs w:val="18"/>
          </w:rPr>
          <w:t>http://mduls.gov.rs/wp-content/uploads/zapisnik-7-sednica-Saveta-za-RJU.pdf</w:t>
        </w:r>
      </w:hyperlink>
      <w:r w:rsidRPr="00164787">
        <w:rPr>
          <w:color w:val="0000FF"/>
          <w:sz w:val="18"/>
          <w:szCs w:val="18"/>
          <w:lang w:val="sr-Cyrl-RS"/>
        </w:rPr>
        <w:t>.</w:t>
      </w:r>
    </w:p>
  </w:footnote>
  <w:footnote w:id="303">
    <w:p w14:paraId="7F5DC924" w14:textId="77777777" w:rsidR="00876FFE" w:rsidRPr="00E721AA" w:rsidRDefault="00876FFE" w:rsidP="00E57949">
      <w:pPr>
        <w:pStyle w:val="FootnoteText"/>
        <w:rPr>
          <w:sz w:val="18"/>
          <w:szCs w:val="18"/>
        </w:rPr>
      </w:pPr>
      <w:r w:rsidRPr="00164787">
        <w:rPr>
          <w:rStyle w:val="FootnoteReference"/>
          <w:rFonts w:eastAsiaTheme="majorEastAsia"/>
          <w:sz w:val="18"/>
          <w:szCs w:val="18"/>
        </w:rPr>
        <w:footnoteRef/>
      </w:r>
      <w:r>
        <w:rPr>
          <w:sz w:val="18"/>
          <w:szCs w:val="18"/>
        </w:rPr>
        <w:t xml:space="preserve"> </w:t>
      </w:r>
      <w:hyperlink r:id="rId171" w:history="1">
        <w:r w:rsidRPr="00164787">
          <w:rPr>
            <w:color w:val="0000FF"/>
            <w:sz w:val="18"/>
            <w:szCs w:val="18"/>
            <w:u w:val="single"/>
          </w:rPr>
          <w:t>http://www.mei.gov.rs/upload/documents/nacionalna_dokumenta/npaa/npaa_2018_2021.pdf</w:t>
        </w:r>
      </w:hyperlink>
      <w:r w:rsidRPr="00164787">
        <w:rPr>
          <w:sz w:val="18"/>
          <w:szCs w:val="18"/>
        </w:rPr>
        <w:t xml:space="preserve"> </w:t>
      </w:r>
      <w:r w:rsidRPr="00164787">
        <w:rPr>
          <w:sz w:val="18"/>
          <w:szCs w:val="18"/>
          <w:lang w:val="sr-Cyrl-RS"/>
        </w:rPr>
        <w:t>.</w:t>
      </w:r>
    </w:p>
  </w:footnote>
  <w:footnote w:id="304">
    <w:p w14:paraId="4BFA7751" w14:textId="77777777" w:rsidR="00876FFE" w:rsidRPr="00164787" w:rsidRDefault="00876FFE" w:rsidP="00E57949">
      <w:pPr>
        <w:pStyle w:val="FootnoteText"/>
        <w:rPr>
          <w:sz w:val="18"/>
          <w:szCs w:val="18"/>
        </w:rPr>
      </w:pPr>
      <w:r w:rsidRPr="00164787">
        <w:rPr>
          <w:rStyle w:val="FootnoteReference"/>
          <w:rFonts w:eastAsiaTheme="majorEastAsia"/>
          <w:sz w:val="18"/>
          <w:szCs w:val="18"/>
        </w:rPr>
        <w:footnoteRef/>
      </w:r>
      <w:r w:rsidRPr="00164787">
        <w:rPr>
          <w:sz w:val="18"/>
          <w:szCs w:val="18"/>
        </w:rPr>
        <w:t xml:space="preserve"> </w:t>
      </w:r>
      <w:r w:rsidRPr="00164787">
        <w:rPr>
          <w:sz w:val="18"/>
          <w:szCs w:val="18"/>
          <w:lang w:val="sr-Cyrl-RS"/>
        </w:rPr>
        <w:t xml:space="preserve">У секторске законе спадају, између осталих, </w:t>
      </w:r>
      <w:r w:rsidRPr="00164787">
        <w:rPr>
          <w:sz w:val="18"/>
          <w:szCs w:val="18"/>
        </w:rPr>
        <w:t>Закон о јавним предузећима, Закон о комуналним делатностима, Закон о управљању отпадом</w:t>
      </w:r>
      <w:r w:rsidRPr="00164787">
        <w:rPr>
          <w:sz w:val="18"/>
          <w:szCs w:val="18"/>
          <w:lang w:val="sr-Cyrl-RS"/>
        </w:rPr>
        <w:t xml:space="preserve"> и</w:t>
      </w:r>
      <w:r w:rsidRPr="00164787">
        <w:rPr>
          <w:sz w:val="18"/>
          <w:szCs w:val="18"/>
        </w:rPr>
        <w:t xml:space="preserve"> Закон о водама.</w:t>
      </w:r>
    </w:p>
  </w:footnote>
  <w:footnote w:id="305">
    <w:p w14:paraId="62C04766"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13. став 6. гласи: „</w:t>
      </w:r>
      <w:r w:rsidRPr="00164787">
        <w:rPr>
          <w:sz w:val="18"/>
          <w:szCs w:val="18"/>
          <w:shd w:val="clear" w:color="auto" w:fill="FFFFFF"/>
        </w:rPr>
        <w:t>Јединицa локалне самоуправе, у оквиру својих надлежности преко својих органа, прати процес европских интеграција Републике Србије и развија за то потребне административне капацитете, у складу са законом и утврђеном политиком Републике Србије.”</w:t>
      </w:r>
    </w:p>
  </w:footnote>
  <w:footnote w:id="306">
    <w:p w14:paraId="05800041"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В</w:t>
      </w:r>
      <w:r w:rsidRPr="00164787">
        <w:rPr>
          <w:sz w:val="18"/>
          <w:szCs w:val="18"/>
          <w:lang w:val="sr-Cyrl-RS"/>
        </w:rPr>
        <w:t xml:space="preserve">идети </w:t>
      </w:r>
      <w:r w:rsidRPr="00164787">
        <w:rPr>
          <w:sz w:val="18"/>
          <w:szCs w:val="18"/>
          <w:lang w:val="sr-Latn-RS"/>
        </w:rPr>
        <w:t xml:space="preserve">Karayigit, M. (2016),  </w:t>
      </w:r>
      <w:r w:rsidRPr="00164787">
        <w:rPr>
          <w:sz w:val="18"/>
          <w:szCs w:val="18"/>
          <w:shd w:val="clear" w:color="auto" w:fill="FFFFFF"/>
          <w:lang w:val="en-US"/>
        </w:rPr>
        <w:t xml:space="preserve">The EU and Local Governments, </w:t>
      </w:r>
      <w:r w:rsidRPr="00164787">
        <w:rPr>
          <w:i/>
          <w:sz w:val="18"/>
          <w:szCs w:val="18"/>
          <w:shd w:val="clear" w:color="auto" w:fill="FFFFFF"/>
          <w:lang w:val="en-US"/>
        </w:rPr>
        <w:t>Strategic Public Management Journal</w:t>
      </w:r>
      <w:r w:rsidRPr="00164787">
        <w:rPr>
          <w:sz w:val="18"/>
          <w:szCs w:val="18"/>
          <w:shd w:val="clear" w:color="auto" w:fill="FFFFFF"/>
          <w:lang w:val="en-US"/>
        </w:rPr>
        <w:t xml:space="preserve">, 2 (4), </w:t>
      </w:r>
      <w:r w:rsidRPr="00164787">
        <w:rPr>
          <w:sz w:val="18"/>
          <w:szCs w:val="18"/>
          <w:shd w:val="clear" w:color="auto" w:fill="FFFFFF"/>
        </w:rPr>
        <w:t>стр. 6-9</w:t>
      </w:r>
      <w:r w:rsidRPr="00164787">
        <w:rPr>
          <w:sz w:val="18"/>
          <w:szCs w:val="18"/>
          <w:shd w:val="clear" w:color="auto" w:fill="FFFFFF"/>
          <w:lang w:val="en-US"/>
        </w:rPr>
        <w:t xml:space="preserve">. </w:t>
      </w:r>
      <w:r w:rsidRPr="00164787">
        <w:rPr>
          <w:sz w:val="18"/>
          <w:szCs w:val="18"/>
        </w:rPr>
        <w:t xml:space="preserve">У брошури Комитета региона наводи се да је то 70% свих прописа ЕУ. В. </w:t>
      </w:r>
      <w:r w:rsidRPr="00164787">
        <w:rPr>
          <w:sz w:val="18"/>
          <w:szCs w:val="18"/>
          <w:lang w:val="en-US"/>
        </w:rPr>
        <w:t xml:space="preserve">Committee of the Regions, </w:t>
      </w:r>
      <w:r w:rsidRPr="00164787">
        <w:rPr>
          <w:i/>
          <w:sz w:val="18"/>
          <w:szCs w:val="18"/>
        </w:rPr>
        <w:t>A new treaty : a new role for  regions and local authorities</w:t>
      </w:r>
      <w:r w:rsidRPr="00164787">
        <w:rPr>
          <w:sz w:val="18"/>
          <w:szCs w:val="18"/>
        </w:rPr>
        <w:t>,</w:t>
      </w:r>
      <w:r w:rsidRPr="00164787">
        <w:rPr>
          <w:sz w:val="18"/>
          <w:szCs w:val="18"/>
          <w:lang w:val="en-US"/>
        </w:rPr>
        <w:t xml:space="preserve"> </w:t>
      </w:r>
      <w:hyperlink r:id="rId172" w:history="1">
        <w:r w:rsidRPr="00164787">
          <w:rPr>
            <w:rStyle w:val="Hyperlink"/>
            <w:sz w:val="18"/>
            <w:szCs w:val="18"/>
          </w:rPr>
          <w:t>https://cor.europa.eu/en/our-work/Documents/Our-work/lisbon-treaty.pdf</w:t>
        </w:r>
      </w:hyperlink>
      <w:r w:rsidRPr="00164787">
        <w:rPr>
          <w:sz w:val="18"/>
          <w:szCs w:val="18"/>
          <w:lang w:val="en-US"/>
        </w:rPr>
        <w:t xml:space="preserve"> (30.1.2020).</w:t>
      </w:r>
      <w:r w:rsidRPr="00164787">
        <w:rPr>
          <w:sz w:val="18"/>
          <w:szCs w:val="18"/>
          <w:lang w:val="sr-Cyrl-RS"/>
        </w:rPr>
        <w:t xml:space="preserve"> </w:t>
      </w:r>
    </w:p>
  </w:footnote>
  <w:footnote w:id="307">
    <w:p w14:paraId="1A967C2E" w14:textId="77777777" w:rsidR="00876FFE" w:rsidRPr="00A12494" w:rsidRDefault="00876FFE" w:rsidP="00E57949">
      <w:pPr>
        <w:pStyle w:val="FootnoteText"/>
        <w:rPr>
          <w:sz w:val="18"/>
          <w:szCs w:val="18"/>
          <w:lang w:val="sr-Latn-RS"/>
        </w:rPr>
      </w:pPr>
      <w:r w:rsidRPr="00A12494">
        <w:rPr>
          <w:rStyle w:val="FootnoteReference"/>
          <w:sz w:val="18"/>
          <w:szCs w:val="18"/>
        </w:rPr>
        <w:footnoteRef/>
      </w:r>
      <w:r w:rsidRPr="00A12494">
        <w:rPr>
          <w:sz w:val="18"/>
          <w:szCs w:val="18"/>
        </w:rPr>
        <w:t xml:space="preserve"> </w:t>
      </w:r>
      <w:hyperlink r:id="rId173" w:history="1">
        <w:r w:rsidRPr="00A12494">
          <w:rPr>
            <w:rStyle w:val="Hyperlink"/>
            <w:rFonts w:eastAsiaTheme="minorEastAsia"/>
            <w:sz w:val="18"/>
            <w:szCs w:val="18"/>
          </w:rPr>
          <w:t>https://eur-lex.europa.eu/LexUriServ/LexUriServ.do?uri=OJ:C:2007:306:FULL:EN:PDF</w:t>
        </w:r>
      </w:hyperlink>
    </w:p>
  </w:footnote>
  <w:footnote w:id="308">
    <w:p w14:paraId="1A26BDE4"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lang w:val="sr-Cyrl-RS"/>
        </w:rPr>
        <w:t xml:space="preserve"> </w:t>
      </w:r>
      <w:r w:rsidRPr="00164787">
        <w:rPr>
          <w:sz w:val="18"/>
          <w:szCs w:val="18"/>
        </w:rPr>
        <w:t xml:space="preserve">Чл. 4. став 2. Уговора о ЕУ. </w:t>
      </w:r>
    </w:p>
  </w:footnote>
  <w:footnote w:id="309">
    <w:p w14:paraId="5B4F8AC0" w14:textId="77777777" w:rsidR="00876FFE" w:rsidRPr="00164787" w:rsidRDefault="00876FFE" w:rsidP="00E57949">
      <w:pPr>
        <w:pStyle w:val="FootnoteText"/>
        <w:rPr>
          <w:sz w:val="18"/>
          <w:szCs w:val="18"/>
        </w:rPr>
      </w:pPr>
      <w:r w:rsidRPr="00164787">
        <w:rPr>
          <w:rStyle w:val="FootnoteReference"/>
          <w:rFonts w:eastAsiaTheme="majorEastAsia"/>
          <w:sz w:val="18"/>
          <w:szCs w:val="18"/>
        </w:rPr>
        <w:footnoteRef/>
      </w:r>
      <w:r w:rsidRPr="00164787">
        <w:rPr>
          <w:sz w:val="18"/>
          <w:szCs w:val="18"/>
        </w:rPr>
        <w:t xml:space="preserve"> Одлук</w:t>
      </w:r>
      <w:r w:rsidRPr="00164787">
        <w:rPr>
          <w:sz w:val="18"/>
          <w:szCs w:val="18"/>
          <w:lang w:val="sr-Latn-RS"/>
        </w:rPr>
        <w:t xml:space="preserve">a </w:t>
      </w:r>
      <w:r w:rsidRPr="00164787">
        <w:rPr>
          <w:sz w:val="18"/>
          <w:szCs w:val="18"/>
        </w:rPr>
        <w:t xml:space="preserve">Савета Европске уније и Европске комисије (2013/489/EU, Euroatom) којом се усваја нацрт Одлуке </w:t>
      </w:r>
      <w:r>
        <w:rPr>
          <w:sz w:val="18"/>
          <w:szCs w:val="18"/>
        </w:rPr>
        <w:t>број</w:t>
      </w:r>
      <w:r w:rsidRPr="00164787">
        <w:rPr>
          <w:sz w:val="18"/>
          <w:szCs w:val="18"/>
        </w:rPr>
        <w:t xml:space="preserve"> 1 Савета за стабилизацију и п</w:t>
      </w:r>
      <w:r>
        <w:rPr>
          <w:sz w:val="18"/>
          <w:szCs w:val="18"/>
        </w:rPr>
        <w:t>ридруживање ЕУ и Србије, чл. 15</w:t>
      </w:r>
    </w:p>
  </w:footnote>
  <w:footnote w:id="310">
    <w:p w14:paraId="158AC710" w14:textId="77777777" w:rsidR="00876FFE" w:rsidRPr="00164787" w:rsidRDefault="00876FFE" w:rsidP="00E57949">
      <w:pPr>
        <w:pStyle w:val="FootnoteText"/>
        <w:rPr>
          <w:sz w:val="18"/>
          <w:szCs w:val="18"/>
        </w:rPr>
      </w:pPr>
      <w:r w:rsidRPr="00164787">
        <w:rPr>
          <w:rStyle w:val="FootnoteReference"/>
          <w:sz w:val="18"/>
          <w:szCs w:val="18"/>
        </w:rPr>
        <w:footnoteRef/>
      </w:r>
      <w:r w:rsidRPr="00164787">
        <w:rPr>
          <w:sz w:val="18"/>
          <w:szCs w:val="18"/>
        </w:rPr>
        <w:t xml:space="preserve"> </w:t>
      </w:r>
      <w:hyperlink r:id="rId174" w:history="1">
        <w:r w:rsidRPr="00164787">
          <w:rPr>
            <w:rStyle w:val="Hyperlink"/>
            <w:sz w:val="18"/>
            <w:szCs w:val="18"/>
          </w:rPr>
          <w:t>http</w:t>
        </w:r>
        <w:r w:rsidRPr="00164787">
          <w:rPr>
            <w:rStyle w:val="Hyperlink"/>
            <w:sz w:val="18"/>
            <w:szCs w:val="18"/>
            <w:lang w:val="sr-Cyrl-RS"/>
          </w:rPr>
          <w:t>://</w:t>
        </w:r>
        <w:r w:rsidRPr="00164787">
          <w:rPr>
            <w:rStyle w:val="Hyperlink"/>
            <w:sz w:val="18"/>
            <w:szCs w:val="18"/>
          </w:rPr>
          <w:t>www</w:t>
        </w:r>
        <w:r w:rsidRPr="00164787">
          <w:rPr>
            <w:rStyle w:val="Hyperlink"/>
            <w:sz w:val="18"/>
            <w:szCs w:val="18"/>
            <w:lang w:val="sr-Cyrl-RS"/>
          </w:rPr>
          <w:t>.</w:t>
        </w:r>
        <w:r w:rsidRPr="00164787">
          <w:rPr>
            <w:rStyle w:val="Hyperlink"/>
            <w:sz w:val="18"/>
            <w:szCs w:val="18"/>
          </w:rPr>
          <w:t>skgo</w:t>
        </w:r>
        <w:r w:rsidRPr="00164787">
          <w:rPr>
            <w:rStyle w:val="Hyperlink"/>
            <w:sz w:val="18"/>
            <w:szCs w:val="18"/>
            <w:lang w:val="sr-Cyrl-RS"/>
          </w:rPr>
          <w:t>.</w:t>
        </w:r>
        <w:r w:rsidRPr="00164787">
          <w:rPr>
            <w:rStyle w:val="Hyperlink"/>
            <w:sz w:val="18"/>
            <w:szCs w:val="18"/>
          </w:rPr>
          <w:t>org</w:t>
        </w:r>
        <w:r w:rsidRPr="00164787">
          <w:rPr>
            <w:rStyle w:val="Hyperlink"/>
            <w:sz w:val="18"/>
            <w:szCs w:val="18"/>
            <w:lang w:val="sr-Cyrl-RS"/>
          </w:rPr>
          <w:t>/</w:t>
        </w:r>
        <w:r w:rsidRPr="00164787">
          <w:rPr>
            <w:rStyle w:val="Hyperlink"/>
            <w:sz w:val="18"/>
            <w:szCs w:val="18"/>
          </w:rPr>
          <w:t>biblioteka</w:t>
        </w:r>
        <w:r w:rsidRPr="00164787">
          <w:rPr>
            <w:rStyle w:val="Hyperlink"/>
            <w:sz w:val="18"/>
            <w:szCs w:val="18"/>
            <w:lang w:val="sr-Cyrl-RS"/>
          </w:rPr>
          <w:t>/</w:t>
        </w:r>
        <w:r w:rsidRPr="00164787">
          <w:rPr>
            <w:rStyle w:val="Hyperlink"/>
            <w:sz w:val="18"/>
            <w:szCs w:val="18"/>
          </w:rPr>
          <w:t>publikacije</w:t>
        </w:r>
        <w:r w:rsidRPr="00164787">
          <w:rPr>
            <w:rStyle w:val="Hyperlink"/>
            <w:sz w:val="18"/>
            <w:szCs w:val="18"/>
            <w:lang w:val="sr-Cyrl-RS"/>
          </w:rPr>
          <w:t>-</w:t>
        </w:r>
        <w:r w:rsidRPr="00164787">
          <w:rPr>
            <w:rStyle w:val="Hyperlink"/>
            <w:sz w:val="18"/>
            <w:szCs w:val="18"/>
          </w:rPr>
          <w:t>analize</w:t>
        </w:r>
        <w:r w:rsidRPr="00164787">
          <w:rPr>
            <w:rStyle w:val="Hyperlink"/>
            <w:sz w:val="18"/>
            <w:szCs w:val="18"/>
            <w:lang w:val="sr-Cyrl-RS"/>
          </w:rPr>
          <w:t>-</w:t>
        </w:r>
        <w:r w:rsidRPr="00164787">
          <w:rPr>
            <w:rStyle w:val="Hyperlink"/>
            <w:sz w:val="18"/>
            <w:szCs w:val="18"/>
          </w:rPr>
          <w:t>i</w:t>
        </w:r>
        <w:r w:rsidRPr="00164787">
          <w:rPr>
            <w:rStyle w:val="Hyperlink"/>
            <w:sz w:val="18"/>
            <w:szCs w:val="18"/>
            <w:lang w:val="sr-Cyrl-RS"/>
          </w:rPr>
          <w:t>-</w:t>
        </w:r>
        <w:r w:rsidRPr="00164787">
          <w:rPr>
            <w:rStyle w:val="Hyperlink"/>
            <w:sz w:val="18"/>
            <w:szCs w:val="18"/>
          </w:rPr>
          <w:t>prog</w:t>
        </w:r>
        <w:r w:rsidRPr="00164787">
          <w:rPr>
            <w:rStyle w:val="Hyperlink"/>
            <w:sz w:val="18"/>
            <w:szCs w:val="18"/>
            <w:lang w:val="sr-Cyrl-RS"/>
          </w:rPr>
          <w:t>-</w:t>
        </w:r>
        <w:r w:rsidRPr="00164787">
          <w:rPr>
            <w:rStyle w:val="Hyperlink"/>
            <w:sz w:val="18"/>
            <w:szCs w:val="18"/>
          </w:rPr>
          <w:t>dokumenta</w:t>
        </w:r>
        <w:r w:rsidRPr="00164787">
          <w:rPr>
            <w:rStyle w:val="Hyperlink"/>
            <w:sz w:val="18"/>
            <w:szCs w:val="18"/>
            <w:lang w:val="sr-Cyrl-RS"/>
          </w:rPr>
          <w:t>/</w:t>
        </w:r>
        <w:r w:rsidRPr="00164787">
          <w:rPr>
            <w:rStyle w:val="Hyperlink"/>
            <w:sz w:val="18"/>
            <w:szCs w:val="18"/>
          </w:rPr>
          <w:t>pristupanje</w:t>
        </w:r>
        <w:r w:rsidRPr="00164787">
          <w:rPr>
            <w:rStyle w:val="Hyperlink"/>
            <w:sz w:val="18"/>
            <w:szCs w:val="18"/>
            <w:lang w:val="sr-Cyrl-RS"/>
          </w:rPr>
          <w:t>-</w:t>
        </w:r>
        <w:r w:rsidRPr="00164787">
          <w:rPr>
            <w:rStyle w:val="Hyperlink"/>
            <w:sz w:val="18"/>
            <w:szCs w:val="18"/>
          </w:rPr>
          <w:t>EU</w:t>
        </w:r>
        <w:r w:rsidRPr="00164787">
          <w:rPr>
            <w:rStyle w:val="Hyperlink"/>
            <w:sz w:val="18"/>
            <w:szCs w:val="18"/>
            <w:lang w:val="sr-Cyrl-RS"/>
          </w:rPr>
          <w:t>?</w:t>
        </w:r>
        <w:r w:rsidRPr="00164787">
          <w:rPr>
            <w:rStyle w:val="Hyperlink"/>
            <w:sz w:val="18"/>
            <w:szCs w:val="18"/>
          </w:rPr>
          <w:t>thematic</w:t>
        </w:r>
        <w:r w:rsidRPr="00164787">
          <w:rPr>
            <w:rStyle w:val="Hyperlink"/>
            <w:sz w:val="18"/>
            <w:szCs w:val="18"/>
            <w:lang w:val="sr-Cyrl-RS"/>
          </w:rPr>
          <w:t>=29</w:t>
        </w:r>
      </w:hyperlink>
    </w:p>
  </w:footnote>
  <w:footnote w:id="311">
    <w:p w14:paraId="08036617" w14:textId="77777777" w:rsidR="00876FFE" w:rsidRPr="00164787" w:rsidRDefault="00876FFE" w:rsidP="00E57949">
      <w:pPr>
        <w:pStyle w:val="FootnoteText"/>
        <w:rPr>
          <w:sz w:val="18"/>
          <w:szCs w:val="18"/>
          <w:lang w:val="sr-Latn-RS"/>
        </w:rPr>
      </w:pPr>
      <w:r w:rsidRPr="00164787">
        <w:rPr>
          <w:rStyle w:val="FootnoteReference"/>
          <w:rFonts w:eastAsiaTheme="majorEastAsia"/>
          <w:sz w:val="18"/>
          <w:szCs w:val="18"/>
        </w:rPr>
        <w:footnoteRef/>
      </w:r>
      <w:r w:rsidRPr="00164787">
        <w:rPr>
          <w:sz w:val="18"/>
          <w:szCs w:val="18"/>
        </w:rPr>
        <w:t xml:space="preserve"> Др Дејан Вучетић, Припремни материјал МДУЛС за Програм реформе система локалне самоуправе, област: Добро управљање.</w:t>
      </w:r>
    </w:p>
  </w:footnote>
  <w:footnote w:id="312">
    <w:p w14:paraId="05703974"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w:t>
      </w:r>
      <w:hyperlink r:id="rId175" w:history="1">
        <w:r w:rsidRPr="00164787">
          <w:rPr>
            <w:rStyle w:val="Hyperlink"/>
            <w:sz w:val="18"/>
            <w:szCs w:val="18"/>
          </w:rPr>
          <w:t>http://mduls.gov.rs/obavestenja/jedinstveni-popis-poslova-na-loklanom-nivou-vlasti/</w:t>
        </w:r>
      </w:hyperlink>
      <w:r w:rsidRPr="00164787">
        <w:rPr>
          <w:rStyle w:val="Hyperlink"/>
          <w:sz w:val="18"/>
          <w:szCs w:val="18"/>
          <w:lang w:val="sr-Cyrl-RS"/>
        </w:rPr>
        <w:t xml:space="preserve">. </w:t>
      </w:r>
    </w:p>
  </w:footnote>
  <w:footnote w:id="313">
    <w:p w14:paraId="3D58DA5A" w14:textId="77777777" w:rsidR="00876FFE" w:rsidRPr="00164787" w:rsidRDefault="00876FFE" w:rsidP="00E57949">
      <w:pPr>
        <w:spacing w:before="0" w:after="0"/>
        <w:ind w:firstLine="0"/>
        <w:rPr>
          <w:sz w:val="18"/>
          <w:szCs w:val="18"/>
        </w:rPr>
      </w:pPr>
      <w:r w:rsidRPr="00164787">
        <w:rPr>
          <w:rStyle w:val="FootnoteReference"/>
          <w:sz w:val="18"/>
          <w:szCs w:val="18"/>
        </w:rPr>
        <w:footnoteRef/>
      </w:r>
      <w:r w:rsidRPr="00164787">
        <w:rPr>
          <w:sz w:val="18"/>
          <w:szCs w:val="18"/>
        </w:rPr>
        <w:t xml:space="preserve"> Др Дејан Вучетић, Припремни материјал МДУЛС за Програм реформе система локалне самоуправе, област: Положај и организација органа и установа у систему локалне самоуправе</w:t>
      </w:r>
      <w:r w:rsidRPr="00164787">
        <w:rPr>
          <w:bCs/>
          <w:sz w:val="18"/>
          <w:szCs w:val="18"/>
        </w:rPr>
        <w:t>.</w:t>
      </w:r>
    </w:p>
  </w:footnote>
  <w:footnote w:id="314">
    <w:p w14:paraId="14BD85EA" w14:textId="77777777" w:rsidR="00876FFE" w:rsidRPr="00164787" w:rsidRDefault="00876FFE" w:rsidP="00E57949">
      <w:pPr>
        <w:spacing w:before="0" w:after="0"/>
        <w:ind w:firstLine="0"/>
        <w:rPr>
          <w:sz w:val="18"/>
          <w:szCs w:val="18"/>
        </w:rPr>
      </w:pPr>
      <w:r w:rsidRPr="00164787">
        <w:rPr>
          <w:rStyle w:val="FootnoteReference"/>
          <w:sz w:val="18"/>
          <w:szCs w:val="18"/>
        </w:rPr>
        <w:footnoteRef/>
      </w:r>
      <w:r w:rsidRPr="00164787">
        <w:rPr>
          <w:sz w:val="18"/>
          <w:szCs w:val="18"/>
        </w:rPr>
        <w:t xml:space="preserve"> </w:t>
      </w:r>
      <w:r w:rsidRPr="00164787">
        <w:rPr>
          <w:color w:val="000000"/>
          <w:sz w:val="18"/>
          <w:szCs w:val="18"/>
        </w:rPr>
        <w:t xml:space="preserve">Мр Милан Марковић, </w:t>
      </w:r>
      <w:r w:rsidRPr="00164787">
        <w:rPr>
          <w:sz w:val="18"/>
          <w:szCs w:val="18"/>
        </w:rPr>
        <w:t>Припремни материјал МДУЛС за Програм реформе система локалне самоуправе, област: Положај и организација органа и установа у систему локалне самоуправе.</w:t>
      </w:r>
    </w:p>
  </w:footnote>
  <w:footnote w:id="315">
    <w:p w14:paraId="45C725F8"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Извештај о екстерној евалуација Стратегије РЈУ, стр. 47</w:t>
      </w:r>
      <w:r w:rsidRPr="00164787">
        <w:rPr>
          <w:sz w:val="18"/>
          <w:szCs w:val="18"/>
          <w:lang w:val="sr-Cyrl-RS"/>
        </w:rPr>
        <w:t>.</w:t>
      </w:r>
    </w:p>
  </w:footnote>
  <w:footnote w:id="316">
    <w:p w14:paraId="04086B45" w14:textId="77777777" w:rsidR="00876FFE" w:rsidRPr="00164787" w:rsidRDefault="00876FFE" w:rsidP="00E57949">
      <w:pPr>
        <w:pStyle w:val="FootnoteText"/>
        <w:rPr>
          <w:sz w:val="18"/>
          <w:szCs w:val="18"/>
        </w:rPr>
      </w:pPr>
      <w:r w:rsidRPr="00164787">
        <w:rPr>
          <w:rStyle w:val="FootnoteReference"/>
          <w:rFonts w:eastAsiaTheme="majorEastAsia"/>
          <w:sz w:val="18"/>
          <w:szCs w:val="18"/>
        </w:rPr>
        <w:footnoteRef/>
      </w:r>
      <w:r w:rsidRPr="00164787">
        <w:rPr>
          <w:sz w:val="18"/>
          <w:szCs w:val="18"/>
        </w:rPr>
        <w:t xml:space="preserve"> Др Дејан Вучетић, Припремни материјал МДУЛС за Програм реформе система локалне самоуправе, област: Добро управљање.</w:t>
      </w:r>
    </w:p>
  </w:footnote>
  <w:footnote w:id="317">
    <w:p w14:paraId="5207F72E" w14:textId="77777777" w:rsidR="00876FFE" w:rsidRPr="00164787" w:rsidRDefault="00876FFE" w:rsidP="00E57949">
      <w:pPr>
        <w:pStyle w:val="FootnoteText"/>
        <w:rPr>
          <w:sz w:val="18"/>
          <w:szCs w:val="18"/>
        </w:rPr>
      </w:pPr>
      <w:r w:rsidRPr="00164787">
        <w:rPr>
          <w:rStyle w:val="FootnoteReference"/>
          <w:rFonts w:eastAsiaTheme="majorEastAsia"/>
          <w:sz w:val="18"/>
          <w:szCs w:val="18"/>
        </w:rPr>
        <w:footnoteRef/>
      </w:r>
      <w:r w:rsidRPr="00164787">
        <w:rPr>
          <w:sz w:val="18"/>
          <w:szCs w:val="18"/>
        </w:rPr>
        <w:t xml:space="preserve"> Имплементација Закона о јавној својини се испоставила као врло проблематична. По проценама СКГО чак 85% ЈЛС нема поуздане и комплетне податке о обиму и структури имовине, нити одговарајући правни основ за успостављање права својине над објектима и земљиштем. Општи закључак је да је око 70% ЈЛС још на почетку овог процеса.</w:t>
      </w:r>
    </w:p>
  </w:footnote>
  <w:footnote w:id="318">
    <w:p w14:paraId="16A273A2" w14:textId="77777777" w:rsidR="00876FFE" w:rsidRPr="00164787" w:rsidRDefault="00876FFE" w:rsidP="00E57949">
      <w:pPr>
        <w:pStyle w:val="FootnoteText"/>
        <w:rPr>
          <w:sz w:val="18"/>
          <w:szCs w:val="18"/>
        </w:rPr>
      </w:pPr>
      <w:r w:rsidRPr="00164787">
        <w:rPr>
          <w:rStyle w:val="FootnoteReference"/>
          <w:sz w:val="18"/>
          <w:szCs w:val="18"/>
        </w:rPr>
        <w:footnoteRef/>
      </w:r>
      <w:r w:rsidRPr="00164787">
        <w:rPr>
          <w:sz w:val="18"/>
          <w:szCs w:val="18"/>
        </w:rPr>
        <w:t xml:space="preserve"> За приходе ЈЛС видети више у Билтену јавних финансија 12/2019 број 184, а за податке о БДП на </w:t>
      </w:r>
      <w:hyperlink r:id="rId176" w:history="1">
        <w:r w:rsidRPr="00164787">
          <w:rPr>
            <w:rStyle w:val="Hyperlink"/>
            <w:sz w:val="18"/>
            <w:szCs w:val="18"/>
          </w:rPr>
          <w:t>https://data.stat.gov.rs/?caller=090201&amp;languageCode=sr-Cyrl</w:t>
        </w:r>
      </w:hyperlink>
    </w:p>
  </w:footnote>
  <w:footnote w:id="319">
    <w:p w14:paraId="713AD21C"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СИГМА Извештај 2019, стр. 34</w:t>
      </w:r>
    </w:p>
  </w:footnote>
  <w:footnote w:id="320">
    <w:p w14:paraId="789B6837" w14:textId="77777777" w:rsidR="00876FFE" w:rsidRPr="009B323D"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w:t>
      </w:r>
      <w:r>
        <w:rPr>
          <w:sz w:val="18"/>
          <w:szCs w:val="18"/>
          <w:lang w:val="sr-Cyrl-RS"/>
        </w:rPr>
        <w:t xml:space="preserve">Писани прилог, шести састанак Посебне групе за РЈУ: </w:t>
      </w:r>
      <w:r w:rsidRPr="004D3145">
        <w:rPr>
          <w:i/>
          <w:sz w:val="18"/>
          <w:szCs w:val="18"/>
        </w:rPr>
        <w:t xml:space="preserve">Written contribution, 6th PAR Special Group Meeting on public administration reform, </w:t>
      </w:r>
      <w:r w:rsidRPr="009B323D">
        <w:rPr>
          <w:sz w:val="18"/>
          <w:szCs w:val="18"/>
        </w:rPr>
        <w:t>стр. 56, Октобар, 2019</w:t>
      </w:r>
      <w:r w:rsidRPr="009B323D">
        <w:rPr>
          <w:sz w:val="18"/>
          <w:szCs w:val="18"/>
          <w:lang w:val="sr-Cyrl-RS"/>
        </w:rPr>
        <w:t>.</w:t>
      </w:r>
    </w:p>
  </w:footnote>
  <w:footnote w:id="321">
    <w:p w14:paraId="7CFA037B" w14:textId="77777777" w:rsidR="00876FFE" w:rsidRPr="00164787" w:rsidRDefault="00876FFE" w:rsidP="00E57949">
      <w:pPr>
        <w:pStyle w:val="FootnoteText"/>
        <w:rPr>
          <w:sz w:val="18"/>
          <w:szCs w:val="18"/>
        </w:rPr>
      </w:pPr>
      <w:r w:rsidRPr="00164787">
        <w:rPr>
          <w:rStyle w:val="FootnoteReference"/>
          <w:sz w:val="18"/>
          <w:szCs w:val="18"/>
        </w:rPr>
        <w:footnoteRef/>
      </w:r>
      <w:r w:rsidRPr="00164787">
        <w:rPr>
          <w:sz w:val="18"/>
          <w:szCs w:val="18"/>
        </w:rPr>
        <w:t xml:space="preserve"> Уз неколико изузетака – код давање назива имена и улица или задуживања (када је потребна сагласност ресорних министарстава)</w:t>
      </w:r>
    </w:p>
  </w:footnote>
  <w:footnote w:id="322">
    <w:p w14:paraId="1E648F7B" w14:textId="77777777" w:rsidR="00876FFE" w:rsidRPr="00164787" w:rsidRDefault="00876FFE" w:rsidP="00E57949">
      <w:pPr>
        <w:pStyle w:val="FootnoteText"/>
        <w:rPr>
          <w:sz w:val="18"/>
          <w:szCs w:val="18"/>
        </w:rPr>
      </w:pPr>
      <w:r w:rsidRPr="00164787">
        <w:rPr>
          <w:rStyle w:val="FootnoteReference"/>
          <w:rFonts w:eastAsiaTheme="majorEastAsia"/>
          <w:sz w:val="18"/>
          <w:szCs w:val="18"/>
        </w:rPr>
        <w:footnoteRef/>
      </w:r>
      <w:r w:rsidRPr="00164787">
        <w:rPr>
          <w:sz w:val="18"/>
          <w:szCs w:val="18"/>
        </w:rPr>
        <w:t xml:space="preserve"> Регистар управних поступака (рок за завршетак 2021.</w:t>
      </w:r>
      <w:r w:rsidRPr="00164787">
        <w:rPr>
          <w:sz w:val="18"/>
          <w:szCs w:val="18"/>
          <w:lang w:val="sr-Cyrl-RS"/>
        </w:rPr>
        <w:t xml:space="preserve"> година</w:t>
      </w:r>
      <w:r w:rsidRPr="00164787">
        <w:rPr>
          <w:sz w:val="18"/>
          <w:szCs w:val="18"/>
        </w:rPr>
        <w:t>) мапира око 2500 управних поступака за привредне субјекте и грађане укључујући и усвајање 188 стандардизованих управних поступака за ЈЛС у девет области.</w:t>
      </w:r>
    </w:p>
  </w:footnote>
  <w:footnote w:id="323">
    <w:p w14:paraId="12E116A9" w14:textId="77777777" w:rsidR="00876FFE" w:rsidRPr="00164787" w:rsidRDefault="00876FFE" w:rsidP="00E57949">
      <w:pPr>
        <w:pStyle w:val="FootnoteText"/>
        <w:rPr>
          <w:rFonts w:eastAsia="Calibri"/>
          <w:sz w:val="18"/>
          <w:szCs w:val="18"/>
        </w:rPr>
      </w:pPr>
      <w:r w:rsidRPr="00164787">
        <w:rPr>
          <w:rStyle w:val="FootnoteReference"/>
          <w:rFonts w:eastAsiaTheme="majorEastAsia"/>
          <w:sz w:val="18"/>
          <w:szCs w:val="18"/>
        </w:rPr>
        <w:footnoteRef/>
      </w:r>
      <w:r w:rsidRPr="00164787">
        <w:rPr>
          <w:sz w:val="18"/>
          <w:szCs w:val="18"/>
        </w:rPr>
        <w:t xml:space="preserve"> Извештај о екстерној евалуацији Стратегије РЈУ, 2019, стр. 92.</w:t>
      </w:r>
    </w:p>
  </w:footnote>
  <w:footnote w:id="324">
    <w:p w14:paraId="602F14FA"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Извештај о екстерној евалуациј</w:t>
      </w:r>
      <w:r w:rsidRPr="00164787">
        <w:rPr>
          <w:sz w:val="18"/>
          <w:szCs w:val="18"/>
          <w:lang w:val="sr-Cyrl-RS"/>
        </w:rPr>
        <w:t>и</w:t>
      </w:r>
      <w:r w:rsidRPr="00164787">
        <w:rPr>
          <w:sz w:val="18"/>
          <w:szCs w:val="18"/>
        </w:rPr>
        <w:t xml:space="preserve"> Стратегије РЈУ, 2019, стр. 97</w:t>
      </w:r>
      <w:r w:rsidRPr="00164787">
        <w:rPr>
          <w:sz w:val="18"/>
          <w:szCs w:val="18"/>
          <w:lang w:val="sr-Cyrl-RS"/>
        </w:rPr>
        <w:t>.</w:t>
      </w:r>
    </w:p>
  </w:footnote>
  <w:footnote w:id="325">
    <w:p w14:paraId="0944B4E2"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Полазне основе, стр. 6</w:t>
      </w:r>
      <w:r w:rsidRPr="00164787">
        <w:rPr>
          <w:sz w:val="18"/>
          <w:szCs w:val="18"/>
          <w:lang w:val="sr-Cyrl-RS"/>
        </w:rPr>
        <w:t>.</w:t>
      </w:r>
    </w:p>
  </w:footnote>
  <w:footnote w:id="326">
    <w:p w14:paraId="2BDBF175"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Полазне основе,  стр. 10</w:t>
      </w:r>
      <w:r w:rsidRPr="00164787">
        <w:rPr>
          <w:sz w:val="18"/>
          <w:szCs w:val="18"/>
          <w:lang w:val="sr-Cyrl-RS"/>
        </w:rPr>
        <w:t>.</w:t>
      </w:r>
    </w:p>
  </w:footnote>
  <w:footnote w:id="327">
    <w:p w14:paraId="2FCAE78D"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Извештај о екстерној евалуација Стратегије РЈУ  , 2019</w:t>
      </w:r>
      <w:r w:rsidRPr="00164787">
        <w:rPr>
          <w:sz w:val="18"/>
          <w:szCs w:val="18"/>
          <w:lang w:val="sr-Cyrl-RS"/>
        </w:rPr>
        <w:t>.</w:t>
      </w:r>
    </w:p>
  </w:footnote>
  <w:footnote w:id="328">
    <w:p w14:paraId="1621E218"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Полазне основе, стр. 6 </w:t>
      </w:r>
      <w:r w:rsidRPr="00164787">
        <w:rPr>
          <w:sz w:val="18"/>
          <w:szCs w:val="18"/>
          <w:lang w:val="sr-Cyrl-RS"/>
        </w:rPr>
        <w:t>.</w:t>
      </w:r>
    </w:p>
  </w:footnote>
  <w:footnote w:id="329">
    <w:p w14:paraId="2CEB6C57"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Полазн</w:t>
      </w:r>
      <w:r w:rsidRPr="00164787">
        <w:rPr>
          <w:sz w:val="18"/>
          <w:szCs w:val="18"/>
          <w:lang w:val="sr-Cyrl-RS"/>
        </w:rPr>
        <w:t>е</w:t>
      </w:r>
      <w:r w:rsidRPr="00164787">
        <w:rPr>
          <w:sz w:val="18"/>
          <w:szCs w:val="18"/>
        </w:rPr>
        <w:t xml:space="preserve"> основе, стр. 7</w:t>
      </w:r>
      <w:r w:rsidRPr="00164787">
        <w:rPr>
          <w:sz w:val="18"/>
          <w:szCs w:val="18"/>
          <w:lang w:val="sr-Cyrl-RS"/>
        </w:rPr>
        <w:t>.</w:t>
      </w:r>
    </w:p>
  </w:footnote>
  <w:footnote w:id="330">
    <w:p w14:paraId="5EA8133B" w14:textId="77777777" w:rsidR="00876FFE" w:rsidRPr="00164787" w:rsidRDefault="00876FFE" w:rsidP="00E57949">
      <w:pPr>
        <w:pStyle w:val="FootnoteText"/>
        <w:rPr>
          <w:sz w:val="18"/>
          <w:szCs w:val="18"/>
          <w:lang w:val="sr-Cyrl-RS"/>
        </w:rPr>
      </w:pPr>
      <w:r w:rsidRPr="00164787">
        <w:rPr>
          <w:rStyle w:val="FootnoteReference"/>
          <w:rFonts w:eastAsiaTheme="majorEastAsia"/>
          <w:sz w:val="18"/>
          <w:szCs w:val="18"/>
        </w:rPr>
        <w:footnoteRef/>
      </w:r>
      <w:r w:rsidRPr="00164787">
        <w:rPr>
          <w:sz w:val="18"/>
          <w:szCs w:val="18"/>
        </w:rPr>
        <w:t xml:space="preserve"> Извештај о екстерној евалуациј</w:t>
      </w:r>
      <w:r w:rsidRPr="00164787">
        <w:rPr>
          <w:sz w:val="18"/>
          <w:szCs w:val="18"/>
          <w:lang w:val="sr-Cyrl-RS"/>
        </w:rPr>
        <w:t>и</w:t>
      </w:r>
      <w:r w:rsidRPr="00164787">
        <w:rPr>
          <w:sz w:val="18"/>
          <w:szCs w:val="18"/>
        </w:rPr>
        <w:t xml:space="preserve"> Стратегије РЈУ, 2019</w:t>
      </w:r>
      <w:r w:rsidRPr="00164787">
        <w:rPr>
          <w:sz w:val="18"/>
          <w:szCs w:val="18"/>
          <w:lang w:val="sr-Cyrl-RS"/>
        </w:rPr>
        <w:t xml:space="preserve">, </w:t>
      </w:r>
      <w:r w:rsidRPr="00164787">
        <w:rPr>
          <w:sz w:val="18"/>
          <w:szCs w:val="18"/>
        </w:rPr>
        <w:t>стр. 97</w:t>
      </w:r>
      <w:r w:rsidRPr="00164787">
        <w:rPr>
          <w:sz w:val="18"/>
          <w:szCs w:val="18"/>
          <w:lang w:val="sr-Cyrl-RS"/>
        </w:rPr>
        <w:t>.</w:t>
      </w:r>
    </w:p>
  </w:footnote>
  <w:footnote w:id="331">
    <w:p w14:paraId="70F69F2A" w14:textId="77777777" w:rsidR="00876FFE" w:rsidRPr="00164787" w:rsidRDefault="00876FFE" w:rsidP="00E57949">
      <w:pPr>
        <w:pStyle w:val="FootnoteText"/>
        <w:rPr>
          <w:sz w:val="18"/>
          <w:szCs w:val="18"/>
        </w:rPr>
      </w:pPr>
      <w:r w:rsidRPr="00164787">
        <w:rPr>
          <w:rStyle w:val="FootnoteReference"/>
          <w:rFonts w:eastAsiaTheme="majorEastAsia"/>
          <w:sz w:val="18"/>
          <w:szCs w:val="18"/>
        </w:rPr>
        <w:footnoteRef/>
      </w:r>
      <w:r w:rsidRPr="00164787">
        <w:rPr>
          <w:sz w:val="18"/>
          <w:szCs w:val="18"/>
        </w:rPr>
        <w:t xml:space="preserve"> Мирјана Станковић Припремни материјал МДУЛС за Програм реформе система локалне самоуправе, област: Управљање људским ресурсима.</w:t>
      </w:r>
    </w:p>
  </w:footnote>
  <w:footnote w:id="332">
    <w:p w14:paraId="4044FB34" w14:textId="77777777" w:rsidR="00876FFE" w:rsidRPr="00164787" w:rsidRDefault="00876FFE" w:rsidP="00E57949">
      <w:pPr>
        <w:pStyle w:val="FootnoteText"/>
        <w:rPr>
          <w:sz w:val="18"/>
          <w:szCs w:val="18"/>
        </w:rPr>
      </w:pPr>
      <w:r w:rsidRPr="00164787">
        <w:rPr>
          <w:rStyle w:val="FootnoteReference"/>
          <w:rFonts w:eastAsiaTheme="majorEastAsia"/>
          <w:sz w:val="18"/>
          <w:szCs w:val="18"/>
        </w:rPr>
        <w:footnoteRef/>
      </w:r>
      <w:r w:rsidRPr="00164787">
        <w:rPr>
          <w:sz w:val="18"/>
          <w:szCs w:val="18"/>
        </w:rPr>
        <w:t xml:space="preserve"> Мирјана Станковић, Припремни материјал МДУЛС за Програм реформе система локалне самоуправе, </w:t>
      </w:r>
      <w:r w:rsidRPr="00164787">
        <w:rPr>
          <w:color w:val="000000"/>
          <w:sz w:val="18"/>
          <w:szCs w:val="18"/>
        </w:rPr>
        <w:t>област: Управљање људским ресурсима.</w:t>
      </w:r>
    </w:p>
  </w:footnote>
  <w:footnote w:id="333">
    <w:p w14:paraId="3165D7ED" w14:textId="77777777" w:rsidR="00876FFE" w:rsidRPr="00164787" w:rsidRDefault="00876FFE" w:rsidP="00E57949">
      <w:pPr>
        <w:pStyle w:val="FootnoteText"/>
        <w:rPr>
          <w:sz w:val="18"/>
          <w:szCs w:val="18"/>
        </w:rPr>
      </w:pPr>
      <w:r w:rsidRPr="00164787">
        <w:rPr>
          <w:rStyle w:val="FootnoteReference"/>
          <w:sz w:val="18"/>
          <w:szCs w:val="18"/>
        </w:rPr>
        <w:footnoteRef/>
      </w:r>
      <w:r w:rsidRPr="00164787">
        <w:rPr>
          <w:sz w:val="18"/>
          <w:szCs w:val="18"/>
        </w:rPr>
        <w:t xml:space="preserve"> Планирано је да истраживање буде обухваћено још 20 градова, општина и градских општина па је у складу са тим могућа промена наведених налаза на укупном узорку од 70 локалних самоуправа.</w:t>
      </w:r>
    </w:p>
  </w:footnote>
  <w:footnote w:id="334">
    <w:p w14:paraId="2B19775D" w14:textId="77777777" w:rsidR="00876FFE" w:rsidRPr="00164787" w:rsidRDefault="00876FFE" w:rsidP="00E57949">
      <w:pPr>
        <w:pStyle w:val="FootnoteText"/>
        <w:rPr>
          <w:sz w:val="18"/>
          <w:szCs w:val="18"/>
        </w:rPr>
      </w:pPr>
      <w:r w:rsidRPr="00164787">
        <w:rPr>
          <w:rStyle w:val="FootnoteReference"/>
          <w:rFonts w:eastAsiaTheme="majorEastAsia"/>
          <w:sz w:val="18"/>
          <w:szCs w:val="18"/>
        </w:rPr>
        <w:footnoteRef/>
      </w:r>
      <w:r w:rsidRPr="00164787">
        <w:rPr>
          <w:sz w:val="18"/>
          <w:szCs w:val="18"/>
        </w:rPr>
        <w:t xml:space="preserve"> Индекс добре управе за ЛС тренутно не обухвата мерење квалитета јавних услуга.</w:t>
      </w:r>
    </w:p>
  </w:footnote>
  <w:footnote w:id="335">
    <w:p w14:paraId="0B050394" w14:textId="77777777" w:rsidR="00876FFE" w:rsidRPr="00164787" w:rsidRDefault="00876FFE" w:rsidP="00E57949">
      <w:pPr>
        <w:pStyle w:val="FootnoteText"/>
        <w:rPr>
          <w:sz w:val="18"/>
          <w:szCs w:val="18"/>
        </w:rPr>
      </w:pPr>
      <w:r w:rsidRPr="00164787">
        <w:rPr>
          <w:rStyle w:val="FootnoteReference"/>
          <w:rFonts w:eastAsiaTheme="majorEastAsia"/>
          <w:sz w:val="18"/>
          <w:szCs w:val="18"/>
        </w:rPr>
        <w:footnoteRef/>
      </w:r>
      <w:r w:rsidRPr="00164787">
        <w:rPr>
          <w:sz w:val="18"/>
          <w:szCs w:val="18"/>
        </w:rPr>
        <w:t xml:space="preserve"> Чак 36% градова и 33% општина није имало усвојен План интегритета иако се ради о законској обавези, Др Дејан Вучетић</w:t>
      </w:r>
      <w:r w:rsidRPr="00164787">
        <w:rPr>
          <w:color w:val="000000"/>
          <w:sz w:val="18"/>
          <w:szCs w:val="18"/>
        </w:rPr>
        <w:t>, Припремни материјал МДУЛС за Програм реформе система локалне самоуправе, област: Добро управљање.</w:t>
      </w:r>
    </w:p>
  </w:footnote>
  <w:footnote w:id="336">
    <w:p w14:paraId="5A67019B" w14:textId="77777777" w:rsidR="00876FFE" w:rsidRPr="00164787" w:rsidRDefault="00876FFE" w:rsidP="00E57949">
      <w:pPr>
        <w:pStyle w:val="FootnoteText"/>
        <w:rPr>
          <w:sz w:val="18"/>
          <w:szCs w:val="18"/>
        </w:rPr>
      </w:pPr>
      <w:r w:rsidRPr="00164787">
        <w:rPr>
          <w:rStyle w:val="FootnoteReference"/>
          <w:rFonts w:eastAsiaTheme="majorEastAsia"/>
          <w:sz w:val="18"/>
          <w:szCs w:val="18"/>
        </w:rPr>
        <w:footnoteRef/>
      </w:r>
      <w:r w:rsidRPr="00164787">
        <w:rPr>
          <w:sz w:val="18"/>
          <w:szCs w:val="18"/>
        </w:rPr>
        <w:t xml:space="preserve"> Др Дејан Вучетић, Припремни материјал МДУЛС за Програм реформе система локалне самоуправе, област: Добро управљање.</w:t>
      </w:r>
    </w:p>
  </w:footnote>
  <w:footnote w:id="337">
    <w:p w14:paraId="6026BF91" w14:textId="2BC7AAC3"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Чланови РГЕ, поред МДУЛС-а, Делегације ЕУ и ЕУ Пројекта комплементарне подршке за област РЈУ су Министарство финансија, Министарство за европске интеграције, Републички секретаријат за јавну политику, Национална академија за јавну управу, Генерални секретаријат, Канцеларија за информациону технологију и е-управу, Служба за управљање кадровима, Канцеларија за сарадњу са цивилним друштвом, Повереник за равноправност, </w:t>
      </w:r>
      <w:r w:rsidRPr="00351859">
        <w:rPr>
          <w:i/>
          <w:sz w:val="18"/>
          <w:szCs w:val="18"/>
        </w:rPr>
        <w:t>SIGMA</w:t>
      </w:r>
      <w:r w:rsidRPr="003C3404">
        <w:rPr>
          <w:sz w:val="18"/>
          <w:szCs w:val="18"/>
        </w:rPr>
        <w:t>, Центар за европске политике, ЦРТА, СКГО, Швајцарски СЦО (</w:t>
      </w:r>
      <w:r w:rsidRPr="003C3404">
        <w:rPr>
          <w:rFonts w:eastAsia="Calibri-Identity-H"/>
          <w:i/>
          <w:sz w:val="18"/>
          <w:szCs w:val="18"/>
        </w:rPr>
        <w:t>SDC и SECO</w:t>
      </w:r>
      <w:r w:rsidRPr="003C3404">
        <w:rPr>
          <w:rFonts w:eastAsia="Calibri-Identity-H"/>
          <w:sz w:val="18"/>
          <w:szCs w:val="18"/>
        </w:rPr>
        <w:t>)</w:t>
      </w:r>
      <w:r w:rsidRPr="003C3404">
        <w:rPr>
          <w:sz w:val="18"/>
          <w:szCs w:val="18"/>
        </w:rPr>
        <w:t xml:space="preserve"> и ГИЗ пројекат (Добра управа, реформа јавне управе и ЕУ интеграција), Почетни извештај, Екстерна евалуација Стратегије реформе јавне управе у Србији, 5. октобар 2018, страна 21.</w:t>
      </w:r>
    </w:p>
  </w:footnote>
  <w:footnote w:id="338">
    <w:p w14:paraId="499001A1"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РГЕ се састајала ради расправе о нацрту почетног извештаја и потврде методологије евалуације 27. септембра 2018, расправе о кључним налазима у фази спровођења евалуације 17. децембра 2018, разматрања нацрта финалних закључака и препорука 13. фебруара 2019. године (детаљније о улози РГЕ у прилогу ове стратегије о Извештају о евалуацији РЈУ). </w:t>
      </w:r>
    </w:p>
  </w:footnote>
  <w:footnote w:id="339">
    <w:p w14:paraId="349B632B" w14:textId="77777777" w:rsidR="00876FFE" w:rsidRPr="003C3404" w:rsidRDefault="00876FFE" w:rsidP="00215A61">
      <w:pPr>
        <w:pStyle w:val="FootnoteText"/>
        <w:rPr>
          <w:sz w:val="18"/>
          <w:szCs w:val="18"/>
          <w:lang w:val="sr-Cyrl-RS"/>
        </w:rPr>
      </w:pPr>
      <w:r w:rsidRPr="003C3404">
        <w:rPr>
          <w:rStyle w:val="FootnoteReference"/>
          <w:rFonts w:eastAsiaTheme="majorEastAsia"/>
          <w:sz w:val="18"/>
          <w:szCs w:val="18"/>
        </w:rPr>
        <w:footnoteRef/>
      </w:r>
      <w:r w:rsidRPr="003C3404">
        <w:rPr>
          <w:sz w:val="18"/>
          <w:szCs w:val="18"/>
          <w:lang w:val="sr-Latn-RS"/>
        </w:rPr>
        <w:t xml:space="preserve"> </w:t>
      </w:r>
      <w:r w:rsidRPr="003C3404">
        <w:rPr>
          <w:sz w:val="18"/>
          <w:szCs w:val="18"/>
          <w:lang w:val="sr-Cyrl-RS"/>
        </w:rPr>
        <w:t>У</w:t>
      </w:r>
      <w:r w:rsidRPr="003C3404">
        <w:rPr>
          <w:sz w:val="18"/>
          <w:szCs w:val="18"/>
          <w:lang w:val="sr-Latn-RS"/>
        </w:rPr>
        <w:t xml:space="preserve"> </w:t>
      </w:r>
      <w:r w:rsidRPr="003C3404">
        <w:rPr>
          <w:sz w:val="18"/>
          <w:szCs w:val="18"/>
          <w:lang w:val="sr-Cyrl-RS"/>
        </w:rPr>
        <w:t xml:space="preserve">МПГ се налазе представници </w:t>
      </w:r>
      <w:r w:rsidRPr="003C3404">
        <w:rPr>
          <w:sz w:val="18"/>
          <w:szCs w:val="18"/>
          <w:lang w:val="sr-Latn-RS"/>
        </w:rPr>
        <w:t xml:space="preserve"> 12 </w:t>
      </w:r>
      <w:r w:rsidRPr="003C3404">
        <w:rPr>
          <w:sz w:val="18"/>
          <w:szCs w:val="18"/>
        </w:rPr>
        <w:t>организација</w:t>
      </w:r>
      <w:r w:rsidRPr="003C3404">
        <w:rPr>
          <w:sz w:val="18"/>
          <w:szCs w:val="18"/>
          <w:lang w:val="sr-Latn-RS"/>
        </w:rPr>
        <w:t xml:space="preserve"> </w:t>
      </w:r>
      <w:r w:rsidRPr="003C3404">
        <w:rPr>
          <w:sz w:val="18"/>
          <w:szCs w:val="18"/>
        </w:rPr>
        <w:t>цивилног</w:t>
      </w:r>
      <w:r w:rsidRPr="003C3404">
        <w:rPr>
          <w:sz w:val="18"/>
          <w:szCs w:val="18"/>
          <w:lang w:val="sr-Latn-RS"/>
        </w:rPr>
        <w:t xml:space="preserve"> </w:t>
      </w:r>
      <w:r w:rsidRPr="003C3404">
        <w:rPr>
          <w:sz w:val="18"/>
          <w:szCs w:val="18"/>
        </w:rPr>
        <w:t>друштва</w:t>
      </w:r>
      <w:r w:rsidRPr="003C3404">
        <w:rPr>
          <w:sz w:val="18"/>
          <w:szCs w:val="18"/>
          <w:lang w:val="sr-Cyrl-RS"/>
        </w:rPr>
        <w:t xml:space="preserve"> укључујући</w:t>
      </w:r>
      <w:r w:rsidRPr="003C3404">
        <w:rPr>
          <w:sz w:val="18"/>
          <w:szCs w:val="18"/>
          <w:lang w:val="sr-Latn-RS"/>
        </w:rPr>
        <w:t xml:space="preserve"> </w:t>
      </w:r>
      <w:r w:rsidRPr="003C3404">
        <w:rPr>
          <w:sz w:val="18"/>
          <w:szCs w:val="18"/>
        </w:rPr>
        <w:t>Сталн</w:t>
      </w:r>
      <w:r w:rsidRPr="003C3404">
        <w:rPr>
          <w:sz w:val="18"/>
          <w:szCs w:val="18"/>
          <w:lang w:val="sr-Cyrl-RS"/>
        </w:rPr>
        <w:t>у</w:t>
      </w:r>
      <w:r w:rsidRPr="003C3404">
        <w:rPr>
          <w:sz w:val="18"/>
          <w:szCs w:val="18"/>
          <w:lang w:val="sr-Latn-RS"/>
        </w:rPr>
        <w:t xml:space="preserve"> </w:t>
      </w:r>
      <w:r w:rsidRPr="003C3404">
        <w:rPr>
          <w:sz w:val="18"/>
          <w:szCs w:val="18"/>
        </w:rPr>
        <w:t>конференциј</w:t>
      </w:r>
      <w:r w:rsidRPr="003C3404">
        <w:rPr>
          <w:sz w:val="18"/>
          <w:szCs w:val="18"/>
          <w:lang w:val="sr-Cyrl-RS"/>
        </w:rPr>
        <w:t>у</w:t>
      </w:r>
      <w:r w:rsidRPr="003C3404">
        <w:rPr>
          <w:sz w:val="18"/>
          <w:szCs w:val="18"/>
          <w:lang w:val="sr-Latn-RS"/>
        </w:rPr>
        <w:t xml:space="preserve"> </w:t>
      </w:r>
      <w:r w:rsidRPr="003C3404">
        <w:rPr>
          <w:sz w:val="18"/>
          <w:szCs w:val="18"/>
        </w:rPr>
        <w:t>градова</w:t>
      </w:r>
      <w:r w:rsidRPr="003C3404">
        <w:rPr>
          <w:sz w:val="18"/>
          <w:szCs w:val="18"/>
          <w:lang w:val="sr-Latn-RS"/>
        </w:rPr>
        <w:t xml:space="preserve"> </w:t>
      </w:r>
      <w:r w:rsidRPr="003C3404">
        <w:rPr>
          <w:sz w:val="18"/>
          <w:szCs w:val="18"/>
        </w:rPr>
        <w:t>и</w:t>
      </w:r>
      <w:r w:rsidRPr="003C3404">
        <w:rPr>
          <w:sz w:val="18"/>
          <w:szCs w:val="18"/>
          <w:lang w:val="sr-Latn-RS"/>
        </w:rPr>
        <w:t xml:space="preserve"> </w:t>
      </w:r>
      <w:r w:rsidRPr="003C3404">
        <w:rPr>
          <w:sz w:val="18"/>
          <w:szCs w:val="18"/>
        </w:rPr>
        <w:t>општина</w:t>
      </w:r>
      <w:r w:rsidRPr="003C3404">
        <w:rPr>
          <w:sz w:val="18"/>
          <w:szCs w:val="18"/>
          <w:lang w:val="sr-Latn-RS"/>
        </w:rPr>
        <w:t xml:space="preserve"> (</w:t>
      </w:r>
      <w:r w:rsidRPr="003C3404">
        <w:rPr>
          <w:sz w:val="18"/>
          <w:szCs w:val="18"/>
        </w:rPr>
        <w:t>од</w:t>
      </w:r>
      <w:r w:rsidRPr="003C3404">
        <w:rPr>
          <w:sz w:val="18"/>
          <w:szCs w:val="18"/>
          <w:lang w:val="sr-Latn-RS"/>
        </w:rPr>
        <w:t xml:space="preserve"> 12, </w:t>
      </w:r>
      <w:r w:rsidRPr="003C3404">
        <w:rPr>
          <w:sz w:val="18"/>
          <w:szCs w:val="18"/>
        </w:rPr>
        <w:t>поједине</w:t>
      </w:r>
      <w:r w:rsidRPr="003C3404">
        <w:rPr>
          <w:sz w:val="18"/>
          <w:szCs w:val="18"/>
          <w:lang w:val="sr-Latn-RS"/>
        </w:rPr>
        <w:t xml:space="preserve"> </w:t>
      </w:r>
      <w:r w:rsidRPr="003C3404">
        <w:rPr>
          <w:sz w:val="18"/>
          <w:szCs w:val="18"/>
        </w:rPr>
        <w:t>НВО</w:t>
      </w:r>
      <w:r w:rsidRPr="003C3404">
        <w:rPr>
          <w:sz w:val="18"/>
          <w:szCs w:val="18"/>
          <w:lang w:val="sr-Latn-RS"/>
        </w:rPr>
        <w:t xml:space="preserve"> </w:t>
      </w:r>
      <w:r w:rsidRPr="003C3404">
        <w:rPr>
          <w:sz w:val="18"/>
          <w:szCs w:val="18"/>
        </w:rPr>
        <w:t>представљају</w:t>
      </w:r>
      <w:r w:rsidRPr="003C3404">
        <w:rPr>
          <w:sz w:val="18"/>
          <w:szCs w:val="18"/>
          <w:lang w:val="sr-Latn-RS"/>
        </w:rPr>
        <w:t xml:space="preserve"> </w:t>
      </w:r>
      <w:r w:rsidRPr="003C3404">
        <w:rPr>
          <w:sz w:val="18"/>
          <w:szCs w:val="18"/>
        </w:rPr>
        <w:t>и</w:t>
      </w:r>
      <w:r w:rsidRPr="003C3404">
        <w:rPr>
          <w:sz w:val="18"/>
          <w:szCs w:val="18"/>
          <w:lang w:val="sr-Latn-RS"/>
        </w:rPr>
        <w:t xml:space="preserve"> </w:t>
      </w:r>
      <w:r w:rsidRPr="003C3404">
        <w:rPr>
          <w:sz w:val="18"/>
          <w:szCs w:val="18"/>
        </w:rPr>
        <w:t>мреже</w:t>
      </w:r>
      <w:r w:rsidRPr="003C3404">
        <w:rPr>
          <w:sz w:val="18"/>
          <w:szCs w:val="18"/>
          <w:lang w:val="sr-Latn-RS"/>
        </w:rPr>
        <w:t xml:space="preserve"> </w:t>
      </w:r>
      <w:r w:rsidRPr="003C3404">
        <w:rPr>
          <w:sz w:val="18"/>
          <w:szCs w:val="18"/>
        </w:rPr>
        <w:t>организације</w:t>
      </w:r>
      <w:r w:rsidRPr="003C3404">
        <w:rPr>
          <w:sz w:val="18"/>
          <w:szCs w:val="18"/>
          <w:lang w:val="sr-Latn-RS"/>
        </w:rPr>
        <w:t xml:space="preserve">, </w:t>
      </w:r>
      <w:r w:rsidRPr="003C3404">
        <w:rPr>
          <w:sz w:val="18"/>
          <w:szCs w:val="18"/>
        </w:rPr>
        <w:t>а</w:t>
      </w:r>
      <w:r w:rsidRPr="003C3404">
        <w:rPr>
          <w:sz w:val="18"/>
          <w:szCs w:val="18"/>
          <w:lang w:val="sr-Latn-RS"/>
        </w:rPr>
        <w:t xml:space="preserve"> 4 </w:t>
      </w:r>
      <w:r w:rsidRPr="003C3404">
        <w:rPr>
          <w:sz w:val="18"/>
          <w:szCs w:val="18"/>
        </w:rPr>
        <w:t>имају</w:t>
      </w:r>
      <w:r w:rsidRPr="003C3404">
        <w:rPr>
          <w:sz w:val="18"/>
          <w:szCs w:val="18"/>
          <w:lang w:val="sr-Latn-RS"/>
        </w:rPr>
        <w:t xml:space="preserve"> </w:t>
      </w:r>
      <w:r w:rsidRPr="003C3404">
        <w:rPr>
          <w:sz w:val="18"/>
          <w:szCs w:val="18"/>
        </w:rPr>
        <w:t>седиште</w:t>
      </w:r>
      <w:r w:rsidRPr="003C3404">
        <w:rPr>
          <w:sz w:val="18"/>
          <w:szCs w:val="18"/>
          <w:lang w:val="sr-Latn-RS"/>
        </w:rPr>
        <w:t xml:space="preserve"> </w:t>
      </w:r>
      <w:r w:rsidRPr="003C3404">
        <w:rPr>
          <w:sz w:val="18"/>
          <w:szCs w:val="18"/>
        </w:rPr>
        <w:t>ван</w:t>
      </w:r>
      <w:r w:rsidRPr="003C3404">
        <w:rPr>
          <w:sz w:val="18"/>
          <w:szCs w:val="18"/>
          <w:lang w:val="sr-Latn-RS"/>
        </w:rPr>
        <w:t xml:space="preserve"> </w:t>
      </w:r>
      <w:r w:rsidRPr="003C3404">
        <w:rPr>
          <w:sz w:val="18"/>
          <w:szCs w:val="18"/>
        </w:rPr>
        <w:t>Београда</w:t>
      </w:r>
      <w:r w:rsidRPr="003C3404">
        <w:rPr>
          <w:sz w:val="18"/>
          <w:szCs w:val="18"/>
          <w:lang w:val="sr-Latn-RS"/>
        </w:rPr>
        <w:t xml:space="preserve"> (</w:t>
      </w:r>
      <w:r w:rsidRPr="003C3404">
        <w:rPr>
          <w:sz w:val="18"/>
          <w:szCs w:val="18"/>
        </w:rPr>
        <w:t>Суботица</w:t>
      </w:r>
      <w:r w:rsidRPr="003C3404">
        <w:rPr>
          <w:sz w:val="18"/>
          <w:szCs w:val="18"/>
          <w:lang w:val="sr-Latn-RS"/>
        </w:rPr>
        <w:t xml:space="preserve">, </w:t>
      </w:r>
      <w:r w:rsidRPr="003C3404">
        <w:rPr>
          <w:sz w:val="18"/>
          <w:szCs w:val="18"/>
        </w:rPr>
        <w:t>Ниш</w:t>
      </w:r>
      <w:r w:rsidRPr="003C3404">
        <w:rPr>
          <w:sz w:val="18"/>
          <w:szCs w:val="18"/>
          <w:lang w:val="sr-Latn-RS"/>
        </w:rPr>
        <w:t xml:space="preserve">, </w:t>
      </w:r>
      <w:r w:rsidRPr="003C3404">
        <w:rPr>
          <w:sz w:val="18"/>
          <w:szCs w:val="18"/>
        </w:rPr>
        <w:t>Лесковац</w:t>
      </w:r>
      <w:r w:rsidRPr="003C3404">
        <w:rPr>
          <w:sz w:val="18"/>
          <w:szCs w:val="18"/>
          <w:lang w:val="sr-Latn-RS"/>
        </w:rPr>
        <w:t xml:space="preserve">, </w:t>
      </w:r>
      <w:r w:rsidRPr="003C3404">
        <w:rPr>
          <w:sz w:val="18"/>
          <w:szCs w:val="18"/>
        </w:rPr>
        <w:t>Пријепоље</w:t>
      </w:r>
      <w:r w:rsidRPr="003C3404">
        <w:rPr>
          <w:sz w:val="18"/>
          <w:szCs w:val="18"/>
          <w:lang w:val="sr-Latn-RS"/>
        </w:rPr>
        <w:t xml:space="preserve">). </w:t>
      </w:r>
      <w:r w:rsidRPr="003C3404">
        <w:rPr>
          <w:sz w:val="18"/>
          <w:szCs w:val="18"/>
          <w:lang w:val="sr-Cyrl-RS"/>
        </w:rPr>
        <w:t xml:space="preserve">Решење о оснивању МПГ на следећем линку: </w:t>
      </w:r>
      <w:hyperlink r:id="rId177" w:history="1">
        <w:r w:rsidRPr="003C3404">
          <w:rPr>
            <w:rStyle w:val="Hyperlink"/>
            <w:sz w:val="18"/>
            <w:szCs w:val="18"/>
            <w:lang w:val="sr-Latn-RS"/>
          </w:rPr>
          <w:t>https://omt.its4test.com/upload/media/0/0/0/11023/Resenje%20mpg.pdf</w:t>
        </w:r>
      </w:hyperlink>
      <w:r w:rsidRPr="003C3404">
        <w:rPr>
          <w:sz w:val="18"/>
          <w:szCs w:val="18"/>
          <w:lang w:val="sr-Cyrl-RS"/>
        </w:rPr>
        <w:t xml:space="preserve"> </w:t>
      </w:r>
    </w:p>
  </w:footnote>
  <w:footnote w:id="340">
    <w:p w14:paraId="48382EC1" w14:textId="77777777" w:rsidR="00876FFE" w:rsidRPr="003C3404" w:rsidRDefault="00876FFE" w:rsidP="00215A61">
      <w:pPr>
        <w:pStyle w:val="FootnoteText"/>
        <w:rPr>
          <w:sz w:val="18"/>
          <w:szCs w:val="18"/>
        </w:rPr>
      </w:pPr>
      <w:r w:rsidRPr="003C3404">
        <w:rPr>
          <w:rStyle w:val="FootnoteReference"/>
          <w:rFonts w:eastAsiaTheme="majorEastAsia"/>
          <w:sz w:val="18"/>
          <w:szCs w:val="18"/>
        </w:rPr>
        <w:footnoteRef/>
      </w:r>
      <w:r w:rsidRPr="003C3404">
        <w:rPr>
          <w:sz w:val="18"/>
          <w:szCs w:val="18"/>
        </w:rPr>
        <w:t xml:space="preserve"> </w:t>
      </w:r>
      <w:r w:rsidRPr="003C3404">
        <w:rPr>
          <w:sz w:val="18"/>
          <w:szCs w:val="18"/>
          <w:lang w:val="sr-Cyrl-RS"/>
        </w:rPr>
        <w:t>Саопштења</w:t>
      </w:r>
      <w:r w:rsidRPr="003C3404">
        <w:rPr>
          <w:sz w:val="18"/>
          <w:szCs w:val="18"/>
        </w:rPr>
        <w:t xml:space="preserve"> </w:t>
      </w:r>
      <w:r w:rsidRPr="003C3404">
        <w:rPr>
          <w:sz w:val="18"/>
          <w:szCs w:val="18"/>
          <w:lang w:val="sr-Cyrl-RS"/>
        </w:rPr>
        <w:t>на</w:t>
      </w:r>
      <w:r w:rsidRPr="003C3404">
        <w:rPr>
          <w:sz w:val="18"/>
          <w:szCs w:val="18"/>
        </w:rPr>
        <w:t xml:space="preserve"> </w:t>
      </w:r>
      <w:r w:rsidRPr="003C3404">
        <w:rPr>
          <w:sz w:val="18"/>
          <w:szCs w:val="18"/>
          <w:lang w:val="sr-Cyrl-RS"/>
        </w:rPr>
        <w:t>сајту</w:t>
      </w:r>
      <w:r w:rsidRPr="003C3404">
        <w:rPr>
          <w:sz w:val="18"/>
          <w:szCs w:val="18"/>
        </w:rPr>
        <w:t xml:space="preserve"> </w:t>
      </w:r>
      <w:r w:rsidRPr="003C3404">
        <w:rPr>
          <w:sz w:val="18"/>
          <w:szCs w:val="18"/>
          <w:lang w:val="sr-Cyrl-RS"/>
        </w:rPr>
        <w:t>МДУЛС</w:t>
      </w:r>
      <w:r w:rsidRPr="003C3404">
        <w:rPr>
          <w:sz w:val="18"/>
          <w:szCs w:val="18"/>
        </w:rPr>
        <w:t xml:space="preserve">, </w:t>
      </w:r>
      <w:r w:rsidRPr="003C3404">
        <w:rPr>
          <w:sz w:val="18"/>
          <w:szCs w:val="18"/>
          <w:lang w:val="sr-Cyrl-RS"/>
        </w:rPr>
        <w:t>линк</w:t>
      </w:r>
      <w:r w:rsidRPr="003C3404">
        <w:rPr>
          <w:sz w:val="18"/>
          <w:szCs w:val="18"/>
        </w:rPr>
        <w:t xml:space="preserve"> </w:t>
      </w:r>
      <w:r w:rsidRPr="003C3404">
        <w:rPr>
          <w:sz w:val="18"/>
          <w:szCs w:val="18"/>
          <w:lang w:val="sr-Cyrl-RS"/>
        </w:rPr>
        <w:t>је</w:t>
      </w:r>
      <w:r w:rsidRPr="003C3404">
        <w:rPr>
          <w:sz w:val="18"/>
          <w:szCs w:val="18"/>
        </w:rPr>
        <w:t xml:space="preserve"> </w:t>
      </w:r>
      <w:r w:rsidRPr="003C3404">
        <w:rPr>
          <w:sz w:val="18"/>
          <w:szCs w:val="18"/>
          <w:lang w:val="sr-Cyrl-RS"/>
        </w:rPr>
        <w:t>валидан</w:t>
      </w:r>
      <w:r w:rsidRPr="003C3404">
        <w:rPr>
          <w:sz w:val="18"/>
          <w:szCs w:val="18"/>
        </w:rPr>
        <w:t xml:space="preserve"> </w:t>
      </w:r>
      <w:r w:rsidRPr="003C3404">
        <w:rPr>
          <w:sz w:val="18"/>
          <w:szCs w:val="18"/>
          <w:lang w:val="sr-Cyrl-RS"/>
        </w:rPr>
        <w:t>на</w:t>
      </w:r>
      <w:r w:rsidRPr="003C3404">
        <w:rPr>
          <w:sz w:val="18"/>
          <w:szCs w:val="18"/>
        </w:rPr>
        <w:t xml:space="preserve"> </w:t>
      </w:r>
      <w:r w:rsidRPr="003C3404">
        <w:rPr>
          <w:sz w:val="18"/>
          <w:szCs w:val="18"/>
          <w:lang w:val="sr-Cyrl-RS"/>
        </w:rPr>
        <w:t>дан</w:t>
      </w:r>
      <w:r w:rsidRPr="003C3404">
        <w:rPr>
          <w:sz w:val="18"/>
          <w:szCs w:val="18"/>
        </w:rPr>
        <w:t xml:space="preserve"> 9.2.2020,  </w:t>
      </w:r>
      <w:hyperlink r:id="rId178" w:history="1">
        <w:r w:rsidRPr="003C3404">
          <w:rPr>
            <w:rStyle w:val="Hyperlink"/>
            <w:sz w:val="18"/>
            <w:szCs w:val="18"/>
            <w:lang w:val="sr-Latn-RS"/>
          </w:rPr>
          <w:t>http://mduls.gov.rs/saopstenja/odrzan-treci-sastanak-medjuministarske-projektne-grupe/</w:t>
        </w:r>
      </w:hyperlink>
    </w:p>
    <w:p w14:paraId="2E667C8E" w14:textId="77777777" w:rsidR="00876FFE" w:rsidRPr="003C3404" w:rsidRDefault="00876FFE" w:rsidP="00215A61">
      <w:pPr>
        <w:pStyle w:val="FootnoteText"/>
        <w:rPr>
          <w:sz w:val="18"/>
          <w:szCs w:val="18"/>
          <w:lang w:val="sr-Latn-RS"/>
        </w:rPr>
      </w:pPr>
      <w:r w:rsidRPr="003C3404">
        <w:rPr>
          <w:sz w:val="18"/>
          <w:szCs w:val="18"/>
          <w:lang w:val="sr-Cyrl-RS"/>
        </w:rPr>
        <w:t>Решење о оснивању ММГ</w:t>
      </w:r>
      <w:r w:rsidRPr="003C3404">
        <w:rPr>
          <w:sz w:val="18"/>
          <w:szCs w:val="18"/>
          <w:lang w:val="sr-Latn-RS"/>
        </w:rPr>
        <w:t xml:space="preserve">: </w:t>
      </w:r>
      <w:hyperlink r:id="rId179" w:history="1">
        <w:r w:rsidRPr="003C3404">
          <w:rPr>
            <w:rStyle w:val="Hyperlink"/>
            <w:sz w:val="18"/>
            <w:szCs w:val="18"/>
            <w:lang w:val="sr-Latn-RS"/>
          </w:rPr>
          <w:t>https://monitoring.mduls.gov.rs/upload/media/0/0/0/11023/Resenje%20mpg.pdf</w:t>
        </w:r>
      </w:hyperlink>
      <w:r w:rsidRPr="003C3404">
        <w:rPr>
          <w:sz w:val="18"/>
          <w:szCs w:val="18"/>
          <w:lang w:val="sr-Latn-RS"/>
        </w:rPr>
        <w:t xml:space="preserve"> </w:t>
      </w:r>
    </w:p>
  </w:footnote>
  <w:footnote w:id="341">
    <w:p w14:paraId="2CC51048"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Први састанак Радне групе за израду Стратегије РЈУ: </w:t>
      </w:r>
      <w:hyperlink r:id="rId180" w:history="1">
        <w:r w:rsidRPr="003C3404">
          <w:rPr>
            <w:rStyle w:val="Hyperlink"/>
            <w:sz w:val="18"/>
            <w:szCs w:val="18"/>
          </w:rPr>
          <w:t>http://mduls.gov.rs/saopstenja/ruzic-interes-gradjana-u-fokusu-nove-strategije-reforme-javne-uprave/</w:t>
        </w:r>
      </w:hyperlink>
    </w:p>
  </w:footnote>
  <w:footnote w:id="342">
    <w:p w14:paraId="1F0E5294" w14:textId="77777777" w:rsidR="00876FFE" w:rsidRPr="003C3404" w:rsidRDefault="00876FFE" w:rsidP="00215A61">
      <w:pPr>
        <w:pStyle w:val="FootnoteText"/>
        <w:rPr>
          <w:sz w:val="18"/>
          <w:szCs w:val="18"/>
        </w:rPr>
      </w:pPr>
      <w:r w:rsidRPr="003C3404">
        <w:rPr>
          <w:rStyle w:val="FootnoteReference"/>
          <w:rFonts w:eastAsiaTheme="majorEastAsia"/>
          <w:sz w:val="18"/>
          <w:szCs w:val="18"/>
        </w:rPr>
        <w:footnoteRef/>
      </w:r>
      <w:r w:rsidRPr="003C3404">
        <w:rPr>
          <w:sz w:val="18"/>
          <w:szCs w:val="18"/>
          <w:lang w:val="sr-Latn-RS"/>
        </w:rPr>
        <w:t xml:space="preserve"> </w:t>
      </w:r>
      <w:r w:rsidRPr="003C3404">
        <w:rPr>
          <w:sz w:val="18"/>
          <w:szCs w:val="18"/>
        </w:rPr>
        <w:t xml:space="preserve"> Закључак Савета за РЈУ којим се прихвата Извештај о спољној евалуацији, 23 Број: 06-00-5736/2019 од 13. јуна 2019. године, линк ка документу:</w:t>
      </w:r>
      <w:hyperlink r:id="rId181" w:history="1">
        <w:r w:rsidRPr="003C3404">
          <w:rPr>
            <w:rStyle w:val="Hyperlink"/>
            <w:sz w:val="18"/>
            <w:szCs w:val="18"/>
            <w:lang w:val="sr-Cyrl-RS"/>
          </w:rPr>
          <w:t>https://monitoring.mduls.gov.rs/upload/media/0/0/0/11040/Zakljucak.pdf</w:t>
        </w:r>
      </w:hyperlink>
      <w:r w:rsidRPr="003C3404">
        <w:rPr>
          <w:sz w:val="18"/>
          <w:szCs w:val="18"/>
        </w:rPr>
        <w:t xml:space="preserve"> </w:t>
      </w:r>
    </w:p>
  </w:footnote>
  <w:footnote w:id="343">
    <w:p w14:paraId="0382C8FE" w14:textId="77777777" w:rsidR="00876FFE" w:rsidRPr="003C3404" w:rsidRDefault="00876FFE" w:rsidP="00215A61">
      <w:pPr>
        <w:pStyle w:val="FootnoteText"/>
        <w:rPr>
          <w:sz w:val="18"/>
          <w:szCs w:val="18"/>
        </w:rPr>
      </w:pPr>
      <w:r w:rsidRPr="003C3404">
        <w:rPr>
          <w:rStyle w:val="FootnoteReference"/>
          <w:rFonts w:eastAsiaTheme="majorEastAsia"/>
          <w:sz w:val="18"/>
          <w:szCs w:val="18"/>
        </w:rPr>
        <w:footnoteRef/>
      </w:r>
      <w:r w:rsidRPr="003C3404">
        <w:rPr>
          <w:sz w:val="18"/>
          <w:szCs w:val="18"/>
          <w:lang w:val="sr-Latn-RS"/>
        </w:rPr>
        <w:t xml:space="preserve"> </w:t>
      </w:r>
      <w:r w:rsidRPr="003C3404">
        <w:rPr>
          <w:sz w:val="18"/>
          <w:szCs w:val="18"/>
        </w:rPr>
        <w:t>Одговори РСЈП на питања МДУЛС-а, допис РСЈП, број: 021-01-00020/2019-03 од 23.8.2019. године</w:t>
      </w:r>
    </w:p>
  </w:footnote>
  <w:footnote w:id="344">
    <w:p w14:paraId="4B6567DA" w14:textId="77777777" w:rsidR="00876FFE" w:rsidRPr="003C3404" w:rsidRDefault="00876FFE" w:rsidP="00215A61">
      <w:pPr>
        <w:pStyle w:val="FootnoteText"/>
        <w:rPr>
          <w:rStyle w:val="Hyperlink"/>
          <w:sz w:val="18"/>
          <w:szCs w:val="18"/>
        </w:rPr>
      </w:pPr>
      <w:r w:rsidRPr="003C3404">
        <w:rPr>
          <w:rStyle w:val="FootnoteReference"/>
          <w:sz w:val="18"/>
          <w:szCs w:val="18"/>
        </w:rPr>
        <w:footnoteRef/>
      </w:r>
      <w:r w:rsidRPr="003C3404">
        <w:rPr>
          <w:sz w:val="18"/>
          <w:szCs w:val="18"/>
        </w:rPr>
        <w:t xml:space="preserve"> Објава на Порталу е-управа, линк валидан на дан 12.8.2020. године: </w:t>
      </w:r>
      <w:hyperlink r:id="rId182" w:history="1">
        <w:r w:rsidRPr="003C3404">
          <w:rPr>
            <w:rStyle w:val="Hyperlink"/>
            <w:sz w:val="18"/>
            <w:szCs w:val="18"/>
          </w:rPr>
          <w:t>https://www.euprava.gov.rs/eusluge/opis_usluge?generatedServiceId=2652&amp;title=Obave%C5%A1ten%D1%98e-o-po%C4%8Detku-izrade-Strategije-RJU-i-javni-poziv-OCD</w:t>
        </w:r>
      </w:hyperlink>
      <w:r w:rsidRPr="003C3404">
        <w:rPr>
          <w:rStyle w:val="Hyperlink"/>
          <w:sz w:val="18"/>
          <w:szCs w:val="18"/>
        </w:rPr>
        <w:t xml:space="preserve">  and  </w:t>
      </w:r>
      <w:hyperlink r:id="rId183" w:history="1">
        <w:r w:rsidRPr="003C3404">
          <w:rPr>
            <w:rStyle w:val="Hyperlink"/>
            <w:sz w:val="18"/>
            <w:szCs w:val="18"/>
          </w:rPr>
          <w:t>https://www.euprava.gov.rs/eusluge/institucija?service=servicesForInstitution&amp;institutionId=563</w:t>
        </w:r>
      </w:hyperlink>
    </w:p>
    <w:p w14:paraId="0C4DFD26" w14:textId="77777777" w:rsidR="00876FFE" w:rsidRPr="003C3404" w:rsidRDefault="00876FFE" w:rsidP="00215A61">
      <w:pPr>
        <w:pStyle w:val="FootnoteText"/>
        <w:rPr>
          <w:bCs/>
          <w:kern w:val="36"/>
          <w:sz w:val="18"/>
          <w:szCs w:val="18"/>
        </w:rPr>
      </w:pPr>
      <w:r w:rsidRPr="003C3404">
        <w:rPr>
          <w:rStyle w:val="Hyperlink"/>
          <w:sz w:val="18"/>
          <w:szCs w:val="18"/>
        </w:rPr>
        <w:t xml:space="preserve">Објава на сајту МДУЛС и Канцеларије за сарадњу са ЦД, линкови: </w:t>
      </w:r>
      <w:hyperlink r:id="rId184" w:history="1">
        <w:r w:rsidRPr="003C3404">
          <w:rPr>
            <w:rStyle w:val="Hyperlink"/>
            <w:sz w:val="18"/>
            <w:szCs w:val="18"/>
          </w:rPr>
          <w:t>http://mduls.gov.rs/obavestenja/poceo-rad-na-strategija-reforme-javne-uprave-nakon-2021-godine-poziv-i-ocd-da-se-ukljuce/</w:t>
        </w:r>
      </w:hyperlink>
      <w:r w:rsidRPr="003C3404">
        <w:rPr>
          <w:sz w:val="18"/>
          <w:szCs w:val="18"/>
        </w:rPr>
        <w:t xml:space="preserve">  и </w:t>
      </w:r>
      <w:hyperlink r:id="rId185" w:history="1">
        <w:r w:rsidRPr="003C3404">
          <w:rPr>
            <w:rStyle w:val="Hyperlink"/>
            <w:sz w:val="18"/>
            <w:szCs w:val="18"/>
          </w:rPr>
          <w:t>https://bit.ly/31sheds</w:t>
        </w:r>
      </w:hyperlink>
      <w:r w:rsidRPr="003C3404">
        <w:rPr>
          <w:sz w:val="18"/>
          <w:szCs w:val="18"/>
        </w:rPr>
        <w:t> </w:t>
      </w:r>
    </w:p>
  </w:footnote>
  <w:footnote w:id="345">
    <w:p w14:paraId="26F56450" w14:textId="77777777" w:rsidR="00876FFE" w:rsidRPr="003C3404" w:rsidRDefault="00876FFE" w:rsidP="00215A61">
      <w:pPr>
        <w:pStyle w:val="FootnoteText"/>
        <w:rPr>
          <w:bCs/>
          <w:kern w:val="36"/>
          <w:sz w:val="18"/>
          <w:szCs w:val="18"/>
        </w:rPr>
      </w:pPr>
      <w:r w:rsidRPr="003C3404">
        <w:rPr>
          <w:rStyle w:val="FootnoteReference"/>
          <w:sz w:val="18"/>
          <w:szCs w:val="18"/>
        </w:rPr>
        <w:footnoteRef/>
      </w:r>
      <w:r w:rsidRPr="003C3404">
        <w:rPr>
          <w:sz w:val="18"/>
          <w:szCs w:val="18"/>
        </w:rPr>
        <w:t xml:space="preserve"> Јавни позив за учешће ОЦД-а у Посебној радној групи за израду Стратегије РЈУ, линкови: </w:t>
      </w:r>
      <w:hyperlink r:id="rId186" w:history="1">
        <w:r w:rsidRPr="003C3404">
          <w:rPr>
            <w:rStyle w:val="Hyperlink"/>
            <w:sz w:val="18"/>
            <w:szCs w:val="18"/>
          </w:rPr>
          <w:t>http://mduls.gov.rs/obavestenja/poceo-rad-na-strategija-reforme-javne-uprave-nakon-2021-godine-poziv-i-ocd-da-se-ukljuce/</w:t>
        </w:r>
      </w:hyperlink>
      <w:r w:rsidRPr="003C3404">
        <w:rPr>
          <w:sz w:val="18"/>
          <w:szCs w:val="18"/>
        </w:rPr>
        <w:t xml:space="preserve">  и  </w:t>
      </w:r>
      <w:hyperlink r:id="rId187" w:history="1">
        <w:r w:rsidRPr="003C3404">
          <w:rPr>
            <w:rStyle w:val="Hyperlink"/>
            <w:sz w:val="18"/>
            <w:szCs w:val="18"/>
          </w:rPr>
          <w:t>https://bit.ly/31sheds</w:t>
        </w:r>
      </w:hyperlink>
      <w:r w:rsidRPr="003C3404">
        <w:rPr>
          <w:sz w:val="18"/>
          <w:szCs w:val="18"/>
        </w:rPr>
        <w:t> </w:t>
      </w:r>
    </w:p>
  </w:footnote>
  <w:footnote w:id="346">
    <w:p w14:paraId="2F160BCF"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Резултати јавног позива за учешће ОЦД-а у Посебној радној групи за израду Стратегије РЈУ, </w:t>
      </w:r>
      <w:hyperlink r:id="rId188" w:history="1">
        <w:r w:rsidRPr="003C3404">
          <w:rPr>
            <w:rStyle w:val="Hyperlink"/>
            <w:sz w:val="18"/>
            <w:szCs w:val="18"/>
          </w:rPr>
          <w:t>http://mduls.gov.rs/obavestenja/rezultati-javnog-poziva-ocd-za-clanstvo-u-posebnoj-radnoj-grupi-za-izradu-predloga-strategije-reforme-javne-uprave-nakon-2021-godine/</w:t>
        </w:r>
      </w:hyperlink>
      <w:r w:rsidRPr="003C3404">
        <w:rPr>
          <w:rStyle w:val="Hyperlink"/>
          <w:sz w:val="18"/>
          <w:szCs w:val="18"/>
        </w:rPr>
        <w:t xml:space="preserve">  and </w:t>
      </w:r>
      <w:hyperlink r:id="rId189" w:history="1">
        <w:r w:rsidRPr="003C3404">
          <w:rPr>
            <w:rStyle w:val="Hyperlink"/>
            <w:sz w:val="18"/>
            <w:szCs w:val="18"/>
            <w:lang w:eastAsia="sr-Latn-RS"/>
          </w:rPr>
          <w:t>https://bit.ly/2kWgYDR</w:t>
        </w:r>
      </w:hyperlink>
    </w:p>
  </w:footnote>
  <w:footnote w:id="347">
    <w:p w14:paraId="7BCFC742" w14:textId="77777777" w:rsidR="00876FFE" w:rsidRPr="003C3404" w:rsidRDefault="00876FFE" w:rsidP="00215A61">
      <w:pPr>
        <w:pStyle w:val="FootnoteText"/>
        <w:rPr>
          <w:sz w:val="18"/>
          <w:szCs w:val="18"/>
        </w:rPr>
      </w:pPr>
      <w:r w:rsidRPr="003C3404">
        <w:rPr>
          <w:rStyle w:val="FootnoteReference"/>
          <w:sz w:val="18"/>
          <w:szCs w:val="18"/>
        </w:rPr>
        <w:footnoteRef/>
      </w:r>
      <w:r w:rsidRPr="003C3404">
        <w:rPr>
          <w:sz w:val="18"/>
          <w:szCs w:val="18"/>
        </w:rPr>
        <w:t xml:space="preserve"> Удружења грађана укључена у израду Нацрта стратегије РСЈУ су, по азбучном реду: Београдска отворена школа, Београд; Национална коалиција за децентрализацију, Ниш; Удружење грађана за демократију и грађанско образовање „Грађанске иницијативе“, Београд; Центар локалне демократије, Суботица; Центар за европске политике, Београд; Центар за истраживање у политици, Прокупље</w:t>
      </w:r>
    </w:p>
  </w:footnote>
  <w:footnote w:id="348">
    <w:p w14:paraId="6D1C1E9E" w14:textId="77777777" w:rsidR="00876FFE" w:rsidRPr="003C3404" w:rsidRDefault="00876FFE" w:rsidP="00215A61">
      <w:pPr>
        <w:pStyle w:val="FootnoteText"/>
        <w:rPr>
          <w:sz w:val="18"/>
          <w:szCs w:val="18"/>
        </w:rPr>
      </w:pPr>
      <w:r w:rsidRPr="003C3404">
        <w:rPr>
          <w:rStyle w:val="FootnoteReference"/>
          <w:rFonts w:eastAsiaTheme="majorEastAsia"/>
          <w:sz w:val="18"/>
          <w:szCs w:val="18"/>
        </w:rPr>
        <w:footnoteRef/>
      </w:r>
      <w:r w:rsidRPr="003C3404">
        <w:rPr>
          <w:sz w:val="18"/>
          <w:szCs w:val="18"/>
        </w:rPr>
        <w:t xml:space="preserve"> Погледати више у прилогу ове стратегије, Записници ПРГ</w:t>
      </w:r>
    </w:p>
  </w:footnote>
  <w:footnote w:id="349">
    <w:p w14:paraId="6ACF861D" w14:textId="77777777" w:rsidR="00876FFE" w:rsidRPr="003C3404" w:rsidRDefault="00876FFE" w:rsidP="00215A61">
      <w:pPr>
        <w:pStyle w:val="FootnoteText"/>
        <w:rPr>
          <w:sz w:val="18"/>
          <w:szCs w:val="18"/>
          <w:lang w:val="sr-Cyrl-RS"/>
        </w:rPr>
      </w:pPr>
      <w:r w:rsidRPr="003C3404">
        <w:rPr>
          <w:rStyle w:val="FootnoteReference"/>
          <w:rFonts w:eastAsiaTheme="majorEastAsia"/>
          <w:sz w:val="18"/>
          <w:szCs w:val="18"/>
        </w:rPr>
        <w:footnoteRef/>
      </w:r>
      <w:hyperlink r:id="rId190" w:history="1">
        <w:r w:rsidRPr="003C3404">
          <w:rPr>
            <w:rStyle w:val="Hyperlink"/>
            <w:sz w:val="18"/>
            <w:szCs w:val="18"/>
            <w:shd w:val="clear" w:color="auto" w:fill="FFFFFF"/>
          </w:rPr>
          <w:t>https</w:t>
        </w:r>
        <w:r w:rsidRPr="003C3404">
          <w:rPr>
            <w:rStyle w:val="Hyperlink"/>
            <w:sz w:val="18"/>
            <w:szCs w:val="18"/>
            <w:shd w:val="clear" w:color="auto" w:fill="FFFFFF"/>
            <w:lang w:val="sr-Cyrl-RS"/>
          </w:rPr>
          <w:t>://</w:t>
        </w:r>
        <w:r w:rsidRPr="003C3404">
          <w:rPr>
            <w:rStyle w:val="Hyperlink"/>
            <w:sz w:val="18"/>
            <w:szCs w:val="18"/>
            <w:shd w:val="clear" w:color="auto" w:fill="FFFFFF"/>
          </w:rPr>
          <w:t>monitoring</w:t>
        </w:r>
        <w:r w:rsidRPr="003C3404">
          <w:rPr>
            <w:rStyle w:val="Hyperlink"/>
            <w:sz w:val="18"/>
            <w:szCs w:val="18"/>
            <w:shd w:val="clear" w:color="auto" w:fill="FFFFFF"/>
            <w:lang w:val="sr-Cyrl-RS"/>
          </w:rPr>
          <w:t>.</w:t>
        </w:r>
        <w:r w:rsidRPr="003C3404">
          <w:rPr>
            <w:rStyle w:val="Hyperlink"/>
            <w:sz w:val="18"/>
            <w:szCs w:val="18"/>
            <w:shd w:val="clear" w:color="auto" w:fill="FFFFFF"/>
          </w:rPr>
          <w:t>mduls</w:t>
        </w:r>
        <w:r w:rsidRPr="003C3404">
          <w:rPr>
            <w:rStyle w:val="Hyperlink"/>
            <w:sz w:val="18"/>
            <w:szCs w:val="18"/>
            <w:shd w:val="clear" w:color="auto" w:fill="FFFFFF"/>
            <w:lang w:val="sr-Cyrl-RS"/>
          </w:rPr>
          <w:t>.</w:t>
        </w:r>
        <w:r w:rsidRPr="003C3404">
          <w:rPr>
            <w:rStyle w:val="Hyperlink"/>
            <w:sz w:val="18"/>
            <w:szCs w:val="18"/>
            <w:shd w:val="clear" w:color="auto" w:fill="FFFFFF"/>
          </w:rPr>
          <w:t>gov</w:t>
        </w:r>
        <w:r w:rsidRPr="003C3404">
          <w:rPr>
            <w:rStyle w:val="Hyperlink"/>
            <w:sz w:val="18"/>
            <w:szCs w:val="18"/>
            <w:shd w:val="clear" w:color="auto" w:fill="FFFFFF"/>
            <w:lang w:val="sr-Cyrl-RS"/>
          </w:rPr>
          <w:t>.</w:t>
        </w:r>
        <w:r w:rsidRPr="003C3404">
          <w:rPr>
            <w:rStyle w:val="Hyperlink"/>
            <w:sz w:val="18"/>
            <w:szCs w:val="18"/>
            <w:shd w:val="clear" w:color="auto" w:fill="FFFFFF"/>
          </w:rPr>
          <w:t>rs</w:t>
        </w:r>
        <w:r w:rsidRPr="003C3404">
          <w:rPr>
            <w:rStyle w:val="Hyperlink"/>
            <w:sz w:val="18"/>
            <w:szCs w:val="18"/>
            <w:shd w:val="clear" w:color="auto" w:fill="FFFFFF"/>
            <w:lang w:val="sr-Cyrl-RS"/>
          </w:rPr>
          <w:t>/</w:t>
        </w:r>
        <w:r w:rsidRPr="003C3404">
          <w:rPr>
            <w:rStyle w:val="Hyperlink"/>
            <w:sz w:val="18"/>
            <w:szCs w:val="18"/>
            <w:shd w:val="clear" w:color="auto" w:fill="FFFFFF"/>
          </w:rPr>
          <w:t>upload</w:t>
        </w:r>
        <w:r w:rsidRPr="003C3404">
          <w:rPr>
            <w:rStyle w:val="Hyperlink"/>
            <w:sz w:val="18"/>
            <w:szCs w:val="18"/>
            <w:shd w:val="clear" w:color="auto" w:fill="FFFFFF"/>
            <w:lang w:val="sr-Cyrl-RS"/>
          </w:rPr>
          <w:t>/</w:t>
        </w:r>
        <w:r w:rsidRPr="003C3404">
          <w:rPr>
            <w:rStyle w:val="Hyperlink"/>
            <w:sz w:val="18"/>
            <w:szCs w:val="18"/>
            <w:shd w:val="clear" w:color="auto" w:fill="FFFFFF"/>
          </w:rPr>
          <w:t>media</w:t>
        </w:r>
        <w:r w:rsidRPr="003C3404">
          <w:rPr>
            <w:rStyle w:val="Hyperlink"/>
            <w:sz w:val="18"/>
            <w:szCs w:val="18"/>
            <w:shd w:val="clear" w:color="auto" w:fill="FFFFFF"/>
            <w:lang w:val="sr-Cyrl-RS"/>
          </w:rPr>
          <w:t>/0/0/0/11143/%</w:t>
        </w:r>
        <w:r w:rsidRPr="003C3404">
          <w:rPr>
            <w:rStyle w:val="Hyperlink"/>
            <w:sz w:val="18"/>
            <w:szCs w:val="18"/>
            <w:shd w:val="clear" w:color="auto" w:fill="FFFFFF"/>
          </w:rPr>
          <w:t>D</w:t>
        </w:r>
        <w:r w:rsidRPr="003C3404">
          <w:rPr>
            <w:rStyle w:val="Hyperlink"/>
            <w:sz w:val="18"/>
            <w:szCs w:val="18"/>
            <w:shd w:val="clear" w:color="auto" w:fill="FFFFFF"/>
            <w:lang w:val="sr-Cyrl-RS"/>
          </w:rPr>
          <w:t>0%</w:t>
        </w:r>
        <w:r w:rsidRPr="003C3404">
          <w:rPr>
            <w:rStyle w:val="Hyperlink"/>
            <w:sz w:val="18"/>
            <w:szCs w:val="18"/>
            <w:shd w:val="clear" w:color="auto" w:fill="FFFFFF"/>
          </w:rPr>
          <w:t>A</w:t>
        </w:r>
        <w:r w:rsidRPr="003C3404">
          <w:rPr>
            <w:rStyle w:val="Hyperlink"/>
            <w:sz w:val="18"/>
            <w:szCs w:val="18"/>
            <w:shd w:val="clear" w:color="auto" w:fill="FFFFFF"/>
            <w:lang w:val="sr-Cyrl-RS"/>
          </w:rPr>
          <w:t>0%</w:t>
        </w:r>
        <w:r w:rsidRPr="003C3404">
          <w:rPr>
            <w:rStyle w:val="Hyperlink"/>
            <w:sz w:val="18"/>
            <w:szCs w:val="18"/>
            <w:shd w:val="clear" w:color="auto" w:fill="FFFFFF"/>
          </w:rPr>
          <w:t>D</w:t>
        </w:r>
        <w:r w:rsidRPr="003C3404">
          <w:rPr>
            <w:rStyle w:val="Hyperlink"/>
            <w:sz w:val="18"/>
            <w:szCs w:val="18"/>
            <w:shd w:val="clear" w:color="auto" w:fill="FFFFFF"/>
            <w:lang w:val="sr-Cyrl-RS"/>
          </w:rPr>
          <w:t>0%</w:t>
        </w:r>
        <w:r w:rsidRPr="003C3404">
          <w:rPr>
            <w:rStyle w:val="Hyperlink"/>
            <w:sz w:val="18"/>
            <w:szCs w:val="18"/>
            <w:shd w:val="clear" w:color="auto" w:fill="FFFFFF"/>
          </w:rPr>
          <w:t>B</w:t>
        </w:r>
        <w:r w:rsidRPr="003C3404">
          <w:rPr>
            <w:rStyle w:val="Hyperlink"/>
            <w:sz w:val="18"/>
            <w:szCs w:val="18"/>
            <w:shd w:val="clear" w:color="auto" w:fill="FFFFFF"/>
            <w:lang w:val="sr-Cyrl-RS"/>
          </w:rPr>
          <w:t>5%</w:t>
        </w:r>
        <w:r w:rsidRPr="003C3404">
          <w:rPr>
            <w:rStyle w:val="Hyperlink"/>
            <w:sz w:val="18"/>
            <w:szCs w:val="18"/>
            <w:shd w:val="clear" w:color="auto" w:fill="FFFFFF"/>
          </w:rPr>
          <w:t>D</w:t>
        </w:r>
        <w:r w:rsidRPr="003C3404">
          <w:rPr>
            <w:rStyle w:val="Hyperlink"/>
            <w:sz w:val="18"/>
            <w:szCs w:val="18"/>
            <w:shd w:val="clear" w:color="auto" w:fill="FFFFFF"/>
            <w:lang w:val="sr-Cyrl-RS"/>
          </w:rPr>
          <w:t>1%88%</w:t>
        </w:r>
        <w:r w:rsidRPr="003C3404">
          <w:rPr>
            <w:rStyle w:val="Hyperlink"/>
            <w:sz w:val="18"/>
            <w:szCs w:val="18"/>
            <w:shd w:val="clear" w:color="auto" w:fill="FFFFFF"/>
          </w:rPr>
          <w:t>D</w:t>
        </w:r>
        <w:r w:rsidRPr="003C3404">
          <w:rPr>
            <w:rStyle w:val="Hyperlink"/>
            <w:sz w:val="18"/>
            <w:szCs w:val="18"/>
            <w:shd w:val="clear" w:color="auto" w:fill="FFFFFF"/>
            <w:lang w:val="sr-Cyrl-RS"/>
          </w:rPr>
          <w:t>0%</w:t>
        </w:r>
        <w:r w:rsidRPr="003C3404">
          <w:rPr>
            <w:rStyle w:val="Hyperlink"/>
            <w:sz w:val="18"/>
            <w:szCs w:val="18"/>
            <w:shd w:val="clear" w:color="auto" w:fill="FFFFFF"/>
          </w:rPr>
          <w:t>B</w:t>
        </w:r>
        <w:r w:rsidRPr="003C3404">
          <w:rPr>
            <w:rStyle w:val="Hyperlink"/>
            <w:sz w:val="18"/>
            <w:szCs w:val="18"/>
            <w:shd w:val="clear" w:color="auto" w:fill="FFFFFF"/>
            <w:lang w:val="sr-Cyrl-RS"/>
          </w:rPr>
          <w:t>5%</w:t>
        </w:r>
        <w:r w:rsidRPr="003C3404">
          <w:rPr>
            <w:rStyle w:val="Hyperlink"/>
            <w:sz w:val="18"/>
            <w:szCs w:val="18"/>
            <w:shd w:val="clear" w:color="auto" w:fill="FFFFFF"/>
          </w:rPr>
          <w:t>D</w:t>
        </w:r>
        <w:r w:rsidRPr="003C3404">
          <w:rPr>
            <w:rStyle w:val="Hyperlink"/>
            <w:sz w:val="18"/>
            <w:szCs w:val="18"/>
            <w:shd w:val="clear" w:color="auto" w:fill="FFFFFF"/>
            <w:lang w:val="sr-Cyrl-RS"/>
          </w:rPr>
          <w:t>1%9</w:t>
        </w:r>
        <w:r w:rsidRPr="003C3404">
          <w:rPr>
            <w:rStyle w:val="Hyperlink"/>
            <w:sz w:val="18"/>
            <w:szCs w:val="18"/>
            <w:shd w:val="clear" w:color="auto" w:fill="FFFFFF"/>
          </w:rPr>
          <w:t>A</w:t>
        </w:r>
        <w:r w:rsidRPr="003C3404">
          <w:rPr>
            <w:rStyle w:val="Hyperlink"/>
            <w:sz w:val="18"/>
            <w:szCs w:val="18"/>
            <w:shd w:val="clear" w:color="auto" w:fill="FFFFFF"/>
            <w:lang w:val="sr-Cyrl-RS"/>
          </w:rPr>
          <w:t>%</w:t>
        </w:r>
        <w:r w:rsidRPr="003C3404">
          <w:rPr>
            <w:rStyle w:val="Hyperlink"/>
            <w:sz w:val="18"/>
            <w:szCs w:val="18"/>
            <w:shd w:val="clear" w:color="auto" w:fill="FFFFFF"/>
          </w:rPr>
          <w:t>D</w:t>
        </w:r>
        <w:r w:rsidRPr="003C3404">
          <w:rPr>
            <w:rStyle w:val="Hyperlink"/>
            <w:sz w:val="18"/>
            <w:szCs w:val="18"/>
            <w:shd w:val="clear" w:color="auto" w:fill="FFFFFF"/>
            <w:lang w:val="sr-Cyrl-RS"/>
          </w:rPr>
          <w:t>0%</w:t>
        </w:r>
        <w:r w:rsidRPr="003C3404">
          <w:rPr>
            <w:rStyle w:val="Hyperlink"/>
            <w:sz w:val="18"/>
            <w:szCs w:val="18"/>
            <w:shd w:val="clear" w:color="auto" w:fill="FFFFFF"/>
          </w:rPr>
          <w:t>B</w:t>
        </w:r>
        <w:r w:rsidRPr="003C3404">
          <w:rPr>
            <w:rStyle w:val="Hyperlink"/>
            <w:sz w:val="18"/>
            <w:szCs w:val="18"/>
            <w:shd w:val="clear" w:color="auto" w:fill="FFFFFF"/>
            <w:lang w:val="sr-Cyrl-RS"/>
          </w:rPr>
          <w:t>5%20%</w:t>
        </w:r>
        <w:r w:rsidRPr="003C3404">
          <w:rPr>
            <w:rStyle w:val="Hyperlink"/>
            <w:sz w:val="18"/>
            <w:szCs w:val="18"/>
            <w:shd w:val="clear" w:color="auto" w:fill="FFFFFF"/>
          </w:rPr>
          <w:t>D</w:t>
        </w:r>
        <w:r w:rsidRPr="003C3404">
          <w:rPr>
            <w:rStyle w:val="Hyperlink"/>
            <w:sz w:val="18"/>
            <w:szCs w:val="18"/>
            <w:shd w:val="clear" w:color="auto" w:fill="FFFFFF"/>
            <w:lang w:val="sr-Cyrl-RS"/>
          </w:rPr>
          <w:t>0%</w:t>
        </w:r>
        <w:r w:rsidRPr="003C3404">
          <w:rPr>
            <w:rStyle w:val="Hyperlink"/>
            <w:sz w:val="18"/>
            <w:szCs w:val="18"/>
            <w:shd w:val="clear" w:color="auto" w:fill="FFFFFF"/>
          </w:rPr>
          <w:t>BE</w:t>
        </w:r>
        <w:r w:rsidRPr="003C3404">
          <w:rPr>
            <w:rStyle w:val="Hyperlink"/>
            <w:sz w:val="18"/>
            <w:szCs w:val="18"/>
            <w:shd w:val="clear" w:color="auto" w:fill="FFFFFF"/>
            <w:lang w:val="sr-Cyrl-RS"/>
          </w:rPr>
          <w:t>%20%</w:t>
        </w:r>
        <w:r w:rsidRPr="003C3404">
          <w:rPr>
            <w:rStyle w:val="Hyperlink"/>
            <w:sz w:val="18"/>
            <w:szCs w:val="18"/>
            <w:shd w:val="clear" w:color="auto" w:fill="FFFFFF"/>
          </w:rPr>
          <w:t>D</w:t>
        </w:r>
        <w:r w:rsidRPr="003C3404">
          <w:rPr>
            <w:rStyle w:val="Hyperlink"/>
            <w:sz w:val="18"/>
            <w:szCs w:val="18"/>
            <w:shd w:val="clear" w:color="auto" w:fill="FFFFFF"/>
            <w:lang w:val="sr-Cyrl-RS"/>
          </w:rPr>
          <w:t>0%</w:t>
        </w:r>
        <w:r w:rsidRPr="003C3404">
          <w:rPr>
            <w:rStyle w:val="Hyperlink"/>
            <w:sz w:val="18"/>
            <w:szCs w:val="18"/>
            <w:shd w:val="clear" w:color="auto" w:fill="FFFFFF"/>
          </w:rPr>
          <w:t>BE</w:t>
        </w:r>
        <w:r w:rsidRPr="003C3404">
          <w:rPr>
            <w:rStyle w:val="Hyperlink"/>
            <w:sz w:val="18"/>
            <w:szCs w:val="18"/>
            <w:shd w:val="clear" w:color="auto" w:fill="FFFFFF"/>
            <w:lang w:val="sr-Cyrl-RS"/>
          </w:rPr>
          <w:t>%</w:t>
        </w:r>
        <w:r w:rsidRPr="003C3404">
          <w:rPr>
            <w:rStyle w:val="Hyperlink"/>
            <w:sz w:val="18"/>
            <w:szCs w:val="18"/>
            <w:shd w:val="clear" w:color="auto" w:fill="FFFFFF"/>
          </w:rPr>
          <w:t>D</w:t>
        </w:r>
        <w:r w:rsidRPr="003C3404">
          <w:rPr>
            <w:rStyle w:val="Hyperlink"/>
            <w:sz w:val="18"/>
            <w:szCs w:val="18"/>
            <w:shd w:val="clear" w:color="auto" w:fill="FFFFFF"/>
            <w:lang w:val="sr-Cyrl-RS"/>
          </w:rPr>
          <w:t>0%</w:t>
        </w:r>
        <w:r w:rsidRPr="003C3404">
          <w:rPr>
            <w:rStyle w:val="Hyperlink"/>
            <w:sz w:val="18"/>
            <w:szCs w:val="18"/>
            <w:shd w:val="clear" w:color="auto" w:fill="FFFFFF"/>
          </w:rPr>
          <w:t>B</w:t>
        </w:r>
        <w:r w:rsidRPr="003C3404">
          <w:rPr>
            <w:rStyle w:val="Hyperlink"/>
            <w:sz w:val="18"/>
            <w:szCs w:val="18"/>
            <w:shd w:val="clear" w:color="auto" w:fill="FFFFFF"/>
            <w:lang w:val="sr-Cyrl-RS"/>
          </w:rPr>
          <w:t>1%</w:t>
        </w:r>
        <w:r w:rsidRPr="003C3404">
          <w:rPr>
            <w:rStyle w:val="Hyperlink"/>
            <w:sz w:val="18"/>
            <w:szCs w:val="18"/>
            <w:shd w:val="clear" w:color="auto" w:fill="FFFFFF"/>
          </w:rPr>
          <w:t>D</w:t>
        </w:r>
        <w:r w:rsidRPr="003C3404">
          <w:rPr>
            <w:rStyle w:val="Hyperlink"/>
            <w:sz w:val="18"/>
            <w:szCs w:val="18"/>
            <w:shd w:val="clear" w:color="auto" w:fill="FFFFFF"/>
            <w:lang w:val="sr-Cyrl-RS"/>
          </w:rPr>
          <w:t>1%80%</w:t>
        </w:r>
        <w:r w:rsidRPr="003C3404">
          <w:rPr>
            <w:rStyle w:val="Hyperlink"/>
            <w:sz w:val="18"/>
            <w:szCs w:val="18"/>
            <w:shd w:val="clear" w:color="auto" w:fill="FFFFFF"/>
          </w:rPr>
          <w:t>D</w:t>
        </w:r>
        <w:r w:rsidRPr="003C3404">
          <w:rPr>
            <w:rStyle w:val="Hyperlink"/>
            <w:sz w:val="18"/>
            <w:szCs w:val="18"/>
            <w:shd w:val="clear" w:color="auto" w:fill="FFFFFF"/>
            <w:lang w:val="sr-Cyrl-RS"/>
          </w:rPr>
          <w:t>0%</w:t>
        </w:r>
        <w:r w:rsidRPr="003C3404">
          <w:rPr>
            <w:rStyle w:val="Hyperlink"/>
            <w:sz w:val="18"/>
            <w:szCs w:val="18"/>
            <w:shd w:val="clear" w:color="auto" w:fill="FFFFFF"/>
          </w:rPr>
          <w:t>B</w:t>
        </w:r>
        <w:r w:rsidRPr="003C3404">
          <w:rPr>
            <w:rStyle w:val="Hyperlink"/>
            <w:sz w:val="18"/>
            <w:szCs w:val="18"/>
            <w:shd w:val="clear" w:color="auto" w:fill="FFFFFF"/>
            <w:lang w:val="sr-Cyrl-RS"/>
          </w:rPr>
          <w:t>0%</w:t>
        </w:r>
        <w:r w:rsidRPr="003C3404">
          <w:rPr>
            <w:rStyle w:val="Hyperlink"/>
            <w:sz w:val="18"/>
            <w:szCs w:val="18"/>
            <w:shd w:val="clear" w:color="auto" w:fill="FFFFFF"/>
          </w:rPr>
          <w:t>D</w:t>
        </w:r>
        <w:r w:rsidRPr="003C3404">
          <w:rPr>
            <w:rStyle w:val="Hyperlink"/>
            <w:sz w:val="18"/>
            <w:szCs w:val="18"/>
            <w:shd w:val="clear" w:color="auto" w:fill="FFFFFF"/>
            <w:lang w:val="sr-Cyrl-RS"/>
          </w:rPr>
          <w:t>0%</w:t>
        </w:r>
        <w:r w:rsidRPr="003C3404">
          <w:rPr>
            <w:rStyle w:val="Hyperlink"/>
            <w:sz w:val="18"/>
            <w:szCs w:val="18"/>
            <w:shd w:val="clear" w:color="auto" w:fill="FFFFFF"/>
          </w:rPr>
          <w:t>B</w:t>
        </w:r>
        <w:r w:rsidRPr="003C3404">
          <w:rPr>
            <w:rStyle w:val="Hyperlink"/>
            <w:sz w:val="18"/>
            <w:szCs w:val="18"/>
            <w:shd w:val="clear" w:color="auto" w:fill="FFFFFF"/>
            <w:lang w:val="sr-Cyrl-RS"/>
          </w:rPr>
          <w:t>7%</w:t>
        </w:r>
        <w:r w:rsidRPr="003C3404">
          <w:rPr>
            <w:rStyle w:val="Hyperlink"/>
            <w:sz w:val="18"/>
            <w:szCs w:val="18"/>
            <w:shd w:val="clear" w:color="auto" w:fill="FFFFFF"/>
          </w:rPr>
          <w:t>D</w:t>
        </w:r>
        <w:r w:rsidRPr="003C3404">
          <w:rPr>
            <w:rStyle w:val="Hyperlink"/>
            <w:sz w:val="18"/>
            <w:szCs w:val="18"/>
            <w:shd w:val="clear" w:color="auto" w:fill="FFFFFF"/>
            <w:lang w:val="sr-Cyrl-RS"/>
          </w:rPr>
          <w:t>0%</w:t>
        </w:r>
        <w:r w:rsidRPr="003C3404">
          <w:rPr>
            <w:rStyle w:val="Hyperlink"/>
            <w:sz w:val="18"/>
            <w:szCs w:val="18"/>
            <w:shd w:val="clear" w:color="auto" w:fill="FFFFFF"/>
          </w:rPr>
          <w:t>BE</w:t>
        </w:r>
        <w:r w:rsidRPr="003C3404">
          <w:rPr>
            <w:rStyle w:val="Hyperlink"/>
            <w:sz w:val="18"/>
            <w:szCs w:val="18"/>
            <w:shd w:val="clear" w:color="auto" w:fill="FFFFFF"/>
            <w:lang w:val="sr-Cyrl-RS"/>
          </w:rPr>
          <w:t>%</w:t>
        </w:r>
        <w:r w:rsidRPr="003C3404">
          <w:rPr>
            <w:rStyle w:val="Hyperlink"/>
            <w:sz w:val="18"/>
            <w:szCs w:val="18"/>
            <w:shd w:val="clear" w:color="auto" w:fill="FFFFFF"/>
          </w:rPr>
          <w:t>D</w:t>
        </w:r>
        <w:r w:rsidRPr="003C3404">
          <w:rPr>
            <w:rStyle w:val="Hyperlink"/>
            <w:sz w:val="18"/>
            <w:szCs w:val="18"/>
            <w:shd w:val="clear" w:color="auto" w:fill="FFFFFF"/>
            <w:lang w:val="sr-Cyrl-RS"/>
          </w:rPr>
          <w:t>0%</w:t>
        </w:r>
        <w:r w:rsidRPr="003C3404">
          <w:rPr>
            <w:rStyle w:val="Hyperlink"/>
            <w:sz w:val="18"/>
            <w:szCs w:val="18"/>
            <w:shd w:val="clear" w:color="auto" w:fill="FFFFFF"/>
          </w:rPr>
          <w:t>B</w:t>
        </w:r>
        <w:r w:rsidRPr="003C3404">
          <w:rPr>
            <w:rStyle w:val="Hyperlink"/>
            <w:sz w:val="18"/>
            <w:szCs w:val="18"/>
            <w:shd w:val="clear" w:color="auto" w:fill="FFFFFF"/>
            <w:lang w:val="sr-Cyrl-RS"/>
          </w:rPr>
          <w:t>2%</w:t>
        </w:r>
        <w:r w:rsidRPr="003C3404">
          <w:rPr>
            <w:rStyle w:val="Hyperlink"/>
            <w:sz w:val="18"/>
            <w:szCs w:val="18"/>
            <w:shd w:val="clear" w:color="auto" w:fill="FFFFFF"/>
          </w:rPr>
          <w:t>D</w:t>
        </w:r>
        <w:r w:rsidRPr="003C3404">
          <w:rPr>
            <w:rStyle w:val="Hyperlink"/>
            <w:sz w:val="18"/>
            <w:szCs w:val="18"/>
            <w:shd w:val="clear" w:color="auto" w:fill="FFFFFF"/>
            <w:lang w:val="sr-Cyrl-RS"/>
          </w:rPr>
          <w:t>0%</w:t>
        </w:r>
        <w:r w:rsidRPr="003C3404">
          <w:rPr>
            <w:rStyle w:val="Hyperlink"/>
            <w:sz w:val="18"/>
            <w:szCs w:val="18"/>
            <w:shd w:val="clear" w:color="auto" w:fill="FFFFFF"/>
          </w:rPr>
          <w:t>B</w:t>
        </w:r>
        <w:r w:rsidRPr="003C3404">
          <w:rPr>
            <w:rStyle w:val="Hyperlink"/>
            <w:sz w:val="18"/>
            <w:szCs w:val="18"/>
            <w:shd w:val="clear" w:color="auto" w:fill="FFFFFF"/>
            <w:lang w:val="sr-Cyrl-RS"/>
          </w:rPr>
          <w:t>0%</w:t>
        </w:r>
        <w:r w:rsidRPr="003C3404">
          <w:rPr>
            <w:rStyle w:val="Hyperlink"/>
            <w:sz w:val="18"/>
            <w:szCs w:val="18"/>
            <w:shd w:val="clear" w:color="auto" w:fill="FFFFFF"/>
          </w:rPr>
          <w:t>D</w:t>
        </w:r>
        <w:r w:rsidRPr="003C3404">
          <w:rPr>
            <w:rStyle w:val="Hyperlink"/>
            <w:sz w:val="18"/>
            <w:szCs w:val="18"/>
            <w:shd w:val="clear" w:color="auto" w:fill="FFFFFF"/>
            <w:lang w:val="sr-Cyrl-RS"/>
          </w:rPr>
          <w:t>1%9</w:t>
        </w:r>
        <w:r w:rsidRPr="003C3404">
          <w:rPr>
            <w:rStyle w:val="Hyperlink"/>
            <w:sz w:val="18"/>
            <w:szCs w:val="18"/>
            <w:shd w:val="clear" w:color="auto" w:fill="FFFFFF"/>
          </w:rPr>
          <w:t>A</w:t>
        </w:r>
        <w:r w:rsidRPr="003C3404">
          <w:rPr>
            <w:rStyle w:val="Hyperlink"/>
            <w:sz w:val="18"/>
            <w:szCs w:val="18"/>
            <w:shd w:val="clear" w:color="auto" w:fill="FFFFFF"/>
            <w:lang w:val="sr-Cyrl-RS"/>
          </w:rPr>
          <w:t>%</w:t>
        </w:r>
        <w:r w:rsidRPr="003C3404">
          <w:rPr>
            <w:rStyle w:val="Hyperlink"/>
            <w:sz w:val="18"/>
            <w:szCs w:val="18"/>
            <w:shd w:val="clear" w:color="auto" w:fill="FFFFFF"/>
          </w:rPr>
          <w:t>D</w:t>
        </w:r>
        <w:r w:rsidRPr="003C3404">
          <w:rPr>
            <w:rStyle w:val="Hyperlink"/>
            <w:sz w:val="18"/>
            <w:szCs w:val="18"/>
            <w:shd w:val="clear" w:color="auto" w:fill="FFFFFF"/>
            <w:lang w:val="sr-Cyrl-RS"/>
          </w:rPr>
          <w:t>1%83%20%</w:t>
        </w:r>
        <w:r w:rsidRPr="003C3404">
          <w:rPr>
            <w:rStyle w:val="Hyperlink"/>
            <w:sz w:val="18"/>
            <w:szCs w:val="18"/>
            <w:shd w:val="clear" w:color="auto" w:fill="FFFFFF"/>
          </w:rPr>
          <w:t>D</w:t>
        </w:r>
        <w:r w:rsidRPr="003C3404">
          <w:rPr>
            <w:rStyle w:val="Hyperlink"/>
            <w:sz w:val="18"/>
            <w:szCs w:val="18"/>
            <w:shd w:val="clear" w:color="auto" w:fill="FFFFFF"/>
            <w:lang w:val="sr-Cyrl-RS"/>
          </w:rPr>
          <w:t>0%9</w:t>
        </w:r>
        <w:r w:rsidRPr="003C3404">
          <w:rPr>
            <w:rStyle w:val="Hyperlink"/>
            <w:sz w:val="18"/>
            <w:szCs w:val="18"/>
            <w:shd w:val="clear" w:color="auto" w:fill="FFFFFF"/>
          </w:rPr>
          <w:t>F</w:t>
        </w:r>
        <w:r w:rsidRPr="003C3404">
          <w:rPr>
            <w:rStyle w:val="Hyperlink"/>
            <w:sz w:val="18"/>
            <w:szCs w:val="18"/>
            <w:shd w:val="clear" w:color="auto" w:fill="FFFFFF"/>
            <w:lang w:val="sr-Cyrl-RS"/>
          </w:rPr>
          <w:t>%</w:t>
        </w:r>
        <w:r w:rsidRPr="003C3404">
          <w:rPr>
            <w:rStyle w:val="Hyperlink"/>
            <w:sz w:val="18"/>
            <w:szCs w:val="18"/>
            <w:shd w:val="clear" w:color="auto" w:fill="FFFFFF"/>
          </w:rPr>
          <w:t>D</w:t>
        </w:r>
        <w:r w:rsidRPr="003C3404">
          <w:rPr>
            <w:rStyle w:val="Hyperlink"/>
            <w:sz w:val="18"/>
            <w:szCs w:val="18"/>
            <w:shd w:val="clear" w:color="auto" w:fill="FFFFFF"/>
            <w:lang w:val="sr-Cyrl-RS"/>
          </w:rPr>
          <w:t>0%</w:t>
        </w:r>
        <w:r w:rsidRPr="003C3404">
          <w:rPr>
            <w:rStyle w:val="Hyperlink"/>
            <w:sz w:val="18"/>
            <w:szCs w:val="18"/>
            <w:shd w:val="clear" w:color="auto" w:fill="FFFFFF"/>
          </w:rPr>
          <w:t>A</w:t>
        </w:r>
        <w:r w:rsidRPr="003C3404">
          <w:rPr>
            <w:rStyle w:val="Hyperlink"/>
            <w:sz w:val="18"/>
            <w:szCs w:val="18"/>
            <w:shd w:val="clear" w:color="auto" w:fill="FFFFFF"/>
            <w:lang w:val="sr-Cyrl-RS"/>
          </w:rPr>
          <w:t>0%</w:t>
        </w:r>
        <w:r w:rsidRPr="003C3404">
          <w:rPr>
            <w:rStyle w:val="Hyperlink"/>
            <w:sz w:val="18"/>
            <w:szCs w:val="18"/>
            <w:shd w:val="clear" w:color="auto" w:fill="FFFFFF"/>
          </w:rPr>
          <w:t>D</w:t>
        </w:r>
        <w:r w:rsidRPr="003C3404">
          <w:rPr>
            <w:rStyle w:val="Hyperlink"/>
            <w:sz w:val="18"/>
            <w:szCs w:val="18"/>
            <w:shd w:val="clear" w:color="auto" w:fill="FFFFFF"/>
            <w:lang w:val="sr-Cyrl-RS"/>
          </w:rPr>
          <w:t>0%93.</w:t>
        </w:r>
        <w:r w:rsidRPr="003C3404">
          <w:rPr>
            <w:rStyle w:val="Hyperlink"/>
            <w:sz w:val="18"/>
            <w:szCs w:val="18"/>
            <w:shd w:val="clear" w:color="auto" w:fill="FFFFFF"/>
          </w:rPr>
          <w:t>pdf</w:t>
        </w:r>
      </w:hyperlink>
    </w:p>
  </w:footnote>
  <w:footnote w:id="350">
    <w:p w14:paraId="3658E3F9" w14:textId="77777777" w:rsidR="00876FFE" w:rsidRPr="003C3404" w:rsidRDefault="00876FFE" w:rsidP="00215A61">
      <w:pPr>
        <w:pStyle w:val="FootnoteText"/>
        <w:rPr>
          <w:sz w:val="18"/>
          <w:szCs w:val="18"/>
          <w:lang w:val="sr-Cyrl-RS"/>
        </w:rPr>
      </w:pPr>
      <w:r w:rsidRPr="003C3404">
        <w:rPr>
          <w:rStyle w:val="FootnoteReference"/>
          <w:rFonts w:eastAsiaTheme="majorEastAsia"/>
          <w:sz w:val="18"/>
          <w:szCs w:val="18"/>
        </w:rPr>
        <w:footnoteRef/>
      </w:r>
      <w:r w:rsidRPr="003C3404">
        <w:rPr>
          <w:sz w:val="18"/>
          <w:szCs w:val="18"/>
          <w:lang w:val="sr-Cyrl-RS"/>
        </w:rPr>
        <w:t xml:space="preserve"> Вест на страници: </w:t>
      </w:r>
      <w:hyperlink r:id="rId191" w:history="1">
        <w:r w:rsidRPr="003C3404">
          <w:rPr>
            <w:rStyle w:val="Hyperlink"/>
            <w:sz w:val="18"/>
            <w:szCs w:val="18"/>
            <w:lang w:val="sr-Cyrl-RS"/>
          </w:rPr>
          <w:t>https://monitoring.mduls.gov.rs/strukture/izrada-strategije-reforme-avne-uprave-i-akcionog-plana/225105/proces-izrade-nove-strategije-reforme-javne-uprave-u-rs-za-period-2021-2030.html</w:t>
        </w:r>
      </w:hyperlink>
      <w:r w:rsidRPr="003C3404">
        <w:rPr>
          <w:sz w:val="18"/>
          <w:szCs w:val="18"/>
          <w:lang w:val="sr-Cyrl-RS"/>
        </w:rPr>
        <w:t xml:space="preserve"> </w:t>
      </w:r>
    </w:p>
  </w:footnote>
  <w:footnote w:id="351">
    <w:p w14:paraId="0B2E8E6B" w14:textId="77777777" w:rsidR="00876FFE" w:rsidRPr="003C3404" w:rsidRDefault="00876FFE" w:rsidP="00215A61">
      <w:pPr>
        <w:pStyle w:val="FootnoteText"/>
        <w:rPr>
          <w:sz w:val="18"/>
          <w:szCs w:val="18"/>
          <w:lang w:val="sr-Cyrl-RS"/>
        </w:rPr>
      </w:pPr>
      <w:r w:rsidRPr="003C3404">
        <w:rPr>
          <w:rStyle w:val="FootnoteReference"/>
          <w:rFonts w:eastAsiaTheme="majorEastAsia"/>
          <w:sz w:val="18"/>
          <w:szCs w:val="18"/>
        </w:rPr>
        <w:footnoteRef/>
      </w:r>
      <w:r w:rsidRPr="003C3404">
        <w:rPr>
          <w:sz w:val="18"/>
          <w:szCs w:val="18"/>
          <w:lang w:val="sr-Cyrl-RS"/>
        </w:rPr>
        <w:t xml:space="preserve"> </w:t>
      </w:r>
      <w:hyperlink r:id="rId192" w:history="1">
        <w:r w:rsidRPr="003C3404">
          <w:rPr>
            <w:rStyle w:val="Hyperlink"/>
            <w:sz w:val="18"/>
            <w:szCs w:val="18"/>
          </w:rPr>
          <w:t>https</w:t>
        </w:r>
        <w:r w:rsidRPr="003C3404">
          <w:rPr>
            <w:rStyle w:val="Hyperlink"/>
            <w:sz w:val="18"/>
            <w:szCs w:val="18"/>
            <w:lang w:val="sr-Cyrl-RS"/>
          </w:rPr>
          <w:t>://</w:t>
        </w:r>
        <w:r w:rsidRPr="003C3404">
          <w:rPr>
            <w:rStyle w:val="Hyperlink"/>
            <w:sz w:val="18"/>
            <w:szCs w:val="18"/>
          </w:rPr>
          <w:t>rsjp</w:t>
        </w:r>
        <w:r w:rsidRPr="003C3404">
          <w:rPr>
            <w:rStyle w:val="Hyperlink"/>
            <w:sz w:val="18"/>
            <w:szCs w:val="18"/>
            <w:lang w:val="sr-Cyrl-RS"/>
          </w:rPr>
          <w:t>.</w:t>
        </w:r>
        <w:r w:rsidRPr="003C3404">
          <w:rPr>
            <w:rStyle w:val="Hyperlink"/>
            <w:sz w:val="18"/>
            <w:szCs w:val="18"/>
          </w:rPr>
          <w:t>gov</w:t>
        </w:r>
        <w:r w:rsidRPr="003C3404">
          <w:rPr>
            <w:rStyle w:val="Hyperlink"/>
            <w:sz w:val="18"/>
            <w:szCs w:val="18"/>
            <w:lang w:val="sr-Cyrl-RS"/>
          </w:rPr>
          <w:t>.</w:t>
        </w:r>
        <w:r w:rsidRPr="003C3404">
          <w:rPr>
            <w:rStyle w:val="Hyperlink"/>
            <w:sz w:val="18"/>
            <w:szCs w:val="18"/>
          </w:rPr>
          <w:t>rs</w:t>
        </w:r>
        <w:r w:rsidRPr="003C3404">
          <w:rPr>
            <w:rStyle w:val="Hyperlink"/>
            <w:sz w:val="18"/>
            <w:szCs w:val="18"/>
            <w:lang w:val="sr-Cyrl-RS"/>
          </w:rPr>
          <w:t>/</w:t>
        </w:r>
        <w:r w:rsidRPr="003C3404">
          <w:rPr>
            <w:rStyle w:val="Hyperlink"/>
            <w:sz w:val="18"/>
            <w:szCs w:val="18"/>
          </w:rPr>
          <w:t>cir</w:t>
        </w:r>
        <w:r w:rsidRPr="003C3404">
          <w:rPr>
            <w:rStyle w:val="Hyperlink"/>
            <w:sz w:val="18"/>
            <w:szCs w:val="18"/>
            <w:lang w:val="sr-Cyrl-RS"/>
          </w:rPr>
          <w:t>/</w:t>
        </w:r>
        <w:r w:rsidRPr="003C3404">
          <w:rPr>
            <w:rStyle w:val="Hyperlink"/>
            <w:sz w:val="18"/>
            <w:szCs w:val="18"/>
          </w:rPr>
          <w:t>dokumenti</w:t>
        </w:r>
        <w:r w:rsidRPr="003C3404">
          <w:rPr>
            <w:rStyle w:val="Hyperlink"/>
            <w:sz w:val="18"/>
            <w:szCs w:val="18"/>
            <w:lang w:val="sr-Cyrl-RS"/>
          </w:rPr>
          <w:t>-</w:t>
        </w:r>
        <w:r w:rsidRPr="003C3404">
          <w:rPr>
            <w:rStyle w:val="Hyperlink"/>
            <w:sz w:val="18"/>
            <w:szCs w:val="18"/>
          </w:rPr>
          <w:t>kategorija</w:t>
        </w:r>
        <w:r w:rsidRPr="003C3404">
          <w:rPr>
            <w:rStyle w:val="Hyperlink"/>
            <w:sz w:val="18"/>
            <w:szCs w:val="18"/>
            <w:lang w:val="sr-Cyrl-RS"/>
          </w:rPr>
          <w:t>-</w:t>
        </w:r>
        <w:r w:rsidRPr="003C3404">
          <w:rPr>
            <w:rStyle w:val="Hyperlink"/>
            <w:sz w:val="18"/>
            <w:szCs w:val="18"/>
          </w:rPr>
          <w:t>cir</w:t>
        </w:r>
        <w:r w:rsidRPr="003C3404">
          <w:rPr>
            <w:rStyle w:val="Hyperlink"/>
            <w:sz w:val="18"/>
            <w:szCs w:val="18"/>
            <w:lang w:val="sr-Cyrl-RS"/>
          </w:rPr>
          <w:t>/</w:t>
        </w:r>
        <w:r w:rsidRPr="003C3404">
          <w:rPr>
            <w:rStyle w:val="Hyperlink"/>
            <w:sz w:val="18"/>
            <w:szCs w:val="18"/>
          </w:rPr>
          <w:t>prirucnici</w:t>
        </w:r>
        <w:r w:rsidRPr="003C3404">
          <w:rPr>
            <w:rStyle w:val="Hyperlink"/>
            <w:sz w:val="18"/>
            <w:szCs w:val="18"/>
            <w:lang w:val="sr-Cyrl-RS"/>
          </w:rPr>
          <w:t>-</w:t>
        </w:r>
        <w:r w:rsidRPr="003C3404">
          <w:rPr>
            <w:rStyle w:val="Hyperlink"/>
            <w:sz w:val="18"/>
            <w:szCs w:val="18"/>
          </w:rPr>
          <w:t>cir</w:t>
        </w:r>
        <w:r w:rsidRPr="003C3404">
          <w:rPr>
            <w:rStyle w:val="Hyperlink"/>
            <w:sz w:val="18"/>
            <w:szCs w:val="18"/>
            <w:lang w:val="sr-Cyrl-RS"/>
          </w:rPr>
          <w:t>/</w:t>
        </w:r>
      </w:hyperlink>
    </w:p>
  </w:footnote>
  <w:footnote w:id="352">
    <w:p w14:paraId="141A52E0" w14:textId="753558A8" w:rsidR="00876FFE" w:rsidRPr="003C3404" w:rsidRDefault="00876FFE" w:rsidP="00215A61">
      <w:pPr>
        <w:pStyle w:val="FootnoteText"/>
        <w:rPr>
          <w:sz w:val="18"/>
          <w:szCs w:val="18"/>
        </w:rPr>
      </w:pPr>
      <w:r w:rsidRPr="003C3404">
        <w:rPr>
          <w:rStyle w:val="FootnoteReference"/>
          <w:rFonts w:eastAsiaTheme="majorEastAsia"/>
          <w:sz w:val="18"/>
          <w:szCs w:val="18"/>
        </w:rPr>
        <w:footnoteRef/>
      </w:r>
      <w:r w:rsidRPr="003C3404">
        <w:rPr>
          <w:sz w:val="18"/>
          <w:szCs w:val="18"/>
        </w:rPr>
        <w:t xml:space="preserve"> Тематске области, водећи се </w:t>
      </w:r>
      <w:r w:rsidRPr="00351859">
        <w:rPr>
          <w:i/>
          <w:sz w:val="18"/>
          <w:szCs w:val="18"/>
        </w:rPr>
        <w:t>SIGMA</w:t>
      </w:r>
      <w:r w:rsidRPr="003C3404">
        <w:rPr>
          <w:sz w:val="18"/>
          <w:szCs w:val="18"/>
        </w:rPr>
        <w:t xml:space="preserve"> Принципима, обухватају: планирање и координацију политика; управљање људским ресурсима; пружање услуга; одговорност и транспарентност; управљање јавним финансијама и шеста оперативна подгрупа посвећена реформи система локалне самоуправе као засебној тематској области, кроз коју се операционализују горе наведене тематске области и </w:t>
      </w:r>
      <w:r w:rsidRPr="00351859">
        <w:rPr>
          <w:i/>
          <w:sz w:val="18"/>
          <w:szCs w:val="18"/>
        </w:rPr>
        <w:t>SIGMA</w:t>
      </w:r>
      <w:r w:rsidRPr="003C3404">
        <w:rPr>
          <w:sz w:val="18"/>
          <w:szCs w:val="18"/>
        </w:rPr>
        <w:t xml:space="preserve"> Принципи.  </w:t>
      </w:r>
    </w:p>
  </w:footnote>
  <w:footnote w:id="353">
    <w:p w14:paraId="50EA1119" w14:textId="77777777" w:rsidR="00876FFE" w:rsidRPr="003C3404" w:rsidRDefault="00876FFE" w:rsidP="00215A61">
      <w:pPr>
        <w:pStyle w:val="FootnoteText"/>
        <w:rPr>
          <w:sz w:val="18"/>
          <w:szCs w:val="18"/>
        </w:rPr>
      </w:pPr>
      <w:r w:rsidRPr="003C3404">
        <w:rPr>
          <w:rStyle w:val="FootnoteReference"/>
          <w:rFonts w:eastAsiaTheme="majorEastAsia"/>
          <w:sz w:val="18"/>
          <w:szCs w:val="18"/>
        </w:rPr>
        <w:footnoteRef/>
      </w:r>
      <w:r w:rsidRPr="003C3404">
        <w:rPr>
          <w:sz w:val="18"/>
          <w:szCs w:val="18"/>
        </w:rPr>
        <w:t xml:space="preserve"> Програм за управљање јавним политикама и регулаторном реформом, Програм управљања јавним финансијама, Програм реформе система локалне самоуправе</w:t>
      </w:r>
    </w:p>
  </w:footnote>
  <w:footnote w:id="354">
    <w:p w14:paraId="3E9ECEFD" w14:textId="77777777" w:rsidR="00876FFE" w:rsidRPr="003C3404" w:rsidRDefault="00876FFE" w:rsidP="00215A61">
      <w:pPr>
        <w:pStyle w:val="FootnoteText"/>
        <w:rPr>
          <w:sz w:val="18"/>
          <w:szCs w:val="18"/>
        </w:rPr>
      </w:pPr>
      <w:r w:rsidRPr="003C3404">
        <w:rPr>
          <w:rStyle w:val="FootnoteReference"/>
          <w:rFonts w:eastAsiaTheme="majorEastAsia"/>
          <w:sz w:val="18"/>
          <w:szCs w:val="18"/>
        </w:rPr>
        <w:footnoteRef/>
      </w:r>
      <w:r w:rsidRPr="003C3404">
        <w:rPr>
          <w:sz w:val="18"/>
          <w:szCs w:val="18"/>
        </w:rPr>
        <w:t xml:space="preserve"> Управљање људским ресурсима, пружање услуга и одговорност и транспарентност </w:t>
      </w:r>
    </w:p>
  </w:footnote>
  <w:footnote w:id="355">
    <w:p w14:paraId="15D42757" w14:textId="467DD9A2" w:rsidR="00876FFE" w:rsidRPr="003C3404" w:rsidRDefault="00876FFE" w:rsidP="00215A61">
      <w:pPr>
        <w:pStyle w:val="kmnaslov1"/>
        <w:spacing w:before="0" w:beforeAutospacing="0" w:after="0" w:afterAutospacing="0"/>
        <w:ind w:firstLine="0"/>
        <w:rPr>
          <w:rFonts w:ascii="Times New Roman" w:hAnsi="Times New Roman" w:cs="Times New Roman"/>
          <w:sz w:val="18"/>
          <w:szCs w:val="18"/>
          <w:lang w:val="uz-Cyrl-UZ"/>
        </w:rPr>
      </w:pPr>
      <w:r w:rsidRPr="003C3404">
        <w:rPr>
          <w:rStyle w:val="FootnoteReference"/>
          <w:rFonts w:ascii="Times New Roman" w:hAnsi="Times New Roman" w:cs="Times New Roman"/>
          <w:sz w:val="18"/>
          <w:szCs w:val="18"/>
          <w:lang w:val="sr-Cyrl-CS"/>
        </w:rPr>
        <w:footnoteRef/>
      </w:r>
      <w:r w:rsidRPr="003C3404">
        <w:rPr>
          <w:rFonts w:ascii="Times New Roman" w:hAnsi="Times New Roman" w:cs="Times New Roman"/>
          <w:sz w:val="18"/>
          <w:szCs w:val="18"/>
          <w:lang w:val="sr-Cyrl-CS"/>
        </w:rPr>
        <w:t xml:space="preserve"> Одлука о образовању Савета за реформу јавне управе (</w:t>
      </w:r>
      <w:r w:rsidRPr="003C3404">
        <w:rPr>
          <w:rFonts w:ascii="Times New Roman" w:hAnsi="Times New Roman" w:cs="Times New Roman"/>
          <w:sz w:val="18"/>
          <w:szCs w:val="18"/>
          <w:lang w:val="ru-RU"/>
        </w:rPr>
        <w:t>„</w:t>
      </w:r>
      <w:r w:rsidRPr="003C3404">
        <w:rPr>
          <w:rFonts w:ascii="Times New Roman" w:hAnsi="Times New Roman" w:cs="Times New Roman"/>
          <w:sz w:val="18"/>
          <w:szCs w:val="18"/>
          <w:lang w:val="sr-Cyrl-CS"/>
        </w:rPr>
        <w:t>Службени гласник РС</w:t>
      </w:r>
      <w:r w:rsidRPr="003C3404">
        <w:rPr>
          <w:rFonts w:ascii="Times New Roman" w:hAnsi="Times New Roman" w:cs="Times New Roman"/>
          <w:sz w:val="18"/>
          <w:szCs w:val="18"/>
          <w:lang w:val="ru-RU"/>
        </w:rPr>
        <w:t>”</w:t>
      </w:r>
      <w:r w:rsidRPr="003C3404">
        <w:rPr>
          <w:rFonts w:ascii="Times New Roman" w:hAnsi="Times New Roman" w:cs="Times New Roman"/>
          <w:sz w:val="18"/>
          <w:szCs w:val="18"/>
          <w:lang w:val="sr-Cyrl-CS"/>
        </w:rPr>
        <w:t>, број</w:t>
      </w:r>
      <w:r w:rsidRPr="003C3404">
        <w:rPr>
          <w:rFonts w:ascii="Times New Roman" w:hAnsi="Times New Roman" w:cs="Times New Roman"/>
          <w:color w:val="333333"/>
          <w:sz w:val="18"/>
          <w:szCs w:val="18"/>
          <w:shd w:val="clear" w:color="auto" w:fill="FFFFFF"/>
          <w:lang w:val="sl-SI"/>
        </w:rPr>
        <w:t xml:space="preserve"> 81</w:t>
      </w:r>
      <w:r w:rsidRPr="003C3404">
        <w:rPr>
          <w:rFonts w:ascii="Times New Roman" w:hAnsi="Times New Roman" w:cs="Times New Roman"/>
          <w:color w:val="333333"/>
          <w:sz w:val="18"/>
          <w:szCs w:val="18"/>
          <w:shd w:val="clear" w:color="auto" w:fill="FFFFFF"/>
          <w:lang w:val="uz-Cyrl-UZ"/>
        </w:rPr>
        <w:t>/</w:t>
      </w:r>
      <w:r w:rsidRPr="003C3404">
        <w:rPr>
          <w:rFonts w:ascii="Times New Roman" w:hAnsi="Times New Roman" w:cs="Times New Roman"/>
          <w:color w:val="333333"/>
          <w:sz w:val="18"/>
          <w:szCs w:val="18"/>
          <w:shd w:val="clear" w:color="auto" w:fill="FFFFFF"/>
          <w:lang w:val="sl-SI"/>
        </w:rPr>
        <w:t>16, 78</w:t>
      </w:r>
      <w:r w:rsidRPr="003C3404">
        <w:rPr>
          <w:rFonts w:ascii="Times New Roman" w:hAnsi="Times New Roman" w:cs="Times New Roman"/>
          <w:color w:val="333333"/>
          <w:sz w:val="18"/>
          <w:szCs w:val="18"/>
          <w:shd w:val="clear" w:color="auto" w:fill="FFFFFF"/>
          <w:lang w:val="uz-Cyrl-UZ"/>
        </w:rPr>
        <w:t>/</w:t>
      </w:r>
      <w:r w:rsidRPr="003C3404">
        <w:rPr>
          <w:rFonts w:ascii="Times New Roman" w:hAnsi="Times New Roman" w:cs="Times New Roman"/>
          <w:color w:val="333333"/>
          <w:sz w:val="18"/>
          <w:szCs w:val="18"/>
          <w:shd w:val="clear" w:color="auto" w:fill="FFFFFF"/>
          <w:lang w:val="sl-SI"/>
        </w:rPr>
        <w:t>17, 66</w:t>
      </w:r>
      <w:r w:rsidRPr="003C3404">
        <w:rPr>
          <w:rFonts w:ascii="Times New Roman" w:hAnsi="Times New Roman" w:cs="Times New Roman"/>
          <w:color w:val="333333"/>
          <w:sz w:val="18"/>
          <w:szCs w:val="18"/>
          <w:shd w:val="clear" w:color="auto" w:fill="FFFFFF"/>
          <w:lang w:val="uz-Cyrl-UZ"/>
        </w:rPr>
        <w:t>/</w:t>
      </w:r>
      <w:r w:rsidRPr="003C3404">
        <w:rPr>
          <w:rFonts w:ascii="Times New Roman" w:hAnsi="Times New Roman" w:cs="Times New Roman"/>
          <w:color w:val="333333"/>
          <w:sz w:val="18"/>
          <w:szCs w:val="18"/>
          <w:shd w:val="clear" w:color="auto" w:fill="FFFFFF"/>
          <w:lang w:val="sl-SI"/>
        </w:rPr>
        <w:t>18</w:t>
      </w:r>
      <w:r w:rsidRPr="003C3404">
        <w:rPr>
          <w:rFonts w:ascii="Times New Roman" w:hAnsi="Times New Roman" w:cs="Times New Roman"/>
          <w:sz w:val="18"/>
          <w:szCs w:val="18"/>
          <w:lang w:val="sr-Cyrl-CS"/>
        </w:rPr>
        <w:t xml:space="preserve">), линк ка документу: </w:t>
      </w:r>
      <w:hyperlink r:id="rId193" w:history="1">
        <w:r w:rsidRPr="003C3404">
          <w:rPr>
            <w:rStyle w:val="Hyperlink"/>
            <w:rFonts w:ascii="Times New Roman" w:hAnsi="Times New Roman" w:cs="Times New Roman"/>
            <w:sz w:val="18"/>
            <w:szCs w:val="18"/>
            <w:lang w:val="sl-SI"/>
          </w:rPr>
          <w:t>http</w:t>
        </w:r>
        <w:r w:rsidRPr="003C3404">
          <w:rPr>
            <w:rStyle w:val="Hyperlink"/>
            <w:rFonts w:ascii="Times New Roman" w:hAnsi="Times New Roman" w:cs="Times New Roman"/>
            <w:sz w:val="18"/>
            <w:szCs w:val="18"/>
            <w:lang w:val="sr-Cyrl-CS"/>
          </w:rPr>
          <w:t>://</w:t>
        </w:r>
        <w:r w:rsidRPr="003C3404">
          <w:rPr>
            <w:rStyle w:val="Hyperlink"/>
            <w:rFonts w:ascii="Times New Roman" w:hAnsi="Times New Roman" w:cs="Times New Roman"/>
            <w:sz w:val="18"/>
            <w:szCs w:val="18"/>
            <w:lang w:val="sl-SI"/>
          </w:rPr>
          <w:t>www</w:t>
        </w:r>
        <w:r w:rsidRPr="003C3404">
          <w:rPr>
            <w:rStyle w:val="Hyperlink"/>
            <w:rFonts w:ascii="Times New Roman" w:hAnsi="Times New Roman" w:cs="Times New Roman"/>
            <w:sz w:val="18"/>
            <w:szCs w:val="18"/>
            <w:lang w:val="sr-Cyrl-CS"/>
          </w:rPr>
          <w:t>.</w:t>
        </w:r>
        <w:r w:rsidRPr="003C3404">
          <w:rPr>
            <w:rStyle w:val="Hyperlink"/>
            <w:rFonts w:ascii="Times New Roman" w:hAnsi="Times New Roman" w:cs="Times New Roman"/>
            <w:sz w:val="18"/>
            <w:szCs w:val="18"/>
            <w:lang w:val="sl-SI"/>
          </w:rPr>
          <w:t>pravno</w:t>
        </w:r>
        <w:r w:rsidRPr="003C3404">
          <w:rPr>
            <w:rStyle w:val="Hyperlink"/>
            <w:rFonts w:ascii="Times New Roman" w:hAnsi="Times New Roman" w:cs="Times New Roman"/>
            <w:sz w:val="18"/>
            <w:szCs w:val="18"/>
            <w:lang w:val="sr-Cyrl-CS"/>
          </w:rPr>
          <w:t>-</w:t>
        </w:r>
        <w:r w:rsidRPr="003C3404">
          <w:rPr>
            <w:rStyle w:val="Hyperlink"/>
            <w:rFonts w:ascii="Times New Roman" w:hAnsi="Times New Roman" w:cs="Times New Roman"/>
            <w:sz w:val="18"/>
            <w:szCs w:val="18"/>
            <w:lang w:val="sl-SI"/>
          </w:rPr>
          <w:t>informacioni</w:t>
        </w:r>
        <w:r w:rsidRPr="003C3404">
          <w:rPr>
            <w:rStyle w:val="Hyperlink"/>
            <w:rFonts w:ascii="Times New Roman" w:hAnsi="Times New Roman" w:cs="Times New Roman"/>
            <w:sz w:val="18"/>
            <w:szCs w:val="18"/>
            <w:lang w:val="sr-Cyrl-CS"/>
          </w:rPr>
          <w:t>-</w:t>
        </w:r>
        <w:r w:rsidRPr="003C3404">
          <w:rPr>
            <w:rStyle w:val="Hyperlink"/>
            <w:rFonts w:ascii="Times New Roman" w:hAnsi="Times New Roman" w:cs="Times New Roman"/>
            <w:sz w:val="18"/>
            <w:szCs w:val="18"/>
            <w:lang w:val="sl-SI"/>
          </w:rPr>
          <w:t>sistem</w:t>
        </w:r>
        <w:r w:rsidRPr="003C3404">
          <w:rPr>
            <w:rStyle w:val="Hyperlink"/>
            <w:rFonts w:ascii="Times New Roman" w:hAnsi="Times New Roman" w:cs="Times New Roman"/>
            <w:sz w:val="18"/>
            <w:szCs w:val="18"/>
            <w:lang w:val="sr-Cyrl-CS"/>
          </w:rPr>
          <w:t>.</w:t>
        </w:r>
        <w:r w:rsidRPr="003C3404">
          <w:rPr>
            <w:rStyle w:val="Hyperlink"/>
            <w:rFonts w:ascii="Times New Roman" w:hAnsi="Times New Roman" w:cs="Times New Roman"/>
            <w:sz w:val="18"/>
            <w:szCs w:val="18"/>
            <w:lang w:val="sl-SI"/>
          </w:rPr>
          <w:t>rs</w:t>
        </w:r>
        <w:r w:rsidRPr="003C3404">
          <w:rPr>
            <w:rStyle w:val="Hyperlink"/>
            <w:rFonts w:ascii="Times New Roman" w:hAnsi="Times New Roman" w:cs="Times New Roman"/>
            <w:sz w:val="18"/>
            <w:szCs w:val="18"/>
            <w:lang w:val="sr-Cyrl-CS"/>
          </w:rPr>
          <w:t>/</w:t>
        </w:r>
        <w:r w:rsidRPr="003C3404">
          <w:rPr>
            <w:rStyle w:val="Hyperlink"/>
            <w:rFonts w:ascii="Times New Roman" w:hAnsi="Times New Roman" w:cs="Times New Roman"/>
            <w:sz w:val="18"/>
            <w:szCs w:val="18"/>
            <w:lang w:val="sl-SI"/>
          </w:rPr>
          <w:t>SlGlasnikPortal</w:t>
        </w:r>
        <w:r w:rsidRPr="003C3404">
          <w:rPr>
            <w:rStyle w:val="Hyperlink"/>
            <w:rFonts w:ascii="Times New Roman" w:hAnsi="Times New Roman" w:cs="Times New Roman"/>
            <w:sz w:val="18"/>
            <w:szCs w:val="18"/>
            <w:lang w:val="sr-Cyrl-CS"/>
          </w:rPr>
          <w:t>/</w:t>
        </w:r>
        <w:r w:rsidRPr="003C3404">
          <w:rPr>
            <w:rStyle w:val="Hyperlink"/>
            <w:rFonts w:ascii="Times New Roman" w:hAnsi="Times New Roman" w:cs="Times New Roman"/>
            <w:sz w:val="18"/>
            <w:szCs w:val="18"/>
            <w:lang w:val="sl-SI"/>
          </w:rPr>
          <w:t>eli</w:t>
        </w:r>
        <w:r w:rsidRPr="003C3404">
          <w:rPr>
            <w:rStyle w:val="Hyperlink"/>
            <w:rFonts w:ascii="Times New Roman" w:hAnsi="Times New Roman" w:cs="Times New Roman"/>
            <w:sz w:val="18"/>
            <w:szCs w:val="18"/>
            <w:lang w:val="sr-Cyrl-CS"/>
          </w:rPr>
          <w:t>/</w:t>
        </w:r>
        <w:r w:rsidRPr="003C3404">
          <w:rPr>
            <w:rStyle w:val="Hyperlink"/>
            <w:rFonts w:ascii="Times New Roman" w:hAnsi="Times New Roman" w:cs="Times New Roman"/>
            <w:sz w:val="18"/>
            <w:szCs w:val="18"/>
            <w:lang w:val="sl-SI"/>
          </w:rPr>
          <w:t>rep</w:t>
        </w:r>
        <w:r w:rsidRPr="003C3404">
          <w:rPr>
            <w:rStyle w:val="Hyperlink"/>
            <w:rFonts w:ascii="Times New Roman" w:hAnsi="Times New Roman" w:cs="Times New Roman"/>
            <w:sz w:val="18"/>
            <w:szCs w:val="18"/>
            <w:lang w:val="sr-Cyrl-CS"/>
          </w:rPr>
          <w:t>/</w:t>
        </w:r>
        <w:r w:rsidRPr="003C3404">
          <w:rPr>
            <w:rStyle w:val="Hyperlink"/>
            <w:rFonts w:ascii="Times New Roman" w:hAnsi="Times New Roman" w:cs="Times New Roman"/>
            <w:sz w:val="18"/>
            <w:szCs w:val="18"/>
            <w:lang w:val="sl-SI"/>
          </w:rPr>
          <w:t>sgrs</w:t>
        </w:r>
        <w:r w:rsidRPr="003C3404">
          <w:rPr>
            <w:rStyle w:val="Hyperlink"/>
            <w:rFonts w:ascii="Times New Roman" w:hAnsi="Times New Roman" w:cs="Times New Roman"/>
            <w:sz w:val="18"/>
            <w:szCs w:val="18"/>
            <w:lang w:val="sr-Cyrl-CS"/>
          </w:rPr>
          <w:t>/</w:t>
        </w:r>
        <w:r w:rsidRPr="003C3404">
          <w:rPr>
            <w:rStyle w:val="Hyperlink"/>
            <w:rFonts w:ascii="Times New Roman" w:hAnsi="Times New Roman" w:cs="Times New Roman"/>
            <w:sz w:val="18"/>
            <w:szCs w:val="18"/>
            <w:lang w:val="sl-SI"/>
          </w:rPr>
          <w:t>vlada</w:t>
        </w:r>
        <w:r w:rsidRPr="003C3404">
          <w:rPr>
            <w:rStyle w:val="Hyperlink"/>
            <w:rFonts w:ascii="Times New Roman" w:hAnsi="Times New Roman" w:cs="Times New Roman"/>
            <w:sz w:val="18"/>
            <w:szCs w:val="18"/>
            <w:lang w:val="sr-Cyrl-CS"/>
          </w:rPr>
          <w:t>/</w:t>
        </w:r>
        <w:r w:rsidRPr="003C3404">
          <w:rPr>
            <w:rStyle w:val="Hyperlink"/>
            <w:rFonts w:ascii="Times New Roman" w:hAnsi="Times New Roman" w:cs="Times New Roman"/>
            <w:sz w:val="18"/>
            <w:szCs w:val="18"/>
            <w:lang w:val="sl-SI"/>
          </w:rPr>
          <w:t>odluka</w:t>
        </w:r>
        <w:r w:rsidRPr="003C3404">
          <w:rPr>
            <w:rStyle w:val="Hyperlink"/>
            <w:rFonts w:ascii="Times New Roman" w:hAnsi="Times New Roman" w:cs="Times New Roman"/>
            <w:sz w:val="18"/>
            <w:szCs w:val="18"/>
            <w:lang w:val="sr-Cyrl-CS"/>
          </w:rPr>
          <w:t>/2016/81/1/</w:t>
        </w:r>
        <w:r w:rsidRPr="003C3404">
          <w:rPr>
            <w:rStyle w:val="Hyperlink"/>
            <w:rFonts w:ascii="Times New Roman" w:hAnsi="Times New Roman" w:cs="Times New Roman"/>
            <w:sz w:val="18"/>
            <w:szCs w:val="18"/>
            <w:lang w:val="sl-SI"/>
          </w:rPr>
          <w:t>reg</w:t>
        </w:r>
      </w:hyperlink>
      <w:r w:rsidRPr="003C3404">
        <w:rPr>
          <w:rFonts w:ascii="Times New Roman" w:hAnsi="Times New Roman" w:cs="Times New Roman"/>
          <w:sz w:val="18"/>
          <w:szCs w:val="18"/>
          <w:lang w:val="uz-Cyrl-UZ"/>
        </w:rPr>
        <w:t xml:space="preserve"> </w:t>
      </w:r>
    </w:p>
  </w:footnote>
  <w:footnote w:id="356">
    <w:p w14:paraId="7529C6C3" w14:textId="2445AF04" w:rsidR="00876FFE" w:rsidRPr="003C3404" w:rsidRDefault="00876FFE" w:rsidP="00215A61">
      <w:pPr>
        <w:pStyle w:val="FootnoteText"/>
        <w:rPr>
          <w:b/>
          <w:bCs/>
          <w:sz w:val="18"/>
          <w:szCs w:val="18"/>
        </w:rPr>
      </w:pPr>
      <w:r w:rsidRPr="003C3404">
        <w:rPr>
          <w:rStyle w:val="FootnoteReference"/>
          <w:sz w:val="18"/>
          <w:szCs w:val="18"/>
        </w:rPr>
        <w:footnoteRef/>
      </w:r>
      <w:r w:rsidRPr="003C3404">
        <w:rPr>
          <w:sz w:val="18"/>
          <w:szCs w:val="18"/>
        </w:rPr>
        <w:t xml:space="preserve"> Пословник Владе РС (,,Службени гласник РС”, број 61/06 - пречишћен текст, 69/08, 88/09, 33/10, 69/10, 20/11, 37/11, 30/13, 76/14, 8/19 - др. Уредба), линк ка документу: </w:t>
      </w:r>
      <w:hyperlink r:id="rId194" w:history="1">
        <w:r w:rsidRPr="003C3404">
          <w:rPr>
            <w:rStyle w:val="Hyperlink"/>
            <w:sz w:val="18"/>
            <w:szCs w:val="18"/>
            <w:lang w:val="uz-Cyrl-UZ"/>
          </w:rPr>
          <w:t>http://www.pravno-informacioni-sistem.rs/SlGlasnikPortal/eli/rep/sgrs/ministarstva%20/poslovnik/2006/61/1/reg</w:t>
        </w:r>
      </w:hyperlink>
    </w:p>
    <w:p w14:paraId="5EBB288A" w14:textId="77777777" w:rsidR="00876FFE" w:rsidRPr="003C3404" w:rsidRDefault="00876FFE" w:rsidP="00215A61">
      <w:pPr>
        <w:pStyle w:val="FootnoteText"/>
        <w:rPr>
          <w:sz w:val="18"/>
          <w:szCs w:val="18"/>
        </w:rPr>
      </w:pPr>
    </w:p>
  </w:footnote>
  <w:footnote w:id="357">
    <w:p w14:paraId="47F7E8D7" w14:textId="6A556FAB"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Члан 43. и 46. Закона о планском систему („Службени гласник РС”, број 30/18)</w:t>
      </w:r>
    </w:p>
  </w:footnote>
  <w:footnote w:id="358">
    <w:p w14:paraId="0CAC5813" w14:textId="77777777" w:rsidR="00876FFE" w:rsidRPr="003C3404" w:rsidRDefault="00876FFE" w:rsidP="00215A61">
      <w:pPr>
        <w:pStyle w:val="FootnoteText"/>
        <w:rPr>
          <w:sz w:val="18"/>
          <w:szCs w:val="18"/>
          <w:lang w:val="sr-Cyrl-RS"/>
        </w:rPr>
      </w:pPr>
      <w:r w:rsidRPr="003C3404">
        <w:rPr>
          <w:rStyle w:val="FootnoteReference"/>
          <w:sz w:val="18"/>
          <w:szCs w:val="18"/>
          <w:shd w:val="clear" w:color="auto" w:fill="FFFFFF" w:themeFill="background1"/>
        </w:rPr>
        <w:footnoteRef/>
      </w:r>
      <w:r w:rsidRPr="003C3404">
        <w:rPr>
          <w:sz w:val="18"/>
          <w:szCs w:val="18"/>
          <w:shd w:val="clear" w:color="auto" w:fill="FFFFFF" w:themeFill="background1"/>
        </w:rPr>
        <w:t xml:space="preserve"> Члан 69. Уредбе о </w:t>
      </w:r>
      <w:r w:rsidRPr="003C3404">
        <w:rPr>
          <w:sz w:val="18"/>
          <w:szCs w:val="18"/>
        </w:rPr>
        <w:t>методологији</w:t>
      </w:r>
      <w:r w:rsidRPr="003C3404">
        <w:rPr>
          <w:sz w:val="18"/>
          <w:szCs w:val="18"/>
          <w:shd w:val="clear" w:color="auto" w:fill="FFFFFF" w:themeFill="background1"/>
        </w:rPr>
        <w:t xml:space="preserve"> управљањa јавним политикама</w:t>
      </w:r>
      <w:r w:rsidRPr="003C3404">
        <w:rPr>
          <w:sz w:val="18"/>
          <w:szCs w:val="18"/>
          <w:shd w:val="clear" w:color="auto" w:fill="FFFFFF" w:themeFill="background1"/>
          <w:lang w:val="sr-Cyrl-RS"/>
        </w:rPr>
        <w:t xml:space="preserve">, </w:t>
      </w:r>
      <w:r w:rsidRPr="003C3404">
        <w:rPr>
          <w:sz w:val="18"/>
          <w:szCs w:val="18"/>
          <w:shd w:val="clear" w:color="auto" w:fill="FFFFFF" w:themeFill="background1"/>
        </w:rPr>
        <w:t xml:space="preserve">анализи ефеката јавних политика и прописа и садржају појединачних докумената јавних политика </w:t>
      </w:r>
      <w:r w:rsidRPr="003C3404">
        <w:rPr>
          <w:sz w:val="18"/>
          <w:szCs w:val="18"/>
          <w:shd w:val="clear" w:color="auto" w:fill="FFFFFF" w:themeFill="background1"/>
          <w:lang w:val="sr-Cyrl-RS"/>
        </w:rPr>
        <w:t>(„Службени гласник РС”, број 8/19)</w:t>
      </w:r>
    </w:p>
  </w:footnote>
  <w:footnote w:id="359">
    <w:p w14:paraId="53C7D651" w14:textId="77777777" w:rsidR="00876FFE" w:rsidRPr="003C3404" w:rsidRDefault="00876FFE" w:rsidP="00215A61">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color w:val="000000"/>
          <w:sz w:val="18"/>
          <w:szCs w:val="18"/>
          <w:lang w:val="sr-Cyrl-RS"/>
        </w:rPr>
        <w:t>Ово су показале екс-пост анализа Стратегије регулаторне реформе и</w:t>
      </w:r>
      <w:r w:rsidRPr="003C3404">
        <w:rPr>
          <w:color w:val="000000"/>
          <w:sz w:val="18"/>
          <w:szCs w:val="18"/>
          <w:lang w:val="sr-Latn-RS"/>
        </w:rPr>
        <w:t xml:space="preserve"> </w:t>
      </w:r>
      <w:r w:rsidRPr="003C3404">
        <w:rPr>
          <w:color w:val="000000"/>
          <w:sz w:val="18"/>
          <w:szCs w:val="18"/>
          <w:lang w:val="sr-Cyrl-RS"/>
        </w:rPr>
        <w:t>процена потреба за обуком припремљене током 2019. и 2020. године.</w:t>
      </w:r>
    </w:p>
  </w:footnote>
  <w:footnote w:id="360">
    <w:p w14:paraId="2C12686F" w14:textId="65A94FA4" w:rsidR="00876FFE" w:rsidRPr="003C3404" w:rsidRDefault="00876FFE">
      <w:pPr>
        <w:pStyle w:val="FootnoteText"/>
        <w:rPr>
          <w:sz w:val="18"/>
          <w:szCs w:val="18"/>
          <w:lang w:val="sr-Cyrl-RS"/>
        </w:rPr>
      </w:pPr>
      <w:r w:rsidRPr="003C3404">
        <w:rPr>
          <w:rStyle w:val="FootnoteReference"/>
          <w:sz w:val="18"/>
          <w:szCs w:val="18"/>
        </w:rPr>
        <w:footnoteRef/>
      </w:r>
      <w:r w:rsidRPr="003C3404">
        <w:rPr>
          <w:sz w:val="18"/>
          <w:szCs w:val="18"/>
        </w:rPr>
        <w:t xml:space="preserve"> </w:t>
      </w:r>
      <w:r w:rsidRPr="003C3404">
        <w:rPr>
          <w:sz w:val="18"/>
          <w:szCs w:val="18"/>
          <w:lang w:val="sr-Cyrl-RS"/>
        </w:rPr>
        <w:t xml:space="preserve">Проценат </w:t>
      </w:r>
      <w:r w:rsidRPr="003C3404">
        <w:rPr>
          <w:rFonts w:eastAsiaTheme="minorHAnsi"/>
          <w:color w:val="000000"/>
          <w:kern w:val="0"/>
          <w:sz w:val="18"/>
          <w:szCs w:val="18"/>
          <w:lang w:eastAsia="en-US" w:bidi="ar-SA"/>
        </w:rPr>
        <w:t>полазника којима су у потпуности испуњена очекивања</w:t>
      </w:r>
    </w:p>
  </w:footnote>
  <w:footnote w:id="361">
    <w:p w14:paraId="5C381054" w14:textId="77777777" w:rsidR="00876FFE" w:rsidRPr="00D53111" w:rsidRDefault="00876FFE" w:rsidP="00163B00">
      <w:pPr>
        <w:pStyle w:val="FootnoteText"/>
        <w:spacing w:line="276" w:lineRule="auto"/>
        <w:rPr>
          <w:sz w:val="18"/>
          <w:szCs w:val="18"/>
          <w:lang w:val="sr-Cyrl-RS"/>
        </w:rPr>
      </w:pPr>
      <w:r w:rsidRPr="00D53111">
        <w:rPr>
          <w:rStyle w:val="FootnoteReference"/>
          <w:sz w:val="18"/>
          <w:szCs w:val="18"/>
          <w:lang w:val="sr-Cyrl-RS"/>
        </w:rPr>
        <w:footnoteRef/>
      </w:r>
      <w:r w:rsidRPr="00D53111">
        <w:rPr>
          <w:sz w:val="18"/>
          <w:szCs w:val="18"/>
          <w:lang w:val="sr-Cyrl-RS"/>
        </w:rPr>
        <w:t xml:space="preserve"> Видети детаљније у Уводном делу овог документа, у оквиру поглавља </w:t>
      </w:r>
      <w:r w:rsidRPr="00D53111">
        <w:rPr>
          <w:i/>
          <w:iCs/>
          <w:sz w:val="18"/>
          <w:szCs w:val="18"/>
          <w:lang w:val="sr-Cyrl-RS"/>
        </w:rPr>
        <w:t>Кључни резултати и изазови у претходном периоду.</w:t>
      </w:r>
    </w:p>
  </w:footnote>
  <w:footnote w:id="362">
    <w:p w14:paraId="6DD74DC4" w14:textId="77777777" w:rsidR="00876FFE" w:rsidRPr="00D53111" w:rsidRDefault="00876FFE" w:rsidP="00163B00">
      <w:pPr>
        <w:pStyle w:val="FootnoteText"/>
        <w:spacing w:line="276" w:lineRule="auto"/>
        <w:rPr>
          <w:sz w:val="18"/>
          <w:szCs w:val="18"/>
          <w:lang w:val="sr-Cyrl-RS"/>
        </w:rPr>
      </w:pPr>
      <w:r w:rsidRPr="00D53111">
        <w:rPr>
          <w:rStyle w:val="FootnoteReference"/>
          <w:sz w:val="18"/>
          <w:szCs w:val="18"/>
          <w:lang w:val="sr-Cyrl-RS"/>
        </w:rPr>
        <w:footnoteRef/>
      </w:r>
      <w:r w:rsidRPr="00D53111">
        <w:rPr>
          <w:sz w:val="18"/>
          <w:szCs w:val="18"/>
          <w:lang w:val="sr-Cyrl-RS"/>
        </w:rPr>
        <w:t xml:space="preserve"> Извештај о екстерној евалуација Стратегије РЈУ - Финални извештај - 21. април 2019, Подршка реформи јавне управе у оквиру Секторског реформског уговора за сектор реформе јавне управе EuropeAid/137928/DH/SER/RS, линк ка документу: </w:t>
      </w:r>
      <w:hyperlink r:id="rId195" w:history="1">
        <w:r w:rsidRPr="00D53111">
          <w:rPr>
            <w:rStyle w:val="Hyperlink"/>
            <w:rFonts w:eastAsiaTheme="majorEastAsia"/>
            <w:sz w:val="18"/>
            <w:szCs w:val="18"/>
            <w:lang w:val="sr-Cyrl-RS"/>
          </w:rPr>
          <w:t>http://mduls.gov.rs/wp-content/uploads/190524-Final-Evaluation-Report-SR.pdf</w:t>
        </w:r>
      </w:hyperlink>
    </w:p>
  </w:footnote>
  <w:footnote w:id="363">
    <w:p w14:paraId="77CF3D94" w14:textId="77777777" w:rsidR="00876FFE" w:rsidRPr="00D53111" w:rsidRDefault="00876FFE" w:rsidP="00163B00">
      <w:pPr>
        <w:pStyle w:val="FootnoteText"/>
        <w:spacing w:line="276" w:lineRule="auto"/>
        <w:rPr>
          <w:sz w:val="18"/>
          <w:szCs w:val="18"/>
          <w:lang w:val="sr-Cyrl-RS"/>
        </w:rPr>
      </w:pPr>
      <w:r w:rsidRPr="00D53111">
        <w:rPr>
          <w:rStyle w:val="FootnoteReference"/>
          <w:sz w:val="18"/>
          <w:szCs w:val="18"/>
          <w:lang w:val="sr-Cyrl-RS"/>
        </w:rPr>
        <w:footnoteRef/>
      </w:r>
      <w:r w:rsidRPr="00D53111">
        <w:rPr>
          <w:sz w:val="18"/>
          <w:szCs w:val="18"/>
          <w:lang w:val="sr-Cyrl-RS"/>
        </w:rPr>
        <w:t xml:space="preserve"> Пројекат се спроводи у оквиру Секторског реформског уговора за реформу јавне управе са ЕУ</w:t>
      </w:r>
    </w:p>
  </w:footnote>
  <w:footnote w:id="364">
    <w:p w14:paraId="647A4DD3" w14:textId="77777777" w:rsidR="00876FFE" w:rsidRPr="00D53111" w:rsidRDefault="00876FFE" w:rsidP="00163B00">
      <w:pPr>
        <w:pStyle w:val="FootnoteText"/>
        <w:spacing w:line="276" w:lineRule="auto"/>
        <w:rPr>
          <w:sz w:val="18"/>
          <w:szCs w:val="18"/>
          <w:lang w:val="sr-Cyrl-RS"/>
        </w:rPr>
      </w:pPr>
      <w:r w:rsidRPr="00D53111">
        <w:rPr>
          <w:rStyle w:val="FootnoteReference"/>
          <w:sz w:val="18"/>
          <w:szCs w:val="18"/>
          <w:lang w:val="sr-Cyrl-RS"/>
        </w:rPr>
        <w:footnoteRef/>
      </w:r>
      <w:r w:rsidRPr="00D53111">
        <w:rPr>
          <w:sz w:val="18"/>
          <w:szCs w:val="18"/>
          <w:lang w:val="sr-Cyrl-RS"/>
        </w:rPr>
        <w:t xml:space="preserve"> Телевизија је сматрана најважнијим извором информација о РЈУ (51%), затим новински портали и веб-сајтови (21%), друштвене мреже (9%), штампани медији (5%), радио (4%), а 2 % је навело плакате, летке и билборде. Када је реч о последњој категорији, занимљиво је да су најмлађи тврдили да их редовно читају, за разлику од припадника старије популације који су навели да ретко користе те канале за информисање. Даљи налази указују да су испитаници углавном гледали/слушали медијске садржаје везане за РЈУ на телевизији (74%), али су такође наводили интернет странице (12%), друштвене мреже (7%), радио (3%), билборде (2%) или школу/универзитет (1%).</w:t>
      </w:r>
    </w:p>
  </w:footnote>
  <w:footnote w:id="365">
    <w:p w14:paraId="4308899E" w14:textId="77777777" w:rsidR="00876FFE" w:rsidRPr="008D4739" w:rsidRDefault="00876FFE" w:rsidP="00163B00">
      <w:pPr>
        <w:pStyle w:val="FootnoteText"/>
        <w:rPr>
          <w:sz w:val="18"/>
          <w:szCs w:val="18"/>
          <w:lang w:val="sr-Cyrl-RS"/>
        </w:rPr>
      </w:pPr>
      <w:r w:rsidRPr="00D53111">
        <w:rPr>
          <w:rStyle w:val="FootnoteReference"/>
          <w:sz w:val="18"/>
          <w:szCs w:val="18"/>
        </w:rPr>
        <w:footnoteRef/>
      </w:r>
      <w:r w:rsidRPr="00D53111">
        <w:rPr>
          <w:sz w:val="18"/>
          <w:szCs w:val="18"/>
          <w:lang w:val="sr-Cyrl-RS"/>
        </w:rPr>
        <w:t xml:space="preserve"> </w:t>
      </w:r>
      <w:r w:rsidRPr="008D4739">
        <w:rPr>
          <w:sz w:val="18"/>
          <w:szCs w:val="18"/>
          <w:lang w:val="sr-Cyrl-RS"/>
        </w:rPr>
        <w:t xml:space="preserve">Спотовима је могуће приступити путем </w:t>
      </w:r>
      <w:r w:rsidRPr="008D4739">
        <w:rPr>
          <w:sz w:val="18"/>
          <w:szCs w:val="18"/>
        </w:rPr>
        <w:t>YouTube</w:t>
      </w:r>
      <w:r w:rsidRPr="008D4739">
        <w:rPr>
          <w:sz w:val="18"/>
          <w:szCs w:val="18"/>
          <w:lang w:val="sr-Cyrl-RS"/>
        </w:rPr>
        <w:t xml:space="preserve"> канала, односно интернет странице Министарства државне управе и локалне самоуправе: </w:t>
      </w:r>
      <w:hyperlink r:id="rId196" w:history="1">
        <w:r w:rsidRPr="008D4739">
          <w:rPr>
            <w:rStyle w:val="Hyperlink"/>
            <w:sz w:val="18"/>
            <w:szCs w:val="18"/>
            <w:lang w:val="it-IT"/>
          </w:rPr>
          <w:t>http</w:t>
        </w:r>
        <w:r w:rsidRPr="008D4739">
          <w:rPr>
            <w:rStyle w:val="Hyperlink"/>
            <w:sz w:val="18"/>
            <w:szCs w:val="18"/>
            <w:lang w:val="sr-Cyrl-RS"/>
          </w:rPr>
          <w:t>://</w:t>
        </w:r>
        <w:r w:rsidRPr="008D4739">
          <w:rPr>
            <w:rStyle w:val="Hyperlink"/>
            <w:sz w:val="18"/>
            <w:szCs w:val="18"/>
            <w:lang w:val="it-IT"/>
          </w:rPr>
          <w:t>mduls</w:t>
        </w:r>
        <w:r w:rsidRPr="008D4739">
          <w:rPr>
            <w:rStyle w:val="Hyperlink"/>
            <w:sz w:val="18"/>
            <w:szCs w:val="18"/>
            <w:lang w:val="sr-Cyrl-RS"/>
          </w:rPr>
          <w:t>.</w:t>
        </w:r>
        <w:r w:rsidRPr="008D4739">
          <w:rPr>
            <w:rStyle w:val="Hyperlink"/>
            <w:sz w:val="18"/>
            <w:szCs w:val="18"/>
            <w:lang w:val="it-IT"/>
          </w:rPr>
          <w:t>gov</w:t>
        </w:r>
        <w:r w:rsidRPr="008D4739">
          <w:rPr>
            <w:rStyle w:val="Hyperlink"/>
            <w:sz w:val="18"/>
            <w:szCs w:val="18"/>
            <w:lang w:val="sr-Cyrl-RS"/>
          </w:rPr>
          <w:t>.</w:t>
        </w:r>
        <w:r w:rsidRPr="008D4739">
          <w:rPr>
            <w:rStyle w:val="Hyperlink"/>
            <w:sz w:val="18"/>
            <w:szCs w:val="18"/>
            <w:lang w:val="it-IT"/>
          </w:rPr>
          <w:t>rs</w:t>
        </w:r>
        <w:r w:rsidRPr="008D4739">
          <w:rPr>
            <w:rStyle w:val="Hyperlink"/>
            <w:sz w:val="18"/>
            <w:szCs w:val="18"/>
            <w:lang w:val="sr-Cyrl-RS"/>
          </w:rPr>
          <w:t>/</w:t>
        </w:r>
        <w:r w:rsidRPr="008D4739">
          <w:rPr>
            <w:rStyle w:val="Hyperlink"/>
            <w:sz w:val="18"/>
            <w:szCs w:val="18"/>
            <w:lang w:val="it-IT"/>
          </w:rPr>
          <w:t>reforma</w:t>
        </w:r>
        <w:r w:rsidRPr="008D4739">
          <w:rPr>
            <w:rStyle w:val="Hyperlink"/>
            <w:sz w:val="18"/>
            <w:szCs w:val="18"/>
            <w:lang w:val="sr-Cyrl-RS"/>
          </w:rPr>
          <w:t>-</w:t>
        </w:r>
        <w:r w:rsidRPr="008D4739">
          <w:rPr>
            <w:rStyle w:val="Hyperlink"/>
            <w:sz w:val="18"/>
            <w:szCs w:val="18"/>
            <w:lang w:val="it-IT"/>
          </w:rPr>
          <w:t>javne</w:t>
        </w:r>
        <w:r w:rsidRPr="008D4739">
          <w:rPr>
            <w:rStyle w:val="Hyperlink"/>
            <w:sz w:val="18"/>
            <w:szCs w:val="18"/>
            <w:lang w:val="sr-Cyrl-RS"/>
          </w:rPr>
          <w:t>-</w:t>
        </w:r>
        <w:r w:rsidRPr="008D4739">
          <w:rPr>
            <w:rStyle w:val="Hyperlink"/>
            <w:sz w:val="18"/>
            <w:szCs w:val="18"/>
            <w:lang w:val="it-IT"/>
          </w:rPr>
          <w:t>uprave</w:t>
        </w:r>
        <w:r w:rsidRPr="008D4739">
          <w:rPr>
            <w:rStyle w:val="Hyperlink"/>
            <w:sz w:val="18"/>
            <w:szCs w:val="18"/>
            <w:lang w:val="sr-Cyrl-RS"/>
          </w:rPr>
          <w:t>-</w:t>
        </w:r>
        <w:r w:rsidRPr="008D4739">
          <w:rPr>
            <w:rStyle w:val="Hyperlink"/>
            <w:sz w:val="18"/>
            <w:szCs w:val="18"/>
            <w:lang w:val="it-IT"/>
          </w:rPr>
          <w:t>u</w:t>
        </w:r>
        <w:r w:rsidRPr="008D4739">
          <w:rPr>
            <w:rStyle w:val="Hyperlink"/>
            <w:sz w:val="18"/>
            <w:szCs w:val="18"/>
            <w:lang w:val="sr-Cyrl-RS"/>
          </w:rPr>
          <w:t>-</w:t>
        </w:r>
        <w:r w:rsidRPr="008D4739">
          <w:rPr>
            <w:rStyle w:val="Hyperlink"/>
            <w:sz w:val="18"/>
            <w:szCs w:val="18"/>
            <w:lang w:val="it-IT"/>
          </w:rPr>
          <w:t>srbiji</w:t>
        </w:r>
        <w:r w:rsidRPr="008D4739">
          <w:rPr>
            <w:rStyle w:val="Hyperlink"/>
            <w:sz w:val="18"/>
            <w:szCs w:val="18"/>
            <w:lang w:val="sr-Cyrl-RS"/>
          </w:rPr>
          <w:t>/</w:t>
        </w:r>
        <w:r w:rsidRPr="008D4739">
          <w:rPr>
            <w:rStyle w:val="Hyperlink"/>
            <w:sz w:val="18"/>
            <w:szCs w:val="18"/>
            <w:lang w:val="it-IT"/>
          </w:rPr>
          <w:t>aktuelnosti</w:t>
        </w:r>
        <w:r w:rsidRPr="008D4739">
          <w:rPr>
            <w:rStyle w:val="Hyperlink"/>
            <w:sz w:val="18"/>
            <w:szCs w:val="18"/>
            <w:lang w:val="sr-Cyrl-RS"/>
          </w:rPr>
          <w:t>/</w:t>
        </w:r>
        <w:r w:rsidRPr="008D4739">
          <w:rPr>
            <w:rStyle w:val="Hyperlink"/>
            <w:sz w:val="18"/>
            <w:szCs w:val="18"/>
            <w:lang w:val="it-IT"/>
          </w:rPr>
          <w:t>uz</w:t>
        </w:r>
        <w:r w:rsidRPr="008D4739">
          <w:rPr>
            <w:rStyle w:val="Hyperlink"/>
            <w:sz w:val="18"/>
            <w:szCs w:val="18"/>
            <w:lang w:val="sr-Cyrl-RS"/>
          </w:rPr>
          <w:t>-</w:t>
        </w:r>
        <w:r w:rsidRPr="008D4739">
          <w:rPr>
            <w:rStyle w:val="Hyperlink"/>
            <w:sz w:val="18"/>
            <w:szCs w:val="18"/>
            <w:lang w:val="it-IT"/>
          </w:rPr>
          <w:t>podrsku</w:t>
        </w:r>
        <w:r w:rsidRPr="008D4739">
          <w:rPr>
            <w:rStyle w:val="Hyperlink"/>
            <w:sz w:val="18"/>
            <w:szCs w:val="18"/>
            <w:lang w:val="sr-Cyrl-RS"/>
          </w:rPr>
          <w:t>-</w:t>
        </w:r>
        <w:r w:rsidRPr="008D4739">
          <w:rPr>
            <w:rStyle w:val="Hyperlink"/>
            <w:sz w:val="18"/>
            <w:szCs w:val="18"/>
            <w:lang w:val="it-IT"/>
          </w:rPr>
          <w:t>eu</w:t>
        </w:r>
        <w:r w:rsidRPr="008D4739">
          <w:rPr>
            <w:rStyle w:val="Hyperlink"/>
            <w:sz w:val="18"/>
            <w:szCs w:val="18"/>
            <w:lang w:val="sr-Cyrl-RS"/>
          </w:rPr>
          <w:t>-</w:t>
        </w:r>
        <w:r w:rsidRPr="008D4739">
          <w:rPr>
            <w:rStyle w:val="Hyperlink"/>
            <w:sz w:val="18"/>
            <w:szCs w:val="18"/>
            <w:lang w:val="it-IT"/>
          </w:rPr>
          <w:t>pocela</w:t>
        </w:r>
        <w:r w:rsidRPr="008D4739">
          <w:rPr>
            <w:rStyle w:val="Hyperlink"/>
            <w:sz w:val="18"/>
            <w:szCs w:val="18"/>
            <w:lang w:val="sr-Cyrl-RS"/>
          </w:rPr>
          <w:t>-</w:t>
        </w:r>
        <w:r w:rsidRPr="008D4739">
          <w:rPr>
            <w:rStyle w:val="Hyperlink"/>
            <w:sz w:val="18"/>
            <w:szCs w:val="18"/>
            <w:lang w:val="it-IT"/>
          </w:rPr>
          <w:t>kampanja</w:t>
        </w:r>
        <w:r w:rsidRPr="008D4739">
          <w:rPr>
            <w:rStyle w:val="Hyperlink"/>
            <w:sz w:val="18"/>
            <w:szCs w:val="18"/>
            <w:lang w:val="sr-Cyrl-RS"/>
          </w:rPr>
          <w:t>-</w:t>
        </w:r>
        <w:r w:rsidRPr="008D4739">
          <w:rPr>
            <w:rStyle w:val="Hyperlink"/>
            <w:sz w:val="18"/>
            <w:szCs w:val="18"/>
            <w:lang w:val="it-IT"/>
          </w:rPr>
          <w:t>uprava</w:t>
        </w:r>
        <w:r w:rsidRPr="008D4739">
          <w:rPr>
            <w:rStyle w:val="Hyperlink"/>
            <w:sz w:val="18"/>
            <w:szCs w:val="18"/>
            <w:lang w:val="sr-Cyrl-RS"/>
          </w:rPr>
          <w:t>-</w:t>
        </w:r>
        <w:r w:rsidRPr="008D4739">
          <w:rPr>
            <w:rStyle w:val="Hyperlink"/>
            <w:sz w:val="18"/>
            <w:szCs w:val="18"/>
            <w:lang w:val="it-IT"/>
          </w:rPr>
          <w:t>po</w:t>
        </w:r>
        <w:r w:rsidRPr="008D4739">
          <w:rPr>
            <w:rStyle w:val="Hyperlink"/>
            <w:sz w:val="18"/>
            <w:szCs w:val="18"/>
            <w:lang w:val="sr-Cyrl-RS"/>
          </w:rPr>
          <w:t>-</w:t>
        </w:r>
        <w:r w:rsidRPr="008D4739">
          <w:rPr>
            <w:rStyle w:val="Hyperlink"/>
            <w:sz w:val="18"/>
            <w:szCs w:val="18"/>
            <w:lang w:val="it-IT"/>
          </w:rPr>
          <w:t>meri</w:t>
        </w:r>
        <w:r w:rsidRPr="008D4739">
          <w:rPr>
            <w:rStyle w:val="Hyperlink"/>
            <w:sz w:val="18"/>
            <w:szCs w:val="18"/>
            <w:lang w:val="sr-Cyrl-RS"/>
          </w:rPr>
          <w:t>-</w:t>
        </w:r>
        <w:r w:rsidRPr="008D4739">
          <w:rPr>
            <w:rStyle w:val="Hyperlink"/>
            <w:sz w:val="18"/>
            <w:szCs w:val="18"/>
            <w:lang w:val="it-IT"/>
          </w:rPr>
          <w:t>svih</w:t>
        </w:r>
        <w:r w:rsidRPr="008D4739">
          <w:rPr>
            <w:rStyle w:val="Hyperlink"/>
            <w:sz w:val="18"/>
            <w:szCs w:val="18"/>
            <w:lang w:val="sr-Cyrl-RS"/>
          </w:rPr>
          <w:t>-</w:t>
        </w:r>
        <w:r w:rsidRPr="008D4739">
          <w:rPr>
            <w:rStyle w:val="Hyperlink"/>
            <w:sz w:val="18"/>
            <w:szCs w:val="18"/>
            <w:lang w:val="it-IT"/>
          </w:rPr>
          <w:t>nas</w:t>
        </w:r>
        <w:r w:rsidRPr="008D4739">
          <w:rPr>
            <w:rStyle w:val="Hyperlink"/>
            <w:sz w:val="18"/>
            <w:szCs w:val="18"/>
            <w:lang w:val="sr-Cyrl-RS"/>
          </w:rPr>
          <w:t>/?</w:t>
        </w:r>
        <w:r w:rsidRPr="008D4739">
          <w:rPr>
            <w:rStyle w:val="Hyperlink"/>
            <w:sz w:val="18"/>
            <w:szCs w:val="18"/>
            <w:lang w:val="it-IT"/>
          </w:rPr>
          <w:t>script</w:t>
        </w:r>
        <w:r w:rsidRPr="008D4739">
          <w:rPr>
            <w:rStyle w:val="Hyperlink"/>
            <w:sz w:val="18"/>
            <w:szCs w:val="18"/>
            <w:lang w:val="sr-Cyrl-RS"/>
          </w:rPr>
          <w:t>=</w:t>
        </w:r>
        <w:r w:rsidRPr="008D4739">
          <w:rPr>
            <w:rStyle w:val="Hyperlink"/>
            <w:sz w:val="18"/>
            <w:szCs w:val="18"/>
            <w:lang w:val="it-IT"/>
          </w:rPr>
          <w:t>lat</w:t>
        </w:r>
      </w:hyperlink>
    </w:p>
  </w:footnote>
  <w:footnote w:id="366">
    <w:p w14:paraId="399456CE" w14:textId="77777777" w:rsidR="00876FFE" w:rsidRPr="008D4739" w:rsidRDefault="00876FFE" w:rsidP="00163B00">
      <w:pPr>
        <w:pStyle w:val="FootnoteText"/>
        <w:spacing w:line="276" w:lineRule="auto"/>
        <w:rPr>
          <w:sz w:val="18"/>
          <w:szCs w:val="18"/>
          <w:lang w:val="sr-Cyrl-RS"/>
        </w:rPr>
      </w:pPr>
      <w:r w:rsidRPr="008D4739">
        <w:rPr>
          <w:rStyle w:val="FootnoteReference"/>
          <w:sz w:val="18"/>
          <w:szCs w:val="18"/>
          <w:lang w:val="sr-Cyrl-RS"/>
        </w:rPr>
        <w:footnoteRef/>
      </w:r>
      <w:r w:rsidRPr="008D4739">
        <w:rPr>
          <w:sz w:val="18"/>
          <w:szCs w:val="18"/>
          <w:lang w:val="sr-Cyrl-RS"/>
        </w:rPr>
        <w:t xml:space="preserve"> Док је сваки четврти пунолетни грађанин Србије упознат са реформом јавне управе (25%), нешто мање од половине оних који су чули за ову иницијативу, не могу тачно да кажу шта она подразумева (46%), а мање од једне трећине није свесно да Србија реформише своју јавну управу (29%). Док је четвртина испитаника (25%) упозната са улогом Владе у овом процесу, мање од једне трећине (31%) донекле тога свесна, а улогу ЕУ јасно препознаје сваки пети испитаник (20%). Нешто мање од једне трећине (29%) донекле је свесно доприноса ЕУ овом напору, а више од половине (51%) није упознато са улогом коју ЕУ игра у РЈУ.  Извештај о истраживању јавног мњења о видљивости реформе јавне управе и кампањи за подизање свести у Србији, је спровео ЦЕСИД између 30. децембра 2019. и 13. јануара 2020. године. </w:t>
      </w:r>
    </w:p>
  </w:footnote>
  <w:footnote w:id="367">
    <w:p w14:paraId="0AD2DF9A" w14:textId="77777777" w:rsidR="00876FFE" w:rsidRPr="00D53111" w:rsidRDefault="00876FFE" w:rsidP="00163B00">
      <w:pPr>
        <w:pStyle w:val="FootnoteText"/>
        <w:rPr>
          <w:sz w:val="18"/>
          <w:szCs w:val="18"/>
          <w:lang w:val="sr-Cyrl-RS"/>
        </w:rPr>
      </w:pPr>
      <w:r w:rsidRPr="00D53111">
        <w:rPr>
          <w:rStyle w:val="FootnoteReference"/>
          <w:sz w:val="18"/>
          <w:szCs w:val="18"/>
        </w:rPr>
        <w:footnoteRef/>
      </w:r>
      <w:r w:rsidRPr="00D53111">
        <w:rPr>
          <w:sz w:val="18"/>
          <w:szCs w:val="18"/>
          <w:lang w:val="sr-Cyrl-RS"/>
        </w:rPr>
        <w:t xml:space="preserve"> http://mduls.gov.rs/uprava-po-meri-svih-nas/.</w:t>
      </w:r>
    </w:p>
  </w:footnote>
  <w:footnote w:id="368">
    <w:p w14:paraId="56D8C45A" w14:textId="77777777" w:rsidR="00876FFE" w:rsidRPr="00D53111" w:rsidRDefault="00876FFE" w:rsidP="00163B00">
      <w:pPr>
        <w:pStyle w:val="FootnoteText"/>
        <w:spacing w:line="276" w:lineRule="auto"/>
        <w:rPr>
          <w:sz w:val="18"/>
          <w:szCs w:val="18"/>
          <w:lang w:val="sr-Cyrl-RS"/>
        </w:rPr>
      </w:pPr>
      <w:r w:rsidRPr="00D53111">
        <w:rPr>
          <w:rStyle w:val="FootnoteReference"/>
          <w:sz w:val="18"/>
          <w:szCs w:val="18"/>
          <w:lang w:val="sr-Cyrl-RS"/>
        </w:rPr>
        <w:footnoteRef/>
      </w:r>
      <w:r w:rsidRPr="00D53111">
        <w:rPr>
          <w:sz w:val="18"/>
          <w:szCs w:val="18"/>
          <w:lang w:val="sr-Cyrl-RS"/>
        </w:rPr>
        <w:t xml:space="preserve"> Детаљне налазе видети у: Месечни извештаји, пројекат Подршка видљивости и комуницирању   реформе   јавне   управе   у   оквиру   Секторског реформског уговора за реформу јавне управе</w:t>
      </w:r>
    </w:p>
  </w:footnote>
  <w:footnote w:id="369">
    <w:p w14:paraId="54F18D61" w14:textId="77777777" w:rsidR="00876FFE" w:rsidRPr="00D53111" w:rsidRDefault="00876FFE" w:rsidP="00163B00">
      <w:pPr>
        <w:pStyle w:val="FootnoteText"/>
        <w:rPr>
          <w:sz w:val="18"/>
          <w:szCs w:val="18"/>
          <w:lang w:val="sr-Cyrl-RS"/>
        </w:rPr>
      </w:pPr>
      <w:r w:rsidRPr="00D53111">
        <w:rPr>
          <w:rStyle w:val="FootnoteReference"/>
          <w:sz w:val="18"/>
          <w:szCs w:val="18"/>
        </w:rPr>
        <w:footnoteRef/>
      </w:r>
      <w:r w:rsidRPr="00D53111">
        <w:rPr>
          <w:sz w:val="18"/>
          <w:szCs w:val="18"/>
          <w:lang w:val="sr-Cyrl-RS"/>
        </w:rPr>
        <w:t xml:space="preserve"> </w:t>
      </w:r>
      <w:r w:rsidRPr="00D53111">
        <w:rPr>
          <w:sz w:val="18"/>
          <w:szCs w:val="18"/>
        </w:rPr>
        <w:t>https</w:t>
      </w:r>
      <w:r w:rsidRPr="00D53111">
        <w:rPr>
          <w:sz w:val="18"/>
          <w:szCs w:val="18"/>
          <w:lang w:val="sr-Cyrl-RS"/>
        </w:rPr>
        <w:t>://</w:t>
      </w:r>
      <w:r w:rsidRPr="00D53111">
        <w:rPr>
          <w:sz w:val="18"/>
          <w:szCs w:val="18"/>
        </w:rPr>
        <w:t>www</w:t>
      </w:r>
      <w:r w:rsidRPr="00D53111">
        <w:rPr>
          <w:sz w:val="18"/>
          <w:szCs w:val="18"/>
          <w:lang w:val="sr-Cyrl-RS"/>
        </w:rPr>
        <w:t>.</w:t>
      </w:r>
      <w:r w:rsidRPr="00D53111">
        <w:rPr>
          <w:sz w:val="18"/>
          <w:szCs w:val="18"/>
        </w:rPr>
        <w:t>opengovpartnership</w:t>
      </w:r>
      <w:r w:rsidRPr="00D53111">
        <w:rPr>
          <w:sz w:val="18"/>
          <w:szCs w:val="18"/>
          <w:lang w:val="sr-Cyrl-RS"/>
        </w:rPr>
        <w:t>.</w:t>
      </w:r>
      <w:r w:rsidRPr="00D53111">
        <w:rPr>
          <w:sz w:val="18"/>
          <w:szCs w:val="18"/>
        </w:rPr>
        <w:t>org</w:t>
      </w:r>
      <w:r w:rsidRPr="00D53111">
        <w:rPr>
          <w:sz w:val="18"/>
          <w:szCs w:val="18"/>
          <w:lang w:val="sr-Cyrl-RS"/>
        </w:rPr>
        <w:t>/</w:t>
      </w:r>
    </w:p>
  </w:footnote>
  <w:footnote w:id="370">
    <w:p w14:paraId="51C9B687" w14:textId="77777777" w:rsidR="00876FFE" w:rsidRPr="00C73F4B" w:rsidRDefault="00876FFE" w:rsidP="00163B00">
      <w:pPr>
        <w:pStyle w:val="FootnoteText"/>
        <w:rPr>
          <w:lang w:val="sr-Latn-RS"/>
        </w:rPr>
      </w:pPr>
      <w:r w:rsidRPr="00D53111">
        <w:rPr>
          <w:rStyle w:val="FootnoteReference"/>
          <w:sz w:val="18"/>
          <w:szCs w:val="18"/>
        </w:rPr>
        <w:footnoteRef/>
      </w:r>
      <w:r w:rsidRPr="00D53111">
        <w:rPr>
          <w:sz w:val="18"/>
          <w:szCs w:val="18"/>
          <w:lang w:val="sr-Cyrl-RS"/>
        </w:rPr>
        <w:t xml:space="preserve"> У извештају Независног механизма за извештавање о Акционом плану за спровођење иницијативе ПОУ за период 2016-2018. године једна од кључних препорука била је „развити усмеренији комуникацијски приступ и активности подизања свести, како би се повећало учешће грађана у формулисању обавеза за наредни акциони план. Додатно, Влада треба да размотри јачање сарадње са ОЦД на централном и локалном нивоу“. Овај извештај доступан је на </w:t>
      </w:r>
      <w:hyperlink r:id="rId197" w:history="1">
        <w:r w:rsidRPr="00D53111">
          <w:rPr>
            <w:rStyle w:val="Hyperlink"/>
            <w:sz w:val="18"/>
            <w:szCs w:val="18"/>
            <w:lang w:val="sr-Cyrl-RS"/>
          </w:rPr>
          <w:t>http://mduls.gov.rs/wp-content/uploads/Konacni-izvstaj-IRM-o-implementaciji-AP-2016-2018-7-mart-2019SRP.pdf</w:t>
        </w:r>
      </w:hyperlink>
      <w:r w:rsidRPr="00D53111">
        <w:rPr>
          <w:sz w:val="18"/>
          <w:szCs w:val="18"/>
          <w:lang w:val="sr-Cyrl-RS"/>
        </w:rPr>
        <w:t xml:space="preserve"> . Такође, у извештају Независног механизма за извештавање о наредном, Акционом плану за спровођење иницијативе ПОУ за период 2018-2020. године препорученo је унапређење странице </w:t>
      </w:r>
      <w:r w:rsidRPr="00D53111">
        <w:rPr>
          <w:sz w:val="18"/>
          <w:szCs w:val="18"/>
          <w:lang w:val="sr-Latn-RS"/>
        </w:rPr>
        <w:t>ogp.rs</w:t>
      </w:r>
      <w:r w:rsidRPr="00D53111">
        <w:rPr>
          <w:sz w:val="18"/>
          <w:szCs w:val="18"/>
          <w:lang w:val="sr-Cyrl-RS"/>
        </w:rPr>
        <w:t xml:space="preserve">, као централне платформе за праћење учешће Републике у ПОУ, и унапређење комуникације са кључним институцијама. Овај извештај доступан је на </w:t>
      </w:r>
      <w:hyperlink r:id="rId198" w:history="1">
        <w:r w:rsidRPr="00D53111">
          <w:rPr>
            <w:rStyle w:val="Hyperlink"/>
            <w:sz w:val="18"/>
            <w:szCs w:val="18"/>
            <w:lang w:val="sr-Cyrl-RS"/>
          </w:rPr>
          <w:t>https://ogp.rs/wp-content/uploads/2019/10/Serbia_IRM_AP3_DesignReport_for-public-comment-SER.pdf</w:t>
        </w:r>
      </w:hyperlink>
      <w:r>
        <w:rPr>
          <w:sz w:val="18"/>
          <w:szCs w:val="18"/>
          <w:lang w:val="sr-Latn-RS"/>
        </w:rPr>
        <w:t xml:space="preserve"> .</w:t>
      </w:r>
    </w:p>
  </w:footnote>
  <w:footnote w:id="371">
    <w:p w14:paraId="426C2F49" w14:textId="77777777" w:rsidR="00876FFE" w:rsidRPr="00D53111" w:rsidRDefault="00876FFE" w:rsidP="00163B00">
      <w:pPr>
        <w:pStyle w:val="FootnoteText"/>
        <w:rPr>
          <w:sz w:val="18"/>
          <w:szCs w:val="18"/>
          <w:lang w:val="sr-Cyrl-RS"/>
        </w:rPr>
      </w:pPr>
      <w:r w:rsidRPr="00D53111">
        <w:rPr>
          <w:rStyle w:val="FootnoteReference"/>
          <w:sz w:val="18"/>
          <w:szCs w:val="18"/>
          <w:lang w:val="sr-Cyrl-RS"/>
        </w:rPr>
        <w:footnoteRef/>
      </w:r>
      <w:r w:rsidRPr="00D53111">
        <w:rPr>
          <w:sz w:val="18"/>
          <w:szCs w:val="18"/>
          <w:lang w:val="sr-Cyrl-RS"/>
        </w:rPr>
        <w:t xml:space="preserve"> Детаљне налазе видети у: Извештај о ситуационој анализи, пројекат Подршка видљивости и комуницирању   реформе   јавне   управе   у   оквиру   Секторског реформског уговора за реформу јавне управе</w:t>
      </w:r>
    </w:p>
  </w:footnote>
  <w:footnote w:id="372">
    <w:p w14:paraId="4B5EDFFB" w14:textId="77777777" w:rsidR="00876FFE" w:rsidRPr="0047357F" w:rsidRDefault="00876FFE" w:rsidP="00163B00">
      <w:pPr>
        <w:pStyle w:val="FootnoteText"/>
        <w:rPr>
          <w:sz w:val="18"/>
          <w:szCs w:val="18"/>
          <w:lang w:val="sr-Cyrl-RS"/>
        </w:rPr>
      </w:pPr>
      <w:r w:rsidRPr="0047357F">
        <w:rPr>
          <w:rStyle w:val="FootnoteReference"/>
          <w:sz w:val="18"/>
          <w:szCs w:val="18"/>
        </w:rPr>
        <w:footnoteRef/>
      </w:r>
      <w:r w:rsidRPr="0047357F">
        <w:rPr>
          <w:sz w:val="18"/>
          <w:szCs w:val="18"/>
          <w:lang w:val="sr-Cyrl-RS"/>
        </w:rPr>
        <w:t xml:space="preserve"> Легенда: 0 – није релевантно, 1 – умерено применљиво, 2 – у потпуности испуњава критеријум</w:t>
      </w:r>
    </w:p>
    <w:p w14:paraId="11C37F92" w14:textId="77777777" w:rsidR="00876FFE" w:rsidRPr="001F0D56" w:rsidRDefault="00876FFE" w:rsidP="00163B00">
      <w:pPr>
        <w:pStyle w:val="FootnoteText"/>
        <w:rPr>
          <w:sz w:val="18"/>
          <w:szCs w:val="18"/>
          <w:lang w:val="sr-Cyrl-RS"/>
        </w:rPr>
      </w:pPr>
    </w:p>
  </w:footnote>
  <w:footnote w:id="373">
    <w:p w14:paraId="1401C049" w14:textId="77777777" w:rsidR="00876FFE" w:rsidRPr="00405E84" w:rsidRDefault="00876FFE" w:rsidP="00163B00">
      <w:pPr>
        <w:pStyle w:val="FootnoteText"/>
        <w:rPr>
          <w:sz w:val="18"/>
          <w:szCs w:val="18"/>
          <w:lang w:val="sr-Cyrl-RS"/>
        </w:rPr>
      </w:pPr>
      <w:r w:rsidRPr="00405E84">
        <w:rPr>
          <w:rStyle w:val="FootnoteReference"/>
          <w:sz w:val="18"/>
          <w:szCs w:val="18"/>
        </w:rPr>
        <w:footnoteRef/>
      </w:r>
      <w:r w:rsidRPr="00405E84">
        <w:rPr>
          <w:sz w:val="18"/>
          <w:szCs w:val="18"/>
          <w:lang w:val="sr-Cyrl-RS"/>
        </w:rPr>
        <w:t xml:space="preserve"> Овај подсајт је креиран у сарадњи са ЕУ пројектом ЕУ за видљивост и комуницирање реформе јавне управе у оквиру Секторског реформског уговора. Тренутна адреса овог подсајта је http://mduls.gov.rs/uprava-po-meri-svih-nas/ </w:t>
      </w:r>
    </w:p>
  </w:footnote>
  <w:footnote w:id="374">
    <w:p w14:paraId="223A657F" w14:textId="77777777" w:rsidR="00876FFE" w:rsidRPr="00405E84" w:rsidRDefault="00876FFE" w:rsidP="00163B00">
      <w:pPr>
        <w:pStyle w:val="FootnoteText"/>
        <w:rPr>
          <w:sz w:val="18"/>
          <w:szCs w:val="18"/>
          <w:lang w:val="sr-Cyrl-RS"/>
        </w:rPr>
      </w:pPr>
      <w:r w:rsidRPr="00405E84">
        <w:rPr>
          <w:rStyle w:val="FootnoteReference"/>
          <w:sz w:val="18"/>
          <w:szCs w:val="18"/>
        </w:rPr>
        <w:footnoteRef/>
      </w:r>
      <w:r w:rsidRPr="00405E84">
        <w:rPr>
          <w:sz w:val="18"/>
          <w:szCs w:val="18"/>
          <w:lang w:val="sr-Cyrl-RS"/>
        </w:rPr>
        <w:t xml:space="preserve"> Овај подсајт је креиран у сарадњи са ЕУ пројектом ЕУ за реформу јавне управе у оквиру Секторског реформског уговора https://monitoring.mduls.gov.rs/</w:t>
      </w:r>
    </w:p>
  </w:footnote>
  <w:footnote w:id="375">
    <w:p w14:paraId="35547CB9" w14:textId="77777777" w:rsidR="00876FFE" w:rsidRPr="00405E84" w:rsidRDefault="00876FFE" w:rsidP="00163B00">
      <w:pPr>
        <w:pStyle w:val="FootnoteText"/>
        <w:rPr>
          <w:sz w:val="18"/>
          <w:szCs w:val="18"/>
          <w:lang w:val="sr-Cyrl-RS"/>
        </w:rPr>
      </w:pPr>
      <w:r w:rsidRPr="00405E84">
        <w:rPr>
          <w:rStyle w:val="FootnoteReference"/>
          <w:sz w:val="18"/>
          <w:szCs w:val="18"/>
        </w:rPr>
        <w:footnoteRef/>
      </w:r>
      <w:r w:rsidRPr="00405E84">
        <w:rPr>
          <w:sz w:val="18"/>
          <w:szCs w:val="18"/>
          <w:lang w:val="sr-Cyrl-RS"/>
        </w:rPr>
        <w:t xml:space="preserve"> </w:t>
      </w:r>
      <w:r w:rsidRPr="00405E84">
        <w:rPr>
          <w:sz w:val="18"/>
          <w:szCs w:val="18"/>
        </w:rPr>
        <w:t>https</w:t>
      </w:r>
      <w:r w:rsidRPr="00405E84">
        <w:rPr>
          <w:sz w:val="18"/>
          <w:szCs w:val="18"/>
          <w:lang w:val="sr-Cyrl-RS"/>
        </w:rPr>
        <w:t>://</w:t>
      </w:r>
      <w:r w:rsidRPr="00405E84">
        <w:rPr>
          <w:sz w:val="18"/>
          <w:szCs w:val="18"/>
        </w:rPr>
        <w:t>www</w:t>
      </w:r>
      <w:r w:rsidRPr="00405E84">
        <w:rPr>
          <w:sz w:val="18"/>
          <w:szCs w:val="18"/>
          <w:lang w:val="sr-Cyrl-RS"/>
        </w:rPr>
        <w:t>.</w:t>
      </w:r>
      <w:r w:rsidRPr="00405E84">
        <w:rPr>
          <w:sz w:val="18"/>
          <w:szCs w:val="18"/>
        </w:rPr>
        <w:t>epapir</w:t>
      </w:r>
      <w:r w:rsidRPr="00405E84">
        <w:rPr>
          <w:sz w:val="18"/>
          <w:szCs w:val="18"/>
          <w:lang w:val="sr-Cyrl-RS"/>
        </w:rPr>
        <w:t>.</w:t>
      </w:r>
      <w:r w:rsidRPr="00405E84">
        <w:rPr>
          <w:sz w:val="18"/>
          <w:szCs w:val="18"/>
        </w:rPr>
        <w:t>rsjp</w:t>
      </w:r>
      <w:r w:rsidRPr="00405E84">
        <w:rPr>
          <w:sz w:val="18"/>
          <w:szCs w:val="18"/>
          <w:lang w:val="sr-Cyrl-RS"/>
        </w:rPr>
        <w:t>.</w:t>
      </w:r>
      <w:r w:rsidRPr="00405E84">
        <w:rPr>
          <w:sz w:val="18"/>
          <w:szCs w:val="18"/>
        </w:rPr>
        <w:t>gov</w:t>
      </w:r>
      <w:r w:rsidRPr="00405E84">
        <w:rPr>
          <w:sz w:val="18"/>
          <w:szCs w:val="18"/>
          <w:lang w:val="sr-Cyrl-RS"/>
        </w:rPr>
        <w:t>.</w:t>
      </w:r>
      <w:r w:rsidRPr="00405E84">
        <w:rPr>
          <w:sz w:val="18"/>
          <w:szCs w:val="18"/>
        </w:rPr>
        <w:t>rs</w:t>
      </w:r>
      <w:r w:rsidRPr="00405E84">
        <w:rPr>
          <w:sz w:val="18"/>
          <w:szCs w:val="18"/>
          <w:lang w:val="sr-Cyrl-RS"/>
        </w:rPr>
        <w:t>/</w:t>
      </w:r>
    </w:p>
  </w:footnote>
  <w:footnote w:id="376">
    <w:p w14:paraId="054198E8" w14:textId="77777777" w:rsidR="00876FFE" w:rsidRPr="00405E84" w:rsidRDefault="00876FFE" w:rsidP="00163B00">
      <w:pPr>
        <w:pStyle w:val="FootnoteText"/>
        <w:rPr>
          <w:sz w:val="18"/>
          <w:szCs w:val="18"/>
          <w:lang w:val="sr-Cyrl-RS"/>
        </w:rPr>
      </w:pPr>
      <w:r w:rsidRPr="00405E84">
        <w:rPr>
          <w:rStyle w:val="FootnoteReference"/>
          <w:sz w:val="18"/>
          <w:szCs w:val="18"/>
        </w:rPr>
        <w:footnoteRef/>
      </w:r>
      <w:r w:rsidRPr="00405E84">
        <w:rPr>
          <w:sz w:val="18"/>
          <w:szCs w:val="18"/>
          <w:lang w:val="sr-Cyrl-RS"/>
        </w:rPr>
        <w:t xml:space="preserve"> </w:t>
      </w:r>
      <w:r w:rsidRPr="00405E84">
        <w:rPr>
          <w:sz w:val="18"/>
          <w:szCs w:val="18"/>
        </w:rPr>
        <w:t>https</w:t>
      </w:r>
      <w:r w:rsidRPr="00405E84">
        <w:rPr>
          <w:sz w:val="18"/>
          <w:szCs w:val="18"/>
          <w:lang w:val="sr-Cyrl-RS"/>
        </w:rPr>
        <w:t>://</w:t>
      </w:r>
      <w:r w:rsidRPr="00405E84">
        <w:rPr>
          <w:sz w:val="18"/>
          <w:szCs w:val="18"/>
        </w:rPr>
        <w:t>www</w:t>
      </w:r>
      <w:r w:rsidRPr="00405E84">
        <w:rPr>
          <w:sz w:val="18"/>
          <w:szCs w:val="18"/>
          <w:lang w:val="sr-Cyrl-RS"/>
        </w:rPr>
        <w:t>.</w:t>
      </w:r>
      <w:r w:rsidRPr="00405E84">
        <w:rPr>
          <w:sz w:val="18"/>
          <w:szCs w:val="18"/>
        </w:rPr>
        <w:t>ite</w:t>
      </w:r>
      <w:r w:rsidRPr="00405E84">
        <w:rPr>
          <w:sz w:val="18"/>
          <w:szCs w:val="18"/>
          <w:lang w:val="sr-Cyrl-RS"/>
        </w:rPr>
        <w:t>.</w:t>
      </w:r>
      <w:r w:rsidRPr="00405E84">
        <w:rPr>
          <w:sz w:val="18"/>
          <w:szCs w:val="18"/>
        </w:rPr>
        <w:t>gov</w:t>
      </w:r>
      <w:r w:rsidRPr="00405E84">
        <w:rPr>
          <w:sz w:val="18"/>
          <w:szCs w:val="18"/>
          <w:lang w:val="sr-Cyrl-RS"/>
        </w:rPr>
        <w:t>.</w:t>
      </w:r>
      <w:r w:rsidRPr="00405E84">
        <w:rPr>
          <w:sz w:val="18"/>
          <w:szCs w:val="18"/>
        </w:rPr>
        <w:t>rs</w:t>
      </w:r>
      <w:r w:rsidRPr="00405E84">
        <w:rPr>
          <w:sz w:val="18"/>
          <w:szCs w:val="18"/>
          <w:lang w:val="sr-Cyrl-RS"/>
        </w:rPr>
        <w:t>/</w:t>
      </w:r>
    </w:p>
  </w:footnote>
  <w:footnote w:id="377">
    <w:p w14:paraId="4093ABA3" w14:textId="77777777" w:rsidR="00876FFE" w:rsidRPr="004A07DB" w:rsidRDefault="00876FFE" w:rsidP="00163B00">
      <w:pPr>
        <w:pStyle w:val="FootnoteText"/>
        <w:rPr>
          <w:lang w:val="sr-Cyrl-RS"/>
        </w:rPr>
      </w:pPr>
      <w:r w:rsidRPr="00405E84">
        <w:rPr>
          <w:rStyle w:val="FootnoteReference"/>
          <w:sz w:val="18"/>
          <w:szCs w:val="18"/>
        </w:rPr>
        <w:footnoteRef/>
      </w:r>
      <w:r w:rsidRPr="00405E84">
        <w:rPr>
          <w:sz w:val="18"/>
          <w:szCs w:val="18"/>
          <w:lang w:val="sr-Cyrl-RS"/>
        </w:rPr>
        <w:t xml:space="preserve"> </w:t>
      </w:r>
      <w:r w:rsidRPr="00405E84">
        <w:rPr>
          <w:sz w:val="18"/>
          <w:szCs w:val="18"/>
        </w:rPr>
        <w:t>https</w:t>
      </w:r>
      <w:r w:rsidRPr="00405E84">
        <w:rPr>
          <w:sz w:val="18"/>
          <w:szCs w:val="18"/>
          <w:lang w:val="sr-Cyrl-RS"/>
        </w:rPr>
        <w:t>://</w:t>
      </w:r>
      <w:r w:rsidRPr="00405E84">
        <w:rPr>
          <w:sz w:val="18"/>
          <w:szCs w:val="18"/>
        </w:rPr>
        <w:t>euprava</w:t>
      </w:r>
      <w:r w:rsidRPr="00405E84">
        <w:rPr>
          <w:sz w:val="18"/>
          <w:szCs w:val="18"/>
          <w:lang w:val="sr-Cyrl-RS"/>
        </w:rPr>
        <w:t>.</w:t>
      </w:r>
      <w:r w:rsidRPr="00405E84">
        <w:rPr>
          <w:sz w:val="18"/>
          <w:szCs w:val="18"/>
        </w:rPr>
        <w:t>gov</w:t>
      </w:r>
      <w:r w:rsidRPr="00405E84">
        <w:rPr>
          <w:sz w:val="18"/>
          <w:szCs w:val="18"/>
          <w:lang w:val="sr-Cyrl-RS"/>
        </w:rPr>
        <w:t>.</w:t>
      </w:r>
      <w:r w:rsidRPr="00405E84">
        <w:rPr>
          <w:sz w:val="18"/>
          <w:szCs w:val="18"/>
        </w:rPr>
        <w:t>rs</w:t>
      </w:r>
      <w:r w:rsidRPr="00405E84">
        <w:rPr>
          <w:sz w:val="18"/>
          <w:szCs w:val="18"/>
          <w:lang w:val="sr-Cyrl-RS"/>
        </w:rPr>
        <w:t>/</w:t>
      </w:r>
    </w:p>
  </w:footnote>
  <w:footnote w:id="378">
    <w:p w14:paraId="7C2C5E42" w14:textId="77777777" w:rsidR="00876FFE" w:rsidRPr="0002755B" w:rsidRDefault="00876FFE" w:rsidP="00163B00">
      <w:pPr>
        <w:pStyle w:val="FootnoteText"/>
        <w:rPr>
          <w:sz w:val="18"/>
          <w:szCs w:val="18"/>
          <w:lang w:val="sr-Cyrl-RS"/>
        </w:rPr>
      </w:pPr>
      <w:r w:rsidRPr="0002755B">
        <w:rPr>
          <w:rStyle w:val="FootnoteReference"/>
          <w:sz w:val="18"/>
          <w:szCs w:val="18"/>
        </w:rPr>
        <w:footnoteRef/>
      </w:r>
      <w:r w:rsidRPr="0002755B">
        <w:rPr>
          <w:sz w:val="18"/>
          <w:szCs w:val="18"/>
          <w:lang w:val="sr-Cyrl-RS"/>
        </w:rPr>
        <w:t xml:space="preserve"> </w:t>
      </w:r>
      <w:r w:rsidRPr="0002755B">
        <w:rPr>
          <w:sz w:val="18"/>
          <w:szCs w:val="18"/>
        </w:rPr>
        <w:t>https</w:t>
      </w:r>
      <w:r w:rsidRPr="0002755B">
        <w:rPr>
          <w:sz w:val="18"/>
          <w:szCs w:val="18"/>
          <w:lang w:val="sr-Cyrl-RS"/>
        </w:rPr>
        <w:t>://</w:t>
      </w:r>
      <w:r w:rsidRPr="0002755B">
        <w:rPr>
          <w:sz w:val="18"/>
          <w:szCs w:val="18"/>
        </w:rPr>
        <w:t>www</w:t>
      </w:r>
      <w:r w:rsidRPr="0002755B">
        <w:rPr>
          <w:sz w:val="18"/>
          <w:szCs w:val="18"/>
          <w:lang w:val="sr-Cyrl-RS"/>
        </w:rPr>
        <w:t>.</w:t>
      </w:r>
      <w:r w:rsidRPr="0002755B">
        <w:rPr>
          <w:sz w:val="18"/>
          <w:szCs w:val="18"/>
        </w:rPr>
        <w:t>napa</w:t>
      </w:r>
      <w:r w:rsidRPr="0002755B">
        <w:rPr>
          <w:sz w:val="18"/>
          <w:szCs w:val="18"/>
          <w:lang w:val="sr-Cyrl-RS"/>
        </w:rPr>
        <w:t>.</w:t>
      </w:r>
      <w:r w:rsidRPr="0002755B">
        <w:rPr>
          <w:sz w:val="18"/>
          <w:szCs w:val="18"/>
        </w:rPr>
        <w:t>gov</w:t>
      </w:r>
      <w:r w:rsidRPr="0002755B">
        <w:rPr>
          <w:sz w:val="18"/>
          <w:szCs w:val="18"/>
          <w:lang w:val="sr-Cyrl-RS"/>
        </w:rPr>
        <w:t>.</w:t>
      </w:r>
      <w:r w:rsidRPr="0002755B">
        <w:rPr>
          <w:sz w:val="18"/>
          <w:szCs w:val="18"/>
        </w:rPr>
        <w:t>rs</w:t>
      </w:r>
      <w:r w:rsidRPr="0002755B">
        <w:rPr>
          <w:sz w:val="18"/>
          <w:szCs w:val="18"/>
          <w:lang w:val="sr-Cyrl-R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732C7" w14:textId="77777777" w:rsidR="00876FFE" w:rsidRDefault="00876FFE" w:rsidP="00445217">
    <w:pPr>
      <w:pStyle w:val="FootnoteTex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4723B" w14:textId="77777777" w:rsidR="00876FFE" w:rsidRDefault="00876FFE" w:rsidP="0075657E">
    <w:pPr>
      <w:pStyle w:val="FootnoteTex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1CB66" w14:textId="77777777" w:rsidR="00876FFE" w:rsidRDefault="00876FFE" w:rsidP="0075657E">
    <w:pPr>
      <w:pStyle w:val="FootnoteTex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2154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6"/>
    </w:tblGrid>
    <w:tr w:rsidR="00876FFE" w14:paraId="6DC84053" w14:textId="77777777" w:rsidTr="00433570">
      <w:tc>
        <w:tcPr>
          <w:tcW w:w="21546" w:type="dxa"/>
          <w:tcBorders>
            <w:bottom w:val="single" w:sz="18" w:space="0" w:color="BFBFBF" w:themeColor="background1" w:themeShade="BF"/>
          </w:tcBorders>
        </w:tcPr>
        <w:p w14:paraId="39FE59D0" w14:textId="77777777" w:rsidR="00876FFE" w:rsidRDefault="00876FFE" w:rsidP="0075657E">
          <w:pPr>
            <w:pStyle w:val="FootnoteText"/>
          </w:pPr>
        </w:p>
      </w:tc>
    </w:tr>
  </w:tbl>
  <w:p w14:paraId="3658A019" w14:textId="77777777" w:rsidR="00876FFE" w:rsidRDefault="00876FFE" w:rsidP="0075657E">
    <w:pPr>
      <w:pStyle w:val="FootnoteTex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76FFE" w14:paraId="55BA19ED" w14:textId="77777777" w:rsidTr="00433570">
      <w:tc>
        <w:tcPr>
          <w:tcW w:w="9639" w:type="dxa"/>
          <w:tcBorders>
            <w:bottom w:val="single" w:sz="18" w:space="0" w:color="BFBFBF" w:themeColor="background1" w:themeShade="BF"/>
          </w:tcBorders>
        </w:tcPr>
        <w:p w14:paraId="684FBAB1" w14:textId="77777777" w:rsidR="00876FFE" w:rsidRDefault="00876FFE" w:rsidP="0075657E">
          <w:pPr>
            <w:pStyle w:val="FootnoteText"/>
          </w:pPr>
        </w:p>
      </w:tc>
    </w:tr>
  </w:tbl>
  <w:p w14:paraId="5F817C14" w14:textId="77777777" w:rsidR="00876FFE" w:rsidRDefault="00876FFE" w:rsidP="0075657E">
    <w:pPr>
      <w:pStyle w:val="FootnoteTex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2154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6"/>
    </w:tblGrid>
    <w:tr w:rsidR="00876FFE" w14:paraId="5C4F9D0A" w14:textId="77777777" w:rsidTr="00BC0E52">
      <w:tc>
        <w:tcPr>
          <w:tcW w:w="21546" w:type="dxa"/>
          <w:tcBorders>
            <w:bottom w:val="single" w:sz="18" w:space="0" w:color="BFBFBF" w:themeColor="background1" w:themeShade="BF"/>
          </w:tcBorders>
        </w:tcPr>
        <w:p w14:paraId="492CF213" w14:textId="77777777" w:rsidR="00876FFE" w:rsidRDefault="00876FFE" w:rsidP="0075657E">
          <w:pPr>
            <w:pStyle w:val="FootnoteText"/>
          </w:pPr>
        </w:p>
      </w:tc>
    </w:tr>
  </w:tbl>
  <w:p w14:paraId="7548762D" w14:textId="77777777" w:rsidR="00876FFE" w:rsidRDefault="00876FFE" w:rsidP="0075657E">
    <w:pPr>
      <w:pStyle w:val="FootnoteTex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76FFE" w14:paraId="4DD30542" w14:textId="77777777" w:rsidTr="00BC0E52">
      <w:tc>
        <w:tcPr>
          <w:tcW w:w="9072" w:type="dxa"/>
          <w:tcBorders>
            <w:bottom w:val="single" w:sz="18" w:space="0" w:color="9CC2E5" w:themeColor="accent5" w:themeTint="99"/>
          </w:tcBorders>
        </w:tcPr>
        <w:p w14:paraId="30D74732" w14:textId="77777777" w:rsidR="00876FFE" w:rsidRDefault="00876FFE" w:rsidP="0075657E">
          <w:pPr>
            <w:pStyle w:val="FootnoteText"/>
          </w:pPr>
        </w:p>
      </w:tc>
    </w:tr>
  </w:tbl>
  <w:p w14:paraId="337D8261" w14:textId="77777777" w:rsidR="00876FFE" w:rsidRDefault="00876FFE" w:rsidP="0075657E">
    <w:pPr>
      <w:pStyle w:val="FootnoteTex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2140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05"/>
    </w:tblGrid>
    <w:tr w:rsidR="00876FFE" w14:paraId="3D49FA26" w14:textId="77777777" w:rsidTr="00BC0E52">
      <w:tc>
        <w:tcPr>
          <w:tcW w:w="21405" w:type="dxa"/>
          <w:tcBorders>
            <w:bottom w:val="single" w:sz="18" w:space="0" w:color="9CC2E5" w:themeColor="accent5" w:themeTint="99"/>
          </w:tcBorders>
        </w:tcPr>
        <w:p w14:paraId="42832C5E" w14:textId="77777777" w:rsidR="00876FFE" w:rsidRDefault="00876FFE" w:rsidP="00BC0E52">
          <w:pPr>
            <w:pStyle w:val="FootnoteText"/>
          </w:pPr>
        </w:p>
      </w:tc>
    </w:tr>
  </w:tbl>
  <w:p w14:paraId="2508C10D" w14:textId="77777777" w:rsidR="00876FFE" w:rsidRDefault="00876FFE" w:rsidP="00BC0E52">
    <w:pPr>
      <w:pStyle w:val="FootnoteTex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5EB37" w14:textId="77777777" w:rsidR="00876FFE" w:rsidRDefault="00876FFE" w:rsidP="00BC0E52">
    <w:pPr>
      <w:pStyle w:val="FootnoteTex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2757B" w14:textId="77777777" w:rsidR="00876FFE" w:rsidRDefault="00876FFE" w:rsidP="00BC0E52">
    <w:pPr>
      <w:pStyle w:val="FootnoteTex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41C36" w14:textId="77777777" w:rsidR="00876FFE" w:rsidRDefault="00876FFE" w:rsidP="00BC0E52">
    <w:pPr>
      <w:pStyle w:val="FootnoteTex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B402C" w14:textId="24C40232" w:rsidR="00876FFE" w:rsidRDefault="00876FF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BC8D7" w14:textId="77777777" w:rsidR="00876FFE" w:rsidRDefault="00876FFE" w:rsidP="00BC0E52">
    <w:pPr>
      <w:pStyle w:val="FootnoteTex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36F8C" w14:textId="77777777" w:rsidR="00876FFE" w:rsidRDefault="00876FFE" w:rsidP="00BC0E52">
    <w:pPr>
      <w:pStyle w:val="FootnoteTex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3B247" w14:textId="77777777" w:rsidR="00876FFE" w:rsidRDefault="00876FFE" w:rsidP="00BE0973">
    <w:pPr>
      <w:pStyle w:val="FootnoteTex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76FFE" w14:paraId="1AE82A89" w14:textId="77777777" w:rsidTr="007225B1">
      <w:tc>
        <w:tcPr>
          <w:tcW w:w="9072" w:type="dxa"/>
          <w:tcBorders>
            <w:bottom w:val="single" w:sz="18" w:space="0" w:color="486CAE"/>
          </w:tcBorders>
        </w:tcPr>
        <w:p w14:paraId="5034F6AD" w14:textId="77777777" w:rsidR="00876FFE" w:rsidRDefault="00876FFE" w:rsidP="00BC0E52">
          <w:pPr>
            <w:pStyle w:val="FootnoteText"/>
          </w:pPr>
        </w:p>
      </w:tc>
    </w:tr>
  </w:tbl>
  <w:p w14:paraId="57B47B85" w14:textId="77777777" w:rsidR="00876FFE" w:rsidRDefault="00876FFE" w:rsidP="00BC0E52">
    <w:pPr>
      <w:pStyle w:val="FootnoteTex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DB19" w14:textId="77777777" w:rsidR="00876FFE" w:rsidRDefault="00876FFE" w:rsidP="00BC0E52">
    <w:pPr>
      <w:pStyle w:val="FootnoteTex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B7DE3" w14:textId="77777777" w:rsidR="00876FFE" w:rsidRDefault="00876FFE" w:rsidP="007225B1">
    <w:pPr>
      <w:pStyle w:val="FootnoteText"/>
    </w:pPr>
  </w:p>
  <w:p w14:paraId="4DE33185" w14:textId="77777777" w:rsidR="00876FFE" w:rsidRDefault="00876FFE"/>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327C1" w14:textId="77777777" w:rsidR="00876FFE" w:rsidRDefault="00876FFE" w:rsidP="007225B1">
    <w:pPr>
      <w:pStyle w:val="FootnoteTex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4355" w14:textId="77777777" w:rsidR="00876FFE" w:rsidRDefault="00876FFE" w:rsidP="007225B1">
    <w:pPr>
      <w:pStyle w:val="FootnoteTex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5FC3E" w14:textId="77777777" w:rsidR="00876FFE" w:rsidRDefault="00876FFE" w:rsidP="007225B1">
    <w:pPr>
      <w:pStyle w:val="FootnoteTex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0ECBB" w14:textId="77777777" w:rsidR="00876FFE" w:rsidRDefault="00876FFE" w:rsidP="007225B1">
    <w:pPr>
      <w:pStyle w:val="FootnoteTex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59AC5" w14:textId="77777777" w:rsidR="00876FFE" w:rsidRDefault="00876FFE" w:rsidP="00445217">
    <w:pPr>
      <w:pStyle w:val="FootnoteTex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EEDAD" w14:textId="77777777" w:rsidR="00876FFE" w:rsidRDefault="00876FFE" w:rsidP="007225B1">
    <w:pPr>
      <w:pStyle w:val="FootnoteTex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45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9"/>
    </w:tblGrid>
    <w:tr w:rsidR="00876FFE" w14:paraId="70BA2ADA" w14:textId="77777777" w:rsidTr="009726E6">
      <w:tc>
        <w:tcPr>
          <w:tcW w:w="14459" w:type="dxa"/>
          <w:tcBorders>
            <w:bottom w:val="single" w:sz="18" w:space="0" w:color="2F5496" w:themeColor="accent1" w:themeShade="BF"/>
          </w:tcBorders>
        </w:tcPr>
        <w:p w14:paraId="7B290BE4" w14:textId="77777777" w:rsidR="00876FFE" w:rsidRDefault="00876FFE" w:rsidP="005D2E8D">
          <w:pPr>
            <w:pStyle w:val="FootnoteText"/>
          </w:pPr>
        </w:p>
      </w:tc>
    </w:tr>
  </w:tbl>
  <w:p w14:paraId="79F071B9" w14:textId="77777777" w:rsidR="00876FFE" w:rsidRDefault="00876FFE" w:rsidP="005D2E8D">
    <w:pPr>
      <w:pStyle w:val="FootnoteTex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76FFE" w14:paraId="77CAE95B" w14:textId="77777777" w:rsidTr="009726E6">
      <w:tc>
        <w:tcPr>
          <w:tcW w:w="9072" w:type="dxa"/>
          <w:tcBorders>
            <w:bottom w:val="single" w:sz="18" w:space="0" w:color="2F5496" w:themeColor="accent1" w:themeShade="BF"/>
          </w:tcBorders>
        </w:tcPr>
        <w:p w14:paraId="26326EA1" w14:textId="77777777" w:rsidR="00876FFE" w:rsidRDefault="00876FFE" w:rsidP="005D2E8D">
          <w:pPr>
            <w:pStyle w:val="FootnoteText"/>
          </w:pPr>
        </w:p>
      </w:tc>
    </w:tr>
  </w:tbl>
  <w:p w14:paraId="3E674437" w14:textId="77777777" w:rsidR="00876FFE" w:rsidRDefault="00876FFE" w:rsidP="005D2E8D">
    <w:pPr>
      <w:pStyle w:val="FootnoteTex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31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7"/>
    </w:tblGrid>
    <w:tr w:rsidR="00876FFE" w14:paraId="61D64D40" w14:textId="77777777" w:rsidTr="005D2E8D">
      <w:tc>
        <w:tcPr>
          <w:tcW w:w="14317" w:type="dxa"/>
          <w:tcBorders>
            <w:bottom w:val="single" w:sz="18" w:space="0" w:color="2F5496" w:themeColor="accent1" w:themeShade="BF"/>
          </w:tcBorders>
        </w:tcPr>
        <w:p w14:paraId="3C1A8E6A" w14:textId="77777777" w:rsidR="00876FFE" w:rsidRDefault="00876FFE" w:rsidP="005D2E8D">
          <w:pPr>
            <w:pStyle w:val="FootnoteText"/>
          </w:pPr>
        </w:p>
      </w:tc>
    </w:tr>
  </w:tbl>
  <w:p w14:paraId="755E7ACC" w14:textId="77777777" w:rsidR="00876FFE" w:rsidRDefault="00876FFE" w:rsidP="005D2E8D">
    <w:pPr>
      <w:pStyle w:val="FootnoteTex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2AC3C" w14:textId="77777777" w:rsidR="00876FFE" w:rsidRDefault="00876FFE" w:rsidP="005D2E8D">
    <w:pPr>
      <w:pStyle w:val="FootnoteTex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AAC69" w14:textId="77777777" w:rsidR="00876FFE" w:rsidRDefault="00876FFE" w:rsidP="00445217">
    <w:pPr>
      <w:pStyle w:val="FootnoteTex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3000D" w14:textId="77777777" w:rsidR="00876FFE" w:rsidRDefault="00876FFE" w:rsidP="00445217">
    <w:pPr>
      <w:pStyle w:val="FootnoteTex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8023D" w14:textId="77777777" w:rsidR="00876FFE" w:rsidRDefault="00876FFE" w:rsidP="00445217">
    <w:pPr>
      <w:pStyle w:val="FootnoteTex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D8129" w14:textId="77777777" w:rsidR="00876FFE" w:rsidRDefault="00876FFE" w:rsidP="0075657E">
    <w:pPr>
      <w:pStyle w:val="FootnoteTex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BBA82" w14:textId="77777777" w:rsidR="00876FFE" w:rsidRDefault="00876FFE" w:rsidP="0075657E">
    <w:pPr>
      <w:pStyle w:val="FootnoteTex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CC7A6" w14:textId="77777777" w:rsidR="00876FFE" w:rsidRDefault="00876FFE" w:rsidP="0075657E">
    <w:pPr>
      <w:pStyle w:val="FootnoteTex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A17E9"/>
    <w:multiLevelType w:val="hybridMultilevel"/>
    <w:tmpl w:val="E7C0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73BF8"/>
    <w:multiLevelType w:val="hybridMultilevel"/>
    <w:tmpl w:val="C5001688"/>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2" w15:restartNumberingAfterBreak="0">
    <w:nsid w:val="06A223F1"/>
    <w:multiLevelType w:val="hybridMultilevel"/>
    <w:tmpl w:val="5680D7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6D258E2"/>
    <w:multiLevelType w:val="hybridMultilevel"/>
    <w:tmpl w:val="52D08C2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87D63E8"/>
    <w:multiLevelType w:val="hybridMultilevel"/>
    <w:tmpl w:val="2FB0EE06"/>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5" w15:restartNumberingAfterBreak="0">
    <w:nsid w:val="0A115935"/>
    <w:multiLevelType w:val="hybridMultilevel"/>
    <w:tmpl w:val="E69ED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156347"/>
    <w:multiLevelType w:val="hybridMultilevel"/>
    <w:tmpl w:val="D5385AD6"/>
    <w:lvl w:ilvl="0" w:tplc="0809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 w15:restartNumberingAfterBreak="0">
    <w:nsid w:val="0EE352F9"/>
    <w:multiLevelType w:val="hybridMultilevel"/>
    <w:tmpl w:val="A886C5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D21ECA"/>
    <w:multiLevelType w:val="hybridMultilevel"/>
    <w:tmpl w:val="52F63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9133C4"/>
    <w:multiLevelType w:val="hybridMultilevel"/>
    <w:tmpl w:val="46F458DE"/>
    <w:lvl w:ilvl="0" w:tplc="5526235A">
      <w:numFmt w:val="bullet"/>
      <w:lvlText w:val="-"/>
      <w:lvlJc w:val="left"/>
      <w:pPr>
        <w:ind w:left="720" w:hanging="360"/>
      </w:pPr>
      <w:rPr>
        <w:rFonts w:ascii="Arial Narrow" w:eastAsia="Times New Roman" w:hAnsi="Arial Narrow"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 w15:restartNumberingAfterBreak="0">
    <w:nsid w:val="11DF4938"/>
    <w:multiLevelType w:val="hybridMultilevel"/>
    <w:tmpl w:val="532C2C40"/>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11" w15:restartNumberingAfterBreak="0">
    <w:nsid w:val="165F6AF3"/>
    <w:multiLevelType w:val="hybridMultilevel"/>
    <w:tmpl w:val="7FBCE4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7E31C85"/>
    <w:multiLevelType w:val="hybridMultilevel"/>
    <w:tmpl w:val="A36CE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8511BFC"/>
    <w:multiLevelType w:val="hybridMultilevel"/>
    <w:tmpl w:val="64487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B33214"/>
    <w:multiLevelType w:val="hybridMultilevel"/>
    <w:tmpl w:val="C02AC626"/>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15" w15:restartNumberingAfterBreak="0">
    <w:nsid w:val="1A154319"/>
    <w:multiLevelType w:val="hybridMultilevel"/>
    <w:tmpl w:val="BA62F610"/>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16" w15:restartNumberingAfterBreak="0">
    <w:nsid w:val="21186099"/>
    <w:multiLevelType w:val="hybridMultilevel"/>
    <w:tmpl w:val="24820110"/>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17" w15:restartNumberingAfterBreak="0">
    <w:nsid w:val="22217CBB"/>
    <w:multiLevelType w:val="hybridMultilevel"/>
    <w:tmpl w:val="C2B2CA76"/>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18" w15:restartNumberingAfterBreak="0">
    <w:nsid w:val="26DD1A8C"/>
    <w:multiLevelType w:val="hybridMultilevel"/>
    <w:tmpl w:val="4B822FA2"/>
    <w:lvl w:ilvl="0" w:tplc="281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A1059F4"/>
    <w:multiLevelType w:val="hybridMultilevel"/>
    <w:tmpl w:val="5A68C0B2"/>
    <w:lvl w:ilvl="0" w:tplc="0C00BAF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E16EDDCA" w:tentative="1">
      <w:start w:val="1"/>
      <w:numFmt w:val="bullet"/>
      <w:lvlText w:val=""/>
      <w:lvlJc w:val="left"/>
      <w:pPr>
        <w:tabs>
          <w:tab w:val="num" w:pos="2160"/>
        </w:tabs>
        <w:ind w:left="2160" w:hanging="360"/>
      </w:pPr>
      <w:rPr>
        <w:rFonts w:ascii="Wingdings" w:hAnsi="Wingdings" w:hint="default"/>
      </w:rPr>
    </w:lvl>
    <w:lvl w:ilvl="3" w:tplc="2C3A2FB6" w:tentative="1">
      <w:start w:val="1"/>
      <w:numFmt w:val="bullet"/>
      <w:lvlText w:val=""/>
      <w:lvlJc w:val="left"/>
      <w:pPr>
        <w:tabs>
          <w:tab w:val="num" w:pos="2880"/>
        </w:tabs>
        <w:ind w:left="2880" w:hanging="360"/>
      </w:pPr>
      <w:rPr>
        <w:rFonts w:ascii="Wingdings" w:hAnsi="Wingdings" w:hint="default"/>
      </w:rPr>
    </w:lvl>
    <w:lvl w:ilvl="4" w:tplc="E766CE1E" w:tentative="1">
      <w:start w:val="1"/>
      <w:numFmt w:val="bullet"/>
      <w:lvlText w:val=""/>
      <w:lvlJc w:val="left"/>
      <w:pPr>
        <w:tabs>
          <w:tab w:val="num" w:pos="3600"/>
        </w:tabs>
        <w:ind w:left="3600" w:hanging="360"/>
      </w:pPr>
      <w:rPr>
        <w:rFonts w:ascii="Wingdings" w:hAnsi="Wingdings" w:hint="default"/>
      </w:rPr>
    </w:lvl>
    <w:lvl w:ilvl="5" w:tplc="D258F4F6" w:tentative="1">
      <w:start w:val="1"/>
      <w:numFmt w:val="bullet"/>
      <w:lvlText w:val=""/>
      <w:lvlJc w:val="left"/>
      <w:pPr>
        <w:tabs>
          <w:tab w:val="num" w:pos="4320"/>
        </w:tabs>
        <w:ind w:left="4320" w:hanging="360"/>
      </w:pPr>
      <w:rPr>
        <w:rFonts w:ascii="Wingdings" w:hAnsi="Wingdings" w:hint="default"/>
      </w:rPr>
    </w:lvl>
    <w:lvl w:ilvl="6" w:tplc="3F8C552A" w:tentative="1">
      <w:start w:val="1"/>
      <w:numFmt w:val="bullet"/>
      <w:lvlText w:val=""/>
      <w:lvlJc w:val="left"/>
      <w:pPr>
        <w:tabs>
          <w:tab w:val="num" w:pos="5040"/>
        </w:tabs>
        <w:ind w:left="5040" w:hanging="360"/>
      </w:pPr>
      <w:rPr>
        <w:rFonts w:ascii="Wingdings" w:hAnsi="Wingdings" w:hint="default"/>
      </w:rPr>
    </w:lvl>
    <w:lvl w:ilvl="7" w:tplc="AFD4FE5C" w:tentative="1">
      <w:start w:val="1"/>
      <w:numFmt w:val="bullet"/>
      <w:lvlText w:val=""/>
      <w:lvlJc w:val="left"/>
      <w:pPr>
        <w:tabs>
          <w:tab w:val="num" w:pos="5760"/>
        </w:tabs>
        <w:ind w:left="5760" w:hanging="360"/>
      </w:pPr>
      <w:rPr>
        <w:rFonts w:ascii="Wingdings" w:hAnsi="Wingdings" w:hint="default"/>
      </w:rPr>
    </w:lvl>
    <w:lvl w:ilvl="8" w:tplc="B814667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1E78AF"/>
    <w:multiLevelType w:val="hybridMultilevel"/>
    <w:tmpl w:val="2B222E9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2AD61ED4"/>
    <w:multiLevelType w:val="hybridMultilevel"/>
    <w:tmpl w:val="9F202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085FB9"/>
    <w:multiLevelType w:val="hybridMultilevel"/>
    <w:tmpl w:val="1E16B36E"/>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23" w15:restartNumberingAfterBreak="0">
    <w:nsid w:val="2E872E5E"/>
    <w:multiLevelType w:val="hybridMultilevel"/>
    <w:tmpl w:val="11BA5CC8"/>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24" w15:restartNumberingAfterBreak="0">
    <w:nsid w:val="2F0102B5"/>
    <w:multiLevelType w:val="hybridMultilevel"/>
    <w:tmpl w:val="4F3C4344"/>
    <w:lvl w:ilvl="0" w:tplc="D4C8BB2C">
      <w:start w:val="1"/>
      <w:numFmt w:val="decimal"/>
      <w:lvlText w:val="%1."/>
      <w:lvlJc w:val="left"/>
      <w:pPr>
        <w:ind w:left="720" w:hanging="360"/>
      </w:pPr>
      <w:rPr>
        <w:rFonts w:ascii="Times New Roman" w:hAnsi="Times New Roman" w:cs="Times New Roman"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BB57C1"/>
    <w:multiLevelType w:val="hybridMultilevel"/>
    <w:tmpl w:val="C42C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846CF1"/>
    <w:multiLevelType w:val="hybridMultilevel"/>
    <w:tmpl w:val="4E4E8796"/>
    <w:lvl w:ilvl="0" w:tplc="281A0001">
      <w:start w:val="1"/>
      <w:numFmt w:val="bullet"/>
      <w:lvlText w:val=""/>
      <w:lvlJc w:val="left"/>
      <w:pPr>
        <w:ind w:left="720" w:hanging="360"/>
      </w:pPr>
      <w:rPr>
        <w:rFonts w:ascii="Symbol" w:hAnsi="Symbol" w:hint="default"/>
      </w:rPr>
    </w:lvl>
    <w:lvl w:ilvl="1" w:tplc="281A0003">
      <w:start w:val="1"/>
      <w:numFmt w:val="bullet"/>
      <w:lvlText w:val="o"/>
      <w:lvlJc w:val="left"/>
      <w:pPr>
        <w:ind w:left="1440" w:hanging="360"/>
      </w:pPr>
      <w:rPr>
        <w:rFonts w:ascii="Courier New" w:hAnsi="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hint="default"/>
      </w:rPr>
    </w:lvl>
    <w:lvl w:ilvl="8" w:tplc="281A0005">
      <w:start w:val="1"/>
      <w:numFmt w:val="bullet"/>
      <w:lvlText w:val=""/>
      <w:lvlJc w:val="left"/>
      <w:pPr>
        <w:ind w:left="6480" w:hanging="360"/>
      </w:pPr>
      <w:rPr>
        <w:rFonts w:ascii="Wingdings" w:hAnsi="Wingdings" w:hint="default"/>
      </w:rPr>
    </w:lvl>
  </w:abstractNum>
  <w:abstractNum w:abstractNumId="27" w15:restartNumberingAfterBreak="0">
    <w:nsid w:val="3498667C"/>
    <w:multiLevelType w:val="hybridMultilevel"/>
    <w:tmpl w:val="5628C6C2"/>
    <w:lvl w:ilvl="0" w:tplc="5F303FD6">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15:restartNumberingAfterBreak="0">
    <w:nsid w:val="36B62B63"/>
    <w:multiLevelType w:val="hybridMultilevel"/>
    <w:tmpl w:val="82662340"/>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29" w15:restartNumberingAfterBreak="0">
    <w:nsid w:val="372D07A4"/>
    <w:multiLevelType w:val="hybridMultilevel"/>
    <w:tmpl w:val="1C7AC626"/>
    <w:lvl w:ilvl="0" w:tplc="35F8F8FC">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A784B67"/>
    <w:multiLevelType w:val="hybridMultilevel"/>
    <w:tmpl w:val="D6C4A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CE2B3A"/>
    <w:multiLevelType w:val="hybridMultilevel"/>
    <w:tmpl w:val="08AC0F92"/>
    <w:lvl w:ilvl="0" w:tplc="52026756">
      <w:start w:val="1"/>
      <w:numFmt w:val="bullet"/>
      <w:lvlText w:val=""/>
      <w:lvlJc w:val="left"/>
      <w:pPr>
        <w:ind w:left="720" w:hanging="360"/>
      </w:pPr>
      <w:rPr>
        <w:rFonts w:ascii="Symbol" w:hAnsi="Symbol" w:hint="default"/>
      </w:rPr>
    </w:lvl>
    <w:lvl w:ilvl="1" w:tplc="281A0003">
      <w:start w:val="1"/>
      <w:numFmt w:val="bullet"/>
      <w:lvlText w:val="o"/>
      <w:lvlJc w:val="left"/>
      <w:pPr>
        <w:ind w:left="1440" w:hanging="360"/>
      </w:pPr>
      <w:rPr>
        <w:rFonts w:ascii="Courier New" w:hAnsi="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hint="default"/>
      </w:rPr>
    </w:lvl>
    <w:lvl w:ilvl="8" w:tplc="281A0005">
      <w:start w:val="1"/>
      <w:numFmt w:val="bullet"/>
      <w:lvlText w:val=""/>
      <w:lvlJc w:val="left"/>
      <w:pPr>
        <w:ind w:left="6480" w:hanging="360"/>
      </w:pPr>
      <w:rPr>
        <w:rFonts w:ascii="Wingdings" w:hAnsi="Wingdings" w:hint="default"/>
      </w:rPr>
    </w:lvl>
  </w:abstractNum>
  <w:abstractNum w:abstractNumId="32" w15:restartNumberingAfterBreak="0">
    <w:nsid w:val="3EE929C4"/>
    <w:multiLevelType w:val="hybridMultilevel"/>
    <w:tmpl w:val="012AE062"/>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33" w15:restartNumberingAfterBreak="0">
    <w:nsid w:val="404E33DA"/>
    <w:multiLevelType w:val="hybridMultilevel"/>
    <w:tmpl w:val="E358645A"/>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34" w15:restartNumberingAfterBreak="0">
    <w:nsid w:val="43A85611"/>
    <w:multiLevelType w:val="multilevel"/>
    <w:tmpl w:val="18667D1A"/>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47EA1786"/>
    <w:multiLevelType w:val="hybridMultilevel"/>
    <w:tmpl w:val="24E86616"/>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36" w15:restartNumberingAfterBreak="0">
    <w:nsid w:val="4C047BD9"/>
    <w:multiLevelType w:val="hybridMultilevel"/>
    <w:tmpl w:val="0FF6A52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4F7342BC"/>
    <w:multiLevelType w:val="hybridMultilevel"/>
    <w:tmpl w:val="BAB67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4932E3"/>
    <w:multiLevelType w:val="hybridMultilevel"/>
    <w:tmpl w:val="BE5E9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391D75"/>
    <w:multiLevelType w:val="hybridMultilevel"/>
    <w:tmpl w:val="1B5ABDB8"/>
    <w:lvl w:ilvl="0" w:tplc="D7BCCF04">
      <w:start w:val="1"/>
      <w:numFmt w:val="decimal"/>
      <w:lvlText w:val="%1."/>
      <w:lvlJc w:val="left"/>
      <w:pPr>
        <w:ind w:left="720" w:hanging="360"/>
      </w:pPr>
      <w:rPr>
        <w:b w:val="0"/>
        <w:bCs/>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0" w15:restartNumberingAfterBreak="0">
    <w:nsid w:val="52A836F3"/>
    <w:multiLevelType w:val="hybridMultilevel"/>
    <w:tmpl w:val="5680D7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543B14BE"/>
    <w:multiLevelType w:val="hybridMultilevel"/>
    <w:tmpl w:val="FE0C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394634"/>
    <w:multiLevelType w:val="hybridMultilevel"/>
    <w:tmpl w:val="D24A03C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563C16DA"/>
    <w:multiLevelType w:val="hybridMultilevel"/>
    <w:tmpl w:val="DF4C2130"/>
    <w:lvl w:ilvl="0" w:tplc="281A0001">
      <w:start w:val="1"/>
      <w:numFmt w:val="bullet"/>
      <w:lvlText w:val=""/>
      <w:lvlJc w:val="left"/>
      <w:pPr>
        <w:ind w:left="720" w:hanging="360"/>
      </w:pPr>
      <w:rPr>
        <w:rFonts w:ascii="Symbol" w:hAnsi="Symbol" w:hint="default"/>
      </w:rPr>
    </w:lvl>
    <w:lvl w:ilvl="1" w:tplc="281A0003">
      <w:start w:val="1"/>
      <w:numFmt w:val="bullet"/>
      <w:lvlText w:val="o"/>
      <w:lvlJc w:val="left"/>
      <w:pPr>
        <w:ind w:left="1440" w:hanging="360"/>
      </w:pPr>
      <w:rPr>
        <w:rFonts w:ascii="Courier New" w:hAnsi="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hint="default"/>
      </w:rPr>
    </w:lvl>
    <w:lvl w:ilvl="8" w:tplc="281A0005">
      <w:start w:val="1"/>
      <w:numFmt w:val="bullet"/>
      <w:lvlText w:val=""/>
      <w:lvlJc w:val="left"/>
      <w:pPr>
        <w:ind w:left="6480" w:hanging="360"/>
      </w:pPr>
      <w:rPr>
        <w:rFonts w:ascii="Wingdings" w:hAnsi="Wingdings" w:hint="default"/>
      </w:rPr>
    </w:lvl>
  </w:abstractNum>
  <w:abstractNum w:abstractNumId="44" w15:restartNumberingAfterBreak="0">
    <w:nsid w:val="63A62A36"/>
    <w:multiLevelType w:val="multilevel"/>
    <w:tmpl w:val="0ED2E21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6AA808C7"/>
    <w:multiLevelType w:val="hybridMultilevel"/>
    <w:tmpl w:val="E43C82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6AB45576"/>
    <w:multiLevelType w:val="hybridMultilevel"/>
    <w:tmpl w:val="8B54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A0335A"/>
    <w:multiLevelType w:val="hybridMultilevel"/>
    <w:tmpl w:val="D398208C"/>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48" w15:restartNumberingAfterBreak="0">
    <w:nsid w:val="6C9B57B5"/>
    <w:multiLevelType w:val="hybridMultilevel"/>
    <w:tmpl w:val="1D64101E"/>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49" w15:restartNumberingAfterBreak="0">
    <w:nsid w:val="6CCB643C"/>
    <w:multiLevelType w:val="hybridMultilevel"/>
    <w:tmpl w:val="789C9954"/>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50" w15:restartNumberingAfterBreak="0">
    <w:nsid w:val="6CEB4C4E"/>
    <w:multiLevelType w:val="hybridMultilevel"/>
    <w:tmpl w:val="2E14FEA6"/>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51" w15:restartNumberingAfterBreak="0">
    <w:nsid w:val="6CF96719"/>
    <w:multiLevelType w:val="hybridMultilevel"/>
    <w:tmpl w:val="E5E4F1D6"/>
    <w:lvl w:ilvl="0" w:tplc="1EAC0D6A">
      <w:start w:val="2"/>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441DB9"/>
    <w:multiLevelType w:val="hybridMultilevel"/>
    <w:tmpl w:val="E30AA54A"/>
    <w:lvl w:ilvl="0" w:tplc="52026756">
      <w:start w:val="1"/>
      <w:numFmt w:val="bullet"/>
      <w:lvlText w:val=""/>
      <w:lvlJc w:val="left"/>
      <w:pPr>
        <w:ind w:left="720" w:hanging="360"/>
      </w:pPr>
      <w:rPr>
        <w:rFonts w:ascii="Symbol" w:hAnsi="Symbol" w:hint="default"/>
      </w:rPr>
    </w:lvl>
    <w:lvl w:ilvl="1" w:tplc="281A0003">
      <w:start w:val="1"/>
      <w:numFmt w:val="bullet"/>
      <w:lvlText w:val="o"/>
      <w:lvlJc w:val="left"/>
      <w:pPr>
        <w:ind w:left="1440" w:hanging="360"/>
      </w:pPr>
      <w:rPr>
        <w:rFonts w:ascii="Courier New" w:hAnsi="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hint="default"/>
      </w:rPr>
    </w:lvl>
    <w:lvl w:ilvl="8" w:tplc="281A0005">
      <w:start w:val="1"/>
      <w:numFmt w:val="bullet"/>
      <w:lvlText w:val=""/>
      <w:lvlJc w:val="left"/>
      <w:pPr>
        <w:ind w:left="6480" w:hanging="360"/>
      </w:pPr>
      <w:rPr>
        <w:rFonts w:ascii="Wingdings" w:hAnsi="Wingdings" w:hint="default"/>
      </w:rPr>
    </w:lvl>
  </w:abstractNum>
  <w:abstractNum w:abstractNumId="53" w15:restartNumberingAfterBreak="0">
    <w:nsid w:val="74A478F6"/>
    <w:multiLevelType w:val="hybridMultilevel"/>
    <w:tmpl w:val="90A6BDF0"/>
    <w:lvl w:ilvl="0" w:tplc="5526235A">
      <w:numFmt w:val="bullet"/>
      <w:lvlText w:val="-"/>
      <w:lvlJc w:val="left"/>
      <w:pPr>
        <w:ind w:left="720" w:hanging="360"/>
      </w:pPr>
      <w:rPr>
        <w:rFonts w:ascii="Arial Narrow" w:eastAsia="Times New Roman" w:hAnsi="Arial Narrow"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4" w15:restartNumberingAfterBreak="0">
    <w:nsid w:val="7561678F"/>
    <w:multiLevelType w:val="hybridMultilevel"/>
    <w:tmpl w:val="60DA051C"/>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55" w15:restartNumberingAfterBreak="0">
    <w:nsid w:val="75AB0498"/>
    <w:multiLevelType w:val="hybridMultilevel"/>
    <w:tmpl w:val="00169B3C"/>
    <w:lvl w:ilvl="0" w:tplc="DD2223D8">
      <w:start w:val="1"/>
      <w:numFmt w:val="bullet"/>
      <w:lvlText w:val=""/>
      <w:lvlJc w:val="left"/>
      <w:pPr>
        <w:ind w:left="1260" w:hanging="360"/>
      </w:pPr>
      <w:rPr>
        <w:rFonts w:ascii="Wingdings" w:hAnsi="Wingdings" w:hint="default"/>
        <w:b/>
        <w:color w:val="C0000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6" w15:restartNumberingAfterBreak="0">
    <w:nsid w:val="764B7617"/>
    <w:multiLevelType w:val="hybridMultilevel"/>
    <w:tmpl w:val="36EEC9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7BAA0D1C"/>
    <w:multiLevelType w:val="hybridMultilevel"/>
    <w:tmpl w:val="3F0ACC5A"/>
    <w:lvl w:ilvl="0" w:tplc="52026756">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8" w15:restartNumberingAfterBreak="0">
    <w:nsid w:val="7C227F47"/>
    <w:multiLevelType w:val="hybridMultilevel"/>
    <w:tmpl w:val="1BEA2B76"/>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59" w15:restartNumberingAfterBreak="0">
    <w:nsid w:val="7D591EB2"/>
    <w:multiLevelType w:val="hybridMultilevel"/>
    <w:tmpl w:val="9168AE06"/>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60" w15:restartNumberingAfterBreak="0">
    <w:nsid w:val="7DCF49C8"/>
    <w:multiLevelType w:val="hybridMultilevel"/>
    <w:tmpl w:val="8D743D1E"/>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61" w15:restartNumberingAfterBreak="0">
    <w:nsid w:val="7F2574D4"/>
    <w:multiLevelType w:val="hybridMultilevel"/>
    <w:tmpl w:val="5C42D4F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2" w15:restartNumberingAfterBreak="0">
    <w:nsid w:val="7F786C04"/>
    <w:multiLevelType w:val="hybridMultilevel"/>
    <w:tmpl w:val="401A87CE"/>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63" w15:restartNumberingAfterBreak="0">
    <w:nsid w:val="7FA001FF"/>
    <w:multiLevelType w:val="hybridMultilevel"/>
    <w:tmpl w:val="A5648D92"/>
    <w:lvl w:ilvl="0" w:tplc="0809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num w:numId="1">
    <w:abstractNumId w:val="56"/>
  </w:num>
  <w:num w:numId="2">
    <w:abstractNumId w:val="12"/>
  </w:num>
  <w:num w:numId="3">
    <w:abstractNumId w:val="26"/>
  </w:num>
  <w:num w:numId="4">
    <w:abstractNumId w:val="43"/>
  </w:num>
  <w:num w:numId="5">
    <w:abstractNumId w:val="34"/>
  </w:num>
  <w:num w:numId="6">
    <w:abstractNumId w:val="57"/>
  </w:num>
  <w:num w:numId="7">
    <w:abstractNumId w:val="25"/>
  </w:num>
  <w:num w:numId="8">
    <w:abstractNumId w:val="8"/>
  </w:num>
  <w:num w:numId="9">
    <w:abstractNumId w:val="19"/>
  </w:num>
  <w:num w:numId="10">
    <w:abstractNumId w:val="7"/>
  </w:num>
  <w:num w:numId="11">
    <w:abstractNumId w:val="30"/>
  </w:num>
  <w:num w:numId="12">
    <w:abstractNumId w:val="36"/>
  </w:num>
  <w:num w:numId="13">
    <w:abstractNumId w:val="3"/>
  </w:num>
  <w:num w:numId="14">
    <w:abstractNumId w:val="11"/>
  </w:num>
  <w:num w:numId="15">
    <w:abstractNumId w:val="42"/>
  </w:num>
  <w:num w:numId="16">
    <w:abstractNumId w:val="45"/>
  </w:num>
  <w:num w:numId="17">
    <w:abstractNumId w:val="39"/>
  </w:num>
  <w:num w:numId="18">
    <w:abstractNumId w:val="18"/>
  </w:num>
  <w:num w:numId="19">
    <w:abstractNumId w:val="53"/>
  </w:num>
  <w:num w:numId="20">
    <w:abstractNumId w:val="24"/>
  </w:num>
  <w:num w:numId="21">
    <w:abstractNumId w:val="2"/>
  </w:num>
  <w:num w:numId="22">
    <w:abstractNumId w:val="44"/>
  </w:num>
  <w:num w:numId="23">
    <w:abstractNumId w:val="5"/>
  </w:num>
  <w:num w:numId="24">
    <w:abstractNumId w:val="37"/>
  </w:num>
  <w:num w:numId="25">
    <w:abstractNumId w:val="61"/>
  </w:num>
  <w:num w:numId="26">
    <w:abstractNumId w:val="20"/>
  </w:num>
  <w:num w:numId="27">
    <w:abstractNumId w:val="38"/>
  </w:num>
  <w:num w:numId="28">
    <w:abstractNumId w:val="17"/>
  </w:num>
  <w:num w:numId="29">
    <w:abstractNumId w:val="49"/>
  </w:num>
  <w:num w:numId="30">
    <w:abstractNumId w:val="15"/>
  </w:num>
  <w:num w:numId="31">
    <w:abstractNumId w:val="50"/>
  </w:num>
  <w:num w:numId="32">
    <w:abstractNumId w:val="33"/>
  </w:num>
  <w:num w:numId="33">
    <w:abstractNumId w:val="22"/>
  </w:num>
  <w:num w:numId="34">
    <w:abstractNumId w:val="23"/>
  </w:num>
  <w:num w:numId="35">
    <w:abstractNumId w:val="14"/>
  </w:num>
  <w:num w:numId="36">
    <w:abstractNumId w:val="54"/>
  </w:num>
  <w:num w:numId="37">
    <w:abstractNumId w:val="62"/>
  </w:num>
  <w:num w:numId="38">
    <w:abstractNumId w:val="48"/>
  </w:num>
  <w:num w:numId="39">
    <w:abstractNumId w:val="59"/>
  </w:num>
  <w:num w:numId="40">
    <w:abstractNumId w:val="32"/>
  </w:num>
  <w:num w:numId="41">
    <w:abstractNumId w:val="4"/>
  </w:num>
  <w:num w:numId="42">
    <w:abstractNumId w:val="28"/>
  </w:num>
  <w:num w:numId="43">
    <w:abstractNumId w:val="35"/>
  </w:num>
  <w:num w:numId="44">
    <w:abstractNumId w:val="58"/>
  </w:num>
  <w:num w:numId="45">
    <w:abstractNumId w:val="47"/>
  </w:num>
  <w:num w:numId="46">
    <w:abstractNumId w:val="1"/>
  </w:num>
  <w:num w:numId="47">
    <w:abstractNumId w:val="60"/>
  </w:num>
  <w:num w:numId="48">
    <w:abstractNumId w:val="10"/>
  </w:num>
  <w:num w:numId="49">
    <w:abstractNumId w:val="16"/>
  </w:num>
  <w:num w:numId="50">
    <w:abstractNumId w:val="9"/>
  </w:num>
  <w:num w:numId="51">
    <w:abstractNumId w:val="55"/>
  </w:num>
  <w:num w:numId="52">
    <w:abstractNumId w:val="63"/>
  </w:num>
  <w:num w:numId="53">
    <w:abstractNumId w:val="6"/>
  </w:num>
  <w:num w:numId="54">
    <w:abstractNumId w:val="40"/>
  </w:num>
  <w:num w:numId="55">
    <w:abstractNumId w:val="31"/>
  </w:num>
  <w:num w:numId="56">
    <w:abstractNumId w:val="52"/>
  </w:num>
  <w:num w:numId="57">
    <w:abstractNumId w:val="29"/>
  </w:num>
  <w:num w:numId="58">
    <w:abstractNumId w:val="51"/>
  </w:num>
  <w:num w:numId="59">
    <w:abstractNumId w:val="21"/>
  </w:num>
  <w:num w:numId="60">
    <w:abstractNumId w:val="46"/>
  </w:num>
  <w:num w:numId="61">
    <w:abstractNumId w:val="13"/>
  </w:num>
  <w:num w:numId="62">
    <w:abstractNumId w:val="0"/>
  </w:num>
  <w:num w:numId="63">
    <w:abstractNumId w:val="27"/>
  </w:num>
  <w:num w:numId="64">
    <w:abstractNumId w:val="4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1CB"/>
    <w:rsid w:val="0000042C"/>
    <w:rsid w:val="00003BDE"/>
    <w:rsid w:val="00004A8B"/>
    <w:rsid w:val="000105B5"/>
    <w:rsid w:val="000132F3"/>
    <w:rsid w:val="00016285"/>
    <w:rsid w:val="00023DF9"/>
    <w:rsid w:val="0002559A"/>
    <w:rsid w:val="0002653D"/>
    <w:rsid w:val="00033E96"/>
    <w:rsid w:val="0003570C"/>
    <w:rsid w:val="00037EC7"/>
    <w:rsid w:val="000417A8"/>
    <w:rsid w:val="000430C7"/>
    <w:rsid w:val="00044E77"/>
    <w:rsid w:val="00046767"/>
    <w:rsid w:val="00052FDA"/>
    <w:rsid w:val="00053D4D"/>
    <w:rsid w:val="0006095C"/>
    <w:rsid w:val="00062887"/>
    <w:rsid w:val="000631D1"/>
    <w:rsid w:val="00065AE4"/>
    <w:rsid w:val="0006701A"/>
    <w:rsid w:val="000716BB"/>
    <w:rsid w:val="0007728C"/>
    <w:rsid w:val="0009117C"/>
    <w:rsid w:val="00096159"/>
    <w:rsid w:val="000A2297"/>
    <w:rsid w:val="000A2E5A"/>
    <w:rsid w:val="000A395B"/>
    <w:rsid w:val="000A440F"/>
    <w:rsid w:val="000A57EA"/>
    <w:rsid w:val="000A5942"/>
    <w:rsid w:val="000B22C0"/>
    <w:rsid w:val="000B39E3"/>
    <w:rsid w:val="000B55A7"/>
    <w:rsid w:val="000C6BCF"/>
    <w:rsid w:val="000C7FA0"/>
    <w:rsid w:val="000D2A69"/>
    <w:rsid w:val="000D3B62"/>
    <w:rsid w:val="000D75E7"/>
    <w:rsid w:val="000D7EF9"/>
    <w:rsid w:val="000E656E"/>
    <w:rsid w:val="000E6970"/>
    <w:rsid w:val="000F0299"/>
    <w:rsid w:val="000F6269"/>
    <w:rsid w:val="00101633"/>
    <w:rsid w:val="0010357F"/>
    <w:rsid w:val="00103C54"/>
    <w:rsid w:val="001044E9"/>
    <w:rsid w:val="00110BCC"/>
    <w:rsid w:val="001110FB"/>
    <w:rsid w:val="00111D23"/>
    <w:rsid w:val="00114F43"/>
    <w:rsid w:val="00115E98"/>
    <w:rsid w:val="001171A9"/>
    <w:rsid w:val="00121529"/>
    <w:rsid w:val="001245C2"/>
    <w:rsid w:val="00124FAC"/>
    <w:rsid w:val="00125849"/>
    <w:rsid w:val="00126665"/>
    <w:rsid w:val="001266B3"/>
    <w:rsid w:val="00126CAD"/>
    <w:rsid w:val="0012793E"/>
    <w:rsid w:val="00131B19"/>
    <w:rsid w:val="00134D13"/>
    <w:rsid w:val="00135806"/>
    <w:rsid w:val="00135FE6"/>
    <w:rsid w:val="001434A1"/>
    <w:rsid w:val="00150DFC"/>
    <w:rsid w:val="0015316D"/>
    <w:rsid w:val="00153E2B"/>
    <w:rsid w:val="00154673"/>
    <w:rsid w:val="00154A8D"/>
    <w:rsid w:val="00154F05"/>
    <w:rsid w:val="00160CC5"/>
    <w:rsid w:val="0016167A"/>
    <w:rsid w:val="001631CD"/>
    <w:rsid w:val="00163B00"/>
    <w:rsid w:val="00164337"/>
    <w:rsid w:val="00164787"/>
    <w:rsid w:val="00164DCB"/>
    <w:rsid w:val="00176A6B"/>
    <w:rsid w:val="0018183D"/>
    <w:rsid w:val="00187A3A"/>
    <w:rsid w:val="00196CBD"/>
    <w:rsid w:val="001A294C"/>
    <w:rsid w:val="001A478D"/>
    <w:rsid w:val="001B2E03"/>
    <w:rsid w:val="001B48E9"/>
    <w:rsid w:val="001B79FD"/>
    <w:rsid w:val="001C0914"/>
    <w:rsid w:val="001C2C57"/>
    <w:rsid w:val="001C30B7"/>
    <w:rsid w:val="001C32F0"/>
    <w:rsid w:val="001C664B"/>
    <w:rsid w:val="001C6827"/>
    <w:rsid w:val="001C6ABE"/>
    <w:rsid w:val="001C7FE0"/>
    <w:rsid w:val="001D2043"/>
    <w:rsid w:val="001D7C64"/>
    <w:rsid w:val="001E04F8"/>
    <w:rsid w:val="001E0653"/>
    <w:rsid w:val="001E1141"/>
    <w:rsid w:val="001E222E"/>
    <w:rsid w:val="001F49CA"/>
    <w:rsid w:val="0020383F"/>
    <w:rsid w:val="002058FB"/>
    <w:rsid w:val="002061AD"/>
    <w:rsid w:val="002073C5"/>
    <w:rsid w:val="0021052D"/>
    <w:rsid w:val="00215A61"/>
    <w:rsid w:val="002234A7"/>
    <w:rsid w:val="002309DC"/>
    <w:rsid w:val="002324BC"/>
    <w:rsid w:val="0023542A"/>
    <w:rsid w:val="0023676B"/>
    <w:rsid w:val="00241194"/>
    <w:rsid w:val="002427A8"/>
    <w:rsid w:val="00243E54"/>
    <w:rsid w:val="00243F3C"/>
    <w:rsid w:val="00244E7C"/>
    <w:rsid w:val="00245ECA"/>
    <w:rsid w:val="002464A6"/>
    <w:rsid w:val="00246E68"/>
    <w:rsid w:val="002479EE"/>
    <w:rsid w:val="00251E0D"/>
    <w:rsid w:val="00252FCF"/>
    <w:rsid w:val="00253BA8"/>
    <w:rsid w:val="002547C0"/>
    <w:rsid w:val="00254FE6"/>
    <w:rsid w:val="0025533D"/>
    <w:rsid w:val="002555EC"/>
    <w:rsid w:val="00255BB9"/>
    <w:rsid w:val="0025698F"/>
    <w:rsid w:val="00256FD1"/>
    <w:rsid w:val="002574D0"/>
    <w:rsid w:val="002618EB"/>
    <w:rsid w:val="0026273E"/>
    <w:rsid w:val="002644A0"/>
    <w:rsid w:val="0027396C"/>
    <w:rsid w:val="00274F01"/>
    <w:rsid w:val="00276586"/>
    <w:rsid w:val="00281418"/>
    <w:rsid w:val="00282852"/>
    <w:rsid w:val="0028402A"/>
    <w:rsid w:val="0028598B"/>
    <w:rsid w:val="00286713"/>
    <w:rsid w:val="00290EC6"/>
    <w:rsid w:val="00290FD8"/>
    <w:rsid w:val="00292D5C"/>
    <w:rsid w:val="0029542A"/>
    <w:rsid w:val="00295B06"/>
    <w:rsid w:val="002977D3"/>
    <w:rsid w:val="002A0B8A"/>
    <w:rsid w:val="002A63CA"/>
    <w:rsid w:val="002A7AD0"/>
    <w:rsid w:val="002B4D2B"/>
    <w:rsid w:val="002C67E3"/>
    <w:rsid w:val="002D0FBC"/>
    <w:rsid w:val="002D2854"/>
    <w:rsid w:val="002D31C6"/>
    <w:rsid w:val="002D7924"/>
    <w:rsid w:val="002E2802"/>
    <w:rsid w:val="002E5781"/>
    <w:rsid w:val="002F1B51"/>
    <w:rsid w:val="002F32C8"/>
    <w:rsid w:val="002F7582"/>
    <w:rsid w:val="002F7C60"/>
    <w:rsid w:val="00300920"/>
    <w:rsid w:val="003028A0"/>
    <w:rsid w:val="0031250A"/>
    <w:rsid w:val="0031363E"/>
    <w:rsid w:val="00314E9B"/>
    <w:rsid w:val="00315DF7"/>
    <w:rsid w:val="00316C57"/>
    <w:rsid w:val="00320156"/>
    <w:rsid w:val="00320F5E"/>
    <w:rsid w:val="00322979"/>
    <w:rsid w:val="00324DEC"/>
    <w:rsid w:val="00331A14"/>
    <w:rsid w:val="003449E5"/>
    <w:rsid w:val="00347C1C"/>
    <w:rsid w:val="00351859"/>
    <w:rsid w:val="00361074"/>
    <w:rsid w:val="003616D6"/>
    <w:rsid w:val="003641CB"/>
    <w:rsid w:val="00365B17"/>
    <w:rsid w:val="0036694A"/>
    <w:rsid w:val="0037189F"/>
    <w:rsid w:val="0037461F"/>
    <w:rsid w:val="00374B1E"/>
    <w:rsid w:val="00375789"/>
    <w:rsid w:val="0037733D"/>
    <w:rsid w:val="00382428"/>
    <w:rsid w:val="00382B65"/>
    <w:rsid w:val="00386684"/>
    <w:rsid w:val="0038711E"/>
    <w:rsid w:val="00390E82"/>
    <w:rsid w:val="00391ECD"/>
    <w:rsid w:val="00393BE2"/>
    <w:rsid w:val="003940E4"/>
    <w:rsid w:val="003A039D"/>
    <w:rsid w:val="003A411F"/>
    <w:rsid w:val="003B3B54"/>
    <w:rsid w:val="003B3F51"/>
    <w:rsid w:val="003B42FE"/>
    <w:rsid w:val="003B4615"/>
    <w:rsid w:val="003B4690"/>
    <w:rsid w:val="003B7753"/>
    <w:rsid w:val="003C0DA1"/>
    <w:rsid w:val="003C1100"/>
    <w:rsid w:val="003C13EF"/>
    <w:rsid w:val="003C3404"/>
    <w:rsid w:val="003C4A0D"/>
    <w:rsid w:val="003D2F02"/>
    <w:rsid w:val="003D38D9"/>
    <w:rsid w:val="003D3BC5"/>
    <w:rsid w:val="003D5E32"/>
    <w:rsid w:val="003E15D9"/>
    <w:rsid w:val="003F0CC2"/>
    <w:rsid w:val="003F3312"/>
    <w:rsid w:val="004122B8"/>
    <w:rsid w:val="004159D5"/>
    <w:rsid w:val="004203A0"/>
    <w:rsid w:val="0042076B"/>
    <w:rsid w:val="004252BF"/>
    <w:rsid w:val="004279F8"/>
    <w:rsid w:val="00431E97"/>
    <w:rsid w:val="0043200F"/>
    <w:rsid w:val="004324A0"/>
    <w:rsid w:val="00433570"/>
    <w:rsid w:val="00434116"/>
    <w:rsid w:val="0043548E"/>
    <w:rsid w:val="004355CA"/>
    <w:rsid w:val="0043621C"/>
    <w:rsid w:val="00440C1F"/>
    <w:rsid w:val="0044188C"/>
    <w:rsid w:val="00441BE2"/>
    <w:rsid w:val="004421D2"/>
    <w:rsid w:val="0044238D"/>
    <w:rsid w:val="0044461C"/>
    <w:rsid w:val="00445217"/>
    <w:rsid w:val="004546E7"/>
    <w:rsid w:val="004576B5"/>
    <w:rsid w:val="00462036"/>
    <w:rsid w:val="00462789"/>
    <w:rsid w:val="004627A6"/>
    <w:rsid w:val="0047387A"/>
    <w:rsid w:val="004801C9"/>
    <w:rsid w:val="00480E7D"/>
    <w:rsid w:val="00481855"/>
    <w:rsid w:val="00484D5C"/>
    <w:rsid w:val="00487D7F"/>
    <w:rsid w:val="00487FD1"/>
    <w:rsid w:val="004903A6"/>
    <w:rsid w:val="004917EA"/>
    <w:rsid w:val="004957C7"/>
    <w:rsid w:val="00497113"/>
    <w:rsid w:val="004A13F2"/>
    <w:rsid w:val="004A2DCD"/>
    <w:rsid w:val="004A318D"/>
    <w:rsid w:val="004A706E"/>
    <w:rsid w:val="004A7B8E"/>
    <w:rsid w:val="004B3EDF"/>
    <w:rsid w:val="004C0104"/>
    <w:rsid w:val="004C1AEB"/>
    <w:rsid w:val="004C1D2E"/>
    <w:rsid w:val="004C42D2"/>
    <w:rsid w:val="004C66DF"/>
    <w:rsid w:val="004C7377"/>
    <w:rsid w:val="004D2A19"/>
    <w:rsid w:val="004D2C37"/>
    <w:rsid w:val="004E6368"/>
    <w:rsid w:val="004E74E6"/>
    <w:rsid w:val="004E7AFD"/>
    <w:rsid w:val="004E7F09"/>
    <w:rsid w:val="004F210F"/>
    <w:rsid w:val="004F3884"/>
    <w:rsid w:val="004F38A6"/>
    <w:rsid w:val="004F4CB3"/>
    <w:rsid w:val="0050076B"/>
    <w:rsid w:val="005009DB"/>
    <w:rsid w:val="00500F9D"/>
    <w:rsid w:val="0050180D"/>
    <w:rsid w:val="0050604A"/>
    <w:rsid w:val="00511166"/>
    <w:rsid w:val="005128AA"/>
    <w:rsid w:val="0051533D"/>
    <w:rsid w:val="005219EE"/>
    <w:rsid w:val="00522701"/>
    <w:rsid w:val="00523424"/>
    <w:rsid w:val="00523F8B"/>
    <w:rsid w:val="005244C1"/>
    <w:rsid w:val="005247BD"/>
    <w:rsid w:val="00526363"/>
    <w:rsid w:val="0052658F"/>
    <w:rsid w:val="005274C3"/>
    <w:rsid w:val="00530F55"/>
    <w:rsid w:val="00531E12"/>
    <w:rsid w:val="005347D2"/>
    <w:rsid w:val="00537D7B"/>
    <w:rsid w:val="00543AE1"/>
    <w:rsid w:val="00543B19"/>
    <w:rsid w:val="00545D24"/>
    <w:rsid w:val="00550A51"/>
    <w:rsid w:val="005521B1"/>
    <w:rsid w:val="00557313"/>
    <w:rsid w:val="00561CFD"/>
    <w:rsid w:val="00564CC6"/>
    <w:rsid w:val="00565392"/>
    <w:rsid w:val="00566AFD"/>
    <w:rsid w:val="00570263"/>
    <w:rsid w:val="00571EB6"/>
    <w:rsid w:val="00574552"/>
    <w:rsid w:val="0057461D"/>
    <w:rsid w:val="005767A5"/>
    <w:rsid w:val="005802B8"/>
    <w:rsid w:val="00580DA5"/>
    <w:rsid w:val="005822B0"/>
    <w:rsid w:val="005856FA"/>
    <w:rsid w:val="00592528"/>
    <w:rsid w:val="00596DC5"/>
    <w:rsid w:val="005A1B6C"/>
    <w:rsid w:val="005A41CA"/>
    <w:rsid w:val="005A56DA"/>
    <w:rsid w:val="005A7779"/>
    <w:rsid w:val="005A7AD2"/>
    <w:rsid w:val="005B1C27"/>
    <w:rsid w:val="005C5CAB"/>
    <w:rsid w:val="005C6E93"/>
    <w:rsid w:val="005C7060"/>
    <w:rsid w:val="005D2E8D"/>
    <w:rsid w:val="005D6085"/>
    <w:rsid w:val="005D6690"/>
    <w:rsid w:val="005D7B50"/>
    <w:rsid w:val="005E14A3"/>
    <w:rsid w:val="005E1602"/>
    <w:rsid w:val="005E21C5"/>
    <w:rsid w:val="005E350A"/>
    <w:rsid w:val="005E5DCC"/>
    <w:rsid w:val="005E5FCB"/>
    <w:rsid w:val="005F3D81"/>
    <w:rsid w:val="005F3F29"/>
    <w:rsid w:val="005F4559"/>
    <w:rsid w:val="005F62A9"/>
    <w:rsid w:val="005F716F"/>
    <w:rsid w:val="00602DA9"/>
    <w:rsid w:val="00602F6D"/>
    <w:rsid w:val="00603443"/>
    <w:rsid w:val="00605261"/>
    <w:rsid w:val="00610613"/>
    <w:rsid w:val="00615118"/>
    <w:rsid w:val="00615F5E"/>
    <w:rsid w:val="00616FD0"/>
    <w:rsid w:val="00620C52"/>
    <w:rsid w:val="006232B6"/>
    <w:rsid w:val="00626C5A"/>
    <w:rsid w:val="00627323"/>
    <w:rsid w:val="00627DEF"/>
    <w:rsid w:val="00630D6E"/>
    <w:rsid w:val="00631B83"/>
    <w:rsid w:val="006325F1"/>
    <w:rsid w:val="00632CF6"/>
    <w:rsid w:val="00632F5B"/>
    <w:rsid w:val="0063616A"/>
    <w:rsid w:val="00641667"/>
    <w:rsid w:val="006423D2"/>
    <w:rsid w:val="00643483"/>
    <w:rsid w:val="00643DC4"/>
    <w:rsid w:val="006442E4"/>
    <w:rsid w:val="00646A7C"/>
    <w:rsid w:val="00651579"/>
    <w:rsid w:val="006534DF"/>
    <w:rsid w:val="006546FC"/>
    <w:rsid w:val="006602EF"/>
    <w:rsid w:val="00660D8E"/>
    <w:rsid w:val="006632B6"/>
    <w:rsid w:val="00664C71"/>
    <w:rsid w:val="00666A3F"/>
    <w:rsid w:val="00672D9F"/>
    <w:rsid w:val="006740AD"/>
    <w:rsid w:val="00674B08"/>
    <w:rsid w:val="00680BBA"/>
    <w:rsid w:val="0068146C"/>
    <w:rsid w:val="00684034"/>
    <w:rsid w:val="00684F2A"/>
    <w:rsid w:val="0068519F"/>
    <w:rsid w:val="006865AE"/>
    <w:rsid w:val="006873CC"/>
    <w:rsid w:val="006876AE"/>
    <w:rsid w:val="006900B1"/>
    <w:rsid w:val="00696BDB"/>
    <w:rsid w:val="00696CE9"/>
    <w:rsid w:val="006A1FB0"/>
    <w:rsid w:val="006A211E"/>
    <w:rsid w:val="006A23E3"/>
    <w:rsid w:val="006A3140"/>
    <w:rsid w:val="006A6B83"/>
    <w:rsid w:val="006A75EB"/>
    <w:rsid w:val="006B4305"/>
    <w:rsid w:val="006B78B4"/>
    <w:rsid w:val="006C0FCF"/>
    <w:rsid w:val="006C2DA7"/>
    <w:rsid w:val="006C3F49"/>
    <w:rsid w:val="006C481F"/>
    <w:rsid w:val="006D3202"/>
    <w:rsid w:val="006D3391"/>
    <w:rsid w:val="006E092F"/>
    <w:rsid w:val="006E109E"/>
    <w:rsid w:val="006E2A80"/>
    <w:rsid w:val="006E38BF"/>
    <w:rsid w:val="006E43E3"/>
    <w:rsid w:val="006E62E5"/>
    <w:rsid w:val="006F4D61"/>
    <w:rsid w:val="006F686E"/>
    <w:rsid w:val="006F6F97"/>
    <w:rsid w:val="006F75C8"/>
    <w:rsid w:val="006F766F"/>
    <w:rsid w:val="006F7A2B"/>
    <w:rsid w:val="00700062"/>
    <w:rsid w:val="0070164A"/>
    <w:rsid w:val="007029D1"/>
    <w:rsid w:val="00703583"/>
    <w:rsid w:val="0070535D"/>
    <w:rsid w:val="007179A3"/>
    <w:rsid w:val="007225B1"/>
    <w:rsid w:val="007230D5"/>
    <w:rsid w:val="00725146"/>
    <w:rsid w:val="00730079"/>
    <w:rsid w:val="00731B68"/>
    <w:rsid w:val="0073235F"/>
    <w:rsid w:val="00732E92"/>
    <w:rsid w:val="00733033"/>
    <w:rsid w:val="00741724"/>
    <w:rsid w:val="00755A3D"/>
    <w:rsid w:val="0075657E"/>
    <w:rsid w:val="00764BA8"/>
    <w:rsid w:val="0076639F"/>
    <w:rsid w:val="00772172"/>
    <w:rsid w:val="00774FE9"/>
    <w:rsid w:val="00780827"/>
    <w:rsid w:val="007845D2"/>
    <w:rsid w:val="00784B9B"/>
    <w:rsid w:val="007858AD"/>
    <w:rsid w:val="00785C41"/>
    <w:rsid w:val="007869BB"/>
    <w:rsid w:val="00787985"/>
    <w:rsid w:val="00787F1E"/>
    <w:rsid w:val="00791CEC"/>
    <w:rsid w:val="00795616"/>
    <w:rsid w:val="00797D36"/>
    <w:rsid w:val="00797D48"/>
    <w:rsid w:val="007A0CC3"/>
    <w:rsid w:val="007A0D76"/>
    <w:rsid w:val="007A12D3"/>
    <w:rsid w:val="007A15DD"/>
    <w:rsid w:val="007A4499"/>
    <w:rsid w:val="007A5C02"/>
    <w:rsid w:val="007B1A69"/>
    <w:rsid w:val="007B3049"/>
    <w:rsid w:val="007B38F6"/>
    <w:rsid w:val="007C0360"/>
    <w:rsid w:val="007C40C9"/>
    <w:rsid w:val="007C50C5"/>
    <w:rsid w:val="007C75EF"/>
    <w:rsid w:val="007D124D"/>
    <w:rsid w:val="007D1AB9"/>
    <w:rsid w:val="007D3B81"/>
    <w:rsid w:val="007D3CC9"/>
    <w:rsid w:val="007D6459"/>
    <w:rsid w:val="007E1398"/>
    <w:rsid w:val="007F0EFB"/>
    <w:rsid w:val="007F45F5"/>
    <w:rsid w:val="007F51E0"/>
    <w:rsid w:val="007F5DFF"/>
    <w:rsid w:val="007F6FB9"/>
    <w:rsid w:val="00804F60"/>
    <w:rsid w:val="0081607B"/>
    <w:rsid w:val="00817474"/>
    <w:rsid w:val="00821995"/>
    <w:rsid w:val="00822ADB"/>
    <w:rsid w:val="00825640"/>
    <w:rsid w:val="00827068"/>
    <w:rsid w:val="00830DDC"/>
    <w:rsid w:val="008327C1"/>
    <w:rsid w:val="00832E4F"/>
    <w:rsid w:val="00834649"/>
    <w:rsid w:val="008412BD"/>
    <w:rsid w:val="00841714"/>
    <w:rsid w:val="008434E4"/>
    <w:rsid w:val="008436CC"/>
    <w:rsid w:val="00843FFA"/>
    <w:rsid w:val="00845809"/>
    <w:rsid w:val="00851240"/>
    <w:rsid w:val="008513A1"/>
    <w:rsid w:val="00854F19"/>
    <w:rsid w:val="008633A8"/>
    <w:rsid w:val="00864D50"/>
    <w:rsid w:val="0086668F"/>
    <w:rsid w:val="00871CBF"/>
    <w:rsid w:val="00874FE7"/>
    <w:rsid w:val="008751D9"/>
    <w:rsid w:val="00876FFE"/>
    <w:rsid w:val="00877EF6"/>
    <w:rsid w:val="00882BE3"/>
    <w:rsid w:val="00885683"/>
    <w:rsid w:val="0088622E"/>
    <w:rsid w:val="0088671F"/>
    <w:rsid w:val="008915B6"/>
    <w:rsid w:val="00894BCD"/>
    <w:rsid w:val="008A5C60"/>
    <w:rsid w:val="008A7E64"/>
    <w:rsid w:val="008B3AAF"/>
    <w:rsid w:val="008B6676"/>
    <w:rsid w:val="008C0483"/>
    <w:rsid w:val="008C2C7B"/>
    <w:rsid w:val="008C7303"/>
    <w:rsid w:val="008C7AD9"/>
    <w:rsid w:val="008D0528"/>
    <w:rsid w:val="008D7607"/>
    <w:rsid w:val="008D7AAF"/>
    <w:rsid w:val="008D7DE2"/>
    <w:rsid w:val="008E12BD"/>
    <w:rsid w:val="008E3C08"/>
    <w:rsid w:val="008E4E3A"/>
    <w:rsid w:val="008E6ECC"/>
    <w:rsid w:val="008F1660"/>
    <w:rsid w:val="008F274D"/>
    <w:rsid w:val="008F36EC"/>
    <w:rsid w:val="008F3E2A"/>
    <w:rsid w:val="008F5665"/>
    <w:rsid w:val="00904B8B"/>
    <w:rsid w:val="0090746E"/>
    <w:rsid w:val="00907918"/>
    <w:rsid w:val="00910A03"/>
    <w:rsid w:val="00912B32"/>
    <w:rsid w:val="009131D4"/>
    <w:rsid w:val="0091541B"/>
    <w:rsid w:val="00916F72"/>
    <w:rsid w:val="00922300"/>
    <w:rsid w:val="0092295B"/>
    <w:rsid w:val="00922DA3"/>
    <w:rsid w:val="00924645"/>
    <w:rsid w:val="009300FD"/>
    <w:rsid w:val="009317CC"/>
    <w:rsid w:val="00932DEC"/>
    <w:rsid w:val="00935F88"/>
    <w:rsid w:val="00943F6F"/>
    <w:rsid w:val="00944812"/>
    <w:rsid w:val="00944F47"/>
    <w:rsid w:val="00946661"/>
    <w:rsid w:val="00952BF5"/>
    <w:rsid w:val="0095613A"/>
    <w:rsid w:val="009564B6"/>
    <w:rsid w:val="00956E14"/>
    <w:rsid w:val="0096115E"/>
    <w:rsid w:val="0096333F"/>
    <w:rsid w:val="00964DB6"/>
    <w:rsid w:val="00965F45"/>
    <w:rsid w:val="00966E04"/>
    <w:rsid w:val="00967988"/>
    <w:rsid w:val="009726E6"/>
    <w:rsid w:val="00973E51"/>
    <w:rsid w:val="00974ADC"/>
    <w:rsid w:val="0097515C"/>
    <w:rsid w:val="00975737"/>
    <w:rsid w:val="00985AA0"/>
    <w:rsid w:val="00990AD7"/>
    <w:rsid w:val="009940B4"/>
    <w:rsid w:val="00996C14"/>
    <w:rsid w:val="009A0BB6"/>
    <w:rsid w:val="009A13BB"/>
    <w:rsid w:val="009A46B6"/>
    <w:rsid w:val="009A471A"/>
    <w:rsid w:val="009A71B8"/>
    <w:rsid w:val="009B10ED"/>
    <w:rsid w:val="009B4AF3"/>
    <w:rsid w:val="009B7119"/>
    <w:rsid w:val="009B7301"/>
    <w:rsid w:val="009C14F3"/>
    <w:rsid w:val="009C5F38"/>
    <w:rsid w:val="009E21AC"/>
    <w:rsid w:val="009E2D21"/>
    <w:rsid w:val="009E50D2"/>
    <w:rsid w:val="009E60B2"/>
    <w:rsid w:val="009E6E95"/>
    <w:rsid w:val="009F3A55"/>
    <w:rsid w:val="009F44BF"/>
    <w:rsid w:val="009F5263"/>
    <w:rsid w:val="009F71B1"/>
    <w:rsid w:val="009F7EE9"/>
    <w:rsid w:val="00A0413E"/>
    <w:rsid w:val="00A079B5"/>
    <w:rsid w:val="00A12642"/>
    <w:rsid w:val="00A13937"/>
    <w:rsid w:val="00A228C6"/>
    <w:rsid w:val="00A23308"/>
    <w:rsid w:val="00A24DB2"/>
    <w:rsid w:val="00A2524D"/>
    <w:rsid w:val="00A260D9"/>
    <w:rsid w:val="00A26DBF"/>
    <w:rsid w:val="00A316FA"/>
    <w:rsid w:val="00A36B12"/>
    <w:rsid w:val="00A37BA5"/>
    <w:rsid w:val="00A43313"/>
    <w:rsid w:val="00A44A29"/>
    <w:rsid w:val="00A46D55"/>
    <w:rsid w:val="00A47702"/>
    <w:rsid w:val="00A50201"/>
    <w:rsid w:val="00A5080D"/>
    <w:rsid w:val="00A530E9"/>
    <w:rsid w:val="00A57F87"/>
    <w:rsid w:val="00A643FF"/>
    <w:rsid w:val="00A8339B"/>
    <w:rsid w:val="00A8651E"/>
    <w:rsid w:val="00A868C7"/>
    <w:rsid w:val="00A8707F"/>
    <w:rsid w:val="00A932F9"/>
    <w:rsid w:val="00A958B7"/>
    <w:rsid w:val="00AA0B58"/>
    <w:rsid w:val="00AA6340"/>
    <w:rsid w:val="00AB11CA"/>
    <w:rsid w:val="00AB3A68"/>
    <w:rsid w:val="00AB3AE4"/>
    <w:rsid w:val="00AC03F7"/>
    <w:rsid w:val="00AC2236"/>
    <w:rsid w:val="00AC365C"/>
    <w:rsid w:val="00AC60BF"/>
    <w:rsid w:val="00AC61A7"/>
    <w:rsid w:val="00AC64AE"/>
    <w:rsid w:val="00AC774E"/>
    <w:rsid w:val="00AD035D"/>
    <w:rsid w:val="00AD1814"/>
    <w:rsid w:val="00AD595E"/>
    <w:rsid w:val="00AD7D66"/>
    <w:rsid w:val="00AE0D70"/>
    <w:rsid w:val="00AE362A"/>
    <w:rsid w:val="00AE6044"/>
    <w:rsid w:val="00AE6E7E"/>
    <w:rsid w:val="00AE764A"/>
    <w:rsid w:val="00AE7F93"/>
    <w:rsid w:val="00AF0675"/>
    <w:rsid w:val="00AF42A7"/>
    <w:rsid w:val="00AF4397"/>
    <w:rsid w:val="00AF7DC3"/>
    <w:rsid w:val="00B03994"/>
    <w:rsid w:val="00B04863"/>
    <w:rsid w:val="00B1025C"/>
    <w:rsid w:val="00B10543"/>
    <w:rsid w:val="00B112E9"/>
    <w:rsid w:val="00B13B9B"/>
    <w:rsid w:val="00B14976"/>
    <w:rsid w:val="00B1535C"/>
    <w:rsid w:val="00B17818"/>
    <w:rsid w:val="00B1784C"/>
    <w:rsid w:val="00B228D6"/>
    <w:rsid w:val="00B24A15"/>
    <w:rsid w:val="00B26B84"/>
    <w:rsid w:val="00B322AE"/>
    <w:rsid w:val="00B33C37"/>
    <w:rsid w:val="00B40C7C"/>
    <w:rsid w:val="00B426A0"/>
    <w:rsid w:val="00B433D4"/>
    <w:rsid w:val="00B46F2F"/>
    <w:rsid w:val="00B5191E"/>
    <w:rsid w:val="00B52320"/>
    <w:rsid w:val="00B525EB"/>
    <w:rsid w:val="00B533E8"/>
    <w:rsid w:val="00B53B5C"/>
    <w:rsid w:val="00B54D81"/>
    <w:rsid w:val="00B56C3F"/>
    <w:rsid w:val="00B6517C"/>
    <w:rsid w:val="00B65195"/>
    <w:rsid w:val="00B66734"/>
    <w:rsid w:val="00B70F49"/>
    <w:rsid w:val="00B7281A"/>
    <w:rsid w:val="00B747BA"/>
    <w:rsid w:val="00B774F7"/>
    <w:rsid w:val="00B81461"/>
    <w:rsid w:val="00B902D9"/>
    <w:rsid w:val="00B9236B"/>
    <w:rsid w:val="00B92E7C"/>
    <w:rsid w:val="00B97D19"/>
    <w:rsid w:val="00BA512D"/>
    <w:rsid w:val="00BA5D28"/>
    <w:rsid w:val="00BA5F61"/>
    <w:rsid w:val="00BA68DD"/>
    <w:rsid w:val="00BA74A4"/>
    <w:rsid w:val="00BB094F"/>
    <w:rsid w:val="00BB1C3D"/>
    <w:rsid w:val="00BB3335"/>
    <w:rsid w:val="00BB3E31"/>
    <w:rsid w:val="00BB4852"/>
    <w:rsid w:val="00BB48C1"/>
    <w:rsid w:val="00BC0E52"/>
    <w:rsid w:val="00BC284C"/>
    <w:rsid w:val="00BC2EBD"/>
    <w:rsid w:val="00BC55F6"/>
    <w:rsid w:val="00BD41F6"/>
    <w:rsid w:val="00BD4651"/>
    <w:rsid w:val="00BD6638"/>
    <w:rsid w:val="00BE0973"/>
    <w:rsid w:val="00BE55B6"/>
    <w:rsid w:val="00BF0D91"/>
    <w:rsid w:val="00BF2CA5"/>
    <w:rsid w:val="00BF2D3A"/>
    <w:rsid w:val="00BF3F95"/>
    <w:rsid w:val="00BF62DF"/>
    <w:rsid w:val="00BF755C"/>
    <w:rsid w:val="00C013C7"/>
    <w:rsid w:val="00C02BF5"/>
    <w:rsid w:val="00C07375"/>
    <w:rsid w:val="00C1128E"/>
    <w:rsid w:val="00C115CD"/>
    <w:rsid w:val="00C116B3"/>
    <w:rsid w:val="00C12515"/>
    <w:rsid w:val="00C152CF"/>
    <w:rsid w:val="00C155BA"/>
    <w:rsid w:val="00C15EEA"/>
    <w:rsid w:val="00C16143"/>
    <w:rsid w:val="00C214E4"/>
    <w:rsid w:val="00C221F5"/>
    <w:rsid w:val="00C22353"/>
    <w:rsid w:val="00C2446B"/>
    <w:rsid w:val="00C32EBA"/>
    <w:rsid w:val="00C34327"/>
    <w:rsid w:val="00C40B68"/>
    <w:rsid w:val="00C45368"/>
    <w:rsid w:val="00C45D63"/>
    <w:rsid w:val="00C472E4"/>
    <w:rsid w:val="00C47C15"/>
    <w:rsid w:val="00C513B0"/>
    <w:rsid w:val="00C5150E"/>
    <w:rsid w:val="00C57B4C"/>
    <w:rsid w:val="00C60F06"/>
    <w:rsid w:val="00C60FCD"/>
    <w:rsid w:val="00C61A4C"/>
    <w:rsid w:val="00C62CA6"/>
    <w:rsid w:val="00C63B8F"/>
    <w:rsid w:val="00C6757A"/>
    <w:rsid w:val="00C67B0B"/>
    <w:rsid w:val="00C70A6E"/>
    <w:rsid w:val="00C70BB3"/>
    <w:rsid w:val="00C729BA"/>
    <w:rsid w:val="00C73175"/>
    <w:rsid w:val="00C77011"/>
    <w:rsid w:val="00C7701B"/>
    <w:rsid w:val="00C8125F"/>
    <w:rsid w:val="00C82BE4"/>
    <w:rsid w:val="00C83141"/>
    <w:rsid w:val="00C87B73"/>
    <w:rsid w:val="00C87E78"/>
    <w:rsid w:val="00C913CD"/>
    <w:rsid w:val="00C93D29"/>
    <w:rsid w:val="00CB1AD5"/>
    <w:rsid w:val="00CB30AD"/>
    <w:rsid w:val="00CB5180"/>
    <w:rsid w:val="00CC27EF"/>
    <w:rsid w:val="00CC370D"/>
    <w:rsid w:val="00CD07E7"/>
    <w:rsid w:val="00CD2C12"/>
    <w:rsid w:val="00CD65F7"/>
    <w:rsid w:val="00CE0D1A"/>
    <w:rsid w:val="00CE2DD2"/>
    <w:rsid w:val="00CE3871"/>
    <w:rsid w:val="00CE52CB"/>
    <w:rsid w:val="00CE604A"/>
    <w:rsid w:val="00CE6AC1"/>
    <w:rsid w:val="00CE6E51"/>
    <w:rsid w:val="00CF10A0"/>
    <w:rsid w:val="00CF2425"/>
    <w:rsid w:val="00CF3BC9"/>
    <w:rsid w:val="00CF401A"/>
    <w:rsid w:val="00CF4056"/>
    <w:rsid w:val="00D00C27"/>
    <w:rsid w:val="00D04150"/>
    <w:rsid w:val="00D050B4"/>
    <w:rsid w:val="00D15CA0"/>
    <w:rsid w:val="00D220E9"/>
    <w:rsid w:val="00D22827"/>
    <w:rsid w:val="00D22BF3"/>
    <w:rsid w:val="00D3094F"/>
    <w:rsid w:val="00D31937"/>
    <w:rsid w:val="00D321E8"/>
    <w:rsid w:val="00D324C8"/>
    <w:rsid w:val="00D341C9"/>
    <w:rsid w:val="00D35161"/>
    <w:rsid w:val="00D370E9"/>
    <w:rsid w:val="00D4266E"/>
    <w:rsid w:val="00D43E6D"/>
    <w:rsid w:val="00D4464B"/>
    <w:rsid w:val="00D44BCB"/>
    <w:rsid w:val="00D46CEE"/>
    <w:rsid w:val="00D47E04"/>
    <w:rsid w:val="00D579C3"/>
    <w:rsid w:val="00D638FA"/>
    <w:rsid w:val="00D64763"/>
    <w:rsid w:val="00D67573"/>
    <w:rsid w:val="00D74359"/>
    <w:rsid w:val="00D75109"/>
    <w:rsid w:val="00D778E0"/>
    <w:rsid w:val="00D77F70"/>
    <w:rsid w:val="00D80281"/>
    <w:rsid w:val="00D81D5B"/>
    <w:rsid w:val="00D81F46"/>
    <w:rsid w:val="00D82BF5"/>
    <w:rsid w:val="00D8637F"/>
    <w:rsid w:val="00D912DB"/>
    <w:rsid w:val="00D94B8C"/>
    <w:rsid w:val="00D958ED"/>
    <w:rsid w:val="00DA1E06"/>
    <w:rsid w:val="00DA2C61"/>
    <w:rsid w:val="00DA2F41"/>
    <w:rsid w:val="00DA36E1"/>
    <w:rsid w:val="00DA4C37"/>
    <w:rsid w:val="00DA6570"/>
    <w:rsid w:val="00DA6BE3"/>
    <w:rsid w:val="00DB0212"/>
    <w:rsid w:val="00DB5379"/>
    <w:rsid w:val="00DB6930"/>
    <w:rsid w:val="00DD2C38"/>
    <w:rsid w:val="00DD5A48"/>
    <w:rsid w:val="00DE28E5"/>
    <w:rsid w:val="00DF1632"/>
    <w:rsid w:val="00DF2530"/>
    <w:rsid w:val="00DF2C67"/>
    <w:rsid w:val="00DF3441"/>
    <w:rsid w:val="00E002E4"/>
    <w:rsid w:val="00E01956"/>
    <w:rsid w:val="00E03F91"/>
    <w:rsid w:val="00E04F08"/>
    <w:rsid w:val="00E11DAD"/>
    <w:rsid w:val="00E122F0"/>
    <w:rsid w:val="00E13963"/>
    <w:rsid w:val="00E2152B"/>
    <w:rsid w:val="00E22FCF"/>
    <w:rsid w:val="00E30CA1"/>
    <w:rsid w:val="00E350B6"/>
    <w:rsid w:val="00E358D7"/>
    <w:rsid w:val="00E400F4"/>
    <w:rsid w:val="00E41868"/>
    <w:rsid w:val="00E42A9B"/>
    <w:rsid w:val="00E42F4B"/>
    <w:rsid w:val="00E444D9"/>
    <w:rsid w:val="00E56446"/>
    <w:rsid w:val="00E573C0"/>
    <w:rsid w:val="00E57949"/>
    <w:rsid w:val="00E57977"/>
    <w:rsid w:val="00E62A1A"/>
    <w:rsid w:val="00E648E3"/>
    <w:rsid w:val="00E6492A"/>
    <w:rsid w:val="00E67400"/>
    <w:rsid w:val="00E706E9"/>
    <w:rsid w:val="00E70C9F"/>
    <w:rsid w:val="00E72FC1"/>
    <w:rsid w:val="00E74A3F"/>
    <w:rsid w:val="00E75B34"/>
    <w:rsid w:val="00E83514"/>
    <w:rsid w:val="00E838A3"/>
    <w:rsid w:val="00E86E95"/>
    <w:rsid w:val="00E904BC"/>
    <w:rsid w:val="00E92E01"/>
    <w:rsid w:val="00E94691"/>
    <w:rsid w:val="00E95945"/>
    <w:rsid w:val="00E96E1B"/>
    <w:rsid w:val="00E9787B"/>
    <w:rsid w:val="00E97C57"/>
    <w:rsid w:val="00EA0812"/>
    <w:rsid w:val="00EA509E"/>
    <w:rsid w:val="00EB01CF"/>
    <w:rsid w:val="00EB1385"/>
    <w:rsid w:val="00EB1CF4"/>
    <w:rsid w:val="00EB58E8"/>
    <w:rsid w:val="00EB5EB9"/>
    <w:rsid w:val="00EB61A8"/>
    <w:rsid w:val="00EB6903"/>
    <w:rsid w:val="00EC126F"/>
    <w:rsid w:val="00EC25EC"/>
    <w:rsid w:val="00EC3C52"/>
    <w:rsid w:val="00EC3C69"/>
    <w:rsid w:val="00EC63D7"/>
    <w:rsid w:val="00EE3DFC"/>
    <w:rsid w:val="00EE5DFF"/>
    <w:rsid w:val="00EE5F09"/>
    <w:rsid w:val="00EF2E25"/>
    <w:rsid w:val="00F078CB"/>
    <w:rsid w:val="00F10FF7"/>
    <w:rsid w:val="00F114A9"/>
    <w:rsid w:val="00F1161A"/>
    <w:rsid w:val="00F12F57"/>
    <w:rsid w:val="00F17C18"/>
    <w:rsid w:val="00F20BCC"/>
    <w:rsid w:val="00F2272E"/>
    <w:rsid w:val="00F22E7E"/>
    <w:rsid w:val="00F247AF"/>
    <w:rsid w:val="00F25C19"/>
    <w:rsid w:val="00F30448"/>
    <w:rsid w:val="00F4089D"/>
    <w:rsid w:val="00F45098"/>
    <w:rsid w:val="00F47F65"/>
    <w:rsid w:val="00F5237F"/>
    <w:rsid w:val="00F57B16"/>
    <w:rsid w:val="00F6237D"/>
    <w:rsid w:val="00F631C3"/>
    <w:rsid w:val="00F6402A"/>
    <w:rsid w:val="00F64BC5"/>
    <w:rsid w:val="00F66DB6"/>
    <w:rsid w:val="00F679C7"/>
    <w:rsid w:val="00F764DD"/>
    <w:rsid w:val="00F76E6F"/>
    <w:rsid w:val="00F803A1"/>
    <w:rsid w:val="00F810D4"/>
    <w:rsid w:val="00F8286F"/>
    <w:rsid w:val="00F839F1"/>
    <w:rsid w:val="00F8426C"/>
    <w:rsid w:val="00F85370"/>
    <w:rsid w:val="00F926EA"/>
    <w:rsid w:val="00F92C06"/>
    <w:rsid w:val="00F971DA"/>
    <w:rsid w:val="00FA07C2"/>
    <w:rsid w:val="00FA3F7F"/>
    <w:rsid w:val="00FA7EEF"/>
    <w:rsid w:val="00FB0303"/>
    <w:rsid w:val="00FB0E7C"/>
    <w:rsid w:val="00FB5547"/>
    <w:rsid w:val="00FC6850"/>
    <w:rsid w:val="00FD419E"/>
    <w:rsid w:val="00FD628D"/>
    <w:rsid w:val="00FF1DE2"/>
    <w:rsid w:val="00FF2C3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78C16"/>
  <w15:chartTrackingRefBased/>
  <w15:docId w15:val="{8C4E21B0-9999-4FBD-A7A9-159028618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37F"/>
    <w:pPr>
      <w:suppressAutoHyphens/>
      <w:autoSpaceDN w:val="0"/>
      <w:spacing w:before="120" w:after="60" w:line="240" w:lineRule="auto"/>
      <w:ind w:firstLine="357"/>
      <w:jc w:val="both"/>
      <w:textAlignment w:val="baseline"/>
    </w:pPr>
    <w:rPr>
      <w:rFonts w:ascii="Times New Roman" w:eastAsia="DejaVu Sans Mono" w:hAnsi="Times New Roman" w:cs="Times New Roman"/>
      <w:kern w:val="3"/>
      <w:sz w:val="24"/>
      <w:szCs w:val="24"/>
      <w:lang w:val="sr-Cyrl-RS" w:eastAsia="zh-CN" w:bidi="hi-IN"/>
    </w:rPr>
  </w:style>
  <w:style w:type="paragraph" w:styleId="Heading1">
    <w:name w:val="heading 1"/>
    <w:basedOn w:val="Normal"/>
    <w:next w:val="Normal"/>
    <w:link w:val="Heading1Char"/>
    <w:uiPriority w:val="9"/>
    <w:qFormat/>
    <w:rsid w:val="007A0CC3"/>
    <w:pPr>
      <w:keepNext/>
      <w:keepLines/>
      <w:spacing w:after="240" w:line="257" w:lineRule="auto"/>
      <w:ind w:firstLine="0"/>
      <w:jc w:val="left"/>
      <w:outlineLvl w:val="0"/>
    </w:pPr>
    <w:rPr>
      <w:rFonts w:eastAsiaTheme="majorEastAsia" w:cstheme="majorBidi"/>
      <w:color w:val="2F5496" w:themeColor="accent1" w:themeShade="BF"/>
      <w:sz w:val="40"/>
      <w:szCs w:val="32"/>
      <w:lang w:val="en-US"/>
    </w:rPr>
  </w:style>
  <w:style w:type="paragraph" w:styleId="Heading2">
    <w:name w:val="heading 2"/>
    <w:basedOn w:val="Normal"/>
    <w:next w:val="Normal"/>
    <w:link w:val="Heading2Char"/>
    <w:uiPriority w:val="9"/>
    <w:unhideWhenUsed/>
    <w:qFormat/>
    <w:rsid w:val="000716BB"/>
    <w:pPr>
      <w:keepNext/>
      <w:keepLines/>
      <w:spacing w:before="360" w:line="257" w:lineRule="auto"/>
      <w:ind w:firstLine="0"/>
      <w:outlineLvl w:val="1"/>
    </w:pPr>
    <w:rPr>
      <w:rFonts w:eastAsiaTheme="majorEastAsia" w:cstheme="majorBidi"/>
      <w:color w:val="2F5496" w:themeColor="accent1" w:themeShade="BF"/>
      <w:sz w:val="32"/>
      <w:szCs w:val="26"/>
      <w:lang w:val="en-US"/>
    </w:rPr>
  </w:style>
  <w:style w:type="paragraph" w:styleId="Heading3">
    <w:name w:val="heading 3"/>
    <w:basedOn w:val="Normal"/>
    <w:next w:val="Normal"/>
    <w:link w:val="Heading3Char"/>
    <w:uiPriority w:val="9"/>
    <w:unhideWhenUsed/>
    <w:qFormat/>
    <w:rsid w:val="000716BB"/>
    <w:pPr>
      <w:keepNext/>
      <w:keepLines/>
      <w:spacing w:before="240" w:after="120"/>
      <w:ind w:firstLine="0"/>
      <w:outlineLvl w:val="2"/>
    </w:pPr>
    <w:rPr>
      <w:rFonts w:eastAsiaTheme="majorEastAsia" w:cstheme="majorBidi"/>
      <w:color w:val="4472C4" w:themeColor="accent1"/>
      <w:sz w:val="28"/>
      <w:lang w:val="de-DE"/>
    </w:rPr>
  </w:style>
  <w:style w:type="paragraph" w:styleId="Heading4">
    <w:name w:val="heading 4"/>
    <w:basedOn w:val="Normal"/>
    <w:next w:val="Normal"/>
    <w:link w:val="Heading4Char"/>
    <w:uiPriority w:val="9"/>
    <w:unhideWhenUsed/>
    <w:qFormat/>
    <w:rsid w:val="00C013C7"/>
    <w:pPr>
      <w:keepNext/>
      <w:keepLines/>
      <w:spacing w:before="240"/>
      <w:ind w:firstLine="0"/>
      <w:outlineLvl w:val="3"/>
    </w:pPr>
    <w:rPr>
      <w:rFonts w:eastAsiaTheme="minorHAnsi" w:cstheme="majorBidi"/>
      <w:i/>
      <w:iCs/>
      <w:color w:val="2F5496" w:themeColor="accent1" w:themeShade="BF"/>
      <w:lang w:val="de-DE" w:eastAsia="en-US" w:bidi="ar-SA"/>
    </w:rPr>
  </w:style>
  <w:style w:type="paragraph" w:styleId="Heading5">
    <w:name w:val="heading 5"/>
    <w:basedOn w:val="Normal"/>
    <w:next w:val="Normal"/>
    <w:link w:val="Heading5Char"/>
    <w:uiPriority w:val="9"/>
    <w:unhideWhenUsed/>
    <w:qFormat/>
    <w:rsid w:val="00E75B34"/>
    <w:pPr>
      <w:keepNext/>
      <w:keepLines/>
      <w:spacing w:after="120"/>
      <w:ind w:firstLine="0"/>
      <w:outlineLvl w:val="4"/>
    </w:pPr>
    <w:rPr>
      <w:rFonts w:eastAsiaTheme="majorEastAsia" w:cstheme="majorBidi"/>
      <w:color w:val="44546A" w:themeColor="text2"/>
      <w:lang w:val="en-GB" w:eastAsia="en-GB"/>
    </w:rPr>
  </w:style>
  <w:style w:type="paragraph" w:styleId="Heading6">
    <w:name w:val="heading 6"/>
    <w:basedOn w:val="Normal"/>
    <w:next w:val="Normal"/>
    <w:link w:val="Heading6Char"/>
    <w:uiPriority w:val="9"/>
    <w:semiHidden/>
    <w:unhideWhenUsed/>
    <w:qFormat/>
    <w:rsid w:val="00441BE2"/>
    <w:pPr>
      <w:keepNext/>
      <w:keepLines/>
      <w:spacing w:before="40" w:after="0" w:line="264" w:lineRule="auto"/>
      <w:outlineLvl w:val="5"/>
    </w:pPr>
    <w:rPr>
      <w:rFonts w:asciiTheme="majorHAnsi" w:eastAsiaTheme="majorEastAsia" w:hAnsiTheme="majorHAnsi" w:cstheme="majorBidi"/>
      <w:i/>
      <w:iCs/>
      <w:color w:val="44546A" w:themeColor="text2"/>
      <w:sz w:val="21"/>
      <w:szCs w:val="21"/>
      <w:lang w:val="en-GB" w:eastAsia="en-GB"/>
    </w:rPr>
  </w:style>
  <w:style w:type="paragraph" w:styleId="Heading7">
    <w:name w:val="heading 7"/>
    <w:basedOn w:val="Normal"/>
    <w:next w:val="Normal"/>
    <w:link w:val="Heading7Char"/>
    <w:uiPriority w:val="9"/>
    <w:semiHidden/>
    <w:unhideWhenUsed/>
    <w:qFormat/>
    <w:rsid w:val="00441BE2"/>
    <w:pPr>
      <w:keepNext/>
      <w:keepLines/>
      <w:spacing w:before="40" w:after="0" w:line="264" w:lineRule="auto"/>
      <w:outlineLvl w:val="6"/>
    </w:pPr>
    <w:rPr>
      <w:rFonts w:asciiTheme="majorHAnsi" w:eastAsiaTheme="majorEastAsia" w:hAnsiTheme="majorHAnsi" w:cstheme="majorBidi"/>
      <w:i/>
      <w:iCs/>
      <w:color w:val="1F3864" w:themeColor="accent1" w:themeShade="80"/>
      <w:sz w:val="21"/>
      <w:szCs w:val="21"/>
      <w:lang w:val="en-GB" w:eastAsia="en-GB"/>
    </w:rPr>
  </w:style>
  <w:style w:type="paragraph" w:styleId="Heading8">
    <w:name w:val="heading 8"/>
    <w:basedOn w:val="Normal"/>
    <w:next w:val="Normal"/>
    <w:link w:val="Heading8Char"/>
    <w:uiPriority w:val="9"/>
    <w:semiHidden/>
    <w:unhideWhenUsed/>
    <w:qFormat/>
    <w:rsid w:val="00441BE2"/>
    <w:pPr>
      <w:keepNext/>
      <w:keepLines/>
      <w:spacing w:before="40" w:after="0" w:line="264" w:lineRule="auto"/>
      <w:outlineLvl w:val="7"/>
    </w:pPr>
    <w:rPr>
      <w:rFonts w:asciiTheme="majorHAnsi" w:eastAsiaTheme="majorEastAsia" w:hAnsiTheme="majorHAnsi" w:cstheme="majorBidi"/>
      <w:b/>
      <w:bCs/>
      <w:color w:val="44546A" w:themeColor="text2"/>
      <w:sz w:val="20"/>
      <w:szCs w:val="20"/>
      <w:lang w:val="en-GB" w:eastAsia="en-GB"/>
    </w:rPr>
  </w:style>
  <w:style w:type="paragraph" w:styleId="Heading9">
    <w:name w:val="heading 9"/>
    <w:basedOn w:val="Normal"/>
    <w:next w:val="Normal"/>
    <w:link w:val="Heading9Char"/>
    <w:uiPriority w:val="9"/>
    <w:semiHidden/>
    <w:unhideWhenUsed/>
    <w:qFormat/>
    <w:rsid w:val="00441BE2"/>
    <w:pPr>
      <w:keepNext/>
      <w:keepLines/>
      <w:spacing w:before="40" w:after="0" w:line="264" w:lineRule="auto"/>
      <w:outlineLvl w:val="8"/>
    </w:pPr>
    <w:rPr>
      <w:rFonts w:asciiTheme="majorHAnsi" w:eastAsiaTheme="majorEastAsia" w:hAnsiTheme="majorHAnsi" w:cstheme="majorBidi"/>
      <w:b/>
      <w:bCs/>
      <w:i/>
      <w:iCs/>
      <w:color w:val="44546A" w:themeColor="text2"/>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41C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641CB"/>
    <w:rPr>
      <w:rFonts w:eastAsiaTheme="minorEastAsia"/>
      <w:lang w:val="en-US"/>
    </w:rPr>
  </w:style>
  <w:style w:type="character" w:customStyle="1" w:styleId="Heading1Char">
    <w:name w:val="Heading 1 Char"/>
    <w:basedOn w:val="DefaultParagraphFont"/>
    <w:link w:val="Heading1"/>
    <w:uiPriority w:val="9"/>
    <w:rsid w:val="007A0CC3"/>
    <w:rPr>
      <w:rFonts w:ascii="Times New Roman" w:eastAsiaTheme="majorEastAsia" w:hAnsi="Times New Roman" w:cstheme="majorBidi"/>
      <w:color w:val="2F5496" w:themeColor="accent1" w:themeShade="BF"/>
      <w:kern w:val="3"/>
      <w:sz w:val="40"/>
      <w:szCs w:val="32"/>
      <w:lang w:val="en-US" w:eastAsia="zh-CN" w:bidi="hi-IN"/>
    </w:rPr>
  </w:style>
  <w:style w:type="character" w:customStyle="1" w:styleId="Heading2Char">
    <w:name w:val="Heading 2 Char"/>
    <w:basedOn w:val="DefaultParagraphFont"/>
    <w:link w:val="Heading2"/>
    <w:uiPriority w:val="9"/>
    <w:qFormat/>
    <w:rsid w:val="000716BB"/>
    <w:rPr>
      <w:rFonts w:ascii="Times New Roman" w:eastAsiaTheme="majorEastAsia" w:hAnsi="Times New Roman" w:cstheme="majorBidi"/>
      <w:color w:val="2F5496" w:themeColor="accent1" w:themeShade="BF"/>
      <w:kern w:val="3"/>
      <w:sz w:val="32"/>
      <w:szCs w:val="26"/>
      <w:lang w:val="en-US" w:eastAsia="zh-CN" w:bidi="hi-IN"/>
    </w:rPr>
  </w:style>
  <w:style w:type="character" w:styleId="Hyperlink">
    <w:name w:val="Hyperlink"/>
    <w:basedOn w:val="DefaultParagraphFont"/>
    <w:uiPriority w:val="99"/>
    <w:unhideWhenUsed/>
    <w:rsid w:val="003641CB"/>
    <w:rPr>
      <w:color w:val="0563C1" w:themeColor="hyperlink"/>
      <w:u w:val="single"/>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qFormat/>
    <w:locked/>
    <w:rsid w:val="0006701A"/>
    <w:rPr>
      <w:rFonts w:ascii="Times New Roman" w:eastAsia="Times New Roman" w:hAnsi="Times New Roman" w:cs="Times New Roman"/>
      <w:noProof/>
      <w:kern w:val="3"/>
      <w:sz w:val="20"/>
      <w:szCs w:val="20"/>
      <w:lang w:val="sl-SI" w:eastAsia="zh-CN" w:bidi="hi-IN"/>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06701A"/>
    <w:pPr>
      <w:spacing w:before="0" w:after="0"/>
      <w:ind w:firstLine="0"/>
    </w:pPr>
    <w:rPr>
      <w:rFonts w:eastAsia="Times New Roman"/>
      <w:noProof/>
      <w:sz w:val="20"/>
      <w:szCs w:val="20"/>
      <w:lang w:val="sl-SI"/>
    </w:rPr>
  </w:style>
  <w:style w:type="character" w:customStyle="1" w:styleId="FootnoteTextChar">
    <w:name w:val="Footnote Text Char"/>
    <w:aliases w:val="Footnotes Char,single space Char Char,ft Char Char,single space Char1,ft Char1,Footnote Text Char Char Char Char Char Char Char Char Char,f Char,Fußnote Char,Footnote Char,Footnote Text Char1 Char Char Char Char,ft Char"/>
    <w:basedOn w:val="DefaultParagraphFont"/>
    <w:uiPriority w:val="99"/>
    <w:qFormat/>
    <w:rsid w:val="0090746E"/>
    <w:rPr>
      <w:rFonts w:ascii="Times New Roman" w:hAnsi="Times New Roman"/>
      <w:i w:val="0"/>
      <w:color w:val="auto"/>
      <w:sz w:val="20"/>
      <w:szCs w:val="20"/>
    </w:rPr>
  </w:style>
  <w:style w:type="paragraph" w:styleId="Caption">
    <w:name w:val="caption"/>
    <w:basedOn w:val="Normal"/>
    <w:next w:val="Normal"/>
    <w:uiPriority w:val="35"/>
    <w:unhideWhenUsed/>
    <w:qFormat/>
    <w:rsid w:val="003641CB"/>
    <w:pPr>
      <w:spacing w:after="200"/>
    </w:pPr>
    <w:rPr>
      <w:i/>
      <w:iCs/>
      <w:color w:val="44546A" w:themeColor="text2"/>
      <w:sz w:val="18"/>
      <w:szCs w:val="18"/>
      <w:lang w:val="de-DE"/>
    </w:rPr>
  </w:style>
  <w:style w:type="character" w:customStyle="1" w:styleId="SidebarChar">
    <w:name w:val="Sidebar Char"/>
    <w:basedOn w:val="DefaultParagraphFont"/>
    <w:link w:val="Sidebar"/>
    <w:uiPriority w:val="8"/>
    <w:locked/>
    <w:rsid w:val="003641CB"/>
    <w:rPr>
      <w:i/>
      <w:color w:val="2F5496" w:themeColor="accent1" w:themeShade="BF"/>
      <w:sz w:val="24"/>
    </w:rPr>
  </w:style>
  <w:style w:type="paragraph" w:customStyle="1" w:styleId="Sidebar">
    <w:name w:val="Sidebar"/>
    <w:basedOn w:val="Normal"/>
    <w:link w:val="SidebarChar"/>
    <w:uiPriority w:val="8"/>
    <w:qFormat/>
    <w:rsid w:val="003641CB"/>
    <w:pPr>
      <w:spacing w:before="240" w:after="240" w:line="288" w:lineRule="auto"/>
    </w:pPr>
    <w:rPr>
      <w:i/>
      <w:color w:val="2F5496" w:themeColor="accent1" w:themeShade="BF"/>
    </w:rPr>
  </w:style>
  <w:style w:type="character" w:styleId="FootnoteReference">
    <w:name w:val="footnote reference"/>
    <w:aliases w:val="ftref,BVI fnr,16 Point,Superscript 6 Point,Footnote Reference Number,ftref Char,BVI fnr Char,Footnotes refss,nota pié di pagina,Times 10 Point,Exposant 3 Point,Footnote symbol,Footnote reference number,EN Footnote Reference,note TESI"/>
    <w:link w:val="Ref"/>
    <w:uiPriority w:val="99"/>
    <w:unhideWhenUsed/>
    <w:qFormat/>
    <w:rsid w:val="003641CB"/>
    <w:rPr>
      <w:vertAlign w:val="superscript"/>
    </w:rPr>
  </w:style>
  <w:style w:type="paragraph" w:customStyle="1" w:styleId="Ref">
    <w:name w:val="Ref"/>
    <w:aliases w:val="Footnotes refs"/>
    <w:basedOn w:val="Normal"/>
    <w:link w:val="FootnoteReference"/>
    <w:uiPriority w:val="99"/>
    <w:qFormat/>
    <w:rsid w:val="003641CB"/>
    <w:pPr>
      <w:spacing w:line="240" w:lineRule="exact"/>
    </w:pPr>
    <w:rPr>
      <w:vertAlign w:val="superscript"/>
    </w:rPr>
  </w:style>
  <w:style w:type="table" w:styleId="TableGrid">
    <w:name w:val="Table Grid"/>
    <w:basedOn w:val="TableNormal"/>
    <w:uiPriority w:val="39"/>
    <w:rsid w:val="003641CB"/>
    <w:pPr>
      <w:spacing w:before="120" w:after="0" w:line="240" w:lineRule="auto"/>
      <w:jc w:val="both"/>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641CB"/>
    <w:rPr>
      <w:b/>
      <w:bCs/>
    </w:rPr>
  </w:style>
  <w:style w:type="paragraph" w:styleId="Header">
    <w:name w:val="header"/>
    <w:basedOn w:val="Normal"/>
    <w:link w:val="HeaderChar"/>
    <w:uiPriority w:val="99"/>
    <w:unhideWhenUsed/>
    <w:rsid w:val="003641CB"/>
    <w:pPr>
      <w:tabs>
        <w:tab w:val="center" w:pos="4536"/>
        <w:tab w:val="right" w:pos="9072"/>
      </w:tabs>
      <w:spacing w:after="0"/>
    </w:pPr>
  </w:style>
  <w:style w:type="character" w:customStyle="1" w:styleId="HeaderChar">
    <w:name w:val="Header Char"/>
    <w:basedOn w:val="DefaultParagraphFont"/>
    <w:link w:val="Header"/>
    <w:uiPriority w:val="99"/>
    <w:qFormat/>
    <w:rsid w:val="003641CB"/>
  </w:style>
  <w:style w:type="paragraph" w:styleId="Footer">
    <w:name w:val="footer"/>
    <w:basedOn w:val="Normal"/>
    <w:link w:val="FooterChar"/>
    <w:uiPriority w:val="99"/>
    <w:unhideWhenUsed/>
    <w:rsid w:val="003641CB"/>
    <w:pPr>
      <w:tabs>
        <w:tab w:val="center" w:pos="4536"/>
        <w:tab w:val="right" w:pos="9072"/>
      </w:tabs>
      <w:spacing w:after="0"/>
    </w:pPr>
  </w:style>
  <w:style w:type="character" w:customStyle="1" w:styleId="FooterChar">
    <w:name w:val="Footer Char"/>
    <w:basedOn w:val="DefaultParagraphFont"/>
    <w:link w:val="Footer"/>
    <w:uiPriority w:val="99"/>
    <w:qFormat/>
    <w:rsid w:val="003641CB"/>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Akapit z listą BS Char,Bullet1 Char"/>
    <w:basedOn w:val="DefaultParagraphFont"/>
    <w:link w:val="ListParagraph"/>
    <w:uiPriority w:val="34"/>
    <w:qFormat/>
    <w:locked/>
    <w:rsid w:val="00D050B4"/>
  </w:style>
  <w:style w:type="paragraph" w:styleId="ListParagraph">
    <w:name w:val="List Paragraph"/>
    <w:aliases w:val="Numbered List Paragraph,References,Numbered Paragraph,Main numbered paragraph,Colorful List - Accent 11,List_Paragraph,Multilevel para_II,List Paragraph1,Akapit z listą BS,Bullet1,List Paragraph 1,Bullets,123 List Paragraph,Liste 1,PAD"/>
    <w:basedOn w:val="Normal"/>
    <w:link w:val="ListParagraphChar"/>
    <w:uiPriority w:val="34"/>
    <w:qFormat/>
    <w:rsid w:val="00D050B4"/>
    <w:pPr>
      <w:spacing w:after="120" w:line="256" w:lineRule="auto"/>
      <w:ind w:left="720"/>
      <w:contextualSpacing/>
    </w:pPr>
  </w:style>
  <w:style w:type="character" w:customStyle="1" w:styleId="Heading3Char">
    <w:name w:val="Heading 3 Char"/>
    <w:basedOn w:val="DefaultParagraphFont"/>
    <w:link w:val="Heading3"/>
    <w:uiPriority w:val="9"/>
    <w:qFormat/>
    <w:rsid w:val="000716BB"/>
    <w:rPr>
      <w:rFonts w:ascii="Times New Roman" w:eastAsiaTheme="majorEastAsia" w:hAnsi="Times New Roman" w:cstheme="majorBidi"/>
      <w:color w:val="4472C4" w:themeColor="accent1"/>
      <w:kern w:val="3"/>
      <w:sz w:val="28"/>
      <w:szCs w:val="24"/>
      <w:lang w:val="de-DE" w:eastAsia="zh-CN" w:bidi="hi-IN"/>
    </w:rPr>
  </w:style>
  <w:style w:type="paragraph" w:customStyle="1" w:styleId="basic-paragraph">
    <w:name w:val="basic-paragraph"/>
    <w:basedOn w:val="Normal"/>
    <w:qFormat/>
    <w:rsid w:val="001A294C"/>
    <w:pPr>
      <w:spacing w:before="100" w:beforeAutospacing="1" w:after="100" w:afterAutospacing="1"/>
    </w:pPr>
    <w:rPr>
      <w:rFonts w:eastAsia="Times New Roman"/>
      <w:lang w:val="de-DE" w:eastAsia="de-DE"/>
    </w:rPr>
  </w:style>
  <w:style w:type="paragraph" w:customStyle="1" w:styleId="Default">
    <w:name w:val="Default"/>
    <w:qFormat/>
    <w:rsid w:val="001A294C"/>
    <w:pPr>
      <w:autoSpaceDE w:val="0"/>
      <w:autoSpaceDN w:val="0"/>
      <w:adjustRightInd w:val="0"/>
      <w:spacing w:before="120" w:after="0" w:line="240" w:lineRule="auto"/>
      <w:jc w:val="both"/>
    </w:pPr>
    <w:rPr>
      <w:rFonts w:ascii="Times New Roman" w:hAnsi="Times New Roman" w:cs="Times New Roman"/>
      <w:color w:val="000000"/>
      <w:sz w:val="24"/>
      <w:szCs w:val="24"/>
    </w:rPr>
  </w:style>
  <w:style w:type="character" w:styleId="IntenseEmphasis">
    <w:name w:val="Intense Emphasis"/>
    <w:basedOn w:val="DefaultParagraphFont"/>
    <w:uiPriority w:val="21"/>
    <w:qFormat/>
    <w:rsid w:val="001A294C"/>
    <w:rPr>
      <w:i/>
      <w:iCs/>
      <w:color w:val="4472C4" w:themeColor="accent1"/>
    </w:rPr>
  </w:style>
  <w:style w:type="character" w:styleId="Emphasis">
    <w:name w:val="Emphasis"/>
    <w:basedOn w:val="DefaultParagraphFont"/>
    <w:uiPriority w:val="20"/>
    <w:qFormat/>
    <w:rsid w:val="001A294C"/>
    <w:rPr>
      <w:i/>
      <w:iCs/>
    </w:rPr>
  </w:style>
  <w:style w:type="character" w:customStyle="1" w:styleId="UnresolvedMention1">
    <w:name w:val="Unresolved Mention1"/>
    <w:basedOn w:val="DefaultParagraphFont"/>
    <w:uiPriority w:val="99"/>
    <w:semiHidden/>
    <w:unhideWhenUsed/>
    <w:rsid w:val="001A294C"/>
    <w:rPr>
      <w:color w:val="605E5C"/>
      <w:shd w:val="clear" w:color="auto" w:fill="E1DFDD"/>
    </w:rPr>
  </w:style>
  <w:style w:type="paragraph" w:styleId="BalloonText">
    <w:name w:val="Balloon Text"/>
    <w:basedOn w:val="Normal"/>
    <w:link w:val="BalloonTextChar"/>
    <w:uiPriority w:val="99"/>
    <w:semiHidden/>
    <w:unhideWhenUsed/>
    <w:qFormat/>
    <w:rsid w:val="008D7AA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8D7AAF"/>
    <w:rPr>
      <w:rFonts w:ascii="Segoe UI" w:hAnsi="Segoe UI" w:cs="Segoe UI"/>
      <w:sz w:val="18"/>
      <w:szCs w:val="18"/>
    </w:rPr>
  </w:style>
  <w:style w:type="character" w:customStyle="1" w:styleId="Heading4Char">
    <w:name w:val="Heading 4 Char"/>
    <w:basedOn w:val="DefaultParagraphFont"/>
    <w:link w:val="Heading4"/>
    <w:uiPriority w:val="9"/>
    <w:rsid w:val="00C013C7"/>
    <w:rPr>
      <w:rFonts w:ascii="Times New Roman" w:hAnsi="Times New Roman" w:cstheme="majorBidi"/>
      <w:i/>
      <w:iCs/>
      <w:color w:val="2F5496" w:themeColor="accent1" w:themeShade="BF"/>
      <w:kern w:val="3"/>
      <w:sz w:val="24"/>
      <w:szCs w:val="24"/>
      <w:lang w:val="de-DE"/>
    </w:rPr>
  </w:style>
  <w:style w:type="numbering" w:customStyle="1" w:styleId="NoList1">
    <w:name w:val="No List1"/>
    <w:next w:val="NoList"/>
    <w:uiPriority w:val="99"/>
    <w:semiHidden/>
    <w:unhideWhenUsed/>
    <w:rsid w:val="008D7AAF"/>
  </w:style>
  <w:style w:type="character" w:styleId="CommentReference">
    <w:name w:val="annotation reference"/>
    <w:basedOn w:val="DefaultParagraphFont"/>
    <w:uiPriority w:val="99"/>
    <w:semiHidden/>
    <w:unhideWhenUsed/>
    <w:qFormat/>
    <w:rsid w:val="008D7AAF"/>
    <w:rPr>
      <w:sz w:val="16"/>
      <w:szCs w:val="16"/>
    </w:rPr>
  </w:style>
  <w:style w:type="paragraph" w:styleId="CommentText">
    <w:name w:val="annotation text"/>
    <w:aliases w:val="Char2"/>
    <w:basedOn w:val="Normal"/>
    <w:link w:val="CommentTextChar"/>
    <w:uiPriority w:val="99"/>
    <w:unhideWhenUsed/>
    <w:qFormat/>
    <w:rsid w:val="008D7AAF"/>
    <w:pPr>
      <w:spacing w:after="120"/>
    </w:pPr>
    <w:rPr>
      <w:sz w:val="20"/>
      <w:szCs w:val="20"/>
      <w:lang w:val="de-DE"/>
    </w:rPr>
  </w:style>
  <w:style w:type="character" w:customStyle="1" w:styleId="CommentTextChar">
    <w:name w:val="Comment Text Char"/>
    <w:aliases w:val="Char2 Char"/>
    <w:basedOn w:val="DefaultParagraphFont"/>
    <w:link w:val="CommentText"/>
    <w:uiPriority w:val="99"/>
    <w:qFormat/>
    <w:rsid w:val="008D7AAF"/>
    <w:rPr>
      <w:sz w:val="20"/>
      <w:szCs w:val="20"/>
      <w:lang w:val="de-DE"/>
    </w:rPr>
  </w:style>
  <w:style w:type="paragraph" w:styleId="CommentSubject">
    <w:name w:val="annotation subject"/>
    <w:basedOn w:val="CommentText"/>
    <w:next w:val="CommentText"/>
    <w:link w:val="CommentSubjectChar"/>
    <w:uiPriority w:val="99"/>
    <w:semiHidden/>
    <w:unhideWhenUsed/>
    <w:rsid w:val="008D7AAF"/>
    <w:rPr>
      <w:b/>
      <w:bCs/>
    </w:rPr>
  </w:style>
  <w:style w:type="character" w:customStyle="1" w:styleId="CommentSubjectChar">
    <w:name w:val="Comment Subject Char"/>
    <w:basedOn w:val="CommentTextChar"/>
    <w:link w:val="CommentSubject"/>
    <w:uiPriority w:val="99"/>
    <w:semiHidden/>
    <w:rsid w:val="008D7AAF"/>
    <w:rPr>
      <w:b/>
      <w:bCs/>
      <w:sz w:val="20"/>
      <w:szCs w:val="20"/>
      <w:lang w:val="de-DE"/>
    </w:rPr>
  </w:style>
  <w:style w:type="paragraph" w:customStyle="1" w:styleId="Normal1">
    <w:name w:val="Normal1"/>
    <w:basedOn w:val="Normal"/>
    <w:rsid w:val="008D7AAF"/>
    <w:pPr>
      <w:spacing w:before="100" w:beforeAutospacing="1" w:after="100" w:afterAutospacing="1"/>
    </w:pPr>
    <w:rPr>
      <w:rFonts w:eastAsia="Times New Roman"/>
      <w:lang w:val="de-DE" w:eastAsia="de-DE"/>
    </w:rPr>
  </w:style>
  <w:style w:type="table" w:customStyle="1" w:styleId="TableGrid1">
    <w:name w:val="Table Grid1"/>
    <w:basedOn w:val="TableNormal"/>
    <w:next w:val="TableGrid"/>
    <w:uiPriority w:val="59"/>
    <w:rsid w:val="008D7AAF"/>
    <w:pPr>
      <w:spacing w:before="120"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D7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8D7AAF"/>
    <w:rPr>
      <w:rFonts w:ascii="Courier New" w:eastAsia="Times New Roman" w:hAnsi="Courier New" w:cs="Courier New"/>
      <w:sz w:val="20"/>
      <w:szCs w:val="20"/>
      <w:lang w:val="en-US"/>
    </w:rPr>
  </w:style>
  <w:style w:type="character" w:customStyle="1" w:styleId="fontstyle01">
    <w:name w:val="fontstyle01"/>
    <w:basedOn w:val="DefaultParagraphFont"/>
    <w:rsid w:val="008D7AAF"/>
    <w:rPr>
      <w:rFonts w:ascii="Roboto-Regular" w:hAnsi="Roboto-Regular" w:hint="default"/>
      <w:b w:val="0"/>
      <w:bCs w:val="0"/>
      <w:i w:val="0"/>
      <w:iCs w:val="0"/>
      <w:color w:val="1A171C"/>
      <w:sz w:val="16"/>
      <w:szCs w:val="16"/>
    </w:rPr>
  </w:style>
  <w:style w:type="table" w:customStyle="1" w:styleId="PlainTable31">
    <w:name w:val="Plain Table 31"/>
    <w:basedOn w:val="TableNormal"/>
    <w:uiPriority w:val="99"/>
    <w:rsid w:val="008D7AAF"/>
    <w:pPr>
      <w:spacing w:after="0" w:line="240" w:lineRule="auto"/>
    </w:pPr>
    <w:rPr>
      <w:lang w:val="uz-Cyrl-UZ"/>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qFormat/>
    <w:rsid w:val="008D7AAF"/>
    <w:pPr>
      <w:spacing w:before="100" w:beforeAutospacing="1" w:after="100" w:afterAutospacing="1"/>
    </w:pPr>
    <w:rPr>
      <w:rFonts w:eastAsia="Times New Roman"/>
      <w:lang w:val="en-US"/>
    </w:rPr>
  </w:style>
  <w:style w:type="paragraph" w:customStyle="1" w:styleId="auto-style1">
    <w:name w:val="auto-style1"/>
    <w:basedOn w:val="Normal"/>
    <w:rsid w:val="008D7AAF"/>
    <w:pPr>
      <w:spacing w:before="100" w:beforeAutospacing="1" w:after="100" w:afterAutospacing="1"/>
    </w:pPr>
    <w:rPr>
      <w:rFonts w:eastAsia="Times New Roman"/>
      <w:lang w:val="en-GB" w:eastAsia="en-GB"/>
    </w:rPr>
  </w:style>
  <w:style w:type="character" w:styleId="SubtleEmphasis">
    <w:name w:val="Subtle Emphasis"/>
    <w:basedOn w:val="DefaultParagraphFont"/>
    <w:qFormat/>
    <w:rsid w:val="008D7AAF"/>
    <w:rPr>
      <w:i/>
      <w:iCs/>
      <w:color w:val="404040"/>
    </w:rPr>
  </w:style>
  <w:style w:type="paragraph" w:customStyle="1" w:styleId="odluka-zakon">
    <w:name w:val="odluka-zakon"/>
    <w:basedOn w:val="Normal"/>
    <w:rsid w:val="008D7AAF"/>
    <w:pPr>
      <w:spacing w:before="100" w:beforeAutospacing="1" w:after="100" w:afterAutospacing="1"/>
    </w:pPr>
    <w:rPr>
      <w:rFonts w:eastAsia="Times New Roman"/>
      <w:lang w:val="en-US"/>
    </w:rPr>
  </w:style>
  <w:style w:type="paragraph" w:customStyle="1" w:styleId="kmnaslov1">
    <w:name w:val="kmnaslov1"/>
    <w:basedOn w:val="Normal"/>
    <w:uiPriority w:val="99"/>
    <w:rsid w:val="008D7AAF"/>
    <w:pPr>
      <w:spacing w:before="100" w:beforeAutospacing="1" w:after="100" w:afterAutospacing="1"/>
    </w:pPr>
    <w:rPr>
      <w:rFonts w:ascii="Calibri" w:eastAsia="Times New Roman" w:hAnsi="Calibri" w:cs="Calibri"/>
      <w:lang w:val="en-US"/>
    </w:rPr>
  </w:style>
  <w:style w:type="paragraph" w:styleId="Title">
    <w:name w:val="Title"/>
    <w:basedOn w:val="Normal"/>
    <w:next w:val="Normal"/>
    <w:link w:val="TitleChar"/>
    <w:uiPriority w:val="10"/>
    <w:qFormat/>
    <w:rsid w:val="008D7AAF"/>
    <w:pPr>
      <w:spacing w:after="0"/>
      <w:contextualSpacing/>
    </w:pPr>
    <w:rPr>
      <w:rFonts w:asciiTheme="majorHAnsi" w:eastAsiaTheme="majorEastAsia" w:hAnsiTheme="majorHAnsi" w:cstheme="majorBidi"/>
      <w:spacing w:val="-10"/>
      <w:kern w:val="28"/>
      <w:sz w:val="56"/>
      <w:szCs w:val="56"/>
      <w:lang w:val="uz-Cyrl-UZ"/>
    </w:rPr>
  </w:style>
  <w:style w:type="character" w:customStyle="1" w:styleId="TitleChar">
    <w:name w:val="Title Char"/>
    <w:basedOn w:val="DefaultParagraphFont"/>
    <w:link w:val="Title"/>
    <w:uiPriority w:val="10"/>
    <w:rsid w:val="008D7AAF"/>
    <w:rPr>
      <w:rFonts w:asciiTheme="majorHAnsi" w:eastAsiaTheme="majorEastAsia" w:hAnsiTheme="majorHAnsi" w:cstheme="majorBidi"/>
      <w:spacing w:val="-10"/>
      <w:kern w:val="28"/>
      <w:sz w:val="56"/>
      <w:szCs w:val="56"/>
      <w:lang w:val="uz-Cyrl-UZ"/>
    </w:rPr>
  </w:style>
  <w:style w:type="paragraph" w:styleId="Revision">
    <w:name w:val="Revision"/>
    <w:hidden/>
    <w:uiPriority w:val="99"/>
    <w:semiHidden/>
    <w:rsid w:val="008D7AAF"/>
    <w:pPr>
      <w:spacing w:after="0" w:line="240" w:lineRule="auto"/>
    </w:pPr>
    <w:rPr>
      <w:lang w:val="de-DE"/>
    </w:rPr>
  </w:style>
  <w:style w:type="character" w:customStyle="1" w:styleId="UnresolvedMention11">
    <w:name w:val="Unresolved Mention11"/>
    <w:basedOn w:val="DefaultParagraphFont"/>
    <w:uiPriority w:val="99"/>
    <w:semiHidden/>
    <w:unhideWhenUsed/>
    <w:rsid w:val="008D7AAF"/>
    <w:rPr>
      <w:color w:val="605E5C"/>
      <w:shd w:val="clear" w:color="auto" w:fill="E1DFDD"/>
    </w:rPr>
  </w:style>
  <w:style w:type="paragraph" w:styleId="TOCHeading">
    <w:name w:val="TOC Heading"/>
    <w:basedOn w:val="Heading1"/>
    <w:next w:val="Normal"/>
    <w:uiPriority w:val="39"/>
    <w:unhideWhenUsed/>
    <w:qFormat/>
    <w:rsid w:val="008D7AAF"/>
    <w:pPr>
      <w:spacing w:line="259" w:lineRule="auto"/>
      <w:outlineLvl w:val="9"/>
    </w:pPr>
  </w:style>
  <w:style w:type="paragraph" w:styleId="TOC1">
    <w:name w:val="toc 1"/>
    <w:basedOn w:val="Normal"/>
    <w:next w:val="Normal"/>
    <w:autoRedefine/>
    <w:uiPriority w:val="39"/>
    <w:unhideWhenUsed/>
    <w:rsid w:val="001C30B7"/>
    <w:pPr>
      <w:tabs>
        <w:tab w:val="right" w:leader="dot" w:pos="9350"/>
      </w:tabs>
      <w:spacing w:after="100"/>
      <w:ind w:firstLine="0"/>
    </w:pPr>
    <w:rPr>
      <w:lang w:val="de-DE"/>
    </w:rPr>
  </w:style>
  <w:style w:type="paragraph" w:styleId="TOC3">
    <w:name w:val="toc 3"/>
    <w:basedOn w:val="Normal"/>
    <w:next w:val="Normal"/>
    <w:autoRedefine/>
    <w:uiPriority w:val="39"/>
    <w:unhideWhenUsed/>
    <w:rsid w:val="008D7AAF"/>
    <w:pPr>
      <w:spacing w:after="100"/>
      <w:ind w:left="440"/>
    </w:pPr>
    <w:rPr>
      <w:lang w:val="de-DE"/>
    </w:rPr>
  </w:style>
  <w:style w:type="paragraph" w:styleId="TOC2">
    <w:name w:val="toc 2"/>
    <w:basedOn w:val="Normal"/>
    <w:next w:val="Normal"/>
    <w:autoRedefine/>
    <w:uiPriority w:val="39"/>
    <w:unhideWhenUsed/>
    <w:rsid w:val="008D7AAF"/>
    <w:pPr>
      <w:tabs>
        <w:tab w:val="right" w:leader="dot" w:pos="9350"/>
      </w:tabs>
      <w:spacing w:after="100"/>
      <w:ind w:left="220"/>
    </w:pPr>
    <w:rPr>
      <w:lang w:val="de-DE"/>
    </w:rPr>
  </w:style>
  <w:style w:type="character" w:styleId="FollowedHyperlink">
    <w:name w:val="FollowedHyperlink"/>
    <w:basedOn w:val="DefaultParagraphFont"/>
    <w:uiPriority w:val="99"/>
    <w:semiHidden/>
    <w:unhideWhenUsed/>
    <w:rsid w:val="008D7AAF"/>
    <w:rPr>
      <w:color w:val="954F72" w:themeColor="followedHyperlink"/>
      <w:u w:val="single"/>
    </w:rPr>
  </w:style>
  <w:style w:type="character" w:customStyle="1" w:styleId="UnresolvedMention2">
    <w:name w:val="Unresolved Mention2"/>
    <w:basedOn w:val="DefaultParagraphFont"/>
    <w:uiPriority w:val="99"/>
    <w:semiHidden/>
    <w:unhideWhenUsed/>
    <w:rsid w:val="008D7AAF"/>
    <w:rPr>
      <w:color w:val="605E5C"/>
      <w:shd w:val="clear" w:color="auto" w:fill="E1DFDD"/>
    </w:rPr>
  </w:style>
  <w:style w:type="paragraph" w:styleId="TableofFigures">
    <w:name w:val="table of figures"/>
    <w:basedOn w:val="Normal"/>
    <w:next w:val="Normal"/>
    <w:uiPriority w:val="99"/>
    <w:unhideWhenUsed/>
    <w:rsid w:val="008D7AAF"/>
    <w:pPr>
      <w:spacing w:after="0"/>
    </w:pPr>
    <w:rPr>
      <w:rFonts w:cstheme="minorHAnsi"/>
      <w:i/>
      <w:iCs/>
      <w:sz w:val="20"/>
      <w:szCs w:val="20"/>
      <w:lang w:val="de-DE"/>
    </w:rPr>
  </w:style>
  <w:style w:type="paragraph" w:customStyle="1" w:styleId="CharCharCharCharCarCarCharCharCarCar">
    <w:name w:val="Char Char Char Char Car Car Char Char Car Car"/>
    <w:basedOn w:val="Normal"/>
    <w:next w:val="Normal"/>
    <w:uiPriority w:val="99"/>
    <w:rsid w:val="008D7AAF"/>
    <w:pPr>
      <w:spacing w:line="240" w:lineRule="exact"/>
    </w:pPr>
    <w:rPr>
      <w:vertAlign w:val="superscript"/>
      <w:lang w:val="en-US"/>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uiPriority w:val="99"/>
    <w:rsid w:val="008D7AAF"/>
    <w:pPr>
      <w:spacing w:after="0" w:line="120" w:lineRule="exact"/>
    </w:pPr>
    <w:rPr>
      <w:rFonts w:ascii="Calibri" w:hAnsi="Calibri"/>
      <w:color w:val="000000" w:themeColor="text1"/>
      <w:vertAlign w:val="superscript"/>
    </w:rPr>
  </w:style>
  <w:style w:type="paragraph" w:customStyle="1" w:styleId="NumPar1">
    <w:name w:val="NumPar 1"/>
    <w:basedOn w:val="Normal"/>
    <w:next w:val="Normal"/>
    <w:uiPriority w:val="99"/>
    <w:rsid w:val="008D7AAF"/>
    <w:pPr>
      <w:numPr>
        <w:numId w:val="5"/>
      </w:numPr>
      <w:spacing w:after="120"/>
    </w:pPr>
    <w:rPr>
      <w:rFonts w:ascii="Calibri" w:eastAsia="Calibri" w:hAnsi="Calibri"/>
      <w:sz w:val="20"/>
      <w:szCs w:val="20"/>
      <w:vertAlign w:val="superscript"/>
    </w:rPr>
  </w:style>
  <w:style w:type="paragraph" w:customStyle="1" w:styleId="NumPar2">
    <w:name w:val="NumPar 2"/>
    <w:basedOn w:val="Normal"/>
    <w:next w:val="Normal"/>
    <w:rsid w:val="008D7AAF"/>
    <w:pPr>
      <w:numPr>
        <w:ilvl w:val="1"/>
        <w:numId w:val="5"/>
      </w:numPr>
      <w:tabs>
        <w:tab w:val="clear" w:pos="850"/>
        <w:tab w:val="num" w:pos="360"/>
      </w:tabs>
      <w:spacing w:after="120"/>
      <w:ind w:left="0" w:firstLine="0"/>
    </w:pPr>
    <w:rPr>
      <w:rFonts w:ascii="Tunga" w:eastAsia="Arial Unicode MS" w:hAnsi="Tunga" w:cs="Tunga"/>
      <w:snapToGrid w:val="0"/>
      <w:lang w:val="en-GB"/>
    </w:rPr>
  </w:style>
  <w:style w:type="paragraph" w:customStyle="1" w:styleId="NumPar3">
    <w:name w:val="NumPar 3"/>
    <w:basedOn w:val="Normal"/>
    <w:next w:val="Normal"/>
    <w:rsid w:val="008D7AAF"/>
    <w:pPr>
      <w:numPr>
        <w:ilvl w:val="2"/>
        <w:numId w:val="5"/>
      </w:numPr>
      <w:spacing w:after="120"/>
    </w:pPr>
    <w:rPr>
      <w:rFonts w:ascii="Tunga" w:eastAsia="Arial Unicode MS" w:hAnsi="Tunga" w:cs="Tunga"/>
      <w:snapToGrid w:val="0"/>
      <w:lang w:val="en-GB"/>
    </w:rPr>
  </w:style>
  <w:style w:type="paragraph" w:customStyle="1" w:styleId="NumPar4">
    <w:name w:val="NumPar 4"/>
    <w:basedOn w:val="Normal"/>
    <w:next w:val="Normal"/>
    <w:rsid w:val="008D7AAF"/>
    <w:pPr>
      <w:numPr>
        <w:ilvl w:val="3"/>
        <w:numId w:val="5"/>
      </w:numPr>
      <w:spacing w:after="120"/>
    </w:pPr>
    <w:rPr>
      <w:rFonts w:ascii="Tunga" w:eastAsia="Arial Unicode MS" w:hAnsi="Tunga" w:cs="Tunga"/>
      <w:snapToGrid w:val="0"/>
      <w:lang w:val="en-GB"/>
    </w:rPr>
  </w:style>
  <w:style w:type="character" w:customStyle="1" w:styleId="UnresolvedMention3">
    <w:name w:val="Unresolved Mention3"/>
    <w:basedOn w:val="DefaultParagraphFont"/>
    <w:uiPriority w:val="99"/>
    <w:semiHidden/>
    <w:unhideWhenUsed/>
    <w:rsid w:val="008D7AAF"/>
    <w:rPr>
      <w:color w:val="605E5C"/>
      <w:shd w:val="clear" w:color="auto" w:fill="E1DFDD"/>
    </w:rPr>
  </w:style>
  <w:style w:type="character" w:customStyle="1" w:styleId="FootnoteCharacters">
    <w:name w:val="Footnote Characters"/>
    <w:uiPriority w:val="99"/>
    <w:qFormat/>
    <w:rsid w:val="008D7AAF"/>
    <w:rPr>
      <w:vertAlign w:val="superscript"/>
    </w:rPr>
  </w:style>
  <w:style w:type="character" w:customStyle="1" w:styleId="FootnoteAnchor">
    <w:name w:val="Footnote Anchor"/>
    <w:rsid w:val="008D7AAF"/>
    <w:rPr>
      <w:vertAlign w:val="superscript"/>
    </w:rPr>
  </w:style>
  <w:style w:type="paragraph" w:customStyle="1" w:styleId="commentcontentpara">
    <w:name w:val="commentcontentpara"/>
    <w:basedOn w:val="Normal"/>
    <w:rsid w:val="008D7AAF"/>
    <w:pPr>
      <w:spacing w:before="100" w:beforeAutospacing="1" w:after="100" w:afterAutospacing="1"/>
    </w:pPr>
    <w:rPr>
      <w:rFonts w:eastAsia="Times New Roman"/>
      <w:lang w:eastAsia="sr-Latn-RS"/>
    </w:rPr>
  </w:style>
  <w:style w:type="character" w:customStyle="1" w:styleId="xmsofootnotereference">
    <w:name w:val="x_msofootnotereference"/>
    <w:basedOn w:val="DefaultParagraphFont"/>
    <w:rsid w:val="008D7AAF"/>
  </w:style>
  <w:style w:type="character" w:customStyle="1" w:styleId="UnresolvedMention4">
    <w:name w:val="Unresolved Mention4"/>
    <w:basedOn w:val="DefaultParagraphFont"/>
    <w:uiPriority w:val="99"/>
    <w:semiHidden/>
    <w:unhideWhenUsed/>
    <w:rsid w:val="008D7AAF"/>
    <w:rPr>
      <w:color w:val="605E5C"/>
      <w:shd w:val="clear" w:color="auto" w:fill="E1DFDD"/>
    </w:rPr>
  </w:style>
  <w:style w:type="character" w:customStyle="1" w:styleId="UnresolvedMention5">
    <w:name w:val="Unresolved Mention5"/>
    <w:basedOn w:val="DefaultParagraphFont"/>
    <w:uiPriority w:val="99"/>
    <w:semiHidden/>
    <w:unhideWhenUsed/>
    <w:rsid w:val="008D7AAF"/>
    <w:rPr>
      <w:color w:val="605E5C"/>
      <w:shd w:val="clear" w:color="auto" w:fill="E1DFDD"/>
    </w:rPr>
  </w:style>
  <w:style w:type="character" w:customStyle="1" w:styleId="UnresolvedMention6">
    <w:name w:val="Unresolved Mention6"/>
    <w:basedOn w:val="DefaultParagraphFont"/>
    <w:uiPriority w:val="99"/>
    <w:semiHidden/>
    <w:unhideWhenUsed/>
    <w:rsid w:val="008D7AAF"/>
    <w:rPr>
      <w:color w:val="605E5C"/>
      <w:shd w:val="clear" w:color="auto" w:fill="E1DFDD"/>
    </w:rPr>
  </w:style>
  <w:style w:type="paragraph" w:styleId="EndnoteText">
    <w:name w:val="endnote text"/>
    <w:basedOn w:val="Normal"/>
    <w:link w:val="EndnoteTextChar"/>
    <w:uiPriority w:val="99"/>
    <w:semiHidden/>
    <w:unhideWhenUsed/>
    <w:rsid w:val="008D7AAF"/>
    <w:pPr>
      <w:spacing w:after="0"/>
    </w:pPr>
    <w:rPr>
      <w:sz w:val="20"/>
      <w:szCs w:val="20"/>
      <w:lang w:val="de-DE"/>
    </w:rPr>
  </w:style>
  <w:style w:type="character" w:customStyle="1" w:styleId="EndnoteTextChar">
    <w:name w:val="Endnote Text Char"/>
    <w:basedOn w:val="DefaultParagraphFont"/>
    <w:link w:val="EndnoteText"/>
    <w:uiPriority w:val="99"/>
    <w:semiHidden/>
    <w:rsid w:val="008D7AAF"/>
    <w:rPr>
      <w:sz w:val="20"/>
      <w:szCs w:val="20"/>
      <w:lang w:val="de-DE"/>
    </w:rPr>
  </w:style>
  <w:style w:type="character" w:styleId="EndnoteReference">
    <w:name w:val="endnote reference"/>
    <w:basedOn w:val="DefaultParagraphFont"/>
    <w:uiPriority w:val="99"/>
    <w:semiHidden/>
    <w:unhideWhenUsed/>
    <w:rsid w:val="008D7AAF"/>
    <w:rPr>
      <w:vertAlign w:val="superscript"/>
    </w:rPr>
  </w:style>
  <w:style w:type="character" w:customStyle="1" w:styleId="apple-converted-space">
    <w:name w:val="apple-converted-space"/>
    <w:basedOn w:val="DefaultParagraphFont"/>
    <w:rsid w:val="008D7AAF"/>
  </w:style>
  <w:style w:type="character" w:customStyle="1" w:styleId="UnresolvedMention7">
    <w:name w:val="Unresolved Mention7"/>
    <w:basedOn w:val="DefaultParagraphFont"/>
    <w:uiPriority w:val="99"/>
    <w:semiHidden/>
    <w:unhideWhenUsed/>
    <w:rsid w:val="008D7AAF"/>
    <w:rPr>
      <w:color w:val="605E5C"/>
      <w:shd w:val="clear" w:color="auto" w:fill="E1DFDD"/>
    </w:rPr>
  </w:style>
  <w:style w:type="character" w:customStyle="1" w:styleId="Heading5Char">
    <w:name w:val="Heading 5 Char"/>
    <w:basedOn w:val="DefaultParagraphFont"/>
    <w:link w:val="Heading5"/>
    <w:uiPriority w:val="9"/>
    <w:rsid w:val="00E75B34"/>
    <w:rPr>
      <w:rFonts w:ascii="Times New Roman" w:eastAsiaTheme="majorEastAsia" w:hAnsi="Times New Roman" w:cstheme="majorBidi"/>
      <w:color w:val="44546A" w:themeColor="text2"/>
      <w:kern w:val="3"/>
      <w:sz w:val="24"/>
      <w:szCs w:val="24"/>
      <w:lang w:val="en-GB" w:eastAsia="en-GB" w:bidi="hi-IN"/>
    </w:rPr>
  </w:style>
  <w:style w:type="character" w:customStyle="1" w:styleId="Heading6Char">
    <w:name w:val="Heading 6 Char"/>
    <w:basedOn w:val="DefaultParagraphFont"/>
    <w:link w:val="Heading6"/>
    <w:uiPriority w:val="9"/>
    <w:semiHidden/>
    <w:rsid w:val="00441BE2"/>
    <w:rPr>
      <w:rFonts w:asciiTheme="majorHAnsi" w:eastAsiaTheme="majorEastAsia" w:hAnsiTheme="majorHAnsi" w:cstheme="majorBidi"/>
      <w:i/>
      <w:iCs/>
      <w:color w:val="44546A" w:themeColor="text2"/>
      <w:sz w:val="21"/>
      <w:szCs w:val="21"/>
      <w:lang w:val="en-GB" w:eastAsia="en-GB"/>
    </w:rPr>
  </w:style>
  <w:style w:type="character" w:customStyle="1" w:styleId="Heading7Char">
    <w:name w:val="Heading 7 Char"/>
    <w:basedOn w:val="DefaultParagraphFont"/>
    <w:link w:val="Heading7"/>
    <w:uiPriority w:val="9"/>
    <w:semiHidden/>
    <w:rsid w:val="00441BE2"/>
    <w:rPr>
      <w:rFonts w:asciiTheme="majorHAnsi" w:eastAsiaTheme="majorEastAsia" w:hAnsiTheme="majorHAnsi" w:cstheme="majorBidi"/>
      <w:i/>
      <w:iCs/>
      <w:color w:val="1F3864" w:themeColor="accent1" w:themeShade="80"/>
      <w:sz w:val="21"/>
      <w:szCs w:val="21"/>
      <w:lang w:val="en-GB" w:eastAsia="en-GB"/>
    </w:rPr>
  </w:style>
  <w:style w:type="character" w:customStyle="1" w:styleId="Heading8Char">
    <w:name w:val="Heading 8 Char"/>
    <w:basedOn w:val="DefaultParagraphFont"/>
    <w:link w:val="Heading8"/>
    <w:uiPriority w:val="9"/>
    <w:semiHidden/>
    <w:rsid w:val="00441BE2"/>
    <w:rPr>
      <w:rFonts w:asciiTheme="majorHAnsi" w:eastAsiaTheme="majorEastAsia" w:hAnsiTheme="majorHAnsi" w:cstheme="majorBidi"/>
      <w:b/>
      <w:bCs/>
      <w:color w:val="44546A" w:themeColor="text2"/>
      <w:sz w:val="20"/>
      <w:szCs w:val="20"/>
      <w:lang w:val="en-GB" w:eastAsia="en-GB"/>
    </w:rPr>
  </w:style>
  <w:style w:type="character" w:customStyle="1" w:styleId="Heading9Char">
    <w:name w:val="Heading 9 Char"/>
    <w:basedOn w:val="DefaultParagraphFont"/>
    <w:link w:val="Heading9"/>
    <w:uiPriority w:val="9"/>
    <w:semiHidden/>
    <w:rsid w:val="00441BE2"/>
    <w:rPr>
      <w:rFonts w:asciiTheme="majorHAnsi" w:eastAsiaTheme="majorEastAsia" w:hAnsiTheme="majorHAnsi" w:cstheme="majorBidi"/>
      <w:b/>
      <w:bCs/>
      <w:i/>
      <w:iCs/>
      <w:color w:val="44546A" w:themeColor="text2"/>
      <w:sz w:val="20"/>
      <w:szCs w:val="20"/>
      <w:lang w:val="en-GB" w:eastAsia="en-GB"/>
    </w:rPr>
  </w:style>
  <w:style w:type="character" w:customStyle="1" w:styleId="UnresolvedMention21">
    <w:name w:val="Unresolved Mention21"/>
    <w:uiPriority w:val="99"/>
    <w:semiHidden/>
    <w:unhideWhenUsed/>
    <w:rsid w:val="00441BE2"/>
    <w:rPr>
      <w:color w:val="605E5C"/>
      <w:shd w:val="clear" w:color="auto" w:fill="E1DFDD"/>
    </w:rPr>
  </w:style>
  <w:style w:type="character" w:customStyle="1" w:styleId="fontstyle21">
    <w:name w:val="fontstyle21"/>
    <w:rsid w:val="00441BE2"/>
    <w:rPr>
      <w:rFonts w:ascii="Cambria" w:hAnsi="Cambria" w:hint="default"/>
      <w:b w:val="0"/>
      <w:bCs w:val="0"/>
      <w:i w:val="0"/>
      <w:iCs w:val="0"/>
      <w:color w:val="000000"/>
      <w:sz w:val="22"/>
      <w:szCs w:val="22"/>
    </w:rPr>
  </w:style>
  <w:style w:type="character" w:customStyle="1" w:styleId="gmail-msoins">
    <w:name w:val="gmail-msoins"/>
    <w:basedOn w:val="DefaultParagraphFont"/>
    <w:rsid w:val="00441BE2"/>
  </w:style>
  <w:style w:type="paragraph" w:customStyle="1" w:styleId="Footnote">
    <w:name w:val="Footnote"/>
    <w:basedOn w:val="Normal"/>
    <w:rsid w:val="00441BE2"/>
    <w:pPr>
      <w:spacing w:after="0"/>
    </w:pPr>
    <w:rPr>
      <w:rFonts w:eastAsia="Times New Roman" w:cs="Lohit Devanagari"/>
      <w:sz w:val="20"/>
      <w:szCs w:val="20"/>
      <w:lang w:val="sl-SI"/>
    </w:rPr>
  </w:style>
  <w:style w:type="paragraph" w:styleId="Subtitle">
    <w:name w:val="Subtitle"/>
    <w:basedOn w:val="Normal"/>
    <w:next w:val="Normal"/>
    <w:link w:val="SubtitleChar"/>
    <w:uiPriority w:val="11"/>
    <w:qFormat/>
    <w:rsid w:val="00441BE2"/>
    <w:pPr>
      <w:numPr>
        <w:ilvl w:val="1"/>
      </w:numPr>
      <w:spacing w:after="120"/>
      <w:ind w:firstLine="357"/>
    </w:pPr>
    <w:rPr>
      <w:rFonts w:asciiTheme="majorHAnsi" w:eastAsiaTheme="majorEastAsia" w:hAnsiTheme="majorHAnsi" w:cstheme="majorBidi"/>
      <w:lang w:val="en-GB" w:eastAsia="en-GB"/>
    </w:rPr>
  </w:style>
  <w:style w:type="character" w:customStyle="1" w:styleId="SubtitleChar">
    <w:name w:val="Subtitle Char"/>
    <w:basedOn w:val="DefaultParagraphFont"/>
    <w:link w:val="Subtitle"/>
    <w:uiPriority w:val="11"/>
    <w:rsid w:val="00441BE2"/>
    <w:rPr>
      <w:rFonts w:asciiTheme="majorHAnsi" w:eastAsiaTheme="majorEastAsia" w:hAnsiTheme="majorHAnsi" w:cstheme="majorBidi"/>
      <w:sz w:val="24"/>
      <w:szCs w:val="24"/>
      <w:lang w:val="en-GB" w:eastAsia="en-GB"/>
    </w:rPr>
  </w:style>
  <w:style w:type="paragraph" w:styleId="Quote">
    <w:name w:val="Quote"/>
    <w:basedOn w:val="Normal"/>
    <w:next w:val="Normal"/>
    <w:link w:val="QuoteChar"/>
    <w:uiPriority w:val="29"/>
    <w:qFormat/>
    <w:rsid w:val="00441BE2"/>
    <w:pPr>
      <w:spacing w:before="160" w:after="120" w:line="264" w:lineRule="auto"/>
      <w:ind w:left="720" w:right="720"/>
    </w:pPr>
    <w:rPr>
      <w:rFonts w:eastAsiaTheme="minorEastAsia"/>
      <w:i/>
      <w:iCs/>
      <w:color w:val="404040" w:themeColor="text1" w:themeTint="BF"/>
      <w:sz w:val="20"/>
      <w:szCs w:val="20"/>
      <w:lang w:val="en-GB" w:eastAsia="en-GB"/>
    </w:rPr>
  </w:style>
  <w:style w:type="character" w:customStyle="1" w:styleId="QuoteChar">
    <w:name w:val="Quote Char"/>
    <w:basedOn w:val="DefaultParagraphFont"/>
    <w:link w:val="Quote"/>
    <w:uiPriority w:val="29"/>
    <w:rsid w:val="00441BE2"/>
    <w:rPr>
      <w:rFonts w:eastAsiaTheme="minorEastAsia"/>
      <w:i/>
      <w:iCs/>
      <w:color w:val="404040" w:themeColor="text1" w:themeTint="BF"/>
      <w:sz w:val="20"/>
      <w:szCs w:val="20"/>
      <w:lang w:val="en-GB" w:eastAsia="en-GB"/>
    </w:rPr>
  </w:style>
  <w:style w:type="paragraph" w:styleId="IntenseQuote">
    <w:name w:val="Intense Quote"/>
    <w:basedOn w:val="Normal"/>
    <w:next w:val="Normal"/>
    <w:link w:val="IntenseQuoteChar"/>
    <w:uiPriority w:val="30"/>
    <w:qFormat/>
    <w:rsid w:val="00441BE2"/>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lang w:val="en-GB" w:eastAsia="en-GB"/>
    </w:rPr>
  </w:style>
  <w:style w:type="character" w:customStyle="1" w:styleId="IntenseQuoteChar">
    <w:name w:val="Intense Quote Char"/>
    <w:basedOn w:val="DefaultParagraphFont"/>
    <w:link w:val="IntenseQuote"/>
    <w:uiPriority w:val="30"/>
    <w:rsid w:val="00441BE2"/>
    <w:rPr>
      <w:rFonts w:asciiTheme="majorHAnsi" w:eastAsiaTheme="majorEastAsia" w:hAnsiTheme="majorHAnsi" w:cstheme="majorBidi"/>
      <w:color w:val="4472C4" w:themeColor="accent1"/>
      <w:sz w:val="28"/>
      <w:szCs w:val="28"/>
      <w:lang w:val="en-GB" w:eastAsia="en-GB"/>
    </w:rPr>
  </w:style>
  <w:style w:type="character" w:styleId="SubtleReference">
    <w:name w:val="Subtle Reference"/>
    <w:basedOn w:val="DefaultParagraphFont"/>
    <w:uiPriority w:val="31"/>
    <w:qFormat/>
    <w:rsid w:val="00441BE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41BE2"/>
    <w:rPr>
      <w:b/>
      <w:bCs/>
      <w:smallCaps/>
      <w:spacing w:val="5"/>
      <w:u w:val="single"/>
    </w:rPr>
  </w:style>
  <w:style w:type="character" w:styleId="BookTitle">
    <w:name w:val="Book Title"/>
    <w:basedOn w:val="DefaultParagraphFont"/>
    <w:uiPriority w:val="33"/>
    <w:qFormat/>
    <w:rsid w:val="00441BE2"/>
    <w:rPr>
      <w:b/>
      <w:bCs/>
      <w:smallCaps/>
    </w:rPr>
  </w:style>
  <w:style w:type="table" w:customStyle="1" w:styleId="TableGrid2">
    <w:name w:val="Table Grid2"/>
    <w:basedOn w:val="TableNormal"/>
    <w:next w:val="TableGrid"/>
    <w:uiPriority w:val="59"/>
    <w:rsid w:val="0044238D"/>
    <w:pPr>
      <w:spacing w:before="120"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nadjen">
    <w:name w:val="pronadjen"/>
    <w:basedOn w:val="DefaultParagraphFont"/>
    <w:qFormat/>
    <w:rsid w:val="003F3312"/>
  </w:style>
  <w:style w:type="character" w:customStyle="1" w:styleId="BodyTextChar">
    <w:name w:val="Body Text Char"/>
    <w:basedOn w:val="DefaultParagraphFont"/>
    <w:link w:val="BodyText"/>
    <w:uiPriority w:val="1"/>
    <w:qFormat/>
    <w:rsid w:val="003F3312"/>
    <w:rPr>
      <w:rFonts w:eastAsia="Times New Roman" w:cs="Calibri"/>
      <w:lang w:val="en-US"/>
    </w:rPr>
  </w:style>
  <w:style w:type="paragraph" w:styleId="BodyText">
    <w:name w:val="Body Text"/>
    <w:basedOn w:val="Normal"/>
    <w:link w:val="BodyTextChar"/>
    <w:uiPriority w:val="1"/>
    <w:qFormat/>
    <w:rsid w:val="003F3312"/>
    <w:pPr>
      <w:spacing w:after="140" w:line="276" w:lineRule="auto"/>
    </w:pPr>
    <w:rPr>
      <w:rFonts w:eastAsia="Times New Roman" w:cs="Calibri"/>
      <w:lang w:val="en-US"/>
    </w:rPr>
  </w:style>
  <w:style w:type="character" w:customStyle="1" w:styleId="BodyTextChar1">
    <w:name w:val="Body Text Char1"/>
    <w:basedOn w:val="DefaultParagraphFont"/>
    <w:uiPriority w:val="1"/>
    <w:semiHidden/>
    <w:rsid w:val="003F3312"/>
  </w:style>
  <w:style w:type="table" w:customStyle="1" w:styleId="ListTable1Light-Accent11">
    <w:name w:val="List Table 1 Light - Accent 11"/>
    <w:basedOn w:val="TableNormal"/>
    <w:uiPriority w:val="46"/>
    <w:rsid w:val="003F3312"/>
    <w:pPr>
      <w:spacing w:after="0" w:line="240" w:lineRule="auto"/>
    </w:pPr>
    <w:rPr>
      <w:lang w:val="en-US"/>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3">
    <w:name w:val="Table Grid3"/>
    <w:basedOn w:val="TableNormal"/>
    <w:next w:val="TableGrid"/>
    <w:uiPriority w:val="59"/>
    <w:rsid w:val="003F3312"/>
    <w:pPr>
      <w:spacing w:after="0" w:line="240" w:lineRule="auto"/>
      <w:jc w:val="both"/>
    </w:pPr>
    <w:rPr>
      <w:rFonts w:ascii="Arial Narrow" w:hAnsi="Arial Narrow"/>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F3312"/>
    <w:pPr>
      <w:spacing w:after="0" w:line="240" w:lineRule="auto"/>
      <w:jc w:val="both"/>
    </w:pPr>
    <w:rPr>
      <w:rFonts w:ascii="Arial Narrow" w:hAnsi="Arial Narrow"/>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F3312"/>
    <w:pPr>
      <w:spacing w:after="0" w:line="240" w:lineRule="auto"/>
      <w:jc w:val="both"/>
    </w:pPr>
    <w:rPr>
      <w:rFonts w:ascii="Arial Narrow" w:hAnsi="Arial Narrow"/>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F3312"/>
    <w:pPr>
      <w:spacing w:after="0" w:line="240" w:lineRule="auto"/>
      <w:jc w:val="both"/>
    </w:pPr>
    <w:rPr>
      <w:rFonts w:ascii="Arial Narrow" w:hAnsi="Arial Narrow"/>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F3312"/>
    <w:pPr>
      <w:spacing w:after="0" w:line="240" w:lineRule="auto"/>
      <w:jc w:val="both"/>
    </w:pPr>
    <w:rPr>
      <w:rFonts w:ascii="Arial Narrow" w:hAnsi="Arial Narrow"/>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Text">
    <w:name w:val="Preformatted Text"/>
    <w:basedOn w:val="Normal"/>
    <w:qFormat/>
    <w:rsid w:val="003F3312"/>
    <w:pPr>
      <w:spacing w:after="0"/>
    </w:pPr>
    <w:rPr>
      <w:rFonts w:ascii="Liberation Mono" w:hAnsi="Liberation Mono" w:cs="Liberation Mono"/>
      <w:kern w:val="2"/>
      <w:sz w:val="20"/>
      <w:szCs w:val="20"/>
      <w:lang w:val="en-US"/>
    </w:rPr>
  </w:style>
  <w:style w:type="paragraph" w:customStyle="1" w:styleId="Bullet1">
    <w:name w:val="Bullet 1"/>
    <w:basedOn w:val="ListBullet"/>
    <w:qFormat/>
    <w:rsid w:val="003F3312"/>
    <w:pPr>
      <w:numPr>
        <w:numId w:val="0"/>
      </w:numPr>
      <w:spacing w:before="20" w:after="20" w:line="240" w:lineRule="exact"/>
      <w:ind w:left="142" w:hanging="142"/>
      <w:contextualSpacing w:val="0"/>
      <w:jc w:val="left"/>
    </w:pPr>
    <w:rPr>
      <w:rFonts w:ascii="DejaVu Sans" w:hAnsi="DejaVu Sans" w:cs="DejaVu Sans"/>
      <w:sz w:val="18"/>
      <w:szCs w:val="18"/>
      <w:lang w:val="en-US"/>
    </w:rPr>
  </w:style>
  <w:style w:type="paragraph" w:styleId="ListBullet">
    <w:name w:val="List Bullet"/>
    <w:basedOn w:val="Normal"/>
    <w:uiPriority w:val="99"/>
    <w:semiHidden/>
    <w:unhideWhenUsed/>
    <w:rsid w:val="003F3312"/>
    <w:pPr>
      <w:numPr>
        <w:numId w:val="22"/>
      </w:numPr>
      <w:spacing w:after="120"/>
      <w:ind w:left="360" w:hanging="360"/>
      <w:contextualSpacing/>
    </w:pPr>
    <w:rPr>
      <w:lang w:val="de-DE"/>
    </w:rPr>
  </w:style>
  <w:style w:type="character" w:customStyle="1" w:styleId="hps">
    <w:name w:val="hps"/>
    <w:uiPriority w:val="99"/>
    <w:rsid w:val="003F3312"/>
    <w:rPr>
      <w:rFonts w:cs="Times New Roman"/>
    </w:rPr>
  </w:style>
  <w:style w:type="character" w:customStyle="1" w:styleId="InternetLink">
    <w:name w:val="Internet Link"/>
    <w:basedOn w:val="DefaultParagraphFont"/>
    <w:uiPriority w:val="99"/>
    <w:unhideWhenUsed/>
    <w:rsid w:val="003F3312"/>
    <w:rPr>
      <w:color w:val="0563C1" w:themeColor="hyperlink"/>
      <w:u w:val="single"/>
    </w:rPr>
  </w:style>
  <w:style w:type="character" w:customStyle="1" w:styleId="ListLabel10">
    <w:name w:val="ListLabel 10"/>
    <w:qFormat/>
    <w:rsid w:val="003F3312"/>
    <w:rPr>
      <w:rFonts w:cs="Courier New"/>
    </w:rPr>
  </w:style>
  <w:style w:type="character" w:customStyle="1" w:styleId="EndnoteAnchor">
    <w:name w:val="Endnote Anchor"/>
    <w:rsid w:val="003F3312"/>
    <w:rPr>
      <w:vertAlign w:val="superscript"/>
    </w:rPr>
  </w:style>
  <w:style w:type="character" w:customStyle="1" w:styleId="EndnoteCharacters">
    <w:name w:val="Endnote Characters"/>
    <w:qFormat/>
    <w:rsid w:val="003F3312"/>
  </w:style>
  <w:style w:type="paragraph" w:customStyle="1" w:styleId="Heading">
    <w:name w:val="Heading"/>
    <w:basedOn w:val="Normal"/>
    <w:next w:val="BodyText"/>
    <w:qFormat/>
    <w:rsid w:val="003F3312"/>
    <w:pPr>
      <w:keepNext/>
      <w:spacing w:before="240" w:after="120"/>
    </w:pPr>
    <w:rPr>
      <w:rFonts w:ascii="Liberation Sans" w:eastAsia="Noto Sans CJK SC" w:hAnsi="Liberation Sans" w:cs="Lohit Devanagari"/>
      <w:sz w:val="28"/>
      <w:szCs w:val="28"/>
      <w:lang w:val="de-DE"/>
    </w:rPr>
  </w:style>
  <w:style w:type="paragraph" w:styleId="List">
    <w:name w:val="List"/>
    <w:basedOn w:val="BodyText"/>
    <w:rsid w:val="003F3312"/>
    <w:pPr>
      <w:widowControl w:val="0"/>
      <w:spacing w:after="0" w:line="240" w:lineRule="auto"/>
    </w:pPr>
    <w:rPr>
      <w:rFonts w:ascii="Calibri" w:eastAsia="Calibri" w:hAnsi="Calibri" w:cs="Lohit Devanagari"/>
      <w:lang w:val="en-GB" w:eastAsia="en-GB" w:bidi="en-GB"/>
    </w:rPr>
  </w:style>
  <w:style w:type="paragraph" w:customStyle="1" w:styleId="Index">
    <w:name w:val="Index"/>
    <w:basedOn w:val="Normal"/>
    <w:qFormat/>
    <w:rsid w:val="003F3312"/>
    <w:pPr>
      <w:suppressLineNumbers/>
      <w:spacing w:after="120"/>
    </w:pPr>
    <w:rPr>
      <w:rFonts w:cs="Lohit Devanagari"/>
      <w:lang w:val="de-DE"/>
    </w:rPr>
  </w:style>
  <w:style w:type="character" w:customStyle="1" w:styleId="FooterChar1">
    <w:name w:val="Footer Char1"/>
    <w:basedOn w:val="DefaultParagraphFont"/>
    <w:uiPriority w:val="99"/>
    <w:semiHidden/>
    <w:rsid w:val="003F3312"/>
    <w:rPr>
      <w:lang w:val="de-DE"/>
    </w:rPr>
  </w:style>
  <w:style w:type="paragraph" w:customStyle="1" w:styleId="Standard">
    <w:name w:val="Standard"/>
    <w:qFormat/>
    <w:rsid w:val="003F3312"/>
    <w:pPr>
      <w:suppressAutoHyphens/>
      <w:spacing w:after="0" w:line="240" w:lineRule="auto"/>
      <w:textAlignment w:val="baseline"/>
    </w:pPr>
    <w:rPr>
      <w:rFonts w:ascii="Liberation Serif" w:eastAsia="Times New Roman" w:hAnsi="Liberation Serif" w:cs="FreeSans"/>
      <w:kern w:val="2"/>
      <w:sz w:val="24"/>
      <w:szCs w:val="24"/>
      <w:lang w:val="en-US" w:eastAsia="zh-CN" w:bidi="hi-IN"/>
    </w:rPr>
  </w:style>
  <w:style w:type="paragraph" w:customStyle="1" w:styleId="FrameContents">
    <w:name w:val="Frame Contents"/>
    <w:basedOn w:val="Normal"/>
    <w:qFormat/>
    <w:rsid w:val="003F3312"/>
    <w:pPr>
      <w:spacing w:after="120"/>
    </w:pPr>
    <w:rPr>
      <w:lang w:val="de-DE"/>
    </w:rPr>
  </w:style>
  <w:style w:type="paragraph" w:customStyle="1" w:styleId="Quotations">
    <w:name w:val="Quotations"/>
    <w:basedOn w:val="Normal"/>
    <w:qFormat/>
    <w:rsid w:val="003F3312"/>
    <w:pPr>
      <w:spacing w:after="283"/>
      <w:ind w:left="567" w:right="567"/>
    </w:pPr>
    <w:rPr>
      <w:lang w:val="de-DE"/>
    </w:rPr>
  </w:style>
  <w:style w:type="character" w:customStyle="1" w:styleId="CommentTextChar1">
    <w:name w:val="Comment Text Char1"/>
    <w:basedOn w:val="DefaultParagraphFont"/>
    <w:uiPriority w:val="99"/>
    <w:semiHidden/>
    <w:rsid w:val="003F3312"/>
    <w:rPr>
      <w:sz w:val="20"/>
      <w:szCs w:val="20"/>
      <w:lang w:val="de-DE"/>
    </w:rPr>
  </w:style>
  <w:style w:type="paragraph" w:customStyle="1" w:styleId="Textbody">
    <w:name w:val="Text body"/>
    <w:basedOn w:val="Standard"/>
    <w:rsid w:val="003F3312"/>
    <w:pPr>
      <w:autoSpaceDN w:val="0"/>
      <w:spacing w:after="140" w:line="276" w:lineRule="auto"/>
    </w:pPr>
    <w:rPr>
      <w:rFonts w:eastAsia="Noto Sans CJK SC" w:cs="Lohit Devanagari"/>
      <w:kern w:val="3"/>
    </w:rPr>
  </w:style>
  <w:style w:type="paragraph" w:customStyle="1" w:styleId="BodyText0">
    <w:name w:val="BodyText"/>
    <w:basedOn w:val="Normal"/>
    <w:qFormat/>
    <w:rsid w:val="003F3312"/>
    <w:pPr>
      <w:spacing w:before="60" w:after="0" w:line="240" w:lineRule="exact"/>
    </w:pPr>
    <w:rPr>
      <w:rFonts w:ascii="DejaVu Sans" w:hAnsi="DejaVu Sans" w:cs="DejaVu Sans"/>
      <w:sz w:val="18"/>
      <w:szCs w:val="18"/>
      <w:lang w:val="en-US"/>
    </w:rPr>
  </w:style>
  <w:style w:type="character" w:customStyle="1" w:styleId="trs">
    <w:name w:val="trs"/>
    <w:basedOn w:val="DefaultParagraphFont"/>
    <w:rsid w:val="003F3312"/>
  </w:style>
  <w:style w:type="numbering" w:customStyle="1" w:styleId="NoList2">
    <w:name w:val="No List2"/>
    <w:next w:val="NoList"/>
    <w:uiPriority w:val="99"/>
    <w:semiHidden/>
    <w:unhideWhenUsed/>
    <w:rsid w:val="00E22FCF"/>
  </w:style>
  <w:style w:type="table" w:customStyle="1" w:styleId="TableGrid8">
    <w:name w:val="Table Grid8"/>
    <w:basedOn w:val="TableNormal"/>
    <w:next w:val="TableGrid"/>
    <w:uiPriority w:val="39"/>
    <w:rsid w:val="00E22FCF"/>
    <w:pPr>
      <w:spacing w:before="120"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A0B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2-Accent3">
    <w:name w:val="List Table 2 Accent 3"/>
    <w:basedOn w:val="TableNormal"/>
    <w:uiPriority w:val="47"/>
    <w:rsid w:val="00CC27E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CC27E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9">
    <w:name w:val="Table Grid9"/>
    <w:basedOn w:val="TableNormal"/>
    <w:next w:val="TableGrid"/>
    <w:rsid w:val="0052658F"/>
    <w:pPr>
      <w:spacing w:after="0" w:line="240" w:lineRule="auto"/>
    </w:pPr>
    <w:rPr>
      <w:rFonts w:ascii="Georgia" w:hAnsi="Georgia"/>
      <w:sz w:val="20"/>
      <w:szCs w:val="20"/>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6Colorful-Accent3">
    <w:name w:val="List Table 6 Colorful Accent 3"/>
    <w:basedOn w:val="TableNormal"/>
    <w:uiPriority w:val="51"/>
    <w:rsid w:val="00BA5D2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0">
    <w:name w:val="Table Grid10"/>
    <w:basedOn w:val="TableNormal"/>
    <w:next w:val="TableGrid"/>
    <w:uiPriority w:val="39"/>
    <w:rsid w:val="009E21AC"/>
    <w:pPr>
      <w:spacing w:before="120" w:after="0" w:line="240" w:lineRule="auto"/>
      <w:jc w:val="both"/>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E21AC"/>
    <w:pPr>
      <w:spacing w:before="120" w:after="0" w:line="240" w:lineRule="auto"/>
      <w:jc w:val="both"/>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60FCD"/>
    <w:pPr>
      <w:spacing w:before="120" w:after="0" w:line="240" w:lineRule="auto"/>
      <w:jc w:val="both"/>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E6E7E"/>
  </w:style>
  <w:style w:type="table" w:customStyle="1" w:styleId="TableGrid13">
    <w:name w:val="Table Grid13"/>
    <w:basedOn w:val="TableNormal"/>
    <w:next w:val="TableGrid"/>
    <w:uiPriority w:val="39"/>
    <w:rsid w:val="00AE6E7E"/>
    <w:pPr>
      <w:spacing w:before="120" w:after="0" w:line="240" w:lineRule="auto"/>
      <w:jc w:val="both"/>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E6E7E"/>
  </w:style>
  <w:style w:type="table" w:customStyle="1" w:styleId="TableGrid14">
    <w:name w:val="Table Grid14"/>
    <w:basedOn w:val="TableNormal"/>
    <w:next w:val="TableGrid"/>
    <w:uiPriority w:val="59"/>
    <w:rsid w:val="00AE6E7E"/>
    <w:pPr>
      <w:spacing w:before="120"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uiPriority w:val="99"/>
    <w:rsid w:val="00AE6E7E"/>
    <w:pPr>
      <w:spacing w:after="0" w:line="240" w:lineRule="auto"/>
    </w:pPr>
    <w:rPr>
      <w:lang w:val="uz-Cyrl-UZ"/>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21">
    <w:name w:val="Table Grid21"/>
    <w:basedOn w:val="TableNormal"/>
    <w:next w:val="TableGrid"/>
    <w:uiPriority w:val="59"/>
    <w:rsid w:val="00AE6E7E"/>
    <w:pPr>
      <w:spacing w:before="120"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1">
    <w:name w:val="List Table 1 Light - Accent 111"/>
    <w:basedOn w:val="TableNormal"/>
    <w:uiPriority w:val="46"/>
    <w:rsid w:val="00AE6E7E"/>
    <w:pPr>
      <w:spacing w:after="0" w:line="240" w:lineRule="auto"/>
    </w:pPr>
    <w:rPr>
      <w:lang w:val="en-US"/>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31">
    <w:name w:val="Table Grid31"/>
    <w:basedOn w:val="TableNormal"/>
    <w:next w:val="TableGrid"/>
    <w:uiPriority w:val="59"/>
    <w:rsid w:val="00AE6E7E"/>
    <w:pPr>
      <w:spacing w:after="0" w:line="240" w:lineRule="auto"/>
      <w:jc w:val="both"/>
    </w:pPr>
    <w:rPr>
      <w:rFonts w:ascii="Arial Narrow" w:hAnsi="Arial Narrow"/>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AE6E7E"/>
    <w:pPr>
      <w:spacing w:after="0" w:line="240" w:lineRule="auto"/>
      <w:jc w:val="both"/>
    </w:pPr>
    <w:rPr>
      <w:rFonts w:ascii="Arial Narrow" w:hAnsi="Arial Narrow"/>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E6E7E"/>
    <w:pPr>
      <w:spacing w:after="0" w:line="240" w:lineRule="auto"/>
      <w:jc w:val="both"/>
    </w:pPr>
    <w:rPr>
      <w:rFonts w:ascii="Arial Narrow" w:hAnsi="Arial Narrow"/>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E6E7E"/>
    <w:pPr>
      <w:spacing w:after="0" w:line="240" w:lineRule="auto"/>
      <w:jc w:val="both"/>
    </w:pPr>
    <w:rPr>
      <w:rFonts w:ascii="Arial Narrow" w:hAnsi="Arial Narrow"/>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E6E7E"/>
    <w:pPr>
      <w:spacing w:after="0" w:line="240" w:lineRule="auto"/>
      <w:jc w:val="both"/>
    </w:pPr>
    <w:rPr>
      <w:rFonts w:ascii="Arial Narrow" w:hAnsi="Arial Narrow"/>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E6E7E"/>
  </w:style>
  <w:style w:type="table" w:customStyle="1" w:styleId="TableGrid81">
    <w:name w:val="Table Grid81"/>
    <w:basedOn w:val="TableNormal"/>
    <w:next w:val="TableGrid"/>
    <w:uiPriority w:val="39"/>
    <w:rsid w:val="00AE6E7E"/>
    <w:pPr>
      <w:spacing w:before="120"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958ED"/>
    <w:pPr>
      <w:spacing w:before="120" w:after="0" w:line="240" w:lineRule="auto"/>
      <w:jc w:val="both"/>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4266E"/>
    <w:pPr>
      <w:suppressAutoHyphens w:val="0"/>
      <w:autoSpaceDN/>
      <w:spacing w:before="0" w:after="100" w:line="259" w:lineRule="auto"/>
      <w:ind w:left="660" w:firstLine="0"/>
      <w:jc w:val="left"/>
      <w:textAlignment w:val="auto"/>
    </w:pPr>
    <w:rPr>
      <w:rFonts w:asciiTheme="minorHAnsi" w:eastAsiaTheme="minorEastAsia" w:hAnsiTheme="minorHAnsi" w:cstheme="minorBidi"/>
      <w:kern w:val="0"/>
      <w:sz w:val="22"/>
      <w:szCs w:val="22"/>
      <w:lang w:eastAsia="sr-Cyrl-RS" w:bidi="ar-SA"/>
    </w:rPr>
  </w:style>
  <w:style w:type="paragraph" w:styleId="TOC5">
    <w:name w:val="toc 5"/>
    <w:basedOn w:val="Normal"/>
    <w:next w:val="Normal"/>
    <w:autoRedefine/>
    <w:uiPriority w:val="39"/>
    <w:unhideWhenUsed/>
    <w:rsid w:val="00D4266E"/>
    <w:pPr>
      <w:suppressAutoHyphens w:val="0"/>
      <w:autoSpaceDN/>
      <w:spacing w:before="0" w:after="100" w:line="259" w:lineRule="auto"/>
      <w:ind w:left="880" w:firstLine="0"/>
      <w:jc w:val="left"/>
      <w:textAlignment w:val="auto"/>
    </w:pPr>
    <w:rPr>
      <w:rFonts w:asciiTheme="minorHAnsi" w:eastAsiaTheme="minorEastAsia" w:hAnsiTheme="minorHAnsi" w:cstheme="minorBidi"/>
      <w:kern w:val="0"/>
      <w:sz w:val="22"/>
      <w:szCs w:val="22"/>
      <w:lang w:eastAsia="sr-Cyrl-RS" w:bidi="ar-SA"/>
    </w:rPr>
  </w:style>
  <w:style w:type="paragraph" w:styleId="TOC6">
    <w:name w:val="toc 6"/>
    <w:basedOn w:val="Normal"/>
    <w:next w:val="Normal"/>
    <w:autoRedefine/>
    <w:uiPriority w:val="39"/>
    <w:unhideWhenUsed/>
    <w:rsid w:val="00D4266E"/>
    <w:pPr>
      <w:suppressAutoHyphens w:val="0"/>
      <w:autoSpaceDN/>
      <w:spacing w:before="0" w:after="100" w:line="259" w:lineRule="auto"/>
      <w:ind w:left="1100" w:firstLine="0"/>
      <w:jc w:val="left"/>
      <w:textAlignment w:val="auto"/>
    </w:pPr>
    <w:rPr>
      <w:rFonts w:asciiTheme="minorHAnsi" w:eastAsiaTheme="minorEastAsia" w:hAnsiTheme="minorHAnsi" w:cstheme="minorBidi"/>
      <w:kern w:val="0"/>
      <w:sz w:val="22"/>
      <w:szCs w:val="22"/>
      <w:lang w:eastAsia="sr-Cyrl-RS" w:bidi="ar-SA"/>
    </w:rPr>
  </w:style>
  <w:style w:type="paragraph" w:styleId="TOC7">
    <w:name w:val="toc 7"/>
    <w:basedOn w:val="Normal"/>
    <w:next w:val="Normal"/>
    <w:autoRedefine/>
    <w:uiPriority w:val="39"/>
    <w:unhideWhenUsed/>
    <w:rsid w:val="00D4266E"/>
    <w:pPr>
      <w:suppressAutoHyphens w:val="0"/>
      <w:autoSpaceDN/>
      <w:spacing w:before="0" w:after="100" w:line="259" w:lineRule="auto"/>
      <w:ind w:left="1320" w:firstLine="0"/>
      <w:jc w:val="left"/>
      <w:textAlignment w:val="auto"/>
    </w:pPr>
    <w:rPr>
      <w:rFonts w:asciiTheme="minorHAnsi" w:eastAsiaTheme="minorEastAsia" w:hAnsiTheme="minorHAnsi" w:cstheme="minorBidi"/>
      <w:kern w:val="0"/>
      <w:sz w:val="22"/>
      <w:szCs w:val="22"/>
      <w:lang w:eastAsia="sr-Cyrl-RS" w:bidi="ar-SA"/>
    </w:rPr>
  </w:style>
  <w:style w:type="paragraph" w:styleId="TOC8">
    <w:name w:val="toc 8"/>
    <w:basedOn w:val="Normal"/>
    <w:next w:val="Normal"/>
    <w:autoRedefine/>
    <w:uiPriority w:val="39"/>
    <w:unhideWhenUsed/>
    <w:rsid w:val="00D4266E"/>
    <w:pPr>
      <w:suppressAutoHyphens w:val="0"/>
      <w:autoSpaceDN/>
      <w:spacing w:before="0" w:after="100" w:line="259" w:lineRule="auto"/>
      <w:ind w:left="1540" w:firstLine="0"/>
      <w:jc w:val="left"/>
      <w:textAlignment w:val="auto"/>
    </w:pPr>
    <w:rPr>
      <w:rFonts w:asciiTheme="minorHAnsi" w:eastAsiaTheme="minorEastAsia" w:hAnsiTheme="minorHAnsi" w:cstheme="minorBidi"/>
      <w:kern w:val="0"/>
      <w:sz w:val="22"/>
      <w:szCs w:val="22"/>
      <w:lang w:eastAsia="sr-Cyrl-RS" w:bidi="ar-SA"/>
    </w:rPr>
  </w:style>
  <w:style w:type="paragraph" w:styleId="TOC9">
    <w:name w:val="toc 9"/>
    <w:basedOn w:val="Normal"/>
    <w:next w:val="Normal"/>
    <w:autoRedefine/>
    <w:uiPriority w:val="39"/>
    <w:unhideWhenUsed/>
    <w:rsid w:val="00D4266E"/>
    <w:pPr>
      <w:suppressAutoHyphens w:val="0"/>
      <w:autoSpaceDN/>
      <w:spacing w:before="0" w:after="100" w:line="259" w:lineRule="auto"/>
      <w:ind w:left="1760" w:firstLine="0"/>
      <w:jc w:val="left"/>
      <w:textAlignment w:val="auto"/>
    </w:pPr>
    <w:rPr>
      <w:rFonts w:asciiTheme="minorHAnsi" w:eastAsiaTheme="minorEastAsia" w:hAnsiTheme="minorHAnsi" w:cstheme="minorBidi"/>
      <w:kern w:val="0"/>
      <w:sz w:val="22"/>
      <w:szCs w:val="22"/>
      <w:lang w:eastAsia="sr-Cyrl-RS" w:bidi="ar-SA"/>
    </w:rPr>
  </w:style>
  <w:style w:type="character" w:customStyle="1" w:styleId="UnresolvedMention8">
    <w:name w:val="Unresolved Mention8"/>
    <w:basedOn w:val="DefaultParagraphFont"/>
    <w:uiPriority w:val="99"/>
    <w:semiHidden/>
    <w:unhideWhenUsed/>
    <w:rsid w:val="00D4266E"/>
    <w:rPr>
      <w:color w:val="605E5C"/>
      <w:shd w:val="clear" w:color="auto" w:fill="E1DFDD"/>
    </w:rPr>
  </w:style>
  <w:style w:type="table" w:styleId="PlainTable3">
    <w:name w:val="Plain Table 3"/>
    <w:basedOn w:val="TableNormal"/>
    <w:uiPriority w:val="43"/>
    <w:rsid w:val="00B46F2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1">
    <w:name w:val="Grid Table 1 Light - Accent 31"/>
    <w:basedOn w:val="TableNormal"/>
    <w:next w:val="GridTable1Light-Accent3"/>
    <w:uiPriority w:val="46"/>
    <w:rsid w:val="00D321E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UnresolvedMention9">
    <w:name w:val="Unresolved Mention9"/>
    <w:basedOn w:val="DefaultParagraphFont"/>
    <w:uiPriority w:val="99"/>
    <w:semiHidden/>
    <w:unhideWhenUsed/>
    <w:rsid w:val="00D8637F"/>
    <w:rPr>
      <w:color w:val="605E5C"/>
      <w:shd w:val="clear" w:color="auto" w:fill="E1DFDD"/>
    </w:rPr>
  </w:style>
  <w:style w:type="table" w:customStyle="1" w:styleId="TableGrid16">
    <w:name w:val="Table Grid16"/>
    <w:basedOn w:val="TableNormal"/>
    <w:next w:val="TableGrid"/>
    <w:uiPriority w:val="39"/>
    <w:rsid w:val="00BA5F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0"/>
    <w:basedOn w:val="DefaultParagraphFont"/>
    <w:uiPriority w:val="99"/>
    <w:semiHidden/>
    <w:unhideWhenUsed/>
    <w:rsid w:val="00C32EBA"/>
    <w:rPr>
      <w:color w:val="605E5C"/>
      <w:shd w:val="clear" w:color="auto" w:fill="E1DFDD"/>
    </w:rPr>
  </w:style>
  <w:style w:type="table" w:customStyle="1" w:styleId="ListTable2-Accent31">
    <w:name w:val="List Table 2 - Accent 31"/>
    <w:basedOn w:val="TableNormal"/>
    <w:uiPriority w:val="47"/>
    <w:rsid w:val="009300FD"/>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9300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2">
    <w:name w:val="Unresolved Mention12"/>
    <w:basedOn w:val="DefaultParagraphFont"/>
    <w:uiPriority w:val="99"/>
    <w:semiHidden/>
    <w:unhideWhenUsed/>
    <w:rsid w:val="002F1B51"/>
    <w:rPr>
      <w:color w:val="605E5C"/>
      <w:shd w:val="clear" w:color="auto" w:fill="E1DFDD"/>
    </w:rPr>
  </w:style>
  <w:style w:type="paragraph" w:customStyle="1" w:styleId="Style1">
    <w:name w:val="Style1"/>
    <w:basedOn w:val="Heading4"/>
    <w:link w:val="Style1Char"/>
    <w:qFormat/>
    <w:rsid w:val="0044188C"/>
  </w:style>
  <w:style w:type="character" w:customStyle="1" w:styleId="UnresolvedMention13">
    <w:name w:val="Unresolved Mention13"/>
    <w:basedOn w:val="DefaultParagraphFont"/>
    <w:uiPriority w:val="99"/>
    <w:semiHidden/>
    <w:unhideWhenUsed/>
    <w:rsid w:val="008A5C60"/>
    <w:rPr>
      <w:color w:val="605E5C"/>
      <w:shd w:val="clear" w:color="auto" w:fill="E1DFDD"/>
    </w:rPr>
  </w:style>
  <w:style w:type="character" w:customStyle="1" w:styleId="Style1Char">
    <w:name w:val="Style1 Char"/>
    <w:basedOn w:val="Heading4Char"/>
    <w:link w:val="Style1"/>
    <w:rsid w:val="0044188C"/>
    <w:rPr>
      <w:rFonts w:ascii="Times New Roman" w:hAnsi="Times New Roman" w:cstheme="majorBidi"/>
      <w:i/>
      <w:iCs/>
      <w:color w:val="2F5496" w:themeColor="accent1" w:themeShade="BF"/>
      <w:kern w:val="3"/>
      <w:sz w:val="24"/>
      <w:szCs w:val="24"/>
      <w:lang w:val="de-DE"/>
    </w:rPr>
  </w:style>
  <w:style w:type="character" w:customStyle="1" w:styleId="UnresolvedMention14">
    <w:name w:val="Unresolved Mention14"/>
    <w:basedOn w:val="DefaultParagraphFont"/>
    <w:uiPriority w:val="99"/>
    <w:semiHidden/>
    <w:unhideWhenUsed/>
    <w:rsid w:val="001C7FE0"/>
    <w:rPr>
      <w:color w:val="605E5C"/>
      <w:shd w:val="clear" w:color="auto" w:fill="E1DFDD"/>
    </w:rPr>
  </w:style>
  <w:style w:type="table" w:styleId="ListTable1Light-Accent3">
    <w:name w:val="List Table 1 Light Accent 3"/>
    <w:basedOn w:val="TableNormal"/>
    <w:uiPriority w:val="46"/>
    <w:rsid w:val="00163B00"/>
    <w:pPr>
      <w:spacing w:after="0" w:line="240" w:lineRule="auto"/>
    </w:pPr>
    <w:rPr>
      <w:lang w:val="en-GB"/>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4">
    <w:name w:val="No List4"/>
    <w:next w:val="NoList"/>
    <w:uiPriority w:val="99"/>
    <w:semiHidden/>
    <w:unhideWhenUsed/>
    <w:rsid w:val="00163B00"/>
  </w:style>
  <w:style w:type="table" w:customStyle="1" w:styleId="TableGrid17">
    <w:name w:val="Table Grid17"/>
    <w:basedOn w:val="TableNormal"/>
    <w:next w:val="TableGrid"/>
    <w:uiPriority w:val="39"/>
    <w:rsid w:val="00163B0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163B00"/>
    <w:pPr>
      <w:spacing w:before="120"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6">
    <w:name w:val="List Table 6 Colorful Accent 6"/>
    <w:basedOn w:val="TableNormal"/>
    <w:uiPriority w:val="51"/>
    <w:rsid w:val="00163B00"/>
    <w:pPr>
      <w:spacing w:after="0" w:line="240" w:lineRule="auto"/>
    </w:pPr>
    <w:rPr>
      <w:color w:val="538135" w:themeColor="accent6" w:themeShade="BF"/>
      <w:lang w:val="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Accent6">
    <w:name w:val="Grid Table 7 Colorful Accent 6"/>
    <w:basedOn w:val="TableNormal"/>
    <w:uiPriority w:val="52"/>
    <w:rsid w:val="00163B00"/>
    <w:pPr>
      <w:spacing w:after="0" w:line="240" w:lineRule="auto"/>
    </w:pPr>
    <w:rPr>
      <w:color w:val="538135" w:themeColor="accent6" w:themeShade="BF"/>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stTable2-Accent311">
    <w:name w:val="List Table 2 - Accent 311"/>
    <w:basedOn w:val="TableNormal"/>
    <w:uiPriority w:val="47"/>
    <w:rsid w:val="00163B00"/>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1">
    <w:name w:val="Table Grid Light11"/>
    <w:basedOn w:val="TableNormal"/>
    <w:uiPriority w:val="40"/>
    <w:rsid w:val="00163B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93084">
      <w:bodyDiv w:val="1"/>
      <w:marLeft w:val="0"/>
      <w:marRight w:val="0"/>
      <w:marTop w:val="0"/>
      <w:marBottom w:val="0"/>
      <w:divBdr>
        <w:top w:val="none" w:sz="0" w:space="0" w:color="auto"/>
        <w:left w:val="none" w:sz="0" w:space="0" w:color="auto"/>
        <w:bottom w:val="none" w:sz="0" w:space="0" w:color="auto"/>
        <w:right w:val="none" w:sz="0" w:space="0" w:color="auto"/>
      </w:divBdr>
    </w:div>
    <w:div w:id="215508567">
      <w:bodyDiv w:val="1"/>
      <w:marLeft w:val="0"/>
      <w:marRight w:val="0"/>
      <w:marTop w:val="0"/>
      <w:marBottom w:val="0"/>
      <w:divBdr>
        <w:top w:val="none" w:sz="0" w:space="0" w:color="auto"/>
        <w:left w:val="none" w:sz="0" w:space="0" w:color="auto"/>
        <w:bottom w:val="none" w:sz="0" w:space="0" w:color="auto"/>
        <w:right w:val="none" w:sz="0" w:space="0" w:color="auto"/>
      </w:divBdr>
      <w:divsChild>
        <w:div w:id="2125346733">
          <w:marLeft w:val="547"/>
          <w:marRight w:val="0"/>
          <w:marTop w:val="0"/>
          <w:marBottom w:val="0"/>
          <w:divBdr>
            <w:top w:val="none" w:sz="0" w:space="0" w:color="auto"/>
            <w:left w:val="none" w:sz="0" w:space="0" w:color="auto"/>
            <w:bottom w:val="none" w:sz="0" w:space="0" w:color="auto"/>
            <w:right w:val="none" w:sz="0" w:space="0" w:color="auto"/>
          </w:divBdr>
        </w:div>
      </w:divsChild>
    </w:div>
    <w:div w:id="240139593">
      <w:bodyDiv w:val="1"/>
      <w:marLeft w:val="0"/>
      <w:marRight w:val="0"/>
      <w:marTop w:val="0"/>
      <w:marBottom w:val="0"/>
      <w:divBdr>
        <w:top w:val="none" w:sz="0" w:space="0" w:color="auto"/>
        <w:left w:val="none" w:sz="0" w:space="0" w:color="auto"/>
        <w:bottom w:val="none" w:sz="0" w:space="0" w:color="auto"/>
        <w:right w:val="none" w:sz="0" w:space="0" w:color="auto"/>
      </w:divBdr>
    </w:div>
    <w:div w:id="259261942">
      <w:bodyDiv w:val="1"/>
      <w:marLeft w:val="0"/>
      <w:marRight w:val="0"/>
      <w:marTop w:val="0"/>
      <w:marBottom w:val="0"/>
      <w:divBdr>
        <w:top w:val="none" w:sz="0" w:space="0" w:color="auto"/>
        <w:left w:val="none" w:sz="0" w:space="0" w:color="auto"/>
        <w:bottom w:val="none" w:sz="0" w:space="0" w:color="auto"/>
        <w:right w:val="none" w:sz="0" w:space="0" w:color="auto"/>
      </w:divBdr>
      <w:divsChild>
        <w:div w:id="1838301612">
          <w:marLeft w:val="547"/>
          <w:marRight w:val="0"/>
          <w:marTop w:val="0"/>
          <w:marBottom w:val="0"/>
          <w:divBdr>
            <w:top w:val="none" w:sz="0" w:space="0" w:color="auto"/>
            <w:left w:val="none" w:sz="0" w:space="0" w:color="auto"/>
            <w:bottom w:val="none" w:sz="0" w:space="0" w:color="auto"/>
            <w:right w:val="none" w:sz="0" w:space="0" w:color="auto"/>
          </w:divBdr>
        </w:div>
      </w:divsChild>
    </w:div>
    <w:div w:id="482548871">
      <w:bodyDiv w:val="1"/>
      <w:marLeft w:val="0"/>
      <w:marRight w:val="0"/>
      <w:marTop w:val="0"/>
      <w:marBottom w:val="0"/>
      <w:divBdr>
        <w:top w:val="none" w:sz="0" w:space="0" w:color="auto"/>
        <w:left w:val="none" w:sz="0" w:space="0" w:color="auto"/>
        <w:bottom w:val="none" w:sz="0" w:space="0" w:color="auto"/>
        <w:right w:val="none" w:sz="0" w:space="0" w:color="auto"/>
      </w:divBdr>
    </w:div>
    <w:div w:id="511844365">
      <w:bodyDiv w:val="1"/>
      <w:marLeft w:val="0"/>
      <w:marRight w:val="0"/>
      <w:marTop w:val="0"/>
      <w:marBottom w:val="0"/>
      <w:divBdr>
        <w:top w:val="none" w:sz="0" w:space="0" w:color="auto"/>
        <w:left w:val="none" w:sz="0" w:space="0" w:color="auto"/>
        <w:bottom w:val="none" w:sz="0" w:space="0" w:color="auto"/>
        <w:right w:val="none" w:sz="0" w:space="0" w:color="auto"/>
      </w:divBdr>
    </w:div>
    <w:div w:id="632104882">
      <w:bodyDiv w:val="1"/>
      <w:marLeft w:val="0"/>
      <w:marRight w:val="0"/>
      <w:marTop w:val="0"/>
      <w:marBottom w:val="0"/>
      <w:divBdr>
        <w:top w:val="none" w:sz="0" w:space="0" w:color="auto"/>
        <w:left w:val="none" w:sz="0" w:space="0" w:color="auto"/>
        <w:bottom w:val="none" w:sz="0" w:space="0" w:color="auto"/>
        <w:right w:val="none" w:sz="0" w:space="0" w:color="auto"/>
      </w:divBdr>
    </w:div>
    <w:div w:id="679624249">
      <w:bodyDiv w:val="1"/>
      <w:marLeft w:val="0"/>
      <w:marRight w:val="0"/>
      <w:marTop w:val="0"/>
      <w:marBottom w:val="0"/>
      <w:divBdr>
        <w:top w:val="none" w:sz="0" w:space="0" w:color="auto"/>
        <w:left w:val="none" w:sz="0" w:space="0" w:color="auto"/>
        <w:bottom w:val="none" w:sz="0" w:space="0" w:color="auto"/>
        <w:right w:val="none" w:sz="0" w:space="0" w:color="auto"/>
      </w:divBdr>
    </w:div>
    <w:div w:id="762458970">
      <w:bodyDiv w:val="1"/>
      <w:marLeft w:val="0"/>
      <w:marRight w:val="0"/>
      <w:marTop w:val="0"/>
      <w:marBottom w:val="0"/>
      <w:divBdr>
        <w:top w:val="none" w:sz="0" w:space="0" w:color="auto"/>
        <w:left w:val="none" w:sz="0" w:space="0" w:color="auto"/>
        <w:bottom w:val="none" w:sz="0" w:space="0" w:color="auto"/>
        <w:right w:val="none" w:sz="0" w:space="0" w:color="auto"/>
      </w:divBdr>
    </w:div>
    <w:div w:id="814179890">
      <w:bodyDiv w:val="1"/>
      <w:marLeft w:val="0"/>
      <w:marRight w:val="0"/>
      <w:marTop w:val="0"/>
      <w:marBottom w:val="0"/>
      <w:divBdr>
        <w:top w:val="none" w:sz="0" w:space="0" w:color="auto"/>
        <w:left w:val="none" w:sz="0" w:space="0" w:color="auto"/>
        <w:bottom w:val="none" w:sz="0" w:space="0" w:color="auto"/>
        <w:right w:val="none" w:sz="0" w:space="0" w:color="auto"/>
      </w:divBdr>
      <w:divsChild>
        <w:div w:id="1144808489">
          <w:marLeft w:val="547"/>
          <w:marRight w:val="0"/>
          <w:marTop w:val="0"/>
          <w:marBottom w:val="0"/>
          <w:divBdr>
            <w:top w:val="none" w:sz="0" w:space="0" w:color="auto"/>
            <w:left w:val="none" w:sz="0" w:space="0" w:color="auto"/>
            <w:bottom w:val="none" w:sz="0" w:space="0" w:color="auto"/>
            <w:right w:val="none" w:sz="0" w:space="0" w:color="auto"/>
          </w:divBdr>
        </w:div>
      </w:divsChild>
    </w:div>
    <w:div w:id="956720229">
      <w:bodyDiv w:val="1"/>
      <w:marLeft w:val="0"/>
      <w:marRight w:val="0"/>
      <w:marTop w:val="0"/>
      <w:marBottom w:val="0"/>
      <w:divBdr>
        <w:top w:val="none" w:sz="0" w:space="0" w:color="auto"/>
        <w:left w:val="none" w:sz="0" w:space="0" w:color="auto"/>
        <w:bottom w:val="none" w:sz="0" w:space="0" w:color="auto"/>
        <w:right w:val="none" w:sz="0" w:space="0" w:color="auto"/>
      </w:divBdr>
    </w:div>
    <w:div w:id="972519426">
      <w:bodyDiv w:val="1"/>
      <w:marLeft w:val="0"/>
      <w:marRight w:val="0"/>
      <w:marTop w:val="0"/>
      <w:marBottom w:val="0"/>
      <w:divBdr>
        <w:top w:val="none" w:sz="0" w:space="0" w:color="auto"/>
        <w:left w:val="none" w:sz="0" w:space="0" w:color="auto"/>
        <w:bottom w:val="none" w:sz="0" w:space="0" w:color="auto"/>
        <w:right w:val="none" w:sz="0" w:space="0" w:color="auto"/>
      </w:divBdr>
    </w:div>
    <w:div w:id="1019353962">
      <w:bodyDiv w:val="1"/>
      <w:marLeft w:val="0"/>
      <w:marRight w:val="0"/>
      <w:marTop w:val="0"/>
      <w:marBottom w:val="0"/>
      <w:divBdr>
        <w:top w:val="none" w:sz="0" w:space="0" w:color="auto"/>
        <w:left w:val="none" w:sz="0" w:space="0" w:color="auto"/>
        <w:bottom w:val="none" w:sz="0" w:space="0" w:color="auto"/>
        <w:right w:val="none" w:sz="0" w:space="0" w:color="auto"/>
      </w:divBdr>
      <w:divsChild>
        <w:div w:id="1360812840">
          <w:marLeft w:val="547"/>
          <w:marRight w:val="0"/>
          <w:marTop w:val="0"/>
          <w:marBottom w:val="0"/>
          <w:divBdr>
            <w:top w:val="none" w:sz="0" w:space="0" w:color="auto"/>
            <w:left w:val="none" w:sz="0" w:space="0" w:color="auto"/>
            <w:bottom w:val="none" w:sz="0" w:space="0" w:color="auto"/>
            <w:right w:val="none" w:sz="0" w:space="0" w:color="auto"/>
          </w:divBdr>
        </w:div>
      </w:divsChild>
    </w:div>
    <w:div w:id="1047996778">
      <w:bodyDiv w:val="1"/>
      <w:marLeft w:val="0"/>
      <w:marRight w:val="0"/>
      <w:marTop w:val="0"/>
      <w:marBottom w:val="0"/>
      <w:divBdr>
        <w:top w:val="none" w:sz="0" w:space="0" w:color="auto"/>
        <w:left w:val="none" w:sz="0" w:space="0" w:color="auto"/>
        <w:bottom w:val="none" w:sz="0" w:space="0" w:color="auto"/>
        <w:right w:val="none" w:sz="0" w:space="0" w:color="auto"/>
      </w:divBdr>
    </w:div>
    <w:div w:id="1051924051">
      <w:bodyDiv w:val="1"/>
      <w:marLeft w:val="0"/>
      <w:marRight w:val="0"/>
      <w:marTop w:val="0"/>
      <w:marBottom w:val="0"/>
      <w:divBdr>
        <w:top w:val="none" w:sz="0" w:space="0" w:color="auto"/>
        <w:left w:val="none" w:sz="0" w:space="0" w:color="auto"/>
        <w:bottom w:val="none" w:sz="0" w:space="0" w:color="auto"/>
        <w:right w:val="none" w:sz="0" w:space="0" w:color="auto"/>
      </w:divBdr>
    </w:div>
    <w:div w:id="1085103571">
      <w:bodyDiv w:val="1"/>
      <w:marLeft w:val="0"/>
      <w:marRight w:val="0"/>
      <w:marTop w:val="0"/>
      <w:marBottom w:val="0"/>
      <w:divBdr>
        <w:top w:val="none" w:sz="0" w:space="0" w:color="auto"/>
        <w:left w:val="none" w:sz="0" w:space="0" w:color="auto"/>
        <w:bottom w:val="none" w:sz="0" w:space="0" w:color="auto"/>
        <w:right w:val="none" w:sz="0" w:space="0" w:color="auto"/>
      </w:divBdr>
    </w:div>
    <w:div w:id="1172600061">
      <w:bodyDiv w:val="1"/>
      <w:marLeft w:val="0"/>
      <w:marRight w:val="0"/>
      <w:marTop w:val="0"/>
      <w:marBottom w:val="0"/>
      <w:divBdr>
        <w:top w:val="none" w:sz="0" w:space="0" w:color="auto"/>
        <w:left w:val="none" w:sz="0" w:space="0" w:color="auto"/>
        <w:bottom w:val="none" w:sz="0" w:space="0" w:color="auto"/>
        <w:right w:val="none" w:sz="0" w:space="0" w:color="auto"/>
      </w:divBdr>
    </w:div>
    <w:div w:id="1294750820">
      <w:bodyDiv w:val="1"/>
      <w:marLeft w:val="0"/>
      <w:marRight w:val="0"/>
      <w:marTop w:val="0"/>
      <w:marBottom w:val="0"/>
      <w:divBdr>
        <w:top w:val="none" w:sz="0" w:space="0" w:color="auto"/>
        <w:left w:val="none" w:sz="0" w:space="0" w:color="auto"/>
        <w:bottom w:val="none" w:sz="0" w:space="0" w:color="auto"/>
        <w:right w:val="none" w:sz="0" w:space="0" w:color="auto"/>
      </w:divBdr>
    </w:div>
    <w:div w:id="1316105481">
      <w:bodyDiv w:val="1"/>
      <w:marLeft w:val="0"/>
      <w:marRight w:val="0"/>
      <w:marTop w:val="0"/>
      <w:marBottom w:val="0"/>
      <w:divBdr>
        <w:top w:val="none" w:sz="0" w:space="0" w:color="auto"/>
        <w:left w:val="none" w:sz="0" w:space="0" w:color="auto"/>
        <w:bottom w:val="none" w:sz="0" w:space="0" w:color="auto"/>
        <w:right w:val="none" w:sz="0" w:space="0" w:color="auto"/>
      </w:divBdr>
    </w:div>
    <w:div w:id="1426000674">
      <w:bodyDiv w:val="1"/>
      <w:marLeft w:val="0"/>
      <w:marRight w:val="0"/>
      <w:marTop w:val="0"/>
      <w:marBottom w:val="0"/>
      <w:divBdr>
        <w:top w:val="none" w:sz="0" w:space="0" w:color="auto"/>
        <w:left w:val="none" w:sz="0" w:space="0" w:color="auto"/>
        <w:bottom w:val="none" w:sz="0" w:space="0" w:color="auto"/>
        <w:right w:val="none" w:sz="0" w:space="0" w:color="auto"/>
      </w:divBdr>
      <w:divsChild>
        <w:div w:id="1531912180">
          <w:marLeft w:val="547"/>
          <w:marRight w:val="0"/>
          <w:marTop w:val="0"/>
          <w:marBottom w:val="0"/>
          <w:divBdr>
            <w:top w:val="none" w:sz="0" w:space="0" w:color="auto"/>
            <w:left w:val="none" w:sz="0" w:space="0" w:color="auto"/>
            <w:bottom w:val="none" w:sz="0" w:space="0" w:color="auto"/>
            <w:right w:val="none" w:sz="0" w:space="0" w:color="auto"/>
          </w:divBdr>
        </w:div>
      </w:divsChild>
    </w:div>
    <w:div w:id="1495027928">
      <w:bodyDiv w:val="1"/>
      <w:marLeft w:val="0"/>
      <w:marRight w:val="0"/>
      <w:marTop w:val="0"/>
      <w:marBottom w:val="0"/>
      <w:divBdr>
        <w:top w:val="none" w:sz="0" w:space="0" w:color="auto"/>
        <w:left w:val="none" w:sz="0" w:space="0" w:color="auto"/>
        <w:bottom w:val="none" w:sz="0" w:space="0" w:color="auto"/>
        <w:right w:val="none" w:sz="0" w:space="0" w:color="auto"/>
      </w:divBdr>
    </w:div>
    <w:div w:id="1551067822">
      <w:bodyDiv w:val="1"/>
      <w:marLeft w:val="0"/>
      <w:marRight w:val="0"/>
      <w:marTop w:val="0"/>
      <w:marBottom w:val="0"/>
      <w:divBdr>
        <w:top w:val="none" w:sz="0" w:space="0" w:color="auto"/>
        <w:left w:val="none" w:sz="0" w:space="0" w:color="auto"/>
        <w:bottom w:val="none" w:sz="0" w:space="0" w:color="auto"/>
        <w:right w:val="none" w:sz="0" w:space="0" w:color="auto"/>
      </w:divBdr>
    </w:div>
    <w:div w:id="1618635662">
      <w:bodyDiv w:val="1"/>
      <w:marLeft w:val="0"/>
      <w:marRight w:val="0"/>
      <w:marTop w:val="0"/>
      <w:marBottom w:val="0"/>
      <w:divBdr>
        <w:top w:val="none" w:sz="0" w:space="0" w:color="auto"/>
        <w:left w:val="none" w:sz="0" w:space="0" w:color="auto"/>
        <w:bottom w:val="none" w:sz="0" w:space="0" w:color="auto"/>
        <w:right w:val="none" w:sz="0" w:space="0" w:color="auto"/>
      </w:divBdr>
    </w:div>
    <w:div w:id="1696350933">
      <w:bodyDiv w:val="1"/>
      <w:marLeft w:val="0"/>
      <w:marRight w:val="0"/>
      <w:marTop w:val="0"/>
      <w:marBottom w:val="0"/>
      <w:divBdr>
        <w:top w:val="none" w:sz="0" w:space="0" w:color="auto"/>
        <w:left w:val="none" w:sz="0" w:space="0" w:color="auto"/>
        <w:bottom w:val="none" w:sz="0" w:space="0" w:color="auto"/>
        <w:right w:val="none" w:sz="0" w:space="0" w:color="auto"/>
      </w:divBdr>
    </w:div>
    <w:div w:id="1877542177">
      <w:bodyDiv w:val="1"/>
      <w:marLeft w:val="0"/>
      <w:marRight w:val="0"/>
      <w:marTop w:val="0"/>
      <w:marBottom w:val="0"/>
      <w:divBdr>
        <w:top w:val="none" w:sz="0" w:space="0" w:color="auto"/>
        <w:left w:val="none" w:sz="0" w:space="0" w:color="auto"/>
        <w:bottom w:val="none" w:sz="0" w:space="0" w:color="auto"/>
        <w:right w:val="none" w:sz="0" w:space="0" w:color="auto"/>
      </w:divBdr>
    </w:div>
    <w:div w:id="191936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7.xml"/><Relationship Id="rId21" Type="http://schemas.openxmlformats.org/officeDocument/2006/relationships/hyperlink" Target="file:///C:\Users\lenovo\Desktop\PAR%20strategy\&#1085;&#1086;&#1074;&#1077;&#1084;&#1073;&#1072;&#1088;%202020\&#1082;&#1088;&#1072;&#1112;\sreda%2025112020\Strategija%20RJU%2001122020%20final.docx" TargetMode="External"/><Relationship Id="rId42" Type="http://schemas.openxmlformats.org/officeDocument/2006/relationships/image" Target="media/image2.png"/><Relationship Id="rId63" Type="http://schemas.openxmlformats.org/officeDocument/2006/relationships/hyperlink" Target="https://www.mei.gov.rs/srp/dokumenta/nacionalna-dokumenta/npaa" TargetMode="External"/><Relationship Id="rId84" Type="http://schemas.openxmlformats.org/officeDocument/2006/relationships/footer" Target="footer12.xml"/><Relationship Id="rId138" Type="http://schemas.openxmlformats.org/officeDocument/2006/relationships/diagramData" Target="diagrams/data3.xml"/><Relationship Id="rId159" Type="http://schemas.openxmlformats.org/officeDocument/2006/relationships/header" Target="header22.xml"/><Relationship Id="rId170" Type="http://schemas.openxmlformats.org/officeDocument/2006/relationships/header" Target="header28.xml"/><Relationship Id="rId191" Type="http://schemas.openxmlformats.org/officeDocument/2006/relationships/header" Target="header33.xml"/><Relationship Id="rId205" Type="http://schemas.openxmlformats.org/officeDocument/2006/relationships/hyperlink" Target="https://ec.europa.eu/digital-single-market/en/news/egovernment-benchmark-2019-trust-government-increasingly-important-people" TargetMode="External"/><Relationship Id="rId226" Type="http://schemas.openxmlformats.org/officeDocument/2006/relationships/diagramColors" Target="diagrams/colors5.xml"/><Relationship Id="rId107" Type="http://schemas.openxmlformats.org/officeDocument/2006/relationships/hyperlink" Target="http://we2.cekos.com/ce/index.xhtml?&amp;file=f147844&amp;action=propis&amp;path=14784401.html&amp;domain=0&amp;mark=false&amp;queries=zakon+o+osnovama+sistema+obrazovanja&amp;searchType=1&amp;regulationType=1&amp;domain=0&amp;myFavorites=false&amp;dateFrom=&amp;dateTo=&amp;groups=-%40--%40--%40--%40--%40-" TargetMode="External"/><Relationship Id="rId11" Type="http://schemas.openxmlformats.org/officeDocument/2006/relationships/hyperlink" Target="file:///C:\Users\lenovo\Desktop\PAR%20strategy\&#1085;&#1086;&#1074;&#1077;&#1084;&#1073;&#1072;&#1088;%202020\&#1082;&#1088;&#1072;&#1112;\sreda%2025112020\Strategija%20RJU%2001122020%20final.docx" TargetMode="External"/><Relationship Id="rId32" Type="http://schemas.openxmlformats.org/officeDocument/2006/relationships/footer" Target="footer2.xml"/><Relationship Id="rId53" Type="http://schemas.openxmlformats.org/officeDocument/2006/relationships/header" Target="header2.xml"/><Relationship Id="rId74" Type="http://schemas.openxmlformats.org/officeDocument/2006/relationships/footer" Target="footer7.xml"/><Relationship Id="rId128" Type="http://schemas.openxmlformats.org/officeDocument/2006/relationships/footer" Target="footer15.xml"/><Relationship Id="rId149" Type="http://schemas.openxmlformats.org/officeDocument/2006/relationships/footer" Target="footer22.xml"/><Relationship Id="rId5" Type="http://schemas.openxmlformats.org/officeDocument/2006/relationships/webSettings" Target="webSettings.xml"/><Relationship Id="rId95" Type="http://schemas.openxmlformats.org/officeDocument/2006/relationships/chart" Target="charts/chart21.xml"/><Relationship Id="rId160" Type="http://schemas.openxmlformats.org/officeDocument/2006/relationships/footer" Target="footer25.xml"/><Relationship Id="rId181" Type="http://schemas.openxmlformats.org/officeDocument/2006/relationships/image" Target="media/image10.png"/><Relationship Id="rId216" Type="http://schemas.openxmlformats.org/officeDocument/2006/relationships/hyperlink" Target="https://publikacije.stat.gov.rs/G2018/Pdf/G201821018.pdf" TargetMode="External"/><Relationship Id="rId22" Type="http://schemas.openxmlformats.org/officeDocument/2006/relationships/hyperlink" Target="file:///C:\Users\lenovo\Desktop\PAR%20strategy\&#1085;&#1086;&#1074;&#1077;&#1084;&#1073;&#1072;&#1088;%202020\&#1082;&#1088;&#1072;&#1112;\sreda%2025112020\Strategija%20RJU%2001122020%20final.docx" TargetMode="External"/><Relationship Id="rId43" Type="http://schemas.openxmlformats.org/officeDocument/2006/relationships/header" Target="header1.xml"/><Relationship Id="rId64" Type="http://schemas.openxmlformats.org/officeDocument/2006/relationships/image" Target="media/image3.png"/><Relationship Id="rId118" Type="http://schemas.openxmlformats.org/officeDocument/2006/relationships/header" Target="header11.xml"/><Relationship Id="rId139" Type="http://schemas.openxmlformats.org/officeDocument/2006/relationships/diagramLayout" Target="diagrams/layout3.xml"/><Relationship Id="rId85" Type="http://schemas.openxmlformats.org/officeDocument/2006/relationships/chart" Target="charts/chart13.xml"/><Relationship Id="rId150" Type="http://schemas.openxmlformats.org/officeDocument/2006/relationships/diagramData" Target="diagrams/data4.xml"/><Relationship Id="rId171" Type="http://schemas.openxmlformats.org/officeDocument/2006/relationships/header" Target="header29.xml"/><Relationship Id="rId192" Type="http://schemas.openxmlformats.org/officeDocument/2006/relationships/footer" Target="footer34.xml"/><Relationship Id="rId206" Type="http://schemas.openxmlformats.org/officeDocument/2006/relationships/hyperlink" Target="https://ec.europa.eu/newsroom/dae/document.cfm?doc_id=55174" TargetMode="External"/><Relationship Id="rId227" Type="http://schemas.microsoft.com/office/2007/relationships/diagramDrawing" Target="diagrams/drawing5.xml"/><Relationship Id="rId12" Type="http://schemas.openxmlformats.org/officeDocument/2006/relationships/hyperlink" Target="file:///C:\Users\lenovo\Desktop\PAR%20strategy\&#1085;&#1086;&#1074;&#1077;&#1084;&#1073;&#1072;&#1088;%202020\&#1082;&#1088;&#1072;&#1112;\sreda%2025112020\Strategija%20RJU%2001122020%20final.docx" TargetMode="External"/><Relationship Id="rId33" Type="http://schemas.openxmlformats.org/officeDocument/2006/relationships/hyperlink" Target="C://Users/natasa.tapuskovic/Downloads/Zapisnik-sa-5.-sednice-SRJU.pdf" TargetMode="External"/><Relationship Id="rId108" Type="http://schemas.openxmlformats.org/officeDocument/2006/relationships/hyperlink" Target="http://we2.cekos.com/ce/index.xhtml?&amp;file=f129217&amp;action=propis&amp;path=12921701.html&amp;domain=0&amp;mark=false&amp;queries=zakon+o+visokom+obrazovanju&amp;searchType=1&amp;regulationType=1&amp;domain=0&amp;myFavorites=false&amp;dateFrom=&amp;dateTo=&amp;groups=-%40--%40--%40--%40--%40-" TargetMode="External"/><Relationship Id="rId129" Type="http://schemas.openxmlformats.org/officeDocument/2006/relationships/header" Target="header14.xml"/><Relationship Id="rId54" Type="http://schemas.openxmlformats.org/officeDocument/2006/relationships/footer" Target="footer4.xml"/><Relationship Id="rId75" Type="http://schemas.openxmlformats.org/officeDocument/2006/relationships/header" Target="header6.xml"/><Relationship Id="rId140" Type="http://schemas.openxmlformats.org/officeDocument/2006/relationships/diagramQuickStyle" Target="diagrams/quickStyle3.xml"/><Relationship Id="rId161" Type="http://schemas.openxmlformats.org/officeDocument/2006/relationships/header" Target="header23.xml"/><Relationship Id="rId182" Type="http://schemas.openxmlformats.org/officeDocument/2006/relationships/image" Target="media/image11.png"/><Relationship Id="rId217" Type="http://schemas.openxmlformats.org/officeDocument/2006/relationships/hyperlink" Target="http://www.javnidug.gov.rs/default.asp?P=128&amp;MenuItem=4" TargetMode="External"/><Relationship Id="rId6" Type="http://schemas.openxmlformats.org/officeDocument/2006/relationships/footnotes" Target="footnotes.xml"/><Relationship Id="rId23" Type="http://schemas.openxmlformats.org/officeDocument/2006/relationships/hyperlink" Target="file:///C:\Users\lenovo\Desktop\PAR%20strategy\&#1085;&#1086;&#1074;&#1077;&#1084;&#1073;&#1072;&#1088;%202020\&#1082;&#1088;&#1072;&#1112;\sreda%2025112020\Strategija%20RJU%2001122020%20final.docx" TargetMode="External"/><Relationship Id="rId119" Type="http://schemas.openxmlformats.org/officeDocument/2006/relationships/footer" Target="footer13.xml"/><Relationship Id="rId44" Type="http://schemas.openxmlformats.org/officeDocument/2006/relationships/footer" Target="footer3.xml"/><Relationship Id="rId65" Type="http://schemas.openxmlformats.org/officeDocument/2006/relationships/chart" Target="charts/chart9.xml"/><Relationship Id="rId86" Type="http://schemas.openxmlformats.org/officeDocument/2006/relationships/chart" Target="charts/chart14.xml"/><Relationship Id="rId130" Type="http://schemas.openxmlformats.org/officeDocument/2006/relationships/footer" Target="footer16.xml"/><Relationship Id="rId151" Type="http://schemas.openxmlformats.org/officeDocument/2006/relationships/diagramLayout" Target="diagrams/layout4.xml"/><Relationship Id="rId172" Type="http://schemas.openxmlformats.org/officeDocument/2006/relationships/footer" Target="footer30.xml"/><Relationship Id="rId193" Type="http://schemas.openxmlformats.org/officeDocument/2006/relationships/hyperlink" Target="https://info.worldbank.org/governance/wgi/Home/Documents" TargetMode="External"/><Relationship Id="rId207" Type="http://schemas.openxmlformats.org/officeDocument/2006/relationships/hyperlink" Target="https://www.mei.gov.rs/srp/dokumenta/eu-dokumenta/godisnji-izvestaji-ek" TargetMode="External"/><Relationship Id="rId228" Type="http://schemas.openxmlformats.org/officeDocument/2006/relationships/fontTable" Target="fontTable.xml"/><Relationship Id="rId13" Type="http://schemas.openxmlformats.org/officeDocument/2006/relationships/hyperlink" Target="file:///C:\Users\lenovo\Desktop\PAR%20strategy\&#1085;&#1086;&#1074;&#1077;&#1084;&#1073;&#1072;&#1088;%202020\&#1082;&#1088;&#1072;&#1112;\sreda%2025112020\Strategija%20RJU%2001122020%20final.docx" TargetMode="External"/><Relationship Id="rId109" Type="http://schemas.openxmlformats.org/officeDocument/2006/relationships/hyperlink" Target="http://we2.cekos.com/ce/index.xhtml?&amp;file=f133700&amp;action=propis&amp;path=13370001.html&amp;domain=0&amp;mark=false&amp;queries=zakon+o+visokom+obrazovanju&amp;searchType=1&amp;regulationType=1&amp;domain=0&amp;myFavorites=false&amp;dateFrom=&amp;dateTo=&amp;groups=-%40--%40--%40--%40--%40-" TargetMode="External"/><Relationship Id="rId34" Type="http://schemas.openxmlformats.org/officeDocument/2006/relationships/image" Target="media/image1.png"/><Relationship Id="rId55" Type="http://schemas.openxmlformats.org/officeDocument/2006/relationships/diagramData" Target="diagrams/data1.xml"/><Relationship Id="rId76" Type="http://schemas.openxmlformats.org/officeDocument/2006/relationships/footer" Target="footer8.xml"/><Relationship Id="rId97" Type="http://schemas.openxmlformats.org/officeDocument/2006/relationships/image" Target="media/image5.png"/><Relationship Id="rId120" Type="http://schemas.openxmlformats.org/officeDocument/2006/relationships/header" Target="header12.xml"/><Relationship Id="rId141" Type="http://schemas.openxmlformats.org/officeDocument/2006/relationships/diagramColors" Target="diagrams/colors3.xml"/><Relationship Id="rId7" Type="http://schemas.openxmlformats.org/officeDocument/2006/relationships/endnotes" Target="endnotes.xml"/><Relationship Id="rId162" Type="http://schemas.openxmlformats.org/officeDocument/2006/relationships/footer" Target="footer26.xml"/><Relationship Id="rId183" Type="http://schemas.openxmlformats.org/officeDocument/2006/relationships/image" Target="media/image12.png"/><Relationship Id="rId218" Type="http://schemas.openxmlformats.org/officeDocument/2006/relationships/hyperlink" Target="https://www.mfin.gov.rs/vrsta-aktivnosti/bilten-javnih-finansija/" TargetMode="External"/><Relationship Id="rId24" Type="http://schemas.openxmlformats.org/officeDocument/2006/relationships/hyperlink" Target="file:///C:\Users\lenovo\Desktop\PAR%20strategy\&#1085;&#1086;&#1074;&#1077;&#1084;&#1073;&#1072;&#1088;%202020\&#1082;&#1088;&#1072;&#1112;\sreda%2025112020\Strategija%20RJU%2001122020%20final.docx" TargetMode="External"/><Relationship Id="rId45" Type="http://schemas.openxmlformats.org/officeDocument/2006/relationships/chart" Target="charts/chart1.xml"/><Relationship Id="rId66" Type="http://schemas.openxmlformats.org/officeDocument/2006/relationships/chart" Target="charts/chart10.xml"/><Relationship Id="rId87" Type="http://schemas.openxmlformats.org/officeDocument/2006/relationships/chart" Target="charts/chart15.xml"/><Relationship Id="rId110" Type="http://schemas.openxmlformats.org/officeDocument/2006/relationships/hyperlink" Target="http://we2.cekos.com/ce/index.xhtml?&amp;file=f137384&amp;action=propis&amp;path=13738401.html&amp;domain=0&amp;mark=false&amp;queries=zakon+o+visokom+obrazovanju&amp;searchType=1&amp;regulationType=1&amp;domain=0&amp;myFavorites=false&amp;dateFrom=&amp;dateTo=&amp;groups=-%40--%40--%40--%40--%40-" TargetMode="External"/><Relationship Id="rId131" Type="http://schemas.openxmlformats.org/officeDocument/2006/relationships/hyperlink" Target="http://www.covid19.rs" TargetMode="External"/><Relationship Id="rId152" Type="http://schemas.openxmlformats.org/officeDocument/2006/relationships/diagramQuickStyle" Target="diagrams/quickStyle4.xml"/><Relationship Id="rId173" Type="http://schemas.openxmlformats.org/officeDocument/2006/relationships/footer" Target="footer31.xml"/><Relationship Id="rId194" Type="http://schemas.openxmlformats.org/officeDocument/2006/relationships/hyperlink" Target="http://info.worldbank.org/governance/wgi/index.aspx" TargetMode="External"/><Relationship Id="rId208" Type="http://schemas.openxmlformats.org/officeDocument/2006/relationships/hyperlink" Target="http://www.sigmaweb.org/publications/monitoring-reports.htm" TargetMode="External"/><Relationship Id="rId229" Type="http://schemas.openxmlformats.org/officeDocument/2006/relationships/theme" Target="theme/theme1.xml"/><Relationship Id="rId14" Type="http://schemas.openxmlformats.org/officeDocument/2006/relationships/hyperlink" Target="file:///C:\Users\lenovo\Desktop\PAR%20strategy\&#1085;&#1086;&#1074;&#1077;&#1084;&#1073;&#1072;&#1088;%202020\&#1082;&#1088;&#1072;&#1112;\sreda%2025112020\Strategija%20RJU%2001122020%20final.docx" TargetMode="External"/><Relationship Id="rId35" Type="http://schemas.openxmlformats.org/officeDocument/2006/relationships/hyperlink" Target="https://euprava.gov.rs/usluge/6096" TargetMode="External"/><Relationship Id="rId56" Type="http://schemas.openxmlformats.org/officeDocument/2006/relationships/diagramLayout" Target="diagrams/layout1.xml"/><Relationship Id="rId77" Type="http://schemas.openxmlformats.org/officeDocument/2006/relationships/header" Target="header7.xml"/><Relationship Id="rId100" Type="http://schemas.openxmlformats.org/officeDocument/2006/relationships/oleObject" Target="embeddings/Microsoft_Excel_Chart2.xls"/><Relationship Id="rId8" Type="http://schemas.openxmlformats.org/officeDocument/2006/relationships/hyperlink" Target="file:///C:\Users\lenovo\Desktop\PAR%20strategy\&#1085;&#1086;&#1074;&#1077;&#1084;&#1073;&#1072;&#1088;%202020\&#1082;&#1088;&#1072;&#1112;\sreda%2025112020\Strategija%20RJU%2001122020%20final.docx" TargetMode="External"/><Relationship Id="rId98" Type="http://schemas.openxmlformats.org/officeDocument/2006/relationships/image" Target="media/image6.png"/><Relationship Id="rId121" Type="http://schemas.openxmlformats.org/officeDocument/2006/relationships/footer" Target="footer14.xml"/><Relationship Id="rId142" Type="http://schemas.microsoft.com/office/2007/relationships/diagramDrawing" Target="diagrams/drawing3.xml"/><Relationship Id="rId163" Type="http://schemas.openxmlformats.org/officeDocument/2006/relationships/header" Target="header24.xml"/><Relationship Id="rId184" Type="http://schemas.openxmlformats.org/officeDocument/2006/relationships/image" Target="media/image13.png"/><Relationship Id="rId219" Type="http://schemas.openxmlformats.org/officeDocument/2006/relationships/hyperlink" Target="https://www.trezor.gov.rs/src/services/" TargetMode="External"/><Relationship Id="rId3" Type="http://schemas.openxmlformats.org/officeDocument/2006/relationships/styles" Target="styles.xml"/><Relationship Id="rId214" Type="http://schemas.openxmlformats.org/officeDocument/2006/relationships/hyperlink" Target="https://www.ombudsman.rs/index.php/izvestaji/godisnji-izvestaji" TargetMode="External"/><Relationship Id="rId25" Type="http://schemas.openxmlformats.org/officeDocument/2006/relationships/hyperlink" Target="file:///C:\Users\lenovo\Desktop\PAR%20strategy\&#1085;&#1086;&#1074;&#1077;&#1084;&#1073;&#1072;&#1088;%202020\&#1082;&#1088;&#1072;&#1112;\sreda%2025112020\Strategija%20RJU%2001122020%20final.docx" TargetMode="External"/><Relationship Id="rId46" Type="http://schemas.openxmlformats.org/officeDocument/2006/relationships/chart" Target="charts/chart2.xml"/><Relationship Id="rId67" Type="http://schemas.openxmlformats.org/officeDocument/2006/relationships/chart" Target="charts/chart11.xml"/><Relationship Id="rId116" Type="http://schemas.openxmlformats.org/officeDocument/2006/relationships/chart" Target="charts/chart26.xml"/><Relationship Id="rId137" Type="http://schemas.openxmlformats.org/officeDocument/2006/relationships/footer" Target="footer18.xml"/><Relationship Id="rId158" Type="http://schemas.openxmlformats.org/officeDocument/2006/relationships/footer" Target="footer24.xml"/><Relationship Id="rId20" Type="http://schemas.openxmlformats.org/officeDocument/2006/relationships/hyperlink" Target="file:///C:\Users\lenovo\Desktop\PAR%20strategy\&#1085;&#1086;&#1074;&#1077;&#1084;&#1073;&#1072;&#1088;%202020\&#1082;&#1088;&#1072;&#1112;\sreda%2025112020\Strategija%20RJU%2001122020%20final.docx" TargetMode="External"/><Relationship Id="rId41" Type="http://schemas.openxmlformats.org/officeDocument/2006/relationships/hyperlink" Target="https://mojaskola.rtsplaneta.rs/" TargetMode="External"/><Relationship Id="rId62" Type="http://schemas.openxmlformats.org/officeDocument/2006/relationships/hyperlink" Target="https://monitoring.mduls.gov.rs/" TargetMode="External"/><Relationship Id="rId83" Type="http://schemas.openxmlformats.org/officeDocument/2006/relationships/header" Target="header10.xml"/><Relationship Id="rId88" Type="http://schemas.openxmlformats.org/officeDocument/2006/relationships/image" Target="media/image4.png"/><Relationship Id="rId111" Type="http://schemas.openxmlformats.org/officeDocument/2006/relationships/hyperlink" Target="http://we2.cekos.com/ce/index.xhtml?&amp;file=f145159&amp;action=propis&amp;path=14515901.html&amp;domain=0&amp;mark=false&amp;queries=zakon+o+visokom+obrazovanju&amp;searchType=1&amp;regulationType=1&amp;domain=0&amp;myFavorites=false&amp;dateFrom=&amp;dateTo=&amp;groups=-%40--%40--%40--%40--%40-" TargetMode="External"/><Relationship Id="rId132" Type="http://schemas.openxmlformats.org/officeDocument/2006/relationships/hyperlink" Target="http://www.covid19.data.gov.rs" TargetMode="External"/><Relationship Id="rId153" Type="http://schemas.openxmlformats.org/officeDocument/2006/relationships/diagramColors" Target="diagrams/colors4.xml"/><Relationship Id="rId174" Type="http://schemas.openxmlformats.org/officeDocument/2006/relationships/image" Target="media/image7.png"/><Relationship Id="rId179" Type="http://schemas.openxmlformats.org/officeDocument/2006/relationships/header" Target="header30.xml"/><Relationship Id="rId195" Type="http://schemas.openxmlformats.org/officeDocument/2006/relationships/hyperlink" Target="https://info.worldbank.org/governance/wgi/Home/downLoadFile?fileName=ge.pdf" TargetMode="External"/><Relationship Id="rId209" Type="http://schemas.openxmlformats.org/officeDocument/2006/relationships/hyperlink" Target="https://rsjp.gov.rs/cir/" TargetMode="External"/><Relationship Id="rId190" Type="http://schemas.openxmlformats.org/officeDocument/2006/relationships/header" Target="header32.xml"/><Relationship Id="rId204" Type="http://schemas.openxmlformats.org/officeDocument/2006/relationships/hyperlink" Target="https://www.napa.gov.rs/tekst/75/informator-o-radu.php" TargetMode="External"/><Relationship Id="rId220" Type="http://schemas.openxmlformats.org/officeDocument/2006/relationships/hyperlink" Target="https://rsjp.gov.rs/jls-baza/" TargetMode="External"/><Relationship Id="rId225" Type="http://schemas.openxmlformats.org/officeDocument/2006/relationships/diagramQuickStyle" Target="diagrams/quickStyle5.xml"/><Relationship Id="rId15" Type="http://schemas.openxmlformats.org/officeDocument/2006/relationships/hyperlink" Target="file:///C:\Users\lenovo\Desktop\PAR%20strategy\&#1085;&#1086;&#1074;&#1077;&#1084;&#1073;&#1072;&#1088;%202020\&#1082;&#1088;&#1072;&#1112;\sreda%2025112020\Strategija%20RJU%2001122020%20final.docx" TargetMode="External"/><Relationship Id="rId36" Type="http://schemas.openxmlformats.org/officeDocument/2006/relationships/hyperlink" Target="https://euprava.gov.rs/resenje-poreza-na-imovinu" TargetMode="External"/><Relationship Id="rId57" Type="http://schemas.openxmlformats.org/officeDocument/2006/relationships/diagramQuickStyle" Target="diagrams/quickStyle1.xml"/><Relationship Id="rId106" Type="http://schemas.openxmlformats.org/officeDocument/2006/relationships/hyperlink" Target="http://we2.cekos.com/ce/index.xhtml?&amp;file=f140652&amp;action=propis&amp;path=14065201.html&amp;domain=0&amp;mark=false&amp;queries=zakon+o+osnovama+sistema+obrazovanja&amp;searchType=1&amp;regulationType=1&amp;domain=0&amp;myFavorites=false&amp;dateFrom=&amp;dateTo=&amp;groups=-%40--%40--%40--%40--%40-" TargetMode="External"/><Relationship Id="rId127" Type="http://schemas.openxmlformats.org/officeDocument/2006/relationships/header" Target="header13.xml"/><Relationship Id="rId10" Type="http://schemas.openxmlformats.org/officeDocument/2006/relationships/hyperlink" Target="file:///C:\Users\lenovo\Desktop\PAR%20strategy\&#1085;&#1086;&#1074;&#1077;&#1084;&#1073;&#1072;&#1088;%202020\&#1082;&#1088;&#1072;&#1112;\sreda%2025112020\Strategija%20RJU%2001122020%20final.docx" TargetMode="External"/><Relationship Id="rId31" Type="http://schemas.openxmlformats.org/officeDocument/2006/relationships/footer" Target="footer1.xml"/><Relationship Id="rId52" Type="http://schemas.openxmlformats.org/officeDocument/2006/relationships/chart" Target="charts/chart8.xml"/><Relationship Id="rId73" Type="http://schemas.openxmlformats.org/officeDocument/2006/relationships/header" Target="header5.xml"/><Relationship Id="rId78" Type="http://schemas.openxmlformats.org/officeDocument/2006/relationships/footer" Target="footer9.xml"/><Relationship Id="rId94" Type="http://schemas.openxmlformats.org/officeDocument/2006/relationships/chart" Target="charts/chart20.xml"/><Relationship Id="rId99" Type="http://schemas.openxmlformats.org/officeDocument/2006/relationships/oleObject" Target="embeddings/Microsoft_Excel_Chart1.xls"/><Relationship Id="rId101" Type="http://schemas.openxmlformats.org/officeDocument/2006/relationships/chart" Target="charts/chart22.xml"/><Relationship Id="rId122" Type="http://schemas.openxmlformats.org/officeDocument/2006/relationships/diagramData" Target="diagrams/data2.xml"/><Relationship Id="rId143" Type="http://schemas.openxmlformats.org/officeDocument/2006/relationships/header" Target="header17.xml"/><Relationship Id="rId148" Type="http://schemas.openxmlformats.org/officeDocument/2006/relationships/header" Target="header19.xml"/><Relationship Id="rId164" Type="http://schemas.openxmlformats.org/officeDocument/2006/relationships/header" Target="header25.xml"/><Relationship Id="rId169" Type="http://schemas.openxmlformats.org/officeDocument/2006/relationships/footer" Target="footer29.xml"/><Relationship Id="rId185"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file:///C:\Users\lenovo\Desktop\PAR%20strategy\&#1085;&#1086;&#1074;&#1077;&#1084;&#1073;&#1072;&#1088;%202020\&#1082;&#1088;&#1072;&#1112;\sreda%2025112020\Strategija%20RJU%2001122020%20final.docx" TargetMode="External"/><Relationship Id="rId180" Type="http://schemas.openxmlformats.org/officeDocument/2006/relationships/footer" Target="footer32.xml"/><Relationship Id="rId210" Type="http://schemas.openxmlformats.org/officeDocument/2006/relationships/hyperlink" Target="http://www.acas.rs/" TargetMode="External"/><Relationship Id="rId215" Type="http://schemas.openxmlformats.org/officeDocument/2006/relationships/hyperlink" Target="https://data.stat.gov.rs/Home/Result/09020104?languageCode=sr-Cyrl" TargetMode="External"/><Relationship Id="rId26" Type="http://schemas.openxmlformats.org/officeDocument/2006/relationships/hyperlink" Target="file:///C:\Users\lenovo\Desktop\PAR%20strategy\&#1085;&#1086;&#1074;&#1077;&#1084;&#1073;&#1072;&#1088;%202020\&#1082;&#1088;&#1072;&#1112;\sreda%2025112020\Strategija%20RJU%2001122020%20final.docx" TargetMode="External"/><Relationship Id="rId47" Type="http://schemas.openxmlformats.org/officeDocument/2006/relationships/chart" Target="charts/chart3.xml"/><Relationship Id="rId68" Type="http://schemas.openxmlformats.org/officeDocument/2006/relationships/chart" Target="charts/chart12.xml"/><Relationship Id="rId89" Type="http://schemas.openxmlformats.org/officeDocument/2006/relationships/oleObject" Target="embeddings/Microsoft_Excel_Chart.xls"/><Relationship Id="rId112" Type="http://schemas.openxmlformats.org/officeDocument/2006/relationships/hyperlink" Target="http://we2.cekos.com/ce/index.xhtml?&amp;file=f147844&amp;action=propis&amp;path=14784401.html&amp;domain=0&amp;mark=false&amp;queries=zakon+o+visokom+obrazovanju&amp;searchType=1&amp;regulationType=1&amp;domain=0&amp;myFavorites=false&amp;dateFrom=&amp;dateTo=&amp;groups=-%40--%40--%40--%40--%40-" TargetMode="External"/><Relationship Id="rId133" Type="http://schemas.openxmlformats.org/officeDocument/2006/relationships/hyperlink" Target="http://www.inspektor.gov.rs" TargetMode="External"/><Relationship Id="rId154" Type="http://schemas.microsoft.com/office/2007/relationships/diagramDrawing" Target="diagrams/drawing4.xml"/><Relationship Id="rId175" Type="http://schemas.openxmlformats.org/officeDocument/2006/relationships/image" Target="media/image8.png"/><Relationship Id="rId196" Type="http://schemas.openxmlformats.org/officeDocument/2006/relationships/hyperlink" Target="https://info.worldbank.org/governance/wgi/Home/Documents" TargetMode="External"/><Relationship Id="rId200" Type="http://schemas.openxmlformats.org/officeDocument/2006/relationships/hyperlink" Target="http://www.sigmaweb.org/publications/Methodological-Framework-for-the-Principles-of-Public-Administration-May-2019.pdf" TargetMode="External"/><Relationship Id="rId16" Type="http://schemas.openxmlformats.org/officeDocument/2006/relationships/hyperlink" Target="file:///C:\Users\lenovo\Desktop\PAR%20strategy\&#1085;&#1086;&#1074;&#1077;&#1084;&#1073;&#1072;&#1088;%202020\&#1082;&#1088;&#1072;&#1112;\sreda%2025112020\Strategija%20RJU%2001122020%20final.docx" TargetMode="External"/><Relationship Id="rId221" Type="http://schemas.openxmlformats.org/officeDocument/2006/relationships/header" Target="header34.xml"/><Relationship Id="rId37" Type="http://schemas.openxmlformats.org/officeDocument/2006/relationships/hyperlink" Target="https://euprava.gov.rs/elektronsko-potpisivanje" TargetMode="External"/><Relationship Id="rId58" Type="http://schemas.openxmlformats.org/officeDocument/2006/relationships/diagramColors" Target="diagrams/colors1.xml"/><Relationship Id="rId79" Type="http://schemas.openxmlformats.org/officeDocument/2006/relationships/header" Target="header8.xml"/><Relationship Id="rId102" Type="http://schemas.openxmlformats.org/officeDocument/2006/relationships/chart" Target="charts/chart23.xml"/><Relationship Id="rId123" Type="http://schemas.openxmlformats.org/officeDocument/2006/relationships/diagramLayout" Target="diagrams/layout2.xml"/><Relationship Id="rId144" Type="http://schemas.openxmlformats.org/officeDocument/2006/relationships/footer" Target="footer19.xml"/><Relationship Id="rId90" Type="http://schemas.openxmlformats.org/officeDocument/2006/relationships/chart" Target="charts/chart16.xml"/><Relationship Id="rId165" Type="http://schemas.openxmlformats.org/officeDocument/2006/relationships/footer" Target="footer27.xml"/><Relationship Id="rId186" Type="http://schemas.openxmlformats.org/officeDocument/2006/relationships/image" Target="media/image15.png"/><Relationship Id="rId211" Type="http://schemas.openxmlformats.org/officeDocument/2006/relationships/hyperlink" Target="http://www.data.gov.rs" TargetMode="External"/><Relationship Id="rId27" Type="http://schemas.openxmlformats.org/officeDocument/2006/relationships/hyperlink" Target="file:///C:\Users\lenovo\Desktop\PAR%20strategy\&#1085;&#1086;&#1074;&#1077;&#1084;&#1073;&#1072;&#1088;%202020\&#1082;&#1088;&#1072;&#1112;\sreda%2025112020\Strategija%20RJU%2001122020%20final.docx" TargetMode="External"/><Relationship Id="rId48" Type="http://schemas.openxmlformats.org/officeDocument/2006/relationships/chart" Target="charts/chart4.xml"/><Relationship Id="rId69" Type="http://schemas.openxmlformats.org/officeDocument/2006/relationships/header" Target="header3.xml"/><Relationship Id="rId113" Type="http://schemas.openxmlformats.org/officeDocument/2006/relationships/hyperlink" Target="http://we2.cekos.com/ce/index.xhtml?&amp;file=f147842&amp;action=propis&amp;path=14784201.html&amp;domain=0&amp;mark=false&amp;queries=zakon+o+visokom+obrazovanju&amp;searchType=1&amp;regulationType=1&amp;domain=0&amp;myFavorites=false&amp;dateFrom=&amp;dateTo=&amp;groups=-%40--%40--%40--%40--%40-" TargetMode="External"/><Relationship Id="rId134" Type="http://schemas.openxmlformats.org/officeDocument/2006/relationships/header" Target="header15.xml"/><Relationship Id="rId80" Type="http://schemas.openxmlformats.org/officeDocument/2006/relationships/footer" Target="footer10.xml"/><Relationship Id="rId155" Type="http://schemas.openxmlformats.org/officeDocument/2006/relationships/header" Target="header20.xml"/><Relationship Id="rId176" Type="http://schemas.openxmlformats.org/officeDocument/2006/relationships/image" Target="media/image9.png"/><Relationship Id="rId197" Type="http://schemas.openxmlformats.org/officeDocument/2006/relationships/hyperlink" Target="https://www.rcc.int/balkanbarometer/publications" TargetMode="External"/><Relationship Id="rId201" Type="http://schemas.openxmlformats.org/officeDocument/2006/relationships/hyperlink" Target="http://www.sigmaweb.org/publications/monitoring-reports.htm" TargetMode="External"/><Relationship Id="rId222" Type="http://schemas.openxmlformats.org/officeDocument/2006/relationships/footer" Target="footer35.xml"/><Relationship Id="rId17" Type="http://schemas.openxmlformats.org/officeDocument/2006/relationships/hyperlink" Target="file:///C:\Users\lenovo\Desktop\PAR%20strategy\&#1085;&#1086;&#1074;&#1077;&#1084;&#1073;&#1072;&#1088;%202020\&#1082;&#1088;&#1072;&#1112;\sreda%2025112020\Strategija%20RJU%2001122020%20final.docx" TargetMode="External"/><Relationship Id="rId38" Type="http://schemas.openxmlformats.org/officeDocument/2006/relationships/hyperlink" Target="http://www.covid19.rs" TargetMode="External"/><Relationship Id="rId59" Type="http://schemas.microsoft.com/office/2007/relationships/diagramDrawing" Target="diagrams/drawing1.xml"/><Relationship Id="rId103" Type="http://schemas.openxmlformats.org/officeDocument/2006/relationships/hyperlink" Target="http://we2.cekos.com/ce/index.xhtml?&amp;file=f129220&amp;action=propis&amp;path=12922001.html&amp;domain=0&amp;mark=false&amp;queries=zakon+o+osnovama+sistema+obrazovanja&amp;searchType=1&amp;regulationType=1&amp;domain=0&amp;myFavorites=false&amp;dateFrom=&amp;dateTo=&amp;groups=-%40--%40--%40--%40--%40-" TargetMode="External"/><Relationship Id="rId124" Type="http://schemas.openxmlformats.org/officeDocument/2006/relationships/diagramQuickStyle" Target="diagrams/quickStyle2.xml"/><Relationship Id="rId70" Type="http://schemas.openxmlformats.org/officeDocument/2006/relationships/footer" Target="footer5.xml"/><Relationship Id="rId91" Type="http://schemas.openxmlformats.org/officeDocument/2006/relationships/chart" Target="charts/chart17.xml"/><Relationship Id="rId145" Type="http://schemas.openxmlformats.org/officeDocument/2006/relationships/header" Target="header18.xml"/><Relationship Id="rId166" Type="http://schemas.openxmlformats.org/officeDocument/2006/relationships/header" Target="header26.xml"/><Relationship Id="rId187" Type="http://schemas.openxmlformats.org/officeDocument/2006/relationships/image" Target="media/image16.png"/><Relationship Id="rId1" Type="http://schemas.openxmlformats.org/officeDocument/2006/relationships/customXml" Target="../customXml/item1.xml"/><Relationship Id="rId212" Type="http://schemas.openxmlformats.org/officeDocument/2006/relationships/hyperlink" Target="http://mduls.gov.rs/o-ministarstvu/upravna-inspekcija/" TargetMode="External"/><Relationship Id="rId28" Type="http://schemas.openxmlformats.org/officeDocument/2006/relationships/hyperlink" Target="file:///C:\Users\lenovo\Desktop\PAR%20strategy\&#1085;&#1086;&#1074;&#1077;&#1084;&#1073;&#1072;&#1088;%202020\&#1082;&#1088;&#1072;&#1112;\sreda%2025112020\Strategija%20RJU%2001122020%20final.docx" TargetMode="External"/><Relationship Id="rId49" Type="http://schemas.openxmlformats.org/officeDocument/2006/relationships/chart" Target="charts/chart5.xml"/><Relationship Id="rId114" Type="http://schemas.openxmlformats.org/officeDocument/2006/relationships/chart" Target="charts/chart24.xml"/><Relationship Id="rId60" Type="http://schemas.openxmlformats.org/officeDocument/2006/relationships/hyperlink" Target="http://mduls.gov.rs/uprava-po-meri-svih-nas/strateska-dokumenta/" TargetMode="External"/><Relationship Id="rId81" Type="http://schemas.openxmlformats.org/officeDocument/2006/relationships/header" Target="header9.xml"/><Relationship Id="rId135" Type="http://schemas.openxmlformats.org/officeDocument/2006/relationships/footer" Target="footer17.xml"/><Relationship Id="rId156" Type="http://schemas.openxmlformats.org/officeDocument/2006/relationships/footer" Target="footer23.xml"/><Relationship Id="rId177" Type="http://schemas.openxmlformats.org/officeDocument/2006/relationships/hyperlink" Target="https://monitoring.mduls.gov.rs/" TargetMode="External"/><Relationship Id="rId198" Type="http://schemas.openxmlformats.org/officeDocument/2006/relationships/hyperlink" Target="https://info.worldbank.org/governance/wgi/Home/Reports" TargetMode="External"/><Relationship Id="rId202" Type="http://schemas.openxmlformats.org/officeDocument/2006/relationships/hyperlink" Target="http://www.sigmaweb.org/publications/Methodological-Framework-for-the-Principles-of-Public-Administration-May-2019.pdf" TargetMode="External"/><Relationship Id="rId223" Type="http://schemas.openxmlformats.org/officeDocument/2006/relationships/diagramData" Target="diagrams/data5.xml"/><Relationship Id="rId18" Type="http://schemas.openxmlformats.org/officeDocument/2006/relationships/hyperlink" Target="file:///C:\Users\lenovo\Desktop\PAR%20strategy\&#1085;&#1086;&#1074;&#1077;&#1084;&#1073;&#1072;&#1088;%202020\&#1082;&#1088;&#1072;&#1112;\sreda%2025112020\Strategija%20RJU%2001122020%20final.docx" TargetMode="External"/><Relationship Id="rId39" Type="http://schemas.openxmlformats.org/officeDocument/2006/relationships/hyperlink" Target="http://www.covid19.data.gov.rs" TargetMode="External"/><Relationship Id="rId50" Type="http://schemas.openxmlformats.org/officeDocument/2006/relationships/chart" Target="charts/chart6.xml"/><Relationship Id="rId104" Type="http://schemas.openxmlformats.org/officeDocument/2006/relationships/hyperlink" Target="http://we2.cekos.com/ce/index.xhtml?&amp;file=f133698&amp;action=propis&amp;path=13369801.html&amp;domain=0&amp;mark=false&amp;queries=zakon+o+osnovama+sistema+obrazovanja&amp;searchType=1&amp;regulationType=1&amp;domain=0&amp;myFavorites=false&amp;dateFrom=&amp;dateTo=&amp;groups=-%40--%40--%40--%40--%40-" TargetMode="External"/><Relationship Id="rId125" Type="http://schemas.openxmlformats.org/officeDocument/2006/relationships/diagramColors" Target="diagrams/colors2.xml"/><Relationship Id="rId146" Type="http://schemas.openxmlformats.org/officeDocument/2006/relationships/footer" Target="footer20.xml"/><Relationship Id="rId167" Type="http://schemas.openxmlformats.org/officeDocument/2006/relationships/footer" Target="footer28.xml"/><Relationship Id="rId188" Type="http://schemas.openxmlformats.org/officeDocument/2006/relationships/header" Target="header31.xml"/><Relationship Id="rId71" Type="http://schemas.openxmlformats.org/officeDocument/2006/relationships/header" Target="header4.xml"/><Relationship Id="rId92" Type="http://schemas.openxmlformats.org/officeDocument/2006/relationships/chart" Target="charts/chart18.xml"/><Relationship Id="rId213" Type="http://schemas.openxmlformats.org/officeDocument/2006/relationships/hyperlink" Target="https://www.poverenik.rs/sr-yu/izvetaji-poverenika.html" TargetMode="External"/><Relationship Id="rId2" Type="http://schemas.openxmlformats.org/officeDocument/2006/relationships/numbering" Target="numbering.xml"/><Relationship Id="rId29" Type="http://schemas.openxmlformats.org/officeDocument/2006/relationships/hyperlink" Target="file:///C:\Users\lenovo\Desktop\PAR%20strategy\&#1085;&#1086;&#1074;&#1077;&#1084;&#1073;&#1072;&#1088;%202020\&#1082;&#1088;&#1072;&#1112;\sreda%2025112020\Strategija%20RJU%2001122020%20final.docx" TargetMode="External"/><Relationship Id="rId40" Type="http://schemas.openxmlformats.org/officeDocument/2006/relationships/hyperlink" Target="http://www.inspektor.gov.rs" TargetMode="External"/><Relationship Id="rId115" Type="http://schemas.openxmlformats.org/officeDocument/2006/relationships/chart" Target="charts/chart25.xml"/><Relationship Id="rId136" Type="http://schemas.openxmlformats.org/officeDocument/2006/relationships/header" Target="header16.xml"/><Relationship Id="rId157" Type="http://schemas.openxmlformats.org/officeDocument/2006/relationships/header" Target="header21.xml"/><Relationship Id="rId178" Type="http://schemas.openxmlformats.org/officeDocument/2006/relationships/hyperlink" Target="https://eur03.safelinks.protection.outlook.com/?url=https%3A%2F%2Fomt.its4test.com%2F&amp;data=01%7C01%7Cljiljana.uzelac%40mduls.gov.rs%7C0aa60198dc8d4795366508d757000ced%7Ce9869d9e5f16415689b0d51630ff7000%7C1&amp;sdata=lFSEtuZBJ%2BRl0Tk%2BKJ%2Bq4mQ3FFx7NNjdvEuorybt0wA%3D&amp;reserved=0" TargetMode="External"/><Relationship Id="rId61" Type="http://schemas.openxmlformats.org/officeDocument/2006/relationships/hyperlink" Target="http://mduls.gov.rs/en/public-administration-reform/" TargetMode="External"/><Relationship Id="rId82" Type="http://schemas.openxmlformats.org/officeDocument/2006/relationships/footer" Target="footer11.xml"/><Relationship Id="rId199" Type="http://schemas.openxmlformats.org/officeDocument/2006/relationships/hyperlink" Target="http://www.sigmaweb.org/publications/monitoring-reports.htm" TargetMode="External"/><Relationship Id="rId203" Type="http://schemas.openxmlformats.org/officeDocument/2006/relationships/hyperlink" Target="http://www.sigmaweb.org/publications/monitoring-reports.htm" TargetMode="External"/><Relationship Id="rId19" Type="http://schemas.openxmlformats.org/officeDocument/2006/relationships/hyperlink" Target="file:///C:\Users\lenovo\Desktop\PAR%20strategy\&#1085;&#1086;&#1074;&#1077;&#1084;&#1073;&#1072;&#1088;%202020\&#1082;&#1088;&#1072;&#1112;\sreda%2025112020\Strategija%20RJU%2001122020%20final.docx" TargetMode="External"/><Relationship Id="rId224" Type="http://schemas.openxmlformats.org/officeDocument/2006/relationships/diagramLayout" Target="diagrams/layout5.xml"/><Relationship Id="rId30" Type="http://schemas.openxmlformats.org/officeDocument/2006/relationships/hyperlink" Target="file:///C:\Users\natasa.tapuskovic\Desktop\PAR\FINAL\SRJU%20v8%20za%20ubacivanje_nedelja.docx" TargetMode="External"/><Relationship Id="rId105" Type="http://schemas.openxmlformats.org/officeDocument/2006/relationships/hyperlink" Target="http://we2.cekos.com/ce/index.xhtml?&amp;file=f133700&amp;action=propis&amp;path=13370001.html&amp;domain=0&amp;mark=false&amp;queries=zakon+o+osnovama+sistema+obrazovanja&amp;searchType=1&amp;regulationType=1&amp;domain=0&amp;myFavorites=false&amp;dateFrom=&amp;dateTo=&amp;groups=-%40--%40--%40--%40--%40-" TargetMode="External"/><Relationship Id="rId126" Type="http://schemas.microsoft.com/office/2007/relationships/diagramDrawing" Target="diagrams/drawing2.xml"/><Relationship Id="rId147" Type="http://schemas.openxmlformats.org/officeDocument/2006/relationships/footer" Target="footer21.xml"/><Relationship Id="rId168" Type="http://schemas.openxmlformats.org/officeDocument/2006/relationships/header" Target="header27.xml"/><Relationship Id="rId51" Type="http://schemas.openxmlformats.org/officeDocument/2006/relationships/chart" Target="charts/chart7.xml"/><Relationship Id="rId72" Type="http://schemas.openxmlformats.org/officeDocument/2006/relationships/footer" Target="footer6.xml"/><Relationship Id="rId93" Type="http://schemas.openxmlformats.org/officeDocument/2006/relationships/chart" Target="charts/chart19.xml"/><Relationship Id="rId189" Type="http://schemas.openxmlformats.org/officeDocument/2006/relationships/footer" Target="footer33.xml"/></Relationships>
</file>

<file path=word/_rels/footnotes.xml.rels><?xml version="1.0" encoding="UTF-8" standalone="yes"?>
<Relationships xmlns="http://schemas.openxmlformats.org/package/2006/relationships"><Relationship Id="rId117" Type="http://schemas.openxmlformats.org/officeDocument/2006/relationships/hyperlink" Target="https://rm.coe.int/survey-report-serbia/16809e831b" TargetMode="External"/><Relationship Id="rId21" Type="http://schemas.openxmlformats.org/officeDocument/2006/relationships/hyperlink" Target="http://mduls.gov.rs/wp-content/uploads/190524-Final-Evaluation-Report-SR.pdf" TargetMode="External"/><Relationship Id="rId42" Type="http://schemas.openxmlformats.org/officeDocument/2006/relationships/hyperlink" Target="https://www.mfin.gov.rs/UserFiles/File/strategije/PFM%20IZVESTAJ.pdf" TargetMode="External"/><Relationship Id="rId63" Type="http://schemas.openxmlformats.org/officeDocument/2006/relationships/hyperlink" Target="https://www.napa.gov.rs/tekst/61/lista-akreditovanih-programa.php" TargetMode="External"/><Relationship Id="rId84" Type="http://schemas.openxmlformats.org/officeDocument/2006/relationships/hyperlink" Target="http://sigmaweb.org/publications/Monitoring-Report-2019-Serbia.pdf" TargetMode="External"/><Relationship Id="rId138" Type="http://schemas.openxmlformats.org/officeDocument/2006/relationships/hyperlink" Target="http://mduls.gov.rs/uprava-po-meri-svih-nas/strateska-dokumenta/" TargetMode="External"/><Relationship Id="rId159" Type="http://schemas.openxmlformats.org/officeDocument/2006/relationships/hyperlink" Target="https://www.transparency.org/en/cpi/2019/results/swz" TargetMode="External"/><Relationship Id="rId170" Type="http://schemas.openxmlformats.org/officeDocument/2006/relationships/hyperlink" Target="http://mduls.gov.rs/wp-content/uploads/zapisnik-7-sednica-Saveta-za-RJU.pdf" TargetMode="External"/><Relationship Id="rId191" Type="http://schemas.openxmlformats.org/officeDocument/2006/relationships/hyperlink" Target="https://monitoring.mduls.gov.rs/strukture/izrada-strategije-reforme-avne-uprave-i-akcionog-plana/225105/proces-izrade-nove-strategije-reforme-javne-uprave-u-rs-za-period-2021-2030.html" TargetMode="External"/><Relationship Id="rId107" Type="http://schemas.openxmlformats.org/officeDocument/2006/relationships/hyperlink" Target="https://rsjp.gov.rs/cir/vesti-cir/poceo-popis-administrativnih-postupaka/" TargetMode="External"/><Relationship Id="rId11" Type="http://schemas.openxmlformats.org/officeDocument/2006/relationships/hyperlink" Target="http://www.sigmaweb.org/publications/Principles_of_Public_Administration_2017_edition_SER.pdf" TargetMode="External"/><Relationship Id="rId32" Type="http://schemas.openxmlformats.org/officeDocument/2006/relationships/hyperlink" Target="https://www.ite.gov.rs/tekst/1836/kontakt-centar-za-javnu-upravu-g2g.php" TargetMode="External"/><Relationship Id="rId53" Type="http://schemas.openxmlformats.org/officeDocument/2006/relationships/hyperlink" Target="https://www.mei.gov.rs/upload/documents/eu_dokumenta/godisnji_izvestaji_ek_o_napretku/20190529-serbia-report_SR_-_REVIDIRANO.pdf" TargetMode="External"/><Relationship Id="rId74" Type="http://schemas.openxmlformats.org/officeDocument/2006/relationships/hyperlink" Target="http://www.pravno-informacioni-sistem.rs/SlGlasnikPortal/eli/rep/sgrs/vlada/uredba/2018/104/5/reg" TargetMode="External"/><Relationship Id="rId128" Type="http://schemas.openxmlformats.org/officeDocument/2006/relationships/hyperlink" Target="http://upravljanjepromenama.gov.rs/wp-content/uploads/2019/02/Akcioni-plan-za-optimizaciju-na-osnovu-preporuka-iz-dokumenta-Svetske-banke-Horizontalna-funkcionalna-analiza-20dec2017final-1.pdf" TargetMode="External"/><Relationship Id="rId149" Type="http://schemas.openxmlformats.org/officeDocument/2006/relationships/hyperlink" Target="https://www.poverenik.rs/sr-yu/o-nama/godisnji-izvestaji.html" TargetMode="External"/><Relationship Id="rId5" Type="http://schemas.openxmlformats.org/officeDocument/2006/relationships/hyperlink" Target="https://www.srbija.gov.rs/view_file.php?file_id=2148&amp;cache=sr" TargetMode="External"/><Relationship Id="rId95" Type="http://schemas.openxmlformats.org/officeDocument/2006/relationships/hyperlink" Target="https://euprava.gov.rs/resenje-poreza-na-imovinu" TargetMode="External"/><Relationship Id="rId160" Type="http://schemas.openxmlformats.org/officeDocument/2006/relationships/hyperlink" Target="https://www.transparency.org/en/cpi/2019/results/swz" TargetMode="External"/><Relationship Id="rId181" Type="http://schemas.openxmlformats.org/officeDocument/2006/relationships/hyperlink" Target="https://monitoring.mduls.gov.rs/upload/media/0/0/0/11040/Zakljucak.pdf" TargetMode="External"/><Relationship Id="rId22" Type="http://schemas.openxmlformats.org/officeDocument/2006/relationships/hyperlink" Target="http://mduls.gov.rs/wp-content/uploads/190524-Final-Evaluation-Report-SR.pdf" TargetMode="External"/><Relationship Id="rId43" Type="http://schemas.openxmlformats.org/officeDocument/2006/relationships/hyperlink" Target="http://www.pracenjereformi.info/" TargetMode="External"/><Relationship Id="rId64" Type="http://schemas.openxmlformats.org/officeDocument/2006/relationships/hyperlink" Target="https://www.napa.gov.rs/tekst/61/lista-akreditovanih-programa.php" TargetMode="External"/><Relationship Id="rId118" Type="http://schemas.openxmlformats.org/officeDocument/2006/relationships/hyperlink" Target="https://www.ama.gov.pt/web/english" TargetMode="External"/><Relationship Id="rId139" Type="http://schemas.openxmlformats.org/officeDocument/2006/relationships/hyperlink" Target="https://ogp.rs/sprovodjenje-pou-u-lokalnim-sredinama/" TargetMode="External"/><Relationship Id="rId85" Type="http://schemas.openxmlformats.org/officeDocument/2006/relationships/hyperlink" Target="http://sigmaweb.org/publications/Monitoring-Report-2019-Serbia.pdf" TargetMode="External"/><Relationship Id="rId150" Type="http://schemas.openxmlformats.org/officeDocument/2006/relationships/hyperlink" Target="https://www.ombudsman.rs/attachments/article/6062/Zastitnik%20gradjana_Godisnji%20izvestaj%20za%202018.%20godinu.pdf" TargetMode="External"/><Relationship Id="rId171" Type="http://schemas.openxmlformats.org/officeDocument/2006/relationships/hyperlink" Target="http://www.mei.gov.rs/upload/documents/nacionalna_dokumenta/npaa/npaa_2018_2021.pdf" TargetMode="External"/><Relationship Id="rId192" Type="http://schemas.openxmlformats.org/officeDocument/2006/relationships/hyperlink" Target="https://rsjp.gov.rs/cir/dokumenti-kategorija-cir/prirucnici-cir/" TargetMode="External"/><Relationship Id="rId12" Type="http://schemas.openxmlformats.org/officeDocument/2006/relationships/hyperlink" Target="https://www.oecd-ilibrary.org/governance/european-principles-for-public-administration_5kml60zwdr7h-en" TargetMode="External"/><Relationship Id="rId33" Type="http://schemas.openxmlformats.org/officeDocument/2006/relationships/hyperlink" Target="https://www.srbija.gov.rs/" TargetMode="External"/><Relationship Id="rId108" Type="http://schemas.openxmlformats.org/officeDocument/2006/relationships/hyperlink" Target="https://www.respaweb.eu/download/doc/ECONOMIC+AND+SOCIAL+CONSEQUENCES+of+COVID+19.pdf/e97586d30e7b07fa0dd3f00ebf84dcc8.pdf" TargetMode="External"/><Relationship Id="rId129" Type="http://schemas.openxmlformats.org/officeDocument/2006/relationships/hyperlink" Target="https://data.gov.rs/sr/" TargetMode="External"/><Relationship Id="rId54" Type="http://schemas.openxmlformats.org/officeDocument/2006/relationships/hyperlink" Target="https://www.srbija.gov.rs/prikaz/370625" TargetMode="External"/><Relationship Id="rId75" Type="http://schemas.openxmlformats.org/officeDocument/2006/relationships/hyperlink" Target="http://www.pravno-informacioni-sistem.rs/SlGlasnikPortal/eli/rep/sgrs/skupstina/zakon/2017/94/4/reg" TargetMode="External"/><Relationship Id="rId96" Type="http://schemas.openxmlformats.org/officeDocument/2006/relationships/hyperlink" Target="https://www.ite.gov.rs/tekst/sr/4134/4-da-li-je-na-portalu-euprava-omoguceno-placanje-online.php" TargetMode="External"/><Relationship Id="rId140" Type="http://schemas.openxmlformats.org/officeDocument/2006/relationships/hyperlink" Target="http://www.pravno-informacioni-sistem.rs/SlGlasnikPortal/eli/rep/sgrs/skupstina/zakon/2015/36/1/reg" TargetMode="External"/><Relationship Id="rId161" Type="http://schemas.openxmlformats.org/officeDocument/2006/relationships/hyperlink" Target="http://www.acas.rs/wp-content/uploads/2020/01/2019-12-25-Smernice-i-preporuke-za-uvodjenje-sluzbenika-za-etiku-i-integritet.pdf?pismo=lat" TargetMode="External"/><Relationship Id="rId182" Type="http://schemas.openxmlformats.org/officeDocument/2006/relationships/hyperlink" Target="https://www.euprava.gov.rs/eusluge/opis_usluge?generatedServiceId=2652&amp;title=Obave%C5%A1ten%D1%98e-o-po%C4%8Detku-izrade-Strategije-RJU-i-javni-poziv-OCD" TargetMode="External"/><Relationship Id="rId6" Type="http://schemas.openxmlformats.org/officeDocument/2006/relationships/hyperlink" Target="http://mduls.gov.rs/wp-content/uploads/godisnji-izvestaj-_AP_15_usvojen-170403.pdf" TargetMode="External"/><Relationship Id="rId23" Type="http://schemas.openxmlformats.org/officeDocument/2006/relationships/hyperlink" Target="http://www.pravno-informacioni-sistem.rs/SlGlasnikPortal/eli/rep/sgrs/vlada/uredba/2019/8/9/reg" TargetMode="External"/><Relationship Id="rId119" Type="http://schemas.openxmlformats.org/officeDocument/2006/relationships/hyperlink" Target="http://www.sigmaweb.org/publications/monitoring-reports.htm" TargetMode="External"/><Relationship Id="rId44" Type="http://schemas.openxmlformats.org/officeDocument/2006/relationships/hyperlink" Target="http://pracenjereformi.azurewebsites.net/Dokumenta/ModernaDrzava.pdf" TargetMode="External"/><Relationship Id="rId65" Type="http://schemas.openxmlformats.org/officeDocument/2006/relationships/hyperlink" Target="https://www.pravno-informacioni-sistem.rs/SlGlasnikPortal/eli/rep/sgrs/vlada/drugiakt/2020/85/1/reg" TargetMode="External"/><Relationship Id="rId86" Type="http://schemas.openxmlformats.org/officeDocument/2006/relationships/hyperlink" Target="http://mduls.gov.rs/saopstenja/otvoreno-jedinstveno-upravno-mesto-u-gornjem-milanovcu/?script=lat" TargetMode="External"/><Relationship Id="rId130" Type="http://schemas.openxmlformats.org/officeDocument/2006/relationships/hyperlink" Target="http://www.pravno-informacioni-sistem.rs/SlGlasnikPortal/eli/rep/sgrs/vlada/uredba/2018/104/5/reg" TargetMode="External"/><Relationship Id="rId151" Type="http://schemas.openxmlformats.org/officeDocument/2006/relationships/hyperlink" Target="https://www.ombudsman.rs/attachments/article/6062/Zastitnik%20gradjana_Godisnji%20izvestaj%20za%202018.%20godinu.pdf" TargetMode="External"/><Relationship Id="rId172" Type="http://schemas.openxmlformats.org/officeDocument/2006/relationships/hyperlink" Target="https://cor.europa.eu/en/our-work/Documents/Our-work/lisbon-treaty.pdf" TargetMode="External"/><Relationship Id="rId193" Type="http://schemas.openxmlformats.org/officeDocument/2006/relationships/hyperlink" Target="http://www.pravno-informacioni-sistem.rs/SlGlasnikPortal/eli/rep/sgrs/vlada/odluka/2016/81/1/reg" TargetMode="External"/><Relationship Id="rId13" Type="http://schemas.openxmlformats.org/officeDocument/2006/relationships/hyperlink" Target="https://ec.europa.eu/neighbourhood-enlargement/sites/near/files/enlargement-methodology_en.pdf" TargetMode="External"/><Relationship Id="rId109" Type="http://schemas.openxmlformats.org/officeDocument/2006/relationships/hyperlink" Target="https://bit.ly/3e8PBO6" TargetMode="External"/><Relationship Id="rId34" Type="http://schemas.openxmlformats.org/officeDocument/2006/relationships/hyperlink" Target="http://skipcentar.rs/sr_RS/vesti/skip-centar-kao-najbolji-na-svetu-proslavio-jubilej/" TargetMode="External"/><Relationship Id="rId55" Type="http://schemas.openxmlformats.org/officeDocument/2006/relationships/hyperlink" Target="https://ec.europa.eu/info/law/law-making-process/evaluating-and-improving-existing-laws/refit-making-eu-law-simpler-and-less-costly_en" TargetMode="External"/><Relationship Id="rId76" Type="http://schemas.openxmlformats.org/officeDocument/2006/relationships/hyperlink" Target="https://ec.europa.eu/futurium/en/system/files/ged/eidas_regulation.pdf" TargetMode="External"/><Relationship Id="rId97" Type="http://schemas.openxmlformats.org/officeDocument/2006/relationships/hyperlink" Target="https://euprava.gov.rs/usluge/4875" TargetMode="External"/><Relationship Id="rId120" Type="http://schemas.openxmlformats.org/officeDocument/2006/relationships/hyperlink" Target="http://europa.rs/godisnji-izvestaj-o-srbiji-2020/" TargetMode="External"/><Relationship Id="rId141" Type="http://schemas.openxmlformats.org/officeDocument/2006/relationships/hyperlink" Target="https://govdata360.worldbank.org/subtopics/h8112a987?country=SRB" TargetMode="External"/><Relationship Id="rId7" Type="http://schemas.openxmlformats.org/officeDocument/2006/relationships/hyperlink" Target="https://media.srbija.gov.rs/medsrp/dokumenti/brnabic_ekspoze281020_cyr.pdf" TargetMode="External"/><Relationship Id="rId71" Type="http://schemas.openxmlformats.org/officeDocument/2006/relationships/hyperlink" Target="http://www.pravno-informacioni-sistem.rs/SlGlasnikPortal/eli/rep/sgrs/vlada/uredba/2018/104/2/reg" TargetMode="External"/><Relationship Id="rId92" Type="http://schemas.openxmlformats.org/officeDocument/2006/relationships/hyperlink" Target="https://lpa.gov.rs/jisportal/homepage" TargetMode="External"/><Relationship Id="rId162" Type="http://schemas.openxmlformats.org/officeDocument/2006/relationships/hyperlink" Target="https://www.mfin.gov.rs/dokumenti/program-reforme-upravljanja-javnim-finansijama-pfm/" TargetMode="External"/><Relationship Id="rId183" Type="http://schemas.openxmlformats.org/officeDocument/2006/relationships/hyperlink" Target="https://www.euprava.gov.rs/eusluge/institucija?service=servicesForInstitution&amp;institutionId=563" TargetMode="External"/><Relationship Id="rId2" Type="http://schemas.openxmlformats.org/officeDocument/2006/relationships/hyperlink" Target="https://www.pravno-informacioni-sistem.rs/SlGlasnikPortal/eli/rep/sgrs/vlada/strategija/2014/9/1/reg" TargetMode="External"/><Relationship Id="rId29" Type="http://schemas.openxmlformats.org/officeDocument/2006/relationships/hyperlink" Target="http://mduls.gov.rs/wp-content/uploads/2019-RJU-Godisnji-izvestaj2018-2020.pdf" TargetMode="External"/><Relationship Id="rId24" Type="http://schemas.openxmlformats.org/officeDocument/2006/relationships/hyperlink" Target="http://www.pravno-informacioni-sistem.rs/SlGlasnikPortal/prilozi/prilog11.html&amp;doctype=reg&amp;abc=cba&amp;eli=true&amp;eliActId=427799&amp;regactid=427799" TargetMode="External"/><Relationship Id="rId40" Type="http://schemas.openxmlformats.org/officeDocument/2006/relationships/hyperlink" Target="https://www.imf.org/en/Countries/SRB" TargetMode="External"/><Relationship Id="rId45" Type="http://schemas.openxmlformats.org/officeDocument/2006/relationships/hyperlink" Target="http://upravljanjepromenama.gov.rs/horizontalna-funkcionalna-analiza/" TargetMode="External"/><Relationship Id="rId66" Type="http://schemas.openxmlformats.org/officeDocument/2006/relationships/hyperlink" Target="https://www.pravno-informacionisistem.rs/SlGlasnikPortal/eli/rep/sgrs/vlada/strategija/2016/8/1/reg" TargetMode="External"/><Relationship Id="rId87" Type="http://schemas.openxmlformats.org/officeDocument/2006/relationships/hyperlink" Target="https://www.ite.gov.rs/tekst/sr/4294/pos-terminali.php" TargetMode="External"/><Relationship Id="rId110" Type="http://schemas.openxmlformats.org/officeDocument/2006/relationships/hyperlink" Target="https://bit.ly/3e8PBO6" TargetMode="External"/><Relationship Id="rId115" Type="http://schemas.openxmlformats.org/officeDocument/2006/relationships/hyperlink" Target="https://www.opengovpartnership.org/collecting-open-government-approaches-to-covid-19/" TargetMode="External"/><Relationship Id="rId131" Type="http://schemas.openxmlformats.org/officeDocument/2006/relationships/hyperlink" Target="https://www.mfin.gov.rs/dokumenti/gradjanski-vodic-kroz-budzet-republike-srbije-za-2019-godinu/" TargetMode="External"/><Relationship Id="rId136" Type="http://schemas.openxmlformats.org/officeDocument/2006/relationships/hyperlink" Target="https://data.gov.rs/sr/datasets/katalog/" TargetMode="External"/><Relationship Id="rId157" Type="http://schemas.openxmlformats.org/officeDocument/2006/relationships/hyperlink" Target="https://www.rs.undp.org/content/serbia/sr/home/library/democratic_governance/ocena-spremnosti-za-otvaranje-podataka.html" TargetMode="External"/><Relationship Id="rId178" Type="http://schemas.openxmlformats.org/officeDocument/2006/relationships/hyperlink" Target="http://mduls.gov.rs/saopstenja/odrzan-treci-sastanak-medjuministarske-projektne-grupe/" TargetMode="External"/><Relationship Id="rId61" Type="http://schemas.openxmlformats.org/officeDocument/2006/relationships/hyperlink" Target="https://www.napa.gov.rs/lista-akreditovanih-trenera/144/stalna-lista-predavaca-i-drugih-realizatora-obuka.php" TargetMode="External"/><Relationship Id="rId82" Type="http://schemas.openxmlformats.org/officeDocument/2006/relationships/hyperlink" Target="http://sigmaweb.org/publications/Monitoring-Report-2019-Serbia.pdf" TargetMode="External"/><Relationship Id="rId152" Type="http://schemas.openxmlformats.org/officeDocument/2006/relationships/hyperlink" Target="https://www.ombudsman.rs/index.php/izvestaji/godisnji-izvestaji" TargetMode="External"/><Relationship Id="rId173" Type="http://schemas.openxmlformats.org/officeDocument/2006/relationships/hyperlink" Target="https://eur-lex.europa.eu/LexUriServ/LexUriServ.do?uri=OJ:C:2007:306:FULL:EN:PDF" TargetMode="External"/><Relationship Id="rId194" Type="http://schemas.openxmlformats.org/officeDocument/2006/relationships/hyperlink" Target="http://www.pravno-informacioni-sistem.rs/SlGlasnikPortal/eli/rep/sgrs/ministarstva%20/poslovnik/2006/61/1/reg" TargetMode="External"/><Relationship Id="rId19" Type="http://schemas.openxmlformats.org/officeDocument/2006/relationships/hyperlink" Target="http://mduls.gov.rs/wp-content/uploads/190524-Final-Evaluation-Report-SR.pdf" TargetMode="External"/><Relationship Id="rId14" Type="http://schemas.openxmlformats.org/officeDocument/2006/relationships/hyperlink" Target="https://ec.europa.eu/neighbourhood-enlargement/sites/near/files/pdf/serbia/ipa/2015/pf_04_sector_reform_contract_for_public_administration_reform.pdf" TargetMode="External"/><Relationship Id="rId30" Type="http://schemas.openxmlformats.org/officeDocument/2006/relationships/hyperlink" Target="http://mduls.gov.rs/wp-content/uploads/190524-Final-Evaluation-Report-SR.pdf" TargetMode="External"/><Relationship Id="rId35" Type="http://schemas.openxmlformats.org/officeDocument/2006/relationships/hyperlink" Target="http://documents.worldbank.org/curated/en/232431468307518668/Srbija-Kako-sa-manje-uraditi-vise-suocavanje-sa-fiskalnom-krizom-putem-povecanja-produktivnosti-javnog-sektora" TargetMode="External"/><Relationship Id="rId56" Type="http://schemas.openxmlformats.org/officeDocument/2006/relationships/hyperlink" Target="http://mduls.gov.rs/wp-content/uploads/uredba_kompetencije128_cyr.pdf" TargetMode="External"/><Relationship Id="rId77" Type="http://schemas.openxmlformats.org/officeDocument/2006/relationships/hyperlink" Target="https://www.pravno-informacioni-sistem.rs/SlGlasnikPortal/eli/rep/sgrs/skupstina/zakon/2019/17/1" TargetMode="External"/><Relationship Id="rId100" Type="http://schemas.openxmlformats.org/officeDocument/2006/relationships/hyperlink" Target="https://www.ite.gov.rs/tekst/81/bebo-dobro-dosla-na-svet.php" TargetMode="External"/><Relationship Id="rId105" Type="http://schemas.openxmlformats.org/officeDocument/2006/relationships/hyperlink" Target="https://www.ite.gov.rs/tekst/114/izgradnja-data-centra-u-kragujevcu.php" TargetMode="External"/><Relationship Id="rId126" Type="http://schemas.openxmlformats.org/officeDocument/2006/relationships/hyperlink" Target="http://www.pravno-informacioni-sistem.rs/SlGlasnikPortal/eli/rep/sgrs/skupstina/zakon/2014/128/1/reg" TargetMode="External"/><Relationship Id="rId147" Type="http://schemas.openxmlformats.org/officeDocument/2006/relationships/hyperlink" Target="http://www.acas.rs/wp-content/uploads/2020/03/ACASizvestaj2019WEB.pdf" TargetMode="External"/><Relationship Id="rId168" Type="http://schemas.openxmlformats.org/officeDocument/2006/relationships/hyperlink" Target="https://www.intosai.org/" TargetMode="External"/><Relationship Id="rId8" Type="http://schemas.openxmlformats.org/officeDocument/2006/relationships/hyperlink" Target="https://www.consilium.europa.eu/media/21225/72921.pdf" TargetMode="External"/><Relationship Id="rId51" Type="http://schemas.openxmlformats.org/officeDocument/2006/relationships/hyperlink" Target="http://www.sigmaweb.org/publications/Monitoring-Report-2017-Serbia.pdf" TargetMode="External"/><Relationship Id="rId72" Type="http://schemas.openxmlformats.org/officeDocument/2006/relationships/hyperlink" Target="http://www.pravno-informacioni-sistem.rs/SlGlasnikPortal/eli/rep/sgrs/vlada/uredba/2018/104/3/reg" TargetMode="External"/><Relationship Id="rId93" Type="http://schemas.openxmlformats.org/officeDocument/2006/relationships/hyperlink" Target="https://e-zdravlje.gov.rs/landing/" TargetMode="External"/><Relationship Id="rId98" Type="http://schemas.openxmlformats.org/officeDocument/2006/relationships/hyperlink" Target="https://www.ite.gov.rs/tekst/sr/82/evrtic.php" TargetMode="External"/><Relationship Id="rId121" Type="http://schemas.openxmlformats.org/officeDocument/2006/relationships/hyperlink" Target="http://www.sigmaweb.org/publications/Principles_of_Public_Administration_2017_edition_SER.pdf" TargetMode="External"/><Relationship Id="rId142" Type="http://schemas.openxmlformats.org/officeDocument/2006/relationships/hyperlink" Target="http://www.parlament.gov.rs/akti/ostala-akta/doneta-akta/doneta-akta.1039.html" TargetMode="External"/><Relationship Id="rId163" Type="http://schemas.openxmlformats.org/officeDocument/2006/relationships/hyperlink" Target="https://www.pefa.org/" TargetMode="External"/><Relationship Id="rId184" Type="http://schemas.openxmlformats.org/officeDocument/2006/relationships/hyperlink" Target="http://mduls.gov.rs/obavestenja/poceo-rad-na-strategija-reforme-javne-uprave-nakon-2021-godine-poziv-i-ocd-da-se-ukljuce/" TargetMode="External"/><Relationship Id="rId189" Type="http://schemas.openxmlformats.org/officeDocument/2006/relationships/hyperlink" Target="https://bit.ly/2kWgYDR" TargetMode="External"/><Relationship Id="rId3" Type="http://schemas.openxmlformats.org/officeDocument/2006/relationships/hyperlink" Target="http://www.arhiva.drzavnauprava.gov.rs/documents.php?id=488" TargetMode="External"/><Relationship Id="rId25" Type="http://schemas.openxmlformats.org/officeDocument/2006/relationships/hyperlink" Target="http://mduls.gov.rs/wp-content/uploads/AP-RJU-narativni-deo-2018-2020.pdf" TargetMode="External"/><Relationship Id="rId46" Type="http://schemas.openxmlformats.org/officeDocument/2006/relationships/hyperlink" Target="http://upravljanjepromenama.gov.rs/wp-content/uploads/2019/01/HFR-of-CA-Diagnostic-Report-April-2016.docx" TargetMode="External"/><Relationship Id="rId67" Type="http://schemas.openxmlformats.org/officeDocument/2006/relationships/hyperlink" Target="https://www.pravno-informacioni-sistem.rs/SlGlasnikPortal/eli/rep/sgrs/vlada/odluka/2019/64/3" TargetMode="External"/><Relationship Id="rId116" Type="http://schemas.openxmlformats.org/officeDocument/2006/relationships/hyperlink" Target="https://www.ite.gov.rs/vest/5392/kancelariji-za-it-i-eupravu-cetiri-nagrade-za-efikasnost-i-prilagodljivost-javne-uprave-tokom-pandemije-covid-19.php" TargetMode="External"/><Relationship Id="rId137" Type="http://schemas.openxmlformats.org/officeDocument/2006/relationships/hyperlink" Target="https://www.opengovpartnership.org/" TargetMode="External"/><Relationship Id="rId158" Type="http://schemas.openxmlformats.org/officeDocument/2006/relationships/hyperlink" Target="http://www.acas.rs/wp-content/uploads/2020/01/2019-12-25-Smernice-i-preporuke-za-uvodjenje-sluzbenika-za-etiku-i-integritet.pdf?pismo=lat" TargetMode="External"/><Relationship Id="rId20" Type="http://schemas.openxmlformats.org/officeDocument/2006/relationships/hyperlink" Target="http://mduls.gov.rs/wp-content/uploads/190524-Final-Evaluation-Report-SR.pdf" TargetMode="External"/><Relationship Id="rId41" Type="http://schemas.openxmlformats.org/officeDocument/2006/relationships/hyperlink" Target="https://www.mfin.gov.rs/UserFiles/File/strategije/PFM%20IZVESTAJ.pdf" TargetMode="External"/><Relationship Id="rId62" Type="http://schemas.openxmlformats.org/officeDocument/2006/relationships/hyperlink" Target="https://www.napa.gov.rs/tekst/59/evidencija-akreditovanih-sprovodilaca-obuka.php" TargetMode="External"/><Relationship Id="rId83" Type="http://schemas.openxmlformats.org/officeDocument/2006/relationships/hyperlink" Target="http://sigmaweb.org/publications/Monitoring-Report-2019-Serbia.pdf" TargetMode="External"/><Relationship Id="rId88" Type="http://schemas.openxmlformats.org/officeDocument/2006/relationships/hyperlink" Target="https://ec.europa.eu/neighbourhood-enlargement/countries/package_en" TargetMode="External"/><Relationship Id="rId111" Type="http://schemas.openxmlformats.org/officeDocument/2006/relationships/hyperlink" Target="https://inspektor.gov.rs/submission" TargetMode="External"/><Relationship Id="rId132" Type="http://schemas.openxmlformats.org/officeDocument/2006/relationships/hyperlink" Target="http://skr.rs/qg7" TargetMode="External"/><Relationship Id="rId153" Type="http://schemas.openxmlformats.org/officeDocument/2006/relationships/hyperlink" Target="http://ravnopravnost-5bcf.kxcdn.com/wp-content/uploads/2019/05/Srb-Skraceni-izvestaj-1.pdf" TargetMode="External"/><Relationship Id="rId174" Type="http://schemas.openxmlformats.org/officeDocument/2006/relationships/hyperlink" Target="http://www.skgo.org/biblioteka/publikacije-analize-i-prog-dokumenta/pristupanje-EU?thematic=29" TargetMode="External"/><Relationship Id="rId179" Type="http://schemas.openxmlformats.org/officeDocument/2006/relationships/hyperlink" Target="https://monitoring.mduls.gov.rs/upload/media/0/0/0/11023/Resenje%20mpg.pdf" TargetMode="External"/><Relationship Id="rId195" Type="http://schemas.openxmlformats.org/officeDocument/2006/relationships/hyperlink" Target="http://mduls.gov.rs/wp-content/uploads/190524-Final-Evaluation-Report-SR.pdf" TargetMode="External"/><Relationship Id="rId190" Type="http://schemas.openxmlformats.org/officeDocument/2006/relationships/hyperlink" Target="https://monitoring.mduls.gov.rs/upload/media/0/0/0/11143/%D0%A0%D0%B5%D1%88%D0%B5%D1%9A%D0%B5%20%D0%BE%20%D0%BE%D0%B1%D1%80%D0%B0%D0%B7%D0%BE%D0%B2%D0%B0%D1%9A%D1%83%20%D0%9F%D0%A0%D0%93.pdf" TargetMode="External"/><Relationship Id="rId15" Type="http://schemas.openxmlformats.org/officeDocument/2006/relationships/hyperlink" Target="http://mduls.gov.rs/saopstenja/evropska-komisija-odobrila-prvu-transu-srbiji-od-30-5-miliona-evra-za-reformu-javne-uprave/" TargetMode="External"/><Relationship Id="rId36" Type="http://schemas.openxmlformats.org/officeDocument/2006/relationships/hyperlink" Target="http://www.pravno-informacioni-sistem.rs/SlGlasnikPortal/prilozi/akcioni_plan.pdf&amp;doctype=reg&amp;abc=cba&amp;eli=true&amp;eliActId=426300&amp;regactid=426300" TargetMode="External"/><Relationship Id="rId57" Type="http://schemas.openxmlformats.org/officeDocument/2006/relationships/hyperlink" Target="https://www.mfin.gov.rs/UserFiles/File/dokumenti/2013/Fiskalna%20strategija%202014.pdf" TargetMode="External"/><Relationship Id="rId106" Type="http://schemas.openxmlformats.org/officeDocument/2006/relationships/hyperlink" Target="https://data.gov.rs/sr/reuses/?page=1" TargetMode="External"/><Relationship Id="rId127" Type="http://schemas.openxmlformats.org/officeDocument/2006/relationships/hyperlink" Target="https://www.mfin.gov.rs/UserFiles/File/CJH/2019/Smernice-o-upravljackoj-odgovornosti.pdf" TargetMode="External"/><Relationship Id="rId10" Type="http://schemas.openxmlformats.org/officeDocument/2006/relationships/hyperlink" Target="https://ec.europa.eu/neighbourhood-enlargement/policy/glossary/terms/accession-criteria_en" TargetMode="External"/><Relationship Id="rId31" Type="http://schemas.openxmlformats.org/officeDocument/2006/relationships/hyperlink" Target="https://www.srbija.gov.rs/view_file.php?file_id=2148&amp;cache=sr" TargetMode="External"/><Relationship Id="rId52" Type="http://schemas.openxmlformats.org/officeDocument/2006/relationships/hyperlink" Target="https://www.pravno-informacioni-sistem.rs/SlGlasnikPortal/eli/rep/sgrs/vlada/strategija/2016/8/1/reg" TargetMode="External"/><Relationship Id="rId73" Type="http://schemas.openxmlformats.org/officeDocument/2006/relationships/hyperlink" Target="http://www.pravno-informacioni-sistem.rs/SlGlasnikPortal/eli/rep/sgrs/vlada/uredba/2018/104/4/reg" TargetMode="External"/><Relationship Id="rId78" Type="http://schemas.openxmlformats.org/officeDocument/2006/relationships/hyperlink" Target="https://www.pravno-informacioni-sistem.rs/SlGlasnikPortal/eli/rep/sgrs/skupstina/zakon/2020/9/8/reg" TargetMode="External"/><Relationship Id="rId94" Type="http://schemas.openxmlformats.org/officeDocument/2006/relationships/hyperlink" Target="https://euprava.gov.rs/prijava-dvofaktorskom-autentikacijom-za-korisnike-sa-kvalifikovanim-elektronskim-sertifikatom" TargetMode="External"/><Relationship Id="rId99" Type="http://schemas.openxmlformats.org/officeDocument/2006/relationships/hyperlink" Target="http://mduls.gov.rs/reforma-javne-uprave-u-srbiji/aktuelnosti/prijavite-dete-za-vrtic-pomocu-elektronske-usluge-e-vrtic/?script=lat" TargetMode="External"/><Relationship Id="rId101" Type="http://schemas.openxmlformats.org/officeDocument/2006/relationships/hyperlink" Target="https://euprava.gov.rs/usluge/5184" TargetMode="External"/><Relationship Id="rId122" Type="http://schemas.openxmlformats.org/officeDocument/2006/relationships/hyperlink" Target="https://www.mpravde.gov.rs/tekst/30402/revidirani-akcioni-plan-za-poglavlje-23-22072020.php" TargetMode="External"/><Relationship Id="rId143" Type="http://schemas.openxmlformats.org/officeDocument/2006/relationships/hyperlink" Target="http://www.sigmaweb.org/publications/Monitoring-Report-2017-Serbia.pdf" TargetMode="External"/><Relationship Id="rId148" Type="http://schemas.openxmlformats.org/officeDocument/2006/relationships/hyperlink" Target="http://www.acas.rs/wp-content/uploads/2020/01/2019-12-25-ANALIZA_Nacionalni-pravni-okvir-i-komparativna-analiza_oficiri-za-etiku.pdf?pismo=lat" TargetMode="External"/><Relationship Id="rId164" Type="http://schemas.openxmlformats.org/officeDocument/2006/relationships/hyperlink" Target="http://www.sind-pu.rs/dokument/Akcioni%20plan%20Programa%20transformacije%202018-2023.pdf" TargetMode="External"/><Relationship Id="rId169" Type="http://schemas.openxmlformats.org/officeDocument/2006/relationships/hyperlink" Target="https://global.theiia.org/standards-guidance/mandatory-guidance/Pages/Standards.aspx" TargetMode="External"/><Relationship Id="rId185" Type="http://schemas.openxmlformats.org/officeDocument/2006/relationships/hyperlink" Target="https://eur03.safelinks.protection.outlook.com/?url=https%3A%2F%2Fbit.ly%2F31sheds&amp;data=01%7C01%7Cljiljana.uzelac%40mduls.gov.rs%7C4a90dff8f0934470f8b208d71f23e8a9%7Ce9869d9e5f16415689b0d51630ff7000%7C1&amp;sdata=oL%2FTiqogPo78dBjNjTkiKd%2FDa9LLEV7UHOK2N%2F8FoQA%3D&amp;reserved=0" TargetMode="External"/><Relationship Id="rId4" Type="http://schemas.openxmlformats.org/officeDocument/2006/relationships/hyperlink" Target="http://mduls.gov.rs/wp-content/uploads/Izvestaj_20152017.pdf" TargetMode="External"/><Relationship Id="rId9" Type="http://schemas.openxmlformats.org/officeDocument/2006/relationships/hyperlink" Target="https://ec.europa.eu/commission/presscorner/detail/en/DOC_95_9" TargetMode="External"/><Relationship Id="rId180" Type="http://schemas.openxmlformats.org/officeDocument/2006/relationships/hyperlink" Target="http://mduls.gov.rs/saopstenja/ruzic-interes-gradjana-u-fokusu-nove-strategije-reforme-javne-uprave/" TargetMode="External"/><Relationship Id="rId26" Type="http://schemas.openxmlformats.org/officeDocument/2006/relationships/hyperlink" Target="http://mduls.gov.rs/wp-content/uploads/PAR_Izvestaj_2018.pdf%20&#1080;%20&#1040;&#1055;%20&#1056;&#1032;&#1059;%202015-2017" TargetMode="External"/><Relationship Id="rId47" Type="http://schemas.openxmlformats.org/officeDocument/2006/relationships/hyperlink" Target="http://upravljanjepromenama.gov.rs/wp-content/uploads/2019/02/Akcioni-plan-za-optimizaciju-na-osnovu-preporuka-iz-dokumenta-Svetske-banke-Horizontalna-funkcionalna-analiza-20dec2017final-1.pdf" TargetMode="External"/><Relationship Id="rId68" Type="http://schemas.openxmlformats.org/officeDocument/2006/relationships/hyperlink" Target="http://www.mduls.gov.rs/doc/Stop%20birokratiji%20konacni.doc" TargetMode="External"/><Relationship Id="rId89" Type="http://schemas.openxmlformats.org/officeDocument/2006/relationships/hyperlink" Target="https://publicadministration.un.org/egovkb/en-us/Reports/UN-E-Government-Survey-2020" TargetMode="External"/><Relationship Id="rId112" Type="http://schemas.openxmlformats.org/officeDocument/2006/relationships/hyperlink" Target="http://mduls.gov.rs/saopstenja/otvoren-jedinstveni-kontakt-centar-za-prijavljivanje-nezakonitosti-u-vreme-pandemije-korona-virusa/" TargetMode="External"/><Relationship Id="rId133" Type="http://schemas.openxmlformats.org/officeDocument/2006/relationships/hyperlink" Target="https://konkursi.civilnodrustvo.gov.rs/naslovna" TargetMode="External"/><Relationship Id="rId154" Type="http://schemas.openxmlformats.org/officeDocument/2006/relationships/hyperlink" Target="http://ravnopravnost-5bcf.kxcdn.com/wp-content/uploads/2019/05/Srb-Skraceni-izvestaj-1.pdf" TargetMode="External"/><Relationship Id="rId175" Type="http://schemas.openxmlformats.org/officeDocument/2006/relationships/hyperlink" Target="http://mduls.gov.rs/obavestenja/jedinstveni-popis-poslova-na-loklanom-nivou-vlasti/" TargetMode="External"/><Relationship Id="rId196" Type="http://schemas.openxmlformats.org/officeDocument/2006/relationships/hyperlink" Target="http://mduls.gov.rs/reforma-javne-uprave-u-srbiji/aktuelnosti/uz-podrsku-eu-pocela-kampanja-uprava-po-meri-svih-nas/?script=lat" TargetMode="External"/><Relationship Id="rId16" Type="http://schemas.openxmlformats.org/officeDocument/2006/relationships/hyperlink" Target="http://mduls.gov.rs/saopstenja/jos-13-miliona-evra-u-budzet-srbije-od-eu-zbog-uspeha-u-reformi-javne-uprave-i-javnih-finansija/" TargetMode="External"/><Relationship Id="rId37" Type="http://schemas.openxmlformats.org/officeDocument/2006/relationships/hyperlink" Target="http://mduls.gov.rs/wp-content/uploads/190524-Final-Evaluation-Report-SR.pdf" TargetMode="External"/><Relationship Id="rId58" Type="http://schemas.openxmlformats.org/officeDocument/2006/relationships/hyperlink" Target="http://www.fiskalnisavet.rs/doc/dokumenti/Fiskalna-strategija-za-2015-godinu-sa-projekcijama-za-2016-i-2017.pdf" TargetMode="External"/><Relationship Id="rId79" Type="http://schemas.openxmlformats.org/officeDocument/2006/relationships/hyperlink" Target="http://www.pravno-informacioni-sistem.rs/SlGlasnikPortal/eli/rep/sgrs/vlada/uredba/2020/21/7/reg" TargetMode="External"/><Relationship Id="rId102" Type="http://schemas.openxmlformats.org/officeDocument/2006/relationships/hyperlink" Target="https://euprava.gov.rs/" TargetMode="External"/><Relationship Id="rId123" Type="http://schemas.openxmlformats.org/officeDocument/2006/relationships/hyperlink" Target="https://www.mpravde.gov.rs/tekst/30402/revidirani-akcioni-plan-za-poglavlje-23-22072020.php" TargetMode="External"/><Relationship Id="rId144" Type="http://schemas.openxmlformats.org/officeDocument/2006/relationships/hyperlink" Target="http://www.sigmaweb.org/publications/Monitoring-Report-2017-Serbia.pdf" TargetMode="External"/><Relationship Id="rId90" Type="http://schemas.openxmlformats.org/officeDocument/2006/relationships/hyperlink" Target="https://ec.europa.eu/digital-single-market/en/news/egovernment-benchmark-2020-egovernment-works-people" TargetMode="External"/><Relationship Id="rId165" Type="http://schemas.openxmlformats.org/officeDocument/2006/relationships/hyperlink" Target="https://www.ipsasb.org/" TargetMode="External"/><Relationship Id="rId186" Type="http://schemas.openxmlformats.org/officeDocument/2006/relationships/hyperlink" Target="http://mduls.gov.rs/obavestenja/poceo-rad-na-strategija-reforme-javne-uprave-nakon-2021-godine-poziv-i-ocd-da-se-ukljuce/" TargetMode="External"/><Relationship Id="rId27" Type="http://schemas.openxmlformats.org/officeDocument/2006/relationships/hyperlink" Target="http://mduls.gov.rs/wp-content/uploads/1_PAR_report_fin.pdf%20&#1080;&#1083;&#1080;%20&#1040;&#1055;%20&#1056;&#1032;&#1059;%202015-2017" TargetMode="External"/><Relationship Id="rId48" Type="http://schemas.openxmlformats.org/officeDocument/2006/relationships/hyperlink" Target="http://upravljanjepromenama.gov.rs/wp-content/uploads/2019/02/Akcioni-plan-HFA_tabelarni-prikaz-srpski-jezik.xlsx" TargetMode="External"/><Relationship Id="rId69" Type="http://schemas.openxmlformats.org/officeDocument/2006/relationships/hyperlink" Target="https://www.srbija.gov.rs/tekst/437277" TargetMode="External"/><Relationship Id="rId113" Type="http://schemas.openxmlformats.org/officeDocument/2006/relationships/hyperlink" Target="https://publicadministration.un.org/egovkb/Portals/egovkb/Documents/un/2020Survey/UNDESA%20Compendium%20of%20Digital%20Government%20Initiatives%20in%20Response%20to%20the%20COVID-19%20Pandemic.pdf" TargetMode="External"/><Relationship Id="rId134" Type="http://schemas.openxmlformats.org/officeDocument/2006/relationships/hyperlink" Target="https://www.srbija.gov.rs/" TargetMode="External"/><Relationship Id="rId80" Type="http://schemas.openxmlformats.org/officeDocument/2006/relationships/hyperlink" Target="https://www.pravno-informacioni-sistem.rs/SlGlasnikPortal/eli/rep/sgrs/skupstina/zakon/2016/18/2/reg" TargetMode="External"/><Relationship Id="rId155" Type="http://schemas.openxmlformats.org/officeDocument/2006/relationships/hyperlink" Target="http://www.acas.rs/wp-content/uploads/2019/04/ACAS-izvestaj-web.pdf" TargetMode="External"/><Relationship Id="rId176" Type="http://schemas.openxmlformats.org/officeDocument/2006/relationships/hyperlink" Target="https://data.stat.gov.rs/?caller=090201&amp;languageCode=sr-Cyrl" TargetMode="External"/><Relationship Id="rId197" Type="http://schemas.openxmlformats.org/officeDocument/2006/relationships/hyperlink" Target="http://mduls.gov.rs/wp-content/uploads/Konacni-izvstaj-IRM-o-implementaciji-AP-2016-2018-7-mart-2019SRP.pdf" TargetMode="External"/><Relationship Id="rId17" Type="http://schemas.openxmlformats.org/officeDocument/2006/relationships/hyperlink" Target="http://sdg.indikatori.rs/" TargetMode="External"/><Relationship Id="rId38" Type="http://schemas.openxmlformats.org/officeDocument/2006/relationships/hyperlink" Target="https://www.euprava.gov.rs/vesti/224/nova_elektronska_usluga_-_online_prijava_dece_u_vrtice_gradanima_beograda_dostupna_od_9-_maja.html" TargetMode="External"/><Relationship Id="rId59" Type="http://schemas.openxmlformats.org/officeDocument/2006/relationships/hyperlink" Target="https://www.napa.gov.rs/tekst/49/godisnji-programi-obuka-naju.php" TargetMode="External"/><Relationship Id="rId103" Type="http://schemas.openxmlformats.org/officeDocument/2006/relationships/hyperlink" Target="http://skipcentar.rs/sr_RS/prostor/?script=lat" TargetMode="External"/><Relationship Id="rId124" Type="http://schemas.openxmlformats.org/officeDocument/2006/relationships/hyperlink" Target="http://www.sigmaweb.org/publications/Principles_of_Public_Administration_2017_edition_SER.pdf" TargetMode="External"/><Relationship Id="rId70" Type="http://schemas.openxmlformats.org/officeDocument/2006/relationships/hyperlink" Target="http://www.pravno-informacioni-sistem.rs/SlGlasnikPortal/eli/rep/sgrs/vlada/uredba/2018/104/1/reg" TargetMode="External"/><Relationship Id="rId91" Type="http://schemas.openxmlformats.org/officeDocument/2006/relationships/hyperlink" Target="https://eid.gov.rs/" TargetMode="External"/><Relationship Id="rId145" Type="http://schemas.openxmlformats.org/officeDocument/2006/relationships/hyperlink" Target="http://www.sigmaweb.org/publications/Managerial-accountability-in-the-Western-Balkans-SIGMA-Paper-58-November-2018.pdf" TargetMode="External"/><Relationship Id="rId166" Type="http://schemas.openxmlformats.org/officeDocument/2006/relationships/hyperlink" Target="https://www.mfin.gov.rs/UserFiles/File/CJH/2019/FUK%20prirucnik%20Compressed.pdf" TargetMode="External"/><Relationship Id="rId187" Type="http://schemas.openxmlformats.org/officeDocument/2006/relationships/hyperlink" Target="https://eur03.safelinks.protection.outlook.com/?url=https%3A%2F%2Fbit.ly%2F31sheds&amp;data=01%7C01%7Cljiljana.uzelac%40mduls.gov.rs%7C4a90dff8f0934470f8b208d71f23e8a9%7Ce9869d9e5f16415689b0d51630ff7000%7C1&amp;sdata=oL%2FTiqogPo78dBjNjTkiKd%2FDa9LLEV7UHOK2N%2F8FoQA%3D&amp;reserved=0" TargetMode="External"/><Relationship Id="rId1" Type="http://schemas.openxmlformats.org/officeDocument/2006/relationships/hyperlink" Target="http://www.pravno-informacioni-sistem.rs/SlGlasnikPortal/eli/rep/sgrs/vlada/zakljucak/2015/31/1/reg" TargetMode="External"/><Relationship Id="rId28" Type="http://schemas.openxmlformats.org/officeDocument/2006/relationships/hyperlink" Target="https://www.rcc.int/seeds/results/2/balkan-public-barometer" TargetMode="External"/><Relationship Id="rId49" Type="http://schemas.openxmlformats.org/officeDocument/2006/relationships/hyperlink" Target="http://upravljanjepromenama.gov.rs/indikatori/" TargetMode="External"/><Relationship Id="rId114" Type="http://schemas.openxmlformats.org/officeDocument/2006/relationships/hyperlink" Target="https://oecd-opsi.org/covid-response/?_countries=serbia" TargetMode="External"/><Relationship Id="rId60" Type="http://schemas.openxmlformats.org/officeDocument/2006/relationships/hyperlink" Target="https://www.napa.gov.rs/extfile/sr/2227/TNA-izve%C5%A1taj-2021-sa-prilozima(1).pdf" TargetMode="External"/><Relationship Id="rId81" Type="http://schemas.openxmlformats.org/officeDocument/2006/relationships/hyperlink" Target="https://www.pravno-informacioni-sistem.rs/SlGlasnikPortal/eli/rep/sgrs/vlada/odluka/2019/64/2/reg" TargetMode="External"/><Relationship Id="rId135" Type="http://schemas.openxmlformats.org/officeDocument/2006/relationships/hyperlink" Target="https://www.poverenik.rs/sr-yu/katalog-organa.html" TargetMode="External"/><Relationship Id="rId156" Type="http://schemas.openxmlformats.org/officeDocument/2006/relationships/hyperlink" Target="http://www.acas.rs/wp-content/uploads/2020/03/ACASizvestaj2019WEB.pdf" TargetMode="External"/><Relationship Id="rId177" Type="http://schemas.openxmlformats.org/officeDocument/2006/relationships/hyperlink" Target="https://omt.its4test.com/upload/media/0/0/0/11023/Resenje%20mpg.pdf" TargetMode="External"/><Relationship Id="rId198" Type="http://schemas.openxmlformats.org/officeDocument/2006/relationships/hyperlink" Target="https://ogp.rs/wp-content/uploads/2019/10/Serbia_IRM_AP3_DesignReport_for-public-comment-SER.pdf" TargetMode="External"/><Relationship Id="rId18" Type="http://schemas.openxmlformats.org/officeDocument/2006/relationships/hyperlink" Target="http://www.sigmaweb.org/publications/Monitoring-Report-2017-Serbia.pdf" TargetMode="External"/><Relationship Id="rId39" Type="http://schemas.openxmlformats.org/officeDocument/2006/relationships/hyperlink" Target="https://naled.rs/vest-ka-administraciji-bez-suvisnih-papira-1165" TargetMode="External"/><Relationship Id="rId50" Type="http://schemas.openxmlformats.org/officeDocument/2006/relationships/hyperlink" Target="http://mduls.gov.rs/wp-content/uploads/AP_PAR_final_version-2015-2017.pdf" TargetMode="External"/><Relationship Id="rId104" Type="http://schemas.openxmlformats.org/officeDocument/2006/relationships/hyperlink" Target="http://mduls.gov.rs/saopstenja/dve-godine-rada-skip-centra-preko-1-000-obuka-za-27-000-polaznika/?script=lat" TargetMode="External"/><Relationship Id="rId125" Type="http://schemas.openxmlformats.org/officeDocument/2006/relationships/hyperlink" Target="http://ifkj.mfin.gov.rs/Dokumenta.aspx?tip=5" TargetMode="External"/><Relationship Id="rId146" Type="http://schemas.openxmlformats.org/officeDocument/2006/relationships/hyperlink" Target="https://www.mei.gov.rs/upload/documents/eu_dokumenta/godisnji_izvestaji_ek_o_napretku/20190529-serbia-report_SR_-_REVIDIRANO.pdf" TargetMode="External"/><Relationship Id="rId167" Type="http://schemas.openxmlformats.org/officeDocument/2006/relationships/hyperlink" Target="https://www.coso.org/Pages/default.aspx" TargetMode="External"/><Relationship Id="rId188" Type="http://schemas.openxmlformats.org/officeDocument/2006/relationships/hyperlink" Target="http://mduls.gov.rs/obavestenja/rezultati-javnog-poziva-ocd-za-clanstvo-u-posebnoj-radnoj-grupi-za-izradu-predloga-strategije-reforme-javne-uprave-nakon-2021-godin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oleObject" Target="file:///C:\Users\djankovic\AppData\Local\Microsoft\Windows\INetCache\Content.Outlook\FL3SQ2V1\Grafikon.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2.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sr-Cyrl-RS" sz="1200"/>
              <a:t>однос обезбеђених, условно обезбеђених и необезбеђених средстава </a:t>
            </a:r>
            <a:endParaRPr lang="en-GB" sz="1200"/>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1-72E0-451F-A6EC-03F465026766}"/>
              </c:ext>
            </c:extLst>
          </c:dPt>
          <c:dPt>
            <c:idx val="1"/>
            <c:bubble3D val="0"/>
            <c:spPr>
              <a:solidFill>
                <a:srgbClr val="C00000"/>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3-72E0-451F-A6EC-03F465026766}"/>
              </c:ext>
            </c:extLst>
          </c:dPt>
          <c:dPt>
            <c:idx val="2"/>
            <c:bubble3D val="0"/>
            <c:spPr>
              <a:solidFill>
                <a:schemeClr val="bg1">
                  <a:lumMod val="75000"/>
                </a:schemeClr>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5-72E0-451F-A6EC-03F46502676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'Збирна табела трошкови'!$D$77:$D$79</c:f>
              <c:strCache>
                <c:ptCount val="3"/>
                <c:pt idx="0">
                  <c:v>Обезбеђена средства</c:v>
                </c:pt>
                <c:pt idx="1">
                  <c:v>Условно обезбеђена</c:v>
                </c:pt>
                <c:pt idx="2">
                  <c:v>Необезбеђена средства</c:v>
                </c:pt>
              </c:strCache>
            </c:strRef>
          </c:cat>
          <c:val>
            <c:numRef>
              <c:f>'Збирна табела трошкови'!$E$77:$E$79</c:f>
              <c:numCache>
                <c:formatCode>#,##0.00</c:formatCode>
                <c:ptCount val="3"/>
                <c:pt idx="0">
                  <c:v>890656.79600000009</c:v>
                </c:pt>
                <c:pt idx="1">
                  <c:v>50083.346000000005</c:v>
                </c:pt>
                <c:pt idx="2">
                  <c:v>1055330.577</c:v>
                </c:pt>
              </c:numCache>
            </c:numRef>
          </c:val>
          <c:extLst>
            <c:ext xmlns:c16="http://schemas.microsoft.com/office/drawing/2014/chart" uri="{C3380CC4-5D6E-409C-BE32-E72D297353CC}">
              <c16:uniqueId val="{00000006-72E0-451F-A6EC-03F46502676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26229378824064E-2"/>
          <c:y val="5.2884615384615384E-2"/>
          <c:w val="0.88891050614991396"/>
          <c:h val="0.73210074138240244"/>
        </c:manualLayout>
      </c:layout>
      <c:barChart>
        <c:barDir val="col"/>
        <c:grouping val="clustered"/>
        <c:varyColors val="0"/>
        <c:ser>
          <c:idx val="0"/>
          <c:order val="0"/>
          <c:tx>
            <c:strRef>
              <c:f>Sheet1!$B$1</c:f>
              <c:strCache>
                <c:ptCount val="1"/>
                <c:pt idx="0">
                  <c:v>Веома лоше</c:v>
                </c:pt>
              </c:strCache>
            </c:strRef>
          </c:tx>
          <c:spPr>
            <a:solidFill>
              <a:srgbClr val="A4586E"/>
            </a:solidFill>
            <a:ln>
              <a:noFill/>
            </a:ln>
            <a:effectLst/>
          </c:spPr>
          <c:invertIfNegative val="0"/>
          <c:dLbls>
            <c:dLbl>
              <c:idx val="0"/>
              <c:layout>
                <c:manualLayout>
                  <c:x val="-1.2322858903265557E-2"/>
                  <c:y val="4.29737859905457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BE-415A-8764-B471AC0B1699}"/>
                </c:ext>
              </c:extLst>
            </c:dLbl>
            <c:dLbl>
              <c:idx val="1"/>
              <c:layout>
                <c:manualLayout>
                  <c:x val="-1.6396841337531554E-2"/>
                  <c:y val="-7.87843641923024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BE-415A-8764-B471AC0B1699}"/>
                </c:ext>
              </c:extLst>
            </c:dLbl>
            <c:dLbl>
              <c:idx val="2"/>
              <c:layout>
                <c:manualLayout>
                  <c:x val="-8.1816322356310089E-3"/>
                  <c:y val="-8.81400074401384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BE-415A-8764-B471AC0B1699}"/>
                </c:ext>
              </c:extLst>
            </c:dLbl>
            <c:dLbl>
              <c:idx val="3"/>
              <c:layout>
                <c:manualLayout>
                  <c:x val="-8.1816322356310835E-3"/>
                  <c:y val="-8.81400074401384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BE-415A-8764-B471AC0B1699}"/>
                </c:ext>
              </c:extLst>
            </c:dLbl>
            <c:dLbl>
              <c:idx val="4"/>
              <c:layout>
                <c:manualLayout>
                  <c:x val="-8.18163223563100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BE-415A-8764-B471AC0B16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Sheet1!$B$2:$B$6</c:f>
              <c:numCache>
                <c:formatCode>General</c:formatCode>
                <c:ptCount val="5"/>
                <c:pt idx="0">
                  <c:v>10</c:v>
                </c:pt>
                <c:pt idx="1">
                  <c:v>10</c:v>
                </c:pt>
                <c:pt idx="2">
                  <c:v>12</c:v>
                </c:pt>
                <c:pt idx="3">
                  <c:v>13</c:v>
                </c:pt>
                <c:pt idx="4">
                  <c:v>19</c:v>
                </c:pt>
              </c:numCache>
            </c:numRef>
          </c:val>
          <c:extLst>
            <c:ext xmlns:c16="http://schemas.microsoft.com/office/drawing/2014/chart" uri="{C3380CC4-5D6E-409C-BE32-E72D297353CC}">
              <c16:uniqueId val="{00000005-C5BE-415A-8764-B471AC0B1699}"/>
            </c:ext>
          </c:extLst>
        </c:ser>
        <c:ser>
          <c:idx val="1"/>
          <c:order val="1"/>
          <c:tx>
            <c:strRef>
              <c:f>Sheet1!$C$1</c:f>
              <c:strCache>
                <c:ptCount val="1"/>
                <c:pt idx="0">
                  <c:v>Лоше</c:v>
                </c:pt>
              </c:strCache>
            </c:strRef>
          </c:tx>
          <c:spPr>
            <a:solidFill>
              <a:srgbClr val="5C4A72"/>
            </a:solidFill>
            <a:ln>
              <a:noFill/>
            </a:ln>
            <a:effectLst/>
          </c:spPr>
          <c:invertIfNegative val="0"/>
          <c:dLbls>
            <c:dLbl>
              <c:idx val="0"/>
              <c:layout>
                <c:manualLayout>
                  <c:x val="-8.18163223563100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BE-415A-8764-B471AC0B1699}"/>
                </c:ext>
              </c:extLst>
            </c:dLbl>
            <c:dLbl>
              <c:idx val="1"/>
              <c:layout>
                <c:manualLayout>
                  <c:x val="-8.181632235631045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BE-415A-8764-B471AC0B1699}"/>
                </c:ext>
              </c:extLst>
            </c:dLbl>
            <c:dLbl>
              <c:idx val="2"/>
              <c:layout>
                <c:manualLayout>
                  <c:x val="-4.090816117815579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BE-415A-8764-B471AC0B1699}"/>
                </c:ext>
              </c:extLst>
            </c:dLbl>
            <c:dLbl>
              <c:idx val="3"/>
              <c:layout>
                <c:manualLayout>
                  <c:x val="-8.18163223563108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BE-415A-8764-B471AC0B16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Sheet1!$C$2:$C$6</c:f>
              <c:numCache>
                <c:formatCode>General</c:formatCode>
                <c:ptCount val="5"/>
                <c:pt idx="0">
                  <c:v>28</c:v>
                </c:pt>
                <c:pt idx="1">
                  <c:v>26</c:v>
                </c:pt>
                <c:pt idx="2">
                  <c:v>31</c:v>
                </c:pt>
                <c:pt idx="3">
                  <c:v>37</c:v>
                </c:pt>
                <c:pt idx="4">
                  <c:v>41</c:v>
                </c:pt>
              </c:numCache>
            </c:numRef>
          </c:val>
          <c:extLst>
            <c:ext xmlns:c16="http://schemas.microsoft.com/office/drawing/2014/chart" uri="{C3380CC4-5D6E-409C-BE32-E72D297353CC}">
              <c16:uniqueId val="{0000000A-C5BE-415A-8764-B471AC0B1699}"/>
            </c:ext>
          </c:extLst>
        </c:ser>
        <c:ser>
          <c:idx val="2"/>
          <c:order val="2"/>
          <c:tx>
            <c:strRef>
              <c:f>Sheet1!$D$1</c:f>
              <c:strCache>
                <c:ptCount val="1"/>
                <c:pt idx="0">
                  <c:v>Добро</c:v>
                </c:pt>
              </c:strCache>
            </c:strRef>
          </c:tx>
          <c:spPr>
            <a:solidFill>
              <a:srgbClr val="A9B563"/>
            </a:solidFill>
            <a:ln>
              <a:noFill/>
            </a:ln>
            <a:effectLst/>
          </c:spPr>
          <c:invertIfNegative val="0"/>
          <c:dLbls>
            <c:dLbl>
              <c:idx val="3"/>
              <c:layout>
                <c:manualLayout>
                  <c:x val="8.18163223563100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5BE-415A-8764-B471AC0B1699}"/>
                </c:ext>
              </c:extLst>
            </c:dLbl>
            <c:dLbl>
              <c:idx val="4"/>
              <c:layout>
                <c:manualLayout>
                  <c:x val="8.18163223563100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5BE-415A-8764-B471AC0B16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Sheet1!$D$2:$D$6</c:f>
              <c:numCache>
                <c:formatCode>General</c:formatCode>
                <c:ptCount val="5"/>
                <c:pt idx="0">
                  <c:v>48</c:v>
                </c:pt>
                <c:pt idx="1">
                  <c:v>41</c:v>
                </c:pt>
                <c:pt idx="2">
                  <c:v>39</c:v>
                </c:pt>
                <c:pt idx="3">
                  <c:v>37</c:v>
                </c:pt>
                <c:pt idx="4">
                  <c:v>30</c:v>
                </c:pt>
              </c:numCache>
            </c:numRef>
          </c:val>
          <c:extLst>
            <c:ext xmlns:c16="http://schemas.microsoft.com/office/drawing/2014/chart" uri="{C3380CC4-5D6E-409C-BE32-E72D297353CC}">
              <c16:uniqueId val="{0000000D-C5BE-415A-8764-B471AC0B1699}"/>
            </c:ext>
          </c:extLst>
        </c:ser>
        <c:ser>
          <c:idx val="3"/>
          <c:order val="3"/>
          <c:tx>
            <c:strRef>
              <c:f>Sheet1!$E$1</c:f>
              <c:strCache>
                <c:ptCount val="1"/>
                <c:pt idx="0">
                  <c:v>Веома добро</c:v>
                </c:pt>
              </c:strCache>
            </c:strRef>
          </c:tx>
          <c:spPr>
            <a:solidFill>
              <a:srgbClr val="F2B05A"/>
            </a:solidFill>
            <a:ln>
              <a:noFill/>
            </a:ln>
            <a:effectLst/>
          </c:spPr>
          <c:invertIfNegative val="0"/>
          <c:dLbls>
            <c:dLbl>
              <c:idx val="0"/>
              <c:layout>
                <c:manualLayout>
                  <c:x val="1.2306111519666454E-2"/>
                  <c:y val="1.6699235208224549E-7"/>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7.3702016453118954E-2"/>
                      <c:h val="5.8653801580101056E-2"/>
                    </c:manualLayout>
                  </c15:layout>
                </c:ext>
                <c:ext xmlns:c16="http://schemas.microsoft.com/office/drawing/2014/chart" uri="{C3380CC4-5D6E-409C-BE32-E72D297353CC}">
                  <c16:uniqueId val="{0000000E-C5BE-415A-8764-B471AC0B1699}"/>
                </c:ext>
              </c:extLst>
            </c:dLbl>
            <c:dLbl>
              <c:idx val="1"/>
              <c:layout>
                <c:manualLayout>
                  <c:x val="4.090816117815504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5BE-415A-8764-B471AC0B1699}"/>
                </c:ext>
              </c:extLst>
            </c:dLbl>
            <c:dLbl>
              <c:idx val="2"/>
              <c:layout>
                <c:manualLayout>
                  <c:x val="4.090816117815429E-3"/>
                  <c:y val="-8.81400074401384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5BE-415A-8764-B471AC0B16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Sheet1!$E$2:$E$6</c:f>
              <c:numCache>
                <c:formatCode>General</c:formatCode>
                <c:ptCount val="5"/>
                <c:pt idx="0">
                  <c:v>7</c:v>
                </c:pt>
                <c:pt idx="1">
                  <c:v>17</c:v>
                </c:pt>
                <c:pt idx="2">
                  <c:v>13</c:v>
                </c:pt>
                <c:pt idx="3">
                  <c:v>8</c:v>
                </c:pt>
                <c:pt idx="4">
                  <c:v>6</c:v>
                </c:pt>
              </c:numCache>
            </c:numRef>
          </c:val>
          <c:extLst>
            <c:ext xmlns:c16="http://schemas.microsoft.com/office/drawing/2014/chart" uri="{C3380CC4-5D6E-409C-BE32-E72D297353CC}">
              <c16:uniqueId val="{00000011-C5BE-415A-8764-B471AC0B1699}"/>
            </c:ext>
          </c:extLst>
        </c:ser>
        <c:ser>
          <c:idx val="4"/>
          <c:order val="4"/>
          <c:tx>
            <c:strRef>
              <c:f>Sheet1!$F$1</c:f>
              <c:strCache>
                <c:ptCount val="1"/>
                <c:pt idx="0">
                  <c:v>Одлично</c:v>
                </c:pt>
              </c:strCache>
            </c:strRef>
          </c:tx>
          <c:spPr>
            <a:solidFill>
              <a:srgbClr val="F5EBC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Sheet1!$F$2:$F$6</c:f>
              <c:numCache>
                <c:formatCode>General</c:formatCode>
                <c:ptCount val="5"/>
                <c:pt idx="0">
                  <c:v>2</c:v>
                </c:pt>
                <c:pt idx="1">
                  <c:v>5</c:v>
                </c:pt>
                <c:pt idx="2">
                  <c:v>2</c:v>
                </c:pt>
                <c:pt idx="3">
                  <c:v>2</c:v>
                </c:pt>
                <c:pt idx="4">
                  <c:v>2</c:v>
                </c:pt>
              </c:numCache>
            </c:numRef>
          </c:val>
          <c:extLst>
            <c:ext xmlns:c16="http://schemas.microsoft.com/office/drawing/2014/chart" uri="{C3380CC4-5D6E-409C-BE32-E72D297353CC}">
              <c16:uniqueId val="{00000012-C5BE-415A-8764-B471AC0B1699}"/>
            </c:ext>
          </c:extLst>
        </c:ser>
        <c:ser>
          <c:idx val="5"/>
          <c:order val="5"/>
          <c:tx>
            <c:strRef>
              <c:f>Sheet1!$G$1</c:f>
              <c:strCache>
                <c:ptCount val="1"/>
                <c:pt idx="0">
                  <c:v>Не зна</c:v>
                </c:pt>
              </c:strCache>
            </c:strRef>
          </c:tx>
          <c:spPr>
            <a:solidFill>
              <a:srgbClr val="A6A6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Sheet1!$G$2:$G$6</c:f>
              <c:numCache>
                <c:formatCode>General</c:formatCode>
                <c:ptCount val="5"/>
                <c:pt idx="0">
                  <c:v>4</c:v>
                </c:pt>
                <c:pt idx="1">
                  <c:v>2</c:v>
                </c:pt>
                <c:pt idx="2">
                  <c:v>2</c:v>
                </c:pt>
                <c:pt idx="3">
                  <c:v>3</c:v>
                </c:pt>
                <c:pt idx="4">
                  <c:v>2</c:v>
                </c:pt>
              </c:numCache>
            </c:numRef>
          </c:val>
          <c:extLst>
            <c:ext xmlns:c16="http://schemas.microsoft.com/office/drawing/2014/chart" uri="{C3380CC4-5D6E-409C-BE32-E72D297353CC}">
              <c16:uniqueId val="{00000013-C5BE-415A-8764-B471AC0B1699}"/>
            </c:ext>
          </c:extLst>
        </c:ser>
        <c:dLbls>
          <c:dLblPos val="outEnd"/>
          <c:showLegendKey val="0"/>
          <c:showVal val="1"/>
          <c:showCatName val="0"/>
          <c:showSerName val="0"/>
          <c:showPercent val="0"/>
          <c:showBubbleSize val="0"/>
        </c:dLbls>
        <c:gapWidth val="150"/>
        <c:axId val="878210648"/>
        <c:axId val="878212216"/>
      </c:barChart>
      <c:catAx>
        <c:axId val="87821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8212216"/>
        <c:crosses val="autoZero"/>
        <c:auto val="1"/>
        <c:lblAlgn val="ctr"/>
        <c:lblOffset val="100"/>
        <c:noMultiLvlLbl val="0"/>
      </c:catAx>
      <c:valAx>
        <c:axId val="878212216"/>
        <c:scaling>
          <c:orientation val="minMax"/>
          <c:max val="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8210648"/>
        <c:crosses val="autoZero"/>
        <c:crossBetween val="between"/>
        <c:majorUnit val="5"/>
        <c:minorUnit val="1"/>
      </c:valAx>
      <c:spPr>
        <a:noFill/>
        <a:ln>
          <a:noFill/>
        </a:ln>
        <a:effectLst/>
      </c:spPr>
    </c:plotArea>
    <c:legend>
      <c:legendPos val="b"/>
      <c:layout>
        <c:manualLayout>
          <c:xMode val="edge"/>
          <c:yMode val="edge"/>
          <c:x val="0.12632676922778369"/>
          <c:y val="0.87390712924958291"/>
          <c:w val="0.73891258047457564"/>
          <c:h val="0.100932564993621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3490190899383"/>
          <c:y val="3.3653846153846152E-2"/>
          <c:w val="0.84186612079503564"/>
          <c:h val="0.78033288686852287"/>
        </c:manualLayout>
      </c:layout>
      <c:barChart>
        <c:barDir val="col"/>
        <c:grouping val="stacked"/>
        <c:varyColors val="0"/>
        <c:ser>
          <c:idx val="0"/>
          <c:order val="0"/>
          <c:tx>
            <c:strRef>
              <c:f>Sheet1!$B$1</c:f>
              <c:strCache>
                <c:ptCount val="1"/>
                <c:pt idx="0">
                  <c:v>Веома лоше</c:v>
                </c:pt>
              </c:strCache>
            </c:strRef>
          </c:tx>
          <c:spPr>
            <a:solidFill>
              <a:srgbClr val="A4586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Sheet1!$B$2:$B$6</c:f>
              <c:numCache>
                <c:formatCode>General</c:formatCode>
                <c:ptCount val="5"/>
                <c:pt idx="0">
                  <c:v>11</c:v>
                </c:pt>
                <c:pt idx="1">
                  <c:v>12</c:v>
                </c:pt>
                <c:pt idx="2">
                  <c:v>15</c:v>
                </c:pt>
                <c:pt idx="3">
                  <c:v>18</c:v>
                </c:pt>
                <c:pt idx="4">
                  <c:v>23</c:v>
                </c:pt>
              </c:numCache>
            </c:numRef>
          </c:val>
          <c:extLst>
            <c:ext xmlns:c16="http://schemas.microsoft.com/office/drawing/2014/chart" uri="{C3380CC4-5D6E-409C-BE32-E72D297353CC}">
              <c16:uniqueId val="{00000000-81C7-482E-801A-6601966146D6}"/>
            </c:ext>
          </c:extLst>
        </c:ser>
        <c:ser>
          <c:idx val="1"/>
          <c:order val="1"/>
          <c:tx>
            <c:strRef>
              <c:f>Sheet1!$C$1</c:f>
              <c:strCache>
                <c:ptCount val="1"/>
                <c:pt idx="0">
                  <c:v>Лоше</c:v>
                </c:pt>
              </c:strCache>
            </c:strRef>
          </c:tx>
          <c:spPr>
            <a:solidFill>
              <a:srgbClr val="5C4A7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Sheet1!$C$2:$C$6</c:f>
              <c:numCache>
                <c:formatCode>General</c:formatCode>
                <c:ptCount val="5"/>
                <c:pt idx="0">
                  <c:v>30</c:v>
                </c:pt>
                <c:pt idx="1">
                  <c:v>31</c:v>
                </c:pt>
                <c:pt idx="2">
                  <c:v>36</c:v>
                </c:pt>
                <c:pt idx="3">
                  <c:v>42</c:v>
                </c:pt>
                <c:pt idx="4">
                  <c:v>40</c:v>
                </c:pt>
              </c:numCache>
            </c:numRef>
          </c:val>
          <c:extLst>
            <c:ext xmlns:c16="http://schemas.microsoft.com/office/drawing/2014/chart" uri="{C3380CC4-5D6E-409C-BE32-E72D297353CC}">
              <c16:uniqueId val="{00000001-81C7-482E-801A-6601966146D6}"/>
            </c:ext>
          </c:extLst>
        </c:ser>
        <c:ser>
          <c:idx val="2"/>
          <c:order val="2"/>
          <c:tx>
            <c:strRef>
              <c:f>Sheet1!$D$1</c:f>
              <c:strCache>
                <c:ptCount val="1"/>
                <c:pt idx="0">
                  <c:v>Добро</c:v>
                </c:pt>
              </c:strCache>
            </c:strRef>
          </c:tx>
          <c:spPr>
            <a:solidFill>
              <a:srgbClr val="A9B5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Sheet1!$D$2:$D$6</c:f>
              <c:numCache>
                <c:formatCode>General</c:formatCode>
                <c:ptCount val="5"/>
                <c:pt idx="0">
                  <c:v>46</c:v>
                </c:pt>
                <c:pt idx="1">
                  <c:v>38</c:v>
                </c:pt>
                <c:pt idx="2">
                  <c:v>34</c:v>
                </c:pt>
                <c:pt idx="3">
                  <c:v>26</c:v>
                </c:pt>
                <c:pt idx="4">
                  <c:v>29</c:v>
                </c:pt>
              </c:numCache>
            </c:numRef>
          </c:val>
          <c:extLst>
            <c:ext xmlns:c16="http://schemas.microsoft.com/office/drawing/2014/chart" uri="{C3380CC4-5D6E-409C-BE32-E72D297353CC}">
              <c16:uniqueId val="{00000002-81C7-482E-801A-6601966146D6}"/>
            </c:ext>
          </c:extLst>
        </c:ser>
        <c:ser>
          <c:idx val="3"/>
          <c:order val="3"/>
          <c:tx>
            <c:strRef>
              <c:f>Sheet1!$E$1</c:f>
              <c:strCache>
                <c:ptCount val="1"/>
                <c:pt idx="0">
                  <c:v>Веома добро</c:v>
                </c:pt>
              </c:strCache>
            </c:strRef>
          </c:tx>
          <c:spPr>
            <a:solidFill>
              <a:srgbClr val="F2B05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Sheet1!$E$2:$E$6</c:f>
              <c:numCache>
                <c:formatCode>General</c:formatCode>
                <c:ptCount val="5"/>
                <c:pt idx="0">
                  <c:v>6</c:v>
                </c:pt>
                <c:pt idx="1">
                  <c:v>12</c:v>
                </c:pt>
                <c:pt idx="2">
                  <c:v>10</c:v>
                </c:pt>
                <c:pt idx="3">
                  <c:v>9</c:v>
                </c:pt>
                <c:pt idx="4">
                  <c:v>6</c:v>
                </c:pt>
              </c:numCache>
            </c:numRef>
          </c:val>
          <c:extLst>
            <c:ext xmlns:c16="http://schemas.microsoft.com/office/drawing/2014/chart" uri="{C3380CC4-5D6E-409C-BE32-E72D297353CC}">
              <c16:uniqueId val="{00000003-81C7-482E-801A-6601966146D6}"/>
            </c:ext>
          </c:extLst>
        </c:ser>
        <c:ser>
          <c:idx val="4"/>
          <c:order val="4"/>
          <c:tx>
            <c:strRef>
              <c:f>Sheet1!$F$1</c:f>
              <c:strCache>
                <c:ptCount val="1"/>
                <c:pt idx="0">
                  <c:v>Одлично</c:v>
                </c:pt>
              </c:strCache>
            </c:strRef>
          </c:tx>
          <c:spPr>
            <a:solidFill>
              <a:srgbClr val="F5EBC2"/>
            </a:solidFill>
            <a:ln>
              <a:noFill/>
            </a:ln>
            <a:effectLst/>
          </c:spPr>
          <c:invertIfNegative val="0"/>
          <c:dLbls>
            <c:dLbl>
              <c:idx val="0"/>
              <c:layout>
                <c:manualLayout>
                  <c:x val="9.5435684647302871E-2"/>
                  <c:y val="-4.3269230769230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C7-482E-801A-6601966146D6}"/>
                </c:ext>
              </c:extLst>
            </c:dLbl>
            <c:dLbl>
              <c:idx val="1"/>
              <c:layout>
                <c:manualLayout>
                  <c:x val="0.10373466247753514"/>
                  <c:y val="-4.8076142544037767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0908161178155045E-2"/>
                      <c:h val="5.3846153846153849E-2"/>
                    </c:manualLayout>
                  </c15:layout>
                </c:ext>
                <c:ext xmlns:c16="http://schemas.microsoft.com/office/drawing/2014/chart" uri="{C3380CC4-5D6E-409C-BE32-E72D297353CC}">
                  <c16:uniqueId val="{00000005-81C7-482E-801A-6601966146D6}"/>
                </c:ext>
              </c:extLst>
            </c:dLbl>
            <c:dLbl>
              <c:idx val="2"/>
              <c:delete val="1"/>
              <c:extLst>
                <c:ext xmlns:c15="http://schemas.microsoft.com/office/drawing/2012/chart" uri="{CE6537A1-D6FC-4f65-9D91-7224C49458BB}"/>
                <c:ext xmlns:c16="http://schemas.microsoft.com/office/drawing/2014/chart" uri="{C3380CC4-5D6E-409C-BE32-E72D297353CC}">
                  <c16:uniqueId val="{00000006-81C7-482E-801A-6601966146D6}"/>
                </c:ext>
              </c:extLst>
            </c:dLbl>
            <c:dLbl>
              <c:idx val="3"/>
              <c:layout>
                <c:manualLayout>
                  <c:x val="9.14620838370305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C7-482E-801A-6601966146D6}"/>
                </c:ext>
              </c:extLst>
            </c:dLbl>
            <c:dLbl>
              <c:idx val="4"/>
              <c:delete val="1"/>
              <c:extLst>
                <c:ext xmlns:c15="http://schemas.microsoft.com/office/drawing/2012/chart" uri="{CE6537A1-D6FC-4f65-9D91-7224C49458BB}"/>
                <c:ext xmlns:c16="http://schemas.microsoft.com/office/drawing/2014/chart" uri="{C3380CC4-5D6E-409C-BE32-E72D297353CC}">
                  <c16:uniqueId val="{00000008-81C7-482E-801A-6601966146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Sheet1!$F$2:$F$6</c:f>
              <c:numCache>
                <c:formatCode>General</c:formatCode>
                <c:ptCount val="5"/>
                <c:pt idx="0">
                  <c:v>2</c:v>
                </c:pt>
                <c:pt idx="1">
                  <c:v>4</c:v>
                </c:pt>
                <c:pt idx="2">
                  <c:v>2</c:v>
                </c:pt>
                <c:pt idx="3">
                  <c:v>2</c:v>
                </c:pt>
                <c:pt idx="4">
                  <c:v>1</c:v>
                </c:pt>
              </c:numCache>
            </c:numRef>
          </c:val>
          <c:extLst>
            <c:ext xmlns:c16="http://schemas.microsoft.com/office/drawing/2014/chart" uri="{C3380CC4-5D6E-409C-BE32-E72D297353CC}">
              <c16:uniqueId val="{00000009-81C7-482E-801A-6601966146D6}"/>
            </c:ext>
          </c:extLst>
        </c:ser>
        <c:ser>
          <c:idx val="5"/>
          <c:order val="5"/>
          <c:tx>
            <c:strRef>
              <c:f>Sheet1!$G$1</c:f>
              <c:strCache>
                <c:ptCount val="1"/>
                <c:pt idx="0">
                  <c:v>Не зна</c:v>
                </c:pt>
              </c:strCache>
            </c:strRef>
          </c:tx>
          <c:spPr>
            <a:solidFill>
              <a:srgbClr val="A6A6A6"/>
            </a:solidFill>
            <a:ln>
              <a:noFill/>
            </a:ln>
            <a:effectLst/>
          </c:spPr>
          <c:invertIfNegative val="0"/>
          <c:dLbls>
            <c:dLbl>
              <c:idx val="2"/>
              <c:layout>
                <c:manualLayout>
                  <c:x val="9.852216748768465E-2"/>
                  <c:y val="-8.5910652920962206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C7-482E-801A-6601966146D6}"/>
                </c:ext>
              </c:extLst>
            </c:dLbl>
            <c:dLbl>
              <c:idx val="3"/>
              <c:layout>
                <c:manualLayout>
                  <c:x val="9.437279391800163E-2"/>
                  <c:y val="-1.339867954649998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C7-482E-801A-6601966146D6}"/>
                </c:ext>
              </c:extLst>
            </c:dLbl>
            <c:dLbl>
              <c:idx val="4"/>
              <c:layout>
                <c:manualLayout>
                  <c:x val="7.799671592775026E-2"/>
                  <c:y val="-9.103146900451875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C7-482E-801A-6601966146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Sheet1!$G$2:$G$6</c:f>
              <c:numCache>
                <c:formatCode>General</c:formatCode>
                <c:ptCount val="5"/>
                <c:pt idx="0">
                  <c:v>5</c:v>
                </c:pt>
                <c:pt idx="1">
                  <c:v>3</c:v>
                </c:pt>
                <c:pt idx="2">
                  <c:v>2</c:v>
                </c:pt>
                <c:pt idx="3">
                  <c:v>3</c:v>
                </c:pt>
                <c:pt idx="4">
                  <c:v>3</c:v>
                </c:pt>
              </c:numCache>
            </c:numRef>
          </c:val>
          <c:extLst>
            <c:ext xmlns:c16="http://schemas.microsoft.com/office/drawing/2014/chart" uri="{C3380CC4-5D6E-409C-BE32-E72D297353CC}">
              <c16:uniqueId val="{0000000D-81C7-482E-801A-6601966146D6}"/>
            </c:ext>
          </c:extLst>
        </c:ser>
        <c:dLbls>
          <c:showLegendKey val="0"/>
          <c:showVal val="1"/>
          <c:showCatName val="0"/>
          <c:showSerName val="0"/>
          <c:showPercent val="0"/>
          <c:showBubbleSize val="0"/>
        </c:dLbls>
        <c:gapWidth val="150"/>
        <c:overlap val="100"/>
        <c:axId val="878214960"/>
        <c:axId val="878213000"/>
      </c:barChart>
      <c:catAx>
        <c:axId val="87821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8213000"/>
        <c:crosses val="autoZero"/>
        <c:auto val="1"/>
        <c:lblAlgn val="ctr"/>
        <c:lblOffset val="100"/>
        <c:noMultiLvlLbl val="0"/>
      </c:catAx>
      <c:valAx>
        <c:axId val="878213000"/>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8214960"/>
        <c:crosses val="autoZero"/>
        <c:crossBetween val="between"/>
        <c:majorUnit val="20"/>
        <c:minorUnit val="2"/>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3321632209766882"/>
          <c:y val="0.89197208918472815"/>
          <c:w val="0.79312607475789665"/>
          <c:h val="0.10802791081527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3490190899383"/>
          <c:y val="3.3653846153846152E-2"/>
          <c:w val="0.84186612079503564"/>
          <c:h val="0.67724010336336815"/>
        </c:manualLayout>
      </c:layout>
      <c:barChart>
        <c:barDir val="bar"/>
        <c:grouping val="stacked"/>
        <c:varyColors val="0"/>
        <c:ser>
          <c:idx val="0"/>
          <c:order val="0"/>
          <c:tx>
            <c:strRef>
              <c:f>Sheet1!$B$1</c:f>
              <c:strCache>
                <c:ptCount val="1"/>
                <c:pt idx="0">
                  <c:v>Потпуно незадовољни</c:v>
                </c:pt>
              </c:strCache>
            </c:strRef>
          </c:tx>
          <c:spPr>
            <a:solidFill>
              <a:srgbClr val="A4586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Sheet1!$B$2:$B$4</c:f>
              <c:numCache>
                <c:formatCode>General</c:formatCode>
                <c:ptCount val="3"/>
                <c:pt idx="0">
                  <c:v>4</c:v>
                </c:pt>
                <c:pt idx="1">
                  <c:v>3</c:v>
                </c:pt>
                <c:pt idx="2">
                  <c:v>3</c:v>
                </c:pt>
              </c:numCache>
            </c:numRef>
          </c:val>
          <c:extLst>
            <c:ext xmlns:c16="http://schemas.microsoft.com/office/drawing/2014/chart" uri="{C3380CC4-5D6E-409C-BE32-E72D297353CC}">
              <c16:uniqueId val="{00000000-3B2C-43AB-8BF8-B2AAD3DE419D}"/>
            </c:ext>
          </c:extLst>
        </c:ser>
        <c:ser>
          <c:idx val="1"/>
          <c:order val="1"/>
          <c:tx>
            <c:strRef>
              <c:f>Sheet1!$C$1</c:f>
              <c:strCache>
                <c:ptCount val="1"/>
                <c:pt idx="0">
                  <c:v>Углавном незадовољни</c:v>
                </c:pt>
              </c:strCache>
            </c:strRef>
          </c:tx>
          <c:spPr>
            <a:solidFill>
              <a:srgbClr val="5C4A7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Sheet1!$C$2:$C$4</c:f>
              <c:numCache>
                <c:formatCode>General</c:formatCode>
                <c:ptCount val="3"/>
                <c:pt idx="0">
                  <c:v>21</c:v>
                </c:pt>
                <c:pt idx="1">
                  <c:v>11</c:v>
                </c:pt>
                <c:pt idx="2">
                  <c:v>16</c:v>
                </c:pt>
              </c:numCache>
            </c:numRef>
          </c:val>
          <c:extLst>
            <c:ext xmlns:c16="http://schemas.microsoft.com/office/drawing/2014/chart" uri="{C3380CC4-5D6E-409C-BE32-E72D297353CC}">
              <c16:uniqueId val="{00000001-3B2C-43AB-8BF8-B2AAD3DE419D}"/>
            </c:ext>
          </c:extLst>
        </c:ser>
        <c:ser>
          <c:idx val="2"/>
          <c:order val="2"/>
          <c:tx>
            <c:strRef>
              <c:f>Sheet1!$D$1</c:f>
              <c:strCache>
                <c:ptCount val="1"/>
                <c:pt idx="0">
                  <c:v>Ни задовољни ни незадовољни</c:v>
                </c:pt>
              </c:strCache>
            </c:strRef>
          </c:tx>
          <c:spPr>
            <a:solidFill>
              <a:srgbClr val="F2B05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Sheet1!$D$2:$D$4</c:f>
              <c:numCache>
                <c:formatCode>General</c:formatCode>
                <c:ptCount val="3"/>
                <c:pt idx="0">
                  <c:v>41</c:v>
                </c:pt>
                <c:pt idx="1">
                  <c:v>29</c:v>
                </c:pt>
                <c:pt idx="2">
                  <c:v>25</c:v>
                </c:pt>
              </c:numCache>
            </c:numRef>
          </c:val>
          <c:extLst>
            <c:ext xmlns:c16="http://schemas.microsoft.com/office/drawing/2014/chart" uri="{C3380CC4-5D6E-409C-BE32-E72D297353CC}">
              <c16:uniqueId val="{00000002-3B2C-43AB-8BF8-B2AAD3DE419D}"/>
            </c:ext>
          </c:extLst>
        </c:ser>
        <c:ser>
          <c:idx val="3"/>
          <c:order val="3"/>
          <c:tx>
            <c:strRef>
              <c:f>Sheet1!$E$1</c:f>
              <c:strCache>
                <c:ptCount val="1"/>
                <c:pt idx="0">
                  <c:v>Углавном задовољни</c:v>
                </c:pt>
              </c:strCache>
            </c:strRef>
          </c:tx>
          <c:spPr>
            <a:solidFill>
              <a:srgbClr val="A9B5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Sheet1!$E$2:$E$4</c:f>
              <c:numCache>
                <c:formatCode>General</c:formatCode>
                <c:ptCount val="3"/>
                <c:pt idx="0">
                  <c:v>32</c:v>
                </c:pt>
                <c:pt idx="1">
                  <c:v>48</c:v>
                </c:pt>
                <c:pt idx="2">
                  <c:v>52</c:v>
                </c:pt>
              </c:numCache>
            </c:numRef>
          </c:val>
          <c:extLst>
            <c:ext xmlns:c16="http://schemas.microsoft.com/office/drawing/2014/chart" uri="{C3380CC4-5D6E-409C-BE32-E72D297353CC}">
              <c16:uniqueId val="{00000003-3B2C-43AB-8BF8-B2AAD3DE419D}"/>
            </c:ext>
          </c:extLst>
        </c:ser>
        <c:ser>
          <c:idx val="4"/>
          <c:order val="4"/>
          <c:tx>
            <c:strRef>
              <c:f>Sheet1!$F$1</c:f>
              <c:strCache>
                <c:ptCount val="1"/>
                <c:pt idx="0">
                  <c:v>Веома задовољни</c:v>
                </c:pt>
              </c:strCache>
            </c:strRef>
          </c:tx>
          <c:spPr>
            <a:solidFill>
              <a:srgbClr val="F5EBC2"/>
            </a:solidFill>
            <a:ln>
              <a:noFill/>
            </a:ln>
            <a:effectLst/>
          </c:spPr>
          <c:invertIfNegative val="0"/>
          <c:dLbls>
            <c:dLbl>
              <c:idx val="0"/>
              <c:layout>
                <c:manualLayout>
                  <c:x val="2.2653957048472388E-2"/>
                  <c:y val="-2.6087074167275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2C-43AB-8BF8-B2AAD3DE419D}"/>
                </c:ext>
              </c:extLst>
            </c:dLbl>
            <c:dLbl>
              <c:idx val="1"/>
              <c:layout>
                <c:manualLayout>
                  <c:x val="4.0601605833753543E-3"/>
                  <c:y val="3.7834510376924535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090803304759319E-2"/>
                      <c:h val="5.3846023757339607E-2"/>
                    </c:manualLayout>
                  </c15:layout>
                </c:ext>
                <c:ext xmlns:c16="http://schemas.microsoft.com/office/drawing/2014/chart" uri="{C3380CC4-5D6E-409C-BE32-E72D297353CC}">
                  <c16:uniqueId val="{00000005-3B2C-43AB-8BF8-B2AAD3DE419D}"/>
                </c:ext>
              </c:extLst>
            </c:dLbl>
            <c:dLbl>
              <c:idx val="2"/>
              <c:delete val="1"/>
              <c:extLst>
                <c:ext xmlns:c15="http://schemas.microsoft.com/office/drawing/2012/chart" uri="{CE6537A1-D6FC-4f65-9D91-7224C49458BB}"/>
                <c:ext xmlns:c16="http://schemas.microsoft.com/office/drawing/2014/chart" uri="{C3380CC4-5D6E-409C-BE32-E72D297353CC}">
                  <c16:uniqueId val="{00000006-3B2C-43AB-8BF8-B2AAD3DE41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Sheet1!$F$2:$F$4</c:f>
              <c:numCache>
                <c:formatCode>General</c:formatCode>
                <c:ptCount val="3"/>
                <c:pt idx="0">
                  <c:v>3</c:v>
                </c:pt>
                <c:pt idx="1">
                  <c:v>6</c:v>
                </c:pt>
                <c:pt idx="2">
                  <c:v>2</c:v>
                </c:pt>
              </c:numCache>
            </c:numRef>
          </c:val>
          <c:extLst>
            <c:ext xmlns:c16="http://schemas.microsoft.com/office/drawing/2014/chart" uri="{C3380CC4-5D6E-409C-BE32-E72D297353CC}">
              <c16:uniqueId val="{00000007-3B2C-43AB-8BF8-B2AAD3DE419D}"/>
            </c:ext>
          </c:extLst>
        </c:ser>
        <c:ser>
          <c:idx val="5"/>
          <c:order val="5"/>
          <c:tx>
            <c:strRef>
              <c:f>Sheet1!$G$1</c:f>
              <c:strCache>
                <c:ptCount val="1"/>
                <c:pt idx="0">
                  <c:v>Не знају</c:v>
                </c:pt>
              </c:strCache>
            </c:strRef>
          </c:tx>
          <c:spPr>
            <a:solidFill>
              <a:srgbClr val="F2B05A"/>
            </a:solidFill>
            <a:ln>
              <a:noFill/>
            </a:ln>
            <a:effectLst/>
          </c:spPr>
          <c:invertIfNegative val="0"/>
          <c:dLbls>
            <c:dLbl>
              <c:idx val="1"/>
              <c:layout>
                <c:manualLayout>
                  <c:x val="2.0525451559934318E-2"/>
                  <c:y val="3.9375261055731935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2C-43AB-8BF8-B2AAD3DE419D}"/>
                </c:ext>
              </c:extLst>
            </c:dLbl>
            <c:dLbl>
              <c:idx val="2"/>
              <c:layout>
                <c:manualLayout>
                  <c:x val="1.8700464166117165E-2"/>
                  <c:y val="-8.5910652920962206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2C-43AB-8BF8-B2AAD3DE41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Sheet1!$G$2:$G$4</c:f>
              <c:numCache>
                <c:formatCode>General</c:formatCode>
                <c:ptCount val="3"/>
                <c:pt idx="0">
                  <c:v>0</c:v>
                </c:pt>
                <c:pt idx="1">
                  <c:v>2</c:v>
                </c:pt>
                <c:pt idx="2">
                  <c:v>1</c:v>
                </c:pt>
              </c:numCache>
            </c:numRef>
          </c:val>
          <c:extLst>
            <c:ext xmlns:c16="http://schemas.microsoft.com/office/drawing/2014/chart" uri="{C3380CC4-5D6E-409C-BE32-E72D297353CC}">
              <c16:uniqueId val="{0000000A-3B2C-43AB-8BF8-B2AAD3DE419D}"/>
            </c:ext>
          </c:extLst>
        </c:ser>
        <c:dLbls>
          <c:showLegendKey val="0"/>
          <c:showVal val="1"/>
          <c:showCatName val="0"/>
          <c:showSerName val="0"/>
          <c:showPercent val="0"/>
          <c:showBubbleSize val="0"/>
        </c:dLbls>
        <c:gapWidth val="150"/>
        <c:overlap val="100"/>
        <c:axId val="878222800"/>
        <c:axId val="878219272"/>
      </c:barChart>
      <c:catAx>
        <c:axId val="87822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8219272"/>
        <c:crosses val="autoZero"/>
        <c:auto val="1"/>
        <c:lblAlgn val="ctr"/>
        <c:lblOffset val="100"/>
        <c:noMultiLvlLbl val="0"/>
      </c:catAx>
      <c:valAx>
        <c:axId val="878219272"/>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8222800"/>
        <c:crosses val="autoZero"/>
        <c:crossBetween val="between"/>
        <c:majorUnit val="10"/>
        <c:minorUnit val="2"/>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2.4630541871921183E-2"/>
          <c:y val="0.81894803420191031"/>
          <c:w val="0.9548440065681445"/>
          <c:h val="0.176756433152041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200" b="1">
                <a:latin typeface="Times New Roman" panose="02020603050405020304" pitchFamily="18" charset="0"/>
                <a:cs typeface="Times New Roman" panose="02020603050405020304" pitchFamily="18" charset="0"/>
              </a:rPr>
              <a:t>Број радних места</a:t>
            </a:r>
          </a:p>
        </c:rich>
      </c:tx>
      <c:layout>
        <c:manualLayout>
          <c:xMode val="edge"/>
          <c:yMode val="edge"/>
          <c:x val="2.4790026246718985E-3"/>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Sheet1!$D$10</c:f>
              <c:strCache>
                <c:ptCount val="1"/>
                <c:pt idx="0">
                  <c:v>Бр. радних места</c:v>
                </c:pt>
              </c:strCache>
            </c:strRef>
          </c:tx>
          <c:spPr>
            <a:solidFill>
              <a:srgbClr val="A4586E"/>
            </a:solidFill>
            <a:ln>
              <a:noFill/>
            </a:ln>
            <a:effectLst/>
            <a:sp3d/>
          </c:spPr>
          <c:invertIfNegative val="0"/>
          <c:dPt>
            <c:idx val="14"/>
            <c:invertIfNegative val="0"/>
            <c:bubble3D val="0"/>
            <c:spPr>
              <a:solidFill>
                <a:srgbClr val="A4586E"/>
              </a:solidFill>
              <a:ln>
                <a:solidFill>
                  <a:schemeClr val="accent3">
                    <a:lumMod val="20000"/>
                    <a:lumOff val="80000"/>
                  </a:schemeClr>
                </a:solidFill>
              </a:ln>
              <a:effectLst/>
              <a:sp3d>
                <a:contourClr>
                  <a:schemeClr val="accent3">
                    <a:lumMod val="20000"/>
                    <a:lumOff val="80000"/>
                  </a:schemeClr>
                </a:contourClr>
              </a:sp3d>
            </c:spPr>
            <c:extLst>
              <c:ext xmlns:c16="http://schemas.microsoft.com/office/drawing/2014/chart" uri="{C3380CC4-5D6E-409C-BE32-E72D297353CC}">
                <c16:uniqueId val="{00000001-29BE-46F4-8F12-94CADDB534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Sheet1!$C$11:$C$25</c:f>
              <c:strCache>
                <c:ptCount val="15"/>
                <c:pt idx="0">
                  <c:v>Студијско-аналитички</c:v>
                </c:pt>
                <c:pt idx="1">
                  <c:v>Послови руковођења</c:v>
                </c:pt>
                <c:pt idx="2">
                  <c:v>Финансијско-материјални</c:v>
                </c:pt>
                <c:pt idx="3">
                  <c:v>Административни</c:v>
                </c:pt>
                <c:pt idx="4">
                  <c:v>Управно-правни</c:v>
                </c:pt>
                <c:pt idx="5">
                  <c:v>Нормативни</c:v>
                </c:pt>
                <c:pt idx="6">
                  <c:v>Инспекцијски</c:v>
                </c:pt>
                <c:pt idx="7">
                  <c:v>Међун. сарадња и ЕУ инт.</c:v>
                </c:pt>
                <c:pt idx="8">
                  <c:v>ИТ</c:v>
                </c:pt>
                <c:pt idx="9">
                  <c:v>Управ. ЕУ фондовима...</c:v>
                </c:pt>
                <c:pt idx="10">
                  <c:v>УЉР</c:v>
                </c:pt>
                <c:pt idx="11">
                  <c:v>Јавне набавке</c:v>
                </c:pt>
                <c:pt idx="12">
                  <c:v>Односи с јавношћу</c:v>
                </c:pt>
                <c:pt idx="13">
                  <c:v>Послови ревизије</c:v>
                </c:pt>
                <c:pt idx="14">
                  <c:v>Утврђене посебним актом</c:v>
                </c:pt>
              </c:strCache>
            </c:strRef>
          </c:cat>
          <c:val>
            <c:numRef>
              <c:f>Sheet1!$D$11:$D$25</c:f>
              <c:numCache>
                <c:formatCode>General</c:formatCode>
                <c:ptCount val="15"/>
                <c:pt idx="0">
                  <c:v>4467</c:v>
                </c:pt>
                <c:pt idx="1">
                  <c:v>2450</c:v>
                </c:pt>
                <c:pt idx="2">
                  <c:v>1276</c:v>
                </c:pt>
                <c:pt idx="3">
                  <c:v>1099</c:v>
                </c:pt>
                <c:pt idx="4">
                  <c:v>1062</c:v>
                </c:pt>
                <c:pt idx="5">
                  <c:v>969</c:v>
                </c:pt>
                <c:pt idx="6">
                  <c:v>879</c:v>
                </c:pt>
                <c:pt idx="7">
                  <c:v>774</c:v>
                </c:pt>
                <c:pt idx="8">
                  <c:v>560</c:v>
                </c:pt>
                <c:pt idx="9">
                  <c:v>347</c:v>
                </c:pt>
                <c:pt idx="10">
                  <c:v>346</c:v>
                </c:pt>
                <c:pt idx="11">
                  <c:v>304</c:v>
                </c:pt>
                <c:pt idx="12">
                  <c:v>188</c:v>
                </c:pt>
                <c:pt idx="13">
                  <c:v>91</c:v>
                </c:pt>
                <c:pt idx="14">
                  <c:v>917</c:v>
                </c:pt>
              </c:numCache>
            </c:numRef>
          </c:val>
          <c:extLst>
            <c:ext xmlns:c16="http://schemas.microsoft.com/office/drawing/2014/chart" uri="{C3380CC4-5D6E-409C-BE32-E72D297353CC}">
              <c16:uniqueId val="{00000002-29BE-46F4-8F12-94CADDB534A8}"/>
            </c:ext>
          </c:extLst>
        </c:ser>
        <c:dLbls>
          <c:showLegendKey val="0"/>
          <c:showVal val="0"/>
          <c:showCatName val="0"/>
          <c:showSerName val="0"/>
          <c:showPercent val="0"/>
          <c:showBubbleSize val="0"/>
        </c:dLbls>
        <c:gapWidth val="100"/>
        <c:shape val="box"/>
        <c:axId val="878219664"/>
        <c:axId val="878220840"/>
        <c:axId val="0"/>
      </c:bar3DChart>
      <c:catAx>
        <c:axId val="878219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8220840"/>
        <c:crosses val="autoZero"/>
        <c:auto val="1"/>
        <c:lblAlgn val="ctr"/>
        <c:lblOffset val="100"/>
        <c:noMultiLvlLbl val="0"/>
      </c:catAx>
      <c:valAx>
        <c:axId val="878220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82196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200" b="1">
                <a:latin typeface="Times New Roman" panose="02020603050405020304" pitchFamily="18" charset="0"/>
                <a:cs typeface="Times New Roman" panose="02020603050405020304" pitchFamily="18" charset="0"/>
              </a:rPr>
              <a:t>% смањење броја запослених у периоду децембар</a:t>
            </a:r>
            <a:r>
              <a:rPr lang="sr-Cyrl-RS" sz="1200" b="1" baseline="0">
                <a:latin typeface="Times New Roman" panose="02020603050405020304" pitchFamily="18" charset="0"/>
                <a:cs typeface="Times New Roman" panose="02020603050405020304" pitchFamily="18" charset="0"/>
              </a:rPr>
              <a:t> 2014 - децембар 2019. </a:t>
            </a:r>
            <a:endParaRPr lang="en-GB"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 смањење броја запослених у периоду децембар 2014-децембар 2019. </c:v>
                </c:pt>
              </c:strCache>
            </c:strRef>
          </c:tx>
          <c:spPr>
            <a:solidFill>
              <a:srgbClr val="5C4A72"/>
            </a:solidFill>
            <a:ln>
              <a:noFill/>
            </a:ln>
            <a:effectLst/>
          </c:spPr>
          <c:invertIfNegative val="0"/>
          <c:dPt>
            <c:idx val="9"/>
            <c:invertIfNegative val="0"/>
            <c:bubble3D val="0"/>
            <c:spPr>
              <a:solidFill>
                <a:srgbClr val="A4586E"/>
              </a:solidFill>
              <a:ln>
                <a:noFill/>
              </a:ln>
              <a:effectLst/>
            </c:spPr>
            <c:extLst>
              <c:ext xmlns:c16="http://schemas.microsoft.com/office/drawing/2014/chart" uri="{C3380CC4-5D6E-409C-BE32-E72D297353CC}">
                <c16:uniqueId val="{00000001-A78B-4407-B489-3A70FA1040EA}"/>
              </c:ext>
            </c:extLst>
          </c:dPt>
          <c:dPt>
            <c:idx val="11"/>
            <c:invertIfNegative val="0"/>
            <c:bubble3D val="0"/>
            <c:spPr>
              <a:solidFill>
                <a:srgbClr val="A4586E"/>
              </a:solidFill>
              <a:ln>
                <a:noFill/>
              </a:ln>
              <a:effectLst/>
            </c:spPr>
            <c:extLst>
              <c:ext xmlns:c16="http://schemas.microsoft.com/office/drawing/2014/chart" uri="{C3380CC4-5D6E-409C-BE32-E72D297353CC}">
                <c16:uniqueId val="{00000003-A78B-4407-B489-3A70FA1040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АПВ</c:v>
                </c:pt>
                <c:pt idx="1">
                  <c:v>Одбрана</c:v>
                </c:pt>
                <c:pt idx="2">
                  <c:v>Образовање</c:v>
                </c:pt>
                <c:pt idx="3">
                  <c:v>Рударство и енергетика</c:v>
                </c:pt>
                <c:pt idx="4">
                  <c:v>Омладина и спорт</c:v>
                </c:pt>
                <c:pt idx="5">
                  <c:v>Државна управа</c:v>
                </c:pt>
                <c:pt idx="6">
                  <c:v>Трговина и туризам</c:v>
                </c:pt>
                <c:pt idx="7">
                  <c:v>Спољни послови</c:v>
                </c:pt>
                <c:pt idx="8">
                  <c:v>Привреда</c:v>
                </c:pt>
                <c:pt idx="9">
                  <c:v>Влада</c:v>
                </c:pt>
                <c:pt idx="10">
                  <c:v>Култура</c:v>
                </c:pt>
                <c:pt idx="11">
                  <c:v>Грађевина и саобраћај</c:v>
                </c:pt>
                <c:pt idx="12">
                  <c:v>Пољопривреда</c:v>
                </c:pt>
                <c:pt idx="13">
                  <c:v>Финансије</c:v>
                </c:pt>
                <c:pt idx="14">
                  <c:v>Социјална заштита</c:v>
                </c:pt>
                <c:pt idx="15">
                  <c:v>Правда</c:v>
                </c:pt>
                <c:pt idx="16">
                  <c:v>МУП</c:v>
                </c:pt>
                <c:pt idx="17">
                  <c:v>Здравство</c:v>
                </c:pt>
              </c:strCache>
            </c:strRef>
          </c:cat>
          <c:val>
            <c:numRef>
              <c:f>Sheet1!$B$2:$B$19</c:f>
              <c:numCache>
                <c:formatCode>0%</c:formatCode>
                <c:ptCount val="18"/>
                <c:pt idx="0">
                  <c:v>-0.06</c:v>
                </c:pt>
                <c:pt idx="1">
                  <c:v>-0.09</c:v>
                </c:pt>
                <c:pt idx="2">
                  <c:v>-0.03</c:v>
                </c:pt>
                <c:pt idx="3">
                  <c:v>-0.1</c:v>
                </c:pt>
                <c:pt idx="4">
                  <c:v>-0.04</c:v>
                </c:pt>
                <c:pt idx="5">
                  <c:v>-0.02</c:v>
                </c:pt>
                <c:pt idx="6">
                  <c:v>-0.18</c:v>
                </c:pt>
                <c:pt idx="7">
                  <c:v>-0.12</c:v>
                </c:pt>
                <c:pt idx="8">
                  <c:v>-0.12</c:v>
                </c:pt>
                <c:pt idx="9">
                  <c:v>0.06</c:v>
                </c:pt>
                <c:pt idx="10">
                  <c:v>-0.1</c:v>
                </c:pt>
                <c:pt idx="11">
                  <c:v>0.01</c:v>
                </c:pt>
                <c:pt idx="12">
                  <c:v>-7.0000000000000007E-2</c:v>
                </c:pt>
                <c:pt idx="13">
                  <c:v>-0.11</c:v>
                </c:pt>
                <c:pt idx="14">
                  <c:v>-0.11</c:v>
                </c:pt>
                <c:pt idx="15">
                  <c:v>-0.06</c:v>
                </c:pt>
                <c:pt idx="16">
                  <c:v>-0.08</c:v>
                </c:pt>
                <c:pt idx="17">
                  <c:v>-0.08</c:v>
                </c:pt>
              </c:numCache>
            </c:numRef>
          </c:val>
          <c:extLst>
            <c:ext xmlns:c16="http://schemas.microsoft.com/office/drawing/2014/chart" uri="{C3380CC4-5D6E-409C-BE32-E72D297353CC}">
              <c16:uniqueId val="{00000004-A78B-4407-B489-3A70FA1040EA}"/>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АПВ</c:v>
                </c:pt>
                <c:pt idx="1">
                  <c:v>Одбрана</c:v>
                </c:pt>
                <c:pt idx="2">
                  <c:v>Образовање</c:v>
                </c:pt>
                <c:pt idx="3">
                  <c:v>Рударство и енергетика</c:v>
                </c:pt>
                <c:pt idx="4">
                  <c:v>Омладина и спорт</c:v>
                </c:pt>
                <c:pt idx="5">
                  <c:v>Државна управа</c:v>
                </c:pt>
                <c:pt idx="6">
                  <c:v>Трговина и туризам</c:v>
                </c:pt>
                <c:pt idx="7">
                  <c:v>Спољни послови</c:v>
                </c:pt>
                <c:pt idx="8">
                  <c:v>Привреда</c:v>
                </c:pt>
                <c:pt idx="9">
                  <c:v>Влада</c:v>
                </c:pt>
                <c:pt idx="10">
                  <c:v>Култура</c:v>
                </c:pt>
                <c:pt idx="11">
                  <c:v>Грађевина и саобраћај</c:v>
                </c:pt>
                <c:pt idx="12">
                  <c:v>Пољопривреда</c:v>
                </c:pt>
                <c:pt idx="13">
                  <c:v>Финансије</c:v>
                </c:pt>
                <c:pt idx="14">
                  <c:v>Социјална заштита</c:v>
                </c:pt>
                <c:pt idx="15">
                  <c:v>Правда</c:v>
                </c:pt>
                <c:pt idx="16">
                  <c:v>МУП</c:v>
                </c:pt>
                <c:pt idx="17">
                  <c:v>Здравство</c:v>
                </c:pt>
              </c:strCache>
            </c:strRef>
          </c:cat>
          <c:val>
            <c:numRef>
              <c:f>Sheet1!$C$2:$C$19</c:f>
              <c:numCache>
                <c:formatCode>General</c:formatCode>
                <c:ptCount val="18"/>
              </c:numCache>
            </c:numRef>
          </c:val>
          <c:extLst>
            <c:ext xmlns:c16="http://schemas.microsoft.com/office/drawing/2014/chart" uri="{C3380CC4-5D6E-409C-BE32-E72D297353CC}">
              <c16:uniqueId val="{00000005-A78B-4407-B489-3A70FA1040EA}"/>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АПВ</c:v>
                </c:pt>
                <c:pt idx="1">
                  <c:v>Одбрана</c:v>
                </c:pt>
                <c:pt idx="2">
                  <c:v>Образовање</c:v>
                </c:pt>
                <c:pt idx="3">
                  <c:v>Рударство и енергетика</c:v>
                </c:pt>
                <c:pt idx="4">
                  <c:v>Омладина и спорт</c:v>
                </c:pt>
                <c:pt idx="5">
                  <c:v>Државна управа</c:v>
                </c:pt>
                <c:pt idx="6">
                  <c:v>Трговина и туризам</c:v>
                </c:pt>
                <c:pt idx="7">
                  <c:v>Спољни послови</c:v>
                </c:pt>
                <c:pt idx="8">
                  <c:v>Привреда</c:v>
                </c:pt>
                <c:pt idx="9">
                  <c:v>Влада</c:v>
                </c:pt>
                <c:pt idx="10">
                  <c:v>Култура</c:v>
                </c:pt>
                <c:pt idx="11">
                  <c:v>Грађевина и саобраћај</c:v>
                </c:pt>
                <c:pt idx="12">
                  <c:v>Пољопривреда</c:v>
                </c:pt>
                <c:pt idx="13">
                  <c:v>Финансије</c:v>
                </c:pt>
                <c:pt idx="14">
                  <c:v>Социјална заштита</c:v>
                </c:pt>
                <c:pt idx="15">
                  <c:v>Правда</c:v>
                </c:pt>
                <c:pt idx="16">
                  <c:v>МУП</c:v>
                </c:pt>
                <c:pt idx="17">
                  <c:v>Здравство</c:v>
                </c:pt>
              </c:strCache>
            </c:strRef>
          </c:cat>
          <c:val>
            <c:numRef>
              <c:f>Sheet1!$D$2:$D$19</c:f>
              <c:numCache>
                <c:formatCode>General</c:formatCode>
                <c:ptCount val="18"/>
              </c:numCache>
            </c:numRef>
          </c:val>
          <c:extLst>
            <c:ext xmlns:c16="http://schemas.microsoft.com/office/drawing/2014/chart" uri="{C3380CC4-5D6E-409C-BE32-E72D297353CC}">
              <c16:uniqueId val="{00000006-A78B-4407-B489-3A70FA1040EA}"/>
            </c:ext>
          </c:extLst>
        </c:ser>
        <c:dLbls>
          <c:showLegendKey val="0"/>
          <c:showVal val="0"/>
          <c:showCatName val="0"/>
          <c:showSerName val="0"/>
          <c:showPercent val="0"/>
          <c:showBubbleSize val="0"/>
        </c:dLbls>
        <c:gapWidth val="0"/>
        <c:overlap val="57"/>
        <c:axId val="878218488"/>
        <c:axId val="878216920"/>
      </c:barChart>
      <c:catAx>
        <c:axId val="878218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8216920"/>
        <c:crosses val="autoZero"/>
        <c:auto val="1"/>
        <c:lblAlgn val="ctr"/>
        <c:lblOffset val="100"/>
        <c:tickLblSkip val="1"/>
        <c:noMultiLvlLbl val="0"/>
      </c:catAx>
      <c:valAx>
        <c:axId val="878216920"/>
        <c:scaling>
          <c:orientation val="minMax"/>
          <c:min val="-0.2"/>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8218488"/>
        <c:crosses val="max"/>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sz="1200" b="1" cap="small" baseline="0">
                <a:latin typeface="Times New Roman" panose="02020603050405020304" pitchFamily="18" charset="0"/>
                <a:cs typeface="Times New Roman" panose="02020603050405020304" pitchFamily="18" charset="0"/>
              </a:rPr>
              <a:t>Припрема и усвајање кадровског плана</a:t>
            </a:r>
            <a:endParaRPr lang="en-US" sz="1200" b="1" cap="small" baseline="0">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rgbClr val="A4586E"/>
            </a:solidFill>
            <a:ln>
              <a:noFill/>
            </a:ln>
            <a:effectLst/>
          </c:spPr>
          <c:invertIfNegative val="0"/>
          <c:dPt>
            <c:idx val="0"/>
            <c:invertIfNegative val="0"/>
            <c:bubble3D val="0"/>
            <c:spPr>
              <a:solidFill>
                <a:srgbClr val="5C4A72"/>
              </a:solidFill>
              <a:ln>
                <a:noFill/>
              </a:ln>
              <a:effectLst/>
            </c:spPr>
            <c:extLst>
              <c:ext xmlns:c16="http://schemas.microsoft.com/office/drawing/2014/chart" uri="{C3380CC4-5D6E-409C-BE32-E72D297353CC}">
                <c16:uniqueId val="{00000001-057D-451D-8492-010049EC1414}"/>
              </c:ext>
            </c:extLst>
          </c:dPt>
          <c:dPt>
            <c:idx val="2"/>
            <c:invertIfNegative val="0"/>
            <c:bubble3D val="0"/>
            <c:spPr>
              <a:solidFill>
                <a:srgbClr val="F2B05A"/>
              </a:solidFill>
              <a:ln>
                <a:noFill/>
              </a:ln>
              <a:effectLst/>
            </c:spPr>
            <c:extLst>
              <c:ext xmlns:c16="http://schemas.microsoft.com/office/drawing/2014/chart" uri="{C3380CC4-5D6E-409C-BE32-E72D297353CC}">
                <c16:uniqueId val="{00000003-057D-451D-8492-010049EC14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Sheet8!$A$1:$A$3</c:f>
              <c:strCache>
                <c:ptCount val="3"/>
                <c:pt idx="0">
                  <c:v>Kадровски план се припрема благовремено на основу свеобухватне анализе стања и потреба у кадровима, систематизације радних места и планираним буџетом за наредну годину </c:v>
                </c:pt>
                <c:pt idx="1">
                  <c:v>Кадровски план се припрема без свеобухватне анализе стања и потреба, само на основу доступних података и усклађивања са буџетом</c:v>
                </c:pt>
                <c:pt idx="2">
                  <c:v>Кадровски план се не припрема или његова припрема касни у односу на буџетски календар</c:v>
                </c:pt>
              </c:strCache>
            </c:strRef>
          </c:cat>
          <c:val>
            <c:numRef>
              <c:f>Sheet8!$B$1:$B$3</c:f>
              <c:numCache>
                <c:formatCode>0%</c:formatCode>
                <c:ptCount val="3"/>
                <c:pt idx="0">
                  <c:v>0.39</c:v>
                </c:pt>
                <c:pt idx="1">
                  <c:v>0.59</c:v>
                </c:pt>
                <c:pt idx="2">
                  <c:v>0.02</c:v>
                </c:pt>
              </c:numCache>
            </c:numRef>
          </c:val>
          <c:extLst>
            <c:ext xmlns:c16="http://schemas.microsoft.com/office/drawing/2014/chart" uri="{C3380CC4-5D6E-409C-BE32-E72D297353CC}">
              <c16:uniqueId val="{00000004-057D-451D-8492-010049EC1414}"/>
            </c:ext>
          </c:extLst>
        </c:ser>
        <c:dLbls>
          <c:dLblPos val="outEnd"/>
          <c:showLegendKey val="0"/>
          <c:showVal val="1"/>
          <c:showCatName val="0"/>
          <c:showSerName val="0"/>
          <c:showPercent val="0"/>
          <c:showBubbleSize val="0"/>
        </c:dLbls>
        <c:gapWidth val="219"/>
        <c:axId val="878215744"/>
        <c:axId val="878217312"/>
      </c:barChart>
      <c:catAx>
        <c:axId val="87821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8217312"/>
        <c:crosses val="autoZero"/>
        <c:auto val="1"/>
        <c:lblAlgn val="ctr"/>
        <c:lblOffset val="100"/>
        <c:noMultiLvlLbl val="0"/>
      </c:catAx>
      <c:valAx>
        <c:axId val="878217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8215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200" b="1">
                <a:latin typeface="Times New Roman" panose="02020603050405020304" pitchFamily="18" charset="0"/>
                <a:cs typeface="Times New Roman" panose="02020603050405020304" pitchFamily="18" charset="0"/>
              </a:rPr>
              <a:t>Проценат успешних и неуспешних кандидата</a:t>
            </a:r>
          </a:p>
        </c:rich>
      </c:tx>
      <c:layout>
        <c:manualLayout>
          <c:xMode val="edge"/>
          <c:yMode val="edge"/>
          <c:x val="0.12541466253369912"/>
          <c:y val="3.09198660139139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Проценат успешних и неуспешних кандидата</c:v>
                </c:pt>
              </c:strCache>
            </c:strRef>
          </c:tx>
          <c:spPr>
            <a:solidFill>
              <a:srgbClr val="5C4A72"/>
            </a:solidFill>
          </c:spPr>
          <c:dPt>
            <c:idx val="0"/>
            <c:bubble3D val="0"/>
            <c:spPr>
              <a:solidFill>
                <a:srgbClr val="A4586E"/>
              </a:solidFill>
              <a:ln w="19050">
                <a:solidFill>
                  <a:schemeClr val="lt1"/>
                </a:solidFill>
              </a:ln>
              <a:effectLst/>
            </c:spPr>
            <c:extLst>
              <c:ext xmlns:c16="http://schemas.microsoft.com/office/drawing/2014/chart" uri="{C3380CC4-5D6E-409C-BE32-E72D297353CC}">
                <c16:uniqueId val="{00000001-4797-49CB-B7F5-55CE2C78B6B3}"/>
              </c:ext>
            </c:extLst>
          </c:dPt>
          <c:dPt>
            <c:idx val="1"/>
            <c:bubble3D val="0"/>
            <c:spPr>
              <a:solidFill>
                <a:srgbClr val="5C4A72"/>
              </a:solidFill>
              <a:ln w="19050">
                <a:solidFill>
                  <a:schemeClr val="lt1"/>
                </a:solidFill>
              </a:ln>
              <a:effectLst>
                <a:softEdge rad="12700"/>
              </a:effectLst>
            </c:spPr>
            <c:extLst>
              <c:ext xmlns:c16="http://schemas.microsoft.com/office/drawing/2014/chart" uri="{C3380CC4-5D6E-409C-BE32-E72D297353CC}">
                <c16:uniqueId val="{00000003-4797-49CB-B7F5-55CE2C78B6B3}"/>
              </c:ext>
            </c:extLst>
          </c:dPt>
          <c:dPt>
            <c:idx val="2"/>
            <c:bubble3D val="0"/>
            <c:spPr>
              <a:solidFill>
                <a:srgbClr val="5C4A72"/>
              </a:solidFill>
              <a:ln w="19050">
                <a:solidFill>
                  <a:schemeClr val="lt1"/>
                </a:solidFill>
              </a:ln>
              <a:effectLst/>
            </c:spPr>
            <c:extLst>
              <c:ext xmlns:c16="http://schemas.microsoft.com/office/drawing/2014/chart" uri="{C3380CC4-5D6E-409C-BE32-E72D297353CC}">
                <c16:uniqueId val="{00000005-4797-49CB-B7F5-55CE2C78B6B3}"/>
              </c:ext>
            </c:extLst>
          </c:dPt>
          <c:dPt>
            <c:idx val="3"/>
            <c:bubble3D val="0"/>
            <c:spPr>
              <a:solidFill>
                <a:srgbClr val="5C4A72"/>
              </a:solidFill>
              <a:ln w="19050">
                <a:solidFill>
                  <a:schemeClr val="lt1"/>
                </a:solidFill>
              </a:ln>
              <a:effectLst/>
            </c:spPr>
            <c:extLst>
              <c:ext xmlns:c16="http://schemas.microsoft.com/office/drawing/2014/chart" uri="{C3380CC4-5D6E-409C-BE32-E72D297353CC}">
                <c16:uniqueId val="{00000007-4797-49CB-B7F5-55CE2C78B6B3}"/>
              </c:ext>
            </c:extLst>
          </c:dPt>
          <c:dLbls>
            <c:dLbl>
              <c:idx val="0"/>
              <c:layout>
                <c:manualLayout>
                  <c:x val="2.0772674908849063E-2"/>
                  <c:y val="2.463607277124371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4797-49CB-B7F5-55CE2C78B6B3}"/>
                </c:ext>
              </c:extLst>
            </c:dLbl>
            <c:dLbl>
              <c:idx val="1"/>
              <c:layout>
                <c:manualLayout>
                  <c:x val="-2.154867519388132E-2"/>
                  <c:y val="-0.10631686370303944"/>
                </c:manualLayout>
              </c:layout>
              <c:tx>
                <c:rich>
                  <a:bodyPr/>
                  <a:lstStyle/>
                  <a:p>
                    <a:fld id="{07300BAB-667E-44E9-8154-61415D3ECA6B}" type="CATEGORYNAME">
                      <a:rPr lang="sr-Cyrl-RS" sz="900">
                        <a:latin typeface="Times New Roman" panose="02020603050405020304" pitchFamily="18" charset="0"/>
                        <a:cs typeface="Times New Roman" panose="02020603050405020304" pitchFamily="18" charset="0"/>
                      </a:rPr>
                      <a:pPr/>
                      <a:t>[CATEGORY NAME]</a:t>
                    </a:fld>
                    <a:r>
                      <a:rPr lang="sr-Cyrl-RS" sz="900" baseline="0">
                        <a:latin typeface="Times New Roman" panose="02020603050405020304" pitchFamily="18" charset="0"/>
                        <a:cs typeface="Times New Roman" panose="02020603050405020304" pitchFamily="18" charset="0"/>
                      </a:rPr>
                      <a:t>
</a:t>
                    </a:r>
                    <a:fld id="{9DA9BD6E-13A7-4C27-BA7D-D5A46FCC7541}" type="PERCENTAGE">
                      <a:rPr lang="sr-Cyrl-RS" sz="900" baseline="0">
                        <a:latin typeface="Times New Roman" panose="02020603050405020304" pitchFamily="18" charset="0"/>
                        <a:cs typeface="Times New Roman" panose="02020603050405020304" pitchFamily="18" charset="0"/>
                      </a:rPr>
                      <a:pPr/>
                      <a:t>[PERCENTAGE]</a:t>
                    </a:fld>
                    <a:endParaRPr lang="sr-Cyrl-RS" sz="900" baseline="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797-49CB-B7F5-55CE2C78B6B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2"/>
                <c:pt idx="0">
                  <c:v>Број успешних кандидата</c:v>
                </c:pt>
                <c:pt idx="1">
                  <c:v>Кандидати који нису испунили неко од мерила</c:v>
                </c:pt>
              </c:strCache>
            </c:strRef>
          </c:cat>
          <c:val>
            <c:numRef>
              <c:f>Sheet1!$B$2:$B$5</c:f>
              <c:numCache>
                <c:formatCode>0%</c:formatCode>
                <c:ptCount val="4"/>
                <c:pt idx="0">
                  <c:v>0.4</c:v>
                </c:pt>
                <c:pt idx="1">
                  <c:v>0.6</c:v>
                </c:pt>
              </c:numCache>
            </c:numRef>
          </c:val>
          <c:extLst>
            <c:ext xmlns:c16="http://schemas.microsoft.com/office/drawing/2014/chart" uri="{C3380CC4-5D6E-409C-BE32-E72D297353CC}">
              <c16:uniqueId val="{00000008-4797-49CB-B7F5-55CE2C78B6B3}"/>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200" b="1">
                <a:latin typeface="Times New Roman" panose="02020603050405020304" pitchFamily="18" charset="0"/>
                <a:cs typeface="Times New Roman" panose="02020603050405020304" pitchFamily="18" charset="0"/>
              </a:rPr>
              <a:t>Поређење броја слободних радних места, броја успешних кандидата и броја пристиглих пријава</a:t>
            </a:r>
            <a:endParaRPr lang="en-GB" sz="1200" b="1">
              <a:latin typeface="Times New Roman" panose="02020603050405020304" pitchFamily="18" charset="0"/>
              <a:cs typeface="Times New Roman" panose="02020603050405020304" pitchFamily="18" charset="0"/>
            </a:endParaRPr>
          </a:p>
        </c:rich>
      </c:tx>
      <c:layout>
        <c:manualLayout>
          <c:xMode val="edge"/>
          <c:yMode val="edge"/>
          <c:x val="0.19701443569553803"/>
          <c:y val="2.56081946222791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39395912125158"/>
          <c:y val="0.27912358781239305"/>
          <c:w val="0.81707302581271835"/>
          <c:h val="0.51044048841720868"/>
        </c:manualLayout>
      </c:layout>
      <c:barChart>
        <c:barDir val="col"/>
        <c:grouping val="clustered"/>
        <c:varyColors val="0"/>
        <c:ser>
          <c:idx val="0"/>
          <c:order val="0"/>
          <c:tx>
            <c:strRef>
              <c:f>Sheet1!$B$1</c:f>
              <c:strCache>
                <c:ptCount val="1"/>
                <c:pt idx="0">
                  <c:v>Број пристиглих пријава</c:v>
                </c:pt>
              </c:strCache>
            </c:strRef>
          </c:tx>
          <c:spPr>
            <a:solidFill>
              <a:srgbClr val="5C4A7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numCache>
            </c:numRef>
          </c:cat>
          <c:val>
            <c:numRef>
              <c:f>Sheet1!$B$2:$B$5</c:f>
              <c:numCache>
                <c:formatCode>General</c:formatCode>
                <c:ptCount val="4"/>
                <c:pt idx="0">
                  <c:v>1104</c:v>
                </c:pt>
              </c:numCache>
            </c:numRef>
          </c:val>
          <c:extLst>
            <c:ext xmlns:c16="http://schemas.microsoft.com/office/drawing/2014/chart" uri="{C3380CC4-5D6E-409C-BE32-E72D297353CC}">
              <c16:uniqueId val="{00000000-15FB-4CFF-A1A6-DC3600543A34}"/>
            </c:ext>
          </c:extLst>
        </c:ser>
        <c:ser>
          <c:idx val="1"/>
          <c:order val="1"/>
          <c:tx>
            <c:strRef>
              <c:f>Sheet1!$C$1</c:f>
              <c:strCache>
                <c:ptCount val="1"/>
                <c:pt idx="0">
                  <c:v>Број успешних кандидата</c:v>
                </c:pt>
              </c:strCache>
            </c:strRef>
          </c:tx>
          <c:spPr>
            <a:solidFill>
              <a:srgbClr val="A4586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numCache>
            </c:numRef>
          </c:cat>
          <c:val>
            <c:numRef>
              <c:f>Sheet1!$C$2:$C$5</c:f>
              <c:numCache>
                <c:formatCode>General</c:formatCode>
                <c:ptCount val="4"/>
                <c:pt idx="0">
                  <c:v>437</c:v>
                </c:pt>
              </c:numCache>
            </c:numRef>
          </c:val>
          <c:extLst>
            <c:ext xmlns:c16="http://schemas.microsoft.com/office/drawing/2014/chart" uri="{C3380CC4-5D6E-409C-BE32-E72D297353CC}">
              <c16:uniqueId val="{00000001-15FB-4CFF-A1A6-DC3600543A34}"/>
            </c:ext>
          </c:extLst>
        </c:ser>
        <c:ser>
          <c:idx val="2"/>
          <c:order val="2"/>
          <c:tx>
            <c:strRef>
              <c:f>Sheet1!$D$1</c:f>
              <c:strCache>
                <c:ptCount val="1"/>
                <c:pt idx="0">
                  <c:v>Број радних места</c:v>
                </c:pt>
              </c:strCache>
            </c:strRef>
          </c:tx>
          <c:spPr>
            <a:solidFill>
              <a:srgbClr val="F2B05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numRef>
              <c:f>Sheet1!$A$2:$A$5</c:f>
              <c:numCache>
                <c:formatCode>General</c:formatCode>
                <c:ptCount val="4"/>
              </c:numCache>
            </c:numRef>
          </c:cat>
          <c:val>
            <c:numRef>
              <c:f>Sheet1!$D$2:$D$5</c:f>
              <c:numCache>
                <c:formatCode>General</c:formatCode>
                <c:ptCount val="4"/>
                <c:pt idx="0">
                  <c:v>281</c:v>
                </c:pt>
              </c:numCache>
            </c:numRef>
          </c:val>
          <c:extLst>
            <c:ext xmlns:c16="http://schemas.microsoft.com/office/drawing/2014/chart" uri="{C3380CC4-5D6E-409C-BE32-E72D297353CC}">
              <c16:uniqueId val="{00000003-15FB-4CFF-A1A6-DC3600543A34}"/>
            </c:ext>
          </c:extLst>
        </c:ser>
        <c:dLbls>
          <c:showLegendKey val="0"/>
          <c:showVal val="0"/>
          <c:showCatName val="0"/>
          <c:showSerName val="0"/>
          <c:showPercent val="0"/>
          <c:showBubbleSize val="0"/>
        </c:dLbls>
        <c:gapWidth val="0"/>
        <c:axId val="878217704"/>
        <c:axId val="878218096"/>
      </c:barChart>
      <c:catAx>
        <c:axId val="878217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218096"/>
        <c:crosses val="autoZero"/>
        <c:auto val="1"/>
        <c:lblAlgn val="ctr"/>
        <c:lblOffset val="100"/>
        <c:noMultiLvlLbl val="0"/>
      </c:catAx>
      <c:valAx>
        <c:axId val="878218096"/>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21770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5C4A72"/>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200" b="1">
                <a:latin typeface="Times New Roman" panose="02020603050405020304" pitchFamily="18" charset="0"/>
                <a:cs typeface="Times New Roman" panose="02020603050405020304" pitchFamily="18" charset="0"/>
              </a:rPr>
              <a:t>Детаљни приказ броја</a:t>
            </a:r>
            <a:r>
              <a:rPr lang="sr-Cyrl-CS" sz="1200" b="1" baseline="0">
                <a:latin typeface="Times New Roman" panose="02020603050405020304" pitchFamily="18" charset="0"/>
                <a:cs typeface="Times New Roman" panose="02020603050405020304" pitchFamily="18" charset="0"/>
              </a:rPr>
              <a:t> жалби</a:t>
            </a:r>
            <a:r>
              <a:rPr lang="sr-Cyrl-CS" sz="1200" b="1">
                <a:latin typeface="Times New Roman" panose="02020603050405020304" pitchFamily="18" charset="0"/>
                <a:cs typeface="Times New Roman" panose="02020603050405020304" pitchFamily="18" charset="0"/>
              </a:rPr>
              <a:t> </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8622945966398355"/>
          <c:y val="3.162808874242832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920494040489321E-2"/>
          <c:y val="0.11801464957725354"/>
          <c:w val="0.75806486957088248"/>
          <c:h val="0.64569272448596526"/>
        </c:manualLayout>
      </c:layout>
      <c:barChart>
        <c:barDir val="col"/>
        <c:grouping val="clustered"/>
        <c:varyColors val="0"/>
        <c:ser>
          <c:idx val="0"/>
          <c:order val="0"/>
          <c:tx>
            <c:strRef>
              <c:f>Sheet1!$B$1</c:f>
              <c:strCache>
                <c:ptCount val="1"/>
                <c:pt idx="0">
                  <c:v>Интерни конкурс</c:v>
                </c:pt>
              </c:strCache>
            </c:strRef>
          </c:tx>
          <c:spPr>
            <a:solidFill>
              <a:sysClr val="window" lastClr="FFFFFF">
                <a:lumMod val="65000"/>
              </a:sysClr>
            </a:solidFill>
            <a:ln>
              <a:noFill/>
            </a:ln>
            <a:effectLst/>
          </c:spPr>
          <c:invertIfNegative val="0"/>
          <c:cat>
            <c:numRef>
              <c:f>Sheet1!$A$2:$A$4</c:f>
              <c:numCache>
                <c:formatCode>General</c:formatCode>
                <c:ptCount val="3"/>
                <c:pt idx="0">
                  <c:v>2018</c:v>
                </c:pt>
                <c:pt idx="1">
                  <c:v>2019</c:v>
                </c:pt>
                <c:pt idx="2">
                  <c:v>2020</c:v>
                </c:pt>
              </c:numCache>
            </c:numRef>
          </c:cat>
          <c:val>
            <c:numRef>
              <c:f>Sheet1!$B$2:$B$4</c:f>
              <c:numCache>
                <c:formatCode>General</c:formatCode>
                <c:ptCount val="3"/>
                <c:pt idx="0">
                  <c:v>46</c:v>
                </c:pt>
                <c:pt idx="1">
                  <c:v>55</c:v>
                </c:pt>
                <c:pt idx="2">
                  <c:v>32</c:v>
                </c:pt>
              </c:numCache>
            </c:numRef>
          </c:val>
          <c:extLst>
            <c:ext xmlns:c16="http://schemas.microsoft.com/office/drawing/2014/chart" uri="{C3380CC4-5D6E-409C-BE32-E72D297353CC}">
              <c16:uniqueId val="{00000000-B5FA-4175-B8EB-D7E412EC5234}"/>
            </c:ext>
          </c:extLst>
        </c:ser>
        <c:ser>
          <c:idx val="1"/>
          <c:order val="1"/>
          <c:tx>
            <c:strRef>
              <c:f>Sheet1!$C$1</c:f>
              <c:strCache>
                <c:ptCount val="1"/>
                <c:pt idx="0">
                  <c:v>Јавни конкурс</c:v>
                </c:pt>
              </c:strCache>
            </c:strRef>
          </c:tx>
          <c:spPr>
            <a:solidFill>
              <a:srgbClr val="A4586E"/>
            </a:solidFill>
            <a:ln>
              <a:noFill/>
            </a:ln>
            <a:effectLst/>
          </c:spPr>
          <c:invertIfNegative val="0"/>
          <c:cat>
            <c:numRef>
              <c:f>Sheet1!$A$2:$A$4</c:f>
              <c:numCache>
                <c:formatCode>General</c:formatCode>
                <c:ptCount val="3"/>
                <c:pt idx="0">
                  <c:v>2018</c:v>
                </c:pt>
                <c:pt idx="1">
                  <c:v>2019</c:v>
                </c:pt>
                <c:pt idx="2">
                  <c:v>2020</c:v>
                </c:pt>
              </c:numCache>
            </c:numRef>
          </c:cat>
          <c:val>
            <c:numRef>
              <c:f>Sheet1!$C$2:$C$4</c:f>
              <c:numCache>
                <c:formatCode>General</c:formatCode>
                <c:ptCount val="3"/>
                <c:pt idx="0">
                  <c:v>438</c:v>
                </c:pt>
                <c:pt idx="1">
                  <c:v>223</c:v>
                </c:pt>
                <c:pt idx="2">
                  <c:v>155</c:v>
                </c:pt>
              </c:numCache>
            </c:numRef>
          </c:val>
          <c:extLst>
            <c:ext xmlns:c16="http://schemas.microsoft.com/office/drawing/2014/chart" uri="{C3380CC4-5D6E-409C-BE32-E72D297353CC}">
              <c16:uniqueId val="{00000001-B5FA-4175-B8EB-D7E412EC5234}"/>
            </c:ext>
          </c:extLst>
        </c:ser>
        <c:ser>
          <c:idx val="2"/>
          <c:order val="2"/>
          <c:tx>
            <c:strRef>
              <c:f>Sheet1!$D$1</c:f>
              <c:strCache>
                <c:ptCount val="1"/>
                <c:pt idx="0">
                  <c:v>Одбијено</c:v>
                </c:pt>
              </c:strCache>
            </c:strRef>
          </c:tx>
          <c:spPr>
            <a:solidFill>
              <a:srgbClr val="5C4A72"/>
            </a:solidFill>
            <a:ln>
              <a:solidFill>
                <a:srgbClr val="5C4A72"/>
              </a:solidFill>
            </a:ln>
            <a:effectLst/>
          </c:spPr>
          <c:invertIfNegative val="0"/>
          <c:cat>
            <c:numRef>
              <c:f>Sheet1!$A$2:$A$4</c:f>
              <c:numCache>
                <c:formatCode>General</c:formatCode>
                <c:ptCount val="3"/>
                <c:pt idx="0">
                  <c:v>2018</c:v>
                </c:pt>
                <c:pt idx="1">
                  <c:v>2019</c:v>
                </c:pt>
                <c:pt idx="2">
                  <c:v>2020</c:v>
                </c:pt>
              </c:numCache>
            </c:numRef>
          </c:cat>
          <c:val>
            <c:numRef>
              <c:f>Sheet1!$D$2:$D$4</c:f>
              <c:numCache>
                <c:formatCode>General</c:formatCode>
                <c:ptCount val="3"/>
                <c:pt idx="0">
                  <c:v>459</c:v>
                </c:pt>
                <c:pt idx="1">
                  <c:v>205</c:v>
                </c:pt>
                <c:pt idx="2">
                  <c:v>170</c:v>
                </c:pt>
              </c:numCache>
            </c:numRef>
          </c:val>
          <c:extLst>
            <c:ext xmlns:c16="http://schemas.microsoft.com/office/drawing/2014/chart" uri="{C3380CC4-5D6E-409C-BE32-E72D297353CC}">
              <c16:uniqueId val="{00000002-B5FA-4175-B8EB-D7E412EC5234}"/>
            </c:ext>
          </c:extLst>
        </c:ser>
        <c:ser>
          <c:idx val="3"/>
          <c:order val="3"/>
          <c:tx>
            <c:strRef>
              <c:f>Sheet1!$E$1</c:f>
              <c:strCache>
                <c:ptCount val="1"/>
                <c:pt idx="0">
                  <c:v>Усвојено</c:v>
                </c:pt>
              </c:strCache>
            </c:strRef>
          </c:tx>
          <c:spPr>
            <a:solidFill>
              <a:srgbClr val="F2B05A"/>
            </a:solidFill>
            <a:ln>
              <a:noFill/>
            </a:ln>
            <a:effectLst/>
          </c:spPr>
          <c:invertIfNegative val="0"/>
          <c:cat>
            <c:numRef>
              <c:f>Sheet1!$A$2:$A$4</c:f>
              <c:numCache>
                <c:formatCode>General</c:formatCode>
                <c:ptCount val="3"/>
                <c:pt idx="0">
                  <c:v>2018</c:v>
                </c:pt>
                <c:pt idx="1">
                  <c:v>2019</c:v>
                </c:pt>
                <c:pt idx="2">
                  <c:v>2020</c:v>
                </c:pt>
              </c:numCache>
            </c:numRef>
          </c:cat>
          <c:val>
            <c:numRef>
              <c:f>Sheet1!$E$2:$E$4</c:f>
              <c:numCache>
                <c:formatCode>General</c:formatCode>
                <c:ptCount val="3"/>
                <c:pt idx="0">
                  <c:v>25</c:v>
                </c:pt>
                <c:pt idx="1">
                  <c:v>23</c:v>
                </c:pt>
                <c:pt idx="2">
                  <c:v>17</c:v>
                </c:pt>
              </c:numCache>
            </c:numRef>
          </c:val>
          <c:extLst>
            <c:ext xmlns:c16="http://schemas.microsoft.com/office/drawing/2014/chart" uri="{C3380CC4-5D6E-409C-BE32-E72D297353CC}">
              <c16:uniqueId val="{00000003-B5FA-4175-B8EB-D7E412EC5234}"/>
            </c:ext>
          </c:extLst>
        </c:ser>
        <c:dLbls>
          <c:showLegendKey val="0"/>
          <c:showVal val="0"/>
          <c:showCatName val="0"/>
          <c:showSerName val="0"/>
          <c:showPercent val="0"/>
          <c:showBubbleSize val="0"/>
        </c:dLbls>
        <c:gapWidth val="150"/>
        <c:axId val="676620936"/>
        <c:axId val="676621328"/>
      </c:barChart>
      <c:catAx>
        <c:axId val="67662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6621328"/>
        <c:crosses val="autoZero"/>
        <c:auto val="1"/>
        <c:lblAlgn val="ctr"/>
        <c:lblOffset val="100"/>
        <c:noMultiLvlLbl val="0"/>
      </c:catAx>
      <c:valAx>
        <c:axId val="6766213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6620936"/>
        <c:crosses val="autoZero"/>
        <c:crossBetween val="between"/>
      </c:valAx>
      <c:spPr>
        <a:noFill/>
        <a:ln>
          <a:noFill/>
        </a:ln>
        <a:effectLst/>
      </c:spPr>
    </c:plotArea>
    <c:legend>
      <c:legendPos val="b"/>
      <c:layout>
        <c:manualLayout>
          <c:xMode val="edge"/>
          <c:yMode val="edge"/>
          <c:x val="9.7138047138047134E-2"/>
          <c:y val="0.86838561846435858"/>
          <c:w val="0.9"/>
          <c:h val="8.92863392075990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200" b="1">
                <a:latin typeface="Times New Roman" panose="02020603050405020304" pitchFamily="18" charset="0"/>
                <a:cs typeface="Times New Roman" panose="02020603050405020304" pitchFamily="18" charset="0"/>
              </a:rPr>
              <a:t>Укупан</a:t>
            </a:r>
            <a:r>
              <a:rPr lang="sr-Cyrl-RS" sz="1200" b="1" baseline="0">
                <a:latin typeface="Times New Roman" panose="02020603050405020304" pitchFamily="18" charset="0"/>
                <a:cs typeface="Times New Roman" panose="02020603050405020304" pitchFamily="18" charset="0"/>
              </a:rPr>
              <a:t> број жалби</a:t>
            </a:r>
            <a:endParaRPr lang="en-GB"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4632712577594467"/>
          <c:y val="0.29258936659466239"/>
          <c:w val="0.7954718160229971"/>
          <c:h val="0.54655773116855977"/>
        </c:manualLayout>
      </c:layout>
      <c:barChart>
        <c:barDir val="col"/>
        <c:grouping val="clustered"/>
        <c:varyColors val="0"/>
        <c:ser>
          <c:idx val="0"/>
          <c:order val="0"/>
          <c:tx>
            <c:strRef>
              <c:f>Sheet1!$B$1</c:f>
              <c:strCache>
                <c:ptCount val="1"/>
                <c:pt idx="0">
                  <c:v>Укупан број жалби</c:v>
                </c:pt>
              </c:strCache>
            </c:strRef>
          </c:tx>
          <c:spPr>
            <a:solidFill>
              <a:srgbClr val="5C4A72"/>
            </a:solidFill>
            <a:ln>
              <a:noFill/>
            </a:ln>
            <a:effectLst/>
          </c:spPr>
          <c:invertIfNegative val="0"/>
          <c:dPt>
            <c:idx val="0"/>
            <c:invertIfNegative val="0"/>
            <c:bubble3D val="0"/>
            <c:spPr>
              <a:solidFill>
                <a:srgbClr val="5C4A72"/>
              </a:solidFill>
              <a:ln>
                <a:noFill/>
              </a:ln>
              <a:effectLst>
                <a:glow>
                  <a:schemeClr val="accent1">
                    <a:alpha val="99000"/>
                  </a:schemeClr>
                </a:glow>
              </a:effectLst>
            </c:spPr>
            <c:extLst>
              <c:ext xmlns:c16="http://schemas.microsoft.com/office/drawing/2014/chart" uri="{C3380CC4-5D6E-409C-BE32-E72D297353CC}">
                <c16:uniqueId val="{00000001-483A-447C-87E4-05D6E3EFB9DB}"/>
              </c:ext>
            </c:extLst>
          </c:dPt>
          <c:cat>
            <c:numRef>
              <c:f>Sheet1!$A$2:$A$5</c:f>
              <c:numCache>
                <c:formatCode>General</c:formatCode>
                <c:ptCount val="4"/>
                <c:pt idx="0">
                  <c:v>2018</c:v>
                </c:pt>
                <c:pt idx="1">
                  <c:v>2019</c:v>
                </c:pt>
                <c:pt idx="2">
                  <c:v>2020</c:v>
                </c:pt>
              </c:numCache>
            </c:numRef>
          </c:cat>
          <c:val>
            <c:numRef>
              <c:f>Sheet1!$B$2:$B$5</c:f>
              <c:numCache>
                <c:formatCode>General</c:formatCode>
                <c:ptCount val="4"/>
                <c:pt idx="0">
                  <c:v>440</c:v>
                </c:pt>
                <c:pt idx="1">
                  <c:v>200</c:v>
                </c:pt>
                <c:pt idx="2">
                  <c:v>160</c:v>
                </c:pt>
              </c:numCache>
            </c:numRef>
          </c:val>
          <c:extLst>
            <c:ext xmlns:c16="http://schemas.microsoft.com/office/drawing/2014/chart" uri="{C3380CC4-5D6E-409C-BE32-E72D297353CC}">
              <c16:uniqueId val="{00000002-483A-447C-87E4-05D6E3EFB9DB}"/>
            </c:ext>
          </c:extLst>
        </c:ser>
        <c:ser>
          <c:idx val="1"/>
          <c:order val="1"/>
          <c:tx>
            <c:strRef>
              <c:f>Sheet1!$C$1</c:f>
              <c:strCache>
                <c:ptCount val="1"/>
                <c:pt idx="0">
                  <c:v>Series 2</c:v>
                </c:pt>
              </c:strCache>
            </c:strRef>
          </c:tx>
          <c:spPr>
            <a:solidFill>
              <a:schemeClr val="accent2"/>
            </a:solidFill>
            <a:ln>
              <a:noFill/>
            </a:ln>
            <a:effectLst/>
          </c:spPr>
          <c:invertIfNegative val="0"/>
          <c:cat>
            <c:numRef>
              <c:f>Sheet1!$A$2:$A$5</c:f>
              <c:numCache>
                <c:formatCode>General</c:formatCode>
                <c:ptCount val="4"/>
                <c:pt idx="0">
                  <c:v>2018</c:v>
                </c:pt>
                <c:pt idx="1">
                  <c:v>2019</c:v>
                </c:pt>
                <c:pt idx="2">
                  <c:v>2020</c:v>
                </c:pt>
              </c:numCache>
            </c:numRef>
          </c:cat>
          <c:val>
            <c:numRef>
              <c:f>Sheet1!$C$2:$C$5</c:f>
              <c:numCache>
                <c:formatCode>General</c:formatCode>
                <c:ptCount val="4"/>
              </c:numCache>
            </c:numRef>
          </c:val>
          <c:extLst>
            <c:ext xmlns:c16="http://schemas.microsoft.com/office/drawing/2014/chart" uri="{C3380CC4-5D6E-409C-BE32-E72D297353CC}">
              <c16:uniqueId val="{00000003-483A-447C-87E4-05D6E3EFB9DB}"/>
            </c:ext>
          </c:extLst>
        </c:ser>
        <c:ser>
          <c:idx val="2"/>
          <c:order val="2"/>
          <c:tx>
            <c:strRef>
              <c:f>Sheet1!$D$1</c:f>
              <c:strCache>
                <c:ptCount val="1"/>
                <c:pt idx="0">
                  <c:v>Column1</c:v>
                </c:pt>
              </c:strCache>
            </c:strRef>
          </c:tx>
          <c:spPr>
            <a:solidFill>
              <a:schemeClr val="accent3"/>
            </a:solidFill>
            <a:ln>
              <a:noFill/>
            </a:ln>
            <a:effectLst/>
          </c:spPr>
          <c:invertIfNegative val="0"/>
          <c:cat>
            <c:numRef>
              <c:f>Sheet1!$A$2:$A$5</c:f>
              <c:numCache>
                <c:formatCode>General</c:formatCode>
                <c:ptCount val="4"/>
                <c:pt idx="0">
                  <c:v>2018</c:v>
                </c:pt>
                <c:pt idx="1">
                  <c:v>2019</c:v>
                </c:pt>
                <c:pt idx="2">
                  <c:v>2020</c:v>
                </c:pt>
              </c:numCache>
            </c:numRef>
          </c:cat>
          <c:val>
            <c:numRef>
              <c:f>Sheet1!$D$2:$D$5</c:f>
              <c:numCache>
                <c:formatCode>General</c:formatCode>
                <c:ptCount val="4"/>
              </c:numCache>
            </c:numRef>
          </c:val>
          <c:extLst>
            <c:ext xmlns:c16="http://schemas.microsoft.com/office/drawing/2014/chart" uri="{C3380CC4-5D6E-409C-BE32-E72D297353CC}">
              <c16:uniqueId val="{00000004-483A-447C-87E4-05D6E3EFB9DB}"/>
            </c:ext>
          </c:extLst>
        </c:ser>
        <c:dLbls>
          <c:showLegendKey val="0"/>
          <c:showVal val="0"/>
          <c:showCatName val="0"/>
          <c:showSerName val="0"/>
          <c:showPercent val="0"/>
          <c:showBubbleSize val="0"/>
        </c:dLbls>
        <c:gapWidth val="50"/>
        <c:overlap val="100"/>
        <c:axId val="676623288"/>
        <c:axId val="676621720"/>
      </c:barChart>
      <c:catAx>
        <c:axId val="676623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6621720"/>
        <c:crosses val="autoZero"/>
        <c:auto val="1"/>
        <c:lblAlgn val="ctr"/>
        <c:lblOffset val="100"/>
        <c:noMultiLvlLbl val="0"/>
      </c:catAx>
      <c:valAx>
        <c:axId val="676621720"/>
        <c:scaling>
          <c:orientation val="minMax"/>
          <c:max val="600"/>
        </c:scaling>
        <c:delete val="0"/>
        <c:axPos val="l"/>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6623288"/>
        <c:crosses val="autoZero"/>
        <c:crossBetween val="between"/>
        <c:majorUnit val="100"/>
      </c:valAx>
      <c:spPr>
        <a:noFill/>
        <a:ln>
          <a:noFill/>
        </a:ln>
        <a:effectLst/>
      </c:spPr>
    </c:plotArea>
    <c:legend>
      <c:legendPos val="t"/>
      <c:legendEntry>
        <c:idx val="1"/>
        <c:delete val="1"/>
      </c:legendEntry>
      <c:legendEntry>
        <c:idx val="2"/>
        <c:delete val="1"/>
      </c:legendEntry>
      <c:layout>
        <c:manualLayout>
          <c:xMode val="edge"/>
          <c:yMode val="edge"/>
          <c:x val="0.23986793317501978"/>
          <c:y val="0.17551622418879056"/>
          <c:w val="0.45523075240594923"/>
          <c:h val="0.10890686098893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sr-Cyrl-RS" sz="1200"/>
              <a:t>извор финансирања обезбеђених/условно обезбеђених средстава </a:t>
            </a:r>
            <a:endParaRPr lang="en-GB" sz="1200"/>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C00000"/>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1-DE46-4051-B347-AAB55A3DA18F}"/>
              </c:ext>
            </c:extLst>
          </c:dPt>
          <c:dPt>
            <c:idx val="1"/>
            <c:bubble3D val="0"/>
            <c:spPr>
              <a:solidFill>
                <a:schemeClr val="accent1">
                  <a:lumMod val="75000"/>
                </a:schemeClr>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3-DE46-4051-B347-AAB55A3DA18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'Збирна табела трошкови'!$D$99:$D$100</c:f>
              <c:strCache>
                <c:ptCount val="2"/>
                <c:pt idx="0">
                  <c:v>Буџет РС</c:v>
                </c:pt>
                <c:pt idx="1">
                  <c:v>Донаторска подршка</c:v>
                </c:pt>
              </c:strCache>
            </c:strRef>
          </c:cat>
          <c:val>
            <c:numRef>
              <c:f>'Збирна табела трошкови'!$E$99:$E$100</c:f>
              <c:numCache>
                <c:formatCode>#,##0.00</c:formatCode>
                <c:ptCount val="2"/>
                <c:pt idx="0">
                  <c:v>176733.34600000002</c:v>
                </c:pt>
                <c:pt idx="1">
                  <c:v>764006.79600000009</c:v>
                </c:pt>
              </c:numCache>
            </c:numRef>
          </c:val>
          <c:extLst>
            <c:ext xmlns:c16="http://schemas.microsoft.com/office/drawing/2014/chart" uri="{C3380CC4-5D6E-409C-BE32-E72D297353CC}">
              <c16:uniqueId val="{00000004-DE46-4051-B347-AAB55A3DA18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200" b="1">
                <a:latin typeface="Times New Roman" panose="02020603050405020304" pitchFamily="18" charset="0"/>
                <a:cs typeface="Times New Roman" panose="02020603050405020304" pitchFamily="18" charset="0"/>
              </a:rPr>
              <a:t>Ангажовање у органима ДУ према типу радног односа - септембар 2020.</a:t>
            </a:r>
          </a:p>
        </c:rich>
      </c:tx>
      <c:layout>
        <c:manualLayout>
          <c:xMode val="edge"/>
          <c:yMode val="edge"/>
          <c:x val="0.13211199602914966"/>
          <c:y val="1.7784988446154985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4777993902781159"/>
          <c:y val="0.30494444444444446"/>
          <c:w val="0.47835404407425525"/>
          <c:h val="0.70470453811570088"/>
        </c:manualLayout>
      </c:layout>
      <c:pieChart>
        <c:varyColors val="1"/>
        <c:ser>
          <c:idx val="0"/>
          <c:order val="0"/>
          <c:tx>
            <c:strRef>
              <c:f>Sheet1!$B$1</c:f>
              <c:strCache>
                <c:ptCount val="1"/>
                <c:pt idx="0">
                  <c:v>Sales</c:v>
                </c:pt>
              </c:strCache>
            </c:strRef>
          </c:tx>
          <c:explosion val="1"/>
          <c:dPt>
            <c:idx val="0"/>
            <c:bubble3D val="0"/>
            <c:spPr>
              <a:solidFill>
                <a:srgbClr val="A4586E"/>
              </a:solidFill>
              <a:ln w="19050">
                <a:solidFill>
                  <a:schemeClr val="lt1"/>
                </a:solidFill>
              </a:ln>
              <a:effectLst/>
            </c:spPr>
            <c:extLst>
              <c:ext xmlns:c16="http://schemas.microsoft.com/office/drawing/2014/chart" uri="{C3380CC4-5D6E-409C-BE32-E72D297353CC}">
                <c16:uniqueId val="{00000001-E908-4D16-B709-E8915B059F70}"/>
              </c:ext>
            </c:extLst>
          </c:dPt>
          <c:dPt>
            <c:idx val="1"/>
            <c:bubble3D val="0"/>
            <c:spPr>
              <a:solidFill>
                <a:srgbClr val="5C4A72"/>
              </a:solidFill>
              <a:ln w="19050">
                <a:solidFill>
                  <a:schemeClr val="lt1"/>
                </a:solidFill>
              </a:ln>
              <a:effectLst/>
            </c:spPr>
            <c:extLst>
              <c:ext xmlns:c16="http://schemas.microsoft.com/office/drawing/2014/chart" uri="{C3380CC4-5D6E-409C-BE32-E72D297353CC}">
                <c16:uniqueId val="{00000003-E908-4D16-B709-E8915B059F70}"/>
              </c:ext>
            </c:extLst>
          </c:dPt>
          <c:dPt>
            <c:idx val="2"/>
            <c:bubble3D val="0"/>
            <c:spPr>
              <a:solidFill>
                <a:srgbClr val="F2B05A"/>
              </a:solidFill>
              <a:ln w="19050">
                <a:solidFill>
                  <a:schemeClr val="lt1"/>
                </a:solidFill>
              </a:ln>
              <a:effectLst/>
            </c:spPr>
            <c:extLst>
              <c:ext xmlns:c16="http://schemas.microsoft.com/office/drawing/2014/chart" uri="{C3380CC4-5D6E-409C-BE32-E72D297353CC}">
                <c16:uniqueId val="{00000005-E908-4D16-B709-E8915B059F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908-4D16-B709-E8915B059F70}"/>
              </c:ext>
            </c:extLst>
          </c:dPt>
          <c:dLbls>
            <c:dLbl>
              <c:idx val="0"/>
              <c:layout>
                <c:manualLayout>
                  <c:x val="1.3855876076238133E-2"/>
                  <c:y val="2.0084807464135476E-2"/>
                </c:manualLayout>
              </c:layout>
              <c:spPr>
                <a:xfrm>
                  <a:off x="200530" y="535844"/>
                  <a:ext cx="1330015" cy="452331"/>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2178"/>
                        <a:gd name="adj2" fmla="val -4159"/>
                      </a:avLst>
                    </a:prstGeom>
                    <a:noFill/>
                    <a:ln>
                      <a:noFill/>
                    </a:ln>
                  </c15:spPr>
                  <c15:layout>
                    <c:manualLayout>
                      <c:w val="0.31354979083671553"/>
                      <c:h val="0.23150262467191596"/>
                    </c:manualLayout>
                  </c15:layout>
                </c:ext>
                <c:ext xmlns:c16="http://schemas.microsoft.com/office/drawing/2014/chart" uri="{C3380CC4-5D6E-409C-BE32-E72D297353CC}">
                  <c16:uniqueId val="{00000001-E908-4D16-B709-E8915B059F70}"/>
                </c:ext>
              </c:extLst>
            </c:dLbl>
            <c:dLbl>
              <c:idx val="1"/>
              <c:layout>
                <c:manualLayout>
                  <c:x val="1.4104861143854024E-2"/>
                  <c:y val="-0.1127491497751926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rgbClr val="5C4A72"/>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606186993846671"/>
                      <c:h val="0.21827996500437444"/>
                    </c:manualLayout>
                  </c15:layout>
                </c:ext>
                <c:ext xmlns:c16="http://schemas.microsoft.com/office/drawing/2014/chart" uri="{C3380CC4-5D6E-409C-BE32-E72D297353CC}">
                  <c16:uniqueId val="{00000003-E908-4D16-B709-E8915B059F70}"/>
                </c:ext>
              </c:extLst>
            </c:dLbl>
            <c:dLbl>
              <c:idx val="2"/>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E908-4D16-B709-E8915B059F7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3"/>
                <c:pt idx="0">
                  <c:v>Ангажовање ван радног односа</c:v>
                </c:pt>
                <c:pt idx="1">
                  <c:v>Неодређено време</c:v>
                </c:pt>
                <c:pt idx="2">
                  <c:v>Одређено време</c:v>
                </c:pt>
              </c:strCache>
            </c:strRef>
          </c:cat>
          <c:val>
            <c:numRef>
              <c:f>Sheet1!$B$2:$B$5</c:f>
              <c:numCache>
                <c:formatCode>0%</c:formatCode>
                <c:ptCount val="4"/>
                <c:pt idx="0">
                  <c:v>0.12</c:v>
                </c:pt>
                <c:pt idx="1">
                  <c:v>0.76</c:v>
                </c:pt>
                <c:pt idx="2">
                  <c:v>0.12</c:v>
                </c:pt>
              </c:numCache>
            </c:numRef>
          </c:val>
          <c:extLst>
            <c:ext xmlns:c16="http://schemas.microsoft.com/office/drawing/2014/chart" uri="{C3380CC4-5D6E-409C-BE32-E72D297353CC}">
              <c16:uniqueId val="{00000008-E908-4D16-B709-E8915B059F70}"/>
            </c:ext>
          </c:extLst>
        </c:ser>
        <c:dLbls>
          <c:showLegendKey val="0"/>
          <c:showVal val="0"/>
          <c:showCatName val="0"/>
          <c:showSerName val="0"/>
          <c:showPercent val="0"/>
          <c:showBubbleSize val="0"/>
          <c:showLeaderLines val="0"/>
        </c:dLbls>
        <c:firstSliceAng val="285"/>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200" b="1">
                <a:latin typeface="Times New Roman" panose="02020603050405020304" pitchFamily="18" charset="0"/>
                <a:cs typeface="Times New Roman" panose="02020603050405020304" pitchFamily="18" charset="0"/>
              </a:rPr>
              <a:t>Ангажовање у државним органима према типу радног односа - септембар 2020.</a:t>
            </a:r>
          </a:p>
        </c:rich>
      </c:tx>
      <c:layout>
        <c:manualLayout>
          <c:xMode val="edge"/>
          <c:yMode val="edge"/>
          <c:x val="0.11883354908051758"/>
          <c:y val="1.17038040868036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46070127758853"/>
          <c:y val="0.28909440011273757"/>
          <c:w val="0.48383344812394907"/>
          <c:h val="0.68678371998802168"/>
        </c:manualLayout>
      </c:layout>
      <c:pieChart>
        <c:varyColors val="1"/>
        <c:ser>
          <c:idx val="0"/>
          <c:order val="0"/>
          <c:tx>
            <c:strRef>
              <c:f>Sheet1!$B$1</c:f>
              <c:strCache>
                <c:ptCount val="1"/>
                <c:pt idx="0">
                  <c:v>Ангажовање у државним органима према типу радног односа - септембар 2020.</c:v>
                </c:pt>
              </c:strCache>
            </c:strRef>
          </c:tx>
          <c:spPr>
            <a:solidFill>
              <a:srgbClr val="A4586E"/>
            </a:solidFill>
          </c:spPr>
          <c:dPt>
            <c:idx val="0"/>
            <c:bubble3D val="0"/>
            <c:spPr>
              <a:solidFill>
                <a:srgbClr val="A4586E"/>
              </a:solidFill>
              <a:ln w="19050">
                <a:solidFill>
                  <a:schemeClr val="lt1"/>
                </a:solidFill>
              </a:ln>
              <a:effectLst/>
            </c:spPr>
            <c:extLst>
              <c:ext xmlns:c16="http://schemas.microsoft.com/office/drawing/2014/chart" uri="{C3380CC4-5D6E-409C-BE32-E72D297353CC}">
                <c16:uniqueId val="{00000001-7D7A-4A4A-B90E-D67C1B4F515D}"/>
              </c:ext>
            </c:extLst>
          </c:dPt>
          <c:dPt>
            <c:idx val="1"/>
            <c:bubble3D val="0"/>
            <c:spPr>
              <a:solidFill>
                <a:srgbClr val="A4586E"/>
              </a:solidFill>
              <a:ln w="19050">
                <a:solidFill>
                  <a:schemeClr val="lt1"/>
                </a:solidFill>
              </a:ln>
              <a:effectLst/>
            </c:spPr>
            <c:extLst>
              <c:ext xmlns:c16="http://schemas.microsoft.com/office/drawing/2014/chart" uri="{C3380CC4-5D6E-409C-BE32-E72D297353CC}">
                <c16:uniqueId val="{00000003-7D7A-4A4A-B90E-D67C1B4F515D}"/>
              </c:ext>
            </c:extLst>
          </c:dPt>
          <c:dPt>
            <c:idx val="2"/>
            <c:bubble3D val="0"/>
            <c:spPr>
              <a:solidFill>
                <a:srgbClr val="5C4A72"/>
              </a:solidFill>
              <a:ln w="19050">
                <a:solidFill>
                  <a:schemeClr val="lt1"/>
                </a:solidFill>
              </a:ln>
              <a:effectLst/>
            </c:spPr>
            <c:extLst>
              <c:ext xmlns:c16="http://schemas.microsoft.com/office/drawing/2014/chart" uri="{C3380CC4-5D6E-409C-BE32-E72D297353CC}">
                <c16:uniqueId val="{00000005-7D7A-4A4A-B90E-D67C1B4F515D}"/>
              </c:ext>
            </c:extLst>
          </c:dPt>
          <c:dPt>
            <c:idx val="3"/>
            <c:bubble3D val="0"/>
            <c:spPr>
              <a:solidFill>
                <a:srgbClr val="F2B05A"/>
              </a:solidFill>
              <a:ln w="19050">
                <a:solidFill>
                  <a:schemeClr val="lt1"/>
                </a:solidFill>
              </a:ln>
              <a:effectLst/>
            </c:spPr>
            <c:extLst>
              <c:ext xmlns:c16="http://schemas.microsoft.com/office/drawing/2014/chart" uri="{C3380CC4-5D6E-409C-BE32-E72D297353CC}">
                <c16:uniqueId val="{00000007-7D7A-4A4A-B90E-D67C1B4F515D}"/>
              </c:ext>
            </c:extLst>
          </c:dPt>
          <c:dLbls>
            <c:dLbl>
              <c:idx val="1"/>
              <c:layout>
                <c:manualLayout>
                  <c:x val="-2.0371496680277199E-2"/>
                  <c:y val="0.18906153051343361"/>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noAutofit/>
                </a:bodyPr>
                <a:lstStyle/>
                <a:p>
                  <a:pPr>
                    <a:defRPr sz="900" b="1" i="0" u="none" strike="noStrike" kern="1200" baseline="0">
                      <a:solidFill>
                        <a:srgbClr val="A4586E"/>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2746973033720106"/>
                      <c:h val="0.28783019333265836"/>
                    </c:manualLayout>
                  </c15:layout>
                </c:ext>
                <c:ext xmlns:c16="http://schemas.microsoft.com/office/drawing/2014/chart" uri="{C3380CC4-5D6E-409C-BE32-E72D297353CC}">
                  <c16:uniqueId val="{00000003-7D7A-4A4A-B90E-D67C1B4F515D}"/>
                </c:ext>
              </c:extLst>
            </c:dLbl>
            <c:dLbl>
              <c:idx val="2"/>
              <c:layout>
                <c:manualLayout>
                  <c:x val="-8.0368953964127243E-8"/>
                  <c:y val="2.6376684088555227E-2"/>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noAutofit/>
                </a:bodyPr>
                <a:lstStyle/>
                <a:p>
                  <a:pPr>
                    <a:defRPr sz="900" b="1" i="0" u="none" strike="noStrike" kern="1200" baseline="0">
                      <a:solidFill>
                        <a:srgbClr val="5C4A72"/>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748666936577591"/>
                      <c:h val="0.22229231731790197"/>
                    </c:manualLayout>
                  </c15:layout>
                </c:ext>
                <c:ext xmlns:c16="http://schemas.microsoft.com/office/drawing/2014/chart" uri="{C3380CC4-5D6E-409C-BE32-E72D297353CC}">
                  <c16:uniqueId val="{00000005-7D7A-4A4A-B90E-D67C1B4F515D}"/>
                </c:ext>
              </c:extLst>
            </c:dLbl>
            <c:dLbl>
              <c:idx val="3"/>
              <c:layout>
                <c:manualLayout>
                  <c:x val="4.6114194982687824E-3"/>
                  <c:y val="0.10220891185141792"/>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noAutofit/>
                </a:bodyPr>
                <a:lstStyle/>
                <a:p>
                  <a:pPr>
                    <a:defRPr sz="900" b="1" i="0" u="none" strike="noStrike" kern="1200" baseline="0">
                      <a:solidFill>
                        <a:srgbClr val="F2B05A"/>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681564418236053"/>
                      <c:h val="0.22493100825304846"/>
                    </c:manualLayout>
                  </c15:layout>
                </c:ext>
                <c:ext xmlns:c16="http://schemas.microsoft.com/office/drawing/2014/chart" uri="{C3380CC4-5D6E-409C-BE32-E72D297353CC}">
                  <c16:uniqueId val="{00000007-7D7A-4A4A-B90E-D67C1B4F515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1">
                  <c:v>Ангажовање ван радног односа</c:v>
                </c:pt>
                <c:pt idx="2">
                  <c:v>Неодређено време</c:v>
                </c:pt>
                <c:pt idx="3">
                  <c:v>Одређено време</c:v>
                </c:pt>
              </c:strCache>
            </c:strRef>
          </c:cat>
          <c:val>
            <c:numRef>
              <c:f>Sheet1!$B$2:$B$5</c:f>
              <c:numCache>
                <c:formatCode>0%</c:formatCode>
                <c:ptCount val="4"/>
                <c:pt idx="1">
                  <c:v>0.16</c:v>
                </c:pt>
                <c:pt idx="2">
                  <c:v>0.73</c:v>
                </c:pt>
                <c:pt idx="3">
                  <c:v>0.11</c:v>
                </c:pt>
              </c:numCache>
            </c:numRef>
          </c:val>
          <c:extLst>
            <c:ext xmlns:c16="http://schemas.microsoft.com/office/drawing/2014/chart" uri="{C3380CC4-5D6E-409C-BE32-E72D297353CC}">
              <c16:uniqueId val="{00000008-7D7A-4A4A-B90E-D67C1B4F515D}"/>
            </c:ext>
          </c:extLst>
        </c:ser>
        <c:dLbls>
          <c:showLegendKey val="0"/>
          <c:showVal val="0"/>
          <c:showCatName val="0"/>
          <c:showSerName val="0"/>
          <c:showPercent val="0"/>
          <c:showBubbleSize val="0"/>
          <c:showLeaderLines val="1"/>
        </c:dLbls>
        <c:firstSliceAng val="285"/>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200" b="1" i="0" u="none" strike="noStrike" baseline="0">
                <a:effectLst/>
                <a:latin typeface="Times New Roman" panose="02020603050405020304" pitchFamily="18" charset="0"/>
                <a:cs typeface="Times New Roman" panose="02020603050405020304" pitchFamily="18" charset="0"/>
              </a:rPr>
              <a:t>Сарадња са организационом јединицом</a:t>
            </a:r>
            <a:r>
              <a:rPr lang="en-US" sz="1200" b="1" i="0" u="none" strike="noStrike" baseline="0">
                <a:effectLst/>
                <a:latin typeface="Times New Roman" panose="02020603050405020304" pitchFamily="18" charset="0"/>
                <a:cs typeface="Times New Roman" panose="02020603050405020304" pitchFamily="18" charset="0"/>
              </a:rPr>
              <a:t>/</a:t>
            </a:r>
            <a:r>
              <a:rPr lang="sr-Cyrl-RS" sz="1200" b="1" i="0" u="none" strike="noStrike" baseline="0">
                <a:effectLst/>
                <a:latin typeface="Times New Roman" panose="02020603050405020304" pitchFamily="18" charset="0"/>
                <a:cs typeface="Times New Roman" panose="02020603050405020304" pitchFamily="18" charset="0"/>
              </a:rPr>
              <a:t> службеником за УЉР у поступку попуњавања радних места</a:t>
            </a:r>
            <a:endParaRPr lang="sr-Latn-RS" sz="1200">
              <a:latin typeface="Times New Roman" panose="02020603050405020304" pitchFamily="18" charset="0"/>
              <a:cs typeface="Times New Roman" panose="02020603050405020304" pitchFamily="18" charset="0"/>
            </a:endParaRPr>
          </a:p>
        </c:rich>
      </c:tx>
      <c:layout>
        <c:manualLayout>
          <c:xMode val="edge"/>
          <c:yMode val="edge"/>
          <c:x val="0.10631783641577085"/>
          <c:y val="5.464480874316939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14845028028006"/>
          <c:y val="0.34401399650087472"/>
          <c:w val="0.85097322029291411"/>
          <c:h val="0.42567665170321595"/>
        </c:manualLayout>
      </c:layout>
      <c:barChart>
        <c:barDir val="col"/>
        <c:grouping val="clustered"/>
        <c:varyColors val="0"/>
        <c:ser>
          <c:idx val="0"/>
          <c:order val="0"/>
          <c:tx>
            <c:strRef>
              <c:f>Sheet1!$B$1</c:f>
              <c:strCache>
                <c:ptCount val="1"/>
                <c:pt idx="0">
                  <c:v>ЈЛС I група</c:v>
                </c:pt>
              </c:strCache>
            </c:strRef>
          </c:tx>
          <c:spPr>
            <a:solidFill>
              <a:srgbClr val="5C4A72"/>
            </a:solidFill>
            <a:ln>
              <a:noFill/>
            </a:ln>
            <a:effectLst/>
          </c:spPr>
          <c:invertIfNegative val="0"/>
          <c:cat>
            <c:strRef>
              <c:f>Sheet1!$A$2:$A$5</c:f>
              <c:strCache>
                <c:ptCount val="4"/>
                <c:pt idx="0">
                  <c:v>Оцена 5</c:v>
                </c:pt>
                <c:pt idx="1">
                  <c:v>Оцена 3</c:v>
                </c:pt>
                <c:pt idx="2">
                  <c:v>Оцена 2</c:v>
                </c:pt>
                <c:pt idx="3">
                  <c:v>Оцена 0</c:v>
                </c:pt>
              </c:strCache>
            </c:strRef>
          </c:cat>
          <c:val>
            <c:numRef>
              <c:f>Sheet1!$B$2:$B$5</c:f>
              <c:numCache>
                <c:formatCode>General</c:formatCode>
                <c:ptCount val="4"/>
                <c:pt idx="0">
                  <c:v>50</c:v>
                </c:pt>
                <c:pt idx="1">
                  <c:v>24</c:v>
                </c:pt>
                <c:pt idx="2">
                  <c:v>26</c:v>
                </c:pt>
                <c:pt idx="3">
                  <c:v>0</c:v>
                </c:pt>
              </c:numCache>
            </c:numRef>
          </c:val>
          <c:extLst>
            <c:ext xmlns:c16="http://schemas.microsoft.com/office/drawing/2014/chart" uri="{C3380CC4-5D6E-409C-BE32-E72D297353CC}">
              <c16:uniqueId val="{00000000-8A39-41C7-9FB3-CD65B4D6BDD9}"/>
            </c:ext>
          </c:extLst>
        </c:ser>
        <c:ser>
          <c:idx val="1"/>
          <c:order val="1"/>
          <c:tx>
            <c:strRef>
              <c:f>Sheet1!$C$1</c:f>
              <c:strCache>
                <c:ptCount val="1"/>
                <c:pt idx="0">
                  <c:v>ЈЛС II група</c:v>
                </c:pt>
              </c:strCache>
            </c:strRef>
          </c:tx>
          <c:spPr>
            <a:solidFill>
              <a:srgbClr val="A4586E"/>
            </a:solidFill>
            <a:ln>
              <a:noFill/>
            </a:ln>
            <a:effectLst/>
          </c:spPr>
          <c:invertIfNegative val="0"/>
          <c:cat>
            <c:strRef>
              <c:f>Sheet1!$A$2:$A$5</c:f>
              <c:strCache>
                <c:ptCount val="4"/>
                <c:pt idx="0">
                  <c:v>Оцена 5</c:v>
                </c:pt>
                <c:pt idx="1">
                  <c:v>Оцена 3</c:v>
                </c:pt>
                <c:pt idx="2">
                  <c:v>Оцена 2</c:v>
                </c:pt>
                <c:pt idx="3">
                  <c:v>Оцена 0</c:v>
                </c:pt>
              </c:strCache>
            </c:strRef>
          </c:cat>
          <c:val>
            <c:numRef>
              <c:f>Sheet1!$C$2:$C$5</c:f>
              <c:numCache>
                <c:formatCode>General</c:formatCode>
                <c:ptCount val="4"/>
                <c:pt idx="0">
                  <c:v>30</c:v>
                </c:pt>
                <c:pt idx="1">
                  <c:v>50</c:v>
                </c:pt>
                <c:pt idx="2">
                  <c:v>20</c:v>
                </c:pt>
                <c:pt idx="3">
                  <c:v>0</c:v>
                </c:pt>
              </c:numCache>
            </c:numRef>
          </c:val>
          <c:extLst>
            <c:ext xmlns:c16="http://schemas.microsoft.com/office/drawing/2014/chart" uri="{C3380CC4-5D6E-409C-BE32-E72D297353CC}">
              <c16:uniqueId val="{00000001-8A39-41C7-9FB3-CD65B4D6BDD9}"/>
            </c:ext>
          </c:extLst>
        </c:ser>
        <c:dLbls>
          <c:showLegendKey val="0"/>
          <c:showVal val="0"/>
          <c:showCatName val="0"/>
          <c:showSerName val="0"/>
          <c:showPercent val="0"/>
          <c:showBubbleSize val="0"/>
        </c:dLbls>
        <c:gapWidth val="198"/>
        <c:overlap val="-20"/>
        <c:axId val="676617408"/>
        <c:axId val="676617800"/>
      </c:barChart>
      <c:catAx>
        <c:axId val="67661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6617800"/>
        <c:crosses val="autoZero"/>
        <c:auto val="1"/>
        <c:lblAlgn val="ctr"/>
        <c:lblOffset val="100"/>
        <c:noMultiLvlLbl val="0"/>
      </c:catAx>
      <c:valAx>
        <c:axId val="6766178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661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200" b="1" i="0" u="none" strike="noStrike" baseline="0">
                <a:effectLst/>
                <a:latin typeface="Times New Roman" panose="02020603050405020304" pitchFamily="18" charset="0"/>
                <a:cs typeface="Times New Roman" panose="02020603050405020304" pitchFamily="18" charset="0"/>
              </a:rPr>
              <a:t>Припрема и анализа претходних</a:t>
            </a:r>
            <a:r>
              <a:rPr lang="en-US" sz="1200" b="1" i="0" u="none" strike="noStrike" baseline="0">
                <a:effectLst/>
                <a:latin typeface="Times New Roman" panose="02020603050405020304" pitchFamily="18" charset="0"/>
                <a:cs typeface="Times New Roman" panose="02020603050405020304" pitchFamily="18" charset="0"/>
              </a:rPr>
              <a:t> </a:t>
            </a:r>
            <a:r>
              <a:rPr lang="sr-Cyrl-RS" sz="1200" b="1" i="0" u="none" strike="noStrike" baseline="0">
                <a:effectLst/>
                <a:latin typeface="Times New Roman" panose="02020603050405020304" pitchFamily="18" charset="0"/>
                <a:cs typeface="Times New Roman" panose="02020603050405020304" pitchFamily="18" charset="0"/>
              </a:rPr>
              <a:t>описа </a:t>
            </a:r>
            <a:r>
              <a:rPr lang="en-US" sz="1200" b="1" i="0" u="none" strike="noStrike" baseline="0">
                <a:effectLst/>
                <a:latin typeface="Times New Roman" panose="02020603050405020304" pitchFamily="18" charset="0"/>
                <a:cs typeface="Times New Roman" panose="02020603050405020304" pitchFamily="18" charset="0"/>
              </a:rPr>
              <a:t> </a:t>
            </a:r>
            <a:r>
              <a:rPr lang="sr-Cyrl-RS" sz="1200" b="1" i="0" u="none" strike="noStrike" baseline="0">
                <a:effectLst/>
                <a:latin typeface="Times New Roman" panose="02020603050405020304" pitchFamily="18" charset="0"/>
                <a:cs typeface="Times New Roman" panose="02020603050405020304" pitchFamily="18" charset="0"/>
              </a:rPr>
              <a:t>послова</a:t>
            </a:r>
            <a:endParaRPr lang="sr-Latn-R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389461953313124"/>
          <c:y val="0.2939183987682833"/>
          <c:w val="0.83383637986092796"/>
          <c:h val="0.39777579765577803"/>
        </c:manualLayout>
      </c:layout>
      <c:barChart>
        <c:barDir val="col"/>
        <c:grouping val="clustered"/>
        <c:varyColors val="0"/>
        <c:ser>
          <c:idx val="0"/>
          <c:order val="0"/>
          <c:tx>
            <c:strRef>
              <c:f>Sheet1!$B$1</c:f>
              <c:strCache>
                <c:ptCount val="1"/>
                <c:pt idx="0">
                  <c:v>ЈЛС I група</c:v>
                </c:pt>
              </c:strCache>
            </c:strRef>
          </c:tx>
          <c:spPr>
            <a:solidFill>
              <a:srgbClr val="5C4A72"/>
            </a:solidFill>
            <a:ln>
              <a:noFill/>
            </a:ln>
            <a:effectLst/>
          </c:spPr>
          <c:invertIfNegative val="0"/>
          <c:cat>
            <c:strRef>
              <c:f>Sheet1!$A$2:$A$4</c:f>
              <c:strCache>
                <c:ptCount val="3"/>
                <c:pt idx="0">
                  <c:v>Oцена 5</c:v>
                </c:pt>
                <c:pt idx="1">
                  <c:v>Оцена 3</c:v>
                </c:pt>
                <c:pt idx="2">
                  <c:v>Оцена 0</c:v>
                </c:pt>
              </c:strCache>
            </c:strRef>
          </c:cat>
          <c:val>
            <c:numRef>
              <c:f>Sheet1!$B$2:$B$4</c:f>
              <c:numCache>
                <c:formatCode>General</c:formatCode>
                <c:ptCount val="3"/>
                <c:pt idx="0">
                  <c:v>32</c:v>
                </c:pt>
                <c:pt idx="1">
                  <c:v>6</c:v>
                </c:pt>
                <c:pt idx="2">
                  <c:v>62</c:v>
                </c:pt>
              </c:numCache>
            </c:numRef>
          </c:val>
          <c:extLst>
            <c:ext xmlns:c16="http://schemas.microsoft.com/office/drawing/2014/chart" uri="{C3380CC4-5D6E-409C-BE32-E72D297353CC}">
              <c16:uniqueId val="{00000000-EB2D-4E17-A559-3FA5FF990B0C}"/>
            </c:ext>
          </c:extLst>
        </c:ser>
        <c:ser>
          <c:idx val="1"/>
          <c:order val="1"/>
          <c:tx>
            <c:strRef>
              <c:f>Sheet1!$C$1</c:f>
              <c:strCache>
                <c:ptCount val="1"/>
                <c:pt idx="0">
                  <c:v>ЈЛС II група</c:v>
                </c:pt>
              </c:strCache>
            </c:strRef>
          </c:tx>
          <c:spPr>
            <a:solidFill>
              <a:srgbClr val="A4586E"/>
            </a:solidFill>
            <a:ln>
              <a:noFill/>
            </a:ln>
            <a:effectLst/>
          </c:spPr>
          <c:invertIfNegative val="0"/>
          <c:cat>
            <c:strRef>
              <c:f>Sheet1!$A$2:$A$4</c:f>
              <c:strCache>
                <c:ptCount val="3"/>
                <c:pt idx="0">
                  <c:v>Oцена 5</c:v>
                </c:pt>
                <c:pt idx="1">
                  <c:v>Оцена 3</c:v>
                </c:pt>
                <c:pt idx="2">
                  <c:v>Оцена 0</c:v>
                </c:pt>
              </c:strCache>
            </c:strRef>
          </c:cat>
          <c:val>
            <c:numRef>
              <c:f>Sheet1!$C$2:$C$4</c:f>
              <c:numCache>
                <c:formatCode>General</c:formatCode>
                <c:ptCount val="3"/>
                <c:pt idx="0">
                  <c:v>35</c:v>
                </c:pt>
                <c:pt idx="1">
                  <c:v>10</c:v>
                </c:pt>
                <c:pt idx="2">
                  <c:v>55</c:v>
                </c:pt>
              </c:numCache>
            </c:numRef>
          </c:val>
          <c:extLst>
            <c:ext xmlns:c16="http://schemas.microsoft.com/office/drawing/2014/chart" uri="{C3380CC4-5D6E-409C-BE32-E72D297353CC}">
              <c16:uniqueId val="{00000001-EB2D-4E17-A559-3FA5FF990B0C}"/>
            </c:ext>
          </c:extLst>
        </c:ser>
        <c:dLbls>
          <c:showLegendKey val="0"/>
          <c:showVal val="0"/>
          <c:showCatName val="0"/>
          <c:showSerName val="0"/>
          <c:showPercent val="0"/>
          <c:showBubbleSize val="0"/>
        </c:dLbls>
        <c:gapWidth val="198"/>
        <c:overlap val="-20"/>
        <c:axId val="682486992"/>
        <c:axId val="682479936"/>
      </c:barChart>
      <c:catAx>
        <c:axId val="68248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2479936"/>
        <c:crosses val="autoZero"/>
        <c:auto val="1"/>
        <c:lblAlgn val="ctr"/>
        <c:lblOffset val="100"/>
        <c:noMultiLvlLbl val="0"/>
      </c:catAx>
      <c:valAx>
        <c:axId val="6824799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24869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rgbClr val="5C4A7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Број области стручног усавршавања</c:v>
                </c:pt>
              </c:strCache>
            </c:strRef>
          </c:tx>
          <c:spPr>
            <a:solidFill>
              <a:srgbClr val="5C4A7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Sheet1!$A$2:$B$11</c:f>
              <c:multiLvlStrCache>
                <c:ptCount val="10"/>
                <c:lvl>
                  <c:pt idx="0">
                    <c:v>Општи програм обуке за државне службенике</c:v>
                  </c:pt>
                  <c:pt idx="1">
                    <c:v>Програм обуке руководилаца у државним органима</c:v>
                  </c:pt>
                  <c:pt idx="2">
                    <c:v>Општи програм обуке за државне службенике</c:v>
                  </c:pt>
                  <c:pt idx="3">
                    <c:v>Програм обуке руководилаца у државним органима</c:v>
                  </c:pt>
                  <c:pt idx="4">
                    <c:v>Општи програм обуке за запослене у ЈЛС</c:v>
                  </c:pt>
                  <c:pt idx="5">
                    <c:v>Програм обуке руководилаца у ЈЛС</c:v>
                  </c:pt>
                  <c:pt idx="6">
                    <c:v>Општи програм обуке за државне службенике</c:v>
                  </c:pt>
                  <c:pt idx="7">
                    <c:v>Програм обуке руководилаца у државним органима</c:v>
                  </c:pt>
                  <c:pt idx="8">
                    <c:v>Општи програм обуке за запослене у ЈЛС</c:v>
                  </c:pt>
                  <c:pt idx="9">
                    <c:v>Програм обуке руководилаца у ЈЛС</c:v>
                  </c:pt>
                </c:lvl>
                <c:lvl>
                  <c:pt idx="0">
                    <c:v>2018*</c:v>
                  </c:pt>
                  <c:pt idx="2">
                    <c:v>2019</c:v>
                  </c:pt>
                  <c:pt idx="6">
                    <c:v>2020</c:v>
                  </c:pt>
                </c:lvl>
              </c:multiLvlStrCache>
            </c:multiLvlStrRef>
          </c:cat>
          <c:val>
            <c:numRef>
              <c:f>Sheet1!$C$2:$C$11</c:f>
              <c:numCache>
                <c:formatCode>General</c:formatCode>
                <c:ptCount val="10"/>
                <c:pt idx="0">
                  <c:v>16</c:v>
                </c:pt>
                <c:pt idx="1">
                  <c:v>3</c:v>
                </c:pt>
                <c:pt idx="2">
                  <c:v>18</c:v>
                </c:pt>
                <c:pt idx="3">
                  <c:v>3</c:v>
                </c:pt>
                <c:pt idx="4">
                  <c:v>24</c:v>
                </c:pt>
                <c:pt idx="5">
                  <c:v>1</c:v>
                </c:pt>
                <c:pt idx="6">
                  <c:v>19</c:v>
                </c:pt>
                <c:pt idx="7">
                  <c:v>2</c:v>
                </c:pt>
                <c:pt idx="8">
                  <c:v>25</c:v>
                </c:pt>
                <c:pt idx="9">
                  <c:v>2</c:v>
                </c:pt>
              </c:numCache>
            </c:numRef>
          </c:val>
          <c:extLst>
            <c:ext xmlns:c16="http://schemas.microsoft.com/office/drawing/2014/chart" uri="{C3380CC4-5D6E-409C-BE32-E72D297353CC}">
              <c16:uniqueId val="{00000000-6B9F-43C8-A002-11BEE792C037}"/>
            </c:ext>
          </c:extLst>
        </c:ser>
        <c:ser>
          <c:idx val="1"/>
          <c:order val="1"/>
          <c:tx>
            <c:strRef>
              <c:f>Sheet1!$D$1</c:f>
              <c:strCache>
                <c:ptCount val="1"/>
                <c:pt idx="0">
                  <c:v>Број тематских целина</c:v>
                </c:pt>
              </c:strCache>
            </c:strRef>
          </c:tx>
          <c:spPr>
            <a:solidFill>
              <a:srgbClr val="A4586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Sheet1!$A$2:$B$11</c:f>
              <c:multiLvlStrCache>
                <c:ptCount val="10"/>
                <c:lvl>
                  <c:pt idx="0">
                    <c:v>Општи програм обуке за државне службенике</c:v>
                  </c:pt>
                  <c:pt idx="1">
                    <c:v>Програм обуке руководилаца у државним органима</c:v>
                  </c:pt>
                  <c:pt idx="2">
                    <c:v>Општи програм обуке за државне службенике</c:v>
                  </c:pt>
                  <c:pt idx="3">
                    <c:v>Програм обуке руководилаца у државним органима</c:v>
                  </c:pt>
                  <c:pt idx="4">
                    <c:v>Општи програм обуке за запослене у ЈЛС</c:v>
                  </c:pt>
                  <c:pt idx="5">
                    <c:v>Програм обуке руководилаца у ЈЛС</c:v>
                  </c:pt>
                  <c:pt idx="6">
                    <c:v>Општи програм обуке за државне службенике</c:v>
                  </c:pt>
                  <c:pt idx="7">
                    <c:v>Програм обуке руководилаца у државним органима</c:v>
                  </c:pt>
                  <c:pt idx="8">
                    <c:v>Општи програм обуке за запослене у ЈЛС</c:v>
                  </c:pt>
                  <c:pt idx="9">
                    <c:v>Програм обуке руководилаца у ЈЛС</c:v>
                  </c:pt>
                </c:lvl>
                <c:lvl>
                  <c:pt idx="0">
                    <c:v>2018*</c:v>
                  </c:pt>
                  <c:pt idx="2">
                    <c:v>2019</c:v>
                  </c:pt>
                  <c:pt idx="6">
                    <c:v>2020</c:v>
                  </c:pt>
                </c:lvl>
              </c:multiLvlStrCache>
            </c:multiLvlStrRef>
          </c:cat>
          <c:val>
            <c:numRef>
              <c:f>Sheet1!$D$2:$D$11</c:f>
              <c:numCache>
                <c:formatCode>General</c:formatCode>
                <c:ptCount val="10"/>
                <c:pt idx="0">
                  <c:v>154</c:v>
                </c:pt>
                <c:pt idx="1">
                  <c:v>29</c:v>
                </c:pt>
                <c:pt idx="2">
                  <c:v>187</c:v>
                </c:pt>
                <c:pt idx="3">
                  <c:v>36</c:v>
                </c:pt>
                <c:pt idx="4">
                  <c:v>164</c:v>
                </c:pt>
                <c:pt idx="5">
                  <c:v>11</c:v>
                </c:pt>
                <c:pt idx="6">
                  <c:v>190</c:v>
                </c:pt>
                <c:pt idx="7">
                  <c:v>27</c:v>
                </c:pt>
                <c:pt idx="8">
                  <c:v>180</c:v>
                </c:pt>
                <c:pt idx="9">
                  <c:v>15</c:v>
                </c:pt>
              </c:numCache>
            </c:numRef>
          </c:val>
          <c:extLst>
            <c:ext xmlns:c16="http://schemas.microsoft.com/office/drawing/2014/chart" uri="{C3380CC4-5D6E-409C-BE32-E72D297353CC}">
              <c16:uniqueId val="{00000001-6B9F-43C8-A002-11BEE792C037}"/>
            </c:ext>
          </c:extLst>
        </c:ser>
        <c:dLbls>
          <c:showLegendKey val="0"/>
          <c:showVal val="0"/>
          <c:showCatName val="0"/>
          <c:showSerName val="0"/>
          <c:showPercent val="0"/>
          <c:showBubbleSize val="0"/>
        </c:dLbls>
        <c:gapWidth val="112"/>
        <c:overlap val="-5"/>
        <c:axId val="682483464"/>
        <c:axId val="682485816"/>
      </c:barChart>
      <c:catAx>
        <c:axId val="682483464"/>
        <c:scaling>
          <c:orientation val="minMax"/>
        </c:scaling>
        <c:delete val="0"/>
        <c:axPos val="b"/>
        <c:numFmt formatCode="#,##0.00" sourceLinked="0"/>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2485816"/>
        <c:crosses val="autoZero"/>
        <c:auto val="1"/>
        <c:lblAlgn val="ctr"/>
        <c:lblOffset val="100"/>
        <c:tickLblSkip val="1"/>
        <c:noMultiLvlLbl val="0"/>
      </c:catAx>
      <c:valAx>
        <c:axId val="682485816"/>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2483464"/>
        <c:crosses val="autoZero"/>
        <c:crossBetween val="between"/>
      </c:valAx>
      <c:spPr>
        <a:noFill/>
        <a:ln>
          <a:noFill/>
        </a:ln>
        <a:effectLst/>
      </c:spPr>
    </c:plotArea>
    <c:legend>
      <c:legendPos val="b"/>
      <c:layout>
        <c:manualLayout>
          <c:xMode val="edge"/>
          <c:yMode val="edge"/>
          <c:x val="0.16058745261009041"/>
          <c:y val="0.94188473642287251"/>
          <c:w val="0.67882509477981923"/>
          <c:h val="5.81154207575904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Број полазника програма обуке</c:v>
                </c:pt>
              </c:strCache>
            </c:strRef>
          </c:tx>
          <c:spPr>
            <a:solidFill>
              <a:srgbClr val="5C4A72"/>
            </a:solidFill>
            <a:ln>
              <a:noFill/>
            </a:ln>
            <a:effectLst/>
            <a:sp3d/>
          </c:spPr>
          <c:invertIfNegative val="0"/>
          <c:dLbls>
            <c:dLbl>
              <c:idx val="0"/>
              <c:layout>
                <c:manualLayout>
                  <c:x val="3.4722222222222224E-2"/>
                  <c:y val="-3.2154340836012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41-4CA4-9B65-0A8C207CD7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c:f>
              <c:numCache>
                <c:formatCode>General</c:formatCode>
                <c:ptCount val="1"/>
                <c:pt idx="0">
                  <c:v>2020</c:v>
                </c:pt>
              </c:numCache>
            </c:numRef>
          </c:cat>
          <c:val>
            <c:numRef>
              <c:f>Sheet1!$B$2:$B$2</c:f>
              <c:numCache>
                <c:formatCode>General</c:formatCode>
                <c:ptCount val="1"/>
                <c:pt idx="0">
                  <c:v>8025</c:v>
                </c:pt>
              </c:numCache>
            </c:numRef>
          </c:val>
          <c:extLst>
            <c:ext xmlns:c16="http://schemas.microsoft.com/office/drawing/2014/chart" uri="{C3380CC4-5D6E-409C-BE32-E72D297353CC}">
              <c16:uniqueId val="{00000001-5441-4CA4-9B65-0A8C207CD7A2}"/>
            </c:ext>
          </c:extLst>
        </c:ser>
        <c:ser>
          <c:idx val="1"/>
          <c:order val="1"/>
          <c:tx>
            <c:strRef>
              <c:f>Sheet1!$C$1</c:f>
              <c:strCache>
                <c:ptCount val="1"/>
                <c:pt idx="0">
                  <c:v>Број тематских целина</c:v>
                </c:pt>
              </c:strCache>
            </c:strRef>
          </c:tx>
          <c:spPr>
            <a:solidFill>
              <a:srgbClr val="A4586E"/>
            </a:solidFill>
            <a:ln>
              <a:noFill/>
            </a:ln>
            <a:effectLst/>
            <a:sp3d/>
          </c:spPr>
          <c:invertIfNegative val="0"/>
          <c:dLbls>
            <c:dLbl>
              <c:idx val="0"/>
              <c:layout>
                <c:manualLayout>
                  <c:x val="3.4722222222222224E-2"/>
                  <c:y val="-3.7513397642015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41-4CA4-9B65-0A8C207CD7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c:f>
              <c:numCache>
                <c:formatCode>General</c:formatCode>
                <c:ptCount val="1"/>
                <c:pt idx="0">
                  <c:v>2020</c:v>
                </c:pt>
              </c:numCache>
            </c:numRef>
          </c:cat>
          <c:val>
            <c:numRef>
              <c:f>Sheet1!$C$2:$C$2</c:f>
              <c:numCache>
                <c:formatCode>General</c:formatCode>
                <c:ptCount val="1"/>
                <c:pt idx="0">
                  <c:v>412</c:v>
                </c:pt>
              </c:numCache>
            </c:numRef>
          </c:val>
          <c:extLst>
            <c:ext xmlns:c16="http://schemas.microsoft.com/office/drawing/2014/chart" uri="{C3380CC4-5D6E-409C-BE32-E72D297353CC}">
              <c16:uniqueId val="{00000003-5441-4CA4-9B65-0A8C207CD7A2}"/>
            </c:ext>
          </c:extLst>
        </c:ser>
        <c:ser>
          <c:idx val="2"/>
          <c:order val="2"/>
          <c:tx>
            <c:strRef>
              <c:f>Sheet1!$D$1</c:f>
              <c:strCache>
                <c:ptCount val="1"/>
                <c:pt idx="0">
                  <c:v>Број области стручног усавршавања</c:v>
                </c:pt>
              </c:strCache>
            </c:strRef>
          </c:tx>
          <c:spPr>
            <a:solidFill>
              <a:srgbClr val="F2B05A"/>
            </a:solidFill>
            <a:ln>
              <a:noFill/>
            </a:ln>
            <a:effectLst/>
            <a:sp3d/>
          </c:spPr>
          <c:invertIfNegative val="0"/>
          <c:dLbls>
            <c:dLbl>
              <c:idx val="0"/>
              <c:layout>
                <c:manualLayout>
                  <c:x val="3.7037037037037035E-2"/>
                  <c:y val="-4.2872454448017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41-4CA4-9B65-0A8C207CD7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c:f>
              <c:numCache>
                <c:formatCode>General</c:formatCode>
                <c:ptCount val="1"/>
                <c:pt idx="0">
                  <c:v>2020</c:v>
                </c:pt>
              </c:numCache>
            </c:numRef>
          </c:cat>
          <c:val>
            <c:numRef>
              <c:f>Sheet1!$D$2:$D$2</c:f>
              <c:numCache>
                <c:formatCode>General</c:formatCode>
                <c:ptCount val="1"/>
                <c:pt idx="0">
                  <c:v>48</c:v>
                </c:pt>
              </c:numCache>
            </c:numRef>
          </c:val>
          <c:extLst>
            <c:ext xmlns:c16="http://schemas.microsoft.com/office/drawing/2014/chart" uri="{C3380CC4-5D6E-409C-BE32-E72D297353CC}">
              <c16:uniqueId val="{00000005-5441-4CA4-9B65-0A8C207CD7A2}"/>
            </c:ext>
          </c:extLst>
        </c:ser>
        <c:dLbls>
          <c:showLegendKey val="0"/>
          <c:showVal val="1"/>
          <c:showCatName val="0"/>
          <c:showSerName val="0"/>
          <c:showPercent val="0"/>
          <c:showBubbleSize val="0"/>
        </c:dLbls>
        <c:gapWidth val="75"/>
        <c:shape val="box"/>
        <c:axId val="682487776"/>
        <c:axId val="682475624"/>
        <c:axId val="0"/>
      </c:bar3DChart>
      <c:catAx>
        <c:axId val="682487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2475624"/>
        <c:crosses val="autoZero"/>
        <c:auto val="1"/>
        <c:lblAlgn val="ctr"/>
        <c:lblOffset val="100"/>
        <c:noMultiLvlLbl val="0"/>
      </c:catAx>
      <c:valAx>
        <c:axId val="682475624"/>
        <c:scaling>
          <c:orientation val="minMax"/>
        </c:scaling>
        <c:delete val="1"/>
        <c:axPos val="b"/>
        <c:numFmt formatCode="General" sourceLinked="1"/>
        <c:majorTickMark val="none"/>
        <c:minorTickMark val="none"/>
        <c:tickLblPos val="nextTo"/>
        <c:crossAx val="68248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latin typeface="Times New Roman" panose="02020603050405020304" pitchFamily="18" charset="0"/>
                <a:cs typeface="Times New Roman" panose="02020603050405020304" pitchFamily="18" charset="0"/>
              </a:rPr>
              <a:t>Укупно </a:t>
            </a:r>
            <a:r>
              <a:rPr lang="en-GB">
                <a:latin typeface="Times New Roman" panose="02020603050405020304" pitchFamily="18" charset="0"/>
                <a:cs typeface="Times New Roman" panose="02020603050405020304" pitchFamily="18" charset="0"/>
              </a:rPr>
              <a:t>429</a:t>
            </a:r>
          </a:p>
        </c:rich>
      </c:tx>
      <c:layout>
        <c:manualLayout>
          <c:xMode val="edge"/>
          <c:yMode val="edge"/>
          <c:x val="0.23299259467566555"/>
          <c:y val="8.5136943109384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96167552226703"/>
          <c:y val="0.17779547984517499"/>
          <c:w val="0.41394993824301374"/>
          <c:h val="0.70094164365817913"/>
        </c:manualLayout>
      </c:layout>
      <c:bar3DChart>
        <c:barDir val="col"/>
        <c:grouping val="stacked"/>
        <c:varyColors val="0"/>
        <c:ser>
          <c:idx val="0"/>
          <c:order val="0"/>
          <c:tx>
            <c:strRef>
              <c:f>Sheet1!$B$1</c:f>
              <c:strCache>
                <c:ptCount val="1"/>
                <c:pt idx="0">
                  <c:v>Државна управа</c:v>
                </c:pt>
              </c:strCache>
            </c:strRef>
          </c:tx>
          <c:spPr>
            <a:solidFill>
              <a:srgbClr val="5C4A72"/>
            </a:solidFill>
            <a:ln>
              <a:noFill/>
            </a:ln>
            <a:effectLst/>
            <a:sp3d/>
          </c:spPr>
          <c:invertIfNegative val="0"/>
          <c:dLbls>
            <c:dLbl>
              <c:idx val="0"/>
              <c:layout>
                <c:manualLayout>
                  <c:x val="0.21064814814814814"/>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DD-4318-93D1-6D1D7472E353}"/>
                </c:ext>
              </c:extLst>
            </c:dLbl>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213</c:v>
                </c:pt>
              </c:numCache>
            </c:numRef>
          </c:val>
          <c:extLst>
            <c:ext xmlns:c16="http://schemas.microsoft.com/office/drawing/2014/chart" uri="{C3380CC4-5D6E-409C-BE32-E72D297353CC}">
              <c16:uniqueId val="{00000001-68DD-4318-93D1-6D1D7472E353}"/>
            </c:ext>
          </c:extLst>
        </c:ser>
        <c:ser>
          <c:idx val="1"/>
          <c:order val="1"/>
          <c:tx>
            <c:strRef>
              <c:f>Sheet1!$C$1</c:f>
              <c:strCache>
                <c:ptCount val="1"/>
                <c:pt idx="0">
                  <c:v>Јединица локалне самоуправе</c:v>
                </c:pt>
              </c:strCache>
            </c:strRef>
          </c:tx>
          <c:spPr>
            <a:solidFill>
              <a:srgbClr val="A4586E"/>
            </a:solidFill>
            <a:ln>
              <a:noFill/>
            </a:ln>
            <a:effectLst/>
            <a:sp3d/>
          </c:spPr>
          <c:invertIfNegative val="0"/>
          <c:dLbls>
            <c:dLbl>
              <c:idx val="0"/>
              <c:layout>
                <c:manualLayout>
                  <c:x val="0.20833333333333334"/>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DD-4318-93D1-6D1D7472E3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191</c:v>
                </c:pt>
              </c:numCache>
            </c:numRef>
          </c:val>
          <c:extLst>
            <c:ext xmlns:c16="http://schemas.microsoft.com/office/drawing/2014/chart" uri="{C3380CC4-5D6E-409C-BE32-E72D297353CC}">
              <c16:uniqueId val="{00000003-68DD-4318-93D1-6D1D7472E353}"/>
            </c:ext>
          </c:extLst>
        </c:ser>
        <c:ser>
          <c:idx val="2"/>
          <c:order val="2"/>
          <c:tx>
            <c:strRef>
              <c:f>Sheet1!$D$1</c:f>
              <c:strCache>
                <c:ptCount val="1"/>
                <c:pt idx="0">
                  <c:v>Органи аутономне покрајине</c:v>
                </c:pt>
              </c:strCache>
            </c:strRef>
          </c:tx>
          <c:spPr>
            <a:solidFill>
              <a:srgbClr val="F2B05A"/>
            </a:solidFill>
            <a:ln>
              <a:noFill/>
            </a:ln>
            <a:effectLst/>
            <a:sp3d/>
          </c:spPr>
          <c:invertIfNegative val="0"/>
          <c:dLbls>
            <c:dLbl>
              <c:idx val="0"/>
              <c:layout>
                <c:manualLayout>
                  <c:x val="0.2013888888888889"/>
                  <c:y val="-7.5396825396825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DD-4318-93D1-6D1D7472E3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25</c:v>
                </c:pt>
              </c:numCache>
            </c:numRef>
          </c:val>
          <c:extLst>
            <c:ext xmlns:c16="http://schemas.microsoft.com/office/drawing/2014/chart" uri="{C3380CC4-5D6E-409C-BE32-E72D297353CC}">
              <c16:uniqueId val="{00000005-68DD-4318-93D1-6D1D7472E353}"/>
            </c:ext>
          </c:extLst>
        </c:ser>
        <c:dLbls>
          <c:showLegendKey val="0"/>
          <c:showVal val="0"/>
          <c:showCatName val="0"/>
          <c:showSerName val="0"/>
          <c:showPercent val="0"/>
          <c:showBubbleSize val="0"/>
        </c:dLbls>
        <c:gapWidth val="75"/>
        <c:gapDepth val="75"/>
        <c:shape val="box"/>
        <c:axId val="682481896"/>
        <c:axId val="682482288"/>
        <c:axId val="0"/>
      </c:bar3DChart>
      <c:catAx>
        <c:axId val="682481896"/>
        <c:scaling>
          <c:orientation val="minMax"/>
        </c:scaling>
        <c:delete val="1"/>
        <c:axPos val="b"/>
        <c:numFmt formatCode="General" sourceLinked="1"/>
        <c:majorTickMark val="out"/>
        <c:minorTickMark val="none"/>
        <c:tickLblPos val="nextTo"/>
        <c:crossAx val="682482288"/>
        <c:crosses val="autoZero"/>
        <c:auto val="1"/>
        <c:lblAlgn val="ctr"/>
        <c:lblOffset val="100"/>
        <c:noMultiLvlLbl val="0"/>
      </c:catAx>
      <c:valAx>
        <c:axId val="6824822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2481896"/>
        <c:crosses val="autoZero"/>
        <c:crossBetween val="between"/>
      </c:valAx>
      <c:spPr>
        <a:noFill/>
        <a:ln>
          <a:noFill/>
        </a:ln>
        <a:effectLst/>
      </c:spPr>
    </c:plotArea>
    <c:legend>
      <c:legendPos val="r"/>
      <c:layout>
        <c:manualLayout>
          <c:xMode val="edge"/>
          <c:yMode val="edge"/>
          <c:x val="0.5582655826558266"/>
          <c:y val="0.43353146031843298"/>
          <c:w val="0.37398373983739835"/>
          <c:h val="0.344955421428352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ВСС</c:v>
                </c:pt>
              </c:strCache>
            </c:strRef>
          </c:tx>
          <c:spPr>
            <a:solidFill>
              <a:srgbClr val="A4586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2012</c:v>
                </c:pt>
                <c:pt idx="1">
                  <c:v>3128</c:v>
                </c:pt>
                <c:pt idx="2">
                  <c:v>2173</c:v>
                </c:pt>
                <c:pt idx="3">
                  <c:v>1989</c:v>
                </c:pt>
                <c:pt idx="4">
                  <c:v>1923</c:v>
                </c:pt>
                <c:pt idx="5">
                  <c:v>1689</c:v>
                </c:pt>
                <c:pt idx="6">
                  <c:v>2179</c:v>
                </c:pt>
                <c:pt idx="7">
                  <c:v>2146</c:v>
                </c:pt>
                <c:pt idx="8">
                  <c:v>1495</c:v>
                </c:pt>
                <c:pt idx="9">
                  <c:v>1265</c:v>
                </c:pt>
              </c:numCache>
            </c:numRef>
          </c:val>
          <c:extLst>
            <c:ext xmlns:c16="http://schemas.microsoft.com/office/drawing/2014/chart" uri="{C3380CC4-5D6E-409C-BE32-E72D297353CC}">
              <c16:uniqueId val="{00000000-1AE2-4613-99E4-619D1D67F28E}"/>
            </c:ext>
          </c:extLst>
        </c:ser>
        <c:ser>
          <c:idx val="1"/>
          <c:order val="1"/>
          <c:tx>
            <c:strRef>
              <c:f>Sheet1!$C$1</c:f>
              <c:strCache>
                <c:ptCount val="1"/>
                <c:pt idx="0">
                  <c:v>ССС</c:v>
                </c:pt>
              </c:strCache>
            </c:strRef>
          </c:tx>
          <c:spPr>
            <a:solidFill>
              <a:srgbClr val="F2B05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Sheet1!$C$2:$C$11</c:f>
              <c:numCache>
                <c:formatCode>General</c:formatCode>
                <c:ptCount val="10"/>
                <c:pt idx="0">
                  <c:v>1490</c:v>
                </c:pt>
                <c:pt idx="1">
                  <c:v>1734</c:v>
                </c:pt>
                <c:pt idx="2">
                  <c:v>1385</c:v>
                </c:pt>
                <c:pt idx="3">
                  <c:v>932</c:v>
                </c:pt>
                <c:pt idx="4">
                  <c:v>818</c:v>
                </c:pt>
                <c:pt idx="5">
                  <c:v>752</c:v>
                </c:pt>
                <c:pt idx="6">
                  <c:v>690</c:v>
                </c:pt>
                <c:pt idx="7">
                  <c:v>429</c:v>
                </c:pt>
                <c:pt idx="8">
                  <c:v>629</c:v>
                </c:pt>
                <c:pt idx="9">
                  <c:v>891</c:v>
                </c:pt>
              </c:numCache>
            </c:numRef>
          </c:val>
          <c:extLst>
            <c:ext xmlns:c16="http://schemas.microsoft.com/office/drawing/2014/chart" uri="{C3380CC4-5D6E-409C-BE32-E72D297353CC}">
              <c16:uniqueId val="{00000001-1AE2-4613-99E4-619D1D67F28E}"/>
            </c:ext>
          </c:extLst>
        </c:ser>
        <c:dLbls>
          <c:dLblPos val="outEnd"/>
          <c:showLegendKey val="0"/>
          <c:showVal val="1"/>
          <c:showCatName val="0"/>
          <c:showSerName val="0"/>
          <c:showPercent val="0"/>
          <c:showBubbleSize val="0"/>
        </c:dLbls>
        <c:gapWidth val="100"/>
        <c:overlap val="-6"/>
        <c:axId val="591091704"/>
        <c:axId val="591090528"/>
      </c:barChart>
      <c:catAx>
        <c:axId val="591091704"/>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1090528"/>
        <c:crosses val="autoZero"/>
        <c:auto val="1"/>
        <c:lblAlgn val="ctr"/>
        <c:lblOffset val="100"/>
        <c:noMultiLvlLbl val="0"/>
      </c:catAx>
      <c:valAx>
        <c:axId val="591090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109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sr-Cyrl-RS" sz="1200"/>
              <a:t>извор финансирања необезбеђених средстава</a:t>
            </a:r>
            <a:endParaRPr lang="en-GB" sz="1200"/>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scene3d>
              <a:camera prst="orthographicFront"/>
              <a:lightRig rig="brightRoom" dir="t"/>
            </a:scene3d>
            <a:sp3d prstMaterial="flat">
              <a:bevelT w="50800" h="101600"/>
              <a:contourClr>
                <a:srgbClr val="000000"/>
              </a:contourClr>
            </a:sp3d>
          </c:spPr>
          <c:dPt>
            <c:idx val="0"/>
            <c:bubble3D val="0"/>
            <c:spPr>
              <a:solidFill>
                <a:srgbClr val="C00000"/>
              </a:solidFill>
              <a:ln>
                <a:noFill/>
              </a:ln>
              <a:effectLst/>
              <a:scene3d>
                <a:camera prst="orthographicFront"/>
                <a:lightRig rig="brightRoom" dir="t"/>
              </a:scene3d>
              <a:sp3d prstMaterial="flat">
                <a:bevelT w="50800" h="101600"/>
                <a:contourClr>
                  <a:srgbClr val="000000"/>
                </a:contourClr>
              </a:sp3d>
            </c:spPr>
            <c:extLst>
              <c:ext xmlns:c16="http://schemas.microsoft.com/office/drawing/2014/chart" uri="{C3380CC4-5D6E-409C-BE32-E72D297353CC}">
                <c16:uniqueId val="{00000001-1717-4534-BF77-970D62386816}"/>
              </c:ext>
            </c:extLst>
          </c:dPt>
          <c:dPt>
            <c:idx val="1"/>
            <c:bubble3D val="0"/>
            <c:spPr>
              <a:solidFill>
                <a:schemeClr val="accent1">
                  <a:lumMod val="75000"/>
                </a:schemeClr>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3-1717-4534-BF77-970D6238681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'Збирна табела трошкови'!$D$120:$D$121</c:f>
              <c:strCache>
                <c:ptCount val="2"/>
                <c:pt idx="0">
                  <c:v>Буџет РС</c:v>
                </c:pt>
                <c:pt idx="1">
                  <c:v>Донаторска подршка</c:v>
                </c:pt>
              </c:strCache>
            </c:strRef>
          </c:cat>
          <c:val>
            <c:numRef>
              <c:f>'Збирна табела трошкови'!$E$120:$E$121</c:f>
              <c:numCache>
                <c:formatCode>#,##0.00</c:formatCode>
                <c:ptCount val="2"/>
                <c:pt idx="0">
                  <c:v>962222.91200000001</c:v>
                </c:pt>
                <c:pt idx="1">
                  <c:v>93107.664999999994</c:v>
                </c:pt>
              </c:numCache>
            </c:numRef>
          </c:val>
          <c:extLst>
            <c:ext xmlns:c16="http://schemas.microsoft.com/office/drawing/2014/chart" uri="{C3380CC4-5D6E-409C-BE32-E72D297353CC}">
              <c16:uniqueId val="{00000004-1717-4534-BF77-970D6238681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sr-Cyrl-RS" sz="1200"/>
              <a:t>однос средстава из буџета и донаторске подршке</a:t>
            </a:r>
            <a:endParaRPr lang="en-GB" sz="1200"/>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C00000"/>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1-0BF2-4B77-BE11-16CA11BEC341}"/>
              </c:ext>
            </c:extLst>
          </c:dPt>
          <c:dPt>
            <c:idx val="1"/>
            <c:bubble3D val="0"/>
            <c:spPr>
              <a:solidFill>
                <a:schemeClr val="accent1">
                  <a:lumMod val="75000"/>
                </a:schemeClr>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3-0BF2-4B77-BE11-16CA11BEC34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'Збирна табела трошкови'!$D$142:$D$143</c:f>
              <c:strCache>
                <c:ptCount val="2"/>
                <c:pt idx="0">
                  <c:v>Буџет РС</c:v>
                </c:pt>
                <c:pt idx="1">
                  <c:v>Донаторска подршка</c:v>
                </c:pt>
              </c:strCache>
            </c:strRef>
          </c:cat>
          <c:val>
            <c:numRef>
              <c:f>'Збирна табела трошкови'!$E$142:$E$143</c:f>
              <c:numCache>
                <c:formatCode>#,##0.00</c:formatCode>
                <c:ptCount val="2"/>
                <c:pt idx="0">
                  <c:v>1138956.2579999999</c:v>
                </c:pt>
                <c:pt idx="1">
                  <c:v>857114.46100000013</c:v>
                </c:pt>
              </c:numCache>
            </c:numRef>
          </c:val>
          <c:extLst>
            <c:ext xmlns:c16="http://schemas.microsoft.com/office/drawing/2014/chart" uri="{C3380CC4-5D6E-409C-BE32-E72D297353CC}">
              <c16:uniqueId val="{00000004-0BF2-4B77-BE11-16CA11BEC34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sr-Cyrl-RS"/>
              <a:t>ПРОЦЕЊЕНИ ТРОШКОВИ ПО ПОСЕБНИМ ЦИЉЕВИМА</a:t>
            </a:r>
            <a:endParaRPr lang="en-GB"/>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bg1">
                  <a:lumMod val="65000"/>
                </a:schemeClr>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1-3E8C-4FC1-8B47-D0CFCAAFE277}"/>
              </c:ext>
            </c:extLst>
          </c:dPt>
          <c:dPt>
            <c:idx val="1"/>
            <c:bubble3D val="0"/>
            <c:spPr>
              <a:solidFill>
                <a:schemeClr val="bg1">
                  <a:lumMod val="75000"/>
                </a:schemeClr>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3-3E8C-4FC1-8B47-D0CFCAAFE277}"/>
              </c:ext>
            </c:extLst>
          </c:dPt>
          <c:dPt>
            <c:idx val="2"/>
            <c:bubble3D val="0"/>
            <c:spPr>
              <a:solidFill>
                <a:schemeClr val="bg1">
                  <a:lumMod val="85000"/>
                </a:schemeClr>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5-3E8C-4FC1-8B47-D0CFCAAFE277}"/>
              </c:ext>
            </c:extLst>
          </c:dPt>
          <c:dPt>
            <c:idx val="3"/>
            <c:bubble3D val="0"/>
            <c:spPr>
              <a:solidFill>
                <a:srgbClr val="60A3DA"/>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7-3E8C-4FC1-8B47-D0CFCAAFE277}"/>
              </c:ext>
            </c:extLst>
          </c:dPt>
          <c:dPt>
            <c:idx val="4"/>
            <c:bubble3D val="0"/>
            <c:spPr>
              <a:solidFill>
                <a:srgbClr val="6A89C2"/>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9-3E8C-4FC1-8B47-D0CFCAAFE277}"/>
              </c:ext>
            </c:extLst>
          </c:dPt>
          <c:dPt>
            <c:idx val="5"/>
            <c:bubble3D val="0"/>
            <c:spPr>
              <a:solidFill>
                <a:schemeClr val="accent1">
                  <a:lumMod val="75000"/>
                </a:schemeClr>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B-3E8C-4FC1-8B47-D0CFCAAFE277}"/>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3-3E8C-4FC1-8B47-D0CFCAAFE277}"/>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5-3E8C-4FC1-8B47-D0CFCAAFE2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'Збирна табела трошкови'!$U$48:$U$53</c:f>
              <c:strCache>
                <c:ptCount val="6"/>
                <c:pt idx="0">
                  <c:v>ПЦ 2.1</c:v>
                </c:pt>
                <c:pt idx="1">
                  <c:v>ПЦ 2.2</c:v>
                </c:pt>
                <c:pt idx="2">
                  <c:v>ПЦ 2.3</c:v>
                </c:pt>
                <c:pt idx="3">
                  <c:v>ПЦ 3.1</c:v>
                </c:pt>
                <c:pt idx="4">
                  <c:v>ПЦ 4.1</c:v>
                </c:pt>
                <c:pt idx="5">
                  <c:v>ОПЕРАТИВНИ ПЛАН</c:v>
                </c:pt>
              </c:strCache>
            </c:strRef>
          </c:cat>
          <c:val>
            <c:numRef>
              <c:f>'Збирна табела трошкови'!$V$48:$V$53</c:f>
              <c:numCache>
                <c:formatCode>_(* #,##0.00_);_(* \(#,##0.00\);_(* "-"??_);_(@_)</c:formatCode>
                <c:ptCount val="6"/>
                <c:pt idx="0">
                  <c:v>73871.39</c:v>
                </c:pt>
                <c:pt idx="1">
                  <c:v>343586.1</c:v>
                </c:pt>
                <c:pt idx="2">
                  <c:v>422122.65799999994</c:v>
                </c:pt>
                <c:pt idx="3">
                  <c:v>814095.71600000001</c:v>
                </c:pt>
                <c:pt idx="4">
                  <c:v>181694.80500000002</c:v>
                </c:pt>
                <c:pt idx="5">
                  <c:v>160700.04999999999</c:v>
                </c:pt>
              </c:numCache>
            </c:numRef>
          </c:val>
          <c:extLst>
            <c:ext xmlns:c16="http://schemas.microsoft.com/office/drawing/2014/chart" uri="{C3380CC4-5D6E-409C-BE32-E72D297353CC}">
              <c16:uniqueId val="{0000000C-3E8C-4FC1-8B47-D0CFCAAFE27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a:t>ИЗВОР</a:t>
            </a:r>
            <a:r>
              <a:rPr lang="sr-Cyrl-RS" baseline="0"/>
              <a:t> ФИНАНСИРАЊА ПОСЕБНИХ ЦИЉЕВА</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'Збирна табела трошкови'!$M$47</c:f>
              <c:strCache>
                <c:ptCount val="1"/>
                <c:pt idx="0">
                  <c:v>Буџет РС</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'Збирна табела трошкови'!$L$48:$L$53</c:f>
              <c:strCache>
                <c:ptCount val="6"/>
                <c:pt idx="0">
                  <c:v>ПЦ 2.1</c:v>
                </c:pt>
                <c:pt idx="1">
                  <c:v>ПЦ 2.2</c:v>
                </c:pt>
                <c:pt idx="2">
                  <c:v>ПЦ 2.3</c:v>
                </c:pt>
                <c:pt idx="3">
                  <c:v>ПЦ 3.1</c:v>
                </c:pt>
                <c:pt idx="4">
                  <c:v>ПЦ 4.1</c:v>
                </c:pt>
                <c:pt idx="5">
                  <c:v>ОПЕРАТИВНИ ПЛАН</c:v>
                </c:pt>
              </c:strCache>
            </c:strRef>
          </c:cat>
          <c:val>
            <c:numRef>
              <c:f>'Збирна табела трошкови'!$M$48:$M$53</c:f>
              <c:numCache>
                <c:formatCode>#,##0.00</c:formatCode>
                <c:ptCount val="6"/>
                <c:pt idx="0">
                  <c:v>3330.25</c:v>
                </c:pt>
                <c:pt idx="1">
                  <c:v>215004</c:v>
                </c:pt>
                <c:pt idx="2">
                  <c:v>275441.31199999998</c:v>
                </c:pt>
                <c:pt idx="3">
                  <c:v>445100.766</c:v>
                </c:pt>
                <c:pt idx="4">
                  <c:v>148684.76</c:v>
                </c:pt>
                <c:pt idx="5">
                  <c:v>51395.17</c:v>
                </c:pt>
              </c:numCache>
            </c:numRef>
          </c:val>
          <c:extLst>
            <c:ext xmlns:c16="http://schemas.microsoft.com/office/drawing/2014/chart" uri="{C3380CC4-5D6E-409C-BE32-E72D297353CC}">
              <c16:uniqueId val="{00000000-BA76-4DDB-976D-AF8D3A743EEA}"/>
            </c:ext>
          </c:extLst>
        </c:ser>
        <c:ser>
          <c:idx val="1"/>
          <c:order val="1"/>
          <c:tx>
            <c:strRef>
              <c:f>'Збирна табела трошкови'!$N$47</c:f>
              <c:strCache>
                <c:ptCount val="1"/>
                <c:pt idx="0">
                  <c:v>Донаторска подршка</c:v>
                </c:pt>
              </c:strCache>
            </c:strRef>
          </c:tx>
          <c:spPr>
            <a:solidFill>
              <a:srgbClr val="C00000"/>
            </a:solidFill>
            <a:ln>
              <a:noFill/>
            </a:ln>
            <a:effectLst>
              <a:outerShdw blurRad="57150" dist="19050" dir="5400000" algn="ctr" rotWithShape="0">
                <a:srgbClr val="000000">
                  <a:alpha val="63000"/>
                </a:srgbClr>
              </a:outerShdw>
            </a:effectLst>
          </c:spPr>
          <c:invertIfNegative val="0"/>
          <c:cat>
            <c:strRef>
              <c:f>'Збирна табела трошкови'!$L$48:$L$53</c:f>
              <c:strCache>
                <c:ptCount val="6"/>
                <c:pt idx="0">
                  <c:v>ПЦ 2.1</c:v>
                </c:pt>
                <c:pt idx="1">
                  <c:v>ПЦ 2.2</c:v>
                </c:pt>
                <c:pt idx="2">
                  <c:v>ПЦ 2.3</c:v>
                </c:pt>
                <c:pt idx="3">
                  <c:v>ПЦ 3.1</c:v>
                </c:pt>
                <c:pt idx="4">
                  <c:v>ПЦ 4.1</c:v>
                </c:pt>
                <c:pt idx="5">
                  <c:v>ОПЕРАТИВНИ ПЛАН</c:v>
                </c:pt>
              </c:strCache>
            </c:strRef>
          </c:cat>
          <c:val>
            <c:numRef>
              <c:f>'Збирна табела трошкови'!$N$48:$N$53</c:f>
              <c:numCache>
                <c:formatCode>#,##0.00</c:formatCode>
                <c:ptCount val="6"/>
                <c:pt idx="0">
                  <c:v>70541.14</c:v>
                </c:pt>
                <c:pt idx="1">
                  <c:v>128582.1</c:v>
                </c:pt>
                <c:pt idx="2">
                  <c:v>146681.34599999999</c:v>
                </c:pt>
                <c:pt idx="3">
                  <c:v>368994.95</c:v>
                </c:pt>
                <c:pt idx="4">
                  <c:v>33010.044999999998</c:v>
                </c:pt>
                <c:pt idx="5">
                  <c:v>109304.88</c:v>
                </c:pt>
              </c:numCache>
            </c:numRef>
          </c:val>
          <c:extLst>
            <c:ext xmlns:c16="http://schemas.microsoft.com/office/drawing/2014/chart" uri="{C3380CC4-5D6E-409C-BE32-E72D297353CC}">
              <c16:uniqueId val="{00000001-BA76-4DDB-976D-AF8D3A743EEA}"/>
            </c:ext>
          </c:extLst>
        </c:ser>
        <c:dLbls>
          <c:showLegendKey val="0"/>
          <c:showVal val="0"/>
          <c:showCatName val="0"/>
          <c:showSerName val="0"/>
          <c:showPercent val="0"/>
          <c:showBubbleSize val="0"/>
        </c:dLbls>
        <c:gapWidth val="100"/>
        <c:overlap val="-24"/>
        <c:axId val="530983304"/>
        <c:axId val="530987568"/>
      </c:barChart>
      <c:catAx>
        <c:axId val="530983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987568"/>
        <c:crosses val="autoZero"/>
        <c:auto val="1"/>
        <c:lblAlgn val="ctr"/>
        <c:lblOffset val="100"/>
        <c:noMultiLvlLbl val="0"/>
      </c:catAx>
      <c:valAx>
        <c:axId val="530987568"/>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98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sr-Cyrl-CS" sz="1200" b="1"/>
              <a:t>ОБЕЗБЕЂЕНА СРЕДСТВА ПО ПОСЕБНИМ ЦИЉЕВИМА И ИЗВОРИМА</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'Збирна табела трошкови'!$AF$76</c:f>
              <c:strCache>
                <c:ptCount val="1"/>
                <c:pt idx="0">
                  <c:v>Буџет РС</c:v>
                </c:pt>
              </c:strCache>
            </c:strRef>
          </c:tx>
          <c:spPr>
            <a:solidFill>
              <a:srgbClr val="C00000"/>
            </a:solidFill>
            <a:ln>
              <a:noFill/>
            </a:ln>
            <a:effectLst/>
          </c:spPr>
          <c:invertIfNegative val="0"/>
          <c:cat>
            <c:strRef>
              <c:f>'Збирна табела трошкови'!$AE$77:$AE$82</c:f>
              <c:strCache>
                <c:ptCount val="6"/>
                <c:pt idx="0">
                  <c:v>ПЦ 2.1</c:v>
                </c:pt>
                <c:pt idx="1">
                  <c:v>ПЦ 2.2</c:v>
                </c:pt>
                <c:pt idx="2">
                  <c:v>ПЦ 2.3</c:v>
                </c:pt>
                <c:pt idx="3">
                  <c:v>ПЦ 3.1</c:v>
                </c:pt>
                <c:pt idx="4">
                  <c:v>ПЦ 4.1</c:v>
                </c:pt>
                <c:pt idx="5">
                  <c:v>ОПЕРАТИВНИ ПЛАН</c:v>
                </c:pt>
              </c:strCache>
            </c:strRef>
          </c:cat>
          <c:val>
            <c:numRef>
              <c:f>'Збирна табела трошкови'!$AF$77:$AF$82</c:f>
              <c:numCache>
                <c:formatCode>#,##0.00</c:formatCode>
                <c:ptCount val="6"/>
                <c:pt idx="0">
                  <c:v>650</c:v>
                </c:pt>
                <c:pt idx="1">
                  <c:v>6000</c:v>
                </c:pt>
                <c:pt idx="2">
                  <c:v>13730.656000000001</c:v>
                </c:pt>
                <c:pt idx="3">
                  <c:v>120000</c:v>
                </c:pt>
                <c:pt idx="4">
                  <c:v>0</c:v>
                </c:pt>
                <c:pt idx="5">
                  <c:v>36352.69</c:v>
                </c:pt>
              </c:numCache>
            </c:numRef>
          </c:val>
          <c:extLst>
            <c:ext xmlns:c16="http://schemas.microsoft.com/office/drawing/2014/chart" uri="{C3380CC4-5D6E-409C-BE32-E72D297353CC}">
              <c16:uniqueId val="{00000000-5118-49B7-9415-2E7CD583E046}"/>
            </c:ext>
          </c:extLst>
        </c:ser>
        <c:ser>
          <c:idx val="1"/>
          <c:order val="1"/>
          <c:tx>
            <c:strRef>
              <c:f>'Збирна табела трошкови'!$AG$76</c:f>
              <c:strCache>
                <c:ptCount val="1"/>
                <c:pt idx="0">
                  <c:v>Донаторска подршка</c:v>
                </c:pt>
              </c:strCache>
            </c:strRef>
          </c:tx>
          <c:spPr>
            <a:solidFill>
              <a:schemeClr val="accent1">
                <a:lumMod val="75000"/>
              </a:schemeClr>
            </a:solidFill>
            <a:ln>
              <a:noFill/>
            </a:ln>
            <a:effectLst/>
          </c:spPr>
          <c:invertIfNegative val="0"/>
          <c:cat>
            <c:strRef>
              <c:f>'Збирна табела трошкови'!$AE$77:$AE$82</c:f>
              <c:strCache>
                <c:ptCount val="6"/>
                <c:pt idx="0">
                  <c:v>ПЦ 2.1</c:v>
                </c:pt>
                <c:pt idx="1">
                  <c:v>ПЦ 2.2</c:v>
                </c:pt>
                <c:pt idx="2">
                  <c:v>ПЦ 2.3</c:v>
                </c:pt>
                <c:pt idx="3">
                  <c:v>ПЦ 3.1</c:v>
                </c:pt>
                <c:pt idx="4">
                  <c:v>ПЦ 4.1</c:v>
                </c:pt>
                <c:pt idx="5">
                  <c:v>ОПЕРАТИВНИ ПЛАН</c:v>
                </c:pt>
              </c:strCache>
            </c:strRef>
          </c:cat>
          <c:val>
            <c:numRef>
              <c:f>'Збирна табела трошкови'!$AG$77:$AG$82</c:f>
              <c:numCache>
                <c:formatCode>#,##0.00</c:formatCode>
                <c:ptCount val="6"/>
                <c:pt idx="0">
                  <c:v>33452.300000000003</c:v>
                </c:pt>
                <c:pt idx="1">
                  <c:v>82208.100000000006</c:v>
                </c:pt>
                <c:pt idx="2">
                  <c:v>146681.34599999999</c:v>
                </c:pt>
                <c:pt idx="3">
                  <c:v>368994.95</c:v>
                </c:pt>
                <c:pt idx="4">
                  <c:v>23365.22</c:v>
                </c:pt>
                <c:pt idx="5">
                  <c:v>109304.88</c:v>
                </c:pt>
              </c:numCache>
            </c:numRef>
          </c:val>
          <c:extLst>
            <c:ext xmlns:c16="http://schemas.microsoft.com/office/drawing/2014/chart" uri="{C3380CC4-5D6E-409C-BE32-E72D297353CC}">
              <c16:uniqueId val="{00000001-5118-49B7-9415-2E7CD583E046}"/>
            </c:ext>
          </c:extLst>
        </c:ser>
        <c:dLbls>
          <c:showLegendKey val="0"/>
          <c:showVal val="0"/>
          <c:showCatName val="0"/>
          <c:showSerName val="0"/>
          <c:showPercent val="0"/>
          <c:showBubbleSize val="0"/>
        </c:dLbls>
        <c:gapWidth val="219"/>
        <c:overlap val="-27"/>
        <c:axId val="388195264"/>
        <c:axId val="388199856"/>
      </c:barChart>
      <c:catAx>
        <c:axId val="38819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199856"/>
        <c:crosses val="autoZero"/>
        <c:auto val="1"/>
        <c:lblAlgn val="ctr"/>
        <c:lblOffset val="100"/>
        <c:noMultiLvlLbl val="0"/>
      </c:catAx>
      <c:valAx>
        <c:axId val="388199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19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sr-Cyrl-CS" sz="1200" b="1"/>
              <a:t>НЕОБЕЗБЕЂЕНА СРЕДСТВА ПО ПОСЕБНИМ ЦИЉЕВИМА И ИЗВОРИМА</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'Збирна табела трошкови'!$V$76</c:f>
              <c:strCache>
                <c:ptCount val="1"/>
                <c:pt idx="0">
                  <c:v>Буџет РС</c:v>
                </c:pt>
              </c:strCache>
            </c:strRef>
          </c:tx>
          <c:spPr>
            <a:solidFill>
              <a:schemeClr val="accent1"/>
            </a:solidFill>
            <a:ln>
              <a:noFill/>
            </a:ln>
            <a:effectLst/>
          </c:spPr>
          <c:invertIfNegative val="0"/>
          <c:cat>
            <c:strRef>
              <c:f>'Збирна табела трошкови'!$U$77:$U$82</c:f>
              <c:strCache>
                <c:ptCount val="6"/>
                <c:pt idx="0">
                  <c:v>ПЦ 2.1</c:v>
                </c:pt>
                <c:pt idx="1">
                  <c:v>ПЦ 2.2</c:v>
                </c:pt>
                <c:pt idx="2">
                  <c:v>ПЦ 2.3</c:v>
                </c:pt>
                <c:pt idx="3">
                  <c:v>ПЦ 3.1</c:v>
                </c:pt>
                <c:pt idx="4">
                  <c:v>ПЦ 4.1</c:v>
                </c:pt>
                <c:pt idx="5">
                  <c:v>ОПЕРАТИВНИ ПЛАН</c:v>
                </c:pt>
              </c:strCache>
            </c:strRef>
          </c:cat>
          <c:val>
            <c:numRef>
              <c:f>'Збирна табела трошкови'!$V$77:$V$82</c:f>
              <c:numCache>
                <c:formatCode>#,##0.00</c:formatCode>
                <c:ptCount val="6"/>
                <c:pt idx="0">
                  <c:v>2680.25</c:v>
                </c:pt>
                <c:pt idx="1">
                  <c:v>209004</c:v>
                </c:pt>
                <c:pt idx="2">
                  <c:v>261710.65599999999</c:v>
                </c:pt>
                <c:pt idx="3">
                  <c:v>325100.766</c:v>
                </c:pt>
                <c:pt idx="4">
                  <c:v>148684.76</c:v>
                </c:pt>
                <c:pt idx="5">
                  <c:v>15042.48</c:v>
                </c:pt>
              </c:numCache>
            </c:numRef>
          </c:val>
          <c:extLst>
            <c:ext xmlns:c16="http://schemas.microsoft.com/office/drawing/2014/chart" uri="{C3380CC4-5D6E-409C-BE32-E72D297353CC}">
              <c16:uniqueId val="{00000000-6B93-46F9-9137-1272B2E01FC6}"/>
            </c:ext>
          </c:extLst>
        </c:ser>
        <c:ser>
          <c:idx val="1"/>
          <c:order val="1"/>
          <c:tx>
            <c:strRef>
              <c:f>'Збирна табела трошкови'!$W$76</c:f>
              <c:strCache>
                <c:ptCount val="1"/>
                <c:pt idx="0">
                  <c:v>Донаторска подршка</c:v>
                </c:pt>
              </c:strCache>
            </c:strRef>
          </c:tx>
          <c:spPr>
            <a:solidFill>
              <a:srgbClr val="C00000"/>
            </a:solidFill>
            <a:ln>
              <a:noFill/>
            </a:ln>
            <a:effectLst/>
          </c:spPr>
          <c:invertIfNegative val="0"/>
          <c:cat>
            <c:strRef>
              <c:f>'Збирна табела трошкови'!$U$77:$U$82</c:f>
              <c:strCache>
                <c:ptCount val="6"/>
                <c:pt idx="0">
                  <c:v>ПЦ 2.1</c:v>
                </c:pt>
                <c:pt idx="1">
                  <c:v>ПЦ 2.2</c:v>
                </c:pt>
                <c:pt idx="2">
                  <c:v>ПЦ 2.3</c:v>
                </c:pt>
                <c:pt idx="3">
                  <c:v>ПЦ 3.1</c:v>
                </c:pt>
                <c:pt idx="4">
                  <c:v>ПЦ 4.1</c:v>
                </c:pt>
                <c:pt idx="5">
                  <c:v>ОПЕРАТИВНИ ПЛАН</c:v>
                </c:pt>
              </c:strCache>
            </c:strRef>
          </c:cat>
          <c:val>
            <c:numRef>
              <c:f>'Збирна табела трошкови'!$W$77:$W$82</c:f>
              <c:numCache>
                <c:formatCode>#,##0.00</c:formatCode>
                <c:ptCount val="6"/>
                <c:pt idx="0">
                  <c:v>37088.839999999997</c:v>
                </c:pt>
                <c:pt idx="1">
                  <c:v>46374</c:v>
                </c:pt>
                <c:pt idx="2">
                  <c:v>0</c:v>
                </c:pt>
                <c:pt idx="3">
                  <c:v>0</c:v>
                </c:pt>
                <c:pt idx="4">
                  <c:v>9644.8250000000007</c:v>
                </c:pt>
                <c:pt idx="5">
                  <c:v>0</c:v>
                </c:pt>
              </c:numCache>
            </c:numRef>
          </c:val>
          <c:extLst>
            <c:ext xmlns:c16="http://schemas.microsoft.com/office/drawing/2014/chart" uri="{C3380CC4-5D6E-409C-BE32-E72D297353CC}">
              <c16:uniqueId val="{00000001-6B93-46F9-9137-1272B2E01FC6}"/>
            </c:ext>
          </c:extLst>
        </c:ser>
        <c:dLbls>
          <c:showLegendKey val="0"/>
          <c:showVal val="0"/>
          <c:showCatName val="0"/>
          <c:showSerName val="0"/>
          <c:showPercent val="0"/>
          <c:showBubbleSize val="0"/>
        </c:dLbls>
        <c:gapWidth val="219"/>
        <c:overlap val="-27"/>
        <c:axId val="387705992"/>
        <c:axId val="387708288"/>
      </c:barChart>
      <c:catAx>
        <c:axId val="38770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708288"/>
        <c:crosses val="autoZero"/>
        <c:auto val="1"/>
        <c:lblAlgn val="ctr"/>
        <c:lblOffset val="100"/>
        <c:noMultiLvlLbl val="0"/>
      </c:catAx>
      <c:valAx>
        <c:axId val="387708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705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3490190899383"/>
          <c:y val="3.3653846153846152E-2"/>
          <c:w val="0.84186612079503564"/>
          <c:h val="0.75885531864696687"/>
        </c:manualLayout>
      </c:layout>
      <c:barChart>
        <c:barDir val="col"/>
        <c:grouping val="stacked"/>
        <c:varyColors val="0"/>
        <c:ser>
          <c:idx val="0"/>
          <c:order val="0"/>
          <c:tx>
            <c:strRef>
              <c:f>Sheet1!$B$1</c:f>
              <c:strCache>
                <c:ptCount val="1"/>
                <c:pt idx="0">
                  <c:v>Веома лоше</c:v>
                </c:pt>
              </c:strCache>
            </c:strRef>
          </c:tx>
          <c:spPr>
            <a:solidFill>
              <a:srgbClr val="A4586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Sheet1!$B$2:$B$6</c:f>
              <c:numCache>
                <c:formatCode>General</c:formatCode>
                <c:ptCount val="5"/>
                <c:pt idx="0">
                  <c:v>12</c:v>
                </c:pt>
                <c:pt idx="1">
                  <c:v>12</c:v>
                </c:pt>
                <c:pt idx="2">
                  <c:v>17</c:v>
                </c:pt>
                <c:pt idx="3">
                  <c:v>20</c:v>
                </c:pt>
                <c:pt idx="4">
                  <c:v>23</c:v>
                </c:pt>
              </c:numCache>
            </c:numRef>
          </c:val>
          <c:extLst>
            <c:ext xmlns:c16="http://schemas.microsoft.com/office/drawing/2014/chart" uri="{C3380CC4-5D6E-409C-BE32-E72D297353CC}">
              <c16:uniqueId val="{00000000-009E-48DB-9686-4C0602993460}"/>
            </c:ext>
          </c:extLst>
        </c:ser>
        <c:ser>
          <c:idx val="1"/>
          <c:order val="1"/>
          <c:tx>
            <c:strRef>
              <c:f>Sheet1!$C$1</c:f>
              <c:strCache>
                <c:ptCount val="1"/>
                <c:pt idx="0">
                  <c:v>Лоше</c:v>
                </c:pt>
              </c:strCache>
            </c:strRef>
          </c:tx>
          <c:spPr>
            <a:solidFill>
              <a:srgbClr val="5C4A7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Sheet1!$C$2:$C$6</c:f>
              <c:numCache>
                <c:formatCode>General</c:formatCode>
                <c:ptCount val="5"/>
                <c:pt idx="0">
                  <c:v>29</c:v>
                </c:pt>
                <c:pt idx="1">
                  <c:v>31</c:v>
                </c:pt>
                <c:pt idx="2">
                  <c:v>36</c:v>
                </c:pt>
                <c:pt idx="3">
                  <c:v>42</c:v>
                </c:pt>
                <c:pt idx="4">
                  <c:v>43</c:v>
                </c:pt>
              </c:numCache>
            </c:numRef>
          </c:val>
          <c:extLst>
            <c:ext xmlns:c16="http://schemas.microsoft.com/office/drawing/2014/chart" uri="{C3380CC4-5D6E-409C-BE32-E72D297353CC}">
              <c16:uniqueId val="{00000001-009E-48DB-9686-4C0602993460}"/>
            </c:ext>
          </c:extLst>
        </c:ser>
        <c:ser>
          <c:idx val="2"/>
          <c:order val="2"/>
          <c:tx>
            <c:strRef>
              <c:f>Sheet1!$D$1</c:f>
              <c:strCache>
                <c:ptCount val="1"/>
                <c:pt idx="0">
                  <c:v>Добро</c:v>
                </c:pt>
              </c:strCache>
            </c:strRef>
          </c:tx>
          <c:spPr>
            <a:solidFill>
              <a:srgbClr val="A9B5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Sheet1!$D$2:$D$6</c:f>
              <c:numCache>
                <c:formatCode>General</c:formatCode>
                <c:ptCount val="5"/>
                <c:pt idx="0">
                  <c:v>45</c:v>
                </c:pt>
                <c:pt idx="1">
                  <c:v>38</c:v>
                </c:pt>
                <c:pt idx="2">
                  <c:v>34</c:v>
                </c:pt>
                <c:pt idx="3">
                  <c:v>28</c:v>
                </c:pt>
                <c:pt idx="4">
                  <c:v>24</c:v>
                </c:pt>
              </c:numCache>
            </c:numRef>
          </c:val>
          <c:extLst>
            <c:ext xmlns:c16="http://schemas.microsoft.com/office/drawing/2014/chart" uri="{C3380CC4-5D6E-409C-BE32-E72D297353CC}">
              <c16:uniqueId val="{00000002-009E-48DB-9686-4C0602993460}"/>
            </c:ext>
          </c:extLst>
        </c:ser>
        <c:ser>
          <c:idx val="3"/>
          <c:order val="3"/>
          <c:tx>
            <c:strRef>
              <c:f>Sheet1!$E$1</c:f>
              <c:strCache>
                <c:ptCount val="1"/>
                <c:pt idx="0">
                  <c:v>Веома добро</c:v>
                </c:pt>
              </c:strCache>
            </c:strRef>
          </c:tx>
          <c:spPr>
            <a:solidFill>
              <a:srgbClr val="F2B05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Sheet1!$E$2:$E$6</c:f>
              <c:numCache>
                <c:formatCode>General</c:formatCode>
                <c:ptCount val="5"/>
                <c:pt idx="0">
                  <c:v>6</c:v>
                </c:pt>
                <c:pt idx="1">
                  <c:v>13</c:v>
                </c:pt>
                <c:pt idx="2">
                  <c:v>8</c:v>
                </c:pt>
                <c:pt idx="3">
                  <c:v>5</c:v>
                </c:pt>
                <c:pt idx="4">
                  <c:v>5</c:v>
                </c:pt>
              </c:numCache>
            </c:numRef>
          </c:val>
          <c:extLst>
            <c:ext xmlns:c16="http://schemas.microsoft.com/office/drawing/2014/chart" uri="{C3380CC4-5D6E-409C-BE32-E72D297353CC}">
              <c16:uniqueId val="{00000003-009E-48DB-9686-4C0602993460}"/>
            </c:ext>
          </c:extLst>
        </c:ser>
        <c:ser>
          <c:idx val="4"/>
          <c:order val="4"/>
          <c:tx>
            <c:strRef>
              <c:f>Sheet1!$F$1</c:f>
              <c:strCache>
                <c:ptCount val="1"/>
                <c:pt idx="0">
                  <c:v>Одлично</c:v>
                </c:pt>
              </c:strCache>
            </c:strRef>
          </c:tx>
          <c:spPr>
            <a:solidFill>
              <a:srgbClr val="F5EBC2"/>
            </a:solidFill>
            <a:ln>
              <a:noFill/>
            </a:ln>
            <a:effectLst/>
          </c:spPr>
          <c:invertIfNegative val="0"/>
          <c:dLbls>
            <c:dLbl>
              <c:idx val="0"/>
              <c:layout>
                <c:manualLayout>
                  <c:x val="9.5435684647302871E-2"/>
                  <c:y val="-4.3269230769230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9E-48DB-9686-4C0602993460}"/>
                </c:ext>
              </c:extLst>
            </c:dLbl>
            <c:dLbl>
              <c:idx val="1"/>
              <c:delete val="1"/>
              <c:extLst>
                <c:ext xmlns:c15="http://schemas.microsoft.com/office/drawing/2012/chart" uri="{CE6537A1-D6FC-4f65-9D91-7224C49458BB}"/>
                <c:ext xmlns:c16="http://schemas.microsoft.com/office/drawing/2014/chart" uri="{C3380CC4-5D6E-409C-BE32-E72D297353CC}">
                  <c16:uniqueId val="{00000005-009E-48DB-9686-4C0602993460}"/>
                </c:ext>
              </c:extLst>
            </c:dLbl>
            <c:dLbl>
              <c:idx val="2"/>
              <c:delete val="1"/>
              <c:extLst>
                <c:ext xmlns:c15="http://schemas.microsoft.com/office/drawing/2012/chart" uri="{CE6537A1-D6FC-4f65-9D91-7224C49458BB}"/>
                <c:ext xmlns:c16="http://schemas.microsoft.com/office/drawing/2014/chart" uri="{C3380CC4-5D6E-409C-BE32-E72D297353CC}">
                  <c16:uniqueId val="{00000006-009E-48DB-9686-4C0602993460}"/>
                </c:ext>
              </c:extLst>
            </c:dLbl>
            <c:dLbl>
              <c:idx val="3"/>
              <c:layout>
                <c:manualLayout>
                  <c:x val="9.14620838370305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9E-48DB-9686-4C0602993460}"/>
                </c:ext>
              </c:extLst>
            </c:dLbl>
            <c:dLbl>
              <c:idx val="4"/>
              <c:delete val="1"/>
              <c:extLst>
                <c:ext xmlns:c15="http://schemas.microsoft.com/office/drawing/2012/chart" uri="{CE6537A1-D6FC-4f65-9D91-7224C49458BB}"/>
                <c:ext xmlns:c16="http://schemas.microsoft.com/office/drawing/2014/chart" uri="{C3380CC4-5D6E-409C-BE32-E72D297353CC}">
                  <c16:uniqueId val="{00000008-009E-48DB-9686-4C06029934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Sheet1!$F$2:$F$6</c:f>
              <c:numCache>
                <c:formatCode>General</c:formatCode>
                <c:ptCount val="5"/>
                <c:pt idx="0">
                  <c:v>3</c:v>
                </c:pt>
                <c:pt idx="1">
                  <c:v>3</c:v>
                </c:pt>
                <c:pt idx="2">
                  <c:v>1</c:v>
                </c:pt>
                <c:pt idx="3">
                  <c:v>1</c:v>
                </c:pt>
                <c:pt idx="4">
                  <c:v>0</c:v>
                </c:pt>
              </c:numCache>
            </c:numRef>
          </c:val>
          <c:extLst>
            <c:ext xmlns:c16="http://schemas.microsoft.com/office/drawing/2014/chart" uri="{C3380CC4-5D6E-409C-BE32-E72D297353CC}">
              <c16:uniqueId val="{00000009-009E-48DB-9686-4C0602993460}"/>
            </c:ext>
          </c:extLst>
        </c:ser>
        <c:ser>
          <c:idx val="5"/>
          <c:order val="5"/>
          <c:tx>
            <c:strRef>
              <c:f>Sheet1!$G$1</c:f>
              <c:strCache>
                <c:ptCount val="1"/>
                <c:pt idx="0">
                  <c:v>Не зна</c:v>
                </c:pt>
              </c:strCache>
            </c:strRef>
          </c:tx>
          <c:spPr>
            <a:solidFill>
              <a:srgbClr val="A6A6A6"/>
            </a:solidFill>
            <a:ln>
              <a:noFill/>
            </a:ln>
            <a:effectLst/>
          </c:spPr>
          <c:invertIfNegative val="0"/>
          <c:dLbls>
            <c:dLbl>
              <c:idx val="1"/>
              <c:layout>
                <c:manualLayout>
                  <c:x val="0"/>
                  <c:y val="1.2886597938144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9E-48DB-9686-4C0602993460}"/>
                </c:ext>
              </c:extLst>
            </c:dLbl>
            <c:dLbl>
              <c:idx val="3"/>
              <c:layout>
                <c:manualLayout>
                  <c:x val="-4.1493775933609195E-3"/>
                  <c:y val="-4.8076923076923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9E-48DB-9686-4C0602993460}"/>
                </c:ext>
              </c:extLst>
            </c:dLbl>
            <c:dLbl>
              <c:idx val="4"/>
              <c:layout>
                <c:manualLayout>
                  <c:x val="0"/>
                  <c:y val="-4.8076923076923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09E-48DB-9686-4C06029934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2018</c:v>
                </c:pt>
                <c:pt idx="2">
                  <c:v>2017</c:v>
                </c:pt>
                <c:pt idx="3">
                  <c:v>2016</c:v>
                </c:pt>
                <c:pt idx="4">
                  <c:v>2015</c:v>
                </c:pt>
              </c:numCache>
            </c:numRef>
          </c:cat>
          <c:val>
            <c:numRef>
              <c:f>Sheet1!$G$2:$G$6</c:f>
              <c:numCache>
                <c:formatCode>General</c:formatCode>
                <c:ptCount val="5"/>
                <c:pt idx="0">
                  <c:v>5</c:v>
                </c:pt>
                <c:pt idx="1">
                  <c:v>3</c:v>
                </c:pt>
                <c:pt idx="2">
                  <c:v>4</c:v>
                </c:pt>
                <c:pt idx="3">
                  <c:v>4</c:v>
                </c:pt>
                <c:pt idx="4">
                  <c:v>5</c:v>
                </c:pt>
              </c:numCache>
            </c:numRef>
          </c:val>
          <c:extLst>
            <c:ext xmlns:c16="http://schemas.microsoft.com/office/drawing/2014/chart" uri="{C3380CC4-5D6E-409C-BE32-E72D297353CC}">
              <c16:uniqueId val="{0000000D-009E-48DB-9686-4C0602993460}"/>
            </c:ext>
          </c:extLst>
        </c:ser>
        <c:dLbls>
          <c:showLegendKey val="0"/>
          <c:showVal val="1"/>
          <c:showCatName val="0"/>
          <c:showSerName val="0"/>
          <c:showPercent val="0"/>
          <c:showBubbleSize val="0"/>
        </c:dLbls>
        <c:gapWidth val="150"/>
        <c:overlap val="100"/>
        <c:axId val="878214568"/>
        <c:axId val="878209080"/>
      </c:barChart>
      <c:catAx>
        <c:axId val="87821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8209080"/>
        <c:crosses val="autoZero"/>
        <c:auto val="1"/>
        <c:lblAlgn val="ctr"/>
        <c:lblOffset val="100"/>
        <c:noMultiLvlLbl val="0"/>
      </c:catAx>
      <c:valAx>
        <c:axId val="878209080"/>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8214568"/>
        <c:crosses val="autoZero"/>
        <c:crossBetween val="between"/>
        <c:majorUnit val="10"/>
        <c:minorUnit val="2"/>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3321632209766882"/>
          <c:y val="0.87049448818897635"/>
          <c:w val="0.76640807830055724"/>
          <c:h val="9.70830726865320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D4BD8E-91B4-4DC1-8325-39B810C4B3E5}" type="doc">
      <dgm:prSet loTypeId="urn:microsoft.com/office/officeart/2005/8/layout/pyramid2" loCatId="pyramid" qsTypeId="urn:microsoft.com/office/officeart/2005/8/quickstyle/simple1" qsCatId="simple" csTypeId="urn:microsoft.com/office/officeart/2005/8/colors/accent3_1" csCatId="accent3" phldr="1"/>
      <dgm:spPr/>
    </dgm:pt>
    <dgm:pt modelId="{279EC901-4EF1-4808-9310-45EB707887DE}">
      <dgm:prSet phldrT="[Text]" custT="1"/>
      <dgm:spPr>
        <a:xfrm>
          <a:off x="464353" y="183557"/>
          <a:ext cx="4220124" cy="326536"/>
        </a:xfrm>
        <a:solidFill>
          <a:srgbClr val="A5A5A5">
            <a:alpha val="90000"/>
            <a:tint val="40000"/>
            <a:hueOff val="0"/>
            <a:satOff val="0"/>
            <a:lumOff val="0"/>
            <a:alphaOff val="0"/>
          </a:srgbClr>
        </a:solidFill>
        <a:ln w="12700" cap="flat" cmpd="sng" algn="ctr">
          <a:noFill/>
          <a:prstDash val="solid"/>
          <a:miter lim="800000"/>
        </a:ln>
        <a:effectLst/>
      </dgm:spPr>
      <dgm:t>
        <a:bodyPr/>
        <a:lstStyle/>
        <a:p>
          <a:pPr algn="ctr">
            <a:buNone/>
          </a:pPr>
          <a:r>
            <a:rPr lang="sr-Cyrl-R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Политички ниво координације и одлучивања </a:t>
          </a:r>
          <a:endPar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489FE8C-90E2-4EA0-A200-4FB26FE2DC71}" type="parTrans" cxnId="{A0514DFC-8CEB-4E0E-98A1-D5D7315384FC}">
      <dgm:prSet/>
      <dgm:spPr/>
      <dgm:t>
        <a:bodyPr/>
        <a:lstStyle/>
        <a:p>
          <a:pPr algn="ctr"/>
          <a:endParaRPr lang="en-US"/>
        </a:p>
      </dgm:t>
    </dgm:pt>
    <dgm:pt modelId="{AC0C0CDD-AF26-447E-AF32-4CD2FF4EBD03}" type="sibTrans" cxnId="{A0514DFC-8CEB-4E0E-98A1-D5D7315384FC}">
      <dgm:prSet/>
      <dgm:spPr/>
      <dgm:t>
        <a:bodyPr/>
        <a:lstStyle/>
        <a:p>
          <a:pPr algn="ctr"/>
          <a:endParaRPr lang="en-US"/>
        </a:p>
      </dgm:t>
    </dgm:pt>
    <dgm:pt modelId="{E95BA4E4-5166-437B-845F-14D7E20BB7B7}">
      <dgm:prSet phldrT="[Text]" custT="1"/>
      <dgm:spPr>
        <a:xfrm>
          <a:off x="501286" y="2400458"/>
          <a:ext cx="4179606" cy="399891"/>
        </a:xfrm>
        <a:solidFill>
          <a:srgbClr val="A5A5A5">
            <a:alpha val="90000"/>
            <a:tint val="40000"/>
            <a:hueOff val="0"/>
            <a:satOff val="0"/>
            <a:lumOff val="0"/>
            <a:alphaOff val="0"/>
          </a:srgbClr>
        </a:solidFill>
        <a:ln w="12700" cap="flat" cmpd="sng" algn="ctr">
          <a:noFill/>
          <a:prstDash val="solid"/>
          <a:miter lim="800000"/>
        </a:ln>
        <a:effectLst/>
      </dgm:spPr>
      <dgm:t>
        <a:bodyPr/>
        <a:lstStyle/>
        <a:p>
          <a:pPr algn="ctr">
            <a:buNone/>
          </a:pPr>
          <a:r>
            <a:rPr lang="sr-Cyrl-R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Оперативни ниво координације - орган државне управе предлагач документа јавне политике</a:t>
          </a:r>
          <a:endPar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0B2399D-3111-420F-B321-CE66D97CDC01}" type="parTrans" cxnId="{77A72BB3-52C1-4A5E-82DE-B8BDD18BB23D}">
      <dgm:prSet/>
      <dgm:spPr/>
      <dgm:t>
        <a:bodyPr/>
        <a:lstStyle/>
        <a:p>
          <a:pPr algn="ctr"/>
          <a:endParaRPr lang="en-US"/>
        </a:p>
      </dgm:t>
    </dgm:pt>
    <dgm:pt modelId="{3DC0DE10-8EC2-4AC1-8B46-2B236F896781}" type="sibTrans" cxnId="{77A72BB3-52C1-4A5E-82DE-B8BDD18BB23D}">
      <dgm:prSet/>
      <dgm:spPr/>
      <dgm:t>
        <a:bodyPr/>
        <a:lstStyle/>
        <a:p>
          <a:pPr algn="ctr"/>
          <a:endParaRPr lang="en-US"/>
        </a:p>
      </dgm:t>
    </dgm:pt>
    <dgm:pt modelId="{2061FB5C-94E3-4850-B5D6-6B4BB5D361B0}">
      <dgm:prSet phldrT="[Text]" custT="1">
        <dgm:style>
          <a:lnRef idx="2">
            <a:schemeClr val="accent6"/>
          </a:lnRef>
          <a:fillRef idx="1">
            <a:schemeClr val="lt1"/>
          </a:fillRef>
          <a:effectRef idx="0">
            <a:schemeClr val="accent6"/>
          </a:effectRef>
          <a:fontRef idx="minor">
            <a:schemeClr val="dk1"/>
          </a:fontRef>
        </dgm:style>
      </dgm:prSet>
      <dgm:spPr>
        <a:xfrm>
          <a:off x="1251502" y="1399088"/>
          <a:ext cx="2677281" cy="296004"/>
        </a:xfrm>
        <a:solidFill>
          <a:sysClr val="window" lastClr="FFFFFF"/>
        </a:solidFill>
        <a:ln w="12700" cap="flat" cmpd="sng" algn="ctr">
          <a:noFill/>
          <a:prstDash val="solid"/>
          <a:miter lim="800000"/>
        </a:ln>
        <a:effectLst/>
      </dgm:spPr>
      <dgm:t>
        <a:bodyPr/>
        <a:lstStyle/>
        <a:p>
          <a:pPr algn="ctr">
            <a:buNone/>
          </a:pPr>
          <a:r>
            <a:rPr lang="sr-Cyrl-R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Јединствени информациони систем (ЈИС)</a:t>
          </a:r>
          <a:endPar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A400F3D-A015-426D-906D-5A33E6B25641}" type="parTrans" cxnId="{DFB1B62F-90F2-4B48-AEC7-30CF12789886}">
      <dgm:prSet/>
      <dgm:spPr/>
      <dgm:t>
        <a:bodyPr/>
        <a:lstStyle/>
        <a:p>
          <a:pPr algn="ctr"/>
          <a:endParaRPr lang="en-US"/>
        </a:p>
      </dgm:t>
    </dgm:pt>
    <dgm:pt modelId="{5997EC4B-E75C-42E3-91F0-1F88875748D0}" type="sibTrans" cxnId="{DFB1B62F-90F2-4B48-AEC7-30CF12789886}">
      <dgm:prSet/>
      <dgm:spPr/>
      <dgm:t>
        <a:bodyPr/>
        <a:lstStyle/>
        <a:p>
          <a:pPr algn="ctr"/>
          <a:endParaRPr lang="en-US"/>
        </a:p>
      </dgm:t>
    </dgm:pt>
    <dgm:pt modelId="{75792532-4B8A-408B-88D1-D89DFF8014AB}">
      <dgm:prSet phldrT="[Text]" custT="1"/>
      <dgm:spPr>
        <a:xfrm>
          <a:off x="472544" y="615807"/>
          <a:ext cx="4193403" cy="353947"/>
        </a:xfrm>
        <a:solidFill>
          <a:srgbClr val="A5A5A5">
            <a:alpha val="90000"/>
            <a:tint val="40000"/>
            <a:hueOff val="0"/>
            <a:satOff val="0"/>
            <a:lumOff val="0"/>
            <a:alphaOff val="0"/>
          </a:srgbClr>
        </a:solidFill>
        <a:ln w="12700" cap="flat" cmpd="sng" algn="ctr">
          <a:noFill/>
          <a:prstDash val="solid"/>
          <a:miter lim="800000"/>
        </a:ln>
        <a:effectLst/>
      </dgm:spPr>
      <dgm:t>
        <a:bodyPr/>
        <a:lstStyle/>
        <a:p>
          <a:pPr algn="ctr">
            <a:buNone/>
          </a:pPr>
          <a:r>
            <a:rPr lang="sr-Cyrl-R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Административни ниво координације и одлучивања</a:t>
          </a:r>
        </a:p>
      </dgm:t>
    </dgm:pt>
    <dgm:pt modelId="{600C41E1-43C4-412F-8ECB-625001C2361D}" type="sibTrans" cxnId="{8D3EBC42-8721-4086-843A-4147E6005DCE}">
      <dgm:prSet/>
      <dgm:spPr/>
      <dgm:t>
        <a:bodyPr/>
        <a:lstStyle/>
        <a:p>
          <a:pPr algn="ctr"/>
          <a:endParaRPr lang="en-US"/>
        </a:p>
      </dgm:t>
    </dgm:pt>
    <dgm:pt modelId="{4DD8F8CD-F03D-4DCE-B0B8-E242B2C1D3F3}" type="parTrans" cxnId="{8D3EBC42-8721-4086-843A-4147E6005DCE}">
      <dgm:prSet/>
      <dgm:spPr/>
      <dgm:t>
        <a:bodyPr/>
        <a:lstStyle/>
        <a:p>
          <a:pPr algn="ctr"/>
          <a:endParaRPr lang="en-US"/>
        </a:p>
      </dgm:t>
    </dgm:pt>
    <dgm:pt modelId="{E56CFBD8-06EB-4675-ACF7-868A259AB7B4}" type="pres">
      <dgm:prSet presAssocID="{B9D4BD8E-91B4-4DC1-8325-39B810C4B3E5}" presName="compositeShape" presStyleCnt="0">
        <dgm:presLayoutVars>
          <dgm:dir/>
          <dgm:resizeHandles/>
        </dgm:presLayoutVars>
      </dgm:prSet>
      <dgm:spPr/>
    </dgm:pt>
    <dgm:pt modelId="{2AD7E68A-927B-46CD-A480-CC86676C0FBE}" type="pres">
      <dgm:prSet presAssocID="{B9D4BD8E-91B4-4DC1-8325-39B810C4B3E5}" presName="pyramid" presStyleLbl="node1" presStyleIdx="0" presStyleCnt="1" custScaleX="181833" custLinFactNeighborX="7821"/>
      <dgm:spPr>
        <a:xfrm>
          <a:off x="63000" y="0"/>
          <a:ext cx="5091960" cy="2800349"/>
        </a:xfrm>
        <a:prstGeom prst="triangle">
          <a:avLst/>
        </a:prstGeom>
        <a:solidFill>
          <a:schemeClr val="accent1">
            <a:lumMod val="50000"/>
          </a:schemeClr>
        </a:solidFill>
        <a:ln w="12700" cap="flat" cmpd="sng" algn="ctr">
          <a:noFill/>
          <a:prstDash val="solid"/>
          <a:miter lim="800000"/>
        </a:ln>
        <a:effectLst/>
      </dgm:spPr>
    </dgm:pt>
    <dgm:pt modelId="{DF3D7B4A-469D-47F9-A032-EC4F562F0068}" type="pres">
      <dgm:prSet presAssocID="{B9D4BD8E-91B4-4DC1-8325-39B810C4B3E5}" presName="theList" presStyleCnt="0"/>
      <dgm:spPr/>
    </dgm:pt>
    <dgm:pt modelId="{8C4BAEDF-A4A4-4B79-B5ED-7CFA528AB11F}" type="pres">
      <dgm:prSet presAssocID="{279EC901-4EF1-4808-9310-45EB707887DE}" presName="aNode" presStyleLbl="fgAcc1" presStyleIdx="0" presStyleCnt="4" custScaleX="223281" custScaleY="18941" custLinFactNeighborX="-37253" custLinFactNeighborY="-45215">
        <dgm:presLayoutVars>
          <dgm:bulletEnabled val="1"/>
        </dgm:presLayoutVars>
      </dgm:prSet>
      <dgm:spPr>
        <a:prstGeom prst="roundRect">
          <a:avLst/>
        </a:prstGeom>
      </dgm:spPr>
      <dgm:t>
        <a:bodyPr/>
        <a:lstStyle/>
        <a:p>
          <a:endParaRPr lang="en-US"/>
        </a:p>
      </dgm:t>
    </dgm:pt>
    <dgm:pt modelId="{B60EC49C-ACDC-471E-9103-C0EF36FA7D8B}" type="pres">
      <dgm:prSet presAssocID="{279EC901-4EF1-4808-9310-45EB707887DE}" presName="aSpace" presStyleCnt="0"/>
      <dgm:spPr/>
    </dgm:pt>
    <dgm:pt modelId="{C79273A9-9742-4112-8AE9-A756862C8676}" type="pres">
      <dgm:prSet presAssocID="{75792532-4B8A-408B-88D1-D89DFF8014AB}" presName="aNode" presStyleLbl="fgAcc1" presStyleIdx="1" presStyleCnt="4" custScaleX="230378" custScaleY="20531" custLinFactNeighborX="-36612" custLinFactNeighborY="-96159">
        <dgm:presLayoutVars>
          <dgm:bulletEnabled val="1"/>
        </dgm:presLayoutVars>
      </dgm:prSet>
      <dgm:spPr>
        <a:prstGeom prst="roundRect">
          <a:avLst/>
        </a:prstGeom>
      </dgm:spPr>
      <dgm:t>
        <a:bodyPr/>
        <a:lstStyle/>
        <a:p>
          <a:endParaRPr lang="en-US"/>
        </a:p>
      </dgm:t>
    </dgm:pt>
    <dgm:pt modelId="{925904F1-B212-4FA2-A65F-7B56D274E44A}" type="pres">
      <dgm:prSet presAssocID="{75792532-4B8A-408B-88D1-D89DFF8014AB}" presName="aSpace" presStyleCnt="0"/>
      <dgm:spPr/>
    </dgm:pt>
    <dgm:pt modelId="{79B366FA-E10B-4C36-B9BB-FFC6CABDFB23}" type="pres">
      <dgm:prSet presAssocID="{E95BA4E4-5166-437B-845F-14D7E20BB7B7}" presName="aNode" presStyleLbl="fgAcc1" presStyleIdx="2" presStyleCnt="4" custScaleX="264542" custScaleY="23196" custLinFactY="75764" custLinFactNeighborX="-48366" custLinFactNeighborY="100000">
        <dgm:presLayoutVars>
          <dgm:bulletEnabled val="1"/>
        </dgm:presLayoutVars>
      </dgm:prSet>
      <dgm:spPr>
        <a:prstGeom prst="roundRect">
          <a:avLst/>
        </a:prstGeom>
      </dgm:spPr>
      <dgm:t>
        <a:bodyPr/>
        <a:lstStyle/>
        <a:p>
          <a:endParaRPr lang="en-US"/>
        </a:p>
      </dgm:t>
    </dgm:pt>
    <dgm:pt modelId="{78C826B8-B2B5-472E-A37F-E7622B6EDDE9}" type="pres">
      <dgm:prSet presAssocID="{E95BA4E4-5166-437B-845F-14D7E20BB7B7}" presName="aSpace" presStyleCnt="0"/>
      <dgm:spPr/>
    </dgm:pt>
    <dgm:pt modelId="{B578358B-6571-4153-B68C-498DE0095F8E}" type="pres">
      <dgm:prSet presAssocID="{2061FB5C-94E3-4850-B5D6-6B4BB5D361B0}" presName="aNode" presStyleLbl="fgAcc1" presStyleIdx="3" presStyleCnt="4" custScaleX="147085" custScaleY="17170" custLinFactY="-27789" custLinFactNeighborX="-39003" custLinFactNeighborY="-100000">
        <dgm:presLayoutVars>
          <dgm:bulletEnabled val="1"/>
        </dgm:presLayoutVars>
      </dgm:prSet>
      <dgm:spPr>
        <a:prstGeom prst="roundRect">
          <a:avLst/>
        </a:prstGeom>
      </dgm:spPr>
      <dgm:t>
        <a:bodyPr/>
        <a:lstStyle/>
        <a:p>
          <a:endParaRPr lang="en-US"/>
        </a:p>
      </dgm:t>
    </dgm:pt>
    <dgm:pt modelId="{9403E0D9-AB8E-40F6-AEEF-BE816A3467EA}" type="pres">
      <dgm:prSet presAssocID="{2061FB5C-94E3-4850-B5D6-6B4BB5D361B0}" presName="aSpace" presStyleCnt="0"/>
      <dgm:spPr/>
    </dgm:pt>
  </dgm:ptLst>
  <dgm:cxnLst>
    <dgm:cxn modelId="{80856028-72F8-4E27-870B-971327B2543A}" type="presOf" srcId="{E95BA4E4-5166-437B-845F-14D7E20BB7B7}" destId="{79B366FA-E10B-4C36-B9BB-FFC6CABDFB23}" srcOrd="0" destOrd="0" presId="urn:microsoft.com/office/officeart/2005/8/layout/pyramid2"/>
    <dgm:cxn modelId="{A0514DFC-8CEB-4E0E-98A1-D5D7315384FC}" srcId="{B9D4BD8E-91B4-4DC1-8325-39B810C4B3E5}" destId="{279EC901-4EF1-4808-9310-45EB707887DE}" srcOrd="0" destOrd="0" parTransId="{3489FE8C-90E2-4EA0-A200-4FB26FE2DC71}" sibTransId="{AC0C0CDD-AF26-447E-AF32-4CD2FF4EBD03}"/>
    <dgm:cxn modelId="{57D17EC9-A407-4624-AF13-5CF8585D98DF}" type="presOf" srcId="{2061FB5C-94E3-4850-B5D6-6B4BB5D361B0}" destId="{B578358B-6571-4153-B68C-498DE0095F8E}" srcOrd="0" destOrd="0" presId="urn:microsoft.com/office/officeart/2005/8/layout/pyramid2"/>
    <dgm:cxn modelId="{8D3EBC42-8721-4086-843A-4147E6005DCE}" srcId="{B9D4BD8E-91B4-4DC1-8325-39B810C4B3E5}" destId="{75792532-4B8A-408B-88D1-D89DFF8014AB}" srcOrd="1" destOrd="0" parTransId="{4DD8F8CD-F03D-4DCE-B0B8-E242B2C1D3F3}" sibTransId="{600C41E1-43C4-412F-8ECB-625001C2361D}"/>
    <dgm:cxn modelId="{B06BF619-5FA4-4617-B9E3-2B6E30CB6A89}" type="presOf" srcId="{B9D4BD8E-91B4-4DC1-8325-39B810C4B3E5}" destId="{E56CFBD8-06EB-4675-ACF7-868A259AB7B4}" srcOrd="0" destOrd="0" presId="urn:microsoft.com/office/officeart/2005/8/layout/pyramid2"/>
    <dgm:cxn modelId="{77A72BB3-52C1-4A5E-82DE-B8BDD18BB23D}" srcId="{B9D4BD8E-91B4-4DC1-8325-39B810C4B3E5}" destId="{E95BA4E4-5166-437B-845F-14D7E20BB7B7}" srcOrd="2" destOrd="0" parTransId="{A0B2399D-3111-420F-B321-CE66D97CDC01}" sibTransId="{3DC0DE10-8EC2-4AC1-8B46-2B236F896781}"/>
    <dgm:cxn modelId="{DFB1B62F-90F2-4B48-AEC7-30CF12789886}" srcId="{B9D4BD8E-91B4-4DC1-8325-39B810C4B3E5}" destId="{2061FB5C-94E3-4850-B5D6-6B4BB5D361B0}" srcOrd="3" destOrd="0" parTransId="{EA400F3D-A015-426D-906D-5A33E6B25641}" sibTransId="{5997EC4B-E75C-42E3-91F0-1F88875748D0}"/>
    <dgm:cxn modelId="{FD4CC8D4-98AA-4EE7-9DE6-9EDAB5BCB670}" type="presOf" srcId="{75792532-4B8A-408B-88D1-D89DFF8014AB}" destId="{C79273A9-9742-4112-8AE9-A756862C8676}" srcOrd="0" destOrd="0" presId="urn:microsoft.com/office/officeart/2005/8/layout/pyramid2"/>
    <dgm:cxn modelId="{CB3DBC97-6407-4C9E-B056-A3F8B3B9C787}" type="presOf" srcId="{279EC901-4EF1-4808-9310-45EB707887DE}" destId="{8C4BAEDF-A4A4-4B79-B5ED-7CFA528AB11F}" srcOrd="0" destOrd="0" presId="urn:microsoft.com/office/officeart/2005/8/layout/pyramid2"/>
    <dgm:cxn modelId="{B718AB7F-32CE-486A-9D89-1F44AE16A7F0}" type="presParOf" srcId="{E56CFBD8-06EB-4675-ACF7-868A259AB7B4}" destId="{2AD7E68A-927B-46CD-A480-CC86676C0FBE}" srcOrd="0" destOrd="0" presId="urn:microsoft.com/office/officeart/2005/8/layout/pyramid2"/>
    <dgm:cxn modelId="{EDE653C7-E738-4BFF-B5DD-FC9C91D79643}" type="presParOf" srcId="{E56CFBD8-06EB-4675-ACF7-868A259AB7B4}" destId="{DF3D7B4A-469D-47F9-A032-EC4F562F0068}" srcOrd="1" destOrd="0" presId="urn:microsoft.com/office/officeart/2005/8/layout/pyramid2"/>
    <dgm:cxn modelId="{75358D10-6F07-4C75-BFE9-7E617917B130}" type="presParOf" srcId="{DF3D7B4A-469D-47F9-A032-EC4F562F0068}" destId="{8C4BAEDF-A4A4-4B79-B5ED-7CFA528AB11F}" srcOrd="0" destOrd="0" presId="urn:microsoft.com/office/officeart/2005/8/layout/pyramid2"/>
    <dgm:cxn modelId="{8DF23D69-D7A2-4D67-B2F7-EB8E6DE0A76E}" type="presParOf" srcId="{DF3D7B4A-469D-47F9-A032-EC4F562F0068}" destId="{B60EC49C-ACDC-471E-9103-C0EF36FA7D8B}" srcOrd="1" destOrd="0" presId="urn:microsoft.com/office/officeart/2005/8/layout/pyramid2"/>
    <dgm:cxn modelId="{5051B09D-18E3-48D9-BCC5-B51D5510DE08}" type="presParOf" srcId="{DF3D7B4A-469D-47F9-A032-EC4F562F0068}" destId="{C79273A9-9742-4112-8AE9-A756862C8676}" srcOrd="2" destOrd="0" presId="urn:microsoft.com/office/officeart/2005/8/layout/pyramid2"/>
    <dgm:cxn modelId="{221D46DC-D77D-41AA-A950-C08F04A38C79}" type="presParOf" srcId="{DF3D7B4A-469D-47F9-A032-EC4F562F0068}" destId="{925904F1-B212-4FA2-A65F-7B56D274E44A}" srcOrd="3" destOrd="0" presId="urn:microsoft.com/office/officeart/2005/8/layout/pyramid2"/>
    <dgm:cxn modelId="{6A5A0EB2-63F4-4C17-B2A9-EF75F1456333}" type="presParOf" srcId="{DF3D7B4A-469D-47F9-A032-EC4F562F0068}" destId="{79B366FA-E10B-4C36-B9BB-FFC6CABDFB23}" srcOrd="4" destOrd="0" presId="urn:microsoft.com/office/officeart/2005/8/layout/pyramid2"/>
    <dgm:cxn modelId="{52184F57-FBF2-48AE-B47C-F116141168AA}" type="presParOf" srcId="{DF3D7B4A-469D-47F9-A032-EC4F562F0068}" destId="{78C826B8-B2B5-472E-A37F-E7622B6EDDE9}" srcOrd="5" destOrd="0" presId="urn:microsoft.com/office/officeart/2005/8/layout/pyramid2"/>
    <dgm:cxn modelId="{367BDF26-14CD-4A3A-8A56-439ECDB9F108}" type="presParOf" srcId="{DF3D7B4A-469D-47F9-A032-EC4F562F0068}" destId="{B578358B-6571-4153-B68C-498DE0095F8E}" srcOrd="6" destOrd="0" presId="urn:microsoft.com/office/officeart/2005/8/layout/pyramid2"/>
    <dgm:cxn modelId="{35455F94-4107-48B1-96E1-7324CA15651B}" type="presParOf" srcId="{DF3D7B4A-469D-47F9-A032-EC4F562F0068}" destId="{9403E0D9-AB8E-40F6-AEEF-BE816A3467EA}" srcOrd="7" destOrd="0" presId="urn:microsoft.com/office/officeart/2005/8/layout/pyramid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EF05E5-535A-494F-8468-A4DB32FAD171}" type="doc">
      <dgm:prSet loTypeId="urn:microsoft.com/office/officeart/2008/layout/HorizontalMultiLevelHierarchy" loCatId="hierarchy" qsTypeId="urn:microsoft.com/office/officeart/2005/8/quickstyle/simple1" qsCatId="simple" csTypeId="urn:microsoft.com/office/officeart/2005/8/colors/accent3_4" csCatId="accent3" phldr="1"/>
      <dgm:spPr/>
      <dgm:t>
        <a:bodyPr/>
        <a:lstStyle/>
        <a:p>
          <a:endParaRPr lang="en-US"/>
        </a:p>
      </dgm:t>
    </dgm:pt>
    <dgm:pt modelId="{19F275C7-6020-437D-B48F-A3462AD93D9C}">
      <dgm:prSet phldrT="[Text]" custT="1"/>
      <dgm:spPr>
        <a:solidFill>
          <a:schemeClr val="bg1">
            <a:lumMod val="65000"/>
          </a:schemeClr>
        </a:solidFill>
        <a:ln>
          <a:solidFill>
            <a:schemeClr val="bg1">
              <a:lumMod val="65000"/>
            </a:schemeClr>
          </a:solidFill>
        </a:ln>
      </dgm:spPr>
      <dgm:t>
        <a:bodyPr/>
        <a:lstStyle/>
        <a:p>
          <a:r>
            <a:rPr lang="sr-Cyrl-RS" sz="1000" b="1">
              <a:latin typeface="Times New Roman" panose="02020603050405020304" pitchFamily="18" charset="0"/>
              <a:cs typeface="Times New Roman" panose="02020603050405020304" pitchFamily="18" charset="0"/>
            </a:rPr>
            <a:t>ЕФИКАСАН СИСТЕМ ЗА УПРАВЉАЊЕ КАРИЈЕРОМ ПРИМЕЊЕН У ПРАКСИ</a:t>
          </a:r>
          <a:endParaRPr lang="en-US" sz="1000">
            <a:latin typeface="Times New Roman" panose="02020603050405020304" pitchFamily="18" charset="0"/>
            <a:cs typeface="Times New Roman" panose="02020603050405020304" pitchFamily="18" charset="0"/>
          </a:endParaRPr>
        </a:p>
      </dgm:t>
    </dgm:pt>
    <dgm:pt modelId="{B830DBBF-7CDD-4B80-BDA7-8A2436BD2DE5}" type="parTrans" cxnId="{329D1A6E-11C7-4EA3-9768-73D6D872983B}">
      <dgm:prSet/>
      <dgm:spPr/>
      <dgm:t>
        <a:bodyPr/>
        <a:lstStyle/>
        <a:p>
          <a:endParaRPr lang="en-US" sz="1000">
            <a:latin typeface="Times New Roman" panose="02020603050405020304" pitchFamily="18" charset="0"/>
            <a:cs typeface="Times New Roman" panose="02020603050405020304" pitchFamily="18" charset="0"/>
          </a:endParaRPr>
        </a:p>
      </dgm:t>
    </dgm:pt>
    <dgm:pt modelId="{5F35D18F-C3D0-4267-AEF2-35C9944C27D7}" type="sibTrans" cxnId="{329D1A6E-11C7-4EA3-9768-73D6D872983B}">
      <dgm:prSet/>
      <dgm:spPr/>
      <dgm:t>
        <a:bodyPr/>
        <a:lstStyle/>
        <a:p>
          <a:endParaRPr lang="en-US" sz="1000">
            <a:latin typeface="Times New Roman" panose="02020603050405020304" pitchFamily="18" charset="0"/>
            <a:cs typeface="Times New Roman" panose="02020603050405020304" pitchFamily="18" charset="0"/>
          </a:endParaRPr>
        </a:p>
      </dgm:t>
    </dgm:pt>
    <dgm:pt modelId="{DF43FF5C-5B89-476E-A480-A7146E32D9FE}">
      <dgm:prSet phldrT="[Text]" custT="1"/>
      <dgm:spPr>
        <a:solidFill>
          <a:schemeClr val="bg1"/>
        </a:solidFill>
        <a:ln w="28575">
          <a:solidFill>
            <a:schemeClr val="bg1">
              <a:lumMod val="75000"/>
            </a:schemeClr>
          </a:solidFill>
        </a:ln>
      </dgm:spPr>
      <dgm:t>
        <a:bodyPr/>
        <a:lstStyle/>
        <a:p>
          <a:pPr algn="just"/>
          <a:r>
            <a:rPr lang="sr-Cyrl-RS" sz="1000" b="1">
              <a:solidFill>
                <a:sysClr val="windowText" lastClr="000000"/>
              </a:solidFill>
              <a:latin typeface="Times New Roman" panose="02020603050405020304" pitchFamily="18" charset="0"/>
              <a:cs typeface="Times New Roman" panose="02020603050405020304" pitchFamily="18" charset="0"/>
            </a:rPr>
            <a:t>Опција 1</a:t>
          </a:r>
          <a:r>
            <a:rPr lang="sr-Cyrl-RS" sz="1000">
              <a:solidFill>
                <a:sysClr val="windowText" lastClr="000000"/>
              </a:solidFill>
              <a:latin typeface="Times New Roman" panose="02020603050405020304" pitchFamily="18" charset="0"/>
              <a:cs typeface="Times New Roman" panose="02020603050405020304" pitchFamily="18" charset="0"/>
            </a:rPr>
            <a:t>: </a:t>
          </a:r>
          <a:r>
            <a:rPr lang="sr-Latn-RS" sz="1000" i="1">
              <a:solidFill>
                <a:sysClr val="windowText" lastClr="000000"/>
              </a:solidFill>
              <a:latin typeface="Times New Roman" panose="02020603050405020304" pitchFamily="18" charset="0"/>
              <a:cs typeface="Times New Roman" panose="02020603050405020304" pitchFamily="18" charset="0"/>
            </a:rPr>
            <a:t>Status quo</a:t>
          </a:r>
          <a:r>
            <a:rPr lang="sr-Cyrl-RS" sz="1000" i="1">
              <a:solidFill>
                <a:sysClr val="windowText" lastClr="000000"/>
              </a:solidFill>
              <a:latin typeface="Times New Roman" panose="02020603050405020304" pitchFamily="18" charset="0"/>
              <a:cs typeface="Times New Roman" panose="02020603050405020304" pitchFamily="18" charset="0"/>
            </a:rPr>
            <a:t> </a:t>
          </a:r>
          <a:endParaRPr lang="en-US" sz="1000" i="1">
            <a:solidFill>
              <a:sysClr val="windowText" lastClr="000000"/>
            </a:solidFill>
            <a:latin typeface="Times New Roman" panose="02020603050405020304" pitchFamily="18" charset="0"/>
            <a:cs typeface="Times New Roman" panose="02020603050405020304" pitchFamily="18" charset="0"/>
          </a:endParaRPr>
        </a:p>
      </dgm:t>
    </dgm:pt>
    <dgm:pt modelId="{10117D47-8037-4DB9-81C7-9EE64B140C9B}" type="parTrans" cxnId="{A3152FE1-A835-4797-BDFE-FA50341302E5}">
      <dgm:prSet custT="1"/>
      <dgm:spPr/>
      <dgm:t>
        <a:bodyPr/>
        <a:lstStyle/>
        <a:p>
          <a:endParaRPr lang="en-US" sz="1000">
            <a:latin typeface="Times New Roman" panose="02020603050405020304" pitchFamily="18" charset="0"/>
            <a:cs typeface="Times New Roman" panose="02020603050405020304" pitchFamily="18" charset="0"/>
          </a:endParaRPr>
        </a:p>
      </dgm:t>
    </dgm:pt>
    <dgm:pt modelId="{0083F0E5-8506-4394-9202-0D9E2C8B5FAC}" type="sibTrans" cxnId="{A3152FE1-A835-4797-BDFE-FA50341302E5}">
      <dgm:prSet/>
      <dgm:spPr/>
      <dgm:t>
        <a:bodyPr/>
        <a:lstStyle/>
        <a:p>
          <a:endParaRPr lang="en-US" sz="1000">
            <a:latin typeface="Times New Roman" panose="02020603050405020304" pitchFamily="18" charset="0"/>
            <a:cs typeface="Times New Roman" panose="02020603050405020304" pitchFamily="18" charset="0"/>
          </a:endParaRPr>
        </a:p>
      </dgm:t>
    </dgm:pt>
    <dgm:pt modelId="{9A1054B7-3D2B-4AE1-AD75-84DAC92FF2BE}">
      <dgm:prSet phldrT="[Text]" custT="1"/>
      <dgm:spPr>
        <a:solidFill>
          <a:schemeClr val="bg1"/>
        </a:solidFill>
        <a:ln w="28575">
          <a:solidFill>
            <a:schemeClr val="bg1">
              <a:lumMod val="75000"/>
            </a:schemeClr>
          </a:solidFill>
        </a:ln>
      </dgm:spPr>
      <dgm:t>
        <a:bodyPr/>
        <a:lstStyle/>
        <a:p>
          <a:pPr algn="just"/>
          <a:r>
            <a:rPr lang="sr-Cyrl-RS" sz="1000" b="1">
              <a:solidFill>
                <a:sysClr val="windowText" lastClr="000000"/>
              </a:solidFill>
              <a:latin typeface="Times New Roman" panose="02020603050405020304" pitchFamily="18" charset="0"/>
              <a:cs typeface="Times New Roman" panose="02020603050405020304" pitchFamily="18" charset="0"/>
            </a:rPr>
            <a:t>Опција 2</a:t>
          </a:r>
          <a:r>
            <a:rPr lang="sr-Cyrl-RS" sz="1000">
              <a:solidFill>
                <a:sysClr val="windowText" lastClr="000000"/>
              </a:solidFill>
              <a:latin typeface="Times New Roman" panose="02020603050405020304" pitchFamily="18" charset="0"/>
              <a:cs typeface="Times New Roman" panose="02020603050405020304" pitchFamily="18" charset="0"/>
            </a:rPr>
            <a:t>: Управљањ</a:t>
          </a:r>
          <a:r>
            <a:rPr lang="en-GB" sz="1000">
              <a:solidFill>
                <a:sysClr val="windowText" lastClr="000000"/>
              </a:solidFill>
              <a:latin typeface="Times New Roman" panose="02020603050405020304" pitchFamily="18" charset="0"/>
              <a:cs typeface="Times New Roman" panose="02020603050405020304" pitchFamily="18" charset="0"/>
            </a:rPr>
            <a:t>e</a:t>
          </a:r>
          <a:r>
            <a:rPr lang="sr-Cyrl-RS" sz="1000">
              <a:solidFill>
                <a:sysClr val="windowText" lastClr="000000"/>
              </a:solidFill>
              <a:latin typeface="Times New Roman" panose="02020603050405020304" pitchFamily="18" charset="0"/>
              <a:cs typeface="Times New Roman" panose="02020603050405020304" pitchFamily="18" charset="0"/>
            </a:rPr>
            <a:t> каријером запослених доследном применом постојећих прописа у пракси, са постојећим капацитеттима </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DA868098-308B-41A3-AA4E-694B67721AC5}" type="parTrans" cxnId="{CF36F901-B570-4796-8428-45062CBC40EF}">
      <dgm:prSet custT="1"/>
      <dgm:spPr/>
      <dgm:t>
        <a:bodyPr/>
        <a:lstStyle/>
        <a:p>
          <a:endParaRPr lang="en-US" sz="1000">
            <a:latin typeface="Times New Roman" panose="02020603050405020304" pitchFamily="18" charset="0"/>
            <a:cs typeface="Times New Roman" panose="02020603050405020304" pitchFamily="18" charset="0"/>
          </a:endParaRPr>
        </a:p>
      </dgm:t>
    </dgm:pt>
    <dgm:pt modelId="{D8544845-A5EC-4E2B-9908-58BCF89E1953}" type="sibTrans" cxnId="{CF36F901-B570-4796-8428-45062CBC40EF}">
      <dgm:prSet/>
      <dgm:spPr/>
      <dgm:t>
        <a:bodyPr/>
        <a:lstStyle/>
        <a:p>
          <a:endParaRPr lang="en-US" sz="1000">
            <a:latin typeface="Times New Roman" panose="02020603050405020304" pitchFamily="18" charset="0"/>
            <a:cs typeface="Times New Roman" panose="02020603050405020304" pitchFamily="18" charset="0"/>
          </a:endParaRPr>
        </a:p>
      </dgm:t>
    </dgm:pt>
    <dgm:pt modelId="{7EFD3CD8-1209-4045-87B1-6B206BEB154E}">
      <dgm:prSet phldrT="[Text]" custT="1"/>
      <dgm:spPr>
        <a:solidFill>
          <a:schemeClr val="bg1"/>
        </a:solidFill>
        <a:ln w="28575">
          <a:solidFill>
            <a:schemeClr val="bg1">
              <a:lumMod val="75000"/>
            </a:schemeClr>
          </a:solidFill>
        </a:ln>
      </dgm:spPr>
      <dgm:t>
        <a:bodyPr/>
        <a:lstStyle/>
        <a:p>
          <a:pPr algn="just"/>
          <a:r>
            <a:rPr lang="sr-Cyrl-RS" sz="1000" b="1">
              <a:solidFill>
                <a:sysClr val="windowText" lastClr="000000"/>
              </a:solidFill>
              <a:latin typeface="Times New Roman" panose="02020603050405020304" pitchFamily="18" charset="0"/>
              <a:cs typeface="Times New Roman" panose="02020603050405020304" pitchFamily="18" charset="0"/>
            </a:rPr>
            <a:t>Опција 4: </a:t>
          </a:r>
          <a:r>
            <a:rPr lang="sr-Cyrl-RS" sz="1000">
              <a:solidFill>
                <a:sysClr val="windowText" lastClr="000000"/>
              </a:solidFill>
              <a:latin typeface="Times New Roman" panose="02020603050405020304" pitchFamily="18" charset="0"/>
              <a:cs typeface="Times New Roman" panose="02020603050405020304" pitchFamily="18" charset="0"/>
            </a:rPr>
            <a:t>Управљање каријером запослених кроз веће надлежности руководиоца унутрашњих јединица, државних службеника на положају и јединица УЉР,</a:t>
          </a:r>
          <a:r>
            <a:rPr lang="sr-Cyrl-RS" sz="1000" b="1">
              <a:solidFill>
                <a:sysClr val="windowText" lastClr="000000"/>
              </a:solidFill>
              <a:latin typeface="Times New Roman" panose="02020603050405020304" pitchFamily="18" charset="0"/>
              <a:cs typeface="Times New Roman" panose="02020603050405020304" pitchFamily="18" charset="0"/>
            </a:rPr>
            <a:t> </a:t>
          </a:r>
          <a:r>
            <a:rPr lang="sr-Cyrl-RS" sz="1000">
              <a:solidFill>
                <a:sysClr val="windowText" lastClr="000000"/>
              </a:solidFill>
              <a:latin typeface="Times New Roman" panose="02020603050405020304" pitchFamily="18" charset="0"/>
              <a:cs typeface="Times New Roman" panose="02020603050405020304" pitchFamily="18" charset="0"/>
            </a:rPr>
            <a:t>уз повећање броја запослених у њима</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8B4AF512-0692-42D0-BF87-3CDAEEDDBF7C}" type="parTrans" cxnId="{7859AFE2-8C07-4E93-B5C1-31541AECD608}">
      <dgm:prSet custT="1"/>
      <dgm:spPr/>
      <dgm:t>
        <a:bodyPr/>
        <a:lstStyle/>
        <a:p>
          <a:endParaRPr lang="en-US" sz="1000">
            <a:latin typeface="Times New Roman" panose="02020603050405020304" pitchFamily="18" charset="0"/>
            <a:cs typeface="Times New Roman" panose="02020603050405020304" pitchFamily="18" charset="0"/>
          </a:endParaRPr>
        </a:p>
      </dgm:t>
    </dgm:pt>
    <dgm:pt modelId="{8D7824DE-8378-4DC8-916D-710F5F05A41E}" type="sibTrans" cxnId="{7859AFE2-8C07-4E93-B5C1-31541AECD608}">
      <dgm:prSet/>
      <dgm:spPr/>
      <dgm:t>
        <a:bodyPr/>
        <a:lstStyle/>
        <a:p>
          <a:endParaRPr lang="en-US" sz="1000">
            <a:latin typeface="Times New Roman" panose="02020603050405020304" pitchFamily="18" charset="0"/>
            <a:cs typeface="Times New Roman" panose="02020603050405020304" pitchFamily="18" charset="0"/>
          </a:endParaRPr>
        </a:p>
      </dgm:t>
    </dgm:pt>
    <dgm:pt modelId="{DDAF43DF-CB68-4188-BB0E-70049FE0BDFE}">
      <dgm:prSet phldrT="[Text]" custT="1"/>
      <dgm:spPr>
        <a:solidFill>
          <a:schemeClr val="bg1"/>
        </a:solidFill>
        <a:ln w="28575">
          <a:solidFill>
            <a:schemeClr val="bg1">
              <a:lumMod val="75000"/>
            </a:schemeClr>
          </a:solidFill>
        </a:ln>
      </dgm:spPr>
      <dgm:t>
        <a:bodyPr/>
        <a:lstStyle/>
        <a:p>
          <a:pPr algn="just"/>
          <a:r>
            <a:rPr lang="sr-Cyrl-RS" sz="1000" b="1">
              <a:solidFill>
                <a:sysClr val="windowText" lastClr="000000"/>
              </a:solidFill>
              <a:latin typeface="Times New Roman" panose="02020603050405020304" pitchFamily="18" charset="0"/>
              <a:cs typeface="Times New Roman" panose="02020603050405020304" pitchFamily="18" charset="0"/>
            </a:rPr>
            <a:t>Опција 3</a:t>
          </a:r>
          <a:r>
            <a:rPr lang="sr-Cyrl-RS" sz="1000">
              <a:solidFill>
                <a:sysClr val="windowText" lastClr="000000"/>
              </a:solidFill>
              <a:latin typeface="Times New Roman" panose="02020603050405020304" pitchFamily="18" charset="0"/>
              <a:cs typeface="Times New Roman" panose="02020603050405020304" pitchFamily="18" charset="0"/>
            </a:rPr>
            <a:t>: Управљање каријером запослених кроз веће надлежности и повећање броја запослених у јединицама за УЉР</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BA4BDD9E-E046-4802-BC12-307146F3A653}" type="parTrans" cxnId="{5F5447CF-AFA1-4FA1-ACAF-D3C229E7493D}">
      <dgm:prSet custT="1"/>
      <dgm:spPr/>
      <dgm:t>
        <a:bodyPr/>
        <a:lstStyle/>
        <a:p>
          <a:endParaRPr lang="en-US" sz="1000">
            <a:latin typeface="Times New Roman" panose="02020603050405020304" pitchFamily="18" charset="0"/>
            <a:cs typeface="Times New Roman" panose="02020603050405020304" pitchFamily="18" charset="0"/>
          </a:endParaRPr>
        </a:p>
      </dgm:t>
    </dgm:pt>
    <dgm:pt modelId="{BC1C0EE4-C00E-4E09-A890-083EC65258C8}" type="sibTrans" cxnId="{5F5447CF-AFA1-4FA1-ACAF-D3C229E7493D}">
      <dgm:prSet/>
      <dgm:spPr/>
      <dgm:t>
        <a:bodyPr/>
        <a:lstStyle/>
        <a:p>
          <a:endParaRPr lang="en-US" sz="1000">
            <a:latin typeface="Times New Roman" panose="02020603050405020304" pitchFamily="18" charset="0"/>
            <a:cs typeface="Times New Roman" panose="02020603050405020304" pitchFamily="18" charset="0"/>
          </a:endParaRPr>
        </a:p>
      </dgm:t>
    </dgm:pt>
    <dgm:pt modelId="{4901D015-076A-48F2-BB38-750C02280C8C}">
      <dgm:prSet phldrT="[Text]" custT="1"/>
      <dgm:spPr>
        <a:solidFill>
          <a:schemeClr val="bg1"/>
        </a:solidFill>
        <a:ln w="28575">
          <a:solidFill>
            <a:schemeClr val="bg1">
              <a:lumMod val="75000"/>
            </a:schemeClr>
          </a:solidFill>
        </a:ln>
      </dgm:spPr>
      <dgm:t>
        <a:bodyPr/>
        <a:lstStyle/>
        <a:p>
          <a:pPr algn="just"/>
          <a:r>
            <a:rPr lang="sr-Cyrl-RS" sz="1000" b="1">
              <a:solidFill>
                <a:sysClr val="windowText" lastClr="000000"/>
              </a:solidFill>
              <a:latin typeface="Times New Roman" panose="02020603050405020304" pitchFamily="18" charset="0"/>
              <a:cs typeface="Times New Roman" panose="02020603050405020304" pitchFamily="18" charset="0"/>
            </a:rPr>
            <a:t>Опција 5</a:t>
          </a:r>
          <a:r>
            <a:rPr lang="sr-Cyrl-RS" sz="1000">
              <a:solidFill>
                <a:sysClr val="windowText" lastClr="000000"/>
              </a:solidFill>
              <a:latin typeface="Times New Roman" panose="02020603050405020304" pitchFamily="18" charset="0"/>
              <a:cs typeface="Times New Roman" panose="02020603050405020304" pitchFamily="18" charset="0"/>
            </a:rPr>
            <a:t>: Управљање каријером запослених кроз развој институционалних, административних и кадровских капацитета за управљање људским ресурсима, уз успостављање нових инструмената за управљање људским ресурсима у пракси</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4A2C922A-1D9C-4EDC-ADE8-321CDC43D76A}" type="parTrans" cxnId="{6C317283-52F8-440B-9489-0B8B95105641}">
      <dgm:prSet custT="1"/>
      <dgm:spPr/>
      <dgm:t>
        <a:bodyPr/>
        <a:lstStyle/>
        <a:p>
          <a:endParaRPr lang="en-US" sz="1000">
            <a:latin typeface="Times New Roman" panose="02020603050405020304" pitchFamily="18" charset="0"/>
            <a:cs typeface="Times New Roman" panose="02020603050405020304" pitchFamily="18" charset="0"/>
          </a:endParaRPr>
        </a:p>
      </dgm:t>
    </dgm:pt>
    <dgm:pt modelId="{011502D8-F29F-4546-9464-7BCEE70488E4}" type="sibTrans" cxnId="{6C317283-52F8-440B-9489-0B8B95105641}">
      <dgm:prSet/>
      <dgm:spPr/>
      <dgm:t>
        <a:bodyPr/>
        <a:lstStyle/>
        <a:p>
          <a:endParaRPr lang="en-US" sz="1000">
            <a:latin typeface="Times New Roman" panose="02020603050405020304" pitchFamily="18" charset="0"/>
            <a:cs typeface="Times New Roman" panose="02020603050405020304" pitchFamily="18" charset="0"/>
          </a:endParaRPr>
        </a:p>
      </dgm:t>
    </dgm:pt>
    <dgm:pt modelId="{59D17EDA-CEC6-470C-8342-EEA76919376B}" type="pres">
      <dgm:prSet presAssocID="{B5EF05E5-535A-494F-8468-A4DB32FAD171}" presName="Name0" presStyleCnt="0">
        <dgm:presLayoutVars>
          <dgm:chPref val="1"/>
          <dgm:dir/>
          <dgm:animOne val="branch"/>
          <dgm:animLvl val="lvl"/>
          <dgm:resizeHandles val="exact"/>
        </dgm:presLayoutVars>
      </dgm:prSet>
      <dgm:spPr/>
      <dgm:t>
        <a:bodyPr/>
        <a:lstStyle/>
        <a:p>
          <a:endParaRPr lang="en-US"/>
        </a:p>
      </dgm:t>
    </dgm:pt>
    <dgm:pt modelId="{821AA5C7-ABDE-47F5-B541-583295085E35}" type="pres">
      <dgm:prSet presAssocID="{19F275C7-6020-437D-B48F-A3462AD93D9C}" presName="root1" presStyleCnt="0"/>
      <dgm:spPr/>
    </dgm:pt>
    <dgm:pt modelId="{1909B373-352F-4578-A0C2-919E3C749241}" type="pres">
      <dgm:prSet presAssocID="{19F275C7-6020-437D-B48F-A3462AD93D9C}" presName="LevelOneTextNode" presStyleLbl="node0" presStyleIdx="0" presStyleCnt="1" custScaleY="113372">
        <dgm:presLayoutVars>
          <dgm:chPref val="3"/>
        </dgm:presLayoutVars>
      </dgm:prSet>
      <dgm:spPr/>
      <dgm:t>
        <a:bodyPr/>
        <a:lstStyle/>
        <a:p>
          <a:endParaRPr lang="en-US"/>
        </a:p>
      </dgm:t>
    </dgm:pt>
    <dgm:pt modelId="{D49678B6-5CB8-48F4-B868-C20466B677EB}" type="pres">
      <dgm:prSet presAssocID="{19F275C7-6020-437D-B48F-A3462AD93D9C}" presName="level2hierChild" presStyleCnt="0"/>
      <dgm:spPr/>
    </dgm:pt>
    <dgm:pt modelId="{3FBD3CCF-31EA-489E-B8AC-7E99EEDBBFBB}" type="pres">
      <dgm:prSet presAssocID="{10117D47-8037-4DB9-81C7-9EE64B140C9B}" presName="conn2-1" presStyleLbl="parChTrans1D2" presStyleIdx="0" presStyleCnt="5"/>
      <dgm:spPr/>
      <dgm:t>
        <a:bodyPr/>
        <a:lstStyle/>
        <a:p>
          <a:endParaRPr lang="en-US"/>
        </a:p>
      </dgm:t>
    </dgm:pt>
    <dgm:pt modelId="{85B60F5F-C441-451F-BFA9-D4E1AF38FB36}" type="pres">
      <dgm:prSet presAssocID="{10117D47-8037-4DB9-81C7-9EE64B140C9B}" presName="connTx" presStyleLbl="parChTrans1D2" presStyleIdx="0" presStyleCnt="5"/>
      <dgm:spPr/>
      <dgm:t>
        <a:bodyPr/>
        <a:lstStyle/>
        <a:p>
          <a:endParaRPr lang="en-US"/>
        </a:p>
      </dgm:t>
    </dgm:pt>
    <dgm:pt modelId="{84886D52-B194-474C-B1E0-BF679AFA149A}" type="pres">
      <dgm:prSet presAssocID="{DF43FF5C-5B89-476E-A480-A7146E32D9FE}" presName="root2" presStyleCnt="0"/>
      <dgm:spPr/>
    </dgm:pt>
    <dgm:pt modelId="{9112B673-2C38-4347-B9F9-6A30E024F97D}" type="pres">
      <dgm:prSet presAssocID="{DF43FF5C-5B89-476E-A480-A7146E32D9FE}" presName="LevelTwoTextNode" presStyleLbl="node2" presStyleIdx="0" presStyleCnt="5" custScaleX="293691">
        <dgm:presLayoutVars>
          <dgm:chPref val="3"/>
        </dgm:presLayoutVars>
      </dgm:prSet>
      <dgm:spPr/>
      <dgm:t>
        <a:bodyPr/>
        <a:lstStyle/>
        <a:p>
          <a:endParaRPr lang="en-US"/>
        </a:p>
      </dgm:t>
    </dgm:pt>
    <dgm:pt modelId="{B282FCCB-34C3-41F5-ABB3-8236FF73203A}" type="pres">
      <dgm:prSet presAssocID="{DF43FF5C-5B89-476E-A480-A7146E32D9FE}" presName="level3hierChild" presStyleCnt="0"/>
      <dgm:spPr/>
    </dgm:pt>
    <dgm:pt modelId="{014EEF77-4C79-493A-ACD5-709E4DA5F9E5}" type="pres">
      <dgm:prSet presAssocID="{DA868098-308B-41A3-AA4E-694B67721AC5}" presName="conn2-1" presStyleLbl="parChTrans1D2" presStyleIdx="1" presStyleCnt="5"/>
      <dgm:spPr/>
      <dgm:t>
        <a:bodyPr/>
        <a:lstStyle/>
        <a:p>
          <a:endParaRPr lang="en-US"/>
        </a:p>
      </dgm:t>
    </dgm:pt>
    <dgm:pt modelId="{0E5D0256-8CF4-4F15-9D94-206311D67100}" type="pres">
      <dgm:prSet presAssocID="{DA868098-308B-41A3-AA4E-694B67721AC5}" presName="connTx" presStyleLbl="parChTrans1D2" presStyleIdx="1" presStyleCnt="5"/>
      <dgm:spPr/>
      <dgm:t>
        <a:bodyPr/>
        <a:lstStyle/>
        <a:p>
          <a:endParaRPr lang="en-US"/>
        </a:p>
      </dgm:t>
    </dgm:pt>
    <dgm:pt modelId="{2DA1124A-09F0-409B-8046-24CE57A20F5D}" type="pres">
      <dgm:prSet presAssocID="{9A1054B7-3D2B-4AE1-AD75-84DAC92FF2BE}" presName="root2" presStyleCnt="0"/>
      <dgm:spPr/>
    </dgm:pt>
    <dgm:pt modelId="{562868C5-7FA2-484F-A9C4-9658030607CA}" type="pres">
      <dgm:prSet presAssocID="{9A1054B7-3D2B-4AE1-AD75-84DAC92FF2BE}" presName="LevelTwoTextNode" presStyleLbl="node2" presStyleIdx="1" presStyleCnt="5" custScaleX="293691">
        <dgm:presLayoutVars>
          <dgm:chPref val="3"/>
        </dgm:presLayoutVars>
      </dgm:prSet>
      <dgm:spPr/>
      <dgm:t>
        <a:bodyPr/>
        <a:lstStyle/>
        <a:p>
          <a:endParaRPr lang="en-US"/>
        </a:p>
      </dgm:t>
    </dgm:pt>
    <dgm:pt modelId="{9DDF4C64-65FE-4587-A7FE-00E51A18E4F0}" type="pres">
      <dgm:prSet presAssocID="{9A1054B7-3D2B-4AE1-AD75-84DAC92FF2BE}" presName="level3hierChild" presStyleCnt="0"/>
      <dgm:spPr/>
    </dgm:pt>
    <dgm:pt modelId="{5BC10F54-9697-4F14-8D03-C757A08ED607}" type="pres">
      <dgm:prSet presAssocID="{BA4BDD9E-E046-4802-BC12-307146F3A653}" presName="conn2-1" presStyleLbl="parChTrans1D2" presStyleIdx="2" presStyleCnt="5"/>
      <dgm:spPr/>
      <dgm:t>
        <a:bodyPr/>
        <a:lstStyle/>
        <a:p>
          <a:endParaRPr lang="en-US"/>
        </a:p>
      </dgm:t>
    </dgm:pt>
    <dgm:pt modelId="{82A7FBBD-F691-430C-9667-94F9B514DDF7}" type="pres">
      <dgm:prSet presAssocID="{BA4BDD9E-E046-4802-BC12-307146F3A653}" presName="connTx" presStyleLbl="parChTrans1D2" presStyleIdx="2" presStyleCnt="5"/>
      <dgm:spPr/>
      <dgm:t>
        <a:bodyPr/>
        <a:lstStyle/>
        <a:p>
          <a:endParaRPr lang="en-US"/>
        </a:p>
      </dgm:t>
    </dgm:pt>
    <dgm:pt modelId="{BF651977-C4BF-4423-8FCB-86AEA925CD1F}" type="pres">
      <dgm:prSet presAssocID="{DDAF43DF-CB68-4188-BB0E-70049FE0BDFE}" presName="root2" presStyleCnt="0"/>
      <dgm:spPr/>
    </dgm:pt>
    <dgm:pt modelId="{03921606-D6D5-45CB-BDD4-DA5246A45674}" type="pres">
      <dgm:prSet presAssocID="{DDAF43DF-CB68-4188-BB0E-70049FE0BDFE}" presName="LevelTwoTextNode" presStyleLbl="node2" presStyleIdx="2" presStyleCnt="5" custScaleX="293691">
        <dgm:presLayoutVars>
          <dgm:chPref val="3"/>
        </dgm:presLayoutVars>
      </dgm:prSet>
      <dgm:spPr/>
      <dgm:t>
        <a:bodyPr/>
        <a:lstStyle/>
        <a:p>
          <a:endParaRPr lang="en-US"/>
        </a:p>
      </dgm:t>
    </dgm:pt>
    <dgm:pt modelId="{B003D1B9-44A1-4C82-853C-64866BB33753}" type="pres">
      <dgm:prSet presAssocID="{DDAF43DF-CB68-4188-BB0E-70049FE0BDFE}" presName="level3hierChild" presStyleCnt="0"/>
      <dgm:spPr/>
    </dgm:pt>
    <dgm:pt modelId="{CB068D33-1EDB-4D46-B4DF-AD43C60CDB2C}" type="pres">
      <dgm:prSet presAssocID="{8B4AF512-0692-42D0-BF87-3CDAEEDDBF7C}" presName="conn2-1" presStyleLbl="parChTrans1D2" presStyleIdx="3" presStyleCnt="5"/>
      <dgm:spPr/>
      <dgm:t>
        <a:bodyPr/>
        <a:lstStyle/>
        <a:p>
          <a:endParaRPr lang="en-US"/>
        </a:p>
      </dgm:t>
    </dgm:pt>
    <dgm:pt modelId="{0D8A704B-F45F-4982-A6B8-75DBE0A966BC}" type="pres">
      <dgm:prSet presAssocID="{8B4AF512-0692-42D0-BF87-3CDAEEDDBF7C}" presName="connTx" presStyleLbl="parChTrans1D2" presStyleIdx="3" presStyleCnt="5"/>
      <dgm:spPr/>
      <dgm:t>
        <a:bodyPr/>
        <a:lstStyle/>
        <a:p>
          <a:endParaRPr lang="en-US"/>
        </a:p>
      </dgm:t>
    </dgm:pt>
    <dgm:pt modelId="{3CB1808F-D40F-4E5A-B51C-5F8AC3C92111}" type="pres">
      <dgm:prSet presAssocID="{7EFD3CD8-1209-4045-87B1-6B206BEB154E}" presName="root2" presStyleCnt="0"/>
      <dgm:spPr/>
    </dgm:pt>
    <dgm:pt modelId="{6A24D286-223D-4BC9-B564-94AC5C5DEC6A}" type="pres">
      <dgm:prSet presAssocID="{7EFD3CD8-1209-4045-87B1-6B206BEB154E}" presName="LevelTwoTextNode" presStyleLbl="node2" presStyleIdx="3" presStyleCnt="5" custScaleX="293691">
        <dgm:presLayoutVars>
          <dgm:chPref val="3"/>
        </dgm:presLayoutVars>
      </dgm:prSet>
      <dgm:spPr/>
      <dgm:t>
        <a:bodyPr/>
        <a:lstStyle/>
        <a:p>
          <a:endParaRPr lang="en-US"/>
        </a:p>
      </dgm:t>
    </dgm:pt>
    <dgm:pt modelId="{338BF85F-1E6C-4738-A9B8-2700F5559782}" type="pres">
      <dgm:prSet presAssocID="{7EFD3CD8-1209-4045-87B1-6B206BEB154E}" presName="level3hierChild" presStyleCnt="0"/>
      <dgm:spPr/>
    </dgm:pt>
    <dgm:pt modelId="{8958C0BC-E5E0-42C0-8F1D-D38290978A41}" type="pres">
      <dgm:prSet presAssocID="{4A2C922A-1D9C-4EDC-ADE8-321CDC43D76A}" presName="conn2-1" presStyleLbl="parChTrans1D2" presStyleIdx="4" presStyleCnt="5"/>
      <dgm:spPr/>
      <dgm:t>
        <a:bodyPr/>
        <a:lstStyle/>
        <a:p>
          <a:endParaRPr lang="en-US"/>
        </a:p>
      </dgm:t>
    </dgm:pt>
    <dgm:pt modelId="{2FF6D30D-D43B-4FF1-B127-76D269F401C7}" type="pres">
      <dgm:prSet presAssocID="{4A2C922A-1D9C-4EDC-ADE8-321CDC43D76A}" presName="connTx" presStyleLbl="parChTrans1D2" presStyleIdx="4" presStyleCnt="5"/>
      <dgm:spPr/>
      <dgm:t>
        <a:bodyPr/>
        <a:lstStyle/>
        <a:p>
          <a:endParaRPr lang="en-US"/>
        </a:p>
      </dgm:t>
    </dgm:pt>
    <dgm:pt modelId="{0DA6D371-4ED0-4D81-BB04-4E97F813D5FA}" type="pres">
      <dgm:prSet presAssocID="{4901D015-076A-48F2-BB38-750C02280C8C}" presName="root2" presStyleCnt="0"/>
      <dgm:spPr/>
    </dgm:pt>
    <dgm:pt modelId="{F33C4C9D-F06A-4350-ADE8-8E8FB7AE0357}" type="pres">
      <dgm:prSet presAssocID="{4901D015-076A-48F2-BB38-750C02280C8C}" presName="LevelTwoTextNode" presStyleLbl="node2" presStyleIdx="4" presStyleCnt="5" custScaleX="293691">
        <dgm:presLayoutVars>
          <dgm:chPref val="3"/>
        </dgm:presLayoutVars>
      </dgm:prSet>
      <dgm:spPr/>
      <dgm:t>
        <a:bodyPr/>
        <a:lstStyle/>
        <a:p>
          <a:endParaRPr lang="en-US"/>
        </a:p>
      </dgm:t>
    </dgm:pt>
    <dgm:pt modelId="{251BE969-37B2-4D99-8103-739F27B2C4F2}" type="pres">
      <dgm:prSet presAssocID="{4901D015-076A-48F2-BB38-750C02280C8C}" presName="level3hierChild" presStyleCnt="0"/>
      <dgm:spPr/>
    </dgm:pt>
  </dgm:ptLst>
  <dgm:cxnLst>
    <dgm:cxn modelId="{67BD5020-AF64-43C8-8337-6C1993FC0886}" type="presOf" srcId="{DA868098-308B-41A3-AA4E-694B67721AC5}" destId="{014EEF77-4C79-493A-ACD5-709E4DA5F9E5}" srcOrd="0" destOrd="0" presId="urn:microsoft.com/office/officeart/2008/layout/HorizontalMultiLevelHierarchy"/>
    <dgm:cxn modelId="{5F5447CF-AFA1-4FA1-ACAF-D3C229E7493D}" srcId="{19F275C7-6020-437D-B48F-A3462AD93D9C}" destId="{DDAF43DF-CB68-4188-BB0E-70049FE0BDFE}" srcOrd="2" destOrd="0" parTransId="{BA4BDD9E-E046-4802-BC12-307146F3A653}" sibTransId="{BC1C0EE4-C00E-4E09-A890-083EC65258C8}"/>
    <dgm:cxn modelId="{A300497A-C2D5-4336-82AC-90EAC7CD1B36}" type="presOf" srcId="{BA4BDD9E-E046-4802-BC12-307146F3A653}" destId="{5BC10F54-9697-4F14-8D03-C757A08ED607}" srcOrd="0" destOrd="0" presId="urn:microsoft.com/office/officeart/2008/layout/HorizontalMultiLevelHierarchy"/>
    <dgm:cxn modelId="{508365D7-45B7-47FD-BC47-A5E05109639B}" type="presOf" srcId="{7EFD3CD8-1209-4045-87B1-6B206BEB154E}" destId="{6A24D286-223D-4BC9-B564-94AC5C5DEC6A}" srcOrd="0" destOrd="0" presId="urn:microsoft.com/office/officeart/2008/layout/HorizontalMultiLevelHierarchy"/>
    <dgm:cxn modelId="{8CE67629-070F-4333-91BF-460FDB744097}" type="presOf" srcId="{19F275C7-6020-437D-B48F-A3462AD93D9C}" destId="{1909B373-352F-4578-A0C2-919E3C749241}" srcOrd="0" destOrd="0" presId="urn:microsoft.com/office/officeart/2008/layout/HorizontalMultiLevelHierarchy"/>
    <dgm:cxn modelId="{6C317283-52F8-440B-9489-0B8B95105641}" srcId="{19F275C7-6020-437D-B48F-A3462AD93D9C}" destId="{4901D015-076A-48F2-BB38-750C02280C8C}" srcOrd="4" destOrd="0" parTransId="{4A2C922A-1D9C-4EDC-ADE8-321CDC43D76A}" sibTransId="{011502D8-F29F-4546-9464-7BCEE70488E4}"/>
    <dgm:cxn modelId="{CF36F901-B570-4796-8428-45062CBC40EF}" srcId="{19F275C7-6020-437D-B48F-A3462AD93D9C}" destId="{9A1054B7-3D2B-4AE1-AD75-84DAC92FF2BE}" srcOrd="1" destOrd="0" parTransId="{DA868098-308B-41A3-AA4E-694B67721AC5}" sibTransId="{D8544845-A5EC-4E2B-9908-58BCF89E1953}"/>
    <dgm:cxn modelId="{2DBB1E62-BC42-4FDA-A95A-84327E30ED05}" type="presOf" srcId="{DF43FF5C-5B89-476E-A480-A7146E32D9FE}" destId="{9112B673-2C38-4347-B9F9-6A30E024F97D}" srcOrd="0" destOrd="0" presId="urn:microsoft.com/office/officeart/2008/layout/HorizontalMultiLevelHierarchy"/>
    <dgm:cxn modelId="{9DB482C3-B0B5-4608-9F73-3F8C502429F6}" type="presOf" srcId="{4A2C922A-1D9C-4EDC-ADE8-321CDC43D76A}" destId="{8958C0BC-E5E0-42C0-8F1D-D38290978A41}" srcOrd="0" destOrd="0" presId="urn:microsoft.com/office/officeart/2008/layout/HorizontalMultiLevelHierarchy"/>
    <dgm:cxn modelId="{4D3D1D5E-9729-48D3-B46B-17FA7864BB23}" type="presOf" srcId="{8B4AF512-0692-42D0-BF87-3CDAEEDDBF7C}" destId="{CB068D33-1EDB-4D46-B4DF-AD43C60CDB2C}" srcOrd="0" destOrd="0" presId="urn:microsoft.com/office/officeart/2008/layout/HorizontalMultiLevelHierarchy"/>
    <dgm:cxn modelId="{8889B043-8456-45CB-A894-19970EA25487}" type="presOf" srcId="{10117D47-8037-4DB9-81C7-9EE64B140C9B}" destId="{3FBD3CCF-31EA-489E-B8AC-7E99EEDBBFBB}" srcOrd="0" destOrd="0" presId="urn:microsoft.com/office/officeart/2008/layout/HorizontalMultiLevelHierarchy"/>
    <dgm:cxn modelId="{E03902CB-890F-4ECB-8AFB-D87A1C0BB0A3}" type="presOf" srcId="{9A1054B7-3D2B-4AE1-AD75-84DAC92FF2BE}" destId="{562868C5-7FA2-484F-A9C4-9658030607CA}" srcOrd="0" destOrd="0" presId="urn:microsoft.com/office/officeart/2008/layout/HorizontalMultiLevelHierarchy"/>
    <dgm:cxn modelId="{71282DA2-E8DF-4EF2-9A6B-D73AF0006798}" type="presOf" srcId="{BA4BDD9E-E046-4802-BC12-307146F3A653}" destId="{82A7FBBD-F691-430C-9667-94F9B514DDF7}" srcOrd="1" destOrd="0" presId="urn:microsoft.com/office/officeart/2008/layout/HorizontalMultiLevelHierarchy"/>
    <dgm:cxn modelId="{18386873-EB82-45C7-9193-1ED4ADFE1EE4}" type="presOf" srcId="{DA868098-308B-41A3-AA4E-694B67721AC5}" destId="{0E5D0256-8CF4-4F15-9D94-206311D67100}" srcOrd="1" destOrd="0" presId="urn:microsoft.com/office/officeart/2008/layout/HorizontalMultiLevelHierarchy"/>
    <dgm:cxn modelId="{0D6702AB-768B-49D7-A7C4-49A75B23C2C4}" type="presOf" srcId="{10117D47-8037-4DB9-81C7-9EE64B140C9B}" destId="{85B60F5F-C441-451F-BFA9-D4E1AF38FB36}" srcOrd="1" destOrd="0" presId="urn:microsoft.com/office/officeart/2008/layout/HorizontalMultiLevelHierarchy"/>
    <dgm:cxn modelId="{CCBFC0FF-7ADF-47A9-A4C5-123D5AED2438}" type="presOf" srcId="{B5EF05E5-535A-494F-8468-A4DB32FAD171}" destId="{59D17EDA-CEC6-470C-8342-EEA76919376B}" srcOrd="0" destOrd="0" presId="urn:microsoft.com/office/officeart/2008/layout/HorizontalMultiLevelHierarchy"/>
    <dgm:cxn modelId="{6467375B-E572-47E9-A3A7-CDF71B2C826D}" type="presOf" srcId="{DDAF43DF-CB68-4188-BB0E-70049FE0BDFE}" destId="{03921606-D6D5-45CB-BDD4-DA5246A45674}" srcOrd="0" destOrd="0" presId="urn:microsoft.com/office/officeart/2008/layout/HorizontalMultiLevelHierarchy"/>
    <dgm:cxn modelId="{1EB3E65B-A114-4350-BA4A-C5C956BD3F19}" type="presOf" srcId="{4901D015-076A-48F2-BB38-750C02280C8C}" destId="{F33C4C9D-F06A-4350-ADE8-8E8FB7AE0357}" srcOrd="0" destOrd="0" presId="urn:microsoft.com/office/officeart/2008/layout/HorizontalMultiLevelHierarchy"/>
    <dgm:cxn modelId="{A3152FE1-A835-4797-BDFE-FA50341302E5}" srcId="{19F275C7-6020-437D-B48F-A3462AD93D9C}" destId="{DF43FF5C-5B89-476E-A480-A7146E32D9FE}" srcOrd="0" destOrd="0" parTransId="{10117D47-8037-4DB9-81C7-9EE64B140C9B}" sibTransId="{0083F0E5-8506-4394-9202-0D9E2C8B5FAC}"/>
    <dgm:cxn modelId="{D3F1B028-D087-49E0-A482-FE397A22CD68}" type="presOf" srcId="{8B4AF512-0692-42D0-BF87-3CDAEEDDBF7C}" destId="{0D8A704B-F45F-4982-A6B8-75DBE0A966BC}" srcOrd="1" destOrd="0" presId="urn:microsoft.com/office/officeart/2008/layout/HorizontalMultiLevelHierarchy"/>
    <dgm:cxn modelId="{329D1A6E-11C7-4EA3-9768-73D6D872983B}" srcId="{B5EF05E5-535A-494F-8468-A4DB32FAD171}" destId="{19F275C7-6020-437D-B48F-A3462AD93D9C}" srcOrd="0" destOrd="0" parTransId="{B830DBBF-7CDD-4B80-BDA7-8A2436BD2DE5}" sibTransId="{5F35D18F-C3D0-4267-AEF2-35C9944C27D7}"/>
    <dgm:cxn modelId="{7859AFE2-8C07-4E93-B5C1-31541AECD608}" srcId="{19F275C7-6020-437D-B48F-A3462AD93D9C}" destId="{7EFD3CD8-1209-4045-87B1-6B206BEB154E}" srcOrd="3" destOrd="0" parTransId="{8B4AF512-0692-42D0-BF87-3CDAEEDDBF7C}" sibTransId="{8D7824DE-8378-4DC8-916D-710F5F05A41E}"/>
    <dgm:cxn modelId="{C32BBB72-25DA-4ACC-9275-90100FA614ED}" type="presOf" srcId="{4A2C922A-1D9C-4EDC-ADE8-321CDC43D76A}" destId="{2FF6D30D-D43B-4FF1-B127-76D269F401C7}" srcOrd="1" destOrd="0" presId="urn:microsoft.com/office/officeart/2008/layout/HorizontalMultiLevelHierarchy"/>
    <dgm:cxn modelId="{176F2B70-68F9-46C3-8B93-03A54DDDB597}" type="presParOf" srcId="{59D17EDA-CEC6-470C-8342-EEA76919376B}" destId="{821AA5C7-ABDE-47F5-B541-583295085E35}" srcOrd="0" destOrd="0" presId="urn:microsoft.com/office/officeart/2008/layout/HorizontalMultiLevelHierarchy"/>
    <dgm:cxn modelId="{95DD4A90-678F-482A-B83A-1CF50AD904DA}" type="presParOf" srcId="{821AA5C7-ABDE-47F5-B541-583295085E35}" destId="{1909B373-352F-4578-A0C2-919E3C749241}" srcOrd="0" destOrd="0" presId="urn:microsoft.com/office/officeart/2008/layout/HorizontalMultiLevelHierarchy"/>
    <dgm:cxn modelId="{DA2A77C2-13F9-4D34-AE99-8F876DE989EC}" type="presParOf" srcId="{821AA5C7-ABDE-47F5-B541-583295085E35}" destId="{D49678B6-5CB8-48F4-B868-C20466B677EB}" srcOrd="1" destOrd="0" presId="urn:microsoft.com/office/officeart/2008/layout/HorizontalMultiLevelHierarchy"/>
    <dgm:cxn modelId="{2CA6A1BE-922B-4B7A-8818-B11E8F82C9ED}" type="presParOf" srcId="{D49678B6-5CB8-48F4-B868-C20466B677EB}" destId="{3FBD3CCF-31EA-489E-B8AC-7E99EEDBBFBB}" srcOrd="0" destOrd="0" presId="urn:microsoft.com/office/officeart/2008/layout/HorizontalMultiLevelHierarchy"/>
    <dgm:cxn modelId="{33C80397-5380-443B-AE87-7AA233EEEDD2}" type="presParOf" srcId="{3FBD3CCF-31EA-489E-B8AC-7E99EEDBBFBB}" destId="{85B60F5F-C441-451F-BFA9-D4E1AF38FB36}" srcOrd="0" destOrd="0" presId="urn:microsoft.com/office/officeart/2008/layout/HorizontalMultiLevelHierarchy"/>
    <dgm:cxn modelId="{89CDBF01-DB36-4BB2-A984-FAAC757BE604}" type="presParOf" srcId="{D49678B6-5CB8-48F4-B868-C20466B677EB}" destId="{84886D52-B194-474C-B1E0-BF679AFA149A}" srcOrd="1" destOrd="0" presId="urn:microsoft.com/office/officeart/2008/layout/HorizontalMultiLevelHierarchy"/>
    <dgm:cxn modelId="{BAA0753C-4DB1-445C-A1EC-80030EFB34F9}" type="presParOf" srcId="{84886D52-B194-474C-B1E0-BF679AFA149A}" destId="{9112B673-2C38-4347-B9F9-6A30E024F97D}" srcOrd="0" destOrd="0" presId="urn:microsoft.com/office/officeart/2008/layout/HorizontalMultiLevelHierarchy"/>
    <dgm:cxn modelId="{1C753500-816F-4CEE-B23E-9F8EF8F01651}" type="presParOf" srcId="{84886D52-B194-474C-B1E0-BF679AFA149A}" destId="{B282FCCB-34C3-41F5-ABB3-8236FF73203A}" srcOrd="1" destOrd="0" presId="urn:microsoft.com/office/officeart/2008/layout/HorizontalMultiLevelHierarchy"/>
    <dgm:cxn modelId="{A707DAA9-B4CA-4A91-82AA-32E3A7C1515A}" type="presParOf" srcId="{D49678B6-5CB8-48F4-B868-C20466B677EB}" destId="{014EEF77-4C79-493A-ACD5-709E4DA5F9E5}" srcOrd="2" destOrd="0" presId="urn:microsoft.com/office/officeart/2008/layout/HorizontalMultiLevelHierarchy"/>
    <dgm:cxn modelId="{2F47EFFA-4005-4A8B-B2A3-BEE311743239}" type="presParOf" srcId="{014EEF77-4C79-493A-ACD5-709E4DA5F9E5}" destId="{0E5D0256-8CF4-4F15-9D94-206311D67100}" srcOrd="0" destOrd="0" presId="urn:microsoft.com/office/officeart/2008/layout/HorizontalMultiLevelHierarchy"/>
    <dgm:cxn modelId="{578A7444-6D0F-4E7F-9DA3-80F40309B4A5}" type="presParOf" srcId="{D49678B6-5CB8-48F4-B868-C20466B677EB}" destId="{2DA1124A-09F0-409B-8046-24CE57A20F5D}" srcOrd="3" destOrd="0" presId="urn:microsoft.com/office/officeart/2008/layout/HorizontalMultiLevelHierarchy"/>
    <dgm:cxn modelId="{99E15DF6-F61A-43EA-9143-9D9F72B7902D}" type="presParOf" srcId="{2DA1124A-09F0-409B-8046-24CE57A20F5D}" destId="{562868C5-7FA2-484F-A9C4-9658030607CA}" srcOrd="0" destOrd="0" presId="urn:microsoft.com/office/officeart/2008/layout/HorizontalMultiLevelHierarchy"/>
    <dgm:cxn modelId="{FFBCE7F3-FB3D-4C96-937A-3826C09F3D49}" type="presParOf" srcId="{2DA1124A-09F0-409B-8046-24CE57A20F5D}" destId="{9DDF4C64-65FE-4587-A7FE-00E51A18E4F0}" srcOrd="1" destOrd="0" presId="urn:microsoft.com/office/officeart/2008/layout/HorizontalMultiLevelHierarchy"/>
    <dgm:cxn modelId="{F5995530-F44B-46AE-ADF2-481B9F29E286}" type="presParOf" srcId="{D49678B6-5CB8-48F4-B868-C20466B677EB}" destId="{5BC10F54-9697-4F14-8D03-C757A08ED607}" srcOrd="4" destOrd="0" presId="urn:microsoft.com/office/officeart/2008/layout/HorizontalMultiLevelHierarchy"/>
    <dgm:cxn modelId="{15EF8886-65FD-484D-8D6A-064CBEF2F7B7}" type="presParOf" srcId="{5BC10F54-9697-4F14-8D03-C757A08ED607}" destId="{82A7FBBD-F691-430C-9667-94F9B514DDF7}" srcOrd="0" destOrd="0" presId="urn:microsoft.com/office/officeart/2008/layout/HorizontalMultiLevelHierarchy"/>
    <dgm:cxn modelId="{0CE7FAC4-2FDD-4EB6-A254-6803711291AE}" type="presParOf" srcId="{D49678B6-5CB8-48F4-B868-C20466B677EB}" destId="{BF651977-C4BF-4423-8FCB-86AEA925CD1F}" srcOrd="5" destOrd="0" presId="urn:microsoft.com/office/officeart/2008/layout/HorizontalMultiLevelHierarchy"/>
    <dgm:cxn modelId="{F67B9269-7EB6-4F2C-98CD-594F005987C1}" type="presParOf" srcId="{BF651977-C4BF-4423-8FCB-86AEA925CD1F}" destId="{03921606-D6D5-45CB-BDD4-DA5246A45674}" srcOrd="0" destOrd="0" presId="urn:microsoft.com/office/officeart/2008/layout/HorizontalMultiLevelHierarchy"/>
    <dgm:cxn modelId="{D97971BD-D3B6-4238-8EFA-0C95BD1DB8CC}" type="presParOf" srcId="{BF651977-C4BF-4423-8FCB-86AEA925CD1F}" destId="{B003D1B9-44A1-4C82-853C-64866BB33753}" srcOrd="1" destOrd="0" presId="urn:microsoft.com/office/officeart/2008/layout/HorizontalMultiLevelHierarchy"/>
    <dgm:cxn modelId="{432B97FF-D76A-4777-B148-6E37C11578B9}" type="presParOf" srcId="{D49678B6-5CB8-48F4-B868-C20466B677EB}" destId="{CB068D33-1EDB-4D46-B4DF-AD43C60CDB2C}" srcOrd="6" destOrd="0" presId="urn:microsoft.com/office/officeart/2008/layout/HorizontalMultiLevelHierarchy"/>
    <dgm:cxn modelId="{89448FA2-0CC2-45DE-8A5B-E4390DD10802}" type="presParOf" srcId="{CB068D33-1EDB-4D46-B4DF-AD43C60CDB2C}" destId="{0D8A704B-F45F-4982-A6B8-75DBE0A966BC}" srcOrd="0" destOrd="0" presId="urn:microsoft.com/office/officeart/2008/layout/HorizontalMultiLevelHierarchy"/>
    <dgm:cxn modelId="{C7B58A5C-C69E-42B1-8331-0A0E7589FCE6}" type="presParOf" srcId="{D49678B6-5CB8-48F4-B868-C20466B677EB}" destId="{3CB1808F-D40F-4E5A-B51C-5F8AC3C92111}" srcOrd="7" destOrd="0" presId="urn:microsoft.com/office/officeart/2008/layout/HorizontalMultiLevelHierarchy"/>
    <dgm:cxn modelId="{46B00577-7C78-4831-BA7D-C1964D31B001}" type="presParOf" srcId="{3CB1808F-D40F-4E5A-B51C-5F8AC3C92111}" destId="{6A24D286-223D-4BC9-B564-94AC5C5DEC6A}" srcOrd="0" destOrd="0" presId="urn:microsoft.com/office/officeart/2008/layout/HorizontalMultiLevelHierarchy"/>
    <dgm:cxn modelId="{0287019B-131B-44B9-941D-76026138B9BC}" type="presParOf" srcId="{3CB1808F-D40F-4E5A-B51C-5F8AC3C92111}" destId="{338BF85F-1E6C-4738-A9B8-2700F5559782}" srcOrd="1" destOrd="0" presId="urn:microsoft.com/office/officeart/2008/layout/HorizontalMultiLevelHierarchy"/>
    <dgm:cxn modelId="{F09C5A0C-2125-4C6A-9819-D0B01A41C2B4}" type="presParOf" srcId="{D49678B6-5CB8-48F4-B868-C20466B677EB}" destId="{8958C0BC-E5E0-42C0-8F1D-D38290978A41}" srcOrd="8" destOrd="0" presId="urn:microsoft.com/office/officeart/2008/layout/HorizontalMultiLevelHierarchy"/>
    <dgm:cxn modelId="{EEB07D1F-A3B7-41FC-A6A0-80914E70BCAC}" type="presParOf" srcId="{8958C0BC-E5E0-42C0-8F1D-D38290978A41}" destId="{2FF6D30D-D43B-4FF1-B127-76D269F401C7}" srcOrd="0" destOrd="0" presId="urn:microsoft.com/office/officeart/2008/layout/HorizontalMultiLevelHierarchy"/>
    <dgm:cxn modelId="{90DAB1E8-1C65-495A-9548-B2F1ED191A71}" type="presParOf" srcId="{D49678B6-5CB8-48F4-B868-C20466B677EB}" destId="{0DA6D371-4ED0-4D81-BB04-4E97F813D5FA}" srcOrd="9" destOrd="0" presId="urn:microsoft.com/office/officeart/2008/layout/HorizontalMultiLevelHierarchy"/>
    <dgm:cxn modelId="{CDC89AEF-2871-4E2B-B959-3348BFF034CC}" type="presParOf" srcId="{0DA6D371-4ED0-4D81-BB04-4E97F813D5FA}" destId="{F33C4C9D-F06A-4350-ADE8-8E8FB7AE0357}" srcOrd="0" destOrd="0" presId="urn:microsoft.com/office/officeart/2008/layout/HorizontalMultiLevelHierarchy"/>
    <dgm:cxn modelId="{91D0326C-FFF0-448D-A2B7-2E6813A37BB5}" type="presParOf" srcId="{0DA6D371-4ED0-4D81-BB04-4E97F813D5FA}" destId="{251BE969-37B2-4D99-8103-739F27B2C4F2}" srcOrd="1" destOrd="0" presId="urn:microsoft.com/office/officeart/2008/layout/HorizontalMultiLevelHierarchy"/>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2C1D8B6-07AB-4EF5-A99A-C4BEED214EBB}" type="doc">
      <dgm:prSet loTypeId="urn:microsoft.com/office/officeart/2008/layout/HorizontalMultiLevelHierarchy" loCatId="hierarchy" qsTypeId="urn:microsoft.com/office/officeart/2005/8/quickstyle/simple1" qsCatId="simple" csTypeId="urn:microsoft.com/office/officeart/2005/8/colors/accent3_2" csCatId="accent3" phldr="1"/>
      <dgm:spPr/>
      <dgm:t>
        <a:bodyPr/>
        <a:lstStyle/>
        <a:p>
          <a:endParaRPr lang="en-US"/>
        </a:p>
      </dgm:t>
    </dgm:pt>
    <dgm:pt modelId="{CAE58DE1-FA05-4B0F-9385-34860823F148}">
      <dgm:prSet phldrT="[Text]" custT="1"/>
      <dgm:spPr>
        <a:xfrm rot="16200000">
          <a:off x="-1992601" y="2246449"/>
          <a:ext cx="5082128" cy="597261"/>
        </a:xfrm>
        <a:solidFill>
          <a:srgbClr val="5B9BD5">
            <a:lumMod val="40000"/>
            <a:lumOff val="60000"/>
          </a:srgbClr>
        </a:solidFill>
        <a:ln w="12700" cap="flat" cmpd="sng" algn="ctr">
          <a:solidFill>
            <a:srgbClr val="5B9BD5">
              <a:lumMod val="40000"/>
              <a:lumOff val="60000"/>
            </a:srgbClr>
          </a:solidFill>
          <a:prstDash val="solid"/>
          <a:miter lim="800000"/>
        </a:ln>
        <a:effectLst/>
      </dgm:spPr>
      <dgm:t>
        <a:bodyPr/>
        <a:lstStyle/>
        <a:p>
          <a:pPr>
            <a:buNone/>
          </a:pPr>
          <a:r>
            <a:rPr lang="sr-Cyrl-RS" sz="1100" b="1">
              <a:solidFill>
                <a:sysClr val="window" lastClr="FFFFFF"/>
              </a:solidFill>
              <a:latin typeface="Times New Roman" panose="02020603050405020304" pitchFamily="18" charset="0"/>
              <a:ea typeface="+mn-ea"/>
              <a:cs typeface="Times New Roman" panose="02020603050405020304" pitchFamily="18" charset="0"/>
            </a:rPr>
            <a:t>УНАПРЕЂ</a:t>
          </a:r>
          <a:r>
            <a:rPr lang="en-GB" sz="1100" b="1">
              <a:solidFill>
                <a:sysClr val="window" lastClr="FFFFFF"/>
              </a:solidFill>
              <a:latin typeface="Times New Roman" panose="02020603050405020304" pitchFamily="18" charset="0"/>
              <a:ea typeface="+mn-ea"/>
              <a:cs typeface="Times New Roman" panose="02020603050405020304" pitchFamily="18" charset="0"/>
            </a:rPr>
            <a:t>E</a:t>
          </a:r>
          <a:r>
            <a:rPr lang="sr-Cyrl-RS" sz="1100" b="1">
              <a:solidFill>
                <a:sysClr val="window" lastClr="FFFFFF"/>
              </a:solidFill>
              <a:latin typeface="Times New Roman" panose="02020603050405020304" pitchFamily="18" charset="0"/>
              <a:ea typeface="+mn-ea"/>
              <a:cs typeface="Times New Roman" panose="02020603050405020304" pitchFamily="18" charset="0"/>
            </a:rPr>
            <a:t>Н КВАЛИТЕТ УСЛУГА ЈАВНЕ УПРАВЕ ПРЕМА КРАЈЊИМ  КОРИСНИЦИМА ЗАСНОВАН НА СТАНДАРДИМА</a:t>
          </a:r>
          <a:r>
            <a:rPr lang="sr-Latn-RS" sz="1100" b="1">
              <a:solidFill>
                <a:sysClr val="window" lastClr="FFFFFF"/>
              </a:solidFill>
              <a:latin typeface="Times New Roman" panose="02020603050405020304" pitchFamily="18" charset="0"/>
              <a:ea typeface="+mn-ea"/>
              <a:cs typeface="Times New Roman" panose="02020603050405020304" pitchFamily="18" charset="0"/>
            </a:rPr>
            <a:t> – </a:t>
          </a:r>
          <a:r>
            <a:rPr lang="sr-Cyrl-RS" sz="1100" b="1">
              <a:solidFill>
                <a:sysClr val="window" lastClr="FFFFFF"/>
              </a:solidFill>
              <a:latin typeface="Times New Roman" panose="02020603050405020304" pitchFamily="18" charset="0"/>
              <a:ea typeface="+mn-ea"/>
              <a:cs typeface="Times New Roman" panose="02020603050405020304" pitchFamily="18" charset="0"/>
            </a:rPr>
            <a:t>ОПЦИЈЕ</a:t>
          </a:r>
          <a:endParaRPr lang="en-US" sz="1100">
            <a:solidFill>
              <a:sysClr val="window" lastClr="FFFFFF"/>
            </a:solidFill>
            <a:latin typeface="Times New Roman" panose="02020603050405020304" pitchFamily="18" charset="0"/>
            <a:ea typeface="+mn-ea"/>
            <a:cs typeface="Times New Roman" panose="02020603050405020304" pitchFamily="18" charset="0"/>
          </a:endParaRPr>
        </a:p>
      </dgm:t>
    </dgm:pt>
    <dgm:pt modelId="{298ECC31-9172-441B-939B-6EDE12B22EF2}" type="parTrans" cxnId="{237ED82C-CCA9-475F-B471-9C7DC8B2E3F1}">
      <dgm:prSet/>
      <dgm:spPr/>
      <dgm:t>
        <a:bodyPr/>
        <a:lstStyle/>
        <a:p>
          <a:endParaRPr lang="en-US" sz="1100">
            <a:latin typeface="Times New Roman" panose="02020603050405020304" pitchFamily="18" charset="0"/>
            <a:cs typeface="Times New Roman" panose="02020603050405020304" pitchFamily="18" charset="0"/>
          </a:endParaRPr>
        </a:p>
      </dgm:t>
    </dgm:pt>
    <dgm:pt modelId="{90CB957A-0605-43B5-B11C-8E047FF8C9A9}" type="sibTrans" cxnId="{237ED82C-CCA9-475F-B471-9C7DC8B2E3F1}">
      <dgm:prSet/>
      <dgm:spPr/>
      <dgm:t>
        <a:bodyPr/>
        <a:lstStyle/>
        <a:p>
          <a:endParaRPr lang="en-US" sz="1100">
            <a:latin typeface="Times New Roman" panose="02020603050405020304" pitchFamily="18" charset="0"/>
            <a:cs typeface="Times New Roman" panose="02020603050405020304" pitchFamily="18" charset="0"/>
          </a:endParaRPr>
        </a:p>
      </dgm:t>
    </dgm:pt>
    <dgm:pt modelId="{55A47015-39E0-407A-97E0-BAD1283E1276}">
      <dgm:prSet phldrT="[Text]" custT="1"/>
      <dgm:spPr>
        <a:xfrm>
          <a:off x="1238897" y="6718"/>
          <a:ext cx="4433099" cy="597261"/>
        </a:xfrm>
        <a:solidFill>
          <a:sysClr val="window" lastClr="FFFFFF"/>
        </a:solidFill>
        <a:ln w="28575" cap="flat" cmpd="sng" algn="ctr">
          <a:solidFill>
            <a:srgbClr val="5B9BD5">
              <a:lumMod val="40000"/>
              <a:lumOff val="60000"/>
            </a:srgbClr>
          </a:solidFill>
          <a:prstDash val="solid"/>
          <a:miter lim="800000"/>
        </a:ln>
        <a:effectLst/>
      </dgm:spPr>
      <dgm:t>
        <a:bodyPr lIns="72000"/>
        <a:lstStyle/>
        <a:p>
          <a:pPr algn="just">
            <a:buNone/>
          </a:pPr>
          <a:r>
            <a:rPr lang="sr-Cyrl-RS" sz="1100" b="1">
              <a:solidFill>
                <a:sysClr val="windowText" lastClr="000000"/>
              </a:solidFill>
              <a:latin typeface="Times New Roman" panose="02020603050405020304" pitchFamily="18" charset="0"/>
              <a:ea typeface="+mn-ea"/>
              <a:cs typeface="Times New Roman" panose="02020603050405020304" pitchFamily="18" charset="0"/>
            </a:rPr>
            <a:t>Опција 1</a:t>
          </a:r>
          <a:r>
            <a:rPr lang="sr-Cyrl-RS" sz="1100">
              <a:solidFill>
                <a:sysClr val="windowText" lastClr="000000"/>
              </a:solidFill>
              <a:latin typeface="Times New Roman" panose="02020603050405020304" pitchFamily="18" charset="0"/>
              <a:ea typeface="+mn-ea"/>
              <a:cs typeface="Times New Roman" panose="02020603050405020304" pitchFamily="18" charset="0"/>
            </a:rPr>
            <a:t>:</a:t>
          </a:r>
          <a:r>
            <a:rPr lang="sr-Latn-RS" sz="1100">
              <a:solidFill>
                <a:sysClr val="windowText" lastClr="000000"/>
              </a:solidFill>
              <a:latin typeface="Times New Roman" panose="02020603050405020304" pitchFamily="18" charset="0"/>
              <a:ea typeface="+mn-ea"/>
              <a:cs typeface="Times New Roman" panose="02020603050405020304" pitchFamily="18" charset="0"/>
            </a:rPr>
            <a:t> </a:t>
          </a:r>
          <a:r>
            <a:rPr lang="en-GB" sz="1100" i="1">
              <a:solidFill>
                <a:sysClr val="windowText" lastClr="000000"/>
              </a:solidFill>
              <a:latin typeface="Times New Roman" panose="02020603050405020304" pitchFamily="18" charset="0"/>
              <a:ea typeface="+mn-ea"/>
              <a:cs typeface="Times New Roman" panose="02020603050405020304" pitchFamily="18" charset="0"/>
            </a:rPr>
            <a:t>Status quo</a:t>
          </a:r>
          <a:endParaRPr lang="en-US" sz="1100" i="1">
            <a:solidFill>
              <a:sysClr val="windowText" lastClr="000000"/>
            </a:solidFill>
            <a:latin typeface="Times New Roman" panose="02020603050405020304" pitchFamily="18" charset="0"/>
            <a:ea typeface="+mn-ea"/>
            <a:cs typeface="Times New Roman" panose="02020603050405020304" pitchFamily="18" charset="0"/>
          </a:endParaRPr>
        </a:p>
      </dgm:t>
    </dgm:pt>
    <dgm:pt modelId="{E5794F2A-DE66-4AE1-9CCC-F82A04819677}" type="parTrans" cxnId="{5FF29AF9-374B-4DC3-904D-511F51FE01F2}">
      <dgm:prSet custT="1"/>
      <dgm:spPr>
        <a:xfrm>
          <a:off x="847093" y="305349"/>
          <a:ext cx="391803" cy="2239730"/>
        </a:xfrm>
        <a:noFill/>
        <a:ln w="12700" cap="flat" cmpd="sng" algn="ctr">
          <a:solidFill>
            <a:srgbClr val="5B9BD5">
              <a:lumMod val="40000"/>
              <a:lumOff val="60000"/>
            </a:srgbClr>
          </a:solidFill>
          <a:prstDash val="solid"/>
          <a:miter lim="800000"/>
        </a:ln>
        <a:effectLst/>
      </dgm:spPr>
      <dgm:t>
        <a:bodyPr/>
        <a:lstStyle/>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B3B8023-78E9-4234-8F2E-20683FBC36BA}" type="sibTrans" cxnId="{5FF29AF9-374B-4DC3-904D-511F51FE01F2}">
      <dgm:prSet/>
      <dgm:spPr/>
      <dgm:t>
        <a:bodyPr/>
        <a:lstStyle/>
        <a:p>
          <a:endParaRPr lang="en-US" sz="1100">
            <a:latin typeface="Times New Roman" panose="02020603050405020304" pitchFamily="18" charset="0"/>
            <a:cs typeface="Times New Roman" panose="02020603050405020304" pitchFamily="18" charset="0"/>
          </a:endParaRPr>
        </a:p>
      </dgm:t>
    </dgm:pt>
    <dgm:pt modelId="{25AEDC84-C573-4236-AB41-0746E4E97231}">
      <dgm:prSet phldrT="[Text]" custT="1"/>
      <dgm:spPr>
        <a:xfrm>
          <a:off x="1238897" y="753295"/>
          <a:ext cx="4433099" cy="597261"/>
        </a:xfrm>
        <a:solidFill>
          <a:sysClr val="window" lastClr="FFFFFF"/>
        </a:solidFill>
        <a:ln w="28575" cap="flat" cmpd="sng" algn="ctr">
          <a:solidFill>
            <a:srgbClr val="5B9BD5">
              <a:lumMod val="40000"/>
              <a:lumOff val="60000"/>
            </a:srgbClr>
          </a:solidFill>
          <a:prstDash val="solid"/>
          <a:miter lim="800000"/>
        </a:ln>
        <a:effectLst/>
      </dgm:spPr>
      <dgm:t>
        <a:bodyPr lIns="72000"/>
        <a:lstStyle/>
        <a:p>
          <a:pPr algn="just">
            <a:buNone/>
          </a:pPr>
          <a:r>
            <a:rPr lang="sr-Cyrl-RS" sz="1100" b="1">
              <a:solidFill>
                <a:sysClr val="windowText" lastClr="000000"/>
              </a:solidFill>
              <a:latin typeface="Times New Roman" panose="02020603050405020304" pitchFamily="18" charset="0"/>
              <a:ea typeface="+mn-ea"/>
              <a:cs typeface="Times New Roman" panose="02020603050405020304" pitchFamily="18" charset="0"/>
            </a:rPr>
            <a:t>Опција 2</a:t>
          </a:r>
          <a:r>
            <a:rPr lang="sr-Cyrl-RS" sz="1100" b="0">
              <a:solidFill>
                <a:sysClr val="windowText" lastClr="000000"/>
              </a:solidFill>
              <a:latin typeface="Times New Roman" panose="02020603050405020304" pitchFamily="18" charset="0"/>
              <a:ea typeface="+mn-ea"/>
              <a:cs typeface="Times New Roman" panose="02020603050405020304" pitchFamily="18" charset="0"/>
            </a:rPr>
            <a:t>:</a:t>
          </a:r>
          <a:r>
            <a:rPr lang="sr-Latn-RS" sz="1100" b="0">
              <a:solidFill>
                <a:sysClr val="windowText" lastClr="000000"/>
              </a:solidFill>
              <a:latin typeface="Times New Roman" panose="02020603050405020304" pitchFamily="18" charset="0"/>
              <a:ea typeface="+mn-ea"/>
              <a:cs typeface="Times New Roman" panose="02020603050405020304" pitchFamily="18" charset="0"/>
            </a:rPr>
            <a:t> </a:t>
          </a:r>
          <a:r>
            <a:rPr lang="sr-Cyrl-RS" sz="1100">
              <a:solidFill>
                <a:sysClr val="windowText" lastClr="000000"/>
              </a:solidFill>
              <a:latin typeface="Times New Roman" panose="02020603050405020304" pitchFamily="18" charset="0"/>
              <a:ea typeface="+mn-ea"/>
              <a:cs typeface="Times New Roman" panose="02020603050405020304" pitchFamily="18" charset="0"/>
            </a:rPr>
            <a:t>Унапређење процеса развоја и оптимизације постојећих услуга кроз оснивање посебног органа државне управе ком би се доделила надлежност за формулисање и спровођење политике услуга и оптимизације и модернизације административних поступака</a:t>
          </a:r>
          <a:endParaRPr lang="en-US" sz="1100" b="0">
            <a:solidFill>
              <a:sysClr val="windowText" lastClr="000000"/>
            </a:solidFill>
            <a:latin typeface="Times New Roman" panose="02020603050405020304" pitchFamily="18" charset="0"/>
            <a:ea typeface="+mn-ea"/>
            <a:cs typeface="Times New Roman" panose="02020603050405020304" pitchFamily="18" charset="0"/>
          </a:endParaRPr>
        </a:p>
      </dgm:t>
    </dgm:pt>
    <dgm:pt modelId="{7E7068B7-436C-4126-96CE-D5720C0C90C6}" type="parTrans" cxnId="{A83A488B-3889-4C22-B49B-CA04E41FB19C}">
      <dgm:prSet custT="1"/>
      <dgm:spPr>
        <a:xfrm>
          <a:off x="847093" y="1051926"/>
          <a:ext cx="391803" cy="1493153"/>
        </a:xfrm>
        <a:noFill/>
        <a:ln w="12700" cap="flat" cmpd="sng" algn="ctr">
          <a:solidFill>
            <a:srgbClr val="5B9BD5">
              <a:lumMod val="40000"/>
              <a:lumOff val="60000"/>
            </a:srgbClr>
          </a:solidFill>
          <a:prstDash val="solid"/>
          <a:miter lim="800000"/>
        </a:ln>
        <a:effectLst/>
      </dgm:spPr>
      <dgm:t>
        <a:bodyPr/>
        <a:lstStyle/>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A60238F-BBA3-4694-8C66-5F33BEDD62DF}" type="sibTrans" cxnId="{A83A488B-3889-4C22-B49B-CA04E41FB19C}">
      <dgm:prSet/>
      <dgm:spPr/>
      <dgm:t>
        <a:bodyPr/>
        <a:lstStyle/>
        <a:p>
          <a:endParaRPr lang="en-US" sz="1100">
            <a:latin typeface="Times New Roman" panose="02020603050405020304" pitchFamily="18" charset="0"/>
            <a:cs typeface="Times New Roman" panose="02020603050405020304" pitchFamily="18" charset="0"/>
          </a:endParaRPr>
        </a:p>
      </dgm:t>
    </dgm:pt>
    <dgm:pt modelId="{259B5744-570F-43CB-B476-946E1A1C04C6}">
      <dgm:prSet phldrT="[Text]" custT="1"/>
      <dgm:spPr>
        <a:xfrm>
          <a:off x="1238897" y="1499872"/>
          <a:ext cx="4433099" cy="597261"/>
        </a:xfrm>
        <a:solidFill>
          <a:sysClr val="window" lastClr="FFFFFF"/>
        </a:solidFill>
        <a:ln w="28575" cap="flat" cmpd="sng" algn="ctr">
          <a:solidFill>
            <a:srgbClr val="5B9BD5">
              <a:lumMod val="40000"/>
              <a:lumOff val="60000"/>
            </a:srgbClr>
          </a:solidFill>
          <a:prstDash val="solid"/>
          <a:miter lim="800000"/>
        </a:ln>
        <a:effectLst/>
      </dgm:spPr>
      <dgm:t>
        <a:bodyPr lIns="72000"/>
        <a:lstStyle/>
        <a:p>
          <a:pPr algn="just">
            <a:buNone/>
          </a:pPr>
          <a:r>
            <a:rPr lang="sr-Cyrl-RS" sz="1100" b="1">
              <a:solidFill>
                <a:sysClr val="windowText" lastClr="000000"/>
              </a:solidFill>
              <a:latin typeface="Times New Roman" panose="02020603050405020304" pitchFamily="18" charset="0"/>
              <a:ea typeface="+mn-ea"/>
              <a:cs typeface="Times New Roman" panose="02020603050405020304" pitchFamily="18" charset="0"/>
            </a:rPr>
            <a:t>Опција 3</a:t>
          </a:r>
          <a:r>
            <a:rPr lang="sr-Latn-RS" sz="1100" b="1">
              <a:solidFill>
                <a:sysClr val="windowText" lastClr="000000"/>
              </a:solidFill>
              <a:latin typeface="Times New Roman" panose="02020603050405020304" pitchFamily="18" charset="0"/>
              <a:ea typeface="+mn-ea"/>
              <a:cs typeface="Times New Roman" panose="02020603050405020304" pitchFamily="18" charset="0"/>
            </a:rPr>
            <a:t>: </a:t>
          </a:r>
          <a:r>
            <a:rPr lang="sr-Cyrl-RS" sz="1100">
              <a:solidFill>
                <a:sysClr val="windowText" lastClr="000000"/>
              </a:solidFill>
              <a:latin typeface="Times New Roman" panose="02020603050405020304" pitchFamily="18" charset="0"/>
              <a:ea typeface="+mn-ea"/>
              <a:cs typeface="Times New Roman" panose="02020603050405020304" pitchFamily="18" charset="0"/>
            </a:rPr>
            <a:t>Унапређење процеса развоја и оптимизације постојећих услуга оснивањем јавне агенције којој би биле додељене надлежности у овој области</a:t>
          </a:r>
          <a:endParaRPr lang="en-US"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A2FF356E-C314-411C-B90B-577EF31A1DAF}" type="parTrans" cxnId="{653CBF82-59DF-4429-A7AF-36125A0F2675}">
      <dgm:prSet custT="1"/>
      <dgm:spPr>
        <a:xfrm>
          <a:off x="847093" y="1798503"/>
          <a:ext cx="391803" cy="746576"/>
        </a:xfrm>
        <a:noFill/>
        <a:ln w="12700" cap="flat" cmpd="sng" algn="ctr">
          <a:solidFill>
            <a:srgbClr val="5B9BD5">
              <a:lumMod val="40000"/>
              <a:lumOff val="60000"/>
            </a:srgbClr>
          </a:solidFill>
          <a:prstDash val="solid"/>
          <a:miter lim="800000"/>
        </a:ln>
        <a:effectLst/>
      </dgm:spPr>
      <dgm:t>
        <a:bodyPr/>
        <a:lstStyle/>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0E5B2EE-51A0-4D0E-9E57-2840D8C2DEC1}" type="sibTrans" cxnId="{653CBF82-59DF-4429-A7AF-36125A0F2675}">
      <dgm:prSet/>
      <dgm:spPr/>
      <dgm:t>
        <a:bodyPr/>
        <a:lstStyle/>
        <a:p>
          <a:endParaRPr lang="en-US" sz="1100">
            <a:latin typeface="Times New Roman" panose="02020603050405020304" pitchFamily="18" charset="0"/>
            <a:cs typeface="Times New Roman" panose="02020603050405020304" pitchFamily="18" charset="0"/>
          </a:endParaRPr>
        </a:p>
      </dgm:t>
    </dgm:pt>
    <dgm:pt modelId="{256EBA0F-AE17-4AED-B01D-820C11CD1221}">
      <dgm:prSet phldrT="[Text]" custT="1"/>
      <dgm:spPr>
        <a:xfrm>
          <a:off x="1238897" y="3739602"/>
          <a:ext cx="4433099" cy="597261"/>
        </a:xfrm>
        <a:solidFill>
          <a:sysClr val="window" lastClr="FFFFFF"/>
        </a:solidFill>
        <a:ln w="28575" cap="flat" cmpd="sng" algn="ctr">
          <a:solidFill>
            <a:srgbClr val="5B9BD5">
              <a:lumMod val="40000"/>
              <a:lumOff val="60000"/>
            </a:srgbClr>
          </a:solidFill>
          <a:prstDash val="solid"/>
          <a:miter lim="800000"/>
        </a:ln>
        <a:effectLst/>
      </dgm:spPr>
      <dgm:t>
        <a:bodyPr lIns="72000"/>
        <a:lstStyle/>
        <a:p>
          <a:pPr algn="just">
            <a:buNone/>
          </a:pPr>
          <a:r>
            <a:rPr lang="sr-Cyrl-RS" sz="1100" b="1">
              <a:solidFill>
                <a:sysClr val="windowText" lastClr="000000"/>
              </a:solidFill>
              <a:latin typeface="Times New Roman" panose="02020603050405020304" pitchFamily="18" charset="0"/>
              <a:ea typeface="+mn-ea"/>
              <a:cs typeface="Times New Roman" panose="02020603050405020304" pitchFamily="18" charset="0"/>
            </a:rPr>
            <a:t>Опција 6</a:t>
          </a:r>
          <a:r>
            <a:rPr lang="sr-Latn-RS" sz="1100" b="1">
              <a:solidFill>
                <a:sysClr val="windowText" lastClr="000000"/>
              </a:solidFill>
              <a:latin typeface="Times New Roman" panose="02020603050405020304" pitchFamily="18" charset="0"/>
              <a:ea typeface="+mn-ea"/>
              <a:cs typeface="Times New Roman" panose="02020603050405020304" pitchFamily="18" charset="0"/>
            </a:rPr>
            <a:t>: </a:t>
          </a:r>
          <a:r>
            <a:rPr lang="sr-Cyrl-RS" sz="1100">
              <a:solidFill>
                <a:sysClr val="windowText" lastClr="000000"/>
              </a:solidFill>
              <a:latin typeface="Times New Roman" panose="02020603050405020304" pitchFamily="18" charset="0"/>
              <a:ea typeface="+mn-ea"/>
              <a:cs typeface="Times New Roman" panose="02020603050405020304" pitchFamily="18" charset="0"/>
            </a:rPr>
            <a:t>Унапређење система контроле и обезбеђења квалитета услуга кроз додељивање надлежности МДУЛС у овим областима уз оснивање посебне организационе целине унутра Министарства</a:t>
          </a:r>
          <a:endParaRPr lang="en-US"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EE900155-A25C-4E33-A331-03CD31E9E01C}" type="parTrans" cxnId="{948448D8-5EE3-451B-AB36-AFCF541C0DFC}">
      <dgm:prSet custT="1"/>
      <dgm:spPr>
        <a:xfrm>
          <a:off x="847093" y="2545080"/>
          <a:ext cx="391803" cy="1493153"/>
        </a:xfrm>
        <a:noFill/>
        <a:ln w="12700" cap="flat" cmpd="sng" algn="ctr">
          <a:solidFill>
            <a:srgbClr val="5B9BD5">
              <a:lumMod val="40000"/>
              <a:lumOff val="60000"/>
            </a:srgbClr>
          </a:solidFill>
          <a:prstDash val="solid"/>
          <a:miter lim="800000"/>
        </a:ln>
        <a:effectLst/>
      </dgm:spPr>
      <dgm:t>
        <a:bodyPr/>
        <a:lstStyle/>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1AF200B-8399-4455-A0AC-220EDA7DC149}" type="sibTrans" cxnId="{948448D8-5EE3-451B-AB36-AFCF541C0DFC}">
      <dgm:prSet/>
      <dgm:spPr/>
      <dgm:t>
        <a:bodyPr/>
        <a:lstStyle/>
        <a:p>
          <a:endParaRPr lang="en-US" sz="1100">
            <a:latin typeface="Times New Roman" panose="02020603050405020304" pitchFamily="18" charset="0"/>
            <a:cs typeface="Times New Roman" panose="02020603050405020304" pitchFamily="18" charset="0"/>
          </a:endParaRPr>
        </a:p>
      </dgm:t>
    </dgm:pt>
    <dgm:pt modelId="{0BBE6D99-57AB-49CE-9D8B-E0FF36551A0B}">
      <dgm:prSet phldrT="[Text]" custT="1"/>
      <dgm:spPr>
        <a:xfrm>
          <a:off x="1238897" y="2246449"/>
          <a:ext cx="4433099" cy="597261"/>
        </a:xfrm>
        <a:solidFill>
          <a:sysClr val="window" lastClr="FFFFFF"/>
        </a:solidFill>
        <a:ln w="28575" cap="flat" cmpd="sng" algn="ctr">
          <a:solidFill>
            <a:srgbClr val="5B9BD5">
              <a:lumMod val="40000"/>
              <a:lumOff val="60000"/>
            </a:srgbClr>
          </a:solidFill>
          <a:prstDash val="solid"/>
          <a:miter lim="800000"/>
        </a:ln>
        <a:effectLst/>
      </dgm:spPr>
      <dgm:t>
        <a:bodyPr lIns="72000"/>
        <a:lstStyle/>
        <a:p>
          <a:pPr algn="just">
            <a:buNone/>
          </a:pPr>
          <a:r>
            <a:rPr lang="sr-Cyrl-RS" sz="1100" b="1">
              <a:solidFill>
                <a:sysClr val="windowText" lastClr="000000"/>
              </a:solidFill>
              <a:latin typeface="Times New Roman" panose="02020603050405020304" pitchFamily="18" charset="0"/>
              <a:ea typeface="+mn-ea"/>
              <a:cs typeface="Times New Roman" panose="02020603050405020304" pitchFamily="18" charset="0"/>
            </a:rPr>
            <a:t>Опција 4</a:t>
          </a:r>
          <a:r>
            <a:rPr lang="sr-Cyrl-RS" sz="1100" b="0">
              <a:solidFill>
                <a:sysClr val="windowText" lastClr="000000"/>
              </a:solidFill>
              <a:latin typeface="Times New Roman" panose="02020603050405020304" pitchFamily="18" charset="0"/>
              <a:ea typeface="+mn-ea"/>
              <a:cs typeface="Times New Roman" panose="02020603050405020304" pitchFamily="18" charset="0"/>
            </a:rPr>
            <a:t>:</a:t>
          </a:r>
          <a:r>
            <a:rPr lang="sr-Latn-RS" sz="1100" b="0">
              <a:solidFill>
                <a:sysClr val="windowText" lastClr="000000"/>
              </a:solidFill>
              <a:latin typeface="Times New Roman" panose="02020603050405020304" pitchFamily="18" charset="0"/>
              <a:ea typeface="+mn-ea"/>
              <a:cs typeface="Times New Roman" panose="02020603050405020304" pitchFamily="18" charset="0"/>
            </a:rPr>
            <a:t> </a:t>
          </a:r>
          <a:r>
            <a:rPr lang="sr-Cyrl-RS" sz="1100">
              <a:solidFill>
                <a:sysClr val="windowText" lastClr="000000"/>
              </a:solidFill>
              <a:latin typeface="Times New Roman" panose="02020603050405020304" pitchFamily="18" charset="0"/>
              <a:ea typeface="+mn-ea"/>
              <a:cs typeface="Times New Roman" panose="02020603050405020304" pitchFamily="18" charset="0"/>
            </a:rPr>
            <a:t>Повећање људских и техничко-технолошких капацитета јавне управе за пружање услуга крајњим корисницима </a:t>
          </a:r>
          <a:r>
            <a:rPr lang="sr-Cyrl-RS" sz="1100" i="1">
              <a:solidFill>
                <a:sysClr val="windowText" lastClr="000000"/>
              </a:solidFill>
              <a:latin typeface="Times New Roman" panose="02020603050405020304" pitchFamily="18" charset="0"/>
              <a:ea typeface="+mn-ea"/>
              <a:cs typeface="Times New Roman" panose="02020603050405020304" pitchFamily="18" charset="0"/>
            </a:rPr>
            <a:t>додељивањем надлежности Министарству државне управе и локалне самоуправе за формулисање и централизовано спровођење политике у овој области</a:t>
          </a:r>
          <a:endParaRPr lang="en-US"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B6E95D12-5317-47AE-91C3-06F84DD105A1}" type="parTrans" cxnId="{B21BDE17-8873-47AE-8D8C-F7A7F5E6D2DC}">
      <dgm:prSet custT="1"/>
      <dgm:spPr>
        <a:xfrm>
          <a:off x="847093" y="2499360"/>
          <a:ext cx="391803" cy="91440"/>
        </a:xfrm>
        <a:noFill/>
        <a:ln w="12700" cap="flat" cmpd="sng" algn="ctr">
          <a:solidFill>
            <a:srgbClr val="5B9BD5">
              <a:lumMod val="40000"/>
              <a:lumOff val="60000"/>
            </a:srgbClr>
          </a:solidFill>
          <a:prstDash val="solid"/>
          <a:miter lim="800000"/>
        </a:ln>
        <a:effectLst/>
      </dgm:spPr>
      <dgm:t>
        <a:bodyPr/>
        <a:lstStyle/>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68DD0AE-1784-447F-8488-5A91F124D6D5}" type="sibTrans" cxnId="{B21BDE17-8873-47AE-8D8C-F7A7F5E6D2DC}">
      <dgm:prSet/>
      <dgm:spPr/>
      <dgm:t>
        <a:bodyPr/>
        <a:lstStyle/>
        <a:p>
          <a:endParaRPr lang="en-US" sz="1100">
            <a:latin typeface="Times New Roman" panose="02020603050405020304" pitchFamily="18" charset="0"/>
            <a:cs typeface="Times New Roman" panose="02020603050405020304" pitchFamily="18" charset="0"/>
          </a:endParaRPr>
        </a:p>
      </dgm:t>
    </dgm:pt>
    <dgm:pt modelId="{5063D108-B485-43EF-9453-65802340281C}">
      <dgm:prSet phldrT="[Text]" custT="1"/>
      <dgm:spPr>
        <a:xfrm>
          <a:off x="1238897" y="2993026"/>
          <a:ext cx="4433099" cy="597261"/>
        </a:xfrm>
        <a:solidFill>
          <a:sysClr val="window" lastClr="FFFFFF"/>
        </a:solidFill>
        <a:ln w="28575" cap="flat" cmpd="sng" algn="ctr">
          <a:solidFill>
            <a:srgbClr val="5B9BD5">
              <a:lumMod val="40000"/>
              <a:lumOff val="60000"/>
            </a:srgbClr>
          </a:solidFill>
          <a:prstDash val="solid"/>
          <a:miter lim="800000"/>
        </a:ln>
        <a:effectLst/>
      </dgm:spPr>
      <dgm:t>
        <a:bodyPr lIns="72000"/>
        <a:lstStyle/>
        <a:p>
          <a:pPr algn="just">
            <a:buNone/>
          </a:pPr>
          <a:r>
            <a:rPr lang="sr-Cyrl-RS" sz="1100" b="1">
              <a:solidFill>
                <a:sysClr val="windowText" lastClr="000000"/>
              </a:solidFill>
              <a:latin typeface="Times New Roman" panose="02020603050405020304" pitchFamily="18" charset="0"/>
              <a:ea typeface="+mn-ea"/>
              <a:cs typeface="Times New Roman" panose="02020603050405020304" pitchFamily="18" charset="0"/>
            </a:rPr>
            <a:t>Опција 5:</a:t>
          </a:r>
          <a:r>
            <a:rPr lang="sr-Latn-RS" sz="1100" b="1">
              <a:solidFill>
                <a:sysClr val="windowText" lastClr="000000"/>
              </a:solidFill>
              <a:latin typeface="Times New Roman" panose="02020603050405020304" pitchFamily="18" charset="0"/>
              <a:ea typeface="+mn-ea"/>
              <a:cs typeface="Times New Roman" panose="02020603050405020304" pitchFamily="18" charset="0"/>
            </a:rPr>
            <a:t> </a:t>
          </a:r>
          <a:r>
            <a:rPr lang="sr-Cyrl-RS" sz="1100">
              <a:solidFill>
                <a:sysClr val="windowText" lastClr="000000"/>
              </a:solidFill>
              <a:latin typeface="Times New Roman" panose="02020603050405020304" pitchFamily="18" charset="0"/>
              <a:ea typeface="+mn-ea"/>
              <a:cs typeface="Times New Roman" panose="02020603050405020304" pitchFamily="18" charset="0"/>
            </a:rPr>
            <a:t>Повећање људских и техничко-технолошких капацитета јавне управе за пружање услуга крајњим корисницима децентрализовано на нивоу појединачних органа државне управе, а на основу стандарда које би прописало МДУЛС</a:t>
          </a:r>
          <a:endParaRPr lang="en-US"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64B363E3-6D59-4FFC-9E2B-7ECFA5C1696C}" type="parTrans" cxnId="{3827FB4D-0EA9-4930-9A31-D7BBB7CC7E83}">
      <dgm:prSet custT="1"/>
      <dgm:spPr>
        <a:xfrm>
          <a:off x="847093" y="2545080"/>
          <a:ext cx="391803" cy="746576"/>
        </a:xfrm>
        <a:noFill/>
        <a:ln w="12700" cap="flat" cmpd="sng" algn="ctr">
          <a:solidFill>
            <a:srgbClr val="5B9BD5">
              <a:lumMod val="40000"/>
              <a:lumOff val="60000"/>
            </a:srgbClr>
          </a:solidFill>
          <a:prstDash val="solid"/>
          <a:miter lim="800000"/>
        </a:ln>
        <a:effectLst/>
      </dgm:spPr>
      <dgm:t>
        <a:bodyPr/>
        <a:lstStyle/>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768DCCD-258D-4A83-B2E0-8B08718326E9}" type="sibTrans" cxnId="{3827FB4D-0EA9-4930-9A31-D7BBB7CC7E83}">
      <dgm:prSet/>
      <dgm:spPr/>
      <dgm:t>
        <a:bodyPr/>
        <a:lstStyle/>
        <a:p>
          <a:endParaRPr lang="en-US" sz="1100">
            <a:latin typeface="Times New Roman" panose="02020603050405020304" pitchFamily="18" charset="0"/>
            <a:cs typeface="Times New Roman" panose="02020603050405020304" pitchFamily="18" charset="0"/>
          </a:endParaRPr>
        </a:p>
      </dgm:t>
    </dgm:pt>
    <dgm:pt modelId="{3D8AD505-39BA-4811-B4E4-B8846D42A8A6}">
      <dgm:prSet phldrT="[Text]" custT="1"/>
      <dgm:spPr>
        <a:xfrm>
          <a:off x="1238897" y="4486179"/>
          <a:ext cx="4433099" cy="597261"/>
        </a:xfrm>
        <a:solidFill>
          <a:sysClr val="window" lastClr="FFFFFF"/>
        </a:solidFill>
        <a:ln w="28575" cap="flat" cmpd="sng" algn="ctr">
          <a:solidFill>
            <a:srgbClr val="5B9BD5">
              <a:lumMod val="40000"/>
              <a:lumOff val="60000"/>
            </a:srgbClr>
          </a:solidFill>
          <a:prstDash val="solid"/>
          <a:miter lim="800000"/>
        </a:ln>
        <a:effectLst/>
      </dgm:spPr>
      <dgm:t>
        <a:bodyPr lIns="72000"/>
        <a:lstStyle/>
        <a:p>
          <a:pPr algn="just">
            <a:buNone/>
          </a:pPr>
          <a:r>
            <a:rPr lang="sr-Cyrl-RS" sz="1100" b="1">
              <a:solidFill>
                <a:sysClr val="windowText" lastClr="000000"/>
              </a:solidFill>
              <a:latin typeface="Times New Roman" panose="02020603050405020304" pitchFamily="18" charset="0"/>
              <a:ea typeface="+mn-ea"/>
              <a:cs typeface="Times New Roman" panose="02020603050405020304" pitchFamily="18" charset="0"/>
            </a:rPr>
            <a:t>Опција 7:</a:t>
          </a:r>
          <a:r>
            <a:rPr lang="sr-Cyrl-RS" sz="1100">
              <a:solidFill>
                <a:sysClr val="windowText" lastClr="000000"/>
              </a:solidFill>
              <a:latin typeface="Times New Roman" panose="02020603050405020304" pitchFamily="18" charset="0"/>
              <a:ea typeface="+mn-ea"/>
              <a:cs typeface="Times New Roman" panose="02020603050405020304" pitchFamily="18" charset="0"/>
            </a:rPr>
            <a:t>Унапређење система контроле и обезбеђења квалитета услуга кроз оснивање новог органа државне управе ком би биле додељене надлежности у овим областима</a:t>
          </a:r>
          <a:endParaRPr lang="en-US"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B8101C24-BB07-4ED7-9B06-D8193BD72B14}" type="parTrans" cxnId="{0A455E1A-E7FA-403B-8ADB-C2B0C892BA0C}">
      <dgm:prSet custT="1"/>
      <dgm:spPr>
        <a:xfrm>
          <a:off x="847093" y="2545080"/>
          <a:ext cx="391803" cy="2239730"/>
        </a:xfrm>
        <a:noFill/>
        <a:ln w="12700" cap="flat" cmpd="sng" algn="ctr">
          <a:solidFill>
            <a:srgbClr val="5B9BD5">
              <a:lumMod val="40000"/>
              <a:lumOff val="60000"/>
            </a:srgbClr>
          </a:solidFill>
          <a:prstDash val="solid"/>
          <a:miter lim="800000"/>
        </a:ln>
        <a:effectLst/>
      </dgm:spPr>
      <dgm:t>
        <a:bodyPr/>
        <a:lstStyle/>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9957B19-B6B0-4607-85E7-24B3040F8DFD}" type="sibTrans" cxnId="{0A455E1A-E7FA-403B-8ADB-C2B0C892BA0C}">
      <dgm:prSet/>
      <dgm:spPr/>
      <dgm:t>
        <a:bodyPr/>
        <a:lstStyle/>
        <a:p>
          <a:endParaRPr lang="en-US" sz="1100">
            <a:latin typeface="Times New Roman" panose="02020603050405020304" pitchFamily="18" charset="0"/>
            <a:cs typeface="Times New Roman" panose="02020603050405020304" pitchFamily="18" charset="0"/>
          </a:endParaRPr>
        </a:p>
      </dgm:t>
    </dgm:pt>
    <dgm:pt modelId="{50D36138-9C61-4F57-9F53-0BD32EB88344}" type="pres">
      <dgm:prSet presAssocID="{B2C1D8B6-07AB-4EF5-A99A-C4BEED214EBB}" presName="Name0" presStyleCnt="0">
        <dgm:presLayoutVars>
          <dgm:chPref val="1"/>
          <dgm:dir/>
          <dgm:animOne val="branch"/>
          <dgm:animLvl val="lvl"/>
          <dgm:resizeHandles val="exact"/>
        </dgm:presLayoutVars>
      </dgm:prSet>
      <dgm:spPr/>
      <dgm:t>
        <a:bodyPr/>
        <a:lstStyle/>
        <a:p>
          <a:endParaRPr lang="en-US"/>
        </a:p>
      </dgm:t>
    </dgm:pt>
    <dgm:pt modelId="{EA9276E0-BCD7-49A6-9B15-3C47849B538C}" type="pres">
      <dgm:prSet presAssocID="{CAE58DE1-FA05-4B0F-9385-34860823F148}" presName="root1" presStyleCnt="0"/>
      <dgm:spPr/>
    </dgm:pt>
    <dgm:pt modelId="{C4F1E5BD-AE95-468A-8CAB-78DA9CD1FF79}" type="pres">
      <dgm:prSet presAssocID="{CAE58DE1-FA05-4B0F-9385-34860823F148}" presName="LevelOneTextNode" presStyleLbl="node0" presStyleIdx="0" presStyleCnt="1" custScaleY="161672">
        <dgm:presLayoutVars>
          <dgm:chPref val="3"/>
        </dgm:presLayoutVars>
      </dgm:prSet>
      <dgm:spPr>
        <a:prstGeom prst="rect">
          <a:avLst/>
        </a:prstGeom>
      </dgm:spPr>
      <dgm:t>
        <a:bodyPr/>
        <a:lstStyle/>
        <a:p>
          <a:endParaRPr lang="en-US"/>
        </a:p>
      </dgm:t>
    </dgm:pt>
    <dgm:pt modelId="{A28362E9-D7EE-4256-882A-06EA42961D50}" type="pres">
      <dgm:prSet presAssocID="{CAE58DE1-FA05-4B0F-9385-34860823F148}" presName="level2hierChild" presStyleCnt="0"/>
      <dgm:spPr/>
    </dgm:pt>
    <dgm:pt modelId="{1883E0E4-BCDF-4920-944B-73066B43DFA6}" type="pres">
      <dgm:prSet presAssocID="{E5794F2A-DE66-4AE1-9CCC-F82A04819677}" presName="conn2-1" presStyleLbl="parChTrans1D2" presStyleIdx="0" presStyleCnt="7"/>
      <dgm:spPr>
        <a:custGeom>
          <a:avLst/>
          <a:gdLst/>
          <a:ahLst/>
          <a:cxnLst/>
          <a:rect l="0" t="0" r="0" b="0"/>
          <a:pathLst>
            <a:path>
              <a:moveTo>
                <a:pt x="0" y="2239730"/>
              </a:moveTo>
              <a:lnTo>
                <a:pt x="195901" y="2239730"/>
              </a:lnTo>
              <a:lnTo>
                <a:pt x="195901" y="0"/>
              </a:lnTo>
              <a:lnTo>
                <a:pt x="391803" y="0"/>
              </a:lnTo>
            </a:path>
          </a:pathLst>
        </a:custGeom>
      </dgm:spPr>
      <dgm:t>
        <a:bodyPr/>
        <a:lstStyle/>
        <a:p>
          <a:endParaRPr lang="en-US"/>
        </a:p>
      </dgm:t>
    </dgm:pt>
    <dgm:pt modelId="{3BBC645B-E134-403B-86F6-650907D2D9AB}" type="pres">
      <dgm:prSet presAssocID="{E5794F2A-DE66-4AE1-9CCC-F82A04819677}" presName="connTx" presStyleLbl="parChTrans1D2" presStyleIdx="0" presStyleCnt="7"/>
      <dgm:spPr/>
      <dgm:t>
        <a:bodyPr/>
        <a:lstStyle/>
        <a:p>
          <a:endParaRPr lang="en-US"/>
        </a:p>
      </dgm:t>
    </dgm:pt>
    <dgm:pt modelId="{239A19A9-D0E3-4586-85DB-4D292FCACB38}" type="pres">
      <dgm:prSet presAssocID="{55A47015-39E0-407A-97E0-BAD1283E1276}" presName="root2" presStyleCnt="0"/>
      <dgm:spPr/>
    </dgm:pt>
    <dgm:pt modelId="{F88C40A9-29DE-480F-A954-4FDBCE95C0B0}" type="pres">
      <dgm:prSet presAssocID="{55A47015-39E0-407A-97E0-BAD1283E1276}" presName="LevelTwoTextNode" presStyleLbl="node2" presStyleIdx="0" presStyleCnt="7" custScaleX="226292">
        <dgm:presLayoutVars>
          <dgm:chPref val="3"/>
        </dgm:presLayoutVars>
      </dgm:prSet>
      <dgm:spPr>
        <a:prstGeom prst="rect">
          <a:avLst/>
        </a:prstGeom>
      </dgm:spPr>
      <dgm:t>
        <a:bodyPr/>
        <a:lstStyle/>
        <a:p>
          <a:endParaRPr lang="en-US"/>
        </a:p>
      </dgm:t>
    </dgm:pt>
    <dgm:pt modelId="{924C932E-F2AF-4277-9310-1F450C580534}" type="pres">
      <dgm:prSet presAssocID="{55A47015-39E0-407A-97E0-BAD1283E1276}" presName="level3hierChild" presStyleCnt="0"/>
      <dgm:spPr/>
    </dgm:pt>
    <dgm:pt modelId="{E118D476-0101-45BF-B05F-C51FBAFDFC07}" type="pres">
      <dgm:prSet presAssocID="{7E7068B7-436C-4126-96CE-D5720C0C90C6}" presName="conn2-1" presStyleLbl="parChTrans1D2" presStyleIdx="1" presStyleCnt="7"/>
      <dgm:spPr>
        <a:custGeom>
          <a:avLst/>
          <a:gdLst/>
          <a:ahLst/>
          <a:cxnLst/>
          <a:rect l="0" t="0" r="0" b="0"/>
          <a:pathLst>
            <a:path>
              <a:moveTo>
                <a:pt x="0" y="1493153"/>
              </a:moveTo>
              <a:lnTo>
                <a:pt x="195901" y="1493153"/>
              </a:lnTo>
              <a:lnTo>
                <a:pt x="195901" y="0"/>
              </a:lnTo>
              <a:lnTo>
                <a:pt x="391803" y="0"/>
              </a:lnTo>
            </a:path>
          </a:pathLst>
        </a:custGeom>
      </dgm:spPr>
      <dgm:t>
        <a:bodyPr/>
        <a:lstStyle/>
        <a:p>
          <a:endParaRPr lang="en-US"/>
        </a:p>
      </dgm:t>
    </dgm:pt>
    <dgm:pt modelId="{967A857B-1B1F-4C64-9E9C-4CC0C56DA06D}" type="pres">
      <dgm:prSet presAssocID="{7E7068B7-436C-4126-96CE-D5720C0C90C6}" presName="connTx" presStyleLbl="parChTrans1D2" presStyleIdx="1" presStyleCnt="7"/>
      <dgm:spPr/>
      <dgm:t>
        <a:bodyPr/>
        <a:lstStyle/>
        <a:p>
          <a:endParaRPr lang="en-US"/>
        </a:p>
      </dgm:t>
    </dgm:pt>
    <dgm:pt modelId="{F07B577D-BEB5-4FDA-A58E-6BE39465B7D8}" type="pres">
      <dgm:prSet presAssocID="{25AEDC84-C573-4236-AB41-0746E4E97231}" presName="root2" presStyleCnt="0"/>
      <dgm:spPr/>
    </dgm:pt>
    <dgm:pt modelId="{667D07C7-2D17-42EF-920D-EA5FC75E7A30}" type="pres">
      <dgm:prSet presAssocID="{25AEDC84-C573-4236-AB41-0746E4E97231}" presName="LevelTwoTextNode" presStyleLbl="node2" presStyleIdx="1" presStyleCnt="7" custScaleX="226292">
        <dgm:presLayoutVars>
          <dgm:chPref val="3"/>
        </dgm:presLayoutVars>
      </dgm:prSet>
      <dgm:spPr>
        <a:prstGeom prst="rect">
          <a:avLst/>
        </a:prstGeom>
      </dgm:spPr>
      <dgm:t>
        <a:bodyPr/>
        <a:lstStyle/>
        <a:p>
          <a:endParaRPr lang="en-US"/>
        </a:p>
      </dgm:t>
    </dgm:pt>
    <dgm:pt modelId="{C6D58084-55BD-433F-A058-253BD8E56A50}" type="pres">
      <dgm:prSet presAssocID="{25AEDC84-C573-4236-AB41-0746E4E97231}" presName="level3hierChild" presStyleCnt="0"/>
      <dgm:spPr/>
    </dgm:pt>
    <dgm:pt modelId="{F247782D-39E0-47E0-AB18-D1B553246E16}" type="pres">
      <dgm:prSet presAssocID="{A2FF356E-C314-411C-B90B-577EF31A1DAF}" presName="conn2-1" presStyleLbl="parChTrans1D2" presStyleIdx="2" presStyleCnt="7"/>
      <dgm:spPr>
        <a:custGeom>
          <a:avLst/>
          <a:gdLst/>
          <a:ahLst/>
          <a:cxnLst/>
          <a:rect l="0" t="0" r="0" b="0"/>
          <a:pathLst>
            <a:path>
              <a:moveTo>
                <a:pt x="0" y="746576"/>
              </a:moveTo>
              <a:lnTo>
                <a:pt x="195901" y="746576"/>
              </a:lnTo>
              <a:lnTo>
                <a:pt x="195901" y="0"/>
              </a:lnTo>
              <a:lnTo>
                <a:pt x="391803" y="0"/>
              </a:lnTo>
            </a:path>
          </a:pathLst>
        </a:custGeom>
      </dgm:spPr>
      <dgm:t>
        <a:bodyPr/>
        <a:lstStyle/>
        <a:p>
          <a:endParaRPr lang="en-US"/>
        </a:p>
      </dgm:t>
    </dgm:pt>
    <dgm:pt modelId="{1B438AB8-C2BD-475F-9C60-F92627CFE4D7}" type="pres">
      <dgm:prSet presAssocID="{A2FF356E-C314-411C-B90B-577EF31A1DAF}" presName="connTx" presStyleLbl="parChTrans1D2" presStyleIdx="2" presStyleCnt="7"/>
      <dgm:spPr/>
      <dgm:t>
        <a:bodyPr/>
        <a:lstStyle/>
        <a:p>
          <a:endParaRPr lang="en-US"/>
        </a:p>
      </dgm:t>
    </dgm:pt>
    <dgm:pt modelId="{5B0593F0-2FFC-4F14-83F2-3CCBDEC6DCCB}" type="pres">
      <dgm:prSet presAssocID="{259B5744-570F-43CB-B476-946E1A1C04C6}" presName="root2" presStyleCnt="0"/>
      <dgm:spPr/>
    </dgm:pt>
    <dgm:pt modelId="{A479F1D7-7731-4507-BBC9-132385665D65}" type="pres">
      <dgm:prSet presAssocID="{259B5744-570F-43CB-B476-946E1A1C04C6}" presName="LevelTwoTextNode" presStyleLbl="node2" presStyleIdx="2" presStyleCnt="7" custScaleX="226292">
        <dgm:presLayoutVars>
          <dgm:chPref val="3"/>
        </dgm:presLayoutVars>
      </dgm:prSet>
      <dgm:spPr>
        <a:prstGeom prst="rect">
          <a:avLst/>
        </a:prstGeom>
      </dgm:spPr>
      <dgm:t>
        <a:bodyPr/>
        <a:lstStyle/>
        <a:p>
          <a:endParaRPr lang="en-US"/>
        </a:p>
      </dgm:t>
    </dgm:pt>
    <dgm:pt modelId="{7160845B-1B0D-4116-AA0C-BA2A8A28969F}" type="pres">
      <dgm:prSet presAssocID="{259B5744-570F-43CB-B476-946E1A1C04C6}" presName="level3hierChild" presStyleCnt="0"/>
      <dgm:spPr/>
    </dgm:pt>
    <dgm:pt modelId="{5EEE8371-2F7E-4A68-BBFE-54DC66942AD6}" type="pres">
      <dgm:prSet presAssocID="{B6E95D12-5317-47AE-91C3-06F84DD105A1}" presName="conn2-1" presStyleLbl="parChTrans1D2" presStyleIdx="3" presStyleCnt="7"/>
      <dgm:spPr>
        <a:custGeom>
          <a:avLst/>
          <a:gdLst/>
          <a:ahLst/>
          <a:cxnLst/>
          <a:rect l="0" t="0" r="0" b="0"/>
          <a:pathLst>
            <a:path>
              <a:moveTo>
                <a:pt x="0" y="45720"/>
              </a:moveTo>
              <a:lnTo>
                <a:pt x="391803" y="45720"/>
              </a:lnTo>
            </a:path>
          </a:pathLst>
        </a:custGeom>
      </dgm:spPr>
      <dgm:t>
        <a:bodyPr/>
        <a:lstStyle/>
        <a:p>
          <a:endParaRPr lang="en-US"/>
        </a:p>
      </dgm:t>
    </dgm:pt>
    <dgm:pt modelId="{AC95BB17-AA75-4D07-B600-7A524AE04C5D}" type="pres">
      <dgm:prSet presAssocID="{B6E95D12-5317-47AE-91C3-06F84DD105A1}" presName="connTx" presStyleLbl="parChTrans1D2" presStyleIdx="3" presStyleCnt="7"/>
      <dgm:spPr/>
      <dgm:t>
        <a:bodyPr/>
        <a:lstStyle/>
        <a:p>
          <a:endParaRPr lang="en-US"/>
        </a:p>
      </dgm:t>
    </dgm:pt>
    <dgm:pt modelId="{8109A4F9-8D22-466D-A80A-6204FB7F3F3E}" type="pres">
      <dgm:prSet presAssocID="{0BBE6D99-57AB-49CE-9D8B-E0FF36551A0B}" presName="root2" presStyleCnt="0"/>
      <dgm:spPr/>
    </dgm:pt>
    <dgm:pt modelId="{FE604BBC-9296-475C-BD8F-8E55DB61AD25}" type="pres">
      <dgm:prSet presAssocID="{0BBE6D99-57AB-49CE-9D8B-E0FF36551A0B}" presName="LevelTwoTextNode" presStyleLbl="node2" presStyleIdx="3" presStyleCnt="7" custScaleX="226292">
        <dgm:presLayoutVars>
          <dgm:chPref val="3"/>
        </dgm:presLayoutVars>
      </dgm:prSet>
      <dgm:spPr>
        <a:prstGeom prst="rect">
          <a:avLst/>
        </a:prstGeom>
      </dgm:spPr>
      <dgm:t>
        <a:bodyPr/>
        <a:lstStyle/>
        <a:p>
          <a:endParaRPr lang="en-US"/>
        </a:p>
      </dgm:t>
    </dgm:pt>
    <dgm:pt modelId="{A7713661-D311-40DE-91A0-8212D0CDF69E}" type="pres">
      <dgm:prSet presAssocID="{0BBE6D99-57AB-49CE-9D8B-E0FF36551A0B}" presName="level3hierChild" presStyleCnt="0"/>
      <dgm:spPr/>
    </dgm:pt>
    <dgm:pt modelId="{2D7DD8DE-CE7B-405A-9621-35C26BB4E44C}" type="pres">
      <dgm:prSet presAssocID="{64B363E3-6D59-4FFC-9E2B-7ECFA5C1696C}" presName="conn2-1" presStyleLbl="parChTrans1D2" presStyleIdx="4" presStyleCnt="7"/>
      <dgm:spPr>
        <a:custGeom>
          <a:avLst/>
          <a:gdLst/>
          <a:ahLst/>
          <a:cxnLst/>
          <a:rect l="0" t="0" r="0" b="0"/>
          <a:pathLst>
            <a:path>
              <a:moveTo>
                <a:pt x="0" y="0"/>
              </a:moveTo>
              <a:lnTo>
                <a:pt x="195901" y="0"/>
              </a:lnTo>
              <a:lnTo>
                <a:pt x="195901" y="746576"/>
              </a:lnTo>
              <a:lnTo>
                <a:pt x="391803" y="746576"/>
              </a:lnTo>
            </a:path>
          </a:pathLst>
        </a:custGeom>
      </dgm:spPr>
      <dgm:t>
        <a:bodyPr/>
        <a:lstStyle/>
        <a:p>
          <a:endParaRPr lang="en-US"/>
        </a:p>
      </dgm:t>
    </dgm:pt>
    <dgm:pt modelId="{B6ECB164-2887-4508-81E9-A35FD62AD72B}" type="pres">
      <dgm:prSet presAssocID="{64B363E3-6D59-4FFC-9E2B-7ECFA5C1696C}" presName="connTx" presStyleLbl="parChTrans1D2" presStyleIdx="4" presStyleCnt="7"/>
      <dgm:spPr/>
      <dgm:t>
        <a:bodyPr/>
        <a:lstStyle/>
        <a:p>
          <a:endParaRPr lang="en-US"/>
        </a:p>
      </dgm:t>
    </dgm:pt>
    <dgm:pt modelId="{4A6035B8-990B-4F59-9972-155581356E26}" type="pres">
      <dgm:prSet presAssocID="{5063D108-B485-43EF-9453-65802340281C}" presName="root2" presStyleCnt="0"/>
      <dgm:spPr/>
    </dgm:pt>
    <dgm:pt modelId="{8A5E0E2A-DD69-4E28-ABB4-5019B313A01A}" type="pres">
      <dgm:prSet presAssocID="{5063D108-B485-43EF-9453-65802340281C}" presName="LevelTwoTextNode" presStyleLbl="node2" presStyleIdx="4" presStyleCnt="7" custScaleX="226292">
        <dgm:presLayoutVars>
          <dgm:chPref val="3"/>
        </dgm:presLayoutVars>
      </dgm:prSet>
      <dgm:spPr>
        <a:prstGeom prst="rect">
          <a:avLst/>
        </a:prstGeom>
      </dgm:spPr>
      <dgm:t>
        <a:bodyPr/>
        <a:lstStyle/>
        <a:p>
          <a:endParaRPr lang="en-US"/>
        </a:p>
      </dgm:t>
    </dgm:pt>
    <dgm:pt modelId="{647DA367-E197-49A0-85A2-741ADB273EB9}" type="pres">
      <dgm:prSet presAssocID="{5063D108-B485-43EF-9453-65802340281C}" presName="level3hierChild" presStyleCnt="0"/>
      <dgm:spPr/>
    </dgm:pt>
    <dgm:pt modelId="{3016B725-D584-4122-8140-0C38E2EE4D57}" type="pres">
      <dgm:prSet presAssocID="{EE900155-A25C-4E33-A331-03CD31E9E01C}" presName="conn2-1" presStyleLbl="parChTrans1D2" presStyleIdx="5" presStyleCnt="7"/>
      <dgm:spPr>
        <a:custGeom>
          <a:avLst/>
          <a:gdLst/>
          <a:ahLst/>
          <a:cxnLst/>
          <a:rect l="0" t="0" r="0" b="0"/>
          <a:pathLst>
            <a:path>
              <a:moveTo>
                <a:pt x="0" y="0"/>
              </a:moveTo>
              <a:lnTo>
                <a:pt x="195901" y="0"/>
              </a:lnTo>
              <a:lnTo>
                <a:pt x="195901" y="1493153"/>
              </a:lnTo>
              <a:lnTo>
                <a:pt x="391803" y="1493153"/>
              </a:lnTo>
            </a:path>
          </a:pathLst>
        </a:custGeom>
      </dgm:spPr>
      <dgm:t>
        <a:bodyPr/>
        <a:lstStyle/>
        <a:p>
          <a:endParaRPr lang="en-US"/>
        </a:p>
      </dgm:t>
    </dgm:pt>
    <dgm:pt modelId="{AB17CF71-16D6-4D41-A164-02251BC3848E}" type="pres">
      <dgm:prSet presAssocID="{EE900155-A25C-4E33-A331-03CD31E9E01C}" presName="connTx" presStyleLbl="parChTrans1D2" presStyleIdx="5" presStyleCnt="7"/>
      <dgm:spPr/>
      <dgm:t>
        <a:bodyPr/>
        <a:lstStyle/>
        <a:p>
          <a:endParaRPr lang="en-US"/>
        </a:p>
      </dgm:t>
    </dgm:pt>
    <dgm:pt modelId="{8CE30DBF-D038-462C-B490-6EE616C042FA}" type="pres">
      <dgm:prSet presAssocID="{256EBA0F-AE17-4AED-B01D-820C11CD1221}" presName="root2" presStyleCnt="0"/>
      <dgm:spPr/>
    </dgm:pt>
    <dgm:pt modelId="{5DB7D626-B287-41A9-9E98-DC65020B306F}" type="pres">
      <dgm:prSet presAssocID="{256EBA0F-AE17-4AED-B01D-820C11CD1221}" presName="LevelTwoTextNode" presStyleLbl="node2" presStyleIdx="5" presStyleCnt="7" custScaleX="226292">
        <dgm:presLayoutVars>
          <dgm:chPref val="3"/>
        </dgm:presLayoutVars>
      </dgm:prSet>
      <dgm:spPr>
        <a:prstGeom prst="rect">
          <a:avLst/>
        </a:prstGeom>
      </dgm:spPr>
      <dgm:t>
        <a:bodyPr/>
        <a:lstStyle/>
        <a:p>
          <a:endParaRPr lang="en-US"/>
        </a:p>
      </dgm:t>
    </dgm:pt>
    <dgm:pt modelId="{A943701E-E929-4DD1-BB48-720FBA347A8F}" type="pres">
      <dgm:prSet presAssocID="{256EBA0F-AE17-4AED-B01D-820C11CD1221}" presName="level3hierChild" presStyleCnt="0"/>
      <dgm:spPr/>
    </dgm:pt>
    <dgm:pt modelId="{1AD313B8-6AFD-49EA-BB37-4C9470974E0E}" type="pres">
      <dgm:prSet presAssocID="{B8101C24-BB07-4ED7-9B06-D8193BD72B14}" presName="conn2-1" presStyleLbl="parChTrans1D2" presStyleIdx="6" presStyleCnt="7"/>
      <dgm:spPr>
        <a:custGeom>
          <a:avLst/>
          <a:gdLst/>
          <a:ahLst/>
          <a:cxnLst/>
          <a:rect l="0" t="0" r="0" b="0"/>
          <a:pathLst>
            <a:path>
              <a:moveTo>
                <a:pt x="0" y="0"/>
              </a:moveTo>
              <a:lnTo>
                <a:pt x="195901" y="0"/>
              </a:lnTo>
              <a:lnTo>
                <a:pt x="195901" y="2239730"/>
              </a:lnTo>
              <a:lnTo>
                <a:pt x="391803" y="2239730"/>
              </a:lnTo>
            </a:path>
          </a:pathLst>
        </a:custGeom>
      </dgm:spPr>
      <dgm:t>
        <a:bodyPr/>
        <a:lstStyle/>
        <a:p>
          <a:endParaRPr lang="en-US"/>
        </a:p>
      </dgm:t>
    </dgm:pt>
    <dgm:pt modelId="{B7D72B2B-C913-418F-9A6C-3012877E6EA7}" type="pres">
      <dgm:prSet presAssocID="{B8101C24-BB07-4ED7-9B06-D8193BD72B14}" presName="connTx" presStyleLbl="parChTrans1D2" presStyleIdx="6" presStyleCnt="7"/>
      <dgm:spPr/>
      <dgm:t>
        <a:bodyPr/>
        <a:lstStyle/>
        <a:p>
          <a:endParaRPr lang="en-US"/>
        </a:p>
      </dgm:t>
    </dgm:pt>
    <dgm:pt modelId="{4883F6B0-5FF3-4B74-8119-BC7D16E0E07C}" type="pres">
      <dgm:prSet presAssocID="{3D8AD505-39BA-4811-B4E4-B8846D42A8A6}" presName="root2" presStyleCnt="0"/>
      <dgm:spPr/>
    </dgm:pt>
    <dgm:pt modelId="{70C1434B-BD91-4AE0-B5DD-534A24CF7D41}" type="pres">
      <dgm:prSet presAssocID="{3D8AD505-39BA-4811-B4E4-B8846D42A8A6}" presName="LevelTwoTextNode" presStyleLbl="node2" presStyleIdx="6" presStyleCnt="7" custScaleX="226292">
        <dgm:presLayoutVars>
          <dgm:chPref val="3"/>
        </dgm:presLayoutVars>
      </dgm:prSet>
      <dgm:spPr>
        <a:prstGeom prst="rect">
          <a:avLst/>
        </a:prstGeom>
      </dgm:spPr>
      <dgm:t>
        <a:bodyPr/>
        <a:lstStyle/>
        <a:p>
          <a:endParaRPr lang="en-US"/>
        </a:p>
      </dgm:t>
    </dgm:pt>
    <dgm:pt modelId="{67AC3689-4829-4420-B861-BA0997C3EC43}" type="pres">
      <dgm:prSet presAssocID="{3D8AD505-39BA-4811-B4E4-B8846D42A8A6}" presName="level3hierChild" presStyleCnt="0"/>
      <dgm:spPr/>
    </dgm:pt>
  </dgm:ptLst>
  <dgm:cxnLst>
    <dgm:cxn modelId="{DCF5CC95-5B29-4122-B4CC-D961901AE3AA}" type="presOf" srcId="{7E7068B7-436C-4126-96CE-D5720C0C90C6}" destId="{967A857B-1B1F-4C64-9E9C-4CC0C56DA06D}" srcOrd="1" destOrd="0" presId="urn:microsoft.com/office/officeart/2008/layout/HorizontalMultiLevelHierarchy"/>
    <dgm:cxn modelId="{D06221CB-E140-4EC3-B362-BA65E675F9D4}" type="presOf" srcId="{B8101C24-BB07-4ED7-9B06-D8193BD72B14}" destId="{B7D72B2B-C913-418F-9A6C-3012877E6EA7}" srcOrd="1" destOrd="0" presId="urn:microsoft.com/office/officeart/2008/layout/HorizontalMultiLevelHierarchy"/>
    <dgm:cxn modelId="{39A8307E-BCA4-4380-9D0E-187565E8C35B}" type="presOf" srcId="{B6E95D12-5317-47AE-91C3-06F84DD105A1}" destId="{AC95BB17-AA75-4D07-B600-7A524AE04C5D}" srcOrd="1" destOrd="0" presId="urn:microsoft.com/office/officeart/2008/layout/HorizontalMultiLevelHierarchy"/>
    <dgm:cxn modelId="{2F073329-E04C-4233-95C6-80B85BE3D8DD}" type="presOf" srcId="{B2C1D8B6-07AB-4EF5-A99A-C4BEED214EBB}" destId="{50D36138-9C61-4F57-9F53-0BD32EB88344}" srcOrd="0" destOrd="0" presId="urn:microsoft.com/office/officeart/2008/layout/HorizontalMultiLevelHierarchy"/>
    <dgm:cxn modelId="{F8985F6B-C124-4E4E-AFCA-AF6A480C0F93}" type="presOf" srcId="{EE900155-A25C-4E33-A331-03CD31E9E01C}" destId="{3016B725-D584-4122-8140-0C38E2EE4D57}" srcOrd="0" destOrd="0" presId="urn:microsoft.com/office/officeart/2008/layout/HorizontalMultiLevelHierarchy"/>
    <dgm:cxn modelId="{B42A5022-59AF-47EC-AFA4-D6B5E2B3B463}" type="presOf" srcId="{EE900155-A25C-4E33-A331-03CD31E9E01C}" destId="{AB17CF71-16D6-4D41-A164-02251BC3848E}" srcOrd="1" destOrd="0" presId="urn:microsoft.com/office/officeart/2008/layout/HorizontalMultiLevelHierarchy"/>
    <dgm:cxn modelId="{FFACF10D-B546-4750-A0DF-7B34EAEA48BB}" type="presOf" srcId="{E5794F2A-DE66-4AE1-9CCC-F82A04819677}" destId="{3BBC645B-E134-403B-86F6-650907D2D9AB}" srcOrd="1" destOrd="0" presId="urn:microsoft.com/office/officeart/2008/layout/HorizontalMultiLevelHierarchy"/>
    <dgm:cxn modelId="{3FBF5147-51BC-438B-A22C-6ECA01E183F4}" type="presOf" srcId="{7E7068B7-436C-4126-96CE-D5720C0C90C6}" destId="{E118D476-0101-45BF-B05F-C51FBAFDFC07}" srcOrd="0" destOrd="0" presId="urn:microsoft.com/office/officeart/2008/layout/HorizontalMultiLevelHierarchy"/>
    <dgm:cxn modelId="{3827FB4D-0EA9-4930-9A31-D7BBB7CC7E83}" srcId="{CAE58DE1-FA05-4B0F-9385-34860823F148}" destId="{5063D108-B485-43EF-9453-65802340281C}" srcOrd="4" destOrd="0" parTransId="{64B363E3-6D59-4FFC-9E2B-7ECFA5C1696C}" sibTransId="{F768DCCD-258D-4A83-B2E0-8B08718326E9}"/>
    <dgm:cxn modelId="{E99E62E7-4F71-428A-B4C6-E42EE6AC77BE}" type="presOf" srcId="{0BBE6D99-57AB-49CE-9D8B-E0FF36551A0B}" destId="{FE604BBC-9296-475C-BD8F-8E55DB61AD25}" srcOrd="0" destOrd="0" presId="urn:microsoft.com/office/officeart/2008/layout/HorizontalMultiLevelHierarchy"/>
    <dgm:cxn modelId="{948448D8-5EE3-451B-AB36-AFCF541C0DFC}" srcId="{CAE58DE1-FA05-4B0F-9385-34860823F148}" destId="{256EBA0F-AE17-4AED-B01D-820C11CD1221}" srcOrd="5" destOrd="0" parTransId="{EE900155-A25C-4E33-A331-03CD31E9E01C}" sibTransId="{B1AF200B-8399-4455-A0AC-220EDA7DC149}"/>
    <dgm:cxn modelId="{9C50C5D5-ED50-4FA4-AB9E-D2930A93BF33}" type="presOf" srcId="{A2FF356E-C314-411C-B90B-577EF31A1DAF}" destId="{F247782D-39E0-47E0-AB18-D1B553246E16}" srcOrd="0" destOrd="0" presId="urn:microsoft.com/office/officeart/2008/layout/HorizontalMultiLevelHierarchy"/>
    <dgm:cxn modelId="{6238E062-00C4-4162-B617-AA85963AA714}" type="presOf" srcId="{CAE58DE1-FA05-4B0F-9385-34860823F148}" destId="{C4F1E5BD-AE95-468A-8CAB-78DA9CD1FF79}" srcOrd="0" destOrd="0" presId="urn:microsoft.com/office/officeart/2008/layout/HorizontalMultiLevelHierarchy"/>
    <dgm:cxn modelId="{93E8A23D-456F-430B-9BA4-DD451CC8AAAF}" type="presOf" srcId="{25AEDC84-C573-4236-AB41-0746E4E97231}" destId="{667D07C7-2D17-42EF-920D-EA5FC75E7A30}" srcOrd="0" destOrd="0" presId="urn:microsoft.com/office/officeart/2008/layout/HorizontalMultiLevelHierarchy"/>
    <dgm:cxn modelId="{4603C4EF-062C-47B2-B3CF-AD1C973D834E}" type="presOf" srcId="{B8101C24-BB07-4ED7-9B06-D8193BD72B14}" destId="{1AD313B8-6AFD-49EA-BB37-4C9470974E0E}" srcOrd="0" destOrd="0" presId="urn:microsoft.com/office/officeart/2008/layout/HorizontalMultiLevelHierarchy"/>
    <dgm:cxn modelId="{FA7E88D7-FD1F-46A1-8F96-7C5624F18A8C}" type="presOf" srcId="{259B5744-570F-43CB-B476-946E1A1C04C6}" destId="{A479F1D7-7731-4507-BBC9-132385665D65}" srcOrd="0" destOrd="0" presId="urn:microsoft.com/office/officeart/2008/layout/HorizontalMultiLevelHierarchy"/>
    <dgm:cxn modelId="{5FF29AF9-374B-4DC3-904D-511F51FE01F2}" srcId="{CAE58DE1-FA05-4B0F-9385-34860823F148}" destId="{55A47015-39E0-407A-97E0-BAD1283E1276}" srcOrd="0" destOrd="0" parTransId="{E5794F2A-DE66-4AE1-9CCC-F82A04819677}" sibTransId="{AB3B8023-78E9-4234-8F2E-20683FBC36BA}"/>
    <dgm:cxn modelId="{6DC55D95-DC08-4399-9A8B-16E020E319A2}" type="presOf" srcId="{B6E95D12-5317-47AE-91C3-06F84DD105A1}" destId="{5EEE8371-2F7E-4A68-BBFE-54DC66942AD6}" srcOrd="0" destOrd="0" presId="urn:microsoft.com/office/officeart/2008/layout/HorizontalMultiLevelHierarchy"/>
    <dgm:cxn modelId="{639DA0C0-5A68-4154-823A-DCA6C1B89576}" type="presOf" srcId="{E5794F2A-DE66-4AE1-9CCC-F82A04819677}" destId="{1883E0E4-BCDF-4920-944B-73066B43DFA6}" srcOrd="0" destOrd="0" presId="urn:microsoft.com/office/officeart/2008/layout/HorizontalMultiLevelHierarchy"/>
    <dgm:cxn modelId="{B21BDE17-8873-47AE-8D8C-F7A7F5E6D2DC}" srcId="{CAE58DE1-FA05-4B0F-9385-34860823F148}" destId="{0BBE6D99-57AB-49CE-9D8B-E0FF36551A0B}" srcOrd="3" destOrd="0" parTransId="{B6E95D12-5317-47AE-91C3-06F84DD105A1}" sibTransId="{068DD0AE-1784-447F-8488-5A91F124D6D5}"/>
    <dgm:cxn modelId="{C8E6FF3C-C015-41A7-9AE8-F68BED752610}" type="presOf" srcId="{3D8AD505-39BA-4811-B4E4-B8846D42A8A6}" destId="{70C1434B-BD91-4AE0-B5DD-534A24CF7D41}" srcOrd="0" destOrd="0" presId="urn:microsoft.com/office/officeart/2008/layout/HorizontalMultiLevelHierarchy"/>
    <dgm:cxn modelId="{A7696E5C-9F55-4F4F-A0A5-2C64278B478D}" type="presOf" srcId="{55A47015-39E0-407A-97E0-BAD1283E1276}" destId="{F88C40A9-29DE-480F-A954-4FDBCE95C0B0}" srcOrd="0" destOrd="0" presId="urn:microsoft.com/office/officeart/2008/layout/HorizontalMultiLevelHierarchy"/>
    <dgm:cxn modelId="{0A455E1A-E7FA-403B-8ADB-C2B0C892BA0C}" srcId="{CAE58DE1-FA05-4B0F-9385-34860823F148}" destId="{3D8AD505-39BA-4811-B4E4-B8846D42A8A6}" srcOrd="6" destOrd="0" parTransId="{B8101C24-BB07-4ED7-9B06-D8193BD72B14}" sibTransId="{F9957B19-B6B0-4607-85E7-24B3040F8DFD}"/>
    <dgm:cxn modelId="{B1EBB18F-68A8-4393-BB3C-FD1AD199CD18}" type="presOf" srcId="{64B363E3-6D59-4FFC-9E2B-7ECFA5C1696C}" destId="{B6ECB164-2887-4508-81E9-A35FD62AD72B}" srcOrd="1" destOrd="0" presId="urn:microsoft.com/office/officeart/2008/layout/HorizontalMultiLevelHierarchy"/>
    <dgm:cxn modelId="{237ED82C-CCA9-475F-B471-9C7DC8B2E3F1}" srcId="{B2C1D8B6-07AB-4EF5-A99A-C4BEED214EBB}" destId="{CAE58DE1-FA05-4B0F-9385-34860823F148}" srcOrd="0" destOrd="0" parTransId="{298ECC31-9172-441B-939B-6EDE12B22EF2}" sibTransId="{90CB957A-0605-43B5-B11C-8E047FF8C9A9}"/>
    <dgm:cxn modelId="{F71E398B-10CD-4619-9BC4-1D656B65A2EB}" type="presOf" srcId="{A2FF356E-C314-411C-B90B-577EF31A1DAF}" destId="{1B438AB8-C2BD-475F-9C60-F92627CFE4D7}" srcOrd="1" destOrd="0" presId="urn:microsoft.com/office/officeart/2008/layout/HorizontalMultiLevelHierarchy"/>
    <dgm:cxn modelId="{A83A488B-3889-4C22-B49B-CA04E41FB19C}" srcId="{CAE58DE1-FA05-4B0F-9385-34860823F148}" destId="{25AEDC84-C573-4236-AB41-0746E4E97231}" srcOrd="1" destOrd="0" parTransId="{7E7068B7-436C-4126-96CE-D5720C0C90C6}" sibTransId="{6A60238F-BBA3-4694-8C66-5F33BEDD62DF}"/>
    <dgm:cxn modelId="{AAA367F7-9DA2-46B4-A88E-E760C4ACCE65}" type="presOf" srcId="{5063D108-B485-43EF-9453-65802340281C}" destId="{8A5E0E2A-DD69-4E28-ABB4-5019B313A01A}" srcOrd="0" destOrd="0" presId="urn:microsoft.com/office/officeart/2008/layout/HorizontalMultiLevelHierarchy"/>
    <dgm:cxn modelId="{653CBF82-59DF-4429-A7AF-36125A0F2675}" srcId="{CAE58DE1-FA05-4B0F-9385-34860823F148}" destId="{259B5744-570F-43CB-B476-946E1A1C04C6}" srcOrd="2" destOrd="0" parTransId="{A2FF356E-C314-411C-B90B-577EF31A1DAF}" sibTransId="{30E5B2EE-51A0-4D0E-9E57-2840D8C2DEC1}"/>
    <dgm:cxn modelId="{BAED8280-9882-4F67-B4FA-55B372E003E8}" type="presOf" srcId="{256EBA0F-AE17-4AED-B01D-820C11CD1221}" destId="{5DB7D626-B287-41A9-9E98-DC65020B306F}" srcOrd="0" destOrd="0" presId="urn:microsoft.com/office/officeart/2008/layout/HorizontalMultiLevelHierarchy"/>
    <dgm:cxn modelId="{FC9FCB2A-4FE9-4E4D-9291-C5D576F1B095}" type="presOf" srcId="{64B363E3-6D59-4FFC-9E2B-7ECFA5C1696C}" destId="{2D7DD8DE-CE7B-405A-9621-35C26BB4E44C}" srcOrd="0" destOrd="0" presId="urn:microsoft.com/office/officeart/2008/layout/HorizontalMultiLevelHierarchy"/>
    <dgm:cxn modelId="{E14047B2-206F-4A30-A921-140EAB52B069}" type="presParOf" srcId="{50D36138-9C61-4F57-9F53-0BD32EB88344}" destId="{EA9276E0-BCD7-49A6-9B15-3C47849B538C}" srcOrd="0" destOrd="0" presId="urn:microsoft.com/office/officeart/2008/layout/HorizontalMultiLevelHierarchy"/>
    <dgm:cxn modelId="{88C45E4D-02B5-4710-B76D-A74B6CB49ADE}" type="presParOf" srcId="{EA9276E0-BCD7-49A6-9B15-3C47849B538C}" destId="{C4F1E5BD-AE95-468A-8CAB-78DA9CD1FF79}" srcOrd="0" destOrd="0" presId="urn:microsoft.com/office/officeart/2008/layout/HorizontalMultiLevelHierarchy"/>
    <dgm:cxn modelId="{3ED5AB53-E418-475D-ABE3-C7E3DDFF0A2E}" type="presParOf" srcId="{EA9276E0-BCD7-49A6-9B15-3C47849B538C}" destId="{A28362E9-D7EE-4256-882A-06EA42961D50}" srcOrd="1" destOrd="0" presId="urn:microsoft.com/office/officeart/2008/layout/HorizontalMultiLevelHierarchy"/>
    <dgm:cxn modelId="{F1DBCBC4-B47C-4E9E-8B99-520D3D1313EC}" type="presParOf" srcId="{A28362E9-D7EE-4256-882A-06EA42961D50}" destId="{1883E0E4-BCDF-4920-944B-73066B43DFA6}" srcOrd="0" destOrd="0" presId="urn:microsoft.com/office/officeart/2008/layout/HorizontalMultiLevelHierarchy"/>
    <dgm:cxn modelId="{F749427E-4888-4F61-AE8B-D6ECF2578A60}" type="presParOf" srcId="{1883E0E4-BCDF-4920-944B-73066B43DFA6}" destId="{3BBC645B-E134-403B-86F6-650907D2D9AB}" srcOrd="0" destOrd="0" presId="urn:microsoft.com/office/officeart/2008/layout/HorizontalMultiLevelHierarchy"/>
    <dgm:cxn modelId="{70DB5A34-8BBA-471E-B051-361F5ED763C9}" type="presParOf" srcId="{A28362E9-D7EE-4256-882A-06EA42961D50}" destId="{239A19A9-D0E3-4586-85DB-4D292FCACB38}" srcOrd="1" destOrd="0" presId="urn:microsoft.com/office/officeart/2008/layout/HorizontalMultiLevelHierarchy"/>
    <dgm:cxn modelId="{61800329-BC22-4132-B33A-B77F2210D432}" type="presParOf" srcId="{239A19A9-D0E3-4586-85DB-4D292FCACB38}" destId="{F88C40A9-29DE-480F-A954-4FDBCE95C0B0}" srcOrd="0" destOrd="0" presId="urn:microsoft.com/office/officeart/2008/layout/HorizontalMultiLevelHierarchy"/>
    <dgm:cxn modelId="{F5120FBE-3C1E-4899-B350-652C4F266306}" type="presParOf" srcId="{239A19A9-D0E3-4586-85DB-4D292FCACB38}" destId="{924C932E-F2AF-4277-9310-1F450C580534}" srcOrd="1" destOrd="0" presId="urn:microsoft.com/office/officeart/2008/layout/HorizontalMultiLevelHierarchy"/>
    <dgm:cxn modelId="{0927A332-FA97-48AC-985A-9B89DF5B792D}" type="presParOf" srcId="{A28362E9-D7EE-4256-882A-06EA42961D50}" destId="{E118D476-0101-45BF-B05F-C51FBAFDFC07}" srcOrd="2" destOrd="0" presId="urn:microsoft.com/office/officeart/2008/layout/HorizontalMultiLevelHierarchy"/>
    <dgm:cxn modelId="{EB880162-DDE3-4A2A-8016-92DECC94CDF0}" type="presParOf" srcId="{E118D476-0101-45BF-B05F-C51FBAFDFC07}" destId="{967A857B-1B1F-4C64-9E9C-4CC0C56DA06D}" srcOrd="0" destOrd="0" presId="urn:microsoft.com/office/officeart/2008/layout/HorizontalMultiLevelHierarchy"/>
    <dgm:cxn modelId="{F99D4AA3-4F34-40A2-A45C-196D4FAA7B78}" type="presParOf" srcId="{A28362E9-D7EE-4256-882A-06EA42961D50}" destId="{F07B577D-BEB5-4FDA-A58E-6BE39465B7D8}" srcOrd="3" destOrd="0" presId="urn:microsoft.com/office/officeart/2008/layout/HorizontalMultiLevelHierarchy"/>
    <dgm:cxn modelId="{4B3ED56D-2B3D-43A7-B7CD-6F925A23B084}" type="presParOf" srcId="{F07B577D-BEB5-4FDA-A58E-6BE39465B7D8}" destId="{667D07C7-2D17-42EF-920D-EA5FC75E7A30}" srcOrd="0" destOrd="0" presId="urn:microsoft.com/office/officeart/2008/layout/HorizontalMultiLevelHierarchy"/>
    <dgm:cxn modelId="{9BA7B714-EED0-4EF1-9851-E95B7590AC48}" type="presParOf" srcId="{F07B577D-BEB5-4FDA-A58E-6BE39465B7D8}" destId="{C6D58084-55BD-433F-A058-253BD8E56A50}" srcOrd="1" destOrd="0" presId="urn:microsoft.com/office/officeart/2008/layout/HorizontalMultiLevelHierarchy"/>
    <dgm:cxn modelId="{713F0B9E-1EA6-46E5-A557-308316C33768}" type="presParOf" srcId="{A28362E9-D7EE-4256-882A-06EA42961D50}" destId="{F247782D-39E0-47E0-AB18-D1B553246E16}" srcOrd="4" destOrd="0" presId="urn:microsoft.com/office/officeart/2008/layout/HorizontalMultiLevelHierarchy"/>
    <dgm:cxn modelId="{5C035828-7BC3-45BE-A077-5F92957BB3CC}" type="presParOf" srcId="{F247782D-39E0-47E0-AB18-D1B553246E16}" destId="{1B438AB8-C2BD-475F-9C60-F92627CFE4D7}" srcOrd="0" destOrd="0" presId="urn:microsoft.com/office/officeart/2008/layout/HorizontalMultiLevelHierarchy"/>
    <dgm:cxn modelId="{EE15069E-4241-498B-9D9E-BE0CC0C79037}" type="presParOf" srcId="{A28362E9-D7EE-4256-882A-06EA42961D50}" destId="{5B0593F0-2FFC-4F14-83F2-3CCBDEC6DCCB}" srcOrd="5" destOrd="0" presId="urn:microsoft.com/office/officeart/2008/layout/HorizontalMultiLevelHierarchy"/>
    <dgm:cxn modelId="{76C6E6E5-D1E9-4233-991C-7B900FCF0F87}" type="presParOf" srcId="{5B0593F0-2FFC-4F14-83F2-3CCBDEC6DCCB}" destId="{A479F1D7-7731-4507-BBC9-132385665D65}" srcOrd="0" destOrd="0" presId="urn:microsoft.com/office/officeart/2008/layout/HorizontalMultiLevelHierarchy"/>
    <dgm:cxn modelId="{2E5A9376-A21C-4118-8BBD-7FFCEB540C6F}" type="presParOf" srcId="{5B0593F0-2FFC-4F14-83F2-3CCBDEC6DCCB}" destId="{7160845B-1B0D-4116-AA0C-BA2A8A28969F}" srcOrd="1" destOrd="0" presId="urn:microsoft.com/office/officeart/2008/layout/HorizontalMultiLevelHierarchy"/>
    <dgm:cxn modelId="{4B46C68A-4189-44C6-B80D-836BEFD9D0F1}" type="presParOf" srcId="{A28362E9-D7EE-4256-882A-06EA42961D50}" destId="{5EEE8371-2F7E-4A68-BBFE-54DC66942AD6}" srcOrd="6" destOrd="0" presId="urn:microsoft.com/office/officeart/2008/layout/HorizontalMultiLevelHierarchy"/>
    <dgm:cxn modelId="{AAECE2E5-2340-4EA1-82E6-25F5BE520987}" type="presParOf" srcId="{5EEE8371-2F7E-4A68-BBFE-54DC66942AD6}" destId="{AC95BB17-AA75-4D07-B600-7A524AE04C5D}" srcOrd="0" destOrd="0" presId="urn:microsoft.com/office/officeart/2008/layout/HorizontalMultiLevelHierarchy"/>
    <dgm:cxn modelId="{170C62A0-3695-45A9-95AD-2AE739AB6660}" type="presParOf" srcId="{A28362E9-D7EE-4256-882A-06EA42961D50}" destId="{8109A4F9-8D22-466D-A80A-6204FB7F3F3E}" srcOrd="7" destOrd="0" presId="urn:microsoft.com/office/officeart/2008/layout/HorizontalMultiLevelHierarchy"/>
    <dgm:cxn modelId="{2339885F-75E7-4970-9E56-DB50749F67AB}" type="presParOf" srcId="{8109A4F9-8D22-466D-A80A-6204FB7F3F3E}" destId="{FE604BBC-9296-475C-BD8F-8E55DB61AD25}" srcOrd="0" destOrd="0" presId="urn:microsoft.com/office/officeart/2008/layout/HorizontalMultiLevelHierarchy"/>
    <dgm:cxn modelId="{28F90744-47F1-4342-B168-F2584C1BD470}" type="presParOf" srcId="{8109A4F9-8D22-466D-A80A-6204FB7F3F3E}" destId="{A7713661-D311-40DE-91A0-8212D0CDF69E}" srcOrd="1" destOrd="0" presId="urn:microsoft.com/office/officeart/2008/layout/HorizontalMultiLevelHierarchy"/>
    <dgm:cxn modelId="{20D4809A-836C-49C1-88A6-1196A1785360}" type="presParOf" srcId="{A28362E9-D7EE-4256-882A-06EA42961D50}" destId="{2D7DD8DE-CE7B-405A-9621-35C26BB4E44C}" srcOrd="8" destOrd="0" presId="urn:microsoft.com/office/officeart/2008/layout/HorizontalMultiLevelHierarchy"/>
    <dgm:cxn modelId="{59FB8F2F-0EB7-43D6-B47C-73CE84838178}" type="presParOf" srcId="{2D7DD8DE-CE7B-405A-9621-35C26BB4E44C}" destId="{B6ECB164-2887-4508-81E9-A35FD62AD72B}" srcOrd="0" destOrd="0" presId="urn:microsoft.com/office/officeart/2008/layout/HorizontalMultiLevelHierarchy"/>
    <dgm:cxn modelId="{6AE8BAF3-386F-4275-8D5A-E3CADA6CC7E4}" type="presParOf" srcId="{A28362E9-D7EE-4256-882A-06EA42961D50}" destId="{4A6035B8-990B-4F59-9972-155581356E26}" srcOrd="9" destOrd="0" presId="urn:microsoft.com/office/officeart/2008/layout/HorizontalMultiLevelHierarchy"/>
    <dgm:cxn modelId="{ECBC1030-2717-41B0-94AE-4679AB06CBE0}" type="presParOf" srcId="{4A6035B8-990B-4F59-9972-155581356E26}" destId="{8A5E0E2A-DD69-4E28-ABB4-5019B313A01A}" srcOrd="0" destOrd="0" presId="urn:microsoft.com/office/officeart/2008/layout/HorizontalMultiLevelHierarchy"/>
    <dgm:cxn modelId="{8575EE28-DE38-4381-B086-890F3D52DADA}" type="presParOf" srcId="{4A6035B8-990B-4F59-9972-155581356E26}" destId="{647DA367-E197-49A0-85A2-741ADB273EB9}" srcOrd="1" destOrd="0" presId="urn:microsoft.com/office/officeart/2008/layout/HorizontalMultiLevelHierarchy"/>
    <dgm:cxn modelId="{BCB620F4-203B-4110-BEB0-56E5E48FFBA7}" type="presParOf" srcId="{A28362E9-D7EE-4256-882A-06EA42961D50}" destId="{3016B725-D584-4122-8140-0C38E2EE4D57}" srcOrd="10" destOrd="0" presId="urn:microsoft.com/office/officeart/2008/layout/HorizontalMultiLevelHierarchy"/>
    <dgm:cxn modelId="{F175F90E-F190-44C3-8BED-5B73DCD0C497}" type="presParOf" srcId="{3016B725-D584-4122-8140-0C38E2EE4D57}" destId="{AB17CF71-16D6-4D41-A164-02251BC3848E}" srcOrd="0" destOrd="0" presId="urn:microsoft.com/office/officeart/2008/layout/HorizontalMultiLevelHierarchy"/>
    <dgm:cxn modelId="{A1945805-CAAD-4F34-B3DC-C349B174F499}" type="presParOf" srcId="{A28362E9-D7EE-4256-882A-06EA42961D50}" destId="{8CE30DBF-D038-462C-B490-6EE616C042FA}" srcOrd="11" destOrd="0" presId="urn:microsoft.com/office/officeart/2008/layout/HorizontalMultiLevelHierarchy"/>
    <dgm:cxn modelId="{E894C516-DAFD-432E-BF8D-9B5F427316E4}" type="presParOf" srcId="{8CE30DBF-D038-462C-B490-6EE616C042FA}" destId="{5DB7D626-B287-41A9-9E98-DC65020B306F}" srcOrd="0" destOrd="0" presId="urn:microsoft.com/office/officeart/2008/layout/HorizontalMultiLevelHierarchy"/>
    <dgm:cxn modelId="{C3B40A0B-28EB-432E-84E9-4EBDFE4AE994}" type="presParOf" srcId="{8CE30DBF-D038-462C-B490-6EE616C042FA}" destId="{A943701E-E929-4DD1-BB48-720FBA347A8F}" srcOrd="1" destOrd="0" presId="urn:microsoft.com/office/officeart/2008/layout/HorizontalMultiLevelHierarchy"/>
    <dgm:cxn modelId="{B14CC5FA-A4A9-4E7C-90EA-2FBCE72754BB}" type="presParOf" srcId="{A28362E9-D7EE-4256-882A-06EA42961D50}" destId="{1AD313B8-6AFD-49EA-BB37-4C9470974E0E}" srcOrd="12" destOrd="0" presId="urn:microsoft.com/office/officeart/2008/layout/HorizontalMultiLevelHierarchy"/>
    <dgm:cxn modelId="{AD4D4BFB-662D-4389-852B-4ADE150AB666}" type="presParOf" srcId="{1AD313B8-6AFD-49EA-BB37-4C9470974E0E}" destId="{B7D72B2B-C913-418F-9A6C-3012877E6EA7}" srcOrd="0" destOrd="0" presId="urn:microsoft.com/office/officeart/2008/layout/HorizontalMultiLevelHierarchy"/>
    <dgm:cxn modelId="{5D7881F7-BE7E-42D7-A398-A440C1B95141}" type="presParOf" srcId="{A28362E9-D7EE-4256-882A-06EA42961D50}" destId="{4883F6B0-5FF3-4B74-8119-BC7D16E0E07C}" srcOrd="13" destOrd="0" presId="urn:microsoft.com/office/officeart/2008/layout/HorizontalMultiLevelHierarchy"/>
    <dgm:cxn modelId="{AC76D41D-A290-4009-83C9-631992D3C1AE}" type="presParOf" srcId="{4883F6B0-5FF3-4B74-8119-BC7D16E0E07C}" destId="{70C1434B-BD91-4AE0-B5DD-534A24CF7D41}" srcOrd="0" destOrd="0" presId="urn:microsoft.com/office/officeart/2008/layout/HorizontalMultiLevelHierarchy"/>
    <dgm:cxn modelId="{E03FCED1-CC33-4333-B481-23BAF246B75B}" type="presParOf" srcId="{4883F6B0-5FF3-4B74-8119-BC7D16E0E07C}" destId="{67AC3689-4829-4420-B861-BA0997C3EC43}" srcOrd="1" destOrd="0" presId="urn:microsoft.com/office/officeart/2008/layout/HorizontalMultiLevelHierarchy"/>
  </dgm:cxnLst>
  <dgm:bg>
    <a:noFill/>
  </dgm:bg>
  <dgm:whole/>
  <dgm:extLst>
    <a:ext uri="http://schemas.microsoft.com/office/drawing/2008/diagram">
      <dsp:dataModelExt xmlns:dsp="http://schemas.microsoft.com/office/drawing/2008/diagram" relId="rId1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67F38C3-569F-4F82-87A8-9B6EEFC6887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B21289BA-B0C6-445E-AAB3-C239F975C48A}">
      <dgm:prSet phldrT="[Text]" custT="1"/>
      <dgm:spPr>
        <a:solidFill>
          <a:srgbClr val="D5DEEE"/>
        </a:solidFill>
        <a:ln>
          <a:solidFill>
            <a:srgbClr val="D5DEEE"/>
          </a:solidFill>
        </a:ln>
      </dgm:spPr>
      <dgm:t>
        <a:bodyPr/>
        <a:lstStyle/>
        <a:p>
          <a:r>
            <a:rPr lang="sr-Cyrl-RS" sz="1000" b="1">
              <a:solidFill>
                <a:sysClr val="windowText" lastClr="000000"/>
              </a:solidFill>
              <a:latin typeface="Times New Roman" panose="02020603050405020304" pitchFamily="18" charset="0"/>
              <a:cs typeface="Times New Roman" panose="02020603050405020304" pitchFamily="18" charset="0"/>
            </a:rPr>
            <a:t>ПОВЕЋАНА ОДГОВОНОСТ И ТРАНСПАРЕНТНОСТ НА СВИМ НИВОИМА ВЛАСТИ </a:t>
          </a:r>
          <a:r>
            <a:rPr lang="en-GB" sz="1000" b="1">
              <a:solidFill>
                <a:sysClr val="windowText" lastClr="000000"/>
              </a:solidFill>
              <a:latin typeface="Times New Roman" panose="02020603050405020304" pitchFamily="18" charset="0"/>
              <a:cs typeface="Times New Roman" panose="02020603050405020304" pitchFamily="18" charset="0"/>
            </a:rPr>
            <a:t>– </a:t>
          </a:r>
          <a:r>
            <a:rPr lang="sr-Cyrl-RS" sz="1000" b="1">
              <a:solidFill>
                <a:sysClr val="windowText" lastClr="000000"/>
              </a:solidFill>
              <a:latin typeface="Times New Roman" panose="02020603050405020304" pitchFamily="18" charset="0"/>
              <a:cs typeface="Times New Roman" panose="02020603050405020304" pitchFamily="18" charset="0"/>
            </a:rPr>
            <a:t>ОПЦИЈЕ </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B586900F-C853-4FE1-A182-DA932E23BCBD}" type="parTrans" cxnId="{904E798D-01A7-4AA7-B258-41D3D46EC138}">
      <dgm:prSet/>
      <dgm:spPr/>
      <dgm:t>
        <a:bodyPr/>
        <a:lstStyle/>
        <a:p>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0FF65958-8633-441D-BE20-24B398165CB7}" type="sibTrans" cxnId="{904E798D-01A7-4AA7-B258-41D3D46EC138}">
      <dgm:prSet/>
      <dgm:spPr/>
      <dgm:t>
        <a:bodyPr/>
        <a:lstStyle/>
        <a:p>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6DEDE5D6-81AB-4AFF-AB04-9B63984ADFA8}">
      <dgm:prSet phldrT="[Text]" custT="1"/>
      <dgm:spPr>
        <a:solidFill>
          <a:schemeClr val="bg1"/>
        </a:solidFill>
        <a:ln w="28575">
          <a:solidFill>
            <a:srgbClr val="D5DEEE"/>
          </a:solidFill>
        </a:ln>
      </dgm:spPr>
      <dgm:t>
        <a:bodyPr/>
        <a:lstStyle/>
        <a:p>
          <a:pPr algn="l"/>
          <a:r>
            <a:rPr lang="sr-Cyrl-RS" sz="1000" b="1">
              <a:solidFill>
                <a:sysClr val="windowText" lastClr="000000"/>
              </a:solidFill>
              <a:latin typeface="Times New Roman" panose="02020603050405020304" pitchFamily="18" charset="0"/>
              <a:cs typeface="Times New Roman" panose="02020603050405020304" pitchFamily="18" charset="0"/>
            </a:rPr>
            <a:t>Опција</a:t>
          </a:r>
          <a:r>
            <a:rPr lang="sr-Latn-RS" sz="1000" b="1">
              <a:solidFill>
                <a:sysClr val="windowText" lastClr="000000"/>
              </a:solidFill>
              <a:latin typeface="Times New Roman" panose="02020603050405020304" pitchFamily="18" charset="0"/>
              <a:cs typeface="Times New Roman" panose="02020603050405020304" pitchFamily="18" charset="0"/>
            </a:rPr>
            <a:t> 1</a:t>
          </a:r>
          <a:r>
            <a:rPr lang="sr-Latn-RS" sz="1000">
              <a:solidFill>
                <a:sysClr val="windowText" lastClr="000000"/>
              </a:solidFill>
              <a:latin typeface="Times New Roman" panose="02020603050405020304" pitchFamily="18" charset="0"/>
              <a:cs typeface="Times New Roman" panose="02020603050405020304" pitchFamily="18" charset="0"/>
            </a:rPr>
            <a:t>:</a:t>
          </a:r>
          <a:r>
            <a:rPr lang="sr-Cyrl-RS" sz="1000">
              <a:solidFill>
                <a:sysClr val="windowText" lastClr="000000"/>
              </a:solidFill>
              <a:latin typeface="Times New Roman" panose="02020603050405020304" pitchFamily="18" charset="0"/>
              <a:cs typeface="Times New Roman" panose="02020603050405020304" pitchFamily="18" charset="0"/>
            </a:rPr>
            <a:t> </a:t>
          </a:r>
          <a:r>
            <a:rPr lang="en-GB" sz="1000" i="1">
              <a:solidFill>
                <a:sysClr val="windowText" lastClr="000000"/>
              </a:solidFill>
              <a:latin typeface="Times New Roman" panose="02020603050405020304" pitchFamily="18" charset="0"/>
              <a:cs typeface="Times New Roman" panose="02020603050405020304" pitchFamily="18" charset="0"/>
            </a:rPr>
            <a:t>Status quo</a:t>
          </a:r>
          <a:endParaRPr lang="en-US" sz="1000" i="1">
            <a:solidFill>
              <a:sysClr val="windowText" lastClr="000000"/>
            </a:solidFill>
            <a:latin typeface="Times New Roman" panose="02020603050405020304" pitchFamily="18" charset="0"/>
            <a:cs typeface="Times New Roman" panose="02020603050405020304" pitchFamily="18" charset="0"/>
          </a:endParaRPr>
        </a:p>
      </dgm:t>
    </dgm:pt>
    <dgm:pt modelId="{3816045D-68F0-4947-BC58-50E25D0AC91E}" type="parTrans" cxnId="{6FC539AC-D66F-4821-9E95-2AE11B9F8B65}">
      <dgm:prSet custT="1"/>
      <dgm:spPr>
        <a:ln>
          <a:solidFill>
            <a:srgbClr val="D5DEEE"/>
          </a:solidFill>
        </a:ln>
      </dgm:spPr>
      <dgm:t>
        <a:bodyPr/>
        <a:lstStyle/>
        <a:p>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68FF34CA-E06B-44D9-8647-5F04D44D4E9F}" type="sibTrans" cxnId="{6FC539AC-D66F-4821-9E95-2AE11B9F8B65}">
      <dgm:prSet/>
      <dgm:spPr/>
      <dgm:t>
        <a:bodyPr/>
        <a:lstStyle/>
        <a:p>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C136ED94-FA69-4C2D-93CC-A56262D699F1}">
      <dgm:prSet phldrT="[Text]" custT="1"/>
      <dgm:spPr>
        <a:solidFill>
          <a:schemeClr val="bg1"/>
        </a:solidFill>
        <a:ln w="28575">
          <a:solidFill>
            <a:srgbClr val="D5DEEE"/>
          </a:solidFill>
        </a:ln>
      </dgm:spPr>
      <dgm:t>
        <a:bodyPr/>
        <a:lstStyle/>
        <a:p>
          <a:pPr algn="just"/>
          <a:r>
            <a:rPr lang="sr-Cyrl-RS" sz="1000" b="1">
              <a:solidFill>
                <a:sysClr val="windowText" lastClr="000000"/>
              </a:solidFill>
              <a:latin typeface="Times New Roman" panose="02020603050405020304" pitchFamily="18" charset="0"/>
              <a:cs typeface="Times New Roman" panose="02020603050405020304" pitchFamily="18" charset="0"/>
            </a:rPr>
            <a:t>Опција</a:t>
          </a:r>
          <a:r>
            <a:rPr lang="sr-Latn-RS" sz="1000" b="1">
              <a:solidFill>
                <a:sysClr val="windowText" lastClr="000000"/>
              </a:solidFill>
              <a:latin typeface="Times New Roman" panose="02020603050405020304" pitchFamily="18" charset="0"/>
              <a:cs typeface="Times New Roman" panose="02020603050405020304" pitchFamily="18" charset="0"/>
            </a:rPr>
            <a:t> </a:t>
          </a:r>
          <a:r>
            <a:rPr lang="sr-Cyrl-RS" sz="1000" b="1">
              <a:solidFill>
                <a:sysClr val="windowText" lastClr="000000"/>
              </a:solidFill>
              <a:latin typeface="Times New Roman" panose="02020603050405020304" pitchFamily="18" charset="0"/>
              <a:cs typeface="Times New Roman" panose="02020603050405020304" pitchFamily="18" charset="0"/>
            </a:rPr>
            <a:t>2: </a:t>
          </a:r>
          <a:r>
            <a:rPr lang="sr-Cyrl-RS" sz="1000">
              <a:solidFill>
                <a:sysClr val="windowText" lastClr="000000"/>
              </a:solidFill>
              <a:latin typeface="Times New Roman" panose="02020603050405020304" pitchFamily="18" charset="0"/>
              <a:cs typeface="Times New Roman" panose="02020603050405020304" pitchFamily="18" charset="0"/>
            </a:rPr>
            <a:t>Јачање индивидуалних капацитета руководилаца за примену принципа управљачке одговорности кроз обуке, стручне скупове и примере добре праксе</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9DEA0145-2963-4A6A-8A28-FC42B5F52B30}" type="parTrans" cxnId="{D8D10F65-DBAA-4063-A08D-7DDAA9F15670}">
      <dgm:prSet custT="1"/>
      <dgm:spPr>
        <a:ln>
          <a:solidFill>
            <a:srgbClr val="D5DEEE"/>
          </a:solidFill>
        </a:ln>
      </dgm:spPr>
      <dgm:t>
        <a:bodyPr/>
        <a:lstStyle/>
        <a:p>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ABAC6ABA-4A31-4AAB-BB20-942AB6C12B13}" type="sibTrans" cxnId="{D8D10F65-DBAA-4063-A08D-7DDAA9F15670}">
      <dgm:prSet/>
      <dgm:spPr/>
      <dgm:t>
        <a:bodyPr/>
        <a:lstStyle/>
        <a:p>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2FB20F3F-B3E4-4691-B806-1C9577A19F4B}">
      <dgm:prSet phldrT="[Text]" custT="1"/>
      <dgm:spPr>
        <a:solidFill>
          <a:schemeClr val="bg1"/>
        </a:solidFill>
        <a:ln w="28575">
          <a:solidFill>
            <a:srgbClr val="D5DEEE"/>
          </a:solidFill>
        </a:ln>
      </dgm:spPr>
      <dgm:t>
        <a:bodyPr/>
        <a:lstStyle/>
        <a:p>
          <a:pPr algn="just"/>
          <a:r>
            <a:rPr lang="sr-Cyrl-RS" sz="1000" b="1">
              <a:solidFill>
                <a:sysClr val="windowText" lastClr="000000"/>
              </a:solidFill>
              <a:latin typeface="Times New Roman" panose="02020603050405020304" pitchFamily="18" charset="0"/>
              <a:cs typeface="Times New Roman" panose="02020603050405020304" pitchFamily="18" charset="0"/>
            </a:rPr>
            <a:t>Опција</a:t>
          </a:r>
          <a:r>
            <a:rPr lang="sr-Latn-RS" sz="1000" b="1">
              <a:solidFill>
                <a:sysClr val="windowText" lastClr="000000"/>
              </a:solidFill>
              <a:latin typeface="Times New Roman" panose="02020603050405020304" pitchFamily="18" charset="0"/>
              <a:cs typeface="Times New Roman" panose="02020603050405020304" pitchFamily="18" charset="0"/>
            </a:rPr>
            <a:t> </a:t>
          </a:r>
          <a:r>
            <a:rPr lang="sr-Cyrl-RS" sz="1000" b="1">
              <a:solidFill>
                <a:sysClr val="windowText" lastClr="000000"/>
              </a:solidFill>
              <a:latin typeface="Times New Roman" panose="02020603050405020304" pitchFamily="18" charset="0"/>
              <a:cs typeface="Times New Roman" panose="02020603050405020304" pitchFamily="18" charset="0"/>
            </a:rPr>
            <a:t>4: </a:t>
          </a:r>
          <a:r>
            <a:rPr lang="sr-Cyrl-RS" sz="1000">
              <a:solidFill>
                <a:sysClr val="windowText" lastClr="000000"/>
              </a:solidFill>
              <a:latin typeface="Times New Roman" panose="02020603050405020304" pitchFamily="18" charset="0"/>
              <a:cs typeface="Times New Roman" panose="02020603050405020304" pitchFamily="18" charset="0"/>
            </a:rPr>
            <a:t>Јачање интегритетa и етичких стандарда у јавној управи</a:t>
          </a:r>
          <a:r>
            <a:rPr lang="sr-Cyrl-RS" sz="1000" b="1">
              <a:solidFill>
                <a:sysClr val="windowText" lastClr="000000"/>
              </a:solidFill>
              <a:latin typeface="Times New Roman" panose="02020603050405020304" pitchFamily="18" charset="0"/>
              <a:cs typeface="Times New Roman" panose="02020603050405020304" pitchFamily="18" charset="0"/>
            </a:rPr>
            <a:t> </a:t>
          </a:r>
          <a:r>
            <a:rPr lang="sr-Cyrl-RS" sz="1000">
              <a:solidFill>
                <a:sysClr val="windowText" lastClr="000000"/>
              </a:solidFill>
              <a:latin typeface="Times New Roman" panose="02020603050405020304" pitchFamily="18" charset="0"/>
              <a:cs typeface="Times New Roman" panose="02020603050405020304" pitchFamily="18" charset="0"/>
            </a:rPr>
            <a:t>доношењем смерница/препорука органима јавне управе да одреде службенике за етику и интегритет </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B477BA39-2A16-433E-B6F6-E0723D2CCD5E}" type="parTrans" cxnId="{4C2970C5-4E07-439D-87E9-EBB06958EB05}">
      <dgm:prSet custT="1"/>
      <dgm:spPr>
        <a:ln>
          <a:solidFill>
            <a:srgbClr val="D5DEEE"/>
          </a:solidFill>
        </a:ln>
      </dgm:spPr>
      <dgm:t>
        <a:bodyPr/>
        <a:lstStyle/>
        <a:p>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5D58CF75-95DF-4613-A574-D875308FBF67}" type="sibTrans" cxnId="{4C2970C5-4E07-439D-87E9-EBB06958EB05}">
      <dgm:prSet/>
      <dgm:spPr/>
      <dgm:t>
        <a:bodyPr/>
        <a:lstStyle/>
        <a:p>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93F01550-4DE6-4362-8574-E1D9EEC88B6F}">
      <dgm:prSet phldrT="[Text]" custT="1"/>
      <dgm:spPr>
        <a:solidFill>
          <a:schemeClr val="bg1"/>
        </a:solidFill>
        <a:ln w="28575">
          <a:solidFill>
            <a:srgbClr val="D5DEEE"/>
          </a:solidFill>
        </a:ln>
      </dgm:spPr>
      <dgm:t>
        <a:bodyPr/>
        <a:lstStyle/>
        <a:p>
          <a:pPr algn="just"/>
          <a:r>
            <a:rPr lang="sr-Cyrl-RS" sz="1000" b="1">
              <a:solidFill>
                <a:sysClr val="windowText" lastClr="000000"/>
              </a:solidFill>
              <a:latin typeface="Times New Roman" panose="02020603050405020304" pitchFamily="18" charset="0"/>
              <a:cs typeface="Times New Roman" panose="02020603050405020304" pitchFamily="18" charset="0"/>
            </a:rPr>
            <a:t>Опција 5:</a:t>
          </a:r>
          <a:r>
            <a:rPr lang="sr-Cyrl-RS" sz="1000">
              <a:solidFill>
                <a:sysClr val="windowText" lastClr="000000"/>
              </a:solidFill>
              <a:latin typeface="Times New Roman" panose="02020603050405020304" pitchFamily="18" charset="0"/>
              <a:cs typeface="Times New Roman" panose="02020603050405020304" pitchFamily="18" charset="0"/>
            </a:rPr>
            <a:t> Јачање интегритетa и етичких стандарда у јавној управи</a:t>
          </a:r>
          <a:r>
            <a:rPr lang="sr-Cyrl-RS" sz="1000" b="1">
              <a:solidFill>
                <a:sysClr val="windowText" lastClr="000000"/>
              </a:solidFill>
              <a:latin typeface="Times New Roman" panose="02020603050405020304" pitchFamily="18" charset="0"/>
              <a:cs typeface="Times New Roman" panose="02020603050405020304" pitchFamily="18" charset="0"/>
            </a:rPr>
            <a:t> </a:t>
          </a:r>
          <a:r>
            <a:rPr lang="sr-Cyrl-RS" sz="1000">
              <a:solidFill>
                <a:sysClr val="windowText" lastClr="000000"/>
              </a:solidFill>
              <a:latin typeface="Times New Roman" panose="02020603050405020304" pitchFamily="18" charset="0"/>
              <a:cs typeface="Times New Roman" panose="02020603050405020304" pitchFamily="18" charset="0"/>
            </a:rPr>
            <a:t>успостављањем етичке инфраструктуре у органима јавне управе у складу са међународним стандардима и примерима из</a:t>
          </a:r>
          <a:r>
            <a:rPr lang="sr-Cyrl-RS" sz="1000" b="1">
              <a:solidFill>
                <a:sysClr val="windowText" lastClr="000000"/>
              </a:solidFill>
              <a:latin typeface="Times New Roman" panose="02020603050405020304" pitchFamily="18" charset="0"/>
              <a:cs typeface="Times New Roman" panose="02020603050405020304" pitchFamily="18" charset="0"/>
            </a:rPr>
            <a:t> </a:t>
          </a:r>
          <a:r>
            <a:rPr lang="sr-Cyrl-RS" sz="1000">
              <a:solidFill>
                <a:sysClr val="windowText" lastClr="000000"/>
              </a:solidFill>
              <a:latin typeface="Times New Roman" panose="02020603050405020304" pitchFamily="18" charset="0"/>
              <a:cs typeface="Times New Roman" panose="02020603050405020304" pitchFamily="18" charset="0"/>
            </a:rPr>
            <a:t>упоредне праксе </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F6F9CBAF-8FC2-4ABB-9F51-11651F2E14AA}" type="parTrans" cxnId="{71EB84F9-7B40-4274-BBB0-F39803C2DF21}">
      <dgm:prSet custT="1"/>
      <dgm:spPr>
        <a:ln>
          <a:solidFill>
            <a:srgbClr val="D5DEEE"/>
          </a:solidFill>
        </a:ln>
      </dgm:spPr>
      <dgm:t>
        <a:bodyPr/>
        <a:lstStyle/>
        <a:p>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032DB23B-F1D9-4659-B5A5-0DCD1E93B08F}" type="sibTrans" cxnId="{71EB84F9-7B40-4274-BBB0-F39803C2DF21}">
      <dgm:prSet/>
      <dgm:spPr/>
      <dgm:t>
        <a:bodyPr/>
        <a:lstStyle/>
        <a:p>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B1004172-6A78-4DF5-87C8-C62492A9D991}">
      <dgm:prSet custT="1"/>
      <dgm:spPr>
        <a:solidFill>
          <a:schemeClr val="bg1"/>
        </a:solidFill>
        <a:ln w="28575">
          <a:solidFill>
            <a:srgbClr val="D5DEEE"/>
          </a:solidFill>
        </a:ln>
      </dgm:spPr>
      <dgm:t>
        <a:bodyPr/>
        <a:lstStyle/>
        <a:p>
          <a:pPr algn="just"/>
          <a:r>
            <a:rPr lang="sr-Cyrl-RS" sz="1000" b="1">
              <a:solidFill>
                <a:sysClr val="windowText" lastClr="000000"/>
              </a:solidFill>
              <a:latin typeface="Times New Roman" panose="02020603050405020304" pitchFamily="18" charset="0"/>
              <a:cs typeface="Times New Roman" panose="02020603050405020304" pitchFamily="18" charset="0"/>
            </a:rPr>
            <a:t>Опција</a:t>
          </a:r>
          <a:r>
            <a:rPr lang="sr-Latn-RS" sz="1000" b="1">
              <a:solidFill>
                <a:sysClr val="windowText" lastClr="000000"/>
              </a:solidFill>
              <a:latin typeface="Times New Roman" panose="02020603050405020304" pitchFamily="18" charset="0"/>
              <a:cs typeface="Times New Roman" panose="02020603050405020304" pitchFamily="18" charset="0"/>
            </a:rPr>
            <a:t> </a:t>
          </a:r>
          <a:r>
            <a:rPr lang="sr-Cyrl-RS" sz="1000" b="1">
              <a:solidFill>
                <a:sysClr val="windowText" lastClr="000000"/>
              </a:solidFill>
              <a:latin typeface="Times New Roman" panose="02020603050405020304" pitchFamily="18" charset="0"/>
              <a:cs typeface="Times New Roman" panose="02020603050405020304" pitchFamily="18" charset="0"/>
            </a:rPr>
            <a:t>3: </a:t>
          </a:r>
          <a:r>
            <a:rPr lang="ru-RU" sz="1000">
              <a:solidFill>
                <a:sysClr val="windowText" lastClr="000000"/>
              </a:solidFill>
              <a:latin typeface="Times New Roman" panose="02020603050405020304" pitchFamily="18" charset="0"/>
              <a:cs typeface="Times New Roman" panose="02020603050405020304" pitchFamily="18" charset="0"/>
            </a:rPr>
            <a:t>Успостављање системских решења за управљачку одговорност у органима јавне управе кроз усаглашавање правног оквира и изградњу капацитета  и механизама за његову доследну примену</a:t>
          </a:r>
          <a:endParaRPr lang="en-GB" sz="1000">
            <a:solidFill>
              <a:sysClr val="windowText" lastClr="000000"/>
            </a:solidFill>
            <a:latin typeface="Times New Roman" panose="02020603050405020304" pitchFamily="18" charset="0"/>
            <a:cs typeface="Times New Roman" panose="02020603050405020304" pitchFamily="18" charset="0"/>
          </a:endParaRPr>
        </a:p>
      </dgm:t>
    </dgm:pt>
    <dgm:pt modelId="{C247228E-6315-4EB0-8093-186A91A1825A}" type="parTrans" cxnId="{797E47A9-4BB5-41BD-865E-E64DB07F82B2}">
      <dgm:prSet custT="1"/>
      <dgm:spPr>
        <a:ln>
          <a:solidFill>
            <a:schemeClr val="accent5">
              <a:lumMod val="40000"/>
              <a:lumOff val="60000"/>
            </a:schemeClr>
          </a:solidFill>
        </a:ln>
      </dgm:spPr>
      <dgm:t>
        <a:bodyPr/>
        <a:lstStyle/>
        <a:p>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D73D58FE-D2A1-4C05-8170-5637D9CBDC3D}" type="sibTrans" cxnId="{797E47A9-4BB5-41BD-865E-E64DB07F82B2}">
      <dgm:prSet/>
      <dgm:spPr/>
      <dgm:t>
        <a:bodyPr/>
        <a:lstStyle/>
        <a:p>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EF2F75BF-7633-4FC9-BE33-8CABE2763CF5}" type="pres">
      <dgm:prSet presAssocID="{E67F38C3-569F-4F82-87A8-9B6EEFC68872}" presName="Name0" presStyleCnt="0">
        <dgm:presLayoutVars>
          <dgm:chPref val="1"/>
          <dgm:dir/>
          <dgm:animOne val="branch"/>
          <dgm:animLvl val="lvl"/>
          <dgm:resizeHandles val="exact"/>
        </dgm:presLayoutVars>
      </dgm:prSet>
      <dgm:spPr/>
      <dgm:t>
        <a:bodyPr/>
        <a:lstStyle/>
        <a:p>
          <a:endParaRPr lang="en-US"/>
        </a:p>
      </dgm:t>
    </dgm:pt>
    <dgm:pt modelId="{2F9337AB-2102-4074-85F7-05D87360FFF4}" type="pres">
      <dgm:prSet presAssocID="{B21289BA-B0C6-445E-AAB3-C239F975C48A}" presName="root1" presStyleCnt="0"/>
      <dgm:spPr/>
    </dgm:pt>
    <dgm:pt modelId="{8347D7FD-5B52-4156-8747-22EAB39BFFF8}" type="pres">
      <dgm:prSet presAssocID="{B21289BA-B0C6-445E-AAB3-C239F975C48A}" presName="LevelOneTextNode" presStyleLbl="node0" presStyleIdx="0" presStyleCnt="1" custScaleY="113381">
        <dgm:presLayoutVars>
          <dgm:chPref val="3"/>
        </dgm:presLayoutVars>
      </dgm:prSet>
      <dgm:spPr/>
      <dgm:t>
        <a:bodyPr/>
        <a:lstStyle/>
        <a:p>
          <a:endParaRPr lang="en-US"/>
        </a:p>
      </dgm:t>
    </dgm:pt>
    <dgm:pt modelId="{48DD461F-9C8C-4974-ABF8-5675EA8ADED0}" type="pres">
      <dgm:prSet presAssocID="{B21289BA-B0C6-445E-AAB3-C239F975C48A}" presName="level2hierChild" presStyleCnt="0"/>
      <dgm:spPr/>
    </dgm:pt>
    <dgm:pt modelId="{922C36C6-B0ED-43E6-BF8E-187C61BD692F}" type="pres">
      <dgm:prSet presAssocID="{3816045D-68F0-4947-BC58-50E25D0AC91E}" presName="conn2-1" presStyleLbl="parChTrans1D2" presStyleIdx="0" presStyleCnt="5"/>
      <dgm:spPr/>
      <dgm:t>
        <a:bodyPr/>
        <a:lstStyle/>
        <a:p>
          <a:endParaRPr lang="en-US"/>
        </a:p>
      </dgm:t>
    </dgm:pt>
    <dgm:pt modelId="{4C12F24A-E3C6-44A3-88DB-0D4EFD0F715E}" type="pres">
      <dgm:prSet presAssocID="{3816045D-68F0-4947-BC58-50E25D0AC91E}" presName="connTx" presStyleLbl="parChTrans1D2" presStyleIdx="0" presStyleCnt="5"/>
      <dgm:spPr/>
      <dgm:t>
        <a:bodyPr/>
        <a:lstStyle/>
        <a:p>
          <a:endParaRPr lang="en-US"/>
        </a:p>
      </dgm:t>
    </dgm:pt>
    <dgm:pt modelId="{B7397DA5-4545-4FED-A56B-2BC469059FF2}" type="pres">
      <dgm:prSet presAssocID="{6DEDE5D6-81AB-4AFF-AB04-9B63984ADFA8}" presName="root2" presStyleCnt="0"/>
      <dgm:spPr/>
    </dgm:pt>
    <dgm:pt modelId="{293E4C6D-3230-4D38-AF57-1ACC314CF366}" type="pres">
      <dgm:prSet presAssocID="{6DEDE5D6-81AB-4AFF-AB04-9B63984ADFA8}" presName="LevelTwoTextNode" presStyleLbl="node2" presStyleIdx="0" presStyleCnt="5" custScaleX="133532">
        <dgm:presLayoutVars>
          <dgm:chPref val="3"/>
        </dgm:presLayoutVars>
      </dgm:prSet>
      <dgm:spPr/>
      <dgm:t>
        <a:bodyPr/>
        <a:lstStyle/>
        <a:p>
          <a:endParaRPr lang="en-US"/>
        </a:p>
      </dgm:t>
    </dgm:pt>
    <dgm:pt modelId="{7626394A-CD22-4E53-A623-984B2A76166D}" type="pres">
      <dgm:prSet presAssocID="{6DEDE5D6-81AB-4AFF-AB04-9B63984ADFA8}" presName="level3hierChild" presStyleCnt="0"/>
      <dgm:spPr/>
    </dgm:pt>
    <dgm:pt modelId="{4F84F40C-DD42-4178-A497-35B2B3BFB14E}" type="pres">
      <dgm:prSet presAssocID="{9DEA0145-2963-4A6A-8A28-FC42B5F52B30}" presName="conn2-1" presStyleLbl="parChTrans1D2" presStyleIdx="1" presStyleCnt="5"/>
      <dgm:spPr/>
      <dgm:t>
        <a:bodyPr/>
        <a:lstStyle/>
        <a:p>
          <a:endParaRPr lang="en-US"/>
        </a:p>
      </dgm:t>
    </dgm:pt>
    <dgm:pt modelId="{43D46D9B-B124-4E11-88DD-C200B4B91D2A}" type="pres">
      <dgm:prSet presAssocID="{9DEA0145-2963-4A6A-8A28-FC42B5F52B30}" presName="connTx" presStyleLbl="parChTrans1D2" presStyleIdx="1" presStyleCnt="5"/>
      <dgm:spPr/>
      <dgm:t>
        <a:bodyPr/>
        <a:lstStyle/>
        <a:p>
          <a:endParaRPr lang="en-US"/>
        </a:p>
      </dgm:t>
    </dgm:pt>
    <dgm:pt modelId="{0A394EC7-2E50-4D54-B99D-FBD39C8F9C1F}" type="pres">
      <dgm:prSet presAssocID="{C136ED94-FA69-4C2D-93CC-A56262D699F1}" presName="root2" presStyleCnt="0"/>
      <dgm:spPr/>
    </dgm:pt>
    <dgm:pt modelId="{238EE141-B8E8-4B5D-91B1-1A654E9D038E}" type="pres">
      <dgm:prSet presAssocID="{C136ED94-FA69-4C2D-93CC-A56262D699F1}" presName="LevelTwoTextNode" presStyleLbl="node2" presStyleIdx="1" presStyleCnt="5" custScaleX="133532">
        <dgm:presLayoutVars>
          <dgm:chPref val="3"/>
        </dgm:presLayoutVars>
      </dgm:prSet>
      <dgm:spPr/>
      <dgm:t>
        <a:bodyPr/>
        <a:lstStyle/>
        <a:p>
          <a:endParaRPr lang="en-US"/>
        </a:p>
      </dgm:t>
    </dgm:pt>
    <dgm:pt modelId="{CB7BC908-BA4B-4C95-9496-165AF6165A3C}" type="pres">
      <dgm:prSet presAssocID="{C136ED94-FA69-4C2D-93CC-A56262D699F1}" presName="level3hierChild" presStyleCnt="0"/>
      <dgm:spPr/>
    </dgm:pt>
    <dgm:pt modelId="{4AE3506C-E120-4020-85FB-E18667DCD27F}" type="pres">
      <dgm:prSet presAssocID="{C247228E-6315-4EB0-8093-186A91A1825A}" presName="conn2-1" presStyleLbl="parChTrans1D2" presStyleIdx="2" presStyleCnt="5"/>
      <dgm:spPr/>
      <dgm:t>
        <a:bodyPr/>
        <a:lstStyle/>
        <a:p>
          <a:endParaRPr lang="en-US"/>
        </a:p>
      </dgm:t>
    </dgm:pt>
    <dgm:pt modelId="{55619DFB-0310-4351-A467-78BB6896C52D}" type="pres">
      <dgm:prSet presAssocID="{C247228E-6315-4EB0-8093-186A91A1825A}" presName="connTx" presStyleLbl="parChTrans1D2" presStyleIdx="2" presStyleCnt="5"/>
      <dgm:spPr/>
      <dgm:t>
        <a:bodyPr/>
        <a:lstStyle/>
        <a:p>
          <a:endParaRPr lang="en-US"/>
        </a:p>
      </dgm:t>
    </dgm:pt>
    <dgm:pt modelId="{BFE6A288-3C43-4632-857B-C903FC7738AB}" type="pres">
      <dgm:prSet presAssocID="{B1004172-6A78-4DF5-87C8-C62492A9D991}" presName="root2" presStyleCnt="0"/>
      <dgm:spPr/>
    </dgm:pt>
    <dgm:pt modelId="{9C297F49-3BDE-4F49-BFD2-D23B03C260EF}" type="pres">
      <dgm:prSet presAssocID="{B1004172-6A78-4DF5-87C8-C62492A9D991}" presName="LevelTwoTextNode" presStyleLbl="node2" presStyleIdx="2" presStyleCnt="5" custScaleX="133532">
        <dgm:presLayoutVars>
          <dgm:chPref val="3"/>
        </dgm:presLayoutVars>
      </dgm:prSet>
      <dgm:spPr/>
      <dgm:t>
        <a:bodyPr/>
        <a:lstStyle/>
        <a:p>
          <a:endParaRPr lang="en-US"/>
        </a:p>
      </dgm:t>
    </dgm:pt>
    <dgm:pt modelId="{5D0580EA-D1AF-4C1F-84DA-72DE947C09AB}" type="pres">
      <dgm:prSet presAssocID="{B1004172-6A78-4DF5-87C8-C62492A9D991}" presName="level3hierChild" presStyleCnt="0"/>
      <dgm:spPr/>
    </dgm:pt>
    <dgm:pt modelId="{5850196B-A16B-4210-B1D3-FB155482DA4E}" type="pres">
      <dgm:prSet presAssocID="{B477BA39-2A16-433E-B6F6-E0723D2CCD5E}" presName="conn2-1" presStyleLbl="parChTrans1D2" presStyleIdx="3" presStyleCnt="5"/>
      <dgm:spPr/>
      <dgm:t>
        <a:bodyPr/>
        <a:lstStyle/>
        <a:p>
          <a:endParaRPr lang="en-US"/>
        </a:p>
      </dgm:t>
    </dgm:pt>
    <dgm:pt modelId="{CF1581E6-09DF-4771-B5BD-ED9FFC9B0210}" type="pres">
      <dgm:prSet presAssocID="{B477BA39-2A16-433E-B6F6-E0723D2CCD5E}" presName="connTx" presStyleLbl="parChTrans1D2" presStyleIdx="3" presStyleCnt="5"/>
      <dgm:spPr/>
      <dgm:t>
        <a:bodyPr/>
        <a:lstStyle/>
        <a:p>
          <a:endParaRPr lang="en-US"/>
        </a:p>
      </dgm:t>
    </dgm:pt>
    <dgm:pt modelId="{5267CA8F-AE15-42BD-8E30-0254DE88CACB}" type="pres">
      <dgm:prSet presAssocID="{2FB20F3F-B3E4-4691-B806-1C9577A19F4B}" presName="root2" presStyleCnt="0"/>
      <dgm:spPr/>
    </dgm:pt>
    <dgm:pt modelId="{7ACC75E0-B410-48E7-995D-C237FCAF2393}" type="pres">
      <dgm:prSet presAssocID="{2FB20F3F-B3E4-4691-B806-1C9577A19F4B}" presName="LevelTwoTextNode" presStyleLbl="node2" presStyleIdx="3" presStyleCnt="5" custScaleX="133532">
        <dgm:presLayoutVars>
          <dgm:chPref val="3"/>
        </dgm:presLayoutVars>
      </dgm:prSet>
      <dgm:spPr/>
      <dgm:t>
        <a:bodyPr/>
        <a:lstStyle/>
        <a:p>
          <a:endParaRPr lang="en-US"/>
        </a:p>
      </dgm:t>
    </dgm:pt>
    <dgm:pt modelId="{49C609FC-40CF-4B05-9E93-692191FF1888}" type="pres">
      <dgm:prSet presAssocID="{2FB20F3F-B3E4-4691-B806-1C9577A19F4B}" presName="level3hierChild" presStyleCnt="0"/>
      <dgm:spPr/>
    </dgm:pt>
    <dgm:pt modelId="{6E511DAA-DCEC-4379-8D61-8475FD8A3A77}" type="pres">
      <dgm:prSet presAssocID="{F6F9CBAF-8FC2-4ABB-9F51-11651F2E14AA}" presName="conn2-1" presStyleLbl="parChTrans1D2" presStyleIdx="4" presStyleCnt="5"/>
      <dgm:spPr/>
      <dgm:t>
        <a:bodyPr/>
        <a:lstStyle/>
        <a:p>
          <a:endParaRPr lang="en-US"/>
        </a:p>
      </dgm:t>
    </dgm:pt>
    <dgm:pt modelId="{20C0E0D0-40EC-4CB5-A618-5059078879B5}" type="pres">
      <dgm:prSet presAssocID="{F6F9CBAF-8FC2-4ABB-9F51-11651F2E14AA}" presName="connTx" presStyleLbl="parChTrans1D2" presStyleIdx="4" presStyleCnt="5"/>
      <dgm:spPr/>
      <dgm:t>
        <a:bodyPr/>
        <a:lstStyle/>
        <a:p>
          <a:endParaRPr lang="en-US"/>
        </a:p>
      </dgm:t>
    </dgm:pt>
    <dgm:pt modelId="{4E53ABF8-368E-44A3-99CE-D5701C5441C7}" type="pres">
      <dgm:prSet presAssocID="{93F01550-4DE6-4362-8574-E1D9EEC88B6F}" presName="root2" presStyleCnt="0"/>
      <dgm:spPr/>
    </dgm:pt>
    <dgm:pt modelId="{8AC7F4C4-9918-4D94-BACB-B37DA5EED8DB}" type="pres">
      <dgm:prSet presAssocID="{93F01550-4DE6-4362-8574-E1D9EEC88B6F}" presName="LevelTwoTextNode" presStyleLbl="node2" presStyleIdx="4" presStyleCnt="5" custScaleX="133532">
        <dgm:presLayoutVars>
          <dgm:chPref val="3"/>
        </dgm:presLayoutVars>
      </dgm:prSet>
      <dgm:spPr/>
      <dgm:t>
        <a:bodyPr/>
        <a:lstStyle/>
        <a:p>
          <a:endParaRPr lang="en-US"/>
        </a:p>
      </dgm:t>
    </dgm:pt>
    <dgm:pt modelId="{5EF52D83-43B7-4B88-8B2E-8A2EEB7CC8D5}" type="pres">
      <dgm:prSet presAssocID="{93F01550-4DE6-4362-8574-E1D9EEC88B6F}" presName="level3hierChild" presStyleCnt="0"/>
      <dgm:spPr/>
    </dgm:pt>
  </dgm:ptLst>
  <dgm:cxnLst>
    <dgm:cxn modelId="{C37A250A-C734-4386-83FB-42CE80483BD0}" type="presOf" srcId="{B477BA39-2A16-433E-B6F6-E0723D2CCD5E}" destId="{CF1581E6-09DF-4771-B5BD-ED9FFC9B0210}" srcOrd="1" destOrd="0" presId="urn:microsoft.com/office/officeart/2008/layout/HorizontalMultiLevelHierarchy"/>
    <dgm:cxn modelId="{1267096D-E9B1-4454-BE9B-F8B2E632BD61}" type="presOf" srcId="{9DEA0145-2963-4A6A-8A28-FC42B5F52B30}" destId="{4F84F40C-DD42-4178-A497-35B2B3BFB14E}" srcOrd="0" destOrd="0" presId="urn:microsoft.com/office/officeart/2008/layout/HorizontalMultiLevelHierarchy"/>
    <dgm:cxn modelId="{48E04BA8-4155-4019-986D-F2697EB4297B}" type="presOf" srcId="{9DEA0145-2963-4A6A-8A28-FC42B5F52B30}" destId="{43D46D9B-B124-4E11-88DD-C200B4B91D2A}" srcOrd="1" destOrd="0" presId="urn:microsoft.com/office/officeart/2008/layout/HorizontalMultiLevelHierarchy"/>
    <dgm:cxn modelId="{A403FB48-01D1-46D7-8FAD-073EDDC8A435}" type="presOf" srcId="{E67F38C3-569F-4F82-87A8-9B6EEFC68872}" destId="{EF2F75BF-7633-4FC9-BE33-8CABE2763CF5}" srcOrd="0" destOrd="0" presId="urn:microsoft.com/office/officeart/2008/layout/HorizontalMultiLevelHierarchy"/>
    <dgm:cxn modelId="{904E798D-01A7-4AA7-B258-41D3D46EC138}" srcId="{E67F38C3-569F-4F82-87A8-9B6EEFC68872}" destId="{B21289BA-B0C6-445E-AAB3-C239F975C48A}" srcOrd="0" destOrd="0" parTransId="{B586900F-C853-4FE1-A182-DA932E23BCBD}" sibTransId="{0FF65958-8633-441D-BE20-24B398165CB7}"/>
    <dgm:cxn modelId="{BA1ED477-57D3-450C-B61B-321DFD5960A1}" type="presOf" srcId="{2FB20F3F-B3E4-4691-B806-1C9577A19F4B}" destId="{7ACC75E0-B410-48E7-995D-C237FCAF2393}" srcOrd="0" destOrd="0" presId="urn:microsoft.com/office/officeart/2008/layout/HorizontalMultiLevelHierarchy"/>
    <dgm:cxn modelId="{F9BDD2C1-8180-4491-8427-D6A4FBA7A3E3}" type="presOf" srcId="{C247228E-6315-4EB0-8093-186A91A1825A}" destId="{4AE3506C-E120-4020-85FB-E18667DCD27F}" srcOrd="0" destOrd="0" presId="urn:microsoft.com/office/officeart/2008/layout/HorizontalMultiLevelHierarchy"/>
    <dgm:cxn modelId="{E6079353-5B94-48E8-B019-EE5039508E38}" type="presOf" srcId="{B1004172-6A78-4DF5-87C8-C62492A9D991}" destId="{9C297F49-3BDE-4F49-BFD2-D23B03C260EF}" srcOrd="0" destOrd="0" presId="urn:microsoft.com/office/officeart/2008/layout/HorizontalMultiLevelHierarchy"/>
    <dgm:cxn modelId="{4C2970C5-4E07-439D-87E9-EBB06958EB05}" srcId="{B21289BA-B0C6-445E-AAB3-C239F975C48A}" destId="{2FB20F3F-B3E4-4691-B806-1C9577A19F4B}" srcOrd="3" destOrd="0" parTransId="{B477BA39-2A16-433E-B6F6-E0723D2CCD5E}" sibTransId="{5D58CF75-95DF-4613-A574-D875308FBF67}"/>
    <dgm:cxn modelId="{B0C524B3-5170-436D-B9CC-F27BD94EC3D7}" type="presOf" srcId="{C247228E-6315-4EB0-8093-186A91A1825A}" destId="{55619DFB-0310-4351-A467-78BB6896C52D}" srcOrd="1" destOrd="0" presId="urn:microsoft.com/office/officeart/2008/layout/HorizontalMultiLevelHierarchy"/>
    <dgm:cxn modelId="{D187E3BB-C9BD-4EF4-B586-79C24E5842D5}" type="presOf" srcId="{F6F9CBAF-8FC2-4ABB-9F51-11651F2E14AA}" destId="{20C0E0D0-40EC-4CB5-A618-5059078879B5}" srcOrd="1" destOrd="0" presId="urn:microsoft.com/office/officeart/2008/layout/HorizontalMultiLevelHierarchy"/>
    <dgm:cxn modelId="{797E47A9-4BB5-41BD-865E-E64DB07F82B2}" srcId="{B21289BA-B0C6-445E-AAB3-C239F975C48A}" destId="{B1004172-6A78-4DF5-87C8-C62492A9D991}" srcOrd="2" destOrd="0" parTransId="{C247228E-6315-4EB0-8093-186A91A1825A}" sibTransId="{D73D58FE-D2A1-4C05-8170-5637D9CBDC3D}"/>
    <dgm:cxn modelId="{869A986D-1A9E-4E22-A35F-B43CC1C27521}" type="presOf" srcId="{B477BA39-2A16-433E-B6F6-E0723D2CCD5E}" destId="{5850196B-A16B-4210-B1D3-FB155482DA4E}" srcOrd="0" destOrd="0" presId="urn:microsoft.com/office/officeart/2008/layout/HorizontalMultiLevelHierarchy"/>
    <dgm:cxn modelId="{80011F9E-D3E7-423D-9EEF-A0C4C357A5A2}" type="presOf" srcId="{3816045D-68F0-4947-BC58-50E25D0AC91E}" destId="{4C12F24A-E3C6-44A3-88DB-0D4EFD0F715E}" srcOrd="1" destOrd="0" presId="urn:microsoft.com/office/officeart/2008/layout/HorizontalMultiLevelHierarchy"/>
    <dgm:cxn modelId="{7AE6FD90-217F-45D9-80D9-47F890BDD447}" type="presOf" srcId="{F6F9CBAF-8FC2-4ABB-9F51-11651F2E14AA}" destId="{6E511DAA-DCEC-4379-8D61-8475FD8A3A77}" srcOrd="0" destOrd="0" presId="urn:microsoft.com/office/officeart/2008/layout/HorizontalMultiLevelHierarchy"/>
    <dgm:cxn modelId="{71EB84F9-7B40-4274-BBB0-F39803C2DF21}" srcId="{B21289BA-B0C6-445E-AAB3-C239F975C48A}" destId="{93F01550-4DE6-4362-8574-E1D9EEC88B6F}" srcOrd="4" destOrd="0" parTransId="{F6F9CBAF-8FC2-4ABB-9F51-11651F2E14AA}" sibTransId="{032DB23B-F1D9-4659-B5A5-0DCD1E93B08F}"/>
    <dgm:cxn modelId="{D45AE1F7-0DF4-482C-A10A-9FEFBF49A86C}" type="presOf" srcId="{6DEDE5D6-81AB-4AFF-AB04-9B63984ADFA8}" destId="{293E4C6D-3230-4D38-AF57-1ACC314CF366}" srcOrd="0" destOrd="0" presId="urn:microsoft.com/office/officeart/2008/layout/HorizontalMultiLevelHierarchy"/>
    <dgm:cxn modelId="{E8025F2A-0915-43F0-983A-350865EA9484}" type="presOf" srcId="{93F01550-4DE6-4362-8574-E1D9EEC88B6F}" destId="{8AC7F4C4-9918-4D94-BACB-B37DA5EED8DB}" srcOrd="0" destOrd="0" presId="urn:microsoft.com/office/officeart/2008/layout/HorizontalMultiLevelHierarchy"/>
    <dgm:cxn modelId="{258FA5B5-5CE6-4593-9FBB-7ABFCDDE206A}" type="presOf" srcId="{3816045D-68F0-4947-BC58-50E25D0AC91E}" destId="{922C36C6-B0ED-43E6-BF8E-187C61BD692F}" srcOrd="0" destOrd="0" presId="urn:microsoft.com/office/officeart/2008/layout/HorizontalMultiLevelHierarchy"/>
    <dgm:cxn modelId="{895C249B-3C02-4EAE-BA87-0171F21B66B0}" type="presOf" srcId="{C136ED94-FA69-4C2D-93CC-A56262D699F1}" destId="{238EE141-B8E8-4B5D-91B1-1A654E9D038E}" srcOrd="0" destOrd="0" presId="urn:microsoft.com/office/officeart/2008/layout/HorizontalMultiLevelHierarchy"/>
    <dgm:cxn modelId="{D8D10F65-DBAA-4063-A08D-7DDAA9F15670}" srcId="{B21289BA-B0C6-445E-AAB3-C239F975C48A}" destId="{C136ED94-FA69-4C2D-93CC-A56262D699F1}" srcOrd="1" destOrd="0" parTransId="{9DEA0145-2963-4A6A-8A28-FC42B5F52B30}" sibTransId="{ABAC6ABA-4A31-4AAB-BB20-942AB6C12B13}"/>
    <dgm:cxn modelId="{6FC539AC-D66F-4821-9E95-2AE11B9F8B65}" srcId="{B21289BA-B0C6-445E-AAB3-C239F975C48A}" destId="{6DEDE5D6-81AB-4AFF-AB04-9B63984ADFA8}" srcOrd="0" destOrd="0" parTransId="{3816045D-68F0-4947-BC58-50E25D0AC91E}" sibTransId="{68FF34CA-E06B-44D9-8647-5F04D44D4E9F}"/>
    <dgm:cxn modelId="{83ADD910-0498-4476-B722-4791C622F92D}" type="presOf" srcId="{B21289BA-B0C6-445E-AAB3-C239F975C48A}" destId="{8347D7FD-5B52-4156-8747-22EAB39BFFF8}" srcOrd="0" destOrd="0" presId="urn:microsoft.com/office/officeart/2008/layout/HorizontalMultiLevelHierarchy"/>
    <dgm:cxn modelId="{72AF20D2-ECE5-4F43-AF3A-F9239222C07A}" type="presParOf" srcId="{EF2F75BF-7633-4FC9-BE33-8CABE2763CF5}" destId="{2F9337AB-2102-4074-85F7-05D87360FFF4}" srcOrd="0" destOrd="0" presId="urn:microsoft.com/office/officeart/2008/layout/HorizontalMultiLevelHierarchy"/>
    <dgm:cxn modelId="{B7D54546-2552-4ED5-833E-E68B14AD948A}" type="presParOf" srcId="{2F9337AB-2102-4074-85F7-05D87360FFF4}" destId="{8347D7FD-5B52-4156-8747-22EAB39BFFF8}" srcOrd="0" destOrd="0" presId="urn:microsoft.com/office/officeart/2008/layout/HorizontalMultiLevelHierarchy"/>
    <dgm:cxn modelId="{318B14CA-8CF4-4512-A944-48B7E82034A6}" type="presParOf" srcId="{2F9337AB-2102-4074-85F7-05D87360FFF4}" destId="{48DD461F-9C8C-4974-ABF8-5675EA8ADED0}" srcOrd="1" destOrd="0" presId="urn:microsoft.com/office/officeart/2008/layout/HorizontalMultiLevelHierarchy"/>
    <dgm:cxn modelId="{525FF528-FF5D-42BC-A9AE-CC7BB1D91926}" type="presParOf" srcId="{48DD461F-9C8C-4974-ABF8-5675EA8ADED0}" destId="{922C36C6-B0ED-43E6-BF8E-187C61BD692F}" srcOrd="0" destOrd="0" presId="urn:microsoft.com/office/officeart/2008/layout/HorizontalMultiLevelHierarchy"/>
    <dgm:cxn modelId="{342E2C0D-AA8F-465A-A705-532A095F492E}" type="presParOf" srcId="{922C36C6-B0ED-43E6-BF8E-187C61BD692F}" destId="{4C12F24A-E3C6-44A3-88DB-0D4EFD0F715E}" srcOrd="0" destOrd="0" presId="urn:microsoft.com/office/officeart/2008/layout/HorizontalMultiLevelHierarchy"/>
    <dgm:cxn modelId="{C48CBF05-1A43-4FBE-85BC-0BBCF4B31687}" type="presParOf" srcId="{48DD461F-9C8C-4974-ABF8-5675EA8ADED0}" destId="{B7397DA5-4545-4FED-A56B-2BC469059FF2}" srcOrd="1" destOrd="0" presId="urn:microsoft.com/office/officeart/2008/layout/HorizontalMultiLevelHierarchy"/>
    <dgm:cxn modelId="{3ECC2428-030F-40AB-879A-E6EAD0A2F361}" type="presParOf" srcId="{B7397DA5-4545-4FED-A56B-2BC469059FF2}" destId="{293E4C6D-3230-4D38-AF57-1ACC314CF366}" srcOrd="0" destOrd="0" presId="urn:microsoft.com/office/officeart/2008/layout/HorizontalMultiLevelHierarchy"/>
    <dgm:cxn modelId="{8C9A901E-EAD5-49EE-B6A0-B87AF588D6CF}" type="presParOf" srcId="{B7397DA5-4545-4FED-A56B-2BC469059FF2}" destId="{7626394A-CD22-4E53-A623-984B2A76166D}" srcOrd="1" destOrd="0" presId="urn:microsoft.com/office/officeart/2008/layout/HorizontalMultiLevelHierarchy"/>
    <dgm:cxn modelId="{07812D6E-F61F-46B2-90D6-772D99DDAB98}" type="presParOf" srcId="{48DD461F-9C8C-4974-ABF8-5675EA8ADED0}" destId="{4F84F40C-DD42-4178-A497-35B2B3BFB14E}" srcOrd="2" destOrd="0" presId="urn:microsoft.com/office/officeart/2008/layout/HorizontalMultiLevelHierarchy"/>
    <dgm:cxn modelId="{39FFE880-6168-48E9-8767-B6C1ECED8DE5}" type="presParOf" srcId="{4F84F40C-DD42-4178-A497-35B2B3BFB14E}" destId="{43D46D9B-B124-4E11-88DD-C200B4B91D2A}" srcOrd="0" destOrd="0" presId="urn:microsoft.com/office/officeart/2008/layout/HorizontalMultiLevelHierarchy"/>
    <dgm:cxn modelId="{43D37A6E-F7D1-480C-B5F1-4617E7E3C3D9}" type="presParOf" srcId="{48DD461F-9C8C-4974-ABF8-5675EA8ADED0}" destId="{0A394EC7-2E50-4D54-B99D-FBD39C8F9C1F}" srcOrd="3" destOrd="0" presId="urn:microsoft.com/office/officeart/2008/layout/HorizontalMultiLevelHierarchy"/>
    <dgm:cxn modelId="{EDC1215D-D652-4BE9-9D8F-A398A9723D8E}" type="presParOf" srcId="{0A394EC7-2E50-4D54-B99D-FBD39C8F9C1F}" destId="{238EE141-B8E8-4B5D-91B1-1A654E9D038E}" srcOrd="0" destOrd="0" presId="urn:microsoft.com/office/officeart/2008/layout/HorizontalMultiLevelHierarchy"/>
    <dgm:cxn modelId="{9E5B50BE-14AF-4997-8B4E-91F877A3232A}" type="presParOf" srcId="{0A394EC7-2E50-4D54-B99D-FBD39C8F9C1F}" destId="{CB7BC908-BA4B-4C95-9496-165AF6165A3C}" srcOrd="1" destOrd="0" presId="urn:microsoft.com/office/officeart/2008/layout/HorizontalMultiLevelHierarchy"/>
    <dgm:cxn modelId="{0B017822-B2F9-40CA-B206-E64C8A88FDAF}" type="presParOf" srcId="{48DD461F-9C8C-4974-ABF8-5675EA8ADED0}" destId="{4AE3506C-E120-4020-85FB-E18667DCD27F}" srcOrd="4" destOrd="0" presId="urn:microsoft.com/office/officeart/2008/layout/HorizontalMultiLevelHierarchy"/>
    <dgm:cxn modelId="{C4ABAA6F-0F30-4240-B302-C6C253D7099E}" type="presParOf" srcId="{4AE3506C-E120-4020-85FB-E18667DCD27F}" destId="{55619DFB-0310-4351-A467-78BB6896C52D}" srcOrd="0" destOrd="0" presId="urn:microsoft.com/office/officeart/2008/layout/HorizontalMultiLevelHierarchy"/>
    <dgm:cxn modelId="{92DA51D3-3A93-423B-8CDE-9674C213F98F}" type="presParOf" srcId="{48DD461F-9C8C-4974-ABF8-5675EA8ADED0}" destId="{BFE6A288-3C43-4632-857B-C903FC7738AB}" srcOrd="5" destOrd="0" presId="urn:microsoft.com/office/officeart/2008/layout/HorizontalMultiLevelHierarchy"/>
    <dgm:cxn modelId="{E36B0199-B818-4538-B476-9FF7129980BA}" type="presParOf" srcId="{BFE6A288-3C43-4632-857B-C903FC7738AB}" destId="{9C297F49-3BDE-4F49-BFD2-D23B03C260EF}" srcOrd="0" destOrd="0" presId="urn:microsoft.com/office/officeart/2008/layout/HorizontalMultiLevelHierarchy"/>
    <dgm:cxn modelId="{49CDD14E-1FBC-4DDD-BE6B-0D2F9FBE788F}" type="presParOf" srcId="{BFE6A288-3C43-4632-857B-C903FC7738AB}" destId="{5D0580EA-D1AF-4C1F-84DA-72DE947C09AB}" srcOrd="1" destOrd="0" presId="urn:microsoft.com/office/officeart/2008/layout/HorizontalMultiLevelHierarchy"/>
    <dgm:cxn modelId="{FB5F937A-EE40-43B6-82E8-CF90DFF323AB}" type="presParOf" srcId="{48DD461F-9C8C-4974-ABF8-5675EA8ADED0}" destId="{5850196B-A16B-4210-B1D3-FB155482DA4E}" srcOrd="6" destOrd="0" presId="urn:microsoft.com/office/officeart/2008/layout/HorizontalMultiLevelHierarchy"/>
    <dgm:cxn modelId="{61FA9E31-5B8F-4651-BF9B-70A03BFB7433}" type="presParOf" srcId="{5850196B-A16B-4210-B1D3-FB155482DA4E}" destId="{CF1581E6-09DF-4771-B5BD-ED9FFC9B0210}" srcOrd="0" destOrd="0" presId="urn:microsoft.com/office/officeart/2008/layout/HorizontalMultiLevelHierarchy"/>
    <dgm:cxn modelId="{95D359F4-7745-4979-8FDD-CF502A254E8B}" type="presParOf" srcId="{48DD461F-9C8C-4974-ABF8-5675EA8ADED0}" destId="{5267CA8F-AE15-42BD-8E30-0254DE88CACB}" srcOrd="7" destOrd="0" presId="urn:microsoft.com/office/officeart/2008/layout/HorizontalMultiLevelHierarchy"/>
    <dgm:cxn modelId="{F7F8B13F-7A8D-4D2C-9EB9-00B6CCC07100}" type="presParOf" srcId="{5267CA8F-AE15-42BD-8E30-0254DE88CACB}" destId="{7ACC75E0-B410-48E7-995D-C237FCAF2393}" srcOrd="0" destOrd="0" presId="urn:microsoft.com/office/officeart/2008/layout/HorizontalMultiLevelHierarchy"/>
    <dgm:cxn modelId="{778FD4A3-CC0E-4330-8485-5FE54EF7B317}" type="presParOf" srcId="{5267CA8F-AE15-42BD-8E30-0254DE88CACB}" destId="{49C609FC-40CF-4B05-9E93-692191FF1888}" srcOrd="1" destOrd="0" presId="urn:microsoft.com/office/officeart/2008/layout/HorizontalMultiLevelHierarchy"/>
    <dgm:cxn modelId="{DCA3885C-2132-45AC-8C3C-6E05C84F2C01}" type="presParOf" srcId="{48DD461F-9C8C-4974-ABF8-5675EA8ADED0}" destId="{6E511DAA-DCEC-4379-8D61-8475FD8A3A77}" srcOrd="8" destOrd="0" presId="urn:microsoft.com/office/officeart/2008/layout/HorizontalMultiLevelHierarchy"/>
    <dgm:cxn modelId="{A5F1558B-335B-45B0-8FAF-6DEE06E6B5D9}" type="presParOf" srcId="{6E511DAA-DCEC-4379-8D61-8475FD8A3A77}" destId="{20C0E0D0-40EC-4CB5-A618-5059078879B5}" srcOrd="0" destOrd="0" presId="urn:microsoft.com/office/officeart/2008/layout/HorizontalMultiLevelHierarchy"/>
    <dgm:cxn modelId="{5BF38555-68CD-4766-A218-863480E8BFB9}" type="presParOf" srcId="{48DD461F-9C8C-4974-ABF8-5675EA8ADED0}" destId="{4E53ABF8-368E-44A3-99CE-D5701C5441C7}" srcOrd="9" destOrd="0" presId="urn:microsoft.com/office/officeart/2008/layout/HorizontalMultiLevelHierarchy"/>
    <dgm:cxn modelId="{199BA1CD-0C7B-4D46-84E8-73B384812288}" type="presParOf" srcId="{4E53ABF8-368E-44A3-99CE-D5701C5441C7}" destId="{8AC7F4C4-9918-4D94-BACB-B37DA5EED8DB}" srcOrd="0" destOrd="0" presId="urn:microsoft.com/office/officeart/2008/layout/HorizontalMultiLevelHierarchy"/>
    <dgm:cxn modelId="{92C9B01E-E2B3-46B0-84D5-9B1D80252900}" type="presParOf" srcId="{4E53ABF8-368E-44A3-99CE-D5701C5441C7}" destId="{5EF52D83-43B7-4B88-8B2E-8A2EEB7CC8D5}" srcOrd="1" destOrd="0" presId="urn:microsoft.com/office/officeart/2008/layout/HorizontalMultiLevelHierarchy"/>
  </dgm:cxnLst>
  <dgm:bg/>
  <dgm:whole>
    <a:ln w="9525" cap="flat" cmpd="sng" algn="ctr">
      <a:solidFill>
        <a:schemeClr val="accent5">
          <a:lumMod val="20000"/>
          <a:lumOff val="80000"/>
        </a:schemeClr>
      </a:solidFill>
      <a:prstDash val="solid"/>
      <a:round/>
      <a:headEnd type="none" w="med" len="med"/>
      <a:tailEnd type="none" w="med" len="med"/>
    </a:ln>
  </dgm:whole>
  <dgm:extLst>
    <a:ext uri="http://schemas.microsoft.com/office/drawing/2008/diagram">
      <dsp:dataModelExt xmlns:dsp="http://schemas.microsoft.com/office/drawing/2008/diagram" relId="rId1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B42846C-849D-44D4-9735-1C2ADD0D54DC}" type="doc">
      <dgm:prSet loTypeId="urn:microsoft.com/office/officeart/2008/layout/HorizontalMultiLevelHierarchy" loCatId="hierarchy" qsTypeId="urn:microsoft.com/office/officeart/2005/8/quickstyle/simple1" qsCatId="simple" csTypeId="urn:microsoft.com/office/officeart/2005/8/colors/accent4_1" csCatId="accent4" phldr="1"/>
      <dgm:spPr/>
      <dgm:t>
        <a:bodyPr/>
        <a:lstStyle/>
        <a:p>
          <a:endParaRPr lang="en-US"/>
        </a:p>
      </dgm:t>
    </dgm:pt>
    <dgm:pt modelId="{DA87131F-7ED3-4899-9C6C-6CCC495EB4FD}">
      <dgm:prSet phldrT="[Text]" custT="1"/>
      <dgm:spPr>
        <a:xfrm rot="16200000">
          <a:off x="-1132825" y="1590024"/>
          <a:ext cx="4130040" cy="949990"/>
        </a:xfrm>
        <a:prstGeom prst="rect">
          <a:avLst/>
        </a:prstGeom>
        <a:solidFill>
          <a:sysClr val="window" lastClr="FFFFFF">
            <a:hueOff val="0"/>
            <a:satOff val="0"/>
            <a:lumOff val="0"/>
            <a:alphaOff val="0"/>
          </a:sysClr>
        </a:solidFill>
        <a:ln w="12700" cap="flat" cmpd="sng" algn="ctr">
          <a:solidFill>
            <a:srgbClr val="FFC000">
              <a:shade val="80000"/>
              <a:hueOff val="0"/>
              <a:satOff val="0"/>
              <a:lumOff val="0"/>
              <a:alphaOff val="0"/>
            </a:srgbClr>
          </a:solidFill>
          <a:prstDash val="solid"/>
          <a:miter lim="800000"/>
        </a:ln>
        <a:effectLst/>
      </dgm:spPr>
      <dgm:t>
        <a:bodyPr/>
        <a:lstStyle/>
        <a:p>
          <a:r>
            <a:rPr lang="sr-Cyrl-R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Успостављање функционалног координационог механизма за планирање, имплементацију и праћење комуницирања РЈУ на националном  нивоу</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FCBFA31-419A-4AF0-8A60-E7FD5FCAD9F9}" type="parTrans" cxnId="{173D4CA5-57C3-4A10-860A-927A95CB271C}">
      <dgm:prSet/>
      <dgm:spPr/>
      <dgm:t>
        <a:bodyPr/>
        <a:lstStyle/>
        <a:p>
          <a:endParaRPr lang="en-US" sz="1200">
            <a:latin typeface="Times New Roman" panose="02020603050405020304" pitchFamily="18" charset="0"/>
            <a:cs typeface="Times New Roman" panose="02020603050405020304" pitchFamily="18" charset="0"/>
          </a:endParaRPr>
        </a:p>
      </dgm:t>
    </dgm:pt>
    <dgm:pt modelId="{71424D54-4B35-4441-A618-606E6B35991A}" type="sibTrans" cxnId="{173D4CA5-57C3-4A10-860A-927A95CB271C}">
      <dgm:prSet/>
      <dgm:spPr/>
      <dgm:t>
        <a:bodyPr/>
        <a:lstStyle/>
        <a:p>
          <a:endParaRPr lang="en-US" sz="1200">
            <a:latin typeface="Times New Roman" panose="02020603050405020304" pitchFamily="18" charset="0"/>
            <a:cs typeface="Times New Roman" panose="02020603050405020304" pitchFamily="18" charset="0"/>
          </a:endParaRPr>
        </a:p>
      </dgm:t>
    </dgm:pt>
    <dgm:pt modelId="{D4ABD493-15F7-4ED2-8AC9-264E98563BDB}">
      <dgm:prSet phldrT="[Text]" custT="1"/>
      <dgm:spPr>
        <a:xfrm>
          <a:off x="1921957" y="201339"/>
          <a:ext cx="3107243" cy="784707"/>
        </a:xfrm>
        <a:prstGeom prst="rect">
          <a:avLst/>
        </a:prstGeom>
        <a:solidFill>
          <a:sysClr val="window" lastClr="FFFFFF">
            <a:hueOff val="0"/>
            <a:satOff val="0"/>
            <a:lumOff val="0"/>
            <a:alphaOff val="0"/>
          </a:sysClr>
        </a:solidFill>
        <a:ln w="12700" cap="flat" cmpd="sng" algn="ctr">
          <a:solidFill>
            <a:srgbClr val="FFC000">
              <a:shade val="80000"/>
              <a:hueOff val="0"/>
              <a:satOff val="0"/>
              <a:lumOff val="0"/>
              <a:alphaOff val="0"/>
            </a:srgbClr>
          </a:solidFill>
          <a:prstDash val="solid"/>
          <a:miter lim="800000"/>
        </a:ln>
        <a:effectLst/>
      </dgm:spPr>
      <dgm:t>
        <a:bodyPr/>
        <a:lstStyle/>
        <a:p>
          <a:r>
            <a:rPr lang="sr-Latn-RS" sz="12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Status quo</a:t>
          </a:r>
          <a:r>
            <a:rPr lang="sr-Cyrl-R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r-Cyrl-R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непостојање координационог механизма</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16AC99B-78BA-4740-9AD3-A18C55D8E484}" type="parTrans" cxnId="{5596EE8A-90FA-4808-83EB-A57236824A2A}">
      <dgm:prSet custT="1"/>
      <dgm:spPr>
        <a:xfrm>
          <a:off x="1407189" y="593693"/>
          <a:ext cx="514768" cy="1471326"/>
        </a:xfrm>
        <a:custGeom>
          <a:avLst/>
          <a:gdLst/>
          <a:ahLst/>
          <a:cxnLst/>
          <a:rect l="0" t="0" r="0" b="0"/>
          <a:pathLst>
            <a:path>
              <a:moveTo>
                <a:pt x="0" y="1471326"/>
              </a:moveTo>
              <a:lnTo>
                <a:pt x="257384" y="1471326"/>
              </a:lnTo>
              <a:lnTo>
                <a:pt x="257384" y="0"/>
              </a:lnTo>
              <a:lnTo>
                <a:pt x="514768" y="0"/>
              </a:lnTo>
            </a:path>
          </a:pathLst>
        </a:custGeom>
        <a:noFill/>
        <a:ln w="12700" cap="flat" cmpd="sng" algn="ctr">
          <a:solidFill>
            <a:srgbClr val="FFC000">
              <a:shade val="60000"/>
              <a:hueOff val="0"/>
              <a:satOff val="0"/>
              <a:lumOff val="0"/>
              <a:alphaOff val="0"/>
            </a:srgbClr>
          </a:solidFill>
          <a:prstDash val="solid"/>
          <a:miter lim="800000"/>
        </a:ln>
        <a:effectLst/>
      </dgm:spPr>
      <dgm:t>
        <a:bodyPr/>
        <a:lstStyle/>
        <a:p>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A806C55-CD8A-4E5E-AA42-EDDC971ADDB8}" type="sibTrans" cxnId="{5596EE8A-90FA-4808-83EB-A57236824A2A}">
      <dgm:prSet/>
      <dgm:spPr/>
      <dgm:t>
        <a:bodyPr/>
        <a:lstStyle/>
        <a:p>
          <a:endParaRPr lang="en-US" sz="1200">
            <a:latin typeface="Times New Roman" panose="02020603050405020304" pitchFamily="18" charset="0"/>
            <a:cs typeface="Times New Roman" panose="02020603050405020304" pitchFamily="18" charset="0"/>
          </a:endParaRPr>
        </a:p>
      </dgm:t>
    </dgm:pt>
    <dgm:pt modelId="{A6FC1B4B-847D-4B03-AA23-5AFFB36407C2}">
      <dgm:prSet phldrT="[Text]" custT="1"/>
      <dgm:spPr>
        <a:xfrm>
          <a:off x="1921957" y="1182223"/>
          <a:ext cx="3107243" cy="784707"/>
        </a:xfrm>
        <a:prstGeom prst="rect">
          <a:avLst/>
        </a:prstGeom>
        <a:solidFill>
          <a:sysClr val="window" lastClr="FFFFFF">
            <a:hueOff val="0"/>
            <a:satOff val="0"/>
            <a:lumOff val="0"/>
            <a:alphaOff val="0"/>
          </a:sysClr>
        </a:solidFill>
        <a:ln w="12700" cap="flat" cmpd="sng" algn="ctr">
          <a:solidFill>
            <a:srgbClr val="FFC000">
              <a:shade val="80000"/>
              <a:hueOff val="0"/>
              <a:satOff val="0"/>
              <a:lumOff val="0"/>
              <a:alphaOff val="0"/>
            </a:srgbClr>
          </a:solidFill>
          <a:prstDash val="solid"/>
          <a:miter lim="800000"/>
        </a:ln>
        <a:effectLst/>
      </dgm:spPr>
      <dgm:t>
        <a:bodyPr/>
        <a:lstStyle/>
        <a:p>
          <a:r>
            <a:rPr lang="sr-Cyrl-R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Опција 1</a:t>
          </a:r>
          <a:r>
            <a:rPr lang="sr-Cyrl-R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Формирање Координационог тела за комуницирање реформе јавне управе </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C40A9B5-6573-4201-9D9C-46C91060E2DD}" type="parTrans" cxnId="{10366F87-7D13-4059-A85D-7DB9726A02F0}">
      <dgm:prSet custT="1"/>
      <dgm:spPr>
        <a:xfrm>
          <a:off x="1407189" y="1574577"/>
          <a:ext cx="514768" cy="490442"/>
        </a:xfrm>
        <a:custGeom>
          <a:avLst/>
          <a:gdLst/>
          <a:ahLst/>
          <a:cxnLst/>
          <a:rect l="0" t="0" r="0" b="0"/>
          <a:pathLst>
            <a:path>
              <a:moveTo>
                <a:pt x="0" y="490442"/>
              </a:moveTo>
              <a:lnTo>
                <a:pt x="257384" y="490442"/>
              </a:lnTo>
              <a:lnTo>
                <a:pt x="257384" y="0"/>
              </a:lnTo>
              <a:lnTo>
                <a:pt x="514768" y="0"/>
              </a:lnTo>
            </a:path>
          </a:pathLst>
        </a:custGeom>
        <a:noFill/>
        <a:ln w="12700" cap="flat" cmpd="sng" algn="ctr">
          <a:solidFill>
            <a:srgbClr val="FFC000">
              <a:shade val="60000"/>
              <a:hueOff val="0"/>
              <a:satOff val="0"/>
              <a:lumOff val="0"/>
              <a:alphaOff val="0"/>
            </a:srgbClr>
          </a:solidFill>
          <a:prstDash val="solid"/>
          <a:miter lim="800000"/>
        </a:ln>
        <a:effectLst/>
      </dgm:spPr>
      <dgm:t>
        <a:bodyPr/>
        <a:lstStyle/>
        <a:p>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70DC1D4-09D6-438E-B85F-1DF6D191E79A}" type="sibTrans" cxnId="{10366F87-7D13-4059-A85D-7DB9726A02F0}">
      <dgm:prSet/>
      <dgm:spPr/>
      <dgm:t>
        <a:bodyPr/>
        <a:lstStyle/>
        <a:p>
          <a:endParaRPr lang="en-US" sz="1200">
            <a:latin typeface="Times New Roman" panose="02020603050405020304" pitchFamily="18" charset="0"/>
            <a:cs typeface="Times New Roman" panose="02020603050405020304" pitchFamily="18" charset="0"/>
          </a:endParaRPr>
        </a:p>
      </dgm:t>
    </dgm:pt>
    <dgm:pt modelId="{C725A8FC-96B4-4FDF-83E1-83CD932D7DA2}">
      <dgm:prSet phldrT="[Text]" custT="1"/>
      <dgm:spPr>
        <a:xfrm>
          <a:off x="1921957" y="2163108"/>
          <a:ext cx="3107243" cy="784707"/>
        </a:xfrm>
        <a:prstGeom prst="rect">
          <a:avLst/>
        </a:prstGeom>
        <a:solidFill>
          <a:sysClr val="window" lastClr="FFFFFF">
            <a:hueOff val="0"/>
            <a:satOff val="0"/>
            <a:lumOff val="0"/>
            <a:alphaOff val="0"/>
          </a:sysClr>
        </a:solidFill>
        <a:ln w="12700" cap="flat" cmpd="sng" algn="ctr">
          <a:solidFill>
            <a:srgbClr val="FFC000">
              <a:shade val="80000"/>
              <a:hueOff val="0"/>
              <a:satOff val="0"/>
              <a:lumOff val="0"/>
              <a:alphaOff val="0"/>
            </a:srgbClr>
          </a:solidFill>
          <a:prstDash val="solid"/>
          <a:miter lim="800000"/>
        </a:ln>
        <a:effectLst/>
      </dgm:spPr>
      <dgm:t>
        <a:bodyPr/>
        <a:lstStyle/>
        <a:p>
          <a:r>
            <a:rPr lang="sr-Cyrl-R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Опција 2</a:t>
          </a:r>
          <a:r>
            <a:rPr lang="sr-Cyrl-R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Формирање мреже службеника  за односе са јавношћу у органима јавне управе </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2089421-D00C-4ABE-B957-932FA35E0DA7}" type="parTrans" cxnId="{764BFBED-7CA2-4143-9417-7CFE54CBF124}">
      <dgm:prSet custT="1"/>
      <dgm:spPr>
        <a:xfrm>
          <a:off x="1407189" y="2065020"/>
          <a:ext cx="514768" cy="490442"/>
        </a:xfrm>
        <a:custGeom>
          <a:avLst/>
          <a:gdLst/>
          <a:ahLst/>
          <a:cxnLst/>
          <a:rect l="0" t="0" r="0" b="0"/>
          <a:pathLst>
            <a:path>
              <a:moveTo>
                <a:pt x="0" y="0"/>
              </a:moveTo>
              <a:lnTo>
                <a:pt x="257384" y="0"/>
              </a:lnTo>
              <a:lnTo>
                <a:pt x="257384" y="490442"/>
              </a:lnTo>
              <a:lnTo>
                <a:pt x="514768" y="490442"/>
              </a:lnTo>
            </a:path>
          </a:pathLst>
        </a:custGeom>
        <a:noFill/>
        <a:ln w="12700" cap="flat" cmpd="sng" algn="ctr">
          <a:solidFill>
            <a:srgbClr val="FFC000">
              <a:shade val="60000"/>
              <a:hueOff val="0"/>
              <a:satOff val="0"/>
              <a:lumOff val="0"/>
              <a:alphaOff val="0"/>
            </a:srgbClr>
          </a:solidFill>
          <a:prstDash val="solid"/>
          <a:miter lim="800000"/>
        </a:ln>
        <a:effectLst/>
      </dgm:spPr>
      <dgm:t>
        <a:bodyPr/>
        <a:lstStyle/>
        <a:p>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5541BD5-309C-408B-83CF-E2F3DD1C2812}" type="sibTrans" cxnId="{764BFBED-7CA2-4143-9417-7CFE54CBF124}">
      <dgm:prSet/>
      <dgm:spPr/>
      <dgm:t>
        <a:bodyPr/>
        <a:lstStyle/>
        <a:p>
          <a:endParaRPr lang="en-US" sz="1200">
            <a:latin typeface="Times New Roman" panose="02020603050405020304" pitchFamily="18" charset="0"/>
            <a:cs typeface="Times New Roman" panose="02020603050405020304" pitchFamily="18" charset="0"/>
          </a:endParaRPr>
        </a:p>
      </dgm:t>
    </dgm:pt>
    <dgm:pt modelId="{05D0A06D-AF76-43EA-BAF2-31EDF0694349}">
      <dgm:prSet phldrT="[Text]" custT="1"/>
      <dgm:spPr>
        <a:xfrm>
          <a:off x="1921957" y="3143992"/>
          <a:ext cx="3107243" cy="784707"/>
        </a:xfrm>
        <a:prstGeom prst="rect">
          <a:avLst/>
        </a:prstGeom>
        <a:solidFill>
          <a:sysClr val="window" lastClr="FFFFFF">
            <a:hueOff val="0"/>
            <a:satOff val="0"/>
            <a:lumOff val="0"/>
            <a:alphaOff val="0"/>
          </a:sysClr>
        </a:solidFill>
        <a:ln w="12700" cap="flat" cmpd="sng" algn="ctr">
          <a:solidFill>
            <a:srgbClr val="FFC000">
              <a:shade val="80000"/>
              <a:hueOff val="0"/>
              <a:satOff val="0"/>
              <a:lumOff val="0"/>
              <a:alphaOff val="0"/>
            </a:srgbClr>
          </a:solidFill>
          <a:prstDash val="solid"/>
          <a:miter lim="800000"/>
        </a:ln>
        <a:effectLst/>
      </dgm:spPr>
      <dgm:t>
        <a:bodyPr/>
        <a:lstStyle/>
        <a:p>
          <a:r>
            <a:rPr lang="sr-Cyrl-R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Опција 3</a:t>
          </a:r>
          <a:r>
            <a:rPr lang="sr-Cyrl-R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Формирање Радне групе за комуницирање реформе јавне управе у оквиру Савета за реформу јавне управе</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4819817-4C7E-4CB5-AA12-66657AC4FAD2}" type="parTrans" cxnId="{E78D310E-B373-4C60-BEE3-9DA169304E08}">
      <dgm:prSet custT="1"/>
      <dgm:spPr>
        <a:xfrm>
          <a:off x="1407189" y="2065020"/>
          <a:ext cx="514768" cy="1471326"/>
        </a:xfrm>
        <a:custGeom>
          <a:avLst/>
          <a:gdLst/>
          <a:ahLst/>
          <a:cxnLst/>
          <a:rect l="0" t="0" r="0" b="0"/>
          <a:pathLst>
            <a:path>
              <a:moveTo>
                <a:pt x="0" y="0"/>
              </a:moveTo>
              <a:lnTo>
                <a:pt x="257384" y="0"/>
              </a:lnTo>
              <a:lnTo>
                <a:pt x="257384" y="1471326"/>
              </a:lnTo>
              <a:lnTo>
                <a:pt x="514768" y="1471326"/>
              </a:lnTo>
            </a:path>
          </a:pathLst>
        </a:custGeom>
        <a:noFill/>
        <a:ln w="12700" cap="flat" cmpd="sng" algn="ctr">
          <a:solidFill>
            <a:srgbClr val="FFC000">
              <a:shade val="60000"/>
              <a:hueOff val="0"/>
              <a:satOff val="0"/>
              <a:lumOff val="0"/>
              <a:alphaOff val="0"/>
            </a:srgbClr>
          </a:solidFill>
          <a:prstDash val="solid"/>
          <a:miter lim="800000"/>
        </a:ln>
        <a:effectLst/>
      </dgm:spPr>
      <dgm:t>
        <a:bodyPr/>
        <a:lstStyle/>
        <a:p>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485EF2A-4FC7-4A6D-AA15-CBEFC7A3A3AD}" type="sibTrans" cxnId="{E78D310E-B373-4C60-BEE3-9DA169304E08}">
      <dgm:prSet/>
      <dgm:spPr/>
      <dgm:t>
        <a:bodyPr/>
        <a:lstStyle/>
        <a:p>
          <a:endParaRPr lang="en-US" sz="1200">
            <a:latin typeface="Times New Roman" panose="02020603050405020304" pitchFamily="18" charset="0"/>
            <a:cs typeface="Times New Roman" panose="02020603050405020304" pitchFamily="18" charset="0"/>
          </a:endParaRPr>
        </a:p>
      </dgm:t>
    </dgm:pt>
    <dgm:pt modelId="{1FB5BCF3-3F74-4AF1-9A20-70EFA67FFC21}" type="pres">
      <dgm:prSet presAssocID="{1B42846C-849D-44D4-9735-1C2ADD0D54DC}" presName="Name0" presStyleCnt="0">
        <dgm:presLayoutVars>
          <dgm:chPref val="1"/>
          <dgm:dir/>
          <dgm:animOne val="branch"/>
          <dgm:animLvl val="lvl"/>
          <dgm:resizeHandles val="exact"/>
        </dgm:presLayoutVars>
      </dgm:prSet>
      <dgm:spPr/>
      <dgm:t>
        <a:bodyPr/>
        <a:lstStyle/>
        <a:p>
          <a:endParaRPr lang="en-US"/>
        </a:p>
      </dgm:t>
    </dgm:pt>
    <dgm:pt modelId="{3BA6C8D1-B722-4893-BA65-E002E0AA8161}" type="pres">
      <dgm:prSet presAssocID="{DA87131F-7ED3-4899-9C6C-6CCC495EB4FD}" presName="root1" presStyleCnt="0"/>
      <dgm:spPr/>
    </dgm:pt>
    <dgm:pt modelId="{0FD39AA2-9EEE-4864-9C05-80FDC934B6F5}" type="pres">
      <dgm:prSet presAssocID="{DA87131F-7ED3-4899-9C6C-6CCC495EB4FD}" presName="LevelOneTextNode" presStyleLbl="node0" presStyleIdx="0" presStyleCnt="1" custScaleX="121063">
        <dgm:presLayoutVars>
          <dgm:chPref val="3"/>
        </dgm:presLayoutVars>
      </dgm:prSet>
      <dgm:spPr/>
      <dgm:t>
        <a:bodyPr/>
        <a:lstStyle/>
        <a:p>
          <a:endParaRPr lang="en-US"/>
        </a:p>
      </dgm:t>
    </dgm:pt>
    <dgm:pt modelId="{561360B5-F8D1-42FE-B77E-9911D4B2422E}" type="pres">
      <dgm:prSet presAssocID="{DA87131F-7ED3-4899-9C6C-6CCC495EB4FD}" presName="level2hierChild" presStyleCnt="0"/>
      <dgm:spPr/>
    </dgm:pt>
    <dgm:pt modelId="{D4AF40BA-CF43-4ADB-8C20-571CB4DCB455}" type="pres">
      <dgm:prSet presAssocID="{F16AC99B-78BA-4740-9AD3-A18C55D8E484}" presName="conn2-1" presStyleLbl="parChTrans1D2" presStyleIdx="0" presStyleCnt="4"/>
      <dgm:spPr/>
      <dgm:t>
        <a:bodyPr/>
        <a:lstStyle/>
        <a:p>
          <a:endParaRPr lang="en-US"/>
        </a:p>
      </dgm:t>
    </dgm:pt>
    <dgm:pt modelId="{274201F8-1DA0-46EF-B264-FBBEC92E2181}" type="pres">
      <dgm:prSet presAssocID="{F16AC99B-78BA-4740-9AD3-A18C55D8E484}" presName="connTx" presStyleLbl="parChTrans1D2" presStyleIdx="0" presStyleCnt="4"/>
      <dgm:spPr/>
      <dgm:t>
        <a:bodyPr/>
        <a:lstStyle/>
        <a:p>
          <a:endParaRPr lang="en-US"/>
        </a:p>
      </dgm:t>
    </dgm:pt>
    <dgm:pt modelId="{EC0D7C9F-D186-4CB1-964D-3C766DED68BD}" type="pres">
      <dgm:prSet presAssocID="{D4ABD493-15F7-4ED2-8AC9-264E98563BDB}" presName="root2" presStyleCnt="0"/>
      <dgm:spPr/>
    </dgm:pt>
    <dgm:pt modelId="{26F35CA3-30EF-4DAF-9AD8-DDF2D96DDC32}" type="pres">
      <dgm:prSet presAssocID="{D4ABD493-15F7-4ED2-8AC9-264E98563BDB}" presName="LevelTwoTextNode" presStyleLbl="node2" presStyleIdx="0" presStyleCnt="4" custScaleX="120724">
        <dgm:presLayoutVars>
          <dgm:chPref val="3"/>
        </dgm:presLayoutVars>
      </dgm:prSet>
      <dgm:spPr/>
      <dgm:t>
        <a:bodyPr/>
        <a:lstStyle/>
        <a:p>
          <a:endParaRPr lang="en-US"/>
        </a:p>
      </dgm:t>
    </dgm:pt>
    <dgm:pt modelId="{E9D37FD6-B2E6-471D-8640-6789EA411221}" type="pres">
      <dgm:prSet presAssocID="{D4ABD493-15F7-4ED2-8AC9-264E98563BDB}" presName="level3hierChild" presStyleCnt="0"/>
      <dgm:spPr/>
    </dgm:pt>
    <dgm:pt modelId="{AAE58FDC-687F-4C11-9080-8E843FC32F94}" type="pres">
      <dgm:prSet presAssocID="{CC40A9B5-6573-4201-9D9C-46C91060E2DD}" presName="conn2-1" presStyleLbl="parChTrans1D2" presStyleIdx="1" presStyleCnt="4"/>
      <dgm:spPr/>
      <dgm:t>
        <a:bodyPr/>
        <a:lstStyle/>
        <a:p>
          <a:endParaRPr lang="en-US"/>
        </a:p>
      </dgm:t>
    </dgm:pt>
    <dgm:pt modelId="{04DE8C7A-1EFF-4CEF-A018-6AEA5D801E16}" type="pres">
      <dgm:prSet presAssocID="{CC40A9B5-6573-4201-9D9C-46C91060E2DD}" presName="connTx" presStyleLbl="parChTrans1D2" presStyleIdx="1" presStyleCnt="4"/>
      <dgm:spPr/>
      <dgm:t>
        <a:bodyPr/>
        <a:lstStyle/>
        <a:p>
          <a:endParaRPr lang="en-US"/>
        </a:p>
      </dgm:t>
    </dgm:pt>
    <dgm:pt modelId="{721B2CE1-BE26-476C-B4B8-2F3F0B054C99}" type="pres">
      <dgm:prSet presAssocID="{A6FC1B4B-847D-4B03-AA23-5AFFB36407C2}" presName="root2" presStyleCnt="0"/>
      <dgm:spPr/>
    </dgm:pt>
    <dgm:pt modelId="{BCCE9C1A-A774-42FB-9F7A-F7DAA389AADC}" type="pres">
      <dgm:prSet presAssocID="{A6FC1B4B-847D-4B03-AA23-5AFFB36407C2}" presName="LevelTwoTextNode" presStyleLbl="node2" presStyleIdx="1" presStyleCnt="4" custScaleX="120724">
        <dgm:presLayoutVars>
          <dgm:chPref val="3"/>
        </dgm:presLayoutVars>
      </dgm:prSet>
      <dgm:spPr/>
      <dgm:t>
        <a:bodyPr/>
        <a:lstStyle/>
        <a:p>
          <a:endParaRPr lang="en-US"/>
        </a:p>
      </dgm:t>
    </dgm:pt>
    <dgm:pt modelId="{E17B5EE5-A587-423D-8EAF-F26A520C569E}" type="pres">
      <dgm:prSet presAssocID="{A6FC1B4B-847D-4B03-AA23-5AFFB36407C2}" presName="level3hierChild" presStyleCnt="0"/>
      <dgm:spPr/>
    </dgm:pt>
    <dgm:pt modelId="{70C70EB0-C3A4-4D51-A458-4EE61BA7C3E3}" type="pres">
      <dgm:prSet presAssocID="{42089421-D00C-4ABE-B957-932FA35E0DA7}" presName="conn2-1" presStyleLbl="parChTrans1D2" presStyleIdx="2" presStyleCnt="4"/>
      <dgm:spPr/>
      <dgm:t>
        <a:bodyPr/>
        <a:lstStyle/>
        <a:p>
          <a:endParaRPr lang="en-US"/>
        </a:p>
      </dgm:t>
    </dgm:pt>
    <dgm:pt modelId="{999C71F6-E0CA-4495-899F-3CC4E5611D1C}" type="pres">
      <dgm:prSet presAssocID="{42089421-D00C-4ABE-B957-932FA35E0DA7}" presName="connTx" presStyleLbl="parChTrans1D2" presStyleIdx="2" presStyleCnt="4"/>
      <dgm:spPr/>
      <dgm:t>
        <a:bodyPr/>
        <a:lstStyle/>
        <a:p>
          <a:endParaRPr lang="en-US"/>
        </a:p>
      </dgm:t>
    </dgm:pt>
    <dgm:pt modelId="{F0972FA0-B6E8-4D84-94BF-E7DA5017A2DB}" type="pres">
      <dgm:prSet presAssocID="{C725A8FC-96B4-4FDF-83E1-83CD932D7DA2}" presName="root2" presStyleCnt="0"/>
      <dgm:spPr/>
    </dgm:pt>
    <dgm:pt modelId="{80CC45D7-E729-4CC1-9039-FB4FFB014D48}" type="pres">
      <dgm:prSet presAssocID="{C725A8FC-96B4-4FDF-83E1-83CD932D7DA2}" presName="LevelTwoTextNode" presStyleLbl="node2" presStyleIdx="2" presStyleCnt="4" custScaleX="120724">
        <dgm:presLayoutVars>
          <dgm:chPref val="3"/>
        </dgm:presLayoutVars>
      </dgm:prSet>
      <dgm:spPr/>
      <dgm:t>
        <a:bodyPr/>
        <a:lstStyle/>
        <a:p>
          <a:endParaRPr lang="en-US"/>
        </a:p>
      </dgm:t>
    </dgm:pt>
    <dgm:pt modelId="{DC0F9F28-15C7-4979-87FF-E2CE3170BF7C}" type="pres">
      <dgm:prSet presAssocID="{C725A8FC-96B4-4FDF-83E1-83CD932D7DA2}" presName="level3hierChild" presStyleCnt="0"/>
      <dgm:spPr/>
    </dgm:pt>
    <dgm:pt modelId="{7CB92C2E-7E95-4D1C-8303-8A0ED9E8725C}" type="pres">
      <dgm:prSet presAssocID="{44819817-4C7E-4CB5-AA12-66657AC4FAD2}" presName="conn2-1" presStyleLbl="parChTrans1D2" presStyleIdx="3" presStyleCnt="4"/>
      <dgm:spPr/>
      <dgm:t>
        <a:bodyPr/>
        <a:lstStyle/>
        <a:p>
          <a:endParaRPr lang="en-US"/>
        </a:p>
      </dgm:t>
    </dgm:pt>
    <dgm:pt modelId="{4F1A62BD-2305-4013-8292-ED91F7EC42B5}" type="pres">
      <dgm:prSet presAssocID="{44819817-4C7E-4CB5-AA12-66657AC4FAD2}" presName="connTx" presStyleLbl="parChTrans1D2" presStyleIdx="3" presStyleCnt="4"/>
      <dgm:spPr/>
      <dgm:t>
        <a:bodyPr/>
        <a:lstStyle/>
        <a:p>
          <a:endParaRPr lang="en-US"/>
        </a:p>
      </dgm:t>
    </dgm:pt>
    <dgm:pt modelId="{7A03EF1F-C576-400B-B6E7-00F5812C661A}" type="pres">
      <dgm:prSet presAssocID="{05D0A06D-AF76-43EA-BAF2-31EDF0694349}" presName="root2" presStyleCnt="0"/>
      <dgm:spPr/>
    </dgm:pt>
    <dgm:pt modelId="{8A792FC1-BD57-42F7-BC0E-84ECE0BC317F}" type="pres">
      <dgm:prSet presAssocID="{05D0A06D-AF76-43EA-BAF2-31EDF0694349}" presName="LevelTwoTextNode" presStyleLbl="node2" presStyleIdx="3" presStyleCnt="4" custScaleX="120724">
        <dgm:presLayoutVars>
          <dgm:chPref val="3"/>
        </dgm:presLayoutVars>
      </dgm:prSet>
      <dgm:spPr/>
      <dgm:t>
        <a:bodyPr/>
        <a:lstStyle/>
        <a:p>
          <a:endParaRPr lang="en-US"/>
        </a:p>
      </dgm:t>
    </dgm:pt>
    <dgm:pt modelId="{89F2EAF3-8377-4F7B-8121-E883B0EC13ED}" type="pres">
      <dgm:prSet presAssocID="{05D0A06D-AF76-43EA-BAF2-31EDF0694349}" presName="level3hierChild" presStyleCnt="0"/>
      <dgm:spPr/>
    </dgm:pt>
  </dgm:ptLst>
  <dgm:cxnLst>
    <dgm:cxn modelId="{755E1556-CBAE-47C1-B659-65FBCD88798B}" type="presOf" srcId="{1B42846C-849D-44D4-9735-1C2ADD0D54DC}" destId="{1FB5BCF3-3F74-4AF1-9A20-70EFA67FFC21}" srcOrd="0" destOrd="0" presId="urn:microsoft.com/office/officeart/2008/layout/HorizontalMultiLevelHierarchy"/>
    <dgm:cxn modelId="{10366F87-7D13-4059-A85D-7DB9726A02F0}" srcId="{DA87131F-7ED3-4899-9C6C-6CCC495EB4FD}" destId="{A6FC1B4B-847D-4B03-AA23-5AFFB36407C2}" srcOrd="1" destOrd="0" parTransId="{CC40A9B5-6573-4201-9D9C-46C91060E2DD}" sibTransId="{270DC1D4-09D6-438E-B85F-1DF6D191E79A}"/>
    <dgm:cxn modelId="{571507C7-B0DB-4DB2-B9B9-3938772E2DBA}" type="presOf" srcId="{42089421-D00C-4ABE-B957-932FA35E0DA7}" destId="{70C70EB0-C3A4-4D51-A458-4EE61BA7C3E3}" srcOrd="0" destOrd="0" presId="urn:microsoft.com/office/officeart/2008/layout/HorizontalMultiLevelHierarchy"/>
    <dgm:cxn modelId="{E78D310E-B373-4C60-BEE3-9DA169304E08}" srcId="{DA87131F-7ED3-4899-9C6C-6CCC495EB4FD}" destId="{05D0A06D-AF76-43EA-BAF2-31EDF0694349}" srcOrd="3" destOrd="0" parTransId="{44819817-4C7E-4CB5-AA12-66657AC4FAD2}" sibTransId="{1485EF2A-4FC7-4A6D-AA15-CBEFC7A3A3AD}"/>
    <dgm:cxn modelId="{84DE4DCB-4245-4B5C-908C-7910D345C0EE}" type="presOf" srcId="{A6FC1B4B-847D-4B03-AA23-5AFFB36407C2}" destId="{BCCE9C1A-A774-42FB-9F7A-F7DAA389AADC}" srcOrd="0" destOrd="0" presId="urn:microsoft.com/office/officeart/2008/layout/HorizontalMultiLevelHierarchy"/>
    <dgm:cxn modelId="{C97ECF98-3193-45BF-A619-74FEEF3597E8}" type="presOf" srcId="{F16AC99B-78BA-4740-9AD3-A18C55D8E484}" destId="{D4AF40BA-CF43-4ADB-8C20-571CB4DCB455}" srcOrd="0" destOrd="0" presId="urn:microsoft.com/office/officeart/2008/layout/HorizontalMultiLevelHierarchy"/>
    <dgm:cxn modelId="{5596EE8A-90FA-4808-83EB-A57236824A2A}" srcId="{DA87131F-7ED3-4899-9C6C-6CCC495EB4FD}" destId="{D4ABD493-15F7-4ED2-8AC9-264E98563BDB}" srcOrd="0" destOrd="0" parTransId="{F16AC99B-78BA-4740-9AD3-A18C55D8E484}" sibTransId="{9A806C55-CD8A-4E5E-AA42-EDDC971ADDB8}"/>
    <dgm:cxn modelId="{41928B38-C1AE-4C2C-9BAC-2454DA831720}" type="presOf" srcId="{CC40A9B5-6573-4201-9D9C-46C91060E2DD}" destId="{AAE58FDC-687F-4C11-9080-8E843FC32F94}" srcOrd="0" destOrd="0" presId="urn:microsoft.com/office/officeart/2008/layout/HorizontalMultiLevelHierarchy"/>
    <dgm:cxn modelId="{B8AEA0FA-D8DD-4F47-BD37-A15B6000E608}" type="presOf" srcId="{D4ABD493-15F7-4ED2-8AC9-264E98563BDB}" destId="{26F35CA3-30EF-4DAF-9AD8-DDF2D96DDC32}" srcOrd="0" destOrd="0" presId="urn:microsoft.com/office/officeart/2008/layout/HorizontalMultiLevelHierarchy"/>
    <dgm:cxn modelId="{2BAB8DB0-6ACE-47A6-9453-E6AD675A83F7}" type="presOf" srcId="{DA87131F-7ED3-4899-9C6C-6CCC495EB4FD}" destId="{0FD39AA2-9EEE-4864-9C05-80FDC934B6F5}" srcOrd="0" destOrd="0" presId="urn:microsoft.com/office/officeart/2008/layout/HorizontalMultiLevelHierarchy"/>
    <dgm:cxn modelId="{FBA17067-A5AE-463E-905C-F18CFFCB480B}" type="presOf" srcId="{CC40A9B5-6573-4201-9D9C-46C91060E2DD}" destId="{04DE8C7A-1EFF-4CEF-A018-6AEA5D801E16}" srcOrd="1" destOrd="0" presId="urn:microsoft.com/office/officeart/2008/layout/HorizontalMultiLevelHierarchy"/>
    <dgm:cxn modelId="{2C23782D-D488-48CC-ACDC-DE39FF4FD3AC}" type="presOf" srcId="{44819817-4C7E-4CB5-AA12-66657AC4FAD2}" destId="{7CB92C2E-7E95-4D1C-8303-8A0ED9E8725C}" srcOrd="0" destOrd="0" presId="urn:microsoft.com/office/officeart/2008/layout/HorizontalMultiLevelHierarchy"/>
    <dgm:cxn modelId="{454C7D07-7F64-440D-B0C3-EE8577DCC389}" type="presOf" srcId="{44819817-4C7E-4CB5-AA12-66657AC4FAD2}" destId="{4F1A62BD-2305-4013-8292-ED91F7EC42B5}" srcOrd="1" destOrd="0" presId="urn:microsoft.com/office/officeart/2008/layout/HorizontalMultiLevelHierarchy"/>
    <dgm:cxn modelId="{173D4CA5-57C3-4A10-860A-927A95CB271C}" srcId="{1B42846C-849D-44D4-9735-1C2ADD0D54DC}" destId="{DA87131F-7ED3-4899-9C6C-6CCC495EB4FD}" srcOrd="0" destOrd="0" parTransId="{BFCBFA31-419A-4AF0-8A60-E7FD5FCAD9F9}" sibTransId="{71424D54-4B35-4441-A618-606E6B35991A}"/>
    <dgm:cxn modelId="{C4F441C1-01D4-415F-BF46-90FAD422C1E4}" type="presOf" srcId="{42089421-D00C-4ABE-B957-932FA35E0DA7}" destId="{999C71F6-E0CA-4495-899F-3CC4E5611D1C}" srcOrd="1" destOrd="0" presId="urn:microsoft.com/office/officeart/2008/layout/HorizontalMultiLevelHierarchy"/>
    <dgm:cxn modelId="{50A4B41F-409C-4506-A4C0-23E087F38AFB}" type="presOf" srcId="{C725A8FC-96B4-4FDF-83E1-83CD932D7DA2}" destId="{80CC45D7-E729-4CC1-9039-FB4FFB014D48}" srcOrd="0" destOrd="0" presId="urn:microsoft.com/office/officeart/2008/layout/HorizontalMultiLevelHierarchy"/>
    <dgm:cxn modelId="{3DD076E3-415A-4D76-91EE-1FB5CB93B547}" type="presOf" srcId="{05D0A06D-AF76-43EA-BAF2-31EDF0694349}" destId="{8A792FC1-BD57-42F7-BC0E-84ECE0BC317F}" srcOrd="0" destOrd="0" presId="urn:microsoft.com/office/officeart/2008/layout/HorizontalMultiLevelHierarchy"/>
    <dgm:cxn modelId="{764BFBED-7CA2-4143-9417-7CFE54CBF124}" srcId="{DA87131F-7ED3-4899-9C6C-6CCC495EB4FD}" destId="{C725A8FC-96B4-4FDF-83E1-83CD932D7DA2}" srcOrd="2" destOrd="0" parTransId="{42089421-D00C-4ABE-B957-932FA35E0DA7}" sibTransId="{65541BD5-309C-408B-83CF-E2F3DD1C2812}"/>
    <dgm:cxn modelId="{0F05B94F-8421-4A8B-8F43-8040529B17FB}" type="presOf" srcId="{F16AC99B-78BA-4740-9AD3-A18C55D8E484}" destId="{274201F8-1DA0-46EF-B264-FBBEC92E2181}" srcOrd="1" destOrd="0" presId="urn:microsoft.com/office/officeart/2008/layout/HorizontalMultiLevelHierarchy"/>
    <dgm:cxn modelId="{AC6115BA-E88C-48E5-827E-20FA4DCEE78D}" type="presParOf" srcId="{1FB5BCF3-3F74-4AF1-9A20-70EFA67FFC21}" destId="{3BA6C8D1-B722-4893-BA65-E002E0AA8161}" srcOrd="0" destOrd="0" presId="urn:microsoft.com/office/officeart/2008/layout/HorizontalMultiLevelHierarchy"/>
    <dgm:cxn modelId="{22E268BD-5874-4D53-8AA6-98FDB09E2E38}" type="presParOf" srcId="{3BA6C8D1-B722-4893-BA65-E002E0AA8161}" destId="{0FD39AA2-9EEE-4864-9C05-80FDC934B6F5}" srcOrd="0" destOrd="0" presId="urn:microsoft.com/office/officeart/2008/layout/HorizontalMultiLevelHierarchy"/>
    <dgm:cxn modelId="{9CACC740-88FB-4086-8835-9F2B6C77576C}" type="presParOf" srcId="{3BA6C8D1-B722-4893-BA65-E002E0AA8161}" destId="{561360B5-F8D1-42FE-B77E-9911D4B2422E}" srcOrd="1" destOrd="0" presId="urn:microsoft.com/office/officeart/2008/layout/HorizontalMultiLevelHierarchy"/>
    <dgm:cxn modelId="{FBDA773E-5A0A-4ED7-998D-04E6D72DCFBE}" type="presParOf" srcId="{561360B5-F8D1-42FE-B77E-9911D4B2422E}" destId="{D4AF40BA-CF43-4ADB-8C20-571CB4DCB455}" srcOrd="0" destOrd="0" presId="urn:microsoft.com/office/officeart/2008/layout/HorizontalMultiLevelHierarchy"/>
    <dgm:cxn modelId="{A4EE03F4-0400-451F-8957-B4D744029D4F}" type="presParOf" srcId="{D4AF40BA-CF43-4ADB-8C20-571CB4DCB455}" destId="{274201F8-1DA0-46EF-B264-FBBEC92E2181}" srcOrd="0" destOrd="0" presId="urn:microsoft.com/office/officeart/2008/layout/HorizontalMultiLevelHierarchy"/>
    <dgm:cxn modelId="{81BE1401-73C2-4F24-AD1E-B0BDFB802468}" type="presParOf" srcId="{561360B5-F8D1-42FE-B77E-9911D4B2422E}" destId="{EC0D7C9F-D186-4CB1-964D-3C766DED68BD}" srcOrd="1" destOrd="0" presId="urn:microsoft.com/office/officeart/2008/layout/HorizontalMultiLevelHierarchy"/>
    <dgm:cxn modelId="{D4809074-6B0B-44E9-A7F3-4349C8B0F578}" type="presParOf" srcId="{EC0D7C9F-D186-4CB1-964D-3C766DED68BD}" destId="{26F35CA3-30EF-4DAF-9AD8-DDF2D96DDC32}" srcOrd="0" destOrd="0" presId="urn:microsoft.com/office/officeart/2008/layout/HorizontalMultiLevelHierarchy"/>
    <dgm:cxn modelId="{7FD66176-A6FD-4437-90EF-CB68D1E2B285}" type="presParOf" srcId="{EC0D7C9F-D186-4CB1-964D-3C766DED68BD}" destId="{E9D37FD6-B2E6-471D-8640-6789EA411221}" srcOrd="1" destOrd="0" presId="urn:microsoft.com/office/officeart/2008/layout/HorizontalMultiLevelHierarchy"/>
    <dgm:cxn modelId="{B938E09F-7DD9-44B3-96D1-F9E47DE4C2C1}" type="presParOf" srcId="{561360B5-F8D1-42FE-B77E-9911D4B2422E}" destId="{AAE58FDC-687F-4C11-9080-8E843FC32F94}" srcOrd="2" destOrd="0" presId="urn:microsoft.com/office/officeart/2008/layout/HorizontalMultiLevelHierarchy"/>
    <dgm:cxn modelId="{CEEBAB78-7BB5-4C57-A033-EFF022CB75C8}" type="presParOf" srcId="{AAE58FDC-687F-4C11-9080-8E843FC32F94}" destId="{04DE8C7A-1EFF-4CEF-A018-6AEA5D801E16}" srcOrd="0" destOrd="0" presId="urn:microsoft.com/office/officeart/2008/layout/HorizontalMultiLevelHierarchy"/>
    <dgm:cxn modelId="{12CC565E-FB60-4B82-9011-43FCE5110FEF}" type="presParOf" srcId="{561360B5-F8D1-42FE-B77E-9911D4B2422E}" destId="{721B2CE1-BE26-476C-B4B8-2F3F0B054C99}" srcOrd="3" destOrd="0" presId="urn:microsoft.com/office/officeart/2008/layout/HorizontalMultiLevelHierarchy"/>
    <dgm:cxn modelId="{4337ADA7-A336-45D7-B815-F27D132B7CF9}" type="presParOf" srcId="{721B2CE1-BE26-476C-B4B8-2F3F0B054C99}" destId="{BCCE9C1A-A774-42FB-9F7A-F7DAA389AADC}" srcOrd="0" destOrd="0" presId="urn:microsoft.com/office/officeart/2008/layout/HorizontalMultiLevelHierarchy"/>
    <dgm:cxn modelId="{EE97E565-14CE-4CEC-BCBB-BC93E5719028}" type="presParOf" srcId="{721B2CE1-BE26-476C-B4B8-2F3F0B054C99}" destId="{E17B5EE5-A587-423D-8EAF-F26A520C569E}" srcOrd="1" destOrd="0" presId="urn:microsoft.com/office/officeart/2008/layout/HorizontalMultiLevelHierarchy"/>
    <dgm:cxn modelId="{4C36B9F3-97F3-4DFA-A4AB-888D56577D43}" type="presParOf" srcId="{561360B5-F8D1-42FE-B77E-9911D4B2422E}" destId="{70C70EB0-C3A4-4D51-A458-4EE61BA7C3E3}" srcOrd="4" destOrd="0" presId="urn:microsoft.com/office/officeart/2008/layout/HorizontalMultiLevelHierarchy"/>
    <dgm:cxn modelId="{AB749964-73C2-4662-8DB1-1920090088CD}" type="presParOf" srcId="{70C70EB0-C3A4-4D51-A458-4EE61BA7C3E3}" destId="{999C71F6-E0CA-4495-899F-3CC4E5611D1C}" srcOrd="0" destOrd="0" presId="urn:microsoft.com/office/officeart/2008/layout/HorizontalMultiLevelHierarchy"/>
    <dgm:cxn modelId="{7A73FEDE-CD7F-4351-9A57-C8FBCA110BBF}" type="presParOf" srcId="{561360B5-F8D1-42FE-B77E-9911D4B2422E}" destId="{F0972FA0-B6E8-4D84-94BF-E7DA5017A2DB}" srcOrd="5" destOrd="0" presId="urn:microsoft.com/office/officeart/2008/layout/HorizontalMultiLevelHierarchy"/>
    <dgm:cxn modelId="{5E4F8225-D850-42C2-BDDC-868E8B07E4CE}" type="presParOf" srcId="{F0972FA0-B6E8-4D84-94BF-E7DA5017A2DB}" destId="{80CC45D7-E729-4CC1-9039-FB4FFB014D48}" srcOrd="0" destOrd="0" presId="urn:microsoft.com/office/officeart/2008/layout/HorizontalMultiLevelHierarchy"/>
    <dgm:cxn modelId="{17B83332-C156-42E5-A191-D7E80CA41A96}" type="presParOf" srcId="{F0972FA0-B6E8-4D84-94BF-E7DA5017A2DB}" destId="{DC0F9F28-15C7-4979-87FF-E2CE3170BF7C}" srcOrd="1" destOrd="0" presId="urn:microsoft.com/office/officeart/2008/layout/HorizontalMultiLevelHierarchy"/>
    <dgm:cxn modelId="{EA57B84D-EB6A-4998-8535-A00DE8CFCCC3}" type="presParOf" srcId="{561360B5-F8D1-42FE-B77E-9911D4B2422E}" destId="{7CB92C2E-7E95-4D1C-8303-8A0ED9E8725C}" srcOrd="6" destOrd="0" presId="urn:microsoft.com/office/officeart/2008/layout/HorizontalMultiLevelHierarchy"/>
    <dgm:cxn modelId="{32A6513F-3650-460A-A58B-5410F170210B}" type="presParOf" srcId="{7CB92C2E-7E95-4D1C-8303-8A0ED9E8725C}" destId="{4F1A62BD-2305-4013-8292-ED91F7EC42B5}" srcOrd="0" destOrd="0" presId="urn:microsoft.com/office/officeart/2008/layout/HorizontalMultiLevelHierarchy"/>
    <dgm:cxn modelId="{282F08FB-1B5F-45DA-ABF4-ACC3D8D4B557}" type="presParOf" srcId="{561360B5-F8D1-42FE-B77E-9911D4B2422E}" destId="{7A03EF1F-C576-400B-B6E7-00F5812C661A}" srcOrd="7" destOrd="0" presId="urn:microsoft.com/office/officeart/2008/layout/HorizontalMultiLevelHierarchy"/>
    <dgm:cxn modelId="{8B9EEB33-E8DE-405E-9F61-577DA20C247D}" type="presParOf" srcId="{7A03EF1F-C576-400B-B6E7-00F5812C661A}" destId="{8A792FC1-BD57-42F7-BC0E-84ECE0BC317F}" srcOrd="0" destOrd="0" presId="urn:microsoft.com/office/officeart/2008/layout/HorizontalMultiLevelHierarchy"/>
    <dgm:cxn modelId="{2BF72E2D-A944-40DE-8564-A45D16B5C2DB}" type="presParOf" srcId="{7A03EF1F-C576-400B-B6E7-00F5812C661A}" destId="{89F2EAF3-8377-4F7B-8121-E883B0EC13ED}" srcOrd="1" destOrd="0" presId="urn:microsoft.com/office/officeart/2008/layout/HorizontalMultiLevelHierarchy"/>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7E68A-927B-46CD-A480-CC86676C0FBE}">
      <dsp:nvSpPr>
        <dsp:cNvPr id="0" name=""/>
        <dsp:cNvSpPr/>
      </dsp:nvSpPr>
      <dsp:spPr>
        <a:xfrm>
          <a:off x="-145860" y="0"/>
          <a:ext cx="5091960" cy="2800349"/>
        </a:xfrm>
        <a:prstGeom prst="triangle">
          <a:avLst/>
        </a:prstGeom>
        <a:solidFill>
          <a:schemeClr val="accent1">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8C4BAEDF-A4A4-4B79-B5ED-7CFA528AB11F}">
      <dsp:nvSpPr>
        <dsp:cNvPr id="0" name=""/>
        <dsp:cNvSpPr/>
      </dsp:nvSpPr>
      <dsp:spPr>
        <a:xfrm>
          <a:off x="381017" y="183557"/>
          <a:ext cx="4064222" cy="326536"/>
        </a:xfrm>
        <a:prstGeom prst="roundRect">
          <a:avLst/>
        </a:prstGeom>
        <a:solidFill>
          <a:srgbClr val="A5A5A5">
            <a:alpha val="90000"/>
            <a:tint val="40000"/>
            <a:hueOff val="0"/>
            <a:satOff val="0"/>
            <a:lumOff val="0"/>
            <a:alphaOff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sr-Cyrl-R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Политички ниво координације и одлучивања </a:t>
          </a:r>
          <a:endPar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96957" y="199497"/>
        <a:ext cx="4032342" cy="294656"/>
      </dsp:txXfrm>
    </dsp:sp>
    <dsp:sp modelId="{C79273A9-9742-4112-8AE9-A756862C8676}">
      <dsp:nvSpPr>
        <dsp:cNvPr id="0" name=""/>
        <dsp:cNvSpPr/>
      </dsp:nvSpPr>
      <dsp:spPr>
        <a:xfrm>
          <a:off x="328094" y="615807"/>
          <a:ext cx="4193403" cy="353947"/>
        </a:xfrm>
        <a:prstGeom prst="roundRect">
          <a:avLst/>
        </a:prstGeom>
        <a:solidFill>
          <a:srgbClr val="A5A5A5">
            <a:alpha val="90000"/>
            <a:tint val="40000"/>
            <a:hueOff val="0"/>
            <a:satOff val="0"/>
            <a:lumOff val="0"/>
            <a:alphaOff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sr-Cyrl-R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Административни ниво координације и одлучивања</a:t>
          </a:r>
        </a:p>
      </dsp:txBody>
      <dsp:txXfrm>
        <a:off x="345372" y="633085"/>
        <a:ext cx="4158847" cy="319391"/>
      </dsp:txXfrm>
    </dsp:sp>
    <dsp:sp modelId="{79B366FA-E10B-4C36-B9BB-FFC6CABDFB23}">
      <dsp:nvSpPr>
        <dsp:cNvPr id="0" name=""/>
        <dsp:cNvSpPr/>
      </dsp:nvSpPr>
      <dsp:spPr>
        <a:xfrm>
          <a:off x="0" y="2400458"/>
          <a:ext cx="4815266" cy="399891"/>
        </a:xfrm>
        <a:prstGeom prst="roundRect">
          <a:avLst/>
        </a:prstGeom>
        <a:solidFill>
          <a:srgbClr val="A5A5A5">
            <a:alpha val="90000"/>
            <a:tint val="40000"/>
            <a:hueOff val="0"/>
            <a:satOff val="0"/>
            <a:lumOff val="0"/>
            <a:alphaOff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sr-Cyrl-R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Оперативни ниво координације - орган државне управе предлагач документа јавне политике</a:t>
          </a:r>
          <a:endPar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521" y="2419979"/>
        <a:ext cx="4776224" cy="360849"/>
      </dsp:txXfrm>
    </dsp:sp>
    <dsp:sp modelId="{B578358B-6571-4153-B68C-498DE0095F8E}">
      <dsp:nvSpPr>
        <dsp:cNvPr id="0" name=""/>
        <dsp:cNvSpPr/>
      </dsp:nvSpPr>
      <dsp:spPr>
        <a:xfrm>
          <a:off x="1042633" y="1313287"/>
          <a:ext cx="2677281" cy="296004"/>
        </a:xfrm>
        <a:prstGeom prst="roundRect">
          <a:avLst/>
        </a:prstGeom>
        <a:solidFill>
          <a:sysClr val="window" lastClr="FFFFFF"/>
        </a:solidFill>
        <a:ln w="12700" cap="flat" cmpd="sng" algn="ctr">
          <a:no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sr-Cyrl-R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Јединствени информациони систем (ЈИС)</a:t>
          </a:r>
          <a:endPar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57083" y="1327737"/>
        <a:ext cx="2648381" cy="267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58C0BC-E5E0-42C0-8F1D-D38290978A41}">
      <dsp:nvSpPr>
        <dsp:cNvPr id="0" name=""/>
        <dsp:cNvSpPr/>
      </dsp:nvSpPr>
      <dsp:spPr>
        <a:xfrm>
          <a:off x="489329" y="1600200"/>
          <a:ext cx="318339" cy="1213184"/>
        </a:xfrm>
        <a:custGeom>
          <a:avLst/>
          <a:gdLst/>
          <a:ahLst/>
          <a:cxnLst/>
          <a:rect l="0" t="0" r="0" b="0"/>
          <a:pathLst>
            <a:path>
              <a:moveTo>
                <a:pt x="0" y="0"/>
              </a:moveTo>
              <a:lnTo>
                <a:pt x="159169" y="0"/>
              </a:lnTo>
              <a:lnTo>
                <a:pt x="159169" y="1213184"/>
              </a:lnTo>
              <a:lnTo>
                <a:pt x="318339" y="1213184"/>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617143" y="2175435"/>
        <a:ext cx="62712" cy="62712"/>
      </dsp:txXfrm>
    </dsp:sp>
    <dsp:sp modelId="{CB068D33-1EDB-4D46-B4DF-AD43C60CDB2C}">
      <dsp:nvSpPr>
        <dsp:cNvPr id="0" name=""/>
        <dsp:cNvSpPr/>
      </dsp:nvSpPr>
      <dsp:spPr>
        <a:xfrm>
          <a:off x="489329" y="1600200"/>
          <a:ext cx="318339" cy="606592"/>
        </a:xfrm>
        <a:custGeom>
          <a:avLst/>
          <a:gdLst/>
          <a:ahLst/>
          <a:cxnLst/>
          <a:rect l="0" t="0" r="0" b="0"/>
          <a:pathLst>
            <a:path>
              <a:moveTo>
                <a:pt x="0" y="0"/>
              </a:moveTo>
              <a:lnTo>
                <a:pt x="159169" y="0"/>
              </a:lnTo>
              <a:lnTo>
                <a:pt x="159169" y="606592"/>
              </a:lnTo>
              <a:lnTo>
                <a:pt x="318339" y="60659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631373" y="1886369"/>
        <a:ext cx="34252" cy="34252"/>
      </dsp:txXfrm>
    </dsp:sp>
    <dsp:sp modelId="{5BC10F54-9697-4F14-8D03-C757A08ED607}">
      <dsp:nvSpPr>
        <dsp:cNvPr id="0" name=""/>
        <dsp:cNvSpPr/>
      </dsp:nvSpPr>
      <dsp:spPr>
        <a:xfrm>
          <a:off x="489329" y="1554480"/>
          <a:ext cx="318339" cy="91440"/>
        </a:xfrm>
        <a:custGeom>
          <a:avLst/>
          <a:gdLst/>
          <a:ahLst/>
          <a:cxnLst/>
          <a:rect l="0" t="0" r="0" b="0"/>
          <a:pathLst>
            <a:path>
              <a:moveTo>
                <a:pt x="0" y="45720"/>
              </a:moveTo>
              <a:lnTo>
                <a:pt x="318339" y="4572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640541" y="1592241"/>
        <a:ext cx="15916" cy="15916"/>
      </dsp:txXfrm>
    </dsp:sp>
    <dsp:sp modelId="{014EEF77-4C79-493A-ACD5-709E4DA5F9E5}">
      <dsp:nvSpPr>
        <dsp:cNvPr id="0" name=""/>
        <dsp:cNvSpPr/>
      </dsp:nvSpPr>
      <dsp:spPr>
        <a:xfrm>
          <a:off x="489329" y="993607"/>
          <a:ext cx="318339" cy="606592"/>
        </a:xfrm>
        <a:custGeom>
          <a:avLst/>
          <a:gdLst/>
          <a:ahLst/>
          <a:cxnLst/>
          <a:rect l="0" t="0" r="0" b="0"/>
          <a:pathLst>
            <a:path>
              <a:moveTo>
                <a:pt x="0" y="606592"/>
              </a:moveTo>
              <a:lnTo>
                <a:pt x="159169" y="606592"/>
              </a:lnTo>
              <a:lnTo>
                <a:pt x="159169" y="0"/>
              </a:lnTo>
              <a:lnTo>
                <a:pt x="318339"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631373" y="1279777"/>
        <a:ext cx="34252" cy="34252"/>
      </dsp:txXfrm>
    </dsp:sp>
    <dsp:sp modelId="{3FBD3CCF-31EA-489E-B8AC-7E99EEDBBFBB}">
      <dsp:nvSpPr>
        <dsp:cNvPr id="0" name=""/>
        <dsp:cNvSpPr/>
      </dsp:nvSpPr>
      <dsp:spPr>
        <a:xfrm>
          <a:off x="489329" y="387015"/>
          <a:ext cx="318339" cy="1213184"/>
        </a:xfrm>
        <a:custGeom>
          <a:avLst/>
          <a:gdLst/>
          <a:ahLst/>
          <a:cxnLst/>
          <a:rect l="0" t="0" r="0" b="0"/>
          <a:pathLst>
            <a:path>
              <a:moveTo>
                <a:pt x="0" y="1213184"/>
              </a:moveTo>
              <a:lnTo>
                <a:pt x="159169" y="1213184"/>
              </a:lnTo>
              <a:lnTo>
                <a:pt x="159169" y="0"/>
              </a:lnTo>
              <a:lnTo>
                <a:pt x="318339"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617143" y="962251"/>
        <a:ext cx="62712" cy="62712"/>
      </dsp:txXfrm>
    </dsp:sp>
    <dsp:sp modelId="{1909B373-352F-4578-A0C2-919E3C749241}">
      <dsp:nvSpPr>
        <dsp:cNvPr id="0" name=""/>
        <dsp:cNvSpPr/>
      </dsp:nvSpPr>
      <dsp:spPr>
        <a:xfrm rot="16200000">
          <a:off x="-1201108" y="1357563"/>
          <a:ext cx="2895603" cy="485273"/>
        </a:xfrm>
        <a:prstGeom prst="rect">
          <a:avLst/>
        </a:prstGeom>
        <a:solidFill>
          <a:schemeClr val="bg1">
            <a:lumMod val="65000"/>
          </a:schemeClr>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r-Cyrl-RS" sz="1000" b="1" kern="1200">
              <a:latin typeface="Times New Roman" panose="02020603050405020304" pitchFamily="18" charset="0"/>
              <a:cs typeface="Times New Roman" panose="02020603050405020304" pitchFamily="18" charset="0"/>
            </a:rPr>
            <a:t>ЕФИКАСАН СИСТЕМ ЗА УПРАВЉАЊЕ КАРИЈЕРОМ ПРИМЕЊЕН У ПРАКСИ</a:t>
          </a:r>
          <a:endParaRPr lang="en-US" sz="1000" kern="1200">
            <a:latin typeface="Times New Roman" panose="02020603050405020304" pitchFamily="18" charset="0"/>
            <a:cs typeface="Times New Roman" panose="02020603050405020304" pitchFamily="18" charset="0"/>
          </a:endParaRPr>
        </a:p>
      </dsp:txBody>
      <dsp:txXfrm>
        <a:off x="-1201108" y="1357563"/>
        <a:ext cx="2895603" cy="485273"/>
      </dsp:txXfrm>
    </dsp:sp>
    <dsp:sp modelId="{9112B673-2C38-4347-B9F9-6A30E024F97D}">
      <dsp:nvSpPr>
        <dsp:cNvPr id="0" name=""/>
        <dsp:cNvSpPr/>
      </dsp:nvSpPr>
      <dsp:spPr>
        <a:xfrm>
          <a:off x="807669" y="144378"/>
          <a:ext cx="4674674" cy="485273"/>
        </a:xfrm>
        <a:prstGeom prst="rect">
          <a:avLst/>
        </a:prstGeom>
        <a:solidFill>
          <a:schemeClr val="bg1"/>
        </a:solidFill>
        <a:ln w="28575"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just" defTabSz="444500">
            <a:lnSpc>
              <a:spcPct val="90000"/>
            </a:lnSpc>
            <a:spcBef>
              <a:spcPct val="0"/>
            </a:spcBef>
            <a:spcAft>
              <a:spcPct val="35000"/>
            </a:spcAft>
          </a:pPr>
          <a:r>
            <a:rPr lang="sr-Cyrl-RS" sz="1000" b="1" kern="1200">
              <a:solidFill>
                <a:sysClr val="windowText" lastClr="000000"/>
              </a:solidFill>
              <a:latin typeface="Times New Roman" panose="02020603050405020304" pitchFamily="18" charset="0"/>
              <a:cs typeface="Times New Roman" panose="02020603050405020304" pitchFamily="18" charset="0"/>
            </a:rPr>
            <a:t>Опција 1</a:t>
          </a:r>
          <a:r>
            <a:rPr lang="sr-Cyrl-RS" sz="1000" kern="1200">
              <a:solidFill>
                <a:sysClr val="windowText" lastClr="000000"/>
              </a:solidFill>
              <a:latin typeface="Times New Roman" panose="02020603050405020304" pitchFamily="18" charset="0"/>
              <a:cs typeface="Times New Roman" panose="02020603050405020304" pitchFamily="18" charset="0"/>
            </a:rPr>
            <a:t>: </a:t>
          </a:r>
          <a:r>
            <a:rPr lang="sr-Latn-RS" sz="1000" i="1" kern="1200">
              <a:solidFill>
                <a:sysClr val="windowText" lastClr="000000"/>
              </a:solidFill>
              <a:latin typeface="Times New Roman" panose="02020603050405020304" pitchFamily="18" charset="0"/>
              <a:cs typeface="Times New Roman" panose="02020603050405020304" pitchFamily="18" charset="0"/>
            </a:rPr>
            <a:t>Status quo</a:t>
          </a:r>
          <a:r>
            <a:rPr lang="sr-Cyrl-RS" sz="1000" i="1" kern="1200">
              <a:solidFill>
                <a:sysClr val="windowText" lastClr="000000"/>
              </a:solidFill>
              <a:latin typeface="Times New Roman" panose="02020603050405020304" pitchFamily="18" charset="0"/>
              <a:cs typeface="Times New Roman" panose="02020603050405020304" pitchFamily="18" charset="0"/>
            </a:rPr>
            <a:t> </a:t>
          </a:r>
          <a:endParaRPr lang="en-US" sz="1000" i="1" kern="1200">
            <a:solidFill>
              <a:sysClr val="windowText" lastClr="000000"/>
            </a:solidFill>
            <a:latin typeface="Times New Roman" panose="02020603050405020304" pitchFamily="18" charset="0"/>
            <a:cs typeface="Times New Roman" panose="02020603050405020304" pitchFamily="18" charset="0"/>
          </a:endParaRPr>
        </a:p>
      </dsp:txBody>
      <dsp:txXfrm>
        <a:off x="807669" y="144378"/>
        <a:ext cx="4674674" cy="485273"/>
      </dsp:txXfrm>
    </dsp:sp>
    <dsp:sp modelId="{562868C5-7FA2-484F-A9C4-9658030607CA}">
      <dsp:nvSpPr>
        <dsp:cNvPr id="0" name=""/>
        <dsp:cNvSpPr/>
      </dsp:nvSpPr>
      <dsp:spPr>
        <a:xfrm>
          <a:off x="807669" y="750970"/>
          <a:ext cx="4674674" cy="485273"/>
        </a:xfrm>
        <a:prstGeom prst="rect">
          <a:avLst/>
        </a:prstGeom>
        <a:solidFill>
          <a:schemeClr val="bg1"/>
        </a:solidFill>
        <a:ln w="28575"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just" defTabSz="444500">
            <a:lnSpc>
              <a:spcPct val="90000"/>
            </a:lnSpc>
            <a:spcBef>
              <a:spcPct val="0"/>
            </a:spcBef>
            <a:spcAft>
              <a:spcPct val="35000"/>
            </a:spcAft>
          </a:pPr>
          <a:r>
            <a:rPr lang="sr-Cyrl-RS" sz="1000" b="1" kern="1200">
              <a:solidFill>
                <a:sysClr val="windowText" lastClr="000000"/>
              </a:solidFill>
              <a:latin typeface="Times New Roman" panose="02020603050405020304" pitchFamily="18" charset="0"/>
              <a:cs typeface="Times New Roman" panose="02020603050405020304" pitchFamily="18" charset="0"/>
            </a:rPr>
            <a:t>Опција 2</a:t>
          </a:r>
          <a:r>
            <a:rPr lang="sr-Cyrl-RS" sz="1000" kern="1200">
              <a:solidFill>
                <a:sysClr val="windowText" lastClr="000000"/>
              </a:solidFill>
              <a:latin typeface="Times New Roman" panose="02020603050405020304" pitchFamily="18" charset="0"/>
              <a:cs typeface="Times New Roman" panose="02020603050405020304" pitchFamily="18" charset="0"/>
            </a:rPr>
            <a:t>: Управљањ</a:t>
          </a:r>
          <a:r>
            <a:rPr lang="en-GB" sz="1000" kern="1200">
              <a:solidFill>
                <a:sysClr val="windowText" lastClr="000000"/>
              </a:solidFill>
              <a:latin typeface="Times New Roman" panose="02020603050405020304" pitchFamily="18" charset="0"/>
              <a:cs typeface="Times New Roman" panose="02020603050405020304" pitchFamily="18" charset="0"/>
            </a:rPr>
            <a:t>e</a:t>
          </a:r>
          <a:r>
            <a:rPr lang="sr-Cyrl-RS" sz="1000" kern="1200">
              <a:solidFill>
                <a:sysClr val="windowText" lastClr="000000"/>
              </a:solidFill>
              <a:latin typeface="Times New Roman" panose="02020603050405020304" pitchFamily="18" charset="0"/>
              <a:cs typeface="Times New Roman" panose="02020603050405020304" pitchFamily="18" charset="0"/>
            </a:rPr>
            <a:t> каријером запослених доследном применом постојећих прописа у пракси, са постојећим капацитеттима </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807669" y="750970"/>
        <a:ext cx="4674674" cy="485273"/>
      </dsp:txXfrm>
    </dsp:sp>
    <dsp:sp modelId="{03921606-D6D5-45CB-BDD4-DA5246A45674}">
      <dsp:nvSpPr>
        <dsp:cNvPr id="0" name=""/>
        <dsp:cNvSpPr/>
      </dsp:nvSpPr>
      <dsp:spPr>
        <a:xfrm>
          <a:off x="807669" y="1357563"/>
          <a:ext cx="4674674" cy="485273"/>
        </a:xfrm>
        <a:prstGeom prst="rect">
          <a:avLst/>
        </a:prstGeom>
        <a:solidFill>
          <a:schemeClr val="bg1"/>
        </a:solidFill>
        <a:ln w="28575"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just" defTabSz="444500">
            <a:lnSpc>
              <a:spcPct val="90000"/>
            </a:lnSpc>
            <a:spcBef>
              <a:spcPct val="0"/>
            </a:spcBef>
            <a:spcAft>
              <a:spcPct val="35000"/>
            </a:spcAft>
          </a:pPr>
          <a:r>
            <a:rPr lang="sr-Cyrl-RS" sz="1000" b="1" kern="1200">
              <a:solidFill>
                <a:sysClr val="windowText" lastClr="000000"/>
              </a:solidFill>
              <a:latin typeface="Times New Roman" panose="02020603050405020304" pitchFamily="18" charset="0"/>
              <a:cs typeface="Times New Roman" panose="02020603050405020304" pitchFamily="18" charset="0"/>
            </a:rPr>
            <a:t>Опција 3</a:t>
          </a:r>
          <a:r>
            <a:rPr lang="sr-Cyrl-RS" sz="1000" kern="1200">
              <a:solidFill>
                <a:sysClr val="windowText" lastClr="000000"/>
              </a:solidFill>
              <a:latin typeface="Times New Roman" panose="02020603050405020304" pitchFamily="18" charset="0"/>
              <a:cs typeface="Times New Roman" panose="02020603050405020304" pitchFamily="18" charset="0"/>
            </a:rPr>
            <a:t>: Управљање каријером запослених кроз веће надлежности и повећање броја запослених у јединицама за УЉР</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807669" y="1357563"/>
        <a:ext cx="4674674" cy="485273"/>
      </dsp:txXfrm>
    </dsp:sp>
    <dsp:sp modelId="{6A24D286-223D-4BC9-B564-94AC5C5DEC6A}">
      <dsp:nvSpPr>
        <dsp:cNvPr id="0" name=""/>
        <dsp:cNvSpPr/>
      </dsp:nvSpPr>
      <dsp:spPr>
        <a:xfrm>
          <a:off x="807669" y="1964155"/>
          <a:ext cx="4674674" cy="485273"/>
        </a:xfrm>
        <a:prstGeom prst="rect">
          <a:avLst/>
        </a:prstGeom>
        <a:solidFill>
          <a:schemeClr val="bg1"/>
        </a:solidFill>
        <a:ln w="28575"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just" defTabSz="444500">
            <a:lnSpc>
              <a:spcPct val="90000"/>
            </a:lnSpc>
            <a:spcBef>
              <a:spcPct val="0"/>
            </a:spcBef>
            <a:spcAft>
              <a:spcPct val="35000"/>
            </a:spcAft>
          </a:pPr>
          <a:r>
            <a:rPr lang="sr-Cyrl-RS" sz="1000" b="1" kern="1200">
              <a:solidFill>
                <a:sysClr val="windowText" lastClr="000000"/>
              </a:solidFill>
              <a:latin typeface="Times New Roman" panose="02020603050405020304" pitchFamily="18" charset="0"/>
              <a:cs typeface="Times New Roman" panose="02020603050405020304" pitchFamily="18" charset="0"/>
            </a:rPr>
            <a:t>Опција 4: </a:t>
          </a:r>
          <a:r>
            <a:rPr lang="sr-Cyrl-RS" sz="1000" kern="1200">
              <a:solidFill>
                <a:sysClr val="windowText" lastClr="000000"/>
              </a:solidFill>
              <a:latin typeface="Times New Roman" panose="02020603050405020304" pitchFamily="18" charset="0"/>
              <a:cs typeface="Times New Roman" panose="02020603050405020304" pitchFamily="18" charset="0"/>
            </a:rPr>
            <a:t>Управљање каријером запослених кроз веће надлежности руководиоца унутрашњих јединица, државних службеника на положају и јединица УЉР,</a:t>
          </a:r>
          <a:r>
            <a:rPr lang="sr-Cyrl-RS" sz="1000" b="1" kern="1200">
              <a:solidFill>
                <a:sysClr val="windowText" lastClr="000000"/>
              </a:solidFill>
              <a:latin typeface="Times New Roman" panose="02020603050405020304" pitchFamily="18" charset="0"/>
              <a:cs typeface="Times New Roman" panose="02020603050405020304" pitchFamily="18" charset="0"/>
            </a:rPr>
            <a:t> </a:t>
          </a:r>
          <a:r>
            <a:rPr lang="sr-Cyrl-RS" sz="1000" kern="1200">
              <a:solidFill>
                <a:sysClr val="windowText" lastClr="000000"/>
              </a:solidFill>
              <a:latin typeface="Times New Roman" panose="02020603050405020304" pitchFamily="18" charset="0"/>
              <a:cs typeface="Times New Roman" panose="02020603050405020304" pitchFamily="18" charset="0"/>
            </a:rPr>
            <a:t>уз повећање броја запослених у њима</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807669" y="1964155"/>
        <a:ext cx="4674674" cy="485273"/>
      </dsp:txXfrm>
    </dsp:sp>
    <dsp:sp modelId="{F33C4C9D-F06A-4350-ADE8-8E8FB7AE0357}">
      <dsp:nvSpPr>
        <dsp:cNvPr id="0" name=""/>
        <dsp:cNvSpPr/>
      </dsp:nvSpPr>
      <dsp:spPr>
        <a:xfrm>
          <a:off x="807669" y="2570747"/>
          <a:ext cx="4674674" cy="485273"/>
        </a:xfrm>
        <a:prstGeom prst="rect">
          <a:avLst/>
        </a:prstGeom>
        <a:solidFill>
          <a:schemeClr val="bg1"/>
        </a:solidFill>
        <a:ln w="28575"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just" defTabSz="444500">
            <a:lnSpc>
              <a:spcPct val="90000"/>
            </a:lnSpc>
            <a:spcBef>
              <a:spcPct val="0"/>
            </a:spcBef>
            <a:spcAft>
              <a:spcPct val="35000"/>
            </a:spcAft>
          </a:pPr>
          <a:r>
            <a:rPr lang="sr-Cyrl-RS" sz="1000" b="1" kern="1200">
              <a:solidFill>
                <a:sysClr val="windowText" lastClr="000000"/>
              </a:solidFill>
              <a:latin typeface="Times New Roman" panose="02020603050405020304" pitchFamily="18" charset="0"/>
              <a:cs typeface="Times New Roman" panose="02020603050405020304" pitchFamily="18" charset="0"/>
            </a:rPr>
            <a:t>Опција 5</a:t>
          </a:r>
          <a:r>
            <a:rPr lang="sr-Cyrl-RS" sz="1000" kern="1200">
              <a:solidFill>
                <a:sysClr val="windowText" lastClr="000000"/>
              </a:solidFill>
              <a:latin typeface="Times New Roman" panose="02020603050405020304" pitchFamily="18" charset="0"/>
              <a:cs typeface="Times New Roman" panose="02020603050405020304" pitchFamily="18" charset="0"/>
            </a:rPr>
            <a:t>: Управљање каријером запослених кроз развој институционалних, административних и кадровских капацитета за управљање људским ресурсима, уз успостављање нових инструмената за управљање људским ресурсима у пракси</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807669" y="2570747"/>
        <a:ext cx="4674674" cy="4852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D313B8-6AFD-49EA-BB37-4C9470974E0E}">
      <dsp:nvSpPr>
        <dsp:cNvPr id="0" name=""/>
        <dsp:cNvSpPr/>
      </dsp:nvSpPr>
      <dsp:spPr>
        <a:xfrm>
          <a:off x="847093" y="2545080"/>
          <a:ext cx="391803" cy="2239730"/>
        </a:xfrm>
        <a:custGeom>
          <a:avLst/>
          <a:gdLst/>
          <a:ahLst/>
          <a:cxnLst/>
          <a:rect l="0" t="0" r="0" b="0"/>
          <a:pathLst>
            <a:path>
              <a:moveTo>
                <a:pt x="0" y="0"/>
              </a:moveTo>
              <a:lnTo>
                <a:pt x="195901" y="0"/>
              </a:lnTo>
              <a:lnTo>
                <a:pt x="195901" y="2239730"/>
              </a:lnTo>
              <a:lnTo>
                <a:pt x="391803" y="2239730"/>
              </a:lnTo>
            </a:path>
          </a:pathLst>
        </a:custGeom>
        <a:noFill/>
        <a:ln w="12700" cap="flat" cmpd="sng" algn="ctr">
          <a:solidFill>
            <a:srgbClr val="5B9BD5">
              <a:lumMod val="40000"/>
              <a:lumOff val="6000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86151" y="3608101"/>
        <a:ext cx="113687" cy="113687"/>
      </dsp:txXfrm>
    </dsp:sp>
    <dsp:sp modelId="{3016B725-D584-4122-8140-0C38E2EE4D57}">
      <dsp:nvSpPr>
        <dsp:cNvPr id="0" name=""/>
        <dsp:cNvSpPr/>
      </dsp:nvSpPr>
      <dsp:spPr>
        <a:xfrm>
          <a:off x="847093" y="2545080"/>
          <a:ext cx="391803" cy="1493153"/>
        </a:xfrm>
        <a:custGeom>
          <a:avLst/>
          <a:gdLst/>
          <a:ahLst/>
          <a:cxnLst/>
          <a:rect l="0" t="0" r="0" b="0"/>
          <a:pathLst>
            <a:path>
              <a:moveTo>
                <a:pt x="0" y="0"/>
              </a:moveTo>
              <a:lnTo>
                <a:pt x="195901" y="0"/>
              </a:lnTo>
              <a:lnTo>
                <a:pt x="195901" y="1493153"/>
              </a:lnTo>
              <a:lnTo>
                <a:pt x="391803" y="1493153"/>
              </a:lnTo>
            </a:path>
          </a:pathLst>
        </a:custGeom>
        <a:noFill/>
        <a:ln w="12700" cap="flat" cmpd="sng" algn="ctr">
          <a:solidFill>
            <a:srgbClr val="5B9BD5">
              <a:lumMod val="40000"/>
              <a:lumOff val="6000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04402" y="3253064"/>
        <a:ext cx="77185" cy="77185"/>
      </dsp:txXfrm>
    </dsp:sp>
    <dsp:sp modelId="{2D7DD8DE-CE7B-405A-9621-35C26BB4E44C}">
      <dsp:nvSpPr>
        <dsp:cNvPr id="0" name=""/>
        <dsp:cNvSpPr/>
      </dsp:nvSpPr>
      <dsp:spPr>
        <a:xfrm>
          <a:off x="847093" y="2545080"/>
          <a:ext cx="391803" cy="746576"/>
        </a:xfrm>
        <a:custGeom>
          <a:avLst/>
          <a:gdLst/>
          <a:ahLst/>
          <a:cxnLst/>
          <a:rect l="0" t="0" r="0" b="0"/>
          <a:pathLst>
            <a:path>
              <a:moveTo>
                <a:pt x="0" y="0"/>
              </a:moveTo>
              <a:lnTo>
                <a:pt x="195901" y="0"/>
              </a:lnTo>
              <a:lnTo>
                <a:pt x="195901" y="746576"/>
              </a:lnTo>
              <a:lnTo>
                <a:pt x="391803" y="746576"/>
              </a:lnTo>
            </a:path>
          </a:pathLst>
        </a:custGeom>
        <a:noFill/>
        <a:ln w="12700" cap="flat" cmpd="sng" algn="ctr">
          <a:solidFill>
            <a:srgbClr val="5B9BD5">
              <a:lumMod val="40000"/>
              <a:lumOff val="6000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21916" y="2897289"/>
        <a:ext cx="42157" cy="42157"/>
      </dsp:txXfrm>
    </dsp:sp>
    <dsp:sp modelId="{5EEE8371-2F7E-4A68-BBFE-54DC66942AD6}">
      <dsp:nvSpPr>
        <dsp:cNvPr id="0" name=""/>
        <dsp:cNvSpPr/>
      </dsp:nvSpPr>
      <dsp:spPr>
        <a:xfrm>
          <a:off x="847093" y="2499360"/>
          <a:ext cx="391803" cy="91440"/>
        </a:xfrm>
        <a:custGeom>
          <a:avLst/>
          <a:gdLst/>
          <a:ahLst/>
          <a:cxnLst/>
          <a:rect l="0" t="0" r="0" b="0"/>
          <a:pathLst>
            <a:path>
              <a:moveTo>
                <a:pt x="0" y="45720"/>
              </a:moveTo>
              <a:lnTo>
                <a:pt x="391803" y="45720"/>
              </a:lnTo>
            </a:path>
          </a:pathLst>
        </a:custGeom>
        <a:noFill/>
        <a:ln w="12700" cap="flat" cmpd="sng" algn="ctr">
          <a:solidFill>
            <a:srgbClr val="5B9BD5">
              <a:lumMod val="40000"/>
              <a:lumOff val="6000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33200" y="2535284"/>
        <a:ext cx="19590" cy="19590"/>
      </dsp:txXfrm>
    </dsp:sp>
    <dsp:sp modelId="{F247782D-39E0-47E0-AB18-D1B553246E16}">
      <dsp:nvSpPr>
        <dsp:cNvPr id="0" name=""/>
        <dsp:cNvSpPr/>
      </dsp:nvSpPr>
      <dsp:spPr>
        <a:xfrm>
          <a:off x="847093" y="1798503"/>
          <a:ext cx="391803" cy="746576"/>
        </a:xfrm>
        <a:custGeom>
          <a:avLst/>
          <a:gdLst/>
          <a:ahLst/>
          <a:cxnLst/>
          <a:rect l="0" t="0" r="0" b="0"/>
          <a:pathLst>
            <a:path>
              <a:moveTo>
                <a:pt x="0" y="746576"/>
              </a:moveTo>
              <a:lnTo>
                <a:pt x="195901" y="746576"/>
              </a:lnTo>
              <a:lnTo>
                <a:pt x="195901" y="0"/>
              </a:lnTo>
              <a:lnTo>
                <a:pt x="391803" y="0"/>
              </a:lnTo>
            </a:path>
          </a:pathLst>
        </a:custGeom>
        <a:noFill/>
        <a:ln w="12700" cap="flat" cmpd="sng" algn="ctr">
          <a:solidFill>
            <a:srgbClr val="5B9BD5">
              <a:lumMod val="40000"/>
              <a:lumOff val="6000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21916" y="2150713"/>
        <a:ext cx="42157" cy="42157"/>
      </dsp:txXfrm>
    </dsp:sp>
    <dsp:sp modelId="{E118D476-0101-45BF-B05F-C51FBAFDFC07}">
      <dsp:nvSpPr>
        <dsp:cNvPr id="0" name=""/>
        <dsp:cNvSpPr/>
      </dsp:nvSpPr>
      <dsp:spPr>
        <a:xfrm>
          <a:off x="847093" y="1051926"/>
          <a:ext cx="391803" cy="1493153"/>
        </a:xfrm>
        <a:custGeom>
          <a:avLst/>
          <a:gdLst/>
          <a:ahLst/>
          <a:cxnLst/>
          <a:rect l="0" t="0" r="0" b="0"/>
          <a:pathLst>
            <a:path>
              <a:moveTo>
                <a:pt x="0" y="1493153"/>
              </a:moveTo>
              <a:lnTo>
                <a:pt x="195901" y="1493153"/>
              </a:lnTo>
              <a:lnTo>
                <a:pt x="195901" y="0"/>
              </a:lnTo>
              <a:lnTo>
                <a:pt x="391803" y="0"/>
              </a:lnTo>
            </a:path>
          </a:pathLst>
        </a:custGeom>
        <a:noFill/>
        <a:ln w="12700" cap="flat" cmpd="sng" algn="ctr">
          <a:solidFill>
            <a:srgbClr val="5B9BD5">
              <a:lumMod val="40000"/>
              <a:lumOff val="6000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04402" y="1759910"/>
        <a:ext cx="77185" cy="77185"/>
      </dsp:txXfrm>
    </dsp:sp>
    <dsp:sp modelId="{1883E0E4-BCDF-4920-944B-73066B43DFA6}">
      <dsp:nvSpPr>
        <dsp:cNvPr id="0" name=""/>
        <dsp:cNvSpPr/>
      </dsp:nvSpPr>
      <dsp:spPr>
        <a:xfrm>
          <a:off x="847093" y="305349"/>
          <a:ext cx="391803" cy="2239730"/>
        </a:xfrm>
        <a:custGeom>
          <a:avLst/>
          <a:gdLst/>
          <a:ahLst/>
          <a:cxnLst/>
          <a:rect l="0" t="0" r="0" b="0"/>
          <a:pathLst>
            <a:path>
              <a:moveTo>
                <a:pt x="0" y="2239730"/>
              </a:moveTo>
              <a:lnTo>
                <a:pt x="195901" y="2239730"/>
              </a:lnTo>
              <a:lnTo>
                <a:pt x="195901" y="0"/>
              </a:lnTo>
              <a:lnTo>
                <a:pt x="391803" y="0"/>
              </a:lnTo>
            </a:path>
          </a:pathLst>
        </a:custGeom>
        <a:noFill/>
        <a:ln w="12700" cap="flat" cmpd="sng" algn="ctr">
          <a:solidFill>
            <a:srgbClr val="5B9BD5">
              <a:lumMod val="40000"/>
              <a:lumOff val="6000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86151" y="1368371"/>
        <a:ext cx="113687" cy="113687"/>
      </dsp:txXfrm>
    </dsp:sp>
    <dsp:sp modelId="{C4F1E5BD-AE95-468A-8CAB-78DA9CD1FF79}">
      <dsp:nvSpPr>
        <dsp:cNvPr id="0" name=""/>
        <dsp:cNvSpPr/>
      </dsp:nvSpPr>
      <dsp:spPr>
        <a:xfrm rot="16200000">
          <a:off x="-1992601" y="2246449"/>
          <a:ext cx="5082128" cy="597261"/>
        </a:xfrm>
        <a:prstGeom prst="rect">
          <a:avLst/>
        </a:prstGeom>
        <a:solidFill>
          <a:srgbClr val="5B9BD5">
            <a:lumMod val="40000"/>
            <a:lumOff val="60000"/>
          </a:srgbClr>
        </a:solidFill>
        <a:ln w="12700" cap="flat" cmpd="sng" algn="ctr">
          <a:solidFill>
            <a:srgbClr val="5B9BD5">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sr-Cyrl-RS" sz="1100" b="1" kern="1200">
              <a:solidFill>
                <a:sysClr val="window" lastClr="FFFFFF"/>
              </a:solidFill>
              <a:latin typeface="Times New Roman" panose="02020603050405020304" pitchFamily="18" charset="0"/>
              <a:ea typeface="+mn-ea"/>
              <a:cs typeface="Times New Roman" panose="02020603050405020304" pitchFamily="18" charset="0"/>
            </a:rPr>
            <a:t>УНАПРЕЂ</a:t>
          </a:r>
          <a:r>
            <a:rPr lang="en-GB" sz="1100" b="1" kern="1200">
              <a:solidFill>
                <a:sysClr val="window" lastClr="FFFFFF"/>
              </a:solidFill>
              <a:latin typeface="Times New Roman" panose="02020603050405020304" pitchFamily="18" charset="0"/>
              <a:ea typeface="+mn-ea"/>
              <a:cs typeface="Times New Roman" panose="02020603050405020304" pitchFamily="18" charset="0"/>
            </a:rPr>
            <a:t>E</a:t>
          </a:r>
          <a:r>
            <a:rPr lang="sr-Cyrl-RS" sz="1100" b="1" kern="1200">
              <a:solidFill>
                <a:sysClr val="window" lastClr="FFFFFF"/>
              </a:solidFill>
              <a:latin typeface="Times New Roman" panose="02020603050405020304" pitchFamily="18" charset="0"/>
              <a:ea typeface="+mn-ea"/>
              <a:cs typeface="Times New Roman" panose="02020603050405020304" pitchFamily="18" charset="0"/>
            </a:rPr>
            <a:t>Н КВАЛИТЕТ УСЛУГА ЈАВНЕ УПРАВЕ ПРЕМА КРАЈЊИМ  КОРИСНИЦИМА ЗАСНОВАН НА СТАНДАРДИМА</a:t>
          </a:r>
          <a:r>
            <a:rPr lang="sr-Latn-RS" sz="1100" b="1" kern="1200">
              <a:solidFill>
                <a:sysClr val="window" lastClr="FFFFFF"/>
              </a:solidFill>
              <a:latin typeface="Times New Roman" panose="02020603050405020304" pitchFamily="18" charset="0"/>
              <a:ea typeface="+mn-ea"/>
              <a:cs typeface="Times New Roman" panose="02020603050405020304" pitchFamily="18" charset="0"/>
            </a:rPr>
            <a:t> – </a:t>
          </a:r>
          <a:r>
            <a:rPr lang="sr-Cyrl-RS" sz="1100" b="1" kern="1200">
              <a:solidFill>
                <a:sysClr val="window" lastClr="FFFFFF"/>
              </a:solidFill>
              <a:latin typeface="Times New Roman" panose="02020603050405020304" pitchFamily="18" charset="0"/>
              <a:ea typeface="+mn-ea"/>
              <a:cs typeface="Times New Roman" panose="02020603050405020304" pitchFamily="18" charset="0"/>
            </a:rPr>
            <a:t>ОПЦИЈЕ</a:t>
          </a:r>
          <a:endParaRPr lang="en-US"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992601" y="2246449"/>
        <a:ext cx="5082128" cy="597261"/>
      </dsp:txXfrm>
    </dsp:sp>
    <dsp:sp modelId="{F88C40A9-29DE-480F-A954-4FDBCE95C0B0}">
      <dsp:nvSpPr>
        <dsp:cNvPr id="0" name=""/>
        <dsp:cNvSpPr/>
      </dsp:nvSpPr>
      <dsp:spPr>
        <a:xfrm>
          <a:off x="1238897" y="6718"/>
          <a:ext cx="4433099" cy="597261"/>
        </a:xfrm>
        <a:prstGeom prst="rect">
          <a:avLst/>
        </a:prstGeom>
        <a:solidFill>
          <a:sysClr val="window" lastClr="FFFFFF"/>
        </a:solidFill>
        <a:ln w="28575" cap="flat" cmpd="sng" algn="ctr">
          <a:solidFill>
            <a:srgbClr val="5B9BD5">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6985" bIns="6985" numCol="1" spcCol="1270" anchor="ctr" anchorCtr="0">
          <a:noAutofit/>
        </a:bodyPr>
        <a:lstStyle/>
        <a:p>
          <a:pPr lvl="0" algn="just" defTabSz="488950">
            <a:lnSpc>
              <a:spcPct val="90000"/>
            </a:lnSpc>
            <a:spcBef>
              <a:spcPct val="0"/>
            </a:spcBef>
            <a:spcAft>
              <a:spcPct val="35000"/>
            </a:spcAft>
            <a:buNone/>
          </a:pPr>
          <a:r>
            <a:rPr lang="sr-Cyrl-RS" sz="1100" b="1" kern="1200">
              <a:solidFill>
                <a:sysClr val="windowText" lastClr="000000"/>
              </a:solidFill>
              <a:latin typeface="Times New Roman" panose="02020603050405020304" pitchFamily="18" charset="0"/>
              <a:ea typeface="+mn-ea"/>
              <a:cs typeface="Times New Roman" panose="02020603050405020304" pitchFamily="18" charset="0"/>
            </a:rPr>
            <a:t>Опција 1</a:t>
          </a: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a:t>
          </a:r>
          <a:r>
            <a:rPr lang="sr-Latn-RS" sz="1100" kern="1200">
              <a:solidFill>
                <a:sysClr val="windowText" lastClr="000000"/>
              </a:solidFill>
              <a:latin typeface="Times New Roman" panose="02020603050405020304" pitchFamily="18" charset="0"/>
              <a:ea typeface="+mn-ea"/>
              <a:cs typeface="Times New Roman" panose="02020603050405020304" pitchFamily="18" charset="0"/>
            </a:rPr>
            <a:t> </a:t>
          </a:r>
          <a:r>
            <a:rPr lang="en-GB" sz="1100" i="1" kern="1200">
              <a:solidFill>
                <a:sysClr val="windowText" lastClr="000000"/>
              </a:solidFill>
              <a:latin typeface="Times New Roman" panose="02020603050405020304" pitchFamily="18" charset="0"/>
              <a:ea typeface="+mn-ea"/>
              <a:cs typeface="Times New Roman" panose="02020603050405020304" pitchFamily="18" charset="0"/>
            </a:rPr>
            <a:t>Status quo</a:t>
          </a:r>
          <a:endParaRPr lang="en-US" sz="1100" i="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38897" y="6718"/>
        <a:ext cx="4433099" cy="597261"/>
      </dsp:txXfrm>
    </dsp:sp>
    <dsp:sp modelId="{667D07C7-2D17-42EF-920D-EA5FC75E7A30}">
      <dsp:nvSpPr>
        <dsp:cNvPr id="0" name=""/>
        <dsp:cNvSpPr/>
      </dsp:nvSpPr>
      <dsp:spPr>
        <a:xfrm>
          <a:off x="1238897" y="753295"/>
          <a:ext cx="4433099" cy="597261"/>
        </a:xfrm>
        <a:prstGeom prst="rect">
          <a:avLst/>
        </a:prstGeom>
        <a:solidFill>
          <a:sysClr val="window" lastClr="FFFFFF"/>
        </a:solidFill>
        <a:ln w="28575" cap="flat" cmpd="sng" algn="ctr">
          <a:solidFill>
            <a:srgbClr val="5B9BD5">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6985" bIns="6985" numCol="1" spcCol="1270" anchor="ctr" anchorCtr="0">
          <a:noAutofit/>
        </a:bodyPr>
        <a:lstStyle/>
        <a:p>
          <a:pPr lvl="0" algn="just" defTabSz="488950">
            <a:lnSpc>
              <a:spcPct val="90000"/>
            </a:lnSpc>
            <a:spcBef>
              <a:spcPct val="0"/>
            </a:spcBef>
            <a:spcAft>
              <a:spcPct val="35000"/>
            </a:spcAft>
            <a:buNone/>
          </a:pPr>
          <a:r>
            <a:rPr lang="sr-Cyrl-RS" sz="1100" b="1" kern="1200">
              <a:solidFill>
                <a:sysClr val="windowText" lastClr="000000"/>
              </a:solidFill>
              <a:latin typeface="Times New Roman" panose="02020603050405020304" pitchFamily="18" charset="0"/>
              <a:ea typeface="+mn-ea"/>
              <a:cs typeface="Times New Roman" panose="02020603050405020304" pitchFamily="18" charset="0"/>
            </a:rPr>
            <a:t>Опција 2</a:t>
          </a:r>
          <a:r>
            <a:rPr lang="sr-Cyrl-RS" sz="1100" b="0" kern="1200">
              <a:solidFill>
                <a:sysClr val="windowText" lastClr="000000"/>
              </a:solidFill>
              <a:latin typeface="Times New Roman" panose="02020603050405020304" pitchFamily="18" charset="0"/>
              <a:ea typeface="+mn-ea"/>
              <a:cs typeface="Times New Roman" panose="02020603050405020304" pitchFamily="18" charset="0"/>
            </a:rPr>
            <a:t>:</a:t>
          </a:r>
          <a:r>
            <a:rPr lang="sr-Latn-RS" sz="1100" b="0" kern="1200">
              <a:solidFill>
                <a:sysClr val="windowText" lastClr="000000"/>
              </a:solidFill>
              <a:latin typeface="Times New Roman" panose="02020603050405020304" pitchFamily="18" charset="0"/>
              <a:ea typeface="+mn-ea"/>
              <a:cs typeface="Times New Roman" panose="02020603050405020304" pitchFamily="18" charset="0"/>
            </a:rPr>
            <a:t> </a:t>
          </a: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Унапређење процеса развоја и оптимизације постојећих услуга кроз оснивање посебног органа државне управе ком би се доделила надлежност за формулисање и спровођење политике услуга и оптимизације и модернизације административних поступака</a:t>
          </a:r>
          <a:endParaRPr lang="en-US" sz="11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38897" y="753295"/>
        <a:ext cx="4433099" cy="597261"/>
      </dsp:txXfrm>
    </dsp:sp>
    <dsp:sp modelId="{A479F1D7-7731-4507-BBC9-132385665D65}">
      <dsp:nvSpPr>
        <dsp:cNvPr id="0" name=""/>
        <dsp:cNvSpPr/>
      </dsp:nvSpPr>
      <dsp:spPr>
        <a:xfrm>
          <a:off x="1238897" y="1499872"/>
          <a:ext cx="4433099" cy="597261"/>
        </a:xfrm>
        <a:prstGeom prst="rect">
          <a:avLst/>
        </a:prstGeom>
        <a:solidFill>
          <a:sysClr val="window" lastClr="FFFFFF"/>
        </a:solidFill>
        <a:ln w="28575" cap="flat" cmpd="sng" algn="ctr">
          <a:solidFill>
            <a:srgbClr val="5B9BD5">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6985" bIns="6985" numCol="1" spcCol="1270" anchor="ctr" anchorCtr="0">
          <a:noAutofit/>
        </a:bodyPr>
        <a:lstStyle/>
        <a:p>
          <a:pPr lvl="0" algn="just" defTabSz="488950">
            <a:lnSpc>
              <a:spcPct val="90000"/>
            </a:lnSpc>
            <a:spcBef>
              <a:spcPct val="0"/>
            </a:spcBef>
            <a:spcAft>
              <a:spcPct val="35000"/>
            </a:spcAft>
            <a:buNone/>
          </a:pPr>
          <a:r>
            <a:rPr lang="sr-Cyrl-RS" sz="1100" b="1" kern="1200">
              <a:solidFill>
                <a:sysClr val="windowText" lastClr="000000"/>
              </a:solidFill>
              <a:latin typeface="Times New Roman" panose="02020603050405020304" pitchFamily="18" charset="0"/>
              <a:ea typeface="+mn-ea"/>
              <a:cs typeface="Times New Roman" panose="02020603050405020304" pitchFamily="18" charset="0"/>
            </a:rPr>
            <a:t>Опција 3</a:t>
          </a:r>
          <a:r>
            <a:rPr lang="sr-Latn-RS" sz="1100" b="1" kern="1200">
              <a:solidFill>
                <a:sysClr val="windowText" lastClr="000000"/>
              </a:solidFill>
              <a:latin typeface="Times New Roman" panose="02020603050405020304" pitchFamily="18" charset="0"/>
              <a:ea typeface="+mn-ea"/>
              <a:cs typeface="Times New Roman" panose="02020603050405020304" pitchFamily="18" charset="0"/>
            </a:rPr>
            <a:t>: </a:t>
          </a: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Унапређење процеса развоја и оптимизације постојећих услуга оснивањем јавне агенције којој би биле додељене надлежности у овој области</a:t>
          </a: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38897" y="1499872"/>
        <a:ext cx="4433099" cy="597261"/>
      </dsp:txXfrm>
    </dsp:sp>
    <dsp:sp modelId="{FE604BBC-9296-475C-BD8F-8E55DB61AD25}">
      <dsp:nvSpPr>
        <dsp:cNvPr id="0" name=""/>
        <dsp:cNvSpPr/>
      </dsp:nvSpPr>
      <dsp:spPr>
        <a:xfrm>
          <a:off x="1238897" y="2246449"/>
          <a:ext cx="4433099" cy="597261"/>
        </a:xfrm>
        <a:prstGeom prst="rect">
          <a:avLst/>
        </a:prstGeom>
        <a:solidFill>
          <a:sysClr val="window" lastClr="FFFFFF"/>
        </a:solidFill>
        <a:ln w="28575" cap="flat" cmpd="sng" algn="ctr">
          <a:solidFill>
            <a:srgbClr val="5B9BD5">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6985" bIns="6985" numCol="1" spcCol="1270" anchor="ctr" anchorCtr="0">
          <a:noAutofit/>
        </a:bodyPr>
        <a:lstStyle/>
        <a:p>
          <a:pPr lvl="0" algn="just" defTabSz="488950">
            <a:lnSpc>
              <a:spcPct val="90000"/>
            </a:lnSpc>
            <a:spcBef>
              <a:spcPct val="0"/>
            </a:spcBef>
            <a:spcAft>
              <a:spcPct val="35000"/>
            </a:spcAft>
            <a:buNone/>
          </a:pPr>
          <a:r>
            <a:rPr lang="sr-Cyrl-RS" sz="1100" b="1" kern="1200">
              <a:solidFill>
                <a:sysClr val="windowText" lastClr="000000"/>
              </a:solidFill>
              <a:latin typeface="Times New Roman" panose="02020603050405020304" pitchFamily="18" charset="0"/>
              <a:ea typeface="+mn-ea"/>
              <a:cs typeface="Times New Roman" panose="02020603050405020304" pitchFamily="18" charset="0"/>
            </a:rPr>
            <a:t>Опција 4</a:t>
          </a:r>
          <a:r>
            <a:rPr lang="sr-Cyrl-RS" sz="1100" b="0" kern="1200">
              <a:solidFill>
                <a:sysClr val="windowText" lastClr="000000"/>
              </a:solidFill>
              <a:latin typeface="Times New Roman" panose="02020603050405020304" pitchFamily="18" charset="0"/>
              <a:ea typeface="+mn-ea"/>
              <a:cs typeface="Times New Roman" panose="02020603050405020304" pitchFamily="18" charset="0"/>
            </a:rPr>
            <a:t>:</a:t>
          </a:r>
          <a:r>
            <a:rPr lang="sr-Latn-RS" sz="1100" b="0" kern="1200">
              <a:solidFill>
                <a:sysClr val="windowText" lastClr="000000"/>
              </a:solidFill>
              <a:latin typeface="Times New Roman" panose="02020603050405020304" pitchFamily="18" charset="0"/>
              <a:ea typeface="+mn-ea"/>
              <a:cs typeface="Times New Roman" panose="02020603050405020304" pitchFamily="18" charset="0"/>
            </a:rPr>
            <a:t> </a:t>
          </a: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Повећање људских и техничко-технолошких капацитета јавне управе за пружање услуга крајњим корисницима </a:t>
          </a:r>
          <a:r>
            <a:rPr lang="sr-Cyrl-RS" sz="1100" i="1" kern="1200">
              <a:solidFill>
                <a:sysClr val="windowText" lastClr="000000"/>
              </a:solidFill>
              <a:latin typeface="Times New Roman" panose="02020603050405020304" pitchFamily="18" charset="0"/>
              <a:ea typeface="+mn-ea"/>
              <a:cs typeface="Times New Roman" panose="02020603050405020304" pitchFamily="18" charset="0"/>
            </a:rPr>
            <a:t>додељивањем надлежности Министарству државне управе и локалне самоуправе за формулисање и централизовано спровођење политике у овој области</a:t>
          </a: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38897" y="2246449"/>
        <a:ext cx="4433099" cy="597261"/>
      </dsp:txXfrm>
    </dsp:sp>
    <dsp:sp modelId="{8A5E0E2A-DD69-4E28-ABB4-5019B313A01A}">
      <dsp:nvSpPr>
        <dsp:cNvPr id="0" name=""/>
        <dsp:cNvSpPr/>
      </dsp:nvSpPr>
      <dsp:spPr>
        <a:xfrm>
          <a:off x="1238897" y="2993026"/>
          <a:ext cx="4433099" cy="597261"/>
        </a:xfrm>
        <a:prstGeom prst="rect">
          <a:avLst/>
        </a:prstGeom>
        <a:solidFill>
          <a:sysClr val="window" lastClr="FFFFFF"/>
        </a:solidFill>
        <a:ln w="28575" cap="flat" cmpd="sng" algn="ctr">
          <a:solidFill>
            <a:srgbClr val="5B9BD5">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6985" bIns="6985" numCol="1" spcCol="1270" anchor="ctr" anchorCtr="0">
          <a:noAutofit/>
        </a:bodyPr>
        <a:lstStyle/>
        <a:p>
          <a:pPr lvl="0" algn="just" defTabSz="488950">
            <a:lnSpc>
              <a:spcPct val="90000"/>
            </a:lnSpc>
            <a:spcBef>
              <a:spcPct val="0"/>
            </a:spcBef>
            <a:spcAft>
              <a:spcPct val="35000"/>
            </a:spcAft>
            <a:buNone/>
          </a:pPr>
          <a:r>
            <a:rPr lang="sr-Cyrl-RS" sz="1100" b="1" kern="1200">
              <a:solidFill>
                <a:sysClr val="windowText" lastClr="000000"/>
              </a:solidFill>
              <a:latin typeface="Times New Roman" panose="02020603050405020304" pitchFamily="18" charset="0"/>
              <a:ea typeface="+mn-ea"/>
              <a:cs typeface="Times New Roman" panose="02020603050405020304" pitchFamily="18" charset="0"/>
            </a:rPr>
            <a:t>Опција 5:</a:t>
          </a:r>
          <a:r>
            <a:rPr lang="sr-Latn-RS" sz="1100" b="1" kern="1200">
              <a:solidFill>
                <a:sysClr val="windowText" lastClr="000000"/>
              </a:solidFill>
              <a:latin typeface="Times New Roman" panose="02020603050405020304" pitchFamily="18" charset="0"/>
              <a:ea typeface="+mn-ea"/>
              <a:cs typeface="Times New Roman" panose="02020603050405020304" pitchFamily="18" charset="0"/>
            </a:rPr>
            <a:t> </a:t>
          </a: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Повећање људских и техничко-технолошких капацитета јавне управе за пружање услуга крајњим корисницима децентрализовано на нивоу појединачних органа државне управе, а на основу стандарда које би прописало МДУЛС</a:t>
          </a: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38897" y="2993026"/>
        <a:ext cx="4433099" cy="597261"/>
      </dsp:txXfrm>
    </dsp:sp>
    <dsp:sp modelId="{5DB7D626-B287-41A9-9E98-DC65020B306F}">
      <dsp:nvSpPr>
        <dsp:cNvPr id="0" name=""/>
        <dsp:cNvSpPr/>
      </dsp:nvSpPr>
      <dsp:spPr>
        <a:xfrm>
          <a:off x="1238897" y="3739602"/>
          <a:ext cx="4433099" cy="597261"/>
        </a:xfrm>
        <a:prstGeom prst="rect">
          <a:avLst/>
        </a:prstGeom>
        <a:solidFill>
          <a:sysClr val="window" lastClr="FFFFFF"/>
        </a:solidFill>
        <a:ln w="28575" cap="flat" cmpd="sng" algn="ctr">
          <a:solidFill>
            <a:srgbClr val="5B9BD5">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6985" bIns="6985" numCol="1" spcCol="1270" anchor="ctr" anchorCtr="0">
          <a:noAutofit/>
        </a:bodyPr>
        <a:lstStyle/>
        <a:p>
          <a:pPr lvl="0" algn="just" defTabSz="488950">
            <a:lnSpc>
              <a:spcPct val="90000"/>
            </a:lnSpc>
            <a:spcBef>
              <a:spcPct val="0"/>
            </a:spcBef>
            <a:spcAft>
              <a:spcPct val="35000"/>
            </a:spcAft>
            <a:buNone/>
          </a:pPr>
          <a:r>
            <a:rPr lang="sr-Cyrl-RS" sz="1100" b="1" kern="1200">
              <a:solidFill>
                <a:sysClr val="windowText" lastClr="000000"/>
              </a:solidFill>
              <a:latin typeface="Times New Roman" panose="02020603050405020304" pitchFamily="18" charset="0"/>
              <a:ea typeface="+mn-ea"/>
              <a:cs typeface="Times New Roman" panose="02020603050405020304" pitchFamily="18" charset="0"/>
            </a:rPr>
            <a:t>Опција 6</a:t>
          </a:r>
          <a:r>
            <a:rPr lang="sr-Latn-RS" sz="1100" b="1" kern="1200">
              <a:solidFill>
                <a:sysClr val="windowText" lastClr="000000"/>
              </a:solidFill>
              <a:latin typeface="Times New Roman" panose="02020603050405020304" pitchFamily="18" charset="0"/>
              <a:ea typeface="+mn-ea"/>
              <a:cs typeface="Times New Roman" panose="02020603050405020304" pitchFamily="18" charset="0"/>
            </a:rPr>
            <a:t>: </a:t>
          </a: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Унапређење система контроле и обезбеђења квалитета услуга кроз додељивање надлежности МДУЛС у овим областима уз оснивање посебне организационе целине унутра Министарства</a:t>
          </a: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38897" y="3739602"/>
        <a:ext cx="4433099" cy="597261"/>
      </dsp:txXfrm>
    </dsp:sp>
    <dsp:sp modelId="{70C1434B-BD91-4AE0-B5DD-534A24CF7D41}">
      <dsp:nvSpPr>
        <dsp:cNvPr id="0" name=""/>
        <dsp:cNvSpPr/>
      </dsp:nvSpPr>
      <dsp:spPr>
        <a:xfrm>
          <a:off x="1238897" y="4486179"/>
          <a:ext cx="4433099" cy="597261"/>
        </a:xfrm>
        <a:prstGeom prst="rect">
          <a:avLst/>
        </a:prstGeom>
        <a:solidFill>
          <a:sysClr val="window" lastClr="FFFFFF"/>
        </a:solidFill>
        <a:ln w="28575" cap="flat" cmpd="sng" algn="ctr">
          <a:solidFill>
            <a:srgbClr val="5B9BD5">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6985" bIns="6985" numCol="1" spcCol="1270" anchor="ctr" anchorCtr="0">
          <a:noAutofit/>
        </a:bodyPr>
        <a:lstStyle/>
        <a:p>
          <a:pPr lvl="0" algn="just" defTabSz="488950">
            <a:lnSpc>
              <a:spcPct val="90000"/>
            </a:lnSpc>
            <a:spcBef>
              <a:spcPct val="0"/>
            </a:spcBef>
            <a:spcAft>
              <a:spcPct val="35000"/>
            </a:spcAft>
            <a:buNone/>
          </a:pPr>
          <a:r>
            <a:rPr lang="sr-Cyrl-RS" sz="1100" b="1" kern="1200">
              <a:solidFill>
                <a:sysClr val="windowText" lastClr="000000"/>
              </a:solidFill>
              <a:latin typeface="Times New Roman" panose="02020603050405020304" pitchFamily="18" charset="0"/>
              <a:ea typeface="+mn-ea"/>
              <a:cs typeface="Times New Roman" panose="02020603050405020304" pitchFamily="18" charset="0"/>
            </a:rPr>
            <a:t>Опција 7:</a:t>
          </a: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Унапређење система контроле и обезбеђења квалитета услуга кроз оснивање новог органа државне управе ком би биле додељене надлежности у овим областима</a:t>
          </a: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38897" y="4486179"/>
        <a:ext cx="4433099" cy="5972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511DAA-DCEC-4379-8D61-8475FD8A3A77}">
      <dsp:nvSpPr>
        <dsp:cNvPr id="0" name=""/>
        <dsp:cNvSpPr/>
      </dsp:nvSpPr>
      <dsp:spPr>
        <a:xfrm>
          <a:off x="1066551" y="2674620"/>
          <a:ext cx="584690" cy="2228240"/>
        </a:xfrm>
        <a:custGeom>
          <a:avLst/>
          <a:gdLst/>
          <a:ahLst/>
          <a:cxnLst/>
          <a:rect l="0" t="0" r="0" b="0"/>
          <a:pathLst>
            <a:path>
              <a:moveTo>
                <a:pt x="0" y="0"/>
              </a:moveTo>
              <a:lnTo>
                <a:pt x="292345" y="0"/>
              </a:lnTo>
              <a:lnTo>
                <a:pt x="292345" y="2228240"/>
              </a:lnTo>
              <a:lnTo>
                <a:pt x="584690" y="2228240"/>
              </a:lnTo>
            </a:path>
          </a:pathLst>
        </a:custGeom>
        <a:noFill/>
        <a:ln w="12700" cap="flat" cmpd="sng" algn="ctr">
          <a:solidFill>
            <a:srgbClr val="D5DEEE"/>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1301304" y="3731148"/>
        <a:ext cx="115183" cy="115183"/>
      </dsp:txXfrm>
    </dsp:sp>
    <dsp:sp modelId="{5850196B-A16B-4210-B1D3-FB155482DA4E}">
      <dsp:nvSpPr>
        <dsp:cNvPr id="0" name=""/>
        <dsp:cNvSpPr/>
      </dsp:nvSpPr>
      <dsp:spPr>
        <a:xfrm>
          <a:off x="1066551" y="2674620"/>
          <a:ext cx="584690" cy="1114120"/>
        </a:xfrm>
        <a:custGeom>
          <a:avLst/>
          <a:gdLst/>
          <a:ahLst/>
          <a:cxnLst/>
          <a:rect l="0" t="0" r="0" b="0"/>
          <a:pathLst>
            <a:path>
              <a:moveTo>
                <a:pt x="0" y="0"/>
              </a:moveTo>
              <a:lnTo>
                <a:pt x="292345" y="0"/>
              </a:lnTo>
              <a:lnTo>
                <a:pt x="292345" y="1114120"/>
              </a:lnTo>
              <a:lnTo>
                <a:pt x="584690" y="1114120"/>
              </a:lnTo>
            </a:path>
          </a:pathLst>
        </a:custGeom>
        <a:noFill/>
        <a:ln w="12700" cap="flat" cmpd="sng" algn="ctr">
          <a:solidFill>
            <a:srgbClr val="D5DEEE"/>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1327440" y="3200224"/>
        <a:ext cx="62911" cy="62911"/>
      </dsp:txXfrm>
    </dsp:sp>
    <dsp:sp modelId="{4AE3506C-E120-4020-85FB-E18667DCD27F}">
      <dsp:nvSpPr>
        <dsp:cNvPr id="0" name=""/>
        <dsp:cNvSpPr/>
      </dsp:nvSpPr>
      <dsp:spPr>
        <a:xfrm>
          <a:off x="1066551" y="2628900"/>
          <a:ext cx="584690" cy="91440"/>
        </a:xfrm>
        <a:custGeom>
          <a:avLst/>
          <a:gdLst/>
          <a:ahLst/>
          <a:cxnLst/>
          <a:rect l="0" t="0" r="0" b="0"/>
          <a:pathLst>
            <a:path>
              <a:moveTo>
                <a:pt x="0" y="45720"/>
              </a:moveTo>
              <a:lnTo>
                <a:pt x="584690" y="45720"/>
              </a:lnTo>
            </a:path>
          </a:pathLst>
        </a:custGeom>
        <a:noFill/>
        <a:ln w="12700" cap="flat" cmpd="sng" algn="ctr">
          <a:solidFill>
            <a:schemeClr val="accent5">
              <a:lumMod val="40000"/>
              <a:lumOff val="6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1344279" y="2660002"/>
        <a:ext cx="29234" cy="29234"/>
      </dsp:txXfrm>
    </dsp:sp>
    <dsp:sp modelId="{4F84F40C-DD42-4178-A497-35B2B3BFB14E}">
      <dsp:nvSpPr>
        <dsp:cNvPr id="0" name=""/>
        <dsp:cNvSpPr/>
      </dsp:nvSpPr>
      <dsp:spPr>
        <a:xfrm>
          <a:off x="1066551" y="1560499"/>
          <a:ext cx="584690" cy="1114120"/>
        </a:xfrm>
        <a:custGeom>
          <a:avLst/>
          <a:gdLst/>
          <a:ahLst/>
          <a:cxnLst/>
          <a:rect l="0" t="0" r="0" b="0"/>
          <a:pathLst>
            <a:path>
              <a:moveTo>
                <a:pt x="0" y="1114120"/>
              </a:moveTo>
              <a:lnTo>
                <a:pt x="292345" y="1114120"/>
              </a:lnTo>
              <a:lnTo>
                <a:pt x="292345" y="0"/>
              </a:lnTo>
              <a:lnTo>
                <a:pt x="584690" y="0"/>
              </a:lnTo>
            </a:path>
          </a:pathLst>
        </a:custGeom>
        <a:noFill/>
        <a:ln w="12700" cap="flat" cmpd="sng" algn="ctr">
          <a:solidFill>
            <a:srgbClr val="D5DEEE"/>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1327440" y="2086104"/>
        <a:ext cx="62911" cy="62911"/>
      </dsp:txXfrm>
    </dsp:sp>
    <dsp:sp modelId="{922C36C6-B0ED-43E6-BF8E-187C61BD692F}">
      <dsp:nvSpPr>
        <dsp:cNvPr id="0" name=""/>
        <dsp:cNvSpPr/>
      </dsp:nvSpPr>
      <dsp:spPr>
        <a:xfrm>
          <a:off x="1066551" y="446379"/>
          <a:ext cx="584690" cy="2228240"/>
        </a:xfrm>
        <a:custGeom>
          <a:avLst/>
          <a:gdLst/>
          <a:ahLst/>
          <a:cxnLst/>
          <a:rect l="0" t="0" r="0" b="0"/>
          <a:pathLst>
            <a:path>
              <a:moveTo>
                <a:pt x="0" y="2228240"/>
              </a:moveTo>
              <a:lnTo>
                <a:pt x="292345" y="2228240"/>
              </a:lnTo>
              <a:lnTo>
                <a:pt x="292345" y="0"/>
              </a:lnTo>
              <a:lnTo>
                <a:pt x="584690" y="0"/>
              </a:lnTo>
            </a:path>
          </a:pathLst>
        </a:custGeom>
        <a:noFill/>
        <a:ln w="12700" cap="flat" cmpd="sng" algn="ctr">
          <a:solidFill>
            <a:srgbClr val="D5DEEE"/>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1301304" y="1502907"/>
        <a:ext cx="115183" cy="115183"/>
      </dsp:txXfrm>
    </dsp:sp>
    <dsp:sp modelId="{8347D7FD-5B52-4156-8747-22EAB39BFFF8}">
      <dsp:nvSpPr>
        <dsp:cNvPr id="0" name=""/>
        <dsp:cNvSpPr/>
      </dsp:nvSpPr>
      <dsp:spPr>
        <a:xfrm rot="16200000">
          <a:off x="-2038466" y="2228971"/>
          <a:ext cx="5318739" cy="891296"/>
        </a:xfrm>
        <a:prstGeom prst="rect">
          <a:avLst/>
        </a:prstGeom>
        <a:solidFill>
          <a:srgbClr val="D5DEEE"/>
        </a:solidFill>
        <a:ln w="12700" cap="flat" cmpd="sng" algn="ctr">
          <a:solidFill>
            <a:srgbClr val="D5DEE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r-Cyrl-RS" sz="1000" b="1" kern="1200">
              <a:solidFill>
                <a:sysClr val="windowText" lastClr="000000"/>
              </a:solidFill>
              <a:latin typeface="Times New Roman" panose="02020603050405020304" pitchFamily="18" charset="0"/>
              <a:cs typeface="Times New Roman" panose="02020603050405020304" pitchFamily="18" charset="0"/>
            </a:rPr>
            <a:t>ПОВЕЋАНА ОДГОВОНОСТ И ТРАНСПАРЕНТНОСТ НА СВИМ НИВОИМА ВЛАСТИ </a:t>
          </a:r>
          <a:r>
            <a:rPr lang="en-GB" sz="1000" b="1" kern="1200">
              <a:solidFill>
                <a:sysClr val="windowText" lastClr="000000"/>
              </a:solidFill>
              <a:latin typeface="Times New Roman" panose="02020603050405020304" pitchFamily="18" charset="0"/>
              <a:cs typeface="Times New Roman" panose="02020603050405020304" pitchFamily="18" charset="0"/>
            </a:rPr>
            <a:t>– </a:t>
          </a:r>
          <a:r>
            <a:rPr lang="sr-Cyrl-RS" sz="1000" b="1" kern="1200">
              <a:solidFill>
                <a:sysClr val="windowText" lastClr="000000"/>
              </a:solidFill>
              <a:latin typeface="Times New Roman" panose="02020603050405020304" pitchFamily="18" charset="0"/>
              <a:cs typeface="Times New Roman" panose="02020603050405020304" pitchFamily="18" charset="0"/>
            </a:rPr>
            <a:t>ОПЦИЈЕ </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2038466" y="2228971"/>
        <a:ext cx="5318739" cy="891296"/>
      </dsp:txXfrm>
    </dsp:sp>
    <dsp:sp modelId="{293E4C6D-3230-4D38-AF57-1ACC314CF366}">
      <dsp:nvSpPr>
        <dsp:cNvPr id="0" name=""/>
        <dsp:cNvSpPr/>
      </dsp:nvSpPr>
      <dsp:spPr>
        <a:xfrm>
          <a:off x="1651241" y="731"/>
          <a:ext cx="3903743" cy="891296"/>
        </a:xfrm>
        <a:prstGeom prst="rect">
          <a:avLst/>
        </a:prstGeom>
        <a:solidFill>
          <a:schemeClr val="bg1"/>
        </a:solidFill>
        <a:ln w="28575" cap="flat" cmpd="sng" algn="ctr">
          <a:solidFill>
            <a:srgbClr val="D5DEE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sr-Cyrl-RS" sz="1000" b="1" kern="1200">
              <a:solidFill>
                <a:sysClr val="windowText" lastClr="000000"/>
              </a:solidFill>
              <a:latin typeface="Times New Roman" panose="02020603050405020304" pitchFamily="18" charset="0"/>
              <a:cs typeface="Times New Roman" panose="02020603050405020304" pitchFamily="18" charset="0"/>
            </a:rPr>
            <a:t>Опција</a:t>
          </a:r>
          <a:r>
            <a:rPr lang="sr-Latn-RS" sz="1000" b="1" kern="1200">
              <a:solidFill>
                <a:sysClr val="windowText" lastClr="000000"/>
              </a:solidFill>
              <a:latin typeface="Times New Roman" panose="02020603050405020304" pitchFamily="18" charset="0"/>
              <a:cs typeface="Times New Roman" panose="02020603050405020304" pitchFamily="18" charset="0"/>
            </a:rPr>
            <a:t> 1</a:t>
          </a:r>
          <a:r>
            <a:rPr lang="sr-Latn-RS" sz="1000" kern="1200">
              <a:solidFill>
                <a:sysClr val="windowText" lastClr="000000"/>
              </a:solidFill>
              <a:latin typeface="Times New Roman" panose="02020603050405020304" pitchFamily="18" charset="0"/>
              <a:cs typeface="Times New Roman" panose="02020603050405020304" pitchFamily="18" charset="0"/>
            </a:rPr>
            <a:t>:</a:t>
          </a:r>
          <a:r>
            <a:rPr lang="sr-Cyrl-RS" sz="1000" kern="1200">
              <a:solidFill>
                <a:sysClr val="windowText" lastClr="000000"/>
              </a:solidFill>
              <a:latin typeface="Times New Roman" panose="02020603050405020304" pitchFamily="18" charset="0"/>
              <a:cs typeface="Times New Roman" panose="02020603050405020304" pitchFamily="18" charset="0"/>
            </a:rPr>
            <a:t> </a:t>
          </a:r>
          <a:r>
            <a:rPr lang="en-GB" sz="1000" i="1" kern="1200">
              <a:solidFill>
                <a:sysClr val="windowText" lastClr="000000"/>
              </a:solidFill>
              <a:latin typeface="Times New Roman" panose="02020603050405020304" pitchFamily="18" charset="0"/>
              <a:cs typeface="Times New Roman" panose="02020603050405020304" pitchFamily="18" charset="0"/>
            </a:rPr>
            <a:t>Status quo</a:t>
          </a:r>
          <a:endParaRPr lang="en-US" sz="1000" i="1" kern="1200">
            <a:solidFill>
              <a:sysClr val="windowText" lastClr="000000"/>
            </a:solidFill>
            <a:latin typeface="Times New Roman" panose="02020603050405020304" pitchFamily="18" charset="0"/>
            <a:cs typeface="Times New Roman" panose="02020603050405020304" pitchFamily="18" charset="0"/>
          </a:endParaRPr>
        </a:p>
      </dsp:txBody>
      <dsp:txXfrm>
        <a:off x="1651241" y="731"/>
        <a:ext cx="3903743" cy="891296"/>
      </dsp:txXfrm>
    </dsp:sp>
    <dsp:sp modelId="{238EE141-B8E8-4B5D-91B1-1A654E9D038E}">
      <dsp:nvSpPr>
        <dsp:cNvPr id="0" name=""/>
        <dsp:cNvSpPr/>
      </dsp:nvSpPr>
      <dsp:spPr>
        <a:xfrm>
          <a:off x="1651241" y="1114851"/>
          <a:ext cx="3903743" cy="891296"/>
        </a:xfrm>
        <a:prstGeom prst="rect">
          <a:avLst/>
        </a:prstGeom>
        <a:solidFill>
          <a:schemeClr val="bg1"/>
        </a:solidFill>
        <a:ln w="28575" cap="flat" cmpd="sng" algn="ctr">
          <a:solidFill>
            <a:srgbClr val="D5DEE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just" defTabSz="444500">
            <a:lnSpc>
              <a:spcPct val="90000"/>
            </a:lnSpc>
            <a:spcBef>
              <a:spcPct val="0"/>
            </a:spcBef>
            <a:spcAft>
              <a:spcPct val="35000"/>
            </a:spcAft>
          </a:pPr>
          <a:r>
            <a:rPr lang="sr-Cyrl-RS" sz="1000" b="1" kern="1200">
              <a:solidFill>
                <a:sysClr val="windowText" lastClr="000000"/>
              </a:solidFill>
              <a:latin typeface="Times New Roman" panose="02020603050405020304" pitchFamily="18" charset="0"/>
              <a:cs typeface="Times New Roman" panose="02020603050405020304" pitchFamily="18" charset="0"/>
            </a:rPr>
            <a:t>Опција</a:t>
          </a:r>
          <a:r>
            <a:rPr lang="sr-Latn-RS" sz="1000" b="1" kern="1200">
              <a:solidFill>
                <a:sysClr val="windowText" lastClr="000000"/>
              </a:solidFill>
              <a:latin typeface="Times New Roman" panose="02020603050405020304" pitchFamily="18" charset="0"/>
              <a:cs typeface="Times New Roman" panose="02020603050405020304" pitchFamily="18" charset="0"/>
            </a:rPr>
            <a:t> </a:t>
          </a:r>
          <a:r>
            <a:rPr lang="sr-Cyrl-RS" sz="1000" b="1" kern="1200">
              <a:solidFill>
                <a:sysClr val="windowText" lastClr="000000"/>
              </a:solidFill>
              <a:latin typeface="Times New Roman" panose="02020603050405020304" pitchFamily="18" charset="0"/>
              <a:cs typeface="Times New Roman" panose="02020603050405020304" pitchFamily="18" charset="0"/>
            </a:rPr>
            <a:t>2: </a:t>
          </a:r>
          <a:r>
            <a:rPr lang="sr-Cyrl-RS" sz="1000" kern="1200">
              <a:solidFill>
                <a:sysClr val="windowText" lastClr="000000"/>
              </a:solidFill>
              <a:latin typeface="Times New Roman" panose="02020603050405020304" pitchFamily="18" charset="0"/>
              <a:cs typeface="Times New Roman" panose="02020603050405020304" pitchFamily="18" charset="0"/>
            </a:rPr>
            <a:t>Јачање индивидуалних капацитета руководилаца за примену принципа управљачке одговорности кроз обуке, стручне скупове и примере добре праксе</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1651241" y="1114851"/>
        <a:ext cx="3903743" cy="891296"/>
      </dsp:txXfrm>
    </dsp:sp>
    <dsp:sp modelId="{9C297F49-3BDE-4F49-BFD2-D23B03C260EF}">
      <dsp:nvSpPr>
        <dsp:cNvPr id="0" name=""/>
        <dsp:cNvSpPr/>
      </dsp:nvSpPr>
      <dsp:spPr>
        <a:xfrm>
          <a:off x="1651241" y="2228971"/>
          <a:ext cx="3903743" cy="891296"/>
        </a:xfrm>
        <a:prstGeom prst="rect">
          <a:avLst/>
        </a:prstGeom>
        <a:solidFill>
          <a:schemeClr val="bg1"/>
        </a:solidFill>
        <a:ln w="28575" cap="flat" cmpd="sng" algn="ctr">
          <a:solidFill>
            <a:srgbClr val="D5DEE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just" defTabSz="444500">
            <a:lnSpc>
              <a:spcPct val="90000"/>
            </a:lnSpc>
            <a:spcBef>
              <a:spcPct val="0"/>
            </a:spcBef>
            <a:spcAft>
              <a:spcPct val="35000"/>
            </a:spcAft>
          </a:pPr>
          <a:r>
            <a:rPr lang="sr-Cyrl-RS" sz="1000" b="1" kern="1200">
              <a:solidFill>
                <a:sysClr val="windowText" lastClr="000000"/>
              </a:solidFill>
              <a:latin typeface="Times New Roman" panose="02020603050405020304" pitchFamily="18" charset="0"/>
              <a:cs typeface="Times New Roman" panose="02020603050405020304" pitchFamily="18" charset="0"/>
            </a:rPr>
            <a:t>Опција</a:t>
          </a:r>
          <a:r>
            <a:rPr lang="sr-Latn-RS" sz="1000" b="1" kern="1200">
              <a:solidFill>
                <a:sysClr val="windowText" lastClr="000000"/>
              </a:solidFill>
              <a:latin typeface="Times New Roman" panose="02020603050405020304" pitchFamily="18" charset="0"/>
              <a:cs typeface="Times New Roman" panose="02020603050405020304" pitchFamily="18" charset="0"/>
            </a:rPr>
            <a:t> </a:t>
          </a:r>
          <a:r>
            <a:rPr lang="sr-Cyrl-RS" sz="1000" b="1" kern="1200">
              <a:solidFill>
                <a:sysClr val="windowText" lastClr="000000"/>
              </a:solidFill>
              <a:latin typeface="Times New Roman" panose="02020603050405020304" pitchFamily="18" charset="0"/>
              <a:cs typeface="Times New Roman" panose="02020603050405020304" pitchFamily="18" charset="0"/>
            </a:rPr>
            <a:t>3: </a:t>
          </a:r>
          <a:r>
            <a:rPr lang="ru-RU" sz="1000" kern="1200">
              <a:solidFill>
                <a:sysClr val="windowText" lastClr="000000"/>
              </a:solidFill>
              <a:latin typeface="Times New Roman" panose="02020603050405020304" pitchFamily="18" charset="0"/>
              <a:cs typeface="Times New Roman" panose="02020603050405020304" pitchFamily="18" charset="0"/>
            </a:rPr>
            <a:t>Успостављање системских решења за управљачку одговорност у органима јавне управе кроз усаглашавање правног оквира и изградњу капацитета  и механизама за његову доследну примену</a:t>
          </a:r>
          <a:endParaRPr lang="en-GB" sz="1000" kern="1200">
            <a:solidFill>
              <a:sysClr val="windowText" lastClr="000000"/>
            </a:solidFill>
            <a:latin typeface="Times New Roman" panose="02020603050405020304" pitchFamily="18" charset="0"/>
            <a:cs typeface="Times New Roman" panose="02020603050405020304" pitchFamily="18" charset="0"/>
          </a:endParaRPr>
        </a:p>
      </dsp:txBody>
      <dsp:txXfrm>
        <a:off x="1651241" y="2228971"/>
        <a:ext cx="3903743" cy="891296"/>
      </dsp:txXfrm>
    </dsp:sp>
    <dsp:sp modelId="{7ACC75E0-B410-48E7-995D-C237FCAF2393}">
      <dsp:nvSpPr>
        <dsp:cNvPr id="0" name=""/>
        <dsp:cNvSpPr/>
      </dsp:nvSpPr>
      <dsp:spPr>
        <a:xfrm>
          <a:off x="1651241" y="3343092"/>
          <a:ext cx="3903743" cy="891296"/>
        </a:xfrm>
        <a:prstGeom prst="rect">
          <a:avLst/>
        </a:prstGeom>
        <a:solidFill>
          <a:schemeClr val="bg1"/>
        </a:solidFill>
        <a:ln w="28575" cap="flat" cmpd="sng" algn="ctr">
          <a:solidFill>
            <a:srgbClr val="D5DEE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just" defTabSz="444500">
            <a:lnSpc>
              <a:spcPct val="90000"/>
            </a:lnSpc>
            <a:spcBef>
              <a:spcPct val="0"/>
            </a:spcBef>
            <a:spcAft>
              <a:spcPct val="35000"/>
            </a:spcAft>
          </a:pPr>
          <a:r>
            <a:rPr lang="sr-Cyrl-RS" sz="1000" b="1" kern="1200">
              <a:solidFill>
                <a:sysClr val="windowText" lastClr="000000"/>
              </a:solidFill>
              <a:latin typeface="Times New Roman" panose="02020603050405020304" pitchFamily="18" charset="0"/>
              <a:cs typeface="Times New Roman" panose="02020603050405020304" pitchFamily="18" charset="0"/>
            </a:rPr>
            <a:t>Опција</a:t>
          </a:r>
          <a:r>
            <a:rPr lang="sr-Latn-RS" sz="1000" b="1" kern="1200">
              <a:solidFill>
                <a:sysClr val="windowText" lastClr="000000"/>
              </a:solidFill>
              <a:latin typeface="Times New Roman" panose="02020603050405020304" pitchFamily="18" charset="0"/>
              <a:cs typeface="Times New Roman" panose="02020603050405020304" pitchFamily="18" charset="0"/>
            </a:rPr>
            <a:t> </a:t>
          </a:r>
          <a:r>
            <a:rPr lang="sr-Cyrl-RS" sz="1000" b="1" kern="1200">
              <a:solidFill>
                <a:sysClr val="windowText" lastClr="000000"/>
              </a:solidFill>
              <a:latin typeface="Times New Roman" panose="02020603050405020304" pitchFamily="18" charset="0"/>
              <a:cs typeface="Times New Roman" panose="02020603050405020304" pitchFamily="18" charset="0"/>
            </a:rPr>
            <a:t>4: </a:t>
          </a:r>
          <a:r>
            <a:rPr lang="sr-Cyrl-RS" sz="1000" kern="1200">
              <a:solidFill>
                <a:sysClr val="windowText" lastClr="000000"/>
              </a:solidFill>
              <a:latin typeface="Times New Roman" panose="02020603050405020304" pitchFamily="18" charset="0"/>
              <a:cs typeface="Times New Roman" panose="02020603050405020304" pitchFamily="18" charset="0"/>
            </a:rPr>
            <a:t>Јачање интегритетa и етичких стандарда у јавној управи</a:t>
          </a:r>
          <a:r>
            <a:rPr lang="sr-Cyrl-RS" sz="1000" b="1" kern="1200">
              <a:solidFill>
                <a:sysClr val="windowText" lastClr="000000"/>
              </a:solidFill>
              <a:latin typeface="Times New Roman" panose="02020603050405020304" pitchFamily="18" charset="0"/>
              <a:cs typeface="Times New Roman" panose="02020603050405020304" pitchFamily="18" charset="0"/>
            </a:rPr>
            <a:t> </a:t>
          </a:r>
          <a:r>
            <a:rPr lang="sr-Cyrl-RS" sz="1000" kern="1200">
              <a:solidFill>
                <a:sysClr val="windowText" lastClr="000000"/>
              </a:solidFill>
              <a:latin typeface="Times New Roman" panose="02020603050405020304" pitchFamily="18" charset="0"/>
              <a:cs typeface="Times New Roman" panose="02020603050405020304" pitchFamily="18" charset="0"/>
            </a:rPr>
            <a:t>доношењем смерница/препорука органима јавне управе да одреде службенике за етику и интегритет </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1651241" y="3343092"/>
        <a:ext cx="3903743" cy="891296"/>
      </dsp:txXfrm>
    </dsp:sp>
    <dsp:sp modelId="{8AC7F4C4-9918-4D94-BACB-B37DA5EED8DB}">
      <dsp:nvSpPr>
        <dsp:cNvPr id="0" name=""/>
        <dsp:cNvSpPr/>
      </dsp:nvSpPr>
      <dsp:spPr>
        <a:xfrm>
          <a:off x="1651241" y="4457212"/>
          <a:ext cx="3903743" cy="891296"/>
        </a:xfrm>
        <a:prstGeom prst="rect">
          <a:avLst/>
        </a:prstGeom>
        <a:solidFill>
          <a:schemeClr val="bg1"/>
        </a:solidFill>
        <a:ln w="28575" cap="flat" cmpd="sng" algn="ctr">
          <a:solidFill>
            <a:srgbClr val="D5DEE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just" defTabSz="444500">
            <a:lnSpc>
              <a:spcPct val="90000"/>
            </a:lnSpc>
            <a:spcBef>
              <a:spcPct val="0"/>
            </a:spcBef>
            <a:spcAft>
              <a:spcPct val="35000"/>
            </a:spcAft>
          </a:pPr>
          <a:r>
            <a:rPr lang="sr-Cyrl-RS" sz="1000" b="1" kern="1200">
              <a:solidFill>
                <a:sysClr val="windowText" lastClr="000000"/>
              </a:solidFill>
              <a:latin typeface="Times New Roman" panose="02020603050405020304" pitchFamily="18" charset="0"/>
              <a:cs typeface="Times New Roman" panose="02020603050405020304" pitchFamily="18" charset="0"/>
            </a:rPr>
            <a:t>Опција 5:</a:t>
          </a:r>
          <a:r>
            <a:rPr lang="sr-Cyrl-RS" sz="1000" kern="1200">
              <a:solidFill>
                <a:sysClr val="windowText" lastClr="000000"/>
              </a:solidFill>
              <a:latin typeface="Times New Roman" panose="02020603050405020304" pitchFamily="18" charset="0"/>
              <a:cs typeface="Times New Roman" panose="02020603050405020304" pitchFamily="18" charset="0"/>
            </a:rPr>
            <a:t> Јачање интегритетa и етичких стандарда у јавној управи</a:t>
          </a:r>
          <a:r>
            <a:rPr lang="sr-Cyrl-RS" sz="1000" b="1" kern="1200">
              <a:solidFill>
                <a:sysClr val="windowText" lastClr="000000"/>
              </a:solidFill>
              <a:latin typeface="Times New Roman" panose="02020603050405020304" pitchFamily="18" charset="0"/>
              <a:cs typeface="Times New Roman" panose="02020603050405020304" pitchFamily="18" charset="0"/>
            </a:rPr>
            <a:t> </a:t>
          </a:r>
          <a:r>
            <a:rPr lang="sr-Cyrl-RS" sz="1000" kern="1200">
              <a:solidFill>
                <a:sysClr val="windowText" lastClr="000000"/>
              </a:solidFill>
              <a:latin typeface="Times New Roman" panose="02020603050405020304" pitchFamily="18" charset="0"/>
              <a:cs typeface="Times New Roman" panose="02020603050405020304" pitchFamily="18" charset="0"/>
            </a:rPr>
            <a:t>успостављањем етичке инфраструктуре у органима јавне управе у складу са међународним стандардима и примерима из</a:t>
          </a:r>
          <a:r>
            <a:rPr lang="sr-Cyrl-RS" sz="1000" b="1" kern="1200">
              <a:solidFill>
                <a:sysClr val="windowText" lastClr="000000"/>
              </a:solidFill>
              <a:latin typeface="Times New Roman" panose="02020603050405020304" pitchFamily="18" charset="0"/>
              <a:cs typeface="Times New Roman" panose="02020603050405020304" pitchFamily="18" charset="0"/>
            </a:rPr>
            <a:t> </a:t>
          </a:r>
          <a:r>
            <a:rPr lang="sr-Cyrl-RS" sz="1000" kern="1200">
              <a:solidFill>
                <a:sysClr val="windowText" lastClr="000000"/>
              </a:solidFill>
              <a:latin typeface="Times New Roman" panose="02020603050405020304" pitchFamily="18" charset="0"/>
              <a:cs typeface="Times New Roman" panose="02020603050405020304" pitchFamily="18" charset="0"/>
            </a:rPr>
            <a:t>упоредне праксе </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1651241" y="4457212"/>
        <a:ext cx="3903743" cy="8912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B92C2E-7E95-4D1C-8303-8A0ED9E8725C}">
      <dsp:nvSpPr>
        <dsp:cNvPr id="0" name=""/>
        <dsp:cNvSpPr/>
      </dsp:nvSpPr>
      <dsp:spPr>
        <a:xfrm>
          <a:off x="1407189" y="2065020"/>
          <a:ext cx="514768" cy="1471326"/>
        </a:xfrm>
        <a:custGeom>
          <a:avLst/>
          <a:gdLst/>
          <a:ahLst/>
          <a:cxnLst/>
          <a:rect l="0" t="0" r="0" b="0"/>
          <a:pathLst>
            <a:path>
              <a:moveTo>
                <a:pt x="0" y="0"/>
              </a:moveTo>
              <a:lnTo>
                <a:pt x="257384" y="0"/>
              </a:lnTo>
              <a:lnTo>
                <a:pt x="257384" y="1471326"/>
              </a:lnTo>
              <a:lnTo>
                <a:pt x="514768" y="1471326"/>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25603" y="2761713"/>
        <a:ext cx="0" cy="0"/>
      </dsp:txXfrm>
    </dsp:sp>
    <dsp:sp modelId="{70C70EB0-C3A4-4D51-A458-4EE61BA7C3E3}">
      <dsp:nvSpPr>
        <dsp:cNvPr id="0" name=""/>
        <dsp:cNvSpPr/>
      </dsp:nvSpPr>
      <dsp:spPr>
        <a:xfrm>
          <a:off x="1407189" y="2065020"/>
          <a:ext cx="514768" cy="490442"/>
        </a:xfrm>
        <a:custGeom>
          <a:avLst/>
          <a:gdLst/>
          <a:ahLst/>
          <a:cxnLst/>
          <a:rect l="0" t="0" r="0" b="0"/>
          <a:pathLst>
            <a:path>
              <a:moveTo>
                <a:pt x="0" y="0"/>
              </a:moveTo>
              <a:lnTo>
                <a:pt x="257384" y="0"/>
              </a:lnTo>
              <a:lnTo>
                <a:pt x="257384" y="490442"/>
              </a:lnTo>
              <a:lnTo>
                <a:pt x="514768" y="490442"/>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46798" y="2292466"/>
        <a:ext cx="0" cy="0"/>
      </dsp:txXfrm>
    </dsp:sp>
    <dsp:sp modelId="{AAE58FDC-687F-4C11-9080-8E843FC32F94}">
      <dsp:nvSpPr>
        <dsp:cNvPr id="0" name=""/>
        <dsp:cNvSpPr/>
      </dsp:nvSpPr>
      <dsp:spPr>
        <a:xfrm>
          <a:off x="1407189" y="1574577"/>
          <a:ext cx="514768" cy="490442"/>
        </a:xfrm>
        <a:custGeom>
          <a:avLst/>
          <a:gdLst/>
          <a:ahLst/>
          <a:cxnLst/>
          <a:rect l="0" t="0" r="0" b="0"/>
          <a:pathLst>
            <a:path>
              <a:moveTo>
                <a:pt x="0" y="490442"/>
              </a:moveTo>
              <a:lnTo>
                <a:pt x="257384" y="490442"/>
              </a:lnTo>
              <a:lnTo>
                <a:pt x="257384" y="0"/>
              </a:lnTo>
              <a:lnTo>
                <a:pt x="514768" y="0"/>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46798" y="1802023"/>
        <a:ext cx="0" cy="0"/>
      </dsp:txXfrm>
    </dsp:sp>
    <dsp:sp modelId="{D4AF40BA-CF43-4ADB-8C20-571CB4DCB455}">
      <dsp:nvSpPr>
        <dsp:cNvPr id="0" name=""/>
        <dsp:cNvSpPr/>
      </dsp:nvSpPr>
      <dsp:spPr>
        <a:xfrm>
          <a:off x="1407189" y="593693"/>
          <a:ext cx="514768" cy="1471326"/>
        </a:xfrm>
        <a:custGeom>
          <a:avLst/>
          <a:gdLst/>
          <a:ahLst/>
          <a:cxnLst/>
          <a:rect l="0" t="0" r="0" b="0"/>
          <a:pathLst>
            <a:path>
              <a:moveTo>
                <a:pt x="0" y="1471326"/>
              </a:moveTo>
              <a:lnTo>
                <a:pt x="257384" y="1471326"/>
              </a:lnTo>
              <a:lnTo>
                <a:pt x="257384" y="0"/>
              </a:lnTo>
              <a:lnTo>
                <a:pt x="514768" y="0"/>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25603" y="1290387"/>
        <a:ext cx="0" cy="0"/>
      </dsp:txXfrm>
    </dsp:sp>
    <dsp:sp modelId="{0FD39AA2-9EEE-4864-9C05-80FDC934B6F5}">
      <dsp:nvSpPr>
        <dsp:cNvPr id="0" name=""/>
        <dsp:cNvSpPr/>
      </dsp:nvSpPr>
      <dsp:spPr>
        <a:xfrm rot="16200000">
          <a:off x="-1132825" y="1590024"/>
          <a:ext cx="4130040" cy="949990"/>
        </a:xfrm>
        <a:prstGeom prst="rect">
          <a:avLst/>
        </a:prstGeom>
        <a:solidFill>
          <a:sysClr val="window" lastClr="FFFFFF">
            <a:hueOff val="0"/>
            <a:satOff val="0"/>
            <a:lumOff val="0"/>
            <a:alphaOff val="0"/>
          </a:sys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R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Успостављање функционалног координационог механизма за планирање, имплементацију и праћење комуницирања РЈУ на националном  нивоу</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32825" y="1590024"/>
        <a:ext cx="4130040" cy="949990"/>
      </dsp:txXfrm>
    </dsp:sp>
    <dsp:sp modelId="{26F35CA3-30EF-4DAF-9AD8-DDF2D96DDC32}">
      <dsp:nvSpPr>
        <dsp:cNvPr id="0" name=""/>
        <dsp:cNvSpPr/>
      </dsp:nvSpPr>
      <dsp:spPr>
        <a:xfrm>
          <a:off x="1921957" y="201339"/>
          <a:ext cx="3107243" cy="784707"/>
        </a:xfrm>
        <a:prstGeom prst="rect">
          <a:avLst/>
        </a:prstGeom>
        <a:solidFill>
          <a:sysClr val="window" lastClr="FFFFFF">
            <a:hueOff val="0"/>
            <a:satOff val="0"/>
            <a:lumOff val="0"/>
            <a:alphaOff val="0"/>
          </a:sys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Latn-RS" sz="12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Status quo</a:t>
          </a:r>
          <a:r>
            <a:rPr lang="sr-Cyrl-R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r-Cyrl-R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непостојање координационог механизма</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21957" y="201339"/>
        <a:ext cx="3107243" cy="784707"/>
      </dsp:txXfrm>
    </dsp:sp>
    <dsp:sp modelId="{BCCE9C1A-A774-42FB-9F7A-F7DAA389AADC}">
      <dsp:nvSpPr>
        <dsp:cNvPr id="0" name=""/>
        <dsp:cNvSpPr/>
      </dsp:nvSpPr>
      <dsp:spPr>
        <a:xfrm>
          <a:off x="1921957" y="1182223"/>
          <a:ext cx="3107243" cy="784707"/>
        </a:xfrm>
        <a:prstGeom prst="rect">
          <a:avLst/>
        </a:prstGeom>
        <a:solidFill>
          <a:sysClr val="window" lastClr="FFFFFF">
            <a:hueOff val="0"/>
            <a:satOff val="0"/>
            <a:lumOff val="0"/>
            <a:alphaOff val="0"/>
          </a:sys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R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Опција 1</a:t>
          </a:r>
          <a:r>
            <a:rPr lang="sr-Cyrl-R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Формирање Координационог тела за комуницирање реформе јавне управе </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21957" y="1182223"/>
        <a:ext cx="3107243" cy="784707"/>
      </dsp:txXfrm>
    </dsp:sp>
    <dsp:sp modelId="{80CC45D7-E729-4CC1-9039-FB4FFB014D48}">
      <dsp:nvSpPr>
        <dsp:cNvPr id="0" name=""/>
        <dsp:cNvSpPr/>
      </dsp:nvSpPr>
      <dsp:spPr>
        <a:xfrm>
          <a:off x="1921957" y="2163108"/>
          <a:ext cx="3107243" cy="784707"/>
        </a:xfrm>
        <a:prstGeom prst="rect">
          <a:avLst/>
        </a:prstGeom>
        <a:solidFill>
          <a:sysClr val="window" lastClr="FFFFFF">
            <a:hueOff val="0"/>
            <a:satOff val="0"/>
            <a:lumOff val="0"/>
            <a:alphaOff val="0"/>
          </a:sys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R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Опција 2</a:t>
          </a:r>
          <a:r>
            <a:rPr lang="sr-Cyrl-R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Формирање мреже службеника  за односе са јавношћу у органима јавне управе </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21957" y="2163108"/>
        <a:ext cx="3107243" cy="784707"/>
      </dsp:txXfrm>
    </dsp:sp>
    <dsp:sp modelId="{8A792FC1-BD57-42F7-BC0E-84ECE0BC317F}">
      <dsp:nvSpPr>
        <dsp:cNvPr id="0" name=""/>
        <dsp:cNvSpPr/>
      </dsp:nvSpPr>
      <dsp:spPr>
        <a:xfrm>
          <a:off x="1921957" y="3143992"/>
          <a:ext cx="3107243" cy="784707"/>
        </a:xfrm>
        <a:prstGeom prst="rect">
          <a:avLst/>
        </a:prstGeom>
        <a:solidFill>
          <a:sysClr val="window" lastClr="FFFFFF">
            <a:hueOff val="0"/>
            <a:satOff val="0"/>
            <a:lumOff val="0"/>
            <a:alphaOff val="0"/>
          </a:sys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R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Опција 3</a:t>
          </a:r>
          <a:r>
            <a:rPr lang="sr-Cyrl-R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Формирање Радне групе за комуницирање реформе јавне управе у оквиру Савета за реформу јавне управе</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21957" y="3143992"/>
        <a:ext cx="3107243" cy="78470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0.63338</cdr:x>
      <cdr:y>0.00982</cdr:y>
    </cdr:from>
    <cdr:to>
      <cdr:x>0.93282</cdr:x>
      <cdr:y>0.28688</cdr:y>
    </cdr:to>
    <cdr:sp macro="" textlink="">
      <cdr:nvSpPr>
        <cdr:cNvPr id="2" name="TextBox 3">
          <a:extLst xmlns:a="http://schemas.openxmlformats.org/drawingml/2006/main">
            <a:ext uri="{FF2B5EF4-FFF2-40B4-BE49-F238E27FC236}">
              <a16:creationId xmlns:a16="http://schemas.microsoft.com/office/drawing/2014/main" id="{16439A47-9F5C-4812-884D-D2A443A54A5E}"/>
            </a:ext>
          </a:extLst>
        </cdr:cNvPr>
        <cdr:cNvSpPr txBox="1"/>
      </cdr:nvSpPr>
      <cdr:spPr>
        <a:xfrm xmlns:a="http://schemas.openxmlformats.org/drawingml/2006/main">
          <a:off x="3735599" y="29408"/>
          <a:ext cx="1766041" cy="829714"/>
        </a:xfrm>
        <a:prstGeom xmlns:a="http://schemas.openxmlformats.org/drawingml/2006/main" prst="rect">
          <a:avLst/>
        </a:prstGeom>
        <a:solidFill xmlns:a="http://schemas.openxmlformats.org/drawingml/2006/main">
          <a:schemeClr val="bg1">
            <a:lumMod val="75000"/>
          </a:schemeClr>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sr-Cyrl-CS" sz="1000">
              <a:solidFill>
                <a:schemeClr val="bg1"/>
              </a:solidFill>
              <a:latin typeface="Times New Roman" panose="02020603050405020304" pitchFamily="18" charset="0"/>
              <a:cs typeface="Times New Roman" panose="02020603050405020304" pitchFamily="18" charset="0"/>
            </a:rPr>
            <a:t>Пореска управа</a:t>
          </a:r>
        </a:p>
        <a:p xmlns:a="http://schemas.openxmlformats.org/drawingml/2006/main">
          <a:r>
            <a:rPr lang="sr-Cyrl-CS" sz="1000">
              <a:solidFill>
                <a:schemeClr val="bg1"/>
              </a:solidFill>
              <a:latin typeface="Times New Roman" panose="02020603050405020304" pitchFamily="18" charset="0"/>
              <a:cs typeface="Times New Roman" panose="02020603050405020304" pitchFamily="18" charset="0"/>
            </a:rPr>
            <a:t>Управа царина</a:t>
          </a:r>
        </a:p>
        <a:p xmlns:a="http://schemas.openxmlformats.org/drawingml/2006/main">
          <a:r>
            <a:rPr lang="sr-Cyrl-CS" sz="1000">
              <a:solidFill>
                <a:schemeClr val="bg1"/>
              </a:solidFill>
              <a:latin typeface="Times New Roman" panose="02020603050405020304" pitchFamily="18" charset="0"/>
              <a:cs typeface="Times New Roman" panose="02020603050405020304" pitchFamily="18" charset="0"/>
            </a:rPr>
            <a:t>Мин. просвете, науке и тех.развоја</a:t>
          </a:r>
        </a:p>
        <a:p xmlns:a="http://schemas.openxmlformats.org/drawingml/2006/main">
          <a:r>
            <a:rPr lang="sr-Cyrl-CS" sz="1000">
              <a:solidFill>
                <a:schemeClr val="bg1"/>
              </a:solidFill>
              <a:latin typeface="Times New Roman" panose="02020603050405020304" pitchFamily="18" charset="0"/>
              <a:cs typeface="Times New Roman" panose="02020603050405020304" pitchFamily="18" charset="0"/>
            </a:rPr>
            <a:t>РХМЗ</a:t>
          </a:r>
          <a:endParaRPr lang="x-none" sz="1000">
            <a:solidFill>
              <a:schemeClr val="bg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0.91212</cdr:x>
      <cdr:y>0.21204</cdr:y>
    </cdr:from>
    <cdr:to>
      <cdr:x>0.91212</cdr:x>
      <cdr:y>0.54201</cdr:y>
    </cdr:to>
    <cdr:cxnSp macro="">
      <cdr:nvCxnSpPr>
        <cdr:cNvPr id="3" name="Straight Arrow Connector 2">
          <a:extLst xmlns:a="http://schemas.openxmlformats.org/drawingml/2006/main">
            <a:ext uri="{FF2B5EF4-FFF2-40B4-BE49-F238E27FC236}">
              <a16:creationId xmlns:a16="http://schemas.microsoft.com/office/drawing/2014/main" id="{A4BD6A99-6CFA-46C2-8D9E-7070187F33CB}"/>
            </a:ext>
          </a:extLst>
        </cdr:cNvPr>
        <cdr:cNvCxnSpPr/>
      </cdr:nvCxnSpPr>
      <cdr:spPr>
        <a:xfrm xmlns:a="http://schemas.openxmlformats.org/drawingml/2006/main" flipH="1" flipV="1">
          <a:off x="5379574" y="635000"/>
          <a:ext cx="1" cy="988137"/>
        </a:xfrm>
        <a:prstGeom xmlns:a="http://schemas.openxmlformats.org/drawingml/2006/main" prst="straightConnector1">
          <a:avLst/>
        </a:prstGeom>
        <a:ln xmlns:a="http://schemas.openxmlformats.org/drawingml/2006/main" w="1270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0.2942</cdr:x>
      <cdr:y>0.70238</cdr:y>
    </cdr:from>
    <cdr:to>
      <cdr:x>0.34953</cdr:x>
      <cdr:y>0.71667</cdr:y>
    </cdr:to>
    <cdr:sp macro="" textlink="">
      <cdr:nvSpPr>
        <cdr:cNvPr id="2" name="Text Box 1"/>
        <cdr:cNvSpPr txBox="1"/>
      </cdr:nvSpPr>
      <cdr:spPr>
        <a:xfrm xmlns:a="http://schemas.openxmlformats.org/drawingml/2006/main">
          <a:off x="1661160" y="2247900"/>
          <a:ext cx="312420"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0.2942</cdr:x>
      <cdr:y>0.70238</cdr:y>
    </cdr:from>
    <cdr:to>
      <cdr:x>0.34953</cdr:x>
      <cdr:y>0.71667</cdr:y>
    </cdr:to>
    <cdr:sp macro="" textlink="">
      <cdr:nvSpPr>
        <cdr:cNvPr id="3" name="Text Box 2"/>
        <cdr:cNvSpPr txBox="1"/>
      </cdr:nvSpPr>
      <cdr:spPr>
        <a:xfrm xmlns:a="http://schemas.openxmlformats.org/drawingml/2006/main">
          <a:off x="1661160" y="2247900"/>
          <a:ext cx="312420"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0.2942</cdr:x>
      <cdr:y>0.70238</cdr:y>
    </cdr:from>
    <cdr:to>
      <cdr:x>0.34953</cdr:x>
      <cdr:y>0.71667</cdr:y>
    </cdr:to>
    <cdr:sp macro="" textlink="">
      <cdr:nvSpPr>
        <cdr:cNvPr id="4" name="Text Box 3"/>
        <cdr:cNvSpPr txBox="1"/>
      </cdr:nvSpPr>
      <cdr:spPr>
        <a:xfrm xmlns:a="http://schemas.openxmlformats.org/drawingml/2006/main">
          <a:off x="1661160" y="2247900"/>
          <a:ext cx="312420"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BEB3A-5A08-468F-8D7A-435780D4D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108447</Words>
  <Characters>618150</Characters>
  <Application>Microsoft Office Word</Application>
  <DocSecurity>0</DocSecurity>
  <Lines>5151</Lines>
  <Paragraphs>1450</Paragraphs>
  <ScaleCrop>false</ScaleCrop>
  <HeadingPairs>
    <vt:vector size="2" baseType="variant">
      <vt:variant>
        <vt:lpstr>Title</vt:lpstr>
      </vt:variant>
      <vt:variant>
        <vt:i4>1</vt:i4>
      </vt:variant>
    </vt:vector>
  </HeadingPairs>
  <TitlesOfParts>
    <vt:vector size="1" baseType="lpstr">
      <vt:lpstr>АЦРТ СТРАТЕГИЈЕ РЕФОРМЕ ЈАВНЕ УПРАВЕ У РЕПУБЛИЦИ СРБИЈИ ЗА ПЕРИОД 2021-2030</vt:lpstr>
    </vt:vector>
  </TitlesOfParts>
  <Company/>
  <LinksUpToDate>false</LinksUpToDate>
  <CharactersWithSpaces>725147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АЦРТ СТРАТЕГИЈЕ РЕФОРМЕ ЈАВНЕ УПРАВЕ У РЕПУБЛИЦИ СРБИЈИ ЗА ПЕРИОД 2021-2030</dc:title>
  <dc:subject/>
  <dc:creator>Jelena</dc:creator>
  <cp:keywords/>
  <dc:description/>
  <cp:lastModifiedBy>Windows User</cp:lastModifiedBy>
  <cp:revision>3</cp:revision>
  <dcterms:created xsi:type="dcterms:W3CDTF">2020-12-10T08:12:00Z</dcterms:created>
  <dcterms:modified xsi:type="dcterms:W3CDTF">2020-12-10T08:12:00Z</dcterms:modified>
</cp:coreProperties>
</file>